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96F34C9" w14:textId="77777777" w:rsidR="00267CE6" w:rsidRPr="00267CE6" w:rsidRDefault="00267CE6" w:rsidP="00267CE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8817641"/>
      <w:bookmarkStart w:id="2" w:name="_GoBack"/>
      <w:bookmarkEnd w:id="2"/>
      <w:r w:rsidRPr="00267CE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4904B9" w14:textId="77777777" w:rsidR="00267CE6" w:rsidRPr="00267CE6" w:rsidRDefault="00267CE6" w:rsidP="00267CE6">
      <w:pPr>
        <w:spacing w:after="0" w:line="240" w:lineRule="auto"/>
        <w:jc w:val="both"/>
        <w:rPr>
          <w:rFonts w:ascii="Arial" w:eastAsia="Times New Roman" w:hAnsi="Arial" w:cs="Arial"/>
          <w:sz w:val="20"/>
          <w:szCs w:val="20"/>
          <w:lang w:val="es-419" w:eastAsia="es-ES"/>
        </w:rPr>
      </w:pPr>
    </w:p>
    <w:p w14:paraId="42A01AA2" w14:textId="4B356041" w:rsidR="00267CE6" w:rsidRPr="00267CE6" w:rsidRDefault="00267CE6" w:rsidP="00267CE6">
      <w:pPr>
        <w:spacing w:after="0" w:line="240" w:lineRule="auto"/>
        <w:jc w:val="both"/>
        <w:rPr>
          <w:rFonts w:ascii="Arial" w:eastAsia="Times New Roman" w:hAnsi="Arial" w:cs="Arial"/>
          <w:sz w:val="20"/>
          <w:szCs w:val="20"/>
          <w:lang w:val="es-419" w:eastAsia="es-ES"/>
        </w:rPr>
      </w:pPr>
      <w:r w:rsidRPr="00267CE6">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67CE6">
        <w:rPr>
          <w:rFonts w:ascii="Arial" w:eastAsia="Times New Roman" w:hAnsi="Arial" w:cs="Arial"/>
          <w:sz w:val="20"/>
          <w:szCs w:val="20"/>
          <w:lang w:val="es-419" w:eastAsia="es-ES"/>
        </w:rPr>
        <w:t>66001-31-05-001-2018-00390-01</w:t>
      </w:r>
    </w:p>
    <w:p w14:paraId="132A8D39" w14:textId="63A1D67F" w:rsidR="00267CE6" w:rsidRPr="00267CE6" w:rsidRDefault="00267CE6" w:rsidP="00267CE6">
      <w:pPr>
        <w:spacing w:after="0" w:line="240" w:lineRule="auto"/>
        <w:jc w:val="both"/>
        <w:rPr>
          <w:rFonts w:ascii="Arial" w:eastAsia="Times New Roman" w:hAnsi="Arial" w:cs="Arial"/>
          <w:sz w:val="20"/>
          <w:szCs w:val="20"/>
          <w:lang w:val="es-419" w:eastAsia="es-ES"/>
        </w:rPr>
      </w:pPr>
      <w:r w:rsidRPr="00267CE6">
        <w:rPr>
          <w:rFonts w:ascii="Arial" w:eastAsia="Times New Roman" w:hAnsi="Arial" w:cs="Arial"/>
          <w:sz w:val="20"/>
          <w:szCs w:val="20"/>
          <w:lang w:val="es-419" w:eastAsia="es-ES"/>
        </w:rPr>
        <w:t>Proceso:</w:t>
      </w:r>
      <w:r w:rsidRPr="00267CE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67CE6">
        <w:rPr>
          <w:rFonts w:ascii="Arial" w:eastAsia="Times New Roman" w:hAnsi="Arial" w:cs="Arial"/>
          <w:sz w:val="20"/>
          <w:szCs w:val="20"/>
          <w:lang w:val="es-419" w:eastAsia="es-ES"/>
        </w:rPr>
        <w:t xml:space="preserve">Ordinario laboral </w:t>
      </w:r>
    </w:p>
    <w:p w14:paraId="62788B69" w14:textId="13F2AF8F" w:rsidR="00267CE6" w:rsidRPr="00267CE6" w:rsidRDefault="00267CE6" w:rsidP="00267CE6">
      <w:pPr>
        <w:spacing w:after="0" w:line="240" w:lineRule="auto"/>
        <w:jc w:val="both"/>
        <w:rPr>
          <w:rFonts w:ascii="Arial" w:eastAsia="Times New Roman" w:hAnsi="Arial" w:cs="Arial"/>
          <w:sz w:val="20"/>
          <w:szCs w:val="20"/>
          <w:lang w:val="es-419" w:eastAsia="es-ES"/>
        </w:rPr>
      </w:pPr>
      <w:r w:rsidRPr="00267CE6">
        <w:rPr>
          <w:rFonts w:ascii="Arial" w:eastAsia="Times New Roman" w:hAnsi="Arial" w:cs="Arial"/>
          <w:sz w:val="20"/>
          <w:szCs w:val="20"/>
          <w:lang w:val="es-419" w:eastAsia="es-ES"/>
        </w:rPr>
        <w:t>Demandante:</w:t>
      </w:r>
      <w:r w:rsidRPr="00267CE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167260" w:rsidRPr="00267CE6">
        <w:rPr>
          <w:rFonts w:ascii="Arial" w:eastAsia="Times New Roman" w:hAnsi="Arial" w:cs="Arial"/>
          <w:sz w:val="20"/>
          <w:szCs w:val="20"/>
          <w:lang w:val="es-419" w:eastAsia="es-ES"/>
        </w:rPr>
        <w:t>Débora</w:t>
      </w:r>
      <w:r w:rsidRPr="00267CE6">
        <w:rPr>
          <w:rFonts w:ascii="Arial" w:eastAsia="Times New Roman" w:hAnsi="Arial" w:cs="Arial"/>
          <w:sz w:val="20"/>
          <w:szCs w:val="20"/>
          <w:lang w:val="es-419" w:eastAsia="es-ES"/>
        </w:rPr>
        <w:t xml:space="preserve"> Esther Ocampo López</w:t>
      </w:r>
    </w:p>
    <w:p w14:paraId="458934D4" w14:textId="2EA6DDCF" w:rsidR="00267CE6" w:rsidRPr="00267CE6" w:rsidRDefault="00267CE6" w:rsidP="00267CE6">
      <w:pPr>
        <w:spacing w:after="0" w:line="240" w:lineRule="auto"/>
        <w:jc w:val="both"/>
        <w:rPr>
          <w:rFonts w:ascii="Arial" w:eastAsia="Times New Roman" w:hAnsi="Arial" w:cs="Arial"/>
          <w:sz w:val="20"/>
          <w:szCs w:val="20"/>
          <w:lang w:val="es-419" w:eastAsia="es-ES"/>
        </w:rPr>
      </w:pPr>
      <w:r w:rsidRPr="00267CE6">
        <w:rPr>
          <w:rFonts w:ascii="Arial" w:eastAsia="Times New Roman" w:hAnsi="Arial" w:cs="Arial"/>
          <w:sz w:val="20"/>
          <w:szCs w:val="20"/>
          <w:lang w:val="es-419" w:eastAsia="es-ES"/>
        </w:rPr>
        <w:t>Demandados:</w:t>
      </w:r>
      <w:r w:rsidRPr="00267CE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67CE6">
        <w:rPr>
          <w:rFonts w:ascii="Arial" w:eastAsia="Times New Roman" w:hAnsi="Arial" w:cs="Arial"/>
          <w:sz w:val="20"/>
          <w:szCs w:val="20"/>
          <w:lang w:val="es-419" w:eastAsia="es-ES"/>
        </w:rPr>
        <w:t>Colpensiones y Protección S.A.</w:t>
      </w:r>
    </w:p>
    <w:p w14:paraId="1E46F0DF" w14:textId="2E9BC377" w:rsidR="00267CE6" w:rsidRPr="00267CE6" w:rsidRDefault="00267CE6" w:rsidP="00267CE6">
      <w:pPr>
        <w:spacing w:after="0" w:line="240" w:lineRule="auto"/>
        <w:jc w:val="both"/>
        <w:rPr>
          <w:rFonts w:ascii="Arial" w:eastAsia="Times New Roman" w:hAnsi="Arial" w:cs="Arial"/>
          <w:sz w:val="20"/>
          <w:szCs w:val="20"/>
          <w:lang w:val="es-419" w:eastAsia="es-ES"/>
        </w:rPr>
      </w:pPr>
      <w:r w:rsidRPr="00267CE6">
        <w:rPr>
          <w:rFonts w:ascii="Arial" w:eastAsia="Times New Roman" w:hAnsi="Arial" w:cs="Arial"/>
          <w:sz w:val="20"/>
          <w:szCs w:val="20"/>
          <w:lang w:val="es-419" w:eastAsia="es-ES"/>
        </w:rPr>
        <w:t>Juzgado:</w:t>
      </w:r>
      <w:r w:rsidRPr="00267CE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67CE6">
        <w:rPr>
          <w:rFonts w:ascii="Arial" w:eastAsia="Times New Roman" w:hAnsi="Arial" w:cs="Arial"/>
          <w:sz w:val="20"/>
          <w:szCs w:val="20"/>
          <w:lang w:val="es-419" w:eastAsia="es-ES"/>
        </w:rPr>
        <w:t>Primero Laboral del Circuito de Pereira</w:t>
      </w:r>
    </w:p>
    <w:p w14:paraId="22934F50" w14:textId="77777777" w:rsidR="00267CE6" w:rsidRPr="00267CE6" w:rsidRDefault="00267CE6" w:rsidP="00267CE6">
      <w:pPr>
        <w:spacing w:after="0" w:line="240" w:lineRule="auto"/>
        <w:jc w:val="both"/>
        <w:rPr>
          <w:rFonts w:ascii="Arial" w:eastAsia="Times New Roman" w:hAnsi="Arial" w:cs="Arial"/>
          <w:sz w:val="20"/>
          <w:szCs w:val="20"/>
          <w:lang w:val="es-419" w:eastAsia="es-ES"/>
        </w:rPr>
      </w:pPr>
    </w:p>
    <w:p w14:paraId="1D09BE4C" w14:textId="77777777" w:rsidR="00167260" w:rsidRPr="00167260" w:rsidRDefault="00167260" w:rsidP="00167260">
      <w:pPr>
        <w:spacing w:after="0" w:line="240" w:lineRule="auto"/>
        <w:jc w:val="both"/>
        <w:rPr>
          <w:rFonts w:ascii="Arial" w:eastAsia="Times New Roman" w:hAnsi="Arial" w:cs="Arial"/>
          <w:b/>
          <w:bCs/>
          <w:iCs/>
          <w:sz w:val="20"/>
          <w:szCs w:val="20"/>
          <w:lang w:val="es-419" w:eastAsia="fr-FR"/>
        </w:rPr>
      </w:pPr>
      <w:bookmarkStart w:id="3" w:name="_Hlk82369399"/>
      <w:bookmarkEnd w:id="0"/>
      <w:bookmarkEnd w:id="1"/>
      <w:r w:rsidRPr="00167260">
        <w:rPr>
          <w:rFonts w:ascii="Arial" w:eastAsia="Times New Roman" w:hAnsi="Arial" w:cs="Arial"/>
          <w:b/>
          <w:bCs/>
          <w:iCs/>
          <w:sz w:val="20"/>
          <w:szCs w:val="20"/>
          <w:u w:val="single"/>
          <w:lang w:val="es-419" w:eastAsia="fr-FR"/>
        </w:rPr>
        <w:t>TEMAS:</w:t>
      </w:r>
      <w:r w:rsidRPr="00167260">
        <w:rPr>
          <w:rFonts w:ascii="Arial" w:eastAsia="Times New Roman" w:hAnsi="Arial" w:cs="Arial"/>
          <w:b/>
          <w:bCs/>
          <w:iCs/>
          <w:sz w:val="20"/>
          <w:szCs w:val="20"/>
          <w:lang w:val="es-419" w:eastAsia="fr-FR"/>
        </w:rPr>
        <w:tab/>
      </w:r>
      <w:r w:rsidRPr="00167260">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19D63644" w14:textId="77777777" w:rsidR="00167260" w:rsidRPr="00167260" w:rsidRDefault="00167260" w:rsidP="00167260">
      <w:pPr>
        <w:spacing w:after="0" w:line="240" w:lineRule="auto"/>
        <w:jc w:val="both"/>
        <w:rPr>
          <w:rFonts w:ascii="Arial" w:eastAsia="Times New Roman" w:hAnsi="Arial" w:cs="Arial"/>
          <w:sz w:val="20"/>
          <w:szCs w:val="20"/>
          <w:lang w:val="es-419" w:eastAsia="es-ES"/>
        </w:rPr>
      </w:pPr>
    </w:p>
    <w:p w14:paraId="49EC7B36" w14:textId="77777777" w:rsidR="00167260" w:rsidRPr="00167260" w:rsidRDefault="00167260" w:rsidP="00167260">
      <w:pPr>
        <w:spacing w:after="0" w:line="240" w:lineRule="auto"/>
        <w:jc w:val="both"/>
        <w:rPr>
          <w:rFonts w:ascii="Arial" w:eastAsia="Times New Roman" w:hAnsi="Arial" w:cs="Arial"/>
          <w:sz w:val="20"/>
          <w:szCs w:val="20"/>
          <w:lang w:val="es-419" w:eastAsia="es-ES"/>
        </w:rPr>
      </w:pPr>
      <w:r w:rsidRPr="00167260">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103F9C6A" w14:textId="77777777" w:rsidR="00167260" w:rsidRPr="00167260" w:rsidRDefault="00167260" w:rsidP="00167260">
      <w:pPr>
        <w:spacing w:after="0" w:line="240" w:lineRule="auto"/>
        <w:jc w:val="both"/>
        <w:rPr>
          <w:rFonts w:ascii="Arial" w:eastAsia="Times New Roman" w:hAnsi="Arial" w:cs="Arial"/>
          <w:sz w:val="20"/>
          <w:szCs w:val="20"/>
          <w:lang w:val="es-419" w:eastAsia="es-ES"/>
        </w:rPr>
      </w:pPr>
    </w:p>
    <w:p w14:paraId="73604128" w14:textId="77777777" w:rsidR="00167260" w:rsidRPr="00167260" w:rsidRDefault="00167260" w:rsidP="00167260">
      <w:pPr>
        <w:spacing w:after="0" w:line="240" w:lineRule="auto"/>
        <w:jc w:val="both"/>
        <w:rPr>
          <w:rFonts w:ascii="Arial" w:eastAsia="Times New Roman" w:hAnsi="Arial" w:cs="Arial"/>
          <w:sz w:val="20"/>
          <w:szCs w:val="20"/>
          <w:lang w:val="es-419" w:eastAsia="es-ES"/>
        </w:rPr>
      </w:pPr>
      <w:r w:rsidRPr="00167260">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EB093A4" w14:textId="77777777" w:rsidR="00167260" w:rsidRPr="00167260" w:rsidRDefault="00167260" w:rsidP="00167260">
      <w:pPr>
        <w:spacing w:after="0" w:line="240" w:lineRule="auto"/>
        <w:jc w:val="both"/>
        <w:rPr>
          <w:rFonts w:ascii="Arial" w:eastAsia="Times New Roman" w:hAnsi="Arial" w:cs="Arial"/>
          <w:sz w:val="20"/>
          <w:szCs w:val="20"/>
          <w:lang w:val="es-419" w:eastAsia="es-ES"/>
        </w:rPr>
      </w:pPr>
    </w:p>
    <w:p w14:paraId="671CDB02" w14:textId="77777777" w:rsidR="00167260" w:rsidRPr="00167260" w:rsidRDefault="00167260" w:rsidP="00167260">
      <w:pPr>
        <w:spacing w:after="0" w:line="240" w:lineRule="auto"/>
        <w:jc w:val="both"/>
        <w:rPr>
          <w:rFonts w:ascii="Arial" w:eastAsia="Times New Roman" w:hAnsi="Arial" w:cs="Arial"/>
          <w:sz w:val="20"/>
          <w:szCs w:val="20"/>
          <w:lang w:val="es-419" w:eastAsia="es-ES"/>
        </w:rPr>
      </w:pPr>
      <w:r w:rsidRPr="00167260">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90AD329" w14:textId="77777777" w:rsidR="00167260" w:rsidRPr="00167260" w:rsidRDefault="00167260" w:rsidP="00167260">
      <w:pPr>
        <w:spacing w:after="0" w:line="240" w:lineRule="auto"/>
        <w:jc w:val="both"/>
        <w:rPr>
          <w:rFonts w:ascii="Arial" w:eastAsia="Times New Roman" w:hAnsi="Arial" w:cs="Arial"/>
          <w:sz w:val="20"/>
          <w:szCs w:val="20"/>
          <w:lang w:val="es-419" w:eastAsia="es-ES"/>
        </w:rPr>
      </w:pPr>
    </w:p>
    <w:p w14:paraId="0F53BA44" w14:textId="77777777" w:rsidR="00167260" w:rsidRPr="00167260" w:rsidRDefault="00167260" w:rsidP="00167260">
      <w:pPr>
        <w:spacing w:after="0" w:line="240" w:lineRule="auto"/>
        <w:jc w:val="both"/>
        <w:rPr>
          <w:rFonts w:ascii="Arial" w:eastAsia="Times New Roman" w:hAnsi="Arial" w:cs="Arial"/>
          <w:sz w:val="20"/>
          <w:szCs w:val="20"/>
          <w:lang w:val="es-419" w:eastAsia="es-ES"/>
        </w:rPr>
      </w:pPr>
      <w:r w:rsidRPr="00167260">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1A1D8B89" w14:textId="77777777" w:rsidR="00167260" w:rsidRPr="00167260" w:rsidRDefault="00167260" w:rsidP="00167260">
      <w:pPr>
        <w:spacing w:after="0" w:line="240" w:lineRule="auto"/>
        <w:jc w:val="both"/>
        <w:rPr>
          <w:rFonts w:ascii="Arial" w:eastAsia="Times New Roman" w:hAnsi="Arial" w:cs="Arial"/>
          <w:sz w:val="20"/>
          <w:szCs w:val="20"/>
          <w:lang w:val="es-ES" w:eastAsia="es-ES"/>
        </w:rPr>
      </w:pPr>
    </w:p>
    <w:p w14:paraId="7A7ECF86" w14:textId="77777777" w:rsidR="00167260" w:rsidRPr="00167260" w:rsidRDefault="00167260" w:rsidP="00167260">
      <w:pPr>
        <w:spacing w:after="0" w:line="240" w:lineRule="auto"/>
        <w:jc w:val="both"/>
        <w:rPr>
          <w:rFonts w:ascii="Arial" w:eastAsia="Times New Roman" w:hAnsi="Arial" w:cs="Arial"/>
          <w:sz w:val="20"/>
          <w:szCs w:val="20"/>
          <w:lang w:val="es-ES" w:eastAsia="es-ES"/>
        </w:rPr>
      </w:pPr>
    </w:p>
    <w:bookmarkEnd w:id="3"/>
    <w:p w14:paraId="6DEC2FD4" w14:textId="77777777" w:rsidR="00167260" w:rsidRPr="00167260" w:rsidRDefault="00167260" w:rsidP="00167260">
      <w:pPr>
        <w:spacing w:after="0" w:line="240" w:lineRule="auto"/>
        <w:jc w:val="both"/>
        <w:rPr>
          <w:rFonts w:ascii="Arial" w:eastAsia="Times New Roman" w:hAnsi="Arial" w:cs="Arial"/>
          <w:sz w:val="20"/>
          <w:szCs w:val="20"/>
          <w:lang w:val="es-ES" w:eastAsia="es-ES"/>
        </w:rPr>
      </w:pPr>
    </w:p>
    <w:p w14:paraId="60ED5B32" w14:textId="45190FB7" w:rsidR="1B4704F1" w:rsidRPr="001A3CA7" w:rsidRDefault="1B4704F1" w:rsidP="001A3CA7">
      <w:pPr>
        <w:spacing w:after="0" w:line="276" w:lineRule="auto"/>
        <w:jc w:val="center"/>
        <w:rPr>
          <w:rFonts w:ascii="Tahoma" w:hAnsi="Tahoma" w:cs="Tahoma"/>
          <w:sz w:val="24"/>
          <w:szCs w:val="24"/>
        </w:rPr>
      </w:pPr>
      <w:r w:rsidRPr="001A3CA7">
        <w:rPr>
          <w:rFonts w:ascii="Tahoma" w:eastAsia="Tahoma" w:hAnsi="Tahoma" w:cs="Tahoma"/>
          <w:b/>
          <w:bCs/>
          <w:sz w:val="24"/>
          <w:szCs w:val="24"/>
          <w:lang w:val="es"/>
        </w:rPr>
        <w:t xml:space="preserve">TRIBUNAL SUPERIOR DEL DISTRITO JUDICIAL DE PEREIRA </w:t>
      </w:r>
    </w:p>
    <w:p w14:paraId="6A22D743" w14:textId="0EB1286B" w:rsidR="1B4704F1" w:rsidRPr="001A3CA7" w:rsidRDefault="1B4704F1" w:rsidP="001A3CA7">
      <w:pPr>
        <w:spacing w:after="0" w:line="276" w:lineRule="auto"/>
        <w:jc w:val="center"/>
        <w:rPr>
          <w:rFonts w:ascii="Tahoma" w:hAnsi="Tahoma" w:cs="Tahoma"/>
          <w:sz w:val="24"/>
          <w:szCs w:val="24"/>
        </w:rPr>
      </w:pPr>
      <w:r w:rsidRPr="001A3CA7">
        <w:rPr>
          <w:rFonts w:ascii="Tahoma" w:eastAsia="Tahoma" w:hAnsi="Tahoma" w:cs="Tahoma"/>
          <w:b/>
          <w:bCs/>
          <w:sz w:val="24"/>
          <w:szCs w:val="24"/>
          <w:lang w:val="es"/>
        </w:rPr>
        <w:t>SALA PRIMERA DE DECISION LABORAL</w:t>
      </w:r>
    </w:p>
    <w:p w14:paraId="5F77C68D" w14:textId="41619F3D" w:rsidR="00C24650" w:rsidRPr="001A3CA7" w:rsidRDefault="1B4704F1" w:rsidP="001A3CA7">
      <w:pPr>
        <w:spacing w:after="0" w:line="276" w:lineRule="auto"/>
        <w:jc w:val="center"/>
        <w:rPr>
          <w:rFonts w:ascii="Tahoma" w:hAnsi="Tahoma" w:cs="Tahoma"/>
          <w:sz w:val="24"/>
          <w:szCs w:val="24"/>
        </w:rPr>
      </w:pPr>
      <w:r w:rsidRPr="001A3CA7">
        <w:rPr>
          <w:rFonts w:ascii="Tahoma" w:eastAsia="Tahoma" w:hAnsi="Tahoma" w:cs="Tahoma"/>
          <w:b/>
          <w:bCs/>
          <w:sz w:val="24"/>
          <w:szCs w:val="24"/>
          <w:lang w:val="es"/>
        </w:rPr>
        <w:t xml:space="preserve"> </w:t>
      </w:r>
    </w:p>
    <w:p w14:paraId="5D75B964" w14:textId="32ADA514" w:rsidR="1B4704F1" w:rsidRPr="001A3CA7" w:rsidRDefault="1B4704F1" w:rsidP="001A3CA7">
      <w:pPr>
        <w:spacing w:after="0" w:line="276" w:lineRule="auto"/>
        <w:jc w:val="center"/>
        <w:rPr>
          <w:rFonts w:ascii="Tahoma" w:hAnsi="Tahoma" w:cs="Tahoma"/>
          <w:sz w:val="24"/>
          <w:szCs w:val="24"/>
        </w:rPr>
      </w:pPr>
      <w:r w:rsidRPr="001A3CA7">
        <w:rPr>
          <w:rFonts w:ascii="Tahoma" w:eastAsia="Tahoma" w:hAnsi="Tahoma" w:cs="Tahoma"/>
          <w:sz w:val="24"/>
          <w:szCs w:val="24"/>
          <w:lang w:val="es"/>
        </w:rPr>
        <w:t xml:space="preserve">Magistrada Ponente: </w:t>
      </w:r>
      <w:r w:rsidRPr="001A3CA7">
        <w:rPr>
          <w:rFonts w:ascii="Tahoma" w:eastAsia="Tahoma" w:hAnsi="Tahoma" w:cs="Tahoma"/>
          <w:b/>
          <w:bCs/>
          <w:sz w:val="24"/>
          <w:szCs w:val="24"/>
          <w:lang w:val="es"/>
        </w:rPr>
        <w:t>Ana Lucía Caicedo Calderón</w:t>
      </w:r>
    </w:p>
    <w:p w14:paraId="5AC3D03B" w14:textId="77777777" w:rsidR="00167260" w:rsidRDefault="00167260" w:rsidP="001A3CA7">
      <w:pPr>
        <w:spacing w:after="0" w:line="276" w:lineRule="auto"/>
        <w:jc w:val="center"/>
        <w:rPr>
          <w:rFonts w:ascii="Tahoma" w:eastAsia="Tahoma" w:hAnsi="Tahoma" w:cs="Tahoma"/>
          <w:b/>
          <w:bCs/>
          <w:sz w:val="24"/>
          <w:szCs w:val="24"/>
          <w:lang w:val="es"/>
        </w:rPr>
      </w:pPr>
    </w:p>
    <w:p w14:paraId="1DCDBD64" w14:textId="18F3C471" w:rsidR="00C24650" w:rsidRPr="001A3CA7" w:rsidRDefault="1B4704F1" w:rsidP="001A3CA7">
      <w:pPr>
        <w:spacing w:after="0" w:line="276" w:lineRule="auto"/>
        <w:jc w:val="center"/>
        <w:rPr>
          <w:rFonts w:ascii="Tahoma" w:hAnsi="Tahoma" w:cs="Tahoma"/>
          <w:sz w:val="24"/>
          <w:szCs w:val="24"/>
        </w:rPr>
      </w:pPr>
      <w:r w:rsidRPr="001A3CA7">
        <w:rPr>
          <w:rFonts w:ascii="Tahoma" w:eastAsia="Tahoma" w:hAnsi="Tahoma" w:cs="Tahoma"/>
          <w:b/>
          <w:bCs/>
          <w:sz w:val="24"/>
          <w:szCs w:val="24"/>
          <w:lang w:val="es"/>
        </w:rPr>
        <w:t xml:space="preserve"> </w:t>
      </w:r>
    </w:p>
    <w:p w14:paraId="5E52B225" w14:textId="25F7550F" w:rsidR="6A98959D" w:rsidRPr="001A3CA7" w:rsidRDefault="6A98959D" w:rsidP="001A3CA7">
      <w:pPr>
        <w:spacing w:line="276" w:lineRule="auto"/>
        <w:jc w:val="center"/>
        <w:rPr>
          <w:rFonts w:ascii="Tahoma" w:eastAsia="Tahoma" w:hAnsi="Tahoma" w:cs="Tahoma"/>
          <w:color w:val="000000" w:themeColor="text1"/>
          <w:sz w:val="24"/>
          <w:szCs w:val="24"/>
          <w:lang w:val="es"/>
        </w:rPr>
      </w:pPr>
      <w:r w:rsidRPr="001A3CA7">
        <w:rPr>
          <w:rFonts w:ascii="Tahoma" w:eastAsia="Tahoma" w:hAnsi="Tahoma" w:cs="Tahoma"/>
          <w:color w:val="000000" w:themeColor="text1"/>
          <w:sz w:val="24"/>
          <w:szCs w:val="24"/>
        </w:rPr>
        <w:t>Pereira, Risaralda, nueve (9) de diciembre de dos mil veintiuno (2021)   </w:t>
      </w:r>
    </w:p>
    <w:p w14:paraId="1A4EE43F" w14:textId="3EF55A09" w:rsidR="6A98959D" w:rsidRPr="001A3CA7" w:rsidRDefault="6A98959D" w:rsidP="001A3CA7">
      <w:pPr>
        <w:spacing w:after="0" w:line="276" w:lineRule="auto"/>
        <w:jc w:val="center"/>
        <w:rPr>
          <w:rFonts w:ascii="Tahoma" w:eastAsia="Tahoma" w:hAnsi="Tahoma" w:cs="Tahoma"/>
          <w:color w:val="000000" w:themeColor="text1"/>
          <w:sz w:val="24"/>
          <w:szCs w:val="24"/>
        </w:rPr>
      </w:pPr>
      <w:r w:rsidRPr="001A3CA7">
        <w:rPr>
          <w:rFonts w:ascii="Tahoma" w:eastAsia="Tahoma" w:hAnsi="Tahoma" w:cs="Tahoma"/>
          <w:color w:val="000000" w:themeColor="text1"/>
          <w:sz w:val="24"/>
          <w:szCs w:val="24"/>
        </w:rPr>
        <w:t> Acta No. 194 del 6 de diciembre de 2021</w:t>
      </w:r>
    </w:p>
    <w:p w14:paraId="3197E90E" w14:textId="77777777" w:rsidR="00167260" w:rsidRDefault="00167260" w:rsidP="001A3CA7">
      <w:pPr>
        <w:spacing w:after="0" w:line="276" w:lineRule="auto"/>
        <w:jc w:val="center"/>
        <w:rPr>
          <w:rFonts w:ascii="Tahoma" w:eastAsia="Tahoma" w:hAnsi="Tahoma" w:cs="Tahoma"/>
          <w:sz w:val="24"/>
          <w:szCs w:val="24"/>
          <w:lang w:val="es"/>
        </w:rPr>
      </w:pPr>
    </w:p>
    <w:p w14:paraId="0CD39A57" w14:textId="25185595" w:rsidR="1B4704F1" w:rsidRPr="001A3CA7" w:rsidRDefault="1B4704F1" w:rsidP="001A3CA7">
      <w:pPr>
        <w:spacing w:after="0" w:line="276" w:lineRule="auto"/>
        <w:jc w:val="center"/>
        <w:rPr>
          <w:rFonts w:ascii="Tahoma" w:hAnsi="Tahoma" w:cs="Tahoma"/>
          <w:sz w:val="24"/>
          <w:szCs w:val="24"/>
        </w:rPr>
      </w:pPr>
      <w:r w:rsidRPr="001A3CA7">
        <w:rPr>
          <w:rFonts w:ascii="Tahoma" w:eastAsia="Tahoma" w:hAnsi="Tahoma" w:cs="Tahoma"/>
          <w:sz w:val="24"/>
          <w:szCs w:val="24"/>
          <w:lang w:val="es"/>
        </w:rPr>
        <w:t xml:space="preserve"> </w:t>
      </w:r>
    </w:p>
    <w:p w14:paraId="64F07B95" w14:textId="4146ED1F" w:rsidR="1B4704F1" w:rsidRPr="001A3CA7" w:rsidRDefault="1B4704F1" w:rsidP="001A3CA7">
      <w:pPr>
        <w:spacing w:after="0" w:line="276" w:lineRule="auto"/>
        <w:ind w:firstLine="708"/>
        <w:jc w:val="both"/>
        <w:rPr>
          <w:rFonts w:ascii="Tahoma" w:eastAsia="Tahoma" w:hAnsi="Tahoma" w:cs="Tahoma"/>
          <w:b/>
          <w:bCs/>
          <w:sz w:val="24"/>
          <w:szCs w:val="24"/>
          <w:lang w:val="es"/>
        </w:rPr>
      </w:pPr>
      <w:r w:rsidRPr="001A3CA7">
        <w:rPr>
          <w:rFonts w:ascii="Tahoma" w:eastAsia="Tahoma" w:hAnsi="Tahoma" w:cs="Tahoma"/>
          <w:sz w:val="24"/>
          <w:szCs w:val="24"/>
          <w:lang w:val="es"/>
        </w:rPr>
        <w:t>Teniendo en cuenta que el artículo 15 del Decreto No. 806 del 4 de junio de 2020, expedido por el Ministerio de Justicia y del Derecho, estableció</w:t>
      </w:r>
      <w:r w:rsidR="003A150B" w:rsidRPr="001A3CA7">
        <w:rPr>
          <w:rFonts w:ascii="Tahoma" w:eastAsia="Tahoma" w:hAnsi="Tahoma" w:cs="Tahoma"/>
          <w:sz w:val="24"/>
          <w:szCs w:val="24"/>
          <w:lang w:val="es"/>
        </w:rPr>
        <w:t>,</w:t>
      </w:r>
      <w:r w:rsidRPr="001A3CA7">
        <w:rPr>
          <w:rFonts w:ascii="Tahoma" w:eastAsia="Tahoma" w:hAnsi="Tahoma" w:cs="Tahoma"/>
          <w:sz w:val="24"/>
          <w:szCs w:val="24"/>
          <w:lang w:val="es"/>
        </w:rPr>
        <w:t xml:space="preserve"> que en la especialidad laboral se proferirán por escrito las providencias de segunda instancia</w:t>
      </w:r>
      <w:r w:rsidR="003A150B" w:rsidRPr="001A3CA7">
        <w:rPr>
          <w:rFonts w:ascii="Tahoma" w:eastAsia="Tahoma" w:hAnsi="Tahoma" w:cs="Tahoma"/>
          <w:sz w:val="24"/>
          <w:szCs w:val="24"/>
          <w:lang w:val="es"/>
        </w:rPr>
        <w:t>,</w:t>
      </w:r>
      <w:r w:rsidRPr="001A3CA7">
        <w:rPr>
          <w:rFonts w:ascii="Tahoma" w:eastAsia="Tahoma" w:hAnsi="Tahoma" w:cs="Tahoma"/>
          <w:sz w:val="24"/>
          <w:szCs w:val="24"/>
          <w:lang w:val="es"/>
        </w:rPr>
        <w:t xml:space="preserve"> en las que se surta el grado jurisdiccional de consulta o se resuelva el recurso de apelación </w:t>
      </w:r>
      <w:r w:rsidRPr="001A3CA7">
        <w:rPr>
          <w:rFonts w:ascii="Tahoma" w:eastAsia="Tahoma" w:hAnsi="Tahoma" w:cs="Tahoma"/>
          <w:sz w:val="24"/>
          <w:szCs w:val="24"/>
          <w:lang w:val="es"/>
        </w:rPr>
        <w:lastRenderedPageBreak/>
        <w:t xml:space="preserve">de autos o sentencias, la Sala de Decisión Laboral No. 1 del Tribunal Superior de Pereira, integrada por las Magistradas ANA LUCÍA CAICEDO CALDERÓN como Ponente, OLGA LUCÍA HOYOS SEPÚLVEDA y el Magistrado GERMÁN DARIO GOEZ VINASCO, procede a proferir la siguiente sentencia escrita dentro del proceso </w:t>
      </w:r>
      <w:r w:rsidRPr="001A3CA7">
        <w:rPr>
          <w:rFonts w:ascii="Tahoma" w:eastAsia="Tahoma" w:hAnsi="Tahoma" w:cs="Tahoma"/>
          <w:b/>
          <w:sz w:val="24"/>
          <w:szCs w:val="24"/>
          <w:lang w:val="es"/>
        </w:rPr>
        <w:t>ordinario laboral</w:t>
      </w:r>
      <w:r w:rsidRPr="001A3CA7">
        <w:rPr>
          <w:rFonts w:ascii="Tahoma" w:eastAsia="Tahoma" w:hAnsi="Tahoma" w:cs="Tahoma"/>
          <w:sz w:val="24"/>
          <w:szCs w:val="24"/>
          <w:lang w:val="es"/>
        </w:rPr>
        <w:t xml:space="preserve"> instaurado por </w:t>
      </w:r>
      <w:r w:rsidR="001A3CA7" w:rsidRPr="001A3CA7">
        <w:rPr>
          <w:rFonts w:ascii="Tahoma" w:eastAsia="Tahoma" w:hAnsi="Tahoma" w:cs="Tahoma"/>
          <w:b/>
          <w:bCs/>
          <w:sz w:val="24"/>
          <w:szCs w:val="24"/>
        </w:rPr>
        <w:t>Débora</w:t>
      </w:r>
      <w:r w:rsidR="00440957" w:rsidRPr="001A3CA7">
        <w:rPr>
          <w:rFonts w:ascii="Tahoma" w:eastAsia="Tahoma" w:hAnsi="Tahoma" w:cs="Tahoma"/>
          <w:b/>
          <w:bCs/>
          <w:sz w:val="24"/>
          <w:szCs w:val="24"/>
        </w:rPr>
        <w:t xml:space="preserve"> Esther Ocampo López</w:t>
      </w:r>
      <w:r w:rsidR="008C2DC1" w:rsidRPr="001A3CA7">
        <w:rPr>
          <w:rFonts w:ascii="Tahoma" w:eastAsia="Tahoma" w:hAnsi="Tahoma" w:cs="Tahoma"/>
          <w:b/>
          <w:bCs/>
          <w:sz w:val="24"/>
          <w:szCs w:val="24"/>
          <w:lang w:val="es"/>
        </w:rPr>
        <w:t xml:space="preserve"> </w:t>
      </w:r>
      <w:r w:rsidRPr="001A3CA7">
        <w:rPr>
          <w:rFonts w:ascii="Tahoma" w:eastAsia="Tahoma" w:hAnsi="Tahoma" w:cs="Tahoma"/>
          <w:sz w:val="24"/>
          <w:szCs w:val="24"/>
          <w:lang w:val="es"/>
        </w:rPr>
        <w:t xml:space="preserve">en contra de la </w:t>
      </w:r>
      <w:r w:rsidRPr="001A3CA7">
        <w:rPr>
          <w:rFonts w:ascii="Tahoma" w:eastAsia="Tahoma" w:hAnsi="Tahoma" w:cs="Tahoma"/>
          <w:b/>
          <w:bCs/>
          <w:sz w:val="24"/>
          <w:szCs w:val="24"/>
          <w:lang w:val="es"/>
        </w:rPr>
        <w:t>Administradora Colombiana de Pensiones – Colpensiones</w:t>
      </w:r>
      <w:r w:rsidR="003A59FD" w:rsidRPr="001A3CA7">
        <w:rPr>
          <w:rFonts w:ascii="Tahoma" w:eastAsia="Tahoma" w:hAnsi="Tahoma" w:cs="Tahoma"/>
          <w:b/>
          <w:bCs/>
          <w:sz w:val="24"/>
          <w:szCs w:val="24"/>
          <w:lang w:val="es"/>
        </w:rPr>
        <w:t xml:space="preserve"> </w:t>
      </w:r>
      <w:r w:rsidR="003A59FD" w:rsidRPr="001A3CA7">
        <w:rPr>
          <w:rFonts w:ascii="Tahoma" w:eastAsia="Tahoma" w:hAnsi="Tahoma" w:cs="Tahoma"/>
          <w:bCs/>
          <w:sz w:val="24"/>
          <w:szCs w:val="24"/>
          <w:lang w:val="es"/>
        </w:rPr>
        <w:t>y</w:t>
      </w:r>
      <w:r w:rsidR="008C2DC1" w:rsidRPr="001A3CA7">
        <w:rPr>
          <w:rFonts w:ascii="Tahoma" w:eastAsia="Tahoma" w:hAnsi="Tahoma" w:cs="Tahoma"/>
          <w:sz w:val="24"/>
          <w:szCs w:val="24"/>
          <w:lang w:val="es"/>
        </w:rPr>
        <w:t xml:space="preserve"> la </w:t>
      </w:r>
      <w:r w:rsidR="008C2DC1" w:rsidRPr="001A3CA7">
        <w:rPr>
          <w:rFonts w:ascii="Tahoma" w:eastAsia="Tahoma" w:hAnsi="Tahoma" w:cs="Tahoma"/>
          <w:b/>
          <w:bCs/>
          <w:sz w:val="24"/>
          <w:szCs w:val="24"/>
          <w:lang w:val="es"/>
        </w:rPr>
        <w:t>Administradora de Fondos de Pensiones Protección S.A.</w:t>
      </w:r>
    </w:p>
    <w:p w14:paraId="720DD744" w14:textId="2BD49335" w:rsidR="00147406" w:rsidRDefault="00147406" w:rsidP="001A3CA7">
      <w:pPr>
        <w:spacing w:after="0" w:line="276" w:lineRule="auto"/>
        <w:ind w:firstLine="708"/>
        <w:jc w:val="both"/>
        <w:rPr>
          <w:rFonts w:ascii="Tahoma" w:hAnsi="Tahoma" w:cs="Tahoma"/>
          <w:sz w:val="24"/>
          <w:szCs w:val="24"/>
        </w:rPr>
      </w:pPr>
    </w:p>
    <w:p w14:paraId="152018EC" w14:textId="77777777" w:rsidR="00167260" w:rsidRPr="001A3CA7" w:rsidRDefault="00167260" w:rsidP="001A3CA7">
      <w:pPr>
        <w:spacing w:after="0" w:line="276" w:lineRule="auto"/>
        <w:ind w:firstLine="708"/>
        <w:jc w:val="both"/>
        <w:rPr>
          <w:rFonts w:ascii="Tahoma" w:hAnsi="Tahoma" w:cs="Tahoma"/>
          <w:sz w:val="24"/>
          <w:szCs w:val="24"/>
        </w:rPr>
      </w:pPr>
    </w:p>
    <w:p w14:paraId="2518ADF7" w14:textId="67B27BF2" w:rsidR="1B4704F1" w:rsidRPr="001A3CA7" w:rsidRDefault="1B4704F1" w:rsidP="001A3CA7">
      <w:pPr>
        <w:spacing w:after="0" w:line="276" w:lineRule="auto"/>
        <w:jc w:val="center"/>
        <w:rPr>
          <w:rFonts w:ascii="Tahoma" w:hAnsi="Tahoma" w:cs="Tahoma"/>
          <w:sz w:val="24"/>
          <w:szCs w:val="24"/>
        </w:rPr>
      </w:pPr>
      <w:r w:rsidRPr="001A3CA7">
        <w:rPr>
          <w:rFonts w:ascii="Tahoma" w:eastAsia="Tahoma" w:hAnsi="Tahoma" w:cs="Tahoma"/>
          <w:b/>
          <w:bCs/>
          <w:sz w:val="24"/>
          <w:szCs w:val="24"/>
          <w:lang w:val="es"/>
        </w:rPr>
        <w:t>PUNTO A TRATAR</w:t>
      </w:r>
    </w:p>
    <w:p w14:paraId="7F6EA7BA" w14:textId="77777777" w:rsidR="003A59FD" w:rsidRPr="001A3CA7" w:rsidRDefault="003A59FD" w:rsidP="001A3CA7">
      <w:pPr>
        <w:spacing w:after="0" w:line="276" w:lineRule="auto"/>
        <w:ind w:firstLine="708"/>
        <w:jc w:val="both"/>
        <w:rPr>
          <w:rFonts w:ascii="Tahoma" w:eastAsia="Tahoma" w:hAnsi="Tahoma" w:cs="Tahoma"/>
          <w:sz w:val="24"/>
          <w:szCs w:val="24"/>
          <w:lang w:val="es"/>
        </w:rPr>
      </w:pPr>
    </w:p>
    <w:p w14:paraId="2CEC0698" w14:textId="3FFE6CBB" w:rsidR="1B4704F1" w:rsidRPr="001A3CA7" w:rsidRDefault="1B4704F1" w:rsidP="001A3CA7">
      <w:pPr>
        <w:spacing w:after="0" w:line="276" w:lineRule="auto"/>
        <w:ind w:firstLine="708"/>
        <w:jc w:val="both"/>
        <w:rPr>
          <w:rFonts w:ascii="Tahoma" w:hAnsi="Tahoma" w:cs="Tahoma"/>
          <w:sz w:val="24"/>
          <w:szCs w:val="24"/>
        </w:rPr>
      </w:pPr>
      <w:r w:rsidRPr="001A3CA7">
        <w:rPr>
          <w:rFonts w:ascii="Tahoma" w:eastAsia="Tahoma" w:hAnsi="Tahoma" w:cs="Tahoma"/>
          <w:sz w:val="24"/>
          <w:szCs w:val="24"/>
          <w:lang w:val="es"/>
        </w:rPr>
        <w:t>Por medio de esta providencia, procede la Sala a resolver los recursos de apelación interpuestos por l</w:t>
      </w:r>
      <w:r w:rsidR="00440957" w:rsidRPr="001A3CA7">
        <w:rPr>
          <w:rFonts w:ascii="Tahoma" w:eastAsia="Tahoma" w:hAnsi="Tahoma" w:cs="Tahoma"/>
          <w:sz w:val="24"/>
          <w:szCs w:val="24"/>
          <w:lang w:val="es"/>
        </w:rPr>
        <w:t>a</w:t>
      </w:r>
      <w:r w:rsidRPr="001A3CA7">
        <w:rPr>
          <w:rFonts w:ascii="Tahoma" w:eastAsia="Tahoma" w:hAnsi="Tahoma" w:cs="Tahoma"/>
          <w:sz w:val="24"/>
          <w:szCs w:val="24"/>
          <w:lang w:val="es"/>
        </w:rPr>
        <w:t>s apoderad</w:t>
      </w:r>
      <w:r w:rsidR="00440957" w:rsidRPr="001A3CA7">
        <w:rPr>
          <w:rFonts w:ascii="Tahoma" w:eastAsia="Tahoma" w:hAnsi="Tahoma" w:cs="Tahoma"/>
          <w:sz w:val="24"/>
          <w:szCs w:val="24"/>
          <w:lang w:val="es"/>
        </w:rPr>
        <w:t>a</w:t>
      </w:r>
      <w:r w:rsidRPr="001A3CA7">
        <w:rPr>
          <w:rFonts w:ascii="Tahoma" w:eastAsia="Tahoma" w:hAnsi="Tahoma" w:cs="Tahoma"/>
          <w:sz w:val="24"/>
          <w:szCs w:val="24"/>
          <w:lang w:val="es"/>
        </w:rPr>
        <w:t xml:space="preserve">s de las demandadas en contra de la sentencia proferida el </w:t>
      </w:r>
      <w:r w:rsidR="00440957" w:rsidRPr="001A3CA7">
        <w:rPr>
          <w:rFonts w:ascii="Tahoma" w:eastAsia="Tahoma" w:hAnsi="Tahoma" w:cs="Tahoma"/>
          <w:sz w:val="24"/>
          <w:szCs w:val="24"/>
          <w:lang w:val="es"/>
        </w:rPr>
        <w:t>12</w:t>
      </w:r>
      <w:r w:rsidR="007B2DFB" w:rsidRPr="001A3CA7">
        <w:rPr>
          <w:rFonts w:ascii="Tahoma" w:eastAsia="Tahoma" w:hAnsi="Tahoma" w:cs="Tahoma"/>
          <w:bCs/>
          <w:sz w:val="24"/>
          <w:szCs w:val="24"/>
          <w:lang w:val="es"/>
        </w:rPr>
        <w:t xml:space="preserve"> de </w:t>
      </w:r>
      <w:r w:rsidR="00440957" w:rsidRPr="001A3CA7">
        <w:rPr>
          <w:rFonts w:ascii="Tahoma" w:eastAsia="Tahoma" w:hAnsi="Tahoma" w:cs="Tahoma"/>
          <w:bCs/>
          <w:sz w:val="24"/>
          <w:szCs w:val="24"/>
          <w:lang w:val="es"/>
        </w:rPr>
        <w:t>agosto</w:t>
      </w:r>
      <w:r w:rsidR="007B2DFB" w:rsidRPr="001A3CA7">
        <w:rPr>
          <w:rFonts w:ascii="Tahoma" w:eastAsia="Tahoma" w:hAnsi="Tahoma" w:cs="Tahoma"/>
          <w:bCs/>
          <w:sz w:val="24"/>
          <w:szCs w:val="24"/>
          <w:lang w:val="es"/>
        </w:rPr>
        <w:t xml:space="preserve"> de 2021</w:t>
      </w:r>
      <w:r w:rsidR="007B2DFB" w:rsidRPr="001A3CA7">
        <w:rPr>
          <w:rFonts w:ascii="Tahoma" w:eastAsia="Tahoma" w:hAnsi="Tahoma" w:cs="Tahoma"/>
          <w:b/>
          <w:bCs/>
          <w:sz w:val="24"/>
          <w:szCs w:val="24"/>
          <w:lang w:val="es"/>
        </w:rPr>
        <w:t xml:space="preserve"> </w:t>
      </w:r>
      <w:r w:rsidRPr="001A3CA7">
        <w:rPr>
          <w:rFonts w:ascii="Tahoma" w:eastAsia="Tahoma" w:hAnsi="Tahoma" w:cs="Tahoma"/>
          <w:sz w:val="24"/>
          <w:szCs w:val="24"/>
          <w:lang w:val="es"/>
        </w:rPr>
        <w:t xml:space="preserve">por el Juzgado </w:t>
      </w:r>
      <w:r w:rsidR="007A081E" w:rsidRPr="001A3CA7">
        <w:rPr>
          <w:rFonts w:ascii="Tahoma" w:eastAsia="Tahoma" w:hAnsi="Tahoma" w:cs="Tahoma"/>
          <w:sz w:val="24"/>
          <w:szCs w:val="24"/>
          <w:lang w:val="es"/>
        </w:rPr>
        <w:t xml:space="preserve">Primero </w:t>
      </w:r>
      <w:r w:rsidRPr="001A3CA7">
        <w:rPr>
          <w:rFonts w:ascii="Tahoma" w:eastAsia="Tahoma" w:hAnsi="Tahoma" w:cs="Tahoma"/>
          <w:sz w:val="24"/>
          <w:szCs w:val="24"/>
          <w:lang w:val="es"/>
        </w:rPr>
        <w:t xml:space="preserve">Laboral del Circuito de Pereira. Asimismo, se revisará </w:t>
      </w:r>
      <w:r w:rsidR="00DD5B87" w:rsidRPr="001A3CA7">
        <w:rPr>
          <w:rFonts w:ascii="Tahoma" w:eastAsia="Tahoma" w:hAnsi="Tahoma" w:cs="Tahoma"/>
          <w:sz w:val="24"/>
          <w:szCs w:val="24"/>
          <w:lang w:val="es"/>
        </w:rPr>
        <w:t xml:space="preserve">el fallo </w:t>
      </w:r>
      <w:r w:rsidRPr="001A3CA7">
        <w:rPr>
          <w:rFonts w:ascii="Tahoma" w:eastAsia="Tahoma" w:hAnsi="Tahoma" w:cs="Tahoma"/>
          <w:sz w:val="24"/>
          <w:szCs w:val="24"/>
          <w:lang w:val="es"/>
        </w:rPr>
        <w:t>de manera íntegra</w:t>
      </w:r>
      <w:r w:rsidR="002C7460" w:rsidRPr="001A3CA7">
        <w:rPr>
          <w:rFonts w:ascii="Tahoma" w:eastAsia="Tahoma" w:hAnsi="Tahoma" w:cs="Tahoma"/>
          <w:sz w:val="24"/>
          <w:szCs w:val="24"/>
          <w:lang w:val="es"/>
        </w:rPr>
        <w:t xml:space="preserve"> </w:t>
      </w:r>
      <w:r w:rsidRPr="001A3CA7">
        <w:rPr>
          <w:rFonts w:ascii="Tahoma" w:eastAsia="Tahoma" w:hAnsi="Tahoma" w:cs="Tahoma"/>
          <w:sz w:val="24"/>
          <w:szCs w:val="24"/>
          <w:lang w:val="es"/>
        </w:rPr>
        <w:t>en virtud del grado jurisdiccional de consulta, al haber sido advers</w:t>
      </w:r>
      <w:r w:rsidR="00DD5B87" w:rsidRPr="001A3CA7">
        <w:rPr>
          <w:rFonts w:ascii="Tahoma" w:eastAsia="Tahoma" w:hAnsi="Tahoma" w:cs="Tahoma"/>
          <w:sz w:val="24"/>
          <w:szCs w:val="24"/>
          <w:lang w:val="es"/>
        </w:rPr>
        <w:t>o</w:t>
      </w:r>
      <w:r w:rsidRPr="001A3CA7">
        <w:rPr>
          <w:rFonts w:ascii="Tahoma" w:eastAsia="Tahoma" w:hAnsi="Tahoma" w:cs="Tahoma"/>
          <w:sz w:val="24"/>
          <w:szCs w:val="24"/>
          <w:lang w:val="es"/>
        </w:rPr>
        <w:t xml:space="preserve"> a los intereses de Colpensiones. Para ello se tiene en cuenta lo siguiente:</w:t>
      </w:r>
    </w:p>
    <w:p w14:paraId="18E33547" w14:textId="77777777" w:rsidR="000078B1" w:rsidRDefault="000078B1" w:rsidP="001A3CA7">
      <w:pPr>
        <w:spacing w:after="0" w:line="276" w:lineRule="auto"/>
        <w:jc w:val="both"/>
        <w:rPr>
          <w:rFonts w:ascii="Tahoma" w:eastAsia="Tahoma" w:hAnsi="Tahoma" w:cs="Tahoma"/>
          <w:sz w:val="24"/>
          <w:szCs w:val="24"/>
          <w:lang w:val="es"/>
        </w:rPr>
      </w:pPr>
    </w:p>
    <w:p w14:paraId="700B1036" w14:textId="6544BBBD" w:rsidR="1B4704F1" w:rsidRPr="001A3CA7" w:rsidRDefault="1B4704F1" w:rsidP="001A3CA7">
      <w:pPr>
        <w:spacing w:after="0" w:line="276" w:lineRule="auto"/>
        <w:jc w:val="both"/>
        <w:rPr>
          <w:rFonts w:ascii="Tahoma" w:hAnsi="Tahoma" w:cs="Tahoma"/>
          <w:sz w:val="24"/>
          <w:szCs w:val="24"/>
        </w:rPr>
      </w:pPr>
      <w:r w:rsidRPr="001A3CA7">
        <w:rPr>
          <w:rFonts w:ascii="Tahoma" w:eastAsia="Tahoma" w:hAnsi="Tahoma" w:cs="Tahoma"/>
          <w:sz w:val="24"/>
          <w:szCs w:val="24"/>
          <w:lang w:val="es"/>
        </w:rPr>
        <w:t xml:space="preserve"> </w:t>
      </w:r>
    </w:p>
    <w:p w14:paraId="34D1BCA3" w14:textId="0CBF050E" w:rsidR="1B4704F1" w:rsidRPr="001A3CA7" w:rsidRDefault="00846DE2" w:rsidP="001A3CA7">
      <w:pPr>
        <w:pStyle w:val="Prrafodelista"/>
        <w:numPr>
          <w:ilvl w:val="0"/>
          <w:numId w:val="3"/>
        </w:numPr>
        <w:spacing w:line="276" w:lineRule="auto"/>
        <w:jc w:val="center"/>
        <w:rPr>
          <w:rFonts w:eastAsiaTheme="minorEastAsia"/>
          <w:b/>
          <w:bCs/>
          <w:sz w:val="24"/>
          <w:szCs w:val="24"/>
        </w:rPr>
      </w:pPr>
      <w:r w:rsidRPr="001A3CA7">
        <w:rPr>
          <w:b/>
          <w:bCs/>
          <w:sz w:val="24"/>
          <w:szCs w:val="24"/>
          <w:lang w:val="es"/>
        </w:rPr>
        <w:t xml:space="preserve">La </w:t>
      </w:r>
      <w:r w:rsidR="1B4704F1" w:rsidRPr="001A3CA7">
        <w:rPr>
          <w:b/>
          <w:bCs/>
          <w:sz w:val="24"/>
          <w:szCs w:val="24"/>
          <w:lang w:val="es"/>
        </w:rPr>
        <w:t>Demanda y contestación</w:t>
      </w:r>
    </w:p>
    <w:p w14:paraId="29E270E4" w14:textId="35603C86" w:rsidR="1B4704F1" w:rsidRPr="001A3CA7" w:rsidRDefault="1B4704F1" w:rsidP="001A3CA7">
      <w:pPr>
        <w:spacing w:after="0" w:line="276" w:lineRule="auto"/>
        <w:jc w:val="both"/>
        <w:rPr>
          <w:rFonts w:ascii="Tahoma" w:hAnsi="Tahoma" w:cs="Tahoma"/>
          <w:sz w:val="24"/>
          <w:szCs w:val="24"/>
        </w:rPr>
      </w:pPr>
      <w:r w:rsidRPr="001A3CA7">
        <w:rPr>
          <w:rFonts w:ascii="Tahoma" w:eastAsia="Tahoma" w:hAnsi="Tahoma" w:cs="Tahoma"/>
          <w:sz w:val="24"/>
          <w:szCs w:val="24"/>
          <w:lang w:val="es"/>
        </w:rPr>
        <w:t xml:space="preserve"> </w:t>
      </w:r>
    </w:p>
    <w:p w14:paraId="13CBBCF5" w14:textId="66DF8D1D" w:rsidR="00DD5B87" w:rsidRPr="001A3CA7" w:rsidRDefault="003A150B" w:rsidP="001A3CA7">
      <w:pPr>
        <w:spacing w:after="0" w:line="276" w:lineRule="auto"/>
        <w:ind w:firstLine="708"/>
        <w:jc w:val="both"/>
        <w:rPr>
          <w:rFonts w:ascii="Tahoma" w:eastAsia="Tahoma" w:hAnsi="Tahoma" w:cs="Tahoma"/>
          <w:sz w:val="24"/>
          <w:szCs w:val="24"/>
          <w:lang w:val="es"/>
        </w:rPr>
      </w:pPr>
      <w:r w:rsidRPr="001A3CA7">
        <w:rPr>
          <w:rFonts w:ascii="Tahoma" w:eastAsia="Tahoma" w:hAnsi="Tahoma" w:cs="Tahoma"/>
          <w:sz w:val="24"/>
          <w:szCs w:val="24"/>
        </w:rPr>
        <w:t>L</w:t>
      </w:r>
      <w:r w:rsidR="00A02AB9" w:rsidRPr="001A3CA7">
        <w:rPr>
          <w:rFonts w:ascii="Tahoma" w:eastAsia="Tahoma" w:hAnsi="Tahoma" w:cs="Tahoma"/>
          <w:sz w:val="24"/>
          <w:szCs w:val="24"/>
          <w:lang w:val="es"/>
        </w:rPr>
        <w:t xml:space="preserve">a </w:t>
      </w:r>
      <w:r w:rsidR="00E95277" w:rsidRPr="001A3CA7">
        <w:rPr>
          <w:rFonts w:ascii="Tahoma" w:eastAsia="Tahoma" w:hAnsi="Tahoma" w:cs="Tahoma"/>
          <w:sz w:val="24"/>
          <w:szCs w:val="24"/>
          <w:lang w:val="es"/>
        </w:rPr>
        <w:t xml:space="preserve">citada </w:t>
      </w:r>
      <w:r w:rsidR="00A02AB9" w:rsidRPr="001A3CA7">
        <w:rPr>
          <w:rFonts w:ascii="Tahoma" w:eastAsia="Tahoma" w:hAnsi="Tahoma" w:cs="Tahoma"/>
          <w:sz w:val="24"/>
          <w:szCs w:val="24"/>
          <w:lang w:val="es"/>
        </w:rPr>
        <w:t xml:space="preserve">demandante </w:t>
      </w:r>
      <w:r w:rsidRPr="001A3CA7">
        <w:rPr>
          <w:rFonts w:ascii="Tahoma" w:eastAsia="Tahoma" w:hAnsi="Tahoma" w:cs="Tahoma"/>
          <w:sz w:val="24"/>
          <w:szCs w:val="24"/>
          <w:lang w:val="es"/>
        </w:rPr>
        <w:t xml:space="preserve">busca </w:t>
      </w:r>
      <w:r w:rsidR="00A02AB9" w:rsidRPr="001A3CA7">
        <w:rPr>
          <w:rFonts w:ascii="Tahoma" w:eastAsia="Tahoma" w:hAnsi="Tahoma" w:cs="Tahoma"/>
          <w:sz w:val="24"/>
          <w:szCs w:val="24"/>
          <w:lang w:val="es"/>
        </w:rPr>
        <w:t>que se declare la nulidad de la afiliaci</w:t>
      </w:r>
      <w:r w:rsidR="00E95277" w:rsidRPr="001A3CA7">
        <w:rPr>
          <w:rFonts w:ascii="Tahoma" w:eastAsia="Tahoma" w:hAnsi="Tahoma" w:cs="Tahoma"/>
          <w:sz w:val="24"/>
          <w:szCs w:val="24"/>
          <w:lang w:val="es"/>
        </w:rPr>
        <w:t>ón</w:t>
      </w:r>
      <w:r w:rsidR="00A02AB9" w:rsidRPr="001A3CA7">
        <w:rPr>
          <w:rFonts w:ascii="Tahoma" w:eastAsia="Tahoma" w:hAnsi="Tahoma" w:cs="Tahoma"/>
          <w:sz w:val="24"/>
          <w:szCs w:val="24"/>
          <w:lang w:val="es"/>
        </w:rPr>
        <w:t xml:space="preserve"> que realizó</w:t>
      </w:r>
      <w:r w:rsidR="0025037F" w:rsidRPr="001A3CA7">
        <w:rPr>
          <w:rFonts w:ascii="Tahoma" w:eastAsia="Tahoma" w:hAnsi="Tahoma" w:cs="Tahoma"/>
          <w:sz w:val="24"/>
          <w:szCs w:val="24"/>
          <w:lang w:val="es"/>
        </w:rPr>
        <w:t xml:space="preserve"> a Protección S.A., a través de la cual se trasladó del régimen de prima media con prestación definida (en adelante RPM) al régimen de ahorro individual con solidaridad (en adelante RAIS).</w:t>
      </w:r>
    </w:p>
    <w:p w14:paraId="0EB60EA3" w14:textId="3B97CD2B" w:rsidR="00DD5B87" w:rsidRPr="001A3CA7" w:rsidRDefault="00DD5B87" w:rsidP="001A3CA7">
      <w:pPr>
        <w:spacing w:after="0" w:line="276" w:lineRule="auto"/>
        <w:ind w:firstLine="708"/>
        <w:jc w:val="both"/>
        <w:rPr>
          <w:rFonts w:ascii="Tahoma" w:eastAsia="Tahoma" w:hAnsi="Tahoma" w:cs="Tahoma"/>
          <w:sz w:val="24"/>
          <w:szCs w:val="24"/>
          <w:lang w:val="es"/>
        </w:rPr>
      </w:pPr>
    </w:p>
    <w:p w14:paraId="589D7EA1" w14:textId="0EE17836" w:rsidR="00DD5B87" w:rsidRPr="001A3CA7" w:rsidRDefault="00DD5B87" w:rsidP="001A3CA7">
      <w:pPr>
        <w:spacing w:after="0" w:line="276" w:lineRule="auto"/>
        <w:ind w:firstLine="708"/>
        <w:jc w:val="both"/>
        <w:rPr>
          <w:rFonts w:ascii="Tahoma" w:eastAsia="Tahoma" w:hAnsi="Tahoma" w:cs="Tahoma"/>
          <w:sz w:val="24"/>
          <w:szCs w:val="24"/>
        </w:rPr>
      </w:pPr>
      <w:r w:rsidRPr="001A3CA7">
        <w:rPr>
          <w:rFonts w:ascii="Tahoma" w:eastAsia="Tahoma" w:hAnsi="Tahoma" w:cs="Tahoma"/>
          <w:sz w:val="24"/>
          <w:szCs w:val="24"/>
        </w:rPr>
        <w:t>En consecuencia, procura que se condene a P</w:t>
      </w:r>
      <w:r w:rsidR="00E95277" w:rsidRPr="001A3CA7">
        <w:rPr>
          <w:rFonts w:ascii="Tahoma" w:eastAsia="Tahoma" w:hAnsi="Tahoma" w:cs="Tahoma"/>
          <w:sz w:val="24"/>
          <w:szCs w:val="24"/>
        </w:rPr>
        <w:t xml:space="preserve">rotección </w:t>
      </w:r>
      <w:r w:rsidRPr="001A3CA7">
        <w:rPr>
          <w:rFonts w:ascii="Tahoma" w:eastAsia="Tahoma" w:hAnsi="Tahoma" w:cs="Tahoma"/>
          <w:sz w:val="24"/>
          <w:szCs w:val="24"/>
        </w:rPr>
        <w:t xml:space="preserve">S.A. a liberarla de su base de datos y a trasladar </w:t>
      </w:r>
      <w:r w:rsidR="00E95277" w:rsidRPr="001A3CA7">
        <w:rPr>
          <w:rFonts w:ascii="Tahoma" w:eastAsia="Tahoma" w:hAnsi="Tahoma" w:cs="Tahoma"/>
          <w:sz w:val="24"/>
          <w:szCs w:val="24"/>
        </w:rPr>
        <w:t xml:space="preserve">a Colpensiones todos los valores que hubiera recibido con ocasión de </w:t>
      </w:r>
      <w:r w:rsidRPr="001A3CA7">
        <w:rPr>
          <w:rFonts w:ascii="Tahoma" w:eastAsia="Tahoma" w:hAnsi="Tahoma" w:cs="Tahoma"/>
          <w:sz w:val="24"/>
          <w:szCs w:val="24"/>
        </w:rPr>
        <w:t>su</w:t>
      </w:r>
      <w:r w:rsidR="00E95277" w:rsidRPr="001A3CA7">
        <w:rPr>
          <w:rFonts w:ascii="Tahoma" w:eastAsia="Tahoma" w:hAnsi="Tahoma" w:cs="Tahoma"/>
          <w:sz w:val="24"/>
          <w:szCs w:val="24"/>
        </w:rPr>
        <w:t xml:space="preserve"> afiliación</w:t>
      </w:r>
      <w:r w:rsidRPr="001A3CA7">
        <w:rPr>
          <w:rFonts w:ascii="Tahoma" w:eastAsia="Tahoma" w:hAnsi="Tahoma" w:cs="Tahoma"/>
          <w:sz w:val="24"/>
          <w:szCs w:val="24"/>
        </w:rPr>
        <w:t>. Adicionalmente, solicita que se condene a esta última a recibirla nuevamente como afiliada cotizante</w:t>
      </w:r>
      <w:r w:rsidR="00F37718" w:rsidRPr="001A3CA7">
        <w:rPr>
          <w:rFonts w:ascii="Tahoma" w:eastAsia="Tahoma" w:hAnsi="Tahoma" w:cs="Tahoma"/>
          <w:sz w:val="24"/>
          <w:szCs w:val="24"/>
        </w:rPr>
        <w:t>.</w:t>
      </w:r>
    </w:p>
    <w:p w14:paraId="2D0FCEDD" w14:textId="77777777" w:rsidR="00DD5B87" w:rsidRPr="001A3CA7" w:rsidRDefault="00DD5B87" w:rsidP="001A3CA7">
      <w:pPr>
        <w:spacing w:after="0" w:line="276" w:lineRule="auto"/>
        <w:jc w:val="both"/>
        <w:rPr>
          <w:rFonts w:ascii="Tahoma" w:eastAsia="Tahoma" w:hAnsi="Tahoma" w:cs="Tahoma"/>
          <w:sz w:val="24"/>
          <w:szCs w:val="24"/>
        </w:rPr>
      </w:pPr>
    </w:p>
    <w:p w14:paraId="527FCF19" w14:textId="48A15ADC" w:rsidR="00DD5B87" w:rsidRPr="001A3CA7" w:rsidRDefault="00DD5B87" w:rsidP="001A3CA7">
      <w:pPr>
        <w:spacing w:after="0" w:line="276" w:lineRule="auto"/>
        <w:ind w:firstLine="708"/>
        <w:jc w:val="both"/>
        <w:rPr>
          <w:rFonts w:ascii="Tahoma" w:eastAsia="Tahoma" w:hAnsi="Tahoma" w:cs="Tahoma"/>
          <w:sz w:val="24"/>
          <w:szCs w:val="24"/>
          <w:lang w:val="es-ES"/>
        </w:rPr>
      </w:pPr>
      <w:r w:rsidRPr="001A3CA7">
        <w:rPr>
          <w:rFonts w:ascii="Tahoma" w:eastAsia="Tahoma" w:hAnsi="Tahoma" w:cs="Tahoma"/>
          <w:sz w:val="24"/>
          <w:szCs w:val="24"/>
        </w:rPr>
        <w:t xml:space="preserve">Por último, pide que se </w:t>
      </w:r>
      <w:r w:rsidRPr="001A3CA7">
        <w:rPr>
          <w:rFonts w:ascii="Tahoma" w:eastAsia="Tahoma" w:hAnsi="Tahoma" w:cs="Tahoma"/>
          <w:sz w:val="24"/>
          <w:szCs w:val="24"/>
          <w:lang w:val="es-ES"/>
        </w:rPr>
        <w:t xml:space="preserve">condene a </w:t>
      </w:r>
      <w:r w:rsidR="009272A7" w:rsidRPr="001A3CA7">
        <w:rPr>
          <w:rFonts w:ascii="Tahoma" w:eastAsia="Tahoma" w:hAnsi="Tahoma" w:cs="Tahoma"/>
          <w:sz w:val="24"/>
          <w:szCs w:val="24"/>
          <w:lang w:val="es-ES"/>
        </w:rPr>
        <w:t xml:space="preserve">las demandadas </w:t>
      </w:r>
      <w:r w:rsidRPr="001A3CA7">
        <w:rPr>
          <w:rFonts w:ascii="Tahoma" w:eastAsia="Tahoma" w:hAnsi="Tahoma" w:cs="Tahoma"/>
          <w:sz w:val="24"/>
          <w:szCs w:val="24"/>
          <w:lang w:val="es-ES"/>
        </w:rPr>
        <w:t xml:space="preserve">a cancelar las costas procesales </w:t>
      </w:r>
      <w:r w:rsidR="009272A7" w:rsidRPr="001A3CA7">
        <w:rPr>
          <w:rFonts w:ascii="Tahoma" w:eastAsia="Tahoma" w:hAnsi="Tahoma" w:cs="Tahoma"/>
          <w:sz w:val="24"/>
          <w:szCs w:val="24"/>
          <w:lang w:val="es-ES"/>
        </w:rPr>
        <w:t>y a lo extra y ultra petita debatido y probado en el proceso.</w:t>
      </w:r>
    </w:p>
    <w:p w14:paraId="7D310027" w14:textId="77777777" w:rsidR="0025037F" w:rsidRPr="001A3CA7" w:rsidRDefault="0025037F" w:rsidP="001A3CA7">
      <w:pPr>
        <w:spacing w:after="0" w:line="276" w:lineRule="auto"/>
        <w:jc w:val="both"/>
        <w:rPr>
          <w:rFonts w:ascii="Tahoma" w:eastAsia="Tahoma" w:hAnsi="Tahoma" w:cs="Tahoma"/>
          <w:sz w:val="24"/>
          <w:szCs w:val="24"/>
          <w:lang w:val="es"/>
        </w:rPr>
      </w:pPr>
    </w:p>
    <w:p w14:paraId="5005F955" w14:textId="7A4E0E5D" w:rsidR="00447135" w:rsidRPr="001A3CA7" w:rsidRDefault="00E95277" w:rsidP="001A3CA7">
      <w:pPr>
        <w:spacing w:after="0" w:line="276" w:lineRule="auto"/>
        <w:ind w:firstLine="708"/>
        <w:jc w:val="both"/>
        <w:rPr>
          <w:rFonts w:ascii="Tahoma" w:eastAsia="Tahoma" w:hAnsi="Tahoma" w:cs="Tahoma"/>
          <w:sz w:val="24"/>
          <w:szCs w:val="24"/>
          <w:lang w:val="es"/>
        </w:rPr>
      </w:pPr>
      <w:r w:rsidRPr="001A3CA7">
        <w:rPr>
          <w:rFonts w:ascii="Tahoma" w:eastAsia="Tahoma" w:hAnsi="Tahoma" w:cs="Tahoma"/>
          <w:sz w:val="24"/>
          <w:szCs w:val="24"/>
          <w:lang w:val="es"/>
        </w:rPr>
        <w:t>Para así pedir</w:t>
      </w:r>
      <w:r w:rsidR="00701073" w:rsidRPr="001A3CA7">
        <w:rPr>
          <w:rFonts w:ascii="Tahoma" w:eastAsia="Tahoma" w:hAnsi="Tahoma" w:cs="Tahoma"/>
          <w:sz w:val="24"/>
          <w:szCs w:val="24"/>
          <w:lang w:val="es"/>
        </w:rPr>
        <w:t>,</w:t>
      </w:r>
      <w:r w:rsidRPr="001A3CA7">
        <w:rPr>
          <w:rFonts w:ascii="Tahoma" w:eastAsia="Tahoma" w:hAnsi="Tahoma" w:cs="Tahoma"/>
          <w:sz w:val="24"/>
          <w:szCs w:val="24"/>
          <w:lang w:val="es"/>
        </w:rPr>
        <w:t xml:space="preserve"> manifiesta que </w:t>
      </w:r>
      <w:r w:rsidR="00701073" w:rsidRPr="001A3CA7">
        <w:rPr>
          <w:rFonts w:ascii="Tahoma" w:eastAsia="Tahoma" w:hAnsi="Tahoma" w:cs="Tahoma"/>
          <w:sz w:val="24"/>
          <w:szCs w:val="24"/>
          <w:lang w:val="es"/>
        </w:rPr>
        <w:t>el 29 de agosto de 1985 se afilió al RPM administrado por el entonces Instituto de Seguros Sociales y que en enero de 1995</w:t>
      </w:r>
    </w:p>
    <w:p w14:paraId="47AA1C12" w14:textId="77777777" w:rsidR="00447135" w:rsidRPr="001A3CA7" w:rsidRDefault="00447135" w:rsidP="001A3CA7">
      <w:pPr>
        <w:spacing w:after="0" w:line="276" w:lineRule="auto"/>
        <w:ind w:firstLine="708"/>
        <w:jc w:val="both"/>
        <w:rPr>
          <w:rFonts w:ascii="Tahoma" w:eastAsia="Tahoma" w:hAnsi="Tahoma" w:cs="Tahoma"/>
          <w:sz w:val="24"/>
          <w:szCs w:val="24"/>
          <w:lang w:val="es"/>
        </w:rPr>
      </w:pPr>
    </w:p>
    <w:p w14:paraId="10875CFD" w14:textId="5DF90EA1" w:rsidR="00447135" w:rsidRPr="001A3CA7" w:rsidRDefault="00447135" w:rsidP="001A3CA7">
      <w:pPr>
        <w:spacing w:after="0" w:line="276" w:lineRule="auto"/>
        <w:ind w:firstLine="708"/>
        <w:jc w:val="both"/>
        <w:rPr>
          <w:rFonts w:ascii="Tahoma" w:eastAsia="Tahoma" w:hAnsi="Tahoma" w:cs="Tahoma"/>
          <w:sz w:val="24"/>
          <w:szCs w:val="24"/>
          <w:lang w:val="es"/>
        </w:rPr>
      </w:pPr>
      <w:r w:rsidRPr="001A3CA7">
        <w:rPr>
          <w:rFonts w:ascii="Tahoma" w:eastAsia="Tahoma" w:hAnsi="Tahoma" w:cs="Tahoma"/>
          <w:sz w:val="24"/>
          <w:szCs w:val="24"/>
          <w:lang w:val="es"/>
        </w:rPr>
        <w:t>Refiere que e</w:t>
      </w:r>
      <w:r w:rsidR="009272A7" w:rsidRPr="001A3CA7">
        <w:rPr>
          <w:rFonts w:ascii="Tahoma" w:eastAsia="Tahoma" w:hAnsi="Tahoma" w:cs="Tahoma"/>
          <w:sz w:val="24"/>
          <w:szCs w:val="24"/>
          <w:lang w:val="es"/>
        </w:rPr>
        <w:t xml:space="preserve">n </w:t>
      </w:r>
      <w:r w:rsidR="007C414E" w:rsidRPr="001A3CA7">
        <w:rPr>
          <w:rFonts w:ascii="Tahoma" w:eastAsia="Tahoma" w:hAnsi="Tahoma" w:cs="Tahoma"/>
          <w:sz w:val="24"/>
          <w:szCs w:val="24"/>
          <w:lang w:val="es"/>
        </w:rPr>
        <w:t xml:space="preserve">enero </w:t>
      </w:r>
      <w:r w:rsidR="009272A7" w:rsidRPr="001A3CA7">
        <w:rPr>
          <w:rFonts w:ascii="Tahoma" w:eastAsia="Tahoma" w:hAnsi="Tahoma" w:cs="Tahoma"/>
          <w:sz w:val="24"/>
          <w:szCs w:val="24"/>
          <w:lang w:val="es"/>
        </w:rPr>
        <w:t>de 1995</w:t>
      </w:r>
      <w:r w:rsidR="00B800B9" w:rsidRPr="001A3CA7">
        <w:rPr>
          <w:rFonts w:ascii="Tahoma" w:eastAsia="Tahoma" w:hAnsi="Tahoma" w:cs="Tahoma"/>
          <w:sz w:val="24"/>
          <w:szCs w:val="24"/>
          <w:lang w:val="es"/>
        </w:rPr>
        <w:t xml:space="preserve"> </w:t>
      </w:r>
      <w:r w:rsidR="00161370" w:rsidRPr="001A3CA7">
        <w:rPr>
          <w:rFonts w:ascii="Tahoma" w:eastAsia="Tahoma" w:hAnsi="Tahoma" w:cs="Tahoma"/>
          <w:sz w:val="24"/>
          <w:szCs w:val="24"/>
          <w:lang w:val="es"/>
        </w:rPr>
        <w:t xml:space="preserve">suscribió formulario de afiliación con la AFP Protección S.A., </w:t>
      </w:r>
      <w:r w:rsidRPr="001A3CA7">
        <w:rPr>
          <w:rFonts w:ascii="Tahoma" w:eastAsia="Tahoma" w:hAnsi="Tahoma" w:cs="Tahoma"/>
          <w:sz w:val="24"/>
          <w:szCs w:val="24"/>
          <w:lang w:val="es"/>
        </w:rPr>
        <w:t xml:space="preserve">cuyo </w:t>
      </w:r>
      <w:r w:rsidR="00161370" w:rsidRPr="001A3CA7">
        <w:rPr>
          <w:rFonts w:ascii="Tahoma" w:eastAsia="Tahoma" w:hAnsi="Tahoma" w:cs="Tahoma"/>
          <w:sz w:val="24"/>
          <w:szCs w:val="24"/>
          <w:lang w:val="es"/>
        </w:rPr>
        <w:t xml:space="preserve">asesor </w:t>
      </w:r>
      <w:r w:rsidRPr="001A3CA7">
        <w:rPr>
          <w:rFonts w:ascii="Tahoma" w:eastAsia="Tahoma" w:hAnsi="Tahoma" w:cs="Tahoma"/>
          <w:sz w:val="24"/>
          <w:szCs w:val="24"/>
          <w:lang w:val="es"/>
        </w:rPr>
        <w:t xml:space="preserve">le aseguró </w:t>
      </w:r>
      <w:bookmarkStart w:id="4" w:name="_Hlk88467411"/>
      <w:r w:rsidR="00161370" w:rsidRPr="001A3CA7">
        <w:rPr>
          <w:rFonts w:ascii="Tahoma" w:eastAsia="Tahoma" w:hAnsi="Tahoma" w:cs="Tahoma"/>
          <w:sz w:val="24"/>
          <w:szCs w:val="24"/>
          <w:lang w:val="es"/>
        </w:rPr>
        <w:t>que su mesada pensional sería mucho más alta</w:t>
      </w:r>
      <w:r w:rsidRPr="001A3CA7">
        <w:rPr>
          <w:rFonts w:ascii="Tahoma" w:eastAsia="Tahoma" w:hAnsi="Tahoma" w:cs="Tahoma"/>
          <w:sz w:val="24"/>
          <w:szCs w:val="24"/>
          <w:lang w:val="es"/>
        </w:rPr>
        <w:t xml:space="preserve"> que la que percibiría en el RPM</w:t>
      </w:r>
      <w:r w:rsidR="00161370" w:rsidRPr="001A3CA7">
        <w:rPr>
          <w:rFonts w:ascii="Tahoma" w:eastAsia="Tahoma" w:hAnsi="Tahoma" w:cs="Tahoma"/>
          <w:sz w:val="24"/>
          <w:szCs w:val="24"/>
          <w:lang w:val="es"/>
        </w:rPr>
        <w:t xml:space="preserve">, que se pensionaría </w:t>
      </w:r>
      <w:bookmarkEnd w:id="4"/>
      <w:r w:rsidR="00161370" w:rsidRPr="001A3CA7">
        <w:rPr>
          <w:rFonts w:ascii="Tahoma" w:eastAsia="Tahoma" w:hAnsi="Tahoma" w:cs="Tahoma"/>
          <w:sz w:val="24"/>
          <w:szCs w:val="24"/>
          <w:lang w:val="es"/>
        </w:rPr>
        <w:t>a edad más temprana y que</w:t>
      </w:r>
      <w:r w:rsidR="007158AB" w:rsidRPr="001A3CA7">
        <w:rPr>
          <w:rFonts w:ascii="Tahoma" w:eastAsia="Tahoma" w:hAnsi="Tahoma" w:cs="Tahoma"/>
          <w:sz w:val="24"/>
          <w:szCs w:val="24"/>
          <w:lang w:val="es"/>
        </w:rPr>
        <w:t xml:space="preserve">, si no quisiese pensionarse, podría reclamar la devolución de saldos. </w:t>
      </w:r>
      <w:r w:rsidR="007C414E" w:rsidRPr="001A3CA7">
        <w:rPr>
          <w:rFonts w:ascii="Tahoma" w:eastAsia="Tahoma" w:hAnsi="Tahoma" w:cs="Tahoma"/>
          <w:sz w:val="24"/>
          <w:szCs w:val="24"/>
          <w:lang w:val="es"/>
        </w:rPr>
        <w:t>Igualmente, le aseguró que el I.S.S. estaba próximo a desaparecer.</w:t>
      </w:r>
    </w:p>
    <w:p w14:paraId="2AF6E4C2" w14:textId="12602759" w:rsidR="00DC788B" w:rsidRPr="001A3CA7" w:rsidRDefault="00DC788B" w:rsidP="001A3CA7">
      <w:pPr>
        <w:spacing w:after="0" w:line="276" w:lineRule="auto"/>
        <w:ind w:firstLine="708"/>
        <w:jc w:val="both"/>
        <w:rPr>
          <w:rFonts w:ascii="Tahoma" w:eastAsia="Tahoma" w:hAnsi="Tahoma" w:cs="Tahoma"/>
          <w:sz w:val="24"/>
          <w:szCs w:val="24"/>
          <w:lang w:val="es"/>
        </w:rPr>
      </w:pPr>
    </w:p>
    <w:p w14:paraId="0DD244FF" w14:textId="37013504" w:rsidR="007C414E" w:rsidRPr="001A3CA7" w:rsidRDefault="007C414E" w:rsidP="001A3CA7">
      <w:pPr>
        <w:spacing w:after="0" w:line="276" w:lineRule="auto"/>
        <w:ind w:firstLine="708"/>
        <w:jc w:val="both"/>
        <w:rPr>
          <w:rFonts w:ascii="Tahoma" w:eastAsia="Tahoma" w:hAnsi="Tahoma" w:cs="Tahoma"/>
          <w:sz w:val="24"/>
          <w:szCs w:val="24"/>
          <w:lang w:val="es"/>
        </w:rPr>
      </w:pPr>
      <w:r w:rsidRPr="001A3CA7">
        <w:rPr>
          <w:rFonts w:ascii="Tahoma" w:eastAsia="Tahoma" w:hAnsi="Tahoma" w:cs="Tahoma"/>
          <w:sz w:val="24"/>
          <w:szCs w:val="24"/>
          <w:lang w:val="es"/>
        </w:rPr>
        <w:t xml:space="preserve">Asegura </w:t>
      </w:r>
      <w:r w:rsidR="0011249F" w:rsidRPr="001A3CA7">
        <w:rPr>
          <w:rFonts w:ascii="Tahoma" w:eastAsia="Tahoma" w:hAnsi="Tahoma" w:cs="Tahoma"/>
          <w:sz w:val="24"/>
          <w:szCs w:val="24"/>
          <w:lang w:val="es"/>
        </w:rPr>
        <w:t>que,</w:t>
      </w:r>
      <w:r w:rsidRPr="001A3CA7">
        <w:rPr>
          <w:rFonts w:ascii="Tahoma" w:eastAsia="Tahoma" w:hAnsi="Tahoma" w:cs="Tahoma"/>
          <w:sz w:val="24"/>
          <w:szCs w:val="24"/>
          <w:lang w:val="es"/>
        </w:rPr>
        <w:t xml:space="preserve"> ante la falta de información completa y veraz por parte de la Protección S.A., su traslado se dio sin el debido consentimiento informado.</w:t>
      </w:r>
    </w:p>
    <w:p w14:paraId="324168D9" w14:textId="77777777" w:rsidR="007C414E" w:rsidRPr="001A3CA7" w:rsidRDefault="007C414E" w:rsidP="001A3CA7">
      <w:pPr>
        <w:spacing w:after="0" w:line="276" w:lineRule="auto"/>
        <w:ind w:firstLine="708"/>
        <w:jc w:val="both"/>
        <w:rPr>
          <w:rFonts w:ascii="Tahoma" w:eastAsia="Tahoma" w:hAnsi="Tahoma" w:cs="Tahoma"/>
          <w:sz w:val="24"/>
          <w:szCs w:val="24"/>
          <w:lang w:val="es"/>
        </w:rPr>
      </w:pPr>
    </w:p>
    <w:p w14:paraId="37D4975A" w14:textId="458BA767" w:rsidR="00D3062B" w:rsidRPr="001A3CA7" w:rsidRDefault="00D3062B" w:rsidP="001A3CA7">
      <w:pPr>
        <w:spacing w:after="0" w:line="276" w:lineRule="auto"/>
        <w:ind w:firstLine="708"/>
        <w:jc w:val="both"/>
        <w:rPr>
          <w:rFonts w:ascii="Tahoma" w:eastAsia="Tahoma" w:hAnsi="Tahoma" w:cs="Tahoma"/>
          <w:sz w:val="24"/>
          <w:szCs w:val="24"/>
          <w:lang w:val="es"/>
        </w:rPr>
      </w:pPr>
      <w:r w:rsidRPr="001A3CA7">
        <w:rPr>
          <w:rFonts w:ascii="Tahoma" w:eastAsia="Tahoma" w:hAnsi="Tahoma" w:cs="Tahoma"/>
          <w:sz w:val="24"/>
          <w:szCs w:val="24"/>
          <w:lang w:val="es"/>
        </w:rPr>
        <w:lastRenderedPageBreak/>
        <w:t xml:space="preserve">Por último, </w:t>
      </w:r>
      <w:r w:rsidR="00F758A6" w:rsidRPr="001A3CA7">
        <w:rPr>
          <w:rFonts w:ascii="Tahoma" w:eastAsia="Tahoma" w:hAnsi="Tahoma" w:cs="Tahoma"/>
          <w:sz w:val="24"/>
          <w:szCs w:val="24"/>
          <w:lang w:val="es"/>
        </w:rPr>
        <w:t xml:space="preserve">informa </w:t>
      </w:r>
      <w:r w:rsidRPr="001A3CA7">
        <w:rPr>
          <w:rFonts w:ascii="Tahoma" w:eastAsia="Tahoma" w:hAnsi="Tahoma" w:cs="Tahoma"/>
          <w:sz w:val="24"/>
          <w:szCs w:val="24"/>
          <w:lang w:val="es"/>
        </w:rPr>
        <w:t>que el</w:t>
      </w:r>
      <w:r w:rsidR="007158AB" w:rsidRPr="001A3CA7">
        <w:rPr>
          <w:rFonts w:ascii="Tahoma" w:eastAsia="Tahoma" w:hAnsi="Tahoma" w:cs="Tahoma"/>
          <w:sz w:val="24"/>
          <w:szCs w:val="24"/>
          <w:lang w:val="es"/>
        </w:rPr>
        <w:t xml:space="preserve"> 1</w:t>
      </w:r>
      <w:r w:rsidR="007C414E" w:rsidRPr="001A3CA7">
        <w:rPr>
          <w:rFonts w:ascii="Tahoma" w:eastAsia="Tahoma" w:hAnsi="Tahoma" w:cs="Tahoma"/>
          <w:sz w:val="24"/>
          <w:szCs w:val="24"/>
          <w:lang w:val="es"/>
        </w:rPr>
        <w:t>0</w:t>
      </w:r>
      <w:r w:rsidR="007158AB" w:rsidRPr="001A3CA7">
        <w:rPr>
          <w:rFonts w:ascii="Tahoma" w:eastAsia="Tahoma" w:hAnsi="Tahoma" w:cs="Tahoma"/>
          <w:sz w:val="24"/>
          <w:szCs w:val="24"/>
          <w:lang w:val="es"/>
        </w:rPr>
        <w:t xml:space="preserve"> de </w:t>
      </w:r>
      <w:r w:rsidR="007C414E" w:rsidRPr="001A3CA7">
        <w:rPr>
          <w:rFonts w:ascii="Tahoma" w:eastAsia="Tahoma" w:hAnsi="Tahoma" w:cs="Tahoma"/>
          <w:sz w:val="24"/>
          <w:szCs w:val="24"/>
          <w:lang w:val="es"/>
        </w:rPr>
        <w:t>enero de 2018</w:t>
      </w:r>
      <w:r w:rsidR="007158AB" w:rsidRPr="001A3CA7">
        <w:rPr>
          <w:rFonts w:ascii="Tahoma" w:eastAsia="Tahoma" w:hAnsi="Tahoma" w:cs="Tahoma"/>
          <w:sz w:val="24"/>
          <w:szCs w:val="24"/>
          <w:lang w:val="es"/>
        </w:rPr>
        <w:t xml:space="preserve"> </w:t>
      </w:r>
      <w:r w:rsidR="00B800B9" w:rsidRPr="001A3CA7">
        <w:rPr>
          <w:rFonts w:ascii="Tahoma" w:eastAsia="Tahoma" w:hAnsi="Tahoma" w:cs="Tahoma"/>
          <w:sz w:val="24"/>
          <w:szCs w:val="24"/>
          <w:lang w:val="es"/>
        </w:rPr>
        <w:t xml:space="preserve">Colpensiones negó </w:t>
      </w:r>
      <w:r w:rsidR="00F758A6" w:rsidRPr="001A3CA7">
        <w:rPr>
          <w:rFonts w:ascii="Tahoma" w:eastAsia="Tahoma" w:hAnsi="Tahoma" w:cs="Tahoma"/>
          <w:sz w:val="24"/>
          <w:szCs w:val="24"/>
          <w:lang w:val="es"/>
        </w:rPr>
        <w:t>su</w:t>
      </w:r>
      <w:r w:rsidR="00B800B9" w:rsidRPr="001A3CA7">
        <w:rPr>
          <w:rFonts w:ascii="Tahoma" w:eastAsia="Tahoma" w:hAnsi="Tahoma" w:cs="Tahoma"/>
          <w:sz w:val="24"/>
          <w:szCs w:val="24"/>
          <w:lang w:val="es"/>
        </w:rPr>
        <w:t xml:space="preserve"> solicitud </w:t>
      </w:r>
      <w:r w:rsidR="00F758A6" w:rsidRPr="001A3CA7">
        <w:rPr>
          <w:rFonts w:ascii="Tahoma" w:eastAsia="Tahoma" w:hAnsi="Tahoma" w:cs="Tahoma"/>
          <w:sz w:val="24"/>
          <w:szCs w:val="24"/>
          <w:lang w:val="es"/>
        </w:rPr>
        <w:t xml:space="preserve">de traslado bajo el argumento de que </w:t>
      </w:r>
      <w:r w:rsidR="00B800B9" w:rsidRPr="001A3CA7">
        <w:rPr>
          <w:rFonts w:ascii="Tahoma" w:eastAsia="Tahoma" w:hAnsi="Tahoma" w:cs="Tahoma"/>
          <w:sz w:val="24"/>
          <w:szCs w:val="24"/>
          <w:lang w:val="es"/>
        </w:rPr>
        <w:t>se encontraba a diez años o menos del requisito de tiempo para pensionarse.</w:t>
      </w:r>
    </w:p>
    <w:p w14:paraId="19A1F9A8" w14:textId="77777777" w:rsidR="003935EB" w:rsidRPr="001A3CA7" w:rsidRDefault="003935EB" w:rsidP="001A3CA7">
      <w:pPr>
        <w:spacing w:after="0" w:line="276" w:lineRule="auto"/>
        <w:ind w:firstLine="708"/>
        <w:jc w:val="both"/>
        <w:rPr>
          <w:rFonts w:ascii="Tahoma" w:eastAsia="Tahoma" w:hAnsi="Tahoma" w:cs="Tahoma"/>
          <w:sz w:val="24"/>
          <w:szCs w:val="24"/>
          <w:lang w:val="es"/>
        </w:rPr>
      </w:pPr>
    </w:p>
    <w:p w14:paraId="19EA358C" w14:textId="77777777" w:rsidR="00F21B7C" w:rsidRPr="001A3CA7" w:rsidRDefault="00F21B7C" w:rsidP="001A3CA7">
      <w:pPr>
        <w:spacing w:after="0" w:line="276" w:lineRule="auto"/>
        <w:ind w:firstLine="708"/>
        <w:jc w:val="both"/>
        <w:rPr>
          <w:rFonts w:ascii="Tahoma" w:hAnsi="Tahoma" w:cs="Tahoma"/>
          <w:bCs/>
          <w:sz w:val="24"/>
          <w:szCs w:val="24"/>
        </w:rPr>
      </w:pPr>
      <w:r w:rsidRPr="001A3CA7">
        <w:rPr>
          <w:rFonts w:ascii="Tahoma" w:eastAsia="Calibri" w:hAnsi="Tahoma" w:cs="Tahoma"/>
          <w:b/>
          <w:sz w:val="24"/>
          <w:szCs w:val="24"/>
        </w:rPr>
        <w:t>Colpensiones</w:t>
      </w:r>
      <w:r w:rsidRPr="001A3CA7">
        <w:rPr>
          <w:rFonts w:ascii="Tahoma" w:eastAsia="Calibri" w:hAnsi="Tahoma" w:cs="Tahoma"/>
          <w:sz w:val="24"/>
          <w:szCs w:val="24"/>
        </w:rPr>
        <w:t xml:space="preserve"> solicitó que se negaran los pedidos del actor aduciendo que él tomó la decisión de afiliarse al régimen de ahorro individual con solidaridad de manera libre y espontánea; aunado a que no hizo uso de la acción de nulidad dentro del término legal. En ese sentido, propuso como excepciones de mérito las que denominó </w:t>
      </w:r>
      <w:r w:rsidRPr="001A3CA7">
        <w:rPr>
          <w:rFonts w:ascii="Tahoma" w:hAnsi="Tahoma" w:cs="Tahoma"/>
          <w:bCs/>
          <w:i/>
          <w:sz w:val="24"/>
          <w:szCs w:val="24"/>
        </w:rPr>
        <w:t xml:space="preserve">“Inexistencia de la obligación demandada” y </w:t>
      </w:r>
      <w:r w:rsidRPr="001A3CA7">
        <w:rPr>
          <w:rFonts w:ascii="Tahoma" w:hAnsi="Tahoma" w:cs="Tahoma"/>
          <w:i/>
          <w:iCs/>
          <w:sz w:val="24"/>
          <w:szCs w:val="24"/>
        </w:rPr>
        <w:t>“Prescripción”.</w:t>
      </w:r>
    </w:p>
    <w:p w14:paraId="606989E1" w14:textId="77777777" w:rsidR="006A5BC1" w:rsidRPr="001A3CA7" w:rsidRDefault="006A5BC1" w:rsidP="001A3CA7">
      <w:pPr>
        <w:spacing w:after="0" w:line="276" w:lineRule="auto"/>
        <w:ind w:firstLine="360"/>
        <w:jc w:val="both"/>
        <w:rPr>
          <w:rFonts w:ascii="Tahoma" w:eastAsia="Tahoma" w:hAnsi="Tahoma" w:cs="Tahoma"/>
          <w:b/>
          <w:bCs/>
          <w:sz w:val="24"/>
          <w:szCs w:val="24"/>
          <w:lang w:val="es"/>
        </w:rPr>
      </w:pPr>
    </w:p>
    <w:p w14:paraId="5E27A32F" w14:textId="39636633" w:rsidR="005B0D87" w:rsidRPr="001A3CA7" w:rsidRDefault="005B0D87" w:rsidP="001A3CA7">
      <w:pPr>
        <w:spacing w:after="0" w:line="276" w:lineRule="auto"/>
        <w:ind w:firstLine="708"/>
        <w:jc w:val="both"/>
        <w:rPr>
          <w:rFonts w:ascii="Tahoma" w:eastAsia="Calibri" w:hAnsi="Tahoma" w:cs="Tahoma"/>
          <w:sz w:val="24"/>
          <w:szCs w:val="24"/>
        </w:rPr>
      </w:pPr>
      <w:r w:rsidRPr="001A3CA7">
        <w:rPr>
          <w:rFonts w:ascii="Tahoma" w:eastAsia="Calibri" w:hAnsi="Tahoma" w:cs="Tahoma"/>
          <w:b/>
          <w:sz w:val="24"/>
          <w:szCs w:val="24"/>
        </w:rPr>
        <w:t>Protección S.A.</w:t>
      </w:r>
      <w:r w:rsidRPr="001A3CA7">
        <w:rPr>
          <w:rFonts w:ascii="Tahoma" w:eastAsia="Calibri" w:hAnsi="Tahoma" w:cs="Tahoma"/>
          <w:sz w:val="24"/>
          <w:szCs w:val="24"/>
        </w:rPr>
        <w:t xml:space="preserve">  señaló que la señora Ocampo López no pudo ser víctima de la omisión en la información en el momento de su decisión de trasladarse de régimen, pues ésta se concretó en un acto de su propia voluntad, aunado a que no era beneficiaria del régimen de transición al no contar con 15 años de servicios a la entrada en vigencia de la Ley 100 de 1993, por lo que no pudo ser susceptible de engaño por no habérsele hecho incurrir en error al momento de su contratación, en lo relativo de sus derechos prestacionales y condiciones del régimen que lo acogía.</w:t>
      </w:r>
    </w:p>
    <w:p w14:paraId="7E7FA23A" w14:textId="77777777" w:rsidR="004770B9" w:rsidRPr="001A3CA7" w:rsidRDefault="004770B9" w:rsidP="001A3CA7">
      <w:pPr>
        <w:spacing w:after="0" w:line="276" w:lineRule="auto"/>
        <w:ind w:firstLine="708"/>
        <w:jc w:val="both"/>
        <w:rPr>
          <w:rFonts w:ascii="Tahoma" w:eastAsia="Tahoma" w:hAnsi="Tahoma" w:cs="Tahoma"/>
          <w:sz w:val="24"/>
          <w:szCs w:val="24"/>
          <w:lang w:val="es"/>
        </w:rPr>
      </w:pPr>
    </w:p>
    <w:p w14:paraId="0D197C5B" w14:textId="171B4957" w:rsidR="004770B9" w:rsidRPr="001A3CA7" w:rsidRDefault="004770B9" w:rsidP="001A3CA7">
      <w:pPr>
        <w:spacing w:after="0" w:line="276" w:lineRule="auto"/>
        <w:ind w:firstLine="708"/>
        <w:jc w:val="both"/>
        <w:rPr>
          <w:rFonts w:ascii="Tahoma" w:eastAsia="Tahoma" w:hAnsi="Tahoma" w:cs="Tahoma"/>
          <w:bCs/>
          <w:i/>
          <w:iCs/>
          <w:sz w:val="24"/>
          <w:szCs w:val="24"/>
          <w:lang w:val="es"/>
        </w:rPr>
      </w:pPr>
      <w:r w:rsidRPr="001A3CA7">
        <w:rPr>
          <w:rFonts w:ascii="Tahoma" w:eastAsia="Tahoma" w:hAnsi="Tahoma" w:cs="Tahoma"/>
          <w:sz w:val="24"/>
          <w:szCs w:val="24"/>
          <w:lang w:val="es"/>
        </w:rPr>
        <w:t xml:space="preserve">Como excepciones de mérito se formularon las de </w:t>
      </w:r>
      <w:r w:rsidRPr="001A3CA7">
        <w:rPr>
          <w:rFonts w:ascii="Tahoma" w:eastAsia="Tahoma" w:hAnsi="Tahoma" w:cs="Tahoma"/>
          <w:bCs/>
          <w:i/>
          <w:iCs/>
          <w:sz w:val="24"/>
          <w:szCs w:val="24"/>
          <w:lang w:val="es"/>
        </w:rPr>
        <w:t>“Prescripción”,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w:t>
      </w:r>
      <w:r w:rsidR="00C8226A" w:rsidRPr="001A3CA7">
        <w:rPr>
          <w:rFonts w:ascii="Tahoma" w:eastAsia="Tahoma" w:hAnsi="Tahoma" w:cs="Tahoma"/>
          <w:bCs/>
          <w:i/>
          <w:iCs/>
          <w:sz w:val="24"/>
          <w:szCs w:val="24"/>
          <w:lang w:val="es"/>
        </w:rPr>
        <w:t>;</w:t>
      </w:r>
      <w:r w:rsidRPr="001A3CA7">
        <w:rPr>
          <w:rFonts w:ascii="Tahoma" w:eastAsia="Tahoma" w:hAnsi="Tahoma" w:cs="Tahoma"/>
          <w:bCs/>
          <w:i/>
          <w:iCs/>
          <w:sz w:val="24"/>
          <w:szCs w:val="24"/>
          <w:lang w:val="es"/>
        </w:rPr>
        <w:t xml:space="preserve"> “afectación de la estabilidad financiera del sistema en caso de acceder al traslado”</w:t>
      </w:r>
      <w:r w:rsidR="00C8226A" w:rsidRPr="001A3CA7">
        <w:rPr>
          <w:rFonts w:ascii="Tahoma" w:eastAsia="Tahoma" w:hAnsi="Tahoma" w:cs="Tahoma"/>
          <w:bCs/>
          <w:i/>
          <w:iCs/>
          <w:sz w:val="24"/>
          <w:szCs w:val="24"/>
          <w:lang w:val="es"/>
        </w:rPr>
        <w:t xml:space="preserve">; “Seguro previsional”; “Cuotas de administración”; </w:t>
      </w:r>
      <w:r w:rsidRPr="001A3CA7">
        <w:rPr>
          <w:rFonts w:ascii="Tahoma" w:eastAsia="Tahoma" w:hAnsi="Tahoma" w:cs="Tahoma"/>
          <w:bCs/>
          <w:i/>
          <w:iCs/>
          <w:sz w:val="24"/>
          <w:szCs w:val="24"/>
          <w:lang w:val="es"/>
        </w:rPr>
        <w:t>.</w:t>
      </w:r>
    </w:p>
    <w:p w14:paraId="4CAE9D2A" w14:textId="5F7FA2AF" w:rsidR="00147406" w:rsidRDefault="00147406" w:rsidP="001A3CA7">
      <w:pPr>
        <w:spacing w:after="0" w:line="276" w:lineRule="auto"/>
        <w:jc w:val="both"/>
        <w:rPr>
          <w:rFonts w:ascii="Tahoma" w:hAnsi="Tahoma" w:cs="Tahoma"/>
          <w:sz w:val="24"/>
          <w:szCs w:val="24"/>
        </w:rPr>
      </w:pPr>
    </w:p>
    <w:p w14:paraId="3E90EEC3" w14:textId="77777777" w:rsidR="000078B1" w:rsidRPr="001A3CA7" w:rsidRDefault="000078B1" w:rsidP="001A3CA7">
      <w:pPr>
        <w:spacing w:after="0" w:line="276" w:lineRule="auto"/>
        <w:jc w:val="both"/>
        <w:rPr>
          <w:rFonts w:ascii="Tahoma" w:hAnsi="Tahoma" w:cs="Tahoma"/>
          <w:sz w:val="24"/>
          <w:szCs w:val="24"/>
        </w:rPr>
      </w:pPr>
    </w:p>
    <w:p w14:paraId="1A00B291" w14:textId="34A02F97" w:rsidR="1B4704F1" w:rsidRPr="001A3CA7" w:rsidRDefault="1B4704F1" w:rsidP="001A3CA7">
      <w:pPr>
        <w:pStyle w:val="Prrafodelista"/>
        <w:numPr>
          <w:ilvl w:val="0"/>
          <w:numId w:val="3"/>
        </w:numPr>
        <w:spacing w:line="276" w:lineRule="auto"/>
        <w:jc w:val="center"/>
        <w:rPr>
          <w:rFonts w:eastAsiaTheme="minorEastAsia"/>
          <w:b/>
          <w:bCs/>
          <w:sz w:val="24"/>
          <w:szCs w:val="24"/>
        </w:rPr>
      </w:pPr>
      <w:r w:rsidRPr="001A3CA7">
        <w:rPr>
          <w:b/>
          <w:bCs/>
          <w:sz w:val="24"/>
          <w:szCs w:val="24"/>
          <w:lang w:val="es"/>
        </w:rPr>
        <w:t>Sentencia de primera instancia</w:t>
      </w:r>
    </w:p>
    <w:p w14:paraId="48F14C20" w14:textId="66ABF0D7" w:rsidR="1B4704F1" w:rsidRPr="001A3CA7" w:rsidRDefault="1B4704F1" w:rsidP="001A3CA7">
      <w:pPr>
        <w:spacing w:after="0" w:line="276" w:lineRule="auto"/>
        <w:jc w:val="both"/>
        <w:rPr>
          <w:rFonts w:ascii="Tahoma" w:eastAsia="Times New Roman" w:hAnsi="Tahoma" w:cs="Tahoma"/>
          <w:sz w:val="24"/>
          <w:szCs w:val="24"/>
        </w:rPr>
      </w:pPr>
      <w:r w:rsidRPr="001A3CA7">
        <w:rPr>
          <w:rFonts w:ascii="Tahoma" w:eastAsia="Times New Roman" w:hAnsi="Tahoma" w:cs="Tahoma"/>
          <w:sz w:val="24"/>
          <w:szCs w:val="24"/>
        </w:rPr>
        <w:t xml:space="preserve"> </w:t>
      </w:r>
    </w:p>
    <w:p w14:paraId="1FAC3D85" w14:textId="3415F350" w:rsidR="003975E2" w:rsidRPr="001A3CA7" w:rsidRDefault="00377A79" w:rsidP="001A3CA7">
      <w:pPr>
        <w:spacing w:after="0" w:line="276" w:lineRule="auto"/>
        <w:ind w:firstLine="360"/>
        <w:jc w:val="both"/>
        <w:rPr>
          <w:rFonts w:ascii="Tahoma" w:eastAsia="Tahoma" w:hAnsi="Tahoma" w:cs="Tahoma"/>
          <w:sz w:val="24"/>
          <w:szCs w:val="24"/>
        </w:rPr>
      </w:pPr>
      <w:r w:rsidRPr="001A3CA7">
        <w:rPr>
          <w:rFonts w:ascii="Tahoma" w:eastAsia="Tahoma" w:hAnsi="Tahoma" w:cs="Tahoma"/>
          <w:sz w:val="24"/>
          <w:szCs w:val="24"/>
          <w:lang w:val="es"/>
        </w:rPr>
        <w:t xml:space="preserve">La </w:t>
      </w:r>
      <w:r w:rsidR="1B4704F1" w:rsidRPr="001A3CA7">
        <w:rPr>
          <w:rFonts w:ascii="Tahoma" w:eastAsia="Tahoma" w:hAnsi="Tahoma" w:cs="Tahoma"/>
          <w:sz w:val="24"/>
          <w:szCs w:val="24"/>
          <w:lang w:val="es"/>
        </w:rPr>
        <w:t xml:space="preserve">Jueza de instancia, al resolver la </w:t>
      </w:r>
      <w:r w:rsidR="1B4704F1" w:rsidRPr="001A3CA7">
        <w:rPr>
          <w:rFonts w:ascii="Tahoma" w:eastAsia="Tahoma" w:hAnsi="Tahoma" w:cs="Tahoma"/>
          <w:i/>
          <w:iCs/>
          <w:sz w:val="24"/>
          <w:szCs w:val="24"/>
          <w:lang w:val="es"/>
        </w:rPr>
        <w:t>litis:</w:t>
      </w:r>
      <w:r w:rsidR="1B4704F1" w:rsidRPr="001A3CA7">
        <w:rPr>
          <w:rFonts w:ascii="Tahoma" w:eastAsia="Tahoma" w:hAnsi="Tahoma" w:cs="Tahoma"/>
          <w:sz w:val="24"/>
          <w:szCs w:val="24"/>
          <w:lang w:val="es"/>
        </w:rPr>
        <w:t xml:space="preserve"> </w:t>
      </w:r>
      <w:r w:rsidRPr="001A3CA7">
        <w:rPr>
          <w:rFonts w:ascii="Tahoma" w:eastAsia="Tahoma" w:hAnsi="Tahoma" w:cs="Tahoma"/>
          <w:sz w:val="24"/>
          <w:szCs w:val="24"/>
          <w:lang w:val="es"/>
        </w:rPr>
        <w:t xml:space="preserve">(1) </w:t>
      </w:r>
      <w:r w:rsidR="003975E2" w:rsidRPr="001A3CA7">
        <w:rPr>
          <w:rFonts w:ascii="Tahoma" w:eastAsia="Tahoma" w:hAnsi="Tahoma" w:cs="Tahoma"/>
          <w:sz w:val="24"/>
          <w:szCs w:val="24"/>
          <w:lang w:val="es"/>
        </w:rPr>
        <w:t>D</w:t>
      </w:r>
      <w:r w:rsidR="004770B9" w:rsidRPr="001A3CA7">
        <w:rPr>
          <w:rFonts w:ascii="Tahoma" w:eastAsia="Tahoma" w:hAnsi="Tahoma" w:cs="Tahoma"/>
          <w:sz w:val="24"/>
          <w:szCs w:val="24"/>
          <w:lang w:val="es"/>
        </w:rPr>
        <w:t xml:space="preserve">eclaró como no probados los medios exceptivos propuestos por las demandadas; (2) </w:t>
      </w:r>
      <w:r w:rsidR="003975E2" w:rsidRPr="001A3CA7">
        <w:rPr>
          <w:rFonts w:ascii="Tahoma" w:eastAsia="Tahoma" w:hAnsi="Tahoma" w:cs="Tahoma"/>
          <w:sz w:val="24"/>
          <w:szCs w:val="24"/>
          <w:lang w:val="es"/>
        </w:rPr>
        <w:t>D</w:t>
      </w:r>
      <w:r w:rsidR="004770B9" w:rsidRPr="001A3CA7">
        <w:rPr>
          <w:rFonts w:ascii="Tahoma" w:eastAsia="Tahoma" w:hAnsi="Tahoma" w:cs="Tahoma"/>
          <w:sz w:val="24"/>
          <w:szCs w:val="24"/>
          <w:lang w:val="es"/>
        </w:rPr>
        <w:t xml:space="preserve">eclaró </w:t>
      </w:r>
      <w:r w:rsidR="004770B9" w:rsidRPr="001A3CA7">
        <w:rPr>
          <w:rFonts w:ascii="Tahoma" w:eastAsia="Tahoma" w:hAnsi="Tahoma" w:cs="Tahoma"/>
          <w:sz w:val="24"/>
          <w:szCs w:val="24"/>
        </w:rPr>
        <w:t>ineficaz el traslado del régimen de prima media con prestación definida al régimen de ahorro individual con solidaridad efectuado por la actora e</w:t>
      </w:r>
      <w:r w:rsidR="008B4660" w:rsidRPr="001A3CA7">
        <w:rPr>
          <w:rFonts w:ascii="Tahoma" w:eastAsia="Tahoma" w:hAnsi="Tahoma" w:cs="Tahoma"/>
          <w:sz w:val="24"/>
          <w:szCs w:val="24"/>
        </w:rPr>
        <w:t xml:space="preserve">n enero de </w:t>
      </w:r>
      <w:r w:rsidR="004770B9" w:rsidRPr="001A3CA7">
        <w:rPr>
          <w:rFonts w:ascii="Tahoma" w:eastAsia="Tahoma" w:hAnsi="Tahoma" w:cs="Tahoma"/>
          <w:sz w:val="24"/>
          <w:szCs w:val="24"/>
        </w:rPr>
        <w:t>1995 a través de Protección S.A.</w:t>
      </w:r>
      <w:r w:rsidR="003975E2" w:rsidRPr="001A3CA7">
        <w:rPr>
          <w:rFonts w:ascii="Tahoma" w:eastAsia="Tahoma" w:hAnsi="Tahoma" w:cs="Tahoma"/>
          <w:sz w:val="24"/>
          <w:szCs w:val="24"/>
        </w:rPr>
        <w:t xml:space="preserve">; </w:t>
      </w:r>
      <w:r w:rsidR="003975E2" w:rsidRPr="001A3CA7">
        <w:rPr>
          <w:rFonts w:ascii="Tahoma" w:eastAsia="Tahoma" w:hAnsi="Tahoma" w:cs="Tahoma"/>
          <w:sz w:val="24"/>
          <w:szCs w:val="24"/>
          <w:lang w:val="es"/>
        </w:rPr>
        <w:t xml:space="preserve">(3) </w:t>
      </w:r>
      <w:r w:rsidR="003975E2" w:rsidRPr="001A3CA7">
        <w:rPr>
          <w:rFonts w:ascii="Tahoma" w:eastAsia="Tahoma" w:hAnsi="Tahoma" w:cs="Tahoma"/>
          <w:sz w:val="24"/>
          <w:szCs w:val="24"/>
        </w:rPr>
        <w:t>Ordenó a la P</w:t>
      </w:r>
      <w:r w:rsidR="008B4660" w:rsidRPr="001A3CA7">
        <w:rPr>
          <w:rFonts w:ascii="Tahoma" w:eastAsia="Tahoma" w:hAnsi="Tahoma" w:cs="Tahoma"/>
          <w:sz w:val="24"/>
          <w:szCs w:val="24"/>
        </w:rPr>
        <w:t xml:space="preserve">rotección </w:t>
      </w:r>
      <w:r w:rsidR="003975E2" w:rsidRPr="001A3CA7">
        <w:rPr>
          <w:rFonts w:ascii="Tahoma" w:eastAsia="Tahoma" w:hAnsi="Tahoma" w:cs="Tahoma"/>
          <w:sz w:val="24"/>
          <w:szCs w:val="24"/>
        </w:rPr>
        <w:t>S.A. trasladar a Colpensiones todos los aportes que reposen en la cuenta de ahorro individual de aquella, junto con los intereses, rendimientos financieros, bonos pensionales y restituir, con cargo a sus propios recursos, el valor que durante todo el tiempo  de  vinculación al RAIS de  la demandante  destinó  a  financiar  los  gastos  de  administración,  las  primas  que respaldan la garantía de pensión mínima y las primas de los seguros de invalidez y sobrevivientes, debidamente indexadas. (4) Ordenó a Colpensiones aceptar el traslado de la actora sin dilaciones; (</w:t>
      </w:r>
      <w:r w:rsidR="008C21F8" w:rsidRPr="001A3CA7">
        <w:rPr>
          <w:rFonts w:ascii="Tahoma" w:eastAsia="Tahoma" w:hAnsi="Tahoma" w:cs="Tahoma"/>
          <w:sz w:val="24"/>
          <w:szCs w:val="24"/>
        </w:rPr>
        <w:t>5</w:t>
      </w:r>
      <w:r w:rsidR="003975E2" w:rsidRPr="001A3CA7">
        <w:rPr>
          <w:rFonts w:ascii="Tahoma" w:eastAsia="Tahoma" w:hAnsi="Tahoma" w:cs="Tahoma"/>
          <w:sz w:val="24"/>
          <w:szCs w:val="24"/>
        </w:rPr>
        <w:t xml:space="preserve">) Declaró que la señora </w:t>
      </w:r>
      <w:proofErr w:type="spellStart"/>
      <w:r w:rsidR="008C21F8" w:rsidRPr="001A3CA7">
        <w:rPr>
          <w:rFonts w:ascii="Tahoma" w:eastAsia="Tahoma" w:hAnsi="Tahoma" w:cs="Tahoma"/>
          <w:sz w:val="24"/>
          <w:szCs w:val="24"/>
        </w:rPr>
        <w:t>Debora</w:t>
      </w:r>
      <w:proofErr w:type="spellEnd"/>
      <w:r w:rsidR="008C21F8" w:rsidRPr="001A3CA7">
        <w:rPr>
          <w:rFonts w:ascii="Tahoma" w:eastAsia="Tahoma" w:hAnsi="Tahoma" w:cs="Tahoma"/>
          <w:sz w:val="24"/>
          <w:szCs w:val="24"/>
        </w:rPr>
        <w:t xml:space="preserve"> Esther Ocampo </w:t>
      </w:r>
      <w:proofErr w:type="spellStart"/>
      <w:r w:rsidR="008C21F8" w:rsidRPr="001A3CA7">
        <w:rPr>
          <w:rFonts w:ascii="Tahoma" w:eastAsia="Tahoma" w:hAnsi="Tahoma" w:cs="Tahoma"/>
          <w:sz w:val="24"/>
          <w:szCs w:val="24"/>
        </w:rPr>
        <w:t>Lopez</w:t>
      </w:r>
      <w:proofErr w:type="spellEnd"/>
      <w:r w:rsidR="003975E2" w:rsidRPr="001A3CA7">
        <w:rPr>
          <w:rFonts w:ascii="Tahoma" w:eastAsia="Tahoma" w:hAnsi="Tahoma" w:cs="Tahoma"/>
          <w:sz w:val="24"/>
          <w:szCs w:val="24"/>
        </w:rPr>
        <w:t xml:space="preserve"> conserva válida y vigente su afiliación al régimen de prima media con prestación definida y, (</w:t>
      </w:r>
      <w:r w:rsidR="008C21F8" w:rsidRPr="001A3CA7">
        <w:rPr>
          <w:rFonts w:ascii="Tahoma" w:eastAsia="Tahoma" w:hAnsi="Tahoma" w:cs="Tahoma"/>
          <w:sz w:val="24"/>
          <w:szCs w:val="24"/>
        </w:rPr>
        <w:t>6</w:t>
      </w:r>
      <w:r w:rsidR="003975E2" w:rsidRPr="001A3CA7">
        <w:rPr>
          <w:rFonts w:ascii="Tahoma" w:eastAsia="Tahoma" w:hAnsi="Tahoma" w:cs="Tahoma"/>
          <w:sz w:val="24"/>
          <w:szCs w:val="24"/>
        </w:rPr>
        <w:t xml:space="preserve">) Condenó a Protección S.A. a pagar a la demandante las costas procesales.  </w:t>
      </w:r>
    </w:p>
    <w:p w14:paraId="7729C41C" w14:textId="77777777" w:rsidR="001E42A6" w:rsidRPr="001A3CA7" w:rsidRDefault="001E42A6" w:rsidP="001A3CA7">
      <w:pPr>
        <w:spacing w:after="0" w:line="276" w:lineRule="auto"/>
        <w:jc w:val="both"/>
        <w:rPr>
          <w:rFonts w:ascii="Tahoma" w:eastAsia="Tahoma" w:hAnsi="Tahoma" w:cs="Tahoma"/>
          <w:sz w:val="24"/>
          <w:szCs w:val="24"/>
        </w:rPr>
      </w:pPr>
    </w:p>
    <w:p w14:paraId="13946242" w14:textId="772E3705" w:rsidR="00630064" w:rsidRPr="001A3CA7" w:rsidRDefault="00630064" w:rsidP="001A3CA7">
      <w:pPr>
        <w:spacing w:after="0" w:line="276" w:lineRule="auto"/>
        <w:ind w:firstLine="360"/>
        <w:jc w:val="both"/>
        <w:rPr>
          <w:rFonts w:ascii="Tahoma" w:eastAsia="Tahoma" w:hAnsi="Tahoma" w:cs="Tahoma"/>
          <w:sz w:val="24"/>
          <w:szCs w:val="24"/>
        </w:rPr>
      </w:pPr>
      <w:r w:rsidRPr="001A3CA7">
        <w:rPr>
          <w:rFonts w:ascii="Tahoma" w:hAnsi="Tahoma" w:cs="Tahoma"/>
          <w:sz w:val="24"/>
          <w:szCs w:val="24"/>
        </w:rPr>
        <w:lastRenderedPageBreak/>
        <w:t>Para llegar a tal determinación, la A-quo consideró que Protección S.A. no allegó prueba alguna que acreditara el cumplimiento al deber de información para el traslado del demandante al RAIS, pues los documentos aportados, como el formulario de afiliación, el reporte SIAFP y la manifestación escrita en al que la demandante manifiesta que seleccionó el fondo de manera libre y voluntaria, no son suficientes para demostrar que otorgó  información clara, cierta, comprensible y oportuna de las características, condiciones, beneficios, así como de los riesgos y consecuencias</w:t>
      </w:r>
      <w:r w:rsidR="008C21F8" w:rsidRPr="001A3CA7">
        <w:rPr>
          <w:rFonts w:ascii="Tahoma" w:hAnsi="Tahoma" w:cs="Tahoma"/>
          <w:sz w:val="24"/>
          <w:szCs w:val="24"/>
        </w:rPr>
        <w:t xml:space="preserve"> al ser beneficiaria del régimen de transición</w:t>
      </w:r>
      <w:r w:rsidRPr="001A3CA7">
        <w:rPr>
          <w:rFonts w:ascii="Tahoma" w:hAnsi="Tahoma" w:cs="Tahoma"/>
          <w:sz w:val="24"/>
          <w:szCs w:val="24"/>
        </w:rPr>
        <w:t xml:space="preserve">, de conformidad </w:t>
      </w:r>
      <w:r w:rsidRPr="001A3CA7">
        <w:rPr>
          <w:rFonts w:ascii="Tahoma" w:eastAsia="Tahoma" w:hAnsi="Tahoma" w:cs="Tahoma"/>
          <w:sz w:val="24"/>
          <w:szCs w:val="24"/>
        </w:rPr>
        <w:t>con la jurisprudencia de la Sala de Casación Laboral de la Corte Suprema de Justicia, así como con lo dispuesto en los artículos 13 literal b, 271, 272 de la Ley 100 de 1993, el artículo 97 numeral 1 del Decreto 663 de 1993, el artículo 1604 del Código Civil y demás normas que regulan la materia.</w:t>
      </w:r>
    </w:p>
    <w:p w14:paraId="43C4E461" w14:textId="59248ADA" w:rsidR="00147406" w:rsidRDefault="00147406" w:rsidP="001A3CA7">
      <w:pPr>
        <w:spacing w:after="0" w:line="276" w:lineRule="auto"/>
        <w:jc w:val="both"/>
        <w:rPr>
          <w:rFonts w:ascii="Tahoma" w:hAnsi="Tahoma" w:cs="Tahoma"/>
          <w:sz w:val="24"/>
          <w:szCs w:val="24"/>
        </w:rPr>
      </w:pPr>
    </w:p>
    <w:p w14:paraId="69EFA921" w14:textId="77777777" w:rsidR="000078B1" w:rsidRPr="001A3CA7" w:rsidRDefault="000078B1" w:rsidP="001A3CA7">
      <w:pPr>
        <w:spacing w:after="0" w:line="276" w:lineRule="auto"/>
        <w:jc w:val="both"/>
        <w:rPr>
          <w:rFonts w:ascii="Tahoma" w:hAnsi="Tahoma" w:cs="Tahoma"/>
          <w:sz w:val="24"/>
          <w:szCs w:val="24"/>
        </w:rPr>
      </w:pPr>
    </w:p>
    <w:p w14:paraId="774F88A4" w14:textId="21F6BFC4" w:rsidR="1B4704F1" w:rsidRPr="001A3CA7" w:rsidRDefault="1B4704F1" w:rsidP="001A3CA7">
      <w:pPr>
        <w:pStyle w:val="Prrafodelista"/>
        <w:numPr>
          <w:ilvl w:val="0"/>
          <w:numId w:val="3"/>
        </w:numPr>
        <w:spacing w:line="276" w:lineRule="auto"/>
        <w:jc w:val="center"/>
        <w:rPr>
          <w:rFonts w:eastAsiaTheme="minorEastAsia"/>
          <w:b/>
          <w:bCs/>
          <w:sz w:val="24"/>
          <w:szCs w:val="24"/>
        </w:rPr>
      </w:pPr>
      <w:r w:rsidRPr="001A3CA7">
        <w:rPr>
          <w:b/>
          <w:bCs/>
          <w:sz w:val="24"/>
          <w:szCs w:val="24"/>
          <w:lang w:val="es"/>
        </w:rPr>
        <w:t>Recurso de apelación y procedencia de la consulta</w:t>
      </w:r>
    </w:p>
    <w:p w14:paraId="2A881A7A" w14:textId="77777777" w:rsidR="00A039B5" w:rsidRPr="001A3CA7" w:rsidRDefault="00A039B5" w:rsidP="001A3CA7">
      <w:pPr>
        <w:spacing w:after="0" w:line="276" w:lineRule="auto"/>
        <w:jc w:val="both"/>
        <w:rPr>
          <w:rFonts w:ascii="Tahoma" w:eastAsia="Tahoma" w:hAnsi="Tahoma" w:cs="Tahoma"/>
          <w:b/>
          <w:bCs/>
          <w:sz w:val="24"/>
          <w:szCs w:val="24"/>
          <w:lang w:val="es"/>
        </w:rPr>
      </w:pPr>
    </w:p>
    <w:p w14:paraId="5F11E6E7" w14:textId="348EB14D" w:rsidR="00357730" w:rsidRPr="001A3CA7" w:rsidRDefault="001F170B" w:rsidP="001A3CA7">
      <w:pPr>
        <w:spacing w:after="0" w:line="276" w:lineRule="auto"/>
        <w:ind w:firstLine="708"/>
        <w:jc w:val="both"/>
        <w:rPr>
          <w:rFonts w:ascii="Tahoma" w:hAnsi="Tahoma" w:cs="Tahoma"/>
          <w:sz w:val="24"/>
          <w:szCs w:val="24"/>
        </w:rPr>
      </w:pPr>
      <w:bookmarkStart w:id="5" w:name="_Hlk77056881"/>
      <w:r w:rsidRPr="001A3CA7">
        <w:rPr>
          <w:rFonts w:ascii="Tahoma" w:eastAsia="Tahoma" w:hAnsi="Tahoma" w:cs="Tahoma"/>
          <w:b/>
          <w:bCs/>
          <w:sz w:val="24"/>
          <w:szCs w:val="24"/>
          <w:lang w:val="es"/>
        </w:rPr>
        <w:t xml:space="preserve">Protección S.A. </w:t>
      </w:r>
      <w:r w:rsidR="00357730" w:rsidRPr="001A3CA7">
        <w:rPr>
          <w:rFonts w:ascii="Tahoma" w:hAnsi="Tahoma" w:cs="Tahoma"/>
          <w:sz w:val="24"/>
          <w:szCs w:val="24"/>
        </w:rPr>
        <w:t>atacó la sentencia arguyendo que para la época en que se surtió el traslado solo existía el deber de información básico, el cual fue brindado en la asesoría y quedó plasmado en el formulario suscrito</w:t>
      </w:r>
      <w:r w:rsidR="00BF464B" w:rsidRPr="001A3CA7">
        <w:rPr>
          <w:rFonts w:ascii="Tahoma" w:hAnsi="Tahoma" w:cs="Tahoma"/>
          <w:sz w:val="24"/>
          <w:szCs w:val="24"/>
        </w:rPr>
        <w:t xml:space="preserve"> por la actora</w:t>
      </w:r>
      <w:r w:rsidR="00357730" w:rsidRPr="001A3CA7">
        <w:rPr>
          <w:rFonts w:ascii="Tahoma" w:hAnsi="Tahoma" w:cs="Tahoma"/>
          <w:sz w:val="24"/>
          <w:szCs w:val="24"/>
        </w:rPr>
        <w:t xml:space="preserve">, </w:t>
      </w:r>
      <w:r w:rsidR="00BF464B" w:rsidRPr="001A3CA7">
        <w:rPr>
          <w:rFonts w:ascii="Tahoma" w:hAnsi="Tahoma" w:cs="Tahoma"/>
          <w:sz w:val="24"/>
          <w:szCs w:val="24"/>
        </w:rPr>
        <w:t xml:space="preserve">quien aceptó en el interrogatorio que se le había brindado la información necesaria, por lo que podía advertirse que su interés era de índole meramente </w:t>
      </w:r>
      <w:r w:rsidR="00357730" w:rsidRPr="001A3CA7">
        <w:rPr>
          <w:rFonts w:ascii="Tahoma" w:hAnsi="Tahoma" w:cs="Tahoma"/>
          <w:sz w:val="24"/>
          <w:szCs w:val="24"/>
        </w:rPr>
        <w:t>económico</w:t>
      </w:r>
      <w:r w:rsidR="00845270" w:rsidRPr="001A3CA7">
        <w:rPr>
          <w:rFonts w:ascii="Tahoma" w:hAnsi="Tahoma" w:cs="Tahoma"/>
          <w:sz w:val="24"/>
          <w:szCs w:val="24"/>
        </w:rPr>
        <w:t>, sin que la jurisprudencia proferida con posterioridad al traslado pueda tener efectos retroactivos.</w:t>
      </w:r>
      <w:r w:rsidR="00357730" w:rsidRPr="001A3CA7">
        <w:rPr>
          <w:rFonts w:ascii="Tahoma" w:hAnsi="Tahoma" w:cs="Tahoma"/>
          <w:sz w:val="24"/>
          <w:szCs w:val="24"/>
        </w:rPr>
        <w:t xml:space="preserve"> </w:t>
      </w:r>
    </w:p>
    <w:p w14:paraId="51701113" w14:textId="310C679F" w:rsidR="005D11A0" w:rsidRPr="001A3CA7" w:rsidRDefault="004D57BB" w:rsidP="001A3CA7">
      <w:pPr>
        <w:spacing w:after="0" w:line="276" w:lineRule="auto"/>
        <w:jc w:val="both"/>
        <w:rPr>
          <w:rFonts w:ascii="Tahoma" w:eastAsia="Tahoma" w:hAnsi="Tahoma" w:cs="Tahoma"/>
          <w:sz w:val="24"/>
          <w:szCs w:val="24"/>
          <w:lang w:val="es"/>
        </w:rPr>
      </w:pPr>
      <w:r w:rsidRPr="001A3CA7">
        <w:rPr>
          <w:rFonts w:ascii="Tahoma" w:hAnsi="Tahoma" w:cs="Tahoma"/>
          <w:sz w:val="24"/>
          <w:szCs w:val="24"/>
        </w:rPr>
        <w:tab/>
      </w:r>
    </w:p>
    <w:p w14:paraId="269474E0" w14:textId="3D7108AA" w:rsidR="008C21F8" w:rsidRPr="001A3CA7" w:rsidRDefault="008C21F8" w:rsidP="001A3CA7">
      <w:pPr>
        <w:spacing w:after="0" w:line="276" w:lineRule="auto"/>
        <w:ind w:firstLine="360"/>
        <w:jc w:val="both"/>
        <w:rPr>
          <w:rFonts w:ascii="Tahoma" w:eastAsia="Tahoma" w:hAnsi="Tahoma" w:cs="Tahoma"/>
          <w:sz w:val="24"/>
          <w:szCs w:val="24"/>
          <w:lang w:val="es"/>
        </w:rPr>
      </w:pPr>
      <w:r w:rsidRPr="001A3CA7">
        <w:rPr>
          <w:rFonts w:ascii="Tahoma" w:eastAsia="Tahoma" w:hAnsi="Tahoma" w:cs="Tahoma"/>
          <w:sz w:val="24"/>
          <w:szCs w:val="24"/>
          <w:lang w:val="es"/>
        </w:rPr>
        <w:t xml:space="preserve">También señala que la inconformidad de tipo económico no vicia el consentimiento y tampoco es causal de ineficacia del acto de afiliación, mismo que se vio ratificado </w:t>
      </w:r>
      <w:r w:rsidRPr="001A3CA7">
        <w:rPr>
          <w:rFonts w:ascii="Tahoma" w:eastAsia="Tahoma" w:hAnsi="Tahoma" w:cs="Tahoma"/>
          <w:sz w:val="24"/>
          <w:szCs w:val="24"/>
        </w:rPr>
        <w:t xml:space="preserve">al haber permanecido en el RAIS por </w:t>
      </w:r>
      <w:r w:rsidRPr="001A3CA7">
        <w:rPr>
          <w:rFonts w:ascii="Tahoma" w:eastAsia="Tahoma" w:hAnsi="Tahoma" w:cs="Tahoma"/>
          <w:sz w:val="24"/>
          <w:szCs w:val="24"/>
          <w:lang w:val="es-MX"/>
        </w:rPr>
        <w:t xml:space="preserve">más de 20 años. </w:t>
      </w:r>
    </w:p>
    <w:p w14:paraId="28547FEE" w14:textId="77777777" w:rsidR="008C21F8" w:rsidRPr="001A3CA7" w:rsidRDefault="008C21F8" w:rsidP="001A3CA7">
      <w:pPr>
        <w:spacing w:after="0" w:line="276" w:lineRule="auto"/>
        <w:ind w:firstLine="360"/>
        <w:jc w:val="both"/>
        <w:rPr>
          <w:rFonts w:ascii="Tahoma" w:eastAsia="Tahoma" w:hAnsi="Tahoma" w:cs="Tahoma"/>
          <w:sz w:val="24"/>
          <w:szCs w:val="24"/>
          <w:lang w:val="es"/>
        </w:rPr>
      </w:pPr>
    </w:p>
    <w:p w14:paraId="4CBC9D09" w14:textId="77777777" w:rsidR="008C21F8" w:rsidRPr="001A3CA7" w:rsidRDefault="008C21F8" w:rsidP="001A3CA7">
      <w:pPr>
        <w:spacing w:after="0" w:line="276" w:lineRule="auto"/>
        <w:ind w:firstLine="360"/>
        <w:jc w:val="both"/>
        <w:rPr>
          <w:rFonts w:ascii="Tahoma" w:eastAsia="Tahoma" w:hAnsi="Tahoma" w:cs="Tahoma"/>
          <w:sz w:val="24"/>
          <w:szCs w:val="24"/>
          <w:lang w:val="es"/>
        </w:rPr>
      </w:pPr>
      <w:r w:rsidRPr="001A3CA7">
        <w:rPr>
          <w:rFonts w:ascii="Tahoma" w:eastAsia="Tahoma" w:hAnsi="Tahoma" w:cs="Tahoma"/>
          <w:sz w:val="24"/>
          <w:szCs w:val="24"/>
          <w:lang w:val="es"/>
        </w:rPr>
        <w:t>En cuanto al pago del seguro previsional, alegó que este constituye un componente de las pensiones de invalidez y sobrevivencia y, por lo tanto, no hay lugar a que se pida su traslado, toda vez que estos pagos se realizan por mandato legal a una aseguradora diferente a la AFP.</w:t>
      </w:r>
    </w:p>
    <w:p w14:paraId="7AE1385C" w14:textId="77777777" w:rsidR="008C21F8" w:rsidRPr="001A3CA7" w:rsidRDefault="008C21F8" w:rsidP="001A3CA7">
      <w:pPr>
        <w:spacing w:after="0" w:line="276" w:lineRule="auto"/>
        <w:ind w:firstLine="360"/>
        <w:jc w:val="both"/>
        <w:rPr>
          <w:rFonts w:ascii="Tahoma" w:eastAsia="Tahoma" w:hAnsi="Tahoma" w:cs="Tahoma"/>
          <w:sz w:val="24"/>
          <w:szCs w:val="24"/>
          <w:lang w:val="es"/>
        </w:rPr>
      </w:pPr>
    </w:p>
    <w:p w14:paraId="7530BC52" w14:textId="34663D65" w:rsidR="008C21F8" w:rsidRPr="001A3CA7" w:rsidRDefault="008C21F8" w:rsidP="001A3CA7">
      <w:pPr>
        <w:spacing w:after="0" w:line="276" w:lineRule="auto"/>
        <w:ind w:firstLine="360"/>
        <w:jc w:val="both"/>
        <w:rPr>
          <w:rFonts w:ascii="Tahoma" w:eastAsia="Tahoma" w:hAnsi="Tahoma" w:cs="Tahoma"/>
          <w:sz w:val="24"/>
          <w:szCs w:val="24"/>
          <w:lang w:val="es"/>
        </w:rPr>
      </w:pPr>
      <w:r w:rsidRPr="001A3CA7">
        <w:rPr>
          <w:rFonts w:ascii="Tahoma" w:eastAsia="Tahoma" w:hAnsi="Tahoma" w:cs="Tahoma"/>
          <w:sz w:val="24"/>
          <w:szCs w:val="24"/>
          <w:lang w:val="es"/>
        </w:rPr>
        <w:t>Finalmente solicita que se la exonere en costas al haber actuado con sujeción a la ley, por lo que las mismas deben reducirse a 2 salarios mínimos.</w:t>
      </w:r>
    </w:p>
    <w:p w14:paraId="514E2B26" w14:textId="77777777" w:rsidR="00845270" w:rsidRPr="001A3CA7" w:rsidRDefault="00845270" w:rsidP="001A3CA7">
      <w:pPr>
        <w:spacing w:after="0" w:line="276" w:lineRule="auto"/>
        <w:ind w:firstLine="360"/>
        <w:jc w:val="both"/>
        <w:rPr>
          <w:rFonts w:ascii="Tahoma" w:eastAsia="Tahoma" w:hAnsi="Tahoma" w:cs="Tahoma"/>
          <w:b/>
          <w:bCs/>
          <w:sz w:val="24"/>
          <w:szCs w:val="24"/>
          <w:lang w:val="es"/>
        </w:rPr>
      </w:pPr>
    </w:p>
    <w:p w14:paraId="76B6B727" w14:textId="77777777" w:rsidR="00DB346C" w:rsidRPr="001A3CA7" w:rsidRDefault="004F27F6" w:rsidP="001A3CA7">
      <w:pPr>
        <w:spacing w:after="0" w:line="276" w:lineRule="auto"/>
        <w:ind w:firstLine="708"/>
        <w:jc w:val="both"/>
        <w:rPr>
          <w:rFonts w:ascii="Tahoma" w:eastAsia="Tahoma" w:hAnsi="Tahoma" w:cs="Tahoma"/>
          <w:sz w:val="24"/>
          <w:szCs w:val="24"/>
          <w:lang w:val="es"/>
        </w:rPr>
      </w:pPr>
      <w:r w:rsidRPr="001A3CA7">
        <w:rPr>
          <w:rFonts w:ascii="Tahoma" w:eastAsia="Tahoma" w:hAnsi="Tahoma" w:cs="Tahoma"/>
          <w:b/>
          <w:bCs/>
          <w:sz w:val="24"/>
          <w:szCs w:val="24"/>
          <w:lang w:val="es"/>
        </w:rPr>
        <w:t>Colpensiones</w:t>
      </w:r>
      <w:r w:rsidRPr="001A3CA7">
        <w:rPr>
          <w:rFonts w:ascii="Tahoma" w:eastAsia="Tahoma" w:hAnsi="Tahoma" w:cs="Tahoma"/>
          <w:sz w:val="24"/>
          <w:szCs w:val="24"/>
          <w:lang w:val="es"/>
        </w:rPr>
        <w:t xml:space="preserve"> </w:t>
      </w:r>
      <w:r w:rsidR="00DB346C" w:rsidRPr="001A3CA7">
        <w:rPr>
          <w:rFonts w:ascii="Tahoma" w:eastAsia="Tahoma" w:hAnsi="Tahoma" w:cs="Tahoma"/>
          <w:sz w:val="24"/>
          <w:szCs w:val="24"/>
          <w:lang w:val="es"/>
        </w:rPr>
        <w:t>en su alzada, atacó la decisión cimentando su inconformidad en que se cumplió con la totalidad de los requisitos normativos en el trámite de afiliación ante la AFP Protección S.A puesto que la demandante había firmado el formulario de afiliación voluntariamente. Asimismo, señaló que la declaratoria de ineficacia del traslado causaría eventualmente un detrimento patrimonial para Colpensiones en el caso de que la demandante cumpla con los requisitos exigidos por la ley para una pensión vitalicia.</w:t>
      </w:r>
    </w:p>
    <w:p w14:paraId="143ACE94" w14:textId="77777777" w:rsidR="00DB346C" w:rsidRPr="001A3CA7" w:rsidRDefault="00DB346C" w:rsidP="001A3CA7">
      <w:pPr>
        <w:spacing w:after="0" w:line="276" w:lineRule="auto"/>
        <w:ind w:firstLine="708"/>
        <w:jc w:val="both"/>
        <w:rPr>
          <w:rFonts w:ascii="Tahoma" w:eastAsia="Tahoma" w:hAnsi="Tahoma" w:cs="Tahoma"/>
          <w:sz w:val="24"/>
          <w:szCs w:val="24"/>
          <w:lang w:val="es"/>
        </w:rPr>
      </w:pPr>
    </w:p>
    <w:p w14:paraId="2668D36A" w14:textId="1A241B2E" w:rsidR="005B29C3" w:rsidRPr="001A3CA7" w:rsidRDefault="007C053A" w:rsidP="001A3CA7">
      <w:pPr>
        <w:spacing w:after="0" w:line="276" w:lineRule="auto"/>
        <w:ind w:firstLine="708"/>
        <w:jc w:val="both"/>
        <w:rPr>
          <w:rFonts w:ascii="Tahoma" w:eastAsia="Tahoma" w:hAnsi="Tahoma" w:cs="Tahoma"/>
          <w:sz w:val="24"/>
          <w:szCs w:val="24"/>
          <w:lang w:val="es"/>
        </w:rPr>
      </w:pPr>
      <w:r w:rsidRPr="001A3CA7">
        <w:rPr>
          <w:rFonts w:ascii="Tahoma" w:eastAsia="Tahoma" w:hAnsi="Tahoma" w:cs="Tahoma"/>
          <w:sz w:val="24"/>
          <w:szCs w:val="24"/>
          <w:lang w:val="es"/>
        </w:rPr>
        <w:t xml:space="preserve">Agregó que </w:t>
      </w:r>
      <w:r w:rsidR="002A0CFB" w:rsidRPr="001A3CA7">
        <w:rPr>
          <w:rFonts w:ascii="Tahoma" w:eastAsia="Tahoma" w:hAnsi="Tahoma" w:cs="Tahoma"/>
          <w:sz w:val="24"/>
          <w:szCs w:val="24"/>
          <w:lang w:val="es"/>
        </w:rPr>
        <w:t xml:space="preserve">no era posible </w:t>
      </w:r>
      <w:r w:rsidRPr="001A3CA7">
        <w:rPr>
          <w:rFonts w:ascii="Tahoma" w:eastAsia="Tahoma" w:hAnsi="Tahoma" w:cs="Tahoma"/>
          <w:sz w:val="24"/>
          <w:szCs w:val="24"/>
          <w:lang w:val="es"/>
        </w:rPr>
        <w:t xml:space="preserve">ordenar el traslado de la demandante </w:t>
      </w:r>
      <w:r w:rsidR="002A0CFB" w:rsidRPr="001A3CA7">
        <w:rPr>
          <w:rFonts w:ascii="Tahoma" w:eastAsia="Tahoma" w:hAnsi="Tahoma" w:cs="Tahoma"/>
          <w:sz w:val="24"/>
          <w:szCs w:val="24"/>
          <w:lang w:val="es"/>
        </w:rPr>
        <w:t xml:space="preserve">por faltarle menos de 10 años para cumplir la edad para tener derecho a la pensión de vejez. </w:t>
      </w:r>
    </w:p>
    <w:p w14:paraId="37BCE6F9" w14:textId="2A385252" w:rsidR="00147406" w:rsidRDefault="00147406" w:rsidP="001A3CA7">
      <w:pPr>
        <w:spacing w:after="0" w:line="276" w:lineRule="auto"/>
        <w:jc w:val="both"/>
        <w:rPr>
          <w:rFonts w:ascii="Tahoma" w:hAnsi="Tahoma" w:cs="Tahoma"/>
          <w:sz w:val="24"/>
          <w:szCs w:val="24"/>
        </w:rPr>
      </w:pPr>
    </w:p>
    <w:p w14:paraId="4DBAECE1" w14:textId="77777777" w:rsidR="000078B1" w:rsidRPr="001A3CA7" w:rsidRDefault="000078B1" w:rsidP="001A3CA7">
      <w:pPr>
        <w:spacing w:after="0" w:line="276" w:lineRule="auto"/>
        <w:jc w:val="both"/>
        <w:rPr>
          <w:rFonts w:ascii="Tahoma" w:hAnsi="Tahoma" w:cs="Tahoma"/>
          <w:sz w:val="24"/>
          <w:szCs w:val="24"/>
        </w:rPr>
      </w:pPr>
    </w:p>
    <w:p w14:paraId="375316EA" w14:textId="16EF1FD1" w:rsidR="1B4704F1" w:rsidRPr="001A3CA7" w:rsidRDefault="1B4704F1" w:rsidP="001A3CA7">
      <w:pPr>
        <w:pStyle w:val="Prrafodelista"/>
        <w:numPr>
          <w:ilvl w:val="0"/>
          <w:numId w:val="3"/>
        </w:numPr>
        <w:spacing w:line="276" w:lineRule="auto"/>
        <w:jc w:val="center"/>
        <w:rPr>
          <w:rFonts w:eastAsiaTheme="minorEastAsia"/>
          <w:b/>
          <w:bCs/>
          <w:sz w:val="24"/>
          <w:szCs w:val="24"/>
        </w:rPr>
      </w:pPr>
      <w:r w:rsidRPr="001A3CA7">
        <w:rPr>
          <w:b/>
          <w:bCs/>
          <w:sz w:val="24"/>
          <w:szCs w:val="24"/>
          <w:lang w:val="es"/>
        </w:rPr>
        <w:t>Alegatos de conclusión</w:t>
      </w:r>
    </w:p>
    <w:p w14:paraId="52B12A6C" w14:textId="5EDBEA8B" w:rsidR="1B4704F1" w:rsidRPr="001A3CA7" w:rsidRDefault="1B4704F1" w:rsidP="001A3CA7">
      <w:pPr>
        <w:spacing w:after="0" w:line="276" w:lineRule="auto"/>
        <w:jc w:val="both"/>
        <w:rPr>
          <w:rFonts w:ascii="Tahoma" w:hAnsi="Tahoma" w:cs="Tahoma"/>
          <w:sz w:val="24"/>
          <w:szCs w:val="24"/>
        </w:rPr>
      </w:pPr>
      <w:r w:rsidRPr="001A3CA7">
        <w:rPr>
          <w:rFonts w:ascii="Tahoma" w:eastAsia="Tahoma" w:hAnsi="Tahoma" w:cs="Tahoma"/>
          <w:sz w:val="24"/>
          <w:szCs w:val="24"/>
        </w:rPr>
        <w:t xml:space="preserve"> </w:t>
      </w:r>
    </w:p>
    <w:p w14:paraId="2809EDE0" w14:textId="77777777" w:rsidR="007C053A" w:rsidRPr="001A3CA7" w:rsidRDefault="00DF7C04" w:rsidP="001A3CA7">
      <w:pPr>
        <w:spacing w:after="0" w:line="276" w:lineRule="auto"/>
        <w:ind w:firstLine="708"/>
        <w:jc w:val="both"/>
        <w:rPr>
          <w:rFonts w:ascii="Tahoma" w:eastAsia="Tahoma" w:hAnsi="Tahoma" w:cs="Tahoma"/>
          <w:sz w:val="24"/>
          <w:szCs w:val="24"/>
        </w:rPr>
      </w:pPr>
      <w:r w:rsidRPr="001A3CA7">
        <w:rPr>
          <w:rFonts w:ascii="Tahoma" w:eastAsia="Tahoma" w:hAnsi="Tahoma" w:cs="Tahoma"/>
          <w:sz w:val="24"/>
          <w:szCs w:val="24"/>
        </w:rPr>
        <w:t>A</w:t>
      </w:r>
      <w:r w:rsidR="1B4704F1" w:rsidRPr="001A3CA7">
        <w:rPr>
          <w:rFonts w:ascii="Tahoma" w:eastAsia="Tahoma" w:hAnsi="Tahoma" w:cs="Tahoma"/>
          <w:sz w:val="24"/>
          <w:szCs w:val="24"/>
        </w:rPr>
        <w:t xml:space="preserve">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w:t>
      </w:r>
      <w:r w:rsidR="007C053A" w:rsidRPr="001A3CA7">
        <w:rPr>
          <w:rFonts w:ascii="Tahoma" w:eastAsia="Tahoma" w:hAnsi="Tahoma" w:cs="Tahoma"/>
          <w:sz w:val="24"/>
          <w:szCs w:val="24"/>
        </w:rPr>
        <w:t>más adelante.</w:t>
      </w:r>
    </w:p>
    <w:p w14:paraId="708D5DB8" w14:textId="77777777" w:rsidR="007C053A" w:rsidRPr="001A3CA7" w:rsidRDefault="007C053A" w:rsidP="001A3CA7">
      <w:pPr>
        <w:spacing w:after="0" w:line="276" w:lineRule="auto"/>
        <w:ind w:firstLine="708"/>
        <w:jc w:val="both"/>
        <w:rPr>
          <w:rFonts w:ascii="Tahoma" w:eastAsia="Tahoma" w:hAnsi="Tahoma" w:cs="Tahoma"/>
          <w:sz w:val="24"/>
          <w:szCs w:val="24"/>
        </w:rPr>
      </w:pPr>
    </w:p>
    <w:p w14:paraId="6E2BA5DE" w14:textId="76882B01" w:rsidR="1B4704F1" w:rsidRPr="001A3CA7" w:rsidRDefault="0094501E" w:rsidP="001A3CA7">
      <w:pPr>
        <w:spacing w:after="0" w:line="276" w:lineRule="auto"/>
        <w:ind w:firstLine="708"/>
        <w:jc w:val="both"/>
        <w:rPr>
          <w:rFonts w:ascii="Tahoma" w:hAnsi="Tahoma" w:cs="Tahoma"/>
          <w:sz w:val="24"/>
          <w:szCs w:val="24"/>
        </w:rPr>
      </w:pPr>
      <w:r w:rsidRPr="001A3CA7">
        <w:rPr>
          <w:rFonts w:ascii="Tahoma" w:eastAsia="Tahoma" w:hAnsi="Tahoma" w:cs="Tahoma"/>
          <w:sz w:val="24"/>
          <w:szCs w:val="24"/>
        </w:rPr>
        <w:t xml:space="preserve">Por </w:t>
      </w:r>
      <w:r w:rsidR="007C053A" w:rsidRPr="001A3CA7">
        <w:rPr>
          <w:rFonts w:ascii="Tahoma" w:eastAsia="Tahoma" w:hAnsi="Tahoma" w:cs="Tahoma"/>
          <w:sz w:val="24"/>
          <w:szCs w:val="24"/>
        </w:rPr>
        <w:t>su</w:t>
      </w:r>
      <w:r w:rsidRPr="001A3CA7">
        <w:rPr>
          <w:rFonts w:ascii="Tahoma" w:eastAsia="Tahoma" w:hAnsi="Tahoma" w:cs="Tahoma"/>
          <w:sz w:val="24"/>
          <w:szCs w:val="24"/>
        </w:rPr>
        <w:t xml:space="preserve"> parte, el Ministerio Público conceptuó en este asunto</w:t>
      </w:r>
      <w:r w:rsidR="007C053A" w:rsidRPr="001A3CA7">
        <w:rPr>
          <w:rFonts w:ascii="Tahoma" w:eastAsia="Tahoma" w:hAnsi="Tahoma" w:cs="Tahoma"/>
          <w:sz w:val="24"/>
          <w:szCs w:val="24"/>
        </w:rPr>
        <w:t xml:space="preserve"> aduciendo que la decisión de primer grado debía confirmarse en su integridad</w:t>
      </w:r>
      <w:r w:rsidRPr="001A3CA7">
        <w:rPr>
          <w:rFonts w:ascii="Tahoma" w:eastAsia="Tahoma" w:hAnsi="Tahoma" w:cs="Tahoma"/>
          <w:sz w:val="24"/>
          <w:szCs w:val="24"/>
        </w:rPr>
        <w:t>.</w:t>
      </w:r>
    </w:p>
    <w:p w14:paraId="2AE0571C" w14:textId="171E4C75" w:rsidR="1B4704F1" w:rsidRDefault="1B4704F1" w:rsidP="001A3CA7">
      <w:pPr>
        <w:spacing w:after="0" w:line="276" w:lineRule="auto"/>
        <w:jc w:val="both"/>
        <w:rPr>
          <w:rFonts w:ascii="Tahoma" w:eastAsia="Tahoma" w:hAnsi="Tahoma" w:cs="Tahoma"/>
          <w:sz w:val="24"/>
          <w:szCs w:val="24"/>
        </w:rPr>
      </w:pPr>
      <w:r w:rsidRPr="001A3CA7">
        <w:rPr>
          <w:rFonts w:ascii="Tahoma" w:eastAsia="Tahoma" w:hAnsi="Tahoma" w:cs="Tahoma"/>
          <w:sz w:val="24"/>
          <w:szCs w:val="24"/>
        </w:rPr>
        <w:t xml:space="preserve"> </w:t>
      </w:r>
    </w:p>
    <w:p w14:paraId="0067DA62" w14:textId="77777777" w:rsidR="000078B1" w:rsidRPr="001A3CA7" w:rsidRDefault="000078B1" w:rsidP="001A3CA7">
      <w:pPr>
        <w:spacing w:after="0" w:line="276" w:lineRule="auto"/>
        <w:jc w:val="both"/>
        <w:rPr>
          <w:rFonts w:ascii="Tahoma" w:hAnsi="Tahoma" w:cs="Tahoma"/>
          <w:sz w:val="24"/>
          <w:szCs w:val="24"/>
        </w:rPr>
      </w:pPr>
    </w:p>
    <w:p w14:paraId="0B4D1CF3" w14:textId="4D7C1683" w:rsidR="1B4704F1" w:rsidRPr="001A3CA7" w:rsidRDefault="1B4704F1" w:rsidP="001A3CA7">
      <w:pPr>
        <w:pStyle w:val="Prrafodelista"/>
        <w:numPr>
          <w:ilvl w:val="0"/>
          <w:numId w:val="3"/>
        </w:numPr>
        <w:spacing w:line="276" w:lineRule="auto"/>
        <w:jc w:val="center"/>
        <w:rPr>
          <w:rFonts w:eastAsiaTheme="minorEastAsia"/>
          <w:b/>
          <w:bCs/>
          <w:sz w:val="24"/>
          <w:szCs w:val="24"/>
        </w:rPr>
      </w:pPr>
      <w:r w:rsidRPr="001A3CA7">
        <w:rPr>
          <w:b/>
          <w:bCs/>
          <w:sz w:val="24"/>
          <w:szCs w:val="24"/>
          <w:lang w:val="es"/>
        </w:rPr>
        <w:t>Problemas jurídicos por resolver</w:t>
      </w:r>
    </w:p>
    <w:p w14:paraId="6E933D75" w14:textId="28CA93FE" w:rsidR="1B4704F1" w:rsidRPr="001A3CA7" w:rsidRDefault="1B4704F1" w:rsidP="001A3CA7">
      <w:pPr>
        <w:spacing w:after="0" w:line="276" w:lineRule="auto"/>
        <w:jc w:val="both"/>
        <w:rPr>
          <w:rFonts w:ascii="Tahoma" w:hAnsi="Tahoma" w:cs="Tahoma"/>
          <w:sz w:val="24"/>
          <w:szCs w:val="24"/>
        </w:rPr>
      </w:pPr>
      <w:r w:rsidRPr="001A3CA7">
        <w:rPr>
          <w:rFonts w:ascii="Tahoma" w:eastAsia="Times New Roman" w:hAnsi="Tahoma" w:cs="Tahoma"/>
          <w:sz w:val="24"/>
          <w:szCs w:val="24"/>
        </w:rPr>
        <w:t xml:space="preserve"> </w:t>
      </w:r>
    </w:p>
    <w:p w14:paraId="08CE7C6D" w14:textId="49F6A310" w:rsidR="1B4704F1" w:rsidRPr="001A3CA7" w:rsidRDefault="1B4704F1" w:rsidP="001A3CA7">
      <w:pPr>
        <w:spacing w:after="0" w:line="276" w:lineRule="auto"/>
        <w:ind w:firstLine="360"/>
        <w:jc w:val="both"/>
        <w:rPr>
          <w:rFonts w:ascii="Tahoma" w:hAnsi="Tahoma" w:cs="Tahoma"/>
          <w:sz w:val="24"/>
          <w:szCs w:val="24"/>
        </w:rPr>
      </w:pPr>
      <w:r w:rsidRPr="001A3CA7">
        <w:rPr>
          <w:rFonts w:ascii="Tahoma" w:eastAsia="Tahoma" w:hAnsi="Tahoma" w:cs="Tahoma"/>
          <w:sz w:val="24"/>
          <w:szCs w:val="24"/>
        </w:rPr>
        <w:t xml:space="preserve">De acuerdo con los argumentos expuestos en la sentencia de primera instancia, los fundamentos de la apelación y los alegatos de conclusión, le corresponde a la Sala resolver los siguientes problemas jurídicos: </w:t>
      </w:r>
    </w:p>
    <w:p w14:paraId="09AC2697" w14:textId="7F77F5D9" w:rsidR="1B4704F1" w:rsidRPr="001A3CA7" w:rsidRDefault="1B4704F1" w:rsidP="001A3CA7">
      <w:pPr>
        <w:spacing w:after="0" w:line="276" w:lineRule="auto"/>
        <w:jc w:val="center"/>
        <w:rPr>
          <w:rFonts w:ascii="Tahoma" w:hAnsi="Tahoma" w:cs="Tahoma"/>
          <w:sz w:val="24"/>
          <w:szCs w:val="24"/>
        </w:rPr>
      </w:pPr>
      <w:r w:rsidRPr="001A3CA7">
        <w:rPr>
          <w:rFonts w:ascii="Tahoma" w:eastAsia="Tahoma" w:hAnsi="Tahoma" w:cs="Tahoma"/>
          <w:b/>
          <w:bCs/>
          <w:sz w:val="24"/>
          <w:szCs w:val="24"/>
        </w:rPr>
        <w:t xml:space="preserve"> </w:t>
      </w:r>
    </w:p>
    <w:p w14:paraId="768C4F33" w14:textId="7081BC21" w:rsidR="1B4704F1" w:rsidRPr="001A3CA7" w:rsidRDefault="1B4704F1" w:rsidP="001A3CA7">
      <w:pPr>
        <w:pStyle w:val="Prrafodelista"/>
        <w:numPr>
          <w:ilvl w:val="0"/>
          <w:numId w:val="2"/>
        </w:numPr>
        <w:spacing w:line="276" w:lineRule="auto"/>
        <w:rPr>
          <w:rFonts w:eastAsiaTheme="minorEastAsia"/>
          <w:sz w:val="24"/>
          <w:szCs w:val="24"/>
        </w:rPr>
      </w:pPr>
      <w:r w:rsidRPr="001A3CA7">
        <w:rPr>
          <w:sz w:val="24"/>
          <w:szCs w:val="24"/>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287C6C3" w14:textId="710E49DD" w:rsidR="1B4704F1" w:rsidRPr="001A3CA7" w:rsidRDefault="1B4704F1" w:rsidP="001A3CA7">
      <w:pPr>
        <w:spacing w:after="0" w:line="276" w:lineRule="auto"/>
        <w:ind w:firstLine="707"/>
        <w:jc w:val="both"/>
        <w:rPr>
          <w:rFonts w:ascii="Tahoma" w:hAnsi="Tahoma" w:cs="Tahoma"/>
          <w:sz w:val="24"/>
          <w:szCs w:val="24"/>
        </w:rPr>
      </w:pPr>
      <w:r w:rsidRPr="001A3CA7">
        <w:rPr>
          <w:rFonts w:ascii="Tahoma" w:eastAsia="Tahoma" w:hAnsi="Tahoma" w:cs="Tahoma"/>
          <w:sz w:val="24"/>
          <w:szCs w:val="24"/>
          <w:lang w:val="es"/>
        </w:rPr>
        <w:t xml:space="preserve"> </w:t>
      </w:r>
    </w:p>
    <w:p w14:paraId="558B063A" w14:textId="64141BF9" w:rsidR="1B4704F1" w:rsidRPr="001A3CA7" w:rsidRDefault="1B4704F1" w:rsidP="001A3CA7">
      <w:pPr>
        <w:pStyle w:val="Prrafodelista"/>
        <w:numPr>
          <w:ilvl w:val="0"/>
          <w:numId w:val="2"/>
        </w:numPr>
        <w:spacing w:line="276" w:lineRule="auto"/>
        <w:rPr>
          <w:rFonts w:eastAsiaTheme="minorEastAsia"/>
          <w:sz w:val="24"/>
          <w:szCs w:val="24"/>
        </w:rPr>
      </w:pPr>
      <w:r w:rsidRPr="001A3CA7">
        <w:rPr>
          <w:sz w:val="24"/>
          <w:szCs w:val="24"/>
          <w:lang w:val="es"/>
        </w:rPr>
        <w:t xml:space="preserve">Definir si para dar por cumplido el deber de información de las </w:t>
      </w:r>
      <w:proofErr w:type="spellStart"/>
      <w:r w:rsidRPr="001A3CA7">
        <w:rPr>
          <w:sz w:val="24"/>
          <w:szCs w:val="24"/>
          <w:lang w:val="es"/>
        </w:rPr>
        <w:t>AFP</w:t>
      </w:r>
      <w:r w:rsidR="0070160D" w:rsidRPr="001A3CA7">
        <w:rPr>
          <w:sz w:val="24"/>
          <w:szCs w:val="24"/>
          <w:lang w:val="es"/>
        </w:rPr>
        <w:t>s</w:t>
      </w:r>
      <w:proofErr w:type="spellEnd"/>
      <w:r w:rsidRPr="001A3CA7">
        <w:rPr>
          <w:sz w:val="24"/>
          <w:szCs w:val="24"/>
          <w:lang w:val="es"/>
        </w:rPr>
        <w:t xml:space="preserve"> es suficiente el diligenciamiento del formulario de afiliación. </w:t>
      </w:r>
    </w:p>
    <w:p w14:paraId="4EC27C32" w14:textId="0BA4C4C9" w:rsidR="1B4704F1" w:rsidRPr="001A3CA7" w:rsidRDefault="1B4704F1" w:rsidP="001A3CA7">
      <w:pPr>
        <w:spacing w:after="0" w:line="276" w:lineRule="auto"/>
        <w:ind w:firstLine="707"/>
        <w:jc w:val="both"/>
        <w:rPr>
          <w:rFonts w:ascii="Tahoma" w:hAnsi="Tahoma" w:cs="Tahoma"/>
          <w:sz w:val="24"/>
          <w:szCs w:val="24"/>
        </w:rPr>
      </w:pPr>
      <w:r w:rsidRPr="001A3CA7">
        <w:rPr>
          <w:rFonts w:ascii="Tahoma" w:eastAsia="Tahoma" w:hAnsi="Tahoma" w:cs="Tahoma"/>
          <w:sz w:val="24"/>
          <w:szCs w:val="24"/>
          <w:lang w:val="es"/>
        </w:rPr>
        <w:t xml:space="preserve"> </w:t>
      </w:r>
    </w:p>
    <w:p w14:paraId="016DADBD" w14:textId="051B67BD" w:rsidR="1B4704F1" w:rsidRPr="001A3CA7" w:rsidRDefault="1B4704F1" w:rsidP="001A3CA7">
      <w:pPr>
        <w:pStyle w:val="Prrafodelista"/>
        <w:numPr>
          <w:ilvl w:val="0"/>
          <w:numId w:val="2"/>
        </w:numPr>
        <w:spacing w:line="276" w:lineRule="auto"/>
        <w:rPr>
          <w:rFonts w:eastAsiaTheme="minorEastAsia"/>
          <w:sz w:val="24"/>
          <w:szCs w:val="24"/>
        </w:rPr>
      </w:pPr>
      <w:r w:rsidRPr="001A3CA7">
        <w:rPr>
          <w:sz w:val="24"/>
          <w:szCs w:val="24"/>
          <w:lang w:val="es"/>
        </w:rPr>
        <w:t xml:space="preserve"> Determinar la carga probatoria que les corresponde a cada una de las partes cuando está en discusión la eficacia del traslado entre regímenes pensionales.</w:t>
      </w:r>
    </w:p>
    <w:p w14:paraId="2545FAB2" w14:textId="20E09811" w:rsidR="1B4704F1" w:rsidRPr="001A3CA7" w:rsidRDefault="1B4704F1" w:rsidP="001A3CA7">
      <w:pPr>
        <w:spacing w:after="0" w:line="276" w:lineRule="auto"/>
        <w:ind w:firstLine="707"/>
        <w:jc w:val="both"/>
        <w:rPr>
          <w:rFonts w:ascii="Tahoma" w:hAnsi="Tahoma" w:cs="Tahoma"/>
          <w:sz w:val="24"/>
          <w:szCs w:val="24"/>
        </w:rPr>
      </w:pPr>
      <w:r w:rsidRPr="001A3CA7">
        <w:rPr>
          <w:rFonts w:ascii="Tahoma" w:eastAsia="Tahoma" w:hAnsi="Tahoma" w:cs="Tahoma"/>
          <w:sz w:val="24"/>
          <w:szCs w:val="24"/>
          <w:lang w:val="es"/>
        </w:rPr>
        <w:t xml:space="preserve"> </w:t>
      </w:r>
    </w:p>
    <w:p w14:paraId="6611628F" w14:textId="2937FDE6" w:rsidR="1B4704F1" w:rsidRPr="001A3CA7" w:rsidRDefault="1B4704F1" w:rsidP="001A3CA7">
      <w:pPr>
        <w:pStyle w:val="Prrafodelista"/>
        <w:numPr>
          <w:ilvl w:val="0"/>
          <w:numId w:val="2"/>
        </w:numPr>
        <w:spacing w:line="276" w:lineRule="auto"/>
        <w:rPr>
          <w:rFonts w:eastAsiaTheme="minorEastAsia"/>
          <w:sz w:val="24"/>
          <w:szCs w:val="24"/>
        </w:rPr>
      </w:pPr>
      <w:r w:rsidRPr="001A3CA7">
        <w:rPr>
          <w:sz w:val="24"/>
          <w:szCs w:val="24"/>
          <w:lang w:val="es"/>
        </w:rPr>
        <w:t xml:space="preserve">Analizar si quedó probado en el proceso que la parte demandante recibió de parte de las </w:t>
      </w:r>
      <w:proofErr w:type="spellStart"/>
      <w:r w:rsidRPr="001A3CA7">
        <w:rPr>
          <w:sz w:val="24"/>
          <w:szCs w:val="24"/>
          <w:lang w:val="es"/>
        </w:rPr>
        <w:t>AFP</w:t>
      </w:r>
      <w:r w:rsidR="0070160D" w:rsidRPr="001A3CA7">
        <w:rPr>
          <w:sz w:val="24"/>
          <w:szCs w:val="24"/>
          <w:lang w:val="es"/>
        </w:rPr>
        <w:t>s</w:t>
      </w:r>
      <w:proofErr w:type="spellEnd"/>
      <w:r w:rsidRPr="001A3CA7">
        <w:rPr>
          <w:sz w:val="24"/>
          <w:szCs w:val="24"/>
          <w:lang w:val="es"/>
        </w:rPr>
        <w:t xml:space="preserve"> demandada</w:t>
      </w:r>
      <w:r w:rsidR="0094501E" w:rsidRPr="001A3CA7">
        <w:rPr>
          <w:sz w:val="24"/>
          <w:szCs w:val="24"/>
          <w:lang w:val="es"/>
        </w:rPr>
        <w:t>s</w:t>
      </w:r>
      <w:r w:rsidRPr="001A3CA7">
        <w:rPr>
          <w:sz w:val="24"/>
          <w:szCs w:val="24"/>
          <w:lang w:val="es"/>
        </w:rPr>
        <w:t xml:space="preserve">, la asesoría e información suficiente y necesaria para hacer el cambio de régimen. </w:t>
      </w:r>
    </w:p>
    <w:p w14:paraId="2AD179A6" w14:textId="77777777" w:rsidR="00DE2FBE" w:rsidRPr="001A3CA7" w:rsidRDefault="00DE2FBE" w:rsidP="001A3CA7">
      <w:pPr>
        <w:pStyle w:val="Prrafodelista"/>
        <w:spacing w:line="276" w:lineRule="auto"/>
        <w:rPr>
          <w:sz w:val="24"/>
          <w:szCs w:val="24"/>
        </w:rPr>
      </w:pPr>
    </w:p>
    <w:p w14:paraId="4134A04F" w14:textId="6957FFDB" w:rsidR="00DE2FBE" w:rsidRPr="001A3CA7" w:rsidRDefault="00DE2FBE" w:rsidP="001A3CA7">
      <w:pPr>
        <w:widowControl w:val="0"/>
        <w:numPr>
          <w:ilvl w:val="0"/>
          <w:numId w:val="2"/>
        </w:numPr>
        <w:tabs>
          <w:tab w:val="left" w:pos="993"/>
        </w:tabs>
        <w:autoSpaceDE w:val="0"/>
        <w:autoSpaceDN w:val="0"/>
        <w:adjustRightInd w:val="0"/>
        <w:spacing w:after="0" w:line="276" w:lineRule="auto"/>
        <w:jc w:val="both"/>
        <w:rPr>
          <w:rFonts w:ascii="Tahoma" w:hAnsi="Tahoma" w:cs="Tahoma"/>
          <w:sz w:val="24"/>
          <w:szCs w:val="24"/>
          <w:lang w:val="es-ES"/>
        </w:rPr>
      </w:pPr>
      <w:r w:rsidRPr="001A3CA7">
        <w:rPr>
          <w:rFonts w:ascii="Tahoma" w:hAnsi="Tahoma" w:cs="Tahoma"/>
          <w:sz w:val="24"/>
          <w:szCs w:val="24"/>
          <w:lang w:val="es-ES"/>
        </w:rPr>
        <w:t>Determinar si hay razón suficiente para apartarse del precedente jurisprudencial existente frente a la ineficacia del traslado de régimen.</w:t>
      </w:r>
    </w:p>
    <w:p w14:paraId="3306DC82" w14:textId="08903641" w:rsidR="1B4704F1" w:rsidRPr="001A3CA7" w:rsidRDefault="1B4704F1" w:rsidP="001A3CA7">
      <w:pPr>
        <w:spacing w:after="0" w:line="276" w:lineRule="auto"/>
        <w:ind w:firstLine="707"/>
        <w:jc w:val="both"/>
        <w:rPr>
          <w:rFonts w:ascii="Tahoma" w:hAnsi="Tahoma" w:cs="Tahoma"/>
          <w:sz w:val="24"/>
          <w:szCs w:val="24"/>
        </w:rPr>
      </w:pPr>
    </w:p>
    <w:p w14:paraId="2EBBB18E" w14:textId="0FF0F01B" w:rsidR="1B4704F1" w:rsidRPr="001A3CA7" w:rsidRDefault="1B4704F1" w:rsidP="001A3CA7">
      <w:pPr>
        <w:pStyle w:val="Prrafodelista"/>
        <w:numPr>
          <w:ilvl w:val="0"/>
          <w:numId w:val="2"/>
        </w:numPr>
        <w:spacing w:line="276" w:lineRule="auto"/>
        <w:rPr>
          <w:rFonts w:eastAsiaTheme="minorEastAsia"/>
          <w:sz w:val="24"/>
          <w:szCs w:val="24"/>
        </w:rPr>
      </w:pPr>
      <w:r w:rsidRPr="001A3CA7">
        <w:rPr>
          <w:sz w:val="24"/>
          <w:szCs w:val="24"/>
          <w:lang w:val="es"/>
        </w:rPr>
        <w:t>Establecer si es dable ordenar a la</w:t>
      </w:r>
      <w:r w:rsidR="0070160D" w:rsidRPr="001A3CA7">
        <w:rPr>
          <w:sz w:val="24"/>
          <w:szCs w:val="24"/>
          <w:lang w:val="es"/>
        </w:rPr>
        <w:t>s</w:t>
      </w:r>
      <w:r w:rsidRPr="001A3CA7">
        <w:rPr>
          <w:sz w:val="24"/>
          <w:szCs w:val="24"/>
          <w:lang w:val="es"/>
        </w:rPr>
        <w:t xml:space="preserve"> </w:t>
      </w:r>
      <w:proofErr w:type="spellStart"/>
      <w:r w:rsidRPr="001A3CA7">
        <w:rPr>
          <w:sz w:val="24"/>
          <w:szCs w:val="24"/>
          <w:lang w:val="es"/>
        </w:rPr>
        <w:t>AFP</w:t>
      </w:r>
      <w:r w:rsidR="0070160D" w:rsidRPr="001A3CA7">
        <w:rPr>
          <w:sz w:val="24"/>
          <w:szCs w:val="24"/>
          <w:lang w:val="es"/>
        </w:rPr>
        <w:t>s</w:t>
      </w:r>
      <w:proofErr w:type="spellEnd"/>
      <w:r w:rsidRPr="001A3CA7">
        <w:rPr>
          <w:sz w:val="24"/>
          <w:szCs w:val="24"/>
          <w:lang w:val="es"/>
        </w:rPr>
        <w:t xml:space="preserve"> demandada la devolución, con cargo a sus propios recursos de los gastos de administración, comisiones</w:t>
      </w:r>
      <w:bookmarkStart w:id="6" w:name="_Hlk77058474"/>
      <w:r w:rsidRPr="001A3CA7">
        <w:rPr>
          <w:sz w:val="24"/>
          <w:szCs w:val="24"/>
          <w:lang w:val="es"/>
        </w:rPr>
        <w:t>, cuotas de garantía de pensión mínima y seguros previsionales a Colpensiones.</w:t>
      </w:r>
      <w:bookmarkEnd w:id="6"/>
    </w:p>
    <w:p w14:paraId="7EA5202B" w14:textId="53CC4FBD" w:rsidR="004D57BB" w:rsidRPr="001A3CA7" w:rsidRDefault="1B4704F1" w:rsidP="001A3CA7">
      <w:pPr>
        <w:spacing w:after="0" w:line="276" w:lineRule="auto"/>
        <w:ind w:firstLine="707"/>
        <w:jc w:val="both"/>
        <w:rPr>
          <w:rFonts w:ascii="Tahoma" w:eastAsiaTheme="minorEastAsia" w:hAnsi="Tahoma" w:cs="Tahoma"/>
          <w:sz w:val="24"/>
          <w:szCs w:val="24"/>
        </w:rPr>
      </w:pPr>
      <w:r w:rsidRPr="001A3CA7">
        <w:rPr>
          <w:rFonts w:ascii="Tahoma" w:eastAsia="Tahoma" w:hAnsi="Tahoma" w:cs="Tahoma"/>
          <w:sz w:val="24"/>
          <w:szCs w:val="24"/>
          <w:lang w:val="es"/>
        </w:rPr>
        <w:t xml:space="preserve"> </w:t>
      </w:r>
    </w:p>
    <w:p w14:paraId="750FEA86" w14:textId="4B909E20" w:rsidR="004D57BB" w:rsidRPr="001A3CA7" w:rsidRDefault="004D57BB" w:rsidP="001A3CA7">
      <w:pPr>
        <w:pStyle w:val="Prrafodelista"/>
        <w:numPr>
          <w:ilvl w:val="0"/>
          <w:numId w:val="2"/>
        </w:numPr>
        <w:spacing w:line="276" w:lineRule="auto"/>
        <w:rPr>
          <w:sz w:val="24"/>
          <w:szCs w:val="24"/>
          <w:lang w:val="es"/>
        </w:rPr>
      </w:pPr>
      <w:r w:rsidRPr="001A3CA7">
        <w:rPr>
          <w:sz w:val="24"/>
          <w:szCs w:val="24"/>
          <w:lang w:val="es"/>
        </w:rPr>
        <w:t>Determinar si hay lugar a exonerar en costas de primer grado a Protección S.A.</w:t>
      </w:r>
    </w:p>
    <w:bookmarkEnd w:id="5"/>
    <w:p w14:paraId="15C3DA3E" w14:textId="2B3185B8" w:rsidR="004D57BB" w:rsidRDefault="004D57BB" w:rsidP="001A3CA7">
      <w:pPr>
        <w:widowControl w:val="0"/>
        <w:autoSpaceDE w:val="0"/>
        <w:autoSpaceDN w:val="0"/>
        <w:adjustRightInd w:val="0"/>
        <w:spacing w:after="0" w:line="276" w:lineRule="auto"/>
        <w:ind w:firstLine="284"/>
        <w:jc w:val="both"/>
        <w:rPr>
          <w:rFonts w:ascii="Tahoma" w:eastAsia="Calibri" w:hAnsi="Tahoma" w:cs="Tahoma"/>
          <w:sz w:val="24"/>
          <w:szCs w:val="24"/>
        </w:rPr>
      </w:pPr>
    </w:p>
    <w:p w14:paraId="25E3AC74" w14:textId="77777777" w:rsidR="000078B1" w:rsidRPr="001A3CA7" w:rsidRDefault="000078B1" w:rsidP="001A3CA7">
      <w:pPr>
        <w:widowControl w:val="0"/>
        <w:autoSpaceDE w:val="0"/>
        <w:autoSpaceDN w:val="0"/>
        <w:adjustRightInd w:val="0"/>
        <w:spacing w:after="0" w:line="276" w:lineRule="auto"/>
        <w:ind w:firstLine="284"/>
        <w:jc w:val="both"/>
        <w:rPr>
          <w:rFonts w:ascii="Tahoma" w:eastAsia="Calibri" w:hAnsi="Tahoma" w:cs="Tahoma"/>
          <w:sz w:val="24"/>
          <w:szCs w:val="24"/>
        </w:rPr>
      </w:pPr>
    </w:p>
    <w:p w14:paraId="1FF1DDB3" w14:textId="77777777" w:rsidR="00167260" w:rsidRPr="00167260" w:rsidRDefault="00167260" w:rsidP="00167260">
      <w:pPr>
        <w:pStyle w:val="Prrafodelista"/>
        <w:numPr>
          <w:ilvl w:val="0"/>
          <w:numId w:val="3"/>
        </w:numPr>
        <w:spacing w:line="276" w:lineRule="auto"/>
        <w:jc w:val="center"/>
        <w:rPr>
          <w:b/>
          <w:bCs/>
          <w:sz w:val="24"/>
          <w:szCs w:val="24"/>
          <w:lang w:val="es"/>
        </w:rPr>
      </w:pPr>
      <w:r w:rsidRPr="00167260">
        <w:rPr>
          <w:b/>
          <w:bCs/>
          <w:sz w:val="24"/>
          <w:szCs w:val="24"/>
          <w:lang w:val="es"/>
        </w:rPr>
        <w:t>Consideraciones</w:t>
      </w:r>
    </w:p>
    <w:p w14:paraId="1CD2DD98"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b/>
          <w:sz w:val="24"/>
          <w:szCs w:val="24"/>
        </w:rPr>
      </w:pPr>
    </w:p>
    <w:p w14:paraId="608BC138" w14:textId="77777777" w:rsidR="00167260" w:rsidRPr="00167260" w:rsidRDefault="00167260" w:rsidP="00167260">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167260">
        <w:rPr>
          <w:rFonts w:ascii="Tahoma" w:eastAsia="Calibri" w:hAnsi="Tahoma" w:cs="Tahoma"/>
          <w:b/>
          <w:sz w:val="24"/>
          <w:szCs w:val="24"/>
        </w:rPr>
        <w:t xml:space="preserve">Precedente vertical: la tesis de la Corte Suprema de Justicia respecto al tema de la ineficacia del traslado constituye doctrina probable </w:t>
      </w:r>
    </w:p>
    <w:p w14:paraId="6C80799A"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17C5F73E" w14:textId="77777777" w:rsidR="00167260" w:rsidRPr="00167260" w:rsidRDefault="00167260" w:rsidP="00167260">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sz w:val="24"/>
          <w:szCs w:val="24"/>
        </w:rPr>
        <w:t xml:space="preserve">En la actualidad existe </w:t>
      </w:r>
      <w:r w:rsidRPr="00167260">
        <w:rPr>
          <w:rFonts w:ascii="Tahoma" w:eastAsia="Calibri" w:hAnsi="Tahoma" w:cs="Tahoma"/>
          <w:b/>
          <w:sz w:val="24"/>
          <w:szCs w:val="24"/>
        </w:rPr>
        <w:t>doctrina probable</w:t>
      </w:r>
      <w:r w:rsidRPr="00167260">
        <w:rPr>
          <w:rFonts w:ascii="Tahoma" w:eastAsia="Calibri"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20AAC763"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52AFEDD7" w14:textId="77777777" w:rsidR="00167260" w:rsidRPr="00167260" w:rsidRDefault="00167260" w:rsidP="00167260">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bCs/>
          <w:sz w:val="24"/>
          <w:szCs w:val="24"/>
        </w:rPr>
        <w:t xml:space="preserve">SL 31989 del 9 sep. 2008, </w:t>
      </w:r>
      <w:r w:rsidRPr="00167260">
        <w:rPr>
          <w:rFonts w:ascii="Tahoma" w:eastAsia="Calibri" w:hAnsi="Tahoma" w:cs="Tahoma"/>
          <w:sz w:val="24"/>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24438E2"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4E46FF88" w14:textId="77777777" w:rsidR="00167260" w:rsidRPr="00167260" w:rsidRDefault="00167260" w:rsidP="00167260">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sz w:val="24"/>
          <w:szCs w:val="24"/>
        </w:rPr>
        <w:t xml:space="preserve">En términos generales, en todas estas sentencias se determinó </w:t>
      </w:r>
      <w:r w:rsidRPr="00167260">
        <w:rPr>
          <w:rFonts w:ascii="Tahoma" w:eastAsia="Calibri" w:hAnsi="Tahoma" w:cs="Tahoma"/>
          <w:i/>
          <w:sz w:val="24"/>
          <w:szCs w:val="24"/>
        </w:rPr>
        <w:t xml:space="preserve">i) </w:t>
      </w:r>
      <w:r w:rsidRPr="00167260">
        <w:rPr>
          <w:rFonts w:ascii="Tahoma" w:eastAsia="Calibri" w:hAnsi="Tahoma" w:cs="Tahoma"/>
          <w:sz w:val="24"/>
          <w:szCs w:val="24"/>
        </w:rPr>
        <w:t xml:space="preserve">el alcance del deber de información a cargo de las Administradoras de Fondos de Pensiones, </w:t>
      </w:r>
      <w:r w:rsidRPr="00167260">
        <w:rPr>
          <w:rFonts w:ascii="Tahoma" w:eastAsia="Calibri" w:hAnsi="Tahoma" w:cs="Tahoma"/>
          <w:i/>
          <w:sz w:val="24"/>
          <w:szCs w:val="24"/>
        </w:rPr>
        <w:t xml:space="preserve">ii) </w:t>
      </w:r>
      <w:r w:rsidRPr="00167260">
        <w:rPr>
          <w:rFonts w:ascii="Tahoma" w:eastAsia="Calibri" w:hAnsi="Tahoma" w:cs="Tahoma"/>
          <w:sz w:val="24"/>
          <w:szCs w:val="24"/>
        </w:rPr>
        <w:t xml:space="preserve">la procedencia de la ineficacia del traslado, </w:t>
      </w:r>
      <w:r w:rsidRPr="00167260">
        <w:rPr>
          <w:rFonts w:ascii="Tahoma" w:eastAsia="Calibri" w:hAnsi="Tahoma" w:cs="Tahoma"/>
          <w:i/>
          <w:sz w:val="24"/>
          <w:szCs w:val="24"/>
        </w:rPr>
        <w:t xml:space="preserve">iii) </w:t>
      </w:r>
      <w:r w:rsidRPr="00167260">
        <w:rPr>
          <w:rFonts w:ascii="Tahoma" w:eastAsia="Calibri" w:hAnsi="Tahoma" w:cs="Tahoma"/>
          <w:sz w:val="24"/>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14C5DE8C"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05F7680C" w14:textId="77777777" w:rsidR="00167260" w:rsidRPr="00167260" w:rsidRDefault="00167260" w:rsidP="00167260">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167260">
        <w:rPr>
          <w:rFonts w:ascii="Tahoma" w:eastAsia="Calibri" w:hAnsi="Tahoma" w:cs="Tahoma"/>
          <w:b/>
          <w:iCs/>
          <w:sz w:val="24"/>
          <w:szCs w:val="24"/>
        </w:rPr>
        <w:t>“El deber de información a cargo de las administradoras de fondos de pensiones: Un deber exigible desde su creación</w:t>
      </w:r>
      <w:r w:rsidRPr="00167260">
        <w:rPr>
          <w:rFonts w:ascii="Tahoma" w:eastAsia="Calibri" w:hAnsi="Tahoma" w:cs="Tahoma"/>
          <w:b/>
          <w:iCs/>
          <w:sz w:val="24"/>
          <w:szCs w:val="24"/>
          <w:vertAlign w:val="superscript"/>
        </w:rPr>
        <w:footnoteReference w:id="1"/>
      </w:r>
      <w:r w:rsidRPr="00167260">
        <w:rPr>
          <w:rFonts w:ascii="Tahoma" w:eastAsia="Calibri" w:hAnsi="Tahoma" w:cs="Tahoma"/>
          <w:b/>
          <w:iCs/>
          <w:sz w:val="24"/>
          <w:szCs w:val="24"/>
        </w:rPr>
        <w:t>”</w:t>
      </w:r>
    </w:p>
    <w:p w14:paraId="7F5F36E6"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i/>
          <w:sz w:val="24"/>
          <w:szCs w:val="24"/>
        </w:rPr>
      </w:pPr>
    </w:p>
    <w:p w14:paraId="02CA0BA5" w14:textId="77777777" w:rsidR="00167260" w:rsidRPr="00167260" w:rsidRDefault="00167260" w:rsidP="00167260">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sz w:val="24"/>
          <w:szCs w:val="24"/>
        </w:rPr>
        <w:t xml:space="preserve">Dado que las Administradoras de Fondos de Pensiones son organismos profesionales, resulta aplicable el artículo 1604 del Código Civil, según el cual la prueba de la </w:t>
      </w:r>
      <w:r w:rsidRPr="00167260">
        <w:rPr>
          <w:rFonts w:ascii="Tahoma" w:eastAsia="Calibri" w:hAnsi="Tahoma" w:cs="Tahoma"/>
          <w:sz w:val="24"/>
          <w:szCs w:val="24"/>
          <w:u w:val="single"/>
        </w:rPr>
        <w:t>debida diligencia y cuidado</w:t>
      </w:r>
      <w:r w:rsidRPr="00167260">
        <w:rPr>
          <w:rFonts w:ascii="Tahoma" w:eastAsia="Calibri" w:hAnsi="Tahoma" w:cs="Tahoma"/>
          <w:sz w:val="24"/>
          <w:szCs w:val="24"/>
        </w:rPr>
        <w:t xml:space="preserve"> incumbe a quien ha debido emplearla, atendiendo a las siguientes razones:</w:t>
      </w:r>
    </w:p>
    <w:p w14:paraId="1C2D769C"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b/>
          <w:sz w:val="24"/>
          <w:szCs w:val="24"/>
        </w:rPr>
      </w:pPr>
    </w:p>
    <w:p w14:paraId="172C04F6" w14:textId="77777777" w:rsidR="00167260" w:rsidRPr="00167260" w:rsidRDefault="00167260" w:rsidP="00167260">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b/>
          <w:sz w:val="24"/>
          <w:szCs w:val="24"/>
        </w:rPr>
        <w:t>1)</w:t>
      </w:r>
      <w:r w:rsidRPr="00167260">
        <w:rPr>
          <w:rFonts w:ascii="Tahoma" w:eastAsia="Calibri" w:hAnsi="Tahoma" w:cs="Tahoma"/>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167260">
        <w:rPr>
          <w:rFonts w:ascii="Tahoma" w:eastAsia="Calibri" w:hAnsi="Tahoma" w:cs="Tahoma"/>
          <w:sz w:val="24"/>
          <w:szCs w:val="24"/>
          <w:u w:val="single"/>
        </w:rPr>
        <w:t>Decreto 663 de 1993</w:t>
      </w:r>
      <w:r w:rsidRPr="00167260">
        <w:rPr>
          <w:rFonts w:ascii="Tahoma" w:eastAsia="Calibri" w:hAnsi="Tahoma" w:cs="Tahoma"/>
          <w:sz w:val="24"/>
          <w:szCs w:val="24"/>
          <w:u w:val="single"/>
          <w:vertAlign w:val="superscript"/>
        </w:rPr>
        <w:footnoteReference w:id="2"/>
      </w:r>
      <w:r w:rsidRPr="00167260">
        <w:rPr>
          <w:rFonts w:ascii="Tahoma" w:eastAsia="Calibri" w:hAnsi="Tahoma" w:cs="Tahoma"/>
          <w:sz w:val="24"/>
          <w:szCs w:val="24"/>
        </w:rPr>
        <w:t>, norma en la que se destaca la importancia de los principios de debida diligencia, transparencia e información cierta, suficiente y oportuna.</w:t>
      </w:r>
    </w:p>
    <w:p w14:paraId="0EC70406"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03F20591" w14:textId="77777777" w:rsidR="00167260" w:rsidRPr="00167260" w:rsidRDefault="00167260" w:rsidP="00167260">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b/>
          <w:sz w:val="24"/>
          <w:szCs w:val="24"/>
        </w:rPr>
        <w:t>2)</w:t>
      </w:r>
      <w:r w:rsidRPr="00167260">
        <w:rPr>
          <w:rFonts w:ascii="Tahoma" w:eastAsia="Calibri" w:hAnsi="Tahoma" w:cs="Tahoma"/>
          <w:sz w:val="24"/>
          <w:szCs w:val="24"/>
        </w:rPr>
        <w:t xml:space="preserve"> Adicionalmente, se tiene previsto en el artículo 12 del Decreto 720 de 1994, que los promotores que empleen las sociedades administradoras del sistema general </w:t>
      </w:r>
      <w:r w:rsidRPr="00167260">
        <w:rPr>
          <w:rFonts w:ascii="Tahoma" w:eastAsia="Calibri" w:hAnsi="Tahoma" w:cs="Tahoma"/>
          <w:sz w:val="24"/>
          <w:szCs w:val="24"/>
        </w:rPr>
        <w:lastRenderedPageBreak/>
        <w:t xml:space="preserve">de pensiones deberán suministrar </w:t>
      </w:r>
      <w:r w:rsidRPr="00167260">
        <w:rPr>
          <w:rFonts w:ascii="Tahoma" w:eastAsia="Calibri" w:hAnsi="Tahoma" w:cs="Tahoma"/>
          <w:sz w:val="24"/>
          <w:szCs w:val="24"/>
          <w:u w:val="single"/>
        </w:rPr>
        <w:t>suficiente, amplia y oportuna</w:t>
      </w:r>
      <w:r w:rsidRPr="00167260">
        <w:rPr>
          <w:rFonts w:ascii="Tahoma" w:eastAsia="Calibri" w:hAnsi="Tahoma" w:cs="Tahoma"/>
          <w:sz w:val="24"/>
          <w:szCs w:val="24"/>
        </w:rPr>
        <w:t xml:space="preserve"> información a los posibles afiliados al momento de la promoción de la afiliación y durante toda la vinculación con ocasión de las prestaciones a las cuales tenga derecho el afiliado. </w:t>
      </w:r>
    </w:p>
    <w:p w14:paraId="76CC45AB"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1599A197" w14:textId="77777777" w:rsidR="00167260" w:rsidRPr="00167260" w:rsidRDefault="00167260" w:rsidP="00167260">
      <w:pPr>
        <w:widowControl w:val="0"/>
        <w:autoSpaceDE w:val="0"/>
        <w:autoSpaceDN w:val="0"/>
        <w:adjustRightInd w:val="0"/>
        <w:spacing w:after="0" w:line="276" w:lineRule="auto"/>
        <w:ind w:firstLine="709"/>
        <w:jc w:val="both"/>
        <w:rPr>
          <w:rFonts w:ascii="Tahoma" w:eastAsia="Calibri" w:hAnsi="Tahoma" w:cs="Tahoma"/>
          <w:sz w:val="24"/>
          <w:szCs w:val="24"/>
        </w:rPr>
      </w:pPr>
      <w:r w:rsidRPr="00167260">
        <w:rPr>
          <w:rFonts w:ascii="Tahoma" w:eastAsia="Calibri" w:hAnsi="Tahoma" w:cs="Tahoma"/>
          <w:b/>
          <w:sz w:val="24"/>
          <w:szCs w:val="24"/>
        </w:rPr>
        <w:t>3)</w:t>
      </w:r>
      <w:r w:rsidRPr="00167260">
        <w:rPr>
          <w:rFonts w:ascii="Tahoma" w:eastAsia="Calibri" w:hAnsi="Tahoma" w:cs="Tahoma"/>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1D8EA0F"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399810E0" w14:textId="77777777" w:rsidR="00167260" w:rsidRPr="00167260" w:rsidRDefault="00167260" w:rsidP="00167260">
      <w:pPr>
        <w:widowControl w:val="0"/>
        <w:autoSpaceDE w:val="0"/>
        <w:autoSpaceDN w:val="0"/>
        <w:adjustRightInd w:val="0"/>
        <w:spacing w:after="0" w:line="276" w:lineRule="auto"/>
        <w:ind w:firstLine="709"/>
        <w:jc w:val="both"/>
        <w:rPr>
          <w:rFonts w:ascii="Tahoma" w:eastAsia="Calibri" w:hAnsi="Tahoma" w:cs="Tahoma"/>
          <w:iCs/>
          <w:sz w:val="24"/>
          <w:szCs w:val="24"/>
          <w:u w:val="single"/>
        </w:rPr>
      </w:pPr>
      <w:r w:rsidRPr="00167260">
        <w:rPr>
          <w:rFonts w:ascii="Tahoma" w:eastAsia="Calibri" w:hAnsi="Tahoma" w:cs="Tahoma"/>
          <w:b/>
          <w:sz w:val="24"/>
          <w:szCs w:val="24"/>
        </w:rPr>
        <w:t>4)</w:t>
      </w:r>
      <w:r w:rsidRPr="00167260">
        <w:rPr>
          <w:rFonts w:ascii="Tahoma" w:eastAsia="Calibri" w:hAnsi="Tahoma" w:cs="Tahoma"/>
          <w:sz w:val="24"/>
          <w:szCs w:val="24"/>
        </w:rPr>
        <w:t xml:space="preserve"> En numerosas sentencias del órgano de cierre de la jurisdicción ordinaria laboral, se ha establecido que no puede argüirse que </w:t>
      </w:r>
      <w:r w:rsidRPr="00167260">
        <w:rPr>
          <w:rFonts w:ascii="Tahoma" w:eastAsia="Calibri" w:hAnsi="Tahoma" w:cs="Tahoma"/>
          <w:iCs/>
          <w:sz w:val="24"/>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167260">
        <w:rPr>
          <w:rFonts w:ascii="Tahoma" w:eastAsia="Calibri" w:hAnsi="Tahoma" w:cs="Tahoma"/>
          <w:i/>
          <w:iCs/>
          <w:sz w:val="24"/>
          <w:szCs w:val="24"/>
        </w:rPr>
        <w:t>“</w:t>
      </w:r>
      <w:r w:rsidRPr="00167260">
        <w:rPr>
          <w:rFonts w:ascii="Tahoma" w:eastAsia="Calibri" w:hAnsi="Tahoma" w:cs="Tahoma"/>
          <w:i/>
          <w:iCs/>
          <w:szCs w:val="24"/>
          <w:u w:val="single"/>
        </w:rPr>
        <w:t>dar cuenta de que documentaron clara y suficientemente los efectos que acarrea el cambio de régimen, so pena de declarar ineficaz ese tránsito</w:t>
      </w:r>
      <w:r w:rsidRPr="00167260">
        <w:rPr>
          <w:rFonts w:ascii="Tahoma" w:eastAsia="Calibri" w:hAnsi="Tahoma" w:cs="Tahoma"/>
          <w:i/>
          <w:iCs/>
          <w:sz w:val="24"/>
          <w:szCs w:val="24"/>
          <w:u w:val="single"/>
        </w:rPr>
        <w:t>”</w:t>
      </w:r>
      <w:r w:rsidRPr="00167260">
        <w:rPr>
          <w:rFonts w:ascii="Tahoma" w:eastAsia="Calibri" w:hAnsi="Tahoma" w:cs="Tahoma"/>
          <w:iCs/>
          <w:sz w:val="24"/>
          <w:szCs w:val="24"/>
          <w:u w:val="single"/>
        </w:rPr>
        <w:t>.</w:t>
      </w:r>
    </w:p>
    <w:p w14:paraId="19CC2989"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iCs/>
          <w:sz w:val="24"/>
          <w:szCs w:val="24"/>
          <w:u w:val="single"/>
        </w:rPr>
      </w:pPr>
    </w:p>
    <w:p w14:paraId="48621D2C"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iCs/>
          <w:sz w:val="24"/>
          <w:szCs w:val="24"/>
        </w:rPr>
      </w:pPr>
      <w:r w:rsidRPr="00167260">
        <w:rPr>
          <w:rFonts w:ascii="Tahoma" w:eastAsia="Calibri" w:hAnsi="Tahoma" w:cs="Tahoma"/>
          <w:iCs/>
          <w:sz w:val="24"/>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70607DC"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iCs/>
          <w:sz w:val="24"/>
          <w:szCs w:val="24"/>
        </w:rPr>
      </w:pPr>
    </w:p>
    <w:p w14:paraId="3D686BD2"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iCs/>
          <w:sz w:val="24"/>
          <w:szCs w:val="24"/>
        </w:rPr>
      </w:pPr>
      <w:r w:rsidRPr="00167260">
        <w:rPr>
          <w:rFonts w:ascii="Tahoma" w:eastAsia="Calibri" w:hAnsi="Tahoma" w:cs="Tahoma"/>
          <w:iCs/>
          <w:sz w:val="24"/>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9FD3C84"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iCs/>
          <w:sz w:val="24"/>
          <w:szCs w:val="24"/>
        </w:rPr>
      </w:pPr>
    </w:p>
    <w:p w14:paraId="33077D01"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r w:rsidRPr="00167260">
        <w:rPr>
          <w:rFonts w:ascii="Tahoma" w:eastAsia="Calibri" w:hAnsi="Tahoma" w:cs="Tahoma"/>
          <w:sz w:val="24"/>
          <w:szCs w:val="24"/>
        </w:rPr>
        <w:tab/>
        <w:t xml:space="preserve">Ello así, también ha dicho el órgano de cierre de la especialidad laboral, que las </w:t>
      </w:r>
      <w:proofErr w:type="spellStart"/>
      <w:r w:rsidRPr="00167260">
        <w:rPr>
          <w:rFonts w:ascii="Tahoma" w:eastAsia="Calibri" w:hAnsi="Tahoma" w:cs="Tahoma"/>
          <w:sz w:val="24"/>
          <w:szCs w:val="24"/>
        </w:rPr>
        <w:t>AFPs</w:t>
      </w:r>
      <w:proofErr w:type="spellEnd"/>
      <w:r w:rsidRPr="00167260">
        <w:rPr>
          <w:rFonts w:ascii="Tahoma" w:eastAsia="Calibri" w:hAnsi="Tahoma" w:cs="Tahoma"/>
          <w:sz w:val="24"/>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41535C2A"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36039811" w14:textId="77777777" w:rsidR="00167260" w:rsidRPr="00167260" w:rsidRDefault="00167260" w:rsidP="00167260">
      <w:pPr>
        <w:widowControl w:val="0"/>
        <w:autoSpaceDE w:val="0"/>
        <w:autoSpaceDN w:val="0"/>
        <w:adjustRightInd w:val="0"/>
        <w:spacing w:after="0" w:line="276" w:lineRule="auto"/>
        <w:ind w:firstLine="708"/>
        <w:jc w:val="both"/>
        <w:rPr>
          <w:rFonts w:ascii="Tahoma" w:eastAsia="Calibri" w:hAnsi="Tahoma" w:cs="Tahoma"/>
          <w:sz w:val="24"/>
          <w:szCs w:val="24"/>
        </w:rPr>
      </w:pPr>
      <w:bookmarkStart w:id="7" w:name="_Hlk90025453"/>
      <w:r w:rsidRPr="00167260">
        <w:rPr>
          <w:rFonts w:ascii="Tahoma" w:eastAsia="Calibri" w:hAnsi="Tahoma" w:cs="Tahoma"/>
          <w:sz w:val="24"/>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w:t>
      </w:r>
      <w:r w:rsidRPr="00167260">
        <w:rPr>
          <w:rFonts w:ascii="Tahoma" w:eastAsia="Calibri" w:hAnsi="Tahoma" w:cs="Tahoma"/>
          <w:sz w:val="24"/>
          <w:szCs w:val="24"/>
        </w:rPr>
        <w:lastRenderedPageBreak/>
        <w:t xml:space="preserve">privados, dividiéndolo en 3 etapas, de cuyo análisis se llega a la conclusión de que a las AFP les compete, desde su creación, el deber de suministrar una información </w:t>
      </w:r>
      <w:r w:rsidRPr="00167260">
        <w:rPr>
          <w:rFonts w:ascii="Tahoma" w:eastAsia="Calibri" w:hAnsi="Tahoma" w:cs="Tahoma"/>
          <w:b/>
          <w:sz w:val="24"/>
          <w:szCs w:val="24"/>
        </w:rPr>
        <w:t xml:space="preserve">necesaria y transparente, </w:t>
      </w:r>
      <w:r w:rsidRPr="00167260">
        <w:rPr>
          <w:rFonts w:ascii="Tahoma" w:eastAsia="Calibri" w:hAnsi="Tahoma" w:cs="Tahoma"/>
          <w:sz w:val="24"/>
          <w:szCs w:val="24"/>
        </w:rPr>
        <w:t xml:space="preserve">que con el transcurrir del tiempo esta exigencia cambió, pasando de un deber de información necesaria al de </w:t>
      </w:r>
      <w:r w:rsidRPr="00167260">
        <w:rPr>
          <w:rFonts w:ascii="Tahoma" w:eastAsia="Calibri" w:hAnsi="Tahoma" w:cs="Tahoma"/>
          <w:b/>
          <w:sz w:val="24"/>
          <w:szCs w:val="24"/>
        </w:rPr>
        <w:t>asesoría y buen consejo</w:t>
      </w:r>
      <w:r w:rsidRPr="00167260">
        <w:rPr>
          <w:rFonts w:ascii="Tahoma" w:eastAsia="Calibri" w:hAnsi="Tahoma" w:cs="Tahoma"/>
          <w:sz w:val="24"/>
          <w:szCs w:val="24"/>
        </w:rPr>
        <w:t xml:space="preserve">, y finalmente al de </w:t>
      </w:r>
      <w:r w:rsidRPr="00167260">
        <w:rPr>
          <w:rFonts w:ascii="Tahoma" w:eastAsia="Calibri" w:hAnsi="Tahoma" w:cs="Tahoma"/>
          <w:b/>
          <w:sz w:val="24"/>
          <w:szCs w:val="24"/>
        </w:rPr>
        <w:t>doble asesoría</w:t>
      </w:r>
      <w:r w:rsidRPr="00167260">
        <w:rPr>
          <w:rFonts w:ascii="Tahoma" w:eastAsia="Calibri" w:hAnsi="Tahoma" w:cs="Tahoma"/>
          <w:sz w:val="24"/>
          <w:szCs w:val="24"/>
        </w:rPr>
        <w:t>, explicando en qué consiste cada uno de esos conceptos</w:t>
      </w:r>
      <w:bookmarkEnd w:id="7"/>
      <w:r w:rsidRPr="00167260">
        <w:rPr>
          <w:rFonts w:ascii="Tahoma" w:eastAsia="Calibri" w:hAnsi="Tahoma" w:cs="Tahoma"/>
          <w:sz w:val="24"/>
          <w:szCs w:val="24"/>
        </w:rPr>
        <w:t>. Dicho recuento histórico, se compendia de la siguiente manera:</w:t>
      </w:r>
    </w:p>
    <w:p w14:paraId="42ED91BA"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2EFC6656" w14:textId="77777777" w:rsidR="00167260" w:rsidRPr="00167260" w:rsidRDefault="00167260" w:rsidP="00167260">
      <w:pPr>
        <w:spacing w:after="0" w:line="240" w:lineRule="auto"/>
        <w:ind w:left="426" w:right="420"/>
        <w:jc w:val="both"/>
        <w:textAlignment w:val="baseline"/>
        <w:rPr>
          <w:rFonts w:ascii="Tahoma" w:eastAsia="Times New Roman" w:hAnsi="Tahoma" w:cs="Tahoma"/>
          <w:szCs w:val="24"/>
          <w:lang w:val="es-ES" w:eastAsia="es-ES"/>
        </w:rPr>
      </w:pPr>
      <w:bookmarkStart w:id="8" w:name="_Hlk66368436"/>
      <w:bookmarkStart w:id="9" w:name="_Hlk90025057"/>
      <w:r w:rsidRPr="00167260">
        <w:rPr>
          <w:rFonts w:ascii="Tahoma" w:eastAsia="Times New Roman" w:hAnsi="Tahoma" w:cs="Tahoma"/>
          <w:i/>
          <w:iCs/>
          <w:szCs w:val="24"/>
          <w:lang w:val="es-ES" w:eastAsia="es-ES"/>
        </w:rPr>
        <w:t>“El anterior recuento sobre la evolución normativa del deber de información a cargo de las administradoras de pensiones podría, a grandes rasgos, sintetizarse así:</w:t>
      </w:r>
    </w:p>
    <w:p w14:paraId="23EEBBF3" w14:textId="77777777" w:rsidR="00167260" w:rsidRPr="00167260" w:rsidRDefault="00167260" w:rsidP="00167260">
      <w:pPr>
        <w:spacing w:after="0" w:line="240" w:lineRule="auto"/>
        <w:ind w:left="426" w:right="420"/>
        <w:jc w:val="both"/>
        <w:textAlignment w:val="baseline"/>
        <w:rPr>
          <w:rFonts w:ascii="Tahoma" w:eastAsia="Times New Roman" w:hAnsi="Tahoma" w:cs="Tahoma"/>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167260" w:rsidRPr="00167260" w14:paraId="34339D4E" w14:textId="77777777" w:rsidTr="006F252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8AD106D"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b/>
                <w:bCs/>
                <w:i/>
                <w:iCs/>
                <w:sz w:val="20"/>
                <w:szCs w:val="24"/>
                <w:lang w:val="es-ES" w:eastAsia="es-ES"/>
              </w:rPr>
              <w:t>Etapa acumulativa</w:t>
            </w:r>
            <w:r w:rsidRPr="00167260">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25BF373"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b/>
                <w:bCs/>
                <w:i/>
                <w:iCs/>
                <w:sz w:val="20"/>
                <w:szCs w:val="24"/>
                <w:lang w:val="es-ES" w:eastAsia="es-ES"/>
              </w:rPr>
              <w:t>Normas que obligan a las administradoras de pensiones a dar información</w:t>
            </w:r>
            <w:r w:rsidRPr="00167260">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C97520D"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b/>
                <w:bCs/>
                <w:i/>
                <w:iCs/>
                <w:sz w:val="20"/>
                <w:szCs w:val="24"/>
                <w:lang w:val="es-ES" w:eastAsia="es-ES"/>
              </w:rPr>
              <w:t>Contenido mínimo y alcance del deber de información</w:t>
            </w:r>
            <w:r w:rsidRPr="00167260">
              <w:rPr>
                <w:rFonts w:ascii="Tahoma" w:eastAsia="Times New Roman" w:hAnsi="Tahoma" w:cs="Tahoma"/>
                <w:sz w:val="20"/>
                <w:szCs w:val="24"/>
                <w:lang w:val="es-ES" w:eastAsia="es-ES"/>
              </w:rPr>
              <w:t> </w:t>
            </w:r>
          </w:p>
        </w:tc>
      </w:tr>
      <w:tr w:rsidR="00167260" w:rsidRPr="00167260" w14:paraId="6D4D4A35" w14:textId="77777777" w:rsidTr="006F252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B269858"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Deber de información </w:t>
            </w:r>
            <w:r w:rsidRPr="00167260">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2AF4E18"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Arts. 13 literal b), 271 y 272 de la Ley 100 de 1993</w:t>
            </w:r>
            <w:r w:rsidRPr="00167260">
              <w:rPr>
                <w:rFonts w:ascii="Tahoma" w:eastAsia="Times New Roman" w:hAnsi="Tahoma" w:cs="Tahoma"/>
                <w:sz w:val="20"/>
                <w:szCs w:val="24"/>
                <w:lang w:val="es-ES" w:eastAsia="es-ES"/>
              </w:rPr>
              <w:t> </w:t>
            </w:r>
          </w:p>
          <w:p w14:paraId="2A53DEAA"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Art. 97, numeral 1 del Decreto 663 de 1993, modificado por el artículo 23 de la Ley 797 de 2003</w:t>
            </w:r>
            <w:r w:rsidRPr="00167260">
              <w:rPr>
                <w:rFonts w:ascii="Tahoma" w:eastAsia="Times New Roman" w:hAnsi="Tahoma" w:cs="Tahoma"/>
                <w:sz w:val="20"/>
                <w:szCs w:val="24"/>
                <w:lang w:val="es-ES" w:eastAsia="es-ES"/>
              </w:rPr>
              <w:t> </w:t>
            </w:r>
          </w:p>
          <w:p w14:paraId="6E91E178"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Disposiciones constitucionales relativas al derecho a la información, no menoscabo de derechos laborales y autonomía personal</w:t>
            </w:r>
            <w:r w:rsidRPr="00167260">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D839DE5"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167260">
              <w:rPr>
                <w:rFonts w:ascii="Tahoma" w:eastAsia="Times New Roman" w:hAnsi="Tahoma" w:cs="Tahoma"/>
                <w:sz w:val="20"/>
                <w:szCs w:val="24"/>
                <w:lang w:val="es-ES" w:eastAsia="es-ES"/>
              </w:rPr>
              <w:t> </w:t>
            </w:r>
          </w:p>
        </w:tc>
      </w:tr>
      <w:tr w:rsidR="00167260" w:rsidRPr="00167260" w14:paraId="65A5844A" w14:textId="77777777" w:rsidTr="006F252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924C25F"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Deber de información, asesoría y buen consejo</w:t>
            </w:r>
            <w:r w:rsidRPr="00167260">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2419EBD"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Artículo 3, literal c) de la Ley 1328 de 2009</w:t>
            </w:r>
            <w:r w:rsidRPr="00167260">
              <w:rPr>
                <w:rFonts w:ascii="Tahoma" w:eastAsia="Times New Roman" w:hAnsi="Tahoma" w:cs="Tahoma"/>
                <w:sz w:val="20"/>
                <w:szCs w:val="24"/>
                <w:lang w:val="es-ES" w:eastAsia="es-ES"/>
              </w:rPr>
              <w:t> </w:t>
            </w:r>
          </w:p>
          <w:p w14:paraId="4A738589"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Decreto 2241 de 2010</w:t>
            </w:r>
            <w:r w:rsidRPr="00167260">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CD6C08B"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67260">
              <w:rPr>
                <w:rFonts w:ascii="Tahoma" w:eastAsia="Times New Roman" w:hAnsi="Tahoma" w:cs="Tahoma"/>
                <w:sz w:val="20"/>
                <w:szCs w:val="24"/>
                <w:lang w:val="es-ES" w:eastAsia="es-ES"/>
              </w:rPr>
              <w:t> </w:t>
            </w:r>
          </w:p>
        </w:tc>
      </w:tr>
      <w:tr w:rsidR="00167260" w:rsidRPr="00167260" w14:paraId="2A5505CB" w14:textId="77777777" w:rsidTr="006F252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9D0E506"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Deber de información, asesoría, buen consejo y doble asesoría. </w:t>
            </w:r>
            <w:r w:rsidRPr="00167260">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EEDE5C"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Ley 1748 de 2014</w:t>
            </w:r>
            <w:r w:rsidRPr="00167260">
              <w:rPr>
                <w:rFonts w:ascii="Tahoma" w:eastAsia="Times New Roman" w:hAnsi="Tahoma" w:cs="Tahoma"/>
                <w:sz w:val="20"/>
                <w:szCs w:val="24"/>
                <w:lang w:val="es-ES" w:eastAsia="es-ES"/>
              </w:rPr>
              <w:t> </w:t>
            </w:r>
          </w:p>
          <w:p w14:paraId="4FD55EB1"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Artículo 3 del Decreto 2071 de 2015</w:t>
            </w:r>
            <w:r w:rsidRPr="00167260">
              <w:rPr>
                <w:rFonts w:ascii="Tahoma" w:eastAsia="Times New Roman" w:hAnsi="Tahoma" w:cs="Tahoma"/>
                <w:sz w:val="20"/>
                <w:szCs w:val="24"/>
                <w:lang w:val="es-ES" w:eastAsia="es-ES"/>
              </w:rPr>
              <w:t> </w:t>
            </w:r>
          </w:p>
          <w:p w14:paraId="479E7C19"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Circular Externa n. 016 de 2016</w:t>
            </w:r>
            <w:r w:rsidRPr="00167260">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60BB615" w14:textId="77777777" w:rsidR="00167260" w:rsidRPr="00167260" w:rsidRDefault="00167260" w:rsidP="00167260">
            <w:pPr>
              <w:spacing w:after="0" w:line="276" w:lineRule="auto"/>
              <w:jc w:val="both"/>
              <w:textAlignment w:val="baseline"/>
              <w:rPr>
                <w:rFonts w:ascii="Tahoma" w:eastAsia="Times New Roman" w:hAnsi="Tahoma" w:cs="Tahoma"/>
                <w:sz w:val="20"/>
                <w:szCs w:val="24"/>
                <w:lang w:val="es-ES" w:eastAsia="es-ES"/>
              </w:rPr>
            </w:pPr>
            <w:r w:rsidRPr="00167260">
              <w:rPr>
                <w:rFonts w:ascii="Tahoma" w:eastAsia="Times New Roman" w:hAnsi="Tahoma" w:cs="Tahoma"/>
                <w:i/>
                <w:iCs/>
                <w:sz w:val="20"/>
                <w:szCs w:val="24"/>
                <w:lang w:val="es-ES" w:eastAsia="es-ES"/>
              </w:rPr>
              <w:t>Junto con lo anterior, lleva inmerso el derecho a obtener asesoría de los representantes de ambos regímenes pensionales.</w:t>
            </w:r>
            <w:r w:rsidRPr="00167260">
              <w:rPr>
                <w:rFonts w:ascii="Tahoma" w:eastAsia="Times New Roman" w:hAnsi="Tahoma" w:cs="Tahoma"/>
                <w:sz w:val="20"/>
                <w:szCs w:val="24"/>
                <w:lang w:val="es-ES" w:eastAsia="es-ES"/>
              </w:rPr>
              <w:t> </w:t>
            </w:r>
          </w:p>
        </w:tc>
      </w:tr>
    </w:tbl>
    <w:p w14:paraId="1ACBFF23" w14:textId="77777777" w:rsidR="00167260" w:rsidRPr="00167260" w:rsidRDefault="00167260" w:rsidP="00167260">
      <w:pPr>
        <w:spacing w:after="0" w:line="240" w:lineRule="auto"/>
        <w:ind w:left="426" w:right="420" w:firstLine="709"/>
        <w:jc w:val="both"/>
        <w:rPr>
          <w:rFonts w:ascii="Tahoma" w:eastAsia="Calibri" w:hAnsi="Tahoma" w:cs="Tahoma"/>
          <w:b/>
          <w:i/>
          <w:spacing w:val="-4"/>
          <w:szCs w:val="24"/>
          <w:lang w:val="es-ES"/>
        </w:rPr>
      </w:pPr>
    </w:p>
    <w:bookmarkEnd w:id="8"/>
    <w:p w14:paraId="1F0792A5" w14:textId="77777777" w:rsidR="00167260" w:rsidRPr="00167260" w:rsidRDefault="00167260" w:rsidP="00167260">
      <w:pPr>
        <w:spacing w:after="0" w:line="240" w:lineRule="auto"/>
        <w:ind w:left="426" w:right="420" w:firstLine="709"/>
        <w:jc w:val="both"/>
        <w:rPr>
          <w:rFonts w:ascii="Tahoma" w:eastAsia="Calibri" w:hAnsi="Tahoma" w:cs="Tahoma"/>
          <w:b/>
          <w:i/>
          <w:szCs w:val="24"/>
          <w:lang w:val="es-ES"/>
        </w:rPr>
      </w:pPr>
      <w:r w:rsidRPr="00167260">
        <w:rPr>
          <w:rFonts w:ascii="Tahoma" w:eastAsia="Calibri" w:hAnsi="Tahoma" w:cs="Tahoma"/>
          <w:b/>
          <w:i/>
          <w:szCs w:val="24"/>
          <w:lang w:val="es-ES"/>
        </w:rPr>
        <w:t>1.4 Conclusión: La constatación del deber de información es ineludible</w:t>
      </w:r>
    </w:p>
    <w:p w14:paraId="00918EE0" w14:textId="77777777" w:rsidR="00167260" w:rsidRPr="00167260" w:rsidRDefault="00167260" w:rsidP="00167260">
      <w:pPr>
        <w:spacing w:after="0" w:line="240" w:lineRule="auto"/>
        <w:ind w:left="426" w:right="420" w:firstLine="709"/>
        <w:jc w:val="both"/>
        <w:rPr>
          <w:rFonts w:ascii="Tahoma" w:eastAsia="Calibri" w:hAnsi="Tahoma" w:cs="Tahoma"/>
          <w:b/>
          <w:i/>
          <w:szCs w:val="24"/>
          <w:lang w:val="es-ES"/>
        </w:rPr>
      </w:pPr>
    </w:p>
    <w:p w14:paraId="6B22CD10" w14:textId="77777777" w:rsidR="00167260" w:rsidRPr="00167260" w:rsidRDefault="00167260" w:rsidP="00167260">
      <w:pPr>
        <w:spacing w:after="0" w:line="240" w:lineRule="auto"/>
        <w:ind w:left="426" w:right="420" w:firstLine="1"/>
        <w:jc w:val="both"/>
        <w:rPr>
          <w:rFonts w:ascii="Tahoma" w:eastAsia="Calibri" w:hAnsi="Tahoma" w:cs="Tahoma"/>
          <w:i/>
          <w:szCs w:val="24"/>
          <w:lang w:val="es-ES"/>
        </w:rPr>
      </w:pPr>
      <w:r w:rsidRPr="00167260">
        <w:rPr>
          <w:rFonts w:ascii="Tahoma" w:eastAsia="Calibri" w:hAnsi="Tahoma" w:cs="Tahoma"/>
          <w:i/>
          <w:szCs w:val="24"/>
          <w:lang w:val="es-ES"/>
        </w:rPr>
        <w:t xml:space="preserve">Según se pudo advertir del anterior recuento, </w:t>
      </w:r>
      <w:r w:rsidRPr="00167260">
        <w:rPr>
          <w:rFonts w:ascii="Tahoma" w:eastAsia="Calibri" w:hAnsi="Tahoma" w:cs="Tahoma"/>
          <w:b/>
          <w:i/>
          <w:szCs w:val="24"/>
          <w:lang w:val="es-ES"/>
        </w:rPr>
        <w:t>las AFP, desde su creación, tenían el deber de brindar información a los afiliados o usuarios del sistema pensional a fin de que estos pudiesen adoptar una decisión consciente y realmente libre sobre su futuro pensional.</w:t>
      </w:r>
      <w:r w:rsidRPr="00167260">
        <w:rPr>
          <w:rFonts w:ascii="Tahoma" w:eastAsia="Calibri" w:hAnsi="Tahoma" w:cs="Tahoma"/>
          <w:i/>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121C6AA" w14:textId="77777777" w:rsidR="00167260" w:rsidRPr="00167260" w:rsidRDefault="00167260" w:rsidP="00167260">
      <w:pPr>
        <w:spacing w:after="0" w:line="240" w:lineRule="auto"/>
        <w:ind w:left="426" w:right="420" w:firstLine="1"/>
        <w:jc w:val="both"/>
        <w:rPr>
          <w:rFonts w:ascii="Tahoma" w:eastAsia="Calibri" w:hAnsi="Tahoma" w:cs="Tahoma"/>
          <w:i/>
          <w:szCs w:val="24"/>
          <w:lang w:val="es-ES"/>
        </w:rPr>
      </w:pPr>
    </w:p>
    <w:p w14:paraId="77CF43B1" w14:textId="77777777" w:rsidR="00167260" w:rsidRPr="00167260" w:rsidRDefault="00167260" w:rsidP="00167260">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6564D8A1" w14:textId="77777777" w:rsidR="00167260" w:rsidRPr="00167260" w:rsidRDefault="00167260" w:rsidP="00167260">
      <w:pPr>
        <w:spacing w:after="0" w:line="240" w:lineRule="auto"/>
        <w:ind w:left="426" w:right="420" w:firstLine="709"/>
        <w:jc w:val="both"/>
        <w:rPr>
          <w:rFonts w:ascii="Tahoma" w:eastAsia="Calibri" w:hAnsi="Tahoma" w:cs="Tahoma"/>
          <w:i/>
          <w:szCs w:val="24"/>
          <w:lang w:val="es-ES"/>
        </w:rPr>
      </w:pPr>
    </w:p>
    <w:p w14:paraId="68D79817" w14:textId="77777777" w:rsidR="00167260" w:rsidRPr="00167260" w:rsidRDefault="00167260" w:rsidP="00167260">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 xml:space="preserve">Adicionalmente, la Sala no puede pasar por alto la indebida fundamentación con la que </w:t>
      </w:r>
      <w:r w:rsidRPr="00167260">
        <w:rPr>
          <w:rFonts w:ascii="Tahoma" w:eastAsia="Calibri" w:hAnsi="Tahoma" w:cs="Tahoma"/>
          <w:bCs/>
          <w:i/>
          <w:szCs w:val="24"/>
          <w:lang w:val="es-ES"/>
        </w:rPr>
        <w:t>la Sala Primera de Decisión Laboral del Tribunal de Medellín</w:t>
      </w:r>
      <w:r w:rsidRPr="00167260">
        <w:rPr>
          <w:rFonts w:ascii="Tahoma" w:eastAsia="Calibri" w:hAnsi="Tahoma" w:cs="Tahoma"/>
          <w:i/>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31F29102" w14:textId="77777777" w:rsidR="00167260" w:rsidRPr="00167260" w:rsidRDefault="00167260" w:rsidP="00167260">
      <w:pPr>
        <w:spacing w:after="0" w:line="276" w:lineRule="auto"/>
        <w:ind w:left="708" w:firstLine="709"/>
        <w:jc w:val="both"/>
        <w:rPr>
          <w:rFonts w:ascii="Tahoma" w:eastAsia="Calibri" w:hAnsi="Tahoma" w:cs="Tahoma"/>
          <w:i/>
          <w:spacing w:val="-4"/>
          <w:sz w:val="24"/>
          <w:szCs w:val="24"/>
        </w:rPr>
      </w:pPr>
    </w:p>
    <w:p w14:paraId="41B1CDB9" w14:textId="77777777" w:rsidR="00167260" w:rsidRPr="00167260" w:rsidRDefault="00167260" w:rsidP="00167260">
      <w:pPr>
        <w:spacing w:after="0" w:line="276" w:lineRule="auto"/>
        <w:ind w:firstLine="644"/>
        <w:jc w:val="both"/>
        <w:rPr>
          <w:rFonts w:ascii="Tahoma" w:eastAsia="Calibri" w:hAnsi="Tahoma" w:cs="Tahoma"/>
          <w:spacing w:val="-4"/>
          <w:sz w:val="24"/>
          <w:szCs w:val="24"/>
        </w:rPr>
      </w:pPr>
      <w:r w:rsidRPr="00167260">
        <w:rPr>
          <w:rFonts w:ascii="Tahoma" w:eastAsia="Calibri" w:hAnsi="Tahoma" w:cs="Tahoma"/>
          <w:spacing w:val="-4"/>
          <w:sz w:val="24"/>
          <w:szCs w:val="24"/>
        </w:rPr>
        <w:t>Con lo dicho precedentemente queda resuelto el primer problema jurídico.</w:t>
      </w:r>
    </w:p>
    <w:bookmarkEnd w:id="9"/>
    <w:p w14:paraId="5D2DFD6F"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48607340" w14:textId="77777777" w:rsidR="00167260" w:rsidRPr="00167260" w:rsidRDefault="00167260" w:rsidP="00167260">
      <w:pPr>
        <w:widowControl w:val="0"/>
        <w:numPr>
          <w:ilvl w:val="1"/>
          <w:numId w:val="16"/>
        </w:numPr>
        <w:autoSpaceDE w:val="0"/>
        <w:autoSpaceDN w:val="0"/>
        <w:adjustRightInd w:val="0"/>
        <w:spacing w:after="0" w:line="276" w:lineRule="auto"/>
        <w:jc w:val="both"/>
        <w:rPr>
          <w:rFonts w:ascii="Tahoma" w:eastAsia="Calibri" w:hAnsi="Tahoma" w:cs="Tahoma"/>
          <w:iCs/>
          <w:sz w:val="24"/>
          <w:szCs w:val="24"/>
        </w:rPr>
      </w:pPr>
      <w:r w:rsidRPr="00167260">
        <w:rPr>
          <w:rFonts w:ascii="Tahoma" w:eastAsia="Calibri" w:hAnsi="Tahoma" w:cs="Tahoma"/>
          <w:b/>
          <w:iCs/>
          <w:sz w:val="24"/>
          <w:szCs w:val="24"/>
        </w:rPr>
        <w:t xml:space="preserve">“El simple consentimiento vertido en el formulario de afiliación es insuficiente – Necesidad de un consentimiento informado” </w:t>
      </w:r>
      <w:r w:rsidRPr="00167260">
        <w:rPr>
          <w:rFonts w:ascii="Tahoma" w:eastAsia="Calibri" w:hAnsi="Tahoma" w:cs="Tahoma"/>
          <w:b/>
          <w:iCs/>
          <w:sz w:val="24"/>
          <w:szCs w:val="24"/>
          <w:vertAlign w:val="superscript"/>
        </w:rPr>
        <w:footnoteReference w:id="3"/>
      </w:r>
      <w:r w:rsidRPr="00167260">
        <w:rPr>
          <w:rFonts w:ascii="Tahoma" w:eastAsia="Calibri" w:hAnsi="Tahoma" w:cs="Tahoma"/>
          <w:iCs/>
          <w:sz w:val="24"/>
          <w:szCs w:val="24"/>
        </w:rPr>
        <w:t xml:space="preserve"> </w:t>
      </w:r>
    </w:p>
    <w:p w14:paraId="3732359E"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1C3FC04C" w14:textId="77777777" w:rsidR="00167260" w:rsidRPr="00167260" w:rsidRDefault="00167260" w:rsidP="00167260">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sz w:val="2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167260">
        <w:rPr>
          <w:rFonts w:ascii="Tahoma" w:eastAsia="Calibri" w:hAnsi="Tahoma" w:cs="Tahoma"/>
          <w:b/>
          <w:sz w:val="24"/>
          <w:szCs w:val="24"/>
        </w:rPr>
        <w:t>pero no informado</w:t>
      </w:r>
      <w:r w:rsidRPr="00167260">
        <w:rPr>
          <w:rFonts w:ascii="Tahoma" w:eastAsia="Calibri" w:hAnsi="Tahoma" w:cs="Tahoma"/>
          <w:sz w:val="24"/>
          <w:szCs w:val="24"/>
        </w:rPr>
        <w:t xml:space="preserve">, tal como se expresa a continuación: </w:t>
      </w:r>
    </w:p>
    <w:p w14:paraId="54C0EB8A"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0818F55D" w14:textId="77777777" w:rsidR="00167260" w:rsidRPr="00167260" w:rsidRDefault="00167260" w:rsidP="00167260">
      <w:pPr>
        <w:spacing w:after="0" w:line="240" w:lineRule="auto"/>
        <w:ind w:left="426" w:right="420" w:firstLine="1"/>
        <w:jc w:val="both"/>
        <w:rPr>
          <w:rFonts w:ascii="Tahoma" w:eastAsia="Calibri" w:hAnsi="Tahoma" w:cs="Tahoma"/>
          <w:i/>
          <w:szCs w:val="24"/>
          <w:lang w:val="es-ES"/>
        </w:rPr>
      </w:pPr>
      <w:r w:rsidRPr="00167260">
        <w:rPr>
          <w:rFonts w:ascii="Tahoma" w:eastAsia="Calibri" w:hAnsi="Tahoma" w:cs="Tahoma"/>
          <w:i/>
          <w:szCs w:val="24"/>
          <w:lang w:val="es-ES"/>
        </w:rPr>
        <w:t xml:space="preserve">“Para el Tribunal el consentimiento informado no es predicable del acto jurídico de traslado, pues basta la consignación en el formulario de que la afiliación se hizo de manera libre y voluntaria. </w:t>
      </w:r>
    </w:p>
    <w:p w14:paraId="4089974C" w14:textId="77777777" w:rsidR="00167260" w:rsidRPr="00167260" w:rsidRDefault="00167260" w:rsidP="00167260">
      <w:pPr>
        <w:spacing w:after="0" w:line="240" w:lineRule="auto"/>
        <w:ind w:left="426" w:right="420" w:firstLine="1"/>
        <w:jc w:val="both"/>
        <w:rPr>
          <w:rFonts w:ascii="Tahoma" w:eastAsia="Calibri" w:hAnsi="Tahoma" w:cs="Tahoma"/>
          <w:i/>
          <w:szCs w:val="24"/>
          <w:lang w:val="es-ES"/>
        </w:rPr>
      </w:pPr>
    </w:p>
    <w:p w14:paraId="797E2662" w14:textId="77777777" w:rsidR="00167260" w:rsidRPr="00167260" w:rsidRDefault="00167260" w:rsidP="00167260">
      <w:pPr>
        <w:spacing w:after="0" w:line="240" w:lineRule="auto"/>
        <w:ind w:left="426" w:right="420" w:firstLine="1"/>
        <w:jc w:val="both"/>
        <w:rPr>
          <w:rFonts w:ascii="Tahoma" w:eastAsia="Calibri" w:hAnsi="Tahoma" w:cs="Tahoma"/>
          <w:i/>
          <w:szCs w:val="24"/>
          <w:lang w:val="es-ES"/>
        </w:rPr>
      </w:pPr>
      <w:r w:rsidRPr="00167260">
        <w:rPr>
          <w:rFonts w:ascii="Tahoma" w:eastAsia="Calibri" w:hAnsi="Tahoma" w:cs="Tahoma"/>
          <w:i/>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7936D64" w14:textId="77777777" w:rsidR="00167260" w:rsidRPr="00167260" w:rsidRDefault="00167260" w:rsidP="00167260">
      <w:pPr>
        <w:spacing w:after="0" w:line="240" w:lineRule="auto"/>
        <w:ind w:left="426" w:right="420" w:firstLine="1"/>
        <w:jc w:val="both"/>
        <w:rPr>
          <w:rFonts w:ascii="Tahoma" w:eastAsia="Calibri" w:hAnsi="Tahoma" w:cs="Tahoma"/>
          <w:i/>
          <w:szCs w:val="24"/>
          <w:lang w:val="es-ES"/>
        </w:rPr>
      </w:pPr>
    </w:p>
    <w:p w14:paraId="6DD895D4" w14:textId="77777777" w:rsidR="00167260" w:rsidRPr="00167260" w:rsidRDefault="00167260" w:rsidP="00167260">
      <w:pPr>
        <w:spacing w:after="0" w:line="240" w:lineRule="auto"/>
        <w:ind w:left="426" w:right="420" w:firstLine="1"/>
        <w:jc w:val="both"/>
        <w:rPr>
          <w:rFonts w:ascii="Tahoma" w:eastAsia="Calibri" w:hAnsi="Tahoma" w:cs="Tahoma"/>
          <w:i/>
          <w:szCs w:val="24"/>
          <w:lang w:val="es-ES"/>
        </w:rPr>
      </w:pPr>
      <w:r w:rsidRPr="00167260">
        <w:rPr>
          <w:rFonts w:ascii="Tahoma" w:eastAsia="Calibri" w:hAnsi="Tahoma" w:cs="Tahoma"/>
          <w:i/>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8F8D3A3" w14:textId="77777777" w:rsidR="00167260" w:rsidRPr="00167260" w:rsidRDefault="00167260" w:rsidP="00167260">
      <w:pPr>
        <w:spacing w:after="0" w:line="240" w:lineRule="auto"/>
        <w:ind w:left="426" w:right="420" w:firstLine="1"/>
        <w:jc w:val="both"/>
        <w:rPr>
          <w:rFonts w:ascii="Tahoma" w:eastAsia="Calibri" w:hAnsi="Tahoma" w:cs="Tahoma"/>
          <w:i/>
          <w:szCs w:val="24"/>
          <w:lang w:val="es-ES"/>
        </w:rPr>
      </w:pPr>
    </w:p>
    <w:p w14:paraId="6CDBE429" w14:textId="77777777" w:rsidR="00167260" w:rsidRPr="00167260" w:rsidRDefault="00167260" w:rsidP="00167260">
      <w:pPr>
        <w:spacing w:after="0" w:line="240" w:lineRule="auto"/>
        <w:ind w:left="426" w:right="420" w:firstLine="1"/>
        <w:jc w:val="both"/>
        <w:rPr>
          <w:rFonts w:ascii="Tahoma" w:eastAsia="Calibri" w:hAnsi="Tahoma" w:cs="Tahoma"/>
          <w:i/>
          <w:szCs w:val="24"/>
          <w:lang w:val="es-ES"/>
        </w:rPr>
      </w:pPr>
      <w:r w:rsidRPr="00167260">
        <w:rPr>
          <w:rFonts w:ascii="Tahoma" w:eastAsia="Calibri" w:hAnsi="Tahoma" w:cs="Tahoma"/>
          <w:i/>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ACCF1D4"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bCs/>
          <w:sz w:val="24"/>
          <w:szCs w:val="24"/>
        </w:rPr>
      </w:pPr>
    </w:p>
    <w:p w14:paraId="33663273" w14:textId="77777777" w:rsidR="00167260" w:rsidRPr="00167260" w:rsidRDefault="00167260" w:rsidP="00167260">
      <w:pPr>
        <w:widowControl w:val="0"/>
        <w:autoSpaceDE w:val="0"/>
        <w:autoSpaceDN w:val="0"/>
        <w:adjustRightInd w:val="0"/>
        <w:spacing w:after="0" w:line="276" w:lineRule="auto"/>
        <w:ind w:firstLine="708"/>
        <w:jc w:val="both"/>
        <w:rPr>
          <w:rFonts w:ascii="Tahoma" w:eastAsia="Calibri" w:hAnsi="Tahoma" w:cs="Tahoma"/>
          <w:bCs/>
          <w:sz w:val="24"/>
          <w:szCs w:val="24"/>
        </w:rPr>
      </w:pPr>
      <w:r w:rsidRPr="00167260">
        <w:rPr>
          <w:rFonts w:ascii="Tahoma" w:eastAsia="Calibri" w:hAnsi="Tahoma" w:cs="Tahoma"/>
          <w:bCs/>
          <w:sz w:val="24"/>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167260">
        <w:rPr>
          <w:rFonts w:ascii="Tahoma" w:eastAsia="Calibri" w:hAnsi="Tahoma" w:cs="Tahoma"/>
          <w:bCs/>
          <w:sz w:val="24"/>
          <w:szCs w:val="24"/>
          <w:vertAlign w:val="superscript"/>
        </w:rPr>
        <w:footnoteReference w:id="4"/>
      </w:r>
      <w:r w:rsidRPr="00167260">
        <w:rPr>
          <w:rFonts w:ascii="Tahoma" w:eastAsia="Calibri" w:hAnsi="Tahoma" w:cs="Tahoma"/>
          <w:bCs/>
          <w:sz w:val="24"/>
          <w:szCs w:val="24"/>
        </w:rPr>
        <w:t xml:space="preserve">, tampoco es suficiente para declarar eficaz el primer traslado si de todas maneras no se demuestra que al </w:t>
      </w:r>
      <w:r w:rsidRPr="00167260">
        <w:rPr>
          <w:rFonts w:ascii="Tahoma" w:eastAsia="Calibri" w:hAnsi="Tahoma" w:cs="Tahoma"/>
          <w:bCs/>
          <w:sz w:val="24"/>
          <w:szCs w:val="24"/>
        </w:rPr>
        <w:lastRenderedPageBreak/>
        <w:t>interesado o interesada se le brindó la información suficiente y clara respecto a las ventajas y desventajas del cambio de régimen. Entre estas sentencias, está la providencia CSJ SL12136-2014 en la que se dijo lo siguiente:</w:t>
      </w:r>
    </w:p>
    <w:p w14:paraId="72AA36D9"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bCs/>
          <w:i/>
          <w:sz w:val="24"/>
          <w:szCs w:val="24"/>
        </w:rPr>
      </w:pPr>
    </w:p>
    <w:p w14:paraId="07071135" w14:textId="77777777" w:rsidR="00167260" w:rsidRPr="00167260" w:rsidRDefault="00167260" w:rsidP="00167260">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52BC0CC" w14:textId="77777777" w:rsidR="00167260" w:rsidRPr="00167260" w:rsidRDefault="00167260" w:rsidP="00167260">
      <w:pPr>
        <w:spacing w:after="0" w:line="240" w:lineRule="auto"/>
        <w:ind w:left="426" w:right="420" w:firstLine="708"/>
        <w:jc w:val="both"/>
        <w:rPr>
          <w:rFonts w:ascii="Tahoma" w:eastAsia="Calibri" w:hAnsi="Tahoma" w:cs="Tahoma"/>
          <w:b/>
          <w:i/>
          <w:szCs w:val="24"/>
          <w:lang w:val="es-ES"/>
        </w:rPr>
      </w:pPr>
    </w:p>
    <w:p w14:paraId="6A9021D5" w14:textId="77777777" w:rsidR="00167260" w:rsidRPr="00167260" w:rsidRDefault="00167260" w:rsidP="00167260">
      <w:pPr>
        <w:tabs>
          <w:tab w:val="left" w:pos="709"/>
        </w:tabs>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366ECC69" w14:textId="77777777" w:rsidR="00167260" w:rsidRPr="00167260" w:rsidRDefault="00167260" w:rsidP="00167260">
      <w:pPr>
        <w:spacing w:after="0" w:line="276" w:lineRule="auto"/>
        <w:jc w:val="both"/>
        <w:rPr>
          <w:rFonts w:ascii="Tahoma" w:hAnsi="Tahoma" w:cs="Tahoma"/>
          <w:sz w:val="24"/>
          <w:szCs w:val="24"/>
        </w:rPr>
      </w:pPr>
      <w:r w:rsidRPr="00167260">
        <w:rPr>
          <w:rFonts w:ascii="Tahoma" w:eastAsia="Tahoma" w:hAnsi="Tahoma" w:cs="Tahoma"/>
          <w:sz w:val="24"/>
          <w:szCs w:val="24"/>
        </w:rPr>
        <w:t xml:space="preserve"> </w:t>
      </w:r>
    </w:p>
    <w:p w14:paraId="53A49E6D" w14:textId="77777777" w:rsidR="00167260" w:rsidRPr="00167260" w:rsidRDefault="00167260" w:rsidP="00167260">
      <w:pPr>
        <w:spacing w:after="0" w:line="276" w:lineRule="auto"/>
        <w:ind w:firstLine="284"/>
        <w:jc w:val="both"/>
        <w:rPr>
          <w:rFonts w:ascii="Tahoma" w:hAnsi="Tahoma" w:cs="Tahoma"/>
          <w:sz w:val="24"/>
          <w:szCs w:val="24"/>
        </w:rPr>
      </w:pPr>
      <w:r w:rsidRPr="00167260">
        <w:rPr>
          <w:rFonts w:ascii="Tahoma" w:eastAsia="Tahoma" w:hAnsi="Tahoma" w:cs="Tahoma"/>
          <w:sz w:val="24"/>
          <w:szCs w:val="24"/>
          <w:lang w:val="es"/>
        </w:rPr>
        <w:t xml:space="preserve">Igual cosa se ha predicado de las </w:t>
      </w:r>
      <w:proofErr w:type="spellStart"/>
      <w:r w:rsidRPr="00167260">
        <w:rPr>
          <w:rFonts w:ascii="Tahoma" w:eastAsia="Tahoma" w:hAnsi="Tahoma" w:cs="Tahoma"/>
          <w:sz w:val="24"/>
          <w:szCs w:val="24"/>
          <w:lang w:val="es"/>
        </w:rPr>
        <w:t>reasesorías</w:t>
      </w:r>
      <w:proofErr w:type="spellEnd"/>
      <w:r w:rsidRPr="00167260">
        <w:rPr>
          <w:rFonts w:ascii="Tahoma" w:eastAsia="Tahoma" w:hAnsi="Tahoma" w:cs="Tahoma"/>
          <w:sz w:val="24"/>
          <w:szCs w:val="24"/>
          <w:lang w:val="es"/>
        </w:rPr>
        <w:t xml:space="preserve"> posteriores dadas al interior de las AFP, las cuales tampoco convalidan el traslado, como quedó dicho en la citada </w:t>
      </w:r>
      <w:r w:rsidRPr="00167260">
        <w:rPr>
          <w:rFonts w:ascii="Tahoma" w:eastAsia="Tahoma" w:hAnsi="Tahoma" w:cs="Tahoma"/>
          <w:sz w:val="24"/>
          <w:szCs w:val="24"/>
        </w:rPr>
        <w:t xml:space="preserve">sentencia del 8 de mayo de 2019SL 1688-2019, así: </w:t>
      </w:r>
    </w:p>
    <w:p w14:paraId="6D5EA3F8" w14:textId="77777777" w:rsidR="00167260" w:rsidRPr="00167260" w:rsidRDefault="00167260" w:rsidP="00167260">
      <w:pPr>
        <w:spacing w:after="0" w:line="276" w:lineRule="auto"/>
        <w:jc w:val="both"/>
        <w:rPr>
          <w:rFonts w:ascii="Tahoma" w:hAnsi="Tahoma" w:cs="Tahoma"/>
          <w:sz w:val="24"/>
          <w:szCs w:val="24"/>
        </w:rPr>
      </w:pPr>
      <w:r w:rsidRPr="00167260">
        <w:rPr>
          <w:rFonts w:ascii="Tahoma" w:eastAsia="Tahoma" w:hAnsi="Tahoma" w:cs="Tahoma"/>
          <w:sz w:val="24"/>
          <w:szCs w:val="24"/>
          <w:lang w:val="es"/>
        </w:rPr>
        <w:t xml:space="preserve">  </w:t>
      </w:r>
    </w:p>
    <w:p w14:paraId="62C56245" w14:textId="77777777" w:rsidR="00167260" w:rsidRPr="00167260" w:rsidRDefault="00167260" w:rsidP="00167260">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 xml:space="preserve">“Ahora, si bien la AFP brindó a la actora una </w:t>
      </w:r>
      <w:proofErr w:type="spellStart"/>
      <w:r w:rsidRPr="00167260">
        <w:rPr>
          <w:rFonts w:ascii="Tahoma" w:eastAsia="Calibri" w:hAnsi="Tahoma" w:cs="Tahoma"/>
          <w:i/>
          <w:szCs w:val="24"/>
          <w:lang w:val="es-ES"/>
        </w:rPr>
        <w:t>reasesoría</w:t>
      </w:r>
      <w:proofErr w:type="spellEnd"/>
      <w:r w:rsidRPr="00167260">
        <w:rPr>
          <w:rFonts w:ascii="Tahoma" w:eastAsia="Calibri" w:hAnsi="Tahoma" w:cs="Tahoma"/>
          <w:i/>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957D09A" w14:textId="77777777" w:rsidR="00167260" w:rsidRPr="00167260" w:rsidRDefault="00167260" w:rsidP="00167260">
      <w:pPr>
        <w:spacing w:after="0" w:line="240" w:lineRule="auto"/>
        <w:ind w:left="426" w:right="420" w:firstLine="709"/>
        <w:jc w:val="both"/>
        <w:rPr>
          <w:rFonts w:ascii="Tahoma" w:eastAsia="Arial Narrow" w:hAnsi="Tahoma" w:cs="Tahoma"/>
          <w:i/>
          <w:iCs/>
          <w:szCs w:val="24"/>
          <w:lang w:val="es-ES"/>
        </w:rPr>
      </w:pPr>
      <w:r w:rsidRPr="00167260">
        <w:rPr>
          <w:rFonts w:ascii="Tahoma" w:eastAsia="Arial Narrow" w:hAnsi="Tahoma" w:cs="Tahoma"/>
          <w:i/>
          <w:iCs/>
          <w:szCs w:val="24"/>
          <w:lang w:val="es-ES"/>
        </w:rPr>
        <w:t xml:space="preserve"> </w:t>
      </w:r>
    </w:p>
    <w:p w14:paraId="48EA6E20" w14:textId="77777777" w:rsidR="00167260" w:rsidRPr="00167260" w:rsidRDefault="00167260" w:rsidP="00167260">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167260">
        <w:rPr>
          <w:rFonts w:ascii="Tahoma" w:eastAsia="Calibri" w:hAnsi="Tahoma" w:cs="Tahoma"/>
          <w:i/>
          <w:szCs w:val="24"/>
          <w:lang w:val="es-ES"/>
        </w:rPr>
        <w:t>reasesoría</w:t>
      </w:r>
      <w:proofErr w:type="spellEnd"/>
      <w:r w:rsidRPr="00167260">
        <w:rPr>
          <w:rFonts w:ascii="Tahoma" w:eastAsia="Calibri" w:hAnsi="Tahoma" w:cs="Tahoma"/>
          <w:i/>
          <w:szCs w:val="24"/>
          <w:lang w:val="es-ES"/>
        </w:rPr>
        <w:t>, de todas formas ya había perdido la transición.</w:t>
      </w:r>
    </w:p>
    <w:p w14:paraId="648F94B8" w14:textId="77777777" w:rsidR="00167260" w:rsidRPr="00167260" w:rsidRDefault="00167260" w:rsidP="00167260">
      <w:pPr>
        <w:spacing w:after="0" w:line="240" w:lineRule="auto"/>
        <w:ind w:left="426" w:right="420" w:firstLine="709"/>
        <w:jc w:val="both"/>
        <w:rPr>
          <w:rFonts w:ascii="Tahoma" w:eastAsia="Arial Narrow" w:hAnsi="Tahoma" w:cs="Tahoma"/>
          <w:i/>
          <w:iCs/>
          <w:szCs w:val="24"/>
          <w:lang w:val="es-ES"/>
        </w:rPr>
      </w:pPr>
      <w:r w:rsidRPr="00167260">
        <w:rPr>
          <w:rFonts w:ascii="Tahoma" w:eastAsia="Arial Narrow" w:hAnsi="Tahoma" w:cs="Tahoma"/>
          <w:i/>
          <w:iCs/>
          <w:szCs w:val="24"/>
          <w:lang w:val="es-ES"/>
        </w:rPr>
        <w:t xml:space="preserve"> </w:t>
      </w:r>
    </w:p>
    <w:p w14:paraId="7349418A" w14:textId="77777777" w:rsidR="00167260" w:rsidRPr="00167260" w:rsidRDefault="00167260" w:rsidP="00167260">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C643E25" w14:textId="77777777" w:rsidR="00167260" w:rsidRPr="00167260" w:rsidRDefault="00167260" w:rsidP="00167260">
      <w:pPr>
        <w:spacing w:after="0" w:line="240" w:lineRule="auto"/>
        <w:ind w:left="426" w:right="420" w:firstLine="709"/>
        <w:jc w:val="both"/>
        <w:rPr>
          <w:rFonts w:ascii="Tahoma" w:eastAsia="Arial Narrow" w:hAnsi="Tahoma" w:cs="Tahoma"/>
          <w:i/>
          <w:iCs/>
          <w:szCs w:val="24"/>
          <w:lang w:val="es-ES"/>
        </w:rPr>
      </w:pPr>
      <w:r w:rsidRPr="00167260">
        <w:rPr>
          <w:rFonts w:ascii="Tahoma" w:eastAsia="Arial Narrow" w:hAnsi="Tahoma" w:cs="Tahoma"/>
          <w:i/>
          <w:iCs/>
          <w:szCs w:val="24"/>
          <w:lang w:val="es-ES"/>
        </w:rPr>
        <w:t xml:space="preserve"> </w:t>
      </w:r>
    </w:p>
    <w:p w14:paraId="0CB10AC1" w14:textId="77777777" w:rsidR="00167260" w:rsidRPr="00167260" w:rsidRDefault="00167260" w:rsidP="00167260">
      <w:pPr>
        <w:spacing w:after="0" w:line="240" w:lineRule="auto"/>
        <w:ind w:left="426" w:right="420"/>
        <w:jc w:val="both"/>
        <w:rPr>
          <w:rFonts w:ascii="Tahoma" w:eastAsia="Calibri" w:hAnsi="Tahoma" w:cs="Tahoma"/>
          <w:i/>
          <w:szCs w:val="24"/>
          <w:lang w:val="es-ES"/>
        </w:rPr>
      </w:pPr>
      <w:r w:rsidRPr="00167260">
        <w:rPr>
          <w:rFonts w:ascii="Tahoma" w:eastAsia="Calibri" w:hAnsi="Tahoma" w:cs="Tahoma"/>
          <w:i/>
          <w:szCs w:val="24"/>
          <w:lang w:val="es-ES"/>
        </w:rPr>
        <w:t xml:space="preserve">Por otro lado, no es de recibo el planteo de Protección S.A., cuando sostiene que una vez realizó la </w:t>
      </w:r>
      <w:proofErr w:type="spellStart"/>
      <w:r w:rsidRPr="00167260">
        <w:rPr>
          <w:rFonts w:ascii="Tahoma" w:eastAsia="Calibri" w:hAnsi="Tahoma" w:cs="Tahoma"/>
          <w:i/>
          <w:szCs w:val="24"/>
          <w:lang w:val="es-ES"/>
        </w:rPr>
        <w:t>reasesoría</w:t>
      </w:r>
      <w:proofErr w:type="spellEnd"/>
      <w:r w:rsidRPr="00167260">
        <w:rPr>
          <w:rFonts w:ascii="Tahoma" w:eastAsia="Calibri" w:hAnsi="Tahoma" w:cs="Tahoma"/>
          <w:i/>
          <w:szCs w:val="24"/>
          <w:lang w:val="es-ES"/>
        </w:rPr>
        <w:t xml:space="preserve">,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w:t>
      </w:r>
      <w:r w:rsidRPr="00167260">
        <w:rPr>
          <w:rFonts w:ascii="Tahoma" w:eastAsia="Calibri" w:hAnsi="Tahoma" w:cs="Tahoma"/>
          <w:i/>
          <w:szCs w:val="24"/>
          <w:lang w:val="es-ES"/>
        </w:rPr>
        <w:lastRenderedPageBreak/>
        <w:t>dada la relevancia de esta determinación, era natural que la accionante se tomara un tiempo de reflexión, buscara información y consejo profesional para, finalmente, adoptar su elección”.</w:t>
      </w:r>
    </w:p>
    <w:p w14:paraId="7EF64482"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48AF2A7C" w14:textId="77777777" w:rsidR="00167260" w:rsidRPr="00167260" w:rsidRDefault="00167260" w:rsidP="00167260">
      <w:pPr>
        <w:widowControl w:val="0"/>
        <w:numPr>
          <w:ilvl w:val="1"/>
          <w:numId w:val="16"/>
        </w:numPr>
        <w:autoSpaceDE w:val="0"/>
        <w:autoSpaceDN w:val="0"/>
        <w:adjustRightInd w:val="0"/>
        <w:spacing w:after="0" w:line="276" w:lineRule="auto"/>
        <w:jc w:val="both"/>
        <w:rPr>
          <w:rFonts w:ascii="Tahoma" w:eastAsia="Calibri" w:hAnsi="Tahoma" w:cs="Tahoma"/>
          <w:b/>
          <w:iCs/>
          <w:sz w:val="24"/>
          <w:szCs w:val="24"/>
        </w:rPr>
      </w:pPr>
      <w:r w:rsidRPr="00167260">
        <w:rPr>
          <w:rFonts w:ascii="Tahoma" w:eastAsia="Calibri" w:hAnsi="Tahoma" w:cs="Tahoma"/>
          <w:b/>
          <w:iCs/>
          <w:sz w:val="24"/>
          <w:szCs w:val="24"/>
        </w:rPr>
        <w:t xml:space="preserve">“De la carga de la prueba – Inversión a favor del afiliado” </w:t>
      </w:r>
      <w:r w:rsidRPr="00167260">
        <w:rPr>
          <w:rFonts w:ascii="Tahoma" w:eastAsia="Calibri" w:hAnsi="Tahoma" w:cs="Tahoma"/>
          <w:b/>
          <w:iCs/>
          <w:sz w:val="24"/>
          <w:szCs w:val="24"/>
          <w:vertAlign w:val="superscript"/>
        </w:rPr>
        <w:footnoteReference w:id="5"/>
      </w:r>
    </w:p>
    <w:p w14:paraId="02FDA93F"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b/>
          <w:sz w:val="24"/>
          <w:szCs w:val="24"/>
        </w:rPr>
      </w:pPr>
    </w:p>
    <w:p w14:paraId="58529354" w14:textId="77777777" w:rsidR="00167260" w:rsidRPr="00167260" w:rsidRDefault="00167260" w:rsidP="00167260">
      <w:pPr>
        <w:spacing w:after="0" w:line="276" w:lineRule="auto"/>
        <w:ind w:firstLine="284"/>
        <w:jc w:val="both"/>
        <w:rPr>
          <w:rFonts w:ascii="Tahoma" w:hAnsi="Tahoma" w:cs="Tahoma"/>
          <w:sz w:val="24"/>
          <w:szCs w:val="24"/>
        </w:rPr>
      </w:pPr>
      <w:r w:rsidRPr="00167260">
        <w:rPr>
          <w:rFonts w:ascii="Tahoma" w:eastAsia="Tahoma" w:hAnsi="Tahoma" w:cs="Tahoma"/>
          <w:sz w:val="2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167260">
        <w:rPr>
          <w:rFonts w:ascii="Tahoma" w:eastAsia="Tahoma" w:hAnsi="Tahoma" w:cs="Tahoma"/>
          <w:i/>
          <w:iCs/>
          <w:szCs w:val="24"/>
        </w:rPr>
        <w:t>la prueba de la diligencia o cuidado incumbe al que ha debido emplearlo</w:t>
      </w:r>
      <w:r w:rsidRPr="00167260">
        <w:rPr>
          <w:rFonts w:ascii="Tahoma" w:eastAsia="Tahoma" w:hAnsi="Tahoma" w:cs="Tahoma"/>
          <w:i/>
          <w:iCs/>
          <w:sz w:val="24"/>
          <w:szCs w:val="24"/>
        </w:rPr>
        <w:t>”</w:t>
      </w:r>
      <w:r w:rsidRPr="00167260">
        <w:rPr>
          <w:rFonts w:ascii="Tahoma" w:eastAsia="Tahoma" w:hAnsi="Tahoma" w:cs="Tahoma"/>
          <w:sz w:val="24"/>
          <w:szCs w:val="24"/>
        </w:rPr>
        <w:t xml:space="preserve"> lo que quiere decir que la carga de la prueba recae en el fondo de pensiones. Dicha postura se ha mantenido invariable, y se reiteró de manera más contundente en la citada sentencia, así: </w:t>
      </w:r>
    </w:p>
    <w:p w14:paraId="72EAD542" w14:textId="77777777" w:rsidR="00167260" w:rsidRPr="00167260" w:rsidRDefault="00167260" w:rsidP="00167260">
      <w:pPr>
        <w:spacing w:after="0" w:line="276" w:lineRule="auto"/>
        <w:ind w:firstLine="708"/>
        <w:jc w:val="both"/>
        <w:rPr>
          <w:rFonts w:ascii="Tahoma" w:hAnsi="Tahoma" w:cs="Tahoma"/>
          <w:sz w:val="24"/>
          <w:szCs w:val="24"/>
        </w:rPr>
      </w:pPr>
      <w:r w:rsidRPr="00167260">
        <w:rPr>
          <w:rFonts w:ascii="Tahoma" w:eastAsia="Tahoma" w:hAnsi="Tahoma" w:cs="Tahoma"/>
          <w:sz w:val="24"/>
          <w:szCs w:val="24"/>
        </w:rPr>
        <w:t xml:space="preserve"> </w:t>
      </w:r>
    </w:p>
    <w:p w14:paraId="36042A5B" w14:textId="77777777" w:rsidR="00167260" w:rsidRPr="00167260" w:rsidRDefault="00167260" w:rsidP="00167260">
      <w:pPr>
        <w:spacing w:after="0" w:line="240" w:lineRule="auto"/>
        <w:ind w:left="426" w:right="420" w:firstLine="1"/>
        <w:jc w:val="both"/>
        <w:rPr>
          <w:rFonts w:ascii="Tahoma" w:eastAsia="Calibri" w:hAnsi="Tahoma" w:cs="Tahoma"/>
          <w:i/>
          <w:lang w:val="es-ES"/>
        </w:rPr>
      </w:pPr>
      <w:r w:rsidRPr="00167260">
        <w:rPr>
          <w:rFonts w:ascii="Tahoma" w:eastAsia="Calibri" w:hAnsi="Tahoma" w:cs="Tahoma"/>
          <w:lang w:val="es-ES"/>
        </w:rPr>
        <w:t>“</w:t>
      </w:r>
      <w:r w:rsidRPr="00167260">
        <w:rPr>
          <w:rFonts w:ascii="Tahoma" w:eastAsia="Calibri" w:hAnsi="Tahoma" w:cs="Tahoma"/>
          <w:i/>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8D9B5C1" w14:textId="77777777" w:rsidR="00167260" w:rsidRPr="00167260" w:rsidRDefault="00167260" w:rsidP="00167260">
      <w:pPr>
        <w:spacing w:after="0" w:line="240" w:lineRule="auto"/>
        <w:ind w:left="426" w:right="420" w:firstLine="1"/>
        <w:jc w:val="both"/>
        <w:rPr>
          <w:rFonts w:ascii="Tahoma" w:eastAsia="Calibri" w:hAnsi="Tahoma" w:cs="Tahoma"/>
          <w:i/>
          <w:lang w:val="es-ES"/>
        </w:rPr>
      </w:pPr>
    </w:p>
    <w:p w14:paraId="331E9F01" w14:textId="77777777" w:rsidR="00167260" w:rsidRPr="00167260" w:rsidRDefault="00167260" w:rsidP="00167260">
      <w:pPr>
        <w:spacing w:after="0" w:line="240" w:lineRule="auto"/>
        <w:ind w:left="426" w:right="420" w:firstLine="1"/>
        <w:jc w:val="both"/>
        <w:rPr>
          <w:rFonts w:ascii="Tahoma" w:eastAsia="Calibri" w:hAnsi="Tahoma" w:cs="Tahoma"/>
          <w:i/>
          <w:lang w:val="es-ES"/>
        </w:rPr>
      </w:pPr>
      <w:r w:rsidRPr="00167260">
        <w:rPr>
          <w:rFonts w:ascii="Tahoma" w:eastAsia="Calibri" w:hAnsi="Tahoma" w:cs="Tahoma"/>
          <w:i/>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8C6C6CD" w14:textId="77777777" w:rsidR="00167260" w:rsidRPr="00167260" w:rsidRDefault="00167260" w:rsidP="00167260">
      <w:pPr>
        <w:spacing w:after="0" w:line="240" w:lineRule="auto"/>
        <w:ind w:left="426" w:right="420" w:firstLine="1"/>
        <w:jc w:val="both"/>
        <w:rPr>
          <w:rFonts w:ascii="Tahoma" w:eastAsia="Calibri" w:hAnsi="Tahoma" w:cs="Tahoma"/>
          <w:i/>
          <w:lang w:val="es-ES"/>
        </w:rPr>
      </w:pPr>
    </w:p>
    <w:p w14:paraId="3CC56D5B" w14:textId="77777777" w:rsidR="00167260" w:rsidRPr="00167260" w:rsidRDefault="00167260" w:rsidP="00167260">
      <w:pPr>
        <w:spacing w:after="0" w:line="240" w:lineRule="auto"/>
        <w:ind w:left="426" w:right="420" w:firstLine="1"/>
        <w:jc w:val="both"/>
        <w:rPr>
          <w:rFonts w:ascii="Tahoma" w:eastAsia="Calibri" w:hAnsi="Tahoma" w:cs="Tahoma"/>
          <w:i/>
          <w:lang w:val="es-ES"/>
        </w:rPr>
      </w:pPr>
      <w:r w:rsidRPr="00167260">
        <w:rPr>
          <w:rFonts w:ascii="Tahoma" w:eastAsia="Calibri" w:hAnsi="Tahoma" w:cs="Tahoma"/>
          <w:i/>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D010F73" w14:textId="77777777" w:rsidR="00167260" w:rsidRPr="00167260" w:rsidRDefault="00167260" w:rsidP="00167260">
      <w:pPr>
        <w:spacing w:after="0" w:line="240" w:lineRule="auto"/>
        <w:ind w:left="426" w:right="420" w:firstLine="1"/>
        <w:jc w:val="both"/>
        <w:rPr>
          <w:rFonts w:ascii="Tahoma" w:eastAsia="Calibri" w:hAnsi="Tahoma" w:cs="Tahoma"/>
          <w:i/>
          <w:lang w:val="es-ES"/>
        </w:rPr>
      </w:pPr>
    </w:p>
    <w:p w14:paraId="2CBAB55A" w14:textId="77777777" w:rsidR="00167260" w:rsidRPr="00167260" w:rsidRDefault="00167260" w:rsidP="00167260">
      <w:pPr>
        <w:spacing w:after="0" w:line="240" w:lineRule="auto"/>
        <w:ind w:left="426" w:right="420" w:firstLine="1"/>
        <w:jc w:val="both"/>
        <w:rPr>
          <w:rFonts w:ascii="Tahoma" w:eastAsia="Calibri" w:hAnsi="Tahoma" w:cs="Tahoma"/>
          <w:i/>
          <w:iCs/>
          <w:lang w:val="es-ES"/>
        </w:rPr>
      </w:pPr>
      <w:r w:rsidRPr="00167260">
        <w:rPr>
          <w:rFonts w:ascii="Tahoma" w:eastAsia="Calibri" w:hAnsi="Tahoma" w:cs="Tahoma"/>
          <w:i/>
          <w:lang w:val="es-ES"/>
        </w:rPr>
        <w:t xml:space="preserve">Como se ha expuesto, el deber de información al momento del traslado entre regímenes, es una obligación que corresponde a las administradoras de fondos de pensiones, y </w:t>
      </w:r>
      <w:r w:rsidRPr="00167260">
        <w:rPr>
          <w:rFonts w:ascii="Tahoma" w:eastAsia="Calibri" w:hAnsi="Tahoma" w:cs="Tahoma"/>
          <w:i/>
          <w:iCs/>
          <w:lang w:val="es-ES"/>
        </w:rPr>
        <w:t xml:space="preserve">su ejercicio debe ser de tal diligencia, que permita comprender la lógica, beneficios y desventajas del cambio de régimen, así como prever los riesgos y efectos negativos de esa decisión. </w:t>
      </w:r>
    </w:p>
    <w:p w14:paraId="11CBF9DE" w14:textId="77777777" w:rsidR="00167260" w:rsidRPr="00167260" w:rsidRDefault="00167260" w:rsidP="00167260">
      <w:pPr>
        <w:spacing w:after="0" w:line="240" w:lineRule="auto"/>
        <w:ind w:left="426" w:right="420" w:firstLine="1"/>
        <w:jc w:val="both"/>
        <w:rPr>
          <w:rFonts w:ascii="Tahoma" w:eastAsia="Calibri" w:hAnsi="Tahoma" w:cs="Tahoma"/>
          <w:i/>
          <w:iCs/>
          <w:lang w:val="es-ES"/>
        </w:rPr>
      </w:pPr>
    </w:p>
    <w:p w14:paraId="593D67A7" w14:textId="77777777" w:rsidR="00167260" w:rsidRPr="00167260" w:rsidRDefault="00167260" w:rsidP="00167260">
      <w:pPr>
        <w:spacing w:after="0" w:line="240" w:lineRule="auto"/>
        <w:ind w:left="426" w:right="420" w:firstLine="1"/>
        <w:jc w:val="both"/>
        <w:rPr>
          <w:rFonts w:ascii="Tahoma" w:eastAsia="Calibri" w:hAnsi="Tahoma" w:cs="Tahoma"/>
          <w:i/>
          <w:iCs/>
          <w:lang w:val="es-ES"/>
        </w:rPr>
      </w:pPr>
      <w:r w:rsidRPr="00167260">
        <w:rPr>
          <w:rFonts w:ascii="Tahoma" w:eastAsia="Calibri" w:hAnsi="Tahoma" w:cs="Tahoma"/>
          <w:i/>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23BE5FBD" w14:textId="77777777" w:rsidR="00167260" w:rsidRPr="00167260" w:rsidRDefault="00167260" w:rsidP="00167260">
      <w:pPr>
        <w:spacing w:after="0" w:line="240" w:lineRule="auto"/>
        <w:ind w:left="426" w:right="420" w:firstLine="1"/>
        <w:jc w:val="both"/>
        <w:rPr>
          <w:rFonts w:ascii="Tahoma" w:eastAsia="Calibri" w:hAnsi="Tahoma" w:cs="Tahoma"/>
          <w:i/>
          <w:iCs/>
          <w:lang w:val="es-ES"/>
        </w:rPr>
      </w:pPr>
    </w:p>
    <w:p w14:paraId="596BA8FB" w14:textId="77777777" w:rsidR="00167260" w:rsidRPr="00167260" w:rsidRDefault="00167260" w:rsidP="00167260">
      <w:pPr>
        <w:spacing w:after="0" w:line="240" w:lineRule="auto"/>
        <w:ind w:left="426" w:right="420" w:firstLine="1"/>
        <w:jc w:val="both"/>
        <w:rPr>
          <w:rFonts w:ascii="Tahoma" w:eastAsia="Calibri" w:hAnsi="Tahoma" w:cs="Tahoma"/>
          <w:i/>
          <w:iCs/>
          <w:lang w:val="es-ES"/>
        </w:rPr>
      </w:pPr>
      <w:r w:rsidRPr="00167260">
        <w:rPr>
          <w:rFonts w:ascii="Tahoma" w:eastAsia="Calibri" w:hAnsi="Tahoma" w:cs="Tahoma"/>
          <w:i/>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w:t>
      </w:r>
      <w:r w:rsidRPr="00167260">
        <w:rPr>
          <w:rFonts w:ascii="Tahoma" w:eastAsia="Calibri" w:hAnsi="Tahoma" w:cs="Tahoma"/>
          <w:i/>
          <w:lang w:val="es-ES"/>
        </w:rPr>
        <w:lastRenderedPageBreak/>
        <w:t xml:space="preserve">obligación de brindar información y, más aún, probar ante las autoridades administrativas y judiciales su pleno cumplimiento. </w:t>
      </w:r>
    </w:p>
    <w:p w14:paraId="123E7E6D" w14:textId="77777777" w:rsidR="00167260" w:rsidRPr="00167260" w:rsidRDefault="00167260" w:rsidP="00167260">
      <w:pPr>
        <w:spacing w:after="0" w:line="240" w:lineRule="auto"/>
        <w:ind w:left="426" w:right="420" w:firstLine="1"/>
        <w:jc w:val="both"/>
        <w:rPr>
          <w:rFonts w:ascii="Tahoma" w:eastAsia="Calibri" w:hAnsi="Tahoma" w:cs="Tahoma"/>
          <w:i/>
          <w:iCs/>
          <w:lang w:val="es-ES"/>
        </w:rPr>
      </w:pPr>
    </w:p>
    <w:p w14:paraId="0284DBE4" w14:textId="77777777" w:rsidR="00167260" w:rsidRPr="00167260" w:rsidRDefault="00167260" w:rsidP="00167260">
      <w:pPr>
        <w:spacing w:after="0" w:line="240" w:lineRule="auto"/>
        <w:ind w:left="426" w:right="420" w:firstLine="1"/>
        <w:jc w:val="both"/>
        <w:rPr>
          <w:rFonts w:ascii="Tahoma" w:eastAsia="Calibri" w:hAnsi="Tahoma" w:cs="Tahoma"/>
          <w:lang w:val="es-ES"/>
        </w:rPr>
      </w:pPr>
      <w:r w:rsidRPr="00167260">
        <w:rPr>
          <w:rFonts w:ascii="Tahoma" w:eastAsia="Calibri" w:hAnsi="Tahoma" w:cs="Tahoma"/>
          <w:i/>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167260">
        <w:rPr>
          <w:rFonts w:ascii="Tahoma" w:eastAsia="Calibri" w:hAnsi="Tahoma" w:cs="Tahoma"/>
          <w:lang w:val="es-ES"/>
        </w:rPr>
        <w:t xml:space="preserve"> </w:t>
      </w:r>
    </w:p>
    <w:p w14:paraId="3DF46776"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6431E518" w14:textId="77777777" w:rsidR="00167260" w:rsidRPr="00167260" w:rsidRDefault="00167260" w:rsidP="00167260">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167260">
        <w:rPr>
          <w:rFonts w:ascii="Tahoma" w:eastAsia="Calibri" w:hAnsi="Tahoma" w:cs="Tahoma"/>
          <w:b/>
          <w:sz w:val="24"/>
          <w:szCs w:val="24"/>
        </w:rPr>
        <w:t>Consecuencias de la declaratoria de ineficacia del traslado: Devolución de las cuotas de administración y de otros valores debidamente indexados</w:t>
      </w:r>
    </w:p>
    <w:p w14:paraId="692EC8A5"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42D4569B" w14:textId="77777777" w:rsidR="00167260" w:rsidRPr="00167260" w:rsidRDefault="00167260" w:rsidP="00167260">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670B4B07"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374A39C3" w14:textId="77777777" w:rsidR="00167260" w:rsidRPr="00167260" w:rsidRDefault="00167260" w:rsidP="00167260">
      <w:pPr>
        <w:tabs>
          <w:tab w:val="left" w:pos="5180"/>
        </w:tabs>
        <w:suppressAutoHyphens/>
        <w:spacing w:after="0" w:line="240" w:lineRule="auto"/>
        <w:ind w:left="426" w:right="420"/>
        <w:contextualSpacing/>
        <w:jc w:val="both"/>
        <w:rPr>
          <w:rFonts w:ascii="Tahoma" w:eastAsia="Calibri" w:hAnsi="Tahoma" w:cs="Tahoma"/>
          <w:i/>
          <w:szCs w:val="24"/>
          <w:lang w:val="es-ES"/>
        </w:rPr>
      </w:pPr>
      <w:r w:rsidRPr="00167260">
        <w:rPr>
          <w:rFonts w:ascii="Tahoma" w:eastAsia="Calibri" w:hAnsi="Tahoma" w:cs="Tahoma"/>
          <w:i/>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3596CF19" w14:textId="77777777" w:rsidR="00167260" w:rsidRPr="00167260" w:rsidRDefault="00167260" w:rsidP="00167260">
      <w:pPr>
        <w:tabs>
          <w:tab w:val="left" w:pos="5180"/>
        </w:tabs>
        <w:suppressAutoHyphens/>
        <w:spacing w:after="0" w:line="240" w:lineRule="auto"/>
        <w:ind w:left="426" w:right="420"/>
        <w:contextualSpacing/>
        <w:rPr>
          <w:rFonts w:ascii="Tahoma" w:eastAsia="Times New Roman" w:hAnsi="Tahoma" w:cs="Tahoma"/>
          <w:color w:val="000000"/>
          <w:szCs w:val="24"/>
          <w:lang w:val="es-ES" w:eastAsia="es-ES"/>
        </w:rPr>
      </w:pPr>
    </w:p>
    <w:p w14:paraId="7593C314" w14:textId="77777777" w:rsidR="00167260" w:rsidRPr="00167260" w:rsidRDefault="00167260" w:rsidP="00167260">
      <w:pPr>
        <w:tabs>
          <w:tab w:val="left" w:pos="5180"/>
        </w:tabs>
        <w:suppressAutoHyphens/>
        <w:spacing w:after="0" w:line="240" w:lineRule="auto"/>
        <w:ind w:left="426" w:right="420"/>
        <w:contextualSpacing/>
        <w:jc w:val="both"/>
        <w:rPr>
          <w:rFonts w:ascii="Tahoma" w:eastAsia="Calibri" w:hAnsi="Tahoma" w:cs="Tahoma"/>
          <w:i/>
          <w:szCs w:val="24"/>
          <w:lang w:val="es-ES"/>
        </w:rPr>
      </w:pPr>
      <w:r w:rsidRPr="00167260">
        <w:rPr>
          <w:rFonts w:ascii="Tahoma" w:eastAsia="Calibri" w:hAnsi="Tahoma" w:cs="Tahoma"/>
          <w:i/>
          <w:szCs w:val="24"/>
          <w:lang w:val="es-ES"/>
        </w:rPr>
        <w:t>Sobre las consecuencias de la nulidad del traslado entre regímenes esta Sala en sentencia SL, del 8 de sep. 2008, rad. 31989, reiterada en varias oportunidades, adoctrinó: […]</w:t>
      </w:r>
    </w:p>
    <w:p w14:paraId="40AFBDAB" w14:textId="77777777" w:rsidR="00167260" w:rsidRPr="00167260" w:rsidRDefault="00167260" w:rsidP="00167260">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310C1613" w14:textId="77777777" w:rsidR="00167260" w:rsidRPr="00167260" w:rsidRDefault="00167260" w:rsidP="00167260">
      <w:pPr>
        <w:tabs>
          <w:tab w:val="left" w:pos="5180"/>
        </w:tabs>
        <w:suppressAutoHyphens/>
        <w:spacing w:after="0" w:line="240" w:lineRule="auto"/>
        <w:ind w:left="426" w:right="420"/>
        <w:contextualSpacing/>
        <w:jc w:val="both"/>
        <w:rPr>
          <w:rFonts w:ascii="Tahoma" w:eastAsia="Calibri" w:hAnsi="Tahoma" w:cs="Tahoma"/>
          <w:i/>
          <w:szCs w:val="24"/>
          <w:lang w:val="es-ES"/>
        </w:rPr>
      </w:pPr>
      <w:r w:rsidRPr="00167260">
        <w:rPr>
          <w:rFonts w:ascii="Tahoma" w:eastAsia="Calibri" w:hAnsi="Tahoma" w:cs="Tahoma"/>
          <w:i/>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7B79F49" w14:textId="77777777" w:rsidR="00167260" w:rsidRPr="00167260" w:rsidRDefault="00167260" w:rsidP="00167260">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1A6678D5" w14:textId="77777777" w:rsidR="00167260" w:rsidRPr="00167260" w:rsidRDefault="00167260" w:rsidP="00167260">
      <w:pPr>
        <w:tabs>
          <w:tab w:val="left" w:pos="5180"/>
        </w:tabs>
        <w:suppressAutoHyphens/>
        <w:spacing w:after="0" w:line="240" w:lineRule="auto"/>
        <w:ind w:left="426" w:right="420"/>
        <w:contextualSpacing/>
        <w:jc w:val="both"/>
        <w:rPr>
          <w:rFonts w:ascii="Tahoma" w:eastAsia="Calibri" w:hAnsi="Tahoma" w:cs="Tahoma"/>
          <w:i/>
          <w:szCs w:val="24"/>
          <w:lang w:val="es-ES"/>
        </w:rPr>
      </w:pPr>
      <w:r w:rsidRPr="00167260">
        <w:rPr>
          <w:rFonts w:ascii="Tahoma" w:eastAsia="Calibri" w:hAnsi="Tahoma" w:cs="Tahoma"/>
          <w:i/>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8363787" w14:textId="77777777" w:rsidR="00167260" w:rsidRPr="00167260" w:rsidRDefault="00167260" w:rsidP="00167260">
      <w:pPr>
        <w:spacing w:after="0" w:line="276" w:lineRule="auto"/>
        <w:jc w:val="both"/>
        <w:rPr>
          <w:rFonts w:ascii="Tahoma" w:hAnsi="Tahoma" w:cs="Tahoma"/>
          <w:sz w:val="24"/>
          <w:szCs w:val="24"/>
        </w:rPr>
      </w:pPr>
      <w:r w:rsidRPr="00167260">
        <w:rPr>
          <w:rFonts w:ascii="Tahoma" w:eastAsia="Tahoma" w:hAnsi="Tahoma" w:cs="Tahoma"/>
          <w:sz w:val="24"/>
          <w:szCs w:val="24"/>
        </w:rPr>
        <w:t xml:space="preserve"> </w:t>
      </w:r>
    </w:p>
    <w:p w14:paraId="02FD2012" w14:textId="77777777" w:rsidR="00167260" w:rsidRPr="00167260" w:rsidRDefault="00167260" w:rsidP="00167260">
      <w:pPr>
        <w:spacing w:after="0" w:line="276" w:lineRule="auto"/>
        <w:ind w:firstLine="284"/>
        <w:jc w:val="both"/>
        <w:rPr>
          <w:rFonts w:ascii="Tahoma" w:hAnsi="Tahoma" w:cs="Tahoma"/>
          <w:sz w:val="24"/>
          <w:szCs w:val="24"/>
        </w:rPr>
      </w:pPr>
      <w:r w:rsidRPr="00167260">
        <w:rPr>
          <w:rFonts w:ascii="Tahoma" w:eastAsia="Tahoma" w:hAnsi="Tahoma" w:cs="Tahoma"/>
          <w:sz w:val="24"/>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43C406D7" w14:textId="77777777" w:rsidR="00167260" w:rsidRPr="00167260" w:rsidRDefault="00167260" w:rsidP="00167260">
      <w:pPr>
        <w:spacing w:after="0" w:line="276" w:lineRule="auto"/>
        <w:jc w:val="both"/>
        <w:rPr>
          <w:rFonts w:ascii="Tahoma" w:hAnsi="Tahoma" w:cs="Tahoma"/>
          <w:sz w:val="24"/>
          <w:szCs w:val="24"/>
        </w:rPr>
      </w:pPr>
      <w:r w:rsidRPr="00167260">
        <w:rPr>
          <w:rFonts w:ascii="Tahoma" w:eastAsia="Tahoma" w:hAnsi="Tahoma" w:cs="Tahoma"/>
          <w:sz w:val="24"/>
          <w:szCs w:val="24"/>
        </w:rPr>
        <w:t xml:space="preserve"> </w:t>
      </w:r>
    </w:p>
    <w:p w14:paraId="524737B4" w14:textId="77777777" w:rsidR="00167260" w:rsidRPr="00167260" w:rsidRDefault="00167260" w:rsidP="00167260">
      <w:pPr>
        <w:tabs>
          <w:tab w:val="left" w:pos="5180"/>
        </w:tabs>
        <w:suppressAutoHyphens/>
        <w:spacing w:after="0" w:line="240" w:lineRule="auto"/>
        <w:ind w:left="426" w:right="420"/>
        <w:contextualSpacing/>
        <w:jc w:val="both"/>
        <w:rPr>
          <w:rFonts w:ascii="Tahoma" w:eastAsia="Calibri" w:hAnsi="Tahoma" w:cs="Tahoma"/>
          <w:i/>
          <w:szCs w:val="24"/>
          <w:lang w:val="es-ES"/>
        </w:rPr>
      </w:pPr>
      <w:r w:rsidRPr="00167260">
        <w:rPr>
          <w:rFonts w:ascii="Tahoma" w:eastAsia="Calibri" w:hAnsi="Tahoma" w:cs="Tahoma"/>
          <w:i/>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w:t>
      </w:r>
      <w:r w:rsidRPr="00167260">
        <w:rPr>
          <w:rFonts w:ascii="Tahoma" w:eastAsia="Calibri" w:hAnsi="Tahoma" w:cs="Tahoma"/>
          <w:i/>
          <w:szCs w:val="24"/>
          <w:lang w:val="es-ES"/>
        </w:rPr>
        <w:lastRenderedPageBreak/>
        <w:t xml:space="preserve">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1130DDD1" w14:textId="77777777" w:rsidR="00167260" w:rsidRPr="00167260" w:rsidRDefault="00167260" w:rsidP="00167260">
      <w:pPr>
        <w:spacing w:after="0" w:line="276" w:lineRule="auto"/>
        <w:jc w:val="both"/>
        <w:rPr>
          <w:rFonts w:ascii="Tahoma" w:hAnsi="Tahoma" w:cs="Tahoma"/>
          <w:sz w:val="24"/>
          <w:szCs w:val="24"/>
        </w:rPr>
      </w:pPr>
      <w:r w:rsidRPr="00167260">
        <w:rPr>
          <w:rFonts w:ascii="Tahoma" w:eastAsia="Tahoma" w:hAnsi="Tahoma" w:cs="Tahoma"/>
          <w:sz w:val="24"/>
          <w:szCs w:val="24"/>
        </w:rPr>
        <w:t xml:space="preserve"> </w:t>
      </w:r>
    </w:p>
    <w:p w14:paraId="1ABA6435" w14:textId="77777777" w:rsidR="00167260" w:rsidRPr="00167260" w:rsidRDefault="00167260" w:rsidP="00167260">
      <w:pPr>
        <w:widowControl w:val="0"/>
        <w:autoSpaceDE w:val="0"/>
        <w:autoSpaceDN w:val="0"/>
        <w:adjustRightInd w:val="0"/>
        <w:spacing w:after="0" w:line="276" w:lineRule="auto"/>
        <w:ind w:firstLine="708"/>
        <w:jc w:val="both"/>
        <w:rPr>
          <w:rFonts w:ascii="Tahoma" w:eastAsia="Calibri" w:hAnsi="Tahoma" w:cs="Tahoma"/>
          <w:sz w:val="24"/>
          <w:szCs w:val="24"/>
        </w:rPr>
      </w:pPr>
      <w:r w:rsidRPr="00167260">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7BA31174"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p>
    <w:p w14:paraId="39E184EE" w14:textId="77777777" w:rsidR="00167260" w:rsidRPr="00167260" w:rsidRDefault="00167260" w:rsidP="00167260">
      <w:pPr>
        <w:widowControl w:val="0"/>
        <w:autoSpaceDE w:val="0"/>
        <w:autoSpaceDN w:val="0"/>
        <w:adjustRightInd w:val="0"/>
        <w:spacing w:after="0" w:line="276" w:lineRule="auto"/>
        <w:ind w:firstLine="284"/>
        <w:jc w:val="both"/>
        <w:rPr>
          <w:rFonts w:ascii="Tahoma" w:eastAsia="Calibri" w:hAnsi="Tahoma" w:cs="Tahoma"/>
          <w:sz w:val="24"/>
          <w:szCs w:val="24"/>
        </w:rPr>
      </w:pPr>
      <w:r w:rsidRPr="00167260">
        <w:rPr>
          <w:rFonts w:ascii="Tahoma" w:eastAsia="Calibri"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57AC8E39" w14:textId="77777777" w:rsidR="004D57BB" w:rsidRPr="001A3CA7" w:rsidRDefault="004D57BB" w:rsidP="001A3CA7">
      <w:pPr>
        <w:widowControl w:val="0"/>
        <w:autoSpaceDE w:val="0"/>
        <w:autoSpaceDN w:val="0"/>
        <w:adjustRightInd w:val="0"/>
        <w:spacing w:after="0" w:line="276" w:lineRule="auto"/>
        <w:ind w:firstLine="284"/>
        <w:jc w:val="both"/>
        <w:rPr>
          <w:rFonts w:ascii="Tahoma" w:eastAsia="Calibri" w:hAnsi="Tahoma" w:cs="Tahoma"/>
          <w:b/>
          <w:sz w:val="24"/>
          <w:szCs w:val="24"/>
        </w:rPr>
      </w:pPr>
    </w:p>
    <w:p w14:paraId="11D90125" w14:textId="77777777" w:rsidR="004D57BB" w:rsidRPr="001A3CA7" w:rsidRDefault="004D57BB" w:rsidP="001A3CA7">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1A3CA7">
        <w:rPr>
          <w:rFonts w:ascii="Tahoma" w:eastAsia="Calibri" w:hAnsi="Tahoma" w:cs="Tahoma"/>
          <w:b/>
          <w:sz w:val="24"/>
          <w:szCs w:val="24"/>
        </w:rPr>
        <w:t>Caso concreto</w:t>
      </w:r>
    </w:p>
    <w:p w14:paraId="4D0D9326" w14:textId="77777777" w:rsidR="004D57BB" w:rsidRPr="001A3CA7" w:rsidRDefault="004D57BB" w:rsidP="001A3CA7">
      <w:pPr>
        <w:widowControl w:val="0"/>
        <w:autoSpaceDE w:val="0"/>
        <w:autoSpaceDN w:val="0"/>
        <w:adjustRightInd w:val="0"/>
        <w:spacing w:after="0" w:line="276" w:lineRule="auto"/>
        <w:ind w:firstLine="284"/>
        <w:jc w:val="both"/>
        <w:rPr>
          <w:rFonts w:ascii="Tahoma" w:eastAsia="Calibri" w:hAnsi="Tahoma" w:cs="Tahoma"/>
          <w:sz w:val="24"/>
          <w:szCs w:val="24"/>
        </w:rPr>
      </w:pPr>
    </w:p>
    <w:p w14:paraId="1CD3072D" w14:textId="77777777" w:rsidR="004D57BB" w:rsidRPr="001A3CA7" w:rsidRDefault="004D57BB" w:rsidP="001A3CA7">
      <w:pPr>
        <w:widowControl w:val="0"/>
        <w:autoSpaceDE w:val="0"/>
        <w:autoSpaceDN w:val="0"/>
        <w:adjustRightInd w:val="0"/>
        <w:spacing w:after="0" w:line="276" w:lineRule="auto"/>
        <w:ind w:firstLine="708"/>
        <w:jc w:val="both"/>
        <w:rPr>
          <w:rFonts w:ascii="Tahoma" w:eastAsia="Calibri" w:hAnsi="Tahoma" w:cs="Tahoma"/>
          <w:sz w:val="24"/>
          <w:szCs w:val="24"/>
        </w:rPr>
      </w:pPr>
      <w:r w:rsidRPr="001A3CA7">
        <w:rPr>
          <w:rFonts w:ascii="Tahoma" w:eastAsia="Calibri" w:hAnsi="Tahoma" w:cs="Tahoma"/>
          <w:sz w:val="24"/>
          <w:szCs w:val="24"/>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66C7122D" w14:textId="77777777" w:rsidR="004D57BB" w:rsidRPr="001A3CA7" w:rsidRDefault="004D57BB" w:rsidP="001A3CA7">
      <w:pPr>
        <w:widowControl w:val="0"/>
        <w:autoSpaceDE w:val="0"/>
        <w:autoSpaceDN w:val="0"/>
        <w:adjustRightInd w:val="0"/>
        <w:spacing w:after="0" w:line="276" w:lineRule="auto"/>
        <w:ind w:firstLine="284"/>
        <w:jc w:val="both"/>
        <w:rPr>
          <w:rFonts w:ascii="Tahoma" w:eastAsia="Calibri" w:hAnsi="Tahoma" w:cs="Tahoma"/>
          <w:sz w:val="24"/>
          <w:szCs w:val="24"/>
        </w:rPr>
      </w:pPr>
    </w:p>
    <w:p w14:paraId="7E113776" w14:textId="77777777" w:rsidR="004D57BB" w:rsidRPr="001A3CA7" w:rsidRDefault="004D57BB" w:rsidP="001A3CA7">
      <w:pPr>
        <w:widowControl w:val="0"/>
        <w:autoSpaceDE w:val="0"/>
        <w:autoSpaceDN w:val="0"/>
        <w:adjustRightInd w:val="0"/>
        <w:spacing w:after="0" w:line="276" w:lineRule="auto"/>
        <w:ind w:firstLine="708"/>
        <w:jc w:val="both"/>
        <w:rPr>
          <w:rFonts w:ascii="Tahoma" w:eastAsia="Calibri" w:hAnsi="Tahoma" w:cs="Tahoma"/>
          <w:sz w:val="24"/>
          <w:szCs w:val="24"/>
        </w:rPr>
      </w:pPr>
      <w:r w:rsidRPr="001A3CA7">
        <w:rPr>
          <w:rFonts w:ascii="Tahoma" w:eastAsia="Calibri" w:hAnsi="Tahoma" w:cs="Tahoma"/>
          <w:sz w:val="24"/>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7589B861" w14:textId="77777777" w:rsidR="004D57BB" w:rsidRPr="001A3CA7" w:rsidRDefault="004D57BB" w:rsidP="001A3CA7">
      <w:pPr>
        <w:widowControl w:val="0"/>
        <w:autoSpaceDE w:val="0"/>
        <w:autoSpaceDN w:val="0"/>
        <w:adjustRightInd w:val="0"/>
        <w:spacing w:after="0" w:line="276" w:lineRule="auto"/>
        <w:ind w:firstLine="284"/>
        <w:jc w:val="both"/>
        <w:rPr>
          <w:rFonts w:ascii="Tahoma" w:eastAsia="Calibri" w:hAnsi="Tahoma" w:cs="Tahoma"/>
          <w:sz w:val="24"/>
          <w:szCs w:val="24"/>
        </w:rPr>
      </w:pPr>
    </w:p>
    <w:p w14:paraId="3F734DA9" w14:textId="77777777" w:rsidR="004D57BB" w:rsidRPr="001A3CA7" w:rsidRDefault="004D57BB" w:rsidP="001A3CA7">
      <w:pPr>
        <w:widowControl w:val="0"/>
        <w:autoSpaceDE w:val="0"/>
        <w:autoSpaceDN w:val="0"/>
        <w:adjustRightInd w:val="0"/>
        <w:spacing w:after="0" w:line="276" w:lineRule="auto"/>
        <w:ind w:firstLine="708"/>
        <w:jc w:val="both"/>
        <w:rPr>
          <w:rFonts w:ascii="Tahoma" w:eastAsia="Calibri" w:hAnsi="Tahoma" w:cs="Tahoma"/>
          <w:b/>
          <w:sz w:val="24"/>
          <w:szCs w:val="24"/>
        </w:rPr>
      </w:pPr>
      <w:r w:rsidRPr="001A3CA7">
        <w:rPr>
          <w:rFonts w:ascii="Tahoma" w:eastAsia="Calibri" w:hAnsi="Tahoma" w:cs="Tahoma"/>
          <w:sz w:val="24"/>
          <w:szCs w:val="24"/>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1A3CA7">
        <w:rPr>
          <w:rFonts w:ascii="Tahoma" w:eastAsia="Calibri" w:hAnsi="Tahoma" w:cs="Tahoma"/>
          <w:b/>
          <w:sz w:val="24"/>
          <w:szCs w:val="24"/>
        </w:rPr>
        <w:t>, acreditar haber transmitido a la parte actora la información concreta y cierta, acerca de la implicación del traslado de régimen pensional.</w:t>
      </w:r>
    </w:p>
    <w:p w14:paraId="45771FF1" w14:textId="77777777" w:rsidR="004D57BB" w:rsidRPr="001A3CA7" w:rsidRDefault="004D57BB" w:rsidP="001A3CA7">
      <w:pPr>
        <w:widowControl w:val="0"/>
        <w:autoSpaceDE w:val="0"/>
        <w:autoSpaceDN w:val="0"/>
        <w:adjustRightInd w:val="0"/>
        <w:spacing w:after="0" w:line="276" w:lineRule="auto"/>
        <w:ind w:firstLine="284"/>
        <w:jc w:val="both"/>
        <w:rPr>
          <w:rFonts w:ascii="Tahoma" w:eastAsia="Calibri" w:hAnsi="Tahoma" w:cs="Tahoma"/>
          <w:b/>
          <w:sz w:val="24"/>
          <w:szCs w:val="24"/>
        </w:rPr>
      </w:pPr>
    </w:p>
    <w:p w14:paraId="06112856" w14:textId="77777777" w:rsidR="004D57BB" w:rsidRPr="001A3CA7" w:rsidRDefault="004D57BB" w:rsidP="001A3CA7">
      <w:pPr>
        <w:widowControl w:val="0"/>
        <w:autoSpaceDE w:val="0"/>
        <w:autoSpaceDN w:val="0"/>
        <w:adjustRightInd w:val="0"/>
        <w:spacing w:after="0" w:line="276" w:lineRule="auto"/>
        <w:ind w:firstLine="708"/>
        <w:jc w:val="both"/>
        <w:rPr>
          <w:rFonts w:ascii="Tahoma" w:eastAsia="Calibri" w:hAnsi="Tahoma" w:cs="Tahoma"/>
          <w:sz w:val="24"/>
          <w:szCs w:val="24"/>
        </w:rPr>
      </w:pPr>
      <w:r w:rsidRPr="001A3CA7">
        <w:rPr>
          <w:rFonts w:ascii="Tahoma" w:eastAsia="Calibri" w:hAnsi="Tahoma" w:cs="Tahoma"/>
          <w:sz w:val="24"/>
          <w:szCs w:val="24"/>
        </w:rPr>
        <w:t xml:space="preserve">En realidad, mínimo la AFP tendría que haber dado la siguiente información: </w:t>
      </w:r>
      <w:r w:rsidRPr="001A3CA7">
        <w:rPr>
          <w:rFonts w:ascii="Tahoma" w:eastAsia="Calibri" w:hAnsi="Tahoma" w:cs="Tahoma"/>
          <w:i/>
          <w:sz w:val="24"/>
          <w:szCs w:val="24"/>
        </w:rPr>
        <w:t xml:space="preserve">i) </w:t>
      </w:r>
      <w:r w:rsidRPr="001A3CA7">
        <w:rPr>
          <w:rFonts w:ascii="Tahoma" w:eastAsia="Calibri" w:hAnsi="Tahoma" w:cs="Tahoma"/>
          <w:sz w:val="24"/>
          <w:szCs w:val="24"/>
        </w:rPr>
        <w:t xml:space="preserve">Que, dependiendo del capital, puede pensionarse anticipadamente, esto es, antes de la edad mínima para la pensión de vejez. </w:t>
      </w:r>
      <w:r w:rsidRPr="001A3CA7">
        <w:rPr>
          <w:rFonts w:ascii="Tahoma" w:eastAsia="Calibri" w:hAnsi="Tahoma" w:cs="Tahoma"/>
          <w:i/>
          <w:sz w:val="24"/>
          <w:szCs w:val="24"/>
        </w:rPr>
        <w:t xml:space="preserve">ii) </w:t>
      </w:r>
      <w:r w:rsidRPr="001A3CA7">
        <w:rPr>
          <w:rFonts w:ascii="Tahoma" w:eastAsia="Calibri" w:hAnsi="Tahoma" w:cs="Tahoma"/>
          <w:sz w:val="24"/>
          <w:szCs w:val="24"/>
        </w:rPr>
        <w:t xml:space="preserve">La posibilidad para sus herederos de hacerse a la devolución de saldos, en caso de que no existieran beneficiaros para la pensión de sobrevivientes. </w:t>
      </w:r>
      <w:r w:rsidRPr="001A3CA7">
        <w:rPr>
          <w:rFonts w:ascii="Tahoma" w:eastAsia="Calibri" w:hAnsi="Tahoma" w:cs="Tahoma"/>
          <w:i/>
          <w:sz w:val="24"/>
          <w:szCs w:val="24"/>
        </w:rPr>
        <w:t xml:space="preserve">iii) </w:t>
      </w:r>
      <w:r w:rsidRPr="001A3CA7">
        <w:rPr>
          <w:rFonts w:ascii="Tahoma" w:eastAsia="Calibri" w:hAnsi="Tahoma" w:cs="Tahoma"/>
          <w:sz w:val="24"/>
          <w:szCs w:val="24"/>
        </w:rPr>
        <w:t xml:space="preserve">La devolución total del saldo en caso de no alcanzar a reunir el total de los requisitos legales para optar al beneficio pensional. </w:t>
      </w:r>
      <w:r w:rsidRPr="001A3CA7">
        <w:rPr>
          <w:rFonts w:ascii="Tahoma" w:eastAsia="Calibri" w:hAnsi="Tahoma" w:cs="Tahoma"/>
          <w:i/>
          <w:sz w:val="24"/>
          <w:szCs w:val="24"/>
        </w:rPr>
        <w:t xml:space="preserve">iv) </w:t>
      </w:r>
      <w:r w:rsidRPr="001A3CA7">
        <w:rPr>
          <w:rFonts w:ascii="Tahoma" w:eastAsia="Calibri" w:hAnsi="Tahoma" w:cs="Tahoma"/>
          <w:sz w:val="24"/>
          <w:szCs w:val="24"/>
        </w:rPr>
        <w:t xml:space="preserve">Tener la </w:t>
      </w:r>
      <w:r w:rsidRPr="001A3CA7">
        <w:rPr>
          <w:rFonts w:ascii="Tahoma" w:eastAsia="Calibri" w:hAnsi="Tahoma" w:cs="Tahoma"/>
          <w:sz w:val="24"/>
          <w:szCs w:val="24"/>
        </w:rPr>
        <w:lastRenderedPageBreak/>
        <w:t xml:space="preserve">posibilidad de la pensión de vejez habiendo cotizado el mínimo de semanas requeridas a pesar de no reunir el capital suficiente para el financiamiento de la prestación económica. </w:t>
      </w:r>
      <w:r w:rsidRPr="001A3CA7">
        <w:rPr>
          <w:rFonts w:ascii="Tahoma" w:eastAsia="Calibri" w:hAnsi="Tahoma" w:cs="Tahoma"/>
          <w:i/>
          <w:sz w:val="24"/>
          <w:szCs w:val="24"/>
        </w:rPr>
        <w:t xml:space="preserve">v) </w:t>
      </w:r>
      <w:r w:rsidRPr="001A3CA7">
        <w:rPr>
          <w:rFonts w:ascii="Tahoma" w:eastAsia="Calibri" w:hAnsi="Tahoma" w:cs="Tahoma"/>
          <w:sz w:val="24"/>
          <w:szCs w:val="24"/>
        </w:rPr>
        <w:t xml:space="preserve">La posibilidad de que el reconocimiento de la pensión de vejez, una vez reunido los requisitos, se haga pronto. </w:t>
      </w:r>
      <w:r w:rsidRPr="001A3CA7">
        <w:rPr>
          <w:rFonts w:ascii="Tahoma" w:eastAsia="Calibri" w:hAnsi="Tahoma" w:cs="Tahoma"/>
          <w:i/>
          <w:sz w:val="24"/>
          <w:szCs w:val="24"/>
        </w:rPr>
        <w:t xml:space="preserve">vi) </w:t>
      </w:r>
      <w:r w:rsidRPr="001A3CA7">
        <w:rPr>
          <w:rFonts w:ascii="Tahoma" w:eastAsia="Calibri" w:hAnsi="Tahoma" w:cs="Tahoma"/>
          <w:sz w:val="24"/>
          <w:szCs w:val="24"/>
        </w:rPr>
        <w:t xml:space="preserve">La posibilidad de que sus aportes se conviertan en patrimonio </w:t>
      </w:r>
      <w:proofErr w:type="spellStart"/>
      <w:r w:rsidRPr="001A3CA7">
        <w:rPr>
          <w:rFonts w:ascii="Tahoma" w:eastAsia="Calibri" w:hAnsi="Tahoma" w:cs="Tahoma"/>
          <w:sz w:val="24"/>
          <w:szCs w:val="24"/>
        </w:rPr>
        <w:t>sucesoral</w:t>
      </w:r>
      <w:proofErr w:type="spellEnd"/>
      <w:r w:rsidRPr="001A3CA7">
        <w:rPr>
          <w:rFonts w:ascii="Tahoma" w:eastAsia="Calibri" w:hAnsi="Tahoma" w:cs="Tahoma"/>
          <w:sz w:val="24"/>
          <w:szCs w:val="24"/>
        </w:rPr>
        <w:t xml:space="preserve"> en un caso dado. </w:t>
      </w:r>
      <w:r w:rsidRPr="001A3CA7">
        <w:rPr>
          <w:rFonts w:ascii="Tahoma" w:eastAsia="Calibri" w:hAnsi="Tahoma" w:cs="Tahoma"/>
          <w:i/>
          <w:sz w:val="24"/>
          <w:szCs w:val="24"/>
        </w:rPr>
        <w:t xml:space="preserve">vii) </w:t>
      </w:r>
      <w:r w:rsidRPr="001A3CA7">
        <w:rPr>
          <w:rFonts w:ascii="Tahoma" w:eastAsia="Calibri" w:hAnsi="Tahoma" w:cs="Tahoma"/>
          <w:sz w:val="24"/>
          <w:szCs w:val="24"/>
        </w:rPr>
        <w:t xml:space="preserve">El hecho de que el afiliado es el único titular de la cuenta de ahorro individual en contraste con el fondo público cuyos ahorros hacen parte de un fondo común. </w:t>
      </w:r>
      <w:proofErr w:type="spellStart"/>
      <w:r w:rsidRPr="001A3CA7">
        <w:rPr>
          <w:rFonts w:ascii="Tahoma" w:eastAsia="Calibri" w:hAnsi="Tahoma" w:cs="Tahoma"/>
          <w:i/>
          <w:sz w:val="24"/>
          <w:szCs w:val="24"/>
        </w:rPr>
        <w:t>viii</w:t>
      </w:r>
      <w:proofErr w:type="spellEnd"/>
      <w:r w:rsidRPr="001A3CA7">
        <w:rPr>
          <w:rFonts w:ascii="Tahoma" w:eastAsia="Calibri" w:hAnsi="Tahoma" w:cs="Tahoma"/>
          <w:i/>
          <w:sz w:val="24"/>
          <w:szCs w:val="24"/>
        </w:rPr>
        <w:t xml:space="preserve">) </w:t>
      </w:r>
      <w:r w:rsidRPr="001A3CA7">
        <w:rPr>
          <w:rFonts w:ascii="Tahoma" w:eastAsia="Calibri" w:hAnsi="Tahoma" w:cs="Tahoma"/>
          <w:sz w:val="24"/>
          <w:szCs w:val="24"/>
        </w:rPr>
        <w:t xml:space="preserve">Los rendimientos financieros que le generen sus aportes abonados sobre el saldo de su cuenta de ahorro individual; y, </w:t>
      </w:r>
      <w:proofErr w:type="spellStart"/>
      <w:r w:rsidRPr="001A3CA7">
        <w:rPr>
          <w:rFonts w:ascii="Tahoma" w:eastAsia="Calibri" w:hAnsi="Tahoma" w:cs="Tahoma"/>
          <w:i/>
          <w:sz w:val="24"/>
          <w:szCs w:val="24"/>
        </w:rPr>
        <w:t>ix</w:t>
      </w:r>
      <w:proofErr w:type="spellEnd"/>
      <w:r w:rsidRPr="001A3CA7">
        <w:rPr>
          <w:rFonts w:ascii="Tahoma" w:eastAsia="Calibri" w:hAnsi="Tahoma" w:cs="Tahoma"/>
          <w:i/>
          <w:sz w:val="24"/>
          <w:szCs w:val="24"/>
        </w:rPr>
        <w:t xml:space="preserve">) </w:t>
      </w:r>
      <w:r w:rsidRPr="001A3CA7">
        <w:rPr>
          <w:rFonts w:ascii="Tahoma" w:eastAsia="Calibri" w:hAnsi="Tahoma" w:cs="Tahoma"/>
          <w:sz w:val="24"/>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1A3CA7">
        <w:rPr>
          <w:rFonts w:ascii="Tahoma" w:eastAsia="Calibri" w:hAnsi="Tahoma" w:cs="Tahoma"/>
          <w:sz w:val="24"/>
          <w:szCs w:val="24"/>
        </w:rPr>
        <w:t>sucesoral</w:t>
      </w:r>
      <w:proofErr w:type="spellEnd"/>
      <w:r w:rsidRPr="001A3CA7">
        <w:rPr>
          <w:rFonts w:ascii="Tahoma" w:eastAsia="Calibri" w:hAnsi="Tahoma" w:cs="Tahoma"/>
          <w:sz w:val="24"/>
          <w:szCs w:val="24"/>
        </w:rPr>
        <w:t xml:space="preserve">, pero le garantiza una pensión de por vida. La modalidad de </w:t>
      </w:r>
      <w:r w:rsidRPr="001A3CA7">
        <w:rPr>
          <w:rFonts w:ascii="Tahoma" w:eastAsia="Calibri" w:hAnsi="Tahoma" w:cs="Tahoma"/>
          <w:i/>
          <w:sz w:val="24"/>
          <w:szCs w:val="24"/>
        </w:rPr>
        <w:t>retiro programado</w:t>
      </w:r>
      <w:r w:rsidRPr="001A3CA7">
        <w:rPr>
          <w:rFonts w:ascii="Tahoma" w:eastAsia="Calibri" w:hAnsi="Tahoma" w:cs="Tahoma"/>
          <w:sz w:val="24"/>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5B451F2B" w14:textId="77777777" w:rsidR="004D57BB" w:rsidRPr="001A3CA7" w:rsidRDefault="004D57BB" w:rsidP="001A3CA7">
      <w:pPr>
        <w:widowControl w:val="0"/>
        <w:autoSpaceDE w:val="0"/>
        <w:autoSpaceDN w:val="0"/>
        <w:adjustRightInd w:val="0"/>
        <w:spacing w:after="0" w:line="276" w:lineRule="auto"/>
        <w:ind w:firstLine="284"/>
        <w:jc w:val="both"/>
        <w:rPr>
          <w:rFonts w:ascii="Tahoma" w:eastAsia="Calibri" w:hAnsi="Tahoma" w:cs="Tahoma"/>
          <w:sz w:val="24"/>
          <w:szCs w:val="24"/>
        </w:rPr>
      </w:pPr>
    </w:p>
    <w:p w14:paraId="05C989BE" w14:textId="48309A93" w:rsidR="004D57BB" w:rsidRPr="001A3CA7" w:rsidRDefault="004D57BB" w:rsidP="001A3CA7">
      <w:pPr>
        <w:widowControl w:val="0"/>
        <w:autoSpaceDE w:val="0"/>
        <w:autoSpaceDN w:val="0"/>
        <w:adjustRightInd w:val="0"/>
        <w:spacing w:after="0" w:line="276" w:lineRule="auto"/>
        <w:ind w:firstLine="708"/>
        <w:jc w:val="both"/>
        <w:rPr>
          <w:rFonts w:ascii="Tahoma" w:eastAsia="Calibri" w:hAnsi="Tahoma" w:cs="Tahoma"/>
          <w:sz w:val="24"/>
          <w:szCs w:val="24"/>
        </w:rPr>
      </w:pPr>
      <w:r w:rsidRPr="001A3CA7">
        <w:rPr>
          <w:rFonts w:ascii="Tahoma" w:eastAsia="Calibri" w:hAnsi="Tahoma" w:cs="Tahoma"/>
          <w:sz w:val="24"/>
          <w:szCs w:val="24"/>
        </w:rPr>
        <w:t xml:space="preserve">Protección 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1FB5FEB0" w14:textId="77777777" w:rsidR="004D57BB" w:rsidRPr="001A3CA7" w:rsidRDefault="004D57BB" w:rsidP="001A3CA7">
      <w:pPr>
        <w:widowControl w:val="0"/>
        <w:autoSpaceDE w:val="0"/>
        <w:autoSpaceDN w:val="0"/>
        <w:adjustRightInd w:val="0"/>
        <w:spacing w:after="0" w:line="276" w:lineRule="auto"/>
        <w:ind w:firstLine="284"/>
        <w:jc w:val="both"/>
        <w:rPr>
          <w:rFonts w:ascii="Tahoma" w:eastAsia="Calibri" w:hAnsi="Tahoma" w:cs="Tahoma"/>
          <w:sz w:val="24"/>
          <w:szCs w:val="24"/>
        </w:rPr>
      </w:pPr>
    </w:p>
    <w:p w14:paraId="23F8766A" w14:textId="77777777" w:rsidR="004D57BB" w:rsidRPr="001A3CA7" w:rsidRDefault="004D57BB" w:rsidP="001A3CA7">
      <w:pPr>
        <w:widowControl w:val="0"/>
        <w:autoSpaceDE w:val="0"/>
        <w:autoSpaceDN w:val="0"/>
        <w:adjustRightInd w:val="0"/>
        <w:spacing w:after="0" w:line="276" w:lineRule="auto"/>
        <w:ind w:firstLine="708"/>
        <w:jc w:val="both"/>
        <w:rPr>
          <w:rFonts w:ascii="Tahoma" w:eastAsia="Calibri" w:hAnsi="Tahoma" w:cs="Tahoma"/>
          <w:sz w:val="24"/>
          <w:szCs w:val="24"/>
        </w:rPr>
      </w:pPr>
      <w:r w:rsidRPr="001A3CA7">
        <w:rPr>
          <w:rFonts w:ascii="Tahoma" w:eastAsia="Calibri" w:hAnsi="Tahoma" w:cs="Tahoma"/>
          <w:sz w:val="24"/>
          <w:szCs w:val="24"/>
        </w:rPr>
        <w:t>Con todo hay que indicar que como prueba del cumplimiento del deber de información y buen consejo, la(s) AFP(s)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0DE37722" w14:textId="77777777" w:rsidR="004D57BB" w:rsidRPr="001A3CA7" w:rsidRDefault="004D57BB" w:rsidP="001A3CA7">
      <w:pPr>
        <w:widowControl w:val="0"/>
        <w:autoSpaceDE w:val="0"/>
        <w:autoSpaceDN w:val="0"/>
        <w:adjustRightInd w:val="0"/>
        <w:spacing w:after="0" w:line="276" w:lineRule="auto"/>
        <w:ind w:firstLine="284"/>
        <w:jc w:val="both"/>
        <w:rPr>
          <w:rFonts w:ascii="Tahoma" w:eastAsia="Calibri" w:hAnsi="Tahoma" w:cs="Tahoma"/>
          <w:sz w:val="24"/>
          <w:szCs w:val="24"/>
        </w:rPr>
      </w:pPr>
    </w:p>
    <w:p w14:paraId="6A5E16C9" w14:textId="77777777" w:rsidR="004D57BB" w:rsidRPr="001A3CA7" w:rsidRDefault="004D57BB" w:rsidP="001A3CA7">
      <w:pPr>
        <w:widowControl w:val="0"/>
        <w:autoSpaceDE w:val="0"/>
        <w:autoSpaceDN w:val="0"/>
        <w:adjustRightInd w:val="0"/>
        <w:spacing w:after="0" w:line="276" w:lineRule="auto"/>
        <w:ind w:firstLine="708"/>
        <w:jc w:val="both"/>
        <w:rPr>
          <w:rFonts w:ascii="Tahoma" w:eastAsia="Calibri" w:hAnsi="Tahoma" w:cs="Tahoma"/>
          <w:sz w:val="24"/>
          <w:szCs w:val="24"/>
        </w:rPr>
      </w:pPr>
      <w:r w:rsidRPr="001A3CA7">
        <w:rPr>
          <w:rFonts w:ascii="Tahoma" w:eastAsia="Calibri" w:hAnsi="Tahoma" w:cs="Tahoma"/>
          <w:sz w:val="24"/>
          <w:szCs w:val="24"/>
        </w:rPr>
        <w:t xml:space="preserve">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w:t>
      </w:r>
      <w:r w:rsidRPr="001A3CA7">
        <w:rPr>
          <w:rFonts w:ascii="Tahoma" w:eastAsia="Calibri" w:hAnsi="Tahoma" w:cs="Tahoma"/>
          <w:sz w:val="24"/>
          <w:szCs w:val="24"/>
        </w:rPr>
        <w:lastRenderedPageBreak/>
        <w:t>obstante, la prueba documental sólo permite concluir que esa trascendental decisión se limitó a la suscripción del aludido documento.</w:t>
      </w:r>
    </w:p>
    <w:p w14:paraId="369D0924" w14:textId="77777777" w:rsidR="004D57BB" w:rsidRPr="001A3CA7" w:rsidRDefault="004D57BB" w:rsidP="001A3CA7">
      <w:pPr>
        <w:widowControl w:val="0"/>
        <w:autoSpaceDE w:val="0"/>
        <w:autoSpaceDN w:val="0"/>
        <w:adjustRightInd w:val="0"/>
        <w:spacing w:after="0" w:line="276" w:lineRule="auto"/>
        <w:ind w:firstLine="284"/>
        <w:jc w:val="both"/>
        <w:rPr>
          <w:rFonts w:ascii="Tahoma" w:eastAsia="Calibri" w:hAnsi="Tahoma" w:cs="Tahoma"/>
          <w:sz w:val="24"/>
          <w:szCs w:val="24"/>
        </w:rPr>
      </w:pPr>
    </w:p>
    <w:p w14:paraId="4174880A" w14:textId="258D5548" w:rsidR="004D57BB" w:rsidRPr="001A3CA7" w:rsidRDefault="004D57BB" w:rsidP="001A3CA7">
      <w:pPr>
        <w:widowControl w:val="0"/>
        <w:autoSpaceDE w:val="0"/>
        <w:autoSpaceDN w:val="0"/>
        <w:adjustRightInd w:val="0"/>
        <w:spacing w:after="0" w:line="276" w:lineRule="auto"/>
        <w:ind w:firstLine="708"/>
        <w:jc w:val="both"/>
        <w:rPr>
          <w:rFonts w:ascii="Tahoma" w:eastAsia="Calibri" w:hAnsi="Tahoma" w:cs="Tahoma"/>
          <w:sz w:val="24"/>
          <w:szCs w:val="24"/>
        </w:rPr>
      </w:pPr>
      <w:r w:rsidRPr="001A3CA7">
        <w:rPr>
          <w:rFonts w:ascii="Tahoma" w:eastAsia="Calibri" w:hAnsi="Tahoma" w:cs="Tahoma"/>
          <w:sz w:val="24"/>
          <w:szCs w:val="24"/>
        </w:rPr>
        <w:t>En cuanto a las condenas impartidas a cargo de P</w:t>
      </w:r>
      <w:r w:rsidR="00340009" w:rsidRPr="001A3CA7">
        <w:rPr>
          <w:rFonts w:ascii="Tahoma" w:eastAsia="Calibri" w:hAnsi="Tahoma" w:cs="Tahoma"/>
          <w:sz w:val="24"/>
          <w:szCs w:val="24"/>
        </w:rPr>
        <w:t>rotección</w:t>
      </w:r>
      <w:r w:rsidRPr="001A3CA7">
        <w:rPr>
          <w:rFonts w:ascii="Tahoma" w:eastAsia="Calibri" w:hAnsi="Tahoma" w:cs="Tahoma"/>
          <w:sz w:val="24"/>
          <w:szCs w:val="24"/>
        </w:rPr>
        <w:t xml:space="preserve">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2E93B8EE" w14:textId="77777777" w:rsidR="004D57BB" w:rsidRPr="001A3CA7" w:rsidRDefault="004D57BB" w:rsidP="001A3CA7">
      <w:pPr>
        <w:widowControl w:val="0"/>
        <w:autoSpaceDE w:val="0"/>
        <w:autoSpaceDN w:val="0"/>
        <w:adjustRightInd w:val="0"/>
        <w:spacing w:after="0" w:line="276" w:lineRule="auto"/>
        <w:ind w:firstLine="284"/>
        <w:jc w:val="both"/>
        <w:rPr>
          <w:rFonts w:ascii="Tahoma" w:eastAsia="Calibri" w:hAnsi="Tahoma" w:cs="Tahoma"/>
          <w:sz w:val="24"/>
          <w:szCs w:val="24"/>
        </w:rPr>
      </w:pPr>
    </w:p>
    <w:p w14:paraId="639C8889" w14:textId="32BFA74D" w:rsidR="00201672" w:rsidRPr="001A3CA7" w:rsidRDefault="00201672" w:rsidP="001A3CA7">
      <w:pPr>
        <w:pStyle w:val="NormalWeb"/>
        <w:spacing w:before="0" w:beforeAutospacing="0" w:after="0" w:afterAutospacing="0" w:line="276" w:lineRule="auto"/>
        <w:ind w:firstLine="644"/>
        <w:jc w:val="both"/>
        <w:rPr>
          <w:rFonts w:ascii="Tahoma" w:hAnsi="Tahoma" w:cs="Tahoma"/>
        </w:rPr>
      </w:pPr>
      <w:r w:rsidRPr="001A3CA7">
        <w:rPr>
          <w:rFonts w:ascii="Tahoma" w:hAnsi="Tahoma" w:cs="Tahoma"/>
        </w:rPr>
        <w:t>Pues bien, previo a arribar los demás problemas jurídicos vale la pena hacer referencia a que l</w:t>
      </w:r>
      <w:r w:rsidR="00340009" w:rsidRPr="001A3CA7">
        <w:rPr>
          <w:rFonts w:ascii="Tahoma" w:hAnsi="Tahoma" w:cs="Tahoma"/>
        </w:rPr>
        <w:t>a</w:t>
      </w:r>
      <w:r w:rsidRPr="001A3CA7">
        <w:rPr>
          <w:rFonts w:ascii="Tahoma" w:hAnsi="Tahoma" w:cs="Tahoma"/>
        </w:rPr>
        <w:t xml:space="preserve"> apoderado de Protección S.A. en su alzada, de alguna manera, solicita que se desconozca el precedente ya traído a colación, petición que no se torna posible porque ello conllevaría a la vulneración de los derechos fundamentales al mínimo vital y la seguridad social del afiliado.  </w:t>
      </w:r>
    </w:p>
    <w:p w14:paraId="072ECC9C" w14:textId="77777777" w:rsidR="00201672" w:rsidRPr="001A3CA7" w:rsidRDefault="00201672" w:rsidP="001A3CA7">
      <w:pPr>
        <w:pStyle w:val="NormalWeb"/>
        <w:spacing w:before="0" w:beforeAutospacing="0" w:after="0" w:afterAutospacing="0" w:line="276" w:lineRule="auto"/>
        <w:ind w:firstLine="644"/>
        <w:jc w:val="both"/>
        <w:rPr>
          <w:rFonts w:ascii="Tahoma" w:hAnsi="Tahoma" w:cs="Tahoma"/>
        </w:rPr>
      </w:pPr>
    </w:p>
    <w:p w14:paraId="296C322C" w14:textId="77777777" w:rsidR="00201672" w:rsidRPr="001A3CA7" w:rsidRDefault="00201672" w:rsidP="001A3CA7">
      <w:pPr>
        <w:spacing w:after="0" w:line="276" w:lineRule="auto"/>
        <w:ind w:firstLine="644"/>
        <w:jc w:val="both"/>
        <w:rPr>
          <w:rFonts w:ascii="Tahoma" w:eastAsia="Times New Roman" w:hAnsi="Tahoma" w:cs="Tahoma"/>
          <w:sz w:val="24"/>
          <w:szCs w:val="24"/>
          <w:lang w:val="es-ES" w:eastAsia="es-ES"/>
        </w:rPr>
      </w:pPr>
      <w:r w:rsidRPr="001A3CA7">
        <w:rPr>
          <w:rFonts w:ascii="Tahoma" w:eastAsia="Times New Roman" w:hAnsi="Tahoma" w:cs="Tahoma"/>
          <w:sz w:val="24"/>
          <w:szCs w:val="24"/>
          <w:lang w:val="es-ES" w:eastAsia="es-ES"/>
        </w:rPr>
        <w:t>En este punto, recuérdese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46635B">
        <w:rPr>
          <w:rFonts w:ascii="Tahoma" w:eastAsia="Times New Roman" w:hAnsi="Tahoma" w:cs="Tahoma"/>
          <w:szCs w:val="24"/>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1A3CA7">
        <w:rPr>
          <w:rFonts w:ascii="Tahoma" w:eastAsia="Times New Roman" w:hAnsi="Tahoma" w:cs="Tahoma"/>
          <w:sz w:val="24"/>
          <w:szCs w:val="24"/>
          <w:lang w:val="es-ES" w:eastAsia="es-ES"/>
        </w:rPr>
        <w:t>” (STL4759-2020).</w:t>
      </w:r>
    </w:p>
    <w:p w14:paraId="1899A258" w14:textId="77777777" w:rsidR="004D57BB" w:rsidRPr="001A3CA7" w:rsidRDefault="004D57BB" w:rsidP="001A3CA7">
      <w:pPr>
        <w:widowControl w:val="0"/>
        <w:autoSpaceDE w:val="0"/>
        <w:autoSpaceDN w:val="0"/>
        <w:adjustRightInd w:val="0"/>
        <w:spacing w:after="0" w:line="276" w:lineRule="auto"/>
        <w:ind w:firstLine="284"/>
        <w:jc w:val="both"/>
        <w:rPr>
          <w:rFonts w:ascii="Tahoma" w:eastAsia="Calibri" w:hAnsi="Tahoma" w:cs="Tahoma"/>
          <w:sz w:val="24"/>
          <w:szCs w:val="24"/>
        </w:rPr>
      </w:pPr>
    </w:p>
    <w:p w14:paraId="58F5D3EC" w14:textId="37BD6FFD" w:rsidR="004D57BB" w:rsidRPr="001A3CA7" w:rsidRDefault="004D57BB" w:rsidP="001A3CA7">
      <w:pPr>
        <w:widowControl w:val="0"/>
        <w:tabs>
          <w:tab w:val="left" w:pos="567"/>
        </w:tabs>
        <w:autoSpaceDE w:val="0"/>
        <w:autoSpaceDN w:val="0"/>
        <w:adjustRightInd w:val="0"/>
        <w:spacing w:after="0" w:line="276" w:lineRule="auto"/>
        <w:ind w:firstLine="284"/>
        <w:jc w:val="both"/>
        <w:rPr>
          <w:rFonts w:ascii="Tahoma" w:eastAsia="Calibri" w:hAnsi="Tahoma" w:cs="Tahoma"/>
          <w:sz w:val="24"/>
          <w:szCs w:val="24"/>
        </w:rPr>
      </w:pPr>
      <w:r w:rsidRPr="001A3CA7">
        <w:rPr>
          <w:rFonts w:ascii="Tahoma" w:eastAsia="Calibri" w:hAnsi="Tahoma" w:cs="Tahoma"/>
          <w:sz w:val="24"/>
          <w:szCs w:val="24"/>
        </w:rPr>
        <w:tab/>
      </w:r>
      <w:r w:rsidRPr="001A3CA7">
        <w:rPr>
          <w:rFonts w:ascii="Tahoma" w:eastAsia="Calibri" w:hAnsi="Tahoma" w:cs="Tahoma"/>
          <w:sz w:val="24"/>
          <w:szCs w:val="24"/>
        </w:rPr>
        <w:tab/>
        <w:t>Frente al argumento referente a que era improcedente permitir que el demandante se trasladara hacia dicha entidad al superar la edad mínima pensional, según lo estipulado en el literal e) del artículo 13 de la Ley 100 de 1993, modificado por la Ley 797 de 2003,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69CFE949" w14:textId="77777777" w:rsidR="004D57BB" w:rsidRPr="001A3CA7" w:rsidRDefault="004D57BB" w:rsidP="001A3CA7">
      <w:pPr>
        <w:widowControl w:val="0"/>
        <w:autoSpaceDE w:val="0"/>
        <w:autoSpaceDN w:val="0"/>
        <w:adjustRightInd w:val="0"/>
        <w:spacing w:after="0" w:line="276" w:lineRule="auto"/>
        <w:ind w:firstLine="284"/>
        <w:jc w:val="both"/>
        <w:rPr>
          <w:rFonts w:ascii="Tahoma" w:eastAsia="Calibri" w:hAnsi="Tahoma" w:cs="Tahoma"/>
          <w:sz w:val="24"/>
          <w:szCs w:val="24"/>
        </w:rPr>
      </w:pPr>
    </w:p>
    <w:p w14:paraId="68358C94" w14:textId="098D37F3" w:rsidR="004D57BB" w:rsidRPr="001A3CA7" w:rsidRDefault="004D57BB" w:rsidP="001A3CA7">
      <w:pPr>
        <w:widowControl w:val="0"/>
        <w:autoSpaceDE w:val="0"/>
        <w:autoSpaceDN w:val="0"/>
        <w:adjustRightInd w:val="0"/>
        <w:spacing w:after="0" w:line="276" w:lineRule="auto"/>
        <w:ind w:firstLine="708"/>
        <w:jc w:val="both"/>
        <w:rPr>
          <w:rFonts w:ascii="Tahoma" w:eastAsia="Calibri" w:hAnsi="Tahoma" w:cs="Tahoma"/>
          <w:sz w:val="24"/>
          <w:szCs w:val="24"/>
        </w:rPr>
      </w:pPr>
      <w:r w:rsidRPr="001A3CA7">
        <w:rPr>
          <w:rFonts w:ascii="Tahoma" w:eastAsia="Calibri" w:hAnsi="Tahoma" w:cs="Tahoma"/>
          <w:sz w:val="24"/>
          <w:szCs w:val="24"/>
        </w:rPr>
        <w:t xml:space="preserve">De otro lado, respecto a la solicitud de la AFP Protección S.A., tendiente a que </w:t>
      </w:r>
      <w:r w:rsidRPr="001A3CA7">
        <w:rPr>
          <w:rFonts w:ascii="Tahoma" w:eastAsia="Calibri" w:hAnsi="Tahoma" w:cs="Tahoma"/>
          <w:sz w:val="24"/>
          <w:szCs w:val="24"/>
        </w:rPr>
        <w:lastRenderedPageBreak/>
        <w:t>no se las condene en costas bajo el argumento de que se cumplieron con los requisitos legales exigidos al momento del traslado,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09A81E60" w14:textId="11A20C17" w:rsidR="00340009" w:rsidRPr="001A3CA7" w:rsidRDefault="00340009" w:rsidP="001A3CA7">
      <w:pPr>
        <w:widowControl w:val="0"/>
        <w:autoSpaceDE w:val="0"/>
        <w:autoSpaceDN w:val="0"/>
        <w:adjustRightInd w:val="0"/>
        <w:spacing w:after="0" w:line="276" w:lineRule="auto"/>
        <w:ind w:firstLine="708"/>
        <w:jc w:val="both"/>
        <w:rPr>
          <w:rFonts w:ascii="Tahoma" w:eastAsia="Calibri" w:hAnsi="Tahoma" w:cs="Tahoma"/>
          <w:sz w:val="24"/>
          <w:szCs w:val="24"/>
        </w:rPr>
      </w:pPr>
    </w:p>
    <w:p w14:paraId="10B67F36" w14:textId="11ED675A" w:rsidR="00340009" w:rsidRPr="001A3CA7" w:rsidRDefault="00340009" w:rsidP="001A3CA7">
      <w:pPr>
        <w:widowControl w:val="0"/>
        <w:autoSpaceDE w:val="0"/>
        <w:autoSpaceDN w:val="0"/>
        <w:adjustRightInd w:val="0"/>
        <w:spacing w:after="0" w:line="276" w:lineRule="auto"/>
        <w:ind w:firstLine="708"/>
        <w:jc w:val="both"/>
        <w:rPr>
          <w:rFonts w:ascii="Tahoma" w:eastAsia="Calibri" w:hAnsi="Tahoma" w:cs="Tahoma"/>
          <w:sz w:val="24"/>
          <w:szCs w:val="24"/>
        </w:rPr>
      </w:pPr>
      <w:r w:rsidRPr="001A3CA7">
        <w:rPr>
          <w:rFonts w:ascii="Tahoma" w:eastAsia="Calibri" w:hAnsi="Tahoma" w:cs="Tahoma"/>
          <w:sz w:val="24"/>
          <w:szCs w:val="24"/>
        </w:rPr>
        <w:t>Por otra parte, no es esta la etapa oportuna para pronunciarse frente al monto de las agencias en derecho a que sea condenada dicha AFP, pues esta tendrá lugar una vez el despacho de conocimiento apruebe la liquidación efectuada por la secretaría del mismo.</w:t>
      </w:r>
    </w:p>
    <w:p w14:paraId="7C616AEA" w14:textId="77777777" w:rsidR="00456134" w:rsidRPr="001A3CA7" w:rsidRDefault="00456134" w:rsidP="001A3CA7">
      <w:pPr>
        <w:widowControl w:val="0"/>
        <w:autoSpaceDE w:val="0"/>
        <w:autoSpaceDN w:val="0"/>
        <w:adjustRightInd w:val="0"/>
        <w:spacing w:after="0" w:line="276" w:lineRule="auto"/>
        <w:ind w:firstLine="708"/>
        <w:jc w:val="both"/>
        <w:rPr>
          <w:rFonts w:ascii="Tahoma" w:eastAsia="Calibri" w:hAnsi="Tahoma" w:cs="Tahoma"/>
          <w:sz w:val="24"/>
          <w:szCs w:val="24"/>
        </w:rPr>
      </w:pPr>
    </w:p>
    <w:p w14:paraId="37D75074" w14:textId="40077F27" w:rsidR="00340009" w:rsidRPr="001A3CA7" w:rsidRDefault="00340009" w:rsidP="001A3CA7">
      <w:pPr>
        <w:widowControl w:val="0"/>
        <w:tabs>
          <w:tab w:val="left" w:pos="567"/>
        </w:tabs>
        <w:autoSpaceDE w:val="0"/>
        <w:autoSpaceDN w:val="0"/>
        <w:adjustRightInd w:val="0"/>
        <w:spacing w:after="0" w:line="276" w:lineRule="auto"/>
        <w:ind w:firstLine="284"/>
        <w:jc w:val="both"/>
        <w:rPr>
          <w:rFonts w:ascii="Tahoma" w:hAnsi="Tahoma" w:cs="Tahoma"/>
          <w:sz w:val="24"/>
          <w:szCs w:val="24"/>
        </w:rPr>
      </w:pPr>
      <w:r w:rsidRPr="001A3CA7">
        <w:rPr>
          <w:rFonts w:ascii="Tahoma" w:hAnsi="Tahoma" w:cs="Tahoma"/>
          <w:sz w:val="24"/>
          <w:szCs w:val="24"/>
        </w:rPr>
        <w:tab/>
        <w:t xml:space="preserve">Frente al argumento de Porvenir, referente a que era improcedente permitir que el demandante se trasladara hacia dicha entidad al superar la edad mínima pensional, según lo estipulado en </w:t>
      </w:r>
      <w:r w:rsidRPr="001A3CA7">
        <w:rPr>
          <w:rFonts w:ascii="Tahoma" w:hAnsi="Tahoma" w:cs="Tahoma"/>
          <w:sz w:val="24"/>
          <w:szCs w:val="24"/>
          <w:lang w:val="es-ES"/>
        </w:rPr>
        <w:t xml:space="preserve">el literal e) del artículo 13 de la Ley 100 de 1993, modificado por la Ley 797 de 2003, </w:t>
      </w:r>
      <w:r w:rsidRPr="001A3CA7">
        <w:rPr>
          <w:rFonts w:ascii="Tahoma" w:hAnsi="Tahoma" w:cs="Tahoma"/>
          <w:sz w:val="24"/>
          <w:szCs w:val="24"/>
        </w:rPr>
        <w:t>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r w:rsidRPr="001A3CA7">
        <w:rPr>
          <w:rFonts w:ascii="Tahoma" w:hAnsi="Tahoma" w:cs="Tahoma"/>
          <w:sz w:val="24"/>
          <w:szCs w:val="24"/>
          <w:lang w:val="es-ES"/>
        </w:rPr>
        <w:t xml:space="preserve"> Además, lo aquí analizado no es el traslado voluntario con la conservación o no del régimen de transición, sino el efecto de la ineficacia del cambio de régimen pensional a falta de información detallada y completa al momento del traslado de régimen.</w:t>
      </w:r>
    </w:p>
    <w:p w14:paraId="5A36471C" w14:textId="77777777" w:rsidR="00340009" w:rsidRPr="001A3CA7" w:rsidRDefault="00340009" w:rsidP="001A3CA7">
      <w:pPr>
        <w:spacing w:after="0" w:line="276" w:lineRule="auto"/>
        <w:ind w:firstLine="709"/>
        <w:jc w:val="both"/>
        <w:rPr>
          <w:rFonts w:ascii="Tahoma" w:hAnsi="Tahoma" w:cs="Tahoma"/>
          <w:sz w:val="24"/>
          <w:szCs w:val="24"/>
        </w:rPr>
      </w:pPr>
    </w:p>
    <w:p w14:paraId="6F52D642" w14:textId="1CB12B73" w:rsidR="00340009" w:rsidRPr="001A3CA7" w:rsidRDefault="00340009" w:rsidP="001A3CA7">
      <w:pPr>
        <w:spacing w:after="0" w:line="276" w:lineRule="auto"/>
        <w:ind w:firstLine="708"/>
        <w:jc w:val="both"/>
        <w:rPr>
          <w:rFonts w:ascii="Tahoma" w:eastAsia="Tahoma" w:hAnsi="Tahoma" w:cs="Tahoma"/>
          <w:sz w:val="24"/>
          <w:szCs w:val="24"/>
        </w:rPr>
      </w:pPr>
      <w:r w:rsidRPr="001A3CA7">
        <w:rPr>
          <w:rFonts w:ascii="Tahoma" w:eastAsia="Tahoma" w:hAnsi="Tahoma" w:cs="Tahoma"/>
          <w:sz w:val="24"/>
          <w:szCs w:val="24"/>
        </w:rPr>
        <w:t>Parafraseando lo dicho en otros asuntos similares, decididos por esta Corporación</w:t>
      </w:r>
      <w:r w:rsidRPr="001A3CA7">
        <w:rPr>
          <w:rStyle w:val="Refdenotaalpie"/>
          <w:rFonts w:ascii="Tahoma" w:eastAsia="Tahoma" w:hAnsi="Tahoma" w:cs="Tahoma"/>
          <w:sz w:val="24"/>
          <w:szCs w:val="24"/>
        </w:rPr>
        <w:footnoteReference w:id="6"/>
      </w:r>
      <w:r w:rsidRPr="001A3CA7">
        <w:rPr>
          <w:rFonts w:ascii="Tahoma" w:eastAsia="Tahoma" w:hAnsi="Tahoma" w:cs="Tahoma"/>
          <w:sz w:val="24"/>
          <w:szCs w:val="24"/>
        </w:rPr>
        <w:t xml:space="preserve">, en este punto es pertinente advertir que al haber operado un traslado desde el régimen de prima media con prestación definida al régimen de ahorro individual con solidaridad en enero de 1995, se generó en ese momento un bono pensional tipo A en favor de la señora </w:t>
      </w:r>
      <w:r w:rsidR="00D2736B" w:rsidRPr="001A3CA7">
        <w:rPr>
          <w:rFonts w:ascii="Tahoma" w:eastAsia="Tahoma" w:hAnsi="Tahoma" w:cs="Tahoma"/>
          <w:sz w:val="24"/>
          <w:szCs w:val="24"/>
        </w:rPr>
        <w:t>Débora</w:t>
      </w:r>
      <w:r w:rsidRPr="001A3CA7">
        <w:rPr>
          <w:rFonts w:ascii="Tahoma" w:eastAsia="Tahoma" w:hAnsi="Tahoma" w:cs="Tahoma"/>
          <w:sz w:val="24"/>
          <w:szCs w:val="24"/>
        </w:rPr>
        <w:t xml:space="preserve"> Esther Ocampo López</w:t>
      </w:r>
      <w:r w:rsidRPr="001A3CA7">
        <w:rPr>
          <w:rFonts w:ascii="Tahoma" w:hAnsi="Tahoma" w:cs="Tahoma"/>
          <w:sz w:val="24"/>
          <w:szCs w:val="24"/>
        </w:rPr>
        <w:t xml:space="preserve">, nacida el 14 de marzo de 1959, </w:t>
      </w:r>
      <w:r w:rsidRPr="001A3CA7">
        <w:rPr>
          <w:rFonts w:ascii="Tahoma" w:eastAsia="Tahoma" w:hAnsi="Tahoma" w:cs="Tahoma"/>
          <w:sz w:val="24"/>
          <w:szCs w:val="24"/>
        </w:rPr>
        <w:t xml:space="preserve">como se evidencia en la copia de su cédula de ciudadanía -pág. 32 expediente digitalizado-, por lo que a pesar de que no existe prueba que demuestre el estado actual de ese instrumento de deuda pública, lo cierto es que el mismo se redimió normalmente el pasado 14 de marzo de 2019, fecha en que la accionante cumplió los 60 años de edad; por lo que, teniendo en cuenta que el artículo 17 del Decreto 1748 de 1995 dispone que esta clase de bonos se pagan dentro del mes siguiente a la fecha de redención (sin necesidad de solicitud previa), muy seguramente el bono debió entrar a la cuenta de ahorro individual del demandante antes del </w:t>
      </w:r>
      <w:r w:rsidR="00DC2C38" w:rsidRPr="001A3CA7">
        <w:rPr>
          <w:rFonts w:ascii="Tahoma" w:eastAsia="Tahoma" w:hAnsi="Tahoma" w:cs="Tahoma"/>
          <w:sz w:val="24"/>
          <w:szCs w:val="24"/>
        </w:rPr>
        <w:t>14</w:t>
      </w:r>
      <w:r w:rsidRPr="001A3CA7">
        <w:rPr>
          <w:rFonts w:ascii="Tahoma" w:eastAsia="Tahoma" w:hAnsi="Tahoma" w:cs="Tahoma"/>
          <w:sz w:val="24"/>
          <w:szCs w:val="24"/>
        </w:rPr>
        <w:t xml:space="preserve"> de </w:t>
      </w:r>
      <w:r w:rsidR="00DC2C38" w:rsidRPr="001A3CA7">
        <w:rPr>
          <w:rFonts w:ascii="Tahoma" w:eastAsia="Tahoma" w:hAnsi="Tahoma" w:cs="Tahoma"/>
          <w:sz w:val="24"/>
          <w:szCs w:val="24"/>
        </w:rPr>
        <w:t xml:space="preserve">abril </w:t>
      </w:r>
      <w:r w:rsidRPr="001A3CA7">
        <w:rPr>
          <w:rFonts w:ascii="Tahoma" w:eastAsia="Tahoma" w:hAnsi="Tahoma" w:cs="Tahoma"/>
          <w:sz w:val="24"/>
          <w:szCs w:val="24"/>
        </w:rPr>
        <w:t>de 2019; razón por la que, al tener que restituirse las cosas al estado en el que se encontraban antes de</w:t>
      </w:r>
      <w:r w:rsidR="00DC2C38" w:rsidRPr="001A3CA7">
        <w:rPr>
          <w:rFonts w:ascii="Tahoma" w:eastAsia="Tahoma" w:hAnsi="Tahoma" w:cs="Tahoma"/>
          <w:sz w:val="24"/>
          <w:szCs w:val="24"/>
        </w:rPr>
        <w:t xml:space="preserve"> enero </w:t>
      </w:r>
      <w:r w:rsidRPr="001A3CA7">
        <w:rPr>
          <w:rFonts w:ascii="Tahoma" w:eastAsia="Tahoma" w:hAnsi="Tahoma" w:cs="Tahoma"/>
          <w:sz w:val="24"/>
          <w:szCs w:val="24"/>
        </w:rPr>
        <w:t xml:space="preserve">de </w:t>
      </w:r>
      <w:r w:rsidR="00DC2C38" w:rsidRPr="001A3CA7">
        <w:rPr>
          <w:rFonts w:ascii="Tahoma" w:eastAsia="Tahoma" w:hAnsi="Tahoma" w:cs="Tahoma"/>
          <w:sz w:val="24"/>
          <w:szCs w:val="24"/>
        </w:rPr>
        <w:t>1995</w:t>
      </w:r>
      <w:r w:rsidRPr="001A3CA7">
        <w:rPr>
          <w:rFonts w:ascii="Tahoma" w:eastAsia="Tahoma" w:hAnsi="Tahoma" w:cs="Tahoma"/>
          <w:sz w:val="24"/>
          <w:szCs w:val="24"/>
        </w:rPr>
        <w:t xml:space="preserve">, por cuenta de la ineficacia del traslado </w:t>
      </w:r>
      <w:r w:rsidRPr="001A3CA7">
        <w:rPr>
          <w:rFonts w:ascii="Tahoma" w:eastAsia="Tahoma" w:hAnsi="Tahoma" w:cs="Tahoma"/>
          <w:sz w:val="24"/>
          <w:szCs w:val="24"/>
        </w:rPr>
        <w:lastRenderedPageBreak/>
        <w:t xml:space="preserve">declarada en primera instancia y ratificada en esta sede, se </w:t>
      </w:r>
      <w:r w:rsidRPr="001A3CA7">
        <w:rPr>
          <w:rFonts w:ascii="Tahoma" w:eastAsia="Tahoma" w:hAnsi="Tahoma" w:cs="Tahoma"/>
          <w:b/>
          <w:bCs/>
          <w:sz w:val="24"/>
          <w:szCs w:val="24"/>
        </w:rPr>
        <w:t>modificará</w:t>
      </w:r>
      <w:r w:rsidRPr="001A3CA7">
        <w:rPr>
          <w:rFonts w:ascii="Tahoma" w:eastAsia="Tahoma" w:hAnsi="Tahoma" w:cs="Tahoma"/>
          <w:sz w:val="24"/>
          <w:szCs w:val="24"/>
        </w:rPr>
        <w:t xml:space="preserve"> el ordinal </w:t>
      </w:r>
      <w:r w:rsidR="00DC2C38" w:rsidRPr="001A3CA7">
        <w:rPr>
          <w:rFonts w:ascii="Tahoma" w:eastAsia="Tahoma" w:hAnsi="Tahoma" w:cs="Tahoma"/>
          <w:sz w:val="24"/>
          <w:szCs w:val="24"/>
        </w:rPr>
        <w:t>tercero</w:t>
      </w:r>
      <w:r w:rsidRPr="001A3CA7">
        <w:rPr>
          <w:rFonts w:ascii="Tahoma" w:eastAsia="Tahoma" w:hAnsi="Tahoma" w:cs="Tahoma"/>
          <w:sz w:val="24"/>
          <w:szCs w:val="24"/>
        </w:rPr>
        <w:t xml:space="preserve"> de la sentencia proferida por el Juzgado </w:t>
      </w:r>
      <w:r w:rsidR="00DC2C38" w:rsidRPr="001A3CA7">
        <w:rPr>
          <w:rFonts w:ascii="Tahoma" w:eastAsia="Tahoma" w:hAnsi="Tahoma" w:cs="Tahoma"/>
          <w:sz w:val="24"/>
          <w:szCs w:val="24"/>
        </w:rPr>
        <w:t>Primero</w:t>
      </w:r>
      <w:r w:rsidRPr="001A3CA7">
        <w:rPr>
          <w:rFonts w:ascii="Tahoma" w:eastAsia="Tahoma" w:hAnsi="Tahoma" w:cs="Tahoma"/>
          <w:sz w:val="24"/>
          <w:szCs w:val="24"/>
        </w:rPr>
        <w:t xml:space="preserve"> </w:t>
      </w:r>
      <w:r w:rsidR="00DC2C38" w:rsidRPr="001A3CA7">
        <w:rPr>
          <w:rFonts w:ascii="Tahoma" w:eastAsia="Tahoma" w:hAnsi="Tahoma" w:cs="Tahoma"/>
          <w:sz w:val="24"/>
          <w:szCs w:val="24"/>
        </w:rPr>
        <w:t>Laboral de</w:t>
      </w:r>
      <w:r w:rsidRPr="001A3CA7">
        <w:rPr>
          <w:rFonts w:ascii="Tahoma" w:eastAsia="Tahoma" w:hAnsi="Tahoma" w:cs="Tahoma"/>
          <w:sz w:val="24"/>
          <w:szCs w:val="24"/>
        </w:rPr>
        <w:t xml:space="preserve">l Circuito de Pereira, con el objeto de no incluir dentro de la condena la restitución del valor del bono pensional a favor de la Administradora Colombiana de Pensiones, para en su lugar </w:t>
      </w:r>
      <w:r w:rsidRPr="001A3CA7">
        <w:rPr>
          <w:rFonts w:ascii="Tahoma" w:eastAsia="Tahoma" w:hAnsi="Tahoma" w:cs="Tahoma"/>
          <w:b/>
          <w:sz w:val="24"/>
          <w:szCs w:val="24"/>
        </w:rPr>
        <w:t>condenar</w:t>
      </w:r>
      <w:r w:rsidRPr="001A3CA7">
        <w:rPr>
          <w:rFonts w:ascii="Tahoma" w:eastAsia="Tahoma" w:hAnsi="Tahoma" w:cs="Tahoma"/>
          <w:sz w:val="24"/>
          <w:szCs w:val="24"/>
        </w:rPr>
        <w:t xml:space="preserve"> al fondo privado de pensiones accionado a </w:t>
      </w:r>
      <w:r w:rsidRPr="001A3CA7">
        <w:rPr>
          <w:rFonts w:ascii="Tahoma" w:eastAsia="Tahoma" w:hAnsi="Tahoma" w:cs="Tahoma"/>
          <w:b/>
          <w:sz w:val="24"/>
          <w:szCs w:val="24"/>
        </w:rPr>
        <w:t>restituir</w:t>
      </w:r>
      <w:r w:rsidRPr="001A3CA7">
        <w:rPr>
          <w:rFonts w:ascii="Tahoma" w:eastAsia="Tahoma" w:hAnsi="Tahoma" w:cs="Tahoma"/>
          <w:sz w:val="24"/>
          <w:szCs w:val="24"/>
        </w:rPr>
        <w:t xml:space="preserve"> la suma pagada por ese concepto pero a favor de la OBP del Ministerio de Hacienda y Crédito Público, misma que deberá estar debidamente indexada, precisándose que esa actualización del valor del bono pensional debe ser cancelada con los recursos propios del fondo privado de pensiones P</w:t>
      </w:r>
      <w:r w:rsidR="005D19CC" w:rsidRPr="001A3CA7">
        <w:rPr>
          <w:rFonts w:ascii="Tahoma" w:eastAsia="Tahoma" w:hAnsi="Tahoma" w:cs="Tahoma"/>
          <w:sz w:val="24"/>
          <w:szCs w:val="24"/>
        </w:rPr>
        <w:t>rotección</w:t>
      </w:r>
      <w:r w:rsidRPr="001A3CA7">
        <w:rPr>
          <w:rFonts w:ascii="Tahoma" w:eastAsia="Tahoma" w:hAnsi="Tahoma" w:cs="Tahoma"/>
          <w:sz w:val="24"/>
          <w:szCs w:val="24"/>
        </w:rPr>
        <w:t xml:space="preserve"> S.A. </w:t>
      </w:r>
    </w:p>
    <w:p w14:paraId="57F2A10E" w14:textId="77777777" w:rsidR="00340009" w:rsidRPr="001A3CA7" w:rsidRDefault="00340009" w:rsidP="001A3CA7">
      <w:pPr>
        <w:spacing w:after="0" w:line="276" w:lineRule="auto"/>
        <w:ind w:firstLine="709"/>
        <w:jc w:val="both"/>
        <w:rPr>
          <w:rFonts w:ascii="Tahoma" w:hAnsi="Tahoma" w:cs="Tahoma"/>
          <w:sz w:val="24"/>
          <w:szCs w:val="24"/>
        </w:rPr>
      </w:pPr>
    </w:p>
    <w:p w14:paraId="12197253" w14:textId="662F7042" w:rsidR="00340009" w:rsidRPr="001A3CA7" w:rsidRDefault="00340009" w:rsidP="001A3CA7">
      <w:pPr>
        <w:spacing w:after="0" w:line="276" w:lineRule="auto"/>
        <w:ind w:firstLine="708"/>
        <w:jc w:val="both"/>
        <w:rPr>
          <w:rFonts w:ascii="Tahoma" w:eastAsia="Tahoma" w:hAnsi="Tahoma" w:cs="Tahoma"/>
          <w:sz w:val="24"/>
          <w:szCs w:val="24"/>
        </w:rPr>
      </w:pPr>
      <w:r w:rsidRPr="001A3CA7">
        <w:rPr>
          <w:rFonts w:ascii="Tahoma" w:eastAsia="Tahoma" w:hAnsi="Tahoma" w:cs="Tahoma"/>
          <w:sz w:val="24"/>
          <w:szCs w:val="24"/>
        </w:rPr>
        <w:t xml:space="preserve">Así mismo, se adicionará la sentencia proferida por la a quo 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 la parte accionante, para que posteriormente, haciendo uso de trámites internos y a través de canales institucionales, ejecute todas las acciones pertinentes para retrotraer las cosas al estado en el que se encontraban para el </w:t>
      </w:r>
      <w:r w:rsidR="005D19CC" w:rsidRPr="001A3CA7">
        <w:rPr>
          <w:rFonts w:ascii="Tahoma" w:eastAsia="Tahoma" w:hAnsi="Tahoma" w:cs="Tahoma"/>
          <w:sz w:val="24"/>
          <w:szCs w:val="24"/>
        </w:rPr>
        <w:t>mes de enero de 1995</w:t>
      </w:r>
      <w:r w:rsidRPr="001A3CA7">
        <w:rPr>
          <w:rFonts w:ascii="Tahoma" w:eastAsia="Tahoma" w:hAnsi="Tahoma" w:cs="Tahoma"/>
          <w:sz w:val="24"/>
          <w:szCs w:val="24"/>
        </w:rPr>
        <w:t>.</w:t>
      </w:r>
    </w:p>
    <w:p w14:paraId="3E3C457F" w14:textId="77777777" w:rsidR="00456134" w:rsidRPr="001A3CA7" w:rsidRDefault="00456134" w:rsidP="001A3CA7">
      <w:pPr>
        <w:widowControl w:val="0"/>
        <w:autoSpaceDE w:val="0"/>
        <w:autoSpaceDN w:val="0"/>
        <w:adjustRightInd w:val="0"/>
        <w:spacing w:after="0" w:line="276" w:lineRule="auto"/>
        <w:ind w:firstLine="708"/>
        <w:jc w:val="both"/>
        <w:rPr>
          <w:rFonts w:ascii="Tahoma" w:eastAsia="Calibri" w:hAnsi="Tahoma" w:cs="Tahoma"/>
          <w:sz w:val="24"/>
          <w:szCs w:val="24"/>
        </w:rPr>
      </w:pPr>
    </w:p>
    <w:p w14:paraId="4C7B3840" w14:textId="75921C1E" w:rsidR="004D57BB" w:rsidRPr="001A3CA7" w:rsidRDefault="004D57BB" w:rsidP="001A3CA7">
      <w:pPr>
        <w:widowControl w:val="0"/>
        <w:autoSpaceDE w:val="0"/>
        <w:autoSpaceDN w:val="0"/>
        <w:adjustRightInd w:val="0"/>
        <w:spacing w:after="0" w:line="276" w:lineRule="auto"/>
        <w:ind w:firstLine="708"/>
        <w:jc w:val="both"/>
        <w:rPr>
          <w:rFonts w:ascii="Tahoma" w:eastAsia="Calibri" w:hAnsi="Tahoma" w:cs="Tahoma"/>
          <w:sz w:val="24"/>
          <w:szCs w:val="24"/>
        </w:rPr>
      </w:pPr>
      <w:r w:rsidRPr="001A3CA7">
        <w:rPr>
          <w:rFonts w:ascii="Tahoma" w:eastAsia="Calibri" w:hAnsi="Tahoma" w:cs="Tahoma"/>
          <w:sz w:val="24"/>
          <w:szCs w:val="24"/>
        </w:rPr>
        <w:t xml:space="preserve">En esta instancia de conformidad a lo consagrado en el artículo 365 del CGP, se condenará en costas procesales a </w:t>
      </w:r>
      <w:r w:rsidRPr="001A3CA7">
        <w:rPr>
          <w:rFonts w:ascii="Tahoma" w:eastAsia="Calibri" w:hAnsi="Tahoma" w:cs="Tahoma"/>
          <w:bCs/>
          <w:sz w:val="24"/>
          <w:szCs w:val="24"/>
        </w:rPr>
        <w:t>P</w:t>
      </w:r>
      <w:r w:rsidR="00340009" w:rsidRPr="001A3CA7">
        <w:rPr>
          <w:rFonts w:ascii="Tahoma" w:eastAsia="Calibri" w:hAnsi="Tahoma" w:cs="Tahoma"/>
          <w:bCs/>
          <w:sz w:val="24"/>
          <w:szCs w:val="24"/>
        </w:rPr>
        <w:t xml:space="preserve">rotección </w:t>
      </w:r>
      <w:r w:rsidRPr="001A3CA7">
        <w:rPr>
          <w:rFonts w:ascii="Tahoma" w:eastAsia="Calibri" w:hAnsi="Tahoma" w:cs="Tahoma"/>
          <w:bCs/>
          <w:sz w:val="24"/>
          <w:szCs w:val="24"/>
        </w:rPr>
        <w:t>S.A.</w:t>
      </w:r>
      <w:r w:rsidRPr="001A3CA7">
        <w:rPr>
          <w:rFonts w:ascii="Tahoma" w:eastAsia="Calibri" w:hAnsi="Tahoma" w:cs="Tahoma"/>
          <w:sz w:val="24"/>
          <w:szCs w:val="24"/>
        </w:rPr>
        <w:t xml:space="preserve"> y Colpensiones a favor de la parte actora, las cuales se liquidarán por la secretaría del juzgado de origen. </w:t>
      </w:r>
    </w:p>
    <w:p w14:paraId="00453F26" w14:textId="44F28498" w:rsidR="1B4704F1" w:rsidRPr="001A3CA7" w:rsidRDefault="1B4704F1" w:rsidP="001A3CA7">
      <w:pPr>
        <w:spacing w:after="0" w:line="276" w:lineRule="auto"/>
        <w:ind w:firstLine="284"/>
        <w:jc w:val="both"/>
        <w:rPr>
          <w:rFonts w:ascii="Tahoma" w:hAnsi="Tahoma" w:cs="Tahoma"/>
          <w:sz w:val="24"/>
          <w:szCs w:val="24"/>
        </w:rPr>
      </w:pPr>
    </w:p>
    <w:p w14:paraId="26D59549" w14:textId="3FDBBB6F" w:rsidR="005D19CC" w:rsidRPr="001A3CA7" w:rsidRDefault="00D2736B" w:rsidP="001A3CA7">
      <w:pPr>
        <w:spacing w:after="0" w:line="276" w:lineRule="auto"/>
        <w:ind w:firstLine="708"/>
        <w:jc w:val="both"/>
        <w:rPr>
          <w:rFonts w:ascii="Tahoma" w:eastAsia="Calibri" w:hAnsi="Tahoma" w:cs="Tahoma"/>
          <w:sz w:val="24"/>
          <w:szCs w:val="24"/>
        </w:rPr>
      </w:pPr>
      <w:r>
        <w:rPr>
          <w:rFonts w:ascii="Tahoma" w:eastAsia="Calibri" w:hAnsi="Tahoma" w:cs="Tahoma"/>
          <w:sz w:val="24"/>
          <w:szCs w:val="24"/>
        </w:rPr>
        <w:t>(…)</w:t>
      </w:r>
    </w:p>
    <w:p w14:paraId="5AE0B193" w14:textId="77777777" w:rsidR="005D19CC" w:rsidRPr="001A3CA7" w:rsidRDefault="005D19CC" w:rsidP="001A3CA7">
      <w:pPr>
        <w:spacing w:after="0" w:line="276" w:lineRule="auto"/>
        <w:ind w:firstLine="708"/>
        <w:jc w:val="both"/>
        <w:rPr>
          <w:rFonts w:ascii="Tahoma" w:eastAsia="Calibri" w:hAnsi="Tahoma" w:cs="Tahoma"/>
          <w:sz w:val="24"/>
          <w:szCs w:val="24"/>
        </w:rPr>
      </w:pPr>
    </w:p>
    <w:p w14:paraId="2121B4BB" w14:textId="014DA303" w:rsidR="1B4704F1" w:rsidRPr="001A3CA7" w:rsidRDefault="1B4704F1" w:rsidP="001A3CA7">
      <w:pPr>
        <w:spacing w:after="0" w:line="276" w:lineRule="auto"/>
        <w:ind w:firstLine="708"/>
        <w:jc w:val="both"/>
        <w:rPr>
          <w:rFonts w:ascii="Tahoma" w:hAnsi="Tahoma" w:cs="Tahoma"/>
          <w:sz w:val="24"/>
          <w:szCs w:val="24"/>
        </w:rPr>
      </w:pPr>
      <w:r w:rsidRPr="001A3CA7">
        <w:rPr>
          <w:rFonts w:ascii="Tahoma" w:eastAsia="Tahoma" w:hAnsi="Tahoma" w:cs="Tahoma"/>
          <w:sz w:val="24"/>
          <w:szCs w:val="24"/>
        </w:rPr>
        <w:t xml:space="preserve">En mérito de lo expuesto, el </w:t>
      </w:r>
      <w:r w:rsidRPr="001A3CA7">
        <w:rPr>
          <w:rFonts w:ascii="Tahoma" w:eastAsia="Tahoma" w:hAnsi="Tahoma" w:cs="Tahoma"/>
          <w:b/>
          <w:bCs/>
          <w:sz w:val="24"/>
          <w:szCs w:val="24"/>
        </w:rPr>
        <w:t>Tribunal Superior del Distrito Judicial de Pereira - Risaralda, Sala de Decisión Laboral No. 1,</w:t>
      </w:r>
      <w:r w:rsidRPr="001A3CA7">
        <w:rPr>
          <w:rFonts w:ascii="Tahoma" w:eastAsia="Tahoma" w:hAnsi="Tahoma" w:cs="Tahoma"/>
          <w:sz w:val="24"/>
          <w:szCs w:val="24"/>
        </w:rPr>
        <w:t xml:space="preserve"> administrando justicia en nombre de la República y por autoridad de la ley,</w:t>
      </w:r>
    </w:p>
    <w:p w14:paraId="18247299" w14:textId="77777777" w:rsidR="000078B1" w:rsidRDefault="000078B1" w:rsidP="001A3CA7">
      <w:pPr>
        <w:spacing w:after="0" w:line="276" w:lineRule="auto"/>
        <w:ind w:firstLine="644"/>
        <w:jc w:val="both"/>
        <w:rPr>
          <w:rFonts w:ascii="Tahoma" w:eastAsia="Tahoma" w:hAnsi="Tahoma" w:cs="Tahoma"/>
          <w:sz w:val="24"/>
          <w:szCs w:val="24"/>
        </w:rPr>
      </w:pPr>
    </w:p>
    <w:p w14:paraId="427F006E" w14:textId="2A5BA061" w:rsidR="1B4704F1" w:rsidRPr="001A3CA7" w:rsidRDefault="1B4704F1" w:rsidP="001A3CA7">
      <w:pPr>
        <w:spacing w:after="0" w:line="276" w:lineRule="auto"/>
        <w:ind w:firstLine="644"/>
        <w:jc w:val="both"/>
        <w:rPr>
          <w:rFonts w:ascii="Tahoma" w:hAnsi="Tahoma" w:cs="Tahoma"/>
          <w:sz w:val="24"/>
          <w:szCs w:val="24"/>
        </w:rPr>
      </w:pPr>
      <w:r w:rsidRPr="001A3CA7">
        <w:rPr>
          <w:rFonts w:ascii="Tahoma" w:eastAsia="Tahoma" w:hAnsi="Tahoma" w:cs="Tahoma"/>
          <w:sz w:val="24"/>
          <w:szCs w:val="24"/>
        </w:rPr>
        <w:t xml:space="preserve"> </w:t>
      </w:r>
    </w:p>
    <w:p w14:paraId="0C520D47" w14:textId="7F870AD7" w:rsidR="1B4704F1" w:rsidRPr="001A3CA7" w:rsidRDefault="1B4704F1" w:rsidP="001A3CA7">
      <w:pPr>
        <w:spacing w:after="0" w:line="276" w:lineRule="auto"/>
        <w:ind w:firstLine="284"/>
        <w:jc w:val="center"/>
        <w:rPr>
          <w:rFonts w:ascii="Tahoma" w:hAnsi="Tahoma" w:cs="Tahoma"/>
          <w:sz w:val="24"/>
          <w:szCs w:val="24"/>
        </w:rPr>
      </w:pPr>
      <w:r w:rsidRPr="001A3CA7">
        <w:rPr>
          <w:rFonts w:ascii="Tahoma" w:eastAsia="Tahoma" w:hAnsi="Tahoma" w:cs="Tahoma"/>
          <w:b/>
          <w:bCs/>
          <w:color w:val="000000" w:themeColor="text1"/>
          <w:sz w:val="24"/>
          <w:szCs w:val="24"/>
        </w:rPr>
        <w:t>RESUELVE</w:t>
      </w:r>
    </w:p>
    <w:p w14:paraId="51479B87" w14:textId="1A29924F" w:rsidR="1B4704F1" w:rsidRPr="001A3CA7" w:rsidRDefault="1B4704F1" w:rsidP="001A3CA7">
      <w:pPr>
        <w:spacing w:after="0" w:line="276" w:lineRule="auto"/>
        <w:jc w:val="center"/>
        <w:rPr>
          <w:rFonts w:ascii="Tahoma" w:hAnsi="Tahoma" w:cs="Tahoma"/>
          <w:sz w:val="24"/>
          <w:szCs w:val="24"/>
        </w:rPr>
      </w:pPr>
      <w:r w:rsidRPr="001A3CA7">
        <w:rPr>
          <w:rFonts w:ascii="Tahoma" w:eastAsia="Tahoma" w:hAnsi="Tahoma" w:cs="Tahoma"/>
          <w:b/>
          <w:bCs/>
          <w:sz w:val="24"/>
          <w:szCs w:val="24"/>
        </w:rPr>
        <w:t xml:space="preserve"> </w:t>
      </w:r>
    </w:p>
    <w:p w14:paraId="1ACD5F16" w14:textId="359F5939" w:rsidR="005D19CC" w:rsidRPr="001A3CA7" w:rsidRDefault="00F40FD3" w:rsidP="001A3CA7">
      <w:pPr>
        <w:spacing w:after="0" w:line="276" w:lineRule="auto"/>
        <w:jc w:val="both"/>
        <w:textAlignment w:val="baseline"/>
        <w:rPr>
          <w:rFonts w:ascii="Tahoma" w:eastAsia="Times New Roman" w:hAnsi="Tahoma" w:cs="Tahoma"/>
          <w:bCs/>
          <w:iCs/>
          <w:sz w:val="24"/>
          <w:szCs w:val="24"/>
          <w:lang w:eastAsia="es-CO"/>
        </w:rPr>
      </w:pPr>
      <w:r w:rsidRPr="001A3CA7">
        <w:rPr>
          <w:rFonts w:ascii="Tahoma" w:eastAsia="Times New Roman" w:hAnsi="Tahoma" w:cs="Tahoma"/>
          <w:b/>
          <w:bCs/>
          <w:iCs/>
          <w:sz w:val="24"/>
          <w:szCs w:val="24"/>
          <w:lang w:eastAsia="es-CO"/>
        </w:rPr>
        <w:t xml:space="preserve">  </w:t>
      </w:r>
      <w:r w:rsidR="00456134" w:rsidRPr="001A3CA7">
        <w:rPr>
          <w:rFonts w:ascii="Tahoma" w:eastAsia="Times New Roman" w:hAnsi="Tahoma" w:cs="Tahoma"/>
          <w:b/>
          <w:bCs/>
          <w:iCs/>
          <w:sz w:val="24"/>
          <w:szCs w:val="24"/>
          <w:lang w:eastAsia="es-CO"/>
        </w:rPr>
        <w:tab/>
      </w:r>
      <w:r w:rsidR="005D19CC" w:rsidRPr="001A3CA7">
        <w:rPr>
          <w:rFonts w:ascii="Tahoma" w:eastAsia="Times New Roman" w:hAnsi="Tahoma" w:cs="Tahoma"/>
          <w:b/>
          <w:bCs/>
          <w:iCs/>
          <w:sz w:val="24"/>
          <w:szCs w:val="24"/>
          <w:lang w:eastAsia="es-CO"/>
        </w:rPr>
        <w:t>PRIMERO: MODIFICAR</w:t>
      </w:r>
      <w:r w:rsidR="005D19CC" w:rsidRPr="001A3CA7">
        <w:rPr>
          <w:rFonts w:ascii="Tahoma" w:eastAsia="Times New Roman" w:hAnsi="Tahoma" w:cs="Tahoma"/>
          <w:bCs/>
          <w:iCs/>
          <w:sz w:val="24"/>
          <w:szCs w:val="24"/>
          <w:lang w:eastAsia="es-CO"/>
        </w:rPr>
        <w:t xml:space="preserve"> el ordinal tercero de la parte resolutiva de la sentencia de primera instancia en el sentido de excluir la orden de trasladar a Colpensiones el bono pensional. En su lugar, </w:t>
      </w:r>
      <w:r w:rsidR="005D19CC" w:rsidRPr="001A3CA7">
        <w:rPr>
          <w:rFonts w:ascii="Tahoma" w:eastAsia="Times New Roman" w:hAnsi="Tahoma" w:cs="Tahoma"/>
          <w:b/>
          <w:bCs/>
          <w:iCs/>
          <w:sz w:val="24"/>
          <w:szCs w:val="24"/>
          <w:lang w:eastAsia="es-CO"/>
        </w:rPr>
        <w:t>CONDENAR</w:t>
      </w:r>
      <w:r w:rsidR="005D19CC" w:rsidRPr="001A3CA7">
        <w:rPr>
          <w:rFonts w:ascii="Tahoma" w:eastAsia="Times New Roman" w:hAnsi="Tahoma" w:cs="Tahoma"/>
          <w:bCs/>
          <w:iCs/>
          <w:sz w:val="24"/>
          <w:szCs w:val="24"/>
          <w:lang w:eastAsia="es-CO"/>
        </w:rPr>
        <w:t xml:space="preserve"> al Fondo Privado De Pensiones Protección S.A. que en caso de haber recibido el pago del bono pensional en favor de la cuenta de ahorro individual de la Sra. DEBORA ESTHER OCAMPO LOPEZ, </w:t>
      </w:r>
      <w:r w:rsidR="005D19CC" w:rsidRPr="001A3CA7">
        <w:rPr>
          <w:rFonts w:ascii="Tahoma" w:eastAsia="Times New Roman" w:hAnsi="Tahoma" w:cs="Tahoma"/>
          <w:b/>
          <w:bCs/>
          <w:iCs/>
          <w:sz w:val="24"/>
          <w:szCs w:val="24"/>
          <w:lang w:eastAsia="es-CO"/>
        </w:rPr>
        <w:t>RESTITUYA</w:t>
      </w:r>
      <w:r w:rsidR="005D19CC" w:rsidRPr="001A3CA7">
        <w:rPr>
          <w:rFonts w:ascii="Tahoma" w:eastAsia="Times New Roman" w:hAnsi="Tahoma" w:cs="Tahoma"/>
          <w:bCs/>
          <w:iCs/>
          <w:sz w:val="24"/>
          <w:szCs w:val="24"/>
          <w:lang w:eastAsia="es-CO"/>
        </w:rPr>
        <w:t xml:space="preserve"> la suma pagada por ese concepto a la Oficina de Bonos Pensionales del MINISTERIO DE HACIENDA Y CRÉDITO PÚBLICO, misma </w:t>
      </w:r>
      <w:r w:rsidR="00D2736B" w:rsidRPr="001A3CA7">
        <w:rPr>
          <w:rFonts w:ascii="Tahoma" w:eastAsia="Times New Roman" w:hAnsi="Tahoma" w:cs="Tahoma"/>
          <w:bCs/>
          <w:iCs/>
          <w:sz w:val="24"/>
          <w:szCs w:val="24"/>
          <w:lang w:eastAsia="es-CO"/>
        </w:rPr>
        <w:t>que deberá</w:t>
      </w:r>
      <w:r w:rsidR="005D19CC" w:rsidRPr="001A3CA7">
        <w:rPr>
          <w:rFonts w:ascii="Tahoma" w:eastAsia="Times New Roman" w:hAnsi="Tahoma" w:cs="Tahoma"/>
          <w:bCs/>
          <w:iCs/>
          <w:sz w:val="24"/>
          <w:szCs w:val="24"/>
          <w:lang w:eastAsia="es-CO"/>
        </w:rPr>
        <w:t xml:space="preserve"> estar debidamente indexada, precisándose que esa actualización del valor del bono pensional debe ser cancelada con cargo a sus propios recursos.</w:t>
      </w:r>
    </w:p>
    <w:p w14:paraId="53C58D42" w14:textId="77777777" w:rsidR="005D19CC" w:rsidRPr="001A3CA7" w:rsidRDefault="005D19CC" w:rsidP="001A3CA7">
      <w:pPr>
        <w:spacing w:after="0" w:line="276" w:lineRule="auto"/>
        <w:jc w:val="both"/>
        <w:textAlignment w:val="baseline"/>
        <w:rPr>
          <w:rFonts w:ascii="Tahoma" w:eastAsia="Times New Roman" w:hAnsi="Tahoma" w:cs="Tahoma"/>
          <w:b/>
          <w:bCs/>
          <w:iCs/>
          <w:sz w:val="24"/>
          <w:szCs w:val="24"/>
          <w:lang w:eastAsia="es-CO"/>
        </w:rPr>
      </w:pPr>
    </w:p>
    <w:p w14:paraId="5CC8F4A4" w14:textId="4A1718DB" w:rsidR="005D19CC" w:rsidRPr="001A3CA7" w:rsidRDefault="005D19CC" w:rsidP="001A3CA7">
      <w:pPr>
        <w:spacing w:after="0" w:line="276" w:lineRule="auto"/>
        <w:ind w:firstLine="708"/>
        <w:jc w:val="both"/>
        <w:textAlignment w:val="baseline"/>
        <w:rPr>
          <w:rFonts w:ascii="Tahoma" w:eastAsia="Times New Roman" w:hAnsi="Tahoma" w:cs="Tahoma"/>
          <w:b/>
          <w:bCs/>
          <w:iCs/>
          <w:sz w:val="24"/>
          <w:szCs w:val="24"/>
          <w:lang w:eastAsia="es-CO"/>
        </w:rPr>
      </w:pPr>
      <w:r w:rsidRPr="001A3CA7">
        <w:rPr>
          <w:rFonts w:ascii="Tahoma" w:eastAsia="Times New Roman" w:hAnsi="Tahoma" w:cs="Tahoma"/>
          <w:b/>
          <w:bCs/>
          <w:iCs/>
          <w:sz w:val="24"/>
          <w:szCs w:val="24"/>
          <w:lang w:eastAsia="es-CO"/>
        </w:rPr>
        <w:t xml:space="preserve">SEGUNDO: ADICIONAR </w:t>
      </w:r>
      <w:r w:rsidRPr="001A3CA7">
        <w:rPr>
          <w:rFonts w:ascii="Tahoma" w:eastAsia="Times New Roman" w:hAnsi="Tahoma" w:cs="Tahoma"/>
          <w:bCs/>
          <w:iCs/>
          <w:sz w:val="24"/>
          <w:szCs w:val="24"/>
          <w:lang w:eastAsia="es-CO"/>
        </w:rPr>
        <w:t xml:space="preserve">la providencia de instancia, en el sentido de comunicar la decisión adoptada en este asunto a la OBP del Ministerio de Hacienda y Crédito Público, </w:t>
      </w:r>
      <w:r w:rsidRPr="001A3CA7">
        <w:rPr>
          <w:rFonts w:ascii="Tahoma" w:eastAsia="Times New Roman" w:hAnsi="Tahoma" w:cs="Tahoma"/>
          <w:bCs/>
          <w:iCs/>
          <w:sz w:val="24"/>
          <w:szCs w:val="24"/>
          <w:lang w:val="es-ES" w:eastAsia="es-CO"/>
        </w:rPr>
        <w:t xml:space="preserve">con el objeto de que tenga conocimiento de la orden impartida frente al bono pensional tipo A que una vez redimido debió ser pagado por parte de esa </w:t>
      </w:r>
      <w:r w:rsidRPr="001A3CA7">
        <w:rPr>
          <w:rFonts w:ascii="Tahoma" w:eastAsia="Times New Roman" w:hAnsi="Tahoma" w:cs="Tahoma"/>
          <w:bCs/>
          <w:iCs/>
          <w:sz w:val="24"/>
          <w:szCs w:val="24"/>
          <w:lang w:val="es-ES" w:eastAsia="es-CO"/>
        </w:rPr>
        <w:lastRenderedPageBreak/>
        <w:t xml:space="preserve">entidad a favor de la cuenta de ahorro individual de la </w:t>
      </w:r>
      <w:r w:rsidRPr="001A3CA7">
        <w:rPr>
          <w:rFonts w:ascii="Tahoma" w:eastAsia="Times New Roman" w:hAnsi="Tahoma" w:cs="Tahoma"/>
          <w:bCs/>
          <w:iCs/>
          <w:sz w:val="24"/>
          <w:szCs w:val="24"/>
          <w:lang w:eastAsia="es-CO"/>
        </w:rPr>
        <w:t>Sra. DEBORA ESTHER OCAMPO LOPEZ</w:t>
      </w:r>
      <w:r w:rsidRPr="001A3CA7">
        <w:rPr>
          <w:rFonts w:ascii="Tahoma" w:eastAsia="Times New Roman" w:hAnsi="Tahoma" w:cs="Tahoma"/>
          <w:bCs/>
          <w:iCs/>
          <w:sz w:val="24"/>
          <w:szCs w:val="24"/>
          <w:lang w:val="es-ES" w:eastAsia="es-CO"/>
        </w:rPr>
        <w:t>, con el fin de que posteriormente, haciendo uso de trámites internos y a través de canales institucionales, ejecute todas las acciones pertinentes para retrotraer las cosas al estado en el que se encontraban para el mes de enero de 1995</w:t>
      </w:r>
      <w:r w:rsidRPr="001A3CA7">
        <w:rPr>
          <w:rFonts w:ascii="Tahoma" w:eastAsia="Times New Roman" w:hAnsi="Tahoma" w:cs="Tahoma"/>
          <w:bCs/>
          <w:iCs/>
          <w:sz w:val="24"/>
          <w:szCs w:val="24"/>
          <w:lang w:eastAsia="es-CO"/>
        </w:rPr>
        <w:t>.</w:t>
      </w:r>
    </w:p>
    <w:p w14:paraId="245E255A" w14:textId="77777777" w:rsidR="005D19CC" w:rsidRPr="001A3CA7" w:rsidRDefault="005D19CC" w:rsidP="001A3CA7">
      <w:pPr>
        <w:spacing w:after="0" w:line="276" w:lineRule="auto"/>
        <w:jc w:val="both"/>
        <w:textAlignment w:val="baseline"/>
        <w:rPr>
          <w:rFonts w:ascii="Tahoma" w:eastAsia="Times New Roman" w:hAnsi="Tahoma" w:cs="Tahoma"/>
          <w:b/>
          <w:bCs/>
          <w:iCs/>
          <w:sz w:val="24"/>
          <w:szCs w:val="24"/>
          <w:lang w:eastAsia="es-CO"/>
        </w:rPr>
      </w:pPr>
      <w:r w:rsidRPr="001A3CA7">
        <w:rPr>
          <w:rFonts w:ascii="Tahoma" w:eastAsia="Times New Roman" w:hAnsi="Tahoma" w:cs="Tahoma"/>
          <w:b/>
          <w:bCs/>
          <w:iCs/>
          <w:sz w:val="24"/>
          <w:szCs w:val="24"/>
          <w:lang w:eastAsia="es-CO"/>
        </w:rPr>
        <w:t xml:space="preserve"> </w:t>
      </w:r>
    </w:p>
    <w:p w14:paraId="4ACBA524" w14:textId="36C6DB77" w:rsidR="005D19CC" w:rsidRPr="001A3CA7" w:rsidRDefault="005D19CC" w:rsidP="001A3CA7">
      <w:pPr>
        <w:spacing w:after="0" w:line="276" w:lineRule="auto"/>
        <w:ind w:firstLine="708"/>
        <w:jc w:val="both"/>
        <w:textAlignment w:val="baseline"/>
        <w:rPr>
          <w:rFonts w:ascii="Tahoma" w:eastAsia="Times New Roman" w:hAnsi="Tahoma" w:cs="Tahoma"/>
          <w:b/>
          <w:bCs/>
          <w:iCs/>
          <w:sz w:val="24"/>
          <w:szCs w:val="24"/>
          <w:lang w:eastAsia="es-CO"/>
        </w:rPr>
      </w:pPr>
      <w:r w:rsidRPr="001A3CA7">
        <w:rPr>
          <w:rFonts w:ascii="Tahoma" w:eastAsia="Times New Roman" w:hAnsi="Tahoma" w:cs="Tahoma"/>
          <w:b/>
          <w:bCs/>
          <w:iCs/>
          <w:sz w:val="24"/>
          <w:szCs w:val="24"/>
          <w:lang w:eastAsia="es-CO"/>
        </w:rPr>
        <w:t xml:space="preserve">TERCERO: CONFIRMAR </w:t>
      </w:r>
      <w:r w:rsidRPr="001A3CA7">
        <w:rPr>
          <w:rFonts w:ascii="Tahoma" w:eastAsia="Times New Roman" w:hAnsi="Tahoma" w:cs="Tahoma"/>
          <w:bCs/>
          <w:iCs/>
          <w:sz w:val="24"/>
          <w:szCs w:val="24"/>
          <w:lang w:eastAsia="es-CO"/>
        </w:rPr>
        <w:t>en lo demás la sentencia de primer grado.</w:t>
      </w:r>
    </w:p>
    <w:p w14:paraId="018B3FCE" w14:textId="77777777" w:rsidR="005D19CC" w:rsidRPr="001A3CA7" w:rsidRDefault="005D19CC" w:rsidP="001A3CA7">
      <w:pPr>
        <w:spacing w:after="0" w:line="276" w:lineRule="auto"/>
        <w:jc w:val="both"/>
        <w:textAlignment w:val="baseline"/>
        <w:rPr>
          <w:rFonts w:ascii="Tahoma" w:eastAsia="Times New Roman" w:hAnsi="Tahoma" w:cs="Tahoma"/>
          <w:b/>
          <w:bCs/>
          <w:iCs/>
          <w:sz w:val="24"/>
          <w:szCs w:val="24"/>
          <w:lang w:eastAsia="es-CO"/>
        </w:rPr>
      </w:pPr>
    </w:p>
    <w:p w14:paraId="561B80A0" w14:textId="6F341BE1" w:rsidR="005D19CC" w:rsidRPr="001A3CA7" w:rsidRDefault="005D19CC" w:rsidP="001A3CA7">
      <w:pPr>
        <w:spacing w:after="0" w:line="276" w:lineRule="auto"/>
        <w:ind w:firstLine="708"/>
        <w:jc w:val="both"/>
        <w:textAlignment w:val="baseline"/>
        <w:rPr>
          <w:rFonts w:ascii="Tahoma" w:eastAsia="Times New Roman" w:hAnsi="Tahoma" w:cs="Tahoma"/>
          <w:b/>
          <w:bCs/>
          <w:iCs/>
          <w:sz w:val="24"/>
          <w:szCs w:val="24"/>
          <w:lang w:eastAsia="es-CO"/>
        </w:rPr>
      </w:pPr>
      <w:r w:rsidRPr="001A3CA7">
        <w:rPr>
          <w:rFonts w:ascii="Tahoma" w:eastAsia="Times New Roman" w:hAnsi="Tahoma" w:cs="Tahoma"/>
          <w:b/>
          <w:bCs/>
          <w:iCs/>
          <w:sz w:val="24"/>
          <w:szCs w:val="24"/>
          <w:lang w:val="es-ES" w:eastAsia="es-CO"/>
        </w:rPr>
        <w:t>CUARTO</w:t>
      </w:r>
      <w:r w:rsidRPr="001A3CA7">
        <w:rPr>
          <w:rFonts w:ascii="Tahoma" w:eastAsia="Times New Roman" w:hAnsi="Tahoma" w:cs="Tahoma"/>
          <w:b/>
          <w:bCs/>
          <w:iCs/>
          <w:sz w:val="24"/>
          <w:szCs w:val="24"/>
          <w:lang w:eastAsia="es-CO"/>
        </w:rPr>
        <w:t xml:space="preserve">: CONDENAR </w:t>
      </w:r>
      <w:r w:rsidRPr="001A3CA7">
        <w:rPr>
          <w:rFonts w:ascii="Tahoma" w:eastAsia="Times New Roman" w:hAnsi="Tahoma" w:cs="Tahoma"/>
          <w:bCs/>
          <w:iCs/>
          <w:sz w:val="24"/>
          <w:szCs w:val="24"/>
          <w:lang w:eastAsia="es-CO"/>
        </w:rPr>
        <w:t>en costas de segunda instancia a la</w:t>
      </w:r>
      <w:r w:rsidRPr="001A3CA7">
        <w:rPr>
          <w:rFonts w:ascii="Tahoma" w:eastAsia="Times New Roman" w:hAnsi="Tahoma" w:cs="Tahoma"/>
          <w:b/>
          <w:bCs/>
          <w:iCs/>
          <w:sz w:val="24"/>
          <w:szCs w:val="24"/>
          <w:lang w:eastAsia="es-CO"/>
        </w:rPr>
        <w:t xml:space="preserve"> AFP Protección S.A. </w:t>
      </w:r>
      <w:r w:rsidRPr="001A3CA7">
        <w:rPr>
          <w:rFonts w:ascii="Tahoma" w:eastAsia="Times New Roman" w:hAnsi="Tahoma" w:cs="Tahoma"/>
          <w:bCs/>
          <w:iCs/>
          <w:sz w:val="24"/>
          <w:szCs w:val="24"/>
          <w:lang w:eastAsia="es-CO"/>
        </w:rPr>
        <w:t>y a</w:t>
      </w:r>
      <w:r w:rsidRPr="001A3CA7">
        <w:rPr>
          <w:rFonts w:ascii="Tahoma" w:eastAsia="Times New Roman" w:hAnsi="Tahoma" w:cs="Tahoma"/>
          <w:b/>
          <w:bCs/>
          <w:iCs/>
          <w:sz w:val="24"/>
          <w:szCs w:val="24"/>
          <w:lang w:eastAsia="es-CO"/>
        </w:rPr>
        <w:t xml:space="preserve"> Colpensiones</w:t>
      </w:r>
      <w:r w:rsidRPr="001A3CA7">
        <w:rPr>
          <w:rFonts w:ascii="Tahoma" w:eastAsia="Times New Roman" w:hAnsi="Tahoma" w:cs="Tahoma"/>
          <w:bCs/>
          <w:iCs/>
          <w:sz w:val="24"/>
          <w:szCs w:val="24"/>
          <w:lang w:eastAsia="es-CO"/>
        </w:rPr>
        <w:t xml:space="preserve"> a favor del demandante, las cuales se liquidarán por el juzgado de origen.</w:t>
      </w:r>
    </w:p>
    <w:p w14:paraId="78225C34" w14:textId="77777777" w:rsidR="005D19CC" w:rsidRPr="001A3CA7" w:rsidRDefault="005D19CC" w:rsidP="001A3CA7">
      <w:pPr>
        <w:spacing w:after="0" w:line="276" w:lineRule="auto"/>
        <w:jc w:val="both"/>
        <w:textAlignment w:val="baseline"/>
        <w:rPr>
          <w:rFonts w:ascii="Tahoma" w:eastAsia="Times New Roman" w:hAnsi="Tahoma" w:cs="Tahoma"/>
          <w:b/>
          <w:bCs/>
          <w:iCs/>
          <w:sz w:val="24"/>
          <w:szCs w:val="24"/>
          <w:lang w:eastAsia="es-CO"/>
        </w:rPr>
      </w:pPr>
    </w:p>
    <w:p w14:paraId="593839A4" w14:textId="5C12ABC4" w:rsidR="005D19CC" w:rsidRPr="001A3CA7" w:rsidRDefault="005D19CC" w:rsidP="001A3CA7">
      <w:pPr>
        <w:spacing w:after="0" w:line="276" w:lineRule="auto"/>
        <w:ind w:firstLine="708"/>
        <w:jc w:val="both"/>
        <w:textAlignment w:val="baseline"/>
        <w:rPr>
          <w:rFonts w:ascii="Tahoma" w:eastAsia="Times New Roman" w:hAnsi="Tahoma" w:cs="Tahoma"/>
          <w:b/>
          <w:bCs/>
          <w:iCs/>
          <w:sz w:val="24"/>
          <w:szCs w:val="24"/>
          <w:lang w:val="es-ES" w:eastAsia="es-CO"/>
        </w:rPr>
      </w:pPr>
      <w:r w:rsidRPr="001A3CA7">
        <w:rPr>
          <w:rFonts w:ascii="Tahoma" w:eastAsia="Times New Roman" w:hAnsi="Tahoma" w:cs="Tahoma"/>
          <w:b/>
          <w:bCs/>
          <w:iCs/>
          <w:sz w:val="24"/>
          <w:szCs w:val="24"/>
          <w:lang w:val="es-ES" w:eastAsia="es-CO"/>
        </w:rPr>
        <w:t xml:space="preserve">QUINTO: </w:t>
      </w:r>
      <w:r w:rsidR="00D2736B">
        <w:rPr>
          <w:rFonts w:ascii="Tahoma" w:eastAsia="Times New Roman" w:hAnsi="Tahoma" w:cs="Tahoma"/>
          <w:bCs/>
          <w:iCs/>
          <w:sz w:val="24"/>
          <w:szCs w:val="24"/>
          <w:lang w:eastAsia="es-CO"/>
        </w:rPr>
        <w:t>(…)</w:t>
      </w:r>
    </w:p>
    <w:p w14:paraId="77F89549" w14:textId="6C372683" w:rsidR="1B4704F1" w:rsidRPr="001A3CA7" w:rsidRDefault="1B4704F1" w:rsidP="001A3CA7">
      <w:pPr>
        <w:spacing w:after="0" w:line="276" w:lineRule="auto"/>
        <w:jc w:val="both"/>
        <w:textAlignment w:val="baseline"/>
        <w:rPr>
          <w:rFonts w:ascii="Tahoma" w:hAnsi="Tahoma" w:cs="Tahoma"/>
          <w:sz w:val="24"/>
          <w:szCs w:val="24"/>
        </w:rPr>
      </w:pPr>
      <w:r w:rsidRPr="001A3CA7">
        <w:rPr>
          <w:rFonts w:ascii="Tahoma" w:eastAsia="Tahoma" w:hAnsi="Tahoma" w:cs="Tahoma"/>
          <w:b/>
          <w:bCs/>
          <w:sz w:val="24"/>
          <w:szCs w:val="24"/>
        </w:rPr>
        <w:t xml:space="preserve">  </w:t>
      </w:r>
    </w:p>
    <w:p w14:paraId="2BEEA957" w14:textId="026E29E6" w:rsidR="1B4704F1" w:rsidRPr="001A3CA7" w:rsidRDefault="1B4704F1" w:rsidP="001A3CA7">
      <w:pPr>
        <w:spacing w:after="0" w:line="276" w:lineRule="auto"/>
        <w:jc w:val="center"/>
        <w:rPr>
          <w:rFonts w:ascii="Tahoma" w:hAnsi="Tahoma" w:cs="Tahoma"/>
          <w:sz w:val="24"/>
          <w:szCs w:val="24"/>
        </w:rPr>
      </w:pPr>
      <w:r w:rsidRPr="001A3CA7">
        <w:rPr>
          <w:rFonts w:ascii="Tahoma" w:eastAsia="Tahoma" w:hAnsi="Tahoma" w:cs="Tahoma"/>
          <w:b/>
          <w:bCs/>
          <w:sz w:val="24"/>
          <w:szCs w:val="24"/>
        </w:rPr>
        <w:t>NOTIFÍQUESE Y CÚMPLASE</w:t>
      </w:r>
    </w:p>
    <w:p w14:paraId="109C9057" w14:textId="77777777" w:rsidR="001A3CA7" w:rsidRPr="005A7B4B" w:rsidRDefault="001A3CA7" w:rsidP="001A3CA7">
      <w:pPr>
        <w:pStyle w:val="paragraph"/>
        <w:spacing w:before="0" w:beforeAutospacing="0" w:after="0" w:afterAutospacing="0" w:line="276" w:lineRule="auto"/>
        <w:jc w:val="both"/>
        <w:textAlignment w:val="baseline"/>
        <w:rPr>
          <w:rFonts w:ascii="Tahoma" w:hAnsi="Tahoma" w:cs="Tahoma"/>
        </w:rPr>
      </w:pPr>
    </w:p>
    <w:p w14:paraId="615A195E" w14:textId="77777777" w:rsidR="001A3CA7" w:rsidRPr="005A7B4B" w:rsidRDefault="001A3CA7" w:rsidP="001A3CA7">
      <w:pPr>
        <w:pStyle w:val="paragraph"/>
        <w:spacing w:before="0" w:beforeAutospacing="0" w:after="0" w:afterAutospacing="0" w:line="276" w:lineRule="auto"/>
        <w:textAlignment w:val="baseline"/>
        <w:rPr>
          <w:rFonts w:ascii="Tahoma" w:hAnsi="Tahoma" w:cs="Tahoma"/>
        </w:rPr>
      </w:pPr>
    </w:p>
    <w:p w14:paraId="588C1B17" w14:textId="77777777" w:rsidR="001A3CA7" w:rsidRPr="005A7B4B" w:rsidRDefault="001A3CA7" w:rsidP="001A3CA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11F8296F" w14:textId="77777777" w:rsidR="001A3CA7" w:rsidRPr="005A7B4B" w:rsidRDefault="001A3CA7" w:rsidP="001A3CA7">
      <w:pPr>
        <w:spacing w:after="0" w:line="276" w:lineRule="auto"/>
        <w:rPr>
          <w:rFonts w:ascii="Tahoma" w:eastAsia="Times New Roman" w:hAnsi="Tahoma" w:cs="Tahoma"/>
          <w:sz w:val="24"/>
          <w:szCs w:val="24"/>
          <w:lang w:val="es-ES" w:eastAsia="es-ES"/>
        </w:rPr>
      </w:pPr>
    </w:p>
    <w:p w14:paraId="785A4643" w14:textId="77777777" w:rsidR="001A3CA7" w:rsidRPr="005A7B4B" w:rsidRDefault="001A3CA7" w:rsidP="001A3CA7">
      <w:pPr>
        <w:spacing w:after="0" w:line="276" w:lineRule="auto"/>
        <w:rPr>
          <w:rFonts w:ascii="Tahoma" w:eastAsia="Times New Roman" w:hAnsi="Tahoma" w:cs="Tahoma"/>
          <w:sz w:val="24"/>
          <w:szCs w:val="24"/>
          <w:lang w:val="es-ES" w:eastAsia="es-ES"/>
        </w:rPr>
      </w:pPr>
    </w:p>
    <w:p w14:paraId="3A46685C" w14:textId="77777777" w:rsidR="001A3CA7" w:rsidRPr="005A7B4B" w:rsidRDefault="001A3CA7" w:rsidP="001A3CA7">
      <w:pPr>
        <w:spacing w:after="0" w:line="276" w:lineRule="auto"/>
        <w:rPr>
          <w:rFonts w:ascii="Tahoma" w:eastAsia="Times New Roman" w:hAnsi="Tahoma" w:cs="Tahoma"/>
          <w:sz w:val="24"/>
          <w:szCs w:val="24"/>
          <w:lang w:val="es-ES" w:eastAsia="es-ES"/>
        </w:rPr>
      </w:pPr>
    </w:p>
    <w:p w14:paraId="3A1E5A2E" w14:textId="77777777" w:rsidR="001A3CA7" w:rsidRPr="005A7B4B" w:rsidRDefault="001A3CA7" w:rsidP="001A3CA7">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39765880" w14:textId="77777777" w:rsidR="001A3CA7" w:rsidRPr="005A7B4B" w:rsidRDefault="001A3CA7" w:rsidP="001A3CA7">
      <w:pPr>
        <w:spacing w:after="0" w:line="276" w:lineRule="auto"/>
        <w:rPr>
          <w:rFonts w:ascii="Tahoma" w:eastAsia="Times New Roman" w:hAnsi="Tahoma" w:cs="Tahoma"/>
          <w:sz w:val="24"/>
          <w:szCs w:val="24"/>
          <w:lang w:val="es-ES" w:eastAsia="es-ES"/>
        </w:rPr>
      </w:pPr>
    </w:p>
    <w:p w14:paraId="0C2DEC69" w14:textId="77777777" w:rsidR="001A3CA7" w:rsidRPr="005A7B4B" w:rsidRDefault="001A3CA7" w:rsidP="001A3CA7">
      <w:pPr>
        <w:spacing w:after="0" w:line="276" w:lineRule="auto"/>
        <w:ind w:firstLine="708"/>
        <w:rPr>
          <w:rFonts w:ascii="Tahoma" w:eastAsia="Times New Roman" w:hAnsi="Tahoma" w:cs="Tahoma"/>
          <w:sz w:val="24"/>
          <w:szCs w:val="24"/>
          <w:lang w:val="es-ES" w:eastAsia="es-ES"/>
        </w:rPr>
      </w:pPr>
      <w:bookmarkStart w:id="10" w:name="_Hlk62478330"/>
      <w:r w:rsidRPr="005A7B4B">
        <w:rPr>
          <w:rFonts w:ascii="Tahoma" w:eastAsia="Times New Roman" w:hAnsi="Tahoma" w:cs="Tahoma"/>
          <w:sz w:val="24"/>
          <w:szCs w:val="24"/>
          <w:lang w:val="es-ES" w:eastAsia="es-ES"/>
        </w:rPr>
        <w:t>La Magistrada y el Magistrado,</w:t>
      </w:r>
    </w:p>
    <w:p w14:paraId="58D33DAD" w14:textId="77777777" w:rsidR="001A3CA7" w:rsidRPr="005A7B4B" w:rsidRDefault="001A3CA7" w:rsidP="001A3CA7">
      <w:pPr>
        <w:spacing w:after="0" w:line="276" w:lineRule="auto"/>
        <w:rPr>
          <w:rFonts w:ascii="Tahoma" w:eastAsia="Times New Roman" w:hAnsi="Tahoma" w:cs="Tahoma"/>
          <w:sz w:val="24"/>
          <w:szCs w:val="24"/>
          <w:lang w:val="es-ES" w:eastAsia="es-ES"/>
        </w:rPr>
      </w:pPr>
    </w:p>
    <w:p w14:paraId="3AF20544" w14:textId="77777777" w:rsidR="001A3CA7" w:rsidRPr="005A7B4B" w:rsidRDefault="001A3CA7" w:rsidP="001A3CA7">
      <w:pPr>
        <w:spacing w:after="0" w:line="276" w:lineRule="auto"/>
        <w:rPr>
          <w:rFonts w:ascii="Tahoma" w:eastAsia="Times New Roman" w:hAnsi="Tahoma" w:cs="Tahoma"/>
          <w:sz w:val="24"/>
          <w:szCs w:val="24"/>
          <w:lang w:val="es-ES" w:eastAsia="es-ES"/>
        </w:rPr>
      </w:pPr>
    </w:p>
    <w:p w14:paraId="71C0DF5C" w14:textId="77777777" w:rsidR="001A3CA7" w:rsidRPr="005A7B4B" w:rsidRDefault="001A3CA7" w:rsidP="001A3CA7">
      <w:pPr>
        <w:spacing w:after="0" w:line="276" w:lineRule="auto"/>
        <w:rPr>
          <w:rFonts w:ascii="Tahoma" w:eastAsia="Times New Roman" w:hAnsi="Tahoma" w:cs="Tahoma"/>
          <w:sz w:val="24"/>
          <w:szCs w:val="24"/>
          <w:lang w:val="es-ES" w:eastAsia="es-ES"/>
        </w:rPr>
      </w:pPr>
    </w:p>
    <w:p w14:paraId="0F45CE93" w14:textId="77777777" w:rsidR="001A3CA7" w:rsidRPr="005A7B4B" w:rsidRDefault="001A3CA7" w:rsidP="001A3CA7">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10"/>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p>
    <w:p w14:paraId="1DD0193E" w14:textId="5A3DF787" w:rsidR="0073142B" w:rsidRPr="001A3CA7" w:rsidRDefault="001A3CA7" w:rsidP="001A3CA7">
      <w:pPr>
        <w:pStyle w:val="paragraph"/>
        <w:spacing w:before="0" w:beforeAutospacing="0" w:after="0" w:afterAutospacing="0" w:line="276" w:lineRule="auto"/>
        <w:jc w:val="both"/>
        <w:textAlignment w:val="baseline"/>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Aclara voto</w:t>
      </w:r>
    </w:p>
    <w:sectPr w:rsidR="0073142B" w:rsidRPr="001A3CA7" w:rsidSect="00267CE6">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1F232FA" w16cex:dateUtc="2021-11-29T1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29E47" w14:textId="77777777" w:rsidR="00217574" w:rsidRDefault="00217574" w:rsidP="00C23186">
      <w:pPr>
        <w:spacing w:after="0" w:line="240" w:lineRule="auto"/>
      </w:pPr>
      <w:r>
        <w:separator/>
      </w:r>
    </w:p>
  </w:endnote>
  <w:endnote w:type="continuationSeparator" w:id="0">
    <w:p w14:paraId="670D366F" w14:textId="77777777" w:rsidR="00217574" w:rsidRDefault="00217574" w:rsidP="00C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E901" w14:textId="77777777" w:rsidR="00217574" w:rsidRDefault="00217574" w:rsidP="00C23186">
      <w:pPr>
        <w:spacing w:after="0" w:line="240" w:lineRule="auto"/>
      </w:pPr>
      <w:r>
        <w:separator/>
      </w:r>
    </w:p>
  </w:footnote>
  <w:footnote w:type="continuationSeparator" w:id="0">
    <w:p w14:paraId="1CEF07E0" w14:textId="77777777" w:rsidR="00217574" w:rsidRDefault="00217574" w:rsidP="00C23186">
      <w:pPr>
        <w:spacing w:after="0" w:line="240" w:lineRule="auto"/>
      </w:pPr>
      <w:r>
        <w:continuationSeparator/>
      </w:r>
    </w:p>
  </w:footnote>
  <w:footnote w:id="1">
    <w:p w14:paraId="1BB5669F" w14:textId="77777777" w:rsidR="00167260" w:rsidRPr="003F425A" w:rsidRDefault="00167260" w:rsidP="00167260">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192E922B" w14:textId="77777777" w:rsidR="00167260" w:rsidRPr="003F425A" w:rsidRDefault="00167260" w:rsidP="00167260">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2AAA3C23" w14:textId="77777777" w:rsidR="00167260" w:rsidRPr="003F425A" w:rsidRDefault="00167260" w:rsidP="00167260">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5FD1CD40" w14:textId="77777777" w:rsidR="00167260" w:rsidRPr="003F425A" w:rsidRDefault="00167260" w:rsidP="00167260">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0EBBF57B" w14:textId="77777777" w:rsidR="00167260" w:rsidRPr="003F425A" w:rsidRDefault="00167260" w:rsidP="00167260">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 w:id="6">
    <w:p w14:paraId="3F0FA375" w14:textId="0817C7C2" w:rsidR="00340009" w:rsidRPr="00D2736B" w:rsidRDefault="00340009" w:rsidP="00D2736B">
      <w:pPr>
        <w:suppressAutoHyphens/>
        <w:spacing w:after="0" w:line="240" w:lineRule="auto"/>
        <w:jc w:val="both"/>
        <w:rPr>
          <w:rFonts w:ascii="Arial" w:hAnsi="Arial" w:cs="Arial"/>
          <w:sz w:val="18"/>
          <w:szCs w:val="18"/>
        </w:rPr>
      </w:pPr>
      <w:r w:rsidRPr="00D2736B">
        <w:rPr>
          <w:rStyle w:val="Refdenotaalpie"/>
          <w:rFonts w:ascii="Arial" w:hAnsi="Arial" w:cs="Arial"/>
          <w:sz w:val="18"/>
          <w:szCs w:val="18"/>
        </w:rPr>
        <w:footnoteRef/>
      </w:r>
      <w:r w:rsidRPr="00D2736B">
        <w:rPr>
          <w:rFonts w:ascii="Arial" w:hAnsi="Arial" w:cs="Arial"/>
          <w:sz w:val="18"/>
          <w:szCs w:val="18"/>
        </w:rPr>
        <w:t xml:space="preserve"> Verbigracia, Sentencia de segunda instancia del 11 de agosto de 2021, Proceso Ordinario No. </w:t>
      </w:r>
      <w:r w:rsidRPr="00D2736B">
        <w:rPr>
          <w:rStyle w:val="normaltextrun"/>
          <w:rFonts w:ascii="Arial" w:hAnsi="Arial" w:cs="Arial"/>
          <w:sz w:val="18"/>
          <w:szCs w:val="18"/>
        </w:rPr>
        <w:t>66001310500420190042501, Demandante: NANCY CÁRCAMO DE JARAMILLO, Demandados: AFPs PORVENIR S.A., PROTECCIÓN S.A., COLFONDOS y la ADMINISTRADORA COLOMBIANA DE PENSIONES; M.P. Dr. JULIO CÉSAR SALAZAR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E010" w14:textId="7E39072D" w:rsidR="00440957" w:rsidRPr="001A3CA7" w:rsidRDefault="00440957" w:rsidP="001A3CA7">
    <w:pPr>
      <w:widowControl w:val="0"/>
      <w:autoSpaceDE w:val="0"/>
      <w:autoSpaceDN w:val="0"/>
      <w:spacing w:after="0" w:line="240" w:lineRule="auto"/>
      <w:jc w:val="both"/>
      <w:rPr>
        <w:rFonts w:ascii="Arial" w:eastAsia="Tahoma" w:hAnsi="Arial" w:cs="Arial"/>
        <w:sz w:val="18"/>
        <w:szCs w:val="16"/>
        <w:lang w:val="es"/>
      </w:rPr>
    </w:pPr>
    <w:r w:rsidRPr="001A3CA7">
      <w:rPr>
        <w:rFonts w:ascii="Arial" w:eastAsia="Tahoma" w:hAnsi="Arial" w:cs="Arial"/>
        <w:sz w:val="18"/>
        <w:szCs w:val="16"/>
        <w:lang w:val="es"/>
      </w:rPr>
      <w:t>Radicación No.:</w:t>
    </w:r>
    <w:r w:rsidR="001A3CA7">
      <w:rPr>
        <w:rFonts w:ascii="Arial" w:eastAsia="Tahoma" w:hAnsi="Arial" w:cs="Arial"/>
        <w:sz w:val="18"/>
        <w:szCs w:val="16"/>
        <w:lang w:val="es"/>
      </w:rPr>
      <w:tab/>
    </w:r>
    <w:r w:rsidRPr="001A3CA7">
      <w:rPr>
        <w:rFonts w:ascii="Arial" w:eastAsia="Tahoma" w:hAnsi="Arial" w:cs="Arial"/>
        <w:sz w:val="18"/>
        <w:szCs w:val="16"/>
        <w:lang w:val="es"/>
      </w:rPr>
      <w:t>66001-31-05-001-2018-00390-01</w:t>
    </w:r>
  </w:p>
  <w:p w14:paraId="2C6E6897" w14:textId="20C136CB" w:rsidR="00440957" w:rsidRPr="001A3CA7" w:rsidRDefault="00440957" w:rsidP="001A3CA7">
    <w:pPr>
      <w:widowControl w:val="0"/>
      <w:autoSpaceDE w:val="0"/>
      <w:autoSpaceDN w:val="0"/>
      <w:spacing w:after="0" w:line="240" w:lineRule="auto"/>
      <w:jc w:val="both"/>
      <w:rPr>
        <w:rFonts w:ascii="Arial" w:eastAsia="Tahoma" w:hAnsi="Arial" w:cs="Arial"/>
        <w:sz w:val="18"/>
        <w:szCs w:val="16"/>
        <w:lang w:val="es"/>
      </w:rPr>
    </w:pPr>
    <w:r w:rsidRPr="001A3CA7">
      <w:rPr>
        <w:rFonts w:ascii="Arial" w:eastAsia="Tahoma" w:hAnsi="Arial" w:cs="Arial"/>
        <w:sz w:val="18"/>
        <w:szCs w:val="16"/>
        <w:lang w:val="es"/>
      </w:rPr>
      <w:t>Demandante:</w:t>
    </w:r>
    <w:r w:rsidR="001A3CA7">
      <w:rPr>
        <w:rFonts w:ascii="Arial" w:eastAsia="Tahoma" w:hAnsi="Arial" w:cs="Arial"/>
        <w:sz w:val="18"/>
        <w:szCs w:val="16"/>
        <w:lang w:val="es"/>
      </w:rPr>
      <w:tab/>
    </w:r>
    <w:r w:rsidR="0046635B" w:rsidRPr="001A3CA7">
      <w:rPr>
        <w:rFonts w:ascii="Arial" w:eastAsia="Tahoma" w:hAnsi="Arial" w:cs="Arial"/>
        <w:sz w:val="18"/>
        <w:szCs w:val="16"/>
        <w:lang w:val="es"/>
      </w:rPr>
      <w:t>Débora</w:t>
    </w:r>
    <w:r w:rsidRPr="001A3CA7">
      <w:rPr>
        <w:rFonts w:ascii="Arial" w:eastAsia="Tahoma" w:hAnsi="Arial" w:cs="Arial"/>
        <w:sz w:val="18"/>
        <w:szCs w:val="16"/>
        <w:lang w:val="es"/>
      </w:rPr>
      <w:t xml:space="preserve"> Esther Ocampo López</w:t>
    </w:r>
  </w:p>
  <w:p w14:paraId="22AF2C25" w14:textId="68DD74D3" w:rsidR="00440957" w:rsidRPr="001A3CA7" w:rsidRDefault="00440957" w:rsidP="001A3CA7">
    <w:pPr>
      <w:widowControl w:val="0"/>
      <w:autoSpaceDE w:val="0"/>
      <w:autoSpaceDN w:val="0"/>
      <w:spacing w:after="0" w:line="240" w:lineRule="auto"/>
      <w:jc w:val="both"/>
      <w:rPr>
        <w:rFonts w:ascii="Arial" w:eastAsia="Tahoma" w:hAnsi="Arial" w:cs="Arial"/>
        <w:sz w:val="18"/>
        <w:szCs w:val="16"/>
        <w:lang w:val="es"/>
      </w:rPr>
    </w:pPr>
    <w:r w:rsidRPr="001A3CA7">
      <w:rPr>
        <w:rFonts w:ascii="Arial" w:eastAsia="Tahoma" w:hAnsi="Arial" w:cs="Arial"/>
        <w:sz w:val="18"/>
        <w:szCs w:val="16"/>
        <w:lang w:val="es"/>
      </w:rPr>
      <w:t>Demandados:</w:t>
    </w:r>
    <w:r w:rsidR="001A3CA7">
      <w:rPr>
        <w:rFonts w:ascii="Arial" w:eastAsia="Tahoma" w:hAnsi="Arial" w:cs="Arial"/>
        <w:sz w:val="18"/>
        <w:szCs w:val="16"/>
        <w:lang w:val="es"/>
      </w:rPr>
      <w:tab/>
    </w:r>
    <w:r w:rsidRPr="001A3CA7">
      <w:rPr>
        <w:rFonts w:ascii="Arial" w:eastAsia="Tahoma" w:hAnsi="Arial" w:cs="Arial"/>
        <w:sz w:val="18"/>
        <w:szCs w:val="16"/>
        <w:lang w:val="es"/>
      </w:rPr>
      <w:t>Colpensiones 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4"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DEF1FEB"/>
    <w:multiLevelType w:val="multilevel"/>
    <w:tmpl w:val="83141F8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15:restartNumberingAfterBreak="0">
    <w:nsid w:val="70677E3F"/>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4"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6"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6"/>
  </w:num>
  <w:num w:numId="2">
    <w:abstractNumId w:val="2"/>
  </w:num>
  <w:num w:numId="3">
    <w:abstractNumId w:val="13"/>
  </w:num>
  <w:num w:numId="4">
    <w:abstractNumId w:val="9"/>
  </w:num>
  <w:num w:numId="5">
    <w:abstractNumId w:val="5"/>
  </w:num>
  <w:num w:numId="6">
    <w:abstractNumId w:val="6"/>
  </w:num>
  <w:num w:numId="7">
    <w:abstractNumId w:val="3"/>
  </w:num>
  <w:num w:numId="8">
    <w:abstractNumId w:val="15"/>
  </w:num>
  <w:num w:numId="9">
    <w:abstractNumId w:val="12"/>
  </w:num>
  <w:num w:numId="10">
    <w:abstractNumId w:val="1"/>
  </w:num>
  <w:num w:numId="11">
    <w:abstractNumId w:val="4"/>
  </w:num>
  <w:num w:numId="12">
    <w:abstractNumId w:val="10"/>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8"/>
    <w:rsid w:val="000006D1"/>
    <w:rsid w:val="000017EE"/>
    <w:rsid w:val="00002487"/>
    <w:rsid w:val="0000355A"/>
    <w:rsid w:val="000078B1"/>
    <w:rsid w:val="000118BD"/>
    <w:rsid w:val="00014764"/>
    <w:rsid w:val="0001484D"/>
    <w:rsid w:val="00015234"/>
    <w:rsid w:val="0002511D"/>
    <w:rsid w:val="00030451"/>
    <w:rsid w:val="00031F14"/>
    <w:rsid w:val="00032095"/>
    <w:rsid w:val="00032EC7"/>
    <w:rsid w:val="00034407"/>
    <w:rsid w:val="00036A0B"/>
    <w:rsid w:val="0003745A"/>
    <w:rsid w:val="0004089E"/>
    <w:rsid w:val="00041030"/>
    <w:rsid w:val="00042449"/>
    <w:rsid w:val="00042A7C"/>
    <w:rsid w:val="00042B18"/>
    <w:rsid w:val="00043B35"/>
    <w:rsid w:val="00050BBD"/>
    <w:rsid w:val="00051F39"/>
    <w:rsid w:val="000543AB"/>
    <w:rsid w:val="00055156"/>
    <w:rsid w:val="00062DDA"/>
    <w:rsid w:val="0007332E"/>
    <w:rsid w:val="0008086A"/>
    <w:rsid w:val="00090EFE"/>
    <w:rsid w:val="00093722"/>
    <w:rsid w:val="00096992"/>
    <w:rsid w:val="000A2B8E"/>
    <w:rsid w:val="000B799F"/>
    <w:rsid w:val="000C1336"/>
    <w:rsid w:val="000C33D3"/>
    <w:rsid w:val="000D6D43"/>
    <w:rsid w:val="000E125A"/>
    <w:rsid w:val="000E2B9B"/>
    <w:rsid w:val="000E4A44"/>
    <w:rsid w:val="00102328"/>
    <w:rsid w:val="00102C39"/>
    <w:rsid w:val="0010327A"/>
    <w:rsid w:val="00111C3E"/>
    <w:rsid w:val="0011249F"/>
    <w:rsid w:val="00112BDA"/>
    <w:rsid w:val="001135A2"/>
    <w:rsid w:val="00114317"/>
    <w:rsid w:val="00123CD4"/>
    <w:rsid w:val="001259F4"/>
    <w:rsid w:val="00126658"/>
    <w:rsid w:val="00131BF9"/>
    <w:rsid w:val="001360F8"/>
    <w:rsid w:val="00140967"/>
    <w:rsid w:val="00140C3E"/>
    <w:rsid w:val="00141824"/>
    <w:rsid w:val="00147406"/>
    <w:rsid w:val="00161370"/>
    <w:rsid w:val="00162F88"/>
    <w:rsid w:val="00165603"/>
    <w:rsid w:val="00167260"/>
    <w:rsid w:val="00184025"/>
    <w:rsid w:val="00195E01"/>
    <w:rsid w:val="001A3CA7"/>
    <w:rsid w:val="001A51B7"/>
    <w:rsid w:val="001B1669"/>
    <w:rsid w:val="001B4546"/>
    <w:rsid w:val="001B7D89"/>
    <w:rsid w:val="001C28E3"/>
    <w:rsid w:val="001C6C14"/>
    <w:rsid w:val="001C6ECB"/>
    <w:rsid w:val="001D02C7"/>
    <w:rsid w:val="001D7C47"/>
    <w:rsid w:val="001E42A6"/>
    <w:rsid w:val="001E53F3"/>
    <w:rsid w:val="001F170B"/>
    <w:rsid w:val="001F4637"/>
    <w:rsid w:val="001F6A9B"/>
    <w:rsid w:val="001F6C3F"/>
    <w:rsid w:val="001F7D4F"/>
    <w:rsid w:val="00201672"/>
    <w:rsid w:val="00217574"/>
    <w:rsid w:val="00231C15"/>
    <w:rsid w:val="002336F6"/>
    <w:rsid w:val="00236904"/>
    <w:rsid w:val="00241F8C"/>
    <w:rsid w:val="0024329F"/>
    <w:rsid w:val="0025037F"/>
    <w:rsid w:val="00253372"/>
    <w:rsid w:val="00254958"/>
    <w:rsid w:val="00256154"/>
    <w:rsid w:val="00257654"/>
    <w:rsid w:val="002578AF"/>
    <w:rsid w:val="00262FBF"/>
    <w:rsid w:val="00266CCF"/>
    <w:rsid w:val="00267CE6"/>
    <w:rsid w:val="002708AA"/>
    <w:rsid w:val="00271CF0"/>
    <w:rsid w:val="00276B38"/>
    <w:rsid w:val="00276F28"/>
    <w:rsid w:val="002A0CFB"/>
    <w:rsid w:val="002A3232"/>
    <w:rsid w:val="002C5798"/>
    <w:rsid w:val="002C620A"/>
    <w:rsid w:val="002C7460"/>
    <w:rsid w:val="002D066F"/>
    <w:rsid w:val="002D2DFD"/>
    <w:rsid w:val="002D52E7"/>
    <w:rsid w:val="002D5663"/>
    <w:rsid w:val="002E15A9"/>
    <w:rsid w:val="002E537A"/>
    <w:rsid w:val="002E5DC1"/>
    <w:rsid w:val="002F17B5"/>
    <w:rsid w:val="00306FBA"/>
    <w:rsid w:val="003104B1"/>
    <w:rsid w:val="00311073"/>
    <w:rsid w:val="00314AA6"/>
    <w:rsid w:val="003155C8"/>
    <w:rsid w:val="0031639F"/>
    <w:rsid w:val="0033269F"/>
    <w:rsid w:val="00337B22"/>
    <w:rsid w:val="00340009"/>
    <w:rsid w:val="0034362F"/>
    <w:rsid w:val="00351B0E"/>
    <w:rsid w:val="00357730"/>
    <w:rsid w:val="0036052B"/>
    <w:rsid w:val="00360CA7"/>
    <w:rsid w:val="0036642A"/>
    <w:rsid w:val="0036756C"/>
    <w:rsid w:val="00377A79"/>
    <w:rsid w:val="00386A5F"/>
    <w:rsid w:val="003935CD"/>
    <w:rsid w:val="003935EB"/>
    <w:rsid w:val="00393C33"/>
    <w:rsid w:val="0039430B"/>
    <w:rsid w:val="003975E2"/>
    <w:rsid w:val="003A150B"/>
    <w:rsid w:val="003A3204"/>
    <w:rsid w:val="003A4B8B"/>
    <w:rsid w:val="003A55D1"/>
    <w:rsid w:val="003A59FD"/>
    <w:rsid w:val="003A5F1B"/>
    <w:rsid w:val="003A7810"/>
    <w:rsid w:val="003C32D3"/>
    <w:rsid w:val="003D3264"/>
    <w:rsid w:val="003D4A89"/>
    <w:rsid w:val="003E43C3"/>
    <w:rsid w:val="003E7714"/>
    <w:rsid w:val="003F5835"/>
    <w:rsid w:val="003F6FBA"/>
    <w:rsid w:val="004046D4"/>
    <w:rsid w:val="00407030"/>
    <w:rsid w:val="00412566"/>
    <w:rsid w:val="0041731A"/>
    <w:rsid w:val="00421A84"/>
    <w:rsid w:val="004339D5"/>
    <w:rsid w:val="00440957"/>
    <w:rsid w:val="00441696"/>
    <w:rsid w:val="004436EA"/>
    <w:rsid w:val="00444127"/>
    <w:rsid w:val="0044686D"/>
    <w:rsid w:val="00447135"/>
    <w:rsid w:val="004508FD"/>
    <w:rsid w:val="00454F0D"/>
    <w:rsid w:val="00456134"/>
    <w:rsid w:val="00457724"/>
    <w:rsid w:val="004649AD"/>
    <w:rsid w:val="00465541"/>
    <w:rsid w:val="0046635B"/>
    <w:rsid w:val="00470271"/>
    <w:rsid w:val="00470FD1"/>
    <w:rsid w:val="0047222B"/>
    <w:rsid w:val="004770B9"/>
    <w:rsid w:val="00483AA9"/>
    <w:rsid w:val="00484C1F"/>
    <w:rsid w:val="00491225"/>
    <w:rsid w:val="004A2DA5"/>
    <w:rsid w:val="004B4BDC"/>
    <w:rsid w:val="004C0473"/>
    <w:rsid w:val="004C642E"/>
    <w:rsid w:val="004D57BB"/>
    <w:rsid w:val="004F1410"/>
    <w:rsid w:val="004F27F6"/>
    <w:rsid w:val="004F4FB7"/>
    <w:rsid w:val="004F67FF"/>
    <w:rsid w:val="005002FF"/>
    <w:rsid w:val="005060D7"/>
    <w:rsid w:val="0051100E"/>
    <w:rsid w:val="00523BAC"/>
    <w:rsid w:val="00523E03"/>
    <w:rsid w:val="00523E91"/>
    <w:rsid w:val="00532F0C"/>
    <w:rsid w:val="005549BC"/>
    <w:rsid w:val="0057424B"/>
    <w:rsid w:val="005834AB"/>
    <w:rsid w:val="005905CB"/>
    <w:rsid w:val="005A06DD"/>
    <w:rsid w:val="005A2B4D"/>
    <w:rsid w:val="005A2E58"/>
    <w:rsid w:val="005A52B5"/>
    <w:rsid w:val="005B0A1C"/>
    <w:rsid w:val="005B0D87"/>
    <w:rsid w:val="005B29C3"/>
    <w:rsid w:val="005B7E68"/>
    <w:rsid w:val="005C5B07"/>
    <w:rsid w:val="005D11A0"/>
    <w:rsid w:val="005D19CC"/>
    <w:rsid w:val="005D37D3"/>
    <w:rsid w:val="005E0115"/>
    <w:rsid w:val="005E7259"/>
    <w:rsid w:val="005F0D80"/>
    <w:rsid w:val="005F7BCD"/>
    <w:rsid w:val="00605231"/>
    <w:rsid w:val="00607CAF"/>
    <w:rsid w:val="00610E50"/>
    <w:rsid w:val="0061274F"/>
    <w:rsid w:val="0062155A"/>
    <w:rsid w:val="00623169"/>
    <w:rsid w:val="006249BC"/>
    <w:rsid w:val="00630064"/>
    <w:rsid w:val="00632FC1"/>
    <w:rsid w:val="0064089B"/>
    <w:rsid w:val="00645107"/>
    <w:rsid w:val="00645754"/>
    <w:rsid w:val="00646DD3"/>
    <w:rsid w:val="00656B28"/>
    <w:rsid w:val="0066077A"/>
    <w:rsid w:val="006626C6"/>
    <w:rsid w:val="00671D49"/>
    <w:rsid w:val="006760A3"/>
    <w:rsid w:val="00685ED1"/>
    <w:rsid w:val="00685FA1"/>
    <w:rsid w:val="00687AF9"/>
    <w:rsid w:val="00695254"/>
    <w:rsid w:val="006A2C27"/>
    <w:rsid w:val="006A5BC1"/>
    <w:rsid w:val="006B31D7"/>
    <w:rsid w:val="006B4A6F"/>
    <w:rsid w:val="006C7716"/>
    <w:rsid w:val="006D20B3"/>
    <w:rsid w:val="006D310D"/>
    <w:rsid w:val="006D33E0"/>
    <w:rsid w:val="006E169F"/>
    <w:rsid w:val="006E273F"/>
    <w:rsid w:val="006E2A67"/>
    <w:rsid w:val="006E6C9D"/>
    <w:rsid w:val="006F1E08"/>
    <w:rsid w:val="006F4036"/>
    <w:rsid w:val="006F6749"/>
    <w:rsid w:val="006F6866"/>
    <w:rsid w:val="006F7270"/>
    <w:rsid w:val="00701073"/>
    <w:rsid w:val="0070160D"/>
    <w:rsid w:val="007017D8"/>
    <w:rsid w:val="007032BC"/>
    <w:rsid w:val="007158AB"/>
    <w:rsid w:val="00717199"/>
    <w:rsid w:val="0072063D"/>
    <w:rsid w:val="0072155D"/>
    <w:rsid w:val="0073142B"/>
    <w:rsid w:val="00734573"/>
    <w:rsid w:val="00756969"/>
    <w:rsid w:val="00764150"/>
    <w:rsid w:val="007641F9"/>
    <w:rsid w:val="0076663B"/>
    <w:rsid w:val="00773369"/>
    <w:rsid w:val="00777C50"/>
    <w:rsid w:val="00781C2E"/>
    <w:rsid w:val="00791859"/>
    <w:rsid w:val="0079445A"/>
    <w:rsid w:val="007A081E"/>
    <w:rsid w:val="007A0EB4"/>
    <w:rsid w:val="007A5F77"/>
    <w:rsid w:val="007B11F7"/>
    <w:rsid w:val="007B2DFB"/>
    <w:rsid w:val="007B5513"/>
    <w:rsid w:val="007B73E7"/>
    <w:rsid w:val="007C053A"/>
    <w:rsid w:val="007C414E"/>
    <w:rsid w:val="007C5766"/>
    <w:rsid w:val="007C682E"/>
    <w:rsid w:val="007D0DE2"/>
    <w:rsid w:val="007D1FEE"/>
    <w:rsid w:val="007E13D8"/>
    <w:rsid w:val="007F0B92"/>
    <w:rsid w:val="007F1444"/>
    <w:rsid w:val="008006F5"/>
    <w:rsid w:val="00800ECE"/>
    <w:rsid w:val="008078E7"/>
    <w:rsid w:val="00807F7C"/>
    <w:rsid w:val="008156A0"/>
    <w:rsid w:val="008241B6"/>
    <w:rsid w:val="00835651"/>
    <w:rsid w:val="00845270"/>
    <w:rsid w:val="00846DE2"/>
    <w:rsid w:val="00851059"/>
    <w:rsid w:val="008554CC"/>
    <w:rsid w:val="008843CF"/>
    <w:rsid w:val="00884D55"/>
    <w:rsid w:val="00885FEA"/>
    <w:rsid w:val="00891B77"/>
    <w:rsid w:val="00893E4F"/>
    <w:rsid w:val="00897D28"/>
    <w:rsid w:val="008A2F92"/>
    <w:rsid w:val="008B4479"/>
    <w:rsid w:val="008B4660"/>
    <w:rsid w:val="008B6AFF"/>
    <w:rsid w:val="008C21F8"/>
    <w:rsid w:val="008C2DC1"/>
    <w:rsid w:val="008C7D43"/>
    <w:rsid w:val="008E3B13"/>
    <w:rsid w:val="008F3D8A"/>
    <w:rsid w:val="008F6CA9"/>
    <w:rsid w:val="008F783C"/>
    <w:rsid w:val="00905CF4"/>
    <w:rsid w:val="00912345"/>
    <w:rsid w:val="009223A3"/>
    <w:rsid w:val="00923FCE"/>
    <w:rsid w:val="009266AA"/>
    <w:rsid w:val="009272A7"/>
    <w:rsid w:val="00931711"/>
    <w:rsid w:val="009351B3"/>
    <w:rsid w:val="0094501E"/>
    <w:rsid w:val="00947EC4"/>
    <w:rsid w:val="0095178F"/>
    <w:rsid w:val="00951EB2"/>
    <w:rsid w:val="009548E1"/>
    <w:rsid w:val="00957976"/>
    <w:rsid w:val="00960751"/>
    <w:rsid w:val="0097315C"/>
    <w:rsid w:val="0099181A"/>
    <w:rsid w:val="009A1620"/>
    <w:rsid w:val="009A1A63"/>
    <w:rsid w:val="009A5157"/>
    <w:rsid w:val="009A761E"/>
    <w:rsid w:val="009C0E16"/>
    <w:rsid w:val="009C440F"/>
    <w:rsid w:val="009C5443"/>
    <w:rsid w:val="009C589A"/>
    <w:rsid w:val="009C65B6"/>
    <w:rsid w:val="009D3826"/>
    <w:rsid w:val="009D5CE7"/>
    <w:rsid w:val="009D6D32"/>
    <w:rsid w:val="009D7DB0"/>
    <w:rsid w:val="009E3865"/>
    <w:rsid w:val="009E62ED"/>
    <w:rsid w:val="009E79A3"/>
    <w:rsid w:val="009F09FE"/>
    <w:rsid w:val="009F2FE9"/>
    <w:rsid w:val="009F69B6"/>
    <w:rsid w:val="00A007CF"/>
    <w:rsid w:val="00A02A7E"/>
    <w:rsid w:val="00A02AB9"/>
    <w:rsid w:val="00A039B5"/>
    <w:rsid w:val="00A1555C"/>
    <w:rsid w:val="00A16241"/>
    <w:rsid w:val="00A163BB"/>
    <w:rsid w:val="00A163C1"/>
    <w:rsid w:val="00A22848"/>
    <w:rsid w:val="00A26855"/>
    <w:rsid w:val="00A32E28"/>
    <w:rsid w:val="00A36841"/>
    <w:rsid w:val="00A37E03"/>
    <w:rsid w:val="00A509C1"/>
    <w:rsid w:val="00A51E19"/>
    <w:rsid w:val="00A56494"/>
    <w:rsid w:val="00A65CDB"/>
    <w:rsid w:val="00A65E1F"/>
    <w:rsid w:val="00A709A8"/>
    <w:rsid w:val="00A718B1"/>
    <w:rsid w:val="00A72F41"/>
    <w:rsid w:val="00A760DB"/>
    <w:rsid w:val="00A8626F"/>
    <w:rsid w:val="00A87F03"/>
    <w:rsid w:val="00A9781C"/>
    <w:rsid w:val="00AA037E"/>
    <w:rsid w:val="00AA68FD"/>
    <w:rsid w:val="00AA7199"/>
    <w:rsid w:val="00AB0821"/>
    <w:rsid w:val="00AB4D92"/>
    <w:rsid w:val="00AB604D"/>
    <w:rsid w:val="00AC2BB9"/>
    <w:rsid w:val="00AD0BE3"/>
    <w:rsid w:val="00AD407E"/>
    <w:rsid w:val="00AE1855"/>
    <w:rsid w:val="00AE21E2"/>
    <w:rsid w:val="00AE3FEF"/>
    <w:rsid w:val="00AE4EBE"/>
    <w:rsid w:val="00AE59CE"/>
    <w:rsid w:val="00AF5707"/>
    <w:rsid w:val="00B0108B"/>
    <w:rsid w:val="00B115A1"/>
    <w:rsid w:val="00B1691D"/>
    <w:rsid w:val="00B210FF"/>
    <w:rsid w:val="00B2527D"/>
    <w:rsid w:val="00B2784D"/>
    <w:rsid w:val="00B27C53"/>
    <w:rsid w:val="00B3057C"/>
    <w:rsid w:val="00B309E9"/>
    <w:rsid w:val="00B30E3B"/>
    <w:rsid w:val="00B3501B"/>
    <w:rsid w:val="00B36513"/>
    <w:rsid w:val="00B40A63"/>
    <w:rsid w:val="00B460F5"/>
    <w:rsid w:val="00B46571"/>
    <w:rsid w:val="00B51A80"/>
    <w:rsid w:val="00B51C97"/>
    <w:rsid w:val="00B62E46"/>
    <w:rsid w:val="00B7695E"/>
    <w:rsid w:val="00B800B9"/>
    <w:rsid w:val="00B82CDF"/>
    <w:rsid w:val="00B91144"/>
    <w:rsid w:val="00B9142A"/>
    <w:rsid w:val="00B928A2"/>
    <w:rsid w:val="00B96213"/>
    <w:rsid w:val="00B9720C"/>
    <w:rsid w:val="00BA13F9"/>
    <w:rsid w:val="00BA5B8C"/>
    <w:rsid w:val="00BC1E09"/>
    <w:rsid w:val="00BC23DB"/>
    <w:rsid w:val="00BC3AF7"/>
    <w:rsid w:val="00BE1477"/>
    <w:rsid w:val="00BF1120"/>
    <w:rsid w:val="00BF4212"/>
    <w:rsid w:val="00BF464B"/>
    <w:rsid w:val="00C01A25"/>
    <w:rsid w:val="00C025F6"/>
    <w:rsid w:val="00C0436E"/>
    <w:rsid w:val="00C045E3"/>
    <w:rsid w:val="00C12254"/>
    <w:rsid w:val="00C17106"/>
    <w:rsid w:val="00C17CB5"/>
    <w:rsid w:val="00C20240"/>
    <w:rsid w:val="00C226DB"/>
    <w:rsid w:val="00C23186"/>
    <w:rsid w:val="00C2354D"/>
    <w:rsid w:val="00C24650"/>
    <w:rsid w:val="00C302C6"/>
    <w:rsid w:val="00C33462"/>
    <w:rsid w:val="00C43598"/>
    <w:rsid w:val="00C45BB2"/>
    <w:rsid w:val="00C50CC5"/>
    <w:rsid w:val="00C54B91"/>
    <w:rsid w:val="00C55854"/>
    <w:rsid w:val="00C57221"/>
    <w:rsid w:val="00C648C0"/>
    <w:rsid w:val="00C702C5"/>
    <w:rsid w:val="00C733D8"/>
    <w:rsid w:val="00C77091"/>
    <w:rsid w:val="00C80EFA"/>
    <w:rsid w:val="00C8226A"/>
    <w:rsid w:val="00C82BC8"/>
    <w:rsid w:val="00C830E6"/>
    <w:rsid w:val="00C84C35"/>
    <w:rsid w:val="00C908D4"/>
    <w:rsid w:val="00C90BDA"/>
    <w:rsid w:val="00CA44AF"/>
    <w:rsid w:val="00CA4B18"/>
    <w:rsid w:val="00CC4C5A"/>
    <w:rsid w:val="00CD6BBA"/>
    <w:rsid w:val="00CE18A1"/>
    <w:rsid w:val="00CE74CD"/>
    <w:rsid w:val="00D02353"/>
    <w:rsid w:val="00D03C23"/>
    <w:rsid w:val="00D16099"/>
    <w:rsid w:val="00D21AAD"/>
    <w:rsid w:val="00D2340E"/>
    <w:rsid w:val="00D2736B"/>
    <w:rsid w:val="00D3062B"/>
    <w:rsid w:val="00D31457"/>
    <w:rsid w:val="00D33F8A"/>
    <w:rsid w:val="00D353F4"/>
    <w:rsid w:val="00D420E3"/>
    <w:rsid w:val="00D533FC"/>
    <w:rsid w:val="00D54721"/>
    <w:rsid w:val="00D55D58"/>
    <w:rsid w:val="00D67307"/>
    <w:rsid w:val="00D67C6D"/>
    <w:rsid w:val="00D70397"/>
    <w:rsid w:val="00D707E9"/>
    <w:rsid w:val="00D70987"/>
    <w:rsid w:val="00D77179"/>
    <w:rsid w:val="00D7786A"/>
    <w:rsid w:val="00D83D54"/>
    <w:rsid w:val="00D85AA6"/>
    <w:rsid w:val="00DA04E1"/>
    <w:rsid w:val="00DA198A"/>
    <w:rsid w:val="00DA7DA6"/>
    <w:rsid w:val="00DB2BC6"/>
    <w:rsid w:val="00DB346C"/>
    <w:rsid w:val="00DC0779"/>
    <w:rsid w:val="00DC2C38"/>
    <w:rsid w:val="00DC788B"/>
    <w:rsid w:val="00DD1F72"/>
    <w:rsid w:val="00DD4365"/>
    <w:rsid w:val="00DD5B87"/>
    <w:rsid w:val="00DD7722"/>
    <w:rsid w:val="00DD784D"/>
    <w:rsid w:val="00DD7A65"/>
    <w:rsid w:val="00DE2FBE"/>
    <w:rsid w:val="00DE3410"/>
    <w:rsid w:val="00DE4E2F"/>
    <w:rsid w:val="00DE55F1"/>
    <w:rsid w:val="00DE75DB"/>
    <w:rsid w:val="00DF1521"/>
    <w:rsid w:val="00DF493B"/>
    <w:rsid w:val="00DF4E6B"/>
    <w:rsid w:val="00DF7C04"/>
    <w:rsid w:val="00E10311"/>
    <w:rsid w:val="00E13F6C"/>
    <w:rsid w:val="00E26CBC"/>
    <w:rsid w:val="00E26E56"/>
    <w:rsid w:val="00E278D3"/>
    <w:rsid w:val="00E304E5"/>
    <w:rsid w:val="00E30BE5"/>
    <w:rsid w:val="00E37F24"/>
    <w:rsid w:val="00E409DC"/>
    <w:rsid w:val="00E474ED"/>
    <w:rsid w:val="00E47CB7"/>
    <w:rsid w:val="00E51613"/>
    <w:rsid w:val="00E60794"/>
    <w:rsid w:val="00E652BD"/>
    <w:rsid w:val="00E6695C"/>
    <w:rsid w:val="00E71593"/>
    <w:rsid w:val="00E75D11"/>
    <w:rsid w:val="00E800B6"/>
    <w:rsid w:val="00E84A00"/>
    <w:rsid w:val="00E92AD4"/>
    <w:rsid w:val="00E95277"/>
    <w:rsid w:val="00EA0F29"/>
    <w:rsid w:val="00EA4112"/>
    <w:rsid w:val="00EA53F3"/>
    <w:rsid w:val="00EA5849"/>
    <w:rsid w:val="00EB7364"/>
    <w:rsid w:val="00EC03BF"/>
    <w:rsid w:val="00EC148D"/>
    <w:rsid w:val="00EC1910"/>
    <w:rsid w:val="00ED12D0"/>
    <w:rsid w:val="00EE6DE9"/>
    <w:rsid w:val="00EF003D"/>
    <w:rsid w:val="00EF09FA"/>
    <w:rsid w:val="00EF2C8C"/>
    <w:rsid w:val="00EF5C64"/>
    <w:rsid w:val="00F036D2"/>
    <w:rsid w:val="00F048E1"/>
    <w:rsid w:val="00F0562E"/>
    <w:rsid w:val="00F10326"/>
    <w:rsid w:val="00F1215C"/>
    <w:rsid w:val="00F20B35"/>
    <w:rsid w:val="00F21B7C"/>
    <w:rsid w:val="00F232F3"/>
    <w:rsid w:val="00F33F89"/>
    <w:rsid w:val="00F37718"/>
    <w:rsid w:val="00F40FD3"/>
    <w:rsid w:val="00F51759"/>
    <w:rsid w:val="00F66408"/>
    <w:rsid w:val="00F6742D"/>
    <w:rsid w:val="00F67CF9"/>
    <w:rsid w:val="00F70695"/>
    <w:rsid w:val="00F758A6"/>
    <w:rsid w:val="00F8270A"/>
    <w:rsid w:val="00F8544B"/>
    <w:rsid w:val="00FA0502"/>
    <w:rsid w:val="00FA35A8"/>
    <w:rsid w:val="00FA6650"/>
    <w:rsid w:val="00FB4062"/>
    <w:rsid w:val="00FB7DB0"/>
    <w:rsid w:val="00FC0344"/>
    <w:rsid w:val="00FC0C32"/>
    <w:rsid w:val="00FC4458"/>
    <w:rsid w:val="00FC4C97"/>
    <w:rsid w:val="00FE740D"/>
    <w:rsid w:val="00FF4D4F"/>
    <w:rsid w:val="07D1F9FF"/>
    <w:rsid w:val="1B4704F1"/>
    <w:rsid w:val="2DAFCAAF"/>
    <w:rsid w:val="4AB84121"/>
    <w:rsid w:val="6A98959D"/>
    <w:rsid w:val="7C975D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 Car1"/>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rsid w:val="004D57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2.xml><?xml version="1.0" encoding="utf-8"?>
<ds:datastoreItem xmlns:ds="http://schemas.openxmlformats.org/officeDocument/2006/customXml" ds:itemID="{8AD29DFA-BFDD-4ED6-9F34-BE9500C23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9F076F-E984-4F68-84F5-8EE20AFF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8144</Words>
  <Characters>44794</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44</cp:revision>
  <dcterms:created xsi:type="dcterms:W3CDTF">2021-08-06T21:58:00Z</dcterms:created>
  <dcterms:modified xsi:type="dcterms:W3CDTF">2022-01-22T15:39:00Z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