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4609239" w14:textId="77777777" w:rsidR="003C211E" w:rsidRPr="003C211E" w:rsidRDefault="003C211E" w:rsidP="003C211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88206132"/>
      <w:r w:rsidRPr="003C211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7D65BF7" w14:textId="77777777" w:rsidR="003C211E" w:rsidRPr="003C211E" w:rsidRDefault="003C211E" w:rsidP="003C211E">
      <w:pPr>
        <w:spacing w:after="0" w:line="240" w:lineRule="auto"/>
        <w:jc w:val="both"/>
        <w:rPr>
          <w:rFonts w:ascii="Arial" w:eastAsia="Times New Roman" w:hAnsi="Arial" w:cs="Arial"/>
          <w:sz w:val="20"/>
          <w:szCs w:val="20"/>
          <w:lang w:val="es-419" w:eastAsia="es-ES"/>
        </w:rPr>
      </w:pPr>
    </w:p>
    <w:p w14:paraId="0B605E87" w14:textId="2D0BD396" w:rsidR="003C211E" w:rsidRPr="003C211E" w:rsidRDefault="003C211E" w:rsidP="003C211E">
      <w:pPr>
        <w:spacing w:after="0" w:line="240" w:lineRule="auto"/>
        <w:jc w:val="both"/>
        <w:rPr>
          <w:rFonts w:ascii="Arial" w:eastAsia="Times New Roman" w:hAnsi="Arial" w:cs="Arial"/>
          <w:sz w:val="20"/>
          <w:szCs w:val="20"/>
          <w:lang w:val="es-419" w:eastAsia="es-ES"/>
        </w:rPr>
      </w:pPr>
      <w:r w:rsidRPr="003C211E">
        <w:rPr>
          <w:rFonts w:ascii="Arial" w:eastAsia="Times New Roman" w:hAnsi="Arial" w:cs="Arial"/>
          <w:sz w:val="20"/>
          <w:szCs w:val="20"/>
          <w:lang w:val="es-419" w:eastAsia="es-ES"/>
        </w:rPr>
        <w:t xml:space="preserve">Radicación No.: </w:t>
      </w:r>
      <w:r>
        <w:rPr>
          <w:rFonts w:ascii="Arial" w:eastAsia="Times New Roman" w:hAnsi="Arial" w:cs="Arial"/>
          <w:sz w:val="20"/>
          <w:szCs w:val="20"/>
          <w:lang w:val="es-419" w:eastAsia="es-ES"/>
        </w:rPr>
        <w:tab/>
      </w:r>
      <w:r w:rsidRPr="003C211E">
        <w:rPr>
          <w:rFonts w:ascii="Arial" w:eastAsia="Times New Roman" w:hAnsi="Arial" w:cs="Arial"/>
          <w:sz w:val="20"/>
          <w:szCs w:val="20"/>
          <w:lang w:val="es-419" w:eastAsia="es-ES"/>
        </w:rPr>
        <w:t>66001-31-05-004-2021-00036-01</w:t>
      </w:r>
    </w:p>
    <w:p w14:paraId="0B171A11" w14:textId="39C0F736" w:rsidR="003C211E" w:rsidRPr="003C211E" w:rsidRDefault="003C211E" w:rsidP="003C211E">
      <w:pPr>
        <w:spacing w:after="0" w:line="240" w:lineRule="auto"/>
        <w:jc w:val="both"/>
        <w:rPr>
          <w:rFonts w:ascii="Arial" w:eastAsia="Times New Roman" w:hAnsi="Arial" w:cs="Arial"/>
          <w:sz w:val="20"/>
          <w:szCs w:val="20"/>
          <w:lang w:val="es-419" w:eastAsia="es-ES"/>
        </w:rPr>
      </w:pPr>
      <w:r w:rsidRPr="003C211E">
        <w:rPr>
          <w:rFonts w:ascii="Arial" w:eastAsia="Times New Roman" w:hAnsi="Arial" w:cs="Arial"/>
          <w:sz w:val="20"/>
          <w:szCs w:val="20"/>
          <w:lang w:val="es-419" w:eastAsia="es-ES"/>
        </w:rPr>
        <w:t>Proceso:</w:t>
      </w:r>
      <w:r w:rsidRPr="003C211E">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3C211E">
        <w:rPr>
          <w:rFonts w:ascii="Arial" w:eastAsia="Times New Roman" w:hAnsi="Arial" w:cs="Arial"/>
          <w:sz w:val="20"/>
          <w:szCs w:val="20"/>
          <w:lang w:val="es-419" w:eastAsia="es-ES"/>
        </w:rPr>
        <w:t xml:space="preserve">Ordinario Laboral </w:t>
      </w:r>
    </w:p>
    <w:p w14:paraId="104FBA6C" w14:textId="3AD8A4AA" w:rsidR="003C211E" w:rsidRPr="003C211E" w:rsidRDefault="003C211E" w:rsidP="003C211E">
      <w:pPr>
        <w:spacing w:after="0" w:line="240" w:lineRule="auto"/>
        <w:jc w:val="both"/>
        <w:rPr>
          <w:rFonts w:ascii="Arial" w:eastAsia="Times New Roman" w:hAnsi="Arial" w:cs="Arial"/>
          <w:sz w:val="20"/>
          <w:szCs w:val="20"/>
          <w:lang w:val="es-419" w:eastAsia="es-ES"/>
        </w:rPr>
      </w:pPr>
      <w:r w:rsidRPr="003C211E">
        <w:rPr>
          <w:rFonts w:ascii="Arial" w:eastAsia="Times New Roman" w:hAnsi="Arial" w:cs="Arial"/>
          <w:sz w:val="20"/>
          <w:szCs w:val="20"/>
          <w:lang w:val="es-419" w:eastAsia="es-ES"/>
        </w:rPr>
        <w:t>Demandante:</w:t>
      </w:r>
      <w:r w:rsidRPr="003C211E">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3C211E">
        <w:rPr>
          <w:rFonts w:ascii="Arial" w:eastAsia="Times New Roman" w:hAnsi="Arial" w:cs="Arial"/>
          <w:sz w:val="20"/>
          <w:szCs w:val="20"/>
          <w:lang w:val="es-419" w:eastAsia="es-ES"/>
        </w:rPr>
        <w:t>Henry Álzate García</w:t>
      </w:r>
    </w:p>
    <w:p w14:paraId="5DAF7635" w14:textId="0C926CCD" w:rsidR="003C211E" w:rsidRPr="003C211E" w:rsidRDefault="003C211E" w:rsidP="003C211E">
      <w:pPr>
        <w:spacing w:after="0" w:line="240" w:lineRule="auto"/>
        <w:jc w:val="both"/>
        <w:rPr>
          <w:rFonts w:ascii="Arial" w:eastAsia="Times New Roman" w:hAnsi="Arial" w:cs="Arial"/>
          <w:sz w:val="20"/>
          <w:szCs w:val="20"/>
          <w:lang w:val="es-419" w:eastAsia="es-ES"/>
        </w:rPr>
      </w:pPr>
      <w:r w:rsidRPr="003C211E">
        <w:rPr>
          <w:rFonts w:ascii="Arial" w:eastAsia="Times New Roman" w:hAnsi="Arial" w:cs="Arial"/>
          <w:sz w:val="20"/>
          <w:szCs w:val="20"/>
          <w:lang w:val="es-419" w:eastAsia="es-ES"/>
        </w:rPr>
        <w:t>Demandados:</w:t>
      </w:r>
      <w:r w:rsidRPr="003C211E">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3C211E">
        <w:rPr>
          <w:rFonts w:ascii="Arial" w:eastAsia="Times New Roman" w:hAnsi="Arial" w:cs="Arial"/>
          <w:sz w:val="20"/>
          <w:szCs w:val="20"/>
          <w:lang w:val="es-419" w:eastAsia="es-ES"/>
        </w:rPr>
        <w:t>Colpensiones</w:t>
      </w:r>
    </w:p>
    <w:p w14:paraId="0592E29C" w14:textId="6864AED7" w:rsidR="003C211E" w:rsidRPr="003C211E" w:rsidRDefault="003C211E" w:rsidP="003C211E">
      <w:pPr>
        <w:spacing w:after="0" w:line="240" w:lineRule="auto"/>
        <w:jc w:val="both"/>
        <w:rPr>
          <w:rFonts w:ascii="Arial" w:eastAsia="Times New Roman" w:hAnsi="Arial" w:cs="Arial"/>
          <w:sz w:val="20"/>
          <w:szCs w:val="20"/>
          <w:lang w:val="es-419" w:eastAsia="es-ES"/>
        </w:rPr>
      </w:pPr>
      <w:r w:rsidRPr="003C211E">
        <w:rPr>
          <w:rFonts w:ascii="Arial" w:eastAsia="Times New Roman" w:hAnsi="Arial" w:cs="Arial"/>
          <w:sz w:val="20"/>
          <w:szCs w:val="20"/>
          <w:lang w:val="es-419" w:eastAsia="es-ES"/>
        </w:rPr>
        <w:t>Juzgado:</w:t>
      </w:r>
      <w:r w:rsidRPr="003C211E">
        <w:rPr>
          <w:rFonts w:ascii="Arial" w:eastAsia="Times New Roman" w:hAnsi="Arial" w:cs="Arial"/>
          <w:sz w:val="20"/>
          <w:szCs w:val="20"/>
          <w:lang w:val="es-419" w:eastAsia="es-ES"/>
        </w:rPr>
        <w:tab/>
        <w:t xml:space="preserve"> </w:t>
      </w:r>
      <w:r>
        <w:rPr>
          <w:rFonts w:ascii="Arial" w:eastAsia="Times New Roman" w:hAnsi="Arial" w:cs="Arial"/>
          <w:sz w:val="20"/>
          <w:szCs w:val="20"/>
          <w:lang w:val="es-419" w:eastAsia="es-ES"/>
        </w:rPr>
        <w:tab/>
      </w:r>
      <w:r w:rsidRPr="003C211E">
        <w:rPr>
          <w:rFonts w:ascii="Arial" w:eastAsia="Times New Roman" w:hAnsi="Arial" w:cs="Arial"/>
          <w:sz w:val="20"/>
          <w:szCs w:val="20"/>
          <w:lang w:val="es-419" w:eastAsia="es-ES"/>
        </w:rPr>
        <w:t>Cuarto Laboral del Circuito de Pereira</w:t>
      </w:r>
    </w:p>
    <w:p w14:paraId="6F0C1FE9" w14:textId="77777777" w:rsidR="003C211E" w:rsidRPr="003C211E" w:rsidRDefault="003C211E" w:rsidP="003C211E">
      <w:pPr>
        <w:spacing w:after="0" w:line="240" w:lineRule="auto"/>
        <w:jc w:val="both"/>
        <w:rPr>
          <w:rFonts w:ascii="Arial" w:eastAsia="Times New Roman" w:hAnsi="Arial" w:cs="Arial"/>
          <w:sz w:val="20"/>
          <w:szCs w:val="20"/>
          <w:lang w:val="es-419" w:eastAsia="es-ES"/>
        </w:rPr>
      </w:pPr>
    </w:p>
    <w:p w14:paraId="3F31120C" w14:textId="47EEB42A" w:rsidR="003C211E" w:rsidRPr="003C211E" w:rsidRDefault="003811D6" w:rsidP="003C211E">
      <w:pPr>
        <w:spacing w:after="0" w:line="240" w:lineRule="auto"/>
        <w:jc w:val="both"/>
        <w:rPr>
          <w:rFonts w:ascii="Arial" w:eastAsia="Times New Roman" w:hAnsi="Arial" w:cs="Arial"/>
          <w:b/>
          <w:bCs/>
          <w:iCs/>
          <w:sz w:val="20"/>
          <w:szCs w:val="20"/>
          <w:lang w:val="es-419" w:eastAsia="fr-FR"/>
        </w:rPr>
      </w:pPr>
      <w:r w:rsidRPr="003C211E">
        <w:rPr>
          <w:rFonts w:ascii="Arial" w:eastAsia="Times New Roman" w:hAnsi="Arial" w:cs="Arial"/>
          <w:b/>
          <w:bCs/>
          <w:iCs/>
          <w:sz w:val="20"/>
          <w:szCs w:val="20"/>
          <w:u w:val="single"/>
          <w:lang w:val="es-419" w:eastAsia="fr-FR"/>
        </w:rPr>
        <w:t>TEMAS:</w:t>
      </w:r>
      <w:r w:rsidRPr="003C211E">
        <w:rPr>
          <w:rFonts w:ascii="Arial" w:eastAsia="Times New Roman" w:hAnsi="Arial" w:cs="Arial"/>
          <w:b/>
          <w:bCs/>
          <w:iCs/>
          <w:sz w:val="20"/>
          <w:szCs w:val="20"/>
          <w:lang w:val="es-419" w:eastAsia="fr-FR"/>
        </w:rPr>
        <w:tab/>
      </w:r>
      <w:r w:rsidR="00AB71AA" w:rsidRPr="003C211E">
        <w:rPr>
          <w:rFonts w:ascii="Arial" w:eastAsia="Times New Roman" w:hAnsi="Arial" w:cs="Arial"/>
          <w:b/>
          <w:sz w:val="20"/>
          <w:szCs w:val="20"/>
          <w:lang w:val="es-419" w:eastAsia="es-ES"/>
        </w:rPr>
        <w:t xml:space="preserve">RETROACTIVO </w:t>
      </w:r>
      <w:r w:rsidR="00AB71AA">
        <w:rPr>
          <w:rFonts w:ascii="Arial" w:eastAsia="Times New Roman" w:hAnsi="Arial" w:cs="Arial"/>
          <w:b/>
          <w:sz w:val="20"/>
          <w:szCs w:val="20"/>
          <w:lang w:val="es-419" w:eastAsia="es-ES"/>
        </w:rPr>
        <w:t xml:space="preserve">/ </w:t>
      </w:r>
      <w:r>
        <w:rPr>
          <w:rFonts w:ascii="Arial" w:eastAsia="Times New Roman" w:hAnsi="Arial" w:cs="Arial"/>
          <w:b/>
          <w:bCs/>
          <w:iCs/>
          <w:sz w:val="20"/>
          <w:szCs w:val="20"/>
          <w:lang w:val="es-419" w:eastAsia="fr-FR"/>
        </w:rPr>
        <w:t xml:space="preserve">PENSIÓN DE VEJEZ / </w:t>
      </w:r>
      <w:r>
        <w:rPr>
          <w:rFonts w:ascii="Arial" w:eastAsia="Times New Roman" w:hAnsi="Arial" w:cs="Arial"/>
          <w:b/>
          <w:sz w:val="20"/>
          <w:szCs w:val="20"/>
          <w:lang w:val="es-419" w:eastAsia="es-ES"/>
        </w:rPr>
        <w:t>MORA PATRONAL / CARGA PROBATORIA DEL DEMANDANTE / DEMOSTRAR LA RELACIÓN LABORAL / DEBER DE LA ADMINISTRADORA DE PENSIONES / EFECTUAR EL</w:t>
      </w:r>
      <w:bookmarkStart w:id="2" w:name="_GoBack"/>
      <w:bookmarkEnd w:id="2"/>
      <w:r>
        <w:rPr>
          <w:rFonts w:ascii="Arial" w:eastAsia="Times New Roman" w:hAnsi="Arial" w:cs="Arial"/>
          <w:b/>
          <w:sz w:val="20"/>
          <w:szCs w:val="20"/>
          <w:lang w:val="es-419" w:eastAsia="es-ES"/>
        </w:rPr>
        <w:t xml:space="preserve"> COBRO COACTIVO.</w:t>
      </w:r>
    </w:p>
    <w:p w14:paraId="588E3F7C" w14:textId="77777777" w:rsidR="003C211E" w:rsidRPr="003C211E" w:rsidRDefault="003C211E" w:rsidP="003C211E">
      <w:pPr>
        <w:spacing w:after="0" w:line="240" w:lineRule="auto"/>
        <w:jc w:val="both"/>
        <w:rPr>
          <w:rFonts w:ascii="Arial" w:eastAsia="Times New Roman" w:hAnsi="Arial" w:cs="Arial"/>
          <w:sz w:val="20"/>
          <w:szCs w:val="20"/>
          <w:lang w:val="es-419" w:eastAsia="es-ES"/>
        </w:rPr>
      </w:pPr>
    </w:p>
    <w:p w14:paraId="70AB5980" w14:textId="1B294026" w:rsidR="005707B2" w:rsidRPr="005707B2" w:rsidRDefault="005707B2" w:rsidP="005707B2">
      <w:pPr>
        <w:spacing w:after="0" w:line="240" w:lineRule="auto"/>
        <w:jc w:val="both"/>
        <w:rPr>
          <w:rFonts w:ascii="Arial" w:eastAsia="Times New Roman" w:hAnsi="Arial" w:cs="Arial"/>
          <w:sz w:val="20"/>
          <w:szCs w:val="20"/>
          <w:lang w:val="es-419" w:eastAsia="es-ES"/>
        </w:rPr>
      </w:pPr>
      <w:r w:rsidRPr="005707B2">
        <w:rPr>
          <w:rFonts w:ascii="Arial" w:eastAsia="Times New Roman" w:hAnsi="Arial" w:cs="Arial"/>
          <w:sz w:val="20"/>
          <w:szCs w:val="20"/>
          <w:lang w:val="es-419" w:eastAsia="es-ES"/>
        </w:rPr>
        <w:t>Tal como se estableció en la sentencia SL 537 de 2019 el trabajador dependiente cumple con su deber de cotizar, realizando la labor para la que fue contratado, y es al empleador, posterior a la afiliación, a quien, de conformidad con lo señalado en el artículo 22 de la Ley 100 de 1993, le corresponde realizar el pago a la administradora.</w:t>
      </w:r>
    </w:p>
    <w:p w14:paraId="78957EE7" w14:textId="77777777" w:rsidR="005707B2" w:rsidRPr="005707B2" w:rsidRDefault="005707B2" w:rsidP="005707B2">
      <w:pPr>
        <w:spacing w:after="0" w:line="240" w:lineRule="auto"/>
        <w:jc w:val="both"/>
        <w:rPr>
          <w:rFonts w:ascii="Arial" w:eastAsia="Times New Roman" w:hAnsi="Arial" w:cs="Arial"/>
          <w:sz w:val="20"/>
          <w:szCs w:val="20"/>
          <w:lang w:val="es-419" w:eastAsia="es-ES"/>
        </w:rPr>
      </w:pPr>
    </w:p>
    <w:p w14:paraId="64264BD1" w14:textId="0F684F3B" w:rsidR="003C211E" w:rsidRPr="003C211E" w:rsidRDefault="005707B2" w:rsidP="005707B2">
      <w:pPr>
        <w:spacing w:after="0" w:line="240" w:lineRule="auto"/>
        <w:jc w:val="both"/>
        <w:rPr>
          <w:rFonts w:ascii="Arial" w:eastAsia="Times New Roman" w:hAnsi="Arial" w:cs="Arial"/>
          <w:sz w:val="20"/>
          <w:szCs w:val="20"/>
          <w:lang w:val="es-419" w:eastAsia="es-ES"/>
        </w:rPr>
      </w:pPr>
      <w:r w:rsidRPr="005707B2">
        <w:rPr>
          <w:rFonts w:ascii="Arial" w:eastAsia="Times New Roman" w:hAnsi="Arial" w:cs="Arial"/>
          <w:sz w:val="20"/>
          <w:szCs w:val="20"/>
          <w:lang w:val="es-419" w:eastAsia="es-ES"/>
        </w:rPr>
        <w:t>En este sentido, desde la sentencia SL 34270 de 2008 la Corte Suprema de Justicia varió su jurisprudencia respecto a los efectos de la mora del empleador en el pago de los aportes al Sistema de Seguridad Social en Pensiones, en síntesis la Corte sentó que ante el incumplimiento de la respectiva administradora, le corresponde a esta el pago de las prestaciones subrogadas a su cargo tanto a los afiliados como a los beneficiarios, para lo cual es menester verificar si la administradora cumplió con el deber especifico de cobro de conformidad con lo ordenado en el artículo 24 de la Ley 100 de 1993</w:t>
      </w:r>
      <w:r>
        <w:rPr>
          <w:rFonts w:ascii="Arial" w:eastAsia="Times New Roman" w:hAnsi="Arial" w:cs="Arial"/>
          <w:sz w:val="20"/>
          <w:szCs w:val="20"/>
          <w:lang w:val="es-419" w:eastAsia="es-ES"/>
        </w:rPr>
        <w:t>…</w:t>
      </w:r>
    </w:p>
    <w:p w14:paraId="2C376D9D" w14:textId="77777777" w:rsidR="003C211E" w:rsidRPr="003C211E" w:rsidRDefault="003C211E" w:rsidP="003C211E">
      <w:pPr>
        <w:spacing w:after="0" w:line="240" w:lineRule="auto"/>
        <w:jc w:val="both"/>
        <w:rPr>
          <w:rFonts w:ascii="Arial" w:eastAsia="Times New Roman" w:hAnsi="Arial" w:cs="Arial"/>
          <w:sz w:val="20"/>
          <w:szCs w:val="20"/>
          <w:lang w:val="es-419" w:eastAsia="es-ES"/>
        </w:rPr>
      </w:pPr>
    </w:p>
    <w:p w14:paraId="4A5D0538" w14:textId="484950A4" w:rsidR="00796141" w:rsidRPr="00796141" w:rsidRDefault="00796141" w:rsidP="0079614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96141">
        <w:rPr>
          <w:rFonts w:ascii="Arial" w:eastAsia="Times New Roman" w:hAnsi="Arial" w:cs="Arial"/>
          <w:sz w:val="20"/>
          <w:szCs w:val="20"/>
          <w:lang w:val="es-419" w:eastAsia="es-ES"/>
        </w:rPr>
        <w:t>cuando se alega la mora patronal,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 por ejemplo, por la interrupción de las cotizaciones por parte de un empleador sin que medie la novedad de retiro.</w:t>
      </w:r>
    </w:p>
    <w:p w14:paraId="6D9E1819" w14:textId="77777777" w:rsidR="00796141" w:rsidRPr="00796141" w:rsidRDefault="00796141" w:rsidP="00796141">
      <w:pPr>
        <w:spacing w:after="0" w:line="240" w:lineRule="auto"/>
        <w:jc w:val="both"/>
        <w:rPr>
          <w:rFonts w:ascii="Arial" w:eastAsia="Times New Roman" w:hAnsi="Arial" w:cs="Arial"/>
          <w:sz w:val="20"/>
          <w:szCs w:val="20"/>
          <w:lang w:val="es-419" w:eastAsia="es-ES"/>
        </w:rPr>
      </w:pPr>
    </w:p>
    <w:p w14:paraId="6574EDF5" w14:textId="04D06020" w:rsidR="003C211E" w:rsidRPr="003C211E" w:rsidRDefault="00796141" w:rsidP="00796141">
      <w:pPr>
        <w:spacing w:after="0" w:line="240" w:lineRule="auto"/>
        <w:jc w:val="both"/>
        <w:rPr>
          <w:rFonts w:ascii="Arial" w:eastAsia="Times New Roman" w:hAnsi="Arial" w:cs="Arial"/>
          <w:sz w:val="20"/>
          <w:szCs w:val="20"/>
          <w:lang w:val="es-419" w:eastAsia="es-ES"/>
        </w:rPr>
      </w:pPr>
      <w:r w:rsidRPr="00796141">
        <w:rPr>
          <w:rFonts w:ascii="Arial" w:eastAsia="Times New Roman" w:hAnsi="Arial" w:cs="Arial"/>
          <w:sz w:val="20"/>
          <w:szCs w:val="20"/>
          <w:lang w:val="es-419" w:eastAsia="es-ES"/>
        </w:rPr>
        <w:t>Más allá de esa prudente exigencia, la Sala de Casación Laboral de la Corte Suprema de Justicia ha considerado, que, si no hay gestión de cobro por parte de la entidad de seguridad social, no puede existir la declaratoria de «deuda incobrable» sobre las cotizaciones que se registran en mora, por lo que no cabrían los efectos del artículo 75 del Decreto 2665 de 1988, cuáles son los de tener por inexistentes esas cotizaciones.</w:t>
      </w:r>
      <w:r>
        <w:rPr>
          <w:rFonts w:ascii="Arial" w:eastAsia="Times New Roman" w:hAnsi="Arial" w:cs="Arial"/>
          <w:sz w:val="20"/>
          <w:szCs w:val="20"/>
          <w:lang w:val="es-419" w:eastAsia="es-ES"/>
        </w:rPr>
        <w:t xml:space="preserve"> (…)</w:t>
      </w:r>
    </w:p>
    <w:p w14:paraId="51D9CC9C" w14:textId="77777777" w:rsidR="003C211E" w:rsidRPr="003C211E" w:rsidRDefault="003C211E" w:rsidP="003C211E">
      <w:pPr>
        <w:spacing w:after="0" w:line="240" w:lineRule="auto"/>
        <w:jc w:val="both"/>
        <w:rPr>
          <w:rFonts w:ascii="Arial" w:eastAsia="Times New Roman" w:hAnsi="Arial" w:cs="Arial"/>
          <w:sz w:val="20"/>
          <w:szCs w:val="20"/>
          <w:lang w:val="es-419" w:eastAsia="es-ES"/>
        </w:rPr>
      </w:pPr>
    </w:p>
    <w:p w14:paraId="5220FD49" w14:textId="4D07762A" w:rsidR="00E07BD3" w:rsidRPr="00E07BD3" w:rsidRDefault="00B01670" w:rsidP="00E07BD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E07BD3" w:rsidRPr="00E07BD3">
        <w:rPr>
          <w:rFonts w:ascii="Arial" w:eastAsia="Times New Roman" w:hAnsi="Arial" w:cs="Arial"/>
          <w:sz w:val="20"/>
          <w:szCs w:val="20"/>
          <w:lang w:val="es-419" w:eastAsia="es-ES"/>
        </w:rPr>
        <w:t>no cabe duda del actuar negligente de la Administradora de pensiones para adelantar las acciones de cobro coactivo bajo su cargo en virtud del artículo 24 de la ley 100 de 1993, pues el inicio de tal proceso solo tuvo lugar en el año 2019 (recordemos que los ciclos presuntamente adeudados corresponden a periodos entre los años 1994 y 2002) sin que, al 13 de abril de 2020, calenda de la resolución del recurso de apelación, se hubiere definido la situación administrativa de los aportes registrados en mora.</w:t>
      </w:r>
    </w:p>
    <w:p w14:paraId="56A1BD79" w14:textId="77777777" w:rsidR="00E07BD3" w:rsidRPr="00E07BD3" w:rsidRDefault="00E07BD3" w:rsidP="00E07BD3">
      <w:pPr>
        <w:spacing w:after="0" w:line="240" w:lineRule="auto"/>
        <w:jc w:val="both"/>
        <w:rPr>
          <w:rFonts w:ascii="Arial" w:eastAsia="Times New Roman" w:hAnsi="Arial" w:cs="Arial"/>
          <w:sz w:val="20"/>
          <w:szCs w:val="20"/>
          <w:lang w:val="es-419" w:eastAsia="es-ES"/>
        </w:rPr>
      </w:pPr>
    </w:p>
    <w:p w14:paraId="1BE74CBD" w14:textId="1C9961C3" w:rsidR="003C211E" w:rsidRPr="003C211E" w:rsidRDefault="00E07BD3" w:rsidP="003C211E">
      <w:pPr>
        <w:spacing w:after="0" w:line="240" w:lineRule="auto"/>
        <w:jc w:val="both"/>
        <w:rPr>
          <w:rFonts w:ascii="Arial" w:eastAsia="Times New Roman" w:hAnsi="Arial" w:cs="Arial"/>
          <w:sz w:val="20"/>
          <w:szCs w:val="20"/>
          <w:lang w:val="es-ES" w:eastAsia="es-ES"/>
        </w:rPr>
      </w:pPr>
      <w:r w:rsidRPr="00E07BD3">
        <w:rPr>
          <w:rFonts w:ascii="Arial" w:eastAsia="Times New Roman" w:hAnsi="Arial" w:cs="Arial"/>
          <w:sz w:val="20"/>
          <w:szCs w:val="20"/>
          <w:lang w:val="es-419" w:eastAsia="es-ES"/>
        </w:rPr>
        <w:t>Empero, como se expuso en precedencia, contrario a lo establecido por la a-quo, de la historia laboral actualizada al 19 de abril de 2021, obrante en el expediente administrativo, es posible determinar que el trabajador prestó sus servicios de manera ininterrumpida para el empleador Rafael Morales Ortiz desde el 19 de enero de 1993 hasta el 31 de marzo de 2021</w:t>
      </w:r>
      <w:r w:rsidR="00B01670">
        <w:rPr>
          <w:rFonts w:ascii="Arial" w:eastAsia="Times New Roman" w:hAnsi="Arial" w:cs="Arial"/>
          <w:sz w:val="20"/>
          <w:szCs w:val="20"/>
          <w:lang w:val="es-419" w:eastAsia="es-ES"/>
        </w:rPr>
        <w:t>…</w:t>
      </w:r>
    </w:p>
    <w:p w14:paraId="1377AAE8" w14:textId="77777777" w:rsidR="003C211E" w:rsidRPr="003C211E" w:rsidRDefault="003C211E" w:rsidP="003C211E">
      <w:pPr>
        <w:spacing w:after="0" w:line="240" w:lineRule="auto"/>
        <w:jc w:val="both"/>
        <w:rPr>
          <w:rFonts w:ascii="Arial" w:eastAsia="Times New Roman" w:hAnsi="Arial" w:cs="Arial"/>
          <w:sz w:val="20"/>
          <w:szCs w:val="20"/>
          <w:lang w:val="es-ES" w:eastAsia="es-ES"/>
        </w:rPr>
      </w:pPr>
    </w:p>
    <w:p w14:paraId="70E43B41" w14:textId="77777777" w:rsidR="003C211E" w:rsidRPr="003C211E" w:rsidRDefault="003C211E" w:rsidP="003C211E">
      <w:pPr>
        <w:spacing w:after="0" w:line="240" w:lineRule="auto"/>
        <w:jc w:val="both"/>
        <w:rPr>
          <w:rFonts w:ascii="Arial" w:eastAsia="Times New Roman" w:hAnsi="Arial" w:cs="Arial"/>
          <w:sz w:val="20"/>
          <w:szCs w:val="20"/>
          <w:lang w:val="es-ES" w:eastAsia="es-ES"/>
        </w:rPr>
      </w:pPr>
    </w:p>
    <w:bookmarkEnd w:id="0"/>
    <w:p w14:paraId="7EC2168F" w14:textId="77777777" w:rsidR="003C211E" w:rsidRPr="003C211E" w:rsidRDefault="003C211E" w:rsidP="003C211E">
      <w:pPr>
        <w:spacing w:after="0" w:line="240" w:lineRule="auto"/>
        <w:jc w:val="both"/>
        <w:rPr>
          <w:rFonts w:ascii="Arial" w:eastAsia="Times New Roman" w:hAnsi="Arial" w:cs="Arial"/>
          <w:sz w:val="20"/>
          <w:szCs w:val="20"/>
          <w:lang w:val="es-ES" w:eastAsia="es-ES"/>
        </w:rPr>
      </w:pPr>
    </w:p>
    <w:bookmarkEnd w:id="1"/>
    <w:p w14:paraId="60ED5B32" w14:textId="45190FB7" w:rsidR="1B4704F1" w:rsidRPr="003C211E" w:rsidRDefault="1B4704F1" w:rsidP="003C211E">
      <w:pPr>
        <w:spacing w:after="0" w:line="276" w:lineRule="auto"/>
        <w:jc w:val="center"/>
        <w:rPr>
          <w:rFonts w:ascii="Tahoma" w:hAnsi="Tahoma" w:cs="Tahoma"/>
          <w:sz w:val="24"/>
          <w:szCs w:val="24"/>
        </w:rPr>
      </w:pPr>
      <w:r w:rsidRPr="003C211E">
        <w:rPr>
          <w:rFonts w:ascii="Tahoma" w:eastAsia="Tahoma" w:hAnsi="Tahoma" w:cs="Tahoma"/>
          <w:b/>
          <w:bCs/>
          <w:sz w:val="24"/>
          <w:szCs w:val="24"/>
          <w:lang w:val="es"/>
        </w:rPr>
        <w:t xml:space="preserve">TRIBUNAL SUPERIOR DEL DISTRITO JUDICIAL DE PEREIRA </w:t>
      </w:r>
    </w:p>
    <w:p w14:paraId="6A22D743" w14:textId="0EB1286B" w:rsidR="1B4704F1" w:rsidRPr="003C211E" w:rsidRDefault="1B4704F1" w:rsidP="003C211E">
      <w:pPr>
        <w:spacing w:after="0" w:line="276" w:lineRule="auto"/>
        <w:jc w:val="center"/>
        <w:rPr>
          <w:rFonts w:ascii="Tahoma" w:hAnsi="Tahoma" w:cs="Tahoma"/>
          <w:sz w:val="24"/>
          <w:szCs w:val="24"/>
        </w:rPr>
      </w:pPr>
      <w:r w:rsidRPr="003C211E">
        <w:rPr>
          <w:rFonts w:ascii="Tahoma" w:eastAsia="Tahoma" w:hAnsi="Tahoma" w:cs="Tahoma"/>
          <w:b/>
          <w:bCs/>
          <w:sz w:val="24"/>
          <w:szCs w:val="24"/>
          <w:lang w:val="es"/>
        </w:rPr>
        <w:t>SALA PRIMERA DE DECISION LABORAL</w:t>
      </w:r>
    </w:p>
    <w:p w14:paraId="5F77C68D" w14:textId="41619F3D" w:rsidR="00C24650" w:rsidRPr="003C211E" w:rsidRDefault="1B4704F1" w:rsidP="003C211E">
      <w:pPr>
        <w:spacing w:after="0" w:line="276" w:lineRule="auto"/>
        <w:jc w:val="center"/>
        <w:rPr>
          <w:rFonts w:ascii="Tahoma" w:hAnsi="Tahoma" w:cs="Tahoma"/>
          <w:sz w:val="24"/>
          <w:szCs w:val="24"/>
        </w:rPr>
      </w:pPr>
      <w:r w:rsidRPr="003C211E">
        <w:rPr>
          <w:rFonts w:ascii="Tahoma" w:eastAsia="Tahoma" w:hAnsi="Tahoma" w:cs="Tahoma"/>
          <w:b/>
          <w:bCs/>
          <w:sz w:val="24"/>
          <w:szCs w:val="24"/>
          <w:lang w:val="es"/>
        </w:rPr>
        <w:t xml:space="preserve"> </w:t>
      </w:r>
    </w:p>
    <w:p w14:paraId="5D75B964" w14:textId="32ADA514" w:rsidR="1B4704F1" w:rsidRPr="003C211E" w:rsidRDefault="1B4704F1" w:rsidP="003C211E">
      <w:pPr>
        <w:spacing w:after="0" w:line="276" w:lineRule="auto"/>
        <w:jc w:val="center"/>
        <w:rPr>
          <w:rFonts w:ascii="Tahoma" w:hAnsi="Tahoma" w:cs="Tahoma"/>
          <w:sz w:val="24"/>
          <w:szCs w:val="24"/>
        </w:rPr>
      </w:pPr>
      <w:r w:rsidRPr="003C211E">
        <w:rPr>
          <w:rFonts w:ascii="Tahoma" w:eastAsia="Tahoma" w:hAnsi="Tahoma" w:cs="Tahoma"/>
          <w:sz w:val="24"/>
          <w:szCs w:val="24"/>
          <w:lang w:val="es"/>
        </w:rPr>
        <w:t xml:space="preserve">Magistrada Ponente: </w:t>
      </w:r>
      <w:r w:rsidRPr="003C211E">
        <w:rPr>
          <w:rFonts w:ascii="Tahoma" w:eastAsia="Tahoma" w:hAnsi="Tahoma" w:cs="Tahoma"/>
          <w:b/>
          <w:bCs/>
          <w:sz w:val="24"/>
          <w:szCs w:val="24"/>
          <w:lang w:val="es"/>
        </w:rPr>
        <w:t>Ana Lucía Caicedo Calderón</w:t>
      </w:r>
    </w:p>
    <w:p w14:paraId="1DCDBD64" w14:textId="5926D18F" w:rsidR="00C24650" w:rsidRPr="003C211E" w:rsidRDefault="1B4704F1" w:rsidP="003C211E">
      <w:pPr>
        <w:spacing w:after="0" w:line="276" w:lineRule="auto"/>
        <w:jc w:val="center"/>
        <w:rPr>
          <w:rFonts w:ascii="Tahoma" w:hAnsi="Tahoma" w:cs="Tahoma"/>
          <w:sz w:val="24"/>
          <w:szCs w:val="24"/>
        </w:rPr>
      </w:pPr>
      <w:r w:rsidRPr="003C211E">
        <w:rPr>
          <w:rFonts w:ascii="Tahoma" w:eastAsia="Tahoma" w:hAnsi="Tahoma" w:cs="Tahoma"/>
          <w:b/>
          <w:bCs/>
          <w:sz w:val="24"/>
          <w:szCs w:val="24"/>
          <w:lang w:val="es"/>
        </w:rPr>
        <w:t xml:space="preserve"> </w:t>
      </w:r>
    </w:p>
    <w:p w14:paraId="51F1F3E1" w14:textId="77777777" w:rsidR="00525FD7" w:rsidRPr="003C211E" w:rsidRDefault="00525FD7" w:rsidP="003C211E">
      <w:pPr>
        <w:spacing w:after="0" w:line="276" w:lineRule="auto"/>
        <w:jc w:val="center"/>
        <w:rPr>
          <w:rFonts w:ascii="Tahoma" w:hAnsi="Tahoma" w:cs="Tahoma"/>
          <w:spacing w:val="2"/>
          <w:sz w:val="24"/>
          <w:szCs w:val="24"/>
        </w:rPr>
      </w:pPr>
      <w:r w:rsidRPr="003C211E">
        <w:rPr>
          <w:rFonts w:ascii="Tahoma" w:hAnsi="Tahoma" w:cs="Tahoma"/>
          <w:spacing w:val="2"/>
          <w:sz w:val="24"/>
          <w:szCs w:val="24"/>
        </w:rPr>
        <w:t>Pereira, Risaralda, primero (1º) de diciembre de dos mil veintiuno (2021)  </w:t>
      </w:r>
    </w:p>
    <w:p w14:paraId="4A25DAE6" w14:textId="77777777" w:rsidR="00525FD7" w:rsidRPr="003C211E" w:rsidRDefault="00525FD7" w:rsidP="003C211E">
      <w:pPr>
        <w:spacing w:after="0" w:line="276" w:lineRule="auto"/>
        <w:jc w:val="center"/>
        <w:rPr>
          <w:rFonts w:ascii="Tahoma" w:hAnsi="Tahoma" w:cs="Tahoma"/>
          <w:spacing w:val="2"/>
          <w:sz w:val="24"/>
          <w:szCs w:val="24"/>
        </w:rPr>
      </w:pPr>
      <w:r w:rsidRPr="003C211E">
        <w:rPr>
          <w:rFonts w:ascii="Tahoma" w:hAnsi="Tahoma" w:cs="Tahoma"/>
          <w:spacing w:val="2"/>
          <w:sz w:val="24"/>
          <w:szCs w:val="24"/>
        </w:rPr>
        <w:t>Acta No. 190 del 30 de noviembre de 2021</w:t>
      </w:r>
    </w:p>
    <w:p w14:paraId="0CD39A57" w14:textId="41423217" w:rsidR="1B4704F1" w:rsidRPr="003C211E" w:rsidRDefault="1B4704F1" w:rsidP="003C211E">
      <w:pPr>
        <w:spacing w:after="0" w:line="276" w:lineRule="auto"/>
        <w:jc w:val="center"/>
        <w:rPr>
          <w:rFonts w:ascii="Tahoma" w:hAnsi="Tahoma" w:cs="Tahoma"/>
          <w:sz w:val="24"/>
          <w:szCs w:val="24"/>
        </w:rPr>
      </w:pPr>
      <w:r w:rsidRPr="003C211E">
        <w:rPr>
          <w:rFonts w:ascii="Tahoma" w:eastAsia="Tahoma" w:hAnsi="Tahoma" w:cs="Tahoma"/>
          <w:sz w:val="24"/>
          <w:szCs w:val="24"/>
          <w:lang w:val="es"/>
        </w:rPr>
        <w:t xml:space="preserve"> </w:t>
      </w:r>
    </w:p>
    <w:p w14:paraId="12DD9787" w14:textId="2D9B8F89" w:rsidR="1B4704F1" w:rsidRPr="003C211E" w:rsidRDefault="1B4704F1" w:rsidP="003C211E">
      <w:pPr>
        <w:spacing w:after="0" w:line="276" w:lineRule="auto"/>
        <w:ind w:firstLine="708"/>
        <w:jc w:val="both"/>
        <w:rPr>
          <w:rFonts w:ascii="Tahoma" w:hAnsi="Tahoma" w:cs="Tahoma"/>
          <w:sz w:val="24"/>
          <w:szCs w:val="24"/>
        </w:rPr>
      </w:pPr>
      <w:r w:rsidRPr="003C211E">
        <w:rPr>
          <w:rFonts w:ascii="Tahoma" w:eastAsia="Tahoma" w:hAnsi="Tahoma" w:cs="Tahoma"/>
          <w:sz w:val="24"/>
          <w:szCs w:val="24"/>
          <w:lang w:val="es"/>
        </w:rPr>
        <w:t>Teniendo en cuenta que el artículo 15 del Decreto</w:t>
      </w:r>
      <w:r w:rsidR="000C729F" w:rsidRPr="003C211E">
        <w:rPr>
          <w:rFonts w:ascii="Tahoma" w:eastAsia="Tahoma" w:hAnsi="Tahoma" w:cs="Tahoma"/>
          <w:sz w:val="24"/>
          <w:szCs w:val="24"/>
          <w:lang w:val="es"/>
        </w:rPr>
        <w:t xml:space="preserve"> Presidencial</w:t>
      </w:r>
      <w:r w:rsidRPr="003C211E">
        <w:rPr>
          <w:rFonts w:ascii="Tahoma" w:eastAsia="Tahoma" w:hAnsi="Tahoma" w:cs="Tahoma"/>
          <w:sz w:val="24"/>
          <w:szCs w:val="24"/>
          <w:lang w:val="es"/>
        </w:rPr>
        <w:t xml:space="preserve"> No. 806 del 4 de junio de 2020, estableció</w:t>
      </w:r>
      <w:r w:rsidR="003A150B" w:rsidRPr="003C211E">
        <w:rPr>
          <w:rFonts w:ascii="Tahoma" w:eastAsia="Tahoma" w:hAnsi="Tahoma" w:cs="Tahoma"/>
          <w:sz w:val="24"/>
          <w:szCs w:val="24"/>
          <w:lang w:val="es"/>
        </w:rPr>
        <w:t>,</w:t>
      </w:r>
      <w:r w:rsidRPr="003C211E">
        <w:rPr>
          <w:rFonts w:ascii="Tahoma" w:eastAsia="Tahoma" w:hAnsi="Tahoma" w:cs="Tahoma"/>
          <w:sz w:val="24"/>
          <w:szCs w:val="24"/>
          <w:lang w:val="es"/>
        </w:rPr>
        <w:t xml:space="preserve"> que en la especialidad laboral se proferirán por escrito las providencias de segunda instancia</w:t>
      </w:r>
      <w:r w:rsidR="003A150B" w:rsidRPr="003C211E">
        <w:rPr>
          <w:rFonts w:ascii="Tahoma" w:eastAsia="Tahoma" w:hAnsi="Tahoma" w:cs="Tahoma"/>
          <w:sz w:val="24"/>
          <w:szCs w:val="24"/>
          <w:lang w:val="es"/>
        </w:rPr>
        <w:t>,</w:t>
      </w:r>
      <w:r w:rsidRPr="003C211E">
        <w:rPr>
          <w:rFonts w:ascii="Tahoma" w:eastAsia="Tahoma" w:hAnsi="Tahoma" w:cs="Tahoma"/>
          <w:sz w:val="24"/>
          <w:szCs w:val="24"/>
          <w:lang w:val="es"/>
        </w:rPr>
        <w:t xml:space="preserve"> en las que se surta el grado jurisdiccional de </w:t>
      </w:r>
      <w:r w:rsidRPr="003C211E">
        <w:rPr>
          <w:rFonts w:ascii="Tahoma" w:eastAsia="Tahoma" w:hAnsi="Tahoma" w:cs="Tahoma"/>
          <w:sz w:val="24"/>
          <w:szCs w:val="24"/>
          <w:lang w:val="es"/>
        </w:rPr>
        <w:lastRenderedPageBreak/>
        <w:t xml:space="preserve">consulta o se resuelva el recurso de apelación de autos o sentencias, la Sala de Decisión Laboral No. 1 del Tribunal Superior de Pereira, integrada por las Magistradas ANA LUCÍA CAICEDO CALDERÓN como Ponente, OLGA LUCÍA HOYOS SEPÚLVEDA y el Magistrado GERMÁN DARIO GOEZ VINASCO, procede a proferir la siguiente sentencia escrita dentro del proceso </w:t>
      </w:r>
      <w:r w:rsidRPr="002C568D">
        <w:rPr>
          <w:rFonts w:ascii="Tahoma" w:eastAsia="Tahoma" w:hAnsi="Tahoma" w:cs="Tahoma"/>
          <w:b/>
          <w:sz w:val="24"/>
          <w:szCs w:val="24"/>
          <w:lang w:val="es"/>
        </w:rPr>
        <w:t>ordinario laboral</w:t>
      </w:r>
      <w:r w:rsidRPr="003C211E">
        <w:rPr>
          <w:rFonts w:ascii="Tahoma" w:eastAsia="Tahoma" w:hAnsi="Tahoma" w:cs="Tahoma"/>
          <w:sz w:val="24"/>
          <w:szCs w:val="24"/>
          <w:lang w:val="es"/>
        </w:rPr>
        <w:t xml:space="preserve"> instaurado por </w:t>
      </w:r>
      <w:r w:rsidR="000C729F" w:rsidRPr="003C211E">
        <w:rPr>
          <w:rFonts w:ascii="Tahoma" w:eastAsia="Tahoma" w:hAnsi="Tahoma" w:cs="Tahoma"/>
          <w:b/>
          <w:sz w:val="24"/>
          <w:szCs w:val="24"/>
          <w:lang w:val="es"/>
        </w:rPr>
        <w:t xml:space="preserve">Henry Álzate García </w:t>
      </w:r>
      <w:r w:rsidRPr="003C211E">
        <w:rPr>
          <w:rFonts w:ascii="Tahoma" w:eastAsia="Tahoma" w:hAnsi="Tahoma" w:cs="Tahoma"/>
          <w:sz w:val="24"/>
          <w:szCs w:val="24"/>
          <w:lang w:val="es"/>
        </w:rPr>
        <w:t xml:space="preserve">en contra de la </w:t>
      </w:r>
      <w:r w:rsidRPr="003C211E">
        <w:rPr>
          <w:rFonts w:ascii="Tahoma" w:eastAsia="Tahoma" w:hAnsi="Tahoma" w:cs="Tahoma"/>
          <w:b/>
          <w:bCs/>
          <w:sz w:val="24"/>
          <w:szCs w:val="24"/>
          <w:lang w:val="es"/>
        </w:rPr>
        <w:t>Administradora Colombiana de Pensiones – Colpensiones</w:t>
      </w:r>
      <w:r w:rsidR="000C729F" w:rsidRPr="003C211E">
        <w:rPr>
          <w:rFonts w:ascii="Tahoma" w:eastAsia="Tahoma" w:hAnsi="Tahoma" w:cs="Tahoma"/>
          <w:b/>
          <w:bCs/>
          <w:sz w:val="24"/>
          <w:szCs w:val="24"/>
          <w:lang w:val="es"/>
        </w:rPr>
        <w:t>.</w:t>
      </w:r>
    </w:p>
    <w:p w14:paraId="64F07B95" w14:textId="46983D69" w:rsidR="1B4704F1" w:rsidRPr="003C211E" w:rsidRDefault="1B4704F1" w:rsidP="003C211E">
      <w:pPr>
        <w:spacing w:after="0" w:line="276" w:lineRule="auto"/>
        <w:jc w:val="both"/>
        <w:rPr>
          <w:rFonts w:ascii="Tahoma" w:eastAsia="Tahoma" w:hAnsi="Tahoma" w:cs="Tahoma"/>
          <w:b/>
          <w:bCs/>
          <w:sz w:val="24"/>
          <w:szCs w:val="24"/>
          <w:lang w:val="es"/>
        </w:rPr>
      </w:pPr>
      <w:r w:rsidRPr="003C211E">
        <w:rPr>
          <w:rFonts w:ascii="Tahoma" w:eastAsia="Tahoma" w:hAnsi="Tahoma" w:cs="Tahoma"/>
          <w:b/>
          <w:bCs/>
          <w:sz w:val="24"/>
          <w:szCs w:val="24"/>
          <w:lang w:val="es"/>
        </w:rPr>
        <w:t xml:space="preserve"> </w:t>
      </w:r>
    </w:p>
    <w:p w14:paraId="2518ADF7" w14:textId="67B27BF2" w:rsidR="1B4704F1" w:rsidRPr="003C211E" w:rsidRDefault="1B4704F1" w:rsidP="003C211E">
      <w:pPr>
        <w:spacing w:after="0" w:line="276" w:lineRule="auto"/>
        <w:jc w:val="center"/>
        <w:rPr>
          <w:rFonts w:ascii="Tahoma" w:hAnsi="Tahoma" w:cs="Tahoma"/>
          <w:sz w:val="24"/>
          <w:szCs w:val="24"/>
        </w:rPr>
      </w:pPr>
      <w:r w:rsidRPr="003C211E">
        <w:rPr>
          <w:rFonts w:ascii="Tahoma" w:eastAsia="Tahoma" w:hAnsi="Tahoma" w:cs="Tahoma"/>
          <w:b/>
          <w:bCs/>
          <w:sz w:val="24"/>
          <w:szCs w:val="24"/>
          <w:lang w:val="es"/>
        </w:rPr>
        <w:t>PUNTO A TRATAR</w:t>
      </w:r>
    </w:p>
    <w:p w14:paraId="54D77176" w14:textId="1E433777" w:rsidR="1B4704F1" w:rsidRPr="003C211E" w:rsidRDefault="1B4704F1" w:rsidP="003C211E">
      <w:pPr>
        <w:spacing w:after="0" w:line="276" w:lineRule="auto"/>
        <w:jc w:val="center"/>
        <w:rPr>
          <w:rFonts w:ascii="Tahoma" w:hAnsi="Tahoma" w:cs="Tahoma"/>
          <w:sz w:val="24"/>
          <w:szCs w:val="24"/>
        </w:rPr>
      </w:pPr>
      <w:r w:rsidRPr="003C211E">
        <w:rPr>
          <w:rFonts w:ascii="Tahoma" w:eastAsia="Tahoma" w:hAnsi="Tahoma" w:cs="Tahoma"/>
          <w:b/>
          <w:bCs/>
          <w:sz w:val="24"/>
          <w:szCs w:val="24"/>
          <w:lang w:val="es"/>
        </w:rPr>
        <w:t xml:space="preserve"> </w:t>
      </w:r>
    </w:p>
    <w:p w14:paraId="2CEC0698" w14:textId="51992C3C" w:rsidR="1B4704F1" w:rsidRPr="003C211E" w:rsidRDefault="1B4704F1" w:rsidP="003C211E">
      <w:pPr>
        <w:spacing w:after="0" w:line="276" w:lineRule="auto"/>
        <w:ind w:firstLine="708"/>
        <w:jc w:val="both"/>
        <w:rPr>
          <w:rFonts w:ascii="Tahoma" w:hAnsi="Tahoma" w:cs="Tahoma"/>
          <w:sz w:val="24"/>
          <w:szCs w:val="24"/>
        </w:rPr>
      </w:pPr>
      <w:r w:rsidRPr="003C211E">
        <w:rPr>
          <w:rFonts w:ascii="Tahoma" w:eastAsia="Tahoma" w:hAnsi="Tahoma" w:cs="Tahoma"/>
          <w:sz w:val="24"/>
          <w:szCs w:val="24"/>
          <w:lang w:val="es"/>
        </w:rPr>
        <w:t xml:space="preserve">Por medio de esta providencia, procede la Sala a resolver </w:t>
      </w:r>
      <w:r w:rsidR="001A7A04" w:rsidRPr="003C211E">
        <w:rPr>
          <w:rFonts w:ascii="Tahoma" w:eastAsia="Tahoma" w:hAnsi="Tahoma" w:cs="Tahoma"/>
          <w:sz w:val="24"/>
          <w:szCs w:val="24"/>
          <w:lang w:val="es"/>
        </w:rPr>
        <w:t>e</w:t>
      </w:r>
      <w:r w:rsidRPr="003C211E">
        <w:rPr>
          <w:rFonts w:ascii="Tahoma" w:eastAsia="Tahoma" w:hAnsi="Tahoma" w:cs="Tahoma"/>
          <w:sz w:val="24"/>
          <w:szCs w:val="24"/>
          <w:lang w:val="es"/>
        </w:rPr>
        <w:t>l recurso</w:t>
      </w:r>
      <w:r w:rsidR="001A7A04" w:rsidRPr="003C211E">
        <w:rPr>
          <w:rFonts w:ascii="Tahoma" w:eastAsia="Tahoma" w:hAnsi="Tahoma" w:cs="Tahoma"/>
          <w:sz w:val="24"/>
          <w:szCs w:val="24"/>
          <w:lang w:val="es"/>
        </w:rPr>
        <w:t xml:space="preserve"> </w:t>
      </w:r>
      <w:r w:rsidRPr="003C211E">
        <w:rPr>
          <w:rFonts w:ascii="Tahoma" w:eastAsia="Tahoma" w:hAnsi="Tahoma" w:cs="Tahoma"/>
          <w:sz w:val="24"/>
          <w:szCs w:val="24"/>
          <w:lang w:val="es"/>
        </w:rPr>
        <w:t>de apelación interpuesto por la</w:t>
      </w:r>
      <w:r w:rsidR="001A7A04" w:rsidRPr="003C211E">
        <w:rPr>
          <w:rFonts w:ascii="Tahoma" w:eastAsia="Tahoma" w:hAnsi="Tahoma" w:cs="Tahoma"/>
          <w:sz w:val="24"/>
          <w:szCs w:val="24"/>
          <w:lang w:val="es"/>
        </w:rPr>
        <w:t xml:space="preserve"> parte demandante </w:t>
      </w:r>
      <w:r w:rsidRPr="003C211E">
        <w:rPr>
          <w:rFonts w:ascii="Tahoma" w:eastAsia="Tahoma" w:hAnsi="Tahoma" w:cs="Tahoma"/>
          <w:sz w:val="24"/>
          <w:szCs w:val="24"/>
          <w:lang w:val="es"/>
        </w:rPr>
        <w:t xml:space="preserve">en contra de la sentencia proferida el </w:t>
      </w:r>
      <w:r w:rsidR="005A51B7" w:rsidRPr="003C211E">
        <w:rPr>
          <w:rFonts w:ascii="Tahoma" w:eastAsia="Tahoma" w:hAnsi="Tahoma" w:cs="Tahoma"/>
          <w:sz w:val="24"/>
          <w:szCs w:val="24"/>
          <w:lang w:val="es"/>
        </w:rPr>
        <w:t>15</w:t>
      </w:r>
      <w:r w:rsidR="007B2DFB" w:rsidRPr="003C211E">
        <w:rPr>
          <w:rFonts w:ascii="Tahoma" w:eastAsia="Tahoma" w:hAnsi="Tahoma" w:cs="Tahoma"/>
          <w:sz w:val="24"/>
          <w:szCs w:val="24"/>
          <w:lang w:val="es"/>
        </w:rPr>
        <w:t xml:space="preserve"> de </w:t>
      </w:r>
      <w:r w:rsidR="00A02AB9" w:rsidRPr="003C211E">
        <w:rPr>
          <w:rFonts w:ascii="Tahoma" w:eastAsia="Tahoma" w:hAnsi="Tahoma" w:cs="Tahoma"/>
          <w:sz w:val="24"/>
          <w:szCs w:val="24"/>
          <w:lang w:val="es"/>
        </w:rPr>
        <w:t>junio</w:t>
      </w:r>
      <w:r w:rsidR="007B2DFB" w:rsidRPr="003C211E">
        <w:rPr>
          <w:rFonts w:ascii="Tahoma" w:eastAsia="Tahoma" w:hAnsi="Tahoma" w:cs="Tahoma"/>
          <w:sz w:val="24"/>
          <w:szCs w:val="24"/>
          <w:lang w:val="es"/>
        </w:rPr>
        <w:t xml:space="preserve"> de 2021</w:t>
      </w:r>
      <w:r w:rsidR="007B2DFB" w:rsidRPr="003C211E">
        <w:rPr>
          <w:rFonts w:ascii="Tahoma" w:eastAsia="Tahoma" w:hAnsi="Tahoma" w:cs="Tahoma"/>
          <w:b/>
          <w:bCs/>
          <w:sz w:val="24"/>
          <w:szCs w:val="24"/>
          <w:lang w:val="es"/>
        </w:rPr>
        <w:t xml:space="preserve"> </w:t>
      </w:r>
      <w:r w:rsidRPr="003C211E">
        <w:rPr>
          <w:rFonts w:ascii="Tahoma" w:eastAsia="Tahoma" w:hAnsi="Tahoma" w:cs="Tahoma"/>
          <w:sz w:val="24"/>
          <w:szCs w:val="24"/>
          <w:lang w:val="es"/>
        </w:rPr>
        <w:t xml:space="preserve">por el Juzgado </w:t>
      </w:r>
      <w:r w:rsidR="008C2DC1" w:rsidRPr="003C211E">
        <w:rPr>
          <w:rFonts w:ascii="Tahoma" w:eastAsia="Tahoma" w:hAnsi="Tahoma" w:cs="Tahoma"/>
          <w:sz w:val="24"/>
          <w:szCs w:val="24"/>
          <w:lang w:val="es"/>
        </w:rPr>
        <w:t>Quinto</w:t>
      </w:r>
      <w:r w:rsidRPr="003C211E">
        <w:rPr>
          <w:rFonts w:ascii="Tahoma" w:eastAsia="Tahoma" w:hAnsi="Tahoma" w:cs="Tahoma"/>
          <w:sz w:val="24"/>
          <w:szCs w:val="24"/>
          <w:lang w:val="es"/>
        </w:rPr>
        <w:t xml:space="preserve"> Laboral del Circuito de Pereira</w:t>
      </w:r>
      <w:r w:rsidR="005A51B7" w:rsidRPr="003C211E">
        <w:rPr>
          <w:rFonts w:ascii="Tahoma" w:eastAsia="Tahoma" w:hAnsi="Tahoma" w:cs="Tahoma"/>
          <w:sz w:val="24"/>
          <w:szCs w:val="24"/>
          <w:lang w:val="es"/>
        </w:rPr>
        <w:t>; a</w:t>
      </w:r>
      <w:r w:rsidRPr="003C211E">
        <w:rPr>
          <w:rFonts w:ascii="Tahoma" w:eastAsia="Tahoma" w:hAnsi="Tahoma" w:cs="Tahoma"/>
          <w:sz w:val="24"/>
          <w:szCs w:val="24"/>
          <w:lang w:val="es"/>
        </w:rPr>
        <w:t xml:space="preserve">simismo, se revisará </w:t>
      </w:r>
      <w:r w:rsidR="00DD5B87" w:rsidRPr="003C211E">
        <w:rPr>
          <w:rFonts w:ascii="Tahoma" w:eastAsia="Tahoma" w:hAnsi="Tahoma" w:cs="Tahoma"/>
          <w:sz w:val="24"/>
          <w:szCs w:val="24"/>
          <w:lang w:val="es"/>
        </w:rPr>
        <w:t xml:space="preserve">el fallo </w:t>
      </w:r>
      <w:r w:rsidRPr="003C211E">
        <w:rPr>
          <w:rFonts w:ascii="Tahoma" w:eastAsia="Tahoma" w:hAnsi="Tahoma" w:cs="Tahoma"/>
          <w:sz w:val="24"/>
          <w:szCs w:val="24"/>
          <w:lang w:val="es"/>
        </w:rPr>
        <w:t>de manera íntegra</w:t>
      </w:r>
      <w:r w:rsidR="002C7460" w:rsidRPr="003C211E">
        <w:rPr>
          <w:rFonts w:ascii="Tahoma" w:eastAsia="Tahoma" w:hAnsi="Tahoma" w:cs="Tahoma"/>
          <w:sz w:val="24"/>
          <w:szCs w:val="24"/>
          <w:lang w:val="es"/>
        </w:rPr>
        <w:t xml:space="preserve"> </w:t>
      </w:r>
      <w:r w:rsidRPr="003C211E">
        <w:rPr>
          <w:rFonts w:ascii="Tahoma" w:eastAsia="Tahoma" w:hAnsi="Tahoma" w:cs="Tahoma"/>
          <w:sz w:val="24"/>
          <w:szCs w:val="24"/>
          <w:lang w:val="es"/>
        </w:rPr>
        <w:t>en virtud del grado jurisdiccional de consulta, al haber sido advers</w:t>
      </w:r>
      <w:r w:rsidR="00DD5B87" w:rsidRPr="003C211E">
        <w:rPr>
          <w:rFonts w:ascii="Tahoma" w:eastAsia="Tahoma" w:hAnsi="Tahoma" w:cs="Tahoma"/>
          <w:sz w:val="24"/>
          <w:szCs w:val="24"/>
          <w:lang w:val="es"/>
        </w:rPr>
        <w:t>o</w:t>
      </w:r>
      <w:r w:rsidRPr="003C211E">
        <w:rPr>
          <w:rFonts w:ascii="Tahoma" w:eastAsia="Tahoma" w:hAnsi="Tahoma" w:cs="Tahoma"/>
          <w:sz w:val="24"/>
          <w:szCs w:val="24"/>
          <w:lang w:val="es"/>
        </w:rPr>
        <w:t xml:space="preserve"> a los intereses de Colpensiones. Para ello se tiene en cuenta lo siguiente:</w:t>
      </w:r>
    </w:p>
    <w:p w14:paraId="0E461AE0" w14:textId="4B79D411" w:rsidR="0080631B" w:rsidRPr="003C211E" w:rsidRDefault="1B4704F1" w:rsidP="003C211E">
      <w:pPr>
        <w:spacing w:after="0" w:line="276" w:lineRule="auto"/>
        <w:jc w:val="both"/>
        <w:rPr>
          <w:rFonts w:ascii="Tahoma" w:hAnsi="Tahoma" w:cs="Tahoma"/>
          <w:sz w:val="24"/>
          <w:szCs w:val="24"/>
        </w:rPr>
      </w:pPr>
      <w:r w:rsidRPr="003C211E">
        <w:rPr>
          <w:rFonts w:ascii="Tahoma" w:eastAsia="Tahoma" w:hAnsi="Tahoma" w:cs="Tahoma"/>
          <w:sz w:val="24"/>
          <w:szCs w:val="24"/>
          <w:lang w:val="es"/>
        </w:rPr>
        <w:t xml:space="preserve"> </w:t>
      </w:r>
    </w:p>
    <w:p w14:paraId="34D1BCA3" w14:textId="6DCF9A70" w:rsidR="1B4704F1" w:rsidRPr="003C211E" w:rsidRDefault="00846DE2" w:rsidP="003C211E">
      <w:pPr>
        <w:pStyle w:val="Prrafodelista"/>
        <w:numPr>
          <w:ilvl w:val="0"/>
          <w:numId w:val="3"/>
        </w:numPr>
        <w:spacing w:line="276" w:lineRule="auto"/>
        <w:jc w:val="center"/>
        <w:rPr>
          <w:rFonts w:eastAsiaTheme="minorEastAsia"/>
          <w:b/>
          <w:bCs/>
          <w:sz w:val="24"/>
          <w:szCs w:val="24"/>
        </w:rPr>
      </w:pPr>
      <w:r w:rsidRPr="003C211E">
        <w:rPr>
          <w:b/>
          <w:bCs/>
          <w:sz w:val="24"/>
          <w:szCs w:val="24"/>
          <w:lang w:val="es"/>
        </w:rPr>
        <w:t xml:space="preserve">La </w:t>
      </w:r>
      <w:r w:rsidR="1B4704F1" w:rsidRPr="003C211E">
        <w:rPr>
          <w:b/>
          <w:bCs/>
          <w:sz w:val="24"/>
          <w:szCs w:val="24"/>
          <w:lang w:val="es"/>
        </w:rPr>
        <w:t xml:space="preserve">Demanda y </w:t>
      </w:r>
      <w:r w:rsidR="0080631B" w:rsidRPr="003C211E">
        <w:rPr>
          <w:b/>
          <w:bCs/>
          <w:sz w:val="24"/>
          <w:szCs w:val="24"/>
          <w:lang w:val="es"/>
        </w:rPr>
        <w:t xml:space="preserve">su </w:t>
      </w:r>
      <w:r w:rsidR="1B4704F1" w:rsidRPr="003C211E">
        <w:rPr>
          <w:b/>
          <w:bCs/>
          <w:sz w:val="24"/>
          <w:szCs w:val="24"/>
          <w:lang w:val="es"/>
        </w:rPr>
        <w:t>contestación</w:t>
      </w:r>
    </w:p>
    <w:p w14:paraId="29E270E4" w14:textId="33C83C09" w:rsidR="1B4704F1" w:rsidRPr="003C211E" w:rsidRDefault="1B4704F1" w:rsidP="003C211E">
      <w:pPr>
        <w:spacing w:after="0" w:line="276" w:lineRule="auto"/>
        <w:jc w:val="both"/>
        <w:rPr>
          <w:rFonts w:ascii="Tahoma" w:eastAsia="Tahoma" w:hAnsi="Tahoma" w:cs="Tahoma"/>
          <w:sz w:val="24"/>
          <w:szCs w:val="24"/>
          <w:lang w:val="es"/>
        </w:rPr>
      </w:pPr>
      <w:r w:rsidRPr="003C211E">
        <w:rPr>
          <w:rFonts w:ascii="Tahoma" w:eastAsia="Tahoma" w:hAnsi="Tahoma" w:cs="Tahoma"/>
          <w:sz w:val="24"/>
          <w:szCs w:val="24"/>
          <w:lang w:val="es"/>
        </w:rPr>
        <w:t xml:space="preserve"> </w:t>
      </w:r>
    </w:p>
    <w:p w14:paraId="4C515B34" w14:textId="7ED0BFE1" w:rsidR="00C548AE" w:rsidRPr="003C211E" w:rsidRDefault="00C548AE" w:rsidP="003C211E">
      <w:pPr>
        <w:spacing w:after="0" w:line="276" w:lineRule="auto"/>
        <w:ind w:firstLine="708"/>
        <w:jc w:val="both"/>
        <w:rPr>
          <w:rFonts w:ascii="Tahoma" w:eastAsia="Tahoma" w:hAnsi="Tahoma" w:cs="Tahoma"/>
          <w:sz w:val="24"/>
          <w:szCs w:val="24"/>
        </w:rPr>
      </w:pPr>
      <w:r w:rsidRPr="003C211E">
        <w:rPr>
          <w:rFonts w:ascii="Tahoma" w:eastAsia="Tahoma" w:hAnsi="Tahoma" w:cs="Tahoma"/>
          <w:sz w:val="24"/>
          <w:szCs w:val="24"/>
        </w:rPr>
        <w:t>Pretende el citado demandante que se declare que tiene derecho a la pensión de vejez desde el 19 de marzo de 2019, data en que alcanzó los requisitos dispuestos en el ordenamiento legal y, en consecuencia, se condene a Colpensiones al pago del retroactivo pensional causado desde el 19 de marzo de 2019, debidamente indexado, junto con las agencias en derecho, costas procesales y lo que resulte probado bajo las facultades ultra y extra petita.</w:t>
      </w:r>
    </w:p>
    <w:p w14:paraId="23B405DB" w14:textId="77777777" w:rsidR="00C548AE" w:rsidRPr="003C211E" w:rsidRDefault="00C548AE" w:rsidP="003C211E">
      <w:pPr>
        <w:spacing w:after="0" w:line="276" w:lineRule="auto"/>
        <w:jc w:val="both"/>
        <w:rPr>
          <w:rFonts w:ascii="Tahoma" w:hAnsi="Tahoma" w:cs="Tahoma"/>
          <w:sz w:val="24"/>
          <w:szCs w:val="24"/>
        </w:rPr>
      </w:pPr>
    </w:p>
    <w:p w14:paraId="1D5C1862" w14:textId="4D45AD3B" w:rsidR="000A093F" w:rsidRPr="003C211E" w:rsidRDefault="00C548AE" w:rsidP="003C211E">
      <w:pPr>
        <w:spacing w:after="0" w:line="276" w:lineRule="auto"/>
        <w:ind w:firstLine="708"/>
        <w:jc w:val="both"/>
        <w:rPr>
          <w:rFonts w:ascii="Tahoma" w:eastAsia="Tahoma" w:hAnsi="Tahoma" w:cs="Tahoma"/>
          <w:sz w:val="24"/>
          <w:szCs w:val="24"/>
        </w:rPr>
      </w:pPr>
      <w:r w:rsidRPr="003C211E">
        <w:rPr>
          <w:rFonts w:ascii="Tahoma" w:eastAsia="Tahoma" w:hAnsi="Tahoma" w:cs="Tahoma"/>
          <w:sz w:val="24"/>
          <w:szCs w:val="24"/>
        </w:rPr>
        <w:t xml:space="preserve">Para así pedir, </w:t>
      </w:r>
      <w:r w:rsidR="000A093F" w:rsidRPr="003C211E">
        <w:rPr>
          <w:rFonts w:ascii="Tahoma" w:eastAsia="Tahoma" w:hAnsi="Tahoma" w:cs="Tahoma"/>
          <w:sz w:val="24"/>
          <w:szCs w:val="24"/>
        </w:rPr>
        <w:t xml:space="preserve">afirma </w:t>
      </w:r>
      <w:r w:rsidRPr="003C211E">
        <w:rPr>
          <w:rFonts w:ascii="Tahoma" w:eastAsia="Tahoma" w:hAnsi="Tahoma" w:cs="Tahoma"/>
          <w:sz w:val="24"/>
          <w:szCs w:val="24"/>
        </w:rPr>
        <w:t>que</w:t>
      </w:r>
      <w:r w:rsidR="000A093F" w:rsidRPr="003C211E">
        <w:rPr>
          <w:rFonts w:ascii="Tahoma" w:eastAsia="Tahoma" w:hAnsi="Tahoma" w:cs="Tahoma"/>
          <w:sz w:val="24"/>
          <w:szCs w:val="24"/>
        </w:rPr>
        <w:t xml:space="preserve"> nació el 18 de marzo de 1957</w:t>
      </w:r>
      <w:r w:rsidR="00A805A0" w:rsidRPr="003C211E">
        <w:rPr>
          <w:rFonts w:ascii="Tahoma" w:eastAsia="Tahoma" w:hAnsi="Tahoma" w:cs="Tahoma"/>
          <w:sz w:val="24"/>
          <w:szCs w:val="24"/>
        </w:rPr>
        <w:t xml:space="preserve"> y se encuentra afiliado al Régimen de Prima Media desde el 9 de junio de 1984</w:t>
      </w:r>
      <w:r w:rsidRPr="003C211E">
        <w:rPr>
          <w:rFonts w:ascii="Tahoma" w:eastAsia="Tahoma" w:hAnsi="Tahoma" w:cs="Tahoma"/>
          <w:sz w:val="24"/>
          <w:szCs w:val="24"/>
        </w:rPr>
        <w:t>. Agrega</w:t>
      </w:r>
      <w:r w:rsidR="00A805A0" w:rsidRPr="003C211E">
        <w:rPr>
          <w:rFonts w:ascii="Tahoma" w:eastAsia="Tahoma" w:hAnsi="Tahoma" w:cs="Tahoma"/>
          <w:sz w:val="24"/>
          <w:szCs w:val="24"/>
        </w:rPr>
        <w:t xml:space="preserve"> que desde el año 1992 labor</w:t>
      </w:r>
      <w:r w:rsidR="00181FB9" w:rsidRPr="003C211E">
        <w:rPr>
          <w:rFonts w:ascii="Tahoma" w:eastAsia="Tahoma" w:hAnsi="Tahoma" w:cs="Tahoma"/>
          <w:sz w:val="24"/>
          <w:szCs w:val="24"/>
        </w:rPr>
        <w:t>a</w:t>
      </w:r>
      <w:r w:rsidR="00A805A0" w:rsidRPr="003C211E">
        <w:rPr>
          <w:rFonts w:ascii="Tahoma" w:eastAsia="Tahoma" w:hAnsi="Tahoma" w:cs="Tahoma"/>
          <w:sz w:val="24"/>
          <w:szCs w:val="24"/>
        </w:rPr>
        <w:t xml:space="preserve"> para el señor Rafael Morales Ortiz, sin embargo</w:t>
      </w:r>
      <w:r w:rsidRPr="003C211E">
        <w:rPr>
          <w:rFonts w:ascii="Tahoma" w:eastAsia="Tahoma" w:hAnsi="Tahoma" w:cs="Tahoma"/>
          <w:sz w:val="24"/>
          <w:szCs w:val="24"/>
        </w:rPr>
        <w:t>,</w:t>
      </w:r>
      <w:r w:rsidR="00A805A0" w:rsidRPr="003C211E">
        <w:rPr>
          <w:rFonts w:ascii="Tahoma" w:eastAsia="Tahoma" w:hAnsi="Tahoma" w:cs="Tahoma"/>
          <w:sz w:val="24"/>
          <w:szCs w:val="24"/>
        </w:rPr>
        <w:t xml:space="preserve"> este último solo lo afilió al Sistema General de Seguridad Social en Pensiones en el año 1993, </w:t>
      </w:r>
      <w:r w:rsidRPr="003C211E">
        <w:rPr>
          <w:rFonts w:ascii="Tahoma" w:eastAsia="Tahoma" w:hAnsi="Tahoma" w:cs="Tahoma"/>
          <w:sz w:val="24"/>
          <w:szCs w:val="24"/>
        </w:rPr>
        <w:t>omitiendo además el pago</w:t>
      </w:r>
      <w:r w:rsidR="00A805A0" w:rsidRPr="003C211E">
        <w:rPr>
          <w:rFonts w:ascii="Tahoma" w:eastAsia="Tahoma" w:hAnsi="Tahoma" w:cs="Tahoma"/>
          <w:sz w:val="24"/>
          <w:szCs w:val="24"/>
        </w:rPr>
        <w:t xml:space="preserve"> los periodos correspondientes a diciembre de 1994, enero de 1995, abril de 1998, agosto a diciembre de 1998, enero a octubre de 1999, diciembre de 1999, </w:t>
      </w:r>
      <w:r w:rsidR="00432991" w:rsidRPr="003C211E">
        <w:rPr>
          <w:rFonts w:ascii="Tahoma" w:eastAsia="Tahoma" w:hAnsi="Tahoma" w:cs="Tahoma"/>
          <w:sz w:val="24"/>
          <w:szCs w:val="24"/>
        </w:rPr>
        <w:t>enero a diciembre de los años 2000 y 2001, enero 2002, marzo a septiembre de 2002 y febrero de 2004, para un total de 4 años y 4 meses</w:t>
      </w:r>
      <w:r w:rsidRPr="003C211E">
        <w:rPr>
          <w:rFonts w:ascii="Tahoma" w:eastAsia="Tahoma" w:hAnsi="Tahoma" w:cs="Tahoma"/>
          <w:sz w:val="24"/>
          <w:szCs w:val="24"/>
        </w:rPr>
        <w:t>;</w:t>
      </w:r>
      <w:r w:rsidR="005E4DAC" w:rsidRPr="003C211E">
        <w:rPr>
          <w:rFonts w:ascii="Tahoma" w:eastAsia="Tahoma" w:hAnsi="Tahoma" w:cs="Tahoma"/>
          <w:sz w:val="24"/>
          <w:szCs w:val="24"/>
        </w:rPr>
        <w:t xml:space="preserve"> </w:t>
      </w:r>
      <w:r w:rsidR="3A2456E9" w:rsidRPr="003C211E">
        <w:rPr>
          <w:rFonts w:ascii="Tahoma" w:eastAsia="Tahoma" w:hAnsi="Tahoma" w:cs="Tahoma"/>
          <w:sz w:val="24"/>
          <w:szCs w:val="24"/>
        </w:rPr>
        <w:t>por ello, sólo</w:t>
      </w:r>
      <w:r w:rsidR="005E4DAC" w:rsidRPr="003C211E">
        <w:rPr>
          <w:rFonts w:ascii="Tahoma" w:eastAsia="Tahoma" w:hAnsi="Tahoma" w:cs="Tahoma"/>
          <w:sz w:val="24"/>
          <w:szCs w:val="24"/>
        </w:rPr>
        <w:t xml:space="preserve"> cuenta con 1248 semanas en la historia laboral</w:t>
      </w:r>
      <w:r w:rsidR="00697BAE" w:rsidRPr="003C211E">
        <w:rPr>
          <w:rFonts w:ascii="Tahoma" w:eastAsia="Tahoma" w:hAnsi="Tahoma" w:cs="Tahoma"/>
          <w:sz w:val="24"/>
          <w:szCs w:val="24"/>
        </w:rPr>
        <w:t>, pese a que debería tener 1.509 semanas, suficientes para acceder al derecho pensional.</w:t>
      </w:r>
    </w:p>
    <w:p w14:paraId="0EE4AFEA" w14:textId="763D4A38" w:rsidR="00432991" w:rsidRPr="003C211E" w:rsidRDefault="00432991" w:rsidP="003C211E">
      <w:pPr>
        <w:spacing w:after="0" w:line="276" w:lineRule="auto"/>
        <w:ind w:firstLine="708"/>
        <w:jc w:val="both"/>
        <w:rPr>
          <w:rFonts w:ascii="Tahoma" w:eastAsia="Tahoma" w:hAnsi="Tahoma" w:cs="Tahoma"/>
          <w:sz w:val="24"/>
          <w:szCs w:val="24"/>
        </w:rPr>
      </w:pPr>
    </w:p>
    <w:p w14:paraId="73B733A2" w14:textId="348345A1" w:rsidR="0028119C" w:rsidRPr="003C211E" w:rsidRDefault="00C548AE" w:rsidP="003C211E">
      <w:pPr>
        <w:spacing w:after="0" w:line="276" w:lineRule="auto"/>
        <w:ind w:firstLine="708"/>
        <w:jc w:val="both"/>
        <w:rPr>
          <w:rFonts w:ascii="Tahoma" w:eastAsia="Tahoma" w:hAnsi="Tahoma" w:cs="Tahoma"/>
          <w:sz w:val="24"/>
          <w:szCs w:val="24"/>
        </w:rPr>
      </w:pPr>
      <w:r w:rsidRPr="003C211E">
        <w:rPr>
          <w:rFonts w:ascii="Tahoma" w:eastAsia="Tahoma" w:hAnsi="Tahoma" w:cs="Tahoma"/>
          <w:sz w:val="24"/>
          <w:szCs w:val="24"/>
        </w:rPr>
        <w:t xml:space="preserve">Sostiene </w:t>
      </w:r>
      <w:r w:rsidR="00432991" w:rsidRPr="003C211E">
        <w:rPr>
          <w:rFonts w:ascii="Tahoma" w:eastAsia="Tahoma" w:hAnsi="Tahoma" w:cs="Tahoma"/>
          <w:sz w:val="24"/>
          <w:szCs w:val="24"/>
        </w:rPr>
        <w:t>que el 6 de diciembre de 2019 elev</w:t>
      </w:r>
      <w:r w:rsidR="0028119C" w:rsidRPr="003C211E">
        <w:rPr>
          <w:rFonts w:ascii="Tahoma" w:eastAsia="Tahoma" w:hAnsi="Tahoma" w:cs="Tahoma"/>
          <w:sz w:val="24"/>
          <w:szCs w:val="24"/>
        </w:rPr>
        <w:t>ó</w:t>
      </w:r>
      <w:r w:rsidR="00432991" w:rsidRPr="003C211E">
        <w:rPr>
          <w:rFonts w:ascii="Tahoma" w:eastAsia="Tahoma" w:hAnsi="Tahoma" w:cs="Tahoma"/>
          <w:sz w:val="24"/>
          <w:szCs w:val="24"/>
        </w:rPr>
        <w:t xml:space="preserve"> solicitud a Colpensiones </w:t>
      </w:r>
      <w:r w:rsidRPr="003C211E">
        <w:rPr>
          <w:rFonts w:ascii="Tahoma" w:eastAsia="Tahoma" w:hAnsi="Tahoma" w:cs="Tahoma"/>
          <w:sz w:val="24"/>
          <w:szCs w:val="24"/>
        </w:rPr>
        <w:t xml:space="preserve"> requiriendo </w:t>
      </w:r>
      <w:r w:rsidR="0028119C" w:rsidRPr="003C211E">
        <w:rPr>
          <w:rFonts w:ascii="Tahoma" w:eastAsia="Tahoma" w:hAnsi="Tahoma" w:cs="Tahoma"/>
          <w:sz w:val="24"/>
          <w:szCs w:val="24"/>
        </w:rPr>
        <w:t>el cobro de los periodos referidos</w:t>
      </w:r>
      <w:r w:rsidRPr="003C211E">
        <w:rPr>
          <w:rFonts w:ascii="Tahoma" w:eastAsia="Tahoma" w:hAnsi="Tahoma" w:cs="Tahoma"/>
          <w:sz w:val="24"/>
          <w:szCs w:val="24"/>
        </w:rPr>
        <w:t xml:space="preserve">, adjuntando </w:t>
      </w:r>
      <w:r w:rsidR="0028119C" w:rsidRPr="003C211E">
        <w:rPr>
          <w:rFonts w:ascii="Tahoma" w:eastAsia="Tahoma" w:hAnsi="Tahoma" w:cs="Tahoma"/>
          <w:sz w:val="24"/>
          <w:szCs w:val="24"/>
        </w:rPr>
        <w:t>para el efecto oficio  que daba cuenta de un supuesto cobro coactivo en contra del empleador</w:t>
      </w:r>
      <w:r w:rsidR="00CA143C" w:rsidRPr="003C211E">
        <w:rPr>
          <w:rFonts w:ascii="Tahoma" w:eastAsia="Tahoma" w:hAnsi="Tahoma" w:cs="Tahoma"/>
          <w:sz w:val="24"/>
          <w:szCs w:val="24"/>
        </w:rPr>
        <w:t>, raz</w:t>
      </w:r>
      <w:r w:rsidR="00181FB9" w:rsidRPr="003C211E">
        <w:rPr>
          <w:rFonts w:ascii="Tahoma" w:eastAsia="Tahoma" w:hAnsi="Tahoma" w:cs="Tahoma"/>
          <w:sz w:val="24"/>
          <w:szCs w:val="24"/>
        </w:rPr>
        <w:t>ón por la cual, el 20 del mismo mes y año procedió a solicitar el reconocimiento y pago de la pensión de vejez</w:t>
      </w:r>
      <w:r w:rsidRPr="003C211E">
        <w:rPr>
          <w:rFonts w:ascii="Tahoma" w:eastAsia="Tahoma" w:hAnsi="Tahoma" w:cs="Tahoma"/>
          <w:sz w:val="24"/>
          <w:szCs w:val="24"/>
        </w:rPr>
        <w:t>, misma que fue negada</w:t>
      </w:r>
      <w:r w:rsidR="005E4DAC" w:rsidRPr="003C211E">
        <w:rPr>
          <w:rFonts w:ascii="Tahoma" w:eastAsia="Tahoma" w:hAnsi="Tahoma" w:cs="Tahoma"/>
          <w:sz w:val="24"/>
          <w:szCs w:val="24"/>
        </w:rPr>
        <w:t xml:space="preserve"> </w:t>
      </w:r>
      <w:r w:rsidR="00181FB9" w:rsidRPr="003C211E">
        <w:rPr>
          <w:rFonts w:ascii="Tahoma" w:eastAsia="Tahoma" w:hAnsi="Tahoma" w:cs="Tahoma"/>
          <w:sz w:val="24"/>
          <w:szCs w:val="24"/>
        </w:rPr>
        <w:t>a través de las resoluciones SUB 5559 del 13 de enero de 2020</w:t>
      </w:r>
      <w:r w:rsidR="005E4DAC" w:rsidRPr="003C211E">
        <w:rPr>
          <w:rFonts w:ascii="Tahoma" w:eastAsia="Tahoma" w:hAnsi="Tahoma" w:cs="Tahoma"/>
          <w:sz w:val="24"/>
          <w:szCs w:val="24"/>
        </w:rPr>
        <w:t xml:space="preserve">, </w:t>
      </w:r>
      <w:r w:rsidR="00181FB9" w:rsidRPr="003C211E">
        <w:rPr>
          <w:rFonts w:ascii="Tahoma" w:eastAsia="Tahoma" w:hAnsi="Tahoma" w:cs="Tahoma"/>
          <w:sz w:val="24"/>
          <w:szCs w:val="24"/>
        </w:rPr>
        <w:t>SUB 62187 del 3 de marzo de 2020</w:t>
      </w:r>
      <w:r w:rsidR="005E4DAC" w:rsidRPr="003C211E">
        <w:rPr>
          <w:rFonts w:ascii="Tahoma" w:eastAsia="Tahoma" w:hAnsi="Tahoma" w:cs="Tahoma"/>
          <w:sz w:val="24"/>
          <w:szCs w:val="24"/>
        </w:rPr>
        <w:t xml:space="preserve"> y DPE5506 del 13 de abril de 2020,</w:t>
      </w:r>
      <w:r w:rsidR="00181FB9" w:rsidRPr="003C211E">
        <w:rPr>
          <w:rFonts w:ascii="Tahoma" w:eastAsia="Tahoma" w:hAnsi="Tahoma" w:cs="Tahoma"/>
          <w:sz w:val="24"/>
          <w:szCs w:val="24"/>
        </w:rPr>
        <w:t xml:space="preserve"> </w:t>
      </w:r>
      <w:r w:rsidR="005E4DAC" w:rsidRPr="003C211E">
        <w:rPr>
          <w:rFonts w:ascii="Tahoma" w:eastAsia="Tahoma" w:hAnsi="Tahoma" w:cs="Tahoma"/>
          <w:sz w:val="24"/>
          <w:szCs w:val="24"/>
        </w:rPr>
        <w:t xml:space="preserve">última donde la demandada argumentó que el proceso de cobro se encontraba en etapa de cobro persuasivo conforme a lo dispuesto en la Resolución 2082 de 2016.  </w:t>
      </w:r>
    </w:p>
    <w:p w14:paraId="514CA12D" w14:textId="03D01C62" w:rsidR="00697BAE" w:rsidRPr="003C211E" w:rsidRDefault="00697BAE" w:rsidP="003C211E">
      <w:pPr>
        <w:spacing w:after="0" w:line="276" w:lineRule="auto"/>
        <w:ind w:firstLine="708"/>
        <w:jc w:val="both"/>
        <w:rPr>
          <w:rFonts w:ascii="Tahoma" w:eastAsia="Tahoma" w:hAnsi="Tahoma" w:cs="Tahoma"/>
          <w:sz w:val="24"/>
          <w:szCs w:val="24"/>
        </w:rPr>
      </w:pPr>
    </w:p>
    <w:p w14:paraId="61DD97B1" w14:textId="3E4CF88B" w:rsidR="00697BAE" w:rsidRPr="003C211E" w:rsidRDefault="00697BAE" w:rsidP="003C211E">
      <w:pPr>
        <w:spacing w:after="0" w:line="276" w:lineRule="auto"/>
        <w:ind w:firstLine="708"/>
        <w:jc w:val="both"/>
        <w:rPr>
          <w:rFonts w:ascii="Tahoma" w:eastAsia="Tahoma" w:hAnsi="Tahoma" w:cs="Tahoma"/>
          <w:sz w:val="24"/>
          <w:szCs w:val="24"/>
        </w:rPr>
      </w:pPr>
      <w:r w:rsidRPr="003C211E">
        <w:rPr>
          <w:rFonts w:ascii="Tahoma" w:eastAsia="Tahoma" w:hAnsi="Tahoma" w:cs="Tahoma"/>
          <w:sz w:val="24"/>
          <w:szCs w:val="24"/>
        </w:rPr>
        <w:lastRenderedPageBreak/>
        <w:t>E</w:t>
      </w:r>
      <w:r w:rsidR="007129B0" w:rsidRPr="003C211E">
        <w:rPr>
          <w:rFonts w:ascii="Tahoma" w:eastAsia="Tahoma" w:hAnsi="Tahoma" w:cs="Tahoma"/>
          <w:sz w:val="24"/>
          <w:szCs w:val="24"/>
        </w:rPr>
        <w:t>n respuesta a la demanda</w:t>
      </w:r>
      <w:r w:rsidR="00C548AE" w:rsidRPr="003C211E">
        <w:rPr>
          <w:rFonts w:ascii="Tahoma" w:eastAsia="Tahoma" w:hAnsi="Tahoma" w:cs="Tahoma"/>
          <w:sz w:val="24"/>
          <w:szCs w:val="24"/>
        </w:rPr>
        <w:t>,</w:t>
      </w:r>
      <w:r w:rsidR="007129B0" w:rsidRPr="003C211E">
        <w:rPr>
          <w:rFonts w:ascii="Tahoma" w:eastAsia="Tahoma" w:hAnsi="Tahoma" w:cs="Tahoma"/>
          <w:sz w:val="24"/>
          <w:szCs w:val="24"/>
        </w:rPr>
        <w:t xml:space="preserve"> </w:t>
      </w:r>
      <w:r w:rsidR="007129B0" w:rsidRPr="003C211E">
        <w:rPr>
          <w:rFonts w:ascii="Tahoma" w:eastAsia="Tahoma" w:hAnsi="Tahoma" w:cs="Tahoma"/>
          <w:b/>
          <w:bCs/>
          <w:sz w:val="24"/>
          <w:szCs w:val="24"/>
        </w:rPr>
        <w:t xml:space="preserve">Colpensiones </w:t>
      </w:r>
      <w:r w:rsidR="00936219" w:rsidRPr="003C211E">
        <w:rPr>
          <w:rFonts w:ascii="Tahoma" w:eastAsia="Tahoma" w:hAnsi="Tahoma" w:cs="Tahoma"/>
          <w:sz w:val="24"/>
          <w:szCs w:val="24"/>
        </w:rPr>
        <w:t>argumentó que el proceso de cobro coactivo</w:t>
      </w:r>
      <w:r w:rsidR="00C548AE" w:rsidRPr="003C211E">
        <w:rPr>
          <w:rFonts w:ascii="Tahoma" w:eastAsia="Tahoma" w:hAnsi="Tahoma" w:cs="Tahoma"/>
          <w:sz w:val="24"/>
          <w:szCs w:val="24"/>
        </w:rPr>
        <w:t>,</w:t>
      </w:r>
      <w:r w:rsidR="00936219" w:rsidRPr="003C211E">
        <w:rPr>
          <w:rFonts w:ascii="Tahoma" w:eastAsia="Tahoma" w:hAnsi="Tahoma" w:cs="Tahoma"/>
          <w:sz w:val="24"/>
          <w:szCs w:val="24"/>
        </w:rPr>
        <w:t xml:space="preserve"> en atención a los lineamiento de la </w:t>
      </w:r>
      <w:r w:rsidR="00FD355F" w:rsidRPr="003C211E">
        <w:rPr>
          <w:rFonts w:ascii="Tahoma" w:eastAsia="Tahoma" w:hAnsi="Tahoma" w:cs="Tahoma"/>
          <w:sz w:val="24"/>
          <w:szCs w:val="24"/>
        </w:rPr>
        <w:t>Resolución 2082 de 2016</w:t>
      </w:r>
      <w:r w:rsidR="00C548AE" w:rsidRPr="003C211E">
        <w:rPr>
          <w:rFonts w:ascii="Tahoma" w:eastAsia="Tahoma" w:hAnsi="Tahoma" w:cs="Tahoma"/>
          <w:sz w:val="24"/>
          <w:szCs w:val="24"/>
        </w:rPr>
        <w:t>,</w:t>
      </w:r>
      <w:r w:rsidR="00FD355F" w:rsidRPr="003C211E">
        <w:rPr>
          <w:rFonts w:ascii="Tahoma" w:eastAsia="Tahoma" w:hAnsi="Tahoma" w:cs="Tahoma"/>
          <w:sz w:val="24"/>
          <w:szCs w:val="24"/>
        </w:rPr>
        <w:t xml:space="preserve"> depende de un tercero y que el actor no acredita los requisitos mínimos</w:t>
      </w:r>
      <w:r w:rsidR="00C548AE" w:rsidRPr="003C211E">
        <w:rPr>
          <w:rFonts w:ascii="Tahoma" w:eastAsia="Tahoma" w:hAnsi="Tahoma" w:cs="Tahoma"/>
          <w:sz w:val="24"/>
          <w:szCs w:val="24"/>
        </w:rPr>
        <w:t>,</w:t>
      </w:r>
      <w:r w:rsidR="00FD355F" w:rsidRPr="003C211E">
        <w:rPr>
          <w:rFonts w:ascii="Tahoma" w:eastAsia="Tahoma" w:hAnsi="Tahoma" w:cs="Tahoma"/>
          <w:sz w:val="24"/>
          <w:szCs w:val="24"/>
        </w:rPr>
        <w:t xml:space="preserve"> ni bajo los post</w:t>
      </w:r>
      <w:r w:rsidR="00C548AE" w:rsidRPr="003C211E">
        <w:rPr>
          <w:rFonts w:ascii="Tahoma" w:eastAsia="Tahoma" w:hAnsi="Tahoma" w:cs="Tahoma"/>
          <w:sz w:val="24"/>
          <w:szCs w:val="24"/>
        </w:rPr>
        <w:t>u</w:t>
      </w:r>
      <w:r w:rsidR="00FD355F" w:rsidRPr="003C211E">
        <w:rPr>
          <w:rFonts w:ascii="Tahoma" w:eastAsia="Tahoma" w:hAnsi="Tahoma" w:cs="Tahoma"/>
          <w:sz w:val="24"/>
          <w:szCs w:val="24"/>
        </w:rPr>
        <w:t xml:space="preserve">lados del régimen de transición, ni a la luz de la Ley 100 de 1993, modificada por la ley 797 de 2003, </w:t>
      </w:r>
      <w:r w:rsidR="00FC5D00" w:rsidRPr="003C211E">
        <w:rPr>
          <w:rFonts w:ascii="Tahoma" w:eastAsia="Tahoma" w:hAnsi="Tahoma" w:cs="Tahoma"/>
          <w:sz w:val="24"/>
          <w:szCs w:val="24"/>
        </w:rPr>
        <w:t xml:space="preserve">para acceder a la pensión de vejez, razón por la cual se </w:t>
      </w:r>
      <w:r w:rsidR="007129B0" w:rsidRPr="003C211E">
        <w:rPr>
          <w:rFonts w:ascii="Tahoma" w:hAnsi="Tahoma" w:cs="Tahoma"/>
          <w:sz w:val="24"/>
          <w:szCs w:val="24"/>
        </w:rPr>
        <w:t>opuso a la prosperidad de las pretensiones y propuso como excepciones de mérito las denominadas:</w:t>
      </w:r>
      <w:r w:rsidR="007129B0" w:rsidRPr="003C211E">
        <w:rPr>
          <w:rFonts w:ascii="Tahoma" w:hAnsi="Tahoma" w:cs="Tahoma"/>
          <w:i/>
          <w:iCs/>
          <w:sz w:val="24"/>
          <w:szCs w:val="24"/>
        </w:rPr>
        <w:t xml:space="preserve"> “</w:t>
      </w:r>
      <w:r w:rsidR="00E70075" w:rsidRPr="003C211E">
        <w:rPr>
          <w:rFonts w:ascii="Tahoma" w:hAnsi="Tahoma" w:cs="Tahoma"/>
          <w:i/>
          <w:iCs/>
          <w:sz w:val="24"/>
          <w:szCs w:val="24"/>
        </w:rPr>
        <w:t>inexistencia de la obligación”, “buena fe”, “imposibilidad jurídica para reconocer y pagar derechos por fuera del ordenamiento legal”, “prescripción” y “declaratoria de otras excepciones”.</w:t>
      </w:r>
    </w:p>
    <w:p w14:paraId="490A7DB7" w14:textId="77777777" w:rsidR="009D2B4F" w:rsidRPr="003C211E" w:rsidRDefault="009D2B4F" w:rsidP="003C211E">
      <w:pPr>
        <w:spacing w:after="0" w:line="276" w:lineRule="auto"/>
        <w:jc w:val="both"/>
        <w:rPr>
          <w:rFonts w:ascii="Tahoma" w:hAnsi="Tahoma" w:cs="Tahoma"/>
          <w:sz w:val="24"/>
          <w:szCs w:val="24"/>
        </w:rPr>
      </w:pPr>
    </w:p>
    <w:p w14:paraId="1A00B291" w14:textId="63F173B2" w:rsidR="1B4704F1" w:rsidRPr="003C211E" w:rsidRDefault="1B4704F1" w:rsidP="003C211E">
      <w:pPr>
        <w:pStyle w:val="Prrafodelista"/>
        <w:numPr>
          <w:ilvl w:val="0"/>
          <w:numId w:val="3"/>
        </w:numPr>
        <w:spacing w:line="276" w:lineRule="auto"/>
        <w:jc w:val="center"/>
        <w:rPr>
          <w:rFonts w:eastAsiaTheme="minorEastAsia"/>
          <w:b/>
          <w:bCs/>
          <w:sz w:val="24"/>
          <w:szCs w:val="24"/>
        </w:rPr>
      </w:pPr>
      <w:r w:rsidRPr="003C211E">
        <w:rPr>
          <w:b/>
          <w:bCs/>
          <w:sz w:val="24"/>
          <w:szCs w:val="24"/>
          <w:lang w:val="es"/>
        </w:rPr>
        <w:t>Sentencia de primera instancia</w:t>
      </w:r>
    </w:p>
    <w:p w14:paraId="40F04C9B" w14:textId="0140ABF4" w:rsidR="004A05ED" w:rsidRPr="003C211E" w:rsidRDefault="004A05ED" w:rsidP="003C211E">
      <w:pPr>
        <w:spacing w:after="0" w:line="276" w:lineRule="auto"/>
        <w:jc w:val="center"/>
        <w:rPr>
          <w:rFonts w:ascii="Tahoma" w:eastAsiaTheme="minorEastAsia" w:hAnsi="Tahoma" w:cs="Tahoma"/>
          <w:b/>
          <w:bCs/>
          <w:sz w:val="24"/>
          <w:szCs w:val="24"/>
        </w:rPr>
      </w:pPr>
    </w:p>
    <w:p w14:paraId="7B33166D" w14:textId="3B8D2CCB" w:rsidR="004A05ED" w:rsidRPr="003C211E" w:rsidRDefault="004A05ED" w:rsidP="003C211E">
      <w:pPr>
        <w:spacing w:after="0" w:line="276" w:lineRule="auto"/>
        <w:jc w:val="both"/>
        <w:rPr>
          <w:rFonts w:ascii="Tahoma" w:eastAsia="Tahoma" w:hAnsi="Tahoma" w:cs="Tahoma"/>
          <w:sz w:val="24"/>
          <w:szCs w:val="24"/>
          <w:lang w:val="es"/>
        </w:rPr>
      </w:pPr>
      <w:r w:rsidRPr="003C211E">
        <w:rPr>
          <w:rFonts w:ascii="Tahoma" w:eastAsia="Times New Roman" w:hAnsi="Tahoma" w:cs="Tahoma"/>
          <w:sz w:val="24"/>
          <w:szCs w:val="24"/>
        </w:rPr>
        <w:tab/>
      </w:r>
      <w:r w:rsidR="00377A79" w:rsidRPr="003C211E">
        <w:rPr>
          <w:rFonts w:ascii="Tahoma" w:eastAsia="Tahoma" w:hAnsi="Tahoma" w:cs="Tahoma"/>
          <w:sz w:val="24"/>
          <w:szCs w:val="24"/>
          <w:lang w:val="es"/>
        </w:rPr>
        <w:t xml:space="preserve">La </w:t>
      </w:r>
      <w:r w:rsidR="1B4704F1" w:rsidRPr="003C211E">
        <w:rPr>
          <w:rFonts w:ascii="Tahoma" w:eastAsia="Tahoma" w:hAnsi="Tahoma" w:cs="Tahoma"/>
          <w:sz w:val="24"/>
          <w:szCs w:val="24"/>
          <w:lang w:val="es"/>
        </w:rPr>
        <w:t>Jueza de instancia</w:t>
      </w:r>
      <w:r w:rsidR="00C548AE" w:rsidRPr="003C211E">
        <w:rPr>
          <w:rFonts w:ascii="Tahoma" w:eastAsia="Tahoma" w:hAnsi="Tahoma" w:cs="Tahoma"/>
          <w:sz w:val="24"/>
          <w:szCs w:val="24"/>
          <w:lang w:val="es"/>
        </w:rPr>
        <w:t xml:space="preserve"> </w:t>
      </w:r>
      <w:r w:rsidR="002F0DF5" w:rsidRPr="003C211E">
        <w:rPr>
          <w:rFonts w:ascii="Tahoma" w:eastAsia="Tahoma" w:hAnsi="Tahoma" w:cs="Tahoma"/>
          <w:sz w:val="24"/>
          <w:szCs w:val="24"/>
          <w:lang w:val="es"/>
        </w:rPr>
        <w:t>declaró que el demandante tiene derecho al reconocimiento y pago de la pensión de vejez causada a partir del 7 de diciembre de 2020, con fecha de disfrute a partir del 1</w:t>
      </w:r>
      <w:r w:rsidR="00C548AE" w:rsidRPr="003C211E">
        <w:rPr>
          <w:rFonts w:ascii="Tahoma" w:eastAsia="Tahoma" w:hAnsi="Tahoma" w:cs="Tahoma"/>
          <w:sz w:val="24"/>
          <w:szCs w:val="24"/>
          <w:lang w:val="es"/>
        </w:rPr>
        <w:t xml:space="preserve">º </w:t>
      </w:r>
      <w:r w:rsidR="002F0DF5" w:rsidRPr="003C211E">
        <w:rPr>
          <w:rFonts w:ascii="Tahoma" w:eastAsia="Tahoma" w:hAnsi="Tahoma" w:cs="Tahoma"/>
          <w:sz w:val="24"/>
          <w:szCs w:val="24"/>
          <w:lang w:val="es"/>
        </w:rPr>
        <w:t>de abril 2021, por 13 mesadas al anuales y por un valor igual al SMMLV</w:t>
      </w:r>
      <w:r w:rsidR="00C548AE" w:rsidRPr="003C211E">
        <w:rPr>
          <w:rFonts w:ascii="Tahoma" w:eastAsia="Tahoma" w:hAnsi="Tahoma" w:cs="Tahoma"/>
          <w:sz w:val="24"/>
          <w:szCs w:val="24"/>
          <w:lang w:val="es"/>
        </w:rPr>
        <w:t>;</w:t>
      </w:r>
      <w:r w:rsidR="00A449BC" w:rsidRPr="003C211E">
        <w:rPr>
          <w:rFonts w:ascii="Tahoma" w:eastAsia="Tahoma" w:hAnsi="Tahoma" w:cs="Tahoma"/>
          <w:sz w:val="24"/>
          <w:szCs w:val="24"/>
          <w:lang w:val="es"/>
        </w:rPr>
        <w:t xml:space="preserve"> en consecuencia, </w:t>
      </w:r>
      <w:r w:rsidR="002F0DF5" w:rsidRPr="003C211E">
        <w:rPr>
          <w:rFonts w:ascii="Tahoma" w:eastAsia="Tahoma" w:hAnsi="Tahoma" w:cs="Tahoma"/>
          <w:sz w:val="24"/>
          <w:szCs w:val="24"/>
          <w:lang w:val="es"/>
        </w:rPr>
        <w:t xml:space="preserve">condenó a Colpensiones a reconocer y pagar la suma de $2.725.578 por concepto de retroactivo pensional causado entre el 01 de abril al 30 de junio de 2021, junto con la indexación. </w:t>
      </w:r>
    </w:p>
    <w:p w14:paraId="1AFD2268" w14:textId="77777777" w:rsidR="00A449BC" w:rsidRPr="003C211E" w:rsidRDefault="00A449BC" w:rsidP="003C211E">
      <w:pPr>
        <w:spacing w:after="0" w:line="276" w:lineRule="auto"/>
        <w:jc w:val="both"/>
        <w:rPr>
          <w:rFonts w:ascii="Tahoma" w:eastAsia="Tahoma" w:hAnsi="Tahoma" w:cs="Tahoma"/>
          <w:sz w:val="24"/>
          <w:szCs w:val="24"/>
          <w:lang w:val="es"/>
        </w:rPr>
      </w:pPr>
    </w:p>
    <w:p w14:paraId="63350F10" w14:textId="27FF221B" w:rsidR="000575C7" w:rsidRPr="003C211E" w:rsidRDefault="001E42A6" w:rsidP="003C211E">
      <w:pPr>
        <w:spacing w:after="0" w:line="276" w:lineRule="auto"/>
        <w:ind w:firstLine="708"/>
        <w:jc w:val="both"/>
        <w:rPr>
          <w:rFonts w:ascii="Tahoma" w:eastAsia="Tahoma" w:hAnsi="Tahoma" w:cs="Tahoma"/>
          <w:sz w:val="24"/>
          <w:szCs w:val="24"/>
        </w:rPr>
      </w:pPr>
      <w:r w:rsidRPr="003C211E">
        <w:rPr>
          <w:rFonts w:ascii="Tahoma" w:eastAsia="Tahoma" w:hAnsi="Tahoma" w:cs="Tahoma"/>
          <w:sz w:val="24"/>
          <w:szCs w:val="24"/>
        </w:rPr>
        <w:t>Para llegar a esta de</w:t>
      </w:r>
      <w:r w:rsidR="00C548AE" w:rsidRPr="003C211E">
        <w:rPr>
          <w:rFonts w:ascii="Tahoma" w:eastAsia="Tahoma" w:hAnsi="Tahoma" w:cs="Tahoma"/>
          <w:sz w:val="24"/>
          <w:szCs w:val="24"/>
        </w:rPr>
        <w:t xml:space="preserve">terminación </w:t>
      </w:r>
      <w:r w:rsidRPr="003C211E">
        <w:rPr>
          <w:rFonts w:ascii="Tahoma" w:eastAsia="Tahoma" w:hAnsi="Tahoma" w:cs="Tahoma"/>
          <w:sz w:val="24"/>
          <w:szCs w:val="24"/>
        </w:rPr>
        <w:t xml:space="preserve">la </w:t>
      </w:r>
      <w:r w:rsidRPr="003C211E">
        <w:rPr>
          <w:rFonts w:ascii="Tahoma" w:eastAsia="Tahoma" w:hAnsi="Tahoma" w:cs="Tahoma"/>
          <w:i/>
          <w:iCs/>
          <w:sz w:val="24"/>
          <w:szCs w:val="24"/>
        </w:rPr>
        <w:t>A-quo</w:t>
      </w:r>
      <w:r w:rsidR="00A449BC" w:rsidRPr="003C211E">
        <w:rPr>
          <w:rFonts w:ascii="Tahoma" w:eastAsia="Tahoma" w:hAnsi="Tahoma" w:cs="Tahoma"/>
          <w:i/>
          <w:iCs/>
          <w:sz w:val="24"/>
          <w:szCs w:val="24"/>
        </w:rPr>
        <w:t xml:space="preserve"> </w:t>
      </w:r>
      <w:r w:rsidR="00A449BC" w:rsidRPr="003C211E">
        <w:rPr>
          <w:rFonts w:ascii="Tahoma" w:eastAsia="Tahoma" w:hAnsi="Tahoma" w:cs="Tahoma"/>
          <w:sz w:val="24"/>
          <w:szCs w:val="24"/>
        </w:rPr>
        <w:t xml:space="preserve">indicó </w:t>
      </w:r>
      <w:r w:rsidR="00144F39" w:rsidRPr="003C211E">
        <w:rPr>
          <w:rFonts w:ascii="Tahoma" w:eastAsia="Tahoma" w:hAnsi="Tahoma" w:cs="Tahoma"/>
          <w:sz w:val="24"/>
          <w:szCs w:val="24"/>
        </w:rPr>
        <w:t xml:space="preserve">que la mora en el pago de aportes a pensiones es imputable a las Administradoras </w:t>
      </w:r>
      <w:r w:rsidR="00074075" w:rsidRPr="003C211E">
        <w:rPr>
          <w:rFonts w:ascii="Tahoma" w:eastAsia="Tahoma" w:hAnsi="Tahoma" w:cs="Tahoma"/>
          <w:sz w:val="24"/>
          <w:szCs w:val="24"/>
        </w:rPr>
        <w:t>de fondos de pensiones, siempre que el afiliado demuestre que durante el periodo de mora tuvo una relación laboral.</w:t>
      </w:r>
      <w:r w:rsidR="00C548AE" w:rsidRPr="003C211E">
        <w:rPr>
          <w:rFonts w:ascii="Tahoma" w:eastAsia="Tahoma" w:hAnsi="Tahoma" w:cs="Tahoma"/>
          <w:sz w:val="24"/>
          <w:szCs w:val="24"/>
        </w:rPr>
        <w:t xml:space="preserve"> En ese sentido</w:t>
      </w:r>
      <w:r w:rsidR="00902BDA" w:rsidRPr="003C211E">
        <w:rPr>
          <w:rFonts w:ascii="Tahoma" w:eastAsia="Tahoma" w:hAnsi="Tahoma" w:cs="Tahoma"/>
          <w:sz w:val="24"/>
          <w:szCs w:val="24"/>
        </w:rPr>
        <w:t xml:space="preserve">, aludió que obraba en el plenario certificación laboral en la que </w:t>
      </w:r>
      <w:r w:rsidR="00C548AE" w:rsidRPr="003C211E">
        <w:rPr>
          <w:rFonts w:ascii="Tahoma" w:eastAsia="Tahoma" w:hAnsi="Tahoma" w:cs="Tahoma"/>
          <w:sz w:val="24"/>
          <w:szCs w:val="24"/>
        </w:rPr>
        <w:t xml:space="preserve">consta </w:t>
      </w:r>
      <w:r w:rsidR="003E582C" w:rsidRPr="003C211E">
        <w:rPr>
          <w:rFonts w:ascii="Tahoma" w:eastAsia="Tahoma" w:hAnsi="Tahoma" w:cs="Tahoma"/>
          <w:sz w:val="24"/>
          <w:szCs w:val="24"/>
        </w:rPr>
        <w:t>que el</w:t>
      </w:r>
      <w:r w:rsidR="00902BDA" w:rsidRPr="003C211E">
        <w:rPr>
          <w:rFonts w:ascii="Tahoma" w:eastAsia="Tahoma" w:hAnsi="Tahoma" w:cs="Tahoma"/>
          <w:sz w:val="24"/>
          <w:szCs w:val="24"/>
        </w:rPr>
        <w:t xml:space="preserve"> demandante labor</w:t>
      </w:r>
      <w:r w:rsidR="00C548AE" w:rsidRPr="003C211E">
        <w:rPr>
          <w:rFonts w:ascii="Tahoma" w:eastAsia="Tahoma" w:hAnsi="Tahoma" w:cs="Tahoma"/>
          <w:sz w:val="24"/>
          <w:szCs w:val="24"/>
        </w:rPr>
        <w:t>ó</w:t>
      </w:r>
      <w:r w:rsidR="00902BDA" w:rsidRPr="003C211E">
        <w:rPr>
          <w:rFonts w:ascii="Tahoma" w:eastAsia="Tahoma" w:hAnsi="Tahoma" w:cs="Tahoma"/>
          <w:sz w:val="24"/>
          <w:szCs w:val="24"/>
        </w:rPr>
        <w:t xml:space="preserve"> </w:t>
      </w:r>
      <w:r w:rsidR="000575C7" w:rsidRPr="003C211E">
        <w:rPr>
          <w:rFonts w:ascii="Tahoma" w:eastAsia="Tahoma" w:hAnsi="Tahoma" w:cs="Tahoma"/>
          <w:sz w:val="24"/>
          <w:szCs w:val="24"/>
        </w:rPr>
        <w:t xml:space="preserve">para Rafael Morales Ortiz </w:t>
      </w:r>
      <w:r w:rsidR="00902BDA" w:rsidRPr="003C211E">
        <w:rPr>
          <w:rFonts w:ascii="Tahoma" w:eastAsia="Tahoma" w:hAnsi="Tahoma" w:cs="Tahoma"/>
          <w:sz w:val="24"/>
          <w:szCs w:val="24"/>
        </w:rPr>
        <w:t>desde el 1</w:t>
      </w:r>
      <w:r w:rsidR="00C548AE" w:rsidRPr="003C211E">
        <w:rPr>
          <w:rFonts w:ascii="Tahoma" w:eastAsia="Tahoma" w:hAnsi="Tahoma" w:cs="Tahoma"/>
          <w:sz w:val="24"/>
          <w:szCs w:val="24"/>
        </w:rPr>
        <w:t xml:space="preserve">º </w:t>
      </w:r>
      <w:r w:rsidR="00902BDA" w:rsidRPr="003C211E">
        <w:rPr>
          <w:rFonts w:ascii="Tahoma" w:eastAsia="Tahoma" w:hAnsi="Tahoma" w:cs="Tahoma"/>
          <w:sz w:val="24"/>
          <w:szCs w:val="24"/>
        </w:rPr>
        <w:t>de enero de 1992 hasta por lo menos el 9 de septiembre de 2011, data en que se expidió dicha constancia</w:t>
      </w:r>
      <w:r w:rsidR="003E582C" w:rsidRPr="003C211E">
        <w:rPr>
          <w:rFonts w:ascii="Tahoma" w:eastAsia="Tahoma" w:hAnsi="Tahoma" w:cs="Tahoma"/>
          <w:sz w:val="24"/>
          <w:szCs w:val="24"/>
        </w:rPr>
        <w:t>, devengando un salario mínimo.</w:t>
      </w:r>
    </w:p>
    <w:p w14:paraId="766C0F53" w14:textId="77777777" w:rsidR="000575C7" w:rsidRPr="003C211E" w:rsidRDefault="000575C7" w:rsidP="003C211E">
      <w:pPr>
        <w:spacing w:after="0" w:line="276" w:lineRule="auto"/>
        <w:ind w:firstLine="708"/>
        <w:jc w:val="both"/>
        <w:rPr>
          <w:rFonts w:ascii="Tahoma" w:eastAsia="Tahoma" w:hAnsi="Tahoma" w:cs="Tahoma"/>
          <w:sz w:val="24"/>
          <w:szCs w:val="24"/>
        </w:rPr>
      </w:pPr>
    </w:p>
    <w:p w14:paraId="3373EC24" w14:textId="5802C1D7" w:rsidR="00857EF7" w:rsidRPr="003C211E" w:rsidRDefault="003E582C" w:rsidP="003C211E">
      <w:pPr>
        <w:spacing w:after="0" w:line="276" w:lineRule="auto"/>
        <w:ind w:firstLine="708"/>
        <w:jc w:val="both"/>
        <w:rPr>
          <w:rFonts w:ascii="Tahoma" w:eastAsia="Tahoma" w:hAnsi="Tahoma" w:cs="Tahoma"/>
          <w:sz w:val="24"/>
          <w:szCs w:val="24"/>
        </w:rPr>
      </w:pPr>
      <w:r w:rsidRPr="003C211E">
        <w:rPr>
          <w:rFonts w:ascii="Tahoma" w:eastAsia="Tahoma" w:hAnsi="Tahoma" w:cs="Tahoma"/>
          <w:sz w:val="24"/>
          <w:szCs w:val="24"/>
        </w:rPr>
        <w:t xml:space="preserve"> Sin embargo, arguyó que tal </w:t>
      </w:r>
      <w:r w:rsidR="00857EF7" w:rsidRPr="003C211E">
        <w:rPr>
          <w:rFonts w:ascii="Tahoma" w:eastAsia="Tahoma" w:hAnsi="Tahoma" w:cs="Tahoma"/>
          <w:sz w:val="24"/>
          <w:szCs w:val="24"/>
        </w:rPr>
        <w:t>documento,</w:t>
      </w:r>
      <w:r w:rsidRPr="003C211E">
        <w:rPr>
          <w:rFonts w:ascii="Tahoma" w:eastAsia="Tahoma" w:hAnsi="Tahoma" w:cs="Tahoma"/>
          <w:sz w:val="24"/>
          <w:szCs w:val="24"/>
        </w:rPr>
        <w:t xml:space="preserve"> aunque no fue tachado de falso </w:t>
      </w:r>
      <w:r w:rsidR="00857EF7" w:rsidRPr="003C211E">
        <w:rPr>
          <w:rFonts w:ascii="Tahoma" w:eastAsia="Tahoma" w:hAnsi="Tahoma" w:cs="Tahoma"/>
          <w:sz w:val="24"/>
          <w:szCs w:val="24"/>
        </w:rPr>
        <w:t xml:space="preserve">carece </w:t>
      </w:r>
      <w:r w:rsidRPr="003C211E">
        <w:rPr>
          <w:rFonts w:ascii="Tahoma" w:eastAsia="Tahoma" w:hAnsi="Tahoma" w:cs="Tahoma"/>
          <w:sz w:val="24"/>
          <w:szCs w:val="24"/>
        </w:rPr>
        <w:t>de firma</w:t>
      </w:r>
      <w:r w:rsidR="00857EF7" w:rsidRPr="003C211E">
        <w:rPr>
          <w:rFonts w:ascii="Tahoma" w:eastAsia="Tahoma" w:hAnsi="Tahoma" w:cs="Tahoma"/>
          <w:sz w:val="24"/>
          <w:szCs w:val="24"/>
        </w:rPr>
        <w:t>s</w:t>
      </w:r>
      <w:r w:rsidRPr="003C211E">
        <w:rPr>
          <w:rFonts w:ascii="Tahoma" w:eastAsia="Tahoma" w:hAnsi="Tahoma" w:cs="Tahoma"/>
          <w:sz w:val="24"/>
          <w:szCs w:val="24"/>
        </w:rPr>
        <w:t xml:space="preserve">, emblemas e improntas </w:t>
      </w:r>
      <w:r w:rsidR="00857EF7" w:rsidRPr="003C211E">
        <w:rPr>
          <w:rFonts w:ascii="Tahoma" w:eastAsia="Tahoma" w:hAnsi="Tahoma" w:cs="Tahoma"/>
          <w:sz w:val="24"/>
          <w:szCs w:val="24"/>
        </w:rPr>
        <w:t>que permitan atribuir la</w:t>
      </w:r>
      <w:r w:rsidRPr="003C211E">
        <w:rPr>
          <w:rFonts w:ascii="Tahoma" w:eastAsia="Tahoma" w:hAnsi="Tahoma" w:cs="Tahoma"/>
          <w:sz w:val="24"/>
          <w:szCs w:val="24"/>
        </w:rPr>
        <w:t xml:space="preserve"> posible autoría al señor Morales, dado que no existe certeza o autenticidad del autor del documento, a la luz de la sentencia SL 1282 de 2021</w:t>
      </w:r>
      <w:r w:rsidR="00857EF7" w:rsidRPr="003C211E">
        <w:rPr>
          <w:rFonts w:ascii="Tahoma" w:eastAsia="Tahoma" w:hAnsi="Tahoma" w:cs="Tahoma"/>
          <w:sz w:val="24"/>
          <w:szCs w:val="24"/>
        </w:rPr>
        <w:t>, máxime</w:t>
      </w:r>
      <w:r w:rsidR="009D2B4F" w:rsidRPr="003C211E">
        <w:rPr>
          <w:rFonts w:ascii="Tahoma" w:eastAsia="Tahoma" w:hAnsi="Tahoma" w:cs="Tahoma"/>
          <w:sz w:val="24"/>
          <w:szCs w:val="24"/>
        </w:rPr>
        <w:t xml:space="preserve"> cuando el ac</w:t>
      </w:r>
      <w:r w:rsidR="00857EF7" w:rsidRPr="003C211E">
        <w:rPr>
          <w:rFonts w:ascii="Tahoma" w:eastAsia="Tahoma" w:hAnsi="Tahoma" w:cs="Tahoma"/>
          <w:sz w:val="24"/>
          <w:szCs w:val="24"/>
        </w:rPr>
        <w:t>tor no convoc</w:t>
      </w:r>
      <w:r w:rsidR="000575C7" w:rsidRPr="003C211E">
        <w:rPr>
          <w:rFonts w:ascii="Tahoma" w:eastAsia="Tahoma" w:hAnsi="Tahoma" w:cs="Tahoma"/>
          <w:sz w:val="24"/>
          <w:szCs w:val="24"/>
        </w:rPr>
        <w:t>ó</w:t>
      </w:r>
      <w:r w:rsidR="00857EF7" w:rsidRPr="003C211E">
        <w:rPr>
          <w:rFonts w:ascii="Tahoma" w:eastAsia="Tahoma" w:hAnsi="Tahoma" w:cs="Tahoma"/>
          <w:sz w:val="24"/>
          <w:szCs w:val="24"/>
        </w:rPr>
        <w:t xml:space="preserve"> a juicio al empleador moroso para ratificar el vínculo laboral. </w:t>
      </w:r>
    </w:p>
    <w:p w14:paraId="25A908A7" w14:textId="60BDB82C" w:rsidR="00317B78" w:rsidRPr="003C211E" w:rsidRDefault="00317B78" w:rsidP="003C211E">
      <w:pPr>
        <w:spacing w:after="0" w:line="276" w:lineRule="auto"/>
        <w:jc w:val="both"/>
        <w:rPr>
          <w:rFonts w:ascii="Tahoma" w:eastAsia="Tahoma" w:hAnsi="Tahoma" w:cs="Tahoma"/>
          <w:sz w:val="24"/>
          <w:szCs w:val="24"/>
        </w:rPr>
      </w:pPr>
    </w:p>
    <w:p w14:paraId="694F5117" w14:textId="5AEA10AD" w:rsidR="00317B78" w:rsidRPr="003C211E" w:rsidRDefault="00317B78" w:rsidP="003C211E">
      <w:pPr>
        <w:spacing w:after="0" w:line="276" w:lineRule="auto"/>
        <w:jc w:val="both"/>
        <w:rPr>
          <w:rFonts w:ascii="Tahoma" w:eastAsia="Tahoma" w:hAnsi="Tahoma" w:cs="Tahoma"/>
          <w:sz w:val="24"/>
          <w:szCs w:val="24"/>
        </w:rPr>
      </w:pPr>
      <w:r w:rsidRPr="003C211E">
        <w:rPr>
          <w:rFonts w:ascii="Tahoma" w:eastAsia="Tahoma" w:hAnsi="Tahoma" w:cs="Tahoma"/>
          <w:sz w:val="24"/>
          <w:szCs w:val="24"/>
        </w:rPr>
        <w:tab/>
      </w:r>
      <w:r w:rsidR="001156D2" w:rsidRPr="003C211E">
        <w:rPr>
          <w:rFonts w:ascii="Tahoma" w:eastAsia="Tahoma" w:hAnsi="Tahoma" w:cs="Tahoma"/>
          <w:sz w:val="24"/>
          <w:szCs w:val="24"/>
        </w:rPr>
        <w:t>Concluyó que el trabajador no acreditó haber prestado el servicio en los periodos de los cuales se duele</w:t>
      </w:r>
      <w:r w:rsidR="0095794E" w:rsidRPr="003C211E">
        <w:rPr>
          <w:rFonts w:ascii="Tahoma" w:eastAsia="Tahoma" w:hAnsi="Tahoma" w:cs="Tahoma"/>
          <w:sz w:val="24"/>
          <w:szCs w:val="24"/>
        </w:rPr>
        <w:t xml:space="preserve">, no obstante, </w:t>
      </w:r>
      <w:r w:rsidR="00B9140C" w:rsidRPr="003C211E">
        <w:rPr>
          <w:rFonts w:ascii="Tahoma" w:eastAsia="Tahoma" w:hAnsi="Tahoma" w:cs="Tahoma"/>
          <w:sz w:val="24"/>
          <w:szCs w:val="24"/>
        </w:rPr>
        <w:t xml:space="preserve">reconoció el derecho pensional debido a que el actor cumplió 62 años de edad el 18 de marzo de 2019 y ostenta un total de 1.316,14 semana cotizadas al sistema </w:t>
      </w:r>
      <w:r w:rsidR="285DC545" w:rsidRPr="003C211E">
        <w:rPr>
          <w:rFonts w:ascii="Tahoma" w:eastAsia="Tahoma" w:hAnsi="Tahoma" w:cs="Tahoma"/>
          <w:sz w:val="24"/>
          <w:szCs w:val="24"/>
        </w:rPr>
        <w:t xml:space="preserve">hasta </w:t>
      </w:r>
      <w:r w:rsidR="00B9140C" w:rsidRPr="003C211E">
        <w:rPr>
          <w:rFonts w:ascii="Tahoma" w:eastAsia="Tahoma" w:hAnsi="Tahoma" w:cs="Tahoma"/>
          <w:sz w:val="24"/>
          <w:szCs w:val="24"/>
        </w:rPr>
        <w:t xml:space="preserve">el 31 de marzo de 2021, </w:t>
      </w:r>
      <w:r w:rsidR="0095794E" w:rsidRPr="003C211E">
        <w:rPr>
          <w:rFonts w:ascii="Tahoma" w:eastAsia="Tahoma" w:hAnsi="Tahoma" w:cs="Tahoma"/>
          <w:sz w:val="24"/>
          <w:szCs w:val="24"/>
        </w:rPr>
        <w:t xml:space="preserve">por lo que </w:t>
      </w:r>
      <w:r w:rsidR="00B9140C" w:rsidRPr="003C211E">
        <w:rPr>
          <w:rFonts w:ascii="Tahoma" w:eastAsia="Tahoma" w:hAnsi="Tahoma" w:cs="Tahoma"/>
          <w:sz w:val="24"/>
          <w:szCs w:val="24"/>
        </w:rPr>
        <w:t>el disfrute sería desde el primero del mes siguiente</w:t>
      </w:r>
      <w:r w:rsidR="002353C3" w:rsidRPr="003C211E">
        <w:rPr>
          <w:rFonts w:ascii="Tahoma" w:eastAsia="Tahoma" w:hAnsi="Tahoma" w:cs="Tahoma"/>
          <w:sz w:val="24"/>
          <w:szCs w:val="24"/>
        </w:rPr>
        <w:t>, en monto de un salario mínimo y por 13 mesadas al año.</w:t>
      </w:r>
    </w:p>
    <w:p w14:paraId="77DBA614" w14:textId="77777777" w:rsidR="00525FD7" w:rsidRPr="003C211E" w:rsidRDefault="00525FD7" w:rsidP="003C211E">
      <w:pPr>
        <w:spacing w:after="0" w:line="276" w:lineRule="auto"/>
        <w:jc w:val="both"/>
        <w:rPr>
          <w:rFonts w:ascii="Tahoma" w:eastAsia="Tahoma" w:hAnsi="Tahoma" w:cs="Tahoma"/>
          <w:sz w:val="24"/>
          <w:szCs w:val="24"/>
        </w:rPr>
      </w:pPr>
    </w:p>
    <w:p w14:paraId="774F88A4" w14:textId="15F23919" w:rsidR="1B4704F1" w:rsidRPr="003C211E" w:rsidRDefault="1B4704F1" w:rsidP="003C211E">
      <w:pPr>
        <w:pStyle w:val="Prrafodelista"/>
        <w:numPr>
          <w:ilvl w:val="0"/>
          <w:numId w:val="3"/>
        </w:numPr>
        <w:spacing w:line="276" w:lineRule="auto"/>
        <w:jc w:val="center"/>
        <w:rPr>
          <w:rFonts w:eastAsiaTheme="minorEastAsia"/>
          <w:b/>
          <w:bCs/>
          <w:sz w:val="24"/>
          <w:szCs w:val="24"/>
        </w:rPr>
      </w:pPr>
      <w:r w:rsidRPr="003C211E">
        <w:rPr>
          <w:b/>
          <w:bCs/>
          <w:sz w:val="24"/>
          <w:szCs w:val="24"/>
          <w:lang w:val="es"/>
        </w:rPr>
        <w:t>Recurso de apelación y procedencia de la consulta</w:t>
      </w:r>
    </w:p>
    <w:p w14:paraId="2A881A7A" w14:textId="77777777" w:rsidR="00A039B5" w:rsidRPr="003C211E" w:rsidRDefault="00A039B5" w:rsidP="003C211E">
      <w:pPr>
        <w:spacing w:after="0" w:line="276" w:lineRule="auto"/>
        <w:jc w:val="both"/>
        <w:rPr>
          <w:rFonts w:ascii="Tahoma" w:eastAsia="Tahoma" w:hAnsi="Tahoma" w:cs="Tahoma"/>
          <w:b/>
          <w:bCs/>
          <w:sz w:val="24"/>
          <w:szCs w:val="24"/>
          <w:lang w:val="es"/>
        </w:rPr>
      </w:pPr>
    </w:p>
    <w:p w14:paraId="70C92561" w14:textId="2945D2B2" w:rsidR="001A7A04" w:rsidRPr="003C211E" w:rsidRDefault="00F91EDC" w:rsidP="003C211E">
      <w:pPr>
        <w:spacing w:after="0" w:line="276" w:lineRule="auto"/>
        <w:ind w:firstLine="708"/>
        <w:jc w:val="both"/>
        <w:rPr>
          <w:rFonts w:ascii="Tahoma" w:eastAsia="Tahoma" w:hAnsi="Tahoma" w:cs="Tahoma"/>
          <w:sz w:val="24"/>
          <w:szCs w:val="24"/>
          <w:lang w:val="es"/>
        </w:rPr>
      </w:pPr>
      <w:bookmarkStart w:id="3" w:name="_Hlk77056881"/>
      <w:r w:rsidRPr="003C211E">
        <w:rPr>
          <w:rFonts w:ascii="Tahoma" w:eastAsia="Tahoma" w:hAnsi="Tahoma" w:cs="Tahoma"/>
          <w:sz w:val="24"/>
          <w:szCs w:val="24"/>
          <w:lang w:val="es"/>
        </w:rPr>
        <w:t>La apoderada de la parte demandante interpuso recurso de apelación reproch</w:t>
      </w:r>
      <w:r w:rsidR="001A7A04" w:rsidRPr="003C211E">
        <w:rPr>
          <w:rFonts w:ascii="Tahoma" w:eastAsia="Tahoma" w:hAnsi="Tahoma" w:cs="Tahoma"/>
          <w:sz w:val="24"/>
          <w:szCs w:val="24"/>
          <w:lang w:val="es"/>
        </w:rPr>
        <w:t xml:space="preserve">ando el desconocimiento </w:t>
      </w:r>
      <w:r w:rsidR="69DFE3BA" w:rsidRPr="003C211E">
        <w:rPr>
          <w:rFonts w:ascii="Tahoma" w:eastAsia="Tahoma" w:hAnsi="Tahoma" w:cs="Tahoma"/>
          <w:sz w:val="24"/>
          <w:szCs w:val="24"/>
          <w:lang w:val="es"/>
        </w:rPr>
        <w:t xml:space="preserve">de </w:t>
      </w:r>
      <w:r w:rsidRPr="003C211E">
        <w:rPr>
          <w:rFonts w:ascii="Tahoma" w:eastAsia="Tahoma" w:hAnsi="Tahoma" w:cs="Tahoma"/>
          <w:sz w:val="24"/>
          <w:szCs w:val="24"/>
          <w:lang w:val="es"/>
        </w:rPr>
        <w:t xml:space="preserve">la a-quo </w:t>
      </w:r>
      <w:r w:rsidR="001A7A04" w:rsidRPr="003C211E">
        <w:rPr>
          <w:rFonts w:ascii="Tahoma" w:eastAsia="Tahoma" w:hAnsi="Tahoma" w:cs="Tahoma"/>
          <w:sz w:val="24"/>
          <w:szCs w:val="24"/>
          <w:lang w:val="es"/>
        </w:rPr>
        <w:t>del</w:t>
      </w:r>
      <w:r w:rsidRPr="003C211E">
        <w:rPr>
          <w:rFonts w:ascii="Tahoma" w:eastAsia="Tahoma" w:hAnsi="Tahoma" w:cs="Tahoma"/>
          <w:sz w:val="24"/>
          <w:szCs w:val="24"/>
          <w:lang w:val="es"/>
        </w:rPr>
        <w:t xml:space="preserve"> documento </w:t>
      </w:r>
      <w:r w:rsidR="64F4D99E" w:rsidRPr="003C211E">
        <w:rPr>
          <w:rFonts w:ascii="Tahoma" w:eastAsia="Tahoma" w:hAnsi="Tahoma" w:cs="Tahoma"/>
          <w:sz w:val="24"/>
          <w:szCs w:val="24"/>
          <w:lang w:val="es"/>
        </w:rPr>
        <w:t xml:space="preserve">presentado ante </w:t>
      </w:r>
      <w:r w:rsidRPr="003C211E">
        <w:rPr>
          <w:rFonts w:ascii="Tahoma" w:eastAsia="Tahoma" w:hAnsi="Tahoma" w:cs="Tahoma"/>
          <w:sz w:val="24"/>
          <w:szCs w:val="24"/>
          <w:lang w:val="es"/>
        </w:rPr>
        <w:t>Colpensiones</w:t>
      </w:r>
      <w:r w:rsidR="006814B1" w:rsidRPr="003C211E">
        <w:rPr>
          <w:rFonts w:ascii="Tahoma" w:eastAsia="Tahoma" w:hAnsi="Tahoma" w:cs="Tahoma"/>
          <w:sz w:val="24"/>
          <w:szCs w:val="24"/>
          <w:lang w:val="es"/>
        </w:rPr>
        <w:t xml:space="preserve"> por falta de firma</w:t>
      </w:r>
      <w:r w:rsidR="00FF2A68" w:rsidRPr="003C211E">
        <w:rPr>
          <w:rFonts w:ascii="Tahoma" w:eastAsia="Tahoma" w:hAnsi="Tahoma" w:cs="Tahoma"/>
          <w:sz w:val="24"/>
          <w:szCs w:val="24"/>
          <w:lang w:val="es"/>
        </w:rPr>
        <w:t xml:space="preserve">, </w:t>
      </w:r>
      <w:r w:rsidR="001A7A04" w:rsidRPr="003C211E">
        <w:rPr>
          <w:rFonts w:ascii="Tahoma" w:eastAsia="Tahoma" w:hAnsi="Tahoma" w:cs="Tahoma"/>
          <w:sz w:val="24"/>
          <w:szCs w:val="24"/>
          <w:lang w:val="es"/>
        </w:rPr>
        <w:t>sin considerar q</w:t>
      </w:r>
      <w:r w:rsidR="00FF2A68" w:rsidRPr="003C211E">
        <w:rPr>
          <w:rFonts w:ascii="Tahoma" w:eastAsia="Tahoma" w:hAnsi="Tahoma" w:cs="Tahoma"/>
          <w:sz w:val="24"/>
          <w:szCs w:val="24"/>
          <w:lang w:val="es"/>
        </w:rPr>
        <w:t xml:space="preserve">ue este lo </w:t>
      </w:r>
      <w:r w:rsidRPr="003C211E">
        <w:rPr>
          <w:rFonts w:ascii="Tahoma" w:eastAsia="Tahoma" w:hAnsi="Tahoma" w:cs="Tahoma"/>
          <w:sz w:val="24"/>
          <w:szCs w:val="24"/>
          <w:lang w:val="es"/>
        </w:rPr>
        <w:t xml:space="preserve">aportó el mismo empleador </w:t>
      </w:r>
      <w:r w:rsidR="00FF2A68" w:rsidRPr="003C211E">
        <w:rPr>
          <w:rFonts w:ascii="Tahoma" w:eastAsia="Tahoma" w:hAnsi="Tahoma" w:cs="Tahoma"/>
          <w:sz w:val="24"/>
          <w:szCs w:val="24"/>
          <w:lang w:val="es"/>
        </w:rPr>
        <w:t xml:space="preserve">cuando </w:t>
      </w:r>
      <w:r w:rsidRPr="003C211E">
        <w:rPr>
          <w:rFonts w:ascii="Tahoma" w:eastAsia="Tahoma" w:hAnsi="Tahoma" w:cs="Tahoma"/>
          <w:sz w:val="24"/>
          <w:szCs w:val="24"/>
          <w:lang w:val="es"/>
        </w:rPr>
        <w:t>manifestó el conocimiento del proceso del cobro coactivo</w:t>
      </w:r>
      <w:r w:rsidR="008D3892" w:rsidRPr="003C211E">
        <w:rPr>
          <w:rFonts w:ascii="Tahoma" w:eastAsia="Tahoma" w:hAnsi="Tahoma" w:cs="Tahoma"/>
          <w:sz w:val="24"/>
          <w:szCs w:val="24"/>
          <w:lang w:val="es"/>
        </w:rPr>
        <w:t>,</w:t>
      </w:r>
      <w:r w:rsidR="00FF2A68" w:rsidRPr="003C211E">
        <w:rPr>
          <w:rFonts w:ascii="Tahoma" w:eastAsia="Tahoma" w:hAnsi="Tahoma" w:cs="Tahoma"/>
          <w:sz w:val="24"/>
          <w:szCs w:val="24"/>
          <w:lang w:val="es"/>
        </w:rPr>
        <w:t xml:space="preserve"> además que en </w:t>
      </w:r>
      <w:r w:rsidR="00FF2A68" w:rsidRPr="003C211E">
        <w:rPr>
          <w:rFonts w:ascii="Tahoma" w:eastAsia="Tahoma" w:hAnsi="Tahoma" w:cs="Tahoma"/>
          <w:sz w:val="24"/>
          <w:szCs w:val="24"/>
          <w:lang w:val="es"/>
        </w:rPr>
        <w:lastRenderedPageBreak/>
        <w:t>ningún momento dentro del proceso de cobro coactivo el empleador ha desconocido o negado la existencia de los periodos reclamados</w:t>
      </w:r>
      <w:r w:rsidR="001A7A04" w:rsidRPr="003C211E">
        <w:rPr>
          <w:rFonts w:ascii="Tahoma" w:eastAsia="Tahoma" w:hAnsi="Tahoma" w:cs="Tahoma"/>
          <w:sz w:val="24"/>
          <w:szCs w:val="24"/>
          <w:lang w:val="es"/>
        </w:rPr>
        <w:t>.</w:t>
      </w:r>
    </w:p>
    <w:p w14:paraId="34320D1C" w14:textId="77777777" w:rsidR="001A7A04" w:rsidRPr="003C211E" w:rsidRDefault="001A7A04" w:rsidP="003C211E">
      <w:pPr>
        <w:spacing w:after="0" w:line="276" w:lineRule="auto"/>
        <w:ind w:firstLine="708"/>
        <w:jc w:val="both"/>
        <w:rPr>
          <w:rFonts w:ascii="Tahoma" w:eastAsia="Tahoma" w:hAnsi="Tahoma" w:cs="Tahoma"/>
          <w:sz w:val="24"/>
          <w:szCs w:val="24"/>
          <w:lang w:val="es"/>
        </w:rPr>
      </w:pPr>
    </w:p>
    <w:p w14:paraId="4B46FF4E" w14:textId="25E5CE8A" w:rsidR="00FF2A68" w:rsidRPr="003C211E" w:rsidRDefault="001A7A04" w:rsidP="003C211E">
      <w:pPr>
        <w:spacing w:after="0" w:line="276" w:lineRule="auto"/>
        <w:ind w:firstLine="708"/>
        <w:jc w:val="both"/>
        <w:rPr>
          <w:rFonts w:ascii="Tahoma" w:eastAsia="Tahoma" w:hAnsi="Tahoma" w:cs="Tahoma"/>
          <w:sz w:val="24"/>
          <w:szCs w:val="24"/>
          <w:lang w:val="es"/>
        </w:rPr>
      </w:pPr>
      <w:r w:rsidRPr="003C211E">
        <w:rPr>
          <w:rFonts w:ascii="Tahoma" w:eastAsia="Tahoma" w:hAnsi="Tahoma" w:cs="Tahoma"/>
          <w:sz w:val="24"/>
          <w:szCs w:val="24"/>
          <w:lang w:val="es"/>
        </w:rPr>
        <w:t xml:space="preserve">Asimismo, </w:t>
      </w:r>
      <w:r w:rsidR="00FF2A68" w:rsidRPr="003C211E">
        <w:rPr>
          <w:rFonts w:ascii="Tahoma" w:eastAsia="Tahoma" w:hAnsi="Tahoma" w:cs="Tahoma"/>
          <w:sz w:val="24"/>
          <w:szCs w:val="24"/>
          <w:lang w:val="es"/>
        </w:rPr>
        <w:t>a</w:t>
      </w:r>
      <w:r w:rsidR="305D26C9" w:rsidRPr="003C211E">
        <w:rPr>
          <w:rFonts w:ascii="Tahoma" w:eastAsia="Tahoma" w:hAnsi="Tahoma" w:cs="Tahoma"/>
          <w:sz w:val="24"/>
          <w:szCs w:val="24"/>
          <w:lang w:val="es"/>
        </w:rPr>
        <w:t xml:space="preserve">rguye </w:t>
      </w:r>
      <w:r w:rsidR="00FF2A68" w:rsidRPr="003C211E">
        <w:rPr>
          <w:rFonts w:ascii="Tahoma" w:eastAsia="Tahoma" w:hAnsi="Tahoma" w:cs="Tahoma"/>
          <w:sz w:val="24"/>
          <w:szCs w:val="24"/>
          <w:lang w:val="es"/>
        </w:rPr>
        <w:t>que Colpensiones inició el proceso de cobro por solicitud del demandante y que a la fecha ha hecho caso omiso para informar el estado del mismo, desconocimiento los derechos pensionales</w:t>
      </w:r>
      <w:r w:rsidR="006814B1" w:rsidRPr="003C211E">
        <w:rPr>
          <w:rFonts w:ascii="Tahoma" w:eastAsia="Tahoma" w:hAnsi="Tahoma" w:cs="Tahoma"/>
          <w:sz w:val="24"/>
          <w:szCs w:val="24"/>
          <w:lang w:val="es"/>
        </w:rPr>
        <w:t xml:space="preserve"> de</w:t>
      </w:r>
      <w:r w:rsidR="19DB673F" w:rsidRPr="003C211E">
        <w:rPr>
          <w:rFonts w:ascii="Tahoma" w:eastAsia="Tahoma" w:hAnsi="Tahoma" w:cs="Tahoma"/>
          <w:sz w:val="24"/>
          <w:szCs w:val="24"/>
          <w:lang w:val="es"/>
        </w:rPr>
        <w:t xml:space="preserve"> su prohijado</w:t>
      </w:r>
      <w:r w:rsidR="006814B1" w:rsidRPr="003C211E">
        <w:rPr>
          <w:rFonts w:ascii="Tahoma" w:eastAsia="Tahoma" w:hAnsi="Tahoma" w:cs="Tahoma"/>
          <w:sz w:val="24"/>
          <w:szCs w:val="24"/>
          <w:lang w:val="es"/>
        </w:rPr>
        <w:t>.</w:t>
      </w:r>
    </w:p>
    <w:p w14:paraId="0DDBA552" w14:textId="77777777" w:rsidR="006814B1" w:rsidRPr="003C211E" w:rsidRDefault="006814B1" w:rsidP="003C211E">
      <w:pPr>
        <w:spacing w:after="0" w:line="276" w:lineRule="auto"/>
        <w:jc w:val="both"/>
        <w:rPr>
          <w:rFonts w:ascii="Tahoma" w:eastAsia="Tahoma" w:hAnsi="Tahoma" w:cs="Tahoma"/>
          <w:sz w:val="24"/>
          <w:szCs w:val="24"/>
          <w:lang w:val="es"/>
        </w:rPr>
      </w:pPr>
    </w:p>
    <w:p w14:paraId="3C4EF0B5" w14:textId="26F6FA44" w:rsidR="00235D6A" w:rsidRPr="003C211E" w:rsidRDefault="6A5101EF" w:rsidP="003C211E">
      <w:pPr>
        <w:spacing w:after="0" w:line="276" w:lineRule="auto"/>
        <w:ind w:firstLine="708"/>
        <w:jc w:val="both"/>
        <w:rPr>
          <w:rFonts w:ascii="Tahoma" w:eastAsia="Tahoma" w:hAnsi="Tahoma" w:cs="Tahoma"/>
          <w:sz w:val="24"/>
          <w:szCs w:val="24"/>
          <w:lang w:val="es"/>
        </w:rPr>
      </w:pPr>
      <w:r w:rsidRPr="003C211E">
        <w:rPr>
          <w:rFonts w:ascii="Tahoma" w:eastAsia="Tahoma" w:hAnsi="Tahoma" w:cs="Tahoma"/>
          <w:sz w:val="24"/>
          <w:szCs w:val="24"/>
          <w:lang w:val="es"/>
        </w:rPr>
        <w:t>Tal como se advirtiera en precedencia</w:t>
      </w:r>
      <w:r w:rsidR="008E1F69" w:rsidRPr="003C211E">
        <w:rPr>
          <w:rFonts w:ascii="Tahoma" w:eastAsia="Tahoma" w:hAnsi="Tahoma" w:cs="Tahoma"/>
          <w:sz w:val="24"/>
          <w:szCs w:val="24"/>
          <w:lang w:val="es"/>
        </w:rPr>
        <w:t xml:space="preserve">, al resultar adversa la sentencia a los intereses de la Administradora Colombiana de pensiones se </w:t>
      </w:r>
      <w:r w:rsidR="00BB0244" w:rsidRPr="003C211E">
        <w:rPr>
          <w:rFonts w:ascii="Tahoma" w:eastAsia="Tahoma" w:hAnsi="Tahoma" w:cs="Tahoma"/>
          <w:sz w:val="24"/>
          <w:szCs w:val="24"/>
          <w:lang w:val="es"/>
        </w:rPr>
        <w:t>desatará</w:t>
      </w:r>
      <w:r w:rsidR="008E1F69" w:rsidRPr="003C211E">
        <w:rPr>
          <w:rFonts w:ascii="Tahoma" w:eastAsia="Tahoma" w:hAnsi="Tahoma" w:cs="Tahoma"/>
          <w:sz w:val="24"/>
          <w:szCs w:val="24"/>
          <w:lang w:val="es"/>
        </w:rPr>
        <w:t xml:space="preserve"> el grado jurisdiccional de consulta su favor a la luz del artículo 69 del Código Procesal del Trabajo y de la Seguridad Social.</w:t>
      </w:r>
    </w:p>
    <w:p w14:paraId="7CD34BA3" w14:textId="77777777" w:rsidR="009D2B4F" w:rsidRPr="003C211E" w:rsidRDefault="009D2B4F" w:rsidP="003C211E">
      <w:pPr>
        <w:spacing w:after="0" w:line="276" w:lineRule="auto"/>
        <w:jc w:val="both"/>
        <w:rPr>
          <w:rFonts w:ascii="Tahoma" w:hAnsi="Tahoma" w:cs="Tahoma"/>
          <w:sz w:val="24"/>
          <w:szCs w:val="24"/>
        </w:rPr>
      </w:pPr>
    </w:p>
    <w:p w14:paraId="375316EA" w14:textId="16EF1FD1" w:rsidR="1B4704F1" w:rsidRPr="003C211E" w:rsidRDefault="1B4704F1" w:rsidP="003C211E">
      <w:pPr>
        <w:pStyle w:val="Prrafodelista"/>
        <w:numPr>
          <w:ilvl w:val="0"/>
          <w:numId w:val="3"/>
        </w:numPr>
        <w:spacing w:line="276" w:lineRule="auto"/>
        <w:jc w:val="center"/>
        <w:rPr>
          <w:rFonts w:eastAsiaTheme="minorEastAsia"/>
          <w:b/>
          <w:bCs/>
          <w:sz w:val="24"/>
          <w:szCs w:val="24"/>
        </w:rPr>
      </w:pPr>
      <w:r w:rsidRPr="003C211E">
        <w:rPr>
          <w:b/>
          <w:bCs/>
          <w:sz w:val="24"/>
          <w:szCs w:val="24"/>
          <w:lang w:val="es"/>
        </w:rPr>
        <w:t>Alegatos de conclusión</w:t>
      </w:r>
    </w:p>
    <w:p w14:paraId="07A1E95F" w14:textId="3D01EF24" w:rsidR="00AA0AA7" w:rsidRPr="003C211E" w:rsidRDefault="1B4704F1" w:rsidP="003C211E">
      <w:pPr>
        <w:spacing w:after="0" w:line="276" w:lineRule="auto"/>
        <w:jc w:val="both"/>
        <w:rPr>
          <w:rFonts w:ascii="Tahoma" w:hAnsi="Tahoma" w:cs="Tahoma"/>
          <w:sz w:val="24"/>
          <w:szCs w:val="24"/>
        </w:rPr>
      </w:pPr>
      <w:r w:rsidRPr="003C211E">
        <w:rPr>
          <w:rFonts w:ascii="Tahoma" w:eastAsia="Tahoma" w:hAnsi="Tahoma" w:cs="Tahoma"/>
          <w:sz w:val="24"/>
          <w:szCs w:val="24"/>
        </w:rPr>
        <w:t xml:space="preserve"> </w:t>
      </w:r>
    </w:p>
    <w:p w14:paraId="6E2BA5DE" w14:textId="2276C7BA" w:rsidR="1B4704F1" w:rsidRPr="003C211E" w:rsidRDefault="00DF7C04" w:rsidP="003C211E">
      <w:pPr>
        <w:spacing w:after="0" w:line="276" w:lineRule="auto"/>
        <w:ind w:firstLine="708"/>
        <w:jc w:val="both"/>
        <w:rPr>
          <w:rFonts w:ascii="Tahoma" w:hAnsi="Tahoma" w:cs="Tahoma"/>
          <w:sz w:val="24"/>
          <w:szCs w:val="24"/>
        </w:rPr>
      </w:pPr>
      <w:r w:rsidRPr="003C211E">
        <w:rPr>
          <w:rFonts w:ascii="Tahoma" w:eastAsia="Tahoma" w:hAnsi="Tahoma" w:cs="Tahoma"/>
          <w:sz w:val="24"/>
          <w:szCs w:val="24"/>
        </w:rPr>
        <w:t>A</w:t>
      </w:r>
      <w:r w:rsidR="1B4704F1" w:rsidRPr="003C211E">
        <w:rPr>
          <w:rFonts w:ascii="Tahoma" w:eastAsia="Tahoma" w:hAnsi="Tahoma" w:cs="Tahoma"/>
          <w:sz w:val="24"/>
          <w:szCs w:val="24"/>
        </w:rPr>
        <w:t>nalizados</w:t>
      </w:r>
      <w:r w:rsidR="00C657A1" w:rsidRPr="003C211E">
        <w:rPr>
          <w:rFonts w:ascii="Tahoma" w:eastAsia="Tahoma" w:hAnsi="Tahoma" w:cs="Tahoma"/>
          <w:sz w:val="24"/>
          <w:szCs w:val="24"/>
        </w:rPr>
        <w:t xml:space="preserve"> </w:t>
      </w:r>
      <w:r w:rsidR="1B4704F1" w:rsidRPr="003C211E">
        <w:rPr>
          <w:rFonts w:ascii="Tahoma" w:eastAsia="Tahoma" w:hAnsi="Tahoma" w:cs="Tahoma"/>
          <w:sz w:val="24"/>
          <w:szCs w:val="24"/>
        </w:rPr>
        <w:t xml:space="preserve">los alegatos presentados por </w:t>
      </w:r>
      <w:r w:rsidR="00C548AE" w:rsidRPr="003C211E">
        <w:rPr>
          <w:rFonts w:ascii="Tahoma" w:eastAsia="Tahoma" w:hAnsi="Tahoma" w:cs="Tahoma"/>
          <w:sz w:val="24"/>
          <w:szCs w:val="24"/>
        </w:rPr>
        <w:t>Colpensiones</w:t>
      </w:r>
      <w:r w:rsidR="00BB0244" w:rsidRPr="003C211E">
        <w:rPr>
          <w:rFonts w:ascii="Tahoma" w:eastAsia="Tahoma" w:hAnsi="Tahoma" w:cs="Tahoma"/>
          <w:sz w:val="24"/>
          <w:szCs w:val="24"/>
        </w:rPr>
        <w:t xml:space="preserve">, </w:t>
      </w:r>
      <w:r w:rsidR="1B4704F1" w:rsidRPr="003C211E">
        <w:rPr>
          <w:rFonts w:ascii="Tahoma" w:eastAsia="Tahoma" w:hAnsi="Tahoma" w:cs="Tahoma"/>
          <w:sz w:val="24"/>
          <w:szCs w:val="24"/>
        </w:rPr>
        <w:t>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w:t>
      </w:r>
      <w:r w:rsidR="0094501E" w:rsidRPr="003C211E">
        <w:rPr>
          <w:rFonts w:ascii="Tahoma" w:eastAsia="Tahoma" w:hAnsi="Tahoma" w:cs="Tahoma"/>
          <w:sz w:val="24"/>
          <w:szCs w:val="24"/>
        </w:rPr>
        <w:t xml:space="preserve"> Por otra parte,</w:t>
      </w:r>
      <w:r w:rsidR="00C657A1" w:rsidRPr="003C211E">
        <w:rPr>
          <w:rFonts w:ascii="Tahoma" w:eastAsia="Tahoma" w:hAnsi="Tahoma" w:cs="Tahoma"/>
          <w:sz w:val="24"/>
          <w:szCs w:val="24"/>
        </w:rPr>
        <w:t xml:space="preserve"> </w:t>
      </w:r>
      <w:r w:rsidR="0094501E" w:rsidRPr="003C211E">
        <w:rPr>
          <w:rFonts w:ascii="Tahoma" w:eastAsia="Tahoma" w:hAnsi="Tahoma" w:cs="Tahoma"/>
          <w:sz w:val="24"/>
          <w:szCs w:val="24"/>
        </w:rPr>
        <w:t>el Ministerio Público no conceptuó en este asunto</w:t>
      </w:r>
      <w:r w:rsidR="00BB0244" w:rsidRPr="003C211E">
        <w:rPr>
          <w:rFonts w:ascii="Tahoma" w:eastAsia="Tahoma" w:hAnsi="Tahoma" w:cs="Tahoma"/>
          <w:sz w:val="24"/>
          <w:szCs w:val="24"/>
        </w:rPr>
        <w:t>.</w:t>
      </w:r>
    </w:p>
    <w:p w14:paraId="6FF65595" w14:textId="0346C494" w:rsidR="0016205F" w:rsidRPr="003C211E" w:rsidRDefault="1B4704F1" w:rsidP="003C211E">
      <w:pPr>
        <w:spacing w:after="0" w:line="276" w:lineRule="auto"/>
        <w:jc w:val="both"/>
        <w:rPr>
          <w:rFonts w:ascii="Tahoma" w:hAnsi="Tahoma" w:cs="Tahoma"/>
          <w:sz w:val="24"/>
          <w:szCs w:val="24"/>
        </w:rPr>
      </w:pPr>
      <w:r w:rsidRPr="003C211E">
        <w:rPr>
          <w:rFonts w:ascii="Tahoma" w:eastAsia="Tahoma" w:hAnsi="Tahoma" w:cs="Tahoma"/>
          <w:sz w:val="24"/>
          <w:szCs w:val="24"/>
        </w:rPr>
        <w:t xml:space="preserve"> </w:t>
      </w:r>
    </w:p>
    <w:p w14:paraId="0B4D1CF3" w14:textId="4D7C1683" w:rsidR="1B4704F1" w:rsidRPr="003C211E" w:rsidRDefault="1B4704F1" w:rsidP="003C211E">
      <w:pPr>
        <w:pStyle w:val="Prrafodelista"/>
        <w:numPr>
          <w:ilvl w:val="0"/>
          <w:numId w:val="3"/>
        </w:numPr>
        <w:spacing w:line="276" w:lineRule="auto"/>
        <w:jc w:val="center"/>
        <w:rPr>
          <w:rFonts w:eastAsiaTheme="minorEastAsia"/>
          <w:b/>
          <w:bCs/>
          <w:sz w:val="24"/>
          <w:szCs w:val="24"/>
        </w:rPr>
      </w:pPr>
      <w:r w:rsidRPr="003C211E">
        <w:rPr>
          <w:b/>
          <w:bCs/>
          <w:sz w:val="24"/>
          <w:szCs w:val="24"/>
          <w:lang w:val="es"/>
        </w:rPr>
        <w:t>Problemas jurídicos por resolver</w:t>
      </w:r>
    </w:p>
    <w:p w14:paraId="6E933D75" w14:textId="28CA93FE" w:rsidR="1B4704F1" w:rsidRPr="003C211E" w:rsidRDefault="1B4704F1" w:rsidP="003C211E">
      <w:pPr>
        <w:spacing w:after="0" w:line="276" w:lineRule="auto"/>
        <w:jc w:val="both"/>
        <w:rPr>
          <w:rFonts w:ascii="Tahoma" w:hAnsi="Tahoma" w:cs="Tahoma"/>
          <w:sz w:val="24"/>
          <w:szCs w:val="24"/>
        </w:rPr>
      </w:pPr>
      <w:r w:rsidRPr="003C211E">
        <w:rPr>
          <w:rFonts w:ascii="Tahoma" w:eastAsia="Times New Roman" w:hAnsi="Tahoma" w:cs="Tahoma"/>
          <w:sz w:val="24"/>
          <w:szCs w:val="24"/>
        </w:rPr>
        <w:t xml:space="preserve"> </w:t>
      </w:r>
    </w:p>
    <w:bookmarkEnd w:id="3"/>
    <w:p w14:paraId="15C3DA3E" w14:textId="57308111" w:rsidR="004D57BB" w:rsidRPr="003C211E" w:rsidRDefault="004A2396" w:rsidP="003C211E">
      <w:pPr>
        <w:widowControl w:val="0"/>
        <w:autoSpaceDE w:val="0"/>
        <w:autoSpaceDN w:val="0"/>
        <w:adjustRightInd w:val="0"/>
        <w:spacing w:after="0" w:line="276" w:lineRule="auto"/>
        <w:ind w:firstLine="708"/>
        <w:jc w:val="both"/>
        <w:rPr>
          <w:rFonts w:ascii="Tahoma" w:eastAsia="Tahoma" w:hAnsi="Tahoma" w:cs="Tahoma"/>
          <w:sz w:val="24"/>
          <w:szCs w:val="24"/>
          <w:lang w:val="es-ES"/>
        </w:rPr>
      </w:pPr>
      <w:r w:rsidRPr="003C211E">
        <w:rPr>
          <w:rFonts w:ascii="Tahoma" w:eastAsia="Tahoma" w:hAnsi="Tahoma" w:cs="Tahoma"/>
          <w:sz w:val="24"/>
          <w:szCs w:val="24"/>
          <w:lang w:val="es-ES"/>
        </w:rPr>
        <w:t xml:space="preserve">El problema jurídico se circunscribe en este caso a verificar si el demandante tiene derecho al disfrute de la pensión de vejez consagrada en </w:t>
      </w:r>
      <w:r w:rsidR="003E04E8" w:rsidRPr="003C211E">
        <w:rPr>
          <w:rFonts w:ascii="Tahoma" w:eastAsia="Tahoma" w:hAnsi="Tahoma" w:cs="Tahoma"/>
          <w:sz w:val="24"/>
          <w:szCs w:val="24"/>
          <w:lang w:val="es-ES"/>
        </w:rPr>
        <w:t xml:space="preserve">el </w:t>
      </w:r>
      <w:r w:rsidRPr="003C211E">
        <w:rPr>
          <w:rFonts w:ascii="Tahoma" w:eastAsia="Tahoma" w:hAnsi="Tahoma" w:cs="Tahoma"/>
          <w:sz w:val="24"/>
          <w:szCs w:val="24"/>
          <w:lang w:val="es-ES"/>
        </w:rPr>
        <w:t xml:space="preserve">artículo 33 de la </w:t>
      </w:r>
      <w:r w:rsidRPr="003C211E">
        <w:rPr>
          <w:rFonts w:ascii="Tahoma" w:eastAsia="Tahoma" w:hAnsi="Tahoma" w:cs="Tahoma"/>
          <w:sz w:val="24"/>
          <w:szCs w:val="24"/>
        </w:rPr>
        <w:t>Ley 100 de 1993, modificado por el artículo 9 de la Ley 797 de 2003</w:t>
      </w:r>
      <w:r w:rsidR="00B06D2E" w:rsidRPr="003C211E">
        <w:rPr>
          <w:rFonts w:ascii="Tahoma" w:eastAsia="Tahoma" w:hAnsi="Tahoma" w:cs="Tahoma"/>
          <w:sz w:val="24"/>
          <w:szCs w:val="24"/>
          <w:lang w:val="es-ES"/>
        </w:rPr>
        <w:t xml:space="preserve"> </w:t>
      </w:r>
      <w:r w:rsidR="2EAC7D40" w:rsidRPr="003C211E">
        <w:rPr>
          <w:rFonts w:ascii="Tahoma" w:eastAsia="Tahoma" w:hAnsi="Tahoma" w:cs="Tahoma"/>
          <w:sz w:val="24"/>
          <w:szCs w:val="24"/>
          <w:lang w:val="es-ES"/>
        </w:rPr>
        <w:t>y, en caso afirmativo, a partir de qué fecha</w:t>
      </w:r>
      <w:r w:rsidR="00B06D2E" w:rsidRPr="003C211E">
        <w:rPr>
          <w:rFonts w:ascii="Tahoma" w:eastAsia="Tahoma" w:hAnsi="Tahoma" w:cs="Tahoma"/>
          <w:sz w:val="24"/>
          <w:szCs w:val="24"/>
        </w:rPr>
        <w:t>.</w:t>
      </w:r>
    </w:p>
    <w:p w14:paraId="56268C0D" w14:textId="77777777" w:rsidR="00B06D2E" w:rsidRPr="003C211E" w:rsidRDefault="00B06D2E" w:rsidP="003C211E">
      <w:pPr>
        <w:widowControl w:val="0"/>
        <w:autoSpaceDE w:val="0"/>
        <w:autoSpaceDN w:val="0"/>
        <w:adjustRightInd w:val="0"/>
        <w:spacing w:after="0" w:line="276" w:lineRule="auto"/>
        <w:ind w:firstLine="708"/>
        <w:jc w:val="both"/>
        <w:rPr>
          <w:rFonts w:ascii="Tahoma" w:eastAsia="Tahoma" w:hAnsi="Tahoma" w:cs="Tahoma"/>
          <w:sz w:val="24"/>
          <w:szCs w:val="24"/>
          <w:lang w:val="es-ES"/>
        </w:rPr>
      </w:pPr>
    </w:p>
    <w:p w14:paraId="11034AB4" w14:textId="6084B247" w:rsidR="004D57BB" w:rsidRPr="003C211E" w:rsidRDefault="004D57BB" w:rsidP="003C211E">
      <w:pPr>
        <w:pStyle w:val="Prrafodelista"/>
        <w:numPr>
          <w:ilvl w:val="0"/>
          <w:numId w:val="16"/>
        </w:numPr>
        <w:adjustRightInd w:val="0"/>
        <w:spacing w:line="276" w:lineRule="auto"/>
        <w:jc w:val="center"/>
        <w:rPr>
          <w:rFonts w:eastAsia="Calibri"/>
          <w:b/>
          <w:bCs/>
          <w:sz w:val="24"/>
          <w:szCs w:val="24"/>
        </w:rPr>
      </w:pPr>
      <w:r w:rsidRPr="003C211E">
        <w:rPr>
          <w:rFonts w:eastAsia="Calibri"/>
          <w:b/>
          <w:bCs/>
          <w:sz w:val="24"/>
          <w:szCs w:val="24"/>
        </w:rPr>
        <w:t>Consideraciones</w:t>
      </w:r>
    </w:p>
    <w:p w14:paraId="46559F80" w14:textId="77777777" w:rsidR="004D57BB" w:rsidRPr="003C211E" w:rsidRDefault="004D57BB" w:rsidP="003C211E">
      <w:pPr>
        <w:widowControl w:val="0"/>
        <w:autoSpaceDE w:val="0"/>
        <w:autoSpaceDN w:val="0"/>
        <w:adjustRightInd w:val="0"/>
        <w:spacing w:after="0" w:line="276" w:lineRule="auto"/>
        <w:ind w:firstLine="284"/>
        <w:jc w:val="both"/>
        <w:rPr>
          <w:rFonts w:ascii="Tahoma" w:eastAsia="Calibri" w:hAnsi="Tahoma" w:cs="Tahoma"/>
          <w:b/>
          <w:sz w:val="24"/>
          <w:szCs w:val="24"/>
        </w:rPr>
      </w:pPr>
    </w:p>
    <w:p w14:paraId="4F64A82D" w14:textId="4DF26C3E" w:rsidR="003E04E8" w:rsidRPr="003C211E" w:rsidRDefault="003E04E8" w:rsidP="003C211E">
      <w:pPr>
        <w:pStyle w:val="Prrafodelista"/>
        <w:numPr>
          <w:ilvl w:val="1"/>
          <w:numId w:val="16"/>
        </w:numPr>
        <w:adjustRightInd w:val="0"/>
        <w:spacing w:line="276" w:lineRule="auto"/>
        <w:rPr>
          <w:rFonts w:eastAsia="Calibri"/>
          <w:b/>
          <w:sz w:val="24"/>
          <w:szCs w:val="24"/>
        </w:rPr>
      </w:pPr>
      <w:r w:rsidRPr="003C211E">
        <w:rPr>
          <w:rFonts w:eastAsia="Calibri"/>
          <w:b/>
          <w:sz w:val="24"/>
          <w:szCs w:val="24"/>
        </w:rPr>
        <w:t>Mora del empleador en el pago de aportes pensiones</w:t>
      </w:r>
    </w:p>
    <w:p w14:paraId="4E7DAEA2" w14:textId="77777777" w:rsidR="00671AE3" w:rsidRPr="003C211E" w:rsidRDefault="00671AE3" w:rsidP="003C211E">
      <w:pPr>
        <w:widowControl w:val="0"/>
        <w:autoSpaceDE w:val="0"/>
        <w:autoSpaceDN w:val="0"/>
        <w:adjustRightInd w:val="0"/>
        <w:spacing w:after="0" w:line="276" w:lineRule="auto"/>
        <w:jc w:val="both"/>
        <w:rPr>
          <w:rFonts w:ascii="Tahoma" w:eastAsia="Calibri" w:hAnsi="Tahoma" w:cs="Tahoma"/>
          <w:b/>
          <w:sz w:val="24"/>
          <w:szCs w:val="24"/>
        </w:rPr>
      </w:pPr>
    </w:p>
    <w:p w14:paraId="2BC4A599" w14:textId="1C477466" w:rsidR="00FB085E" w:rsidRPr="003C211E" w:rsidRDefault="00FB085E" w:rsidP="003C211E">
      <w:pPr>
        <w:widowControl w:val="0"/>
        <w:autoSpaceDE w:val="0"/>
        <w:autoSpaceDN w:val="0"/>
        <w:adjustRightInd w:val="0"/>
        <w:spacing w:after="0" w:line="276" w:lineRule="auto"/>
        <w:ind w:firstLine="708"/>
        <w:jc w:val="both"/>
        <w:rPr>
          <w:rFonts w:ascii="Tahoma" w:eastAsia="Calibri" w:hAnsi="Tahoma" w:cs="Tahoma"/>
          <w:bCs/>
          <w:sz w:val="24"/>
          <w:szCs w:val="24"/>
        </w:rPr>
      </w:pPr>
      <w:r w:rsidRPr="003C211E">
        <w:rPr>
          <w:rFonts w:ascii="Tahoma" w:eastAsia="Calibri" w:hAnsi="Tahoma" w:cs="Tahoma"/>
          <w:bCs/>
          <w:sz w:val="24"/>
          <w:szCs w:val="24"/>
        </w:rPr>
        <w:t>Tal como se estableció en la sentencia SL 537 de 2019</w:t>
      </w:r>
      <w:r w:rsidR="003F6075" w:rsidRPr="003C211E">
        <w:rPr>
          <w:rStyle w:val="Refdenotaalpie"/>
          <w:rFonts w:ascii="Tahoma" w:eastAsia="Calibri" w:hAnsi="Tahoma" w:cs="Tahoma"/>
          <w:bCs/>
          <w:sz w:val="24"/>
          <w:szCs w:val="24"/>
        </w:rPr>
        <w:footnoteReference w:id="1"/>
      </w:r>
      <w:r w:rsidRPr="003C211E">
        <w:rPr>
          <w:rFonts w:ascii="Tahoma" w:eastAsia="Calibri" w:hAnsi="Tahoma" w:cs="Tahoma"/>
          <w:bCs/>
          <w:sz w:val="24"/>
          <w:szCs w:val="24"/>
        </w:rPr>
        <w:t xml:space="preserve"> el trabajador dependiente cumple con su deber de cotizar, realizando la labor para la que fue contratado, y es al empleador, posterior a la afiliación, a quien, de conformidad con lo señalado en el artículo 22 de la Ley 100 de 1993, le corresponde realizar el pago a la administradora</w:t>
      </w:r>
      <w:r w:rsidR="003F6075" w:rsidRPr="003C211E">
        <w:rPr>
          <w:rFonts w:ascii="Tahoma" w:eastAsia="Calibri" w:hAnsi="Tahoma" w:cs="Tahoma"/>
          <w:bCs/>
          <w:sz w:val="24"/>
          <w:szCs w:val="24"/>
        </w:rPr>
        <w:t>.</w:t>
      </w:r>
    </w:p>
    <w:p w14:paraId="7C492339" w14:textId="1CD94E6D" w:rsidR="00671AE3" w:rsidRPr="003C211E" w:rsidRDefault="00671AE3" w:rsidP="003C211E">
      <w:pPr>
        <w:widowControl w:val="0"/>
        <w:autoSpaceDE w:val="0"/>
        <w:autoSpaceDN w:val="0"/>
        <w:adjustRightInd w:val="0"/>
        <w:spacing w:after="0" w:line="276" w:lineRule="auto"/>
        <w:ind w:firstLine="708"/>
        <w:jc w:val="both"/>
        <w:rPr>
          <w:rFonts w:ascii="Tahoma" w:eastAsia="Calibri" w:hAnsi="Tahoma" w:cs="Tahoma"/>
          <w:bCs/>
          <w:sz w:val="24"/>
          <w:szCs w:val="24"/>
        </w:rPr>
      </w:pPr>
    </w:p>
    <w:p w14:paraId="7DA6D076" w14:textId="7F513D05" w:rsidR="003E04E8" w:rsidRPr="003C211E" w:rsidRDefault="00671AE3" w:rsidP="003C211E">
      <w:pPr>
        <w:widowControl w:val="0"/>
        <w:autoSpaceDE w:val="0"/>
        <w:autoSpaceDN w:val="0"/>
        <w:adjustRightInd w:val="0"/>
        <w:spacing w:after="0" w:line="276" w:lineRule="auto"/>
        <w:ind w:firstLine="708"/>
        <w:jc w:val="both"/>
        <w:rPr>
          <w:rFonts w:ascii="Tahoma" w:eastAsia="Calibri" w:hAnsi="Tahoma" w:cs="Tahoma"/>
          <w:sz w:val="24"/>
          <w:szCs w:val="24"/>
        </w:rPr>
      </w:pPr>
      <w:r w:rsidRPr="003C211E">
        <w:rPr>
          <w:rFonts w:ascii="Tahoma" w:eastAsia="Calibri" w:hAnsi="Tahoma" w:cs="Tahoma"/>
          <w:sz w:val="24"/>
          <w:szCs w:val="24"/>
        </w:rPr>
        <w:t>En este sentido</w:t>
      </w:r>
      <w:r w:rsidR="4FDE3CC9" w:rsidRPr="003C211E">
        <w:rPr>
          <w:rFonts w:ascii="Tahoma" w:eastAsia="Calibri" w:hAnsi="Tahoma" w:cs="Tahoma"/>
          <w:sz w:val="24"/>
          <w:szCs w:val="24"/>
        </w:rPr>
        <w:t>,</w:t>
      </w:r>
      <w:r w:rsidRPr="003C211E">
        <w:rPr>
          <w:rFonts w:ascii="Tahoma" w:eastAsia="Calibri" w:hAnsi="Tahoma" w:cs="Tahoma"/>
          <w:sz w:val="24"/>
          <w:szCs w:val="24"/>
        </w:rPr>
        <w:t xml:space="preserve"> desde la sentencia SL 34270 de 2008 la Corte Suprema de Justicia varió su jurisprudencia respecto a los efectos de la mora del empleador en el pago de los aportes al Sistema de Seguridad Social en Pensiones, en síntesis la Corte sentó que ante el incumplimiento de la respectiva administradora, le corresponde a esta el pago de las prestaciones subrogadas a su cargo tanto a los afiliados como a los beneficiarios, para lo cual es menester verificar si la administradora cumplió con el deber especifico de cobro</w:t>
      </w:r>
      <w:r w:rsidR="00012F12" w:rsidRPr="003C211E">
        <w:rPr>
          <w:rFonts w:ascii="Tahoma" w:eastAsia="Calibri" w:hAnsi="Tahoma" w:cs="Tahoma"/>
          <w:sz w:val="24"/>
          <w:szCs w:val="24"/>
        </w:rPr>
        <w:t xml:space="preserve"> </w:t>
      </w:r>
      <w:r w:rsidR="003E04E8" w:rsidRPr="003C211E">
        <w:rPr>
          <w:rFonts w:ascii="Tahoma" w:eastAsia="Calibri" w:hAnsi="Tahoma" w:cs="Tahoma"/>
          <w:sz w:val="24"/>
          <w:szCs w:val="24"/>
          <w:lang w:val="es-ES"/>
        </w:rPr>
        <w:t xml:space="preserve">de conformidad con lo ordenado en el artículo 24 de la Ley </w:t>
      </w:r>
      <w:r w:rsidR="003E04E8" w:rsidRPr="003C211E">
        <w:rPr>
          <w:rFonts w:ascii="Tahoma" w:eastAsia="Calibri" w:hAnsi="Tahoma" w:cs="Tahoma"/>
          <w:sz w:val="24"/>
          <w:szCs w:val="24"/>
          <w:lang w:val="es-ES"/>
        </w:rPr>
        <w:lastRenderedPageBreak/>
        <w:t>10</w:t>
      </w:r>
      <w:r w:rsidR="00C34EAB" w:rsidRPr="003C211E">
        <w:rPr>
          <w:rFonts w:ascii="Tahoma" w:eastAsia="Calibri" w:hAnsi="Tahoma" w:cs="Tahoma"/>
          <w:sz w:val="24"/>
          <w:szCs w:val="24"/>
          <w:lang w:val="es-ES"/>
        </w:rPr>
        <w:t>0 de 19</w:t>
      </w:r>
      <w:r w:rsidR="003E04E8" w:rsidRPr="003C211E">
        <w:rPr>
          <w:rFonts w:ascii="Tahoma" w:eastAsia="Calibri" w:hAnsi="Tahoma" w:cs="Tahoma"/>
          <w:sz w:val="24"/>
          <w:szCs w:val="24"/>
          <w:lang w:val="es-ES"/>
        </w:rPr>
        <w:t>93</w:t>
      </w:r>
      <w:r w:rsidR="00D65E91" w:rsidRPr="003C211E">
        <w:rPr>
          <w:rFonts w:ascii="Tahoma" w:eastAsia="Calibri" w:hAnsi="Tahoma" w:cs="Tahoma"/>
          <w:sz w:val="24"/>
          <w:szCs w:val="24"/>
          <w:lang w:val="es-ES"/>
        </w:rPr>
        <w:t>, al respecto en la sentencia SL 1889 de 2021</w:t>
      </w:r>
      <w:r w:rsidR="00D65E91" w:rsidRPr="003C211E">
        <w:rPr>
          <w:rStyle w:val="Refdenotaalpie"/>
          <w:rFonts w:ascii="Tahoma" w:eastAsia="Calibri" w:hAnsi="Tahoma" w:cs="Tahoma"/>
          <w:sz w:val="24"/>
          <w:szCs w:val="24"/>
          <w:lang w:val="es-ES"/>
        </w:rPr>
        <w:footnoteReference w:id="2"/>
      </w:r>
      <w:r w:rsidR="00D65E91" w:rsidRPr="003C211E">
        <w:rPr>
          <w:rFonts w:ascii="Tahoma" w:eastAsia="Calibri" w:hAnsi="Tahoma" w:cs="Tahoma"/>
          <w:sz w:val="24"/>
          <w:szCs w:val="24"/>
          <w:lang w:val="es-ES"/>
        </w:rPr>
        <w:t xml:space="preserve"> </w:t>
      </w:r>
      <w:r w:rsidR="003F6075" w:rsidRPr="003C211E">
        <w:rPr>
          <w:rFonts w:ascii="Tahoma" w:eastAsia="Calibri" w:hAnsi="Tahoma" w:cs="Tahoma"/>
          <w:sz w:val="24"/>
          <w:szCs w:val="24"/>
          <w:lang w:val="es-ES"/>
        </w:rPr>
        <w:t xml:space="preserve">se </w:t>
      </w:r>
      <w:r w:rsidR="00D65E91" w:rsidRPr="003C211E">
        <w:rPr>
          <w:rFonts w:ascii="Tahoma" w:eastAsia="Calibri" w:hAnsi="Tahoma" w:cs="Tahoma"/>
          <w:sz w:val="24"/>
          <w:szCs w:val="24"/>
          <w:lang w:val="es-ES"/>
        </w:rPr>
        <w:t xml:space="preserve">expuso: </w:t>
      </w:r>
    </w:p>
    <w:p w14:paraId="70DCD746" w14:textId="633B7F01" w:rsidR="00D65E91" w:rsidRPr="003C211E" w:rsidRDefault="00D65E91" w:rsidP="003C211E">
      <w:pPr>
        <w:widowControl w:val="0"/>
        <w:autoSpaceDE w:val="0"/>
        <w:autoSpaceDN w:val="0"/>
        <w:adjustRightInd w:val="0"/>
        <w:spacing w:after="0" w:line="276" w:lineRule="auto"/>
        <w:ind w:firstLine="708"/>
        <w:jc w:val="both"/>
        <w:rPr>
          <w:rFonts w:ascii="Tahoma" w:eastAsia="Calibri" w:hAnsi="Tahoma" w:cs="Tahoma"/>
          <w:bCs/>
          <w:sz w:val="24"/>
          <w:szCs w:val="24"/>
          <w:lang w:val="es-ES"/>
        </w:rPr>
      </w:pPr>
    </w:p>
    <w:p w14:paraId="18F4ECFA" w14:textId="57275392" w:rsidR="00B16EC0" w:rsidRPr="00725584" w:rsidRDefault="00B16EC0" w:rsidP="00725584">
      <w:pPr>
        <w:spacing w:after="0" w:line="240" w:lineRule="auto"/>
        <w:ind w:left="426" w:right="420" w:firstLine="709"/>
        <w:jc w:val="both"/>
        <w:rPr>
          <w:rFonts w:ascii="Tahoma" w:hAnsi="Tahoma" w:cs="Tahoma"/>
          <w:i/>
          <w:iCs/>
          <w:szCs w:val="24"/>
        </w:rPr>
      </w:pPr>
      <w:r w:rsidRPr="00725584">
        <w:rPr>
          <w:rFonts w:ascii="Tahoma" w:hAnsi="Tahoma" w:cs="Tahoma"/>
          <w:i/>
          <w:iCs/>
          <w:szCs w:val="24"/>
        </w:rPr>
        <w:t>“A propósito del deber que tienen las entidades administradoras de pensiones, de cualquiera de los dos regímenes, de efectuar las acciones de cobro contra los empleadores morosos, so pena de computar esas semanas para efectos del reconocimiento pensional debido a su omisión en esas gestiones persuasivas, téngase presente que en el proveído CSJ SL1355-2019, que recapitula muchas otras decisiones, se precisó que, en todo caso, para que pueda hablarse de mora patronal, es necesario que existan pruebas razonables sobre la existencia de un vínculo laboral”.</w:t>
      </w:r>
    </w:p>
    <w:p w14:paraId="03983A81" w14:textId="77777777" w:rsidR="003E04E8" w:rsidRPr="003C211E" w:rsidRDefault="003E04E8" w:rsidP="003C211E">
      <w:pPr>
        <w:widowControl w:val="0"/>
        <w:autoSpaceDE w:val="0"/>
        <w:autoSpaceDN w:val="0"/>
        <w:adjustRightInd w:val="0"/>
        <w:spacing w:after="0" w:line="276" w:lineRule="auto"/>
        <w:jc w:val="both"/>
        <w:rPr>
          <w:rFonts w:ascii="Tahoma" w:eastAsia="Calibri" w:hAnsi="Tahoma" w:cs="Tahoma"/>
          <w:bCs/>
          <w:sz w:val="24"/>
          <w:szCs w:val="24"/>
          <w:lang w:val="es-ES"/>
        </w:rPr>
      </w:pPr>
    </w:p>
    <w:p w14:paraId="08EE12FA" w14:textId="124F6C9D" w:rsidR="00D65E91" w:rsidRPr="003C211E" w:rsidRDefault="00B16EC0" w:rsidP="003C211E">
      <w:pPr>
        <w:widowControl w:val="0"/>
        <w:autoSpaceDE w:val="0"/>
        <w:autoSpaceDN w:val="0"/>
        <w:adjustRightInd w:val="0"/>
        <w:spacing w:after="0" w:line="276" w:lineRule="auto"/>
        <w:ind w:firstLine="708"/>
        <w:jc w:val="both"/>
        <w:rPr>
          <w:rFonts w:ascii="Tahoma" w:eastAsia="Calibri" w:hAnsi="Tahoma" w:cs="Tahoma"/>
          <w:bCs/>
          <w:sz w:val="24"/>
          <w:szCs w:val="24"/>
          <w:lang w:val="es-ES"/>
        </w:rPr>
      </w:pPr>
      <w:r w:rsidRPr="003C211E">
        <w:rPr>
          <w:rFonts w:ascii="Tahoma" w:eastAsia="Calibri" w:hAnsi="Tahoma" w:cs="Tahoma"/>
          <w:bCs/>
          <w:sz w:val="24"/>
          <w:szCs w:val="24"/>
          <w:lang w:val="es-ES"/>
        </w:rPr>
        <w:t xml:space="preserve">Como se evidencia, </w:t>
      </w:r>
      <w:r w:rsidR="003E04E8" w:rsidRPr="003C211E">
        <w:rPr>
          <w:rFonts w:ascii="Tahoma" w:eastAsia="Calibri" w:hAnsi="Tahoma" w:cs="Tahoma"/>
          <w:bCs/>
          <w:sz w:val="24"/>
          <w:szCs w:val="24"/>
          <w:lang w:val="es-ES"/>
        </w:rPr>
        <w:t xml:space="preserve">para los trabajadores dependientes afiliados al Sistema General de Pensiones, la condición de cotizante está dada principalmente por la vigencia de la relación laboral, por lo tanto, es solo durante el tiempo de la prestación efectiva del servicio que se causan las cotizaciones y se adquiere la categoría de </w:t>
      </w:r>
      <w:r w:rsidRPr="003C211E">
        <w:rPr>
          <w:rFonts w:ascii="Tahoma" w:eastAsia="Calibri" w:hAnsi="Tahoma" w:cs="Tahoma"/>
          <w:bCs/>
          <w:sz w:val="24"/>
          <w:szCs w:val="24"/>
          <w:lang w:val="es-ES"/>
        </w:rPr>
        <w:t>afiliado.</w:t>
      </w:r>
    </w:p>
    <w:p w14:paraId="0C068187" w14:textId="77777777" w:rsidR="00012F12" w:rsidRPr="003C211E" w:rsidRDefault="00012F12" w:rsidP="003C211E">
      <w:pPr>
        <w:widowControl w:val="0"/>
        <w:autoSpaceDE w:val="0"/>
        <w:autoSpaceDN w:val="0"/>
        <w:adjustRightInd w:val="0"/>
        <w:spacing w:after="0" w:line="276" w:lineRule="auto"/>
        <w:ind w:firstLine="708"/>
        <w:jc w:val="both"/>
        <w:rPr>
          <w:rFonts w:ascii="Tahoma" w:eastAsia="Calibri" w:hAnsi="Tahoma" w:cs="Tahoma"/>
          <w:bCs/>
          <w:sz w:val="24"/>
          <w:szCs w:val="24"/>
          <w:lang w:val="es-ES"/>
        </w:rPr>
      </w:pPr>
    </w:p>
    <w:p w14:paraId="0249A5D4" w14:textId="5E6B60F3" w:rsidR="00161D8A" w:rsidRPr="003C211E" w:rsidRDefault="003E04E8" w:rsidP="003C211E">
      <w:pPr>
        <w:widowControl w:val="0"/>
        <w:autoSpaceDE w:val="0"/>
        <w:autoSpaceDN w:val="0"/>
        <w:adjustRightInd w:val="0"/>
        <w:spacing w:after="0" w:line="276" w:lineRule="auto"/>
        <w:ind w:firstLine="708"/>
        <w:jc w:val="both"/>
        <w:rPr>
          <w:rFonts w:ascii="Tahoma" w:eastAsia="Calibri" w:hAnsi="Tahoma" w:cs="Tahoma"/>
          <w:bCs/>
          <w:sz w:val="24"/>
          <w:szCs w:val="24"/>
          <w:lang w:val="es-ES"/>
        </w:rPr>
      </w:pPr>
      <w:r w:rsidRPr="003C211E">
        <w:rPr>
          <w:rFonts w:ascii="Tahoma" w:eastAsia="Calibri" w:hAnsi="Tahoma" w:cs="Tahoma"/>
          <w:bCs/>
          <w:sz w:val="24"/>
          <w:szCs w:val="24"/>
          <w:lang w:val="es-ES"/>
        </w:rPr>
        <w:t xml:space="preserve">Así pues, </w:t>
      </w:r>
      <w:bookmarkStart w:id="4" w:name="_Hlk93918738"/>
      <w:r w:rsidRPr="003C211E">
        <w:rPr>
          <w:rFonts w:ascii="Tahoma" w:eastAsia="Calibri" w:hAnsi="Tahoma" w:cs="Tahoma"/>
          <w:bCs/>
          <w:sz w:val="24"/>
          <w:szCs w:val="24"/>
          <w:lang w:val="es-ES"/>
        </w:rPr>
        <w:t>cuando se alega la mora patronal,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 por ejemplo, por la interrupción de las cotizaciones por parte de un empleador sin que medie la novedad de retiro.</w:t>
      </w:r>
    </w:p>
    <w:p w14:paraId="340A78D8" w14:textId="77777777" w:rsidR="003E04E8" w:rsidRPr="003C211E" w:rsidRDefault="003E04E8" w:rsidP="003C211E">
      <w:pPr>
        <w:widowControl w:val="0"/>
        <w:autoSpaceDE w:val="0"/>
        <w:autoSpaceDN w:val="0"/>
        <w:adjustRightInd w:val="0"/>
        <w:spacing w:after="0" w:line="276" w:lineRule="auto"/>
        <w:ind w:firstLine="708"/>
        <w:jc w:val="both"/>
        <w:rPr>
          <w:rFonts w:ascii="Tahoma" w:eastAsia="Calibri" w:hAnsi="Tahoma" w:cs="Tahoma"/>
          <w:bCs/>
          <w:sz w:val="24"/>
          <w:szCs w:val="24"/>
          <w:lang w:val="es-ES"/>
        </w:rPr>
      </w:pPr>
    </w:p>
    <w:p w14:paraId="10CAD0EA" w14:textId="58732731" w:rsidR="003E04E8" w:rsidRPr="003C211E" w:rsidRDefault="003E04E8" w:rsidP="003C211E">
      <w:pPr>
        <w:widowControl w:val="0"/>
        <w:autoSpaceDE w:val="0"/>
        <w:autoSpaceDN w:val="0"/>
        <w:adjustRightInd w:val="0"/>
        <w:spacing w:after="0" w:line="276" w:lineRule="auto"/>
        <w:ind w:firstLine="708"/>
        <w:jc w:val="both"/>
        <w:rPr>
          <w:rFonts w:ascii="Tahoma" w:eastAsia="Calibri" w:hAnsi="Tahoma" w:cs="Tahoma"/>
          <w:bCs/>
          <w:sz w:val="24"/>
          <w:szCs w:val="24"/>
          <w:lang w:val="es-ES"/>
        </w:rPr>
      </w:pPr>
      <w:r w:rsidRPr="003C211E">
        <w:rPr>
          <w:rFonts w:ascii="Tahoma" w:eastAsia="Calibri" w:hAnsi="Tahoma" w:cs="Tahoma"/>
          <w:bCs/>
          <w:sz w:val="24"/>
          <w:szCs w:val="24"/>
          <w:lang w:val="es-ES"/>
        </w:rPr>
        <w:t xml:space="preserve">Más allá de esa prudente exigencia, la Sala de Casación Laboral de la Corte Suprema de Justicia ha considerado, que, si no hay gestión de cobro por parte de la entidad de seguridad social, no puede existir la declaratoria de </w:t>
      </w:r>
      <w:r w:rsidRPr="003C211E">
        <w:rPr>
          <w:rFonts w:ascii="Tahoma" w:eastAsia="Calibri" w:hAnsi="Tahoma" w:cs="Tahoma"/>
          <w:bCs/>
          <w:i/>
          <w:sz w:val="24"/>
          <w:szCs w:val="24"/>
          <w:lang w:val="es-ES"/>
        </w:rPr>
        <w:t xml:space="preserve">«deuda incobrable» </w:t>
      </w:r>
      <w:r w:rsidRPr="003C211E">
        <w:rPr>
          <w:rFonts w:ascii="Tahoma" w:eastAsia="Calibri" w:hAnsi="Tahoma" w:cs="Tahoma"/>
          <w:bCs/>
          <w:sz w:val="24"/>
          <w:szCs w:val="24"/>
          <w:lang w:val="es-ES"/>
        </w:rPr>
        <w:t xml:space="preserve">sobre las cotizaciones que se registran en mora, por lo que no cabrían los efectos del artículo 75 del Decreto 2665 de 1988, </w:t>
      </w:r>
      <w:r w:rsidR="00FB085E" w:rsidRPr="003C211E">
        <w:rPr>
          <w:rFonts w:ascii="Tahoma" w:eastAsia="Calibri" w:hAnsi="Tahoma" w:cs="Tahoma"/>
          <w:bCs/>
          <w:sz w:val="24"/>
          <w:szCs w:val="24"/>
          <w:lang w:val="es-ES"/>
        </w:rPr>
        <w:t>cuáles</w:t>
      </w:r>
      <w:r w:rsidRPr="003C211E">
        <w:rPr>
          <w:rFonts w:ascii="Tahoma" w:eastAsia="Calibri" w:hAnsi="Tahoma" w:cs="Tahoma"/>
          <w:bCs/>
          <w:sz w:val="24"/>
          <w:szCs w:val="24"/>
          <w:lang w:val="es-ES"/>
        </w:rPr>
        <w:t xml:space="preserve"> son los de tener por inexistentes esas cotizaciones.</w:t>
      </w:r>
      <w:bookmarkEnd w:id="4"/>
    </w:p>
    <w:p w14:paraId="4FBD4E57" w14:textId="77777777" w:rsidR="003E04E8" w:rsidRPr="003C211E" w:rsidRDefault="003E04E8" w:rsidP="003C211E">
      <w:pPr>
        <w:widowControl w:val="0"/>
        <w:autoSpaceDE w:val="0"/>
        <w:autoSpaceDN w:val="0"/>
        <w:adjustRightInd w:val="0"/>
        <w:spacing w:after="0" w:line="276" w:lineRule="auto"/>
        <w:ind w:firstLine="708"/>
        <w:jc w:val="both"/>
        <w:rPr>
          <w:rFonts w:ascii="Tahoma" w:eastAsia="Calibri" w:hAnsi="Tahoma" w:cs="Tahoma"/>
          <w:bCs/>
          <w:sz w:val="24"/>
          <w:szCs w:val="24"/>
        </w:rPr>
      </w:pPr>
    </w:p>
    <w:p w14:paraId="2C733553" w14:textId="77777777" w:rsidR="003E04E8" w:rsidRPr="003C211E" w:rsidRDefault="003E04E8" w:rsidP="003C211E">
      <w:pPr>
        <w:widowControl w:val="0"/>
        <w:autoSpaceDE w:val="0"/>
        <w:autoSpaceDN w:val="0"/>
        <w:adjustRightInd w:val="0"/>
        <w:spacing w:after="0" w:line="276" w:lineRule="auto"/>
        <w:ind w:firstLine="708"/>
        <w:jc w:val="both"/>
        <w:rPr>
          <w:rFonts w:ascii="Tahoma" w:eastAsia="Calibri" w:hAnsi="Tahoma" w:cs="Tahoma"/>
          <w:bCs/>
          <w:sz w:val="24"/>
          <w:szCs w:val="24"/>
        </w:rPr>
      </w:pPr>
      <w:r w:rsidRPr="003C211E">
        <w:rPr>
          <w:rFonts w:ascii="Tahoma" w:eastAsia="Calibri" w:hAnsi="Tahoma" w:cs="Tahoma"/>
          <w:bCs/>
          <w:sz w:val="24"/>
          <w:szCs w:val="24"/>
        </w:rPr>
        <w:t>Es por lo anterior que esta Sala</w:t>
      </w:r>
      <w:r w:rsidRPr="003C211E">
        <w:rPr>
          <w:rFonts w:ascii="Tahoma" w:eastAsia="Calibri" w:hAnsi="Tahoma" w:cs="Tahoma"/>
          <w:bCs/>
          <w:sz w:val="24"/>
          <w:szCs w:val="24"/>
          <w:vertAlign w:val="superscript"/>
        </w:rPr>
        <w:footnoteReference w:id="3"/>
      </w:r>
      <w:r w:rsidRPr="003C211E">
        <w:rPr>
          <w:rFonts w:ascii="Tahoma" w:eastAsia="Calibri" w:hAnsi="Tahoma" w:cs="Tahoma"/>
          <w:bCs/>
          <w:sz w:val="24"/>
          <w:szCs w:val="24"/>
        </w:rPr>
        <w:t>, siguiendo lo adoctrinado por la Corte</w:t>
      </w:r>
      <w:r w:rsidRPr="003C211E">
        <w:rPr>
          <w:rFonts w:ascii="Tahoma" w:eastAsia="Calibri" w:hAnsi="Tahoma" w:cs="Tahoma"/>
          <w:bCs/>
          <w:sz w:val="24"/>
          <w:szCs w:val="24"/>
          <w:vertAlign w:val="superscript"/>
        </w:rPr>
        <w:footnoteReference w:id="4"/>
      </w:r>
      <w:r w:rsidRPr="003C211E">
        <w:rPr>
          <w:rFonts w:ascii="Tahoma" w:eastAsia="Calibri" w:hAnsi="Tahoma" w:cs="Tahoma"/>
          <w:bCs/>
          <w:sz w:val="24"/>
          <w:szCs w:val="24"/>
        </w:rPr>
        <w:t>, ha reiterado que, concurriendo las obligaciones antedichas en empleadores (pago de aportes) y administradoras (cobro de aportes en mora), su incumplimiento no puede afectar al afiliado, que, habiendo cumplido con lo propio, esto es, trabajo y cotización descontada por su empleador, se vea abocado a no percibir el derecho pensional por razones no atribuibles a él.</w:t>
      </w:r>
    </w:p>
    <w:p w14:paraId="5AD18333" w14:textId="77777777" w:rsidR="003E04E8" w:rsidRPr="003C211E" w:rsidRDefault="003E04E8" w:rsidP="003C211E">
      <w:pPr>
        <w:widowControl w:val="0"/>
        <w:autoSpaceDE w:val="0"/>
        <w:autoSpaceDN w:val="0"/>
        <w:adjustRightInd w:val="0"/>
        <w:spacing w:after="0" w:line="276" w:lineRule="auto"/>
        <w:ind w:firstLine="708"/>
        <w:jc w:val="both"/>
        <w:rPr>
          <w:rFonts w:ascii="Tahoma" w:eastAsia="Calibri" w:hAnsi="Tahoma" w:cs="Tahoma"/>
          <w:bCs/>
          <w:sz w:val="24"/>
          <w:szCs w:val="24"/>
        </w:rPr>
      </w:pPr>
    </w:p>
    <w:p w14:paraId="0B6A8F42" w14:textId="2098D5DF" w:rsidR="003E04E8" w:rsidRPr="003C211E" w:rsidRDefault="003E04E8" w:rsidP="003C211E">
      <w:pPr>
        <w:widowControl w:val="0"/>
        <w:autoSpaceDE w:val="0"/>
        <w:autoSpaceDN w:val="0"/>
        <w:adjustRightInd w:val="0"/>
        <w:spacing w:after="0" w:line="276" w:lineRule="auto"/>
        <w:ind w:firstLine="708"/>
        <w:jc w:val="both"/>
        <w:rPr>
          <w:rFonts w:ascii="Tahoma" w:eastAsia="Calibri" w:hAnsi="Tahoma" w:cs="Tahoma"/>
          <w:bCs/>
          <w:sz w:val="24"/>
          <w:szCs w:val="24"/>
        </w:rPr>
      </w:pPr>
      <w:r w:rsidRPr="003C211E">
        <w:rPr>
          <w:rFonts w:ascii="Tahoma" w:eastAsia="Calibri" w:hAnsi="Tahoma" w:cs="Tahoma"/>
          <w:bCs/>
          <w:sz w:val="24"/>
          <w:szCs w:val="24"/>
        </w:rPr>
        <w:lastRenderedPageBreak/>
        <w:t>Ello implica que, siempre que el trabajador alegue ante la justicia laboral que su Fondo de Pensiones no computó como válidas semanas en mora de su empleador, deberá estar en condiciones de demostrar que durante dicho periodo en mora prestó efectivamente sus servicios al empleador bajo el cual se registra la afiliación al Sistema.</w:t>
      </w:r>
    </w:p>
    <w:p w14:paraId="58FD9067" w14:textId="77777777" w:rsidR="009D2B4F" w:rsidRPr="003C211E" w:rsidRDefault="009D2B4F" w:rsidP="003C211E">
      <w:pPr>
        <w:widowControl w:val="0"/>
        <w:autoSpaceDE w:val="0"/>
        <w:autoSpaceDN w:val="0"/>
        <w:adjustRightInd w:val="0"/>
        <w:spacing w:after="0" w:line="276" w:lineRule="auto"/>
        <w:ind w:firstLine="708"/>
        <w:jc w:val="both"/>
        <w:rPr>
          <w:rFonts w:ascii="Tahoma" w:eastAsia="Calibri" w:hAnsi="Tahoma" w:cs="Tahoma"/>
          <w:bCs/>
          <w:sz w:val="24"/>
          <w:szCs w:val="24"/>
        </w:rPr>
      </w:pPr>
    </w:p>
    <w:p w14:paraId="11D90125" w14:textId="77777777" w:rsidR="004D57BB" w:rsidRPr="003C211E" w:rsidRDefault="004D57BB" w:rsidP="003C211E">
      <w:pPr>
        <w:widowControl w:val="0"/>
        <w:numPr>
          <w:ilvl w:val="1"/>
          <w:numId w:val="16"/>
        </w:numPr>
        <w:autoSpaceDE w:val="0"/>
        <w:autoSpaceDN w:val="0"/>
        <w:adjustRightInd w:val="0"/>
        <w:spacing w:after="0" w:line="276" w:lineRule="auto"/>
        <w:jc w:val="both"/>
        <w:rPr>
          <w:rFonts w:ascii="Tahoma" w:eastAsia="Calibri" w:hAnsi="Tahoma" w:cs="Tahoma"/>
          <w:b/>
          <w:sz w:val="24"/>
          <w:szCs w:val="24"/>
        </w:rPr>
      </w:pPr>
      <w:r w:rsidRPr="003C211E">
        <w:rPr>
          <w:rFonts w:ascii="Tahoma" w:eastAsia="Calibri" w:hAnsi="Tahoma" w:cs="Tahoma"/>
          <w:b/>
          <w:sz w:val="24"/>
          <w:szCs w:val="24"/>
        </w:rPr>
        <w:t>Caso concreto</w:t>
      </w:r>
    </w:p>
    <w:p w14:paraId="6DD118E8" w14:textId="77777777" w:rsidR="00B21C7D" w:rsidRPr="003C211E" w:rsidRDefault="00B21C7D" w:rsidP="003C211E">
      <w:pPr>
        <w:widowControl w:val="0"/>
        <w:autoSpaceDE w:val="0"/>
        <w:autoSpaceDN w:val="0"/>
        <w:adjustRightInd w:val="0"/>
        <w:spacing w:after="0" w:line="276" w:lineRule="auto"/>
        <w:jc w:val="both"/>
        <w:rPr>
          <w:rFonts w:ascii="Tahoma" w:eastAsia="Calibri" w:hAnsi="Tahoma" w:cs="Tahoma"/>
          <w:sz w:val="24"/>
          <w:szCs w:val="24"/>
        </w:rPr>
      </w:pPr>
    </w:p>
    <w:p w14:paraId="4A8BF253" w14:textId="33BF1281" w:rsidR="00EA63C5" w:rsidRPr="003C211E" w:rsidRDefault="00EA63C5" w:rsidP="003C211E">
      <w:pPr>
        <w:widowControl w:val="0"/>
        <w:autoSpaceDE w:val="0"/>
        <w:autoSpaceDN w:val="0"/>
        <w:adjustRightInd w:val="0"/>
        <w:spacing w:after="0" w:line="276" w:lineRule="auto"/>
        <w:ind w:firstLine="708"/>
        <w:jc w:val="both"/>
        <w:rPr>
          <w:rFonts w:ascii="Tahoma" w:eastAsia="Tahoma" w:hAnsi="Tahoma" w:cs="Tahoma"/>
          <w:sz w:val="24"/>
          <w:szCs w:val="24"/>
        </w:rPr>
      </w:pPr>
      <w:r w:rsidRPr="003C211E">
        <w:rPr>
          <w:rFonts w:ascii="Tahoma" w:eastAsia="Calibri" w:hAnsi="Tahoma" w:cs="Tahoma"/>
          <w:sz w:val="24"/>
          <w:szCs w:val="24"/>
        </w:rPr>
        <w:t xml:space="preserve">Descendiendo </w:t>
      </w:r>
      <w:r w:rsidR="00B21C7D" w:rsidRPr="003C211E">
        <w:rPr>
          <w:rFonts w:ascii="Tahoma" w:eastAsia="Calibri" w:hAnsi="Tahoma" w:cs="Tahoma"/>
          <w:sz w:val="24"/>
          <w:szCs w:val="24"/>
        </w:rPr>
        <w:t xml:space="preserve">al caso concreto, tenemos que la parte demandante asegura que prestó servicios personales y remunerados para el señor Rafael Morales Ortiz desde el año 1992. Asevera igualmente, que su empleador se encuentra en mora del pago de cotizaciones por los siguientes periodos: </w:t>
      </w:r>
      <w:r w:rsidR="00B21C7D" w:rsidRPr="003C211E">
        <w:rPr>
          <w:rFonts w:ascii="Tahoma" w:eastAsia="Tahoma" w:hAnsi="Tahoma" w:cs="Tahoma"/>
          <w:sz w:val="24"/>
          <w:szCs w:val="24"/>
        </w:rPr>
        <w:t>diciembre de 1994, enero de 1995, abril de 1998, agosto a diciembre de 1998, enero a octubre de 1999, diciembre de 1999, enero a diciembre de los años 2000 y 2001, enero 2002, marzo a septiembre de 2002 y febrero de 2004.</w:t>
      </w:r>
    </w:p>
    <w:p w14:paraId="4435A6DF" w14:textId="594F81D7" w:rsidR="00B21C7D" w:rsidRPr="003C211E" w:rsidRDefault="00B21C7D" w:rsidP="003C211E">
      <w:pPr>
        <w:widowControl w:val="0"/>
        <w:autoSpaceDE w:val="0"/>
        <w:autoSpaceDN w:val="0"/>
        <w:adjustRightInd w:val="0"/>
        <w:spacing w:after="0" w:line="276" w:lineRule="auto"/>
        <w:ind w:firstLine="708"/>
        <w:jc w:val="both"/>
        <w:rPr>
          <w:rFonts w:ascii="Tahoma" w:eastAsia="Tahoma" w:hAnsi="Tahoma" w:cs="Tahoma"/>
          <w:sz w:val="24"/>
          <w:szCs w:val="24"/>
        </w:rPr>
      </w:pPr>
    </w:p>
    <w:p w14:paraId="0E6EA41F" w14:textId="6CD867B0" w:rsidR="002218DE" w:rsidRPr="003C211E" w:rsidRDefault="00B21C7D" w:rsidP="003C211E">
      <w:pPr>
        <w:widowControl w:val="0"/>
        <w:autoSpaceDE w:val="0"/>
        <w:autoSpaceDN w:val="0"/>
        <w:adjustRightInd w:val="0"/>
        <w:spacing w:after="0" w:line="276" w:lineRule="auto"/>
        <w:ind w:firstLine="708"/>
        <w:jc w:val="both"/>
        <w:rPr>
          <w:rFonts w:ascii="Tahoma" w:eastAsia="Tahoma" w:hAnsi="Tahoma" w:cs="Tahoma"/>
          <w:sz w:val="24"/>
          <w:szCs w:val="24"/>
        </w:rPr>
      </w:pPr>
      <w:r w:rsidRPr="003C211E">
        <w:rPr>
          <w:rFonts w:ascii="Tahoma" w:eastAsia="Tahoma" w:hAnsi="Tahoma" w:cs="Tahoma"/>
          <w:sz w:val="24"/>
          <w:szCs w:val="24"/>
        </w:rPr>
        <w:t xml:space="preserve">En este orden de ideas, para acreditar el tiempo de prestación de servicios allegó </w:t>
      </w:r>
      <w:r w:rsidR="002218DE" w:rsidRPr="003C211E">
        <w:rPr>
          <w:rFonts w:ascii="Tahoma" w:eastAsia="Tahoma" w:hAnsi="Tahoma" w:cs="Tahoma"/>
          <w:sz w:val="24"/>
          <w:szCs w:val="24"/>
        </w:rPr>
        <w:t>certificación laboral del 9 de septiembre de 2011 en la que se consigna que el s</w:t>
      </w:r>
      <w:r w:rsidR="009D2B4F" w:rsidRPr="003C211E">
        <w:rPr>
          <w:rFonts w:ascii="Tahoma" w:eastAsia="Tahoma" w:hAnsi="Tahoma" w:cs="Tahoma"/>
          <w:sz w:val="24"/>
          <w:szCs w:val="24"/>
        </w:rPr>
        <w:t>eñor Henry Álzate García, laboró</w:t>
      </w:r>
      <w:r w:rsidR="002218DE" w:rsidRPr="003C211E">
        <w:rPr>
          <w:rFonts w:ascii="Tahoma" w:eastAsia="Tahoma" w:hAnsi="Tahoma" w:cs="Tahoma"/>
          <w:sz w:val="24"/>
          <w:szCs w:val="24"/>
        </w:rPr>
        <w:t xml:space="preserve"> desde el 1 de enero de 1992 devengando la suma de un salario mínimo mensual legal vigente</w:t>
      </w:r>
      <w:r w:rsidR="0067651C" w:rsidRPr="003C211E">
        <w:rPr>
          <w:rFonts w:ascii="Tahoma" w:eastAsia="Tahoma" w:hAnsi="Tahoma" w:cs="Tahoma"/>
          <w:sz w:val="24"/>
          <w:szCs w:val="24"/>
        </w:rPr>
        <w:t>;</w:t>
      </w:r>
      <w:r w:rsidR="002218DE" w:rsidRPr="003C211E">
        <w:rPr>
          <w:rFonts w:ascii="Tahoma" w:eastAsia="Tahoma" w:hAnsi="Tahoma" w:cs="Tahoma"/>
          <w:sz w:val="24"/>
          <w:szCs w:val="24"/>
        </w:rPr>
        <w:t xml:space="preserve"> empero</w:t>
      </w:r>
      <w:r w:rsidR="0067651C" w:rsidRPr="003C211E">
        <w:rPr>
          <w:rFonts w:ascii="Tahoma" w:eastAsia="Tahoma" w:hAnsi="Tahoma" w:cs="Tahoma"/>
          <w:sz w:val="24"/>
          <w:szCs w:val="24"/>
        </w:rPr>
        <w:t>,</w:t>
      </w:r>
      <w:r w:rsidR="002218DE" w:rsidRPr="003C211E">
        <w:rPr>
          <w:rFonts w:ascii="Tahoma" w:eastAsia="Tahoma" w:hAnsi="Tahoma" w:cs="Tahoma"/>
          <w:sz w:val="24"/>
          <w:szCs w:val="24"/>
        </w:rPr>
        <w:t xml:space="preserve"> tal como lo afirmó la a-quo</w:t>
      </w:r>
      <w:r w:rsidR="0067651C" w:rsidRPr="003C211E">
        <w:rPr>
          <w:rFonts w:ascii="Tahoma" w:eastAsia="Tahoma" w:hAnsi="Tahoma" w:cs="Tahoma"/>
          <w:sz w:val="24"/>
          <w:szCs w:val="24"/>
        </w:rPr>
        <w:t>,</w:t>
      </w:r>
      <w:r w:rsidR="002218DE" w:rsidRPr="003C211E">
        <w:rPr>
          <w:rFonts w:ascii="Tahoma" w:eastAsia="Tahoma" w:hAnsi="Tahoma" w:cs="Tahoma"/>
          <w:sz w:val="24"/>
          <w:szCs w:val="24"/>
        </w:rPr>
        <w:t xml:space="preserve"> la misma no permite establecer la autoría y autenticidad del documento, máxime cuando la apelante afirma que dicha certificación le fue proporcionada junto con los documentos del cobro coactivo por el empleador. No obstante, una vez revisado el documento suscrito por Mariluz Soto Monroy, en calidad de secretaria, calendado al 19 de noviembre de 2019, se observa que dicha certificación no fue relacionada como uno de los anexos entregados al demandante, dado que en la misma solo se enumeran los siguientes: 1) copia del proceso de cobro emanado por Colpensiones de fecha 23 de septiembre 2019; 2) Copia de la solicitud del Archivo 118 donde se pide una relación más específica para la verificación del proceso, del 21 de octubre de 2019; 3) Copia de la constancia de radicación de la solicitud del archivo 118. Documentos que no fueron desconocidos o tachados y que contrario a la certificación laboral se encuentran firmados por el señor Rafael Morales Ortiz, o remitidos desde el correo electrónico consignado en el documento que lleva su firma. </w:t>
      </w:r>
    </w:p>
    <w:p w14:paraId="69B54328" w14:textId="1AFCEE40" w:rsidR="00AC46AE" w:rsidRPr="003C211E" w:rsidRDefault="00AC46AE" w:rsidP="003C211E">
      <w:pPr>
        <w:widowControl w:val="0"/>
        <w:autoSpaceDE w:val="0"/>
        <w:autoSpaceDN w:val="0"/>
        <w:adjustRightInd w:val="0"/>
        <w:spacing w:after="0" w:line="276" w:lineRule="auto"/>
        <w:jc w:val="both"/>
        <w:rPr>
          <w:rFonts w:ascii="Tahoma" w:eastAsia="Tahoma" w:hAnsi="Tahoma" w:cs="Tahoma"/>
          <w:sz w:val="24"/>
          <w:szCs w:val="24"/>
        </w:rPr>
      </w:pPr>
    </w:p>
    <w:p w14:paraId="3EC37ADB" w14:textId="50E8E20C" w:rsidR="005945E5" w:rsidRPr="003C211E" w:rsidRDefault="005945E5" w:rsidP="003C211E">
      <w:pPr>
        <w:widowControl w:val="0"/>
        <w:autoSpaceDE w:val="0"/>
        <w:autoSpaceDN w:val="0"/>
        <w:adjustRightInd w:val="0"/>
        <w:spacing w:after="0" w:line="276" w:lineRule="auto"/>
        <w:ind w:firstLine="708"/>
        <w:jc w:val="both"/>
        <w:rPr>
          <w:rFonts w:ascii="Tahoma" w:eastAsia="Calibri" w:hAnsi="Tahoma" w:cs="Tahoma"/>
          <w:sz w:val="24"/>
          <w:szCs w:val="24"/>
        </w:rPr>
      </w:pPr>
      <w:r w:rsidRPr="003C211E">
        <w:rPr>
          <w:rFonts w:ascii="Tahoma" w:eastAsia="Tahoma" w:hAnsi="Tahoma" w:cs="Tahoma"/>
          <w:sz w:val="24"/>
          <w:szCs w:val="24"/>
        </w:rPr>
        <w:t xml:space="preserve">En este sentido, Colpensiones por medio de </w:t>
      </w:r>
      <w:r w:rsidRPr="003C211E">
        <w:rPr>
          <w:rFonts w:ascii="Tahoma" w:eastAsia="Calibri" w:hAnsi="Tahoma" w:cs="Tahoma"/>
          <w:sz w:val="24"/>
          <w:szCs w:val="24"/>
        </w:rPr>
        <w:t xml:space="preserve">Oficio No. GNAR-AP-00930515, bajo radicado </w:t>
      </w:r>
      <w:r w:rsidR="00372D54" w:rsidRPr="003C211E">
        <w:rPr>
          <w:rFonts w:ascii="Tahoma" w:eastAsia="Calibri" w:hAnsi="Tahoma" w:cs="Tahoma"/>
          <w:sz w:val="24"/>
          <w:szCs w:val="24"/>
        </w:rPr>
        <w:t xml:space="preserve">No. 2019_12851159 </w:t>
      </w:r>
      <w:r w:rsidRPr="003C211E">
        <w:rPr>
          <w:rFonts w:ascii="Tahoma" w:eastAsia="Calibri" w:hAnsi="Tahoma" w:cs="Tahoma"/>
          <w:sz w:val="24"/>
          <w:szCs w:val="24"/>
        </w:rPr>
        <w:t>del 23 de septiembre de 2019 requirió al señor Rafael Morales Ortiz</w:t>
      </w:r>
      <w:r w:rsidR="0067651C" w:rsidRPr="003C211E">
        <w:rPr>
          <w:rFonts w:ascii="Tahoma" w:eastAsia="Calibri" w:hAnsi="Tahoma" w:cs="Tahoma"/>
          <w:sz w:val="24"/>
          <w:szCs w:val="24"/>
        </w:rPr>
        <w:t>,</w:t>
      </w:r>
      <w:r w:rsidRPr="003C211E">
        <w:rPr>
          <w:rFonts w:ascii="Tahoma" w:eastAsia="Calibri" w:hAnsi="Tahoma" w:cs="Tahoma"/>
          <w:sz w:val="24"/>
          <w:szCs w:val="24"/>
        </w:rPr>
        <w:t xml:space="preserve"> de conformidad con la política de depuración y actualización para que realizara los ajustes en el estado de cuenta y los pagos de los ciclos adeudados a partir de octubre de 2012, indicándole que contaba con el t</w:t>
      </w:r>
      <w:r w:rsidR="0067651C" w:rsidRPr="003C211E">
        <w:rPr>
          <w:rFonts w:ascii="Tahoma" w:eastAsia="Calibri" w:hAnsi="Tahoma" w:cs="Tahoma"/>
          <w:sz w:val="24"/>
          <w:szCs w:val="24"/>
        </w:rPr>
        <w:t>é</w:t>
      </w:r>
      <w:r w:rsidRPr="003C211E">
        <w:rPr>
          <w:rFonts w:ascii="Tahoma" w:eastAsia="Calibri" w:hAnsi="Tahoma" w:cs="Tahoma"/>
          <w:sz w:val="24"/>
          <w:szCs w:val="24"/>
        </w:rPr>
        <w:t>rmino de 15 días para reportar la existencia de algún tipo de novedad.</w:t>
      </w:r>
    </w:p>
    <w:p w14:paraId="050848DA" w14:textId="77777777" w:rsidR="00A74DEB" w:rsidRPr="003C211E" w:rsidRDefault="00A74DEB" w:rsidP="003C211E">
      <w:pPr>
        <w:widowControl w:val="0"/>
        <w:autoSpaceDE w:val="0"/>
        <w:autoSpaceDN w:val="0"/>
        <w:adjustRightInd w:val="0"/>
        <w:spacing w:after="0" w:line="276" w:lineRule="auto"/>
        <w:ind w:firstLine="708"/>
        <w:jc w:val="both"/>
        <w:rPr>
          <w:rFonts w:ascii="Tahoma" w:eastAsia="Calibri" w:hAnsi="Tahoma" w:cs="Tahoma"/>
          <w:sz w:val="24"/>
          <w:szCs w:val="24"/>
        </w:rPr>
      </w:pPr>
    </w:p>
    <w:p w14:paraId="1953FD50" w14:textId="7424950E" w:rsidR="005E4BB6" w:rsidRDefault="005945E5" w:rsidP="003C211E">
      <w:pPr>
        <w:widowControl w:val="0"/>
        <w:autoSpaceDE w:val="0"/>
        <w:autoSpaceDN w:val="0"/>
        <w:adjustRightInd w:val="0"/>
        <w:spacing w:after="0" w:line="276" w:lineRule="auto"/>
        <w:ind w:firstLine="708"/>
        <w:jc w:val="both"/>
        <w:rPr>
          <w:rFonts w:ascii="Tahoma" w:eastAsia="Calibri" w:hAnsi="Tahoma" w:cs="Tahoma"/>
          <w:sz w:val="24"/>
          <w:szCs w:val="24"/>
        </w:rPr>
      </w:pPr>
      <w:r w:rsidRPr="003C211E">
        <w:rPr>
          <w:rFonts w:ascii="Tahoma" w:eastAsia="Calibri" w:hAnsi="Tahoma" w:cs="Tahoma"/>
          <w:sz w:val="24"/>
          <w:szCs w:val="24"/>
        </w:rPr>
        <w:t>En respuesta a tal requerimiento, el empleador elevó solicitud de archivo 118 a la Administradora</w:t>
      </w:r>
      <w:r w:rsidR="006C1590" w:rsidRPr="003C211E">
        <w:rPr>
          <w:rFonts w:ascii="Tahoma" w:eastAsia="Calibri" w:hAnsi="Tahoma" w:cs="Tahoma"/>
          <w:sz w:val="24"/>
          <w:szCs w:val="24"/>
        </w:rPr>
        <w:t xml:space="preserve">, </w:t>
      </w:r>
      <w:r w:rsidRPr="003C211E">
        <w:rPr>
          <w:rFonts w:ascii="Tahoma" w:eastAsia="Calibri" w:hAnsi="Tahoma" w:cs="Tahoma"/>
          <w:sz w:val="24"/>
          <w:szCs w:val="24"/>
        </w:rPr>
        <w:t xml:space="preserve">con el fin de realizar la verificación </w:t>
      </w:r>
      <w:r w:rsidR="00372D54" w:rsidRPr="003C211E">
        <w:rPr>
          <w:rFonts w:ascii="Tahoma" w:eastAsia="Calibri" w:hAnsi="Tahoma" w:cs="Tahoma"/>
          <w:sz w:val="24"/>
          <w:szCs w:val="24"/>
        </w:rPr>
        <w:t xml:space="preserve">del proceso de cobro coactivo, </w:t>
      </w:r>
      <w:r w:rsidR="006C1590" w:rsidRPr="003C211E">
        <w:rPr>
          <w:rFonts w:ascii="Tahoma" w:eastAsia="Calibri" w:hAnsi="Tahoma" w:cs="Tahoma"/>
          <w:sz w:val="24"/>
          <w:szCs w:val="24"/>
        </w:rPr>
        <w:t>misma que fue recibida por el destinatario y radicada con el No. 2019_14192345, sin que obre prueba de los tr</w:t>
      </w:r>
      <w:r w:rsidR="0067651C" w:rsidRPr="003C211E">
        <w:rPr>
          <w:rFonts w:ascii="Tahoma" w:eastAsia="Calibri" w:hAnsi="Tahoma" w:cs="Tahoma"/>
          <w:sz w:val="24"/>
          <w:szCs w:val="24"/>
        </w:rPr>
        <w:t>á</w:t>
      </w:r>
      <w:r w:rsidR="006C1590" w:rsidRPr="003C211E">
        <w:rPr>
          <w:rFonts w:ascii="Tahoma" w:eastAsia="Calibri" w:hAnsi="Tahoma" w:cs="Tahoma"/>
          <w:sz w:val="24"/>
          <w:szCs w:val="24"/>
        </w:rPr>
        <w:t xml:space="preserve">mites posteriores adelantados por la demandada, salvo la respuesta </w:t>
      </w:r>
      <w:r w:rsidR="005E4BB6" w:rsidRPr="003C211E">
        <w:rPr>
          <w:rFonts w:ascii="Tahoma" w:eastAsia="Calibri" w:hAnsi="Tahoma" w:cs="Tahoma"/>
          <w:sz w:val="24"/>
          <w:szCs w:val="24"/>
        </w:rPr>
        <w:t xml:space="preserve">del 26 de diciembre de 2019 </w:t>
      </w:r>
      <w:r w:rsidR="006C1590" w:rsidRPr="003C211E">
        <w:rPr>
          <w:rFonts w:ascii="Tahoma" w:eastAsia="Calibri" w:hAnsi="Tahoma" w:cs="Tahoma"/>
          <w:sz w:val="24"/>
          <w:szCs w:val="24"/>
        </w:rPr>
        <w:t xml:space="preserve">a la solicitud radicada por el </w:t>
      </w:r>
      <w:r w:rsidR="005E4BB6" w:rsidRPr="003C211E">
        <w:rPr>
          <w:rFonts w:ascii="Tahoma" w:eastAsia="Calibri" w:hAnsi="Tahoma" w:cs="Tahoma"/>
          <w:sz w:val="24"/>
          <w:szCs w:val="24"/>
        </w:rPr>
        <w:t xml:space="preserve">accionante bajo radicado No. 2019_16383567 del 7 del mismo mes y año, </w:t>
      </w:r>
      <w:r w:rsidR="006C1590" w:rsidRPr="003C211E">
        <w:rPr>
          <w:rFonts w:ascii="Tahoma" w:eastAsia="Calibri" w:hAnsi="Tahoma" w:cs="Tahoma"/>
          <w:sz w:val="24"/>
          <w:szCs w:val="24"/>
        </w:rPr>
        <w:t>don</w:t>
      </w:r>
      <w:r w:rsidR="005E4BB6" w:rsidRPr="003C211E">
        <w:rPr>
          <w:rFonts w:ascii="Tahoma" w:eastAsia="Calibri" w:hAnsi="Tahoma" w:cs="Tahoma"/>
          <w:sz w:val="24"/>
          <w:szCs w:val="24"/>
        </w:rPr>
        <w:t xml:space="preserve">de informó al señor </w:t>
      </w:r>
      <w:r w:rsidR="005E4BB6" w:rsidRPr="003C211E">
        <w:rPr>
          <w:rFonts w:ascii="Tahoma" w:eastAsia="Calibri" w:hAnsi="Tahoma" w:cs="Tahoma"/>
          <w:sz w:val="24"/>
          <w:szCs w:val="24"/>
        </w:rPr>
        <w:lastRenderedPageBreak/>
        <w:t xml:space="preserve">Álzate García que </w:t>
      </w:r>
      <w:r w:rsidR="005E4BB6" w:rsidRPr="003C211E">
        <w:rPr>
          <w:rFonts w:ascii="Tahoma" w:eastAsia="Calibri" w:hAnsi="Tahoma" w:cs="Tahoma"/>
          <w:i/>
          <w:iCs/>
          <w:sz w:val="24"/>
          <w:szCs w:val="24"/>
        </w:rPr>
        <w:t>“</w:t>
      </w:r>
      <w:r w:rsidR="005E4BB6" w:rsidRPr="00725584">
        <w:rPr>
          <w:rFonts w:ascii="Tahoma" w:eastAsia="Calibri" w:hAnsi="Tahoma" w:cs="Tahoma"/>
          <w:i/>
          <w:iCs/>
          <w:szCs w:val="24"/>
        </w:rPr>
        <w:t>en ejercicio de las facultades otorgadas por la Ley 100 de 1993, se procedió a requerir al empleador mediante proceso de cobro remitido a la última dirección registrada en nuestras bases de datos (…) una vez el empleador los realice si hay lugar a ello, procederemos a actualizar su historia laboral</w:t>
      </w:r>
      <w:r w:rsidR="005E4BB6" w:rsidRPr="003C211E">
        <w:rPr>
          <w:rFonts w:ascii="Tahoma" w:eastAsia="Calibri" w:hAnsi="Tahoma" w:cs="Tahoma"/>
          <w:i/>
          <w:iCs/>
          <w:sz w:val="24"/>
          <w:szCs w:val="24"/>
        </w:rPr>
        <w:t xml:space="preserve">”, </w:t>
      </w:r>
      <w:r w:rsidR="005E4BB6" w:rsidRPr="003C211E">
        <w:rPr>
          <w:rFonts w:ascii="Tahoma" w:eastAsia="Calibri" w:hAnsi="Tahoma" w:cs="Tahoma"/>
          <w:sz w:val="24"/>
          <w:szCs w:val="24"/>
        </w:rPr>
        <w:t xml:space="preserve"> y la resolución DPE 5506 del 13 de abril de 2020 proferida en sede de apelación, </w:t>
      </w:r>
      <w:r w:rsidR="00EE4716" w:rsidRPr="003C211E">
        <w:rPr>
          <w:rFonts w:ascii="Tahoma" w:eastAsia="Calibri" w:hAnsi="Tahoma" w:cs="Tahoma"/>
          <w:sz w:val="24"/>
          <w:szCs w:val="24"/>
        </w:rPr>
        <w:t xml:space="preserve">donde expuso que el proceso de cobro coactivo se siguieron los lineamientos </w:t>
      </w:r>
      <w:r w:rsidR="005E4BB6" w:rsidRPr="003C211E">
        <w:rPr>
          <w:rFonts w:ascii="Tahoma" w:eastAsia="Calibri" w:hAnsi="Tahoma" w:cs="Tahoma"/>
          <w:sz w:val="24"/>
          <w:szCs w:val="24"/>
        </w:rPr>
        <w:t>establecidos en la Resolución 2082 de 2016 que en sus artículos 11 y 12</w:t>
      </w:r>
      <w:r w:rsidR="00EE4716" w:rsidRPr="003C211E">
        <w:rPr>
          <w:rFonts w:ascii="Tahoma" w:eastAsia="Calibri" w:hAnsi="Tahoma" w:cs="Tahoma"/>
          <w:sz w:val="24"/>
          <w:szCs w:val="24"/>
        </w:rPr>
        <w:t>.</w:t>
      </w:r>
    </w:p>
    <w:p w14:paraId="3A773618" w14:textId="77777777" w:rsidR="00725584" w:rsidRPr="003C211E" w:rsidRDefault="00725584" w:rsidP="003C211E">
      <w:pPr>
        <w:widowControl w:val="0"/>
        <w:autoSpaceDE w:val="0"/>
        <w:autoSpaceDN w:val="0"/>
        <w:adjustRightInd w:val="0"/>
        <w:spacing w:after="0" w:line="276" w:lineRule="auto"/>
        <w:ind w:firstLine="708"/>
        <w:jc w:val="both"/>
        <w:rPr>
          <w:rFonts w:ascii="Tahoma" w:eastAsia="Calibri" w:hAnsi="Tahoma" w:cs="Tahoma"/>
          <w:sz w:val="24"/>
          <w:szCs w:val="24"/>
        </w:rPr>
      </w:pPr>
    </w:p>
    <w:p w14:paraId="5F9A1D77" w14:textId="5E795907" w:rsidR="00E21A98" w:rsidRPr="003C211E" w:rsidRDefault="00EE4716" w:rsidP="003C211E">
      <w:pPr>
        <w:widowControl w:val="0"/>
        <w:autoSpaceDE w:val="0"/>
        <w:autoSpaceDN w:val="0"/>
        <w:adjustRightInd w:val="0"/>
        <w:spacing w:after="0" w:line="276" w:lineRule="auto"/>
        <w:ind w:firstLine="708"/>
        <w:jc w:val="both"/>
        <w:rPr>
          <w:rFonts w:ascii="Tahoma" w:eastAsia="Calibri" w:hAnsi="Tahoma" w:cs="Tahoma"/>
          <w:bCs/>
          <w:sz w:val="24"/>
          <w:szCs w:val="24"/>
        </w:rPr>
      </w:pPr>
      <w:r w:rsidRPr="003C211E">
        <w:rPr>
          <w:rFonts w:ascii="Tahoma" w:eastAsia="Calibri" w:hAnsi="Tahoma" w:cs="Tahoma"/>
          <w:sz w:val="24"/>
          <w:szCs w:val="24"/>
        </w:rPr>
        <w:t xml:space="preserve">Conforme a lo anterior, </w:t>
      </w:r>
      <w:bookmarkStart w:id="5" w:name="_Hlk93918919"/>
      <w:r w:rsidRPr="003C211E">
        <w:rPr>
          <w:rFonts w:ascii="Tahoma" w:eastAsia="Calibri" w:hAnsi="Tahoma" w:cs="Tahoma"/>
          <w:sz w:val="24"/>
          <w:szCs w:val="24"/>
        </w:rPr>
        <w:t>no cabe duda de</w:t>
      </w:r>
      <w:r w:rsidR="0067651C" w:rsidRPr="003C211E">
        <w:rPr>
          <w:rFonts w:ascii="Tahoma" w:eastAsia="Calibri" w:hAnsi="Tahoma" w:cs="Tahoma"/>
          <w:sz w:val="24"/>
          <w:szCs w:val="24"/>
        </w:rPr>
        <w:t>l</w:t>
      </w:r>
      <w:r w:rsidRPr="003C211E">
        <w:rPr>
          <w:rFonts w:ascii="Tahoma" w:eastAsia="Calibri" w:hAnsi="Tahoma" w:cs="Tahoma"/>
          <w:sz w:val="24"/>
          <w:szCs w:val="24"/>
        </w:rPr>
        <w:t xml:space="preserve"> actuar negligente de la Administradora de pensiones para adelantar las acciones de cobro coactivo</w:t>
      </w:r>
      <w:r w:rsidR="00E21A98" w:rsidRPr="003C211E">
        <w:rPr>
          <w:rFonts w:ascii="Tahoma" w:eastAsia="Calibri" w:hAnsi="Tahoma" w:cs="Tahoma"/>
          <w:sz w:val="24"/>
          <w:szCs w:val="24"/>
        </w:rPr>
        <w:t xml:space="preserve"> bajo su cargo en virtud del artículo 24 de la ley 100 de 1993, </w:t>
      </w:r>
      <w:r w:rsidR="001F0346" w:rsidRPr="003C211E">
        <w:rPr>
          <w:rFonts w:ascii="Tahoma" w:eastAsia="Calibri" w:hAnsi="Tahoma" w:cs="Tahoma"/>
          <w:sz w:val="24"/>
          <w:szCs w:val="24"/>
        </w:rPr>
        <w:t xml:space="preserve">pues </w:t>
      </w:r>
      <w:r w:rsidR="0067651C" w:rsidRPr="003C211E">
        <w:rPr>
          <w:rFonts w:ascii="Tahoma" w:eastAsia="Calibri" w:hAnsi="Tahoma" w:cs="Tahoma"/>
          <w:bCs/>
          <w:sz w:val="24"/>
          <w:szCs w:val="24"/>
        </w:rPr>
        <w:t>el inicio de tal</w:t>
      </w:r>
      <w:r w:rsidR="00A74DEB" w:rsidRPr="003C211E">
        <w:rPr>
          <w:rFonts w:ascii="Tahoma" w:eastAsia="Calibri" w:hAnsi="Tahoma" w:cs="Tahoma"/>
          <w:bCs/>
          <w:sz w:val="24"/>
          <w:szCs w:val="24"/>
        </w:rPr>
        <w:t xml:space="preserve"> proceso solo tuvo lugar en el año 2019 </w:t>
      </w:r>
      <w:r w:rsidR="009D2B4F" w:rsidRPr="003C211E">
        <w:rPr>
          <w:rFonts w:ascii="Tahoma" w:eastAsia="Calibri" w:hAnsi="Tahoma" w:cs="Tahoma"/>
          <w:bCs/>
          <w:sz w:val="24"/>
          <w:szCs w:val="24"/>
        </w:rPr>
        <w:t>(</w:t>
      </w:r>
      <w:r w:rsidR="0067651C" w:rsidRPr="003C211E">
        <w:rPr>
          <w:rFonts w:ascii="Tahoma" w:eastAsia="Calibri" w:hAnsi="Tahoma" w:cs="Tahoma"/>
          <w:bCs/>
          <w:sz w:val="24"/>
          <w:szCs w:val="24"/>
        </w:rPr>
        <w:t xml:space="preserve">recordemos que los ciclos presuntamente adeudados corresponden a periodos entre los años 1994 y 2002) </w:t>
      </w:r>
      <w:r w:rsidR="00A74DEB" w:rsidRPr="003C211E">
        <w:rPr>
          <w:rFonts w:ascii="Tahoma" w:eastAsia="Calibri" w:hAnsi="Tahoma" w:cs="Tahoma"/>
          <w:bCs/>
          <w:sz w:val="24"/>
          <w:szCs w:val="24"/>
        </w:rPr>
        <w:t xml:space="preserve">sin </w:t>
      </w:r>
      <w:r w:rsidR="001F0346" w:rsidRPr="003C211E">
        <w:rPr>
          <w:rFonts w:ascii="Tahoma" w:eastAsia="Calibri" w:hAnsi="Tahoma" w:cs="Tahoma"/>
          <w:bCs/>
          <w:sz w:val="24"/>
          <w:szCs w:val="24"/>
        </w:rPr>
        <w:t>que,</w:t>
      </w:r>
      <w:r w:rsidR="00A74DEB" w:rsidRPr="003C211E">
        <w:rPr>
          <w:rFonts w:ascii="Tahoma" w:eastAsia="Calibri" w:hAnsi="Tahoma" w:cs="Tahoma"/>
          <w:bCs/>
          <w:sz w:val="24"/>
          <w:szCs w:val="24"/>
        </w:rPr>
        <w:t xml:space="preserve"> al 13 de abril de 2020, calenda de la resolución del recurso de apelación, </w:t>
      </w:r>
      <w:r w:rsidR="00366BB4" w:rsidRPr="003C211E">
        <w:rPr>
          <w:rFonts w:ascii="Tahoma" w:eastAsia="Calibri" w:hAnsi="Tahoma" w:cs="Tahoma"/>
          <w:bCs/>
          <w:sz w:val="24"/>
          <w:szCs w:val="24"/>
        </w:rPr>
        <w:t xml:space="preserve">se hubiere </w:t>
      </w:r>
      <w:r w:rsidR="00A74DEB" w:rsidRPr="003C211E">
        <w:rPr>
          <w:rFonts w:ascii="Tahoma" w:eastAsia="Calibri" w:hAnsi="Tahoma" w:cs="Tahoma"/>
          <w:bCs/>
          <w:sz w:val="24"/>
          <w:szCs w:val="24"/>
        </w:rPr>
        <w:t xml:space="preserve">definido la </w:t>
      </w:r>
      <w:r w:rsidR="001F0346" w:rsidRPr="003C211E">
        <w:rPr>
          <w:rFonts w:ascii="Tahoma" w:eastAsia="Calibri" w:hAnsi="Tahoma" w:cs="Tahoma"/>
          <w:bCs/>
          <w:sz w:val="24"/>
          <w:szCs w:val="24"/>
        </w:rPr>
        <w:t>situación administrativa de los aportes registrados en mora.</w:t>
      </w:r>
    </w:p>
    <w:p w14:paraId="1ED86D31" w14:textId="77777777" w:rsidR="001F0346" w:rsidRPr="003C211E" w:rsidRDefault="001F0346" w:rsidP="003C211E">
      <w:pPr>
        <w:widowControl w:val="0"/>
        <w:autoSpaceDE w:val="0"/>
        <w:autoSpaceDN w:val="0"/>
        <w:adjustRightInd w:val="0"/>
        <w:spacing w:after="0" w:line="276" w:lineRule="auto"/>
        <w:ind w:firstLine="708"/>
        <w:jc w:val="both"/>
        <w:rPr>
          <w:rFonts w:ascii="Tahoma" w:eastAsia="Calibri" w:hAnsi="Tahoma" w:cs="Tahoma"/>
          <w:bCs/>
          <w:sz w:val="24"/>
          <w:szCs w:val="24"/>
        </w:rPr>
      </w:pPr>
    </w:p>
    <w:p w14:paraId="60E95BDD" w14:textId="285340ED" w:rsidR="001F0346" w:rsidRPr="003C211E" w:rsidRDefault="4F0F6248" w:rsidP="003C211E">
      <w:pPr>
        <w:widowControl w:val="0"/>
        <w:autoSpaceDE w:val="0"/>
        <w:autoSpaceDN w:val="0"/>
        <w:adjustRightInd w:val="0"/>
        <w:spacing w:after="0" w:line="276" w:lineRule="auto"/>
        <w:ind w:firstLine="708"/>
        <w:jc w:val="both"/>
        <w:rPr>
          <w:rFonts w:ascii="Tahoma" w:eastAsia="Calibri" w:hAnsi="Tahoma" w:cs="Tahoma"/>
          <w:sz w:val="24"/>
          <w:szCs w:val="24"/>
        </w:rPr>
      </w:pPr>
      <w:r w:rsidRPr="003C211E">
        <w:rPr>
          <w:rFonts w:ascii="Tahoma" w:eastAsia="Calibri" w:hAnsi="Tahoma" w:cs="Tahoma"/>
          <w:sz w:val="24"/>
          <w:szCs w:val="24"/>
        </w:rPr>
        <w:t>Empero</w:t>
      </w:r>
      <w:r w:rsidR="00A74DEB" w:rsidRPr="003C211E">
        <w:rPr>
          <w:rFonts w:ascii="Tahoma" w:eastAsia="Calibri" w:hAnsi="Tahoma" w:cs="Tahoma"/>
          <w:sz w:val="24"/>
          <w:szCs w:val="24"/>
        </w:rPr>
        <w:t>, como se expuso en precedencia,</w:t>
      </w:r>
      <w:r w:rsidR="001F0346" w:rsidRPr="003C211E">
        <w:rPr>
          <w:rFonts w:ascii="Tahoma" w:eastAsia="Calibri" w:hAnsi="Tahoma" w:cs="Tahoma"/>
          <w:sz w:val="24"/>
          <w:szCs w:val="24"/>
        </w:rPr>
        <w:t xml:space="preserve"> contrario a lo establecido por la </w:t>
      </w:r>
      <w:r w:rsidR="001F0346" w:rsidRPr="003C211E">
        <w:rPr>
          <w:rFonts w:ascii="Tahoma" w:eastAsia="Calibri" w:hAnsi="Tahoma" w:cs="Tahoma"/>
          <w:i/>
          <w:iCs/>
          <w:sz w:val="24"/>
          <w:szCs w:val="24"/>
        </w:rPr>
        <w:t>a-quo</w:t>
      </w:r>
      <w:r w:rsidR="1B790EB9" w:rsidRPr="003C211E">
        <w:rPr>
          <w:rFonts w:ascii="Tahoma" w:eastAsia="Calibri" w:hAnsi="Tahoma" w:cs="Tahoma"/>
          <w:i/>
          <w:iCs/>
          <w:sz w:val="24"/>
          <w:szCs w:val="24"/>
        </w:rPr>
        <w:t>,</w:t>
      </w:r>
      <w:r w:rsidR="001F0346" w:rsidRPr="003C211E">
        <w:rPr>
          <w:rFonts w:ascii="Tahoma" w:eastAsia="Calibri" w:hAnsi="Tahoma" w:cs="Tahoma"/>
          <w:i/>
          <w:iCs/>
          <w:sz w:val="24"/>
          <w:szCs w:val="24"/>
        </w:rPr>
        <w:t xml:space="preserve"> </w:t>
      </w:r>
      <w:r w:rsidR="001F0346" w:rsidRPr="003C211E">
        <w:rPr>
          <w:rFonts w:ascii="Tahoma" w:eastAsia="Calibri" w:hAnsi="Tahoma" w:cs="Tahoma"/>
          <w:sz w:val="24"/>
          <w:szCs w:val="24"/>
        </w:rPr>
        <w:t>de la historia laboral actualizada al 19 de abril de 2021, obrante en el expediente administrativo, es p</w:t>
      </w:r>
      <w:r w:rsidR="004F252D" w:rsidRPr="003C211E">
        <w:rPr>
          <w:rFonts w:ascii="Tahoma" w:eastAsia="Calibri" w:hAnsi="Tahoma" w:cs="Tahoma"/>
          <w:sz w:val="24"/>
          <w:szCs w:val="24"/>
        </w:rPr>
        <w:t>osible determinar que el trabajador prestó sus servicios de manera ininterrumpida para el empleador Rafael Morales Ortiz desde el 19 de enero de 1993 hasta el 31 de marzo de 2021</w:t>
      </w:r>
      <w:bookmarkEnd w:id="5"/>
      <w:r w:rsidR="004F252D" w:rsidRPr="003C211E">
        <w:rPr>
          <w:rFonts w:ascii="Tahoma" w:eastAsia="Calibri" w:hAnsi="Tahoma" w:cs="Tahoma"/>
          <w:sz w:val="24"/>
          <w:szCs w:val="24"/>
        </w:rPr>
        <w:t>, por las siguientes razones:</w:t>
      </w:r>
    </w:p>
    <w:p w14:paraId="4FCFF20B" w14:textId="0A024F5E" w:rsidR="001F0346" w:rsidRPr="003C211E" w:rsidRDefault="001F0346" w:rsidP="003C211E">
      <w:pPr>
        <w:widowControl w:val="0"/>
        <w:autoSpaceDE w:val="0"/>
        <w:autoSpaceDN w:val="0"/>
        <w:adjustRightInd w:val="0"/>
        <w:spacing w:after="0" w:line="276" w:lineRule="auto"/>
        <w:ind w:firstLine="708"/>
        <w:jc w:val="both"/>
        <w:rPr>
          <w:rFonts w:ascii="Tahoma" w:eastAsia="Calibri" w:hAnsi="Tahoma" w:cs="Tahoma"/>
          <w:sz w:val="24"/>
          <w:szCs w:val="24"/>
        </w:rPr>
      </w:pPr>
    </w:p>
    <w:p w14:paraId="37FE27E2" w14:textId="26D55A2B" w:rsidR="001F0346" w:rsidRPr="003C211E" w:rsidRDefault="004F252D" w:rsidP="003C211E">
      <w:pPr>
        <w:widowControl w:val="0"/>
        <w:autoSpaceDE w:val="0"/>
        <w:autoSpaceDN w:val="0"/>
        <w:adjustRightInd w:val="0"/>
        <w:spacing w:after="0" w:line="276" w:lineRule="auto"/>
        <w:ind w:firstLine="708"/>
        <w:jc w:val="both"/>
        <w:rPr>
          <w:rFonts w:ascii="Tahoma" w:eastAsia="Calibri" w:hAnsi="Tahoma" w:cs="Tahoma"/>
          <w:sz w:val="24"/>
          <w:szCs w:val="24"/>
        </w:rPr>
      </w:pPr>
      <w:r w:rsidRPr="003C211E">
        <w:rPr>
          <w:rFonts w:ascii="Tahoma" w:eastAsia="Calibri" w:hAnsi="Tahoma" w:cs="Tahoma"/>
          <w:sz w:val="24"/>
          <w:szCs w:val="24"/>
        </w:rPr>
        <w:t xml:space="preserve"> 1) el empleador nunca realizó novedades de retiro;</w:t>
      </w:r>
    </w:p>
    <w:p w14:paraId="50972400" w14:textId="0CF3970B" w:rsidR="001F0346" w:rsidRPr="003C211E" w:rsidRDefault="001F0346" w:rsidP="003C211E">
      <w:pPr>
        <w:widowControl w:val="0"/>
        <w:autoSpaceDE w:val="0"/>
        <w:autoSpaceDN w:val="0"/>
        <w:adjustRightInd w:val="0"/>
        <w:spacing w:after="0" w:line="276" w:lineRule="auto"/>
        <w:ind w:firstLine="708"/>
        <w:jc w:val="both"/>
        <w:rPr>
          <w:rFonts w:ascii="Tahoma" w:eastAsia="Calibri" w:hAnsi="Tahoma" w:cs="Tahoma"/>
          <w:sz w:val="24"/>
          <w:szCs w:val="24"/>
        </w:rPr>
      </w:pPr>
    </w:p>
    <w:p w14:paraId="6DE53DA2" w14:textId="3C5262AA" w:rsidR="001F0346" w:rsidRPr="003C211E" w:rsidRDefault="004F252D" w:rsidP="003C211E">
      <w:pPr>
        <w:widowControl w:val="0"/>
        <w:autoSpaceDE w:val="0"/>
        <w:autoSpaceDN w:val="0"/>
        <w:adjustRightInd w:val="0"/>
        <w:spacing w:after="0" w:line="276" w:lineRule="auto"/>
        <w:ind w:firstLine="708"/>
        <w:jc w:val="both"/>
        <w:rPr>
          <w:rFonts w:ascii="Tahoma" w:eastAsia="Calibri" w:hAnsi="Tahoma" w:cs="Tahoma"/>
          <w:sz w:val="24"/>
          <w:szCs w:val="24"/>
        </w:rPr>
      </w:pPr>
      <w:r w:rsidRPr="003C211E">
        <w:rPr>
          <w:rFonts w:ascii="Tahoma" w:eastAsia="Calibri" w:hAnsi="Tahoma" w:cs="Tahoma"/>
          <w:sz w:val="24"/>
          <w:szCs w:val="24"/>
        </w:rPr>
        <w:t xml:space="preserve"> 2) en el proceso de cobro coactivo no obra prueba que </w:t>
      </w:r>
      <w:r w:rsidR="0DCE327C" w:rsidRPr="003C211E">
        <w:rPr>
          <w:rFonts w:ascii="Tahoma" w:eastAsia="Calibri" w:hAnsi="Tahoma" w:cs="Tahoma"/>
          <w:sz w:val="24"/>
          <w:szCs w:val="24"/>
        </w:rPr>
        <w:t>dé</w:t>
      </w:r>
      <w:r w:rsidRPr="003C211E">
        <w:rPr>
          <w:rFonts w:ascii="Tahoma" w:eastAsia="Calibri" w:hAnsi="Tahoma" w:cs="Tahoma"/>
          <w:sz w:val="24"/>
          <w:szCs w:val="24"/>
        </w:rPr>
        <w:t xml:space="preserve"> cuenta que el empleador haya negado la existencia de la relación laboral;</w:t>
      </w:r>
    </w:p>
    <w:p w14:paraId="4AAD1018" w14:textId="488AD6A8" w:rsidR="001F0346" w:rsidRPr="003C211E" w:rsidRDefault="001F0346" w:rsidP="003C211E">
      <w:pPr>
        <w:widowControl w:val="0"/>
        <w:autoSpaceDE w:val="0"/>
        <w:autoSpaceDN w:val="0"/>
        <w:adjustRightInd w:val="0"/>
        <w:spacing w:after="0" w:line="276" w:lineRule="auto"/>
        <w:ind w:firstLine="708"/>
        <w:jc w:val="both"/>
        <w:rPr>
          <w:rFonts w:ascii="Tahoma" w:eastAsia="Calibri" w:hAnsi="Tahoma" w:cs="Tahoma"/>
          <w:sz w:val="24"/>
          <w:szCs w:val="24"/>
        </w:rPr>
      </w:pPr>
    </w:p>
    <w:p w14:paraId="0F57CAA7" w14:textId="4C6A41CE" w:rsidR="001F0346" w:rsidRPr="003C211E" w:rsidRDefault="004F252D" w:rsidP="003C211E">
      <w:pPr>
        <w:widowControl w:val="0"/>
        <w:autoSpaceDE w:val="0"/>
        <w:autoSpaceDN w:val="0"/>
        <w:adjustRightInd w:val="0"/>
        <w:spacing w:after="0" w:line="276" w:lineRule="auto"/>
        <w:ind w:firstLine="708"/>
        <w:jc w:val="both"/>
        <w:rPr>
          <w:rFonts w:ascii="Tahoma" w:eastAsia="Calibri" w:hAnsi="Tahoma" w:cs="Tahoma"/>
          <w:sz w:val="24"/>
          <w:szCs w:val="24"/>
        </w:rPr>
      </w:pPr>
      <w:r w:rsidRPr="003C211E">
        <w:rPr>
          <w:rFonts w:ascii="Tahoma" w:eastAsia="Calibri" w:hAnsi="Tahoma" w:cs="Tahoma"/>
          <w:sz w:val="24"/>
          <w:szCs w:val="24"/>
        </w:rPr>
        <w:t xml:space="preserve"> 3) </w:t>
      </w:r>
      <w:r w:rsidR="00881F3D" w:rsidRPr="003C211E">
        <w:rPr>
          <w:rFonts w:ascii="Tahoma" w:eastAsia="Calibri" w:hAnsi="Tahoma" w:cs="Tahoma"/>
          <w:sz w:val="24"/>
          <w:szCs w:val="24"/>
        </w:rPr>
        <w:t>el actor siempre tuvo el mismo empleador después desde el año 1993;</w:t>
      </w:r>
    </w:p>
    <w:p w14:paraId="681BE4D1" w14:textId="3BE49EC7" w:rsidR="001F0346" w:rsidRPr="003C211E" w:rsidRDefault="001F0346" w:rsidP="003C211E">
      <w:pPr>
        <w:widowControl w:val="0"/>
        <w:autoSpaceDE w:val="0"/>
        <w:autoSpaceDN w:val="0"/>
        <w:adjustRightInd w:val="0"/>
        <w:spacing w:after="0" w:line="276" w:lineRule="auto"/>
        <w:ind w:firstLine="708"/>
        <w:jc w:val="both"/>
        <w:rPr>
          <w:rFonts w:ascii="Tahoma" w:eastAsia="Calibri" w:hAnsi="Tahoma" w:cs="Tahoma"/>
          <w:sz w:val="24"/>
          <w:szCs w:val="24"/>
        </w:rPr>
      </w:pPr>
    </w:p>
    <w:p w14:paraId="34AB3516" w14:textId="403AADE7" w:rsidR="001F0346" w:rsidRPr="003C211E" w:rsidRDefault="78CA7329" w:rsidP="003C211E">
      <w:pPr>
        <w:widowControl w:val="0"/>
        <w:autoSpaceDE w:val="0"/>
        <w:autoSpaceDN w:val="0"/>
        <w:adjustRightInd w:val="0"/>
        <w:spacing w:after="0" w:line="276" w:lineRule="auto"/>
        <w:ind w:firstLine="708"/>
        <w:jc w:val="both"/>
        <w:rPr>
          <w:rFonts w:ascii="Tahoma" w:eastAsia="Calibri" w:hAnsi="Tahoma" w:cs="Tahoma"/>
          <w:sz w:val="24"/>
          <w:szCs w:val="24"/>
        </w:rPr>
      </w:pPr>
      <w:r w:rsidRPr="003C211E">
        <w:rPr>
          <w:rFonts w:ascii="Tahoma" w:eastAsia="Calibri" w:hAnsi="Tahoma" w:cs="Tahoma"/>
          <w:sz w:val="24"/>
          <w:szCs w:val="24"/>
        </w:rPr>
        <w:t xml:space="preserve"> </w:t>
      </w:r>
      <w:r w:rsidR="00366BB4" w:rsidRPr="003C211E">
        <w:rPr>
          <w:rFonts w:ascii="Tahoma" w:eastAsia="Calibri" w:hAnsi="Tahoma" w:cs="Tahoma"/>
          <w:sz w:val="24"/>
          <w:szCs w:val="24"/>
        </w:rPr>
        <w:t>4) durante el largo interregno que duró la relación laboral (más de 28 años), solo hubo mora en algunos ciclos corridos entre los años 1998 y 2002, pero se registran algunos pagos esporádicos en ese lapso, los cuales fueron aplicados a periodos anteriores en mora, lo que pone de presente que la relación laboral estaba vigente</w:t>
      </w:r>
      <w:r w:rsidR="00A64BA3" w:rsidRPr="003C211E">
        <w:rPr>
          <w:rFonts w:ascii="Tahoma" w:eastAsia="Calibri" w:hAnsi="Tahoma" w:cs="Tahoma"/>
          <w:sz w:val="24"/>
          <w:szCs w:val="24"/>
        </w:rPr>
        <w:t>, no solo porque no hubo novedad de retiro del sistema por este empleador, sino porque registró cotizaciones esporádicas, mediados por algunos lapsos en que incurría en mora, de modo que cuando efectuaba el pago de algún ciclo posterior, el sistema efectuada imputación de pagos a periodos anteriores,</w:t>
      </w:r>
    </w:p>
    <w:p w14:paraId="56C68E88" w14:textId="7DA3FE2A" w:rsidR="001F0346" w:rsidRPr="003C211E" w:rsidRDefault="001F0346" w:rsidP="003C211E">
      <w:pPr>
        <w:widowControl w:val="0"/>
        <w:autoSpaceDE w:val="0"/>
        <w:autoSpaceDN w:val="0"/>
        <w:adjustRightInd w:val="0"/>
        <w:spacing w:after="0" w:line="276" w:lineRule="auto"/>
        <w:ind w:firstLine="708"/>
        <w:jc w:val="both"/>
        <w:rPr>
          <w:rFonts w:ascii="Tahoma" w:eastAsia="Calibri" w:hAnsi="Tahoma" w:cs="Tahoma"/>
          <w:sz w:val="24"/>
          <w:szCs w:val="24"/>
        </w:rPr>
      </w:pPr>
    </w:p>
    <w:p w14:paraId="43B7A644" w14:textId="75A4FF50" w:rsidR="001F0346" w:rsidRPr="003C211E" w:rsidRDefault="00A64BA3" w:rsidP="003C211E">
      <w:pPr>
        <w:widowControl w:val="0"/>
        <w:autoSpaceDE w:val="0"/>
        <w:autoSpaceDN w:val="0"/>
        <w:adjustRightInd w:val="0"/>
        <w:spacing w:after="0" w:line="276" w:lineRule="auto"/>
        <w:ind w:firstLine="708"/>
        <w:jc w:val="both"/>
        <w:rPr>
          <w:rFonts w:ascii="Tahoma" w:eastAsia="Calibri" w:hAnsi="Tahoma" w:cs="Tahoma"/>
          <w:sz w:val="24"/>
          <w:szCs w:val="24"/>
        </w:rPr>
      </w:pPr>
      <w:r w:rsidRPr="003C211E">
        <w:rPr>
          <w:rFonts w:ascii="Tahoma" w:eastAsia="Calibri" w:hAnsi="Tahoma" w:cs="Tahoma"/>
          <w:sz w:val="24"/>
          <w:szCs w:val="24"/>
        </w:rPr>
        <w:t xml:space="preserve"> 5) </w:t>
      </w:r>
      <w:r w:rsidR="009D2B4F" w:rsidRPr="003C211E">
        <w:rPr>
          <w:rFonts w:ascii="Tahoma" w:eastAsia="Calibri" w:hAnsi="Tahoma" w:cs="Tahoma"/>
          <w:sz w:val="24"/>
          <w:szCs w:val="24"/>
        </w:rPr>
        <w:t>L</w:t>
      </w:r>
      <w:r w:rsidR="00771F30" w:rsidRPr="003C211E">
        <w:rPr>
          <w:rFonts w:ascii="Tahoma" w:eastAsia="Calibri" w:hAnsi="Tahoma" w:cs="Tahoma"/>
          <w:sz w:val="24"/>
          <w:szCs w:val="24"/>
        </w:rPr>
        <w:t xml:space="preserve">a administradora omitió por </w:t>
      </w:r>
      <w:r w:rsidR="5A572908" w:rsidRPr="003C211E">
        <w:rPr>
          <w:rFonts w:ascii="Tahoma" w:eastAsia="Calibri" w:hAnsi="Tahoma" w:cs="Tahoma"/>
          <w:sz w:val="24"/>
          <w:szCs w:val="24"/>
        </w:rPr>
        <w:t>más</w:t>
      </w:r>
      <w:r w:rsidR="00771F30" w:rsidRPr="003C211E">
        <w:rPr>
          <w:rFonts w:ascii="Tahoma" w:eastAsia="Calibri" w:hAnsi="Tahoma" w:cs="Tahoma"/>
          <w:sz w:val="24"/>
          <w:szCs w:val="24"/>
        </w:rPr>
        <w:t xml:space="preserve"> de 20 años realizar el proceso de cobro coactivo, pese a que </w:t>
      </w:r>
      <w:r w:rsidR="00366BB4" w:rsidRPr="003C211E">
        <w:rPr>
          <w:rFonts w:ascii="Tahoma" w:eastAsia="Calibri" w:hAnsi="Tahoma" w:cs="Tahoma"/>
          <w:sz w:val="24"/>
          <w:szCs w:val="24"/>
        </w:rPr>
        <w:t xml:space="preserve">registra </w:t>
      </w:r>
      <w:r w:rsidR="00771F30" w:rsidRPr="003C211E">
        <w:rPr>
          <w:rFonts w:ascii="Tahoma" w:eastAsia="Calibri" w:hAnsi="Tahoma" w:cs="Tahoma"/>
          <w:sz w:val="24"/>
          <w:szCs w:val="24"/>
        </w:rPr>
        <w:t xml:space="preserve">como observación en los periodos pretendidos </w:t>
      </w:r>
      <w:r w:rsidR="00771F30" w:rsidRPr="003C211E">
        <w:rPr>
          <w:rFonts w:ascii="Tahoma" w:eastAsia="Calibri" w:hAnsi="Tahoma" w:cs="Tahoma"/>
          <w:i/>
          <w:iCs/>
          <w:sz w:val="24"/>
          <w:szCs w:val="24"/>
        </w:rPr>
        <w:t>“</w:t>
      </w:r>
      <w:r w:rsidR="00771F30" w:rsidRPr="00725584">
        <w:rPr>
          <w:rFonts w:ascii="Tahoma" w:eastAsia="Calibri" w:hAnsi="Tahoma" w:cs="Tahoma"/>
          <w:i/>
          <w:iCs/>
          <w:szCs w:val="24"/>
        </w:rPr>
        <w:t>periodo en mora por parte del empleador</w:t>
      </w:r>
      <w:r w:rsidR="00771F30" w:rsidRPr="00725584">
        <w:rPr>
          <w:rFonts w:ascii="Tahoma" w:eastAsia="Calibri" w:hAnsi="Tahoma" w:cs="Tahoma"/>
          <w:i/>
          <w:iCs/>
          <w:sz w:val="24"/>
          <w:szCs w:val="24"/>
        </w:rPr>
        <w:t>”</w:t>
      </w:r>
      <w:r w:rsidR="00771F30" w:rsidRPr="003C211E">
        <w:rPr>
          <w:rFonts w:ascii="Tahoma" w:eastAsia="Calibri" w:hAnsi="Tahoma" w:cs="Tahoma"/>
          <w:i/>
          <w:iCs/>
          <w:sz w:val="24"/>
          <w:szCs w:val="24"/>
        </w:rPr>
        <w:t>, “</w:t>
      </w:r>
      <w:r w:rsidR="001026D1" w:rsidRPr="00725584">
        <w:rPr>
          <w:rFonts w:ascii="Tahoma" w:eastAsia="Calibri" w:hAnsi="Tahoma" w:cs="Tahoma"/>
          <w:i/>
          <w:iCs/>
          <w:szCs w:val="24"/>
        </w:rPr>
        <w:t>deuda presunta, pago aplicado de periodos posteriores</w:t>
      </w:r>
      <w:r w:rsidR="001026D1" w:rsidRPr="003C211E">
        <w:rPr>
          <w:rFonts w:ascii="Tahoma" w:eastAsia="Calibri" w:hAnsi="Tahoma" w:cs="Tahoma"/>
          <w:i/>
          <w:iCs/>
          <w:sz w:val="24"/>
          <w:szCs w:val="24"/>
        </w:rPr>
        <w:t>”</w:t>
      </w:r>
      <w:r w:rsidR="00366BB4" w:rsidRPr="003C211E">
        <w:rPr>
          <w:rFonts w:ascii="Tahoma" w:eastAsia="Calibri" w:hAnsi="Tahoma" w:cs="Tahoma"/>
          <w:i/>
          <w:iCs/>
          <w:sz w:val="24"/>
          <w:szCs w:val="24"/>
        </w:rPr>
        <w:t xml:space="preserve">. </w:t>
      </w:r>
    </w:p>
    <w:p w14:paraId="4FA97411" w14:textId="32D68C1D" w:rsidR="001026D1" w:rsidRPr="003C211E" w:rsidRDefault="001026D1" w:rsidP="003C211E">
      <w:pPr>
        <w:widowControl w:val="0"/>
        <w:autoSpaceDE w:val="0"/>
        <w:autoSpaceDN w:val="0"/>
        <w:adjustRightInd w:val="0"/>
        <w:spacing w:after="0" w:line="276" w:lineRule="auto"/>
        <w:ind w:firstLine="708"/>
        <w:jc w:val="both"/>
        <w:rPr>
          <w:rFonts w:ascii="Tahoma" w:eastAsia="Calibri" w:hAnsi="Tahoma" w:cs="Tahoma"/>
          <w:bCs/>
          <w:sz w:val="24"/>
          <w:szCs w:val="24"/>
        </w:rPr>
      </w:pPr>
    </w:p>
    <w:p w14:paraId="64EEFE88" w14:textId="79FD3D85" w:rsidR="009D2293" w:rsidRPr="003C211E" w:rsidRDefault="00B9211F" w:rsidP="003C211E">
      <w:pPr>
        <w:spacing w:after="0" w:line="276" w:lineRule="auto"/>
        <w:ind w:firstLine="708"/>
        <w:jc w:val="both"/>
        <w:rPr>
          <w:rFonts w:ascii="Tahoma" w:hAnsi="Tahoma" w:cs="Tahoma"/>
          <w:sz w:val="24"/>
          <w:szCs w:val="24"/>
        </w:rPr>
      </w:pPr>
      <w:r w:rsidRPr="003C211E">
        <w:rPr>
          <w:rFonts w:ascii="Tahoma" w:eastAsia="Calibri" w:hAnsi="Tahoma" w:cs="Tahoma"/>
          <w:sz w:val="24"/>
          <w:szCs w:val="24"/>
        </w:rPr>
        <w:t xml:space="preserve">En </w:t>
      </w:r>
      <w:r w:rsidR="00634A61" w:rsidRPr="003C211E">
        <w:rPr>
          <w:rFonts w:ascii="Tahoma" w:eastAsia="Calibri" w:hAnsi="Tahoma" w:cs="Tahoma"/>
          <w:sz w:val="24"/>
          <w:szCs w:val="24"/>
        </w:rPr>
        <w:t>conclusión,</w:t>
      </w:r>
      <w:r w:rsidRPr="003C211E">
        <w:rPr>
          <w:rFonts w:ascii="Tahoma" w:eastAsia="Calibri" w:hAnsi="Tahoma" w:cs="Tahoma"/>
          <w:sz w:val="24"/>
          <w:szCs w:val="24"/>
        </w:rPr>
        <w:t xml:space="preserve"> el actor acreditó los requisitos para acceder a la gracia pensional el</w:t>
      </w:r>
      <w:r w:rsidR="00634A61" w:rsidRPr="003C211E">
        <w:rPr>
          <w:rFonts w:ascii="Tahoma" w:eastAsia="Calibri" w:hAnsi="Tahoma" w:cs="Tahoma"/>
          <w:sz w:val="24"/>
          <w:szCs w:val="24"/>
        </w:rPr>
        <w:t xml:space="preserve"> 18 de marzo de 2019, data en que alcanzó los requisitos dispuestos en el ordenamiento legal</w:t>
      </w:r>
      <w:r w:rsidRPr="003C211E">
        <w:rPr>
          <w:rFonts w:ascii="Tahoma" w:eastAsia="Calibri" w:hAnsi="Tahoma" w:cs="Tahoma"/>
          <w:sz w:val="24"/>
          <w:szCs w:val="24"/>
        </w:rPr>
        <w:t>,</w:t>
      </w:r>
      <w:r w:rsidR="00EC580D" w:rsidRPr="003C211E">
        <w:rPr>
          <w:rFonts w:ascii="Tahoma" w:eastAsia="Calibri" w:hAnsi="Tahoma" w:cs="Tahoma"/>
          <w:sz w:val="24"/>
          <w:szCs w:val="24"/>
        </w:rPr>
        <w:t xml:space="preserve"> tal como lo asevera la recurrente,</w:t>
      </w:r>
      <w:r w:rsidRPr="003C211E">
        <w:rPr>
          <w:rFonts w:ascii="Tahoma" w:eastAsia="Calibri" w:hAnsi="Tahoma" w:cs="Tahoma"/>
          <w:sz w:val="24"/>
          <w:szCs w:val="24"/>
        </w:rPr>
        <w:t xml:space="preserve"> </w:t>
      </w:r>
      <w:r w:rsidR="00387FA3" w:rsidRPr="003C211E">
        <w:rPr>
          <w:rFonts w:ascii="Tahoma" w:eastAsia="Calibri" w:hAnsi="Tahoma" w:cs="Tahoma"/>
          <w:sz w:val="24"/>
          <w:szCs w:val="24"/>
        </w:rPr>
        <w:t>si</w:t>
      </w:r>
      <w:r w:rsidR="009D2293" w:rsidRPr="003C211E">
        <w:rPr>
          <w:rFonts w:ascii="Tahoma" w:eastAsia="Calibri" w:hAnsi="Tahoma" w:cs="Tahoma"/>
          <w:sz w:val="24"/>
          <w:szCs w:val="24"/>
        </w:rPr>
        <w:t>endo del caso recordar que</w:t>
      </w:r>
      <w:r w:rsidR="009D2293" w:rsidRPr="003C211E">
        <w:rPr>
          <w:rFonts w:ascii="Tahoma" w:hAnsi="Tahoma" w:cs="Tahoma"/>
          <w:sz w:val="24"/>
          <w:szCs w:val="24"/>
        </w:rPr>
        <w:t xml:space="preserve"> esta Corporación de vieja data acogió la postura asumida por la Sala de Casación </w:t>
      </w:r>
      <w:r w:rsidR="009D2293" w:rsidRPr="003C211E">
        <w:rPr>
          <w:rFonts w:ascii="Tahoma" w:hAnsi="Tahoma" w:cs="Tahoma"/>
          <w:sz w:val="24"/>
          <w:szCs w:val="24"/>
        </w:rPr>
        <w:lastRenderedPageBreak/>
        <w:t>Laboral de la Corte Suprema de Justicia en la sentencia del 5 de abril de 2011, proferida dentro del proceso radicado con el número 43564, M.P. Gustavo José Gnecco Mendoza, en la que se expuso, respecto a la inducción a error por parte de la entidad demandada, lo siguiente:</w:t>
      </w:r>
    </w:p>
    <w:p w14:paraId="3FA7A1C4" w14:textId="77777777" w:rsidR="009D2293" w:rsidRPr="003C211E" w:rsidRDefault="009D2293" w:rsidP="003C211E">
      <w:pPr>
        <w:tabs>
          <w:tab w:val="left" w:pos="748"/>
        </w:tabs>
        <w:spacing w:after="0" w:line="276" w:lineRule="auto"/>
        <w:jc w:val="both"/>
        <w:rPr>
          <w:rFonts w:ascii="Tahoma" w:hAnsi="Tahoma" w:cs="Tahoma"/>
          <w:sz w:val="24"/>
          <w:szCs w:val="24"/>
        </w:rPr>
      </w:pPr>
    </w:p>
    <w:p w14:paraId="1CF5A76F" w14:textId="0A6301E0" w:rsidR="009D2293" w:rsidRPr="00B93C12" w:rsidRDefault="009D2293" w:rsidP="00B93C12">
      <w:pPr>
        <w:spacing w:after="0" w:line="240" w:lineRule="auto"/>
        <w:ind w:left="426" w:right="420" w:firstLine="709"/>
        <w:jc w:val="both"/>
        <w:rPr>
          <w:rFonts w:ascii="Tahoma" w:hAnsi="Tahoma" w:cs="Tahoma"/>
          <w:i/>
          <w:iCs/>
          <w:szCs w:val="24"/>
        </w:rPr>
      </w:pPr>
      <w:r w:rsidRPr="00B93C12">
        <w:rPr>
          <w:rFonts w:ascii="Tahoma" w:hAnsi="Tahoma" w:cs="Tahoma"/>
          <w:i/>
          <w:iCs/>
          <w:szCs w:val="24"/>
        </w:rPr>
        <w:t>“…</w:t>
      </w:r>
      <w:r w:rsidR="00725584" w:rsidRPr="00B93C12">
        <w:rPr>
          <w:rFonts w:ascii="Tahoma" w:hAnsi="Tahoma" w:cs="Tahoma"/>
          <w:i/>
          <w:iCs/>
          <w:szCs w:val="24"/>
        </w:rPr>
        <w:t xml:space="preserve"> </w:t>
      </w:r>
      <w:r w:rsidRPr="00B93C12">
        <w:rPr>
          <w:rFonts w:ascii="Tahoma" w:hAnsi="Tahoma" w:cs="Tahoma"/>
          <w:i/>
          <w:iCs/>
          <w:szCs w:val="24"/>
        </w:rPr>
        <w:t>no encuentra la Sala ningún desacierto fáctico, porque si esa entidad de seguridad social, sin ninguna razón atendible para ello, no le reconoció  al actor el derecho a la pensión de vejez cuando debió hacerlo y esa injustificada negativa trajo como consecuencia que aquel continuara cotizando al sistema de seguridad social en pensiones para, luego, poder pedir nuevamente que se le reconociera la prestación, no puede pretenderse que se pase por alto esa situación y que se tome como fecha en la que el demandado incurrió en mora la del vencimiento para dar respuesta a la segunda petición, originada en una equivocada conducta de ese instituto convocado al pleito.”</w:t>
      </w:r>
    </w:p>
    <w:p w14:paraId="59EA925F" w14:textId="27A0F54B" w:rsidR="009D2293" w:rsidRPr="003C211E" w:rsidRDefault="00387FA3" w:rsidP="003C211E">
      <w:pPr>
        <w:widowControl w:val="0"/>
        <w:autoSpaceDE w:val="0"/>
        <w:autoSpaceDN w:val="0"/>
        <w:adjustRightInd w:val="0"/>
        <w:spacing w:after="0" w:line="276" w:lineRule="auto"/>
        <w:jc w:val="both"/>
        <w:rPr>
          <w:rFonts w:ascii="Tahoma" w:eastAsia="Calibri" w:hAnsi="Tahoma" w:cs="Tahoma"/>
          <w:sz w:val="24"/>
          <w:szCs w:val="24"/>
        </w:rPr>
      </w:pPr>
      <w:r w:rsidRPr="003C211E">
        <w:rPr>
          <w:rFonts w:ascii="Tahoma" w:eastAsia="Calibri" w:hAnsi="Tahoma" w:cs="Tahoma"/>
          <w:sz w:val="24"/>
          <w:szCs w:val="24"/>
        </w:rPr>
        <w:t xml:space="preserve"> </w:t>
      </w:r>
    </w:p>
    <w:p w14:paraId="0D59459C" w14:textId="77777777" w:rsidR="0023244A" w:rsidRPr="003C211E" w:rsidRDefault="0023244A" w:rsidP="003C211E">
      <w:pPr>
        <w:widowControl w:val="0"/>
        <w:autoSpaceDE w:val="0"/>
        <w:autoSpaceDN w:val="0"/>
        <w:adjustRightInd w:val="0"/>
        <w:spacing w:after="0" w:line="276" w:lineRule="auto"/>
        <w:jc w:val="both"/>
        <w:rPr>
          <w:rFonts w:ascii="Tahoma" w:eastAsia="Calibri" w:hAnsi="Tahoma" w:cs="Tahoma"/>
          <w:sz w:val="24"/>
          <w:szCs w:val="24"/>
        </w:rPr>
      </w:pPr>
      <w:r w:rsidRPr="003C211E">
        <w:rPr>
          <w:rFonts w:ascii="Tahoma" w:eastAsia="Calibri" w:hAnsi="Tahoma" w:cs="Tahoma"/>
          <w:sz w:val="24"/>
          <w:szCs w:val="24"/>
        </w:rPr>
        <w:tab/>
        <w:t xml:space="preserve">Así las cosas, como quiera que aquellas cotizaciones efectuadas con posterioridad a la aludida calenda en nada inciden en el monto de la mesada pensional -que equivale al salario mínimo legal- es evidente que le asiste el derecho al reconocimiento desde ese momento. </w:t>
      </w:r>
    </w:p>
    <w:p w14:paraId="7C8DE808" w14:textId="5FCB17B4" w:rsidR="0023244A" w:rsidRPr="003C211E" w:rsidRDefault="00E54CE2" w:rsidP="003C211E">
      <w:pPr>
        <w:widowControl w:val="0"/>
        <w:autoSpaceDE w:val="0"/>
        <w:autoSpaceDN w:val="0"/>
        <w:adjustRightInd w:val="0"/>
        <w:spacing w:after="0" w:line="276" w:lineRule="auto"/>
        <w:jc w:val="both"/>
        <w:rPr>
          <w:rFonts w:ascii="Tahoma" w:eastAsia="Calibri" w:hAnsi="Tahoma" w:cs="Tahoma"/>
          <w:sz w:val="24"/>
          <w:szCs w:val="24"/>
        </w:rPr>
      </w:pPr>
      <w:r w:rsidRPr="003C211E">
        <w:rPr>
          <w:rFonts w:ascii="Tahoma" w:eastAsia="Calibri" w:hAnsi="Tahoma" w:cs="Tahoma"/>
          <w:sz w:val="24"/>
          <w:szCs w:val="24"/>
        </w:rPr>
        <w:tab/>
      </w:r>
    </w:p>
    <w:p w14:paraId="2A396678" w14:textId="476B4725" w:rsidR="00E54CE2" w:rsidRPr="003C211E" w:rsidRDefault="00E54CE2" w:rsidP="003C211E">
      <w:pPr>
        <w:widowControl w:val="0"/>
        <w:autoSpaceDE w:val="0"/>
        <w:autoSpaceDN w:val="0"/>
        <w:adjustRightInd w:val="0"/>
        <w:spacing w:after="0" w:line="276" w:lineRule="auto"/>
        <w:ind w:firstLine="708"/>
        <w:jc w:val="both"/>
        <w:rPr>
          <w:rFonts w:ascii="Tahoma" w:hAnsi="Tahoma" w:cs="Tahoma"/>
          <w:sz w:val="24"/>
          <w:szCs w:val="24"/>
        </w:rPr>
      </w:pPr>
      <w:r w:rsidRPr="003C211E">
        <w:rPr>
          <w:rFonts w:ascii="Tahoma" w:hAnsi="Tahoma" w:cs="Tahoma"/>
          <w:bCs/>
          <w:sz w:val="24"/>
          <w:szCs w:val="24"/>
        </w:rPr>
        <w:t xml:space="preserve">Ahora bien, una vez revisada la totalidad de la prueba documental obrante en el infolio, no logra observarse un indicio que indique que el promotor del litigio requirió a la demandada desde marzo de 2019 </w:t>
      </w:r>
      <w:r w:rsidRPr="003C211E">
        <w:rPr>
          <w:rFonts w:ascii="Tahoma" w:hAnsi="Tahoma" w:cs="Tahoma"/>
          <w:bCs/>
          <w:i/>
          <w:sz w:val="24"/>
          <w:szCs w:val="24"/>
        </w:rPr>
        <w:t>-o dentro de un término prudencial-</w:t>
      </w:r>
      <w:r w:rsidRPr="003C211E">
        <w:rPr>
          <w:rFonts w:ascii="Tahoma" w:hAnsi="Tahoma" w:cs="Tahoma"/>
          <w:bCs/>
          <w:sz w:val="24"/>
          <w:szCs w:val="24"/>
        </w:rPr>
        <w:t xml:space="preserve"> con el fin de acceder a la pensión de vejez; por el contrario, lo que logra extraerse del expediente administrativo es que el procedimiento inició en dicha entidad desde el</w:t>
      </w:r>
      <w:r w:rsidR="00387FA3" w:rsidRPr="003C211E">
        <w:rPr>
          <w:rFonts w:ascii="Tahoma" w:eastAsia="Calibri" w:hAnsi="Tahoma" w:cs="Tahoma"/>
          <w:sz w:val="24"/>
          <w:szCs w:val="24"/>
        </w:rPr>
        <w:t xml:space="preserve"> 20 de diciembre de 2019, </w:t>
      </w:r>
      <w:r w:rsidRPr="003C211E">
        <w:rPr>
          <w:rFonts w:ascii="Tahoma" w:eastAsia="Calibri" w:hAnsi="Tahoma" w:cs="Tahoma"/>
          <w:sz w:val="24"/>
          <w:szCs w:val="24"/>
        </w:rPr>
        <w:t xml:space="preserve">cuya </w:t>
      </w:r>
      <w:r w:rsidR="00387FA3" w:rsidRPr="003C211E">
        <w:rPr>
          <w:rFonts w:ascii="Tahoma" w:eastAsia="Calibri" w:hAnsi="Tahoma" w:cs="Tahoma"/>
          <w:sz w:val="24"/>
          <w:szCs w:val="24"/>
        </w:rPr>
        <w:t>solicitud fue resu</w:t>
      </w:r>
      <w:r w:rsidR="62703CEC" w:rsidRPr="003C211E">
        <w:rPr>
          <w:rFonts w:ascii="Tahoma" w:eastAsia="Calibri" w:hAnsi="Tahoma" w:cs="Tahoma"/>
          <w:sz w:val="24"/>
          <w:szCs w:val="24"/>
        </w:rPr>
        <w:t>e</w:t>
      </w:r>
      <w:r w:rsidR="00387FA3" w:rsidRPr="003C211E">
        <w:rPr>
          <w:rFonts w:ascii="Tahoma" w:eastAsia="Calibri" w:hAnsi="Tahoma" w:cs="Tahoma"/>
          <w:sz w:val="24"/>
          <w:szCs w:val="24"/>
        </w:rPr>
        <w:t>lta negativamente</w:t>
      </w:r>
      <w:r w:rsidRPr="003C211E">
        <w:rPr>
          <w:rFonts w:ascii="Tahoma" w:hAnsi="Tahoma" w:cs="Tahoma"/>
          <w:sz w:val="24"/>
          <w:szCs w:val="24"/>
        </w:rPr>
        <w:t>.</w:t>
      </w:r>
      <w:r w:rsidR="00387FA3" w:rsidRPr="003C211E">
        <w:rPr>
          <w:rFonts w:ascii="Tahoma" w:hAnsi="Tahoma" w:cs="Tahoma"/>
          <w:sz w:val="24"/>
          <w:szCs w:val="24"/>
        </w:rPr>
        <w:t xml:space="preserve"> </w:t>
      </w:r>
      <w:r w:rsidR="0023244A" w:rsidRPr="003C211E">
        <w:rPr>
          <w:rFonts w:ascii="Tahoma" w:hAnsi="Tahoma" w:cs="Tahoma"/>
          <w:sz w:val="24"/>
          <w:szCs w:val="24"/>
        </w:rPr>
        <w:t xml:space="preserve"> </w:t>
      </w:r>
      <w:r w:rsidRPr="003C211E">
        <w:rPr>
          <w:rFonts w:ascii="Tahoma" w:hAnsi="Tahoma" w:cs="Tahoma"/>
          <w:sz w:val="24"/>
          <w:szCs w:val="24"/>
        </w:rPr>
        <w:t>Bajo estos lineamientos queda descartado que el retroactivo pensional deb</w:t>
      </w:r>
      <w:r w:rsidR="0023244A" w:rsidRPr="003C211E">
        <w:rPr>
          <w:rFonts w:ascii="Tahoma" w:hAnsi="Tahoma" w:cs="Tahoma"/>
          <w:sz w:val="24"/>
          <w:szCs w:val="24"/>
        </w:rPr>
        <w:t>e</w:t>
      </w:r>
      <w:r w:rsidRPr="003C211E">
        <w:rPr>
          <w:rFonts w:ascii="Tahoma" w:hAnsi="Tahoma" w:cs="Tahoma"/>
          <w:sz w:val="24"/>
          <w:szCs w:val="24"/>
        </w:rPr>
        <w:t xml:space="preserve"> ser cancelado a partir del mes de marzo de 2019, como quiera que al no exist</w:t>
      </w:r>
      <w:r w:rsidR="0023244A" w:rsidRPr="003C211E">
        <w:rPr>
          <w:rFonts w:ascii="Tahoma" w:hAnsi="Tahoma" w:cs="Tahoma"/>
          <w:sz w:val="24"/>
          <w:szCs w:val="24"/>
        </w:rPr>
        <w:t>e</w:t>
      </w:r>
      <w:r w:rsidRPr="003C211E">
        <w:rPr>
          <w:rFonts w:ascii="Tahoma" w:hAnsi="Tahoma" w:cs="Tahoma"/>
          <w:sz w:val="24"/>
          <w:szCs w:val="24"/>
        </w:rPr>
        <w:t xml:space="preserve"> constancia alguna en el infolio que de fe de que, efectivamente, </w:t>
      </w:r>
      <w:r w:rsidR="0023244A" w:rsidRPr="003C211E">
        <w:rPr>
          <w:rFonts w:ascii="Tahoma" w:hAnsi="Tahoma" w:cs="Tahoma"/>
          <w:sz w:val="24"/>
          <w:szCs w:val="24"/>
        </w:rPr>
        <w:t>haya hecho una manifestación expresa de acceder a la gracia pensional y retirarse efectivamente del sistema.</w:t>
      </w:r>
    </w:p>
    <w:p w14:paraId="771CD8CA" w14:textId="77777777" w:rsidR="00E54CE2" w:rsidRPr="003C211E" w:rsidRDefault="00E54CE2" w:rsidP="003C211E">
      <w:pPr>
        <w:pStyle w:val="Textoindependiente"/>
        <w:spacing w:line="276" w:lineRule="auto"/>
        <w:ind w:right="51" w:firstLine="708"/>
        <w:jc w:val="both"/>
      </w:pPr>
    </w:p>
    <w:p w14:paraId="28B5BD5D" w14:textId="77777777" w:rsidR="00E54CE2" w:rsidRPr="003C211E" w:rsidRDefault="00E54CE2" w:rsidP="003C211E">
      <w:pPr>
        <w:spacing w:after="0" w:line="276" w:lineRule="auto"/>
        <w:ind w:firstLine="709"/>
        <w:jc w:val="both"/>
        <w:rPr>
          <w:rFonts w:ascii="Tahoma" w:hAnsi="Tahoma" w:cs="Tahoma"/>
          <w:sz w:val="24"/>
          <w:szCs w:val="24"/>
        </w:rPr>
      </w:pPr>
      <w:r w:rsidRPr="003C211E">
        <w:rPr>
          <w:rFonts w:ascii="Tahoma" w:hAnsi="Tahoma" w:cs="Tahoma"/>
          <w:sz w:val="24"/>
          <w:szCs w:val="24"/>
        </w:rPr>
        <w:t xml:space="preserve">En relación con la manifestación expresa de la voluntad a que se ha hecho alusión, se pronunció la Sala de Casación Laboral de la Corte Suprema de Justicia en sentencia del 2 de octubre de 2013, con radicado número 44362, ponencia de la Magistrada Elsy del Pilar Cuello Calderón, en los siguientes términos: </w:t>
      </w:r>
    </w:p>
    <w:p w14:paraId="5F2E558D" w14:textId="77777777" w:rsidR="00E54CE2" w:rsidRPr="003C211E" w:rsidRDefault="00E54CE2" w:rsidP="003C211E">
      <w:pPr>
        <w:spacing w:after="0" w:line="276" w:lineRule="auto"/>
        <w:jc w:val="both"/>
        <w:rPr>
          <w:rFonts w:ascii="Tahoma" w:hAnsi="Tahoma" w:cs="Tahoma"/>
          <w:sz w:val="24"/>
          <w:szCs w:val="24"/>
        </w:rPr>
      </w:pPr>
    </w:p>
    <w:p w14:paraId="0F94E7FB" w14:textId="77777777" w:rsidR="00E54CE2" w:rsidRPr="00B93C12" w:rsidRDefault="00E54CE2" w:rsidP="00B93C12">
      <w:pPr>
        <w:spacing w:after="0" w:line="240" w:lineRule="auto"/>
        <w:ind w:left="426" w:right="420" w:firstLine="709"/>
        <w:jc w:val="both"/>
        <w:rPr>
          <w:rFonts w:ascii="Tahoma" w:hAnsi="Tahoma" w:cs="Tahoma"/>
          <w:i/>
          <w:iCs/>
          <w:szCs w:val="24"/>
        </w:rPr>
      </w:pPr>
      <w:r w:rsidRPr="00B93C12">
        <w:rPr>
          <w:rFonts w:ascii="Tahoma" w:hAnsi="Tahoma" w:cs="Tahoma"/>
          <w:i/>
          <w:iCs/>
          <w:szCs w:val="24"/>
        </w:rPr>
        <w:t>“Para determinar la fecha a partir de la cual procede el pago de la pensión de vejez, es pertinente clarificar que el hecho de no cotizar al sistema una vez se satisfacen los requisitos legales para acceder a aquella, no implica per se la desafiliación que exige la normativa en cuestión, pues no puede perderse de vista que debe existir un acto declarativo de la voluntad, para que la entidad de seguridad social actúe de conformidad, y adopte las medidas para excluir definitivamente del sistema al afiliado.</w:t>
      </w:r>
    </w:p>
    <w:p w14:paraId="5E942EEC" w14:textId="77777777" w:rsidR="00E54CE2" w:rsidRPr="00B93C12" w:rsidRDefault="00E54CE2" w:rsidP="00B93C12">
      <w:pPr>
        <w:spacing w:after="0" w:line="240" w:lineRule="auto"/>
        <w:ind w:left="426" w:right="420" w:firstLine="709"/>
        <w:jc w:val="both"/>
        <w:rPr>
          <w:rFonts w:ascii="Tahoma" w:hAnsi="Tahoma" w:cs="Tahoma"/>
          <w:i/>
          <w:iCs/>
          <w:szCs w:val="24"/>
        </w:rPr>
      </w:pPr>
    </w:p>
    <w:p w14:paraId="75D8EA0C" w14:textId="77777777" w:rsidR="00E54CE2" w:rsidRPr="00B93C12" w:rsidRDefault="00E54CE2" w:rsidP="00B93C12">
      <w:pPr>
        <w:spacing w:after="0" w:line="240" w:lineRule="auto"/>
        <w:ind w:left="426" w:right="420" w:firstLine="709"/>
        <w:jc w:val="both"/>
        <w:rPr>
          <w:rFonts w:ascii="Tahoma" w:hAnsi="Tahoma" w:cs="Tahoma"/>
          <w:i/>
          <w:iCs/>
          <w:szCs w:val="24"/>
        </w:rPr>
      </w:pPr>
      <w:r w:rsidRPr="00B93C12">
        <w:rPr>
          <w:rFonts w:ascii="Tahoma" w:hAnsi="Tahoma" w:cs="Tahoma"/>
          <w:i/>
          <w:iCs/>
          <w:szCs w:val="24"/>
        </w:rPr>
        <w:t>Ello tiene una relevancia mayúscula, en la medida en que la afiliación no se suspende o se suprime por el hecho de que se deje de cotizar, pues aquella garantiza el acceso a la protección de las contingencias de la vida bajo el cumplimiento de ciertos requisitos, entre los cuales está obviamente la cancelación de las cuotas correspondientes, que a la postre son las que van a permitir que se reconozcan, entre otras, las prestaciones pertinentes.</w:t>
      </w:r>
    </w:p>
    <w:p w14:paraId="1D97D828" w14:textId="77777777" w:rsidR="00E54CE2" w:rsidRPr="00B93C12" w:rsidRDefault="00E54CE2" w:rsidP="00B93C12">
      <w:pPr>
        <w:spacing w:after="0" w:line="240" w:lineRule="auto"/>
        <w:ind w:left="426" w:right="420" w:firstLine="709"/>
        <w:jc w:val="both"/>
        <w:rPr>
          <w:rFonts w:ascii="Tahoma" w:hAnsi="Tahoma" w:cs="Tahoma"/>
          <w:i/>
          <w:iCs/>
          <w:szCs w:val="24"/>
        </w:rPr>
      </w:pPr>
    </w:p>
    <w:p w14:paraId="654C2B81" w14:textId="77777777" w:rsidR="00E54CE2" w:rsidRPr="00B93C12" w:rsidRDefault="00E54CE2" w:rsidP="00B93C12">
      <w:pPr>
        <w:spacing w:after="0" w:line="240" w:lineRule="auto"/>
        <w:ind w:left="426" w:right="420" w:firstLine="709"/>
        <w:jc w:val="both"/>
        <w:rPr>
          <w:rFonts w:ascii="Tahoma" w:hAnsi="Tahoma" w:cs="Tahoma"/>
          <w:i/>
          <w:iCs/>
          <w:szCs w:val="24"/>
        </w:rPr>
      </w:pPr>
      <w:r w:rsidRPr="00B93C12">
        <w:rPr>
          <w:rFonts w:ascii="Tahoma" w:hAnsi="Tahoma" w:cs="Tahoma"/>
          <w:i/>
          <w:iCs/>
          <w:szCs w:val="24"/>
        </w:rPr>
        <w:lastRenderedPageBreak/>
        <w:t>Por demás, el hecho de que se produzca una novedad de retiro de un trabajador, al servicio del empleador, no puede tampoco asimilarse a la desafiliación, en tanto aquella simplemente da cuenta de una situación propia del mundo del trabajo, que no descarta la posibilidad de un nuevo ingreso, mientras que la otra tiene el carácter de definitiva y de ella pueden emerger determinados derechos.”</w:t>
      </w:r>
    </w:p>
    <w:p w14:paraId="51CB0755" w14:textId="77777777" w:rsidR="00E54CE2" w:rsidRPr="003C211E" w:rsidRDefault="00E54CE2" w:rsidP="003C211E">
      <w:pPr>
        <w:widowControl w:val="0"/>
        <w:autoSpaceDE w:val="0"/>
        <w:autoSpaceDN w:val="0"/>
        <w:adjustRightInd w:val="0"/>
        <w:spacing w:after="0" w:line="276" w:lineRule="auto"/>
        <w:jc w:val="both"/>
        <w:rPr>
          <w:rFonts w:ascii="Tahoma" w:eastAsia="Calibri" w:hAnsi="Tahoma" w:cs="Tahoma"/>
          <w:sz w:val="24"/>
          <w:szCs w:val="24"/>
        </w:rPr>
      </w:pPr>
    </w:p>
    <w:p w14:paraId="532BEAA3" w14:textId="1D622EBE" w:rsidR="00634A61" w:rsidRPr="003C211E" w:rsidRDefault="00E54CE2" w:rsidP="003C211E">
      <w:pPr>
        <w:widowControl w:val="0"/>
        <w:autoSpaceDE w:val="0"/>
        <w:autoSpaceDN w:val="0"/>
        <w:adjustRightInd w:val="0"/>
        <w:spacing w:after="0" w:line="276" w:lineRule="auto"/>
        <w:ind w:firstLine="708"/>
        <w:jc w:val="both"/>
        <w:rPr>
          <w:rFonts w:ascii="Tahoma" w:eastAsia="Calibri" w:hAnsi="Tahoma" w:cs="Tahoma"/>
          <w:sz w:val="24"/>
          <w:szCs w:val="24"/>
        </w:rPr>
      </w:pPr>
      <w:r w:rsidRPr="003C211E">
        <w:rPr>
          <w:rFonts w:ascii="Tahoma" w:eastAsia="Calibri" w:hAnsi="Tahoma" w:cs="Tahoma"/>
          <w:sz w:val="24"/>
          <w:szCs w:val="24"/>
        </w:rPr>
        <w:t xml:space="preserve">Por lo anteriormente expuesto </w:t>
      </w:r>
      <w:r w:rsidR="00387FA3" w:rsidRPr="003C211E">
        <w:rPr>
          <w:rFonts w:ascii="Tahoma" w:eastAsia="Calibri" w:hAnsi="Tahoma" w:cs="Tahoma"/>
          <w:sz w:val="24"/>
          <w:szCs w:val="24"/>
        </w:rPr>
        <w:t xml:space="preserve">se modificará la sentencia de primera instancia para en su lugar, declarar que, el señor Henry </w:t>
      </w:r>
      <w:r w:rsidR="00EC580D" w:rsidRPr="003C211E">
        <w:rPr>
          <w:rFonts w:ascii="Tahoma" w:eastAsia="Calibri" w:hAnsi="Tahoma" w:cs="Tahoma"/>
          <w:sz w:val="24"/>
          <w:szCs w:val="24"/>
        </w:rPr>
        <w:t>Álzate</w:t>
      </w:r>
      <w:r w:rsidR="00387FA3" w:rsidRPr="003C211E">
        <w:rPr>
          <w:rFonts w:ascii="Tahoma" w:eastAsia="Calibri" w:hAnsi="Tahoma" w:cs="Tahoma"/>
          <w:sz w:val="24"/>
          <w:szCs w:val="24"/>
        </w:rPr>
        <w:t xml:space="preserve"> </w:t>
      </w:r>
      <w:r w:rsidR="00EC580D" w:rsidRPr="003C211E">
        <w:rPr>
          <w:rFonts w:ascii="Tahoma" w:eastAsia="Calibri" w:hAnsi="Tahoma" w:cs="Tahoma"/>
          <w:sz w:val="24"/>
          <w:szCs w:val="24"/>
        </w:rPr>
        <w:t>García</w:t>
      </w:r>
      <w:r w:rsidR="00387FA3" w:rsidRPr="003C211E">
        <w:rPr>
          <w:rFonts w:ascii="Tahoma" w:eastAsia="Calibri" w:hAnsi="Tahoma" w:cs="Tahoma"/>
          <w:sz w:val="24"/>
          <w:szCs w:val="24"/>
        </w:rPr>
        <w:t xml:space="preserve"> tiene derecho al reconocimiento de la pensión de </w:t>
      </w:r>
      <w:r w:rsidR="00EC580D" w:rsidRPr="003C211E">
        <w:rPr>
          <w:rFonts w:ascii="Tahoma" w:eastAsia="Calibri" w:hAnsi="Tahoma" w:cs="Tahoma"/>
          <w:sz w:val="24"/>
          <w:szCs w:val="24"/>
        </w:rPr>
        <w:t>ve</w:t>
      </w:r>
      <w:r w:rsidR="0023244A" w:rsidRPr="003C211E">
        <w:rPr>
          <w:rFonts w:ascii="Tahoma" w:eastAsia="Calibri" w:hAnsi="Tahoma" w:cs="Tahoma"/>
          <w:sz w:val="24"/>
          <w:szCs w:val="24"/>
        </w:rPr>
        <w:t>je</w:t>
      </w:r>
      <w:r w:rsidR="00EC580D" w:rsidRPr="003C211E">
        <w:rPr>
          <w:rFonts w:ascii="Tahoma" w:eastAsia="Calibri" w:hAnsi="Tahoma" w:cs="Tahoma"/>
          <w:sz w:val="24"/>
          <w:szCs w:val="24"/>
        </w:rPr>
        <w:t>z</w:t>
      </w:r>
      <w:r w:rsidR="00387FA3" w:rsidRPr="003C211E">
        <w:rPr>
          <w:rFonts w:ascii="Tahoma" w:eastAsia="Calibri" w:hAnsi="Tahoma" w:cs="Tahoma"/>
          <w:sz w:val="24"/>
          <w:szCs w:val="24"/>
        </w:rPr>
        <w:t xml:space="preserve"> </w:t>
      </w:r>
      <w:r w:rsidR="0023244A" w:rsidRPr="003C211E">
        <w:rPr>
          <w:rFonts w:ascii="Tahoma" w:eastAsia="Calibri" w:hAnsi="Tahoma" w:cs="Tahoma"/>
          <w:sz w:val="24"/>
          <w:szCs w:val="24"/>
        </w:rPr>
        <w:t>a partir d</w:t>
      </w:r>
      <w:r w:rsidR="00387FA3" w:rsidRPr="003C211E">
        <w:rPr>
          <w:rFonts w:ascii="Tahoma" w:eastAsia="Calibri" w:hAnsi="Tahoma" w:cs="Tahoma"/>
          <w:sz w:val="24"/>
          <w:szCs w:val="24"/>
        </w:rPr>
        <w:t xml:space="preserve">el 18 de marzo de 2019, </w:t>
      </w:r>
      <w:r w:rsidR="00EC580D" w:rsidRPr="003C211E">
        <w:rPr>
          <w:rFonts w:ascii="Tahoma" w:eastAsia="Calibri" w:hAnsi="Tahoma" w:cs="Tahoma"/>
          <w:sz w:val="24"/>
          <w:szCs w:val="24"/>
        </w:rPr>
        <w:t>con fecha de disfrute a partir del 21 de diciembre de 2019, por 13 mesadas anuales y por un valor igual al SMMLV.</w:t>
      </w:r>
    </w:p>
    <w:p w14:paraId="4C038D77" w14:textId="3F56DD6E" w:rsidR="00EC580D" w:rsidRPr="003C211E" w:rsidRDefault="00EC580D" w:rsidP="003C211E">
      <w:pPr>
        <w:widowControl w:val="0"/>
        <w:autoSpaceDE w:val="0"/>
        <w:autoSpaceDN w:val="0"/>
        <w:adjustRightInd w:val="0"/>
        <w:spacing w:after="0" w:line="276" w:lineRule="auto"/>
        <w:jc w:val="both"/>
        <w:rPr>
          <w:rFonts w:ascii="Tahoma" w:eastAsia="Calibri" w:hAnsi="Tahoma" w:cs="Tahoma"/>
          <w:bCs/>
          <w:sz w:val="24"/>
          <w:szCs w:val="24"/>
        </w:rPr>
      </w:pPr>
    </w:p>
    <w:p w14:paraId="78D88971" w14:textId="010772EA" w:rsidR="00EC580D" w:rsidRPr="003C211E" w:rsidRDefault="00EC580D" w:rsidP="003C211E">
      <w:pPr>
        <w:widowControl w:val="0"/>
        <w:autoSpaceDE w:val="0"/>
        <w:autoSpaceDN w:val="0"/>
        <w:adjustRightInd w:val="0"/>
        <w:spacing w:after="0" w:line="276" w:lineRule="auto"/>
        <w:jc w:val="both"/>
        <w:rPr>
          <w:rFonts w:ascii="Tahoma" w:eastAsia="Calibri" w:hAnsi="Tahoma" w:cs="Tahoma"/>
          <w:bCs/>
          <w:sz w:val="24"/>
          <w:szCs w:val="24"/>
        </w:rPr>
      </w:pPr>
      <w:r w:rsidRPr="003C211E">
        <w:rPr>
          <w:rFonts w:ascii="Tahoma" w:eastAsia="Calibri" w:hAnsi="Tahoma" w:cs="Tahoma"/>
          <w:bCs/>
          <w:sz w:val="24"/>
          <w:szCs w:val="24"/>
        </w:rPr>
        <w:tab/>
        <w:t xml:space="preserve">En consecuencia, se modificará el numeral segundo de la sentencia primigenia, en el entendido que el retroactivo pensional causado entre el 21 de diciembre de 2019, </w:t>
      </w:r>
      <w:r w:rsidR="00D45927" w:rsidRPr="003C211E">
        <w:rPr>
          <w:rFonts w:ascii="Tahoma" w:eastAsia="Calibri" w:hAnsi="Tahoma" w:cs="Tahoma"/>
          <w:bCs/>
          <w:sz w:val="24"/>
          <w:szCs w:val="24"/>
        </w:rPr>
        <w:t>hasta el 3</w:t>
      </w:r>
      <w:r w:rsidR="008061A0" w:rsidRPr="003C211E">
        <w:rPr>
          <w:rFonts w:ascii="Tahoma" w:eastAsia="Calibri" w:hAnsi="Tahoma" w:cs="Tahoma"/>
          <w:bCs/>
          <w:sz w:val="24"/>
          <w:szCs w:val="24"/>
        </w:rPr>
        <w:t>1</w:t>
      </w:r>
      <w:r w:rsidR="00D45927" w:rsidRPr="003C211E">
        <w:rPr>
          <w:rFonts w:ascii="Tahoma" w:eastAsia="Calibri" w:hAnsi="Tahoma" w:cs="Tahoma"/>
          <w:bCs/>
          <w:sz w:val="24"/>
          <w:szCs w:val="24"/>
        </w:rPr>
        <w:t xml:space="preserve"> de octubre de 2021 asciende a </w:t>
      </w:r>
      <w:r w:rsidR="008061A0" w:rsidRPr="003C211E">
        <w:rPr>
          <w:rFonts w:ascii="Tahoma" w:eastAsia="Calibri" w:hAnsi="Tahoma" w:cs="Tahoma"/>
          <w:bCs/>
          <w:sz w:val="24"/>
          <w:szCs w:val="24"/>
        </w:rPr>
        <w:t>$21.324.815</w:t>
      </w:r>
      <w:r w:rsidR="00D45927" w:rsidRPr="003C211E">
        <w:rPr>
          <w:rFonts w:ascii="Tahoma" w:eastAsia="Calibri" w:hAnsi="Tahoma" w:cs="Tahoma"/>
          <w:bCs/>
          <w:sz w:val="24"/>
          <w:szCs w:val="24"/>
        </w:rPr>
        <w:t xml:space="preserve">, </w:t>
      </w:r>
      <w:r w:rsidR="008061A0" w:rsidRPr="003C211E">
        <w:rPr>
          <w:rFonts w:ascii="Tahoma" w:eastAsia="Calibri" w:hAnsi="Tahoma" w:cs="Tahoma"/>
          <w:bCs/>
          <w:sz w:val="24"/>
          <w:szCs w:val="24"/>
        </w:rPr>
        <w:t xml:space="preserve">la cual deberá ser indexada al momento de su pago efectivo, </w:t>
      </w:r>
      <w:r w:rsidR="00D45927" w:rsidRPr="003C211E">
        <w:rPr>
          <w:rFonts w:ascii="Tahoma" w:eastAsia="Calibri" w:hAnsi="Tahoma" w:cs="Tahoma"/>
          <w:bCs/>
          <w:sz w:val="24"/>
          <w:szCs w:val="24"/>
        </w:rPr>
        <w:t>sin perjuicio de las</w:t>
      </w:r>
      <w:r w:rsidR="008061A0" w:rsidRPr="003C211E">
        <w:rPr>
          <w:rFonts w:ascii="Tahoma" w:eastAsia="Calibri" w:hAnsi="Tahoma" w:cs="Tahoma"/>
          <w:bCs/>
          <w:sz w:val="24"/>
          <w:szCs w:val="24"/>
        </w:rPr>
        <w:t xml:space="preserve"> mesadas </w:t>
      </w:r>
      <w:r w:rsidR="00D45927" w:rsidRPr="003C211E">
        <w:rPr>
          <w:rFonts w:ascii="Tahoma" w:eastAsia="Calibri" w:hAnsi="Tahoma" w:cs="Tahoma"/>
          <w:bCs/>
          <w:sz w:val="24"/>
          <w:szCs w:val="24"/>
        </w:rPr>
        <w:t xml:space="preserve">que en adelante se sigan causando </w:t>
      </w:r>
      <w:r w:rsidR="008061A0" w:rsidRPr="003C211E">
        <w:rPr>
          <w:rFonts w:ascii="Tahoma" w:eastAsia="Calibri" w:hAnsi="Tahoma" w:cs="Tahoma"/>
          <w:bCs/>
          <w:sz w:val="24"/>
          <w:szCs w:val="24"/>
        </w:rPr>
        <w:t>y de los descuentos de ley.</w:t>
      </w:r>
    </w:p>
    <w:p w14:paraId="7866706E" w14:textId="37C1C9DB" w:rsidR="00D45927" w:rsidRPr="003C211E" w:rsidRDefault="00D45927" w:rsidP="003C211E">
      <w:pPr>
        <w:widowControl w:val="0"/>
        <w:autoSpaceDE w:val="0"/>
        <w:autoSpaceDN w:val="0"/>
        <w:adjustRightInd w:val="0"/>
        <w:spacing w:after="0" w:line="276" w:lineRule="auto"/>
        <w:jc w:val="both"/>
        <w:rPr>
          <w:rFonts w:ascii="Tahoma" w:eastAsia="Calibri" w:hAnsi="Tahoma" w:cs="Tahoma"/>
          <w:bCs/>
          <w:sz w:val="24"/>
          <w:szCs w:val="24"/>
        </w:rPr>
      </w:pPr>
    </w:p>
    <w:tbl>
      <w:tblPr>
        <w:tblW w:w="8146" w:type="dxa"/>
        <w:tblInd w:w="439" w:type="dxa"/>
        <w:tblCellMar>
          <w:left w:w="70" w:type="dxa"/>
          <w:right w:w="70" w:type="dxa"/>
        </w:tblCellMar>
        <w:tblLook w:val="04A0" w:firstRow="1" w:lastRow="0" w:firstColumn="1" w:lastColumn="0" w:noHBand="0" w:noVBand="1"/>
      </w:tblPr>
      <w:tblGrid>
        <w:gridCol w:w="1206"/>
        <w:gridCol w:w="1322"/>
        <w:gridCol w:w="1276"/>
        <w:gridCol w:w="1134"/>
        <w:gridCol w:w="3208"/>
      </w:tblGrid>
      <w:tr w:rsidR="008061A0" w:rsidRPr="008061A0" w14:paraId="12EB88CD" w14:textId="77777777" w:rsidTr="006E2CEE">
        <w:trPr>
          <w:trHeight w:val="886"/>
        </w:trPr>
        <w:tc>
          <w:tcPr>
            <w:tcW w:w="1206" w:type="dxa"/>
            <w:tcBorders>
              <w:top w:val="single" w:sz="8" w:space="0" w:color="auto"/>
              <w:left w:val="single" w:sz="8" w:space="0" w:color="auto"/>
              <w:bottom w:val="single" w:sz="8" w:space="0" w:color="auto"/>
              <w:right w:val="single" w:sz="4" w:space="0" w:color="808000"/>
            </w:tcBorders>
            <w:shd w:val="clear" w:color="000000" w:fill="FFFF99"/>
            <w:vAlign w:val="center"/>
            <w:hideMark/>
          </w:tcPr>
          <w:p w14:paraId="772A841A" w14:textId="77777777" w:rsidR="008061A0" w:rsidRPr="008061A0" w:rsidRDefault="008061A0" w:rsidP="00525FD7">
            <w:pPr>
              <w:spacing w:after="0" w:line="240" w:lineRule="auto"/>
              <w:jc w:val="center"/>
              <w:rPr>
                <w:rFonts w:ascii="Calibri" w:eastAsia="Times New Roman" w:hAnsi="Calibri" w:cs="Calibri"/>
                <w:b/>
                <w:bCs/>
                <w:color w:val="000000"/>
                <w:sz w:val="16"/>
                <w:szCs w:val="16"/>
                <w:lang w:eastAsia="es-CO"/>
              </w:rPr>
            </w:pPr>
            <w:r w:rsidRPr="008061A0">
              <w:rPr>
                <w:rFonts w:ascii="Calibri" w:eastAsia="Times New Roman" w:hAnsi="Calibri" w:cs="Calibri"/>
                <w:b/>
                <w:bCs/>
                <w:color w:val="000000"/>
                <w:sz w:val="16"/>
                <w:szCs w:val="16"/>
                <w:lang w:eastAsia="es-CO"/>
              </w:rPr>
              <w:t>IPC</w:t>
            </w:r>
            <w:proofErr w:type="gramStart"/>
            <w:r w:rsidRPr="008061A0">
              <w:rPr>
                <w:rFonts w:ascii="Calibri" w:eastAsia="Times New Roman" w:hAnsi="Calibri" w:cs="Calibri"/>
                <w:b/>
                <w:bCs/>
                <w:color w:val="000000"/>
                <w:sz w:val="16"/>
                <w:szCs w:val="16"/>
                <w:lang w:eastAsia="es-CO"/>
              </w:rPr>
              <w:t xml:space="preserve">   (</w:t>
            </w:r>
            <w:proofErr w:type="gramEnd"/>
            <w:r w:rsidRPr="008061A0">
              <w:rPr>
                <w:rFonts w:ascii="Calibri" w:eastAsia="Times New Roman" w:hAnsi="Calibri" w:cs="Calibri"/>
                <w:b/>
                <w:bCs/>
                <w:color w:val="000000"/>
                <w:sz w:val="16"/>
                <w:szCs w:val="16"/>
                <w:lang w:eastAsia="es-CO"/>
              </w:rPr>
              <w:t>Var. Año anterior)</w:t>
            </w:r>
          </w:p>
        </w:tc>
        <w:tc>
          <w:tcPr>
            <w:tcW w:w="1322" w:type="dxa"/>
            <w:tcBorders>
              <w:top w:val="single" w:sz="8" w:space="0" w:color="auto"/>
              <w:left w:val="nil"/>
              <w:bottom w:val="single" w:sz="8" w:space="0" w:color="auto"/>
              <w:right w:val="single" w:sz="4" w:space="0" w:color="808000"/>
            </w:tcBorders>
            <w:shd w:val="clear" w:color="000000" w:fill="FFFF99"/>
            <w:vAlign w:val="center"/>
            <w:hideMark/>
          </w:tcPr>
          <w:p w14:paraId="351AC019" w14:textId="77777777" w:rsidR="008061A0" w:rsidRPr="008061A0" w:rsidRDefault="008061A0" w:rsidP="00525FD7">
            <w:pPr>
              <w:spacing w:after="0" w:line="240" w:lineRule="auto"/>
              <w:jc w:val="center"/>
              <w:rPr>
                <w:rFonts w:ascii="Calibri" w:eastAsia="Times New Roman" w:hAnsi="Calibri" w:cs="Calibri"/>
                <w:b/>
                <w:bCs/>
                <w:color w:val="000000"/>
                <w:sz w:val="16"/>
                <w:szCs w:val="16"/>
                <w:lang w:eastAsia="es-CO"/>
              </w:rPr>
            </w:pPr>
            <w:r w:rsidRPr="008061A0">
              <w:rPr>
                <w:rFonts w:ascii="Calibri" w:eastAsia="Times New Roman" w:hAnsi="Calibri" w:cs="Calibri"/>
                <w:b/>
                <w:bCs/>
                <w:color w:val="000000"/>
                <w:sz w:val="16"/>
                <w:szCs w:val="16"/>
                <w:lang w:eastAsia="es-CO"/>
              </w:rPr>
              <w:t>Desde</w:t>
            </w:r>
          </w:p>
        </w:tc>
        <w:tc>
          <w:tcPr>
            <w:tcW w:w="1276" w:type="dxa"/>
            <w:tcBorders>
              <w:top w:val="single" w:sz="8" w:space="0" w:color="auto"/>
              <w:left w:val="nil"/>
              <w:bottom w:val="single" w:sz="8" w:space="0" w:color="auto"/>
              <w:right w:val="single" w:sz="4" w:space="0" w:color="808000"/>
            </w:tcBorders>
            <w:shd w:val="clear" w:color="000000" w:fill="FFFF99"/>
            <w:vAlign w:val="center"/>
            <w:hideMark/>
          </w:tcPr>
          <w:p w14:paraId="5E48533A" w14:textId="77777777" w:rsidR="008061A0" w:rsidRPr="008061A0" w:rsidRDefault="008061A0" w:rsidP="00525FD7">
            <w:pPr>
              <w:spacing w:after="0" w:line="240" w:lineRule="auto"/>
              <w:jc w:val="center"/>
              <w:rPr>
                <w:rFonts w:ascii="Calibri" w:eastAsia="Times New Roman" w:hAnsi="Calibri" w:cs="Calibri"/>
                <w:b/>
                <w:bCs/>
                <w:color w:val="000000"/>
                <w:sz w:val="16"/>
                <w:szCs w:val="16"/>
                <w:lang w:eastAsia="es-CO"/>
              </w:rPr>
            </w:pPr>
            <w:r w:rsidRPr="008061A0">
              <w:rPr>
                <w:rFonts w:ascii="Calibri" w:eastAsia="Times New Roman" w:hAnsi="Calibri" w:cs="Calibri"/>
                <w:b/>
                <w:bCs/>
                <w:color w:val="000000"/>
                <w:sz w:val="16"/>
                <w:szCs w:val="16"/>
                <w:lang w:eastAsia="es-CO"/>
              </w:rPr>
              <w:t>Hasta</w:t>
            </w:r>
          </w:p>
        </w:tc>
        <w:tc>
          <w:tcPr>
            <w:tcW w:w="1134" w:type="dxa"/>
            <w:tcBorders>
              <w:top w:val="single" w:sz="8" w:space="0" w:color="auto"/>
              <w:left w:val="nil"/>
              <w:bottom w:val="single" w:sz="8" w:space="0" w:color="auto"/>
              <w:right w:val="single" w:sz="4" w:space="0" w:color="808000"/>
            </w:tcBorders>
            <w:shd w:val="clear" w:color="000000" w:fill="FFFF99"/>
            <w:vAlign w:val="center"/>
            <w:hideMark/>
          </w:tcPr>
          <w:p w14:paraId="17ADB13D" w14:textId="77777777" w:rsidR="008061A0" w:rsidRPr="008061A0" w:rsidRDefault="008061A0" w:rsidP="00525FD7">
            <w:pPr>
              <w:spacing w:after="0" w:line="240" w:lineRule="auto"/>
              <w:jc w:val="center"/>
              <w:rPr>
                <w:rFonts w:ascii="Calibri" w:eastAsia="Times New Roman" w:hAnsi="Calibri" w:cs="Calibri"/>
                <w:b/>
                <w:bCs/>
                <w:color w:val="000000"/>
                <w:sz w:val="16"/>
                <w:szCs w:val="16"/>
                <w:lang w:eastAsia="es-CO"/>
              </w:rPr>
            </w:pPr>
            <w:r w:rsidRPr="008061A0">
              <w:rPr>
                <w:rFonts w:ascii="Calibri" w:eastAsia="Times New Roman" w:hAnsi="Calibri" w:cs="Calibri"/>
                <w:b/>
                <w:bCs/>
                <w:color w:val="000000"/>
                <w:sz w:val="16"/>
                <w:szCs w:val="16"/>
                <w:lang w:eastAsia="es-CO"/>
              </w:rPr>
              <w:t>Causadas</w:t>
            </w:r>
          </w:p>
        </w:tc>
        <w:tc>
          <w:tcPr>
            <w:tcW w:w="3208" w:type="dxa"/>
            <w:tcBorders>
              <w:top w:val="single" w:sz="8" w:space="0" w:color="auto"/>
              <w:left w:val="nil"/>
              <w:bottom w:val="single" w:sz="8" w:space="0" w:color="auto"/>
              <w:right w:val="single" w:sz="4" w:space="0" w:color="808000"/>
            </w:tcBorders>
            <w:shd w:val="clear" w:color="000000" w:fill="FFFF99"/>
            <w:vAlign w:val="center"/>
            <w:hideMark/>
          </w:tcPr>
          <w:p w14:paraId="7D752A7A" w14:textId="77777777" w:rsidR="008061A0" w:rsidRPr="008061A0" w:rsidRDefault="008061A0" w:rsidP="00525FD7">
            <w:pPr>
              <w:spacing w:after="0" w:line="240" w:lineRule="auto"/>
              <w:jc w:val="center"/>
              <w:rPr>
                <w:rFonts w:ascii="Calibri" w:eastAsia="Times New Roman" w:hAnsi="Calibri" w:cs="Calibri"/>
                <w:b/>
                <w:bCs/>
                <w:color w:val="000000"/>
                <w:sz w:val="16"/>
                <w:szCs w:val="16"/>
                <w:lang w:eastAsia="es-CO"/>
              </w:rPr>
            </w:pPr>
            <w:r w:rsidRPr="008061A0">
              <w:rPr>
                <w:rFonts w:ascii="Calibri" w:eastAsia="Times New Roman" w:hAnsi="Calibri" w:cs="Calibri"/>
                <w:b/>
                <w:bCs/>
                <w:color w:val="000000"/>
                <w:sz w:val="16"/>
                <w:szCs w:val="16"/>
                <w:lang w:eastAsia="es-CO"/>
              </w:rPr>
              <w:t>Valor mesada</w:t>
            </w:r>
          </w:p>
        </w:tc>
      </w:tr>
      <w:tr w:rsidR="008061A0" w:rsidRPr="008061A0" w14:paraId="1CB9CC30"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00"/>
            <w:noWrap/>
            <w:vAlign w:val="bottom"/>
            <w:hideMark/>
          </w:tcPr>
          <w:p w14:paraId="70EBEB53"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3,80  </w:t>
            </w:r>
          </w:p>
        </w:tc>
        <w:tc>
          <w:tcPr>
            <w:tcW w:w="1322" w:type="dxa"/>
            <w:tcBorders>
              <w:top w:val="nil"/>
              <w:left w:val="single" w:sz="4" w:space="0" w:color="808000"/>
              <w:bottom w:val="single" w:sz="4" w:space="0" w:color="808000"/>
              <w:right w:val="single" w:sz="4" w:space="0" w:color="808000"/>
            </w:tcBorders>
            <w:shd w:val="clear" w:color="000000" w:fill="FFFF00"/>
            <w:noWrap/>
            <w:vAlign w:val="center"/>
            <w:hideMark/>
          </w:tcPr>
          <w:p w14:paraId="25AFBA9A"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21-dic-19</w:t>
            </w:r>
          </w:p>
        </w:tc>
        <w:tc>
          <w:tcPr>
            <w:tcW w:w="1276" w:type="dxa"/>
            <w:tcBorders>
              <w:top w:val="nil"/>
              <w:left w:val="nil"/>
              <w:bottom w:val="single" w:sz="4" w:space="0" w:color="808000"/>
              <w:right w:val="single" w:sz="4" w:space="0" w:color="808000"/>
            </w:tcBorders>
            <w:shd w:val="clear" w:color="000000" w:fill="FFFF00"/>
            <w:noWrap/>
            <w:vAlign w:val="center"/>
            <w:hideMark/>
          </w:tcPr>
          <w:p w14:paraId="61966BB4"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31-dic-19</w:t>
            </w:r>
          </w:p>
        </w:tc>
        <w:tc>
          <w:tcPr>
            <w:tcW w:w="1134" w:type="dxa"/>
            <w:tcBorders>
              <w:top w:val="nil"/>
              <w:left w:val="nil"/>
              <w:bottom w:val="nil"/>
              <w:right w:val="nil"/>
            </w:tcBorders>
            <w:shd w:val="clear" w:color="000000" w:fill="FFFF00"/>
            <w:noWrap/>
            <w:vAlign w:val="bottom"/>
            <w:hideMark/>
          </w:tcPr>
          <w:p w14:paraId="62AEB659"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0,33  </w:t>
            </w:r>
          </w:p>
        </w:tc>
        <w:tc>
          <w:tcPr>
            <w:tcW w:w="3208" w:type="dxa"/>
            <w:tcBorders>
              <w:top w:val="single" w:sz="4" w:space="0" w:color="003366"/>
              <w:left w:val="single" w:sz="4" w:space="0" w:color="003366"/>
              <w:bottom w:val="single" w:sz="4" w:space="0" w:color="003366"/>
              <w:right w:val="single" w:sz="4" w:space="0" w:color="003366"/>
            </w:tcBorders>
            <w:shd w:val="clear" w:color="000000" w:fill="FFFF00"/>
            <w:vAlign w:val="bottom"/>
            <w:hideMark/>
          </w:tcPr>
          <w:p w14:paraId="63966BFE"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828.116 </w:t>
            </w:r>
          </w:p>
        </w:tc>
      </w:tr>
      <w:tr w:rsidR="008061A0" w:rsidRPr="008061A0" w14:paraId="3BC30269"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1EDB09E8"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1,61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5417D329"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01-ene-20</w:t>
            </w:r>
          </w:p>
        </w:tc>
        <w:tc>
          <w:tcPr>
            <w:tcW w:w="1276" w:type="dxa"/>
            <w:tcBorders>
              <w:top w:val="nil"/>
              <w:left w:val="nil"/>
              <w:bottom w:val="single" w:sz="4" w:space="0" w:color="808000"/>
              <w:right w:val="single" w:sz="4" w:space="0" w:color="808000"/>
            </w:tcBorders>
            <w:shd w:val="clear" w:color="auto" w:fill="auto"/>
            <w:noWrap/>
            <w:vAlign w:val="center"/>
            <w:hideMark/>
          </w:tcPr>
          <w:p w14:paraId="310CA97B"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31-ene-20</w:t>
            </w:r>
          </w:p>
        </w:tc>
        <w:tc>
          <w:tcPr>
            <w:tcW w:w="1134" w:type="dxa"/>
            <w:tcBorders>
              <w:top w:val="nil"/>
              <w:left w:val="nil"/>
              <w:bottom w:val="nil"/>
              <w:right w:val="nil"/>
            </w:tcBorders>
            <w:shd w:val="clear" w:color="000000" w:fill="FFFFCC"/>
            <w:noWrap/>
            <w:vAlign w:val="bottom"/>
            <w:hideMark/>
          </w:tcPr>
          <w:p w14:paraId="4DCEA880"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0C232805"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877.803 </w:t>
            </w:r>
          </w:p>
        </w:tc>
      </w:tr>
      <w:tr w:rsidR="008061A0" w:rsidRPr="008061A0" w14:paraId="6CB4D13E"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434051A2"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1,61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15888560"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01-feb-20</w:t>
            </w:r>
          </w:p>
        </w:tc>
        <w:tc>
          <w:tcPr>
            <w:tcW w:w="1276" w:type="dxa"/>
            <w:tcBorders>
              <w:top w:val="nil"/>
              <w:left w:val="nil"/>
              <w:bottom w:val="single" w:sz="4" w:space="0" w:color="808000"/>
              <w:right w:val="single" w:sz="4" w:space="0" w:color="808000"/>
            </w:tcBorders>
            <w:shd w:val="clear" w:color="auto" w:fill="auto"/>
            <w:noWrap/>
            <w:vAlign w:val="center"/>
            <w:hideMark/>
          </w:tcPr>
          <w:p w14:paraId="31717F54"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29-feb-20</w:t>
            </w:r>
          </w:p>
        </w:tc>
        <w:tc>
          <w:tcPr>
            <w:tcW w:w="1134" w:type="dxa"/>
            <w:tcBorders>
              <w:top w:val="nil"/>
              <w:left w:val="nil"/>
              <w:bottom w:val="nil"/>
              <w:right w:val="nil"/>
            </w:tcBorders>
            <w:shd w:val="clear" w:color="000000" w:fill="FFFFCC"/>
            <w:noWrap/>
            <w:vAlign w:val="bottom"/>
            <w:hideMark/>
          </w:tcPr>
          <w:p w14:paraId="6A2E8FFB"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1756818E"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877.803 </w:t>
            </w:r>
          </w:p>
        </w:tc>
      </w:tr>
      <w:tr w:rsidR="008061A0" w:rsidRPr="008061A0" w14:paraId="02E5FB54"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6FCC1B40"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1,61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043E5D77"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01-mar-20</w:t>
            </w:r>
          </w:p>
        </w:tc>
        <w:tc>
          <w:tcPr>
            <w:tcW w:w="1276" w:type="dxa"/>
            <w:tcBorders>
              <w:top w:val="nil"/>
              <w:left w:val="nil"/>
              <w:bottom w:val="single" w:sz="4" w:space="0" w:color="808000"/>
              <w:right w:val="single" w:sz="4" w:space="0" w:color="808000"/>
            </w:tcBorders>
            <w:shd w:val="clear" w:color="auto" w:fill="auto"/>
            <w:noWrap/>
            <w:vAlign w:val="center"/>
            <w:hideMark/>
          </w:tcPr>
          <w:p w14:paraId="67945168"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31-mar-20</w:t>
            </w:r>
          </w:p>
        </w:tc>
        <w:tc>
          <w:tcPr>
            <w:tcW w:w="1134" w:type="dxa"/>
            <w:tcBorders>
              <w:top w:val="nil"/>
              <w:left w:val="nil"/>
              <w:bottom w:val="nil"/>
              <w:right w:val="nil"/>
            </w:tcBorders>
            <w:shd w:val="clear" w:color="000000" w:fill="FFFFCC"/>
            <w:noWrap/>
            <w:vAlign w:val="bottom"/>
            <w:hideMark/>
          </w:tcPr>
          <w:p w14:paraId="4003DEF2"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6F8CAD6C"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877.803 </w:t>
            </w:r>
          </w:p>
        </w:tc>
      </w:tr>
      <w:tr w:rsidR="008061A0" w:rsidRPr="008061A0" w14:paraId="4EA9AE67"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4BE778FE"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1,61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0A1979F4"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01-abr-20</w:t>
            </w:r>
          </w:p>
        </w:tc>
        <w:tc>
          <w:tcPr>
            <w:tcW w:w="1276" w:type="dxa"/>
            <w:tcBorders>
              <w:top w:val="nil"/>
              <w:left w:val="nil"/>
              <w:bottom w:val="single" w:sz="4" w:space="0" w:color="808000"/>
              <w:right w:val="single" w:sz="4" w:space="0" w:color="808000"/>
            </w:tcBorders>
            <w:shd w:val="clear" w:color="auto" w:fill="auto"/>
            <w:noWrap/>
            <w:vAlign w:val="center"/>
            <w:hideMark/>
          </w:tcPr>
          <w:p w14:paraId="0E68294F"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30-abr-20</w:t>
            </w:r>
          </w:p>
        </w:tc>
        <w:tc>
          <w:tcPr>
            <w:tcW w:w="1134" w:type="dxa"/>
            <w:tcBorders>
              <w:top w:val="nil"/>
              <w:left w:val="nil"/>
              <w:bottom w:val="nil"/>
              <w:right w:val="nil"/>
            </w:tcBorders>
            <w:shd w:val="clear" w:color="000000" w:fill="FFFFCC"/>
            <w:noWrap/>
            <w:vAlign w:val="bottom"/>
            <w:hideMark/>
          </w:tcPr>
          <w:p w14:paraId="4D0580DC"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672D447F"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877.803 </w:t>
            </w:r>
          </w:p>
        </w:tc>
      </w:tr>
      <w:tr w:rsidR="008061A0" w:rsidRPr="008061A0" w14:paraId="06FEF850"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5E947F55"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1,61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01E5B886"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01-may-20</w:t>
            </w:r>
          </w:p>
        </w:tc>
        <w:tc>
          <w:tcPr>
            <w:tcW w:w="1276" w:type="dxa"/>
            <w:tcBorders>
              <w:top w:val="nil"/>
              <w:left w:val="nil"/>
              <w:bottom w:val="single" w:sz="4" w:space="0" w:color="808000"/>
              <w:right w:val="single" w:sz="4" w:space="0" w:color="808000"/>
            </w:tcBorders>
            <w:shd w:val="clear" w:color="auto" w:fill="auto"/>
            <w:noWrap/>
            <w:vAlign w:val="center"/>
            <w:hideMark/>
          </w:tcPr>
          <w:p w14:paraId="64E49B95"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31-may-20</w:t>
            </w:r>
          </w:p>
        </w:tc>
        <w:tc>
          <w:tcPr>
            <w:tcW w:w="1134" w:type="dxa"/>
            <w:tcBorders>
              <w:top w:val="nil"/>
              <w:left w:val="nil"/>
              <w:bottom w:val="nil"/>
              <w:right w:val="nil"/>
            </w:tcBorders>
            <w:shd w:val="clear" w:color="000000" w:fill="FFFFCC"/>
            <w:noWrap/>
            <w:vAlign w:val="bottom"/>
            <w:hideMark/>
          </w:tcPr>
          <w:p w14:paraId="31319818"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56A4AFF4"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877.803 </w:t>
            </w:r>
          </w:p>
        </w:tc>
      </w:tr>
      <w:tr w:rsidR="008061A0" w:rsidRPr="008061A0" w14:paraId="1102AE58"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7E88D247"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1,61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61F7D6FE"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01-jun-20</w:t>
            </w:r>
          </w:p>
        </w:tc>
        <w:tc>
          <w:tcPr>
            <w:tcW w:w="1276" w:type="dxa"/>
            <w:tcBorders>
              <w:top w:val="nil"/>
              <w:left w:val="nil"/>
              <w:bottom w:val="single" w:sz="4" w:space="0" w:color="808000"/>
              <w:right w:val="single" w:sz="4" w:space="0" w:color="808000"/>
            </w:tcBorders>
            <w:shd w:val="clear" w:color="auto" w:fill="auto"/>
            <w:noWrap/>
            <w:vAlign w:val="center"/>
            <w:hideMark/>
          </w:tcPr>
          <w:p w14:paraId="7BFFA902"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30-jun-20</w:t>
            </w:r>
          </w:p>
        </w:tc>
        <w:tc>
          <w:tcPr>
            <w:tcW w:w="1134" w:type="dxa"/>
            <w:tcBorders>
              <w:top w:val="nil"/>
              <w:left w:val="nil"/>
              <w:bottom w:val="nil"/>
              <w:right w:val="nil"/>
            </w:tcBorders>
            <w:shd w:val="clear" w:color="000000" w:fill="FFFFCC"/>
            <w:noWrap/>
            <w:vAlign w:val="bottom"/>
            <w:hideMark/>
          </w:tcPr>
          <w:p w14:paraId="1A03B0A8"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1A9CEB7C"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877.803 </w:t>
            </w:r>
          </w:p>
        </w:tc>
      </w:tr>
      <w:tr w:rsidR="008061A0" w:rsidRPr="008061A0" w14:paraId="7C76FC46"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2EE72596"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1,61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7499A722"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01-jul-20</w:t>
            </w:r>
          </w:p>
        </w:tc>
        <w:tc>
          <w:tcPr>
            <w:tcW w:w="1276" w:type="dxa"/>
            <w:tcBorders>
              <w:top w:val="nil"/>
              <w:left w:val="nil"/>
              <w:bottom w:val="single" w:sz="4" w:space="0" w:color="808000"/>
              <w:right w:val="single" w:sz="4" w:space="0" w:color="808000"/>
            </w:tcBorders>
            <w:shd w:val="clear" w:color="auto" w:fill="auto"/>
            <w:noWrap/>
            <w:vAlign w:val="center"/>
            <w:hideMark/>
          </w:tcPr>
          <w:p w14:paraId="45ADB3AB"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31-jul-20</w:t>
            </w:r>
          </w:p>
        </w:tc>
        <w:tc>
          <w:tcPr>
            <w:tcW w:w="1134" w:type="dxa"/>
            <w:tcBorders>
              <w:top w:val="nil"/>
              <w:left w:val="nil"/>
              <w:bottom w:val="nil"/>
              <w:right w:val="nil"/>
            </w:tcBorders>
            <w:shd w:val="clear" w:color="000000" w:fill="FFFFCC"/>
            <w:noWrap/>
            <w:vAlign w:val="bottom"/>
            <w:hideMark/>
          </w:tcPr>
          <w:p w14:paraId="33D28BC0"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2F481C6B"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877.803 </w:t>
            </w:r>
          </w:p>
        </w:tc>
      </w:tr>
      <w:tr w:rsidR="008061A0" w:rsidRPr="008061A0" w14:paraId="79510239"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7BB90D9A"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1,61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054BB6AC"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01-ago-20</w:t>
            </w:r>
          </w:p>
        </w:tc>
        <w:tc>
          <w:tcPr>
            <w:tcW w:w="1276" w:type="dxa"/>
            <w:tcBorders>
              <w:top w:val="nil"/>
              <w:left w:val="nil"/>
              <w:bottom w:val="single" w:sz="4" w:space="0" w:color="808000"/>
              <w:right w:val="single" w:sz="4" w:space="0" w:color="808000"/>
            </w:tcBorders>
            <w:shd w:val="clear" w:color="auto" w:fill="auto"/>
            <w:noWrap/>
            <w:vAlign w:val="center"/>
            <w:hideMark/>
          </w:tcPr>
          <w:p w14:paraId="44ABA359"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31-ago-20</w:t>
            </w:r>
          </w:p>
        </w:tc>
        <w:tc>
          <w:tcPr>
            <w:tcW w:w="1134" w:type="dxa"/>
            <w:tcBorders>
              <w:top w:val="nil"/>
              <w:left w:val="nil"/>
              <w:bottom w:val="nil"/>
              <w:right w:val="nil"/>
            </w:tcBorders>
            <w:shd w:val="clear" w:color="000000" w:fill="FFFFCC"/>
            <w:noWrap/>
            <w:vAlign w:val="bottom"/>
            <w:hideMark/>
          </w:tcPr>
          <w:p w14:paraId="07A67663"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18185A68"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877.803 </w:t>
            </w:r>
          </w:p>
        </w:tc>
      </w:tr>
      <w:tr w:rsidR="008061A0" w:rsidRPr="008061A0" w14:paraId="2F55D76D"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33CF389F"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1,61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2FBC059A"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01-sep-20</w:t>
            </w:r>
          </w:p>
        </w:tc>
        <w:tc>
          <w:tcPr>
            <w:tcW w:w="1276" w:type="dxa"/>
            <w:tcBorders>
              <w:top w:val="nil"/>
              <w:left w:val="nil"/>
              <w:bottom w:val="single" w:sz="4" w:space="0" w:color="808000"/>
              <w:right w:val="single" w:sz="4" w:space="0" w:color="808000"/>
            </w:tcBorders>
            <w:shd w:val="clear" w:color="auto" w:fill="auto"/>
            <w:noWrap/>
            <w:vAlign w:val="center"/>
            <w:hideMark/>
          </w:tcPr>
          <w:p w14:paraId="5B2FB69E"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30-sep-20</w:t>
            </w:r>
          </w:p>
        </w:tc>
        <w:tc>
          <w:tcPr>
            <w:tcW w:w="1134" w:type="dxa"/>
            <w:tcBorders>
              <w:top w:val="nil"/>
              <w:left w:val="nil"/>
              <w:bottom w:val="nil"/>
              <w:right w:val="nil"/>
            </w:tcBorders>
            <w:shd w:val="clear" w:color="000000" w:fill="FFFFCC"/>
            <w:noWrap/>
            <w:vAlign w:val="bottom"/>
            <w:hideMark/>
          </w:tcPr>
          <w:p w14:paraId="507DA4CA"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7F27A79B"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877.803 </w:t>
            </w:r>
          </w:p>
        </w:tc>
      </w:tr>
      <w:tr w:rsidR="008061A0" w:rsidRPr="008061A0" w14:paraId="1BE907E9"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0B363CA7"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1,61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3AC19428"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01-oct-20</w:t>
            </w:r>
          </w:p>
        </w:tc>
        <w:tc>
          <w:tcPr>
            <w:tcW w:w="1276" w:type="dxa"/>
            <w:tcBorders>
              <w:top w:val="nil"/>
              <w:left w:val="nil"/>
              <w:bottom w:val="single" w:sz="4" w:space="0" w:color="808000"/>
              <w:right w:val="single" w:sz="4" w:space="0" w:color="808000"/>
            </w:tcBorders>
            <w:shd w:val="clear" w:color="auto" w:fill="auto"/>
            <w:noWrap/>
            <w:vAlign w:val="center"/>
            <w:hideMark/>
          </w:tcPr>
          <w:p w14:paraId="2F5D92EE"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31-oct-20</w:t>
            </w:r>
          </w:p>
        </w:tc>
        <w:tc>
          <w:tcPr>
            <w:tcW w:w="1134" w:type="dxa"/>
            <w:tcBorders>
              <w:top w:val="nil"/>
              <w:left w:val="nil"/>
              <w:bottom w:val="nil"/>
              <w:right w:val="nil"/>
            </w:tcBorders>
            <w:shd w:val="clear" w:color="000000" w:fill="FFFFCC"/>
            <w:noWrap/>
            <w:vAlign w:val="bottom"/>
            <w:hideMark/>
          </w:tcPr>
          <w:p w14:paraId="33DA8A7B"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61FF583D"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877.803 </w:t>
            </w:r>
          </w:p>
        </w:tc>
      </w:tr>
      <w:tr w:rsidR="008061A0" w:rsidRPr="008061A0" w14:paraId="63D27329"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55E130C3"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1,61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3B188EBE"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01-nov-20</w:t>
            </w:r>
          </w:p>
        </w:tc>
        <w:tc>
          <w:tcPr>
            <w:tcW w:w="1276" w:type="dxa"/>
            <w:tcBorders>
              <w:top w:val="nil"/>
              <w:left w:val="nil"/>
              <w:bottom w:val="single" w:sz="4" w:space="0" w:color="808000"/>
              <w:right w:val="single" w:sz="4" w:space="0" w:color="808000"/>
            </w:tcBorders>
            <w:shd w:val="clear" w:color="auto" w:fill="auto"/>
            <w:noWrap/>
            <w:vAlign w:val="center"/>
            <w:hideMark/>
          </w:tcPr>
          <w:p w14:paraId="3828EA10"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30-nov-20</w:t>
            </w:r>
          </w:p>
        </w:tc>
        <w:tc>
          <w:tcPr>
            <w:tcW w:w="1134" w:type="dxa"/>
            <w:tcBorders>
              <w:top w:val="nil"/>
              <w:left w:val="nil"/>
              <w:bottom w:val="nil"/>
              <w:right w:val="nil"/>
            </w:tcBorders>
            <w:shd w:val="clear" w:color="000000" w:fill="FFFFCC"/>
            <w:noWrap/>
            <w:vAlign w:val="bottom"/>
            <w:hideMark/>
          </w:tcPr>
          <w:p w14:paraId="14A835E4"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142829A6"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877.803 </w:t>
            </w:r>
          </w:p>
        </w:tc>
      </w:tr>
      <w:tr w:rsidR="008061A0" w:rsidRPr="008061A0" w14:paraId="7E570830"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00"/>
            <w:noWrap/>
            <w:vAlign w:val="bottom"/>
            <w:hideMark/>
          </w:tcPr>
          <w:p w14:paraId="1B98CC08"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1,61  </w:t>
            </w:r>
          </w:p>
        </w:tc>
        <w:tc>
          <w:tcPr>
            <w:tcW w:w="1322" w:type="dxa"/>
            <w:tcBorders>
              <w:top w:val="nil"/>
              <w:left w:val="single" w:sz="4" w:space="0" w:color="808000"/>
              <w:bottom w:val="single" w:sz="4" w:space="0" w:color="808000"/>
              <w:right w:val="single" w:sz="4" w:space="0" w:color="808000"/>
            </w:tcBorders>
            <w:shd w:val="clear" w:color="000000" w:fill="FFFF00"/>
            <w:noWrap/>
            <w:vAlign w:val="center"/>
            <w:hideMark/>
          </w:tcPr>
          <w:p w14:paraId="4FD8041B"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01-dic-20</w:t>
            </w:r>
          </w:p>
        </w:tc>
        <w:tc>
          <w:tcPr>
            <w:tcW w:w="1276" w:type="dxa"/>
            <w:tcBorders>
              <w:top w:val="nil"/>
              <w:left w:val="nil"/>
              <w:bottom w:val="single" w:sz="4" w:space="0" w:color="808000"/>
              <w:right w:val="single" w:sz="4" w:space="0" w:color="808000"/>
            </w:tcBorders>
            <w:shd w:val="clear" w:color="000000" w:fill="FFFF00"/>
            <w:noWrap/>
            <w:vAlign w:val="center"/>
            <w:hideMark/>
          </w:tcPr>
          <w:p w14:paraId="2D22584D"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31-dic-20</w:t>
            </w:r>
          </w:p>
        </w:tc>
        <w:tc>
          <w:tcPr>
            <w:tcW w:w="1134" w:type="dxa"/>
            <w:tcBorders>
              <w:top w:val="nil"/>
              <w:left w:val="nil"/>
              <w:bottom w:val="nil"/>
              <w:right w:val="nil"/>
            </w:tcBorders>
            <w:shd w:val="clear" w:color="000000" w:fill="FFFF00"/>
            <w:noWrap/>
            <w:vAlign w:val="bottom"/>
            <w:hideMark/>
          </w:tcPr>
          <w:p w14:paraId="19A2494F"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2,00  </w:t>
            </w:r>
          </w:p>
        </w:tc>
        <w:tc>
          <w:tcPr>
            <w:tcW w:w="3208" w:type="dxa"/>
            <w:tcBorders>
              <w:top w:val="nil"/>
              <w:left w:val="single" w:sz="4" w:space="0" w:color="003366"/>
              <w:bottom w:val="single" w:sz="4" w:space="0" w:color="003366"/>
              <w:right w:val="single" w:sz="4" w:space="0" w:color="003366"/>
            </w:tcBorders>
            <w:shd w:val="clear" w:color="000000" w:fill="FFFF00"/>
            <w:vAlign w:val="bottom"/>
            <w:hideMark/>
          </w:tcPr>
          <w:p w14:paraId="01E30C2F"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1.755.606 </w:t>
            </w:r>
          </w:p>
        </w:tc>
      </w:tr>
      <w:tr w:rsidR="008061A0" w:rsidRPr="008061A0" w14:paraId="1A7AE0A9"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6BE22494"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0,00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5DA23E5F"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01-ene-21</w:t>
            </w:r>
          </w:p>
        </w:tc>
        <w:tc>
          <w:tcPr>
            <w:tcW w:w="1276" w:type="dxa"/>
            <w:tcBorders>
              <w:top w:val="nil"/>
              <w:left w:val="nil"/>
              <w:bottom w:val="single" w:sz="4" w:space="0" w:color="808000"/>
              <w:right w:val="single" w:sz="4" w:space="0" w:color="808000"/>
            </w:tcBorders>
            <w:shd w:val="clear" w:color="auto" w:fill="auto"/>
            <w:noWrap/>
            <w:vAlign w:val="center"/>
            <w:hideMark/>
          </w:tcPr>
          <w:p w14:paraId="343F9F0D"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31-ene-21</w:t>
            </w:r>
          </w:p>
        </w:tc>
        <w:tc>
          <w:tcPr>
            <w:tcW w:w="1134" w:type="dxa"/>
            <w:tcBorders>
              <w:top w:val="nil"/>
              <w:left w:val="nil"/>
              <w:bottom w:val="nil"/>
              <w:right w:val="nil"/>
            </w:tcBorders>
            <w:shd w:val="clear" w:color="000000" w:fill="FFFFCC"/>
            <w:noWrap/>
            <w:vAlign w:val="bottom"/>
            <w:hideMark/>
          </w:tcPr>
          <w:p w14:paraId="07C575B7"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3D41A59A"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908.526 </w:t>
            </w:r>
          </w:p>
        </w:tc>
      </w:tr>
      <w:tr w:rsidR="008061A0" w:rsidRPr="008061A0" w14:paraId="0CE27E25"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77097375"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0,00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409F34F5"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01-feb-21</w:t>
            </w:r>
          </w:p>
        </w:tc>
        <w:tc>
          <w:tcPr>
            <w:tcW w:w="1276" w:type="dxa"/>
            <w:tcBorders>
              <w:top w:val="nil"/>
              <w:left w:val="nil"/>
              <w:bottom w:val="single" w:sz="4" w:space="0" w:color="808000"/>
              <w:right w:val="single" w:sz="4" w:space="0" w:color="808000"/>
            </w:tcBorders>
            <w:shd w:val="clear" w:color="auto" w:fill="auto"/>
            <w:noWrap/>
            <w:vAlign w:val="center"/>
            <w:hideMark/>
          </w:tcPr>
          <w:p w14:paraId="36BF72BF"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28-feb-21</w:t>
            </w:r>
          </w:p>
        </w:tc>
        <w:tc>
          <w:tcPr>
            <w:tcW w:w="1134" w:type="dxa"/>
            <w:tcBorders>
              <w:top w:val="nil"/>
              <w:left w:val="nil"/>
              <w:bottom w:val="nil"/>
              <w:right w:val="nil"/>
            </w:tcBorders>
            <w:shd w:val="clear" w:color="000000" w:fill="FFFFCC"/>
            <w:noWrap/>
            <w:vAlign w:val="bottom"/>
            <w:hideMark/>
          </w:tcPr>
          <w:p w14:paraId="69A1D7C2"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00DF2D88"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908.526 </w:t>
            </w:r>
          </w:p>
        </w:tc>
      </w:tr>
      <w:tr w:rsidR="008061A0" w:rsidRPr="008061A0" w14:paraId="22061FBF"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680E0CB5"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0,00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7E0A7B17"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01-mar-21</w:t>
            </w:r>
          </w:p>
        </w:tc>
        <w:tc>
          <w:tcPr>
            <w:tcW w:w="1276" w:type="dxa"/>
            <w:tcBorders>
              <w:top w:val="nil"/>
              <w:left w:val="nil"/>
              <w:bottom w:val="single" w:sz="4" w:space="0" w:color="808000"/>
              <w:right w:val="single" w:sz="4" w:space="0" w:color="808000"/>
            </w:tcBorders>
            <w:shd w:val="clear" w:color="auto" w:fill="auto"/>
            <w:noWrap/>
            <w:vAlign w:val="center"/>
            <w:hideMark/>
          </w:tcPr>
          <w:p w14:paraId="7321291F"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31-mar-21</w:t>
            </w:r>
          </w:p>
        </w:tc>
        <w:tc>
          <w:tcPr>
            <w:tcW w:w="1134" w:type="dxa"/>
            <w:tcBorders>
              <w:top w:val="nil"/>
              <w:left w:val="nil"/>
              <w:bottom w:val="nil"/>
              <w:right w:val="nil"/>
            </w:tcBorders>
            <w:shd w:val="clear" w:color="000000" w:fill="FFFFCC"/>
            <w:noWrap/>
            <w:vAlign w:val="bottom"/>
            <w:hideMark/>
          </w:tcPr>
          <w:p w14:paraId="5A338F8F"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07174030"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908.526 </w:t>
            </w:r>
          </w:p>
        </w:tc>
      </w:tr>
      <w:tr w:rsidR="008061A0" w:rsidRPr="008061A0" w14:paraId="63AB6254"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5FFC9F9A"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0,00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7983C024"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01-abr-21</w:t>
            </w:r>
          </w:p>
        </w:tc>
        <w:tc>
          <w:tcPr>
            <w:tcW w:w="1276" w:type="dxa"/>
            <w:tcBorders>
              <w:top w:val="nil"/>
              <w:left w:val="nil"/>
              <w:bottom w:val="single" w:sz="4" w:space="0" w:color="808000"/>
              <w:right w:val="single" w:sz="4" w:space="0" w:color="808000"/>
            </w:tcBorders>
            <w:shd w:val="clear" w:color="auto" w:fill="auto"/>
            <w:noWrap/>
            <w:vAlign w:val="center"/>
            <w:hideMark/>
          </w:tcPr>
          <w:p w14:paraId="4E6F262E"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30-abr-21</w:t>
            </w:r>
          </w:p>
        </w:tc>
        <w:tc>
          <w:tcPr>
            <w:tcW w:w="1134" w:type="dxa"/>
            <w:tcBorders>
              <w:top w:val="nil"/>
              <w:left w:val="nil"/>
              <w:bottom w:val="nil"/>
              <w:right w:val="nil"/>
            </w:tcBorders>
            <w:shd w:val="clear" w:color="000000" w:fill="FFFFCC"/>
            <w:noWrap/>
            <w:vAlign w:val="bottom"/>
            <w:hideMark/>
          </w:tcPr>
          <w:p w14:paraId="19188B5B"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5DA6D0F6"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908.526 </w:t>
            </w:r>
          </w:p>
        </w:tc>
      </w:tr>
      <w:tr w:rsidR="008061A0" w:rsidRPr="008061A0" w14:paraId="574BA434"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40E81F1C"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0,00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23FE52E9"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01-may-21</w:t>
            </w:r>
          </w:p>
        </w:tc>
        <w:tc>
          <w:tcPr>
            <w:tcW w:w="1276" w:type="dxa"/>
            <w:tcBorders>
              <w:top w:val="nil"/>
              <w:left w:val="nil"/>
              <w:bottom w:val="single" w:sz="4" w:space="0" w:color="808000"/>
              <w:right w:val="single" w:sz="4" w:space="0" w:color="808000"/>
            </w:tcBorders>
            <w:shd w:val="clear" w:color="auto" w:fill="auto"/>
            <w:noWrap/>
            <w:vAlign w:val="center"/>
            <w:hideMark/>
          </w:tcPr>
          <w:p w14:paraId="6EBF7109"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31-may-21</w:t>
            </w:r>
          </w:p>
        </w:tc>
        <w:tc>
          <w:tcPr>
            <w:tcW w:w="1134" w:type="dxa"/>
            <w:tcBorders>
              <w:top w:val="nil"/>
              <w:left w:val="nil"/>
              <w:bottom w:val="nil"/>
              <w:right w:val="nil"/>
            </w:tcBorders>
            <w:shd w:val="clear" w:color="000000" w:fill="FFFFCC"/>
            <w:noWrap/>
            <w:vAlign w:val="bottom"/>
            <w:hideMark/>
          </w:tcPr>
          <w:p w14:paraId="41604F8B"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26D86948"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908.526 </w:t>
            </w:r>
          </w:p>
        </w:tc>
      </w:tr>
      <w:tr w:rsidR="008061A0" w:rsidRPr="008061A0" w14:paraId="55374D4F"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0BE74FD0"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0,00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43ED87C6"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01-jun-21</w:t>
            </w:r>
          </w:p>
        </w:tc>
        <w:tc>
          <w:tcPr>
            <w:tcW w:w="1276" w:type="dxa"/>
            <w:tcBorders>
              <w:top w:val="nil"/>
              <w:left w:val="nil"/>
              <w:bottom w:val="single" w:sz="4" w:space="0" w:color="808000"/>
              <w:right w:val="single" w:sz="4" w:space="0" w:color="808000"/>
            </w:tcBorders>
            <w:shd w:val="clear" w:color="auto" w:fill="auto"/>
            <w:noWrap/>
            <w:vAlign w:val="center"/>
            <w:hideMark/>
          </w:tcPr>
          <w:p w14:paraId="0A7E8D07"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30-jun-21</w:t>
            </w:r>
          </w:p>
        </w:tc>
        <w:tc>
          <w:tcPr>
            <w:tcW w:w="1134" w:type="dxa"/>
            <w:tcBorders>
              <w:top w:val="nil"/>
              <w:left w:val="nil"/>
              <w:bottom w:val="nil"/>
              <w:right w:val="nil"/>
            </w:tcBorders>
            <w:shd w:val="clear" w:color="000000" w:fill="FFFFCC"/>
            <w:noWrap/>
            <w:vAlign w:val="bottom"/>
            <w:hideMark/>
          </w:tcPr>
          <w:p w14:paraId="33F4EDB5"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564FFA04"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908.526 </w:t>
            </w:r>
          </w:p>
        </w:tc>
      </w:tr>
      <w:tr w:rsidR="008061A0" w:rsidRPr="008061A0" w14:paraId="1C290D19"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459DB214"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0,00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4DC59610"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01-jul-21</w:t>
            </w:r>
          </w:p>
        </w:tc>
        <w:tc>
          <w:tcPr>
            <w:tcW w:w="1276" w:type="dxa"/>
            <w:tcBorders>
              <w:top w:val="nil"/>
              <w:left w:val="nil"/>
              <w:bottom w:val="single" w:sz="4" w:space="0" w:color="808000"/>
              <w:right w:val="single" w:sz="4" w:space="0" w:color="808000"/>
            </w:tcBorders>
            <w:shd w:val="clear" w:color="auto" w:fill="auto"/>
            <w:noWrap/>
            <w:vAlign w:val="center"/>
            <w:hideMark/>
          </w:tcPr>
          <w:p w14:paraId="301AB3C3"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31-jul-21</w:t>
            </w:r>
          </w:p>
        </w:tc>
        <w:tc>
          <w:tcPr>
            <w:tcW w:w="1134" w:type="dxa"/>
            <w:tcBorders>
              <w:top w:val="nil"/>
              <w:left w:val="nil"/>
              <w:bottom w:val="nil"/>
              <w:right w:val="nil"/>
            </w:tcBorders>
            <w:shd w:val="clear" w:color="000000" w:fill="FFFFCC"/>
            <w:noWrap/>
            <w:vAlign w:val="bottom"/>
            <w:hideMark/>
          </w:tcPr>
          <w:p w14:paraId="0B6F126A"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3F22266E"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908.526 </w:t>
            </w:r>
          </w:p>
        </w:tc>
      </w:tr>
      <w:tr w:rsidR="008061A0" w:rsidRPr="008061A0" w14:paraId="2AEAC12B" w14:textId="77777777" w:rsidTr="006E2CEE">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6DE84854"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0,00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032BACF7"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01-ago-21</w:t>
            </w:r>
          </w:p>
        </w:tc>
        <w:tc>
          <w:tcPr>
            <w:tcW w:w="1276" w:type="dxa"/>
            <w:tcBorders>
              <w:top w:val="nil"/>
              <w:left w:val="nil"/>
              <w:bottom w:val="single" w:sz="4" w:space="0" w:color="808000"/>
              <w:right w:val="single" w:sz="4" w:space="0" w:color="808000"/>
            </w:tcBorders>
            <w:shd w:val="clear" w:color="auto" w:fill="auto"/>
            <w:noWrap/>
            <w:vAlign w:val="center"/>
            <w:hideMark/>
          </w:tcPr>
          <w:p w14:paraId="3D972951"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31-ago-21</w:t>
            </w:r>
          </w:p>
        </w:tc>
        <w:tc>
          <w:tcPr>
            <w:tcW w:w="1134" w:type="dxa"/>
            <w:tcBorders>
              <w:top w:val="nil"/>
              <w:left w:val="nil"/>
              <w:bottom w:val="nil"/>
              <w:right w:val="nil"/>
            </w:tcBorders>
            <w:shd w:val="clear" w:color="000000" w:fill="FFFFCC"/>
            <w:noWrap/>
            <w:vAlign w:val="bottom"/>
            <w:hideMark/>
          </w:tcPr>
          <w:p w14:paraId="6B18DAFF"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33965FEC"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908.526 </w:t>
            </w:r>
          </w:p>
        </w:tc>
      </w:tr>
      <w:tr w:rsidR="008061A0" w:rsidRPr="008061A0" w14:paraId="75D7BE31" w14:textId="77777777" w:rsidTr="00B93C12">
        <w:trPr>
          <w:trHeight w:val="315"/>
        </w:trPr>
        <w:tc>
          <w:tcPr>
            <w:tcW w:w="1206" w:type="dxa"/>
            <w:tcBorders>
              <w:top w:val="nil"/>
              <w:left w:val="single" w:sz="8" w:space="0" w:color="auto"/>
              <w:bottom w:val="single" w:sz="4" w:space="0" w:color="003366"/>
              <w:right w:val="single" w:sz="4" w:space="0" w:color="003366"/>
            </w:tcBorders>
            <w:shd w:val="clear" w:color="000000" w:fill="FFFFCC"/>
            <w:noWrap/>
            <w:vAlign w:val="bottom"/>
            <w:hideMark/>
          </w:tcPr>
          <w:p w14:paraId="0B015FB2"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0,00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4EC0F7AB"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01-sep-21</w:t>
            </w:r>
          </w:p>
        </w:tc>
        <w:tc>
          <w:tcPr>
            <w:tcW w:w="1276" w:type="dxa"/>
            <w:tcBorders>
              <w:top w:val="nil"/>
              <w:left w:val="nil"/>
              <w:bottom w:val="single" w:sz="4" w:space="0" w:color="808000"/>
              <w:right w:val="single" w:sz="4" w:space="0" w:color="808000"/>
            </w:tcBorders>
            <w:shd w:val="clear" w:color="auto" w:fill="auto"/>
            <w:noWrap/>
            <w:vAlign w:val="center"/>
            <w:hideMark/>
          </w:tcPr>
          <w:p w14:paraId="5BEA4A50"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30-sep-21</w:t>
            </w:r>
          </w:p>
        </w:tc>
        <w:tc>
          <w:tcPr>
            <w:tcW w:w="1134" w:type="dxa"/>
            <w:tcBorders>
              <w:top w:val="nil"/>
              <w:left w:val="nil"/>
              <w:bottom w:val="nil"/>
              <w:right w:val="nil"/>
            </w:tcBorders>
            <w:shd w:val="clear" w:color="000000" w:fill="FFFFCC"/>
            <w:noWrap/>
            <w:vAlign w:val="bottom"/>
            <w:hideMark/>
          </w:tcPr>
          <w:p w14:paraId="4631CE2E"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7FBFA2DC"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908.526 </w:t>
            </w:r>
          </w:p>
        </w:tc>
      </w:tr>
      <w:tr w:rsidR="008061A0" w:rsidRPr="008061A0" w14:paraId="2579A6EF" w14:textId="77777777" w:rsidTr="00B04E0B">
        <w:trPr>
          <w:trHeight w:val="315"/>
        </w:trPr>
        <w:tc>
          <w:tcPr>
            <w:tcW w:w="1206" w:type="dxa"/>
            <w:tcBorders>
              <w:top w:val="single" w:sz="4" w:space="0" w:color="003366"/>
              <w:left w:val="single" w:sz="8" w:space="0" w:color="auto"/>
              <w:bottom w:val="single" w:sz="4" w:space="0" w:color="auto"/>
              <w:right w:val="single" w:sz="4" w:space="0" w:color="003366"/>
            </w:tcBorders>
            <w:shd w:val="clear" w:color="000000" w:fill="FFFFCC"/>
            <w:noWrap/>
            <w:vAlign w:val="bottom"/>
            <w:hideMark/>
          </w:tcPr>
          <w:p w14:paraId="70A849C5"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0,00  </w:t>
            </w:r>
          </w:p>
        </w:tc>
        <w:tc>
          <w:tcPr>
            <w:tcW w:w="1322" w:type="dxa"/>
            <w:tcBorders>
              <w:top w:val="nil"/>
              <w:left w:val="single" w:sz="4" w:space="0" w:color="808000"/>
              <w:bottom w:val="single" w:sz="4" w:space="0" w:color="808000"/>
              <w:right w:val="single" w:sz="4" w:space="0" w:color="808000"/>
            </w:tcBorders>
            <w:shd w:val="clear" w:color="auto" w:fill="auto"/>
            <w:noWrap/>
            <w:vAlign w:val="center"/>
            <w:hideMark/>
          </w:tcPr>
          <w:p w14:paraId="03230108"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01-oct-21</w:t>
            </w:r>
          </w:p>
        </w:tc>
        <w:tc>
          <w:tcPr>
            <w:tcW w:w="1276" w:type="dxa"/>
            <w:tcBorders>
              <w:top w:val="nil"/>
              <w:left w:val="nil"/>
              <w:bottom w:val="single" w:sz="4" w:space="0" w:color="808000"/>
              <w:right w:val="single" w:sz="4" w:space="0" w:color="808000"/>
            </w:tcBorders>
            <w:shd w:val="clear" w:color="auto" w:fill="auto"/>
            <w:noWrap/>
            <w:vAlign w:val="center"/>
            <w:hideMark/>
          </w:tcPr>
          <w:p w14:paraId="70EB4A1F" w14:textId="77777777" w:rsidR="008061A0" w:rsidRPr="008061A0" w:rsidRDefault="008061A0" w:rsidP="00525FD7">
            <w:pPr>
              <w:spacing w:after="0" w:line="240" w:lineRule="auto"/>
              <w:jc w:val="right"/>
              <w:rPr>
                <w:rFonts w:ascii="Calibri" w:eastAsia="Times New Roman" w:hAnsi="Calibri" w:cs="Calibri"/>
                <w:color w:val="000000"/>
                <w:sz w:val="20"/>
                <w:szCs w:val="20"/>
                <w:lang w:eastAsia="es-CO"/>
              </w:rPr>
            </w:pPr>
            <w:r w:rsidRPr="008061A0">
              <w:rPr>
                <w:rFonts w:ascii="Calibri" w:eastAsia="Times New Roman" w:hAnsi="Calibri" w:cs="Calibri"/>
                <w:color w:val="000000"/>
                <w:sz w:val="20"/>
                <w:szCs w:val="20"/>
                <w:lang w:eastAsia="es-CO"/>
              </w:rPr>
              <w:t>31-oct-21</w:t>
            </w:r>
          </w:p>
        </w:tc>
        <w:tc>
          <w:tcPr>
            <w:tcW w:w="1134" w:type="dxa"/>
            <w:tcBorders>
              <w:top w:val="nil"/>
              <w:left w:val="nil"/>
              <w:bottom w:val="nil"/>
              <w:right w:val="nil"/>
            </w:tcBorders>
            <w:shd w:val="clear" w:color="000000" w:fill="FFFFCC"/>
            <w:noWrap/>
            <w:vAlign w:val="bottom"/>
            <w:hideMark/>
          </w:tcPr>
          <w:p w14:paraId="0D878CA4"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1,00  </w:t>
            </w:r>
          </w:p>
        </w:tc>
        <w:tc>
          <w:tcPr>
            <w:tcW w:w="3208" w:type="dxa"/>
            <w:tcBorders>
              <w:top w:val="nil"/>
              <w:left w:val="single" w:sz="4" w:space="0" w:color="003366"/>
              <w:bottom w:val="single" w:sz="4" w:space="0" w:color="003366"/>
              <w:right w:val="single" w:sz="4" w:space="0" w:color="003366"/>
            </w:tcBorders>
            <w:shd w:val="clear" w:color="000000" w:fill="FFFFCC"/>
            <w:vAlign w:val="bottom"/>
            <w:hideMark/>
          </w:tcPr>
          <w:p w14:paraId="242B200F"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908.526 </w:t>
            </w:r>
          </w:p>
        </w:tc>
      </w:tr>
      <w:tr w:rsidR="008061A0" w:rsidRPr="008061A0" w14:paraId="2BD85AA2" w14:textId="77777777" w:rsidTr="00B04E0B">
        <w:trPr>
          <w:trHeight w:val="315"/>
        </w:trPr>
        <w:tc>
          <w:tcPr>
            <w:tcW w:w="1206" w:type="dxa"/>
            <w:tcBorders>
              <w:top w:val="single" w:sz="4" w:space="0" w:color="auto"/>
              <w:bottom w:val="nil"/>
              <w:right w:val="nil"/>
            </w:tcBorders>
            <w:shd w:val="clear" w:color="000000" w:fill="FFFFCC"/>
            <w:noWrap/>
            <w:vAlign w:val="bottom"/>
            <w:hideMark/>
          </w:tcPr>
          <w:p w14:paraId="4705DD3D"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w:t>
            </w:r>
          </w:p>
        </w:tc>
        <w:tc>
          <w:tcPr>
            <w:tcW w:w="1322" w:type="dxa"/>
            <w:tcBorders>
              <w:top w:val="nil"/>
              <w:left w:val="nil"/>
              <w:bottom w:val="nil"/>
              <w:right w:val="nil"/>
            </w:tcBorders>
            <w:shd w:val="clear" w:color="auto" w:fill="auto"/>
            <w:noWrap/>
            <w:vAlign w:val="center"/>
            <w:hideMark/>
          </w:tcPr>
          <w:p w14:paraId="470552C3"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p>
        </w:tc>
        <w:tc>
          <w:tcPr>
            <w:tcW w:w="1276" w:type="dxa"/>
            <w:tcBorders>
              <w:top w:val="nil"/>
              <w:left w:val="nil"/>
              <w:bottom w:val="nil"/>
              <w:right w:val="nil"/>
            </w:tcBorders>
            <w:shd w:val="clear" w:color="auto" w:fill="auto"/>
            <w:noWrap/>
            <w:vAlign w:val="center"/>
            <w:hideMark/>
          </w:tcPr>
          <w:p w14:paraId="3244E85E" w14:textId="77777777" w:rsidR="008061A0" w:rsidRPr="008061A0" w:rsidRDefault="008061A0" w:rsidP="00525FD7">
            <w:pPr>
              <w:spacing w:after="0" w:line="240" w:lineRule="auto"/>
              <w:rPr>
                <w:rFonts w:ascii="Times New Roman" w:eastAsia="Times New Roman" w:hAnsi="Times New Roman" w:cs="Times New Roman"/>
                <w:sz w:val="20"/>
                <w:szCs w:val="20"/>
                <w:lang w:eastAsia="es-CO"/>
              </w:rPr>
            </w:pPr>
          </w:p>
        </w:tc>
        <w:tc>
          <w:tcPr>
            <w:tcW w:w="1134" w:type="dxa"/>
            <w:tcBorders>
              <w:top w:val="nil"/>
              <w:left w:val="nil"/>
              <w:bottom w:val="nil"/>
              <w:right w:val="single" w:sz="4" w:space="0" w:color="auto"/>
            </w:tcBorders>
            <w:shd w:val="clear" w:color="000000" w:fill="FFFFCC"/>
            <w:noWrap/>
            <w:vAlign w:val="bottom"/>
            <w:hideMark/>
          </w:tcPr>
          <w:p w14:paraId="18933CB6" w14:textId="77777777" w:rsidR="008061A0" w:rsidRPr="008061A0" w:rsidRDefault="008061A0" w:rsidP="00525FD7">
            <w:pPr>
              <w:spacing w:after="0" w:line="240" w:lineRule="auto"/>
              <w:jc w:val="center"/>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w:t>
            </w:r>
          </w:p>
        </w:tc>
        <w:tc>
          <w:tcPr>
            <w:tcW w:w="3208" w:type="dxa"/>
            <w:tcBorders>
              <w:top w:val="single" w:sz="4" w:space="0" w:color="003366"/>
              <w:left w:val="single" w:sz="4" w:space="0" w:color="auto"/>
              <w:bottom w:val="single" w:sz="4" w:space="0" w:color="auto"/>
              <w:right w:val="single" w:sz="4" w:space="0" w:color="auto"/>
            </w:tcBorders>
            <w:shd w:val="clear" w:color="000000" w:fill="FFFFCC"/>
            <w:vAlign w:val="bottom"/>
            <w:hideMark/>
          </w:tcPr>
          <w:p w14:paraId="638CCE6F" w14:textId="77777777" w:rsidR="008061A0" w:rsidRPr="008061A0" w:rsidRDefault="008061A0" w:rsidP="00525FD7">
            <w:pPr>
              <w:spacing w:after="0" w:line="240" w:lineRule="auto"/>
              <w:rPr>
                <w:rFonts w:ascii="Calibri" w:eastAsia="Times New Roman" w:hAnsi="Calibri" w:cs="Calibri"/>
                <w:sz w:val="20"/>
                <w:szCs w:val="20"/>
                <w:lang w:eastAsia="es-CO"/>
              </w:rPr>
            </w:pPr>
            <w:r w:rsidRPr="008061A0">
              <w:rPr>
                <w:rFonts w:ascii="Calibri" w:eastAsia="Times New Roman" w:hAnsi="Calibri" w:cs="Calibri"/>
                <w:sz w:val="20"/>
                <w:szCs w:val="20"/>
                <w:lang w:eastAsia="es-CO"/>
              </w:rPr>
              <w:t xml:space="preserve"> $                      21.324.815 </w:t>
            </w:r>
          </w:p>
        </w:tc>
      </w:tr>
    </w:tbl>
    <w:p w14:paraId="3F04D2CE" w14:textId="77777777" w:rsidR="003C211E" w:rsidRPr="002C568D" w:rsidRDefault="003C211E" w:rsidP="002C568D">
      <w:pPr>
        <w:widowControl w:val="0"/>
        <w:autoSpaceDE w:val="0"/>
        <w:autoSpaceDN w:val="0"/>
        <w:adjustRightInd w:val="0"/>
        <w:spacing w:after="0" w:line="276" w:lineRule="auto"/>
        <w:jc w:val="both"/>
        <w:rPr>
          <w:rFonts w:ascii="Tahoma" w:eastAsia="Calibri" w:hAnsi="Tahoma" w:cs="Tahoma"/>
          <w:bCs/>
          <w:sz w:val="24"/>
          <w:szCs w:val="24"/>
        </w:rPr>
      </w:pPr>
    </w:p>
    <w:p w14:paraId="0F7CEB5B" w14:textId="0E466E5E" w:rsidR="00D45927" w:rsidRPr="002C568D" w:rsidRDefault="00D45927" w:rsidP="002C568D">
      <w:pPr>
        <w:widowControl w:val="0"/>
        <w:autoSpaceDE w:val="0"/>
        <w:autoSpaceDN w:val="0"/>
        <w:adjustRightInd w:val="0"/>
        <w:spacing w:after="0" w:line="276" w:lineRule="auto"/>
        <w:jc w:val="both"/>
        <w:rPr>
          <w:rFonts w:ascii="Tahoma" w:eastAsia="Calibri" w:hAnsi="Tahoma" w:cs="Tahoma"/>
          <w:bCs/>
          <w:sz w:val="24"/>
          <w:szCs w:val="24"/>
        </w:rPr>
      </w:pPr>
      <w:r w:rsidRPr="002C568D">
        <w:rPr>
          <w:rFonts w:ascii="Tahoma" w:eastAsia="Calibri" w:hAnsi="Tahoma" w:cs="Tahoma"/>
          <w:bCs/>
          <w:sz w:val="24"/>
          <w:szCs w:val="24"/>
        </w:rPr>
        <w:tab/>
        <w:t xml:space="preserve">Por último, se confirmará en todo lo demás la sentencia recurrida. </w:t>
      </w:r>
    </w:p>
    <w:p w14:paraId="5BF23ADC" w14:textId="77777777" w:rsidR="00EC580D" w:rsidRPr="002C568D" w:rsidRDefault="00EC580D" w:rsidP="002C568D">
      <w:pPr>
        <w:widowControl w:val="0"/>
        <w:autoSpaceDE w:val="0"/>
        <w:autoSpaceDN w:val="0"/>
        <w:adjustRightInd w:val="0"/>
        <w:spacing w:after="0" w:line="276" w:lineRule="auto"/>
        <w:jc w:val="both"/>
        <w:rPr>
          <w:rFonts w:ascii="Tahoma" w:eastAsia="Calibri" w:hAnsi="Tahoma" w:cs="Tahoma"/>
          <w:bCs/>
          <w:sz w:val="24"/>
          <w:szCs w:val="24"/>
        </w:rPr>
      </w:pPr>
    </w:p>
    <w:p w14:paraId="2C56011A" w14:textId="0C3CD31D" w:rsidR="00B9211F" w:rsidRPr="002C568D" w:rsidRDefault="00D45927" w:rsidP="002C568D">
      <w:pPr>
        <w:widowControl w:val="0"/>
        <w:autoSpaceDE w:val="0"/>
        <w:autoSpaceDN w:val="0"/>
        <w:adjustRightInd w:val="0"/>
        <w:spacing w:after="0" w:line="276" w:lineRule="auto"/>
        <w:ind w:firstLine="708"/>
        <w:jc w:val="both"/>
        <w:rPr>
          <w:rFonts w:ascii="Tahoma" w:eastAsia="Calibri" w:hAnsi="Tahoma" w:cs="Tahoma"/>
          <w:sz w:val="24"/>
          <w:szCs w:val="24"/>
        </w:rPr>
      </w:pPr>
      <w:r w:rsidRPr="002C568D">
        <w:rPr>
          <w:rFonts w:ascii="Tahoma" w:eastAsia="Calibri" w:hAnsi="Tahoma" w:cs="Tahoma"/>
          <w:sz w:val="24"/>
          <w:szCs w:val="24"/>
        </w:rPr>
        <w:lastRenderedPageBreak/>
        <w:t>Sin costas en esta instancia procesal</w:t>
      </w:r>
      <w:r w:rsidR="57974E1C" w:rsidRPr="002C568D">
        <w:rPr>
          <w:rFonts w:ascii="Tahoma" w:eastAsia="Calibri" w:hAnsi="Tahoma" w:cs="Tahoma"/>
          <w:sz w:val="24"/>
          <w:szCs w:val="24"/>
        </w:rPr>
        <w:t xml:space="preserve"> al haber prosperado el recurso</w:t>
      </w:r>
      <w:r w:rsidRPr="002C568D">
        <w:rPr>
          <w:rFonts w:ascii="Tahoma" w:eastAsia="Calibri" w:hAnsi="Tahoma" w:cs="Tahoma"/>
          <w:sz w:val="24"/>
          <w:szCs w:val="24"/>
        </w:rPr>
        <w:t>.</w:t>
      </w:r>
    </w:p>
    <w:p w14:paraId="77A8C6C3" w14:textId="77777777" w:rsidR="00B9211F" w:rsidRPr="002C568D" w:rsidRDefault="00B9211F" w:rsidP="002C568D">
      <w:pPr>
        <w:widowControl w:val="0"/>
        <w:autoSpaceDE w:val="0"/>
        <w:autoSpaceDN w:val="0"/>
        <w:adjustRightInd w:val="0"/>
        <w:spacing w:after="0" w:line="276" w:lineRule="auto"/>
        <w:jc w:val="both"/>
        <w:rPr>
          <w:rFonts w:ascii="Tahoma" w:eastAsia="Calibri" w:hAnsi="Tahoma" w:cs="Tahoma"/>
          <w:sz w:val="24"/>
          <w:szCs w:val="24"/>
        </w:rPr>
      </w:pPr>
    </w:p>
    <w:p w14:paraId="2121B4BB" w14:textId="715D740C" w:rsidR="1B4704F1" w:rsidRPr="002C568D" w:rsidRDefault="1B4704F1" w:rsidP="002C568D">
      <w:pPr>
        <w:spacing w:after="0" w:line="276" w:lineRule="auto"/>
        <w:ind w:firstLine="708"/>
        <w:jc w:val="both"/>
        <w:rPr>
          <w:rFonts w:ascii="Tahoma" w:hAnsi="Tahoma" w:cs="Tahoma"/>
          <w:sz w:val="24"/>
          <w:szCs w:val="24"/>
        </w:rPr>
      </w:pPr>
      <w:r w:rsidRPr="002C568D">
        <w:rPr>
          <w:rFonts w:ascii="Tahoma" w:eastAsia="Tahoma" w:hAnsi="Tahoma" w:cs="Tahoma"/>
          <w:sz w:val="24"/>
          <w:szCs w:val="24"/>
        </w:rPr>
        <w:t xml:space="preserve">En mérito de lo expuesto, el </w:t>
      </w:r>
      <w:r w:rsidRPr="002C568D">
        <w:rPr>
          <w:rFonts w:ascii="Tahoma" w:eastAsia="Tahoma" w:hAnsi="Tahoma" w:cs="Tahoma"/>
          <w:b/>
          <w:bCs/>
          <w:sz w:val="24"/>
          <w:szCs w:val="24"/>
        </w:rPr>
        <w:t>Tribunal Superior del Distrito Judicial de Pereira - Risaralda, Sala de Decisión Laboral No. 1,</w:t>
      </w:r>
      <w:r w:rsidRPr="002C568D">
        <w:rPr>
          <w:rFonts w:ascii="Tahoma" w:eastAsia="Tahoma" w:hAnsi="Tahoma" w:cs="Tahoma"/>
          <w:sz w:val="24"/>
          <w:szCs w:val="24"/>
        </w:rPr>
        <w:t xml:space="preserve"> administrando justicia en nombre de la República y por autoridad de la ley,</w:t>
      </w:r>
    </w:p>
    <w:p w14:paraId="427F006E" w14:textId="129418A5" w:rsidR="1B4704F1" w:rsidRPr="002C568D" w:rsidRDefault="1B4704F1" w:rsidP="002C568D">
      <w:pPr>
        <w:spacing w:after="0" w:line="276" w:lineRule="auto"/>
        <w:ind w:firstLine="644"/>
        <w:jc w:val="both"/>
        <w:rPr>
          <w:rFonts w:ascii="Tahoma" w:hAnsi="Tahoma" w:cs="Tahoma"/>
          <w:sz w:val="24"/>
          <w:szCs w:val="24"/>
        </w:rPr>
      </w:pPr>
      <w:r w:rsidRPr="002C568D">
        <w:rPr>
          <w:rFonts w:ascii="Tahoma" w:eastAsia="Tahoma" w:hAnsi="Tahoma" w:cs="Tahoma"/>
          <w:sz w:val="24"/>
          <w:szCs w:val="24"/>
        </w:rPr>
        <w:t xml:space="preserve"> </w:t>
      </w:r>
    </w:p>
    <w:p w14:paraId="0C520D47" w14:textId="7F870AD7" w:rsidR="1B4704F1" w:rsidRPr="002C568D" w:rsidRDefault="1B4704F1" w:rsidP="002C568D">
      <w:pPr>
        <w:spacing w:after="0" w:line="276" w:lineRule="auto"/>
        <w:ind w:firstLine="284"/>
        <w:jc w:val="center"/>
        <w:rPr>
          <w:rFonts w:ascii="Tahoma" w:hAnsi="Tahoma" w:cs="Tahoma"/>
          <w:sz w:val="24"/>
          <w:szCs w:val="24"/>
        </w:rPr>
      </w:pPr>
      <w:r w:rsidRPr="002C568D">
        <w:rPr>
          <w:rFonts w:ascii="Tahoma" w:eastAsia="Tahoma" w:hAnsi="Tahoma" w:cs="Tahoma"/>
          <w:b/>
          <w:bCs/>
          <w:color w:val="000000" w:themeColor="text1"/>
          <w:sz w:val="24"/>
          <w:szCs w:val="24"/>
        </w:rPr>
        <w:t>RESUELVE</w:t>
      </w:r>
    </w:p>
    <w:p w14:paraId="51479B87" w14:textId="1A29924F" w:rsidR="1B4704F1" w:rsidRPr="002C568D" w:rsidRDefault="1B4704F1" w:rsidP="002C568D">
      <w:pPr>
        <w:spacing w:after="0" w:line="276" w:lineRule="auto"/>
        <w:jc w:val="both"/>
        <w:rPr>
          <w:rFonts w:ascii="Tahoma" w:hAnsi="Tahoma" w:cs="Tahoma"/>
          <w:sz w:val="24"/>
          <w:szCs w:val="24"/>
        </w:rPr>
      </w:pPr>
      <w:r w:rsidRPr="002C568D">
        <w:rPr>
          <w:rFonts w:ascii="Tahoma" w:eastAsia="Tahoma" w:hAnsi="Tahoma" w:cs="Tahoma"/>
          <w:b/>
          <w:bCs/>
          <w:sz w:val="24"/>
          <w:szCs w:val="24"/>
        </w:rPr>
        <w:t xml:space="preserve"> </w:t>
      </w:r>
    </w:p>
    <w:p w14:paraId="7C8DC969" w14:textId="555ABCC6" w:rsidR="00517E49" w:rsidRPr="002C568D" w:rsidRDefault="00517E49" w:rsidP="002C568D">
      <w:pPr>
        <w:spacing w:after="0" w:line="276" w:lineRule="auto"/>
        <w:ind w:firstLine="644"/>
        <w:jc w:val="both"/>
        <w:rPr>
          <w:rFonts w:ascii="Tahoma" w:eastAsia="Tahoma" w:hAnsi="Tahoma" w:cs="Tahoma"/>
          <w:sz w:val="24"/>
          <w:szCs w:val="24"/>
          <w:lang w:eastAsia="es-ES"/>
        </w:rPr>
      </w:pPr>
      <w:r w:rsidRPr="002C568D">
        <w:rPr>
          <w:rFonts w:ascii="Tahoma" w:eastAsia="Tahoma" w:hAnsi="Tahoma" w:cs="Tahoma"/>
          <w:b/>
          <w:bCs/>
          <w:sz w:val="24"/>
          <w:szCs w:val="24"/>
          <w:lang w:eastAsia="es-ES"/>
        </w:rPr>
        <w:t>PRIMERO</w:t>
      </w:r>
      <w:r w:rsidRPr="002C568D">
        <w:rPr>
          <w:rFonts w:ascii="Tahoma" w:eastAsia="Tahoma" w:hAnsi="Tahoma" w:cs="Tahoma"/>
          <w:sz w:val="24"/>
          <w:szCs w:val="24"/>
          <w:lang w:eastAsia="es-ES"/>
        </w:rPr>
        <w:t>: </w:t>
      </w:r>
      <w:r w:rsidR="00D45927" w:rsidRPr="002C568D">
        <w:rPr>
          <w:rFonts w:ascii="Tahoma" w:eastAsia="Tahoma" w:hAnsi="Tahoma" w:cs="Tahoma"/>
          <w:b/>
          <w:bCs/>
          <w:sz w:val="24"/>
          <w:szCs w:val="24"/>
          <w:lang w:eastAsia="es-ES"/>
        </w:rPr>
        <w:t xml:space="preserve">MODIFICAR </w:t>
      </w:r>
      <w:r w:rsidR="00D45927" w:rsidRPr="002C568D">
        <w:rPr>
          <w:rFonts w:ascii="Tahoma" w:eastAsia="Tahoma" w:hAnsi="Tahoma" w:cs="Tahoma"/>
          <w:sz w:val="24"/>
          <w:szCs w:val="24"/>
          <w:lang w:eastAsia="es-ES"/>
        </w:rPr>
        <w:t>los numerales primero y segundo de la sentencia recurrida de la siguiente manera:</w:t>
      </w:r>
    </w:p>
    <w:p w14:paraId="1508D2AC" w14:textId="77777777" w:rsidR="007D7629" w:rsidRPr="002C568D" w:rsidRDefault="007D7629" w:rsidP="002C568D">
      <w:pPr>
        <w:spacing w:after="0" w:line="276" w:lineRule="auto"/>
        <w:ind w:firstLine="644"/>
        <w:jc w:val="both"/>
        <w:rPr>
          <w:rFonts w:ascii="Tahoma" w:eastAsia="Tahoma" w:hAnsi="Tahoma" w:cs="Tahoma"/>
          <w:sz w:val="24"/>
          <w:szCs w:val="24"/>
          <w:lang w:eastAsia="es-ES"/>
        </w:rPr>
      </w:pPr>
    </w:p>
    <w:p w14:paraId="5F8B86FC" w14:textId="1E734FA1" w:rsidR="00E3793B" w:rsidRPr="002C568D" w:rsidRDefault="00E3793B" w:rsidP="00B04E0B">
      <w:pPr>
        <w:spacing w:after="0" w:line="276" w:lineRule="auto"/>
        <w:ind w:left="426" w:right="420"/>
        <w:jc w:val="both"/>
        <w:rPr>
          <w:rFonts w:ascii="Tahoma" w:hAnsi="Tahoma" w:cs="Tahoma"/>
          <w:i/>
          <w:iCs/>
          <w:sz w:val="24"/>
          <w:szCs w:val="24"/>
        </w:rPr>
      </w:pPr>
      <w:r w:rsidRPr="002C568D">
        <w:rPr>
          <w:rFonts w:ascii="Tahoma" w:hAnsi="Tahoma" w:cs="Tahoma"/>
          <w:i/>
          <w:iCs/>
          <w:sz w:val="24"/>
          <w:szCs w:val="24"/>
        </w:rPr>
        <w:t>“</w:t>
      </w:r>
      <w:r w:rsidR="00D45927" w:rsidRPr="002C568D">
        <w:rPr>
          <w:rFonts w:ascii="Tahoma" w:hAnsi="Tahoma" w:cs="Tahoma"/>
          <w:b/>
          <w:bCs/>
          <w:i/>
          <w:iCs/>
          <w:sz w:val="24"/>
          <w:szCs w:val="24"/>
        </w:rPr>
        <w:t>PRIMERO: DECLARAR</w:t>
      </w:r>
      <w:r w:rsidR="00D45927" w:rsidRPr="002C568D">
        <w:rPr>
          <w:rFonts w:ascii="Tahoma" w:hAnsi="Tahoma" w:cs="Tahoma"/>
          <w:i/>
          <w:iCs/>
          <w:sz w:val="24"/>
          <w:szCs w:val="24"/>
        </w:rPr>
        <w:t xml:space="preserve"> que el señor HENRY ALZATE GARCIA tiene derecho al </w:t>
      </w:r>
      <w:r w:rsidRPr="002C568D">
        <w:rPr>
          <w:rFonts w:ascii="Tahoma" w:hAnsi="Tahoma" w:cs="Tahoma"/>
          <w:i/>
          <w:iCs/>
          <w:sz w:val="24"/>
          <w:szCs w:val="24"/>
        </w:rPr>
        <w:t>reconocimiento y pago de la</w:t>
      </w:r>
      <w:r w:rsidR="00D45927" w:rsidRPr="002C568D">
        <w:rPr>
          <w:rFonts w:ascii="Tahoma" w:hAnsi="Tahoma" w:cs="Tahoma"/>
          <w:i/>
          <w:iCs/>
          <w:sz w:val="24"/>
          <w:szCs w:val="24"/>
        </w:rPr>
        <w:t xml:space="preserve"> pensión de vejez causada a </w:t>
      </w:r>
      <w:r w:rsidRPr="002C568D">
        <w:rPr>
          <w:rFonts w:ascii="Tahoma" w:hAnsi="Tahoma" w:cs="Tahoma"/>
          <w:i/>
          <w:iCs/>
          <w:sz w:val="24"/>
          <w:szCs w:val="24"/>
        </w:rPr>
        <w:t>p</w:t>
      </w:r>
      <w:r w:rsidR="00D45927" w:rsidRPr="002C568D">
        <w:rPr>
          <w:rFonts w:ascii="Tahoma" w:hAnsi="Tahoma" w:cs="Tahoma"/>
          <w:i/>
          <w:iCs/>
          <w:sz w:val="24"/>
          <w:szCs w:val="24"/>
        </w:rPr>
        <w:t xml:space="preserve">artir </w:t>
      </w:r>
      <w:r w:rsidRPr="002C568D">
        <w:rPr>
          <w:rFonts w:ascii="Tahoma" w:hAnsi="Tahoma" w:cs="Tahoma"/>
          <w:i/>
          <w:iCs/>
          <w:sz w:val="24"/>
          <w:szCs w:val="24"/>
        </w:rPr>
        <w:t>del 18 de</w:t>
      </w:r>
      <w:r w:rsidR="00D45927" w:rsidRPr="002C568D">
        <w:rPr>
          <w:rFonts w:ascii="Tahoma" w:hAnsi="Tahoma" w:cs="Tahoma"/>
          <w:i/>
          <w:iCs/>
          <w:sz w:val="24"/>
          <w:szCs w:val="24"/>
        </w:rPr>
        <w:t xml:space="preserve"> </w:t>
      </w:r>
      <w:r w:rsidRPr="002C568D">
        <w:rPr>
          <w:rFonts w:ascii="Tahoma" w:hAnsi="Tahoma" w:cs="Tahoma"/>
          <w:i/>
          <w:iCs/>
          <w:sz w:val="24"/>
          <w:szCs w:val="24"/>
        </w:rPr>
        <w:t>marzo</w:t>
      </w:r>
      <w:r w:rsidR="00D45927" w:rsidRPr="002C568D">
        <w:rPr>
          <w:rFonts w:ascii="Tahoma" w:hAnsi="Tahoma" w:cs="Tahoma"/>
          <w:i/>
          <w:iCs/>
          <w:sz w:val="24"/>
          <w:szCs w:val="24"/>
        </w:rPr>
        <w:t xml:space="preserve"> de 2019 y con fecha de disfrute solo a partir del</w:t>
      </w:r>
      <w:r w:rsidRPr="002C568D">
        <w:rPr>
          <w:rFonts w:ascii="Tahoma" w:hAnsi="Tahoma" w:cs="Tahoma"/>
          <w:i/>
          <w:iCs/>
          <w:sz w:val="24"/>
          <w:szCs w:val="24"/>
        </w:rPr>
        <w:t xml:space="preserve"> 21 de diciembre de 2019,</w:t>
      </w:r>
      <w:r w:rsidR="00D45927" w:rsidRPr="002C568D">
        <w:rPr>
          <w:rFonts w:ascii="Tahoma" w:hAnsi="Tahoma" w:cs="Tahoma"/>
          <w:i/>
          <w:iCs/>
          <w:sz w:val="24"/>
          <w:szCs w:val="24"/>
        </w:rPr>
        <w:t xml:space="preserve"> por</w:t>
      </w:r>
      <w:r w:rsidRPr="002C568D">
        <w:rPr>
          <w:rFonts w:ascii="Tahoma" w:hAnsi="Tahoma" w:cs="Tahoma"/>
          <w:i/>
          <w:iCs/>
          <w:sz w:val="24"/>
          <w:szCs w:val="24"/>
        </w:rPr>
        <w:t xml:space="preserve"> </w:t>
      </w:r>
      <w:r w:rsidR="00D45927" w:rsidRPr="002C568D">
        <w:rPr>
          <w:rFonts w:ascii="Tahoma" w:hAnsi="Tahoma" w:cs="Tahoma"/>
          <w:i/>
          <w:iCs/>
          <w:sz w:val="24"/>
          <w:szCs w:val="24"/>
        </w:rPr>
        <w:t>13 mesadas anuales y por un valor igual al SMMLV</w:t>
      </w:r>
      <w:r w:rsidRPr="002C568D">
        <w:rPr>
          <w:rFonts w:ascii="Tahoma" w:hAnsi="Tahoma" w:cs="Tahoma"/>
          <w:i/>
          <w:iCs/>
          <w:sz w:val="24"/>
          <w:szCs w:val="24"/>
        </w:rPr>
        <w:t>.</w:t>
      </w:r>
    </w:p>
    <w:p w14:paraId="48C28611" w14:textId="77777777" w:rsidR="007D7629" w:rsidRPr="002C568D" w:rsidRDefault="007D7629" w:rsidP="00B04E0B">
      <w:pPr>
        <w:spacing w:after="0" w:line="276" w:lineRule="auto"/>
        <w:ind w:left="426" w:right="420"/>
        <w:jc w:val="both"/>
        <w:rPr>
          <w:rFonts w:ascii="Tahoma" w:hAnsi="Tahoma" w:cs="Tahoma"/>
          <w:i/>
          <w:iCs/>
          <w:sz w:val="24"/>
          <w:szCs w:val="24"/>
        </w:rPr>
      </w:pPr>
    </w:p>
    <w:p w14:paraId="2C868D38" w14:textId="7921AD3D" w:rsidR="00D45927" w:rsidRPr="002C568D" w:rsidRDefault="00E3793B" w:rsidP="00B04E0B">
      <w:pPr>
        <w:spacing w:after="0" w:line="276" w:lineRule="auto"/>
        <w:ind w:left="426" w:right="420"/>
        <w:jc w:val="both"/>
        <w:rPr>
          <w:rFonts w:ascii="Tahoma" w:hAnsi="Tahoma" w:cs="Tahoma"/>
          <w:i/>
          <w:iCs/>
          <w:sz w:val="24"/>
          <w:szCs w:val="24"/>
        </w:rPr>
      </w:pPr>
      <w:r w:rsidRPr="00B04E0B">
        <w:rPr>
          <w:rFonts w:ascii="Tahoma" w:hAnsi="Tahoma" w:cs="Tahoma"/>
          <w:b/>
          <w:i/>
          <w:iCs/>
          <w:sz w:val="24"/>
          <w:szCs w:val="24"/>
        </w:rPr>
        <w:t>SEGUNDO:</w:t>
      </w:r>
      <w:r w:rsidRPr="002C568D">
        <w:rPr>
          <w:rFonts w:ascii="Tahoma" w:hAnsi="Tahoma" w:cs="Tahoma"/>
          <w:i/>
          <w:iCs/>
          <w:sz w:val="24"/>
          <w:szCs w:val="24"/>
        </w:rPr>
        <w:t xml:space="preserve"> Como consecuencia de lo anterior, </w:t>
      </w:r>
      <w:r w:rsidRPr="00B04E0B">
        <w:rPr>
          <w:rFonts w:ascii="Tahoma" w:hAnsi="Tahoma" w:cs="Tahoma"/>
          <w:b/>
          <w:i/>
          <w:iCs/>
          <w:sz w:val="24"/>
          <w:szCs w:val="24"/>
        </w:rPr>
        <w:t>CONDENAR</w:t>
      </w:r>
      <w:r w:rsidRPr="002C568D">
        <w:rPr>
          <w:rFonts w:ascii="Tahoma" w:hAnsi="Tahoma" w:cs="Tahoma"/>
          <w:i/>
          <w:iCs/>
          <w:sz w:val="24"/>
          <w:szCs w:val="24"/>
        </w:rPr>
        <w:t xml:space="preserve"> a la ADMINISTRADORA COLOMBIANA DE PENSIONES COLPENSIONES a reconocer y pagar al señor HENRY ALZATE GARCIA la suma de</w:t>
      </w:r>
      <w:r w:rsidR="006F3384" w:rsidRPr="002C568D">
        <w:rPr>
          <w:rFonts w:ascii="Tahoma" w:hAnsi="Tahoma" w:cs="Tahoma"/>
          <w:i/>
          <w:iCs/>
          <w:sz w:val="24"/>
          <w:szCs w:val="24"/>
        </w:rPr>
        <w:t xml:space="preserve"> $</w:t>
      </w:r>
      <w:r w:rsidRPr="002C568D">
        <w:rPr>
          <w:rFonts w:ascii="Tahoma" w:hAnsi="Tahoma" w:cs="Tahoma"/>
          <w:i/>
          <w:iCs/>
          <w:sz w:val="24"/>
          <w:szCs w:val="24"/>
        </w:rPr>
        <w:t xml:space="preserve"> </w:t>
      </w:r>
      <w:r w:rsidR="006F3384" w:rsidRPr="002C568D">
        <w:rPr>
          <w:rFonts w:ascii="Tahoma" w:hAnsi="Tahoma" w:cs="Tahoma"/>
          <w:i/>
          <w:iCs/>
          <w:sz w:val="24"/>
          <w:szCs w:val="24"/>
        </w:rPr>
        <w:t>21.324.815</w:t>
      </w:r>
      <w:r w:rsidRPr="002C568D">
        <w:rPr>
          <w:rFonts w:ascii="Tahoma" w:hAnsi="Tahoma" w:cs="Tahoma"/>
          <w:i/>
          <w:iCs/>
          <w:sz w:val="24"/>
          <w:szCs w:val="24"/>
        </w:rPr>
        <w:t xml:space="preserve"> por concepto de retroactivo pensional causado </w:t>
      </w:r>
      <w:bookmarkStart w:id="6" w:name="_Hlk88206182"/>
      <w:r w:rsidRPr="002C568D">
        <w:rPr>
          <w:rFonts w:ascii="Tahoma" w:hAnsi="Tahoma" w:cs="Tahoma"/>
          <w:i/>
          <w:iCs/>
          <w:sz w:val="24"/>
          <w:szCs w:val="24"/>
        </w:rPr>
        <w:t xml:space="preserve">desde el </w:t>
      </w:r>
      <w:r w:rsidRPr="002C568D">
        <w:rPr>
          <w:rFonts w:ascii="Tahoma" w:hAnsi="Tahoma" w:cs="Tahoma"/>
          <w:bCs/>
          <w:i/>
          <w:iCs/>
          <w:sz w:val="24"/>
          <w:szCs w:val="24"/>
        </w:rPr>
        <w:t>21 de diciembre de 2019, hasta el 3</w:t>
      </w:r>
      <w:r w:rsidR="006F3384" w:rsidRPr="002C568D">
        <w:rPr>
          <w:rFonts w:ascii="Tahoma" w:hAnsi="Tahoma" w:cs="Tahoma"/>
          <w:bCs/>
          <w:i/>
          <w:iCs/>
          <w:sz w:val="24"/>
          <w:szCs w:val="24"/>
        </w:rPr>
        <w:t>1</w:t>
      </w:r>
      <w:r w:rsidRPr="002C568D">
        <w:rPr>
          <w:rFonts w:ascii="Tahoma" w:hAnsi="Tahoma" w:cs="Tahoma"/>
          <w:bCs/>
          <w:i/>
          <w:iCs/>
          <w:sz w:val="24"/>
          <w:szCs w:val="24"/>
        </w:rPr>
        <w:t xml:space="preserve"> de octubre de 2021</w:t>
      </w:r>
      <w:bookmarkEnd w:id="6"/>
      <w:r w:rsidRPr="002C568D">
        <w:rPr>
          <w:rFonts w:ascii="Tahoma" w:hAnsi="Tahoma" w:cs="Tahoma"/>
          <w:bCs/>
          <w:i/>
          <w:iCs/>
          <w:sz w:val="24"/>
          <w:szCs w:val="24"/>
        </w:rPr>
        <w:t xml:space="preserve">, sin perjuicio de las que en adelante se continúen causando. </w:t>
      </w:r>
      <w:r w:rsidR="00856CDB" w:rsidRPr="002C568D">
        <w:rPr>
          <w:rFonts w:ascii="Tahoma" w:hAnsi="Tahoma" w:cs="Tahoma"/>
          <w:i/>
          <w:iCs/>
          <w:sz w:val="24"/>
          <w:szCs w:val="24"/>
        </w:rPr>
        <w:t>Se ordenará la</w:t>
      </w:r>
      <w:r w:rsidRPr="002C568D">
        <w:rPr>
          <w:rFonts w:ascii="Tahoma" w:hAnsi="Tahoma" w:cs="Tahoma"/>
          <w:i/>
          <w:iCs/>
          <w:sz w:val="24"/>
          <w:szCs w:val="24"/>
        </w:rPr>
        <w:t xml:space="preserve"> </w:t>
      </w:r>
      <w:r w:rsidR="00856CDB" w:rsidRPr="002C568D">
        <w:rPr>
          <w:rFonts w:ascii="Tahoma" w:hAnsi="Tahoma" w:cs="Tahoma"/>
          <w:i/>
          <w:iCs/>
          <w:sz w:val="24"/>
          <w:szCs w:val="24"/>
        </w:rPr>
        <w:t>indexación sobre</w:t>
      </w:r>
      <w:r w:rsidRPr="002C568D">
        <w:rPr>
          <w:rFonts w:ascii="Tahoma" w:hAnsi="Tahoma" w:cs="Tahoma"/>
          <w:i/>
          <w:iCs/>
          <w:sz w:val="24"/>
          <w:szCs w:val="24"/>
        </w:rPr>
        <w:t xml:space="preserve"> el retroactivo pensional desde la c</w:t>
      </w:r>
      <w:r w:rsidR="006F3384" w:rsidRPr="002C568D">
        <w:rPr>
          <w:rFonts w:ascii="Tahoma" w:hAnsi="Tahoma" w:cs="Tahoma"/>
          <w:i/>
          <w:iCs/>
          <w:sz w:val="24"/>
          <w:szCs w:val="24"/>
        </w:rPr>
        <w:t>au</w:t>
      </w:r>
      <w:r w:rsidRPr="002C568D">
        <w:rPr>
          <w:rFonts w:ascii="Tahoma" w:hAnsi="Tahoma" w:cs="Tahoma"/>
          <w:i/>
          <w:iCs/>
          <w:sz w:val="24"/>
          <w:szCs w:val="24"/>
        </w:rPr>
        <w:t xml:space="preserve">sación </w:t>
      </w:r>
      <w:r w:rsidR="00B04E0B" w:rsidRPr="002C568D">
        <w:rPr>
          <w:rFonts w:ascii="Tahoma" w:hAnsi="Tahoma" w:cs="Tahoma"/>
          <w:i/>
          <w:iCs/>
          <w:sz w:val="24"/>
          <w:szCs w:val="24"/>
        </w:rPr>
        <w:t>de cada</w:t>
      </w:r>
      <w:r w:rsidRPr="002C568D">
        <w:rPr>
          <w:rFonts w:ascii="Tahoma" w:hAnsi="Tahoma" w:cs="Tahoma"/>
          <w:i/>
          <w:iCs/>
          <w:sz w:val="24"/>
          <w:szCs w:val="24"/>
        </w:rPr>
        <w:t xml:space="preserve"> mesada hasta la fecha efectiva de su pago, acorde a la fórmula acogida y memorada por la Corte Suprema De Justicia En Su Sala Laboral en providencia SL1511-2018.”</w:t>
      </w:r>
    </w:p>
    <w:p w14:paraId="6674C10C" w14:textId="77777777" w:rsidR="00517E49" w:rsidRPr="002C568D" w:rsidRDefault="00517E49" w:rsidP="002C568D">
      <w:pPr>
        <w:spacing w:after="0" w:line="276" w:lineRule="auto"/>
        <w:ind w:firstLine="705"/>
        <w:jc w:val="both"/>
        <w:textAlignment w:val="baseline"/>
        <w:rPr>
          <w:rFonts w:ascii="Tahoma" w:eastAsia="Times New Roman" w:hAnsi="Tahoma" w:cs="Tahoma"/>
          <w:b/>
          <w:bCs/>
          <w:sz w:val="24"/>
          <w:szCs w:val="24"/>
          <w:lang w:eastAsia="es-ES"/>
        </w:rPr>
      </w:pPr>
      <w:r w:rsidRPr="002C568D">
        <w:rPr>
          <w:rFonts w:ascii="Tahoma" w:eastAsia="Times New Roman" w:hAnsi="Tahoma" w:cs="Tahoma"/>
          <w:b/>
          <w:bCs/>
          <w:sz w:val="24"/>
          <w:szCs w:val="24"/>
          <w:lang w:eastAsia="es-ES"/>
        </w:rPr>
        <w:t xml:space="preserve"> </w:t>
      </w:r>
    </w:p>
    <w:p w14:paraId="1E3FA495" w14:textId="1DA4CBAD" w:rsidR="00152D22" w:rsidRPr="002C568D" w:rsidRDefault="00517E49" w:rsidP="002C568D">
      <w:pPr>
        <w:spacing w:after="0" w:line="276" w:lineRule="auto"/>
        <w:ind w:firstLine="644"/>
        <w:jc w:val="both"/>
        <w:rPr>
          <w:rFonts w:ascii="Tahoma" w:eastAsia="Tahoma" w:hAnsi="Tahoma" w:cs="Tahoma"/>
          <w:sz w:val="24"/>
          <w:szCs w:val="24"/>
          <w:lang w:eastAsia="es-ES"/>
        </w:rPr>
      </w:pPr>
      <w:r w:rsidRPr="002C568D">
        <w:rPr>
          <w:rFonts w:ascii="Tahoma" w:eastAsia="Tahoma" w:hAnsi="Tahoma" w:cs="Tahoma"/>
          <w:b/>
          <w:bCs/>
          <w:sz w:val="24"/>
          <w:szCs w:val="24"/>
          <w:lang w:eastAsia="es-ES"/>
        </w:rPr>
        <w:t>SEGUNDO</w:t>
      </w:r>
      <w:r w:rsidRPr="002C568D">
        <w:rPr>
          <w:rFonts w:ascii="Tahoma" w:eastAsia="Tahoma" w:hAnsi="Tahoma" w:cs="Tahoma"/>
          <w:sz w:val="24"/>
          <w:szCs w:val="24"/>
          <w:lang w:eastAsia="es-ES"/>
        </w:rPr>
        <w:t xml:space="preserve">: </w:t>
      </w:r>
      <w:r w:rsidR="00152D22" w:rsidRPr="002C568D">
        <w:rPr>
          <w:rFonts w:ascii="Tahoma" w:eastAsia="Tahoma" w:hAnsi="Tahoma" w:cs="Tahoma"/>
          <w:sz w:val="24"/>
          <w:szCs w:val="24"/>
          <w:lang w:eastAsia="es-ES"/>
        </w:rPr>
        <w:t>CONFIRMAR en todo lo demás la sentencia de primera instancia.</w:t>
      </w:r>
    </w:p>
    <w:p w14:paraId="6E30E91E" w14:textId="77777777" w:rsidR="007D7629" w:rsidRPr="002C568D" w:rsidRDefault="007D7629" w:rsidP="002C568D">
      <w:pPr>
        <w:spacing w:after="0" w:line="276" w:lineRule="auto"/>
        <w:ind w:firstLine="644"/>
        <w:jc w:val="both"/>
        <w:rPr>
          <w:rFonts w:ascii="Tahoma" w:eastAsia="Tahoma" w:hAnsi="Tahoma" w:cs="Tahoma"/>
          <w:b/>
          <w:bCs/>
          <w:sz w:val="24"/>
          <w:szCs w:val="24"/>
          <w:lang w:eastAsia="es-ES"/>
        </w:rPr>
      </w:pPr>
    </w:p>
    <w:p w14:paraId="56267294" w14:textId="699E04F4" w:rsidR="00152D22" w:rsidRPr="002C568D" w:rsidRDefault="00152D22" w:rsidP="002C568D">
      <w:pPr>
        <w:spacing w:after="0" w:line="276" w:lineRule="auto"/>
        <w:ind w:firstLine="644"/>
        <w:jc w:val="both"/>
        <w:rPr>
          <w:rFonts w:ascii="Tahoma" w:eastAsia="Tahoma" w:hAnsi="Tahoma" w:cs="Tahoma"/>
          <w:sz w:val="24"/>
          <w:szCs w:val="24"/>
          <w:lang w:eastAsia="es-ES"/>
        </w:rPr>
      </w:pPr>
      <w:r w:rsidRPr="002C568D">
        <w:rPr>
          <w:rFonts w:ascii="Tahoma" w:eastAsia="Tahoma" w:hAnsi="Tahoma" w:cs="Tahoma"/>
          <w:b/>
          <w:bCs/>
          <w:sz w:val="24"/>
          <w:szCs w:val="24"/>
          <w:lang w:eastAsia="es-ES"/>
        </w:rPr>
        <w:t xml:space="preserve">TERCERO: </w:t>
      </w:r>
      <w:r w:rsidRPr="002C568D">
        <w:rPr>
          <w:rFonts w:ascii="Tahoma" w:eastAsia="Tahoma" w:hAnsi="Tahoma" w:cs="Tahoma"/>
          <w:sz w:val="24"/>
          <w:szCs w:val="24"/>
          <w:lang w:eastAsia="es-ES"/>
        </w:rPr>
        <w:t>Sin costas en esta instancia procesal.</w:t>
      </w:r>
    </w:p>
    <w:p w14:paraId="77F89549" w14:textId="3C77E06A" w:rsidR="1B4704F1" w:rsidRPr="002C568D" w:rsidRDefault="1B4704F1" w:rsidP="002C568D">
      <w:pPr>
        <w:spacing w:after="0" w:line="276" w:lineRule="auto"/>
        <w:jc w:val="both"/>
        <w:textAlignment w:val="baseline"/>
        <w:rPr>
          <w:rFonts w:ascii="Tahoma" w:hAnsi="Tahoma" w:cs="Tahoma"/>
          <w:sz w:val="24"/>
          <w:szCs w:val="24"/>
        </w:rPr>
      </w:pPr>
      <w:r w:rsidRPr="002C568D">
        <w:rPr>
          <w:rFonts w:ascii="Tahoma" w:eastAsia="Tahoma" w:hAnsi="Tahoma" w:cs="Tahoma"/>
          <w:b/>
          <w:bCs/>
          <w:sz w:val="24"/>
          <w:szCs w:val="24"/>
        </w:rPr>
        <w:t xml:space="preserve">  </w:t>
      </w:r>
    </w:p>
    <w:p w14:paraId="2BEEA957" w14:textId="026E29E6" w:rsidR="1B4704F1" w:rsidRPr="002C568D" w:rsidRDefault="1B4704F1" w:rsidP="002C568D">
      <w:pPr>
        <w:spacing w:after="0" w:line="276" w:lineRule="auto"/>
        <w:jc w:val="center"/>
        <w:rPr>
          <w:rFonts w:ascii="Tahoma" w:hAnsi="Tahoma" w:cs="Tahoma"/>
          <w:sz w:val="24"/>
          <w:szCs w:val="24"/>
        </w:rPr>
      </w:pPr>
      <w:r w:rsidRPr="002C568D">
        <w:rPr>
          <w:rFonts w:ascii="Tahoma" w:eastAsia="Tahoma" w:hAnsi="Tahoma" w:cs="Tahoma"/>
          <w:b/>
          <w:bCs/>
          <w:sz w:val="24"/>
          <w:szCs w:val="24"/>
        </w:rPr>
        <w:t>NOTIFÍQUESE Y CÚMPLASE</w:t>
      </w:r>
    </w:p>
    <w:p w14:paraId="4FE09821" w14:textId="77777777" w:rsidR="002C568D" w:rsidRPr="005A7B4B" w:rsidRDefault="002C568D" w:rsidP="002C568D">
      <w:pPr>
        <w:pStyle w:val="paragraph"/>
        <w:spacing w:before="0" w:beforeAutospacing="0" w:after="0" w:afterAutospacing="0" w:line="276" w:lineRule="auto"/>
        <w:textAlignment w:val="baseline"/>
        <w:rPr>
          <w:rFonts w:ascii="Tahoma" w:hAnsi="Tahoma" w:cs="Tahoma"/>
        </w:rPr>
      </w:pPr>
    </w:p>
    <w:p w14:paraId="76391582" w14:textId="77777777" w:rsidR="002C568D" w:rsidRPr="005A7B4B" w:rsidRDefault="002C568D" w:rsidP="002C568D">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A7B4B">
        <w:rPr>
          <w:rFonts w:ascii="Tahoma" w:eastAsia="Times New Roman" w:hAnsi="Tahoma" w:cs="Tahoma"/>
          <w:sz w:val="24"/>
          <w:szCs w:val="24"/>
          <w:lang w:val="es-ES" w:eastAsia="es-ES"/>
        </w:rPr>
        <w:tab/>
        <w:t>La Magistrada ponente,</w:t>
      </w:r>
    </w:p>
    <w:p w14:paraId="06FB0F2C" w14:textId="77777777" w:rsidR="002C568D" w:rsidRPr="005A7B4B" w:rsidRDefault="002C568D" w:rsidP="002C568D">
      <w:pPr>
        <w:spacing w:after="0" w:line="276" w:lineRule="auto"/>
        <w:rPr>
          <w:rFonts w:ascii="Tahoma" w:eastAsia="Times New Roman" w:hAnsi="Tahoma" w:cs="Tahoma"/>
          <w:sz w:val="24"/>
          <w:szCs w:val="24"/>
          <w:lang w:val="es-ES" w:eastAsia="es-ES"/>
        </w:rPr>
      </w:pPr>
    </w:p>
    <w:p w14:paraId="6881B0AC" w14:textId="77777777" w:rsidR="002C568D" w:rsidRPr="005A7B4B" w:rsidRDefault="002C568D" w:rsidP="002C568D">
      <w:pPr>
        <w:spacing w:after="0" w:line="276" w:lineRule="auto"/>
        <w:rPr>
          <w:rFonts w:ascii="Tahoma" w:eastAsia="Times New Roman" w:hAnsi="Tahoma" w:cs="Tahoma"/>
          <w:sz w:val="24"/>
          <w:szCs w:val="24"/>
          <w:lang w:val="es-ES" w:eastAsia="es-ES"/>
        </w:rPr>
      </w:pPr>
    </w:p>
    <w:p w14:paraId="52639E56" w14:textId="77777777" w:rsidR="002C568D" w:rsidRPr="005A7B4B" w:rsidRDefault="002C568D" w:rsidP="002C568D">
      <w:pPr>
        <w:spacing w:after="0" w:line="276" w:lineRule="auto"/>
        <w:rPr>
          <w:rFonts w:ascii="Tahoma" w:eastAsia="Times New Roman" w:hAnsi="Tahoma" w:cs="Tahoma"/>
          <w:sz w:val="24"/>
          <w:szCs w:val="24"/>
          <w:lang w:val="es-ES" w:eastAsia="es-ES"/>
        </w:rPr>
      </w:pPr>
    </w:p>
    <w:p w14:paraId="52BE19A4" w14:textId="77777777" w:rsidR="002C568D" w:rsidRPr="005A7B4B" w:rsidRDefault="002C568D" w:rsidP="002C568D">
      <w:pPr>
        <w:keepNext/>
        <w:spacing w:after="0" w:line="276" w:lineRule="auto"/>
        <w:jc w:val="center"/>
        <w:outlineLvl w:val="2"/>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ANA LUCÍA CAICEDO CALDERÓN</w:t>
      </w:r>
    </w:p>
    <w:p w14:paraId="61EA7E98" w14:textId="77777777" w:rsidR="002C568D" w:rsidRPr="005A7B4B" w:rsidRDefault="002C568D" w:rsidP="002C568D">
      <w:pPr>
        <w:spacing w:after="0" w:line="276" w:lineRule="auto"/>
        <w:rPr>
          <w:rFonts w:ascii="Tahoma" w:eastAsia="Times New Roman" w:hAnsi="Tahoma" w:cs="Tahoma"/>
          <w:sz w:val="24"/>
          <w:szCs w:val="24"/>
          <w:lang w:val="es-ES" w:eastAsia="es-ES"/>
        </w:rPr>
      </w:pPr>
    </w:p>
    <w:p w14:paraId="7C077B23" w14:textId="77777777" w:rsidR="002C568D" w:rsidRPr="005A7B4B" w:rsidRDefault="002C568D" w:rsidP="002C568D">
      <w:pPr>
        <w:spacing w:after="0" w:line="276" w:lineRule="auto"/>
        <w:ind w:firstLine="708"/>
        <w:rPr>
          <w:rFonts w:ascii="Tahoma" w:eastAsia="Times New Roman" w:hAnsi="Tahoma" w:cs="Tahoma"/>
          <w:sz w:val="24"/>
          <w:szCs w:val="24"/>
          <w:lang w:val="es-ES" w:eastAsia="es-ES"/>
        </w:rPr>
      </w:pPr>
      <w:bookmarkStart w:id="7" w:name="_Hlk62478330"/>
      <w:r w:rsidRPr="005A7B4B">
        <w:rPr>
          <w:rFonts w:ascii="Tahoma" w:eastAsia="Times New Roman" w:hAnsi="Tahoma" w:cs="Tahoma"/>
          <w:sz w:val="24"/>
          <w:szCs w:val="24"/>
          <w:lang w:val="es-ES" w:eastAsia="es-ES"/>
        </w:rPr>
        <w:t>La Magistrada y el Magistrado,</w:t>
      </w:r>
    </w:p>
    <w:p w14:paraId="460BD976" w14:textId="77777777" w:rsidR="002C568D" w:rsidRPr="005A7B4B" w:rsidRDefault="002C568D" w:rsidP="002C568D">
      <w:pPr>
        <w:spacing w:after="0" w:line="276" w:lineRule="auto"/>
        <w:rPr>
          <w:rFonts w:ascii="Tahoma" w:eastAsia="Times New Roman" w:hAnsi="Tahoma" w:cs="Tahoma"/>
          <w:sz w:val="24"/>
          <w:szCs w:val="24"/>
          <w:lang w:val="es-ES" w:eastAsia="es-ES"/>
        </w:rPr>
      </w:pPr>
    </w:p>
    <w:p w14:paraId="4FA26580" w14:textId="77777777" w:rsidR="002C568D" w:rsidRPr="005A7B4B" w:rsidRDefault="002C568D" w:rsidP="002C568D">
      <w:pPr>
        <w:spacing w:after="0" w:line="276" w:lineRule="auto"/>
        <w:rPr>
          <w:rFonts w:ascii="Tahoma" w:eastAsia="Times New Roman" w:hAnsi="Tahoma" w:cs="Tahoma"/>
          <w:sz w:val="24"/>
          <w:szCs w:val="24"/>
          <w:lang w:val="es-ES" w:eastAsia="es-ES"/>
        </w:rPr>
      </w:pPr>
    </w:p>
    <w:p w14:paraId="241CACFA" w14:textId="77777777" w:rsidR="002C568D" w:rsidRPr="005A7B4B" w:rsidRDefault="002C568D" w:rsidP="002C568D">
      <w:pPr>
        <w:spacing w:after="0" w:line="276" w:lineRule="auto"/>
        <w:rPr>
          <w:rFonts w:ascii="Tahoma" w:eastAsia="Times New Roman" w:hAnsi="Tahoma" w:cs="Tahoma"/>
          <w:sz w:val="24"/>
          <w:szCs w:val="24"/>
          <w:lang w:val="es-ES" w:eastAsia="es-ES"/>
        </w:rPr>
      </w:pPr>
    </w:p>
    <w:p w14:paraId="1DD0193E" w14:textId="4CBE0D39" w:rsidR="0073142B" w:rsidRPr="002C568D" w:rsidRDefault="002C568D" w:rsidP="002C568D">
      <w:pPr>
        <w:spacing w:after="0" w:line="276" w:lineRule="auto"/>
        <w:jc w:val="both"/>
        <w:rPr>
          <w:rFonts w:ascii="Tahoma" w:eastAsia="Times New Roman" w:hAnsi="Tahoma" w:cs="Tahoma"/>
          <w:b/>
          <w:bCs/>
          <w:sz w:val="24"/>
          <w:szCs w:val="24"/>
          <w:lang w:val="es-ES" w:eastAsia="es-ES"/>
        </w:rPr>
      </w:pPr>
      <w:r w:rsidRPr="005A7B4B">
        <w:rPr>
          <w:rFonts w:ascii="Tahoma" w:eastAsia="Times New Roman" w:hAnsi="Tahoma" w:cs="Tahoma"/>
          <w:b/>
          <w:bCs/>
          <w:sz w:val="24"/>
          <w:szCs w:val="24"/>
          <w:lang w:val="es-ES" w:eastAsia="es-ES"/>
        </w:rPr>
        <w:t>GERMÁN DARÍO GÓEZ VINASCO</w:t>
      </w:r>
      <w:bookmarkEnd w:id="7"/>
      <w:r w:rsidRPr="005A7B4B">
        <w:rPr>
          <w:rFonts w:ascii="Tahoma" w:eastAsia="Times New Roman" w:hAnsi="Tahoma" w:cs="Tahoma"/>
          <w:b/>
          <w:bCs/>
          <w:sz w:val="24"/>
          <w:szCs w:val="24"/>
          <w:lang w:val="es-ES" w:eastAsia="es-ES"/>
        </w:rPr>
        <w:tab/>
      </w:r>
      <w:r w:rsidRPr="005A7B4B">
        <w:rPr>
          <w:rFonts w:ascii="Tahoma" w:eastAsia="Times New Roman" w:hAnsi="Tahoma" w:cs="Tahoma"/>
          <w:b/>
          <w:bCs/>
          <w:sz w:val="24"/>
          <w:szCs w:val="24"/>
          <w:lang w:val="es-ES" w:eastAsia="es-ES"/>
        </w:rPr>
        <w:tab/>
        <w:t>OLGA LUCÍA HOYOS SEPÚLVEDA</w:t>
      </w:r>
    </w:p>
    <w:sectPr w:rsidR="0073142B" w:rsidRPr="002C568D" w:rsidSect="00DF1E04">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63BCEA" w16cex:dateUtc="2021-11-24T14:01:19.613Z"/>
  <w16cex:commentExtensible w16cex:durableId="4DFD91CB" w16cex:dateUtc="2021-11-24T14:02:40.071Z"/>
  <w16cex:commentExtensible w16cex:durableId="63EC0A84" w16cex:dateUtc="2021-11-29T14:12:20.8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45941" w14:textId="77777777" w:rsidR="00A07F33" w:rsidRDefault="00A07F33" w:rsidP="00C23186">
      <w:pPr>
        <w:spacing w:after="0" w:line="240" w:lineRule="auto"/>
      </w:pPr>
      <w:r>
        <w:separator/>
      </w:r>
    </w:p>
  </w:endnote>
  <w:endnote w:type="continuationSeparator" w:id="0">
    <w:p w14:paraId="4FF95C8F" w14:textId="77777777" w:rsidR="00A07F33" w:rsidRDefault="00A07F33" w:rsidP="00C2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2C59C" w14:textId="77777777" w:rsidR="00A07F33" w:rsidRDefault="00A07F33" w:rsidP="00C23186">
      <w:pPr>
        <w:spacing w:after="0" w:line="240" w:lineRule="auto"/>
      </w:pPr>
      <w:r>
        <w:separator/>
      </w:r>
    </w:p>
  </w:footnote>
  <w:footnote w:type="continuationSeparator" w:id="0">
    <w:p w14:paraId="7306FC3C" w14:textId="77777777" w:rsidR="00A07F33" w:rsidRDefault="00A07F33" w:rsidP="00C23186">
      <w:pPr>
        <w:spacing w:after="0" w:line="240" w:lineRule="auto"/>
      </w:pPr>
      <w:r>
        <w:continuationSeparator/>
      </w:r>
    </w:p>
  </w:footnote>
  <w:footnote w:id="1">
    <w:p w14:paraId="116DE576" w14:textId="08CA31F8" w:rsidR="003F6075" w:rsidRPr="00725584" w:rsidRDefault="003F6075" w:rsidP="00725584">
      <w:pPr>
        <w:pStyle w:val="Textonotapie"/>
        <w:jc w:val="both"/>
        <w:rPr>
          <w:rFonts w:ascii="Arial" w:hAnsi="Arial" w:cs="Arial"/>
          <w:sz w:val="18"/>
          <w:szCs w:val="18"/>
          <w:lang w:val="es-ES"/>
        </w:rPr>
      </w:pPr>
      <w:r w:rsidRPr="00725584">
        <w:rPr>
          <w:rStyle w:val="Refdenotaalpie"/>
          <w:rFonts w:ascii="Arial" w:hAnsi="Arial" w:cs="Arial"/>
          <w:sz w:val="18"/>
          <w:szCs w:val="18"/>
        </w:rPr>
        <w:footnoteRef/>
      </w:r>
      <w:r w:rsidRPr="00725584">
        <w:rPr>
          <w:rFonts w:ascii="Arial" w:hAnsi="Arial" w:cs="Arial"/>
          <w:sz w:val="18"/>
          <w:szCs w:val="18"/>
        </w:rPr>
        <w:t xml:space="preserve"> </w:t>
      </w:r>
      <w:r w:rsidRPr="00725584">
        <w:rPr>
          <w:rFonts w:ascii="Arial" w:hAnsi="Arial" w:cs="Arial"/>
          <w:sz w:val="18"/>
          <w:szCs w:val="18"/>
          <w:lang w:val="es-ES"/>
        </w:rPr>
        <w:t>Sentencia SL 537 de 2019. Rad. 65813 de 2019 M.P Omar de Jesús Restrepo Ochoa.</w:t>
      </w:r>
    </w:p>
  </w:footnote>
  <w:footnote w:id="2">
    <w:p w14:paraId="59E68595" w14:textId="6351778A" w:rsidR="00D65E91" w:rsidRPr="00725584" w:rsidRDefault="00D65E91" w:rsidP="00725584">
      <w:pPr>
        <w:pStyle w:val="Textonotapie"/>
        <w:jc w:val="both"/>
        <w:rPr>
          <w:rFonts w:ascii="Arial" w:hAnsi="Arial" w:cs="Arial"/>
          <w:sz w:val="18"/>
          <w:szCs w:val="18"/>
          <w:lang w:val="es-ES"/>
        </w:rPr>
      </w:pPr>
      <w:r w:rsidRPr="00725584">
        <w:rPr>
          <w:rStyle w:val="Refdenotaalpie"/>
          <w:rFonts w:ascii="Arial" w:hAnsi="Arial" w:cs="Arial"/>
          <w:sz w:val="18"/>
          <w:szCs w:val="18"/>
        </w:rPr>
        <w:footnoteRef/>
      </w:r>
      <w:r w:rsidRPr="00725584">
        <w:rPr>
          <w:rFonts w:ascii="Arial" w:hAnsi="Arial" w:cs="Arial"/>
          <w:sz w:val="18"/>
          <w:szCs w:val="18"/>
        </w:rPr>
        <w:t xml:space="preserve"> </w:t>
      </w:r>
      <w:r w:rsidRPr="00725584">
        <w:rPr>
          <w:rFonts w:ascii="Arial" w:hAnsi="Arial" w:cs="Arial"/>
          <w:sz w:val="18"/>
          <w:szCs w:val="18"/>
          <w:lang w:val="es-ES"/>
        </w:rPr>
        <w:t xml:space="preserve">Sentencia SL 1889 de 2021. Rad. </w:t>
      </w:r>
      <w:r w:rsidR="003F6075" w:rsidRPr="00725584">
        <w:rPr>
          <w:rFonts w:ascii="Arial" w:hAnsi="Arial" w:cs="Arial"/>
          <w:sz w:val="18"/>
          <w:szCs w:val="18"/>
          <w:lang w:val="es-ES"/>
        </w:rPr>
        <w:t xml:space="preserve">81240 </w:t>
      </w:r>
      <w:r w:rsidR="00B16EC0" w:rsidRPr="00725584">
        <w:rPr>
          <w:rFonts w:ascii="Arial" w:hAnsi="Arial" w:cs="Arial"/>
          <w:sz w:val="18"/>
          <w:szCs w:val="18"/>
          <w:lang w:val="es-ES"/>
        </w:rPr>
        <w:t xml:space="preserve">M.P </w:t>
      </w:r>
      <w:r w:rsidR="003F6075" w:rsidRPr="00725584">
        <w:rPr>
          <w:rFonts w:ascii="Arial" w:hAnsi="Arial" w:cs="Arial"/>
          <w:sz w:val="18"/>
          <w:szCs w:val="18"/>
          <w:lang w:val="es-ES"/>
        </w:rPr>
        <w:t>Omar de Jesús Restrepo Ochoa.</w:t>
      </w:r>
    </w:p>
  </w:footnote>
  <w:footnote w:id="3">
    <w:p w14:paraId="7134CD78" w14:textId="70A3DE40" w:rsidR="003E04E8" w:rsidRPr="00725584" w:rsidRDefault="003E04E8" w:rsidP="00725584">
      <w:pPr>
        <w:spacing w:after="0" w:line="240" w:lineRule="auto"/>
        <w:jc w:val="both"/>
        <w:rPr>
          <w:rFonts w:ascii="Arial" w:hAnsi="Arial" w:cs="Arial"/>
          <w:i/>
          <w:sz w:val="18"/>
          <w:szCs w:val="18"/>
          <w:lang w:val="es-ES"/>
        </w:rPr>
      </w:pPr>
      <w:r w:rsidRPr="00725584">
        <w:rPr>
          <w:rStyle w:val="Refdenotaalpie"/>
          <w:rFonts w:ascii="Arial" w:hAnsi="Arial" w:cs="Arial"/>
          <w:sz w:val="18"/>
          <w:szCs w:val="18"/>
        </w:rPr>
        <w:footnoteRef/>
      </w:r>
      <w:r w:rsidRPr="00725584">
        <w:rPr>
          <w:rFonts w:ascii="Arial" w:hAnsi="Arial" w:cs="Arial"/>
          <w:sz w:val="18"/>
          <w:szCs w:val="18"/>
        </w:rPr>
        <w:t xml:space="preserve"> A propósito del tema, en sentencia del 6/05/16, Rad. 2013-0355, con ponencia de quien aquí cumple igual encargo, señaló esta Corporación: </w:t>
      </w:r>
      <w:r w:rsidRPr="00725584">
        <w:rPr>
          <w:rFonts w:ascii="Arial" w:hAnsi="Arial" w:cs="Arial"/>
          <w:i/>
          <w:sz w:val="18"/>
          <w:szCs w:val="18"/>
        </w:rPr>
        <w:t xml:space="preserve">“no tiene la misma responsabilidad el empleador que afilia al trabajador, pero se encuentra en mora en el pago de algunas cotizaciones, que el patrono que no afilia a sus trabajadores, porque el empleador en mora tiene la posibilidad de cancelar los aportes que adeuda y así liberarse de la carga de las contingencias cubiertas por el Sistema. </w:t>
      </w:r>
    </w:p>
  </w:footnote>
  <w:footnote w:id="4">
    <w:p w14:paraId="6084FBF5" w14:textId="3C3C6612" w:rsidR="003E04E8" w:rsidRPr="00725584" w:rsidRDefault="003E04E8" w:rsidP="00725584">
      <w:pPr>
        <w:spacing w:after="0" w:line="240" w:lineRule="auto"/>
        <w:jc w:val="both"/>
        <w:rPr>
          <w:rFonts w:ascii="Arial" w:hAnsi="Arial" w:cs="Arial"/>
          <w:sz w:val="18"/>
          <w:szCs w:val="18"/>
        </w:rPr>
      </w:pPr>
      <w:r w:rsidRPr="00725584">
        <w:rPr>
          <w:rStyle w:val="Refdenotaalpie"/>
          <w:rFonts w:ascii="Arial" w:hAnsi="Arial" w:cs="Arial"/>
          <w:sz w:val="18"/>
          <w:szCs w:val="18"/>
        </w:rPr>
        <w:footnoteRef/>
      </w:r>
      <w:r w:rsidRPr="00725584">
        <w:rPr>
          <w:rFonts w:ascii="Arial" w:hAnsi="Arial" w:cs="Arial"/>
          <w:sz w:val="18"/>
          <w:szCs w:val="18"/>
        </w:rPr>
        <w:t xml:space="preserve"> Al respecto ha señalado la C.S.J.: “</w:t>
      </w:r>
      <w:r w:rsidRPr="00725584">
        <w:rPr>
          <w:rFonts w:ascii="Arial" w:hAnsi="Arial" w:cs="Arial"/>
          <w:i/>
          <w:sz w:val="18"/>
          <w:szCs w:val="18"/>
        </w:rPr>
        <w:t xml:space="preserve">La demora o incumplimiento en el pago de los aportes, por parte del empleador, no puede acarrear para el trabajador la funesta consecuencia de perder las semanas pues la entidad de seguridad social encargada de recibir los aportes dispone de los mecanismos idóneos para procurar su pago, o para hacer el cobro de los intereses moratorios causados con ocasión de la extemporaneidad en las cotizaciones. No es posible que la negligencia de la entidad de seguridad social deba trasladarle consecuencias negativas al afiliado, como la de impedir que se reconozca la prestación por falta del número mínimo de aportes, además porque el trabajador, se ampara en el principio de confianza legítima y de buena fe, en el sentido de considerar que las cotizaciones que debió realizar el empleador, y de las que nunca le fue reportada alguna anomalía, son válidas. </w:t>
      </w:r>
      <w:r w:rsidRPr="00725584">
        <w:rPr>
          <w:rFonts w:ascii="Arial" w:hAnsi="Arial" w:cs="Arial"/>
          <w:sz w:val="18"/>
          <w:szCs w:val="18"/>
        </w:rPr>
        <w:t>(Sentencia 41023 de 2011 Corte Suprema de Justicia).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CCD2" w14:textId="52A77B00" w:rsidR="00C548AE" w:rsidRPr="002C568D" w:rsidRDefault="00C548AE" w:rsidP="00725584">
    <w:pPr>
      <w:widowControl w:val="0"/>
      <w:autoSpaceDE w:val="0"/>
      <w:autoSpaceDN w:val="0"/>
      <w:spacing w:after="0" w:line="240" w:lineRule="auto"/>
      <w:rPr>
        <w:rFonts w:ascii="Arial" w:eastAsia="Tahoma" w:hAnsi="Arial" w:cs="Arial"/>
        <w:sz w:val="18"/>
        <w:szCs w:val="16"/>
        <w:lang w:val="es"/>
      </w:rPr>
    </w:pPr>
    <w:r w:rsidRPr="002C568D">
      <w:rPr>
        <w:rFonts w:ascii="Arial" w:eastAsia="Tahoma" w:hAnsi="Arial" w:cs="Arial"/>
        <w:sz w:val="18"/>
        <w:szCs w:val="16"/>
        <w:lang w:val="es"/>
      </w:rPr>
      <w:t>Radicación No.:</w:t>
    </w:r>
    <w:r w:rsidR="00725584">
      <w:rPr>
        <w:rFonts w:ascii="Arial" w:eastAsia="Tahoma" w:hAnsi="Arial" w:cs="Arial"/>
        <w:sz w:val="18"/>
        <w:szCs w:val="16"/>
        <w:lang w:val="es"/>
      </w:rPr>
      <w:tab/>
    </w:r>
    <w:r w:rsidRPr="002C568D">
      <w:rPr>
        <w:rFonts w:ascii="Arial" w:eastAsia="Tahoma" w:hAnsi="Arial" w:cs="Arial"/>
        <w:sz w:val="18"/>
        <w:szCs w:val="16"/>
        <w:lang w:val="es"/>
      </w:rPr>
      <w:t>66001-31-05-004-2021-00036-01</w:t>
    </w:r>
  </w:p>
  <w:p w14:paraId="5D6FDFF0" w14:textId="6E9A4091" w:rsidR="00C548AE" w:rsidRPr="002C568D" w:rsidRDefault="00C548AE" w:rsidP="00725584">
    <w:pPr>
      <w:widowControl w:val="0"/>
      <w:autoSpaceDE w:val="0"/>
      <w:autoSpaceDN w:val="0"/>
      <w:spacing w:after="0" w:line="240" w:lineRule="auto"/>
      <w:rPr>
        <w:rFonts w:ascii="Arial" w:eastAsia="Tahoma" w:hAnsi="Arial" w:cs="Arial"/>
        <w:sz w:val="18"/>
        <w:szCs w:val="16"/>
        <w:lang w:val="es"/>
      </w:rPr>
    </w:pPr>
    <w:r w:rsidRPr="002C568D">
      <w:rPr>
        <w:rFonts w:ascii="Arial" w:eastAsia="Tahoma" w:hAnsi="Arial" w:cs="Arial"/>
        <w:sz w:val="18"/>
        <w:szCs w:val="16"/>
        <w:lang w:val="es"/>
      </w:rPr>
      <w:t>Demandante:</w:t>
    </w:r>
    <w:r w:rsidR="002C568D">
      <w:rPr>
        <w:rFonts w:ascii="Arial" w:eastAsia="Tahoma" w:hAnsi="Arial" w:cs="Arial"/>
        <w:sz w:val="18"/>
        <w:szCs w:val="16"/>
        <w:lang w:val="es"/>
      </w:rPr>
      <w:tab/>
    </w:r>
    <w:r w:rsidRPr="002C568D">
      <w:rPr>
        <w:rFonts w:ascii="Arial" w:eastAsia="Tahoma" w:hAnsi="Arial" w:cs="Arial"/>
        <w:sz w:val="18"/>
        <w:szCs w:val="16"/>
        <w:lang w:val="es"/>
      </w:rPr>
      <w:t>Henry Álzate García</w:t>
    </w:r>
  </w:p>
  <w:p w14:paraId="27EEF226" w14:textId="2B05879E" w:rsidR="00C548AE" w:rsidRPr="002C568D" w:rsidRDefault="00C548AE" w:rsidP="00725584">
    <w:pPr>
      <w:widowControl w:val="0"/>
      <w:autoSpaceDE w:val="0"/>
      <w:autoSpaceDN w:val="0"/>
      <w:spacing w:after="0" w:line="240" w:lineRule="auto"/>
      <w:rPr>
        <w:rFonts w:ascii="Arial" w:eastAsia="Tahoma" w:hAnsi="Arial" w:cs="Arial"/>
        <w:sz w:val="18"/>
        <w:szCs w:val="16"/>
        <w:lang w:val="es"/>
      </w:rPr>
    </w:pPr>
    <w:r w:rsidRPr="002C568D">
      <w:rPr>
        <w:rFonts w:ascii="Arial" w:eastAsia="Tahoma" w:hAnsi="Arial" w:cs="Arial"/>
        <w:sz w:val="18"/>
        <w:szCs w:val="16"/>
        <w:lang w:val="es"/>
      </w:rPr>
      <w:t>Demandados:</w:t>
    </w:r>
    <w:r w:rsidR="00725584">
      <w:rPr>
        <w:rFonts w:ascii="Arial" w:eastAsia="Tahoma" w:hAnsi="Arial" w:cs="Arial"/>
        <w:sz w:val="18"/>
        <w:szCs w:val="16"/>
        <w:lang w:val="es"/>
      </w:rPr>
      <w:tab/>
    </w:r>
    <w:r w:rsidRPr="002C568D">
      <w:rPr>
        <w:rFonts w:ascii="Arial" w:eastAsia="Tahoma" w:hAnsi="Arial" w:cs="Arial"/>
        <w:sz w:val="18"/>
        <w:szCs w:val="16"/>
        <w:lang w:val="es"/>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A1B08"/>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3D3C5F8C"/>
    <w:multiLevelType w:val="hybridMultilevel"/>
    <w:tmpl w:val="91CCD222"/>
    <w:lvl w:ilvl="0" w:tplc="2228CA38">
      <w:start w:val="1"/>
      <w:numFmt w:val="lowerRoman"/>
      <w:lvlText w:val="%1)"/>
      <w:lvlJc w:val="left"/>
      <w:pPr>
        <w:ind w:left="102" w:hanging="500"/>
      </w:pPr>
      <w:rPr>
        <w:rFonts w:ascii="Tahoma" w:eastAsia="Tahoma" w:hAnsi="Tahoma" w:cs="Tahoma" w:hint="default"/>
        <w:w w:val="100"/>
        <w:sz w:val="24"/>
        <w:szCs w:val="24"/>
        <w:lang w:val="es-ES" w:eastAsia="en-US" w:bidi="ar-SA"/>
      </w:rPr>
    </w:lvl>
    <w:lvl w:ilvl="1" w:tplc="82FEED4A">
      <w:numFmt w:val="bullet"/>
      <w:lvlText w:val="•"/>
      <w:lvlJc w:val="left"/>
      <w:pPr>
        <w:ind w:left="996" w:hanging="500"/>
      </w:pPr>
      <w:rPr>
        <w:rFonts w:hint="default"/>
        <w:lang w:val="es-ES" w:eastAsia="en-US" w:bidi="ar-SA"/>
      </w:rPr>
    </w:lvl>
    <w:lvl w:ilvl="2" w:tplc="E81E6364">
      <w:numFmt w:val="bullet"/>
      <w:lvlText w:val="•"/>
      <w:lvlJc w:val="left"/>
      <w:pPr>
        <w:ind w:left="1892" w:hanging="500"/>
      </w:pPr>
      <w:rPr>
        <w:rFonts w:hint="default"/>
        <w:lang w:val="es-ES" w:eastAsia="en-US" w:bidi="ar-SA"/>
      </w:rPr>
    </w:lvl>
    <w:lvl w:ilvl="3" w:tplc="654EDA4C">
      <w:numFmt w:val="bullet"/>
      <w:lvlText w:val="•"/>
      <w:lvlJc w:val="left"/>
      <w:pPr>
        <w:ind w:left="2788" w:hanging="500"/>
      </w:pPr>
      <w:rPr>
        <w:rFonts w:hint="default"/>
        <w:lang w:val="es-ES" w:eastAsia="en-US" w:bidi="ar-SA"/>
      </w:rPr>
    </w:lvl>
    <w:lvl w:ilvl="4" w:tplc="1E9EE0E2">
      <w:numFmt w:val="bullet"/>
      <w:lvlText w:val="•"/>
      <w:lvlJc w:val="left"/>
      <w:pPr>
        <w:ind w:left="3684" w:hanging="500"/>
      </w:pPr>
      <w:rPr>
        <w:rFonts w:hint="default"/>
        <w:lang w:val="es-ES" w:eastAsia="en-US" w:bidi="ar-SA"/>
      </w:rPr>
    </w:lvl>
    <w:lvl w:ilvl="5" w:tplc="ED02FB0C">
      <w:numFmt w:val="bullet"/>
      <w:lvlText w:val="•"/>
      <w:lvlJc w:val="left"/>
      <w:pPr>
        <w:ind w:left="4580" w:hanging="500"/>
      </w:pPr>
      <w:rPr>
        <w:rFonts w:hint="default"/>
        <w:lang w:val="es-ES" w:eastAsia="en-US" w:bidi="ar-SA"/>
      </w:rPr>
    </w:lvl>
    <w:lvl w:ilvl="6" w:tplc="93ACAE38">
      <w:numFmt w:val="bullet"/>
      <w:lvlText w:val="•"/>
      <w:lvlJc w:val="left"/>
      <w:pPr>
        <w:ind w:left="5476" w:hanging="500"/>
      </w:pPr>
      <w:rPr>
        <w:rFonts w:hint="default"/>
        <w:lang w:val="es-ES" w:eastAsia="en-US" w:bidi="ar-SA"/>
      </w:rPr>
    </w:lvl>
    <w:lvl w:ilvl="7" w:tplc="191A5A5E">
      <w:numFmt w:val="bullet"/>
      <w:lvlText w:val="•"/>
      <w:lvlJc w:val="left"/>
      <w:pPr>
        <w:ind w:left="6372" w:hanging="500"/>
      </w:pPr>
      <w:rPr>
        <w:rFonts w:hint="default"/>
        <w:lang w:val="es-ES" w:eastAsia="en-US" w:bidi="ar-SA"/>
      </w:rPr>
    </w:lvl>
    <w:lvl w:ilvl="8" w:tplc="27BA4E3E">
      <w:numFmt w:val="bullet"/>
      <w:lvlText w:val="•"/>
      <w:lvlJc w:val="left"/>
      <w:pPr>
        <w:ind w:left="7268" w:hanging="500"/>
      </w:pPr>
      <w:rPr>
        <w:rFonts w:hint="default"/>
        <w:lang w:val="es-ES" w:eastAsia="en-US" w:bidi="ar-SA"/>
      </w:rPr>
    </w:lvl>
  </w:abstractNum>
  <w:abstractNum w:abstractNumId="4" w15:restartNumberingAfterBreak="0">
    <w:nsid w:val="486C20FD"/>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4A7F3A57"/>
    <w:multiLevelType w:val="multilevel"/>
    <w:tmpl w:val="EA66E528"/>
    <w:lvl w:ilvl="0">
      <w:start w:val="6"/>
      <w:numFmt w:val="decimal"/>
      <w:lvlText w:val="%1"/>
      <w:lvlJc w:val="left"/>
      <w:pPr>
        <w:ind w:left="102" w:hanging="711"/>
      </w:pPr>
      <w:rPr>
        <w:rFonts w:hint="default"/>
        <w:lang w:val="es-ES" w:eastAsia="en-US" w:bidi="ar-SA"/>
      </w:rPr>
    </w:lvl>
    <w:lvl w:ilvl="1">
      <w:start w:val="1"/>
      <w:numFmt w:val="decimal"/>
      <w:lvlText w:val="%1.%2."/>
      <w:lvlJc w:val="left"/>
      <w:pPr>
        <w:ind w:left="102" w:hanging="711"/>
      </w:pPr>
      <w:rPr>
        <w:rFonts w:ascii="Tahoma" w:eastAsia="Tahoma" w:hAnsi="Tahoma" w:cs="Tahoma" w:hint="default"/>
        <w:b/>
        <w:bCs/>
        <w:w w:val="100"/>
        <w:sz w:val="24"/>
        <w:szCs w:val="24"/>
        <w:lang w:val="es-ES" w:eastAsia="en-US" w:bidi="ar-SA"/>
      </w:rPr>
    </w:lvl>
    <w:lvl w:ilvl="2">
      <w:start w:val="1"/>
      <w:numFmt w:val="decimal"/>
      <w:lvlText w:val="%3)"/>
      <w:lvlJc w:val="left"/>
      <w:pPr>
        <w:ind w:left="102" w:hanging="365"/>
      </w:pPr>
      <w:rPr>
        <w:rFonts w:ascii="Tahoma" w:eastAsia="Tahoma" w:hAnsi="Tahoma" w:cs="Tahoma" w:hint="default"/>
        <w:b/>
        <w:bCs/>
        <w:spacing w:val="-2"/>
        <w:w w:val="100"/>
        <w:sz w:val="24"/>
        <w:szCs w:val="24"/>
        <w:lang w:val="es-ES" w:eastAsia="en-US" w:bidi="ar-SA"/>
      </w:rPr>
    </w:lvl>
    <w:lvl w:ilvl="3">
      <w:numFmt w:val="bullet"/>
      <w:lvlText w:val="•"/>
      <w:lvlJc w:val="left"/>
      <w:pPr>
        <w:ind w:left="2788" w:hanging="365"/>
      </w:pPr>
      <w:rPr>
        <w:rFonts w:hint="default"/>
        <w:lang w:val="es-ES" w:eastAsia="en-US" w:bidi="ar-SA"/>
      </w:rPr>
    </w:lvl>
    <w:lvl w:ilvl="4">
      <w:numFmt w:val="bullet"/>
      <w:lvlText w:val="•"/>
      <w:lvlJc w:val="left"/>
      <w:pPr>
        <w:ind w:left="3684" w:hanging="365"/>
      </w:pPr>
      <w:rPr>
        <w:rFonts w:hint="default"/>
        <w:lang w:val="es-ES" w:eastAsia="en-US" w:bidi="ar-SA"/>
      </w:rPr>
    </w:lvl>
    <w:lvl w:ilvl="5">
      <w:numFmt w:val="bullet"/>
      <w:lvlText w:val="•"/>
      <w:lvlJc w:val="left"/>
      <w:pPr>
        <w:ind w:left="4580" w:hanging="365"/>
      </w:pPr>
      <w:rPr>
        <w:rFonts w:hint="default"/>
        <w:lang w:val="es-ES" w:eastAsia="en-US" w:bidi="ar-SA"/>
      </w:rPr>
    </w:lvl>
    <w:lvl w:ilvl="6">
      <w:numFmt w:val="bullet"/>
      <w:lvlText w:val="•"/>
      <w:lvlJc w:val="left"/>
      <w:pPr>
        <w:ind w:left="5476" w:hanging="365"/>
      </w:pPr>
      <w:rPr>
        <w:rFonts w:hint="default"/>
        <w:lang w:val="es-ES" w:eastAsia="en-US" w:bidi="ar-SA"/>
      </w:rPr>
    </w:lvl>
    <w:lvl w:ilvl="7">
      <w:numFmt w:val="bullet"/>
      <w:lvlText w:val="•"/>
      <w:lvlJc w:val="left"/>
      <w:pPr>
        <w:ind w:left="6372" w:hanging="365"/>
      </w:pPr>
      <w:rPr>
        <w:rFonts w:hint="default"/>
        <w:lang w:val="es-ES" w:eastAsia="en-US" w:bidi="ar-SA"/>
      </w:rPr>
    </w:lvl>
    <w:lvl w:ilvl="8">
      <w:numFmt w:val="bullet"/>
      <w:lvlText w:val="•"/>
      <w:lvlJc w:val="left"/>
      <w:pPr>
        <w:ind w:left="7268" w:hanging="365"/>
      </w:pPr>
      <w:rPr>
        <w:rFonts w:hint="default"/>
        <w:lang w:val="es-ES" w:eastAsia="en-US" w:bidi="ar-SA"/>
      </w:rPr>
    </w:lvl>
  </w:abstractNum>
  <w:abstractNum w:abstractNumId="7"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4DEF1FEB"/>
    <w:multiLevelType w:val="multilevel"/>
    <w:tmpl w:val="83141F8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1" w15:restartNumberingAfterBreak="0">
    <w:nsid w:val="70677E3F"/>
    <w:multiLevelType w:val="hybridMultilevel"/>
    <w:tmpl w:val="4A50665A"/>
    <w:lvl w:ilvl="0" w:tplc="0890D552">
      <w:start w:val="1"/>
      <w:numFmt w:val="lowerRoman"/>
      <w:lvlText w:val="%1)"/>
      <w:lvlJc w:val="left"/>
      <w:pPr>
        <w:ind w:left="1288"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4830992"/>
    <w:multiLevelType w:val="hybridMultilevel"/>
    <w:tmpl w:val="DE14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440"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14" w15:restartNumberingAfterBreak="0">
    <w:nsid w:val="79A20D2A"/>
    <w:multiLevelType w:val="hybridMultilevel"/>
    <w:tmpl w:val="7BD04542"/>
    <w:lvl w:ilvl="0" w:tplc="4E3E13B6">
      <w:start w:val="1"/>
      <w:numFmt w:val="decimal"/>
      <w:lvlText w:val="%1."/>
      <w:lvlJc w:val="left"/>
      <w:pPr>
        <w:ind w:left="3397" w:hanging="360"/>
        <w:jc w:val="right"/>
      </w:pPr>
      <w:rPr>
        <w:rFonts w:ascii="Tahoma" w:eastAsia="Tahoma" w:hAnsi="Tahoma" w:cs="Tahoma" w:hint="default"/>
        <w:b/>
        <w:bCs/>
        <w:w w:val="100"/>
        <w:sz w:val="24"/>
        <w:szCs w:val="24"/>
        <w:lang w:val="es-ES" w:eastAsia="en-US" w:bidi="ar-SA"/>
      </w:rPr>
    </w:lvl>
    <w:lvl w:ilvl="1" w:tplc="B2841332">
      <w:numFmt w:val="bullet"/>
      <w:lvlText w:val="•"/>
      <w:lvlJc w:val="left"/>
      <w:pPr>
        <w:ind w:left="3966" w:hanging="360"/>
      </w:pPr>
      <w:rPr>
        <w:rFonts w:hint="default"/>
        <w:lang w:val="es-ES" w:eastAsia="en-US" w:bidi="ar-SA"/>
      </w:rPr>
    </w:lvl>
    <w:lvl w:ilvl="2" w:tplc="C94E43D8">
      <w:numFmt w:val="bullet"/>
      <w:lvlText w:val="•"/>
      <w:lvlJc w:val="left"/>
      <w:pPr>
        <w:ind w:left="4532" w:hanging="360"/>
      </w:pPr>
      <w:rPr>
        <w:rFonts w:hint="default"/>
        <w:lang w:val="es-ES" w:eastAsia="en-US" w:bidi="ar-SA"/>
      </w:rPr>
    </w:lvl>
    <w:lvl w:ilvl="3" w:tplc="052CB604">
      <w:numFmt w:val="bullet"/>
      <w:lvlText w:val="•"/>
      <w:lvlJc w:val="left"/>
      <w:pPr>
        <w:ind w:left="5098" w:hanging="360"/>
      </w:pPr>
      <w:rPr>
        <w:rFonts w:hint="default"/>
        <w:lang w:val="es-ES" w:eastAsia="en-US" w:bidi="ar-SA"/>
      </w:rPr>
    </w:lvl>
    <w:lvl w:ilvl="4" w:tplc="27E282AA">
      <w:numFmt w:val="bullet"/>
      <w:lvlText w:val="•"/>
      <w:lvlJc w:val="left"/>
      <w:pPr>
        <w:ind w:left="5664" w:hanging="360"/>
      </w:pPr>
      <w:rPr>
        <w:rFonts w:hint="default"/>
        <w:lang w:val="es-ES" w:eastAsia="en-US" w:bidi="ar-SA"/>
      </w:rPr>
    </w:lvl>
    <w:lvl w:ilvl="5" w:tplc="55924292">
      <w:numFmt w:val="bullet"/>
      <w:lvlText w:val="•"/>
      <w:lvlJc w:val="left"/>
      <w:pPr>
        <w:ind w:left="6230" w:hanging="360"/>
      </w:pPr>
      <w:rPr>
        <w:rFonts w:hint="default"/>
        <w:lang w:val="es-ES" w:eastAsia="en-US" w:bidi="ar-SA"/>
      </w:rPr>
    </w:lvl>
    <w:lvl w:ilvl="6" w:tplc="5F16429E">
      <w:numFmt w:val="bullet"/>
      <w:lvlText w:val="•"/>
      <w:lvlJc w:val="left"/>
      <w:pPr>
        <w:ind w:left="6796" w:hanging="360"/>
      </w:pPr>
      <w:rPr>
        <w:rFonts w:hint="default"/>
        <w:lang w:val="es-ES" w:eastAsia="en-US" w:bidi="ar-SA"/>
      </w:rPr>
    </w:lvl>
    <w:lvl w:ilvl="7" w:tplc="31C6E8DC">
      <w:numFmt w:val="bullet"/>
      <w:lvlText w:val="•"/>
      <w:lvlJc w:val="left"/>
      <w:pPr>
        <w:ind w:left="7362" w:hanging="360"/>
      </w:pPr>
      <w:rPr>
        <w:rFonts w:hint="default"/>
        <w:lang w:val="es-ES" w:eastAsia="en-US" w:bidi="ar-SA"/>
      </w:rPr>
    </w:lvl>
    <w:lvl w:ilvl="8" w:tplc="05E6A988">
      <w:numFmt w:val="bullet"/>
      <w:lvlText w:val="•"/>
      <w:lvlJc w:val="left"/>
      <w:pPr>
        <w:ind w:left="7928" w:hanging="360"/>
      </w:pPr>
      <w:rPr>
        <w:rFonts w:hint="default"/>
        <w:lang w:val="es-ES" w:eastAsia="en-US" w:bidi="ar-SA"/>
      </w:rPr>
    </w:lvl>
  </w:abstractNum>
  <w:abstractNum w:abstractNumId="15" w15:restartNumberingAfterBreak="0">
    <w:nsid w:val="7B960271"/>
    <w:multiLevelType w:val="hybridMultilevel"/>
    <w:tmpl w:val="99247A26"/>
    <w:lvl w:ilvl="0" w:tplc="870698BA">
      <w:start w:val="1"/>
      <w:numFmt w:val="decimal"/>
      <w:lvlText w:val="%1."/>
      <w:lvlJc w:val="left"/>
      <w:pPr>
        <w:ind w:left="720" w:hanging="360"/>
      </w:pPr>
    </w:lvl>
    <w:lvl w:ilvl="1" w:tplc="735CF44C">
      <w:start w:val="1"/>
      <w:numFmt w:val="decimal"/>
      <w:lvlText w:val="%2."/>
      <w:lvlJc w:val="left"/>
      <w:pPr>
        <w:ind w:left="1440" w:hanging="360"/>
      </w:pPr>
      <w:rPr>
        <w:rFonts w:ascii="Tahoma" w:hAnsi="Tahoma" w:cs="Tahoma" w:hint="default"/>
      </w:rPr>
    </w:lvl>
    <w:lvl w:ilvl="2" w:tplc="15BE7D26">
      <w:start w:val="1"/>
      <w:numFmt w:val="lowerRoman"/>
      <w:lvlText w:val="%3."/>
      <w:lvlJc w:val="right"/>
      <w:pPr>
        <w:ind w:left="2160" w:hanging="180"/>
      </w:pPr>
    </w:lvl>
    <w:lvl w:ilvl="3" w:tplc="7E82AB2E">
      <w:start w:val="1"/>
      <w:numFmt w:val="decimal"/>
      <w:lvlText w:val="%4."/>
      <w:lvlJc w:val="left"/>
      <w:pPr>
        <w:ind w:left="2880" w:hanging="360"/>
      </w:pPr>
    </w:lvl>
    <w:lvl w:ilvl="4" w:tplc="A80693B8">
      <w:start w:val="1"/>
      <w:numFmt w:val="lowerLetter"/>
      <w:lvlText w:val="%5."/>
      <w:lvlJc w:val="left"/>
      <w:pPr>
        <w:ind w:left="3600" w:hanging="360"/>
      </w:pPr>
    </w:lvl>
    <w:lvl w:ilvl="5" w:tplc="724E9EE6">
      <w:start w:val="1"/>
      <w:numFmt w:val="lowerRoman"/>
      <w:lvlText w:val="%6."/>
      <w:lvlJc w:val="right"/>
      <w:pPr>
        <w:ind w:left="4320" w:hanging="180"/>
      </w:pPr>
    </w:lvl>
    <w:lvl w:ilvl="6" w:tplc="7CA43BBA">
      <w:start w:val="1"/>
      <w:numFmt w:val="decimal"/>
      <w:lvlText w:val="%7."/>
      <w:lvlJc w:val="left"/>
      <w:pPr>
        <w:ind w:left="5040" w:hanging="360"/>
      </w:pPr>
    </w:lvl>
    <w:lvl w:ilvl="7" w:tplc="992A727E">
      <w:start w:val="1"/>
      <w:numFmt w:val="lowerLetter"/>
      <w:lvlText w:val="%8."/>
      <w:lvlJc w:val="left"/>
      <w:pPr>
        <w:ind w:left="5760" w:hanging="360"/>
      </w:pPr>
    </w:lvl>
    <w:lvl w:ilvl="8" w:tplc="C55851C4">
      <w:start w:val="1"/>
      <w:numFmt w:val="lowerRoman"/>
      <w:lvlText w:val="%9."/>
      <w:lvlJc w:val="right"/>
      <w:pPr>
        <w:ind w:left="6480" w:hanging="180"/>
      </w:pPr>
    </w:lvl>
  </w:abstractNum>
  <w:num w:numId="1">
    <w:abstractNumId w:val="15"/>
  </w:num>
  <w:num w:numId="2">
    <w:abstractNumId w:val="2"/>
  </w:num>
  <w:num w:numId="3">
    <w:abstractNumId w:val="13"/>
  </w:num>
  <w:num w:numId="4">
    <w:abstractNumId w:val="9"/>
  </w:num>
  <w:num w:numId="5">
    <w:abstractNumId w:val="5"/>
  </w:num>
  <w:num w:numId="6">
    <w:abstractNumId w:val="6"/>
  </w:num>
  <w:num w:numId="7">
    <w:abstractNumId w:val="3"/>
  </w:num>
  <w:num w:numId="8">
    <w:abstractNumId w:val="14"/>
  </w:num>
  <w:num w:numId="9">
    <w:abstractNumId w:val="12"/>
  </w:num>
  <w:num w:numId="10">
    <w:abstractNumId w:val="1"/>
  </w:num>
  <w:num w:numId="11">
    <w:abstractNumId w:val="4"/>
  </w:num>
  <w:num w:numId="12">
    <w:abstractNumId w:val="10"/>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58"/>
    <w:rsid w:val="000006D1"/>
    <w:rsid w:val="000017EE"/>
    <w:rsid w:val="00002487"/>
    <w:rsid w:val="0000355A"/>
    <w:rsid w:val="000118BD"/>
    <w:rsid w:val="00012F12"/>
    <w:rsid w:val="00014764"/>
    <w:rsid w:val="0001484D"/>
    <w:rsid w:val="00015234"/>
    <w:rsid w:val="0002511D"/>
    <w:rsid w:val="00030451"/>
    <w:rsid w:val="00031F14"/>
    <w:rsid w:val="00032095"/>
    <w:rsid w:val="0003268C"/>
    <w:rsid w:val="00032EC7"/>
    <w:rsid w:val="00036A0B"/>
    <w:rsid w:val="0003745A"/>
    <w:rsid w:val="0004089E"/>
    <w:rsid w:val="00041030"/>
    <w:rsid w:val="00042449"/>
    <w:rsid w:val="00042A7C"/>
    <w:rsid w:val="00042B18"/>
    <w:rsid w:val="00042DEF"/>
    <w:rsid w:val="00043B35"/>
    <w:rsid w:val="00050BBD"/>
    <w:rsid w:val="00051F39"/>
    <w:rsid w:val="000543AB"/>
    <w:rsid w:val="00055156"/>
    <w:rsid w:val="000575C7"/>
    <w:rsid w:val="00062DDA"/>
    <w:rsid w:val="00074075"/>
    <w:rsid w:val="0008086A"/>
    <w:rsid w:val="00081FC9"/>
    <w:rsid w:val="00090EFE"/>
    <w:rsid w:val="00093722"/>
    <w:rsid w:val="00094BAC"/>
    <w:rsid w:val="00096992"/>
    <w:rsid w:val="000A093F"/>
    <w:rsid w:val="000A2B8E"/>
    <w:rsid w:val="000B1FF4"/>
    <w:rsid w:val="000B799F"/>
    <w:rsid w:val="000C1336"/>
    <w:rsid w:val="000C33D3"/>
    <w:rsid w:val="000C4CFD"/>
    <w:rsid w:val="000C5A86"/>
    <w:rsid w:val="000C729F"/>
    <w:rsid w:val="000D6D43"/>
    <w:rsid w:val="000E125A"/>
    <w:rsid w:val="000E2B9B"/>
    <w:rsid w:val="000E4A44"/>
    <w:rsid w:val="00102328"/>
    <w:rsid w:val="001026D1"/>
    <w:rsid w:val="00102C39"/>
    <w:rsid w:val="0010327A"/>
    <w:rsid w:val="00111C3E"/>
    <w:rsid w:val="00112B4F"/>
    <w:rsid w:val="00112BDA"/>
    <w:rsid w:val="001135A2"/>
    <w:rsid w:val="00114317"/>
    <w:rsid w:val="001156D2"/>
    <w:rsid w:val="00123CD4"/>
    <w:rsid w:val="001259F4"/>
    <w:rsid w:val="00126658"/>
    <w:rsid w:val="00131BF9"/>
    <w:rsid w:val="001360F8"/>
    <w:rsid w:val="00140967"/>
    <w:rsid w:val="00140C3E"/>
    <w:rsid w:val="00141824"/>
    <w:rsid w:val="00144F39"/>
    <w:rsid w:val="00152D22"/>
    <w:rsid w:val="00161370"/>
    <w:rsid w:val="00161D8A"/>
    <w:rsid w:val="0016205F"/>
    <w:rsid w:val="00162F88"/>
    <w:rsid w:val="00165603"/>
    <w:rsid w:val="0017380F"/>
    <w:rsid w:val="00181FB9"/>
    <w:rsid w:val="00184025"/>
    <w:rsid w:val="00195E01"/>
    <w:rsid w:val="001A51B7"/>
    <w:rsid w:val="001A7A04"/>
    <w:rsid w:val="001B1669"/>
    <w:rsid w:val="001B4546"/>
    <w:rsid w:val="001C28E3"/>
    <w:rsid w:val="001C6C14"/>
    <w:rsid w:val="001C6ECB"/>
    <w:rsid w:val="001D02C7"/>
    <w:rsid w:val="001D7C47"/>
    <w:rsid w:val="001E42A6"/>
    <w:rsid w:val="001E53F3"/>
    <w:rsid w:val="001F0346"/>
    <w:rsid w:val="001F170B"/>
    <w:rsid w:val="001F4637"/>
    <w:rsid w:val="001F6A9B"/>
    <w:rsid w:val="001F6C3F"/>
    <w:rsid w:val="001F7D4F"/>
    <w:rsid w:val="00201672"/>
    <w:rsid w:val="002218DE"/>
    <w:rsid w:val="00231C15"/>
    <w:rsid w:val="0023244A"/>
    <w:rsid w:val="00232583"/>
    <w:rsid w:val="0023333E"/>
    <w:rsid w:val="002336F6"/>
    <w:rsid w:val="002353C3"/>
    <w:rsid w:val="00235D6A"/>
    <w:rsid w:val="00236904"/>
    <w:rsid w:val="00241F8C"/>
    <w:rsid w:val="0024329F"/>
    <w:rsid w:val="0025037F"/>
    <w:rsid w:val="00251847"/>
    <w:rsid w:val="00251EF3"/>
    <w:rsid w:val="00253372"/>
    <w:rsid w:val="00254958"/>
    <w:rsid w:val="00256154"/>
    <w:rsid w:val="00257654"/>
    <w:rsid w:val="002578AF"/>
    <w:rsid w:val="00262FBF"/>
    <w:rsid w:val="00266CCF"/>
    <w:rsid w:val="002708AA"/>
    <w:rsid w:val="00271CF0"/>
    <w:rsid w:val="00276B38"/>
    <w:rsid w:val="00276ED7"/>
    <w:rsid w:val="00276F28"/>
    <w:rsid w:val="0028119C"/>
    <w:rsid w:val="002912D9"/>
    <w:rsid w:val="002A0CFB"/>
    <w:rsid w:val="002A3232"/>
    <w:rsid w:val="002C568D"/>
    <w:rsid w:val="002C5798"/>
    <w:rsid w:val="002C620A"/>
    <w:rsid w:val="002C7460"/>
    <w:rsid w:val="002D066F"/>
    <w:rsid w:val="002D2DFD"/>
    <w:rsid w:val="002D52E7"/>
    <w:rsid w:val="002D5663"/>
    <w:rsid w:val="002E15A9"/>
    <w:rsid w:val="002E20E3"/>
    <w:rsid w:val="002E537A"/>
    <w:rsid w:val="002E5985"/>
    <w:rsid w:val="002E5DC1"/>
    <w:rsid w:val="002F0DF5"/>
    <w:rsid w:val="002F17B5"/>
    <w:rsid w:val="00306FBA"/>
    <w:rsid w:val="003104B1"/>
    <w:rsid w:val="00311073"/>
    <w:rsid w:val="003155C8"/>
    <w:rsid w:val="0031639F"/>
    <w:rsid w:val="00317B78"/>
    <w:rsid w:val="0033269F"/>
    <w:rsid w:val="00337B22"/>
    <w:rsid w:val="00351B0E"/>
    <w:rsid w:val="0036052B"/>
    <w:rsid w:val="00360CA7"/>
    <w:rsid w:val="0036642A"/>
    <w:rsid w:val="00366BB4"/>
    <w:rsid w:val="0036756C"/>
    <w:rsid w:val="00372D54"/>
    <w:rsid w:val="00377A79"/>
    <w:rsid w:val="003811D6"/>
    <w:rsid w:val="0038337E"/>
    <w:rsid w:val="00384992"/>
    <w:rsid w:val="00386A5F"/>
    <w:rsid w:val="00387FA3"/>
    <w:rsid w:val="003935CD"/>
    <w:rsid w:val="00393C33"/>
    <w:rsid w:val="0039430B"/>
    <w:rsid w:val="00395287"/>
    <w:rsid w:val="003A150B"/>
    <w:rsid w:val="003A3204"/>
    <w:rsid w:val="003A4B8B"/>
    <w:rsid w:val="003A55D1"/>
    <w:rsid w:val="003A5F1B"/>
    <w:rsid w:val="003A7810"/>
    <w:rsid w:val="003C211E"/>
    <w:rsid w:val="003C32D3"/>
    <w:rsid w:val="003D3264"/>
    <w:rsid w:val="003D4A89"/>
    <w:rsid w:val="003E04E8"/>
    <w:rsid w:val="003E43C3"/>
    <w:rsid w:val="003E4986"/>
    <w:rsid w:val="003E582C"/>
    <w:rsid w:val="003E7714"/>
    <w:rsid w:val="003F5835"/>
    <w:rsid w:val="003F6075"/>
    <w:rsid w:val="003F6FBA"/>
    <w:rsid w:val="004046D4"/>
    <w:rsid w:val="00407030"/>
    <w:rsid w:val="00412566"/>
    <w:rsid w:val="0041731A"/>
    <w:rsid w:val="00420533"/>
    <w:rsid w:val="00421A84"/>
    <w:rsid w:val="00432991"/>
    <w:rsid w:val="004339D5"/>
    <w:rsid w:val="00441696"/>
    <w:rsid w:val="004436EA"/>
    <w:rsid w:val="00444127"/>
    <w:rsid w:val="0044686D"/>
    <w:rsid w:val="00447135"/>
    <w:rsid w:val="004508FD"/>
    <w:rsid w:val="00454F0D"/>
    <w:rsid w:val="00456134"/>
    <w:rsid w:val="00457724"/>
    <w:rsid w:val="00457BF0"/>
    <w:rsid w:val="004649AD"/>
    <w:rsid w:val="00465541"/>
    <w:rsid w:val="0046613C"/>
    <w:rsid w:val="00467E13"/>
    <w:rsid w:val="00470271"/>
    <w:rsid w:val="00470FD1"/>
    <w:rsid w:val="0047222B"/>
    <w:rsid w:val="00473CA7"/>
    <w:rsid w:val="004777BB"/>
    <w:rsid w:val="00483086"/>
    <w:rsid w:val="00483AA9"/>
    <w:rsid w:val="00484C1F"/>
    <w:rsid w:val="00491225"/>
    <w:rsid w:val="004A05ED"/>
    <w:rsid w:val="004A2396"/>
    <w:rsid w:val="004A2DA5"/>
    <w:rsid w:val="004B4BDC"/>
    <w:rsid w:val="004C0473"/>
    <w:rsid w:val="004C642E"/>
    <w:rsid w:val="004D57BB"/>
    <w:rsid w:val="004F1410"/>
    <w:rsid w:val="004F2452"/>
    <w:rsid w:val="004F252D"/>
    <w:rsid w:val="004F27F6"/>
    <w:rsid w:val="004F4FB7"/>
    <w:rsid w:val="004F5DB5"/>
    <w:rsid w:val="004F67FF"/>
    <w:rsid w:val="005002FF"/>
    <w:rsid w:val="005060D7"/>
    <w:rsid w:val="0051100E"/>
    <w:rsid w:val="00517E49"/>
    <w:rsid w:val="00523BAC"/>
    <w:rsid w:val="00523E03"/>
    <w:rsid w:val="00523E91"/>
    <w:rsid w:val="00525FD7"/>
    <w:rsid w:val="00532F0C"/>
    <w:rsid w:val="005549BC"/>
    <w:rsid w:val="005707B2"/>
    <w:rsid w:val="0057424B"/>
    <w:rsid w:val="005834AB"/>
    <w:rsid w:val="005905CB"/>
    <w:rsid w:val="005945E5"/>
    <w:rsid w:val="005A06DD"/>
    <w:rsid w:val="005A1D54"/>
    <w:rsid w:val="005A2B4D"/>
    <w:rsid w:val="005A2E58"/>
    <w:rsid w:val="005A51B7"/>
    <w:rsid w:val="005A52B5"/>
    <w:rsid w:val="005B0A1C"/>
    <w:rsid w:val="005B29C3"/>
    <w:rsid w:val="005B7506"/>
    <w:rsid w:val="005C5B07"/>
    <w:rsid w:val="005D11A0"/>
    <w:rsid w:val="005D37D3"/>
    <w:rsid w:val="005E0115"/>
    <w:rsid w:val="005E4BB6"/>
    <w:rsid w:val="005E4DAC"/>
    <w:rsid w:val="005E7259"/>
    <w:rsid w:val="005F0D80"/>
    <w:rsid w:val="005F7BCD"/>
    <w:rsid w:val="00603D85"/>
    <w:rsid w:val="00605231"/>
    <w:rsid w:val="00607CAF"/>
    <w:rsid w:val="00610E50"/>
    <w:rsid w:val="0061274F"/>
    <w:rsid w:val="0062155A"/>
    <w:rsid w:val="00623169"/>
    <w:rsid w:val="006249BC"/>
    <w:rsid w:val="00625CEC"/>
    <w:rsid w:val="00632FC1"/>
    <w:rsid w:val="00634A61"/>
    <w:rsid w:val="0064089B"/>
    <w:rsid w:val="00645107"/>
    <w:rsid w:val="00645754"/>
    <w:rsid w:val="00646DD3"/>
    <w:rsid w:val="00656B28"/>
    <w:rsid w:val="0066077A"/>
    <w:rsid w:val="006626C6"/>
    <w:rsid w:val="00671AE3"/>
    <w:rsid w:val="00671D49"/>
    <w:rsid w:val="006760A3"/>
    <w:rsid w:val="0067651C"/>
    <w:rsid w:val="00676F7A"/>
    <w:rsid w:val="006814B1"/>
    <w:rsid w:val="00685ED1"/>
    <w:rsid w:val="00685FA1"/>
    <w:rsid w:val="006937FD"/>
    <w:rsid w:val="00695254"/>
    <w:rsid w:val="00697BAE"/>
    <w:rsid w:val="006A2C27"/>
    <w:rsid w:val="006A5BC1"/>
    <w:rsid w:val="006B31D7"/>
    <w:rsid w:val="006B4A6F"/>
    <w:rsid w:val="006C1590"/>
    <w:rsid w:val="006C7716"/>
    <w:rsid w:val="006D20B3"/>
    <w:rsid w:val="006D310D"/>
    <w:rsid w:val="006D33E0"/>
    <w:rsid w:val="006E169F"/>
    <w:rsid w:val="006E273F"/>
    <w:rsid w:val="006E2A67"/>
    <w:rsid w:val="006E2CEE"/>
    <w:rsid w:val="006E6C9D"/>
    <w:rsid w:val="006F1E08"/>
    <w:rsid w:val="006F3384"/>
    <w:rsid w:val="006F4036"/>
    <w:rsid w:val="006F6749"/>
    <w:rsid w:val="006F6866"/>
    <w:rsid w:val="006F7270"/>
    <w:rsid w:val="0070160D"/>
    <w:rsid w:val="007032BC"/>
    <w:rsid w:val="007129B0"/>
    <w:rsid w:val="007158AB"/>
    <w:rsid w:val="00717199"/>
    <w:rsid w:val="0072063D"/>
    <w:rsid w:val="0072155D"/>
    <w:rsid w:val="00725584"/>
    <w:rsid w:val="007303F8"/>
    <w:rsid w:val="0073142B"/>
    <w:rsid w:val="00734573"/>
    <w:rsid w:val="00734A36"/>
    <w:rsid w:val="00756969"/>
    <w:rsid w:val="00762188"/>
    <w:rsid w:val="00764150"/>
    <w:rsid w:val="007641F9"/>
    <w:rsid w:val="0076663B"/>
    <w:rsid w:val="00771F30"/>
    <w:rsid w:val="00773369"/>
    <w:rsid w:val="00777C50"/>
    <w:rsid w:val="007815AD"/>
    <w:rsid w:val="00781C2E"/>
    <w:rsid w:val="0079445A"/>
    <w:rsid w:val="00795A86"/>
    <w:rsid w:val="00796141"/>
    <w:rsid w:val="00796FFF"/>
    <w:rsid w:val="007A0BAC"/>
    <w:rsid w:val="007A0EB4"/>
    <w:rsid w:val="007A5F77"/>
    <w:rsid w:val="007B11F7"/>
    <w:rsid w:val="007B2DFB"/>
    <w:rsid w:val="007B5513"/>
    <w:rsid w:val="007B73E7"/>
    <w:rsid w:val="007C5766"/>
    <w:rsid w:val="007C682E"/>
    <w:rsid w:val="007D0DE2"/>
    <w:rsid w:val="007D123C"/>
    <w:rsid w:val="007D1FEE"/>
    <w:rsid w:val="007D7629"/>
    <w:rsid w:val="007E13D8"/>
    <w:rsid w:val="007F0B92"/>
    <w:rsid w:val="007F1444"/>
    <w:rsid w:val="008006F5"/>
    <w:rsid w:val="00800ECE"/>
    <w:rsid w:val="008061A0"/>
    <w:rsid w:val="0080631B"/>
    <w:rsid w:val="008078E7"/>
    <w:rsid w:val="00807F7C"/>
    <w:rsid w:val="00814669"/>
    <w:rsid w:val="008156A0"/>
    <w:rsid w:val="008241B6"/>
    <w:rsid w:val="00835651"/>
    <w:rsid w:val="00846DE2"/>
    <w:rsid w:val="00851059"/>
    <w:rsid w:val="008554CC"/>
    <w:rsid w:val="00856CDB"/>
    <w:rsid w:val="00857EF7"/>
    <w:rsid w:val="00881F3D"/>
    <w:rsid w:val="008843CF"/>
    <w:rsid w:val="00884D55"/>
    <w:rsid w:val="00885FEA"/>
    <w:rsid w:val="00891B77"/>
    <w:rsid w:val="00893E4F"/>
    <w:rsid w:val="00897D28"/>
    <w:rsid w:val="008A2F92"/>
    <w:rsid w:val="008B4479"/>
    <w:rsid w:val="008B6AFF"/>
    <w:rsid w:val="008C2DC1"/>
    <w:rsid w:val="008C7D43"/>
    <w:rsid w:val="008D3892"/>
    <w:rsid w:val="008E1F69"/>
    <w:rsid w:val="008E3B13"/>
    <w:rsid w:val="008F3D8A"/>
    <w:rsid w:val="008F6CA9"/>
    <w:rsid w:val="008F783C"/>
    <w:rsid w:val="00902BDA"/>
    <w:rsid w:val="00905CF4"/>
    <w:rsid w:val="00912345"/>
    <w:rsid w:val="009223A3"/>
    <w:rsid w:val="00923FCE"/>
    <w:rsid w:val="00924331"/>
    <w:rsid w:val="009266AA"/>
    <w:rsid w:val="00931711"/>
    <w:rsid w:val="009351B3"/>
    <w:rsid w:val="00936219"/>
    <w:rsid w:val="0094501E"/>
    <w:rsid w:val="00947EC4"/>
    <w:rsid w:val="0095178F"/>
    <w:rsid w:val="00951EB2"/>
    <w:rsid w:val="009548E1"/>
    <w:rsid w:val="0095794E"/>
    <w:rsid w:val="00960751"/>
    <w:rsid w:val="0097315C"/>
    <w:rsid w:val="009830F1"/>
    <w:rsid w:val="0099181A"/>
    <w:rsid w:val="00997739"/>
    <w:rsid w:val="009A1620"/>
    <w:rsid w:val="009A1A63"/>
    <w:rsid w:val="009A5157"/>
    <w:rsid w:val="009A761E"/>
    <w:rsid w:val="009C0E16"/>
    <w:rsid w:val="009C440F"/>
    <w:rsid w:val="009C5443"/>
    <w:rsid w:val="009C589A"/>
    <w:rsid w:val="009C65B6"/>
    <w:rsid w:val="009D2293"/>
    <w:rsid w:val="009D2B4F"/>
    <w:rsid w:val="009D3826"/>
    <w:rsid w:val="009D5CE7"/>
    <w:rsid w:val="009D6D32"/>
    <w:rsid w:val="009D7DB0"/>
    <w:rsid w:val="009E3865"/>
    <w:rsid w:val="009E62ED"/>
    <w:rsid w:val="009E79A3"/>
    <w:rsid w:val="009F09FE"/>
    <w:rsid w:val="009F2FE9"/>
    <w:rsid w:val="009F69B6"/>
    <w:rsid w:val="00A007CF"/>
    <w:rsid w:val="00A02A7E"/>
    <w:rsid w:val="00A02AB9"/>
    <w:rsid w:val="00A039B5"/>
    <w:rsid w:val="00A07F33"/>
    <w:rsid w:val="00A1555C"/>
    <w:rsid w:val="00A16241"/>
    <w:rsid w:val="00A163BB"/>
    <w:rsid w:val="00A163C1"/>
    <w:rsid w:val="00A22848"/>
    <w:rsid w:val="00A26855"/>
    <w:rsid w:val="00A30088"/>
    <w:rsid w:val="00A32E28"/>
    <w:rsid w:val="00A36841"/>
    <w:rsid w:val="00A37E03"/>
    <w:rsid w:val="00A449BC"/>
    <w:rsid w:val="00A509C1"/>
    <w:rsid w:val="00A51E19"/>
    <w:rsid w:val="00A56474"/>
    <w:rsid w:val="00A56494"/>
    <w:rsid w:val="00A64BA3"/>
    <w:rsid w:val="00A65CDB"/>
    <w:rsid w:val="00A65E1F"/>
    <w:rsid w:val="00A709A8"/>
    <w:rsid w:val="00A718B1"/>
    <w:rsid w:val="00A72F41"/>
    <w:rsid w:val="00A74DEB"/>
    <w:rsid w:val="00A75141"/>
    <w:rsid w:val="00A760DB"/>
    <w:rsid w:val="00A77C4A"/>
    <w:rsid w:val="00A805A0"/>
    <w:rsid w:val="00A8626F"/>
    <w:rsid w:val="00A87F03"/>
    <w:rsid w:val="00A9781C"/>
    <w:rsid w:val="00AA037E"/>
    <w:rsid w:val="00AA0AA7"/>
    <w:rsid w:val="00AA68FD"/>
    <w:rsid w:val="00AA7199"/>
    <w:rsid w:val="00AB0821"/>
    <w:rsid w:val="00AB4D92"/>
    <w:rsid w:val="00AB604D"/>
    <w:rsid w:val="00AB71AA"/>
    <w:rsid w:val="00AC2BB9"/>
    <w:rsid w:val="00AC46AE"/>
    <w:rsid w:val="00AD0BE3"/>
    <w:rsid w:val="00AD407E"/>
    <w:rsid w:val="00AD55D2"/>
    <w:rsid w:val="00AE1855"/>
    <w:rsid w:val="00AE21E2"/>
    <w:rsid w:val="00AE3FEF"/>
    <w:rsid w:val="00AE4EBE"/>
    <w:rsid w:val="00AF07DC"/>
    <w:rsid w:val="00AF5707"/>
    <w:rsid w:val="00B0108B"/>
    <w:rsid w:val="00B01670"/>
    <w:rsid w:val="00B049B5"/>
    <w:rsid w:val="00B04E0B"/>
    <w:rsid w:val="00B05333"/>
    <w:rsid w:val="00B06D2E"/>
    <w:rsid w:val="00B115A1"/>
    <w:rsid w:val="00B12346"/>
    <w:rsid w:val="00B1691D"/>
    <w:rsid w:val="00B16EC0"/>
    <w:rsid w:val="00B210FF"/>
    <w:rsid w:val="00B21C7D"/>
    <w:rsid w:val="00B2527D"/>
    <w:rsid w:val="00B2784D"/>
    <w:rsid w:val="00B27C53"/>
    <w:rsid w:val="00B3057C"/>
    <w:rsid w:val="00B309E9"/>
    <w:rsid w:val="00B30E3B"/>
    <w:rsid w:val="00B3501B"/>
    <w:rsid w:val="00B36513"/>
    <w:rsid w:val="00B40A63"/>
    <w:rsid w:val="00B460F5"/>
    <w:rsid w:val="00B46571"/>
    <w:rsid w:val="00B51C97"/>
    <w:rsid w:val="00B62E46"/>
    <w:rsid w:val="00B7695E"/>
    <w:rsid w:val="00B800B9"/>
    <w:rsid w:val="00B82CDF"/>
    <w:rsid w:val="00B91144"/>
    <w:rsid w:val="00B9140C"/>
    <w:rsid w:val="00B9142A"/>
    <w:rsid w:val="00B9211F"/>
    <w:rsid w:val="00B93C12"/>
    <w:rsid w:val="00B9720C"/>
    <w:rsid w:val="00BA13F9"/>
    <w:rsid w:val="00BA5B8C"/>
    <w:rsid w:val="00BB0244"/>
    <w:rsid w:val="00BC1E09"/>
    <w:rsid w:val="00BC23DB"/>
    <w:rsid w:val="00BC3AF7"/>
    <w:rsid w:val="00BC7B28"/>
    <w:rsid w:val="00BE1477"/>
    <w:rsid w:val="00BF1120"/>
    <w:rsid w:val="00BF4212"/>
    <w:rsid w:val="00C01A25"/>
    <w:rsid w:val="00C025F6"/>
    <w:rsid w:val="00C0436E"/>
    <w:rsid w:val="00C045E3"/>
    <w:rsid w:val="00C12254"/>
    <w:rsid w:val="00C17106"/>
    <w:rsid w:val="00C17CB5"/>
    <w:rsid w:val="00C20240"/>
    <w:rsid w:val="00C226DB"/>
    <w:rsid w:val="00C23186"/>
    <w:rsid w:val="00C2354D"/>
    <w:rsid w:val="00C24650"/>
    <w:rsid w:val="00C302C6"/>
    <w:rsid w:val="00C33462"/>
    <w:rsid w:val="00C34EAB"/>
    <w:rsid w:val="00C4294E"/>
    <w:rsid w:val="00C43598"/>
    <w:rsid w:val="00C45BB2"/>
    <w:rsid w:val="00C50CC5"/>
    <w:rsid w:val="00C5210E"/>
    <w:rsid w:val="00C548AE"/>
    <w:rsid w:val="00C54B91"/>
    <w:rsid w:val="00C55854"/>
    <w:rsid w:val="00C57221"/>
    <w:rsid w:val="00C648C0"/>
    <w:rsid w:val="00C657A1"/>
    <w:rsid w:val="00C66B12"/>
    <w:rsid w:val="00C702C5"/>
    <w:rsid w:val="00C733D8"/>
    <w:rsid w:val="00C77091"/>
    <w:rsid w:val="00C80EFA"/>
    <w:rsid w:val="00C82BC8"/>
    <w:rsid w:val="00C830E6"/>
    <w:rsid w:val="00C84C35"/>
    <w:rsid w:val="00C908D4"/>
    <w:rsid w:val="00C90BDA"/>
    <w:rsid w:val="00C9789E"/>
    <w:rsid w:val="00CA143C"/>
    <w:rsid w:val="00CA44AF"/>
    <w:rsid w:val="00CA4B18"/>
    <w:rsid w:val="00CC4C5A"/>
    <w:rsid w:val="00CD6BBA"/>
    <w:rsid w:val="00CE18A1"/>
    <w:rsid w:val="00CE74CD"/>
    <w:rsid w:val="00D02353"/>
    <w:rsid w:val="00D03C23"/>
    <w:rsid w:val="00D16099"/>
    <w:rsid w:val="00D21AAD"/>
    <w:rsid w:val="00D2340E"/>
    <w:rsid w:val="00D3062B"/>
    <w:rsid w:val="00D31457"/>
    <w:rsid w:val="00D33F8A"/>
    <w:rsid w:val="00D353F4"/>
    <w:rsid w:val="00D420E3"/>
    <w:rsid w:val="00D45927"/>
    <w:rsid w:val="00D4739F"/>
    <w:rsid w:val="00D533FC"/>
    <w:rsid w:val="00D54721"/>
    <w:rsid w:val="00D55D58"/>
    <w:rsid w:val="00D65E91"/>
    <w:rsid w:val="00D67307"/>
    <w:rsid w:val="00D67C6D"/>
    <w:rsid w:val="00D70397"/>
    <w:rsid w:val="00D707E9"/>
    <w:rsid w:val="00D70987"/>
    <w:rsid w:val="00D77179"/>
    <w:rsid w:val="00D7786A"/>
    <w:rsid w:val="00D83D54"/>
    <w:rsid w:val="00D85AA6"/>
    <w:rsid w:val="00D95B60"/>
    <w:rsid w:val="00DA04E1"/>
    <w:rsid w:val="00DA198A"/>
    <w:rsid w:val="00DA7DA6"/>
    <w:rsid w:val="00DB2BC6"/>
    <w:rsid w:val="00DC0779"/>
    <w:rsid w:val="00DD1F72"/>
    <w:rsid w:val="00DD4365"/>
    <w:rsid w:val="00DD5B87"/>
    <w:rsid w:val="00DD7722"/>
    <w:rsid w:val="00DD784D"/>
    <w:rsid w:val="00DD7A65"/>
    <w:rsid w:val="00DE2FBE"/>
    <w:rsid w:val="00DE3410"/>
    <w:rsid w:val="00DE4E2F"/>
    <w:rsid w:val="00DE55F1"/>
    <w:rsid w:val="00DE75DB"/>
    <w:rsid w:val="00DF1521"/>
    <w:rsid w:val="00DF1E04"/>
    <w:rsid w:val="00DF493B"/>
    <w:rsid w:val="00DF4E6B"/>
    <w:rsid w:val="00DF7C04"/>
    <w:rsid w:val="00E07BD3"/>
    <w:rsid w:val="00E10311"/>
    <w:rsid w:val="00E13F6C"/>
    <w:rsid w:val="00E21A98"/>
    <w:rsid w:val="00E25852"/>
    <w:rsid w:val="00E26CBC"/>
    <w:rsid w:val="00E26E56"/>
    <w:rsid w:val="00E278D3"/>
    <w:rsid w:val="00E304E5"/>
    <w:rsid w:val="00E30BE5"/>
    <w:rsid w:val="00E3793B"/>
    <w:rsid w:val="00E37F24"/>
    <w:rsid w:val="00E474ED"/>
    <w:rsid w:val="00E47CB7"/>
    <w:rsid w:val="00E51613"/>
    <w:rsid w:val="00E54CE2"/>
    <w:rsid w:val="00E60794"/>
    <w:rsid w:val="00E62D90"/>
    <w:rsid w:val="00E652BD"/>
    <w:rsid w:val="00E6695C"/>
    <w:rsid w:val="00E70075"/>
    <w:rsid w:val="00E71593"/>
    <w:rsid w:val="00E75D11"/>
    <w:rsid w:val="00E800B6"/>
    <w:rsid w:val="00E84A00"/>
    <w:rsid w:val="00E92AD4"/>
    <w:rsid w:val="00EA0F29"/>
    <w:rsid w:val="00EA4112"/>
    <w:rsid w:val="00EA53F3"/>
    <w:rsid w:val="00EA5849"/>
    <w:rsid w:val="00EA63C5"/>
    <w:rsid w:val="00EB7364"/>
    <w:rsid w:val="00EC03BF"/>
    <w:rsid w:val="00EC148D"/>
    <w:rsid w:val="00EC1910"/>
    <w:rsid w:val="00EC47E1"/>
    <w:rsid w:val="00EC4FE0"/>
    <w:rsid w:val="00EC580D"/>
    <w:rsid w:val="00ED12D0"/>
    <w:rsid w:val="00ED3D26"/>
    <w:rsid w:val="00EE4716"/>
    <w:rsid w:val="00EE6DE9"/>
    <w:rsid w:val="00EF003D"/>
    <w:rsid w:val="00EF09FA"/>
    <w:rsid w:val="00EF2C8C"/>
    <w:rsid w:val="00EF5C64"/>
    <w:rsid w:val="00F048E1"/>
    <w:rsid w:val="00F10326"/>
    <w:rsid w:val="00F1215C"/>
    <w:rsid w:val="00F14344"/>
    <w:rsid w:val="00F20B35"/>
    <w:rsid w:val="00F232F3"/>
    <w:rsid w:val="00F33D2F"/>
    <w:rsid w:val="00F33F89"/>
    <w:rsid w:val="00F40FD3"/>
    <w:rsid w:val="00F50343"/>
    <w:rsid w:val="00F51759"/>
    <w:rsid w:val="00F5433A"/>
    <w:rsid w:val="00F66408"/>
    <w:rsid w:val="00F6742D"/>
    <w:rsid w:val="00F67CF9"/>
    <w:rsid w:val="00F70695"/>
    <w:rsid w:val="00F758A6"/>
    <w:rsid w:val="00F7791A"/>
    <w:rsid w:val="00F8270A"/>
    <w:rsid w:val="00F8406D"/>
    <w:rsid w:val="00F8544B"/>
    <w:rsid w:val="00F91EDC"/>
    <w:rsid w:val="00FA0502"/>
    <w:rsid w:val="00FA0EEF"/>
    <w:rsid w:val="00FA35A8"/>
    <w:rsid w:val="00FA6650"/>
    <w:rsid w:val="00FB085E"/>
    <w:rsid w:val="00FB4062"/>
    <w:rsid w:val="00FB7DB0"/>
    <w:rsid w:val="00FC0344"/>
    <w:rsid w:val="00FC0C32"/>
    <w:rsid w:val="00FC4458"/>
    <w:rsid w:val="00FC4C97"/>
    <w:rsid w:val="00FC5D00"/>
    <w:rsid w:val="00FD355F"/>
    <w:rsid w:val="00FE740D"/>
    <w:rsid w:val="00FF2A68"/>
    <w:rsid w:val="00FF4D4F"/>
    <w:rsid w:val="023A1E0E"/>
    <w:rsid w:val="03CD6987"/>
    <w:rsid w:val="07D1F9FF"/>
    <w:rsid w:val="09165E06"/>
    <w:rsid w:val="0B3A993E"/>
    <w:rsid w:val="0DCE327C"/>
    <w:rsid w:val="10E4D74B"/>
    <w:rsid w:val="18209692"/>
    <w:rsid w:val="18E06F5A"/>
    <w:rsid w:val="19DB673F"/>
    <w:rsid w:val="1B4704F1"/>
    <w:rsid w:val="1B790EB9"/>
    <w:rsid w:val="1B94A517"/>
    <w:rsid w:val="1D81B9A8"/>
    <w:rsid w:val="1D850B25"/>
    <w:rsid w:val="285DC545"/>
    <w:rsid w:val="2EAC7D40"/>
    <w:rsid w:val="305D26C9"/>
    <w:rsid w:val="3226EF1E"/>
    <w:rsid w:val="35703582"/>
    <w:rsid w:val="372AD35C"/>
    <w:rsid w:val="3A2456E9"/>
    <w:rsid w:val="4CB8CE48"/>
    <w:rsid w:val="4F0F6248"/>
    <w:rsid w:val="4FDE3CC9"/>
    <w:rsid w:val="57974E1C"/>
    <w:rsid w:val="5A572908"/>
    <w:rsid w:val="5C77915C"/>
    <w:rsid w:val="5D9CD23E"/>
    <w:rsid w:val="5E75E0C4"/>
    <w:rsid w:val="62703CEC"/>
    <w:rsid w:val="64F4D99E"/>
    <w:rsid w:val="695DCF19"/>
    <w:rsid w:val="69DFE3BA"/>
    <w:rsid w:val="6A5101EF"/>
    <w:rsid w:val="72BB3181"/>
    <w:rsid w:val="762329C4"/>
    <w:rsid w:val="769F03F9"/>
    <w:rsid w:val="778849B0"/>
    <w:rsid w:val="78CA7329"/>
    <w:rsid w:val="7C975D54"/>
    <w:rsid w:val="7CACDD34"/>
    <w:rsid w:val="7E45D0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00ED6"/>
  <w15:chartTrackingRefBased/>
  <w15:docId w15:val="{EB0EE660-EB13-48B4-9435-6CB31E318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58"/>
  </w:style>
  <w:style w:type="paragraph" w:styleId="Ttulo1">
    <w:name w:val="heading 1"/>
    <w:basedOn w:val="Normal"/>
    <w:link w:val="Ttulo1Car"/>
    <w:uiPriority w:val="9"/>
    <w:qFormat/>
    <w:rsid w:val="005905CB"/>
    <w:pPr>
      <w:widowControl w:val="0"/>
      <w:autoSpaceDE w:val="0"/>
      <w:autoSpaceDN w:val="0"/>
      <w:spacing w:after="0" w:line="240" w:lineRule="auto"/>
      <w:ind w:left="102" w:hanging="569"/>
      <w:outlineLvl w:val="0"/>
    </w:pPr>
    <w:rPr>
      <w:rFonts w:ascii="Tahoma" w:eastAsia="Tahoma" w:hAnsi="Tahoma" w:cs="Tahoma"/>
      <w:b/>
      <w:bCs/>
      <w:i/>
      <w:iCs/>
      <w:sz w:val="25"/>
      <w:szCs w:val="25"/>
      <w:lang w:val="es-ES"/>
    </w:rPr>
  </w:style>
  <w:style w:type="paragraph" w:styleId="Ttulo2">
    <w:name w:val="heading 2"/>
    <w:basedOn w:val="Normal"/>
    <w:link w:val="Ttulo2Car"/>
    <w:uiPriority w:val="9"/>
    <w:unhideWhenUsed/>
    <w:qFormat/>
    <w:rsid w:val="005905CB"/>
    <w:pPr>
      <w:widowControl w:val="0"/>
      <w:autoSpaceDE w:val="0"/>
      <w:autoSpaceDN w:val="0"/>
      <w:spacing w:after="0" w:line="240" w:lineRule="auto"/>
      <w:outlineLvl w:val="1"/>
    </w:pPr>
    <w:rPr>
      <w:rFonts w:ascii="Tahoma" w:eastAsia="Tahoma" w:hAnsi="Tahoma" w:cs="Tahoma"/>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qFormat/>
    <w:rsid w:val="00C2318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C23186"/>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qFormat/>
    <w:rsid w:val="00C23186"/>
    <w:rPr>
      <w:vertAlign w:val="superscript"/>
    </w:rPr>
  </w:style>
  <w:style w:type="character" w:customStyle="1" w:styleId="Ttulo1Car">
    <w:name w:val="Título 1 Car"/>
    <w:basedOn w:val="Fuentedeprrafopredeter"/>
    <w:link w:val="Ttulo1"/>
    <w:uiPriority w:val="9"/>
    <w:rsid w:val="005905CB"/>
    <w:rPr>
      <w:rFonts w:ascii="Tahoma" w:eastAsia="Tahoma" w:hAnsi="Tahoma" w:cs="Tahoma"/>
      <w:b/>
      <w:bCs/>
      <w:i/>
      <w:iCs/>
      <w:sz w:val="25"/>
      <w:szCs w:val="25"/>
      <w:lang w:val="es-ES"/>
    </w:rPr>
  </w:style>
  <w:style w:type="character" w:customStyle="1" w:styleId="Ttulo2Car">
    <w:name w:val="Título 2 Car"/>
    <w:basedOn w:val="Fuentedeprrafopredeter"/>
    <w:link w:val="Ttulo2"/>
    <w:uiPriority w:val="9"/>
    <w:rsid w:val="005905CB"/>
    <w:rPr>
      <w:rFonts w:ascii="Tahoma" w:eastAsia="Tahoma" w:hAnsi="Tahoma" w:cs="Tahoma"/>
      <w:b/>
      <w:bCs/>
      <w:sz w:val="24"/>
      <w:szCs w:val="24"/>
      <w:lang w:val="es-ES"/>
    </w:rPr>
  </w:style>
  <w:style w:type="numbering" w:customStyle="1" w:styleId="Sinlista1">
    <w:name w:val="Sin lista1"/>
    <w:next w:val="Sinlista"/>
    <w:uiPriority w:val="99"/>
    <w:semiHidden/>
    <w:unhideWhenUsed/>
    <w:rsid w:val="005905CB"/>
  </w:style>
  <w:style w:type="table" w:customStyle="1" w:styleId="NormalTable0">
    <w:name w:val="Normal Table0"/>
    <w:uiPriority w:val="2"/>
    <w:semiHidden/>
    <w:unhideWhenUsed/>
    <w:qFormat/>
    <w:rsid w:val="005905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905CB"/>
    <w:pPr>
      <w:widowControl w:val="0"/>
      <w:autoSpaceDE w:val="0"/>
      <w:autoSpaceDN w:val="0"/>
      <w:spacing w:after="0" w:line="240" w:lineRule="auto"/>
    </w:pPr>
    <w:rPr>
      <w:rFonts w:ascii="Tahoma" w:eastAsia="Tahoma" w:hAnsi="Tahoma" w:cs="Tahoma"/>
      <w:sz w:val="24"/>
      <w:szCs w:val="24"/>
      <w:lang w:val="es-ES"/>
    </w:rPr>
  </w:style>
  <w:style w:type="character" w:customStyle="1" w:styleId="TextoindependienteCar">
    <w:name w:val="Texto independiente Car"/>
    <w:basedOn w:val="Fuentedeprrafopredeter"/>
    <w:link w:val="Textoindependiente"/>
    <w:uiPriority w:val="1"/>
    <w:rsid w:val="005905CB"/>
    <w:rPr>
      <w:rFonts w:ascii="Tahoma" w:eastAsia="Tahoma" w:hAnsi="Tahoma" w:cs="Tahoma"/>
      <w:sz w:val="24"/>
      <w:szCs w:val="24"/>
      <w:lang w:val="es-ES"/>
    </w:rPr>
  </w:style>
  <w:style w:type="paragraph" w:styleId="Prrafodelista">
    <w:name w:val="List Paragraph"/>
    <w:basedOn w:val="Normal"/>
    <w:qFormat/>
    <w:rsid w:val="005905CB"/>
    <w:pPr>
      <w:widowControl w:val="0"/>
      <w:autoSpaceDE w:val="0"/>
      <w:autoSpaceDN w:val="0"/>
      <w:spacing w:after="0" w:line="240" w:lineRule="auto"/>
      <w:ind w:left="102" w:firstLine="707"/>
      <w:jc w:val="both"/>
    </w:pPr>
    <w:rPr>
      <w:rFonts w:ascii="Tahoma" w:eastAsia="Tahoma" w:hAnsi="Tahoma" w:cs="Tahoma"/>
      <w:lang w:val="es-ES"/>
    </w:rPr>
  </w:style>
  <w:style w:type="paragraph" w:customStyle="1" w:styleId="TableParagraph">
    <w:name w:val="Table Paragraph"/>
    <w:basedOn w:val="Normal"/>
    <w:uiPriority w:val="1"/>
    <w:qFormat/>
    <w:rsid w:val="005905CB"/>
    <w:pPr>
      <w:widowControl w:val="0"/>
      <w:autoSpaceDE w:val="0"/>
      <w:autoSpaceDN w:val="0"/>
      <w:spacing w:after="0" w:line="240" w:lineRule="auto"/>
    </w:pPr>
    <w:rPr>
      <w:rFonts w:ascii="Tahoma" w:eastAsia="Tahoma" w:hAnsi="Tahoma" w:cs="Tahoma"/>
      <w:lang w:val="es-ES"/>
    </w:rPr>
  </w:style>
  <w:style w:type="paragraph" w:styleId="Encabezado">
    <w:name w:val="header"/>
    <w:basedOn w:val="Normal"/>
    <w:link w:val="EncabezadoCar"/>
    <w:uiPriority w:val="99"/>
    <w:unhideWhenUsed/>
    <w:rsid w:val="009D5C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CE7"/>
  </w:style>
  <w:style w:type="paragraph" w:styleId="Piedepgina">
    <w:name w:val="footer"/>
    <w:basedOn w:val="Normal"/>
    <w:link w:val="PiedepginaCar"/>
    <w:uiPriority w:val="99"/>
    <w:unhideWhenUsed/>
    <w:rsid w:val="009D5C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CE7"/>
  </w:style>
  <w:style w:type="character" w:customStyle="1" w:styleId="normaltextrun">
    <w:name w:val="normaltextrun"/>
    <w:basedOn w:val="Fuentedeprrafopredeter"/>
    <w:rsid w:val="00B2527D"/>
  </w:style>
  <w:style w:type="paragraph" w:customStyle="1" w:styleId="paragraph">
    <w:name w:val="paragraph"/>
    <w:basedOn w:val="Normal"/>
    <w:rsid w:val="00B2527D"/>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eop">
    <w:name w:val="eop"/>
    <w:basedOn w:val="Fuentedeprrafopredeter"/>
    <w:rsid w:val="00B2527D"/>
  </w:style>
  <w:style w:type="table" w:styleId="Tablaconcuadrcula">
    <w:name w:val="Table Grid"/>
    <w:basedOn w:val="Tablanormal"/>
    <w:rsid w:val="00FA050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10326"/>
    <w:pPr>
      <w:spacing w:after="0" w:line="240" w:lineRule="auto"/>
    </w:pPr>
  </w:style>
  <w:style w:type="paragraph" w:styleId="NormalWeb">
    <w:name w:val="Normal (Web)"/>
    <w:basedOn w:val="Normal"/>
    <w:uiPriority w:val="99"/>
    <w:unhideWhenUsed/>
    <w:rsid w:val="00F1032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F10326"/>
  </w:style>
  <w:style w:type="paragraph" w:customStyle="1" w:styleId="Prrafodelista2">
    <w:name w:val="Párrafo de lista2"/>
    <w:basedOn w:val="Normal"/>
    <w:uiPriority w:val="99"/>
    <w:rsid w:val="00F10326"/>
    <w:pPr>
      <w:spacing w:after="200" w:line="276" w:lineRule="auto"/>
      <w:ind w:left="720"/>
      <w:contextualSpacing/>
    </w:pPr>
    <w:rPr>
      <w:rFonts w:ascii="Calibri" w:eastAsia="Times New Roman" w:hAnsi="Calibri" w:cs="Times New Roman"/>
    </w:rPr>
  </w:style>
  <w:style w:type="character" w:styleId="Refdecomentario">
    <w:name w:val="annotation reference"/>
    <w:basedOn w:val="Fuentedeprrafopredeter"/>
    <w:uiPriority w:val="99"/>
    <w:semiHidden/>
    <w:unhideWhenUsed/>
    <w:rsid w:val="00AE21E2"/>
    <w:rPr>
      <w:sz w:val="16"/>
      <w:szCs w:val="16"/>
    </w:rPr>
  </w:style>
  <w:style w:type="paragraph" w:styleId="Textocomentario">
    <w:name w:val="annotation text"/>
    <w:basedOn w:val="Normal"/>
    <w:link w:val="TextocomentarioCar"/>
    <w:uiPriority w:val="99"/>
    <w:semiHidden/>
    <w:unhideWhenUsed/>
    <w:rsid w:val="00AE21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21E2"/>
    <w:rPr>
      <w:sz w:val="20"/>
      <w:szCs w:val="20"/>
    </w:rPr>
  </w:style>
  <w:style w:type="paragraph" w:styleId="Asuntodelcomentario">
    <w:name w:val="annotation subject"/>
    <w:basedOn w:val="Textocomentario"/>
    <w:next w:val="Textocomentario"/>
    <w:link w:val="AsuntodelcomentarioCar"/>
    <w:uiPriority w:val="99"/>
    <w:semiHidden/>
    <w:unhideWhenUsed/>
    <w:rsid w:val="00AE21E2"/>
    <w:rPr>
      <w:b/>
      <w:bCs/>
    </w:rPr>
  </w:style>
  <w:style w:type="character" w:customStyle="1" w:styleId="AsuntodelcomentarioCar">
    <w:name w:val="Asunto del comentario Car"/>
    <w:basedOn w:val="TextocomentarioCar"/>
    <w:link w:val="Asuntodelcomentario"/>
    <w:uiPriority w:val="99"/>
    <w:semiHidden/>
    <w:rsid w:val="00AE21E2"/>
    <w:rPr>
      <w:b/>
      <w:bCs/>
      <w:sz w:val="20"/>
      <w:szCs w:val="20"/>
    </w:rPr>
  </w:style>
  <w:style w:type="paragraph" w:styleId="Textodeglobo">
    <w:name w:val="Balloon Text"/>
    <w:basedOn w:val="Normal"/>
    <w:link w:val="TextodegloboCar"/>
    <w:uiPriority w:val="99"/>
    <w:semiHidden/>
    <w:unhideWhenUsed/>
    <w:rsid w:val="00AE2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21E2"/>
    <w:rPr>
      <w:rFonts w:ascii="Segoe UI" w:hAnsi="Segoe UI" w:cs="Segoe UI"/>
      <w:sz w:val="18"/>
      <w:szCs w:val="18"/>
    </w:rPr>
  </w:style>
  <w:style w:type="character" w:styleId="Hipervnculo">
    <w:name w:val="Hyperlink"/>
    <w:basedOn w:val="Fuentedeprrafopredeter"/>
    <w:uiPriority w:val="99"/>
    <w:unhideWhenUsed/>
    <w:rPr>
      <w:color w:val="0563C1" w:themeColor="hyperlink"/>
      <w:u w:val="single"/>
    </w:rPr>
  </w:style>
  <w:style w:type="table" w:customStyle="1" w:styleId="Tablaconcuadrcula1">
    <w:name w:val="Tabla con cuadrícula1"/>
    <w:basedOn w:val="Tablanormal"/>
    <w:next w:val="Tablaconcuadrcula"/>
    <w:rsid w:val="004D57B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6461">
      <w:bodyDiv w:val="1"/>
      <w:marLeft w:val="0"/>
      <w:marRight w:val="0"/>
      <w:marTop w:val="0"/>
      <w:marBottom w:val="0"/>
      <w:divBdr>
        <w:top w:val="none" w:sz="0" w:space="0" w:color="auto"/>
        <w:left w:val="none" w:sz="0" w:space="0" w:color="auto"/>
        <w:bottom w:val="none" w:sz="0" w:space="0" w:color="auto"/>
        <w:right w:val="none" w:sz="0" w:space="0" w:color="auto"/>
      </w:divBdr>
    </w:div>
    <w:div w:id="234973795">
      <w:bodyDiv w:val="1"/>
      <w:marLeft w:val="0"/>
      <w:marRight w:val="0"/>
      <w:marTop w:val="0"/>
      <w:marBottom w:val="0"/>
      <w:divBdr>
        <w:top w:val="none" w:sz="0" w:space="0" w:color="auto"/>
        <w:left w:val="none" w:sz="0" w:space="0" w:color="auto"/>
        <w:bottom w:val="none" w:sz="0" w:space="0" w:color="auto"/>
        <w:right w:val="none" w:sz="0" w:space="0" w:color="auto"/>
      </w:divBdr>
    </w:div>
    <w:div w:id="596644883">
      <w:bodyDiv w:val="1"/>
      <w:marLeft w:val="0"/>
      <w:marRight w:val="0"/>
      <w:marTop w:val="0"/>
      <w:marBottom w:val="0"/>
      <w:divBdr>
        <w:top w:val="none" w:sz="0" w:space="0" w:color="auto"/>
        <w:left w:val="none" w:sz="0" w:space="0" w:color="auto"/>
        <w:bottom w:val="none" w:sz="0" w:space="0" w:color="auto"/>
        <w:right w:val="none" w:sz="0" w:space="0" w:color="auto"/>
      </w:divBdr>
      <w:divsChild>
        <w:div w:id="533229482">
          <w:marLeft w:val="0"/>
          <w:marRight w:val="0"/>
          <w:marTop w:val="0"/>
          <w:marBottom w:val="0"/>
          <w:divBdr>
            <w:top w:val="none" w:sz="0" w:space="0" w:color="auto"/>
            <w:left w:val="none" w:sz="0" w:space="0" w:color="auto"/>
            <w:bottom w:val="none" w:sz="0" w:space="0" w:color="auto"/>
            <w:right w:val="none" w:sz="0" w:space="0" w:color="auto"/>
          </w:divBdr>
        </w:div>
        <w:div w:id="1940676598">
          <w:marLeft w:val="0"/>
          <w:marRight w:val="0"/>
          <w:marTop w:val="0"/>
          <w:marBottom w:val="0"/>
          <w:divBdr>
            <w:top w:val="none" w:sz="0" w:space="0" w:color="auto"/>
            <w:left w:val="none" w:sz="0" w:space="0" w:color="auto"/>
            <w:bottom w:val="none" w:sz="0" w:space="0" w:color="auto"/>
            <w:right w:val="none" w:sz="0" w:space="0" w:color="auto"/>
          </w:divBdr>
        </w:div>
        <w:div w:id="339089224">
          <w:marLeft w:val="0"/>
          <w:marRight w:val="0"/>
          <w:marTop w:val="0"/>
          <w:marBottom w:val="0"/>
          <w:divBdr>
            <w:top w:val="none" w:sz="0" w:space="0" w:color="auto"/>
            <w:left w:val="none" w:sz="0" w:space="0" w:color="auto"/>
            <w:bottom w:val="none" w:sz="0" w:space="0" w:color="auto"/>
            <w:right w:val="none" w:sz="0" w:space="0" w:color="auto"/>
          </w:divBdr>
        </w:div>
      </w:divsChild>
    </w:div>
    <w:div w:id="700781246">
      <w:bodyDiv w:val="1"/>
      <w:marLeft w:val="0"/>
      <w:marRight w:val="0"/>
      <w:marTop w:val="0"/>
      <w:marBottom w:val="0"/>
      <w:divBdr>
        <w:top w:val="none" w:sz="0" w:space="0" w:color="auto"/>
        <w:left w:val="none" w:sz="0" w:space="0" w:color="auto"/>
        <w:bottom w:val="none" w:sz="0" w:space="0" w:color="auto"/>
        <w:right w:val="none" w:sz="0" w:space="0" w:color="auto"/>
      </w:divBdr>
    </w:div>
    <w:div w:id="777868269">
      <w:bodyDiv w:val="1"/>
      <w:marLeft w:val="0"/>
      <w:marRight w:val="0"/>
      <w:marTop w:val="0"/>
      <w:marBottom w:val="0"/>
      <w:divBdr>
        <w:top w:val="none" w:sz="0" w:space="0" w:color="auto"/>
        <w:left w:val="none" w:sz="0" w:space="0" w:color="auto"/>
        <w:bottom w:val="none" w:sz="0" w:space="0" w:color="auto"/>
        <w:right w:val="none" w:sz="0" w:space="0" w:color="auto"/>
      </w:divBdr>
    </w:div>
    <w:div w:id="1006634473">
      <w:bodyDiv w:val="1"/>
      <w:marLeft w:val="0"/>
      <w:marRight w:val="0"/>
      <w:marTop w:val="0"/>
      <w:marBottom w:val="0"/>
      <w:divBdr>
        <w:top w:val="none" w:sz="0" w:space="0" w:color="auto"/>
        <w:left w:val="none" w:sz="0" w:space="0" w:color="auto"/>
        <w:bottom w:val="none" w:sz="0" w:space="0" w:color="auto"/>
        <w:right w:val="none" w:sz="0" w:space="0" w:color="auto"/>
      </w:divBdr>
    </w:div>
    <w:div w:id="1195313611">
      <w:bodyDiv w:val="1"/>
      <w:marLeft w:val="0"/>
      <w:marRight w:val="0"/>
      <w:marTop w:val="0"/>
      <w:marBottom w:val="0"/>
      <w:divBdr>
        <w:top w:val="none" w:sz="0" w:space="0" w:color="auto"/>
        <w:left w:val="none" w:sz="0" w:space="0" w:color="auto"/>
        <w:bottom w:val="none" w:sz="0" w:space="0" w:color="auto"/>
        <w:right w:val="none" w:sz="0" w:space="0" w:color="auto"/>
      </w:divBdr>
    </w:div>
    <w:div w:id="1223250636">
      <w:bodyDiv w:val="1"/>
      <w:marLeft w:val="0"/>
      <w:marRight w:val="0"/>
      <w:marTop w:val="0"/>
      <w:marBottom w:val="0"/>
      <w:divBdr>
        <w:top w:val="none" w:sz="0" w:space="0" w:color="auto"/>
        <w:left w:val="none" w:sz="0" w:space="0" w:color="auto"/>
        <w:bottom w:val="none" w:sz="0" w:space="0" w:color="auto"/>
        <w:right w:val="none" w:sz="0" w:space="0" w:color="auto"/>
      </w:divBdr>
      <w:divsChild>
        <w:div w:id="359865438">
          <w:marLeft w:val="0"/>
          <w:marRight w:val="0"/>
          <w:marTop w:val="120"/>
          <w:marBottom w:val="120"/>
          <w:divBdr>
            <w:top w:val="none" w:sz="0" w:space="0" w:color="auto"/>
            <w:left w:val="none" w:sz="0" w:space="0" w:color="auto"/>
            <w:bottom w:val="none" w:sz="0" w:space="0" w:color="auto"/>
            <w:right w:val="none" w:sz="0" w:space="0" w:color="auto"/>
          </w:divBdr>
          <w:divsChild>
            <w:div w:id="779185103">
              <w:marLeft w:val="0"/>
              <w:marRight w:val="0"/>
              <w:marTop w:val="0"/>
              <w:marBottom w:val="0"/>
              <w:divBdr>
                <w:top w:val="none" w:sz="0" w:space="0" w:color="auto"/>
                <w:left w:val="none" w:sz="0" w:space="0" w:color="auto"/>
                <w:bottom w:val="none" w:sz="0" w:space="0" w:color="auto"/>
                <w:right w:val="none" w:sz="0" w:space="0" w:color="auto"/>
              </w:divBdr>
            </w:div>
          </w:divsChild>
        </w:div>
        <w:div w:id="147791672">
          <w:marLeft w:val="0"/>
          <w:marRight w:val="0"/>
          <w:marTop w:val="0"/>
          <w:marBottom w:val="120"/>
          <w:divBdr>
            <w:top w:val="none" w:sz="0" w:space="0" w:color="auto"/>
            <w:left w:val="none" w:sz="0" w:space="0" w:color="auto"/>
            <w:bottom w:val="none" w:sz="0" w:space="0" w:color="auto"/>
            <w:right w:val="none" w:sz="0" w:space="0" w:color="auto"/>
          </w:divBdr>
          <w:divsChild>
            <w:div w:id="10894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3757">
      <w:bodyDiv w:val="1"/>
      <w:marLeft w:val="0"/>
      <w:marRight w:val="0"/>
      <w:marTop w:val="0"/>
      <w:marBottom w:val="0"/>
      <w:divBdr>
        <w:top w:val="none" w:sz="0" w:space="0" w:color="auto"/>
        <w:left w:val="none" w:sz="0" w:space="0" w:color="auto"/>
        <w:bottom w:val="none" w:sz="0" w:space="0" w:color="auto"/>
        <w:right w:val="none" w:sz="0" w:space="0" w:color="auto"/>
      </w:divBdr>
    </w:div>
    <w:div w:id="1379087502">
      <w:bodyDiv w:val="1"/>
      <w:marLeft w:val="0"/>
      <w:marRight w:val="0"/>
      <w:marTop w:val="0"/>
      <w:marBottom w:val="0"/>
      <w:divBdr>
        <w:top w:val="none" w:sz="0" w:space="0" w:color="auto"/>
        <w:left w:val="none" w:sz="0" w:space="0" w:color="auto"/>
        <w:bottom w:val="none" w:sz="0" w:space="0" w:color="auto"/>
        <w:right w:val="none" w:sz="0" w:space="0" w:color="auto"/>
      </w:divBdr>
    </w:div>
    <w:div w:id="17802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decaeccb580441b6"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B62E-73FD-4C5B-9F97-CBBCF618B8E7}">
  <ds:schemaRefs>
    <ds:schemaRef ds:uri="http://schemas.microsoft.com/sharepoint/v3/contenttype/forms"/>
  </ds:schemaRefs>
</ds:datastoreItem>
</file>

<file path=customXml/itemProps2.xml><?xml version="1.0" encoding="utf-8"?>
<ds:datastoreItem xmlns:ds="http://schemas.openxmlformats.org/officeDocument/2006/customXml" ds:itemID="{46672CAC-1B7F-426A-B9E1-6E316A943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602B1-7DC7-4926-A02C-52200FF086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F61314-C2AF-46BB-B9A5-AAD7E266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4339</Words>
  <Characters>23865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Hermides Alonso Gaviria Ocampo</cp:lastModifiedBy>
  <cp:revision>23</cp:revision>
  <dcterms:created xsi:type="dcterms:W3CDTF">2021-11-09T19:13:00Z</dcterms:created>
  <dcterms:modified xsi:type="dcterms:W3CDTF">2022-01-24T17:32:00Z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