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Radicación:</w:t>
      </w:r>
      <w:r w:rsidR="00615134">
        <w:rPr>
          <w:rFonts w:ascii="Arial" w:hAnsi="Arial" w:cs="Arial"/>
          <w:szCs w:val="22"/>
        </w:rPr>
        <w:tab/>
      </w:r>
      <w:r w:rsidR="00615134">
        <w:rPr>
          <w:rFonts w:ascii="Arial" w:hAnsi="Arial" w:cs="Arial"/>
          <w:szCs w:val="22"/>
        </w:rPr>
        <w:tab/>
      </w:r>
      <w:r w:rsidRPr="00615134">
        <w:rPr>
          <w:rFonts w:ascii="Arial" w:hAnsi="Arial" w:cs="Arial"/>
          <w:szCs w:val="22"/>
        </w:rPr>
        <w:t xml:space="preserve">66001310500220210003401 </w:t>
      </w: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Proceso:</w:t>
      </w:r>
      <w:r w:rsidR="00615134">
        <w:rPr>
          <w:rFonts w:ascii="Arial" w:hAnsi="Arial" w:cs="Arial"/>
          <w:szCs w:val="22"/>
        </w:rPr>
        <w:tab/>
      </w:r>
      <w:r w:rsidR="00615134">
        <w:rPr>
          <w:rFonts w:ascii="Arial" w:hAnsi="Arial" w:cs="Arial"/>
          <w:szCs w:val="22"/>
        </w:rPr>
        <w:tab/>
        <w:t>Acción de t</w:t>
      </w:r>
      <w:r w:rsidRPr="00615134">
        <w:rPr>
          <w:rFonts w:ascii="Arial" w:hAnsi="Arial" w:cs="Arial"/>
          <w:szCs w:val="22"/>
        </w:rPr>
        <w:t xml:space="preserve">utela </w:t>
      </w: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Accionante:</w:t>
      </w:r>
      <w:r w:rsidR="00615134">
        <w:rPr>
          <w:rFonts w:ascii="Arial" w:hAnsi="Arial" w:cs="Arial"/>
          <w:szCs w:val="22"/>
        </w:rPr>
        <w:tab/>
      </w:r>
      <w:r w:rsidR="00615134">
        <w:rPr>
          <w:rFonts w:ascii="Arial" w:hAnsi="Arial" w:cs="Arial"/>
          <w:szCs w:val="22"/>
        </w:rPr>
        <w:tab/>
        <w:t>José Arley Gómez Hincapié</w:t>
      </w: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Accionado:</w:t>
      </w:r>
      <w:r w:rsidR="00615134">
        <w:rPr>
          <w:rFonts w:ascii="Arial" w:hAnsi="Arial" w:cs="Arial"/>
          <w:szCs w:val="22"/>
        </w:rPr>
        <w:tab/>
      </w:r>
      <w:r w:rsidR="00615134">
        <w:rPr>
          <w:rFonts w:ascii="Arial" w:hAnsi="Arial" w:cs="Arial"/>
          <w:szCs w:val="22"/>
        </w:rPr>
        <w:tab/>
      </w:r>
      <w:r w:rsidR="00615134">
        <w:rPr>
          <w:rFonts w:ascii="Arial" w:hAnsi="Arial" w:cs="Arial"/>
          <w:szCs w:val="22"/>
        </w:rPr>
        <w:t>EPS</w:t>
      </w:r>
      <w:r w:rsidR="00615134">
        <w:rPr>
          <w:rFonts w:ascii="Arial" w:hAnsi="Arial" w:cs="Arial"/>
          <w:szCs w:val="22"/>
        </w:rPr>
        <w:t xml:space="preserve"> Servicio Occidental de Salud</w:t>
      </w:r>
      <w:r w:rsidRPr="00615134">
        <w:rPr>
          <w:rFonts w:ascii="Arial" w:hAnsi="Arial" w:cs="Arial"/>
          <w:szCs w:val="22"/>
        </w:rPr>
        <w:t xml:space="preserve"> y otros </w:t>
      </w: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Juzgado de origen:</w:t>
      </w:r>
      <w:r w:rsidR="00615134">
        <w:rPr>
          <w:rFonts w:ascii="Arial" w:hAnsi="Arial" w:cs="Arial"/>
          <w:szCs w:val="22"/>
        </w:rPr>
        <w:tab/>
      </w:r>
      <w:r w:rsidRPr="00615134">
        <w:rPr>
          <w:rFonts w:ascii="Arial" w:hAnsi="Arial" w:cs="Arial"/>
          <w:szCs w:val="22"/>
        </w:rPr>
        <w:t xml:space="preserve">Segundo Laboral del Circuito de Pereira </w:t>
      </w: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  <w:r w:rsidRPr="00615134">
        <w:rPr>
          <w:rFonts w:ascii="Arial" w:hAnsi="Arial" w:cs="Arial"/>
          <w:szCs w:val="22"/>
        </w:rPr>
        <w:t>Magistrado Ponente:</w:t>
      </w:r>
      <w:r w:rsidR="00615134">
        <w:rPr>
          <w:rFonts w:ascii="Arial" w:hAnsi="Arial" w:cs="Arial"/>
          <w:szCs w:val="22"/>
        </w:rPr>
        <w:tab/>
      </w:r>
      <w:r w:rsidRPr="00615134">
        <w:rPr>
          <w:rFonts w:ascii="Arial" w:hAnsi="Arial" w:cs="Arial"/>
          <w:szCs w:val="22"/>
        </w:rPr>
        <w:t xml:space="preserve">Germán Darío </w:t>
      </w:r>
      <w:proofErr w:type="spellStart"/>
      <w:r w:rsidRPr="00615134">
        <w:rPr>
          <w:rFonts w:ascii="Arial" w:hAnsi="Arial" w:cs="Arial"/>
          <w:szCs w:val="22"/>
        </w:rPr>
        <w:t>Góez</w:t>
      </w:r>
      <w:proofErr w:type="spellEnd"/>
      <w:r w:rsidRPr="00615134">
        <w:rPr>
          <w:rFonts w:ascii="Arial" w:hAnsi="Arial" w:cs="Arial"/>
          <w:szCs w:val="22"/>
        </w:rPr>
        <w:t xml:space="preserve"> Vinasco </w:t>
      </w:r>
    </w:p>
    <w:p w:rsidR="00196481" w:rsidRDefault="00196481" w:rsidP="00615134">
      <w:pPr>
        <w:jc w:val="both"/>
        <w:rPr>
          <w:rFonts w:ascii="Arial" w:hAnsi="Arial" w:cs="Arial"/>
          <w:szCs w:val="22"/>
        </w:rPr>
      </w:pPr>
    </w:p>
    <w:p w:rsidR="00615134" w:rsidRDefault="00615134" w:rsidP="00615134">
      <w:pPr>
        <w:jc w:val="both"/>
        <w:rPr>
          <w:rFonts w:ascii="Arial" w:hAnsi="Arial" w:cs="Arial"/>
          <w:szCs w:val="22"/>
        </w:rPr>
      </w:pPr>
    </w:p>
    <w:p w:rsidR="00615134" w:rsidRPr="00615134" w:rsidRDefault="00615134" w:rsidP="00615134">
      <w:pPr>
        <w:jc w:val="both"/>
        <w:rPr>
          <w:rFonts w:ascii="Arial" w:hAnsi="Arial" w:cs="Arial"/>
          <w:szCs w:val="22"/>
        </w:rPr>
      </w:pPr>
    </w:p>
    <w:p w:rsidR="00196481" w:rsidRPr="00615134" w:rsidRDefault="00196481" w:rsidP="00615134">
      <w:pPr>
        <w:jc w:val="both"/>
        <w:rPr>
          <w:rFonts w:ascii="Arial" w:hAnsi="Arial" w:cs="Arial"/>
          <w:szCs w:val="22"/>
        </w:rPr>
      </w:pPr>
    </w:p>
    <w:p w:rsidR="00066C63" w:rsidRPr="00615134" w:rsidRDefault="00066C63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5134">
        <w:rPr>
          <w:rFonts w:ascii="Arial" w:hAnsi="Arial" w:cs="Arial"/>
          <w:sz w:val="24"/>
          <w:szCs w:val="24"/>
        </w:rPr>
        <w:t xml:space="preserve">MAGISTRADO: </w:t>
      </w:r>
      <w:r w:rsidRPr="00615134">
        <w:rPr>
          <w:rFonts w:ascii="Arial" w:hAnsi="Arial" w:cs="Arial"/>
          <w:b/>
          <w:sz w:val="24"/>
          <w:szCs w:val="24"/>
        </w:rPr>
        <w:t>JULIO CÉSAR SALAZAR MUÑOZ</w:t>
      </w:r>
    </w:p>
    <w:p w:rsidR="00CE20A4" w:rsidRPr="00615134" w:rsidRDefault="00CE20A4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6C63" w:rsidRPr="00615134" w:rsidRDefault="00066C63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6C63" w:rsidRPr="00615134" w:rsidRDefault="00066C63" w:rsidP="006151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15134">
        <w:rPr>
          <w:rFonts w:ascii="Arial" w:hAnsi="Arial" w:cs="Arial"/>
          <w:sz w:val="24"/>
          <w:szCs w:val="24"/>
        </w:rPr>
        <w:t xml:space="preserve">Pereira, </w:t>
      </w:r>
      <w:r w:rsidR="00EA2F4E" w:rsidRPr="00615134">
        <w:rPr>
          <w:rFonts w:ascii="Arial" w:hAnsi="Arial" w:cs="Arial"/>
          <w:sz w:val="24"/>
          <w:szCs w:val="24"/>
        </w:rPr>
        <w:t>Veinticuatro</w:t>
      </w:r>
      <w:r w:rsidRPr="00615134">
        <w:rPr>
          <w:rFonts w:ascii="Arial" w:hAnsi="Arial" w:cs="Arial"/>
          <w:sz w:val="24"/>
          <w:szCs w:val="24"/>
        </w:rPr>
        <w:t xml:space="preserve"> [</w:t>
      </w:r>
      <w:r w:rsidR="006F42C4" w:rsidRPr="00615134">
        <w:rPr>
          <w:rFonts w:ascii="Arial" w:hAnsi="Arial" w:cs="Arial"/>
          <w:sz w:val="24"/>
          <w:szCs w:val="24"/>
        </w:rPr>
        <w:t>2</w:t>
      </w:r>
      <w:r w:rsidR="00EA2F4E" w:rsidRPr="00615134">
        <w:rPr>
          <w:rFonts w:ascii="Arial" w:hAnsi="Arial" w:cs="Arial"/>
          <w:sz w:val="24"/>
          <w:szCs w:val="24"/>
        </w:rPr>
        <w:t>4</w:t>
      </w:r>
      <w:r w:rsidRPr="00615134">
        <w:rPr>
          <w:rFonts w:ascii="Arial" w:hAnsi="Arial" w:cs="Arial"/>
          <w:sz w:val="24"/>
          <w:szCs w:val="24"/>
        </w:rPr>
        <w:t xml:space="preserve">] de </w:t>
      </w:r>
      <w:r w:rsidR="00563642" w:rsidRPr="00615134">
        <w:rPr>
          <w:rFonts w:ascii="Arial" w:hAnsi="Arial" w:cs="Arial"/>
          <w:sz w:val="24"/>
          <w:szCs w:val="24"/>
        </w:rPr>
        <w:t>marzo</w:t>
      </w:r>
      <w:r w:rsidR="00D34338" w:rsidRPr="00615134">
        <w:rPr>
          <w:rFonts w:ascii="Arial" w:hAnsi="Arial" w:cs="Arial"/>
          <w:sz w:val="24"/>
          <w:szCs w:val="24"/>
        </w:rPr>
        <w:t xml:space="preserve"> de dos mil </w:t>
      </w:r>
      <w:r w:rsidR="00D70BFC" w:rsidRPr="00615134">
        <w:rPr>
          <w:rFonts w:ascii="Arial" w:hAnsi="Arial" w:cs="Arial"/>
          <w:sz w:val="24"/>
          <w:szCs w:val="24"/>
        </w:rPr>
        <w:t>veint</w:t>
      </w:r>
      <w:r w:rsidR="00CC7EE9" w:rsidRPr="00615134">
        <w:rPr>
          <w:rFonts w:ascii="Arial" w:hAnsi="Arial" w:cs="Arial"/>
          <w:sz w:val="24"/>
          <w:szCs w:val="24"/>
        </w:rPr>
        <w:t>iuno</w:t>
      </w:r>
      <w:r w:rsidRPr="00615134">
        <w:rPr>
          <w:rFonts w:ascii="Arial" w:hAnsi="Arial" w:cs="Arial"/>
          <w:sz w:val="24"/>
          <w:szCs w:val="24"/>
        </w:rPr>
        <w:t xml:space="preserve"> [20</w:t>
      </w:r>
      <w:r w:rsidR="00D70BFC" w:rsidRPr="00615134">
        <w:rPr>
          <w:rFonts w:ascii="Arial" w:hAnsi="Arial" w:cs="Arial"/>
          <w:sz w:val="24"/>
          <w:szCs w:val="24"/>
        </w:rPr>
        <w:t>2</w:t>
      </w:r>
      <w:r w:rsidR="00CC7EE9" w:rsidRPr="00615134">
        <w:rPr>
          <w:rFonts w:ascii="Arial" w:hAnsi="Arial" w:cs="Arial"/>
          <w:sz w:val="24"/>
          <w:szCs w:val="24"/>
        </w:rPr>
        <w:t>1</w:t>
      </w:r>
      <w:r w:rsidRPr="00615134">
        <w:rPr>
          <w:rFonts w:ascii="Arial" w:hAnsi="Arial" w:cs="Arial"/>
          <w:sz w:val="24"/>
          <w:szCs w:val="24"/>
        </w:rPr>
        <w:t>].</w:t>
      </w:r>
    </w:p>
    <w:p w:rsidR="00CE20A4" w:rsidRPr="00615134" w:rsidRDefault="00CE20A4" w:rsidP="006151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E20A4" w:rsidRPr="00615134" w:rsidRDefault="00CE20A4" w:rsidP="006151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74C13" w:rsidRPr="00615134" w:rsidRDefault="004204AF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5134">
        <w:rPr>
          <w:rFonts w:ascii="Arial" w:hAnsi="Arial" w:cs="Arial"/>
          <w:b/>
          <w:sz w:val="24"/>
          <w:szCs w:val="24"/>
          <w:u w:val="single"/>
        </w:rPr>
        <w:t>SALVAMENTO</w:t>
      </w:r>
      <w:r w:rsidR="00066C63" w:rsidRPr="00615134">
        <w:rPr>
          <w:rFonts w:ascii="Arial" w:hAnsi="Arial" w:cs="Arial"/>
          <w:b/>
          <w:sz w:val="24"/>
          <w:szCs w:val="24"/>
          <w:u w:val="single"/>
        </w:rPr>
        <w:t xml:space="preserve"> DE VOTO</w:t>
      </w:r>
    </w:p>
    <w:p w:rsidR="00F74C13" w:rsidRPr="00615134" w:rsidRDefault="00F74C13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E20A4" w:rsidRPr="00615134" w:rsidRDefault="00CE20A4" w:rsidP="006151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F42C4" w:rsidRPr="00615134" w:rsidRDefault="00563642" w:rsidP="0061513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615134">
        <w:rPr>
          <w:rStyle w:val="normaltextrun"/>
          <w:rFonts w:ascii="Arial" w:hAnsi="Arial" w:cs="Arial"/>
        </w:rPr>
        <w:t>Con el respeto que corresponde me aparto de la decisión mayoritaria por las siguientes razones:</w:t>
      </w:r>
      <w:r w:rsidR="0052673E" w:rsidRPr="00615134">
        <w:rPr>
          <w:rStyle w:val="normaltextrun"/>
          <w:rFonts w:ascii="Arial" w:hAnsi="Arial" w:cs="Arial"/>
        </w:rPr>
        <w:t xml:space="preserve"> </w:t>
      </w:r>
    </w:p>
    <w:p w:rsidR="00563642" w:rsidRPr="00615134" w:rsidRDefault="00563642" w:rsidP="006151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563642" w:rsidRPr="00615134" w:rsidRDefault="00450A7D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5134">
        <w:rPr>
          <w:rFonts w:ascii="Arial" w:hAnsi="Arial" w:cs="Arial"/>
        </w:rPr>
        <w:t xml:space="preserve">A mi juicio, </w:t>
      </w:r>
      <w:r w:rsidR="00563642" w:rsidRPr="00615134">
        <w:rPr>
          <w:rFonts w:ascii="Arial" w:hAnsi="Arial" w:cs="Arial"/>
        </w:rPr>
        <w:t xml:space="preserve">cuando el artículo 41 de la ley 100 de 1993 señala las diversas entidades que pueden hacer calificaciones de pérdida de la capacidad laboral, lo hace </w:t>
      </w:r>
      <w:r w:rsidRPr="00615134">
        <w:rPr>
          <w:rFonts w:ascii="Arial" w:hAnsi="Arial" w:cs="Arial"/>
        </w:rPr>
        <w:t>bajo el entendido</w:t>
      </w:r>
      <w:r w:rsidR="00563642" w:rsidRPr="00615134">
        <w:rPr>
          <w:rFonts w:ascii="Arial" w:hAnsi="Arial" w:cs="Arial"/>
        </w:rPr>
        <w:t xml:space="preserve"> que cada una</w:t>
      </w:r>
      <w:r w:rsidRPr="00615134">
        <w:rPr>
          <w:rFonts w:ascii="Arial" w:hAnsi="Arial" w:cs="Arial"/>
        </w:rPr>
        <w:t>,</w:t>
      </w:r>
      <w:r w:rsidR="00563642" w:rsidRPr="00615134">
        <w:rPr>
          <w:rFonts w:ascii="Arial" w:hAnsi="Arial" w:cs="Arial"/>
        </w:rPr>
        <w:t xml:space="preserve"> dentro de su sistema </w:t>
      </w:r>
      <w:r w:rsidRPr="00615134">
        <w:rPr>
          <w:rFonts w:ascii="Arial" w:hAnsi="Arial" w:cs="Arial"/>
        </w:rPr>
        <w:t>[</w:t>
      </w:r>
      <w:r w:rsidR="00563642" w:rsidRPr="00615134">
        <w:rPr>
          <w:rFonts w:ascii="Arial" w:hAnsi="Arial" w:cs="Arial"/>
        </w:rPr>
        <w:t>(pensiones -</w:t>
      </w:r>
      <w:proofErr w:type="spellStart"/>
      <w:r w:rsidR="00563642" w:rsidRPr="00615134">
        <w:rPr>
          <w:rFonts w:ascii="Arial" w:hAnsi="Arial" w:cs="Arial"/>
        </w:rPr>
        <w:t>afp</w:t>
      </w:r>
      <w:proofErr w:type="spellEnd"/>
      <w:r w:rsidR="00563642" w:rsidRPr="00615134">
        <w:rPr>
          <w:rFonts w:ascii="Arial" w:hAnsi="Arial" w:cs="Arial"/>
        </w:rPr>
        <w:t>-</w:t>
      </w:r>
      <w:r w:rsidRPr="00615134">
        <w:rPr>
          <w:rFonts w:ascii="Arial" w:hAnsi="Arial" w:cs="Arial"/>
        </w:rPr>
        <w:t>)</w:t>
      </w:r>
      <w:r w:rsidR="00563642" w:rsidRPr="00615134">
        <w:rPr>
          <w:rFonts w:ascii="Arial" w:hAnsi="Arial" w:cs="Arial"/>
        </w:rPr>
        <w:t xml:space="preserve">, </w:t>
      </w:r>
      <w:r w:rsidRPr="00615134">
        <w:rPr>
          <w:rFonts w:ascii="Arial" w:hAnsi="Arial" w:cs="Arial"/>
        </w:rPr>
        <w:t>(</w:t>
      </w:r>
      <w:r w:rsidR="00563642" w:rsidRPr="00615134">
        <w:rPr>
          <w:rFonts w:ascii="Arial" w:hAnsi="Arial" w:cs="Arial"/>
        </w:rPr>
        <w:t>riesgos laborales -</w:t>
      </w:r>
      <w:proofErr w:type="spellStart"/>
      <w:r w:rsidR="00563642" w:rsidRPr="00615134">
        <w:rPr>
          <w:rFonts w:ascii="Arial" w:hAnsi="Arial" w:cs="Arial"/>
        </w:rPr>
        <w:t>arl</w:t>
      </w:r>
      <w:proofErr w:type="spellEnd"/>
      <w:r w:rsidR="00563642" w:rsidRPr="00615134">
        <w:rPr>
          <w:rFonts w:ascii="Arial" w:hAnsi="Arial" w:cs="Arial"/>
        </w:rPr>
        <w:t>-</w:t>
      </w:r>
      <w:r w:rsidRPr="00615134">
        <w:rPr>
          <w:rFonts w:ascii="Arial" w:hAnsi="Arial" w:cs="Arial"/>
        </w:rPr>
        <w:t>)</w:t>
      </w:r>
      <w:r w:rsidR="00563642" w:rsidRPr="00615134">
        <w:rPr>
          <w:rFonts w:ascii="Arial" w:hAnsi="Arial" w:cs="Arial"/>
        </w:rPr>
        <w:t xml:space="preserve">, </w:t>
      </w:r>
      <w:proofErr w:type="gramStart"/>
      <w:r w:rsidR="00563642" w:rsidRPr="00615134">
        <w:rPr>
          <w:rFonts w:ascii="Arial" w:hAnsi="Arial" w:cs="Arial"/>
        </w:rPr>
        <w:t xml:space="preserve">y  </w:t>
      </w:r>
      <w:r w:rsidRPr="00615134">
        <w:rPr>
          <w:rFonts w:ascii="Arial" w:hAnsi="Arial" w:cs="Arial"/>
        </w:rPr>
        <w:t>(</w:t>
      </w:r>
      <w:proofErr w:type="gramEnd"/>
      <w:r w:rsidR="00563642" w:rsidRPr="00615134">
        <w:rPr>
          <w:rFonts w:ascii="Arial" w:hAnsi="Arial" w:cs="Arial"/>
        </w:rPr>
        <w:t>salud -</w:t>
      </w:r>
      <w:proofErr w:type="spellStart"/>
      <w:r w:rsidR="00563642" w:rsidRPr="00615134">
        <w:rPr>
          <w:rFonts w:ascii="Arial" w:hAnsi="Arial" w:cs="Arial"/>
        </w:rPr>
        <w:t>eps</w:t>
      </w:r>
      <w:proofErr w:type="spellEnd"/>
      <w:r w:rsidR="00563642" w:rsidRPr="00615134">
        <w:rPr>
          <w:rFonts w:ascii="Arial" w:hAnsi="Arial" w:cs="Arial"/>
        </w:rPr>
        <w:t>-)</w:t>
      </w:r>
      <w:r w:rsidRPr="00615134">
        <w:rPr>
          <w:rFonts w:ascii="Arial" w:hAnsi="Arial" w:cs="Arial"/>
        </w:rPr>
        <w:t>]</w:t>
      </w:r>
      <w:r w:rsidR="00563642" w:rsidRPr="00615134">
        <w:rPr>
          <w:rFonts w:ascii="Arial" w:hAnsi="Arial" w:cs="Arial"/>
        </w:rPr>
        <w:t xml:space="preserve"> por </w:t>
      </w:r>
      <w:proofErr w:type="spellStart"/>
      <w:r w:rsidR="00563642" w:rsidRPr="00615134">
        <w:rPr>
          <w:rFonts w:ascii="Arial" w:hAnsi="Arial" w:cs="Arial"/>
        </w:rPr>
        <w:t>si</w:t>
      </w:r>
      <w:proofErr w:type="spellEnd"/>
      <w:r w:rsidR="00563642" w:rsidRPr="00615134">
        <w:rPr>
          <w:rFonts w:ascii="Arial" w:hAnsi="Arial" w:cs="Arial"/>
        </w:rPr>
        <w:t xml:space="preserve"> mismas y respecto a las prestaciones que</w:t>
      </w:r>
      <w:r w:rsidRPr="00615134">
        <w:rPr>
          <w:rFonts w:ascii="Arial" w:hAnsi="Arial" w:cs="Arial"/>
        </w:rPr>
        <w:t xml:space="preserve"> a </w:t>
      </w:r>
      <w:r w:rsidR="00563642" w:rsidRPr="00615134">
        <w:rPr>
          <w:rFonts w:ascii="Arial" w:hAnsi="Arial" w:cs="Arial"/>
        </w:rPr>
        <w:t xml:space="preserve">ellas les </w:t>
      </w:r>
      <w:r w:rsidRPr="00615134">
        <w:rPr>
          <w:rFonts w:ascii="Arial" w:hAnsi="Arial" w:cs="Arial"/>
        </w:rPr>
        <w:t>corresponde asumir</w:t>
      </w:r>
      <w:r w:rsidR="00563642" w:rsidRPr="00615134">
        <w:rPr>
          <w:rFonts w:ascii="Arial" w:hAnsi="Arial" w:cs="Arial"/>
        </w:rPr>
        <w:t>, determinen la pérdida de capacidad laboral</w:t>
      </w:r>
      <w:r w:rsidRPr="00615134">
        <w:rPr>
          <w:rFonts w:ascii="Arial" w:hAnsi="Arial" w:cs="Arial"/>
        </w:rPr>
        <w:t xml:space="preserve"> de sus afiliados</w:t>
      </w:r>
      <w:r w:rsidR="00563642" w:rsidRPr="00615134">
        <w:rPr>
          <w:rFonts w:ascii="Arial" w:hAnsi="Arial" w:cs="Arial"/>
        </w:rPr>
        <w:t>. </w:t>
      </w:r>
    </w:p>
    <w:p w:rsidR="00450A7D" w:rsidRPr="00615134" w:rsidRDefault="00450A7D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345A4" w:rsidRPr="00615134" w:rsidRDefault="00450A7D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5134">
        <w:rPr>
          <w:rFonts w:ascii="Arial" w:hAnsi="Arial" w:cs="Arial"/>
        </w:rPr>
        <w:t>Lo anterior es totalmente lógico si en cuenta se tiene que, cuando ellas hacen la valoración y producto de esta resulta cumplido el requisito exigido para la prestación, inmediatamente y sin más trámite proceden a reconocerla. P</w:t>
      </w:r>
      <w:r w:rsidR="00563642" w:rsidRPr="00615134">
        <w:rPr>
          <w:rFonts w:ascii="Arial" w:hAnsi="Arial" w:cs="Arial"/>
        </w:rPr>
        <w:t xml:space="preserve">ero son ellas y no un agente externo al sistema </w:t>
      </w:r>
      <w:r w:rsidRPr="00615134">
        <w:rPr>
          <w:rFonts w:ascii="Arial" w:hAnsi="Arial" w:cs="Arial"/>
        </w:rPr>
        <w:t>(como lo es una AFP respecto al sistema de riesgos laborales, o una aseguradora del RAIS en cuanto a una pensión del RPM, o</w:t>
      </w:r>
      <w:r w:rsidR="000345A4" w:rsidRPr="00615134">
        <w:rPr>
          <w:rFonts w:ascii="Arial" w:hAnsi="Arial" w:cs="Arial"/>
        </w:rPr>
        <w:t>,</w:t>
      </w:r>
      <w:r w:rsidRPr="00615134">
        <w:rPr>
          <w:rFonts w:ascii="Arial" w:hAnsi="Arial" w:cs="Arial"/>
        </w:rPr>
        <w:t xml:space="preserve"> como en este caso</w:t>
      </w:r>
      <w:r w:rsidR="000345A4" w:rsidRPr="00615134">
        <w:rPr>
          <w:rFonts w:ascii="Arial" w:hAnsi="Arial" w:cs="Arial"/>
        </w:rPr>
        <w:t>,</w:t>
      </w:r>
      <w:r w:rsidRPr="00615134">
        <w:rPr>
          <w:rFonts w:ascii="Arial" w:hAnsi="Arial" w:cs="Arial"/>
        </w:rPr>
        <w:t xml:space="preserve"> una EPS </w:t>
      </w:r>
      <w:r w:rsidR="000345A4" w:rsidRPr="00615134">
        <w:rPr>
          <w:rFonts w:ascii="Arial" w:hAnsi="Arial" w:cs="Arial"/>
        </w:rPr>
        <w:t xml:space="preserve">en cuanto a una pensión de invalidez) </w:t>
      </w:r>
      <w:r w:rsidR="00563642" w:rsidRPr="00615134">
        <w:rPr>
          <w:rFonts w:ascii="Arial" w:hAnsi="Arial" w:cs="Arial"/>
        </w:rPr>
        <w:t>quien puede hacer la valoración, entre otras cosas porque</w:t>
      </w:r>
      <w:r w:rsidR="000345A4" w:rsidRPr="00615134">
        <w:rPr>
          <w:rFonts w:ascii="Arial" w:hAnsi="Arial" w:cs="Arial"/>
        </w:rPr>
        <w:t>, como atrás se dijo,</w:t>
      </w:r>
      <w:r w:rsidR="00563642" w:rsidRPr="00615134">
        <w:rPr>
          <w:rFonts w:ascii="Arial" w:hAnsi="Arial" w:cs="Arial"/>
        </w:rPr>
        <w:t xml:space="preserve"> ellas se pueden obligar por </w:t>
      </w:r>
      <w:proofErr w:type="spellStart"/>
      <w:r w:rsidR="00563642" w:rsidRPr="00615134">
        <w:rPr>
          <w:rFonts w:ascii="Arial" w:hAnsi="Arial" w:cs="Arial"/>
        </w:rPr>
        <w:t>si</w:t>
      </w:r>
      <w:proofErr w:type="spellEnd"/>
      <w:r w:rsidR="00563642" w:rsidRPr="00615134">
        <w:rPr>
          <w:rFonts w:ascii="Arial" w:hAnsi="Arial" w:cs="Arial"/>
        </w:rPr>
        <w:t xml:space="preserve"> mismas, pero no pueden verse </w:t>
      </w:r>
      <w:r w:rsidR="000345A4" w:rsidRPr="00615134">
        <w:rPr>
          <w:rFonts w:ascii="Arial" w:hAnsi="Arial" w:cs="Arial"/>
        </w:rPr>
        <w:t>vinculadas</w:t>
      </w:r>
      <w:r w:rsidR="00563642" w:rsidRPr="00615134">
        <w:rPr>
          <w:rFonts w:ascii="Arial" w:hAnsi="Arial" w:cs="Arial"/>
        </w:rPr>
        <w:t xml:space="preserve"> por la decisión de un tercero que no tiene jurisdicción. </w:t>
      </w:r>
    </w:p>
    <w:p w:rsidR="000345A4" w:rsidRPr="00615134" w:rsidRDefault="000345A4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63642" w:rsidRPr="00615134" w:rsidRDefault="000345A4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5134">
        <w:rPr>
          <w:rFonts w:ascii="Arial" w:hAnsi="Arial" w:cs="Arial"/>
        </w:rPr>
        <w:t>P</w:t>
      </w:r>
      <w:r w:rsidR="00563642" w:rsidRPr="00615134">
        <w:rPr>
          <w:rFonts w:ascii="Arial" w:hAnsi="Arial" w:cs="Arial"/>
        </w:rPr>
        <w:t>recisamente por eso es que</w:t>
      </w:r>
      <w:r w:rsidRPr="00615134">
        <w:rPr>
          <w:rFonts w:ascii="Arial" w:hAnsi="Arial" w:cs="Arial"/>
        </w:rPr>
        <w:t>,</w:t>
      </w:r>
      <w:r w:rsidR="00563642" w:rsidRPr="00615134">
        <w:rPr>
          <w:rFonts w:ascii="Arial" w:hAnsi="Arial" w:cs="Arial"/>
        </w:rPr>
        <w:t xml:space="preserve"> si se lee con cuidado el artículo</w:t>
      </w:r>
      <w:r w:rsidR="00A960A7" w:rsidRPr="00615134">
        <w:rPr>
          <w:rFonts w:ascii="Arial" w:hAnsi="Arial" w:cs="Arial"/>
        </w:rPr>
        <w:t xml:space="preserve"> 41 de la ley 100 de 1993</w:t>
      </w:r>
      <w:r w:rsidR="00563642" w:rsidRPr="00615134">
        <w:rPr>
          <w:rFonts w:ascii="Arial" w:hAnsi="Arial" w:cs="Arial"/>
        </w:rPr>
        <w:t xml:space="preserve">, se puede notar que la redacción no deja dudas respecto a que la valoración solo puede ser controvertida </w:t>
      </w:r>
      <w:r w:rsidR="00563642" w:rsidRPr="00615134">
        <w:rPr>
          <w:rFonts w:ascii="Arial" w:hAnsi="Arial" w:cs="Arial"/>
          <w:b/>
        </w:rPr>
        <w:t>por el interesado</w:t>
      </w:r>
      <w:r w:rsidR="00563642" w:rsidRPr="00615134">
        <w:rPr>
          <w:rFonts w:ascii="Arial" w:hAnsi="Arial" w:cs="Arial"/>
        </w:rPr>
        <w:t xml:space="preserve">, es decir, por quien está siendo valorado, pero no dice el artículo que las entidades puedan controvertir lo decidido -precisamente porque </w:t>
      </w:r>
      <w:r w:rsidRPr="00615134">
        <w:rPr>
          <w:rFonts w:ascii="Arial" w:hAnsi="Arial" w:cs="Arial"/>
        </w:rPr>
        <w:t xml:space="preserve">la norma parte de la base de que </w:t>
      </w:r>
      <w:r w:rsidR="00563642" w:rsidRPr="00615134">
        <w:rPr>
          <w:rFonts w:ascii="Arial" w:hAnsi="Arial" w:cs="Arial"/>
        </w:rPr>
        <w:t xml:space="preserve">son ellas quienes hacen </w:t>
      </w:r>
      <w:r w:rsidRPr="00615134">
        <w:rPr>
          <w:rFonts w:ascii="Arial" w:hAnsi="Arial" w:cs="Arial"/>
        </w:rPr>
        <w:t>sus</w:t>
      </w:r>
      <w:r w:rsidR="00563642" w:rsidRPr="00615134">
        <w:rPr>
          <w:rFonts w:ascii="Arial" w:hAnsi="Arial" w:cs="Arial"/>
        </w:rPr>
        <w:t xml:space="preserve"> valoraci</w:t>
      </w:r>
      <w:r w:rsidRPr="00615134">
        <w:rPr>
          <w:rFonts w:ascii="Arial" w:hAnsi="Arial" w:cs="Arial"/>
        </w:rPr>
        <w:t>ones,</w:t>
      </w:r>
      <w:r w:rsidR="00563642" w:rsidRPr="00615134">
        <w:rPr>
          <w:rFonts w:ascii="Arial" w:hAnsi="Arial" w:cs="Arial"/>
        </w:rPr>
        <w:t xml:space="preserve"> no un tercero. </w:t>
      </w:r>
      <w:r w:rsidRPr="00615134">
        <w:rPr>
          <w:rFonts w:ascii="Arial" w:hAnsi="Arial" w:cs="Arial"/>
        </w:rPr>
        <w:t>Al respecto d</w:t>
      </w:r>
      <w:r w:rsidR="00563642" w:rsidRPr="00615134">
        <w:rPr>
          <w:rFonts w:ascii="Arial" w:hAnsi="Arial" w:cs="Arial"/>
        </w:rPr>
        <w:t>ice textualmente el artículo en lo pertinente: </w:t>
      </w:r>
    </w:p>
    <w:p w:rsidR="000345A4" w:rsidRPr="00615134" w:rsidRDefault="000345A4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63642" w:rsidRPr="00615134" w:rsidRDefault="00563642" w:rsidP="00615134">
      <w:pPr>
        <w:pStyle w:val="NormalWeb"/>
        <w:shd w:val="clear" w:color="auto" w:fill="FFFFFF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615134">
        <w:rPr>
          <w:rFonts w:ascii="Arial" w:hAnsi="Arial" w:cs="Arial"/>
          <w:sz w:val="22"/>
        </w:rPr>
        <w:t>"Corresponde al Instituto de Seguros Sociales, Administradora Colombiana de Pensiones -COLPENSIONES-, a las Administradoras de Riesgos Profesionales&lt;</w:t>
      </w:r>
      <w:hyperlink r:id="rId10" w:anchor="NP6" w:tgtFrame="_blank" w:tooltip="http://www.secretariasenado.gov.co/senado/basedoc/ley_0100_1993_pr006.html#NP6" w:history="1">
        <w:r w:rsidRPr="00615134">
          <w:rPr>
            <w:rStyle w:val="Hipervnculo"/>
            <w:rFonts w:ascii="Arial" w:hAnsi="Arial" w:cs="Arial"/>
            <w:color w:val="auto"/>
            <w:sz w:val="22"/>
          </w:rPr>
          <w:t>6</w:t>
        </w:r>
      </w:hyperlink>
      <w:r w:rsidRPr="00615134">
        <w:rPr>
          <w:rFonts w:ascii="Arial" w:hAnsi="Arial" w:cs="Arial"/>
          <w:sz w:val="22"/>
        </w:rPr>
        <w:t xml:space="preserve">&gt; - ARP-, a las Compañías de Seguros que asuman el riesgo de </w:t>
      </w:r>
      <w:r w:rsidRPr="00615134">
        <w:rPr>
          <w:rStyle w:val="nfasis"/>
          <w:rFonts w:ascii="Arial" w:hAnsi="Arial" w:cs="Arial"/>
          <w:i w:val="0"/>
          <w:sz w:val="22"/>
        </w:rPr>
        <w:t>invalidez</w:t>
      </w:r>
      <w:r w:rsidRPr="00615134">
        <w:rPr>
          <w:rFonts w:ascii="Arial" w:hAnsi="Arial" w:cs="Arial"/>
          <w:sz w:val="22"/>
        </w:rPr>
        <w:t xml:space="preserve"> y muerte, y a las Entidades Promotoras de Salud EPS, determinar en una primera oportunidad </w:t>
      </w:r>
      <w:proofErr w:type="spellStart"/>
      <w:r w:rsidRPr="00615134">
        <w:rPr>
          <w:rFonts w:ascii="Arial" w:hAnsi="Arial" w:cs="Arial"/>
          <w:sz w:val="22"/>
        </w:rPr>
        <w:lastRenderedPageBreak/>
        <w:t>Ia</w:t>
      </w:r>
      <w:proofErr w:type="spellEnd"/>
      <w:r w:rsidRPr="00615134">
        <w:rPr>
          <w:rFonts w:ascii="Arial" w:hAnsi="Arial" w:cs="Arial"/>
          <w:sz w:val="22"/>
        </w:rPr>
        <w:t xml:space="preserve"> pérdida de capacidad laboral y calificar el grado de </w:t>
      </w:r>
      <w:r w:rsidRPr="00615134">
        <w:rPr>
          <w:rStyle w:val="nfasis"/>
          <w:rFonts w:ascii="Arial" w:hAnsi="Arial" w:cs="Arial"/>
          <w:i w:val="0"/>
          <w:sz w:val="22"/>
        </w:rPr>
        <w:t>invalidez</w:t>
      </w:r>
      <w:r w:rsidRPr="00615134">
        <w:rPr>
          <w:rFonts w:ascii="Arial" w:hAnsi="Arial" w:cs="Arial"/>
          <w:sz w:val="22"/>
        </w:rPr>
        <w:t xml:space="preserve"> y el origen de estas contingencias. </w:t>
      </w:r>
      <w:r w:rsidRPr="00615134">
        <w:rPr>
          <w:rStyle w:val="Textoennegrita"/>
          <w:rFonts w:ascii="Arial" w:hAnsi="Arial" w:cs="Arial"/>
          <w:sz w:val="22"/>
        </w:rPr>
        <w:t>En caso de que el interesado</w:t>
      </w:r>
      <w:r w:rsidRPr="00615134">
        <w:rPr>
          <w:rFonts w:ascii="Arial" w:hAnsi="Arial" w:cs="Arial"/>
          <w:sz w:val="22"/>
        </w:rPr>
        <w:t xml:space="preserve"> no esté de acuerdo con </w:t>
      </w:r>
      <w:proofErr w:type="spellStart"/>
      <w:r w:rsidRPr="00615134">
        <w:rPr>
          <w:rFonts w:ascii="Arial" w:hAnsi="Arial" w:cs="Arial"/>
          <w:sz w:val="22"/>
        </w:rPr>
        <w:t>Ia</w:t>
      </w:r>
      <w:proofErr w:type="spellEnd"/>
      <w:r w:rsidRPr="00615134">
        <w:rPr>
          <w:rFonts w:ascii="Arial" w:hAnsi="Arial" w:cs="Arial"/>
          <w:sz w:val="22"/>
        </w:rPr>
        <w:t xml:space="preserve"> calificación deberá manifestar su inconformidad dentro de los diez (10) días siguientes y </w:t>
      </w:r>
      <w:proofErr w:type="spellStart"/>
      <w:r w:rsidRPr="00615134">
        <w:rPr>
          <w:rFonts w:ascii="Arial" w:hAnsi="Arial" w:cs="Arial"/>
          <w:sz w:val="22"/>
        </w:rPr>
        <w:t>Ia</w:t>
      </w:r>
      <w:proofErr w:type="spellEnd"/>
      <w:r w:rsidRPr="00615134">
        <w:rPr>
          <w:rFonts w:ascii="Arial" w:hAnsi="Arial" w:cs="Arial"/>
          <w:sz w:val="22"/>
        </w:rPr>
        <w:t xml:space="preserve"> entidad deberá remitirlo a las Juntas Regionales de Calificación de </w:t>
      </w:r>
      <w:r w:rsidRPr="00615134">
        <w:rPr>
          <w:rStyle w:val="nfasis"/>
          <w:rFonts w:ascii="Arial" w:hAnsi="Arial" w:cs="Arial"/>
          <w:i w:val="0"/>
          <w:sz w:val="22"/>
        </w:rPr>
        <w:t>Invalidez</w:t>
      </w:r>
      <w:r w:rsidRPr="00615134">
        <w:rPr>
          <w:rFonts w:ascii="Arial" w:hAnsi="Arial" w:cs="Arial"/>
          <w:sz w:val="22"/>
        </w:rPr>
        <w:t xml:space="preserve"> del orden regional dentro de los cinco (5) días siguientes, cuya decisión será apelable ante </w:t>
      </w:r>
      <w:proofErr w:type="spellStart"/>
      <w:r w:rsidRPr="00615134">
        <w:rPr>
          <w:rFonts w:ascii="Arial" w:hAnsi="Arial" w:cs="Arial"/>
          <w:sz w:val="22"/>
        </w:rPr>
        <w:t>Ia</w:t>
      </w:r>
      <w:proofErr w:type="spellEnd"/>
      <w:r w:rsidRPr="00615134">
        <w:rPr>
          <w:rFonts w:ascii="Arial" w:hAnsi="Arial" w:cs="Arial"/>
          <w:sz w:val="22"/>
        </w:rPr>
        <w:t xml:space="preserve"> Junta Nacional de Calificación de </w:t>
      </w:r>
      <w:r w:rsidRPr="00615134">
        <w:rPr>
          <w:rStyle w:val="nfasis"/>
          <w:rFonts w:ascii="Arial" w:hAnsi="Arial" w:cs="Arial"/>
          <w:i w:val="0"/>
          <w:sz w:val="22"/>
        </w:rPr>
        <w:t>Invalidez</w:t>
      </w:r>
      <w:r w:rsidRPr="00615134">
        <w:rPr>
          <w:rFonts w:ascii="Arial" w:hAnsi="Arial" w:cs="Arial"/>
          <w:sz w:val="22"/>
        </w:rPr>
        <w:t xml:space="preserve">, </w:t>
      </w:r>
      <w:proofErr w:type="spellStart"/>
      <w:r w:rsidRPr="00615134">
        <w:rPr>
          <w:rFonts w:ascii="Arial" w:hAnsi="Arial" w:cs="Arial"/>
          <w:sz w:val="22"/>
        </w:rPr>
        <w:t>Ia</w:t>
      </w:r>
      <w:proofErr w:type="spellEnd"/>
      <w:r w:rsidRPr="00615134">
        <w:rPr>
          <w:rFonts w:ascii="Arial" w:hAnsi="Arial" w:cs="Arial"/>
          <w:sz w:val="22"/>
        </w:rPr>
        <w:t xml:space="preserve"> cual decidirá en un término de cinco (5) días. Contra dichas decisiones proceden las acciones legales.".</w:t>
      </w:r>
    </w:p>
    <w:p w:rsidR="00563642" w:rsidRPr="00615134" w:rsidRDefault="00563642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52FCA" w:rsidRPr="00615134" w:rsidRDefault="000345A4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5134">
        <w:rPr>
          <w:rFonts w:ascii="Arial" w:hAnsi="Arial" w:cs="Arial"/>
        </w:rPr>
        <w:t xml:space="preserve">Es por lo anterior que considero que COLPENSIONES obró bien procediendo por si misma a la valoración del ahora accionante, toda vez que la EPS no es la entidad a la que de acuerdo con la ley se le ha atribuido competencia para hacer la primera valoración dentro del sistema general de Pensiones y en razón de ello -como entidad encargada del reconocimiento de la prestación- no solo está en el derecho de realizarla, si no que su debida realización representa su </w:t>
      </w:r>
      <w:r w:rsidR="00724D50" w:rsidRPr="00615134">
        <w:rPr>
          <w:rFonts w:ascii="Arial" w:hAnsi="Arial" w:cs="Arial"/>
        </w:rPr>
        <w:t>deber respecto al correcto manejo de los recursos que le han sido confiados.</w:t>
      </w:r>
    </w:p>
    <w:p w:rsidR="00752FCA" w:rsidRPr="00615134" w:rsidRDefault="00752FCA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24D50" w:rsidRPr="00615134" w:rsidRDefault="00752FCA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5134">
        <w:rPr>
          <w:rFonts w:ascii="Arial" w:hAnsi="Arial" w:cs="Arial"/>
        </w:rPr>
        <w:t>Ahora bien, el artículo 2 del decreto 1352 de 2013</w:t>
      </w:r>
      <w:r w:rsidR="000703F6" w:rsidRPr="00615134">
        <w:rPr>
          <w:rFonts w:ascii="Arial" w:hAnsi="Arial" w:cs="Arial"/>
        </w:rPr>
        <w:t>,</w:t>
      </w:r>
      <w:r w:rsidRPr="00615134">
        <w:rPr>
          <w:rFonts w:ascii="Arial" w:hAnsi="Arial" w:cs="Arial"/>
        </w:rPr>
        <w:t xml:space="preserve"> que los magistrados de sala mayoritaria consideran que desdice del entendimiento que doy a la palabra “interesado” en el artículo 41 de la ley 100 de 1993, me parece que no corresponde al sentido que le otorgan</w:t>
      </w:r>
      <w:r w:rsidR="000703F6" w:rsidRPr="00615134">
        <w:rPr>
          <w:rFonts w:ascii="Arial" w:hAnsi="Arial" w:cs="Arial"/>
        </w:rPr>
        <w:t>,</w:t>
      </w:r>
      <w:r w:rsidRPr="00615134">
        <w:rPr>
          <w:rFonts w:ascii="Arial" w:hAnsi="Arial" w:cs="Arial"/>
        </w:rPr>
        <w:t xml:space="preserve"> porque los “interesados” a que se refiere dicho artículo lo son respecto al dictamen que profiera la Junta de Calificación de invalidez</w:t>
      </w:r>
      <w:r w:rsidR="000703F6" w:rsidRPr="00615134">
        <w:rPr>
          <w:rFonts w:ascii="Arial" w:hAnsi="Arial" w:cs="Arial"/>
        </w:rPr>
        <w:t>.</w:t>
      </w:r>
    </w:p>
    <w:p w:rsidR="00724D50" w:rsidRPr="00615134" w:rsidRDefault="00724D50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63642" w:rsidRPr="00615134" w:rsidRDefault="000703F6" w:rsidP="006151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r w:rsidRPr="00615134">
        <w:rPr>
          <w:rFonts w:ascii="Arial" w:hAnsi="Arial" w:cs="Arial"/>
        </w:rPr>
        <w:t>Las razones anteriores constituyen los motivos por los cuales no estoy de acuerdo con las órdenes impartidas a Colpensiones y por los cuales, de paso, considero que l</w:t>
      </w:r>
      <w:r w:rsidR="00724D50" w:rsidRPr="00615134">
        <w:rPr>
          <w:rFonts w:ascii="Arial" w:hAnsi="Arial" w:cs="Arial"/>
        </w:rPr>
        <w:t xml:space="preserve">a </w:t>
      </w:r>
      <w:r w:rsidR="000345A4" w:rsidRPr="00615134">
        <w:rPr>
          <w:rFonts w:ascii="Arial" w:hAnsi="Arial" w:cs="Arial"/>
        </w:rPr>
        <w:t>impugna</w:t>
      </w:r>
      <w:r w:rsidR="00724D50" w:rsidRPr="00615134">
        <w:rPr>
          <w:rFonts w:ascii="Arial" w:hAnsi="Arial" w:cs="Arial"/>
        </w:rPr>
        <w:t xml:space="preserve">ción </w:t>
      </w:r>
      <w:r w:rsidRPr="00615134">
        <w:rPr>
          <w:rFonts w:ascii="Arial" w:hAnsi="Arial" w:cs="Arial"/>
        </w:rPr>
        <w:t xml:space="preserve">-del accionante- </w:t>
      </w:r>
      <w:r w:rsidR="00724D50" w:rsidRPr="00615134">
        <w:rPr>
          <w:rFonts w:ascii="Arial" w:hAnsi="Arial" w:cs="Arial"/>
        </w:rPr>
        <w:t xml:space="preserve">de </w:t>
      </w:r>
      <w:r w:rsidRPr="00615134">
        <w:rPr>
          <w:rFonts w:ascii="Arial" w:hAnsi="Arial" w:cs="Arial"/>
        </w:rPr>
        <w:t>la</w:t>
      </w:r>
      <w:r w:rsidR="00724D50" w:rsidRPr="00615134">
        <w:rPr>
          <w:rFonts w:ascii="Arial" w:hAnsi="Arial" w:cs="Arial"/>
        </w:rPr>
        <w:t xml:space="preserve"> valoración de pérdida de capacidad laboral</w:t>
      </w:r>
      <w:r w:rsidR="000345A4" w:rsidRPr="00615134">
        <w:rPr>
          <w:rFonts w:ascii="Arial" w:hAnsi="Arial" w:cs="Arial"/>
        </w:rPr>
        <w:t xml:space="preserve"> </w:t>
      </w:r>
      <w:r w:rsidRPr="00615134">
        <w:rPr>
          <w:rFonts w:ascii="Arial" w:hAnsi="Arial" w:cs="Arial"/>
        </w:rPr>
        <w:t xml:space="preserve">que esta entidad realizó, </w:t>
      </w:r>
      <w:r w:rsidR="000345A4" w:rsidRPr="00615134">
        <w:rPr>
          <w:rFonts w:ascii="Arial" w:hAnsi="Arial" w:cs="Arial"/>
        </w:rPr>
        <w:t xml:space="preserve">debe </w:t>
      </w:r>
      <w:r w:rsidR="00724D50" w:rsidRPr="00615134">
        <w:rPr>
          <w:rFonts w:ascii="Arial" w:hAnsi="Arial" w:cs="Arial"/>
        </w:rPr>
        <w:t>ser resuelta por</w:t>
      </w:r>
      <w:r w:rsidR="000345A4" w:rsidRPr="00615134">
        <w:rPr>
          <w:rFonts w:ascii="Arial" w:hAnsi="Arial" w:cs="Arial"/>
        </w:rPr>
        <w:t xml:space="preserve"> la junta de calificación de invalidez</w:t>
      </w:r>
      <w:r w:rsidR="00DF3627" w:rsidRPr="00615134">
        <w:rPr>
          <w:rFonts w:ascii="Arial" w:hAnsi="Arial" w:cs="Arial"/>
        </w:rPr>
        <w:t>.</w:t>
      </w:r>
    </w:p>
    <w:p w:rsidR="00563642" w:rsidRPr="00615134" w:rsidRDefault="00563642" w:rsidP="0061513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EA2F4E" w:rsidRPr="00615134" w:rsidRDefault="00DF3627" w:rsidP="00615134">
      <w:pPr>
        <w:spacing w:line="276" w:lineRule="auto"/>
        <w:ind w:right="51"/>
        <w:jc w:val="both"/>
        <w:rPr>
          <w:rFonts w:ascii="Arial" w:eastAsia="Calibri" w:hAnsi="Arial" w:cs="Arial"/>
          <w:sz w:val="24"/>
          <w:szCs w:val="24"/>
          <w:lang w:val="es-CO" w:eastAsia="en-US"/>
        </w:rPr>
      </w:pPr>
      <w:r w:rsidRPr="00615134">
        <w:rPr>
          <w:rFonts w:ascii="Arial" w:eastAsia="Calibri" w:hAnsi="Arial" w:cs="Arial"/>
          <w:sz w:val="24"/>
          <w:szCs w:val="24"/>
          <w:lang w:val="es-CO" w:eastAsia="en-US"/>
        </w:rPr>
        <w:t>Q</w:t>
      </w:r>
      <w:r w:rsidR="0052673E" w:rsidRPr="00615134">
        <w:rPr>
          <w:rFonts w:ascii="Arial" w:eastAsia="Calibri" w:hAnsi="Arial" w:cs="Arial"/>
          <w:sz w:val="24"/>
          <w:szCs w:val="24"/>
          <w:lang w:val="es-CO" w:eastAsia="en-US"/>
        </w:rPr>
        <w:t>ueda así salvado mi voto</w:t>
      </w:r>
      <w:r w:rsidR="00C71EC3" w:rsidRPr="00615134">
        <w:rPr>
          <w:rFonts w:ascii="Arial" w:eastAsia="Calibri" w:hAnsi="Arial" w:cs="Arial"/>
          <w:sz w:val="24"/>
          <w:szCs w:val="24"/>
          <w:lang w:val="es-CO" w:eastAsia="en-US"/>
        </w:rPr>
        <w:t>.</w:t>
      </w:r>
      <w:r w:rsidR="00615134" w:rsidRPr="00615134">
        <w:rPr>
          <w:rFonts w:ascii="Arial" w:eastAsia="Calibri" w:hAnsi="Arial" w:cs="Arial"/>
          <w:sz w:val="24"/>
          <w:szCs w:val="24"/>
          <w:lang w:val="es-CO" w:eastAsia="en-US"/>
        </w:rPr>
        <w:t xml:space="preserve"> </w:t>
      </w:r>
    </w:p>
    <w:p w:rsidR="00C137A7" w:rsidRDefault="00C137A7" w:rsidP="00615134">
      <w:pPr>
        <w:pStyle w:val="Ttulo4"/>
        <w:spacing w:line="276" w:lineRule="auto"/>
        <w:jc w:val="left"/>
        <w:rPr>
          <w:i w:val="0"/>
          <w:szCs w:val="24"/>
        </w:rPr>
      </w:pPr>
    </w:p>
    <w:p w:rsidR="00615134" w:rsidRDefault="00615134" w:rsidP="00615134"/>
    <w:p w:rsidR="00615134" w:rsidRDefault="00615134" w:rsidP="00615134">
      <w:bookmarkStart w:id="0" w:name="_GoBack"/>
      <w:bookmarkEnd w:id="0"/>
    </w:p>
    <w:p w:rsidR="00615134" w:rsidRDefault="00615134" w:rsidP="00615134"/>
    <w:p w:rsidR="00615134" w:rsidRPr="00615134" w:rsidRDefault="00615134" w:rsidP="00615134"/>
    <w:p w:rsidR="00F74C13" w:rsidRPr="00615134" w:rsidRDefault="00F74C13" w:rsidP="00615134">
      <w:pPr>
        <w:pStyle w:val="Ttulo4"/>
        <w:spacing w:line="276" w:lineRule="auto"/>
        <w:rPr>
          <w:i w:val="0"/>
          <w:szCs w:val="24"/>
        </w:rPr>
      </w:pPr>
      <w:r w:rsidRPr="00615134">
        <w:rPr>
          <w:i w:val="0"/>
          <w:szCs w:val="24"/>
        </w:rPr>
        <w:t>JULIO CÉSAR SALAZAR MUÑOZ</w:t>
      </w:r>
    </w:p>
    <w:p w:rsidR="00F74C13" w:rsidRPr="00615134" w:rsidRDefault="00F74C13" w:rsidP="006151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15134">
        <w:rPr>
          <w:rFonts w:ascii="Arial" w:hAnsi="Arial" w:cs="Arial"/>
          <w:sz w:val="24"/>
          <w:szCs w:val="24"/>
        </w:rPr>
        <w:t>Magistrado</w:t>
      </w:r>
    </w:p>
    <w:sectPr w:rsidR="00F74C13" w:rsidRPr="00615134" w:rsidSect="00196481">
      <w:headerReference w:type="default" r:id="rId11"/>
      <w:footerReference w:type="default" r:id="rId12"/>
      <w:pgSz w:w="12242" w:h="18722" w:code="258"/>
      <w:pgMar w:top="1871" w:right="1304" w:bottom="1304" w:left="1871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60" w:rsidRDefault="00510C60">
      <w:r>
        <w:separator/>
      </w:r>
    </w:p>
  </w:endnote>
  <w:endnote w:type="continuationSeparator" w:id="0">
    <w:p w:rsidR="00510C60" w:rsidRDefault="005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School Book">
    <w:altName w:val="Arial Unicode MS"/>
    <w:panose1 w:val="00000000000000000000"/>
    <w:charset w:val="00"/>
    <w:family w:val="roman"/>
    <w:notTrueType/>
    <w:pitch w:val="default"/>
    <w:sig w:usb0="40000000" w:usb1="0062FE28" w:usb2="7F24142E" w:usb3="0049006E" w:csb0="005600D8" w:csb1="0062EF5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05" w:rsidRDefault="006E47E3">
    <w:pPr>
      <w:pStyle w:val="Piedepgina"/>
      <w:jc w:val="right"/>
    </w:pPr>
    <w:r>
      <w:fldChar w:fldCharType="begin"/>
    </w:r>
    <w:r w:rsidR="000B0005">
      <w:instrText>PAGE   \* MERGEFORMAT</w:instrText>
    </w:r>
    <w:r>
      <w:fldChar w:fldCharType="separate"/>
    </w:r>
    <w:r w:rsidR="00EA2F4E">
      <w:rPr>
        <w:noProof/>
      </w:rPr>
      <w:t>3</w:t>
    </w:r>
    <w:r>
      <w:fldChar w:fldCharType="end"/>
    </w:r>
  </w:p>
  <w:p w:rsidR="000B0005" w:rsidRDefault="000B0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60" w:rsidRDefault="00510C60">
      <w:r>
        <w:separator/>
      </w:r>
    </w:p>
  </w:footnote>
  <w:footnote w:type="continuationSeparator" w:id="0">
    <w:p w:rsidR="00510C60" w:rsidRDefault="0051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13" w:rsidRDefault="00F74C13" w:rsidP="00770B7F">
    <w:pPr>
      <w:tabs>
        <w:tab w:val="left" w:pos="-720"/>
      </w:tabs>
      <w:suppressAutoHyphens/>
      <w:jc w:val="both"/>
      <w:rPr>
        <w:rFonts w:ascii="Arial" w:hAnsi="Arial"/>
        <w:b/>
        <w:spacing w:val="-3"/>
        <w:sz w:val="16"/>
        <w:szCs w:val="16"/>
      </w:rPr>
    </w:pPr>
    <w:r>
      <w:rPr>
        <w:rFonts w:ascii="Arial" w:hAnsi="Arial"/>
        <w:b/>
        <w:spacing w:val="-3"/>
        <w:sz w:val="16"/>
        <w:szCs w:val="16"/>
      </w:rPr>
      <w:t xml:space="preserve">TRIBUNAL SUPERIOR DEL DISTRITO </w:t>
    </w:r>
    <w:r>
      <w:rPr>
        <w:rFonts w:ascii="Arial" w:hAnsi="Arial"/>
        <w:b/>
        <w:spacing w:val="-3"/>
        <w:sz w:val="16"/>
        <w:szCs w:val="16"/>
      </w:rPr>
      <w:tab/>
    </w:r>
  </w:p>
  <w:p w:rsidR="00F74C13" w:rsidRDefault="00F74C13" w:rsidP="00770B7F">
    <w:pPr>
      <w:tabs>
        <w:tab w:val="left" w:pos="-720"/>
      </w:tabs>
      <w:suppressAutoHyphens/>
      <w:jc w:val="both"/>
      <w:rPr>
        <w:rFonts w:ascii="Arial" w:hAnsi="Arial"/>
        <w:sz w:val="16"/>
        <w:szCs w:val="16"/>
      </w:rPr>
    </w:pPr>
    <w:r>
      <w:rPr>
        <w:rFonts w:ascii="Arial" w:hAnsi="Arial"/>
        <w:b/>
        <w:spacing w:val="-3"/>
        <w:sz w:val="16"/>
        <w:szCs w:val="16"/>
      </w:rPr>
      <w:tab/>
      <w:t xml:space="preserve">   </w:t>
    </w:r>
    <w:r w:rsidRPr="008328A1">
      <w:rPr>
        <w:rFonts w:ascii="Arial" w:hAnsi="Arial"/>
        <w:b/>
        <w:spacing w:val="-3"/>
        <w:sz w:val="16"/>
        <w:szCs w:val="16"/>
      </w:rPr>
      <w:object w:dxaOrig="3090" w:dyaOrig="3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60pt;height:63.75pt" fillcolor="window">
          <v:imagedata r:id="rId1" o:title=""/>
        </v:shape>
        <o:OLEObject Type="Embed" ProgID="PBrush" ShapeID="_x0000_i1067" DrawAspect="Content" ObjectID="_1680939449" r:id="rId2"/>
      </w:object>
    </w:r>
    <w:r>
      <w:rPr>
        <w:rFonts w:ascii="Arial" w:hAnsi="Arial"/>
        <w:b/>
        <w:spacing w:val="-3"/>
        <w:sz w:val="16"/>
        <w:szCs w:val="16"/>
      </w:rPr>
      <w:tab/>
    </w:r>
    <w:r>
      <w:rPr>
        <w:rFonts w:ascii="Arial" w:hAnsi="Arial"/>
        <w:b/>
        <w:spacing w:val="-3"/>
        <w:sz w:val="16"/>
        <w:szCs w:val="16"/>
      </w:rPr>
      <w:tab/>
    </w:r>
    <w:r>
      <w:rPr>
        <w:rFonts w:ascii="Arial" w:hAnsi="Arial"/>
        <w:b/>
        <w:spacing w:val="-3"/>
        <w:sz w:val="16"/>
        <w:szCs w:val="16"/>
      </w:rPr>
      <w:tab/>
    </w:r>
    <w:r>
      <w:rPr>
        <w:rFonts w:ascii="Arial" w:hAnsi="Arial"/>
        <w:b/>
        <w:spacing w:val="-3"/>
        <w:sz w:val="16"/>
        <w:szCs w:val="16"/>
      </w:rPr>
      <w:tab/>
    </w:r>
    <w:r>
      <w:rPr>
        <w:rFonts w:ascii="Arial" w:hAnsi="Arial"/>
        <w:b/>
        <w:spacing w:val="-3"/>
        <w:sz w:val="16"/>
        <w:szCs w:val="16"/>
      </w:rPr>
      <w:tab/>
    </w:r>
  </w:p>
  <w:p w:rsidR="00F74C13" w:rsidRDefault="00F74C13" w:rsidP="00770B7F">
    <w:pPr>
      <w:pStyle w:val="Ttulo3"/>
      <w:rPr>
        <w:szCs w:val="16"/>
      </w:rPr>
    </w:pPr>
    <w:r>
      <w:rPr>
        <w:szCs w:val="16"/>
      </w:rPr>
      <w:tab/>
      <w:t xml:space="preserve">  SALA LABORAL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  <w:p w:rsidR="00F74C13" w:rsidRDefault="00F74C13" w:rsidP="00770B7F">
    <w:pPr>
      <w:pStyle w:val="Ttulo1"/>
      <w:ind w:left="0" w:firstLine="0"/>
      <w:rPr>
        <w:rFonts w:ascii="Arial" w:hAnsi="Arial"/>
        <w:i w:val="0"/>
        <w:sz w:val="16"/>
        <w:szCs w:val="16"/>
      </w:rPr>
    </w:pPr>
    <w:r>
      <w:rPr>
        <w:rFonts w:ascii="Arial" w:hAnsi="Arial"/>
        <w:sz w:val="16"/>
        <w:szCs w:val="16"/>
      </w:rPr>
      <w:t xml:space="preserve">          </w:t>
    </w:r>
    <w:r>
      <w:rPr>
        <w:rFonts w:ascii="Arial" w:hAnsi="Arial"/>
        <w:i w:val="0"/>
        <w:sz w:val="16"/>
        <w:szCs w:val="16"/>
      </w:rPr>
      <w:t xml:space="preserve">PEREIRA – RISARALDA                                           </w:t>
    </w:r>
  </w:p>
  <w:p w:rsidR="00F74C13" w:rsidRDefault="00F74C13" w:rsidP="00770B7F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1C"/>
    <w:multiLevelType w:val="hybridMultilevel"/>
    <w:tmpl w:val="0A5A7EEE"/>
    <w:lvl w:ilvl="0" w:tplc="9D8C90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3321AC"/>
    <w:multiLevelType w:val="hybridMultilevel"/>
    <w:tmpl w:val="46349290"/>
    <w:lvl w:ilvl="0" w:tplc="F420F27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A7205"/>
    <w:multiLevelType w:val="multilevel"/>
    <w:tmpl w:val="D61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E589B"/>
    <w:multiLevelType w:val="hybridMultilevel"/>
    <w:tmpl w:val="E8AA3DBA"/>
    <w:lvl w:ilvl="0" w:tplc="28A6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61EC"/>
    <w:multiLevelType w:val="multilevel"/>
    <w:tmpl w:val="19146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D4F2314"/>
    <w:multiLevelType w:val="hybridMultilevel"/>
    <w:tmpl w:val="8438BE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42D"/>
    <w:multiLevelType w:val="hybridMultilevel"/>
    <w:tmpl w:val="7EA8624C"/>
    <w:lvl w:ilvl="0" w:tplc="AD9CBC7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63"/>
    <w:rsid w:val="00001EC0"/>
    <w:rsid w:val="000246D0"/>
    <w:rsid w:val="000345A4"/>
    <w:rsid w:val="00040156"/>
    <w:rsid w:val="00066C63"/>
    <w:rsid w:val="000703F6"/>
    <w:rsid w:val="00082CA6"/>
    <w:rsid w:val="000B0005"/>
    <w:rsid w:val="000B5A6E"/>
    <w:rsid w:val="000B6A17"/>
    <w:rsid w:val="000E6D5B"/>
    <w:rsid w:val="00117382"/>
    <w:rsid w:val="00143721"/>
    <w:rsid w:val="00173DAD"/>
    <w:rsid w:val="0018259F"/>
    <w:rsid w:val="00196481"/>
    <w:rsid w:val="001A3BB7"/>
    <w:rsid w:val="001B36E7"/>
    <w:rsid w:val="001D3418"/>
    <w:rsid w:val="001D7B31"/>
    <w:rsid w:val="001E006B"/>
    <w:rsid w:val="001E60B6"/>
    <w:rsid w:val="001F34A3"/>
    <w:rsid w:val="001F4A0D"/>
    <w:rsid w:val="001F64CF"/>
    <w:rsid w:val="00211BA4"/>
    <w:rsid w:val="00223F4F"/>
    <w:rsid w:val="00253DC6"/>
    <w:rsid w:val="00286C8A"/>
    <w:rsid w:val="00297C5B"/>
    <w:rsid w:val="002C34A0"/>
    <w:rsid w:val="002C4698"/>
    <w:rsid w:val="002D2EA1"/>
    <w:rsid w:val="00301FFB"/>
    <w:rsid w:val="00303663"/>
    <w:rsid w:val="0031744B"/>
    <w:rsid w:val="0036681F"/>
    <w:rsid w:val="003711CC"/>
    <w:rsid w:val="00391E10"/>
    <w:rsid w:val="00396D04"/>
    <w:rsid w:val="003E0A7E"/>
    <w:rsid w:val="003E72FA"/>
    <w:rsid w:val="003F2D1B"/>
    <w:rsid w:val="00400B8A"/>
    <w:rsid w:val="004204AF"/>
    <w:rsid w:val="00426F2A"/>
    <w:rsid w:val="00431B06"/>
    <w:rsid w:val="00450A7D"/>
    <w:rsid w:val="0045479C"/>
    <w:rsid w:val="004909C1"/>
    <w:rsid w:val="004A274A"/>
    <w:rsid w:val="004C3FA2"/>
    <w:rsid w:val="004F5D13"/>
    <w:rsid w:val="00503F66"/>
    <w:rsid w:val="0050566E"/>
    <w:rsid w:val="00510C60"/>
    <w:rsid w:val="0052673E"/>
    <w:rsid w:val="00544EE1"/>
    <w:rsid w:val="00563642"/>
    <w:rsid w:val="0056450F"/>
    <w:rsid w:val="005721A0"/>
    <w:rsid w:val="005A7131"/>
    <w:rsid w:val="005B3E98"/>
    <w:rsid w:val="005C062E"/>
    <w:rsid w:val="005C3B09"/>
    <w:rsid w:val="005E3B7C"/>
    <w:rsid w:val="005F4663"/>
    <w:rsid w:val="005F5540"/>
    <w:rsid w:val="00603694"/>
    <w:rsid w:val="006108EB"/>
    <w:rsid w:val="00615134"/>
    <w:rsid w:val="00654B0E"/>
    <w:rsid w:val="006939AD"/>
    <w:rsid w:val="006942E3"/>
    <w:rsid w:val="006B40CD"/>
    <w:rsid w:val="006E47E3"/>
    <w:rsid w:val="006E6F85"/>
    <w:rsid w:val="006F42C4"/>
    <w:rsid w:val="006F6C5B"/>
    <w:rsid w:val="00703AEB"/>
    <w:rsid w:val="00714B6E"/>
    <w:rsid w:val="007204DD"/>
    <w:rsid w:val="00724D50"/>
    <w:rsid w:val="007404EA"/>
    <w:rsid w:val="00752FCA"/>
    <w:rsid w:val="00754E95"/>
    <w:rsid w:val="0076195D"/>
    <w:rsid w:val="00763513"/>
    <w:rsid w:val="00770B7F"/>
    <w:rsid w:val="00776330"/>
    <w:rsid w:val="00782BE3"/>
    <w:rsid w:val="00784352"/>
    <w:rsid w:val="00792915"/>
    <w:rsid w:val="007B2E2D"/>
    <w:rsid w:val="007E3AB5"/>
    <w:rsid w:val="008002DF"/>
    <w:rsid w:val="00801C59"/>
    <w:rsid w:val="0080295E"/>
    <w:rsid w:val="00804E10"/>
    <w:rsid w:val="00822824"/>
    <w:rsid w:val="008328A1"/>
    <w:rsid w:val="00861AF1"/>
    <w:rsid w:val="008918B4"/>
    <w:rsid w:val="008C145F"/>
    <w:rsid w:val="008D1CE5"/>
    <w:rsid w:val="008F259F"/>
    <w:rsid w:val="008F59EC"/>
    <w:rsid w:val="009002BF"/>
    <w:rsid w:val="0091173E"/>
    <w:rsid w:val="00912404"/>
    <w:rsid w:val="0091581B"/>
    <w:rsid w:val="009171C3"/>
    <w:rsid w:val="00917CE3"/>
    <w:rsid w:val="0093085A"/>
    <w:rsid w:val="00930D51"/>
    <w:rsid w:val="009434CA"/>
    <w:rsid w:val="00975528"/>
    <w:rsid w:val="00986E93"/>
    <w:rsid w:val="009C7111"/>
    <w:rsid w:val="009E1181"/>
    <w:rsid w:val="009E25BB"/>
    <w:rsid w:val="009F6690"/>
    <w:rsid w:val="00A11359"/>
    <w:rsid w:val="00A13FD4"/>
    <w:rsid w:val="00A2266F"/>
    <w:rsid w:val="00A315E3"/>
    <w:rsid w:val="00A337DA"/>
    <w:rsid w:val="00A34D9F"/>
    <w:rsid w:val="00A3656E"/>
    <w:rsid w:val="00A43A11"/>
    <w:rsid w:val="00A448FA"/>
    <w:rsid w:val="00A47838"/>
    <w:rsid w:val="00A842F1"/>
    <w:rsid w:val="00A950F3"/>
    <w:rsid w:val="00A960A7"/>
    <w:rsid w:val="00AB3CF1"/>
    <w:rsid w:val="00AC6E44"/>
    <w:rsid w:val="00B03E7D"/>
    <w:rsid w:val="00B24FFB"/>
    <w:rsid w:val="00B44EA6"/>
    <w:rsid w:val="00B4610A"/>
    <w:rsid w:val="00B53F7A"/>
    <w:rsid w:val="00B54135"/>
    <w:rsid w:val="00B612C9"/>
    <w:rsid w:val="00B640A6"/>
    <w:rsid w:val="00B738D4"/>
    <w:rsid w:val="00B9505E"/>
    <w:rsid w:val="00BA46E5"/>
    <w:rsid w:val="00BB1F26"/>
    <w:rsid w:val="00C12463"/>
    <w:rsid w:val="00C137A7"/>
    <w:rsid w:val="00C2448F"/>
    <w:rsid w:val="00C418DC"/>
    <w:rsid w:val="00C6451A"/>
    <w:rsid w:val="00C71EC3"/>
    <w:rsid w:val="00C86426"/>
    <w:rsid w:val="00CA2004"/>
    <w:rsid w:val="00CC7EE9"/>
    <w:rsid w:val="00CD558E"/>
    <w:rsid w:val="00CE20A4"/>
    <w:rsid w:val="00CE375F"/>
    <w:rsid w:val="00CF3409"/>
    <w:rsid w:val="00D0167B"/>
    <w:rsid w:val="00D33575"/>
    <w:rsid w:val="00D34338"/>
    <w:rsid w:val="00D425B3"/>
    <w:rsid w:val="00D45974"/>
    <w:rsid w:val="00D610BA"/>
    <w:rsid w:val="00D70BFC"/>
    <w:rsid w:val="00D71EA1"/>
    <w:rsid w:val="00DA3E4A"/>
    <w:rsid w:val="00DC4544"/>
    <w:rsid w:val="00DD65CA"/>
    <w:rsid w:val="00DE2A50"/>
    <w:rsid w:val="00DF3627"/>
    <w:rsid w:val="00E04A83"/>
    <w:rsid w:val="00E121AF"/>
    <w:rsid w:val="00E21421"/>
    <w:rsid w:val="00E21999"/>
    <w:rsid w:val="00E2482B"/>
    <w:rsid w:val="00E449F6"/>
    <w:rsid w:val="00E657E0"/>
    <w:rsid w:val="00E93F41"/>
    <w:rsid w:val="00EA2F4E"/>
    <w:rsid w:val="00EB2AD1"/>
    <w:rsid w:val="00EB3D99"/>
    <w:rsid w:val="00EB51F5"/>
    <w:rsid w:val="00EE73E0"/>
    <w:rsid w:val="00F3240D"/>
    <w:rsid w:val="00F40063"/>
    <w:rsid w:val="00F45012"/>
    <w:rsid w:val="00F533BC"/>
    <w:rsid w:val="00F74C13"/>
    <w:rsid w:val="00F91641"/>
    <w:rsid w:val="00FA5217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D9A7D"/>
  <w15:docId w15:val="{A9B94E9E-E2DD-4C52-BD74-393EBD6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A1"/>
    <w:rPr>
      <w:lang w:val="es-ES" w:eastAsia="es-ES"/>
    </w:rPr>
  </w:style>
  <w:style w:type="paragraph" w:styleId="Ttulo1">
    <w:name w:val="heading 1"/>
    <w:basedOn w:val="Normal"/>
    <w:next w:val="Normal"/>
    <w:qFormat/>
    <w:rsid w:val="008328A1"/>
    <w:pPr>
      <w:keepNext/>
      <w:widowControl w:val="0"/>
      <w:ind w:left="2160" w:firstLine="720"/>
      <w:jc w:val="both"/>
      <w:outlineLvl w:val="0"/>
    </w:pPr>
    <w:rPr>
      <w:rFonts w:ascii="Century Gothic School Book" w:hAnsi="Century Gothic School Book"/>
      <w:b/>
      <w:i/>
      <w:snapToGrid w:val="0"/>
      <w:sz w:val="26"/>
    </w:rPr>
  </w:style>
  <w:style w:type="paragraph" w:styleId="Ttulo2">
    <w:name w:val="heading 2"/>
    <w:basedOn w:val="Normal"/>
    <w:next w:val="Normal"/>
    <w:qFormat/>
    <w:rsid w:val="008328A1"/>
    <w:pPr>
      <w:keepNext/>
      <w:jc w:val="center"/>
      <w:outlineLvl w:val="1"/>
    </w:pPr>
    <w:rPr>
      <w:rFonts w:ascii="Arial" w:hAnsi="Arial" w:cs="Arial"/>
      <w:b/>
      <w:bCs/>
      <w:i/>
      <w:sz w:val="26"/>
      <w:szCs w:val="26"/>
    </w:rPr>
  </w:style>
  <w:style w:type="paragraph" w:styleId="Ttulo3">
    <w:name w:val="heading 3"/>
    <w:basedOn w:val="Normal"/>
    <w:next w:val="Normal"/>
    <w:qFormat/>
    <w:rsid w:val="008328A1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8328A1"/>
    <w:pPr>
      <w:keepNext/>
      <w:spacing w:line="360" w:lineRule="auto"/>
      <w:jc w:val="center"/>
      <w:outlineLvl w:val="3"/>
    </w:pPr>
    <w:rPr>
      <w:rFonts w:ascii="Arial" w:hAnsi="Arial" w:cs="Arial"/>
      <w:b/>
      <w:i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328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328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28A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8328A1"/>
    <w:pPr>
      <w:spacing w:line="360" w:lineRule="auto"/>
      <w:jc w:val="both"/>
    </w:pPr>
    <w:rPr>
      <w:rFonts w:ascii="Arial" w:hAnsi="Arial" w:cs="Arial"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8328A1"/>
    <w:pPr>
      <w:spacing w:before="100" w:beforeAutospacing="1" w:after="100" w:afterAutospacing="1"/>
    </w:pPr>
    <w:rPr>
      <w:sz w:val="24"/>
      <w:szCs w:val="24"/>
    </w:rPr>
  </w:style>
  <w:style w:type="character" w:styleId="Refdenotaalpie">
    <w:name w:val="footnote reference"/>
    <w:semiHidden/>
    <w:rsid w:val="008328A1"/>
    <w:rPr>
      <w:vertAlign w:val="superscript"/>
    </w:rPr>
  </w:style>
  <w:style w:type="character" w:styleId="Hipervnculo">
    <w:name w:val="Hyperlink"/>
    <w:uiPriority w:val="99"/>
    <w:unhideWhenUsed/>
    <w:rsid w:val="003E72FA"/>
    <w:rPr>
      <w:color w:val="0563C1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18D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18DC"/>
  </w:style>
  <w:style w:type="character" w:customStyle="1" w:styleId="PiedepginaCar">
    <w:name w:val="Pie de página Car"/>
    <w:link w:val="Piedepgina"/>
    <w:uiPriority w:val="99"/>
    <w:rsid w:val="000B0005"/>
  </w:style>
  <w:style w:type="paragraph" w:customStyle="1" w:styleId="paragraph">
    <w:name w:val="paragraph"/>
    <w:basedOn w:val="Normal"/>
    <w:rsid w:val="006F42C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6F42C4"/>
  </w:style>
  <w:style w:type="character" w:customStyle="1" w:styleId="eop">
    <w:name w:val="eop"/>
    <w:basedOn w:val="Fuentedeprrafopredeter"/>
    <w:rsid w:val="006F42C4"/>
  </w:style>
  <w:style w:type="character" w:styleId="Refdecomentario">
    <w:name w:val="annotation reference"/>
    <w:basedOn w:val="Fuentedeprrafopredeter"/>
    <w:uiPriority w:val="99"/>
    <w:semiHidden/>
    <w:unhideWhenUsed/>
    <w:rsid w:val="00703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AE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AE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AEB"/>
    <w:rPr>
      <w:b/>
      <w:bCs/>
      <w:lang w:val="es-ES" w:eastAsia="es-ES"/>
    </w:rPr>
  </w:style>
  <w:style w:type="character" w:styleId="nfasis">
    <w:name w:val="Emphasis"/>
    <w:basedOn w:val="Fuentedeprrafopredeter"/>
    <w:uiPriority w:val="20"/>
    <w:qFormat/>
    <w:rsid w:val="00563642"/>
    <w:rPr>
      <w:i/>
      <w:iCs/>
    </w:rPr>
  </w:style>
  <w:style w:type="character" w:styleId="Textoennegrita">
    <w:name w:val="Strong"/>
    <w:basedOn w:val="Fuentedeprrafopredeter"/>
    <w:uiPriority w:val="22"/>
    <w:qFormat/>
    <w:rsid w:val="00563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ecretariasenado.gov.co/senado/basedoc/ley_0100_1993_pr00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0E13D9074E745A60DDE426959B826" ma:contentTypeVersion="10" ma:contentTypeDescription="Crear nuevo documento." ma:contentTypeScope="" ma:versionID="06a9e4adc91f5b5788613acb54e9f451">
  <xsd:schema xmlns:xsd="http://www.w3.org/2001/XMLSchema" xmlns:xs="http://www.w3.org/2001/XMLSchema" xmlns:p="http://schemas.microsoft.com/office/2006/metadata/properties" xmlns:ns2="dded84e4-001b-470d-a0e6-15ddd3924142" xmlns:ns3="b157412b-f7d0-435c-8dc3-c57cc9ba3390" targetNamespace="http://schemas.microsoft.com/office/2006/metadata/properties" ma:root="true" ma:fieldsID="2dbb4738cee6191ca3f895a3a147a93c" ns2:_="" ns3:_="">
    <xsd:import namespace="dded84e4-001b-470d-a0e6-15ddd3924142"/>
    <xsd:import namespace="b157412b-f7d0-435c-8dc3-c57cc9ba3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84e4-001b-470d-a0e6-15ddd392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12b-f7d0-435c-8dc3-c57cc9ba3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7EC8C-A3C9-4751-B4C7-65A4ADF96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77E84-C6A8-4B46-BB55-19F66E7CD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60926-2CDF-4E35-8480-59BCEDB1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d84e4-001b-470d-a0e6-15ddd3924142"/>
    <ds:schemaRef ds:uri="b157412b-f7d0-435c-8dc3-c57cc9ba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Pereira, abril quince [15] de dos mil ocho [2008]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Pereira, abril quince [15] de dos mil ocho [2008]</dc:title>
  <dc:creator>jtoroc</dc:creator>
  <cp:lastModifiedBy>Hermides Alonso Gaviria Ocampo</cp:lastModifiedBy>
  <cp:revision>2</cp:revision>
  <cp:lastPrinted>2018-05-31T13:46:00Z</cp:lastPrinted>
  <dcterms:created xsi:type="dcterms:W3CDTF">2021-04-26T15:51:00Z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0x0101000960E13D9074E745A60DDE426959B826</vt:lpwstr>
  </property>
</Properties>
</file>