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8EFD" w14:textId="46180894" w:rsidR="00E57950" w:rsidRPr="00433228" w:rsidRDefault="00E57950" w:rsidP="00433228">
      <w:pPr>
        <w:jc w:val="both"/>
        <w:rPr>
          <w:rFonts w:ascii="Arial" w:hAnsi="Arial" w:cs="Arial"/>
          <w:szCs w:val="22"/>
        </w:rPr>
      </w:pPr>
      <w:r w:rsidRPr="00433228">
        <w:rPr>
          <w:rFonts w:ascii="Arial" w:hAnsi="Arial" w:cs="Arial"/>
          <w:szCs w:val="22"/>
        </w:rPr>
        <w:t xml:space="preserve">Demandante: </w:t>
      </w:r>
      <w:r w:rsidRPr="00433228">
        <w:rPr>
          <w:rFonts w:ascii="Arial" w:hAnsi="Arial" w:cs="Arial"/>
          <w:szCs w:val="22"/>
        </w:rPr>
        <w:tab/>
      </w:r>
      <w:r w:rsidR="00433228">
        <w:rPr>
          <w:rFonts w:ascii="Arial" w:hAnsi="Arial" w:cs="Arial"/>
          <w:szCs w:val="22"/>
        </w:rPr>
        <w:tab/>
      </w:r>
      <w:r w:rsidR="00433228" w:rsidRPr="00433228">
        <w:rPr>
          <w:rFonts w:ascii="Arial" w:hAnsi="Arial" w:cs="Arial"/>
          <w:szCs w:val="22"/>
        </w:rPr>
        <w:t xml:space="preserve">Juan </w:t>
      </w:r>
      <w:r w:rsidR="00115607">
        <w:rPr>
          <w:rFonts w:ascii="Arial" w:hAnsi="Arial" w:cs="Arial"/>
          <w:szCs w:val="22"/>
        </w:rPr>
        <w:t>Carlos Parra Ávila</w:t>
      </w:r>
    </w:p>
    <w:p w14:paraId="12514380" w14:textId="662EBEB5" w:rsidR="00E57950" w:rsidRPr="00433228" w:rsidRDefault="00E57950" w:rsidP="00433228">
      <w:pPr>
        <w:jc w:val="both"/>
        <w:rPr>
          <w:rFonts w:ascii="Arial" w:hAnsi="Arial" w:cs="Arial"/>
          <w:szCs w:val="22"/>
        </w:rPr>
      </w:pPr>
      <w:r w:rsidRPr="00433228">
        <w:rPr>
          <w:rFonts w:ascii="Arial" w:hAnsi="Arial" w:cs="Arial"/>
          <w:szCs w:val="22"/>
        </w:rPr>
        <w:t xml:space="preserve">Demandado: </w:t>
      </w:r>
      <w:r w:rsidRPr="00433228">
        <w:rPr>
          <w:rFonts w:ascii="Arial" w:hAnsi="Arial" w:cs="Arial"/>
          <w:szCs w:val="22"/>
        </w:rPr>
        <w:tab/>
      </w:r>
      <w:r w:rsidR="00433228">
        <w:rPr>
          <w:rFonts w:ascii="Arial" w:hAnsi="Arial" w:cs="Arial"/>
          <w:szCs w:val="22"/>
        </w:rPr>
        <w:tab/>
      </w:r>
      <w:r w:rsidR="00433228" w:rsidRPr="00433228">
        <w:rPr>
          <w:rFonts w:ascii="Arial" w:hAnsi="Arial" w:cs="Arial"/>
          <w:szCs w:val="22"/>
        </w:rPr>
        <w:t xml:space="preserve">Megabus </w:t>
      </w:r>
      <w:r w:rsidRPr="00433228">
        <w:rPr>
          <w:rFonts w:ascii="Arial" w:hAnsi="Arial" w:cs="Arial"/>
          <w:szCs w:val="22"/>
        </w:rPr>
        <w:t xml:space="preserve">S.A. </w:t>
      </w:r>
      <w:r w:rsidR="00433228" w:rsidRPr="00433228">
        <w:rPr>
          <w:rFonts w:ascii="Arial" w:hAnsi="Arial" w:cs="Arial"/>
          <w:szCs w:val="22"/>
        </w:rPr>
        <w:t>y otros</w:t>
      </w:r>
    </w:p>
    <w:p w14:paraId="529732D5" w14:textId="4AFE2BF9" w:rsidR="00E57950" w:rsidRPr="00433228" w:rsidRDefault="00E57950" w:rsidP="00433228">
      <w:pPr>
        <w:jc w:val="both"/>
        <w:rPr>
          <w:rFonts w:ascii="Arial" w:hAnsi="Arial" w:cs="Arial"/>
          <w:szCs w:val="22"/>
        </w:rPr>
      </w:pPr>
      <w:r w:rsidRPr="00433228">
        <w:rPr>
          <w:rFonts w:ascii="Arial" w:hAnsi="Arial" w:cs="Arial"/>
          <w:szCs w:val="22"/>
        </w:rPr>
        <w:t>Radicación No.</w:t>
      </w:r>
      <w:r w:rsidR="00433228">
        <w:rPr>
          <w:rFonts w:ascii="Arial" w:hAnsi="Arial" w:cs="Arial"/>
          <w:szCs w:val="22"/>
        </w:rPr>
        <w:t>:</w:t>
      </w:r>
      <w:r w:rsidRPr="00433228">
        <w:rPr>
          <w:rFonts w:ascii="Arial" w:hAnsi="Arial" w:cs="Arial"/>
          <w:szCs w:val="22"/>
        </w:rPr>
        <w:t xml:space="preserve"> </w:t>
      </w:r>
      <w:r w:rsidRPr="00433228">
        <w:rPr>
          <w:rFonts w:ascii="Arial" w:hAnsi="Arial" w:cs="Arial"/>
          <w:szCs w:val="22"/>
        </w:rPr>
        <w:tab/>
        <w:t>66001–31-05-00</w:t>
      </w:r>
      <w:r w:rsidR="00115607">
        <w:rPr>
          <w:rFonts w:ascii="Arial" w:hAnsi="Arial" w:cs="Arial"/>
          <w:szCs w:val="22"/>
        </w:rPr>
        <w:t>5</w:t>
      </w:r>
      <w:r w:rsidRPr="00433228">
        <w:rPr>
          <w:rFonts w:ascii="Arial" w:hAnsi="Arial" w:cs="Arial"/>
          <w:szCs w:val="22"/>
        </w:rPr>
        <w:t>-2016-00</w:t>
      </w:r>
      <w:r w:rsidR="00115607">
        <w:rPr>
          <w:rFonts w:ascii="Arial" w:hAnsi="Arial" w:cs="Arial"/>
          <w:szCs w:val="22"/>
        </w:rPr>
        <w:t>776</w:t>
      </w:r>
      <w:bookmarkStart w:id="0" w:name="_GoBack"/>
      <w:bookmarkEnd w:id="0"/>
      <w:r w:rsidRPr="00433228">
        <w:rPr>
          <w:rFonts w:ascii="Arial" w:hAnsi="Arial" w:cs="Arial"/>
          <w:szCs w:val="22"/>
        </w:rPr>
        <w:t xml:space="preserve">-01 </w:t>
      </w:r>
    </w:p>
    <w:p w14:paraId="619BC1F2" w14:textId="4FD382E9" w:rsidR="00013318" w:rsidRPr="00433228" w:rsidRDefault="00E57950" w:rsidP="00433228">
      <w:pPr>
        <w:jc w:val="both"/>
        <w:rPr>
          <w:rFonts w:ascii="Arial" w:hAnsi="Arial" w:cs="Arial"/>
          <w:szCs w:val="22"/>
        </w:rPr>
      </w:pPr>
      <w:r w:rsidRPr="00433228">
        <w:rPr>
          <w:rFonts w:ascii="Arial" w:hAnsi="Arial" w:cs="Arial"/>
          <w:szCs w:val="22"/>
        </w:rPr>
        <w:t xml:space="preserve">Llamadas en garantía: </w:t>
      </w:r>
      <w:r w:rsidRPr="00433228">
        <w:rPr>
          <w:rFonts w:ascii="Arial" w:hAnsi="Arial" w:cs="Arial"/>
          <w:szCs w:val="22"/>
        </w:rPr>
        <w:tab/>
      </w:r>
      <w:r w:rsidR="00433228" w:rsidRPr="00433228">
        <w:rPr>
          <w:rFonts w:ascii="Arial" w:hAnsi="Arial" w:cs="Arial"/>
          <w:szCs w:val="22"/>
        </w:rPr>
        <w:t xml:space="preserve">Liberty Seguros </w:t>
      </w:r>
      <w:r w:rsidRPr="00433228">
        <w:rPr>
          <w:rFonts w:ascii="Arial" w:hAnsi="Arial" w:cs="Arial"/>
          <w:szCs w:val="22"/>
        </w:rPr>
        <w:t>S.A., SI 99 S.A</w:t>
      </w:r>
      <w:r w:rsidR="00433228">
        <w:rPr>
          <w:rFonts w:ascii="Arial" w:hAnsi="Arial" w:cs="Arial"/>
          <w:szCs w:val="22"/>
        </w:rPr>
        <w:t>.</w:t>
      </w:r>
      <w:r w:rsidRPr="00433228">
        <w:rPr>
          <w:rFonts w:ascii="Arial" w:hAnsi="Arial" w:cs="Arial"/>
          <w:szCs w:val="22"/>
        </w:rPr>
        <w:t xml:space="preserve"> </w:t>
      </w:r>
      <w:r w:rsidR="00433228" w:rsidRPr="00433228">
        <w:rPr>
          <w:rFonts w:ascii="Arial" w:hAnsi="Arial" w:cs="Arial"/>
          <w:szCs w:val="22"/>
        </w:rPr>
        <w:t>y L</w:t>
      </w:r>
      <w:r w:rsidR="00433228">
        <w:rPr>
          <w:rFonts w:ascii="Arial" w:hAnsi="Arial" w:cs="Arial"/>
          <w:szCs w:val="22"/>
        </w:rPr>
        <w:t>ó</w:t>
      </w:r>
      <w:r w:rsidR="00433228" w:rsidRPr="00433228">
        <w:rPr>
          <w:rFonts w:ascii="Arial" w:hAnsi="Arial" w:cs="Arial"/>
          <w:szCs w:val="22"/>
        </w:rPr>
        <w:t xml:space="preserve">pez Bedoya y Asociados </w:t>
      </w:r>
      <w:r w:rsidRPr="00433228">
        <w:rPr>
          <w:rFonts w:ascii="Arial" w:hAnsi="Arial" w:cs="Arial"/>
          <w:szCs w:val="22"/>
        </w:rPr>
        <w:t xml:space="preserve">S </w:t>
      </w:r>
      <w:r w:rsidR="00433228" w:rsidRPr="00433228">
        <w:rPr>
          <w:rFonts w:ascii="Arial" w:hAnsi="Arial" w:cs="Arial"/>
          <w:szCs w:val="22"/>
        </w:rPr>
        <w:t xml:space="preserve">en </w:t>
      </w:r>
      <w:r w:rsidRPr="00433228">
        <w:rPr>
          <w:rFonts w:ascii="Arial" w:hAnsi="Arial" w:cs="Arial"/>
          <w:szCs w:val="22"/>
        </w:rPr>
        <w:t>C</w:t>
      </w:r>
    </w:p>
    <w:p w14:paraId="2F6C4E3C" w14:textId="2A5700A5" w:rsidR="00013318" w:rsidRDefault="00013318" w:rsidP="00433228">
      <w:pPr>
        <w:jc w:val="both"/>
        <w:rPr>
          <w:rFonts w:ascii="Arial" w:hAnsi="Arial" w:cs="Arial"/>
          <w:szCs w:val="22"/>
        </w:rPr>
      </w:pPr>
    </w:p>
    <w:p w14:paraId="66C07A14" w14:textId="77777777" w:rsidR="00433228" w:rsidRPr="00433228" w:rsidRDefault="00433228" w:rsidP="00433228">
      <w:pPr>
        <w:jc w:val="both"/>
        <w:rPr>
          <w:rFonts w:ascii="Arial" w:hAnsi="Arial" w:cs="Arial"/>
          <w:szCs w:val="22"/>
        </w:rPr>
      </w:pPr>
    </w:p>
    <w:p w14:paraId="3740F7DB" w14:textId="77777777" w:rsidR="00E57950" w:rsidRPr="00433228" w:rsidRDefault="00E57950" w:rsidP="00433228">
      <w:pPr>
        <w:jc w:val="both"/>
        <w:rPr>
          <w:rFonts w:ascii="Arial" w:hAnsi="Arial" w:cs="Arial"/>
          <w:szCs w:val="22"/>
        </w:rPr>
      </w:pPr>
    </w:p>
    <w:p w14:paraId="69022E29" w14:textId="77777777" w:rsidR="004356E0" w:rsidRPr="00433228" w:rsidRDefault="004356E0" w:rsidP="00433228">
      <w:pPr>
        <w:pStyle w:val="Ttulo3"/>
        <w:spacing w:line="276" w:lineRule="auto"/>
        <w:jc w:val="center"/>
        <w:rPr>
          <w:rFonts w:cs="Arial"/>
          <w:sz w:val="24"/>
          <w:szCs w:val="24"/>
        </w:rPr>
      </w:pPr>
      <w:r w:rsidRPr="00433228">
        <w:rPr>
          <w:rFonts w:cs="Arial"/>
          <w:sz w:val="24"/>
          <w:szCs w:val="24"/>
        </w:rPr>
        <w:t>TRIBUNAL SUPERIOR DEL DISTRITO JUDICIAL</w:t>
      </w:r>
    </w:p>
    <w:p w14:paraId="13B1B6FC" w14:textId="7CC1EE23" w:rsidR="004356E0" w:rsidRDefault="004356E0" w:rsidP="00433228">
      <w:pPr>
        <w:spacing w:line="276" w:lineRule="auto"/>
        <w:jc w:val="center"/>
        <w:rPr>
          <w:rFonts w:ascii="Arial" w:hAnsi="Arial" w:cs="Arial"/>
          <w:b/>
          <w:sz w:val="24"/>
          <w:szCs w:val="24"/>
        </w:rPr>
      </w:pPr>
      <w:r w:rsidRPr="00433228">
        <w:rPr>
          <w:rFonts w:ascii="Arial" w:hAnsi="Arial" w:cs="Arial"/>
          <w:b/>
          <w:sz w:val="24"/>
          <w:szCs w:val="24"/>
        </w:rPr>
        <w:t>SALA LABORAL</w:t>
      </w:r>
    </w:p>
    <w:p w14:paraId="36D9B571" w14:textId="77777777" w:rsidR="00B82378" w:rsidRPr="00433228" w:rsidRDefault="00B82378" w:rsidP="00433228">
      <w:pPr>
        <w:spacing w:line="276" w:lineRule="auto"/>
        <w:jc w:val="center"/>
        <w:rPr>
          <w:rFonts w:ascii="Arial" w:hAnsi="Arial" w:cs="Arial"/>
          <w:b/>
          <w:sz w:val="24"/>
          <w:szCs w:val="24"/>
        </w:rPr>
      </w:pPr>
    </w:p>
    <w:p w14:paraId="23C59E17" w14:textId="77777777" w:rsidR="004356E0" w:rsidRPr="00433228" w:rsidRDefault="004356E0" w:rsidP="00433228">
      <w:pPr>
        <w:pStyle w:val="Textoindependiente21"/>
        <w:spacing w:line="276" w:lineRule="auto"/>
        <w:jc w:val="center"/>
        <w:rPr>
          <w:rFonts w:cs="Arial"/>
          <w:sz w:val="24"/>
          <w:szCs w:val="24"/>
        </w:rPr>
      </w:pPr>
      <w:r w:rsidRPr="00433228">
        <w:rPr>
          <w:rFonts w:cs="Arial"/>
          <w:sz w:val="24"/>
          <w:szCs w:val="24"/>
        </w:rPr>
        <w:t xml:space="preserve">MAGISTRADO: JULIO CÉSAR SALAZAR MUÑOZ </w:t>
      </w:r>
    </w:p>
    <w:p w14:paraId="6F4EA933" w14:textId="77777777" w:rsidR="004356E0" w:rsidRPr="00433228" w:rsidRDefault="004356E0" w:rsidP="00433228">
      <w:pPr>
        <w:pStyle w:val="Textoindependiente21"/>
        <w:spacing w:line="276" w:lineRule="auto"/>
        <w:jc w:val="center"/>
        <w:rPr>
          <w:rFonts w:cs="Arial"/>
          <w:sz w:val="24"/>
          <w:szCs w:val="24"/>
        </w:rPr>
      </w:pPr>
    </w:p>
    <w:p w14:paraId="37BE095B" w14:textId="77777777" w:rsidR="004356E0" w:rsidRPr="00433228" w:rsidRDefault="004356E0" w:rsidP="00433228">
      <w:pPr>
        <w:pStyle w:val="Textoindependiente21"/>
        <w:spacing w:line="276" w:lineRule="auto"/>
        <w:jc w:val="center"/>
        <w:rPr>
          <w:rFonts w:cs="Arial"/>
          <w:sz w:val="24"/>
          <w:szCs w:val="24"/>
        </w:rPr>
      </w:pPr>
    </w:p>
    <w:p w14:paraId="1079BD68" w14:textId="77777777" w:rsidR="004356E0" w:rsidRPr="00433228" w:rsidRDefault="004356E0" w:rsidP="00433228">
      <w:pPr>
        <w:pStyle w:val="Textoindependiente21"/>
        <w:spacing w:line="276" w:lineRule="auto"/>
        <w:jc w:val="center"/>
        <w:rPr>
          <w:rFonts w:cs="Arial"/>
          <w:sz w:val="24"/>
          <w:szCs w:val="24"/>
          <w:u w:val="single"/>
        </w:rPr>
      </w:pPr>
      <w:r w:rsidRPr="00433228">
        <w:rPr>
          <w:rFonts w:cs="Arial"/>
          <w:sz w:val="24"/>
          <w:szCs w:val="24"/>
          <w:u w:val="single"/>
        </w:rPr>
        <w:t>SALVAMENTO DE VOTO</w:t>
      </w:r>
    </w:p>
    <w:p w14:paraId="2963EDFD" w14:textId="77777777" w:rsidR="00013318" w:rsidRPr="00433228" w:rsidRDefault="00013318" w:rsidP="00433228">
      <w:pPr>
        <w:spacing w:line="276" w:lineRule="auto"/>
        <w:jc w:val="both"/>
        <w:rPr>
          <w:rFonts w:ascii="Arial" w:hAnsi="Arial" w:cs="Arial"/>
          <w:sz w:val="24"/>
          <w:szCs w:val="24"/>
        </w:rPr>
      </w:pPr>
    </w:p>
    <w:p w14:paraId="1AB8E8EE" w14:textId="4F24ABEF" w:rsidR="00013318" w:rsidRPr="00433228" w:rsidRDefault="00013318" w:rsidP="00433228">
      <w:pPr>
        <w:spacing w:line="276" w:lineRule="auto"/>
        <w:jc w:val="both"/>
        <w:rPr>
          <w:rFonts w:ascii="Arial" w:hAnsi="Arial" w:cs="Arial"/>
          <w:b/>
          <w:sz w:val="24"/>
          <w:szCs w:val="24"/>
        </w:rPr>
      </w:pPr>
    </w:p>
    <w:p w14:paraId="42CCAB55" w14:textId="3BDB6E84" w:rsidR="00013318" w:rsidRPr="00433228" w:rsidRDefault="00013318" w:rsidP="00433228">
      <w:pPr>
        <w:spacing w:line="276" w:lineRule="auto"/>
        <w:jc w:val="center"/>
        <w:rPr>
          <w:rFonts w:ascii="Arial" w:hAnsi="Arial" w:cs="Arial"/>
          <w:iCs/>
          <w:sz w:val="24"/>
          <w:szCs w:val="24"/>
        </w:rPr>
      </w:pPr>
      <w:r w:rsidRPr="00433228">
        <w:rPr>
          <w:rFonts w:ascii="Arial" w:hAnsi="Arial" w:cs="Arial"/>
          <w:iCs/>
          <w:sz w:val="24"/>
          <w:szCs w:val="24"/>
        </w:rPr>
        <w:t xml:space="preserve">Pereira, </w:t>
      </w:r>
      <w:r w:rsidR="002659A0" w:rsidRPr="00433228">
        <w:rPr>
          <w:rFonts w:ascii="Arial" w:hAnsi="Arial" w:cs="Arial"/>
          <w:iCs/>
          <w:sz w:val="24"/>
          <w:szCs w:val="24"/>
        </w:rPr>
        <w:t>ve</w:t>
      </w:r>
      <w:r w:rsidR="0C186246" w:rsidRPr="00433228">
        <w:rPr>
          <w:rFonts w:ascii="Arial" w:hAnsi="Arial" w:cs="Arial"/>
          <w:iCs/>
          <w:sz w:val="24"/>
          <w:szCs w:val="24"/>
        </w:rPr>
        <w:t>intidós</w:t>
      </w:r>
      <w:r w:rsidRPr="00433228">
        <w:rPr>
          <w:rFonts w:ascii="Arial" w:hAnsi="Arial" w:cs="Arial"/>
          <w:iCs/>
          <w:sz w:val="24"/>
          <w:szCs w:val="24"/>
        </w:rPr>
        <w:t xml:space="preserve"> (2</w:t>
      </w:r>
      <w:r w:rsidR="49D3EC81" w:rsidRPr="00433228">
        <w:rPr>
          <w:rFonts w:ascii="Arial" w:hAnsi="Arial" w:cs="Arial"/>
          <w:iCs/>
          <w:sz w:val="24"/>
          <w:szCs w:val="24"/>
        </w:rPr>
        <w:t>2</w:t>
      </w:r>
      <w:r w:rsidRPr="00433228">
        <w:rPr>
          <w:rFonts w:ascii="Arial" w:hAnsi="Arial" w:cs="Arial"/>
          <w:iCs/>
          <w:sz w:val="24"/>
          <w:szCs w:val="24"/>
        </w:rPr>
        <w:t xml:space="preserve">) de </w:t>
      </w:r>
      <w:r w:rsidR="00E76309" w:rsidRPr="00433228">
        <w:rPr>
          <w:rFonts w:ascii="Arial" w:hAnsi="Arial" w:cs="Arial"/>
          <w:iCs/>
          <w:sz w:val="24"/>
          <w:szCs w:val="24"/>
        </w:rPr>
        <w:t>sept</w:t>
      </w:r>
      <w:r w:rsidR="004356E0" w:rsidRPr="00433228">
        <w:rPr>
          <w:rFonts w:ascii="Arial" w:hAnsi="Arial" w:cs="Arial"/>
          <w:iCs/>
          <w:sz w:val="24"/>
          <w:szCs w:val="24"/>
        </w:rPr>
        <w:t>iembre</w:t>
      </w:r>
      <w:r w:rsidRPr="00433228">
        <w:rPr>
          <w:rFonts w:ascii="Arial" w:hAnsi="Arial" w:cs="Arial"/>
          <w:iCs/>
          <w:sz w:val="24"/>
          <w:szCs w:val="24"/>
        </w:rPr>
        <w:t xml:space="preserve"> de dos mil </w:t>
      </w:r>
      <w:r w:rsidR="004356E0" w:rsidRPr="00433228">
        <w:rPr>
          <w:rFonts w:ascii="Arial" w:hAnsi="Arial" w:cs="Arial"/>
          <w:iCs/>
          <w:sz w:val="24"/>
          <w:szCs w:val="24"/>
        </w:rPr>
        <w:t>veint</w:t>
      </w:r>
      <w:r w:rsidR="00E76309" w:rsidRPr="00433228">
        <w:rPr>
          <w:rFonts w:ascii="Arial" w:hAnsi="Arial" w:cs="Arial"/>
          <w:iCs/>
          <w:sz w:val="24"/>
          <w:szCs w:val="24"/>
        </w:rPr>
        <w:t>iuno</w:t>
      </w:r>
      <w:r w:rsidRPr="00433228">
        <w:rPr>
          <w:rFonts w:ascii="Arial" w:hAnsi="Arial" w:cs="Arial"/>
          <w:iCs/>
          <w:sz w:val="24"/>
          <w:szCs w:val="24"/>
        </w:rPr>
        <w:t xml:space="preserve"> [20</w:t>
      </w:r>
      <w:r w:rsidR="004356E0" w:rsidRPr="00433228">
        <w:rPr>
          <w:rFonts w:ascii="Arial" w:hAnsi="Arial" w:cs="Arial"/>
          <w:iCs/>
          <w:sz w:val="24"/>
          <w:szCs w:val="24"/>
        </w:rPr>
        <w:t>2</w:t>
      </w:r>
      <w:r w:rsidR="00E76309" w:rsidRPr="00433228">
        <w:rPr>
          <w:rFonts w:ascii="Arial" w:hAnsi="Arial" w:cs="Arial"/>
          <w:iCs/>
          <w:sz w:val="24"/>
          <w:szCs w:val="24"/>
        </w:rPr>
        <w:t>1</w:t>
      </w:r>
      <w:r w:rsidRPr="00433228">
        <w:rPr>
          <w:rFonts w:ascii="Arial" w:hAnsi="Arial" w:cs="Arial"/>
          <w:iCs/>
          <w:sz w:val="24"/>
          <w:szCs w:val="24"/>
        </w:rPr>
        <w:t>].</w:t>
      </w:r>
    </w:p>
    <w:p w14:paraId="40D5B08C" w14:textId="7A34FAE6" w:rsidR="00013318" w:rsidRPr="00433228" w:rsidRDefault="00013318" w:rsidP="00433228">
      <w:pPr>
        <w:tabs>
          <w:tab w:val="left" w:pos="1440"/>
        </w:tabs>
        <w:spacing w:line="276" w:lineRule="auto"/>
        <w:jc w:val="both"/>
        <w:rPr>
          <w:rFonts w:ascii="Arial" w:hAnsi="Arial" w:cs="Arial"/>
          <w:snapToGrid w:val="0"/>
          <w:sz w:val="24"/>
          <w:szCs w:val="24"/>
        </w:rPr>
      </w:pPr>
    </w:p>
    <w:p w14:paraId="60E2CE70" w14:textId="77777777" w:rsidR="004356E0" w:rsidRPr="00433228" w:rsidRDefault="004356E0" w:rsidP="00B82378">
      <w:pPr>
        <w:pStyle w:val="Textoindependiente"/>
        <w:spacing w:line="276" w:lineRule="auto"/>
        <w:rPr>
          <w:b/>
          <w:sz w:val="24"/>
          <w:szCs w:val="24"/>
        </w:rPr>
      </w:pPr>
    </w:p>
    <w:p w14:paraId="781687E2" w14:textId="1A4010F1" w:rsidR="002F2874" w:rsidRPr="00B82378" w:rsidRDefault="00B93200"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Como quiera que al proceso no fue vinculado Promasivo S.A. en su calidad de empleador del demandante, quien pretendía el pago de las acreencias laborales que aquella entidad supuestamente le adeudaba</w:t>
      </w:r>
      <w:r w:rsidR="002F2874" w:rsidRPr="00B82378">
        <w:rPr>
          <w:rFonts w:ascii="Arial" w:hAnsi="Arial" w:cs="Arial"/>
          <w:snapToGrid w:val="0"/>
          <w:sz w:val="24"/>
          <w:szCs w:val="24"/>
        </w:rPr>
        <w:t xml:space="preserve">, a efectos de determinar la solidaridad reclamada a cargo de </w:t>
      </w:r>
      <w:proofErr w:type="spellStart"/>
      <w:r w:rsidR="002F2874" w:rsidRPr="00B82378">
        <w:rPr>
          <w:rFonts w:ascii="Arial" w:hAnsi="Arial" w:cs="Arial"/>
          <w:snapToGrid w:val="0"/>
          <w:sz w:val="24"/>
          <w:szCs w:val="24"/>
        </w:rPr>
        <w:t>Megabús</w:t>
      </w:r>
      <w:proofErr w:type="spellEnd"/>
      <w:r w:rsidR="002F2874" w:rsidRPr="00B82378">
        <w:rPr>
          <w:rFonts w:ascii="Arial" w:hAnsi="Arial" w:cs="Arial"/>
          <w:snapToGrid w:val="0"/>
          <w:sz w:val="24"/>
          <w:szCs w:val="24"/>
        </w:rPr>
        <w:t xml:space="preserve"> S.A., </w:t>
      </w:r>
      <w:r w:rsidRPr="00B82378">
        <w:rPr>
          <w:rFonts w:ascii="Arial" w:hAnsi="Arial" w:cs="Arial"/>
          <w:snapToGrid w:val="0"/>
          <w:sz w:val="24"/>
          <w:szCs w:val="24"/>
        </w:rPr>
        <w:t>era necesario que</w:t>
      </w:r>
      <w:r w:rsidR="002F2874" w:rsidRPr="00B82378">
        <w:rPr>
          <w:rFonts w:ascii="Arial" w:hAnsi="Arial" w:cs="Arial"/>
          <w:snapToGrid w:val="0"/>
          <w:sz w:val="24"/>
          <w:szCs w:val="24"/>
        </w:rPr>
        <w:t xml:space="preserve"> actor acreditara la existencia de una obligación clara, expresa y actualmente exigible, en cabeza de la </w:t>
      </w:r>
      <w:r w:rsidRPr="00B82378">
        <w:rPr>
          <w:rFonts w:ascii="Arial" w:hAnsi="Arial" w:cs="Arial"/>
          <w:snapToGrid w:val="0"/>
          <w:sz w:val="24"/>
          <w:szCs w:val="24"/>
        </w:rPr>
        <w:t>primera</w:t>
      </w:r>
      <w:r w:rsidR="002F2874" w:rsidRPr="00B82378">
        <w:rPr>
          <w:rFonts w:ascii="Arial" w:hAnsi="Arial" w:cs="Arial"/>
          <w:snapToGrid w:val="0"/>
          <w:sz w:val="24"/>
          <w:szCs w:val="24"/>
        </w:rPr>
        <w:t xml:space="preserve"> entidad nombrada.</w:t>
      </w:r>
    </w:p>
    <w:p w14:paraId="1367EA35"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1490A589" w14:textId="0C426A34" w:rsidR="002F2874" w:rsidRPr="00B82378" w:rsidRDefault="002F2874"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En el hecho </w:t>
      </w:r>
      <w:r w:rsidR="00FF5B15" w:rsidRPr="00B82378">
        <w:rPr>
          <w:rFonts w:ascii="Arial" w:hAnsi="Arial" w:cs="Arial"/>
          <w:snapToGrid w:val="0"/>
          <w:sz w:val="24"/>
          <w:szCs w:val="24"/>
        </w:rPr>
        <w:t>33</w:t>
      </w:r>
      <w:r w:rsidRPr="00B82378">
        <w:rPr>
          <w:rFonts w:ascii="Arial" w:hAnsi="Arial" w:cs="Arial"/>
          <w:snapToGrid w:val="0"/>
          <w:sz w:val="24"/>
          <w:szCs w:val="24"/>
        </w:rPr>
        <w:t xml:space="preserve"> de la demanda el </w:t>
      </w:r>
      <w:r w:rsidR="00372694" w:rsidRPr="00B82378">
        <w:rPr>
          <w:rFonts w:ascii="Arial" w:hAnsi="Arial" w:cs="Arial"/>
          <w:snapToGrid w:val="0"/>
          <w:sz w:val="24"/>
          <w:szCs w:val="24"/>
        </w:rPr>
        <w:t>demandante</w:t>
      </w:r>
      <w:r w:rsidRPr="00B82378">
        <w:rPr>
          <w:rFonts w:ascii="Arial" w:hAnsi="Arial" w:cs="Arial"/>
          <w:snapToGrid w:val="0"/>
          <w:sz w:val="24"/>
          <w:szCs w:val="24"/>
        </w:rPr>
        <w:t xml:space="preserve"> aseguró haber presentado su crédito laboral ante la Superintendencia en la liquidación de Promasivo</w:t>
      </w:r>
      <w:r w:rsidR="00372694" w:rsidRPr="00B82378">
        <w:rPr>
          <w:rFonts w:ascii="Arial" w:hAnsi="Arial" w:cs="Arial"/>
          <w:snapToGrid w:val="0"/>
          <w:sz w:val="24"/>
          <w:szCs w:val="24"/>
        </w:rPr>
        <w:t xml:space="preserve"> S.A.</w:t>
      </w:r>
      <w:r w:rsidRPr="00B82378">
        <w:rPr>
          <w:rFonts w:ascii="Arial" w:hAnsi="Arial" w:cs="Arial"/>
          <w:snapToGrid w:val="0"/>
          <w:sz w:val="24"/>
          <w:szCs w:val="24"/>
        </w:rPr>
        <w:t xml:space="preserve">, pero no presentó prueba </w:t>
      </w:r>
      <w:r w:rsidR="00372694" w:rsidRPr="00B82378">
        <w:rPr>
          <w:rFonts w:ascii="Arial" w:hAnsi="Arial" w:cs="Arial"/>
          <w:snapToGrid w:val="0"/>
          <w:sz w:val="24"/>
          <w:szCs w:val="24"/>
        </w:rPr>
        <w:t>de</w:t>
      </w:r>
      <w:r w:rsidRPr="00B82378">
        <w:rPr>
          <w:rFonts w:ascii="Arial" w:hAnsi="Arial" w:cs="Arial"/>
          <w:snapToGrid w:val="0"/>
          <w:sz w:val="24"/>
          <w:szCs w:val="24"/>
        </w:rPr>
        <w:t xml:space="preserve"> ello. </w:t>
      </w:r>
      <w:proofErr w:type="spellStart"/>
      <w:r w:rsidRPr="00B82378">
        <w:rPr>
          <w:rFonts w:ascii="Arial" w:hAnsi="Arial" w:cs="Arial"/>
          <w:snapToGrid w:val="0"/>
          <w:sz w:val="24"/>
          <w:szCs w:val="24"/>
        </w:rPr>
        <w:t>Megabús</w:t>
      </w:r>
      <w:proofErr w:type="spellEnd"/>
      <w:r w:rsidR="00350DA9" w:rsidRPr="00B82378">
        <w:rPr>
          <w:rFonts w:ascii="Arial" w:hAnsi="Arial" w:cs="Arial"/>
          <w:snapToGrid w:val="0"/>
          <w:sz w:val="24"/>
          <w:szCs w:val="24"/>
        </w:rPr>
        <w:t>,</w:t>
      </w:r>
      <w:r w:rsidRPr="00B82378">
        <w:rPr>
          <w:rFonts w:ascii="Arial" w:hAnsi="Arial" w:cs="Arial"/>
          <w:snapToGrid w:val="0"/>
          <w:sz w:val="24"/>
          <w:szCs w:val="24"/>
        </w:rPr>
        <w:t xml:space="preserve"> al contest</w:t>
      </w:r>
      <w:r w:rsidR="00372694" w:rsidRPr="00B82378">
        <w:rPr>
          <w:rFonts w:ascii="Arial" w:hAnsi="Arial" w:cs="Arial"/>
          <w:snapToGrid w:val="0"/>
          <w:sz w:val="24"/>
          <w:szCs w:val="24"/>
        </w:rPr>
        <w:t>ar ese hecho</w:t>
      </w:r>
      <w:r w:rsidRPr="00B82378">
        <w:rPr>
          <w:rFonts w:ascii="Arial" w:hAnsi="Arial" w:cs="Arial"/>
          <w:snapToGrid w:val="0"/>
          <w:sz w:val="24"/>
          <w:szCs w:val="24"/>
        </w:rPr>
        <w:t xml:space="preserve"> </w:t>
      </w:r>
      <w:r w:rsidR="00372694" w:rsidRPr="00B82378">
        <w:rPr>
          <w:rFonts w:ascii="Arial" w:hAnsi="Arial" w:cs="Arial"/>
          <w:snapToGrid w:val="0"/>
          <w:sz w:val="24"/>
          <w:szCs w:val="24"/>
        </w:rPr>
        <w:t>señaló</w:t>
      </w:r>
      <w:r w:rsidRPr="00B82378">
        <w:rPr>
          <w:rFonts w:ascii="Arial" w:hAnsi="Arial" w:cs="Arial"/>
          <w:snapToGrid w:val="0"/>
          <w:sz w:val="24"/>
          <w:szCs w:val="24"/>
        </w:rPr>
        <w:t xml:space="preserve"> que era carga del actor acreditar tal situación.</w:t>
      </w:r>
    </w:p>
    <w:p w14:paraId="0C2B27AE"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6E9DE672" w14:textId="252E25D7" w:rsidR="00372694" w:rsidRPr="00B82378" w:rsidRDefault="00372694" w:rsidP="00B82378">
      <w:pPr>
        <w:tabs>
          <w:tab w:val="left" w:pos="1440"/>
        </w:tabs>
        <w:spacing w:line="276" w:lineRule="auto"/>
        <w:jc w:val="both"/>
        <w:rPr>
          <w:snapToGrid w:val="0"/>
        </w:rPr>
      </w:pPr>
      <w:r w:rsidRPr="00B82378">
        <w:rPr>
          <w:rFonts w:ascii="Arial" w:hAnsi="Arial" w:cs="Arial"/>
          <w:snapToGrid w:val="0"/>
          <w:sz w:val="24"/>
          <w:szCs w:val="24"/>
        </w:rPr>
        <w:t>Antes de proferir sentencia en segunda instancia, el ponente inicial -hoy pensionado- con base en el artículo 83 del C.P.T., consideró que era del caso de oficio requerir a la Superintendencia de Sociedades, para que allegara al proceso copia de los actos mediante los cuales se graduaron y calificaron los créditos a cargo de la Sociedad Promasivo S.A.</w:t>
      </w:r>
      <w:r w:rsidR="00350DA9" w:rsidRPr="00B82378">
        <w:rPr>
          <w:rFonts w:ascii="Arial" w:hAnsi="Arial" w:cs="Arial"/>
          <w:snapToGrid w:val="0"/>
          <w:sz w:val="24"/>
          <w:szCs w:val="24"/>
        </w:rPr>
        <w:t>, en orden a derivar de allí la existencia de la obligación clara expresa y actualmente exigible.</w:t>
      </w:r>
      <w:r w:rsidRPr="00B82378">
        <w:rPr>
          <w:rFonts w:ascii="Arial" w:hAnsi="Arial" w:cs="Arial"/>
          <w:snapToGrid w:val="0"/>
          <w:sz w:val="24"/>
          <w:szCs w:val="24"/>
        </w:rPr>
        <w:t xml:space="preserve"> </w:t>
      </w:r>
    </w:p>
    <w:p w14:paraId="3A9E9202" w14:textId="77777777" w:rsidR="00372694" w:rsidRPr="00B82378" w:rsidRDefault="00372694" w:rsidP="00B82378">
      <w:pPr>
        <w:tabs>
          <w:tab w:val="left" w:pos="1440"/>
        </w:tabs>
        <w:spacing w:line="276" w:lineRule="auto"/>
        <w:jc w:val="both"/>
        <w:rPr>
          <w:rFonts w:ascii="Arial" w:hAnsi="Arial" w:cs="Arial"/>
          <w:snapToGrid w:val="0"/>
          <w:sz w:val="24"/>
          <w:szCs w:val="24"/>
        </w:rPr>
      </w:pPr>
    </w:p>
    <w:p w14:paraId="696D759F" w14:textId="7A00C5FD" w:rsidR="002F2874" w:rsidRPr="00B82378" w:rsidRDefault="00372694"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Tal decisión,</w:t>
      </w:r>
      <w:r w:rsidR="00B93200" w:rsidRPr="00B82378">
        <w:rPr>
          <w:rFonts w:ascii="Arial" w:hAnsi="Arial" w:cs="Arial"/>
          <w:snapToGrid w:val="0"/>
          <w:sz w:val="24"/>
          <w:szCs w:val="24"/>
        </w:rPr>
        <w:t xml:space="preserve"> a mi juicio,</w:t>
      </w:r>
      <w:r w:rsidRPr="00B82378">
        <w:rPr>
          <w:rFonts w:ascii="Arial" w:hAnsi="Arial" w:cs="Arial"/>
          <w:snapToGrid w:val="0"/>
          <w:sz w:val="24"/>
          <w:szCs w:val="24"/>
        </w:rPr>
        <w:t xml:space="preserve"> resulta afectada de nulidad, en tanto, se hizo el decreto de pruebas en Sala Unitaria, esto es, sin ser el juez competente para el efecto, pues el Juez de segunda instancia es de carácter pluripersonal, por lo que las decisiones interlocutorias, como lo es el decreto de pruebas, corresponde proferirlas a la Sala y no al ponente.  </w:t>
      </w:r>
      <w:r w:rsidR="00350DA9" w:rsidRPr="00B82378">
        <w:rPr>
          <w:rFonts w:ascii="Arial" w:hAnsi="Arial" w:cs="Arial"/>
          <w:snapToGrid w:val="0"/>
          <w:sz w:val="24"/>
          <w:szCs w:val="24"/>
        </w:rPr>
        <w:t>Sin que además</w:t>
      </w:r>
      <w:r w:rsidRPr="00B82378">
        <w:rPr>
          <w:rFonts w:ascii="Arial" w:hAnsi="Arial" w:cs="Arial"/>
          <w:snapToGrid w:val="0"/>
          <w:sz w:val="24"/>
          <w:szCs w:val="24"/>
        </w:rPr>
        <w:t xml:space="preserve"> pued</w:t>
      </w:r>
      <w:r w:rsidR="00350DA9" w:rsidRPr="00B82378">
        <w:rPr>
          <w:rFonts w:ascii="Arial" w:hAnsi="Arial" w:cs="Arial"/>
          <w:snapToGrid w:val="0"/>
          <w:sz w:val="24"/>
          <w:szCs w:val="24"/>
        </w:rPr>
        <w:t>a</w:t>
      </w:r>
      <w:r w:rsidRPr="00B82378">
        <w:rPr>
          <w:rFonts w:ascii="Arial" w:hAnsi="Arial" w:cs="Arial"/>
          <w:snapToGrid w:val="0"/>
          <w:sz w:val="24"/>
          <w:szCs w:val="24"/>
        </w:rPr>
        <w:t xml:space="preserve"> perderse de vista que “</w:t>
      </w:r>
      <w:r w:rsidR="002F2874" w:rsidRPr="00B82378">
        <w:rPr>
          <w:rFonts w:ascii="Arial" w:hAnsi="Arial" w:cs="Arial"/>
          <w:snapToGrid w:val="0"/>
          <w:sz w:val="24"/>
          <w:szCs w:val="24"/>
        </w:rPr>
        <w:t>oficiar a la Superintendencia</w:t>
      </w:r>
      <w:r w:rsidRPr="00B82378">
        <w:rPr>
          <w:rFonts w:ascii="Arial" w:hAnsi="Arial" w:cs="Arial"/>
          <w:snapToGrid w:val="0"/>
          <w:sz w:val="24"/>
          <w:szCs w:val="24"/>
        </w:rPr>
        <w:t>”</w:t>
      </w:r>
      <w:r w:rsidR="002F2874" w:rsidRPr="00B82378">
        <w:rPr>
          <w:rFonts w:ascii="Arial" w:hAnsi="Arial" w:cs="Arial"/>
          <w:snapToGrid w:val="0"/>
          <w:sz w:val="24"/>
          <w:szCs w:val="24"/>
        </w:rPr>
        <w:t xml:space="preserve"> no fue una prueba pedida </w:t>
      </w:r>
      <w:r w:rsidRPr="00B82378">
        <w:rPr>
          <w:rFonts w:ascii="Arial" w:hAnsi="Arial" w:cs="Arial"/>
          <w:snapToGrid w:val="0"/>
          <w:sz w:val="24"/>
          <w:szCs w:val="24"/>
        </w:rPr>
        <w:t xml:space="preserve">por el actor </w:t>
      </w:r>
      <w:r w:rsidR="002F2874" w:rsidRPr="00B82378">
        <w:rPr>
          <w:rFonts w:ascii="Arial" w:hAnsi="Arial" w:cs="Arial"/>
          <w:snapToGrid w:val="0"/>
          <w:sz w:val="24"/>
          <w:szCs w:val="24"/>
        </w:rPr>
        <w:t xml:space="preserve">en la oportunidad </w:t>
      </w:r>
      <w:r w:rsidRPr="00B82378">
        <w:rPr>
          <w:rFonts w:ascii="Arial" w:hAnsi="Arial" w:cs="Arial"/>
          <w:snapToGrid w:val="0"/>
          <w:sz w:val="24"/>
          <w:szCs w:val="24"/>
        </w:rPr>
        <w:t>que está prevista en la ley</w:t>
      </w:r>
      <w:r w:rsidR="002F2874" w:rsidRPr="00B82378">
        <w:rPr>
          <w:rFonts w:ascii="Arial" w:hAnsi="Arial" w:cs="Arial"/>
          <w:snapToGrid w:val="0"/>
          <w:sz w:val="24"/>
          <w:szCs w:val="24"/>
        </w:rPr>
        <w:t xml:space="preserve"> y, siendo </w:t>
      </w:r>
      <w:r w:rsidR="00350DA9" w:rsidRPr="00B82378">
        <w:rPr>
          <w:rFonts w:ascii="Arial" w:hAnsi="Arial" w:cs="Arial"/>
          <w:snapToGrid w:val="0"/>
          <w:sz w:val="24"/>
          <w:szCs w:val="24"/>
        </w:rPr>
        <w:t xml:space="preserve">ese </w:t>
      </w:r>
      <w:r w:rsidRPr="00B82378">
        <w:rPr>
          <w:rFonts w:ascii="Arial" w:hAnsi="Arial" w:cs="Arial"/>
          <w:snapToGrid w:val="0"/>
          <w:sz w:val="24"/>
          <w:szCs w:val="24"/>
        </w:rPr>
        <w:t xml:space="preserve">precisamente </w:t>
      </w:r>
      <w:r w:rsidR="002F2874" w:rsidRPr="00B82378">
        <w:rPr>
          <w:rFonts w:ascii="Arial" w:hAnsi="Arial" w:cs="Arial"/>
          <w:snapToGrid w:val="0"/>
          <w:sz w:val="24"/>
          <w:szCs w:val="24"/>
        </w:rPr>
        <w:t xml:space="preserve">el centro del </w:t>
      </w:r>
      <w:r w:rsidRPr="00B82378">
        <w:rPr>
          <w:rFonts w:ascii="Arial" w:hAnsi="Arial" w:cs="Arial"/>
          <w:snapToGrid w:val="0"/>
          <w:sz w:val="24"/>
          <w:szCs w:val="24"/>
        </w:rPr>
        <w:t>debate</w:t>
      </w:r>
      <w:r w:rsidR="00B93200" w:rsidRPr="00B82378">
        <w:rPr>
          <w:rFonts w:ascii="Arial" w:hAnsi="Arial" w:cs="Arial"/>
          <w:snapToGrid w:val="0"/>
          <w:sz w:val="24"/>
          <w:szCs w:val="24"/>
        </w:rPr>
        <w:t>,</w:t>
      </w:r>
      <w:r w:rsidR="002F2874" w:rsidRPr="00B82378">
        <w:rPr>
          <w:rFonts w:ascii="Arial" w:hAnsi="Arial" w:cs="Arial"/>
          <w:snapToGrid w:val="0"/>
          <w:sz w:val="24"/>
          <w:szCs w:val="24"/>
        </w:rPr>
        <w:t xml:space="preserve"> </w:t>
      </w:r>
      <w:r w:rsidR="00350DA9" w:rsidRPr="00B82378">
        <w:rPr>
          <w:rFonts w:ascii="Arial" w:hAnsi="Arial" w:cs="Arial"/>
          <w:snapToGrid w:val="0"/>
          <w:sz w:val="24"/>
          <w:szCs w:val="24"/>
        </w:rPr>
        <w:t>dada</w:t>
      </w:r>
      <w:r w:rsidR="002F2874" w:rsidRPr="00B82378">
        <w:rPr>
          <w:rFonts w:ascii="Arial" w:hAnsi="Arial" w:cs="Arial"/>
          <w:snapToGrid w:val="0"/>
          <w:sz w:val="24"/>
          <w:szCs w:val="24"/>
        </w:rPr>
        <w:t xml:space="preserve"> la contestación del hecho </w:t>
      </w:r>
      <w:r w:rsidR="0044190D" w:rsidRPr="00B82378">
        <w:rPr>
          <w:rFonts w:ascii="Arial" w:hAnsi="Arial" w:cs="Arial"/>
          <w:snapToGrid w:val="0"/>
          <w:sz w:val="24"/>
          <w:szCs w:val="24"/>
        </w:rPr>
        <w:t>33</w:t>
      </w:r>
      <w:r w:rsidR="002F2874" w:rsidRPr="00B82378">
        <w:rPr>
          <w:rFonts w:ascii="Arial" w:hAnsi="Arial" w:cs="Arial"/>
          <w:snapToGrid w:val="0"/>
          <w:sz w:val="24"/>
          <w:szCs w:val="24"/>
        </w:rPr>
        <w:t xml:space="preserve"> por parte de </w:t>
      </w:r>
      <w:proofErr w:type="spellStart"/>
      <w:r w:rsidR="002F2874" w:rsidRPr="00B82378">
        <w:rPr>
          <w:rFonts w:ascii="Arial" w:hAnsi="Arial" w:cs="Arial"/>
          <w:snapToGrid w:val="0"/>
          <w:sz w:val="24"/>
          <w:szCs w:val="24"/>
        </w:rPr>
        <w:t>Megabús</w:t>
      </w:r>
      <w:proofErr w:type="spellEnd"/>
      <w:r w:rsidR="00350DA9" w:rsidRPr="00B82378">
        <w:rPr>
          <w:rFonts w:ascii="Arial" w:hAnsi="Arial" w:cs="Arial"/>
          <w:snapToGrid w:val="0"/>
          <w:sz w:val="24"/>
          <w:szCs w:val="24"/>
        </w:rPr>
        <w:t xml:space="preserve"> S.A.</w:t>
      </w:r>
      <w:r w:rsidR="002F2874" w:rsidRPr="00B82378">
        <w:rPr>
          <w:rFonts w:ascii="Arial" w:hAnsi="Arial" w:cs="Arial"/>
          <w:snapToGrid w:val="0"/>
          <w:sz w:val="24"/>
          <w:szCs w:val="24"/>
        </w:rPr>
        <w:t>, no correspondía a l</w:t>
      </w:r>
      <w:r w:rsidR="00350DA9" w:rsidRPr="00B82378">
        <w:rPr>
          <w:rFonts w:ascii="Arial" w:hAnsi="Arial" w:cs="Arial"/>
          <w:snapToGrid w:val="0"/>
          <w:sz w:val="24"/>
          <w:szCs w:val="24"/>
        </w:rPr>
        <w:t>a judicatura</w:t>
      </w:r>
      <w:r w:rsidR="002F2874" w:rsidRPr="00B82378">
        <w:rPr>
          <w:rFonts w:ascii="Arial" w:hAnsi="Arial" w:cs="Arial"/>
          <w:snapToGrid w:val="0"/>
          <w:sz w:val="24"/>
          <w:szCs w:val="24"/>
        </w:rPr>
        <w:t xml:space="preserve"> solucionar la </w:t>
      </w:r>
      <w:r w:rsidR="002F2874" w:rsidRPr="00B82378">
        <w:rPr>
          <w:rFonts w:ascii="Arial" w:hAnsi="Arial" w:cs="Arial"/>
          <w:snapToGrid w:val="0"/>
          <w:sz w:val="24"/>
          <w:szCs w:val="24"/>
        </w:rPr>
        <w:lastRenderedPageBreak/>
        <w:t>desidia de la parte que tenía la carga de la prueba</w:t>
      </w:r>
      <w:r w:rsidR="00350DA9" w:rsidRPr="00B82378">
        <w:rPr>
          <w:rFonts w:ascii="Arial" w:hAnsi="Arial" w:cs="Arial"/>
          <w:snapToGrid w:val="0"/>
          <w:sz w:val="24"/>
          <w:szCs w:val="24"/>
        </w:rPr>
        <w:t>,</w:t>
      </w:r>
      <w:r w:rsidR="002F2874" w:rsidRPr="00B82378">
        <w:rPr>
          <w:rFonts w:ascii="Arial" w:hAnsi="Arial" w:cs="Arial"/>
          <w:snapToGrid w:val="0"/>
          <w:sz w:val="24"/>
          <w:szCs w:val="24"/>
        </w:rPr>
        <w:t xml:space="preserve"> porque ello desequilibra la garantía de igualdad que debe existir al interior de las actuaciones judiciales.</w:t>
      </w:r>
    </w:p>
    <w:p w14:paraId="27463E30"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4CCC80B8" w14:textId="77777777" w:rsidR="00DC2E82" w:rsidRPr="00B82378" w:rsidRDefault="00350DA9"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Sobre el decreto de pruebas en segunda instancia</w:t>
      </w:r>
      <w:r w:rsidR="00DC2E82" w:rsidRPr="00B82378">
        <w:rPr>
          <w:rFonts w:ascii="Arial" w:hAnsi="Arial" w:cs="Arial"/>
          <w:snapToGrid w:val="0"/>
          <w:sz w:val="24"/>
          <w:szCs w:val="24"/>
        </w:rPr>
        <w:t xml:space="preserve"> basta recordar lo dicho </w:t>
      </w:r>
      <w:r w:rsidRPr="00B82378">
        <w:rPr>
          <w:rFonts w:ascii="Arial" w:hAnsi="Arial" w:cs="Arial"/>
          <w:snapToGrid w:val="0"/>
          <w:sz w:val="24"/>
          <w:szCs w:val="24"/>
        </w:rPr>
        <w:t xml:space="preserve">por la Sala de Casación Laboral </w:t>
      </w:r>
      <w:r w:rsidR="00DC2E82" w:rsidRPr="00B82378">
        <w:rPr>
          <w:rFonts w:ascii="Arial" w:hAnsi="Arial" w:cs="Arial"/>
          <w:snapToGrid w:val="0"/>
          <w:sz w:val="24"/>
          <w:szCs w:val="24"/>
        </w:rPr>
        <w:t xml:space="preserve">en pronunciamientos proferidos en procesos </w:t>
      </w:r>
      <w:r w:rsidR="00B4405A" w:rsidRPr="00B82378">
        <w:rPr>
          <w:rFonts w:ascii="Arial" w:hAnsi="Arial" w:cs="Arial"/>
          <w:snapToGrid w:val="0"/>
          <w:sz w:val="24"/>
          <w:szCs w:val="24"/>
        </w:rPr>
        <w:t>radicados con los números 30388 y 30698, reit</w:t>
      </w:r>
      <w:r w:rsidR="00DF66FC" w:rsidRPr="00B82378">
        <w:rPr>
          <w:rFonts w:ascii="Arial" w:hAnsi="Arial" w:cs="Arial"/>
          <w:snapToGrid w:val="0"/>
          <w:sz w:val="24"/>
          <w:szCs w:val="24"/>
        </w:rPr>
        <w:t>erados en los expedientes 31061 y</w:t>
      </w:r>
      <w:r w:rsidR="00B4405A" w:rsidRPr="00B82378">
        <w:rPr>
          <w:rFonts w:ascii="Arial" w:hAnsi="Arial" w:cs="Arial"/>
          <w:snapToGrid w:val="0"/>
          <w:sz w:val="24"/>
          <w:szCs w:val="24"/>
        </w:rPr>
        <w:t xml:space="preserve"> 39479</w:t>
      </w:r>
      <w:r w:rsidR="00DF66FC" w:rsidRPr="00B82378">
        <w:rPr>
          <w:rFonts w:ascii="Arial" w:hAnsi="Arial" w:cs="Arial"/>
          <w:snapToGrid w:val="0"/>
          <w:sz w:val="24"/>
          <w:szCs w:val="24"/>
        </w:rPr>
        <w:t>, en los que se explicó:</w:t>
      </w:r>
    </w:p>
    <w:p w14:paraId="5C72DF0B" w14:textId="77777777" w:rsidR="00DC2E82" w:rsidRPr="00B82378" w:rsidRDefault="00DC2E82" w:rsidP="00B82378">
      <w:pPr>
        <w:tabs>
          <w:tab w:val="left" w:pos="1440"/>
        </w:tabs>
        <w:spacing w:line="276" w:lineRule="auto"/>
        <w:jc w:val="both"/>
        <w:rPr>
          <w:rFonts w:ascii="Arial" w:hAnsi="Arial" w:cs="Arial"/>
          <w:snapToGrid w:val="0"/>
          <w:sz w:val="24"/>
          <w:szCs w:val="24"/>
        </w:rPr>
      </w:pPr>
    </w:p>
    <w:p w14:paraId="3DE39EC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“Estima la Sala que la confusión tal vez se origina en el alcance que se le viene dando al artículo 10 de la Ley 712 de 2001, codificado como el 15 del Código Procesal del Trabajo y de la Seguridad Social que ha sido interpretado en el sentido de que únicamente son susceptibles de ser dictados en sala de decisión las sentencias y los autos interlocutorios que decidan los recursos de apelación y de queja y los que resuelvan los conflictos de competencia, debiendo entenderse que los demás deben ser proferidos solamente por el ponente; por ende, como el auto que concede el recurso de casación no se encuentra enlistado en la relación arriba indicada debe ser emitido por el magistrado sustanciador.</w:t>
      </w:r>
    </w:p>
    <w:p w14:paraId="604F4D2D"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5D508E1D" w14:textId="0B3C814B"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“Tal entendimiento, sin embargo, no lo comparte esta Corporación, </w:t>
      </w:r>
      <w:r w:rsidR="004575E6" w:rsidRPr="00B82378">
        <w:rPr>
          <w:sz w:val="22"/>
          <w:szCs w:val="24"/>
          <w:lang w:val="es-CO"/>
        </w:rPr>
        <w:t>porque</w:t>
      </w:r>
      <w:r w:rsidRPr="00B82378">
        <w:rPr>
          <w:sz w:val="22"/>
          <w:szCs w:val="24"/>
          <w:lang w:val="es-CO"/>
        </w:rPr>
        <w:t>, en primer lugar, resulta desmentido por el propio artículo mencionado cuando en su parte final establece que el magistrado ponente dictará los autos de sustanciación, con lo cual descarta tajantemente que pueda también proferir autos como el que ahora es objeto de análisis, que no es dable ser calificado como de sustanciación en razón de su propia naturaleza y contenido.</w:t>
      </w:r>
    </w:p>
    <w:p w14:paraId="7668D56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2ED0060C"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“Incluso de llegar a la conclusión de que el texto normativo postula una antinomia o resulta de una ambigüedad evidente que da cabida a varios tipos de interpretaciones, corresponde de todas formas buscar una exégesis que se acomode al espíritu del legislador y que resulte armónica con las restantes disposiciones que gobiernan el procedimiento laboral.</w:t>
      </w:r>
    </w:p>
    <w:p w14:paraId="7D84B939" w14:textId="77777777" w:rsidR="00DC2E82"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 </w:t>
      </w:r>
    </w:p>
    <w:p w14:paraId="67C2A8C1" w14:textId="77777777" w:rsidR="00DC2E82" w:rsidRPr="00B82378" w:rsidRDefault="00DC2E82" w:rsidP="00B82378">
      <w:pPr>
        <w:pStyle w:val="Textoindependiente"/>
        <w:spacing w:line="240" w:lineRule="auto"/>
        <w:ind w:left="426" w:right="420"/>
        <w:rPr>
          <w:sz w:val="22"/>
          <w:szCs w:val="24"/>
          <w:lang w:val="es-CO"/>
        </w:rPr>
      </w:pPr>
      <w:r w:rsidRPr="00B82378">
        <w:rPr>
          <w:b/>
          <w:sz w:val="22"/>
          <w:szCs w:val="24"/>
          <w:lang w:val="es-CO"/>
        </w:rPr>
        <w:t>“En ese orden de ideas, si se analiza contextualmente la Ley 712 de 2001 se advierte que allí están contempladas varias actuaciones procesales, diferentes a las enunciadas en el artículo 15, que se surten dentro de la segunda instancia y que deben ser ordenadas por el Tribunal y no por el magistrado ponente, como por ejemplo la establecida en el artículo 83 del Código Procesal del Trabajo y de la Seguridad Social (41 de la Ley 712), relativo a los casos en que hay lugar a ordenar y practicar pruebas en la segunda instancia</w:t>
      </w:r>
      <w:r w:rsidRPr="00B82378">
        <w:rPr>
          <w:sz w:val="22"/>
          <w:szCs w:val="24"/>
          <w:lang w:val="es-CO"/>
        </w:rPr>
        <w:t>, con lo cual queda descartado de plano que la enumeración del artículo pueda considerarse como taxativa o exhaustiva y habla más bien de una clasificación enunciativa. Es del caso subrayar que este artículo fue modificado por la Ley 712 de modo que si su voluntad y espíritu hubiera sido el de dejar la citada actividad en manos del ponente, así lo habría consagrado expresamente, máxime si se tiene en cuenta que cuando esta era la intención así lo dejó establecido, como se advierte en los artículos 40 y 42 que modificaron el 82 y 84 del Código Procesal del Trabajo y de la Seguridad Social.</w:t>
      </w:r>
    </w:p>
    <w:p w14:paraId="31D0E76E" w14:textId="77777777" w:rsidR="00DC2E82" w:rsidRPr="00B82378" w:rsidRDefault="00DC2E82"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 </w:t>
      </w:r>
    </w:p>
    <w:p w14:paraId="364B2F58" w14:textId="659B6BC1" w:rsidR="00DC2E82" w:rsidRPr="00B82378" w:rsidRDefault="00DF66FC"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 xml:space="preserve">Para </w:t>
      </w:r>
      <w:r w:rsidR="002F2874" w:rsidRPr="00B82378">
        <w:rPr>
          <w:rFonts w:ascii="Arial" w:hAnsi="Arial" w:cs="Arial"/>
          <w:snapToGrid w:val="0"/>
          <w:sz w:val="24"/>
          <w:szCs w:val="24"/>
        </w:rPr>
        <w:t>terminar</w:t>
      </w:r>
      <w:r w:rsidR="00EF5BE9" w:rsidRPr="00B82378">
        <w:rPr>
          <w:rFonts w:ascii="Arial" w:hAnsi="Arial" w:cs="Arial"/>
          <w:snapToGrid w:val="0"/>
          <w:sz w:val="24"/>
          <w:szCs w:val="24"/>
        </w:rPr>
        <w:t xml:space="preserve"> concluyendo</w:t>
      </w:r>
      <w:r w:rsidRPr="00B82378">
        <w:rPr>
          <w:rFonts w:ascii="Arial" w:hAnsi="Arial" w:cs="Arial"/>
          <w:snapToGrid w:val="0"/>
          <w:sz w:val="24"/>
          <w:szCs w:val="24"/>
        </w:rPr>
        <w:t>:</w:t>
      </w:r>
    </w:p>
    <w:p w14:paraId="7D640846" w14:textId="77777777" w:rsidR="00DF66FC" w:rsidRPr="00B82378" w:rsidRDefault="00DF66FC" w:rsidP="00B82378">
      <w:pPr>
        <w:tabs>
          <w:tab w:val="left" w:pos="1440"/>
        </w:tabs>
        <w:spacing w:line="276" w:lineRule="auto"/>
        <w:jc w:val="both"/>
        <w:rPr>
          <w:rFonts w:ascii="Arial" w:hAnsi="Arial" w:cs="Arial"/>
          <w:snapToGrid w:val="0"/>
          <w:sz w:val="24"/>
          <w:szCs w:val="24"/>
        </w:rPr>
      </w:pPr>
    </w:p>
    <w:p w14:paraId="019E664F" w14:textId="77777777" w:rsidR="002B00DC" w:rsidRPr="00B82378" w:rsidRDefault="00DC2E82" w:rsidP="00B82378">
      <w:pPr>
        <w:pStyle w:val="Textoindependiente"/>
        <w:spacing w:line="240" w:lineRule="auto"/>
        <w:ind w:left="426" w:right="420"/>
        <w:rPr>
          <w:sz w:val="22"/>
          <w:szCs w:val="24"/>
          <w:lang w:val="es-CO"/>
        </w:rPr>
      </w:pPr>
      <w:r w:rsidRPr="00B82378">
        <w:rPr>
          <w:sz w:val="22"/>
          <w:szCs w:val="24"/>
          <w:lang w:val="es-CO"/>
        </w:rPr>
        <w:t xml:space="preserve">“Finalmente debe anotarse que en materia laboral tradicionalmente se ha radicado en las salas de decisión de los Tribunales la expedición de autos interlocutorios, conforme quedó establecido en el parágrafo del artículo 1º de la Ley 16 de 1969. Revisada la exposición de motivos de la actual Ley 712 de 2001 no se observa que uno de sus propósitos o finalidades haya sido modificar ese procedimiento, pues </w:t>
      </w:r>
      <w:r w:rsidRPr="00B82378">
        <w:rPr>
          <w:sz w:val="22"/>
          <w:szCs w:val="24"/>
          <w:lang w:val="es-CO"/>
        </w:rPr>
        <w:lastRenderedPageBreak/>
        <w:t>ninguna alusión explícita se hace al respecto, razón suficiente para que se desestime una supuesta intención en este sentido pues tratándose de un cambio fundamental, el mismo ha debido ser objeto de mención en la exposición de motivos, durante los debates parlamentarios o en los informes respectivos.”</w:t>
      </w:r>
    </w:p>
    <w:p w14:paraId="34C7A85C" w14:textId="77777777" w:rsidR="002B00DC" w:rsidRPr="00B82378" w:rsidRDefault="002B00DC" w:rsidP="00B82378">
      <w:pPr>
        <w:tabs>
          <w:tab w:val="left" w:pos="1440"/>
        </w:tabs>
        <w:spacing w:line="276" w:lineRule="auto"/>
        <w:jc w:val="both"/>
        <w:rPr>
          <w:rFonts w:ascii="Arial" w:hAnsi="Arial" w:cs="Arial"/>
          <w:snapToGrid w:val="0"/>
          <w:sz w:val="24"/>
          <w:szCs w:val="24"/>
        </w:rPr>
      </w:pPr>
    </w:p>
    <w:p w14:paraId="6A92AC16" w14:textId="77777777" w:rsidR="002F2874" w:rsidRPr="00B82378" w:rsidRDefault="00DF66FC"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Así las cosas, frente a la previsión contenida en el artículo 29 constitucional, en el sentido de ser nula de pleno derecho la prueba obtenida con violación del debido proceso</w:t>
      </w:r>
      <w:r w:rsidR="009A2475" w:rsidRPr="00B82378">
        <w:rPr>
          <w:rFonts w:ascii="Arial" w:hAnsi="Arial" w:cs="Arial"/>
          <w:snapToGrid w:val="0"/>
          <w:sz w:val="24"/>
          <w:szCs w:val="24"/>
        </w:rPr>
        <w:t xml:space="preserve">, la dispuesta por </w:t>
      </w:r>
      <w:r w:rsidR="00EF5BE9" w:rsidRPr="00B82378">
        <w:rPr>
          <w:rFonts w:ascii="Arial" w:hAnsi="Arial" w:cs="Arial"/>
          <w:snapToGrid w:val="0"/>
          <w:sz w:val="24"/>
          <w:szCs w:val="24"/>
        </w:rPr>
        <w:t>el</w:t>
      </w:r>
      <w:r w:rsidR="009A2475" w:rsidRPr="00B82378">
        <w:rPr>
          <w:rFonts w:ascii="Arial" w:hAnsi="Arial" w:cs="Arial"/>
          <w:snapToGrid w:val="0"/>
          <w:sz w:val="24"/>
          <w:szCs w:val="24"/>
        </w:rPr>
        <w:t xml:space="preserve"> ponente</w:t>
      </w:r>
      <w:r w:rsidR="00EF5BE9" w:rsidRPr="00B82378">
        <w:rPr>
          <w:rFonts w:ascii="Arial" w:hAnsi="Arial" w:cs="Arial"/>
          <w:snapToGrid w:val="0"/>
          <w:sz w:val="24"/>
          <w:szCs w:val="24"/>
        </w:rPr>
        <w:t xml:space="preserve"> inicial</w:t>
      </w:r>
      <w:r w:rsidR="009A2475" w:rsidRPr="00B82378">
        <w:rPr>
          <w:rFonts w:ascii="Arial" w:hAnsi="Arial" w:cs="Arial"/>
          <w:snapToGrid w:val="0"/>
          <w:sz w:val="24"/>
          <w:szCs w:val="24"/>
        </w:rPr>
        <w:t xml:space="preserve">, sin contar con sus compañeros de Sala, no debió tenerse en cuenta para resolver la Litis, </w:t>
      </w:r>
      <w:r w:rsidR="00EF5BE9" w:rsidRPr="00B82378">
        <w:rPr>
          <w:rFonts w:ascii="Arial" w:hAnsi="Arial" w:cs="Arial"/>
          <w:snapToGrid w:val="0"/>
          <w:sz w:val="24"/>
          <w:szCs w:val="24"/>
        </w:rPr>
        <w:t>quedando</w:t>
      </w:r>
      <w:r w:rsidR="00350DA9" w:rsidRPr="00B82378">
        <w:rPr>
          <w:rFonts w:ascii="Arial" w:hAnsi="Arial" w:cs="Arial"/>
          <w:snapToGrid w:val="0"/>
          <w:sz w:val="24"/>
          <w:szCs w:val="24"/>
        </w:rPr>
        <w:t>,</w:t>
      </w:r>
      <w:r w:rsidR="00EF5BE9" w:rsidRPr="00B82378">
        <w:rPr>
          <w:rFonts w:ascii="Arial" w:hAnsi="Arial" w:cs="Arial"/>
          <w:snapToGrid w:val="0"/>
          <w:sz w:val="24"/>
          <w:szCs w:val="24"/>
        </w:rPr>
        <w:t xml:space="preserve"> de ese modo</w:t>
      </w:r>
      <w:r w:rsidR="00350DA9" w:rsidRPr="00B82378">
        <w:rPr>
          <w:rFonts w:ascii="Arial" w:hAnsi="Arial" w:cs="Arial"/>
          <w:snapToGrid w:val="0"/>
          <w:sz w:val="24"/>
          <w:szCs w:val="24"/>
        </w:rPr>
        <w:t>,</w:t>
      </w:r>
      <w:r w:rsidR="00EF5BE9" w:rsidRPr="00B82378">
        <w:rPr>
          <w:rFonts w:ascii="Arial" w:hAnsi="Arial" w:cs="Arial"/>
          <w:snapToGrid w:val="0"/>
          <w:sz w:val="24"/>
          <w:szCs w:val="24"/>
        </w:rPr>
        <w:t xml:space="preserve"> huérfano de prueba el hecho que permitía declarar la solidaridad de </w:t>
      </w:r>
      <w:proofErr w:type="spellStart"/>
      <w:r w:rsidR="00EF5BE9" w:rsidRPr="00B82378">
        <w:rPr>
          <w:rFonts w:ascii="Arial" w:hAnsi="Arial" w:cs="Arial"/>
          <w:snapToGrid w:val="0"/>
          <w:sz w:val="24"/>
          <w:szCs w:val="24"/>
        </w:rPr>
        <w:t>Megabús</w:t>
      </w:r>
      <w:proofErr w:type="spellEnd"/>
      <w:r w:rsidR="00EF5BE9" w:rsidRPr="00B82378">
        <w:rPr>
          <w:rFonts w:ascii="Arial" w:hAnsi="Arial" w:cs="Arial"/>
          <w:snapToGrid w:val="0"/>
          <w:sz w:val="24"/>
          <w:szCs w:val="24"/>
        </w:rPr>
        <w:t xml:space="preserve"> S.A.</w:t>
      </w:r>
      <w:r w:rsidR="002F2874" w:rsidRPr="00B82378">
        <w:rPr>
          <w:rFonts w:ascii="Arial" w:hAnsi="Arial" w:cs="Arial"/>
          <w:snapToGrid w:val="0"/>
          <w:sz w:val="24"/>
          <w:szCs w:val="24"/>
        </w:rPr>
        <w:t xml:space="preserve"> y por ende, haciéndose necesaria la confirmación de la sentencia de primera instancia.</w:t>
      </w:r>
    </w:p>
    <w:p w14:paraId="17E0A518" w14:textId="77777777" w:rsidR="002F2874" w:rsidRPr="00B82378" w:rsidRDefault="002F2874" w:rsidP="00B82378">
      <w:pPr>
        <w:tabs>
          <w:tab w:val="left" w:pos="1440"/>
        </w:tabs>
        <w:spacing w:line="276" w:lineRule="auto"/>
        <w:jc w:val="both"/>
        <w:rPr>
          <w:rFonts w:ascii="Arial" w:hAnsi="Arial" w:cs="Arial"/>
          <w:snapToGrid w:val="0"/>
          <w:sz w:val="24"/>
          <w:szCs w:val="24"/>
        </w:rPr>
      </w:pPr>
    </w:p>
    <w:p w14:paraId="202A4477" w14:textId="7FDB58CE" w:rsidR="00013318" w:rsidRPr="00B82378" w:rsidRDefault="00013318" w:rsidP="00B82378">
      <w:pPr>
        <w:tabs>
          <w:tab w:val="left" w:pos="1440"/>
        </w:tabs>
        <w:spacing w:line="276" w:lineRule="auto"/>
        <w:jc w:val="both"/>
        <w:rPr>
          <w:rFonts w:ascii="Arial" w:hAnsi="Arial" w:cs="Arial"/>
          <w:snapToGrid w:val="0"/>
          <w:sz w:val="24"/>
          <w:szCs w:val="24"/>
        </w:rPr>
      </w:pPr>
      <w:r w:rsidRPr="00B82378">
        <w:rPr>
          <w:rFonts w:ascii="Arial" w:hAnsi="Arial" w:cs="Arial"/>
          <w:snapToGrid w:val="0"/>
          <w:sz w:val="24"/>
          <w:szCs w:val="24"/>
        </w:rPr>
        <w:t>De esta manera</w:t>
      </w:r>
      <w:r w:rsidR="00B8211B" w:rsidRPr="00B82378">
        <w:rPr>
          <w:rFonts w:ascii="Arial" w:hAnsi="Arial" w:cs="Arial"/>
          <w:snapToGrid w:val="0"/>
          <w:sz w:val="24"/>
          <w:szCs w:val="24"/>
        </w:rPr>
        <w:t>,</w:t>
      </w:r>
      <w:r w:rsidRPr="00B82378">
        <w:rPr>
          <w:rFonts w:ascii="Arial" w:hAnsi="Arial" w:cs="Arial"/>
          <w:snapToGrid w:val="0"/>
          <w:sz w:val="24"/>
          <w:szCs w:val="24"/>
        </w:rPr>
        <w:t xml:space="preserve"> o por estas razones</w:t>
      </w:r>
      <w:r w:rsidR="00B8211B" w:rsidRPr="00B82378">
        <w:rPr>
          <w:rFonts w:ascii="Arial" w:hAnsi="Arial" w:cs="Arial"/>
          <w:snapToGrid w:val="0"/>
          <w:sz w:val="24"/>
          <w:szCs w:val="24"/>
        </w:rPr>
        <w:t>,</w:t>
      </w:r>
      <w:r w:rsidRPr="00B82378">
        <w:rPr>
          <w:rFonts w:ascii="Arial" w:hAnsi="Arial" w:cs="Arial"/>
          <w:snapToGrid w:val="0"/>
          <w:sz w:val="24"/>
          <w:szCs w:val="24"/>
        </w:rPr>
        <w:t xml:space="preserve"> salvo mi voto respecto a la decisión asumida por</w:t>
      </w:r>
      <w:r w:rsidR="00B82378">
        <w:rPr>
          <w:rFonts w:ascii="Arial" w:hAnsi="Arial" w:cs="Arial"/>
          <w:snapToGrid w:val="0"/>
          <w:sz w:val="24"/>
          <w:szCs w:val="24"/>
        </w:rPr>
        <w:t xml:space="preserve"> la</w:t>
      </w:r>
      <w:r w:rsidRPr="00B82378">
        <w:rPr>
          <w:rFonts w:ascii="Arial" w:hAnsi="Arial" w:cs="Arial"/>
          <w:snapToGrid w:val="0"/>
          <w:sz w:val="24"/>
          <w:szCs w:val="24"/>
        </w:rPr>
        <w:t xml:space="preserve"> mayoría, pues considero que la sentencia de primera instancia debió ser confirmada.</w:t>
      </w:r>
    </w:p>
    <w:p w14:paraId="10914C4B" w14:textId="3C7717A7" w:rsidR="00013318" w:rsidRDefault="00013318" w:rsidP="00B82378">
      <w:pPr>
        <w:tabs>
          <w:tab w:val="left" w:pos="1440"/>
        </w:tabs>
        <w:spacing w:line="276" w:lineRule="auto"/>
        <w:jc w:val="both"/>
        <w:rPr>
          <w:rFonts w:ascii="Arial" w:hAnsi="Arial" w:cs="Arial"/>
          <w:snapToGrid w:val="0"/>
          <w:sz w:val="24"/>
          <w:szCs w:val="24"/>
        </w:rPr>
      </w:pPr>
    </w:p>
    <w:p w14:paraId="3FD342C6" w14:textId="77777777" w:rsidR="00B82378" w:rsidRPr="00B82378" w:rsidRDefault="00B82378" w:rsidP="00B82378">
      <w:pPr>
        <w:tabs>
          <w:tab w:val="left" w:pos="1440"/>
        </w:tabs>
        <w:spacing w:line="276" w:lineRule="auto"/>
        <w:jc w:val="both"/>
        <w:rPr>
          <w:rFonts w:ascii="Arial" w:hAnsi="Arial" w:cs="Arial"/>
          <w:snapToGrid w:val="0"/>
          <w:sz w:val="24"/>
          <w:szCs w:val="24"/>
        </w:rPr>
      </w:pPr>
    </w:p>
    <w:p w14:paraId="3128A287" w14:textId="77777777" w:rsidR="00013318" w:rsidRPr="00B82378" w:rsidRDefault="00013318" w:rsidP="00B82378">
      <w:pPr>
        <w:tabs>
          <w:tab w:val="left" w:pos="1440"/>
        </w:tabs>
        <w:spacing w:line="276" w:lineRule="auto"/>
        <w:jc w:val="both"/>
        <w:rPr>
          <w:rFonts w:ascii="Arial" w:hAnsi="Arial" w:cs="Arial"/>
          <w:snapToGrid w:val="0"/>
          <w:sz w:val="24"/>
          <w:szCs w:val="24"/>
        </w:rPr>
      </w:pPr>
    </w:p>
    <w:p w14:paraId="7EEFE13E" w14:textId="77777777" w:rsidR="00013318" w:rsidRPr="00B82378" w:rsidRDefault="00013318" w:rsidP="00B82378">
      <w:pPr>
        <w:tabs>
          <w:tab w:val="left" w:pos="1440"/>
        </w:tabs>
        <w:spacing w:line="276" w:lineRule="auto"/>
        <w:jc w:val="both"/>
        <w:rPr>
          <w:rFonts w:ascii="Arial" w:hAnsi="Arial" w:cs="Arial"/>
          <w:snapToGrid w:val="0"/>
          <w:sz w:val="24"/>
          <w:szCs w:val="24"/>
        </w:rPr>
      </w:pPr>
    </w:p>
    <w:p w14:paraId="53A0FD4F" w14:textId="77777777" w:rsidR="00013318" w:rsidRPr="00433228" w:rsidRDefault="00013318" w:rsidP="00433228">
      <w:pPr>
        <w:pStyle w:val="Ttulo4"/>
        <w:spacing w:line="276" w:lineRule="auto"/>
        <w:rPr>
          <w:szCs w:val="24"/>
        </w:rPr>
      </w:pPr>
      <w:r w:rsidRPr="00433228">
        <w:rPr>
          <w:szCs w:val="24"/>
        </w:rPr>
        <w:t>JULIO CÉSAR SALAZAR MUÑOZ</w:t>
      </w:r>
    </w:p>
    <w:p w14:paraId="600ECA80" w14:textId="10FF9CF7" w:rsidR="00013318" w:rsidRPr="00433228" w:rsidRDefault="00013318" w:rsidP="00433228">
      <w:pPr>
        <w:spacing w:line="276" w:lineRule="auto"/>
        <w:jc w:val="center"/>
        <w:rPr>
          <w:rFonts w:ascii="Arial" w:hAnsi="Arial" w:cs="Arial"/>
          <w:sz w:val="24"/>
          <w:szCs w:val="24"/>
        </w:rPr>
      </w:pPr>
      <w:r w:rsidRPr="00433228">
        <w:rPr>
          <w:rFonts w:ascii="Arial" w:hAnsi="Arial" w:cs="Arial"/>
          <w:sz w:val="24"/>
          <w:szCs w:val="24"/>
        </w:rPr>
        <w:t>Magistrado</w:t>
      </w:r>
    </w:p>
    <w:sectPr w:rsidR="00013318" w:rsidRPr="00433228" w:rsidSect="00E57950">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D905" w14:textId="77777777" w:rsidR="00FC2D2B" w:rsidRDefault="00FC2D2B">
      <w:r>
        <w:separator/>
      </w:r>
    </w:p>
  </w:endnote>
  <w:endnote w:type="continuationSeparator" w:id="0">
    <w:p w14:paraId="6547BED8" w14:textId="77777777" w:rsidR="00FC2D2B" w:rsidRDefault="00FC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95F3" w14:textId="77777777" w:rsidR="00FC2D2B" w:rsidRDefault="00FC2D2B">
      <w:r>
        <w:separator/>
      </w:r>
    </w:p>
  </w:footnote>
  <w:footnote w:type="continuationSeparator" w:id="0">
    <w:p w14:paraId="6E8F3232" w14:textId="77777777" w:rsidR="00FC2D2B" w:rsidRDefault="00FC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6D8E" w14:textId="77777777" w:rsidR="00013318" w:rsidRDefault="00013318">
    <w:pPr>
      <w:tabs>
        <w:tab w:val="left" w:pos="-720"/>
      </w:tabs>
      <w:suppressAutoHyphens/>
      <w:jc w:val="both"/>
      <w:rPr>
        <w:rFonts w:ascii="Arial" w:hAnsi="Arial"/>
        <w:b/>
        <w:spacing w:val="-3"/>
        <w:sz w:val="16"/>
      </w:rPr>
    </w:pPr>
  </w:p>
  <w:p w14:paraId="09898C0C" w14:textId="77777777" w:rsidR="00013318" w:rsidRDefault="00013318">
    <w:pPr>
      <w:tabs>
        <w:tab w:val="left" w:pos="-720"/>
      </w:tabs>
      <w:suppressAutoHyphens/>
      <w:jc w:val="both"/>
      <w:rPr>
        <w:rFonts w:ascii="Arial" w:hAnsi="Arial"/>
        <w:b/>
        <w:spacing w:val="-3"/>
        <w:sz w:val="16"/>
        <w:szCs w:val="16"/>
      </w:rPr>
    </w:pPr>
    <w:r>
      <w:rPr>
        <w:rFonts w:ascii="Arial" w:hAnsi="Arial"/>
        <w:b/>
        <w:spacing w:val="-3"/>
        <w:sz w:val="16"/>
        <w:szCs w:val="16"/>
      </w:rPr>
      <w:t xml:space="preserve">TRIBUNAL SUPERIOR DEL DISTRITO </w:t>
    </w:r>
    <w:r>
      <w:rPr>
        <w:rFonts w:ascii="Arial" w:hAnsi="Arial"/>
        <w:b/>
        <w:spacing w:val="-3"/>
        <w:sz w:val="16"/>
        <w:szCs w:val="16"/>
      </w:rPr>
      <w:tab/>
    </w:r>
  </w:p>
  <w:p w14:paraId="7CCE6952" w14:textId="77777777" w:rsidR="00013318" w:rsidRDefault="00013318">
    <w:pPr>
      <w:tabs>
        <w:tab w:val="left" w:pos="-720"/>
      </w:tabs>
      <w:suppressAutoHyphens/>
      <w:jc w:val="both"/>
      <w:rPr>
        <w:rFonts w:ascii="Arial" w:hAnsi="Arial"/>
        <w:sz w:val="16"/>
        <w:szCs w:val="16"/>
      </w:rPr>
    </w:pPr>
    <w:r>
      <w:rPr>
        <w:rFonts w:ascii="Arial" w:hAnsi="Arial"/>
        <w:b/>
        <w:spacing w:val="-3"/>
        <w:sz w:val="16"/>
        <w:szCs w:val="16"/>
      </w:rPr>
      <w:tab/>
      <w:t xml:space="preserve">   </w:t>
    </w:r>
    <w:r>
      <w:rPr>
        <w:rFonts w:ascii="Arial" w:hAnsi="Arial"/>
        <w:b/>
        <w:spacing w:val="-3"/>
        <w:sz w:val="16"/>
        <w:szCs w:val="16"/>
      </w:rPr>
      <w:object w:dxaOrig="3090" w:dyaOrig="3285" w14:anchorId="2DEF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63.85pt" fillcolor="window">
          <v:imagedata r:id="rId1" o:title=""/>
        </v:shape>
        <o:OLEObject Type="Embed" ProgID="PBrush" ShapeID="_x0000_i1025" DrawAspect="Content" ObjectID="_1697354198" r:id="rId2"/>
      </w:object>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r>
      <w:rPr>
        <w:rFonts w:ascii="Arial" w:hAnsi="Arial"/>
        <w:b/>
        <w:spacing w:val="-3"/>
        <w:sz w:val="16"/>
        <w:szCs w:val="16"/>
      </w:rPr>
      <w:tab/>
    </w:r>
  </w:p>
  <w:p w14:paraId="15AB5B23" w14:textId="77777777" w:rsidR="00013318" w:rsidRDefault="00013318">
    <w:pPr>
      <w:pStyle w:val="Ttulo3"/>
      <w:rPr>
        <w:szCs w:val="16"/>
      </w:rPr>
    </w:pPr>
    <w:r>
      <w:rPr>
        <w:szCs w:val="16"/>
      </w:rPr>
      <w:tab/>
      <w:t xml:space="preserve">  SALA LABORAL</w:t>
    </w:r>
    <w:r>
      <w:rPr>
        <w:szCs w:val="16"/>
      </w:rPr>
      <w:tab/>
    </w:r>
    <w:r>
      <w:rPr>
        <w:szCs w:val="16"/>
      </w:rPr>
      <w:tab/>
    </w:r>
    <w:r>
      <w:rPr>
        <w:szCs w:val="16"/>
      </w:rPr>
      <w:tab/>
    </w:r>
    <w:r>
      <w:rPr>
        <w:szCs w:val="16"/>
      </w:rPr>
      <w:tab/>
    </w:r>
  </w:p>
  <w:p w14:paraId="69D41A5D" w14:textId="77777777" w:rsidR="00013318" w:rsidRDefault="00013318">
    <w:pPr>
      <w:pStyle w:val="Ttulo1"/>
      <w:ind w:left="0" w:firstLine="0"/>
      <w:rPr>
        <w:rFonts w:ascii="Arial" w:hAnsi="Arial"/>
        <w:i w:val="0"/>
        <w:sz w:val="16"/>
        <w:szCs w:val="16"/>
      </w:rPr>
    </w:pPr>
    <w:r>
      <w:rPr>
        <w:rFonts w:ascii="Arial" w:hAnsi="Arial"/>
        <w:sz w:val="16"/>
        <w:szCs w:val="16"/>
      </w:rPr>
      <w:t xml:space="preserve">          </w:t>
    </w:r>
    <w:r>
      <w:rPr>
        <w:rFonts w:ascii="Arial" w:hAnsi="Arial"/>
        <w:i w:val="0"/>
        <w:sz w:val="16"/>
        <w:szCs w:val="16"/>
      </w:rPr>
      <w:t xml:space="preserve">PEREIRA – RISARALDA                                           </w:t>
    </w:r>
  </w:p>
  <w:p w14:paraId="09045B06" w14:textId="77777777" w:rsidR="00013318" w:rsidRDefault="00013318">
    <w:pPr>
      <w:rPr>
        <w:sz w:val="16"/>
        <w:szCs w:val="16"/>
      </w:rPr>
    </w:pPr>
    <w:r>
      <w:rPr>
        <w:sz w:val="16"/>
        <w:szCs w:val="16"/>
      </w:rPr>
      <w:tab/>
    </w:r>
    <w:r>
      <w:rPr>
        <w:sz w:val="16"/>
        <w:szCs w:val="16"/>
      </w:rPr>
      <w:tab/>
    </w:r>
  </w:p>
  <w:p w14:paraId="235239B4" w14:textId="77777777" w:rsidR="00013318" w:rsidRDefault="00013318" w:rsidP="004356E0">
    <w:pPr>
      <w:jc w:val="both"/>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1C"/>
    <w:multiLevelType w:val="hybridMultilevel"/>
    <w:tmpl w:val="0A5A7EEE"/>
    <w:lvl w:ilvl="0" w:tplc="9D8C90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03321AC"/>
    <w:multiLevelType w:val="hybridMultilevel"/>
    <w:tmpl w:val="46349290"/>
    <w:lvl w:ilvl="0" w:tplc="F420F270">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131B36"/>
    <w:multiLevelType w:val="hybridMultilevel"/>
    <w:tmpl w:val="63B0B830"/>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0"/>
    <w:rsid w:val="00013318"/>
    <w:rsid w:val="000E30E3"/>
    <w:rsid w:val="00115607"/>
    <w:rsid w:val="0026514D"/>
    <w:rsid w:val="002659A0"/>
    <w:rsid w:val="002B00DC"/>
    <w:rsid w:val="002F2874"/>
    <w:rsid w:val="00350DA9"/>
    <w:rsid w:val="00372694"/>
    <w:rsid w:val="00433228"/>
    <w:rsid w:val="004356E0"/>
    <w:rsid w:val="0044190D"/>
    <w:rsid w:val="004575E6"/>
    <w:rsid w:val="004C4C27"/>
    <w:rsid w:val="006374C1"/>
    <w:rsid w:val="00756A7C"/>
    <w:rsid w:val="007758E8"/>
    <w:rsid w:val="00804415"/>
    <w:rsid w:val="00844452"/>
    <w:rsid w:val="008C4340"/>
    <w:rsid w:val="009A2475"/>
    <w:rsid w:val="00AA04A4"/>
    <w:rsid w:val="00B4405A"/>
    <w:rsid w:val="00B8211B"/>
    <w:rsid w:val="00B82378"/>
    <w:rsid w:val="00B93200"/>
    <w:rsid w:val="00DC2E82"/>
    <w:rsid w:val="00DF66FC"/>
    <w:rsid w:val="00E12760"/>
    <w:rsid w:val="00E57950"/>
    <w:rsid w:val="00E76309"/>
    <w:rsid w:val="00EF5BE9"/>
    <w:rsid w:val="00FC2D2B"/>
    <w:rsid w:val="00FF5B15"/>
    <w:rsid w:val="0C186246"/>
    <w:rsid w:val="28139F2F"/>
    <w:rsid w:val="387E3837"/>
    <w:rsid w:val="49D3EC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A777B"/>
  <w15:chartTrackingRefBased/>
  <w15:docId w15:val="{1EB943FA-27C2-42E4-B23A-B21BCEC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jc w:val="center"/>
      <w:outlineLvl w:val="1"/>
    </w:pPr>
    <w:rPr>
      <w:rFonts w:ascii="Arial" w:hAnsi="Arial" w:cs="Arial"/>
      <w:b/>
      <w:bCs/>
      <w:i/>
      <w:sz w:val="26"/>
      <w:szCs w:val="26"/>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paragraph" w:styleId="Ttulo4">
    <w:name w:val="heading 4"/>
    <w:basedOn w:val="Normal"/>
    <w:next w:val="Normal"/>
    <w:qFormat/>
    <w:pPr>
      <w:keepNext/>
      <w:spacing w:line="360" w:lineRule="auto"/>
      <w:jc w:val="center"/>
      <w:outlineLvl w:val="3"/>
    </w:pPr>
    <w:rPr>
      <w:rFonts w:ascii="Arial" w:hAnsi="Arial" w:cs="Arial"/>
      <w:b/>
      <w:i/>
      <w:sz w:val="24"/>
      <w:szCs w:val="26"/>
    </w:rPr>
  </w:style>
  <w:style w:type="paragraph" w:styleId="Ttulo5">
    <w:name w:val="heading 5"/>
    <w:basedOn w:val="Normal"/>
    <w:next w:val="Normal"/>
    <w:qFormat/>
    <w:pPr>
      <w:keepNext/>
      <w:jc w:val="both"/>
      <w:outlineLvl w:val="4"/>
    </w:pPr>
    <w:rPr>
      <w:rFonts w:ascii="Arial" w:hAnsi="Arial" w:cs="Arial"/>
      <w:b/>
      <w:bCs/>
      <w:sz w:val="24"/>
      <w:szCs w:val="24"/>
    </w:rPr>
  </w:style>
  <w:style w:type="paragraph" w:styleId="Ttulo6">
    <w:name w:val="heading 6"/>
    <w:basedOn w:val="Normal"/>
    <w:next w:val="Normal"/>
    <w:qFormat/>
    <w:pPr>
      <w:keepNext/>
      <w:outlineLvl w:val="5"/>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NormalWeb">
    <w:name w:val="Normal (Web)"/>
    <w:basedOn w:val="Normal"/>
    <w:uiPriority w:val="99"/>
    <w:semiHidden/>
    <w:pPr>
      <w:spacing w:before="100" w:beforeAutospacing="1" w:after="100" w:afterAutospacing="1"/>
    </w:pPr>
    <w:rPr>
      <w:sz w:val="24"/>
      <w:szCs w:val="24"/>
    </w:rPr>
  </w:style>
  <w:style w:type="character" w:styleId="Refdenotaalpie">
    <w:name w:val="footnote reference"/>
    <w:semiHidden/>
    <w:rPr>
      <w:vertAlign w:val="superscript"/>
    </w:rPr>
  </w:style>
  <w:style w:type="paragraph" w:styleId="Saludo">
    <w:name w:val="Salutation"/>
    <w:basedOn w:val="Normal"/>
    <w:next w:val="Normal"/>
    <w:semiHidden/>
  </w:style>
  <w:style w:type="paragraph" w:styleId="Textoindependienteprimerasangra">
    <w:name w:val="Body Text First Indent"/>
    <w:basedOn w:val="Textoindependiente"/>
    <w:semiHidden/>
    <w:pPr>
      <w:spacing w:after="120" w:line="240" w:lineRule="auto"/>
      <w:ind w:firstLine="210"/>
      <w:jc w:val="left"/>
    </w:pPr>
    <w:rPr>
      <w:rFonts w:ascii="Times New Roman" w:hAnsi="Times New Roman" w:cs="Times New Roman"/>
      <w:iCs w:val="0"/>
      <w:sz w:val="20"/>
      <w:szCs w:val="20"/>
    </w:rPr>
  </w:style>
  <w:style w:type="paragraph" w:styleId="Textoindependiente2">
    <w:name w:val="Body Text 2"/>
    <w:basedOn w:val="Normal"/>
    <w:semiHidden/>
    <w:pPr>
      <w:spacing w:line="360" w:lineRule="auto"/>
      <w:jc w:val="both"/>
    </w:pPr>
    <w:rPr>
      <w:rFonts w:ascii="Arial" w:hAnsi="Arial" w:cs="Arial"/>
      <w:bCs/>
      <w:iCs/>
      <w:sz w:val="22"/>
      <w:szCs w:val="22"/>
    </w:rPr>
  </w:style>
  <w:style w:type="paragraph" w:styleId="Textoindependiente3">
    <w:name w:val="Body Text 3"/>
    <w:basedOn w:val="Normal"/>
    <w:semiHidden/>
    <w:pPr>
      <w:spacing w:line="360" w:lineRule="auto"/>
      <w:jc w:val="both"/>
    </w:pPr>
    <w:rPr>
      <w:rFonts w:ascii="Arial" w:hAnsi="Arial" w:cs="Arial"/>
      <w:sz w:val="24"/>
    </w:rPr>
  </w:style>
  <w:style w:type="paragraph" w:styleId="Sangradetextonormal">
    <w:name w:val="Body Text Indent"/>
    <w:basedOn w:val="Normal"/>
    <w:semiHidden/>
    <w:pPr>
      <w:spacing w:line="360" w:lineRule="auto"/>
      <w:ind w:left="708"/>
      <w:jc w:val="both"/>
    </w:pPr>
    <w:rPr>
      <w:color w:val="000000"/>
      <w:sz w:val="27"/>
      <w:szCs w:val="27"/>
      <w:shd w:val="clear" w:color="auto" w:fill="FFFFFF"/>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styleId="Sangra2detindependiente">
    <w:name w:val="Body Text Indent 2"/>
    <w:basedOn w:val="Normal"/>
    <w:semiHidden/>
    <w:pPr>
      <w:spacing w:line="360" w:lineRule="auto"/>
      <w:ind w:left="708"/>
      <w:jc w:val="both"/>
    </w:pPr>
    <w:rPr>
      <w:rFonts w:ascii="Verdana" w:hAnsi="Verdana"/>
      <w:sz w:val="23"/>
      <w:szCs w:val="23"/>
    </w:rPr>
  </w:style>
  <w:style w:type="paragraph" w:styleId="Sangra3detindependiente">
    <w:name w:val="Body Text Indent 3"/>
    <w:basedOn w:val="Normal"/>
    <w:semiHidden/>
    <w:pPr>
      <w:spacing w:line="360" w:lineRule="auto"/>
      <w:ind w:left="360"/>
      <w:jc w:val="both"/>
    </w:pPr>
    <w:rPr>
      <w:rFonts w:ascii="Arial" w:hAnsi="Arial" w:cs="Arial"/>
      <w:bCs/>
      <w:iCs/>
      <w:sz w:val="24"/>
      <w:szCs w:val="22"/>
    </w:rPr>
  </w:style>
  <w:style w:type="paragraph" w:customStyle="1" w:styleId="paragraph">
    <w:name w:val="paragraph"/>
    <w:basedOn w:val="Normal"/>
    <w:rsid w:val="004356E0"/>
    <w:pPr>
      <w:spacing w:before="100" w:beforeAutospacing="1" w:after="100" w:afterAutospacing="1"/>
    </w:pPr>
    <w:rPr>
      <w:sz w:val="24"/>
      <w:szCs w:val="24"/>
      <w:lang w:val="es-CO" w:eastAsia="es-CO"/>
    </w:rPr>
  </w:style>
  <w:style w:type="character" w:customStyle="1" w:styleId="normaltextrun">
    <w:name w:val="normaltextrun"/>
    <w:rsid w:val="004356E0"/>
  </w:style>
  <w:style w:type="character" w:customStyle="1" w:styleId="eop">
    <w:name w:val="eop"/>
    <w:rsid w:val="004356E0"/>
  </w:style>
  <w:style w:type="paragraph" w:customStyle="1" w:styleId="Textoindependiente21">
    <w:name w:val="Texto independiente 21"/>
    <w:basedOn w:val="Normal"/>
    <w:rsid w:val="004356E0"/>
    <w:pPr>
      <w:spacing w:line="360" w:lineRule="auto"/>
      <w:jc w:val="both"/>
    </w:pPr>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62243">
      <w:bodyDiv w:val="1"/>
      <w:marLeft w:val="0"/>
      <w:marRight w:val="0"/>
      <w:marTop w:val="0"/>
      <w:marBottom w:val="0"/>
      <w:divBdr>
        <w:top w:val="none" w:sz="0" w:space="0" w:color="auto"/>
        <w:left w:val="none" w:sz="0" w:space="0" w:color="auto"/>
        <w:bottom w:val="none" w:sz="0" w:space="0" w:color="auto"/>
        <w:right w:val="none" w:sz="0" w:space="0" w:color="auto"/>
      </w:divBdr>
    </w:div>
    <w:div w:id="1576090775">
      <w:bodyDiv w:val="1"/>
      <w:marLeft w:val="0"/>
      <w:marRight w:val="0"/>
      <w:marTop w:val="0"/>
      <w:marBottom w:val="0"/>
      <w:divBdr>
        <w:top w:val="none" w:sz="0" w:space="0" w:color="auto"/>
        <w:left w:val="none" w:sz="0" w:space="0" w:color="auto"/>
        <w:bottom w:val="none" w:sz="0" w:space="0" w:color="auto"/>
        <w:right w:val="none" w:sz="0" w:space="0" w:color="auto"/>
      </w:divBdr>
      <w:divsChild>
        <w:div w:id="1659383064">
          <w:marLeft w:val="0"/>
          <w:marRight w:val="0"/>
          <w:marTop w:val="0"/>
          <w:marBottom w:val="0"/>
          <w:divBdr>
            <w:top w:val="none" w:sz="0" w:space="0" w:color="auto"/>
            <w:left w:val="none" w:sz="0" w:space="0" w:color="auto"/>
            <w:bottom w:val="none" w:sz="0" w:space="0" w:color="auto"/>
            <w:right w:val="none" w:sz="0" w:space="0" w:color="auto"/>
          </w:divBdr>
          <w:divsChild>
            <w:div w:id="117652543">
              <w:marLeft w:val="0"/>
              <w:marRight w:val="0"/>
              <w:marTop w:val="0"/>
              <w:marBottom w:val="0"/>
              <w:divBdr>
                <w:top w:val="none" w:sz="0" w:space="0" w:color="auto"/>
                <w:left w:val="none" w:sz="0" w:space="0" w:color="auto"/>
                <w:bottom w:val="none" w:sz="0" w:space="0" w:color="auto"/>
                <w:right w:val="none" w:sz="0" w:space="0" w:color="auto"/>
              </w:divBdr>
            </w:div>
          </w:divsChild>
        </w:div>
        <w:div w:id="1442381836">
          <w:marLeft w:val="0"/>
          <w:marRight w:val="0"/>
          <w:marTop w:val="0"/>
          <w:marBottom w:val="0"/>
          <w:divBdr>
            <w:top w:val="none" w:sz="0" w:space="0" w:color="auto"/>
            <w:left w:val="none" w:sz="0" w:space="0" w:color="auto"/>
            <w:bottom w:val="none" w:sz="0" w:space="0" w:color="auto"/>
            <w:right w:val="none" w:sz="0" w:space="0" w:color="auto"/>
          </w:divBdr>
          <w:divsChild>
            <w:div w:id="255526307">
              <w:marLeft w:val="0"/>
              <w:marRight w:val="0"/>
              <w:marTop w:val="0"/>
              <w:marBottom w:val="0"/>
              <w:divBdr>
                <w:top w:val="none" w:sz="0" w:space="0" w:color="auto"/>
                <w:left w:val="none" w:sz="0" w:space="0" w:color="auto"/>
                <w:bottom w:val="none" w:sz="0" w:space="0" w:color="auto"/>
                <w:right w:val="none" w:sz="0" w:space="0" w:color="auto"/>
              </w:divBdr>
            </w:div>
          </w:divsChild>
        </w:div>
        <w:div w:id="1661420914">
          <w:marLeft w:val="0"/>
          <w:marRight w:val="0"/>
          <w:marTop w:val="0"/>
          <w:marBottom w:val="0"/>
          <w:divBdr>
            <w:top w:val="none" w:sz="0" w:space="0" w:color="auto"/>
            <w:left w:val="none" w:sz="0" w:space="0" w:color="auto"/>
            <w:bottom w:val="none" w:sz="0" w:space="0" w:color="auto"/>
            <w:right w:val="none" w:sz="0" w:space="0" w:color="auto"/>
          </w:divBdr>
          <w:divsChild>
            <w:div w:id="1209224073">
              <w:marLeft w:val="0"/>
              <w:marRight w:val="0"/>
              <w:marTop w:val="0"/>
              <w:marBottom w:val="0"/>
              <w:divBdr>
                <w:top w:val="none" w:sz="0" w:space="0" w:color="auto"/>
                <w:left w:val="none" w:sz="0" w:space="0" w:color="auto"/>
                <w:bottom w:val="none" w:sz="0" w:space="0" w:color="auto"/>
                <w:right w:val="none" w:sz="0" w:space="0" w:color="auto"/>
              </w:divBdr>
            </w:div>
          </w:divsChild>
        </w:div>
        <w:div w:id="771821933">
          <w:marLeft w:val="0"/>
          <w:marRight w:val="0"/>
          <w:marTop w:val="0"/>
          <w:marBottom w:val="0"/>
          <w:divBdr>
            <w:top w:val="none" w:sz="0" w:space="0" w:color="auto"/>
            <w:left w:val="none" w:sz="0" w:space="0" w:color="auto"/>
            <w:bottom w:val="none" w:sz="0" w:space="0" w:color="auto"/>
            <w:right w:val="none" w:sz="0" w:space="0" w:color="auto"/>
          </w:divBdr>
          <w:divsChild>
            <w:div w:id="1199514027">
              <w:marLeft w:val="0"/>
              <w:marRight w:val="0"/>
              <w:marTop w:val="0"/>
              <w:marBottom w:val="0"/>
              <w:divBdr>
                <w:top w:val="none" w:sz="0" w:space="0" w:color="auto"/>
                <w:left w:val="none" w:sz="0" w:space="0" w:color="auto"/>
                <w:bottom w:val="none" w:sz="0" w:space="0" w:color="auto"/>
                <w:right w:val="none" w:sz="0" w:space="0" w:color="auto"/>
              </w:divBdr>
            </w:div>
          </w:divsChild>
        </w:div>
        <w:div w:id="816412187">
          <w:marLeft w:val="0"/>
          <w:marRight w:val="0"/>
          <w:marTop w:val="0"/>
          <w:marBottom w:val="0"/>
          <w:divBdr>
            <w:top w:val="none" w:sz="0" w:space="0" w:color="auto"/>
            <w:left w:val="none" w:sz="0" w:space="0" w:color="auto"/>
            <w:bottom w:val="none" w:sz="0" w:space="0" w:color="auto"/>
            <w:right w:val="none" w:sz="0" w:space="0" w:color="auto"/>
          </w:divBdr>
          <w:divsChild>
            <w:div w:id="68429244">
              <w:marLeft w:val="0"/>
              <w:marRight w:val="0"/>
              <w:marTop w:val="0"/>
              <w:marBottom w:val="0"/>
              <w:divBdr>
                <w:top w:val="none" w:sz="0" w:space="0" w:color="auto"/>
                <w:left w:val="none" w:sz="0" w:space="0" w:color="auto"/>
                <w:bottom w:val="none" w:sz="0" w:space="0" w:color="auto"/>
                <w:right w:val="none" w:sz="0" w:space="0" w:color="auto"/>
              </w:divBdr>
            </w:div>
          </w:divsChild>
        </w:div>
        <w:div w:id="971524526">
          <w:marLeft w:val="0"/>
          <w:marRight w:val="0"/>
          <w:marTop w:val="0"/>
          <w:marBottom w:val="0"/>
          <w:divBdr>
            <w:top w:val="none" w:sz="0" w:space="0" w:color="auto"/>
            <w:left w:val="none" w:sz="0" w:space="0" w:color="auto"/>
            <w:bottom w:val="none" w:sz="0" w:space="0" w:color="auto"/>
            <w:right w:val="none" w:sz="0" w:space="0" w:color="auto"/>
          </w:divBdr>
          <w:divsChild>
            <w:div w:id="37895647">
              <w:marLeft w:val="0"/>
              <w:marRight w:val="0"/>
              <w:marTop w:val="0"/>
              <w:marBottom w:val="0"/>
              <w:divBdr>
                <w:top w:val="none" w:sz="0" w:space="0" w:color="auto"/>
                <w:left w:val="none" w:sz="0" w:space="0" w:color="auto"/>
                <w:bottom w:val="none" w:sz="0" w:space="0" w:color="auto"/>
                <w:right w:val="none" w:sz="0" w:space="0" w:color="auto"/>
              </w:divBdr>
            </w:div>
          </w:divsChild>
        </w:div>
        <w:div w:id="755632817">
          <w:marLeft w:val="0"/>
          <w:marRight w:val="0"/>
          <w:marTop w:val="0"/>
          <w:marBottom w:val="0"/>
          <w:divBdr>
            <w:top w:val="none" w:sz="0" w:space="0" w:color="auto"/>
            <w:left w:val="none" w:sz="0" w:space="0" w:color="auto"/>
            <w:bottom w:val="none" w:sz="0" w:space="0" w:color="auto"/>
            <w:right w:val="none" w:sz="0" w:space="0" w:color="auto"/>
          </w:divBdr>
          <w:divsChild>
            <w:div w:id="901595212">
              <w:marLeft w:val="0"/>
              <w:marRight w:val="0"/>
              <w:marTop w:val="0"/>
              <w:marBottom w:val="0"/>
              <w:divBdr>
                <w:top w:val="none" w:sz="0" w:space="0" w:color="auto"/>
                <w:left w:val="none" w:sz="0" w:space="0" w:color="auto"/>
                <w:bottom w:val="none" w:sz="0" w:space="0" w:color="auto"/>
                <w:right w:val="none" w:sz="0" w:space="0" w:color="auto"/>
              </w:divBdr>
            </w:div>
          </w:divsChild>
        </w:div>
        <w:div w:id="1525513759">
          <w:marLeft w:val="0"/>
          <w:marRight w:val="0"/>
          <w:marTop w:val="0"/>
          <w:marBottom w:val="0"/>
          <w:divBdr>
            <w:top w:val="none" w:sz="0" w:space="0" w:color="auto"/>
            <w:left w:val="none" w:sz="0" w:space="0" w:color="auto"/>
            <w:bottom w:val="none" w:sz="0" w:space="0" w:color="auto"/>
            <w:right w:val="none" w:sz="0" w:space="0" w:color="auto"/>
          </w:divBdr>
          <w:divsChild>
            <w:div w:id="6746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B06A-04C8-460B-9751-B9FD160A7DC6}">
  <ds:schemaRefs>
    <ds:schemaRef ds:uri="http://schemas.microsoft.com/sharepoint/v3/contenttype/forms"/>
  </ds:schemaRefs>
</ds:datastoreItem>
</file>

<file path=customXml/itemProps2.xml><?xml version="1.0" encoding="utf-8"?>
<ds:datastoreItem xmlns:ds="http://schemas.openxmlformats.org/officeDocument/2006/customXml" ds:itemID="{987840D3-36E3-4607-AD2E-CC26356E1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9A914-A603-42C2-A2EC-C010C0B7F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3</cp:revision>
  <cp:lastPrinted>2014-08-26T21:25:00Z</cp:lastPrinted>
  <dcterms:created xsi:type="dcterms:W3CDTF">2021-11-02T15:29:00Z</dcterms:created>
  <dcterms:modified xsi:type="dcterms:W3CDTF">2021-11-02T15:30:00Z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