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80" w:rsidRPr="00CB5080" w:rsidRDefault="00CB5080" w:rsidP="00CB50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B508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CB5080">
        <w:rPr>
          <w:rFonts w:ascii="Arial" w:hAnsi="Arial" w:cs="Arial"/>
          <w:color w:val="FF0000"/>
          <w:spacing w:val="-4"/>
          <w:sz w:val="18"/>
          <w:szCs w:val="18"/>
          <w:lang w:val="es-419" w:eastAsia="fr-FR"/>
        </w:rPr>
        <w:tab/>
        <w:t>o.  El contenido total y fiel de la decisión debe ser verificado en la respectiva Secretaría.</w:t>
      </w:r>
    </w:p>
    <w:p w:rsidR="00CB5080" w:rsidRPr="00CB5080" w:rsidRDefault="00CB5080" w:rsidP="00CB5080">
      <w:pPr>
        <w:jc w:val="both"/>
        <w:rPr>
          <w:rFonts w:ascii="Arial" w:hAnsi="Arial" w:cs="Arial"/>
          <w:sz w:val="20"/>
          <w:szCs w:val="20"/>
          <w:lang w:val="es-419"/>
        </w:rPr>
      </w:pP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CB5080">
        <w:rPr>
          <w:rFonts w:ascii="Arial" w:hAnsi="Arial" w:cs="Arial"/>
          <w:sz w:val="20"/>
          <w:szCs w:val="20"/>
          <w:lang w:val="es-419"/>
        </w:rPr>
        <w:t>Sentencia de 26 de enero de 2021</w:t>
      </w: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Radicación Nro.:</w:t>
      </w:r>
      <w:r w:rsidRPr="00CB5080">
        <w:rPr>
          <w:rFonts w:ascii="Arial" w:hAnsi="Arial" w:cs="Arial"/>
          <w:sz w:val="20"/>
          <w:szCs w:val="20"/>
          <w:lang w:val="es-419"/>
        </w:rPr>
        <w:tab/>
        <w:t>66001-31-05-002-2020-00289-01</w:t>
      </w: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Accionante:</w:t>
      </w:r>
      <w:r>
        <w:rPr>
          <w:rFonts w:ascii="Arial" w:hAnsi="Arial" w:cs="Arial"/>
          <w:sz w:val="20"/>
          <w:szCs w:val="20"/>
          <w:lang w:val="es-419"/>
        </w:rPr>
        <w:tab/>
      </w:r>
      <w:r w:rsidRPr="00CB5080">
        <w:rPr>
          <w:rFonts w:ascii="Arial" w:hAnsi="Arial" w:cs="Arial"/>
          <w:sz w:val="20"/>
          <w:szCs w:val="20"/>
          <w:lang w:val="es-419"/>
        </w:rPr>
        <w:tab/>
        <w:t>José Abelardo Naranjo Hernández</w:t>
      </w: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Accionados:</w:t>
      </w:r>
      <w:r>
        <w:rPr>
          <w:rFonts w:ascii="Arial" w:hAnsi="Arial" w:cs="Arial"/>
          <w:sz w:val="20"/>
          <w:szCs w:val="20"/>
          <w:lang w:val="es-419"/>
        </w:rPr>
        <w:tab/>
      </w:r>
      <w:r w:rsidRPr="00CB5080">
        <w:rPr>
          <w:rFonts w:ascii="Arial" w:hAnsi="Arial" w:cs="Arial"/>
          <w:sz w:val="20"/>
          <w:szCs w:val="20"/>
          <w:lang w:val="es-419"/>
        </w:rPr>
        <w:tab/>
        <w:t>Nueva EPS y Colpensiones</w:t>
      </w: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Proceso:</w:t>
      </w:r>
      <w:r>
        <w:rPr>
          <w:rFonts w:ascii="Arial" w:hAnsi="Arial" w:cs="Arial"/>
          <w:sz w:val="20"/>
          <w:szCs w:val="20"/>
          <w:lang w:val="es-419"/>
        </w:rPr>
        <w:tab/>
      </w:r>
      <w:r w:rsidRPr="00CB5080">
        <w:rPr>
          <w:rFonts w:ascii="Arial" w:hAnsi="Arial" w:cs="Arial"/>
          <w:sz w:val="20"/>
          <w:szCs w:val="20"/>
          <w:lang w:val="es-419"/>
        </w:rPr>
        <w:tab/>
        <w:t xml:space="preserve">Acción de Tutela </w:t>
      </w: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Juzgado de origen:</w:t>
      </w:r>
      <w:r>
        <w:rPr>
          <w:rFonts w:ascii="Arial" w:hAnsi="Arial" w:cs="Arial"/>
          <w:sz w:val="20"/>
          <w:szCs w:val="20"/>
          <w:lang w:val="es-419"/>
        </w:rPr>
        <w:tab/>
      </w:r>
      <w:r w:rsidRPr="00CB5080">
        <w:rPr>
          <w:rFonts w:ascii="Arial" w:hAnsi="Arial" w:cs="Arial"/>
          <w:sz w:val="20"/>
          <w:szCs w:val="20"/>
          <w:lang w:val="es-419"/>
        </w:rPr>
        <w:t>Juzgado Segundo Laboral del Circuito</w:t>
      </w:r>
    </w:p>
    <w:p w:rsidR="00CB5080" w:rsidRPr="00CB5080" w:rsidRDefault="00CB5080" w:rsidP="00CB5080">
      <w:pPr>
        <w:jc w:val="both"/>
        <w:rPr>
          <w:rFonts w:ascii="Arial" w:hAnsi="Arial" w:cs="Arial"/>
          <w:sz w:val="20"/>
          <w:szCs w:val="20"/>
          <w:lang w:val="es-419"/>
        </w:rPr>
      </w:pPr>
      <w:r w:rsidRPr="00CB5080">
        <w:rPr>
          <w:rFonts w:ascii="Arial" w:hAnsi="Arial" w:cs="Arial"/>
          <w:sz w:val="20"/>
          <w:szCs w:val="20"/>
          <w:lang w:val="es-419"/>
        </w:rPr>
        <w:t>Magistrado Ponente:</w:t>
      </w:r>
      <w:r w:rsidRPr="00CB5080">
        <w:rPr>
          <w:rFonts w:ascii="Arial" w:hAnsi="Arial" w:cs="Arial"/>
          <w:sz w:val="20"/>
          <w:szCs w:val="20"/>
          <w:lang w:val="es-419"/>
        </w:rPr>
        <w:tab/>
        <w:t>Julio César Salazar Muñoz</w:t>
      </w:r>
    </w:p>
    <w:p w:rsidR="00CB5080" w:rsidRPr="00CB5080" w:rsidRDefault="00CB5080" w:rsidP="00CB5080">
      <w:pPr>
        <w:jc w:val="both"/>
        <w:rPr>
          <w:rFonts w:ascii="Arial" w:hAnsi="Arial" w:cs="Arial"/>
          <w:sz w:val="20"/>
          <w:szCs w:val="20"/>
          <w:lang w:val="es-419"/>
        </w:rPr>
      </w:pPr>
    </w:p>
    <w:p w:rsidR="00CB5080" w:rsidRPr="00CB5080" w:rsidRDefault="00CB5080" w:rsidP="00CB5080">
      <w:pPr>
        <w:jc w:val="both"/>
        <w:rPr>
          <w:rFonts w:ascii="Arial" w:hAnsi="Arial" w:cs="Arial"/>
          <w:b/>
          <w:bCs/>
          <w:iCs/>
          <w:sz w:val="20"/>
          <w:szCs w:val="20"/>
          <w:lang w:val="es-419" w:eastAsia="fr-FR"/>
        </w:rPr>
      </w:pPr>
      <w:r w:rsidRPr="00CB5080">
        <w:rPr>
          <w:rFonts w:ascii="Arial" w:hAnsi="Arial" w:cs="Arial"/>
          <w:b/>
          <w:bCs/>
          <w:iCs/>
          <w:sz w:val="20"/>
          <w:szCs w:val="20"/>
          <w:u w:val="single"/>
          <w:lang w:val="es-419" w:eastAsia="fr-FR"/>
        </w:rPr>
        <w:t>TEMAS:</w:t>
      </w:r>
      <w:r w:rsidRPr="00CB5080">
        <w:rPr>
          <w:rFonts w:ascii="Arial" w:hAnsi="Arial" w:cs="Arial"/>
          <w:b/>
          <w:bCs/>
          <w:iCs/>
          <w:sz w:val="20"/>
          <w:szCs w:val="20"/>
          <w:lang w:val="es-419" w:eastAsia="fr-FR"/>
        </w:rPr>
        <w:tab/>
      </w:r>
      <w:r w:rsidR="00E0549F">
        <w:rPr>
          <w:rFonts w:ascii="Arial" w:hAnsi="Arial" w:cs="Arial"/>
          <w:b/>
          <w:bCs/>
          <w:iCs/>
          <w:sz w:val="20"/>
          <w:szCs w:val="20"/>
          <w:lang w:val="es-419" w:eastAsia="fr-FR"/>
        </w:rPr>
        <w:t xml:space="preserve">SEGURIDAD SOCIAL / MÍNIMO VITAL / PAGO DE INCAPACIDADES MÉDICAS / ENTIDADES RESPONSABLES EN LOS DIFERENTES PERÍODOS DE TIEMPO / CONCEPTO DE REHABILITACIÓN </w:t>
      </w:r>
      <w:r w:rsidRPr="00CB5080">
        <w:rPr>
          <w:rFonts w:ascii="Arial" w:hAnsi="Arial" w:cs="Arial"/>
          <w:b/>
          <w:bCs/>
          <w:iCs/>
          <w:sz w:val="20"/>
          <w:szCs w:val="20"/>
          <w:lang w:val="es-419" w:eastAsia="fr-FR"/>
        </w:rPr>
        <w:t xml:space="preserve">/ </w:t>
      </w:r>
      <w:r w:rsidR="00E0549F">
        <w:rPr>
          <w:rFonts w:ascii="Arial" w:hAnsi="Arial" w:cs="Arial"/>
          <w:b/>
          <w:bCs/>
          <w:iCs/>
          <w:sz w:val="20"/>
          <w:szCs w:val="20"/>
          <w:lang w:val="es-419" w:eastAsia="fr-FR"/>
        </w:rPr>
        <w:t>INCIDENCIA EN DICHA OBLIGACIÓN.</w:t>
      </w:r>
    </w:p>
    <w:p w:rsidR="00CB5080" w:rsidRPr="00CB5080" w:rsidRDefault="00CB5080" w:rsidP="00CB5080">
      <w:pPr>
        <w:jc w:val="both"/>
        <w:rPr>
          <w:rFonts w:ascii="Arial" w:hAnsi="Arial" w:cs="Arial"/>
          <w:sz w:val="20"/>
          <w:szCs w:val="20"/>
          <w:lang w:val="es-419"/>
        </w:rPr>
      </w:pPr>
    </w:p>
    <w:p w:rsidR="00E57410" w:rsidRPr="00E57410" w:rsidRDefault="00E57410" w:rsidP="00E57410">
      <w:pPr>
        <w:jc w:val="both"/>
        <w:rPr>
          <w:rFonts w:ascii="Arial" w:hAnsi="Arial" w:cs="Arial"/>
          <w:sz w:val="20"/>
          <w:szCs w:val="20"/>
          <w:lang w:val="es-419"/>
        </w:rPr>
      </w:pPr>
      <w:r w:rsidRPr="00E57410">
        <w:rPr>
          <w:rFonts w:ascii="Arial" w:hAnsi="Arial" w:cs="Arial"/>
          <w:sz w:val="20"/>
          <w:szCs w:val="20"/>
          <w:lang w:val="es-419"/>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 -T 177 de 2013-, pues en dichos casos es necesario garantizarle la protección de sus derechos a la salud y al mínimo vital.</w:t>
      </w:r>
    </w:p>
    <w:p w:rsidR="00E57410" w:rsidRPr="00E57410" w:rsidRDefault="00E57410" w:rsidP="00E57410">
      <w:pPr>
        <w:jc w:val="both"/>
        <w:rPr>
          <w:rFonts w:ascii="Arial" w:hAnsi="Arial" w:cs="Arial"/>
          <w:sz w:val="20"/>
          <w:szCs w:val="20"/>
          <w:lang w:val="es-419"/>
        </w:rPr>
      </w:pPr>
    </w:p>
    <w:p w:rsidR="00E57410" w:rsidRPr="00E57410" w:rsidRDefault="00E57410" w:rsidP="00E57410">
      <w:pPr>
        <w:jc w:val="both"/>
        <w:rPr>
          <w:rFonts w:ascii="Arial" w:hAnsi="Arial" w:cs="Arial"/>
          <w:sz w:val="20"/>
          <w:szCs w:val="20"/>
          <w:lang w:val="es-419"/>
        </w:rPr>
      </w:pPr>
      <w:r w:rsidRPr="00E57410">
        <w:rPr>
          <w:rFonts w:ascii="Arial" w:hAnsi="Arial" w:cs="Arial"/>
          <w:sz w:val="20"/>
          <w:szCs w:val="20"/>
          <w:lang w:val="es-419"/>
        </w:rPr>
        <w:t>Ahora, respecto a los mecanismos ordinarios y administrativos de defensa judicial, la Corte Constitucional, en sentencia T-447 de 2017, señaló:</w:t>
      </w:r>
    </w:p>
    <w:p w:rsidR="00E57410" w:rsidRPr="00E57410" w:rsidRDefault="00E57410" w:rsidP="00E57410">
      <w:pPr>
        <w:jc w:val="both"/>
        <w:rPr>
          <w:rFonts w:ascii="Arial" w:hAnsi="Arial" w:cs="Arial"/>
          <w:sz w:val="20"/>
          <w:szCs w:val="20"/>
          <w:lang w:val="es-419"/>
        </w:rPr>
      </w:pPr>
    </w:p>
    <w:p w:rsidR="00CB5080" w:rsidRDefault="00E57410" w:rsidP="00E57410">
      <w:pPr>
        <w:jc w:val="both"/>
        <w:rPr>
          <w:rFonts w:ascii="Arial" w:hAnsi="Arial" w:cs="Arial"/>
          <w:sz w:val="20"/>
          <w:szCs w:val="20"/>
          <w:lang w:val="es-419"/>
        </w:rPr>
      </w:pPr>
      <w:r w:rsidRPr="00E57410">
        <w:rPr>
          <w:rFonts w:ascii="Arial" w:hAnsi="Arial" w:cs="Arial"/>
          <w:sz w:val="20"/>
          <w:szCs w:val="20"/>
          <w:lang w:val="es-419"/>
        </w:rPr>
        <w:t>“(…) si bien existe un proceso jurisdiccional a cargo de la Superintendencia Nacional de Salud al cual el actor podría acudir para que le diriman sus pretensiones , este es ineficaz para la protección del derecho fundamental al mínimo vital del actor, más aún cuando esta Corte ha reconocido anteriormente que “la acción de tutela es el mecanismo idóneo para la protección de derechos fundamentales como el mínimo vital y la salud cuando el peticionario se ve desprovisto del pago de las incapacidades médicas</w:t>
      </w:r>
      <w:r>
        <w:rPr>
          <w:rFonts w:ascii="Arial" w:hAnsi="Arial" w:cs="Arial"/>
          <w:sz w:val="20"/>
          <w:szCs w:val="20"/>
          <w:lang w:val="es-419"/>
        </w:rPr>
        <w:t>…”</w:t>
      </w:r>
    </w:p>
    <w:p w:rsidR="00E57410" w:rsidRDefault="00E57410" w:rsidP="00E57410">
      <w:pPr>
        <w:jc w:val="both"/>
        <w:rPr>
          <w:rFonts w:ascii="Arial" w:hAnsi="Arial" w:cs="Arial"/>
          <w:sz w:val="20"/>
          <w:szCs w:val="20"/>
          <w:lang w:val="es-419"/>
        </w:rPr>
      </w:pPr>
    </w:p>
    <w:p w:rsidR="00E57410" w:rsidRPr="00CB5080" w:rsidRDefault="00E57410" w:rsidP="00E57410">
      <w:pPr>
        <w:jc w:val="both"/>
        <w:rPr>
          <w:rFonts w:ascii="Arial" w:hAnsi="Arial" w:cs="Arial"/>
          <w:sz w:val="20"/>
          <w:szCs w:val="20"/>
          <w:lang w:val="es-419"/>
        </w:rPr>
      </w:pPr>
      <w:r>
        <w:rPr>
          <w:rFonts w:ascii="Arial" w:hAnsi="Arial" w:cs="Arial"/>
          <w:sz w:val="20"/>
          <w:szCs w:val="20"/>
          <w:lang w:val="es-419"/>
        </w:rPr>
        <w:t xml:space="preserve">… </w:t>
      </w:r>
      <w:r w:rsidRPr="00E57410">
        <w:rPr>
          <w:rFonts w:ascii="Arial" w:hAnsi="Arial" w:cs="Arial"/>
          <w:sz w:val="20"/>
          <w:szCs w:val="20"/>
          <w:lang w:val="es-419"/>
        </w:rPr>
        <w:t>analizando la normatividad que regula el tema se tiene que, al entrar en vigencia la Ley 100 de 1993, el pago de licencias por enfermedad de origen común le fue asignado a las entidades encargadas de asegurar las contingencias en materia de seguridad social, correspondiéndole al Decreto 1406 de 1999, reglamentario de ésta última disposición, establecer que el empleador es responsable del pago de las incapacidades laborales de origen común iguales o menores a dos días y que las EPS cubren las que se causen desde entonces y hasta el día 180</w:t>
      </w:r>
      <w:r>
        <w:rPr>
          <w:rFonts w:ascii="Arial" w:hAnsi="Arial" w:cs="Arial"/>
          <w:sz w:val="20"/>
          <w:szCs w:val="20"/>
          <w:lang w:val="es-419"/>
        </w:rPr>
        <w:t>…</w:t>
      </w:r>
    </w:p>
    <w:p w:rsidR="00CB5080" w:rsidRPr="00CB5080" w:rsidRDefault="00CB5080" w:rsidP="00CB5080">
      <w:pPr>
        <w:jc w:val="both"/>
        <w:rPr>
          <w:rFonts w:ascii="Arial" w:hAnsi="Arial" w:cs="Arial"/>
          <w:sz w:val="20"/>
          <w:szCs w:val="20"/>
          <w:lang w:val="es-419"/>
        </w:rPr>
      </w:pPr>
    </w:p>
    <w:p w:rsidR="00CB5080" w:rsidRPr="00CB5080" w:rsidRDefault="00E57410" w:rsidP="00CB5080">
      <w:pPr>
        <w:jc w:val="both"/>
        <w:rPr>
          <w:rFonts w:ascii="Arial" w:hAnsi="Arial" w:cs="Arial"/>
          <w:sz w:val="20"/>
          <w:szCs w:val="20"/>
          <w:lang w:val="es-419"/>
        </w:rPr>
      </w:pPr>
      <w:r w:rsidRPr="00E57410">
        <w:rPr>
          <w:rFonts w:ascii="Arial" w:hAnsi="Arial" w:cs="Arial"/>
          <w:sz w:val="20"/>
          <w:szCs w:val="20"/>
          <w:lang w:val="es-419"/>
        </w:rPr>
        <w:t>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w:t>
      </w:r>
      <w:r>
        <w:rPr>
          <w:rFonts w:ascii="Arial" w:hAnsi="Arial" w:cs="Arial"/>
          <w:sz w:val="20"/>
          <w:szCs w:val="20"/>
          <w:lang w:val="es-419"/>
        </w:rPr>
        <w:t>…</w:t>
      </w:r>
    </w:p>
    <w:p w:rsidR="00CB5080" w:rsidRPr="00CB5080" w:rsidRDefault="00CB5080" w:rsidP="00CB5080">
      <w:pPr>
        <w:jc w:val="both"/>
        <w:rPr>
          <w:rFonts w:ascii="Arial" w:hAnsi="Arial" w:cs="Arial"/>
          <w:sz w:val="20"/>
          <w:szCs w:val="20"/>
          <w:lang w:val="es-419"/>
        </w:rPr>
      </w:pPr>
    </w:p>
    <w:p w:rsidR="00CB5080" w:rsidRDefault="00690EFF" w:rsidP="00CB5080">
      <w:pPr>
        <w:jc w:val="both"/>
        <w:rPr>
          <w:rFonts w:ascii="Arial" w:hAnsi="Arial" w:cs="Arial"/>
          <w:sz w:val="20"/>
          <w:szCs w:val="20"/>
          <w:lang w:val="es-419"/>
        </w:rPr>
      </w:pPr>
      <w:r w:rsidRPr="00690EFF">
        <w:rPr>
          <w:rFonts w:ascii="Arial" w:hAnsi="Arial" w:cs="Arial"/>
          <w:sz w:val="20"/>
          <w:szCs w:val="20"/>
          <w:lang w:val="es-419"/>
        </w:rPr>
        <w:t>Más recientemente señaló la misma Corporación en Sentencia T-161-19 que:</w:t>
      </w:r>
      <w:r w:rsidR="00E0549F">
        <w:rPr>
          <w:rFonts w:ascii="Arial" w:hAnsi="Arial" w:cs="Arial"/>
          <w:sz w:val="20"/>
          <w:szCs w:val="20"/>
          <w:lang w:val="es-419"/>
        </w:rPr>
        <w:t xml:space="preserve"> (…)</w:t>
      </w:r>
    </w:p>
    <w:p w:rsidR="00690EFF" w:rsidRDefault="00690EFF" w:rsidP="00CB5080">
      <w:pPr>
        <w:jc w:val="both"/>
        <w:rPr>
          <w:rFonts w:ascii="Arial" w:hAnsi="Arial" w:cs="Arial"/>
          <w:sz w:val="20"/>
          <w:szCs w:val="20"/>
          <w:lang w:val="es-419"/>
        </w:rPr>
      </w:pPr>
    </w:p>
    <w:p w:rsidR="00690EFF" w:rsidRPr="00CB5080" w:rsidRDefault="00E0549F" w:rsidP="00CB5080">
      <w:pPr>
        <w:jc w:val="both"/>
        <w:rPr>
          <w:rFonts w:ascii="Arial" w:hAnsi="Arial" w:cs="Arial"/>
          <w:sz w:val="20"/>
          <w:szCs w:val="20"/>
          <w:lang w:val="es-419"/>
        </w:rPr>
      </w:pPr>
      <w:r>
        <w:rPr>
          <w:rFonts w:ascii="Arial" w:hAnsi="Arial" w:cs="Arial"/>
          <w:sz w:val="20"/>
          <w:szCs w:val="20"/>
          <w:lang w:val="es-419"/>
        </w:rPr>
        <w:t>“</w:t>
      </w:r>
      <w:r w:rsidRPr="00E0549F">
        <w:rPr>
          <w:rFonts w:ascii="Arial" w:hAnsi="Arial" w:cs="Arial"/>
          <w:sz w:val="20"/>
          <w:szCs w:val="20"/>
          <w:lang w:val="es-419"/>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rsidR="00CB5080" w:rsidRPr="00CB5080" w:rsidRDefault="00CB5080" w:rsidP="00CB5080">
      <w:pPr>
        <w:jc w:val="both"/>
        <w:rPr>
          <w:rFonts w:ascii="Arial" w:hAnsi="Arial" w:cs="Arial"/>
          <w:sz w:val="20"/>
          <w:szCs w:val="20"/>
        </w:rPr>
      </w:pPr>
    </w:p>
    <w:p w:rsidR="00CB5080" w:rsidRPr="00CB5080" w:rsidRDefault="00CB5080" w:rsidP="00CB5080">
      <w:pPr>
        <w:jc w:val="both"/>
        <w:rPr>
          <w:rFonts w:ascii="Arial" w:hAnsi="Arial" w:cs="Arial"/>
          <w:sz w:val="20"/>
          <w:szCs w:val="20"/>
        </w:rPr>
      </w:pPr>
    </w:p>
    <w:p w:rsidR="00CB5080" w:rsidRPr="00CB5080" w:rsidRDefault="00CB5080" w:rsidP="00CB5080">
      <w:pPr>
        <w:jc w:val="both"/>
        <w:rPr>
          <w:rFonts w:ascii="Arial" w:hAnsi="Arial" w:cs="Arial"/>
          <w:sz w:val="20"/>
          <w:szCs w:val="20"/>
        </w:rPr>
      </w:pPr>
    </w:p>
    <w:p w:rsidR="0090265B" w:rsidRPr="00CB5080" w:rsidRDefault="0090265B" w:rsidP="00CB5080">
      <w:pPr>
        <w:pStyle w:val="Ttulo3"/>
        <w:spacing w:line="276" w:lineRule="auto"/>
        <w:jc w:val="center"/>
        <w:rPr>
          <w:rFonts w:cs="Arial"/>
          <w:sz w:val="24"/>
          <w:szCs w:val="24"/>
        </w:rPr>
      </w:pPr>
      <w:r w:rsidRPr="00CB5080">
        <w:rPr>
          <w:rFonts w:cs="Arial"/>
          <w:sz w:val="24"/>
          <w:szCs w:val="24"/>
        </w:rPr>
        <w:t>TRIBUNAL SUPERIOR DEL DISTRITO JUDICIAL</w:t>
      </w:r>
    </w:p>
    <w:p w:rsidR="0090265B" w:rsidRDefault="0090265B" w:rsidP="00CB5080">
      <w:pPr>
        <w:spacing w:line="276" w:lineRule="auto"/>
        <w:jc w:val="center"/>
        <w:rPr>
          <w:rFonts w:ascii="Arial" w:hAnsi="Arial" w:cs="Arial"/>
          <w:b/>
        </w:rPr>
      </w:pPr>
      <w:r w:rsidRPr="00CB5080">
        <w:rPr>
          <w:rFonts w:ascii="Arial" w:hAnsi="Arial" w:cs="Arial"/>
          <w:b/>
        </w:rPr>
        <w:t>SALA LABORAL</w:t>
      </w:r>
    </w:p>
    <w:p w:rsidR="00E0549F" w:rsidRPr="00CB5080" w:rsidRDefault="00E0549F" w:rsidP="00CB5080">
      <w:pPr>
        <w:spacing w:line="276" w:lineRule="auto"/>
        <w:jc w:val="center"/>
        <w:rPr>
          <w:rFonts w:ascii="Arial" w:hAnsi="Arial" w:cs="Arial"/>
          <w:b/>
        </w:rPr>
      </w:pPr>
    </w:p>
    <w:p w:rsidR="0090265B" w:rsidRPr="00CB5080" w:rsidRDefault="0090265B" w:rsidP="00CB5080">
      <w:pPr>
        <w:spacing w:line="276" w:lineRule="auto"/>
        <w:jc w:val="center"/>
        <w:rPr>
          <w:rFonts w:ascii="Arial" w:hAnsi="Arial" w:cs="Arial"/>
          <w:b/>
        </w:rPr>
      </w:pPr>
      <w:r w:rsidRPr="00CB5080">
        <w:rPr>
          <w:rFonts w:ascii="Arial" w:hAnsi="Arial" w:cs="Arial"/>
          <w:b/>
        </w:rPr>
        <w:t>ACCIÓN DE TUTELA</w:t>
      </w:r>
    </w:p>
    <w:p w:rsidR="0090265B" w:rsidRPr="00CB5080" w:rsidRDefault="0090265B" w:rsidP="00CB5080">
      <w:pPr>
        <w:spacing w:line="276" w:lineRule="auto"/>
        <w:jc w:val="center"/>
        <w:rPr>
          <w:rFonts w:ascii="Arial" w:hAnsi="Arial" w:cs="Arial"/>
          <w:b/>
        </w:rPr>
      </w:pPr>
      <w:r w:rsidRPr="00CB5080">
        <w:rPr>
          <w:rFonts w:ascii="Arial" w:hAnsi="Arial" w:cs="Arial"/>
          <w:b/>
        </w:rPr>
        <w:t>MAGISTRADO PONENTE: JULIO CÉSAR SALAZAR MUÑOZ</w:t>
      </w:r>
    </w:p>
    <w:p w:rsidR="0090265B" w:rsidRPr="00CB5080" w:rsidRDefault="0090265B" w:rsidP="00CB5080">
      <w:pPr>
        <w:spacing w:line="276" w:lineRule="auto"/>
        <w:jc w:val="center"/>
        <w:rPr>
          <w:rFonts w:ascii="Arial" w:hAnsi="Arial" w:cs="Arial"/>
        </w:rPr>
      </w:pPr>
    </w:p>
    <w:p w:rsidR="0090265B" w:rsidRPr="00CB5080" w:rsidRDefault="009945C9" w:rsidP="00CB5080">
      <w:pPr>
        <w:spacing w:line="276" w:lineRule="auto"/>
        <w:jc w:val="center"/>
        <w:rPr>
          <w:rFonts w:ascii="Arial" w:hAnsi="Arial" w:cs="Arial"/>
        </w:rPr>
      </w:pPr>
      <w:r w:rsidRPr="00CB5080">
        <w:rPr>
          <w:rFonts w:ascii="Arial" w:hAnsi="Arial" w:cs="Arial"/>
        </w:rPr>
        <w:t xml:space="preserve">Pereira, </w:t>
      </w:r>
      <w:r w:rsidR="00CF51AC" w:rsidRPr="00CB5080">
        <w:rPr>
          <w:rFonts w:ascii="Arial" w:hAnsi="Arial" w:cs="Arial"/>
        </w:rPr>
        <w:t>veinti</w:t>
      </w:r>
      <w:r w:rsidR="06162FD1" w:rsidRPr="00CB5080">
        <w:rPr>
          <w:rFonts w:ascii="Arial" w:hAnsi="Arial" w:cs="Arial"/>
        </w:rPr>
        <w:t>séis</w:t>
      </w:r>
      <w:r w:rsidR="00CF51AC" w:rsidRPr="00CB5080">
        <w:rPr>
          <w:rFonts w:ascii="Arial" w:hAnsi="Arial" w:cs="Arial"/>
        </w:rPr>
        <w:t xml:space="preserve"> de enero</w:t>
      </w:r>
      <w:r w:rsidR="00441440" w:rsidRPr="00CB5080">
        <w:rPr>
          <w:rFonts w:ascii="Arial" w:hAnsi="Arial" w:cs="Arial"/>
        </w:rPr>
        <w:t xml:space="preserve"> de dos mil veint</w:t>
      </w:r>
      <w:r w:rsidR="00CF51AC" w:rsidRPr="00CB5080">
        <w:rPr>
          <w:rFonts w:ascii="Arial" w:hAnsi="Arial" w:cs="Arial"/>
        </w:rPr>
        <w:t>iuno</w:t>
      </w:r>
    </w:p>
    <w:p w:rsidR="0090265B" w:rsidRPr="00CB5080" w:rsidRDefault="00BF147B" w:rsidP="00CB5080">
      <w:pPr>
        <w:spacing w:line="276" w:lineRule="auto"/>
        <w:jc w:val="center"/>
        <w:rPr>
          <w:rFonts w:ascii="Arial" w:hAnsi="Arial" w:cs="Arial"/>
        </w:rPr>
      </w:pPr>
      <w:r w:rsidRPr="00CB5080">
        <w:rPr>
          <w:rFonts w:ascii="Arial" w:hAnsi="Arial" w:cs="Arial"/>
        </w:rPr>
        <w:t>Acta N°</w:t>
      </w:r>
      <w:r w:rsidR="7FAF4898" w:rsidRPr="00CB5080">
        <w:rPr>
          <w:rFonts w:ascii="Arial" w:hAnsi="Arial" w:cs="Arial"/>
        </w:rPr>
        <w:t xml:space="preserve"> </w:t>
      </w:r>
      <w:r w:rsidR="182F1B9F" w:rsidRPr="00CB5080">
        <w:rPr>
          <w:rFonts w:ascii="Arial" w:hAnsi="Arial" w:cs="Arial"/>
        </w:rPr>
        <w:t>7</w:t>
      </w:r>
      <w:r w:rsidR="0074084F" w:rsidRPr="00CB5080">
        <w:rPr>
          <w:rFonts w:ascii="Arial" w:hAnsi="Arial" w:cs="Arial"/>
        </w:rPr>
        <w:t xml:space="preserve"> </w:t>
      </w:r>
      <w:r w:rsidR="0090265B" w:rsidRPr="00CB5080">
        <w:rPr>
          <w:rFonts w:ascii="Arial" w:hAnsi="Arial" w:cs="Arial"/>
        </w:rPr>
        <w:t xml:space="preserve">de </w:t>
      </w:r>
      <w:r w:rsidR="00CF51AC" w:rsidRPr="00CB5080">
        <w:rPr>
          <w:rFonts w:ascii="Arial" w:hAnsi="Arial" w:cs="Arial"/>
        </w:rPr>
        <w:t>2</w:t>
      </w:r>
      <w:r w:rsidR="3B0BA032" w:rsidRPr="00CB5080">
        <w:rPr>
          <w:rFonts w:ascii="Arial" w:hAnsi="Arial" w:cs="Arial"/>
        </w:rPr>
        <w:t>5</w:t>
      </w:r>
      <w:r w:rsidR="00CF51AC" w:rsidRPr="00CB5080">
        <w:rPr>
          <w:rFonts w:ascii="Arial" w:hAnsi="Arial" w:cs="Arial"/>
        </w:rPr>
        <w:t xml:space="preserve"> de enero</w:t>
      </w:r>
      <w:r w:rsidR="00441440" w:rsidRPr="00CB5080">
        <w:rPr>
          <w:rFonts w:ascii="Arial" w:hAnsi="Arial" w:cs="Arial"/>
        </w:rPr>
        <w:t xml:space="preserve"> de 202</w:t>
      </w:r>
      <w:r w:rsidR="00CF51AC" w:rsidRPr="00CB5080">
        <w:rPr>
          <w:rFonts w:ascii="Arial" w:hAnsi="Arial" w:cs="Arial"/>
        </w:rPr>
        <w:t>1</w:t>
      </w:r>
    </w:p>
    <w:p w:rsidR="0090265B" w:rsidRPr="00CB5080" w:rsidRDefault="0090265B" w:rsidP="00CB5080">
      <w:pPr>
        <w:spacing w:line="276" w:lineRule="auto"/>
        <w:jc w:val="both"/>
        <w:rPr>
          <w:rFonts w:ascii="Arial" w:hAnsi="Arial" w:cs="Arial"/>
        </w:rPr>
      </w:pPr>
    </w:p>
    <w:p w:rsidR="00230D87" w:rsidRPr="00CB5080" w:rsidRDefault="0090265B" w:rsidP="00CB5080">
      <w:pPr>
        <w:pStyle w:val="Textoindependiente"/>
        <w:spacing w:line="276" w:lineRule="auto"/>
        <w:rPr>
          <w:rFonts w:cs="Arial"/>
          <w:sz w:val="24"/>
          <w:szCs w:val="24"/>
        </w:rPr>
      </w:pPr>
      <w:r w:rsidRPr="00CB5080">
        <w:rPr>
          <w:rFonts w:cs="Arial"/>
          <w:sz w:val="24"/>
          <w:szCs w:val="24"/>
        </w:rPr>
        <w:lastRenderedPageBreak/>
        <w:t xml:space="preserve">Procede la Sala </w:t>
      </w:r>
      <w:r w:rsidR="00CF51AC" w:rsidRPr="00CB5080">
        <w:rPr>
          <w:rFonts w:cs="Arial"/>
          <w:sz w:val="24"/>
          <w:szCs w:val="24"/>
        </w:rPr>
        <w:t xml:space="preserve">de Decisión Laboral No 4º </w:t>
      </w:r>
      <w:r w:rsidRPr="00CB5080">
        <w:rPr>
          <w:rFonts w:cs="Arial"/>
          <w:sz w:val="24"/>
          <w:szCs w:val="24"/>
        </w:rPr>
        <w:t xml:space="preserve">del Tribunal Superior de Pereira a resolver la impugnación presentada </w:t>
      </w:r>
      <w:r w:rsidR="000E646B" w:rsidRPr="00CB5080">
        <w:rPr>
          <w:rFonts w:cs="Arial"/>
          <w:sz w:val="24"/>
          <w:szCs w:val="24"/>
        </w:rPr>
        <w:t>por</w:t>
      </w:r>
      <w:r w:rsidR="00230D87" w:rsidRPr="00CB5080">
        <w:rPr>
          <w:rFonts w:cs="Arial"/>
          <w:sz w:val="24"/>
          <w:szCs w:val="24"/>
        </w:rPr>
        <w:t xml:space="preserve"> </w:t>
      </w:r>
      <w:r w:rsidR="00097556" w:rsidRPr="00CB5080">
        <w:rPr>
          <w:rFonts w:cs="Arial"/>
          <w:sz w:val="24"/>
          <w:szCs w:val="24"/>
        </w:rPr>
        <w:t>Colpensiones y la Nueva EPS</w:t>
      </w:r>
      <w:r w:rsidR="00BF147B" w:rsidRPr="00CB5080">
        <w:rPr>
          <w:rFonts w:cs="Arial"/>
          <w:b/>
          <w:bCs/>
          <w:sz w:val="24"/>
          <w:szCs w:val="24"/>
        </w:rPr>
        <w:t>,</w:t>
      </w:r>
      <w:r w:rsidR="00BF147B" w:rsidRPr="00CB5080">
        <w:rPr>
          <w:rFonts w:cs="Arial"/>
          <w:sz w:val="24"/>
          <w:szCs w:val="24"/>
        </w:rPr>
        <w:t xml:space="preserve"> contra la sentencia </w:t>
      </w:r>
      <w:r w:rsidRPr="00CB5080">
        <w:rPr>
          <w:rFonts w:cs="Arial"/>
          <w:sz w:val="24"/>
          <w:szCs w:val="24"/>
        </w:rPr>
        <w:t xml:space="preserve">proferida por el Juzgado </w:t>
      </w:r>
      <w:r w:rsidR="00097556" w:rsidRPr="00CB5080">
        <w:rPr>
          <w:rFonts w:cs="Arial"/>
          <w:sz w:val="24"/>
          <w:szCs w:val="24"/>
        </w:rPr>
        <w:t>Segundo</w:t>
      </w:r>
      <w:r w:rsidR="00783128" w:rsidRPr="00CB5080">
        <w:rPr>
          <w:rFonts w:cs="Arial"/>
          <w:sz w:val="24"/>
          <w:szCs w:val="24"/>
        </w:rPr>
        <w:t xml:space="preserve"> </w:t>
      </w:r>
      <w:r w:rsidRPr="00CB5080">
        <w:rPr>
          <w:rFonts w:cs="Arial"/>
          <w:sz w:val="24"/>
          <w:szCs w:val="24"/>
        </w:rPr>
        <w:t>Laboral del Circuito de Pereira</w:t>
      </w:r>
      <w:r w:rsidR="00BF147B" w:rsidRPr="00CB5080">
        <w:rPr>
          <w:rFonts w:cs="Arial"/>
          <w:sz w:val="24"/>
          <w:szCs w:val="24"/>
        </w:rPr>
        <w:t xml:space="preserve"> el día </w:t>
      </w:r>
      <w:r w:rsidR="00097556" w:rsidRPr="00CB5080">
        <w:rPr>
          <w:rFonts w:cs="Arial"/>
          <w:sz w:val="24"/>
          <w:szCs w:val="24"/>
        </w:rPr>
        <w:t>27 de noviembre</w:t>
      </w:r>
      <w:r w:rsidR="00A82585" w:rsidRPr="00CB5080">
        <w:rPr>
          <w:rFonts w:cs="Arial"/>
          <w:sz w:val="24"/>
          <w:szCs w:val="24"/>
        </w:rPr>
        <w:t xml:space="preserve"> de 2020</w:t>
      </w:r>
      <w:r w:rsidR="00BF147B" w:rsidRPr="00CB5080">
        <w:rPr>
          <w:rFonts w:cs="Arial"/>
          <w:sz w:val="24"/>
          <w:szCs w:val="24"/>
        </w:rPr>
        <w:t>, dentro del trámite de la Acción</w:t>
      </w:r>
      <w:r w:rsidR="00157AEE" w:rsidRPr="00CB5080">
        <w:rPr>
          <w:rFonts w:cs="Arial"/>
          <w:sz w:val="24"/>
          <w:szCs w:val="24"/>
        </w:rPr>
        <w:t xml:space="preserve"> de Tutela que </w:t>
      </w:r>
      <w:r w:rsidR="00230D87" w:rsidRPr="00CB5080">
        <w:rPr>
          <w:rFonts w:cs="Arial"/>
          <w:sz w:val="24"/>
          <w:szCs w:val="24"/>
        </w:rPr>
        <w:t>le</w:t>
      </w:r>
      <w:r w:rsidR="00097556" w:rsidRPr="00CB5080">
        <w:rPr>
          <w:rFonts w:cs="Arial"/>
          <w:sz w:val="24"/>
          <w:szCs w:val="24"/>
        </w:rPr>
        <w:t>s</w:t>
      </w:r>
      <w:r w:rsidR="00230D87" w:rsidRPr="00CB5080">
        <w:rPr>
          <w:rFonts w:cs="Arial"/>
          <w:sz w:val="24"/>
          <w:szCs w:val="24"/>
        </w:rPr>
        <w:t xml:space="preserve"> promueve </w:t>
      </w:r>
      <w:r w:rsidR="00097556" w:rsidRPr="00CB5080">
        <w:rPr>
          <w:rFonts w:cs="Arial"/>
          <w:sz w:val="24"/>
          <w:szCs w:val="24"/>
        </w:rPr>
        <w:t xml:space="preserve">el señor </w:t>
      </w:r>
      <w:r w:rsidR="00230D87" w:rsidRPr="00CB5080">
        <w:rPr>
          <w:rFonts w:cs="Arial"/>
          <w:sz w:val="24"/>
          <w:szCs w:val="24"/>
        </w:rPr>
        <w:t xml:space="preserve"> </w:t>
      </w:r>
      <w:r w:rsidR="00097556" w:rsidRPr="00CB5080">
        <w:rPr>
          <w:rFonts w:cs="Arial"/>
          <w:b/>
          <w:bCs/>
          <w:sz w:val="24"/>
          <w:szCs w:val="24"/>
        </w:rPr>
        <w:t>JOSÉ ABELARDO NARANJO HERNÁNDEZ</w:t>
      </w:r>
      <w:r w:rsidR="00230D87" w:rsidRPr="00CB5080">
        <w:rPr>
          <w:rFonts w:cs="Arial"/>
          <w:b/>
          <w:bCs/>
          <w:sz w:val="24"/>
          <w:szCs w:val="24"/>
        </w:rPr>
        <w:t xml:space="preserve"> </w:t>
      </w:r>
      <w:r w:rsidR="00097556" w:rsidRPr="00CB5080">
        <w:rPr>
          <w:rFonts w:cs="Arial"/>
          <w:bCs/>
          <w:sz w:val="24"/>
          <w:szCs w:val="24"/>
        </w:rPr>
        <w:t xml:space="preserve">agenciado por la señora Gloria </w:t>
      </w:r>
      <w:proofErr w:type="spellStart"/>
      <w:r w:rsidR="00097556" w:rsidRPr="00CB5080">
        <w:rPr>
          <w:rFonts w:cs="Arial"/>
          <w:bCs/>
          <w:sz w:val="24"/>
          <w:szCs w:val="24"/>
        </w:rPr>
        <w:t>Edit</w:t>
      </w:r>
      <w:proofErr w:type="spellEnd"/>
      <w:r w:rsidR="00097556" w:rsidRPr="00CB5080">
        <w:rPr>
          <w:rFonts w:cs="Arial"/>
          <w:bCs/>
          <w:sz w:val="24"/>
          <w:szCs w:val="24"/>
        </w:rPr>
        <w:t xml:space="preserve"> Londoño Zuleta.</w:t>
      </w:r>
    </w:p>
    <w:p w:rsidR="00230D87" w:rsidRPr="00CB5080" w:rsidRDefault="00230D87" w:rsidP="00CB5080">
      <w:pPr>
        <w:pStyle w:val="Textoindependiente"/>
        <w:spacing w:line="276" w:lineRule="auto"/>
        <w:rPr>
          <w:rFonts w:cs="Arial"/>
          <w:sz w:val="24"/>
          <w:szCs w:val="24"/>
        </w:rPr>
      </w:pPr>
    </w:p>
    <w:p w:rsidR="0090265B" w:rsidRPr="00CB5080" w:rsidRDefault="0090265B" w:rsidP="00CB5080">
      <w:pPr>
        <w:pStyle w:val="Ttulo2"/>
        <w:spacing w:line="276" w:lineRule="auto"/>
        <w:jc w:val="center"/>
        <w:rPr>
          <w:rFonts w:cs="Arial"/>
          <w:szCs w:val="24"/>
        </w:rPr>
      </w:pPr>
      <w:r w:rsidRPr="00CB5080">
        <w:rPr>
          <w:rFonts w:cs="Arial"/>
          <w:szCs w:val="24"/>
        </w:rPr>
        <w:t>ANTECEDENTES</w:t>
      </w:r>
    </w:p>
    <w:p w:rsidR="0090265B" w:rsidRPr="00CB5080" w:rsidRDefault="0090265B" w:rsidP="00CB5080">
      <w:pPr>
        <w:spacing w:line="276" w:lineRule="auto"/>
        <w:jc w:val="both"/>
        <w:rPr>
          <w:rFonts w:ascii="Arial" w:hAnsi="Arial" w:cs="Arial"/>
        </w:rPr>
      </w:pPr>
    </w:p>
    <w:p w:rsidR="00A94377" w:rsidRPr="00CB5080" w:rsidRDefault="00B67C7C" w:rsidP="00CB5080">
      <w:pPr>
        <w:spacing w:line="276" w:lineRule="auto"/>
        <w:jc w:val="both"/>
        <w:rPr>
          <w:rFonts w:ascii="Arial" w:hAnsi="Arial" w:cs="Arial"/>
        </w:rPr>
      </w:pPr>
      <w:r w:rsidRPr="00CB5080">
        <w:rPr>
          <w:rFonts w:ascii="Arial" w:hAnsi="Arial" w:cs="Arial"/>
        </w:rPr>
        <w:t xml:space="preserve">Informa el señor José Abelardo Naranjo Hernández, agenciado por la señora Gloria </w:t>
      </w:r>
      <w:proofErr w:type="spellStart"/>
      <w:r w:rsidRPr="00CB5080">
        <w:rPr>
          <w:rFonts w:ascii="Arial" w:hAnsi="Arial" w:cs="Arial"/>
        </w:rPr>
        <w:t>Edit</w:t>
      </w:r>
      <w:proofErr w:type="spellEnd"/>
      <w:r w:rsidRPr="00CB5080">
        <w:rPr>
          <w:rFonts w:ascii="Arial" w:hAnsi="Arial" w:cs="Arial"/>
        </w:rPr>
        <w:t xml:space="preserve"> Londoño Zuleta, que en la actualidad cuenta con 61 años edad; que padece de múltiples patología</w:t>
      </w:r>
      <w:r w:rsidR="284EB9C0" w:rsidRPr="00CB5080">
        <w:rPr>
          <w:rFonts w:ascii="Arial" w:hAnsi="Arial" w:cs="Arial"/>
        </w:rPr>
        <w:t>s</w:t>
      </w:r>
      <w:r w:rsidRPr="00CB5080">
        <w:rPr>
          <w:rFonts w:ascii="Arial" w:hAnsi="Arial" w:cs="Arial"/>
        </w:rPr>
        <w:t xml:space="preserve"> que han menguado su salud, al punto que se encuentra reducido a la cama, sin posibilidad de valerse por sus pr</w:t>
      </w:r>
      <w:r w:rsidR="00CF51AC" w:rsidRPr="00CB5080">
        <w:rPr>
          <w:rFonts w:ascii="Arial" w:hAnsi="Arial" w:cs="Arial"/>
        </w:rPr>
        <w:t>opios medios</w:t>
      </w:r>
      <w:r w:rsidR="29B37047" w:rsidRPr="00CB5080">
        <w:rPr>
          <w:rFonts w:ascii="Arial" w:hAnsi="Arial" w:cs="Arial"/>
        </w:rPr>
        <w:t>.</w:t>
      </w:r>
      <w:r w:rsidRPr="00CB5080">
        <w:rPr>
          <w:rFonts w:ascii="Arial" w:hAnsi="Arial" w:cs="Arial"/>
        </w:rPr>
        <w:t xml:space="preserve"> </w:t>
      </w:r>
      <w:r w:rsidR="7C700698" w:rsidRPr="00CB5080">
        <w:rPr>
          <w:rFonts w:ascii="Arial" w:hAnsi="Arial" w:cs="Arial"/>
        </w:rPr>
        <w:t>D</w:t>
      </w:r>
      <w:r w:rsidRPr="00CB5080">
        <w:rPr>
          <w:rFonts w:ascii="Arial" w:hAnsi="Arial" w:cs="Arial"/>
        </w:rPr>
        <w:t>esde hace 9 años se desempeña como agricultor/jornalero</w:t>
      </w:r>
      <w:r w:rsidR="386D7351" w:rsidRPr="00CB5080">
        <w:rPr>
          <w:rFonts w:ascii="Arial" w:hAnsi="Arial" w:cs="Arial"/>
        </w:rPr>
        <w:t>, actividad</w:t>
      </w:r>
      <w:r w:rsidRPr="00CB5080">
        <w:rPr>
          <w:rFonts w:ascii="Arial" w:hAnsi="Arial" w:cs="Arial"/>
        </w:rPr>
        <w:t xml:space="preserve"> de </w:t>
      </w:r>
      <w:r w:rsidR="723863A5" w:rsidRPr="00CB5080">
        <w:rPr>
          <w:rFonts w:ascii="Arial" w:hAnsi="Arial" w:cs="Arial"/>
        </w:rPr>
        <w:t>la que</w:t>
      </w:r>
      <w:r w:rsidRPr="00CB5080">
        <w:rPr>
          <w:rFonts w:ascii="Arial" w:hAnsi="Arial" w:cs="Arial"/>
        </w:rPr>
        <w:t xml:space="preserve"> deriva </w:t>
      </w:r>
      <w:r w:rsidR="40F7500C" w:rsidRPr="00CB5080">
        <w:rPr>
          <w:rFonts w:ascii="Arial" w:hAnsi="Arial" w:cs="Arial"/>
        </w:rPr>
        <w:t xml:space="preserve">sus ingresos y constituyen </w:t>
      </w:r>
      <w:r w:rsidRPr="00CB5080">
        <w:rPr>
          <w:rFonts w:ascii="Arial" w:hAnsi="Arial" w:cs="Arial"/>
        </w:rPr>
        <w:t>el sustento de su grupo familiar</w:t>
      </w:r>
      <w:r w:rsidR="00550297" w:rsidRPr="00CB5080">
        <w:rPr>
          <w:rFonts w:ascii="Arial" w:hAnsi="Arial" w:cs="Arial"/>
        </w:rPr>
        <w:t>.</w:t>
      </w:r>
    </w:p>
    <w:p w:rsidR="00550297" w:rsidRPr="00CB5080" w:rsidRDefault="00550297" w:rsidP="00CB5080">
      <w:pPr>
        <w:spacing w:line="276" w:lineRule="auto"/>
        <w:jc w:val="both"/>
        <w:rPr>
          <w:rFonts w:ascii="Arial" w:hAnsi="Arial" w:cs="Arial"/>
        </w:rPr>
      </w:pPr>
    </w:p>
    <w:p w:rsidR="00550297" w:rsidRPr="00CB5080" w:rsidRDefault="00CF51AC" w:rsidP="00CB5080">
      <w:pPr>
        <w:spacing w:line="276" w:lineRule="auto"/>
        <w:jc w:val="both"/>
        <w:rPr>
          <w:rFonts w:ascii="Arial" w:hAnsi="Arial" w:cs="Arial"/>
        </w:rPr>
      </w:pPr>
      <w:r w:rsidRPr="00CB5080">
        <w:rPr>
          <w:rFonts w:ascii="Arial" w:hAnsi="Arial" w:cs="Arial"/>
        </w:rPr>
        <w:t>Refiere</w:t>
      </w:r>
      <w:r w:rsidR="00550297" w:rsidRPr="00CB5080">
        <w:rPr>
          <w:rFonts w:ascii="Arial" w:hAnsi="Arial" w:cs="Arial"/>
        </w:rPr>
        <w:t xml:space="preserve"> que en </w:t>
      </w:r>
      <w:r w:rsidRPr="00CB5080">
        <w:rPr>
          <w:rFonts w:ascii="Arial" w:hAnsi="Arial" w:cs="Arial"/>
        </w:rPr>
        <w:t>calidad de cotizante</w:t>
      </w:r>
      <w:r w:rsidR="00550297" w:rsidRPr="00CB5080">
        <w:rPr>
          <w:rFonts w:ascii="Arial" w:hAnsi="Arial" w:cs="Arial"/>
        </w:rPr>
        <w:t xml:space="preserve"> independiente, viene siendo incapacitado</w:t>
      </w:r>
      <w:r w:rsidR="00F00FFE" w:rsidRPr="00CB5080">
        <w:rPr>
          <w:rFonts w:ascii="Arial" w:hAnsi="Arial" w:cs="Arial"/>
        </w:rPr>
        <w:t xml:space="preserve"> desde hace mucho tiempo, pero, a partir de mayo de 2019 la Nueva EPS, se ha rehusado a pagar las incapacidades</w:t>
      </w:r>
      <w:r w:rsidRPr="00CB5080">
        <w:rPr>
          <w:rFonts w:ascii="Arial" w:hAnsi="Arial" w:cs="Arial"/>
        </w:rPr>
        <w:t xml:space="preserve"> prescritas por su médico tratante</w:t>
      </w:r>
      <w:r w:rsidR="00F00FFE" w:rsidRPr="00CB5080">
        <w:rPr>
          <w:rFonts w:ascii="Arial" w:hAnsi="Arial" w:cs="Arial"/>
        </w:rPr>
        <w:t>,</w:t>
      </w:r>
      <w:r w:rsidRPr="00CB5080">
        <w:rPr>
          <w:rFonts w:ascii="Arial" w:hAnsi="Arial" w:cs="Arial"/>
        </w:rPr>
        <w:t xml:space="preserve"> lo cual </w:t>
      </w:r>
      <w:r w:rsidR="00F00FFE" w:rsidRPr="00CB5080">
        <w:rPr>
          <w:rFonts w:ascii="Arial" w:hAnsi="Arial" w:cs="Arial"/>
        </w:rPr>
        <w:t>pone en riesgo su vida y la de su familia</w:t>
      </w:r>
      <w:r w:rsidR="00DC74FF" w:rsidRPr="00CB5080">
        <w:rPr>
          <w:rFonts w:ascii="Arial" w:hAnsi="Arial" w:cs="Arial"/>
        </w:rPr>
        <w:t>,</w:t>
      </w:r>
      <w:r w:rsidR="00F00FFE" w:rsidRPr="00CB5080">
        <w:rPr>
          <w:rFonts w:ascii="Arial" w:hAnsi="Arial" w:cs="Arial"/>
        </w:rPr>
        <w:t xml:space="preserve"> toda vez que</w:t>
      </w:r>
      <w:r w:rsidR="00DC74FF" w:rsidRPr="00CB5080">
        <w:rPr>
          <w:rFonts w:ascii="Arial" w:hAnsi="Arial" w:cs="Arial"/>
        </w:rPr>
        <w:t xml:space="preserve"> es</w:t>
      </w:r>
      <w:r w:rsidR="00F00FFE" w:rsidRPr="00CB5080">
        <w:rPr>
          <w:rFonts w:ascii="Arial" w:hAnsi="Arial" w:cs="Arial"/>
        </w:rPr>
        <w:t xml:space="preserve"> la única fuente de ingreso </w:t>
      </w:r>
      <w:r w:rsidR="66BA860E" w:rsidRPr="00CB5080">
        <w:rPr>
          <w:rFonts w:ascii="Arial" w:hAnsi="Arial" w:cs="Arial"/>
        </w:rPr>
        <w:t>con que cuenta; de allí que e</w:t>
      </w:r>
      <w:r w:rsidR="00DC74FF" w:rsidRPr="00CB5080">
        <w:rPr>
          <w:rFonts w:ascii="Arial" w:hAnsi="Arial" w:cs="Arial"/>
        </w:rPr>
        <w:t>n la actualidad sobrevive gracias a la caridad de los ve</w:t>
      </w:r>
      <w:r w:rsidR="009F601A" w:rsidRPr="00CB5080">
        <w:rPr>
          <w:rFonts w:ascii="Arial" w:hAnsi="Arial" w:cs="Arial"/>
        </w:rPr>
        <w:t>ci</w:t>
      </w:r>
      <w:r w:rsidRPr="00CB5080">
        <w:rPr>
          <w:rFonts w:ascii="Arial" w:hAnsi="Arial" w:cs="Arial"/>
        </w:rPr>
        <w:t>n</w:t>
      </w:r>
      <w:r w:rsidR="009F601A" w:rsidRPr="00CB5080">
        <w:rPr>
          <w:rFonts w:ascii="Arial" w:hAnsi="Arial" w:cs="Arial"/>
        </w:rPr>
        <w:t>os y de lo que sus hijos le</w:t>
      </w:r>
      <w:r w:rsidRPr="00CB5080">
        <w:rPr>
          <w:rFonts w:ascii="Arial" w:hAnsi="Arial" w:cs="Arial"/>
        </w:rPr>
        <w:t xml:space="preserve"> proveen</w:t>
      </w:r>
      <w:r w:rsidR="00F00FFE" w:rsidRPr="00CB5080">
        <w:rPr>
          <w:rFonts w:ascii="Arial" w:hAnsi="Arial" w:cs="Arial"/>
        </w:rPr>
        <w:t>.</w:t>
      </w:r>
    </w:p>
    <w:p w:rsidR="009F601A" w:rsidRPr="00CB5080" w:rsidRDefault="009F601A" w:rsidP="00CB5080">
      <w:pPr>
        <w:spacing w:line="276" w:lineRule="auto"/>
        <w:jc w:val="both"/>
        <w:rPr>
          <w:rFonts w:ascii="Arial" w:hAnsi="Arial" w:cs="Arial"/>
        </w:rPr>
      </w:pPr>
    </w:p>
    <w:p w:rsidR="00611C99" w:rsidRPr="00CB5080" w:rsidRDefault="009F601A" w:rsidP="00CB5080">
      <w:pPr>
        <w:spacing w:line="276" w:lineRule="auto"/>
        <w:jc w:val="both"/>
        <w:rPr>
          <w:rFonts w:ascii="Arial" w:hAnsi="Arial" w:cs="Arial"/>
        </w:rPr>
      </w:pPr>
      <w:r w:rsidRPr="00CB5080">
        <w:rPr>
          <w:rFonts w:ascii="Arial" w:hAnsi="Arial" w:cs="Arial"/>
        </w:rPr>
        <w:t xml:space="preserve">Es por lo anterior que estima que la Nueva </w:t>
      </w:r>
      <w:proofErr w:type="spellStart"/>
      <w:r w:rsidRPr="00CB5080">
        <w:rPr>
          <w:rFonts w:ascii="Arial" w:hAnsi="Arial" w:cs="Arial"/>
        </w:rPr>
        <w:t>EPS</w:t>
      </w:r>
      <w:proofErr w:type="spellEnd"/>
      <w:r w:rsidRPr="00CB5080">
        <w:rPr>
          <w:rFonts w:ascii="Arial" w:hAnsi="Arial" w:cs="Arial"/>
        </w:rPr>
        <w:t xml:space="preserve"> y/o Colpensiones viene afectando </w:t>
      </w:r>
      <w:r w:rsidR="00CF51AC" w:rsidRPr="00CB5080">
        <w:rPr>
          <w:rFonts w:ascii="Arial" w:hAnsi="Arial" w:cs="Arial"/>
        </w:rPr>
        <w:t xml:space="preserve">sus </w:t>
      </w:r>
      <w:r w:rsidR="00DC74FF" w:rsidRPr="00CB5080">
        <w:rPr>
          <w:rFonts w:ascii="Arial" w:hAnsi="Arial" w:cs="Arial"/>
        </w:rPr>
        <w:t>garantías fundamentales</w:t>
      </w:r>
      <w:r w:rsidR="00CF51AC" w:rsidRPr="00CB5080">
        <w:rPr>
          <w:rFonts w:ascii="Arial" w:hAnsi="Arial" w:cs="Arial"/>
        </w:rPr>
        <w:t xml:space="preserve"> como el mínimo vital, salud, igualdad, dignidad humana y seguridad social,</w:t>
      </w:r>
      <w:r w:rsidR="00DC74FF" w:rsidRPr="00CB5080">
        <w:rPr>
          <w:rFonts w:ascii="Arial" w:hAnsi="Arial" w:cs="Arial"/>
        </w:rPr>
        <w:t xml:space="preserve"> </w:t>
      </w:r>
      <w:r w:rsidR="7A25CE9D" w:rsidRPr="00CB5080">
        <w:rPr>
          <w:rFonts w:ascii="Arial" w:hAnsi="Arial" w:cs="Arial"/>
        </w:rPr>
        <w:t>por lo que</w:t>
      </w:r>
      <w:r w:rsidR="0067059A" w:rsidRPr="00CB5080">
        <w:rPr>
          <w:rFonts w:ascii="Arial" w:hAnsi="Arial" w:cs="Arial"/>
        </w:rPr>
        <w:t xml:space="preserve"> </w:t>
      </w:r>
      <w:r w:rsidR="00CF51AC" w:rsidRPr="00CB5080">
        <w:rPr>
          <w:rFonts w:ascii="Arial" w:hAnsi="Arial" w:cs="Arial"/>
        </w:rPr>
        <w:t>aspira</w:t>
      </w:r>
      <w:r w:rsidR="1126CABF" w:rsidRPr="00CB5080">
        <w:rPr>
          <w:rFonts w:ascii="Arial" w:hAnsi="Arial" w:cs="Arial"/>
        </w:rPr>
        <w:t xml:space="preserve"> a</w:t>
      </w:r>
      <w:r w:rsidR="00CF51AC" w:rsidRPr="00CB5080">
        <w:rPr>
          <w:rFonts w:ascii="Arial" w:hAnsi="Arial" w:cs="Arial"/>
        </w:rPr>
        <w:t xml:space="preserve"> que por este medio</w:t>
      </w:r>
      <w:r w:rsidR="00DC74FF" w:rsidRPr="00CB5080">
        <w:rPr>
          <w:rFonts w:ascii="Arial" w:hAnsi="Arial" w:cs="Arial"/>
        </w:rPr>
        <w:t xml:space="preserve"> se ordene el pago de las incapacidades adeudadas</w:t>
      </w:r>
      <w:r w:rsidR="0067059A" w:rsidRPr="00CB5080">
        <w:rPr>
          <w:rFonts w:ascii="Arial" w:hAnsi="Arial" w:cs="Arial"/>
        </w:rPr>
        <w:t>.</w:t>
      </w:r>
    </w:p>
    <w:p w:rsidR="00441440" w:rsidRPr="00CB5080" w:rsidRDefault="00441440" w:rsidP="00CB5080">
      <w:pPr>
        <w:spacing w:line="276" w:lineRule="auto"/>
        <w:jc w:val="both"/>
        <w:rPr>
          <w:rFonts w:ascii="Arial" w:hAnsi="Arial" w:cs="Arial"/>
        </w:rPr>
      </w:pPr>
    </w:p>
    <w:p w:rsidR="0090265B" w:rsidRPr="00CB5080" w:rsidRDefault="0090265B" w:rsidP="00CB5080">
      <w:pPr>
        <w:pStyle w:val="Ttulo2"/>
        <w:spacing w:line="276" w:lineRule="auto"/>
        <w:jc w:val="center"/>
        <w:rPr>
          <w:rFonts w:cs="Arial"/>
          <w:szCs w:val="24"/>
        </w:rPr>
      </w:pPr>
      <w:r w:rsidRPr="00CB5080">
        <w:rPr>
          <w:rFonts w:cs="Arial"/>
          <w:szCs w:val="24"/>
        </w:rPr>
        <w:t>TRÁMITE IMPARTIDO</w:t>
      </w:r>
    </w:p>
    <w:p w:rsidR="0090265B" w:rsidRPr="00CB5080" w:rsidRDefault="0090265B" w:rsidP="00CB5080">
      <w:pPr>
        <w:spacing w:line="276" w:lineRule="auto"/>
        <w:rPr>
          <w:rFonts w:ascii="Arial" w:hAnsi="Arial" w:cs="Arial"/>
          <w:lang w:val="es-ES_tradnl"/>
        </w:rPr>
      </w:pPr>
    </w:p>
    <w:p w:rsidR="00A4697B" w:rsidRPr="00CB5080" w:rsidRDefault="0090265B" w:rsidP="00CB5080">
      <w:pPr>
        <w:spacing w:line="276" w:lineRule="auto"/>
        <w:jc w:val="both"/>
        <w:rPr>
          <w:rFonts w:ascii="Arial" w:hAnsi="Arial" w:cs="Arial"/>
        </w:rPr>
      </w:pPr>
      <w:r w:rsidRPr="00CB5080">
        <w:rPr>
          <w:rFonts w:ascii="Arial" w:hAnsi="Arial" w:cs="Arial"/>
        </w:rPr>
        <w:t xml:space="preserve">La acción de tutela </w:t>
      </w:r>
      <w:r w:rsidR="00AA31C0" w:rsidRPr="00CB5080">
        <w:rPr>
          <w:rFonts w:ascii="Arial" w:hAnsi="Arial" w:cs="Arial"/>
        </w:rPr>
        <w:t>fue admitida por</w:t>
      </w:r>
      <w:r w:rsidR="00A4697B" w:rsidRPr="00CB5080">
        <w:rPr>
          <w:rFonts w:ascii="Arial" w:hAnsi="Arial" w:cs="Arial"/>
        </w:rPr>
        <w:t xml:space="preserve"> al Juzgado </w:t>
      </w:r>
      <w:r w:rsidR="00DC74FF" w:rsidRPr="00CB5080">
        <w:rPr>
          <w:rFonts w:ascii="Arial" w:hAnsi="Arial" w:cs="Arial"/>
        </w:rPr>
        <w:t>Segundo</w:t>
      </w:r>
      <w:r w:rsidRPr="00CB5080">
        <w:rPr>
          <w:rFonts w:ascii="Arial" w:hAnsi="Arial" w:cs="Arial"/>
        </w:rPr>
        <w:t xml:space="preserve"> Labo</w:t>
      </w:r>
      <w:r w:rsidR="00A4697B" w:rsidRPr="00CB5080">
        <w:rPr>
          <w:rFonts w:ascii="Arial" w:hAnsi="Arial" w:cs="Arial"/>
        </w:rPr>
        <w:t>ral del Circuito de esta ciudad</w:t>
      </w:r>
      <w:r w:rsidR="00AA31C0" w:rsidRPr="00CB5080">
        <w:rPr>
          <w:rFonts w:ascii="Arial" w:hAnsi="Arial" w:cs="Arial"/>
        </w:rPr>
        <w:t xml:space="preserve"> por auto de fecha </w:t>
      </w:r>
      <w:r w:rsidR="00DC74FF" w:rsidRPr="00CB5080">
        <w:rPr>
          <w:rFonts w:ascii="Arial" w:hAnsi="Arial" w:cs="Arial"/>
        </w:rPr>
        <w:t>12 noviembre</w:t>
      </w:r>
      <w:r w:rsidR="002132A5" w:rsidRPr="00CB5080">
        <w:rPr>
          <w:rFonts w:ascii="Arial" w:hAnsi="Arial" w:cs="Arial"/>
        </w:rPr>
        <w:t xml:space="preserve"> de 2020</w:t>
      </w:r>
      <w:r w:rsidR="00AA31C0" w:rsidRPr="00CB5080">
        <w:rPr>
          <w:rFonts w:ascii="Arial" w:hAnsi="Arial" w:cs="Arial"/>
        </w:rPr>
        <w:t xml:space="preserve">, </w:t>
      </w:r>
      <w:r w:rsidR="001C5950" w:rsidRPr="00CB5080">
        <w:rPr>
          <w:rFonts w:ascii="Arial" w:hAnsi="Arial" w:cs="Arial"/>
        </w:rPr>
        <w:t>providencia en l</w:t>
      </w:r>
      <w:r w:rsidR="002132A5" w:rsidRPr="00CB5080">
        <w:rPr>
          <w:rFonts w:ascii="Arial" w:hAnsi="Arial" w:cs="Arial"/>
        </w:rPr>
        <w:t>a que se concedió a la</w:t>
      </w:r>
      <w:r w:rsidR="00DC74FF" w:rsidRPr="00CB5080">
        <w:rPr>
          <w:rFonts w:ascii="Arial" w:hAnsi="Arial" w:cs="Arial"/>
        </w:rPr>
        <w:t>s</w:t>
      </w:r>
      <w:r w:rsidR="002132A5" w:rsidRPr="00CB5080">
        <w:rPr>
          <w:rFonts w:ascii="Arial" w:hAnsi="Arial" w:cs="Arial"/>
        </w:rPr>
        <w:t xml:space="preserve"> entidad</w:t>
      </w:r>
      <w:r w:rsidR="00DC74FF" w:rsidRPr="00CB5080">
        <w:rPr>
          <w:rFonts w:ascii="Arial" w:hAnsi="Arial" w:cs="Arial"/>
        </w:rPr>
        <w:t>es</w:t>
      </w:r>
      <w:r w:rsidR="001C5950" w:rsidRPr="00CB5080">
        <w:rPr>
          <w:rFonts w:ascii="Arial" w:hAnsi="Arial" w:cs="Arial"/>
        </w:rPr>
        <w:t xml:space="preserve"> accionada</w:t>
      </w:r>
      <w:r w:rsidR="00DC74FF" w:rsidRPr="00CB5080">
        <w:rPr>
          <w:rFonts w:ascii="Arial" w:hAnsi="Arial" w:cs="Arial"/>
        </w:rPr>
        <w:t>s</w:t>
      </w:r>
      <w:r w:rsidR="001C5950" w:rsidRPr="00CB5080">
        <w:rPr>
          <w:rFonts w:ascii="Arial" w:hAnsi="Arial" w:cs="Arial"/>
        </w:rPr>
        <w:t xml:space="preserve"> el </w:t>
      </w:r>
      <w:r w:rsidR="00AA31C0" w:rsidRPr="00CB5080">
        <w:rPr>
          <w:rFonts w:ascii="Arial" w:hAnsi="Arial" w:cs="Arial"/>
        </w:rPr>
        <w:t xml:space="preserve">término de </w:t>
      </w:r>
      <w:r w:rsidR="00DC74FF" w:rsidRPr="00CB5080">
        <w:rPr>
          <w:rFonts w:ascii="Arial" w:hAnsi="Arial" w:cs="Arial"/>
        </w:rPr>
        <w:t>tres</w:t>
      </w:r>
      <w:r w:rsidR="00AA31C0" w:rsidRPr="00CB5080">
        <w:rPr>
          <w:rFonts w:ascii="Arial" w:hAnsi="Arial" w:cs="Arial"/>
        </w:rPr>
        <w:t xml:space="preserve"> (</w:t>
      </w:r>
      <w:r w:rsidR="00DC74FF" w:rsidRPr="00CB5080">
        <w:rPr>
          <w:rFonts w:ascii="Arial" w:hAnsi="Arial" w:cs="Arial"/>
        </w:rPr>
        <w:t>3</w:t>
      </w:r>
      <w:r w:rsidR="00AA31C0" w:rsidRPr="00CB5080">
        <w:rPr>
          <w:rFonts w:ascii="Arial" w:hAnsi="Arial" w:cs="Arial"/>
        </w:rPr>
        <w:t xml:space="preserve">) días para </w:t>
      </w:r>
      <w:r w:rsidR="0D2F0EB5" w:rsidRPr="00CB5080">
        <w:rPr>
          <w:rFonts w:ascii="Arial" w:hAnsi="Arial" w:cs="Arial"/>
        </w:rPr>
        <w:t>el</w:t>
      </w:r>
      <w:r w:rsidR="00AA31C0" w:rsidRPr="00CB5080">
        <w:rPr>
          <w:rFonts w:ascii="Arial" w:hAnsi="Arial" w:cs="Arial"/>
        </w:rPr>
        <w:t xml:space="preserve"> ejerc</w:t>
      </w:r>
      <w:r w:rsidR="5CC319F8" w:rsidRPr="00CB5080">
        <w:rPr>
          <w:rFonts w:ascii="Arial" w:hAnsi="Arial" w:cs="Arial"/>
        </w:rPr>
        <w:t>icio de</w:t>
      </w:r>
      <w:r w:rsidR="00DC74FF" w:rsidRPr="00CB5080">
        <w:rPr>
          <w:rFonts w:ascii="Arial" w:hAnsi="Arial" w:cs="Arial"/>
        </w:rPr>
        <w:t xml:space="preserve"> su legítimo derecho de defensa</w:t>
      </w:r>
      <w:r w:rsidR="002132A5" w:rsidRPr="00CB5080">
        <w:rPr>
          <w:rFonts w:ascii="Arial" w:hAnsi="Arial" w:cs="Arial"/>
        </w:rPr>
        <w:t>.</w:t>
      </w:r>
    </w:p>
    <w:p w:rsidR="00AA31C0" w:rsidRPr="00CB5080" w:rsidRDefault="00AA31C0" w:rsidP="00CB5080">
      <w:pPr>
        <w:spacing w:line="276" w:lineRule="auto"/>
        <w:jc w:val="both"/>
        <w:rPr>
          <w:rFonts w:ascii="Arial" w:hAnsi="Arial" w:cs="Arial"/>
        </w:rPr>
      </w:pPr>
    </w:p>
    <w:p w:rsidR="004428B8" w:rsidRPr="00CB5080" w:rsidRDefault="00720397" w:rsidP="00CB5080">
      <w:pPr>
        <w:spacing w:line="276" w:lineRule="auto"/>
        <w:jc w:val="both"/>
        <w:rPr>
          <w:rFonts w:ascii="Arial" w:hAnsi="Arial" w:cs="Arial"/>
        </w:rPr>
      </w:pPr>
      <w:r w:rsidRPr="00CB5080">
        <w:rPr>
          <w:rFonts w:ascii="Arial" w:hAnsi="Arial" w:cs="Arial"/>
        </w:rPr>
        <w:t>Colpensiones dio res</w:t>
      </w:r>
      <w:r w:rsidR="002132A5" w:rsidRPr="00CB5080">
        <w:rPr>
          <w:rFonts w:ascii="Arial" w:hAnsi="Arial" w:cs="Arial"/>
        </w:rPr>
        <w:t>puesta a la</w:t>
      </w:r>
      <w:r w:rsidR="00FB4357" w:rsidRPr="00CB5080">
        <w:rPr>
          <w:rFonts w:ascii="Arial" w:hAnsi="Arial" w:cs="Arial"/>
        </w:rPr>
        <w:t xml:space="preserve"> acción pidiendo que s</w:t>
      </w:r>
      <w:r w:rsidR="004428B8" w:rsidRPr="00CB5080">
        <w:rPr>
          <w:rFonts w:ascii="Arial" w:hAnsi="Arial" w:cs="Arial"/>
        </w:rPr>
        <w:t xml:space="preserve">e declare improcedente la misma, </w:t>
      </w:r>
      <w:r w:rsidR="00AB11EC" w:rsidRPr="00CB5080">
        <w:rPr>
          <w:rFonts w:ascii="Arial" w:hAnsi="Arial" w:cs="Arial"/>
        </w:rPr>
        <w:t xml:space="preserve">toda vez que </w:t>
      </w:r>
      <w:r w:rsidR="004428B8" w:rsidRPr="00CB5080">
        <w:rPr>
          <w:rFonts w:ascii="Arial" w:hAnsi="Arial" w:cs="Arial"/>
        </w:rPr>
        <w:t>esa entidad no tiene en su sistema ninguna reclamación elevada por el señor José Abelardo Naranjo Hernández con el fin de que sean canceladas las incapacidades cuyo pago echa de menos</w:t>
      </w:r>
      <w:r w:rsidR="00FC4515" w:rsidRPr="00CB5080">
        <w:rPr>
          <w:rFonts w:ascii="Arial" w:hAnsi="Arial" w:cs="Arial"/>
        </w:rPr>
        <w:t xml:space="preserve">, al paso que tampoco se evidencia prueba en el plenario que </w:t>
      </w:r>
      <w:r w:rsidR="00CF51AC" w:rsidRPr="00CB5080">
        <w:rPr>
          <w:rFonts w:ascii="Arial" w:hAnsi="Arial" w:cs="Arial"/>
        </w:rPr>
        <w:t xml:space="preserve">dé </w:t>
      </w:r>
      <w:r w:rsidR="00FC4515" w:rsidRPr="00CB5080">
        <w:rPr>
          <w:rFonts w:ascii="Arial" w:hAnsi="Arial" w:cs="Arial"/>
        </w:rPr>
        <w:t xml:space="preserve">cuenta de la petición que en ese sentido elevó, con lo que se concluye que en ninguna vulneración </w:t>
      </w:r>
      <w:r w:rsidR="00A00739" w:rsidRPr="00CB5080">
        <w:rPr>
          <w:rFonts w:ascii="Arial" w:hAnsi="Arial" w:cs="Arial"/>
        </w:rPr>
        <w:t xml:space="preserve">de derechos constitucionales </w:t>
      </w:r>
      <w:r w:rsidR="5871A5B5" w:rsidRPr="00CB5080">
        <w:rPr>
          <w:rFonts w:ascii="Arial" w:hAnsi="Arial" w:cs="Arial"/>
        </w:rPr>
        <w:t>h</w:t>
      </w:r>
      <w:r w:rsidR="00FC4515" w:rsidRPr="00CB5080">
        <w:rPr>
          <w:rFonts w:ascii="Arial" w:hAnsi="Arial" w:cs="Arial"/>
        </w:rPr>
        <w:t>a incurrido</w:t>
      </w:r>
      <w:r w:rsidR="00CF51AC" w:rsidRPr="00CB5080">
        <w:rPr>
          <w:rFonts w:ascii="Arial" w:hAnsi="Arial" w:cs="Arial"/>
        </w:rPr>
        <w:t>.</w:t>
      </w:r>
      <w:r w:rsidR="00FC4515" w:rsidRPr="00CB5080">
        <w:rPr>
          <w:rFonts w:ascii="Arial" w:hAnsi="Arial" w:cs="Arial"/>
        </w:rPr>
        <w:t xml:space="preserve"> </w:t>
      </w:r>
    </w:p>
    <w:p w:rsidR="00FC4515" w:rsidRPr="00CB5080" w:rsidRDefault="00FC4515" w:rsidP="00CB5080">
      <w:pPr>
        <w:spacing w:line="276" w:lineRule="auto"/>
        <w:jc w:val="both"/>
        <w:rPr>
          <w:rFonts w:ascii="Arial" w:hAnsi="Arial" w:cs="Arial"/>
        </w:rPr>
      </w:pPr>
    </w:p>
    <w:p w:rsidR="00242E77" w:rsidRPr="00CB5080" w:rsidRDefault="00242E77" w:rsidP="00CB5080">
      <w:pPr>
        <w:spacing w:line="276" w:lineRule="auto"/>
        <w:jc w:val="both"/>
        <w:rPr>
          <w:rFonts w:ascii="Arial" w:hAnsi="Arial" w:cs="Arial"/>
        </w:rPr>
      </w:pPr>
      <w:r w:rsidRPr="00CB5080">
        <w:rPr>
          <w:rFonts w:ascii="Arial" w:hAnsi="Arial" w:cs="Arial"/>
        </w:rPr>
        <w:t>Recalca que las controversias surgidas en el sistema general de seguridad social entre afiliados, beneficiarios</w:t>
      </w:r>
      <w:r w:rsidR="00FD7DC0" w:rsidRPr="00CB5080">
        <w:rPr>
          <w:rFonts w:ascii="Arial" w:hAnsi="Arial" w:cs="Arial"/>
        </w:rPr>
        <w:t xml:space="preserve"> o usuarios, empleadores y entidades administrativas deben ser </w:t>
      </w:r>
      <w:proofErr w:type="gramStart"/>
      <w:r w:rsidR="00FD7DC0" w:rsidRPr="00CB5080">
        <w:rPr>
          <w:rFonts w:ascii="Arial" w:hAnsi="Arial" w:cs="Arial"/>
        </w:rPr>
        <w:t>conocidas</w:t>
      </w:r>
      <w:proofErr w:type="gramEnd"/>
      <w:r w:rsidR="00FD7DC0" w:rsidRPr="00CB5080">
        <w:rPr>
          <w:rFonts w:ascii="Arial" w:hAnsi="Arial" w:cs="Arial"/>
        </w:rPr>
        <w:t xml:space="preserve"> por la</w:t>
      </w:r>
      <w:r w:rsidR="0090134C" w:rsidRPr="00CB5080">
        <w:rPr>
          <w:rFonts w:ascii="Arial" w:hAnsi="Arial" w:cs="Arial"/>
        </w:rPr>
        <w:t xml:space="preserve"> jurisdicción ordinaria laboral, razón por la que la protección reclamada por la vía de tutela resulta </w:t>
      </w:r>
      <w:r w:rsidR="006B1973" w:rsidRPr="00CB5080">
        <w:rPr>
          <w:rFonts w:ascii="Arial" w:hAnsi="Arial" w:cs="Arial"/>
        </w:rPr>
        <w:t>inviable</w:t>
      </w:r>
      <w:r w:rsidR="00FD7DC0" w:rsidRPr="00CB5080">
        <w:rPr>
          <w:rFonts w:ascii="Arial" w:hAnsi="Arial" w:cs="Arial"/>
        </w:rPr>
        <w:t>.</w:t>
      </w:r>
    </w:p>
    <w:p w:rsidR="00242E77" w:rsidRPr="00CB5080" w:rsidRDefault="00242E77" w:rsidP="00CB5080">
      <w:pPr>
        <w:spacing w:line="276" w:lineRule="auto"/>
        <w:jc w:val="both"/>
        <w:rPr>
          <w:rFonts w:ascii="Arial" w:hAnsi="Arial" w:cs="Arial"/>
        </w:rPr>
      </w:pPr>
    </w:p>
    <w:p w:rsidR="006C5D7C" w:rsidRPr="00CB5080" w:rsidRDefault="00945234" w:rsidP="00CB5080">
      <w:pPr>
        <w:spacing w:line="276" w:lineRule="auto"/>
        <w:jc w:val="both"/>
        <w:rPr>
          <w:rFonts w:ascii="Arial" w:hAnsi="Arial" w:cs="Arial"/>
        </w:rPr>
      </w:pPr>
      <w:r w:rsidRPr="00CB5080">
        <w:rPr>
          <w:rFonts w:ascii="Arial" w:hAnsi="Arial" w:cs="Arial"/>
        </w:rPr>
        <w:lastRenderedPageBreak/>
        <w:t xml:space="preserve">La Nueva EPS a su turno </w:t>
      </w:r>
      <w:r w:rsidR="00AC1305" w:rsidRPr="00CB5080">
        <w:rPr>
          <w:rFonts w:ascii="Arial" w:hAnsi="Arial" w:cs="Arial"/>
        </w:rPr>
        <w:t xml:space="preserve">también calificó de improcedente la acción constitucional, por considerar que no es el medio para reclamar el reconocimiento de prestaciones de carácter </w:t>
      </w:r>
      <w:r w:rsidR="006C5D7C" w:rsidRPr="00CB5080">
        <w:rPr>
          <w:rFonts w:ascii="Arial" w:hAnsi="Arial" w:cs="Arial"/>
        </w:rPr>
        <w:t>económico, máxime cuando quien reclama es una persona afiliada al régimen contributivo, por lo que se presume su capacidad conforme a lo dispuesto en la Ley 1438 de 2011 en el artículo 11.  Precisa que, como consecuencia, el actor debe acudir a los medios de defensa judicial previst</w:t>
      </w:r>
      <w:r w:rsidR="00CF51AC" w:rsidRPr="00CB5080">
        <w:rPr>
          <w:rFonts w:ascii="Arial" w:hAnsi="Arial" w:cs="Arial"/>
        </w:rPr>
        <w:t>o</w:t>
      </w:r>
      <w:r w:rsidR="006C5D7C" w:rsidRPr="00CB5080">
        <w:rPr>
          <w:rFonts w:ascii="Arial" w:hAnsi="Arial" w:cs="Arial"/>
        </w:rPr>
        <w:t>s en la legislación laboral para obtener el pago de las incapacidades que reprocha insolutas.</w:t>
      </w:r>
    </w:p>
    <w:p w:rsidR="006C5D7C" w:rsidRPr="00CB5080" w:rsidRDefault="006C5D7C" w:rsidP="00CB5080">
      <w:pPr>
        <w:spacing w:line="276" w:lineRule="auto"/>
        <w:jc w:val="both"/>
        <w:rPr>
          <w:rFonts w:ascii="Arial" w:hAnsi="Arial" w:cs="Arial"/>
        </w:rPr>
      </w:pPr>
    </w:p>
    <w:p w:rsidR="00F920CB" w:rsidRPr="00CB5080" w:rsidRDefault="00733FE2" w:rsidP="00CB5080">
      <w:pPr>
        <w:spacing w:line="276" w:lineRule="auto"/>
        <w:jc w:val="both"/>
        <w:rPr>
          <w:rFonts w:ascii="Arial" w:hAnsi="Arial" w:cs="Arial"/>
        </w:rPr>
      </w:pPr>
      <w:r w:rsidRPr="00CB5080">
        <w:rPr>
          <w:rFonts w:ascii="Arial" w:hAnsi="Arial" w:cs="Arial"/>
        </w:rPr>
        <w:t xml:space="preserve">Posteriormente, al ampliar su respuesta </w:t>
      </w:r>
      <w:r w:rsidR="00945234" w:rsidRPr="00CB5080">
        <w:rPr>
          <w:rFonts w:ascii="Arial" w:hAnsi="Arial" w:cs="Arial"/>
        </w:rPr>
        <w:t xml:space="preserve">precisó que </w:t>
      </w:r>
      <w:r w:rsidR="00F50BA3" w:rsidRPr="00CB5080">
        <w:rPr>
          <w:rFonts w:ascii="Arial" w:hAnsi="Arial" w:cs="Arial"/>
        </w:rPr>
        <w:t xml:space="preserve">de acuerdo con el área de prestaciones económicas de la entidad, </w:t>
      </w:r>
      <w:r w:rsidR="00F920CB" w:rsidRPr="00CB5080">
        <w:rPr>
          <w:rFonts w:ascii="Arial" w:hAnsi="Arial" w:cs="Arial"/>
        </w:rPr>
        <w:t>el accionante presentó 131 día</w:t>
      </w:r>
      <w:r w:rsidR="2941E9CF" w:rsidRPr="00CB5080">
        <w:rPr>
          <w:rFonts w:ascii="Arial" w:hAnsi="Arial" w:cs="Arial"/>
        </w:rPr>
        <w:t>s</w:t>
      </w:r>
      <w:r w:rsidR="00F920CB" w:rsidRPr="00CB5080">
        <w:rPr>
          <w:rFonts w:ascii="Arial" w:hAnsi="Arial" w:cs="Arial"/>
        </w:rPr>
        <w:t xml:space="preserve"> de incapacidad continua el 11 de febrero de 2020, </w:t>
      </w:r>
      <w:r w:rsidR="00F50BA3" w:rsidRPr="00CB5080">
        <w:rPr>
          <w:rFonts w:ascii="Arial" w:hAnsi="Arial" w:cs="Arial"/>
        </w:rPr>
        <w:t xml:space="preserve"> </w:t>
      </w:r>
      <w:r w:rsidR="00F920CB" w:rsidRPr="00CB5080">
        <w:rPr>
          <w:rFonts w:ascii="Arial" w:hAnsi="Arial" w:cs="Arial"/>
        </w:rPr>
        <w:t>completando 180 días el 13 de igual mes y que el día 24 de septiembre de 2019 emitió concepto desfavorable de rehabilitación el cual fue remitido a Colpensiones el 26 de septiembre de 2019, por lo tanto, es esta última entidad la llamada a satisfacer las pretensiones plasmadas en el presente trámite.</w:t>
      </w:r>
    </w:p>
    <w:p w:rsidR="00F920CB" w:rsidRPr="00CB5080" w:rsidRDefault="00F920CB" w:rsidP="00CB5080">
      <w:pPr>
        <w:spacing w:line="276" w:lineRule="auto"/>
        <w:jc w:val="both"/>
        <w:rPr>
          <w:rFonts w:ascii="Arial" w:hAnsi="Arial" w:cs="Arial"/>
        </w:rPr>
      </w:pPr>
    </w:p>
    <w:p w:rsidR="00590BAF" w:rsidRPr="00CB5080" w:rsidRDefault="00CD6C04" w:rsidP="00CB5080">
      <w:pPr>
        <w:spacing w:line="276" w:lineRule="auto"/>
        <w:jc w:val="both"/>
        <w:rPr>
          <w:rFonts w:ascii="Arial" w:hAnsi="Arial" w:cs="Arial"/>
        </w:rPr>
      </w:pPr>
      <w:r w:rsidRPr="00CB5080">
        <w:rPr>
          <w:rFonts w:ascii="Arial" w:hAnsi="Arial" w:cs="Arial"/>
        </w:rPr>
        <w:t>Llegado el día de f</w:t>
      </w:r>
      <w:r w:rsidR="00A41529" w:rsidRPr="00CB5080">
        <w:rPr>
          <w:rFonts w:ascii="Arial" w:hAnsi="Arial" w:cs="Arial"/>
        </w:rPr>
        <w:t>allo, el juzgado de conocimie</w:t>
      </w:r>
      <w:r w:rsidR="00505976" w:rsidRPr="00CB5080">
        <w:rPr>
          <w:rFonts w:ascii="Arial" w:hAnsi="Arial" w:cs="Arial"/>
        </w:rPr>
        <w:t>nto</w:t>
      </w:r>
      <w:r w:rsidR="00FE0736" w:rsidRPr="00CB5080">
        <w:rPr>
          <w:rFonts w:ascii="Arial" w:hAnsi="Arial" w:cs="Arial"/>
        </w:rPr>
        <w:t xml:space="preserve"> </w:t>
      </w:r>
      <w:r w:rsidR="001E100F" w:rsidRPr="00CB5080">
        <w:rPr>
          <w:rFonts w:ascii="Arial" w:hAnsi="Arial" w:cs="Arial"/>
        </w:rPr>
        <w:t xml:space="preserve">amparó el derecho fundamental del actor al </w:t>
      </w:r>
      <w:r w:rsidR="6BFAAAB0" w:rsidRPr="00CB5080">
        <w:rPr>
          <w:rFonts w:ascii="Arial" w:hAnsi="Arial" w:cs="Arial"/>
        </w:rPr>
        <w:t>considerar</w:t>
      </w:r>
      <w:r w:rsidR="001E100F" w:rsidRPr="00CB5080">
        <w:rPr>
          <w:rFonts w:ascii="Arial" w:hAnsi="Arial" w:cs="Arial"/>
        </w:rPr>
        <w:t xml:space="preserve"> que la Nueva </w:t>
      </w:r>
      <w:proofErr w:type="spellStart"/>
      <w:r w:rsidR="001E100F" w:rsidRPr="00CB5080">
        <w:rPr>
          <w:rFonts w:ascii="Arial" w:hAnsi="Arial" w:cs="Arial"/>
        </w:rPr>
        <w:t>EPS</w:t>
      </w:r>
      <w:proofErr w:type="spellEnd"/>
      <w:r w:rsidR="00590BAF" w:rsidRPr="00CB5080">
        <w:rPr>
          <w:rFonts w:ascii="Arial" w:hAnsi="Arial" w:cs="Arial"/>
        </w:rPr>
        <w:t xml:space="preserve"> y Colpensiones son </w:t>
      </w:r>
      <w:r w:rsidR="001E100F" w:rsidRPr="00CB5080">
        <w:rPr>
          <w:rFonts w:ascii="Arial" w:hAnsi="Arial" w:cs="Arial"/>
        </w:rPr>
        <w:t>responsable</w:t>
      </w:r>
      <w:r w:rsidR="00590BAF" w:rsidRPr="00CB5080">
        <w:rPr>
          <w:rFonts w:ascii="Arial" w:hAnsi="Arial" w:cs="Arial"/>
        </w:rPr>
        <w:t>s</w:t>
      </w:r>
      <w:r w:rsidR="001E100F" w:rsidRPr="00CB5080">
        <w:rPr>
          <w:rFonts w:ascii="Arial" w:hAnsi="Arial" w:cs="Arial"/>
        </w:rPr>
        <w:t xml:space="preserve"> del agravio sufrido por el actor</w:t>
      </w:r>
      <w:r w:rsidR="00590BAF" w:rsidRPr="00CB5080">
        <w:rPr>
          <w:rFonts w:ascii="Arial" w:hAnsi="Arial" w:cs="Arial"/>
        </w:rPr>
        <w:t xml:space="preserve"> </w:t>
      </w:r>
      <w:r w:rsidR="51134AF4" w:rsidRPr="00CB5080">
        <w:rPr>
          <w:rFonts w:ascii="Arial" w:hAnsi="Arial" w:cs="Arial"/>
        </w:rPr>
        <w:t>en tanto</w:t>
      </w:r>
      <w:r w:rsidR="00590BAF" w:rsidRPr="00CB5080">
        <w:rPr>
          <w:rFonts w:ascii="Arial" w:hAnsi="Arial" w:cs="Arial"/>
        </w:rPr>
        <w:t xml:space="preserve"> el pago de las incapacidades reclamadas en esta oportunidad </w:t>
      </w:r>
      <w:proofErr w:type="gramStart"/>
      <w:r w:rsidR="00590BAF" w:rsidRPr="00CB5080">
        <w:rPr>
          <w:rFonts w:ascii="Arial" w:hAnsi="Arial" w:cs="Arial"/>
        </w:rPr>
        <w:t>son</w:t>
      </w:r>
      <w:proofErr w:type="gramEnd"/>
      <w:r w:rsidR="00590BAF" w:rsidRPr="00CB5080">
        <w:rPr>
          <w:rFonts w:ascii="Arial" w:hAnsi="Arial" w:cs="Arial"/>
        </w:rPr>
        <w:t xml:space="preserve"> diversas a las canceladas por la EPS accionada hasta el 20 de febrero de 2020</w:t>
      </w:r>
      <w:r w:rsidR="709CF6D6" w:rsidRPr="00CB5080">
        <w:rPr>
          <w:rFonts w:ascii="Arial" w:hAnsi="Arial" w:cs="Arial"/>
        </w:rPr>
        <w:t>. Adicionalmente señaló</w:t>
      </w:r>
      <w:r w:rsidR="00590BAF" w:rsidRPr="00CB5080">
        <w:rPr>
          <w:rFonts w:ascii="Arial" w:hAnsi="Arial" w:cs="Arial"/>
        </w:rPr>
        <w:t xml:space="preserve"> que el fondo de pensiones no ha </w:t>
      </w:r>
      <w:r w:rsidR="004506D5" w:rsidRPr="00CB5080">
        <w:rPr>
          <w:rFonts w:ascii="Arial" w:hAnsi="Arial" w:cs="Arial"/>
        </w:rPr>
        <w:t>obrado</w:t>
      </w:r>
      <w:r w:rsidR="00590BAF" w:rsidRPr="00CB5080">
        <w:rPr>
          <w:rFonts w:ascii="Arial" w:hAnsi="Arial" w:cs="Arial"/>
        </w:rPr>
        <w:t xml:space="preserve"> conforme lo establece la ley, </w:t>
      </w:r>
      <w:r w:rsidR="00E13DAB" w:rsidRPr="00CB5080">
        <w:rPr>
          <w:rFonts w:ascii="Arial" w:hAnsi="Arial" w:cs="Arial"/>
        </w:rPr>
        <w:t>frente al concepto desfavorable de rehabilitación.</w:t>
      </w:r>
    </w:p>
    <w:p w:rsidR="004235AD" w:rsidRPr="00CB5080" w:rsidRDefault="004235AD" w:rsidP="00CB5080">
      <w:pPr>
        <w:spacing w:line="276" w:lineRule="auto"/>
        <w:jc w:val="both"/>
        <w:rPr>
          <w:rFonts w:ascii="Arial" w:hAnsi="Arial" w:cs="Arial"/>
        </w:rPr>
      </w:pPr>
    </w:p>
    <w:p w:rsidR="001E100F" w:rsidRPr="00CB5080" w:rsidRDefault="001E100F" w:rsidP="00CB5080">
      <w:pPr>
        <w:spacing w:line="276" w:lineRule="auto"/>
        <w:jc w:val="both"/>
        <w:rPr>
          <w:rFonts w:ascii="Arial" w:hAnsi="Arial" w:cs="Arial"/>
        </w:rPr>
      </w:pPr>
      <w:r w:rsidRPr="00CB5080">
        <w:rPr>
          <w:rFonts w:ascii="Arial" w:hAnsi="Arial" w:cs="Arial"/>
        </w:rPr>
        <w:t xml:space="preserve">En </w:t>
      </w:r>
      <w:r w:rsidR="416D3AF0" w:rsidRPr="00CB5080">
        <w:rPr>
          <w:rFonts w:ascii="Arial" w:hAnsi="Arial" w:cs="Arial"/>
        </w:rPr>
        <w:t>consecuencia,</w:t>
      </w:r>
      <w:r w:rsidRPr="00CB5080">
        <w:rPr>
          <w:rFonts w:ascii="Arial" w:hAnsi="Arial" w:cs="Arial"/>
        </w:rPr>
        <w:t xml:space="preserve"> ordenó a dicha entidad </w:t>
      </w:r>
      <w:r w:rsidR="060EEEAB" w:rsidRPr="00CB5080">
        <w:rPr>
          <w:rFonts w:ascii="Arial" w:hAnsi="Arial" w:cs="Arial"/>
        </w:rPr>
        <w:t>la cancelación de</w:t>
      </w:r>
      <w:r w:rsidRPr="00CB5080">
        <w:rPr>
          <w:rFonts w:ascii="Arial" w:hAnsi="Arial" w:cs="Arial"/>
        </w:rPr>
        <w:t xml:space="preserve"> las incapacidades médicas originadas </w:t>
      </w:r>
      <w:r w:rsidR="00587672" w:rsidRPr="00CB5080">
        <w:rPr>
          <w:rFonts w:ascii="Arial" w:hAnsi="Arial" w:cs="Arial"/>
        </w:rPr>
        <w:t xml:space="preserve">desde el 3 de septiembre hasta el 17 de noviembre de 2020, al igual que las que se sigan generando hasta que se cumplan nuevamente 180 </w:t>
      </w:r>
      <w:r w:rsidR="000F38DE" w:rsidRPr="00CB5080">
        <w:rPr>
          <w:rFonts w:ascii="Arial" w:hAnsi="Arial" w:cs="Arial"/>
        </w:rPr>
        <w:t>días</w:t>
      </w:r>
      <w:r w:rsidR="00587672" w:rsidRPr="00CB5080">
        <w:rPr>
          <w:rFonts w:ascii="Arial" w:hAnsi="Arial" w:cs="Arial"/>
        </w:rPr>
        <w:t xml:space="preserve"> de licencia por enfermedad o se defina la pérdida de capacidad laboral.</w:t>
      </w:r>
    </w:p>
    <w:p w:rsidR="00587672" w:rsidRPr="00CB5080" w:rsidRDefault="00587672" w:rsidP="00CB5080">
      <w:pPr>
        <w:spacing w:line="276" w:lineRule="auto"/>
        <w:jc w:val="both"/>
        <w:rPr>
          <w:rFonts w:ascii="Arial" w:hAnsi="Arial" w:cs="Arial"/>
        </w:rPr>
      </w:pPr>
    </w:p>
    <w:p w:rsidR="00587672" w:rsidRPr="00CB5080" w:rsidRDefault="00587672" w:rsidP="00CB5080">
      <w:pPr>
        <w:spacing w:line="276" w:lineRule="auto"/>
        <w:jc w:val="both"/>
        <w:rPr>
          <w:rFonts w:ascii="Arial" w:hAnsi="Arial" w:cs="Arial"/>
        </w:rPr>
      </w:pPr>
      <w:r w:rsidRPr="00CB5080">
        <w:rPr>
          <w:rFonts w:ascii="Arial" w:hAnsi="Arial" w:cs="Arial"/>
        </w:rPr>
        <w:t>Por su parte, Colpensiones debe</w:t>
      </w:r>
      <w:r w:rsidR="00217D18" w:rsidRPr="00CB5080">
        <w:rPr>
          <w:rFonts w:ascii="Arial" w:hAnsi="Arial" w:cs="Arial"/>
        </w:rPr>
        <w:t>rá</w:t>
      </w:r>
      <w:r w:rsidRPr="00CB5080">
        <w:rPr>
          <w:rFonts w:ascii="Arial" w:hAnsi="Arial" w:cs="Arial"/>
        </w:rPr>
        <w:t xml:space="preserve"> remitir el caso a la Junta de Calificación de Invalidez para que verifique si se agotó el proceso de rehabilitación respectivo y, en tal evento, </w:t>
      </w:r>
      <w:r w:rsidR="00217D18" w:rsidRPr="00CB5080">
        <w:rPr>
          <w:rFonts w:ascii="Arial" w:hAnsi="Arial" w:cs="Arial"/>
        </w:rPr>
        <w:t xml:space="preserve">procederá a </w:t>
      </w:r>
      <w:r w:rsidRPr="00CB5080">
        <w:rPr>
          <w:rFonts w:ascii="Arial" w:hAnsi="Arial" w:cs="Arial"/>
        </w:rPr>
        <w:t>califi</w:t>
      </w:r>
      <w:r w:rsidR="00217D18" w:rsidRPr="00CB5080">
        <w:rPr>
          <w:rFonts w:ascii="Arial" w:hAnsi="Arial" w:cs="Arial"/>
        </w:rPr>
        <w:t>car</w:t>
      </w:r>
      <w:r w:rsidRPr="00CB5080">
        <w:rPr>
          <w:rFonts w:ascii="Arial" w:hAnsi="Arial" w:cs="Arial"/>
        </w:rPr>
        <w:t xml:space="preserve"> la pérdida de capacidad laboral </w:t>
      </w:r>
      <w:r w:rsidR="00217D18" w:rsidRPr="00CB5080">
        <w:rPr>
          <w:rFonts w:ascii="Arial" w:hAnsi="Arial" w:cs="Arial"/>
        </w:rPr>
        <w:t>de</w:t>
      </w:r>
      <w:r w:rsidRPr="00CB5080">
        <w:rPr>
          <w:rFonts w:ascii="Arial" w:hAnsi="Arial" w:cs="Arial"/>
        </w:rPr>
        <w:t>l afiliado.</w:t>
      </w:r>
    </w:p>
    <w:p w:rsidR="00226905" w:rsidRPr="00CB5080" w:rsidRDefault="00226905" w:rsidP="00CB5080">
      <w:pPr>
        <w:spacing w:line="276" w:lineRule="auto"/>
        <w:jc w:val="both"/>
        <w:rPr>
          <w:rFonts w:ascii="Arial" w:hAnsi="Arial" w:cs="Arial"/>
        </w:rPr>
      </w:pPr>
    </w:p>
    <w:p w:rsidR="00226905" w:rsidRPr="00CB5080" w:rsidRDefault="00226905" w:rsidP="00CB5080">
      <w:pPr>
        <w:spacing w:line="276" w:lineRule="auto"/>
        <w:jc w:val="both"/>
        <w:rPr>
          <w:rFonts w:ascii="Arial" w:hAnsi="Arial" w:cs="Arial"/>
        </w:rPr>
      </w:pPr>
      <w:r w:rsidRPr="00CB5080">
        <w:rPr>
          <w:rFonts w:ascii="Arial" w:hAnsi="Arial" w:cs="Arial"/>
        </w:rPr>
        <w:t xml:space="preserve">Inconforme con lo decidido, la Nueva EPS impugnó trayendo a colación iguales </w:t>
      </w:r>
      <w:r w:rsidR="04F78E32" w:rsidRPr="00CB5080">
        <w:rPr>
          <w:rFonts w:ascii="Arial" w:hAnsi="Arial" w:cs="Arial"/>
        </w:rPr>
        <w:t>argumentos a</w:t>
      </w:r>
      <w:r w:rsidRPr="00CB5080">
        <w:rPr>
          <w:rFonts w:ascii="Arial" w:hAnsi="Arial" w:cs="Arial"/>
        </w:rPr>
        <w:t xml:space="preserve"> los expuestos al momento de </w:t>
      </w:r>
      <w:r w:rsidR="00EC52FE" w:rsidRPr="00CB5080">
        <w:rPr>
          <w:rFonts w:ascii="Arial" w:hAnsi="Arial" w:cs="Arial"/>
        </w:rPr>
        <w:t xml:space="preserve">contestar la acción, </w:t>
      </w:r>
      <w:r w:rsidR="445140F6" w:rsidRPr="00CB5080">
        <w:rPr>
          <w:rFonts w:ascii="Arial" w:hAnsi="Arial" w:cs="Arial"/>
        </w:rPr>
        <w:t>haciendo notar</w:t>
      </w:r>
      <w:r w:rsidR="00EC52FE" w:rsidRPr="00CB5080">
        <w:rPr>
          <w:rFonts w:ascii="Arial" w:hAnsi="Arial" w:cs="Arial"/>
        </w:rPr>
        <w:t xml:space="preserve"> la imposibilidad de atener la orden impartida por la </w:t>
      </w:r>
      <w:r w:rsidR="00EC52FE" w:rsidRPr="00CB5080">
        <w:rPr>
          <w:rFonts w:ascii="Arial" w:hAnsi="Arial" w:cs="Arial"/>
          <w:i/>
          <w:iCs/>
        </w:rPr>
        <w:t xml:space="preserve">a </w:t>
      </w:r>
      <w:r w:rsidR="5FE88061" w:rsidRPr="00CB5080">
        <w:rPr>
          <w:rFonts w:ascii="Arial" w:hAnsi="Arial" w:cs="Arial"/>
          <w:i/>
          <w:iCs/>
        </w:rPr>
        <w:t>quo toda</w:t>
      </w:r>
      <w:r w:rsidR="00EC52FE" w:rsidRPr="00CB5080">
        <w:rPr>
          <w:rFonts w:ascii="Arial" w:hAnsi="Arial" w:cs="Arial"/>
        </w:rPr>
        <w:t xml:space="preserve"> vez que se trata de una situación </w:t>
      </w:r>
      <w:r w:rsidR="00A74DC3" w:rsidRPr="00CB5080">
        <w:rPr>
          <w:rFonts w:ascii="Arial" w:hAnsi="Arial" w:cs="Arial"/>
        </w:rPr>
        <w:t>futura cuya ocurrencia resulta incierta y en ese sentido, ninguna irregularidad puede endilgársele a la entidad.</w:t>
      </w:r>
    </w:p>
    <w:p w:rsidR="00A74DC3" w:rsidRPr="00CB5080" w:rsidRDefault="00A74DC3" w:rsidP="00CB5080">
      <w:pPr>
        <w:spacing w:line="276" w:lineRule="auto"/>
        <w:jc w:val="both"/>
        <w:rPr>
          <w:rFonts w:ascii="Arial" w:hAnsi="Arial" w:cs="Arial"/>
        </w:rPr>
      </w:pPr>
    </w:p>
    <w:p w:rsidR="00A74DC3" w:rsidRPr="00CB5080" w:rsidRDefault="00A74DC3" w:rsidP="00CB5080">
      <w:pPr>
        <w:spacing w:line="276" w:lineRule="auto"/>
        <w:jc w:val="both"/>
        <w:rPr>
          <w:rFonts w:ascii="Arial" w:hAnsi="Arial" w:cs="Arial"/>
        </w:rPr>
      </w:pPr>
      <w:r w:rsidRPr="00CB5080">
        <w:rPr>
          <w:rFonts w:ascii="Arial" w:hAnsi="Arial" w:cs="Arial"/>
        </w:rPr>
        <w:t xml:space="preserve">Colpensiones por su parte discutió la orden impartida en la sentencia de tutela, precisando que desde el 23 de noviembre de 2020 </w:t>
      </w:r>
      <w:r w:rsidR="00CF51AC" w:rsidRPr="00CB5080">
        <w:rPr>
          <w:rFonts w:ascii="Arial" w:hAnsi="Arial" w:cs="Arial"/>
        </w:rPr>
        <w:t>profirió</w:t>
      </w:r>
      <w:r w:rsidRPr="00CB5080">
        <w:rPr>
          <w:rFonts w:ascii="Arial" w:hAnsi="Arial" w:cs="Arial"/>
        </w:rPr>
        <w:t xml:space="preserve"> el dictamen de p</w:t>
      </w:r>
      <w:r w:rsidR="00CF51AC" w:rsidRPr="00CB5080">
        <w:rPr>
          <w:rFonts w:ascii="Arial" w:hAnsi="Arial" w:cs="Arial"/>
        </w:rPr>
        <w:t xml:space="preserve">érdida de capacidad laboral al señor Naranjo </w:t>
      </w:r>
      <w:r w:rsidR="000F38DE" w:rsidRPr="00CB5080">
        <w:rPr>
          <w:rFonts w:ascii="Arial" w:hAnsi="Arial" w:cs="Arial"/>
        </w:rPr>
        <w:t>Hernández</w:t>
      </w:r>
      <w:r w:rsidR="00CF51AC" w:rsidRPr="00CB5080">
        <w:rPr>
          <w:rFonts w:ascii="Arial" w:hAnsi="Arial" w:cs="Arial"/>
        </w:rPr>
        <w:t>.</w:t>
      </w:r>
    </w:p>
    <w:p w:rsidR="00FE0736" w:rsidRPr="00CB5080" w:rsidRDefault="00FE0736" w:rsidP="00CB5080">
      <w:pPr>
        <w:spacing w:line="276" w:lineRule="auto"/>
        <w:jc w:val="both"/>
        <w:rPr>
          <w:rFonts w:ascii="Arial" w:hAnsi="Arial" w:cs="Arial"/>
        </w:rPr>
      </w:pPr>
    </w:p>
    <w:p w:rsidR="00D62760" w:rsidRPr="00CB5080" w:rsidRDefault="00D62760" w:rsidP="00CB5080">
      <w:pPr>
        <w:tabs>
          <w:tab w:val="left" w:pos="4164"/>
        </w:tabs>
        <w:spacing w:line="276" w:lineRule="auto"/>
        <w:jc w:val="center"/>
        <w:rPr>
          <w:rFonts w:ascii="Arial" w:hAnsi="Arial" w:cs="Arial"/>
          <w:b/>
        </w:rPr>
      </w:pPr>
      <w:r w:rsidRPr="00CB5080">
        <w:rPr>
          <w:rFonts w:ascii="Arial" w:hAnsi="Arial" w:cs="Arial"/>
          <w:b/>
        </w:rPr>
        <w:t>CONSIDERACIONES</w:t>
      </w:r>
    </w:p>
    <w:p w:rsidR="00D62760" w:rsidRPr="00CB5080" w:rsidRDefault="00D62760" w:rsidP="00CB5080">
      <w:pPr>
        <w:spacing w:line="276" w:lineRule="auto"/>
        <w:jc w:val="both"/>
        <w:rPr>
          <w:rFonts w:ascii="Arial" w:hAnsi="Arial" w:cs="Arial"/>
        </w:rPr>
      </w:pPr>
    </w:p>
    <w:p w:rsidR="00D62760" w:rsidRPr="00CB5080" w:rsidRDefault="00D62760" w:rsidP="00CB5080">
      <w:pPr>
        <w:spacing w:line="276" w:lineRule="auto"/>
        <w:jc w:val="both"/>
        <w:rPr>
          <w:rFonts w:ascii="Arial" w:hAnsi="Arial" w:cs="Arial"/>
          <w:b/>
        </w:rPr>
      </w:pPr>
      <w:r w:rsidRPr="00CB5080">
        <w:rPr>
          <w:rFonts w:ascii="Arial" w:hAnsi="Arial" w:cs="Arial"/>
          <w:b/>
        </w:rPr>
        <w:t>PROBLEMA JURÍDICO</w:t>
      </w:r>
    </w:p>
    <w:p w:rsidR="00175FF5" w:rsidRPr="00CB5080" w:rsidRDefault="00175FF5" w:rsidP="00CB5080">
      <w:pPr>
        <w:spacing w:line="276" w:lineRule="auto"/>
        <w:ind w:left="284" w:right="476"/>
        <w:jc w:val="both"/>
        <w:rPr>
          <w:rFonts w:ascii="Arial" w:hAnsi="Arial" w:cs="Arial"/>
          <w:b/>
          <w:i/>
        </w:rPr>
      </w:pPr>
    </w:p>
    <w:p w:rsidR="00A15AE2" w:rsidRPr="00CB5080" w:rsidRDefault="00C414C0" w:rsidP="00CB5080">
      <w:pPr>
        <w:spacing w:line="276" w:lineRule="auto"/>
        <w:ind w:left="567" w:right="901"/>
        <w:jc w:val="both"/>
        <w:rPr>
          <w:rFonts w:ascii="Arial" w:hAnsi="Arial" w:cs="Arial"/>
          <w:b/>
          <w:i/>
        </w:rPr>
      </w:pPr>
      <w:r w:rsidRPr="00CB5080">
        <w:rPr>
          <w:rFonts w:ascii="Arial" w:hAnsi="Arial" w:cs="Arial"/>
          <w:b/>
          <w:i/>
        </w:rPr>
        <w:t xml:space="preserve">¿Qué entidad debe asumir el pago de </w:t>
      </w:r>
      <w:r w:rsidR="00217D18" w:rsidRPr="00CB5080">
        <w:rPr>
          <w:rFonts w:ascii="Arial" w:hAnsi="Arial" w:cs="Arial"/>
          <w:b/>
          <w:i/>
        </w:rPr>
        <w:t>las incapacidades médicas prescritas al accionante</w:t>
      </w:r>
      <w:r w:rsidR="00D62760" w:rsidRPr="00CB5080">
        <w:rPr>
          <w:rFonts w:ascii="Arial" w:hAnsi="Arial" w:cs="Arial"/>
          <w:b/>
          <w:i/>
        </w:rPr>
        <w:t>?</w:t>
      </w:r>
    </w:p>
    <w:p w:rsidR="00A15AE2" w:rsidRPr="00CB5080" w:rsidRDefault="00A15AE2" w:rsidP="00CB5080">
      <w:pPr>
        <w:spacing w:line="276" w:lineRule="auto"/>
        <w:ind w:left="284" w:right="476"/>
        <w:jc w:val="both"/>
        <w:rPr>
          <w:rFonts w:ascii="Arial" w:hAnsi="Arial" w:cs="Arial"/>
        </w:rPr>
      </w:pPr>
    </w:p>
    <w:p w:rsidR="00A15AE2" w:rsidRPr="00CB5080" w:rsidRDefault="00D62760" w:rsidP="00CB5080">
      <w:pPr>
        <w:spacing w:line="276" w:lineRule="auto"/>
        <w:ind w:right="476"/>
        <w:jc w:val="both"/>
        <w:rPr>
          <w:rFonts w:ascii="Arial" w:hAnsi="Arial" w:cs="Arial"/>
        </w:rPr>
      </w:pPr>
      <w:r w:rsidRPr="00CB5080">
        <w:rPr>
          <w:rFonts w:ascii="Arial" w:hAnsi="Arial" w:cs="Arial"/>
        </w:rPr>
        <w:lastRenderedPageBreak/>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CB5080" w:rsidRDefault="00A15AE2" w:rsidP="00CB5080">
      <w:pPr>
        <w:spacing w:line="276" w:lineRule="auto"/>
        <w:ind w:left="284" w:right="476"/>
        <w:jc w:val="both"/>
        <w:rPr>
          <w:rFonts w:ascii="Arial" w:hAnsi="Arial" w:cs="Arial"/>
        </w:rPr>
      </w:pPr>
    </w:p>
    <w:p w:rsidR="00D62760" w:rsidRPr="00CB5080" w:rsidRDefault="00DC3B29" w:rsidP="00CB5080">
      <w:pPr>
        <w:spacing w:line="276" w:lineRule="auto"/>
        <w:ind w:left="284" w:right="476" w:hanging="284"/>
        <w:jc w:val="both"/>
        <w:rPr>
          <w:rFonts w:ascii="Arial" w:hAnsi="Arial" w:cs="Arial"/>
          <w:b/>
        </w:rPr>
      </w:pPr>
      <w:r w:rsidRPr="00CB5080">
        <w:rPr>
          <w:rFonts w:ascii="Arial" w:hAnsi="Arial" w:cs="Arial"/>
          <w:b/>
        </w:rPr>
        <w:t>1.</w:t>
      </w:r>
      <w:r w:rsidRPr="00CB5080">
        <w:rPr>
          <w:rFonts w:ascii="Arial" w:hAnsi="Arial" w:cs="Arial"/>
        </w:rPr>
        <w:t xml:space="preserve"> </w:t>
      </w:r>
      <w:r w:rsidR="00D62760" w:rsidRPr="00CB5080">
        <w:rPr>
          <w:rFonts w:ascii="Arial" w:hAnsi="Arial" w:cs="Arial"/>
          <w:b/>
        </w:rPr>
        <w:t>EL RECO</w:t>
      </w:r>
      <w:r w:rsidR="00C414C0" w:rsidRPr="00CB5080">
        <w:rPr>
          <w:rFonts w:ascii="Arial" w:hAnsi="Arial" w:cs="Arial"/>
          <w:b/>
        </w:rPr>
        <w:t>NOCIMIENTO DE LAS INCAPACIDADES LABORALES</w:t>
      </w:r>
      <w:r w:rsidR="00D62760" w:rsidRPr="00CB5080">
        <w:rPr>
          <w:rFonts w:ascii="Arial" w:hAnsi="Arial" w:cs="Arial"/>
          <w:b/>
        </w:rPr>
        <w:t>.</w:t>
      </w:r>
    </w:p>
    <w:p w:rsidR="00175FF5" w:rsidRPr="00CB5080" w:rsidRDefault="00175FF5" w:rsidP="00CB5080">
      <w:pPr>
        <w:pStyle w:val="Textoindependiente"/>
        <w:spacing w:line="276" w:lineRule="auto"/>
        <w:ind w:right="51"/>
        <w:rPr>
          <w:rFonts w:cs="Arial"/>
          <w:sz w:val="24"/>
          <w:szCs w:val="24"/>
        </w:rPr>
      </w:pPr>
    </w:p>
    <w:p w:rsidR="00271C28" w:rsidRPr="00CB5080" w:rsidRDefault="00271C28" w:rsidP="00CB5080">
      <w:pPr>
        <w:pStyle w:val="Textoindependiente"/>
        <w:spacing w:line="276" w:lineRule="auto"/>
        <w:ind w:right="51"/>
        <w:rPr>
          <w:rFonts w:cs="Arial"/>
          <w:sz w:val="24"/>
          <w:szCs w:val="24"/>
        </w:rPr>
      </w:pPr>
      <w:r w:rsidRPr="00CB5080">
        <w:rPr>
          <w:rFonts w:cs="Arial"/>
          <w:sz w:val="24"/>
          <w:szCs w:val="24"/>
        </w:rPr>
        <w:t xml:space="preserve">Se acepta por la jurisprudencia constitucional la procedencia de la acción de tutela para reconocer el pago de incapacidades médicas, cuando quien reclama no cuenta </w:t>
      </w:r>
      <w:r w:rsidRPr="00CB5080">
        <w:rPr>
          <w:rFonts w:cs="Arial"/>
          <w:i/>
          <w:sz w:val="24"/>
          <w:szCs w:val="24"/>
        </w:rPr>
        <w:t>“</w:t>
      </w:r>
      <w:r w:rsidRPr="00E57410">
        <w:rPr>
          <w:rFonts w:cs="Arial"/>
          <w:i/>
          <w:sz w:val="22"/>
          <w:szCs w:val="24"/>
        </w:rPr>
        <w:t>con otra fuente de ingresos para satisfacer sus necesidades básicas y las de sus núcleos familiares, o de personas en situaciones extremas de vulnerabilidad</w:t>
      </w:r>
      <w:r w:rsidRPr="00CB5080">
        <w:rPr>
          <w:rFonts w:cs="Arial"/>
          <w:i/>
          <w:sz w:val="24"/>
          <w:szCs w:val="24"/>
        </w:rPr>
        <w:t xml:space="preserve">” </w:t>
      </w:r>
      <w:r w:rsidRPr="00CB5080">
        <w:rPr>
          <w:rFonts w:cs="Arial"/>
          <w:sz w:val="24"/>
          <w:szCs w:val="24"/>
        </w:rPr>
        <w:t>-T 177 de 2013-, pues en dichos casos es necesario garantizarle la protección de sus derechos a la salud y al mínimo vital.</w:t>
      </w:r>
    </w:p>
    <w:p w:rsidR="00271C28" w:rsidRPr="00CB5080" w:rsidRDefault="00271C28" w:rsidP="00CB5080">
      <w:pPr>
        <w:pStyle w:val="Textoindependiente"/>
        <w:spacing w:line="276" w:lineRule="auto"/>
        <w:ind w:right="51"/>
        <w:rPr>
          <w:rFonts w:cs="Arial"/>
          <w:sz w:val="24"/>
          <w:szCs w:val="24"/>
        </w:rPr>
      </w:pPr>
    </w:p>
    <w:p w:rsidR="00271C28" w:rsidRPr="00CB5080" w:rsidRDefault="00271C28" w:rsidP="00CB5080">
      <w:pPr>
        <w:pStyle w:val="Textoindependiente"/>
        <w:spacing w:line="276" w:lineRule="auto"/>
        <w:ind w:right="51"/>
        <w:rPr>
          <w:rFonts w:cs="Arial"/>
          <w:sz w:val="24"/>
          <w:szCs w:val="24"/>
        </w:rPr>
      </w:pPr>
      <w:r w:rsidRPr="00CB5080">
        <w:rPr>
          <w:rFonts w:cs="Arial"/>
          <w:sz w:val="24"/>
          <w:szCs w:val="24"/>
        </w:rPr>
        <w:t>Ahora, respecto a los mecanismos ordinarios y administrativos de defensa judicial, la Corte Constitucional, en sentencia T-447 de 2017, señaló:</w:t>
      </w:r>
    </w:p>
    <w:p w:rsidR="00271C28" w:rsidRPr="00CB5080" w:rsidRDefault="00271C28" w:rsidP="00CB5080">
      <w:pPr>
        <w:pStyle w:val="Textoindependiente"/>
        <w:spacing w:line="276" w:lineRule="auto"/>
        <w:ind w:right="51"/>
        <w:rPr>
          <w:rFonts w:cs="Arial"/>
          <w:sz w:val="24"/>
          <w:szCs w:val="24"/>
        </w:rPr>
      </w:pPr>
    </w:p>
    <w:p w:rsidR="00271C28" w:rsidRPr="00940170" w:rsidRDefault="00271C28" w:rsidP="00940170">
      <w:pPr>
        <w:pStyle w:val="Textoindependiente"/>
        <w:spacing w:line="240" w:lineRule="auto"/>
        <w:ind w:left="426" w:right="420"/>
        <w:rPr>
          <w:rFonts w:cs="Arial"/>
          <w:bCs/>
          <w:i/>
          <w:sz w:val="22"/>
          <w:szCs w:val="24"/>
        </w:rPr>
      </w:pPr>
      <w:r w:rsidRPr="00940170">
        <w:rPr>
          <w:rFonts w:cs="Arial"/>
          <w:i/>
          <w:sz w:val="22"/>
          <w:szCs w:val="24"/>
        </w:rPr>
        <w:t>“(…) s</w:t>
      </w:r>
      <w:r w:rsidRPr="00940170">
        <w:rPr>
          <w:rFonts w:cs="Arial"/>
          <w:bCs/>
          <w:i/>
          <w:sz w:val="22"/>
          <w:szCs w:val="24"/>
        </w:rPr>
        <w:t>i bien existe un proceso jurisdiccional a cargo de la Superintendencia Nacional de Salud al cual el actor podría acudir para que le diriman sus pretensiones</w:t>
      </w:r>
      <w:r w:rsidRPr="00940170">
        <w:rPr>
          <w:rFonts w:cs="Arial"/>
          <w:bCs/>
          <w:i/>
          <w:sz w:val="22"/>
          <w:szCs w:val="24"/>
          <w:vertAlign w:val="superscript"/>
        </w:rPr>
        <w:footnoteReference w:id="1"/>
      </w:r>
      <w:r w:rsidRPr="00940170">
        <w:rPr>
          <w:rFonts w:cs="Arial"/>
          <w:bCs/>
          <w:i/>
          <w:sz w:val="22"/>
          <w:szCs w:val="24"/>
        </w:rPr>
        <w:t>, este es ineficaz para la protección del derecho fundamental al mínimo vital del actor, más aún cuando esta Corte ha reconocido anteriormente que “</w:t>
      </w:r>
      <w:r w:rsidRPr="00940170">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940170">
        <w:rPr>
          <w:rFonts w:cs="Arial"/>
          <w:bCs/>
          <w:i/>
          <w:sz w:val="22"/>
          <w:szCs w:val="24"/>
        </w:rPr>
        <w:t>”</w:t>
      </w:r>
      <w:r w:rsidRPr="00940170">
        <w:rPr>
          <w:rFonts w:cs="Arial"/>
          <w:bCs/>
          <w:i/>
          <w:sz w:val="22"/>
          <w:szCs w:val="24"/>
          <w:vertAlign w:val="superscript"/>
        </w:rPr>
        <w:footnoteReference w:id="2"/>
      </w:r>
      <w:r w:rsidRPr="00940170">
        <w:rPr>
          <w:rFonts w:cs="Arial"/>
          <w:bCs/>
          <w:i/>
          <w:sz w:val="22"/>
          <w:szCs w:val="24"/>
        </w:rPr>
        <w:t xml:space="preserve">. </w:t>
      </w:r>
    </w:p>
    <w:p w:rsidR="00271C28" w:rsidRPr="00940170" w:rsidRDefault="00271C28" w:rsidP="00940170">
      <w:pPr>
        <w:ind w:left="426" w:right="420"/>
        <w:jc w:val="both"/>
        <w:rPr>
          <w:rFonts w:ascii="Arial" w:hAnsi="Arial" w:cs="Arial"/>
          <w:bCs/>
          <w:i/>
          <w:sz w:val="22"/>
        </w:rPr>
      </w:pPr>
    </w:p>
    <w:p w:rsidR="00271C28" w:rsidRPr="00940170" w:rsidRDefault="00271C28" w:rsidP="00940170">
      <w:pPr>
        <w:ind w:left="426" w:right="420"/>
        <w:jc w:val="both"/>
        <w:rPr>
          <w:rFonts w:ascii="Arial" w:hAnsi="Arial" w:cs="Arial"/>
          <w:bCs/>
          <w:i/>
          <w:sz w:val="22"/>
        </w:rPr>
      </w:pPr>
      <w:r w:rsidRPr="00940170">
        <w:rPr>
          <w:rFonts w:ascii="Arial" w:hAnsi="Arial" w:cs="Arial"/>
          <w:bCs/>
          <w:i/>
          <w:sz w:val="22"/>
        </w:rPr>
        <w:t>En el mismo sentido, a pesar de que el numeral 4 del artículo 2 del Código Procesal del Trabajo y de la Seguridad Social</w:t>
      </w:r>
      <w:r w:rsidRPr="00940170">
        <w:rPr>
          <w:rFonts w:ascii="Arial" w:hAnsi="Arial" w:cs="Arial"/>
          <w:bCs/>
          <w:i/>
          <w:sz w:val="22"/>
          <w:vertAlign w:val="superscript"/>
        </w:rPr>
        <w:footnoteReference w:id="3"/>
      </w:r>
      <w:r w:rsidRPr="00940170">
        <w:rPr>
          <w:rFonts w:ascii="Arial" w:hAnsi="Arial" w:cs="Arial"/>
          <w:bCs/>
          <w:i/>
          <w:sz w:val="22"/>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deberían ser ventiladas por estas vía ordinaria, las consideraciones precedentes obligan a concluir que en el caso del señor López Cabrera estos no son eficaces ni idóneos.”</w:t>
      </w:r>
    </w:p>
    <w:p w:rsidR="00175FF5" w:rsidRPr="00CB5080" w:rsidRDefault="00175FF5" w:rsidP="00CB5080">
      <w:pPr>
        <w:pStyle w:val="Textoindependiente"/>
        <w:spacing w:line="276" w:lineRule="auto"/>
        <w:rPr>
          <w:rFonts w:cs="Arial"/>
          <w:sz w:val="24"/>
          <w:szCs w:val="24"/>
        </w:rPr>
      </w:pPr>
    </w:p>
    <w:p w:rsidR="00D62760" w:rsidRPr="00CB5080" w:rsidRDefault="00482B91" w:rsidP="00CB5080">
      <w:pPr>
        <w:pStyle w:val="Textoindependiente"/>
        <w:spacing w:line="276" w:lineRule="auto"/>
        <w:rPr>
          <w:rFonts w:cs="Arial"/>
          <w:sz w:val="24"/>
          <w:szCs w:val="24"/>
        </w:rPr>
      </w:pPr>
      <w:r w:rsidRPr="00CB5080">
        <w:rPr>
          <w:rFonts w:cs="Arial"/>
          <w:sz w:val="24"/>
          <w:szCs w:val="24"/>
        </w:rPr>
        <w:lastRenderedPageBreak/>
        <w:t>En ese sentido, analizando la normatividad que regula el tema se tiene que, a</w:t>
      </w:r>
      <w:r w:rsidR="00D62760" w:rsidRPr="00CB5080">
        <w:rPr>
          <w:rFonts w:cs="Arial"/>
          <w:sz w:val="24"/>
          <w:szCs w:val="24"/>
        </w:rPr>
        <w:t xml:space="preserve">l entrar en vigencia la Ley 100 de 1993, el pago de licencias por enfermedad de origen común le fue asignado a las entidades encargadas de asegurar las contingencias en materia de seguridad social, correspondiéndole al Decreto </w:t>
      </w:r>
      <w:r w:rsidR="0055663A" w:rsidRPr="00CB5080">
        <w:rPr>
          <w:rFonts w:cs="Arial"/>
          <w:sz w:val="24"/>
          <w:szCs w:val="24"/>
        </w:rPr>
        <w:t>1406</w:t>
      </w:r>
      <w:r w:rsidR="00D62760" w:rsidRPr="00CB5080">
        <w:rPr>
          <w:rFonts w:cs="Arial"/>
          <w:sz w:val="24"/>
          <w:szCs w:val="24"/>
        </w:rPr>
        <w:t xml:space="preserve"> de 1999, reglamentario de ésta última disposición, establecer que el empleador es responsable del pago de las incapacidades laborales de origen común iguales o menores a </w:t>
      </w:r>
      <w:r w:rsidR="00133FB7" w:rsidRPr="00CB5080">
        <w:rPr>
          <w:rFonts w:cs="Arial"/>
          <w:sz w:val="24"/>
          <w:szCs w:val="24"/>
        </w:rPr>
        <w:t>dos</w:t>
      </w:r>
      <w:r w:rsidR="00D62760" w:rsidRPr="00CB5080">
        <w:rPr>
          <w:rFonts w:cs="Arial"/>
          <w:sz w:val="24"/>
          <w:szCs w:val="24"/>
        </w:rPr>
        <w:t xml:space="preserve">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rsidR="00D62760" w:rsidRPr="00CB5080" w:rsidRDefault="00D62760" w:rsidP="00CB5080">
      <w:pPr>
        <w:pStyle w:val="Textoindependiente"/>
        <w:spacing w:line="276" w:lineRule="auto"/>
        <w:rPr>
          <w:rFonts w:cs="Arial"/>
          <w:sz w:val="24"/>
          <w:szCs w:val="24"/>
        </w:rPr>
      </w:pPr>
    </w:p>
    <w:p w:rsidR="00704D95" w:rsidRPr="00CB5080" w:rsidRDefault="00D62760" w:rsidP="00CB5080">
      <w:pPr>
        <w:pStyle w:val="Textoindependiente"/>
        <w:spacing w:line="276" w:lineRule="auto"/>
        <w:rPr>
          <w:rFonts w:cs="Arial"/>
          <w:sz w:val="24"/>
          <w:szCs w:val="24"/>
        </w:rPr>
      </w:pPr>
      <w:r w:rsidRPr="00CB5080">
        <w:rPr>
          <w:rFonts w:cs="Arial"/>
          <w:sz w:val="24"/>
          <w:szCs w:val="24"/>
        </w:rPr>
        <w:t xml:space="preserve">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  En ese sentido, la Corte Constitucional en </w:t>
      </w:r>
      <w:r w:rsidR="00704D95" w:rsidRPr="00CB5080">
        <w:rPr>
          <w:rFonts w:cs="Arial"/>
          <w:sz w:val="24"/>
          <w:szCs w:val="24"/>
        </w:rPr>
        <w:t>sentencia T-200-17, elaboró la siguiente tabla, respecto a la responsabilidad de las entidades que integran el SGSS:</w:t>
      </w:r>
    </w:p>
    <w:p w:rsidR="00704D95" w:rsidRPr="00CB5080" w:rsidRDefault="00704D95" w:rsidP="00CB5080">
      <w:pPr>
        <w:spacing w:line="276" w:lineRule="auto"/>
        <w:ind w:right="-2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09"/>
        <w:gridCol w:w="3969"/>
      </w:tblGrid>
      <w:tr w:rsidR="00704D95" w:rsidRPr="00CB5080" w:rsidTr="00940170">
        <w:tc>
          <w:tcPr>
            <w:tcW w:w="2694" w:type="dxa"/>
          </w:tcPr>
          <w:p w:rsidR="00704D95" w:rsidRPr="00940170" w:rsidRDefault="00704D95" w:rsidP="00940170">
            <w:pPr>
              <w:widowControl w:val="0"/>
              <w:ind w:right="-93"/>
              <w:jc w:val="center"/>
              <w:rPr>
                <w:rFonts w:ascii="Arial" w:hAnsi="Arial" w:cs="Arial"/>
                <w:b/>
                <w:bCs/>
                <w:sz w:val="22"/>
              </w:rPr>
            </w:pPr>
            <w:r w:rsidRPr="00940170">
              <w:rPr>
                <w:rFonts w:ascii="Arial" w:hAnsi="Arial" w:cs="Arial"/>
                <w:b/>
                <w:bCs/>
                <w:sz w:val="22"/>
              </w:rPr>
              <w:t>Periodo</w:t>
            </w:r>
          </w:p>
        </w:tc>
        <w:tc>
          <w:tcPr>
            <w:tcW w:w="2409" w:type="dxa"/>
          </w:tcPr>
          <w:p w:rsidR="00704D95" w:rsidRPr="00940170" w:rsidRDefault="00704D95" w:rsidP="00940170">
            <w:pPr>
              <w:widowControl w:val="0"/>
              <w:ind w:right="-93"/>
              <w:jc w:val="center"/>
              <w:rPr>
                <w:rFonts w:ascii="Arial" w:hAnsi="Arial" w:cs="Arial"/>
                <w:b/>
                <w:bCs/>
                <w:sz w:val="22"/>
              </w:rPr>
            </w:pPr>
            <w:r w:rsidRPr="00940170">
              <w:rPr>
                <w:rFonts w:ascii="Arial" w:hAnsi="Arial" w:cs="Arial"/>
                <w:b/>
                <w:bCs/>
                <w:sz w:val="22"/>
              </w:rPr>
              <w:t>Entidad obligada</w:t>
            </w:r>
          </w:p>
        </w:tc>
        <w:tc>
          <w:tcPr>
            <w:tcW w:w="3969" w:type="dxa"/>
          </w:tcPr>
          <w:p w:rsidR="00704D95" w:rsidRPr="00940170" w:rsidRDefault="00704D95" w:rsidP="00940170">
            <w:pPr>
              <w:widowControl w:val="0"/>
              <w:ind w:right="-93"/>
              <w:jc w:val="center"/>
              <w:rPr>
                <w:rFonts w:ascii="Arial" w:hAnsi="Arial" w:cs="Arial"/>
                <w:b/>
                <w:bCs/>
                <w:sz w:val="22"/>
              </w:rPr>
            </w:pPr>
            <w:r w:rsidRPr="00940170">
              <w:rPr>
                <w:rFonts w:ascii="Arial" w:hAnsi="Arial" w:cs="Arial"/>
                <w:b/>
                <w:bCs/>
                <w:sz w:val="22"/>
              </w:rPr>
              <w:t>Fuente normativa</w:t>
            </w:r>
          </w:p>
        </w:tc>
      </w:tr>
      <w:tr w:rsidR="00704D95" w:rsidRPr="00CB5080" w:rsidTr="00940170">
        <w:tc>
          <w:tcPr>
            <w:tcW w:w="2694"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Día 1 a 2</w:t>
            </w:r>
          </w:p>
        </w:tc>
        <w:tc>
          <w:tcPr>
            <w:tcW w:w="2409" w:type="dxa"/>
          </w:tcPr>
          <w:p w:rsidR="00704D95" w:rsidRPr="00940170" w:rsidRDefault="00704D95" w:rsidP="00940170">
            <w:pPr>
              <w:widowControl w:val="0"/>
              <w:ind w:right="-93"/>
              <w:rPr>
                <w:rFonts w:ascii="Arial" w:hAnsi="Arial" w:cs="Arial"/>
                <w:sz w:val="22"/>
              </w:rPr>
            </w:pPr>
            <w:r w:rsidRPr="00940170">
              <w:rPr>
                <w:rFonts w:ascii="Arial" w:hAnsi="Arial" w:cs="Arial"/>
                <w:sz w:val="22"/>
              </w:rPr>
              <w:t>Empleador</w:t>
            </w:r>
          </w:p>
        </w:tc>
        <w:tc>
          <w:tcPr>
            <w:tcW w:w="3969"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Artículo 1 del Decreto 2943 de 2013</w:t>
            </w:r>
          </w:p>
        </w:tc>
      </w:tr>
      <w:tr w:rsidR="00704D95" w:rsidRPr="00CB5080" w:rsidTr="00940170">
        <w:tc>
          <w:tcPr>
            <w:tcW w:w="2694"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Día 3 a 180</w:t>
            </w:r>
          </w:p>
        </w:tc>
        <w:tc>
          <w:tcPr>
            <w:tcW w:w="2409" w:type="dxa"/>
          </w:tcPr>
          <w:p w:rsidR="00704D95" w:rsidRPr="00940170" w:rsidRDefault="00704D95" w:rsidP="00940170">
            <w:pPr>
              <w:widowControl w:val="0"/>
              <w:ind w:right="-93"/>
              <w:rPr>
                <w:rFonts w:ascii="Arial" w:hAnsi="Arial" w:cs="Arial"/>
                <w:sz w:val="22"/>
              </w:rPr>
            </w:pPr>
            <w:r w:rsidRPr="00940170">
              <w:rPr>
                <w:rFonts w:ascii="Arial" w:hAnsi="Arial" w:cs="Arial"/>
                <w:sz w:val="22"/>
              </w:rPr>
              <w:t>EPS</w:t>
            </w:r>
          </w:p>
        </w:tc>
        <w:tc>
          <w:tcPr>
            <w:tcW w:w="3969"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Artículo 1 del Decreto 2943 de 2013</w:t>
            </w:r>
          </w:p>
        </w:tc>
      </w:tr>
      <w:tr w:rsidR="00704D95" w:rsidRPr="00CB5080" w:rsidTr="00940170">
        <w:tc>
          <w:tcPr>
            <w:tcW w:w="2694"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Día 181 hasta un plazo de 540 días</w:t>
            </w:r>
          </w:p>
        </w:tc>
        <w:tc>
          <w:tcPr>
            <w:tcW w:w="2409" w:type="dxa"/>
          </w:tcPr>
          <w:p w:rsidR="00704D95" w:rsidRPr="00940170" w:rsidRDefault="00704D95" w:rsidP="00940170">
            <w:pPr>
              <w:widowControl w:val="0"/>
              <w:ind w:right="-93"/>
              <w:rPr>
                <w:rFonts w:ascii="Arial" w:hAnsi="Arial" w:cs="Arial"/>
                <w:sz w:val="22"/>
              </w:rPr>
            </w:pPr>
            <w:r w:rsidRPr="00940170">
              <w:rPr>
                <w:rFonts w:ascii="Arial" w:hAnsi="Arial" w:cs="Arial"/>
                <w:sz w:val="22"/>
              </w:rPr>
              <w:t>Fondo de Pensiones</w:t>
            </w:r>
          </w:p>
        </w:tc>
        <w:tc>
          <w:tcPr>
            <w:tcW w:w="3969"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Artículo 52 de la Ley 962 de 2005</w:t>
            </w:r>
          </w:p>
        </w:tc>
      </w:tr>
      <w:tr w:rsidR="00704D95" w:rsidRPr="00CB5080" w:rsidTr="00940170">
        <w:tc>
          <w:tcPr>
            <w:tcW w:w="2694"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Día 541 en adelante</w:t>
            </w:r>
          </w:p>
        </w:tc>
        <w:tc>
          <w:tcPr>
            <w:tcW w:w="2409" w:type="dxa"/>
          </w:tcPr>
          <w:p w:rsidR="00704D95" w:rsidRPr="00940170" w:rsidRDefault="00704D95" w:rsidP="00940170">
            <w:pPr>
              <w:widowControl w:val="0"/>
              <w:ind w:right="-93"/>
              <w:rPr>
                <w:rFonts w:ascii="Arial" w:hAnsi="Arial" w:cs="Arial"/>
                <w:sz w:val="22"/>
              </w:rPr>
            </w:pPr>
            <w:r w:rsidRPr="00940170">
              <w:rPr>
                <w:rFonts w:ascii="Arial" w:hAnsi="Arial" w:cs="Arial"/>
                <w:sz w:val="22"/>
              </w:rPr>
              <w:t>EPS</w:t>
            </w:r>
            <w:r w:rsidRPr="00940170">
              <w:rPr>
                <w:rStyle w:val="Refdenotaalpie"/>
                <w:rFonts w:ascii="Arial" w:hAnsi="Arial" w:cs="Arial"/>
                <w:sz w:val="22"/>
              </w:rPr>
              <w:footnoteReference w:id="4"/>
            </w:r>
          </w:p>
        </w:tc>
        <w:tc>
          <w:tcPr>
            <w:tcW w:w="3969" w:type="dxa"/>
          </w:tcPr>
          <w:p w:rsidR="00704D95" w:rsidRPr="00940170" w:rsidRDefault="00704D95" w:rsidP="00940170">
            <w:pPr>
              <w:widowControl w:val="0"/>
              <w:ind w:right="-93"/>
              <w:jc w:val="both"/>
              <w:rPr>
                <w:rFonts w:ascii="Arial" w:hAnsi="Arial" w:cs="Arial"/>
                <w:sz w:val="22"/>
              </w:rPr>
            </w:pPr>
            <w:r w:rsidRPr="00940170">
              <w:rPr>
                <w:rFonts w:ascii="Arial" w:hAnsi="Arial" w:cs="Arial"/>
                <w:sz w:val="22"/>
              </w:rPr>
              <w:t>Artículo 67 de la Ley 1753 de 2015</w:t>
            </w:r>
          </w:p>
        </w:tc>
      </w:tr>
    </w:tbl>
    <w:p w:rsidR="00704D95" w:rsidRPr="00CB5080" w:rsidRDefault="00704D95" w:rsidP="00CB5080">
      <w:pPr>
        <w:pStyle w:val="Textoindependiente"/>
        <w:spacing w:line="276" w:lineRule="auto"/>
        <w:ind w:right="51"/>
        <w:rPr>
          <w:rFonts w:cs="Arial"/>
          <w:sz w:val="24"/>
          <w:szCs w:val="24"/>
        </w:rPr>
      </w:pPr>
    </w:p>
    <w:p w:rsidR="005027AB" w:rsidRPr="00CB5080" w:rsidRDefault="0CF6E495" w:rsidP="00CB5080">
      <w:pPr>
        <w:spacing w:line="276" w:lineRule="auto"/>
        <w:jc w:val="both"/>
        <w:rPr>
          <w:rFonts w:ascii="Arial" w:hAnsi="Arial" w:cs="Arial"/>
        </w:rPr>
      </w:pPr>
      <w:r w:rsidRPr="00CB5080">
        <w:rPr>
          <w:rFonts w:ascii="Arial" w:hAnsi="Arial" w:cs="Arial"/>
          <w:bdr w:val="none" w:sz="0" w:space="0" w:color="auto" w:frame="1"/>
          <w:lang w:val="es-CO"/>
        </w:rPr>
        <w:t>De otro lado</w:t>
      </w:r>
      <w:r w:rsidR="000657B2" w:rsidRPr="00CB5080">
        <w:rPr>
          <w:rFonts w:ascii="Arial" w:hAnsi="Arial" w:cs="Arial"/>
          <w:bdr w:val="none" w:sz="0" w:space="0" w:color="auto" w:frame="1"/>
          <w:lang w:val="es-CO"/>
        </w:rPr>
        <w:t>, en sentencia T-140 de 2016, la Corte Constitucional, buscando llenar el vacío normativo que se presenta en relación con los afiliados que siendo calificados con un porcentaje de p</w:t>
      </w:r>
      <w:r w:rsidR="00726A14" w:rsidRPr="00CB5080">
        <w:rPr>
          <w:rFonts w:ascii="Arial" w:hAnsi="Arial" w:cs="Arial"/>
          <w:bdr w:val="none" w:sz="0" w:space="0" w:color="auto" w:frame="1"/>
          <w:lang w:val="es-CO"/>
        </w:rPr>
        <w:t xml:space="preserve">érdida de capacidad inferior al 50% continúan siendo incapacitados entre el día 180 y el 540, </w:t>
      </w:r>
      <w:r w:rsidR="000657B2" w:rsidRPr="00CB5080">
        <w:rPr>
          <w:rFonts w:ascii="Arial" w:hAnsi="Arial" w:cs="Arial"/>
          <w:bdr w:val="none" w:sz="0" w:space="0" w:color="auto" w:frame="1"/>
          <w:lang w:val="es-CO"/>
        </w:rPr>
        <w:t>concluyó que “</w:t>
      </w:r>
      <w:r w:rsidR="000657B2" w:rsidRPr="00690EFF">
        <w:rPr>
          <w:rFonts w:ascii="Arial" w:hAnsi="Arial" w:cs="Arial"/>
          <w:i/>
          <w:iCs/>
          <w:sz w:val="22"/>
          <w:bdr w:val="none" w:sz="0" w:space="0" w:color="auto" w:frame="1"/>
          <w:lang w:val="es-CO"/>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000657B2" w:rsidRPr="00CB5080">
        <w:rPr>
          <w:rFonts w:ascii="Arial" w:hAnsi="Arial" w:cs="Arial"/>
          <w:i/>
          <w:iCs/>
          <w:bdr w:val="none" w:sz="0" w:space="0" w:color="auto" w:frame="1"/>
          <w:lang w:val="es-CO"/>
        </w:rPr>
        <w:t>.</w:t>
      </w:r>
      <w:r w:rsidR="000657B2" w:rsidRPr="00CB5080">
        <w:rPr>
          <w:rFonts w:ascii="Arial" w:hAnsi="Arial" w:cs="Arial"/>
          <w:bdr w:val="none" w:sz="0" w:space="0" w:color="auto" w:frame="1"/>
          <w:lang w:val="es-CO"/>
        </w:rPr>
        <w:t>”</w:t>
      </w:r>
    </w:p>
    <w:p w:rsidR="00311524" w:rsidRPr="00CB5080" w:rsidRDefault="00311524" w:rsidP="00CB5080">
      <w:pPr>
        <w:spacing w:line="276" w:lineRule="auto"/>
        <w:ind w:right="-27"/>
        <w:jc w:val="both"/>
        <w:rPr>
          <w:rFonts w:ascii="Arial" w:hAnsi="Arial" w:cs="Arial"/>
        </w:rPr>
      </w:pPr>
    </w:p>
    <w:p w:rsidR="00311524" w:rsidRPr="00CB5080" w:rsidRDefault="00311524" w:rsidP="00CB5080">
      <w:pPr>
        <w:spacing w:line="276" w:lineRule="auto"/>
        <w:ind w:right="-27"/>
        <w:jc w:val="both"/>
        <w:rPr>
          <w:rFonts w:ascii="Arial" w:hAnsi="Arial" w:cs="Arial"/>
        </w:rPr>
      </w:pPr>
      <w:r w:rsidRPr="00CB5080">
        <w:rPr>
          <w:rFonts w:ascii="Arial" w:hAnsi="Arial" w:cs="Arial"/>
        </w:rPr>
        <w:t>Más recientemente señaló la misma Corporación en Sentencia T-161-19 que:</w:t>
      </w:r>
    </w:p>
    <w:p w:rsidR="00311524" w:rsidRPr="00CB5080" w:rsidRDefault="00311524" w:rsidP="00CB5080">
      <w:pPr>
        <w:spacing w:line="276" w:lineRule="auto"/>
        <w:ind w:right="-27"/>
        <w:jc w:val="both"/>
        <w:rPr>
          <w:rFonts w:ascii="Arial" w:hAnsi="Arial" w:cs="Arial"/>
        </w:rPr>
      </w:pPr>
    </w:p>
    <w:p w:rsidR="00311524" w:rsidRPr="00940170" w:rsidRDefault="00311524" w:rsidP="00940170">
      <w:pPr>
        <w:shd w:val="clear" w:color="auto" w:fill="FFFFFF" w:themeFill="background1"/>
        <w:ind w:left="426" w:right="420"/>
        <w:jc w:val="both"/>
        <w:textAlignment w:val="baseline"/>
        <w:rPr>
          <w:rFonts w:ascii="Arial" w:hAnsi="Arial" w:cs="Arial"/>
          <w:i/>
          <w:iCs/>
          <w:sz w:val="22"/>
        </w:rPr>
      </w:pPr>
      <w:r w:rsidRPr="00940170">
        <w:rPr>
          <w:rFonts w:ascii="Arial" w:hAnsi="Arial" w:cs="Arial"/>
          <w:i/>
          <w:iCs/>
          <w:color w:val="000000"/>
          <w:sz w:val="22"/>
          <w:bdr w:val="none" w:sz="0" w:space="0" w:color="auto" w:frame="1"/>
        </w:rPr>
        <w:t xml:space="preserve">“i.  Entre el día </w:t>
      </w:r>
      <w:r w:rsidRPr="00940170">
        <w:rPr>
          <w:rFonts w:ascii="Arial" w:hAnsi="Arial" w:cs="Arial"/>
          <w:b/>
          <w:bCs/>
          <w:i/>
          <w:iCs/>
          <w:color w:val="000000"/>
          <w:sz w:val="22"/>
          <w:bdr w:val="none" w:sz="0" w:space="0" w:color="auto" w:frame="1"/>
        </w:rPr>
        <w:t>1</w:t>
      </w:r>
      <w:r w:rsidRPr="00940170">
        <w:rPr>
          <w:rFonts w:ascii="Arial" w:hAnsi="Arial" w:cs="Arial"/>
          <w:i/>
          <w:iCs/>
          <w:color w:val="000000"/>
          <w:sz w:val="22"/>
          <w:bdr w:val="none" w:sz="0" w:space="0" w:color="auto" w:frame="1"/>
        </w:rPr>
        <w:t xml:space="preserve"> y </w:t>
      </w:r>
      <w:r w:rsidRPr="00940170">
        <w:rPr>
          <w:rFonts w:ascii="Arial" w:hAnsi="Arial" w:cs="Arial"/>
          <w:b/>
          <w:bCs/>
          <w:i/>
          <w:iCs/>
          <w:color w:val="000000"/>
          <w:sz w:val="22"/>
          <w:bdr w:val="none" w:sz="0" w:space="0" w:color="auto" w:frame="1"/>
        </w:rPr>
        <w:t>2</w:t>
      </w:r>
      <w:r w:rsidRPr="00940170">
        <w:rPr>
          <w:rFonts w:ascii="Arial" w:hAnsi="Arial" w:cs="Arial"/>
          <w:i/>
          <w:iCs/>
          <w:color w:val="000000"/>
          <w:sz w:val="22"/>
          <w:bdr w:val="none" w:sz="0" w:space="0" w:color="auto" w:frame="1"/>
        </w:rPr>
        <w:t xml:space="preserve"> será el empleador el encargado de asumir su </w:t>
      </w:r>
      <w:r w:rsidR="3588D1DE" w:rsidRPr="00940170">
        <w:rPr>
          <w:rFonts w:ascii="Arial" w:hAnsi="Arial" w:cs="Arial"/>
          <w:i/>
          <w:iCs/>
          <w:color w:val="000000"/>
          <w:sz w:val="22"/>
          <w:bdr w:val="none" w:sz="0" w:space="0" w:color="auto" w:frame="1"/>
        </w:rPr>
        <w:t>desembolso, según</w:t>
      </w:r>
      <w:r w:rsidRPr="00940170">
        <w:rPr>
          <w:rFonts w:ascii="Arial" w:hAnsi="Arial" w:cs="Arial"/>
          <w:i/>
          <w:iCs/>
          <w:color w:val="000000"/>
          <w:sz w:val="22"/>
          <w:bdr w:val="none" w:sz="0" w:space="0" w:color="auto" w:frame="1"/>
        </w:rPr>
        <w:t xml:space="preserve"> lo establecido en el artículo 1° del Decreto 2943 de 2013.</w:t>
      </w:r>
      <w:r w:rsidRPr="00940170">
        <w:rPr>
          <w:rFonts w:ascii="Arial" w:hAnsi="Arial" w:cs="Arial"/>
          <w:i/>
          <w:iCs/>
          <w:color w:val="000000"/>
          <w:sz w:val="22"/>
        </w:rPr>
        <w:t xml:space="preserve"> </w:t>
      </w:r>
    </w:p>
    <w:p w:rsidR="00311524" w:rsidRPr="00940170" w:rsidRDefault="00311524" w:rsidP="00940170">
      <w:pPr>
        <w:shd w:val="clear" w:color="auto" w:fill="FFFFFF"/>
        <w:spacing w:before="100" w:beforeAutospacing="1"/>
        <w:ind w:left="426" w:right="420"/>
        <w:jc w:val="both"/>
        <w:textAlignment w:val="baseline"/>
        <w:rPr>
          <w:rFonts w:ascii="Arial" w:hAnsi="Arial" w:cs="Arial"/>
          <w:i/>
          <w:sz w:val="22"/>
        </w:rPr>
      </w:pPr>
      <w:r w:rsidRPr="00940170">
        <w:rPr>
          <w:rFonts w:ascii="Arial" w:hAnsi="Arial" w:cs="Arial"/>
          <w:i/>
          <w:color w:val="000000"/>
          <w:sz w:val="22"/>
          <w:bdr w:val="none" w:sz="0" w:space="0" w:color="auto" w:frame="1"/>
        </w:rPr>
        <w:t xml:space="preserve">ii.  </w:t>
      </w:r>
      <w:r w:rsidRPr="00940170">
        <w:rPr>
          <w:rFonts w:ascii="Arial" w:hAnsi="Arial" w:cs="Arial"/>
          <w:i/>
          <w:color w:val="000000"/>
          <w:sz w:val="22"/>
          <w:bdr w:val="none" w:sz="0" w:space="0" w:color="auto" w:frame="1"/>
          <w:shd w:val="clear" w:color="auto" w:fill="FFFFFF"/>
        </w:rPr>
        <w:t xml:space="preserve">Si pasado el día 2, el empleado continúa incapacitado con ocasión a su estado de salud, es decir, a partir del día 3 hasta el día número </w:t>
      </w:r>
      <w:r w:rsidRPr="00940170">
        <w:rPr>
          <w:rFonts w:ascii="Arial" w:hAnsi="Arial" w:cs="Arial"/>
          <w:b/>
          <w:bCs/>
          <w:i/>
          <w:color w:val="000000"/>
          <w:sz w:val="22"/>
          <w:bdr w:val="none" w:sz="0" w:space="0" w:color="auto" w:frame="1"/>
          <w:shd w:val="clear" w:color="auto" w:fill="FFFFFF"/>
        </w:rPr>
        <w:t>180</w:t>
      </w:r>
      <w:r w:rsidRPr="00940170">
        <w:rPr>
          <w:rFonts w:ascii="Arial" w:hAnsi="Arial" w:cs="Arial"/>
          <w:i/>
          <w:color w:val="000000"/>
          <w:sz w:val="22"/>
          <w:bdr w:val="none" w:sz="0" w:space="0" w:color="auto" w:frame="1"/>
          <w:shd w:val="clear" w:color="auto" w:fill="FFFFFF"/>
        </w:rPr>
        <w:t>, la obligación de cancelar el auxilio económico recae en la EPS a la que se encuentre afiliado. Lo anterior, de conformidad con lo previsto en el referido artículo 1° del Decreto 2943 de 2013.</w:t>
      </w:r>
    </w:p>
    <w:p w:rsidR="00311524" w:rsidRPr="00940170" w:rsidRDefault="00311524" w:rsidP="00940170">
      <w:pPr>
        <w:shd w:val="clear" w:color="auto" w:fill="FFFFFF"/>
        <w:ind w:left="426" w:right="420"/>
        <w:jc w:val="both"/>
        <w:textAlignment w:val="baseline"/>
        <w:rPr>
          <w:rFonts w:ascii="Arial" w:hAnsi="Arial" w:cs="Arial"/>
          <w:i/>
          <w:color w:val="000000"/>
          <w:sz w:val="22"/>
          <w:bdr w:val="none" w:sz="0" w:space="0" w:color="auto" w:frame="1"/>
        </w:rPr>
      </w:pPr>
    </w:p>
    <w:p w:rsidR="00311524" w:rsidRPr="00940170" w:rsidRDefault="00311524" w:rsidP="00940170">
      <w:pPr>
        <w:shd w:val="clear" w:color="auto" w:fill="FFFFFF"/>
        <w:ind w:left="426" w:right="420"/>
        <w:jc w:val="both"/>
        <w:textAlignment w:val="baseline"/>
        <w:rPr>
          <w:rFonts w:ascii="Arial" w:hAnsi="Arial" w:cs="Arial"/>
          <w:i/>
          <w:sz w:val="22"/>
        </w:rPr>
      </w:pPr>
      <w:r w:rsidRPr="00940170">
        <w:rPr>
          <w:rFonts w:ascii="Arial" w:hAnsi="Arial" w:cs="Arial"/>
          <w:i/>
          <w:color w:val="000000"/>
          <w:sz w:val="22"/>
          <w:bdr w:val="none" w:sz="0" w:space="0" w:color="auto" w:frame="1"/>
        </w:rPr>
        <w:t xml:space="preserve">iii. Desde el día </w:t>
      </w:r>
      <w:r w:rsidRPr="00940170">
        <w:rPr>
          <w:rFonts w:ascii="Arial" w:hAnsi="Arial" w:cs="Arial"/>
          <w:b/>
          <w:bCs/>
          <w:i/>
          <w:color w:val="000000"/>
          <w:sz w:val="22"/>
          <w:bdr w:val="none" w:sz="0" w:space="0" w:color="auto" w:frame="1"/>
        </w:rPr>
        <w:t>181</w:t>
      </w:r>
      <w:r w:rsidRPr="00940170">
        <w:rPr>
          <w:rFonts w:ascii="Arial" w:hAnsi="Arial" w:cs="Arial"/>
          <w:i/>
          <w:color w:val="000000"/>
          <w:sz w:val="22"/>
          <w:bdr w:val="none" w:sz="0" w:space="0" w:color="auto" w:frame="1"/>
        </w:rPr>
        <w:t xml:space="preserve"> y hasta un plazo de </w:t>
      </w:r>
      <w:r w:rsidRPr="00940170">
        <w:rPr>
          <w:rFonts w:ascii="Arial" w:hAnsi="Arial" w:cs="Arial"/>
          <w:b/>
          <w:bCs/>
          <w:i/>
          <w:color w:val="000000"/>
          <w:sz w:val="22"/>
          <w:bdr w:val="none" w:sz="0" w:space="0" w:color="auto" w:frame="1"/>
        </w:rPr>
        <w:t>540</w:t>
      </w:r>
      <w:r w:rsidRPr="00940170">
        <w:rPr>
          <w:rFonts w:ascii="Arial" w:hAnsi="Arial" w:cs="Arial"/>
          <w:i/>
          <w:color w:val="000000"/>
          <w:sz w:val="22"/>
          <w:bdr w:val="none" w:sz="0" w:space="0" w:color="auto" w:frame="1"/>
        </w:rPr>
        <w:t xml:space="preserve"> días, el pago de incapacidades está a cargo del Fondo de Pensiones, de acuerdo con la facultad que le concede el </w:t>
      </w:r>
      <w:r w:rsidRPr="00940170">
        <w:rPr>
          <w:rFonts w:ascii="Arial" w:hAnsi="Arial" w:cs="Arial"/>
          <w:i/>
          <w:color w:val="000000"/>
          <w:sz w:val="22"/>
          <w:bdr w:val="none" w:sz="0" w:space="0" w:color="auto" w:frame="1"/>
        </w:rPr>
        <w:lastRenderedPageBreak/>
        <w:t>artículo 52 de la Ley 962 de 2005</w:t>
      </w:r>
      <w:bookmarkStart w:id="0" w:name="_ftnref81"/>
      <w:r w:rsidR="008F20C1" w:rsidRPr="00940170">
        <w:rPr>
          <w:rFonts w:ascii="Arial" w:hAnsi="Arial" w:cs="Arial"/>
          <w:i/>
          <w:color w:val="000000"/>
          <w:sz w:val="22"/>
          <w:bdr w:val="none" w:sz="0" w:space="0" w:color="auto" w:frame="1"/>
        </w:rPr>
        <w:fldChar w:fldCharType="begin"/>
      </w:r>
      <w:r w:rsidRPr="00940170">
        <w:rPr>
          <w:rFonts w:ascii="Arial" w:hAnsi="Arial" w:cs="Arial"/>
          <w:i/>
          <w:color w:val="000000"/>
          <w:sz w:val="22"/>
          <w:bdr w:val="none" w:sz="0" w:space="0" w:color="auto" w:frame="1"/>
        </w:rPr>
        <w:instrText xml:space="preserve"> HYPERLINK "https://www.corteconstitucional.gov.co/relatoria/2019/T-161-19.htm" \l "_ftn81" \o "" </w:instrText>
      </w:r>
      <w:r w:rsidR="008F20C1" w:rsidRPr="00940170">
        <w:rPr>
          <w:rFonts w:ascii="Arial" w:hAnsi="Arial" w:cs="Arial"/>
          <w:i/>
          <w:color w:val="000000"/>
          <w:sz w:val="22"/>
          <w:bdr w:val="none" w:sz="0" w:space="0" w:color="auto" w:frame="1"/>
        </w:rPr>
        <w:fldChar w:fldCharType="separate"/>
      </w:r>
      <w:r w:rsidRPr="00940170">
        <w:rPr>
          <w:rFonts w:ascii="Arial" w:hAnsi="Arial" w:cs="Arial"/>
          <w:i/>
          <w:color w:val="000000"/>
          <w:sz w:val="22"/>
          <w:u w:val="single"/>
        </w:rPr>
        <w:t>[81]</w:t>
      </w:r>
      <w:r w:rsidR="008F20C1" w:rsidRPr="00940170">
        <w:rPr>
          <w:rFonts w:ascii="Arial" w:hAnsi="Arial" w:cs="Arial"/>
          <w:i/>
          <w:color w:val="000000"/>
          <w:sz w:val="22"/>
          <w:bdr w:val="none" w:sz="0" w:space="0" w:color="auto" w:frame="1"/>
        </w:rPr>
        <w:fldChar w:fldCharType="end"/>
      </w:r>
      <w:bookmarkEnd w:id="0"/>
      <w:r w:rsidRPr="00940170">
        <w:rPr>
          <w:rFonts w:ascii="Arial" w:hAnsi="Arial" w:cs="Arial"/>
          <w:i/>
          <w:color w:val="000000"/>
          <w:sz w:val="22"/>
          <w:bdr w:val="none" w:sz="0" w:space="0" w:color="auto" w:frame="1"/>
        </w:rPr>
        <w:t xml:space="preserve"> para postergar la calificación de invalidez, cuando haya concepto favorable de rehabilitación por parte de la </w:t>
      </w:r>
      <w:proofErr w:type="spellStart"/>
      <w:r w:rsidRPr="00940170">
        <w:rPr>
          <w:rFonts w:ascii="Arial" w:hAnsi="Arial" w:cs="Arial"/>
          <w:i/>
          <w:color w:val="000000"/>
          <w:sz w:val="22"/>
          <w:bdr w:val="none" w:sz="0" w:space="0" w:color="auto" w:frame="1"/>
        </w:rPr>
        <w:t>EPS</w:t>
      </w:r>
      <w:bookmarkStart w:id="1" w:name="_ftnref82"/>
      <w:proofErr w:type="spellEnd"/>
      <w:r w:rsidR="008F20C1" w:rsidRPr="00940170">
        <w:rPr>
          <w:rFonts w:ascii="Arial" w:hAnsi="Arial" w:cs="Arial"/>
          <w:i/>
          <w:color w:val="000000"/>
          <w:sz w:val="22"/>
          <w:bdr w:val="none" w:sz="0" w:space="0" w:color="auto" w:frame="1"/>
        </w:rPr>
        <w:fldChar w:fldCharType="begin"/>
      </w:r>
      <w:r w:rsidRPr="00940170">
        <w:rPr>
          <w:rFonts w:ascii="Arial" w:hAnsi="Arial" w:cs="Arial"/>
          <w:i/>
          <w:color w:val="000000"/>
          <w:sz w:val="22"/>
          <w:bdr w:val="none" w:sz="0" w:space="0" w:color="auto" w:frame="1"/>
        </w:rPr>
        <w:instrText xml:space="preserve"> HYPERLINK "https://www.corteconstitucional.gov.co/relatoria/2019/T-161-19.htm" \l "_ftn82" \o "" </w:instrText>
      </w:r>
      <w:r w:rsidR="008F20C1" w:rsidRPr="00940170">
        <w:rPr>
          <w:rFonts w:ascii="Arial" w:hAnsi="Arial" w:cs="Arial"/>
          <w:i/>
          <w:color w:val="000000"/>
          <w:sz w:val="22"/>
          <w:bdr w:val="none" w:sz="0" w:space="0" w:color="auto" w:frame="1"/>
        </w:rPr>
        <w:fldChar w:fldCharType="separate"/>
      </w:r>
      <w:r w:rsidRPr="00940170">
        <w:rPr>
          <w:rFonts w:ascii="Arial" w:hAnsi="Arial" w:cs="Arial"/>
          <w:i/>
          <w:color w:val="000000"/>
          <w:sz w:val="22"/>
          <w:u w:val="single"/>
        </w:rPr>
        <w:t>[82]</w:t>
      </w:r>
      <w:r w:rsidR="008F20C1" w:rsidRPr="00940170">
        <w:rPr>
          <w:rFonts w:ascii="Arial" w:hAnsi="Arial" w:cs="Arial"/>
          <w:i/>
          <w:color w:val="000000"/>
          <w:sz w:val="22"/>
          <w:bdr w:val="none" w:sz="0" w:space="0" w:color="auto" w:frame="1"/>
        </w:rPr>
        <w:fldChar w:fldCharType="end"/>
      </w:r>
      <w:bookmarkEnd w:id="1"/>
      <w:r w:rsidRPr="00940170">
        <w:rPr>
          <w:rFonts w:ascii="Arial" w:hAnsi="Arial" w:cs="Arial"/>
          <w:i/>
          <w:color w:val="000000"/>
          <w:sz w:val="22"/>
          <w:bdr w:val="none" w:sz="0" w:space="0" w:color="auto" w:frame="1"/>
        </w:rPr>
        <w:t>.</w:t>
      </w:r>
      <w:r w:rsidRPr="00940170">
        <w:rPr>
          <w:rFonts w:ascii="Arial" w:hAnsi="Arial" w:cs="Arial"/>
          <w:i/>
          <w:color w:val="000000"/>
          <w:sz w:val="22"/>
        </w:rPr>
        <w:t xml:space="preserve"> </w:t>
      </w:r>
    </w:p>
    <w:p w:rsidR="00311524" w:rsidRPr="00940170" w:rsidRDefault="00311524" w:rsidP="00940170">
      <w:pPr>
        <w:shd w:val="clear" w:color="auto" w:fill="FFFFFF"/>
        <w:ind w:left="426" w:right="420"/>
        <w:jc w:val="both"/>
        <w:textAlignment w:val="baseline"/>
        <w:rPr>
          <w:rFonts w:ascii="Arial" w:hAnsi="Arial" w:cs="Arial"/>
          <w:i/>
          <w:sz w:val="22"/>
        </w:rPr>
      </w:pPr>
      <w:r w:rsidRPr="00940170">
        <w:rPr>
          <w:rFonts w:ascii="Arial" w:hAnsi="Arial" w:cs="Arial"/>
          <w:i/>
          <w:color w:val="000000"/>
          <w:sz w:val="22"/>
        </w:rPr>
        <w:t> </w:t>
      </w:r>
    </w:p>
    <w:p w:rsidR="00311524" w:rsidRPr="00940170" w:rsidRDefault="00311524" w:rsidP="00940170">
      <w:pPr>
        <w:shd w:val="clear" w:color="auto" w:fill="FFFFFF"/>
        <w:ind w:left="426" w:right="420"/>
        <w:jc w:val="both"/>
        <w:textAlignment w:val="baseline"/>
        <w:rPr>
          <w:rFonts w:ascii="Arial" w:hAnsi="Arial" w:cs="Arial"/>
          <w:sz w:val="22"/>
        </w:rPr>
      </w:pPr>
      <w:r w:rsidRPr="00940170">
        <w:rPr>
          <w:rFonts w:ascii="Arial" w:hAnsi="Arial" w:cs="Arial"/>
          <w:i/>
          <w:color w:val="000000"/>
          <w:sz w:val="22"/>
          <w:bdr w:val="none" w:sz="0" w:space="0" w:color="auto" w:frame="1"/>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bookmarkStart w:id="2" w:name="_ftnref83"/>
      <w:r w:rsidRPr="00940170">
        <w:rPr>
          <w:rFonts w:ascii="Arial" w:hAnsi="Arial" w:cs="Arial"/>
          <w:i/>
          <w:color w:val="000000"/>
          <w:sz w:val="22"/>
          <w:bdr w:val="none" w:sz="0" w:space="0" w:color="auto" w:frame="1"/>
        </w:rPr>
        <w:t>”</w:t>
      </w:r>
      <w:bookmarkEnd w:id="2"/>
      <w:r w:rsidRPr="00940170">
        <w:rPr>
          <w:rFonts w:ascii="Arial" w:hAnsi="Arial" w:cs="Arial"/>
          <w:color w:val="000000"/>
          <w:sz w:val="22"/>
          <w:bdr w:val="none" w:sz="0" w:space="0" w:color="auto" w:frame="1"/>
        </w:rPr>
        <w:t>.</w:t>
      </w:r>
    </w:p>
    <w:p w:rsidR="00D37569" w:rsidRPr="00CB5080" w:rsidRDefault="00D37569" w:rsidP="00CB5080">
      <w:pPr>
        <w:spacing w:line="276" w:lineRule="auto"/>
        <w:ind w:right="-27"/>
        <w:jc w:val="both"/>
        <w:rPr>
          <w:rFonts w:ascii="Arial" w:hAnsi="Arial" w:cs="Arial"/>
        </w:rPr>
      </w:pPr>
    </w:p>
    <w:p w:rsidR="00D62760" w:rsidRPr="00CB5080" w:rsidRDefault="0090134C" w:rsidP="00CB5080">
      <w:pPr>
        <w:spacing w:line="276" w:lineRule="auto"/>
        <w:ind w:right="-27"/>
        <w:jc w:val="both"/>
        <w:rPr>
          <w:rFonts w:ascii="Arial" w:hAnsi="Arial" w:cs="Arial"/>
        </w:rPr>
      </w:pPr>
      <w:r w:rsidRPr="00CB5080">
        <w:rPr>
          <w:rFonts w:ascii="Arial" w:hAnsi="Arial" w:cs="Arial"/>
          <w:b/>
        </w:rPr>
        <w:t xml:space="preserve">2. </w:t>
      </w:r>
      <w:r w:rsidR="00D62760" w:rsidRPr="00CB5080">
        <w:rPr>
          <w:rFonts w:ascii="Arial" w:hAnsi="Arial" w:cs="Arial"/>
          <w:b/>
        </w:rPr>
        <w:t>CASO CONCRETO</w:t>
      </w:r>
    </w:p>
    <w:p w:rsidR="00D62760" w:rsidRPr="00CB5080" w:rsidRDefault="00D62760" w:rsidP="00CB5080">
      <w:pPr>
        <w:spacing w:line="276" w:lineRule="auto"/>
        <w:jc w:val="both"/>
        <w:rPr>
          <w:rFonts w:ascii="Arial" w:hAnsi="Arial" w:cs="Arial"/>
        </w:rPr>
      </w:pPr>
    </w:p>
    <w:p w:rsidR="00ED3988" w:rsidRPr="00CB5080" w:rsidRDefault="00ED3988" w:rsidP="00CB5080">
      <w:pPr>
        <w:spacing w:line="276" w:lineRule="auto"/>
        <w:jc w:val="both"/>
        <w:rPr>
          <w:rFonts w:ascii="Arial" w:hAnsi="Arial" w:cs="Arial"/>
        </w:rPr>
      </w:pPr>
      <w:r w:rsidRPr="00CB5080">
        <w:rPr>
          <w:rFonts w:ascii="Arial" w:hAnsi="Arial" w:cs="Arial"/>
        </w:rPr>
        <w:t xml:space="preserve">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w:t>
      </w:r>
      <w:r w:rsidR="629A66AE" w:rsidRPr="00CB5080">
        <w:rPr>
          <w:rFonts w:ascii="Arial" w:hAnsi="Arial" w:cs="Arial"/>
        </w:rPr>
        <w:t>de salud</w:t>
      </w:r>
      <w:r w:rsidRPr="00CB5080">
        <w:rPr>
          <w:rFonts w:ascii="Arial" w:hAnsi="Arial" w:cs="Arial"/>
        </w:rPr>
        <w:t>, razón por la que también ha considerado esa Alta Magistratura, la falta de idoneidad y eficacia de los mecanismos ordinarios y administrativos de defensa judicial, para dar pronta solución a esta situación de vulnerabilidad.</w:t>
      </w:r>
    </w:p>
    <w:p w:rsidR="00A15AE2" w:rsidRPr="00CB5080" w:rsidRDefault="00A15AE2" w:rsidP="00CB5080">
      <w:pPr>
        <w:pStyle w:val="Textoindependiente"/>
        <w:spacing w:line="276" w:lineRule="auto"/>
        <w:rPr>
          <w:rFonts w:cs="Arial"/>
          <w:sz w:val="24"/>
          <w:szCs w:val="24"/>
        </w:rPr>
      </w:pPr>
    </w:p>
    <w:p w:rsidR="00A8362A" w:rsidRPr="00CB5080" w:rsidRDefault="00A15AE2" w:rsidP="00CB5080">
      <w:pPr>
        <w:pStyle w:val="Textoindependiente"/>
        <w:spacing w:line="276" w:lineRule="auto"/>
        <w:rPr>
          <w:rFonts w:cs="Arial"/>
          <w:sz w:val="24"/>
          <w:szCs w:val="24"/>
        </w:rPr>
      </w:pPr>
      <w:r w:rsidRPr="00CB5080">
        <w:rPr>
          <w:rFonts w:cs="Arial"/>
          <w:sz w:val="24"/>
          <w:szCs w:val="24"/>
        </w:rPr>
        <w:t>En ese sentido entonces, procede la Sala a resolver</w:t>
      </w:r>
      <w:r w:rsidR="00A0790B" w:rsidRPr="00CB5080">
        <w:rPr>
          <w:rFonts w:cs="Arial"/>
          <w:sz w:val="24"/>
          <w:szCs w:val="24"/>
        </w:rPr>
        <w:t xml:space="preserve"> el problema jurídico planteado y para ello se hace necesario precisar que</w:t>
      </w:r>
      <w:r w:rsidR="00A8362A" w:rsidRPr="00CB5080">
        <w:rPr>
          <w:rFonts w:cs="Arial"/>
          <w:sz w:val="24"/>
          <w:szCs w:val="24"/>
        </w:rPr>
        <w:t xml:space="preserve"> </w:t>
      </w:r>
      <w:r w:rsidR="00E55945" w:rsidRPr="00CB5080">
        <w:rPr>
          <w:rFonts w:cs="Arial"/>
          <w:sz w:val="24"/>
          <w:szCs w:val="24"/>
        </w:rPr>
        <w:t>el actor</w:t>
      </w:r>
      <w:r w:rsidR="00A8362A" w:rsidRPr="00CB5080">
        <w:rPr>
          <w:rFonts w:cs="Arial"/>
          <w:sz w:val="24"/>
          <w:szCs w:val="24"/>
        </w:rPr>
        <w:t xml:space="preserve"> reclama</w:t>
      </w:r>
      <w:r w:rsidR="00E55945" w:rsidRPr="00CB5080">
        <w:rPr>
          <w:rFonts w:cs="Arial"/>
          <w:sz w:val="24"/>
          <w:szCs w:val="24"/>
        </w:rPr>
        <w:t xml:space="preserve"> el pago de incapacidades </w:t>
      </w:r>
      <w:proofErr w:type="gramStart"/>
      <w:r w:rsidR="00E55945" w:rsidRPr="00CB5080">
        <w:rPr>
          <w:rFonts w:cs="Arial"/>
          <w:sz w:val="24"/>
          <w:szCs w:val="24"/>
        </w:rPr>
        <w:t>medicas</w:t>
      </w:r>
      <w:proofErr w:type="gramEnd"/>
      <w:r w:rsidR="00E55945" w:rsidRPr="00CB5080">
        <w:rPr>
          <w:rFonts w:cs="Arial"/>
          <w:sz w:val="24"/>
          <w:szCs w:val="24"/>
        </w:rPr>
        <w:t xml:space="preserve"> por parte de </w:t>
      </w:r>
      <w:r w:rsidR="00A8362A" w:rsidRPr="00CB5080">
        <w:rPr>
          <w:rFonts w:cs="Arial"/>
          <w:sz w:val="24"/>
          <w:szCs w:val="24"/>
        </w:rPr>
        <w:t xml:space="preserve">la Nueva </w:t>
      </w:r>
      <w:proofErr w:type="spellStart"/>
      <w:r w:rsidR="00A8362A" w:rsidRPr="00CB5080">
        <w:rPr>
          <w:rFonts w:cs="Arial"/>
          <w:sz w:val="24"/>
          <w:szCs w:val="24"/>
        </w:rPr>
        <w:t>EPS</w:t>
      </w:r>
      <w:proofErr w:type="spellEnd"/>
      <w:r w:rsidR="00A8362A" w:rsidRPr="00CB5080">
        <w:rPr>
          <w:rFonts w:cs="Arial"/>
          <w:sz w:val="24"/>
          <w:szCs w:val="24"/>
        </w:rPr>
        <w:t xml:space="preserve"> </w:t>
      </w:r>
      <w:r w:rsidR="00E55945" w:rsidRPr="00CB5080">
        <w:rPr>
          <w:rFonts w:cs="Arial"/>
          <w:sz w:val="24"/>
          <w:szCs w:val="24"/>
        </w:rPr>
        <w:t xml:space="preserve"> o Colpensiones según corresponda.</w:t>
      </w:r>
    </w:p>
    <w:p w:rsidR="00E55945" w:rsidRPr="00CB5080" w:rsidRDefault="00E55945" w:rsidP="00CB5080">
      <w:pPr>
        <w:pStyle w:val="Textoindependiente"/>
        <w:spacing w:line="276" w:lineRule="auto"/>
        <w:rPr>
          <w:rFonts w:cs="Arial"/>
          <w:sz w:val="24"/>
          <w:szCs w:val="24"/>
        </w:rPr>
      </w:pPr>
    </w:p>
    <w:p w:rsidR="00E55945" w:rsidRPr="00CB5080" w:rsidRDefault="00E55945" w:rsidP="00CB5080">
      <w:pPr>
        <w:pStyle w:val="Textoindependiente"/>
        <w:spacing w:line="276" w:lineRule="auto"/>
        <w:rPr>
          <w:rFonts w:cs="Arial"/>
          <w:sz w:val="24"/>
          <w:szCs w:val="24"/>
        </w:rPr>
      </w:pPr>
      <w:r w:rsidRPr="00CB5080">
        <w:rPr>
          <w:rFonts w:cs="Arial"/>
          <w:sz w:val="24"/>
          <w:szCs w:val="24"/>
        </w:rPr>
        <w:t>Una vez analizad</w:t>
      </w:r>
      <w:r w:rsidR="000F38DE" w:rsidRPr="00CB5080">
        <w:rPr>
          <w:rFonts w:cs="Arial"/>
          <w:sz w:val="24"/>
          <w:szCs w:val="24"/>
        </w:rPr>
        <w:t>as</w:t>
      </w:r>
      <w:r w:rsidRPr="00CB5080">
        <w:rPr>
          <w:rFonts w:cs="Arial"/>
          <w:sz w:val="24"/>
          <w:szCs w:val="24"/>
        </w:rPr>
        <w:t xml:space="preserve"> las pruebas traídas al plenario, se tiene la Nueva EPS acompañó la contestación de la demanda con el record de incapacidades otorgadas al señor José Abelardo Naranjo Hernández desde el 8 de septiembre de 2017 hasta el 27 de febrero de 2020 así:</w:t>
      </w:r>
    </w:p>
    <w:p w:rsidR="00E55945" w:rsidRPr="00CB5080" w:rsidRDefault="00E55945" w:rsidP="00CB5080">
      <w:pPr>
        <w:pStyle w:val="Textoindependiente"/>
        <w:spacing w:line="276" w:lineRule="auto"/>
        <w:rPr>
          <w:rFonts w:cs="Arial"/>
          <w:sz w:val="24"/>
          <w:szCs w:val="24"/>
        </w:rPr>
      </w:pPr>
    </w:p>
    <w:tbl>
      <w:tblPr>
        <w:tblStyle w:val="Tablaconcuadrcula"/>
        <w:tblW w:w="0" w:type="auto"/>
        <w:tblLook w:val="04A0" w:firstRow="1" w:lastRow="0" w:firstColumn="1" w:lastColumn="0" w:noHBand="0" w:noVBand="1"/>
      </w:tblPr>
      <w:tblGrid>
        <w:gridCol w:w="1540"/>
        <w:gridCol w:w="1531"/>
        <w:gridCol w:w="1531"/>
        <w:gridCol w:w="1514"/>
        <w:gridCol w:w="1539"/>
        <w:gridCol w:w="1514"/>
      </w:tblGrid>
      <w:tr w:rsidR="00E55945" w:rsidRPr="00851411" w:rsidTr="00E55945">
        <w:tc>
          <w:tcPr>
            <w:tcW w:w="1591" w:type="dxa"/>
          </w:tcPr>
          <w:p w:rsidR="00E55945" w:rsidRPr="00851411" w:rsidRDefault="00E55945" w:rsidP="00E0549F">
            <w:pPr>
              <w:pStyle w:val="Textoindependiente"/>
              <w:spacing w:line="276" w:lineRule="auto"/>
              <w:jc w:val="center"/>
              <w:rPr>
                <w:rFonts w:cs="Arial"/>
                <w:sz w:val="22"/>
                <w:szCs w:val="24"/>
                <w:lang w:val="es-ES"/>
              </w:rPr>
            </w:pPr>
            <w:bookmarkStart w:id="3" w:name="_GoBack"/>
            <w:r w:rsidRPr="00851411">
              <w:rPr>
                <w:rFonts w:cs="Arial"/>
                <w:sz w:val="22"/>
                <w:szCs w:val="24"/>
                <w:lang w:val="es-ES"/>
              </w:rPr>
              <w:t>Diagnóstico</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Fecha in</w:t>
            </w:r>
            <w:r w:rsidR="00730CC7" w:rsidRPr="00851411">
              <w:rPr>
                <w:rFonts w:cs="Arial"/>
                <w:sz w:val="22"/>
                <w:szCs w:val="24"/>
                <w:lang w:val="es-ES"/>
              </w:rPr>
              <w:t>i</w:t>
            </w:r>
            <w:r w:rsidRPr="00851411">
              <w:rPr>
                <w:rFonts w:cs="Arial"/>
                <w:sz w:val="22"/>
                <w:szCs w:val="24"/>
                <w:lang w:val="es-ES"/>
              </w:rPr>
              <w:t>cial</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Fecha final</w:t>
            </w:r>
          </w:p>
        </w:tc>
        <w:tc>
          <w:tcPr>
            <w:tcW w:w="1591" w:type="dxa"/>
          </w:tcPr>
          <w:p w:rsidR="00E55945" w:rsidRPr="00851411" w:rsidRDefault="00730CC7" w:rsidP="00E0549F">
            <w:pPr>
              <w:pStyle w:val="Textoindependiente"/>
              <w:spacing w:line="276" w:lineRule="auto"/>
              <w:jc w:val="center"/>
              <w:rPr>
                <w:rFonts w:cs="Arial"/>
                <w:sz w:val="22"/>
                <w:szCs w:val="24"/>
                <w:lang w:val="es-ES"/>
              </w:rPr>
            </w:pPr>
            <w:r w:rsidRPr="00851411">
              <w:rPr>
                <w:rFonts w:cs="Arial"/>
                <w:sz w:val="22"/>
                <w:szCs w:val="24"/>
                <w:lang w:val="es-ES"/>
              </w:rPr>
              <w:t>Días</w:t>
            </w:r>
            <w:r w:rsidR="00E55945" w:rsidRPr="00851411">
              <w:rPr>
                <w:rFonts w:cs="Arial"/>
                <w:sz w:val="22"/>
                <w:szCs w:val="24"/>
                <w:lang w:val="es-ES"/>
              </w:rPr>
              <w:t xml:space="preserve"> Otorgados</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Días autorizados</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Valor autorizado</w:t>
            </w:r>
          </w:p>
        </w:tc>
      </w:tr>
      <w:tr w:rsidR="00E55945" w:rsidRPr="00851411" w:rsidTr="00E55945">
        <w:tc>
          <w:tcPr>
            <w:tcW w:w="1591" w:type="dxa"/>
          </w:tcPr>
          <w:p w:rsidR="00E55945" w:rsidRPr="00851411" w:rsidRDefault="00E55945" w:rsidP="00E0549F">
            <w:pPr>
              <w:pStyle w:val="Textoindependiente"/>
              <w:spacing w:line="276" w:lineRule="auto"/>
              <w:rPr>
                <w:rFonts w:cs="Arial"/>
                <w:sz w:val="22"/>
                <w:szCs w:val="24"/>
                <w:lang w:val="es-ES"/>
              </w:rPr>
            </w:pPr>
            <w:r w:rsidRPr="00851411">
              <w:rPr>
                <w:rFonts w:cs="Arial"/>
                <w:sz w:val="22"/>
                <w:szCs w:val="24"/>
                <w:lang w:val="es-ES"/>
              </w:rPr>
              <w:t>M545</w:t>
            </w:r>
          </w:p>
        </w:tc>
        <w:tc>
          <w:tcPr>
            <w:tcW w:w="1591" w:type="dxa"/>
          </w:tcPr>
          <w:p w:rsidR="00E55945" w:rsidRPr="00851411" w:rsidRDefault="00E55945" w:rsidP="00E0549F">
            <w:pPr>
              <w:pStyle w:val="Textoindependiente"/>
              <w:spacing w:line="276" w:lineRule="auto"/>
              <w:rPr>
                <w:rFonts w:cs="Arial"/>
                <w:sz w:val="22"/>
                <w:szCs w:val="24"/>
                <w:lang w:val="es-ES"/>
              </w:rPr>
            </w:pPr>
            <w:r w:rsidRPr="00851411">
              <w:rPr>
                <w:rFonts w:cs="Arial"/>
                <w:sz w:val="22"/>
                <w:szCs w:val="24"/>
                <w:lang w:val="es-ES"/>
              </w:rPr>
              <w:t>08/09/2017</w:t>
            </w:r>
          </w:p>
        </w:tc>
        <w:tc>
          <w:tcPr>
            <w:tcW w:w="1591" w:type="dxa"/>
          </w:tcPr>
          <w:p w:rsidR="00E55945" w:rsidRPr="00851411" w:rsidRDefault="00E55945" w:rsidP="00E0549F">
            <w:pPr>
              <w:pStyle w:val="Textoindependiente"/>
              <w:spacing w:line="276" w:lineRule="auto"/>
              <w:rPr>
                <w:rFonts w:cs="Arial"/>
                <w:sz w:val="22"/>
                <w:szCs w:val="24"/>
                <w:lang w:val="es-ES"/>
              </w:rPr>
            </w:pPr>
            <w:r w:rsidRPr="00851411">
              <w:rPr>
                <w:rFonts w:cs="Arial"/>
                <w:sz w:val="22"/>
                <w:szCs w:val="24"/>
                <w:lang w:val="es-ES"/>
              </w:rPr>
              <w:t>17/09/2017</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10</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8</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$207.884</w:t>
            </w:r>
          </w:p>
        </w:tc>
      </w:tr>
      <w:tr w:rsidR="00E55945" w:rsidRPr="00851411" w:rsidTr="00E55945">
        <w:tc>
          <w:tcPr>
            <w:tcW w:w="1591" w:type="dxa"/>
          </w:tcPr>
          <w:p w:rsidR="00E55945"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1679</w:t>
            </w:r>
          </w:p>
        </w:tc>
        <w:tc>
          <w:tcPr>
            <w:tcW w:w="1591" w:type="dxa"/>
          </w:tcPr>
          <w:p w:rsidR="00E55945"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21/07/2018</w:t>
            </w:r>
          </w:p>
        </w:tc>
        <w:tc>
          <w:tcPr>
            <w:tcW w:w="1591" w:type="dxa"/>
          </w:tcPr>
          <w:p w:rsidR="00E55945"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05/08/2018</w:t>
            </w:r>
          </w:p>
        </w:tc>
        <w:tc>
          <w:tcPr>
            <w:tcW w:w="1591" w:type="dxa"/>
          </w:tcPr>
          <w:p w:rsidR="00E55945"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16</w:t>
            </w:r>
          </w:p>
        </w:tc>
        <w:tc>
          <w:tcPr>
            <w:tcW w:w="1591" w:type="dxa"/>
          </w:tcPr>
          <w:p w:rsidR="00E55945"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14</w:t>
            </w:r>
          </w:p>
        </w:tc>
        <w:tc>
          <w:tcPr>
            <w:tcW w:w="1591" w:type="dxa"/>
          </w:tcPr>
          <w:p w:rsidR="00E55945" w:rsidRPr="00851411" w:rsidRDefault="00E55945" w:rsidP="00E0549F">
            <w:pPr>
              <w:pStyle w:val="Textoindependiente"/>
              <w:spacing w:line="276" w:lineRule="auto"/>
              <w:jc w:val="center"/>
              <w:rPr>
                <w:rFonts w:cs="Arial"/>
                <w:sz w:val="22"/>
                <w:szCs w:val="24"/>
                <w:lang w:val="es-ES"/>
              </w:rPr>
            </w:pPr>
            <w:r w:rsidRPr="00851411">
              <w:rPr>
                <w:rFonts w:cs="Arial"/>
                <w:sz w:val="22"/>
                <w:szCs w:val="24"/>
                <w:lang w:val="es-ES"/>
              </w:rPr>
              <w:t>$385.241</w:t>
            </w:r>
          </w:p>
        </w:tc>
      </w:tr>
      <w:tr w:rsidR="00C926F0" w:rsidRPr="00851411" w:rsidTr="00E55945">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1679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06/08/2018</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21/08/2018</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16</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16</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$440.274</w:t>
            </w:r>
          </w:p>
        </w:tc>
      </w:tr>
      <w:tr w:rsidR="00C926F0" w:rsidRPr="00851411" w:rsidTr="00E55945">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1679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15/04/2019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14/05/2019</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30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28</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$816.708</w:t>
            </w:r>
          </w:p>
        </w:tc>
      </w:tr>
      <w:tr w:rsidR="00C926F0" w:rsidRPr="00851411" w:rsidTr="00E55945">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1679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15/05/2019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05/06/2019</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22</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22</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$641.700</w:t>
            </w:r>
          </w:p>
        </w:tc>
      </w:tr>
      <w:tr w:rsidR="00C926F0" w:rsidRPr="00851411" w:rsidTr="00E55945">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1679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21/06/2019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30/06/2019</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10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$291.682</w:t>
            </w:r>
          </w:p>
        </w:tc>
      </w:tr>
      <w:tr w:rsidR="00E55945" w:rsidRPr="00851411" w:rsidTr="00E55945">
        <w:tc>
          <w:tcPr>
            <w:tcW w:w="1591" w:type="dxa"/>
          </w:tcPr>
          <w:p w:rsidR="00E55945"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1694</w:t>
            </w:r>
          </w:p>
        </w:tc>
        <w:tc>
          <w:tcPr>
            <w:tcW w:w="1591" w:type="dxa"/>
          </w:tcPr>
          <w:p w:rsidR="00E55945"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30/08/2019</w:t>
            </w:r>
          </w:p>
        </w:tc>
        <w:tc>
          <w:tcPr>
            <w:tcW w:w="1591" w:type="dxa"/>
          </w:tcPr>
          <w:p w:rsidR="00E55945"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28/09/2019</w:t>
            </w:r>
          </w:p>
        </w:tc>
        <w:tc>
          <w:tcPr>
            <w:tcW w:w="1591" w:type="dxa"/>
          </w:tcPr>
          <w:p w:rsidR="00E55945"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30</w:t>
            </w:r>
          </w:p>
        </w:tc>
        <w:tc>
          <w:tcPr>
            <w:tcW w:w="1591" w:type="dxa"/>
          </w:tcPr>
          <w:p w:rsidR="00E55945"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28</w:t>
            </w:r>
          </w:p>
        </w:tc>
        <w:tc>
          <w:tcPr>
            <w:tcW w:w="1591" w:type="dxa"/>
          </w:tcPr>
          <w:p w:rsidR="00E55945"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$816.708</w:t>
            </w:r>
          </w:p>
        </w:tc>
      </w:tr>
      <w:tr w:rsidR="00C926F0" w:rsidRPr="00851411" w:rsidTr="00E55945">
        <w:tc>
          <w:tcPr>
            <w:tcW w:w="1591" w:type="dxa"/>
          </w:tcPr>
          <w:p w:rsidR="00C926F0" w:rsidRPr="00851411" w:rsidRDefault="00C926F0" w:rsidP="00E0549F">
            <w:pPr>
              <w:spacing w:line="276" w:lineRule="auto"/>
              <w:rPr>
                <w:rFonts w:ascii="Arial" w:hAnsi="Arial" w:cs="Arial"/>
                <w:sz w:val="22"/>
              </w:rPr>
            </w:pPr>
            <w:r w:rsidRPr="00851411">
              <w:rPr>
                <w:rFonts w:ascii="Arial" w:hAnsi="Arial" w:cs="Arial"/>
                <w:sz w:val="22"/>
              </w:rPr>
              <w:t>1694</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02/10/2019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16/10/2019</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15</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15</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$437.522</w:t>
            </w:r>
          </w:p>
        </w:tc>
      </w:tr>
      <w:tr w:rsidR="00C926F0" w:rsidRPr="00851411" w:rsidTr="00E55945">
        <w:tc>
          <w:tcPr>
            <w:tcW w:w="1591" w:type="dxa"/>
          </w:tcPr>
          <w:p w:rsidR="00C926F0" w:rsidRPr="00851411" w:rsidRDefault="00C926F0" w:rsidP="00E0549F">
            <w:pPr>
              <w:spacing w:line="276" w:lineRule="auto"/>
              <w:rPr>
                <w:rFonts w:ascii="Arial" w:hAnsi="Arial" w:cs="Arial"/>
                <w:sz w:val="22"/>
              </w:rPr>
            </w:pPr>
            <w:r w:rsidRPr="00851411">
              <w:rPr>
                <w:rFonts w:ascii="Arial" w:hAnsi="Arial" w:cs="Arial"/>
                <w:sz w:val="22"/>
              </w:rPr>
              <w:t>1694</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22/10/2019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05/11/2019</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15</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r>
      <w:tr w:rsidR="00C926F0" w:rsidRPr="00851411" w:rsidTr="00E55945">
        <w:tc>
          <w:tcPr>
            <w:tcW w:w="1591" w:type="dxa"/>
          </w:tcPr>
          <w:p w:rsidR="00C926F0" w:rsidRPr="00851411" w:rsidRDefault="00C926F0" w:rsidP="00E0549F">
            <w:pPr>
              <w:spacing w:line="276" w:lineRule="auto"/>
              <w:rPr>
                <w:rFonts w:ascii="Arial" w:hAnsi="Arial" w:cs="Arial"/>
                <w:sz w:val="22"/>
              </w:rPr>
            </w:pPr>
            <w:r w:rsidRPr="00851411">
              <w:rPr>
                <w:rFonts w:ascii="Arial" w:hAnsi="Arial" w:cs="Arial"/>
                <w:sz w:val="22"/>
              </w:rPr>
              <w:t>1694</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22/11/2019</w:t>
            </w:r>
          </w:p>
        </w:tc>
        <w:tc>
          <w:tcPr>
            <w:tcW w:w="1591" w:type="dxa"/>
          </w:tcPr>
          <w:p w:rsidR="00C926F0" w:rsidRPr="00851411" w:rsidRDefault="00C926F0" w:rsidP="00E0549F">
            <w:pPr>
              <w:pStyle w:val="Textoindependiente"/>
              <w:spacing w:line="276" w:lineRule="auto"/>
              <w:rPr>
                <w:rFonts w:cs="Arial"/>
                <w:sz w:val="22"/>
                <w:szCs w:val="24"/>
                <w:lang w:val="es-ES"/>
              </w:rPr>
            </w:pPr>
            <w:r w:rsidRPr="00851411">
              <w:rPr>
                <w:rFonts w:cs="Arial"/>
                <w:sz w:val="22"/>
                <w:szCs w:val="24"/>
                <w:lang w:val="es-ES"/>
              </w:rPr>
              <w:t>21/12/2019</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30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r>
      <w:tr w:rsidR="00C926F0" w:rsidRPr="00851411" w:rsidTr="00E55945">
        <w:tc>
          <w:tcPr>
            <w:tcW w:w="1591" w:type="dxa"/>
          </w:tcPr>
          <w:p w:rsidR="00C926F0" w:rsidRPr="00851411" w:rsidRDefault="00C926F0" w:rsidP="00E0549F">
            <w:pPr>
              <w:spacing w:line="276" w:lineRule="auto"/>
              <w:rPr>
                <w:rFonts w:ascii="Arial" w:hAnsi="Arial" w:cs="Arial"/>
                <w:sz w:val="22"/>
              </w:rPr>
            </w:pPr>
            <w:r w:rsidRPr="00851411">
              <w:rPr>
                <w:rFonts w:ascii="Arial" w:hAnsi="Arial" w:cs="Arial"/>
                <w:sz w:val="22"/>
              </w:rPr>
              <w:t>1694</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28/12/2019</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11/01/2020</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15</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r>
      <w:tr w:rsidR="00C926F0" w:rsidRPr="00851411" w:rsidTr="00E55945">
        <w:tc>
          <w:tcPr>
            <w:tcW w:w="1591" w:type="dxa"/>
          </w:tcPr>
          <w:p w:rsidR="00C926F0" w:rsidRPr="00851411" w:rsidRDefault="00C926F0" w:rsidP="00E0549F">
            <w:pPr>
              <w:spacing w:line="276" w:lineRule="auto"/>
              <w:rPr>
                <w:rFonts w:ascii="Arial" w:hAnsi="Arial" w:cs="Arial"/>
                <w:sz w:val="22"/>
              </w:rPr>
            </w:pPr>
            <w:r w:rsidRPr="00851411">
              <w:rPr>
                <w:rFonts w:ascii="Arial" w:hAnsi="Arial" w:cs="Arial"/>
                <w:sz w:val="22"/>
              </w:rPr>
              <w:t>1694</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12/01/2020</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26/01/2020</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15</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r>
      <w:tr w:rsidR="00C926F0" w:rsidRPr="00851411" w:rsidTr="00E55945">
        <w:tc>
          <w:tcPr>
            <w:tcW w:w="1591" w:type="dxa"/>
          </w:tcPr>
          <w:p w:rsidR="00C926F0" w:rsidRPr="00851411" w:rsidRDefault="00C926F0" w:rsidP="00E0549F">
            <w:pPr>
              <w:spacing w:line="276" w:lineRule="auto"/>
              <w:rPr>
                <w:rFonts w:ascii="Arial" w:hAnsi="Arial" w:cs="Arial"/>
                <w:sz w:val="22"/>
              </w:rPr>
            </w:pPr>
            <w:r w:rsidRPr="00851411">
              <w:rPr>
                <w:rFonts w:ascii="Arial" w:hAnsi="Arial" w:cs="Arial"/>
                <w:sz w:val="22"/>
              </w:rPr>
              <w:t>1694</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01/02/2020</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11/02/2020</w:t>
            </w:r>
          </w:p>
        </w:tc>
        <w:tc>
          <w:tcPr>
            <w:tcW w:w="1591" w:type="dxa"/>
          </w:tcPr>
          <w:p w:rsidR="00C926F0" w:rsidRPr="00851411" w:rsidRDefault="00C926F0" w:rsidP="00E0549F">
            <w:pPr>
              <w:pStyle w:val="Textoindependiente"/>
              <w:spacing w:line="276" w:lineRule="auto"/>
              <w:jc w:val="center"/>
              <w:rPr>
                <w:rFonts w:cs="Arial"/>
                <w:b/>
                <w:sz w:val="22"/>
                <w:szCs w:val="24"/>
                <w:lang w:val="es-ES"/>
              </w:rPr>
            </w:pPr>
            <w:r w:rsidRPr="00851411">
              <w:rPr>
                <w:rFonts w:cs="Arial"/>
                <w:b/>
                <w:sz w:val="22"/>
                <w:szCs w:val="24"/>
                <w:lang w:val="es-ES"/>
              </w:rPr>
              <w:t>11</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0</w:t>
            </w:r>
          </w:p>
        </w:tc>
      </w:tr>
      <w:tr w:rsidR="00C926F0" w:rsidRPr="00851411" w:rsidTr="00E55945">
        <w:tc>
          <w:tcPr>
            <w:tcW w:w="1591" w:type="dxa"/>
          </w:tcPr>
          <w:p w:rsidR="00C926F0" w:rsidRPr="00851411" w:rsidRDefault="008724D0" w:rsidP="00E0549F">
            <w:pPr>
              <w:spacing w:line="276" w:lineRule="auto"/>
              <w:rPr>
                <w:rFonts w:ascii="Arial" w:hAnsi="Arial" w:cs="Arial"/>
                <w:sz w:val="22"/>
              </w:rPr>
            </w:pPr>
            <w:r w:rsidRPr="00851411">
              <w:rPr>
                <w:rFonts w:ascii="Arial" w:hAnsi="Arial" w:cs="Arial"/>
                <w:sz w:val="22"/>
              </w:rPr>
              <w:t>K010</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17/02/2020</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19/02/2020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3</w:t>
            </w:r>
          </w:p>
        </w:tc>
        <w:tc>
          <w:tcPr>
            <w:tcW w:w="1591" w:type="dxa"/>
          </w:tcPr>
          <w:p w:rsidR="00C926F0" w:rsidRPr="00851411" w:rsidRDefault="008724D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8724D0" w:rsidP="00E0549F">
            <w:pPr>
              <w:pStyle w:val="Textoindependiente"/>
              <w:spacing w:line="276" w:lineRule="auto"/>
              <w:jc w:val="center"/>
              <w:rPr>
                <w:rFonts w:cs="Arial"/>
                <w:sz w:val="22"/>
                <w:szCs w:val="24"/>
                <w:lang w:val="es-ES"/>
              </w:rPr>
            </w:pPr>
            <w:r w:rsidRPr="00851411">
              <w:rPr>
                <w:rFonts w:cs="Arial"/>
                <w:sz w:val="22"/>
                <w:szCs w:val="24"/>
                <w:lang w:val="es-ES"/>
              </w:rPr>
              <w:t>0</w:t>
            </w:r>
          </w:p>
        </w:tc>
      </w:tr>
      <w:tr w:rsidR="00C926F0" w:rsidRPr="00851411" w:rsidTr="00E55945">
        <w:tc>
          <w:tcPr>
            <w:tcW w:w="1591" w:type="dxa"/>
          </w:tcPr>
          <w:p w:rsidR="00C926F0" w:rsidRPr="00851411" w:rsidRDefault="008724D0" w:rsidP="00E0549F">
            <w:pPr>
              <w:spacing w:line="276" w:lineRule="auto"/>
              <w:rPr>
                <w:rFonts w:ascii="Arial" w:hAnsi="Arial" w:cs="Arial"/>
                <w:sz w:val="22"/>
              </w:rPr>
            </w:pPr>
            <w:r w:rsidRPr="00851411">
              <w:rPr>
                <w:rFonts w:ascii="Arial" w:hAnsi="Arial" w:cs="Arial"/>
                <w:sz w:val="22"/>
              </w:rPr>
              <w:t>Q211</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20/02/2020</w:t>
            </w:r>
          </w:p>
        </w:tc>
        <w:tc>
          <w:tcPr>
            <w:tcW w:w="1591" w:type="dxa"/>
          </w:tcPr>
          <w:p w:rsidR="00C926F0" w:rsidRPr="00851411" w:rsidRDefault="008724D0" w:rsidP="00E0549F">
            <w:pPr>
              <w:pStyle w:val="Textoindependiente"/>
              <w:spacing w:line="276" w:lineRule="auto"/>
              <w:rPr>
                <w:rFonts w:cs="Arial"/>
                <w:sz w:val="22"/>
                <w:szCs w:val="24"/>
                <w:lang w:val="es-ES"/>
              </w:rPr>
            </w:pPr>
            <w:r w:rsidRPr="00851411">
              <w:rPr>
                <w:rFonts w:cs="Arial"/>
                <w:sz w:val="22"/>
                <w:szCs w:val="24"/>
                <w:lang w:val="es-ES"/>
              </w:rPr>
              <w:t>27/02/2020</w:t>
            </w:r>
          </w:p>
        </w:tc>
        <w:tc>
          <w:tcPr>
            <w:tcW w:w="1591" w:type="dxa"/>
          </w:tcPr>
          <w:p w:rsidR="00C926F0" w:rsidRPr="00851411" w:rsidRDefault="00C926F0" w:rsidP="00E0549F">
            <w:pPr>
              <w:pStyle w:val="Textoindependiente"/>
              <w:spacing w:line="276" w:lineRule="auto"/>
              <w:jc w:val="center"/>
              <w:rPr>
                <w:rFonts w:cs="Arial"/>
                <w:sz w:val="22"/>
                <w:szCs w:val="24"/>
                <w:lang w:val="es-ES"/>
              </w:rPr>
            </w:pPr>
            <w:r w:rsidRPr="00851411">
              <w:rPr>
                <w:rFonts w:cs="Arial"/>
                <w:sz w:val="22"/>
                <w:szCs w:val="24"/>
                <w:lang w:val="es-ES"/>
              </w:rPr>
              <w:t>8</w:t>
            </w:r>
          </w:p>
        </w:tc>
        <w:tc>
          <w:tcPr>
            <w:tcW w:w="1591" w:type="dxa"/>
          </w:tcPr>
          <w:p w:rsidR="00C926F0" w:rsidRPr="00851411" w:rsidRDefault="008724D0" w:rsidP="00E0549F">
            <w:pPr>
              <w:pStyle w:val="Textoindependiente"/>
              <w:spacing w:line="276" w:lineRule="auto"/>
              <w:jc w:val="center"/>
              <w:rPr>
                <w:rFonts w:cs="Arial"/>
                <w:sz w:val="22"/>
                <w:szCs w:val="24"/>
                <w:lang w:val="es-ES"/>
              </w:rPr>
            </w:pPr>
            <w:r w:rsidRPr="00851411">
              <w:rPr>
                <w:rFonts w:cs="Arial"/>
                <w:sz w:val="22"/>
                <w:szCs w:val="24"/>
                <w:lang w:val="es-ES"/>
              </w:rPr>
              <w:t>0</w:t>
            </w:r>
          </w:p>
        </w:tc>
        <w:tc>
          <w:tcPr>
            <w:tcW w:w="1591" w:type="dxa"/>
          </w:tcPr>
          <w:p w:rsidR="00C926F0" w:rsidRPr="00851411" w:rsidRDefault="008724D0" w:rsidP="00E0549F">
            <w:pPr>
              <w:pStyle w:val="Textoindependiente"/>
              <w:spacing w:line="276" w:lineRule="auto"/>
              <w:jc w:val="center"/>
              <w:rPr>
                <w:rFonts w:cs="Arial"/>
                <w:sz w:val="22"/>
                <w:szCs w:val="24"/>
                <w:lang w:val="es-ES"/>
              </w:rPr>
            </w:pPr>
            <w:r w:rsidRPr="00851411">
              <w:rPr>
                <w:rFonts w:cs="Arial"/>
                <w:sz w:val="22"/>
                <w:szCs w:val="24"/>
                <w:lang w:val="es-ES"/>
              </w:rPr>
              <w:t>0</w:t>
            </w:r>
          </w:p>
        </w:tc>
      </w:tr>
      <w:bookmarkEnd w:id="3"/>
    </w:tbl>
    <w:p w:rsidR="00F24D27" w:rsidRPr="00CB5080" w:rsidRDefault="00F24D27" w:rsidP="00CB5080">
      <w:pPr>
        <w:pStyle w:val="Textoindependiente"/>
        <w:spacing w:line="276" w:lineRule="auto"/>
        <w:rPr>
          <w:rFonts w:cs="Arial"/>
          <w:sz w:val="24"/>
          <w:szCs w:val="24"/>
          <w:lang w:val="es-ES"/>
        </w:rPr>
      </w:pPr>
    </w:p>
    <w:p w:rsidR="009D426E" w:rsidRPr="00CB5080" w:rsidRDefault="00524F37" w:rsidP="00CB5080">
      <w:pPr>
        <w:pStyle w:val="Textoindependiente"/>
        <w:spacing w:line="276" w:lineRule="auto"/>
        <w:rPr>
          <w:rFonts w:cs="Arial"/>
          <w:color w:val="333333"/>
          <w:sz w:val="24"/>
          <w:szCs w:val="24"/>
        </w:rPr>
      </w:pPr>
      <w:r w:rsidRPr="00CB5080">
        <w:rPr>
          <w:rFonts w:cs="Arial"/>
          <w:sz w:val="24"/>
          <w:szCs w:val="24"/>
        </w:rPr>
        <w:lastRenderedPageBreak/>
        <w:t xml:space="preserve">Ahora bien, antes definir la controversia planteada a la jurisdicción constitucional, </w:t>
      </w:r>
      <w:r w:rsidR="00072225" w:rsidRPr="00CB5080">
        <w:rPr>
          <w:rFonts w:cs="Arial"/>
          <w:sz w:val="24"/>
          <w:szCs w:val="24"/>
        </w:rPr>
        <w:t xml:space="preserve">es necesario precisar que si bien no existe norma que </w:t>
      </w:r>
      <w:bookmarkStart w:id="4" w:name="157"/>
      <w:r w:rsidR="00072225" w:rsidRPr="00CB5080">
        <w:rPr>
          <w:rFonts w:cs="Arial"/>
          <w:sz w:val="24"/>
          <w:szCs w:val="24"/>
        </w:rPr>
        <w:t xml:space="preserve">regule el tema relacionado con las prórrogas de las incapacidades, el Ministerio de Protección Social, en su concepto 324457 de 21 de octubre de 2011, preciso que por analogía, deben las EPS remitirse al artículo </w:t>
      </w:r>
      <w:bookmarkEnd w:id="4"/>
      <w:r w:rsidR="009D426E" w:rsidRPr="00CB5080">
        <w:rPr>
          <w:rFonts w:cs="Arial"/>
          <w:color w:val="333333"/>
          <w:sz w:val="24"/>
          <w:szCs w:val="24"/>
          <w:shd w:val="clear" w:color="auto" w:fill="FFFFFF"/>
        </w:rPr>
        <w:t xml:space="preserve">13 de la Resolución 2266 de 1998 del ISS, </w:t>
      </w:r>
      <w:r w:rsidR="00072225" w:rsidRPr="00CB5080">
        <w:rPr>
          <w:rFonts w:cs="Arial"/>
          <w:color w:val="333333"/>
          <w:sz w:val="24"/>
          <w:szCs w:val="24"/>
          <w:shd w:val="clear" w:color="auto" w:fill="FFFFFF"/>
        </w:rPr>
        <w:t xml:space="preserve"> que establece </w:t>
      </w:r>
      <w:r w:rsidR="00072225" w:rsidRPr="00CB5080">
        <w:rPr>
          <w:rStyle w:val="nfasis"/>
          <w:rFonts w:cs="Arial"/>
          <w:b/>
          <w:bCs/>
          <w:color w:val="333333"/>
          <w:sz w:val="24"/>
          <w:szCs w:val="24"/>
        </w:rPr>
        <w:t>“</w:t>
      </w:r>
      <w:r w:rsidR="009D426E" w:rsidRPr="00CB5080">
        <w:rPr>
          <w:rStyle w:val="nfasis"/>
          <w:rFonts w:cs="Arial"/>
          <w:b/>
          <w:bCs/>
          <w:color w:val="333333"/>
          <w:sz w:val="24"/>
          <w:szCs w:val="24"/>
        </w:rPr>
        <w:t>De la prórroga de la incapacidad.</w:t>
      </w:r>
      <w:r w:rsidR="009D426E" w:rsidRPr="00CB5080">
        <w:rPr>
          <w:rStyle w:val="nfasis"/>
          <w:rFonts w:cs="Arial"/>
          <w:color w:val="333333"/>
          <w:sz w:val="24"/>
          <w:szCs w:val="24"/>
        </w:rPr>
        <w:t> Se entiende por prórroga de incapacidad, la que se expide con posterioridad a la inicial, por la misma enfermedad o lesión, o por otra que tenga relación directa con ésta, así se trate de código diferente y siempre y cuando entre una y otra no haya una interrupción mayor a treinta días (30) días calendario.”</w:t>
      </w:r>
    </w:p>
    <w:p w:rsidR="00C10DF1" w:rsidRPr="00CB5080" w:rsidRDefault="00C10DF1" w:rsidP="00CB5080">
      <w:pPr>
        <w:spacing w:line="276" w:lineRule="auto"/>
        <w:jc w:val="both"/>
        <w:rPr>
          <w:rFonts w:ascii="Arial" w:hAnsi="Arial" w:cs="Arial"/>
        </w:rPr>
      </w:pPr>
    </w:p>
    <w:p w:rsidR="00C83CD1" w:rsidRPr="00CB5080" w:rsidRDefault="00072225" w:rsidP="00CB5080">
      <w:pPr>
        <w:spacing w:line="276" w:lineRule="auto"/>
        <w:jc w:val="both"/>
        <w:rPr>
          <w:rFonts w:ascii="Arial" w:hAnsi="Arial" w:cs="Arial"/>
        </w:rPr>
      </w:pPr>
      <w:r w:rsidRPr="00CB5080">
        <w:rPr>
          <w:rFonts w:ascii="Arial" w:hAnsi="Arial" w:cs="Arial"/>
        </w:rPr>
        <w:t>Definido lo anterior, se tiene entonces que el señor José Abelardo Naranjo Hernández fu</w:t>
      </w:r>
      <w:r w:rsidR="620293D7" w:rsidRPr="00CB5080">
        <w:rPr>
          <w:rFonts w:ascii="Arial" w:hAnsi="Arial" w:cs="Arial"/>
        </w:rPr>
        <w:t>e</w:t>
      </w:r>
      <w:r w:rsidRPr="00CB5080">
        <w:rPr>
          <w:rFonts w:ascii="Arial" w:hAnsi="Arial" w:cs="Arial"/>
        </w:rPr>
        <w:t xml:space="preserve"> incapacitado por espacio de 225 días por los conceptos </w:t>
      </w:r>
      <w:r w:rsidR="000F38DE" w:rsidRPr="00CB5080">
        <w:rPr>
          <w:rFonts w:ascii="Arial" w:hAnsi="Arial" w:cs="Arial"/>
        </w:rPr>
        <w:t>I</w:t>
      </w:r>
      <w:r w:rsidRPr="00CB5080">
        <w:rPr>
          <w:rFonts w:ascii="Arial" w:hAnsi="Arial" w:cs="Arial"/>
        </w:rPr>
        <w:t xml:space="preserve">679 y </w:t>
      </w:r>
      <w:r w:rsidR="000F38DE" w:rsidRPr="00CB5080">
        <w:rPr>
          <w:rFonts w:ascii="Arial" w:hAnsi="Arial" w:cs="Arial"/>
        </w:rPr>
        <w:t>I</w:t>
      </w:r>
      <w:r w:rsidRPr="00CB5080">
        <w:rPr>
          <w:rFonts w:ascii="Arial" w:hAnsi="Arial" w:cs="Arial"/>
        </w:rPr>
        <w:t>694, los cuales corresponden a los diagnósticos “</w:t>
      </w:r>
      <w:r w:rsidRPr="00851411">
        <w:rPr>
          <w:rFonts w:ascii="Arial" w:hAnsi="Arial" w:cs="Arial"/>
          <w:i/>
          <w:iCs/>
          <w:sz w:val="22"/>
        </w:rPr>
        <w:t xml:space="preserve">enfermedad </w:t>
      </w:r>
      <w:proofErr w:type="spellStart"/>
      <w:r w:rsidRPr="00851411">
        <w:rPr>
          <w:rFonts w:ascii="Arial" w:hAnsi="Arial" w:cs="Arial"/>
          <w:i/>
          <w:iCs/>
          <w:sz w:val="22"/>
        </w:rPr>
        <w:t>cerebrovacular</w:t>
      </w:r>
      <w:proofErr w:type="spellEnd"/>
      <w:r w:rsidRPr="00851411">
        <w:rPr>
          <w:rFonts w:ascii="Arial" w:hAnsi="Arial" w:cs="Arial"/>
          <w:i/>
          <w:iCs/>
          <w:sz w:val="22"/>
        </w:rPr>
        <w:t xml:space="preserve"> no especificada</w:t>
      </w:r>
      <w:r w:rsidRPr="00CB5080">
        <w:rPr>
          <w:rFonts w:ascii="Arial" w:hAnsi="Arial" w:cs="Arial"/>
          <w:i/>
          <w:iCs/>
        </w:rPr>
        <w:t>”</w:t>
      </w:r>
      <w:r w:rsidRPr="00CB5080">
        <w:rPr>
          <w:rFonts w:ascii="Arial" w:hAnsi="Arial" w:cs="Arial"/>
        </w:rPr>
        <w:t xml:space="preserve"> </w:t>
      </w:r>
      <w:r w:rsidR="5D6A8D41" w:rsidRPr="00CB5080">
        <w:rPr>
          <w:rFonts w:ascii="Arial" w:hAnsi="Arial" w:cs="Arial"/>
        </w:rPr>
        <w:t>y “</w:t>
      </w:r>
      <w:r w:rsidRPr="00851411">
        <w:rPr>
          <w:rFonts w:ascii="Arial" w:hAnsi="Arial" w:cs="Arial"/>
          <w:i/>
          <w:iCs/>
          <w:sz w:val="22"/>
        </w:rPr>
        <w:t>secuelas de enfermedad cerebrovascular no especificadas con hemorragia</w:t>
      </w:r>
      <w:r w:rsidRPr="00CB5080">
        <w:rPr>
          <w:rFonts w:ascii="Arial" w:hAnsi="Arial" w:cs="Arial"/>
        </w:rPr>
        <w:t>”</w:t>
      </w:r>
      <w:r w:rsidR="00C83CD1" w:rsidRPr="00CB5080">
        <w:rPr>
          <w:rFonts w:ascii="Arial" w:hAnsi="Arial" w:cs="Arial"/>
        </w:rPr>
        <w:t xml:space="preserve">, respectivamente, conforme se lee en el dictamen de pérdida de capacidad laboral aportado por Colpensiones al momento de impugnar la presente decisión. </w:t>
      </w:r>
      <w:r w:rsidR="00851411">
        <w:rPr>
          <w:rFonts w:ascii="Arial" w:hAnsi="Arial" w:cs="Arial"/>
        </w:rPr>
        <w:t>-</w:t>
      </w:r>
      <w:r w:rsidR="00C83CD1" w:rsidRPr="00CB5080">
        <w:rPr>
          <w:rFonts w:ascii="Arial" w:hAnsi="Arial" w:cs="Arial"/>
          <w:i/>
          <w:iCs/>
        </w:rPr>
        <w:t>Numeral 45 del cuaderno de primera instancia</w:t>
      </w:r>
      <w:r w:rsidR="00C83CD1" w:rsidRPr="00CB5080">
        <w:rPr>
          <w:rFonts w:ascii="Arial" w:hAnsi="Arial" w:cs="Arial"/>
        </w:rPr>
        <w:t>-.</w:t>
      </w:r>
    </w:p>
    <w:p w:rsidR="00C83CD1" w:rsidRPr="00CB5080" w:rsidRDefault="00C83CD1" w:rsidP="00CB5080">
      <w:pPr>
        <w:spacing w:line="276" w:lineRule="auto"/>
        <w:jc w:val="both"/>
        <w:rPr>
          <w:rFonts w:ascii="Arial" w:hAnsi="Arial" w:cs="Arial"/>
        </w:rPr>
      </w:pPr>
    </w:p>
    <w:p w:rsidR="00C83CD1" w:rsidRPr="00CB5080" w:rsidRDefault="00C83CD1" w:rsidP="00CB5080">
      <w:pPr>
        <w:spacing w:line="276" w:lineRule="auto"/>
        <w:jc w:val="both"/>
        <w:rPr>
          <w:rFonts w:ascii="Arial" w:hAnsi="Arial" w:cs="Arial"/>
        </w:rPr>
      </w:pPr>
      <w:r w:rsidRPr="00CB5080">
        <w:rPr>
          <w:rFonts w:ascii="Arial" w:hAnsi="Arial" w:cs="Arial"/>
        </w:rPr>
        <w:t xml:space="preserve">Ahora bien, ese mismo documento da cuenta que, en efecto, a Colpensiones le fue remitido el concepto desfavorable de rehabilitación, adiado 24 de septiembre de 2019, </w:t>
      </w:r>
      <w:r w:rsidR="000F38DE" w:rsidRPr="00CB5080">
        <w:rPr>
          <w:rFonts w:ascii="Arial" w:hAnsi="Arial" w:cs="Arial"/>
        </w:rPr>
        <w:t>enviado</w:t>
      </w:r>
      <w:r w:rsidRPr="00CB5080">
        <w:rPr>
          <w:rFonts w:ascii="Arial" w:hAnsi="Arial" w:cs="Arial"/>
        </w:rPr>
        <w:t xml:space="preserve"> a la entidad el 26 de igual mes y año, </w:t>
      </w:r>
      <w:r w:rsidR="000F38DE" w:rsidRPr="00CB5080">
        <w:rPr>
          <w:rFonts w:ascii="Arial" w:hAnsi="Arial" w:cs="Arial"/>
        </w:rPr>
        <w:t>tal como lo informó</w:t>
      </w:r>
      <w:r w:rsidRPr="00CB5080">
        <w:rPr>
          <w:rFonts w:ascii="Arial" w:hAnsi="Arial" w:cs="Arial"/>
        </w:rPr>
        <w:t xml:space="preserve"> la EPS accionada al juzgado de conocimiento.</w:t>
      </w:r>
    </w:p>
    <w:p w:rsidR="00C83CD1" w:rsidRPr="00CB5080" w:rsidRDefault="00C83CD1" w:rsidP="00CB5080">
      <w:pPr>
        <w:spacing w:line="276" w:lineRule="auto"/>
        <w:jc w:val="both"/>
        <w:rPr>
          <w:rFonts w:ascii="Arial" w:hAnsi="Arial" w:cs="Arial"/>
        </w:rPr>
      </w:pPr>
    </w:p>
    <w:p w:rsidR="00F00DCC" w:rsidRPr="00CB5080" w:rsidRDefault="00C83CD1" w:rsidP="00CB5080">
      <w:pPr>
        <w:spacing w:line="276" w:lineRule="auto"/>
        <w:jc w:val="both"/>
        <w:rPr>
          <w:rFonts w:ascii="Arial" w:hAnsi="Arial" w:cs="Arial"/>
        </w:rPr>
      </w:pPr>
      <w:r w:rsidRPr="00CB5080">
        <w:rPr>
          <w:rFonts w:ascii="Arial" w:hAnsi="Arial" w:cs="Arial"/>
        </w:rPr>
        <w:t xml:space="preserve">Todo lo anterior era necesario para señalar que, en efecto, la Nueva EPS cumplió con la obligación </w:t>
      </w:r>
      <w:r w:rsidR="00216B4D" w:rsidRPr="00CB5080">
        <w:rPr>
          <w:rFonts w:ascii="Arial" w:hAnsi="Arial" w:cs="Arial"/>
        </w:rPr>
        <w:t>de emitir y remitir a la AFP correspondiente el concepto de rehabilitación entre el día 120 de incapacidad y el 150, en este caso el d</w:t>
      </w:r>
      <w:r w:rsidR="00DC7CE0" w:rsidRPr="00CB5080">
        <w:rPr>
          <w:rFonts w:ascii="Arial" w:hAnsi="Arial" w:cs="Arial"/>
        </w:rPr>
        <w:t xml:space="preserve">ía 122 de incapacidad del actor, quedando todavía a su cargo el pago del subsidio por enfermedad hasta el día 180, </w:t>
      </w:r>
      <w:r w:rsidR="00541FDD" w:rsidRPr="00CB5080">
        <w:rPr>
          <w:rFonts w:ascii="Arial" w:hAnsi="Arial" w:cs="Arial"/>
        </w:rPr>
        <w:t xml:space="preserve">compromiso que no ha sido satisfecho en su totalidad, pues como </w:t>
      </w:r>
      <w:r w:rsidR="00DC7CE0" w:rsidRPr="00CB5080">
        <w:rPr>
          <w:rFonts w:ascii="Arial" w:hAnsi="Arial" w:cs="Arial"/>
        </w:rPr>
        <w:t>viene de verse solo pagó hasta el día 139 quedando pendiente por sufragar 41 d</w:t>
      </w:r>
      <w:r w:rsidR="00A62FC4" w:rsidRPr="00CB5080">
        <w:rPr>
          <w:rFonts w:ascii="Arial" w:hAnsi="Arial" w:cs="Arial"/>
        </w:rPr>
        <w:t xml:space="preserve">ías, contabilizados </w:t>
      </w:r>
      <w:r w:rsidR="00F00DCC" w:rsidRPr="00CB5080">
        <w:rPr>
          <w:rFonts w:ascii="Arial" w:hAnsi="Arial" w:cs="Arial"/>
        </w:rPr>
        <w:t>de los ciclos posteriores así:</w:t>
      </w:r>
    </w:p>
    <w:p w:rsidR="00F00DCC" w:rsidRPr="00CB5080" w:rsidRDefault="00F00DCC" w:rsidP="00CB5080">
      <w:pPr>
        <w:spacing w:line="276" w:lineRule="auto"/>
        <w:jc w:val="both"/>
        <w:rPr>
          <w:rFonts w:ascii="Arial" w:hAnsi="Arial" w:cs="Arial"/>
        </w:rPr>
      </w:pPr>
    </w:p>
    <w:tbl>
      <w:tblPr>
        <w:tblStyle w:val="Tablaconcuadrcula"/>
        <w:tblW w:w="0" w:type="auto"/>
        <w:tblInd w:w="959" w:type="dxa"/>
        <w:tblLook w:val="04A0" w:firstRow="1" w:lastRow="0" w:firstColumn="1" w:lastColumn="0" w:noHBand="0" w:noVBand="1"/>
      </w:tblPr>
      <w:tblGrid>
        <w:gridCol w:w="1559"/>
        <w:gridCol w:w="1559"/>
        <w:gridCol w:w="3130"/>
      </w:tblGrid>
      <w:tr w:rsidR="00F00DCC" w:rsidRPr="00CB5080" w:rsidTr="00851411">
        <w:tc>
          <w:tcPr>
            <w:tcW w:w="1559" w:type="dxa"/>
          </w:tcPr>
          <w:p w:rsidR="00F00DCC" w:rsidRPr="00851411" w:rsidRDefault="00F00DCC" w:rsidP="00851411">
            <w:pPr>
              <w:pStyle w:val="Textoindependiente"/>
              <w:spacing w:line="240" w:lineRule="auto"/>
              <w:rPr>
                <w:rFonts w:cs="Arial"/>
                <w:sz w:val="22"/>
                <w:szCs w:val="24"/>
                <w:lang w:val="es-ES"/>
              </w:rPr>
            </w:pPr>
            <w:r w:rsidRPr="00851411">
              <w:rPr>
                <w:rFonts w:cs="Arial"/>
                <w:sz w:val="22"/>
                <w:szCs w:val="24"/>
                <w:lang w:val="es-ES"/>
              </w:rPr>
              <w:t>22/10/2019</w:t>
            </w:r>
          </w:p>
        </w:tc>
        <w:tc>
          <w:tcPr>
            <w:tcW w:w="1559" w:type="dxa"/>
          </w:tcPr>
          <w:p w:rsidR="00F00DCC" w:rsidRPr="00851411" w:rsidRDefault="00F00DCC" w:rsidP="00851411">
            <w:pPr>
              <w:pStyle w:val="Textoindependiente"/>
              <w:spacing w:line="240" w:lineRule="auto"/>
              <w:rPr>
                <w:rFonts w:cs="Arial"/>
                <w:sz w:val="22"/>
                <w:szCs w:val="24"/>
                <w:lang w:val="es-ES"/>
              </w:rPr>
            </w:pPr>
            <w:r w:rsidRPr="00851411">
              <w:rPr>
                <w:rFonts w:cs="Arial"/>
                <w:sz w:val="22"/>
                <w:szCs w:val="24"/>
                <w:lang w:val="es-ES"/>
              </w:rPr>
              <w:t>05/11/2019</w:t>
            </w:r>
          </w:p>
        </w:tc>
        <w:tc>
          <w:tcPr>
            <w:tcW w:w="3130" w:type="dxa"/>
          </w:tcPr>
          <w:p w:rsidR="00F00DCC" w:rsidRPr="00851411" w:rsidRDefault="00F00DCC" w:rsidP="00851411">
            <w:pPr>
              <w:pStyle w:val="Textoindependiente"/>
              <w:spacing w:line="240" w:lineRule="auto"/>
              <w:rPr>
                <w:rFonts w:cs="Arial"/>
                <w:sz w:val="22"/>
                <w:szCs w:val="24"/>
                <w:lang w:val="es-ES"/>
              </w:rPr>
            </w:pPr>
            <w:r w:rsidRPr="00851411">
              <w:rPr>
                <w:rFonts w:cs="Arial"/>
                <w:sz w:val="22"/>
                <w:szCs w:val="24"/>
                <w:lang w:val="es-ES"/>
              </w:rPr>
              <w:t>15 días</w:t>
            </w:r>
          </w:p>
        </w:tc>
      </w:tr>
      <w:tr w:rsidR="00F00DCC" w:rsidRPr="00CB5080" w:rsidTr="00851411">
        <w:tc>
          <w:tcPr>
            <w:tcW w:w="1559" w:type="dxa"/>
          </w:tcPr>
          <w:p w:rsidR="00F00DCC" w:rsidRPr="00851411" w:rsidRDefault="00F00DCC" w:rsidP="00851411">
            <w:pPr>
              <w:pStyle w:val="Textoindependiente"/>
              <w:spacing w:line="240" w:lineRule="auto"/>
              <w:rPr>
                <w:rFonts w:cs="Arial"/>
                <w:sz w:val="22"/>
                <w:szCs w:val="24"/>
                <w:lang w:val="es-ES"/>
              </w:rPr>
            </w:pPr>
            <w:r w:rsidRPr="00851411">
              <w:rPr>
                <w:rFonts w:cs="Arial"/>
                <w:sz w:val="22"/>
                <w:szCs w:val="24"/>
                <w:lang w:val="es-ES"/>
              </w:rPr>
              <w:t>22/11/2019</w:t>
            </w:r>
          </w:p>
        </w:tc>
        <w:tc>
          <w:tcPr>
            <w:tcW w:w="1559" w:type="dxa"/>
          </w:tcPr>
          <w:p w:rsidR="00F00DCC" w:rsidRPr="00851411" w:rsidRDefault="00F00DCC" w:rsidP="00851411">
            <w:pPr>
              <w:pStyle w:val="Textoindependiente"/>
              <w:spacing w:line="240" w:lineRule="auto"/>
              <w:rPr>
                <w:rFonts w:cs="Arial"/>
                <w:sz w:val="22"/>
                <w:szCs w:val="24"/>
                <w:lang w:val="es-ES"/>
              </w:rPr>
            </w:pPr>
            <w:r w:rsidRPr="00851411">
              <w:rPr>
                <w:rFonts w:cs="Arial"/>
                <w:sz w:val="22"/>
                <w:szCs w:val="24"/>
                <w:lang w:val="es-ES"/>
              </w:rPr>
              <w:t>21/12/2019</w:t>
            </w:r>
          </w:p>
        </w:tc>
        <w:tc>
          <w:tcPr>
            <w:tcW w:w="3130" w:type="dxa"/>
          </w:tcPr>
          <w:p w:rsidR="00F00DCC" w:rsidRPr="00851411" w:rsidRDefault="00F00DCC" w:rsidP="00851411">
            <w:pPr>
              <w:pStyle w:val="Textoindependiente"/>
              <w:spacing w:line="240" w:lineRule="auto"/>
              <w:rPr>
                <w:rFonts w:cs="Arial"/>
                <w:sz w:val="22"/>
                <w:szCs w:val="24"/>
                <w:lang w:val="es-ES"/>
              </w:rPr>
            </w:pPr>
            <w:r w:rsidRPr="00851411">
              <w:rPr>
                <w:rFonts w:cs="Arial"/>
                <w:sz w:val="22"/>
                <w:szCs w:val="24"/>
                <w:lang w:val="es-ES"/>
              </w:rPr>
              <w:t>26 días de los 30 otorgados</w:t>
            </w:r>
          </w:p>
        </w:tc>
      </w:tr>
    </w:tbl>
    <w:p w:rsidR="00A62FC4" w:rsidRPr="00CB5080" w:rsidRDefault="00A62FC4" w:rsidP="00CB5080">
      <w:pPr>
        <w:spacing w:line="276" w:lineRule="auto"/>
        <w:jc w:val="both"/>
        <w:rPr>
          <w:rFonts w:ascii="Arial" w:hAnsi="Arial" w:cs="Arial"/>
        </w:rPr>
      </w:pPr>
    </w:p>
    <w:p w:rsidR="000F38DE" w:rsidRPr="00CB5080" w:rsidRDefault="000F38DE" w:rsidP="00CB5080">
      <w:pPr>
        <w:spacing w:line="276" w:lineRule="auto"/>
        <w:jc w:val="both"/>
        <w:rPr>
          <w:rFonts w:ascii="Arial" w:hAnsi="Arial" w:cs="Arial"/>
        </w:rPr>
      </w:pPr>
      <w:r w:rsidRPr="00CB5080">
        <w:rPr>
          <w:rFonts w:ascii="Arial" w:hAnsi="Arial" w:cs="Arial"/>
        </w:rPr>
        <w:t xml:space="preserve">Lo anterior </w:t>
      </w:r>
      <w:r w:rsidR="6B8BB391" w:rsidRPr="00CB5080">
        <w:rPr>
          <w:rFonts w:ascii="Arial" w:hAnsi="Arial" w:cs="Arial"/>
        </w:rPr>
        <w:t>deja en evidencia</w:t>
      </w:r>
      <w:r w:rsidRPr="00CB5080">
        <w:rPr>
          <w:rFonts w:ascii="Arial" w:hAnsi="Arial" w:cs="Arial"/>
        </w:rPr>
        <w:t xml:space="preserve"> la vulneración del derecho fundamental al mínimo vital del </w:t>
      </w:r>
      <w:proofErr w:type="spellStart"/>
      <w:r w:rsidRPr="00CB5080">
        <w:rPr>
          <w:rFonts w:ascii="Arial" w:hAnsi="Arial" w:cs="Arial"/>
        </w:rPr>
        <w:t>tutelante</w:t>
      </w:r>
      <w:proofErr w:type="spellEnd"/>
      <w:r w:rsidRPr="00CB5080">
        <w:rPr>
          <w:rFonts w:ascii="Arial" w:hAnsi="Arial" w:cs="Arial"/>
        </w:rPr>
        <w:t>, por parte de la Nueva EPS, pues ha puesto en riesgo su subsistencia, toda vez que deriva sus ingresos del trabajo como agricultor, mismo que no ha podido desarrollar en atención a su condición de salud.</w:t>
      </w:r>
    </w:p>
    <w:p w:rsidR="000F38DE" w:rsidRPr="00CB5080" w:rsidRDefault="000F38DE" w:rsidP="00CB5080">
      <w:pPr>
        <w:spacing w:line="276" w:lineRule="auto"/>
        <w:jc w:val="both"/>
        <w:rPr>
          <w:rFonts w:ascii="Arial" w:hAnsi="Arial" w:cs="Arial"/>
        </w:rPr>
      </w:pPr>
    </w:p>
    <w:p w:rsidR="00216B4D" w:rsidRPr="00CB5080" w:rsidRDefault="000F38DE" w:rsidP="00CB5080">
      <w:pPr>
        <w:spacing w:line="276" w:lineRule="auto"/>
        <w:jc w:val="both"/>
        <w:rPr>
          <w:rFonts w:ascii="Arial" w:hAnsi="Arial" w:cs="Arial"/>
        </w:rPr>
      </w:pPr>
      <w:r w:rsidRPr="00CB5080">
        <w:rPr>
          <w:rFonts w:ascii="Arial" w:hAnsi="Arial" w:cs="Arial"/>
        </w:rPr>
        <w:t xml:space="preserve">Ahora bien, conforme la jurisprudencia antes señalada y la normatividad vertida en esta, </w:t>
      </w:r>
      <w:r w:rsidR="00AA6B8A" w:rsidRPr="00CB5080">
        <w:rPr>
          <w:rFonts w:ascii="Arial" w:hAnsi="Arial" w:cs="Arial"/>
        </w:rPr>
        <w:t>es claro</w:t>
      </w:r>
      <w:r w:rsidRPr="00CB5080">
        <w:rPr>
          <w:rFonts w:ascii="Arial" w:hAnsi="Arial" w:cs="Arial"/>
        </w:rPr>
        <w:t xml:space="preserve"> entonces </w:t>
      </w:r>
      <w:r w:rsidR="00F00DCC" w:rsidRPr="00CB5080">
        <w:rPr>
          <w:rFonts w:ascii="Arial" w:hAnsi="Arial" w:cs="Arial"/>
        </w:rPr>
        <w:t xml:space="preserve">que a Colpensiones </w:t>
      </w:r>
      <w:r w:rsidR="178107B9" w:rsidRPr="00CB5080">
        <w:rPr>
          <w:rFonts w:ascii="Arial" w:hAnsi="Arial" w:cs="Arial"/>
        </w:rPr>
        <w:t>le corresponde</w:t>
      </w:r>
      <w:r w:rsidR="00F00DCC" w:rsidRPr="00CB5080">
        <w:rPr>
          <w:rFonts w:ascii="Arial" w:hAnsi="Arial" w:cs="Arial"/>
        </w:rPr>
        <w:t xml:space="preserve"> e</w:t>
      </w:r>
      <w:r w:rsidR="4EE4A86F" w:rsidRPr="00CB5080">
        <w:rPr>
          <w:rFonts w:ascii="Arial" w:hAnsi="Arial" w:cs="Arial"/>
        </w:rPr>
        <w:t>l</w:t>
      </w:r>
      <w:r w:rsidR="00F00DCC" w:rsidRPr="00CB5080">
        <w:rPr>
          <w:rFonts w:ascii="Arial" w:hAnsi="Arial" w:cs="Arial"/>
        </w:rPr>
        <w:t xml:space="preserve"> pago de las incapacidades otorgadas a partir del 18 de diciembre de 2019, hasta la fecha en que se produjo el dictamen de pérdida de capacidad laboral el día 23 de noviembre de 2020 </w:t>
      </w:r>
      <w:r w:rsidR="00851411">
        <w:rPr>
          <w:rFonts w:ascii="Arial" w:hAnsi="Arial" w:cs="Arial"/>
        </w:rPr>
        <w:t>-</w:t>
      </w:r>
      <w:r w:rsidR="00F00DCC" w:rsidRPr="00CB5080">
        <w:rPr>
          <w:rFonts w:ascii="Arial" w:hAnsi="Arial" w:cs="Arial"/>
          <w:i/>
          <w:iCs/>
        </w:rPr>
        <w:t>numeral 42 del cuaderno de primera instancia del expediente digital</w:t>
      </w:r>
      <w:r w:rsidR="00F00DCC" w:rsidRPr="00CB5080">
        <w:rPr>
          <w:rFonts w:ascii="Arial" w:hAnsi="Arial" w:cs="Arial"/>
        </w:rPr>
        <w:t>-.</w:t>
      </w:r>
    </w:p>
    <w:p w:rsidR="4862B090" w:rsidRPr="00CB5080" w:rsidRDefault="4862B090" w:rsidP="00CB5080">
      <w:pPr>
        <w:spacing w:line="276" w:lineRule="auto"/>
        <w:jc w:val="both"/>
        <w:rPr>
          <w:rFonts w:ascii="Arial" w:hAnsi="Arial" w:cs="Arial"/>
        </w:rPr>
      </w:pPr>
    </w:p>
    <w:p w:rsidR="00D8773D" w:rsidRPr="00CB5080" w:rsidRDefault="000C45EB" w:rsidP="00CB5080">
      <w:pPr>
        <w:spacing w:line="276" w:lineRule="auto"/>
        <w:jc w:val="both"/>
        <w:rPr>
          <w:rFonts w:ascii="Arial" w:hAnsi="Arial" w:cs="Arial"/>
        </w:rPr>
      </w:pPr>
      <w:r w:rsidRPr="00CB5080">
        <w:rPr>
          <w:rFonts w:ascii="Arial" w:hAnsi="Arial" w:cs="Arial"/>
        </w:rPr>
        <w:t xml:space="preserve">No obstante lo anterior, se evidencia que ante el fondo de pensiones </w:t>
      </w:r>
      <w:r w:rsidR="00A7642F" w:rsidRPr="00CB5080">
        <w:rPr>
          <w:rFonts w:ascii="Arial" w:hAnsi="Arial" w:cs="Arial"/>
        </w:rPr>
        <w:t xml:space="preserve">no se ha hecho reclamación alguna por parte del actor, es más ni siquiera la Nueva EPS tiene en sus reportes las incapacidades aportadas con el líbelo inicial, </w:t>
      </w:r>
      <w:r w:rsidR="00DA2B21" w:rsidRPr="00CB5080">
        <w:rPr>
          <w:rFonts w:ascii="Arial" w:hAnsi="Arial" w:cs="Arial"/>
        </w:rPr>
        <w:t>-</w:t>
      </w:r>
      <w:r w:rsidR="00DA2B21" w:rsidRPr="00CB5080">
        <w:rPr>
          <w:rFonts w:ascii="Arial" w:hAnsi="Arial" w:cs="Arial"/>
          <w:i/>
        </w:rPr>
        <w:t xml:space="preserve">del 3 al 17 </w:t>
      </w:r>
      <w:r w:rsidR="00DA2B21" w:rsidRPr="00CB5080">
        <w:rPr>
          <w:rFonts w:ascii="Arial" w:hAnsi="Arial" w:cs="Arial"/>
          <w:i/>
        </w:rPr>
        <w:lastRenderedPageBreak/>
        <w:t>de septiembre y del 4 al 17 de noviembre de 2020 por el diagnóstico I694</w:t>
      </w:r>
      <w:r w:rsidR="009E4C85" w:rsidRPr="00CB5080">
        <w:rPr>
          <w:rFonts w:ascii="Arial" w:hAnsi="Arial" w:cs="Arial"/>
        </w:rPr>
        <w:t xml:space="preserve">- </w:t>
      </w:r>
      <w:r w:rsidR="00A7642F" w:rsidRPr="00CB5080">
        <w:rPr>
          <w:rFonts w:ascii="Arial" w:hAnsi="Arial" w:cs="Arial"/>
        </w:rPr>
        <w:t xml:space="preserve">lo cual </w:t>
      </w:r>
      <w:r w:rsidR="00D8773D" w:rsidRPr="00CB5080">
        <w:rPr>
          <w:rFonts w:ascii="Arial" w:hAnsi="Arial" w:cs="Arial"/>
        </w:rPr>
        <w:t>pone de manifiesto que en realidad Colpensiones no ha cometido ning</w:t>
      </w:r>
      <w:r w:rsidR="001237FE" w:rsidRPr="00CB5080">
        <w:rPr>
          <w:rFonts w:ascii="Arial" w:hAnsi="Arial" w:cs="Arial"/>
        </w:rPr>
        <w:t xml:space="preserve">ún agravio </w:t>
      </w:r>
      <w:r w:rsidR="00AA6B8A" w:rsidRPr="00CB5080">
        <w:rPr>
          <w:rFonts w:ascii="Arial" w:hAnsi="Arial" w:cs="Arial"/>
        </w:rPr>
        <w:t xml:space="preserve">en contra del derecho fundamental al mínimo vital del promotor de la </w:t>
      </w:r>
      <w:proofErr w:type="spellStart"/>
      <w:r w:rsidR="00AA6B8A" w:rsidRPr="00CB5080">
        <w:rPr>
          <w:rFonts w:ascii="Arial" w:hAnsi="Arial" w:cs="Arial"/>
        </w:rPr>
        <w:t>litis</w:t>
      </w:r>
      <w:proofErr w:type="spellEnd"/>
      <w:r w:rsidR="001237FE" w:rsidRPr="00CB5080">
        <w:rPr>
          <w:rFonts w:ascii="Arial" w:hAnsi="Arial" w:cs="Arial"/>
        </w:rPr>
        <w:t>.</w:t>
      </w:r>
      <w:r w:rsidR="00A7642F" w:rsidRPr="00CB5080">
        <w:rPr>
          <w:rFonts w:ascii="Arial" w:hAnsi="Arial" w:cs="Arial"/>
        </w:rPr>
        <w:t xml:space="preserve"> </w:t>
      </w:r>
    </w:p>
    <w:p w:rsidR="00D8773D" w:rsidRPr="00CB5080" w:rsidRDefault="00D8773D" w:rsidP="00CB5080">
      <w:pPr>
        <w:spacing w:line="276" w:lineRule="auto"/>
        <w:jc w:val="both"/>
        <w:rPr>
          <w:rFonts w:ascii="Arial" w:hAnsi="Arial" w:cs="Arial"/>
        </w:rPr>
      </w:pPr>
    </w:p>
    <w:p w:rsidR="00E921C7" w:rsidRPr="00CB5080" w:rsidRDefault="001237FE" w:rsidP="00CB5080">
      <w:pPr>
        <w:spacing w:line="276" w:lineRule="auto"/>
        <w:jc w:val="both"/>
        <w:rPr>
          <w:rFonts w:ascii="Arial" w:hAnsi="Arial" w:cs="Arial"/>
        </w:rPr>
      </w:pPr>
      <w:r w:rsidRPr="00CB5080">
        <w:rPr>
          <w:rFonts w:ascii="Arial" w:hAnsi="Arial" w:cs="Arial"/>
        </w:rPr>
        <w:t xml:space="preserve">Lo anterior impide que </w:t>
      </w:r>
      <w:r w:rsidR="00A7642F" w:rsidRPr="00CB5080">
        <w:rPr>
          <w:rFonts w:ascii="Arial" w:hAnsi="Arial" w:cs="Arial"/>
        </w:rPr>
        <w:t xml:space="preserve">la Sala </w:t>
      </w:r>
      <w:r w:rsidRPr="00CB5080">
        <w:rPr>
          <w:rFonts w:ascii="Arial" w:hAnsi="Arial" w:cs="Arial"/>
        </w:rPr>
        <w:t xml:space="preserve">proceda a </w:t>
      </w:r>
      <w:r w:rsidR="00A7642F" w:rsidRPr="00CB5080">
        <w:rPr>
          <w:rFonts w:ascii="Arial" w:hAnsi="Arial" w:cs="Arial"/>
        </w:rPr>
        <w:t xml:space="preserve">ordenar a Colpensiones el pago </w:t>
      </w:r>
      <w:r w:rsidR="0056750E" w:rsidRPr="00CB5080">
        <w:rPr>
          <w:rFonts w:ascii="Arial" w:hAnsi="Arial" w:cs="Arial"/>
        </w:rPr>
        <w:t>pretendido</w:t>
      </w:r>
      <w:r w:rsidR="00477552" w:rsidRPr="00CB5080">
        <w:rPr>
          <w:rFonts w:ascii="Arial" w:hAnsi="Arial" w:cs="Arial"/>
        </w:rPr>
        <w:t xml:space="preserve">, </w:t>
      </w:r>
      <w:r w:rsidR="3F331F4C" w:rsidRPr="00CB5080">
        <w:rPr>
          <w:rFonts w:ascii="Arial" w:hAnsi="Arial" w:cs="Arial"/>
        </w:rPr>
        <w:t>pues corresponde</w:t>
      </w:r>
      <w:r w:rsidR="00477552" w:rsidRPr="00CB5080">
        <w:rPr>
          <w:rFonts w:ascii="Arial" w:hAnsi="Arial" w:cs="Arial"/>
        </w:rPr>
        <w:t xml:space="preserve"> a</w:t>
      </w:r>
      <w:r w:rsidR="19A0C031" w:rsidRPr="00CB5080">
        <w:rPr>
          <w:rFonts w:ascii="Arial" w:hAnsi="Arial" w:cs="Arial"/>
        </w:rPr>
        <w:t>l</w:t>
      </w:r>
      <w:r w:rsidR="00477552" w:rsidRPr="00CB5080">
        <w:rPr>
          <w:rFonts w:ascii="Arial" w:hAnsi="Arial" w:cs="Arial"/>
        </w:rPr>
        <w:t xml:space="preserve"> actor </w:t>
      </w:r>
      <w:r w:rsidR="03BA68C0" w:rsidRPr="00CB5080">
        <w:rPr>
          <w:rFonts w:ascii="Arial" w:hAnsi="Arial" w:cs="Arial"/>
        </w:rPr>
        <w:t>hacer la reclamación respectiva</w:t>
      </w:r>
      <w:r w:rsidR="00477552" w:rsidRPr="00CB5080">
        <w:rPr>
          <w:rFonts w:ascii="Arial" w:hAnsi="Arial" w:cs="Arial"/>
        </w:rPr>
        <w:t xml:space="preserve"> si así lo </w:t>
      </w:r>
      <w:r w:rsidR="1911F64D" w:rsidRPr="00CB5080">
        <w:rPr>
          <w:rFonts w:ascii="Arial" w:hAnsi="Arial" w:cs="Arial"/>
        </w:rPr>
        <w:t>considera prudente</w:t>
      </w:r>
      <w:r w:rsidR="00477552" w:rsidRPr="00CB5080">
        <w:rPr>
          <w:rFonts w:ascii="Arial" w:hAnsi="Arial" w:cs="Arial"/>
        </w:rPr>
        <w:t xml:space="preserve">, </w:t>
      </w:r>
      <w:r w:rsidR="7E14CDE3" w:rsidRPr="00CB5080">
        <w:rPr>
          <w:rFonts w:ascii="Arial" w:hAnsi="Arial" w:cs="Arial"/>
        </w:rPr>
        <w:t>teniendo en cuenta que su calificación</w:t>
      </w:r>
      <w:r w:rsidR="00477552" w:rsidRPr="00CB5080">
        <w:rPr>
          <w:rFonts w:ascii="Arial" w:hAnsi="Arial" w:cs="Arial"/>
        </w:rPr>
        <w:t xml:space="preserve"> arrojó como resultado una pérdida de capacidad laboral igual a </w:t>
      </w:r>
      <w:r w:rsidR="002D145C" w:rsidRPr="00CB5080">
        <w:rPr>
          <w:rFonts w:ascii="Arial" w:hAnsi="Arial" w:cs="Arial"/>
        </w:rPr>
        <w:t xml:space="preserve">58.89%, con fecha de estructuración 12 de julio de 2018, </w:t>
      </w:r>
      <w:r w:rsidR="3F24E632" w:rsidRPr="00CB5080">
        <w:rPr>
          <w:rFonts w:ascii="Arial" w:hAnsi="Arial" w:cs="Arial"/>
        </w:rPr>
        <w:t xml:space="preserve">por lo que, </w:t>
      </w:r>
      <w:r w:rsidR="002D145C" w:rsidRPr="00CB5080">
        <w:rPr>
          <w:rFonts w:ascii="Arial" w:hAnsi="Arial" w:cs="Arial"/>
        </w:rPr>
        <w:t xml:space="preserve">en caso de </w:t>
      </w:r>
      <w:r w:rsidR="42CAC09F" w:rsidRPr="00CB5080">
        <w:rPr>
          <w:rFonts w:ascii="Arial" w:hAnsi="Arial" w:cs="Arial"/>
        </w:rPr>
        <w:t xml:space="preserve">contar con los requisitos necesarios para acceder a la pensión de invalidez y esta </w:t>
      </w:r>
      <w:r w:rsidR="002D145C" w:rsidRPr="00CB5080">
        <w:rPr>
          <w:rFonts w:ascii="Arial" w:hAnsi="Arial" w:cs="Arial"/>
        </w:rPr>
        <w:t>serle reconocida, el pago de incapacidades re</w:t>
      </w:r>
      <w:r w:rsidR="51D4773C" w:rsidRPr="00CB5080">
        <w:rPr>
          <w:rFonts w:ascii="Arial" w:hAnsi="Arial" w:cs="Arial"/>
        </w:rPr>
        <w:t>ñiría</w:t>
      </w:r>
      <w:r w:rsidR="002D145C" w:rsidRPr="00CB5080">
        <w:rPr>
          <w:rFonts w:ascii="Arial" w:hAnsi="Arial" w:cs="Arial"/>
        </w:rPr>
        <w:t xml:space="preserve"> con el </w:t>
      </w:r>
      <w:r w:rsidR="5880D518" w:rsidRPr="00CB5080">
        <w:rPr>
          <w:rFonts w:ascii="Arial" w:hAnsi="Arial" w:cs="Arial"/>
        </w:rPr>
        <w:t>c</w:t>
      </w:r>
      <w:r w:rsidR="00D8773D" w:rsidRPr="00CB5080">
        <w:rPr>
          <w:rFonts w:ascii="Arial" w:hAnsi="Arial" w:cs="Arial"/>
        </w:rPr>
        <w:t>o</w:t>
      </w:r>
      <w:r w:rsidR="5880D518" w:rsidRPr="00CB5080">
        <w:rPr>
          <w:rFonts w:ascii="Arial" w:hAnsi="Arial" w:cs="Arial"/>
        </w:rPr>
        <w:t>bro</w:t>
      </w:r>
      <w:r w:rsidR="00D8773D" w:rsidRPr="00CB5080">
        <w:rPr>
          <w:rFonts w:ascii="Arial" w:hAnsi="Arial" w:cs="Arial"/>
        </w:rPr>
        <w:t xml:space="preserve"> de las mesadas pensionales, conforme lo dispone el artículo 10 del Acuerdo 049 de 1990, aplicable ante la ausencia de normatividad que regule el asunto en la Ley 100 de 1993.</w:t>
      </w:r>
    </w:p>
    <w:p w:rsidR="000F38DE" w:rsidRPr="00CB5080" w:rsidRDefault="000F38DE" w:rsidP="00CB5080">
      <w:pPr>
        <w:spacing w:line="276" w:lineRule="auto"/>
        <w:jc w:val="both"/>
        <w:rPr>
          <w:rFonts w:ascii="Arial" w:hAnsi="Arial" w:cs="Arial"/>
        </w:rPr>
      </w:pPr>
    </w:p>
    <w:p w:rsidR="00F00DCC" w:rsidRPr="00CB5080" w:rsidRDefault="005C68FC" w:rsidP="00CB5080">
      <w:pPr>
        <w:spacing w:line="276" w:lineRule="auto"/>
        <w:jc w:val="both"/>
        <w:rPr>
          <w:rFonts w:ascii="Arial" w:hAnsi="Arial" w:cs="Arial"/>
        </w:rPr>
      </w:pPr>
      <w:r w:rsidRPr="00CB5080">
        <w:rPr>
          <w:rFonts w:ascii="Arial" w:hAnsi="Arial" w:cs="Arial"/>
        </w:rPr>
        <w:t xml:space="preserve">De acuerdo con lo anterior, </w:t>
      </w:r>
      <w:r w:rsidR="00D8773D" w:rsidRPr="00CB5080">
        <w:rPr>
          <w:rFonts w:ascii="Arial" w:hAnsi="Arial" w:cs="Arial"/>
        </w:rPr>
        <w:t xml:space="preserve">se procederá a modificar los ordinales </w:t>
      </w:r>
      <w:r w:rsidR="001237FE" w:rsidRPr="00CB5080">
        <w:rPr>
          <w:rFonts w:ascii="Arial" w:hAnsi="Arial" w:cs="Arial"/>
        </w:rPr>
        <w:t xml:space="preserve">primero, segundo de la sentencia impugnada para precisar que la vulneración del derecho fundamental del actor proviene de la omisión de la Nueva EPS de cancelar la totalidad de las incapacidades prescritas al señor Naranjo Hernández que estaban a su cargo y </w:t>
      </w:r>
      <w:r w:rsidR="00AA6B8A" w:rsidRPr="00CB5080">
        <w:rPr>
          <w:rFonts w:ascii="Arial" w:hAnsi="Arial" w:cs="Arial"/>
        </w:rPr>
        <w:t xml:space="preserve">seguidamente cambiar la orden </w:t>
      </w:r>
      <w:r w:rsidR="001237FE" w:rsidRPr="00CB5080">
        <w:rPr>
          <w:rFonts w:ascii="Arial" w:hAnsi="Arial" w:cs="Arial"/>
        </w:rPr>
        <w:t xml:space="preserve">impartida </w:t>
      </w:r>
      <w:r w:rsidR="00AA6B8A" w:rsidRPr="00CB5080">
        <w:rPr>
          <w:rFonts w:ascii="Arial" w:hAnsi="Arial" w:cs="Arial"/>
        </w:rPr>
        <w:t>en</w:t>
      </w:r>
      <w:r w:rsidR="001237FE" w:rsidRPr="00CB5080">
        <w:rPr>
          <w:rFonts w:ascii="Arial" w:hAnsi="Arial" w:cs="Arial"/>
        </w:rPr>
        <w:t xml:space="preserve"> </w:t>
      </w:r>
      <w:r w:rsidR="00AA6B8A" w:rsidRPr="00CB5080">
        <w:rPr>
          <w:rFonts w:ascii="Arial" w:hAnsi="Arial" w:cs="Arial"/>
        </w:rPr>
        <w:t>la</w:t>
      </w:r>
      <w:r w:rsidR="001237FE" w:rsidRPr="00CB5080">
        <w:rPr>
          <w:rFonts w:ascii="Arial" w:hAnsi="Arial" w:cs="Arial"/>
        </w:rPr>
        <w:t xml:space="preserve"> primera in</w:t>
      </w:r>
      <w:r w:rsidR="006C4FB2" w:rsidRPr="00CB5080">
        <w:rPr>
          <w:rFonts w:ascii="Arial" w:hAnsi="Arial" w:cs="Arial"/>
        </w:rPr>
        <w:t xml:space="preserve">stancia, respecto a los días de incapacidades que debe cancelar la Nueve EPS.  La </w:t>
      </w:r>
      <w:r w:rsidR="00AA6B8A" w:rsidRPr="00CB5080">
        <w:rPr>
          <w:rFonts w:ascii="Arial" w:hAnsi="Arial" w:cs="Arial"/>
        </w:rPr>
        <w:t>disposición dirigida</w:t>
      </w:r>
      <w:r w:rsidR="006C4FB2" w:rsidRPr="00CB5080">
        <w:rPr>
          <w:rFonts w:ascii="Arial" w:hAnsi="Arial" w:cs="Arial"/>
        </w:rPr>
        <w:t xml:space="preserve"> a Colpensiones será revocada y en su lugar se instará al accionante a presentar ante esta entidad las incapacidades otorgadas con posterioridad al 18 de diciembre de 2019, haciéndole la salvedad antes referida.</w:t>
      </w:r>
    </w:p>
    <w:p w:rsidR="00FB57DB" w:rsidRPr="00CB5080" w:rsidRDefault="00FB57DB" w:rsidP="00CB5080">
      <w:pPr>
        <w:spacing w:line="276" w:lineRule="auto"/>
        <w:jc w:val="both"/>
        <w:rPr>
          <w:rFonts w:ascii="Arial" w:hAnsi="Arial" w:cs="Arial"/>
        </w:rPr>
      </w:pPr>
    </w:p>
    <w:p w:rsidR="00FA5098" w:rsidRPr="00CB5080" w:rsidRDefault="00FA5098" w:rsidP="00CB5080">
      <w:pPr>
        <w:spacing w:line="276" w:lineRule="auto"/>
        <w:jc w:val="both"/>
        <w:rPr>
          <w:rFonts w:ascii="Arial" w:hAnsi="Arial" w:cs="Arial"/>
        </w:rPr>
      </w:pPr>
      <w:r w:rsidRPr="00CB5080">
        <w:rPr>
          <w:rFonts w:ascii="Arial" w:hAnsi="Arial" w:cs="Arial"/>
        </w:rPr>
        <w:t xml:space="preserve">En virtud de lo anterior, la </w:t>
      </w:r>
      <w:r w:rsidRPr="00CB5080">
        <w:rPr>
          <w:rFonts w:ascii="Arial" w:hAnsi="Arial" w:cs="Arial"/>
          <w:b/>
          <w:bCs/>
        </w:rPr>
        <w:t xml:space="preserve">Sala de Decisión </w:t>
      </w:r>
      <w:r w:rsidR="009D3AD2" w:rsidRPr="00CB5080">
        <w:rPr>
          <w:rFonts w:ascii="Arial" w:hAnsi="Arial" w:cs="Arial"/>
          <w:b/>
          <w:bCs/>
        </w:rPr>
        <w:t xml:space="preserve">Laboral </w:t>
      </w:r>
      <w:r w:rsidRPr="00CB5080">
        <w:rPr>
          <w:rFonts w:ascii="Arial" w:hAnsi="Arial" w:cs="Arial"/>
          <w:b/>
          <w:bCs/>
        </w:rPr>
        <w:t>del Tribunal Superior del Distrito Judicial de Pereira</w:t>
      </w:r>
      <w:r w:rsidRPr="00CB5080">
        <w:rPr>
          <w:rFonts w:ascii="Arial" w:hAnsi="Arial" w:cs="Arial"/>
        </w:rPr>
        <w:t xml:space="preserve">, administrando justicia en nombre del Pueblo y por mandato de la Constitución, </w:t>
      </w:r>
    </w:p>
    <w:p w:rsidR="00FA5098" w:rsidRPr="00CB5080" w:rsidRDefault="00FA5098" w:rsidP="00CB5080">
      <w:pPr>
        <w:spacing w:line="276" w:lineRule="auto"/>
        <w:jc w:val="both"/>
        <w:rPr>
          <w:rFonts w:ascii="Arial" w:hAnsi="Arial" w:cs="Arial"/>
        </w:rPr>
      </w:pPr>
    </w:p>
    <w:p w:rsidR="00FA5098" w:rsidRPr="00CB5080" w:rsidRDefault="00FA5098" w:rsidP="00CB5080">
      <w:pPr>
        <w:spacing w:line="276" w:lineRule="auto"/>
        <w:jc w:val="center"/>
        <w:rPr>
          <w:rFonts w:ascii="Arial" w:hAnsi="Arial" w:cs="Arial"/>
          <w:b/>
        </w:rPr>
      </w:pPr>
      <w:r w:rsidRPr="00CB5080">
        <w:rPr>
          <w:rFonts w:ascii="Arial" w:hAnsi="Arial" w:cs="Arial"/>
          <w:b/>
        </w:rPr>
        <w:t>RESUELVE</w:t>
      </w:r>
    </w:p>
    <w:p w:rsidR="00FA5098" w:rsidRPr="00CB5080" w:rsidRDefault="00FA5098" w:rsidP="00CB5080">
      <w:pPr>
        <w:spacing w:line="276" w:lineRule="auto"/>
        <w:jc w:val="center"/>
        <w:rPr>
          <w:rFonts w:ascii="Arial" w:hAnsi="Arial" w:cs="Arial"/>
          <w:b/>
        </w:rPr>
      </w:pPr>
    </w:p>
    <w:p w:rsidR="00485158" w:rsidRPr="00CB5080" w:rsidRDefault="00FA5098" w:rsidP="00CB5080">
      <w:pPr>
        <w:spacing w:line="276" w:lineRule="auto"/>
        <w:jc w:val="both"/>
        <w:rPr>
          <w:rFonts w:ascii="Arial" w:hAnsi="Arial" w:cs="Arial"/>
        </w:rPr>
      </w:pPr>
      <w:r w:rsidRPr="00CB5080">
        <w:rPr>
          <w:rFonts w:ascii="Arial" w:hAnsi="Arial" w:cs="Arial"/>
          <w:b/>
          <w:bCs/>
        </w:rPr>
        <w:t xml:space="preserve">PRIMERO: </w:t>
      </w:r>
      <w:r w:rsidR="00485158" w:rsidRPr="00CB5080">
        <w:rPr>
          <w:rFonts w:ascii="Arial" w:hAnsi="Arial" w:cs="Arial"/>
          <w:b/>
          <w:bCs/>
        </w:rPr>
        <w:t xml:space="preserve">MODIFICAR </w:t>
      </w:r>
      <w:r w:rsidR="00485158" w:rsidRPr="00CB5080">
        <w:rPr>
          <w:rFonts w:ascii="Arial" w:hAnsi="Arial" w:cs="Arial"/>
          <w:bCs/>
        </w:rPr>
        <w:t>los</w:t>
      </w:r>
      <w:r w:rsidR="004C0A45" w:rsidRPr="00CB5080">
        <w:rPr>
          <w:rFonts w:ascii="Arial" w:hAnsi="Arial" w:cs="Arial"/>
          <w:bCs/>
        </w:rPr>
        <w:t xml:space="preserve"> ordinales </w:t>
      </w:r>
      <w:r w:rsidR="007B2E7B" w:rsidRPr="00CB5080">
        <w:rPr>
          <w:rFonts w:ascii="Arial" w:hAnsi="Arial" w:cs="Arial"/>
          <w:b/>
          <w:bCs/>
        </w:rPr>
        <w:t>PRIMERO</w:t>
      </w:r>
      <w:r w:rsidR="00485158" w:rsidRPr="00CB5080">
        <w:rPr>
          <w:rFonts w:ascii="Arial" w:hAnsi="Arial" w:cs="Arial"/>
        </w:rPr>
        <w:t xml:space="preserve"> y </w:t>
      </w:r>
      <w:r w:rsidR="00485158" w:rsidRPr="00CB5080">
        <w:rPr>
          <w:rFonts w:ascii="Arial" w:hAnsi="Arial" w:cs="Arial"/>
          <w:b/>
        </w:rPr>
        <w:t xml:space="preserve">SEGUNDO </w:t>
      </w:r>
      <w:r w:rsidR="00485158" w:rsidRPr="00CB5080">
        <w:rPr>
          <w:rFonts w:ascii="Arial" w:hAnsi="Arial" w:cs="Arial"/>
        </w:rPr>
        <w:t>d</w:t>
      </w:r>
      <w:r w:rsidR="007B2E7B" w:rsidRPr="00CB5080">
        <w:rPr>
          <w:rFonts w:ascii="Arial" w:hAnsi="Arial" w:cs="Arial"/>
        </w:rPr>
        <w:t xml:space="preserve">e la sentencia proferida por el Juzgado </w:t>
      </w:r>
      <w:r w:rsidR="00485158" w:rsidRPr="00CB5080">
        <w:rPr>
          <w:rFonts w:ascii="Arial" w:hAnsi="Arial" w:cs="Arial"/>
        </w:rPr>
        <w:t>Segundo</w:t>
      </w:r>
      <w:r w:rsidR="007B2E7B" w:rsidRPr="00CB5080">
        <w:rPr>
          <w:rFonts w:ascii="Arial" w:hAnsi="Arial" w:cs="Arial"/>
        </w:rPr>
        <w:t xml:space="preserve"> Laboral del Circuito</w:t>
      </w:r>
      <w:r w:rsidRPr="00CB5080">
        <w:rPr>
          <w:rFonts w:ascii="Arial" w:hAnsi="Arial" w:cs="Arial"/>
        </w:rPr>
        <w:t xml:space="preserve">, el día </w:t>
      </w:r>
      <w:r w:rsidR="00485158" w:rsidRPr="00CB5080">
        <w:rPr>
          <w:rFonts w:ascii="Arial" w:hAnsi="Arial" w:cs="Arial"/>
        </w:rPr>
        <w:t>27 de noviembre</w:t>
      </w:r>
      <w:r w:rsidR="00EE4F34" w:rsidRPr="00CB5080">
        <w:rPr>
          <w:rFonts w:ascii="Arial" w:hAnsi="Arial" w:cs="Arial"/>
        </w:rPr>
        <w:t xml:space="preserve"> de 20</w:t>
      </w:r>
      <w:r w:rsidR="007B2E7B" w:rsidRPr="00CB5080">
        <w:rPr>
          <w:rFonts w:ascii="Arial" w:hAnsi="Arial" w:cs="Arial"/>
        </w:rPr>
        <w:t>20</w:t>
      </w:r>
      <w:r w:rsidR="00485158" w:rsidRPr="00CB5080">
        <w:rPr>
          <w:rFonts w:ascii="Arial" w:hAnsi="Arial" w:cs="Arial"/>
        </w:rPr>
        <w:t xml:space="preserve"> los cuales quedarán así:</w:t>
      </w:r>
    </w:p>
    <w:p w:rsidR="00485158" w:rsidRPr="00CB5080" w:rsidRDefault="00485158" w:rsidP="00CB5080">
      <w:pPr>
        <w:spacing w:line="276" w:lineRule="auto"/>
        <w:jc w:val="both"/>
        <w:rPr>
          <w:rFonts w:ascii="Arial" w:hAnsi="Arial" w:cs="Arial"/>
        </w:rPr>
      </w:pPr>
    </w:p>
    <w:p w:rsidR="00485158" w:rsidRPr="00CB5080" w:rsidRDefault="00485158" w:rsidP="00851411">
      <w:pPr>
        <w:spacing w:line="276" w:lineRule="auto"/>
        <w:ind w:left="426" w:right="420"/>
        <w:jc w:val="both"/>
        <w:rPr>
          <w:rFonts w:ascii="Arial" w:hAnsi="Arial" w:cs="Arial"/>
          <w:i/>
          <w:iCs/>
        </w:rPr>
      </w:pPr>
      <w:r w:rsidRPr="00CB5080">
        <w:rPr>
          <w:rFonts w:ascii="Arial" w:hAnsi="Arial" w:cs="Arial"/>
          <w:b/>
          <w:bCs/>
          <w:i/>
          <w:iCs/>
        </w:rPr>
        <w:t>Primero: TUTELA</w:t>
      </w:r>
      <w:r w:rsidR="3B898D87" w:rsidRPr="00CB5080">
        <w:rPr>
          <w:rFonts w:ascii="Arial" w:hAnsi="Arial" w:cs="Arial"/>
          <w:b/>
          <w:bCs/>
          <w:i/>
          <w:iCs/>
        </w:rPr>
        <w:t>R</w:t>
      </w:r>
      <w:r w:rsidRPr="00CB5080">
        <w:rPr>
          <w:rFonts w:ascii="Arial" w:hAnsi="Arial" w:cs="Arial"/>
          <w:i/>
          <w:iCs/>
        </w:rPr>
        <w:t xml:space="preserve"> el derecho al mínimo vital del cual es titular el señor José Abelardo Naranjo Hernández, el cual viene siendo </w:t>
      </w:r>
      <w:r w:rsidR="62729390" w:rsidRPr="00CB5080">
        <w:rPr>
          <w:rFonts w:ascii="Arial" w:hAnsi="Arial" w:cs="Arial"/>
          <w:i/>
          <w:iCs/>
        </w:rPr>
        <w:t>conculcado</w:t>
      </w:r>
      <w:r w:rsidRPr="00CB5080">
        <w:rPr>
          <w:rFonts w:ascii="Arial" w:hAnsi="Arial" w:cs="Arial"/>
          <w:i/>
          <w:iCs/>
        </w:rPr>
        <w:t xml:space="preserve"> por la Nueva EPS.</w:t>
      </w:r>
    </w:p>
    <w:p w:rsidR="00485158" w:rsidRPr="00CB5080" w:rsidRDefault="00485158" w:rsidP="00851411">
      <w:pPr>
        <w:spacing w:line="276" w:lineRule="auto"/>
        <w:ind w:left="426" w:right="420"/>
        <w:jc w:val="both"/>
        <w:rPr>
          <w:rFonts w:ascii="Arial" w:hAnsi="Arial" w:cs="Arial"/>
          <w:i/>
        </w:rPr>
      </w:pPr>
    </w:p>
    <w:p w:rsidR="00E921C7" w:rsidRPr="00851411" w:rsidRDefault="00485158" w:rsidP="00851411">
      <w:pPr>
        <w:spacing w:line="276" w:lineRule="auto"/>
        <w:ind w:left="426" w:right="420"/>
        <w:jc w:val="both"/>
        <w:rPr>
          <w:rFonts w:ascii="Arial" w:hAnsi="Arial" w:cs="Arial"/>
          <w:i/>
          <w:iCs/>
        </w:rPr>
      </w:pPr>
      <w:r w:rsidRPr="00CB5080">
        <w:rPr>
          <w:rFonts w:ascii="Arial" w:hAnsi="Arial" w:cs="Arial"/>
          <w:b/>
          <w:bCs/>
          <w:i/>
          <w:iCs/>
        </w:rPr>
        <w:t>Segundo: ORDENAR</w:t>
      </w:r>
      <w:r w:rsidRPr="00CB5080">
        <w:rPr>
          <w:rFonts w:ascii="Arial" w:hAnsi="Arial" w:cs="Arial"/>
          <w:i/>
          <w:iCs/>
        </w:rPr>
        <w:t xml:space="preserve"> </w:t>
      </w:r>
      <w:r w:rsidR="00E921C7" w:rsidRPr="00CB5080">
        <w:rPr>
          <w:rFonts w:ascii="Arial" w:hAnsi="Arial" w:cs="Arial"/>
          <w:i/>
          <w:iCs/>
        </w:rPr>
        <w:t>a la Nueva EPS  a través del Director de Prestaciones Económicas, doctor César Alfonso Grimaldo Duque que en el término de cuarenta y ocho (48) horas</w:t>
      </w:r>
      <w:r w:rsidR="73E01AB0" w:rsidRPr="00CB5080">
        <w:rPr>
          <w:rFonts w:ascii="Arial" w:hAnsi="Arial" w:cs="Arial"/>
          <w:i/>
          <w:iCs/>
        </w:rPr>
        <w:t>,</w:t>
      </w:r>
      <w:r w:rsidR="00E921C7" w:rsidRPr="00CB5080">
        <w:rPr>
          <w:rFonts w:ascii="Arial" w:hAnsi="Arial" w:cs="Arial"/>
          <w:i/>
          <w:iCs/>
        </w:rPr>
        <w:t xml:space="preserve"> que</w:t>
      </w:r>
      <w:r w:rsidR="7FCCC5FE" w:rsidRPr="00CB5080">
        <w:rPr>
          <w:rFonts w:ascii="Arial" w:hAnsi="Arial" w:cs="Arial"/>
          <w:i/>
          <w:iCs/>
        </w:rPr>
        <w:t xml:space="preserve"> se</w:t>
      </w:r>
      <w:r w:rsidR="00E921C7" w:rsidRPr="00CB5080">
        <w:rPr>
          <w:rFonts w:ascii="Arial" w:hAnsi="Arial" w:cs="Arial"/>
          <w:i/>
          <w:iCs/>
        </w:rPr>
        <w:t xml:space="preserve"> </w:t>
      </w:r>
      <w:r w:rsidRPr="00CB5080">
        <w:rPr>
          <w:rFonts w:ascii="Arial" w:hAnsi="Arial" w:cs="Arial"/>
          <w:i/>
          <w:iCs/>
        </w:rPr>
        <w:t xml:space="preserve">empiezan a contabilizar a partir del día siguiente a la notificación de esta providencia, disponga  lo  necesario  para  que </w:t>
      </w:r>
      <w:r w:rsidR="41C50629" w:rsidRPr="00CB5080">
        <w:rPr>
          <w:rFonts w:ascii="Arial" w:hAnsi="Arial" w:cs="Arial"/>
          <w:i/>
          <w:iCs/>
        </w:rPr>
        <w:t>se</w:t>
      </w:r>
      <w:r w:rsidRPr="00CB5080">
        <w:rPr>
          <w:rFonts w:ascii="Arial" w:hAnsi="Arial" w:cs="Arial"/>
          <w:i/>
          <w:iCs/>
        </w:rPr>
        <w:t xml:space="preserve"> proceda  a  pagar  </w:t>
      </w:r>
      <w:r w:rsidR="00E921C7" w:rsidRPr="00CB5080">
        <w:rPr>
          <w:rFonts w:ascii="Arial" w:hAnsi="Arial" w:cs="Arial"/>
          <w:i/>
          <w:iCs/>
        </w:rPr>
        <w:t xml:space="preserve">41 días de incapacidad al  señor </w:t>
      </w:r>
      <w:r w:rsidRPr="00CB5080">
        <w:rPr>
          <w:rFonts w:ascii="Arial" w:hAnsi="Arial" w:cs="Arial"/>
          <w:i/>
          <w:iCs/>
        </w:rPr>
        <w:t xml:space="preserve">JOSE ABELARDO NARANJO HERNANDEZ, </w:t>
      </w:r>
      <w:r w:rsidR="00E921C7" w:rsidRPr="00CB5080">
        <w:rPr>
          <w:rFonts w:ascii="Arial" w:hAnsi="Arial" w:cs="Arial"/>
          <w:i/>
          <w:iCs/>
        </w:rPr>
        <w:t xml:space="preserve"> los cuales se encuentra insolutos de los periodos comprendidos entre el 22 de octubre y el 5 de noviembre (15 días) y 22 de noviembre y </w:t>
      </w:r>
      <w:r w:rsidR="004C0A45" w:rsidRPr="00CB5080">
        <w:rPr>
          <w:rFonts w:ascii="Arial" w:hAnsi="Arial" w:cs="Arial"/>
          <w:i/>
          <w:iCs/>
        </w:rPr>
        <w:t xml:space="preserve">el </w:t>
      </w:r>
      <w:r w:rsidR="00E921C7" w:rsidRPr="00CB5080">
        <w:rPr>
          <w:rFonts w:ascii="Arial" w:hAnsi="Arial" w:cs="Arial"/>
          <w:i/>
          <w:iCs/>
        </w:rPr>
        <w:t xml:space="preserve">17 de </w:t>
      </w:r>
      <w:r w:rsidR="004C0A45" w:rsidRPr="00CB5080">
        <w:rPr>
          <w:rFonts w:ascii="Arial" w:hAnsi="Arial" w:cs="Arial"/>
          <w:i/>
          <w:iCs/>
        </w:rPr>
        <w:t>diciembre (26 días) del año 2019.</w:t>
      </w:r>
    </w:p>
    <w:p w:rsidR="00A94377" w:rsidRPr="00CB5080" w:rsidRDefault="00A94377" w:rsidP="00CB5080">
      <w:pPr>
        <w:spacing w:line="276" w:lineRule="auto"/>
        <w:jc w:val="both"/>
        <w:rPr>
          <w:rFonts w:ascii="Arial" w:hAnsi="Arial" w:cs="Arial"/>
        </w:rPr>
      </w:pPr>
    </w:p>
    <w:p w:rsidR="004C0A45" w:rsidRPr="00CB5080" w:rsidRDefault="0029620E" w:rsidP="00CB5080">
      <w:pPr>
        <w:spacing w:line="276" w:lineRule="auto"/>
        <w:jc w:val="both"/>
        <w:rPr>
          <w:rFonts w:ascii="Arial" w:hAnsi="Arial" w:cs="Arial"/>
        </w:rPr>
      </w:pPr>
      <w:r w:rsidRPr="00CB5080">
        <w:rPr>
          <w:rFonts w:ascii="Arial" w:hAnsi="Arial" w:cs="Arial"/>
          <w:b/>
          <w:bCs/>
        </w:rPr>
        <w:lastRenderedPageBreak/>
        <w:t>SEGUNDO</w:t>
      </w:r>
      <w:r w:rsidR="00FA5098" w:rsidRPr="00CB5080">
        <w:rPr>
          <w:rFonts w:ascii="Arial" w:hAnsi="Arial" w:cs="Arial"/>
          <w:b/>
          <w:bCs/>
        </w:rPr>
        <w:t xml:space="preserve">: </w:t>
      </w:r>
      <w:r w:rsidR="004C0A45" w:rsidRPr="00CB5080">
        <w:rPr>
          <w:rFonts w:ascii="Arial" w:hAnsi="Arial" w:cs="Arial"/>
          <w:b/>
          <w:bCs/>
        </w:rPr>
        <w:t xml:space="preserve">REVOCAR </w:t>
      </w:r>
      <w:r w:rsidR="004C0A45" w:rsidRPr="00CB5080">
        <w:rPr>
          <w:rFonts w:ascii="Arial" w:hAnsi="Arial" w:cs="Arial"/>
        </w:rPr>
        <w:t xml:space="preserve">el ordinal </w:t>
      </w:r>
      <w:r w:rsidR="004C0A45" w:rsidRPr="00CB5080">
        <w:rPr>
          <w:rFonts w:ascii="Arial" w:hAnsi="Arial" w:cs="Arial"/>
          <w:b/>
          <w:bCs/>
        </w:rPr>
        <w:t xml:space="preserve">TERCERO </w:t>
      </w:r>
      <w:r w:rsidR="004C0A45" w:rsidRPr="00CB5080">
        <w:rPr>
          <w:rFonts w:ascii="Arial" w:hAnsi="Arial" w:cs="Arial"/>
        </w:rPr>
        <w:t xml:space="preserve">de la misma providencia, para en su lugar, requerir al señor José Abelardo Naranjo Hernández para que presente ante Colpensiones las incapacidades otorgadas por su médico tratante desde el </w:t>
      </w:r>
      <w:r w:rsidR="003F1498" w:rsidRPr="00CB5080">
        <w:rPr>
          <w:rFonts w:ascii="Arial" w:hAnsi="Arial" w:cs="Arial"/>
        </w:rPr>
        <w:t>18 de diciembre de 2019, si así lo desea, toda vez que la pérdida de su capacidad laboral fue calificada con un 58.89% con fecha de estructuración 12 de julio de 2018.</w:t>
      </w:r>
    </w:p>
    <w:p w:rsidR="004C0A45" w:rsidRPr="00CB5080" w:rsidRDefault="004C0A45" w:rsidP="00CB5080">
      <w:pPr>
        <w:spacing w:line="276" w:lineRule="auto"/>
        <w:jc w:val="both"/>
        <w:rPr>
          <w:rFonts w:ascii="Arial" w:hAnsi="Arial" w:cs="Arial"/>
          <w:b/>
        </w:rPr>
      </w:pPr>
    </w:p>
    <w:p w:rsidR="009D3AD2" w:rsidRPr="00CB5080" w:rsidRDefault="003F1498" w:rsidP="00CB5080">
      <w:pPr>
        <w:spacing w:line="276" w:lineRule="auto"/>
        <w:jc w:val="both"/>
        <w:rPr>
          <w:rFonts w:ascii="Arial" w:hAnsi="Arial" w:cs="Arial"/>
          <w:b/>
        </w:rPr>
      </w:pPr>
      <w:r w:rsidRPr="00CB5080">
        <w:rPr>
          <w:rFonts w:ascii="Arial" w:hAnsi="Arial" w:cs="Arial"/>
          <w:b/>
        </w:rPr>
        <w:t xml:space="preserve">TERCERO: </w:t>
      </w:r>
      <w:r w:rsidR="00A94377" w:rsidRPr="00CB5080">
        <w:rPr>
          <w:rFonts w:ascii="Arial" w:hAnsi="Arial" w:cs="Arial"/>
          <w:b/>
        </w:rPr>
        <w:t xml:space="preserve">CONFIRMAR </w:t>
      </w:r>
      <w:r w:rsidR="00A94377" w:rsidRPr="00CB5080">
        <w:rPr>
          <w:rFonts w:ascii="Arial" w:hAnsi="Arial" w:cs="Arial"/>
        </w:rPr>
        <w:t>en todo lo demás la providencia impugnada</w:t>
      </w:r>
      <w:r w:rsidR="009D3AD2" w:rsidRPr="00CB5080">
        <w:rPr>
          <w:rFonts w:ascii="Arial" w:hAnsi="Arial" w:cs="Arial"/>
        </w:rPr>
        <w:t>.</w:t>
      </w:r>
    </w:p>
    <w:p w:rsidR="009D3AD2" w:rsidRPr="00CB5080" w:rsidRDefault="009D3AD2" w:rsidP="00CB5080">
      <w:pPr>
        <w:spacing w:line="276" w:lineRule="auto"/>
        <w:jc w:val="both"/>
        <w:rPr>
          <w:rFonts w:ascii="Arial" w:hAnsi="Arial" w:cs="Arial"/>
          <w:b/>
        </w:rPr>
      </w:pPr>
    </w:p>
    <w:p w:rsidR="00FA5098" w:rsidRPr="00CB5080" w:rsidRDefault="00A94377" w:rsidP="00CB5080">
      <w:pPr>
        <w:spacing w:line="276" w:lineRule="auto"/>
        <w:jc w:val="both"/>
        <w:rPr>
          <w:rFonts w:ascii="Arial" w:hAnsi="Arial" w:cs="Arial"/>
        </w:rPr>
      </w:pPr>
      <w:r w:rsidRPr="00CB5080">
        <w:rPr>
          <w:rFonts w:ascii="Arial" w:hAnsi="Arial" w:cs="Arial"/>
          <w:b/>
          <w:bCs/>
        </w:rPr>
        <w:t>CUARTO</w:t>
      </w:r>
      <w:r w:rsidR="009D3AD2" w:rsidRPr="00CB5080">
        <w:rPr>
          <w:rFonts w:ascii="Arial" w:hAnsi="Arial" w:cs="Arial"/>
          <w:b/>
          <w:bCs/>
        </w:rPr>
        <w:t xml:space="preserve">: </w:t>
      </w:r>
      <w:r w:rsidR="00FA5098" w:rsidRPr="00CB5080">
        <w:rPr>
          <w:rFonts w:ascii="Arial" w:hAnsi="Arial" w:cs="Arial"/>
          <w:b/>
          <w:bCs/>
        </w:rPr>
        <w:t xml:space="preserve">NOTIFÍQUESE </w:t>
      </w:r>
      <w:r w:rsidR="00FA5098" w:rsidRPr="00CB5080">
        <w:rPr>
          <w:rFonts w:ascii="Arial" w:hAnsi="Arial" w:cs="Arial"/>
        </w:rPr>
        <w:t>esta decisión a las parte</w:t>
      </w:r>
      <w:r w:rsidR="727F4896" w:rsidRPr="00CB5080">
        <w:rPr>
          <w:rFonts w:ascii="Arial" w:hAnsi="Arial" w:cs="Arial"/>
        </w:rPr>
        <w:t>s</w:t>
      </w:r>
      <w:r w:rsidR="00FA5098" w:rsidRPr="00CB5080">
        <w:rPr>
          <w:rFonts w:ascii="Arial" w:hAnsi="Arial" w:cs="Arial"/>
        </w:rPr>
        <w:t xml:space="preserve"> por el medio más expedito.</w:t>
      </w:r>
    </w:p>
    <w:p w:rsidR="00FA5098" w:rsidRPr="00CB5080" w:rsidRDefault="00FA5098" w:rsidP="00CB5080">
      <w:pPr>
        <w:widowControl w:val="0"/>
        <w:spacing w:line="276" w:lineRule="auto"/>
        <w:rPr>
          <w:rFonts w:ascii="Arial" w:hAnsi="Arial" w:cs="Arial"/>
          <w:color w:val="CCFFFF"/>
        </w:rPr>
      </w:pPr>
    </w:p>
    <w:p w:rsidR="00FA5098" w:rsidRPr="00CB5080" w:rsidRDefault="00A94377" w:rsidP="00CB5080">
      <w:pPr>
        <w:pStyle w:val="Textoindependiente"/>
        <w:spacing w:line="276" w:lineRule="auto"/>
        <w:rPr>
          <w:rFonts w:cs="Arial"/>
          <w:sz w:val="24"/>
          <w:szCs w:val="24"/>
        </w:rPr>
      </w:pPr>
      <w:r w:rsidRPr="00CB5080">
        <w:rPr>
          <w:rFonts w:cs="Arial"/>
          <w:b/>
          <w:bCs/>
          <w:sz w:val="24"/>
          <w:szCs w:val="24"/>
        </w:rPr>
        <w:t>QUINTO</w:t>
      </w:r>
      <w:r w:rsidR="00FA5098" w:rsidRPr="00CB5080">
        <w:rPr>
          <w:rFonts w:cs="Arial"/>
          <w:b/>
          <w:bCs/>
          <w:sz w:val="24"/>
          <w:szCs w:val="24"/>
        </w:rPr>
        <w:t xml:space="preserve">: ENVÍESE, </w:t>
      </w:r>
      <w:r w:rsidR="00FA5098" w:rsidRPr="00CB5080">
        <w:rPr>
          <w:rFonts w:cs="Arial"/>
          <w:sz w:val="24"/>
          <w:szCs w:val="24"/>
        </w:rPr>
        <w:t>lo más pronto posible, a la Corte Constitucional, para su eventual revisión.</w:t>
      </w:r>
    </w:p>
    <w:p w:rsidR="00FA5098" w:rsidRPr="00CB5080" w:rsidRDefault="00FA5098" w:rsidP="00CB5080">
      <w:pPr>
        <w:widowControl w:val="0"/>
        <w:spacing w:line="276" w:lineRule="auto"/>
        <w:rPr>
          <w:rFonts w:ascii="Arial" w:hAnsi="Arial" w:cs="Arial"/>
          <w:color w:val="CCFFFF"/>
        </w:rPr>
      </w:pPr>
    </w:p>
    <w:p w:rsidR="00FA5098" w:rsidRPr="00CB5080" w:rsidRDefault="00FA5098" w:rsidP="00CB5080">
      <w:pPr>
        <w:spacing w:line="276" w:lineRule="auto"/>
        <w:jc w:val="both"/>
        <w:rPr>
          <w:rFonts w:ascii="Arial" w:hAnsi="Arial" w:cs="Arial"/>
          <w:spacing w:val="-2"/>
        </w:rPr>
      </w:pPr>
      <w:r w:rsidRPr="00CB5080">
        <w:rPr>
          <w:rFonts w:ascii="Arial" w:hAnsi="Arial" w:cs="Arial"/>
          <w:b/>
          <w:spacing w:val="-2"/>
        </w:rPr>
        <w:t>CÓPIESE, NOTIFÍQUESE Y CÚMPLASE.</w:t>
      </w:r>
      <w:r w:rsidRPr="00CB5080">
        <w:rPr>
          <w:rFonts w:ascii="Arial" w:hAnsi="Arial" w:cs="Arial"/>
          <w:spacing w:val="-2"/>
        </w:rPr>
        <w:t xml:space="preserve"> </w:t>
      </w:r>
    </w:p>
    <w:p w:rsidR="00FA5098" w:rsidRPr="00CB5080" w:rsidRDefault="00FA5098" w:rsidP="00CB5080">
      <w:pPr>
        <w:widowControl w:val="0"/>
        <w:spacing w:line="276" w:lineRule="auto"/>
        <w:rPr>
          <w:rFonts w:ascii="Arial" w:hAnsi="Arial" w:cs="Arial"/>
          <w:color w:val="CCFFFF"/>
        </w:rPr>
      </w:pPr>
    </w:p>
    <w:p w:rsidR="00FA5098" w:rsidRPr="00CB5080" w:rsidRDefault="00FA5098" w:rsidP="00CB5080">
      <w:pPr>
        <w:spacing w:line="276" w:lineRule="auto"/>
        <w:jc w:val="both"/>
        <w:rPr>
          <w:rFonts w:ascii="Arial" w:hAnsi="Arial" w:cs="Arial"/>
          <w:spacing w:val="-2"/>
        </w:rPr>
      </w:pPr>
      <w:r w:rsidRPr="00CB5080">
        <w:rPr>
          <w:rFonts w:ascii="Arial" w:hAnsi="Arial" w:cs="Arial"/>
          <w:spacing w:val="-2"/>
        </w:rPr>
        <w:t>Los Magistrados,</w:t>
      </w:r>
    </w:p>
    <w:p w:rsidR="008D0937" w:rsidRDefault="008D0937" w:rsidP="00CB5080">
      <w:pPr>
        <w:widowControl w:val="0"/>
        <w:spacing w:line="276" w:lineRule="auto"/>
        <w:rPr>
          <w:rFonts w:ascii="Arial" w:hAnsi="Arial" w:cs="Arial"/>
          <w:color w:val="CCFFFF"/>
        </w:rPr>
      </w:pPr>
    </w:p>
    <w:p w:rsidR="00CB5080" w:rsidRPr="00CB5080" w:rsidRDefault="00CB5080" w:rsidP="00CB5080">
      <w:pPr>
        <w:widowControl w:val="0"/>
        <w:spacing w:line="276" w:lineRule="auto"/>
        <w:rPr>
          <w:rFonts w:ascii="Arial" w:hAnsi="Arial" w:cs="Arial"/>
          <w:color w:val="CCFFFF"/>
        </w:rPr>
      </w:pPr>
    </w:p>
    <w:p w:rsidR="00A94377" w:rsidRPr="00CB5080" w:rsidRDefault="00A94377" w:rsidP="00CB5080">
      <w:pPr>
        <w:widowControl w:val="0"/>
        <w:spacing w:line="276" w:lineRule="auto"/>
        <w:rPr>
          <w:rFonts w:ascii="Arial" w:hAnsi="Arial" w:cs="Arial"/>
          <w:color w:val="CCFFFF"/>
        </w:rPr>
      </w:pPr>
    </w:p>
    <w:p w:rsidR="003F6DB6" w:rsidRPr="00CB5080" w:rsidRDefault="00FA5098" w:rsidP="00CB5080">
      <w:pPr>
        <w:spacing w:line="276" w:lineRule="auto"/>
        <w:jc w:val="center"/>
        <w:rPr>
          <w:rFonts w:ascii="Arial" w:hAnsi="Arial" w:cs="Arial"/>
          <w:b/>
          <w:bCs/>
        </w:rPr>
      </w:pPr>
      <w:r w:rsidRPr="00CB5080">
        <w:rPr>
          <w:rFonts w:ascii="Arial" w:hAnsi="Arial" w:cs="Arial"/>
          <w:b/>
          <w:bCs/>
        </w:rPr>
        <w:t>JULIO CÉSAR SALAZAR MUÑOZ</w:t>
      </w:r>
    </w:p>
    <w:p w:rsidR="00A94377" w:rsidRPr="00CB5080" w:rsidRDefault="00CB5080" w:rsidP="00CB5080">
      <w:pPr>
        <w:spacing w:line="276" w:lineRule="auto"/>
        <w:jc w:val="center"/>
        <w:rPr>
          <w:rFonts w:ascii="Arial" w:hAnsi="Arial" w:cs="Arial"/>
          <w:bCs/>
        </w:rPr>
      </w:pPr>
      <w:r w:rsidRPr="00CB5080">
        <w:rPr>
          <w:rFonts w:ascii="Arial" w:hAnsi="Arial" w:cs="Arial"/>
          <w:bCs/>
        </w:rPr>
        <w:t>Ponente</w:t>
      </w:r>
    </w:p>
    <w:p w:rsidR="003F6DB6" w:rsidRPr="00CB5080" w:rsidRDefault="003F6DB6" w:rsidP="00CB5080">
      <w:pPr>
        <w:widowControl w:val="0"/>
        <w:spacing w:line="276" w:lineRule="auto"/>
        <w:rPr>
          <w:rFonts w:ascii="Arial" w:hAnsi="Arial" w:cs="Arial"/>
          <w:color w:val="CCFFFF"/>
        </w:rPr>
      </w:pPr>
    </w:p>
    <w:p w:rsidR="00691F31" w:rsidRPr="00CB5080" w:rsidRDefault="00691F31" w:rsidP="00CB5080">
      <w:pPr>
        <w:widowControl w:val="0"/>
        <w:spacing w:line="276" w:lineRule="auto"/>
        <w:rPr>
          <w:rFonts w:ascii="Arial" w:hAnsi="Arial" w:cs="Arial"/>
          <w:color w:val="CCFFFF"/>
        </w:rPr>
      </w:pPr>
    </w:p>
    <w:p w:rsidR="00691F31" w:rsidRPr="00CB5080" w:rsidRDefault="00691F31" w:rsidP="00CB5080">
      <w:pPr>
        <w:widowControl w:val="0"/>
        <w:spacing w:line="276" w:lineRule="auto"/>
        <w:rPr>
          <w:rFonts w:ascii="Arial" w:hAnsi="Arial" w:cs="Arial"/>
          <w:color w:val="CCFFFF"/>
        </w:rPr>
      </w:pPr>
    </w:p>
    <w:p w:rsidR="00FA5098" w:rsidRPr="00CB5080" w:rsidRDefault="00FA5098" w:rsidP="00CB5080">
      <w:pPr>
        <w:spacing w:line="276" w:lineRule="auto"/>
        <w:jc w:val="center"/>
        <w:rPr>
          <w:rFonts w:ascii="Arial" w:hAnsi="Arial" w:cs="Arial"/>
          <w:b/>
        </w:rPr>
      </w:pPr>
      <w:r w:rsidRPr="00CB5080">
        <w:rPr>
          <w:rFonts w:ascii="Arial" w:hAnsi="Arial" w:cs="Arial"/>
          <w:b/>
        </w:rPr>
        <w:t xml:space="preserve">ANA LUCÍA CAICEDO </w:t>
      </w:r>
      <w:r w:rsidR="00CB5080" w:rsidRPr="00CB5080">
        <w:rPr>
          <w:rFonts w:ascii="Arial" w:hAnsi="Arial" w:cs="Arial"/>
          <w:b/>
        </w:rPr>
        <w:t>CALDERÓN</w:t>
      </w:r>
    </w:p>
    <w:p w:rsidR="00A4795E" w:rsidRPr="00CB5080" w:rsidRDefault="00CB5080" w:rsidP="00CB5080">
      <w:pPr>
        <w:spacing w:line="276" w:lineRule="auto"/>
        <w:jc w:val="center"/>
        <w:rPr>
          <w:rFonts w:ascii="Arial" w:hAnsi="Arial" w:cs="Arial"/>
          <w:b/>
          <w:bCs/>
        </w:rPr>
      </w:pPr>
      <w:r w:rsidRPr="00CB5080">
        <w:rPr>
          <w:rFonts w:ascii="Arial" w:hAnsi="Arial" w:cs="Arial"/>
          <w:bCs/>
        </w:rPr>
        <w:t>Magistrada</w:t>
      </w:r>
    </w:p>
    <w:p w:rsidR="003F1498" w:rsidRPr="00CB5080" w:rsidRDefault="003F1498" w:rsidP="00CB5080">
      <w:pPr>
        <w:widowControl w:val="0"/>
        <w:spacing w:line="276" w:lineRule="auto"/>
        <w:rPr>
          <w:rFonts w:ascii="Arial" w:hAnsi="Arial" w:cs="Arial"/>
          <w:color w:val="CCFFFF"/>
        </w:rPr>
      </w:pPr>
    </w:p>
    <w:p w:rsidR="003F1498" w:rsidRPr="00CB5080" w:rsidRDefault="003F1498" w:rsidP="00CB5080">
      <w:pPr>
        <w:widowControl w:val="0"/>
        <w:spacing w:line="276" w:lineRule="auto"/>
        <w:rPr>
          <w:rFonts w:ascii="Arial" w:hAnsi="Arial" w:cs="Arial"/>
          <w:color w:val="CCFFFF"/>
        </w:rPr>
      </w:pPr>
    </w:p>
    <w:p w:rsidR="003F1498" w:rsidRPr="00CB5080" w:rsidRDefault="003F1498" w:rsidP="00CB5080">
      <w:pPr>
        <w:widowControl w:val="0"/>
        <w:spacing w:line="276" w:lineRule="auto"/>
        <w:rPr>
          <w:rFonts w:ascii="Arial" w:hAnsi="Arial" w:cs="Arial"/>
          <w:color w:val="CCFFFF"/>
        </w:rPr>
      </w:pPr>
    </w:p>
    <w:p w:rsidR="00FA5098" w:rsidRPr="00CB5080" w:rsidRDefault="003F1498" w:rsidP="00CB5080">
      <w:pPr>
        <w:spacing w:line="276" w:lineRule="auto"/>
        <w:jc w:val="center"/>
        <w:rPr>
          <w:rFonts w:ascii="Arial" w:hAnsi="Arial" w:cs="Arial"/>
          <w:b/>
          <w:bCs/>
        </w:rPr>
      </w:pPr>
      <w:r w:rsidRPr="00CB5080">
        <w:rPr>
          <w:rFonts w:ascii="Arial" w:hAnsi="Arial" w:cs="Arial"/>
          <w:b/>
          <w:bCs/>
        </w:rPr>
        <w:t>GERMÁN DARIO GÓEZ VINASCO</w:t>
      </w:r>
    </w:p>
    <w:p w:rsidR="003F1498" w:rsidRPr="00CB5080" w:rsidRDefault="003F1498" w:rsidP="00CB5080">
      <w:pPr>
        <w:spacing w:line="276" w:lineRule="auto"/>
        <w:jc w:val="center"/>
        <w:rPr>
          <w:rFonts w:ascii="Arial" w:hAnsi="Arial" w:cs="Arial"/>
        </w:rPr>
      </w:pPr>
      <w:r w:rsidRPr="00CB5080">
        <w:rPr>
          <w:rFonts w:ascii="Arial" w:hAnsi="Arial" w:cs="Arial"/>
          <w:bCs/>
        </w:rPr>
        <w:t>Magistrado</w:t>
      </w:r>
    </w:p>
    <w:sectPr w:rsidR="003F1498" w:rsidRPr="00CB5080" w:rsidSect="00E0549F">
      <w:headerReference w:type="default" r:id="rId11"/>
      <w:footerReference w:type="default" r:id="rId12"/>
      <w:headerReference w:type="first" r:id="rId13"/>
      <w:pgSz w:w="12242" w:h="18722" w:code="258"/>
      <w:pgMar w:top="1814" w:right="1361" w:bottom="1361" w:left="1928"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9CE148" w15:done="0"/>
  <w15:commentEx w15:paraId="1C390350" w15:done="0"/>
  <w15:commentEx w15:paraId="6E17E30E" w15:done="0"/>
  <w15:commentEx w15:paraId="53FC4736" w15:paraIdParent="6E17E30E" w15:done="0"/>
  <w15:commentEx w15:paraId="79BB1E3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Extensible w16cex:durableId="60873EDC" w16cex:dateUtc="2021-01-22T16:04:26.656Z"/>
  <w16cex:commentExtensible w16cex:durableId="45945E99" w16cex:dateUtc="2021-01-25T14:49:18.8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CE148" w16cid:durableId="23B57945"/>
  <w16cid:commentId w16cid:paraId="1C390350" w16cid:durableId="60873EDC"/>
  <w16cid:commentId w16cid:paraId="6E17E30E" w16cid:durableId="23B579E4"/>
  <w16cid:commentId w16cid:paraId="53FC4736" w16cid:durableId="23B969BF"/>
  <w16cid:commentId w16cid:paraId="79BB1E38" w16cid:durableId="45945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B8" w:rsidRDefault="005707B8">
      <w:r>
        <w:separator/>
      </w:r>
    </w:p>
  </w:endnote>
  <w:endnote w:type="continuationSeparator" w:id="0">
    <w:p w:rsidR="005707B8" w:rsidRDefault="0057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Pr="00851411" w:rsidRDefault="008F20C1">
    <w:pPr>
      <w:pStyle w:val="Piedepgina"/>
      <w:jc w:val="right"/>
      <w:rPr>
        <w:rFonts w:ascii="Arial" w:hAnsi="Arial" w:cs="Arial"/>
        <w:sz w:val="18"/>
      </w:rPr>
    </w:pPr>
    <w:r w:rsidRPr="00851411">
      <w:rPr>
        <w:rFonts w:ascii="Arial" w:hAnsi="Arial" w:cs="Arial"/>
        <w:sz w:val="18"/>
      </w:rPr>
      <w:fldChar w:fldCharType="begin"/>
    </w:r>
    <w:r w:rsidR="00783FBC" w:rsidRPr="00851411">
      <w:rPr>
        <w:rFonts w:ascii="Arial" w:hAnsi="Arial" w:cs="Arial"/>
        <w:sz w:val="18"/>
      </w:rPr>
      <w:instrText>PAGE   \* MERGEFORMAT</w:instrText>
    </w:r>
    <w:r w:rsidRPr="00851411">
      <w:rPr>
        <w:rFonts w:ascii="Arial" w:hAnsi="Arial" w:cs="Arial"/>
        <w:sz w:val="18"/>
      </w:rPr>
      <w:fldChar w:fldCharType="separate"/>
    </w:r>
    <w:r w:rsidR="00E0549F">
      <w:rPr>
        <w:rFonts w:ascii="Arial" w:hAnsi="Arial" w:cs="Arial"/>
        <w:noProof/>
        <w:sz w:val="18"/>
      </w:rPr>
      <w:t>8</w:t>
    </w:r>
    <w:r w:rsidRPr="00851411">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B8" w:rsidRDefault="005707B8">
      <w:r>
        <w:separator/>
      </w:r>
    </w:p>
  </w:footnote>
  <w:footnote w:type="continuationSeparator" w:id="0">
    <w:p w:rsidR="005707B8" w:rsidRDefault="005707B8">
      <w:r>
        <w:continuationSeparator/>
      </w:r>
    </w:p>
  </w:footnote>
  <w:footnote w:id="1">
    <w:p w:rsidR="00271C28" w:rsidRPr="00940170" w:rsidRDefault="00271C28" w:rsidP="00940170">
      <w:pPr>
        <w:pStyle w:val="Textonotapie"/>
        <w:jc w:val="both"/>
        <w:rPr>
          <w:rFonts w:ascii="Arial" w:hAnsi="Arial" w:cs="Arial"/>
          <w:sz w:val="18"/>
          <w:szCs w:val="18"/>
        </w:rPr>
      </w:pPr>
      <w:r w:rsidRPr="00940170">
        <w:rPr>
          <w:rFonts w:ascii="Arial" w:hAnsi="Arial" w:cs="Arial"/>
          <w:sz w:val="18"/>
          <w:szCs w:val="18"/>
          <w:vertAlign w:val="superscript"/>
        </w:rPr>
        <w:footnoteRef/>
      </w:r>
      <w:r w:rsidRPr="00940170">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“con el fin de garantizar la efectiva prestación del derecho a la salud de los usuarios del Sistema General de Seguridad Social en Salud y en ejercicio del artículo 116 de la Constitución Política”. Entonces, en el ejercicio de dicha labor podrá “conocer y fallar en derecho, con carácter definitivo y con las facultades propias de un juez”  distintos asuntos, entre ellos: “b)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271C28" w:rsidRPr="00940170" w:rsidRDefault="00271C28" w:rsidP="00940170">
      <w:pPr>
        <w:pStyle w:val="Textonotapie"/>
        <w:jc w:val="both"/>
        <w:rPr>
          <w:rFonts w:ascii="Arial" w:hAnsi="Arial" w:cs="Arial"/>
          <w:sz w:val="18"/>
          <w:szCs w:val="18"/>
        </w:rPr>
      </w:pPr>
      <w:r w:rsidRPr="00940170">
        <w:rPr>
          <w:rFonts w:ascii="Arial" w:hAnsi="Arial" w:cs="Arial"/>
          <w:sz w:val="18"/>
          <w:szCs w:val="18"/>
          <w:vertAlign w:val="superscript"/>
        </w:rPr>
        <w:footnoteRef/>
      </w:r>
      <w:r w:rsidRPr="00940170">
        <w:rPr>
          <w:rFonts w:ascii="Arial" w:hAnsi="Arial" w:cs="Arial"/>
          <w:sz w:val="18"/>
          <w:szCs w:val="18"/>
          <w:lang w:val="es-ES"/>
        </w:rPr>
        <w:t>Sentencia T-140/16.</w:t>
      </w:r>
    </w:p>
  </w:footnote>
  <w:footnote w:id="3">
    <w:p w:rsidR="00271C28" w:rsidRPr="00940170" w:rsidRDefault="00271C28" w:rsidP="00940170">
      <w:pPr>
        <w:pStyle w:val="Textonotapie"/>
        <w:jc w:val="both"/>
        <w:rPr>
          <w:rFonts w:ascii="Arial" w:hAnsi="Arial" w:cs="Arial"/>
          <w:sz w:val="18"/>
          <w:szCs w:val="18"/>
        </w:rPr>
      </w:pPr>
      <w:r w:rsidRPr="00940170">
        <w:rPr>
          <w:rFonts w:ascii="Arial" w:hAnsi="Arial" w:cs="Arial"/>
          <w:sz w:val="18"/>
          <w:szCs w:val="18"/>
          <w:vertAlign w:val="superscript"/>
        </w:rPr>
        <w:footnoteRef/>
      </w:r>
      <w:r w:rsidRPr="00940170">
        <w:rPr>
          <w:rFonts w:ascii="Arial" w:hAnsi="Arial" w:cs="Arial"/>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 w:id="4">
    <w:p w:rsidR="00704D95" w:rsidRPr="00940170" w:rsidRDefault="00704D95" w:rsidP="00940170">
      <w:pPr>
        <w:pStyle w:val="Textonotapie"/>
        <w:jc w:val="both"/>
        <w:rPr>
          <w:rFonts w:ascii="Arial" w:hAnsi="Arial" w:cs="Arial"/>
          <w:sz w:val="18"/>
          <w:szCs w:val="18"/>
        </w:rPr>
      </w:pPr>
      <w:r w:rsidRPr="00940170">
        <w:rPr>
          <w:rStyle w:val="Refdenotaalpie"/>
          <w:rFonts w:ascii="Arial" w:hAnsi="Arial" w:cs="Arial"/>
          <w:sz w:val="18"/>
          <w:szCs w:val="18"/>
        </w:rPr>
        <w:footnoteRef/>
      </w:r>
      <w:r w:rsidRPr="00940170">
        <w:rPr>
          <w:rFonts w:ascii="Arial" w:hAnsi="Arial" w:cs="Arial"/>
          <w:sz w:val="18"/>
          <w:szCs w:val="18"/>
        </w:rPr>
        <w:t xml:space="preserve"> La EPS podrá perseguir el pago de dichas incapacidades ante la Entidad Administradora de los Recursos del Sistema General de Seguridad Social en Salud, según el artículo 67 de la Ley 1753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Pr="00940170" w:rsidRDefault="00DC74FF" w:rsidP="00940170">
    <w:pPr>
      <w:pStyle w:val="Ttulo1"/>
      <w:spacing w:before="0" w:after="0"/>
      <w:ind w:right="50"/>
      <w:jc w:val="center"/>
      <w:rPr>
        <w:rFonts w:ascii="Arial" w:hAnsi="Arial" w:cs="Arial"/>
        <w:b w:val="0"/>
        <w:sz w:val="18"/>
        <w:szCs w:val="14"/>
      </w:rPr>
    </w:pPr>
    <w:r w:rsidRPr="00940170">
      <w:rPr>
        <w:rFonts w:ascii="Arial" w:hAnsi="Arial" w:cs="Arial"/>
        <w:b w:val="0"/>
        <w:sz w:val="18"/>
        <w:szCs w:val="14"/>
      </w:rPr>
      <w:t xml:space="preserve">José Abelardo Naranjo </w:t>
    </w:r>
    <w:r w:rsidR="00F24D27" w:rsidRPr="00940170">
      <w:rPr>
        <w:rFonts w:ascii="Arial" w:hAnsi="Arial" w:cs="Arial"/>
        <w:b w:val="0"/>
        <w:sz w:val="18"/>
        <w:szCs w:val="14"/>
      </w:rPr>
      <w:t>Hernández</w:t>
    </w:r>
    <w:r w:rsidR="0090134C" w:rsidRPr="00940170">
      <w:rPr>
        <w:rFonts w:ascii="Arial" w:hAnsi="Arial" w:cs="Arial"/>
        <w:b w:val="0"/>
        <w:sz w:val="18"/>
        <w:szCs w:val="14"/>
      </w:rPr>
      <w:t xml:space="preserve"> </w:t>
    </w:r>
    <w:r w:rsidR="00E55166" w:rsidRPr="00940170">
      <w:rPr>
        <w:rFonts w:ascii="Arial" w:hAnsi="Arial" w:cs="Arial"/>
        <w:b w:val="0"/>
        <w:sz w:val="18"/>
        <w:szCs w:val="14"/>
      </w:rPr>
      <w:t xml:space="preserve">Vs </w:t>
    </w:r>
    <w:r w:rsidR="0090134C" w:rsidRPr="00940170">
      <w:rPr>
        <w:rFonts w:ascii="Arial" w:hAnsi="Arial" w:cs="Arial"/>
        <w:b w:val="0"/>
        <w:sz w:val="18"/>
        <w:szCs w:val="14"/>
      </w:rPr>
      <w:t>Nueva EPS y otr</w:t>
    </w:r>
    <w:r w:rsidRPr="00940170">
      <w:rPr>
        <w:rFonts w:ascii="Arial" w:hAnsi="Arial" w:cs="Arial"/>
        <w:b w:val="0"/>
        <w:sz w:val="18"/>
        <w:szCs w:val="14"/>
      </w:rPr>
      <w:t>a</w:t>
    </w:r>
    <w:r w:rsidR="00E55166" w:rsidRPr="00940170">
      <w:rPr>
        <w:rFonts w:ascii="Arial" w:hAnsi="Arial" w:cs="Arial"/>
        <w:b w:val="0"/>
        <w:sz w:val="18"/>
        <w:szCs w:val="14"/>
      </w:rPr>
      <w:t>. Rad. 66001-31-05-00</w:t>
    </w:r>
    <w:r w:rsidRPr="00940170">
      <w:rPr>
        <w:rFonts w:ascii="Arial" w:hAnsi="Arial" w:cs="Arial"/>
        <w:b w:val="0"/>
        <w:sz w:val="18"/>
        <w:szCs w:val="14"/>
      </w:rPr>
      <w:t>2</w:t>
    </w:r>
    <w:r w:rsidR="00E55166" w:rsidRPr="00940170">
      <w:rPr>
        <w:rFonts w:ascii="Arial" w:hAnsi="Arial" w:cs="Arial"/>
        <w:b w:val="0"/>
        <w:sz w:val="18"/>
        <w:szCs w:val="14"/>
      </w:rPr>
      <w:t>-20</w:t>
    </w:r>
    <w:r w:rsidR="0090134C" w:rsidRPr="00940170">
      <w:rPr>
        <w:rFonts w:ascii="Arial" w:hAnsi="Arial" w:cs="Arial"/>
        <w:b w:val="0"/>
        <w:sz w:val="18"/>
        <w:szCs w:val="14"/>
      </w:rPr>
      <w:t>20</w:t>
    </w:r>
    <w:r w:rsidR="00E55166" w:rsidRPr="00940170">
      <w:rPr>
        <w:rFonts w:ascii="Arial" w:hAnsi="Arial" w:cs="Arial"/>
        <w:b w:val="0"/>
        <w:sz w:val="18"/>
        <w:szCs w:val="14"/>
      </w:rPr>
      <w:t>-00</w:t>
    </w:r>
    <w:r w:rsidRPr="00940170">
      <w:rPr>
        <w:rFonts w:ascii="Arial" w:hAnsi="Arial" w:cs="Arial"/>
        <w:b w:val="0"/>
        <w:sz w:val="18"/>
        <w:szCs w:val="14"/>
      </w:rPr>
      <w:t>289</w:t>
    </w:r>
    <w:r w:rsidR="00E55166" w:rsidRPr="00940170">
      <w:rPr>
        <w:rFonts w:ascii="Arial" w:hAnsi="Arial" w:cs="Arial"/>
        <w:b w:val="0"/>
        <w:sz w:val="18"/>
        <w:szCs w:val="14"/>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9">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1">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2">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3">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E5261B"/>
    <w:multiLevelType w:val="multilevel"/>
    <w:tmpl w:val="934678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2">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1"/>
  </w:num>
  <w:num w:numId="4">
    <w:abstractNumId w:val="8"/>
  </w:num>
  <w:num w:numId="5">
    <w:abstractNumId w:val="0"/>
  </w:num>
  <w:num w:numId="6">
    <w:abstractNumId w:val="2"/>
  </w:num>
  <w:num w:numId="7">
    <w:abstractNumId w:val="5"/>
  </w:num>
  <w:num w:numId="8">
    <w:abstractNumId w:val="1"/>
  </w:num>
  <w:num w:numId="9">
    <w:abstractNumId w:val="21"/>
  </w:num>
  <w:num w:numId="10">
    <w:abstractNumId w:val="12"/>
  </w:num>
  <w:num w:numId="11">
    <w:abstractNumId w:val="9"/>
  </w:num>
  <w:num w:numId="12">
    <w:abstractNumId w:val="22"/>
  </w:num>
  <w:num w:numId="13">
    <w:abstractNumId w:val="23"/>
  </w:num>
  <w:num w:numId="14">
    <w:abstractNumId w:val="4"/>
  </w:num>
  <w:num w:numId="15">
    <w:abstractNumId w:val="19"/>
  </w:num>
  <w:num w:numId="16">
    <w:abstractNumId w:val="6"/>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7"/>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rson w15:author="German Dario Goez Vinasco">
    <w15:presenceInfo w15:providerId="AD" w15:userId="S::ggoezv@cendoj.ramajudicial.gov.co::0673916d-be95-449b-863d-173c5269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355A"/>
    <w:rsid w:val="00001B1A"/>
    <w:rsid w:val="0000742D"/>
    <w:rsid w:val="000111EF"/>
    <w:rsid w:val="00014FEB"/>
    <w:rsid w:val="00015AF3"/>
    <w:rsid w:val="000216E2"/>
    <w:rsid w:val="00035885"/>
    <w:rsid w:val="000358E7"/>
    <w:rsid w:val="000445B6"/>
    <w:rsid w:val="000657B2"/>
    <w:rsid w:val="00072225"/>
    <w:rsid w:val="00081863"/>
    <w:rsid w:val="00091765"/>
    <w:rsid w:val="00097556"/>
    <w:rsid w:val="000A039B"/>
    <w:rsid w:val="000A2C1D"/>
    <w:rsid w:val="000A547C"/>
    <w:rsid w:val="000B7470"/>
    <w:rsid w:val="000C07D6"/>
    <w:rsid w:val="000C45EB"/>
    <w:rsid w:val="000D0061"/>
    <w:rsid w:val="000D0550"/>
    <w:rsid w:val="000D7568"/>
    <w:rsid w:val="000E0A9B"/>
    <w:rsid w:val="000E5F56"/>
    <w:rsid w:val="000E646B"/>
    <w:rsid w:val="000E7743"/>
    <w:rsid w:val="000F38DE"/>
    <w:rsid w:val="00100D32"/>
    <w:rsid w:val="00106163"/>
    <w:rsid w:val="00111ECA"/>
    <w:rsid w:val="00112D3A"/>
    <w:rsid w:val="001237FE"/>
    <w:rsid w:val="001253A5"/>
    <w:rsid w:val="001259A9"/>
    <w:rsid w:val="00133FB7"/>
    <w:rsid w:val="001343B8"/>
    <w:rsid w:val="001535FE"/>
    <w:rsid w:val="001545D4"/>
    <w:rsid w:val="00157AEE"/>
    <w:rsid w:val="001631DE"/>
    <w:rsid w:val="00166247"/>
    <w:rsid w:val="00167A45"/>
    <w:rsid w:val="00167BF2"/>
    <w:rsid w:val="00167F8B"/>
    <w:rsid w:val="00172866"/>
    <w:rsid w:val="00175FF5"/>
    <w:rsid w:val="00177139"/>
    <w:rsid w:val="00181F6E"/>
    <w:rsid w:val="00182639"/>
    <w:rsid w:val="001B2E5C"/>
    <w:rsid w:val="001B336F"/>
    <w:rsid w:val="001B77A3"/>
    <w:rsid w:val="001C5950"/>
    <w:rsid w:val="001C6C77"/>
    <w:rsid w:val="001D0568"/>
    <w:rsid w:val="001D4A1C"/>
    <w:rsid w:val="001E100F"/>
    <w:rsid w:val="001E1727"/>
    <w:rsid w:val="001E19F4"/>
    <w:rsid w:val="001F0626"/>
    <w:rsid w:val="001F31CC"/>
    <w:rsid w:val="00210E59"/>
    <w:rsid w:val="00211E51"/>
    <w:rsid w:val="002132A5"/>
    <w:rsid w:val="0021355A"/>
    <w:rsid w:val="00216B4D"/>
    <w:rsid w:val="00217D18"/>
    <w:rsid w:val="00226905"/>
    <w:rsid w:val="00230D87"/>
    <w:rsid w:val="00235EB9"/>
    <w:rsid w:val="0024117E"/>
    <w:rsid w:val="00242E77"/>
    <w:rsid w:val="0025011A"/>
    <w:rsid w:val="0025070E"/>
    <w:rsid w:val="00254D91"/>
    <w:rsid w:val="002552A3"/>
    <w:rsid w:val="00271C28"/>
    <w:rsid w:val="0027200A"/>
    <w:rsid w:val="002758A2"/>
    <w:rsid w:val="002814AD"/>
    <w:rsid w:val="00286CF0"/>
    <w:rsid w:val="0029620E"/>
    <w:rsid w:val="0029642F"/>
    <w:rsid w:val="002A2AE9"/>
    <w:rsid w:val="002B5E02"/>
    <w:rsid w:val="002B60D4"/>
    <w:rsid w:val="002C02FA"/>
    <w:rsid w:val="002D145C"/>
    <w:rsid w:val="002D2577"/>
    <w:rsid w:val="002E24F8"/>
    <w:rsid w:val="002E4DF2"/>
    <w:rsid w:val="002E6FF9"/>
    <w:rsid w:val="002F7123"/>
    <w:rsid w:val="002F73EE"/>
    <w:rsid w:val="00303073"/>
    <w:rsid w:val="00303513"/>
    <w:rsid w:val="003077D5"/>
    <w:rsid w:val="003107BA"/>
    <w:rsid w:val="00311524"/>
    <w:rsid w:val="00314FD9"/>
    <w:rsid w:val="003428C9"/>
    <w:rsid w:val="003443AF"/>
    <w:rsid w:val="00350622"/>
    <w:rsid w:val="0035153F"/>
    <w:rsid w:val="00352D0E"/>
    <w:rsid w:val="003650E7"/>
    <w:rsid w:val="003812A2"/>
    <w:rsid w:val="003857DC"/>
    <w:rsid w:val="003860AB"/>
    <w:rsid w:val="00386A44"/>
    <w:rsid w:val="003A706B"/>
    <w:rsid w:val="003B03B9"/>
    <w:rsid w:val="003B659C"/>
    <w:rsid w:val="003B6673"/>
    <w:rsid w:val="003C4428"/>
    <w:rsid w:val="003D15BF"/>
    <w:rsid w:val="003D6010"/>
    <w:rsid w:val="003D7E30"/>
    <w:rsid w:val="003E17DB"/>
    <w:rsid w:val="003E2921"/>
    <w:rsid w:val="003E4977"/>
    <w:rsid w:val="003F1498"/>
    <w:rsid w:val="003F4749"/>
    <w:rsid w:val="003F6DB6"/>
    <w:rsid w:val="00400BDD"/>
    <w:rsid w:val="0040634F"/>
    <w:rsid w:val="00412A74"/>
    <w:rsid w:val="00414219"/>
    <w:rsid w:val="004151AE"/>
    <w:rsid w:val="00415235"/>
    <w:rsid w:val="004218EB"/>
    <w:rsid w:val="004234CB"/>
    <w:rsid w:val="004235AD"/>
    <w:rsid w:val="00437694"/>
    <w:rsid w:val="004401BE"/>
    <w:rsid w:val="00441440"/>
    <w:rsid w:val="00441751"/>
    <w:rsid w:val="004419E2"/>
    <w:rsid w:val="00441AA4"/>
    <w:rsid w:val="004428B8"/>
    <w:rsid w:val="004506D5"/>
    <w:rsid w:val="00450A82"/>
    <w:rsid w:val="00453661"/>
    <w:rsid w:val="0047632D"/>
    <w:rsid w:val="00477552"/>
    <w:rsid w:val="00482B91"/>
    <w:rsid w:val="00485158"/>
    <w:rsid w:val="00487576"/>
    <w:rsid w:val="0049405E"/>
    <w:rsid w:val="00497B93"/>
    <w:rsid w:val="004A1842"/>
    <w:rsid w:val="004C0A45"/>
    <w:rsid w:val="004C78A6"/>
    <w:rsid w:val="004D33AA"/>
    <w:rsid w:val="004D4DE7"/>
    <w:rsid w:val="004F1842"/>
    <w:rsid w:val="005027AB"/>
    <w:rsid w:val="005040D0"/>
    <w:rsid w:val="00505976"/>
    <w:rsid w:val="00505BF6"/>
    <w:rsid w:val="00524F37"/>
    <w:rsid w:val="00526C76"/>
    <w:rsid w:val="0053379E"/>
    <w:rsid w:val="005339BD"/>
    <w:rsid w:val="00536B40"/>
    <w:rsid w:val="00541FDD"/>
    <w:rsid w:val="005431E5"/>
    <w:rsid w:val="00550297"/>
    <w:rsid w:val="00553742"/>
    <w:rsid w:val="00553B82"/>
    <w:rsid w:val="0055663A"/>
    <w:rsid w:val="00560131"/>
    <w:rsid w:val="0056750E"/>
    <w:rsid w:val="0056769A"/>
    <w:rsid w:val="005707B8"/>
    <w:rsid w:val="00581201"/>
    <w:rsid w:val="00587672"/>
    <w:rsid w:val="00590BAF"/>
    <w:rsid w:val="00592204"/>
    <w:rsid w:val="00593D3B"/>
    <w:rsid w:val="005950F3"/>
    <w:rsid w:val="005960A3"/>
    <w:rsid w:val="005A4DDD"/>
    <w:rsid w:val="005B1865"/>
    <w:rsid w:val="005C3E9C"/>
    <w:rsid w:val="005C68FC"/>
    <w:rsid w:val="005E0FD0"/>
    <w:rsid w:val="005E5DF6"/>
    <w:rsid w:val="005F69C2"/>
    <w:rsid w:val="006004C2"/>
    <w:rsid w:val="00602D9A"/>
    <w:rsid w:val="00611C99"/>
    <w:rsid w:val="0061581C"/>
    <w:rsid w:val="00624E49"/>
    <w:rsid w:val="0062761F"/>
    <w:rsid w:val="00632804"/>
    <w:rsid w:val="00632B1D"/>
    <w:rsid w:val="00633870"/>
    <w:rsid w:val="00641E3C"/>
    <w:rsid w:val="0065028F"/>
    <w:rsid w:val="0067059A"/>
    <w:rsid w:val="00670AA8"/>
    <w:rsid w:val="00670F72"/>
    <w:rsid w:val="0067387C"/>
    <w:rsid w:val="0067490E"/>
    <w:rsid w:val="0068333E"/>
    <w:rsid w:val="00686ACC"/>
    <w:rsid w:val="00687115"/>
    <w:rsid w:val="00690EFF"/>
    <w:rsid w:val="006911E2"/>
    <w:rsid w:val="00691F31"/>
    <w:rsid w:val="006A290A"/>
    <w:rsid w:val="006A7CF4"/>
    <w:rsid w:val="006B1973"/>
    <w:rsid w:val="006B7DC9"/>
    <w:rsid w:val="006C34FE"/>
    <w:rsid w:val="006C4FB2"/>
    <w:rsid w:val="006C54B2"/>
    <w:rsid w:val="006C5D7C"/>
    <w:rsid w:val="006D28E7"/>
    <w:rsid w:val="006D2938"/>
    <w:rsid w:val="006D7848"/>
    <w:rsid w:val="007046DC"/>
    <w:rsid w:val="00704D95"/>
    <w:rsid w:val="00705734"/>
    <w:rsid w:val="007111CC"/>
    <w:rsid w:val="00720397"/>
    <w:rsid w:val="00721AF2"/>
    <w:rsid w:val="00726A14"/>
    <w:rsid w:val="00730CC7"/>
    <w:rsid w:val="00733FE2"/>
    <w:rsid w:val="00734BBA"/>
    <w:rsid w:val="00735089"/>
    <w:rsid w:val="00735D91"/>
    <w:rsid w:val="0074084F"/>
    <w:rsid w:val="007508CA"/>
    <w:rsid w:val="00761331"/>
    <w:rsid w:val="00761BA4"/>
    <w:rsid w:val="00761E57"/>
    <w:rsid w:val="00783128"/>
    <w:rsid w:val="00783FBC"/>
    <w:rsid w:val="00787B49"/>
    <w:rsid w:val="007A60C1"/>
    <w:rsid w:val="007A6999"/>
    <w:rsid w:val="007B2E7B"/>
    <w:rsid w:val="007B360E"/>
    <w:rsid w:val="007D0D9C"/>
    <w:rsid w:val="007F434A"/>
    <w:rsid w:val="007F67FD"/>
    <w:rsid w:val="007F7E37"/>
    <w:rsid w:val="0080130D"/>
    <w:rsid w:val="00802881"/>
    <w:rsid w:val="008030EC"/>
    <w:rsid w:val="00806606"/>
    <w:rsid w:val="00815BC2"/>
    <w:rsid w:val="00815DAA"/>
    <w:rsid w:val="00823F91"/>
    <w:rsid w:val="008362F3"/>
    <w:rsid w:val="00836451"/>
    <w:rsid w:val="0083671C"/>
    <w:rsid w:val="00836B4C"/>
    <w:rsid w:val="008379D3"/>
    <w:rsid w:val="00840C00"/>
    <w:rsid w:val="00851411"/>
    <w:rsid w:val="00863F04"/>
    <w:rsid w:val="008724D0"/>
    <w:rsid w:val="00874B10"/>
    <w:rsid w:val="0087515C"/>
    <w:rsid w:val="00883913"/>
    <w:rsid w:val="00891337"/>
    <w:rsid w:val="00893BA4"/>
    <w:rsid w:val="008940AA"/>
    <w:rsid w:val="008C260E"/>
    <w:rsid w:val="008C40AE"/>
    <w:rsid w:val="008D0937"/>
    <w:rsid w:val="008D29D6"/>
    <w:rsid w:val="008D6A1C"/>
    <w:rsid w:val="008E3585"/>
    <w:rsid w:val="008E5615"/>
    <w:rsid w:val="008E6DE2"/>
    <w:rsid w:val="008F20C1"/>
    <w:rsid w:val="008F266D"/>
    <w:rsid w:val="008F6D7B"/>
    <w:rsid w:val="009008BC"/>
    <w:rsid w:val="00900E2A"/>
    <w:rsid w:val="0090134C"/>
    <w:rsid w:val="0090265B"/>
    <w:rsid w:val="00904972"/>
    <w:rsid w:val="00910DE9"/>
    <w:rsid w:val="009237AA"/>
    <w:rsid w:val="00924FB8"/>
    <w:rsid w:val="0092559A"/>
    <w:rsid w:val="0093231A"/>
    <w:rsid w:val="00936021"/>
    <w:rsid w:val="00937EF7"/>
    <w:rsid w:val="00940170"/>
    <w:rsid w:val="009439F7"/>
    <w:rsid w:val="00945234"/>
    <w:rsid w:val="00945972"/>
    <w:rsid w:val="009630F6"/>
    <w:rsid w:val="0096765A"/>
    <w:rsid w:val="0097511F"/>
    <w:rsid w:val="00980EC1"/>
    <w:rsid w:val="00992D48"/>
    <w:rsid w:val="00993121"/>
    <w:rsid w:val="00993B11"/>
    <w:rsid w:val="009945C9"/>
    <w:rsid w:val="00995930"/>
    <w:rsid w:val="009A1AFD"/>
    <w:rsid w:val="009A33FF"/>
    <w:rsid w:val="009A52F8"/>
    <w:rsid w:val="009B0649"/>
    <w:rsid w:val="009B0FC4"/>
    <w:rsid w:val="009B37BD"/>
    <w:rsid w:val="009B5B2C"/>
    <w:rsid w:val="009B6864"/>
    <w:rsid w:val="009C08DC"/>
    <w:rsid w:val="009C4562"/>
    <w:rsid w:val="009D22C4"/>
    <w:rsid w:val="009D3AD2"/>
    <w:rsid w:val="009D426E"/>
    <w:rsid w:val="009D7E83"/>
    <w:rsid w:val="009E4C85"/>
    <w:rsid w:val="009E4F11"/>
    <w:rsid w:val="009F601A"/>
    <w:rsid w:val="009F6100"/>
    <w:rsid w:val="009F7FD8"/>
    <w:rsid w:val="00A00739"/>
    <w:rsid w:val="00A0790B"/>
    <w:rsid w:val="00A15AE2"/>
    <w:rsid w:val="00A17528"/>
    <w:rsid w:val="00A23B33"/>
    <w:rsid w:val="00A3584E"/>
    <w:rsid w:val="00A41529"/>
    <w:rsid w:val="00A4697B"/>
    <w:rsid w:val="00A4795E"/>
    <w:rsid w:val="00A57A98"/>
    <w:rsid w:val="00A62B88"/>
    <w:rsid w:val="00A62FC4"/>
    <w:rsid w:val="00A65BDA"/>
    <w:rsid w:val="00A66767"/>
    <w:rsid w:val="00A74DC3"/>
    <w:rsid w:val="00A7642F"/>
    <w:rsid w:val="00A77B7E"/>
    <w:rsid w:val="00A82585"/>
    <w:rsid w:val="00A8362A"/>
    <w:rsid w:val="00A94377"/>
    <w:rsid w:val="00A95EC7"/>
    <w:rsid w:val="00A969D9"/>
    <w:rsid w:val="00AA31C0"/>
    <w:rsid w:val="00AA5E75"/>
    <w:rsid w:val="00AA6B8A"/>
    <w:rsid w:val="00AB11EC"/>
    <w:rsid w:val="00AC1305"/>
    <w:rsid w:val="00AC327C"/>
    <w:rsid w:val="00AC32B4"/>
    <w:rsid w:val="00AD3B39"/>
    <w:rsid w:val="00AD58CD"/>
    <w:rsid w:val="00AD7A46"/>
    <w:rsid w:val="00AE0D03"/>
    <w:rsid w:val="00AF7105"/>
    <w:rsid w:val="00B046F1"/>
    <w:rsid w:val="00B07A71"/>
    <w:rsid w:val="00B1506F"/>
    <w:rsid w:val="00B15CC0"/>
    <w:rsid w:val="00B17DD2"/>
    <w:rsid w:val="00B22B4A"/>
    <w:rsid w:val="00B237E3"/>
    <w:rsid w:val="00B45799"/>
    <w:rsid w:val="00B52AC0"/>
    <w:rsid w:val="00B60318"/>
    <w:rsid w:val="00B64F66"/>
    <w:rsid w:val="00B67AC3"/>
    <w:rsid w:val="00B67C7C"/>
    <w:rsid w:val="00B717A4"/>
    <w:rsid w:val="00B73BB1"/>
    <w:rsid w:val="00B77A2F"/>
    <w:rsid w:val="00B81A8C"/>
    <w:rsid w:val="00B82F9F"/>
    <w:rsid w:val="00B90F53"/>
    <w:rsid w:val="00B9582D"/>
    <w:rsid w:val="00BA5689"/>
    <w:rsid w:val="00BB1859"/>
    <w:rsid w:val="00BB2BF9"/>
    <w:rsid w:val="00BB5AFA"/>
    <w:rsid w:val="00BC78A5"/>
    <w:rsid w:val="00BD3409"/>
    <w:rsid w:val="00BE019E"/>
    <w:rsid w:val="00BE1EC6"/>
    <w:rsid w:val="00BE40C8"/>
    <w:rsid w:val="00BE6B5A"/>
    <w:rsid w:val="00BE75E9"/>
    <w:rsid w:val="00BF147B"/>
    <w:rsid w:val="00BF2655"/>
    <w:rsid w:val="00BF2844"/>
    <w:rsid w:val="00BF4717"/>
    <w:rsid w:val="00BF472B"/>
    <w:rsid w:val="00C04D2D"/>
    <w:rsid w:val="00C0697C"/>
    <w:rsid w:val="00C10DF1"/>
    <w:rsid w:val="00C110A9"/>
    <w:rsid w:val="00C11F30"/>
    <w:rsid w:val="00C216E2"/>
    <w:rsid w:val="00C22918"/>
    <w:rsid w:val="00C245CC"/>
    <w:rsid w:val="00C2488E"/>
    <w:rsid w:val="00C26749"/>
    <w:rsid w:val="00C33CEE"/>
    <w:rsid w:val="00C3705A"/>
    <w:rsid w:val="00C414C0"/>
    <w:rsid w:val="00C42D04"/>
    <w:rsid w:val="00C479B1"/>
    <w:rsid w:val="00C55C5F"/>
    <w:rsid w:val="00C5706F"/>
    <w:rsid w:val="00C570D5"/>
    <w:rsid w:val="00C60E4C"/>
    <w:rsid w:val="00C6112A"/>
    <w:rsid w:val="00C63144"/>
    <w:rsid w:val="00C63F87"/>
    <w:rsid w:val="00C66EA8"/>
    <w:rsid w:val="00C7067F"/>
    <w:rsid w:val="00C72810"/>
    <w:rsid w:val="00C736B2"/>
    <w:rsid w:val="00C7591A"/>
    <w:rsid w:val="00C7787B"/>
    <w:rsid w:val="00C833CD"/>
    <w:rsid w:val="00C83CD1"/>
    <w:rsid w:val="00C91C05"/>
    <w:rsid w:val="00C926F0"/>
    <w:rsid w:val="00CA4C32"/>
    <w:rsid w:val="00CB1D2C"/>
    <w:rsid w:val="00CB5080"/>
    <w:rsid w:val="00CB64DA"/>
    <w:rsid w:val="00CC79AD"/>
    <w:rsid w:val="00CD0920"/>
    <w:rsid w:val="00CD6843"/>
    <w:rsid w:val="00CD6C04"/>
    <w:rsid w:val="00CD7FAE"/>
    <w:rsid w:val="00CE4E64"/>
    <w:rsid w:val="00CE7514"/>
    <w:rsid w:val="00CF51AC"/>
    <w:rsid w:val="00D074FB"/>
    <w:rsid w:val="00D22D72"/>
    <w:rsid w:val="00D23BA9"/>
    <w:rsid w:val="00D27059"/>
    <w:rsid w:val="00D367EA"/>
    <w:rsid w:val="00D372FE"/>
    <w:rsid w:val="00D37569"/>
    <w:rsid w:val="00D41CB1"/>
    <w:rsid w:val="00D44C5F"/>
    <w:rsid w:val="00D62760"/>
    <w:rsid w:val="00D64C1D"/>
    <w:rsid w:val="00D6781D"/>
    <w:rsid w:val="00D67D35"/>
    <w:rsid w:val="00D7223A"/>
    <w:rsid w:val="00D8773D"/>
    <w:rsid w:val="00D87CFC"/>
    <w:rsid w:val="00DA2B21"/>
    <w:rsid w:val="00DA5E34"/>
    <w:rsid w:val="00DA67BA"/>
    <w:rsid w:val="00DC3B29"/>
    <w:rsid w:val="00DC74FF"/>
    <w:rsid w:val="00DC75E2"/>
    <w:rsid w:val="00DC7CE0"/>
    <w:rsid w:val="00DD2E29"/>
    <w:rsid w:val="00DE11B6"/>
    <w:rsid w:val="00DF00F6"/>
    <w:rsid w:val="00DF5382"/>
    <w:rsid w:val="00DF55C6"/>
    <w:rsid w:val="00E01F69"/>
    <w:rsid w:val="00E042A5"/>
    <w:rsid w:val="00E045D7"/>
    <w:rsid w:val="00E052D5"/>
    <w:rsid w:val="00E0549F"/>
    <w:rsid w:val="00E07A4A"/>
    <w:rsid w:val="00E11A4D"/>
    <w:rsid w:val="00E13DAB"/>
    <w:rsid w:val="00E1688D"/>
    <w:rsid w:val="00E30CE9"/>
    <w:rsid w:val="00E30DDA"/>
    <w:rsid w:val="00E42AF1"/>
    <w:rsid w:val="00E55166"/>
    <w:rsid w:val="00E55945"/>
    <w:rsid w:val="00E56329"/>
    <w:rsid w:val="00E57410"/>
    <w:rsid w:val="00E655B8"/>
    <w:rsid w:val="00E65E57"/>
    <w:rsid w:val="00E743D5"/>
    <w:rsid w:val="00E74547"/>
    <w:rsid w:val="00E8300A"/>
    <w:rsid w:val="00E838D2"/>
    <w:rsid w:val="00E90A85"/>
    <w:rsid w:val="00E921C7"/>
    <w:rsid w:val="00EA173C"/>
    <w:rsid w:val="00EA75C8"/>
    <w:rsid w:val="00EC3428"/>
    <w:rsid w:val="00EC52FE"/>
    <w:rsid w:val="00EC5C98"/>
    <w:rsid w:val="00ED001D"/>
    <w:rsid w:val="00ED3988"/>
    <w:rsid w:val="00EE25FF"/>
    <w:rsid w:val="00EE4F34"/>
    <w:rsid w:val="00F00DCC"/>
    <w:rsid w:val="00F00FFE"/>
    <w:rsid w:val="00F04959"/>
    <w:rsid w:val="00F0565B"/>
    <w:rsid w:val="00F058A3"/>
    <w:rsid w:val="00F07F9A"/>
    <w:rsid w:val="00F11E1D"/>
    <w:rsid w:val="00F150E0"/>
    <w:rsid w:val="00F15DBB"/>
    <w:rsid w:val="00F1707B"/>
    <w:rsid w:val="00F22582"/>
    <w:rsid w:val="00F23E29"/>
    <w:rsid w:val="00F24D27"/>
    <w:rsid w:val="00F35B85"/>
    <w:rsid w:val="00F43AB5"/>
    <w:rsid w:val="00F47C25"/>
    <w:rsid w:val="00F5029B"/>
    <w:rsid w:val="00F50BA3"/>
    <w:rsid w:val="00F5487A"/>
    <w:rsid w:val="00F80565"/>
    <w:rsid w:val="00F906EC"/>
    <w:rsid w:val="00F920CB"/>
    <w:rsid w:val="00FA5098"/>
    <w:rsid w:val="00FA7688"/>
    <w:rsid w:val="00FB0C4B"/>
    <w:rsid w:val="00FB4357"/>
    <w:rsid w:val="00FB461B"/>
    <w:rsid w:val="00FB57DB"/>
    <w:rsid w:val="00FC4515"/>
    <w:rsid w:val="00FD18CE"/>
    <w:rsid w:val="00FD2C8A"/>
    <w:rsid w:val="00FD4317"/>
    <w:rsid w:val="00FD5A50"/>
    <w:rsid w:val="00FD7B49"/>
    <w:rsid w:val="00FD7DC0"/>
    <w:rsid w:val="00FE013A"/>
    <w:rsid w:val="00FE0736"/>
    <w:rsid w:val="00FE7A48"/>
    <w:rsid w:val="015A645E"/>
    <w:rsid w:val="0261A866"/>
    <w:rsid w:val="034F207D"/>
    <w:rsid w:val="03BA68C0"/>
    <w:rsid w:val="04BAEBE0"/>
    <w:rsid w:val="04F78E32"/>
    <w:rsid w:val="05174D55"/>
    <w:rsid w:val="060EEEAB"/>
    <w:rsid w:val="06162FD1"/>
    <w:rsid w:val="07EC9855"/>
    <w:rsid w:val="08395382"/>
    <w:rsid w:val="0CAFA7B5"/>
    <w:rsid w:val="0CF6E495"/>
    <w:rsid w:val="0D2F0EB5"/>
    <w:rsid w:val="0D8F85BD"/>
    <w:rsid w:val="0F2B561E"/>
    <w:rsid w:val="0F6093BF"/>
    <w:rsid w:val="0F975642"/>
    <w:rsid w:val="0FD4226F"/>
    <w:rsid w:val="1126CABF"/>
    <w:rsid w:val="126E481B"/>
    <w:rsid w:val="12EEA8C1"/>
    <w:rsid w:val="12FEF37B"/>
    <w:rsid w:val="1339ACC8"/>
    <w:rsid w:val="13E46FF4"/>
    <w:rsid w:val="14519F08"/>
    <w:rsid w:val="15300E65"/>
    <w:rsid w:val="1572D23B"/>
    <w:rsid w:val="15B6ACE6"/>
    <w:rsid w:val="16961EAE"/>
    <w:rsid w:val="178107B9"/>
    <w:rsid w:val="1800663B"/>
    <w:rsid w:val="182F1B9F"/>
    <w:rsid w:val="1869173E"/>
    <w:rsid w:val="1911F64D"/>
    <w:rsid w:val="1925102B"/>
    <w:rsid w:val="1948215A"/>
    <w:rsid w:val="195D6711"/>
    <w:rsid w:val="19A0C031"/>
    <w:rsid w:val="1A87FB7C"/>
    <w:rsid w:val="1A9A48CA"/>
    <w:rsid w:val="1C25EE6A"/>
    <w:rsid w:val="1C2D050D"/>
    <w:rsid w:val="1CA078EC"/>
    <w:rsid w:val="1ECE5A16"/>
    <w:rsid w:val="1EF0ED01"/>
    <w:rsid w:val="1FE490BA"/>
    <w:rsid w:val="1FE98EE0"/>
    <w:rsid w:val="216761EA"/>
    <w:rsid w:val="216D16EA"/>
    <w:rsid w:val="22B96A2F"/>
    <w:rsid w:val="233A283C"/>
    <w:rsid w:val="25DAA748"/>
    <w:rsid w:val="25DB0B37"/>
    <w:rsid w:val="26014CD6"/>
    <w:rsid w:val="26ABD372"/>
    <w:rsid w:val="284EB9C0"/>
    <w:rsid w:val="29196B08"/>
    <w:rsid w:val="2941E9CF"/>
    <w:rsid w:val="29644AD9"/>
    <w:rsid w:val="29B37047"/>
    <w:rsid w:val="2B0B93AE"/>
    <w:rsid w:val="2C419431"/>
    <w:rsid w:val="2D149ACA"/>
    <w:rsid w:val="2D80FC9D"/>
    <w:rsid w:val="2DD454EA"/>
    <w:rsid w:val="2F4C48D0"/>
    <w:rsid w:val="2FF2C059"/>
    <w:rsid w:val="30E723E0"/>
    <w:rsid w:val="317E2FD7"/>
    <w:rsid w:val="345CB0F1"/>
    <w:rsid w:val="34BE6614"/>
    <w:rsid w:val="350D5212"/>
    <w:rsid w:val="3588D1DE"/>
    <w:rsid w:val="36F79EDE"/>
    <w:rsid w:val="3811975F"/>
    <w:rsid w:val="386D7351"/>
    <w:rsid w:val="39095A65"/>
    <w:rsid w:val="3969157F"/>
    <w:rsid w:val="39B77237"/>
    <w:rsid w:val="3A468EBC"/>
    <w:rsid w:val="3AA3642C"/>
    <w:rsid w:val="3B0BA032"/>
    <w:rsid w:val="3B898D87"/>
    <w:rsid w:val="3E387EA7"/>
    <w:rsid w:val="3E57560A"/>
    <w:rsid w:val="3F24E632"/>
    <w:rsid w:val="3F331F4C"/>
    <w:rsid w:val="40F7500C"/>
    <w:rsid w:val="416D3AF0"/>
    <w:rsid w:val="417F84E5"/>
    <w:rsid w:val="418EA6F4"/>
    <w:rsid w:val="41C50629"/>
    <w:rsid w:val="42CAC09F"/>
    <w:rsid w:val="42D290E8"/>
    <w:rsid w:val="439E88BA"/>
    <w:rsid w:val="43B9D3C4"/>
    <w:rsid w:val="43E9BFDB"/>
    <w:rsid w:val="445140F6"/>
    <w:rsid w:val="4718A863"/>
    <w:rsid w:val="4862B090"/>
    <w:rsid w:val="49A559D3"/>
    <w:rsid w:val="4A5263E4"/>
    <w:rsid w:val="4BCCABA9"/>
    <w:rsid w:val="4C908D31"/>
    <w:rsid w:val="4C9C2091"/>
    <w:rsid w:val="4DC0B489"/>
    <w:rsid w:val="4E802104"/>
    <w:rsid w:val="4EE4A86F"/>
    <w:rsid w:val="5006D4F4"/>
    <w:rsid w:val="501114DC"/>
    <w:rsid w:val="508E46CD"/>
    <w:rsid w:val="51134AF4"/>
    <w:rsid w:val="514107F8"/>
    <w:rsid w:val="51D4773C"/>
    <w:rsid w:val="53049C8F"/>
    <w:rsid w:val="536E6EE1"/>
    <w:rsid w:val="537E99B3"/>
    <w:rsid w:val="55F5E1DB"/>
    <w:rsid w:val="5871A5B5"/>
    <w:rsid w:val="5880D518"/>
    <w:rsid w:val="59F5F4FB"/>
    <w:rsid w:val="5A3BB0FE"/>
    <w:rsid w:val="5AF828F6"/>
    <w:rsid w:val="5C435074"/>
    <w:rsid w:val="5CA39798"/>
    <w:rsid w:val="5CA4BF2A"/>
    <w:rsid w:val="5CC319F8"/>
    <w:rsid w:val="5D6A8D41"/>
    <w:rsid w:val="5F624455"/>
    <w:rsid w:val="5FE88061"/>
    <w:rsid w:val="5FFBB041"/>
    <w:rsid w:val="617AEFAB"/>
    <w:rsid w:val="620293D7"/>
    <w:rsid w:val="62729390"/>
    <w:rsid w:val="629A66AE"/>
    <w:rsid w:val="64045071"/>
    <w:rsid w:val="64651736"/>
    <w:rsid w:val="655ADCBC"/>
    <w:rsid w:val="66842F36"/>
    <w:rsid w:val="66BA860E"/>
    <w:rsid w:val="67DC0AC8"/>
    <w:rsid w:val="680CEFFA"/>
    <w:rsid w:val="692ED3BB"/>
    <w:rsid w:val="6A1459D3"/>
    <w:rsid w:val="6A35C73B"/>
    <w:rsid w:val="6B0F6F46"/>
    <w:rsid w:val="6B8BB391"/>
    <w:rsid w:val="6BC5934F"/>
    <w:rsid w:val="6BFAAAB0"/>
    <w:rsid w:val="6C6A08D5"/>
    <w:rsid w:val="6D764AEA"/>
    <w:rsid w:val="7059C7CD"/>
    <w:rsid w:val="709CF6D6"/>
    <w:rsid w:val="723863A5"/>
    <w:rsid w:val="727F4896"/>
    <w:rsid w:val="7308F02A"/>
    <w:rsid w:val="73098831"/>
    <w:rsid w:val="73E01AB0"/>
    <w:rsid w:val="7407AAE7"/>
    <w:rsid w:val="7415DB7A"/>
    <w:rsid w:val="74751E37"/>
    <w:rsid w:val="758FC99C"/>
    <w:rsid w:val="770232E8"/>
    <w:rsid w:val="772B99FD"/>
    <w:rsid w:val="777FA83E"/>
    <w:rsid w:val="7800F4CE"/>
    <w:rsid w:val="78A0C826"/>
    <w:rsid w:val="790CC732"/>
    <w:rsid w:val="79F3432A"/>
    <w:rsid w:val="7A25CE9D"/>
    <w:rsid w:val="7C41A42F"/>
    <w:rsid w:val="7C700698"/>
    <w:rsid w:val="7D792931"/>
    <w:rsid w:val="7E14CDE3"/>
    <w:rsid w:val="7EB77E0B"/>
    <w:rsid w:val="7EDEF136"/>
    <w:rsid w:val="7FAF4898"/>
    <w:rsid w:val="7FCCC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 w:type="character" w:customStyle="1" w:styleId="eop">
    <w:name w:val="eop"/>
    <w:basedOn w:val="Fuentedeprrafopredeter"/>
    <w:rsid w:val="008D0937"/>
  </w:style>
  <w:style w:type="character" w:styleId="nfasis">
    <w:name w:val="Emphasis"/>
    <w:basedOn w:val="Fuentedeprrafopredeter"/>
    <w:uiPriority w:val="20"/>
    <w:qFormat/>
    <w:rsid w:val="005E0F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012">
      <w:bodyDiv w:val="1"/>
      <w:marLeft w:val="0"/>
      <w:marRight w:val="0"/>
      <w:marTop w:val="0"/>
      <w:marBottom w:val="0"/>
      <w:divBdr>
        <w:top w:val="none" w:sz="0" w:space="0" w:color="auto"/>
        <w:left w:val="none" w:sz="0" w:space="0" w:color="auto"/>
        <w:bottom w:val="none" w:sz="0" w:space="0" w:color="auto"/>
        <w:right w:val="none" w:sz="0" w:space="0" w:color="auto"/>
      </w:divBdr>
    </w:div>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384064485">
      <w:bodyDiv w:val="1"/>
      <w:marLeft w:val="0"/>
      <w:marRight w:val="0"/>
      <w:marTop w:val="0"/>
      <w:marBottom w:val="0"/>
      <w:divBdr>
        <w:top w:val="none" w:sz="0" w:space="0" w:color="auto"/>
        <w:left w:val="none" w:sz="0" w:space="0" w:color="auto"/>
        <w:bottom w:val="none" w:sz="0" w:space="0" w:color="auto"/>
        <w:right w:val="none" w:sz="0" w:space="0" w:color="auto"/>
      </w:divBdr>
      <w:divsChild>
        <w:div w:id="671294139">
          <w:marLeft w:val="0"/>
          <w:marRight w:val="0"/>
          <w:marTop w:val="0"/>
          <w:marBottom w:val="86"/>
          <w:divBdr>
            <w:top w:val="none" w:sz="0" w:space="0" w:color="auto"/>
            <w:left w:val="none" w:sz="0" w:space="0" w:color="auto"/>
            <w:bottom w:val="none" w:sz="0" w:space="0" w:color="auto"/>
            <w:right w:val="none" w:sz="0" w:space="0" w:color="auto"/>
          </w:divBdr>
          <w:divsChild>
            <w:div w:id="1188837588">
              <w:marLeft w:val="0"/>
              <w:marRight w:val="0"/>
              <w:marTop w:val="0"/>
              <w:marBottom w:val="0"/>
              <w:divBdr>
                <w:top w:val="none" w:sz="0" w:space="0" w:color="auto"/>
                <w:left w:val="none" w:sz="0" w:space="0" w:color="auto"/>
                <w:bottom w:val="none" w:sz="0" w:space="0" w:color="auto"/>
                <w:right w:val="none" w:sz="0" w:space="0" w:color="auto"/>
              </w:divBdr>
            </w:div>
          </w:divsChild>
        </w:div>
        <w:div w:id="1942563200">
          <w:marLeft w:val="0"/>
          <w:marRight w:val="0"/>
          <w:marTop w:val="0"/>
          <w:marBottom w:val="86"/>
          <w:divBdr>
            <w:top w:val="none" w:sz="0" w:space="0" w:color="auto"/>
            <w:left w:val="none" w:sz="0" w:space="0" w:color="auto"/>
            <w:bottom w:val="none" w:sz="0" w:space="0" w:color="auto"/>
            <w:right w:val="none" w:sz="0" w:space="0" w:color="auto"/>
          </w:divBdr>
          <w:divsChild>
            <w:div w:id="1749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808">
      <w:bodyDiv w:val="1"/>
      <w:marLeft w:val="0"/>
      <w:marRight w:val="0"/>
      <w:marTop w:val="0"/>
      <w:marBottom w:val="0"/>
      <w:divBdr>
        <w:top w:val="none" w:sz="0" w:space="0" w:color="auto"/>
        <w:left w:val="none" w:sz="0" w:space="0" w:color="auto"/>
        <w:bottom w:val="none" w:sz="0" w:space="0" w:color="auto"/>
        <w:right w:val="none" w:sz="0" w:space="0" w:color="auto"/>
      </w:divBdr>
      <w:divsChild>
        <w:div w:id="1985810496">
          <w:marLeft w:val="0"/>
          <w:marRight w:val="0"/>
          <w:marTop w:val="0"/>
          <w:marBottom w:val="86"/>
          <w:divBdr>
            <w:top w:val="none" w:sz="0" w:space="0" w:color="auto"/>
            <w:left w:val="none" w:sz="0" w:space="0" w:color="auto"/>
            <w:bottom w:val="none" w:sz="0" w:space="0" w:color="auto"/>
            <w:right w:val="none" w:sz="0" w:space="0" w:color="auto"/>
          </w:divBdr>
          <w:divsChild>
            <w:div w:id="712735082">
              <w:marLeft w:val="0"/>
              <w:marRight w:val="0"/>
              <w:marTop w:val="0"/>
              <w:marBottom w:val="0"/>
              <w:divBdr>
                <w:top w:val="none" w:sz="0" w:space="0" w:color="auto"/>
                <w:left w:val="none" w:sz="0" w:space="0" w:color="auto"/>
                <w:bottom w:val="none" w:sz="0" w:space="0" w:color="auto"/>
                <w:right w:val="none" w:sz="0" w:space="0" w:color="auto"/>
              </w:divBdr>
            </w:div>
          </w:divsChild>
        </w:div>
        <w:div w:id="758334306">
          <w:marLeft w:val="0"/>
          <w:marRight w:val="0"/>
          <w:marTop w:val="0"/>
          <w:marBottom w:val="86"/>
          <w:divBdr>
            <w:top w:val="none" w:sz="0" w:space="0" w:color="auto"/>
            <w:left w:val="none" w:sz="0" w:space="0" w:color="auto"/>
            <w:bottom w:val="none" w:sz="0" w:space="0" w:color="auto"/>
            <w:right w:val="none" w:sz="0" w:space="0" w:color="auto"/>
          </w:divBdr>
          <w:divsChild>
            <w:div w:id="1684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88995446">
      <w:bodyDiv w:val="1"/>
      <w:marLeft w:val="0"/>
      <w:marRight w:val="0"/>
      <w:marTop w:val="0"/>
      <w:marBottom w:val="0"/>
      <w:divBdr>
        <w:top w:val="none" w:sz="0" w:space="0" w:color="auto"/>
        <w:left w:val="none" w:sz="0" w:space="0" w:color="auto"/>
        <w:bottom w:val="none" w:sz="0" w:space="0" w:color="auto"/>
        <w:right w:val="none" w:sz="0" w:space="0" w:color="auto"/>
      </w:divBdr>
      <w:divsChild>
        <w:div w:id="877857274">
          <w:marLeft w:val="0"/>
          <w:marRight w:val="0"/>
          <w:marTop w:val="0"/>
          <w:marBottom w:val="86"/>
          <w:divBdr>
            <w:top w:val="none" w:sz="0" w:space="0" w:color="auto"/>
            <w:left w:val="none" w:sz="0" w:space="0" w:color="auto"/>
            <w:bottom w:val="none" w:sz="0" w:space="0" w:color="auto"/>
            <w:right w:val="none" w:sz="0" w:space="0" w:color="auto"/>
          </w:divBdr>
          <w:divsChild>
            <w:div w:id="8131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 w:id="2029721576">
      <w:bodyDiv w:val="1"/>
      <w:marLeft w:val="0"/>
      <w:marRight w:val="0"/>
      <w:marTop w:val="0"/>
      <w:marBottom w:val="0"/>
      <w:divBdr>
        <w:top w:val="none" w:sz="0" w:space="0" w:color="auto"/>
        <w:left w:val="none" w:sz="0" w:space="0" w:color="auto"/>
        <w:bottom w:val="none" w:sz="0" w:space="0" w:color="auto"/>
        <w:right w:val="none" w:sz="0" w:space="0" w:color="auto"/>
      </w:divBdr>
      <w:divsChild>
        <w:div w:id="544951336">
          <w:marLeft w:val="0"/>
          <w:marRight w:val="0"/>
          <w:marTop w:val="86"/>
          <w:marBottom w:val="86"/>
          <w:divBdr>
            <w:top w:val="none" w:sz="0" w:space="0" w:color="auto"/>
            <w:left w:val="none" w:sz="0" w:space="0" w:color="auto"/>
            <w:bottom w:val="none" w:sz="0" w:space="0" w:color="auto"/>
            <w:right w:val="none" w:sz="0" w:space="0" w:color="auto"/>
          </w:divBdr>
          <w:divsChild>
            <w:div w:id="1752585873">
              <w:marLeft w:val="0"/>
              <w:marRight w:val="0"/>
              <w:marTop w:val="0"/>
              <w:marBottom w:val="0"/>
              <w:divBdr>
                <w:top w:val="none" w:sz="0" w:space="0" w:color="auto"/>
                <w:left w:val="none" w:sz="0" w:space="0" w:color="auto"/>
                <w:bottom w:val="none" w:sz="0" w:space="0" w:color="auto"/>
                <w:right w:val="none" w:sz="0" w:space="0" w:color="auto"/>
              </w:divBdr>
            </w:div>
          </w:divsChild>
        </w:div>
        <w:div w:id="1932736015">
          <w:marLeft w:val="0"/>
          <w:marRight w:val="0"/>
          <w:marTop w:val="0"/>
          <w:marBottom w:val="86"/>
          <w:divBdr>
            <w:top w:val="none" w:sz="0" w:space="0" w:color="auto"/>
            <w:left w:val="none" w:sz="0" w:space="0" w:color="auto"/>
            <w:bottom w:val="none" w:sz="0" w:space="0" w:color="auto"/>
            <w:right w:val="none" w:sz="0" w:space="0" w:color="auto"/>
          </w:divBdr>
          <w:divsChild>
            <w:div w:id="779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63E0D-0521-4E3F-966D-DBD4938C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DA8E695-5763-4F68-B3B8-05F49343F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3677</Words>
  <Characters>20228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ALONSO</cp:lastModifiedBy>
  <cp:revision>4</cp:revision>
  <cp:lastPrinted>2020-02-19T15:27:00Z</cp:lastPrinted>
  <dcterms:created xsi:type="dcterms:W3CDTF">2021-01-26T12:37:00Z</dcterms:created>
  <dcterms:modified xsi:type="dcterms:W3CDTF">2021-02-10T21:26:00Z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