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8B" w:rsidRPr="002D328B" w:rsidRDefault="002D328B" w:rsidP="002D328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2D328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D328B" w:rsidRPr="002D328B" w:rsidRDefault="002D328B" w:rsidP="002D328B">
      <w:pPr>
        <w:jc w:val="both"/>
        <w:rPr>
          <w:rFonts w:ascii="Arial" w:hAnsi="Arial" w:cs="Arial"/>
          <w:sz w:val="20"/>
          <w:szCs w:val="20"/>
          <w:lang w:val="es-419"/>
        </w:rPr>
      </w:pPr>
    </w:p>
    <w:p w:rsidR="00B64273" w:rsidRPr="00B64273" w:rsidRDefault="00B64273" w:rsidP="00B64273">
      <w:pPr>
        <w:jc w:val="both"/>
        <w:rPr>
          <w:rFonts w:ascii="Arial" w:hAnsi="Arial" w:cs="Arial"/>
          <w:sz w:val="20"/>
          <w:szCs w:val="20"/>
          <w:lang w:val="es-419"/>
        </w:rPr>
      </w:pPr>
      <w:r w:rsidRPr="00B64273">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B64273">
        <w:rPr>
          <w:rFonts w:ascii="Arial" w:hAnsi="Arial" w:cs="Arial"/>
          <w:sz w:val="20"/>
          <w:szCs w:val="20"/>
          <w:lang w:val="es-419"/>
        </w:rPr>
        <w:t>Sentencia de 12 de octubre de 2021</w:t>
      </w:r>
    </w:p>
    <w:p w:rsidR="00B64273" w:rsidRPr="00B64273" w:rsidRDefault="00B64273" w:rsidP="00B64273">
      <w:pPr>
        <w:jc w:val="both"/>
        <w:rPr>
          <w:rFonts w:ascii="Arial" w:hAnsi="Arial" w:cs="Arial"/>
          <w:sz w:val="20"/>
          <w:szCs w:val="20"/>
          <w:lang w:val="es-419"/>
        </w:rPr>
      </w:pPr>
      <w:r w:rsidRPr="00B64273">
        <w:rPr>
          <w:rFonts w:ascii="Arial" w:hAnsi="Arial" w:cs="Arial"/>
          <w:sz w:val="20"/>
          <w:szCs w:val="20"/>
          <w:lang w:val="es-419"/>
        </w:rPr>
        <w:t>Radicación Nro.:</w:t>
      </w:r>
      <w:r w:rsidRPr="00B64273">
        <w:rPr>
          <w:rFonts w:ascii="Arial" w:hAnsi="Arial" w:cs="Arial"/>
          <w:sz w:val="20"/>
          <w:szCs w:val="20"/>
          <w:lang w:val="es-419"/>
        </w:rPr>
        <w:tab/>
        <w:t>66001-31-05-003-2021-00292-01</w:t>
      </w:r>
    </w:p>
    <w:p w:rsidR="00B64273" w:rsidRPr="00B64273" w:rsidRDefault="00B64273" w:rsidP="00B64273">
      <w:pPr>
        <w:jc w:val="both"/>
        <w:rPr>
          <w:rFonts w:ascii="Arial" w:hAnsi="Arial" w:cs="Arial"/>
          <w:sz w:val="20"/>
          <w:szCs w:val="20"/>
          <w:lang w:val="es-419"/>
        </w:rPr>
      </w:pPr>
      <w:r w:rsidRPr="00B64273">
        <w:rPr>
          <w:rFonts w:ascii="Arial" w:hAnsi="Arial" w:cs="Arial"/>
          <w:sz w:val="20"/>
          <w:szCs w:val="20"/>
          <w:lang w:val="es-419"/>
        </w:rPr>
        <w:t>Accionante:</w:t>
      </w:r>
      <w:r w:rsidRPr="00B64273">
        <w:rPr>
          <w:rFonts w:ascii="Arial" w:hAnsi="Arial" w:cs="Arial"/>
          <w:sz w:val="20"/>
          <w:szCs w:val="20"/>
          <w:lang w:val="es-419"/>
        </w:rPr>
        <w:tab/>
      </w:r>
      <w:r w:rsidRPr="00B64273">
        <w:rPr>
          <w:rFonts w:ascii="Arial" w:hAnsi="Arial" w:cs="Arial"/>
          <w:sz w:val="20"/>
          <w:szCs w:val="20"/>
          <w:lang w:val="es-419"/>
        </w:rPr>
        <w:tab/>
        <w:t>Oscar de Jesús Castaño Rendón</w:t>
      </w:r>
    </w:p>
    <w:p w:rsidR="00B64273" w:rsidRPr="00B64273" w:rsidRDefault="00B64273" w:rsidP="00B64273">
      <w:pPr>
        <w:jc w:val="both"/>
        <w:rPr>
          <w:rFonts w:ascii="Arial" w:hAnsi="Arial" w:cs="Arial"/>
          <w:sz w:val="20"/>
          <w:szCs w:val="20"/>
          <w:lang w:val="es-419"/>
        </w:rPr>
      </w:pPr>
      <w:r w:rsidRPr="00B64273">
        <w:rPr>
          <w:rFonts w:ascii="Arial" w:hAnsi="Arial" w:cs="Arial"/>
          <w:sz w:val="20"/>
          <w:szCs w:val="20"/>
          <w:lang w:val="es-419"/>
        </w:rPr>
        <w:t>Accionado:</w:t>
      </w:r>
      <w:r>
        <w:rPr>
          <w:rFonts w:ascii="Arial" w:hAnsi="Arial" w:cs="Arial"/>
          <w:sz w:val="20"/>
          <w:szCs w:val="20"/>
          <w:lang w:val="es-419"/>
        </w:rPr>
        <w:tab/>
      </w:r>
      <w:r w:rsidRPr="00B64273">
        <w:rPr>
          <w:rFonts w:ascii="Arial" w:hAnsi="Arial" w:cs="Arial"/>
          <w:sz w:val="20"/>
          <w:szCs w:val="20"/>
          <w:lang w:val="es-419"/>
        </w:rPr>
        <w:tab/>
        <w:t>Porvenir S.A., Departamento del Valle y otros</w:t>
      </w:r>
    </w:p>
    <w:p w:rsidR="00B64273" w:rsidRPr="00B64273" w:rsidRDefault="00B64273" w:rsidP="00B64273">
      <w:pPr>
        <w:jc w:val="both"/>
        <w:rPr>
          <w:rFonts w:ascii="Arial" w:hAnsi="Arial" w:cs="Arial"/>
          <w:sz w:val="20"/>
          <w:szCs w:val="20"/>
          <w:lang w:val="es-419"/>
        </w:rPr>
      </w:pPr>
      <w:r w:rsidRPr="00B64273">
        <w:rPr>
          <w:rFonts w:ascii="Arial" w:hAnsi="Arial" w:cs="Arial"/>
          <w:sz w:val="20"/>
          <w:szCs w:val="20"/>
          <w:lang w:val="es-419"/>
        </w:rPr>
        <w:t>Proceso:</w:t>
      </w:r>
      <w:r w:rsidRPr="00B64273">
        <w:rPr>
          <w:rFonts w:ascii="Arial" w:hAnsi="Arial" w:cs="Arial"/>
          <w:sz w:val="20"/>
          <w:szCs w:val="20"/>
          <w:lang w:val="es-419"/>
        </w:rPr>
        <w:tab/>
      </w:r>
      <w:r w:rsidRPr="00B64273">
        <w:rPr>
          <w:rFonts w:ascii="Arial" w:hAnsi="Arial" w:cs="Arial"/>
          <w:sz w:val="20"/>
          <w:szCs w:val="20"/>
          <w:lang w:val="es-419"/>
        </w:rPr>
        <w:tab/>
        <w:t xml:space="preserve">Acción de Tutela </w:t>
      </w:r>
    </w:p>
    <w:p w:rsidR="00B64273" w:rsidRPr="00B64273" w:rsidRDefault="00B64273" w:rsidP="00B64273">
      <w:pPr>
        <w:jc w:val="both"/>
        <w:rPr>
          <w:rFonts w:ascii="Arial" w:hAnsi="Arial" w:cs="Arial"/>
          <w:sz w:val="20"/>
          <w:szCs w:val="20"/>
          <w:lang w:val="es-419"/>
        </w:rPr>
      </w:pPr>
      <w:r w:rsidRPr="00B64273">
        <w:rPr>
          <w:rFonts w:ascii="Arial" w:hAnsi="Arial" w:cs="Arial"/>
          <w:sz w:val="20"/>
          <w:szCs w:val="20"/>
          <w:lang w:val="es-419"/>
        </w:rPr>
        <w:t>Juzgado de origen:</w:t>
      </w:r>
      <w:r w:rsidRPr="00B64273">
        <w:rPr>
          <w:rFonts w:ascii="Arial" w:hAnsi="Arial" w:cs="Arial"/>
          <w:sz w:val="20"/>
          <w:szCs w:val="20"/>
          <w:lang w:val="es-419"/>
        </w:rPr>
        <w:tab/>
        <w:t>Juzgado Tercero Laboral del Circuito</w:t>
      </w:r>
    </w:p>
    <w:p w:rsidR="002D328B" w:rsidRPr="002D328B" w:rsidRDefault="00B64273" w:rsidP="00B64273">
      <w:pPr>
        <w:jc w:val="both"/>
        <w:rPr>
          <w:rFonts w:ascii="Arial" w:hAnsi="Arial" w:cs="Arial"/>
          <w:sz w:val="20"/>
          <w:szCs w:val="20"/>
          <w:lang w:val="es-419"/>
        </w:rPr>
      </w:pPr>
      <w:r w:rsidRPr="00B64273">
        <w:rPr>
          <w:rFonts w:ascii="Arial" w:hAnsi="Arial" w:cs="Arial"/>
          <w:sz w:val="20"/>
          <w:szCs w:val="20"/>
          <w:lang w:val="es-419"/>
        </w:rPr>
        <w:t>Magistrado Ponente:</w:t>
      </w:r>
      <w:r w:rsidRPr="00B64273">
        <w:rPr>
          <w:rFonts w:ascii="Arial" w:hAnsi="Arial" w:cs="Arial"/>
          <w:sz w:val="20"/>
          <w:szCs w:val="20"/>
          <w:lang w:val="es-419"/>
        </w:rPr>
        <w:tab/>
        <w:t>Julio César Salazar Muñoz</w:t>
      </w:r>
    </w:p>
    <w:p w:rsidR="002D328B" w:rsidRPr="002D328B" w:rsidRDefault="002D328B" w:rsidP="002D328B">
      <w:pPr>
        <w:jc w:val="both"/>
        <w:rPr>
          <w:rFonts w:ascii="Arial" w:hAnsi="Arial" w:cs="Arial"/>
          <w:sz w:val="20"/>
          <w:szCs w:val="20"/>
          <w:lang w:val="es-419"/>
        </w:rPr>
      </w:pPr>
    </w:p>
    <w:p w:rsidR="002D328B" w:rsidRPr="002D328B" w:rsidRDefault="00B66E18" w:rsidP="002D328B">
      <w:pPr>
        <w:jc w:val="both"/>
        <w:rPr>
          <w:rFonts w:ascii="Arial" w:hAnsi="Arial" w:cs="Arial"/>
          <w:b/>
          <w:bCs/>
          <w:iCs/>
          <w:sz w:val="20"/>
          <w:szCs w:val="20"/>
          <w:lang w:val="es-419" w:eastAsia="fr-FR"/>
        </w:rPr>
      </w:pPr>
      <w:r w:rsidRPr="002D328B">
        <w:rPr>
          <w:rFonts w:ascii="Arial" w:hAnsi="Arial" w:cs="Arial"/>
          <w:b/>
          <w:bCs/>
          <w:iCs/>
          <w:sz w:val="20"/>
          <w:szCs w:val="20"/>
          <w:u w:val="single"/>
          <w:lang w:val="es-419" w:eastAsia="fr-FR"/>
        </w:rPr>
        <w:t>TEMAS:</w:t>
      </w:r>
      <w:r w:rsidRPr="002D328B">
        <w:rPr>
          <w:rFonts w:ascii="Arial" w:hAnsi="Arial" w:cs="Arial"/>
          <w:b/>
          <w:bCs/>
          <w:iCs/>
          <w:sz w:val="20"/>
          <w:szCs w:val="20"/>
          <w:lang w:val="es-419" w:eastAsia="fr-FR"/>
        </w:rPr>
        <w:tab/>
      </w:r>
      <w:r>
        <w:rPr>
          <w:rFonts w:ascii="Arial" w:hAnsi="Arial" w:cs="Arial"/>
          <w:b/>
          <w:bCs/>
          <w:iCs/>
          <w:sz w:val="20"/>
          <w:szCs w:val="20"/>
          <w:lang w:val="es-419" w:eastAsia="fr-FR"/>
        </w:rPr>
        <w:t xml:space="preserve">SEGURIDAD SOCIAL / EMISIÓN DE BONOS PENSIONALES </w:t>
      </w:r>
      <w:r w:rsidRPr="002D328B">
        <w:rPr>
          <w:rFonts w:ascii="Arial" w:hAnsi="Arial" w:cs="Arial"/>
          <w:b/>
          <w:bCs/>
          <w:iCs/>
          <w:sz w:val="20"/>
          <w:szCs w:val="20"/>
          <w:lang w:val="es-419" w:eastAsia="fr-FR"/>
        </w:rPr>
        <w:t xml:space="preserve">/ </w:t>
      </w:r>
      <w:r>
        <w:rPr>
          <w:rFonts w:ascii="Arial" w:hAnsi="Arial" w:cs="Arial"/>
          <w:b/>
          <w:bCs/>
          <w:iCs/>
          <w:sz w:val="20"/>
          <w:szCs w:val="20"/>
          <w:lang w:val="es-419" w:eastAsia="fr-FR"/>
        </w:rPr>
        <w:t>PRINCIPIO DE SUBSIDIARIEDAD / PROCEDENCIA EXCEPCIONAL DE LA TUTELA / PAGO DEL BONO CON RECURSOS DEL FONPET.</w:t>
      </w:r>
    </w:p>
    <w:p w:rsidR="002D328B" w:rsidRPr="002D328B" w:rsidRDefault="002D328B" w:rsidP="002D328B">
      <w:pPr>
        <w:jc w:val="both"/>
        <w:rPr>
          <w:rFonts w:ascii="Arial" w:hAnsi="Arial" w:cs="Arial"/>
          <w:sz w:val="20"/>
          <w:szCs w:val="20"/>
          <w:lang w:val="es-419"/>
        </w:rPr>
      </w:pPr>
    </w:p>
    <w:p w:rsidR="002D328B" w:rsidRPr="002D328B" w:rsidRDefault="00E532CC" w:rsidP="002D328B">
      <w:pPr>
        <w:jc w:val="both"/>
        <w:rPr>
          <w:rFonts w:ascii="Arial" w:hAnsi="Arial" w:cs="Arial"/>
          <w:sz w:val="20"/>
          <w:szCs w:val="20"/>
          <w:lang w:val="es-419"/>
        </w:rPr>
      </w:pPr>
      <w:r w:rsidRPr="00E532CC">
        <w:rPr>
          <w:rFonts w:ascii="Arial" w:hAnsi="Arial" w:cs="Arial"/>
          <w:sz w:val="20"/>
          <w:szCs w:val="20"/>
          <w:lang w:val="es-419"/>
        </w:rPr>
        <w:t>Una de las características de este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r>
        <w:rPr>
          <w:rFonts w:ascii="Arial" w:hAnsi="Arial" w:cs="Arial"/>
          <w:sz w:val="20"/>
          <w:szCs w:val="20"/>
          <w:lang w:val="es-419"/>
        </w:rPr>
        <w:t xml:space="preserve"> (…)</w:t>
      </w:r>
    </w:p>
    <w:p w:rsidR="002D328B" w:rsidRPr="002D328B" w:rsidRDefault="002D328B" w:rsidP="002D328B">
      <w:pPr>
        <w:jc w:val="both"/>
        <w:rPr>
          <w:rFonts w:ascii="Arial" w:hAnsi="Arial" w:cs="Arial"/>
          <w:sz w:val="20"/>
          <w:szCs w:val="20"/>
          <w:lang w:val="es-419"/>
        </w:rPr>
      </w:pPr>
    </w:p>
    <w:p w:rsidR="003E3C1F" w:rsidRPr="003E3C1F" w:rsidRDefault="003E3C1F" w:rsidP="003E3C1F">
      <w:pPr>
        <w:jc w:val="both"/>
        <w:rPr>
          <w:rFonts w:ascii="Arial" w:hAnsi="Arial" w:cs="Arial"/>
          <w:sz w:val="20"/>
          <w:szCs w:val="20"/>
          <w:lang w:val="es-419"/>
        </w:rPr>
      </w:pPr>
      <w:r>
        <w:rPr>
          <w:rFonts w:ascii="Arial" w:hAnsi="Arial" w:cs="Arial"/>
          <w:sz w:val="20"/>
          <w:szCs w:val="20"/>
          <w:lang w:val="es-419"/>
        </w:rPr>
        <w:t xml:space="preserve">… </w:t>
      </w:r>
      <w:r w:rsidRPr="003E3C1F">
        <w:rPr>
          <w:rFonts w:ascii="Arial" w:hAnsi="Arial" w:cs="Arial"/>
          <w:sz w:val="20"/>
          <w:szCs w:val="20"/>
          <w:lang w:val="es-419"/>
        </w:rPr>
        <w:t>en Sentencia T-0795-2007, la Corte Constitucional en tema similar al que hoy ocupa la atención de la Sala, frente a la procedencia de la acción de tutela para solicitar la emisión de bonos pensionales, indicó lo siguiente:</w:t>
      </w:r>
    </w:p>
    <w:p w:rsidR="003E3C1F" w:rsidRPr="003E3C1F" w:rsidRDefault="003E3C1F" w:rsidP="003E3C1F">
      <w:pPr>
        <w:jc w:val="both"/>
        <w:rPr>
          <w:rFonts w:ascii="Arial" w:hAnsi="Arial" w:cs="Arial"/>
          <w:sz w:val="20"/>
          <w:szCs w:val="20"/>
          <w:lang w:val="es-419"/>
        </w:rPr>
      </w:pPr>
    </w:p>
    <w:p w:rsidR="002D328B" w:rsidRPr="002D328B" w:rsidRDefault="003E3C1F" w:rsidP="003E3C1F">
      <w:pPr>
        <w:jc w:val="both"/>
        <w:rPr>
          <w:rFonts w:ascii="Arial" w:hAnsi="Arial" w:cs="Arial"/>
          <w:sz w:val="20"/>
          <w:szCs w:val="20"/>
          <w:lang w:val="es-419"/>
        </w:rPr>
      </w:pPr>
      <w:r>
        <w:rPr>
          <w:rFonts w:ascii="Arial" w:hAnsi="Arial" w:cs="Arial"/>
          <w:sz w:val="20"/>
          <w:szCs w:val="20"/>
          <w:lang w:val="es-419"/>
        </w:rPr>
        <w:t>“…</w:t>
      </w:r>
      <w:r w:rsidRPr="003E3C1F">
        <w:rPr>
          <w:rFonts w:ascii="Arial" w:hAnsi="Arial" w:cs="Arial"/>
          <w:sz w:val="20"/>
          <w:szCs w:val="20"/>
          <w:lang w:val="es-419"/>
        </w:rPr>
        <w:t xml:space="preserve">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r>
        <w:rPr>
          <w:rFonts w:ascii="Arial" w:hAnsi="Arial" w:cs="Arial"/>
          <w:sz w:val="20"/>
          <w:szCs w:val="20"/>
          <w:lang w:val="es-419"/>
        </w:rPr>
        <w:t>.” (…)</w:t>
      </w:r>
    </w:p>
    <w:p w:rsidR="002D328B" w:rsidRPr="002D328B" w:rsidRDefault="002D328B" w:rsidP="002D328B">
      <w:pPr>
        <w:jc w:val="both"/>
        <w:rPr>
          <w:rFonts w:ascii="Arial" w:hAnsi="Arial" w:cs="Arial"/>
          <w:sz w:val="20"/>
          <w:szCs w:val="20"/>
          <w:lang w:val="es-419"/>
        </w:rPr>
      </w:pPr>
    </w:p>
    <w:p w:rsidR="002D328B" w:rsidRPr="002D328B" w:rsidRDefault="003E3C1F" w:rsidP="002D328B">
      <w:pPr>
        <w:jc w:val="both"/>
        <w:rPr>
          <w:rFonts w:ascii="Arial" w:hAnsi="Arial" w:cs="Arial"/>
          <w:sz w:val="20"/>
          <w:szCs w:val="20"/>
          <w:lang w:val="es-419"/>
        </w:rPr>
      </w:pPr>
      <w:r w:rsidRPr="003E3C1F">
        <w:rPr>
          <w:rFonts w:ascii="Arial" w:hAnsi="Arial" w:cs="Arial"/>
          <w:sz w:val="20"/>
          <w:szCs w:val="20"/>
          <w:lang w:val="es-419"/>
        </w:rPr>
        <w:t>Frente al pago de bonos pensionales con los recursos del Fondo Nacional de Pensiones de las Entidades Territoriales – FONPET, dispone el artículo 2.12.3.14.1 del Decreto 117 de 2017 que las entidades territoriales podrán utilizar hasta el 50% del saldo disponible en la cuenta de dicho fondo aun cuando la reserva constituida no haya alcanzado el ciento por ciento (100%) del pasivo pensional</w:t>
      </w:r>
      <w:r w:rsidR="00773ED5">
        <w:rPr>
          <w:rFonts w:ascii="Arial" w:hAnsi="Arial" w:cs="Arial"/>
          <w:sz w:val="20"/>
          <w:szCs w:val="20"/>
          <w:lang w:val="es-419"/>
        </w:rPr>
        <w:t>…</w:t>
      </w:r>
    </w:p>
    <w:p w:rsidR="002D328B" w:rsidRDefault="002D328B" w:rsidP="002D328B">
      <w:pPr>
        <w:jc w:val="both"/>
        <w:rPr>
          <w:rFonts w:ascii="Arial" w:hAnsi="Arial" w:cs="Arial"/>
          <w:sz w:val="20"/>
          <w:szCs w:val="20"/>
        </w:rPr>
      </w:pPr>
    </w:p>
    <w:p w:rsidR="00B66E18" w:rsidRPr="002D328B" w:rsidRDefault="00B66E18" w:rsidP="002D328B">
      <w:pPr>
        <w:jc w:val="both"/>
        <w:rPr>
          <w:rFonts w:ascii="Arial" w:hAnsi="Arial" w:cs="Arial"/>
          <w:sz w:val="20"/>
          <w:szCs w:val="20"/>
        </w:rPr>
      </w:pPr>
    </w:p>
    <w:bookmarkEnd w:id="0"/>
    <w:p w:rsidR="002D328B" w:rsidRPr="002D328B" w:rsidRDefault="002D328B" w:rsidP="002D328B">
      <w:pPr>
        <w:jc w:val="both"/>
        <w:rPr>
          <w:rFonts w:ascii="Arial" w:hAnsi="Arial" w:cs="Arial"/>
          <w:sz w:val="20"/>
          <w:szCs w:val="20"/>
        </w:rPr>
      </w:pPr>
    </w:p>
    <w:p w:rsidR="00EA6461" w:rsidRPr="00B64273" w:rsidRDefault="00EA6461" w:rsidP="00B64273">
      <w:pPr>
        <w:pStyle w:val="Ttulo3"/>
        <w:spacing w:line="276" w:lineRule="auto"/>
        <w:jc w:val="center"/>
        <w:rPr>
          <w:rFonts w:cs="Arial"/>
          <w:sz w:val="24"/>
          <w:szCs w:val="24"/>
        </w:rPr>
      </w:pPr>
      <w:r w:rsidRPr="00B64273">
        <w:rPr>
          <w:rFonts w:cs="Arial"/>
          <w:sz w:val="24"/>
          <w:szCs w:val="24"/>
        </w:rPr>
        <w:t>TRIBUNAL SUPERIOR DEL DISTRITO JUDICIAL</w:t>
      </w:r>
    </w:p>
    <w:p w:rsidR="00EA6461" w:rsidRPr="00B64273" w:rsidRDefault="00EA6461" w:rsidP="00B64273">
      <w:pPr>
        <w:spacing w:line="276" w:lineRule="auto"/>
        <w:jc w:val="center"/>
        <w:rPr>
          <w:rFonts w:ascii="Arial" w:hAnsi="Arial" w:cs="Arial"/>
          <w:b/>
        </w:rPr>
      </w:pPr>
      <w:r w:rsidRPr="00B64273">
        <w:rPr>
          <w:rFonts w:ascii="Arial" w:hAnsi="Arial" w:cs="Arial"/>
          <w:b/>
        </w:rPr>
        <w:t>SALA LABORAL</w:t>
      </w:r>
    </w:p>
    <w:p w:rsidR="00EA6461" w:rsidRPr="00B64273" w:rsidRDefault="00EA6461" w:rsidP="00B64273">
      <w:pPr>
        <w:spacing w:line="276" w:lineRule="auto"/>
        <w:jc w:val="center"/>
        <w:rPr>
          <w:rFonts w:ascii="Arial" w:hAnsi="Arial" w:cs="Arial"/>
          <w:b/>
        </w:rPr>
      </w:pPr>
      <w:r w:rsidRPr="00B64273">
        <w:rPr>
          <w:rFonts w:ascii="Arial" w:hAnsi="Arial" w:cs="Arial"/>
          <w:b/>
        </w:rPr>
        <w:t>MAGISTRADO PONENTE: JULIO CÉSAR SALAZAR MUÑOZ</w:t>
      </w:r>
    </w:p>
    <w:p w:rsidR="00B64273" w:rsidRPr="00B64273" w:rsidRDefault="00B64273" w:rsidP="00B64273">
      <w:pPr>
        <w:spacing w:line="276" w:lineRule="auto"/>
        <w:jc w:val="center"/>
        <w:rPr>
          <w:rFonts w:ascii="Arial" w:hAnsi="Arial" w:cs="Arial"/>
          <w:b/>
        </w:rPr>
      </w:pPr>
      <w:r w:rsidRPr="00B64273">
        <w:rPr>
          <w:rFonts w:ascii="Arial" w:hAnsi="Arial" w:cs="Arial"/>
          <w:b/>
        </w:rPr>
        <w:t>ACCIÓN DE TUTELA</w:t>
      </w:r>
    </w:p>
    <w:p w:rsidR="00EA6461" w:rsidRPr="00B64273" w:rsidRDefault="00EA6461" w:rsidP="00B64273">
      <w:pPr>
        <w:spacing w:line="276" w:lineRule="auto"/>
        <w:jc w:val="center"/>
        <w:rPr>
          <w:rFonts w:ascii="Arial" w:hAnsi="Arial" w:cs="Arial"/>
        </w:rPr>
      </w:pPr>
    </w:p>
    <w:p w:rsidR="00EA6461" w:rsidRPr="00B64273" w:rsidRDefault="00EA6461" w:rsidP="00B64273">
      <w:pPr>
        <w:spacing w:line="276" w:lineRule="auto"/>
        <w:jc w:val="center"/>
        <w:rPr>
          <w:rFonts w:ascii="Arial" w:hAnsi="Arial" w:cs="Arial"/>
        </w:rPr>
      </w:pPr>
      <w:r w:rsidRPr="00B64273">
        <w:rPr>
          <w:rFonts w:ascii="Arial" w:hAnsi="Arial" w:cs="Arial"/>
        </w:rPr>
        <w:t xml:space="preserve">Pereira, </w:t>
      </w:r>
      <w:r w:rsidR="005E6468" w:rsidRPr="00B64273">
        <w:rPr>
          <w:rFonts w:ascii="Arial" w:hAnsi="Arial" w:cs="Arial"/>
        </w:rPr>
        <w:t>doce</w:t>
      </w:r>
      <w:r w:rsidR="00885644" w:rsidRPr="00B64273">
        <w:rPr>
          <w:rFonts w:ascii="Arial" w:hAnsi="Arial" w:cs="Arial"/>
        </w:rPr>
        <w:t xml:space="preserve"> de octubre de dos mil veinte</w:t>
      </w:r>
    </w:p>
    <w:p w:rsidR="00B64273" w:rsidRDefault="00B64273" w:rsidP="00B64273">
      <w:pPr>
        <w:spacing w:line="276" w:lineRule="auto"/>
        <w:jc w:val="center"/>
        <w:rPr>
          <w:rFonts w:ascii="Arial" w:hAnsi="Arial" w:cs="Arial"/>
        </w:rPr>
      </w:pPr>
    </w:p>
    <w:p w:rsidR="00EA6461" w:rsidRPr="00B64273" w:rsidRDefault="00EA6461" w:rsidP="00B64273">
      <w:pPr>
        <w:spacing w:line="276" w:lineRule="auto"/>
        <w:jc w:val="center"/>
        <w:rPr>
          <w:rFonts w:ascii="Arial" w:hAnsi="Arial" w:cs="Arial"/>
        </w:rPr>
      </w:pPr>
      <w:r w:rsidRPr="00B64273">
        <w:rPr>
          <w:rFonts w:ascii="Arial" w:hAnsi="Arial" w:cs="Arial"/>
        </w:rPr>
        <w:t xml:space="preserve">Acta </w:t>
      </w:r>
      <w:r w:rsidR="00885644" w:rsidRPr="00B64273">
        <w:rPr>
          <w:rFonts w:ascii="Arial" w:hAnsi="Arial" w:cs="Arial"/>
        </w:rPr>
        <w:t xml:space="preserve">de Sala de Discusión </w:t>
      </w:r>
      <w:r w:rsidRPr="00B64273">
        <w:rPr>
          <w:rFonts w:ascii="Arial" w:hAnsi="Arial" w:cs="Arial"/>
        </w:rPr>
        <w:t xml:space="preserve">N° </w:t>
      </w:r>
      <w:r w:rsidR="08D8DBAD" w:rsidRPr="00B64273">
        <w:rPr>
          <w:rFonts w:ascii="Arial" w:hAnsi="Arial" w:cs="Arial"/>
        </w:rPr>
        <w:t>107</w:t>
      </w:r>
      <w:r w:rsidRPr="00B64273">
        <w:rPr>
          <w:rFonts w:ascii="Arial" w:hAnsi="Arial" w:cs="Arial"/>
        </w:rPr>
        <w:t xml:space="preserve"> de </w:t>
      </w:r>
      <w:r w:rsidR="0C36B99A" w:rsidRPr="00B64273">
        <w:rPr>
          <w:rFonts w:ascii="Arial" w:hAnsi="Arial" w:cs="Arial"/>
        </w:rPr>
        <w:t>1</w:t>
      </w:r>
      <w:r w:rsidR="005E6468" w:rsidRPr="00B64273">
        <w:rPr>
          <w:rFonts w:ascii="Arial" w:hAnsi="Arial" w:cs="Arial"/>
        </w:rPr>
        <w:t>2</w:t>
      </w:r>
      <w:r w:rsidR="00885644" w:rsidRPr="00B64273">
        <w:rPr>
          <w:rFonts w:ascii="Arial" w:hAnsi="Arial" w:cs="Arial"/>
        </w:rPr>
        <w:t xml:space="preserve"> de octubre de 20</w:t>
      </w:r>
      <w:r w:rsidR="004C1CF4" w:rsidRPr="00B64273">
        <w:rPr>
          <w:rFonts w:ascii="Arial" w:hAnsi="Arial" w:cs="Arial"/>
        </w:rPr>
        <w:t>21</w:t>
      </w:r>
    </w:p>
    <w:p w:rsidR="00EA6461" w:rsidRPr="00B64273" w:rsidRDefault="00EA6461" w:rsidP="00B64273">
      <w:pPr>
        <w:spacing w:line="276" w:lineRule="auto"/>
        <w:jc w:val="both"/>
        <w:rPr>
          <w:rFonts w:ascii="Arial" w:hAnsi="Arial" w:cs="Arial"/>
        </w:rPr>
      </w:pPr>
    </w:p>
    <w:p w:rsidR="00EA6461" w:rsidRPr="00B64273" w:rsidRDefault="00EA6461" w:rsidP="00B64273">
      <w:pPr>
        <w:pStyle w:val="Textoindependiente"/>
        <w:spacing w:line="276" w:lineRule="auto"/>
        <w:rPr>
          <w:rFonts w:cs="Arial"/>
          <w:b/>
          <w:bCs/>
          <w:sz w:val="24"/>
          <w:szCs w:val="24"/>
        </w:rPr>
      </w:pPr>
      <w:r w:rsidRPr="00B64273">
        <w:rPr>
          <w:rFonts w:cs="Arial"/>
          <w:sz w:val="24"/>
          <w:szCs w:val="24"/>
        </w:rPr>
        <w:t xml:space="preserve">Procede la Sala Laboral del Tribunal Superior de Pereira a resolver la impugnación presentada por </w:t>
      </w:r>
      <w:r w:rsidR="004C1CF4" w:rsidRPr="00B64273">
        <w:rPr>
          <w:rFonts w:cs="Arial"/>
          <w:sz w:val="24"/>
          <w:szCs w:val="24"/>
        </w:rPr>
        <w:t xml:space="preserve">el </w:t>
      </w:r>
      <w:r w:rsidR="004C1CF4" w:rsidRPr="00B64273">
        <w:rPr>
          <w:rFonts w:cs="Arial"/>
          <w:b/>
          <w:bCs/>
          <w:sz w:val="24"/>
          <w:szCs w:val="24"/>
        </w:rPr>
        <w:t>MINISTERO DE HACIENDA</w:t>
      </w:r>
      <w:r w:rsidR="00F966B0" w:rsidRPr="00B64273">
        <w:rPr>
          <w:rFonts w:cs="Arial"/>
          <w:b/>
          <w:bCs/>
          <w:sz w:val="24"/>
          <w:szCs w:val="24"/>
        </w:rPr>
        <w:t xml:space="preserve"> Y  CRÉDITO  PÚBLICO</w:t>
      </w:r>
      <w:r w:rsidR="004C1CF4" w:rsidRPr="00B64273">
        <w:rPr>
          <w:rFonts w:cs="Arial"/>
          <w:b/>
          <w:bCs/>
          <w:sz w:val="24"/>
          <w:szCs w:val="24"/>
        </w:rPr>
        <w:t xml:space="preserve"> </w:t>
      </w:r>
      <w:r w:rsidR="00831B2C" w:rsidRPr="00B64273">
        <w:rPr>
          <w:rFonts w:cs="Arial"/>
          <w:b/>
          <w:bCs/>
          <w:sz w:val="24"/>
          <w:szCs w:val="24"/>
        </w:rPr>
        <w:t xml:space="preserve"> </w:t>
      </w:r>
      <w:r w:rsidRPr="00B64273">
        <w:rPr>
          <w:rFonts w:cs="Arial"/>
          <w:sz w:val="24"/>
          <w:szCs w:val="24"/>
        </w:rPr>
        <w:t xml:space="preserve">contra la sentencia de </w:t>
      </w:r>
      <w:r w:rsidR="00F966B0" w:rsidRPr="00B64273">
        <w:rPr>
          <w:rFonts w:cs="Arial"/>
          <w:sz w:val="24"/>
          <w:szCs w:val="24"/>
        </w:rPr>
        <w:t>tres</w:t>
      </w:r>
      <w:r w:rsidR="0099776D" w:rsidRPr="00B64273">
        <w:rPr>
          <w:rFonts w:cs="Arial"/>
          <w:sz w:val="24"/>
          <w:szCs w:val="24"/>
        </w:rPr>
        <w:t xml:space="preserve"> </w:t>
      </w:r>
      <w:r w:rsidRPr="00B64273">
        <w:rPr>
          <w:rFonts w:cs="Arial"/>
          <w:sz w:val="24"/>
          <w:szCs w:val="24"/>
        </w:rPr>
        <w:t>(</w:t>
      </w:r>
      <w:r w:rsidR="00F966B0" w:rsidRPr="00B64273">
        <w:rPr>
          <w:rFonts w:cs="Arial"/>
          <w:sz w:val="24"/>
          <w:szCs w:val="24"/>
        </w:rPr>
        <w:t>3</w:t>
      </w:r>
      <w:r w:rsidRPr="00B64273">
        <w:rPr>
          <w:rFonts w:cs="Arial"/>
          <w:sz w:val="24"/>
          <w:szCs w:val="24"/>
        </w:rPr>
        <w:t xml:space="preserve">) de </w:t>
      </w:r>
      <w:r w:rsidR="00F966B0" w:rsidRPr="00B64273">
        <w:rPr>
          <w:rFonts w:cs="Arial"/>
          <w:sz w:val="24"/>
          <w:szCs w:val="24"/>
        </w:rPr>
        <w:t>septiembre</w:t>
      </w:r>
      <w:r w:rsidRPr="00B64273">
        <w:rPr>
          <w:rFonts w:cs="Arial"/>
          <w:sz w:val="24"/>
          <w:szCs w:val="24"/>
        </w:rPr>
        <w:t xml:space="preserve"> de 20</w:t>
      </w:r>
      <w:r w:rsidR="00F966B0" w:rsidRPr="00B64273">
        <w:rPr>
          <w:rFonts w:cs="Arial"/>
          <w:sz w:val="24"/>
          <w:szCs w:val="24"/>
        </w:rPr>
        <w:t>21</w:t>
      </w:r>
      <w:r w:rsidRPr="00B64273">
        <w:rPr>
          <w:rFonts w:cs="Arial"/>
          <w:sz w:val="24"/>
          <w:szCs w:val="24"/>
        </w:rPr>
        <w:t xml:space="preserve"> proferida por el Juzgado </w:t>
      </w:r>
      <w:r w:rsidR="00F966B0" w:rsidRPr="00B64273">
        <w:rPr>
          <w:rFonts w:cs="Arial"/>
          <w:sz w:val="24"/>
          <w:szCs w:val="24"/>
        </w:rPr>
        <w:t>Tercero</w:t>
      </w:r>
      <w:r w:rsidR="00A92B7D" w:rsidRPr="00B64273">
        <w:rPr>
          <w:rFonts w:cs="Arial"/>
          <w:sz w:val="24"/>
          <w:szCs w:val="24"/>
        </w:rPr>
        <w:t xml:space="preserve"> </w:t>
      </w:r>
      <w:r w:rsidR="00831B2C" w:rsidRPr="00B64273">
        <w:rPr>
          <w:rFonts w:cs="Arial"/>
          <w:sz w:val="24"/>
          <w:szCs w:val="24"/>
        </w:rPr>
        <w:t xml:space="preserve">Laboral del Circuito de Pereira, dentro de la acción de tutela iniciada por el señor </w:t>
      </w:r>
      <w:r w:rsidR="00F966B0" w:rsidRPr="00B64273">
        <w:rPr>
          <w:rFonts w:cs="Arial"/>
          <w:b/>
          <w:bCs/>
          <w:sz w:val="24"/>
          <w:szCs w:val="24"/>
        </w:rPr>
        <w:t>OSCAR DE JESÚS CASTAÑO RENDÓN</w:t>
      </w:r>
      <w:r w:rsidR="00DA5E9E" w:rsidRPr="00B64273">
        <w:rPr>
          <w:rFonts w:cs="Arial"/>
          <w:b/>
          <w:bCs/>
          <w:sz w:val="24"/>
          <w:szCs w:val="24"/>
        </w:rPr>
        <w:t xml:space="preserve">, </w:t>
      </w:r>
      <w:r w:rsidR="1C8DB561" w:rsidRPr="00B64273">
        <w:rPr>
          <w:rFonts w:cs="Arial"/>
          <w:sz w:val="24"/>
          <w:szCs w:val="24"/>
        </w:rPr>
        <w:t>en la que</w:t>
      </w:r>
      <w:r w:rsidR="00DA5E9E" w:rsidRPr="00B64273">
        <w:rPr>
          <w:rFonts w:cs="Arial"/>
          <w:sz w:val="24"/>
          <w:szCs w:val="24"/>
        </w:rPr>
        <w:t xml:space="preserve"> también acciona contra la </w:t>
      </w:r>
      <w:r w:rsidR="00DA5E9E" w:rsidRPr="00B64273">
        <w:rPr>
          <w:rFonts w:cs="Arial"/>
          <w:b/>
          <w:bCs/>
          <w:sz w:val="24"/>
          <w:szCs w:val="24"/>
        </w:rPr>
        <w:t xml:space="preserve">AFP PORVENIR S.A., </w:t>
      </w:r>
      <w:r w:rsidR="00DA5E9E" w:rsidRPr="00B64273">
        <w:rPr>
          <w:rFonts w:cs="Arial"/>
          <w:sz w:val="24"/>
          <w:szCs w:val="24"/>
        </w:rPr>
        <w:t>el</w:t>
      </w:r>
      <w:r w:rsidR="00DA5E9E" w:rsidRPr="00B64273">
        <w:rPr>
          <w:rFonts w:cs="Arial"/>
          <w:b/>
          <w:bCs/>
          <w:sz w:val="24"/>
          <w:szCs w:val="24"/>
        </w:rPr>
        <w:t xml:space="preserve"> DEPARTAMENTO DEL VALLE, COLPENSIONES, </w:t>
      </w:r>
      <w:r w:rsidR="00DA5E9E" w:rsidRPr="00B64273">
        <w:rPr>
          <w:rFonts w:cs="Arial"/>
          <w:sz w:val="24"/>
          <w:szCs w:val="24"/>
        </w:rPr>
        <w:t xml:space="preserve">el </w:t>
      </w:r>
      <w:r w:rsidR="00DA5E9E" w:rsidRPr="00B64273">
        <w:rPr>
          <w:rFonts w:cs="Arial"/>
          <w:b/>
          <w:bCs/>
          <w:sz w:val="24"/>
          <w:szCs w:val="24"/>
        </w:rPr>
        <w:t xml:space="preserve">MINISTERIO DE HACIENDA Y CRÉDITO PÚBLICO </w:t>
      </w:r>
      <w:r w:rsidR="008B198B">
        <w:rPr>
          <w:rFonts w:cs="Arial"/>
          <w:b/>
          <w:bCs/>
          <w:sz w:val="24"/>
          <w:szCs w:val="24"/>
        </w:rPr>
        <w:t xml:space="preserve">– </w:t>
      </w:r>
      <w:r w:rsidR="00DA5E9E" w:rsidRPr="00B64273">
        <w:rPr>
          <w:rFonts w:cs="Arial"/>
          <w:b/>
          <w:bCs/>
          <w:sz w:val="24"/>
          <w:szCs w:val="24"/>
        </w:rPr>
        <w:t>OBP</w:t>
      </w:r>
      <w:r w:rsidR="00DA5E9E" w:rsidRPr="00B64273">
        <w:rPr>
          <w:rFonts w:cs="Arial"/>
          <w:sz w:val="24"/>
          <w:szCs w:val="24"/>
        </w:rPr>
        <w:t xml:space="preserve"> y el </w:t>
      </w:r>
      <w:r w:rsidR="00DA5E9E" w:rsidRPr="00B64273">
        <w:rPr>
          <w:rFonts w:cs="Arial"/>
          <w:b/>
          <w:bCs/>
          <w:sz w:val="24"/>
          <w:szCs w:val="24"/>
        </w:rPr>
        <w:t>HOSPITAL SAN VICENTE DE PAUL DE APIA</w:t>
      </w:r>
      <w:r w:rsidR="008B198B">
        <w:rPr>
          <w:rFonts w:cs="Arial"/>
          <w:b/>
          <w:bCs/>
          <w:sz w:val="24"/>
          <w:szCs w:val="24"/>
        </w:rPr>
        <w:t xml:space="preserve">, </w:t>
      </w:r>
      <w:r w:rsidR="00DA5E9E" w:rsidRPr="00B64273">
        <w:rPr>
          <w:rFonts w:cs="Arial"/>
          <w:b/>
          <w:bCs/>
          <w:sz w:val="24"/>
          <w:szCs w:val="24"/>
        </w:rPr>
        <w:t>R</w:t>
      </w:r>
      <w:r w:rsidR="008B198B">
        <w:rPr>
          <w:rFonts w:cs="Arial"/>
          <w:b/>
          <w:bCs/>
          <w:sz w:val="24"/>
          <w:szCs w:val="24"/>
        </w:rPr>
        <w:t>ISARALDA</w:t>
      </w:r>
      <w:r w:rsidR="00DA5E9E" w:rsidRPr="00B64273">
        <w:rPr>
          <w:rFonts w:cs="Arial"/>
          <w:b/>
          <w:bCs/>
          <w:sz w:val="24"/>
          <w:szCs w:val="24"/>
        </w:rPr>
        <w:t>.</w:t>
      </w:r>
    </w:p>
    <w:p w:rsidR="00EA6461" w:rsidRPr="00B64273" w:rsidRDefault="00EA6461" w:rsidP="00B64273">
      <w:pPr>
        <w:pStyle w:val="Textoindependiente"/>
        <w:tabs>
          <w:tab w:val="left" w:pos="7400"/>
        </w:tabs>
        <w:spacing w:line="276" w:lineRule="auto"/>
        <w:rPr>
          <w:rFonts w:cs="Arial"/>
          <w:sz w:val="24"/>
          <w:szCs w:val="24"/>
        </w:rPr>
      </w:pPr>
      <w:bookmarkStart w:id="1" w:name="_GoBack"/>
      <w:bookmarkEnd w:id="1"/>
      <w:r w:rsidRPr="00B64273">
        <w:rPr>
          <w:rFonts w:cs="Arial"/>
          <w:sz w:val="24"/>
          <w:szCs w:val="24"/>
        </w:rPr>
        <w:tab/>
      </w:r>
    </w:p>
    <w:p w:rsidR="00EA6461" w:rsidRPr="00B64273" w:rsidRDefault="00EA6461" w:rsidP="00B64273">
      <w:pPr>
        <w:pStyle w:val="Ttulo2"/>
        <w:spacing w:line="276" w:lineRule="auto"/>
        <w:jc w:val="center"/>
        <w:rPr>
          <w:rFonts w:cs="Arial"/>
          <w:szCs w:val="24"/>
        </w:rPr>
      </w:pPr>
      <w:r w:rsidRPr="00B64273">
        <w:rPr>
          <w:rFonts w:cs="Arial"/>
          <w:szCs w:val="24"/>
        </w:rPr>
        <w:t>ANTECEDENTES</w:t>
      </w:r>
    </w:p>
    <w:p w:rsidR="00EA6461" w:rsidRPr="00B64273" w:rsidRDefault="00EA6461" w:rsidP="00B64273">
      <w:pPr>
        <w:spacing w:line="276" w:lineRule="auto"/>
        <w:jc w:val="both"/>
        <w:rPr>
          <w:rFonts w:ascii="Arial" w:hAnsi="Arial" w:cs="Arial"/>
        </w:rPr>
      </w:pPr>
    </w:p>
    <w:p w:rsidR="0012630C" w:rsidRPr="00B64273" w:rsidRDefault="00885644" w:rsidP="00B64273">
      <w:pPr>
        <w:spacing w:line="276" w:lineRule="auto"/>
        <w:jc w:val="both"/>
        <w:rPr>
          <w:rFonts w:ascii="Arial" w:hAnsi="Arial" w:cs="Arial"/>
        </w:rPr>
      </w:pPr>
      <w:r w:rsidRPr="00B64273">
        <w:rPr>
          <w:rFonts w:ascii="Arial" w:hAnsi="Arial" w:cs="Arial"/>
        </w:rPr>
        <w:lastRenderedPageBreak/>
        <w:t>Indica el señor Oscar de Jesús Castaño Rendón que en la actualidad tiene 64 año</w:t>
      </w:r>
      <w:r w:rsidR="00926096" w:rsidRPr="00B64273">
        <w:rPr>
          <w:rFonts w:ascii="Arial" w:hAnsi="Arial" w:cs="Arial"/>
        </w:rPr>
        <w:t>s</w:t>
      </w:r>
      <w:r w:rsidRPr="00B64273">
        <w:rPr>
          <w:rFonts w:ascii="Arial" w:hAnsi="Arial" w:cs="Arial"/>
        </w:rPr>
        <w:t>, se encuentra afiliado a Porvenir S.A., entidad a la cual ha cotizado 615</w:t>
      </w:r>
      <w:r w:rsidR="00926096" w:rsidRPr="00B64273">
        <w:rPr>
          <w:rFonts w:ascii="Arial" w:hAnsi="Arial" w:cs="Arial"/>
        </w:rPr>
        <w:t xml:space="preserve"> semanas</w:t>
      </w:r>
      <w:r w:rsidR="672D32CC" w:rsidRPr="00B64273">
        <w:rPr>
          <w:rFonts w:ascii="Arial" w:hAnsi="Arial" w:cs="Arial"/>
        </w:rPr>
        <w:t>.</w:t>
      </w:r>
      <w:r w:rsidRPr="00B64273">
        <w:rPr>
          <w:rFonts w:ascii="Arial" w:hAnsi="Arial" w:cs="Arial"/>
        </w:rPr>
        <w:t xml:space="preserve"> </w:t>
      </w:r>
      <w:r w:rsidR="0B9AC60A" w:rsidRPr="00B64273">
        <w:rPr>
          <w:rFonts w:ascii="Arial" w:hAnsi="Arial" w:cs="Arial"/>
        </w:rPr>
        <w:t>D</w:t>
      </w:r>
      <w:r w:rsidRPr="00B64273">
        <w:rPr>
          <w:rFonts w:ascii="Arial" w:hAnsi="Arial" w:cs="Arial"/>
        </w:rPr>
        <w:t xml:space="preserve">urante su vida laboral prestó sus servicios en el Hospital Sagrado Corazón de Jesús y </w:t>
      </w:r>
      <w:r w:rsidR="3530C7F3" w:rsidRPr="00B64273">
        <w:rPr>
          <w:rFonts w:ascii="Arial" w:hAnsi="Arial" w:cs="Arial"/>
        </w:rPr>
        <w:t xml:space="preserve">en </w:t>
      </w:r>
      <w:r w:rsidRPr="00B64273">
        <w:rPr>
          <w:rFonts w:ascii="Arial" w:hAnsi="Arial" w:cs="Arial"/>
        </w:rPr>
        <w:t xml:space="preserve">el Hospital San Vicente Paul de Apía, realizando aportes al Instituto de Seguros Sociales y </w:t>
      </w:r>
      <w:proofErr w:type="spellStart"/>
      <w:r w:rsidRPr="00B64273">
        <w:rPr>
          <w:rFonts w:ascii="Arial" w:hAnsi="Arial" w:cs="Arial"/>
        </w:rPr>
        <w:t>Cajanal</w:t>
      </w:r>
      <w:proofErr w:type="spellEnd"/>
      <w:r w:rsidR="320499BF" w:rsidRPr="00B64273">
        <w:rPr>
          <w:rFonts w:ascii="Arial" w:hAnsi="Arial" w:cs="Arial"/>
        </w:rPr>
        <w:t>. U</w:t>
      </w:r>
      <w:r w:rsidRPr="00B64273">
        <w:rPr>
          <w:rFonts w:ascii="Arial" w:hAnsi="Arial" w:cs="Arial"/>
        </w:rPr>
        <w:t xml:space="preserve">na vez arribó a los 62 años de edad </w:t>
      </w:r>
      <w:r w:rsidR="0012630C" w:rsidRPr="00B64273">
        <w:rPr>
          <w:rFonts w:ascii="Arial" w:hAnsi="Arial" w:cs="Arial"/>
        </w:rPr>
        <w:t xml:space="preserve">se acercó a la AFP a la que se encuentra afiliado para informarse respecto a la prestación económica a la que tendría derecho, siéndole </w:t>
      </w:r>
      <w:r w:rsidR="00926096" w:rsidRPr="00B64273">
        <w:rPr>
          <w:rFonts w:ascii="Arial" w:hAnsi="Arial" w:cs="Arial"/>
        </w:rPr>
        <w:t>notificado</w:t>
      </w:r>
      <w:r w:rsidR="0012630C" w:rsidRPr="00B64273">
        <w:rPr>
          <w:rFonts w:ascii="Arial" w:hAnsi="Arial" w:cs="Arial"/>
        </w:rPr>
        <w:t xml:space="preserve"> que no contaba con el capital suficiente para acceder a la pensión de vejez y, como quiera que manifestó no estar en la capacidad económica para continuar cotizando, el fondo le informó que debía iniciar los trámites necesarios para gestionar el bono pensional.</w:t>
      </w:r>
    </w:p>
    <w:p w:rsidR="0012630C" w:rsidRPr="00B64273" w:rsidRDefault="0012630C" w:rsidP="00B64273">
      <w:pPr>
        <w:spacing w:line="276" w:lineRule="auto"/>
        <w:jc w:val="both"/>
        <w:rPr>
          <w:rFonts w:ascii="Arial" w:hAnsi="Arial" w:cs="Arial"/>
        </w:rPr>
      </w:pPr>
    </w:p>
    <w:p w:rsidR="009643EC" w:rsidRPr="00B64273" w:rsidRDefault="0012630C" w:rsidP="00B64273">
      <w:pPr>
        <w:spacing w:line="276" w:lineRule="auto"/>
        <w:jc w:val="both"/>
        <w:rPr>
          <w:rFonts w:ascii="Arial" w:hAnsi="Arial" w:cs="Arial"/>
        </w:rPr>
      </w:pPr>
      <w:r w:rsidRPr="00B64273">
        <w:rPr>
          <w:rFonts w:ascii="Arial" w:hAnsi="Arial" w:cs="Arial"/>
        </w:rPr>
        <w:t xml:space="preserve">Refiere que </w:t>
      </w:r>
      <w:r w:rsidR="61B887C7" w:rsidRPr="00B64273">
        <w:rPr>
          <w:rFonts w:ascii="Arial" w:hAnsi="Arial" w:cs="Arial"/>
        </w:rPr>
        <w:t>dada</w:t>
      </w:r>
      <w:r w:rsidRPr="00B64273">
        <w:rPr>
          <w:rFonts w:ascii="Arial" w:hAnsi="Arial" w:cs="Arial"/>
        </w:rPr>
        <w:t xml:space="preserve"> </w:t>
      </w:r>
      <w:r w:rsidR="00D66CCA" w:rsidRPr="00B64273">
        <w:rPr>
          <w:rFonts w:ascii="Arial" w:hAnsi="Arial" w:cs="Arial"/>
        </w:rPr>
        <w:t>la decisión tomada por Porvenir S.A. aportó las actas de pos</w:t>
      </w:r>
      <w:r w:rsidR="00926096" w:rsidRPr="00B64273">
        <w:rPr>
          <w:rFonts w:ascii="Arial" w:hAnsi="Arial" w:cs="Arial"/>
        </w:rPr>
        <w:t>es</w:t>
      </w:r>
      <w:r w:rsidR="00D66CCA" w:rsidRPr="00B64273">
        <w:rPr>
          <w:rFonts w:ascii="Arial" w:hAnsi="Arial" w:cs="Arial"/>
        </w:rPr>
        <w:t xml:space="preserve">ión que tenía en su poder </w:t>
      </w:r>
      <w:r w:rsidR="5BD62385" w:rsidRPr="00B64273">
        <w:rPr>
          <w:rFonts w:ascii="Arial" w:hAnsi="Arial" w:cs="Arial"/>
        </w:rPr>
        <w:t>en orden a</w:t>
      </w:r>
      <w:r w:rsidR="00D66CCA" w:rsidRPr="00B64273">
        <w:rPr>
          <w:rFonts w:ascii="Arial" w:hAnsi="Arial" w:cs="Arial"/>
        </w:rPr>
        <w:t xml:space="preserve"> gestionar su proceso; sin embargo, luego de iniciado el trámite</w:t>
      </w:r>
      <w:r w:rsidR="5BA1E841" w:rsidRPr="00B64273">
        <w:rPr>
          <w:rFonts w:ascii="Arial" w:hAnsi="Arial" w:cs="Arial"/>
        </w:rPr>
        <w:t>,</w:t>
      </w:r>
      <w:r w:rsidR="00D66CCA" w:rsidRPr="00B64273">
        <w:rPr>
          <w:rFonts w:ascii="Arial" w:hAnsi="Arial" w:cs="Arial"/>
        </w:rPr>
        <w:t xml:space="preserve"> el bono presentó </w:t>
      </w:r>
      <w:r w:rsidR="00926096" w:rsidRPr="00B64273">
        <w:rPr>
          <w:rFonts w:ascii="Arial" w:hAnsi="Arial" w:cs="Arial"/>
        </w:rPr>
        <w:t xml:space="preserve">el </w:t>
      </w:r>
      <w:r w:rsidR="00D66CCA" w:rsidRPr="00B64273">
        <w:rPr>
          <w:rFonts w:ascii="Arial" w:hAnsi="Arial" w:cs="Arial"/>
        </w:rPr>
        <w:t>error denominado “traslapa”, por lo que el día 7 de octubre de 2020, solicit</w:t>
      </w:r>
      <w:r w:rsidR="00926096" w:rsidRPr="00B64273">
        <w:rPr>
          <w:rFonts w:ascii="Arial" w:hAnsi="Arial" w:cs="Arial"/>
        </w:rPr>
        <w:t>ó al Ministerio de Hacienda y Crédito Público</w:t>
      </w:r>
      <w:r w:rsidR="00D66CCA" w:rsidRPr="00B64273">
        <w:rPr>
          <w:rFonts w:ascii="Arial" w:hAnsi="Arial" w:cs="Arial"/>
        </w:rPr>
        <w:t xml:space="preserve"> </w:t>
      </w:r>
      <w:r w:rsidR="650CB12C" w:rsidRPr="00B64273">
        <w:rPr>
          <w:rFonts w:ascii="Arial" w:hAnsi="Arial" w:cs="Arial"/>
        </w:rPr>
        <w:t>lo corrigiera</w:t>
      </w:r>
      <w:r w:rsidR="00D66CCA" w:rsidRPr="00B64273">
        <w:rPr>
          <w:rFonts w:ascii="Arial" w:hAnsi="Arial" w:cs="Arial"/>
        </w:rPr>
        <w:t xml:space="preserve"> </w:t>
      </w:r>
      <w:r w:rsidR="5E733ADA" w:rsidRPr="00B64273">
        <w:rPr>
          <w:rFonts w:ascii="Arial" w:hAnsi="Arial" w:cs="Arial"/>
        </w:rPr>
        <w:t>para que</w:t>
      </w:r>
      <w:r w:rsidR="00D66CCA" w:rsidRPr="00B64273">
        <w:rPr>
          <w:rFonts w:ascii="Arial" w:hAnsi="Arial" w:cs="Arial"/>
        </w:rPr>
        <w:t xml:space="preserve"> la AFP Porvenir </w:t>
      </w:r>
      <w:r w:rsidR="009643EC" w:rsidRPr="00B64273">
        <w:rPr>
          <w:rFonts w:ascii="Arial" w:hAnsi="Arial" w:cs="Arial"/>
        </w:rPr>
        <w:t>pudiera nuevamente</w:t>
      </w:r>
      <w:r w:rsidR="00F456BB" w:rsidRPr="00B64273">
        <w:rPr>
          <w:rFonts w:ascii="Arial" w:hAnsi="Arial" w:cs="Arial"/>
        </w:rPr>
        <w:t xml:space="preserve"> solicitar </w:t>
      </w:r>
      <w:r w:rsidR="42151649" w:rsidRPr="00B64273">
        <w:rPr>
          <w:rFonts w:ascii="Arial" w:hAnsi="Arial" w:cs="Arial"/>
        </w:rPr>
        <w:t>la liquidación</w:t>
      </w:r>
      <w:r w:rsidR="009643EC" w:rsidRPr="00B64273">
        <w:rPr>
          <w:rFonts w:ascii="Arial" w:hAnsi="Arial" w:cs="Arial"/>
        </w:rPr>
        <w:t xml:space="preserve"> </w:t>
      </w:r>
      <w:r w:rsidR="00F456BB" w:rsidRPr="00B64273">
        <w:rPr>
          <w:rFonts w:ascii="Arial" w:hAnsi="Arial" w:cs="Arial"/>
        </w:rPr>
        <w:t>d</w:t>
      </w:r>
      <w:r w:rsidR="009643EC" w:rsidRPr="00B64273">
        <w:rPr>
          <w:rFonts w:ascii="Arial" w:hAnsi="Arial" w:cs="Arial"/>
        </w:rPr>
        <w:t>el bono pensional</w:t>
      </w:r>
      <w:r w:rsidR="00F456BB" w:rsidRPr="00B64273">
        <w:rPr>
          <w:rFonts w:ascii="Arial" w:hAnsi="Arial" w:cs="Arial"/>
        </w:rPr>
        <w:t>.</w:t>
      </w:r>
    </w:p>
    <w:p w:rsidR="009643EC" w:rsidRPr="00B64273" w:rsidRDefault="009643EC" w:rsidP="00B64273">
      <w:pPr>
        <w:spacing w:line="276" w:lineRule="auto"/>
        <w:jc w:val="both"/>
        <w:rPr>
          <w:rFonts w:ascii="Arial" w:hAnsi="Arial" w:cs="Arial"/>
        </w:rPr>
      </w:pPr>
    </w:p>
    <w:p w:rsidR="003F0520" w:rsidRPr="00B64273" w:rsidRDefault="009643EC" w:rsidP="00B64273">
      <w:pPr>
        <w:spacing w:line="276" w:lineRule="auto"/>
        <w:jc w:val="both"/>
        <w:rPr>
          <w:rFonts w:ascii="Arial" w:hAnsi="Arial" w:cs="Arial"/>
        </w:rPr>
      </w:pPr>
      <w:r w:rsidRPr="00B64273">
        <w:rPr>
          <w:rFonts w:ascii="Arial" w:hAnsi="Arial" w:cs="Arial"/>
        </w:rPr>
        <w:t>Informa que posteriormente se presentaron nuev</w:t>
      </w:r>
      <w:r w:rsidR="00DE6C90" w:rsidRPr="00B64273">
        <w:rPr>
          <w:rFonts w:ascii="Arial" w:hAnsi="Arial" w:cs="Arial"/>
        </w:rPr>
        <w:t>os</w:t>
      </w:r>
      <w:r w:rsidRPr="00B64273">
        <w:rPr>
          <w:rFonts w:ascii="Arial" w:hAnsi="Arial" w:cs="Arial"/>
        </w:rPr>
        <w:t xml:space="preserve"> errores en la liquidación del </w:t>
      </w:r>
      <w:r w:rsidR="00DE6C90" w:rsidRPr="00B64273">
        <w:rPr>
          <w:rFonts w:ascii="Arial" w:hAnsi="Arial" w:cs="Arial"/>
        </w:rPr>
        <w:t>título</w:t>
      </w:r>
      <w:r w:rsidRPr="00B64273">
        <w:rPr>
          <w:rFonts w:ascii="Arial" w:hAnsi="Arial" w:cs="Arial"/>
        </w:rPr>
        <w:t xml:space="preserve"> por los tiempos laborados en los hospitales antes referidos, procediendo entonces a radicar derecho de petición ante el Servicio Seccional de Salud de Risaralda y el Hospital San Vicente de Paul de Apía, para que fuera definido quién asumiría los tiempos que estaban certificados doblemente, solicitud que fue atendida de manera favorable el día 25 de noviembre de 2020.</w:t>
      </w:r>
    </w:p>
    <w:p w:rsidR="003F0520" w:rsidRPr="00B64273" w:rsidRDefault="003F0520" w:rsidP="00B64273">
      <w:pPr>
        <w:spacing w:line="276" w:lineRule="auto"/>
        <w:jc w:val="both"/>
        <w:rPr>
          <w:rFonts w:ascii="Arial" w:hAnsi="Arial" w:cs="Arial"/>
        </w:rPr>
      </w:pPr>
    </w:p>
    <w:p w:rsidR="00E4512D" w:rsidRPr="00B64273" w:rsidRDefault="003F0520" w:rsidP="00B64273">
      <w:pPr>
        <w:spacing w:line="276" w:lineRule="auto"/>
        <w:jc w:val="both"/>
        <w:rPr>
          <w:rFonts w:ascii="Arial" w:hAnsi="Arial" w:cs="Arial"/>
        </w:rPr>
      </w:pPr>
      <w:r w:rsidRPr="00B64273">
        <w:rPr>
          <w:rFonts w:ascii="Arial" w:hAnsi="Arial" w:cs="Arial"/>
        </w:rPr>
        <w:t xml:space="preserve">Sostiene que una vez más la liquidación del bono </w:t>
      </w:r>
      <w:r w:rsidR="00C4290C" w:rsidRPr="00B64273">
        <w:rPr>
          <w:rFonts w:ascii="Arial" w:hAnsi="Arial" w:cs="Arial"/>
        </w:rPr>
        <w:t>pensional presentó inconvenientes, dado que</w:t>
      </w:r>
      <w:r w:rsidR="00E4512D" w:rsidRPr="00B64273">
        <w:rPr>
          <w:rFonts w:ascii="Arial" w:hAnsi="Arial" w:cs="Arial"/>
        </w:rPr>
        <w:t xml:space="preserve"> el </w:t>
      </w:r>
      <w:r w:rsidR="00C4290C" w:rsidRPr="00B64273">
        <w:rPr>
          <w:rFonts w:ascii="Arial" w:hAnsi="Arial" w:cs="Arial"/>
        </w:rPr>
        <w:t>Ministerio de Hacienda solicitaba las plani</w:t>
      </w:r>
      <w:r w:rsidR="00E4512D" w:rsidRPr="00B64273">
        <w:rPr>
          <w:rFonts w:ascii="Arial" w:hAnsi="Arial" w:cs="Arial"/>
        </w:rPr>
        <w:t xml:space="preserve">llas de </w:t>
      </w:r>
      <w:proofErr w:type="spellStart"/>
      <w:r w:rsidR="00E4512D" w:rsidRPr="00B64273">
        <w:rPr>
          <w:rFonts w:ascii="Arial" w:hAnsi="Arial" w:cs="Arial"/>
        </w:rPr>
        <w:t>Cajanal</w:t>
      </w:r>
      <w:proofErr w:type="spellEnd"/>
      <w:r w:rsidR="00E4512D" w:rsidRPr="00B64273">
        <w:rPr>
          <w:rFonts w:ascii="Arial" w:hAnsi="Arial" w:cs="Arial"/>
        </w:rPr>
        <w:t>, situación que lo llevó nuevamente a acudir al derecho de petición</w:t>
      </w:r>
      <w:r w:rsidR="6C74E1B4" w:rsidRPr="00B64273">
        <w:rPr>
          <w:rFonts w:ascii="Arial" w:hAnsi="Arial" w:cs="Arial"/>
        </w:rPr>
        <w:t>,</w:t>
      </w:r>
      <w:r w:rsidR="00E4512D" w:rsidRPr="00B64273">
        <w:rPr>
          <w:rFonts w:ascii="Arial" w:hAnsi="Arial" w:cs="Arial"/>
        </w:rPr>
        <w:t xml:space="preserve"> pero esta vez ante la UGPP, sin ningún resultado, razón por la cual se dirigió al Hospital San Vicente de Paúl de Apía para que expidiera las planillas de pago de aportes pensionales realizad</w:t>
      </w:r>
      <w:r w:rsidR="5C59463A" w:rsidRPr="00B64273">
        <w:rPr>
          <w:rFonts w:ascii="Arial" w:hAnsi="Arial" w:cs="Arial"/>
        </w:rPr>
        <w:t>o</w:t>
      </w:r>
      <w:r w:rsidR="00E4512D" w:rsidRPr="00B64273">
        <w:rPr>
          <w:rFonts w:ascii="Arial" w:hAnsi="Arial" w:cs="Arial"/>
        </w:rPr>
        <w:t xml:space="preserve">s a </w:t>
      </w:r>
      <w:proofErr w:type="spellStart"/>
      <w:r w:rsidR="00E4512D" w:rsidRPr="00B64273">
        <w:rPr>
          <w:rFonts w:ascii="Arial" w:hAnsi="Arial" w:cs="Arial"/>
        </w:rPr>
        <w:t>Cajanal</w:t>
      </w:r>
      <w:proofErr w:type="spellEnd"/>
      <w:r w:rsidR="00E4512D" w:rsidRPr="00B64273">
        <w:rPr>
          <w:rFonts w:ascii="Arial" w:hAnsi="Arial" w:cs="Arial"/>
        </w:rPr>
        <w:t>.</w:t>
      </w:r>
    </w:p>
    <w:p w:rsidR="00E4512D" w:rsidRPr="00B64273" w:rsidRDefault="00E4512D" w:rsidP="00B64273">
      <w:pPr>
        <w:spacing w:line="276" w:lineRule="auto"/>
        <w:jc w:val="both"/>
        <w:rPr>
          <w:rFonts w:ascii="Arial" w:hAnsi="Arial" w:cs="Arial"/>
        </w:rPr>
      </w:pPr>
    </w:p>
    <w:p w:rsidR="00E4512D" w:rsidRPr="00B64273" w:rsidRDefault="00E4512D" w:rsidP="00B64273">
      <w:pPr>
        <w:spacing w:line="276" w:lineRule="auto"/>
        <w:jc w:val="both"/>
        <w:rPr>
          <w:rFonts w:ascii="Arial" w:hAnsi="Arial" w:cs="Arial"/>
        </w:rPr>
      </w:pPr>
      <w:r w:rsidRPr="00B64273">
        <w:rPr>
          <w:rFonts w:ascii="Arial" w:hAnsi="Arial" w:cs="Arial"/>
        </w:rPr>
        <w:t xml:space="preserve">Una vez </w:t>
      </w:r>
      <w:r w:rsidR="004877DB" w:rsidRPr="00B64273">
        <w:rPr>
          <w:rFonts w:ascii="Arial" w:hAnsi="Arial" w:cs="Arial"/>
        </w:rPr>
        <w:t>fue firmada l</w:t>
      </w:r>
      <w:r w:rsidRPr="00B64273">
        <w:rPr>
          <w:rFonts w:ascii="Arial" w:hAnsi="Arial" w:cs="Arial"/>
        </w:rPr>
        <w:t>a aceptación de la historia laboral para la emisi</w:t>
      </w:r>
      <w:r w:rsidR="004877DB" w:rsidRPr="00B64273">
        <w:rPr>
          <w:rFonts w:ascii="Arial" w:hAnsi="Arial" w:cs="Arial"/>
        </w:rPr>
        <w:t xml:space="preserve">ón del </w:t>
      </w:r>
      <w:r w:rsidR="00B64273" w:rsidRPr="00B64273">
        <w:rPr>
          <w:rFonts w:ascii="Arial" w:hAnsi="Arial" w:cs="Arial"/>
        </w:rPr>
        <w:t>bono se</w:t>
      </w:r>
      <w:r w:rsidR="004877DB" w:rsidRPr="00B64273">
        <w:rPr>
          <w:rFonts w:ascii="Arial" w:hAnsi="Arial" w:cs="Arial"/>
        </w:rPr>
        <w:t xml:space="preserve"> requirió al Departamento del Valle para que reali</w:t>
      </w:r>
      <w:r w:rsidR="00DE6C90" w:rsidRPr="00B64273">
        <w:rPr>
          <w:rFonts w:ascii="Arial" w:hAnsi="Arial" w:cs="Arial"/>
        </w:rPr>
        <w:t xml:space="preserve">zara el pago de la cuota parte a su </w:t>
      </w:r>
      <w:r w:rsidR="6D83713C" w:rsidRPr="00B64273">
        <w:rPr>
          <w:rFonts w:ascii="Arial" w:hAnsi="Arial" w:cs="Arial"/>
        </w:rPr>
        <w:t>cargo, lo</w:t>
      </w:r>
      <w:r w:rsidR="004877DB" w:rsidRPr="00B64273">
        <w:rPr>
          <w:rFonts w:ascii="Arial" w:hAnsi="Arial" w:cs="Arial"/>
        </w:rPr>
        <w:t xml:space="preserve"> cual fue aceptado mediante Resolución No 0146 de 5 de abril de 2021 </w:t>
      </w:r>
      <w:r w:rsidR="00DE6C90" w:rsidRPr="00B64273">
        <w:rPr>
          <w:rFonts w:ascii="Arial" w:hAnsi="Arial" w:cs="Arial"/>
        </w:rPr>
        <w:t xml:space="preserve">a través de la cual </w:t>
      </w:r>
      <w:r w:rsidR="004877DB" w:rsidRPr="00B64273">
        <w:rPr>
          <w:rFonts w:ascii="Arial" w:hAnsi="Arial" w:cs="Arial"/>
        </w:rPr>
        <w:t>se emitió y reconoció la</w:t>
      </w:r>
      <w:r w:rsidR="00713C17" w:rsidRPr="00B64273">
        <w:rPr>
          <w:rFonts w:ascii="Arial" w:hAnsi="Arial" w:cs="Arial"/>
        </w:rPr>
        <w:t xml:space="preserve"> cuota parte del bono pensional, pero </w:t>
      </w:r>
      <w:r w:rsidR="2644A3A8" w:rsidRPr="00B64273">
        <w:rPr>
          <w:rFonts w:ascii="Arial" w:hAnsi="Arial" w:cs="Arial"/>
        </w:rPr>
        <w:t xml:space="preserve">se </w:t>
      </w:r>
      <w:r w:rsidR="00713C17" w:rsidRPr="00B64273">
        <w:rPr>
          <w:rFonts w:ascii="Arial" w:hAnsi="Arial" w:cs="Arial"/>
        </w:rPr>
        <w:t xml:space="preserve">le </w:t>
      </w:r>
      <w:r w:rsidR="00DE6C90" w:rsidRPr="00B64273">
        <w:rPr>
          <w:rFonts w:ascii="Arial" w:hAnsi="Arial" w:cs="Arial"/>
        </w:rPr>
        <w:t>comunicó</w:t>
      </w:r>
      <w:r w:rsidR="00713C17" w:rsidRPr="00B64273">
        <w:rPr>
          <w:rFonts w:ascii="Arial" w:hAnsi="Arial" w:cs="Arial"/>
        </w:rPr>
        <w:t xml:space="preserve"> que no le fue posible realizar la marcación en la plataforma interactiva del Ministerio de Hacienda y Crédito Público.</w:t>
      </w:r>
    </w:p>
    <w:p w:rsidR="00713C17" w:rsidRPr="00B64273" w:rsidRDefault="00713C17" w:rsidP="00B64273">
      <w:pPr>
        <w:spacing w:line="276" w:lineRule="auto"/>
        <w:jc w:val="both"/>
        <w:rPr>
          <w:rFonts w:ascii="Arial" w:hAnsi="Arial" w:cs="Arial"/>
        </w:rPr>
      </w:pPr>
    </w:p>
    <w:p w:rsidR="00713C17" w:rsidRPr="00B64273" w:rsidRDefault="00713C17" w:rsidP="00B64273">
      <w:pPr>
        <w:spacing w:line="276" w:lineRule="auto"/>
        <w:jc w:val="both"/>
        <w:rPr>
          <w:rFonts w:ascii="Arial" w:hAnsi="Arial" w:cs="Arial"/>
        </w:rPr>
      </w:pPr>
      <w:r w:rsidRPr="00B64273">
        <w:rPr>
          <w:rFonts w:ascii="Arial" w:hAnsi="Arial" w:cs="Arial"/>
        </w:rPr>
        <w:t xml:space="preserve">No obstante ello, nuevamente la AFP Porvenir S.A. </w:t>
      </w:r>
      <w:r w:rsidR="00161DA1" w:rsidRPr="00B64273">
        <w:rPr>
          <w:rFonts w:ascii="Arial" w:hAnsi="Arial" w:cs="Arial"/>
        </w:rPr>
        <w:t xml:space="preserve">indicó que se presentaban errores con las planillas </w:t>
      </w:r>
      <w:r w:rsidR="00330247" w:rsidRPr="00B64273">
        <w:rPr>
          <w:rFonts w:ascii="Arial" w:hAnsi="Arial" w:cs="Arial"/>
        </w:rPr>
        <w:t xml:space="preserve">de </w:t>
      </w:r>
      <w:proofErr w:type="spellStart"/>
      <w:r w:rsidR="00161DA1" w:rsidRPr="00B64273">
        <w:rPr>
          <w:rFonts w:ascii="Arial" w:hAnsi="Arial" w:cs="Arial"/>
        </w:rPr>
        <w:t>Cajanal</w:t>
      </w:r>
      <w:proofErr w:type="spellEnd"/>
      <w:r w:rsidR="00161DA1" w:rsidRPr="00B64273">
        <w:rPr>
          <w:rFonts w:ascii="Arial" w:hAnsi="Arial" w:cs="Arial"/>
        </w:rPr>
        <w:t xml:space="preserve"> </w:t>
      </w:r>
      <w:r w:rsidR="00DE6C90" w:rsidRPr="00B64273">
        <w:rPr>
          <w:rFonts w:ascii="Arial" w:hAnsi="Arial" w:cs="Arial"/>
        </w:rPr>
        <w:t>aportada</w:t>
      </w:r>
      <w:r w:rsidR="26D6185B" w:rsidRPr="00B64273">
        <w:rPr>
          <w:rFonts w:ascii="Arial" w:hAnsi="Arial" w:cs="Arial"/>
        </w:rPr>
        <w:t>s</w:t>
      </w:r>
      <w:r w:rsidR="00161DA1" w:rsidRPr="00B64273">
        <w:rPr>
          <w:rFonts w:ascii="Arial" w:hAnsi="Arial" w:cs="Arial"/>
        </w:rPr>
        <w:t xml:space="preserve">, lo que lo obligó a requerir a la Oficina de Bonos Pensionales del Ministerio de Hacienda para </w:t>
      </w:r>
      <w:r w:rsidR="007200BA">
        <w:rPr>
          <w:rFonts w:ascii="Arial" w:hAnsi="Arial" w:cs="Arial"/>
        </w:rPr>
        <w:t xml:space="preserve">que </w:t>
      </w:r>
      <w:r w:rsidR="00DE6C90" w:rsidRPr="00B64273">
        <w:rPr>
          <w:rFonts w:ascii="Arial" w:hAnsi="Arial" w:cs="Arial"/>
        </w:rPr>
        <w:t>fueran</w:t>
      </w:r>
      <w:r w:rsidR="00161DA1" w:rsidRPr="00B64273">
        <w:rPr>
          <w:rFonts w:ascii="Arial" w:hAnsi="Arial" w:cs="Arial"/>
        </w:rPr>
        <w:t xml:space="preserve"> super</w:t>
      </w:r>
      <w:r w:rsidR="00DE6C90" w:rsidRPr="00B64273">
        <w:rPr>
          <w:rFonts w:ascii="Arial" w:hAnsi="Arial" w:cs="Arial"/>
        </w:rPr>
        <w:t>ados</w:t>
      </w:r>
      <w:r w:rsidR="00161DA1" w:rsidRPr="00B64273">
        <w:rPr>
          <w:rFonts w:ascii="Arial" w:hAnsi="Arial" w:cs="Arial"/>
        </w:rPr>
        <w:t xml:space="preserve"> los</w:t>
      </w:r>
      <w:r w:rsidR="00DE6C90" w:rsidRPr="00B64273">
        <w:rPr>
          <w:rFonts w:ascii="Arial" w:hAnsi="Arial" w:cs="Arial"/>
        </w:rPr>
        <w:t xml:space="preserve"> yerros, siendo atendido de manera </w:t>
      </w:r>
      <w:r w:rsidR="5B759C0C" w:rsidRPr="00B64273">
        <w:rPr>
          <w:rFonts w:ascii="Arial" w:hAnsi="Arial" w:cs="Arial"/>
        </w:rPr>
        <w:t>favorable por</w:t>
      </w:r>
      <w:r w:rsidR="00DE6C90" w:rsidRPr="00B64273">
        <w:rPr>
          <w:rFonts w:ascii="Arial" w:hAnsi="Arial" w:cs="Arial"/>
        </w:rPr>
        <w:t xml:space="preserve"> esa Cartera, según comunicación de fecha</w:t>
      </w:r>
      <w:r w:rsidR="00161DA1" w:rsidRPr="00B64273">
        <w:rPr>
          <w:rFonts w:ascii="Arial" w:hAnsi="Arial" w:cs="Arial"/>
        </w:rPr>
        <w:t xml:space="preserve"> 15 de junio de 2021.</w:t>
      </w:r>
    </w:p>
    <w:p w:rsidR="00161DA1" w:rsidRPr="00B64273" w:rsidRDefault="00161DA1" w:rsidP="00B64273">
      <w:pPr>
        <w:spacing w:line="276" w:lineRule="auto"/>
        <w:jc w:val="both"/>
        <w:rPr>
          <w:rFonts w:ascii="Arial" w:hAnsi="Arial" w:cs="Arial"/>
        </w:rPr>
      </w:pPr>
    </w:p>
    <w:p w:rsidR="00161DA1" w:rsidRPr="00B64273" w:rsidRDefault="00161DA1" w:rsidP="00B64273">
      <w:pPr>
        <w:spacing w:line="276" w:lineRule="auto"/>
        <w:jc w:val="both"/>
        <w:rPr>
          <w:rFonts w:ascii="Arial" w:hAnsi="Arial" w:cs="Arial"/>
        </w:rPr>
      </w:pPr>
      <w:r w:rsidRPr="00B64273">
        <w:rPr>
          <w:rFonts w:ascii="Arial" w:hAnsi="Arial" w:cs="Arial"/>
        </w:rPr>
        <w:t>Firmada la emisión del bono pensional, fue informado que se encontraba pendiente el pago de la cuota parte del Departamento del Valle, toda vez que no había realizado la respectiva marcación del bono.</w:t>
      </w:r>
    </w:p>
    <w:p w:rsidR="009A2663" w:rsidRPr="00B64273" w:rsidRDefault="009A2663" w:rsidP="00B64273">
      <w:pPr>
        <w:spacing w:line="276" w:lineRule="auto"/>
        <w:jc w:val="both"/>
        <w:rPr>
          <w:rFonts w:ascii="Arial" w:hAnsi="Arial" w:cs="Arial"/>
        </w:rPr>
      </w:pPr>
    </w:p>
    <w:p w:rsidR="009A2663" w:rsidRPr="00B64273" w:rsidRDefault="009A2663" w:rsidP="00B64273">
      <w:pPr>
        <w:spacing w:line="276" w:lineRule="auto"/>
        <w:jc w:val="both"/>
        <w:rPr>
          <w:rFonts w:ascii="Arial" w:hAnsi="Arial" w:cs="Arial"/>
        </w:rPr>
      </w:pPr>
      <w:r w:rsidRPr="00B64273">
        <w:rPr>
          <w:rFonts w:ascii="Arial" w:hAnsi="Arial" w:cs="Arial"/>
        </w:rPr>
        <w:lastRenderedPageBreak/>
        <w:t>El día 23 de julio de 2021 solicitó al Departamento del Valle realizar la marcación y el respectivo pago de la cuota parte de bono pensional y esa entidad indicó que no era posible toda vez que la plataforma sólo permit</w:t>
      </w:r>
      <w:r w:rsidR="00DA5E9E" w:rsidRPr="00B64273">
        <w:rPr>
          <w:rFonts w:ascii="Arial" w:hAnsi="Arial" w:cs="Arial"/>
        </w:rPr>
        <w:t>ía</w:t>
      </w:r>
      <w:r w:rsidRPr="00B64273">
        <w:rPr>
          <w:rFonts w:ascii="Arial" w:hAnsi="Arial" w:cs="Arial"/>
        </w:rPr>
        <w:t xml:space="preserve"> marcar como “</w:t>
      </w:r>
      <w:r w:rsidRPr="00B64273">
        <w:rPr>
          <w:rFonts w:ascii="Arial" w:hAnsi="Arial" w:cs="Arial"/>
          <w:i/>
          <w:iCs/>
        </w:rPr>
        <w:t>OBJECIÓN</w:t>
      </w:r>
      <w:r w:rsidRPr="00B64273">
        <w:rPr>
          <w:rFonts w:ascii="Arial" w:hAnsi="Arial" w:cs="Arial"/>
        </w:rPr>
        <w:t>”</w:t>
      </w:r>
      <w:r w:rsidR="00DA5E9E" w:rsidRPr="00B64273">
        <w:rPr>
          <w:rFonts w:ascii="Arial" w:hAnsi="Arial" w:cs="Arial"/>
        </w:rPr>
        <w:t>, correspondiéndole al fondo</w:t>
      </w:r>
      <w:r w:rsidRPr="00B64273">
        <w:rPr>
          <w:rFonts w:ascii="Arial" w:hAnsi="Arial" w:cs="Arial"/>
        </w:rPr>
        <w:t xml:space="preserve"> </w:t>
      </w:r>
      <w:r w:rsidR="0010241C" w:rsidRPr="00B64273">
        <w:rPr>
          <w:rFonts w:ascii="Arial" w:hAnsi="Arial" w:cs="Arial"/>
        </w:rPr>
        <w:t>consultar con el Ministerio sobre las dete</w:t>
      </w:r>
      <w:r w:rsidR="00DA5E9E" w:rsidRPr="00B64273">
        <w:rPr>
          <w:rFonts w:ascii="Arial" w:hAnsi="Arial" w:cs="Arial"/>
        </w:rPr>
        <w:t>c</w:t>
      </w:r>
      <w:r w:rsidR="0010241C" w:rsidRPr="00B64273">
        <w:rPr>
          <w:rFonts w:ascii="Arial" w:hAnsi="Arial" w:cs="Arial"/>
        </w:rPr>
        <w:t>ciones o investigaciones que tenga del bono</w:t>
      </w:r>
      <w:r w:rsidR="00DA5E9E" w:rsidRPr="00B64273">
        <w:rPr>
          <w:rFonts w:ascii="Arial" w:hAnsi="Arial" w:cs="Arial"/>
        </w:rPr>
        <w:t xml:space="preserve">, también le </w:t>
      </w:r>
      <w:r w:rsidR="1A750405" w:rsidRPr="00B64273">
        <w:rPr>
          <w:rFonts w:ascii="Arial" w:hAnsi="Arial" w:cs="Arial"/>
        </w:rPr>
        <w:t>refiri</w:t>
      </w:r>
      <w:r w:rsidR="00DA5E9E" w:rsidRPr="00B64273">
        <w:rPr>
          <w:rFonts w:ascii="Arial" w:hAnsi="Arial" w:cs="Arial"/>
        </w:rPr>
        <w:t xml:space="preserve">ó que </w:t>
      </w:r>
      <w:r w:rsidR="0010241C" w:rsidRPr="00B64273">
        <w:rPr>
          <w:rFonts w:ascii="Arial" w:hAnsi="Arial" w:cs="Arial"/>
        </w:rPr>
        <w:t xml:space="preserve">en la plataforma interactiva de dicha Cartera </w:t>
      </w:r>
      <w:r w:rsidR="002B1741" w:rsidRPr="00B64273">
        <w:rPr>
          <w:rFonts w:ascii="Arial" w:hAnsi="Arial" w:cs="Arial"/>
        </w:rPr>
        <w:t>var</w:t>
      </w:r>
      <w:r w:rsidR="00DA5E9E" w:rsidRPr="00B64273">
        <w:rPr>
          <w:rFonts w:ascii="Arial" w:hAnsi="Arial" w:cs="Arial"/>
        </w:rPr>
        <w:t>ió</w:t>
      </w:r>
      <w:r w:rsidR="002B1741" w:rsidRPr="00B64273">
        <w:rPr>
          <w:rFonts w:ascii="Arial" w:hAnsi="Arial" w:cs="Arial"/>
        </w:rPr>
        <w:t xml:space="preserve"> el valor del bono pensional</w:t>
      </w:r>
      <w:r w:rsidR="00DA5E9E" w:rsidRPr="00B64273">
        <w:rPr>
          <w:rFonts w:ascii="Arial" w:hAnsi="Arial" w:cs="Arial"/>
        </w:rPr>
        <w:t xml:space="preserve">, debiendo </w:t>
      </w:r>
      <w:r w:rsidR="002B1741" w:rsidRPr="00B64273">
        <w:rPr>
          <w:rFonts w:ascii="Arial" w:hAnsi="Arial" w:cs="Arial"/>
        </w:rPr>
        <w:t>Porvenir S.A. confirmar si va a realizar una nueva solicitud de cobro ante e</w:t>
      </w:r>
      <w:r w:rsidR="00DA5E9E" w:rsidRPr="00B64273">
        <w:rPr>
          <w:rFonts w:ascii="Arial" w:hAnsi="Arial" w:cs="Arial"/>
        </w:rPr>
        <w:t>se ente territorial</w:t>
      </w:r>
      <w:r w:rsidR="002B1741" w:rsidRPr="00B64273">
        <w:rPr>
          <w:rFonts w:ascii="Arial" w:hAnsi="Arial" w:cs="Arial"/>
        </w:rPr>
        <w:t>, toda vez que la liquidación del bono en la resolución se basó en la solicitud No</w:t>
      </w:r>
      <w:r w:rsidR="00356EE8" w:rsidRPr="00B64273">
        <w:rPr>
          <w:rFonts w:ascii="Arial" w:hAnsi="Arial" w:cs="Arial"/>
        </w:rPr>
        <w:t xml:space="preserve"> </w:t>
      </w:r>
      <w:r w:rsidR="002B1741" w:rsidRPr="00B64273">
        <w:rPr>
          <w:rFonts w:ascii="Arial" w:hAnsi="Arial" w:cs="Arial"/>
        </w:rPr>
        <w:t>56 y actualmente se encuentra activa la solicitud No 60.</w:t>
      </w:r>
    </w:p>
    <w:p w:rsidR="0015347D" w:rsidRPr="00B64273" w:rsidRDefault="0015347D" w:rsidP="00B64273">
      <w:pPr>
        <w:spacing w:line="276" w:lineRule="auto"/>
        <w:jc w:val="both"/>
        <w:rPr>
          <w:rFonts w:ascii="Arial" w:hAnsi="Arial" w:cs="Arial"/>
        </w:rPr>
      </w:pPr>
    </w:p>
    <w:p w:rsidR="00713C17" w:rsidRPr="00B64273" w:rsidRDefault="00356EE8" w:rsidP="00B64273">
      <w:pPr>
        <w:spacing w:line="276" w:lineRule="auto"/>
        <w:jc w:val="both"/>
        <w:rPr>
          <w:rFonts w:ascii="Arial" w:hAnsi="Arial" w:cs="Arial"/>
        </w:rPr>
      </w:pPr>
      <w:r w:rsidRPr="00B64273">
        <w:rPr>
          <w:rFonts w:ascii="Arial" w:hAnsi="Arial" w:cs="Arial"/>
        </w:rPr>
        <w:t>Con todo lo anterior pretende demostrar las traba</w:t>
      </w:r>
      <w:r w:rsidR="009B16F4" w:rsidRPr="00B64273">
        <w:rPr>
          <w:rFonts w:ascii="Arial" w:hAnsi="Arial" w:cs="Arial"/>
        </w:rPr>
        <w:t>s</w:t>
      </w:r>
      <w:r w:rsidRPr="00B64273">
        <w:rPr>
          <w:rFonts w:ascii="Arial" w:hAnsi="Arial" w:cs="Arial"/>
        </w:rPr>
        <w:t xml:space="preserve"> administrativas que se le han puesto para obtener el pago de</w:t>
      </w:r>
      <w:r w:rsidR="1A5146F9" w:rsidRPr="00B64273">
        <w:rPr>
          <w:rFonts w:ascii="Arial" w:hAnsi="Arial" w:cs="Arial"/>
        </w:rPr>
        <w:t>l</w:t>
      </w:r>
      <w:r w:rsidRPr="00B64273">
        <w:rPr>
          <w:rFonts w:ascii="Arial" w:hAnsi="Arial" w:cs="Arial"/>
        </w:rPr>
        <w:t xml:space="preserve"> derecho pensional que pretende</w:t>
      </w:r>
      <w:r w:rsidR="009B16F4" w:rsidRPr="00B64273">
        <w:rPr>
          <w:rFonts w:ascii="Arial" w:hAnsi="Arial" w:cs="Arial"/>
        </w:rPr>
        <w:t xml:space="preserve"> </w:t>
      </w:r>
      <w:r w:rsidR="00B64273" w:rsidRPr="00B64273">
        <w:rPr>
          <w:rFonts w:ascii="Arial" w:hAnsi="Arial" w:cs="Arial"/>
        </w:rPr>
        <w:t>y requiere</w:t>
      </w:r>
      <w:r w:rsidR="009B16F4" w:rsidRPr="00B64273">
        <w:rPr>
          <w:rFonts w:ascii="Arial" w:hAnsi="Arial" w:cs="Arial"/>
        </w:rPr>
        <w:t>,</w:t>
      </w:r>
      <w:r w:rsidRPr="00B64273">
        <w:rPr>
          <w:rFonts w:ascii="Arial" w:hAnsi="Arial" w:cs="Arial"/>
        </w:rPr>
        <w:t xml:space="preserve"> toda vez que presenta quebrantos de salud</w:t>
      </w:r>
      <w:r w:rsidR="4BC45F5A" w:rsidRPr="00B64273">
        <w:rPr>
          <w:rFonts w:ascii="Arial" w:hAnsi="Arial" w:cs="Arial"/>
        </w:rPr>
        <w:t>.</w:t>
      </w:r>
      <w:r w:rsidRPr="00B64273">
        <w:rPr>
          <w:rFonts w:ascii="Arial" w:hAnsi="Arial" w:cs="Arial"/>
        </w:rPr>
        <w:t xml:space="preserve"> </w:t>
      </w:r>
      <w:r w:rsidR="0EDF4C16" w:rsidRPr="00B64273">
        <w:rPr>
          <w:rFonts w:ascii="Arial" w:hAnsi="Arial" w:cs="Arial"/>
        </w:rPr>
        <w:t>P</w:t>
      </w:r>
      <w:r w:rsidRPr="00B64273">
        <w:rPr>
          <w:rFonts w:ascii="Arial" w:hAnsi="Arial" w:cs="Arial"/>
        </w:rPr>
        <w:t>or su avanzada edad no labora</w:t>
      </w:r>
      <w:r w:rsidR="00DA5E9E" w:rsidRPr="00B64273">
        <w:rPr>
          <w:rFonts w:ascii="Arial" w:hAnsi="Arial" w:cs="Arial"/>
        </w:rPr>
        <w:t>;</w:t>
      </w:r>
      <w:r w:rsidRPr="00B64273">
        <w:rPr>
          <w:rFonts w:ascii="Arial" w:hAnsi="Arial" w:cs="Arial"/>
        </w:rPr>
        <w:t xml:space="preserve"> se encuentra desprotegido económicamente</w:t>
      </w:r>
      <w:r w:rsidR="00DA5E9E" w:rsidRPr="00B64273">
        <w:rPr>
          <w:rFonts w:ascii="Arial" w:hAnsi="Arial" w:cs="Arial"/>
        </w:rPr>
        <w:t>;</w:t>
      </w:r>
      <w:r w:rsidRPr="00B64273">
        <w:rPr>
          <w:rFonts w:ascii="Arial" w:hAnsi="Arial" w:cs="Arial"/>
        </w:rPr>
        <w:t xml:space="preserve"> no cuenta con ingresos propios </w:t>
      </w:r>
      <w:r w:rsidR="00DA5E9E" w:rsidRPr="00B64273">
        <w:rPr>
          <w:rFonts w:ascii="Arial" w:hAnsi="Arial" w:cs="Arial"/>
        </w:rPr>
        <w:t xml:space="preserve">ya que </w:t>
      </w:r>
      <w:r w:rsidRPr="00B64273">
        <w:rPr>
          <w:rFonts w:ascii="Arial" w:hAnsi="Arial" w:cs="Arial"/>
        </w:rPr>
        <w:t>subsiste gracias a la caridad de amigos y vecinos, pues no tiene familiares que velen por él, como tampoco bienes ni ayuda económica del Estado, del que recibe solo el servicio de salud por su afiliación al SISBEN.</w:t>
      </w:r>
    </w:p>
    <w:p w:rsidR="0028798D" w:rsidRPr="00B64273" w:rsidRDefault="0028798D" w:rsidP="00B64273">
      <w:pPr>
        <w:spacing w:line="276" w:lineRule="auto"/>
        <w:jc w:val="both"/>
        <w:rPr>
          <w:rFonts w:ascii="Arial" w:hAnsi="Arial" w:cs="Arial"/>
        </w:rPr>
      </w:pPr>
    </w:p>
    <w:p w:rsidR="0028798D" w:rsidRPr="00B64273" w:rsidRDefault="0028798D" w:rsidP="00B64273">
      <w:pPr>
        <w:spacing w:line="276" w:lineRule="auto"/>
        <w:jc w:val="both"/>
        <w:rPr>
          <w:rFonts w:ascii="Arial" w:hAnsi="Arial" w:cs="Arial"/>
        </w:rPr>
      </w:pPr>
      <w:r w:rsidRPr="00B64273">
        <w:rPr>
          <w:rFonts w:ascii="Arial" w:hAnsi="Arial" w:cs="Arial"/>
        </w:rPr>
        <w:t>Es así entonces que acude a la jurisdicción constitucional para que le sean protegías sus garantías constitucionales a la Vida en condiciones dignas, la Seguridad Social</w:t>
      </w:r>
      <w:r w:rsidR="505661ED" w:rsidRPr="00B64273">
        <w:rPr>
          <w:rFonts w:ascii="Arial" w:hAnsi="Arial" w:cs="Arial"/>
        </w:rPr>
        <w:t>,</w:t>
      </w:r>
      <w:r w:rsidRPr="00B64273">
        <w:rPr>
          <w:rFonts w:ascii="Arial" w:hAnsi="Arial" w:cs="Arial"/>
        </w:rPr>
        <w:t xml:space="preserve"> el Mínimo Vital </w:t>
      </w:r>
      <w:r w:rsidR="3E2B0305" w:rsidRPr="00B64273">
        <w:rPr>
          <w:rFonts w:ascii="Arial" w:hAnsi="Arial" w:cs="Arial"/>
        </w:rPr>
        <w:t>y la</w:t>
      </w:r>
      <w:r w:rsidRPr="00B64273">
        <w:rPr>
          <w:rFonts w:ascii="Arial" w:hAnsi="Arial" w:cs="Arial"/>
        </w:rPr>
        <w:t xml:space="preserve"> Igualdad</w:t>
      </w:r>
      <w:r w:rsidR="3DE6BCFB" w:rsidRPr="00B64273">
        <w:rPr>
          <w:rFonts w:ascii="Arial" w:hAnsi="Arial" w:cs="Arial"/>
        </w:rPr>
        <w:t xml:space="preserve">. En </w:t>
      </w:r>
      <w:r w:rsidRPr="00B64273">
        <w:rPr>
          <w:rFonts w:ascii="Arial" w:hAnsi="Arial" w:cs="Arial"/>
        </w:rPr>
        <w:t>consecuencia</w:t>
      </w:r>
      <w:r w:rsidR="4A8DDAD0" w:rsidRPr="00B64273">
        <w:rPr>
          <w:rFonts w:ascii="Arial" w:hAnsi="Arial" w:cs="Arial"/>
        </w:rPr>
        <w:t>,</w:t>
      </w:r>
      <w:r w:rsidRPr="00B64273">
        <w:rPr>
          <w:rFonts w:ascii="Arial" w:hAnsi="Arial" w:cs="Arial"/>
        </w:rPr>
        <w:t xml:space="preserve"> </w:t>
      </w:r>
      <w:r w:rsidR="00DA5E9E" w:rsidRPr="00B64273">
        <w:rPr>
          <w:rFonts w:ascii="Arial" w:hAnsi="Arial" w:cs="Arial"/>
        </w:rPr>
        <w:t xml:space="preserve">pide que </w:t>
      </w:r>
      <w:r w:rsidRPr="00B64273">
        <w:rPr>
          <w:rFonts w:ascii="Arial" w:hAnsi="Arial" w:cs="Arial"/>
        </w:rPr>
        <w:t xml:space="preserve">se ordene a Porvenir S.A., a la OBP del Ministerio de Hacienda y Crédito Público o a quien le corresponda proceder a reorganizar las inconsistencias en la liquidación del bono pensional y se </w:t>
      </w:r>
      <w:r w:rsidR="38489EC3" w:rsidRPr="00B64273">
        <w:rPr>
          <w:rFonts w:ascii="Arial" w:hAnsi="Arial" w:cs="Arial"/>
        </w:rPr>
        <w:t>ordene</w:t>
      </w:r>
      <w:r w:rsidRPr="00B64273">
        <w:rPr>
          <w:rFonts w:ascii="Arial" w:hAnsi="Arial" w:cs="Arial"/>
        </w:rPr>
        <w:t xml:space="preserve"> a Colpensiones y al Departamento del Valle que realicen el pago de la cuota </w:t>
      </w:r>
      <w:r w:rsidR="00DA5E9E" w:rsidRPr="00B64273">
        <w:rPr>
          <w:rFonts w:ascii="Arial" w:hAnsi="Arial" w:cs="Arial"/>
        </w:rPr>
        <w:t>que deben asumir en este caso.</w:t>
      </w:r>
    </w:p>
    <w:p w:rsidR="00356EE8" w:rsidRPr="00B64273" w:rsidRDefault="00356EE8" w:rsidP="00B64273">
      <w:pPr>
        <w:spacing w:line="276" w:lineRule="auto"/>
        <w:jc w:val="both"/>
        <w:rPr>
          <w:rFonts w:ascii="Arial" w:hAnsi="Arial" w:cs="Arial"/>
        </w:rPr>
      </w:pPr>
    </w:p>
    <w:p w:rsidR="00EA6461" w:rsidRPr="00B64273" w:rsidRDefault="00EA6461" w:rsidP="00B64273">
      <w:pPr>
        <w:pStyle w:val="Ttulo2"/>
        <w:spacing w:line="276" w:lineRule="auto"/>
        <w:jc w:val="center"/>
        <w:rPr>
          <w:rFonts w:cs="Arial"/>
          <w:szCs w:val="24"/>
        </w:rPr>
      </w:pPr>
      <w:r w:rsidRPr="00B64273">
        <w:rPr>
          <w:rFonts w:cs="Arial"/>
          <w:szCs w:val="24"/>
        </w:rPr>
        <w:t>TRÁMITE IMPARTIDO</w:t>
      </w:r>
    </w:p>
    <w:p w:rsidR="00EA6461" w:rsidRPr="00B64273" w:rsidRDefault="00EA6461" w:rsidP="00B64273">
      <w:pPr>
        <w:spacing w:line="276" w:lineRule="auto"/>
        <w:rPr>
          <w:rFonts w:ascii="Arial" w:hAnsi="Arial" w:cs="Arial"/>
          <w:lang w:val="es-ES_tradnl"/>
        </w:rPr>
      </w:pPr>
    </w:p>
    <w:p w:rsidR="00CE2924" w:rsidRPr="00B64273" w:rsidRDefault="00EA6461" w:rsidP="00B64273">
      <w:pPr>
        <w:spacing w:line="276" w:lineRule="auto"/>
        <w:jc w:val="both"/>
        <w:rPr>
          <w:rFonts w:ascii="Arial" w:hAnsi="Arial" w:cs="Arial"/>
        </w:rPr>
      </w:pPr>
      <w:r w:rsidRPr="00B64273">
        <w:rPr>
          <w:rFonts w:ascii="Arial" w:hAnsi="Arial" w:cs="Arial"/>
        </w:rPr>
        <w:t>La acción de tutela corres</w:t>
      </w:r>
      <w:r w:rsidR="006D5A33" w:rsidRPr="00B64273">
        <w:rPr>
          <w:rFonts w:ascii="Arial" w:hAnsi="Arial" w:cs="Arial"/>
        </w:rPr>
        <w:t xml:space="preserve">pondió por reparto al Juzgado </w:t>
      </w:r>
      <w:r w:rsidR="004C2E19" w:rsidRPr="00B64273">
        <w:rPr>
          <w:rFonts w:ascii="Arial" w:hAnsi="Arial" w:cs="Arial"/>
        </w:rPr>
        <w:t xml:space="preserve">Tercero </w:t>
      </w:r>
      <w:r w:rsidRPr="00B64273">
        <w:rPr>
          <w:rFonts w:ascii="Arial" w:hAnsi="Arial" w:cs="Arial"/>
        </w:rPr>
        <w:t>Laboral del Circuito de esta ciudad, el cual</w:t>
      </w:r>
      <w:r w:rsidR="00DA5E9E" w:rsidRPr="00B64273">
        <w:rPr>
          <w:rFonts w:ascii="Arial" w:hAnsi="Arial" w:cs="Arial"/>
        </w:rPr>
        <w:t>,</w:t>
      </w:r>
      <w:r w:rsidRPr="00B64273">
        <w:rPr>
          <w:rFonts w:ascii="Arial" w:hAnsi="Arial" w:cs="Arial"/>
        </w:rPr>
        <w:t xml:space="preserve"> </w:t>
      </w:r>
      <w:r w:rsidR="004C2E19" w:rsidRPr="00B64273">
        <w:rPr>
          <w:rFonts w:ascii="Arial" w:hAnsi="Arial" w:cs="Arial"/>
        </w:rPr>
        <w:t>mediante auto de fecha 24 de agosto de 2021</w:t>
      </w:r>
      <w:r w:rsidR="00DA5E9E" w:rsidRPr="00B64273">
        <w:rPr>
          <w:rFonts w:ascii="Arial" w:hAnsi="Arial" w:cs="Arial"/>
        </w:rPr>
        <w:t xml:space="preserve"> la admitió </w:t>
      </w:r>
      <w:proofErr w:type="gramStart"/>
      <w:r w:rsidR="00DA5E9E" w:rsidRPr="00B64273">
        <w:rPr>
          <w:rFonts w:ascii="Arial" w:hAnsi="Arial" w:cs="Arial"/>
        </w:rPr>
        <w:t xml:space="preserve">y </w:t>
      </w:r>
      <w:r w:rsidR="004C2E19" w:rsidRPr="00B64273">
        <w:rPr>
          <w:rFonts w:ascii="Arial" w:hAnsi="Arial" w:cs="Arial"/>
        </w:rPr>
        <w:t xml:space="preserve"> </w:t>
      </w:r>
      <w:r w:rsidRPr="00B64273">
        <w:rPr>
          <w:rFonts w:ascii="Arial" w:hAnsi="Arial" w:cs="Arial"/>
        </w:rPr>
        <w:t>corrió</w:t>
      </w:r>
      <w:proofErr w:type="gramEnd"/>
      <w:r w:rsidRPr="00B64273">
        <w:rPr>
          <w:rFonts w:ascii="Arial" w:hAnsi="Arial" w:cs="Arial"/>
        </w:rPr>
        <w:t xml:space="preserve"> traslado</w:t>
      </w:r>
      <w:r w:rsidR="00DA5E9E" w:rsidRPr="00B64273">
        <w:rPr>
          <w:rFonts w:ascii="Arial" w:hAnsi="Arial" w:cs="Arial"/>
        </w:rPr>
        <w:t xml:space="preserve"> </w:t>
      </w:r>
      <w:r w:rsidRPr="00B64273">
        <w:rPr>
          <w:rFonts w:ascii="Arial" w:hAnsi="Arial" w:cs="Arial"/>
        </w:rPr>
        <w:t xml:space="preserve">por el término de </w:t>
      </w:r>
      <w:r w:rsidR="0076279C" w:rsidRPr="00B64273">
        <w:rPr>
          <w:rFonts w:ascii="Arial" w:hAnsi="Arial" w:cs="Arial"/>
        </w:rPr>
        <w:t>d</w:t>
      </w:r>
      <w:r w:rsidRPr="00B64273">
        <w:rPr>
          <w:rFonts w:ascii="Arial" w:hAnsi="Arial" w:cs="Arial"/>
        </w:rPr>
        <w:t>os (2) días, a la accionada a efectos de que ejerciera su derecho de defensa</w:t>
      </w:r>
      <w:r w:rsidR="00CE2924" w:rsidRPr="00B64273">
        <w:rPr>
          <w:rFonts w:ascii="Arial" w:hAnsi="Arial" w:cs="Arial"/>
        </w:rPr>
        <w:t>.</w:t>
      </w:r>
      <w:r w:rsidR="001C783F" w:rsidRPr="00B64273">
        <w:rPr>
          <w:rFonts w:ascii="Arial" w:hAnsi="Arial" w:cs="Arial"/>
        </w:rPr>
        <w:t xml:space="preserve"> </w:t>
      </w:r>
    </w:p>
    <w:p w:rsidR="004C2E19" w:rsidRPr="00B64273" w:rsidRDefault="004C2E19" w:rsidP="00B64273">
      <w:pPr>
        <w:spacing w:line="276" w:lineRule="auto"/>
        <w:jc w:val="both"/>
        <w:rPr>
          <w:rFonts w:ascii="Arial" w:hAnsi="Arial" w:cs="Arial"/>
        </w:rPr>
      </w:pPr>
    </w:p>
    <w:p w:rsidR="002B385E" w:rsidRPr="00B64273" w:rsidRDefault="004C2E19"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Colpensiones </w:t>
      </w:r>
      <w:r w:rsidR="000D5E6B" w:rsidRPr="00B64273">
        <w:rPr>
          <w:rFonts w:ascii="Arial" w:hAnsi="Arial" w:cs="Arial"/>
          <w:lang w:val="es-ES_tradnl"/>
        </w:rPr>
        <w:t xml:space="preserve">atendió el requerimiento del Juzgado y en comunicación adiada 26 de agosto de 2021 informó que en esa entidad no existe ninguna petición elevada por el señor </w:t>
      </w:r>
      <w:r w:rsidR="002B385E" w:rsidRPr="00B64273">
        <w:rPr>
          <w:rFonts w:ascii="Arial" w:hAnsi="Arial" w:cs="Arial"/>
          <w:lang w:val="es-ES_tradnl"/>
        </w:rPr>
        <w:t>Oscar de Jesús Castaño Rendón, de allí que estime que no ha vulnerado derecho fundamental alguno.</w:t>
      </w:r>
    </w:p>
    <w:p w:rsidR="002B385E" w:rsidRPr="00B64273" w:rsidRDefault="002B385E" w:rsidP="00B64273">
      <w:pPr>
        <w:overflowPunct w:val="0"/>
        <w:autoSpaceDE w:val="0"/>
        <w:autoSpaceDN w:val="0"/>
        <w:adjustRightInd w:val="0"/>
        <w:spacing w:line="276" w:lineRule="auto"/>
        <w:jc w:val="both"/>
        <w:textAlignment w:val="baseline"/>
        <w:rPr>
          <w:rFonts w:ascii="Arial" w:hAnsi="Arial" w:cs="Arial"/>
          <w:lang w:val="es-ES_tradnl"/>
        </w:rPr>
      </w:pPr>
    </w:p>
    <w:p w:rsidR="00914211" w:rsidRPr="00B64273" w:rsidRDefault="002B385E"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Por lo demás, hizo notar el carácter subsidiario de la acción de tutela y su improcedencia para definir ese asunto por existir medios ordinarios de defensa previstos por el legislador y que se encuentran consagrados en el artículo 2º del Código Procesal del Trabajo y de la Seguridad Social</w:t>
      </w:r>
      <w:r w:rsidR="00914211" w:rsidRPr="00B64273">
        <w:rPr>
          <w:rFonts w:ascii="Arial" w:hAnsi="Arial" w:cs="Arial"/>
          <w:lang w:val="es-ES_tradnl"/>
        </w:rPr>
        <w:t>.</w:t>
      </w:r>
    </w:p>
    <w:p w:rsidR="00914211" w:rsidRPr="00B64273" w:rsidRDefault="00914211" w:rsidP="00B64273">
      <w:pPr>
        <w:overflowPunct w:val="0"/>
        <w:autoSpaceDE w:val="0"/>
        <w:autoSpaceDN w:val="0"/>
        <w:adjustRightInd w:val="0"/>
        <w:spacing w:line="276" w:lineRule="auto"/>
        <w:jc w:val="both"/>
        <w:textAlignment w:val="baseline"/>
        <w:rPr>
          <w:rFonts w:ascii="Arial" w:hAnsi="Arial" w:cs="Arial"/>
          <w:lang w:val="es-ES_tradnl"/>
        </w:rPr>
      </w:pPr>
    </w:p>
    <w:p w:rsidR="00B92CA3" w:rsidRPr="00B64273" w:rsidRDefault="00914211"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Frente al trámite del bono pensional señaló que este </w:t>
      </w:r>
      <w:r w:rsidR="00B92CA3" w:rsidRPr="00B64273">
        <w:rPr>
          <w:rFonts w:ascii="Arial" w:hAnsi="Arial" w:cs="Arial"/>
          <w:lang w:val="es-ES_tradnl"/>
        </w:rPr>
        <w:t xml:space="preserve">le </w:t>
      </w:r>
      <w:r w:rsidRPr="00B64273">
        <w:rPr>
          <w:rFonts w:ascii="Arial" w:hAnsi="Arial" w:cs="Arial"/>
          <w:lang w:val="es-ES_tradnl"/>
        </w:rPr>
        <w:t xml:space="preserve">corresponde </w:t>
      </w:r>
      <w:r w:rsidR="00B92CA3" w:rsidRPr="00B64273">
        <w:rPr>
          <w:rFonts w:ascii="Arial" w:hAnsi="Arial" w:cs="Arial"/>
          <w:lang w:val="es-ES_tradnl"/>
        </w:rPr>
        <w:t xml:space="preserve">iniciarlo al </w:t>
      </w:r>
      <w:r w:rsidRPr="00B64273">
        <w:rPr>
          <w:rFonts w:ascii="Arial" w:hAnsi="Arial" w:cs="Arial"/>
          <w:lang w:val="es-ES_tradnl"/>
        </w:rPr>
        <w:t>fondo privado</w:t>
      </w:r>
      <w:r w:rsidR="00B92CA3" w:rsidRPr="00B64273">
        <w:rPr>
          <w:rFonts w:ascii="Arial" w:hAnsi="Arial" w:cs="Arial"/>
          <w:lang w:val="es-ES_tradnl"/>
        </w:rPr>
        <w:t>, procediendo a señalar cada uno de los pasos adelantados para su expedición, para finalmente concluir que no es la entidad llamada a restablecer los derechos fundamentales que se alegan vulnerados en esta acción.</w:t>
      </w:r>
    </w:p>
    <w:p w:rsidR="00B92CA3" w:rsidRPr="00B64273" w:rsidRDefault="00B92CA3" w:rsidP="00B64273">
      <w:pPr>
        <w:overflowPunct w:val="0"/>
        <w:autoSpaceDE w:val="0"/>
        <w:autoSpaceDN w:val="0"/>
        <w:adjustRightInd w:val="0"/>
        <w:spacing w:line="276" w:lineRule="auto"/>
        <w:jc w:val="both"/>
        <w:textAlignment w:val="baseline"/>
        <w:rPr>
          <w:rFonts w:ascii="Arial" w:hAnsi="Arial" w:cs="Arial"/>
          <w:lang w:val="es-ES_tradnl"/>
        </w:rPr>
      </w:pPr>
    </w:p>
    <w:p w:rsidR="00DC47B7" w:rsidRPr="00B64273" w:rsidRDefault="00B92CA3"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lastRenderedPageBreak/>
        <w:t>El Ministerio de Hacienda a su turno precisó que</w:t>
      </w:r>
      <w:r w:rsidR="00DC47B7" w:rsidRPr="00B64273">
        <w:rPr>
          <w:rFonts w:ascii="Arial" w:hAnsi="Arial" w:cs="Arial"/>
          <w:lang w:val="es-ES_tradnl"/>
        </w:rPr>
        <w:t xml:space="preserve"> en lo que atañe a esa entidad dio respuesta al derecho de petición que elevara el accionante, conforme comunicación de fecha 15 de junio de 2021; que la definición del derecho pensional que le asiste le corresponde a la AFP a la que se encuentra afiliad</w:t>
      </w:r>
      <w:r w:rsidR="005C6242" w:rsidRPr="00B64273">
        <w:rPr>
          <w:rFonts w:ascii="Arial" w:hAnsi="Arial" w:cs="Arial"/>
          <w:lang w:val="es-ES_tradnl"/>
        </w:rPr>
        <w:t>o</w:t>
      </w:r>
      <w:r w:rsidR="00DC47B7" w:rsidRPr="00B64273">
        <w:rPr>
          <w:rFonts w:ascii="Arial" w:hAnsi="Arial" w:cs="Arial"/>
          <w:lang w:val="es-ES_tradnl"/>
        </w:rPr>
        <w:t xml:space="preserve">, así como determinar si cuenta con el capital necesario para acceder a la pensión de vejez, señalando que a esa Cartera le compete lo concerniente a la liquidación, emisión, expedición, redención, pago o anulación de bonos pensionales o cupones de bonos pensionales a cargo de la Nación, procedimientos que adelanta con base en la información suministrada por las Administradoras del Sistema General de Pensional, por lo que estima, que de acuerdo con los hechos de la acción, no es el generador de la afectación </w:t>
      </w:r>
      <w:r w:rsidR="0071075C" w:rsidRPr="00B64273">
        <w:rPr>
          <w:rFonts w:ascii="Arial" w:hAnsi="Arial" w:cs="Arial"/>
          <w:lang w:val="es-ES_tradnl"/>
        </w:rPr>
        <w:t>de derecho fundamental alguno en cabeza del señor Castaño Rendón, de allí que resulte totalmente improcedente accionar en su contra.</w:t>
      </w:r>
    </w:p>
    <w:p w:rsidR="00FF01F6" w:rsidRPr="00B64273" w:rsidRDefault="00FF01F6" w:rsidP="00B64273">
      <w:pPr>
        <w:overflowPunct w:val="0"/>
        <w:autoSpaceDE w:val="0"/>
        <w:autoSpaceDN w:val="0"/>
        <w:adjustRightInd w:val="0"/>
        <w:spacing w:line="276" w:lineRule="auto"/>
        <w:jc w:val="both"/>
        <w:textAlignment w:val="baseline"/>
        <w:rPr>
          <w:rFonts w:ascii="Arial" w:hAnsi="Arial" w:cs="Arial"/>
          <w:lang w:val="es-ES_tradnl"/>
        </w:rPr>
      </w:pPr>
    </w:p>
    <w:p w:rsidR="00FF01F6" w:rsidRPr="00B64273" w:rsidRDefault="00FF01F6"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Respecto al caso del bono pensional del actor señaló que la última liquidación efectuada del mismo, arrojó como resultado un eventual bono tipo A modalidad 2, en el que participa</w:t>
      </w:r>
      <w:r w:rsidR="005C6242" w:rsidRPr="00B64273">
        <w:rPr>
          <w:rFonts w:ascii="Arial" w:hAnsi="Arial" w:cs="Arial"/>
          <w:lang w:val="es-ES_tradnl"/>
        </w:rPr>
        <w:t xml:space="preserve">n, </w:t>
      </w:r>
      <w:r w:rsidRPr="00B64273">
        <w:rPr>
          <w:rFonts w:ascii="Arial" w:hAnsi="Arial" w:cs="Arial"/>
          <w:lang w:val="es-ES_tradnl"/>
        </w:rPr>
        <w:t xml:space="preserve"> como emisor la Nación</w:t>
      </w:r>
      <w:r w:rsidR="005C6242" w:rsidRPr="00B64273">
        <w:rPr>
          <w:rFonts w:ascii="Arial" w:hAnsi="Arial" w:cs="Arial"/>
          <w:lang w:val="es-ES_tradnl"/>
        </w:rPr>
        <w:t xml:space="preserve"> </w:t>
      </w:r>
      <w:r w:rsidRPr="00B64273">
        <w:rPr>
          <w:rFonts w:ascii="Arial" w:hAnsi="Arial" w:cs="Arial"/>
          <w:lang w:val="es-ES_tradnl"/>
        </w:rPr>
        <w:t>y</w:t>
      </w:r>
      <w:r w:rsidR="005C6242" w:rsidRPr="00B64273">
        <w:rPr>
          <w:rFonts w:ascii="Arial" w:hAnsi="Arial" w:cs="Arial"/>
          <w:lang w:val="es-ES_tradnl"/>
        </w:rPr>
        <w:t>,</w:t>
      </w:r>
      <w:r w:rsidRPr="00B64273">
        <w:rPr>
          <w:rFonts w:ascii="Arial" w:hAnsi="Arial" w:cs="Arial"/>
          <w:lang w:val="es-ES_tradnl"/>
        </w:rPr>
        <w:t xml:space="preserve"> como </w:t>
      </w:r>
      <w:proofErr w:type="spellStart"/>
      <w:r w:rsidRPr="00B64273">
        <w:rPr>
          <w:rFonts w:ascii="Arial" w:hAnsi="Arial" w:cs="Arial"/>
          <w:lang w:val="es-ES_tradnl"/>
        </w:rPr>
        <w:t>cuotapartistas</w:t>
      </w:r>
      <w:proofErr w:type="spellEnd"/>
      <w:r w:rsidRPr="00B64273">
        <w:rPr>
          <w:rFonts w:ascii="Arial" w:hAnsi="Arial" w:cs="Arial"/>
          <w:lang w:val="es-ES_tradnl"/>
        </w:rPr>
        <w:t xml:space="preserve"> Colpensiones, y el Departamento del Valle del Cauca; que en la actualidad Porvenir solicit</w:t>
      </w:r>
      <w:r w:rsidR="005C6242" w:rsidRPr="00B64273">
        <w:rPr>
          <w:rFonts w:ascii="Arial" w:hAnsi="Arial" w:cs="Arial"/>
          <w:lang w:val="es-ES_tradnl"/>
        </w:rPr>
        <w:t>ó</w:t>
      </w:r>
      <w:r w:rsidRPr="00B64273">
        <w:rPr>
          <w:rFonts w:ascii="Arial" w:hAnsi="Arial" w:cs="Arial"/>
          <w:lang w:val="es-ES_tradnl"/>
        </w:rPr>
        <w:t xml:space="preserve"> la emisión y redención del bono Tipo A Modalidad 2 </w:t>
      </w:r>
      <w:r w:rsidR="005C6242" w:rsidRPr="00B64273">
        <w:rPr>
          <w:rFonts w:ascii="Arial" w:hAnsi="Arial" w:cs="Arial"/>
          <w:lang w:val="es-ES_tradnl"/>
        </w:rPr>
        <w:t xml:space="preserve">actuación </w:t>
      </w:r>
      <w:r w:rsidRPr="00B64273">
        <w:rPr>
          <w:rFonts w:ascii="Arial" w:hAnsi="Arial" w:cs="Arial"/>
          <w:lang w:val="es-ES_tradnl"/>
        </w:rPr>
        <w:t xml:space="preserve">que se encuentra pendiente, toda vez que se requiere previamente la confirmación de la liquidación del mismo por parte de </w:t>
      </w:r>
      <w:r w:rsidR="007D5D8F" w:rsidRPr="00B64273">
        <w:rPr>
          <w:rFonts w:ascii="Arial" w:hAnsi="Arial" w:cs="Arial"/>
          <w:lang w:val="es-ES_tradnl"/>
        </w:rPr>
        <w:t>las demás entidades que participan</w:t>
      </w:r>
      <w:r w:rsidR="005C6242" w:rsidRPr="00B64273">
        <w:rPr>
          <w:rFonts w:ascii="Arial" w:hAnsi="Arial" w:cs="Arial"/>
          <w:lang w:val="es-ES_tradnl"/>
        </w:rPr>
        <w:t>,</w:t>
      </w:r>
      <w:r w:rsidR="007D5D8F" w:rsidRPr="00B64273">
        <w:rPr>
          <w:rFonts w:ascii="Arial" w:hAnsi="Arial" w:cs="Arial"/>
          <w:lang w:val="es-ES_tradnl"/>
        </w:rPr>
        <w:t xml:space="preserve"> bien como empleadores y/o contribuyentes y que adicionalmente, en el caso de los </w:t>
      </w:r>
      <w:proofErr w:type="spellStart"/>
      <w:r w:rsidR="007D5D8F" w:rsidRPr="00B64273">
        <w:rPr>
          <w:rFonts w:ascii="Arial" w:hAnsi="Arial" w:cs="Arial"/>
          <w:lang w:val="es-ES_tradnl"/>
        </w:rPr>
        <w:t>cuotapartistas</w:t>
      </w:r>
      <w:proofErr w:type="spellEnd"/>
      <w:r w:rsidR="007D5D8F" w:rsidRPr="00B64273">
        <w:rPr>
          <w:rFonts w:ascii="Arial" w:hAnsi="Arial" w:cs="Arial"/>
          <w:lang w:val="es-ES_tradnl"/>
        </w:rPr>
        <w:t>, procedan a pagar el cupón de bono a su cargo.</w:t>
      </w:r>
    </w:p>
    <w:p w:rsidR="007D5D8F" w:rsidRPr="00B64273" w:rsidRDefault="007D5D8F" w:rsidP="00B64273">
      <w:pPr>
        <w:overflowPunct w:val="0"/>
        <w:autoSpaceDE w:val="0"/>
        <w:autoSpaceDN w:val="0"/>
        <w:adjustRightInd w:val="0"/>
        <w:spacing w:line="276" w:lineRule="auto"/>
        <w:jc w:val="both"/>
        <w:textAlignment w:val="baseline"/>
        <w:rPr>
          <w:rFonts w:ascii="Arial" w:hAnsi="Arial" w:cs="Arial"/>
          <w:lang w:val="es-ES_tradnl"/>
        </w:rPr>
      </w:pPr>
    </w:p>
    <w:p w:rsidR="007D5D8F" w:rsidRPr="00B64273" w:rsidRDefault="005C6242" w:rsidP="00B64273">
      <w:pPr>
        <w:overflowPunct w:val="0"/>
        <w:autoSpaceDE w:val="0"/>
        <w:autoSpaceDN w:val="0"/>
        <w:adjustRightInd w:val="0"/>
        <w:spacing w:line="276" w:lineRule="auto"/>
        <w:jc w:val="both"/>
        <w:textAlignment w:val="baseline"/>
        <w:rPr>
          <w:rFonts w:ascii="Arial" w:hAnsi="Arial" w:cs="Arial"/>
        </w:rPr>
      </w:pPr>
      <w:r w:rsidRPr="00B64273">
        <w:rPr>
          <w:rFonts w:ascii="Arial" w:hAnsi="Arial" w:cs="Arial"/>
        </w:rPr>
        <w:t>Indica q</w:t>
      </w:r>
      <w:r w:rsidR="007D5D8F" w:rsidRPr="00B64273">
        <w:rPr>
          <w:rFonts w:ascii="Arial" w:hAnsi="Arial" w:cs="Arial"/>
        </w:rPr>
        <w:t>ue en ese orden de cosas, el Departamento del Valle reconoció la obligación a su cargo y ordeno el pago del bono pensional, con cargo a los recurso</w:t>
      </w:r>
      <w:r w:rsidR="4E3E2018" w:rsidRPr="00B64273">
        <w:rPr>
          <w:rFonts w:ascii="Arial" w:hAnsi="Arial" w:cs="Arial"/>
        </w:rPr>
        <w:t>s</w:t>
      </w:r>
      <w:r w:rsidR="007D5D8F" w:rsidRPr="00B64273">
        <w:rPr>
          <w:rFonts w:ascii="Arial" w:hAnsi="Arial" w:cs="Arial"/>
        </w:rPr>
        <w:t xml:space="preserve"> que el ente territorial tiene en el FONPET, por lo que Porvenir S.A., el día 25 de agosto de 2021 procedió a solicitar al Ministerio el pago del </w:t>
      </w:r>
      <w:proofErr w:type="spellStart"/>
      <w:r w:rsidR="007D5D8F" w:rsidRPr="00B64273">
        <w:rPr>
          <w:rFonts w:ascii="Arial" w:hAnsi="Arial" w:cs="Arial"/>
        </w:rPr>
        <w:t>plurimencionado</w:t>
      </w:r>
      <w:proofErr w:type="spellEnd"/>
      <w:r w:rsidR="007D5D8F" w:rsidRPr="00B64273">
        <w:rPr>
          <w:rFonts w:ascii="Arial" w:hAnsi="Arial" w:cs="Arial"/>
        </w:rPr>
        <w:t xml:space="preserve"> bono pensional</w:t>
      </w:r>
      <w:r w:rsidRPr="00B64273">
        <w:rPr>
          <w:rFonts w:ascii="Arial" w:hAnsi="Arial" w:cs="Arial"/>
        </w:rPr>
        <w:t xml:space="preserve">, petición que ese </w:t>
      </w:r>
      <w:r w:rsidR="007D5D8F" w:rsidRPr="00B64273">
        <w:rPr>
          <w:rFonts w:ascii="Arial" w:hAnsi="Arial" w:cs="Arial"/>
        </w:rPr>
        <w:t>mismo día fue remitida a la Dirección General de Regulación Económica de la Seguridad Social de este Ministerio –DGRESS-</w:t>
      </w:r>
      <w:r w:rsidRPr="00B64273">
        <w:rPr>
          <w:rFonts w:ascii="Arial" w:hAnsi="Arial" w:cs="Arial"/>
        </w:rPr>
        <w:t>,</w:t>
      </w:r>
      <w:r w:rsidR="0011195F" w:rsidRPr="00B64273">
        <w:rPr>
          <w:rFonts w:ascii="Arial" w:hAnsi="Arial" w:cs="Arial"/>
        </w:rPr>
        <w:t xml:space="preserve"> </w:t>
      </w:r>
      <w:r w:rsidRPr="00B64273">
        <w:rPr>
          <w:rFonts w:ascii="Arial" w:hAnsi="Arial" w:cs="Arial"/>
        </w:rPr>
        <w:t xml:space="preserve">con </w:t>
      </w:r>
      <w:r w:rsidR="0011195F" w:rsidRPr="00B64273">
        <w:rPr>
          <w:rFonts w:ascii="Arial" w:hAnsi="Arial" w:cs="Arial"/>
        </w:rPr>
        <w:t>los datos completos y la revisión de la liquidación del beneficiario, a través del sistema interactivo de la OBP que no presentó inconsistencia</w:t>
      </w:r>
      <w:r w:rsidRPr="00B64273">
        <w:rPr>
          <w:rFonts w:ascii="Arial" w:hAnsi="Arial" w:cs="Arial"/>
        </w:rPr>
        <w:t>s</w:t>
      </w:r>
      <w:r w:rsidR="0011195F" w:rsidRPr="00B64273">
        <w:rPr>
          <w:rFonts w:ascii="Arial" w:hAnsi="Arial" w:cs="Arial"/>
        </w:rPr>
        <w:t xml:space="preserve">, </w:t>
      </w:r>
      <w:r w:rsidRPr="00B64273">
        <w:rPr>
          <w:rFonts w:ascii="Arial" w:hAnsi="Arial" w:cs="Arial"/>
        </w:rPr>
        <w:t>para que esa dependencia verificara</w:t>
      </w:r>
      <w:r w:rsidR="0011195F" w:rsidRPr="00B64273">
        <w:rPr>
          <w:rFonts w:ascii="Arial" w:hAnsi="Arial" w:cs="Arial"/>
        </w:rPr>
        <w:t xml:space="preserve"> que los recursos en el FONPET son suficientes para que el Departamento accionado pague la obligación y </w:t>
      </w:r>
      <w:r w:rsidRPr="00B64273">
        <w:rPr>
          <w:rFonts w:ascii="Arial" w:hAnsi="Arial" w:cs="Arial"/>
        </w:rPr>
        <w:t>que se a</w:t>
      </w:r>
      <w:r w:rsidR="0011195F" w:rsidRPr="00B64273">
        <w:rPr>
          <w:rFonts w:ascii="Arial" w:hAnsi="Arial" w:cs="Arial"/>
        </w:rPr>
        <w:t>credita el cumplimiento de lo previsto en el Decreto 1308 de 2003 modificado por el Decreto 032 de 2005.</w:t>
      </w:r>
    </w:p>
    <w:p w:rsidR="0011195F" w:rsidRPr="00B64273" w:rsidRDefault="0011195F" w:rsidP="00B64273">
      <w:pPr>
        <w:overflowPunct w:val="0"/>
        <w:autoSpaceDE w:val="0"/>
        <w:autoSpaceDN w:val="0"/>
        <w:adjustRightInd w:val="0"/>
        <w:spacing w:line="276" w:lineRule="auto"/>
        <w:jc w:val="both"/>
        <w:textAlignment w:val="baseline"/>
        <w:rPr>
          <w:rFonts w:ascii="Arial" w:hAnsi="Arial" w:cs="Arial"/>
          <w:lang w:val="es-ES_tradnl"/>
        </w:rPr>
      </w:pPr>
    </w:p>
    <w:p w:rsidR="0011195F" w:rsidRPr="00B64273" w:rsidRDefault="0011195F" w:rsidP="00B64273">
      <w:pPr>
        <w:overflowPunct w:val="0"/>
        <w:autoSpaceDE w:val="0"/>
        <w:autoSpaceDN w:val="0"/>
        <w:adjustRightInd w:val="0"/>
        <w:spacing w:line="276" w:lineRule="auto"/>
        <w:jc w:val="both"/>
        <w:textAlignment w:val="baseline"/>
        <w:rPr>
          <w:rFonts w:ascii="Arial" w:hAnsi="Arial" w:cs="Arial"/>
        </w:rPr>
      </w:pPr>
      <w:r w:rsidRPr="00B64273">
        <w:rPr>
          <w:rFonts w:ascii="Arial" w:hAnsi="Arial" w:cs="Arial"/>
        </w:rPr>
        <w:t xml:space="preserve">Precisa que en caso de que el </w:t>
      </w:r>
      <w:proofErr w:type="spellStart"/>
      <w:r w:rsidRPr="00B64273">
        <w:rPr>
          <w:rFonts w:ascii="Arial" w:hAnsi="Arial" w:cs="Arial"/>
        </w:rPr>
        <w:t>cuotapartista</w:t>
      </w:r>
      <w:proofErr w:type="spellEnd"/>
      <w:r w:rsidRPr="00B64273">
        <w:rPr>
          <w:rFonts w:ascii="Arial" w:hAnsi="Arial" w:cs="Arial"/>
        </w:rPr>
        <w:t xml:space="preserve"> no pueda hacer uso de los referidos dineros, debe cumplir con los trámites presupuestales que corresponda, como incluir la partida para el pago del bono pensional del señor Oscar de Jesús Cataño Rendón, </w:t>
      </w:r>
      <w:r w:rsidR="005C6242" w:rsidRPr="00B64273">
        <w:rPr>
          <w:rFonts w:ascii="Arial" w:hAnsi="Arial" w:cs="Arial"/>
        </w:rPr>
        <w:t>debiendo el</w:t>
      </w:r>
      <w:r w:rsidRPr="00B64273">
        <w:rPr>
          <w:rFonts w:ascii="Arial" w:hAnsi="Arial" w:cs="Arial"/>
        </w:rPr>
        <w:t xml:space="preserve"> fondo privado involucrado</w:t>
      </w:r>
      <w:r w:rsidR="005C6242" w:rsidRPr="00B64273">
        <w:rPr>
          <w:rFonts w:ascii="Arial" w:hAnsi="Arial" w:cs="Arial"/>
        </w:rPr>
        <w:t xml:space="preserve"> proceder con el cobro</w:t>
      </w:r>
      <w:r w:rsidRPr="00B64273">
        <w:rPr>
          <w:rFonts w:ascii="Arial" w:hAnsi="Arial" w:cs="Arial"/>
        </w:rPr>
        <w:t>.</w:t>
      </w:r>
    </w:p>
    <w:p w:rsidR="0011195F" w:rsidRPr="00B64273" w:rsidRDefault="0011195F" w:rsidP="00B64273">
      <w:pPr>
        <w:overflowPunct w:val="0"/>
        <w:autoSpaceDE w:val="0"/>
        <w:autoSpaceDN w:val="0"/>
        <w:adjustRightInd w:val="0"/>
        <w:spacing w:line="276" w:lineRule="auto"/>
        <w:jc w:val="both"/>
        <w:textAlignment w:val="baseline"/>
        <w:rPr>
          <w:rFonts w:ascii="Arial" w:hAnsi="Arial" w:cs="Arial"/>
          <w:lang w:val="es-ES_tradnl"/>
        </w:rPr>
      </w:pPr>
    </w:p>
    <w:p w:rsidR="00937AF4" w:rsidRPr="00B64273" w:rsidRDefault="0011195F"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En lo referente al cupón principal </w:t>
      </w:r>
      <w:r w:rsidR="00DD497E" w:rsidRPr="00B64273">
        <w:rPr>
          <w:rFonts w:ascii="Arial" w:hAnsi="Arial" w:cs="Arial"/>
          <w:lang w:val="es-ES_tradnl"/>
        </w:rPr>
        <w:t xml:space="preserve">a cargo de la Nación – Ministerio de Hacienda y Crédito Público o </w:t>
      </w:r>
      <w:proofErr w:type="spellStart"/>
      <w:r w:rsidR="00DD497E" w:rsidRPr="00B64273">
        <w:rPr>
          <w:rFonts w:ascii="Arial" w:hAnsi="Arial" w:cs="Arial"/>
          <w:lang w:val="es-ES_tradnl"/>
        </w:rPr>
        <w:t>cuotaparte</w:t>
      </w:r>
      <w:proofErr w:type="spellEnd"/>
      <w:r w:rsidR="00DD497E" w:rsidRPr="00B64273">
        <w:rPr>
          <w:rFonts w:ascii="Arial" w:hAnsi="Arial" w:cs="Arial"/>
          <w:lang w:val="es-ES_tradnl"/>
        </w:rPr>
        <w:t xml:space="preserve"> a cargo de la Administradora Colombiana de Pensiones- Colpensiones, indica la Cartera, </w:t>
      </w:r>
      <w:r w:rsidR="005C6242" w:rsidRPr="00B64273">
        <w:rPr>
          <w:rFonts w:ascii="Arial" w:hAnsi="Arial" w:cs="Arial"/>
          <w:lang w:val="es-ES_tradnl"/>
        </w:rPr>
        <w:t xml:space="preserve">que </w:t>
      </w:r>
      <w:r w:rsidR="00DD497E" w:rsidRPr="00B64273">
        <w:rPr>
          <w:rFonts w:ascii="Arial" w:hAnsi="Arial" w:cs="Arial"/>
          <w:lang w:val="es-ES_tradnl"/>
        </w:rPr>
        <w:t>si no se presentan cambios en la información utilizada para liquidar el referido beneficio, será emitido y pagado en el proceso masivo del mes de agosto de 2021</w:t>
      </w:r>
      <w:r w:rsidR="00937AF4" w:rsidRPr="00B64273">
        <w:rPr>
          <w:rFonts w:ascii="Arial" w:hAnsi="Arial" w:cs="Arial"/>
          <w:lang w:val="es-ES_tradnl"/>
        </w:rPr>
        <w:t>.</w:t>
      </w:r>
    </w:p>
    <w:p w:rsidR="00937AF4" w:rsidRPr="00B64273" w:rsidRDefault="00937AF4" w:rsidP="00B64273">
      <w:pPr>
        <w:overflowPunct w:val="0"/>
        <w:autoSpaceDE w:val="0"/>
        <w:autoSpaceDN w:val="0"/>
        <w:adjustRightInd w:val="0"/>
        <w:spacing w:line="276" w:lineRule="auto"/>
        <w:jc w:val="both"/>
        <w:textAlignment w:val="baseline"/>
        <w:rPr>
          <w:rFonts w:ascii="Arial" w:hAnsi="Arial" w:cs="Arial"/>
          <w:lang w:val="es-ES_tradnl"/>
        </w:rPr>
      </w:pPr>
    </w:p>
    <w:p w:rsidR="00937AF4" w:rsidRPr="00B64273" w:rsidRDefault="00937AF4"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Por último, hace notar la improcedencia de la acción de tutela para exigir el reconocimiento, emisión y/o pago de bonos pensionales, por tratarse de derechos de </w:t>
      </w:r>
      <w:r w:rsidRPr="00B64273">
        <w:rPr>
          <w:rFonts w:ascii="Arial" w:hAnsi="Arial" w:cs="Arial"/>
          <w:lang w:val="es-ES_tradnl"/>
        </w:rPr>
        <w:lastRenderedPageBreak/>
        <w:t>carácter legal y económico</w:t>
      </w:r>
      <w:r w:rsidR="00996677" w:rsidRPr="00B64273">
        <w:rPr>
          <w:rFonts w:ascii="Arial" w:hAnsi="Arial" w:cs="Arial"/>
          <w:lang w:val="es-ES_tradnl"/>
        </w:rPr>
        <w:t xml:space="preserve">.  Igualmente reprocha que se utilice este mecanismo para </w:t>
      </w:r>
      <w:r w:rsidRPr="00B64273">
        <w:rPr>
          <w:rFonts w:ascii="Arial" w:hAnsi="Arial" w:cs="Arial"/>
          <w:lang w:val="es-ES_tradnl"/>
        </w:rPr>
        <w:t xml:space="preserve">pretermitir trámites de Ley. </w:t>
      </w:r>
    </w:p>
    <w:p w:rsidR="00DC47B7" w:rsidRPr="00B64273" w:rsidRDefault="00DC47B7" w:rsidP="00B64273">
      <w:pPr>
        <w:overflowPunct w:val="0"/>
        <w:autoSpaceDE w:val="0"/>
        <w:autoSpaceDN w:val="0"/>
        <w:adjustRightInd w:val="0"/>
        <w:spacing w:line="276" w:lineRule="auto"/>
        <w:jc w:val="both"/>
        <w:textAlignment w:val="baseline"/>
        <w:rPr>
          <w:rFonts w:ascii="Arial" w:hAnsi="Arial" w:cs="Arial"/>
          <w:lang w:val="es-ES_tradnl"/>
        </w:rPr>
      </w:pPr>
    </w:p>
    <w:p w:rsidR="00B36420" w:rsidRPr="00B64273" w:rsidRDefault="001708AD"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Porvenir S.A. se vinculó haciendo un breve recuento del </w:t>
      </w:r>
      <w:r w:rsidR="00795D4F" w:rsidRPr="00B64273">
        <w:rPr>
          <w:rFonts w:ascii="Arial" w:hAnsi="Arial" w:cs="Arial"/>
          <w:lang w:val="es-ES_tradnl"/>
        </w:rPr>
        <w:t>procedimiento que</w:t>
      </w:r>
      <w:r w:rsidRPr="00B64273">
        <w:rPr>
          <w:rFonts w:ascii="Arial" w:hAnsi="Arial" w:cs="Arial"/>
          <w:lang w:val="es-ES_tradnl"/>
        </w:rPr>
        <w:t xml:space="preserve"> debe adelantar para la expedición del bono pensional</w:t>
      </w:r>
      <w:r w:rsidR="00B36420" w:rsidRPr="00B64273">
        <w:rPr>
          <w:rFonts w:ascii="Arial" w:hAnsi="Arial" w:cs="Arial"/>
          <w:lang w:val="es-ES_tradnl"/>
        </w:rPr>
        <w:t xml:space="preserve"> y las cargas que </w:t>
      </w:r>
      <w:r w:rsidR="00795D4F" w:rsidRPr="00B64273">
        <w:rPr>
          <w:rFonts w:ascii="Arial" w:hAnsi="Arial" w:cs="Arial"/>
          <w:lang w:val="es-ES_tradnl"/>
        </w:rPr>
        <w:t>les</w:t>
      </w:r>
      <w:r w:rsidR="00B36420" w:rsidRPr="00B64273">
        <w:rPr>
          <w:rFonts w:ascii="Arial" w:hAnsi="Arial" w:cs="Arial"/>
          <w:lang w:val="es-ES_tradnl"/>
        </w:rPr>
        <w:t xml:space="preserve"> competen a todas las entidades que confluyen en el proceso, para confirmar lo informado por dicha cartera en lo que respecta a que el trámite se encuentra pendiente del pago del bono pensional por parte de la Nación, el </w:t>
      </w:r>
      <w:proofErr w:type="spellStart"/>
      <w:r w:rsidR="00B36420" w:rsidRPr="00B64273">
        <w:rPr>
          <w:rFonts w:ascii="Arial" w:hAnsi="Arial" w:cs="Arial"/>
          <w:lang w:val="es-ES_tradnl"/>
        </w:rPr>
        <w:t>Fonpet</w:t>
      </w:r>
      <w:proofErr w:type="spellEnd"/>
      <w:r w:rsidR="00B36420" w:rsidRPr="00B64273">
        <w:rPr>
          <w:rFonts w:ascii="Arial" w:hAnsi="Arial" w:cs="Arial"/>
          <w:lang w:val="es-ES_tradnl"/>
        </w:rPr>
        <w:t xml:space="preserve"> y Colpensiones.</w:t>
      </w:r>
    </w:p>
    <w:p w:rsidR="00B36420" w:rsidRPr="00B64273" w:rsidRDefault="00B36420" w:rsidP="00B64273">
      <w:pPr>
        <w:overflowPunct w:val="0"/>
        <w:autoSpaceDE w:val="0"/>
        <w:autoSpaceDN w:val="0"/>
        <w:adjustRightInd w:val="0"/>
        <w:spacing w:line="276" w:lineRule="auto"/>
        <w:jc w:val="both"/>
        <w:textAlignment w:val="baseline"/>
        <w:rPr>
          <w:rFonts w:ascii="Arial" w:hAnsi="Arial" w:cs="Arial"/>
          <w:lang w:val="es-ES_tradnl"/>
        </w:rPr>
      </w:pPr>
    </w:p>
    <w:p w:rsidR="00B36420" w:rsidRPr="00B64273" w:rsidRDefault="00B36420"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Frente a la interposición de la acción de tutela señaló que este no era el medio para definir el asunto que puso en consideración el actor, dado el carácter de subsidiario y residual que tiene </w:t>
      </w:r>
      <w:r w:rsidR="005C0B49" w:rsidRPr="00B64273">
        <w:rPr>
          <w:rFonts w:ascii="Arial" w:hAnsi="Arial" w:cs="Arial"/>
          <w:lang w:val="es-ES_tradnl"/>
        </w:rPr>
        <w:t>este mecanismo, al cual puede acudirse de manera transitoria para evitar un perjuicio irremediable que en este caso no se evidencia, además de no advertir ninguna vulneración de las garantías fundamentales del señor Castaño Rendón.</w:t>
      </w:r>
    </w:p>
    <w:p w:rsidR="00836ACA" w:rsidRPr="00B64273" w:rsidRDefault="00836ACA" w:rsidP="00B64273">
      <w:pPr>
        <w:overflowPunct w:val="0"/>
        <w:autoSpaceDE w:val="0"/>
        <w:autoSpaceDN w:val="0"/>
        <w:adjustRightInd w:val="0"/>
        <w:spacing w:line="276" w:lineRule="auto"/>
        <w:jc w:val="both"/>
        <w:textAlignment w:val="baseline"/>
        <w:rPr>
          <w:rFonts w:ascii="Arial" w:hAnsi="Arial" w:cs="Arial"/>
          <w:lang w:val="es-ES_tradnl"/>
        </w:rPr>
      </w:pPr>
    </w:p>
    <w:p w:rsidR="00836ACA" w:rsidRPr="00B64273" w:rsidRDefault="00836ACA"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El Hospital San Vicente de Paúl de Apía, refirió a su turno que el actor prestó sus servicios a esa entidad entre el 10 de noviembre de 1993 y el 18 de enero de 1994 y que fue afiliado a </w:t>
      </w:r>
      <w:proofErr w:type="spellStart"/>
      <w:r w:rsidRPr="00B64273">
        <w:rPr>
          <w:rFonts w:ascii="Arial" w:hAnsi="Arial" w:cs="Arial"/>
          <w:lang w:val="es-ES_tradnl"/>
        </w:rPr>
        <w:t>Cajanal</w:t>
      </w:r>
      <w:proofErr w:type="spellEnd"/>
      <w:r w:rsidRPr="00B64273">
        <w:rPr>
          <w:rFonts w:ascii="Arial" w:hAnsi="Arial" w:cs="Arial"/>
          <w:lang w:val="es-ES_tradnl"/>
        </w:rPr>
        <w:t>, por lo demás y en relación con los hechos de la acción, afirma que no le compete el trámite cuyo procedimiento se reprocha en esa acción.</w:t>
      </w:r>
    </w:p>
    <w:p w:rsidR="00836ACA" w:rsidRPr="00B64273" w:rsidRDefault="00836ACA" w:rsidP="00B64273">
      <w:pPr>
        <w:overflowPunct w:val="0"/>
        <w:autoSpaceDE w:val="0"/>
        <w:autoSpaceDN w:val="0"/>
        <w:adjustRightInd w:val="0"/>
        <w:spacing w:line="276" w:lineRule="auto"/>
        <w:jc w:val="both"/>
        <w:textAlignment w:val="baseline"/>
        <w:rPr>
          <w:rFonts w:ascii="Arial" w:hAnsi="Arial" w:cs="Arial"/>
          <w:lang w:val="es-ES_tradnl"/>
        </w:rPr>
      </w:pPr>
    </w:p>
    <w:p w:rsidR="00836ACA" w:rsidRPr="00B64273" w:rsidRDefault="00836ACA"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Refiere que las pretensiones no están enfiladas en su contra, ni existe vulneración alguna de su parte </w:t>
      </w:r>
      <w:r w:rsidR="001D7178" w:rsidRPr="00B64273">
        <w:rPr>
          <w:rFonts w:ascii="Arial" w:hAnsi="Arial" w:cs="Arial"/>
          <w:lang w:val="es-ES_tradnl"/>
        </w:rPr>
        <w:t>en relación con los hechos fundamentales que se reprochan como afectados, por lo que solicita que sea desvinculado del presente proceso.</w:t>
      </w:r>
    </w:p>
    <w:p w:rsidR="005C0B49" w:rsidRPr="00B64273" w:rsidRDefault="005C0B49" w:rsidP="00B64273">
      <w:pPr>
        <w:overflowPunct w:val="0"/>
        <w:autoSpaceDE w:val="0"/>
        <w:autoSpaceDN w:val="0"/>
        <w:adjustRightInd w:val="0"/>
        <w:spacing w:line="276" w:lineRule="auto"/>
        <w:jc w:val="both"/>
        <w:textAlignment w:val="baseline"/>
        <w:rPr>
          <w:rFonts w:ascii="Arial" w:hAnsi="Arial" w:cs="Arial"/>
          <w:lang w:val="es-ES_tradnl"/>
        </w:rPr>
      </w:pPr>
    </w:p>
    <w:p w:rsidR="007E4273" w:rsidRPr="00B64273" w:rsidRDefault="00BF61FC"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El departamento del Valle, integró la litis precisando que dentro del trámite del bono pensional que reprocha el actor, ese ente territorial cumplió con la carga que le correspondía con la expedición de la Resolución No </w:t>
      </w:r>
      <w:r w:rsidR="008B414F" w:rsidRPr="00B64273">
        <w:rPr>
          <w:rFonts w:ascii="Arial" w:hAnsi="Arial" w:cs="Arial"/>
          <w:lang w:val="es-ES_tradnl"/>
        </w:rPr>
        <w:t>F</w:t>
      </w:r>
      <w:r w:rsidRPr="00B64273">
        <w:rPr>
          <w:rFonts w:ascii="Arial" w:hAnsi="Arial" w:cs="Arial"/>
          <w:lang w:val="es-ES_tradnl"/>
        </w:rPr>
        <w:t xml:space="preserve">0146 de 5 de abril de 2021 y realizó la marcación en la plataforma interactiva de bonos pensionales y actualmente se encuentra en espera del </w:t>
      </w:r>
      <w:r w:rsidR="007E4273" w:rsidRPr="00B64273">
        <w:rPr>
          <w:rFonts w:ascii="Arial" w:hAnsi="Arial" w:cs="Arial"/>
          <w:lang w:val="es-ES_tradnl"/>
        </w:rPr>
        <w:t>pago por parte de FONPET com</w:t>
      </w:r>
      <w:r w:rsidR="003539A9" w:rsidRPr="00B64273">
        <w:rPr>
          <w:rFonts w:ascii="Arial" w:hAnsi="Arial" w:cs="Arial"/>
          <w:lang w:val="es-ES_tradnl"/>
        </w:rPr>
        <w:t>o se evidencia en el aplicativo, por lo</w:t>
      </w:r>
      <w:r w:rsidR="00C268CB" w:rsidRPr="00B64273">
        <w:rPr>
          <w:rFonts w:ascii="Arial" w:hAnsi="Arial" w:cs="Arial"/>
          <w:lang w:val="es-ES_tradnl"/>
        </w:rPr>
        <w:t xml:space="preserve"> que debe ser declarado el hecho superado.</w:t>
      </w:r>
    </w:p>
    <w:p w:rsidR="00C268CB" w:rsidRPr="00B64273" w:rsidRDefault="00C268CB" w:rsidP="00B64273">
      <w:pPr>
        <w:overflowPunct w:val="0"/>
        <w:autoSpaceDE w:val="0"/>
        <w:autoSpaceDN w:val="0"/>
        <w:adjustRightInd w:val="0"/>
        <w:spacing w:line="276" w:lineRule="auto"/>
        <w:jc w:val="both"/>
        <w:textAlignment w:val="baseline"/>
        <w:rPr>
          <w:rFonts w:ascii="Arial" w:hAnsi="Arial" w:cs="Arial"/>
          <w:lang w:val="es-ES_tradnl"/>
        </w:rPr>
      </w:pPr>
    </w:p>
    <w:p w:rsidR="00C268CB" w:rsidRPr="00B64273" w:rsidRDefault="00C268CB"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Colpensiones volvió a intervenir precisando que en el caso presente caso consultó el sistema liquidador de la OBP para señalar que Porvenir S.A. registra un bono pensional tipo A modalidad 2 en el que participan la Nación, el Departamento del Valle y Colpensiones, cuyo pago lo realiza la Nación, quien posteriormente compensará con </w:t>
      </w:r>
      <w:r w:rsidR="00996677" w:rsidRPr="00B64273">
        <w:rPr>
          <w:rFonts w:ascii="Arial" w:hAnsi="Arial" w:cs="Arial"/>
          <w:lang w:val="es-ES_tradnl"/>
        </w:rPr>
        <w:t>el fondo público</w:t>
      </w:r>
      <w:r w:rsidRPr="00B64273">
        <w:rPr>
          <w:rFonts w:ascii="Arial" w:hAnsi="Arial" w:cs="Arial"/>
          <w:lang w:val="es-ES_tradnl"/>
        </w:rPr>
        <w:t xml:space="preserve">, de acuerdo con los mecanismos previstos en el </w:t>
      </w:r>
      <w:r w:rsidR="00A739CA" w:rsidRPr="00B64273">
        <w:rPr>
          <w:rFonts w:ascii="Arial" w:hAnsi="Arial" w:cs="Arial"/>
          <w:lang w:val="es-ES_tradnl"/>
        </w:rPr>
        <w:t>Decreto 3798 de 2003, por lo que insiste que no ha vulnerado las garantías fundamentales del actor.</w:t>
      </w:r>
    </w:p>
    <w:p w:rsidR="00CE2C54" w:rsidRPr="00B64273" w:rsidRDefault="00CE2C54" w:rsidP="00B64273">
      <w:pPr>
        <w:overflowPunct w:val="0"/>
        <w:autoSpaceDE w:val="0"/>
        <w:autoSpaceDN w:val="0"/>
        <w:adjustRightInd w:val="0"/>
        <w:spacing w:line="276" w:lineRule="auto"/>
        <w:jc w:val="both"/>
        <w:textAlignment w:val="baseline"/>
        <w:rPr>
          <w:rFonts w:ascii="Arial" w:hAnsi="Arial" w:cs="Arial"/>
          <w:lang w:val="es-ES_tradnl"/>
        </w:rPr>
      </w:pPr>
    </w:p>
    <w:p w:rsidR="00CE2C54" w:rsidRPr="00B64273" w:rsidRDefault="00CE2C54"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En auto de fecha 2 de septiembre de 2021 se ordenó la vinculación de la Dirección General de Regulación Económica de la Seguridad Social del Ministerio de Hacienda y Crédito Público DGRESS, dependencia que se vinculó resumiendo el procedimiento que debe adelantarse para el pago de bonos pensionales con los recursos al FONPET, señalando en el caso concreto que ya informó que el Departamento del Valle dio cumplimiento con todos los requisitos para el pago de la cuota parte de bono pensional, en consecuencia dentro de los próximos 30 días procederá a autorizar el pago del bono a favor del señor Castaño Rend</w:t>
      </w:r>
      <w:r w:rsidR="00FE2274" w:rsidRPr="00B64273">
        <w:rPr>
          <w:rFonts w:ascii="Arial" w:hAnsi="Arial" w:cs="Arial"/>
          <w:lang w:val="es-ES_tradnl"/>
        </w:rPr>
        <w:t xml:space="preserve">ón, contando con 10 días más para </w:t>
      </w:r>
      <w:r w:rsidR="00FE2274" w:rsidRPr="00B64273">
        <w:rPr>
          <w:rFonts w:ascii="Arial" w:hAnsi="Arial" w:cs="Arial"/>
          <w:lang w:val="es-ES_tradnl"/>
        </w:rPr>
        <w:lastRenderedPageBreak/>
        <w:t>consignar el valor del bono pensional a Porvenir S.A.</w:t>
      </w:r>
      <w:r w:rsidR="00620065" w:rsidRPr="00B64273">
        <w:rPr>
          <w:rFonts w:ascii="Arial" w:hAnsi="Arial" w:cs="Arial"/>
          <w:lang w:val="es-ES_tradnl"/>
        </w:rPr>
        <w:t>, por lo que solicita que se le absuelva en el presente asunto.</w:t>
      </w:r>
    </w:p>
    <w:p w:rsidR="00D96C5D" w:rsidRPr="00B64273" w:rsidRDefault="00D96C5D" w:rsidP="00B64273">
      <w:pPr>
        <w:overflowPunct w:val="0"/>
        <w:autoSpaceDE w:val="0"/>
        <w:autoSpaceDN w:val="0"/>
        <w:adjustRightInd w:val="0"/>
        <w:spacing w:line="276" w:lineRule="auto"/>
        <w:jc w:val="both"/>
        <w:textAlignment w:val="baseline"/>
        <w:rPr>
          <w:rFonts w:ascii="Arial" w:hAnsi="Arial" w:cs="Arial"/>
          <w:lang w:val="es-ES_tradnl"/>
        </w:rPr>
      </w:pPr>
    </w:p>
    <w:p w:rsidR="007D0414" w:rsidRPr="00B64273" w:rsidRDefault="00D96C5D"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Este último pronunciamiento no fue tenido en cuenta por la funcionaria de primer grado, toda vez que fue remida al Despacho a las 3:15 de la tarde del día 3 de septiembre de 2021</w:t>
      </w:r>
      <w:r w:rsidR="00996677" w:rsidRPr="00B64273">
        <w:rPr>
          <w:rFonts w:ascii="Arial" w:hAnsi="Arial" w:cs="Arial"/>
          <w:lang w:val="es-ES_tradnl"/>
        </w:rPr>
        <w:t xml:space="preserve"> y, el </w:t>
      </w:r>
      <w:r w:rsidRPr="00B64273">
        <w:rPr>
          <w:rFonts w:ascii="Arial" w:hAnsi="Arial" w:cs="Arial"/>
          <w:lang w:val="es-ES_tradnl"/>
        </w:rPr>
        <w:t xml:space="preserve">término </w:t>
      </w:r>
      <w:r w:rsidR="00996677" w:rsidRPr="00B64273">
        <w:rPr>
          <w:rFonts w:ascii="Arial" w:hAnsi="Arial" w:cs="Arial"/>
          <w:lang w:val="es-ES_tradnl"/>
        </w:rPr>
        <w:t xml:space="preserve">que le fue conferido </w:t>
      </w:r>
      <w:r w:rsidRPr="00B64273">
        <w:rPr>
          <w:rFonts w:ascii="Arial" w:hAnsi="Arial" w:cs="Arial"/>
          <w:lang w:val="es-ES_tradnl"/>
        </w:rPr>
        <w:t>para pronunciarse había vencido al medio día de esa calenda.</w:t>
      </w:r>
    </w:p>
    <w:p w:rsidR="00D96C5D" w:rsidRPr="00B64273" w:rsidRDefault="00D96C5D" w:rsidP="00B64273">
      <w:pPr>
        <w:overflowPunct w:val="0"/>
        <w:autoSpaceDE w:val="0"/>
        <w:autoSpaceDN w:val="0"/>
        <w:adjustRightInd w:val="0"/>
        <w:spacing w:line="276" w:lineRule="auto"/>
        <w:jc w:val="both"/>
        <w:textAlignment w:val="baseline"/>
        <w:rPr>
          <w:rFonts w:ascii="Arial" w:hAnsi="Arial" w:cs="Arial"/>
          <w:lang w:val="es-ES_tradnl"/>
        </w:rPr>
      </w:pPr>
    </w:p>
    <w:p w:rsidR="00CA193A" w:rsidRPr="00B64273" w:rsidRDefault="008B603E" w:rsidP="00B64273">
      <w:pPr>
        <w:overflowPunct w:val="0"/>
        <w:autoSpaceDE w:val="0"/>
        <w:autoSpaceDN w:val="0"/>
        <w:adjustRightInd w:val="0"/>
        <w:spacing w:line="276" w:lineRule="auto"/>
        <w:jc w:val="both"/>
        <w:textAlignment w:val="baseline"/>
        <w:rPr>
          <w:rFonts w:ascii="Arial" w:hAnsi="Arial" w:cs="Arial"/>
        </w:rPr>
      </w:pPr>
      <w:r w:rsidRPr="00B64273">
        <w:rPr>
          <w:rFonts w:ascii="Arial" w:hAnsi="Arial" w:cs="Arial"/>
        </w:rPr>
        <w:t xml:space="preserve">Llegado el día del fallo, la funcionaria de primer grado, </w:t>
      </w:r>
      <w:r w:rsidR="00017C56" w:rsidRPr="00B64273">
        <w:rPr>
          <w:rFonts w:ascii="Arial" w:hAnsi="Arial" w:cs="Arial"/>
        </w:rPr>
        <w:t xml:space="preserve">negó por improcedente la protección reclamada por el actor al evidenciar que las peticiones elevadas por este fueron atendidas por </w:t>
      </w:r>
      <w:r w:rsidR="002E07DF" w:rsidRPr="00B64273">
        <w:rPr>
          <w:rFonts w:ascii="Arial" w:hAnsi="Arial" w:cs="Arial"/>
        </w:rPr>
        <w:t xml:space="preserve">las entidades destinatarias; los inconvenientes presentados por los tiempos a cargo del </w:t>
      </w:r>
      <w:r w:rsidR="002E2CB0" w:rsidRPr="00B64273">
        <w:rPr>
          <w:rFonts w:ascii="Arial" w:hAnsi="Arial" w:cs="Arial"/>
        </w:rPr>
        <w:t>d</w:t>
      </w:r>
      <w:r w:rsidR="002E07DF" w:rsidRPr="00B64273">
        <w:rPr>
          <w:rFonts w:ascii="Arial" w:hAnsi="Arial" w:cs="Arial"/>
        </w:rPr>
        <w:t>epartamento del Valle</w:t>
      </w:r>
      <w:r w:rsidR="002E2CB0" w:rsidRPr="00B64273">
        <w:rPr>
          <w:rFonts w:ascii="Arial" w:hAnsi="Arial" w:cs="Arial"/>
        </w:rPr>
        <w:t xml:space="preserve"> del Cauca</w:t>
      </w:r>
      <w:r w:rsidR="002E07DF" w:rsidRPr="00B64273">
        <w:rPr>
          <w:rFonts w:ascii="Arial" w:hAnsi="Arial" w:cs="Arial"/>
        </w:rPr>
        <w:t xml:space="preserve"> </w:t>
      </w:r>
      <w:r w:rsidR="00D42B36" w:rsidRPr="00B64273">
        <w:rPr>
          <w:rFonts w:ascii="Arial" w:hAnsi="Arial" w:cs="Arial"/>
        </w:rPr>
        <w:t>ya fueron solucionados encontrándose el trámite pendiente de que la Dirección General de Regulación Económica de la Seguridad Social del Ministerio de Hacienda y Crédito Público verifique la disponibilidad de recurs</w:t>
      </w:r>
      <w:r w:rsidR="000F34DD" w:rsidRPr="00B64273">
        <w:rPr>
          <w:rFonts w:ascii="Arial" w:hAnsi="Arial" w:cs="Arial"/>
        </w:rPr>
        <w:t>os, pero que en todo caso, el procedimiento adelantado para la expedición del bono Tipo A se ha adelantado dentro de los límites legales, de conformidad con lo previsto por el artículo 7º del Decreto 3798 de 2003, inserto en el Decreto 833 de 2016.</w:t>
      </w:r>
    </w:p>
    <w:p w:rsidR="000F34DD" w:rsidRPr="00B64273" w:rsidRDefault="000F34DD" w:rsidP="00B64273">
      <w:pPr>
        <w:overflowPunct w:val="0"/>
        <w:autoSpaceDE w:val="0"/>
        <w:autoSpaceDN w:val="0"/>
        <w:adjustRightInd w:val="0"/>
        <w:spacing w:line="276" w:lineRule="auto"/>
        <w:jc w:val="both"/>
        <w:textAlignment w:val="baseline"/>
        <w:rPr>
          <w:rFonts w:ascii="Arial" w:hAnsi="Arial" w:cs="Arial"/>
          <w:lang w:val="es-ES_tradnl"/>
        </w:rPr>
      </w:pPr>
    </w:p>
    <w:p w:rsidR="000F34DD" w:rsidRPr="00B64273" w:rsidRDefault="000F34DD" w:rsidP="00B64273">
      <w:pPr>
        <w:overflowPunct w:val="0"/>
        <w:autoSpaceDE w:val="0"/>
        <w:autoSpaceDN w:val="0"/>
        <w:adjustRightInd w:val="0"/>
        <w:spacing w:line="276" w:lineRule="auto"/>
        <w:jc w:val="both"/>
        <w:textAlignment w:val="baseline"/>
        <w:rPr>
          <w:rFonts w:ascii="Arial" w:hAnsi="Arial" w:cs="Arial"/>
        </w:rPr>
      </w:pPr>
      <w:r w:rsidRPr="00B64273">
        <w:rPr>
          <w:rFonts w:ascii="Arial" w:hAnsi="Arial" w:cs="Arial"/>
        </w:rPr>
        <w:t xml:space="preserve">Por último, señaló </w:t>
      </w:r>
      <w:r w:rsidR="00795D4F" w:rsidRPr="00B64273">
        <w:rPr>
          <w:rFonts w:ascii="Arial" w:hAnsi="Arial" w:cs="Arial"/>
        </w:rPr>
        <w:t xml:space="preserve">la </w:t>
      </w:r>
      <w:r w:rsidR="00795D4F" w:rsidRPr="00B64273">
        <w:rPr>
          <w:rFonts w:ascii="Arial" w:hAnsi="Arial" w:cs="Arial"/>
          <w:i/>
          <w:iCs/>
        </w:rPr>
        <w:t>a</w:t>
      </w:r>
      <w:r w:rsidRPr="00B64273">
        <w:rPr>
          <w:rFonts w:ascii="Arial" w:hAnsi="Arial" w:cs="Arial"/>
          <w:i/>
          <w:iCs/>
        </w:rPr>
        <w:t xml:space="preserve"> </w:t>
      </w:r>
      <w:r w:rsidR="00795D4F" w:rsidRPr="00B64273">
        <w:rPr>
          <w:rFonts w:ascii="Arial" w:hAnsi="Arial" w:cs="Arial"/>
          <w:i/>
          <w:iCs/>
        </w:rPr>
        <w:t xml:space="preserve">quo </w:t>
      </w:r>
      <w:r w:rsidR="00795D4F" w:rsidRPr="00B64273">
        <w:rPr>
          <w:rFonts w:ascii="Arial" w:hAnsi="Arial" w:cs="Arial"/>
        </w:rPr>
        <w:t>que</w:t>
      </w:r>
      <w:r w:rsidRPr="00B64273">
        <w:rPr>
          <w:rFonts w:ascii="Arial" w:hAnsi="Arial" w:cs="Arial"/>
        </w:rPr>
        <w:t xml:space="preserve"> no se daban los presupuestos para viabilizar la acción de tutela como mecanismo idóneo de protección, en tanto los términos hasta ahora agotados no resultan extremadamente extendido</w:t>
      </w:r>
      <w:r w:rsidR="32B0B46B" w:rsidRPr="00B64273">
        <w:rPr>
          <w:rFonts w:ascii="Arial" w:hAnsi="Arial" w:cs="Arial"/>
        </w:rPr>
        <w:t>s</w:t>
      </w:r>
      <w:r w:rsidRPr="00B64273">
        <w:rPr>
          <w:rFonts w:ascii="Arial" w:hAnsi="Arial" w:cs="Arial"/>
        </w:rPr>
        <w:t xml:space="preserve"> y, en segundo lugar no se evidencia la afectación del mínimo vital ni la dignidad humana del accionante.</w:t>
      </w:r>
    </w:p>
    <w:p w:rsidR="000F34DD" w:rsidRPr="00B64273" w:rsidRDefault="000F34DD" w:rsidP="00B64273">
      <w:pPr>
        <w:overflowPunct w:val="0"/>
        <w:autoSpaceDE w:val="0"/>
        <w:autoSpaceDN w:val="0"/>
        <w:adjustRightInd w:val="0"/>
        <w:spacing w:line="276" w:lineRule="auto"/>
        <w:jc w:val="both"/>
        <w:textAlignment w:val="baseline"/>
        <w:rPr>
          <w:rFonts w:ascii="Arial" w:hAnsi="Arial" w:cs="Arial"/>
          <w:lang w:val="es-ES_tradnl"/>
        </w:rPr>
      </w:pPr>
    </w:p>
    <w:p w:rsidR="000F34DD" w:rsidRPr="00B64273" w:rsidRDefault="000F34DD"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No obstante, instó al DGRESS para que priorice la definición del asunto en el FONPET para el pago respectivo.</w:t>
      </w:r>
    </w:p>
    <w:p w:rsidR="000F34DD" w:rsidRPr="00B64273" w:rsidRDefault="000F34DD" w:rsidP="00B64273">
      <w:pPr>
        <w:overflowPunct w:val="0"/>
        <w:autoSpaceDE w:val="0"/>
        <w:autoSpaceDN w:val="0"/>
        <w:adjustRightInd w:val="0"/>
        <w:spacing w:line="276" w:lineRule="auto"/>
        <w:jc w:val="both"/>
        <w:textAlignment w:val="baseline"/>
        <w:rPr>
          <w:rFonts w:ascii="Arial" w:hAnsi="Arial" w:cs="Arial"/>
          <w:lang w:val="es-ES_tradnl"/>
        </w:rPr>
      </w:pPr>
    </w:p>
    <w:p w:rsidR="000F34DD" w:rsidRPr="00B64273" w:rsidRDefault="000F34DD"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 xml:space="preserve">Inconforme con la </w:t>
      </w:r>
      <w:r w:rsidR="00D96C5D" w:rsidRPr="00B64273">
        <w:rPr>
          <w:rFonts w:ascii="Arial" w:hAnsi="Arial" w:cs="Arial"/>
          <w:lang w:val="es-ES_tradnl"/>
        </w:rPr>
        <w:t>d</w:t>
      </w:r>
      <w:r w:rsidRPr="00B64273">
        <w:rPr>
          <w:rFonts w:ascii="Arial" w:hAnsi="Arial" w:cs="Arial"/>
          <w:lang w:val="es-ES_tradnl"/>
        </w:rPr>
        <w:t xml:space="preserve">ecisión </w:t>
      </w:r>
      <w:r w:rsidR="00D96C5D" w:rsidRPr="00B64273">
        <w:rPr>
          <w:rFonts w:ascii="Arial" w:hAnsi="Arial" w:cs="Arial"/>
          <w:lang w:val="es-ES_tradnl"/>
        </w:rPr>
        <w:t>esta última entidad se pronunció indicando que atendió el llamado del Juzgado y que su pronunciamiento informó que cuenta con 30 días para atender la solicitud de pago del bono pensional realizada el 25 de agosto de 2021, por lo que no ha incurrido en falta u omisión alguna dentro de este asunto</w:t>
      </w:r>
      <w:r w:rsidR="002E2CB0" w:rsidRPr="00B64273">
        <w:rPr>
          <w:rFonts w:ascii="Arial" w:hAnsi="Arial" w:cs="Arial"/>
          <w:lang w:val="es-ES_tradnl"/>
        </w:rPr>
        <w:t xml:space="preserve">.  Seguidamente, hizo acopio de </w:t>
      </w:r>
      <w:r w:rsidR="00D96C5D" w:rsidRPr="00B64273">
        <w:rPr>
          <w:rFonts w:ascii="Arial" w:hAnsi="Arial" w:cs="Arial"/>
          <w:lang w:val="es-ES_tradnl"/>
        </w:rPr>
        <w:t>los mismos argumentos expuestos al momento de dar respuesta a su vinculación.</w:t>
      </w:r>
      <w:r w:rsidRPr="00B64273">
        <w:rPr>
          <w:rFonts w:ascii="Arial" w:hAnsi="Arial" w:cs="Arial"/>
          <w:lang w:val="es-ES_tradnl"/>
        </w:rPr>
        <w:t xml:space="preserve"> </w:t>
      </w:r>
    </w:p>
    <w:p w:rsidR="00017C56" w:rsidRPr="00B64273" w:rsidRDefault="00017C56" w:rsidP="00B64273">
      <w:pPr>
        <w:overflowPunct w:val="0"/>
        <w:autoSpaceDE w:val="0"/>
        <w:autoSpaceDN w:val="0"/>
        <w:adjustRightInd w:val="0"/>
        <w:spacing w:line="276" w:lineRule="auto"/>
        <w:jc w:val="both"/>
        <w:textAlignment w:val="baseline"/>
        <w:rPr>
          <w:rFonts w:ascii="Arial" w:hAnsi="Arial" w:cs="Arial"/>
          <w:b/>
          <w:lang w:val="es-ES_tradnl"/>
        </w:rPr>
      </w:pPr>
    </w:p>
    <w:p w:rsidR="00EA6461" w:rsidRPr="00B64273" w:rsidRDefault="00EA6461" w:rsidP="00B64273">
      <w:pPr>
        <w:overflowPunct w:val="0"/>
        <w:autoSpaceDE w:val="0"/>
        <w:autoSpaceDN w:val="0"/>
        <w:adjustRightInd w:val="0"/>
        <w:spacing w:line="276" w:lineRule="auto"/>
        <w:jc w:val="center"/>
        <w:textAlignment w:val="baseline"/>
        <w:rPr>
          <w:rFonts w:ascii="Arial" w:hAnsi="Arial" w:cs="Arial"/>
          <w:b/>
          <w:lang w:val="es-ES_tradnl"/>
        </w:rPr>
      </w:pPr>
      <w:r w:rsidRPr="00B64273">
        <w:rPr>
          <w:rFonts w:ascii="Arial" w:hAnsi="Arial" w:cs="Arial"/>
          <w:b/>
          <w:lang w:val="es-ES_tradnl"/>
        </w:rPr>
        <w:t>CONSIDERACIONES</w:t>
      </w:r>
    </w:p>
    <w:p w:rsidR="00EA6461" w:rsidRPr="00B64273" w:rsidRDefault="00EA6461" w:rsidP="00B64273">
      <w:pPr>
        <w:overflowPunct w:val="0"/>
        <w:autoSpaceDE w:val="0"/>
        <w:autoSpaceDN w:val="0"/>
        <w:adjustRightInd w:val="0"/>
        <w:spacing w:line="276" w:lineRule="auto"/>
        <w:jc w:val="both"/>
        <w:textAlignment w:val="baseline"/>
        <w:rPr>
          <w:rFonts w:ascii="Arial" w:hAnsi="Arial" w:cs="Arial"/>
          <w:b/>
          <w:lang w:val="es-ES_tradnl"/>
        </w:rPr>
      </w:pPr>
    </w:p>
    <w:p w:rsidR="00EA6461" w:rsidRPr="00B64273" w:rsidRDefault="00EA6461" w:rsidP="00B64273">
      <w:pPr>
        <w:overflowPunct w:val="0"/>
        <w:autoSpaceDE w:val="0"/>
        <w:autoSpaceDN w:val="0"/>
        <w:adjustRightInd w:val="0"/>
        <w:spacing w:line="276" w:lineRule="auto"/>
        <w:jc w:val="both"/>
        <w:textAlignment w:val="baseline"/>
        <w:rPr>
          <w:rFonts w:ascii="Arial" w:hAnsi="Arial" w:cs="Arial"/>
          <w:b/>
          <w:lang w:val="es-ES_tradnl"/>
        </w:rPr>
      </w:pPr>
      <w:r w:rsidRPr="00B64273">
        <w:rPr>
          <w:rFonts w:ascii="Arial" w:hAnsi="Arial" w:cs="Arial"/>
          <w:b/>
          <w:lang w:val="es-ES_tradnl"/>
        </w:rPr>
        <w:t>PROBLEMA JURÍDICO</w:t>
      </w:r>
    </w:p>
    <w:p w:rsidR="00E468A0" w:rsidRPr="00B64273" w:rsidRDefault="00E468A0" w:rsidP="00B64273">
      <w:pPr>
        <w:overflowPunct w:val="0"/>
        <w:autoSpaceDE w:val="0"/>
        <w:autoSpaceDN w:val="0"/>
        <w:adjustRightInd w:val="0"/>
        <w:spacing w:line="276" w:lineRule="auto"/>
        <w:ind w:left="709" w:right="618"/>
        <w:jc w:val="both"/>
        <w:textAlignment w:val="baseline"/>
        <w:rPr>
          <w:rFonts w:ascii="Arial" w:hAnsi="Arial" w:cs="Arial"/>
          <w:b/>
          <w:i/>
          <w:lang w:val="es-ES_tradnl"/>
        </w:rPr>
      </w:pPr>
    </w:p>
    <w:p w:rsidR="00213130" w:rsidRPr="00B64273" w:rsidRDefault="00213130" w:rsidP="00795D4F">
      <w:pPr>
        <w:overflowPunct w:val="0"/>
        <w:autoSpaceDE w:val="0"/>
        <w:autoSpaceDN w:val="0"/>
        <w:adjustRightInd w:val="0"/>
        <w:spacing w:line="276" w:lineRule="auto"/>
        <w:ind w:left="426" w:right="420"/>
        <w:jc w:val="both"/>
        <w:textAlignment w:val="baseline"/>
        <w:rPr>
          <w:rFonts w:ascii="Arial" w:hAnsi="Arial" w:cs="Arial"/>
          <w:b/>
          <w:i/>
          <w:lang w:val="es-ES_tradnl"/>
        </w:rPr>
      </w:pPr>
      <w:r w:rsidRPr="00B64273">
        <w:rPr>
          <w:rFonts w:ascii="Arial" w:hAnsi="Arial" w:cs="Arial"/>
          <w:b/>
          <w:i/>
          <w:lang w:val="es-ES_tradnl"/>
        </w:rPr>
        <w:t>¿</w:t>
      </w:r>
      <w:r w:rsidR="009B16F4" w:rsidRPr="00B64273">
        <w:rPr>
          <w:rFonts w:ascii="Arial" w:hAnsi="Arial" w:cs="Arial"/>
          <w:b/>
          <w:i/>
          <w:lang w:val="es-ES_tradnl"/>
        </w:rPr>
        <w:t>Procede la acción de tutela para exigir el reconocimiento, emisión y/o pago de bonos pensionales</w:t>
      </w:r>
      <w:r w:rsidRPr="00B64273">
        <w:rPr>
          <w:rFonts w:ascii="Arial" w:hAnsi="Arial" w:cs="Arial"/>
          <w:b/>
          <w:i/>
          <w:lang w:val="es-ES_tradnl"/>
        </w:rPr>
        <w:t>?</w:t>
      </w:r>
    </w:p>
    <w:p w:rsidR="00213130" w:rsidRPr="00B64273" w:rsidRDefault="00213130" w:rsidP="00B64273">
      <w:pPr>
        <w:overflowPunct w:val="0"/>
        <w:autoSpaceDE w:val="0"/>
        <w:autoSpaceDN w:val="0"/>
        <w:adjustRightInd w:val="0"/>
        <w:spacing w:line="276" w:lineRule="auto"/>
        <w:jc w:val="both"/>
        <w:textAlignment w:val="baseline"/>
        <w:rPr>
          <w:rFonts w:ascii="Arial" w:hAnsi="Arial" w:cs="Arial"/>
          <w:b/>
          <w:lang w:val="es-ES_tradnl"/>
        </w:rPr>
      </w:pPr>
    </w:p>
    <w:p w:rsidR="00E468A0" w:rsidRPr="00B64273" w:rsidRDefault="00E468A0" w:rsidP="00B64273">
      <w:pPr>
        <w:overflowPunct w:val="0"/>
        <w:autoSpaceDE w:val="0"/>
        <w:autoSpaceDN w:val="0"/>
        <w:adjustRightInd w:val="0"/>
        <w:spacing w:line="276" w:lineRule="auto"/>
        <w:jc w:val="both"/>
        <w:textAlignment w:val="baseline"/>
        <w:rPr>
          <w:rFonts w:ascii="Arial" w:hAnsi="Arial" w:cs="Arial"/>
          <w:b/>
          <w:lang w:val="es-ES_tradnl"/>
        </w:rPr>
      </w:pPr>
    </w:p>
    <w:p w:rsidR="00B14867" w:rsidRPr="00B64273" w:rsidRDefault="00B14867" w:rsidP="00B64273">
      <w:pPr>
        <w:numPr>
          <w:ilvl w:val="0"/>
          <w:numId w:val="22"/>
        </w:numPr>
        <w:tabs>
          <w:tab w:val="left" w:pos="-720"/>
        </w:tabs>
        <w:suppressAutoHyphens/>
        <w:spacing w:line="276" w:lineRule="auto"/>
        <w:ind w:left="426" w:right="-7" w:hanging="426"/>
        <w:jc w:val="both"/>
        <w:rPr>
          <w:rFonts w:ascii="Arial" w:hAnsi="Arial" w:cs="Arial"/>
          <w:b/>
          <w:bCs/>
          <w:spacing w:val="-2"/>
        </w:rPr>
      </w:pPr>
      <w:r w:rsidRPr="00B64273">
        <w:rPr>
          <w:rFonts w:ascii="Arial" w:hAnsi="Arial" w:cs="Arial"/>
          <w:b/>
          <w:bCs/>
          <w:spacing w:val="-2"/>
        </w:rPr>
        <w:t xml:space="preserve">PROCEDENCIA DE LA ACCIÓN DE TUTELA </w:t>
      </w:r>
    </w:p>
    <w:p w:rsidR="00B14867" w:rsidRPr="00B64273" w:rsidRDefault="00B14867" w:rsidP="00B64273">
      <w:pPr>
        <w:pStyle w:val="Textoindependiente"/>
        <w:spacing w:line="276" w:lineRule="auto"/>
        <w:rPr>
          <w:rFonts w:cs="Arial"/>
          <w:sz w:val="24"/>
          <w:szCs w:val="24"/>
        </w:rPr>
      </w:pPr>
    </w:p>
    <w:p w:rsidR="00B14867" w:rsidRPr="00B64273" w:rsidRDefault="00B14867" w:rsidP="00B64273">
      <w:pPr>
        <w:pStyle w:val="Textoindependiente"/>
        <w:spacing w:line="276" w:lineRule="auto"/>
        <w:rPr>
          <w:rFonts w:cs="Arial"/>
          <w:sz w:val="24"/>
          <w:szCs w:val="24"/>
        </w:rPr>
      </w:pPr>
      <w:bookmarkStart w:id="2" w:name="_Hlk88120398"/>
      <w:r w:rsidRPr="00B64273">
        <w:rPr>
          <w:rFonts w:cs="Arial"/>
          <w:sz w:val="24"/>
          <w:szCs w:val="24"/>
        </w:rPr>
        <w:t xml:space="preserve">Una de las características de </w:t>
      </w:r>
      <w:r w:rsidR="00795D4F" w:rsidRPr="00B64273">
        <w:rPr>
          <w:rFonts w:cs="Arial"/>
          <w:sz w:val="24"/>
          <w:szCs w:val="24"/>
        </w:rPr>
        <w:t>este</w:t>
      </w:r>
      <w:r w:rsidRPr="00B64273">
        <w:rPr>
          <w:rFonts w:cs="Arial"/>
          <w:sz w:val="24"/>
          <w:szCs w:val="24"/>
        </w:rPr>
        <w:t xml:space="preserv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p>
    <w:bookmarkEnd w:id="2"/>
    <w:p w:rsidR="00B14867" w:rsidRPr="00B64273" w:rsidRDefault="00B14867" w:rsidP="00B64273">
      <w:pPr>
        <w:pStyle w:val="Textoindependiente"/>
        <w:spacing w:line="276" w:lineRule="auto"/>
        <w:rPr>
          <w:rFonts w:cs="Arial"/>
          <w:sz w:val="24"/>
          <w:szCs w:val="24"/>
        </w:rPr>
      </w:pPr>
    </w:p>
    <w:p w:rsidR="00B14867" w:rsidRDefault="00B14867" w:rsidP="00B64273">
      <w:pPr>
        <w:pStyle w:val="Textoindependiente"/>
        <w:spacing w:line="276" w:lineRule="auto"/>
        <w:rPr>
          <w:rFonts w:cs="Arial"/>
          <w:sz w:val="24"/>
          <w:szCs w:val="24"/>
        </w:rPr>
      </w:pPr>
      <w:r w:rsidRPr="00B64273">
        <w:rPr>
          <w:rFonts w:cs="Arial"/>
          <w:sz w:val="24"/>
          <w:szCs w:val="24"/>
        </w:rPr>
        <w:t>Frente a la procedencia de la acción de tutela, cuando existen mecanismos ordinarios de defensa, la Corte Constitucional, en la sentencia T-271-13, expuso lo siguiente:</w:t>
      </w:r>
    </w:p>
    <w:p w:rsidR="00795D4F" w:rsidRPr="00B64273" w:rsidRDefault="00795D4F" w:rsidP="00B64273">
      <w:pPr>
        <w:pStyle w:val="Textoindependiente"/>
        <w:spacing w:line="276" w:lineRule="auto"/>
        <w:rPr>
          <w:rFonts w:cs="Arial"/>
          <w:sz w:val="24"/>
          <w:szCs w:val="24"/>
        </w:rPr>
      </w:pPr>
    </w:p>
    <w:p w:rsidR="00B14867" w:rsidRPr="00795D4F" w:rsidRDefault="00B14867" w:rsidP="00795D4F">
      <w:pPr>
        <w:ind w:left="426" w:right="420"/>
        <w:jc w:val="both"/>
        <w:rPr>
          <w:rFonts w:ascii="Arial" w:hAnsi="Arial" w:cs="Arial"/>
          <w:i/>
          <w:sz w:val="22"/>
        </w:rPr>
      </w:pPr>
      <w:r w:rsidRPr="00795D4F">
        <w:rPr>
          <w:rFonts w:ascii="Arial" w:hAnsi="Arial" w:cs="Arial"/>
          <w:i/>
          <w:sz w:val="22"/>
        </w:rPr>
        <w:t>“La Corte ha sido particularmente incisiva en señalar que la acción de tutela no fue diseñada por el Constituyente de 1991 como un medio judicial alternativo, adicional o complementario de los establecidos por la ley para la defensa de los derechos, pues con ella no se busca reemplazar los procesos ordinarios o especiales y, menos aún, desconocer los mecanismos dispuestos al interior de estos procesos para controvertir las decisiones que se adopten. Acorde con los principios de inmediatez y subsidiariedad que le son consustanciales, el propósito perseguido por la acción de tutela se concreta en garantizar la protección efectiva y actual, pero supletoria, de los derechos constitucionales fundamentales”</w:t>
      </w:r>
    </w:p>
    <w:p w:rsidR="00A37B79" w:rsidRPr="00B64273" w:rsidRDefault="00A37B79" w:rsidP="00B64273">
      <w:pPr>
        <w:overflowPunct w:val="0"/>
        <w:autoSpaceDE w:val="0"/>
        <w:autoSpaceDN w:val="0"/>
        <w:adjustRightInd w:val="0"/>
        <w:spacing w:line="276" w:lineRule="auto"/>
        <w:jc w:val="both"/>
        <w:textAlignment w:val="baseline"/>
        <w:rPr>
          <w:rFonts w:ascii="Arial" w:hAnsi="Arial" w:cs="Arial"/>
          <w:lang w:val="es-ES_tradnl"/>
        </w:rPr>
      </w:pPr>
    </w:p>
    <w:p w:rsidR="00EE3086" w:rsidRPr="00B64273" w:rsidRDefault="008660DA" w:rsidP="00B64273">
      <w:pPr>
        <w:overflowPunct w:val="0"/>
        <w:autoSpaceDE w:val="0"/>
        <w:autoSpaceDN w:val="0"/>
        <w:adjustRightInd w:val="0"/>
        <w:spacing w:line="276" w:lineRule="auto"/>
        <w:jc w:val="both"/>
        <w:textAlignment w:val="baseline"/>
        <w:rPr>
          <w:rFonts w:ascii="Arial" w:hAnsi="Arial" w:cs="Arial"/>
          <w:lang w:val="es-ES_tradnl"/>
        </w:rPr>
      </w:pPr>
      <w:r w:rsidRPr="00B64273">
        <w:rPr>
          <w:rFonts w:ascii="Arial" w:hAnsi="Arial" w:cs="Arial"/>
          <w:lang w:val="es-ES_tradnl"/>
        </w:rPr>
        <w:t>No obstante</w:t>
      </w:r>
      <w:r w:rsidR="00A37B79" w:rsidRPr="00B64273">
        <w:rPr>
          <w:rFonts w:ascii="Arial" w:hAnsi="Arial" w:cs="Arial"/>
          <w:lang w:val="es-ES_tradnl"/>
        </w:rPr>
        <w:t xml:space="preserve"> </w:t>
      </w:r>
      <w:bookmarkStart w:id="3" w:name="_Hlk88120441"/>
      <w:r w:rsidR="00A37B79" w:rsidRPr="00B64273">
        <w:rPr>
          <w:rFonts w:ascii="Arial" w:hAnsi="Arial" w:cs="Arial"/>
          <w:lang w:val="es-ES_tradnl"/>
        </w:rPr>
        <w:t>en Sentencia T-0</w:t>
      </w:r>
      <w:r w:rsidRPr="00B64273">
        <w:rPr>
          <w:rFonts w:ascii="Arial" w:hAnsi="Arial" w:cs="Arial"/>
          <w:lang w:val="es-ES_tradnl"/>
        </w:rPr>
        <w:t>795</w:t>
      </w:r>
      <w:r w:rsidR="00A37B79" w:rsidRPr="00B64273">
        <w:rPr>
          <w:rFonts w:ascii="Arial" w:hAnsi="Arial" w:cs="Arial"/>
          <w:lang w:val="es-ES_tradnl"/>
        </w:rPr>
        <w:t>-20</w:t>
      </w:r>
      <w:r w:rsidRPr="00B64273">
        <w:rPr>
          <w:rFonts w:ascii="Arial" w:hAnsi="Arial" w:cs="Arial"/>
          <w:lang w:val="es-ES_tradnl"/>
        </w:rPr>
        <w:t>07</w:t>
      </w:r>
      <w:r w:rsidR="00A37B79" w:rsidRPr="00B64273">
        <w:rPr>
          <w:rFonts w:ascii="Arial" w:hAnsi="Arial" w:cs="Arial"/>
          <w:lang w:val="es-ES_tradnl"/>
        </w:rPr>
        <w:t>, la Corte Constituci</w:t>
      </w:r>
      <w:r w:rsidR="006B4153" w:rsidRPr="00B64273">
        <w:rPr>
          <w:rFonts w:ascii="Arial" w:hAnsi="Arial" w:cs="Arial"/>
          <w:lang w:val="es-ES_tradnl"/>
        </w:rPr>
        <w:t>onal</w:t>
      </w:r>
      <w:r w:rsidR="00A37B79" w:rsidRPr="00B64273">
        <w:rPr>
          <w:rFonts w:ascii="Arial" w:hAnsi="Arial" w:cs="Arial"/>
          <w:lang w:val="es-ES_tradnl"/>
        </w:rPr>
        <w:t xml:space="preserve"> en tema similar al que hoy ocupa la atención de la Sala, frente a la procedenc</w:t>
      </w:r>
      <w:r w:rsidR="006B4153" w:rsidRPr="00B64273">
        <w:rPr>
          <w:rFonts w:ascii="Arial" w:hAnsi="Arial" w:cs="Arial"/>
          <w:lang w:val="es-ES_tradnl"/>
        </w:rPr>
        <w:t>ia de la acción de tutela para solicitar la emisión de bonos pensionales</w:t>
      </w:r>
      <w:r w:rsidR="00EE3086" w:rsidRPr="00B64273">
        <w:rPr>
          <w:rFonts w:ascii="Arial" w:hAnsi="Arial" w:cs="Arial"/>
          <w:lang w:val="es-ES_tradnl"/>
        </w:rPr>
        <w:t>, indicó lo siguiente:</w:t>
      </w:r>
    </w:p>
    <w:p w:rsidR="00EE3086" w:rsidRPr="00B64273" w:rsidRDefault="00EE3086" w:rsidP="00B64273">
      <w:pPr>
        <w:overflowPunct w:val="0"/>
        <w:autoSpaceDE w:val="0"/>
        <w:autoSpaceDN w:val="0"/>
        <w:adjustRightInd w:val="0"/>
        <w:spacing w:line="276" w:lineRule="auto"/>
        <w:jc w:val="both"/>
        <w:textAlignment w:val="baseline"/>
        <w:rPr>
          <w:rFonts w:ascii="Arial" w:hAnsi="Arial" w:cs="Arial"/>
          <w:lang w:val="es-ES_tradnl"/>
        </w:rPr>
      </w:pPr>
    </w:p>
    <w:p w:rsidR="006B4153" w:rsidRPr="00795D4F" w:rsidRDefault="00EE3086" w:rsidP="00795D4F">
      <w:pPr>
        <w:widowControl w:val="0"/>
        <w:ind w:left="426" w:right="420"/>
        <w:jc w:val="both"/>
        <w:rPr>
          <w:rFonts w:ascii="Arial" w:hAnsi="Arial" w:cs="Arial"/>
          <w:i/>
          <w:sz w:val="22"/>
        </w:rPr>
      </w:pPr>
      <w:r w:rsidRPr="00795D4F">
        <w:rPr>
          <w:rFonts w:ascii="Arial" w:hAnsi="Arial" w:cs="Arial"/>
          <w:b/>
          <w:bCs/>
          <w:i/>
          <w:sz w:val="22"/>
          <w:lang w:val="es-CO"/>
        </w:rPr>
        <w:t>“</w:t>
      </w:r>
      <w:r w:rsidR="006B4153" w:rsidRPr="00795D4F">
        <w:rPr>
          <w:rFonts w:ascii="Arial" w:hAnsi="Arial" w:cs="Arial"/>
          <w:i/>
          <w:sz w:val="22"/>
        </w:rPr>
        <w:t>De la jurisprudencia constitucional se desprende que, como regla general, la acción de tutela no resulta procedente para ordenar el reconocimiento de derechos que sean motivo de litigio, pues es claro que, en principio, las controversias suscitadas entre distintas partes se deben ventilar ante los jueces competentes y en uso de los procedimientos para tal efecto establecidos.</w:t>
      </w:r>
    </w:p>
    <w:p w:rsidR="006B4153" w:rsidRPr="00795D4F" w:rsidRDefault="006B4153" w:rsidP="00795D4F">
      <w:pPr>
        <w:widowControl w:val="0"/>
        <w:ind w:left="426" w:right="420"/>
        <w:jc w:val="both"/>
        <w:rPr>
          <w:rFonts w:ascii="Arial" w:hAnsi="Arial" w:cs="Arial"/>
          <w:i/>
          <w:sz w:val="22"/>
        </w:rPr>
      </w:pPr>
    </w:p>
    <w:p w:rsidR="006B4153" w:rsidRPr="00795D4F" w:rsidRDefault="006B4153" w:rsidP="00795D4F">
      <w:pPr>
        <w:widowControl w:val="0"/>
        <w:ind w:left="426" w:right="420"/>
        <w:jc w:val="both"/>
        <w:rPr>
          <w:rFonts w:ascii="Arial" w:hAnsi="Arial" w:cs="Arial"/>
          <w:i/>
          <w:sz w:val="22"/>
        </w:rPr>
      </w:pPr>
      <w:r w:rsidRPr="00795D4F">
        <w:rPr>
          <w:rFonts w:ascii="Arial" w:hAnsi="Arial" w:cs="Arial"/>
          <w:i/>
          <w:sz w:val="22"/>
        </w:rPr>
        <w:t>Conforme al anterior planteamiento, una controversia referente a la tardanza en la emisión de un bono pensional escapa a los propósitos de protección inherentes a la acción de tutela. Sin embargo, distintas Salas de Revisión de esta Corte han estimado que cuando la demora en la emisión de un bono pensional impide el oportuno reconocimiento de pensiones de jubilación o de vejez, la acción de tutela procede como remedio excepcional para la protección del derecho a la seguridad social en conexidad con el derecho al mínimo vital y la dignidad humana</w:t>
      </w:r>
      <w:bookmarkEnd w:id="3"/>
      <w:r w:rsidRPr="00795D4F">
        <w:rPr>
          <w:rStyle w:val="Refdenotaalpie"/>
          <w:rFonts w:ascii="Arial" w:hAnsi="Arial" w:cs="Arial"/>
          <w:i/>
          <w:sz w:val="22"/>
        </w:rPr>
        <w:footnoteReference w:id="1"/>
      </w:r>
      <w:r w:rsidRPr="00795D4F">
        <w:rPr>
          <w:rFonts w:ascii="Arial" w:hAnsi="Arial" w:cs="Arial"/>
          <w:i/>
          <w:sz w:val="22"/>
        </w:rPr>
        <w:t>.</w:t>
      </w:r>
    </w:p>
    <w:p w:rsidR="006B4153" w:rsidRPr="00795D4F" w:rsidRDefault="006B4153" w:rsidP="00795D4F">
      <w:pPr>
        <w:widowControl w:val="0"/>
        <w:ind w:left="426" w:right="420"/>
        <w:jc w:val="both"/>
        <w:rPr>
          <w:rFonts w:ascii="Arial" w:hAnsi="Arial" w:cs="Arial"/>
          <w:i/>
          <w:sz w:val="22"/>
        </w:rPr>
      </w:pPr>
    </w:p>
    <w:p w:rsidR="006B4153" w:rsidRPr="00795D4F" w:rsidRDefault="006B4153" w:rsidP="00795D4F">
      <w:pPr>
        <w:widowControl w:val="0"/>
        <w:ind w:left="426" w:right="420"/>
        <w:jc w:val="both"/>
        <w:rPr>
          <w:rFonts w:ascii="Arial" w:hAnsi="Arial" w:cs="Arial"/>
          <w:i/>
          <w:sz w:val="22"/>
        </w:rPr>
      </w:pPr>
      <w:r w:rsidRPr="00795D4F">
        <w:rPr>
          <w:rFonts w:ascii="Arial" w:hAnsi="Arial" w:cs="Arial"/>
          <w:i/>
          <w:sz w:val="22"/>
        </w:rPr>
        <w:t>Así, respecto de aquellos casos en los cuales el reconocimiento y pago de una pensión depende de la exigencia de un bono pensional, la jurisprudencia de esta Corporación ha indicado que la tutela procede siempre que no sea utilizada como mecanismo para pretermitir el trámite administrativo correspondiente o para procurar la protección del derecho de petición sin haber presentado solicitud expresa a la entidad encargada de emitir el bono (i) y, de igual manera, ha insistido en que se debe comprobar que los trámites administrativos dilatan de manera injustificada la decisión de fondo sobre la pensión (ii) y que a causa del retardo en la expedición del bono pensional se produce una vulneración de derechos fundamentales, dadas las especiales condiciones de la persona que aspira a obtener la pensión (iii)</w:t>
      </w:r>
      <w:r w:rsidRPr="00795D4F">
        <w:rPr>
          <w:rStyle w:val="Refdenotaalpie"/>
          <w:rFonts w:ascii="Arial" w:hAnsi="Arial" w:cs="Arial"/>
          <w:i/>
          <w:sz w:val="22"/>
        </w:rPr>
        <w:footnoteReference w:id="2"/>
      </w:r>
      <w:r w:rsidRPr="00795D4F">
        <w:rPr>
          <w:rFonts w:ascii="Arial" w:hAnsi="Arial" w:cs="Arial"/>
          <w:i/>
          <w:sz w:val="22"/>
        </w:rPr>
        <w:t>.</w:t>
      </w:r>
    </w:p>
    <w:p w:rsidR="006B4153" w:rsidRPr="00795D4F" w:rsidRDefault="006B4153" w:rsidP="00795D4F">
      <w:pPr>
        <w:widowControl w:val="0"/>
        <w:ind w:left="426" w:right="420"/>
        <w:jc w:val="both"/>
        <w:rPr>
          <w:rFonts w:ascii="Arial" w:hAnsi="Arial" w:cs="Arial"/>
          <w:i/>
          <w:sz w:val="22"/>
        </w:rPr>
      </w:pPr>
    </w:p>
    <w:p w:rsidR="006B4153" w:rsidRPr="00795D4F" w:rsidRDefault="006B4153" w:rsidP="00795D4F">
      <w:pPr>
        <w:widowControl w:val="0"/>
        <w:ind w:left="426" w:right="420"/>
        <w:jc w:val="both"/>
        <w:rPr>
          <w:rFonts w:ascii="Arial" w:hAnsi="Arial" w:cs="Arial"/>
          <w:i/>
          <w:sz w:val="22"/>
        </w:rPr>
      </w:pPr>
      <w:r w:rsidRPr="00795D4F">
        <w:rPr>
          <w:rFonts w:ascii="Arial" w:hAnsi="Arial" w:cs="Arial"/>
          <w:i/>
          <w:sz w:val="22"/>
        </w:rPr>
        <w:t>En esta ocasión la Sala analizará las circunstancias del caso concreto a la luz de los mencionados criterios y conforme al orden en que estos han sido enunciados.</w:t>
      </w:r>
    </w:p>
    <w:p w:rsidR="006B4153" w:rsidRPr="00B64273" w:rsidRDefault="006B4153" w:rsidP="00B64273">
      <w:pPr>
        <w:widowControl w:val="0"/>
        <w:spacing w:line="276" w:lineRule="auto"/>
        <w:jc w:val="both"/>
        <w:rPr>
          <w:rFonts w:ascii="Arial" w:hAnsi="Arial" w:cs="Arial"/>
        </w:rPr>
      </w:pPr>
    </w:p>
    <w:p w:rsidR="00EE3086" w:rsidRPr="00580AA6" w:rsidRDefault="00F702F5" w:rsidP="00B64273">
      <w:pPr>
        <w:tabs>
          <w:tab w:val="left" w:pos="8789"/>
        </w:tabs>
        <w:overflowPunct w:val="0"/>
        <w:autoSpaceDE w:val="0"/>
        <w:autoSpaceDN w:val="0"/>
        <w:adjustRightInd w:val="0"/>
        <w:spacing w:line="276" w:lineRule="auto"/>
        <w:ind w:right="51"/>
        <w:jc w:val="both"/>
        <w:textAlignment w:val="baseline"/>
        <w:rPr>
          <w:rFonts w:ascii="Arial" w:hAnsi="Arial" w:cs="Arial"/>
        </w:rPr>
      </w:pPr>
      <w:bookmarkStart w:id="4" w:name="_Hlk88120533"/>
      <w:r w:rsidRPr="00B64273">
        <w:rPr>
          <w:rFonts w:ascii="Arial" w:hAnsi="Arial" w:cs="Arial"/>
        </w:rPr>
        <w:t xml:space="preserve">Frente al pago de bonos </w:t>
      </w:r>
      <w:r w:rsidRPr="00580AA6">
        <w:rPr>
          <w:rFonts w:ascii="Arial" w:hAnsi="Arial" w:cs="Arial"/>
        </w:rPr>
        <w:t xml:space="preserve">pensionales con los recursos del </w:t>
      </w:r>
      <w:r w:rsidR="004B4B1B" w:rsidRPr="00580AA6">
        <w:rPr>
          <w:rFonts w:ascii="Arial" w:hAnsi="Arial" w:cs="Arial"/>
          <w:shd w:val="clear" w:color="auto" w:fill="FFFFFF"/>
        </w:rPr>
        <w:t>Fondo Nacional de Pensiones de las Entidades Territoriales</w:t>
      </w:r>
      <w:r w:rsidR="004B4B1B" w:rsidRPr="00580AA6">
        <w:rPr>
          <w:rFonts w:ascii="Arial" w:hAnsi="Arial" w:cs="Arial"/>
        </w:rPr>
        <w:t xml:space="preserve"> –</w:t>
      </w:r>
      <w:r w:rsidR="003E3C1F">
        <w:rPr>
          <w:rFonts w:ascii="Arial" w:hAnsi="Arial" w:cs="Arial"/>
        </w:rPr>
        <w:t xml:space="preserve"> </w:t>
      </w:r>
      <w:r w:rsidRPr="00580AA6">
        <w:rPr>
          <w:rFonts w:ascii="Arial" w:hAnsi="Arial" w:cs="Arial"/>
        </w:rPr>
        <w:t>FONPET, dispone el artículo 2.12.</w:t>
      </w:r>
      <w:r w:rsidR="004B4B1B" w:rsidRPr="00580AA6">
        <w:rPr>
          <w:rFonts w:ascii="Arial" w:hAnsi="Arial" w:cs="Arial"/>
        </w:rPr>
        <w:t>3.</w:t>
      </w:r>
      <w:r w:rsidRPr="00580AA6">
        <w:rPr>
          <w:rFonts w:ascii="Arial" w:hAnsi="Arial" w:cs="Arial"/>
        </w:rPr>
        <w:t>14.</w:t>
      </w:r>
      <w:r w:rsidR="004B4B1B" w:rsidRPr="00580AA6">
        <w:rPr>
          <w:rFonts w:ascii="Arial" w:hAnsi="Arial" w:cs="Arial"/>
        </w:rPr>
        <w:t>1</w:t>
      </w:r>
      <w:r w:rsidRPr="00580AA6">
        <w:rPr>
          <w:rFonts w:ascii="Arial" w:hAnsi="Arial" w:cs="Arial"/>
        </w:rPr>
        <w:t xml:space="preserve"> del Decreto 117 de 2017</w:t>
      </w:r>
      <w:r w:rsidR="004B4B1B" w:rsidRPr="00580AA6">
        <w:rPr>
          <w:rFonts w:ascii="Arial" w:hAnsi="Arial" w:cs="Arial"/>
          <w:shd w:val="clear" w:color="auto" w:fill="FFFFFF"/>
        </w:rPr>
        <w:t xml:space="preserve"> que las entidades territoriales podrán utilizar hasta el 50% del saldo disponible en la cuenta de dicho fondo aun cuando la reserva constituida no haya alcanzado el ciento por ciento (100%) del pasivo pensional</w:t>
      </w:r>
      <w:bookmarkEnd w:id="4"/>
      <w:r w:rsidR="004B4B1B" w:rsidRPr="00580AA6">
        <w:rPr>
          <w:rFonts w:ascii="Arial" w:hAnsi="Arial" w:cs="Arial"/>
          <w:shd w:val="clear" w:color="auto" w:fill="FFFFFF"/>
        </w:rPr>
        <w:t>, con destino al cubrimiento de las obligaciones por concepto de bonos pensionales y cuotas partes de bonos pensionales.</w:t>
      </w:r>
    </w:p>
    <w:p w:rsidR="00F702F5" w:rsidRPr="00580AA6" w:rsidRDefault="00F702F5" w:rsidP="00B64273">
      <w:pPr>
        <w:tabs>
          <w:tab w:val="left" w:pos="8789"/>
        </w:tabs>
        <w:overflowPunct w:val="0"/>
        <w:autoSpaceDE w:val="0"/>
        <w:autoSpaceDN w:val="0"/>
        <w:adjustRightInd w:val="0"/>
        <w:spacing w:line="276" w:lineRule="auto"/>
        <w:ind w:right="51"/>
        <w:jc w:val="both"/>
        <w:textAlignment w:val="baseline"/>
        <w:rPr>
          <w:rFonts w:ascii="Arial" w:hAnsi="Arial" w:cs="Arial"/>
        </w:rPr>
      </w:pPr>
    </w:p>
    <w:p w:rsidR="001C1F15" w:rsidRPr="00580AA6" w:rsidRDefault="001C1F15" w:rsidP="00B64273">
      <w:pPr>
        <w:tabs>
          <w:tab w:val="left" w:pos="8789"/>
        </w:tabs>
        <w:overflowPunct w:val="0"/>
        <w:autoSpaceDE w:val="0"/>
        <w:autoSpaceDN w:val="0"/>
        <w:adjustRightInd w:val="0"/>
        <w:spacing w:line="276" w:lineRule="auto"/>
        <w:ind w:right="51"/>
        <w:jc w:val="both"/>
        <w:textAlignment w:val="baseline"/>
        <w:rPr>
          <w:rFonts w:ascii="Arial" w:hAnsi="Arial" w:cs="Arial"/>
          <w:shd w:val="clear" w:color="auto" w:fill="FFFFFF"/>
        </w:rPr>
      </w:pPr>
      <w:r w:rsidRPr="00580AA6">
        <w:rPr>
          <w:rFonts w:ascii="Arial" w:hAnsi="Arial" w:cs="Arial"/>
        </w:rPr>
        <w:lastRenderedPageBreak/>
        <w:t xml:space="preserve">Para el pago, establece la misma norma en su artículo 2.12.3.8.1.2. </w:t>
      </w:r>
      <w:r w:rsidR="00580AA6" w:rsidRPr="00580AA6">
        <w:rPr>
          <w:rFonts w:ascii="Arial" w:hAnsi="Arial" w:cs="Arial"/>
        </w:rPr>
        <w:t>que “</w:t>
      </w:r>
      <w:r w:rsidRPr="00580AA6">
        <w:rPr>
          <w:rFonts w:ascii="Arial" w:hAnsi="Arial" w:cs="Arial"/>
          <w:sz w:val="22"/>
          <w:shd w:val="clear" w:color="auto" w:fill="FFFFFF"/>
        </w:rPr>
        <w:t>A partir de la fecha de autorización de la entrega de recursos, las administradoras tendrán un plazo de diez (10) días hábiles para efectuar los desembolsos. Para la asignación de nuevos recursos recaudados entre las administradoras se utilizarán los mecanismos de asignación de recursos previstos en los contratos respectivos</w:t>
      </w:r>
      <w:r w:rsidR="00580AA6">
        <w:rPr>
          <w:rFonts w:ascii="Arial" w:hAnsi="Arial" w:cs="Arial"/>
          <w:shd w:val="clear" w:color="auto" w:fill="FFFFFF"/>
        </w:rPr>
        <w:t>”.</w:t>
      </w:r>
    </w:p>
    <w:p w:rsidR="00522210" w:rsidRPr="00580AA6" w:rsidRDefault="00522210" w:rsidP="00B64273">
      <w:pPr>
        <w:overflowPunct w:val="0"/>
        <w:autoSpaceDE w:val="0"/>
        <w:autoSpaceDN w:val="0"/>
        <w:adjustRightInd w:val="0"/>
        <w:spacing w:line="276" w:lineRule="auto"/>
        <w:ind w:right="618"/>
        <w:jc w:val="both"/>
        <w:textAlignment w:val="baseline"/>
        <w:rPr>
          <w:rFonts w:ascii="Arial" w:hAnsi="Arial" w:cs="Arial"/>
        </w:rPr>
      </w:pPr>
    </w:p>
    <w:p w:rsidR="00EE3086" w:rsidRPr="00B64273" w:rsidRDefault="00EE3086" w:rsidP="00B64273">
      <w:pPr>
        <w:numPr>
          <w:ilvl w:val="0"/>
          <w:numId w:val="22"/>
        </w:numPr>
        <w:overflowPunct w:val="0"/>
        <w:autoSpaceDE w:val="0"/>
        <w:autoSpaceDN w:val="0"/>
        <w:adjustRightInd w:val="0"/>
        <w:spacing w:line="276" w:lineRule="auto"/>
        <w:ind w:left="426" w:right="618" w:hanging="426"/>
        <w:jc w:val="both"/>
        <w:textAlignment w:val="baseline"/>
        <w:rPr>
          <w:rFonts w:ascii="Arial" w:hAnsi="Arial" w:cs="Arial"/>
          <w:b/>
          <w:lang w:val="es-ES_tradnl"/>
        </w:rPr>
      </w:pPr>
      <w:r w:rsidRPr="00B64273">
        <w:rPr>
          <w:rFonts w:ascii="Arial" w:hAnsi="Arial" w:cs="Arial"/>
          <w:b/>
        </w:rPr>
        <w:t>CASO CONCRETO</w:t>
      </w:r>
    </w:p>
    <w:p w:rsidR="00EE3086" w:rsidRPr="00B64273" w:rsidRDefault="00EE3086" w:rsidP="00B64273">
      <w:pPr>
        <w:overflowPunct w:val="0"/>
        <w:autoSpaceDE w:val="0"/>
        <w:autoSpaceDN w:val="0"/>
        <w:adjustRightInd w:val="0"/>
        <w:spacing w:line="276" w:lineRule="auto"/>
        <w:ind w:right="618"/>
        <w:jc w:val="both"/>
        <w:textAlignment w:val="baseline"/>
        <w:rPr>
          <w:rFonts w:ascii="Arial" w:hAnsi="Arial" w:cs="Arial"/>
          <w:b/>
        </w:rPr>
      </w:pPr>
    </w:p>
    <w:p w:rsidR="00D66EC2" w:rsidRPr="00B64273" w:rsidRDefault="00522210" w:rsidP="00B64273">
      <w:pPr>
        <w:overflowPunct w:val="0"/>
        <w:autoSpaceDE w:val="0"/>
        <w:autoSpaceDN w:val="0"/>
        <w:adjustRightInd w:val="0"/>
        <w:spacing w:line="276" w:lineRule="auto"/>
        <w:ind w:right="51"/>
        <w:jc w:val="both"/>
        <w:textAlignment w:val="baseline"/>
        <w:rPr>
          <w:rFonts w:ascii="Arial" w:hAnsi="Arial" w:cs="Arial"/>
        </w:rPr>
      </w:pPr>
      <w:r w:rsidRPr="00B64273">
        <w:rPr>
          <w:rFonts w:ascii="Arial" w:hAnsi="Arial" w:cs="Arial"/>
        </w:rPr>
        <w:t xml:space="preserve">De acuerdo con el relato fáctico, el actor reprocha de las entidades accionadas la tardanza y trabas administrativas que se han presentado en el trámite de </w:t>
      </w:r>
      <w:r w:rsidR="00D66EC2" w:rsidRPr="00B64273">
        <w:rPr>
          <w:rFonts w:ascii="Arial" w:hAnsi="Arial" w:cs="Arial"/>
        </w:rPr>
        <w:t>la emisión del bono pensional a que</w:t>
      </w:r>
      <w:r w:rsidR="002E2CB0" w:rsidRPr="00B64273">
        <w:rPr>
          <w:rFonts w:ascii="Arial" w:hAnsi="Arial" w:cs="Arial"/>
        </w:rPr>
        <w:t xml:space="preserve"> afirma</w:t>
      </w:r>
      <w:r w:rsidR="00D66EC2" w:rsidRPr="00B64273">
        <w:rPr>
          <w:rFonts w:ascii="Arial" w:hAnsi="Arial" w:cs="Arial"/>
        </w:rPr>
        <w:t xml:space="preserve"> tiene derecho.</w:t>
      </w:r>
    </w:p>
    <w:p w:rsidR="00D66EC2" w:rsidRPr="00B64273" w:rsidRDefault="00D66EC2" w:rsidP="00B64273">
      <w:pPr>
        <w:overflowPunct w:val="0"/>
        <w:autoSpaceDE w:val="0"/>
        <w:autoSpaceDN w:val="0"/>
        <w:adjustRightInd w:val="0"/>
        <w:spacing w:line="276" w:lineRule="auto"/>
        <w:ind w:right="51"/>
        <w:jc w:val="both"/>
        <w:textAlignment w:val="baseline"/>
        <w:rPr>
          <w:rFonts w:ascii="Arial" w:hAnsi="Arial" w:cs="Arial"/>
        </w:rPr>
      </w:pPr>
    </w:p>
    <w:p w:rsidR="00B87944" w:rsidRPr="00B64273" w:rsidRDefault="00D66EC2" w:rsidP="00B64273">
      <w:pPr>
        <w:overflowPunct w:val="0"/>
        <w:autoSpaceDE w:val="0"/>
        <w:autoSpaceDN w:val="0"/>
        <w:adjustRightInd w:val="0"/>
        <w:spacing w:line="276" w:lineRule="auto"/>
        <w:ind w:right="51"/>
        <w:jc w:val="both"/>
        <w:textAlignment w:val="baseline"/>
        <w:rPr>
          <w:rFonts w:ascii="Arial" w:hAnsi="Arial" w:cs="Arial"/>
        </w:rPr>
      </w:pPr>
      <w:r w:rsidRPr="00B64273">
        <w:rPr>
          <w:rFonts w:ascii="Arial" w:hAnsi="Arial" w:cs="Arial"/>
        </w:rPr>
        <w:t xml:space="preserve">En efecto, </w:t>
      </w:r>
      <w:r w:rsidR="0A54877F" w:rsidRPr="00B64273">
        <w:rPr>
          <w:rFonts w:ascii="Arial" w:hAnsi="Arial" w:cs="Arial"/>
        </w:rPr>
        <w:t>revisados los</w:t>
      </w:r>
      <w:r w:rsidRPr="00B64273">
        <w:rPr>
          <w:rFonts w:ascii="Arial" w:hAnsi="Arial" w:cs="Arial"/>
        </w:rPr>
        <w:t xml:space="preserve"> anexos que acompañan la acción de </w:t>
      </w:r>
      <w:r w:rsidR="07ED5D71" w:rsidRPr="00B64273">
        <w:rPr>
          <w:rFonts w:ascii="Arial" w:hAnsi="Arial" w:cs="Arial"/>
        </w:rPr>
        <w:t>tutela, se</w:t>
      </w:r>
      <w:r w:rsidR="4132CABC" w:rsidRPr="00B64273">
        <w:rPr>
          <w:rFonts w:ascii="Arial" w:hAnsi="Arial" w:cs="Arial"/>
        </w:rPr>
        <w:t xml:space="preserve"> </w:t>
      </w:r>
      <w:r w:rsidRPr="00B64273">
        <w:rPr>
          <w:rFonts w:ascii="Arial" w:hAnsi="Arial" w:cs="Arial"/>
        </w:rPr>
        <w:t>observa que el día 7 de octubre del año 2020 el señor Oscar de Jesús Castaño Rendón, solicitó al Ministerio de Hacienda solucionar el error “traslapo” arrojado en el trámite de su bono pensional, lo cual indica que desde tiempo atr</w:t>
      </w:r>
      <w:r w:rsidR="00B87944" w:rsidRPr="00B64273">
        <w:rPr>
          <w:rFonts w:ascii="Arial" w:hAnsi="Arial" w:cs="Arial"/>
        </w:rPr>
        <w:t xml:space="preserve">ás Porvenir S.A. realizó la solicitud para la emisión de dicho título, por lo que se puede </w:t>
      </w:r>
      <w:r w:rsidR="4C4CF299" w:rsidRPr="00B64273">
        <w:rPr>
          <w:rFonts w:ascii="Arial" w:hAnsi="Arial" w:cs="Arial"/>
        </w:rPr>
        <w:t>asegurar</w:t>
      </w:r>
      <w:r w:rsidR="00B87944" w:rsidRPr="00B64273">
        <w:rPr>
          <w:rFonts w:ascii="Arial" w:hAnsi="Arial" w:cs="Arial"/>
        </w:rPr>
        <w:t xml:space="preserve"> que hace más de un año </w:t>
      </w:r>
      <w:r w:rsidR="1D67A404" w:rsidRPr="00B64273">
        <w:rPr>
          <w:rFonts w:ascii="Arial" w:hAnsi="Arial" w:cs="Arial"/>
        </w:rPr>
        <w:t xml:space="preserve">ya </w:t>
      </w:r>
      <w:r w:rsidR="00B87944" w:rsidRPr="00B64273">
        <w:rPr>
          <w:rFonts w:ascii="Arial" w:hAnsi="Arial" w:cs="Arial"/>
        </w:rPr>
        <w:t>que se encuentra pendiente la definición del asunto.</w:t>
      </w:r>
    </w:p>
    <w:p w:rsidR="00B87944" w:rsidRPr="00B64273" w:rsidRDefault="00B87944" w:rsidP="00B64273">
      <w:pPr>
        <w:overflowPunct w:val="0"/>
        <w:autoSpaceDE w:val="0"/>
        <w:autoSpaceDN w:val="0"/>
        <w:adjustRightInd w:val="0"/>
        <w:spacing w:line="276" w:lineRule="auto"/>
        <w:ind w:right="51"/>
        <w:jc w:val="both"/>
        <w:textAlignment w:val="baseline"/>
        <w:rPr>
          <w:rFonts w:ascii="Arial" w:hAnsi="Arial" w:cs="Arial"/>
        </w:rPr>
      </w:pPr>
    </w:p>
    <w:p w:rsidR="00B87944" w:rsidRPr="00B64273" w:rsidRDefault="0781CDE6" w:rsidP="00B64273">
      <w:pPr>
        <w:overflowPunct w:val="0"/>
        <w:autoSpaceDE w:val="0"/>
        <w:autoSpaceDN w:val="0"/>
        <w:adjustRightInd w:val="0"/>
        <w:spacing w:line="276" w:lineRule="auto"/>
        <w:ind w:right="51"/>
        <w:jc w:val="both"/>
        <w:textAlignment w:val="baseline"/>
        <w:rPr>
          <w:rFonts w:ascii="Arial" w:hAnsi="Arial" w:cs="Arial"/>
        </w:rPr>
      </w:pPr>
      <w:r w:rsidRPr="00B64273">
        <w:rPr>
          <w:rFonts w:ascii="Arial" w:hAnsi="Arial" w:cs="Arial"/>
        </w:rPr>
        <w:t>Pero,</w:t>
      </w:r>
      <w:r w:rsidR="00B87944" w:rsidRPr="00B64273">
        <w:rPr>
          <w:rFonts w:ascii="Arial" w:hAnsi="Arial" w:cs="Arial"/>
        </w:rPr>
        <w:t xml:space="preserve"> </w:t>
      </w:r>
      <w:r w:rsidR="166D25E2" w:rsidRPr="00B64273">
        <w:rPr>
          <w:rFonts w:ascii="Arial" w:hAnsi="Arial" w:cs="Arial"/>
        </w:rPr>
        <w:t>aun</w:t>
      </w:r>
      <w:r w:rsidR="00B87944" w:rsidRPr="00B64273">
        <w:rPr>
          <w:rFonts w:ascii="Arial" w:hAnsi="Arial" w:cs="Arial"/>
        </w:rPr>
        <w:t xml:space="preserve"> así, sin ser necesarias mayores elucubraciones, e</w:t>
      </w:r>
      <w:r w:rsidR="7DE58831" w:rsidRPr="00B64273">
        <w:rPr>
          <w:rFonts w:ascii="Arial" w:hAnsi="Arial" w:cs="Arial"/>
        </w:rPr>
        <w:t>s posible</w:t>
      </w:r>
      <w:r w:rsidR="00B87944" w:rsidRPr="00B64273">
        <w:rPr>
          <w:rFonts w:ascii="Arial" w:hAnsi="Arial" w:cs="Arial"/>
        </w:rPr>
        <w:t xml:space="preserve"> advertir, conforme da cuenta la respuesta de la Dirección General de Regulación Económica de la Seguridad Social del Ministerio de Hacienda y Crédito Público DGRESS, que los inconvenientes presentados con la emisión del Bono Tipo A</w:t>
      </w:r>
      <w:r w:rsidR="002E2CB0" w:rsidRPr="00B64273">
        <w:rPr>
          <w:rFonts w:ascii="Arial" w:hAnsi="Arial" w:cs="Arial"/>
        </w:rPr>
        <w:t xml:space="preserve"> modalidad 2</w:t>
      </w:r>
      <w:r w:rsidR="00B87944" w:rsidRPr="00B64273">
        <w:rPr>
          <w:rFonts w:ascii="Arial" w:hAnsi="Arial" w:cs="Arial"/>
        </w:rPr>
        <w:t xml:space="preserve"> </w:t>
      </w:r>
      <w:r w:rsidR="6A468A0C" w:rsidRPr="00B64273">
        <w:rPr>
          <w:rFonts w:ascii="Arial" w:hAnsi="Arial" w:cs="Arial"/>
        </w:rPr>
        <w:t>están</w:t>
      </w:r>
      <w:r w:rsidR="00B87944" w:rsidRPr="00B64273">
        <w:rPr>
          <w:rFonts w:ascii="Arial" w:hAnsi="Arial" w:cs="Arial"/>
        </w:rPr>
        <w:t xml:space="preserve"> superados, al punto que el trámite se encuentra en esa dependencia para la autorización del pago de la cuota parte de bono pensional que le corresponde asumir al Departamento del Valle y que serán cubiertos con los recursos del FONPET.</w:t>
      </w:r>
    </w:p>
    <w:p w:rsidR="00B87944" w:rsidRPr="00B64273" w:rsidRDefault="00B87944" w:rsidP="00B64273">
      <w:pPr>
        <w:overflowPunct w:val="0"/>
        <w:autoSpaceDE w:val="0"/>
        <w:autoSpaceDN w:val="0"/>
        <w:adjustRightInd w:val="0"/>
        <w:spacing w:line="276" w:lineRule="auto"/>
        <w:ind w:right="51"/>
        <w:jc w:val="both"/>
        <w:textAlignment w:val="baseline"/>
        <w:rPr>
          <w:rFonts w:ascii="Arial" w:hAnsi="Arial" w:cs="Arial"/>
          <w:lang w:val="es-ES_tradnl"/>
        </w:rPr>
      </w:pPr>
    </w:p>
    <w:p w:rsidR="00B87944" w:rsidRPr="00B64273" w:rsidRDefault="6D5EF0B9" w:rsidP="00B64273">
      <w:pPr>
        <w:overflowPunct w:val="0"/>
        <w:autoSpaceDE w:val="0"/>
        <w:autoSpaceDN w:val="0"/>
        <w:adjustRightInd w:val="0"/>
        <w:spacing w:line="276" w:lineRule="auto"/>
        <w:ind w:right="51"/>
        <w:jc w:val="both"/>
        <w:textAlignment w:val="baseline"/>
        <w:rPr>
          <w:rFonts w:ascii="Arial" w:hAnsi="Arial" w:cs="Arial"/>
        </w:rPr>
      </w:pPr>
      <w:r w:rsidRPr="00B64273">
        <w:rPr>
          <w:rFonts w:ascii="Arial" w:hAnsi="Arial" w:cs="Arial"/>
        </w:rPr>
        <w:t>R</w:t>
      </w:r>
      <w:r w:rsidR="00B87944" w:rsidRPr="00B64273">
        <w:rPr>
          <w:rFonts w:ascii="Arial" w:hAnsi="Arial" w:cs="Arial"/>
        </w:rPr>
        <w:t>especto a los motivos de disenso de esta última entidad, cabe decir, primero que</w:t>
      </w:r>
      <w:r w:rsidR="664406F1" w:rsidRPr="00B64273">
        <w:rPr>
          <w:rFonts w:ascii="Arial" w:hAnsi="Arial" w:cs="Arial"/>
        </w:rPr>
        <w:t>,</w:t>
      </w:r>
      <w:r w:rsidR="00B87944" w:rsidRPr="00B64273">
        <w:rPr>
          <w:rFonts w:ascii="Arial" w:hAnsi="Arial" w:cs="Arial"/>
        </w:rPr>
        <w:t xml:space="preserve"> de acuerdo con la constancia de recibido que obra </w:t>
      </w:r>
      <w:r w:rsidR="00D7668A" w:rsidRPr="00B64273">
        <w:rPr>
          <w:rFonts w:ascii="Arial" w:hAnsi="Arial" w:cs="Arial"/>
        </w:rPr>
        <w:t>en el numeral 15 del cuaderno de primera instancia, la respuesta al requerimiento hecho por el juzgado fue aportada a las 3:15 de la tarde del día 9 de septiembre de 2021, habiendo sido concedido término para pronunciarse hasta el medio día de esa misma data</w:t>
      </w:r>
      <w:r w:rsidR="002E2CB0" w:rsidRPr="00B64273">
        <w:rPr>
          <w:rFonts w:ascii="Arial" w:hAnsi="Arial" w:cs="Arial"/>
        </w:rPr>
        <w:t xml:space="preserve">; ello en atención a que en </w:t>
      </w:r>
      <w:r w:rsidR="45EFCC3C" w:rsidRPr="00B64273">
        <w:rPr>
          <w:rFonts w:ascii="Arial" w:hAnsi="Arial" w:cs="Arial"/>
        </w:rPr>
        <w:t>igual</w:t>
      </w:r>
      <w:r w:rsidR="00D7668A" w:rsidRPr="00B64273">
        <w:rPr>
          <w:rFonts w:ascii="Arial" w:hAnsi="Arial" w:cs="Arial"/>
        </w:rPr>
        <w:t xml:space="preserve"> fecha </w:t>
      </w:r>
      <w:r w:rsidR="002E2CB0" w:rsidRPr="00B64273">
        <w:rPr>
          <w:rFonts w:ascii="Arial" w:hAnsi="Arial" w:cs="Arial"/>
        </w:rPr>
        <w:t xml:space="preserve">el Juzgado </w:t>
      </w:r>
      <w:r w:rsidR="00D7668A" w:rsidRPr="00B64273">
        <w:rPr>
          <w:rFonts w:ascii="Arial" w:hAnsi="Arial" w:cs="Arial"/>
        </w:rPr>
        <w:t>deb</w:t>
      </w:r>
      <w:r w:rsidR="002E2CB0" w:rsidRPr="00B64273">
        <w:rPr>
          <w:rFonts w:ascii="Arial" w:hAnsi="Arial" w:cs="Arial"/>
        </w:rPr>
        <w:t>ía pronunciarse sobre el asunto, lo cual efectivamente hizo en las horas de la tarde.</w:t>
      </w:r>
      <w:r w:rsidR="00D7668A" w:rsidRPr="00B64273">
        <w:rPr>
          <w:rFonts w:ascii="Arial" w:hAnsi="Arial" w:cs="Arial"/>
        </w:rPr>
        <w:t xml:space="preserve">  </w:t>
      </w:r>
    </w:p>
    <w:p w:rsidR="00B87944" w:rsidRPr="00B64273" w:rsidRDefault="00B87944" w:rsidP="00B64273">
      <w:pPr>
        <w:overflowPunct w:val="0"/>
        <w:autoSpaceDE w:val="0"/>
        <w:autoSpaceDN w:val="0"/>
        <w:adjustRightInd w:val="0"/>
        <w:spacing w:line="276" w:lineRule="auto"/>
        <w:ind w:right="51"/>
        <w:jc w:val="both"/>
        <w:textAlignment w:val="baseline"/>
        <w:rPr>
          <w:rFonts w:ascii="Arial" w:hAnsi="Arial" w:cs="Arial"/>
        </w:rPr>
      </w:pPr>
    </w:p>
    <w:p w:rsidR="003410FE" w:rsidRPr="00B64273" w:rsidRDefault="00D7668A" w:rsidP="00B64273">
      <w:pPr>
        <w:overflowPunct w:val="0"/>
        <w:autoSpaceDE w:val="0"/>
        <w:autoSpaceDN w:val="0"/>
        <w:adjustRightInd w:val="0"/>
        <w:spacing w:line="276" w:lineRule="auto"/>
        <w:ind w:right="51"/>
        <w:jc w:val="both"/>
        <w:textAlignment w:val="baseline"/>
        <w:rPr>
          <w:rFonts w:ascii="Arial" w:hAnsi="Arial" w:cs="Arial"/>
        </w:rPr>
      </w:pPr>
      <w:r w:rsidRPr="00B64273">
        <w:rPr>
          <w:rFonts w:ascii="Arial" w:hAnsi="Arial" w:cs="Arial"/>
        </w:rPr>
        <w:t xml:space="preserve">Ahora bien, ello no es óbice para que la Sala considere lo manifestado por la entidad, respecto al estado del trámite </w:t>
      </w:r>
      <w:r w:rsidRPr="00B64273">
        <w:rPr>
          <w:rFonts w:ascii="Arial" w:hAnsi="Arial" w:cs="Arial"/>
          <w:lang w:val="es-ES_tradnl"/>
        </w:rPr>
        <w:t>de emisión y/o pago del bono pensional Tipo A, reconocido al actor, pues</w:t>
      </w:r>
      <w:r w:rsidR="001B228C" w:rsidRPr="00B64273">
        <w:rPr>
          <w:rFonts w:ascii="Arial" w:hAnsi="Arial" w:cs="Arial"/>
          <w:lang w:val="es-ES_tradnl"/>
        </w:rPr>
        <w:t xml:space="preserve"> de allí se extrae que, si bien en principio podía señalarse que venía siendo afectada la garantía fundamental a la </w:t>
      </w:r>
      <w:r w:rsidR="006E1233" w:rsidRPr="00B64273">
        <w:rPr>
          <w:rFonts w:ascii="Arial" w:hAnsi="Arial" w:cs="Arial"/>
        </w:rPr>
        <w:t>seguridad social del demand</w:t>
      </w:r>
      <w:r w:rsidR="00CF558F" w:rsidRPr="00B64273">
        <w:rPr>
          <w:rFonts w:ascii="Arial" w:hAnsi="Arial" w:cs="Arial"/>
        </w:rPr>
        <w:t xml:space="preserve">ante, </w:t>
      </w:r>
      <w:r w:rsidR="002E2CB0" w:rsidRPr="00B64273">
        <w:rPr>
          <w:rFonts w:ascii="Arial" w:hAnsi="Arial" w:cs="Arial"/>
        </w:rPr>
        <w:t>debido</w:t>
      </w:r>
      <w:r w:rsidR="001B228C" w:rsidRPr="00B64273">
        <w:rPr>
          <w:rFonts w:ascii="Arial" w:hAnsi="Arial" w:cs="Arial"/>
        </w:rPr>
        <w:t xml:space="preserve"> a la demora e inconvenientes presentados en el trámite, para la fecha de presentación de la acción de tutela, que lo fue el 23 de agosto de 2021, a la </w:t>
      </w:r>
      <w:r w:rsidR="001B228C" w:rsidRPr="00B64273">
        <w:rPr>
          <w:rFonts w:ascii="Arial" w:hAnsi="Arial" w:cs="Arial"/>
          <w:lang w:val="es-ES_tradnl"/>
        </w:rPr>
        <w:t>Dirección General de Regulación Económica de la Seguridad Social del Ministerio de Hacienda y Crédito Público DGRESS</w:t>
      </w:r>
      <w:r w:rsidR="00457127" w:rsidRPr="00B64273">
        <w:rPr>
          <w:rFonts w:ascii="Arial" w:hAnsi="Arial" w:cs="Arial"/>
          <w:lang w:val="es-ES_tradnl"/>
        </w:rPr>
        <w:t xml:space="preserve"> no le había</w:t>
      </w:r>
      <w:r w:rsidR="001B228C" w:rsidRPr="00B64273">
        <w:rPr>
          <w:rFonts w:ascii="Arial" w:hAnsi="Arial" w:cs="Arial"/>
          <w:lang w:val="es-ES_tradnl"/>
        </w:rPr>
        <w:t xml:space="preserve"> </w:t>
      </w:r>
      <w:r w:rsidR="00457127" w:rsidRPr="00B64273">
        <w:rPr>
          <w:rFonts w:ascii="Arial" w:hAnsi="Arial" w:cs="Arial"/>
          <w:lang w:val="es-ES_tradnl"/>
        </w:rPr>
        <w:t xml:space="preserve">sido </w:t>
      </w:r>
      <w:r w:rsidR="001B228C" w:rsidRPr="00B64273">
        <w:rPr>
          <w:rFonts w:ascii="Arial" w:hAnsi="Arial" w:cs="Arial"/>
          <w:lang w:val="es-ES_tradnl"/>
        </w:rPr>
        <w:t>remitido el asunto</w:t>
      </w:r>
      <w:r w:rsidR="00457127" w:rsidRPr="00B64273">
        <w:rPr>
          <w:rFonts w:ascii="Arial" w:hAnsi="Arial" w:cs="Arial"/>
          <w:lang w:val="es-ES_tradnl"/>
        </w:rPr>
        <w:t xml:space="preserve">, pues ello ocurrió solo dos días después, cuando la Cartera envió a esa dependencia el caso, con el fin de que  </w:t>
      </w:r>
      <w:r w:rsidR="001B228C" w:rsidRPr="00B64273">
        <w:rPr>
          <w:rFonts w:ascii="Arial" w:hAnsi="Arial" w:cs="Arial"/>
          <w:lang w:val="es-ES_tradnl"/>
        </w:rPr>
        <w:t xml:space="preserve">valide si el saldo en cuenta disponible en el FONPET es suficiente para el pago de la cuota parte del bono pensional solicitado por el contribuyente departamento del Valle del </w:t>
      </w:r>
      <w:r w:rsidR="00F95D4C" w:rsidRPr="00B64273">
        <w:rPr>
          <w:rFonts w:ascii="Arial" w:hAnsi="Arial" w:cs="Arial"/>
          <w:lang w:val="es-ES_tradnl"/>
        </w:rPr>
        <w:t>Cauca y, para verificar que éste</w:t>
      </w:r>
      <w:r w:rsidR="001B228C" w:rsidRPr="00B64273">
        <w:rPr>
          <w:rFonts w:ascii="Arial" w:hAnsi="Arial" w:cs="Arial"/>
          <w:lang w:val="es-ES_tradnl"/>
        </w:rPr>
        <w:t xml:space="preserve"> cumple con lo establecido en el Decreto 1308 de 2003, modificado por el Decreto 032 de 2005, </w:t>
      </w:r>
      <w:r w:rsidR="00FF276C" w:rsidRPr="00B64273">
        <w:rPr>
          <w:rFonts w:ascii="Arial" w:hAnsi="Arial" w:cs="Arial"/>
          <w:lang w:val="es-ES_tradnl"/>
        </w:rPr>
        <w:t xml:space="preserve">etapa que ya fue surtida de manera satisfactoria quedando pendiente la autorización </w:t>
      </w:r>
      <w:r w:rsidR="00FF276C" w:rsidRPr="00B64273">
        <w:rPr>
          <w:rFonts w:ascii="Arial" w:hAnsi="Arial" w:cs="Arial"/>
          <w:lang w:val="es-ES_tradnl"/>
        </w:rPr>
        <w:lastRenderedPageBreak/>
        <w:t>del pago, con lo cual se procederá dentro los 30 días hábiles siguientes</w:t>
      </w:r>
      <w:r w:rsidR="003410FE" w:rsidRPr="00B64273">
        <w:rPr>
          <w:rFonts w:ascii="Arial" w:hAnsi="Arial" w:cs="Arial"/>
          <w:lang w:val="es-ES_tradnl"/>
        </w:rPr>
        <w:t xml:space="preserve"> y con el pago, dentro  del término establecido en el artículo </w:t>
      </w:r>
      <w:r w:rsidR="003410FE" w:rsidRPr="00B64273">
        <w:rPr>
          <w:rFonts w:ascii="Arial" w:hAnsi="Arial" w:cs="Arial"/>
        </w:rPr>
        <w:t>2.12.3.8.1.2 del Decreto 117 de 2017</w:t>
      </w:r>
      <w:r w:rsidR="00F95D4C" w:rsidRPr="00B64273">
        <w:rPr>
          <w:rFonts w:ascii="Arial" w:hAnsi="Arial" w:cs="Arial"/>
        </w:rPr>
        <w:t>.</w:t>
      </w:r>
    </w:p>
    <w:p w:rsidR="003410FE" w:rsidRPr="00B64273" w:rsidRDefault="003410FE" w:rsidP="00B64273">
      <w:pPr>
        <w:overflowPunct w:val="0"/>
        <w:autoSpaceDE w:val="0"/>
        <w:autoSpaceDN w:val="0"/>
        <w:adjustRightInd w:val="0"/>
        <w:spacing w:line="276" w:lineRule="auto"/>
        <w:ind w:right="51"/>
        <w:jc w:val="both"/>
        <w:textAlignment w:val="baseline"/>
        <w:rPr>
          <w:rFonts w:ascii="Arial" w:hAnsi="Arial" w:cs="Arial"/>
        </w:rPr>
      </w:pPr>
    </w:p>
    <w:p w:rsidR="00C009DD" w:rsidRPr="00B64273" w:rsidRDefault="00FF276C" w:rsidP="00B64273">
      <w:pPr>
        <w:overflowPunct w:val="0"/>
        <w:autoSpaceDE w:val="0"/>
        <w:autoSpaceDN w:val="0"/>
        <w:adjustRightInd w:val="0"/>
        <w:spacing w:line="276" w:lineRule="auto"/>
        <w:ind w:right="51"/>
        <w:jc w:val="both"/>
        <w:textAlignment w:val="baseline"/>
        <w:rPr>
          <w:rFonts w:ascii="Arial" w:hAnsi="Arial" w:cs="Arial"/>
          <w:lang w:val="es-ES_tradnl"/>
        </w:rPr>
      </w:pPr>
      <w:r w:rsidRPr="00B64273">
        <w:rPr>
          <w:rFonts w:ascii="Arial" w:hAnsi="Arial" w:cs="Arial"/>
          <w:lang w:val="es-ES_tradnl"/>
        </w:rPr>
        <w:t xml:space="preserve">Conforme lo expuesto, observa la Sala que con </w:t>
      </w:r>
      <w:r w:rsidR="00D061F6" w:rsidRPr="00B64273">
        <w:rPr>
          <w:rFonts w:ascii="Arial" w:hAnsi="Arial" w:cs="Arial"/>
          <w:lang w:val="es-ES_tradnl"/>
        </w:rPr>
        <w:t>la activación del trámite que le corresponde al Ministerio de Hacienda y Crédito Público y sus dependencias se restableció la garantía fundamental a la seguridad social del actor que venía siendo afectada con la tardanza en la definición del asunto, de allí que ninguna protección haya ordenado la juez de primer grado</w:t>
      </w:r>
      <w:r w:rsidR="00D3357F" w:rsidRPr="00B64273">
        <w:rPr>
          <w:rFonts w:ascii="Arial" w:hAnsi="Arial" w:cs="Arial"/>
          <w:lang w:val="es-ES_tradnl"/>
        </w:rPr>
        <w:t xml:space="preserve"> y </w:t>
      </w:r>
      <w:r w:rsidR="003410FE" w:rsidRPr="00B64273">
        <w:rPr>
          <w:rFonts w:ascii="Arial" w:hAnsi="Arial" w:cs="Arial"/>
          <w:lang w:val="es-ES_tradnl"/>
        </w:rPr>
        <w:t>la mera conminación que le hizo a la Dirección General de Regulación Económica de la Seguridad Social del Ministerio de Hacienda y Crédito Público DGRESS, aunque no l</w:t>
      </w:r>
      <w:r w:rsidR="00C009DD" w:rsidRPr="00B64273">
        <w:rPr>
          <w:rFonts w:ascii="Arial" w:hAnsi="Arial" w:cs="Arial"/>
          <w:lang w:val="es-ES_tradnl"/>
        </w:rPr>
        <w:t>a</w:t>
      </w:r>
      <w:r w:rsidR="003410FE" w:rsidRPr="00B64273">
        <w:rPr>
          <w:rFonts w:ascii="Arial" w:hAnsi="Arial" w:cs="Arial"/>
          <w:lang w:val="es-ES_tradnl"/>
        </w:rPr>
        <w:t xml:space="preserve"> justificó, debi</w:t>
      </w:r>
      <w:r w:rsidR="00C009DD" w:rsidRPr="00B64273">
        <w:rPr>
          <w:rFonts w:ascii="Arial" w:hAnsi="Arial" w:cs="Arial"/>
          <w:lang w:val="es-ES_tradnl"/>
        </w:rPr>
        <w:t>ó</w:t>
      </w:r>
      <w:r w:rsidR="003410FE" w:rsidRPr="00B64273">
        <w:rPr>
          <w:rFonts w:ascii="Arial" w:hAnsi="Arial" w:cs="Arial"/>
          <w:lang w:val="es-ES_tradnl"/>
        </w:rPr>
        <w:t xml:space="preserve"> obedecer a</w:t>
      </w:r>
      <w:r w:rsidR="009B685F" w:rsidRPr="00B64273">
        <w:rPr>
          <w:rFonts w:ascii="Arial" w:hAnsi="Arial" w:cs="Arial"/>
          <w:lang w:val="es-ES_tradnl"/>
        </w:rPr>
        <w:t xml:space="preserve"> </w:t>
      </w:r>
      <w:r w:rsidR="00C009DD" w:rsidRPr="00B64273">
        <w:rPr>
          <w:rFonts w:ascii="Arial" w:hAnsi="Arial" w:cs="Arial"/>
          <w:lang w:val="es-ES_tradnl"/>
        </w:rPr>
        <w:t xml:space="preserve">la </w:t>
      </w:r>
      <w:r w:rsidR="009B685F" w:rsidRPr="00B64273">
        <w:rPr>
          <w:rFonts w:ascii="Arial" w:hAnsi="Arial" w:cs="Arial"/>
          <w:lang w:val="es-ES_tradnl"/>
        </w:rPr>
        <w:t>calificaci</w:t>
      </w:r>
      <w:r w:rsidR="00C009DD" w:rsidRPr="00B64273">
        <w:rPr>
          <w:rFonts w:ascii="Arial" w:hAnsi="Arial" w:cs="Arial"/>
          <w:lang w:val="es-ES_tradnl"/>
        </w:rPr>
        <w:t xml:space="preserve">ón del grado de vulnerabilidad alto que confirió a las </w:t>
      </w:r>
      <w:r w:rsidR="003410FE" w:rsidRPr="00B64273">
        <w:rPr>
          <w:rFonts w:ascii="Arial" w:hAnsi="Arial" w:cs="Arial"/>
          <w:lang w:val="es-ES_tradnl"/>
        </w:rPr>
        <w:t>especiales</w:t>
      </w:r>
      <w:r w:rsidR="00C009DD" w:rsidRPr="00B64273">
        <w:rPr>
          <w:rFonts w:ascii="Arial" w:hAnsi="Arial" w:cs="Arial"/>
          <w:lang w:val="es-ES_tradnl"/>
        </w:rPr>
        <w:t xml:space="preserve"> condiciones </w:t>
      </w:r>
      <w:r w:rsidR="003410FE" w:rsidRPr="00B64273">
        <w:rPr>
          <w:rFonts w:ascii="Arial" w:hAnsi="Arial" w:cs="Arial"/>
          <w:lang w:val="es-ES_tradnl"/>
        </w:rPr>
        <w:t>del actor, esto es una persona de 64 años de edad, sin bienes, recursos o ayuda de económica del Estado, que se encuentra afiliado al régimen subsidiado en sal</w:t>
      </w:r>
      <w:r w:rsidR="009B685F" w:rsidRPr="00B64273">
        <w:rPr>
          <w:rFonts w:ascii="Arial" w:hAnsi="Arial" w:cs="Arial"/>
          <w:lang w:val="es-ES_tradnl"/>
        </w:rPr>
        <w:t>ud</w:t>
      </w:r>
      <w:r w:rsidR="00C009DD" w:rsidRPr="00B64273">
        <w:rPr>
          <w:rFonts w:ascii="Arial" w:hAnsi="Arial" w:cs="Arial"/>
          <w:lang w:val="es-ES_tradnl"/>
        </w:rPr>
        <w:t>.</w:t>
      </w:r>
    </w:p>
    <w:p w:rsidR="00C009DD" w:rsidRPr="00B64273" w:rsidRDefault="00C009DD" w:rsidP="00B64273">
      <w:pPr>
        <w:overflowPunct w:val="0"/>
        <w:autoSpaceDE w:val="0"/>
        <w:autoSpaceDN w:val="0"/>
        <w:adjustRightInd w:val="0"/>
        <w:spacing w:line="276" w:lineRule="auto"/>
        <w:ind w:right="51"/>
        <w:jc w:val="both"/>
        <w:textAlignment w:val="baseline"/>
        <w:rPr>
          <w:rFonts w:ascii="Arial" w:hAnsi="Arial" w:cs="Arial"/>
          <w:lang w:val="es-ES_tradnl"/>
        </w:rPr>
      </w:pPr>
    </w:p>
    <w:p w:rsidR="00FF276C" w:rsidRPr="00B64273" w:rsidRDefault="00C009DD" w:rsidP="00B64273">
      <w:pPr>
        <w:overflowPunct w:val="0"/>
        <w:autoSpaceDE w:val="0"/>
        <w:autoSpaceDN w:val="0"/>
        <w:adjustRightInd w:val="0"/>
        <w:spacing w:line="276" w:lineRule="auto"/>
        <w:ind w:right="51"/>
        <w:jc w:val="both"/>
        <w:textAlignment w:val="baseline"/>
        <w:rPr>
          <w:rFonts w:ascii="Arial" w:hAnsi="Arial" w:cs="Arial"/>
        </w:rPr>
      </w:pPr>
      <w:r w:rsidRPr="00B64273">
        <w:rPr>
          <w:rFonts w:ascii="Arial" w:hAnsi="Arial" w:cs="Arial"/>
        </w:rPr>
        <w:t>Ahora, conociendo que dicha dependencia, desde antes de ser instada</w:t>
      </w:r>
      <w:r w:rsidR="00F95D4C" w:rsidRPr="00B64273">
        <w:rPr>
          <w:rFonts w:ascii="Arial" w:hAnsi="Arial" w:cs="Arial"/>
        </w:rPr>
        <w:t xml:space="preserve">, </w:t>
      </w:r>
      <w:r w:rsidRPr="00B64273">
        <w:rPr>
          <w:rFonts w:ascii="Arial" w:hAnsi="Arial" w:cs="Arial"/>
        </w:rPr>
        <w:t>ya había certificado la existencia de saldo en el FONPET para el pago del bono pensional Tipo A</w:t>
      </w:r>
      <w:r w:rsidR="004C1CF4" w:rsidRPr="00B64273">
        <w:rPr>
          <w:rFonts w:ascii="Arial" w:hAnsi="Arial" w:cs="Arial"/>
        </w:rPr>
        <w:t>, lo que corresponde es revocar dicha conminación</w:t>
      </w:r>
      <w:r w:rsidR="00F95D4C" w:rsidRPr="00B64273">
        <w:rPr>
          <w:rFonts w:ascii="Arial" w:hAnsi="Arial" w:cs="Arial"/>
        </w:rPr>
        <w:t>, toda vez que</w:t>
      </w:r>
      <w:r w:rsidR="17BB4AED" w:rsidRPr="00B64273">
        <w:rPr>
          <w:rFonts w:ascii="Arial" w:hAnsi="Arial" w:cs="Arial"/>
        </w:rPr>
        <w:t>,</w:t>
      </w:r>
      <w:r w:rsidR="00F95D4C" w:rsidRPr="00B64273">
        <w:rPr>
          <w:rFonts w:ascii="Arial" w:hAnsi="Arial" w:cs="Arial"/>
        </w:rPr>
        <w:t xml:space="preserve"> por no tratarse de una orden, no es dable declarar el hecho superado</w:t>
      </w:r>
      <w:r w:rsidR="004C1CF4" w:rsidRPr="00B64273">
        <w:rPr>
          <w:rFonts w:ascii="Arial" w:hAnsi="Arial" w:cs="Arial"/>
        </w:rPr>
        <w:t>.</w:t>
      </w:r>
    </w:p>
    <w:p w:rsidR="00F95D4C" w:rsidRPr="00B64273" w:rsidRDefault="00F95D4C" w:rsidP="00B64273">
      <w:pPr>
        <w:overflowPunct w:val="0"/>
        <w:autoSpaceDE w:val="0"/>
        <w:autoSpaceDN w:val="0"/>
        <w:adjustRightInd w:val="0"/>
        <w:spacing w:line="276" w:lineRule="auto"/>
        <w:ind w:right="51"/>
        <w:jc w:val="both"/>
        <w:textAlignment w:val="baseline"/>
        <w:rPr>
          <w:rFonts w:ascii="Arial" w:hAnsi="Arial" w:cs="Arial"/>
          <w:lang w:val="es-ES_tradnl"/>
        </w:rPr>
      </w:pPr>
    </w:p>
    <w:p w:rsidR="005C3EDC" w:rsidRPr="00B64273" w:rsidRDefault="005C3EDC" w:rsidP="00B64273">
      <w:pPr>
        <w:pStyle w:val="Textoindependiente"/>
        <w:spacing w:line="276" w:lineRule="auto"/>
        <w:rPr>
          <w:rFonts w:cs="Arial"/>
          <w:color w:val="000000"/>
          <w:sz w:val="24"/>
          <w:szCs w:val="24"/>
        </w:rPr>
      </w:pPr>
      <w:r w:rsidRPr="00B64273">
        <w:rPr>
          <w:rFonts w:cs="Arial"/>
          <w:color w:val="000000"/>
          <w:sz w:val="24"/>
          <w:szCs w:val="24"/>
        </w:rPr>
        <w:t xml:space="preserve">En virtud de lo dicho, la </w:t>
      </w:r>
      <w:r w:rsidRPr="00B64273">
        <w:rPr>
          <w:rFonts w:cs="Arial"/>
          <w:b/>
          <w:color w:val="000000"/>
          <w:sz w:val="24"/>
          <w:szCs w:val="24"/>
        </w:rPr>
        <w:t>Sala de Decisión del Tribunal Superior del Distrito Judicial de Pereira</w:t>
      </w:r>
      <w:r w:rsidRPr="00B64273">
        <w:rPr>
          <w:rFonts w:cs="Arial"/>
          <w:color w:val="000000"/>
          <w:sz w:val="24"/>
          <w:szCs w:val="24"/>
        </w:rPr>
        <w:t xml:space="preserve">, administrando justicia en nombre del Pueblo y por mandato de la Constitución, </w:t>
      </w:r>
    </w:p>
    <w:p w:rsidR="005C3EDC" w:rsidRPr="00B64273" w:rsidRDefault="005C3EDC" w:rsidP="00B64273">
      <w:pPr>
        <w:pStyle w:val="Ttulo2"/>
        <w:spacing w:line="276" w:lineRule="auto"/>
        <w:rPr>
          <w:rFonts w:cs="Arial"/>
          <w:color w:val="000000"/>
          <w:szCs w:val="24"/>
        </w:rPr>
      </w:pPr>
    </w:p>
    <w:p w:rsidR="005C3EDC" w:rsidRPr="00B64273" w:rsidRDefault="005C3EDC" w:rsidP="00B64273">
      <w:pPr>
        <w:pStyle w:val="Textoindependiente"/>
        <w:spacing w:line="276" w:lineRule="auto"/>
        <w:jc w:val="center"/>
        <w:rPr>
          <w:rFonts w:cs="Arial"/>
          <w:b/>
          <w:color w:val="000000"/>
          <w:sz w:val="24"/>
          <w:szCs w:val="24"/>
        </w:rPr>
      </w:pPr>
      <w:r w:rsidRPr="00B64273">
        <w:rPr>
          <w:rFonts w:cs="Arial"/>
          <w:b/>
          <w:color w:val="000000"/>
          <w:sz w:val="24"/>
          <w:szCs w:val="24"/>
        </w:rPr>
        <w:t>RESUELVE:</w:t>
      </w:r>
    </w:p>
    <w:p w:rsidR="005C3EDC" w:rsidRPr="00B64273" w:rsidRDefault="005C3EDC" w:rsidP="00B64273">
      <w:pPr>
        <w:pStyle w:val="Textoindependiente"/>
        <w:spacing w:line="276" w:lineRule="auto"/>
        <w:rPr>
          <w:rFonts w:cs="Arial"/>
          <w:b/>
          <w:color w:val="000000"/>
          <w:sz w:val="24"/>
          <w:szCs w:val="24"/>
        </w:rPr>
      </w:pPr>
    </w:p>
    <w:p w:rsidR="004C1CF4" w:rsidRPr="00B64273" w:rsidRDefault="005C3EDC" w:rsidP="00B64273">
      <w:pPr>
        <w:pStyle w:val="Textoindependiente"/>
        <w:spacing w:line="276" w:lineRule="auto"/>
        <w:ind w:right="51"/>
        <w:rPr>
          <w:rFonts w:cs="Arial"/>
          <w:iCs/>
          <w:color w:val="000000"/>
          <w:sz w:val="24"/>
          <w:szCs w:val="24"/>
        </w:rPr>
      </w:pPr>
      <w:r w:rsidRPr="00B64273">
        <w:rPr>
          <w:rFonts w:cs="Arial"/>
          <w:b/>
          <w:iCs/>
          <w:color w:val="000000"/>
          <w:sz w:val="24"/>
          <w:szCs w:val="24"/>
        </w:rPr>
        <w:t>PRIMERO</w:t>
      </w:r>
      <w:r w:rsidRPr="00B64273">
        <w:rPr>
          <w:rFonts w:cs="Arial"/>
          <w:b/>
          <w:i/>
          <w:color w:val="000000"/>
          <w:sz w:val="24"/>
          <w:szCs w:val="24"/>
        </w:rPr>
        <w:t xml:space="preserve">: </w:t>
      </w:r>
      <w:r w:rsidR="004C1CF4" w:rsidRPr="00B64273">
        <w:rPr>
          <w:rFonts w:cs="Arial"/>
          <w:b/>
          <w:bCs/>
          <w:iCs/>
          <w:color w:val="000000"/>
          <w:sz w:val="24"/>
          <w:szCs w:val="24"/>
        </w:rPr>
        <w:t>REVOCAR</w:t>
      </w:r>
      <w:r w:rsidR="00500932" w:rsidRPr="00B64273">
        <w:rPr>
          <w:rFonts w:cs="Arial"/>
          <w:b/>
          <w:bCs/>
          <w:iCs/>
          <w:color w:val="000000"/>
          <w:sz w:val="24"/>
          <w:szCs w:val="24"/>
        </w:rPr>
        <w:t xml:space="preserve"> </w:t>
      </w:r>
      <w:r w:rsidR="004C1CF4" w:rsidRPr="00B64273">
        <w:rPr>
          <w:rFonts w:cs="Arial"/>
          <w:bCs/>
          <w:iCs/>
          <w:color w:val="000000"/>
          <w:sz w:val="24"/>
          <w:szCs w:val="24"/>
        </w:rPr>
        <w:t xml:space="preserve">el </w:t>
      </w:r>
      <w:r w:rsidR="004C1CF4" w:rsidRPr="00B64273">
        <w:rPr>
          <w:rFonts w:cs="Arial"/>
          <w:b/>
          <w:bCs/>
          <w:iCs/>
          <w:color w:val="000000"/>
          <w:sz w:val="24"/>
          <w:szCs w:val="24"/>
        </w:rPr>
        <w:t>ORDINAL</w:t>
      </w:r>
      <w:r w:rsidR="00EB2910" w:rsidRPr="00B64273">
        <w:rPr>
          <w:rFonts w:cs="Arial"/>
          <w:b/>
          <w:bCs/>
          <w:iCs/>
          <w:color w:val="000000"/>
          <w:sz w:val="24"/>
          <w:szCs w:val="24"/>
        </w:rPr>
        <w:t xml:space="preserve"> </w:t>
      </w:r>
      <w:r w:rsidR="004C1CF4" w:rsidRPr="00B64273">
        <w:rPr>
          <w:rFonts w:cs="Arial"/>
          <w:b/>
          <w:bCs/>
          <w:iCs/>
          <w:color w:val="000000"/>
          <w:sz w:val="24"/>
          <w:szCs w:val="24"/>
        </w:rPr>
        <w:t>SEGUNDO</w:t>
      </w:r>
      <w:r w:rsidRPr="00B64273">
        <w:rPr>
          <w:rFonts w:cs="Arial"/>
          <w:iCs/>
          <w:color w:val="000000"/>
          <w:sz w:val="24"/>
          <w:szCs w:val="24"/>
        </w:rPr>
        <w:t xml:space="preserve"> </w:t>
      </w:r>
      <w:r w:rsidR="004C1CF4" w:rsidRPr="00B64273">
        <w:rPr>
          <w:rFonts w:cs="Arial"/>
          <w:iCs/>
          <w:color w:val="000000"/>
          <w:sz w:val="24"/>
          <w:szCs w:val="24"/>
        </w:rPr>
        <w:t>d</w:t>
      </w:r>
      <w:r w:rsidRPr="00B64273">
        <w:rPr>
          <w:rFonts w:cs="Arial"/>
          <w:iCs/>
          <w:color w:val="000000"/>
          <w:sz w:val="24"/>
          <w:szCs w:val="24"/>
        </w:rPr>
        <w:t xml:space="preserve">el Juzgado </w:t>
      </w:r>
      <w:r w:rsidR="004C1CF4" w:rsidRPr="00B64273">
        <w:rPr>
          <w:rFonts w:cs="Arial"/>
          <w:iCs/>
          <w:color w:val="000000"/>
          <w:sz w:val="24"/>
          <w:szCs w:val="24"/>
        </w:rPr>
        <w:t>Tercero</w:t>
      </w:r>
      <w:r w:rsidRPr="00B64273">
        <w:rPr>
          <w:rFonts w:cs="Arial"/>
          <w:iCs/>
          <w:color w:val="000000"/>
          <w:sz w:val="24"/>
          <w:szCs w:val="24"/>
        </w:rPr>
        <w:t xml:space="preserve"> Laboral del Circuito de Pereira, el día </w:t>
      </w:r>
      <w:r w:rsidR="004C1CF4" w:rsidRPr="00B64273">
        <w:rPr>
          <w:rFonts w:cs="Arial"/>
          <w:iCs/>
          <w:color w:val="000000"/>
          <w:sz w:val="24"/>
          <w:szCs w:val="24"/>
        </w:rPr>
        <w:t>3 de septiembre de 2021.</w:t>
      </w:r>
    </w:p>
    <w:p w:rsidR="00500932" w:rsidRPr="00B64273" w:rsidRDefault="00500932" w:rsidP="00B64273">
      <w:pPr>
        <w:pStyle w:val="Textoindependiente"/>
        <w:spacing w:line="276" w:lineRule="auto"/>
        <w:ind w:right="51"/>
        <w:rPr>
          <w:rFonts w:cs="Arial"/>
          <w:iCs/>
          <w:color w:val="000000"/>
          <w:sz w:val="24"/>
          <w:szCs w:val="24"/>
        </w:rPr>
      </w:pPr>
      <w:r w:rsidRPr="00B64273">
        <w:rPr>
          <w:rFonts w:cs="Arial"/>
          <w:iCs/>
          <w:color w:val="000000"/>
          <w:sz w:val="24"/>
          <w:szCs w:val="24"/>
        </w:rPr>
        <w:t xml:space="preserve"> </w:t>
      </w:r>
    </w:p>
    <w:p w:rsidR="00500932" w:rsidRPr="00B64273" w:rsidRDefault="005C3EDC" w:rsidP="00B64273">
      <w:pPr>
        <w:pStyle w:val="Textoindependiente"/>
        <w:spacing w:line="276" w:lineRule="auto"/>
        <w:rPr>
          <w:rFonts w:cs="Arial"/>
          <w:sz w:val="24"/>
          <w:szCs w:val="24"/>
        </w:rPr>
      </w:pPr>
      <w:r w:rsidRPr="00B64273">
        <w:rPr>
          <w:rFonts w:cs="Arial"/>
          <w:b/>
          <w:color w:val="000000"/>
          <w:sz w:val="24"/>
          <w:szCs w:val="24"/>
        </w:rPr>
        <w:t xml:space="preserve">SEGUNDO: </w:t>
      </w:r>
      <w:r w:rsidR="002B32AC" w:rsidRPr="00B64273">
        <w:rPr>
          <w:rFonts w:cs="Arial"/>
          <w:b/>
          <w:color w:val="000000"/>
          <w:sz w:val="24"/>
          <w:szCs w:val="24"/>
        </w:rPr>
        <w:t xml:space="preserve">CONFIRMAR </w:t>
      </w:r>
      <w:r w:rsidR="002B32AC" w:rsidRPr="00B64273">
        <w:rPr>
          <w:rFonts w:cs="Arial"/>
          <w:sz w:val="24"/>
          <w:szCs w:val="24"/>
        </w:rPr>
        <w:t>en todo lo demás la providencia impugnada.</w:t>
      </w:r>
    </w:p>
    <w:p w:rsidR="00500932" w:rsidRPr="00B64273" w:rsidRDefault="00500932" w:rsidP="00B64273">
      <w:pPr>
        <w:pStyle w:val="Textoindependiente"/>
        <w:spacing w:line="276" w:lineRule="auto"/>
        <w:rPr>
          <w:rFonts w:cs="Arial"/>
          <w:color w:val="000000"/>
          <w:sz w:val="24"/>
          <w:szCs w:val="24"/>
        </w:rPr>
      </w:pPr>
    </w:p>
    <w:p w:rsidR="005C3EDC" w:rsidRPr="00B64273" w:rsidRDefault="002B32AC" w:rsidP="00B64273">
      <w:pPr>
        <w:pStyle w:val="Textoindependiente"/>
        <w:spacing w:line="276" w:lineRule="auto"/>
        <w:rPr>
          <w:rFonts w:cs="Arial"/>
          <w:color w:val="000000"/>
          <w:sz w:val="24"/>
          <w:szCs w:val="24"/>
        </w:rPr>
      </w:pPr>
      <w:r w:rsidRPr="00B64273">
        <w:rPr>
          <w:rFonts w:cs="Arial"/>
          <w:b/>
          <w:color w:val="000000"/>
          <w:sz w:val="24"/>
          <w:szCs w:val="24"/>
        </w:rPr>
        <w:t xml:space="preserve">TERCERO: </w:t>
      </w:r>
      <w:r w:rsidR="005C3EDC" w:rsidRPr="00B64273">
        <w:rPr>
          <w:rFonts w:cs="Arial"/>
          <w:b/>
          <w:color w:val="000000"/>
          <w:sz w:val="24"/>
          <w:szCs w:val="24"/>
        </w:rPr>
        <w:t xml:space="preserve">NOTIFÍQUESE </w:t>
      </w:r>
      <w:r w:rsidR="005C3EDC" w:rsidRPr="00B64273">
        <w:rPr>
          <w:rFonts w:cs="Arial"/>
          <w:bCs/>
          <w:color w:val="000000"/>
          <w:sz w:val="24"/>
          <w:szCs w:val="24"/>
        </w:rPr>
        <w:t>esta decisión a las partes por el medio más expedito.</w:t>
      </w:r>
    </w:p>
    <w:p w:rsidR="005C3EDC" w:rsidRPr="00B64273" w:rsidRDefault="005C3EDC" w:rsidP="00B64273">
      <w:pPr>
        <w:pStyle w:val="Textoindependiente"/>
        <w:spacing w:line="276" w:lineRule="auto"/>
        <w:rPr>
          <w:rFonts w:cs="Arial"/>
          <w:b/>
          <w:color w:val="000000"/>
          <w:sz w:val="24"/>
          <w:szCs w:val="24"/>
        </w:rPr>
      </w:pPr>
    </w:p>
    <w:p w:rsidR="005C3EDC" w:rsidRPr="00B64273" w:rsidRDefault="002B32AC" w:rsidP="00B64273">
      <w:pPr>
        <w:pStyle w:val="Textoindependiente"/>
        <w:spacing w:line="276" w:lineRule="auto"/>
        <w:rPr>
          <w:rFonts w:cs="Arial"/>
          <w:color w:val="000000"/>
          <w:sz w:val="24"/>
          <w:szCs w:val="24"/>
        </w:rPr>
      </w:pPr>
      <w:r w:rsidRPr="00B64273">
        <w:rPr>
          <w:rFonts w:cs="Arial"/>
          <w:b/>
          <w:color w:val="000000"/>
          <w:sz w:val="24"/>
          <w:szCs w:val="24"/>
        </w:rPr>
        <w:t>CUARTO</w:t>
      </w:r>
      <w:r w:rsidR="005C3EDC" w:rsidRPr="00B64273">
        <w:rPr>
          <w:rFonts w:cs="Arial"/>
          <w:b/>
          <w:color w:val="000000"/>
          <w:sz w:val="24"/>
          <w:szCs w:val="24"/>
        </w:rPr>
        <w:t xml:space="preserve">: </w:t>
      </w:r>
      <w:r w:rsidR="004C1CF4" w:rsidRPr="00B64273">
        <w:rPr>
          <w:rFonts w:cs="Arial"/>
          <w:b/>
          <w:color w:val="000000"/>
          <w:sz w:val="24"/>
          <w:szCs w:val="24"/>
        </w:rPr>
        <w:t xml:space="preserve">REMITIR </w:t>
      </w:r>
      <w:r w:rsidR="005C3EDC" w:rsidRPr="00B64273">
        <w:rPr>
          <w:rFonts w:cs="Arial"/>
          <w:color w:val="000000"/>
          <w:sz w:val="24"/>
          <w:szCs w:val="24"/>
        </w:rPr>
        <w:t>a la Corte</w:t>
      </w:r>
      <w:r w:rsidR="00580AA6">
        <w:rPr>
          <w:rFonts w:cs="Arial"/>
          <w:color w:val="000000"/>
          <w:sz w:val="24"/>
          <w:szCs w:val="24"/>
        </w:rPr>
        <w:t xml:space="preserve"> </w:t>
      </w:r>
      <w:r w:rsidR="005C3EDC" w:rsidRPr="00B64273">
        <w:rPr>
          <w:rFonts w:cs="Arial"/>
          <w:color w:val="000000"/>
          <w:sz w:val="24"/>
          <w:szCs w:val="24"/>
        </w:rPr>
        <w:t>Constitucional, para su eventual revisión.</w:t>
      </w:r>
    </w:p>
    <w:p w:rsidR="005C3EDC" w:rsidRPr="00B64273" w:rsidRDefault="005C3EDC" w:rsidP="00B64273">
      <w:pPr>
        <w:spacing w:line="276" w:lineRule="auto"/>
        <w:jc w:val="both"/>
        <w:rPr>
          <w:rFonts w:ascii="Arial" w:hAnsi="Arial" w:cs="Arial"/>
          <w:b/>
          <w:color w:val="000000"/>
          <w:lang w:val="es-ES_tradnl"/>
        </w:rPr>
      </w:pPr>
    </w:p>
    <w:p w:rsidR="005C3EDC" w:rsidRPr="00B64273" w:rsidRDefault="005C3EDC" w:rsidP="00B64273">
      <w:pPr>
        <w:spacing w:line="276" w:lineRule="auto"/>
        <w:jc w:val="both"/>
        <w:rPr>
          <w:rFonts w:ascii="Arial" w:hAnsi="Arial" w:cs="Arial"/>
          <w:b/>
          <w:color w:val="000000"/>
        </w:rPr>
      </w:pPr>
      <w:r w:rsidRPr="00B64273">
        <w:rPr>
          <w:rFonts w:ascii="Arial" w:hAnsi="Arial" w:cs="Arial"/>
          <w:b/>
          <w:color w:val="000000"/>
        </w:rPr>
        <w:t>Notifíquese y Cúmplase</w:t>
      </w:r>
    </w:p>
    <w:p w:rsidR="005C3EDC" w:rsidRPr="00B64273" w:rsidRDefault="005C3EDC" w:rsidP="00B64273">
      <w:pPr>
        <w:pStyle w:val="Cierre"/>
        <w:spacing w:line="276" w:lineRule="auto"/>
        <w:rPr>
          <w:rFonts w:ascii="Arial" w:hAnsi="Arial" w:cs="Arial"/>
          <w:color w:val="000000"/>
          <w:szCs w:val="24"/>
        </w:rPr>
      </w:pPr>
    </w:p>
    <w:p w:rsidR="005C3EDC" w:rsidRPr="00B64273" w:rsidRDefault="005C3EDC" w:rsidP="00B64273">
      <w:pPr>
        <w:pStyle w:val="Cierre"/>
        <w:spacing w:line="276" w:lineRule="auto"/>
        <w:ind w:hanging="4252"/>
        <w:rPr>
          <w:rFonts w:ascii="Arial" w:hAnsi="Arial" w:cs="Arial"/>
          <w:color w:val="000000"/>
          <w:szCs w:val="24"/>
        </w:rPr>
      </w:pPr>
      <w:r w:rsidRPr="00B64273">
        <w:rPr>
          <w:rFonts w:ascii="Arial" w:hAnsi="Arial" w:cs="Arial"/>
          <w:color w:val="000000"/>
          <w:szCs w:val="24"/>
        </w:rPr>
        <w:t>Los Magistrados,</w:t>
      </w:r>
    </w:p>
    <w:p w:rsidR="00B64273" w:rsidRPr="00B64273" w:rsidRDefault="00B64273" w:rsidP="00B64273">
      <w:pPr>
        <w:spacing w:line="276" w:lineRule="auto"/>
        <w:textAlignment w:val="baseline"/>
        <w:rPr>
          <w:rFonts w:ascii="Arial" w:hAnsi="Arial" w:cs="Arial"/>
          <w:lang w:val="es-CO" w:eastAsia="es-CO"/>
        </w:rPr>
      </w:pPr>
    </w:p>
    <w:p w:rsidR="00B64273" w:rsidRPr="00B64273" w:rsidRDefault="00B64273" w:rsidP="00B64273">
      <w:pPr>
        <w:spacing w:line="276" w:lineRule="auto"/>
        <w:jc w:val="both"/>
        <w:textAlignment w:val="baseline"/>
        <w:rPr>
          <w:rFonts w:ascii="Arial" w:hAnsi="Arial" w:cs="Arial"/>
          <w:lang w:val="es-CO" w:eastAsia="es-CO"/>
        </w:rPr>
      </w:pPr>
    </w:p>
    <w:p w:rsidR="00B64273" w:rsidRPr="00B64273" w:rsidRDefault="00B64273" w:rsidP="00B64273">
      <w:pPr>
        <w:spacing w:line="276" w:lineRule="auto"/>
        <w:jc w:val="both"/>
        <w:textAlignment w:val="baseline"/>
        <w:rPr>
          <w:rFonts w:ascii="Arial" w:hAnsi="Arial" w:cs="Arial"/>
          <w:lang w:val="es-CO" w:eastAsia="es-CO"/>
        </w:rPr>
      </w:pPr>
    </w:p>
    <w:p w:rsidR="00B64273" w:rsidRPr="00B64273" w:rsidRDefault="00B64273" w:rsidP="00B64273">
      <w:pPr>
        <w:spacing w:line="276" w:lineRule="auto"/>
        <w:jc w:val="center"/>
        <w:textAlignment w:val="baseline"/>
        <w:rPr>
          <w:rFonts w:ascii="Arial" w:hAnsi="Arial" w:cs="Arial"/>
          <w:lang w:val="es-CO" w:eastAsia="es-CO"/>
        </w:rPr>
      </w:pPr>
      <w:r w:rsidRPr="00B64273">
        <w:rPr>
          <w:rFonts w:ascii="Arial" w:hAnsi="Arial" w:cs="Arial"/>
          <w:b/>
          <w:bCs/>
          <w:lang w:eastAsia="es-CO"/>
        </w:rPr>
        <w:t>JULIO CÉSAR SALAZAR MUÑOZ</w:t>
      </w:r>
    </w:p>
    <w:p w:rsidR="00B64273" w:rsidRPr="00B64273" w:rsidRDefault="00B64273" w:rsidP="00B64273">
      <w:pPr>
        <w:spacing w:line="276" w:lineRule="auto"/>
        <w:jc w:val="center"/>
        <w:textAlignment w:val="baseline"/>
        <w:rPr>
          <w:rFonts w:ascii="Arial" w:hAnsi="Arial" w:cs="Arial"/>
          <w:lang w:val="es-CO" w:eastAsia="es-CO"/>
        </w:rPr>
      </w:pPr>
      <w:r w:rsidRPr="00B64273">
        <w:rPr>
          <w:rFonts w:ascii="Arial" w:hAnsi="Arial" w:cs="Arial"/>
          <w:lang w:eastAsia="es-CO"/>
        </w:rPr>
        <w:t>Magistrado Ponente</w:t>
      </w:r>
    </w:p>
    <w:p w:rsidR="00B64273" w:rsidRPr="00B64273" w:rsidRDefault="00B64273" w:rsidP="00B64273">
      <w:pPr>
        <w:spacing w:line="276" w:lineRule="auto"/>
        <w:textAlignment w:val="baseline"/>
        <w:rPr>
          <w:rFonts w:ascii="Arial" w:hAnsi="Arial" w:cs="Arial"/>
          <w:lang w:val="es-CO" w:eastAsia="es-CO"/>
        </w:rPr>
      </w:pPr>
    </w:p>
    <w:p w:rsidR="00B64273" w:rsidRPr="00B64273" w:rsidRDefault="00B64273" w:rsidP="00B64273">
      <w:pPr>
        <w:spacing w:line="276" w:lineRule="auto"/>
        <w:textAlignment w:val="baseline"/>
        <w:rPr>
          <w:rFonts w:ascii="Arial" w:hAnsi="Arial" w:cs="Arial"/>
          <w:lang w:val="es-CO" w:eastAsia="es-CO"/>
        </w:rPr>
      </w:pPr>
    </w:p>
    <w:p w:rsidR="00B64273" w:rsidRPr="00B64273" w:rsidRDefault="00B64273" w:rsidP="00B64273">
      <w:pPr>
        <w:spacing w:line="276" w:lineRule="auto"/>
        <w:textAlignment w:val="baseline"/>
        <w:rPr>
          <w:rFonts w:ascii="Arial" w:hAnsi="Arial" w:cs="Arial"/>
          <w:lang w:val="es-CO" w:eastAsia="es-CO"/>
        </w:rPr>
      </w:pPr>
    </w:p>
    <w:p w:rsidR="00B64273" w:rsidRPr="00B64273" w:rsidRDefault="00B64273" w:rsidP="00B64273">
      <w:pPr>
        <w:spacing w:line="276" w:lineRule="auto"/>
        <w:textAlignment w:val="baseline"/>
        <w:rPr>
          <w:rFonts w:ascii="Arial" w:hAnsi="Arial" w:cs="Arial"/>
          <w:lang w:val="es-CO" w:eastAsia="es-CO"/>
        </w:rPr>
      </w:pPr>
      <w:r w:rsidRPr="00B64273">
        <w:rPr>
          <w:rFonts w:ascii="Arial" w:hAnsi="Arial" w:cs="Arial"/>
          <w:b/>
          <w:bCs/>
          <w:lang w:eastAsia="es-CO"/>
        </w:rPr>
        <w:t>ANA LUCÍA CAICEDO CALDERÓN</w:t>
      </w:r>
      <w:r w:rsidRPr="00B64273">
        <w:rPr>
          <w:rFonts w:ascii="Arial" w:hAnsi="Arial" w:cs="Arial"/>
          <w:lang w:val="es-CO" w:eastAsia="es-CO"/>
        </w:rPr>
        <w:t> </w:t>
      </w:r>
      <w:r w:rsidRPr="00B64273">
        <w:rPr>
          <w:rFonts w:ascii="Arial" w:hAnsi="Arial" w:cs="Arial"/>
          <w:lang w:val="es-CO" w:eastAsia="es-CO"/>
        </w:rPr>
        <w:tab/>
      </w:r>
      <w:r w:rsidRPr="00B64273">
        <w:rPr>
          <w:rFonts w:ascii="Arial" w:hAnsi="Arial" w:cs="Arial"/>
          <w:lang w:val="es-CO" w:eastAsia="es-CO"/>
        </w:rPr>
        <w:tab/>
      </w:r>
      <w:r w:rsidRPr="00B64273">
        <w:rPr>
          <w:rFonts w:ascii="Arial" w:hAnsi="Arial" w:cs="Arial"/>
          <w:b/>
          <w:bCs/>
          <w:lang w:val="es-CO" w:eastAsia="es-CO"/>
        </w:rPr>
        <w:t>GERMÁN DARÍO GÓEZ VINASCO</w:t>
      </w:r>
    </w:p>
    <w:p w:rsidR="005C3EDC" w:rsidRPr="00B64273" w:rsidRDefault="00B64273" w:rsidP="00B64273">
      <w:pPr>
        <w:spacing w:line="276" w:lineRule="auto"/>
        <w:jc w:val="both"/>
        <w:textAlignment w:val="baseline"/>
        <w:rPr>
          <w:rFonts w:ascii="Arial" w:eastAsia="Calibri" w:hAnsi="Arial" w:cs="Arial"/>
          <w:lang w:val="es-CO" w:eastAsia="en-US"/>
        </w:rPr>
      </w:pPr>
      <w:r w:rsidRPr="00B64273">
        <w:rPr>
          <w:rFonts w:ascii="Arial" w:hAnsi="Arial" w:cs="Arial"/>
          <w:lang w:eastAsia="es-CO"/>
        </w:rPr>
        <w:t>Magistrada</w:t>
      </w:r>
      <w:r w:rsidRPr="00B64273">
        <w:rPr>
          <w:rFonts w:ascii="Arial" w:hAnsi="Arial" w:cs="Arial"/>
          <w:lang w:eastAsia="es-CO"/>
        </w:rPr>
        <w:tab/>
      </w:r>
      <w:r w:rsidRPr="00B64273">
        <w:rPr>
          <w:rFonts w:ascii="Arial" w:hAnsi="Arial" w:cs="Arial"/>
          <w:lang w:eastAsia="es-CO"/>
        </w:rPr>
        <w:tab/>
      </w:r>
      <w:r w:rsidRPr="00B64273">
        <w:rPr>
          <w:rFonts w:ascii="Arial" w:hAnsi="Arial" w:cs="Arial"/>
          <w:lang w:eastAsia="es-CO"/>
        </w:rPr>
        <w:tab/>
      </w:r>
      <w:r w:rsidRPr="00B64273">
        <w:rPr>
          <w:rFonts w:ascii="Arial" w:hAnsi="Arial" w:cs="Arial"/>
          <w:lang w:eastAsia="es-CO"/>
        </w:rPr>
        <w:tab/>
      </w:r>
      <w:r w:rsidRPr="00B64273">
        <w:rPr>
          <w:rFonts w:ascii="Arial" w:hAnsi="Arial" w:cs="Arial"/>
          <w:lang w:eastAsia="es-CO"/>
        </w:rPr>
        <w:tab/>
      </w:r>
      <w:r w:rsidRPr="00B64273">
        <w:rPr>
          <w:rFonts w:ascii="Arial" w:hAnsi="Arial" w:cs="Arial"/>
          <w:lang w:eastAsia="es-CO"/>
        </w:rPr>
        <w:tab/>
        <w:t>Magistrado</w:t>
      </w:r>
    </w:p>
    <w:sectPr w:rsidR="005C3EDC" w:rsidRPr="00B64273" w:rsidSect="00B66E18">
      <w:headerReference w:type="default" r:id="rId10"/>
      <w:footerReference w:type="default" r:id="rId11"/>
      <w:pgSz w:w="12242" w:h="18722" w:code="258"/>
      <w:pgMar w:top="1814" w:right="1247" w:bottom="1247" w:left="1814"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E09F08" w16cex:dateUtc="2021-10-08T20:19:07.388Z"/>
  <w16cex:commentExtensible w16cex:durableId="48B7A431" w16cex:dateUtc="2021-10-11T15:44:16.209Z"/>
  <w16cex:commentExtensible w16cex:durableId="2AD608AC" w16cex:dateUtc="2021-10-11T18:00:40.4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00" w:rsidRDefault="00B92500">
      <w:r>
        <w:separator/>
      </w:r>
    </w:p>
  </w:endnote>
  <w:endnote w:type="continuationSeparator" w:id="0">
    <w:p w:rsidR="00B92500" w:rsidRDefault="00B9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90" w:rsidRPr="00B64273" w:rsidRDefault="009E3A30" w:rsidP="00795D4F">
    <w:pPr>
      <w:pStyle w:val="Encabezado"/>
      <w:ind w:right="-5"/>
      <w:jc w:val="right"/>
      <w:rPr>
        <w:rFonts w:ascii="Arial" w:hAnsi="Arial" w:cs="Arial"/>
        <w:sz w:val="18"/>
        <w:szCs w:val="18"/>
        <w:lang w:val="es-MX"/>
      </w:rPr>
    </w:pPr>
    <w:r w:rsidRPr="00B64273">
      <w:rPr>
        <w:rFonts w:ascii="Arial" w:hAnsi="Arial" w:cs="Arial"/>
        <w:sz w:val="18"/>
        <w:szCs w:val="18"/>
        <w:lang w:val="es-MX"/>
      </w:rPr>
      <w:fldChar w:fldCharType="begin"/>
    </w:r>
    <w:r w:rsidR="00DE6C90" w:rsidRPr="00B64273">
      <w:rPr>
        <w:rFonts w:ascii="Arial" w:hAnsi="Arial" w:cs="Arial"/>
        <w:sz w:val="18"/>
        <w:szCs w:val="18"/>
        <w:lang w:val="es-MX"/>
      </w:rPr>
      <w:instrText>PAGE   \* MERGEFORMAT</w:instrText>
    </w:r>
    <w:r w:rsidRPr="00B64273">
      <w:rPr>
        <w:rFonts w:ascii="Arial" w:hAnsi="Arial" w:cs="Arial"/>
        <w:sz w:val="18"/>
        <w:szCs w:val="18"/>
        <w:lang w:val="es-MX"/>
      </w:rPr>
      <w:fldChar w:fldCharType="separate"/>
    </w:r>
    <w:r w:rsidR="005E6468" w:rsidRPr="00B64273">
      <w:rPr>
        <w:rFonts w:ascii="Arial" w:hAnsi="Arial" w:cs="Arial"/>
        <w:sz w:val="18"/>
        <w:szCs w:val="18"/>
        <w:lang w:val="es-MX"/>
      </w:rPr>
      <w:t>12</w:t>
    </w:r>
    <w:r w:rsidRPr="00B64273">
      <w:rPr>
        <w:rFonts w:ascii="Arial" w:hAnsi="Arial" w:cs="Arial"/>
        <w:sz w:val="18"/>
        <w:szCs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00" w:rsidRDefault="00B92500">
      <w:r>
        <w:separator/>
      </w:r>
    </w:p>
  </w:footnote>
  <w:footnote w:type="continuationSeparator" w:id="0">
    <w:p w:rsidR="00B92500" w:rsidRDefault="00B92500">
      <w:r>
        <w:continuationSeparator/>
      </w:r>
    </w:p>
  </w:footnote>
  <w:footnote w:id="1">
    <w:p w:rsidR="00DE6C90" w:rsidRPr="00580AA6" w:rsidRDefault="00DE6C90" w:rsidP="00580AA6">
      <w:pPr>
        <w:pStyle w:val="Textonotapie"/>
        <w:jc w:val="both"/>
        <w:rPr>
          <w:rFonts w:ascii="Arial" w:hAnsi="Arial" w:cs="Arial"/>
          <w:sz w:val="18"/>
        </w:rPr>
      </w:pPr>
      <w:r w:rsidRPr="00580AA6">
        <w:rPr>
          <w:rStyle w:val="Refdenotaalpie"/>
          <w:rFonts w:ascii="Arial" w:hAnsi="Arial" w:cs="Arial"/>
          <w:sz w:val="18"/>
        </w:rPr>
        <w:footnoteRef/>
      </w:r>
      <w:r w:rsidRPr="00580AA6">
        <w:rPr>
          <w:rFonts w:ascii="Arial" w:hAnsi="Arial" w:cs="Arial"/>
          <w:sz w:val="18"/>
        </w:rPr>
        <w:t xml:space="preserve"> Corte Constitucional, Sentencia T-801 de 2006. M. P. Rodrigo Escobar Gil.</w:t>
      </w:r>
    </w:p>
  </w:footnote>
  <w:footnote w:id="2">
    <w:p w:rsidR="00DE6C90" w:rsidRPr="00580AA6" w:rsidRDefault="00DE6C90" w:rsidP="00580AA6">
      <w:pPr>
        <w:pStyle w:val="Textonotapie"/>
        <w:jc w:val="both"/>
        <w:rPr>
          <w:rFonts w:ascii="Arial" w:hAnsi="Arial" w:cs="Arial"/>
          <w:sz w:val="18"/>
        </w:rPr>
      </w:pPr>
      <w:r w:rsidRPr="00580AA6">
        <w:rPr>
          <w:rStyle w:val="Refdenotaalpie"/>
          <w:rFonts w:ascii="Arial" w:hAnsi="Arial" w:cs="Arial"/>
          <w:sz w:val="18"/>
        </w:rPr>
        <w:footnoteRef/>
      </w:r>
      <w:r w:rsidRPr="00580AA6">
        <w:rPr>
          <w:rFonts w:ascii="Arial" w:hAnsi="Arial" w:cs="Arial"/>
          <w:sz w:val="18"/>
        </w:rPr>
        <w:t xml:space="preserve"> Cfr. Corte Constitucional, Sentencia T-589 de 2004. M. P. Rodrigo Escobar Gil.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73" w:rsidRPr="00B64273" w:rsidRDefault="00F95D4C" w:rsidP="00B64273">
    <w:pPr>
      <w:pStyle w:val="Encabezado"/>
      <w:ind w:right="360"/>
      <w:jc w:val="center"/>
      <w:rPr>
        <w:rFonts w:ascii="Arial" w:hAnsi="Arial" w:cs="Arial"/>
        <w:sz w:val="18"/>
        <w:szCs w:val="18"/>
        <w:lang w:val="es-MX"/>
      </w:rPr>
    </w:pPr>
    <w:r w:rsidRPr="00B64273">
      <w:rPr>
        <w:rFonts w:ascii="Arial" w:hAnsi="Arial" w:cs="Arial"/>
        <w:sz w:val="18"/>
        <w:szCs w:val="18"/>
        <w:lang w:val="es-MX"/>
      </w:rPr>
      <w:t>Oscar de Jesús Castaño Rendón</w:t>
    </w:r>
    <w:r w:rsidR="00DE6C90" w:rsidRPr="00B64273">
      <w:rPr>
        <w:rFonts w:ascii="Arial" w:hAnsi="Arial" w:cs="Arial"/>
        <w:sz w:val="18"/>
        <w:szCs w:val="18"/>
        <w:lang w:val="es-MX"/>
      </w:rPr>
      <w:t xml:space="preserve"> Vs</w:t>
    </w:r>
    <w:r w:rsidRPr="00B64273">
      <w:rPr>
        <w:rFonts w:ascii="Arial" w:hAnsi="Arial" w:cs="Arial"/>
        <w:sz w:val="18"/>
        <w:szCs w:val="18"/>
        <w:lang w:val="es-MX"/>
      </w:rPr>
      <w:t xml:space="preserve"> Ministerio de Hacienda y Crédito Público y otros</w:t>
    </w:r>
  </w:p>
  <w:p w:rsidR="00DE6C90" w:rsidRPr="00B64273" w:rsidRDefault="00DE6C90" w:rsidP="00B64273">
    <w:pPr>
      <w:pStyle w:val="Encabezado"/>
      <w:ind w:right="360"/>
      <w:jc w:val="center"/>
      <w:rPr>
        <w:rFonts w:ascii="Arial" w:hAnsi="Arial" w:cs="Arial"/>
        <w:sz w:val="18"/>
        <w:szCs w:val="18"/>
        <w:lang w:val="es-MX"/>
      </w:rPr>
    </w:pPr>
    <w:r w:rsidRPr="00B64273">
      <w:rPr>
        <w:rFonts w:ascii="Arial" w:hAnsi="Arial" w:cs="Arial"/>
        <w:sz w:val="18"/>
        <w:szCs w:val="18"/>
        <w:lang w:val="es-MX"/>
      </w:rPr>
      <w:t xml:space="preserve">Rad. </w:t>
    </w:r>
    <w:r w:rsidR="00F95D4C" w:rsidRPr="00B64273">
      <w:rPr>
        <w:rFonts w:ascii="Arial" w:hAnsi="Arial" w:cs="Arial"/>
        <w:sz w:val="18"/>
        <w:szCs w:val="18"/>
        <w:lang w:val="es-MX"/>
      </w:rPr>
      <w:t>66001310500320210029201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EB"/>
    <w:multiLevelType w:val="hybridMultilevel"/>
    <w:tmpl w:val="9FC83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8" w15:restartNumberingAfterBreak="0">
    <w:nsid w:val="17DC0368"/>
    <w:multiLevelType w:val="hybridMultilevel"/>
    <w:tmpl w:val="422CF1B4"/>
    <w:lvl w:ilvl="0" w:tplc="E6BC6160">
      <w:start w:val="2"/>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9"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1F6525"/>
    <w:multiLevelType w:val="hybridMultilevel"/>
    <w:tmpl w:val="7578D71A"/>
    <w:lvl w:ilvl="0" w:tplc="144C2F78">
      <w:start w:val="1"/>
      <w:numFmt w:val="decimal"/>
      <w:lvlText w:val="%1."/>
      <w:lvlJc w:val="left"/>
      <w:pPr>
        <w:tabs>
          <w:tab w:val="num" w:pos="774"/>
        </w:tabs>
        <w:ind w:left="774" w:hanging="4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6" w15:restartNumberingAfterBreak="0">
    <w:nsid w:val="68665826"/>
    <w:multiLevelType w:val="hybridMultilevel"/>
    <w:tmpl w:val="03F2ADFA"/>
    <w:lvl w:ilvl="0" w:tplc="AEA0E4BC">
      <w:start w:val="3"/>
      <w:numFmt w:val="lowerRoman"/>
      <w:lvlText w:val="(%1)"/>
      <w:lvlJc w:val="left"/>
      <w:pPr>
        <w:tabs>
          <w:tab w:val="num" w:pos="1340"/>
        </w:tabs>
        <w:ind w:left="1340" w:hanging="1056"/>
      </w:pPr>
      <w:rPr>
        <w:rFonts w:hint="default"/>
        <w:b/>
        <w:sz w:val="22"/>
      </w:rPr>
    </w:lvl>
    <w:lvl w:ilvl="1" w:tplc="7830675E">
      <w:start w:val="6"/>
      <w:numFmt w:val="decimal"/>
      <w:lvlText w:val="%2-"/>
      <w:lvlJc w:val="left"/>
      <w:pPr>
        <w:tabs>
          <w:tab w:val="num" w:pos="1364"/>
        </w:tabs>
        <w:ind w:left="1364" w:hanging="360"/>
      </w:pPr>
      <w:rPr>
        <w:rFonts w:hint="default"/>
      </w:rPr>
    </w:lvl>
    <w:lvl w:ilvl="2" w:tplc="CB3E8F50">
      <w:start w:val="3"/>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19"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1"/>
  </w:num>
  <w:num w:numId="2">
    <w:abstractNumId w:val="11"/>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2"/>
  </w:num>
  <w:num w:numId="4">
    <w:abstractNumId w:val="9"/>
  </w:num>
  <w:num w:numId="5">
    <w:abstractNumId w:val="1"/>
  </w:num>
  <w:num w:numId="6">
    <w:abstractNumId w:val="3"/>
  </w:num>
  <w:num w:numId="7">
    <w:abstractNumId w:val="5"/>
  </w:num>
  <w:num w:numId="8">
    <w:abstractNumId w:val="2"/>
  </w:num>
  <w:num w:numId="9">
    <w:abstractNumId w:val="17"/>
  </w:num>
  <w:num w:numId="10">
    <w:abstractNumId w:val="13"/>
  </w:num>
  <w:num w:numId="11">
    <w:abstractNumId w:val="10"/>
  </w:num>
  <w:num w:numId="12">
    <w:abstractNumId w:val="18"/>
  </w:num>
  <w:num w:numId="13">
    <w:abstractNumId w:val="19"/>
  </w:num>
  <w:num w:numId="14">
    <w:abstractNumId w:val="4"/>
  </w:num>
  <w:num w:numId="15">
    <w:abstractNumId w:val="15"/>
  </w:num>
  <w:num w:numId="16">
    <w:abstractNumId w:val="7"/>
  </w:num>
  <w:num w:numId="17">
    <w:abstractNumId w:val="20"/>
  </w:num>
  <w:num w:numId="18">
    <w:abstractNumId w:val="16"/>
  </w:num>
  <w:num w:numId="19">
    <w:abstractNumId w:val="8"/>
  </w:num>
  <w:num w:numId="20">
    <w:abstractNumId w:val="1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99"/>
    <w:rsid w:val="00000037"/>
    <w:rsid w:val="00003759"/>
    <w:rsid w:val="00015F9B"/>
    <w:rsid w:val="00017C56"/>
    <w:rsid w:val="00020621"/>
    <w:rsid w:val="00022BB2"/>
    <w:rsid w:val="0005710F"/>
    <w:rsid w:val="00061D88"/>
    <w:rsid w:val="000C3DDD"/>
    <w:rsid w:val="000D0584"/>
    <w:rsid w:val="000D5E6B"/>
    <w:rsid w:val="000F34DD"/>
    <w:rsid w:val="000F41DF"/>
    <w:rsid w:val="0010241C"/>
    <w:rsid w:val="0011195F"/>
    <w:rsid w:val="0012512F"/>
    <w:rsid w:val="0012630C"/>
    <w:rsid w:val="0015347D"/>
    <w:rsid w:val="00161DA1"/>
    <w:rsid w:val="001708AD"/>
    <w:rsid w:val="001731B8"/>
    <w:rsid w:val="001852DD"/>
    <w:rsid w:val="001A3842"/>
    <w:rsid w:val="001B14AB"/>
    <w:rsid w:val="001B228C"/>
    <w:rsid w:val="001C1F15"/>
    <w:rsid w:val="001C783F"/>
    <w:rsid w:val="001D7178"/>
    <w:rsid w:val="001F2261"/>
    <w:rsid w:val="0020736F"/>
    <w:rsid w:val="00213130"/>
    <w:rsid w:val="00227D78"/>
    <w:rsid w:val="0028798D"/>
    <w:rsid w:val="00296571"/>
    <w:rsid w:val="002A2E2B"/>
    <w:rsid w:val="002B1741"/>
    <w:rsid w:val="002B32AC"/>
    <w:rsid w:val="002B385E"/>
    <w:rsid w:val="002D328B"/>
    <w:rsid w:val="002E07DF"/>
    <w:rsid w:val="002E2CB0"/>
    <w:rsid w:val="003035C9"/>
    <w:rsid w:val="00306FC9"/>
    <w:rsid w:val="00330247"/>
    <w:rsid w:val="00330567"/>
    <w:rsid w:val="003410FE"/>
    <w:rsid w:val="003539A9"/>
    <w:rsid w:val="00356EE8"/>
    <w:rsid w:val="003E3C1F"/>
    <w:rsid w:val="003F0520"/>
    <w:rsid w:val="003F7667"/>
    <w:rsid w:val="003F7687"/>
    <w:rsid w:val="00407F97"/>
    <w:rsid w:val="004128EA"/>
    <w:rsid w:val="00430C10"/>
    <w:rsid w:val="00441D53"/>
    <w:rsid w:val="00443399"/>
    <w:rsid w:val="00457127"/>
    <w:rsid w:val="00471C89"/>
    <w:rsid w:val="00471E38"/>
    <w:rsid w:val="00477E99"/>
    <w:rsid w:val="004877DB"/>
    <w:rsid w:val="004B4B1B"/>
    <w:rsid w:val="004B6DFC"/>
    <w:rsid w:val="004C1CF4"/>
    <w:rsid w:val="004C2E19"/>
    <w:rsid w:val="00500932"/>
    <w:rsid w:val="00520399"/>
    <w:rsid w:val="00522210"/>
    <w:rsid w:val="00522D4F"/>
    <w:rsid w:val="00524CCF"/>
    <w:rsid w:val="0052699F"/>
    <w:rsid w:val="00530155"/>
    <w:rsid w:val="00555273"/>
    <w:rsid w:val="00574DB2"/>
    <w:rsid w:val="00580AA6"/>
    <w:rsid w:val="00590AC1"/>
    <w:rsid w:val="005C0B49"/>
    <w:rsid w:val="005C3EDC"/>
    <w:rsid w:val="005C6242"/>
    <w:rsid w:val="005E6468"/>
    <w:rsid w:val="0060664F"/>
    <w:rsid w:val="00610362"/>
    <w:rsid w:val="00620065"/>
    <w:rsid w:val="006753D7"/>
    <w:rsid w:val="006B148C"/>
    <w:rsid w:val="006B4153"/>
    <w:rsid w:val="006B69CC"/>
    <w:rsid w:val="006D5A33"/>
    <w:rsid w:val="006E1233"/>
    <w:rsid w:val="006E2E1F"/>
    <w:rsid w:val="006F7E3A"/>
    <w:rsid w:val="0071075C"/>
    <w:rsid w:val="00713C17"/>
    <w:rsid w:val="007200BA"/>
    <w:rsid w:val="00756D28"/>
    <w:rsid w:val="0076279C"/>
    <w:rsid w:val="00773ED5"/>
    <w:rsid w:val="00776DE7"/>
    <w:rsid w:val="0078112A"/>
    <w:rsid w:val="00795D4F"/>
    <w:rsid w:val="007C67AC"/>
    <w:rsid w:val="007D0414"/>
    <w:rsid w:val="007D5D8F"/>
    <w:rsid w:val="007E4273"/>
    <w:rsid w:val="00812CCA"/>
    <w:rsid w:val="00825CBA"/>
    <w:rsid w:val="00831B2C"/>
    <w:rsid w:val="00835663"/>
    <w:rsid w:val="00836ACA"/>
    <w:rsid w:val="008660DA"/>
    <w:rsid w:val="008670D6"/>
    <w:rsid w:val="00867465"/>
    <w:rsid w:val="00885644"/>
    <w:rsid w:val="008B198B"/>
    <w:rsid w:val="008B414F"/>
    <w:rsid w:val="008B603E"/>
    <w:rsid w:val="008E4C5A"/>
    <w:rsid w:val="008F561C"/>
    <w:rsid w:val="008F73FB"/>
    <w:rsid w:val="00914211"/>
    <w:rsid w:val="00926096"/>
    <w:rsid w:val="009371AA"/>
    <w:rsid w:val="00937AF4"/>
    <w:rsid w:val="00957C7B"/>
    <w:rsid w:val="00962F79"/>
    <w:rsid w:val="009643EC"/>
    <w:rsid w:val="00996677"/>
    <w:rsid w:val="0099776D"/>
    <w:rsid w:val="009A2663"/>
    <w:rsid w:val="009A3F7B"/>
    <w:rsid w:val="009A4B04"/>
    <w:rsid w:val="009B16F4"/>
    <w:rsid w:val="009B685F"/>
    <w:rsid w:val="009C634F"/>
    <w:rsid w:val="009E3A30"/>
    <w:rsid w:val="00A01E29"/>
    <w:rsid w:val="00A16104"/>
    <w:rsid w:val="00A37B79"/>
    <w:rsid w:val="00A54E93"/>
    <w:rsid w:val="00A62306"/>
    <w:rsid w:val="00A739CA"/>
    <w:rsid w:val="00A77B48"/>
    <w:rsid w:val="00A92B7D"/>
    <w:rsid w:val="00A962F3"/>
    <w:rsid w:val="00AA2538"/>
    <w:rsid w:val="00B14867"/>
    <w:rsid w:val="00B212CC"/>
    <w:rsid w:val="00B36420"/>
    <w:rsid w:val="00B64273"/>
    <w:rsid w:val="00B6609A"/>
    <w:rsid w:val="00B66E18"/>
    <w:rsid w:val="00B76856"/>
    <w:rsid w:val="00B76DFC"/>
    <w:rsid w:val="00B87944"/>
    <w:rsid w:val="00B92500"/>
    <w:rsid w:val="00B928B5"/>
    <w:rsid w:val="00B92CA3"/>
    <w:rsid w:val="00BB4A4C"/>
    <w:rsid w:val="00BB7BC9"/>
    <w:rsid w:val="00BD14C6"/>
    <w:rsid w:val="00BD48F0"/>
    <w:rsid w:val="00BE5A45"/>
    <w:rsid w:val="00BE7518"/>
    <w:rsid w:val="00BF3C48"/>
    <w:rsid w:val="00BF4F41"/>
    <w:rsid w:val="00BF61FC"/>
    <w:rsid w:val="00C009DD"/>
    <w:rsid w:val="00C12B68"/>
    <w:rsid w:val="00C268CB"/>
    <w:rsid w:val="00C27E3F"/>
    <w:rsid w:val="00C36C1C"/>
    <w:rsid w:val="00C4290C"/>
    <w:rsid w:val="00CA193A"/>
    <w:rsid w:val="00CA628E"/>
    <w:rsid w:val="00CB1A1F"/>
    <w:rsid w:val="00CE2924"/>
    <w:rsid w:val="00CE2C54"/>
    <w:rsid w:val="00CF558F"/>
    <w:rsid w:val="00CF789D"/>
    <w:rsid w:val="00D04925"/>
    <w:rsid w:val="00D061F6"/>
    <w:rsid w:val="00D250D2"/>
    <w:rsid w:val="00D3357F"/>
    <w:rsid w:val="00D33620"/>
    <w:rsid w:val="00D42B36"/>
    <w:rsid w:val="00D66CCA"/>
    <w:rsid w:val="00D66EC2"/>
    <w:rsid w:val="00D7472C"/>
    <w:rsid w:val="00D7668A"/>
    <w:rsid w:val="00D96C5D"/>
    <w:rsid w:val="00DA305C"/>
    <w:rsid w:val="00DA5E9E"/>
    <w:rsid w:val="00DA7A50"/>
    <w:rsid w:val="00DB3EE7"/>
    <w:rsid w:val="00DB72CD"/>
    <w:rsid w:val="00DC47B7"/>
    <w:rsid w:val="00DD497E"/>
    <w:rsid w:val="00DE6C90"/>
    <w:rsid w:val="00DF5CCC"/>
    <w:rsid w:val="00E235E2"/>
    <w:rsid w:val="00E26F18"/>
    <w:rsid w:val="00E307DD"/>
    <w:rsid w:val="00E34E43"/>
    <w:rsid w:val="00E4512D"/>
    <w:rsid w:val="00E468A0"/>
    <w:rsid w:val="00E51BD9"/>
    <w:rsid w:val="00E532CC"/>
    <w:rsid w:val="00E73666"/>
    <w:rsid w:val="00E73A76"/>
    <w:rsid w:val="00EA6461"/>
    <w:rsid w:val="00EB1F0E"/>
    <w:rsid w:val="00EB2910"/>
    <w:rsid w:val="00EE3086"/>
    <w:rsid w:val="00EF7F40"/>
    <w:rsid w:val="00F456BB"/>
    <w:rsid w:val="00F702F5"/>
    <w:rsid w:val="00F71134"/>
    <w:rsid w:val="00F95D4C"/>
    <w:rsid w:val="00F966B0"/>
    <w:rsid w:val="00FA16B5"/>
    <w:rsid w:val="00FB5B8F"/>
    <w:rsid w:val="00FE2274"/>
    <w:rsid w:val="00FF01F6"/>
    <w:rsid w:val="00FF276C"/>
    <w:rsid w:val="046E9814"/>
    <w:rsid w:val="0524807E"/>
    <w:rsid w:val="06244791"/>
    <w:rsid w:val="06251B01"/>
    <w:rsid w:val="0766D7EF"/>
    <w:rsid w:val="0781CDE6"/>
    <w:rsid w:val="07ED5D71"/>
    <w:rsid w:val="08D8DBAD"/>
    <w:rsid w:val="0A54877F"/>
    <w:rsid w:val="0B9AC60A"/>
    <w:rsid w:val="0C36B99A"/>
    <w:rsid w:val="0EDF4C16"/>
    <w:rsid w:val="10021759"/>
    <w:rsid w:val="1057A472"/>
    <w:rsid w:val="143E82CD"/>
    <w:rsid w:val="149BF4BD"/>
    <w:rsid w:val="166D25E2"/>
    <w:rsid w:val="16B7B014"/>
    <w:rsid w:val="17BB4AED"/>
    <w:rsid w:val="1A5146F9"/>
    <w:rsid w:val="1A750405"/>
    <w:rsid w:val="1C8DB561"/>
    <w:rsid w:val="1C8EF18A"/>
    <w:rsid w:val="1D67A404"/>
    <w:rsid w:val="1D685D30"/>
    <w:rsid w:val="1E7886CE"/>
    <w:rsid w:val="1FCD1E11"/>
    <w:rsid w:val="2008F985"/>
    <w:rsid w:val="205B616E"/>
    <w:rsid w:val="21866951"/>
    <w:rsid w:val="219E8C9D"/>
    <w:rsid w:val="2644A3A8"/>
    <w:rsid w:val="26D6185B"/>
    <w:rsid w:val="28B01A13"/>
    <w:rsid w:val="2AB9856E"/>
    <w:rsid w:val="2BFBCBBD"/>
    <w:rsid w:val="2C5555CF"/>
    <w:rsid w:val="31A1E9F0"/>
    <w:rsid w:val="320499BF"/>
    <w:rsid w:val="32797A41"/>
    <w:rsid w:val="32B0B46B"/>
    <w:rsid w:val="33C48E96"/>
    <w:rsid w:val="3530C7F3"/>
    <w:rsid w:val="38489EC3"/>
    <w:rsid w:val="39F35485"/>
    <w:rsid w:val="3DE6BCFB"/>
    <w:rsid w:val="3E2B0305"/>
    <w:rsid w:val="3E4B501A"/>
    <w:rsid w:val="3F115AF3"/>
    <w:rsid w:val="3F1F3A4E"/>
    <w:rsid w:val="3FA90EA8"/>
    <w:rsid w:val="4132CABC"/>
    <w:rsid w:val="42151649"/>
    <w:rsid w:val="427B62E1"/>
    <w:rsid w:val="45A62288"/>
    <w:rsid w:val="45EFCC3C"/>
    <w:rsid w:val="475CCE24"/>
    <w:rsid w:val="47F6316C"/>
    <w:rsid w:val="499201CD"/>
    <w:rsid w:val="4A8DDAD0"/>
    <w:rsid w:val="4BC45F5A"/>
    <w:rsid w:val="4C4CF299"/>
    <w:rsid w:val="4C8EF30E"/>
    <w:rsid w:val="4E3E2018"/>
    <w:rsid w:val="505661ED"/>
    <w:rsid w:val="51A1022C"/>
    <w:rsid w:val="57189243"/>
    <w:rsid w:val="5849E7CA"/>
    <w:rsid w:val="5B759C0C"/>
    <w:rsid w:val="5BA1E841"/>
    <w:rsid w:val="5BD62385"/>
    <w:rsid w:val="5C59463A"/>
    <w:rsid w:val="5E733ADA"/>
    <w:rsid w:val="607B3239"/>
    <w:rsid w:val="61B887C7"/>
    <w:rsid w:val="64B0BE8E"/>
    <w:rsid w:val="650CB12C"/>
    <w:rsid w:val="664406F1"/>
    <w:rsid w:val="66D3BBED"/>
    <w:rsid w:val="672D32CC"/>
    <w:rsid w:val="6A468A0C"/>
    <w:rsid w:val="6C74E1B4"/>
    <w:rsid w:val="6D5088CB"/>
    <w:rsid w:val="6D5EF0B9"/>
    <w:rsid w:val="6D83713C"/>
    <w:rsid w:val="742A8C5A"/>
    <w:rsid w:val="74FE768E"/>
    <w:rsid w:val="7621C6B9"/>
    <w:rsid w:val="79D1E7B1"/>
    <w:rsid w:val="7B291B8E"/>
    <w:rsid w:val="7BFD9A99"/>
    <w:rsid w:val="7CABE816"/>
    <w:rsid w:val="7DE58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EF6AB"/>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2C"/>
    <w:rPr>
      <w:sz w:val="24"/>
      <w:szCs w:val="24"/>
    </w:rPr>
  </w:style>
  <w:style w:type="paragraph" w:styleId="Ttulo2">
    <w:name w:val="heading 2"/>
    <w:basedOn w:val="Normal"/>
    <w:next w:val="Normal"/>
    <w:qFormat/>
    <w:rsid w:val="00D7472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D7472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D7472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D7472C"/>
    <w:pPr>
      <w:spacing w:line="360" w:lineRule="auto"/>
      <w:jc w:val="both"/>
    </w:pPr>
    <w:rPr>
      <w:rFonts w:ascii="Arial" w:hAnsi="Arial"/>
      <w:sz w:val="26"/>
      <w:szCs w:val="20"/>
      <w:lang w:val="es-ES_tradnl"/>
    </w:rPr>
  </w:style>
  <w:style w:type="paragraph" w:styleId="Textoindependiente2">
    <w:name w:val="Body Text 2"/>
    <w:basedOn w:val="Normal"/>
    <w:rsid w:val="00D7472C"/>
    <w:pPr>
      <w:spacing w:line="360" w:lineRule="auto"/>
      <w:ind w:right="51"/>
      <w:jc w:val="both"/>
    </w:pPr>
    <w:rPr>
      <w:rFonts w:ascii="Arial" w:hAnsi="Arial"/>
      <w:szCs w:val="20"/>
      <w:lang w:val="es-ES_tradnl"/>
    </w:rPr>
  </w:style>
  <w:style w:type="character" w:styleId="Refdenotaalpie">
    <w:name w:val="footnote reference"/>
    <w:uiPriority w:val="99"/>
    <w:semiHidden/>
    <w:rsid w:val="00D7472C"/>
    <w:rPr>
      <w:vertAlign w:val="superscript"/>
    </w:rPr>
  </w:style>
  <w:style w:type="paragraph" w:styleId="Cierre">
    <w:name w:val="Closing"/>
    <w:basedOn w:val="Normal"/>
    <w:rsid w:val="00D7472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texto de nota al pie"/>
    <w:basedOn w:val="Normal"/>
    <w:link w:val="TextonotapieCar1"/>
    <w:uiPriority w:val="99"/>
    <w:qFormat/>
    <w:rsid w:val="00D7472C"/>
    <w:rPr>
      <w:sz w:val="20"/>
      <w:szCs w:val="20"/>
      <w:lang w:val="es-ES_tradnl"/>
    </w:rPr>
  </w:style>
  <w:style w:type="paragraph" w:styleId="Encabezado">
    <w:name w:val="header"/>
    <w:basedOn w:val="Normal"/>
    <w:rsid w:val="00D7472C"/>
    <w:pPr>
      <w:tabs>
        <w:tab w:val="center" w:pos="4252"/>
        <w:tab w:val="right" w:pos="8504"/>
      </w:tabs>
    </w:pPr>
    <w:rPr>
      <w:sz w:val="20"/>
      <w:szCs w:val="20"/>
      <w:lang w:val="es-ES_tradnl"/>
    </w:rPr>
  </w:style>
  <w:style w:type="paragraph" w:styleId="Piedepgina">
    <w:name w:val="footer"/>
    <w:basedOn w:val="Normal"/>
    <w:rsid w:val="00D7472C"/>
    <w:pPr>
      <w:tabs>
        <w:tab w:val="center" w:pos="4419"/>
        <w:tab w:val="right" w:pos="8838"/>
      </w:tabs>
    </w:pPr>
    <w:rPr>
      <w:sz w:val="20"/>
      <w:szCs w:val="20"/>
      <w:lang w:val="es-ES_tradnl"/>
    </w:rPr>
  </w:style>
  <w:style w:type="character" w:styleId="Hipervnculo">
    <w:name w:val="Hyperlink"/>
    <w:rsid w:val="00D7472C"/>
    <w:rPr>
      <w:rFonts w:ascii="Times New Roman" w:hAnsi="Times New Roman" w:cs="Times New Roman" w:hint="default"/>
      <w:color w:val="660099"/>
      <w:u w:val="single"/>
    </w:rPr>
  </w:style>
  <w:style w:type="character" w:customStyle="1" w:styleId="PiedepginaCar">
    <w:name w:val="Pie de página Car"/>
    <w:locked/>
    <w:rsid w:val="00D7472C"/>
    <w:rPr>
      <w:lang w:val="es-ES_tradnl" w:eastAsia="es-ES" w:bidi="ar-SA"/>
    </w:rPr>
  </w:style>
  <w:style w:type="paragraph" w:styleId="Textodebloque">
    <w:name w:val="Block Text"/>
    <w:basedOn w:val="Normal"/>
    <w:rsid w:val="00D7472C"/>
    <w:pPr>
      <w:overflowPunct w:val="0"/>
      <w:autoSpaceDE w:val="0"/>
      <w:autoSpaceDN w:val="0"/>
      <w:adjustRightInd w:val="0"/>
      <w:ind w:left="360" w:right="740"/>
      <w:jc w:val="both"/>
    </w:pPr>
    <w:rPr>
      <w:rFonts w:ascii="Arial" w:hAnsi="Arial" w:cs="Arial"/>
      <w:i/>
      <w:iCs/>
      <w:sz w:val="20"/>
      <w:lang w:val="es-CO"/>
    </w:rPr>
  </w:style>
  <w:style w:type="paragraph" w:customStyle="1" w:styleId="Style8">
    <w:name w:val="Style8"/>
    <w:basedOn w:val="Normal"/>
    <w:rsid w:val="00D7472C"/>
    <w:pPr>
      <w:widowControl w:val="0"/>
      <w:autoSpaceDE w:val="0"/>
      <w:autoSpaceDN w:val="0"/>
      <w:adjustRightInd w:val="0"/>
      <w:spacing w:line="434" w:lineRule="exact"/>
      <w:ind w:firstLine="1157"/>
      <w:jc w:val="both"/>
    </w:pPr>
    <w:rPr>
      <w:rFonts w:ascii="Tahoma" w:hAnsi="Tahoma"/>
    </w:rPr>
  </w:style>
  <w:style w:type="character" w:customStyle="1" w:styleId="FontStyle24">
    <w:name w:val="Font Style24"/>
    <w:rsid w:val="00D7472C"/>
    <w:rPr>
      <w:rFonts w:ascii="Tahoma" w:hAnsi="Tahoma" w:cs="Tahoma"/>
      <w:color w:val="000000"/>
      <w:sz w:val="20"/>
      <w:szCs w:val="20"/>
    </w:rPr>
  </w:style>
  <w:style w:type="paragraph" w:customStyle="1" w:styleId="Style4">
    <w:name w:val="Style4"/>
    <w:basedOn w:val="Normal"/>
    <w:rsid w:val="00D7472C"/>
    <w:pPr>
      <w:widowControl w:val="0"/>
      <w:autoSpaceDE w:val="0"/>
      <w:autoSpaceDN w:val="0"/>
      <w:adjustRightInd w:val="0"/>
      <w:spacing w:line="290" w:lineRule="exact"/>
      <w:jc w:val="both"/>
    </w:pPr>
    <w:rPr>
      <w:rFonts w:ascii="Tahoma" w:hAnsi="Tahoma"/>
    </w:rPr>
  </w:style>
  <w:style w:type="character" w:customStyle="1" w:styleId="FontStyle20">
    <w:name w:val="Font Style20"/>
    <w:rsid w:val="00D7472C"/>
    <w:rPr>
      <w:rFonts w:ascii="Book Antiqua" w:hAnsi="Book Antiqua" w:cs="Book Antiqua"/>
      <w:i/>
      <w:iCs/>
      <w:color w:val="000000"/>
      <w:sz w:val="22"/>
      <w:szCs w:val="22"/>
    </w:rPr>
  </w:style>
  <w:style w:type="character" w:customStyle="1" w:styleId="FontStyle21">
    <w:name w:val="Font Style21"/>
    <w:rsid w:val="00D7472C"/>
    <w:rPr>
      <w:rFonts w:ascii="Book Antiqua" w:hAnsi="Book Antiqua" w:cs="Book Antiqua"/>
      <w:b/>
      <w:bCs/>
      <w:i/>
      <w:iCs/>
      <w:color w:val="000000"/>
      <w:sz w:val="22"/>
      <w:szCs w:val="22"/>
    </w:rPr>
  </w:style>
  <w:style w:type="paragraph" w:customStyle="1" w:styleId="Style10">
    <w:name w:val="Style10"/>
    <w:basedOn w:val="Normal"/>
    <w:rsid w:val="00D7472C"/>
    <w:pPr>
      <w:widowControl w:val="0"/>
      <w:autoSpaceDE w:val="0"/>
      <w:autoSpaceDN w:val="0"/>
      <w:adjustRightInd w:val="0"/>
    </w:pPr>
    <w:rPr>
      <w:rFonts w:ascii="Tahoma" w:hAnsi="Tahoma"/>
    </w:rPr>
  </w:style>
  <w:style w:type="character" w:customStyle="1" w:styleId="FontStyle22">
    <w:name w:val="Font Style22"/>
    <w:rsid w:val="00D7472C"/>
    <w:rPr>
      <w:rFonts w:ascii="Tahoma" w:hAnsi="Tahoma" w:cs="Tahoma"/>
      <w:i/>
      <w:iCs/>
      <w:color w:val="000000"/>
      <w:spacing w:val="10"/>
      <w:sz w:val="20"/>
      <w:szCs w:val="20"/>
    </w:rPr>
  </w:style>
  <w:style w:type="character" w:customStyle="1" w:styleId="FontStyle23">
    <w:name w:val="Font Style23"/>
    <w:rsid w:val="00D7472C"/>
    <w:rPr>
      <w:rFonts w:ascii="Arial" w:hAnsi="Arial" w:cs="Arial"/>
      <w:color w:val="000000"/>
      <w:sz w:val="14"/>
      <w:szCs w:val="14"/>
    </w:rPr>
  </w:style>
  <w:style w:type="character" w:customStyle="1" w:styleId="FontStyle25">
    <w:name w:val="Font Style25"/>
    <w:rsid w:val="00D7472C"/>
    <w:rPr>
      <w:rFonts w:ascii="Tahoma" w:hAnsi="Tahoma" w:cs="Tahoma"/>
      <w:b/>
      <w:bCs/>
      <w:color w:val="000000"/>
      <w:sz w:val="20"/>
      <w:szCs w:val="20"/>
    </w:rPr>
  </w:style>
  <w:style w:type="paragraph" w:styleId="Textodeglobo">
    <w:name w:val="Balloon Text"/>
    <w:basedOn w:val="Normal"/>
    <w:link w:val="TextodegloboCar"/>
    <w:rsid w:val="00A54E93"/>
    <w:rPr>
      <w:rFonts w:ascii="Segoe UI" w:hAnsi="Segoe UI" w:cs="Segoe UI"/>
      <w:sz w:val="18"/>
      <w:szCs w:val="18"/>
    </w:rPr>
  </w:style>
  <w:style w:type="character" w:customStyle="1" w:styleId="TextodegloboCar">
    <w:name w:val="Texto de globo Car"/>
    <w:link w:val="Textodeglobo"/>
    <w:rsid w:val="00A54E93"/>
    <w:rPr>
      <w:rFonts w:ascii="Segoe UI" w:hAnsi="Segoe UI" w:cs="Segoe UI"/>
      <w:sz w:val="18"/>
      <w:szCs w:val="18"/>
    </w:rPr>
  </w:style>
  <w:style w:type="character" w:customStyle="1" w:styleId="TextoindependienteCar">
    <w:name w:val="Texto independiente Car"/>
    <w:link w:val="Textoindependiente"/>
    <w:rsid w:val="00B14867"/>
    <w:rPr>
      <w:rFonts w:ascii="Arial" w:hAnsi="Arial"/>
      <w:sz w:val="26"/>
      <w:lang w:val="es-ES_tradnl"/>
    </w:rPr>
  </w:style>
  <w:style w:type="character" w:customStyle="1" w:styleId="apple-converted-space">
    <w:name w:val="apple-converted-space"/>
    <w:rsid w:val="009B16F4"/>
    <w:rPr>
      <w:rFonts w:ascii="Times New Roman" w:hAnsi="Times New Roman" w:cs="Times New Roman" w:hint="defaul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 Car,Footnote Text Char Char Char Car1,Footnote Text Char Car"/>
    <w:link w:val="Textonotapie"/>
    <w:uiPriority w:val="99"/>
    <w:rsid w:val="009B16F4"/>
    <w:rPr>
      <w:lang w:val="es-ES_tradnl"/>
    </w:rPr>
  </w:style>
  <w:style w:type="paragraph" w:customStyle="1" w:styleId="p1">
    <w:name w:val="p1"/>
    <w:basedOn w:val="Normal"/>
    <w:rsid w:val="009B16F4"/>
    <w:pPr>
      <w:spacing w:before="100" w:beforeAutospacing="1" w:after="100" w:afterAutospacing="1"/>
    </w:pPr>
  </w:style>
  <w:style w:type="paragraph" w:customStyle="1" w:styleId="p2">
    <w:name w:val="p2"/>
    <w:basedOn w:val="Normal"/>
    <w:rsid w:val="00F702F5"/>
    <w:pPr>
      <w:spacing w:before="100" w:beforeAutospacing="1" w:after="100" w:afterAutospacing="1"/>
    </w:pPr>
  </w:style>
  <w:style w:type="paragraph" w:styleId="Textocomentario">
    <w:name w:val="annotation text"/>
    <w:basedOn w:val="Normal"/>
    <w:link w:val="TextocomentarioCar"/>
    <w:rsid w:val="00C12B68"/>
    <w:rPr>
      <w:sz w:val="20"/>
      <w:szCs w:val="20"/>
    </w:rPr>
  </w:style>
  <w:style w:type="character" w:customStyle="1" w:styleId="TextocomentarioCar">
    <w:name w:val="Texto comentario Car"/>
    <w:basedOn w:val="Fuentedeprrafopredeter"/>
    <w:link w:val="Textocomentario"/>
    <w:rsid w:val="00C12B68"/>
  </w:style>
  <w:style w:type="character" w:styleId="Refdecomentario">
    <w:name w:val="annotation reference"/>
    <w:basedOn w:val="Fuentedeprrafopredeter"/>
    <w:rsid w:val="00C12B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e5d1c9786a9b4ea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F689D-838B-4D80-8854-98562399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0A373-F64D-4F77-BFFC-F66F8215B2A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9C1CBEED-EFFA-4C5B-8384-4B4269B51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4158</Words>
  <Characters>22873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32</cp:revision>
  <cp:lastPrinted>2014-12-19T16:24:00Z</cp:lastPrinted>
  <dcterms:created xsi:type="dcterms:W3CDTF">2021-10-06T21:00:00Z</dcterms:created>
  <dcterms:modified xsi:type="dcterms:W3CDTF">2021-11-18T14:40:00Z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