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CD7" w:rsidRPr="00C62CD7" w:rsidRDefault="00C62CD7" w:rsidP="00C62CD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62CD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2CD7" w:rsidRPr="00C62CD7" w:rsidRDefault="00C62CD7" w:rsidP="00C62CD7">
      <w:pPr>
        <w:spacing w:after="0" w:line="240" w:lineRule="auto"/>
        <w:jc w:val="both"/>
        <w:rPr>
          <w:rFonts w:ascii="Arial" w:eastAsia="Times New Roman" w:hAnsi="Arial" w:cs="Arial"/>
          <w:sz w:val="20"/>
          <w:szCs w:val="20"/>
          <w:lang w:val="es-419" w:eastAsia="es-ES"/>
        </w:rPr>
      </w:pPr>
    </w:p>
    <w:bookmarkEnd w:id="0"/>
    <w:p w:rsidR="00C62CD7" w:rsidRPr="00C62CD7" w:rsidRDefault="00C62CD7" w:rsidP="00C62CD7">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C62CD7" w:rsidRPr="00C62CD7" w:rsidRDefault="00C62CD7" w:rsidP="00C62CD7">
      <w:pPr>
        <w:spacing w:after="0" w:line="240" w:lineRule="auto"/>
        <w:jc w:val="both"/>
        <w:rPr>
          <w:rFonts w:ascii="Arial" w:eastAsia="Times New Roman" w:hAnsi="Arial" w:cs="Arial"/>
          <w:sz w:val="20"/>
          <w:szCs w:val="20"/>
          <w:lang w:val="es-419" w:eastAsia="es-ES"/>
        </w:rPr>
      </w:pPr>
    </w:p>
    <w:p w:rsidR="00C62CD7" w:rsidRPr="00C62CD7" w:rsidRDefault="00C62CD7" w:rsidP="00C62CD7">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62CD7" w:rsidRPr="00C62CD7" w:rsidRDefault="00C62CD7" w:rsidP="00C62CD7">
      <w:pPr>
        <w:spacing w:after="0" w:line="240" w:lineRule="auto"/>
        <w:jc w:val="both"/>
        <w:rPr>
          <w:rFonts w:ascii="Arial" w:eastAsia="Times New Roman" w:hAnsi="Arial" w:cs="Arial"/>
          <w:sz w:val="20"/>
          <w:szCs w:val="20"/>
          <w:lang w:val="es-419" w:eastAsia="es-ES"/>
        </w:rPr>
      </w:pPr>
    </w:p>
    <w:p w:rsidR="00C62CD7" w:rsidRPr="00C62CD7" w:rsidRDefault="00C62CD7" w:rsidP="00C62CD7">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C62CD7" w:rsidRPr="00C62CD7" w:rsidRDefault="00C62CD7" w:rsidP="00C62CD7">
      <w:pPr>
        <w:spacing w:after="0" w:line="240" w:lineRule="auto"/>
        <w:jc w:val="both"/>
        <w:rPr>
          <w:rFonts w:ascii="Arial" w:eastAsia="Times New Roman" w:hAnsi="Arial" w:cs="Arial"/>
          <w:sz w:val="20"/>
          <w:szCs w:val="20"/>
          <w:lang w:val="es-419" w:eastAsia="es-ES"/>
        </w:rPr>
      </w:pPr>
    </w:p>
    <w:p w:rsidR="00C62CD7" w:rsidRPr="00C62CD7" w:rsidRDefault="00C62CD7" w:rsidP="00C62CD7">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62CD7" w:rsidRPr="00C62CD7" w:rsidRDefault="00C62CD7" w:rsidP="00C62CD7">
      <w:pPr>
        <w:spacing w:after="0" w:line="240" w:lineRule="auto"/>
        <w:jc w:val="both"/>
        <w:rPr>
          <w:rFonts w:ascii="Arial" w:eastAsia="Times New Roman" w:hAnsi="Arial" w:cs="Arial"/>
          <w:sz w:val="20"/>
          <w:szCs w:val="20"/>
          <w:lang w:val="es-419"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line="240" w:lineRule="auto"/>
        <w:jc w:val="both"/>
        <w:rPr>
          <w:rFonts w:ascii="Arial" w:eastAsia="Times New Roman" w:hAnsi="Arial" w:cs="Arial"/>
          <w:sz w:val="20"/>
          <w:szCs w:val="20"/>
          <w:lang w:val="es-ES" w:eastAsia="es-ES"/>
        </w:rPr>
      </w:pPr>
    </w:p>
    <w:p w:rsidR="00C62CD7" w:rsidRPr="00C62CD7" w:rsidRDefault="00C62CD7" w:rsidP="00C62CD7">
      <w:pPr>
        <w:spacing w:after="0"/>
        <w:jc w:val="center"/>
        <w:textAlignment w:val="baseline"/>
        <w:rPr>
          <w:rFonts w:ascii="Arial" w:eastAsia="Times New Roman" w:hAnsi="Arial" w:cs="Arial"/>
          <w:sz w:val="24"/>
          <w:szCs w:val="24"/>
          <w:lang w:eastAsia="es-CO"/>
        </w:rPr>
      </w:pPr>
      <w:r w:rsidRPr="00C62CD7">
        <w:rPr>
          <w:rFonts w:ascii="Arial" w:eastAsia="Times New Roman" w:hAnsi="Arial" w:cs="Arial"/>
          <w:b/>
          <w:bCs/>
          <w:sz w:val="24"/>
          <w:szCs w:val="24"/>
          <w:lang w:eastAsia="es-CO"/>
        </w:rPr>
        <w:t>TRIBUNAL SUPERIOR DEL DISTRITO JUDICIAL</w:t>
      </w:r>
    </w:p>
    <w:p w:rsidR="00C62CD7" w:rsidRPr="00C62CD7" w:rsidRDefault="00C62CD7" w:rsidP="00C62CD7">
      <w:pPr>
        <w:spacing w:after="0"/>
        <w:jc w:val="center"/>
        <w:textAlignment w:val="baseline"/>
        <w:rPr>
          <w:rFonts w:ascii="Arial" w:eastAsia="Times New Roman" w:hAnsi="Arial" w:cs="Arial"/>
          <w:sz w:val="24"/>
          <w:szCs w:val="24"/>
          <w:lang w:eastAsia="es-CO"/>
        </w:rPr>
      </w:pPr>
      <w:r w:rsidRPr="00C62CD7">
        <w:rPr>
          <w:rFonts w:ascii="Arial" w:eastAsia="Times New Roman" w:hAnsi="Arial" w:cs="Arial"/>
          <w:b/>
          <w:bCs/>
          <w:sz w:val="24"/>
          <w:szCs w:val="24"/>
          <w:lang w:eastAsia="es-CO"/>
        </w:rPr>
        <w:t>SALA DE DECISIÓN LABORAL</w:t>
      </w:r>
    </w:p>
    <w:p w:rsidR="00C62CD7" w:rsidRPr="00C62CD7" w:rsidRDefault="00C62CD7" w:rsidP="00C62CD7">
      <w:pPr>
        <w:spacing w:after="0"/>
        <w:jc w:val="center"/>
        <w:textAlignment w:val="baseline"/>
        <w:rPr>
          <w:rFonts w:ascii="Arial" w:eastAsia="Times New Roman" w:hAnsi="Arial" w:cs="Arial"/>
          <w:sz w:val="24"/>
          <w:szCs w:val="24"/>
          <w:lang w:eastAsia="es-CO"/>
        </w:rPr>
      </w:pPr>
      <w:r w:rsidRPr="00C62CD7">
        <w:rPr>
          <w:rFonts w:ascii="Arial" w:eastAsia="Times New Roman" w:hAnsi="Arial" w:cs="Arial"/>
          <w:b/>
          <w:bCs/>
          <w:sz w:val="24"/>
          <w:szCs w:val="24"/>
          <w:lang w:eastAsia="es-CO"/>
        </w:rPr>
        <w:t>MAGISTRADO PONENTE: JULIO CÉSAR SALAZAR MUÑOZ</w:t>
      </w:r>
    </w:p>
    <w:p w:rsidR="00C62CD7" w:rsidRPr="00C62CD7" w:rsidRDefault="00C62CD7" w:rsidP="00C62CD7">
      <w:pPr>
        <w:spacing w:after="0"/>
        <w:jc w:val="center"/>
        <w:textAlignment w:val="baseline"/>
        <w:rPr>
          <w:rFonts w:ascii="Arial" w:eastAsia="Times New Roman" w:hAnsi="Arial" w:cs="Arial"/>
          <w:b/>
          <w:bCs/>
          <w:sz w:val="24"/>
          <w:szCs w:val="24"/>
          <w:lang w:eastAsia="es-CO"/>
        </w:rPr>
      </w:pPr>
    </w:p>
    <w:p w:rsidR="006F047F" w:rsidRPr="00C62CD7" w:rsidRDefault="00C62CD7" w:rsidP="00095DA5">
      <w:pPr>
        <w:spacing w:after="0"/>
        <w:jc w:val="center"/>
        <w:textAlignment w:val="baseline"/>
        <w:rPr>
          <w:rFonts w:ascii="Arial" w:eastAsia="Times New Roman" w:hAnsi="Arial" w:cs="Arial"/>
          <w:bCs/>
          <w:sz w:val="24"/>
          <w:szCs w:val="24"/>
          <w:lang w:eastAsia="es-CO"/>
        </w:rPr>
      </w:pPr>
      <w:r w:rsidRPr="00C62CD7">
        <w:rPr>
          <w:rFonts w:ascii="Arial" w:eastAsia="Times New Roman" w:hAnsi="Arial" w:cs="Arial"/>
          <w:bCs/>
          <w:sz w:val="24"/>
          <w:szCs w:val="24"/>
          <w:lang w:eastAsia="es-CO"/>
        </w:rPr>
        <w:t>Pereira, tres de noviembre de dos mil veintiuno</w:t>
      </w:r>
    </w:p>
    <w:p w:rsidR="003835A9" w:rsidRPr="00C62CD7" w:rsidRDefault="006F047F" w:rsidP="00C62CD7">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Cs/>
          <w:sz w:val="24"/>
          <w:szCs w:val="24"/>
          <w:lang w:eastAsia="es-CO"/>
        </w:rPr>
        <w:t>Acta de Sala de Discusión No 173 de 2 de noviembre de 2021</w:t>
      </w:r>
      <w:r w:rsidR="003835A9" w:rsidRPr="00095DA5">
        <w:rPr>
          <w:rStyle w:val="eop"/>
          <w:rFonts w:ascii="Arial" w:hAnsi="Arial" w:cs="Arial"/>
          <w:sz w:val="24"/>
          <w:szCs w:val="24"/>
        </w:rPr>
        <w:t> </w:t>
      </w:r>
    </w:p>
    <w:p w:rsidR="00C62CD7" w:rsidRDefault="00C62CD7" w:rsidP="00095DA5">
      <w:pPr>
        <w:pStyle w:val="paragraph"/>
        <w:spacing w:before="0" w:beforeAutospacing="0" w:after="0" w:afterAutospacing="0" w:line="276" w:lineRule="auto"/>
        <w:jc w:val="both"/>
        <w:textAlignment w:val="baseline"/>
        <w:rPr>
          <w:rStyle w:val="eop"/>
          <w:rFonts w:ascii="Arial" w:hAnsi="Arial" w:cs="Arial"/>
        </w:rPr>
      </w:pPr>
    </w:p>
    <w:p w:rsidR="003835A9" w:rsidRPr="00095DA5" w:rsidRDefault="003835A9" w:rsidP="00095DA5">
      <w:pPr>
        <w:pStyle w:val="paragraph"/>
        <w:spacing w:before="0" w:beforeAutospacing="0" w:after="0" w:afterAutospacing="0" w:line="276" w:lineRule="auto"/>
        <w:jc w:val="both"/>
        <w:textAlignment w:val="baseline"/>
        <w:rPr>
          <w:rFonts w:ascii="Arial" w:hAnsi="Arial" w:cs="Arial"/>
        </w:rPr>
      </w:pPr>
      <w:r w:rsidRPr="00095DA5">
        <w:rPr>
          <w:rStyle w:val="eop"/>
          <w:rFonts w:ascii="Arial" w:hAnsi="Arial" w:cs="Arial"/>
        </w:rPr>
        <w:t> </w:t>
      </w:r>
    </w:p>
    <w:p w:rsidR="003835A9" w:rsidRPr="00095DA5" w:rsidRDefault="003835A9" w:rsidP="00095DA5">
      <w:pPr>
        <w:suppressAutoHyphens/>
        <w:spacing w:after="0"/>
        <w:jc w:val="both"/>
        <w:rPr>
          <w:rStyle w:val="normaltextrun"/>
          <w:rFonts w:ascii="Arial" w:hAnsi="Arial" w:cs="Arial"/>
          <w:sz w:val="24"/>
          <w:szCs w:val="24"/>
        </w:rPr>
      </w:pPr>
      <w:r w:rsidRPr="00095DA5">
        <w:rPr>
          <w:rStyle w:val="normaltextrun"/>
          <w:rFonts w:ascii="Arial" w:hAnsi="Arial" w:cs="Arial"/>
          <w:sz w:val="24"/>
          <w:szCs w:val="24"/>
        </w:rPr>
        <w:lastRenderedPageBreak/>
        <w:t xml:space="preserve">Se resuelven los recursos de apelación interpuestos por las demandadas </w:t>
      </w:r>
      <w:r w:rsidR="003D69A3" w:rsidRPr="003D69A3">
        <w:rPr>
          <w:rStyle w:val="normaltextrun"/>
          <w:rFonts w:ascii="Arial" w:hAnsi="Arial" w:cs="Arial"/>
          <w:b/>
          <w:sz w:val="24"/>
          <w:szCs w:val="24"/>
        </w:rPr>
        <w:t xml:space="preserve">Colfondos </w:t>
      </w:r>
      <w:r w:rsidRPr="003D69A3">
        <w:rPr>
          <w:rStyle w:val="normaltextrun"/>
          <w:rFonts w:ascii="Arial" w:hAnsi="Arial" w:cs="Arial"/>
          <w:b/>
          <w:sz w:val="24"/>
          <w:szCs w:val="24"/>
        </w:rPr>
        <w:t xml:space="preserve">S.A., </w:t>
      </w:r>
      <w:r w:rsidR="003D69A3" w:rsidRPr="003D69A3">
        <w:rPr>
          <w:rStyle w:val="normaltextrun"/>
          <w:rFonts w:ascii="Arial" w:hAnsi="Arial" w:cs="Arial"/>
          <w:b/>
          <w:sz w:val="24"/>
          <w:szCs w:val="24"/>
        </w:rPr>
        <w:t xml:space="preserve">Porvenir </w:t>
      </w:r>
      <w:r w:rsidRPr="003D69A3">
        <w:rPr>
          <w:rStyle w:val="normaltextrun"/>
          <w:rFonts w:ascii="Arial" w:hAnsi="Arial" w:cs="Arial"/>
          <w:b/>
          <w:sz w:val="24"/>
          <w:szCs w:val="24"/>
        </w:rPr>
        <w:t xml:space="preserve">S.A., </w:t>
      </w:r>
      <w:r w:rsidR="003D69A3" w:rsidRPr="003D69A3">
        <w:rPr>
          <w:rStyle w:val="normaltextrun"/>
          <w:rFonts w:ascii="Arial" w:hAnsi="Arial" w:cs="Arial"/>
          <w:b/>
          <w:sz w:val="24"/>
          <w:szCs w:val="24"/>
        </w:rPr>
        <w:t xml:space="preserve">Protección </w:t>
      </w:r>
      <w:r w:rsidRPr="003D69A3">
        <w:rPr>
          <w:rStyle w:val="normaltextrun"/>
          <w:rFonts w:ascii="Arial" w:hAnsi="Arial" w:cs="Arial"/>
          <w:b/>
          <w:sz w:val="24"/>
          <w:szCs w:val="24"/>
        </w:rPr>
        <w:t xml:space="preserve">S.A. </w:t>
      </w:r>
      <w:r w:rsidRPr="003D69A3">
        <w:rPr>
          <w:rStyle w:val="normaltextrun"/>
          <w:rFonts w:ascii="Arial" w:hAnsi="Arial" w:cs="Arial"/>
          <w:sz w:val="24"/>
          <w:szCs w:val="24"/>
        </w:rPr>
        <w:t>y la</w:t>
      </w:r>
      <w:r w:rsidRPr="003D69A3">
        <w:rPr>
          <w:rStyle w:val="normaltextrun"/>
          <w:rFonts w:ascii="Arial" w:hAnsi="Arial" w:cs="Arial"/>
          <w:b/>
          <w:sz w:val="24"/>
          <w:szCs w:val="24"/>
        </w:rPr>
        <w:t xml:space="preserve"> </w:t>
      </w:r>
      <w:r w:rsidR="003D69A3" w:rsidRPr="003D69A3">
        <w:rPr>
          <w:rStyle w:val="normaltextrun"/>
          <w:rFonts w:ascii="Arial" w:hAnsi="Arial" w:cs="Arial"/>
          <w:b/>
          <w:sz w:val="24"/>
          <w:szCs w:val="24"/>
        </w:rPr>
        <w:t>Administradora Colombiana de Pensiones</w:t>
      </w:r>
      <w:r w:rsidR="003D69A3" w:rsidRPr="00095DA5">
        <w:rPr>
          <w:rStyle w:val="normaltextrun"/>
          <w:rFonts w:ascii="Arial" w:hAnsi="Arial" w:cs="Arial"/>
          <w:sz w:val="24"/>
          <w:szCs w:val="24"/>
        </w:rPr>
        <w:t xml:space="preserve"> </w:t>
      </w:r>
      <w:r w:rsidRPr="00095DA5">
        <w:rPr>
          <w:rStyle w:val="normaltextrun"/>
          <w:rFonts w:ascii="Arial" w:hAnsi="Arial" w:cs="Arial"/>
          <w:sz w:val="24"/>
          <w:szCs w:val="24"/>
        </w:rPr>
        <w:t xml:space="preserve">en contra de la sentencia proferida por el Juzgado Quinto Laboral del Circuito el 21 de mayo de 2021, así como el grado jurisdiccional de consulta dispuesto a favor de </w:t>
      </w:r>
      <w:r w:rsidR="007F2308" w:rsidRPr="007F2308">
        <w:rPr>
          <w:rStyle w:val="normaltextrun"/>
          <w:rFonts w:ascii="Arial" w:hAnsi="Arial" w:cs="Arial"/>
          <w:b/>
          <w:sz w:val="24"/>
          <w:szCs w:val="24"/>
        </w:rPr>
        <w:t>Colpensiones</w:t>
      </w:r>
      <w:r w:rsidRPr="00095DA5">
        <w:rPr>
          <w:rStyle w:val="normaltextrun"/>
          <w:rFonts w:ascii="Arial" w:hAnsi="Arial" w:cs="Arial"/>
          <w:sz w:val="24"/>
          <w:szCs w:val="24"/>
        </w:rPr>
        <w:t xml:space="preserve">, dentro del proceso promovido por la señora </w:t>
      </w:r>
      <w:r w:rsidR="003D69A3" w:rsidRPr="003D69A3">
        <w:rPr>
          <w:rStyle w:val="normaltextrun"/>
          <w:rFonts w:ascii="Arial" w:hAnsi="Arial" w:cs="Arial"/>
          <w:b/>
          <w:sz w:val="24"/>
          <w:szCs w:val="24"/>
        </w:rPr>
        <w:t>Celsa Julia Hernández Ruiz</w:t>
      </w:r>
      <w:r w:rsidRPr="00095DA5">
        <w:rPr>
          <w:rStyle w:val="normaltextrun"/>
          <w:rFonts w:ascii="Arial" w:hAnsi="Arial" w:cs="Arial"/>
          <w:sz w:val="24"/>
          <w:szCs w:val="24"/>
        </w:rPr>
        <w:t>, cuya radicación corresponde al N°</w:t>
      </w:r>
      <w:r w:rsidR="003D69A3">
        <w:rPr>
          <w:rStyle w:val="normaltextrun"/>
          <w:rFonts w:ascii="Arial" w:hAnsi="Arial" w:cs="Arial"/>
          <w:sz w:val="24"/>
          <w:szCs w:val="24"/>
        </w:rPr>
        <w:t xml:space="preserve"> </w:t>
      </w:r>
      <w:r w:rsidRPr="00095DA5">
        <w:rPr>
          <w:rStyle w:val="normaltextrun"/>
          <w:rFonts w:ascii="Arial" w:hAnsi="Arial" w:cs="Arial"/>
          <w:sz w:val="24"/>
          <w:szCs w:val="24"/>
        </w:rPr>
        <w:t>66001</w:t>
      </w:r>
      <w:r w:rsidR="003D69A3">
        <w:rPr>
          <w:rStyle w:val="normaltextrun"/>
          <w:rFonts w:ascii="Arial" w:hAnsi="Arial" w:cs="Arial"/>
          <w:sz w:val="24"/>
          <w:szCs w:val="24"/>
        </w:rPr>
        <w:t xml:space="preserve"> </w:t>
      </w:r>
      <w:r w:rsidRPr="00095DA5">
        <w:rPr>
          <w:rStyle w:val="normaltextrun"/>
          <w:rFonts w:ascii="Arial" w:hAnsi="Arial" w:cs="Arial"/>
          <w:sz w:val="24"/>
          <w:szCs w:val="24"/>
        </w:rPr>
        <w:t>31</w:t>
      </w:r>
      <w:r w:rsidR="003D69A3">
        <w:rPr>
          <w:rStyle w:val="normaltextrun"/>
          <w:rFonts w:ascii="Arial" w:hAnsi="Arial" w:cs="Arial"/>
          <w:sz w:val="24"/>
          <w:szCs w:val="24"/>
        </w:rPr>
        <w:t xml:space="preserve"> </w:t>
      </w:r>
      <w:r w:rsidRPr="00095DA5">
        <w:rPr>
          <w:rStyle w:val="normaltextrun"/>
          <w:rFonts w:ascii="Arial" w:hAnsi="Arial" w:cs="Arial"/>
          <w:sz w:val="24"/>
          <w:szCs w:val="24"/>
        </w:rPr>
        <w:t>05</w:t>
      </w:r>
      <w:r w:rsidR="003D69A3">
        <w:rPr>
          <w:rStyle w:val="normaltextrun"/>
          <w:rFonts w:ascii="Arial" w:hAnsi="Arial" w:cs="Arial"/>
          <w:sz w:val="24"/>
          <w:szCs w:val="24"/>
        </w:rPr>
        <w:t xml:space="preserve"> </w:t>
      </w:r>
      <w:r w:rsidRPr="00095DA5">
        <w:rPr>
          <w:rStyle w:val="normaltextrun"/>
          <w:rFonts w:ascii="Arial" w:hAnsi="Arial" w:cs="Arial"/>
          <w:sz w:val="24"/>
          <w:szCs w:val="24"/>
        </w:rPr>
        <w:t>005</w:t>
      </w:r>
      <w:r w:rsidR="003D69A3">
        <w:rPr>
          <w:rStyle w:val="normaltextrun"/>
          <w:rFonts w:ascii="Arial" w:hAnsi="Arial" w:cs="Arial"/>
          <w:sz w:val="24"/>
          <w:szCs w:val="24"/>
        </w:rPr>
        <w:t xml:space="preserve"> </w:t>
      </w:r>
      <w:r w:rsidRPr="00095DA5">
        <w:rPr>
          <w:rStyle w:val="normaltextrun"/>
          <w:rFonts w:ascii="Arial" w:hAnsi="Arial" w:cs="Arial"/>
          <w:sz w:val="24"/>
          <w:szCs w:val="24"/>
        </w:rPr>
        <w:t>2016</w:t>
      </w:r>
      <w:r w:rsidR="003D69A3">
        <w:rPr>
          <w:rStyle w:val="normaltextrun"/>
          <w:rFonts w:ascii="Arial" w:hAnsi="Arial" w:cs="Arial"/>
          <w:sz w:val="24"/>
          <w:szCs w:val="24"/>
        </w:rPr>
        <w:t xml:space="preserve"> </w:t>
      </w:r>
      <w:r w:rsidRPr="00095DA5">
        <w:rPr>
          <w:rStyle w:val="normaltextrun"/>
          <w:rFonts w:ascii="Arial" w:hAnsi="Arial" w:cs="Arial"/>
          <w:sz w:val="24"/>
          <w:szCs w:val="24"/>
        </w:rPr>
        <w:t>00763</w:t>
      </w:r>
      <w:r w:rsidR="003D69A3">
        <w:rPr>
          <w:rStyle w:val="normaltextrun"/>
          <w:rFonts w:ascii="Arial" w:hAnsi="Arial" w:cs="Arial"/>
          <w:sz w:val="24"/>
          <w:szCs w:val="24"/>
        </w:rPr>
        <w:t xml:space="preserve"> </w:t>
      </w:r>
      <w:r w:rsidRPr="00095DA5">
        <w:rPr>
          <w:rStyle w:val="normaltextrun"/>
          <w:rFonts w:ascii="Arial" w:hAnsi="Arial" w:cs="Arial"/>
          <w:sz w:val="24"/>
          <w:szCs w:val="24"/>
        </w:rPr>
        <w:t>01.</w:t>
      </w:r>
    </w:p>
    <w:p w:rsidR="003835A9" w:rsidRPr="00095DA5" w:rsidRDefault="003835A9" w:rsidP="00095DA5">
      <w:pPr>
        <w:suppressAutoHyphens/>
        <w:spacing w:after="0"/>
        <w:jc w:val="both"/>
        <w:rPr>
          <w:rStyle w:val="normaltextrun"/>
          <w:rFonts w:ascii="Arial" w:hAnsi="Arial" w:cs="Arial"/>
          <w:sz w:val="24"/>
          <w:szCs w:val="24"/>
        </w:rPr>
      </w:pPr>
    </w:p>
    <w:p w:rsidR="003835A9" w:rsidRPr="00095DA5" w:rsidRDefault="003835A9" w:rsidP="00095DA5">
      <w:pPr>
        <w:suppressAutoHyphens/>
        <w:spacing w:after="0"/>
        <w:jc w:val="center"/>
        <w:rPr>
          <w:rStyle w:val="normaltextrun"/>
          <w:rFonts w:ascii="Arial" w:hAnsi="Arial" w:cs="Arial"/>
          <w:b/>
          <w:bCs/>
          <w:sz w:val="24"/>
          <w:szCs w:val="24"/>
        </w:rPr>
      </w:pPr>
      <w:r w:rsidRPr="00095DA5">
        <w:rPr>
          <w:rStyle w:val="normaltextrun"/>
          <w:rFonts w:ascii="Arial" w:hAnsi="Arial" w:cs="Arial"/>
          <w:b/>
          <w:bCs/>
          <w:sz w:val="24"/>
          <w:szCs w:val="24"/>
        </w:rPr>
        <w:t>AUTO</w:t>
      </w:r>
    </w:p>
    <w:p w:rsidR="003835A9" w:rsidRPr="00095DA5" w:rsidRDefault="003835A9" w:rsidP="00095DA5">
      <w:pPr>
        <w:suppressAutoHyphens/>
        <w:spacing w:after="0"/>
        <w:jc w:val="both"/>
        <w:rPr>
          <w:rStyle w:val="normaltextrun"/>
          <w:rFonts w:ascii="Arial" w:hAnsi="Arial" w:cs="Arial"/>
          <w:sz w:val="24"/>
          <w:szCs w:val="24"/>
        </w:rPr>
      </w:pPr>
    </w:p>
    <w:p w:rsidR="003835A9" w:rsidRPr="00095DA5" w:rsidRDefault="003835A9" w:rsidP="00095DA5">
      <w:pPr>
        <w:pStyle w:val="paragraph"/>
        <w:spacing w:before="0" w:beforeAutospacing="0" w:after="0" w:afterAutospacing="0" w:line="276" w:lineRule="auto"/>
        <w:jc w:val="both"/>
        <w:textAlignment w:val="baseline"/>
        <w:rPr>
          <w:rFonts w:ascii="Arial" w:hAnsi="Arial" w:cs="Arial"/>
        </w:rPr>
      </w:pPr>
      <w:r w:rsidRPr="00095DA5">
        <w:rPr>
          <w:rStyle w:val="normaltextrun"/>
          <w:rFonts w:ascii="Arial" w:hAnsi="Arial" w:cs="Arial"/>
        </w:rPr>
        <w:t>Se reconoce personería para actuar dentro del proceso de la referencia al doctor JORGE MARIO HINCAPIÉ LEÓN, como apoderado de la Administradora Colombiana de Pensiones, en los términos y para los efectos del memorial de sustitución de poder que fue allegado al correo institucional el pasado 13 de octubre de 2021, incluido debidamente en el expediente digitalizado.</w:t>
      </w:r>
      <w:r w:rsidRPr="00095DA5">
        <w:rPr>
          <w:rStyle w:val="eop"/>
          <w:rFonts w:ascii="Arial" w:hAnsi="Arial" w:cs="Arial"/>
        </w:rPr>
        <w:t> </w:t>
      </w:r>
    </w:p>
    <w:p w:rsidR="003835A9" w:rsidRPr="00095DA5" w:rsidRDefault="003835A9" w:rsidP="00095DA5">
      <w:pPr>
        <w:keepNext/>
        <w:spacing w:after="0"/>
        <w:outlineLvl w:val="1"/>
        <w:rPr>
          <w:rFonts w:ascii="Arial" w:eastAsia="Times New Roman" w:hAnsi="Arial" w:cs="Arial"/>
          <w:b/>
          <w:bCs/>
          <w:iCs/>
          <w:sz w:val="24"/>
          <w:szCs w:val="24"/>
          <w:lang w:eastAsia="es-ES"/>
        </w:rPr>
      </w:pPr>
    </w:p>
    <w:p w:rsidR="003835A9" w:rsidRPr="00095DA5" w:rsidRDefault="003835A9" w:rsidP="00095DA5">
      <w:pPr>
        <w:spacing w:after="0"/>
        <w:jc w:val="center"/>
        <w:rPr>
          <w:rFonts w:ascii="Arial" w:hAnsi="Arial" w:cs="Arial"/>
          <w:b/>
          <w:sz w:val="24"/>
          <w:szCs w:val="24"/>
        </w:rPr>
      </w:pPr>
      <w:r w:rsidRPr="00095DA5">
        <w:rPr>
          <w:rFonts w:ascii="Arial" w:hAnsi="Arial" w:cs="Arial"/>
          <w:b/>
          <w:sz w:val="24"/>
          <w:szCs w:val="24"/>
        </w:rPr>
        <w:t>ANTECEDENTES</w:t>
      </w:r>
    </w:p>
    <w:p w:rsidR="003835A9" w:rsidRPr="00095DA5" w:rsidRDefault="003835A9" w:rsidP="00095DA5">
      <w:pPr>
        <w:spacing w:after="0"/>
        <w:jc w:val="center"/>
        <w:rPr>
          <w:rFonts w:ascii="Arial" w:hAnsi="Arial" w:cs="Arial"/>
          <w:b/>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 xml:space="preserve">Pretende la señora </w:t>
      </w:r>
      <w:r w:rsidR="00C1451B" w:rsidRPr="00095DA5">
        <w:rPr>
          <w:rFonts w:ascii="Arial" w:hAnsi="Arial" w:cs="Arial"/>
          <w:sz w:val="24"/>
          <w:szCs w:val="24"/>
        </w:rPr>
        <w:t>Celsa Julia Hernández Ruiz</w:t>
      </w:r>
      <w:r w:rsidRPr="00095DA5">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lo que resulte probado extra y ultra petita, además de las costas procesales a su favor.</w:t>
      </w:r>
    </w:p>
    <w:p w:rsidR="003835A9" w:rsidRPr="00095DA5" w:rsidRDefault="003835A9" w:rsidP="00095DA5">
      <w:pPr>
        <w:spacing w:after="0"/>
        <w:jc w:val="both"/>
        <w:rPr>
          <w:rFonts w:ascii="Arial" w:hAnsi="Arial" w:cs="Arial"/>
          <w:sz w:val="24"/>
          <w:szCs w:val="24"/>
        </w:rPr>
      </w:pPr>
    </w:p>
    <w:p w:rsidR="00C1451B" w:rsidRPr="00095DA5" w:rsidRDefault="003835A9" w:rsidP="00095DA5">
      <w:pPr>
        <w:spacing w:after="0"/>
        <w:jc w:val="both"/>
        <w:rPr>
          <w:rFonts w:ascii="Arial" w:hAnsi="Arial" w:cs="Arial"/>
          <w:sz w:val="24"/>
          <w:szCs w:val="24"/>
        </w:rPr>
      </w:pPr>
      <w:r w:rsidRPr="00095DA5">
        <w:rPr>
          <w:rFonts w:ascii="Arial" w:hAnsi="Arial" w:cs="Arial"/>
          <w:sz w:val="24"/>
          <w:szCs w:val="24"/>
        </w:rPr>
        <w:t xml:space="preserve">Refiere que: </w:t>
      </w:r>
      <w:r w:rsidR="00C1451B" w:rsidRPr="00095DA5">
        <w:rPr>
          <w:rFonts w:ascii="Arial" w:hAnsi="Arial" w:cs="Arial"/>
          <w:sz w:val="24"/>
          <w:szCs w:val="24"/>
        </w:rPr>
        <w:t xml:space="preserve">después de afiliarse al régimen de prima media con prestación definida a través del Instituto de Seguros Sociales, empezó a realizar cotizaciones al sistema general de pensiones a través de ese régimen pensional hasta antes del 20 de febrero de 1998, fecha en que se trasladó al régimen de ahorro individual con solidaridad; para rubricar el respectivo formulario de afiliación, un asesor comercial del fondo privado de pensiones por medio del cual se surtió el cambio de régimen pensional le dijo que el ISS iba a desaparecer y con él los aportes efectuados por ella </w:t>
      </w:r>
      <w:r w:rsidR="003757C4" w:rsidRPr="00095DA5">
        <w:rPr>
          <w:rFonts w:ascii="Arial" w:hAnsi="Arial" w:cs="Arial"/>
          <w:sz w:val="24"/>
          <w:szCs w:val="24"/>
        </w:rPr>
        <w:t>en esa entidad, indicándole que la única opción que tenía era trasladarse al RAIS; como se aprecia, ese asesor comercial no le brindó la información adecuada, clara, comprensible y cierta sobre las consecuencias que conllevaba ejecutar ese acto jurídico; actualmente continúa haciendo aportes al sistema general de pensiones a través de la AFP Porvenir S.A..</w:t>
      </w:r>
    </w:p>
    <w:p w:rsidR="003757C4" w:rsidRPr="00095DA5" w:rsidRDefault="003757C4" w:rsidP="00095DA5">
      <w:pPr>
        <w:spacing w:after="0"/>
        <w:jc w:val="both"/>
        <w:rPr>
          <w:rFonts w:ascii="Arial" w:hAnsi="Arial" w:cs="Arial"/>
          <w:sz w:val="24"/>
          <w:szCs w:val="24"/>
        </w:rPr>
      </w:pPr>
    </w:p>
    <w:p w:rsidR="003757C4" w:rsidRPr="00095DA5" w:rsidRDefault="003757C4" w:rsidP="00095DA5">
      <w:pPr>
        <w:spacing w:after="0"/>
        <w:jc w:val="both"/>
        <w:rPr>
          <w:rFonts w:ascii="Arial" w:hAnsi="Arial" w:cs="Arial"/>
          <w:sz w:val="24"/>
          <w:szCs w:val="24"/>
        </w:rPr>
      </w:pPr>
      <w:r w:rsidRPr="00095DA5">
        <w:rPr>
          <w:rFonts w:ascii="Arial" w:hAnsi="Arial" w:cs="Arial"/>
          <w:sz w:val="24"/>
          <w:szCs w:val="24"/>
        </w:rPr>
        <w:t>Al contestar la demanda -págs.56 a 61 expediente digitalizado- la Administradora Colombiana de Pensiones, aceptó los hechos relacionados con la afiliación inicial de la accionante al régimen de prima media con prestación definida a través del ISS y el traslado al régimen de ahorro individual con solidaridad en el año 1998, además de la reclamación administrativa adelantada por la señora Hernández Ruiz ante esa entidad, añadiendo que no le consta ninguno de los demás hechos narrados en la demanda. Se opuso a la totalidad de las pretensiones y formuló las excepciones de mérito que denominó “Inexistencia de la obligación”, “Excepción de buena fe”, “Imposibilidad jurídica para cumplir con las obligaciones pretendidas”, “Excepción de innominada”.</w:t>
      </w:r>
    </w:p>
    <w:p w:rsidR="00452F97" w:rsidRPr="00095DA5" w:rsidRDefault="00452F97" w:rsidP="00095DA5">
      <w:pPr>
        <w:spacing w:after="0"/>
        <w:jc w:val="both"/>
        <w:rPr>
          <w:rFonts w:ascii="Arial" w:hAnsi="Arial" w:cs="Arial"/>
          <w:sz w:val="24"/>
          <w:szCs w:val="24"/>
        </w:rPr>
      </w:pPr>
    </w:p>
    <w:p w:rsidR="00452F97" w:rsidRPr="00095DA5" w:rsidRDefault="00452F97" w:rsidP="00095DA5">
      <w:pPr>
        <w:spacing w:after="0"/>
        <w:jc w:val="both"/>
        <w:rPr>
          <w:rFonts w:ascii="Arial" w:hAnsi="Arial" w:cs="Arial"/>
          <w:sz w:val="24"/>
          <w:szCs w:val="24"/>
        </w:rPr>
      </w:pPr>
      <w:r w:rsidRPr="00095DA5">
        <w:rPr>
          <w:rFonts w:ascii="Arial" w:hAnsi="Arial" w:cs="Arial"/>
          <w:sz w:val="24"/>
          <w:szCs w:val="24"/>
        </w:rPr>
        <w:t>La AFP Porvenir S.A. contestó la demanda -págs.68 a 108 expediente digitalizado- manifestando que si bien el traslado de régimen pensional ejecutado por la actora el 20 de febrero de 1998 no se produjo a través de esa entidad, se opone a la totalidad de las pretensiones en razón a que el suceso jurídico que significó el cambio de régimen pensional de la actora fue completamente lícito y ajustado a derecho en la medida en que su voluntad fue consciente de las consecuencias jurídicas que ello generaría, agregando que la señora Hernández Ruiz no ha sido víctima de la inducción a error que proclama dentro del escrito inaugural. Se opuso a la totalidad de las pretensiones y propuso las excepciones de mérito que denominó “Genérica o innominada”, “Prescripción”, “Buena fe”, “Compensación”, “Exoneración de condena en costas”, “Ausencia de sujeto susceptible de beneficio del régimen de transición”, “Inexistencia de la obligación”, “Falta de causa para pedir”, “Falta de legitimación en la causa y/o ausencia de personería sustantiva por pasiva de PORVENIR S.A.”,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p>
    <w:p w:rsidR="000D234A" w:rsidRPr="00095DA5" w:rsidRDefault="000D234A" w:rsidP="00095DA5">
      <w:pPr>
        <w:spacing w:after="0"/>
        <w:jc w:val="both"/>
        <w:rPr>
          <w:rFonts w:ascii="Arial" w:hAnsi="Arial" w:cs="Arial"/>
          <w:sz w:val="24"/>
          <w:szCs w:val="24"/>
        </w:rPr>
      </w:pPr>
    </w:p>
    <w:p w:rsidR="000D234A" w:rsidRPr="00095DA5" w:rsidRDefault="000D234A" w:rsidP="00095DA5">
      <w:pPr>
        <w:spacing w:after="0"/>
        <w:jc w:val="both"/>
        <w:rPr>
          <w:rFonts w:ascii="Arial" w:hAnsi="Arial" w:cs="Arial"/>
          <w:sz w:val="24"/>
          <w:szCs w:val="24"/>
        </w:rPr>
      </w:pPr>
      <w:r w:rsidRPr="00095DA5">
        <w:rPr>
          <w:rFonts w:ascii="Arial" w:hAnsi="Arial" w:cs="Arial"/>
          <w:sz w:val="24"/>
          <w:szCs w:val="24"/>
        </w:rPr>
        <w:t>Por su parte, la AFP Colfondos S.A. respondió la acción -págs.266 a 286 expediente digitalizado- manifestando que el traslado de régimen pensional efectuado por la señora Celsa Julia Hernández Ruiz a través de ese fondo privado de pensiones cumplió con el lleno de los requisitos exigidos para el 20 de febrero de 1998, al haberse efectuado de manera libre, espontánea y sin presiones, sin embargo, en caso de que se hubiere configurado la nulidad relativa de la que se habla en la demanda, la misma se habría saneado por el paso del tiempo como lo establece el artículo 1750 del código civil. Se opuso a la prosperidad de las pretensiones y planteó las excepciones de fondo de “Validez de la afiliación al RAIS e inexistencia de vicios en el consentimiento”, “Saneamiento de la supuesta nulidad relativa”, “Pago”, “Compensación”, “Prescripción”, “Buena fe” e “Innominada o genérica”.</w:t>
      </w:r>
    </w:p>
    <w:p w:rsidR="000D234A" w:rsidRPr="00095DA5" w:rsidRDefault="000D234A" w:rsidP="00095DA5">
      <w:pPr>
        <w:spacing w:after="0"/>
        <w:jc w:val="both"/>
        <w:rPr>
          <w:rFonts w:ascii="Arial" w:hAnsi="Arial" w:cs="Arial"/>
          <w:sz w:val="24"/>
          <w:szCs w:val="24"/>
        </w:rPr>
      </w:pPr>
    </w:p>
    <w:p w:rsidR="000D234A" w:rsidRPr="00095DA5" w:rsidRDefault="004C731E" w:rsidP="00095DA5">
      <w:pPr>
        <w:spacing w:after="0"/>
        <w:jc w:val="both"/>
        <w:rPr>
          <w:rFonts w:ascii="Arial" w:hAnsi="Arial" w:cs="Arial"/>
          <w:sz w:val="24"/>
          <w:szCs w:val="24"/>
        </w:rPr>
      </w:pPr>
      <w:r w:rsidRPr="00095DA5">
        <w:rPr>
          <w:rFonts w:ascii="Arial" w:hAnsi="Arial" w:cs="Arial"/>
          <w:sz w:val="24"/>
          <w:szCs w:val="24"/>
        </w:rPr>
        <w:t>La AFP Protección S.A. dio respuesta al libelo introductorio -págs.299 a 333 expediente digitalizado- exactamente en los mismos términos en los que la contestó la AFP Porvenir S.A., oponiéndose también a las pretensiones elevadas por la señora Celsa Julia Hernández Ruiz y formulando idénticas excepciones de mérito.</w:t>
      </w:r>
    </w:p>
    <w:p w:rsidR="003835A9" w:rsidRPr="00095DA5" w:rsidRDefault="003835A9" w:rsidP="00095DA5">
      <w:pPr>
        <w:spacing w:after="0"/>
        <w:jc w:val="both"/>
        <w:rPr>
          <w:rFonts w:ascii="Arial" w:hAnsi="Arial" w:cs="Arial"/>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 xml:space="preserve">En sentencia de </w:t>
      </w:r>
      <w:r w:rsidR="00A30184" w:rsidRPr="00095DA5">
        <w:rPr>
          <w:rFonts w:ascii="Arial" w:hAnsi="Arial" w:cs="Arial"/>
          <w:sz w:val="24"/>
          <w:szCs w:val="24"/>
        </w:rPr>
        <w:t>18 de mayo</w:t>
      </w:r>
      <w:r w:rsidRPr="00095DA5">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A30184" w:rsidRPr="00095DA5">
        <w:rPr>
          <w:rFonts w:ascii="Arial" w:hAnsi="Arial" w:cs="Arial"/>
          <w:sz w:val="24"/>
          <w:szCs w:val="24"/>
        </w:rPr>
        <w:t>Colfondos</w:t>
      </w:r>
      <w:r w:rsidRPr="00095DA5">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A30184" w:rsidRPr="00095DA5">
        <w:rPr>
          <w:rFonts w:ascii="Arial" w:hAnsi="Arial" w:cs="Arial"/>
          <w:sz w:val="24"/>
          <w:szCs w:val="24"/>
        </w:rPr>
        <w:t>Celsa Julia Hernández Ruiz</w:t>
      </w:r>
      <w:r w:rsidRPr="00095DA5">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A30184" w:rsidRPr="00095DA5">
        <w:rPr>
          <w:rFonts w:ascii="Arial" w:hAnsi="Arial" w:cs="Arial"/>
          <w:sz w:val="24"/>
          <w:szCs w:val="24"/>
        </w:rPr>
        <w:t>20 de febrero de 1998, determinando a continuación que los movimientos efectuados al interior de ese régimen pensional carecen de validez</w:t>
      </w:r>
      <w:r w:rsidRPr="00095DA5">
        <w:rPr>
          <w:rFonts w:ascii="Arial" w:hAnsi="Arial" w:cs="Arial"/>
          <w:sz w:val="24"/>
          <w:szCs w:val="24"/>
        </w:rPr>
        <w:t xml:space="preserve">; </w:t>
      </w:r>
      <w:r w:rsidR="00A30184" w:rsidRPr="00095DA5">
        <w:rPr>
          <w:rFonts w:ascii="Arial" w:hAnsi="Arial" w:cs="Arial"/>
          <w:sz w:val="24"/>
          <w:szCs w:val="24"/>
        </w:rPr>
        <w:t>razones</w:t>
      </w:r>
      <w:r w:rsidRPr="00095DA5">
        <w:rPr>
          <w:rFonts w:ascii="Arial" w:hAnsi="Arial" w:cs="Arial"/>
          <w:sz w:val="24"/>
          <w:szCs w:val="24"/>
        </w:rPr>
        <w:t xml:space="preserve"> por </w:t>
      </w:r>
      <w:r w:rsidR="00A30184" w:rsidRPr="00095DA5">
        <w:rPr>
          <w:rFonts w:ascii="Arial" w:hAnsi="Arial" w:cs="Arial"/>
          <w:sz w:val="24"/>
          <w:szCs w:val="24"/>
        </w:rPr>
        <w:t>las</w:t>
      </w:r>
      <w:r w:rsidRPr="00095DA5">
        <w:rPr>
          <w:rFonts w:ascii="Arial" w:hAnsi="Arial" w:cs="Arial"/>
          <w:sz w:val="24"/>
          <w:szCs w:val="24"/>
        </w:rPr>
        <w:t xml:space="preserve"> que declaró válida y vigente la afiliación primigenia efectuada al régimen de prima media con prestación definida por medio del Instituto de Seguros Sociales.</w:t>
      </w:r>
    </w:p>
    <w:p w:rsidR="003835A9" w:rsidRPr="00095DA5" w:rsidRDefault="003835A9" w:rsidP="00095DA5">
      <w:pPr>
        <w:spacing w:after="0"/>
        <w:jc w:val="both"/>
        <w:rPr>
          <w:rFonts w:ascii="Arial" w:hAnsi="Arial" w:cs="Arial"/>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Como consecuencia de esas declaraciones, condenó al fondo privado de pensiones Porvenir S.A., al que se encuentra vinculada actualmente, a restituir a la Administradora Colombiana de Pensiones el capital existente en la cuenta de ahorro individual de la accionante que correspondan a los aportes al sistema, junto con sus intereses y rendimientos financieros</w:t>
      </w:r>
      <w:r w:rsidR="00A30184" w:rsidRPr="00095DA5">
        <w:rPr>
          <w:rFonts w:ascii="Arial" w:hAnsi="Arial" w:cs="Arial"/>
          <w:sz w:val="24"/>
          <w:szCs w:val="24"/>
        </w:rPr>
        <w:t>, además de las sumas consignadas por concepto de bonos pensionales en caso de que así se hubiere hecho.</w:t>
      </w:r>
    </w:p>
    <w:p w:rsidR="003835A9" w:rsidRPr="00095DA5" w:rsidRDefault="003835A9" w:rsidP="00095DA5">
      <w:pPr>
        <w:spacing w:after="0"/>
        <w:jc w:val="both"/>
        <w:rPr>
          <w:rFonts w:ascii="Arial" w:hAnsi="Arial" w:cs="Arial"/>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 xml:space="preserve">Posteriormente condenó a </w:t>
      </w:r>
      <w:r w:rsidR="00A30184" w:rsidRPr="00095DA5">
        <w:rPr>
          <w:rFonts w:ascii="Arial" w:hAnsi="Arial" w:cs="Arial"/>
          <w:sz w:val="24"/>
          <w:szCs w:val="24"/>
        </w:rPr>
        <w:t>los fondos privados de pensiones Colfondos S.A., Protección S.A. y Porvenir S.A.</w:t>
      </w:r>
      <w:r w:rsidRPr="00095DA5">
        <w:rPr>
          <w:rFonts w:ascii="Arial" w:hAnsi="Arial" w:cs="Arial"/>
          <w:sz w:val="24"/>
          <w:szCs w:val="24"/>
        </w:rPr>
        <w:t xml:space="preserve"> a reintegrar, con cargo a sus propios recursos y debidamente indexados, los valores que fueron descontados a la afiliada durante su permanencia en cada una de esas entidades y que estuvieron dirigidos a cancelar los gastos de administración, las primas de los seguros previsionales de invalidez y sobrevivientes, así como las sumas destinadas a financiar la garantía de pensión mínima.</w:t>
      </w:r>
    </w:p>
    <w:p w:rsidR="003835A9" w:rsidRPr="00095DA5" w:rsidRDefault="003835A9" w:rsidP="00095DA5">
      <w:pPr>
        <w:spacing w:after="0"/>
        <w:jc w:val="both"/>
        <w:rPr>
          <w:rFonts w:ascii="Arial" w:hAnsi="Arial" w:cs="Arial"/>
          <w:i/>
          <w:iCs/>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 xml:space="preserve">Finalmente condenó en costas procesales a los fondos privados de pensiones </w:t>
      </w:r>
      <w:r w:rsidR="00C1451B" w:rsidRPr="00095DA5">
        <w:rPr>
          <w:rFonts w:ascii="Arial" w:hAnsi="Arial" w:cs="Arial"/>
          <w:sz w:val="24"/>
          <w:szCs w:val="24"/>
        </w:rPr>
        <w:t xml:space="preserve">Colfondos S.A., </w:t>
      </w:r>
      <w:r w:rsidRPr="00095DA5">
        <w:rPr>
          <w:rFonts w:ascii="Arial" w:hAnsi="Arial" w:cs="Arial"/>
          <w:sz w:val="24"/>
          <w:szCs w:val="24"/>
        </w:rPr>
        <w:t>Porvenir S.A. y Protección S.A. en un 100%</w:t>
      </w:r>
      <w:r w:rsidR="00C1451B" w:rsidRPr="00095DA5">
        <w:rPr>
          <w:rFonts w:ascii="Arial" w:hAnsi="Arial" w:cs="Arial"/>
          <w:sz w:val="24"/>
          <w:szCs w:val="24"/>
        </w:rPr>
        <w:t xml:space="preserve"> y por partes iguales</w:t>
      </w:r>
      <w:r w:rsidRPr="00095DA5">
        <w:rPr>
          <w:rFonts w:ascii="Arial" w:hAnsi="Arial" w:cs="Arial"/>
          <w:sz w:val="24"/>
          <w:szCs w:val="24"/>
        </w:rPr>
        <w:t xml:space="preserve"> a favor de la demandante.</w:t>
      </w:r>
    </w:p>
    <w:p w:rsidR="003835A9" w:rsidRPr="00095DA5" w:rsidRDefault="003835A9" w:rsidP="00095DA5">
      <w:pPr>
        <w:spacing w:after="0"/>
        <w:jc w:val="both"/>
        <w:rPr>
          <w:rFonts w:ascii="Arial" w:hAnsi="Arial" w:cs="Arial"/>
          <w:sz w:val="24"/>
          <w:szCs w:val="24"/>
        </w:rPr>
      </w:pPr>
    </w:p>
    <w:p w:rsidR="00EF2970" w:rsidRPr="00095DA5" w:rsidRDefault="003835A9" w:rsidP="00095DA5">
      <w:pPr>
        <w:spacing w:after="0"/>
        <w:jc w:val="both"/>
        <w:rPr>
          <w:rFonts w:ascii="Arial" w:hAnsi="Arial" w:cs="Arial"/>
          <w:sz w:val="24"/>
          <w:szCs w:val="24"/>
        </w:rPr>
      </w:pPr>
      <w:r w:rsidRPr="00095DA5">
        <w:rPr>
          <w:rFonts w:ascii="Arial" w:hAnsi="Arial" w:cs="Arial"/>
          <w:sz w:val="24"/>
          <w:szCs w:val="24"/>
        </w:rPr>
        <w:t>Inconformes con la decisión, las entidades demandadas interpusieron recurso de apelación en los siguientes términos:</w:t>
      </w:r>
    </w:p>
    <w:p w:rsidR="00EF2970" w:rsidRPr="00095DA5" w:rsidRDefault="00EF2970" w:rsidP="00095DA5">
      <w:pPr>
        <w:spacing w:after="0"/>
        <w:jc w:val="both"/>
        <w:rPr>
          <w:rFonts w:ascii="Arial" w:hAnsi="Arial" w:cs="Arial"/>
          <w:sz w:val="24"/>
          <w:szCs w:val="24"/>
        </w:rPr>
      </w:pPr>
    </w:p>
    <w:p w:rsidR="00EF2970" w:rsidRPr="00095DA5" w:rsidRDefault="00EF2970" w:rsidP="00095DA5">
      <w:pPr>
        <w:spacing w:after="0"/>
        <w:jc w:val="both"/>
        <w:rPr>
          <w:rFonts w:ascii="Arial" w:hAnsi="Arial" w:cs="Arial"/>
          <w:sz w:val="24"/>
          <w:szCs w:val="24"/>
        </w:rPr>
      </w:pPr>
      <w:r w:rsidRPr="00095DA5">
        <w:rPr>
          <w:rFonts w:ascii="Arial" w:hAnsi="Arial" w:cs="Arial"/>
          <w:sz w:val="24"/>
          <w:szCs w:val="24"/>
        </w:rPr>
        <w:t>La apoderada judicial de la AFP Colfondos S.A. sostuvo que contrario a lo determinado por el juzgado de conocimiento, en el plenario quedó plenamente demostrado que esa entidad cumplió con el deber legal de información que le asistía con la señora Celsa Julia Hernández Ruiz para el 20 de febrero de 1998 cuando se surtió el cambio de régimen pensional a través de Colfondos S.A., ya que el asesor comercial con el que ejecutó ese acto jurídico, previamente le suministró la información básica que la ley exigía para ese momento histórico, tal y como da fe el formulario de afiliación suscrito por la afiliada de manera libre, espontanea y sin presiones; quedando demostrado con el interrogatorio de parte absuelto por la accionante, que su accionar siempre estuvo encaminado a permanecer y pertenecer al régimen de ahorro individual con solidaridad, por cuanto no ejecutó ninguna acción tendiente a regresar en término al RPM, pero s</w:t>
      </w:r>
      <w:r w:rsidR="00D94887" w:rsidRPr="00095DA5">
        <w:rPr>
          <w:rFonts w:ascii="Arial" w:hAnsi="Arial" w:cs="Arial"/>
          <w:sz w:val="24"/>
          <w:szCs w:val="24"/>
        </w:rPr>
        <w:t xml:space="preserve">í </w:t>
      </w:r>
      <w:r w:rsidRPr="00095DA5">
        <w:rPr>
          <w:rFonts w:ascii="Arial" w:hAnsi="Arial" w:cs="Arial"/>
          <w:sz w:val="24"/>
          <w:szCs w:val="24"/>
        </w:rPr>
        <w:t xml:space="preserve">realizó otros actos en los que ratificó su voluntad de </w:t>
      </w:r>
      <w:r w:rsidR="00D94887" w:rsidRPr="00095DA5">
        <w:rPr>
          <w:rFonts w:ascii="Arial" w:hAnsi="Arial" w:cs="Arial"/>
          <w:sz w:val="24"/>
          <w:szCs w:val="24"/>
        </w:rPr>
        <w:t>continuar afiliada al RAIS, como lo fueron los movimientos efectuados a su interior, además de haber cotizado durante algo más de veinte años por medio de ese régimen pensional.</w:t>
      </w:r>
    </w:p>
    <w:p w:rsidR="00D94887" w:rsidRPr="00095DA5" w:rsidRDefault="00D94887" w:rsidP="00095DA5">
      <w:pPr>
        <w:spacing w:after="0"/>
        <w:jc w:val="both"/>
        <w:rPr>
          <w:rFonts w:ascii="Arial" w:hAnsi="Arial" w:cs="Arial"/>
          <w:sz w:val="24"/>
          <w:szCs w:val="24"/>
        </w:rPr>
      </w:pPr>
    </w:p>
    <w:p w:rsidR="00D94887" w:rsidRPr="00095DA5" w:rsidRDefault="00D94887" w:rsidP="00095DA5">
      <w:pPr>
        <w:spacing w:after="0"/>
        <w:jc w:val="both"/>
        <w:rPr>
          <w:rFonts w:ascii="Arial" w:hAnsi="Arial" w:cs="Arial"/>
          <w:sz w:val="24"/>
          <w:szCs w:val="24"/>
        </w:rPr>
      </w:pPr>
      <w:r w:rsidRPr="00095DA5">
        <w:rPr>
          <w:rFonts w:ascii="Arial" w:hAnsi="Arial" w:cs="Arial"/>
          <w:sz w:val="24"/>
          <w:szCs w:val="24"/>
        </w:rPr>
        <w:t xml:space="preserve">En caso de que se confirme la declaratoria de ineficacia, considera que la única suma que debe restituirse a la Administradora Colombiana de Pensiones es la proveniente de las cotizaciones efectuadas al sistema general de pensiones, más no la totalidad de los emolumentos ordenados por la </w:t>
      </w:r>
      <w:r w:rsidRPr="00095DA5">
        <w:rPr>
          <w:rFonts w:ascii="Arial" w:hAnsi="Arial" w:cs="Arial"/>
          <w:i/>
          <w:iCs/>
          <w:sz w:val="24"/>
          <w:szCs w:val="24"/>
        </w:rPr>
        <w:t>a quo</w:t>
      </w:r>
      <w:r w:rsidRPr="00095DA5">
        <w:rPr>
          <w:rFonts w:ascii="Arial" w:hAnsi="Arial" w:cs="Arial"/>
          <w:sz w:val="24"/>
          <w:szCs w:val="24"/>
        </w:rPr>
        <w:t>; añadiendo frente a las cuotas de administración, las primas de los seguros previsionales de invalidez y sobrevivientes, así como los dineros destinados a financiar la garantía de pensión mínima, que esos dineros son cobrados por ministerio de la ley y con unos fines preestablecidos por la misma ley, por lo que su devolución a Colpensiones constituye un enriquecimiento sin justa causa para esa entidad y un detrimento patrimonial para Colfondos S.A..</w:t>
      </w:r>
    </w:p>
    <w:p w:rsidR="00D94887" w:rsidRPr="00095DA5" w:rsidRDefault="00D94887" w:rsidP="00095DA5">
      <w:pPr>
        <w:spacing w:after="0"/>
        <w:jc w:val="both"/>
        <w:rPr>
          <w:rFonts w:ascii="Arial" w:hAnsi="Arial" w:cs="Arial"/>
          <w:sz w:val="24"/>
          <w:szCs w:val="24"/>
        </w:rPr>
      </w:pPr>
    </w:p>
    <w:p w:rsidR="00D94887" w:rsidRPr="00095DA5" w:rsidRDefault="00D94887" w:rsidP="00095DA5">
      <w:pPr>
        <w:spacing w:after="0"/>
        <w:jc w:val="both"/>
        <w:rPr>
          <w:rFonts w:ascii="Arial" w:hAnsi="Arial" w:cs="Arial"/>
          <w:sz w:val="24"/>
          <w:szCs w:val="24"/>
        </w:rPr>
      </w:pPr>
      <w:r w:rsidRPr="00095DA5">
        <w:rPr>
          <w:rFonts w:ascii="Arial" w:hAnsi="Arial" w:cs="Arial"/>
          <w:sz w:val="24"/>
          <w:szCs w:val="24"/>
        </w:rPr>
        <w:t>Tampoco resulta viable la condena en costas emitida en contra de esa entidad, ya que lo único que ha hecho Colfondos S.A. es actuar de conformidad con lo establecido en la ley, aplicando siempre los postulados de la buena fe.</w:t>
      </w:r>
    </w:p>
    <w:p w:rsidR="00D94887" w:rsidRPr="00095DA5" w:rsidRDefault="00D94887" w:rsidP="00095DA5">
      <w:pPr>
        <w:spacing w:after="0"/>
        <w:jc w:val="both"/>
        <w:rPr>
          <w:rFonts w:ascii="Arial" w:hAnsi="Arial" w:cs="Arial"/>
          <w:sz w:val="24"/>
          <w:szCs w:val="24"/>
        </w:rPr>
      </w:pPr>
    </w:p>
    <w:p w:rsidR="0032297F" w:rsidRPr="00095DA5" w:rsidRDefault="00D94887" w:rsidP="00095DA5">
      <w:pPr>
        <w:spacing w:after="0"/>
        <w:jc w:val="both"/>
        <w:rPr>
          <w:rFonts w:ascii="Arial" w:hAnsi="Arial" w:cs="Arial"/>
          <w:sz w:val="24"/>
          <w:szCs w:val="24"/>
        </w:rPr>
      </w:pPr>
      <w:r w:rsidRPr="00095DA5">
        <w:rPr>
          <w:rFonts w:ascii="Arial" w:hAnsi="Arial" w:cs="Arial"/>
          <w:sz w:val="24"/>
          <w:szCs w:val="24"/>
        </w:rPr>
        <w:t xml:space="preserve">La apoderada judicial del fondo privado de pensiones Protección S.A. manifestó su inconformidad frente a la condena impuesta en contra de esa entidad consistente en restituir los gastos de administración, por cuanto ese es un cobro que en su momento se hizo a la actora con la única finalidad de gestionar su cuenta de ahorro individual, lo cual produjo unos muy buenos rendimientos financieros que, según un estudio realizado por Asofondos, correspondería al 74% del capital acumulado en su cuenta de ahorro individual. De la misma manera </w:t>
      </w:r>
      <w:r w:rsidR="0032297F" w:rsidRPr="00095DA5">
        <w:rPr>
          <w:rFonts w:ascii="Arial" w:hAnsi="Arial" w:cs="Arial"/>
          <w:sz w:val="24"/>
          <w:szCs w:val="24"/>
        </w:rPr>
        <w:t>se siente inconforme con la condena en costas emitida en su contra, por cuanto esa entidad nada tuvo que ver con el traslado el régimen de ahorro individual con solidaridad y en todo caso su actuar se ha edificado en el estricto cumplimiento de la ley, en aplicación del principio de la buena fe.</w:t>
      </w:r>
    </w:p>
    <w:p w:rsidR="0032297F" w:rsidRPr="00095DA5" w:rsidRDefault="0032297F" w:rsidP="00095DA5">
      <w:pPr>
        <w:spacing w:after="0"/>
        <w:jc w:val="both"/>
        <w:rPr>
          <w:rFonts w:ascii="Arial" w:hAnsi="Arial" w:cs="Arial"/>
          <w:sz w:val="24"/>
          <w:szCs w:val="24"/>
        </w:rPr>
      </w:pPr>
    </w:p>
    <w:p w:rsidR="00D94887" w:rsidRPr="00095DA5" w:rsidRDefault="0032297F" w:rsidP="00095DA5">
      <w:pPr>
        <w:spacing w:after="0"/>
        <w:jc w:val="both"/>
        <w:rPr>
          <w:rFonts w:ascii="Arial" w:hAnsi="Arial" w:cs="Arial"/>
          <w:sz w:val="24"/>
          <w:szCs w:val="24"/>
        </w:rPr>
      </w:pPr>
      <w:r w:rsidRPr="00095DA5">
        <w:rPr>
          <w:rFonts w:ascii="Arial" w:hAnsi="Arial" w:cs="Arial"/>
          <w:sz w:val="24"/>
          <w:szCs w:val="24"/>
        </w:rPr>
        <w:t>La apoderada judicial de la AFP Porvenir S.A. considera, no solamente que el traslado del régimen de prima media con prestación definida al de ahorro individual con solidaridad efectuado por la señora Celsa Julia Hernández Ruiz el 20 de febrero de 1998 goza de plena validez, sino también que la propia accionante ejecutó actos de relacionamiento con los que ratificó su voluntad de permanecer afiliada al RAIS, como se desprende de sus movimientos realizados a su interior, así como las cotizaciones efectuadas a través de ese régimen pensional durante más de veinte años. Si lo expuesto no resulta suficiente para revocar la sentencia proferida por el Juzgado Quinto Laboral del Circuito, estima que se debe proceder de todas maneras en ese sentido, por cuanto la acción que debió elevar la accionante era la resarcitoria de perjuicios prevista en el artículo 10 del decreto 720 de 1994 y no la de nulidad o ineficacia del traslado entre regímenes pensionales que la señora Hernández Ruiz promovió.</w:t>
      </w:r>
    </w:p>
    <w:p w:rsidR="0032297F" w:rsidRPr="00095DA5" w:rsidRDefault="0032297F" w:rsidP="00095DA5">
      <w:pPr>
        <w:spacing w:after="0"/>
        <w:jc w:val="both"/>
        <w:rPr>
          <w:rFonts w:ascii="Arial" w:hAnsi="Arial" w:cs="Arial"/>
          <w:sz w:val="24"/>
          <w:szCs w:val="24"/>
        </w:rPr>
      </w:pPr>
    </w:p>
    <w:p w:rsidR="003A6B38" w:rsidRPr="00095DA5" w:rsidRDefault="0032297F" w:rsidP="00095DA5">
      <w:pPr>
        <w:spacing w:after="0"/>
        <w:jc w:val="both"/>
        <w:rPr>
          <w:rFonts w:ascii="Arial" w:hAnsi="Arial" w:cs="Arial"/>
          <w:sz w:val="24"/>
          <w:szCs w:val="24"/>
        </w:rPr>
      </w:pPr>
      <w:r w:rsidRPr="00095DA5">
        <w:rPr>
          <w:rFonts w:ascii="Arial" w:hAnsi="Arial" w:cs="Arial"/>
          <w:sz w:val="24"/>
          <w:szCs w:val="24"/>
        </w:rPr>
        <w:t>De confirmarse la declaratoria de ineficacia, co</w:t>
      </w:r>
      <w:r w:rsidR="003A6B38" w:rsidRPr="00095DA5">
        <w:rPr>
          <w:rFonts w:ascii="Arial" w:hAnsi="Arial" w:cs="Arial"/>
          <w:sz w:val="24"/>
          <w:szCs w:val="24"/>
        </w:rPr>
        <w:t>incide con</w:t>
      </w:r>
      <w:r w:rsidRPr="00095DA5">
        <w:rPr>
          <w:rFonts w:ascii="Arial" w:hAnsi="Arial" w:cs="Arial"/>
          <w:sz w:val="24"/>
          <w:szCs w:val="24"/>
        </w:rPr>
        <w:t xml:space="preserve"> los planteamientos expuestos por la AFP Protección S.A. en cuanto a la imp</w:t>
      </w:r>
      <w:r w:rsidR="003A6B38" w:rsidRPr="00095DA5">
        <w:rPr>
          <w:rFonts w:ascii="Arial" w:hAnsi="Arial" w:cs="Arial"/>
          <w:sz w:val="24"/>
          <w:szCs w:val="24"/>
        </w:rPr>
        <w:t>o</w:t>
      </w:r>
      <w:r w:rsidRPr="00095DA5">
        <w:rPr>
          <w:rFonts w:ascii="Arial" w:hAnsi="Arial" w:cs="Arial"/>
          <w:sz w:val="24"/>
          <w:szCs w:val="24"/>
        </w:rPr>
        <w:t>sib</w:t>
      </w:r>
      <w:r w:rsidR="003A6B38" w:rsidRPr="00095DA5">
        <w:rPr>
          <w:rFonts w:ascii="Arial" w:hAnsi="Arial" w:cs="Arial"/>
          <w:sz w:val="24"/>
          <w:szCs w:val="24"/>
        </w:rPr>
        <w:t xml:space="preserve">ilidad que le asiste a la </w:t>
      </w:r>
      <w:r w:rsidR="003A6B38" w:rsidRPr="00095DA5">
        <w:rPr>
          <w:rFonts w:ascii="Arial" w:hAnsi="Arial" w:cs="Arial"/>
          <w:i/>
          <w:iCs/>
          <w:sz w:val="24"/>
          <w:szCs w:val="24"/>
        </w:rPr>
        <w:t>a quo</w:t>
      </w:r>
      <w:r w:rsidR="003A6B38" w:rsidRPr="00095DA5">
        <w:rPr>
          <w:rFonts w:ascii="Arial" w:hAnsi="Arial" w:cs="Arial"/>
          <w:sz w:val="24"/>
          <w:szCs w:val="24"/>
        </w:rPr>
        <w:t xml:space="preserve"> de condenarla a restituir los gastos de administración a la Administradora Colombiana de Pensiones, así como emitir condena por concepto de costas procesales en su contra, asegurando también que su accionar se ha enmarcado en el cumplimiento de la ley, aplicando siempre el principio de la buena fe.</w:t>
      </w:r>
    </w:p>
    <w:p w:rsidR="003A6B38" w:rsidRPr="00095DA5" w:rsidRDefault="003A6B38" w:rsidP="00095DA5">
      <w:pPr>
        <w:spacing w:after="0"/>
        <w:jc w:val="both"/>
        <w:rPr>
          <w:rFonts w:ascii="Arial" w:hAnsi="Arial" w:cs="Arial"/>
          <w:sz w:val="24"/>
          <w:szCs w:val="24"/>
        </w:rPr>
      </w:pPr>
    </w:p>
    <w:p w:rsidR="003A6B38" w:rsidRPr="00095DA5" w:rsidRDefault="003A6B38" w:rsidP="00095DA5">
      <w:pPr>
        <w:spacing w:after="0"/>
        <w:jc w:val="both"/>
        <w:rPr>
          <w:rFonts w:ascii="Arial" w:hAnsi="Arial" w:cs="Arial"/>
          <w:sz w:val="24"/>
          <w:szCs w:val="24"/>
        </w:rPr>
      </w:pPr>
      <w:r w:rsidRPr="00095DA5">
        <w:rPr>
          <w:rFonts w:ascii="Arial" w:hAnsi="Arial" w:cs="Arial"/>
          <w:sz w:val="24"/>
          <w:szCs w:val="24"/>
        </w:rPr>
        <w:t>La apoderada judicial de la Administradora Colombiana de Pensiones considera que de acuerdo con lo narrado en la demanda en conjunto con lo expuesto por la señora Celsa Julia Hernández Ruiz en el interrogatorio de parte, no existe duda en que el motivo que la lleva a iniciar la presente acción es de índole económico, por lo que resultó equivocada la acción impetrada por ella en contra de la totalidad de las entidades demandadas, esto es, la de nulidad o ineficacia del cambio de régimen pensional, ya que la que realmente debió proponer era la resarcitoria de perjuicios prevista en el artículo 10 del decreto 720 de 1994.</w:t>
      </w:r>
    </w:p>
    <w:p w:rsidR="003A6B38" w:rsidRPr="00095DA5" w:rsidRDefault="003A6B38" w:rsidP="00095DA5">
      <w:pPr>
        <w:spacing w:after="0"/>
        <w:jc w:val="both"/>
        <w:rPr>
          <w:rFonts w:ascii="Arial" w:hAnsi="Arial" w:cs="Arial"/>
          <w:sz w:val="24"/>
          <w:szCs w:val="24"/>
        </w:rPr>
      </w:pPr>
    </w:p>
    <w:p w:rsidR="0032297F" w:rsidRPr="00095DA5" w:rsidRDefault="003A6B38" w:rsidP="00095DA5">
      <w:pPr>
        <w:spacing w:after="0"/>
        <w:jc w:val="both"/>
        <w:rPr>
          <w:rFonts w:ascii="Arial" w:hAnsi="Arial" w:cs="Arial"/>
          <w:sz w:val="24"/>
          <w:szCs w:val="24"/>
        </w:rPr>
      </w:pPr>
      <w:r w:rsidRPr="00095DA5">
        <w:rPr>
          <w:rFonts w:ascii="Arial" w:hAnsi="Arial" w:cs="Arial"/>
          <w:sz w:val="24"/>
          <w:szCs w:val="24"/>
        </w:rPr>
        <w:t xml:space="preserve">En todo caso, de insistirse en que la acción formulada por la demandante estuvo correctamente propuesta, sostiene que en el curso del proceso quedó demostrada la </w:t>
      </w:r>
      <w:r w:rsidRPr="00095DA5">
        <w:rPr>
          <w:rFonts w:ascii="Arial" w:hAnsi="Arial" w:cs="Arial"/>
          <w:sz w:val="24"/>
          <w:szCs w:val="24"/>
        </w:rPr>
        <w:lastRenderedPageBreak/>
        <w:t xml:space="preserve">voluntad de la señora Hernández Ruiz de pertenecer al régimen de ahorro individual con solidaridad, ya que después de efectuarse el traslado a ese régimen pensional, ella ejecutó actos de relacionamiento de los que habla la Corte Suprema de Justicia; sin que se pueda perder de vista que la demandante tampoco puede regresar al RPM al encontrarse inmersa en la prohibición legal contemplada en el literal e) del artículo 13 de la ley 100 de 1993 modificado por el artículo 2° de la ley 797 de 2003. </w:t>
      </w:r>
    </w:p>
    <w:p w:rsidR="003835A9" w:rsidRPr="00095DA5" w:rsidRDefault="003835A9" w:rsidP="00095DA5">
      <w:pPr>
        <w:spacing w:after="0"/>
        <w:jc w:val="both"/>
        <w:rPr>
          <w:rFonts w:ascii="Arial" w:hAnsi="Arial" w:cs="Arial"/>
          <w:sz w:val="24"/>
          <w:szCs w:val="24"/>
        </w:rPr>
      </w:pPr>
    </w:p>
    <w:p w:rsidR="003835A9" w:rsidRPr="00095DA5" w:rsidRDefault="003835A9" w:rsidP="00095DA5">
      <w:pPr>
        <w:spacing w:after="0"/>
        <w:jc w:val="both"/>
        <w:rPr>
          <w:rFonts w:ascii="Arial" w:hAnsi="Arial" w:cs="Arial"/>
          <w:sz w:val="24"/>
          <w:szCs w:val="24"/>
        </w:rPr>
      </w:pPr>
      <w:r w:rsidRPr="00095DA5">
        <w:rPr>
          <w:rFonts w:ascii="Arial" w:hAnsi="Arial" w:cs="Arial"/>
          <w:sz w:val="24"/>
          <w:szCs w:val="24"/>
        </w:rPr>
        <w:t>Al haber resultado afectados los intereses de la Administradora Colombiana de Pensiones, se dispuso también el grado jurisdiccional de consulta a su favor.</w:t>
      </w:r>
    </w:p>
    <w:p w:rsidR="003835A9" w:rsidRPr="00095DA5" w:rsidRDefault="003835A9" w:rsidP="00095DA5">
      <w:pPr>
        <w:spacing w:after="0"/>
        <w:jc w:val="both"/>
        <w:rPr>
          <w:rFonts w:ascii="Arial" w:hAnsi="Arial" w:cs="Arial"/>
          <w:sz w:val="24"/>
          <w:szCs w:val="24"/>
        </w:rPr>
      </w:pPr>
    </w:p>
    <w:p w:rsidR="003835A9" w:rsidRPr="00095DA5" w:rsidRDefault="003835A9"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ALEGATOS DE CONCLUSIÓN</w:t>
      </w:r>
      <w:r w:rsidRPr="00095DA5">
        <w:rPr>
          <w:rFonts w:ascii="Arial" w:eastAsia="Times New Roman" w:hAnsi="Arial" w:cs="Arial"/>
          <w:sz w:val="24"/>
          <w:szCs w:val="24"/>
          <w:lang w:eastAsia="es-CO"/>
        </w:rPr>
        <w:t> </w:t>
      </w:r>
    </w:p>
    <w:p w:rsidR="003835A9" w:rsidRPr="00095DA5" w:rsidRDefault="003835A9"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w:t>
      </w: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095DA5">
        <w:rPr>
          <w:rFonts w:ascii="Arial" w:eastAsia="Times New Roman" w:hAnsi="Arial" w:cs="Arial"/>
          <w:i/>
          <w:iCs/>
          <w:sz w:val="24"/>
          <w:szCs w:val="24"/>
          <w:lang w:eastAsia="es-CO"/>
        </w:rPr>
        <w:t>“</w:t>
      </w:r>
      <w:r w:rsidRPr="001453DB">
        <w:rPr>
          <w:rFonts w:ascii="Arial" w:eastAsia="Times New Roman" w:hAnsi="Arial" w:cs="Arial"/>
          <w:i/>
          <w:iCs/>
          <w:szCs w:val="24"/>
          <w:lang w:eastAsia="es-CO"/>
        </w:rPr>
        <w:t>No se podrá hacer transcripciones o reproducciones de actas, decisiones o conceptos que obren en el expediente</w:t>
      </w:r>
      <w:r w:rsidRPr="00095DA5">
        <w:rPr>
          <w:rFonts w:ascii="Arial" w:eastAsia="Times New Roman" w:hAnsi="Arial" w:cs="Arial"/>
          <w:i/>
          <w:iCs/>
          <w:sz w:val="24"/>
          <w:szCs w:val="24"/>
          <w:lang w:eastAsia="es-CO"/>
        </w:rPr>
        <w:t>”, </w:t>
      </w:r>
      <w:r w:rsidRPr="00095DA5">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xml:space="preserve">Por su parte, </w:t>
      </w:r>
      <w:r w:rsidR="00705815" w:rsidRPr="00095DA5">
        <w:rPr>
          <w:rFonts w:ascii="Arial" w:eastAsia="Times New Roman" w:hAnsi="Arial" w:cs="Arial"/>
          <w:sz w:val="24"/>
          <w:szCs w:val="24"/>
          <w:lang w:eastAsia="es-CO"/>
        </w:rPr>
        <w:t>el</w:t>
      </w:r>
      <w:r w:rsidRPr="00095DA5">
        <w:rPr>
          <w:rFonts w:ascii="Arial" w:eastAsia="Times New Roman" w:hAnsi="Arial" w:cs="Arial"/>
          <w:sz w:val="24"/>
          <w:szCs w:val="24"/>
          <w:lang w:eastAsia="es-CO"/>
        </w:rPr>
        <w:t xml:space="preserve"> apoderad</w:t>
      </w:r>
      <w:r w:rsidR="00705815" w:rsidRPr="00095DA5">
        <w:rPr>
          <w:rFonts w:ascii="Arial" w:eastAsia="Times New Roman" w:hAnsi="Arial" w:cs="Arial"/>
          <w:sz w:val="24"/>
          <w:szCs w:val="24"/>
          <w:lang w:eastAsia="es-CO"/>
        </w:rPr>
        <w:t>o</w:t>
      </w:r>
      <w:r w:rsidRPr="00095DA5">
        <w:rPr>
          <w:rFonts w:ascii="Arial" w:eastAsia="Times New Roman" w:hAnsi="Arial" w:cs="Arial"/>
          <w:sz w:val="24"/>
          <w:szCs w:val="24"/>
          <w:lang w:eastAsia="es-CO"/>
        </w:rPr>
        <w:t xml:space="preserve"> judicial de</w:t>
      </w:r>
      <w:r w:rsidR="00705815" w:rsidRPr="00095DA5">
        <w:rPr>
          <w:rFonts w:ascii="Arial" w:eastAsia="Times New Roman" w:hAnsi="Arial" w:cs="Arial"/>
          <w:sz w:val="24"/>
          <w:szCs w:val="24"/>
          <w:lang w:eastAsia="es-CO"/>
        </w:rPr>
        <w:t>l</w:t>
      </w:r>
      <w:r w:rsidRPr="00095DA5">
        <w:rPr>
          <w:rFonts w:ascii="Arial" w:eastAsia="Times New Roman" w:hAnsi="Arial" w:cs="Arial"/>
          <w:sz w:val="24"/>
          <w:szCs w:val="24"/>
          <w:lang w:eastAsia="es-CO"/>
        </w:rPr>
        <w:t xml:space="preserve"> accionante solicitó la confirmación integral de la sentencia proferida por el Juzgado Quinto Laboral del Circuito.</w:t>
      </w:r>
    </w:p>
    <w:p w:rsidR="003835A9" w:rsidRPr="00095DA5" w:rsidRDefault="003835A9" w:rsidP="00095DA5">
      <w:pPr>
        <w:spacing w:after="0"/>
        <w:textAlignment w:val="baseline"/>
        <w:rPr>
          <w:rFonts w:ascii="Arial" w:eastAsia="Times New Roman" w:hAnsi="Arial" w:cs="Arial"/>
          <w:b/>
          <w:bCs/>
          <w:sz w:val="24"/>
          <w:szCs w:val="24"/>
          <w:lang w:eastAsia="es-CO"/>
        </w:rPr>
      </w:pPr>
    </w:p>
    <w:p w:rsidR="003835A9" w:rsidRPr="00095DA5" w:rsidRDefault="003835A9"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Cuestión previa</w:t>
      </w:r>
      <w:r w:rsidRPr="00095DA5">
        <w:rPr>
          <w:rFonts w:ascii="Arial" w:eastAsia="Times New Roman" w:hAnsi="Arial" w:cs="Arial"/>
          <w:sz w:val="24"/>
          <w:szCs w:val="24"/>
          <w:lang w:eastAsia="es-CO"/>
        </w:rPr>
        <w:t> </w:t>
      </w:r>
    </w:p>
    <w:p w:rsidR="003835A9" w:rsidRPr="00095DA5" w:rsidRDefault="003835A9" w:rsidP="00095DA5">
      <w:pPr>
        <w:spacing w:after="0"/>
        <w:jc w:val="center"/>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Así las cosas, atendidas las argumentaciones a esta Sala de Decisión le corresponde resolver los siguientes:</w:t>
      </w:r>
      <w:r w:rsidRPr="00095DA5">
        <w:rPr>
          <w:rFonts w:ascii="Arial" w:eastAsia="Times New Roman" w:hAnsi="Arial" w:cs="Arial"/>
          <w:b/>
          <w:bCs/>
          <w:sz w:val="24"/>
          <w:szCs w:val="24"/>
          <w:lang w:eastAsia="es-CO"/>
        </w:rPr>
        <w:t> </w:t>
      </w:r>
      <w:r w:rsidRPr="00095DA5">
        <w:rPr>
          <w:rFonts w:ascii="Arial" w:eastAsia="Times New Roman" w:hAnsi="Arial" w:cs="Arial"/>
          <w:sz w:val="24"/>
          <w:szCs w:val="24"/>
          <w:lang w:eastAsia="es-CO"/>
        </w:rPr>
        <w:t> </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PROBLEMAS JURÍDICOS </w:t>
      </w:r>
      <w:r w:rsidRPr="00095DA5">
        <w:rPr>
          <w:rFonts w:ascii="Arial" w:eastAsia="Times New Roman" w:hAnsi="Arial" w:cs="Arial"/>
          <w:sz w:val="24"/>
          <w:szCs w:val="24"/>
          <w:lang w:eastAsia="es-CO"/>
        </w:rPr>
        <w:t> </w:t>
      </w:r>
    </w:p>
    <w:p w:rsidR="003835A9" w:rsidRPr="00095DA5" w:rsidRDefault="003835A9" w:rsidP="00095DA5">
      <w:pPr>
        <w:spacing w:after="0"/>
        <w:jc w:val="both"/>
        <w:textAlignment w:val="baseline"/>
        <w:rPr>
          <w:rStyle w:val="normaltextrun"/>
          <w:rFonts w:ascii="Arial" w:hAnsi="Arial" w:cs="Arial"/>
          <w:b/>
          <w:bCs/>
          <w:color w:val="000000"/>
          <w:sz w:val="24"/>
          <w:szCs w:val="24"/>
          <w:shd w:val="clear" w:color="auto" w:fill="FFFFFF"/>
          <w:lang w:val="es-ES"/>
        </w:rPr>
      </w:pPr>
    </w:p>
    <w:p w:rsidR="003835A9" w:rsidRPr="00095DA5" w:rsidRDefault="003835A9" w:rsidP="001453DB">
      <w:pPr>
        <w:spacing w:after="0"/>
        <w:ind w:left="426" w:right="420"/>
        <w:jc w:val="both"/>
        <w:textAlignment w:val="baseline"/>
        <w:rPr>
          <w:rStyle w:val="eop"/>
          <w:rFonts w:ascii="Arial" w:hAnsi="Arial" w:cs="Arial"/>
          <w:color w:val="000000"/>
          <w:sz w:val="24"/>
          <w:szCs w:val="24"/>
          <w:shd w:val="clear" w:color="auto" w:fill="FFFFFF"/>
        </w:rPr>
      </w:pPr>
      <w:r w:rsidRPr="00095DA5">
        <w:rPr>
          <w:rStyle w:val="normaltextrun"/>
          <w:rFonts w:ascii="Arial" w:hAnsi="Arial" w:cs="Arial"/>
          <w:b/>
          <w:bCs/>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rsidR="003835A9" w:rsidRPr="00095DA5" w:rsidRDefault="003835A9" w:rsidP="001453DB">
      <w:pPr>
        <w:spacing w:after="0"/>
        <w:ind w:left="426" w:right="420"/>
        <w:jc w:val="both"/>
        <w:textAlignment w:val="baseline"/>
        <w:rPr>
          <w:rStyle w:val="eop"/>
          <w:rFonts w:ascii="Arial" w:hAnsi="Arial" w:cs="Arial"/>
          <w:color w:val="000000"/>
          <w:sz w:val="24"/>
          <w:szCs w:val="24"/>
          <w:shd w:val="clear" w:color="auto" w:fill="FFFFFF"/>
        </w:rPr>
      </w:pPr>
    </w:p>
    <w:p w:rsidR="003835A9" w:rsidRPr="00095DA5" w:rsidRDefault="003835A9" w:rsidP="001453DB">
      <w:pPr>
        <w:spacing w:after="0"/>
        <w:ind w:left="426" w:right="420"/>
        <w:jc w:val="both"/>
        <w:textAlignment w:val="baseline"/>
        <w:rPr>
          <w:rStyle w:val="eop"/>
          <w:rFonts w:ascii="Arial" w:hAnsi="Arial" w:cs="Arial"/>
          <w:b/>
          <w:bCs/>
          <w:color w:val="000000"/>
          <w:sz w:val="24"/>
          <w:szCs w:val="24"/>
          <w:shd w:val="clear" w:color="auto" w:fill="FFFFFF"/>
        </w:rPr>
      </w:pPr>
      <w:r w:rsidRPr="00095DA5">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3835A9" w:rsidRPr="00095DA5" w:rsidRDefault="003835A9" w:rsidP="001453DB">
      <w:pPr>
        <w:spacing w:after="0"/>
        <w:ind w:left="426" w:right="420"/>
        <w:jc w:val="both"/>
        <w:textAlignment w:val="baseline"/>
        <w:rPr>
          <w:rFonts w:ascii="Arial" w:eastAsia="Times New Roman" w:hAnsi="Arial" w:cs="Arial"/>
          <w:sz w:val="24"/>
          <w:szCs w:val="24"/>
          <w:lang w:eastAsia="es-CO"/>
        </w:rPr>
      </w:pPr>
    </w:p>
    <w:p w:rsidR="003835A9" w:rsidRPr="00095DA5" w:rsidRDefault="003835A9" w:rsidP="001453DB">
      <w:pPr>
        <w:spacing w:after="0"/>
        <w:ind w:left="426" w:right="420"/>
        <w:jc w:val="both"/>
        <w:textAlignment w:val="baseline"/>
        <w:rPr>
          <w:rFonts w:ascii="Arial" w:eastAsia="Times New Roman" w:hAnsi="Arial" w:cs="Arial"/>
          <w:b/>
          <w:bCs/>
          <w:sz w:val="24"/>
          <w:szCs w:val="24"/>
          <w:lang w:eastAsia="es-CO"/>
        </w:rPr>
      </w:pPr>
      <w:r w:rsidRPr="00095DA5">
        <w:rPr>
          <w:rFonts w:ascii="Arial" w:eastAsia="Times New Roman" w:hAnsi="Arial" w:cs="Arial"/>
          <w:b/>
          <w:bCs/>
          <w:sz w:val="24"/>
          <w:szCs w:val="24"/>
          <w:lang w:eastAsia="es-CO"/>
        </w:rPr>
        <w:t xml:space="preserve">¿Hay lugar a declarar ineficaz la afiliación de la señora </w:t>
      </w:r>
      <w:r w:rsidR="00705815" w:rsidRPr="00095DA5">
        <w:rPr>
          <w:rFonts w:ascii="Arial" w:eastAsia="Times New Roman" w:hAnsi="Arial" w:cs="Arial"/>
          <w:b/>
          <w:bCs/>
          <w:sz w:val="24"/>
          <w:szCs w:val="24"/>
          <w:lang w:eastAsia="es-CO"/>
        </w:rPr>
        <w:t>Celsa Julia Hernández Ruiz</w:t>
      </w:r>
      <w:r w:rsidRPr="00095DA5">
        <w:rPr>
          <w:rFonts w:ascii="Arial" w:eastAsia="Times New Roman" w:hAnsi="Arial" w:cs="Arial"/>
          <w:b/>
          <w:bCs/>
          <w:sz w:val="24"/>
          <w:szCs w:val="24"/>
          <w:lang w:eastAsia="es-CO"/>
        </w:rPr>
        <w:t xml:space="preserve"> al Régimen de Ahorro Individual con Solidaridad efectuada el </w:t>
      </w:r>
      <w:r w:rsidR="00705815" w:rsidRPr="00095DA5">
        <w:rPr>
          <w:rFonts w:ascii="Arial" w:eastAsia="Times New Roman" w:hAnsi="Arial" w:cs="Arial"/>
          <w:b/>
          <w:bCs/>
          <w:sz w:val="24"/>
          <w:szCs w:val="24"/>
          <w:lang w:eastAsia="es-CO"/>
        </w:rPr>
        <w:t>20 de febrero de 1998</w:t>
      </w:r>
      <w:r w:rsidRPr="00095DA5">
        <w:rPr>
          <w:rFonts w:ascii="Arial" w:eastAsia="Times New Roman" w:hAnsi="Arial" w:cs="Arial"/>
          <w:b/>
          <w:bCs/>
          <w:sz w:val="24"/>
          <w:szCs w:val="24"/>
          <w:lang w:eastAsia="es-CO"/>
        </w:rPr>
        <w:t>?</w:t>
      </w:r>
    </w:p>
    <w:p w:rsidR="003835A9" w:rsidRPr="00095DA5" w:rsidRDefault="003835A9" w:rsidP="001453DB">
      <w:pPr>
        <w:spacing w:after="0"/>
        <w:ind w:left="426" w:right="420"/>
        <w:jc w:val="both"/>
        <w:textAlignment w:val="baseline"/>
        <w:rPr>
          <w:rFonts w:ascii="Arial" w:eastAsia="Times New Roman" w:hAnsi="Arial" w:cs="Arial"/>
          <w:b/>
          <w:bCs/>
          <w:sz w:val="24"/>
          <w:szCs w:val="24"/>
          <w:lang w:eastAsia="es-CO"/>
        </w:rPr>
      </w:pPr>
    </w:p>
    <w:p w:rsidR="003835A9" w:rsidRPr="00095DA5" w:rsidRDefault="003835A9" w:rsidP="001453DB">
      <w:pPr>
        <w:spacing w:after="0"/>
        <w:ind w:left="426" w:right="420"/>
        <w:jc w:val="both"/>
        <w:textAlignment w:val="baseline"/>
        <w:rPr>
          <w:rFonts w:ascii="Arial" w:eastAsia="Times New Roman" w:hAnsi="Arial" w:cs="Arial"/>
          <w:b/>
          <w:bCs/>
          <w:sz w:val="24"/>
          <w:szCs w:val="24"/>
          <w:lang w:eastAsia="es-CO"/>
        </w:rPr>
      </w:pPr>
      <w:r w:rsidRPr="00095DA5">
        <w:rPr>
          <w:rFonts w:ascii="Arial" w:eastAsia="Times New Roman" w:hAnsi="Arial" w:cs="Arial"/>
          <w:b/>
          <w:bCs/>
          <w:sz w:val="24"/>
          <w:szCs w:val="24"/>
          <w:lang w:eastAsia="es-CO"/>
        </w:rPr>
        <w:t xml:space="preserve">¿Con </w:t>
      </w:r>
      <w:r w:rsidR="00705815" w:rsidRPr="00095DA5">
        <w:rPr>
          <w:rFonts w:ascii="Arial" w:eastAsia="Times New Roman" w:hAnsi="Arial" w:cs="Arial"/>
          <w:b/>
          <w:bCs/>
          <w:sz w:val="24"/>
          <w:szCs w:val="24"/>
          <w:lang w:eastAsia="es-CO"/>
        </w:rPr>
        <w:t>los movimientos efectuados por la afiliada al interior del RAIS, así como su</w:t>
      </w:r>
      <w:r w:rsidRPr="00095DA5">
        <w:rPr>
          <w:rFonts w:ascii="Arial" w:eastAsia="Times New Roman" w:hAnsi="Arial" w:cs="Arial"/>
          <w:b/>
          <w:bCs/>
          <w:sz w:val="24"/>
          <w:szCs w:val="24"/>
          <w:lang w:eastAsia="es-CO"/>
        </w:rPr>
        <w:t xml:space="preserve"> permanencia </w:t>
      </w:r>
      <w:r w:rsidR="00705815" w:rsidRPr="00095DA5">
        <w:rPr>
          <w:rFonts w:ascii="Arial" w:eastAsia="Times New Roman" w:hAnsi="Arial" w:cs="Arial"/>
          <w:b/>
          <w:bCs/>
          <w:sz w:val="24"/>
          <w:szCs w:val="24"/>
          <w:lang w:eastAsia="es-CO"/>
        </w:rPr>
        <w:t>en ese régimen pensional durante más de</w:t>
      </w:r>
      <w:r w:rsidRPr="00095DA5">
        <w:rPr>
          <w:rFonts w:ascii="Arial" w:eastAsia="Times New Roman" w:hAnsi="Arial" w:cs="Arial"/>
          <w:b/>
          <w:bCs/>
          <w:sz w:val="24"/>
          <w:szCs w:val="24"/>
          <w:lang w:eastAsia="es-CO"/>
        </w:rPr>
        <w:t xml:space="preserve"> veinte años</w:t>
      </w:r>
      <w:r w:rsidR="00705815" w:rsidRPr="00095DA5">
        <w:rPr>
          <w:rFonts w:ascii="Arial" w:eastAsia="Times New Roman" w:hAnsi="Arial" w:cs="Arial"/>
          <w:b/>
          <w:bCs/>
          <w:sz w:val="24"/>
          <w:szCs w:val="24"/>
          <w:lang w:eastAsia="es-CO"/>
        </w:rPr>
        <w:t xml:space="preserve"> </w:t>
      </w:r>
      <w:r w:rsidRPr="00095DA5">
        <w:rPr>
          <w:rFonts w:ascii="Arial" w:eastAsia="Times New Roman" w:hAnsi="Arial" w:cs="Arial"/>
          <w:b/>
          <w:bCs/>
          <w:sz w:val="24"/>
          <w:szCs w:val="24"/>
          <w:lang w:eastAsia="es-CO"/>
        </w:rPr>
        <w:t>desapareció la asimetría en la información que se echa de menos en la presente acción?</w:t>
      </w:r>
    </w:p>
    <w:p w:rsidR="003835A9" w:rsidRPr="00095DA5" w:rsidRDefault="003835A9" w:rsidP="001453DB">
      <w:pPr>
        <w:spacing w:after="0"/>
        <w:ind w:left="426" w:right="420"/>
        <w:jc w:val="both"/>
        <w:textAlignment w:val="baseline"/>
        <w:rPr>
          <w:rStyle w:val="normaltextrun"/>
          <w:rFonts w:ascii="Arial" w:hAnsi="Arial" w:cs="Arial"/>
          <w:b/>
          <w:bCs/>
          <w:color w:val="000000"/>
          <w:sz w:val="24"/>
          <w:szCs w:val="24"/>
          <w:shd w:val="clear" w:color="auto" w:fill="FFFFFF"/>
        </w:rPr>
      </w:pPr>
    </w:p>
    <w:p w:rsidR="003835A9" w:rsidRPr="00095DA5" w:rsidRDefault="003835A9" w:rsidP="001453DB">
      <w:pPr>
        <w:spacing w:after="0"/>
        <w:ind w:left="426" w:right="420"/>
        <w:jc w:val="both"/>
        <w:textAlignment w:val="baseline"/>
        <w:rPr>
          <w:rStyle w:val="normaltextrun"/>
          <w:rFonts w:ascii="Arial" w:hAnsi="Arial" w:cs="Arial"/>
          <w:b/>
          <w:bCs/>
          <w:color w:val="000000"/>
          <w:sz w:val="24"/>
          <w:szCs w:val="24"/>
          <w:shd w:val="clear" w:color="auto" w:fill="FFFFFF"/>
        </w:rPr>
      </w:pPr>
      <w:r w:rsidRPr="00095DA5">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3835A9" w:rsidRPr="00095DA5" w:rsidRDefault="003835A9" w:rsidP="001453DB">
      <w:pPr>
        <w:spacing w:after="0"/>
        <w:ind w:left="426" w:right="420"/>
        <w:jc w:val="both"/>
        <w:textAlignment w:val="baseline"/>
        <w:rPr>
          <w:rStyle w:val="normaltextrun"/>
          <w:rFonts w:ascii="Arial" w:hAnsi="Arial" w:cs="Arial"/>
          <w:b/>
          <w:bCs/>
          <w:color w:val="000000"/>
          <w:sz w:val="24"/>
          <w:szCs w:val="24"/>
          <w:shd w:val="clear" w:color="auto" w:fill="FFFFFF"/>
        </w:rPr>
      </w:pPr>
    </w:p>
    <w:p w:rsidR="003835A9" w:rsidRPr="00095DA5" w:rsidRDefault="003835A9" w:rsidP="001453DB">
      <w:pPr>
        <w:spacing w:after="0"/>
        <w:ind w:left="426" w:right="420"/>
        <w:jc w:val="both"/>
        <w:textAlignment w:val="baseline"/>
        <w:rPr>
          <w:rStyle w:val="normaltextrun"/>
          <w:rFonts w:ascii="Arial" w:hAnsi="Arial" w:cs="Arial"/>
          <w:b/>
          <w:bCs/>
          <w:color w:val="000000"/>
          <w:sz w:val="24"/>
          <w:szCs w:val="24"/>
          <w:shd w:val="clear" w:color="auto" w:fill="FFFFFF"/>
        </w:rPr>
      </w:pPr>
      <w:r w:rsidRPr="00095DA5">
        <w:rPr>
          <w:rStyle w:val="normaltextrun"/>
          <w:rFonts w:ascii="Arial" w:hAnsi="Arial" w:cs="Arial"/>
          <w:b/>
          <w:bCs/>
          <w:color w:val="000000"/>
          <w:sz w:val="24"/>
          <w:szCs w:val="24"/>
          <w:shd w:val="clear" w:color="auto" w:fill="FFFFFF"/>
        </w:rPr>
        <w:t xml:space="preserve">¿Tienen razón los fondos privados de pensiones accionados cuando afirman que </w:t>
      </w:r>
      <w:r w:rsidR="00705815" w:rsidRPr="00095DA5">
        <w:rPr>
          <w:rStyle w:val="normaltextrun"/>
          <w:rFonts w:ascii="Arial" w:hAnsi="Arial" w:cs="Arial"/>
          <w:b/>
          <w:bCs/>
          <w:color w:val="000000"/>
          <w:sz w:val="24"/>
          <w:szCs w:val="24"/>
          <w:shd w:val="clear" w:color="auto" w:fill="FFFFFF"/>
        </w:rPr>
        <w:t>la única suma que debe restituirse a la Administradora Colombiana de Pensiones es la proveniente de los aportes al sistema general de pensiones</w:t>
      </w:r>
      <w:r w:rsidRPr="00095DA5">
        <w:rPr>
          <w:rStyle w:val="normaltextrun"/>
          <w:rFonts w:ascii="Arial" w:hAnsi="Arial" w:cs="Arial"/>
          <w:b/>
          <w:bCs/>
          <w:color w:val="000000"/>
          <w:sz w:val="24"/>
          <w:szCs w:val="24"/>
          <w:shd w:val="clear" w:color="auto" w:fill="FFFFFF"/>
        </w:rPr>
        <w:t xml:space="preserve">? </w:t>
      </w:r>
    </w:p>
    <w:p w:rsidR="003835A9" w:rsidRPr="00095DA5" w:rsidRDefault="003835A9" w:rsidP="001453DB">
      <w:pPr>
        <w:spacing w:after="0"/>
        <w:ind w:left="426" w:right="420"/>
        <w:jc w:val="both"/>
        <w:textAlignment w:val="baseline"/>
        <w:rPr>
          <w:rFonts w:ascii="Arial" w:eastAsia="Times New Roman" w:hAnsi="Arial" w:cs="Arial"/>
          <w:b/>
          <w:bCs/>
          <w:sz w:val="24"/>
          <w:szCs w:val="24"/>
          <w:lang w:eastAsia="es-CO"/>
        </w:rPr>
      </w:pPr>
    </w:p>
    <w:p w:rsidR="003835A9" w:rsidRPr="00095DA5" w:rsidRDefault="003835A9" w:rsidP="001453DB">
      <w:pPr>
        <w:suppressAutoHyphens/>
        <w:spacing w:after="0"/>
        <w:ind w:left="426" w:right="420"/>
        <w:jc w:val="both"/>
        <w:rPr>
          <w:rFonts w:ascii="Arial" w:eastAsia="Times New Roman" w:hAnsi="Arial" w:cs="Arial"/>
          <w:spacing w:val="-2"/>
          <w:sz w:val="24"/>
          <w:szCs w:val="24"/>
          <w:lang w:eastAsia="es-ES"/>
        </w:rPr>
      </w:pPr>
      <w:r w:rsidRPr="00095DA5">
        <w:rPr>
          <w:rFonts w:ascii="Arial" w:eastAsia="Times New Roman" w:hAnsi="Arial" w:cs="Arial"/>
          <w:b/>
          <w:bCs/>
          <w:spacing w:val="-2"/>
          <w:sz w:val="24"/>
          <w:szCs w:val="24"/>
          <w:lang w:eastAsia="es-ES"/>
        </w:rPr>
        <w:t>¿Qué decisión debe adoptarse ante la posibilidad de que se haya emitido un bono pensional a favor de la afiliada?</w:t>
      </w:r>
      <w:r w:rsidRPr="00095DA5">
        <w:rPr>
          <w:rFonts w:ascii="Arial" w:eastAsia="Times New Roman" w:hAnsi="Arial" w:cs="Arial"/>
          <w:spacing w:val="-2"/>
          <w:sz w:val="24"/>
          <w:szCs w:val="24"/>
          <w:lang w:eastAsia="es-ES"/>
        </w:rPr>
        <w:t> </w:t>
      </w:r>
    </w:p>
    <w:p w:rsidR="003835A9" w:rsidRPr="00095DA5" w:rsidRDefault="003835A9" w:rsidP="001453DB">
      <w:pPr>
        <w:spacing w:after="0"/>
        <w:ind w:left="426" w:right="420"/>
        <w:jc w:val="both"/>
        <w:textAlignment w:val="baseline"/>
        <w:rPr>
          <w:rFonts w:ascii="Arial" w:eastAsia="Times New Roman" w:hAnsi="Arial" w:cs="Arial"/>
          <w:b/>
          <w:bCs/>
          <w:sz w:val="24"/>
          <w:szCs w:val="24"/>
          <w:lang w:eastAsia="es-CO"/>
        </w:rPr>
      </w:pPr>
    </w:p>
    <w:p w:rsidR="003835A9" w:rsidRPr="00095DA5" w:rsidRDefault="003835A9" w:rsidP="001453DB">
      <w:pPr>
        <w:suppressAutoHyphens/>
        <w:spacing w:after="0"/>
        <w:ind w:left="426" w:right="420"/>
        <w:jc w:val="both"/>
        <w:rPr>
          <w:rFonts w:ascii="Arial" w:eastAsia="Times New Roman" w:hAnsi="Arial" w:cs="Arial"/>
          <w:b/>
          <w:bCs/>
          <w:spacing w:val="-2"/>
          <w:sz w:val="24"/>
          <w:szCs w:val="24"/>
          <w:lang w:eastAsia="es-ES"/>
        </w:rPr>
      </w:pPr>
      <w:r w:rsidRPr="00095DA5">
        <w:rPr>
          <w:rFonts w:ascii="Arial" w:eastAsia="Times New Roman" w:hAnsi="Arial" w:cs="Arial"/>
          <w:b/>
          <w:bCs/>
          <w:spacing w:val="-2"/>
          <w:sz w:val="24"/>
          <w:szCs w:val="24"/>
          <w:lang w:eastAsia="es-ES"/>
        </w:rPr>
        <w:t xml:space="preserve">¿Existe algún inconveniente en torno a que la </w:t>
      </w:r>
      <w:r w:rsidR="00705815" w:rsidRPr="00095DA5">
        <w:rPr>
          <w:rFonts w:ascii="Arial" w:eastAsia="Times New Roman" w:hAnsi="Arial" w:cs="Arial"/>
          <w:b/>
          <w:bCs/>
          <w:spacing w:val="-2"/>
          <w:sz w:val="24"/>
          <w:szCs w:val="24"/>
          <w:lang w:eastAsia="es-ES"/>
        </w:rPr>
        <w:t xml:space="preserve">afiliada haya arribado </w:t>
      </w:r>
      <w:r w:rsidRPr="00095DA5">
        <w:rPr>
          <w:rFonts w:ascii="Arial" w:eastAsia="Times New Roman" w:hAnsi="Arial" w:cs="Arial"/>
          <w:b/>
          <w:bCs/>
          <w:spacing w:val="-2"/>
          <w:sz w:val="24"/>
          <w:szCs w:val="24"/>
          <w:lang w:eastAsia="es-ES"/>
        </w:rPr>
        <w:t>a la edad mínima de pensión prevista en el régimen de prima media con prestación definida?</w:t>
      </w:r>
    </w:p>
    <w:p w:rsidR="003835A9" w:rsidRPr="001453DB" w:rsidRDefault="003835A9" w:rsidP="001453DB">
      <w:pPr>
        <w:spacing w:after="0"/>
        <w:ind w:left="426" w:right="420"/>
        <w:jc w:val="both"/>
        <w:textAlignment w:val="baseline"/>
        <w:rPr>
          <w:rFonts w:ascii="Arial" w:eastAsia="Times New Roman" w:hAnsi="Arial" w:cs="Arial"/>
          <w:b/>
          <w:bCs/>
          <w:spacing w:val="-2"/>
          <w:sz w:val="24"/>
          <w:szCs w:val="24"/>
          <w:lang w:eastAsia="es-ES"/>
        </w:rPr>
      </w:pPr>
    </w:p>
    <w:p w:rsidR="003835A9" w:rsidRPr="001453DB" w:rsidRDefault="003835A9" w:rsidP="001453DB">
      <w:pPr>
        <w:spacing w:after="0"/>
        <w:ind w:left="426" w:right="420"/>
        <w:jc w:val="both"/>
        <w:textAlignment w:val="baseline"/>
        <w:rPr>
          <w:rFonts w:ascii="Arial" w:eastAsia="Times New Roman" w:hAnsi="Arial" w:cs="Arial"/>
          <w:spacing w:val="-2"/>
          <w:sz w:val="24"/>
          <w:szCs w:val="24"/>
          <w:lang w:eastAsia="es-ES"/>
        </w:rPr>
      </w:pPr>
      <w:r w:rsidRPr="001453DB">
        <w:rPr>
          <w:rFonts w:ascii="Arial" w:eastAsia="Times New Roman" w:hAnsi="Arial" w:cs="Arial"/>
          <w:b/>
          <w:bCs/>
          <w:spacing w:val="-2"/>
          <w:sz w:val="24"/>
          <w:szCs w:val="24"/>
          <w:lang w:eastAsia="es-ES"/>
        </w:rPr>
        <w:t>¿Hay lugar a exonerar a los fondos privados de pensiones de la condena emitida en su contra por concepto de costas procesales?</w:t>
      </w:r>
      <w:r w:rsidRPr="001453DB">
        <w:rPr>
          <w:rFonts w:ascii="Arial" w:eastAsia="Times New Roman" w:hAnsi="Arial" w:cs="Arial"/>
          <w:spacing w:val="-2"/>
          <w:sz w:val="24"/>
          <w:szCs w:val="24"/>
          <w:lang w:eastAsia="es-ES"/>
        </w:rPr>
        <w:t> </w:t>
      </w: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 </w:t>
      </w: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Con el propósito de dar solución a los interrogantes en el caso concreto, la Sala considera necesario precisar, el siguiente: </w:t>
      </w: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w:t>
      </w:r>
    </w:p>
    <w:p w:rsidR="003835A9" w:rsidRPr="00095DA5" w:rsidRDefault="003835A9"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FUNDAMENTO JURISPRUDENCIAL</w:t>
      </w:r>
      <w:r w:rsidRPr="00095DA5">
        <w:rPr>
          <w:rFonts w:ascii="Arial" w:eastAsia="Times New Roman" w:hAnsi="Arial" w:cs="Arial"/>
          <w:sz w:val="24"/>
          <w:szCs w:val="24"/>
          <w:lang w:eastAsia="es-CO"/>
        </w:rPr>
        <w:t> </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077904" w:rsidRPr="00077904" w:rsidRDefault="00077904" w:rsidP="00077904">
      <w:pPr>
        <w:spacing w:after="0"/>
        <w:jc w:val="both"/>
        <w:textAlignment w:val="baseline"/>
        <w:rPr>
          <w:rFonts w:ascii="Arial" w:eastAsia="Times New Roman" w:hAnsi="Arial" w:cs="Arial"/>
          <w:sz w:val="24"/>
          <w:szCs w:val="24"/>
          <w:lang w:eastAsia="es-CO"/>
        </w:rPr>
      </w:pP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 xml:space="preserve">debe estar precedida de una decisión libre y voluntaria, de suerte que las administradoras de pensiones tienen el deber de brindar a sus afiliados una </w:t>
      </w:r>
      <w:r w:rsidRPr="00077904">
        <w:rPr>
          <w:rFonts w:ascii="Arial" w:eastAsia="Times New Roman" w:hAnsi="Arial" w:cs="Arial"/>
          <w:b/>
          <w:i/>
          <w:iCs/>
          <w:szCs w:val="24"/>
          <w:lang w:eastAsia="es-ES"/>
        </w:rPr>
        <w:lastRenderedPageBreak/>
        <w:t>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077904" w:rsidRPr="00077904" w:rsidRDefault="00077904" w:rsidP="00077904">
      <w:pPr>
        <w:spacing w:after="0"/>
        <w:jc w:val="both"/>
        <w:textAlignment w:val="baseline"/>
        <w:rPr>
          <w:rFonts w:ascii="Arial" w:eastAsia="Times New Roman" w:hAnsi="Arial" w:cs="Arial"/>
          <w:i/>
          <w:sz w:val="24"/>
          <w:szCs w:val="24"/>
          <w:lang w:eastAsia="es-CO"/>
        </w:rPr>
      </w:pP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077904" w:rsidRPr="00077904" w:rsidRDefault="00077904" w:rsidP="00077904">
      <w:pPr>
        <w:spacing w:after="0"/>
        <w:jc w:val="both"/>
        <w:textAlignment w:val="baseline"/>
        <w:rPr>
          <w:rFonts w:ascii="Arial" w:eastAsia="Times New Roman" w:hAnsi="Arial" w:cs="Arial"/>
          <w:i/>
          <w:sz w:val="24"/>
          <w:szCs w:val="24"/>
          <w:lang w:eastAsia="es-CO"/>
        </w:rPr>
      </w:pP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77904" w:rsidRPr="00077904"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077904" w:rsidRPr="00077904"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077904" w:rsidRPr="00077904"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077904" w:rsidRPr="00077904" w:rsidTr="008A78C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7904" w:rsidRPr="00077904" w:rsidRDefault="00077904" w:rsidP="00077904">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077904" w:rsidRPr="00077904" w:rsidRDefault="00077904" w:rsidP="00077904">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lastRenderedPageBreak/>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077904" w:rsidRPr="00077904" w:rsidRDefault="00077904" w:rsidP="00077904">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077904" w:rsidRPr="00077904" w:rsidRDefault="00077904" w:rsidP="00077904">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077904" w:rsidRPr="00077904" w:rsidRDefault="00077904" w:rsidP="00077904">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077904" w:rsidRPr="00077904" w:rsidRDefault="00077904" w:rsidP="00077904">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77904" w:rsidRPr="00077904" w:rsidRDefault="00077904" w:rsidP="00077904">
      <w:pPr>
        <w:spacing w:after="0"/>
        <w:jc w:val="both"/>
        <w:textAlignment w:val="baseline"/>
        <w:rPr>
          <w:rFonts w:ascii="Arial" w:eastAsia="Times New Roman" w:hAnsi="Arial" w:cs="Arial"/>
          <w:sz w:val="24"/>
          <w:szCs w:val="24"/>
          <w:lang w:eastAsia="es-CO"/>
        </w:rPr>
      </w:pP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xml:space="preserve">, en los casos de afiliación, pueden verse traducidos en acciones concretas de los afiliados tales como presentar solicitudes de información de saldos, actualización de datos, </w:t>
      </w:r>
      <w:r w:rsidRPr="00077904">
        <w:rPr>
          <w:rFonts w:ascii="Arial" w:eastAsia="Times New Roman" w:hAnsi="Arial" w:cs="Arial"/>
          <w:i/>
          <w:iCs/>
          <w:szCs w:val="24"/>
          <w:lang w:eastAsia="es-ES"/>
        </w:rPr>
        <w:lastRenderedPageBreak/>
        <w:t>asignación y cambio de claves, entre otros. Así lo ha establecido esta Corporación en el fallo CSJ SL413-2018, en donde dijo que,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077904" w:rsidRPr="00077904" w:rsidRDefault="00077904" w:rsidP="00077904">
      <w:pPr>
        <w:spacing w:after="0"/>
        <w:jc w:val="both"/>
        <w:textAlignment w:val="baseline"/>
        <w:rPr>
          <w:rFonts w:ascii="Arial" w:eastAsia="Times New Roman" w:hAnsi="Arial" w:cs="Arial"/>
          <w:sz w:val="24"/>
          <w:szCs w:val="24"/>
          <w:lang w:eastAsia="es-CO"/>
        </w:rPr>
      </w:pP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077904" w:rsidRPr="00077904" w:rsidRDefault="00077904" w:rsidP="00077904">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077904" w:rsidRPr="00077904" w:rsidRDefault="00077904" w:rsidP="00077904">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eastAsia="es-CO"/>
        </w:rPr>
        <w:t>CASO CONCRETO</w:t>
      </w:r>
      <w:r w:rsidRPr="00095DA5">
        <w:rPr>
          <w:rFonts w:ascii="Arial" w:eastAsia="Times New Roman" w:hAnsi="Arial" w:cs="Arial"/>
          <w:sz w:val="24"/>
          <w:szCs w:val="24"/>
          <w:lang w:eastAsia="es-CO"/>
        </w:rPr>
        <w:t> </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lastRenderedPageBreak/>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independientemente de que la señora </w:t>
      </w:r>
      <w:r w:rsidR="00705815" w:rsidRPr="00095DA5">
        <w:rPr>
          <w:rFonts w:ascii="Arial" w:eastAsia="Times New Roman" w:hAnsi="Arial" w:cs="Arial"/>
          <w:spacing w:val="-2"/>
          <w:sz w:val="24"/>
          <w:szCs w:val="24"/>
          <w:lang w:eastAsia="es-ES"/>
        </w:rPr>
        <w:t>Celsa Julia Hernández Ruiz</w:t>
      </w:r>
      <w:r w:rsidRPr="00095DA5">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w:t>
      </w:r>
      <w:r w:rsidR="00705815" w:rsidRPr="00095DA5">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l</w:t>
      </w:r>
      <w:r w:rsidR="00705815" w:rsidRPr="00095DA5">
        <w:rPr>
          <w:rFonts w:ascii="Arial" w:eastAsia="Times New Roman" w:hAnsi="Arial" w:cs="Arial"/>
          <w:spacing w:val="-2"/>
          <w:sz w:val="24"/>
          <w:szCs w:val="24"/>
          <w:lang w:eastAsia="es-ES"/>
        </w:rPr>
        <w:t>a</w:t>
      </w:r>
      <w:r w:rsidRPr="00095DA5">
        <w:rPr>
          <w:rFonts w:ascii="Arial" w:eastAsia="Times New Roman" w:hAnsi="Arial" w:cs="Arial"/>
          <w:spacing w:val="-2"/>
          <w:sz w:val="24"/>
          <w:szCs w:val="24"/>
          <w:lang w:eastAsia="es-ES"/>
        </w:rPr>
        <w:t xml:space="preserve"> demandante se dio en términos de eficacia</w:t>
      </w:r>
      <w:r w:rsidR="00705815" w:rsidRPr="00095DA5">
        <w:rPr>
          <w:rFonts w:ascii="Arial" w:eastAsia="Times New Roman" w:hAnsi="Arial" w:cs="Arial"/>
          <w:spacing w:val="-2"/>
          <w:sz w:val="24"/>
          <w:szCs w:val="24"/>
          <w:lang w:eastAsia="es-ES"/>
        </w:rPr>
        <w:t>,</w:t>
      </w:r>
      <w:r w:rsidRPr="00095DA5">
        <w:rPr>
          <w:rFonts w:ascii="Arial" w:eastAsia="Times New Roman" w:hAnsi="Arial" w:cs="Arial"/>
          <w:spacing w:val="-2"/>
          <w:sz w:val="24"/>
          <w:szCs w:val="24"/>
          <w:lang w:eastAsia="es-ES"/>
        </w:rPr>
        <w:t xml:space="preserve"> como correctamente lo abordó la funcionaria de primera instancia; por lo que bajo esa única y exclusiva postura, no le asiste razón a la</w:t>
      </w:r>
      <w:r w:rsidR="00705815" w:rsidRPr="00095DA5">
        <w:rPr>
          <w:rFonts w:ascii="Arial" w:eastAsia="Times New Roman" w:hAnsi="Arial" w:cs="Arial"/>
          <w:spacing w:val="-2"/>
          <w:sz w:val="24"/>
          <w:szCs w:val="24"/>
          <w:lang w:eastAsia="es-ES"/>
        </w:rPr>
        <w:t>s</w:t>
      </w:r>
      <w:r w:rsidRPr="00095DA5">
        <w:rPr>
          <w:rFonts w:ascii="Arial" w:eastAsia="Times New Roman" w:hAnsi="Arial" w:cs="Arial"/>
          <w:spacing w:val="-2"/>
          <w:sz w:val="24"/>
          <w:szCs w:val="24"/>
          <w:lang w:eastAsia="es-ES"/>
        </w:rPr>
        <w:t xml:space="preserve"> apoderada</w:t>
      </w:r>
      <w:r w:rsidR="00705815" w:rsidRPr="00095DA5">
        <w:rPr>
          <w:rFonts w:ascii="Arial" w:eastAsia="Times New Roman" w:hAnsi="Arial" w:cs="Arial"/>
          <w:spacing w:val="-2"/>
          <w:sz w:val="24"/>
          <w:szCs w:val="24"/>
          <w:lang w:eastAsia="es-ES"/>
        </w:rPr>
        <w:t>s</w:t>
      </w:r>
      <w:r w:rsidRPr="00095DA5">
        <w:rPr>
          <w:rFonts w:ascii="Arial" w:eastAsia="Times New Roman" w:hAnsi="Arial" w:cs="Arial"/>
          <w:spacing w:val="-2"/>
          <w:sz w:val="24"/>
          <w:szCs w:val="24"/>
          <w:lang w:eastAsia="es-ES"/>
        </w:rPr>
        <w:t xml:space="preserve"> judicial</w:t>
      </w:r>
      <w:r w:rsidR="00705815" w:rsidRPr="00095DA5">
        <w:rPr>
          <w:rFonts w:ascii="Arial" w:eastAsia="Times New Roman" w:hAnsi="Arial" w:cs="Arial"/>
          <w:spacing w:val="-2"/>
          <w:sz w:val="24"/>
          <w:szCs w:val="24"/>
          <w:lang w:eastAsia="es-ES"/>
        </w:rPr>
        <w:t>es</w:t>
      </w:r>
      <w:r w:rsidRPr="00095DA5">
        <w:rPr>
          <w:rFonts w:ascii="Arial" w:eastAsia="Times New Roman" w:hAnsi="Arial" w:cs="Arial"/>
          <w:spacing w:val="-2"/>
          <w:sz w:val="24"/>
          <w:szCs w:val="24"/>
          <w:lang w:eastAsia="es-ES"/>
        </w:rPr>
        <w:t xml:space="preserve"> de la</w:t>
      </w:r>
      <w:r w:rsidR="00705815" w:rsidRPr="00095DA5">
        <w:rPr>
          <w:rFonts w:ascii="Arial" w:eastAsia="Times New Roman" w:hAnsi="Arial" w:cs="Arial"/>
          <w:spacing w:val="-2"/>
          <w:sz w:val="24"/>
          <w:szCs w:val="24"/>
          <w:lang w:eastAsia="es-ES"/>
        </w:rPr>
        <w:t xml:space="preserve"> AFP Porvenir S.A. y de la </w:t>
      </w:r>
      <w:r w:rsidRPr="00095DA5">
        <w:rPr>
          <w:rFonts w:ascii="Arial" w:eastAsia="Times New Roman" w:hAnsi="Arial" w:cs="Arial"/>
          <w:spacing w:val="-2"/>
          <w:sz w:val="24"/>
          <w:szCs w:val="24"/>
          <w:lang w:eastAsia="es-ES"/>
        </w:rPr>
        <w:t>Administradora Colombiana de Pensiones cuando sostiene</w:t>
      </w:r>
      <w:r w:rsidR="00705815" w:rsidRPr="00095DA5">
        <w:rPr>
          <w:rFonts w:ascii="Arial" w:eastAsia="Times New Roman" w:hAnsi="Arial" w:cs="Arial"/>
          <w:spacing w:val="-2"/>
          <w:sz w:val="24"/>
          <w:szCs w:val="24"/>
          <w:lang w:eastAsia="es-ES"/>
        </w:rPr>
        <w:t>n</w:t>
      </w:r>
      <w:r w:rsidRPr="00095DA5">
        <w:rPr>
          <w:rFonts w:ascii="Arial" w:eastAsia="Times New Roman" w:hAnsi="Arial" w:cs="Arial"/>
          <w:spacing w:val="-2"/>
          <w:sz w:val="24"/>
          <w:szCs w:val="24"/>
          <w:lang w:eastAsia="es-ES"/>
        </w:rPr>
        <w:t xml:space="preserve"> que la acción que dirime este tipo de conflictos es la resarcitoria de perjuicios prevista en el artículo 10 del decreto 720 de 1994.</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Resuelto lo anterior, se tiene entonces que con la solicitud de vinculación N°</w:t>
      </w:r>
      <w:r w:rsidR="00705815" w:rsidRPr="00095DA5">
        <w:rPr>
          <w:rFonts w:ascii="Arial" w:eastAsia="Times New Roman" w:hAnsi="Arial" w:cs="Arial"/>
          <w:sz w:val="24"/>
          <w:szCs w:val="24"/>
          <w:lang w:eastAsia="es-CO"/>
        </w:rPr>
        <w:t>0380889</w:t>
      </w:r>
      <w:r w:rsidRPr="00095DA5">
        <w:rPr>
          <w:rFonts w:ascii="Arial" w:eastAsia="Times New Roman" w:hAnsi="Arial" w:cs="Arial"/>
          <w:sz w:val="24"/>
          <w:szCs w:val="24"/>
          <w:lang w:eastAsia="es-CO"/>
        </w:rPr>
        <w:t xml:space="preserve"> -pág.2</w:t>
      </w:r>
      <w:r w:rsidR="00705815" w:rsidRPr="00095DA5">
        <w:rPr>
          <w:rFonts w:ascii="Arial" w:eastAsia="Times New Roman" w:hAnsi="Arial" w:cs="Arial"/>
          <w:sz w:val="24"/>
          <w:szCs w:val="24"/>
          <w:lang w:eastAsia="es-CO"/>
        </w:rPr>
        <w:t>88</w:t>
      </w:r>
      <w:r w:rsidRPr="00095DA5">
        <w:rPr>
          <w:rFonts w:ascii="Arial" w:eastAsia="Times New Roman" w:hAnsi="Arial" w:cs="Arial"/>
          <w:sz w:val="24"/>
          <w:szCs w:val="24"/>
          <w:lang w:eastAsia="es-CO"/>
        </w:rPr>
        <w:t xml:space="preserve"> expediente digitalizado-, la señora </w:t>
      </w:r>
      <w:r w:rsidR="00705815" w:rsidRPr="00095DA5">
        <w:rPr>
          <w:rFonts w:ascii="Arial" w:eastAsia="Times New Roman" w:hAnsi="Arial" w:cs="Arial"/>
          <w:sz w:val="24"/>
          <w:szCs w:val="24"/>
          <w:lang w:eastAsia="es-CO"/>
        </w:rPr>
        <w:t>Celsa Julia Hernández Ruiz</w:t>
      </w:r>
      <w:r w:rsidRPr="00095DA5">
        <w:rPr>
          <w:rFonts w:ascii="Arial" w:eastAsia="Times New Roman" w:hAnsi="Arial" w:cs="Arial"/>
          <w:sz w:val="24"/>
          <w:szCs w:val="24"/>
          <w:lang w:eastAsia="es-CO"/>
        </w:rPr>
        <w:t xml:space="preserve"> se afilió al régimen de ahorro individual con solidaridad el </w:t>
      </w:r>
      <w:r w:rsidR="00705815" w:rsidRPr="00095DA5">
        <w:rPr>
          <w:rFonts w:ascii="Arial" w:eastAsia="Times New Roman" w:hAnsi="Arial" w:cs="Arial"/>
          <w:sz w:val="24"/>
          <w:szCs w:val="24"/>
          <w:lang w:eastAsia="es-CO"/>
        </w:rPr>
        <w:t>20 de febrero de 1998</w:t>
      </w:r>
      <w:r w:rsidRPr="00095DA5">
        <w:rPr>
          <w:rFonts w:ascii="Arial" w:eastAsia="Times New Roman" w:hAnsi="Arial" w:cs="Arial"/>
          <w:sz w:val="24"/>
          <w:szCs w:val="24"/>
          <w:lang w:eastAsia="es-CO"/>
        </w:rPr>
        <w:t xml:space="preserve"> cuando se vinculó a la </w:t>
      </w:r>
      <w:bookmarkStart w:id="3" w:name="_Hlk50458435"/>
      <w:r w:rsidRPr="00095DA5">
        <w:rPr>
          <w:rFonts w:ascii="Arial" w:eastAsia="Times New Roman" w:hAnsi="Arial" w:cs="Arial"/>
          <w:sz w:val="24"/>
          <w:szCs w:val="24"/>
          <w:lang w:eastAsia="es-CO"/>
        </w:rPr>
        <w:t xml:space="preserve">AFP </w:t>
      </w:r>
      <w:bookmarkEnd w:id="3"/>
      <w:r w:rsidR="00705815" w:rsidRPr="00095DA5">
        <w:rPr>
          <w:rFonts w:ascii="Arial" w:eastAsia="Times New Roman" w:hAnsi="Arial" w:cs="Arial"/>
          <w:sz w:val="24"/>
          <w:szCs w:val="24"/>
          <w:lang w:eastAsia="es-CO"/>
        </w:rPr>
        <w:t>Colfondos</w:t>
      </w:r>
      <w:r w:rsidRPr="00095DA5">
        <w:rPr>
          <w:rFonts w:ascii="Arial" w:eastAsia="Times New Roman" w:hAnsi="Arial" w:cs="Arial"/>
          <w:sz w:val="24"/>
          <w:szCs w:val="24"/>
          <w:lang w:eastAsia="es-CO"/>
        </w:rPr>
        <w:t xml:space="preserve"> S.A., sin embargo, </w:t>
      </w:r>
      <w:r w:rsidRPr="00095DA5">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705815" w:rsidRPr="00095DA5">
        <w:rPr>
          <w:rFonts w:ascii="Arial" w:eastAsia="Times New Roman" w:hAnsi="Arial" w:cs="Arial"/>
          <w:spacing w:val="-2"/>
          <w:sz w:val="24"/>
          <w:szCs w:val="24"/>
          <w:lang w:eastAsia="es-ES"/>
        </w:rPr>
        <w:t>Colfondos</w:t>
      </w:r>
      <w:r w:rsidRPr="00095DA5">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705815" w:rsidRPr="00095DA5">
        <w:rPr>
          <w:rFonts w:ascii="Arial" w:eastAsia="Times New Roman" w:hAnsi="Arial" w:cs="Arial"/>
          <w:spacing w:val="-2"/>
          <w:sz w:val="24"/>
          <w:szCs w:val="24"/>
          <w:lang w:eastAsia="es-ES"/>
        </w:rPr>
        <w:t>20 de febrero de 1998</w:t>
      </w:r>
      <w:r w:rsidRPr="00095DA5">
        <w:rPr>
          <w:rFonts w:ascii="Arial" w:eastAsia="Times New Roman" w:hAnsi="Arial" w:cs="Arial"/>
          <w:spacing w:val="-2"/>
          <w:sz w:val="24"/>
          <w:szCs w:val="24"/>
          <w:lang w:eastAsia="es-ES"/>
        </w:rPr>
        <w:t xml:space="preserve"> (primera etapa).</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705815" w:rsidRPr="00095DA5">
        <w:rPr>
          <w:rFonts w:ascii="Arial" w:eastAsia="Times New Roman" w:hAnsi="Arial" w:cs="Arial"/>
          <w:spacing w:val="-2"/>
          <w:sz w:val="24"/>
          <w:szCs w:val="24"/>
          <w:lang w:eastAsia="es-ES"/>
        </w:rPr>
        <w:t>Celsa Julia Hernández Ruiz</w:t>
      </w:r>
      <w:r w:rsidRPr="00095DA5">
        <w:rPr>
          <w:rFonts w:ascii="Arial" w:eastAsia="Times New Roman" w:hAnsi="Arial" w:cs="Arial"/>
          <w:spacing w:val="-2"/>
          <w:sz w:val="24"/>
          <w:szCs w:val="24"/>
          <w:lang w:eastAsia="es-ES"/>
        </w:rPr>
        <w:t> en la casilla denominada “</w:t>
      </w:r>
      <w:r w:rsidRPr="00095DA5">
        <w:rPr>
          <w:rFonts w:ascii="Arial" w:eastAsia="Times New Roman" w:hAnsi="Arial" w:cs="Arial"/>
          <w:i/>
          <w:iCs/>
          <w:spacing w:val="-2"/>
          <w:sz w:val="24"/>
          <w:szCs w:val="24"/>
          <w:lang w:eastAsia="es-ES"/>
        </w:rPr>
        <w:t>voluntad de afiliació</w:t>
      </w:r>
      <w:r w:rsidR="00705815" w:rsidRPr="00095DA5">
        <w:rPr>
          <w:rFonts w:ascii="Arial" w:eastAsia="Times New Roman" w:hAnsi="Arial" w:cs="Arial"/>
          <w:i/>
          <w:iCs/>
          <w:spacing w:val="-2"/>
          <w:sz w:val="24"/>
          <w:szCs w:val="24"/>
          <w:lang w:eastAsia="es-ES"/>
        </w:rPr>
        <w:t>n</w:t>
      </w:r>
      <w:r w:rsidRPr="00095DA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xml:space="preserve">Ahora, en el interrogatorio de parte, </w:t>
      </w:r>
      <w:r w:rsidR="00C23237" w:rsidRPr="00095DA5">
        <w:rPr>
          <w:rFonts w:ascii="Arial" w:eastAsia="Times New Roman" w:hAnsi="Arial" w:cs="Arial"/>
          <w:spacing w:val="-2"/>
          <w:sz w:val="24"/>
          <w:szCs w:val="24"/>
          <w:lang w:eastAsia="es-ES"/>
        </w:rPr>
        <w:t xml:space="preserve">la señora Celsa Julia Hernández Ruiz informó que actualmente se encuentra activa como cotizante al sistema general de pensiones, en su calidad de trabajadora al servicio de la Gobernación de Risaralda. A continuación, frente al tema objeto de litigio, sostuvo que en el año 1998 los asesores comerciales de la AFP Colfondos S.A. visitaron las instalaciones de la Gobernación de Risaralda, entidad para la que prestaba sus servicios desde aquel entonces, y en una reunión colectiva que duró aproximadamente media hora, se les dijo que tenían que trasladarse al régimen de ahorro individual con solidaridad, debido a que el Instituto de </w:t>
      </w:r>
      <w:r w:rsidR="00C23237" w:rsidRPr="00095DA5">
        <w:rPr>
          <w:rFonts w:ascii="Arial" w:eastAsia="Times New Roman" w:hAnsi="Arial" w:cs="Arial"/>
          <w:spacing w:val="-2"/>
          <w:sz w:val="24"/>
          <w:szCs w:val="24"/>
          <w:lang w:eastAsia="es-ES"/>
        </w:rPr>
        <w:lastRenderedPageBreak/>
        <w:t xml:space="preserve">Seguros Sociales, donde ella estaba afiliada, iba a desaparecer y con ella las cotizaciones realizadas al sistema general de pensiones, afirmando que el cambio de régimen pensional les garantizaba la posibilidad de acceder a una pensión de vejez en el futuro; el resto del tiempo no fue utilizado por el agente comercial para explicarles las características de los regímenes pensionales que componían el sistema general de pensiones, sino que lo utilizó para hablar sobre </w:t>
      </w:r>
      <w:proofErr w:type="spellStart"/>
      <w:r w:rsidR="00C23237" w:rsidRPr="00095DA5">
        <w:rPr>
          <w:rFonts w:ascii="Arial" w:eastAsia="Times New Roman" w:hAnsi="Arial" w:cs="Arial"/>
          <w:spacing w:val="-2"/>
          <w:sz w:val="24"/>
          <w:szCs w:val="24"/>
          <w:lang w:eastAsia="es-ES"/>
        </w:rPr>
        <w:t>como</w:t>
      </w:r>
      <w:proofErr w:type="spellEnd"/>
      <w:r w:rsidR="00C23237" w:rsidRPr="00095DA5">
        <w:rPr>
          <w:rFonts w:ascii="Arial" w:eastAsia="Times New Roman" w:hAnsi="Arial" w:cs="Arial"/>
          <w:spacing w:val="-2"/>
          <w:sz w:val="24"/>
          <w:szCs w:val="24"/>
          <w:lang w:eastAsia="es-ES"/>
        </w:rPr>
        <w:t xml:space="preserve"> se manejaba Colfondos S.A. y para ello hizo un símil con un banco, expresando que el fondo se manejaba como una entidad financiera</w:t>
      </w:r>
      <w:r w:rsidR="00C219C7" w:rsidRPr="00095DA5">
        <w:rPr>
          <w:rFonts w:ascii="Arial" w:eastAsia="Times New Roman" w:hAnsi="Arial" w:cs="Arial"/>
          <w:spacing w:val="-2"/>
          <w:sz w:val="24"/>
          <w:szCs w:val="24"/>
          <w:lang w:eastAsia="es-ES"/>
        </w:rPr>
        <w:t>; cuando decide moverse de un fondo privado a otro, es porque se le dice que en su momento Protección S.A. y luego Porvenir S.A. tienen un mayor músculo financiero que podría generar mejores rendimientos financieros, pero no se le dijo nada más. Ante varios interrogantes realizados por la apoderada judicial de la AFP Colfondos S.A., expresó que no hizo uso del derecho de retracto, ni del periodo de gracia del que le habla la profesional del derecho, porque nunca se le dijo que tenía contaba con esos derechos.</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C219C7" w:rsidRPr="00095DA5" w:rsidRDefault="003835A9" w:rsidP="00095DA5">
      <w:pPr>
        <w:spacing w:after="0"/>
        <w:jc w:val="both"/>
        <w:textAlignment w:val="baseline"/>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Siguiendo el derrotero marcado por la Sala de Casación Laboral, cabe concluir que</w:t>
      </w:r>
      <w:r w:rsidR="00C219C7" w:rsidRPr="00095DA5">
        <w:rPr>
          <w:rFonts w:ascii="Arial" w:eastAsia="Times New Roman" w:hAnsi="Arial" w:cs="Arial"/>
          <w:spacing w:val="-2"/>
          <w:sz w:val="24"/>
          <w:szCs w:val="24"/>
          <w:lang w:eastAsia="es-ES"/>
        </w:rPr>
        <w:t>, ni</w:t>
      </w:r>
      <w:r w:rsidRPr="00095DA5">
        <w:rPr>
          <w:rFonts w:ascii="Arial" w:eastAsia="Times New Roman" w:hAnsi="Arial" w:cs="Arial"/>
          <w:spacing w:val="-2"/>
          <w:sz w:val="24"/>
          <w:szCs w:val="24"/>
          <w:lang w:eastAsia="es-ES"/>
        </w:rPr>
        <w:t xml:space="preserve"> del formulario de afiliación</w:t>
      </w:r>
      <w:r w:rsidR="00C219C7" w:rsidRPr="00095DA5">
        <w:rPr>
          <w:rFonts w:ascii="Arial" w:eastAsia="Times New Roman" w:hAnsi="Arial" w:cs="Arial"/>
          <w:spacing w:val="-2"/>
          <w:sz w:val="24"/>
          <w:szCs w:val="24"/>
          <w:lang w:eastAsia="es-ES"/>
        </w:rPr>
        <w:t>, ni</w:t>
      </w:r>
      <w:r w:rsidRPr="00095DA5">
        <w:rPr>
          <w:rFonts w:ascii="Arial" w:eastAsia="Times New Roman" w:hAnsi="Arial" w:cs="Arial"/>
          <w:spacing w:val="-2"/>
          <w:sz w:val="24"/>
          <w:szCs w:val="24"/>
          <w:lang w:eastAsia="es-ES"/>
        </w:rPr>
        <w:t xml:space="preserve"> del interrogatorio de parte absuelto por la señora </w:t>
      </w:r>
      <w:r w:rsidR="00C219C7" w:rsidRPr="00095DA5">
        <w:rPr>
          <w:rFonts w:ascii="Arial" w:eastAsia="Times New Roman" w:hAnsi="Arial" w:cs="Arial"/>
          <w:spacing w:val="-2"/>
          <w:sz w:val="24"/>
          <w:szCs w:val="24"/>
          <w:lang w:eastAsia="es-ES"/>
        </w:rPr>
        <w:t>Celsa Julia Hernández Ruiz</w:t>
      </w:r>
      <w:r w:rsidRPr="00095DA5">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C219C7" w:rsidRPr="00095DA5">
        <w:rPr>
          <w:rFonts w:ascii="Arial" w:eastAsia="Times New Roman" w:hAnsi="Arial" w:cs="Arial"/>
          <w:spacing w:val="-2"/>
          <w:sz w:val="24"/>
          <w:szCs w:val="24"/>
          <w:lang w:eastAsia="es-ES"/>
        </w:rPr>
        <w:t>Colfondos</w:t>
      </w:r>
      <w:r w:rsidRPr="00095DA5">
        <w:rPr>
          <w:rFonts w:ascii="Arial" w:eastAsia="Times New Roman" w:hAnsi="Arial" w:cs="Arial"/>
          <w:spacing w:val="-2"/>
          <w:sz w:val="24"/>
          <w:szCs w:val="24"/>
          <w:lang w:eastAsia="es-ES"/>
        </w:rPr>
        <w:t xml:space="preserve"> S.A., siendo pertinente señalar que tampoco existe prueba en el expediente que acredite que la asimetría en la información que se produjo el </w:t>
      </w:r>
      <w:r w:rsidR="00C219C7" w:rsidRPr="00095DA5">
        <w:rPr>
          <w:rFonts w:ascii="Arial" w:eastAsia="Times New Roman" w:hAnsi="Arial" w:cs="Arial"/>
          <w:spacing w:val="-2"/>
          <w:sz w:val="24"/>
          <w:szCs w:val="24"/>
          <w:lang w:eastAsia="es-ES"/>
        </w:rPr>
        <w:t>20 de febrero de 1998</w:t>
      </w:r>
      <w:r w:rsidRPr="00095DA5">
        <w:rPr>
          <w:rFonts w:ascii="Arial" w:eastAsia="Times New Roman" w:hAnsi="Arial" w:cs="Arial"/>
          <w:spacing w:val="-2"/>
          <w:sz w:val="24"/>
          <w:szCs w:val="24"/>
          <w:lang w:eastAsia="es-ES"/>
        </w:rPr>
        <w:t xml:space="preserve"> dejó de prolongarse con </w:t>
      </w:r>
      <w:r w:rsidR="00C219C7" w:rsidRPr="00095DA5">
        <w:rPr>
          <w:rFonts w:ascii="Arial" w:eastAsia="Times New Roman" w:hAnsi="Arial" w:cs="Arial"/>
          <w:spacing w:val="-2"/>
          <w:sz w:val="24"/>
          <w:szCs w:val="24"/>
          <w:lang w:eastAsia="es-ES"/>
        </w:rPr>
        <w:t>los movimientos realizados por la afiliada hacía los fondos privados de pensiones Protección S.A. y Porvenir S.A., ni mucho menos con su</w:t>
      </w:r>
      <w:r w:rsidRPr="00095DA5">
        <w:rPr>
          <w:rFonts w:ascii="Arial" w:eastAsia="Times New Roman" w:hAnsi="Arial" w:cs="Arial"/>
          <w:spacing w:val="-2"/>
          <w:sz w:val="24"/>
          <w:szCs w:val="24"/>
          <w:lang w:eastAsia="es-ES"/>
        </w:rPr>
        <w:t xml:space="preserve"> permanencia en el régimen de ahorro individual con solidaridad por más de veinte años</w:t>
      </w:r>
      <w:r w:rsidR="00C219C7" w:rsidRPr="00095DA5">
        <w:rPr>
          <w:rFonts w:ascii="Arial" w:eastAsia="Times New Roman" w:hAnsi="Arial" w:cs="Arial"/>
          <w:spacing w:val="-2"/>
          <w:sz w:val="24"/>
          <w:szCs w:val="24"/>
          <w:lang w:eastAsia="es-ES"/>
        </w:rPr>
        <w:t>, debido a que</w:t>
      </w:r>
      <w:r w:rsidRPr="00095DA5">
        <w:rPr>
          <w:rFonts w:ascii="Arial" w:eastAsia="Times New Roman" w:hAnsi="Arial" w:cs="Arial"/>
          <w:spacing w:val="-2"/>
          <w:sz w:val="24"/>
          <w:szCs w:val="24"/>
          <w:lang w:eastAsia="es-ES"/>
        </w:rPr>
        <w:t xml:space="preserve"> </w:t>
      </w:r>
      <w:r w:rsidR="00C219C7" w:rsidRPr="00095DA5">
        <w:rPr>
          <w:rFonts w:ascii="Arial" w:eastAsia="Times New Roman" w:hAnsi="Arial" w:cs="Arial"/>
          <w:spacing w:val="-2"/>
          <w:sz w:val="24"/>
          <w:szCs w:val="24"/>
          <w:lang w:eastAsia="es-ES"/>
        </w:rPr>
        <w:t xml:space="preserve">esas situaciones no demuestran per se los actos de </w:t>
      </w:r>
      <w:proofErr w:type="spellStart"/>
      <w:r w:rsidR="00C219C7" w:rsidRPr="00095DA5">
        <w:rPr>
          <w:rFonts w:ascii="Arial" w:eastAsia="Times New Roman" w:hAnsi="Arial" w:cs="Arial"/>
          <w:spacing w:val="-2"/>
          <w:sz w:val="24"/>
          <w:szCs w:val="24"/>
          <w:lang w:eastAsia="es-ES"/>
        </w:rPr>
        <w:t>correlacionamiento</w:t>
      </w:r>
      <w:proofErr w:type="spellEnd"/>
      <w:r w:rsidR="00C219C7" w:rsidRPr="00095DA5">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3835A9" w:rsidRPr="00095DA5" w:rsidRDefault="003835A9" w:rsidP="00095DA5">
      <w:pPr>
        <w:spacing w:after="0"/>
        <w:jc w:val="both"/>
        <w:textAlignment w:val="baseline"/>
        <w:rPr>
          <w:rFonts w:ascii="Arial" w:eastAsia="Times New Roman" w:hAnsi="Arial" w:cs="Arial"/>
          <w:spacing w:val="-2"/>
          <w:sz w:val="24"/>
          <w:szCs w:val="24"/>
          <w:lang w:eastAsia="es-ES"/>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6F4DAB" w:rsidRPr="00095DA5">
        <w:rPr>
          <w:rFonts w:ascii="Arial" w:eastAsia="Times New Roman" w:hAnsi="Arial" w:cs="Arial"/>
          <w:spacing w:val="-2"/>
          <w:sz w:val="24"/>
          <w:szCs w:val="24"/>
          <w:lang w:eastAsia="es-ES"/>
        </w:rPr>
        <w:t>20 de febrero de 1998</w:t>
      </w:r>
      <w:r w:rsidRPr="00095DA5">
        <w:rPr>
          <w:rFonts w:ascii="Arial" w:eastAsia="Times New Roman" w:hAnsi="Arial" w:cs="Arial"/>
          <w:spacing w:val="-2"/>
          <w:sz w:val="24"/>
          <w:szCs w:val="24"/>
          <w:lang w:eastAsia="es-ES"/>
        </w:rPr>
        <w:t>,</w:t>
      </w:r>
      <w:r w:rsidR="006F4DAB" w:rsidRPr="00095DA5">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 xml:space="preserve">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el </w:t>
      </w:r>
      <w:r w:rsidR="006F4DAB" w:rsidRPr="00095DA5">
        <w:rPr>
          <w:rFonts w:ascii="Arial" w:eastAsia="Times New Roman" w:hAnsi="Arial" w:cs="Arial"/>
          <w:spacing w:val="-2"/>
          <w:sz w:val="24"/>
          <w:szCs w:val="24"/>
          <w:lang w:eastAsia="es-ES"/>
        </w:rPr>
        <w:t>20 de febrero de 1998</w:t>
      </w:r>
      <w:r w:rsidRPr="00095DA5">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carecen de validez como correctamente lo definió la </w:t>
      </w:r>
      <w:r w:rsidRPr="00095DA5">
        <w:rPr>
          <w:rStyle w:val="normaltextrun"/>
          <w:rFonts w:ascii="Arial" w:hAnsi="Arial" w:cs="Arial"/>
          <w:i/>
          <w:iCs/>
          <w:color w:val="000000"/>
          <w:sz w:val="24"/>
          <w:szCs w:val="24"/>
          <w:shd w:val="clear" w:color="auto" w:fill="FFFFFF"/>
        </w:rPr>
        <w:t>a quo</w:t>
      </w:r>
      <w:r w:rsidRPr="00095DA5">
        <w:rPr>
          <w:rStyle w:val="normaltextrun"/>
          <w:rFonts w:ascii="Arial" w:hAnsi="Arial" w:cs="Arial"/>
          <w:color w:val="000000"/>
          <w:sz w:val="24"/>
          <w:szCs w:val="24"/>
          <w:shd w:val="clear" w:color="auto" w:fill="FFFFFF"/>
        </w:rPr>
        <w:t>.</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Style w:val="normaltextrun"/>
          <w:rFonts w:ascii="Arial" w:hAnsi="Arial" w:cs="Arial"/>
          <w:color w:val="000000"/>
          <w:sz w:val="24"/>
          <w:szCs w:val="24"/>
          <w:shd w:val="clear" w:color="auto" w:fill="FFFFFF"/>
        </w:rPr>
      </w:pPr>
      <w:r w:rsidRPr="00095DA5">
        <w:rPr>
          <w:rStyle w:val="normaltextrun"/>
          <w:rFonts w:ascii="Arial" w:hAnsi="Arial" w:cs="Arial"/>
          <w:color w:val="000000"/>
          <w:sz w:val="24"/>
          <w:szCs w:val="24"/>
          <w:shd w:val="clear" w:color="auto" w:fill="FFFFFF"/>
        </w:rPr>
        <w:t xml:space="preserve">Así las cosas, al no tener ningún efecto jurídico el traslado efectuado por </w:t>
      </w:r>
      <w:r w:rsidRPr="00095DA5">
        <w:rPr>
          <w:rFonts w:ascii="Arial" w:eastAsia="Times New Roman" w:hAnsi="Arial" w:cs="Arial"/>
          <w:spacing w:val="-2"/>
          <w:sz w:val="24"/>
          <w:szCs w:val="24"/>
          <w:lang w:eastAsia="es-ES"/>
        </w:rPr>
        <w:t xml:space="preserve">la señora </w:t>
      </w:r>
      <w:r w:rsidR="006F4DAB" w:rsidRPr="00095DA5">
        <w:rPr>
          <w:rFonts w:ascii="Arial" w:eastAsia="Times New Roman" w:hAnsi="Arial" w:cs="Arial"/>
          <w:spacing w:val="-2"/>
          <w:sz w:val="24"/>
          <w:szCs w:val="24"/>
          <w:lang w:eastAsia="es-ES"/>
        </w:rPr>
        <w:t>Celsa Julia Hernández Ruiz</w:t>
      </w:r>
      <w:r w:rsidRPr="00095DA5">
        <w:rPr>
          <w:rStyle w:val="normaltextrun"/>
          <w:rFonts w:ascii="Arial" w:hAnsi="Arial" w:cs="Arial"/>
          <w:color w:val="000000"/>
          <w:sz w:val="24"/>
          <w:szCs w:val="24"/>
          <w:shd w:val="clear" w:color="auto" w:fill="FFFFFF"/>
        </w:rPr>
        <w:t xml:space="preserve"> al régimen de ahorro individual con solidaridad, correcta resultó la decisión de condenar a la AFP Porvenir S.A., a la que se encuentra vinculada en la actualidad,</w:t>
      </w:r>
      <w:r w:rsidR="006F4DAB" w:rsidRPr="00095DA5">
        <w:rPr>
          <w:rStyle w:val="normaltextrun"/>
          <w:rFonts w:ascii="Arial" w:hAnsi="Arial" w:cs="Arial"/>
          <w:color w:val="000000"/>
          <w:sz w:val="24"/>
          <w:szCs w:val="24"/>
          <w:shd w:val="clear" w:color="auto" w:fill="FFFFFF"/>
        </w:rPr>
        <w:t xml:space="preserve"> </w:t>
      </w:r>
      <w:r w:rsidRPr="00095DA5">
        <w:rPr>
          <w:rStyle w:val="normaltextrun"/>
          <w:rFonts w:ascii="Arial" w:hAnsi="Arial" w:cs="Arial"/>
          <w:color w:val="000000"/>
          <w:sz w:val="24"/>
          <w:szCs w:val="24"/>
          <w:shd w:val="clear" w:color="auto" w:fill="FFFFFF"/>
        </w:rPr>
        <w:t xml:space="preserve">a restituir los dineros inmersos en la cuenta de ahorro individual de la actora provenientes de los aportes o cotizaciones al sistema general de pensiones, junto con sus intereses y rendimientos financieros, tal y como lo ha </w:t>
      </w:r>
      <w:r w:rsidRPr="00095DA5">
        <w:rPr>
          <w:rStyle w:val="normaltextrun"/>
          <w:rFonts w:ascii="Arial" w:hAnsi="Arial" w:cs="Arial"/>
          <w:color w:val="000000"/>
          <w:sz w:val="24"/>
          <w:szCs w:val="24"/>
          <w:shd w:val="clear" w:color="auto" w:fill="FFFFFF"/>
        </w:rPr>
        <w:lastRenderedPageBreak/>
        <w:t>sentado la Sala de Casación Laboral de la Corte Suprema de Justicia en las providencias relacionadas a lo largo de la presente providencia.</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095DA5">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las AFP </w:t>
      </w:r>
      <w:r w:rsidR="006F4DAB" w:rsidRPr="00095DA5">
        <w:rPr>
          <w:rFonts w:ascii="Arial" w:eastAsia="Times New Roman" w:hAnsi="Arial" w:cs="Arial"/>
          <w:sz w:val="24"/>
          <w:szCs w:val="24"/>
          <w:lang w:eastAsia="es-CO"/>
        </w:rPr>
        <w:t xml:space="preserve">Colfondos S.A., </w:t>
      </w:r>
      <w:r w:rsidRPr="00095DA5">
        <w:rPr>
          <w:rFonts w:ascii="Arial" w:eastAsia="Times New Roman" w:hAnsi="Arial" w:cs="Arial"/>
          <w:sz w:val="24"/>
          <w:szCs w:val="24"/>
          <w:lang w:eastAsia="es-CO"/>
        </w:rPr>
        <w:t>Porvenir S.A. y Protección S.A.</w:t>
      </w:r>
      <w:r w:rsidR="006F4DAB" w:rsidRPr="00095DA5">
        <w:rPr>
          <w:rFonts w:ascii="Arial" w:eastAsia="Times New Roman" w:hAnsi="Arial" w:cs="Arial"/>
          <w:sz w:val="24"/>
          <w:szCs w:val="24"/>
          <w:lang w:eastAsia="es-CO"/>
        </w:rPr>
        <w:t>.</w:t>
      </w:r>
    </w:p>
    <w:p w:rsidR="003835A9" w:rsidRPr="00095DA5" w:rsidRDefault="003835A9" w:rsidP="00095DA5">
      <w:pPr>
        <w:spacing w:after="0"/>
        <w:jc w:val="both"/>
        <w:textAlignment w:val="baseline"/>
        <w:rPr>
          <w:rFonts w:ascii="Arial" w:eastAsia="Times New Roman" w:hAnsi="Arial" w:cs="Arial"/>
          <w:sz w:val="24"/>
          <w:szCs w:val="24"/>
          <w:lang w:eastAsia="es-CO"/>
        </w:rPr>
      </w:pP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095DA5">
        <w:rPr>
          <w:rFonts w:ascii="Arial" w:eastAsia="Times New Roman" w:hAnsi="Arial" w:cs="Arial"/>
          <w:i/>
          <w:iCs/>
          <w:sz w:val="24"/>
          <w:szCs w:val="24"/>
          <w:lang w:eastAsia="es-CO"/>
        </w:rPr>
        <w:t xml:space="preserve">a quo </w:t>
      </w:r>
      <w:r w:rsidRPr="00095DA5">
        <w:rPr>
          <w:rFonts w:ascii="Arial" w:eastAsia="Times New Roman" w:hAnsi="Arial" w:cs="Arial"/>
          <w:sz w:val="24"/>
          <w:szCs w:val="24"/>
          <w:lang w:eastAsia="es-CO"/>
        </w:rPr>
        <w:t xml:space="preserve">consistente en condenar a los fondos privados de pensiones </w:t>
      </w:r>
      <w:r w:rsidR="006F4DAB" w:rsidRPr="00095DA5">
        <w:rPr>
          <w:rFonts w:ascii="Arial" w:eastAsia="Times New Roman" w:hAnsi="Arial" w:cs="Arial"/>
          <w:sz w:val="24"/>
          <w:szCs w:val="24"/>
          <w:lang w:eastAsia="es-CO"/>
        </w:rPr>
        <w:t xml:space="preserve">Colfondos S.A., </w:t>
      </w:r>
      <w:r w:rsidRPr="00095DA5">
        <w:rPr>
          <w:rFonts w:ascii="Arial" w:eastAsia="Times New Roman" w:hAnsi="Arial" w:cs="Arial"/>
          <w:sz w:val="24"/>
          <w:szCs w:val="24"/>
          <w:lang w:eastAsia="es-CO"/>
        </w:rPr>
        <w:t xml:space="preserve">Porvenir S.A. y Protección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destinados a financiar la garantía de pensión mínima; </w:t>
      </w:r>
      <w:r w:rsidRPr="00095DA5">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6F4DAB"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A</w:t>
      </w:r>
      <w:r w:rsidR="003835A9" w:rsidRPr="00095DA5">
        <w:rPr>
          <w:rFonts w:ascii="Arial" w:eastAsia="Times New Roman" w:hAnsi="Arial" w:cs="Arial"/>
          <w:spacing w:val="-2"/>
          <w:sz w:val="24"/>
          <w:szCs w:val="24"/>
          <w:lang w:eastAsia="es-ES"/>
        </w:rPr>
        <w:t xml:space="preserve">l haber operado un traslado desde el régimen de prima media con prestación definida al régimen de ahorro individual con solidaridad el </w:t>
      </w:r>
      <w:r w:rsidRPr="00095DA5">
        <w:rPr>
          <w:rFonts w:ascii="Arial" w:eastAsia="Times New Roman" w:hAnsi="Arial" w:cs="Arial"/>
          <w:spacing w:val="-2"/>
          <w:sz w:val="24"/>
          <w:szCs w:val="24"/>
          <w:lang w:eastAsia="es-ES"/>
        </w:rPr>
        <w:t>20 de febrero de 1998</w:t>
      </w:r>
      <w:r w:rsidR="003835A9" w:rsidRPr="00095DA5">
        <w:rPr>
          <w:rFonts w:ascii="Arial" w:eastAsia="Times New Roman" w:hAnsi="Arial" w:cs="Arial"/>
          <w:spacing w:val="-2"/>
          <w:sz w:val="24"/>
          <w:szCs w:val="24"/>
          <w:lang w:eastAsia="es-ES"/>
        </w:rPr>
        <w:t xml:space="preserve">, se generó en ese momento un bono pensional en favor de la señora </w:t>
      </w:r>
      <w:r w:rsidRPr="00095DA5">
        <w:rPr>
          <w:rFonts w:ascii="Arial" w:eastAsia="Times New Roman" w:hAnsi="Arial" w:cs="Arial"/>
          <w:spacing w:val="-2"/>
          <w:sz w:val="24"/>
          <w:szCs w:val="24"/>
          <w:lang w:eastAsia="es-ES"/>
        </w:rPr>
        <w:t>Celsa Julia Hernández Ruiz,</w:t>
      </w:r>
      <w:r w:rsidR="003835A9" w:rsidRPr="00095DA5">
        <w:rPr>
          <w:rFonts w:ascii="Arial" w:eastAsia="Times New Roman" w:hAnsi="Arial" w:cs="Arial"/>
          <w:spacing w:val="-2"/>
          <w:sz w:val="24"/>
          <w:szCs w:val="24"/>
          <w:lang w:eastAsia="es-ES"/>
        </w:rPr>
        <w:t xml:space="preserve"> nacida el </w:t>
      </w:r>
      <w:r w:rsidRPr="00095DA5">
        <w:rPr>
          <w:rFonts w:ascii="Arial" w:eastAsia="Times New Roman" w:hAnsi="Arial" w:cs="Arial"/>
          <w:spacing w:val="-2"/>
          <w:sz w:val="24"/>
          <w:szCs w:val="24"/>
          <w:lang w:eastAsia="es-ES"/>
        </w:rPr>
        <w:t>2 de febrero de 1964</w:t>
      </w:r>
      <w:r w:rsidR="003835A9" w:rsidRPr="00095DA5">
        <w:rPr>
          <w:rFonts w:ascii="Arial" w:eastAsia="Times New Roman" w:hAnsi="Arial" w:cs="Arial"/>
          <w:spacing w:val="-2"/>
          <w:sz w:val="24"/>
          <w:szCs w:val="24"/>
          <w:lang w:eastAsia="es-ES"/>
        </w:rPr>
        <w:t xml:space="preserve"> como se aprecia en </w:t>
      </w:r>
      <w:r w:rsidRPr="00095DA5">
        <w:rPr>
          <w:rFonts w:ascii="Arial" w:eastAsia="Times New Roman" w:hAnsi="Arial" w:cs="Arial"/>
          <w:spacing w:val="-2"/>
          <w:sz w:val="24"/>
          <w:szCs w:val="24"/>
          <w:lang w:eastAsia="es-ES"/>
        </w:rPr>
        <w:t xml:space="preserve">la copia de </w:t>
      </w:r>
      <w:r w:rsidR="003835A9" w:rsidRPr="00095DA5">
        <w:rPr>
          <w:rFonts w:ascii="Arial" w:eastAsia="Times New Roman" w:hAnsi="Arial" w:cs="Arial"/>
          <w:spacing w:val="-2"/>
          <w:sz w:val="24"/>
          <w:szCs w:val="24"/>
          <w:lang w:eastAsia="es-ES"/>
        </w:rPr>
        <w:t>su cédula de ciudadanía -pag.</w:t>
      </w:r>
      <w:r w:rsidRPr="00095DA5">
        <w:rPr>
          <w:rFonts w:ascii="Arial" w:eastAsia="Times New Roman" w:hAnsi="Arial" w:cs="Arial"/>
          <w:spacing w:val="-2"/>
          <w:sz w:val="24"/>
          <w:szCs w:val="24"/>
          <w:lang w:eastAsia="es-ES"/>
        </w:rPr>
        <w:t>110</w:t>
      </w:r>
      <w:r w:rsidR="003835A9" w:rsidRPr="00095DA5">
        <w:rPr>
          <w:rFonts w:ascii="Arial" w:eastAsia="Times New Roman" w:hAnsi="Arial" w:cs="Arial"/>
          <w:spacing w:val="-2"/>
          <w:sz w:val="24"/>
          <w:szCs w:val="24"/>
          <w:lang w:eastAsia="es-ES"/>
        </w:rPr>
        <w:t xml:space="preserve"> expediente digitalizado-, por lo que, a pesar de que no existe prueba que demuestre el estado actual de ese instrumento de deuda pública, lo cierto es que el mismo se redimiría normalmente el </w:t>
      </w:r>
      <w:r w:rsidRPr="00095DA5">
        <w:rPr>
          <w:rFonts w:ascii="Arial" w:eastAsia="Times New Roman" w:hAnsi="Arial" w:cs="Arial"/>
          <w:spacing w:val="-2"/>
          <w:sz w:val="24"/>
          <w:szCs w:val="24"/>
          <w:lang w:eastAsia="es-ES"/>
        </w:rPr>
        <w:t>2 de febrero de 2024</w:t>
      </w:r>
      <w:r w:rsidR="003835A9" w:rsidRPr="00095DA5">
        <w:rPr>
          <w:rFonts w:ascii="Arial" w:eastAsia="Times New Roman" w:hAnsi="Arial" w:cs="Arial"/>
          <w:spacing w:val="-2"/>
          <w:sz w:val="24"/>
          <w:szCs w:val="24"/>
          <w:lang w:eastAsia="es-ES"/>
        </w:rPr>
        <w:t>, fecha en que la accionante cumple los 60 años de edad.</w:t>
      </w:r>
    </w:p>
    <w:p w:rsidR="004825B1" w:rsidRPr="00095DA5" w:rsidRDefault="004825B1" w:rsidP="00095DA5">
      <w:pPr>
        <w:suppressAutoHyphens/>
        <w:spacing w:after="0"/>
        <w:jc w:val="both"/>
        <w:rPr>
          <w:rFonts w:ascii="Arial" w:eastAsia="Times New Roman" w:hAnsi="Arial" w:cs="Arial"/>
          <w:spacing w:val="-2"/>
          <w:sz w:val="24"/>
          <w:szCs w:val="24"/>
          <w:lang w:eastAsia="es-ES"/>
        </w:rPr>
      </w:pPr>
    </w:p>
    <w:p w:rsidR="004825B1" w:rsidRPr="00095DA5" w:rsidRDefault="004825B1"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Así las cosas, como la declaratoria de ineficacia trae como consecuencia que las cosas se reestablezcan al estado en el que se encontraban antes del 20 de febrero de 1998, necesario resulta modificar el ordinal segundo de la sentencia objeto de estudio, con el fin de no incluir dentro de la condena la restitución de los bonos pensionales, como lo ordenó la </w:t>
      </w:r>
      <w:r w:rsidRPr="00095DA5">
        <w:rPr>
          <w:rFonts w:ascii="Arial" w:eastAsia="Times New Roman" w:hAnsi="Arial" w:cs="Arial"/>
          <w:i/>
          <w:iCs/>
          <w:spacing w:val="-2"/>
          <w:sz w:val="24"/>
          <w:szCs w:val="24"/>
          <w:lang w:eastAsia="es-ES"/>
        </w:rPr>
        <w:t>a quo</w:t>
      </w:r>
      <w:r w:rsidRPr="00095DA5">
        <w:rPr>
          <w:rFonts w:ascii="Arial" w:eastAsia="Times New Roman" w:hAnsi="Arial" w:cs="Arial"/>
          <w:spacing w:val="-2"/>
          <w:sz w:val="24"/>
          <w:szCs w:val="24"/>
          <w:lang w:eastAsia="es-ES"/>
        </w:rPr>
        <w:t>,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20 de febrero de 1998, procediendo, entre otras cosas y de ser el caso, a anular o dejar sin vigencia el bono pensional que se generó a favor de la señora Celsa Julia Hernández Ruiz y que tenía como fecha de redención normal el 2 de febrero de 2024, aplicando con ello lo previsto en el artículo 57 del Decreto 1748 de 1995 modificado por el artículo 17 del Decreto 3798 de 2003 hoy recopilado en el Decreto 1833 de 2016.</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lastRenderedPageBreak/>
        <w:t> </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xml:space="preserve">En torno al hecho de que la afiliada </w:t>
      </w:r>
      <w:r w:rsidR="004825B1" w:rsidRPr="00095DA5">
        <w:rPr>
          <w:rFonts w:ascii="Arial" w:eastAsia="Times New Roman" w:hAnsi="Arial" w:cs="Arial"/>
          <w:spacing w:val="-2"/>
          <w:sz w:val="24"/>
          <w:szCs w:val="24"/>
          <w:lang w:eastAsia="es-ES"/>
        </w:rPr>
        <w:t>arribó</w:t>
      </w:r>
      <w:r w:rsidRPr="00095DA5">
        <w:rPr>
          <w:rFonts w:ascii="Arial" w:eastAsia="Times New Roman" w:hAnsi="Arial" w:cs="Arial"/>
          <w:spacing w:val="-2"/>
          <w:sz w:val="24"/>
          <w:szCs w:val="24"/>
          <w:lang w:eastAsia="es-ES"/>
        </w:rPr>
        <w:t xml:space="preserve"> a la edad mínima de pensión exigida en el RPM, ello en nada afecta la decisión tomada en este proceso, por cuanto, como se ha explicado recurrentemente a lo largo de la presente providencia,</w:t>
      </w:r>
      <w:r w:rsidR="002A77D0">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w:t>
      </w:r>
      <w:r w:rsidR="002A77D0">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y por tanto</w:t>
      </w:r>
      <w:r w:rsidR="002A77D0">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la demandante</w:t>
      </w:r>
      <w:r w:rsidR="002A77D0">
        <w:rPr>
          <w:rFonts w:ascii="Arial" w:eastAsia="Times New Roman" w:hAnsi="Arial" w:cs="Arial"/>
          <w:spacing w:val="-2"/>
          <w:sz w:val="24"/>
          <w:szCs w:val="24"/>
          <w:lang w:eastAsia="es-ES"/>
        </w:rPr>
        <w:t xml:space="preserve"> </w:t>
      </w:r>
      <w:r w:rsidRPr="00095DA5">
        <w:rPr>
          <w:rFonts w:ascii="Arial" w:eastAsia="Times New Roman" w:hAnsi="Arial" w:cs="Arial"/>
          <w:spacing w:val="-2"/>
          <w:sz w:val="24"/>
          <w:szCs w:val="24"/>
          <w:lang w:eastAsia="es-ES"/>
        </w:rPr>
        <w:t>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3835A9" w:rsidRPr="00095DA5" w:rsidRDefault="003835A9" w:rsidP="00095DA5">
      <w:pPr>
        <w:suppressAutoHyphens/>
        <w:spacing w:after="0"/>
        <w:jc w:val="both"/>
        <w:rPr>
          <w:rFonts w:ascii="Arial" w:eastAsia="Times New Roman" w:hAnsi="Arial" w:cs="Arial"/>
          <w:spacing w:val="-2"/>
          <w:sz w:val="24"/>
          <w:szCs w:val="24"/>
          <w:lang w:eastAsia="es-ES"/>
        </w:rPr>
      </w:pPr>
    </w:p>
    <w:p w:rsidR="003835A9" w:rsidRPr="00095DA5" w:rsidRDefault="003835A9"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xml:space="preserve">Respecto a la condena en costas emitida en el curso de la primera instancia en contra de los fondos privados de pensiones accionados, es pertinente recordar que el numeral 1° del artículo 365 del CGP establece que </w:t>
      </w:r>
      <w:r w:rsidRPr="00095DA5">
        <w:rPr>
          <w:rFonts w:ascii="Arial" w:eastAsia="Times New Roman" w:hAnsi="Arial" w:cs="Arial"/>
          <w:i/>
          <w:iCs/>
          <w:sz w:val="24"/>
          <w:szCs w:val="24"/>
          <w:lang w:eastAsia="es-CO"/>
        </w:rPr>
        <w:t>“</w:t>
      </w:r>
      <w:r w:rsidRPr="002A77D0">
        <w:rPr>
          <w:rFonts w:ascii="Arial" w:eastAsia="Times New Roman" w:hAnsi="Arial" w:cs="Arial"/>
          <w:i/>
          <w:iCs/>
          <w:szCs w:val="24"/>
          <w:lang w:eastAsia="es-CO"/>
        </w:rPr>
        <w:t>Se condenará en costas a la parte vencida en el proceso</w:t>
      </w:r>
      <w:r w:rsidRPr="00095DA5">
        <w:rPr>
          <w:rFonts w:ascii="Arial" w:eastAsia="Times New Roman" w:hAnsi="Arial" w:cs="Arial"/>
          <w:i/>
          <w:iCs/>
          <w:sz w:val="24"/>
          <w:szCs w:val="24"/>
          <w:lang w:eastAsia="es-CO"/>
        </w:rPr>
        <w:t>”</w:t>
      </w:r>
      <w:r w:rsidRPr="00095DA5">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95DA5">
        <w:rPr>
          <w:rFonts w:ascii="Arial" w:eastAsia="Times New Roman" w:hAnsi="Arial" w:cs="Arial"/>
          <w:i/>
          <w:iCs/>
          <w:sz w:val="24"/>
          <w:szCs w:val="24"/>
          <w:lang w:eastAsia="es-CO"/>
        </w:rPr>
        <w:t xml:space="preserve">a quo </w:t>
      </w:r>
      <w:r w:rsidRPr="00095DA5">
        <w:rPr>
          <w:rFonts w:ascii="Arial" w:eastAsia="Times New Roman" w:hAnsi="Arial" w:cs="Arial"/>
          <w:sz w:val="24"/>
          <w:szCs w:val="24"/>
          <w:lang w:eastAsia="es-CO"/>
        </w:rPr>
        <w:t>emitir condena en su contra por dicho concepto, la cual encuentra debidamente ajustada a derecho esta Corporación.</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w:t>
      </w:r>
    </w:p>
    <w:p w:rsidR="003835A9" w:rsidRPr="00095DA5" w:rsidRDefault="003835A9" w:rsidP="00095DA5">
      <w:pPr>
        <w:suppressAutoHyphens/>
        <w:spacing w:after="0"/>
        <w:jc w:val="both"/>
        <w:rPr>
          <w:rStyle w:val="normaltextrun"/>
          <w:rFonts w:ascii="Arial" w:hAnsi="Arial" w:cs="Arial"/>
          <w:color w:val="000000"/>
          <w:sz w:val="24"/>
          <w:szCs w:val="24"/>
          <w:shd w:val="clear" w:color="auto" w:fill="FFFFFF"/>
        </w:rPr>
      </w:pPr>
      <w:r w:rsidRPr="00095DA5">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En mérito de lo expuesto, la </w:t>
      </w:r>
      <w:r w:rsidRPr="00095DA5">
        <w:rPr>
          <w:rFonts w:ascii="Arial" w:eastAsia="Times New Roman" w:hAnsi="Arial" w:cs="Arial"/>
          <w:b/>
          <w:bCs/>
          <w:spacing w:val="-2"/>
          <w:sz w:val="24"/>
          <w:szCs w:val="24"/>
          <w:lang w:eastAsia="es-ES"/>
        </w:rPr>
        <w:t>Sala de Decisión Laboral del Tribunal Superior de Pereira</w:t>
      </w:r>
      <w:r w:rsidRPr="00095DA5">
        <w:rPr>
          <w:rFonts w:ascii="Arial" w:eastAsia="Times New Roman" w:hAnsi="Arial" w:cs="Arial"/>
          <w:spacing w:val="-2"/>
          <w:sz w:val="24"/>
          <w:szCs w:val="24"/>
          <w:lang w:eastAsia="es-ES"/>
        </w:rPr>
        <w:t>, administrando justicia en nombre de la República y por autoridad de la ley,   </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w:t>
      </w:r>
    </w:p>
    <w:p w:rsidR="003835A9" w:rsidRPr="00095DA5" w:rsidRDefault="003835A9" w:rsidP="00095DA5">
      <w:pPr>
        <w:suppressAutoHyphens/>
        <w:spacing w:after="0"/>
        <w:jc w:val="center"/>
        <w:rPr>
          <w:rFonts w:ascii="Arial" w:eastAsia="Times New Roman" w:hAnsi="Arial" w:cs="Arial"/>
          <w:spacing w:val="-2"/>
          <w:sz w:val="24"/>
          <w:szCs w:val="24"/>
          <w:lang w:eastAsia="es-ES"/>
        </w:rPr>
      </w:pPr>
      <w:r w:rsidRPr="00095DA5">
        <w:rPr>
          <w:rFonts w:ascii="Arial" w:eastAsia="Times New Roman" w:hAnsi="Arial" w:cs="Arial"/>
          <w:b/>
          <w:bCs/>
          <w:spacing w:val="-2"/>
          <w:sz w:val="24"/>
          <w:szCs w:val="24"/>
          <w:lang w:eastAsia="es-ES"/>
        </w:rPr>
        <w:t>RESUELVE</w:t>
      </w:r>
      <w:r w:rsidRPr="00095DA5">
        <w:rPr>
          <w:rFonts w:ascii="Arial" w:eastAsia="Times New Roman" w:hAnsi="Arial" w:cs="Arial"/>
          <w:spacing w:val="-2"/>
          <w:sz w:val="24"/>
          <w:szCs w:val="24"/>
          <w:lang w:eastAsia="es-ES"/>
        </w:rPr>
        <w:t> </w:t>
      </w:r>
    </w:p>
    <w:p w:rsidR="003835A9" w:rsidRPr="00095DA5" w:rsidRDefault="003835A9"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b/>
          <w:bCs/>
          <w:spacing w:val="-2"/>
          <w:sz w:val="24"/>
          <w:szCs w:val="24"/>
          <w:lang w:eastAsia="es-ES"/>
        </w:rPr>
        <w:t> </w:t>
      </w:r>
      <w:r w:rsidRPr="00095DA5">
        <w:rPr>
          <w:rFonts w:ascii="Arial" w:eastAsia="Times New Roman" w:hAnsi="Arial" w:cs="Arial"/>
          <w:spacing w:val="-2"/>
          <w:sz w:val="24"/>
          <w:szCs w:val="24"/>
          <w:lang w:eastAsia="es-ES"/>
        </w:rPr>
        <w:t>  </w:t>
      </w:r>
    </w:p>
    <w:p w:rsidR="004825B1" w:rsidRPr="00095DA5" w:rsidRDefault="004825B1"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MODIFICAR el</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ordinal</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SEGUNDO</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de la sentencia</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proferida por el Juzgado</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Quinto</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Laboral</w:t>
      </w:r>
      <w:r w:rsidR="002A77D0">
        <w:rPr>
          <w:rFonts w:ascii="Arial" w:eastAsia="Times New Roman" w:hAnsi="Arial" w:cs="Arial"/>
          <w:sz w:val="24"/>
          <w:szCs w:val="24"/>
          <w:lang w:eastAsia="es-CO"/>
        </w:rPr>
        <w:t xml:space="preserve"> </w:t>
      </w:r>
      <w:r w:rsidRPr="00095DA5">
        <w:rPr>
          <w:rFonts w:ascii="Arial" w:eastAsia="Times New Roman" w:hAnsi="Arial" w:cs="Arial"/>
          <w:sz w:val="24"/>
          <w:szCs w:val="24"/>
          <w:lang w:eastAsia="es-CO"/>
        </w:rPr>
        <w:t>del Circuito, el cual quedará así:</w:t>
      </w:r>
    </w:p>
    <w:p w:rsidR="004825B1" w:rsidRPr="00095DA5" w:rsidRDefault="004825B1"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w:t>
      </w:r>
    </w:p>
    <w:p w:rsidR="004825B1" w:rsidRPr="00095DA5" w:rsidRDefault="004825B1" w:rsidP="001453DB">
      <w:pPr>
        <w:spacing w:after="0"/>
        <w:ind w:left="426" w:right="420"/>
        <w:jc w:val="both"/>
        <w:textAlignment w:val="baseline"/>
        <w:rPr>
          <w:rFonts w:ascii="Arial" w:eastAsia="Times New Roman" w:hAnsi="Arial" w:cs="Arial"/>
          <w:i/>
          <w:iCs/>
          <w:sz w:val="24"/>
          <w:szCs w:val="24"/>
          <w:lang w:eastAsia="es-CO"/>
        </w:rPr>
      </w:pPr>
      <w:r w:rsidRPr="00095DA5">
        <w:rPr>
          <w:rFonts w:ascii="Arial" w:eastAsia="Times New Roman" w:hAnsi="Arial" w:cs="Arial"/>
          <w:sz w:val="24"/>
          <w:szCs w:val="24"/>
          <w:lang w:eastAsia="es-CO"/>
        </w:rPr>
        <w:t>“</w:t>
      </w:r>
      <w:r w:rsidRPr="00095DA5">
        <w:rPr>
          <w:rFonts w:ascii="Arial" w:eastAsia="Times New Roman" w:hAnsi="Arial" w:cs="Arial"/>
          <w:b/>
          <w:bCs/>
          <w:i/>
          <w:iCs/>
          <w:sz w:val="24"/>
          <w:szCs w:val="24"/>
          <w:lang w:eastAsia="es-CO"/>
        </w:rPr>
        <w:t>SEGUNDO. CONDENAR </w:t>
      </w:r>
      <w:r w:rsidRPr="00095DA5">
        <w:rPr>
          <w:rFonts w:ascii="Arial" w:eastAsia="Times New Roman" w:hAnsi="Arial" w:cs="Arial"/>
          <w:i/>
          <w:iCs/>
          <w:sz w:val="24"/>
          <w:szCs w:val="24"/>
          <w:lang w:eastAsia="es-CO"/>
        </w:rPr>
        <w:t>al fondo privado de pensiones PORVENIR S.A. a girar a favor de la ADMINISTRADORA COLOMBIANA DE PENSIONES</w:t>
      </w:r>
      <w:r w:rsidR="001453DB">
        <w:rPr>
          <w:rFonts w:ascii="Arial" w:eastAsia="Times New Roman" w:hAnsi="Arial" w:cs="Arial"/>
          <w:i/>
          <w:iCs/>
          <w:sz w:val="24"/>
          <w:szCs w:val="24"/>
          <w:lang w:eastAsia="es-CO"/>
        </w:rPr>
        <w:t xml:space="preserve"> </w:t>
      </w:r>
      <w:r w:rsidRPr="00095DA5">
        <w:rPr>
          <w:rFonts w:ascii="Arial" w:eastAsia="Times New Roman" w:hAnsi="Arial" w:cs="Arial"/>
          <w:i/>
          <w:iCs/>
          <w:sz w:val="24"/>
          <w:szCs w:val="24"/>
          <w:lang w:eastAsia="es-CO"/>
        </w:rPr>
        <w:t>el</w:t>
      </w:r>
      <w:r w:rsidR="001453DB">
        <w:rPr>
          <w:rFonts w:ascii="Arial" w:eastAsia="Times New Roman" w:hAnsi="Arial" w:cs="Arial"/>
          <w:i/>
          <w:iCs/>
          <w:sz w:val="24"/>
          <w:szCs w:val="24"/>
          <w:lang w:eastAsia="es-CO"/>
        </w:rPr>
        <w:t xml:space="preserve"> </w:t>
      </w:r>
      <w:r w:rsidRPr="00095DA5">
        <w:rPr>
          <w:rFonts w:ascii="Arial" w:eastAsia="Times New Roman" w:hAnsi="Arial" w:cs="Arial"/>
          <w:i/>
          <w:iCs/>
          <w:sz w:val="24"/>
          <w:szCs w:val="24"/>
          <w:lang w:eastAsia="es-CO"/>
        </w:rPr>
        <w:t xml:space="preserve">saldo existente en la cuenta de ahorro </w:t>
      </w:r>
      <w:r w:rsidR="0098589C" w:rsidRPr="00095DA5">
        <w:rPr>
          <w:rFonts w:ascii="Arial" w:eastAsia="Times New Roman" w:hAnsi="Arial" w:cs="Arial"/>
          <w:i/>
          <w:iCs/>
          <w:sz w:val="24"/>
          <w:szCs w:val="24"/>
          <w:lang w:eastAsia="es-CO"/>
        </w:rPr>
        <w:t>de la señora CELSA JULIA HERNÁNDEZ RUIZ</w:t>
      </w:r>
      <w:r w:rsidRPr="00095DA5">
        <w:rPr>
          <w:rFonts w:ascii="Arial" w:eastAsia="Times New Roman" w:hAnsi="Arial" w:cs="Arial"/>
          <w:i/>
          <w:iCs/>
          <w:sz w:val="24"/>
          <w:szCs w:val="24"/>
          <w:lang w:eastAsia="es-CO"/>
        </w:rPr>
        <w:t>, proveniente de las cotizaciones efectuadas al sistema general de pensiones, junto con los intereses y rendimientos financieros que se hayan causado”.</w:t>
      </w:r>
    </w:p>
    <w:p w:rsidR="004825B1" w:rsidRPr="00095DA5" w:rsidRDefault="004825B1" w:rsidP="00095DA5">
      <w:pPr>
        <w:spacing w:after="0"/>
        <w:jc w:val="both"/>
        <w:textAlignment w:val="baseline"/>
        <w:rPr>
          <w:rFonts w:ascii="Arial" w:eastAsia="Times New Roman" w:hAnsi="Arial" w:cs="Arial"/>
          <w:sz w:val="24"/>
          <w:szCs w:val="24"/>
          <w:lang w:eastAsia="es-CO"/>
        </w:rPr>
      </w:pPr>
      <w:r w:rsidRPr="00095DA5">
        <w:rPr>
          <w:rFonts w:ascii="Arial" w:eastAsia="Times New Roman" w:hAnsi="Arial" w:cs="Arial"/>
          <w:sz w:val="24"/>
          <w:szCs w:val="24"/>
          <w:lang w:eastAsia="es-CO"/>
        </w:rPr>
        <w:t> </w:t>
      </w:r>
    </w:p>
    <w:p w:rsidR="004825B1" w:rsidRPr="00095DA5" w:rsidRDefault="004825B1" w:rsidP="00095DA5">
      <w:pPr>
        <w:spacing w:after="0"/>
        <w:jc w:val="both"/>
        <w:textAlignment w:val="baseline"/>
        <w:rPr>
          <w:rFonts w:ascii="Arial" w:eastAsia="Times New Roman" w:hAnsi="Arial" w:cs="Arial"/>
          <w:spacing w:val="-2"/>
          <w:sz w:val="24"/>
          <w:szCs w:val="24"/>
          <w:lang w:eastAsia="es-ES"/>
        </w:rPr>
      </w:pPr>
      <w:r w:rsidRPr="00095DA5">
        <w:rPr>
          <w:rFonts w:ascii="Arial" w:eastAsia="Times New Roman" w:hAnsi="Arial" w:cs="Arial"/>
          <w:b/>
          <w:bCs/>
          <w:spacing w:val="-2"/>
          <w:sz w:val="24"/>
          <w:szCs w:val="24"/>
          <w:lang w:eastAsia="es-ES"/>
        </w:rPr>
        <w:t>SEGUNDO.</w:t>
      </w:r>
      <w:r w:rsidR="002A77D0">
        <w:rPr>
          <w:rFonts w:ascii="Arial" w:eastAsia="Times New Roman" w:hAnsi="Arial" w:cs="Arial"/>
          <w:b/>
          <w:bCs/>
          <w:spacing w:val="-2"/>
          <w:sz w:val="24"/>
          <w:szCs w:val="24"/>
          <w:lang w:eastAsia="es-ES"/>
        </w:rPr>
        <w:t xml:space="preserve"> </w:t>
      </w:r>
      <w:r w:rsidRPr="00095DA5">
        <w:rPr>
          <w:rFonts w:ascii="Arial" w:eastAsia="Times New Roman" w:hAnsi="Arial" w:cs="Arial"/>
          <w:b/>
          <w:bCs/>
          <w:spacing w:val="-2"/>
          <w:sz w:val="24"/>
          <w:szCs w:val="24"/>
          <w:lang w:eastAsia="es-ES"/>
        </w:rPr>
        <w:t>ADICIONAR</w:t>
      </w:r>
      <w:r w:rsidR="001453DB">
        <w:rPr>
          <w:rFonts w:ascii="Arial" w:eastAsia="Times New Roman" w:hAnsi="Arial" w:cs="Arial"/>
          <w:b/>
          <w:bCs/>
          <w:spacing w:val="-2"/>
          <w:sz w:val="24"/>
          <w:szCs w:val="24"/>
          <w:lang w:eastAsia="es-ES"/>
        </w:rPr>
        <w:t xml:space="preserve"> </w:t>
      </w:r>
      <w:r w:rsidRPr="00095DA5">
        <w:rPr>
          <w:rFonts w:ascii="Arial" w:eastAsia="Times New Roman" w:hAnsi="Arial" w:cs="Arial"/>
          <w:spacing w:val="-2"/>
          <w:sz w:val="24"/>
          <w:szCs w:val="24"/>
          <w:lang w:eastAsia="es-ES"/>
        </w:rPr>
        <w:t xml:space="preserve">la sentencia emitida por el Juzgado </w:t>
      </w:r>
      <w:r w:rsidR="0098589C" w:rsidRPr="00095DA5">
        <w:rPr>
          <w:rFonts w:ascii="Arial" w:eastAsia="Times New Roman" w:hAnsi="Arial" w:cs="Arial"/>
          <w:spacing w:val="-2"/>
          <w:sz w:val="24"/>
          <w:szCs w:val="24"/>
          <w:lang w:eastAsia="es-ES"/>
        </w:rPr>
        <w:t>Quinto</w:t>
      </w:r>
      <w:r w:rsidRPr="00095DA5">
        <w:rPr>
          <w:rFonts w:ascii="Arial" w:eastAsia="Times New Roman" w:hAnsi="Arial" w:cs="Arial"/>
          <w:spacing w:val="-2"/>
          <w:sz w:val="24"/>
          <w:szCs w:val="24"/>
          <w:lang w:eastAsia="es-ES"/>
        </w:rPr>
        <w:t xml:space="preserve"> Laboral del Circuito, en el sentido de </w:t>
      </w:r>
      <w:r w:rsidRPr="00095DA5">
        <w:rPr>
          <w:rFonts w:ascii="Arial" w:eastAsia="Times New Roman" w:hAnsi="Arial" w:cs="Arial"/>
          <w:b/>
          <w:bCs/>
          <w:spacing w:val="-2"/>
          <w:sz w:val="24"/>
          <w:szCs w:val="24"/>
          <w:lang w:eastAsia="es-ES"/>
        </w:rPr>
        <w:t>COMUNICAR </w:t>
      </w:r>
      <w:r w:rsidRPr="00095DA5">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98589C" w:rsidRPr="00095DA5">
        <w:rPr>
          <w:rFonts w:ascii="Arial" w:eastAsia="Times New Roman" w:hAnsi="Arial" w:cs="Arial"/>
          <w:spacing w:val="-2"/>
          <w:sz w:val="24"/>
          <w:szCs w:val="24"/>
          <w:lang w:eastAsia="es-ES"/>
        </w:rPr>
        <w:t xml:space="preserve">20 </w:t>
      </w:r>
      <w:r w:rsidR="0098589C" w:rsidRPr="00095DA5">
        <w:rPr>
          <w:rFonts w:ascii="Arial" w:eastAsia="Times New Roman" w:hAnsi="Arial" w:cs="Arial"/>
          <w:spacing w:val="-2"/>
          <w:sz w:val="24"/>
          <w:szCs w:val="24"/>
          <w:lang w:eastAsia="es-ES"/>
        </w:rPr>
        <w:lastRenderedPageBreak/>
        <w:t>de febrero de 1998</w:t>
      </w:r>
      <w:r w:rsidRPr="00095DA5">
        <w:rPr>
          <w:rFonts w:ascii="Arial" w:eastAsia="Times New Roman" w:hAnsi="Arial" w:cs="Arial"/>
          <w:spacing w:val="-2"/>
          <w:sz w:val="24"/>
          <w:szCs w:val="24"/>
          <w:lang w:eastAsia="es-ES"/>
        </w:rPr>
        <w:t xml:space="preserve">, procediendo, entre otras cosas y de ser el caso, a anular o dejar sin vigencia, el bono pensional que se generó a favor </w:t>
      </w:r>
      <w:r w:rsidR="0098589C" w:rsidRPr="00095DA5">
        <w:rPr>
          <w:rFonts w:ascii="Arial" w:eastAsia="Times New Roman" w:hAnsi="Arial" w:cs="Arial"/>
          <w:spacing w:val="-2"/>
          <w:sz w:val="24"/>
          <w:szCs w:val="24"/>
          <w:lang w:eastAsia="es-ES"/>
        </w:rPr>
        <w:t>de la señora CELSA JULIA HERNÁNDEZ RUIZ</w:t>
      </w:r>
      <w:r w:rsidRPr="00095DA5">
        <w:rPr>
          <w:rFonts w:ascii="Arial" w:eastAsia="Times New Roman" w:hAnsi="Arial" w:cs="Arial"/>
          <w:spacing w:val="-2"/>
          <w:sz w:val="24"/>
          <w:szCs w:val="24"/>
          <w:lang w:eastAsia="es-ES"/>
        </w:rPr>
        <w:t xml:space="preserve"> y que tenía como fecha de redención normal el 2 de </w:t>
      </w:r>
      <w:r w:rsidR="0098589C" w:rsidRPr="00095DA5">
        <w:rPr>
          <w:rFonts w:ascii="Arial" w:eastAsia="Times New Roman" w:hAnsi="Arial" w:cs="Arial"/>
          <w:spacing w:val="-2"/>
          <w:sz w:val="24"/>
          <w:szCs w:val="24"/>
          <w:lang w:eastAsia="es-ES"/>
        </w:rPr>
        <w:t>febrero de 2024</w:t>
      </w:r>
      <w:r w:rsidRPr="00095DA5">
        <w:rPr>
          <w:rFonts w:ascii="Arial" w:eastAsia="Times New Roman" w:hAnsi="Arial" w:cs="Arial"/>
          <w:spacing w:val="-2"/>
          <w:sz w:val="24"/>
          <w:szCs w:val="24"/>
          <w:lang w:eastAsia="es-ES"/>
        </w:rPr>
        <w:t>. </w:t>
      </w:r>
    </w:p>
    <w:p w:rsidR="0098589C" w:rsidRPr="00095DA5" w:rsidRDefault="0098589C" w:rsidP="00095DA5">
      <w:pPr>
        <w:spacing w:after="0"/>
        <w:jc w:val="both"/>
        <w:textAlignment w:val="baseline"/>
        <w:rPr>
          <w:rFonts w:ascii="Arial" w:eastAsia="Times New Roman" w:hAnsi="Arial" w:cs="Arial"/>
          <w:spacing w:val="-2"/>
          <w:sz w:val="24"/>
          <w:szCs w:val="24"/>
          <w:lang w:eastAsia="es-ES"/>
        </w:rPr>
      </w:pPr>
    </w:p>
    <w:p w:rsidR="0098589C" w:rsidRPr="00095DA5" w:rsidRDefault="0098589C"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b/>
          <w:bCs/>
          <w:spacing w:val="-2"/>
          <w:sz w:val="24"/>
          <w:szCs w:val="24"/>
          <w:lang w:eastAsia="es-ES"/>
        </w:rPr>
        <w:t>TERCERO. CONFIRMAR </w:t>
      </w:r>
      <w:r w:rsidRPr="00095DA5">
        <w:rPr>
          <w:rFonts w:ascii="Arial" w:eastAsia="Times New Roman" w:hAnsi="Arial" w:cs="Arial"/>
          <w:spacing w:val="-2"/>
          <w:sz w:val="24"/>
          <w:szCs w:val="24"/>
          <w:lang w:eastAsia="es-ES"/>
        </w:rPr>
        <w:t>la sentencia recurrida y consultada en todo lo demás.  </w:t>
      </w:r>
    </w:p>
    <w:p w:rsidR="0098589C" w:rsidRPr="00095DA5" w:rsidRDefault="0098589C" w:rsidP="00095DA5">
      <w:pPr>
        <w:suppressAutoHyphens/>
        <w:spacing w:after="0"/>
        <w:jc w:val="both"/>
        <w:rPr>
          <w:rFonts w:ascii="Arial" w:eastAsia="Times New Roman" w:hAnsi="Arial" w:cs="Arial"/>
          <w:spacing w:val="-2"/>
          <w:sz w:val="24"/>
          <w:szCs w:val="24"/>
          <w:lang w:eastAsia="es-ES"/>
        </w:rPr>
      </w:pPr>
      <w:r w:rsidRPr="00095DA5">
        <w:rPr>
          <w:rFonts w:ascii="Arial" w:eastAsia="Times New Roman" w:hAnsi="Arial" w:cs="Arial"/>
          <w:spacing w:val="-2"/>
          <w:sz w:val="24"/>
          <w:szCs w:val="24"/>
          <w:lang w:eastAsia="es-ES"/>
        </w:rPr>
        <w:t> </w:t>
      </w:r>
    </w:p>
    <w:p w:rsidR="0098589C" w:rsidRPr="00095DA5" w:rsidRDefault="0098589C" w:rsidP="00095DA5">
      <w:pPr>
        <w:suppressAutoHyphens/>
        <w:spacing w:after="0"/>
        <w:jc w:val="both"/>
        <w:rPr>
          <w:rStyle w:val="eop"/>
          <w:rFonts w:ascii="Arial" w:hAnsi="Arial" w:cs="Arial"/>
          <w:color w:val="000000"/>
          <w:sz w:val="24"/>
          <w:szCs w:val="24"/>
          <w:shd w:val="clear" w:color="auto" w:fill="FFFFFF"/>
        </w:rPr>
      </w:pPr>
      <w:r w:rsidRPr="00095DA5">
        <w:rPr>
          <w:rFonts w:ascii="Arial" w:eastAsia="Times New Roman" w:hAnsi="Arial" w:cs="Arial"/>
          <w:b/>
          <w:bCs/>
          <w:spacing w:val="-2"/>
          <w:sz w:val="24"/>
          <w:szCs w:val="24"/>
          <w:lang w:eastAsia="es-ES"/>
        </w:rPr>
        <w:t>CUARTO. CONDENAR </w:t>
      </w:r>
      <w:r w:rsidRPr="00095DA5">
        <w:rPr>
          <w:rFonts w:ascii="Arial" w:eastAsia="Times New Roman" w:hAnsi="Arial" w:cs="Arial"/>
          <w:spacing w:val="-2"/>
          <w:sz w:val="24"/>
          <w:szCs w:val="24"/>
          <w:lang w:eastAsia="es-ES"/>
        </w:rPr>
        <w:t xml:space="preserve">en costas en esta </w:t>
      </w:r>
      <w:r w:rsidRPr="00095DA5">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095DA5">
        <w:rPr>
          <w:rStyle w:val="eop"/>
          <w:rFonts w:ascii="Arial" w:hAnsi="Arial" w:cs="Arial"/>
          <w:color w:val="000000"/>
          <w:sz w:val="24"/>
          <w:szCs w:val="24"/>
          <w:shd w:val="clear" w:color="auto" w:fill="FFFFFF"/>
        </w:rPr>
        <w:t> </w:t>
      </w:r>
    </w:p>
    <w:p w:rsidR="0098589C" w:rsidRPr="00095DA5" w:rsidRDefault="0098589C" w:rsidP="00095DA5">
      <w:pPr>
        <w:suppressAutoHyphens/>
        <w:spacing w:after="0"/>
        <w:jc w:val="both"/>
        <w:rPr>
          <w:rFonts w:ascii="Arial" w:eastAsia="Times New Roman" w:hAnsi="Arial" w:cs="Arial"/>
          <w:spacing w:val="-2"/>
          <w:sz w:val="24"/>
          <w:szCs w:val="24"/>
          <w:lang w:eastAsia="es-ES"/>
        </w:rPr>
      </w:pPr>
    </w:p>
    <w:p w:rsidR="00E9647E" w:rsidRPr="00095DA5" w:rsidRDefault="00E9647E" w:rsidP="00095DA5">
      <w:pPr>
        <w:widowControl w:val="0"/>
        <w:autoSpaceDE w:val="0"/>
        <w:autoSpaceDN w:val="0"/>
        <w:adjustRightInd w:val="0"/>
        <w:spacing w:after="0"/>
        <w:jc w:val="both"/>
        <w:rPr>
          <w:rFonts w:ascii="Arial" w:eastAsia="Arial" w:hAnsi="Arial" w:cs="Arial"/>
          <w:sz w:val="24"/>
          <w:szCs w:val="24"/>
        </w:rPr>
      </w:pPr>
      <w:r w:rsidRPr="00095DA5">
        <w:rPr>
          <w:rFonts w:ascii="Arial" w:hAnsi="Arial" w:cs="Arial"/>
          <w:sz w:val="24"/>
          <w:szCs w:val="24"/>
          <w:lang w:eastAsia="es-CO"/>
        </w:rPr>
        <w:t>No</w:t>
      </w:r>
      <w:r w:rsidRPr="00095DA5">
        <w:rPr>
          <w:rFonts w:ascii="Arial" w:eastAsia="Arial" w:hAnsi="Arial" w:cs="Arial"/>
          <w:sz w:val="24"/>
          <w:szCs w:val="24"/>
        </w:rPr>
        <w:t>tifíquese por estado y a los correos electrónicos de los apoderados de las partes.</w:t>
      </w:r>
    </w:p>
    <w:p w:rsidR="00795E8C" w:rsidRPr="00095DA5" w:rsidRDefault="00795E8C" w:rsidP="00095DA5">
      <w:pPr>
        <w:suppressAutoHyphens/>
        <w:spacing w:after="0"/>
        <w:jc w:val="both"/>
        <w:rPr>
          <w:rFonts w:ascii="Arial" w:eastAsia="Times New Roman" w:hAnsi="Arial" w:cs="Arial"/>
          <w:spacing w:val="-2"/>
          <w:sz w:val="24"/>
          <w:szCs w:val="24"/>
          <w:lang w:eastAsia="es-ES"/>
        </w:rPr>
      </w:pPr>
    </w:p>
    <w:p w:rsidR="00095DA5" w:rsidRPr="00095DA5" w:rsidRDefault="00095DA5" w:rsidP="00095DA5">
      <w:pPr>
        <w:widowControl w:val="0"/>
        <w:autoSpaceDE w:val="0"/>
        <w:autoSpaceDN w:val="0"/>
        <w:adjustRightInd w:val="0"/>
        <w:spacing w:after="0"/>
        <w:jc w:val="both"/>
        <w:rPr>
          <w:rFonts w:ascii="Arial" w:hAnsi="Arial" w:cs="Arial"/>
          <w:sz w:val="24"/>
          <w:szCs w:val="24"/>
        </w:rPr>
      </w:pPr>
      <w:bookmarkStart w:id="4" w:name="_Hlk92014611"/>
      <w:r w:rsidRPr="00095DA5">
        <w:rPr>
          <w:rFonts w:ascii="Arial" w:hAnsi="Arial" w:cs="Arial"/>
          <w:sz w:val="24"/>
          <w:szCs w:val="24"/>
        </w:rPr>
        <w:t>Quienes integran la Sala,</w:t>
      </w: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jc w:val="center"/>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JULIO CÉSAR SALAZAR MUÑOZ</w:t>
      </w:r>
    </w:p>
    <w:p w:rsidR="00095DA5" w:rsidRDefault="00095DA5" w:rsidP="00095DA5">
      <w:pPr>
        <w:spacing w:after="0"/>
        <w:jc w:val="center"/>
        <w:textAlignment w:val="baseline"/>
        <w:rPr>
          <w:rFonts w:ascii="Arial" w:eastAsia="Times New Roman" w:hAnsi="Arial" w:cs="Arial"/>
          <w:sz w:val="24"/>
          <w:szCs w:val="24"/>
          <w:lang w:val="es-ES" w:eastAsia="es-CO"/>
        </w:rPr>
      </w:pPr>
      <w:r w:rsidRPr="00095DA5">
        <w:rPr>
          <w:rFonts w:ascii="Arial" w:eastAsia="Times New Roman" w:hAnsi="Arial" w:cs="Arial"/>
          <w:sz w:val="24"/>
          <w:szCs w:val="24"/>
          <w:lang w:val="es-ES" w:eastAsia="es-CO"/>
        </w:rPr>
        <w:t>Magistrado Ponente</w:t>
      </w:r>
    </w:p>
    <w:p w:rsidR="00C62CD7" w:rsidRPr="00095DA5" w:rsidRDefault="00C62CD7" w:rsidP="00095DA5">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 aclaración de voto</w:t>
      </w: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line="240" w:lineRule="auto"/>
        <w:rPr>
          <w:rFonts w:ascii="Arial" w:hAnsi="Arial" w:cs="Arial"/>
          <w:sz w:val="24"/>
          <w:szCs w:val="24"/>
        </w:rPr>
      </w:pPr>
    </w:p>
    <w:p w:rsidR="00095DA5" w:rsidRPr="00095DA5" w:rsidRDefault="00095DA5" w:rsidP="00095DA5">
      <w:pPr>
        <w:spacing w:after="0"/>
        <w:textAlignment w:val="baseline"/>
        <w:rPr>
          <w:rFonts w:ascii="Arial" w:eastAsia="Times New Roman" w:hAnsi="Arial" w:cs="Arial"/>
          <w:sz w:val="24"/>
          <w:szCs w:val="24"/>
          <w:lang w:eastAsia="es-CO"/>
        </w:rPr>
      </w:pPr>
      <w:r w:rsidRPr="00095DA5">
        <w:rPr>
          <w:rFonts w:ascii="Arial" w:eastAsia="Times New Roman" w:hAnsi="Arial" w:cs="Arial"/>
          <w:b/>
          <w:bCs/>
          <w:sz w:val="24"/>
          <w:szCs w:val="24"/>
          <w:lang w:val="es-ES" w:eastAsia="es-CO"/>
        </w:rPr>
        <w:t>ANA LUCÍA CAICEDO CALDERÓN</w:t>
      </w:r>
      <w:r w:rsidRPr="00095DA5">
        <w:rPr>
          <w:rFonts w:ascii="Arial" w:eastAsia="Times New Roman" w:hAnsi="Arial" w:cs="Arial"/>
          <w:sz w:val="24"/>
          <w:szCs w:val="24"/>
          <w:lang w:eastAsia="es-CO"/>
        </w:rPr>
        <w:t> </w:t>
      </w:r>
      <w:r w:rsidRPr="00095DA5">
        <w:rPr>
          <w:rFonts w:ascii="Arial" w:eastAsia="Times New Roman" w:hAnsi="Arial" w:cs="Arial"/>
          <w:sz w:val="24"/>
          <w:szCs w:val="24"/>
          <w:lang w:eastAsia="es-CO"/>
        </w:rPr>
        <w:tab/>
      </w:r>
      <w:r w:rsidRPr="00095DA5">
        <w:rPr>
          <w:rFonts w:ascii="Arial" w:eastAsia="Times New Roman" w:hAnsi="Arial" w:cs="Arial"/>
          <w:sz w:val="24"/>
          <w:szCs w:val="24"/>
          <w:lang w:eastAsia="es-CO"/>
        </w:rPr>
        <w:tab/>
      </w:r>
      <w:r w:rsidRPr="00095DA5">
        <w:rPr>
          <w:rFonts w:ascii="Arial" w:eastAsia="Times New Roman" w:hAnsi="Arial" w:cs="Arial"/>
          <w:b/>
          <w:bCs/>
          <w:sz w:val="24"/>
          <w:szCs w:val="24"/>
          <w:lang w:eastAsia="es-CO"/>
        </w:rPr>
        <w:t>GERMÁN DARÍO GÓEZ VINASCO</w:t>
      </w:r>
    </w:p>
    <w:p w:rsidR="00095DA5" w:rsidRPr="00095DA5" w:rsidRDefault="00095DA5" w:rsidP="00095DA5">
      <w:pPr>
        <w:spacing w:after="0"/>
        <w:jc w:val="both"/>
        <w:textAlignment w:val="baseline"/>
        <w:rPr>
          <w:rFonts w:ascii="Arial" w:hAnsi="Arial" w:cs="Arial"/>
          <w:sz w:val="24"/>
          <w:szCs w:val="24"/>
        </w:rPr>
      </w:pPr>
      <w:r w:rsidRPr="00095DA5">
        <w:rPr>
          <w:rFonts w:ascii="Arial" w:eastAsia="Times New Roman" w:hAnsi="Arial" w:cs="Arial"/>
          <w:sz w:val="24"/>
          <w:szCs w:val="24"/>
          <w:lang w:val="es-ES" w:eastAsia="es-CO"/>
        </w:rPr>
        <w:t>Magistrada</w:t>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r>
      <w:r w:rsidRPr="00095DA5">
        <w:rPr>
          <w:rFonts w:ascii="Arial" w:eastAsia="Times New Roman" w:hAnsi="Arial" w:cs="Arial"/>
          <w:sz w:val="24"/>
          <w:szCs w:val="24"/>
          <w:lang w:val="es-ES" w:eastAsia="es-CO"/>
        </w:rPr>
        <w:tab/>
        <w:t>Magistrado</w:t>
      </w:r>
      <w:bookmarkEnd w:id="4"/>
    </w:p>
    <w:p w:rsidR="0098589C" w:rsidRDefault="00095DA5" w:rsidP="00095DA5">
      <w:pPr>
        <w:suppressAutoHyphens/>
        <w:spacing w:after="0"/>
        <w:jc w:val="both"/>
        <w:rPr>
          <w:rFonts w:ascii="Arial" w:eastAsia="Times New Roman" w:hAnsi="Arial" w:cs="Arial"/>
          <w:spacing w:val="-2"/>
          <w:sz w:val="24"/>
          <w:szCs w:val="24"/>
          <w:lang w:eastAsia="es-ES"/>
        </w:rPr>
      </w:pPr>
      <w:r w:rsidRPr="00C62CD7">
        <w:rPr>
          <w:rFonts w:ascii="Arial" w:eastAsia="Times New Roman" w:hAnsi="Arial" w:cs="Arial"/>
          <w:spacing w:val="-2"/>
          <w:sz w:val="24"/>
          <w:szCs w:val="24"/>
          <w:lang w:eastAsia="es-ES"/>
        </w:rPr>
        <w:t>Ausencia justificada</w:t>
      </w:r>
    </w:p>
    <w:p w:rsidR="001B6394" w:rsidRDefault="001B6394" w:rsidP="00095DA5">
      <w:pPr>
        <w:suppressAutoHyphens/>
        <w:spacing w:after="0"/>
        <w:jc w:val="both"/>
        <w:rPr>
          <w:rFonts w:ascii="Arial" w:eastAsia="Times New Roman" w:hAnsi="Arial" w:cs="Arial"/>
          <w:spacing w:val="-2"/>
          <w:sz w:val="24"/>
          <w:szCs w:val="24"/>
          <w:lang w:eastAsia="es-ES"/>
        </w:rPr>
      </w:pPr>
    </w:p>
    <w:p w:rsidR="001B6394" w:rsidRDefault="001B6394">
      <w:pPr>
        <w:spacing w:after="160" w:line="259" w:lineRule="auto"/>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br w:type="page"/>
      </w:r>
    </w:p>
    <w:p w:rsidR="00677F0A" w:rsidRPr="00A16A47" w:rsidRDefault="00677F0A" w:rsidP="00677F0A">
      <w:pPr>
        <w:autoSpaceDE w:val="0"/>
        <w:autoSpaceDN w:val="0"/>
        <w:adjustRightInd w:val="0"/>
        <w:spacing w:after="0" w:line="240" w:lineRule="auto"/>
        <w:jc w:val="both"/>
        <w:rPr>
          <w:rFonts w:ascii="Arial" w:eastAsia="Times New Roman" w:hAnsi="Arial" w:cs="Arial"/>
          <w:spacing w:val="2"/>
          <w:sz w:val="20"/>
          <w:szCs w:val="20"/>
          <w:lang w:eastAsia="es-ES"/>
        </w:rPr>
      </w:pPr>
      <w:r w:rsidRPr="00A16A47">
        <w:rPr>
          <w:rFonts w:ascii="Arial" w:eastAsia="Times New Roman" w:hAnsi="Arial" w:cs="Arial"/>
          <w:bCs/>
          <w:spacing w:val="2"/>
          <w:sz w:val="20"/>
          <w:szCs w:val="20"/>
          <w:lang w:val="es-ES" w:eastAsia="es-ES"/>
        </w:rPr>
        <w:lastRenderedPageBreak/>
        <w:t>Radicación No</w:t>
      </w:r>
      <w:r w:rsidRPr="00A16A47">
        <w:rPr>
          <w:rFonts w:ascii="Arial" w:eastAsia="Times New Roman" w:hAnsi="Arial" w:cs="Arial"/>
          <w:spacing w:val="2"/>
          <w:sz w:val="20"/>
          <w:szCs w:val="20"/>
          <w:lang w:val="es-ES" w:eastAsia="es-ES"/>
        </w:rPr>
        <w:t>:</w:t>
      </w:r>
      <w:r w:rsidRPr="00A16A47">
        <w:rPr>
          <w:rFonts w:ascii="Arial" w:eastAsia="Times New Roman" w:hAnsi="Arial" w:cs="Arial"/>
          <w:spacing w:val="2"/>
          <w:sz w:val="20"/>
          <w:szCs w:val="20"/>
          <w:lang w:val="es-ES" w:eastAsia="es-ES"/>
        </w:rPr>
        <w:tab/>
      </w:r>
      <w:r w:rsidRPr="00A16A47">
        <w:rPr>
          <w:rFonts w:ascii="Arial" w:eastAsia="Times New Roman" w:hAnsi="Arial" w:cs="Arial"/>
          <w:spacing w:val="2"/>
          <w:sz w:val="20"/>
          <w:szCs w:val="20"/>
          <w:lang w:val="es-ES" w:eastAsia="es-ES"/>
        </w:rPr>
        <w:tab/>
      </w:r>
      <w:r w:rsidRPr="00A16A47">
        <w:rPr>
          <w:rFonts w:ascii="Arial" w:eastAsia="Times New Roman" w:hAnsi="Arial" w:cs="Arial"/>
          <w:spacing w:val="2"/>
          <w:sz w:val="20"/>
          <w:szCs w:val="20"/>
          <w:lang w:eastAsia="es-ES"/>
        </w:rPr>
        <w:t>66001-31-05-005-2016-00763-01</w:t>
      </w:r>
      <w:bookmarkStart w:id="5" w:name="_GoBack"/>
      <w:bookmarkEnd w:id="5"/>
    </w:p>
    <w:p w:rsidR="00677F0A" w:rsidRPr="00A16A47" w:rsidRDefault="00677F0A" w:rsidP="00677F0A">
      <w:pPr>
        <w:autoSpaceDE w:val="0"/>
        <w:autoSpaceDN w:val="0"/>
        <w:adjustRightInd w:val="0"/>
        <w:spacing w:after="0" w:line="240" w:lineRule="auto"/>
        <w:jc w:val="both"/>
        <w:rPr>
          <w:rFonts w:ascii="Arial" w:eastAsia="Times New Roman" w:hAnsi="Arial" w:cs="Arial"/>
          <w:spacing w:val="2"/>
          <w:sz w:val="20"/>
          <w:szCs w:val="20"/>
          <w:lang w:eastAsia="es-ES"/>
        </w:rPr>
      </w:pPr>
      <w:r w:rsidRPr="00A16A47">
        <w:rPr>
          <w:rFonts w:ascii="Arial" w:eastAsia="Times New Roman" w:hAnsi="Arial" w:cs="Arial"/>
          <w:bCs/>
          <w:spacing w:val="2"/>
          <w:sz w:val="20"/>
          <w:szCs w:val="20"/>
          <w:lang w:val="es-ES" w:eastAsia="es-ES"/>
        </w:rPr>
        <w:t>Demandante</w:t>
      </w:r>
      <w:r w:rsidRPr="00A16A47">
        <w:rPr>
          <w:rFonts w:ascii="Arial" w:eastAsia="Times New Roman" w:hAnsi="Arial" w:cs="Arial"/>
          <w:spacing w:val="2"/>
          <w:sz w:val="20"/>
          <w:szCs w:val="20"/>
          <w:lang w:val="es-ES" w:eastAsia="es-ES"/>
        </w:rPr>
        <w:t>:</w:t>
      </w:r>
      <w:r w:rsidRPr="00A16A47">
        <w:rPr>
          <w:rFonts w:ascii="Arial" w:eastAsia="Times New Roman" w:hAnsi="Arial" w:cs="Arial"/>
          <w:spacing w:val="2"/>
          <w:sz w:val="20"/>
          <w:szCs w:val="20"/>
          <w:lang w:val="es-ES" w:eastAsia="es-ES"/>
        </w:rPr>
        <w:tab/>
      </w:r>
      <w:r w:rsidRPr="00A16A47">
        <w:rPr>
          <w:rFonts w:ascii="Arial" w:eastAsia="Times New Roman" w:hAnsi="Arial" w:cs="Arial"/>
          <w:spacing w:val="2"/>
          <w:sz w:val="20"/>
          <w:szCs w:val="20"/>
          <w:lang w:val="es-ES" w:eastAsia="es-ES"/>
        </w:rPr>
        <w:tab/>
        <w:t>Celsa Julia Hernández Ruiz</w:t>
      </w:r>
    </w:p>
    <w:p w:rsidR="00677F0A" w:rsidRPr="00A16A47" w:rsidRDefault="00677F0A" w:rsidP="00677F0A">
      <w:pPr>
        <w:autoSpaceDE w:val="0"/>
        <w:autoSpaceDN w:val="0"/>
        <w:adjustRightInd w:val="0"/>
        <w:spacing w:after="0" w:line="240" w:lineRule="auto"/>
        <w:jc w:val="both"/>
        <w:rPr>
          <w:rFonts w:ascii="Arial" w:eastAsia="Times New Roman" w:hAnsi="Arial" w:cs="Arial"/>
          <w:spacing w:val="2"/>
          <w:sz w:val="20"/>
          <w:szCs w:val="20"/>
          <w:lang w:eastAsia="es-ES"/>
        </w:rPr>
      </w:pPr>
      <w:r w:rsidRPr="00A16A47">
        <w:rPr>
          <w:rFonts w:ascii="Arial" w:eastAsia="Times New Roman" w:hAnsi="Arial" w:cs="Arial"/>
          <w:bCs/>
          <w:spacing w:val="2"/>
          <w:sz w:val="20"/>
          <w:szCs w:val="20"/>
          <w:lang w:val="es-ES" w:eastAsia="es-ES"/>
        </w:rPr>
        <w:t>Demandado:</w:t>
      </w:r>
      <w:r w:rsidRPr="00A16A47">
        <w:rPr>
          <w:rFonts w:ascii="Arial" w:eastAsia="Times New Roman" w:hAnsi="Arial" w:cs="Arial"/>
          <w:spacing w:val="2"/>
          <w:sz w:val="20"/>
          <w:szCs w:val="20"/>
          <w:lang w:val="es-ES" w:eastAsia="es-ES"/>
        </w:rPr>
        <w:t>              </w:t>
      </w:r>
      <w:r w:rsidRPr="00A16A47">
        <w:rPr>
          <w:rFonts w:ascii="Arial" w:eastAsia="Times New Roman" w:hAnsi="Arial" w:cs="Arial"/>
          <w:spacing w:val="2"/>
          <w:sz w:val="20"/>
          <w:szCs w:val="20"/>
          <w:lang w:val="es-ES" w:eastAsia="es-ES"/>
        </w:rPr>
        <w:tab/>
        <w:t>Colpensiones y otros</w:t>
      </w:r>
      <w:r w:rsidRPr="00A16A47">
        <w:rPr>
          <w:rFonts w:ascii="Arial" w:eastAsia="Times New Roman" w:hAnsi="Arial" w:cs="Arial"/>
          <w:spacing w:val="2"/>
          <w:sz w:val="20"/>
          <w:szCs w:val="20"/>
          <w:lang w:eastAsia="es-ES"/>
        </w:rPr>
        <w:t> </w:t>
      </w:r>
    </w:p>
    <w:p w:rsidR="00677F0A" w:rsidRPr="00A16A47" w:rsidRDefault="00677F0A" w:rsidP="00677F0A">
      <w:pPr>
        <w:pStyle w:val="Textoindependiente"/>
        <w:spacing w:line="240" w:lineRule="auto"/>
        <w:rPr>
          <w:rFonts w:eastAsia="Arial" w:cs="Arial"/>
          <w:sz w:val="18"/>
          <w:szCs w:val="18"/>
        </w:rPr>
      </w:pPr>
      <w:r w:rsidRPr="00A16A47">
        <w:rPr>
          <w:rFonts w:eastAsia="Arial" w:cs="Arial"/>
          <w:sz w:val="20"/>
          <w:lang w:val="es-ES"/>
        </w:rPr>
        <w:t>Tema:</w:t>
      </w:r>
      <w:r>
        <w:rPr>
          <w:rFonts w:eastAsia="Arial" w:cs="Arial"/>
          <w:sz w:val="20"/>
          <w:lang w:val="es-ES"/>
        </w:rPr>
        <w:tab/>
      </w:r>
      <w:r>
        <w:rPr>
          <w:rFonts w:eastAsia="Arial" w:cs="Arial"/>
          <w:sz w:val="20"/>
          <w:lang w:val="es-ES"/>
        </w:rPr>
        <w:tab/>
      </w:r>
      <w:r>
        <w:rPr>
          <w:rFonts w:eastAsia="Arial" w:cs="Arial"/>
          <w:sz w:val="20"/>
          <w:lang w:val="es-ES"/>
        </w:rPr>
        <w:tab/>
      </w:r>
      <w:r w:rsidRPr="00A16A47">
        <w:rPr>
          <w:rFonts w:eastAsia="Arial" w:cs="Arial"/>
          <w:sz w:val="20"/>
          <w:lang w:val="es-ES"/>
        </w:rPr>
        <w:t>Cumplimiento a exhorto de la Sala de Casación.</w:t>
      </w:r>
    </w:p>
    <w:p w:rsidR="00677F0A" w:rsidRPr="00A16A47" w:rsidRDefault="00677F0A" w:rsidP="00677F0A">
      <w:pPr>
        <w:keepNext/>
        <w:spacing w:after="0" w:line="240" w:lineRule="auto"/>
        <w:jc w:val="both"/>
        <w:outlineLvl w:val="2"/>
        <w:rPr>
          <w:rFonts w:ascii="Arial" w:eastAsia="Times New Roman" w:hAnsi="Arial" w:cs="Arial"/>
          <w:sz w:val="24"/>
          <w:szCs w:val="24"/>
          <w:lang w:val="es-ES_tradnl" w:eastAsia="es-ES"/>
        </w:rPr>
      </w:pPr>
    </w:p>
    <w:p w:rsidR="00677F0A" w:rsidRPr="00A16A47" w:rsidRDefault="00677F0A" w:rsidP="00677F0A">
      <w:pPr>
        <w:keepNext/>
        <w:spacing w:after="0" w:line="240" w:lineRule="auto"/>
        <w:jc w:val="both"/>
        <w:outlineLvl w:val="2"/>
        <w:rPr>
          <w:rFonts w:ascii="Arial" w:eastAsia="Times New Roman" w:hAnsi="Arial" w:cs="Arial"/>
          <w:sz w:val="24"/>
          <w:szCs w:val="24"/>
          <w:lang w:val="es-ES_tradnl" w:eastAsia="es-ES"/>
        </w:rPr>
      </w:pPr>
    </w:p>
    <w:p w:rsidR="00677F0A" w:rsidRPr="00A16A47" w:rsidRDefault="00677F0A" w:rsidP="00677F0A">
      <w:pPr>
        <w:keepNext/>
        <w:spacing w:after="0" w:line="240" w:lineRule="auto"/>
        <w:jc w:val="both"/>
        <w:outlineLvl w:val="2"/>
        <w:rPr>
          <w:rFonts w:ascii="Arial" w:eastAsia="Times New Roman" w:hAnsi="Arial" w:cs="Arial"/>
          <w:sz w:val="24"/>
          <w:szCs w:val="24"/>
          <w:lang w:val="es-ES_tradnl" w:eastAsia="es-ES"/>
        </w:rPr>
      </w:pPr>
    </w:p>
    <w:p w:rsidR="00C17951" w:rsidRPr="00376A35" w:rsidRDefault="00C17951" w:rsidP="00C17951">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C17951" w:rsidRPr="00376A35" w:rsidRDefault="00C17951" w:rsidP="00C17951">
      <w:pPr>
        <w:spacing w:after="0" w:line="240" w:lineRule="auto"/>
        <w:jc w:val="center"/>
        <w:rPr>
          <w:rFonts w:ascii="Arial" w:hAnsi="Arial" w:cs="Arial"/>
          <w:sz w:val="24"/>
          <w:szCs w:val="24"/>
        </w:rPr>
      </w:pPr>
    </w:p>
    <w:p w:rsidR="00C17951" w:rsidRPr="00376A35" w:rsidRDefault="00C17951" w:rsidP="00C17951">
      <w:pPr>
        <w:spacing w:after="0" w:line="240" w:lineRule="auto"/>
        <w:jc w:val="center"/>
        <w:rPr>
          <w:rFonts w:ascii="Arial" w:hAnsi="Arial" w:cs="Arial"/>
          <w:b/>
          <w:sz w:val="24"/>
          <w:szCs w:val="24"/>
        </w:rPr>
      </w:pPr>
      <w:r w:rsidRPr="00376A35">
        <w:rPr>
          <w:rFonts w:ascii="Arial" w:hAnsi="Arial" w:cs="Arial"/>
          <w:b/>
          <w:sz w:val="24"/>
          <w:szCs w:val="24"/>
        </w:rPr>
        <w:t>SALA LABORAL</w:t>
      </w:r>
    </w:p>
    <w:p w:rsidR="00C17951" w:rsidRPr="00376A35" w:rsidRDefault="00C17951" w:rsidP="00C17951">
      <w:pPr>
        <w:spacing w:after="0" w:line="240" w:lineRule="auto"/>
        <w:jc w:val="center"/>
        <w:rPr>
          <w:rFonts w:ascii="Arial" w:eastAsia="Times New Roman" w:hAnsi="Arial" w:cs="Arial"/>
          <w:sz w:val="24"/>
          <w:szCs w:val="24"/>
          <w:lang w:val="es-ES_tradnl" w:eastAsia="es-ES"/>
        </w:rPr>
      </w:pPr>
    </w:p>
    <w:p w:rsidR="00C17951" w:rsidRDefault="00677F0A" w:rsidP="00C1795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5</w:t>
      </w:r>
      <w:r w:rsidR="00C17951" w:rsidRPr="00DE51B1">
        <w:rPr>
          <w:rFonts w:ascii="Arial" w:eastAsia="Times New Roman" w:hAnsi="Arial" w:cs="Arial"/>
          <w:bCs/>
          <w:sz w:val="24"/>
          <w:szCs w:val="24"/>
          <w:lang w:val="es-ES" w:eastAsia="es-ES"/>
        </w:rPr>
        <w:t xml:space="preserve"> de 2021</w:t>
      </w:r>
    </w:p>
    <w:p w:rsidR="00C17951" w:rsidRPr="00376A35" w:rsidRDefault="00C17951" w:rsidP="00C17951">
      <w:pPr>
        <w:spacing w:after="0" w:line="240" w:lineRule="auto"/>
        <w:jc w:val="center"/>
        <w:rPr>
          <w:rFonts w:ascii="Arial" w:eastAsia="Times New Roman" w:hAnsi="Arial" w:cs="Arial"/>
          <w:sz w:val="24"/>
          <w:szCs w:val="24"/>
          <w:lang w:val="es-ES_tradnl" w:eastAsia="es-ES"/>
        </w:rPr>
      </w:pPr>
    </w:p>
    <w:p w:rsidR="00C17951" w:rsidRPr="00376A35" w:rsidRDefault="00C17951" w:rsidP="00C17951">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C17951" w:rsidRPr="00376A35" w:rsidRDefault="00C17951" w:rsidP="00C17951">
      <w:pPr>
        <w:spacing w:after="0" w:line="240" w:lineRule="auto"/>
        <w:jc w:val="center"/>
        <w:rPr>
          <w:rFonts w:ascii="Arial" w:eastAsia="Times New Roman" w:hAnsi="Arial" w:cs="Arial"/>
          <w:sz w:val="24"/>
          <w:szCs w:val="24"/>
          <w:lang w:val="es-ES_tradnl" w:eastAsia="es-ES"/>
        </w:rPr>
      </w:pPr>
    </w:p>
    <w:p w:rsidR="00C17951" w:rsidRPr="00376A35" w:rsidRDefault="00C17951" w:rsidP="00C17951">
      <w:pPr>
        <w:spacing w:after="0" w:line="240" w:lineRule="auto"/>
        <w:jc w:val="center"/>
        <w:rPr>
          <w:rFonts w:ascii="Arial" w:eastAsia="Times New Roman" w:hAnsi="Arial" w:cs="Arial"/>
          <w:sz w:val="24"/>
          <w:szCs w:val="24"/>
          <w:lang w:val="es-ES_tradnl" w:eastAsia="es-ES"/>
        </w:rPr>
      </w:pPr>
    </w:p>
    <w:p w:rsidR="00C17951" w:rsidRPr="00376A35" w:rsidRDefault="00C17951" w:rsidP="00C17951">
      <w:pPr>
        <w:spacing w:after="0" w:line="240" w:lineRule="auto"/>
        <w:jc w:val="center"/>
        <w:rPr>
          <w:rFonts w:ascii="Arial" w:eastAsia="Times New Roman" w:hAnsi="Arial" w:cs="Arial"/>
          <w:sz w:val="24"/>
          <w:szCs w:val="24"/>
          <w:lang w:val="es-ES_tradnl" w:eastAsia="es-ES"/>
        </w:rPr>
      </w:pPr>
    </w:p>
    <w:p w:rsidR="00C17951" w:rsidRPr="00376A35" w:rsidRDefault="00C17951" w:rsidP="00C17951">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C17951" w:rsidRPr="00376A35" w:rsidRDefault="00C17951" w:rsidP="00C17951">
      <w:pPr>
        <w:spacing w:after="0" w:line="240" w:lineRule="auto"/>
        <w:jc w:val="center"/>
        <w:rPr>
          <w:rFonts w:ascii="Arial" w:eastAsia="Times New Roman" w:hAnsi="Arial" w:cs="Arial"/>
          <w:sz w:val="24"/>
          <w:szCs w:val="24"/>
          <w:u w:val="single"/>
          <w:lang w:val="es-ES_tradnl" w:eastAsia="es-ES"/>
        </w:rPr>
      </w:pPr>
    </w:p>
    <w:p w:rsidR="00C17951" w:rsidRPr="00376A35" w:rsidRDefault="00C17951" w:rsidP="00C17951">
      <w:pPr>
        <w:spacing w:after="0" w:line="240" w:lineRule="auto"/>
        <w:jc w:val="center"/>
        <w:rPr>
          <w:rFonts w:ascii="Arial" w:eastAsia="Times New Roman" w:hAnsi="Arial" w:cs="Arial"/>
          <w:sz w:val="24"/>
          <w:szCs w:val="24"/>
          <w:u w:val="single"/>
          <w:lang w:val="es-ES_tradnl" w:eastAsia="es-ES"/>
        </w:rPr>
      </w:pPr>
    </w:p>
    <w:p w:rsidR="00C17951" w:rsidRPr="00376A35" w:rsidRDefault="00C17951" w:rsidP="00C17951">
      <w:pPr>
        <w:spacing w:after="0" w:line="240" w:lineRule="auto"/>
        <w:jc w:val="center"/>
        <w:rPr>
          <w:rFonts w:ascii="Arial" w:eastAsia="Times New Roman" w:hAnsi="Arial" w:cs="Arial"/>
          <w:sz w:val="24"/>
          <w:szCs w:val="24"/>
          <w:u w:val="single"/>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C17951" w:rsidRPr="00376A35" w:rsidRDefault="00C17951" w:rsidP="00C17951">
      <w:pPr>
        <w:spacing w:after="0"/>
        <w:jc w:val="both"/>
        <w:rPr>
          <w:rFonts w:ascii="Arial" w:eastAsia="Times New Roman" w:hAnsi="Arial" w:cs="Arial"/>
          <w:sz w:val="24"/>
          <w:szCs w:val="24"/>
          <w:lang w:val="es-ES"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sidRPr="00376A35">
        <w:rPr>
          <w:rFonts w:ascii="Arial" w:eastAsia="Times New Roman" w:hAnsi="Arial" w:cs="Arial"/>
          <w:szCs w:val="24"/>
          <w:lang w:val="es-ES" w:eastAsia="es-ES"/>
        </w:rPr>
        <w:t>”</w:t>
      </w:r>
      <w:bookmarkEnd w:id="6"/>
    </w:p>
    <w:p w:rsidR="00C17951" w:rsidRPr="00376A35" w:rsidRDefault="00C17951" w:rsidP="00C17951">
      <w:pPr>
        <w:suppressAutoHyphens/>
        <w:spacing w:after="0" w:line="240" w:lineRule="auto"/>
        <w:ind w:left="426" w:right="420"/>
        <w:jc w:val="both"/>
        <w:rPr>
          <w:rFonts w:ascii="Arial" w:eastAsia="Times New Roman" w:hAnsi="Arial" w:cs="Arial"/>
          <w:szCs w:val="24"/>
          <w:lang w:val="es-ES" w:eastAsia="es-ES"/>
        </w:rPr>
      </w:pPr>
    </w:p>
    <w:p w:rsidR="00C17951" w:rsidRPr="00376A35" w:rsidRDefault="00C17951" w:rsidP="00C1795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17951" w:rsidRPr="00376A35" w:rsidRDefault="00C17951" w:rsidP="00C17951">
      <w:pPr>
        <w:suppressAutoHyphens/>
        <w:spacing w:after="0"/>
        <w:jc w:val="both"/>
        <w:rPr>
          <w:rFonts w:ascii="Arial" w:eastAsia="Times New Roman" w:hAnsi="Arial" w:cs="Arial"/>
          <w:b/>
          <w:sz w:val="24"/>
          <w:szCs w:val="24"/>
          <w:lang w:val="es-ES_tradnl" w:eastAsia="es-ES"/>
        </w:rPr>
      </w:pPr>
    </w:p>
    <w:p w:rsidR="00C17951" w:rsidRPr="00376A35" w:rsidRDefault="00C17951" w:rsidP="00C1795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17951" w:rsidRPr="00376A35" w:rsidRDefault="00C17951" w:rsidP="00C17951">
      <w:pPr>
        <w:suppressAutoHyphens/>
        <w:spacing w:after="0"/>
        <w:ind w:left="720"/>
        <w:jc w:val="both"/>
        <w:rPr>
          <w:rFonts w:ascii="Arial" w:eastAsia="Times New Roman" w:hAnsi="Arial" w:cs="Arial"/>
          <w:iCs/>
          <w:sz w:val="24"/>
          <w:szCs w:val="24"/>
          <w:lang w:val="es-ES_tradnl" w:eastAsia="es-ES"/>
        </w:rPr>
      </w:pPr>
    </w:p>
    <w:p w:rsidR="00C17951" w:rsidRPr="00376A35" w:rsidRDefault="00C17951" w:rsidP="00C1795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C17951" w:rsidRPr="00376A35" w:rsidRDefault="00C17951" w:rsidP="00C17951">
      <w:pPr>
        <w:suppressAutoHyphens/>
        <w:spacing w:after="0"/>
        <w:jc w:val="both"/>
        <w:rPr>
          <w:rFonts w:ascii="Arial" w:eastAsia="Times New Roman" w:hAnsi="Arial" w:cs="Arial"/>
          <w:i/>
          <w:iCs/>
          <w:sz w:val="24"/>
          <w:szCs w:val="24"/>
          <w:lang w:val="es-ES_tradnl" w:eastAsia="es-ES"/>
        </w:rPr>
      </w:pPr>
    </w:p>
    <w:p w:rsidR="00C17951" w:rsidRPr="00376A35" w:rsidRDefault="00C17951" w:rsidP="00C1795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17951" w:rsidRPr="00376A35" w:rsidRDefault="00C17951" w:rsidP="00C17951">
      <w:pPr>
        <w:suppressAutoHyphens/>
        <w:spacing w:after="0"/>
        <w:jc w:val="both"/>
        <w:rPr>
          <w:rFonts w:ascii="Arial" w:eastAsia="Times New Roman" w:hAnsi="Arial" w:cs="Arial"/>
          <w:i/>
          <w:iCs/>
          <w:sz w:val="24"/>
          <w:szCs w:val="24"/>
          <w:lang w:val="es-ES_tradnl" w:eastAsia="es-ES"/>
        </w:rPr>
      </w:pPr>
    </w:p>
    <w:p w:rsidR="00C17951" w:rsidRPr="00376A35" w:rsidRDefault="00C17951" w:rsidP="00C1795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17951" w:rsidRPr="00376A35" w:rsidRDefault="00C17951" w:rsidP="00C17951">
      <w:pPr>
        <w:suppressAutoHyphens/>
        <w:spacing w:after="0"/>
        <w:jc w:val="both"/>
        <w:rPr>
          <w:rFonts w:ascii="Arial" w:eastAsia="Times New Roman" w:hAnsi="Arial" w:cs="Arial"/>
          <w:i/>
          <w:iCs/>
          <w:sz w:val="24"/>
          <w:szCs w:val="24"/>
          <w:lang w:val="es-ES_tradnl" w:eastAsia="es-ES"/>
        </w:rPr>
      </w:pPr>
    </w:p>
    <w:p w:rsidR="00C17951" w:rsidRPr="00376A35" w:rsidRDefault="00C17951" w:rsidP="00C17951">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C17951" w:rsidRPr="00376A35" w:rsidRDefault="00C17951" w:rsidP="00C17951">
      <w:pPr>
        <w:suppressAutoHyphens/>
        <w:spacing w:after="0"/>
        <w:jc w:val="both"/>
        <w:rPr>
          <w:rFonts w:ascii="Arial" w:eastAsia="Times New Roman" w:hAnsi="Arial" w:cs="Arial"/>
          <w:sz w:val="24"/>
          <w:szCs w:val="24"/>
          <w:lang w:val="es-ES" w:eastAsia="es-ES"/>
        </w:rPr>
      </w:pPr>
    </w:p>
    <w:p w:rsidR="00C17951" w:rsidRPr="00376A35" w:rsidRDefault="00C17951" w:rsidP="00C1795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C17951" w:rsidRPr="00376A35" w:rsidRDefault="00C17951" w:rsidP="00C17951">
      <w:pPr>
        <w:suppressAutoHyphens/>
        <w:spacing w:after="0"/>
        <w:jc w:val="both"/>
        <w:rPr>
          <w:rFonts w:ascii="Arial" w:eastAsia="Times New Roman" w:hAnsi="Arial" w:cs="Arial"/>
          <w:b/>
          <w:sz w:val="24"/>
          <w:szCs w:val="24"/>
          <w:lang w:val="es-ES" w:eastAsia="es-ES"/>
        </w:rPr>
      </w:pP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17951" w:rsidRPr="00376A35" w:rsidRDefault="00C17951" w:rsidP="00C17951">
      <w:pPr>
        <w:suppressAutoHyphens/>
        <w:spacing w:after="0"/>
        <w:jc w:val="both"/>
        <w:rPr>
          <w:rFonts w:ascii="Arial" w:eastAsia="Times New Roman" w:hAnsi="Arial" w:cs="Arial"/>
          <w:sz w:val="24"/>
          <w:szCs w:val="24"/>
          <w:lang w:val="es-ES" w:eastAsia="es-ES"/>
        </w:rPr>
      </w:pPr>
    </w:p>
    <w:p w:rsidR="00C17951" w:rsidRPr="00376A35" w:rsidRDefault="00C17951" w:rsidP="00C1795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17951" w:rsidRPr="00376A35" w:rsidRDefault="00C17951" w:rsidP="00C17951">
      <w:pPr>
        <w:suppressAutoHyphens/>
        <w:spacing w:after="0"/>
        <w:ind w:left="360"/>
        <w:jc w:val="both"/>
        <w:rPr>
          <w:rFonts w:ascii="Arial" w:eastAsia="Times New Roman" w:hAnsi="Arial" w:cs="Arial"/>
          <w:sz w:val="24"/>
          <w:szCs w:val="24"/>
          <w:lang w:val="es-ES_tradnl" w:eastAsia="es-ES"/>
        </w:rPr>
      </w:pPr>
    </w:p>
    <w:p w:rsidR="00C17951" w:rsidRPr="00376A35" w:rsidRDefault="00C17951" w:rsidP="00C1795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C17951" w:rsidRPr="00376A35" w:rsidRDefault="00C17951" w:rsidP="00C17951">
      <w:pPr>
        <w:suppressAutoHyphens/>
        <w:spacing w:after="0"/>
        <w:ind w:left="360"/>
        <w:jc w:val="both"/>
        <w:rPr>
          <w:rFonts w:ascii="Arial" w:eastAsia="Times New Roman" w:hAnsi="Arial" w:cs="Arial"/>
          <w:b/>
          <w:bCs/>
          <w:sz w:val="24"/>
          <w:szCs w:val="24"/>
          <w:lang w:val="es-ES" w:eastAsia="es-ES"/>
        </w:rPr>
      </w:pPr>
    </w:p>
    <w:p w:rsidR="00C17951" w:rsidRPr="00376A35" w:rsidRDefault="00C17951" w:rsidP="00C1795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C17951" w:rsidRPr="00376A35" w:rsidRDefault="00C17951" w:rsidP="00C17951">
      <w:pPr>
        <w:suppressAutoHyphens/>
        <w:spacing w:after="0"/>
        <w:ind w:left="360"/>
        <w:jc w:val="both"/>
        <w:rPr>
          <w:rFonts w:ascii="Arial" w:eastAsia="Times New Roman" w:hAnsi="Arial" w:cs="Arial"/>
          <w:b/>
          <w:bCs/>
          <w:sz w:val="24"/>
          <w:szCs w:val="24"/>
          <w:lang w:val="es-ES" w:eastAsia="es-ES"/>
        </w:rPr>
      </w:pPr>
    </w:p>
    <w:p w:rsidR="00C17951" w:rsidRPr="00376A35" w:rsidRDefault="00C17951" w:rsidP="00C1795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C17951" w:rsidRPr="00376A35" w:rsidRDefault="00C17951" w:rsidP="00C17951">
      <w:pPr>
        <w:suppressAutoHyphens/>
        <w:spacing w:after="0"/>
        <w:ind w:left="360"/>
        <w:jc w:val="both"/>
        <w:rPr>
          <w:rFonts w:ascii="Arial" w:eastAsia="Times New Roman" w:hAnsi="Arial" w:cs="Arial"/>
          <w:b/>
          <w:bCs/>
          <w:sz w:val="24"/>
          <w:szCs w:val="24"/>
          <w:lang w:val="es-ES" w:eastAsia="es-ES"/>
        </w:rPr>
      </w:pPr>
    </w:p>
    <w:p w:rsidR="00C17951" w:rsidRPr="00376A35" w:rsidRDefault="00C17951" w:rsidP="00C1795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17951" w:rsidRDefault="00C17951" w:rsidP="00C17951">
      <w:pPr>
        <w:suppressAutoHyphens/>
        <w:spacing w:after="0"/>
        <w:jc w:val="both"/>
        <w:rPr>
          <w:rFonts w:ascii="Arial" w:eastAsia="Times New Roman" w:hAnsi="Arial" w:cs="Arial"/>
          <w:sz w:val="24"/>
          <w:szCs w:val="24"/>
          <w:lang w:val="es-ES" w:eastAsia="es-ES"/>
        </w:rPr>
      </w:pPr>
    </w:p>
    <w:p w:rsidR="00C17951" w:rsidRPr="00376A35" w:rsidRDefault="00C17951" w:rsidP="00C17951">
      <w:pPr>
        <w:suppressAutoHyphens/>
        <w:spacing w:after="0"/>
        <w:jc w:val="both"/>
        <w:rPr>
          <w:rFonts w:ascii="Arial" w:eastAsia="Times New Roman" w:hAnsi="Arial" w:cs="Arial"/>
          <w:sz w:val="24"/>
          <w:szCs w:val="24"/>
          <w:lang w:val="es-ES"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17951" w:rsidRPr="00376A35" w:rsidRDefault="00C17951" w:rsidP="00C17951">
      <w:pPr>
        <w:suppressAutoHyphens/>
        <w:spacing w:after="0"/>
        <w:jc w:val="both"/>
        <w:rPr>
          <w:rFonts w:ascii="Arial" w:eastAsia="Times New Roman" w:hAnsi="Arial" w:cs="Arial"/>
          <w:b/>
          <w:sz w:val="24"/>
          <w:szCs w:val="24"/>
          <w:lang w:val="es-ES_tradnl" w:eastAsia="es-ES"/>
        </w:rPr>
      </w:pPr>
    </w:p>
    <w:p w:rsidR="00C17951" w:rsidRPr="00376A35" w:rsidRDefault="00C17951" w:rsidP="00C1795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17951" w:rsidRPr="00376A35" w:rsidRDefault="00C17951" w:rsidP="00C17951">
      <w:pPr>
        <w:suppressAutoHyphens/>
        <w:spacing w:after="0"/>
        <w:jc w:val="both"/>
        <w:rPr>
          <w:rFonts w:ascii="Arial" w:eastAsia="Times New Roman" w:hAnsi="Arial" w:cs="Arial"/>
          <w:b/>
          <w:bCs/>
          <w:sz w:val="24"/>
          <w:szCs w:val="24"/>
          <w:lang w:val="es-ES" w:eastAsia="es-ES"/>
        </w:rPr>
      </w:pPr>
    </w:p>
    <w:p w:rsidR="00C17951" w:rsidRPr="00376A35" w:rsidRDefault="00C17951" w:rsidP="00C1795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17951" w:rsidRPr="00376A35" w:rsidRDefault="00C17951" w:rsidP="00C17951">
      <w:pPr>
        <w:suppressAutoHyphens/>
        <w:spacing w:after="0"/>
        <w:jc w:val="both"/>
        <w:rPr>
          <w:rFonts w:ascii="Arial" w:eastAsia="Times New Roman" w:hAnsi="Arial" w:cs="Arial"/>
          <w:b/>
          <w:bCs/>
          <w:sz w:val="24"/>
          <w:szCs w:val="24"/>
          <w:lang w:val="es-ES" w:eastAsia="es-ES"/>
        </w:rPr>
      </w:pP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C17951" w:rsidRPr="00376A35" w:rsidRDefault="00C17951" w:rsidP="00C17951">
      <w:pPr>
        <w:suppressAutoHyphens/>
        <w:spacing w:after="0" w:line="240" w:lineRule="auto"/>
        <w:ind w:left="426" w:right="420"/>
        <w:jc w:val="both"/>
        <w:rPr>
          <w:rFonts w:ascii="Arial" w:eastAsia="Times New Roman" w:hAnsi="Arial" w:cs="Arial"/>
          <w:szCs w:val="24"/>
          <w:lang w:val="es-ES_tradnl" w:eastAsia="es-ES"/>
        </w:rPr>
      </w:pPr>
    </w:p>
    <w:p w:rsidR="00C17951" w:rsidRPr="00376A35" w:rsidRDefault="00C17951" w:rsidP="00C17951">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C17951" w:rsidRPr="00376A35" w:rsidRDefault="00C17951" w:rsidP="00C17951">
      <w:pPr>
        <w:suppressAutoHyphens/>
        <w:spacing w:after="0"/>
        <w:jc w:val="both"/>
        <w:rPr>
          <w:rFonts w:ascii="Arial" w:eastAsia="Times New Roman" w:hAnsi="Arial" w:cs="Arial"/>
          <w:b/>
          <w:bCs/>
          <w:sz w:val="24"/>
          <w:szCs w:val="24"/>
          <w:lang w:val="es-ES" w:eastAsia="es-ES"/>
        </w:rPr>
      </w:pP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C17951" w:rsidRPr="00376A35" w:rsidRDefault="00C17951" w:rsidP="00C17951">
      <w:pPr>
        <w:suppressAutoHyphens/>
        <w:spacing w:after="0"/>
        <w:jc w:val="both"/>
        <w:rPr>
          <w:rFonts w:ascii="Arial" w:eastAsia="Times New Roman" w:hAnsi="Arial" w:cs="Arial"/>
          <w:b/>
          <w:iCs/>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17951" w:rsidRPr="00376A35" w:rsidRDefault="00C17951" w:rsidP="00C17951">
      <w:pPr>
        <w:suppressAutoHyphens/>
        <w:spacing w:after="0"/>
        <w:jc w:val="both"/>
        <w:rPr>
          <w:rFonts w:ascii="Arial" w:eastAsia="Times New Roman" w:hAnsi="Arial" w:cs="Arial"/>
          <w:b/>
          <w:iCs/>
          <w:sz w:val="24"/>
          <w:szCs w:val="24"/>
          <w:lang w:val="es-ES_tradnl" w:eastAsia="es-ES"/>
        </w:rPr>
      </w:pPr>
    </w:p>
    <w:p w:rsidR="00C17951" w:rsidRPr="00376A35" w:rsidRDefault="00C17951" w:rsidP="00C1795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C17951" w:rsidRPr="00376A35" w:rsidRDefault="00C17951" w:rsidP="00C1795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C17951" w:rsidRPr="00376A35" w:rsidRDefault="00C17951" w:rsidP="00C1795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17951" w:rsidRPr="00376A35" w:rsidRDefault="00C17951" w:rsidP="00C1795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C17951" w:rsidRPr="00376A35" w:rsidRDefault="00C17951" w:rsidP="00C17951">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C17951" w:rsidRPr="00376A35" w:rsidRDefault="00C17951" w:rsidP="00C17951">
      <w:pPr>
        <w:suppressAutoHyphens/>
        <w:spacing w:after="0"/>
        <w:jc w:val="both"/>
        <w:rPr>
          <w:rFonts w:ascii="Arial" w:eastAsia="Times New Roman" w:hAnsi="Arial" w:cs="Arial"/>
          <w:b/>
          <w:iCs/>
          <w:sz w:val="24"/>
          <w:szCs w:val="24"/>
          <w:lang w:val="es-ES_tradnl" w:eastAsia="es-ES"/>
        </w:rPr>
      </w:pPr>
    </w:p>
    <w:p w:rsidR="00C17951" w:rsidRPr="00376A35" w:rsidRDefault="00C17951" w:rsidP="00C17951">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C17951" w:rsidRPr="00376A35" w:rsidRDefault="00C17951" w:rsidP="00C17951">
      <w:pPr>
        <w:suppressAutoHyphens/>
        <w:spacing w:after="0"/>
        <w:jc w:val="both"/>
        <w:rPr>
          <w:rFonts w:ascii="Arial" w:eastAsia="Times New Roman" w:hAnsi="Arial" w:cs="Arial"/>
          <w:b/>
          <w:iCs/>
          <w:sz w:val="24"/>
          <w:szCs w:val="24"/>
          <w:lang w:eastAsia="es-ES"/>
        </w:rPr>
      </w:pPr>
    </w:p>
    <w:p w:rsidR="00C17951" w:rsidRPr="00376A35" w:rsidRDefault="00C17951" w:rsidP="00C1795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17951" w:rsidRPr="00376A35" w:rsidRDefault="00C17951" w:rsidP="00C17951">
      <w:pPr>
        <w:suppressAutoHyphens/>
        <w:spacing w:after="0"/>
        <w:jc w:val="both"/>
        <w:rPr>
          <w:rFonts w:ascii="Arial" w:eastAsia="Times New Roman" w:hAnsi="Arial" w:cs="Arial"/>
          <w:sz w:val="24"/>
          <w:szCs w:val="24"/>
          <w:lang w:val="es-ES_tradnl" w:eastAsia="es-ES"/>
        </w:rPr>
      </w:pPr>
    </w:p>
    <w:p w:rsidR="00C17951" w:rsidRPr="00376A35" w:rsidRDefault="00C17951" w:rsidP="00C17951">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C17951" w:rsidRPr="00376A35" w:rsidRDefault="00C17951" w:rsidP="00C17951">
      <w:pPr>
        <w:spacing w:after="0"/>
        <w:jc w:val="both"/>
        <w:rPr>
          <w:rFonts w:ascii="Arial" w:hAnsi="Arial" w:cs="Arial"/>
          <w:sz w:val="24"/>
          <w:szCs w:val="24"/>
        </w:rPr>
      </w:pPr>
    </w:p>
    <w:p w:rsidR="00C17951" w:rsidRPr="00376A35" w:rsidRDefault="00C17951" w:rsidP="00C17951">
      <w:pPr>
        <w:spacing w:after="0"/>
        <w:jc w:val="both"/>
        <w:rPr>
          <w:rFonts w:ascii="Arial" w:eastAsia="Times New Roman" w:hAnsi="Arial" w:cs="Arial"/>
          <w:sz w:val="24"/>
          <w:szCs w:val="24"/>
        </w:rPr>
      </w:pPr>
    </w:p>
    <w:p w:rsidR="00C17951" w:rsidRPr="00376A35" w:rsidRDefault="00C17951" w:rsidP="00C17951">
      <w:pPr>
        <w:spacing w:after="0"/>
        <w:jc w:val="both"/>
        <w:rPr>
          <w:rFonts w:ascii="Arial" w:eastAsia="Times New Roman" w:hAnsi="Arial" w:cs="Arial"/>
          <w:sz w:val="24"/>
          <w:szCs w:val="24"/>
        </w:rPr>
      </w:pPr>
    </w:p>
    <w:p w:rsidR="00C17951" w:rsidRPr="00376A35" w:rsidRDefault="00C17951" w:rsidP="00C17951">
      <w:pPr>
        <w:spacing w:after="0"/>
        <w:jc w:val="both"/>
        <w:rPr>
          <w:rFonts w:ascii="Arial" w:eastAsia="Times New Roman" w:hAnsi="Arial" w:cs="Arial"/>
          <w:sz w:val="24"/>
          <w:szCs w:val="24"/>
        </w:rPr>
      </w:pPr>
    </w:p>
    <w:p w:rsidR="00C17951" w:rsidRPr="00376A35" w:rsidRDefault="00C17951" w:rsidP="00C17951">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1B6394" w:rsidRPr="00C17951" w:rsidRDefault="00C17951" w:rsidP="00C17951">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1B6394" w:rsidRPr="00C17951" w:rsidSect="00095DA5">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E7A71D" w16cex:dateUtc="2021-10-22T17:52:54.302Z"/>
  <w16cex:commentExtensible w16cex:durableId="7A13CA43" w16cex:dateUtc="2021-10-29T20:09:03.5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30" w:rsidRDefault="003A6930" w:rsidP="00073783">
      <w:pPr>
        <w:spacing w:after="0" w:line="240" w:lineRule="auto"/>
      </w:pPr>
      <w:r>
        <w:separator/>
      </w:r>
    </w:p>
  </w:endnote>
  <w:endnote w:type="continuationSeparator" w:id="0">
    <w:p w:rsidR="003A6930" w:rsidRDefault="003A6930" w:rsidP="0007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1453DB" w:rsidRDefault="00073783" w:rsidP="003D69A3">
    <w:pPr>
      <w:pStyle w:val="Encabezado"/>
      <w:jc w:val="right"/>
      <w:rPr>
        <w:rFonts w:ascii="Arial" w:hAnsi="Arial" w:cs="Arial"/>
        <w:sz w:val="18"/>
        <w:szCs w:val="20"/>
      </w:rPr>
    </w:pPr>
    <w:r w:rsidRPr="001453DB">
      <w:rPr>
        <w:rFonts w:ascii="Arial" w:hAnsi="Arial" w:cs="Arial"/>
        <w:sz w:val="18"/>
        <w:szCs w:val="20"/>
      </w:rPr>
      <w:fldChar w:fldCharType="begin"/>
    </w:r>
    <w:r w:rsidR="0098589C" w:rsidRPr="001453DB">
      <w:rPr>
        <w:rFonts w:ascii="Arial" w:hAnsi="Arial" w:cs="Arial"/>
        <w:sz w:val="18"/>
        <w:szCs w:val="20"/>
      </w:rPr>
      <w:instrText>PAGE   \* MERGEFORMAT</w:instrText>
    </w:r>
    <w:r w:rsidRPr="001453DB">
      <w:rPr>
        <w:rFonts w:ascii="Arial" w:hAnsi="Arial" w:cs="Arial"/>
        <w:sz w:val="18"/>
        <w:szCs w:val="20"/>
      </w:rPr>
      <w:fldChar w:fldCharType="separate"/>
    </w:r>
    <w:r w:rsidR="00795E8C" w:rsidRPr="001453DB">
      <w:rPr>
        <w:rFonts w:ascii="Arial" w:hAnsi="Arial" w:cs="Arial"/>
        <w:noProof/>
        <w:sz w:val="18"/>
        <w:szCs w:val="20"/>
        <w:lang w:val="es-ES"/>
      </w:rPr>
      <w:t>27</w:t>
    </w:r>
    <w:r w:rsidRPr="001453DB">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7F" w:rsidRPr="003D69A3" w:rsidRDefault="006F047F" w:rsidP="003D69A3">
    <w:pPr>
      <w:pStyle w:val="Piedepgina"/>
      <w:spacing w:after="0"/>
      <w:rPr>
        <w:rStyle w:val="normaltextrun"/>
        <w:rFonts w:ascii="Arial" w:hAnsi="Arial" w:cs="Arial"/>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30" w:rsidRDefault="003A6930" w:rsidP="00073783">
      <w:pPr>
        <w:spacing w:after="0" w:line="240" w:lineRule="auto"/>
      </w:pPr>
      <w:r>
        <w:separator/>
      </w:r>
    </w:p>
  </w:footnote>
  <w:footnote w:type="continuationSeparator" w:id="0">
    <w:p w:rsidR="003A6930" w:rsidRDefault="003A6930" w:rsidP="0007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A3" w:rsidRPr="003D69A3" w:rsidRDefault="006F047F" w:rsidP="003D69A3">
    <w:pPr>
      <w:pStyle w:val="Encabezado"/>
      <w:jc w:val="center"/>
      <w:rPr>
        <w:rStyle w:val="normaltextrun"/>
        <w:rFonts w:ascii="Arial" w:hAnsi="Arial" w:cs="Arial"/>
        <w:sz w:val="18"/>
        <w:szCs w:val="16"/>
      </w:rPr>
    </w:pPr>
    <w:r w:rsidRPr="003D69A3">
      <w:rPr>
        <w:rStyle w:val="normaltextrun"/>
        <w:rFonts w:ascii="Arial" w:hAnsi="Arial" w:cs="Arial"/>
        <w:sz w:val="18"/>
        <w:szCs w:val="16"/>
      </w:rPr>
      <w:t>Celsa Julia Hernández Ruiz Vs Colpensiones y otras</w:t>
    </w:r>
  </w:p>
  <w:p w:rsidR="006F047F" w:rsidRPr="003D69A3" w:rsidRDefault="006F047F" w:rsidP="003D69A3">
    <w:pPr>
      <w:pStyle w:val="Encabezado"/>
      <w:jc w:val="center"/>
      <w:rPr>
        <w:sz w:val="24"/>
      </w:rPr>
    </w:pPr>
    <w:r w:rsidRPr="003D69A3">
      <w:rPr>
        <w:rStyle w:val="normaltextrun"/>
        <w:rFonts w:ascii="Arial" w:hAnsi="Arial" w:cs="Arial"/>
        <w:sz w:val="18"/>
        <w:szCs w:val="16"/>
      </w:rPr>
      <w:t>Rda. 66001310500520160076301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5A9"/>
    <w:rsid w:val="00073783"/>
    <w:rsid w:val="00077904"/>
    <w:rsid w:val="00095DA5"/>
    <w:rsid w:val="000D234A"/>
    <w:rsid w:val="001453DB"/>
    <w:rsid w:val="001B6394"/>
    <w:rsid w:val="002A77D0"/>
    <w:rsid w:val="0032297F"/>
    <w:rsid w:val="003757C4"/>
    <w:rsid w:val="003835A9"/>
    <w:rsid w:val="003A6930"/>
    <w:rsid w:val="003A6B38"/>
    <w:rsid w:val="003D69A3"/>
    <w:rsid w:val="003F45B8"/>
    <w:rsid w:val="00452F97"/>
    <w:rsid w:val="004825B1"/>
    <w:rsid w:val="004C731E"/>
    <w:rsid w:val="00677F0A"/>
    <w:rsid w:val="006F047F"/>
    <w:rsid w:val="006F3EA3"/>
    <w:rsid w:val="006F4DAB"/>
    <w:rsid w:val="00705815"/>
    <w:rsid w:val="00795E8C"/>
    <w:rsid w:val="007F2308"/>
    <w:rsid w:val="0098589C"/>
    <w:rsid w:val="00A30184"/>
    <w:rsid w:val="00A64F26"/>
    <w:rsid w:val="00C1451B"/>
    <w:rsid w:val="00C17951"/>
    <w:rsid w:val="00C219C7"/>
    <w:rsid w:val="00C23237"/>
    <w:rsid w:val="00C62CD7"/>
    <w:rsid w:val="00D94887"/>
    <w:rsid w:val="00E21A0E"/>
    <w:rsid w:val="00E479C8"/>
    <w:rsid w:val="00E9647E"/>
    <w:rsid w:val="00EF2970"/>
    <w:rsid w:val="00F05D77"/>
    <w:rsid w:val="3E9878F4"/>
    <w:rsid w:val="45CD21EE"/>
    <w:rsid w:val="53843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5A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835A9"/>
    <w:pPr>
      <w:tabs>
        <w:tab w:val="center" w:pos="4419"/>
        <w:tab w:val="right" w:pos="8838"/>
      </w:tabs>
    </w:pPr>
  </w:style>
  <w:style w:type="character" w:customStyle="1" w:styleId="PiedepginaCar">
    <w:name w:val="Pie de página Car"/>
    <w:basedOn w:val="Fuentedeprrafopredeter"/>
    <w:link w:val="Piedepgina"/>
    <w:uiPriority w:val="99"/>
    <w:rsid w:val="003835A9"/>
    <w:rPr>
      <w:rFonts w:ascii="Calibri" w:eastAsia="Calibri" w:hAnsi="Calibri" w:cs="Times New Roman"/>
    </w:rPr>
  </w:style>
  <w:style w:type="paragraph" w:customStyle="1" w:styleId="paragraph">
    <w:name w:val="paragraph"/>
    <w:basedOn w:val="Normal"/>
    <w:rsid w:val="003835A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835A9"/>
  </w:style>
  <w:style w:type="character" w:customStyle="1" w:styleId="eop">
    <w:name w:val="eop"/>
    <w:rsid w:val="003835A9"/>
  </w:style>
  <w:style w:type="paragraph" w:styleId="Textocomentario">
    <w:name w:val="annotation text"/>
    <w:basedOn w:val="Normal"/>
    <w:link w:val="TextocomentarioCar"/>
    <w:uiPriority w:val="99"/>
    <w:semiHidden/>
    <w:unhideWhenUsed/>
    <w:rsid w:val="000737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78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73783"/>
    <w:rPr>
      <w:sz w:val="16"/>
      <w:szCs w:val="16"/>
    </w:rPr>
  </w:style>
  <w:style w:type="paragraph" w:styleId="Textodeglobo">
    <w:name w:val="Balloon Text"/>
    <w:basedOn w:val="Normal"/>
    <w:link w:val="TextodegloboCar"/>
    <w:uiPriority w:val="99"/>
    <w:semiHidden/>
    <w:unhideWhenUsed/>
    <w:rsid w:val="00E964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47E"/>
    <w:rPr>
      <w:rFonts w:ascii="Tahoma" w:eastAsia="Calibri" w:hAnsi="Tahoma" w:cs="Tahoma"/>
      <w:sz w:val="16"/>
      <w:szCs w:val="16"/>
    </w:rPr>
  </w:style>
  <w:style w:type="paragraph" w:styleId="Encabezado">
    <w:name w:val="header"/>
    <w:basedOn w:val="Normal"/>
    <w:link w:val="EncabezadoCar"/>
    <w:uiPriority w:val="99"/>
    <w:unhideWhenUsed/>
    <w:rsid w:val="006F04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047F"/>
    <w:rPr>
      <w:rFonts w:ascii="Calibri" w:eastAsia="Calibri" w:hAnsi="Calibri" w:cs="Times New Roman"/>
    </w:rPr>
  </w:style>
  <w:style w:type="paragraph" w:styleId="Textoindependiente">
    <w:name w:val="Body Text"/>
    <w:basedOn w:val="Normal"/>
    <w:link w:val="TextoindependienteCar"/>
    <w:rsid w:val="00C1795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C17951"/>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398a48c1f01a4cd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E1948-5A46-4D6B-8BC5-A80B7CE0B4E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F1751201-1267-4F2A-ACC1-8BBEF959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22C8-991B-4A03-8360-BB0DA5E17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12183</Words>
  <Characters>67010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2021-10-19T12:51:00Z</dcterms:created>
  <dcterms:modified xsi:type="dcterms:W3CDTF">2022-01-05T15:33:00Z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