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E40F8" w14:textId="77777777" w:rsidR="007B60CD" w:rsidRPr="007B60CD" w:rsidRDefault="007B60CD" w:rsidP="007B60C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7B60C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3F2A15" w14:textId="77777777" w:rsidR="007B60CD" w:rsidRPr="007B60CD" w:rsidRDefault="007B60CD" w:rsidP="007B60CD">
      <w:pPr>
        <w:jc w:val="both"/>
        <w:rPr>
          <w:rFonts w:ascii="Arial" w:hAnsi="Arial" w:cs="Arial"/>
          <w:sz w:val="20"/>
          <w:szCs w:val="20"/>
          <w:lang w:val="es-419"/>
        </w:rPr>
      </w:pPr>
    </w:p>
    <w:p w14:paraId="162B5294" w14:textId="280667B1" w:rsidR="004B5227" w:rsidRPr="004B5227" w:rsidRDefault="004B5227" w:rsidP="004B5227">
      <w:pPr>
        <w:jc w:val="both"/>
        <w:rPr>
          <w:rFonts w:ascii="Arial" w:hAnsi="Arial" w:cs="Arial"/>
          <w:sz w:val="20"/>
          <w:szCs w:val="20"/>
          <w:lang w:val="es-419"/>
        </w:rPr>
      </w:pPr>
      <w:r w:rsidRPr="004B5227">
        <w:rPr>
          <w:rFonts w:ascii="Arial" w:hAnsi="Arial" w:cs="Arial"/>
          <w:sz w:val="20"/>
          <w:szCs w:val="20"/>
          <w:lang w:val="es-419"/>
        </w:rPr>
        <w:t>Rad</w:t>
      </w:r>
      <w:r>
        <w:rPr>
          <w:rFonts w:ascii="Arial" w:hAnsi="Arial" w:cs="Arial"/>
          <w:sz w:val="20"/>
          <w:szCs w:val="20"/>
          <w:lang w:val="es-419"/>
        </w:rPr>
        <w:t>.</w:t>
      </w:r>
      <w:r w:rsidRPr="004B5227">
        <w:rPr>
          <w:rFonts w:ascii="Arial" w:hAnsi="Arial" w:cs="Arial"/>
          <w:sz w:val="20"/>
          <w:szCs w:val="20"/>
          <w:lang w:val="es-419"/>
        </w:rPr>
        <w:t xml:space="preserve"> No.</w:t>
      </w:r>
      <w:r w:rsidRPr="004B5227">
        <w:rPr>
          <w:rFonts w:ascii="Arial" w:hAnsi="Arial" w:cs="Arial"/>
          <w:sz w:val="20"/>
          <w:szCs w:val="20"/>
          <w:lang w:val="es-419"/>
        </w:rPr>
        <w:tab/>
        <w:t>66170310300120210010001</w:t>
      </w:r>
    </w:p>
    <w:p w14:paraId="170BA660" w14:textId="6EBEC7DD" w:rsidR="004B5227" w:rsidRPr="004B5227" w:rsidRDefault="004B5227" w:rsidP="004B5227">
      <w:pPr>
        <w:jc w:val="both"/>
        <w:rPr>
          <w:rFonts w:ascii="Arial" w:hAnsi="Arial" w:cs="Arial"/>
          <w:sz w:val="20"/>
          <w:szCs w:val="20"/>
          <w:lang w:val="es-419"/>
        </w:rPr>
      </w:pPr>
      <w:r w:rsidRPr="004B5227">
        <w:rPr>
          <w:rFonts w:ascii="Arial" w:hAnsi="Arial" w:cs="Arial"/>
          <w:sz w:val="20"/>
          <w:szCs w:val="20"/>
          <w:lang w:val="es-419"/>
        </w:rPr>
        <w:t>Proviene:</w:t>
      </w:r>
      <w:r w:rsidRPr="004B5227">
        <w:rPr>
          <w:rFonts w:ascii="Arial" w:hAnsi="Arial" w:cs="Arial"/>
          <w:sz w:val="20"/>
          <w:szCs w:val="20"/>
          <w:lang w:val="es-419"/>
        </w:rPr>
        <w:tab/>
        <w:t>Juzgado Civil del Circuito de Dosquebradas</w:t>
      </w:r>
    </w:p>
    <w:p w14:paraId="34FA639A" w14:textId="6C59D818" w:rsidR="004B5227" w:rsidRPr="004B5227" w:rsidRDefault="004B5227" w:rsidP="004B5227">
      <w:pPr>
        <w:jc w:val="both"/>
        <w:rPr>
          <w:rFonts w:ascii="Arial" w:hAnsi="Arial" w:cs="Arial"/>
          <w:sz w:val="20"/>
          <w:szCs w:val="20"/>
          <w:lang w:val="es-419"/>
        </w:rPr>
      </w:pPr>
      <w:r w:rsidRPr="004B5227">
        <w:rPr>
          <w:rFonts w:ascii="Arial" w:hAnsi="Arial" w:cs="Arial"/>
          <w:sz w:val="20"/>
          <w:szCs w:val="20"/>
          <w:lang w:val="es-419"/>
        </w:rPr>
        <w:t>Asunto:</w:t>
      </w:r>
      <w:r>
        <w:rPr>
          <w:rFonts w:ascii="Arial" w:hAnsi="Arial" w:cs="Arial"/>
          <w:sz w:val="20"/>
          <w:szCs w:val="20"/>
          <w:lang w:val="es-419"/>
        </w:rPr>
        <w:tab/>
      </w:r>
      <w:r w:rsidRPr="004B5227">
        <w:rPr>
          <w:rFonts w:ascii="Arial" w:hAnsi="Arial" w:cs="Arial"/>
          <w:sz w:val="20"/>
          <w:szCs w:val="20"/>
          <w:lang w:val="es-419"/>
        </w:rPr>
        <w:tab/>
        <w:t xml:space="preserve">Impugnación de actos de asamblea </w:t>
      </w:r>
    </w:p>
    <w:p w14:paraId="04CBE3AA" w14:textId="4DC3FB57" w:rsidR="004B5227" w:rsidRPr="004B5227" w:rsidRDefault="004B5227" w:rsidP="004B5227">
      <w:pPr>
        <w:jc w:val="both"/>
        <w:rPr>
          <w:rFonts w:ascii="Arial" w:hAnsi="Arial" w:cs="Arial"/>
          <w:sz w:val="20"/>
          <w:szCs w:val="20"/>
          <w:lang w:val="es-419"/>
        </w:rPr>
      </w:pPr>
      <w:r w:rsidRPr="004B5227">
        <w:rPr>
          <w:rFonts w:ascii="Arial" w:hAnsi="Arial" w:cs="Arial"/>
          <w:sz w:val="20"/>
          <w:szCs w:val="20"/>
          <w:lang w:val="es-419"/>
        </w:rPr>
        <w:t>Demandante:</w:t>
      </w:r>
      <w:r w:rsidRPr="004B5227">
        <w:rPr>
          <w:rFonts w:ascii="Arial" w:hAnsi="Arial" w:cs="Arial"/>
          <w:sz w:val="20"/>
          <w:szCs w:val="20"/>
          <w:lang w:val="es-419"/>
        </w:rPr>
        <w:tab/>
        <w:t xml:space="preserve">Construcciones SFC y Asociados S.A </w:t>
      </w:r>
    </w:p>
    <w:p w14:paraId="303E461D" w14:textId="728E24B9" w:rsidR="007B60CD" w:rsidRPr="007B60CD" w:rsidRDefault="004B5227" w:rsidP="004B5227">
      <w:pPr>
        <w:jc w:val="both"/>
        <w:rPr>
          <w:rFonts w:ascii="Arial" w:hAnsi="Arial" w:cs="Arial"/>
          <w:sz w:val="20"/>
          <w:szCs w:val="20"/>
          <w:lang w:val="es-419"/>
        </w:rPr>
      </w:pPr>
      <w:r w:rsidRPr="004B5227">
        <w:rPr>
          <w:rFonts w:ascii="Arial" w:hAnsi="Arial" w:cs="Arial"/>
          <w:sz w:val="20"/>
          <w:szCs w:val="20"/>
          <w:lang w:val="es-419"/>
        </w:rPr>
        <w:t>Demandado:</w:t>
      </w:r>
      <w:r w:rsidRPr="004B5227">
        <w:rPr>
          <w:rFonts w:ascii="Arial" w:hAnsi="Arial" w:cs="Arial"/>
          <w:sz w:val="20"/>
          <w:szCs w:val="20"/>
          <w:lang w:val="es-419"/>
        </w:rPr>
        <w:tab/>
        <w:t>Acqua Gran Parque Residencial P.H.</w:t>
      </w:r>
    </w:p>
    <w:p w14:paraId="6014A23F" w14:textId="77777777" w:rsidR="007B60CD" w:rsidRPr="007B60CD" w:rsidRDefault="007B60CD" w:rsidP="007B60CD">
      <w:pPr>
        <w:jc w:val="both"/>
        <w:rPr>
          <w:rFonts w:ascii="Arial" w:hAnsi="Arial" w:cs="Arial"/>
          <w:sz w:val="20"/>
          <w:szCs w:val="20"/>
          <w:lang w:val="es-419"/>
        </w:rPr>
      </w:pPr>
    </w:p>
    <w:p w14:paraId="12A13151" w14:textId="682BDA17" w:rsidR="007B60CD" w:rsidRPr="007B60CD" w:rsidRDefault="00DF39F3" w:rsidP="007B60CD">
      <w:pPr>
        <w:jc w:val="both"/>
        <w:rPr>
          <w:rFonts w:ascii="Arial" w:hAnsi="Arial" w:cs="Arial"/>
          <w:b/>
          <w:bCs/>
          <w:iCs/>
          <w:sz w:val="20"/>
          <w:szCs w:val="20"/>
          <w:lang w:val="es-419" w:eastAsia="fr-FR"/>
        </w:rPr>
      </w:pPr>
      <w:bookmarkStart w:id="2" w:name="_GoBack"/>
      <w:r w:rsidRPr="007B60CD">
        <w:rPr>
          <w:rFonts w:ascii="Arial" w:hAnsi="Arial" w:cs="Arial"/>
          <w:b/>
          <w:bCs/>
          <w:iCs/>
          <w:sz w:val="20"/>
          <w:szCs w:val="20"/>
          <w:u w:val="single"/>
          <w:lang w:val="es-419" w:eastAsia="fr-FR"/>
        </w:rPr>
        <w:t>TEMAS:</w:t>
      </w:r>
      <w:r w:rsidRPr="007B60CD">
        <w:rPr>
          <w:rFonts w:ascii="Arial" w:hAnsi="Arial" w:cs="Arial"/>
          <w:b/>
          <w:bCs/>
          <w:iCs/>
          <w:sz w:val="20"/>
          <w:szCs w:val="20"/>
          <w:lang w:val="es-419" w:eastAsia="fr-FR"/>
        </w:rPr>
        <w:tab/>
      </w:r>
      <w:r w:rsidRPr="007B60CD">
        <w:rPr>
          <w:rFonts w:ascii="Arial" w:hAnsi="Arial" w:cs="Arial"/>
          <w:b/>
          <w:sz w:val="20"/>
          <w:szCs w:val="20"/>
          <w:lang w:val="es-419"/>
        </w:rPr>
        <w:t>R</w:t>
      </w:r>
      <w:r>
        <w:rPr>
          <w:rFonts w:ascii="Arial" w:hAnsi="Arial" w:cs="Arial"/>
          <w:b/>
          <w:sz w:val="20"/>
          <w:szCs w:val="20"/>
          <w:lang w:val="es-419"/>
        </w:rPr>
        <w:t>ECURSO DE QUEJA / SUSTENTACIÓN / DEBE CENTRARSE EN LOS MOTIVOS QUE SUSTENTARON LA DENEGACIÓN DEL RECURSO DE APELACIÓN / Y NO EN LA DEFENSA DE LA DECISIÓN APELADA / IMPUGNACIÓN ACTOS DE ASAMBLEA / SUSPENSIÓN PROVISIONAL.</w:t>
      </w:r>
    </w:p>
    <w:bookmarkEnd w:id="2"/>
    <w:p w14:paraId="4CEDAF84" w14:textId="77777777" w:rsidR="007B60CD" w:rsidRPr="007B60CD" w:rsidRDefault="007B60CD" w:rsidP="007B60CD">
      <w:pPr>
        <w:jc w:val="both"/>
        <w:rPr>
          <w:rFonts w:ascii="Arial" w:hAnsi="Arial" w:cs="Arial"/>
          <w:sz w:val="20"/>
          <w:szCs w:val="20"/>
          <w:lang w:val="es-419"/>
        </w:rPr>
      </w:pPr>
    </w:p>
    <w:p w14:paraId="195D070E" w14:textId="1600160D" w:rsidR="00F045D3" w:rsidRPr="00F045D3" w:rsidRDefault="00DB5191" w:rsidP="00F045D3">
      <w:pPr>
        <w:jc w:val="both"/>
        <w:rPr>
          <w:rFonts w:ascii="Arial" w:hAnsi="Arial" w:cs="Arial"/>
          <w:sz w:val="20"/>
          <w:szCs w:val="20"/>
          <w:lang w:val="es-419"/>
        </w:rPr>
      </w:pPr>
      <w:r>
        <w:rPr>
          <w:rFonts w:ascii="Arial" w:hAnsi="Arial" w:cs="Arial"/>
          <w:sz w:val="20"/>
          <w:szCs w:val="20"/>
          <w:lang w:val="es-419"/>
        </w:rPr>
        <w:t xml:space="preserve">… </w:t>
      </w:r>
      <w:r w:rsidR="00F045D3" w:rsidRPr="00F045D3">
        <w:rPr>
          <w:rFonts w:ascii="Arial" w:hAnsi="Arial" w:cs="Arial"/>
          <w:sz w:val="20"/>
          <w:szCs w:val="20"/>
          <w:lang w:val="es-419"/>
        </w:rPr>
        <w:t>reliévese que el trasfondo del recurso de queja es ajeno al contexto de la decisión principal de que se pretende apelar; ello conlleva que, al menos para el caso concreto, son ajenas las consideraciones del despacho a quo para no conceder la suspensión provisional del acto de asamblea atacado en la demanda, y las razones por las que la parte demandante considera se erró en esa decisión.</w:t>
      </w:r>
    </w:p>
    <w:p w14:paraId="20E45431" w14:textId="77777777" w:rsidR="00F045D3" w:rsidRPr="00F045D3" w:rsidRDefault="00F045D3" w:rsidP="00F045D3">
      <w:pPr>
        <w:jc w:val="both"/>
        <w:rPr>
          <w:rFonts w:ascii="Arial" w:hAnsi="Arial" w:cs="Arial"/>
          <w:sz w:val="20"/>
          <w:szCs w:val="20"/>
          <w:lang w:val="es-419"/>
        </w:rPr>
      </w:pPr>
    </w:p>
    <w:p w14:paraId="5573328B" w14:textId="58FEFEE8" w:rsidR="007B60CD" w:rsidRPr="007B60CD" w:rsidRDefault="00F045D3" w:rsidP="00F045D3">
      <w:pPr>
        <w:jc w:val="both"/>
        <w:rPr>
          <w:rFonts w:ascii="Arial" w:hAnsi="Arial" w:cs="Arial"/>
          <w:sz w:val="20"/>
          <w:szCs w:val="20"/>
          <w:lang w:val="es-419"/>
        </w:rPr>
      </w:pPr>
      <w:r w:rsidRPr="00F045D3">
        <w:rPr>
          <w:rFonts w:ascii="Arial" w:hAnsi="Arial" w:cs="Arial"/>
          <w:sz w:val="20"/>
          <w:szCs w:val="20"/>
          <w:lang w:val="es-419"/>
        </w:rPr>
        <w:t>Claramente se concluye del art. 352 del C.G.P. que su propósito es reprochar la decisión de no conceder el recurso de apelación frente a determinada providencia. En ese sentido, el marco de la sustentación de la queja es determinar las razones por la cuales, contrario a lo que consideró el juzgador, sí procede el remedio vertical, nada más.</w:t>
      </w:r>
      <w:r w:rsidR="00DB5191">
        <w:rPr>
          <w:rFonts w:ascii="Arial" w:hAnsi="Arial" w:cs="Arial"/>
          <w:sz w:val="20"/>
          <w:szCs w:val="20"/>
          <w:lang w:val="es-419"/>
        </w:rPr>
        <w:t xml:space="preserve"> (…)</w:t>
      </w:r>
    </w:p>
    <w:p w14:paraId="3F66E54C" w14:textId="77777777" w:rsidR="007B60CD" w:rsidRPr="007B60CD" w:rsidRDefault="007B60CD" w:rsidP="007B60CD">
      <w:pPr>
        <w:jc w:val="both"/>
        <w:rPr>
          <w:rFonts w:ascii="Arial" w:hAnsi="Arial" w:cs="Arial"/>
          <w:sz w:val="20"/>
          <w:szCs w:val="20"/>
          <w:lang w:val="es-419"/>
        </w:rPr>
      </w:pPr>
    </w:p>
    <w:p w14:paraId="6977768A" w14:textId="714B84DA" w:rsidR="007B60CD" w:rsidRPr="007B60CD" w:rsidRDefault="00AB7137" w:rsidP="007B60CD">
      <w:pPr>
        <w:jc w:val="both"/>
        <w:rPr>
          <w:rFonts w:ascii="Arial" w:hAnsi="Arial" w:cs="Arial"/>
          <w:sz w:val="20"/>
          <w:szCs w:val="20"/>
          <w:lang w:val="es-419"/>
        </w:rPr>
      </w:pPr>
      <w:r w:rsidRPr="00AB7137">
        <w:rPr>
          <w:rFonts w:ascii="Arial" w:hAnsi="Arial" w:cs="Arial"/>
          <w:sz w:val="20"/>
          <w:szCs w:val="20"/>
          <w:lang w:val="es-419"/>
        </w:rPr>
        <w:t>El escrito de opugnación que nos compele se contiene en el archivo 015 de primera instancia; del que, aunque extenso, más allá de invocar el recurso de queja, de él no puede extraerse argumento alguno que cumpla las expectativas antes señaladas. Por el contrario, todo el esfuerzo lo centró el recurrente en exponer los motivos por los cuales, a su juicio, debió decretarse la suspensión del acto de asamblea, y que no hacerlo implica incurrir en defectos procedimentales, pero en ningún recodo se detuvo a enseñar porque, contrario a lo que sostuvo el a quo, el auto que negó esa determinación sí era apelable.</w:t>
      </w:r>
    </w:p>
    <w:p w14:paraId="04C711C0" w14:textId="77777777" w:rsidR="007B60CD" w:rsidRPr="007B60CD" w:rsidRDefault="007B60CD" w:rsidP="007B60CD">
      <w:pPr>
        <w:jc w:val="both"/>
        <w:rPr>
          <w:rFonts w:ascii="Arial" w:hAnsi="Arial" w:cs="Arial"/>
          <w:sz w:val="20"/>
          <w:szCs w:val="20"/>
          <w:lang w:val="es-ES"/>
        </w:rPr>
      </w:pPr>
    </w:p>
    <w:p w14:paraId="64009B6F" w14:textId="77777777" w:rsidR="007B60CD" w:rsidRPr="007B60CD" w:rsidRDefault="007B60CD" w:rsidP="007B60CD">
      <w:pPr>
        <w:jc w:val="both"/>
        <w:rPr>
          <w:rFonts w:ascii="Arial" w:hAnsi="Arial" w:cs="Arial"/>
          <w:sz w:val="20"/>
          <w:szCs w:val="20"/>
          <w:lang w:val="es-ES"/>
        </w:rPr>
      </w:pPr>
    </w:p>
    <w:p w14:paraId="0657E35E" w14:textId="77777777" w:rsidR="007B60CD" w:rsidRPr="007B60CD" w:rsidRDefault="007B60CD" w:rsidP="007B60CD">
      <w:pPr>
        <w:jc w:val="both"/>
        <w:rPr>
          <w:rFonts w:ascii="Arial" w:hAnsi="Arial" w:cs="Arial"/>
          <w:sz w:val="20"/>
          <w:szCs w:val="20"/>
          <w:lang w:val="es-ES"/>
        </w:rPr>
      </w:pPr>
    </w:p>
    <w:bookmarkEnd w:id="0"/>
    <w:bookmarkEnd w:id="1"/>
    <w:p w14:paraId="3C598812" w14:textId="77777777" w:rsidR="00BD15C3" w:rsidRPr="0011025B" w:rsidRDefault="00BD15C3" w:rsidP="002F51A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11025B">
        <w:rPr>
          <w:rFonts w:ascii="Arial Narrow" w:hAnsi="Arial Narrow" w:cs="Arial Narrow"/>
          <w:b/>
          <w:bCs/>
          <w:sz w:val="26"/>
          <w:szCs w:val="26"/>
        </w:rPr>
        <w:t>REPÚBLICA DE COLOMBIA</w:t>
      </w:r>
    </w:p>
    <w:p w14:paraId="31290B54" w14:textId="01B3050B" w:rsidR="00BD15C3" w:rsidRPr="0011025B" w:rsidRDefault="002E70B2" w:rsidP="002F51A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11025B">
        <w:rPr>
          <w:rFonts w:ascii="Arial Narrow" w:hAnsi="Arial Narrow"/>
          <w:noProof/>
          <w:sz w:val="26"/>
          <w:szCs w:val="26"/>
        </w:rPr>
        <w:drawing>
          <wp:inline distT="0" distB="0" distL="0" distR="0" wp14:anchorId="3B7652DB" wp14:editId="733CAAC6">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0EA45489" w14:textId="76CE2688" w:rsidR="009B11B7" w:rsidRPr="0011025B" w:rsidRDefault="00BD15C3" w:rsidP="002F51A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11025B">
        <w:rPr>
          <w:rFonts w:ascii="Arial Narrow" w:hAnsi="Arial Narrow" w:cs="Arial Narrow"/>
          <w:b/>
          <w:bCs/>
          <w:sz w:val="26"/>
          <w:szCs w:val="26"/>
        </w:rPr>
        <w:t xml:space="preserve">TRIBUNAL SUPERIOR DEL DISTRITO JUDICIAL </w:t>
      </w:r>
    </w:p>
    <w:p w14:paraId="5DA91E26" w14:textId="1BE237EA" w:rsidR="002E70B2" w:rsidRPr="0011025B" w:rsidRDefault="005F3BBD" w:rsidP="002F51A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11025B">
        <w:rPr>
          <w:rFonts w:ascii="Arial Narrow" w:hAnsi="Arial Narrow" w:cs="Arial Narrow"/>
          <w:b/>
          <w:bCs/>
          <w:sz w:val="26"/>
          <w:szCs w:val="26"/>
        </w:rPr>
        <w:t>PEREIRA -</w:t>
      </w:r>
      <w:r w:rsidR="642C49C5" w:rsidRPr="0011025B">
        <w:rPr>
          <w:rFonts w:ascii="Arial Narrow" w:hAnsi="Arial Narrow" w:cs="Arial Narrow"/>
          <w:b/>
          <w:bCs/>
          <w:sz w:val="26"/>
          <w:szCs w:val="26"/>
        </w:rPr>
        <w:t xml:space="preserve"> </w:t>
      </w:r>
      <w:r w:rsidRPr="0011025B">
        <w:rPr>
          <w:rFonts w:ascii="Arial Narrow" w:hAnsi="Arial Narrow" w:cs="Arial Narrow"/>
          <w:b/>
          <w:bCs/>
          <w:sz w:val="26"/>
          <w:szCs w:val="26"/>
        </w:rPr>
        <w:t>RISARALDA</w:t>
      </w:r>
    </w:p>
    <w:p w14:paraId="514BB607" w14:textId="1CFE5CC8" w:rsidR="00BD15C3" w:rsidRPr="0011025B" w:rsidRDefault="00BD15C3" w:rsidP="002F51A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11025B">
        <w:rPr>
          <w:rFonts w:ascii="Arial Narrow" w:hAnsi="Arial Narrow" w:cs="Arial Narrow"/>
          <w:b/>
          <w:bCs/>
          <w:sz w:val="26"/>
          <w:szCs w:val="26"/>
        </w:rPr>
        <w:t>SALA DE DECISIÓN CIVIL</w:t>
      </w:r>
      <w:r w:rsidR="002E70B2" w:rsidRPr="0011025B">
        <w:rPr>
          <w:rFonts w:ascii="Arial Narrow" w:hAnsi="Arial Narrow" w:cs="Arial Narrow"/>
          <w:b/>
          <w:bCs/>
          <w:sz w:val="26"/>
          <w:szCs w:val="26"/>
        </w:rPr>
        <w:t xml:space="preserve"> </w:t>
      </w:r>
      <w:r w:rsidRPr="0011025B">
        <w:rPr>
          <w:rFonts w:ascii="Arial Narrow" w:hAnsi="Arial Narrow" w:cs="Arial Narrow"/>
          <w:b/>
          <w:bCs/>
          <w:sz w:val="26"/>
          <w:szCs w:val="26"/>
        </w:rPr>
        <w:t>–</w:t>
      </w:r>
      <w:r w:rsidR="002E70B2" w:rsidRPr="0011025B">
        <w:rPr>
          <w:rFonts w:ascii="Arial Narrow" w:hAnsi="Arial Narrow" w:cs="Arial Narrow"/>
          <w:b/>
          <w:bCs/>
          <w:sz w:val="26"/>
          <w:szCs w:val="26"/>
        </w:rPr>
        <w:t xml:space="preserve"> </w:t>
      </w:r>
      <w:r w:rsidRPr="0011025B">
        <w:rPr>
          <w:rFonts w:ascii="Arial Narrow" w:hAnsi="Arial Narrow" w:cs="Arial Narrow"/>
          <w:b/>
          <w:bCs/>
          <w:sz w:val="26"/>
          <w:szCs w:val="26"/>
        </w:rPr>
        <w:t>FAMILIA</w:t>
      </w:r>
    </w:p>
    <w:p w14:paraId="60931577" w14:textId="77777777" w:rsidR="00BD15C3" w:rsidRPr="0011025B" w:rsidRDefault="00BD15C3" w:rsidP="002F51AE">
      <w:pPr>
        <w:tabs>
          <w:tab w:val="left" w:pos="-720"/>
        </w:tabs>
        <w:suppressAutoHyphens/>
        <w:spacing w:line="276" w:lineRule="auto"/>
        <w:jc w:val="center"/>
        <w:rPr>
          <w:rFonts w:ascii="Arial Narrow" w:hAnsi="Arial Narrow"/>
          <w:b/>
          <w:bCs/>
          <w:spacing w:val="-3"/>
          <w:sz w:val="26"/>
          <w:szCs w:val="26"/>
        </w:rPr>
      </w:pPr>
    </w:p>
    <w:p w14:paraId="3A3DD761" w14:textId="06926F98" w:rsidR="00AA0DE3" w:rsidRPr="0011025B" w:rsidRDefault="003B695A" w:rsidP="002F51A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2F51AE">
        <w:rPr>
          <w:rFonts w:ascii="Arial Narrow" w:hAnsi="Arial Narrow" w:cs="Arial Narrow"/>
          <w:bCs/>
          <w:sz w:val="26"/>
          <w:szCs w:val="26"/>
        </w:rPr>
        <w:t>Magistrado Sustanciador:</w:t>
      </w:r>
      <w:r w:rsidRPr="0011025B">
        <w:rPr>
          <w:rFonts w:ascii="Arial Narrow" w:hAnsi="Arial Narrow" w:cs="Arial Narrow"/>
          <w:b/>
          <w:bCs/>
          <w:sz w:val="26"/>
          <w:szCs w:val="26"/>
        </w:rPr>
        <w:t xml:space="preserve"> Carlos Mauricio García Barajas</w:t>
      </w:r>
    </w:p>
    <w:p w14:paraId="4E944EBA" w14:textId="77777777" w:rsidR="00AA0DE3" w:rsidRPr="0011025B" w:rsidRDefault="00AA0DE3" w:rsidP="002F51A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color w:val="FF0000"/>
          <w:sz w:val="26"/>
          <w:szCs w:val="26"/>
        </w:rPr>
      </w:pPr>
    </w:p>
    <w:p w14:paraId="124D6CCA" w14:textId="53C0AE00" w:rsidR="00696031" w:rsidRPr="0011025B" w:rsidRDefault="0091798B"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ES"/>
        </w:rPr>
      </w:pPr>
      <w:r w:rsidRPr="0011025B">
        <w:rPr>
          <w:rFonts w:ascii="Arial Narrow" w:hAnsi="Arial Narrow" w:cs="Arial Narrow"/>
          <w:b/>
          <w:bCs/>
          <w:color w:val="auto"/>
          <w:sz w:val="26"/>
          <w:szCs w:val="26"/>
          <w:lang w:val="es-ES"/>
        </w:rPr>
        <w:t>Enero</w:t>
      </w:r>
      <w:r w:rsidR="00696031" w:rsidRPr="0011025B">
        <w:rPr>
          <w:rFonts w:ascii="Arial Narrow" w:hAnsi="Arial Narrow" w:cs="Arial Narrow"/>
          <w:b/>
          <w:bCs/>
          <w:color w:val="auto"/>
          <w:sz w:val="26"/>
          <w:szCs w:val="26"/>
          <w:lang w:val="es-ES"/>
        </w:rPr>
        <w:t xml:space="preserve"> </w:t>
      </w:r>
      <w:r w:rsidR="319B6942" w:rsidRPr="0011025B">
        <w:rPr>
          <w:rFonts w:ascii="Arial Narrow" w:hAnsi="Arial Narrow" w:cs="Arial Narrow"/>
          <w:b/>
          <w:bCs/>
          <w:color w:val="auto"/>
          <w:sz w:val="26"/>
          <w:szCs w:val="26"/>
          <w:lang w:val="es-ES"/>
        </w:rPr>
        <w:t xml:space="preserve">diecinueve </w:t>
      </w:r>
      <w:r w:rsidR="00696031" w:rsidRPr="0011025B">
        <w:rPr>
          <w:rFonts w:ascii="Arial Narrow" w:hAnsi="Arial Narrow" w:cs="Arial Narrow"/>
          <w:b/>
          <w:bCs/>
          <w:color w:val="auto"/>
          <w:sz w:val="26"/>
          <w:szCs w:val="26"/>
          <w:lang w:val="es-ES"/>
        </w:rPr>
        <w:t>(</w:t>
      </w:r>
      <w:r w:rsidR="006571B1" w:rsidRPr="0011025B">
        <w:rPr>
          <w:rFonts w:ascii="Arial Narrow" w:hAnsi="Arial Narrow" w:cs="Arial Narrow"/>
          <w:b/>
          <w:bCs/>
          <w:color w:val="auto"/>
          <w:sz w:val="26"/>
          <w:szCs w:val="26"/>
          <w:lang w:val="es-ES"/>
        </w:rPr>
        <w:t>1</w:t>
      </w:r>
      <w:r w:rsidR="6404CC4A" w:rsidRPr="0011025B">
        <w:rPr>
          <w:rFonts w:ascii="Arial Narrow" w:hAnsi="Arial Narrow" w:cs="Arial Narrow"/>
          <w:b/>
          <w:bCs/>
          <w:color w:val="auto"/>
          <w:sz w:val="26"/>
          <w:szCs w:val="26"/>
          <w:lang w:val="es-ES"/>
        </w:rPr>
        <w:t>9</w:t>
      </w:r>
      <w:r w:rsidR="00696031" w:rsidRPr="0011025B">
        <w:rPr>
          <w:rFonts w:ascii="Arial Narrow" w:hAnsi="Arial Narrow" w:cs="Arial Narrow"/>
          <w:b/>
          <w:bCs/>
          <w:color w:val="auto"/>
          <w:sz w:val="26"/>
          <w:szCs w:val="26"/>
          <w:lang w:val="es-ES"/>
        </w:rPr>
        <w:t>) de dos mil veinti</w:t>
      </w:r>
      <w:r w:rsidRPr="0011025B">
        <w:rPr>
          <w:rFonts w:ascii="Arial Narrow" w:hAnsi="Arial Narrow" w:cs="Arial Narrow"/>
          <w:b/>
          <w:bCs/>
          <w:color w:val="auto"/>
          <w:sz w:val="26"/>
          <w:szCs w:val="26"/>
          <w:lang w:val="es-ES"/>
        </w:rPr>
        <w:t>dós</w:t>
      </w:r>
      <w:r w:rsidR="5C37903A" w:rsidRPr="0011025B">
        <w:rPr>
          <w:rFonts w:ascii="Arial Narrow" w:hAnsi="Arial Narrow" w:cs="Arial Narrow"/>
          <w:b/>
          <w:bCs/>
          <w:color w:val="auto"/>
          <w:sz w:val="26"/>
          <w:szCs w:val="26"/>
          <w:lang w:val="es-ES"/>
        </w:rPr>
        <w:t xml:space="preserve"> </w:t>
      </w:r>
      <w:r w:rsidR="00696031" w:rsidRPr="0011025B">
        <w:rPr>
          <w:rFonts w:ascii="Arial Narrow" w:hAnsi="Arial Narrow" w:cs="Arial Narrow"/>
          <w:b/>
          <w:bCs/>
          <w:color w:val="auto"/>
          <w:sz w:val="26"/>
          <w:szCs w:val="26"/>
          <w:lang w:val="es-ES"/>
        </w:rPr>
        <w:t>(2.02</w:t>
      </w:r>
      <w:r w:rsidRPr="0011025B">
        <w:rPr>
          <w:rFonts w:ascii="Arial Narrow" w:hAnsi="Arial Narrow" w:cs="Arial Narrow"/>
          <w:b/>
          <w:bCs/>
          <w:color w:val="auto"/>
          <w:sz w:val="26"/>
          <w:szCs w:val="26"/>
          <w:lang w:val="es-ES"/>
        </w:rPr>
        <w:t>2</w:t>
      </w:r>
      <w:r w:rsidR="00696031" w:rsidRPr="0011025B">
        <w:rPr>
          <w:rFonts w:ascii="Arial Narrow" w:hAnsi="Arial Narrow" w:cs="Arial Narrow"/>
          <w:b/>
          <w:bCs/>
          <w:color w:val="auto"/>
          <w:sz w:val="26"/>
          <w:szCs w:val="26"/>
          <w:lang w:val="es-ES"/>
        </w:rPr>
        <w:t>)</w:t>
      </w:r>
    </w:p>
    <w:p w14:paraId="3FB51B10" w14:textId="27E34B7D" w:rsidR="00696031" w:rsidRDefault="00696031" w:rsidP="002F51A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p>
    <w:p w14:paraId="55D3BF45" w14:textId="77777777" w:rsidR="002F51AE" w:rsidRPr="0011025B" w:rsidRDefault="002F51AE" w:rsidP="002F51A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p>
    <w:p w14:paraId="7CF976A5" w14:textId="09AB3431" w:rsidR="005F3BBD" w:rsidRDefault="1221D4EC"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11025B">
        <w:rPr>
          <w:rFonts w:ascii="Arial Narrow" w:hAnsi="Arial Narrow" w:cs="Arial Narrow"/>
          <w:color w:val="auto"/>
          <w:sz w:val="26"/>
          <w:szCs w:val="26"/>
          <w:lang w:val="es-CO"/>
        </w:rPr>
        <w:t>Providencia No. AC-0</w:t>
      </w:r>
      <w:r w:rsidR="002F51AE">
        <w:rPr>
          <w:rFonts w:ascii="Arial Narrow" w:hAnsi="Arial Narrow" w:cs="Arial Narrow"/>
          <w:color w:val="auto"/>
          <w:sz w:val="26"/>
          <w:szCs w:val="26"/>
          <w:lang w:val="es-CO"/>
        </w:rPr>
        <w:t>0</w:t>
      </w:r>
      <w:r w:rsidRPr="0011025B">
        <w:rPr>
          <w:rFonts w:ascii="Arial Narrow" w:hAnsi="Arial Narrow" w:cs="Arial Narrow"/>
          <w:color w:val="auto"/>
          <w:sz w:val="26"/>
          <w:szCs w:val="26"/>
          <w:lang w:val="es-CO"/>
        </w:rPr>
        <w:t>08</w:t>
      </w:r>
      <w:r w:rsidR="002F51AE">
        <w:rPr>
          <w:rFonts w:ascii="Arial Narrow" w:hAnsi="Arial Narrow" w:cs="Arial Narrow"/>
          <w:color w:val="auto"/>
          <w:sz w:val="26"/>
          <w:szCs w:val="26"/>
          <w:lang w:val="es-CO"/>
        </w:rPr>
        <w:t>-2022</w:t>
      </w:r>
    </w:p>
    <w:p w14:paraId="2139223D" w14:textId="77777777" w:rsidR="002F51AE" w:rsidRPr="0011025B" w:rsidRDefault="002F51AE"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p>
    <w:p w14:paraId="47CB870C" w14:textId="3F5EF3B7" w:rsidR="004A69B9" w:rsidRPr="0011025B" w:rsidRDefault="004A69B9"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11025B">
        <w:rPr>
          <w:rFonts w:ascii="Arial Narrow" w:hAnsi="Arial Narrow" w:cs="Arial Narrow"/>
          <w:b/>
          <w:bCs/>
          <w:color w:val="auto"/>
          <w:sz w:val="26"/>
          <w:szCs w:val="26"/>
          <w:lang w:val="es-CO"/>
        </w:rPr>
        <w:t>Motivo de la providencia</w:t>
      </w:r>
    </w:p>
    <w:p w14:paraId="74A2B8CB" w14:textId="1ACB2E10" w:rsidR="004A69B9" w:rsidRPr="0011025B" w:rsidRDefault="004A69B9"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7FB2EEC1" w14:textId="2FBFA576" w:rsidR="004A69B9" w:rsidRPr="0011025B" w:rsidRDefault="004A69B9"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11025B">
        <w:rPr>
          <w:rFonts w:ascii="Arial Narrow" w:hAnsi="Arial Narrow" w:cs="Arial Narrow"/>
          <w:color w:val="auto"/>
          <w:sz w:val="26"/>
          <w:szCs w:val="26"/>
          <w:lang w:val="es-CO"/>
        </w:rPr>
        <w:t>Corresponde decidir sobre el recurso de queja impetrado por la parte demandante contra el auto del 26 de julio de 2021 (</w:t>
      </w:r>
      <w:proofErr w:type="spellStart"/>
      <w:r w:rsidRPr="0011025B">
        <w:rPr>
          <w:rFonts w:ascii="Arial Narrow" w:hAnsi="Arial Narrow" w:cs="Arial Narrow"/>
          <w:color w:val="auto"/>
          <w:sz w:val="26"/>
          <w:szCs w:val="26"/>
          <w:lang w:val="es-CO"/>
        </w:rPr>
        <w:t>arch</w:t>
      </w:r>
      <w:proofErr w:type="spellEnd"/>
      <w:r w:rsidRPr="0011025B">
        <w:rPr>
          <w:rFonts w:ascii="Arial Narrow" w:hAnsi="Arial Narrow" w:cs="Arial Narrow"/>
          <w:color w:val="auto"/>
          <w:sz w:val="26"/>
          <w:szCs w:val="26"/>
          <w:lang w:val="es-CO"/>
        </w:rPr>
        <w:t xml:space="preserve">. 10 de primera instancia), en el cual se negó concesión de recurso de apelación. </w:t>
      </w:r>
    </w:p>
    <w:p w14:paraId="76AFB9F3" w14:textId="4E7DA33A" w:rsidR="004A69B9" w:rsidRPr="0011025B" w:rsidRDefault="004A69B9"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4EBBCF7" w14:textId="278F4E3D" w:rsidR="004A69B9" w:rsidRPr="0011025B" w:rsidRDefault="004A69B9"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11025B">
        <w:rPr>
          <w:rFonts w:ascii="Arial Narrow" w:hAnsi="Arial Narrow" w:cs="Arial Narrow"/>
          <w:b/>
          <w:bCs/>
          <w:color w:val="auto"/>
          <w:sz w:val="26"/>
          <w:szCs w:val="26"/>
          <w:lang w:val="es-CO"/>
        </w:rPr>
        <w:t xml:space="preserve">Antecedentes fácticos </w:t>
      </w:r>
    </w:p>
    <w:p w14:paraId="690937E2" w14:textId="77777777" w:rsidR="004A69B9" w:rsidRPr="0011025B" w:rsidRDefault="004A69B9"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37E72B01" w14:textId="00D9AB66" w:rsidR="004A69B9" w:rsidRPr="0011025B" w:rsidRDefault="006571B1"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11025B">
        <w:rPr>
          <w:rFonts w:ascii="Arial Narrow" w:hAnsi="Arial Narrow" w:cs="Arial Narrow"/>
          <w:b/>
          <w:bCs/>
          <w:color w:val="auto"/>
          <w:sz w:val="26"/>
          <w:szCs w:val="26"/>
          <w:lang w:val="es-CO"/>
        </w:rPr>
        <w:t xml:space="preserve">1.- </w:t>
      </w:r>
      <w:r w:rsidR="004A69B9" w:rsidRPr="0011025B">
        <w:rPr>
          <w:rFonts w:ascii="Arial Narrow" w:hAnsi="Arial Narrow" w:cs="Arial Narrow"/>
          <w:color w:val="auto"/>
          <w:sz w:val="26"/>
          <w:szCs w:val="26"/>
          <w:lang w:val="es-CO"/>
        </w:rPr>
        <w:t>Construcciones SFC y Asociados S.A</w:t>
      </w:r>
      <w:r w:rsidR="57748675" w:rsidRPr="0011025B">
        <w:rPr>
          <w:rFonts w:ascii="Arial Narrow" w:hAnsi="Arial Narrow" w:cs="Arial Narrow"/>
          <w:color w:val="auto"/>
          <w:sz w:val="26"/>
          <w:szCs w:val="26"/>
          <w:lang w:val="es-CO"/>
        </w:rPr>
        <w:t xml:space="preserve">. </w:t>
      </w:r>
      <w:r w:rsidR="004A69B9" w:rsidRPr="0011025B">
        <w:rPr>
          <w:rFonts w:ascii="Arial Narrow" w:hAnsi="Arial Narrow" w:cs="Arial Narrow"/>
          <w:color w:val="auto"/>
          <w:sz w:val="26"/>
          <w:szCs w:val="26"/>
          <w:lang w:val="es-CO"/>
        </w:rPr>
        <w:t>radicó demanda de impugnación de acto de asamblea contra Acqua Gran Parque Residencial P.H., donde además solicitó la suspensión provisional de los efectos de aquel (</w:t>
      </w:r>
      <w:proofErr w:type="spellStart"/>
      <w:r w:rsidR="004A69B9" w:rsidRPr="0011025B">
        <w:rPr>
          <w:rFonts w:ascii="Arial Narrow" w:hAnsi="Arial Narrow" w:cs="Arial Narrow"/>
          <w:color w:val="auto"/>
          <w:sz w:val="26"/>
          <w:szCs w:val="26"/>
          <w:lang w:val="es-CO"/>
        </w:rPr>
        <w:t>arch</w:t>
      </w:r>
      <w:proofErr w:type="spellEnd"/>
      <w:r w:rsidR="004A69B9" w:rsidRPr="0011025B">
        <w:rPr>
          <w:rFonts w:ascii="Arial Narrow" w:hAnsi="Arial Narrow" w:cs="Arial Narrow"/>
          <w:color w:val="auto"/>
          <w:sz w:val="26"/>
          <w:szCs w:val="26"/>
          <w:lang w:val="es-CO"/>
        </w:rPr>
        <w:t>. 01 Ib. f. 12, tercera pretensión).</w:t>
      </w:r>
    </w:p>
    <w:p w14:paraId="0063C732" w14:textId="77777777" w:rsidR="004A69B9" w:rsidRPr="0011025B" w:rsidRDefault="004A69B9"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0420A28" w14:textId="5FAE0518" w:rsidR="004A69B9" w:rsidRPr="0011025B" w:rsidRDefault="004A69B9"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1025B">
        <w:rPr>
          <w:rFonts w:ascii="Arial Narrow" w:hAnsi="Arial Narrow" w:cs="Arial Narrow"/>
          <w:b/>
          <w:bCs/>
          <w:color w:val="auto"/>
          <w:sz w:val="26"/>
          <w:szCs w:val="26"/>
          <w:lang w:val="es-CO"/>
        </w:rPr>
        <w:t>2.-</w:t>
      </w:r>
      <w:r w:rsidRPr="0011025B">
        <w:rPr>
          <w:rFonts w:ascii="Arial Narrow" w:hAnsi="Arial Narrow" w:cs="Arial Narrow"/>
          <w:bCs/>
          <w:color w:val="auto"/>
          <w:sz w:val="26"/>
          <w:szCs w:val="26"/>
          <w:lang w:val="es-CO"/>
        </w:rPr>
        <w:t xml:space="preserve"> La demanda fue admitida, al tiempo el despacho se abstuvo de pronunciarse sobre la medida de suspensión provisional al considerar</w:t>
      </w:r>
      <w:r w:rsidR="0091798B" w:rsidRPr="0011025B">
        <w:rPr>
          <w:rFonts w:ascii="Arial Narrow" w:hAnsi="Arial Narrow" w:cs="Arial Narrow"/>
          <w:bCs/>
          <w:color w:val="auto"/>
          <w:sz w:val="26"/>
          <w:szCs w:val="26"/>
          <w:lang w:val="es-CO"/>
        </w:rPr>
        <w:t xml:space="preserve"> </w:t>
      </w:r>
      <w:r w:rsidRPr="0011025B">
        <w:rPr>
          <w:rFonts w:ascii="Arial Narrow" w:hAnsi="Arial Narrow" w:cs="Arial Narrow"/>
          <w:bCs/>
          <w:color w:val="auto"/>
          <w:sz w:val="26"/>
          <w:szCs w:val="26"/>
          <w:lang w:val="es-CO"/>
        </w:rPr>
        <w:t>la falta de fundamentos de la solicitud (</w:t>
      </w:r>
      <w:proofErr w:type="spellStart"/>
      <w:r w:rsidRPr="0011025B">
        <w:rPr>
          <w:rFonts w:ascii="Arial Narrow" w:hAnsi="Arial Narrow" w:cs="Arial Narrow"/>
          <w:bCs/>
          <w:color w:val="auto"/>
          <w:sz w:val="26"/>
          <w:szCs w:val="26"/>
          <w:lang w:val="es-CO"/>
        </w:rPr>
        <w:t>arch</w:t>
      </w:r>
      <w:proofErr w:type="spellEnd"/>
      <w:r w:rsidRPr="0011025B">
        <w:rPr>
          <w:rFonts w:ascii="Arial Narrow" w:hAnsi="Arial Narrow" w:cs="Arial Narrow"/>
          <w:bCs/>
          <w:color w:val="auto"/>
          <w:sz w:val="26"/>
          <w:szCs w:val="26"/>
          <w:lang w:val="es-CO"/>
        </w:rPr>
        <w:t>. 07, Ib.)</w:t>
      </w:r>
      <w:r w:rsidR="0091798B" w:rsidRPr="0011025B">
        <w:rPr>
          <w:rFonts w:ascii="Arial Narrow" w:hAnsi="Arial Narrow" w:cs="Arial Narrow"/>
          <w:bCs/>
          <w:color w:val="auto"/>
          <w:sz w:val="26"/>
          <w:szCs w:val="26"/>
          <w:lang w:val="es-CO"/>
        </w:rPr>
        <w:t>.</w:t>
      </w:r>
    </w:p>
    <w:p w14:paraId="1453BF6A" w14:textId="49F93225" w:rsidR="004A69B9" w:rsidRPr="0011025B" w:rsidRDefault="004A69B9"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1025B">
        <w:rPr>
          <w:rFonts w:ascii="Arial Narrow" w:hAnsi="Arial Narrow" w:cs="Arial Narrow"/>
          <w:bCs/>
          <w:color w:val="auto"/>
          <w:sz w:val="26"/>
          <w:szCs w:val="26"/>
          <w:lang w:val="es-CO"/>
        </w:rPr>
        <w:t xml:space="preserve"> </w:t>
      </w:r>
    </w:p>
    <w:p w14:paraId="6A573E10" w14:textId="77777777" w:rsidR="00542348" w:rsidRPr="0011025B" w:rsidRDefault="004A69B9"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1025B">
        <w:rPr>
          <w:rFonts w:ascii="Arial Narrow" w:hAnsi="Arial Narrow" w:cs="Arial Narrow"/>
          <w:b/>
          <w:bCs/>
          <w:color w:val="auto"/>
          <w:sz w:val="26"/>
          <w:szCs w:val="26"/>
          <w:lang w:val="es-CO"/>
        </w:rPr>
        <w:t xml:space="preserve">3.- </w:t>
      </w:r>
      <w:r w:rsidR="00200168" w:rsidRPr="0011025B">
        <w:rPr>
          <w:rFonts w:ascii="Arial Narrow" w:hAnsi="Arial Narrow" w:cs="Arial Narrow"/>
          <w:bCs/>
          <w:color w:val="auto"/>
          <w:sz w:val="26"/>
          <w:szCs w:val="26"/>
          <w:lang w:val="es-CO"/>
        </w:rPr>
        <w:t>Oportunamente contra esa providencia se propuso recurso de reposición en subsidio apelación</w:t>
      </w:r>
      <w:r w:rsidR="00542348" w:rsidRPr="0011025B">
        <w:rPr>
          <w:rFonts w:ascii="Arial Narrow" w:hAnsi="Arial Narrow" w:cs="Arial Narrow"/>
          <w:bCs/>
          <w:color w:val="auto"/>
          <w:sz w:val="26"/>
          <w:szCs w:val="26"/>
          <w:lang w:val="es-CO"/>
        </w:rPr>
        <w:t>, en lo que respecta a la decisión sobre la medida cautelar (</w:t>
      </w:r>
      <w:proofErr w:type="spellStart"/>
      <w:r w:rsidR="00542348" w:rsidRPr="0011025B">
        <w:rPr>
          <w:rFonts w:ascii="Arial Narrow" w:hAnsi="Arial Narrow" w:cs="Arial Narrow"/>
          <w:bCs/>
          <w:color w:val="auto"/>
          <w:sz w:val="26"/>
          <w:szCs w:val="26"/>
          <w:lang w:val="es-CO"/>
        </w:rPr>
        <w:t>arch</w:t>
      </w:r>
      <w:proofErr w:type="spellEnd"/>
      <w:r w:rsidR="00542348" w:rsidRPr="0011025B">
        <w:rPr>
          <w:rFonts w:ascii="Arial Narrow" w:hAnsi="Arial Narrow" w:cs="Arial Narrow"/>
          <w:bCs/>
          <w:color w:val="auto"/>
          <w:sz w:val="26"/>
          <w:szCs w:val="26"/>
          <w:lang w:val="es-CO"/>
        </w:rPr>
        <w:t>. 08).</w:t>
      </w:r>
    </w:p>
    <w:p w14:paraId="5FD600BB" w14:textId="77777777" w:rsidR="00542348" w:rsidRPr="0011025B" w:rsidRDefault="00542348"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7805A35C" w14:textId="7041E6F3" w:rsidR="004A69B9" w:rsidRPr="0011025B" w:rsidRDefault="00542348"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11025B">
        <w:rPr>
          <w:rFonts w:ascii="Arial Narrow" w:hAnsi="Arial Narrow" w:cs="Arial Narrow"/>
          <w:b/>
          <w:bCs/>
          <w:color w:val="auto"/>
          <w:sz w:val="26"/>
          <w:szCs w:val="26"/>
          <w:lang w:val="es-CO"/>
        </w:rPr>
        <w:t xml:space="preserve">4-.  </w:t>
      </w:r>
      <w:r w:rsidR="00200168" w:rsidRPr="0011025B">
        <w:rPr>
          <w:rFonts w:ascii="Arial Narrow" w:hAnsi="Arial Narrow" w:cs="Arial Narrow"/>
          <w:b/>
          <w:bCs/>
          <w:color w:val="auto"/>
          <w:sz w:val="26"/>
          <w:szCs w:val="26"/>
          <w:lang w:val="es-CO"/>
        </w:rPr>
        <w:t xml:space="preserve"> </w:t>
      </w:r>
      <w:r w:rsidRPr="0011025B">
        <w:rPr>
          <w:rFonts w:ascii="Arial Narrow" w:hAnsi="Arial Narrow" w:cs="Arial Narrow"/>
          <w:color w:val="auto"/>
          <w:sz w:val="26"/>
          <w:szCs w:val="26"/>
          <w:lang w:val="es-CO"/>
        </w:rPr>
        <w:t>No se repuso el sentido de la decisión</w:t>
      </w:r>
      <w:r w:rsidR="0069511F" w:rsidRPr="0011025B">
        <w:rPr>
          <w:rFonts w:ascii="Arial Narrow" w:hAnsi="Arial Narrow" w:cs="Arial Narrow"/>
          <w:color w:val="auto"/>
          <w:sz w:val="26"/>
          <w:szCs w:val="26"/>
          <w:lang w:val="es-CO"/>
        </w:rPr>
        <w:t xml:space="preserve"> </w:t>
      </w:r>
      <w:r w:rsidR="0069511F" w:rsidRPr="0011025B">
        <w:rPr>
          <w:rFonts w:ascii="Arial Narrow" w:hAnsi="Arial Narrow" w:cs="Arial Narrow"/>
          <w:b/>
          <w:bCs/>
          <w:color w:val="auto"/>
          <w:sz w:val="26"/>
          <w:szCs w:val="26"/>
          <w:lang w:val="es-CO"/>
        </w:rPr>
        <w:t>en auto del 26 de julio de 2021</w:t>
      </w:r>
      <w:r w:rsidRPr="0011025B">
        <w:rPr>
          <w:rFonts w:ascii="Arial Narrow" w:hAnsi="Arial Narrow" w:cs="Arial Narrow"/>
          <w:b/>
          <w:bCs/>
          <w:color w:val="auto"/>
          <w:sz w:val="26"/>
          <w:szCs w:val="26"/>
          <w:lang w:val="es-CO"/>
        </w:rPr>
        <w:t>; al tiempo se negó la concesión del recurso de apelación</w:t>
      </w:r>
      <w:r w:rsidRPr="0011025B">
        <w:rPr>
          <w:rFonts w:ascii="Arial Narrow" w:hAnsi="Arial Narrow" w:cs="Arial Narrow"/>
          <w:color w:val="auto"/>
          <w:sz w:val="26"/>
          <w:szCs w:val="26"/>
          <w:lang w:val="es-CO"/>
        </w:rPr>
        <w:t xml:space="preserve"> considerando que solamente procede contra el auto que decrete la medida, </w:t>
      </w:r>
      <w:r w:rsidRPr="0011025B">
        <w:rPr>
          <w:rFonts w:ascii="Arial Narrow" w:hAnsi="Arial Narrow" w:cs="Arial Narrow"/>
          <w:i/>
          <w:iCs/>
          <w:color w:val="auto"/>
          <w:sz w:val="26"/>
          <w:szCs w:val="26"/>
          <w:lang w:val="es-CO"/>
        </w:rPr>
        <w:t>“</w:t>
      </w:r>
      <w:r w:rsidRPr="002F51AE">
        <w:rPr>
          <w:rFonts w:ascii="Arial Narrow" w:hAnsi="Arial Narrow" w:cs="Arial Narrow"/>
          <w:i/>
          <w:iCs/>
          <w:color w:val="auto"/>
          <w:sz w:val="24"/>
          <w:szCs w:val="26"/>
          <w:lang w:val="es-CO"/>
        </w:rPr>
        <w:t>…</w:t>
      </w:r>
      <w:r w:rsidR="002F51AE">
        <w:rPr>
          <w:rFonts w:ascii="Arial Narrow" w:hAnsi="Arial Narrow" w:cs="Arial Narrow"/>
          <w:i/>
          <w:iCs/>
          <w:color w:val="auto"/>
          <w:sz w:val="24"/>
          <w:szCs w:val="26"/>
          <w:lang w:val="es-CO"/>
        </w:rPr>
        <w:t xml:space="preserve"> </w:t>
      </w:r>
      <w:r w:rsidR="1B779DC7" w:rsidRPr="002F51AE">
        <w:rPr>
          <w:rFonts w:ascii="Arial Narrow" w:hAnsi="Arial Narrow" w:cs="Arial Narrow"/>
          <w:i/>
          <w:iCs/>
          <w:color w:val="auto"/>
          <w:sz w:val="24"/>
          <w:szCs w:val="26"/>
          <w:lang w:val="es-CO"/>
        </w:rPr>
        <w:t>además, porque en el art.</w:t>
      </w:r>
      <w:r w:rsidRPr="002F51AE">
        <w:rPr>
          <w:rFonts w:ascii="Arial Narrow" w:hAnsi="Arial Narrow" w:cs="Arial Narrow"/>
          <w:i/>
          <w:iCs/>
          <w:color w:val="auto"/>
          <w:sz w:val="24"/>
          <w:szCs w:val="26"/>
          <w:lang w:val="es-CO"/>
        </w:rPr>
        <w:t xml:space="preserve">  </w:t>
      </w:r>
      <w:r w:rsidR="4F4ABE33" w:rsidRPr="002F51AE">
        <w:rPr>
          <w:rFonts w:ascii="Arial Narrow" w:hAnsi="Arial Narrow" w:cs="Arial Narrow"/>
          <w:i/>
          <w:iCs/>
          <w:color w:val="auto"/>
          <w:sz w:val="24"/>
          <w:szCs w:val="26"/>
          <w:lang w:val="es-CO"/>
        </w:rPr>
        <w:t>321 del C.G.P.</w:t>
      </w:r>
      <w:r w:rsidRPr="002F51AE">
        <w:rPr>
          <w:rFonts w:ascii="Arial Narrow" w:hAnsi="Arial Narrow" w:cs="Arial Narrow"/>
          <w:i/>
          <w:iCs/>
          <w:color w:val="auto"/>
          <w:sz w:val="24"/>
          <w:szCs w:val="26"/>
          <w:lang w:val="es-CO"/>
        </w:rPr>
        <w:t xml:space="preserve">  no se encuentra relacionado </w:t>
      </w:r>
      <w:r w:rsidR="3DD02E15" w:rsidRPr="002F51AE">
        <w:rPr>
          <w:rFonts w:ascii="Arial Narrow" w:hAnsi="Arial Narrow" w:cs="Arial Narrow"/>
          <w:i/>
          <w:iCs/>
          <w:color w:val="auto"/>
          <w:sz w:val="24"/>
          <w:szCs w:val="26"/>
          <w:lang w:val="es-CO"/>
        </w:rPr>
        <w:t xml:space="preserve">como </w:t>
      </w:r>
      <w:r w:rsidR="71BB7D78" w:rsidRPr="002F51AE">
        <w:rPr>
          <w:rFonts w:ascii="Arial Narrow" w:hAnsi="Arial Narrow" w:cs="Arial Narrow"/>
          <w:i/>
          <w:iCs/>
          <w:color w:val="auto"/>
          <w:sz w:val="24"/>
          <w:szCs w:val="26"/>
          <w:lang w:val="es-CO"/>
        </w:rPr>
        <w:t xml:space="preserve">apelable </w:t>
      </w:r>
      <w:r w:rsidR="328EA5DE" w:rsidRPr="002F51AE">
        <w:rPr>
          <w:rFonts w:ascii="Arial Narrow" w:hAnsi="Arial Narrow" w:cs="Arial Narrow"/>
          <w:i/>
          <w:iCs/>
          <w:color w:val="auto"/>
          <w:sz w:val="24"/>
          <w:szCs w:val="26"/>
          <w:lang w:val="es-CO"/>
        </w:rPr>
        <w:t>el auto</w:t>
      </w:r>
      <w:r w:rsidR="59DCFEED" w:rsidRPr="002F51AE">
        <w:rPr>
          <w:rFonts w:ascii="Arial Narrow" w:hAnsi="Arial Narrow" w:cs="Arial Narrow"/>
          <w:i/>
          <w:iCs/>
          <w:color w:val="auto"/>
          <w:sz w:val="24"/>
          <w:szCs w:val="26"/>
          <w:lang w:val="es-CO"/>
        </w:rPr>
        <w:t xml:space="preserve"> </w:t>
      </w:r>
      <w:r w:rsidR="38426429" w:rsidRPr="002F51AE">
        <w:rPr>
          <w:rFonts w:ascii="Arial Narrow" w:hAnsi="Arial Narrow" w:cs="Arial Narrow"/>
          <w:i/>
          <w:iCs/>
          <w:color w:val="auto"/>
          <w:sz w:val="24"/>
          <w:szCs w:val="26"/>
          <w:lang w:val="es-CO"/>
        </w:rPr>
        <w:t>que es objeto de</w:t>
      </w:r>
      <w:r w:rsidRPr="002F51AE">
        <w:rPr>
          <w:rFonts w:ascii="Arial Narrow" w:hAnsi="Arial Narrow" w:cs="Arial Narrow"/>
          <w:i/>
          <w:iCs/>
          <w:color w:val="auto"/>
          <w:sz w:val="24"/>
          <w:szCs w:val="26"/>
          <w:lang w:val="es-CO"/>
        </w:rPr>
        <w:t xml:space="preserve"> estudio</w:t>
      </w:r>
      <w:r w:rsidRPr="0011025B">
        <w:rPr>
          <w:rFonts w:ascii="Arial Narrow" w:hAnsi="Arial Narrow" w:cs="Arial Narrow"/>
          <w:color w:val="auto"/>
          <w:sz w:val="26"/>
          <w:szCs w:val="26"/>
          <w:lang w:val="es-CO"/>
        </w:rPr>
        <w:t xml:space="preserve">.” </w:t>
      </w:r>
      <w:bookmarkStart w:id="3" w:name="_Hlk90020876"/>
      <w:r w:rsidRPr="0011025B">
        <w:rPr>
          <w:rFonts w:ascii="Arial Narrow" w:hAnsi="Arial Narrow" w:cs="Arial Narrow"/>
          <w:color w:val="auto"/>
          <w:sz w:val="26"/>
          <w:szCs w:val="26"/>
          <w:lang w:val="es-CO"/>
        </w:rPr>
        <w:t>(</w:t>
      </w:r>
      <w:proofErr w:type="spellStart"/>
      <w:r w:rsidRPr="0011025B">
        <w:rPr>
          <w:rFonts w:ascii="Arial Narrow" w:hAnsi="Arial Narrow" w:cs="Arial Narrow"/>
          <w:color w:val="auto"/>
          <w:sz w:val="26"/>
          <w:szCs w:val="26"/>
          <w:lang w:val="es-CO"/>
        </w:rPr>
        <w:t>arch</w:t>
      </w:r>
      <w:proofErr w:type="spellEnd"/>
      <w:r w:rsidRPr="0011025B">
        <w:rPr>
          <w:rFonts w:ascii="Arial Narrow" w:hAnsi="Arial Narrow" w:cs="Arial Narrow"/>
          <w:color w:val="auto"/>
          <w:sz w:val="26"/>
          <w:szCs w:val="26"/>
          <w:lang w:val="es-CO"/>
        </w:rPr>
        <w:t>. 10, Ib.)</w:t>
      </w:r>
      <w:bookmarkEnd w:id="3"/>
    </w:p>
    <w:p w14:paraId="2D4E343E" w14:textId="2C370405" w:rsidR="00542348" w:rsidRPr="0011025B" w:rsidRDefault="00542348"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55A1F0F5" w14:textId="334FA2DD" w:rsidR="00542348" w:rsidRPr="0011025B" w:rsidRDefault="00542348"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1025B">
        <w:rPr>
          <w:rFonts w:ascii="Arial Narrow" w:hAnsi="Arial Narrow" w:cs="Arial Narrow"/>
          <w:b/>
          <w:bCs/>
          <w:color w:val="auto"/>
          <w:sz w:val="26"/>
          <w:szCs w:val="26"/>
          <w:lang w:val="es-CO"/>
        </w:rPr>
        <w:t xml:space="preserve">5.- </w:t>
      </w:r>
      <w:r w:rsidRPr="0011025B">
        <w:rPr>
          <w:rFonts w:ascii="Arial Narrow" w:hAnsi="Arial Narrow" w:cs="Arial Narrow"/>
          <w:bCs/>
          <w:color w:val="auto"/>
          <w:sz w:val="26"/>
          <w:szCs w:val="26"/>
          <w:lang w:val="es-CO"/>
        </w:rPr>
        <w:t xml:space="preserve">Se observa en archivos 15 y 16 Ib., que en el término de ejecutoria se propuso reposición en subsidio queja respecto de la negativa de conceder la </w:t>
      </w:r>
      <w:r w:rsidR="0069511F" w:rsidRPr="0011025B">
        <w:rPr>
          <w:rFonts w:ascii="Arial Narrow" w:hAnsi="Arial Narrow" w:cs="Arial Narrow"/>
          <w:bCs/>
          <w:color w:val="auto"/>
          <w:sz w:val="26"/>
          <w:szCs w:val="26"/>
          <w:lang w:val="es-CO"/>
        </w:rPr>
        <w:t>alzada; el</w:t>
      </w:r>
      <w:r w:rsidR="00D620DC" w:rsidRPr="0011025B">
        <w:rPr>
          <w:rFonts w:ascii="Arial Narrow" w:hAnsi="Arial Narrow" w:cs="Arial Narrow"/>
          <w:bCs/>
          <w:color w:val="auto"/>
          <w:sz w:val="26"/>
          <w:szCs w:val="26"/>
          <w:lang w:val="es-CO"/>
        </w:rPr>
        <w:t xml:space="preserve"> esfuerzo se </w:t>
      </w:r>
      <w:r w:rsidR="0069511F" w:rsidRPr="0011025B">
        <w:rPr>
          <w:rFonts w:ascii="Arial Narrow" w:hAnsi="Arial Narrow" w:cs="Arial Narrow"/>
          <w:bCs/>
          <w:color w:val="auto"/>
          <w:sz w:val="26"/>
          <w:szCs w:val="26"/>
          <w:lang w:val="es-CO"/>
        </w:rPr>
        <w:t>centra</w:t>
      </w:r>
      <w:r w:rsidR="00D620DC" w:rsidRPr="0011025B">
        <w:rPr>
          <w:rFonts w:ascii="Arial Narrow" w:hAnsi="Arial Narrow" w:cs="Arial Narrow"/>
          <w:bCs/>
          <w:color w:val="auto"/>
          <w:sz w:val="26"/>
          <w:szCs w:val="26"/>
          <w:lang w:val="es-CO"/>
        </w:rPr>
        <w:t xml:space="preserve"> </w:t>
      </w:r>
      <w:r w:rsidR="0069511F" w:rsidRPr="0011025B">
        <w:rPr>
          <w:rFonts w:ascii="Arial Narrow" w:hAnsi="Arial Narrow" w:cs="Arial Narrow"/>
          <w:bCs/>
          <w:color w:val="auto"/>
          <w:sz w:val="26"/>
          <w:szCs w:val="26"/>
          <w:lang w:val="es-CO"/>
        </w:rPr>
        <w:t>en</w:t>
      </w:r>
      <w:r w:rsidR="00D620DC" w:rsidRPr="0011025B">
        <w:rPr>
          <w:rFonts w:ascii="Arial Narrow" w:hAnsi="Arial Narrow" w:cs="Arial Narrow"/>
          <w:bCs/>
          <w:color w:val="auto"/>
          <w:sz w:val="26"/>
          <w:szCs w:val="26"/>
          <w:lang w:val="es-CO"/>
        </w:rPr>
        <w:t xml:space="preserve"> demostrar</w:t>
      </w:r>
      <w:r w:rsidR="0069511F" w:rsidRPr="0011025B">
        <w:rPr>
          <w:rFonts w:ascii="Arial Narrow" w:hAnsi="Arial Narrow" w:cs="Arial Narrow"/>
          <w:bCs/>
          <w:color w:val="auto"/>
          <w:sz w:val="26"/>
          <w:szCs w:val="26"/>
          <w:lang w:val="es-CO"/>
        </w:rPr>
        <w:t xml:space="preserve"> la debida fundamentación de la solicitud de la cautela. </w:t>
      </w:r>
    </w:p>
    <w:p w14:paraId="66CE9664" w14:textId="1E6C6807" w:rsidR="0069511F" w:rsidRPr="0011025B" w:rsidRDefault="0069511F"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3FDF8506" w14:textId="2EC9FB8B" w:rsidR="0069511F" w:rsidRPr="0011025B" w:rsidRDefault="0069511F"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1025B">
        <w:rPr>
          <w:rFonts w:ascii="Arial Narrow" w:hAnsi="Arial Narrow" w:cs="Arial Narrow"/>
          <w:b/>
          <w:bCs/>
          <w:color w:val="auto"/>
          <w:sz w:val="26"/>
          <w:szCs w:val="26"/>
          <w:lang w:val="es-CO"/>
        </w:rPr>
        <w:t xml:space="preserve">6.- </w:t>
      </w:r>
      <w:r w:rsidRPr="0011025B">
        <w:rPr>
          <w:rFonts w:ascii="Arial Narrow" w:hAnsi="Arial Narrow" w:cs="Arial Narrow"/>
          <w:color w:val="auto"/>
          <w:sz w:val="26"/>
          <w:szCs w:val="26"/>
          <w:lang w:val="es-CO"/>
        </w:rPr>
        <w:t xml:space="preserve">Luego de explicar el contexto sustancial desarrollado y circundante a la medida de suspensión, consideró el despacho </w:t>
      </w:r>
      <w:r w:rsidRPr="0011025B">
        <w:rPr>
          <w:rFonts w:ascii="Arial Narrow" w:hAnsi="Arial Narrow" w:cs="Arial Narrow"/>
          <w:i/>
          <w:iCs/>
          <w:color w:val="auto"/>
          <w:sz w:val="26"/>
          <w:szCs w:val="26"/>
          <w:lang w:val="es-CO"/>
        </w:rPr>
        <w:t>a quo</w:t>
      </w:r>
      <w:r w:rsidRPr="0011025B">
        <w:rPr>
          <w:rFonts w:ascii="Arial Narrow" w:hAnsi="Arial Narrow" w:cs="Arial Narrow"/>
          <w:color w:val="auto"/>
          <w:sz w:val="26"/>
          <w:szCs w:val="26"/>
          <w:lang w:val="es-CO"/>
        </w:rPr>
        <w:t xml:space="preserve">: </w:t>
      </w:r>
      <w:r w:rsidRPr="0011025B">
        <w:rPr>
          <w:rFonts w:ascii="Arial Narrow" w:hAnsi="Arial Narrow" w:cs="Arial Narrow"/>
          <w:i/>
          <w:iCs/>
          <w:color w:val="auto"/>
          <w:sz w:val="26"/>
          <w:szCs w:val="26"/>
          <w:lang w:val="es-CO"/>
        </w:rPr>
        <w:t>“</w:t>
      </w:r>
      <w:r w:rsidRPr="002F51AE">
        <w:rPr>
          <w:rFonts w:ascii="Arial Narrow" w:hAnsi="Arial Narrow" w:cs="Arial Narrow"/>
          <w:i/>
          <w:iCs/>
          <w:color w:val="auto"/>
          <w:sz w:val="24"/>
          <w:szCs w:val="26"/>
          <w:lang w:val="es-CO"/>
        </w:rPr>
        <w:t>La base principal del auto que negó la apelación interpuesta fue que la providencia recurrida no se encuentra dentro del listado contempla el art. 321 del C.G.P.  de aquellas susceptibles de tal recurso; razón que no ha sido desvirtuada por el apoderado, pero no está por demás que el Juzgado haya efectuado un análisis de lo acontecido, para una mayor claridad</w:t>
      </w:r>
      <w:r w:rsidRPr="0011025B">
        <w:rPr>
          <w:rFonts w:ascii="Arial Narrow" w:hAnsi="Arial Narrow" w:cs="Arial Narrow"/>
          <w:i/>
          <w:iCs/>
          <w:color w:val="auto"/>
          <w:sz w:val="26"/>
          <w:szCs w:val="26"/>
          <w:lang w:val="es-CO"/>
        </w:rPr>
        <w:t>.”</w:t>
      </w:r>
      <w:r w:rsidRPr="0011025B">
        <w:rPr>
          <w:rFonts w:ascii="Arial Narrow" w:hAnsi="Arial Narrow" w:cs="Arial Narrow"/>
          <w:b/>
          <w:bCs/>
          <w:color w:val="auto"/>
          <w:sz w:val="26"/>
          <w:szCs w:val="26"/>
          <w:lang w:val="es-CO"/>
        </w:rPr>
        <w:t xml:space="preserve">  </w:t>
      </w:r>
      <w:r w:rsidRPr="0011025B">
        <w:rPr>
          <w:rFonts w:ascii="Arial Narrow" w:hAnsi="Arial Narrow" w:cs="Arial Narrow"/>
          <w:color w:val="auto"/>
          <w:sz w:val="26"/>
          <w:szCs w:val="26"/>
          <w:lang w:val="es-CO"/>
        </w:rPr>
        <w:t>(</w:t>
      </w:r>
      <w:proofErr w:type="spellStart"/>
      <w:r w:rsidRPr="0011025B">
        <w:rPr>
          <w:rFonts w:ascii="Arial Narrow" w:hAnsi="Arial Narrow" w:cs="Arial Narrow"/>
          <w:color w:val="auto"/>
          <w:sz w:val="26"/>
          <w:szCs w:val="26"/>
          <w:lang w:val="es-CO"/>
        </w:rPr>
        <w:t>arch</w:t>
      </w:r>
      <w:proofErr w:type="spellEnd"/>
      <w:r w:rsidRPr="0011025B">
        <w:rPr>
          <w:rFonts w:ascii="Arial Narrow" w:hAnsi="Arial Narrow" w:cs="Arial Narrow"/>
          <w:color w:val="auto"/>
          <w:sz w:val="26"/>
          <w:szCs w:val="26"/>
          <w:lang w:val="es-CO"/>
        </w:rPr>
        <w:t xml:space="preserve">. 17, Ib.). No repuso y se concedió la queja. </w:t>
      </w:r>
    </w:p>
    <w:p w14:paraId="713481C6" w14:textId="77777777" w:rsidR="004A69B9" w:rsidRPr="0011025B" w:rsidRDefault="004A69B9"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32AF094A" w14:textId="3FB9514D" w:rsidR="004A69B9" w:rsidRPr="0011025B" w:rsidRDefault="0069511F"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Cs/>
          <w:color w:val="auto"/>
          <w:sz w:val="26"/>
          <w:szCs w:val="26"/>
          <w:lang w:val="es-CO"/>
        </w:rPr>
      </w:pPr>
      <w:r w:rsidRPr="0011025B">
        <w:rPr>
          <w:rFonts w:ascii="Arial Narrow" w:hAnsi="Arial Narrow" w:cs="Arial Narrow"/>
          <w:b/>
          <w:bCs/>
          <w:color w:val="auto"/>
          <w:sz w:val="26"/>
          <w:szCs w:val="26"/>
          <w:lang w:val="es-CO"/>
        </w:rPr>
        <w:t>Consideraciones</w:t>
      </w:r>
    </w:p>
    <w:p w14:paraId="3D140395" w14:textId="77777777" w:rsidR="0069511F" w:rsidRPr="0011025B" w:rsidRDefault="0069511F"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3A0C2090" w14:textId="5C49676B" w:rsidR="0091798B" w:rsidRPr="0011025B" w:rsidRDefault="0069511F"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1025B">
        <w:rPr>
          <w:rFonts w:ascii="Arial Narrow" w:hAnsi="Arial Narrow" w:cs="Arial Narrow"/>
          <w:b/>
          <w:bCs/>
          <w:color w:val="auto"/>
          <w:sz w:val="26"/>
          <w:szCs w:val="26"/>
          <w:lang w:val="es-CO"/>
        </w:rPr>
        <w:t xml:space="preserve">1-.  </w:t>
      </w:r>
      <w:r w:rsidR="0091798B" w:rsidRPr="0011025B">
        <w:rPr>
          <w:rFonts w:ascii="Arial Narrow" w:hAnsi="Arial Narrow" w:cs="Arial Narrow"/>
          <w:bCs/>
          <w:color w:val="auto"/>
          <w:sz w:val="26"/>
          <w:szCs w:val="26"/>
          <w:lang w:val="es-CO"/>
        </w:rPr>
        <w:t xml:space="preserve">Pasa a decidirse sin correr traslado de los argumentos del recurso de queja (inciso 3, art. 353 del C.G.P) porque este tiene como propósito otorgar oportunidad de contradicción a la contraparte, pero en este caso el extremo pasivo aún no ha sido enterado del auto admisorio. </w:t>
      </w:r>
    </w:p>
    <w:p w14:paraId="095236BC" w14:textId="77777777" w:rsidR="0091798B" w:rsidRPr="0011025B" w:rsidRDefault="0091798B"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547C92AA" w14:textId="0AA79535" w:rsidR="00B5465F" w:rsidRPr="0011025B" w:rsidRDefault="0091798B"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1025B">
        <w:rPr>
          <w:rFonts w:ascii="Arial Narrow" w:hAnsi="Arial Narrow" w:cs="Arial Narrow"/>
          <w:b/>
          <w:bCs/>
          <w:color w:val="auto"/>
          <w:sz w:val="26"/>
          <w:szCs w:val="26"/>
          <w:lang w:val="es-CO"/>
        </w:rPr>
        <w:t>2.-</w:t>
      </w:r>
      <w:r w:rsidRPr="0011025B">
        <w:rPr>
          <w:rFonts w:ascii="Arial Narrow" w:hAnsi="Arial Narrow" w:cs="Arial Narrow"/>
          <w:bCs/>
          <w:color w:val="auto"/>
          <w:sz w:val="26"/>
          <w:szCs w:val="26"/>
          <w:lang w:val="es-CO"/>
        </w:rPr>
        <w:t xml:space="preserve"> </w:t>
      </w:r>
      <w:r w:rsidR="0069511F" w:rsidRPr="0011025B">
        <w:rPr>
          <w:rFonts w:ascii="Arial Narrow" w:hAnsi="Arial Narrow" w:cs="Arial Narrow"/>
          <w:bCs/>
          <w:color w:val="auto"/>
          <w:sz w:val="26"/>
          <w:szCs w:val="26"/>
          <w:lang w:val="es-CO"/>
        </w:rPr>
        <w:t>Los recursos son las herramientas adjetivas con que cuenta las partes para controvertir las decisiones de los jueces o magistrados; para su trámite y estudio de fondo, deben cumplir ciertos requisitos; la doctrina los ha establecido en: (i) legitimación, (ii) interés para recurrir, (iii) oportunidad, (iv)</w:t>
      </w:r>
      <w:r w:rsidR="00556ABF" w:rsidRPr="0011025B">
        <w:rPr>
          <w:rFonts w:ascii="Arial Narrow" w:hAnsi="Arial Narrow" w:cs="Arial Narrow"/>
          <w:bCs/>
          <w:color w:val="auto"/>
          <w:sz w:val="26"/>
          <w:szCs w:val="26"/>
          <w:lang w:val="es-CO"/>
        </w:rPr>
        <w:t xml:space="preserve"> procedencia</w:t>
      </w:r>
      <w:r w:rsidR="0069511F" w:rsidRPr="0011025B">
        <w:rPr>
          <w:rFonts w:ascii="Arial Narrow" w:hAnsi="Arial Narrow" w:cs="Arial Narrow"/>
          <w:bCs/>
          <w:color w:val="auto"/>
          <w:sz w:val="26"/>
          <w:szCs w:val="26"/>
          <w:lang w:val="es-CO"/>
        </w:rPr>
        <w:t xml:space="preserve"> </w:t>
      </w:r>
      <w:r w:rsidR="00556ABF" w:rsidRPr="0011025B">
        <w:rPr>
          <w:rFonts w:ascii="Arial Narrow" w:hAnsi="Arial Narrow" w:cs="Arial Narrow"/>
          <w:bCs/>
          <w:color w:val="auto"/>
          <w:sz w:val="26"/>
          <w:szCs w:val="26"/>
          <w:lang w:val="es-CO"/>
        </w:rPr>
        <w:t xml:space="preserve">(v) sustentación, y </w:t>
      </w:r>
      <w:r w:rsidR="0069511F" w:rsidRPr="0011025B">
        <w:rPr>
          <w:rFonts w:ascii="Arial Narrow" w:hAnsi="Arial Narrow" w:cs="Arial Narrow"/>
          <w:bCs/>
          <w:color w:val="auto"/>
          <w:sz w:val="26"/>
          <w:szCs w:val="26"/>
          <w:lang w:val="es-CO"/>
        </w:rPr>
        <w:t>(v</w:t>
      </w:r>
      <w:r w:rsidR="00556ABF" w:rsidRPr="0011025B">
        <w:rPr>
          <w:rFonts w:ascii="Arial Narrow" w:hAnsi="Arial Narrow" w:cs="Arial Narrow"/>
          <w:bCs/>
          <w:color w:val="auto"/>
          <w:sz w:val="26"/>
          <w:szCs w:val="26"/>
          <w:lang w:val="es-CO"/>
        </w:rPr>
        <w:t>i</w:t>
      </w:r>
      <w:r w:rsidR="0069511F" w:rsidRPr="0011025B">
        <w:rPr>
          <w:rFonts w:ascii="Arial Narrow" w:hAnsi="Arial Narrow" w:cs="Arial Narrow"/>
          <w:bCs/>
          <w:color w:val="auto"/>
          <w:sz w:val="26"/>
          <w:szCs w:val="26"/>
          <w:lang w:val="es-CO"/>
        </w:rPr>
        <w:t>) cumplimiento de cargas procesales</w:t>
      </w:r>
      <w:r w:rsidR="0069511F" w:rsidRPr="0011025B">
        <w:rPr>
          <w:rStyle w:val="Refdenotaalpie"/>
          <w:rFonts w:ascii="Arial Narrow" w:hAnsi="Arial Narrow"/>
          <w:bCs/>
          <w:sz w:val="26"/>
          <w:szCs w:val="26"/>
          <w:lang w:val="es-MX"/>
        </w:rPr>
        <w:footnoteReference w:id="1"/>
      </w:r>
      <w:r w:rsidR="0069511F" w:rsidRPr="0011025B">
        <w:rPr>
          <w:rFonts w:ascii="Arial Narrow" w:hAnsi="Arial Narrow" w:cs="Arial Narrow"/>
          <w:bCs/>
          <w:color w:val="auto"/>
          <w:sz w:val="26"/>
          <w:szCs w:val="26"/>
          <w:lang w:val="es-CO"/>
        </w:rPr>
        <w:t xml:space="preserve">. </w:t>
      </w:r>
      <w:r w:rsidR="00793479" w:rsidRPr="0011025B">
        <w:rPr>
          <w:rFonts w:ascii="Arial Narrow" w:hAnsi="Arial Narrow" w:cs="Arial Narrow"/>
          <w:bCs/>
          <w:color w:val="auto"/>
          <w:sz w:val="26"/>
          <w:szCs w:val="26"/>
          <w:lang w:val="es-CO"/>
        </w:rPr>
        <w:t xml:space="preserve"> </w:t>
      </w:r>
      <w:r w:rsidR="003C53CA" w:rsidRPr="0011025B">
        <w:rPr>
          <w:rFonts w:ascii="Arial Narrow" w:hAnsi="Arial Narrow" w:cs="Arial Narrow"/>
          <w:bCs/>
          <w:color w:val="auto"/>
          <w:sz w:val="26"/>
          <w:szCs w:val="26"/>
          <w:lang w:val="es-CO"/>
        </w:rPr>
        <w:t>Al ser concurrente, la ausencia de uno de ellos trunca su normal discurrir, ya sea por inadmisibilidad o deserción</w:t>
      </w:r>
      <w:r w:rsidR="003C53CA" w:rsidRPr="0011025B">
        <w:rPr>
          <w:rStyle w:val="Refdenotaalpie"/>
          <w:rFonts w:ascii="Arial Narrow" w:hAnsi="Arial Narrow" w:cs="Arial Narrow"/>
          <w:bCs/>
          <w:color w:val="auto"/>
          <w:sz w:val="26"/>
          <w:szCs w:val="26"/>
          <w:lang w:val="es-CO"/>
        </w:rPr>
        <w:footnoteReference w:id="2"/>
      </w:r>
      <w:r w:rsidR="00B5465F" w:rsidRPr="0011025B">
        <w:rPr>
          <w:rFonts w:ascii="Arial Narrow" w:hAnsi="Arial Narrow" w:cs="Arial Narrow"/>
          <w:bCs/>
          <w:color w:val="auto"/>
          <w:sz w:val="26"/>
          <w:szCs w:val="26"/>
          <w:lang w:val="es-CO"/>
        </w:rPr>
        <w:t>: “</w:t>
      </w:r>
      <w:r w:rsidR="00B5465F" w:rsidRPr="00532E82">
        <w:rPr>
          <w:rFonts w:ascii="Arial Narrow" w:hAnsi="Arial Narrow" w:cs="Arial Narrow"/>
          <w:bCs/>
          <w:i/>
          <w:color w:val="auto"/>
          <w:sz w:val="24"/>
          <w:szCs w:val="26"/>
          <w:lang w:val="es-CO"/>
        </w:rPr>
        <w:t xml:space="preserve">Todo recurso, ordinario o extraordinario, exige para su </w:t>
      </w:r>
      <w:r w:rsidR="00532E82" w:rsidRPr="00532E82">
        <w:rPr>
          <w:rFonts w:ascii="Arial Narrow" w:hAnsi="Arial Narrow" w:cs="Arial Narrow"/>
          <w:bCs/>
          <w:i/>
          <w:color w:val="auto"/>
          <w:sz w:val="24"/>
          <w:szCs w:val="26"/>
          <w:lang w:val="es-CO"/>
        </w:rPr>
        <w:t>trámite</w:t>
      </w:r>
      <w:r w:rsidR="00B5465F" w:rsidRPr="00532E82">
        <w:rPr>
          <w:rFonts w:ascii="Arial Narrow" w:hAnsi="Arial Narrow" w:cs="Arial Narrow"/>
          <w:bCs/>
          <w:i/>
          <w:color w:val="auto"/>
          <w:sz w:val="24"/>
          <w:szCs w:val="26"/>
          <w:lang w:val="es-CO"/>
        </w:rPr>
        <w:t xml:space="preserve"> que concurran ciertos requisitos, pues ante la omisión de algunos de ellos, el funcionario judicial debe desechar su trámite</w:t>
      </w:r>
      <w:r w:rsidR="00B5465F" w:rsidRPr="0011025B">
        <w:rPr>
          <w:rFonts w:ascii="Arial Narrow" w:hAnsi="Arial Narrow" w:cs="Arial Narrow"/>
          <w:bCs/>
          <w:i/>
          <w:color w:val="auto"/>
          <w:sz w:val="26"/>
          <w:szCs w:val="26"/>
          <w:lang w:val="es-CO"/>
        </w:rPr>
        <w:t>.”</w:t>
      </w:r>
      <w:r w:rsidR="00B5465F" w:rsidRPr="0011025B">
        <w:rPr>
          <w:rStyle w:val="Refdenotaalpie"/>
          <w:rFonts w:ascii="Arial Narrow" w:hAnsi="Arial Narrow" w:cs="Arial Narrow"/>
          <w:bCs/>
          <w:i/>
          <w:color w:val="auto"/>
          <w:sz w:val="26"/>
          <w:szCs w:val="26"/>
          <w:lang w:val="es-CO"/>
        </w:rPr>
        <w:footnoteReference w:id="3"/>
      </w:r>
    </w:p>
    <w:p w14:paraId="1B517F98" w14:textId="77777777" w:rsidR="00B5465F" w:rsidRPr="0011025B" w:rsidRDefault="00B5465F"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2951CBD" w14:textId="2606414F" w:rsidR="00556ABF" w:rsidRPr="0011025B" w:rsidRDefault="0069511F"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11025B">
        <w:rPr>
          <w:rFonts w:ascii="Arial Narrow" w:hAnsi="Arial Narrow" w:cs="Arial Narrow"/>
          <w:color w:val="auto"/>
          <w:sz w:val="26"/>
          <w:szCs w:val="26"/>
          <w:lang w:val="es-CO"/>
        </w:rPr>
        <w:t xml:space="preserve">La interposición </w:t>
      </w:r>
      <w:r w:rsidR="00CD2366" w:rsidRPr="0011025B">
        <w:rPr>
          <w:rFonts w:ascii="Arial Narrow" w:hAnsi="Arial Narrow" w:cs="Arial Narrow"/>
          <w:color w:val="auto"/>
          <w:sz w:val="26"/>
          <w:szCs w:val="26"/>
          <w:lang w:val="es-CO"/>
        </w:rPr>
        <w:t xml:space="preserve">del recurso de queja </w:t>
      </w:r>
      <w:r w:rsidRPr="0011025B">
        <w:rPr>
          <w:rFonts w:ascii="Arial Narrow" w:hAnsi="Arial Narrow" w:cs="Arial Narrow"/>
          <w:color w:val="auto"/>
          <w:sz w:val="26"/>
          <w:szCs w:val="26"/>
          <w:lang w:val="es-CO"/>
        </w:rPr>
        <w:t>fue subsidiaria al de reposición</w:t>
      </w:r>
      <w:r w:rsidR="00556ABF" w:rsidRPr="0011025B">
        <w:rPr>
          <w:rFonts w:ascii="Arial Narrow" w:hAnsi="Arial Narrow" w:cs="Arial Narrow"/>
          <w:color w:val="auto"/>
          <w:sz w:val="26"/>
          <w:szCs w:val="26"/>
          <w:lang w:val="es-CO"/>
        </w:rPr>
        <w:t>,</w:t>
      </w:r>
      <w:r w:rsidRPr="0011025B">
        <w:rPr>
          <w:rFonts w:ascii="Arial Narrow" w:hAnsi="Arial Narrow" w:cs="Arial Narrow"/>
          <w:color w:val="auto"/>
          <w:sz w:val="26"/>
          <w:szCs w:val="26"/>
          <w:lang w:val="es-CO"/>
        </w:rPr>
        <w:t xml:space="preserve"> lo inco</w:t>
      </w:r>
      <w:r w:rsidR="00556ABF" w:rsidRPr="0011025B">
        <w:rPr>
          <w:rFonts w:ascii="Arial Narrow" w:hAnsi="Arial Narrow" w:cs="Arial Narrow"/>
          <w:color w:val="auto"/>
          <w:sz w:val="26"/>
          <w:szCs w:val="26"/>
          <w:lang w:val="es-CO"/>
        </w:rPr>
        <w:t>ó</w:t>
      </w:r>
      <w:r w:rsidRPr="0011025B">
        <w:rPr>
          <w:rFonts w:ascii="Arial Narrow" w:hAnsi="Arial Narrow" w:cs="Arial Narrow"/>
          <w:color w:val="auto"/>
          <w:sz w:val="26"/>
          <w:szCs w:val="26"/>
          <w:lang w:val="es-CO"/>
        </w:rPr>
        <w:t xml:space="preserve"> la parte dem</w:t>
      </w:r>
      <w:r w:rsidR="09C940A3" w:rsidRPr="0011025B">
        <w:rPr>
          <w:rFonts w:ascii="Arial Narrow" w:hAnsi="Arial Narrow" w:cs="Arial Narrow"/>
          <w:color w:val="auto"/>
          <w:sz w:val="26"/>
          <w:szCs w:val="26"/>
          <w:lang w:val="es-CO"/>
        </w:rPr>
        <w:t>a</w:t>
      </w:r>
      <w:r w:rsidRPr="0011025B">
        <w:rPr>
          <w:rFonts w:ascii="Arial Narrow" w:hAnsi="Arial Narrow" w:cs="Arial Narrow"/>
          <w:color w:val="auto"/>
          <w:sz w:val="26"/>
          <w:szCs w:val="26"/>
          <w:lang w:val="es-CO"/>
        </w:rPr>
        <w:t>nda</w:t>
      </w:r>
      <w:r w:rsidR="5D57B309" w:rsidRPr="0011025B">
        <w:rPr>
          <w:rFonts w:ascii="Arial Narrow" w:hAnsi="Arial Narrow" w:cs="Arial Narrow"/>
          <w:color w:val="auto"/>
          <w:sz w:val="26"/>
          <w:szCs w:val="26"/>
          <w:lang w:val="es-CO"/>
        </w:rPr>
        <w:t>n</w:t>
      </w:r>
      <w:r w:rsidRPr="0011025B">
        <w:rPr>
          <w:rFonts w:ascii="Arial Narrow" w:hAnsi="Arial Narrow" w:cs="Arial Narrow"/>
          <w:color w:val="auto"/>
          <w:sz w:val="26"/>
          <w:szCs w:val="26"/>
          <w:lang w:val="es-CO"/>
        </w:rPr>
        <w:t xml:space="preserve">te a quien se le negó concesión de remedio vertical frente al proveído del </w:t>
      </w:r>
      <w:r w:rsidR="00BA5869" w:rsidRPr="0011025B">
        <w:rPr>
          <w:rFonts w:ascii="Arial Narrow" w:hAnsi="Arial Narrow" w:cs="Arial Narrow"/>
          <w:color w:val="auto"/>
          <w:sz w:val="26"/>
          <w:szCs w:val="26"/>
          <w:lang w:val="es-CO"/>
        </w:rPr>
        <w:t>26</w:t>
      </w:r>
      <w:r w:rsidRPr="0011025B">
        <w:rPr>
          <w:rFonts w:ascii="Arial Narrow" w:hAnsi="Arial Narrow" w:cs="Arial Narrow"/>
          <w:color w:val="auto"/>
          <w:sz w:val="26"/>
          <w:szCs w:val="26"/>
          <w:lang w:val="es-CO"/>
        </w:rPr>
        <w:t xml:space="preserve"> de ju</w:t>
      </w:r>
      <w:r w:rsidR="00BA5869" w:rsidRPr="0011025B">
        <w:rPr>
          <w:rFonts w:ascii="Arial Narrow" w:hAnsi="Arial Narrow" w:cs="Arial Narrow"/>
          <w:color w:val="auto"/>
          <w:sz w:val="26"/>
          <w:szCs w:val="26"/>
          <w:lang w:val="es-CO"/>
        </w:rPr>
        <w:t>l</w:t>
      </w:r>
      <w:r w:rsidRPr="0011025B">
        <w:rPr>
          <w:rFonts w:ascii="Arial Narrow" w:hAnsi="Arial Narrow" w:cs="Arial Narrow"/>
          <w:color w:val="auto"/>
          <w:sz w:val="26"/>
          <w:szCs w:val="26"/>
          <w:lang w:val="es-CO"/>
        </w:rPr>
        <w:t>io de 2021 de primera instancia</w:t>
      </w:r>
      <w:r w:rsidR="00556ABF" w:rsidRPr="0011025B">
        <w:rPr>
          <w:rFonts w:ascii="Arial Narrow" w:hAnsi="Arial Narrow" w:cs="Arial Narrow"/>
          <w:color w:val="auto"/>
          <w:sz w:val="26"/>
          <w:szCs w:val="26"/>
          <w:lang w:val="es-CO"/>
        </w:rPr>
        <w:t xml:space="preserve">; resta entonces, estudiar si está debidamente sustentada la queja. </w:t>
      </w:r>
    </w:p>
    <w:p w14:paraId="7A8F07CD" w14:textId="77777777" w:rsidR="00556ABF" w:rsidRPr="0011025B" w:rsidRDefault="00556ABF"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72BC27CC" w14:textId="5AA3D38B" w:rsidR="002E2838" w:rsidRPr="0011025B" w:rsidRDefault="00556ABF"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11025B">
        <w:rPr>
          <w:rFonts w:ascii="Arial Narrow" w:hAnsi="Arial Narrow" w:cs="Arial Narrow"/>
          <w:b/>
          <w:bCs/>
          <w:color w:val="auto"/>
          <w:sz w:val="26"/>
          <w:szCs w:val="26"/>
          <w:lang w:val="es-CO"/>
        </w:rPr>
        <w:t>2.-</w:t>
      </w:r>
      <w:r w:rsidRPr="0011025B">
        <w:rPr>
          <w:rFonts w:ascii="Arial Narrow" w:hAnsi="Arial Narrow" w:cs="Arial Narrow"/>
          <w:color w:val="auto"/>
          <w:sz w:val="26"/>
          <w:szCs w:val="26"/>
          <w:lang w:val="es-CO"/>
        </w:rPr>
        <w:t xml:space="preserve"> Para definirlo, reliévese que el trasfondo del recurso de queja es ajeno al</w:t>
      </w:r>
      <w:r w:rsidR="002E2838" w:rsidRPr="0011025B">
        <w:rPr>
          <w:rFonts w:ascii="Arial Narrow" w:hAnsi="Arial Narrow" w:cs="Arial Narrow"/>
          <w:color w:val="auto"/>
          <w:sz w:val="26"/>
          <w:szCs w:val="26"/>
          <w:lang w:val="es-CO"/>
        </w:rPr>
        <w:t xml:space="preserve"> contexto de la</w:t>
      </w:r>
      <w:r w:rsidRPr="0011025B">
        <w:rPr>
          <w:rFonts w:ascii="Arial Narrow" w:hAnsi="Arial Narrow" w:cs="Arial Narrow"/>
          <w:color w:val="auto"/>
          <w:sz w:val="26"/>
          <w:szCs w:val="26"/>
          <w:lang w:val="es-CO"/>
        </w:rPr>
        <w:t xml:space="preserve"> decisión</w:t>
      </w:r>
      <w:r w:rsidR="002E2838" w:rsidRPr="0011025B">
        <w:rPr>
          <w:rFonts w:ascii="Arial Narrow" w:hAnsi="Arial Narrow" w:cs="Arial Narrow"/>
          <w:color w:val="auto"/>
          <w:sz w:val="26"/>
          <w:szCs w:val="26"/>
          <w:lang w:val="es-CO"/>
        </w:rPr>
        <w:t xml:space="preserve"> principal de que se </w:t>
      </w:r>
      <w:r w:rsidR="1E2DD364" w:rsidRPr="0011025B">
        <w:rPr>
          <w:rFonts w:ascii="Arial Narrow" w:hAnsi="Arial Narrow" w:cs="Arial Narrow"/>
          <w:color w:val="auto"/>
          <w:sz w:val="26"/>
          <w:szCs w:val="26"/>
          <w:lang w:val="es-CO"/>
        </w:rPr>
        <w:t>pretende apelar</w:t>
      </w:r>
      <w:r w:rsidR="002E2838" w:rsidRPr="0011025B">
        <w:rPr>
          <w:rFonts w:ascii="Arial Narrow" w:hAnsi="Arial Narrow" w:cs="Arial Narrow"/>
          <w:color w:val="auto"/>
          <w:sz w:val="26"/>
          <w:szCs w:val="26"/>
          <w:lang w:val="es-CO"/>
        </w:rPr>
        <w:t>; ello conlleva</w:t>
      </w:r>
      <w:r w:rsidR="453F3A5B" w:rsidRPr="0011025B">
        <w:rPr>
          <w:rFonts w:ascii="Arial Narrow" w:hAnsi="Arial Narrow" w:cs="Arial Narrow"/>
          <w:color w:val="auto"/>
          <w:sz w:val="26"/>
          <w:szCs w:val="26"/>
          <w:lang w:val="es-CO"/>
        </w:rPr>
        <w:t xml:space="preserve"> </w:t>
      </w:r>
      <w:r w:rsidR="002E2838" w:rsidRPr="0011025B">
        <w:rPr>
          <w:rFonts w:ascii="Arial Narrow" w:hAnsi="Arial Narrow" w:cs="Arial Narrow"/>
          <w:color w:val="auto"/>
          <w:sz w:val="26"/>
          <w:szCs w:val="26"/>
          <w:lang w:val="es-CO"/>
        </w:rPr>
        <w:t>que</w:t>
      </w:r>
      <w:r w:rsidR="0091798B" w:rsidRPr="0011025B">
        <w:rPr>
          <w:rFonts w:ascii="Arial Narrow" w:hAnsi="Arial Narrow" w:cs="Arial Narrow"/>
          <w:color w:val="auto"/>
          <w:sz w:val="26"/>
          <w:szCs w:val="26"/>
          <w:lang w:val="es-CO"/>
        </w:rPr>
        <w:t>, al menos para el caso concreto, son ajenas las</w:t>
      </w:r>
      <w:r w:rsidR="002E2838" w:rsidRPr="0011025B">
        <w:rPr>
          <w:rFonts w:ascii="Arial Narrow" w:hAnsi="Arial Narrow" w:cs="Arial Narrow"/>
          <w:color w:val="auto"/>
          <w:sz w:val="26"/>
          <w:szCs w:val="26"/>
          <w:lang w:val="es-CO"/>
        </w:rPr>
        <w:t xml:space="preserve"> consideraciones del despacho </w:t>
      </w:r>
      <w:r w:rsidR="002E2838" w:rsidRPr="0011025B">
        <w:rPr>
          <w:rFonts w:ascii="Arial Narrow" w:hAnsi="Arial Narrow" w:cs="Arial Narrow"/>
          <w:i/>
          <w:iCs/>
          <w:color w:val="auto"/>
          <w:sz w:val="26"/>
          <w:szCs w:val="26"/>
          <w:lang w:val="es-CO"/>
        </w:rPr>
        <w:t>a quo</w:t>
      </w:r>
      <w:r w:rsidR="002E2838" w:rsidRPr="0011025B">
        <w:rPr>
          <w:rFonts w:ascii="Arial Narrow" w:hAnsi="Arial Narrow" w:cs="Arial Narrow"/>
          <w:color w:val="auto"/>
          <w:sz w:val="26"/>
          <w:szCs w:val="26"/>
          <w:lang w:val="es-CO"/>
        </w:rPr>
        <w:t xml:space="preserve"> para no conceder la suspensión provisional del acto de asamblea atacado en la demanda</w:t>
      </w:r>
      <w:r w:rsidR="09450E81" w:rsidRPr="0011025B">
        <w:rPr>
          <w:rFonts w:ascii="Arial Narrow" w:hAnsi="Arial Narrow" w:cs="Arial Narrow"/>
          <w:color w:val="auto"/>
          <w:sz w:val="26"/>
          <w:szCs w:val="26"/>
          <w:lang w:val="es-CO"/>
        </w:rPr>
        <w:t>,</w:t>
      </w:r>
      <w:r w:rsidR="002E2838" w:rsidRPr="0011025B">
        <w:rPr>
          <w:rFonts w:ascii="Arial Narrow" w:hAnsi="Arial Narrow" w:cs="Arial Narrow"/>
          <w:color w:val="auto"/>
          <w:sz w:val="26"/>
          <w:szCs w:val="26"/>
          <w:lang w:val="es-CO"/>
        </w:rPr>
        <w:t xml:space="preserve"> y las razones por la</w:t>
      </w:r>
      <w:r w:rsidR="00C23D2E" w:rsidRPr="0011025B">
        <w:rPr>
          <w:rFonts w:ascii="Arial Narrow" w:hAnsi="Arial Narrow" w:cs="Arial Narrow"/>
          <w:color w:val="auto"/>
          <w:sz w:val="26"/>
          <w:szCs w:val="26"/>
          <w:lang w:val="es-CO"/>
        </w:rPr>
        <w:t xml:space="preserve">s </w:t>
      </w:r>
      <w:r w:rsidR="002E2838" w:rsidRPr="0011025B">
        <w:rPr>
          <w:rFonts w:ascii="Arial Narrow" w:hAnsi="Arial Narrow" w:cs="Arial Narrow"/>
          <w:color w:val="auto"/>
          <w:sz w:val="26"/>
          <w:szCs w:val="26"/>
          <w:lang w:val="es-CO"/>
        </w:rPr>
        <w:t xml:space="preserve">que la parte demandante considera se erró en </w:t>
      </w:r>
      <w:r w:rsidR="5CF590C7" w:rsidRPr="0011025B">
        <w:rPr>
          <w:rFonts w:ascii="Arial Narrow" w:hAnsi="Arial Narrow" w:cs="Arial Narrow"/>
          <w:color w:val="auto"/>
          <w:sz w:val="26"/>
          <w:szCs w:val="26"/>
          <w:lang w:val="es-CO"/>
        </w:rPr>
        <w:t xml:space="preserve">esa </w:t>
      </w:r>
      <w:r w:rsidR="002E2838" w:rsidRPr="0011025B">
        <w:rPr>
          <w:rFonts w:ascii="Arial Narrow" w:hAnsi="Arial Narrow" w:cs="Arial Narrow"/>
          <w:color w:val="auto"/>
          <w:sz w:val="26"/>
          <w:szCs w:val="26"/>
          <w:lang w:val="es-CO"/>
        </w:rPr>
        <w:t>decisión</w:t>
      </w:r>
      <w:r w:rsidR="0091798B" w:rsidRPr="0011025B">
        <w:rPr>
          <w:rFonts w:ascii="Arial Narrow" w:hAnsi="Arial Narrow" w:cs="Arial Narrow"/>
          <w:color w:val="auto"/>
          <w:sz w:val="26"/>
          <w:szCs w:val="26"/>
          <w:lang w:val="es-CO"/>
        </w:rPr>
        <w:t>.</w:t>
      </w:r>
    </w:p>
    <w:p w14:paraId="6E8A3E83" w14:textId="488D2325" w:rsidR="002E2838" w:rsidRPr="0011025B" w:rsidRDefault="002E2838"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31AD2844" w14:textId="0D7F12B2" w:rsidR="002E2838" w:rsidRPr="0011025B" w:rsidRDefault="002E2838"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11025B">
        <w:rPr>
          <w:rFonts w:ascii="Arial Narrow" w:hAnsi="Arial Narrow" w:cs="Arial Narrow"/>
          <w:color w:val="auto"/>
          <w:sz w:val="26"/>
          <w:szCs w:val="26"/>
          <w:lang w:val="es-CO"/>
        </w:rPr>
        <w:t xml:space="preserve">Claramente se concluye del art. 352 del C.G.P. que su propósito es reprochar la decisión de </w:t>
      </w:r>
      <w:r w:rsidRPr="0011025B">
        <w:rPr>
          <w:rFonts w:ascii="Arial Narrow" w:hAnsi="Arial Narrow" w:cs="Arial Narrow"/>
          <w:b/>
          <w:bCs/>
          <w:color w:val="auto"/>
          <w:sz w:val="26"/>
          <w:szCs w:val="26"/>
          <w:lang w:val="es-CO"/>
        </w:rPr>
        <w:t>no conceder el recurso de apelación</w:t>
      </w:r>
      <w:r w:rsidRPr="0011025B">
        <w:rPr>
          <w:rFonts w:ascii="Arial Narrow" w:hAnsi="Arial Narrow" w:cs="Arial Narrow"/>
          <w:color w:val="auto"/>
          <w:sz w:val="26"/>
          <w:szCs w:val="26"/>
          <w:lang w:val="es-CO"/>
        </w:rPr>
        <w:t xml:space="preserve"> frente a determinada providencia</w:t>
      </w:r>
      <w:r w:rsidR="7AEF80A2" w:rsidRPr="0011025B">
        <w:rPr>
          <w:rFonts w:ascii="Arial Narrow" w:hAnsi="Arial Narrow" w:cs="Arial Narrow"/>
          <w:color w:val="auto"/>
          <w:sz w:val="26"/>
          <w:szCs w:val="26"/>
          <w:lang w:val="es-CO"/>
        </w:rPr>
        <w:t>. E</w:t>
      </w:r>
      <w:r w:rsidRPr="0011025B">
        <w:rPr>
          <w:rFonts w:ascii="Arial Narrow" w:hAnsi="Arial Narrow" w:cs="Arial Narrow"/>
          <w:color w:val="auto"/>
          <w:sz w:val="26"/>
          <w:szCs w:val="26"/>
          <w:lang w:val="es-CO"/>
        </w:rPr>
        <w:t>n ese sentido</w:t>
      </w:r>
      <w:r w:rsidR="00192F42" w:rsidRPr="0011025B">
        <w:rPr>
          <w:rFonts w:ascii="Arial Narrow" w:hAnsi="Arial Narrow" w:cs="Arial Narrow"/>
          <w:color w:val="auto"/>
          <w:sz w:val="26"/>
          <w:szCs w:val="26"/>
          <w:lang w:val="es-CO"/>
        </w:rPr>
        <w:t>,</w:t>
      </w:r>
      <w:r w:rsidRPr="0011025B">
        <w:rPr>
          <w:rFonts w:ascii="Arial Narrow" w:hAnsi="Arial Narrow" w:cs="Arial Narrow"/>
          <w:color w:val="auto"/>
          <w:sz w:val="26"/>
          <w:szCs w:val="26"/>
          <w:lang w:val="es-CO"/>
        </w:rPr>
        <w:t xml:space="preserve"> </w:t>
      </w:r>
      <w:r w:rsidR="00192F42" w:rsidRPr="0011025B">
        <w:rPr>
          <w:rFonts w:ascii="Arial Narrow" w:hAnsi="Arial Narrow" w:cs="Arial Narrow"/>
          <w:color w:val="auto"/>
          <w:sz w:val="26"/>
          <w:szCs w:val="26"/>
          <w:lang w:val="es-CO"/>
        </w:rPr>
        <w:t xml:space="preserve">el marco de la sustentación de la queja es determinar las razones por la </w:t>
      </w:r>
      <w:r w:rsidR="00C23D2E" w:rsidRPr="0011025B">
        <w:rPr>
          <w:rFonts w:ascii="Arial Narrow" w:hAnsi="Arial Narrow" w:cs="Arial Narrow"/>
          <w:color w:val="auto"/>
          <w:sz w:val="26"/>
          <w:szCs w:val="26"/>
          <w:lang w:val="es-CO"/>
        </w:rPr>
        <w:t>cuales,</w:t>
      </w:r>
      <w:r w:rsidR="00192F42" w:rsidRPr="0011025B">
        <w:rPr>
          <w:rFonts w:ascii="Arial Narrow" w:hAnsi="Arial Narrow" w:cs="Arial Narrow"/>
          <w:color w:val="auto"/>
          <w:sz w:val="26"/>
          <w:szCs w:val="26"/>
          <w:lang w:val="es-CO"/>
        </w:rPr>
        <w:t xml:space="preserve"> contra</w:t>
      </w:r>
      <w:r w:rsidR="4CDC9E04" w:rsidRPr="0011025B">
        <w:rPr>
          <w:rFonts w:ascii="Arial Narrow" w:hAnsi="Arial Narrow" w:cs="Arial Narrow"/>
          <w:color w:val="auto"/>
          <w:sz w:val="26"/>
          <w:szCs w:val="26"/>
          <w:lang w:val="es-CO"/>
        </w:rPr>
        <w:t xml:space="preserve">rio a lo que consideró el juzgador, </w:t>
      </w:r>
      <w:r w:rsidR="00192F42" w:rsidRPr="0011025B">
        <w:rPr>
          <w:rFonts w:ascii="Arial Narrow" w:hAnsi="Arial Narrow" w:cs="Arial Narrow"/>
          <w:color w:val="auto"/>
          <w:sz w:val="26"/>
          <w:szCs w:val="26"/>
          <w:lang w:val="es-CO"/>
        </w:rPr>
        <w:t>sí procede el remedio vertical</w:t>
      </w:r>
      <w:r w:rsidR="343F9223" w:rsidRPr="0011025B">
        <w:rPr>
          <w:rFonts w:ascii="Arial Narrow" w:hAnsi="Arial Narrow" w:cs="Arial Narrow"/>
          <w:color w:val="auto"/>
          <w:sz w:val="26"/>
          <w:szCs w:val="26"/>
          <w:lang w:val="es-CO"/>
        </w:rPr>
        <w:t>, nada más.</w:t>
      </w:r>
    </w:p>
    <w:p w14:paraId="7585ED00" w14:textId="543F1221" w:rsidR="454F580E" w:rsidRPr="0011025B" w:rsidRDefault="454F580E"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p>
    <w:p w14:paraId="29ADB8F1" w14:textId="26CCAE81" w:rsidR="00023A27" w:rsidRPr="0011025B" w:rsidRDefault="00C23D2E"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11025B">
        <w:rPr>
          <w:rFonts w:ascii="Arial Narrow" w:hAnsi="Arial Narrow" w:cs="Arial Narrow"/>
          <w:b/>
          <w:bCs/>
          <w:color w:val="auto"/>
          <w:sz w:val="26"/>
          <w:szCs w:val="26"/>
          <w:lang w:val="es-CO"/>
        </w:rPr>
        <w:t xml:space="preserve">3.- </w:t>
      </w:r>
      <w:r w:rsidR="008C396B" w:rsidRPr="0011025B">
        <w:rPr>
          <w:rFonts w:ascii="Arial Narrow" w:hAnsi="Arial Narrow" w:cs="Arial Narrow"/>
          <w:color w:val="auto"/>
          <w:sz w:val="26"/>
          <w:szCs w:val="26"/>
          <w:lang w:val="es-CO"/>
        </w:rPr>
        <w:t xml:space="preserve">Dijo el juez de primera instancia en el auto del </w:t>
      </w:r>
      <w:r w:rsidR="0040403C" w:rsidRPr="0011025B">
        <w:rPr>
          <w:rFonts w:ascii="Arial Narrow" w:hAnsi="Arial Narrow" w:cs="Arial Narrow"/>
          <w:color w:val="auto"/>
          <w:sz w:val="26"/>
          <w:szCs w:val="26"/>
          <w:lang w:val="es-CO"/>
        </w:rPr>
        <w:t xml:space="preserve">26 de julio de 2021, </w:t>
      </w:r>
      <w:r w:rsidR="008C396B" w:rsidRPr="0011025B">
        <w:rPr>
          <w:rFonts w:ascii="Arial Narrow" w:hAnsi="Arial Narrow" w:cs="Arial Narrow"/>
          <w:color w:val="auto"/>
          <w:sz w:val="26"/>
          <w:szCs w:val="26"/>
          <w:lang w:val="es-CO"/>
        </w:rPr>
        <w:t>que la providencia que deni</w:t>
      </w:r>
      <w:r w:rsidR="0040403C" w:rsidRPr="0011025B">
        <w:rPr>
          <w:rFonts w:ascii="Arial Narrow" w:hAnsi="Arial Narrow" w:cs="Arial Narrow"/>
          <w:color w:val="auto"/>
          <w:sz w:val="26"/>
          <w:szCs w:val="26"/>
          <w:lang w:val="es-CO"/>
        </w:rPr>
        <w:t>e</w:t>
      </w:r>
      <w:r w:rsidR="008C396B" w:rsidRPr="0011025B">
        <w:rPr>
          <w:rFonts w:ascii="Arial Narrow" w:hAnsi="Arial Narrow" w:cs="Arial Narrow"/>
          <w:color w:val="auto"/>
          <w:sz w:val="26"/>
          <w:szCs w:val="26"/>
          <w:lang w:val="es-CO"/>
        </w:rPr>
        <w:t>ga la suspensión de los efectos de</w:t>
      </w:r>
      <w:r w:rsidR="0040403C" w:rsidRPr="0011025B">
        <w:rPr>
          <w:rFonts w:ascii="Arial Narrow" w:hAnsi="Arial Narrow" w:cs="Arial Narrow"/>
          <w:color w:val="auto"/>
          <w:sz w:val="26"/>
          <w:szCs w:val="26"/>
          <w:lang w:val="es-CO"/>
        </w:rPr>
        <w:t>l acto de asamblea impugnado no era apelable, porque solamente lo es el que la conceda (art. 382 del C.G.P</w:t>
      </w:r>
      <w:r w:rsidR="7DFD47C0" w:rsidRPr="0011025B">
        <w:rPr>
          <w:rFonts w:ascii="Arial Narrow" w:hAnsi="Arial Narrow" w:cs="Arial Narrow"/>
          <w:color w:val="auto"/>
          <w:sz w:val="26"/>
          <w:szCs w:val="26"/>
          <w:lang w:val="es-CO"/>
        </w:rPr>
        <w:t>.</w:t>
      </w:r>
      <w:r w:rsidR="0040403C" w:rsidRPr="0011025B">
        <w:rPr>
          <w:rFonts w:ascii="Arial Narrow" w:hAnsi="Arial Narrow" w:cs="Arial Narrow"/>
          <w:color w:val="auto"/>
          <w:sz w:val="26"/>
          <w:szCs w:val="26"/>
          <w:lang w:val="es-CO"/>
        </w:rPr>
        <w:t xml:space="preserve">), y que tampoco se ajusta a las providencias susceptibles de alzada relacionadas en el art. 321 de la obra adjetiva civil; luego entonces, debió el quejoso exponer razones jurídicas frente a </w:t>
      </w:r>
      <w:r w:rsidR="629BB148" w:rsidRPr="0011025B">
        <w:rPr>
          <w:rFonts w:ascii="Arial Narrow" w:hAnsi="Arial Narrow" w:cs="Arial Narrow"/>
          <w:color w:val="auto"/>
          <w:sz w:val="26"/>
          <w:szCs w:val="26"/>
          <w:lang w:val="es-CO"/>
        </w:rPr>
        <w:t xml:space="preserve">esas </w:t>
      </w:r>
      <w:r w:rsidR="0040403C" w:rsidRPr="0011025B">
        <w:rPr>
          <w:rFonts w:ascii="Arial Narrow" w:hAnsi="Arial Narrow" w:cs="Arial Narrow"/>
          <w:color w:val="auto"/>
          <w:sz w:val="26"/>
          <w:szCs w:val="26"/>
          <w:lang w:val="es-CO"/>
        </w:rPr>
        <w:t xml:space="preserve">conclusiones para que la Sala pudiera confrontarlas y decidir sobre si es o no apelable </w:t>
      </w:r>
      <w:r w:rsidR="44D2908D" w:rsidRPr="0011025B">
        <w:rPr>
          <w:rFonts w:ascii="Arial Narrow" w:hAnsi="Arial Narrow" w:cs="Arial Narrow"/>
          <w:color w:val="auto"/>
          <w:sz w:val="26"/>
          <w:szCs w:val="26"/>
          <w:lang w:val="es-CO"/>
        </w:rPr>
        <w:t xml:space="preserve">la aludida </w:t>
      </w:r>
      <w:r w:rsidR="0040403C" w:rsidRPr="0011025B">
        <w:rPr>
          <w:rFonts w:ascii="Arial Narrow" w:hAnsi="Arial Narrow" w:cs="Arial Narrow"/>
          <w:color w:val="auto"/>
          <w:sz w:val="26"/>
          <w:szCs w:val="26"/>
          <w:lang w:val="es-CO"/>
        </w:rPr>
        <w:t>providencia</w:t>
      </w:r>
      <w:r w:rsidR="00023A27" w:rsidRPr="0011025B">
        <w:rPr>
          <w:rFonts w:ascii="Arial Narrow" w:hAnsi="Arial Narrow" w:cs="Arial Narrow"/>
          <w:color w:val="auto"/>
          <w:sz w:val="26"/>
          <w:szCs w:val="26"/>
          <w:lang w:val="es-CO"/>
        </w:rPr>
        <w:t xml:space="preserve">. </w:t>
      </w:r>
    </w:p>
    <w:p w14:paraId="7EDC0E64" w14:textId="77777777" w:rsidR="00023A27" w:rsidRPr="0011025B" w:rsidRDefault="00023A27"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73708824" w14:textId="6FCE4337" w:rsidR="00023A27" w:rsidRPr="0011025B" w:rsidRDefault="00023A27"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1025B">
        <w:rPr>
          <w:rFonts w:ascii="Arial Narrow" w:hAnsi="Arial Narrow" w:cs="Arial Narrow"/>
          <w:bCs/>
          <w:color w:val="auto"/>
          <w:sz w:val="26"/>
          <w:szCs w:val="26"/>
          <w:lang w:val="es-CO"/>
        </w:rPr>
        <w:t xml:space="preserve">Respecto a la necesidad de la sustentación de las herramientas de impugnación, ha sostenido la Corte Suprema de Justicia (AC4387-2019): </w:t>
      </w:r>
    </w:p>
    <w:p w14:paraId="58B2B57E" w14:textId="137DB043" w:rsidR="00023A27" w:rsidRPr="0011025B" w:rsidRDefault="00023A27"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57DFC3D8" w14:textId="22BAFC94" w:rsidR="00023A27" w:rsidRPr="00532E82" w:rsidRDefault="00023A27" w:rsidP="00532E82">
      <w:pPr>
        <w:pStyle w:val="31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26" w:right="420"/>
        <w:jc w:val="both"/>
        <w:rPr>
          <w:rFonts w:ascii="Arial Narrow" w:hAnsi="Arial Narrow" w:cs="Arial Narrow"/>
          <w:i/>
          <w:iCs/>
          <w:color w:val="auto"/>
          <w:sz w:val="24"/>
          <w:szCs w:val="26"/>
          <w:lang w:val="es-CO"/>
        </w:rPr>
      </w:pPr>
      <w:r w:rsidRPr="00532E82">
        <w:rPr>
          <w:rFonts w:ascii="Arial Narrow" w:hAnsi="Arial Narrow" w:cs="Arial Narrow"/>
          <w:i/>
          <w:iCs/>
          <w:color w:val="auto"/>
          <w:sz w:val="24"/>
          <w:szCs w:val="26"/>
          <w:lang w:val="es-CO"/>
        </w:rPr>
        <w:t>“Consagra el estatuto procesal civil vigente, para las partes o terceros intervinientes dentro del proceso que acudan a los medios de impugnación el deber de expresar de forma concreta, precisa y delimitada las razones que sustenten su inconformidad, opuesto esto a lo indeterminado o genérico.</w:t>
      </w:r>
    </w:p>
    <w:p w14:paraId="7A787807" w14:textId="77777777" w:rsidR="00621D1E" w:rsidRPr="00532E82" w:rsidRDefault="00621D1E" w:rsidP="00532E82">
      <w:pPr>
        <w:pStyle w:val="31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26" w:right="420"/>
        <w:jc w:val="both"/>
        <w:rPr>
          <w:rFonts w:ascii="Arial Narrow" w:hAnsi="Arial Narrow" w:cs="Arial Narrow"/>
          <w:i/>
          <w:iCs/>
          <w:color w:val="auto"/>
          <w:sz w:val="24"/>
          <w:szCs w:val="26"/>
          <w:lang w:val="es-CO"/>
        </w:rPr>
      </w:pPr>
    </w:p>
    <w:p w14:paraId="48CDE24B" w14:textId="7AF1C49B" w:rsidR="00023A27" w:rsidRPr="00532E82" w:rsidRDefault="00023A27" w:rsidP="00532E82">
      <w:pPr>
        <w:pStyle w:val="31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26" w:right="420"/>
        <w:jc w:val="both"/>
        <w:rPr>
          <w:rFonts w:ascii="Arial Narrow" w:hAnsi="Arial Narrow" w:cs="Arial Narrow"/>
          <w:color w:val="auto"/>
          <w:sz w:val="24"/>
          <w:szCs w:val="26"/>
          <w:lang w:val="es-CO"/>
        </w:rPr>
      </w:pPr>
      <w:r w:rsidRPr="00532E82">
        <w:rPr>
          <w:rFonts w:ascii="Arial Narrow" w:hAnsi="Arial Narrow" w:cs="Arial Narrow"/>
          <w:i/>
          <w:iCs/>
          <w:color w:val="auto"/>
          <w:sz w:val="24"/>
          <w:szCs w:val="26"/>
          <w:lang w:val="es-CO"/>
        </w:rPr>
        <w:t xml:space="preserve">De tal forma que, atendiendo dichas reglas, se ha predicado que para que el juzgador esté en la obligación de abordar una temática particular del litigio, no basta con interponer el recurso, sino que el recurrente debe exponer los fundamentos de su descontento, indicando de manera «concreta» los tópicos sobre los cuales versa su reproche, pues </w:t>
      </w:r>
      <w:r w:rsidRPr="00532E82">
        <w:rPr>
          <w:rFonts w:ascii="Arial Narrow" w:hAnsi="Arial Narrow" w:cs="Arial Narrow"/>
          <w:b/>
          <w:bCs/>
          <w:i/>
          <w:iCs/>
          <w:color w:val="auto"/>
          <w:sz w:val="24"/>
          <w:szCs w:val="26"/>
          <w:lang w:val="es-CO"/>
        </w:rPr>
        <w:t>no es del resorte del administrador de justicia entrar en una tarea especulativa, en aras de averiguar dónde y por qué su decisión no está conforme con el ordenamiento o con los hechos del asunto</w:t>
      </w:r>
      <w:r w:rsidRPr="00532E82">
        <w:rPr>
          <w:rFonts w:ascii="Arial Narrow" w:hAnsi="Arial Narrow" w:cs="Arial Narrow"/>
          <w:i/>
          <w:iCs/>
          <w:color w:val="auto"/>
          <w:sz w:val="24"/>
          <w:szCs w:val="26"/>
          <w:lang w:val="es-CO"/>
        </w:rPr>
        <w:t xml:space="preserve">.” </w:t>
      </w:r>
      <w:r w:rsidRPr="00532E82">
        <w:rPr>
          <w:rFonts w:ascii="Arial Narrow" w:hAnsi="Arial Narrow" w:cs="Arial Narrow"/>
          <w:color w:val="auto"/>
          <w:sz w:val="24"/>
          <w:szCs w:val="26"/>
          <w:lang w:val="es-CO"/>
        </w:rPr>
        <w:t>(En negrilla fuera del texto original)</w:t>
      </w:r>
    </w:p>
    <w:p w14:paraId="26E3EC72" w14:textId="3F23BA66" w:rsidR="00C23D2E" w:rsidRPr="0011025B" w:rsidRDefault="008C396B"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r w:rsidRPr="0011025B">
        <w:rPr>
          <w:rFonts w:ascii="Arial Narrow" w:hAnsi="Arial Narrow" w:cs="Arial Narrow"/>
          <w:bCs/>
          <w:color w:val="auto"/>
          <w:sz w:val="26"/>
          <w:szCs w:val="26"/>
          <w:lang w:val="es-CO"/>
        </w:rPr>
        <w:t xml:space="preserve"> </w:t>
      </w:r>
    </w:p>
    <w:p w14:paraId="3793B6D5" w14:textId="51CD1679" w:rsidR="002E2838" w:rsidRPr="0011025B" w:rsidRDefault="00B5465F"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11025B">
        <w:rPr>
          <w:rFonts w:ascii="Arial Narrow" w:hAnsi="Arial Narrow" w:cs="Arial Narrow"/>
          <w:b/>
          <w:bCs/>
          <w:color w:val="auto"/>
          <w:sz w:val="26"/>
          <w:szCs w:val="26"/>
          <w:lang w:val="es-CO"/>
        </w:rPr>
        <w:t>4</w:t>
      </w:r>
      <w:r w:rsidR="00823164" w:rsidRPr="0011025B">
        <w:rPr>
          <w:rFonts w:ascii="Arial Narrow" w:hAnsi="Arial Narrow" w:cs="Arial Narrow"/>
          <w:b/>
          <w:bCs/>
          <w:color w:val="auto"/>
          <w:sz w:val="26"/>
          <w:szCs w:val="26"/>
          <w:lang w:val="es-CO"/>
        </w:rPr>
        <w:t>.-</w:t>
      </w:r>
      <w:r w:rsidR="00823164" w:rsidRPr="0011025B">
        <w:rPr>
          <w:rFonts w:ascii="Arial Narrow" w:hAnsi="Arial Narrow" w:cs="Arial Narrow"/>
          <w:color w:val="auto"/>
          <w:sz w:val="26"/>
          <w:szCs w:val="26"/>
          <w:lang w:val="es-CO"/>
        </w:rPr>
        <w:t xml:space="preserve"> </w:t>
      </w:r>
      <w:r w:rsidR="00621D1E" w:rsidRPr="0011025B">
        <w:rPr>
          <w:rFonts w:ascii="Arial Narrow" w:hAnsi="Arial Narrow" w:cs="Arial Narrow"/>
          <w:color w:val="auto"/>
          <w:sz w:val="26"/>
          <w:szCs w:val="26"/>
          <w:lang w:val="es-CO"/>
        </w:rPr>
        <w:t>E</w:t>
      </w:r>
      <w:r w:rsidR="00823164" w:rsidRPr="0011025B">
        <w:rPr>
          <w:rFonts w:ascii="Arial Narrow" w:hAnsi="Arial Narrow" w:cs="Arial Narrow"/>
          <w:color w:val="auto"/>
          <w:sz w:val="26"/>
          <w:szCs w:val="26"/>
          <w:lang w:val="es-CO"/>
        </w:rPr>
        <w:t xml:space="preserve">l escrito de opugnación que nos compele se contiene en el archivo 015 de primera instancia; </w:t>
      </w:r>
      <w:r w:rsidR="001D4537" w:rsidRPr="0011025B">
        <w:rPr>
          <w:rFonts w:ascii="Arial Narrow" w:hAnsi="Arial Narrow" w:cs="Arial Narrow"/>
          <w:color w:val="auto"/>
          <w:sz w:val="26"/>
          <w:szCs w:val="26"/>
          <w:lang w:val="es-CO"/>
        </w:rPr>
        <w:t>d</w:t>
      </w:r>
      <w:r w:rsidR="00823164" w:rsidRPr="0011025B">
        <w:rPr>
          <w:rFonts w:ascii="Arial Narrow" w:hAnsi="Arial Narrow" w:cs="Arial Narrow"/>
          <w:color w:val="auto"/>
          <w:sz w:val="26"/>
          <w:szCs w:val="26"/>
          <w:lang w:val="es-CO"/>
        </w:rPr>
        <w:t>el que, aunque extenso</w:t>
      </w:r>
      <w:r w:rsidR="001D4537" w:rsidRPr="0011025B">
        <w:rPr>
          <w:rFonts w:ascii="Arial Narrow" w:hAnsi="Arial Narrow" w:cs="Arial Narrow"/>
          <w:color w:val="auto"/>
          <w:sz w:val="26"/>
          <w:szCs w:val="26"/>
          <w:lang w:val="es-CO"/>
        </w:rPr>
        <w:t>, más allá de invocar el recurso de queja, de él no puede extraerse argumento alguno que cumpla las expectativas antes señaladas</w:t>
      </w:r>
      <w:r w:rsidR="70404E73" w:rsidRPr="0011025B">
        <w:rPr>
          <w:rFonts w:ascii="Arial Narrow" w:hAnsi="Arial Narrow" w:cs="Arial Narrow"/>
          <w:color w:val="auto"/>
          <w:sz w:val="26"/>
          <w:szCs w:val="26"/>
          <w:lang w:val="es-CO"/>
        </w:rPr>
        <w:t xml:space="preserve">. Por el contrario, todo el esfuerzo lo </w:t>
      </w:r>
      <w:r w:rsidR="00621D1E" w:rsidRPr="0011025B">
        <w:rPr>
          <w:rFonts w:ascii="Arial Narrow" w:hAnsi="Arial Narrow" w:cs="Arial Narrow"/>
          <w:color w:val="auto"/>
          <w:sz w:val="26"/>
          <w:szCs w:val="26"/>
          <w:lang w:val="es-CO"/>
        </w:rPr>
        <w:t xml:space="preserve">centró </w:t>
      </w:r>
      <w:r w:rsidR="001D4537" w:rsidRPr="0011025B">
        <w:rPr>
          <w:rFonts w:ascii="Arial Narrow" w:hAnsi="Arial Narrow" w:cs="Arial Narrow"/>
          <w:color w:val="auto"/>
          <w:sz w:val="26"/>
          <w:szCs w:val="26"/>
          <w:lang w:val="es-CO"/>
        </w:rPr>
        <w:t xml:space="preserve">el recurrente en </w:t>
      </w:r>
      <w:r w:rsidR="690A8E3F" w:rsidRPr="0011025B">
        <w:rPr>
          <w:rFonts w:ascii="Arial Narrow" w:hAnsi="Arial Narrow" w:cs="Arial Narrow"/>
          <w:color w:val="auto"/>
          <w:sz w:val="26"/>
          <w:szCs w:val="26"/>
          <w:lang w:val="es-CO"/>
        </w:rPr>
        <w:t xml:space="preserve">exponer </w:t>
      </w:r>
      <w:r w:rsidR="001D4537" w:rsidRPr="0011025B">
        <w:rPr>
          <w:rFonts w:ascii="Arial Narrow" w:hAnsi="Arial Narrow" w:cs="Arial Narrow"/>
          <w:color w:val="auto"/>
          <w:sz w:val="26"/>
          <w:szCs w:val="26"/>
          <w:lang w:val="es-CO"/>
        </w:rPr>
        <w:t>los motivos por los cuales</w:t>
      </w:r>
      <w:r w:rsidR="13D3846E" w:rsidRPr="0011025B">
        <w:rPr>
          <w:rFonts w:ascii="Arial Narrow" w:hAnsi="Arial Narrow" w:cs="Arial Narrow"/>
          <w:color w:val="auto"/>
          <w:sz w:val="26"/>
          <w:szCs w:val="26"/>
          <w:lang w:val="es-CO"/>
        </w:rPr>
        <w:t xml:space="preserve">, a su juicio, </w:t>
      </w:r>
      <w:r w:rsidR="001D4537" w:rsidRPr="0011025B">
        <w:rPr>
          <w:rFonts w:ascii="Arial Narrow" w:hAnsi="Arial Narrow" w:cs="Arial Narrow"/>
          <w:color w:val="auto"/>
          <w:sz w:val="26"/>
          <w:szCs w:val="26"/>
          <w:lang w:val="es-CO"/>
        </w:rPr>
        <w:t>debió decretarse la suspensión del acto de asamblea</w:t>
      </w:r>
      <w:r w:rsidR="4D775A1C" w:rsidRPr="0011025B">
        <w:rPr>
          <w:rFonts w:ascii="Arial Narrow" w:hAnsi="Arial Narrow" w:cs="Arial Narrow"/>
          <w:color w:val="auto"/>
          <w:sz w:val="26"/>
          <w:szCs w:val="26"/>
          <w:lang w:val="es-CO"/>
        </w:rPr>
        <w:t>,</w:t>
      </w:r>
      <w:r w:rsidR="7C014355" w:rsidRPr="0011025B">
        <w:rPr>
          <w:rFonts w:ascii="Arial Narrow" w:hAnsi="Arial Narrow" w:cs="Arial Narrow"/>
          <w:color w:val="auto"/>
          <w:sz w:val="26"/>
          <w:szCs w:val="26"/>
          <w:lang w:val="es-CO"/>
        </w:rPr>
        <w:t xml:space="preserve"> y que no hacerlo implica incurrir en defectos procedimentales, pero en ningún recodo se detuvo a </w:t>
      </w:r>
      <w:r w:rsidR="4D775A1C" w:rsidRPr="0011025B">
        <w:rPr>
          <w:rFonts w:ascii="Arial Narrow" w:hAnsi="Arial Narrow" w:cs="Arial Narrow"/>
          <w:color w:val="auto"/>
          <w:sz w:val="26"/>
          <w:szCs w:val="26"/>
          <w:lang w:val="es-CO"/>
        </w:rPr>
        <w:t>enseñar porque, contrario a lo que sostuvo el a quo, el auto que negó esa determinación sí era apelable.</w:t>
      </w:r>
    </w:p>
    <w:p w14:paraId="5F41B484" w14:textId="76B7135A" w:rsidR="001D4537" w:rsidRPr="0011025B" w:rsidRDefault="001D4537"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86E5702" w14:textId="3839FD34" w:rsidR="001D4537" w:rsidRPr="0011025B" w:rsidRDefault="00621D1E"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1025B">
        <w:rPr>
          <w:rFonts w:ascii="Arial Narrow" w:hAnsi="Arial Narrow" w:cs="Arial Narrow"/>
          <w:b/>
          <w:bCs/>
          <w:color w:val="auto"/>
          <w:sz w:val="26"/>
          <w:szCs w:val="26"/>
          <w:lang w:val="es-CO"/>
        </w:rPr>
        <w:lastRenderedPageBreak/>
        <w:t>5.-</w:t>
      </w:r>
      <w:r w:rsidRPr="0011025B">
        <w:rPr>
          <w:rFonts w:ascii="Arial Narrow" w:hAnsi="Arial Narrow" w:cs="Arial Narrow"/>
          <w:bCs/>
          <w:color w:val="auto"/>
          <w:sz w:val="26"/>
          <w:szCs w:val="26"/>
          <w:lang w:val="es-CO"/>
        </w:rPr>
        <w:t xml:space="preserve"> </w:t>
      </w:r>
      <w:r w:rsidR="001D4537" w:rsidRPr="0011025B">
        <w:rPr>
          <w:rFonts w:ascii="Arial Narrow" w:hAnsi="Arial Narrow" w:cs="Arial Narrow"/>
          <w:bCs/>
          <w:color w:val="auto"/>
          <w:sz w:val="26"/>
          <w:szCs w:val="26"/>
          <w:lang w:val="es-CO"/>
        </w:rPr>
        <w:t>Ante la falta de sustentación del remedio subsidiario, debe declararse desierto</w:t>
      </w:r>
      <w:r w:rsidR="00B5465F" w:rsidRPr="0011025B">
        <w:rPr>
          <w:rStyle w:val="Refdenotaalpie"/>
          <w:rFonts w:ascii="Arial Narrow" w:hAnsi="Arial Narrow" w:cs="Arial Narrow"/>
          <w:bCs/>
          <w:color w:val="auto"/>
          <w:sz w:val="26"/>
          <w:szCs w:val="26"/>
          <w:lang w:val="es-CO"/>
        </w:rPr>
        <w:footnoteReference w:id="4"/>
      </w:r>
      <w:r w:rsidR="001D4537" w:rsidRPr="0011025B">
        <w:rPr>
          <w:rFonts w:ascii="Arial Narrow" w:hAnsi="Arial Narrow" w:cs="Arial Narrow"/>
          <w:bCs/>
          <w:color w:val="auto"/>
          <w:sz w:val="26"/>
          <w:szCs w:val="26"/>
          <w:lang w:val="es-CO"/>
        </w:rPr>
        <w:t xml:space="preserve">   </w:t>
      </w:r>
      <w:r w:rsidR="001D4537" w:rsidRPr="0011025B">
        <w:rPr>
          <w:rFonts w:ascii="Arial Narrow" w:hAnsi="Arial Narrow" w:cs="Arial Narrow"/>
          <w:bCs/>
          <w:i/>
          <w:color w:val="auto"/>
          <w:sz w:val="26"/>
          <w:szCs w:val="26"/>
          <w:lang w:val="es-CO"/>
        </w:rPr>
        <w:t>“</w:t>
      </w:r>
      <w:r w:rsidR="001D4537" w:rsidRPr="00532E82">
        <w:rPr>
          <w:rFonts w:ascii="Arial Narrow" w:hAnsi="Arial Narrow" w:cs="Arial Narrow"/>
          <w:bCs/>
          <w:i/>
          <w:color w:val="auto"/>
          <w:sz w:val="24"/>
          <w:szCs w:val="26"/>
          <w:lang w:val="es-CO"/>
        </w:rPr>
        <w:t>…</w:t>
      </w:r>
      <w:r w:rsidR="00532E82" w:rsidRPr="00532E82">
        <w:rPr>
          <w:rFonts w:ascii="Arial Narrow" w:hAnsi="Arial Narrow" w:cs="Arial Narrow"/>
          <w:bCs/>
          <w:i/>
          <w:color w:val="auto"/>
          <w:sz w:val="24"/>
          <w:szCs w:val="26"/>
          <w:lang w:val="es-CO"/>
        </w:rPr>
        <w:t xml:space="preserve"> </w:t>
      </w:r>
      <w:r w:rsidR="001D4537" w:rsidRPr="00532E82">
        <w:rPr>
          <w:rFonts w:ascii="Arial Narrow" w:hAnsi="Arial Narrow" w:cs="Arial Narrow"/>
          <w:bCs/>
          <w:i/>
          <w:color w:val="auto"/>
          <w:sz w:val="24"/>
          <w:szCs w:val="26"/>
          <w:lang w:val="es-CO"/>
        </w:rPr>
        <w:t>debido a que la mera la intensión de recurrir una decisión judicial y simplemente enunciar el cumplimiento de «los requisitos de ley para su procedencia, fue propuesta en tiempo y ante la judicatura correspondiente», no colma la exigencia de expresar de manera «precisa» los motivos de disenso con el proveído reprochado y, por ende, no es suficiente para entender qué constituye su objeto, situación que por sí sola se tornaría en un obstáculo para decidir de fondo el asunto</w:t>
      </w:r>
      <w:r w:rsidR="001D4537" w:rsidRPr="0011025B">
        <w:rPr>
          <w:rFonts w:ascii="Arial Narrow" w:hAnsi="Arial Narrow" w:cs="Arial Narrow"/>
          <w:bCs/>
          <w:i/>
          <w:color w:val="auto"/>
          <w:sz w:val="26"/>
          <w:szCs w:val="26"/>
          <w:lang w:val="es-CO"/>
        </w:rPr>
        <w:t>.”</w:t>
      </w:r>
      <w:r w:rsidR="001D4537" w:rsidRPr="0011025B">
        <w:rPr>
          <w:rFonts w:ascii="Arial Narrow" w:hAnsi="Arial Narrow" w:cs="Arial Narrow"/>
          <w:bCs/>
          <w:color w:val="auto"/>
          <w:sz w:val="26"/>
          <w:szCs w:val="26"/>
          <w:lang w:val="es-CO"/>
        </w:rPr>
        <w:t xml:space="preserve"> </w:t>
      </w:r>
      <w:r w:rsidR="00B5465F" w:rsidRPr="0011025B">
        <w:rPr>
          <w:rStyle w:val="Refdenotaalpie"/>
          <w:rFonts w:ascii="Arial Narrow" w:hAnsi="Arial Narrow" w:cs="Arial Narrow"/>
          <w:bCs/>
          <w:color w:val="auto"/>
          <w:sz w:val="26"/>
          <w:szCs w:val="26"/>
          <w:lang w:val="es-CO"/>
        </w:rPr>
        <w:footnoteReference w:id="5"/>
      </w:r>
    </w:p>
    <w:p w14:paraId="0917A63D" w14:textId="6B512D34" w:rsidR="002E2838" w:rsidRPr="0011025B" w:rsidRDefault="002E2838"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244002D4" w14:textId="0A4411B4" w:rsidR="002E2838" w:rsidRPr="0011025B" w:rsidRDefault="00584A99"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11025B">
        <w:rPr>
          <w:rFonts w:ascii="Arial Narrow" w:hAnsi="Arial Narrow" w:cs="Arial Narrow"/>
          <w:b/>
          <w:bCs/>
          <w:color w:val="auto"/>
          <w:sz w:val="26"/>
          <w:szCs w:val="26"/>
          <w:lang w:val="es-CO"/>
        </w:rPr>
        <w:t>5.-.</w:t>
      </w:r>
      <w:r w:rsidRPr="0011025B">
        <w:rPr>
          <w:rFonts w:ascii="Arial Narrow" w:hAnsi="Arial Narrow" w:cs="Arial Narrow"/>
          <w:color w:val="auto"/>
          <w:sz w:val="26"/>
          <w:szCs w:val="26"/>
          <w:lang w:val="es-CO"/>
        </w:rPr>
        <w:t xml:space="preserve"> Sin condena en costas al no estar aún c</w:t>
      </w:r>
      <w:r w:rsidR="5F7DB385" w:rsidRPr="0011025B">
        <w:rPr>
          <w:rFonts w:ascii="Arial Narrow" w:hAnsi="Arial Narrow" w:cs="Arial Narrow"/>
          <w:color w:val="auto"/>
          <w:sz w:val="26"/>
          <w:szCs w:val="26"/>
          <w:lang w:val="es-CO"/>
        </w:rPr>
        <w:t xml:space="preserve">onformada </w:t>
      </w:r>
      <w:r w:rsidRPr="0011025B">
        <w:rPr>
          <w:rFonts w:ascii="Arial Narrow" w:hAnsi="Arial Narrow" w:cs="Arial Narrow"/>
          <w:color w:val="auto"/>
          <w:sz w:val="26"/>
          <w:szCs w:val="26"/>
          <w:lang w:val="es-CO"/>
        </w:rPr>
        <w:t>la litis.</w:t>
      </w:r>
    </w:p>
    <w:p w14:paraId="178A884E" w14:textId="77777777" w:rsidR="00584A99" w:rsidRPr="0011025B" w:rsidRDefault="00584A99" w:rsidP="002F51A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5B1F037A" w14:textId="77777777" w:rsidR="00584A99" w:rsidRPr="0011025B" w:rsidRDefault="00584A99" w:rsidP="002F51AE">
      <w:pPr>
        <w:spacing w:line="276" w:lineRule="auto"/>
        <w:jc w:val="both"/>
        <w:rPr>
          <w:rFonts w:ascii="Arial Narrow" w:hAnsi="Arial Narrow"/>
          <w:sz w:val="26"/>
          <w:szCs w:val="26"/>
        </w:rPr>
      </w:pPr>
      <w:r w:rsidRPr="0011025B">
        <w:rPr>
          <w:rFonts w:ascii="Arial Narrow" w:hAnsi="Arial Narrow"/>
          <w:sz w:val="26"/>
          <w:szCs w:val="26"/>
        </w:rPr>
        <w:t>En consecuencia, el Despacho 002 de la Sala Civil Familia del Tribunal Superior de Pereira,</w:t>
      </w:r>
    </w:p>
    <w:p w14:paraId="4FD54812" w14:textId="77777777" w:rsidR="00584A99" w:rsidRPr="0011025B" w:rsidRDefault="00584A99" w:rsidP="002F51AE">
      <w:pPr>
        <w:spacing w:line="276" w:lineRule="auto"/>
        <w:jc w:val="both"/>
        <w:rPr>
          <w:rFonts w:ascii="Arial Narrow" w:hAnsi="Arial Narrow"/>
          <w:sz w:val="26"/>
          <w:szCs w:val="26"/>
        </w:rPr>
      </w:pPr>
    </w:p>
    <w:p w14:paraId="443AB1D5" w14:textId="096B5E85" w:rsidR="00584A99" w:rsidRPr="0011025B" w:rsidRDefault="00584A99" w:rsidP="002F51AE">
      <w:pPr>
        <w:spacing w:line="276" w:lineRule="auto"/>
        <w:jc w:val="center"/>
        <w:rPr>
          <w:rFonts w:ascii="Arial Narrow" w:hAnsi="Arial Narrow"/>
          <w:b/>
          <w:bCs/>
          <w:sz w:val="26"/>
          <w:szCs w:val="26"/>
        </w:rPr>
      </w:pPr>
      <w:r w:rsidRPr="0011025B">
        <w:rPr>
          <w:rFonts w:ascii="Arial Narrow" w:hAnsi="Arial Narrow"/>
          <w:b/>
          <w:bCs/>
          <w:sz w:val="26"/>
          <w:szCs w:val="26"/>
        </w:rPr>
        <w:t>Resuelve</w:t>
      </w:r>
    </w:p>
    <w:p w14:paraId="1AC5034F" w14:textId="77777777" w:rsidR="00584A99" w:rsidRPr="0011025B" w:rsidRDefault="00584A99" w:rsidP="002F51AE">
      <w:pPr>
        <w:spacing w:line="276" w:lineRule="auto"/>
        <w:jc w:val="both"/>
        <w:rPr>
          <w:rFonts w:ascii="Arial Narrow" w:hAnsi="Arial Narrow"/>
          <w:sz w:val="26"/>
          <w:szCs w:val="26"/>
        </w:rPr>
      </w:pPr>
    </w:p>
    <w:p w14:paraId="131CB9C1" w14:textId="45E7697A" w:rsidR="00584A99" w:rsidRPr="0011025B" w:rsidRDefault="00584A99" w:rsidP="002F51AE">
      <w:pPr>
        <w:spacing w:line="276" w:lineRule="auto"/>
        <w:jc w:val="both"/>
        <w:rPr>
          <w:rFonts w:ascii="Arial Narrow" w:hAnsi="Arial Narrow"/>
          <w:b/>
          <w:bCs/>
          <w:sz w:val="26"/>
          <w:szCs w:val="26"/>
        </w:rPr>
      </w:pPr>
      <w:r w:rsidRPr="0011025B">
        <w:rPr>
          <w:rFonts w:ascii="Arial Narrow" w:hAnsi="Arial Narrow"/>
          <w:b/>
          <w:bCs/>
          <w:sz w:val="26"/>
          <w:szCs w:val="26"/>
        </w:rPr>
        <w:t xml:space="preserve">Primero: </w:t>
      </w:r>
      <w:r w:rsidRPr="0011025B">
        <w:rPr>
          <w:rFonts w:ascii="Arial Narrow" w:hAnsi="Arial Narrow"/>
          <w:sz w:val="26"/>
          <w:szCs w:val="26"/>
        </w:rPr>
        <w:t xml:space="preserve">Declarar </w:t>
      </w:r>
      <w:r w:rsidRPr="0011025B">
        <w:rPr>
          <w:rFonts w:ascii="Arial Narrow" w:hAnsi="Arial Narrow"/>
          <w:b/>
          <w:bCs/>
          <w:sz w:val="26"/>
          <w:szCs w:val="26"/>
        </w:rPr>
        <w:t xml:space="preserve">desierto </w:t>
      </w:r>
      <w:r w:rsidRPr="0011025B">
        <w:rPr>
          <w:rFonts w:ascii="Arial Narrow" w:hAnsi="Arial Narrow"/>
          <w:sz w:val="26"/>
          <w:szCs w:val="26"/>
        </w:rPr>
        <w:t xml:space="preserve">el recurso de queja propuesto por la parte demandante contra el auto del 26 de julio 2021, dictado por el Juzgado Civil del Circuito de Dosquebradas, según lo expuesto en la parte motiva.   </w:t>
      </w:r>
      <w:r w:rsidRPr="0011025B">
        <w:rPr>
          <w:rFonts w:ascii="Arial Narrow" w:hAnsi="Arial Narrow"/>
          <w:b/>
          <w:bCs/>
          <w:sz w:val="26"/>
          <w:szCs w:val="26"/>
        </w:rPr>
        <w:t xml:space="preserve"> </w:t>
      </w:r>
    </w:p>
    <w:p w14:paraId="500EE29A" w14:textId="77777777" w:rsidR="00584A99" w:rsidRPr="0011025B" w:rsidRDefault="00584A99" w:rsidP="002F51AE">
      <w:pPr>
        <w:spacing w:line="276" w:lineRule="auto"/>
        <w:jc w:val="both"/>
        <w:rPr>
          <w:rFonts w:ascii="Arial Narrow" w:hAnsi="Arial Narrow"/>
          <w:b/>
          <w:bCs/>
          <w:sz w:val="26"/>
          <w:szCs w:val="26"/>
        </w:rPr>
      </w:pPr>
    </w:p>
    <w:p w14:paraId="6617FE57" w14:textId="77777777" w:rsidR="00584A99" w:rsidRPr="0011025B" w:rsidRDefault="00584A99" w:rsidP="002F51AE">
      <w:pPr>
        <w:spacing w:line="276" w:lineRule="auto"/>
        <w:jc w:val="both"/>
        <w:rPr>
          <w:rFonts w:ascii="Arial Narrow" w:hAnsi="Arial Narrow"/>
          <w:sz w:val="26"/>
          <w:szCs w:val="26"/>
        </w:rPr>
      </w:pPr>
      <w:r w:rsidRPr="0011025B">
        <w:rPr>
          <w:rFonts w:ascii="Arial Narrow" w:hAnsi="Arial Narrow"/>
          <w:b/>
          <w:bCs/>
          <w:sz w:val="26"/>
          <w:szCs w:val="26"/>
        </w:rPr>
        <w:t xml:space="preserve">Segundo: </w:t>
      </w:r>
      <w:r w:rsidRPr="0011025B">
        <w:rPr>
          <w:rFonts w:ascii="Arial Narrow" w:hAnsi="Arial Narrow"/>
          <w:sz w:val="26"/>
          <w:szCs w:val="26"/>
        </w:rPr>
        <w:t xml:space="preserve">Sin condena en costas, por lo arriba manifestado. </w:t>
      </w:r>
    </w:p>
    <w:p w14:paraId="41854BFD" w14:textId="77777777" w:rsidR="00584A99" w:rsidRPr="0011025B" w:rsidRDefault="00584A99" w:rsidP="002F51AE">
      <w:pPr>
        <w:spacing w:line="276" w:lineRule="auto"/>
        <w:jc w:val="both"/>
        <w:rPr>
          <w:rFonts w:ascii="Arial Narrow" w:hAnsi="Arial Narrow"/>
          <w:b/>
          <w:bCs/>
          <w:sz w:val="26"/>
          <w:szCs w:val="26"/>
        </w:rPr>
      </w:pPr>
    </w:p>
    <w:p w14:paraId="31C0F078" w14:textId="3F1CFC1F" w:rsidR="00584A99" w:rsidRPr="0011025B" w:rsidRDefault="00584A99" w:rsidP="002F51AE">
      <w:pPr>
        <w:spacing w:line="276" w:lineRule="auto"/>
        <w:jc w:val="both"/>
        <w:rPr>
          <w:rFonts w:ascii="Arial Narrow" w:hAnsi="Arial Narrow"/>
          <w:sz w:val="26"/>
          <w:szCs w:val="26"/>
        </w:rPr>
      </w:pPr>
      <w:r w:rsidRPr="0011025B">
        <w:rPr>
          <w:rFonts w:ascii="Arial Narrow" w:hAnsi="Arial Narrow"/>
          <w:b/>
          <w:bCs/>
          <w:sz w:val="26"/>
          <w:szCs w:val="26"/>
        </w:rPr>
        <w:t xml:space="preserve">Tercero: </w:t>
      </w:r>
      <w:r w:rsidRPr="0011025B">
        <w:rPr>
          <w:rFonts w:ascii="Arial Narrow" w:hAnsi="Arial Narrow"/>
          <w:sz w:val="26"/>
          <w:szCs w:val="26"/>
        </w:rPr>
        <w:t>Háganse las anotaciones pertinentes en sistemas virtuales de registro. Devuélvase el asunto a su lugar de origen.</w:t>
      </w:r>
    </w:p>
    <w:p w14:paraId="58689A06" w14:textId="29955A34" w:rsidR="000766A4" w:rsidRPr="0011025B" w:rsidRDefault="000766A4" w:rsidP="002F51AE">
      <w:pPr>
        <w:pStyle w:val="Textoindependiente"/>
        <w:spacing w:line="276" w:lineRule="auto"/>
        <w:ind w:right="157"/>
        <w:rPr>
          <w:rFonts w:ascii="Arial Narrow" w:hAnsi="Arial Narrow"/>
          <w:sz w:val="26"/>
          <w:szCs w:val="26"/>
        </w:rPr>
      </w:pPr>
    </w:p>
    <w:p w14:paraId="0FA80D46" w14:textId="5709F5A1" w:rsidR="00584A99" w:rsidRPr="0011025B" w:rsidRDefault="00584A99" w:rsidP="002F51AE">
      <w:pPr>
        <w:spacing w:line="276" w:lineRule="auto"/>
        <w:jc w:val="center"/>
        <w:rPr>
          <w:rFonts w:ascii="Arial Narrow" w:hAnsi="Arial Narrow" w:cs="Century Gothic"/>
          <w:b/>
          <w:bCs/>
          <w:sz w:val="26"/>
          <w:szCs w:val="26"/>
          <w:lang w:eastAsia="es-CO"/>
        </w:rPr>
      </w:pPr>
      <w:r w:rsidRPr="0011025B">
        <w:rPr>
          <w:rFonts w:ascii="Arial Narrow" w:hAnsi="Arial Narrow" w:cs="Century Gothic"/>
          <w:b/>
          <w:bCs/>
          <w:sz w:val="26"/>
          <w:szCs w:val="26"/>
          <w:lang w:eastAsia="es-CO"/>
        </w:rPr>
        <w:t>Notifíquese y Cúmplase</w:t>
      </w:r>
    </w:p>
    <w:p w14:paraId="3D1202B5" w14:textId="65996587" w:rsidR="00584A99" w:rsidRDefault="00584A99" w:rsidP="002F51AE">
      <w:pPr>
        <w:spacing w:line="276" w:lineRule="auto"/>
        <w:jc w:val="center"/>
        <w:rPr>
          <w:rFonts w:ascii="Arial Narrow" w:hAnsi="Arial Narrow" w:cs="Century Gothic"/>
          <w:b/>
          <w:bCs/>
          <w:sz w:val="26"/>
          <w:szCs w:val="26"/>
          <w:lang w:eastAsia="es-CO"/>
        </w:rPr>
      </w:pPr>
    </w:p>
    <w:p w14:paraId="48D8DB9C" w14:textId="77777777" w:rsidR="00FA7A5A" w:rsidRPr="0011025B" w:rsidRDefault="00FA7A5A" w:rsidP="002F51AE">
      <w:pPr>
        <w:spacing w:line="276" w:lineRule="auto"/>
        <w:jc w:val="center"/>
        <w:rPr>
          <w:rFonts w:ascii="Arial Narrow" w:hAnsi="Arial Narrow" w:cs="Century Gothic"/>
          <w:b/>
          <w:bCs/>
          <w:sz w:val="26"/>
          <w:szCs w:val="26"/>
          <w:lang w:eastAsia="es-CO"/>
        </w:rPr>
      </w:pPr>
    </w:p>
    <w:p w14:paraId="76FEB025" w14:textId="77777777" w:rsidR="00584A99" w:rsidRPr="0011025B" w:rsidRDefault="00584A99" w:rsidP="002F51AE">
      <w:pPr>
        <w:spacing w:line="276" w:lineRule="auto"/>
        <w:jc w:val="center"/>
        <w:rPr>
          <w:rFonts w:ascii="Arial Narrow" w:hAnsi="Arial Narrow" w:cs="Century Gothic"/>
          <w:b/>
          <w:bCs/>
          <w:sz w:val="26"/>
          <w:szCs w:val="26"/>
          <w:lang w:eastAsia="es-CO"/>
        </w:rPr>
      </w:pPr>
    </w:p>
    <w:p w14:paraId="23B865D7" w14:textId="77777777" w:rsidR="00584A99" w:rsidRPr="0011025B" w:rsidRDefault="00584A99" w:rsidP="002F51AE">
      <w:pPr>
        <w:spacing w:line="276" w:lineRule="auto"/>
        <w:jc w:val="center"/>
        <w:rPr>
          <w:rFonts w:ascii="Arial Narrow" w:hAnsi="Arial Narrow" w:cs="Century Gothic"/>
          <w:b/>
          <w:bCs/>
          <w:sz w:val="26"/>
          <w:szCs w:val="26"/>
          <w:lang w:eastAsia="es-CO"/>
        </w:rPr>
      </w:pPr>
      <w:r w:rsidRPr="0011025B">
        <w:rPr>
          <w:rFonts w:ascii="Arial Narrow" w:hAnsi="Arial Narrow" w:cs="Century Gothic"/>
          <w:b/>
          <w:bCs/>
          <w:sz w:val="26"/>
          <w:szCs w:val="26"/>
          <w:lang w:eastAsia="es-CO"/>
        </w:rPr>
        <w:t xml:space="preserve">Carlos Mauricio García Barajas </w:t>
      </w:r>
    </w:p>
    <w:p w14:paraId="61B24904" w14:textId="75B699BD" w:rsidR="00584A99" w:rsidRPr="0011025B" w:rsidRDefault="00584A99" w:rsidP="002F51AE">
      <w:pPr>
        <w:spacing w:line="276" w:lineRule="auto"/>
        <w:jc w:val="center"/>
        <w:rPr>
          <w:rFonts w:ascii="Arial Narrow" w:hAnsi="Arial Narrow"/>
          <w:sz w:val="26"/>
          <w:szCs w:val="26"/>
        </w:rPr>
      </w:pPr>
      <w:r w:rsidRPr="002F51AE">
        <w:rPr>
          <w:rFonts w:ascii="Arial Narrow" w:hAnsi="Arial Narrow" w:cs="Century Gothic"/>
          <w:bCs/>
          <w:sz w:val="26"/>
          <w:szCs w:val="26"/>
          <w:lang w:eastAsia="es-CO"/>
        </w:rPr>
        <w:t>Magistrado</w:t>
      </w:r>
    </w:p>
    <w:sectPr w:rsidR="00584A99" w:rsidRPr="0011025B" w:rsidSect="007B60CD">
      <w:headerReference w:type="default" r:id="rId12"/>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B05EB" w14:textId="77777777" w:rsidR="00DA2C54" w:rsidRDefault="00DA2C54" w:rsidP="00BD15C3">
      <w:r>
        <w:separator/>
      </w:r>
    </w:p>
  </w:endnote>
  <w:endnote w:type="continuationSeparator" w:id="0">
    <w:p w14:paraId="49D732E1" w14:textId="77777777" w:rsidR="00DA2C54" w:rsidRDefault="00DA2C54"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98CBC" w14:textId="77777777" w:rsidR="00DA2C54" w:rsidRDefault="00DA2C54" w:rsidP="00BD15C3">
      <w:r>
        <w:separator/>
      </w:r>
    </w:p>
  </w:footnote>
  <w:footnote w:type="continuationSeparator" w:id="0">
    <w:p w14:paraId="5D2EA6D2" w14:textId="77777777" w:rsidR="00DA2C54" w:rsidRDefault="00DA2C54" w:rsidP="00BD15C3">
      <w:r>
        <w:continuationSeparator/>
      </w:r>
    </w:p>
  </w:footnote>
  <w:footnote w:id="1">
    <w:p w14:paraId="736949EA" w14:textId="77777777" w:rsidR="0069511F" w:rsidRPr="00621D1E" w:rsidRDefault="0069511F" w:rsidP="0069511F">
      <w:pPr>
        <w:pStyle w:val="Textonotapie"/>
        <w:jc w:val="both"/>
        <w:rPr>
          <w:rFonts w:ascii="Arial Narrow" w:hAnsi="Arial Narrow"/>
        </w:rPr>
      </w:pPr>
      <w:r w:rsidRPr="00621D1E">
        <w:rPr>
          <w:rStyle w:val="Refdenotaalpie"/>
          <w:rFonts w:ascii="Arial Narrow" w:hAnsi="Arial Narrow"/>
        </w:rPr>
        <w:footnoteRef/>
      </w:r>
      <w:r w:rsidRPr="00621D1E">
        <w:rPr>
          <w:rFonts w:ascii="Arial Narrow" w:hAnsi="Arial Narrow"/>
        </w:rPr>
        <w:t xml:space="preserve"> Cfr</w:t>
      </w:r>
      <w:r w:rsidRPr="00621D1E">
        <w:rPr>
          <w:rFonts w:ascii="Arial Narrow" w:hAnsi="Arial Narrow"/>
          <w:b/>
          <w:bCs/>
        </w:rPr>
        <w:t>. (i)</w:t>
      </w:r>
      <w:r w:rsidRPr="00621D1E">
        <w:rPr>
          <w:rFonts w:ascii="Arial Narrow" w:hAnsi="Arial Narrow"/>
        </w:rPr>
        <w:t xml:space="preserve"> Tribunal Superior de Pereira. Sala Civil Familia. Decisión del junio 18 de 2021. Rad.  66001310300120130029401. M.P. Dr. Carlos Mauricio García Barjas. Notificado en estado electrónico del día 21 del mismo mes. </w:t>
      </w:r>
      <w:r w:rsidRPr="00621D1E">
        <w:rPr>
          <w:rFonts w:ascii="Arial Narrow" w:hAnsi="Arial Narrow"/>
          <w:b/>
          <w:bCs/>
        </w:rPr>
        <w:t>(ii)</w:t>
      </w:r>
      <w:r w:rsidRPr="00621D1E">
        <w:rPr>
          <w:rFonts w:ascii="Arial Narrow" w:hAnsi="Arial Narrow"/>
        </w:rPr>
        <w:t xml:space="preserve"> FORERO Silva, Jorge. El Recurso de Apelación y la Pretensión </w:t>
      </w:r>
      <w:proofErr w:type="spellStart"/>
      <w:r w:rsidRPr="00621D1E">
        <w:rPr>
          <w:rFonts w:ascii="Arial Narrow" w:hAnsi="Arial Narrow"/>
        </w:rPr>
        <w:t>impugnaticia</w:t>
      </w:r>
      <w:proofErr w:type="spellEnd"/>
      <w:r w:rsidRPr="00621D1E">
        <w:rPr>
          <w:rFonts w:ascii="Arial Narrow" w:hAnsi="Arial Narrow"/>
        </w:rPr>
        <w:t>. Revista del Instituto Colombiano de Derecho Procesal No. 43.</w:t>
      </w:r>
    </w:p>
  </w:footnote>
  <w:footnote w:id="2">
    <w:p w14:paraId="77D9C93A" w14:textId="028156AF" w:rsidR="003C53CA" w:rsidRPr="00621D1E" w:rsidRDefault="003C53CA">
      <w:pPr>
        <w:pStyle w:val="Textonotapie"/>
        <w:rPr>
          <w:rFonts w:ascii="Arial Narrow" w:hAnsi="Arial Narrow"/>
        </w:rPr>
      </w:pPr>
      <w:r w:rsidRPr="00621D1E">
        <w:rPr>
          <w:rStyle w:val="Refdenotaalpie"/>
          <w:rFonts w:ascii="Arial Narrow" w:hAnsi="Arial Narrow"/>
        </w:rPr>
        <w:footnoteRef/>
      </w:r>
      <w:r w:rsidRPr="00621D1E">
        <w:rPr>
          <w:rFonts w:ascii="Arial Narrow" w:hAnsi="Arial Narrow"/>
        </w:rPr>
        <w:t xml:space="preserve"> Cfr. TSP. Sala Civil Familia. Auto del 26 de febrero del 2020. </w:t>
      </w:r>
      <w:proofErr w:type="spellStart"/>
      <w:r w:rsidRPr="00621D1E">
        <w:rPr>
          <w:rFonts w:ascii="Arial Narrow" w:hAnsi="Arial Narrow"/>
        </w:rPr>
        <w:t>Exp</w:t>
      </w:r>
      <w:proofErr w:type="spellEnd"/>
      <w:r w:rsidRPr="00621D1E">
        <w:rPr>
          <w:rFonts w:ascii="Arial Narrow" w:hAnsi="Arial Narrow"/>
        </w:rPr>
        <w:t xml:space="preserve"> No. 2019-01862-01 LLRR. M.P Dr. </w:t>
      </w:r>
      <w:proofErr w:type="spellStart"/>
      <w:r w:rsidRPr="00621D1E">
        <w:rPr>
          <w:rFonts w:ascii="Arial Narrow" w:hAnsi="Arial Narrow"/>
        </w:rPr>
        <w:t>Duberney</w:t>
      </w:r>
      <w:proofErr w:type="spellEnd"/>
      <w:r w:rsidRPr="00621D1E">
        <w:rPr>
          <w:rFonts w:ascii="Arial Narrow" w:hAnsi="Arial Narrow"/>
        </w:rPr>
        <w:t xml:space="preserve"> Grisales Herrera.</w:t>
      </w:r>
    </w:p>
  </w:footnote>
  <w:footnote w:id="3">
    <w:p w14:paraId="48A195A7" w14:textId="6F563149" w:rsidR="00B5465F" w:rsidRPr="00621D1E" w:rsidRDefault="00B5465F">
      <w:pPr>
        <w:pStyle w:val="Textonotapie"/>
        <w:rPr>
          <w:rFonts w:ascii="Arial Narrow" w:hAnsi="Arial Narrow"/>
        </w:rPr>
      </w:pPr>
      <w:r w:rsidRPr="00621D1E">
        <w:rPr>
          <w:rStyle w:val="Refdenotaalpie"/>
          <w:rFonts w:ascii="Arial Narrow" w:hAnsi="Arial Narrow"/>
        </w:rPr>
        <w:footnoteRef/>
      </w:r>
      <w:r w:rsidRPr="00621D1E">
        <w:rPr>
          <w:rFonts w:ascii="Arial Narrow" w:hAnsi="Arial Narrow"/>
        </w:rPr>
        <w:t xml:space="preserve"> FORERO Silva, Jorge. </w:t>
      </w:r>
      <w:proofErr w:type="spellStart"/>
      <w:r w:rsidRPr="00621D1E">
        <w:rPr>
          <w:rFonts w:ascii="Arial Narrow" w:hAnsi="Arial Narrow"/>
        </w:rPr>
        <w:t>Op</w:t>
      </w:r>
      <w:proofErr w:type="spellEnd"/>
      <w:r w:rsidRPr="00621D1E">
        <w:rPr>
          <w:rFonts w:ascii="Arial Narrow" w:hAnsi="Arial Narrow"/>
        </w:rPr>
        <w:t xml:space="preserve">. Cit. Pág. 181. </w:t>
      </w:r>
    </w:p>
  </w:footnote>
  <w:footnote w:id="4">
    <w:p w14:paraId="1EB7AFDC" w14:textId="012081E0" w:rsidR="00B5465F" w:rsidRPr="00621D1E" w:rsidRDefault="00B5465F">
      <w:pPr>
        <w:pStyle w:val="Textonotapie"/>
        <w:rPr>
          <w:rFonts w:ascii="Arial Narrow" w:hAnsi="Arial Narrow"/>
        </w:rPr>
      </w:pPr>
      <w:r w:rsidRPr="00621D1E">
        <w:rPr>
          <w:rStyle w:val="Refdenotaalpie"/>
          <w:rFonts w:ascii="Arial Narrow" w:hAnsi="Arial Narrow"/>
        </w:rPr>
        <w:footnoteRef/>
      </w:r>
      <w:r w:rsidRPr="00621D1E">
        <w:rPr>
          <w:rFonts w:ascii="Arial Narrow" w:hAnsi="Arial Narrow"/>
        </w:rPr>
        <w:t xml:space="preserve"> Cfr. T.S.P. Sala Civil Familia. </w:t>
      </w:r>
      <w:proofErr w:type="spellStart"/>
      <w:r w:rsidRPr="00621D1E">
        <w:rPr>
          <w:rFonts w:ascii="Arial Narrow" w:hAnsi="Arial Narrow"/>
        </w:rPr>
        <w:t>Op</w:t>
      </w:r>
      <w:proofErr w:type="spellEnd"/>
      <w:r w:rsidRPr="00621D1E">
        <w:rPr>
          <w:rFonts w:ascii="Arial Narrow" w:hAnsi="Arial Narrow"/>
        </w:rPr>
        <w:t xml:space="preserve">. cit. </w:t>
      </w:r>
    </w:p>
  </w:footnote>
  <w:footnote w:id="5">
    <w:p w14:paraId="786D8EEA" w14:textId="7B48A9C4" w:rsidR="00B5465F" w:rsidRPr="00621D1E" w:rsidRDefault="00B5465F">
      <w:pPr>
        <w:pStyle w:val="Textonotapie"/>
        <w:rPr>
          <w:rFonts w:ascii="Arial Narrow" w:hAnsi="Arial Narrow"/>
        </w:rPr>
      </w:pPr>
      <w:r w:rsidRPr="00621D1E">
        <w:rPr>
          <w:rStyle w:val="Refdenotaalpie"/>
          <w:rFonts w:ascii="Arial Narrow" w:hAnsi="Arial Narrow"/>
        </w:rPr>
        <w:footnoteRef/>
      </w:r>
      <w:r w:rsidRPr="00621D1E">
        <w:rPr>
          <w:rFonts w:ascii="Arial Narrow" w:hAnsi="Arial Narrow"/>
        </w:rPr>
        <w:t xml:space="preserve"> CSJ. </w:t>
      </w:r>
      <w:r w:rsidRPr="00621D1E">
        <w:rPr>
          <w:rFonts w:ascii="Arial Narrow" w:hAnsi="Arial Narrow" w:cs="Arial Narrow"/>
          <w:bCs/>
        </w:rPr>
        <w:t>AC4387-2019.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BE88" w14:textId="77777777" w:rsidR="004B5227" w:rsidRPr="007B60CD" w:rsidRDefault="004B5227" w:rsidP="004B522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w:hAnsi="Arial" w:cs="Arial"/>
        <w:sz w:val="18"/>
        <w:szCs w:val="20"/>
      </w:rPr>
    </w:pPr>
    <w:r w:rsidRPr="007B60CD">
      <w:rPr>
        <w:rFonts w:ascii="Arial" w:hAnsi="Arial" w:cs="Arial"/>
        <w:sz w:val="18"/>
        <w:szCs w:val="20"/>
      </w:rPr>
      <w:t>Asunto: Impugnación de actos de asamblea</w:t>
    </w:r>
  </w:p>
  <w:p w14:paraId="672DAF23" w14:textId="23786F11" w:rsidR="003B695A" w:rsidRPr="007B60CD" w:rsidRDefault="003B695A" w:rsidP="007B60C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w:hAnsi="Arial" w:cs="Arial"/>
        <w:sz w:val="18"/>
        <w:szCs w:val="20"/>
      </w:rPr>
    </w:pPr>
    <w:r w:rsidRPr="007B60CD">
      <w:rPr>
        <w:rFonts w:ascii="Arial" w:hAnsi="Arial" w:cs="Arial"/>
        <w:sz w:val="18"/>
        <w:szCs w:val="20"/>
      </w:rPr>
      <w:t xml:space="preserve">Radicación No. </w:t>
    </w:r>
    <w:r w:rsidR="006571B1" w:rsidRPr="007B60CD">
      <w:rPr>
        <w:rFonts w:ascii="Arial" w:hAnsi="Arial" w:cs="Arial"/>
        <w:sz w:val="18"/>
        <w:szCs w:val="20"/>
      </w:rPr>
      <w:t>66170310300120210010001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2B03D6"/>
    <w:multiLevelType w:val="hybridMultilevel"/>
    <w:tmpl w:val="CF70A336"/>
    <w:lvl w:ilvl="0" w:tplc="948A109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452A2194"/>
    <w:multiLevelType w:val="hybridMultilevel"/>
    <w:tmpl w:val="C3623102"/>
    <w:lvl w:ilvl="0" w:tplc="C49639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B0B021E"/>
    <w:multiLevelType w:val="hybridMultilevel"/>
    <w:tmpl w:val="4AB803D8"/>
    <w:lvl w:ilvl="0" w:tplc="CE2614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0335341"/>
    <w:multiLevelType w:val="hybridMultilevel"/>
    <w:tmpl w:val="A1302E66"/>
    <w:lvl w:ilvl="0" w:tplc="855C7C4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0EF02DB"/>
    <w:multiLevelType w:val="hybridMultilevel"/>
    <w:tmpl w:val="05B42D68"/>
    <w:lvl w:ilvl="0" w:tplc="FBBE6C66">
      <w:start w:val="1"/>
      <w:numFmt w:val="decimal"/>
      <w:lvlText w:val="(%1)"/>
      <w:lvlJc w:val="left"/>
      <w:pPr>
        <w:ind w:left="1080" w:hanging="360"/>
      </w:pPr>
      <w:rPr>
        <w:rFonts w:hint="default"/>
        <w:i w:val="0"/>
        <w:sz w:val="26"/>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1"/>
  </w:num>
  <w:num w:numId="6">
    <w:abstractNumId w:val="8"/>
  </w:num>
  <w:num w:numId="7">
    <w:abstractNumId w:val="6"/>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04D6A"/>
    <w:rsid w:val="00012AE0"/>
    <w:rsid w:val="000149E5"/>
    <w:rsid w:val="00020572"/>
    <w:rsid w:val="00020DBC"/>
    <w:rsid w:val="000219DB"/>
    <w:rsid w:val="00022430"/>
    <w:rsid w:val="000228FA"/>
    <w:rsid w:val="000233F6"/>
    <w:rsid w:val="00023A27"/>
    <w:rsid w:val="00027890"/>
    <w:rsid w:val="0003698D"/>
    <w:rsid w:val="000442CB"/>
    <w:rsid w:val="0004628B"/>
    <w:rsid w:val="00051BC2"/>
    <w:rsid w:val="00055236"/>
    <w:rsid w:val="000634B1"/>
    <w:rsid w:val="00067CF2"/>
    <w:rsid w:val="000709D8"/>
    <w:rsid w:val="00071A22"/>
    <w:rsid w:val="00073C1B"/>
    <w:rsid w:val="000740E0"/>
    <w:rsid w:val="0007660C"/>
    <w:rsid w:val="000766A4"/>
    <w:rsid w:val="0008406C"/>
    <w:rsid w:val="000972EE"/>
    <w:rsid w:val="00097393"/>
    <w:rsid w:val="000A2CC4"/>
    <w:rsid w:val="000A508E"/>
    <w:rsid w:val="000A652E"/>
    <w:rsid w:val="000A7F94"/>
    <w:rsid w:val="000B1780"/>
    <w:rsid w:val="000B623F"/>
    <w:rsid w:val="000C040B"/>
    <w:rsid w:val="000C19FD"/>
    <w:rsid w:val="000C3D5D"/>
    <w:rsid w:val="000C4E94"/>
    <w:rsid w:val="000D0955"/>
    <w:rsid w:val="000E6EB5"/>
    <w:rsid w:val="000F015D"/>
    <w:rsid w:val="000F1789"/>
    <w:rsid w:val="00100223"/>
    <w:rsid w:val="001015CA"/>
    <w:rsid w:val="00105D2F"/>
    <w:rsid w:val="00107E23"/>
    <w:rsid w:val="0011025B"/>
    <w:rsid w:val="00111C72"/>
    <w:rsid w:val="00112ADB"/>
    <w:rsid w:val="00122B10"/>
    <w:rsid w:val="00123242"/>
    <w:rsid w:val="0012552E"/>
    <w:rsid w:val="00127D45"/>
    <w:rsid w:val="00132348"/>
    <w:rsid w:val="00132B4F"/>
    <w:rsid w:val="00132FD5"/>
    <w:rsid w:val="001333EE"/>
    <w:rsid w:val="00134232"/>
    <w:rsid w:val="0013522F"/>
    <w:rsid w:val="0014381A"/>
    <w:rsid w:val="00144A11"/>
    <w:rsid w:val="00145833"/>
    <w:rsid w:val="00145F40"/>
    <w:rsid w:val="00150E9D"/>
    <w:rsid w:val="00151107"/>
    <w:rsid w:val="001528F5"/>
    <w:rsid w:val="001703C3"/>
    <w:rsid w:val="00177283"/>
    <w:rsid w:val="00182B17"/>
    <w:rsid w:val="001836D7"/>
    <w:rsid w:val="00190FEA"/>
    <w:rsid w:val="001916F2"/>
    <w:rsid w:val="00192F42"/>
    <w:rsid w:val="00193904"/>
    <w:rsid w:val="00196142"/>
    <w:rsid w:val="001A0D94"/>
    <w:rsid w:val="001B05BF"/>
    <w:rsid w:val="001B3B27"/>
    <w:rsid w:val="001B58B2"/>
    <w:rsid w:val="001C246D"/>
    <w:rsid w:val="001C36F0"/>
    <w:rsid w:val="001D4537"/>
    <w:rsid w:val="001D6F3B"/>
    <w:rsid w:val="001D7C87"/>
    <w:rsid w:val="001E1225"/>
    <w:rsid w:val="001E2BFF"/>
    <w:rsid w:val="001E3052"/>
    <w:rsid w:val="001E37E6"/>
    <w:rsid w:val="001F26DD"/>
    <w:rsid w:val="001F4D73"/>
    <w:rsid w:val="001F5990"/>
    <w:rsid w:val="001F7822"/>
    <w:rsid w:val="00200168"/>
    <w:rsid w:val="00201494"/>
    <w:rsid w:val="002127D4"/>
    <w:rsid w:val="00220A58"/>
    <w:rsid w:val="002223C5"/>
    <w:rsid w:val="0022519E"/>
    <w:rsid w:val="00227DFE"/>
    <w:rsid w:val="00242709"/>
    <w:rsid w:val="00244FC6"/>
    <w:rsid w:val="002479E9"/>
    <w:rsid w:val="00253DCB"/>
    <w:rsid w:val="00257609"/>
    <w:rsid w:val="002613C4"/>
    <w:rsid w:val="00261F7F"/>
    <w:rsid w:val="00266C10"/>
    <w:rsid w:val="00274C71"/>
    <w:rsid w:val="002833A6"/>
    <w:rsid w:val="00286743"/>
    <w:rsid w:val="0028728E"/>
    <w:rsid w:val="0029729F"/>
    <w:rsid w:val="002A1719"/>
    <w:rsid w:val="002A2D97"/>
    <w:rsid w:val="002A2E09"/>
    <w:rsid w:val="002A3B12"/>
    <w:rsid w:val="002A4188"/>
    <w:rsid w:val="002B5318"/>
    <w:rsid w:val="002B654C"/>
    <w:rsid w:val="002C2BFC"/>
    <w:rsid w:val="002C328E"/>
    <w:rsid w:val="002D6761"/>
    <w:rsid w:val="002E2838"/>
    <w:rsid w:val="002E51F0"/>
    <w:rsid w:val="002E70B2"/>
    <w:rsid w:val="002F0401"/>
    <w:rsid w:val="002F0877"/>
    <w:rsid w:val="002F172A"/>
    <w:rsid w:val="002F23B4"/>
    <w:rsid w:val="002F2586"/>
    <w:rsid w:val="002F51AE"/>
    <w:rsid w:val="002F76EA"/>
    <w:rsid w:val="002F79E7"/>
    <w:rsid w:val="00305EEE"/>
    <w:rsid w:val="00306D02"/>
    <w:rsid w:val="00316614"/>
    <w:rsid w:val="00320318"/>
    <w:rsid w:val="003352FA"/>
    <w:rsid w:val="00340457"/>
    <w:rsid w:val="00347F2F"/>
    <w:rsid w:val="0035757F"/>
    <w:rsid w:val="00362692"/>
    <w:rsid w:val="00363EB1"/>
    <w:rsid w:val="003640E7"/>
    <w:rsid w:val="00365F93"/>
    <w:rsid w:val="0036702E"/>
    <w:rsid w:val="00375699"/>
    <w:rsid w:val="00376336"/>
    <w:rsid w:val="00377660"/>
    <w:rsid w:val="0038050F"/>
    <w:rsid w:val="003840CB"/>
    <w:rsid w:val="00384D53"/>
    <w:rsid w:val="00385660"/>
    <w:rsid w:val="00386AC3"/>
    <w:rsid w:val="00387BD6"/>
    <w:rsid w:val="003917A3"/>
    <w:rsid w:val="00395DF3"/>
    <w:rsid w:val="00396D32"/>
    <w:rsid w:val="003A1081"/>
    <w:rsid w:val="003B0CD5"/>
    <w:rsid w:val="003B34A5"/>
    <w:rsid w:val="003B3C63"/>
    <w:rsid w:val="003B695A"/>
    <w:rsid w:val="003C0B92"/>
    <w:rsid w:val="003C4CE2"/>
    <w:rsid w:val="003C53CA"/>
    <w:rsid w:val="003C5BEB"/>
    <w:rsid w:val="003C7F57"/>
    <w:rsid w:val="003D0027"/>
    <w:rsid w:val="003D1761"/>
    <w:rsid w:val="003D31C9"/>
    <w:rsid w:val="003E164A"/>
    <w:rsid w:val="003E1799"/>
    <w:rsid w:val="003E78EE"/>
    <w:rsid w:val="003E7C1A"/>
    <w:rsid w:val="003F022A"/>
    <w:rsid w:val="00400137"/>
    <w:rsid w:val="0040302B"/>
    <w:rsid w:val="00403A7E"/>
    <w:rsid w:val="0040403C"/>
    <w:rsid w:val="00406F6D"/>
    <w:rsid w:val="004204A1"/>
    <w:rsid w:val="0042174C"/>
    <w:rsid w:val="004224F3"/>
    <w:rsid w:val="0042545C"/>
    <w:rsid w:val="0042557D"/>
    <w:rsid w:val="00425ED7"/>
    <w:rsid w:val="0043347D"/>
    <w:rsid w:val="00433B2A"/>
    <w:rsid w:val="00434816"/>
    <w:rsid w:val="004375F5"/>
    <w:rsid w:val="00452587"/>
    <w:rsid w:val="004558F2"/>
    <w:rsid w:val="00462631"/>
    <w:rsid w:val="0047317F"/>
    <w:rsid w:val="004738F2"/>
    <w:rsid w:val="00482377"/>
    <w:rsid w:val="004906C0"/>
    <w:rsid w:val="00490FB9"/>
    <w:rsid w:val="00493F12"/>
    <w:rsid w:val="004A69B9"/>
    <w:rsid w:val="004B0F56"/>
    <w:rsid w:val="004B181A"/>
    <w:rsid w:val="004B3C00"/>
    <w:rsid w:val="004B5227"/>
    <w:rsid w:val="004B63E4"/>
    <w:rsid w:val="004D04F8"/>
    <w:rsid w:val="004D1FB4"/>
    <w:rsid w:val="004D4452"/>
    <w:rsid w:val="004D5372"/>
    <w:rsid w:val="004E4B9F"/>
    <w:rsid w:val="004E5F27"/>
    <w:rsid w:val="004E6C64"/>
    <w:rsid w:val="004F02A5"/>
    <w:rsid w:val="004F0480"/>
    <w:rsid w:val="004F20CB"/>
    <w:rsid w:val="004F7AA6"/>
    <w:rsid w:val="0050728B"/>
    <w:rsid w:val="00515B78"/>
    <w:rsid w:val="0052174E"/>
    <w:rsid w:val="00522919"/>
    <w:rsid w:val="0052338C"/>
    <w:rsid w:val="00523A34"/>
    <w:rsid w:val="00530814"/>
    <w:rsid w:val="00532E82"/>
    <w:rsid w:val="00533B7D"/>
    <w:rsid w:val="005411B8"/>
    <w:rsid w:val="00542348"/>
    <w:rsid w:val="005424B8"/>
    <w:rsid w:val="00547FB1"/>
    <w:rsid w:val="00552BA6"/>
    <w:rsid w:val="00553218"/>
    <w:rsid w:val="00556ABF"/>
    <w:rsid w:val="00570580"/>
    <w:rsid w:val="00575295"/>
    <w:rsid w:val="0058259A"/>
    <w:rsid w:val="00584A99"/>
    <w:rsid w:val="0059382A"/>
    <w:rsid w:val="00594E2A"/>
    <w:rsid w:val="00597EA8"/>
    <w:rsid w:val="005A01AF"/>
    <w:rsid w:val="005A225A"/>
    <w:rsid w:val="005A3430"/>
    <w:rsid w:val="005A40DF"/>
    <w:rsid w:val="005A72F1"/>
    <w:rsid w:val="005B1FC6"/>
    <w:rsid w:val="005C1750"/>
    <w:rsid w:val="005C1FC6"/>
    <w:rsid w:val="005E54C1"/>
    <w:rsid w:val="005F3BBD"/>
    <w:rsid w:val="005F46CB"/>
    <w:rsid w:val="005F5678"/>
    <w:rsid w:val="00600A9E"/>
    <w:rsid w:val="00601DB6"/>
    <w:rsid w:val="00603E4C"/>
    <w:rsid w:val="00604409"/>
    <w:rsid w:val="00606D4F"/>
    <w:rsid w:val="0061283B"/>
    <w:rsid w:val="00614BC5"/>
    <w:rsid w:val="00615593"/>
    <w:rsid w:val="00616BD9"/>
    <w:rsid w:val="00617B58"/>
    <w:rsid w:val="00620BF1"/>
    <w:rsid w:val="00621847"/>
    <w:rsid w:val="00621AE6"/>
    <w:rsid w:val="00621D1E"/>
    <w:rsid w:val="0062449A"/>
    <w:rsid w:val="00624BE0"/>
    <w:rsid w:val="00634E0C"/>
    <w:rsid w:val="00637197"/>
    <w:rsid w:val="00640F7C"/>
    <w:rsid w:val="00643793"/>
    <w:rsid w:val="00646408"/>
    <w:rsid w:val="00646768"/>
    <w:rsid w:val="00647728"/>
    <w:rsid w:val="0065336B"/>
    <w:rsid w:val="00653386"/>
    <w:rsid w:val="006544D7"/>
    <w:rsid w:val="00655E79"/>
    <w:rsid w:val="006571B1"/>
    <w:rsid w:val="00663B48"/>
    <w:rsid w:val="006665CE"/>
    <w:rsid w:val="0066742C"/>
    <w:rsid w:val="006746F9"/>
    <w:rsid w:val="00682899"/>
    <w:rsid w:val="00685E8D"/>
    <w:rsid w:val="0069467F"/>
    <w:rsid w:val="0069511F"/>
    <w:rsid w:val="00696031"/>
    <w:rsid w:val="006A1DE7"/>
    <w:rsid w:val="006B4182"/>
    <w:rsid w:val="006B52F1"/>
    <w:rsid w:val="006C1FC3"/>
    <w:rsid w:val="006C5A4E"/>
    <w:rsid w:val="006D01FD"/>
    <w:rsid w:val="006D080D"/>
    <w:rsid w:val="006D0BE9"/>
    <w:rsid w:val="006D197D"/>
    <w:rsid w:val="006D4FC8"/>
    <w:rsid w:val="006D5536"/>
    <w:rsid w:val="006D59AB"/>
    <w:rsid w:val="006D790E"/>
    <w:rsid w:val="006E0A99"/>
    <w:rsid w:val="006E3DD2"/>
    <w:rsid w:val="006F0784"/>
    <w:rsid w:val="006F2601"/>
    <w:rsid w:val="006F7C8E"/>
    <w:rsid w:val="007001F8"/>
    <w:rsid w:val="007025D4"/>
    <w:rsid w:val="00707728"/>
    <w:rsid w:val="00707FE8"/>
    <w:rsid w:val="00714952"/>
    <w:rsid w:val="007258A4"/>
    <w:rsid w:val="007510AC"/>
    <w:rsid w:val="007536A6"/>
    <w:rsid w:val="00756481"/>
    <w:rsid w:val="0075772F"/>
    <w:rsid w:val="00762206"/>
    <w:rsid w:val="00762B98"/>
    <w:rsid w:val="007632A6"/>
    <w:rsid w:val="00763C64"/>
    <w:rsid w:val="00767143"/>
    <w:rsid w:val="00772F28"/>
    <w:rsid w:val="0077354F"/>
    <w:rsid w:val="00774678"/>
    <w:rsid w:val="007778E7"/>
    <w:rsid w:val="007840B6"/>
    <w:rsid w:val="00793479"/>
    <w:rsid w:val="00794943"/>
    <w:rsid w:val="007A179B"/>
    <w:rsid w:val="007A5730"/>
    <w:rsid w:val="007B1045"/>
    <w:rsid w:val="007B2A2B"/>
    <w:rsid w:val="007B2AD4"/>
    <w:rsid w:val="007B60CD"/>
    <w:rsid w:val="007C72F3"/>
    <w:rsid w:val="007D1747"/>
    <w:rsid w:val="007D4EA9"/>
    <w:rsid w:val="007D7039"/>
    <w:rsid w:val="007E2F07"/>
    <w:rsid w:val="007E5FF3"/>
    <w:rsid w:val="007E7FBD"/>
    <w:rsid w:val="007F1D5C"/>
    <w:rsid w:val="007F74A9"/>
    <w:rsid w:val="007F7BE8"/>
    <w:rsid w:val="00801979"/>
    <w:rsid w:val="008026A2"/>
    <w:rsid w:val="0080627B"/>
    <w:rsid w:val="00806569"/>
    <w:rsid w:val="00807D92"/>
    <w:rsid w:val="00815332"/>
    <w:rsid w:val="008154EB"/>
    <w:rsid w:val="00815956"/>
    <w:rsid w:val="00815F1F"/>
    <w:rsid w:val="0081698A"/>
    <w:rsid w:val="00823164"/>
    <w:rsid w:val="00825B36"/>
    <w:rsid w:val="00831BB3"/>
    <w:rsid w:val="0083304C"/>
    <w:rsid w:val="0083451E"/>
    <w:rsid w:val="00835A5C"/>
    <w:rsid w:val="008425AD"/>
    <w:rsid w:val="00845D23"/>
    <w:rsid w:val="008569A8"/>
    <w:rsid w:val="008577BC"/>
    <w:rsid w:val="00862838"/>
    <w:rsid w:val="008629B5"/>
    <w:rsid w:val="00863EBE"/>
    <w:rsid w:val="0086480A"/>
    <w:rsid w:val="00865083"/>
    <w:rsid w:val="00866262"/>
    <w:rsid w:val="0086712C"/>
    <w:rsid w:val="008676DA"/>
    <w:rsid w:val="008714EC"/>
    <w:rsid w:val="00873785"/>
    <w:rsid w:val="008738E5"/>
    <w:rsid w:val="00877DA5"/>
    <w:rsid w:val="008857BE"/>
    <w:rsid w:val="00896560"/>
    <w:rsid w:val="008969D4"/>
    <w:rsid w:val="008B08C4"/>
    <w:rsid w:val="008B5DB3"/>
    <w:rsid w:val="008B746A"/>
    <w:rsid w:val="008C22AB"/>
    <w:rsid w:val="008C396B"/>
    <w:rsid w:val="008C684A"/>
    <w:rsid w:val="008D17F7"/>
    <w:rsid w:val="008D4190"/>
    <w:rsid w:val="008E1A70"/>
    <w:rsid w:val="008F5C0B"/>
    <w:rsid w:val="008F5FE8"/>
    <w:rsid w:val="009060D4"/>
    <w:rsid w:val="00910B97"/>
    <w:rsid w:val="0091373D"/>
    <w:rsid w:val="00915083"/>
    <w:rsid w:val="0091798B"/>
    <w:rsid w:val="00922FA1"/>
    <w:rsid w:val="00925ACF"/>
    <w:rsid w:val="00926D04"/>
    <w:rsid w:val="00927AE5"/>
    <w:rsid w:val="0094548E"/>
    <w:rsid w:val="009544D3"/>
    <w:rsid w:val="009553EE"/>
    <w:rsid w:val="00956BC8"/>
    <w:rsid w:val="009577C5"/>
    <w:rsid w:val="00961BD8"/>
    <w:rsid w:val="0096495D"/>
    <w:rsid w:val="00965074"/>
    <w:rsid w:val="00967278"/>
    <w:rsid w:val="0097078D"/>
    <w:rsid w:val="0098007B"/>
    <w:rsid w:val="00980134"/>
    <w:rsid w:val="00980FC3"/>
    <w:rsid w:val="00991A7F"/>
    <w:rsid w:val="00995C45"/>
    <w:rsid w:val="009B0B8C"/>
    <w:rsid w:val="009B1114"/>
    <w:rsid w:val="009B11B7"/>
    <w:rsid w:val="009B7247"/>
    <w:rsid w:val="009B7C44"/>
    <w:rsid w:val="009D14C4"/>
    <w:rsid w:val="009D40FC"/>
    <w:rsid w:val="009E3AC4"/>
    <w:rsid w:val="009E4243"/>
    <w:rsid w:val="009E7988"/>
    <w:rsid w:val="009F4224"/>
    <w:rsid w:val="009F6277"/>
    <w:rsid w:val="009F78A9"/>
    <w:rsid w:val="009F7B94"/>
    <w:rsid w:val="00A003FB"/>
    <w:rsid w:val="00A04133"/>
    <w:rsid w:val="00A07465"/>
    <w:rsid w:val="00A135E8"/>
    <w:rsid w:val="00A25A55"/>
    <w:rsid w:val="00A34A67"/>
    <w:rsid w:val="00A364B9"/>
    <w:rsid w:val="00A410D2"/>
    <w:rsid w:val="00A46F3F"/>
    <w:rsid w:val="00A476F6"/>
    <w:rsid w:val="00A5079D"/>
    <w:rsid w:val="00A51EF3"/>
    <w:rsid w:val="00A52F89"/>
    <w:rsid w:val="00A54E0C"/>
    <w:rsid w:val="00A64729"/>
    <w:rsid w:val="00A67E1C"/>
    <w:rsid w:val="00A721F4"/>
    <w:rsid w:val="00A774DC"/>
    <w:rsid w:val="00A77FF5"/>
    <w:rsid w:val="00A8173C"/>
    <w:rsid w:val="00A85773"/>
    <w:rsid w:val="00A85AA5"/>
    <w:rsid w:val="00A86CB8"/>
    <w:rsid w:val="00A92213"/>
    <w:rsid w:val="00A931DA"/>
    <w:rsid w:val="00A950FE"/>
    <w:rsid w:val="00A95A3E"/>
    <w:rsid w:val="00A97867"/>
    <w:rsid w:val="00A97C73"/>
    <w:rsid w:val="00AA06DD"/>
    <w:rsid w:val="00AA0DE3"/>
    <w:rsid w:val="00AA2050"/>
    <w:rsid w:val="00AA4855"/>
    <w:rsid w:val="00AA6C55"/>
    <w:rsid w:val="00AA7DE1"/>
    <w:rsid w:val="00AB3BDE"/>
    <w:rsid w:val="00AB7137"/>
    <w:rsid w:val="00AC2839"/>
    <w:rsid w:val="00AC7F5B"/>
    <w:rsid w:val="00AD582C"/>
    <w:rsid w:val="00AD698D"/>
    <w:rsid w:val="00AD6BBB"/>
    <w:rsid w:val="00AE0191"/>
    <w:rsid w:val="00AE0C86"/>
    <w:rsid w:val="00AE1759"/>
    <w:rsid w:val="00AE21CF"/>
    <w:rsid w:val="00AE2A30"/>
    <w:rsid w:val="00AE33A2"/>
    <w:rsid w:val="00AE51F2"/>
    <w:rsid w:val="00AF0C7A"/>
    <w:rsid w:val="00B00FE0"/>
    <w:rsid w:val="00B070D8"/>
    <w:rsid w:val="00B121BB"/>
    <w:rsid w:val="00B138D7"/>
    <w:rsid w:val="00B14CBC"/>
    <w:rsid w:val="00B16A48"/>
    <w:rsid w:val="00B21F2F"/>
    <w:rsid w:val="00B232AB"/>
    <w:rsid w:val="00B238EB"/>
    <w:rsid w:val="00B25428"/>
    <w:rsid w:val="00B25586"/>
    <w:rsid w:val="00B2646E"/>
    <w:rsid w:val="00B30AB6"/>
    <w:rsid w:val="00B3396C"/>
    <w:rsid w:val="00B34579"/>
    <w:rsid w:val="00B36D4A"/>
    <w:rsid w:val="00B37C1C"/>
    <w:rsid w:val="00B40075"/>
    <w:rsid w:val="00B4009D"/>
    <w:rsid w:val="00B436B8"/>
    <w:rsid w:val="00B43A39"/>
    <w:rsid w:val="00B4444E"/>
    <w:rsid w:val="00B46618"/>
    <w:rsid w:val="00B472CB"/>
    <w:rsid w:val="00B5465F"/>
    <w:rsid w:val="00B67827"/>
    <w:rsid w:val="00B73168"/>
    <w:rsid w:val="00B75565"/>
    <w:rsid w:val="00B87293"/>
    <w:rsid w:val="00B96692"/>
    <w:rsid w:val="00B9752F"/>
    <w:rsid w:val="00BA2CF2"/>
    <w:rsid w:val="00BA3314"/>
    <w:rsid w:val="00BA5869"/>
    <w:rsid w:val="00BB551D"/>
    <w:rsid w:val="00BB5C74"/>
    <w:rsid w:val="00BB7117"/>
    <w:rsid w:val="00BC1D59"/>
    <w:rsid w:val="00BD15C3"/>
    <w:rsid w:val="00BD20B8"/>
    <w:rsid w:val="00BD6A71"/>
    <w:rsid w:val="00BD77CB"/>
    <w:rsid w:val="00BE15D5"/>
    <w:rsid w:val="00BE1E4C"/>
    <w:rsid w:val="00BE2756"/>
    <w:rsid w:val="00BE707B"/>
    <w:rsid w:val="00BF0380"/>
    <w:rsid w:val="00BF2483"/>
    <w:rsid w:val="00BF2539"/>
    <w:rsid w:val="00BF6E7E"/>
    <w:rsid w:val="00C00605"/>
    <w:rsid w:val="00C00B6B"/>
    <w:rsid w:val="00C0596D"/>
    <w:rsid w:val="00C068B3"/>
    <w:rsid w:val="00C13203"/>
    <w:rsid w:val="00C13E06"/>
    <w:rsid w:val="00C14141"/>
    <w:rsid w:val="00C20109"/>
    <w:rsid w:val="00C23D2E"/>
    <w:rsid w:val="00C24A49"/>
    <w:rsid w:val="00C25892"/>
    <w:rsid w:val="00C26B36"/>
    <w:rsid w:val="00C27B75"/>
    <w:rsid w:val="00C27EC4"/>
    <w:rsid w:val="00C3057F"/>
    <w:rsid w:val="00C312F4"/>
    <w:rsid w:val="00C314CD"/>
    <w:rsid w:val="00C32783"/>
    <w:rsid w:val="00C350B6"/>
    <w:rsid w:val="00C40462"/>
    <w:rsid w:val="00C4249A"/>
    <w:rsid w:val="00C42A93"/>
    <w:rsid w:val="00C50418"/>
    <w:rsid w:val="00C51640"/>
    <w:rsid w:val="00C52E3C"/>
    <w:rsid w:val="00C5647A"/>
    <w:rsid w:val="00C62F58"/>
    <w:rsid w:val="00C6517E"/>
    <w:rsid w:val="00C721CD"/>
    <w:rsid w:val="00C766CA"/>
    <w:rsid w:val="00C7716C"/>
    <w:rsid w:val="00C77253"/>
    <w:rsid w:val="00C9044C"/>
    <w:rsid w:val="00C91EF8"/>
    <w:rsid w:val="00C92AC5"/>
    <w:rsid w:val="00CB520E"/>
    <w:rsid w:val="00CC1503"/>
    <w:rsid w:val="00CD2366"/>
    <w:rsid w:val="00CD27F2"/>
    <w:rsid w:val="00CD3561"/>
    <w:rsid w:val="00CD377B"/>
    <w:rsid w:val="00CD77B6"/>
    <w:rsid w:val="00CE5926"/>
    <w:rsid w:val="00CF06DF"/>
    <w:rsid w:val="00CF2D0B"/>
    <w:rsid w:val="00CF37A2"/>
    <w:rsid w:val="00CF4E63"/>
    <w:rsid w:val="00CF7E9B"/>
    <w:rsid w:val="00D00536"/>
    <w:rsid w:val="00D01676"/>
    <w:rsid w:val="00D065E4"/>
    <w:rsid w:val="00D139B8"/>
    <w:rsid w:val="00D13C19"/>
    <w:rsid w:val="00D165C0"/>
    <w:rsid w:val="00D16893"/>
    <w:rsid w:val="00D21B06"/>
    <w:rsid w:val="00D23225"/>
    <w:rsid w:val="00D36866"/>
    <w:rsid w:val="00D36F7A"/>
    <w:rsid w:val="00D414D8"/>
    <w:rsid w:val="00D52E00"/>
    <w:rsid w:val="00D5669E"/>
    <w:rsid w:val="00D602AF"/>
    <w:rsid w:val="00D60CA8"/>
    <w:rsid w:val="00D61185"/>
    <w:rsid w:val="00D620DC"/>
    <w:rsid w:val="00D635D4"/>
    <w:rsid w:val="00D66965"/>
    <w:rsid w:val="00D67F51"/>
    <w:rsid w:val="00D708F6"/>
    <w:rsid w:val="00D75A9E"/>
    <w:rsid w:val="00D75C9D"/>
    <w:rsid w:val="00D76214"/>
    <w:rsid w:val="00D80A32"/>
    <w:rsid w:val="00D80DE1"/>
    <w:rsid w:val="00D8266D"/>
    <w:rsid w:val="00D85837"/>
    <w:rsid w:val="00D92F8E"/>
    <w:rsid w:val="00D9446F"/>
    <w:rsid w:val="00DA137E"/>
    <w:rsid w:val="00DA2C54"/>
    <w:rsid w:val="00DA41A4"/>
    <w:rsid w:val="00DA645C"/>
    <w:rsid w:val="00DA7966"/>
    <w:rsid w:val="00DB2961"/>
    <w:rsid w:val="00DB48F2"/>
    <w:rsid w:val="00DB5191"/>
    <w:rsid w:val="00DB5A46"/>
    <w:rsid w:val="00DB7799"/>
    <w:rsid w:val="00DB7AB6"/>
    <w:rsid w:val="00DB7C2D"/>
    <w:rsid w:val="00DC0A47"/>
    <w:rsid w:val="00DC26CA"/>
    <w:rsid w:val="00DC3561"/>
    <w:rsid w:val="00DD2612"/>
    <w:rsid w:val="00DD7103"/>
    <w:rsid w:val="00DE1748"/>
    <w:rsid w:val="00DE3B7A"/>
    <w:rsid w:val="00DE4FC2"/>
    <w:rsid w:val="00DE6587"/>
    <w:rsid w:val="00DF00B2"/>
    <w:rsid w:val="00DF38A4"/>
    <w:rsid w:val="00DF39F3"/>
    <w:rsid w:val="00DF7F2D"/>
    <w:rsid w:val="00E01CFD"/>
    <w:rsid w:val="00E16C50"/>
    <w:rsid w:val="00E27DFB"/>
    <w:rsid w:val="00E30EEF"/>
    <w:rsid w:val="00E34987"/>
    <w:rsid w:val="00E51086"/>
    <w:rsid w:val="00E52345"/>
    <w:rsid w:val="00E525B9"/>
    <w:rsid w:val="00E56210"/>
    <w:rsid w:val="00E61C40"/>
    <w:rsid w:val="00E64F95"/>
    <w:rsid w:val="00E65166"/>
    <w:rsid w:val="00E754B9"/>
    <w:rsid w:val="00E75996"/>
    <w:rsid w:val="00E80D4E"/>
    <w:rsid w:val="00E82ADE"/>
    <w:rsid w:val="00E85E42"/>
    <w:rsid w:val="00EA12DA"/>
    <w:rsid w:val="00EA319E"/>
    <w:rsid w:val="00EA366F"/>
    <w:rsid w:val="00EA5179"/>
    <w:rsid w:val="00EA5B9E"/>
    <w:rsid w:val="00EA7B32"/>
    <w:rsid w:val="00EB1834"/>
    <w:rsid w:val="00EB1890"/>
    <w:rsid w:val="00EB2BFB"/>
    <w:rsid w:val="00EB45D6"/>
    <w:rsid w:val="00EB7DF4"/>
    <w:rsid w:val="00EC2AD2"/>
    <w:rsid w:val="00ED020D"/>
    <w:rsid w:val="00ED16D4"/>
    <w:rsid w:val="00ED21C1"/>
    <w:rsid w:val="00ED44A6"/>
    <w:rsid w:val="00ED45AF"/>
    <w:rsid w:val="00ED51AD"/>
    <w:rsid w:val="00ED53AF"/>
    <w:rsid w:val="00EE17B4"/>
    <w:rsid w:val="00EE4B31"/>
    <w:rsid w:val="00EF6A19"/>
    <w:rsid w:val="00EF73B8"/>
    <w:rsid w:val="00F020FE"/>
    <w:rsid w:val="00F024B5"/>
    <w:rsid w:val="00F03602"/>
    <w:rsid w:val="00F045D3"/>
    <w:rsid w:val="00F11964"/>
    <w:rsid w:val="00F378AB"/>
    <w:rsid w:val="00F45FFD"/>
    <w:rsid w:val="00F53152"/>
    <w:rsid w:val="00F551DD"/>
    <w:rsid w:val="00F66838"/>
    <w:rsid w:val="00F66886"/>
    <w:rsid w:val="00F67D70"/>
    <w:rsid w:val="00F770E8"/>
    <w:rsid w:val="00F77723"/>
    <w:rsid w:val="00F821B4"/>
    <w:rsid w:val="00F85D63"/>
    <w:rsid w:val="00F87F2F"/>
    <w:rsid w:val="00F94473"/>
    <w:rsid w:val="00F971BC"/>
    <w:rsid w:val="00FA0B2A"/>
    <w:rsid w:val="00FA2D38"/>
    <w:rsid w:val="00FA6901"/>
    <w:rsid w:val="00FA7A5A"/>
    <w:rsid w:val="00FA7D5D"/>
    <w:rsid w:val="00FB1245"/>
    <w:rsid w:val="00FC15BC"/>
    <w:rsid w:val="00FC5F91"/>
    <w:rsid w:val="00FD0E47"/>
    <w:rsid w:val="00FE0E27"/>
    <w:rsid w:val="00FE0F89"/>
    <w:rsid w:val="00FE77E7"/>
    <w:rsid w:val="00FF0400"/>
    <w:rsid w:val="00FF4DBF"/>
    <w:rsid w:val="00FF523C"/>
    <w:rsid w:val="01941848"/>
    <w:rsid w:val="080359CC"/>
    <w:rsid w:val="093B7C36"/>
    <w:rsid w:val="09450E81"/>
    <w:rsid w:val="09C940A3"/>
    <w:rsid w:val="0C2EBD81"/>
    <w:rsid w:val="0DCA8DE2"/>
    <w:rsid w:val="1221D4EC"/>
    <w:rsid w:val="13D3846E"/>
    <w:rsid w:val="1B779DC7"/>
    <w:rsid w:val="1C2BB8EE"/>
    <w:rsid w:val="1D178E5B"/>
    <w:rsid w:val="1DC7894F"/>
    <w:rsid w:val="1E2DD364"/>
    <w:rsid w:val="2B4D79CF"/>
    <w:rsid w:val="2D70195E"/>
    <w:rsid w:val="2F8B288B"/>
    <w:rsid w:val="319B6942"/>
    <w:rsid w:val="328EA5DE"/>
    <w:rsid w:val="343F9223"/>
    <w:rsid w:val="38426429"/>
    <w:rsid w:val="39A68EF8"/>
    <w:rsid w:val="3CDE2FBA"/>
    <w:rsid w:val="3DC22D5F"/>
    <w:rsid w:val="3DD02E15"/>
    <w:rsid w:val="44D2908D"/>
    <w:rsid w:val="453F3A5B"/>
    <w:rsid w:val="454F580E"/>
    <w:rsid w:val="4CDC9E04"/>
    <w:rsid w:val="4D775A1C"/>
    <w:rsid w:val="4DDF9179"/>
    <w:rsid w:val="4F4ABE33"/>
    <w:rsid w:val="57748675"/>
    <w:rsid w:val="59DCFEED"/>
    <w:rsid w:val="5C37903A"/>
    <w:rsid w:val="5CF590C7"/>
    <w:rsid w:val="5D57B309"/>
    <w:rsid w:val="5F7DB385"/>
    <w:rsid w:val="629BB148"/>
    <w:rsid w:val="6404CC4A"/>
    <w:rsid w:val="642C49C5"/>
    <w:rsid w:val="690A8E3F"/>
    <w:rsid w:val="6F8662B0"/>
    <w:rsid w:val="70404E73"/>
    <w:rsid w:val="71BB7D78"/>
    <w:rsid w:val="75A16AAC"/>
    <w:rsid w:val="7895436F"/>
    <w:rsid w:val="7AEF80A2"/>
    <w:rsid w:val="7C014355"/>
    <w:rsid w:val="7DFD47C0"/>
    <w:rsid w:val="7F1133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653386"/>
    <w:rPr>
      <w:color w:val="605E5C"/>
      <w:shd w:val="clear" w:color="auto" w:fill="E1DFDD"/>
    </w:rPr>
  </w:style>
  <w:style w:type="character" w:styleId="Refdecomentario">
    <w:name w:val="annotation reference"/>
    <w:basedOn w:val="Fuentedeprrafopredeter"/>
    <w:uiPriority w:val="99"/>
    <w:semiHidden/>
    <w:unhideWhenUsed/>
    <w:rsid w:val="007632A6"/>
    <w:rPr>
      <w:sz w:val="16"/>
      <w:szCs w:val="16"/>
    </w:rPr>
  </w:style>
  <w:style w:type="paragraph" w:styleId="Textocomentario">
    <w:name w:val="annotation text"/>
    <w:basedOn w:val="Normal"/>
    <w:link w:val="TextocomentarioCar"/>
    <w:uiPriority w:val="99"/>
    <w:semiHidden/>
    <w:unhideWhenUsed/>
    <w:rsid w:val="007632A6"/>
    <w:rPr>
      <w:sz w:val="20"/>
      <w:szCs w:val="20"/>
    </w:rPr>
  </w:style>
  <w:style w:type="character" w:customStyle="1" w:styleId="TextocomentarioCar">
    <w:name w:val="Texto comentario Car"/>
    <w:basedOn w:val="Fuentedeprrafopredeter"/>
    <w:link w:val="Textocomentario"/>
    <w:uiPriority w:val="99"/>
    <w:semiHidden/>
    <w:rsid w:val="007632A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7632A6"/>
    <w:rPr>
      <w:b/>
      <w:bCs/>
    </w:rPr>
  </w:style>
  <w:style w:type="character" w:customStyle="1" w:styleId="AsuntodelcomentarioCar">
    <w:name w:val="Asunto del comentario Car"/>
    <w:basedOn w:val="TextocomentarioCar"/>
    <w:link w:val="Asuntodelcomentario"/>
    <w:uiPriority w:val="99"/>
    <w:semiHidden/>
    <w:rsid w:val="007632A6"/>
    <w:rPr>
      <w:rFonts w:ascii="Times New Roman" w:eastAsia="Times New Roman" w:hAnsi="Times New Roman" w:cs="Times New Roman"/>
      <w:b/>
      <w:bCs/>
      <w:sz w:val="20"/>
      <w:szCs w:val="20"/>
      <w:lang w:val="es-CO" w:eastAsia="es-ES"/>
    </w:rPr>
  </w:style>
  <w:style w:type="paragraph" w:customStyle="1" w:styleId="Default">
    <w:name w:val="Default"/>
    <w:rsid w:val="00AA0DE3"/>
    <w:pPr>
      <w:autoSpaceDE w:val="0"/>
      <w:autoSpaceDN w:val="0"/>
      <w:adjustRightInd w:val="0"/>
      <w:spacing w:after="0" w:line="240" w:lineRule="auto"/>
    </w:pPr>
    <w:rPr>
      <w:rFonts w:ascii="Arial" w:hAnsi="Arial" w:cs="Arial"/>
      <w:color w:val="000000"/>
      <w:sz w:val="24"/>
      <w:szCs w:val="24"/>
      <w:lang w:val="es-CO"/>
    </w:rPr>
  </w:style>
  <w:style w:type="character" w:customStyle="1" w:styleId="SinespaciadoCar">
    <w:name w:val="Sin espaciado Car"/>
    <w:link w:val="Sinespaciado"/>
    <w:uiPriority w:val="1"/>
    <w:locked/>
    <w:rsid w:val="0052174E"/>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A950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151554948">
      <w:bodyDiv w:val="1"/>
      <w:marLeft w:val="0"/>
      <w:marRight w:val="0"/>
      <w:marTop w:val="0"/>
      <w:marBottom w:val="0"/>
      <w:divBdr>
        <w:top w:val="none" w:sz="0" w:space="0" w:color="auto"/>
        <w:left w:val="none" w:sz="0" w:space="0" w:color="auto"/>
        <w:bottom w:val="none" w:sz="0" w:space="0" w:color="auto"/>
        <w:right w:val="none" w:sz="0" w:space="0" w:color="auto"/>
      </w:divBdr>
      <w:divsChild>
        <w:div w:id="1965964408">
          <w:marLeft w:val="0"/>
          <w:marRight w:val="0"/>
          <w:marTop w:val="0"/>
          <w:marBottom w:val="0"/>
          <w:divBdr>
            <w:top w:val="none" w:sz="0" w:space="0" w:color="auto"/>
            <w:left w:val="none" w:sz="0" w:space="0" w:color="auto"/>
            <w:bottom w:val="none" w:sz="0" w:space="0" w:color="auto"/>
            <w:right w:val="none" w:sz="0" w:space="0" w:color="auto"/>
          </w:divBdr>
        </w:div>
        <w:div w:id="1364356071">
          <w:marLeft w:val="0"/>
          <w:marRight w:val="0"/>
          <w:marTop w:val="0"/>
          <w:marBottom w:val="0"/>
          <w:divBdr>
            <w:top w:val="none" w:sz="0" w:space="0" w:color="auto"/>
            <w:left w:val="none" w:sz="0" w:space="0" w:color="auto"/>
            <w:bottom w:val="none" w:sz="0" w:space="0" w:color="auto"/>
            <w:right w:val="none" w:sz="0" w:space="0" w:color="auto"/>
          </w:divBdr>
        </w:div>
        <w:div w:id="549807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3.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79B8A-753A-4631-93E9-976A93CF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1500</Words>
  <Characters>8253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355</cp:revision>
  <cp:lastPrinted>2020-02-25T12:17:00Z</cp:lastPrinted>
  <dcterms:created xsi:type="dcterms:W3CDTF">2020-06-11T00:33:00Z</dcterms:created>
  <dcterms:modified xsi:type="dcterms:W3CDTF">2022-03-07T22:04:00Z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