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980D" w14:textId="77777777" w:rsidR="00A804BB" w:rsidRPr="008A290B" w:rsidRDefault="00A804BB" w:rsidP="00A804B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690264" w14:textId="77777777" w:rsidR="00A804BB" w:rsidRDefault="00A804BB" w:rsidP="00A804BB">
      <w:pPr>
        <w:jc w:val="both"/>
        <w:rPr>
          <w:rFonts w:ascii="Arial" w:hAnsi="Arial" w:cs="Arial"/>
          <w:lang w:val="es-419"/>
        </w:rPr>
      </w:pPr>
    </w:p>
    <w:p w14:paraId="1D8332E1" w14:textId="780D7A86" w:rsidR="00A804BB" w:rsidRPr="00A804BB" w:rsidRDefault="00A804BB" w:rsidP="00A804BB">
      <w:pPr>
        <w:jc w:val="both"/>
        <w:rPr>
          <w:rFonts w:ascii="Arial" w:hAnsi="Arial" w:cs="Arial"/>
          <w:lang w:val="es-419"/>
        </w:rPr>
      </w:pPr>
      <w:r w:rsidRPr="00A804BB">
        <w:rPr>
          <w:rFonts w:ascii="Arial" w:hAnsi="Arial" w:cs="Arial"/>
          <w:lang w:val="es-419"/>
        </w:rPr>
        <w:t>Asunto</w:t>
      </w:r>
      <w:r w:rsidRPr="00A804BB">
        <w:rPr>
          <w:rFonts w:ascii="Arial" w:hAnsi="Arial" w:cs="Arial"/>
          <w:lang w:val="es-419"/>
        </w:rPr>
        <w:tab/>
      </w:r>
      <w:r w:rsidRPr="00A804BB">
        <w:rPr>
          <w:rFonts w:ascii="Arial" w:hAnsi="Arial" w:cs="Arial"/>
          <w:lang w:val="es-419"/>
        </w:rPr>
        <w:tab/>
      </w:r>
      <w:r>
        <w:rPr>
          <w:rFonts w:ascii="Arial" w:hAnsi="Arial" w:cs="Arial"/>
          <w:lang w:val="es-419"/>
        </w:rPr>
        <w:tab/>
      </w:r>
      <w:r w:rsidRPr="00A804BB">
        <w:rPr>
          <w:rFonts w:ascii="Arial" w:hAnsi="Arial" w:cs="Arial"/>
          <w:lang w:val="es-419"/>
        </w:rPr>
        <w:t>: Recurso de súplica</w:t>
      </w:r>
    </w:p>
    <w:p w14:paraId="4D43A2C7" w14:textId="77777777" w:rsidR="00A804BB" w:rsidRPr="00A804BB" w:rsidRDefault="00A804BB" w:rsidP="00A804BB">
      <w:pPr>
        <w:jc w:val="both"/>
        <w:rPr>
          <w:rFonts w:ascii="Arial" w:hAnsi="Arial" w:cs="Arial"/>
          <w:lang w:val="es-419"/>
        </w:rPr>
      </w:pPr>
      <w:r w:rsidRPr="00A804BB">
        <w:rPr>
          <w:rFonts w:ascii="Arial" w:hAnsi="Arial" w:cs="Arial"/>
          <w:lang w:val="es-419"/>
        </w:rPr>
        <w:t>Proceso</w:t>
      </w:r>
      <w:r w:rsidRPr="00A804BB">
        <w:rPr>
          <w:rFonts w:ascii="Arial" w:hAnsi="Arial" w:cs="Arial"/>
          <w:lang w:val="es-419"/>
        </w:rPr>
        <w:tab/>
      </w:r>
      <w:r w:rsidRPr="00A804BB">
        <w:rPr>
          <w:rFonts w:ascii="Arial" w:hAnsi="Arial" w:cs="Arial"/>
          <w:lang w:val="es-419"/>
        </w:rPr>
        <w:tab/>
        <w:t>: Verbal – Reivindicatorio</w:t>
      </w:r>
    </w:p>
    <w:p w14:paraId="36C8793F" w14:textId="77777777" w:rsidR="00A804BB" w:rsidRPr="00A804BB" w:rsidRDefault="00A804BB" w:rsidP="00A804BB">
      <w:pPr>
        <w:jc w:val="both"/>
        <w:rPr>
          <w:rFonts w:ascii="Arial" w:hAnsi="Arial" w:cs="Arial"/>
          <w:lang w:val="es-419"/>
        </w:rPr>
      </w:pPr>
      <w:r w:rsidRPr="00A804BB">
        <w:rPr>
          <w:rFonts w:ascii="Arial" w:hAnsi="Arial" w:cs="Arial"/>
          <w:lang w:val="es-419"/>
        </w:rPr>
        <w:t>Demandante</w:t>
      </w:r>
      <w:r w:rsidRPr="00A804BB">
        <w:rPr>
          <w:rFonts w:ascii="Arial" w:hAnsi="Arial" w:cs="Arial"/>
          <w:lang w:val="es-419"/>
        </w:rPr>
        <w:tab/>
      </w:r>
      <w:r w:rsidRPr="00A804BB">
        <w:rPr>
          <w:rFonts w:ascii="Arial" w:hAnsi="Arial" w:cs="Arial"/>
          <w:lang w:val="es-419"/>
        </w:rPr>
        <w:tab/>
        <w:t xml:space="preserve">: Mauricio Alberto Escobar Boada </w:t>
      </w:r>
    </w:p>
    <w:p w14:paraId="43E02E44" w14:textId="77777777" w:rsidR="00A804BB" w:rsidRPr="00A804BB" w:rsidRDefault="00A804BB" w:rsidP="00A804BB">
      <w:pPr>
        <w:jc w:val="both"/>
        <w:rPr>
          <w:rFonts w:ascii="Arial" w:hAnsi="Arial" w:cs="Arial"/>
          <w:lang w:val="es-419"/>
        </w:rPr>
      </w:pPr>
      <w:r w:rsidRPr="00A804BB">
        <w:rPr>
          <w:rFonts w:ascii="Arial" w:hAnsi="Arial" w:cs="Arial"/>
          <w:lang w:val="es-419"/>
        </w:rPr>
        <w:t>Demandado</w:t>
      </w:r>
      <w:r w:rsidRPr="00A804BB">
        <w:rPr>
          <w:rFonts w:ascii="Arial" w:hAnsi="Arial" w:cs="Arial"/>
          <w:lang w:val="es-419"/>
        </w:rPr>
        <w:tab/>
      </w:r>
      <w:r w:rsidRPr="00A804BB">
        <w:rPr>
          <w:rFonts w:ascii="Arial" w:hAnsi="Arial" w:cs="Arial"/>
          <w:lang w:val="es-419"/>
        </w:rPr>
        <w:tab/>
        <w:t>: Juan Manuel Varela Rojas</w:t>
      </w:r>
    </w:p>
    <w:p w14:paraId="0A5BD261" w14:textId="77777777" w:rsidR="00A804BB" w:rsidRPr="00A804BB" w:rsidRDefault="00A804BB" w:rsidP="00A804BB">
      <w:pPr>
        <w:jc w:val="both"/>
        <w:rPr>
          <w:rFonts w:ascii="Arial" w:hAnsi="Arial" w:cs="Arial"/>
          <w:lang w:val="es-419"/>
        </w:rPr>
      </w:pPr>
      <w:r w:rsidRPr="00A804BB">
        <w:rPr>
          <w:rFonts w:ascii="Arial" w:hAnsi="Arial" w:cs="Arial"/>
          <w:lang w:val="es-419"/>
        </w:rPr>
        <w:t>Procedencia</w:t>
      </w:r>
      <w:r w:rsidRPr="00A804BB">
        <w:rPr>
          <w:rFonts w:ascii="Arial" w:hAnsi="Arial" w:cs="Arial"/>
          <w:lang w:val="es-419"/>
        </w:rPr>
        <w:tab/>
      </w:r>
      <w:r w:rsidRPr="00A804BB">
        <w:rPr>
          <w:rFonts w:ascii="Arial" w:hAnsi="Arial" w:cs="Arial"/>
          <w:lang w:val="es-419"/>
        </w:rPr>
        <w:tab/>
        <w:t>: Juzgado Segundo Civil del Circuito de Pereira, R.</w:t>
      </w:r>
    </w:p>
    <w:p w14:paraId="7FA28763" w14:textId="77777777" w:rsidR="00A804BB" w:rsidRPr="00A804BB" w:rsidRDefault="00A804BB" w:rsidP="00A804BB">
      <w:pPr>
        <w:jc w:val="both"/>
        <w:rPr>
          <w:rFonts w:ascii="Arial" w:hAnsi="Arial" w:cs="Arial"/>
          <w:lang w:val="es-419"/>
        </w:rPr>
      </w:pPr>
      <w:r w:rsidRPr="00A804BB">
        <w:rPr>
          <w:rFonts w:ascii="Arial" w:hAnsi="Arial" w:cs="Arial"/>
          <w:lang w:val="es-419"/>
        </w:rPr>
        <w:t>Radicación</w:t>
      </w:r>
      <w:r w:rsidRPr="00A804BB">
        <w:rPr>
          <w:rFonts w:ascii="Arial" w:hAnsi="Arial" w:cs="Arial"/>
          <w:lang w:val="es-419"/>
        </w:rPr>
        <w:tab/>
      </w:r>
      <w:r w:rsidRPr="00A804BB">
        <w:rPr>
          <w:rFonts w:ascii="Arial" w:hAnsi="Arial" w:cs="Arial"/>
          <w:lang w:val="es-419"/>
        </w:rPr>
        <w:tab/>
        <w:t>: 66001-31-03-002-2018-00311-01</w:t>
      </w:r>
    </w:p>
    <w:p w14:paraId="538D7DBC" w14:textId="7EE36DDD" w:rsidR="00A804BB" w:rsidRDefault="00A804BB" w:rsidP="00A804BB">
      <w:pPr>
        <w:jc w:val="both"/>
        <w:rPr>
          <w:rFonts w:ascii="Arial" w:hAnsi="Arial" w:cs="Arial"/>
          <w:lang w:val="es-419"/>
        </w:rPr>
      </w:pPr>
      <w:proofErr w:type="spellStart"/>
      <w:r w:rsidRPr="00A804BB">
        <w:rPr>
          <w:rFonts w:ascii="Arial" w:hAnsi="Arial" w:cs="Arial"/>
          <w:lang w:val="es-419"/>
        </w:rPr>
        <w:t>Mag</w:t>
      </w:r>
      <w:proofErr w:type="spellEnd"/>
      <w:r w:rsidR="009C10BA">
        <w:rPr>
          <w:rFonts w:ascii="Arial" w:hAnsi="Arial" w:cs="Arial"/>
          <w:lang w:val="es-419"/>
        </w:rPr>
        <w:t>.</w:t>
      </w:r>
      <w:r w:rsidRPr="00A804BB">
        <w:rPr>
          <w:rFonts w:ascii="Arial" w:hAnsi="Arial" w:cs="Arial"/>
          <w:lang w:val="es-419"/>
        </w:rPr>
        <w:t xml:space="preserve"> Sustanciador</w:t>
      </w:r>
      <w:r w:rsidRPr="00A804BB">
        <w:rPr>
          <w:rFonts w:ascii="Arial" w:hAnsi="Arial" w:cs="Arial"/>
          <w:lang w:val="es-419"/>
        </w:rPr>
        <w:tab/>
        <w:t>: DUBERNEY GRISALES HERRERA</w:t>
      </w:r>
    </w:p>
    <w:p w14:paraId="761D731B" w14:textId="77777777" w:rsidR="00A804BB" w:rsidRDefault="00A804BB" w:rsidP="00A804BB">
      <w:pPr>
        <w:jc w:val="both"/>
        <w:rPr>
          <w:rFonts w:ascii="Arial" w:hAnsi="Arial" w:cs="Arial"/>
          <w:lang w:val="es-419"/>
        </w:rPr>
      </w:pPr>
    </w:p>
    <w:p w14:paraId="62D5BC88" w14:textId="687BA78F" w:rsidR="00A804BB" w:rsidRPr="00E32969" w:rsidRDefault="00C05206" w:rsidP="00A804B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RECURSO DE SÚPLICA / REQUISITOS DE VIABILIDAD </w:t>
      </w:r>
      <w:r w:rsidRPr="00E32969">
        <w:rPr>
          <w:rFonts w:ascii="Arial" w:hAnsi="Arial" w:cs="Arial"/>
          <w:b/>
          <w:bCs/>
          <w:iCs/>
          <w:sz w:val="20"/>
          <w:szCs w:val="20"/>
          <w:lang w:val="es-419" w:eastAsia="fr-FR"/>
        </w:rPr>
        <w:t xml:space="preserve">/ </w:t>
      </w:r>
      <w:r>
        <w:rPr>
          <w:rFonts w:ascii="Arial" w:hAnsi="Arial" w:cs="Arial"/>
          <w:b/>
          <w:bCs/>
          <w:iCs/>
          <w:sz w:val="20"/>
          <w:szCs w:val="20"/>
          <w:lang w:val="es-419" w:eastAsia="fr-FR"/>
        </w:rPr>
        <w:t>LEGITIMACIÓN, OPORTUNIDAD Y PROCEDENCIA / CONTRA AUTOS SUSCEPTIBLES DE APELACIÓN DICTADOS EN SEGUNDA INSTANCIA.</w:t>
      </w:r>
    </w:p>
    <w:p w14:paraId="3CAE92A3" w14:textId="77777777" w:rsidR="00A804BB" w:rsidRPr="00E32969" w:rsidRDefault="00A804BB" w:rsidP="00A804BB">
      <w:pPr>
        <w:jc w:val="both"/>
        <w:rPr>
          <w:rFonts w:ascii="Arial" w:hAnsi="Arial" w:cs="Arial"/>
          <w:lang w:val="es-419"/>
        </w:rPr>
      </w:pPr>
    </w:p>
    <w:p w14:paraId="103C39E7" w14:textId="4FDE535E" w:rsidR="00A804BB" w:rsidRDefault="0008075F" w:rsidP="00A804BB">
      <w:pPr>
        <w:jc w:val="both"/>
        <w:rPr>
          <w:rFonts w:ascii="Arial" w:hAnsi="Arial" w:cs="Arial"/>
          <w:lang w:val="es-419"/>
        </w:rPr>
      </w:pPr>
      <w:r w:rsidRPr="0008075F">
        <w:rPr>
          <w:rFonts w:ascii="Arial" w:hAnsi="Arial" w:cs="Arial"/>
          <w:lang w:val="es-419"/>
        </w:rPr>
        <w:t>En materia de impugnaciones, es siempre indispensable la revisión de los presupuestos que permiten desatar el recurso o condiciones para tener la posibilidad de recurrir</w:t>
      </w:r>
      <w:r>
        <w:rPr>
          <w:rFonts w:ascii="Arial" w:hAnsi="Arial" w:cs="Arial"/>
          <w:lang w:val="es-419"/>
        </w:rPr>
        <w:t>…</w:t>
      </w:r>
    </w:p>
    <w:p w14:paraId="1F311544" w14:textId="39099C8F" w:rsidR="0008075F" w:rsidRDefault="0008075F" w:rsidP="00A804BB">
      <w:pPr>
        <w:jc w:val="both"/>
        <w:rPr>
          <w:rFonts w:ascii="Arial" w:hAnsi="Arial" w:cs="Arial"/>
          <w:lang w:val="es-419"/>
        </w:rPr>
      </w:pPr>
    </w:p>
    <w:p w14:paraId="40C7DF09" w14:textId="4DC875ED" w:rsidR="0008075F" w:rsidRPr="00E32969" w:rsidRDefault="0008075F" w:rsidP="00A804BB">
      <w:pPr>
        <w:jc w:val="both"/>
        <w:rPr>
          <w:rFonts w:ascii="Arial" w:hAnsi="Arial" w:cs="Arial"/>
          <w:lang w:val="es-419"/>
        </w:rPr>
      </w:pPr>
      <w:r w:rsidRPr="0008075F">
        <w:rPr>
          <w:rFonts w:ascii="Arial" w:hAnsi="Arial" w:cs="Arial"/>
          <w:lang w:val="es-419"/>
        </w:rPr>
        <w:t>Esos requisitos son una serie de exigencias normativas formales que permiten su trámite y aseguran su decisión</w:t>
      </w:r>
      <w:r>
        <w:rPr>
          <w:rFonts w:ascii="Arial" w:hAnsi="Arial" w:cs="Arial"/>
          <w:lang w:val="es-419"/>
        </w:rPr>
        <w:t>…</w:t>
      </w:r>
    </w:p>
    <w:p w14:paraId="71861FB7" w14:textId="77777777" w:rsidR="00A804BB" w:rsidRPr="00E32969" w:rsidRDefault="00A804BB" w:rsidP="00A804BB">
      <w:pPr>
        <w:jc w:val="both"/>
        <w:rPr>
          <w:rFonts w:ascii="Arial" w:hAnsi="Arial" w:cs="Arial"/>
          <w:lang w:val="es-419"/>
        </w:rPr>
      </w:pPr>
    </w:p>
    <w:p w14:paraId="417BB6A7" w14:textId="4434BDD6" w:rsidR="00A804BB" w:rsidRDefault="00625903" w:rsidP="00A804BB">
      <w:pPr>
        <w:jc w:val="both"/>
        <w:rPr>
          <w:rFonts w:ascii="Arial" w:hAnsi="Arial" w:cs="Arial"/>
          <w:lang w:val="es-419"/>
        </w:rPr>
      </w:pPr>
      <w:r w:rsidRPr="00625903">
        <w:rPr>
          <w:rFonts w:ascii="Arial" w:hAnsi="Arial" w:cs="Arial"/>
          <w:lang w:val="es-419"/>
        </w:rPr>
        <w:t>Se hacen consistir en: (i) Legitimación, (ii) Oportunidad, (iii) Procedencia y (iv) Cargas procesales (Sustentación, expedición de copias, etc.); los tres (3) primeros implican la inadmisibilidad del recurso, mientras que el cuarto, provoca la deserción</w:t>
      </w:r>
      <w:r>
        <w:rPr>
          <w:rFonts w:ascii="Arial" w:hAnsi="Arial" w:cs="Arial"/>
          <w:lang w:val="es-419"/>
        </w:rPr>
        <w:t>…</w:t>
      </w:r>
    </w:p>
    <w:p w14:paraId="3663940F" w14:textId="2533CAB5" w:rsidR="00625903" w:rsidRDefault="00625903" w:rsidP="00A804BB">
      <w:pPr>
        <w:jc w:val="both"/>
        <w:rPr>
          <w:rFonts w:ascii="Arial" w:hAnsi="Arial" w:cs="Arial"/>
          <w:lang w:val="es-419"/>
        </w:rPr>
      </w:pPr>
    </w:p>
    <w:p w14:paraId="4EF451A0" w14:textId="57F14EAF" w:rsidR="00625903" w:rsidRDefault="005B0B83" w:rsidP="00A804BB">
      <w:pPr>
        <w:jc w:val="both"/>
        <w:rPr>
          <w:rFonts w:ascii="Arial" w:hAnsi="Arial" w:cs="Arial"/>
          <w:lang w:val="es-419"/>
        </w:rPr>
      </w:pPr>
      <w:r w:rsidRPr="005B0B83">
        <w:rPr>
          <w:rFonts w:ascii="Arial" w:hAnsi="Arial" w:cs="Arial"/>
          <w:lang w:val="es-419"/>
        </w:rPr>
        <w:t>Revisado nuestro ordenamiento procesal vigente, el recurso de súplica (Artículo 331, CGP) procede contra: (i) Los autos que por su naturaleza son apelables (Artículo 321, CGP), dictados por el magistrado sustanciador en curso de la segunda o única instancia, o en el trámite de recursos extraordinarios (Revisión y casación); y, (ii) La providencia que resuelve sobre la admisión del recurso de apelación o casación</w:t>
      </w:r>
      <w:r>
        <w:rPr>
          <w:rFonts w:ascii="Arial" w:hAnsi="Arial" w:cs="Arial"/>
          <w:lang w:val="es-419"/>
        </w:rPr>
        <w:t>…</w:t>
      </w:r>
    </w:p>
    <w:p w14:paraId="421AF238" w14:textId="77777777" w:rsidR="00A804BB" w:rsidRDefault="00A804BB" w:rsidP="00A804BB">
      <w:pPr>
        <w:jc w:val="both"/>
        <w:rPr>
          <w:rFonts w:ascii="Arial" w:hAnsi="Arial" w:cs="Arial"/>
          <w:lang w:val="es-419"/>
        </w:rPr>
      </w:pPr>
    </w:p>
    <w:p w14:paraId="1ECB281C" w14:textId="64BFFC5A" w:rsidR="00A804BB" w:rsidRPr="00E32969" w:rsidRDefault="00C44EDE" w:rsidP="00A804BB">
      <w:pPr>
        <w:jc w:val="both"/>
        <w:rPr>
          <w:rFonts w:ascii="Arial" w:hAnsi="Arial" w:cs="Arial"/>
          <w:lang w:val="es-419"/>
        </w:rPr>
      </w:pPr>
      <w:r w:rsidRPr="00C44EDE">
        <w:rPr>
          <w:rFonts w:ascii="Arial" w:hAnsi="Arial" w:cs="Arial"/>
          <w:lang w:val="es-419"/>
        </w:rPr>
        <w:t>La providencia criticada se ocupó de conceder la casación y fijar una caución, con claridad son decisiones que no son de naturaleza apelable en las hipótesis, taxativamente, contempladas en el estatuto procesal (Artículo 321, CGP)</w:t>
      </w:r>
      <w:r>
        <w:rPr>
          <w:rFonts w:ascii="Arial" w:hAnsi="Arial" w:cs="Arial"/>
          <w:lang w:val="es-419"/>
        </w:rPr>
        <w:t xml:space="preserve"> …</w:t>
      </w:r>
    </w:p>
    <w:p w14:paraId="77CC62E2" w14:textId="77777777" w:rsidR="00A804BB" w:rsidRDefault="00A804BB" w:rsidP="00A804BB">
      <w:pPr>
        <w:jc w:val="both"/>
        <w:rPr>
          <w:rFonts w:ascii="Arial" w:hAnsi="Arial" w:cs="Arial"/>
        </w:rPr>
      </w:pPr>
    </w:p>
    <w:p w14:paraId="76FA6C50" w14:textId="77777777" w:rsidR="00A804BB" w:rsidRDefault="00A804BB" w:rsidP="00A804BB">
      <w:pPr>
        <w:jc w:val="both"/>
        <w:rPr>
          <w:rFonts w:ascii="Arial" w:hAnsi="Arial" w:cs="Arial"/>
        </w:rPr>
      </w:pPr>
    </w:p>
    <w:bookmarkEnd w:id="0"/>
    <w:p w14:paraId="001A2EC7" w14:textId="77777777" w:rsidR="00A804BB" w:rsidRDefault="00A804BB" w:rsidP="00A804BB">
      <w:pPr>
        <w:jc w:val="both"/>
        <w:rPr>
          <w:rFonts w:ascii="Arial" w:hAnsi="Arial" w:cs="Arial"/>
        </w:rPr>
      </w:pPr>
    </w:p>
    <w:bookmarkEnd w:id="1"/>
    <w:p w14:paraId="3CDD36CF" w14:textId="77777777" w:rsidR="00A804BB" w:rsidRPr="00276704" w:rsidRDefault="00A804BB" w:rsidP="00A804BB">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21A0B1D7" wp14:editId="2CD34E76">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0D8C868F" w14:textId="77777777" w:rsidR="00A804BB" w:rsidRPr="007A5B2F" w:rsidRDefault="00A804BB" w:rsidP="00A804BB">
      <w:pPr>
        <w:pStyle w:val="Sinespaciado"/>
        <w:spacing w:line="360" w:lineRule="auto"/>
        <w:jc w:val="center"/>
        <w:rPr>
          <w:rFonts w:ascii="Georgia" w:hAnsi="Georgia" w:cs="Arial"/>
          <w:w w:val="140"/>
          <w:sz w:val="14"/>
          <w:szCs w:val="14"/>
        </w:rPr>
      </w:pPr>
      <w:r w:rsidRPr="007A5B2F">
        <w:rPr>
          <w:rFonts w:ascii="Georgia" w:hAnsi="Georgia" w:cs="Arial"/>
          <w:w w:val="140"/>
          <w:sz w:val="14"/>
          <w:szCs w:val="14"/>
        </w:rPr>
        <w:t>REPUBLICA DE COLOMBIA</w:t>
      </w:r>
    </w:p>
    <w:p w14:paraId="6312C9E1" w14:textId="77777777" w:rsidR="00A804BB" w:rsidRPr="007A5B2F" w:rsidRDefault="00A804BB" w:rsidP="00A804BB">
      <w:pPr>
        <w:pStyle w:val="Sinespaciado"/>
        <w:tabs>
          <w:tab w:val="center" w:pos="4987"/>
          <w:tab w:val="left" w:pos="8449"/>
        </w:tabs>
        <w:spacing w:line="360" w:lineRule="auto"/>
        <w:jc w:val="center"/>
        <w:rPr>
          <w:rFonts w:ascii="Georgia" w:hAnsi="Georgia" w:cs="Arial"/>
          <w:w w:val="140"/>
        </w:rPr>
      </w:pPr>
      <w:r w:rsidRPr="007A5B2F">
        <w:rPr>
          <w:rFonts w:ascii="Georgia" w:hAnsi="Georgia" w:cs="Arial"/>
          <w:w w:val="140"/>
          <w:sz w:val="14"/>
          <w:szCs w:val="14"/>
        </w:rPr>
        <w:t>RAMA JUDICIAL DEL PODER PÚBLICO</w:t>
      </w:r>
    </w:p>
    <w:p w14:paraId="62D7A3D6" w14:textId="77777777" w:rsidR="00A804BB" w:rsidRPr="007A5B2F" w:rsidRDefault="00A804BB" w:rsidP="00A804BB">
      <w:pPr>
        <w:pStyle w:val="Sinespaciado"/>
        <w:spacing w:line="360" w:lineRule="auto"/>
        <w:jc w:val="center"/>
        <w:rPr>
          <w:rFonts w:ascii="Georgia" w:hAnsi="Georgia" w:cs="Arial"/>
          <w:b/>
          <w:bCs/>
          <w:w w:val="140"/>
          <w:sz w:val="16"/>
          <w:szCs w:val="16"/>
        </w:rPr>
      </w:pPr>
      <w:r w:rsidRPr="007A5B2F">
        <w:rPr>
          <w:rFonts w:ascii="Georgia" w:hAnsi="Georgia" w:cs="Arial"/>
          <w:b/>
          <w:bCs/>
          <w:w w:val="140"/>
          <w:sz w:val="18"/>
          <w:szCs w:val="18"/>
        </w:rPr>
        <w:t>T</w:t>
      </w:r>
      <w:r w:rsidRPr="007A5B2F">
        <w:rPr>
          <w:rFonts w:ascii="Georgia" w:hAnsi="Georgia" w:cs="Arial"/>
          <w:b/>
          <w:bCs/>
          <w:w w:val="140"/>
          <w:sz w:val="16"/>
          <w:szCs w:val="16"/>
        </w:rPr>
        <w:t>RIBUNAL</w:t>
      </w:r>
      <w:r w:rsidRPr="007A5B2F">
        <w:rPr>
          <w:rFonts w:ascii="Georgia" w:hAnsi="Georgia" w:cs="Arial"/>
          <w:b/>
          <w:bCs/>
          <w:w w:val="140"/>
          <w:sz w:val="18"/>
          <w:szCs w:val="18"/>
        </w:rPr>
        <w:t xml:space="preserve"> S</w:t>
      </w:r>
      <w:r w:rsidRPr="007A5B2F">
        <w:rPr>
          <w:rFonts w:ascii="Georgia" w:hAnsi="Georgia" w:cs="Arial"/>
          <w:b/>
          <w:bCs/>
          <w:w w:val="140"/>
          <w:sz w:val="16"/>
          <w:szCs w:val="16"/>
        </w:rPr>
        <w:t xml:space="preserve">UPERIOR DEL </w:t>
      </w:r>
      <w:r w:rsidRPr="007A5B2F">
        <w:rPr>
          <w:rFonts w:ascii="Georgia" w:hAnsi="Georgia" w:cs="Arial"/>
          <w:b/>
          <w:bCs/>
          <w:w w:val="140"/>
          <w:sz w:val="18"/>
          <w:szCs w:val="18"/>
        </w:rPr>
        <w:t>D</w:t>
      </w:r>
      <w:r w:rsidRPr="007A5B2F">
        <w:rPr>
          <w:rFonts w:ascii="Georgia" w:hAnsi="Georgia" w:cs="Arial"/>
          <w:b/>
          <w:bCs/>
          <w:w w:val="140"/>
          <w:sz w:val="16"/>
          <w:szCs w:val="16"/>
        </w:rPr>
        <w:t>ISTRITO</w:t>
      </w:r>
      <w:r w:rsidRPr="007A5B2F">
        <w:rPr>
          <w:rFonts w:ascii="Georgia" w:hAnsi="Georgia" w:cs="Arial"/>
          <w:b/>
          <w:bCs/>
          <w:w w:val="140"/>
          <w:sz w:val="18"/>
          <w:szCs w:val="18"/>
        </w:rPr>
        <w:t xml:space="preserve"> J</w:t>
      </w:r>
      <w:r w:rsidRPr="007A5B2F">
        <w:rPr>
          <w:rFonts w:ascii="Georgia" w:hAnsi="Georgia" w:cs="Arial"/>
          <w:b/>
          <w:bCs/>
          <w:w w:val="140"/>
          <w:sz w:val="16"/>
          <w:szCs w:val="16"/>
        </w:rPr>
        <w:t xml:space="preserve">UDICIAL </w:t>
      </w:r>
    </w:p>
    <w:p w14:paraId="05B5468D" w14:textId="77777777" w:rsidR="00A804BB" w:rsidRPr="007A5B2F" w:rsidRDefault="00A804BB" w:rsidP="00A804BB">
      <w:pPr>
        <w:pStyle w:val="Sinespaciado"/>
        <w:spacing w:line="360" w:lineRule="auto"/>
        <w:jc w:val="center"/>
        <w:rPr>
          <w:rFonts w:ascii="Georgia" w:hAnsi="Georgia" w:cs="Arial"/>
          <w:w w:val="140"/>
          <w:sz w:val="16"/>
          <w:szCs w:val="16"/>
        </w:rPr>
      </w:pPr>
      <w:r w:rsidRPr="007A5B2F">
        <w:rPr>
          <w:rFonts w:ascii="Georgia" w:hAnsi="Georgia" w:cs="Arial"/>
          <w:w w:val="140"/>
          <w:sz w:val="18"/>
          <w:szCs w:val="16"/>
        </w:rPr>
        <w:t>S</w:t>
      </w:r>
      <w:r w:rsidRPr="007A5B2F">
        <w:rPr>
          <w:rFonts w:ascii="Georgia" w:hAnsi="Georgia" w:cs="Arial"/>
          <w:w w:val="140"/>
          <w:sz w:val="16"/>
          <w:szCs w:val="14"/>
        </w:rPr>
        <w:t xml:space="preserve">ALA </w:t>
      </w:r>
      <w:r w:rsidRPr="007A5B2F">
        <w:rPr>
          <w:rFonts w:ascii="Georgia" w:hAnsi="Georgia" w:cs="Arial"/>
          <w:w w:val="140"/>
          <w:sz w:val="18"/>
          <w:szCs w:val="16"/>
        </w:rPr>
        <w:t>U</w:t>
      </w:r>
      <w:r w:rsidRPr="007A5B2F">
        <w:rPr>
          <w:rFonts w:ascii="Georgia" w:hAnsi="Georgia" w:cs="Arial"/>
          <w:w w:val="140"/>
          <w:sz w:val="16"/>
          <w:szCs w:val="16"/>
        </w:rPr>
        <w:t xml:space="preserve">NITARIA </w:t>
      </w:r>
      <w:r w:rsidRPr="007A5B2F">
        <w:rPr>
          <w:rFonts w:ascii="Georgia" w:hAnsi="Georgia" w:cs="Arial"/>
          <w:w w:val="140"/>
          <w:sz w:val="18"/>
          <w:szCs w:val="16"/>
        </w:rPr>
        <w:t>C</w:t>
      </w:r>
      <w:r w:rsidRPr="007A5B2F">
        <w:rPr>
          <w:rFonts w:ascii="Georgia" w:hAnsi="Georgia" w:cs="Arial"/>
          <w:w w:val="140"/>
          <w:sz w:val="16"/>
          <w:szCs w:val="16"/>
        </w:rPr>
        <w:t xml:space="preserve">IVIL </w:t>
      </w:r>
      <w:r w:rsidRPr="007A5B2F">
        <w:rPr>
          <w:rFonts w:ascii="Georgia" w:hAnsi="Georgia" w:cs="Arial"/>
          <w:w w:val="140"/>
          <w:sz w:val="14"/>
          <w:szCs w:val="14"/>
        </w:rPr>
        <w:t xml:space="preserve">– </w:t>
      </w:r>
      <w:r w:rsidRPr="007A5B2F">
        <w:rPr>
          <w:rFonts w:ascii="Georgia" w:hAnsi="Georgia" w:cs="Arial"/>
          <w:w w:val="140"/>
          <w:sz w:val="18"/>
          <w:szCs w:val="16"/>
        </w:rPr>
        <w:t>F</w:t>
      </w:r>
      <w:r w:rsidRPr="007A5B2F">
        <w:rPr>
          <w:rFonts w:ascii="Georgia" w:hAnsi="Georgia" w:cs="Arial"/>
          <w:w w:val="140"/>
          <w:sz w:val="16"/>
          <w:szCs w:val="16"/>
        </w:rPr>
        <w:t xml:space="preserve">AMILIA – </w:t>
      </w:r>
      <w:r w:rsidRPr="007A5B2F">
        <w:rPr>
          <w:rFonts w:ascii="Georgia" w:hAnsi="Georgia" w:cs="Arial"/>
          <w:w w:val="140"/>
          <w:sz w:val="18"/>
          <w:szCs w:val="16"/>
        </w:rPr>
        <w:t>D</w:t>
      </w:r>
      <w:r w:rsidRPr="007A5B2F">
        <w:rPr>
          <w:rFonts w:ascii="Georgia" w:hAnsi="Georgia" w:cs="Arial"/>
          <w:w w:val="140"/>
          <w:sz w:val="16"/>
          <w:szCs w:val="16"/>
        </w:rPr>
        <w:t xml:space="preserve">ISTRITO DE </w:t>
      </w:r>
      <w:r w:rsidRPr="007A5B2F">
        <w:rPr>
          <w:rFonts w:ascii="Georgia" w:hAnsi="Georgia" w:cs="Arial"/>
          <w:w w:val="140"/>
          <w:sz w:val="18"/>
          <w:szCs w:val="16"/>
        </w:rPr>
        <w:t>P</w:t>
      </w:r>
      <w:r w:rsidRPr="007A5B2F">
        <w:rPr>
          <w:rFonts w:ascii="Georgia" w:hAnsi="Georgia" w:cs="Arial"/>
          <w:w w:val="140"/>
          <w:sz w:val="16"/>
          <w:szCs w:val="16"/>
        </w:rPr>
        <w:t>EREIRA</w:t>
      </w:r>
    </w:p>
    <w:p w14:paraId="166041BA" w14:textId="77777777" w:rsidR="00A804BB" w:rsidRPr="007A5B2F" w:rsidRDefault="00A804BB" w:rsidP="00A804BB">
      <w:pPr>
        <w:pStyle w:val="Sinespaciado"/>
        <w:spacing w:line="360" w:lineRule="auto"/>
        <w:jc w:val="center"/>
        <w:rPr>
          <w:rFonts w:ascii="Georgia" w:hAnsi="Georgia" w:cs="Arial"/>
          <w:w w:val="140"/>
          <w:sz w:val="16"/>
          <w:szCs w:val="16"/>
        </w:rPr>
      </w:pPr>
      <w:r w:rsidRPr="007A5B2F">
        <w:rPr>
          <w:rFonts w:ascii="Georgia" w:hAnsi="Georgia" w:cs="Arial"/>
          <w:w w:val="140"/>
          <w:sz w:val="18"/>
          <w:szCs w:val="18"/>
        </w:rPr>
        <w:t>D</w:t>
      </w:r>
      <w:r w:rsidRPr="007A5B2F">
        <w:rPr>
          <w:rFonts w:ascii="Georgia" w:hAnsi="Georgia" w:cs="Arial"/>
          <w:w w:val="140"/>
          <w:sz w:val="16"/>
          <w:szCs w:val="16"/>
        </w:rPr>
        <w:t xml:space="preserve">EPARTAMENTO </w:t>
      </w:r>
      <w:r w:rsidRPr="007A5B2F">
        <w:rPr>
          <w:rFonts w:ascii="Georgia" w:hAnsi="Georgia" w:cs="Arial"/>
          <w:w w:val="140"/>
          <w:sz w:val="18"/>
          <w:szCs w:val="18"/>
        </w:rPr>
        <w:t>D</w:t>
      </w:r>
      <w:r w:rsidRPr="007A5B2F">
        <w:rPr>
          <w:rFonts w:ascii="Georgia" w:hAnsi="Georgia" w:cs="Arial"/>
          <w:w w:val="140"/>
          <w:sz w:val="16"/>
          <w:szCs w:val="16"/>
        </w:rPr>
        <w:t xml:space="preserve">EL </w:t>
      </w:r>
      <w:r w:rsidRPr="007A5B2F">
        <w:rPr>
          <w:rFonts w:ascii="Georgia" w:hAnsi="Georgia" w:cs="Arial"/>
          <w:w w:val="140"/>
          <w:sz w:val="18"/>
          <w:szCs w:val="18"/>
        </w:rPr>
        <w:t>R</w:t>
      </w:r>
      <w:r w:rsidRPr="007A5B2F">
        <w:rPr>
          <w:rFonts w:ascii="Georgia" w:hAnsi="Georgia" w:cs="Arial"/>
          <w:w w:val="140"/>
          <w:sz w:val="16"/>
          <w:szCs w:val="16"/>
        </w:rPr>
        <w:t>ISARALDA</w:t>
      </w:r>
    </w:p>
    <w:p w14:paraId="05C64062" w14:textId="77777777" w:rsidR="00A804BB" w:rsidRPr="007A5B2F" w:rsidRDefault="00A804BB" w:rsidP="00A804BB">
      <w:pPr>
        <w:spacing w:line="276" w:lineRule="auto"/>
        <w:jc w:val="center"/>
        <w:rPr>
          <w:rFonts w:ascii="Georgia" w:hAnsi="Georgia" w:cs="Arial"/>
          <w:b/>
          <w:bCs/>
          <w:sz w:val="22"/>
          <w:szCs w:val="22"/>
        </w:rPr>
      </w:pPr>
    </w:p>
    <w:p w14:paraId="5DF131BC" w14:textId="0A6434EB" w:rsidR="00CC7065" w:rsidRPr="00A804BB" w:rsidRDefault="00CC7065" w:rsidP="00A804BB">
      <w:pPr>
        <w:pStyle w:val="Textoindependiente"/>
        <w:spacing w:line="276" w:lineRule="auto"/>
        <w:jc w:val="center"/>
        <w:rPr>
          <w:rFonts w:ascii="Georgia" w:hAnsi="Georgia" w:cs="Arial"/>
          <w:b/>
          <w:lang w:val="es-CO"/>
        </w:rPr>
      </w:pPr>
      <w:r w:rsidRPr="00A804BB">
        <w:rPr>
          <w:rFonts w:ascii="Georgia" w:hAnsi="Georgia" w:cs="Arial"/>
          <w:b/>
          <w:lang w:val="es-CO"/>
        </w:rPr>
        <w:t>AC</w:t>
      </w:r>
      <w:r w:rsidR="5D807590" w:rsidRPr="00A804BB">
        <w:rPr>
          <w:rFonts w:ascii="Georgia" w:hAnsi="Georgia" w:cs="Arial"/>
          <w:b/>
          <w:lang w:val="es-CO"/>
        </w:rPr>
        <w:t>-</w:t>
      </w:r>
      <w:r w:rsidRPr="00A804BB">
        <w:rPr>
          <w:rFonts w:ascii="Georgia" w:hAnsi="Georgia" w:cs="Arial"/>
          <w:b/>
          <w:lang w:val="es-CO"/>
        </w:rPr>
        <w:t>0</w:t>
      </w:r>
      <w:r w:rsidR="00453CA1" w:rsidRPr="00A804BB">
        <w:rPr>
          <w:rFonts w:ascii="Georgia" w:hAnsi="Georgia" w:cs="Arial"/>
          <w:b/>
          <w:lang w:val="es-CO"/>
        </w:rPr>
        <w:t>o</w:t>
      </w:r>
      <w:r w:rsidR="00EB7B64" w:rsidRPr="00A804BB">
        <w:rPr>
          <w:rFonts w:ascii="Georgia" w:hAnsi="Georgia" w:cs="Arial"/>
          <w:b/>
          <w:lang w:val="es-CO"/>
        </w:rPr>
        <w:t>25</w:t>
      </w:r>
      <w:r w:rsidRPr="00A804BB">
        <w:rPr>
          <w:rFonts w:ascii="Georgia" w:hAnsi="Georgia" w:cs="Arial"/>
          <w:b/>
          <w:lang w:val="es-CO"/>
        </w:rPr>
        <w:t>-202</w:t>
      </w:r>
      <w:r w:rsidR="00453CA1" w:rsidRPr="00A804BB">
        <w:rPr>
          <w:rFonts w:ascii="Georgia" w:hAnsi="Georgia" w:cs="Arial"/>
          <w:b/>
          <w:lang w:val="es-CO"/>
        </w:rPr>
        <w:t>2</w:t>
      </w:r>
    </w:p>
    <w:p w14:paraId="10B8F24B" w14:textId="77777777" w:rsidR="00CF2BC2" w:rsidRPr="00A804BB" w:rsidRDefault="00CF2BC2" w:rsidP="00A804BB">
      <w:pPr>
        <w:pStyle w:val="Textoindependiente"/>
        <w:pBdr>
          <w:bottom w:val="double" w:sz="6" w:space="1" w:color="auto"/>
        </w:pBdr>
        <w:spacing w:line="276" w:lineRule="auto"/>
        <w:jc w:val="center"/>
        <w:rPr>
          <w:rFonts w:ascii="Georgia" w:hAnsi="Georgia" w:cs="Arial"/>
        </w:rPr>
      </w:pPr>
    </w:p>
    <w:p w14:paraId="10B8F24C" w14:textId="77777777" w:rsidR="00CF2BC2" w:rsidRPr="00A804BB" w:rsidRDefault="00CF2BC2" w:rsidP="00A804BB">
      <w:pPr>
        <w:pStyle w:val="Textoindependiente"/>
        <w:spacing w:line="276" w:lineRule="auto"/>
        <w:jc w:val="center"/>
        <w:rPr>
          <w:rFonts w:ascii="Georgia" w:hAnsi="Georgia" w:cs="Arial"/>
        </w:rPr>
      </w:pPr>
    </w:p>
    <w:p w14:paraId="12B04F53" w14:textId="4B6A56B7" w:rsidR="00731779" w:rsidRPr="00A804BB" w:rsidRDefault="00EB7B64" w:rsidP="00A804BB">
      <w:pPr>
        <w:spacing w:line="276" w:lineRule="auto"/>
        <w:jc w:val="center"/>
        <w:rPr>
          <w:rFonts w:ascii="Georgia" w:hAnsi="Georgia" w:cs="Arial"/>
          <w:smallCaps/>
          <w:sz w:val="24"/>
          <w:szCs w:val="24"/>
        </w:rPr>
      </w:pPr>
      <w:r w:rsidRPr="00A804BB">
        <w:rPr>
          <w:rFonts w:ascii="Georgia" w:hAnsi="Georgia" w:cs="Arial"/>
          <w:smallCaps/>
          <w:sz w:val="24"/>
          <w:szCs w:val="24"/>
        </w:rPr>
        <w:t xml:space="preserve">Once </w:t>
      </w:r>
      <w:r w:rsidR="00731779" w:rsidRPr="00A804BB">
        <w:rPr>
          <w:rFonts w:ascii="Georgia" w:hAnsi="Georgia" w:cs="Arial"/>
          <w:smallCaps/>
          <w:sz w:val="24"/>
          <w:szCs w:val="24"/>
        </w:rPr>
        <w:t>(</w:t>
      </w:r>
      <w:r w:rsidRPr="00A804BB">
        <w:rPr>
          <w:rFonts w:ascii="Georgia" w:hAnsi="Georgia" w:cs="Arial"/>
          <w:smallCaps/>
          <w:sz w:val="24"/>
          <w:szCs w:val="24"/>
        </w:rPr>
        <w:t>11</w:t>
      </w:r>
      <w:r w:rsidR="00731779" w:rsidRPr="00A804BB">
        <w:rPr>
          <w:rFonts w:ascii="Georgia" w:hAnsi="Georgia" w:cs="Arial"/>
          <w:smallCaps/>
          <w:sz w:val="24"/>
          <w:szCs w:val="24"/>
        </w:rPr>
        <w:t xml:space="preserve">) de </w:t>
      </w:r>
      <w:r w:rsidR="00453CA1" w:rsidRPr="00A804BB">
        <w:rPr>
          <w:rFonts w:ascii="Georgia" w:hAnsi="Georgia" w:cs="Arial"/>
          <w:smallCaps/>
          <w:sz w:val="24"/>
          <w:szCs w:val="24"/>
        </w:rPr>
        <w:t xml:space="preserve">febrero </w:t>
      </w:r>
      <w:r w:rsidR="00731779" w:rsidRPr="00A804BB">
        <w:rPr>
          <w:rFonts w:ascii="Georgia" w:hAnsi="Georgia" w:cs="Arial"/>
          <w:smallCaps/>
          <w:sz w:val="24"/>
          <w:szCs w:val="24"/>
        </w:rPr>
        <w:t>de dos mil veint</w:t>
      </w:r>
      <w:r w:rsidR="00B0164D" w:rsidRPr="00A804BB">
        <w:rPr>
          <w:rFonts w:ascii="Georgia" w:hAnsi="Georgia" w:cs="Arial"/>
          <w:smallCaps/>
          <w:sz w:val="24"/>
          <w:szCs w:val="24"/>
        </w:rPr>
        <w:t>i</w:t>
      </w:r>
      <w:r w:rsidR="00453CA1" w:rsidRPr="00A804BB">
        <w:rPr>
          <w:rFonts w:ascii="Georgia" w:hAnsi="Georgia" w:cs="Arial"/>
          <w:smallCaps/>
          <w:sz w:val="24"/>
          <w:szCs w:val="24"/>
        </w:rPr>
        <w:t xml:space="preserve">dós </w:t>
      </w:r>
      <w:r w:rsidR="00731779" w:rsidRPr="00A804BB">
        <w:rPr>
          <w:rFonts w:ascii="Georgia" w:hAnsi="Georgia" w:cs="Arial"/>
          <w:smallCaps/>
          <w:sz w:val="24"/>
          <w:szCs w:val="24"/>
        </w:rPr>
        <w:t>(202</w:t>
      </w:r>
      <w:r w:rsidR="00453CA1" w:rsidRPr="00A804BB">
        <w:rPr>
          <w:rFonts w:ascii="Georgia" w:hAnsi="Georgia" w:cs="Arial"/>
          <w:smallCaps/>
          <w:sz w:val="24"/>
          <w:szCs w:val="24"/>
        </w:rPr>
        <w:t>2</w:t>
      </w:r>
      <w:r w:rsidR="00731779" w:rsidRPr="00A804BB">
        <w:rPr>
          <w:rFonts w:ascii="Georgia" w:hAnsi="Georgia" w:cs="Arial"/>
          <w:smallCaps/>
          <w:sz w:val="24"/>
          <w:szCs w:val="24"/>
        </w:rPr>
        <w:t>).</w:t>
      </w:r>
    </w:p>
    <w:p w14:paraId="7B80A617" w14:textId="77777777" w:rsidR="00B0164D" w:rsidRPr="00A804BB" w:rsidRDefault="00B0164D" w:rsidP="00A804BB">
      <w:pPr>
        <w:spacing w:line="276" w:lineRule="auto"/>
        <w:jc w:val="center"/>
        <w:rPr>
          <w:rFonts w:ascii="Georgia" w:hAnsi="Georgia" w:cs="Arial"/>
          <w:smallCaps/>
          <w:sz w:val="24"/>
          <w:szCs w:val="24"/>
        </w:rPr>
      </w:pPr>
    </w:p>
    <w:p w14:paraId="10B8F24E" w14:textId="77777777" w:rsidR="00CF2BC2" w:rsidRPr="00A804BB" w:rsidRDefault="00CF2BC2" w:rsidP="00A804BB">
      <w:pPr>
        <w:spacing w:line="276" w:lineRule="auto"/>
        <w:jc w:val="both"/>
        <w:rPr>
          <w:rFonts w:ascii="Georgia" w:hAnsi="Georgia" w:cs="Arial"/>
          <w:b/>
          <w:bCs/>
          <w:sz w:val="24"/>
          <w:szCs w:val="24"/>
          <w:lang w:val="es-CO"/>
        </w:rPr>
      </w:pPr>
    </w:p>
    <w:p w14:paraId="10B8F24F" w14:textId="7FB404B0" w:rsidR="00CF2BC2" w:rsidRPr="00A804BB" w:rsidRDefault="007246DC" w:rsidP="00A804BB">
      <w:pPr>
        <w:pStyle w:val="Sinespaciado"/>
        <w:widowControl/>
        <w:numPr>
          <w:ilvl w:val="0"/>
          <w:numId w:val="3"/>
        </w:numPr>
        <w:autoSpaceDE/>
        <w:autoSpaceDN/>
        <w:adjustRightInd/>
        <w:spacing w:line="276" w:lineRule="auto"/>
        <w:jc w:val="both"/>
        <w:rPr>
          <w:rFonts w:ascii="Georgia" w:hAnsi="Georgia" w:cs="Arial"/>
          <w:smallCaps/>
          <w:sz w:val="24"/>
          <w:szCs w:val="24"/>
        </w:rPr>
      </w:pPr>
      <w:r w:rsidRPr="00A804BB">
        <w:rPr>
          <w:rFonts w:ascii="Georgia" w:hAnsi="Georgia" w:cs="Arial"/>
          <w:smallCaps/>
          <w:sz w:val="24"/>
          <w:szCs w:val="24"/>
        </w:rPr>
        <w:t>El asunto por decidir</w:t>
      </w:r>
    </w:p>
    <w:p w14:paraId="10B8F250" w14:textId="77777777" w:rsidR="00CF2BC2" w:rsidRPr="00A804BB" w:rsidRDefault="00CF2BC2" w:rsidP="00A804BB">
      <w:pPr>
        <w:pStyle w:val="Ttulo"/>
        <w:spacing w:line="276" w:lineRule="auto"/>
        <w:jc w:val="left"/>
        <w:rPr>
          <w:rFonts w:ascii="Georgia" w:hAnsi="Georgia"/>
          <w:b w:val="0"/>
          <w:bCs w:val="0"/>
          <w:i w:val="0"/>
          <w:iCs w:val="0"/>
          <w:spacing w:val="-3"/>
          <w:lang w:val="es-ES_tradnl"/>
        </w:rPr>
      </w:pPr>
    </w:p>
    <w:p w14:paraId="10B8F251" w14:textId="6C114105" w:rsidR="00CF2BC2" w:rsidRPr="00A804BB" w:rsidRDefault="007246DC" w:rsidP="00A804BB">
      <w:pPr>
        <w:spacing w:line="276" w:lineRule="auto"/>
        <w:jc w:val="both"/>
        <w:rPr>
          <w:rFonts w:ascii="Georgia" w:hAnsi="Georgia" w:cs="Arial"/>
          <w:sz w:val="24"/>
          <w:szCs w:val="24"/>
        </w:rPr>
      </w:pPr>
      <w:r w:rsidRPr="00A804BB">
        <w:rPr>
          <w:rFonts w:ascii="Georgia" w:hAnsi="Georgia" w:cs="Arial"/>
          <w:sz w:val="24"/>
          <w:szCs w:val="24"/>
        </w:rPr>
        <w:t xml:space="preserve">Desatar </w:t>
      </w:r>
      <w:r w:rsidR="00CF2BC2" w:rsidRPr="00A804BB">
        <w:rPr>
          <w:rFonts w:ascii="Georgia" w:hAnsi="Georgia" w:cs="Arial"/>
          <w:sz w:val="24"/>
          <w:szCs w:val="24"/>
        </w:rPr>
        <w:t xml:space="preserve">el recurso de </w:t>
      </w:r>
      <w:r w:rsidR="00BD3D8C" w:rsidRPr="00A804BB">
        <w:rPr>
          <w:rFonts w:ascii="Georgia" w:hAnsi="Georgia" w:cs="Arial"/>
          <w:sz w:val="24"/>
          <w:szCs w:val="24"/>
        </w:rPr>
        <w:t>súplica</w:t>
      </w:r>
      <w:r w:rsidR="0B029548" w:rsidRPr="00A804BB">
        <w:rPr>
          <w:rFonts w:ascii="Georgia" w:hAnsi="Georgia" w:cs="Arial"/>
          <w:sz w:val="24"/>
          <w:szCs w:val="24"/>
        </w:rPr>
        <w:t xml:space="preserve"> </w:t>
      </w:r>
      <w:r w:rsidR="0B029548" w:rsidRPr="00A804BB">
        <w:rPr>
          <w:rFonts w:ascii="Georgia" w:hAnsi="Georgia" w:cs="Arial"/>
          <w:sz w:val="24"/>
          <w:szCs w:val="24"/>
          <w:lang w:val="es-CO"/>
        </w:rPr>
        <w:t xml:space="preserve">(Expediente recibido el </w:t>
      </w:r>
      <w:r w:rsidR="00453CA1" w:rsidRPr="00A804BB">
        <w:rPr>
          <w:rFonts w:ascii="Georgia" w:hAnsi="Georgia" w:cs="Arial"/>
          <w:sz w:val="24"/>
          <w:szCs w:val="24"/>
          <w:lang w:val="es-CO"/>
        </w:rPr>
        <w:t>02</w:t>
      </w:r>
      <w:r w:rsidR="0B029548" w:rsidRPr="00A804BB">
        <w:rPr>
          <w:rFonts w:ascii="Georgia" w:hAnsi="Georgia" w:cs="Arial"/>
          <w:sz w:val="24"/>
          <w:szCs w:val="24"/>
          <w:lang w:val="es-CO"/>
        </w:rPr>
        <w:t>-0</w:t>
      </w:r>
      <w:r w:rsidR="00453CA1" w:rsidRPr="00A804BB">
        <w:rPr>
          <w:rFonts w:ascii="Georgia" w:hAnsi="Georgia" w:cs="Arial"/>
          <w:sz w:val="24"/>
          <w:szCs w:val="24"/>
          <w:lang w:val="es-CO"/>
        </w:rPr>
        <w:t>2</w:t>
      </w:r>
      <w:r w:rsidR="0B029548" w:rsidRPr="00A804BB">
        <w:rPr>
          <w:rFonts w:ascii="Georgia" w:hAnsi="Georgia" w:cs="Arial"/>
          <w:sz w:val="24"/>
          <w:szCs w:val="24"/>
          <w:lang w:val="es-CO"/>
        </w:rPr>
        <w:t>-202</w:t>
      </w:r>
      <w:r w:rsidR="00453CA1" w:rsidRPr="00A804BB">
        <w:rPr>
          <w:rFonts w:ascii="Georgia" w:hAnsi="Georgia" w:cs="Arial"/>
          <w:sz w:val="24"/>
          <w:szCs w:val="24"/>
          <w:lang w:val="es-CO"/>
        </w:rPr>
        <w:t>2</w:t>
      </w:r>
      <w:r w:rsidR="0B029548" w:rsidRPr="00A804BB">
        <w:rPr>
          <w:rFonts w:ascii="Georgia" w:hAnsi="Georgia" w:cs="Arial"/>
          <w:sz w:val="24"/>
          <w:szCs w:val="24"/>
          <w:lang w:val="es-CO"/>
        </w:rPr>
        <w:t>)</w:t>
      </w:r>
      <w:r w:rsidR="002A3A14" w:rsidRPr="00A804BB">
        <w:rPr>
          <w:rFonts w:ascii="Georgia" w:hAnsi="Georgia" w:cs="Arial"/>
          <w:sz w:val="24"/>
          <w:szCs w:val="24"/>
        </w:rPr>
        <w:t>,</w:t>
      </w:r>
      <w:r w:rsidR="00CF2BC2" w:rsidRPr="00A804BB">
        <w:rPr>
          <w:rFonts w:ascii="Georgia" w:hAnsi="Georgia" w:cs="Arial"/>
          <w:sz w:val="24"/>
          <w:szCs w:val="24"/>
        </w:rPr>
        <w:t xml:space="preserve"> pr</w:t>
      </w:r>
      <w:r w:rsidR="00977E7F" w:rsidRPr="00A804BB">
        <w:rPr>
          <w:rFonts w:ascii="Georgia" w:hAnsi="Georgia" w:cs="Arial"/>
          <w:sz w:val="24"/>
          <w:szCs w:val="24"/>
        </w:rPr>
        <w:t xml:space="preserve">esentado </w:t>
      </w:r>
      <w:r w:rsidR="00CF2BC2" w:rsidRPr="00A804BB">
        <w:rPr>
          <w:rFonts w:ascii="Georgia" w:hAnsi="Georgia" w:cs="Arial"/>
          <w:sz w:val="24"/>
          <w:szCs w:val="24"/>
        </w:rPr>
        <w:t xml:space="preserve">por </w:t>
      </w:r>
      <w:r w:rsidR="00A77B60" w:rsidRPr="00A804BB">
        <w:rPr>
          <w:rFonts w:ascii="Georgia" w:hAnsi="Georgia" w:cs="Arial"/>
          <w:sz w:val="24"/>
          <w:szCs w:val="24"/>
        </w:rPr>
        <w:t>e</w:t>
      </w:r>
      <w:r w:rsidR="008D4F8E" w:rsidRPr="00A804BB">
        <w:rPr>
          <w:rFonts w:ascii="Georgia" w:hAnsi="Georgia" w:cs="Arial"/>
          <w:sz w:val="24"/>
          <w:szCs w:val="24"/>
        </w:rPr>
        <w:t xml:space="preserve">l </w:t>
      </w:r>
      <w:r w:rsidR="00B0164D" w:rsidRPr="00A804BB">
        <w:rPr>
          <w:rFonts w:ascii="Georgia" w:hAnsi="Georgia" w:cs="Arial"/>
          <w:sz w:val="24"/>
          <w:szCs w:val="24"/>
        </w:rPr>
        <w:t>demanda</w:t>
      </w:r>
      <w:r w:rsidR="00453CA1" w:rsidRPr="00A804BB">
        <w:rPr>
          <w:rFonts w:ascii="Georgia" w:hAnsi="Georgia" w:cs="Arial"/>
          <w:sz w:val="24"/>
          <w:szCs w:val="24"/>
        </w:rPr>
        <w:t>do</w:t>
      </w:r>
      <w:r w:rsidR="00440F44" w:rsidRPr="00A804BB">
        <w:rPr>
          <w:rFonts w:ascii="Georgia" w:hAnsi="Georgia" w:cs="Arial"/>
          <w:sz w:val="24"/>
          <w:szCs w:val="24"/>
        </w:rPr>
        <w:t xml:space="preserve"> </w:t>
      </w:r>
      <w:r w:rsidR="00CF2BC2" w:rsidRPr="00A804BB">
        <w:rPr>
          <w:rFonts w:ascii="Georgia" w:hAnsi="Georgia" w:cs="Arial"/>
          <w:sz w:val="24"/>
          <w:szCs w:val="24"/>
        </w:rPr>
        <w:t>contra</w:t>
      </w:r>
      <w:r w:rsidR="006A37C0" w:rsidRPr="00A804BB">
        <w:rPr>
          <w:rFonts w:ascii="Georgia" w:hAnsi="Georgia" w:cs="Arial"/>
          <w:sz w:val="24"/>
          <w:szCs w:val="24"/>
        </w:rPr>
        <w:t xml:space="preserve"> la providencia </w:t>
      </w:r>
      <w:r w:rsidR="00A77B60" w:rsidRPr="00A804BB">
        <w:rPr>
          <w:rFonts w:ascii="Georgia" w:hAnsi="Georgia" w:cs="Arial"/>
          <w:sz w:val="24"/>
          <w:szCs w:val="24"/>
        </w:rPr>
        <w:t xml:space="preserve">expedida por el </w:t>
      </w:r>
      <w:r w:rsidR="507A6175" w:rsidRPr="00A804BB">
        <w:rPr>
          <w:rFonts w:ascii="Georgia" w:hAnsi="Georgia" w:cs="Arial"/>
          <w:sz w:val="24"/>
          <w:szCs w:val="24"/>
        </w:rPr>
        <w:t>m</w:t>
      </w:r>
      <w:r w:rsidR="00A77B60" w:rsidRPr="00A804BB">
        <w:rPr>
          <w:rFonts w:ascii="Georgia" w:hAnsi="Georgia" w:cs="Arial"/>
          <w:sz w:val="24"/>
          <w:szCs w:val="24"/>
        </w:rPr>
        <w:t>agistrado Carlos Mauricio Barajas García</w:t>
      </w:r>
      <w:r w:rsidR="00CF2BC2" w:rsidRPr="00A804BB">
        <w:rPr>
          <w:rFonts w:ascii="Georgia" w:hAnsi="Georgia" w:cs="Arial"/>
          <w:sz w:val="24"/>
          <w:szCs w:val="24"/>
        </w:rPr>
        <w:t>.</w:t>
      </w:r>
    </w:p>
    <w:p w14:paraId="10B8F252" w14:textId="5AF5F739" w:rsidR="00CF2BC2" w:rsidRPr="00A804BB" w:rsidRDefault="00CF2BC2" w:rsidP="00A804BB">
      <w:pPr>
        <w:pStyle w:val="Sinespaciado"/>
        <w:widowControl/>
        <w:autoSpaceDE/>
        <w:autoSpaceDN/>
        <w:adjustRightInd/>
        <w:spacing w:line="276" w:lineRule="auto"/>
        <w:jc w:val="both"/>
        <w:rPr>
          <w:rFonts w:ascii="Georgia" w:hAnsi="Georgia" w:cs="Arial"/>
          <w:sz w:val="24"/>
          <w:szCs w:val="24"/>
        </w:rPr>
      </w:pPr>
    </w:p>
    <w:p w14:paraId="07140697" w14:textId="30171ACB" w:rsidR="008C6AB2" w:rsidRPr="00A804BB" w:rsidRDefault="007246DC" w:rsidP="00A804BB">
      <w:pPr>
        <w:pStyle w:val="Sinespaciado"/>
        <w:widowControl/>
        <w:numPr>
          <w:ilvl w:val="0"/>
          <w:numId w:val="3"/>
        </w:numPr>
        <w:autoSpaceDE/>
        <w:autoSpaceDN/>
        <w:adjustRightInd/>
        <w:spacing w:line="276" w:lineRule="auto"/>
        <w:jc w:val="both"/>
        <w:rPr>
          <w:rFonts w:ascii="Georgia" w:hAnsi="Georgia" w:cs="Arial"/>
          <w:smallCaps/>
          <w:sz w:val="24"/>
          <w:szCs w:val="24"/>
        </w:rPr>
      </w:pPr>
      <w:r w:rsidRPr="00A804BB">
        <w:rPr>
          <w:rFonts w:ascii="Georgia" w:hAnsi="Georgia" w:cs="Arial"/>
          <w:smallCaps/>
          <w:sz w:val="24"/>
          <w:szCs w:val="24"/>
        </w:rPr>
        <w:t>La providencia recurrida</w:t>
      </w:r>
    </w:p>
    <w:p w14:paraId="264D73B9" w14:textId="77777777" w:rsidR="008C6AB2" w:rsidRPr="00A804BB" w:rsidRDefault="008C6AB2" w:rsidP="00A804BB">
      <w:pPr>
        <w:pStyle w:val="Sinespaciado"/>
        <w:spacing w:line="276" w:lineRule="auto"/>
        <w:jc w:val="both"/>
        <w:rPr>
          <w:rFonts w:ascii="Georgia" w:hAnsi="Georgia" w:cs="Arial"/>
          <w:sz w:val="24"/>
          <w:szCs w:val="24"/>
        </w:rPr>
      </w:pPr>
    </w:p>
    <w:p w14:paraId="045D41C6" w14:textId="3AE8798C" w:rsidR="008C6AB2" w:rsidRPr="00A804BB" w:rsidRDefault="007246DC" w:rsidP="00A804BB">
      <w:pPr>
        <w:spacing w:line="276" w:lineRule="auto"/>
        <w:jc w:val="both"/>
        <w:rPr>
          <w:rFonts w:ascii="Georgia" w:hAnsi="Georgia" w:cs="Arial"/>
          <w:sz w:val="24"/>
          <w:szCs w:val="24"/>
        </w:rPr>
      </w:pPr>
      <w:r w:rsidRPr="00A804BB">
        <w:rPr>
          <w:rFonts w:ascii="Georgia" w:hAnsi="Georgia" w:cs="Arial"/>
          <w:sz w:val="24"/>
          <w:szCs w:val="24"/>
        </w:rPr>
        <w:lastRenderedPageBreak/>
        <w:t>Está f</w:t>
      </w:r>
      <w:r w:rsidR="008C6AB2" w:rsidRPr="00A804BB">
        <w:rPr>
          <w:rFonts w:ascii="Georgia" w:hAnsi="Georgia" w:cs="Arial"/>
          <w:sz w:val="24"/>
          <w:szCs w:val="24"/>
        </w:rPr>
        <w:t xml:space="preserve">echada </w:t>
      </w:r>
      <w:r w:rsidR="00B57BC0" w:rsidRPr="00A804BB">
        <w:rPr>
          <w:rFonts w:ascii="Georgia" w:hAnsi="Georgia" w:cs="Arial"/>
          <w:sz w:val="24"/>
          <w:szCs w:val="24"/>
        </w:rPr>
        <w:t>18</w:t>
      </w:r>
      <w:r w:rsidR="008C6AB2" w:rsidRPr="00A804BB">
        <w:rPr>
          <w:rFonts w:ascii="Georgia" w:hAnsi="Georgia" w:cs="Arial"/>
          <w:sz w:val="24"/>
          <w:szCs w:val="24"/>
        </w:rPr>
        <w:t>-0</w:t>
      </w:r>
      <w:r w:rsidR="00B57BC0" w:rsidRPr="00A804BB">
        <w:rPr>
          <w:rFonts w:ascii="Georgia" w:hAnsi="Georgia" w:cs="Arial"/>
          <w:sz w:val="24"/>
          <w:szCs w:val="24"/>
        </w:rPr>
        <w:t>1</w:t>
      </w:r>
      <w:r w:rsidR="008C6AB2" w:rsidRPr="00A804BB">
        <w:rPr>
          <w:rFonts w:ascii="Georgia" w:hAnsi="Georgia" w:cs="Arial"/>
          <w:sz w:val="24"/>
          <w:szCs w:val="24"/>
        </w:rPr>
        <w:t>-202</w:t>
      </w:r>
      <w:r w:rsidR="00B57BC0" w:rsidRPr="00A804BB">
        <w:rPr>
          <w:rFonts w:ascii="Georgia" w:hAnsi="Georgia" w:cs="Arial"/>
          <w:sz w:val="24"/>
          <w:szCs w:val="24"/>
        </w:rPr>
        <w:t>2</w:t>
      </w:r>
      <w:r w:rsidR="4D3651AC" w:rsidRPr="00A804BB">
        <w:rPr>
          <w:rFonts w:ascii="Georgia" w:hAnsi="Georgia" w:cs="Arial"/>
          <w:sz w:val="24"/>
          <w:szCs w:val="24"/>
        </w:rPr>
        <w:t xml:space="preserve"> y</w:t>
      </w:r>
      <w:r w:rsidR="00F3182B" w:rsidRPr="00A804BB">
        <w:rPr>
          <w:rFonts w:ascii="Georgia" w:hAnsi="Georgia" w:cs="Arial"/>
          <w:sz w:val="24"/>
          <w:szCs w:val="24"/>
        </w:rPr>
        <w:t xml:space="preserve"> </w:t>
      </w:r>
      <w:r w:rsidR="00C72386" w:rsidRPr="00A804BB">
        <w:rPr>
          <w:rFonts w:ascii="Georgia" w:hAnsi="Georgia" w:cs="Arial"/>
          <w:sz w:val="24"/>
          <w:szCs w:val="24"/>
        </w:rPr>
        <w:t>resolvió</w:t>
      </w:r>
      <w:r w:rsidR="008C6AB2" w:rsidRPr="00A804BB">
        <w:rPr>
          <w:rFonts w:ascii="Georgia" w:hAnsi="Georgia" w:cs="Arial"/>
          <w:sz w:val="24"/>
          <w:szCs w:val="24"/>
        </w:rPr>
        <w:t xml:space="preserve">: </w:t>
      </w:r>
      <w:r w:rsidR="008C6AB2" w:rsidRPr="00A804BB">
        <w:rPr>
          <w:rFonts w:ascii="Georgia" w:hAnsi="Georgia" w:cs="Arial"/>
          <w:b/>
          <w:bCs/>
          <w:sz w:val="24"/>
          <w:szCs w:val="24"/>
        </w:rPr>
        <w:t>(i)</w:t>
      </w:r>
      <w:r w:rsidR="008C6AB2" w:rsidRPr="00A804BB">
        <w:rPr>
          <w:rFonts w:ascii="Georgia" w:hAnsi="Georgia" w:cs="Arial"/>
          <w:sz w:val="24"/>
          <w:szCs w:val="24"/>
        </w:rPr>
        <w:t xml:space="preserve"> </w:t>
      </w:r>
      <w:r w:rsidR="00B57BC0" w:rsidRPr="00A804BB">
        <w:rPr>
          <w:rFonts w:ascii="Georgia" w:hAnsi="Georgia" w:cs="Arial"/>
          <w:sz w:val="24"/>
          <w:szCs w:val="24"/>
        </w:rPr>
        <w:t>Conceder el recurso de casación formulado con la sentencia de segunda instancia</w:t>
      </w:r>
      <w:r w:rsidR="008C6AB2" w:rsidRPr="00A804BB">
        <w:rPr>
          <w:rFonts w:ascii="Georgia" w:hAnsi="Georgia" w:cs="Arial"/>
          <w:sz w:val="24"/>
          <w:szCs w:val="24"/>
        </w:rPr>
        <w:t>;</w:t>
      </w:r>
      <w:r w:rsidR="00D50C65" w:rsidRPr="00A804BB">
        <w:rPr>
          <w:rFonts w:ascii="Georgia" w:hAnsi="Georgia" w:cs="Arial"/>
          <w:sz w:val="24"/>
          <w:szCs w:val="24"/>
        </w:rPr>
        <w:t xml:space="preserve"> y,</w:t>
      </w:r>
      <w:r w:rsidR="008C6AB2" w:rsidRPr="00A804BB">
        <w:rPr>
          <w:rFonts w:ascii="Georgia" w:hAnsi="Georgia" w:cs="Arial"/>
          <w:sz w:val="24"/>
          <w:szCs w:val="24"/>
        </w:rPr>
        <w:t xml:space="preserve"> </w:t>
      </w:r>
      <w:r w:rsidR="008C6AB2" w:rsidRPr="00A804BB">
        <w:rPr>
          <w:rFonts w:ascii="Georgia" w:hAnsi="Georgia" w:cs="Arial"/>
          <w:b/>
          <w:bCs/>
          <w:sz w:val="24"/>
          <w:szCs w:val="24"/>
        </w:rPr>
        <w:t>(ii)</w:t>
      </w:r>
      <w:r w:rsidR="008C6AB2" w:rsidRPr="00A804BB">
        <w:rPr>
          <w:rFonts w:ascii="Georgia" w:hAnsi="Georgia" w:cs="Arial"/>
          <w:sz w:val="24"/>
          <w:szCs w:val="24"/>
        </w:rPr>
        <w:t xml:space="preserve"> </w:t>
      </w:r>
      <w:r w:rsidR="00B57BC0" w:rsidRPr="00A804BB">
        <w:rPr>
          <w:rFonts w:ascii="Georgia" w:hAnsi="Georgia" w:cs="Arial"/>
          <w:sz w:val="24"/>
          <w:szCs w:val="24"/>
        </w:rPr>
        <w:t>Fij</w:t>
      </w:r>
      <w:r w:rsidR="00676D5F" w:rsidRPr="00A804BB">
        <w:rPr>
          <w:rFonts w:ascii="Georgia" w:hAnsi="Georgia" w:cs="Arial"/>
          <w:sz w:val="24"/>
          <w:szCs w:val="24"/>
        </w:rPr>
        <w:t xml:space="preserve">ar el monto de </w:t>
      </w:r>
      <w:r w:rsidR="00B57BC0" w:rsidRPr="00A804BB">
        <w:rPr>
          <w:rFonts w:ascii="Georgia" w:hAnsi="Georgia" w:cs="Arial"/>
          <w:sz w:val="24"/>
          <w:szCs w:val="24"/>
        </w:rPr>
        <w:t xml:space="preserve">caución </w:t>
      </w:r>
      <w:r w:rsidR="00676D5F" w:rsidRPr="00A804BB">
        <w:rPr>
          <w:rFonts w:ascii="Georgia" w:hAnsi="Georgia" w:cs="Arial"/>
          <w:sz w:val="24"/>
          <w:szCs w:val="24"/>
        </w:rPr>
        <w:t>estatuida por el artículo 341, CGP</w:t>
      </w:r>
      <w:r w:rsidR="00A56F54" w:rsidRPr="00A804BB">
        <w:rPr>
          <w:rFonts w:ascii="Georgia" w:hAnsi="Georgia" w:cs="Arial"/>
          <w:sz w:val="24"/>
          <w:szCs w:val="24"/>
        </w:rPr>
        <w:t xml:space="preserve">, </w:t>
      </w:r>
      <w:r w:rsidR="38FE49AB" w:rsidRPr="00A804BB">
        <w:rPr>
          <w:rFonts w:ascii="Georgia" w:hAnsi="Georgia" w:cs="Arial"/>
          <w:sz w:val="24"/>
          <w:szCs w:val="24"/>
        </w:rPr>
        <w:t xml:space="preserve">que </w:t>
      </w:r>
      <w:r w:rsidR="00A56F54" w:rsidRPr="00A804BB">
        <w:rPr>
          <w:rFonts w:ascii="Georgia" w:hAnsi="Georgia" w:cs="Arial"/>
          <w:sz w:val="24"/>
          <w:szCs w:val="24"/>
        </w:rPr>
        <w:t>estableció conforme criterios que estimó razonables</w:t>
      </w:r>
      <w:r w:rsidR="00C72386" w:rsidRPr="00A804BB">
        <w:rPr>
          <w:rFonts w:ascii="Georgia" w:hAnsi="Georgia" w:cs="Arial"/>
          <w:sz w:val="24"/>
          <w:szCs w:val="24"/>
        </w:rPr>
        <w:t xml:space="preserve"> </w:t>
      </w:r>
      <w:r w:rsidR="008C6AB2" w:rsidRPr="00A804BB">
        <w:rPr>
          <w:rFonts w:ascii="Georgia" w:hAnsi="Georgia" w:cs="Arial"/>
          <w:sz w:val="24"/>
          <w:szCs w:val="24"/>
        </w:rPr>
        <w:t xml:space="preserve">(Carpeta </w:t>
      </w:r>
      <w:r w:rsidR="00A56F54" w:rsidRPr="00A804BB">
        <w:rPr>
          <w:rFonts w:ascii="Georgia" w:hAnsi="Georgia" w:cs="Arial"/>
          <w:sz w:val="24"/>
          <w:szCs w:val="24"/>
        </w:rPr>
        <w:t>02SegundaI</w:t>
      </w:r>
      <w:r w:rsidR="008C6AB2" w:rsidRPr="00A804BB">
        <w:rPr>
          <w:rFonts w:ascii="Georgia" w:hAnsi="Georgia" w:cs="Arial"/>
          <w:sz w:val="24"/>
          <w:szCs w:val="24"/>
        </w:rPr>
        <w:t>nstancia, pdf</w:t>
      </w:r>
      <w:r w:rsidR="00A56F54" w:rsidRPr="00A804BB">
        <w:rPr>
          <w:rFonts w:ascii="Georgia" w:hAnsi="Georgia" w:cs="Arial"/>
          <w:sz w:val="24"/>
          <w:szCs w:val="24"/>
        </w:rPr>
        <w:t xml:space="preserve"> No</w:t>
      </w:r>
      <w:r w:rsidR="008C6AB2" w:rsidRPr="00A804BB">
        <w:rPr>
          <w:rFonts w:ascii="Georgia" w:hAnsi="Georgia" w:cs="Arial"/>
          <w:sz w:val="24"/>
          <w:szCs w:val="24"/>
        </w:rPr>
        <w:t>.</w:t>
      </w:r>
      <w:r w:rsidR="00A56F54" w:rsidRPr="00A804BB">
        <w:rPr>
          <w:rFonts w:ascii="Georgia" w:hAnsi="Georgia" w:cs="Arial"/>
          <w:sz w:val="24"/>
          <w:szCs w:val="24"/>
        </w:rPr>
        <w:t>69</w:t>
      </w:r>
      <w:r w:rsidR="008C6AB2" w:rsidRPr="00A804BB">
        <w:rPr>
          <w:rFonts w:ascii="Georgia" w:hAnsi="Georgia" w:cs="Arial"/>
          <w:sz w:val="24"/>
          <w:szCs w:val="24"/>
        </w:rPr>
        <w:t>).</w:t>
      </w:r>
    </w:p>
    <w:p w14:paraId="425491B6" w14:textId="77777777" w:rsidR="00DF4F66" w:rsidRPr="00A804BB" w:rsidRDefault="00DF4F66" w:rsidP="00A804BB">
      <w:pPr>
        <w:spacing w:line="276" w:lineRule="auto"/>
        <w:jc w:val="both"/>
        <w:rPr>
          <w:rFonts w:ascii="Georgia" w:hAnsi="Georgia" w:cs="Arial"/>
          <w:sz w:val="24"/>
          <w:szCs w:val="24"/>
        </w:rPr>
      </w:pPr>
    </w:p>
    <w:p w14:paraId="087117B9" w14:textId="78A3B033" w:rsidR="008C6AB2" w:rsidRPr="00A804BB" w:rsidRDefault="00663304" w:rsidP="00A804BB">
      <w:pPr>
        <w:pStyle w:val="Sinespaciado"/>
        <w:widowControl/>
        <w:numPr>
          <w:ilvl w:val="0"/>
          <w:numId w:val="3"/>
        </w:numPr>
        <w:autoSpaceDE/>
        <w:autoSpaceDN/>
        <w:adjustRightInd/>
        <w:spacing w:line="276" w:lineRule="auto"/>
        <w:jc w:val="both"/>
        <w:rPr>
          <w:rFonts w:ascii="Georgia" w:hAnsi="Georgia" w:cs="Arial"/>
          <w:smallCaps/>
          <w:sz w:val="24"/>
          <w:szCs w:val="24"/>
        </w:rPr>
      </w:pPr>
      <w:r w:rsidRPr="00A804BB">
        <w:rPr>
          <w:rFonts w:ascii="Georgia" w:hAnsi="Georgia" w:cs="Arial"/>
          <w:smallCaps/>
          <w:sz w:val="24"/>
          <w:szCs w:val="24"/>
        </w:rPr>
        <w:t>La síntesis de la súplica</w:t>
      </w:r>
    </w:p>
    <w:p w14:paraId="75A7DC23" w14:textId="77777777" w:rsidR="008C6AB2" w:rsidRPr="00A804BB" w:rsidRDefault="008C6AB2" w:rsidP="00A804BB">
      <w:pPr>
        <w:pStyle w:val="Sinespaciado"/>
        <w:spacing w:line="276" w:lineRule="auto"/>
        <w:jc w:val="both"/>
        <w:rPr>
          <w:rFonts w:ascii="Georgia" w:hAnsi="Georgia" w:cs="Arial"/>
          <w:sz w:val="24"/>
          <w:szCs w:val="24"/>
        </w:rPr>
      </w:pPr>
    </w:p>
    <w:p w14:paraId="43B512F1" w14:textId="432C4F73" w:rsidR="008C6AB2" w:rsidRPr="00A804BB" w:rsidRDefault="00A56F54" w:rsidP="00A804BB">
      <w:pPr>
        <w:pStyle w:val="Sinespaciado"/>
        <w:spacing w:line="276" w:lineRule="auto"/>
        <w:jc w:val="both"/>
        <w:rPr>
          <w:rFonts w:ascii="Georgia" w:hAnsi="Georgia" w:cs="Arial"/>
          <w:sz w:val="24"/>
          <w:szCs w:val="24"/>
        </w:rPr>
      </w:pPr>
      <w:r w:rsidRPr="00A804BB">
        <w:rPr>
          <w:rFonts w:ascii="Georgia" w:hAnsi="Georgia" w:cs="Arial"/>
          <w:sz w:val="24"/>
          <w:szCs w:val="24"/>
        </w:rPr>
        <w:t>Cuestionó la cuantía de</w:t>
      </w:r>
      <w:r w:rsidR="00637A27" w:rsidRPr="00A804BB">
        <w:rPr>
          <w:rFonts w:ascii="Georgia" w:hAnsi="Georgia" w:cs="Arial"/>
          <w:sz w:val="24"/>
          <w:szCs w:val="24"/>
        </w:rPr>
        <w:t xml:space="preserve"> </w:t>
      </w:r>
      <w:r w:rsidRPr="00A804BB">
        <w:rPr>
          <w:rFonts w:ascii="Georgia" w:hAnsi="Georgia" w:cs="Arial"/>
          <w:sz w:val="24"/>
          <w:szCs w:val="24"/>
        </w:rPr>
        <w:t>l</w:t>
      </w:r>
      <w:r w:rsidR="00637A27" w:rsidRPr="00A804BB">
        <w:rPr>
          <w:rFonts w:ascii="Georgia" w:hAnsi="Georgia" w:cs="Arial"/>
          <w:sz w:val="24"/>
          <w:szCs w:val="24"/>
        </w:rPr>
        <w:t>a</w:t>
      </w:r>
      <w:r w:rsidRPr="00A804BB">
        <w:rPr>
          <w:rFonts w:ascii="Georgia" w:hAnsi="Georgia" w:cs="Arial"/>
          <w:sz w:val="24"/>
          <w:szCs w:val="24"/>
        </w:rPr>
        <w:t xml:space="preserve"> caución, por estimarla excesiva y ajena a las particularidades del bien cuya restitución </w:t>
      </w:r>
      <w:r w:rsidR="00637A27" w:rsidRPr="00A804BB">
        <w:rPr>
          <w:rFonts w:ascii="Georgia" w:hAnsi="Georgia" w:cs="Arial"/>
          <w:sz w:val="24"/>
          <w:szCs w:val="24"/>
        </w:rPr>
        <w:t>ordena la sentencia. Enseguida, rebat</w:t>
      </w:r>
      <w:r w:rsidR="2C88C445" w:rsidRPr="00A804BB">
        <w:rPr>
          <w:rFonts w:ascii="Georgia" w:hAnsi="Georgia" w:cs="Arial"/>
          <w:sz w:val="24"/>
          <w:szCs w:val="24"/>
        </w:rPr>
        <w:t>ió</w:t>
      </w:r>
      <w:r w:rsidR="00637A27" w:rsidRPr="00A804BB">
        <w:rPr>
          <w:rFonts w:ascii="Georgia" w:hAnsi="Georgia" w:cs="Arial"/>
          <w:sz w:val="24"/>
          <w:szCs w:val="24"/>
        </w:rPr>
        <w:t xml:space="preserve"> los aspectos en que se fundamentó la tasación y pid</w:t>
      </w:r>
      <w:r w:rsidR="001203E2" w:rsidRPr="00A804BB">
        <w:rPr>
          <w:rFonts w:ascii="Georgia" w:hAnsi="Georgia" w:cs="Arial"/>
          <w:sz w:val="24"/>
          <w:szCs w:val="24"/>
        </w:rPr>
        <w:t xml:space="preserve">ió </w:t>
      </w:r>
      <w:r w:rsidR="00637A27" w:rsidRPr="00A804BB">
        <w:rPr>
          <w:rFonts w:ascii="Georgia" w:hAnsi="Georgia" w:cs="Arial"/>
          <w:sz w:val="24"/>
          <w:szCs w:val="24"/>
        </w:rPr>
        <w:t xml:space="preserve">se establezca </w:t>
      </w:r>
      <w:r w:rsidR="00D50C65" w:rsidRPr="00A804BB">
        <w:rPr>
          <w:rFonts w:ascii="Georgia" w:hAnsi="Georgia" w:cs="Arial"/>
          <w:sz w:val="24"/>
          <w:szCs w:val="24"/>
        </w:rPr>
        <w:t xml:space="preserve">en </w:t>
      </w:r>
      <w:r w:rsidR="00637A27" w:rsidRPr="00A804BB">
        <w:rPr>
          <w:rFonts w:ascii="Georgia" w:hAnsi="Georgia" w:cs="Arial"/>
          <w:sz w:val="24"/>
          <w:szCs w:val="24"/>
        </w:rPr>
        <w:t>una suma inferior</w:t>
      </w:r>
      <w:r w:rsidR="007246DC" w:rsidRPr="00A804BB">
        <w:rPr>
          <w:rFonts w:ascii="Georgia" w:hAnsi="Georgia" w:cs="Arial"/>
          <w:sz w:val="24"/>
          <w:szCs w:val="24"/>
        </w:rPr>
        <w:t xml:space="preserve"> </w:t>
      </w:r>
      <w:r w:rsidR="008C6AB2" w:rsidRPr="00A804BB">
        <w:rPr>
          <w:rFonts w:ascii="Georgia" w:hAnsi="Georgia" w:cs="Arial"/>
          <w:sz w:val="24"/>
          <w:szCs w:val="24"/>
        </w:rPr>
        <w:t>(</w:t>
      </w:r>
      <w:r w:rsidR="00C72386" w:rsidRPr="00A804BB">
        <w:rPr>
          <w:rFonts w:ascii="Georgia" w:hAnsi="Georgia" w:cs="Arial"/>
          <w:sz w:val="24"/>
          <w:szCs w:val="24"/>
        </w:rPr>
        <w:t xml:space="preserve">Carpeta </w:t>
      </w:r>
      <w:r w:rsidR="00637A27" w:rsidRPr="00A804BB">
        <w:rPr>
          <w:rFonts w:ascii="Georgia" w:hAnsi="Georgia" w:cs="Arial"/>
          <w:sz w:val="24"/>
          <w:szCs w:val="24"/>
        </w:rPr>
        <w:t>02SegundaI</w:t>
      </w:r>
      <w:r w:rsidR="00C72386" w:rsidRPr="00A804BB">
        <w:rPr>
          <w:rFonts w:ascii="Georgia" w:hAnsi="Georgia" w:cs="Arial"/>
          <w:sz w:val="24"/>
          <w:szCs w:val="24"/>
        </w:rPr>
        <w:t>nstancia, pdf</w:t>
      </w:r>
      <w:r w:rsidR="00637A27" w:rsidRPr="00A804BB">
        <w:rPr>
          <w:rFonts w:ascii="Georgia" w:hAnsi="Georgia" w:cs="Arial"/>
          <w:sz w:val="24"/>
          <w:szCs w:val="24"/>
        </w:rPr>
        <w:t xml:space="preserve"> No</w:t>
      </w:r>
      <w:r w:rsidR="00C72386" w:rsidRPr="00A804BB">
        <w:rPr>
          <w:rFonts w:ascii="Georgia" w:hAnsi="Georgia" w:cs="Arial"/>
          <w:sz w:val="24"/>
          <w:szCs w:val="24"/>
        </w:rPr>
        <w:t>.</w:t>
      </w:r>
      <w:r w:rsidR="00637A27" w:rsidRPr="00A804BB">
        <w:rPr>
          <w:rFonts w:ascii="Georgia" w:hAnsi="Georgia" w:cs="Arial"/>
          <w:sz w:val="24"/>
          <w:szCs w:val="24"/>
        </w:rPr>
        <w:t>74</w:t>
      </w:r>
      <w:r w:rsidR="008C6AB2" w:rsidRPr="00A804BB">
        <w:rPr>
          <w:rFonts w:ascii="Georgia" w:hAnsi="Georgia" w:cs="Arial"/>
          <w:sz w:val="24"/>
          <w:szCs w:val="24"/>
        </w:rPr>
        <w:t>).</w:t>
      </w:r>
    </w:p>
    <w:p w14:paraId="0056E309" w14:textId="77777777" w:rsidR="008C6AB2" w:rsidRPr="00A804BB" w:rsidRDefault="008C6AB2" w:rsidP="00A804BB">
      <w:pPr>
        <w:pStyle w:val="Sinespaciado"/>
        <w:widowControl/>
        <w:autoSpaceDE/>
        <w:autoSpaceDN/>
        <w:adjustRightInd/>
        <w:spacing w:line="276" w:lineRule="auto"/>
        <w:jc w:val="both"/>
        <w:rPr>
          <w:rFonts w:ascii="Georgia" w:hAnsi="Georgia" w:cs="Arial"/>
          <w:sz w:val="24"/>
          <w:szCs w:val="24"/>
        </w:rPr>
      </w:pPr>
    </w:p>
    <w:p w14:paraId="10B8F253" w14:textId="47C87BF9" w:rsidR="00CF2BC2" w:rsidRPr="00A804BB" w:rsidRDefault="009246AC" w:rsidP="00A804BB">
      <w:pPr>
        <w:pStyle w:val="Sinespaciado"/>
        <w:numPr>
          <w:ilvl w:val="0"/>
          <w:numId w:val="3"/>
        </w:numPr>
        <w:spacing w:line="276" w:lineRule="auto"/>
        <w:jc w:val="both"/>
        <w:rPr>
          <w:rFonts w:ascii="Georgia" w:hAnsi="Georgia" w:cs="Arial"/>
          <w:smallCaps/>
          <w:sz w:val="24"/>
          <w:szCs w:val="24"/>
        </w:rPr>
      </w:pPr>
      <w:r w:rsidRPr="00A804BB">
        <w:rPr>
          <w:rFonts w:ascii="Georgia" w:hAnsi="Georgia" w:cs="Arial"/>
          <w:smallCaps/>
          <w:sz w:val="24"/>
          <w:szCs w:val="24"/>
        </w:rPr>
        <w:t>Las estimaciones jurídicas para decidir</w:t>
      </w:r>
    </w:p>
    <w:p w14:paraId="10B8F254" w14:textId="77777777" w:rsidR="00F3646D" w:rsidRPr="00A804BB" w:rsidRDefault="00F3646D" w:rsidP="00A804BB">
      <w:pPr>
        <w:pStyle w:val="Sinespaciado"/>
        <w:spacing w:line="276" w:lineRule="auto"/>
        <w:jc w:val="both"/>
        <w:rPr>
          <w:rFonts w:ascii="Georgia" w:hAnsi="Georgia" w:cs="Arial"/>
          <w:sz w:val="24"/>
          <w:szCs w:val="24"/>
        </w:rPr>
      </w:pPr>
    </w:p>
    <w:p w14:paraId="10B8F255" w14:textId="77777777" w:rsidR="00F3646D" w:rsidRPr="00A804BB" w:rsidRDefault="00F3646D" w:rsidP="00A804BB">
      <w:pPr>
        <w:pStyle w:val="Prrafodelista"/>
        <w:numPr>
          <w:ilvl w:val="0"/>
          <w:numId w:val="8"/>
        </w:numPr>
        <w:spacing w:line="276" w:lineRule="auto"/>
        <w:jc w:val="both"/>
        <w:rPr>
          <w:rFonts w:ascii="Georgia" w:hAnsi="Georgia" w:cs="Arial"/>
          <w:smallCaps/>
          <w:vanish/>
          <w:sz w:val="24"/>
          <w:szCs w:val="24"/>
        </w:rPr>
      </w:pPr>
      <w:r w:rsidRPr="00A804BB">
        <w:rPr>
          <w:rFonts w:ascii="Georgia" w:hAnsi="Georgia" w:cs="Arial"/>
          <w:smallCaps/>
          <w:vanish/>
          <w:sz w:val="24"/>
          <w:szCs w:val="24"/>
        </w:rPr>
        <w:t>2.1. 2.222</w:t>
      </w:r>
    </w:p>
    <w:p w14:paraId="10B8F256" w14:textId="77777777" w:rsidR="00F3646D" w:rsidRPr="00A804BB" w:rsidRDefault="00F3646D" w:rsidP="00A804BB">
      <w:pPr>
        <w:pStyle w:val="Prrafodelista"/>
        <w:numPr>
          <w:ilvl w:val="0"/>
          <w:numId w:val="9"/>
        </w:numPr>
        <w:spacing w:line="276" w:lineRule="auto"/>
        <w:jc w:val="both"/>
        <w:rPr>
          <w:rFonts w:ascii="Georgia" w:hAnsi="Georgia" w:cs="Arial"/>
          <w:smallCaps/>
          <w:vanish/>
          <w:sz w:val="24"/>
          <w:szCs w:val="24"/>
        </w:rPr>
      </w:pPr>
    </w:p>
    <w:p w14:paraId="10B8F257" w14:textId="77777777" w:rsidR="00F3646D" w:rsidRPr="00A804BB" w:rsidRDefault="00F3646D" w:rsidP="00A804BB">
      <w:pPr>
        <w:pStyle w:val="Prrafodelista"/>
        <w:numPr>
          <w:ilvl w:val="0"/>
          <w:numId w:val="9"/>
        </w:numPr>
        <w:spacing w:line="276" w:lineRule="auto"/>
        <w:jc w:val="both"/>
        <w:rPr>
          <w:rFonts w:ascii="Georgia" w:hAnsi="Georgia" w:cs="Arial"/>
          <w:smallCaps/>
          <w:vanish/>
          <w:sz w:val="24"/>
          <w:szCs w:val="24"/>
        </w:rPr>
      </w:pPr>
    </w:p>
    <w:p w14:paraId="639CCA89" w14:textId="598964DF" w:rsidR="008400E1" w:rsidRPr="00A804BB" w:rsidRDefault="00F3646D" w:rsidP="00A804BB">
      <w:pPr>
        <w:pStyle w:val="Sinespaciado"/>
        <w:widowControl/>
        <w:autoSpaceDE/>
        <w:autoSpaceDN/>
        <w:adjustRightInd/>
        <w:spacing w:line="276" w:lineRule="auto"/>
        <w:jc w:val="both"/>
        <w:rPr>
          <w:rFonts w:ascii="Georgia" w:hAnsi="Georgia" w:cs="Arial"/>
          <w:sz w:val="24"/>
          <w:szCs w:val="24"/>
        </w:rPr>
      </w:pPr>
      <w:r w:rsidRPr="00A804BB">
        <w:rPr>
          <w:rFonts w:ascii="Georgia" w:hAnsi="Georgia" w:cs="Arial"/>
          <w:smallCaps/>
          <w:sz w:val="24"/>
          <w:szCs w:val="24"/>
        </w:rPr>
        <w:t>Los requisitos de viabilidad</w:t>
      </w:r>
      <w:r w:rsidR="00F3182B" w:rsidRPr="00A804BB">
        <w:rPr>
          <w:rFonts w:ascii="Georgia" w:hAnsi="Georgia" w:cs="Arial"/>
          <w:smallCaps/>
          <w:sz w:val="24"/>
          <w:szCs w:val="24"/>
        </w:rPr>
        <w:t xml:space="preserve">. </w:t>
      </w:r>
      <w:bookmarkStart w:id="2" w:name="_Hlk98844372"/>
      <w:r w:rsidR="005B0036" w:rsidRPr="00A804BB">
        <w:rPr>
          <w:rFonts w:ascii="Georgia" w:hAnsi="Georgia"/>
          <w:sz w:val="24"/>
          <w:szCs w:val="24"/>
        </w:rPr>
        <w:t xml:space="preserve">En </w:t>
      </w:r>
      <w:r w:rsidR="002F0156" w:rsidRPr="00A804BB">
        <w:rPr>
          <w:rFonts w:ascii="Georgia" w:hAnsi="Georgia"/>
          <w:sz w:val="24"/>
          <w:szCs w:val="24"/>
        </w:rPr>
        <w:t xml:space="preserve">materia de </w:t>
      </w:r>
      <w:r w:rsidR="00F9683E" w:rsidRPr="00A804BB">
        <w:rPr>
          <w:rFonts w:ascii="Georgia" w:hAnsi="Georgia"/>
          <w:sz w:val="24"/>
          <w:szCs w:val="24"/>
        </w:rPr>
        <w:t>impugnaciones</w:t>
      </w:r>
      <w:r w:rsidR="002F0156" w:rsidRPr="00A804BB">
        <w:rPr>
          <w:rFonts w:ascii="Georgia" w:hAnsi="Georgia"/>
          <w:sz w:val="24"/>
          <w:szCs w:val="24"/>
        </w:rPr>
        <w:t xml:space="preserve">, </w:t>
      </w:r>
      <w:r w:rsidR="002F0156" w:rsidRPr="00A804BB">
        <w:rPr>
          <w:rFonts w:ascii="Georgia" w:hAnsi="Georgia" w:cs="Arial"/>
          <w:sz w:val="24"/>
          <w:szCs w:val="24"/>
        </w:rPr>
        <w:t xml:space="preserve">es </w:t>
      </w:r>
      <w:r w:rsidR="005B0036" w:rsidRPr="00A804BB">
        <w:rPr>
          <w:rFonts w:ascii="Georgia" w:hAnsi="Georgia" w:cs="Arial"/>
          <w:sz w:val="24"/>
          <w:szCs w:val="24"/>
        </w:rPr>
        <w:t xml:space="preserve">siempre </w:t>
      </w:r>
      <w:r w:rsidR="002F0156" w:rsidRPr="00A804BB">
        <w:rPr>
          <w:rFonts w:ascii="Georgia" w:hAnsi="Georgia" w:cs="Arial"/>
          <w:sz w:val="24"/>
          <w:szCs w:val="24"/>
        </w:rPr>
        <w:t xml:space="preserve">indispensable la revisión de </w:t>
      </w:r>
      <w:r w:rsidR="009246AC" w:rsidRPr="00A804BB">
        <w:rPr>
          <w:rFonts w:ascii="Georgia" w:hAnsi="Georgia" w:cs="Arial"/>
          <w:sz w:val="24"/>
          <w:szCs w:val="24"/>
        </w:rPr>
        <w:t xml:space="preserve">los </w:t>
      </w:r>
      <w:r w:rsidR="002F0156" w:rsidRPr="00A804BB">
        <w:rPr>
          <w:rFonts w:ascii="Georgia" w:hAnsi="Georgia" w:cs="Arial"/>
          <w:sz w:val="24"/>
          <w:szCs w:val="24"/>
        </w:rPr>
        <w:t>presupuestos que permiten desatar el recurso</w:t>
      </w:r>
      <w:r w:rsidR="008D4F8E" w:rsidRPr="00A804BB">
        <w:rPr>
          <w:rFonts w:ascii="Georgia" w:hAnsi="Georgia" w:cs="Arial"/>
          <w:sz w:val="24"/>
          <w:szCs w:val="24"/>
        </w:rPr>
        <w:t xml:space="preserve"> o </w:t>
      </w:r>
      <w:r w:rsidR="008D4F8E" w:rsidRPr="00A804BB">
        <w:rPr>
          <w:rFonts w:ascii="Georgia" w:hAnsi="Georgia" w:cs="Arial"/>
          <w:i/>
          <w:iCs/>
          <w:sz w:val="24"/>
          <w:szCs w:val="24"/>
        </w:rPr>
        <w:t>condiciones para tener la posibilidad de recurrir</w:t>
      </w:r>
      <w:bookmarkEnd w:id="2"/>
      <w:r w:rsidR="008D4F8E" w:rsidRPr="00A804BB">
        <w:rPr>
          <w:rStyle w:val="Refdenotaalpie"/>
          <w:rFonts w:ascii="Georgia" w:hAnsi="Georgia"/>
          <w:sz w:val="24"/>
          <w:szCs w:val="24"/>
        </w:rPr>
        <w:footnoteReference w:id="1"/>
      </w:r>
      <w:r w:rsidR="002F0156" w:rsidRPr="00A804BB">
        <w:rPr>
          <w:rFonts w:ascii="Georgia" w:hAnsi="Georgia" w:cs="Arial"/>
          <w:sz w:val="24"/>
          <w:szCs w:val="24"/>
        </w:rPr>
        <w:t>, según rotula la doctrina procesal nacional</w:t>
      </w:r>
      <w:r w:rsidR="008D4F8E" w:rsidRPr="00A804BB">
        <w:rPr>
          <w:rFonts w:ascii="Georgia" w:hAnsi="Georgia" w:cs="Arial"/>
          <w:sz w:val="24"/>
          <w:szCs w:val="24"/>
          <w:vertAlign w:val="superscript"/>
        </w:rPr>
        <w:footnoteReference w:id="2"/>
      </w:r>
      <w:r w:rsidR="008D4F8E" w:rsidRPr="00A804BB">
        <w:rPr>
          <w:rFonts w:ascii="Georgia" w:hAnsi="Georgia" w:cs="Arial"/>
          <w:sz w:val="24"/>
          <w:szCs w:val="24"/>
          <w:vertAlign w:val="superscript"/>
        </w:rPr>
        <w:t>-</w:t>
      </w:r>
      <w:r w:rsidR="008D4F8E" w:rsidRPr="00A804BB">
        <w:rPr>
          <w:rFonts w:ascii="Georgia" w:hAnsi="Georgia" w:cs="Arial"/>
          <w:sz w:val="24"/>
          <w:szCs w:val="24"/>
          <w:vertAlign w:val="superscript"/>
        </w:rPr>
        <w:footnoteReference w:id="3"/>
      </w:r>
      <w:r w:rsidR="002F0156" w:rsidRPr="00A804BB">
        <w:rPr>
          <w:rFonts w:ascii="Georgia" w:hAnsi="Georgia" w:cs="Arial"/>
          <w:sz w:val="24"/>
          <w:szCs w:val="24"/>
        </w:rPr>
        <w:t>, a efectos de examinar el tema discutido</w:t>
      </w:r>
      <w:r w:rsidR="008400E1" w:rsidRPr="00A804BB">
        <w:rPr>
          <w:rFonts w:ascii="Georgia" w:hAnsi="Georgia" w:cs="Arial"/>
          <w:sz w:val="24"/>
          <w:szCs w:val="24"/>
        </w:rPr>
        <w:t>.</w:t>
      </w:r>
      <w:r w:rsidR="002F0156" w:rsidRPr="00A804BB">
        <w:rPr>
          <w:rFonts w:ascii="Georgia" w:hAnsi="Georgia" w:cs="Arial"/>
          <w:sz w:val="24"/>
          <w:szCs w:val="24"/>
        </w:rPr>
        <w:t xml:space="preserve"> </w:t>
      </w:r>
      <w:r w:rsidR="008400E1" w:rsidRPr="00A804BB">
        <w:rPr>
          <w:rFonts w:ascii="Georgia" w:hAnsi="Georgia" w:cs="Arial"/>
          <w:sz w:val="24"/>
          <w:szCs w:val="24"/>
        </w:rPr>
        <w:t>Cuestión que es idéntica en CPC y CGP.</w:t>
      </w:r>
    </w:p>
    <w:p w14:paraId="7FAFF90B" w14:textId="77777777" w:rsidR="007D4C22" w:rsidRPr="00A804BB" w:rsidRDefault="007D4C22" w:rsidP="00A804BB">
      <w:pPr>
        <w:pStyle w:val="Textopredeterminado"/>
        <w:spacing w:line="276" w:lineRule="auto"/>
        <w:jc w:val="both"/>
        <w:rPr>
          <w:rFonts w:ascii="Georgia" w:hAnsi="Georgia" w:cs="Arial"/>
          <w:color w:val="auto"/>
        </w:rPr>
      </w:pPr>
    </w:p>
    <w:p w14:paraId="1536070A" w14:textId="76F71FA6" w:rsidR="00637A27" w:rsidRPr="00A804BB" w:rsidRDefault="008400E1" w:rsidP="00A804BB">
      <w:pPr>
        <w:spacing w:line="276" w:lineRule="auto"/>
        <w:jc w:val="both"/>
        <w:rPr>
          <w:rFonts w:ascii="Georgia" w:hAnsi="Georgia" w:cs="Arial"/>
          <w:sz w:val="24"/>
          <w:szCs w:val="24"/>
          <w:lang w:val="es-CO"/>
        </w:rPr>
      </w:pPr>
      <w:bookmarkStart w:id="3" w:name="_Hlk98844402"/>
      <w:r w:rsidRPr="00A804BB">
        <w:rPr>
          <w:rFonts w:ascii="Georgia" w:hAnsi="Georgia" w:cs="Arial"/>
          <w:sz w:val="24"/>
          <w:szCs w:val="24"/>
        </w:rPr>
        <w:t>Esos requisitos son una serie de exigencias normativas formales que permiten su trámite y aseguran su decisión</w:t>
      </w:r>
      <w:bookmarkEnd w:id="3"/>
      <w:r w:rsidRPr="00A804BB">
        <w:rPr>
          <w:rFonts w:ascii="Georgia" w:hAnsi="Georgia" w:cs="Arial"/>
          <w:sz w:val="24"/>
          <w:szCs w:val="24"/>
        </w:rPr>
        <w:t xml:space="preserve">. </w:t>
      </w:r>
      <w:r w:rsidR="00F9683E" w:rsidRPr="00A804BB">
        <w:rPr>
          <w:rFonts w:ascii="Georgia" w:hAnsi="Georgia" w:cs="Arial"/>
          <w:sz w:val="24"/>
          <w:szCs w:val="24"/>
        </w:rPr>
        <w:t>A</w:t>
      </w:r>
      <w:r w:rsidR="002F0156" w:rsidRPr="00A804BB">
        <w:rPr>
          <w:rFonts w:ascii="Georgia" w:hAnsi="Georgia" w:cs="Arial"/>
          <w:sz w:val="24"/>
          <w:szCs w:val="24"/>
        </w:rPr>
        <w:t xml:space="preserve">nota el </w:t>
      </w:r>
      <w:r w:rsidR="008D4F8E" w:rsidRPr="00A804BB">
        <w:rPr>
          <w:rFonts w:ascii="Georgia" w:hAnsi="Georgia" w:cs="Arial"/>
          <w:sz w:val="24"/>
          <w:szCs w:val="24"/>
        </w:rPr>
        <w:t>maestro</w:t>
      </w:r>
      <w:r w:rsidR="002F0156" w:rsidRPr="00A804BB">
        <w:rPr>
          <w:rFonts w:ascii="Georgia" w:hAnsi="Georgia" w:cs="Arial"/>
          <w:sz w:val="24"/>
          <w:szCs w:val="24"/>
        </w:rPr>
        <w:t xml:space="preserve"> López B</w:t>
      </w:r>
      <w:r w:rsidRPr="00A804BB">
        <w:rPr>
          <w:rFonts w:ascii="Georgia" w:hAnsi="Georgia" w:cs="Arial"/>
          <w:sz w:val="24"/>
          <w:szCs w:val="24"/>
        </w:rPr>
        <w:t>.</w:t>
      </w:r>
      <w:r w:rsidR="002F0156" w:rsidRPr="00A804BB">
        <w:rPr>
          <w:rFonts w:ascii="Georgia" w:hAnsi="Georgia" w:cs="Arial"/>
          <w:sz w:val="24"/>
          <w:szCs w:val="24"/>
          <w:vertAlign w:val="superscript"/>
        </w:rPr>
        <w:footnoteReference w:id="4"/>
      </w:r>
      <w:r w:rsidR="009B710A" w:rsidRPr="00A804BB">
        <w:rPr>
          <w:rFonts w:ascii="Georgia" w:hAnsi="Georgia" w:cs="Arial"/>
          <w:sz w:val="24"/>
          <w:szCs w:val="24"/>
        </w:rPr>
        <w:t xml:space="preserve"> (2019)</w:t>
      </w:r>
      <w:r w:rsidR="002F0156" w:rsidRPr="00A804BB">
        <w:rPr>
          <w:rFonts w:ascii="Georgia" w:hAnsi="Georgia" w:cs="Arial"/>
          <w:sz w:val="24"/>
          <w:szCs w:val="24"/>
        </w:rPr>
        <w:t>: “</w:t>
      </w:r>
      <w:r w:rsidR="002F0156" w:rsidRPr="00367C1E">
        <w:rPr>
          <w:rFonts w:ascii="Georgia" w:hAnsi="Georgia" w:cs="Arial"/>
          <w:i/>
          <w:sz w:val="22"/>
          <w:szCs w:val="24"/>
        </w:rPr>
        <w:t>En todo caso sin estar reunidos los requisitos de viabilidad del recurso jamás se podrá tener éxito en el mismo por constituir un precedente necesario para decidirlo</w:t>
      </w:r>
      <w:r w:rsidR="002F0156" w:rsidRPr="00A804BB">
        <w:rPr>
          <w:rFonts w:ascii="Georgia" w:hAnsi="Georgia" w:cs="Arial"/>
          <w:sz w:val="24"/>
          <w:szCs w:val="24"/>
        </w:rPr>
        <w:t xml:space="preserve">”.  </w:t>
      </w:r>
      <w:r w:rsidR="009806FC" w:rsidRPr="00A804BB">
        <w:rPr>
          <w:rFonts w:ascii="Georgia" w:hAnsi="Georgia" w:cs="Arial"/>
          <w:sz w:val="24"/>
          <w:szCs w:val="24"/>
        </w:rPr>
        <w:t>Y</w:t>
      </w:r>
      <w:r w:rsidR="00653B63" w:rsidRPr="00A804BB">
        <w:rPr>
          <w:rFonts w:ascii="Georgia" w:hAnsi="Georgia" w:cs="Arial"/>
          <w:sz w:val="24"/>
          <w:szCs w:val="24"/>
        </w:rPr>
        <w:t>,</w:t>
      </w:r>
      <w:r w:rsidR="009806FC" w:rsidRPr="00A804BB">
        <w:rPr>
          <w:rFonts w:ascii="Georgia" w:hAnsi="Georgia" w:cs="Arial"/>
          <w:sz w:val="24"/>
          <w:szCs w:val="24"/>
        </w:rPr>
        <w:t xml:space="preserve"> explica el profesor Rojas G.</w:t>
      </w:r>
      <w:r w:rsidR="00653B63" w:rsidRPr="00A804BB">
        <w:rPr>
          <w:rFonts w:ascii="Georgia" w:hAnsi="Georgia" w:cs="Arial"/>
          <w:sz w:val="24"/>
          <w:szCs w:val="24"/>
        </w:rPr>
        <w:t>,</w:t>
      </w:r>
      <w:r w:rsidR="009806FC" w:rsidRPr="00A804BB">
        <w:rPr>
          <w:rFonts w:ascii="Georgia" w:hAnsi="Georgia" w:cs="Arial"/>
          <w:sz w:val="24"/>
          <w:szCs w:val="24"/>
        </w:rPr>
        <w:t xml:space="preserve"> en su obra</w:t>
      </w:r>
      <w:r w:rsidR="00653B63" w:rsidRPr="00A804BB">
        <w:rPr>
          <w:rFonts w:ascii="Georgia" w:hAnsi="Georgia" w:cs="Arial"/>
          <w:sz w:val="24"/>
          <w:szCs w:val="24"/>
        </w:rPr>
        <w:t xml:space="preserve"> (2020)</w:t>
      </w:r>
      <w:r w:rsidR="009806FC" w:rsidRPr="00A804BB">
        <w:rPr>
          <w:rFonts w:ascii="Georgia" w:hAnsi="Georgia" w:cs="Arial"/>
          <w:sz w:val="24"/>
          <w:szCs w:val="24"/>
        </w:rPr>
        <w:t>: “</w:t>
      </w:r>
      <w:r w:rsidR="009806FC" w:rsidRPr="00367C1E">
        <w:rPr>
          <w:rFonts w:ascii="Georgia" w:hAnsi="Georgia" w:cs="Arial"/>
          <w:i/>
          <w:sz w:val="22"/>
          <w:szCs w:val="24"/>
        </w:rPr>
        <w:t>(…) para que la impugnación pueda ser tramitada hasta establecer si debe prosperar han de cumplirse unos precisos requisitos.  En ausencia de ellos no debe dársele curso a la impugnación, o el trámite queda trunco, si ya se inició</w:t>
      </w:r>
      <w:r w:rsidR="009806FC" w:rsidRPr="00A804BB">
        <w:rPr>
          <w:rFonts w:ascii="Georgia" w:hAnsi="Georgia" w:cs="Arial"/>
          <w:sz w:val="24"/>
          <w:szCs w:val="24"/>
        </w:rPr>
        <w:t>”</w:t>
      </w:r>
      <w:r w:rsidR="009806FC" w:rsidRPr="00A804BB">
        <w:rPr>
          <w:rStyle w:val="Refdenotaalpie"/>
          <w:rFonts w:ascii="Georgia" w:hAnsi="Georgia"/>
          <w:sz w:val="24"/>
          <w:szCs w:val="24"/>
        </w:rPr>
        <w:t xml:space="preserve"> </w:t>
      </w:r>
      <w:r w:rsidR="009806FC" w:rsidRPr="00A804BB">
        <w:rPr>
          <w:rStyle w:val="Refdenotaalpie"/>
          <w:rFonts w:ascii="Georgia" w:hAnsi="Georgia"/>
          <w:sz w:val="24"/>
          <w:szCs w:val="24"/>
        </w:rPr>
        <w:footnoteReference w:id="5"/>
      </w:r>
      <w:r w:rsidR="002F0156" w:rsidRPr="00A804BB">
        <w:rPr>
          <w:rFonts w:ascii="Georgia" w:hAnsi="Georgia" w:cs="Arial"/>
          <w:sz w:val="24"/>
          <w:szCs w:val="24"/>
        </w:rPr>
        <w:t>.</w:t>
      </w:r>
      <w:r w:rsidR="00653B63" w:rsidRPr="00A804BB">
        <w:rPr>
          <w:rFonts w:ascii="Georgia" w:hAnsi="Georgia" w:cs="Arial"/>
          <w:sz w:val="24"/>
          <w:szCs w:val="24"/>
        </w:rPr>
        <w:t xml:space="preserve"> </w:t>
      </w:r>
      <w:r w:rsidR="00637A27" w:rsidRPr="00A804BB">
        <w:rPr>
          <w:rFonts w:ascii="Georgia" w:hAnsi="Georgia" w:cs="Arial"/>
          <w:sz w:val="24"/>
          <w:szCs w:val="24"/>
        </w:rPr>
        <w:t>En similar sentido Parra B. (2021)</w:t>
      </w:r>
      <w:r w:rsidR="00637A27" w:rsidRPr="00A804BB">
        <w:rPr>
          <w:rStyle w:val="Refdenotaalpie"/>
          <w:rFonts w:ascii="Georgia" w:hAnsi="Georgia" w:cs="Arial"/>
          <w:sz w:val="24"/>
          <w:szCs w:val="24"/>
        </w:rPr>
        <w:footnoteReference w:id="6"/>
      </w:r>
      <w:r w:rsidR="00637A27" w:rsidRPr="00A804BB">
        <w:rPr>
          <w:rFonts w:ascii="Georgia" w:hAnsi="Georgia" w:cs="Arial"/>
          <w:sz w:val="24"/>
          <w:szCs w:val="24"/>
        </w:rPr>
        <w:t xml:space="preserve"> y Sanabria Santos (2021)</w:t>
      </w:r>
      <w:r w:rsidR="00637A27" w:rsidRPr="00A804BB">
        <w:rPr>
          <w:rStyle w:val="Refdenotaalpie"/>
          <w:rFonts w:ascii="Georgia" w:hAnsi="Georgia" w:cs="Arial"/>
          <w:sz w:val="24"/>
          <w:szCs w:val="24"/>
        </w:rPr>
        <w:footnoteReference w:id="7"/>
      </w:r>
      <w:r w:rsidR="00637A27" w:rsidRPr="00A804BB">
        <w:rPr>
          <w:rFonts w:ascii="Georgia" w:hAnsi="Georgia" w:cs="Arial"/>
          <w:sz w:val="24"/>
          <w:szCs w:val="24"/>
        </w:rPr>
        <w:t xml:space="preserve">. </w:t>
      </w:r>
    </w:p>
    <w:p w14:paraId="223FF8A4" w14:textId="77777777" w:rsidR="00DF4F66" w:rsidRPr="00A804BB" w:rsidRDefault="00DF4F66" w:rsidP="00A804BB">
      <w:pPr>
        <w:spacing w:line="276" w:lineRule="auto"/>
        <w:jc w:val="both"/>
        <w:rPr>
          <w:rFonts w:ascii="Georgia" w:hAnsi="Georgia" w:cs="Arial"/>
          <w:sz w:val="24"/>
          <w:szCs w:val="24"/>
        </w:rPr>
      </w:pPr>
    </w:p>
    <w:p w14:paraId="0398B0A2" w14:textId="081D3AB3" w:rsidR="00653B63" w:rsidRPr="00A804BB" w:rsidRDefault="008D4F8E" w:rsidP="00A804BB">
      <w:pPr>
        <w:spacing w:line="276" w:lineRule="auto"/>
        <w:jc w:val="both"/>
        <w:rPr>
          <w:rFonts w:ascii="Georgia" w:hAnsi="Georgia" w:cs="Arial"/>
          <w:sz w:val="24"/>
          <w:szCs w:val="24"/>
        </w:rPr>
      </w:pPr>
      <w:r w:rsidRPr="00A804BB">
        <w:rPr>
          <w:rFonts w:ascii="Georgia" w:hAnsi="Georgia" w:cs="Arial"/>
          <w:sz w:val="24"/>
          <w:szCs w:val="24"/>
        </w:rPr>
        <w:t>Los presupuestos son concurrentes, que se traduce en que su ausencia frustra el estudio de la impugnación</w:t>
      </w:r>
      <w:r w:rsidR="00F9683E" w:rsidRPr="00A804BB">
        <w:rPr>
          <w:rStyle w:val="Refdenotaalpie"/>
          <w:rFonts w:ascii="Georgia" w:hAnsi="Georgia" w:cs="Arial"/>
          <w:sz w:val="24"/>
          <w:szCs w:val="24"/>
        </w:rPr>
        <w:footnoteReference w:id="8"/>
      </w:r>
      <w:r w:rsidRPr="00A804BB">
        <w:rPr>
          <w:rFonts w:ascii="Georgia" w:hAnsi="Georgia" w:cs="Arial"/>
          <w:sz w:val="24"/>
          <w:szCs w:val="24"/>
        </w:rPr>
        <w:t>. También la CSJ, predica su cumplimiento: “</w:t>
      </w:r>
      <w:r w:rsidRPr="00367C1E">
        <w:rPr>
          <w:rFonts w:ascii="Georgia" w:hAnsi="Georgia" w:cs="Arial"/>
          <w:i/>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A804BB">
        <w:rPr>
          <w:rFonts w:ascii="Georgia" w:hAnsi="Georgia" w:cs="Arial"/>
          <w:sz w:val="24"/>
          <w:szCs w:val="24"/>
        </w:rPr>
        <w:t>”</w:t>
      </w:r>
      <w:r w:rsidRPr="00A804BB">
        <w:rPr>
          <w:rStyle w:val="Refdenotaalpie"/>
          <w:rFonts w:ascii="Georgia" w:hAnsi="Georgia"/>
          <w:sz w:val="24"/>
          <w:szCs w:val="24"/>
        </w:rPr>
        <w:footnoteReference w:id="9"/>
      </w:r>
      <w:r w:rsidRPr="00A804BB">
        <w:rPr>
          <w:rFonts w:ascii="Georgia" w:hAnsi="Georgia" w:cs="Arial"/>
          <w:sz w:val="24"/>
          <w:szCs w:val="24"/>
        </w:rPr>
        <w:t xml:space="preserve">. </w:t>
      </w:r>
    </w:p>
    <w:p w14:paraId="54000CF5" w14:textId="77777777" w:rsidR="00653B63" w:rsidRPr="00A804BB" w:rsidRDefault="00653B63" w:rsidP="00A804BB">
      <w:pPr>
        <w:spacing w:line="276" w:lineRule="auto"/>
        <w:jc w:val="both"/>
        <w:rPr>
          <w:rFonts w:ascii="Georgia" w:hAnsi="Georgia" w:cs="Arial"/>
          <w:sz w:val="24"/>
          <w:szCs w:val="24"/>
        </w:rPr>
      </w:pPr>
    </w:p>
    <w:p w14:paraId="10B8F25E" w14:textId="78A1E156" w:rsidR="008D4F8E" w:rsidRPr="00A804BB" w:rsidRDefault="00653B63" w:rsidP="00A804BB">
      <w:pPr>
        <w:spacing w:line="276" w:lineRule="auto"/>
        <w:jc w:val="both"/>
        <w:rPr>
          <w:rFonts w:ascii="Georgia" w:hAnsi="Georgia" w:cs="Arial"/>
          <w:sz w:val="24"/>
          <w:szCs w:val="24"/>
        </w:rPr>
      </w:pPr>
      <w:r w:rsidRPr="00A804BB">
        <w:rPr>
          <w:rFonts w:ascii="Georgia" w:hAnsi="Georgia" w:cs="Arial"/>
          <w:sz w:val="24"/>
          <w:szCs w:val="24"/>
        </w:rPr>
        <w:t>E</w:t>
      </w:r>
      <w:r w:rsidR="008D4F8E" w:rsidRPr="00A804BB">
        <w:rPr>
          <w:rFonts w:ascii="Georgia" w:hAnsi="Georgia" w:cs="Arial"/>
          <w:sz w:val="24"/>
          <w:szCs w:val="24"/>
        </w:rPr>
        <w:t>n decisión más próxima (2017)</w:t>
      </w:r>
      <w:r w:rsidR="008D4F8E" w:rsidRPr="00A804BB">
        <w:rPr>
          <w:rStyle w:val="Refdenotaalpie"/>
          <w:rFonts w:ascii="Georgia" w:hAnsi="Georgia"/>
          <w:sz w:val="24"/>
          <w:szCs w:val="24"/>
        </w:rPr>
        <w:footnoteReference w:id="10"/>
      </w:r>
      <w:r w:rsidR="009B710A" w:rsidRPr="00A804BB">
        <w:rPr>
          <w:rFonts w:ascii="Georgia" w:hAnsi="Georgia" w:cs="Arial"/>
          <w:sz w:val="24"/>
          <w:szCs w:val="24"/>
        </w:rPr>
        <w:t xml:space="preserve">, en sede constitucional que es criterio auxiliar, </w:t>
      </w:r>
      <w:r w:rsidR="008D4F8E" w:rsidRPr="00A804BB">
        <w:rPr>
          <w:rFonts w:ascii="Georgia" w:hAnsi="Georgia" w:cs="Arial"/>
          <w:sz w:val="24"/>
          <w:szCs w:val="24"/>
        </w:rPr>
        <w:t>evocó: “</w:t>
      </w:r>
      <w:r w:rsidR="008D4F8E" w:rsidRPr="00367C1E">
        <w:rPr>
          <w:rFonts w:ascii="Georgia" w:hAnsi="Georgia" w:cs="Arial"/>
          <w:i/>
          <w:sz w:val="22"/>
          <w:szCs w:val="24"/>
        </w:rPr>
        <w:t xml:space="preserve">(…) </w:t>
      </w:r>
      <w:r w:rsidR="008D4F8E" w:rsidRPr="00367C1E">
        <w:rPr>
          <w:rFonts w:ascii="Georgia" w:hAnsi="Georgia" w:cs="Arial"/>
          <w:i/>
          <w:spacing w:val="-4"/>
          <w:sz w:val="22"/>
          <w:szCs w:val="24"/>
        </w:rPr>
        <w:t>Por supuesto que, era facultad del superior realizar el análisis preliminar para la «admisión» de la alzada, y conforme a la regla cuarta del canon 325 del C.G.P.</w:t>
      </w:r>
      <w:r w:rsidR="008D4F8E" w:rsidRPr="00367C1E">
        <w:rPr>
          <w:rFonts w:ascii="Georgia" w:hAnsi="Georgia" w:cs="Arial"/>
          <w:spacing w:val="-4"/>
          <w:sz w:val="22"/>
          <w:szCs w:val="24"/>
        </w:rPr>
        <w:t xml:space="preserve"> </w:t>
      </w:r>
      <w:r w:rsidR="008D4F8E" w:rsidRPr="00367C1E">
        <w:rPr>
          <w:rFonts w:ascii="Georgia" w:hAnsi="Georgia" w:cs="Arial"/>
          <w:i/>
          <w:sz w:val="22"/>
          <w:szCs w:val="24"/>
          <w:shd w:val="clear" w:color="auto" w:fill="FFFFFF"/>
        </w:rPr>
        <w:t>(…)</w:t>
      </w:r>
      <w:r w:rsidR="008D4F8E" w:rsidRPr="00A804BB">
        <w:rPr>
          <w:rFonts w:ascii="Georgia" w:hAnsi="Georgia" w:cs="Arial"/>
          <w:i/>
          <w:sz w:val="24"/>
          <w:szCs w:val="24"/>
          <w:shd w:val="clear" w:color="auto" w:fill="FFFFFF"/>
        </w:rPr>
        <w:t>”.</w:t>
      </w:r>
      <w:r w:rsidR="008D4F8E" w:rsidRPr="00A804BB">
        <w:rPr>
          <w:rFonts w:ascii="Georgia" w:hAnsi="Georgia" w:cs="Arial"/>
          <w:sz w:val="24"/>
          <w:szCs w:val="24"/>
          <w:shd w:val="clear" w:color="auto" w:fill="FFFFFF"/>
        </w:rPr>
        <w:t xml:space="preserve"> </w:t>
      </w:r>
      <w:r w:rsidR="008D4F8E" w:rsidRPr="00A804BB">
        <w:rPr>
          <w:rFonts w:ascii="Georgia" w:hAnsi="Georgia" w:cs="Arial"/>
          <w:sz w:val="24"/>
          <w:szCs w:val="24"/>
          <w:shd w:val="clear" w:color="auto" w:fill="FFFFFF"/>
        </w:rPr>
        <w:lastRenderedPageBreak/>
        <w:t>Comentarios aplicables para el CGP, puesto que en este aspecto se conservó el esquema.</w:t>
      </w:r>
    </w:p>
    <w:p w14:paraId="10B8F25F" w14:textId="77777777" w:rsidR="002F0156" w:rsidRPr="00A804BB" w:rsidRDefault="002F0156" w:rsidP="00A804BB">
      <w:pPr>
        <w:pStyle w:val="Sinespaciado"/>
        <w:spacing w:line="276" w:lineRule="auto"/>
        <w:jc w:val="both"/>
        <w:rPr>
          <w:rFonts w:ascii="Georgia" w:hAnsi="Georgia" w:cs="Arial"/>
          <w:sz w:val="24"/>
          <w:szCs w:val="24"/>
        </w:rPr>
      </w:pPr>
    </w:p>
    <w:p w14:paraId="2D51B2C4" w14:textId="4AD5EE38" w:rsidR="00B82F1C" w:rsidRPr="00A804BB" w:rsidRDefault="5C3A0D7C" w:rsidP="00A804BB">
      <w:pPr>
        <w:pStyle w:val="Sinespaciado"/>
        <w:spacing w:line="276" w:lineRule="auto"/>
        <w:jc w:val="both"/>
        <w:rPr>
          <w:rFonts w:ascii="Georgia" w:hAnsi="Georgia" w:cs="Arial"/>
          <w:sz w:val="24"/>
          <w:szCs w:val="24"/>
        </w:rPr>
      </w:pPr>
      <w:r w:rsidRPr="00A804BB">
        <w:rPr>
          <w:rFonts w:ascii="Georgia" w:hAnsi="Georgia" w:cs="Arial"/>
          <w:sz w:val="24"/>
          <w:szCs w:val="24"/>
        </w:rPr>
        <w:t xml:space="preserve">Se hacen consistir en: </w:t>
      </w:r>
      <w:r w:rsidR="008D4F8E" w:rsidRPr="00A804BB">
        <w:rPr>
          <w:rFonts w:ascii="Georgia" w:hAnsi="Georgia" w:cs="Arial"/>
          <w:b/>
          <w:bCs/>
          <w:sz w:val="24"/>
          <w:szCs w:val="24"/>
        </w:rPr>
        <w:t>(i)</w:t>
      </w:r>
      <w:r w:rsidR="008D4F8E" w:rsidRPr="00A804BB">
        <w:rPr>
          <w:rFonts w:ascii="Georgia" w:hAnsi="Georgia" w:cs="Arial"/>
          <w:sz w:val="24"/>
          <w:szCs w:val="24"/>
        </w:rPr>
        <w:t xml:space="preserve"> </w:t>
      </w:r>
      <w:r w:rsidR="0E315AA4" w:rsidRPr="00A804BB">
        <w:rPr>
          <w:rFonts w:ascii="Georgia" w:hAnsi="Georgia" w:cs="Arial"/>
          <w:sz w:val="24"/>
          <w:szCs w:val="24"/>
        </w:rPr>
        <w:t>L</w:t>
      </w:r>
      <w:r w:rsidR="008D4F8E" w:rsidRPr="00A804BB">
        <w:rPr>
          <w:rFonts w:ascii="Georgia" w:hAnsi="Georgia" w:cs="Arial"/>
          <w:sz w:val="24"/>
          <w:szCs w:val="24"/>
        </w:rPr>
        <w:t xml:space="preserve">egitimación, </w:t>
      </w:r>
      <w:r w:rsidR="008D4F8E" w:rsidRPr="00A804BB">
        <w:rPr>
          <w:rFonts w:ascii="Georgia" w:hAnsi="Georgia" w:cs="Arial"/>
          <w:b/>
          <w:bCs/>
          <w:sz w:val="24"/>
          <w:szCs w:val="24"/>
        </w:rPr>
        <w:t>(ii)</w:t>
      </w:r>
      <w:r w:rsidR="008D4F8E" w:rsidRPr="00A804BB">
        <w:rPr>
          <w:rFonts w:ascii="Georgia" w:hAnsi="Georgia" w:cs="Arial"/>
          <w:sz w:val="24"/>
          <w:szCs w:val="24"/>
        </w:rPr>
        <w:t xml:space="preserve"> </w:t>
      </w:r>
      <w:r w:rsidR="7D8E2951" w:rsidRPr="00A804BB">
        <w:rPr>
          <w:rFonts w:ascii="Georgia" w:hAnsi="Georgia" w:cs="Arial"/>
          <w:sz w:val="24"/>
          <w:szCs w:val="24"/>
        </w:rPr>
        <w:t>O</w:t>
      </w:r>
      <w:r w:rsidR="008D4F8E" w:rsidRPr="00A804BB">
        <w:rPr>
          <w:rFonts w:ascii="Georgia" w:hAnsi="Georgia" w:cs="Arial"/>
          <w:sz w:val="24"/>
          <w:szCs w:val="24"/>
        </w:rPr>
        <w:t xml:space="preserve">portunidad, </w:t>
      </w:r>
      <w:r w:rsidR="008D4F8E" w:rsidRPr="00A804BB">
        <w:rPr>
          <w:rFonts w:ascii="Georgia" w:hAnsi="Georgia" w:cs="Arial"/>
          <w:b/>
          <w:bCs/>
          <w:sz w:val="24"/>
          <w:szCs w:val="24"/>
        </w:rPr>
        <w:t>(iii)</w:t>
      </w:r>
      <w:r w:rsidR="008D4F8E" w:rsidRPr="00A804BB">
        <w:rPr>
          <w:rFonts w:ascii="Georgia" w:hAnsi="Georgia" w:cs="Arial"/>
          <w:sz w:val="24"/>
          <w:szCs w:val="24"/>
        </w:rPr>
        <w:t xml:space="preserve"> </w:t>
      </w:r>
      <w:r w:rsidR="6F2796C0" w:rsidRPr="00A804BB">
        <w:rPr>
          <w:rFonts w:ascii="Georgia" w:hAnsi="Georgia" w:cs="Arial"/>
          <w:sz w:val="24"/>
          <w:szCs w:val="24"/>
        </w:rPr>
        <w:t>P</w:t>
      </w:r>
      <w:r w:rsidR="008D4F8E" w:rsidRPr="00A804BB">
        <w:rPr>
          <w:rFonts w:ascii="Georgia" w:hAnsi="Georgia" w:cs="Arial"/>
          <w:sz w:val="24"/>
          <w:szCs w:val="24"/>
        </w:rPr>
        <w:t xml:space="preserve">rocedencia y </w:t>
      </w:r>
      <w:r w:rsidR="008D4F8E" w:rsidRPr="00A804BB">
        <w:rPr>
          <w:rFonts w:ascii="Georgia" w:hAnsi="Georgia" w:cs="Arial"/>
          <w:b/>
          <w:bCs/>
          <w:sz w:val="24"/>
          <w:szCs w:val="24"/>
        </w:rPr>
        <w:t>(iv)</w:t>
      </w:r>
      <w:r w:rsidR="008D4F8E" w:rsidRPr="00A804BB">
        <w:rPr>
          <w:rFonts w:ascii="Georgia" w:hAnsi="Georgia" w:cs="Arial"/>
          <w:sz w:val="24"/>
          <w:szCs w:val="24"/>
        </w:rPr>
        <w:t xml:space="preserve"> </w:t>
      </w:r>
      <w:r w:rsidR="1BDF0B58" w:rsidRPr="00A804BB">
        <w:rPr>
          <w:rFonts w:ascii="Georgia" w:hAnsi="Georgia" w:cs="Arial"/>
          <w:sz w:val="24"/>
          <w:szCs w:val="24"/>
        </w:rPr>
        <w:t>C</w:t>
      </w:r>
      <w:r w:rsidR="008D4F8E" w:rsidRPr="00A804BB">
        <w:rPr>
          <w:rFonts w:ascii="Georgia" w:hAnsi="Georgia" w:cs="Arial"/>
          <w:sz w:val="24"/>
          <w:szCs w:val="24"/>
        </w:rPr>
        <w:t>argas procesales (Sustentación, expedición de copias, etc.); los tres (3) primeros implican la inadmisibilidad del recurso, mientras que el cuarto, provoca la deserción, como acota la doctrina patria</w:t>
      </w:r>
      <w:r w:rsidR="008D4F8E" w:rsidRPr="00A804BB">
        <w:rPr>
          <w:rStyle w:val="Refdenotaalpie"/>
          <w:rFonts w:ascii="Georgia" w:hAnsi="Georgia"/>
          <w:sz w:val="24"/>
          <w:szCs w:val="24"/>
        </w:rPr>
        <w:footnoteReference w:id="11"/>
      </w:r>
      <w:r w:rsidR="008D4F8E" w:rsidRPr="00A804BB">
        <w:rPr>
          <w:rStyle w:val="Refdenotaalpie"/>
          <w:rFonts w:ascii="Georgia" w:hAnsi="Georgia"/>
          <w:sz w:val="24"/>
          <w:szCs w:val="24"/>
        </w:rPr>
        <w:t>-</w:t>
      </w:r>
      <w:r w:rsidR="008D4F8E" w:rsidRPr="00A804BB">
        <w:rPr>
          <w:rStyle w:val="Refdenotaalpie"/>
          <w:rFonts w:ascii="Georgia" w:hAnsi="Georgia"/>
          <w:sz w:val="24"/>
          <w:szCs w:val="24"/>
        </w:rPr>
        <w:footnoteReference w:id="12"/>
      </w:r>
      <w:r w:rsidR="008D4F8E" w:rsidRPr="00A804BB">
        <w:rPr>
          <w:rFonts w:ascii="Georgia" w:hAnsi="Georgia" w:cs="Arial"/>
          <w:sz w:val="24"/>
          <w:szCs w:val="24"/>
        </w:rPr>
        <w:t>.</w:t>
      </w:r>
      <w:r w:rsidR="00B82F1C" w:rsidRPr="00A804BB">
        <w:rPr>
          <w:rFonts w:ascii="Georgia" w:hAnsi="Georgia" w:cs="Arial"/>
          <w:sz w:val="24"/>
          <w:szCs w:val="24"/>
        </w:rPr>
        <w:t xml:space="preserve"> En particular </w:t>
      </w:r>
      <w:r w:rsidR="009B710A" w:rsidRPr="00A804BB">
        <w:rPr>
          <w:rFonts w:ascii="Georgia" w:hAnsi="Georgia" w:cs="Arial"/>
          <w:sz w:val="24"/>
          <w:szCs w:val="24"/>
        </w:rPr>
        <w:t xml:space="preserve">para este caso concreto, </w:t>
      </w:r>
      <w:r w:rsidR="00B82F1C" w:rsidRPr="00A804BB">
        <w:rPr>
          <w:rFonts w:ascii="Georgia" w:hAnsi="Georgia" w:cs="Arial"/>
          <w:sz w:val="24"/>
          <w:szCs w:val="24"/>
        </w:rPr>
        <w:t>se echa de menos la procedencia, entendida como la expresa autorización normativa para atacar la decisión</w:t>
      </w:r>
      <w:r w:rsidR="00556DC6" w:rsidRPr="00A804BB">
        <w:rPr>
          <w:rStyle w:val="Refdenotaalpie"/>
          <w:rFonts w:ascii="Georgia" w:hAnsi="Georgia" w:cs="Arial"/>
          <w:sz w:val="24"/>
          <w:szCs w:val="24"/>
        </w:rPr>
        <w:footnoteReference w:id="13"/>
      </w:r>
      <w:r w:rsidR="00B82F1C" w:rsidRPr="00A804BB">
        <w:rPr>
          <w:rFonts w:ascii="Georgia" w:hAnsi="Georgia" w:cs="Arial"/>
          <w:sz w:val="24"/>
          <w:szCs w:val="24"/>
        </w:rPr>
        <w:t>.</w:t>
      </w:r>
    </w:p>
    <w:p w14:paraId="3243E6CA" w14:textId="10B90551" w:rsidR="00B82F1C" w:rsidRPr="00A804BB" w:rsidRDefault="00B82F1C" w:rsidP="00A804BB">
      <w:pPr>
        <w:pStyle w:val="Sinespaciado"/>
        <w:spacing w:line="276" w:lineRule="auto"/>
        <w:jc w:val="both"/>
        <w:rPr>
          <w:rFonts w:ascii="Georgia" w:hAnsi="Georgia" w:cs="Arial"/>
          <w:sz w:val="24"/>
          <w:szCs w:val="24"/>
        </w:rPr>
      </w:pPr>
    </w:p>
    <w:p w14:paraId="610B5BFF" w14:textId="7021B2AA" w:rsidR="00C11280" w:rsidRPr="00A804BB" w:rsidRDefault="00DF4F66" w:rsidP="00A804BB">
      <w:pPr>
        <w:pStyle w:val="Sinespaciado"/>
        <w:spacing w:line="276" w:lineRule="auto"/>
        <w:jc w:val="both"/>
        <w:rPr>
          <w:rFonts w:ascii="Georgia" w:hAnsi="Georgia" w:cs="Arial"/>
          <w:sz w:val="24"/>
          <w:szCs w:val="24"/>
        </w:rPr>
      </w:pPr>
      <w:r w:rsidRPr="00A804BB">
        <w:rPr>
          <w:rFonts w:ascii="Georgia" w:hAnsi="Georgia" w:cs="Arial"/>
          <w:sz w:val="24"/>
          <w:szCs w:val="24"/>
        </w:rPr>
        <w:t xml:space="preserve">Revisado </w:t>
      </w:r>
      <w:r w:rsidR="37A14F9E" w:rsidRPr="00A804BB">
        <w:rPr>
          <w:rFonts w:ascii="Georgia" w:hAnsi="Georgia" w:cs="Arial"/>
          <w:sz w:val="24"/>
          <w:szCs w:val="24"/>
        </w:rPr>
        <w:t xml:space="preserve">nuestro </w:t>
      </w:r>
      <w:r w:rsidR="00912B1B" w:rsidRPr="00A804BB">
        <w:rPr>
          <w:rFonts w:ascii="Georgia" w:hAnsi="Georgia" w:cs="Arial"/>
          <w:sz w:val="24"/>
          <w:szCs w:val="24"/>
        </w:rPr>
        <w:t xml:space="preserve">ordenamiento procesal vigente, </w:t>
      </w:r>
      <w:r w:rsidR="1497F108" w:rsidRPr="00A804BB">
        <w:rPr>
          <w:rFonts w:ascii="Georgia" w:hAnsi="Georgia" w:cs="Arial"/>
          <w:sz w:val="24"/>
          <w:szCs w:val="24"/>
        </w:rPr>
        <w:t xml:space="preserve">el </w:t>
      </w:r>
      <w:r w:rsidR="00912B1B" w:rsidRPr="00A804BB">
        <w:rPr>
          <w:rFonts w:ascii="Georgia" w:hAnsi="Georgia" w:cs="Arial"/>
          <w:sz w:val="24"/>
          <w:szCs w:val="24"/>
        </w:rPr>
        <w:t xml:space="preserve">recurso de súplica (Artículo 331, CGP) procede contra: </w:t>
      </w:r>
      <w:r w:rsidR="00912B1B" w:rsidRPr="00A804BB">
        <w:rPr>
          <w:rFonts w:ascii="Georgia" w:hAnsi="Georgia" w:cs="Arial"/>
          <w:b/>
          <w:bCs/>
          <w:sz w:val="24"/>
          <w:szCs w:val="24"/>
        </w:rPr>
        <w:t>(i)</w:t>
      </w:r>
      <w:r w:rsidR="00912B1B" w:rsidRPr="00A804BB">
        <w:rPr>
          <w:rFonts w:ascii="Georgia" w:hAnsi="Georgia" w:cs="Arial"/>
          <w:sz w:val="24"/>
          <w:szCs w:val="24"/>
        </w:rPr>
        <w:t xml:space="preserve"> Los autos que por su naturaleza </w:t>
      </w:r>
      <w:r w:rsidR="1C8EBCAA" w:rsidRPr="00A804BB">
        <w:rPr>
          <w:rFonts w:ascii="Georgia" w:hAnsi="Georgia" w:cs="Arial"/>
          <w:sz w:val="24"/>
          <w:szCs w:val="24"/>
        </w:rPr>
        <w:t xml:space="preserve">son </w:t>
      </w:r>
      <w:r w:rsidR="00912B1B" w:rsidRPr="00A804BB">
        <w:rPr>
          <w:rFonts w:ascii="Georgia" w:hAnsi="Georgia" w:cs="Arial"/>
          <w:sz w:val="24"/>
          <w:szCs w:val="24"/>
        </w:rPr>
        <w:t xml:space="preserve">apelables (Artículo 321, CGP), dictados por el magistrado sustanciador en curso de la segunda </w:t>
      </w:r>
      <w:r w:rsidR="72D3D36A" w:rsidRPr="00A804BB">
        <w:rPr>
          <w:rFonts w:ascii="Georgia" w:hAnsi="Georgia" w:cs="Arial"/>
          <w:sz w:val="24"/>
          <w:szCs w:val="24"/>
        </w:rPr>
        <w:t xml:space="preserve">o única </w:t>
      </w:r>
      <w:r w:rsidR="00912B1B" w:rsidRPr="00A804BB">
        <w:rPr>
          <w:rFonts w:ascii="Georgia" w:hAnsi="Georgia" w:cs="Arial"/>
          <w:sz w:val="24"/>
          <w:szCs w:val="24"/>
        </w:rPr>
        <w:t>instancia</w:t>
      </w:r>
      <w:r w:rsidR="3A6919A3" w:rsidRPr="00A804BB">
        <w:rPr>
          <w:rFonts w:ascii="Georgia" w:hAnsi="Georgia" w:cs="Arial"/>
          <w:sz w:val="24"/>
          <w:szCs w:val="24"/>
        </w:rPr>
        <w:t>,</w:t>
      </w:r>
      <w:r w:rsidR="32AB032B" w:rsidRPr="00A804BB">
        <w:rPr>
          <w:rFonts w:ascii="Georgia" w:hAnsi="Georgia" w:cs="Arial"/>
          <w:sz w:val="24"/>
          <w:szCs w:val="24"/>
        </w:rPr>
        <w:t xml:space="preserve"> </w:t>
      </w:r>
      <w:r w:rsidR="00912B1B" w:rsidRPr="00A804BB">
        <w:rPr>
          <w:rFonts w:ascii="Georgia" w:hAnsi="Georgia" w:cs="Arial"/>
          <w:sz w:val="24"/>
          <w:szCs w:val="24"/>
        </w:rPr>
        <w:t xml:space="preserve">o en el trámite de recursos extraordinarios (Revisión y casación); y, </w:t>
      </w:r>
      <w:r w:rsidR="00912B1B" w:rsidRPr="00A804BB">
        <w:rPr>
          <w:rFonts w:ascii="Georgia" w:hAnsi="Georgia" w:cs="Arial"/>
          <w:b/>
          <w:bCs/>
          <w:sz w:val="24"/>
          <w:szCs w:val="24"/>
        </w:rPr>
        <w:t>(ii)</w:t>
      </w:r>
      <w:r w:rsidR="00912B1B" w:rsidRPr="00A804BB">
        <w:rPr>
          <w:rFonts w:ascii="Georgia" w:hAnsi="Georgia" w:cs="Arial"/>
          <w:sz w:val="24"/>
          <w:szCs w:val="24"/>
        </w:rPr>
        <w:t xml:space="preserve"> La providencia que resuelve sobre la admisión del recurso de apelación o casación (Artículo 331-1º, CGP)</w:t>
      </w:r>
      <w:r w:rsidR="00B51359" w:rsidRPr="00A804BB">
        <w:rPr>
          <w:rFonts w:ascii="Georgia" w:hAnsi="Georgia" w:cs="Arial"/>
          <w:sz w:val="24"/>
          <w:szCs w:val="24"/>
        </w:rPr>
        <w:t>; aunque, frente a esta última, explica el órgano de cierre de la especialidad (CSJ)</w:t>
      </w:r>
      <w:r w:rsidR="00B51359" w:rsidRPr="00A804BB">
        <w:rPr>
          <w:rStyle w:val="Refdenotaalpie"/>
          <w:rFonts w:ascii="Georgia" w:hAnsi="Georgia" w:cs="Arial"/>
          <w:sz w:val="24"/>
          <w:szCs w:val="24"/>
        </w:rPr>
        <w:footnoteReference w:id="14"/>
      </w:r>
      <w:r w:rsidR="00B51359" w:rsidRPr="00A804BB">
        <w:rPr>
          <w:rFonts w:ascii="Georgia" w:hAnsi="Georgia" w:cs="Arial"/>
          <w:sz w:val="24"/>
          <w:szCs w:val="24"/>
        </w:rPr>
        <w:t xml:space="preserve"> que al tenor del artículo 342, ibidem, s</w:t>
      </w:r>
      <w:r w:rsidR="00EB7B64" w:rsidRPr="00A804BB">
        <w:rPr>
          <w:rFonts w:ascii="Georgia" w:hAnsi="Georgia" w:cs="Arial"/>
          <w:sz w:val="24"/>
          <w:szCs w:val="24"/>
        </w:rPr>
        <w:t>o</w:t>
      </w:r>
      <w:r w:rsidR="00B51359" w:rsidRPr="00A804BB">
        <w:rPr>
          <w:rFonts w:ascii="Georgia" w:hAnsi="Georgia" w:cs="Arial"/>
          <w:sz w:val="24"/>
          <w:szCs w:val="24"/>
        </w:rPr>
        <w:t xml:space="preserve">lo procede la reposición. </w:t>
      </w:r>
    </w:p>
    <w:p w14:paraId="0C4D442A" w14:textId="77777777" w:rsidR="00C11280" w:rsidRPr="00A804BB" w:rsidRDefault="00C11280" w:rsidP="00A804BB">
      <w:pPr>
        <w:pStyle w:val="Sinespaciado"/>
        <w:spacing w:line="276" w:lineRule="auto"/>
        <w:jc w:val="both"/>
        <w:rPr>
          <w:rFonts w:ascii="Georgia" w:hAnsi="Georgia" w:cs="Arial"/>
          <w:sz w:val="24"/>
          <w:szCs w:val="24"/>
        </w:rPr>
      </w:pPr>
    </w:p>
    <w:p w14:paraId="250DA355" w14:textId="0DF4EE7C" w:rsidR="00912B1B" w:rsidRPr="00A804BB" w:rsidRDefault="00912B1B" w:rsidP="00A804BB">
      <w:pPr>
        <w:pStyle w:val="Sinespaciado"/>
        <w:spacing w:line="276" w:lineRule="auto"/>
        <w:jc w:val="both"/>
        <w:rPr>
          <w:rFonts w:ascii="Georgia" w:hAnsi="Georgia" w:cs="Arial"/>
          <w:sz w:val="24"/>
          <w:szCs w:val="24"/>
        </w:rPr>
      </w:pPr>
      <w:r w:rsidRPr="00A804BB">
        <w:rPr>
          <w:rFonts w:ascii="Georgia" w:hAnsi="Georgia" w:cs="Arial"/>
          <w:sz w:val="24"/>
          <w:szCs w:val="24"/>
        </w:rPr>
        <w:t>Por expresa disposición normativa “</w:t>
      </w:r>
      <w:r w:rsidRPr="00367C1E">
        <w:rPr>
          <w:rFonts w:ascii="Georgia" w:hAnsi="Georgia" w:cs="Arial"/>
          <w:i/>
          <w:iCs/>
          <w:szCs w:val="24"/>
        </w:rPr>
        <w:t>Los autos que resuelvan apelaciones, dictados por la Sala o por el magistrado sustanciador, no admiten recurso</w:t>
      </w:r>
      <w:r w:rsidRPr="00A804BB">
        <w:rPr>
          <w:rFonts w:ascii="Georgia" w:hAnsi="Georgia" w:cs="Arial"/>
          <w:i/>
          <w:iCs/>
          <w:sz w:val="24"/>
          <w:szCs w:val="24"/>
        </w:rPr>
        <w:t>.</w:t>
      </w:r>
      <w:r w:rsidRPr="00A804BB">
        <w:rPr>
          <w:rFonts w:ascii="Georgia" w:hAnsi="Georgia" w:cs="Arial"/>
          <w:sz w:val="24"/>
          <w:szCs w:val="24"/>
        </w:rPr>
        <w:t>”</w:t>
      </w:r>
      <w:r w:rsidR="00C11280" w:rsidRPr="00A804BB">
        <w:rPr>
          <w:rFonts w:ascii="Georgia" w:hAnsi="Georgia" w:cs="Arial"/>
          <w:sz w:val="24"/>
          <w:szCs w:val="24"/>
        </w:rPr>
        <w:t xml:space="preserve"> (Artículo 35, inciso 2º, </w:t>
      </w:r>
      <w:r w:rsidR="00BE0457" w:rsidRPr="00A804BB">
        <w:rPr>
          <w:rFonts w:ascii="Georgia" w:hAnsi="Georgia" w:cs="Arial"/>
          <w:sz w:val="24"/>
          <w:szCs w:val="24"/>
        </w:rPr>
        <w:t>ibidem</w:t>
      </w:r>
      <w:r w:rsidR="00C11280" w:rsidRPr="00A804BB">
        <w:rPr>
          <w:rFonts w:ascii="Georgia" w:hAnsi="Georgia" w:cs="Arial"/>
          <w:sz w:val="24"/>
          <w:szCs w:val="24"/>
        </w:rPr>
        <w:t>)</w:t>
      </w:r>
      <w:r w:rsidR="00BE0457" w:rsidRPr="00A804BB">
        <w:rPr>
          <w:rFonts w:ascii="Georgia" w:hAnsi="Georgia" w:cs="Arial"/>
          <w:sz w:val="24"/>
          <w:szCs w:val="24"/>
        </w:rPr>
        <w:t>,</w:t>
      </w:r>
      <w:r w:rsidR="00C11280" w:rsidRPr="00A804BB">
        <w:rPr>
          <w:rFonts w:ascii="Georgia" w:hAnsi="Georgia" w:cs="Arial"/>
          <w:sz w:val="24"/>
          <w:szCs w:val="24"/>
        </w:rPr>
        <w:t xml:space="preserve"> así lo ratifica</w:t>
      </w:r>
      <w:r w:rsidR="00374FC1" w:rsidRPr="00A804BB">
        <w:rPr>
          <w:rFonts w:ascii="Georgia" w:hAnsi="Georgia" w:cs="Arial"/>
          <w:sz w:val="24"/>
          <w:szCs w:val="24"/>
        </w:rPr>
        <w:t xml:space="preserve"> el artículo 331, ibidem,</w:t>
      </w:r>
      <w:r w:rsidR="00C11280" w:rsidRPr="00A804BB">
        <w:rPr>
          <w:rFonts w:ascii="Georgia" w:hAnsi="Georgia" w:cs="Arial"/>
          <w:sz w:val="24"/>
          <w:szCs w:val="24"/>
        </w:rPr>
        <w:t xml:space="preserve"> </w:t>
      </w:r>
      <w:r w:rsidR="00374FC1" w:rsidRPr="00A804BB">
        <w:rPr>
          <w:rFonts w:ascii="Georgia" w:hAnsi="Georgia" w:cs="Arial"/>
          <w:sz w:val="24"/>
          <w:szCs w:val="24"/>
        </w:rPr>
        <w:t xml:space="preserve">la norma posterior </w:t>
      </w:r>
      <w:r w:rsidR="00C11280" w:rsidRPr="00A804BB">
        <w:rPr>
          <w:rFonts w:ascii="Georgia" w:hAnsi="Georgia" w:cs="Arial"/>
          <w:sz w:val="24"/>
          <w:szCs w:val="24"/>
        </w:rPr>
        <w:t>y específica sobre el remedio procesal en comento</w:t>
      </w:r>
      <w:r w:rsidR="00BE0457" w:rsidRPr="00A804BB">
        <w:rPr>
          <w:rFonts w:ascii="Georgia" w:hAnsi="Georgia" w:cs="Arial"/>
          <w:sz w:val="24"/>
          <w:szCs w:val="24"/>
        </w:rPr>
        <w:t>;</w:t>
      </w:r>
      <w:r w:rsidRPr="00A804BB">
        <w:rPr>
          <w:rFonts w:ascii="Georgia" w:hAnsi="Georgia" w:cs="Arial"/>
          <w:sz w:val="24"/>
          <w:szCs w:val="24"/>
        </w:rPr>
        <w:t xml:space="preserve"> </w:t>
      </w:r>
      <w:r w:rsidR="00BE0457" w:rsidRPr="00A804BB">
        <w:rPr>
          <w:rFonts w:ascii="Georgia" w:hAnsi="Georgia" w:cs="Arial"/>
          <w:sz w:val="24"/>
          <w:szCs w:val="24"/>
        </w:rPr>
        <w:t xml:space="preserve">y </w:t>
      </w:r>
      <w:r w:rsidRPr="00A804BB">
        <w:rPr>
          <w:rFonts w:ascii="Georgia" w:hAnsi="Georgia" w:cs="Arial"/>
          <w:sz w:val="24"/>
          <w:szCs w:val="24"/>
        </w:rPr>
        <w:t>reconoce la doctrina patria</w:t>
      </w:r>
      <w:r w:rsidRPr="00A804BB">
        <w:rPr>
          <w:rStyle w:val="Refdenotaalpie"/>
          <w:rFonts w:ascii="Georgia" w:hAnsi="Georgia" w:cs="Arial"/>
          <w:sz w:val="24"/>
          <w:szCs w:val="24"/>
        </w:rPr>
        <w:footnoteReference w:id="15"/>
      </w:r>
      <w:r w:rsidRPr="00A804BB">
        <w:rPr>
          <w:rFonts w:ascii="Georgia" w:hAnsi="Georgia" w:cs="Arial"/>
          <w:sz w:val="24"/>
          <w:szCs w:val="24"/>
          <w:vertAlign w:val="superscript"/>
        </w:rPr>
        <w:t>-</w:t>
      </w:r>
      <w:r w:rsidRPr="00A804BB">
        <w:rPr>
          <w:rStyle w:val="Refdenotaalpie"/>
          <w:rFonts w:ascii="Georgia" w:hAnsi="Georgia" w:cs="Arial"/>
          <w:sz w:val="24"/>
          <w:szCs w:val="24"/>
        </w:rPr>
        <w:footnoteReference w:id="16"/>
      </w:r>
      <w:r w:rsidRPr="00A804BB">
        <w:rPr>
          <w:rFonts w:ascii="Georgia" w:hAnsi="Georgia" w:cs="Arial"/>
          <w:sz w:val="24"/>
          <w:szCs w:val="24"/>
        </w:rPr>
        <w:t>.</w:t>
      </w:r>
    </w:p>
    <w:p w14:paraId="3D71169A" w14:textId="77777777" w:rsidR="00DF4F66" w:rsidRPr="00A804BB" w:rsidRDefault="00DF4F66" w:rsidP="00A804BB">
      <w:pPr>
        <w:pStyle w:val="Sinespaciado"/>
        <w:spacing w:line="276" w:lineRule="auto"/>
        <w:jc w:val="both"/>
        <w:rPr>
          <w:rFonts w:ascii="Georgia" w:hAnsi="Georgia" w:cs="Arial"/>
          <w:sz w:val="24"/>
          <w:szCs w:val="24"/>
        </w:rPr>
      </w:pPr>
    </w:p>
    <w:p w14:paraId="71F9A833" w14:textId="77777777" w:rsidR="00B82F1C" w:rsidRPr="00A804BB" w:rsidRDefault="00B82F1C" w:rsidP="00A804BB">
      <w:pPr>
        <w:pStyle w:val="Sinespaciado"/>
        <w:numPr>
          <w:ilvl w:val="0"/>
          <w:numId w:val="3"/>
        </w:numPr>
        <w:spacing w:line="276" w:lineRule="auto"/>
        <w:jc w:val="both"/>
        <w:rPr>
          <w:rFonts w:ascii="Georgia" w:hAnsi="Georgia" w:cs="Arial"/>
          <w:sz w:val="24"/>
          <w:szCs w:val="24"/>
        </w:rPr>
      </w:pPr>
      <w:r w:rsidRPr="00A804BB">
        <w:rPr>
          <w:rFonts w:ascii="Georgia" w:hAnsi="Georgia" w:cs="Arial"/>
          <w:smallCaps/>
          <w:sz w:val="24"/>
          <w:szCs w:val="24"/>
        </w:rPr>
        <w:t>EL CASO CONCRETO QUE SE ANALIZA</w:t>
      </w:r>
    </w:p>
    <w:p w14:paraId="11B69E0C" w14:textId="77777777" w:rsidR="00B82F1C" w:rsidRPr="00A804BB" w:rsidRDefault="00B82F1C" w:rsidP="00A804BB">
      <w:pPr>
        <w:pStyle w:val="Sinespaciado"/>
        <w:spacing w:line="276" w:lineRule="auto"/>
        <w:jc w:val="both"/>
        <w:rPr>
          <w:rFonts w:ascii="Georgia" w:hAnsi="Georgia" w:cs="Arial"/>
          <w:sz w:val="24"/>
          <w:szCs w:val="24"/>
        </w:rPr>
      </w:pPr>
    </w:p>
    <w:p w14:paraId="5E8953A6" w14:textId="62F2B4E0" w:rsidR="002A6143" w:rsidRPr="00A804BB" w:rsidRDefault="468D5EED" w:rsidP="00A804BB">
      <w:pPr>
        <w:pStyle w:val="Sinespaciado"/>
        <w:spacing w:line="276" w:lineRule="auto"/>
        <w:jc w:val="both"/>
        <w:rPr>
          <w:rFonts w:ascii="Georgia" w:hAnsi="Georgia" w:cs="Arial"/>
          <w:sz w:val="24"/>
          <w:szCs w:val="24"/>
        </w:rPr>
      </w:pPr>
      <w:bookmarkStart w:id="6" w:name="_Hlk98845705"/>
      <w:r w:rsidRPr="00A804BB">
        <w:rPr>
          <w:rFonts w:ascii="Georgia" w:hAnsi="Georgia" w:cs="Arial"/>
          <w:sz w:val="24"/>
          <w:szCs w:val="24"/>
        </w:rPr>
        <w:t>L</w:t>
      </w:r>
      <w:r w:rsidR="7CCBA065" w:rsidRPr="00A804BB">
        <w:rPr>
          <w:rFonts w:ascii="Georgia" w:hAnsi="Georgia" w:cs="Arial"/>
          <w:sz w:val="24"/>
          <w:szCs w:val="24"/>
        </w:rPr>
        <w:t xml:space="preserve">a providencia criticada </w:t>
      </w:r>
      <w:r w:rsidR="5A5E5C8B" w:rsidRPr="00A804BB">
        <w:rPr>
          <w:rFonts w:ascii="Georgia" w:hAnsi="Georgia" w:cs="Arial"/>
          <w:sz w:val="24"/>
          <w:szCs w:val="24"/>
        </w:rPr>
        <w:t xml:space="preserve">se ocupó de </w:t>
      </w:r>
      <w:r w:rsidR="00637A27" w:rsidRPr="00A804BB">
        <w:rPr>
          <w:rFonts w:ascii="Georgia" w:hAnsi="Georgia" w:cs="Arial"/>
          <w:sz w:val="24"/>
          <w:szCs w:val="24"/>
          <w:u w:val="single"/>
        </w:rPr>
        <w:t>conceder</w:t>
      </w:r>
      <w:r w:rsidR="00637A27" w:rsidRPr="00A804BB">
        <w:rPr>
          <w:rFonts w:ascii="Georgia" w:hAnsi="Georgia" w:cs="Arial"/>
          <w:sz w:val="24"/>
          <w:szCs w:val="24"/>
        </w:rPr>
        <w:t xml:space="preserve"> l</w:t>
      </w:r>
      <w:r w:rsidR="00374FC1" w:rsidRPr="00A804BB">
        <w:rPr>
          <w:rFonts w:ascii="Georgia" w:hAnsi="Georgia" w:cs="Arial"/>
          <w:sz w:val="24"/>
          <w:szCs w:val="24"/>
        </w:rPr>
        <w:t>a</w:t>
      </w:r>
      <w:r w:rsidR="00637A27" w:rsidRPr="00A804BB">
        <w:rPr>
          <w:rFonts w:ascii="Georgia" w:hAnsi="Georgia" w:cs="Arial"/>
          <w:sz w:val="24"/>
          <w:szCs w:val="24"/>
        </w:rPr>
        <w:t xml:space="preserve"> casación</w:t>
      </w:r>
      <w:r w:rsidR="00102AEE" w:rsidRPr="00A804BB">
        <w:rPr>
          <w:rFonts w:ascii="Georgia" w:hAnsi="Georgia" w:cs="Arial"/>
          <w:sz w:val="24"/>
          <w:szCs w:val="24"/>
        </w:rPr>
        <w:t xml:space="preserve"> y fijar una caución, con </w:t>
      </w:r>
      <w:r w:rsidR="003E746F" w:rsidRPr="00A804BB">
        <w:rPr>
          <w:rFonts w:ascii="Georgia" w:hAnsi="Georgia" w:cs="Arial"/>
          <w:sz w:val="24"/>
          <w:szCs w:val="24"/>
        </w:rPr>
        <w:t xml:space="preserve">claridad </w:t>
      </w:r>
      <w:r w:rsidR="00102AEE" w:rsidRPr="00A804BB">
        <w:rPr>
          <w:rFonts w:ascii="Georgia" w:hAnsi="Georgia" w:cs="Arial"/>
          <w:sz w:val="24"/>
          <w:szCs w:val="24"/>
        </w:rPr>
        <w:t xml:space="preserve">son decisiones que no son de naturaleza apelable en </w:t>
      </w:r>
      <w:r w:rsidR="00B37E74" w:rsidRPr="00A804BB">
        <w:rPr>
          <w:rFonts w:ascii="Georgia" w:hAnsi="Georgia" w:cs="Arial"/>
          <w:sz w:val="24"/>
          <w:szCs w:val="24"/>
        </w:rPr>
        <w:t xml:space="preserve">las </w:t>
      </w:r>
      <w:r w:rsidR="00102AEE" w:rsidRPr="00A804BB">
        <w:rPr>
          <w:rFonts w:ascii="Georgia" w:hAnsi="Georgia" w:cs="Arial"/>
          <w:sz w:val="24"/>
          <w:szCs w:val="24"/>
        </w:rPr>
        <w:t xml:space="preserve">hipótesis, taxativamente, </w:t>
      </w:r>
      <w:r w:rsidR="00374FC1" w:rsidRPr="00A804BB">
        <w:rPr>
          <w:rFonts w:ascii="Georgia" w:hAnsi="Georgia" w:cs="Arial"/>
          <w:sz w:val="24"/>
          <w:szCs w:val="24"/>
        </w:rPr>
        <w:t xml:space="preserve">contempladas </w:t>
      </w:r>
      <w:r w:rsidR="00102AEE" w:rsidRPr="00A804BB">
        <w:rPr>
          <w:rFonts w:ascii="Georgia" w:hAnsi="Georgia" w:cs="Arial"/>
          <w:sz w:val="24"/>
          <w:szCs w:val="24"/>
        </w:rPr>
        <w:t xml:space="preserve">en el </w:t>
      </w:r>
      <w:r w:rsidR="00374FC1" w:rsidRPr="00A804BB">
        <w:rPr>
          <w:rFonts w:ascii="Georgia" w:hAnsi="Georgia" w:cs="Arial"/>
          <w:sz w:val="24"/>
          <w:szCs w:val="24"/>
        </w:rPr>
        <w:t>estatuto procesal</w:t>
      </w:r>
      <w:r w:rsidR="00B37E74" w:rsidRPr="00A804BB">
        <w:rPr>
          <w:rFonts w:ascii="Georgia" w:hAnsi="Georgia" w:cs="Arial"/>
          <w:sz w:val="24"/>
          <w:szCs w:val="24"/>
        </w:rPr>
        <w:t xml:space="preserve"> (Artículo 321, </w:t>
      </w:r>
      <w:r w:rsidR="00374FC1" w:rsidRPr="00A804BB">
        <w:rPr>
          <w:rFonts w:ascii="Georgia" w:hAnsi="Georgia" w:cs="Arial"/>
          <w:sz w:val="24"/>
          <w:szCs w:val="24"/>
        </w:rPr>
        <w:t>CGP</w:t>
      </w:r>
      <w:r w:rsidR="00B37E74" w:rsidRPr="00A804BB">
        <w:rPr>
          <w:rFonts w:ascii="Georgia" w:hAnsi="Georgia" w:cs="Arial"/>
          <w:sz w:val="24"/>
          <w:szCs w:val="24"/>
        </w:rPr>
        <w:t>)</w:t>
      </w:r>
      <w:r w:rsidR="00102AEE" w:rsidRPr="00A804BB">
        <w:rPr>
          <w:rFonts w:ascii="Georgia" w:hAnsi="Georgia" w:cs="Arial"/>
          <w:sz w:val="24"/>
          <w:szCs w:val="24"/>
        </w:rPr>
        <w:t xml:space="preserve">, </w:t>
      </w:r>
      <w:bookmarkEnd w:id="6"/>
      <w:r w:rsidR="00102AEE" w:rsidRPr="00A804BB">
        <w:rPr>
          <w:rFonts w:ascii="Georgia" w:hAnsi="Georgia" w:cs="Arial"/>
          <w:sz w:val="24"/>
          <w:szCs w:val="24"/>
        </w:rPr>
        <w:t xml:space="preserve">tampoco, se trata de la </w:t>
      </w:r>
      <w:r w:rsidR="00102AEE" w:rsidRPr="00A804BB">
        <w:rPr>
          <w:rFonts w:ascii="Georgia" w:hAnsi="Georgia" w:cs="Arial"/>
          <w:sz w:val="24"/>
          <w:szCs w:val="24"/>
          <w:u w:val="single"/>
        </w:rPr>
        <w:t>admisión</w:t>
      </w:r>
      <w:r w:rsidR="00102AEE" w:rsidRPr="00A804BB">
        <w:rPr>
          <w:rFonts w:ascii="Georgia" w:hAnsi="Georgia" w:cs="Arial"/>
          <w:sz w:val="24"/>
          <w:szCs w:val="24"/>
        </w:rPr>
        <w:t xml:space="preserve"> del</w:t>
      </w:r>
      <w:r w:rsidR="00374FC1" w:rsidRPr="00A804BB">
        <w:rPr>
          <w:rFonts w:ascii="Georgia" w:hAnsi="Georgia" w:cs="Arial"/>
          <w:sz w:val="24"/>
          <w:szCs w:val="24"/>
        </w:rPr>
        <w:t xml:space="preserve"> recurso </w:t>
      </w:r>
      <w:r w:rsidR="00102AEE" w:rsidRPr="00A804BB">
        <w:rPr>
          <w:rFonts w:ascii="Georgia" w:hAnsi="Georgia" w:cs="Arial"/>
          <w:sz w:val="24"/>
          <w:szCs w:val="24"/>
        </w:rPr>
        <w:t>extraordinari</w:t>
      </w:r>
      <w:r w:rsidR="00EB7B64" w:rsidRPr="00A804BB">
        <w:rPr>
          <w:rFonts w:ascii="Georgia" w:hAnsi="Georgia" w:cs="Arial"/>
          <w:sz w:val="24"/>
          <w:szCs w:val="24"/>
        </w:rPr>
        <w:t>o</w:t>
      </w:r>
      <w:r w:rsidR="002A6143" w:rsidRPr="00A804BB">
        <w:rPr>
          <w:rFonts w:ascii="Georgia" w:hAnsi="Georgia" w:cs="Arial"/>
          <w:sz w:val="24"/>
          <w:szCs w:val="24"/>
        </w:rPr>
        <w:t xml:space="preserve">; por ende, es </w:t>
      </w:r>
      <w:r w:rsidR="002A6143" w:rsidRPr="00A804BB">
        <w:rPr>
          <w:rFonts w:ascii="Georgia" w:hAnsi="Georgia" w:cs="Arial"/>
          <w:b/>
          <w:bCs/>
          <w:sz w:val="24"/>
          <w:szCs w:val="24"/>
        </w:rPr>
        <w:t>improcedente</w:t>
      </w:r>
      <w:r w:rsidR="002A6143" w:rsidRPr="00A804BB">
        <w:rPr>
          <w:rFonts w:ascii="Georgia" w:hAnsi="Georgia" w:cs="Arial"/>
          <w:sz w:val="24"/>
          <w:szCs w:val="24"/>
        </w:rPr>
        <w:t xml:space="preserve"> la súplica así postulada.</w:t>
      </w:r>
    </w:p>
    <w:p w14:paraId="2FB02125" w14:textId="2A49FC41" w:rsidR="7D9A349C" w:rsidRPr="00A804BB" w:rsidRDefault="7D9A349C" w:rsidP="00A804BB">
      <w:pPr>
        <w:pStyle w:val="Sinespaciado"/>
        <w:spacing w:line="276" w:lineRule="auto"/>
        <w:jc w:val="both"/>
        <w:rPr>
          <w:rFonts w:ascii="Georgia" w:hAnsi="Georgia" w:cs="Arial"/>
          <w:sz w:val="24"/>
          <w:szCs w:val="24"/>
        </w:rPr>
      </w:pPr>
    </w:p>
    <w:p w14:paraId="11C46DEF" w14:textId="56A778F8" w:rsidR="00DD7EE3" w:rsidRPr="00A804BB" w:rsidRDefault="00DD7EE3" w:rsidP="00A804BB">
      <w:pPr>
        <w:suppressAutoHyphens/>
        <w:spacing w:line="276" w:lineRule="auto"/>
        <w:jc w:val="both"/>
        <w:rPr>
          <w:rFonts w:ascii="Georgia" w:hAnsi="Georgia" w:cs="Arial"/>
          <w:sz w:val="24"/>
          <w:szCs w:val="24"/>
        </w:rPr>
      </w:pPr>
      <w:r w:rsidRPr="00A804BB">
        <w:rPr>
          <w:rFonts w:ascii="Georgia" w:hAnsi="Georgia" w:cs="Arial"/>
          <w:sz w:val="24"/>
          <w:szCs w:val="24"/>
        </w:rPr>
        <w:t xml:space="preserve">Así las cosas, y como de conformidad con el parágrafo del artículo 318, </w:t>
      </w:r>
      <w:r w:rsidR="00374FC1" w:rsidRPr="00A804BB">
        <w:rPr>
          <w:rFonts w:ascii="Georgia" w:hAnsi="Georgia" w:cs="Arial"/>
          <w:sz w:val="24"/>
          <w:szCs w:val="24"/>
        </w:rPr>
        <w:t>CGP</w:t>
      </w:r>
      <w:r w:rsidRPr="00A804BB">
        <w:rPr>
          <w:rFonts w:ascii="Georgia" w:hAnsi="Georgia" w:cs="Arial"/>
          <w:sz w:val="24"/>
          <w:szCs w:val="24"/>
        </w:rPr>
        <w:t>, cuando el recurrente impugne una providencia con un recurso inviable, deberá ajustarse al procedente</w:t>
      </w:r>
      <w:r w:rsidR="317C0E85" w:rsidRPr="00A804BB">
        <w:rPr>
          <w:rFonts w:ascii="Georgia" w:hAnsi="Georgia" w:cs="Arial"/>
          <w:sz w:val="24"/>
          <w:szCs w:val="24"/>
        </w:rPr>
        <w:t xml:space="preserve"> (Así lo mencionó expresamente el memorialista al pedir)</w:t>
      </w:r>
      <w:r w:rsidRPr="00A804BB">
        <w:rPr>
          <w:rFonts w:ascii="Georgia" w:hAnsi="Georgia" w:cs="Arial"/>
          <w:sz w:val="24"/>
          <w:szCs w:val="24"/>
        </w:rPr>
        <w:t>,</w:t>
      </w:r>
      <w:r w:rsidR="0025269F" w:rsidRPr="00A804BB">
        <w:rPr>
          <w:rFonts w:ascii="Georgia" w:hAnsi="Georgia" w:cs="Arial"/>
          <w:sz w:val="24"/>
          <w:szCs w:val="24"/>
        </w:rPr>
        <w:t xml:space="preserve"> </w:t>
      </w:r>
      <w:r w:rsidR="001D4EA0" w:rsidRPr="00A804BB">
        <w:rPr>
          <w:rFonts w:ascii="Georgia" w:hAnsi="Georgia" w:cs="Arial"/>
          <w:sz w:val="24"/>
          <w:szCs w:val="24"/>
        </w:rPr>
        <w:t xml:space="preserve">acorde con lo consagrado en el primer inciso de esa misma norma, la impugnación </w:t>
      </w:r>
      <w:r w:rsidR="5555CA91" w:rsidRPr="00A804BB">
        <w:rPr>
          <w:rFonts w:ascii="Georgia" w:hAnsi="Georgia" w:cs="Arial"/>
          <w:sz w:val="24"/>
          <w:szCs w:val="24"/>
        </w:rPr>
        <w:t xml:space="preserve">corresponde a </w:t>
      </w:r>
      <w:r w:rsidR="001D4EA0" w:rsidRPr="00A804BB">
        <w:rPr>
          <w:rFonts w:ascii="Georgia" w:hAnsi="Georgia" w:cs="Arial"/>
          <w:sz w:val="24"/>
          <w:szCs w:val="24"/>
        </w:rPr>
        <w:t xml:space="preserve">una </w:t>
      </w:r>
      <w:r w:rsidR="001D4EA0" w:rsidRPr="00A804BB">
        <w:rPr>
          <w:rFonts w:ascii="Georgia" w:hAnsi="Georgia" w:cs="Arial"/>
          <w:b/>
          <w:bCs/>
          <w:sz w:val="24"/>
          <w:szCs w:val="24"/>
        </w:rPr>
        <w:t xml:space="preserve">reposición, </w:t>
      </w:r>
      <w:r w:rsidR="4A1C7EC5" w:rsidRPr="00A804BB">
        <w:rPr>
          <w:rFonts w:ascii="Georgia" w:hAnsi="Georgia" w:cs="Arial"/>
          <w:sz w:val="24"/>
          <w:szCs w:val="24"/>
        </w:rPr>
        <w:t>así debe tramitarse</w:t>
      </w:r>
      <w:r w:rsidR="4A1C7EC5" w:rsidRPr="00A804BB">
        <w:rPr>
          <w:rFonts w:ascii="Georgia" w:hAnsi="Georgia" w:cs="Arial"/>
          <w:b/>
          <w:bCs/>
          <w:sz w:val="24"/>
          <w:szCs w:val="24"/>
        </w:rPr>
        <w:t xml:space="preserve"> </w:t>
      </w:r>
      <w:r w:rsidR="0025269F" w:rsidRPr="00A804BB">
        <w:rPr>
          <w:rFonts w:ascii="Georgia" w:hAnsi="Georgia" w:cs="Arial"/>
          <w:sz w:val="24"/>
          <w:szCs w:val="24"/>
        </w:rPr>
        <w:t xml:space="preserve">por </w:t>
      </w:r>
      <w:r w:rsidR="001D4EA0" w:rsidRPr="00A804BB">
        <w:rPr>
          <w:rFonts w:ascii="Georgia" w:hAnsi="Georgia" w:cs="Arial"/>
          <w:sz w:val="24"/>
          <w:szCs w:val="24"/>
        </w:rPr>
        <w:t xml:space="preserve">conducto de la </w:t>
      </w:r>
      <w:r w:rsidR="0025269F" w:rsidRPr="00A804BB">
        <w:rPr>
          <w:rFonts w:ascii="Georgia" w:hAnsi="Georgia" w:cs="Arial"/>
          <w:sz w:val="24"/>
          <w:szCs w:val="24"/>
        </w:rPr>
        <w:t>Secretaría (Artículo 319, CGP)</w:t>
      </w:r>
      <w:r w:rsidR="001D4EA0" w:rsidRPr="00A804BB">
        <w:rPr>
          <w:rFonts w:ascii="Georgia" w:hAnsi="Georgia" w:cs="Arial"/>
          <w:sz w:val="24"/>
          <w:szCs w:val="24"/>
        </w:rPr>
        <w:t>.</w:t>
      </w:r>
    </w:p>
    <w:p w14:paraId="1BEAAEE4" w14:textId="77777777" w:rsidR="003E746F" w:rsidRPr="00A804BB" w:rsidRDefault="003E746F" w:rsidP="00A804BB">
      <w:pPr>
        <w:pStyle w:val="Sinespaciado"/>
        <w:spacing w:line="276" w:lineRule="auto"/>
        <w:jc w:val="both"/>
        <w:rPr>
          <w:rFonts w:ascii="Georgia" w:hAnsi="Georgia" w:cs="Arial"/>
          <w:sz w:val="24"/>
          <w:szCs w:val="24"/>
        </w:rPr>
      </w:pPr>
    </w:p>
    <w:p w14:paraId="10B8F27E" w14:textId="20B04BF5" w:rsidR="000E35DB" w:rsidRPr="00A804BB" w:rsidRDefault="00065659" w:rsidP="00A804BB">
      <w:pPr>
        <w:pStyle w:val="Textopredeterminado"/>
        <w:numPr>
          <w:ilvl w:val="0"/>
          <w:numId w:val="3"/>
        </w:numPr>
        <w:spacing w:line="276" w:lineRule="auto"/>
        <w:jc w:val="both"/>
        <w:rPr>
          <w:rFonts w:ascii="Georgia" w:hAnsi="Georgia" w:cs="Arial"/>
          <w:smallCaps/>
          <w:color w:val="auto"/>
        </w:rPr>
      </w:pPr>
      <w:r w:rsidRPr="00A804BB">
        <w:rPr>
          <w:rFonts w:ascii="Georgia" w:hAnsi="Georgia" w:cs="Arial"/>
          <w:smallCaps/>
          <w:color w:val="auto"/>
        </w:rPr>
        <w:t>Las decisiones finales</w:t>
      </w:r>
    </w:p>
    <w:p w14:paraId="10B8F27F" w14:textId="77777777" w:rsidR="000E35DB" w:rsidRPr="00A804BB" w:rsidRDefault="000E35DB" w:rsidP="00A804BB">
      <w:pPr>
        <w:pStyle w:val="Textopredeterminado"/>
        <w:spacing w:line="276" w:lineRule="auto"/>
        <w:ind w:left="360"/>
        <w:jc w:val="both"/>
        <w:rPr>
          <w:rFonts w:ascii="Georgia" w:hAnsi="Georgia" w:cs="Arial"/>
          <w:color w:val="auto"/>
        </w:rPr>
      </w:pPr>
    </w:p>
    <w:p w14:paraId="2FC9F40B" w14:textId="491FBFB4" w:rsidR="00AD15E2" w:rsidRPr="00A804BB" w:rsidRDefault="00AD15E2" w:rsidP="00A804BB">
      <w:pPr>
        <w:spacing w:line="276" w:lineRule="auto"/>
        <w:jc w:val="both"/>
        <w:rPr>
          <w:rFonts w:ascii="Georgia" w:hAnsi="Georgia" w:cs="Arial"/>
          <w:sz w:val="24"/>
          <w:szCs w:val="24"/>
          <w:lang w:val="es-CO"/>
        </w:rPr>
      </w:pPr>
      <w:r w:rsidRPr="00A804BB">
        <w:rPr>
          <w:rFonts w:ascii="Georgia" w:hAnsi="Georgia" w:cs="Arial"/>
          <w:sz w:val="24"/>
          <w:szCs w:val="24"/>
          <w:lang w:val="es-CO"/>
        </w:rPr>
        <w:lastRenderedPageBreak/>
        <w:t xml:space="preserve">Acorde con lo disertado se </w:t>
      </w:r>
      <w:r w:rsidR="00065659" w:rsidRPr="00A804BB">
        <w:rPr>
          <w:rFonts w:ascii="Georgia" w:hAnsi="Georgia" w:cs="Arial"/>
          <w:b/>
          <w:bCs/>
          <w:sz w:val="24"/>
          <w:szCs w:val="24"/>
          <w:lang w:val="es-CO"/>
        </w:rPr>
        <w:t>(i)</w:t>
      </w:r>
      <w:r w:rsidR="00065659" w:rsidRPr="00A804BB">
        <w:rPr>
          <w:rFonts w:ascii="Georgia" w:hAnsi="Georgia" w:cs="Arial"/>
          <w:sz w:val="24"/>
          <w:szCs w:val="24"/>
          <w:lang w:val="es-CO"/>
        </w:rPr>
        <w:t xml:space="preserve"> D</w:t>
      </w:r>
      <w:r w:rsidRPr="00A804BB">
        <w:rPr>
          <w:rFonts w:ascii="Georgia" w:hAnsi="Georgia" w:cs="Arial"/>
          <w:sz w:val="24"/>
          <w:szCs w:val="24"/>
          <w:lang w:val="es-CO"/>
        </w:rPr>
        <w:t>eclarará inadmisible el recurso intentado</w:t>
      </w:r>
      <w:r w:rsidR="00065659" w:rsidRPr="00A804BB">
        <w:rPr>
          <w:rFonts w:ascii="Georgia" w:hAnsi="Georgia" w:cs="Arial"/>
          <w:sz w:val="24"/>
          <w:szCs w:val="24"/>
          <w:lang w:val="es-CO"/>
        </w:rPr>
        <w:t xml:space="preserve">; </w:t>
      </w:r>
      <w:r w:rsidR="00065659" w:rsidRPr="00A804BB">
        <w:rPr>
          <w:rFonts w:ascii="Georgia" w:hAnsi="Georgia" w:cs="Arial"/>
          <w:b/>
          <w:bCs/>
          <w:sz w:val="24"/>
          <w:szCs w:val="24"/>
          <w:lang w:val="es-CO"/>
        </w:rPr>
        <w:t>(ii)</w:t>
      </w:r>
      <w:r w:rsidR="00065659" w:rsidRPr="00A804BB">
        <w:rPr>
          <w:rFonts w:ascii="Georgia" w:hAnsi="Georgia" w:cs="Arial"/>
          <w:sz w:val="24"/>
          <w:szCs w:val="24"/>
          <w:lang w:val="es-CO"/>
        </w:rPr>
        <w:t xml:space="preserve"> </w:t>
      </w:r>
      <w:r w:rsidR="001D4EA0" w:rsidRPr="00A804BB">
        <w:rPr>
          <w:rFonts w:ascii="Georgia" w:hAnsi="Georgia" w:cs="Arial"/>
          <w:sz w:val="24"/>
          <w:szCs w:val="24"/>
          <w:lang w:val="es-CO"/>
        </w:rPr>
        <w:t xml:space="preserve">Tramitará la reposición </w:t>
      </w:r>
      <w:r w:rsidR="001D4EA0" w:rsidRPr="00A804BB">
        <w:rPr>
          <w:rFonts w:ascii="Georgia" w:hAnsi="Georgia" w:cs="Arial"/>
          <w:sz w:val="24"/>
          <w:szCs w:val="24"/>
        </w:rPr>
        <w:t>(Artículo 319, CGP),</w:t>
      </w:r>
      <w:r w:rsidR="00065659" w:rsidRPr="00A804BB">
        <w:rPr>
          <w:rFonts w:ascii="Georgia" w:hAnsi="Georgia" w:cs="Arial"/>
          <w:sz w:val="24"/>
          <w:szCs w:val="24"/>
          <w:lang w:val="es-CO"/>
        </w:rPr>
        <w:t xml:space="preserve"> a través de la Secretaría de la Corporación; y, </w:t>
      </w:r>
      <w:r w:rsidR="00065659" w:rsidRPr="00A804BB">
        <w:rPr>
          <w:rFonts w:ascii="Georgia" w:hAnsi="Georgia" w:cs="Arial"/>
          <w:b/>
          <w:bCs/>
          <w:sz w:val="24"/>
          <w:szCs w:val="24"/>
          <w:lang w:val="es-CO"/>
        </w:rPr>
        <w:t>(iii)</w:t>
      </w:r>
      <w:r w:rsidR="00065659" w:rsidRPr="00A804BB">
        <w:rPr>
          <w:rFonts w:ascii="Georgia" w:hAnsi="Georgia" w:cs="Arial"/>
          <w:sz w:val="24"/>
          <w:szCs w:val="24"/>
          <w:lang w:val="es-CO"/>
        </w:rPr>
        <w:t xml:space="preserve"> Advertirá que esta providencia </w:t>
      </w:r>
      <w:r w:rsidR="009E6B4F" w:rsidRPr="00A804BB">
        <w:rPr>
          <w:rFonts w:ascii="Georgia" w:hAnsi="Georgia" w:cs="Arial"/>
          <w:sz w:val="24"/>
          <w:szCs w:val="24"/>
          <w:lang w:val="es-CO"/>
        </w:rPr>
        <w:t xml:space="preserve">es irrecurrible </w:t>
      </w:r>
      <w:r w:rsidR="00065659" w:rsidRPr="00A804BB">
        <w:rPr>
          <w:rFonts w:ascii="Georgia" w:hAnsi="Georgia" w:cs="Arial"/>
          <w:sz w:val="24"/>
          <w:szCs w:val="24"/>
          <w:lang w:val="es-CO"/>
        </w:rPr>
        <w:t>(Art.</w:t>
      </w:r>
      <w:r w:rsidR="009E6B4F" w:rsidRPr="00A804BB">
        <w:rPr>
          <w:rFonts w:ascii="Georgia" w:hAnsi="Georgia" w:cs="Arial"/>
          <w:sz w:val="24"/>
          <w:szCs w:val="24"/>
          <w:lang w:val="es-CO"/>
        </w:rPr>
        <w:t xml:space="preserve">332, </w:t>
      </w:r>
      <w:r w:rsidR="009E6B4F" w:rsidRPr="00A804BB">
        <w:rPr>
          <w:rFonts w:ascii="Georgia" w:hAnsi="Georgia" w:cs="Arial"/>
          <w:i/>
          <w:iCs/>
          <w:sz w:val="24"/>
          <w:szCs w:val="24"/>
          <w:lang w:val="es-CO"/>
        </w:rPr>
        <w:t>in fine</w:t>
      </w:r>
      <w:r w:rsidR="009E6B4F" w:rsidRPr="00A804BB">
        <w:rPr>
          <w:rFonts w:ascii="Georgia" w:hAnsi="Georgia" w:cs="Arial"/>
          <w:sz w:val="24"/>
          <w:szCs w:val="24"/>
          <w:lang w:val="es-CO"/>
        </w:rPr>
        <w:t>, CGP).</w:t>
      </w:r>
    </w:p>
    <w:p w14:paraId="628E0291" w14:textId="77777777" w:rsidR="001575EA" w:rsidRDefault="001575EA" w:rsidP="00A804BB">
      <w:pPr>
        <w:autoSpaceDE w:val="0"/>
        <w:autoSpaceDN w:val="0"/>
        <w:adjustRightInd w:val="0"/>
        <w:spacing w:line="276" w:lineRule="auto"/>
        <w:jc w:val="both"/>
        <w:rPr>
          <w:rFonts w:ascii="Georgia" w:hAnsi="Georgia" w:cs="Arial"/>
          <w:sz w:val="24"/>
          <w:szCs w:val="24"/>
        </w:rPr>
      </w:pPr>
    </w:p>
    <w:p w14:paraId="10B8F282" w14:textId="3A68D3B1" w:rsidR="000E35DB" w:rsidRPr="00A804BB" w:rsidRDefault="000E35DB" w:rsidP="00A804BB">
      <w:pPr>
        <w:autoSpaceDE w:val="0"/>
        <w:autoSpaceDN w:val="0"/>
        <w:adjustRightInd w:val="0"/>
        <w:spacing w:line="276" w:lineRule="auto"/>
        <w:jc w:val="both"/>
        <w:rPr>
          <w:rFonts w:ascii="Georgia" w:hAnsi="Georgia" w:cs="Arial"/>
          <w:sz w:val="24"/>
          <w:szCs w:val="24"/>
        </w:rPr>
      </w:pPr>
      <w:r w:rsidRPr="00A804BB">
        <w:rPr>
          <w:rFonts w:ascii="Georgia" w:hAnsi="Georgia" w:cs="Arial"/>
          <w:sz w:val="24"/>
          <w:szCs w:val="24"/>
        </w:rPr>
        <w:t xml:space="preserve">Considerando suficientes los argumentos expuestos en esta providencia, el </w:t>
      </w:r>
      <w:r w:rsidRPr="00A804BB">
        <w:rPr>
          <w:rFonts w:ascii="Georgia" w:hAnsi="Georgia" w:cs="Arial"/>
          <w:smallCaps/>
          <w:sz w:val="24"/>
          <w:szCs w:val="24"/>
        </w:rPr>
        <w:t>Tribunal Superior del Distrito Judicial de Pereira, en Sala Unitaria</w:t>
      </w:r>
      <w:r w:rsidRPr="00A804BB">
        <w:rPr>
          <w:rFonts w:ascii="Georgia" w:hAnsi="Georgia" w:cs="Arial"/>
          <w:sz w:val="24"/>
          <w:szCs w:val="24"/>
        </w:rPr>
        <w:t>,</w:t>
      </w:r>
    </w:p>
    <w:p w14:paraId="10B8F283" w14:textId="77777777" w:rsidR="00F819BA" w:rsidRPr="00A804BB" w:rsidRDefault="00F819BA" w:rsidP="00A804BB">
      <w:pPr>
        <w:autoSpaceDE w:val="0"/>
        <w:autoSpaceDN w:val="0"/>
        <w:adjustRightInd w:val="0"/>
        <w:spacing w:line="276" w:lineRule="auto"/>
        <w:jc w:val="both"/>
        <w:rPr>
          <w:rFonts w:ascii="Georgia" w:hAnsi="Georgia" w:cs="Arial"/>
          <w:sz w:val="24"/>
          <w:szCs w:val="24"/>
          <w:lang w:val="es-ES_tradnl"/>
        </w:rPr>
      </w:pPr>
    </w:p>
    <w:p w14:paraId="10B8F284" w14:textId="6B069E18" w:rsidR="000E35DB" w:rsidRPr="00A804BB" w:rsidRDefault="000E35DB" w:rsidP="00A804BB">
      <w:pPr>
        <w:pStyle w:val="Sinespaciado"/>
        <w:spacing w:line="276" w:lineRule="auto"/>
        <w:jc w:val="center"/>
        <w:rPr>
          <w:rFonts w:ascii="Georgia" w:hAnsi="Georgia" w:cs="Arial"/>
          <w:sz w:val="24"/>
          <w:szCs w:val="24"/>
        </w:rPr>
      </w:pPr>
      <w:r w:rsidRPr="00A804BB">
        <w:rPr>
          <w:rFonts w:ascii="Georgia" w:hAnsi="Georgia" w:cs="Arial"/>
          <w:sz w:val="24"/>
          <w:szCs w:val="24"/>
        </w:rPr>
        <w:t>R E S U E L V E,</w:t>
      </w:r>
    </w:p>
    <w:p w14:paraId="10B8F285" w14:textId="77777777" w:rsidR="000E35DB" w:rsidRPr="00A804BB" w:rsidRDefault="000E35DB" w:rsidP="00A804BB">
      <w:pPr>
        <w:pStyle w:val="Sinespaciado"/>
        <w:spacing w:line="276" w:lineRule="auto"/>
        <w:jc w:val="center"/>
        <w:rPr>
          <w:rFonts w:ascii="Georgia" w:hAnsi="Georgia" w:cs="Arial"/>
          <w:sz w:val="24"/>
          <w:szCs w:val="24"/>
        </w:rPr>
      </w:pPr>
    </w:p>
    <w:p w14:paraId="10B8F286" w14:textId="50438D92" w:rsidR="000E35DB" w:rsidRPr="00A804BB" w:rsidRDefault="000E35DB" w:rsidP="00A804BB">
      <w:pPr>
        <w:pStyle w:val="Textopredeterminado"/>
        <w:numPr>
          <w:ilvl w:val="0"/>
          <w:numId w:val="2"/>
        </w:numPr>
        <w:spacing w:line="276" w:lineRule="auto"/>
        <w:jc w:val="both"/>
        <w:rPr>
          <w:rFonts w:ascii="Georgia" w:hAnsi="Georgia" w:cs="Arial"/>
          <w:color w:val="auto"/>
        </w:rPr>
      </w:pPr>
      <w:r w:rsidRPr="00A804BB">
        <w:rPr>
          <w:rFonts w:ascii="Georgia" w:hAnsi="Georgia" w:cs="Arial"/>
          <w:color w:val="auto"/>
        </w:rPr>
        <w:t xml:space="preserve">DECLARAR </w:t>
      </w:r>
      <w:r w:rsidR="00AD15E2" w:rsidRPr="00A804BB">
        <w:rPr>
          <w:rFonts w:ascii="Georgia" w:hAnsi="Georgia" w:cs="Arial"/>
          <w:color w:val="auto"/>
        </w:rPr>
        <w:t>inadmisible</w:t>
      </w:r>
      <w:r w:rsidRPr="00A804BB">
        <w:rPr>
          <w:rFonts w:ascii="Georgia" w:hAnsi="Georgia" w:cs="Arial"/>
          <w:color w:val="auto"/>
        </w:rPr>
        <w:t xml:space="preserve"> el recurso de </w:t>
      </w:r>
      <w:r w:rsidR="006925C3" w:rsidRPr="00A804BB">
        <w:rPr>
          <w:rFonts w:ascii="Georgia" w:hAnsi="Georgia" w:cs="Arial"/>
          <w:color w:val="auto"/>
        </w:rPr>
        <w:t>súplica</w:t>
      </w:r>
      <w:r w:rsidR="00C820A5" w:rsidRPr="00A804BB">
        <w:rPr>
          <w:rFonts w:ascii="Georgia" w:hAnsi="Georgia" w:cs="Arial"/>
          <w:color w:val="auto"/>
        </w:rPr>
        <w:t xml:space="preserve">, </w:t>
      </w:r>
      <w:r w:rsidRPr="00A804BB">
        <w:rPr>
          <w:rFonts w:ascii="Georgia" w:hAnsi="Georgia" w:cs="Arial"/>
          <w:color w:val="auto"/>
        </w:rPr>
        <w:t>formulado</w:t>
      </w:r>
      <w:r w:rsidR="00C820A5" w:rsidRPr="00A804BB">
        <w:rPr>
          <w:rFonts w:ascii="Georgia" w:hAnsi="Georgia" w:cs="Arial"/>
          <w:color w:val="auto"/>
        </w:rPr>
        <w:t xml:space="preserve"> </w:t>
      </w:r>
      <w:r w:rsidRPr="00A804BB">
        <w:rPr>
          <w:rFonts w:ascii="Georgia" w:hAnsi="Georgia" w:cs="Arial"/>
          <w:color w:val="auto"/>
        </w:rPr>
        <w:t xml:space="preserve">contra la providencia del </w:t>
      </w:r>
      <w:r w:rsidR="00D50C65" w:rsidRPr="00A804BB">
        <w:rPr>
          <w:rFonts w:ascii="Georgia" w:hAnsi="Georgia" w:cs="Arial"/>
          <w:color w:val="auto"/>
        </w:rPr>
        <w:t>18-01-2022</w:t>
      </w:r>
      <w:r w:rsidRPr="00A804BB">
        <w:rPr>
          <w:rFonts w:ascii="Georgia" w:hAnsi="Georgia" w:cs="Arial"/>
          <w:color w:val="auto"/>
        </w:rPr>
        <w:t>.</w:t>
      </w:r>
    </w:p>
    <w:p w14:paraId="10B8F287" w14:textId="6E05902B" w:rsidR="000E35DB" w:rsidRPr="00A804BB" w:rsidRDefault="000E35DB" w:rsidP="00A804BB">
      <w:pPr>
        <w:spacing w:line="276" w:lineRule="auto"/>
        <w:ind w:left="360"/>
        <w:rPr>
          <w:rFonts w:ascii="Georgia" w:hAnsi="Georgia" w:cs="Arial"/>
          <w:sz w:val="24"/>
          <w:szCs w:val="24"/>
        </w:rPr>
      </w:pPr>
    </w:p>
    <w:p w14:paraId="05666B92" w14:textId="3E4DB207" w:rsidR="006925C3" w:rsidRPr="00A804BB" w:rsidRDefault="13FAAFC3" w:rsidP="00A804BB">
      <w:pPr>
        <w:pStyle w:val="Textopredeterminado"/>
        <w:numPr>
          <w:ilvl w:val="0"/>
          <w:numId w:val="2"/>
        </w:numPr>
        <w:spacing w:line="276" w:lineRule="auto"/>
        <w:mirrorIndents/>
        <w:jc w:val="both"/>
        <w:textAlignment w:val="auto"/>
        <w:rPr>
          <w:rFonts w:ascii="Georgia" w:hAnsi="Georgia" w:cs="Arial"/>
          <w:color w:val="auto"/>
        </w:rPr>
      </w:pPr>
      <w:r w:rsidRPr="00A804BB">
        <w:rPr>
          <w:rFonts w:ascii="Georgia" w:hAnsi="Georgia" w:cs="Arial"/>
          <w:color w:val="auto"/>
        </w:rPr>
        <w:t>DISPONE</w:t>
      </w:r>
      <w:r w:rsidR="670427B5" w:rsidRPr="00A804BB">
        <w:rPr>
          <w:rFonts w:ascii="Georgia" w:hAnsi="Georgia" w:cs="Arial"/>
          <w:color w:val="auto"/>
        </w:rPr>
        <w:t>R</w:t>
      </w:r>
      <w:r w:rsidRPr="00A804BB">
        <w:rPr>
          <w:rFonts w:ascii="Georgia" w:hAnsi="Georgia" w:cs="Arial"/>
          <w:color w:val="auto"/>
        </w:rPr>
        <w:t xml:space="preserve"> que, </w:t>
      </w:r>
      <w:r w:rsidR="006925C3" w:rsidRPr="00A804BB">
        <w:rPr>
          <w:rFonts w:ascii="Georgia" w:hAnsi="Georgia" w:cs="Arial"/>
          <w:color w:val="auto"/>
        </w:rPr>
        <w:t>por Secretaría</w:t>
      </w:r>
      <w:r w:rsidR="00D50C65" w:rsidRPr="00A804BB">
        <w:rPr>
          <w:rFonts w:ascii="Georgia" w:hAnsi="Georgia" w:cs="Arial"/>
          <w:color w:val="auto"/>
        </w:rPr>
        <w:t xml:space="preserve">, </w:t>
      </w:r>
      <w:r w:rsidR="4F2240B4" w:rsidRPr="00A804BB">
        <w:rPr>
          <w:rFonts w:ascii="Georgia" w:hAnsi="Georgia" w:cs="Arial"/>
          <w:color w:val="auto"/>
        </w:rPr>
        <w:t xml:space="preserve">se </w:t>
      </w:r>
      <w:r w:rsidR="3C0F89F5" w:rsidRPr="00A804BB">
        <w:rPr>
          <w:rFonts w:ascii="Georgia" w:hAnsi="Georgia" w:cs="Arial"/>
          <w:color w:val="auto"/>
        </w:rPr>
        <w:t xml:space="preserve">gestione </w:t>
      </w:r>
      <w:r w:rsidR="00D50C65" w:rsidRPr="00A804BB">
        <w:rPr>
          <w:rFonts w:ascii="Georgia" w:hAnsi="Georgia" w:cs="Arial"/>
          <w:color w:val="auto"/>
        </w:rPr>
        <w:t xml:space="preserve">la reposición. </w:t>
      </w:r>
    </w:p>
    <w:p w14:paraId="10B8F289" w14:textId="77777777" w:rsidR="00977E7F" w:rsidRPr="00A804BB" w:rsidRDefault="00977E7F" w:rsidP="00A804BB">
      <w:pPr>
        <w:pStyle w:val="Prrafodelista"/>
        <w:spacing w:line="276" w:lineRule="auto"/>
        <w:ind w:left="360"/>
        <w:rPr>
          <w:rFonts w:ascii="Georgia" w:hAnsi="Georgia" w:cs="Arial"/>
          <w:sz w:val="24"/>
          <w:szCs w:val="24"/>
          <w:lang w:val="es-CO"/>
        </w:rPr>
      </w:pPr>
    </w:p>
    <w:p w14:paraId="10B8F28A" w14:textId="352C8FC0" w:rsidR="00977E7F" w:rsidRPr="00A804BB" w:rsidRDefault="00977E7F" w:rsidP="00A804BB">
      <w:pPr>
        <w:pStyle w:val="Prrafodelista"/>
        <w:numPr>
          <w:ilvl w:val="0"/>
          <w:numId w:val="2"/>
        </w:numPr>
        <w:spacing w:line="276" w:lineRule="auto"/>
        <w:jc w:val="both"/>
        <w:rPr>
          <w:rFonts w:ascii="Georgia" w:hAnsi="Georgia" w:cs="Arial"/>
          <w:sz w:val="24"/>
          <w:szCs w:val="24"/>
          <w:lang w:val="es-CO"/>
        </w:rPr>
      </w:pPr>
      <w:r w:rsidRPr="00A804BB">
        <w:rPr>
          <w:rFonts w:ascii="Georgia" w:hAnsi="Georgia" w:cs="Arial"/>
          <w:sz w:val="24"/>
          <w:szCs w:val="24"/>
          <w:lang w:val="es-CO"/>
        </w:rPr>
        <w:t>ADVERTIR que contra esta providencia no procede recurso alguno.</w:t>
      </w:r>
    </w:p>
    <w:p w14:paraId="10B8F28B" w14:textId="77777777" w:rsidR="00870960" w:rsidRPr="00A804BB" w:rsidRDefault="00870960" w:rsidP="00A804BB">
      <w:pPr>
        <w:pStyle w:val="Textopredeterminado"/>
        <w:spacing w:line="276" w:lineRule="auto"/>
        <w:jc w:val="center"/>
        <w:rPr>
          <w:rFonts w:ascii="Georgia" w:hAnsi="Georgia" w:cs="Arial"/>
          <w:smallCaps/>
          <w:color w:val="auto"/>
          <w:lang w:val="en-GB"/>
        </w:rPr>
      </w:pPr>
    </w:p>
    <w:p w14:paraId="10B8F28C" w14:textId="1F22E63E" w:rsidR="00CF2BC2" w:rsidRPr="00A804BB" w:rsidRDefault="00CF2BC2" w:rsidP="00A804BB">
      <w:pPr>
        <w:pStyle w:val="Textopredeterminado"/>
        <w:spacing w:line="276" w:lineRule="auto"/>
        <w:jc w:val="center"/>
        <w:rPr>
          <w:rFonts w:ascii="Georgia" w:hAnsi="Georgia" w:cs="Arial"/>
          <w:smallCaps/>
          <w:color w:val="auto"/>
          <w:lang w:val="en-GB"/>
        </w:rPr>
      </w:pPr>
      <w:r w:rsidRPr="00A804BB">
        <w:rPr>
          <w:rFonts w:ascii="Georgia" w:hAnsi="Georgia" w:cs="Arial"/>
          <w:smallCaps/>
          <w:color w:val="auto"/>
          <w:lang w:val="en-GB"/>
        </w:rPr>
        <w:t>Notifíquese,</w:t>
      </w:r>
    </w:p>
    <w:p w14:paraId="10B8F28D" w14:textId="3DD591ED" w:rsidR="00F819BA" w:rsidRDefault="00F819BA" w:rsidP="00A804BB">
      <w:pPr>
        <w:pStyle w:val="Textopredeterminado"/>
        <w:spacing w:line="276" w:lineRule="auto"/>
        <w:jc w:val="center"/>
        <w:rPr>
          <w:rFonts w:ascii="Georgia" w:hAnsi="Georgia" w:cs="Arial"/>
          <w:smallCaps/>
          <w:color w:val="auto"/>
          <w:lang w:val="en-GB"/>
        </w:rPr>
      </w:pPr>
    </w:p>
    <w:p w14:paraId="454C150E" w14:textId="77777777" w:rsidR="003A0252" w:rsidRPr="00A804BB" w:rsidRDefault="003A0252" w:rsidP="00A804BB">
      <w:pPr>
        <w:pStyle w:val="Textopredeterminado"/>
        <w:spacing w:line="276" w:lineRule="auto"/>
        <w:jc w:val="center"/>
        <w:rPr>
          <w:rFonts w:ascii="Georgia" w:hAnsi="Georgia" w:cs="Arial"/>
          <w:smallCaps/>
          <w:color w:val="auto"/>
          <w:lang w:val="en-GB"/>
        </w:rPr>
      </w:pPr>
    </w:p>
    <w:p w14:paraId="4FDB26CE" w14:textId="77777777" w:rsidR="00FF0372" w:rsidRPr="00A804BB" w:rsidRDefault="00FF0372" w:rsidP="00A804BB">
      <w:pPr>
        <w:pStyle w:val="Textopredeterminado"/>
        <w:spacing w:line="276" w:lineRule="auto"/>
        <w:jc w:val="center"/>
        <w:rPr>
          <w:rFonts w:ascii="Georgia" w:hAnsi="Georgia" w:cs="Arial"/>
          <w:smallCaps/>
          <w:color w:val="auto"/>
          <w:lang w:val="en-GB"/>
        </w:rPr>
      </w:pPr>
    </w:p>
    <w:p w14:paraId="10B8F290" w14:textId="0F98E5D5" w:rsidR="00CF2BC2" w:rsidRPr="001575EA" w:rsidRDefault="00CF2BC2" w:rsidP="00A804BB">
      <w:pPr>
        <w:pStyle w:val="Textopredeterminado"/>
        <w:spacing w:line="276" w:lineRule="auto"/>
        <w:jc w:val="center"/>
        <w:rPr>
          <w:rFonts w:ascii="Georgia" w:hAnsi="Georgia" w:cs="Arial"/>
          <w:b/>
          <w:caps/>
          <w:color w:val="auto"/>
          <w:spacing w:val="20"/>
          <w:w w:val="150"/>
          <w:lang w:val="en-US"/>
        </w:rPr>
      </w:pPr>
      <w:r w:rsidRPr="001575EA">
        <w:rPr>
          <w:rFonts w:ascii="Georgia" w:hAnsi="Georgia" w:cs="Arial"/>
          <w:b/>
          <w:caps/>
          <w:color w:val="auto"/>
          <w:spacing w:val="20"/>
          <w:w w:val="150"/>
          <w:lang w:val="en-US"/>
        </w:rPr>
        <w:t xml:space="preserve"> DUBERNEY GRISALES HERRERA</w:t>
      </w:r>
    </w:p>
    <w:p w14:paraId="1E255BE4" w14:textId="6579E9B9" w:rsidR="00924D9D" w:rsidRPr="00A804BB" w:rsidRDefault="00CF2BC2" w:rsidP="0008075F">
      <w:pPr>
        <w:spacing w:line="276" w:lineRule="auto"/>
        <w:jc w:val="center"/>
        <w:rPr>
          <w:rFonts w:ascii="Georgia" w:hAnsi="Georgia" w:cs="Arial"/>
          <w:i/>
          <w:sz w:val="24"/>
          <w:szCs w:val="24"/>
          <w:lang w:val="en-US"/>
        </w:rPr>
      </w:pPr>
      <w:r w:rsidRPr="001575EA">
        <w:rPr>
          <w:rFonts w:ascii="Georgia" w:hAnsi="Georgia" w:cs="Arial"/>
          <w:caps/>
          <w:spacing w:val="20"/>
          <w:w w:val="150"/>
          <w:sz w:val="24"/>
          <w:szCs w:val="24"/>
          <w:lang w:val="en-US"/>
        </w:rPr>
        <w:t>M A G I S T R A D O</w:t>
      </w:r>
    </w:p>
    <w:sectPr w:rsidR="00924D9D" w:rsidRPr="00A804BB" w:rsidSect="00E0186B">
      <w:headerReference w:type="default"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099654" w16cex:dateUtc="2021-04-22T17:19:58.989Z"/>
  <w16cex:commentExtensible w16cex:durableId="4BB26B4B" w16cex:dateUtc="2021-04-22T17:24:21.722Z"/>
  <w16cex:commentExtensible w16cex:durableId="34995126" w16cex:dateUtc="2022-02-11T14:45:48.619Z"/>
  <w16cex:commentExtensible w16cex:durableId="31AB20BF" w16cex:dateUtc="2022-02-11T15:09:01.808Z"/>
  <w16cex:commentExtensible w16cex:durableId="5ED36EFC" w16cex:dateUtc="2022-02-11T15:11:14.695Z"/>
  <w16cex:commentExtensible w16cex:durableId="57924C13" w16cex:dateUtc="2022-02-11T15:18:10.158Z"/>
  <w16cex:commentExtensible w16cex:durableId="546E2418" w16cex:dateUtc="2022-02-11T16:06:20.2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2480" w14:textId="77777777" w:rsidR="009C0897" w:rsidRDefault="009C0897" w:rsidP="00934BB4">
      <w:r>
        <w:separator/>
      </w:r>
    </w:p>
  </w:endnote>
  <w:endnote w:type="continuationSeparator" w:id="0">
    <w:p w14:paraId="46E1649E" w14:textId="77777777" w:rsidR="009C0897" w:rsidRDefault="009C0897"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A2" w14:textId="77777777" w:rsidR="00CF2BC2" w:rsidRDefault="00CF2BC2" w:rsidP="006E6DCB">
    <w:pPr>
      <w:pStyle w:val="Piedepgina"/>
      <w:pBdr>
        <w:bottom w:val="double" w:sz="6" w:space="1" w:color="auto"/>
      </w:pBdr>
      <w:spacing w:line="360" w:lineRule="auto"/>
      <w:ind w:firstLine="708"/>
      <w:rPr>
        <w:rFonts w:ascii="Arial" w:hAnsi="Arial" w:cs="Arial"/>
        <w:spacing w:val="20"/>
        <w:w w:val="200"/>
        <w:sz w:val="14"/>
        <w:szCs w:val="14"/>
      </w:rPr>
    </w:pPr>
  </w:p>
  <w:p w14:paraId="10B8F2A3" w14:textId="77777777" w:rsidR="00CF2BC2" w:rsidRDefault="00CF2BC2" w:rsidP="006E6DCB">
    <w:pPr>
      <w:pStyle w:val="Piedepgina"/>
      <w:spacing w:line="360" w:lineRule="auto"/>
      <w:jc w:val="right"/>
      <w:rPr>
        <w:rFonts w:ascii="Arial" w:hAnsi="Arial" w:cs="Arial"/>
        <w:spacing w:val="20"/>
        <w:w w:val="200"/>
        <w:sz w:val="14"/>
        <w:szCs w:val="14"/>
      </w:rPr>
    </w:pPr>
  </w:p>
  <w:p w14:paraId="10B8F2A4" w14:textId="77777777" w:rsidR="00CF2BC2" w:rsidRPr="003E18D8" w:rsidRDefault="00CF2BC2" w:rsidP="006E6DCB">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14:paraId="10B8F2A5" w14:textId="77777777" w:rsidR="00CF2BC2" w:rsidRPr="006E6DCB" w:rsidRDefault="00CF2BC2" w:rsidP="006E6DCB">
    <w:pPr>
      <w:pStyle w:val="Piedepgina"/>
      <w:jc w:val="right"/>
    </w:pPr>
    <w:r w:rsidRPr="00836EE1">
      <w:rPr>
        <w:rFonts w:ascii="Arial" w:hAnsi="Arial" w:cs="Arial"/>
        <w:spacing w:val="20"/>
        <w:w w:val="200"/>
        <w:sz w:val="10"/>
        <w:szCs w:val="10"/>
      </w:rPr>
      <w:t>M</w:t>
    </w:r>
    <w:r w:rsidR="00D91179">
      <w:rPr>
        <w:rFonts w:ascii="Arial" w:hAnsi="Arial" w:cs="Arial"/>
        <w:spacing w:val="20"/>
        <w:w w:val="200"/>
        <w:sz w:val="10"/>
        <w:szCs w:val="10"/>
      </w:rPr>
      <w:t>S</w:t>
    </w:r>
    <w:r w:rsidRPr="00836EE1">
      <w:rPr>
        <w:rFonts w:ascii="Arial" w:hAnsi="Arial" w:cs="Arial"/>
        <w:spacing w:val="20"/>
        <w:w w:val="200"/>
        <w:sz w:val="10"/>
        <w:szCs w:val="10"/>
      </w:rPr>
      <w:t xml:space="preserve"> </w:t>
    </w:r>
    <w:r w:rsidRPr="00836EE1">
      <w:rPr>
        <w:rFonts w:ascii="Arial" w:hAnsi="Arial" w:cs="Arial"/>
        <w:spacing w:val="20"/>
        <w:w w:val="200"/>
        <w:sz w:val="12"/>
        <w:szCs w:val="12"/>
      </w:rPr>
      <w:t>D</w:t>
    </w:r>
    <w:r w:rsidRPr="00836EE1">
      <w:rPr>
        <w:rFonts w:ascii="Arial" w:hAnsi="Arial" w:cs="Arial"/>
        <w:spacing w:val="20"/>
        <w:w w:val="200"/>
        <w:sz w:val="8"/>
        <w:szCs w:val="8"/>
      </w:rPr>
      <w:t>UBERNEY</w:t>
    </w:r>
    <w:r>
      <w:rPr>
        <w:rFonts w:ascii="Arial" w:hAnsi="Arial" w:cs="Arial"/>
        <w:spacing w:val="20"/>
        <w:w w:val="200"/>
        <w:sz w:val="8"/>
        <w:szCs w:val="8"/>
      </w:rPr>
      <w:t xml:space="preserve"> </w:t>
    </w:r>
    <w:r w:rsidRPr="00836EE1">
      <w:rPr>
        <w:rFonts w:ascii="Arial" w:hAnsi="Arial" w:cs="Arial"/>
        <w:spacing w:val="20"/>
        <w:w w:val="200"/>
        <w:sz w:val="12"/>
        <w:szCs w:val="12"/>
      </w:rPr>
      <w:t>G</w:t>
    </w:r>
    <w:r w:rsidRPr="00836EE1">
      <w:rPr>
        <w:rFonts w:ascii="Arial" w:hAnsi="Arial" w:cs="Arial"/>
        <w:spacing w:val="20"/>
        <w:w w:val="200"/>
        <w:sz w:val="8"/>
        <w:szCs w:val="8"/>
      </w:rPr>
      <w:t>RISALES</w:t>
    </w:r>
    <w:r>
      <w:rPr>
        <w:rFonts w:ascii="Arial" w:hAnsi="Arial" w:cs="Arial"/>
        <w:spacing w:val="20"/>
        <w:w w:val="200"/>
        <w:sz w:val="8"/>
        <w:szCs w:val="8"/>
      </w:rPr>
      <w:t xml:space="preserve"> </w:t>
    </w:r>
    <w:r w:rsidRPr="00836EE1">
      <w:rPr>
        <w:rFonts w:ascii="Arial" w:hAnsi="Arial" w:cs="Arial"/>
        <w:spacing w:val="20"/>
        <w:w w:val="200"/>
        <w:sz w:val="12"/>
        <w:szCs w:val="12"/>
      </w:rPr>
      <w:t>H</w:t>
    </w:r>
    <w:r w:rsidRPr="00836EE1">
      <w:rPr>
        <w:rFonts w:ascii="Arial" w:hAnsi="Arial" w:cs="Arial"/>
        <w:spacing w:val="20"/>
        <w:w w:val="200"/>
        <w:sz w:val="8"/>
        <w:szCs w:val="8"/>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3541" w14:textId="77777777" w:rsidR="009C0897" w:rsidRDefault="009C0897" w:rsidP="00934BB4">
      <w:r>
        <w:separator/>
      </w:r>
    </w:p>
  </w:footnote>
  <w:footnote w:type="continuationSeparator" w:id="0">
    <w:p w14:paraId="24FBCE12" w14:textId="77777777" w:rsidR="009C0897" w:rsidRDefault="009C0897" w:rsidP="00934BB4">
      <w:r>
        <w:continuationSeparator/>
      </w:r>
    </w:p>
  </w:footnote>
  <w:footnote w:id="1">
    <w:p w14:paraId="10B8F2A6" w14:textId="77777777" w:rsidR="008D4F8E" w:rsidRPr="001575EA" w:rsidRDefault="008D4F8E" w:rsidP="00F819BA">
      <w:pPr>
        <w:pStyle w:val="Textonotapie"/>
        <w:jc w:val="both"/>
        <w:rPr>
          <w:rFonts w:ascii="Century" w:hAnsi="Century"/>
          <w:sz w:val="18"/>
          <w:szCs w:val="18"/>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ESCOBAR V. Édgar G. Los recursos en el Código General del Proceso. Librería jurídica Sánchez R. Ltda. 2015, p.37.</w:t>
      </w:r>
    </w:p>
  </w:footnote>
  <w:footnote w:id="2">
    <w:p w14:paraId="10B8F2A7" w14:textId="54B235FF" w:rsidR="008D4F8E" w:rsidRPr="001575EA" w:rsidRDefault="008D4F8E" w:rsidP="00F819BA">
      <w:pPr>
        <w:pStyle w:val="Textonotapie"/>
        <w:jc w:val="both"/>
        <w:rPr>
          <w:rFonts w:ascii="Century" w:hAnsi="Century"/>
          <w:sz w:val="18"/>
          <w:szCs w:val="18"/>
        </w:rPr>
      </w:pPr>
      <w:r w:rsidRPr="001575EA">
        <w:rPr>
          <w:rFonts w:ascii="Century" w:hAnsi="Century"/>
          <w:sz w:val="18"/>
          <w:szCs w:val="18"/>
          <w:vertAlign w:val="superscript"/>
        </w:rPr>
        <w:footnoteRef/>
      </w:r>
      <w:r w:rsidRPr="001575EA">
        <w:rPr>
          <w:rFonts w:ascii="Century" w:hAnsi="Century"/>
          <w:sz w:val="18"/>
          <w:szCs w:val="18"/>
        </w:rPr>
        <w:t xml:space="preserve"> </w:t>
      </w:r>
      <w:r w:rsidRPr="001575EA">
        <w:rPr>
          <w:rFonts w:ascii="Century" w:hAnsi="Century"/>
          <w:sz w:val="18"/>
          <w:szCs w:val="18"/>
          <w:lang w:val="es-CO"/>
        </w:rPr>
        <w:t>LÓPEZ B., Hernán F. Código General del Proceso, parte general, Bogotá DC, Dupre editores, 201</w:t>
      </w:r>
      <w:r w:rsidR="00653B63" w:rsidRPr="001575EA">
        <w:rPr>
          <w:rFonts w:ascii="Century" w:hAnsi="Century"/>
          <w:sz w:val="18"/>
          <w:szCs w:val="18"/>
          <w:lang w:val="es-CO"/>
        </w:rPr>
        <w:t>9</w:t>
      </w:r>
      <w:r w:rsidRPr="001575EA">
        <w:rPr>
          <w:rFonts w:ascii="Century" w:hAnsi="Century"/>
          <w:sz w:val="18"/>
          <w:szCs w:val="18"/>
          <w:lang w:val="es-CO"/>
        </w:rPr>
        <w:t>, p.</w:t>
      </w:r>
      <w:r w:rsidR="009B710A" w:rsidRPr="001575EA">
        <w:rPr>
          <w:rFonts w:ascii="Century" w:hAnsi="Century"/>
          <w:sz w:val="18"/>
          <w:szCs w:val="18"/>
        </w:rPr>
        <w:t>781 ss.</w:t>
      </w:r>
    </w:p>
  </w:footnote>
  <w:footnote w:id="3">
    <w:p w14:paraId="10B8F2A8" w14:textId="77777777" w:rsidR="008D4F8E" w:rsidRPr="001575EA" w:rsidRDefault="008D4F8E" w:rsidP="00F819BA">
      <w:pPr>
        <w:pStyle w:val="Textonotapie"/>
        <w:jc w:val="both"/>
        <w:rPr>
          <w:rFonts w:ascii="Century" w:hAnsi="Century"/>
          <w:sz w:val="18"/>
          <w:szCs w:val="18"/>
        </w:rPr>
      </w:pPr>
      <w:r w:rsidRPr="001575EA">
        <w:rPr>
          <w:rFonts w:ascii="Century" w:hAnsi="Century"/>
          <w:sz w:val="18"/>
          <w:szCs w:val="18"/>
          <w:vertAlign w:val="superscript"/>
        </w:rPr>
        <w:footnoteRef/>
      </w:r>
      <w:r w:rsidRPr="001575EA">
        <w:rPr>
          <w:rFonts w:ascii="Century" w:hAnsi="Century"/>
          <w:sz w:val="18"/>
          <w:szCs w:val="18"/>
        </w:rPr>
        <w:t xml:space="preserve"> PARRA Q., Jairo. Derecho procesal civil, tomo I, Santafé de Bogotá DC, Temis, 1992, p.276.</w:t>
      </w:r>
    </w:p>
  </w:footnote>
  <w:footnote w:id="4">
    <w:p w14:paraId="10B8F2A9" w14:textId="175AC3BA" w:rsidR="002F0156" w:rsidRPr="001575EA" w:rsidRDefault="002F0156" w:rsidP="00F819BA">
      <w:pPr>
        <w:pStyle w:val="Sinespaciado"/>
        <w:jc w:val="both"/>
        <w:rPr>
          <w:rFonts w:ascii="Century" w:hAnsi="Century" w:cs="Times New Roman"/>
          <w:sz w:val="18"/>
          <w:szCs w:val="18"/>
        </w:rPr>
      </w:pPr>
      <w:r w:rsidRPr="001575EA">
        <w:rPr>
          <w:rFonts w:ascii="Century" w:hAnsi="Century" w:cs="Times New Roman"/>
          <w:sz w:val="18"/>
          <w:szCs w:val="18"/>
          <w:vertAlign w:val="superscript"/>
        </w:rPr>
        <w:footnoteRef/>
      </w:r>
      <w:r w:rsidRPr="001575EA">
        <w:rPr>
          <w:rFonts w:ascii="Century" w:hAnsi="Century" w:cs="Times New Roman"/>
          <w:sz w:val="18"/>
          <w:szCs w:val="18"/>
        </w:rPr>
        <w:t xml:space="preserve"> </w:t>
      </w:r>
      <w:r w:rsidR="005B0036" w:rsidRPr="001575EA">
        <w:rPr>
          <w:rFonts w:ascii="Century" w:hAnsi="Century" w:cs="Times New Roman"/>
          <w:sz w:val="18"/>
          <w:szCs w:val="18"/>
          <w:lang w:val="es-CO"/>
        </w:rPr>
        <w:t>LÓPEZ B., Hernán F.</w:t>
      </w:r>
      <w:r w:rsidRPr="001575EA">
        <w:rPr>
          <w:rFonts w:ascii="Century" w:hAnsi="Century" w:cs="Times New Roman"/>
          <w:sz w:val="18"/>
          <w:szCs w:val="18"/>
          <w:lang w:val="es-CO"/>
        </w:rPr>
        <w:t xml:space="preserve"> </w:t>
      </w:r>
      <w:r w:rsidR="00C545C3" w:rsidRPr="001575EA">
        <w:rPr>
          <w:rFonts w:ascii="Century" w:hAnsi="Century" w:cs="Times New Roman"/>
          <w:sz w:val="18"/>
          <w:szCs w:val="18"/>
        </w:rPr>
        <w:t>o</w:t>
      </w:r>
      <w:r w:rsidRPr="001575EA">
        <w:rPr>
          <w:rFonts w:ascii="Century" w:hAnsi="Century" w:cs="Times New Roman"/>
          <w:sz w:val="18"/>
          <w:szCs w:val="18"/>
        </w:rPr>
        <w:t>b. cit.</w:t>
      </w:r>
      <w:r w:rsidR="009246AC" w:rsidRPr="001575EA">
        <w:rPr>
          <w:rFonts w:ascii="Century" w:hAnsi="Century"/>
          <w:sz w:val="18"/>
          <w:szCs w:val="18"/>
          <w:lang w:val="es-CO"/>
        </w:rPr>
        <w:t>, p.781</w:t>
      </w:r>
      <w:r w:rsidR="009246AC" w:rsidRPr="001575EA">
        <w:rPr>
          <w:rFonts w:ascii="Century" w:hAnsi="Century"/>
          <w:sz w:val="18"/>
          <w:szCs w:val="18"/>
        </w:rPr>
        <w:t>.</w:t>
      </w:r>
    </w:p>
  </w:footnote>
  <w:footnote w:id="5">
    <w:p w14:paraId="10B8F2AA" w14:textId="733BFD9E" w:rsidR="009806FC" w:rsidRPr="001575EA" w:rsidRDefault="009806FC" w:rsidP="009806FC">
      <w:pPr>
        <w:pStyle w:val="Textonotapie"/>
        <w:jc w:val="both"/>
        <w:rPr>
          <w:rFonts w:ascii="Century" w:hAnsi="Century"/>
          <w:sz w:val="18"/>
          <w:szCs w:val="18"/>
          <w:lang w:val="es-CO"/>
        </w:rPr>
      </w:pPr>
      <w:r w:rsidRPr="001575EA">
        <w:rPr>
          <w:rStyle w:val="Refdenotaalpie"/>
          <w:rFonts w:ascii="Century" w:hAnsi="Century"/>
          <w:sz w:val="18"/>
          <w:szCs w:val="18"/>
        </w:rPr>
        <w:footnoteRef/>
      </w:r>
      <w:r w:rsidRPr="001575EA">
        <w:rPr>
          <w:rFonts w:ascii="Century" w:hAnsi="Century"/>
          <w:sz w:val="18"/>
          <w:szCs w:val="18"/>
        </w:rPr>
        <w:t xml:space="preserve"> </w:t>
      </w:r>
      <w:r w:rsidR="008400E1" w:rsidRPr="001575EA">
        <w:rPr>
          <w:rFonts w:ascii="Century" w:hAnsi="Century"/>
          <w:sz w:val="18"/>
          <w:szCs w:val="18"/>
          <w:lang w:val="es-CO"/>
        </w:rPr>
        <w:t>ROJAS G., Miguel E. Lecciones de derecho procesal, procedimiento civil, tomo II, ESAJU, 2020, 7ª edición, Bogotá, p.468</w:t>
      </w:r>
      <w:r w:rsidRPr="001575EA">
        <w:rPr>
          <w:rFonts w:ascii="Century" w:hAnsi="Century"/>
          <w:sz w:val="18"/>
          <w:szCs w:val="18"/>
          <w:lang w:val="es-CO"/>
        </w:rPr>
        <w:t>.</w:t>
      </w:r>
    </w:p>
  </w:footnote>
  <w:footnote w:id="6">
    <w:p w14:paraId="54B8C11B" w14:textId="77777777" w:rsidR="00637A27" w:rsidRPr="001575EA" w:rsidRDefault="00637A27" w:rsidP="00637A27">
      <w:pPr>
        <w:pStyle w:val="Textonotapie"/>
        <w:rPr>
          <w:rFonts w:ascii="Century" w:hAnsi="Century"/>
          <w:sz w:val="18"/>
          <w:szCs w:val="18"/>
          <w:lang w:val="es-CO"/>
        </w:rPr>
      </w:pPr>
      <w:r w:rsidRPr="001575EA">
        <w:rPr>
          <w:rStyle w:val="Refdenotaalpie"/>
          <w:rFonts w:ascii="Century" w:hAnsi="Century"/>
          <w:sz w:val="18"/>
          <w:szCs w:val="18"/>
        </w:rPr>
        <w:footnoteRef/>
      </w:r>
      <w:r w:rsidRPr="001575EA">
        <w:rPr>
          <w:rFonts w:ascii="Century" w:hAnsi="Century"/>
          <w:sz w:val="18"/>
          <w:szCs w:val="18"/>
        </w:rPr>
        <w:t xml:space="preserve"> </w:t>
      </w:r>
      <w:bookmarkStart w:id="4" w:name="_Hlk80260835"/>
      <w:r w:rsidRPr="001575EA">
        <w:rPr>
          <w:rFonts w:ascii="Century" w:hAnsi="Century"/>
          <w:sz w:val="18"/>
          <w:szCs w:val="18"/>
          <w:lang w:val="es-CO"/>
        </w:rPr>
        <w:t>PARRA B., Jorge. Derecho procesal civil, 2ª edición puesta al día, Bogotá DC, Temis, 2021, p.395.</w:t>
      </w:r>
      <w:bookmarkEnd w:id="4"/>
    </w:p>
  </w:footnote>
  <w:footnote w:id="7">
    <w:p w14:paraId="4ED504AC" w14:textId="77777777" w:rsidR="00637A27" w:rsidRPr="001575EA" w:rsidRDefault="00637A27" w:rsidP="00637A27">
      <w:pPr>
        <w:pStyle w:val="Textonotapie"/>
        <w:jc w:val="both"/>
        <w:rPr>
          <w:rFonts w:ascii="Century" w:hAnsi="Century"/>
          <w:sz w:val="18"/>
          <w:szCs w:val="18"/>
          <w:lang w:val="es-CO"/>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SANABRIA S., Henry. Derecho procesal civil general, Bogotá DC, Universidad Externado de Colombia, 2021, p.666.</w:t>
      </w:r>
    </w:p>
  </w:footnote>
  <w:footnote w:id="8">
    <w:p w14:paraId="294D467C" w14:textId="48F75F4B" w:rsidR="00F9683E" w:rsidRPr="001575EA" w:rsidRDefault="00F9683E">
      <w:pPr>
        <w:pStyle w:val="Textonotapie"/>
        <w:rPr>
          <w:rFonts w:ascii="Century" w:hAnsi="Century"/>
          <w:sz w:val="18"/>
          <w:szCs w:val="18"/>
          <w:lang w:val="es-CO"/>
        </w:rPr>
      </w:pPr>
      <w:r w:rsidRPr="001575EA">
        <w:rPr>
          <w:rStyle w:val="Refdenotaalpie"/>
          <w:rFonts w:ascii="Century" w:hAnsi="Century"/>
          <w:sz w:val="18"/>
          <w:szCs w:val="18"/>
        </w:rPr>
        <w:footnoteRef/>
      </w:r>
      <w:r w:rsidR="00847609" w:rsidRPr="001575EA">
        <w:rPr>
          <w:rFonts w:ascii="Century" w:hAnsi="Century"/>
          <w:sz w:val="18"/>
          <w:szCs w:val="18"/>
          <w:lang w:val="es-CO"/>
        </w:rPr>
        <w:t xml:space="preserve"> </w:t>
      </w:r>
      <w:r w:rsidR="009B710A" w:rsidRPr="001575EA">
        <w:rPr>
          <w:rFonts w:ascii="Century" w:hAnsi="Century"/>
          <w:sz w:val="18"/>
          <w:szCs w:val="18"/>
          <w:lang w:val="es-CO"/>
        </w:rPr>
        <w:t>ROJAS G., Miguel E. Ob. cit., p.</w:t>
      </w:r>
      <w:r w:rsidR="00847609" w:rsidRPr="001575EA">
        <w:rPr>
          <w:rFonts w:ascii="Century" w:hAnsi="Century"/>
          <w:sz w:val="18"/>
          <w:szCs w:val="18"/>
          <w:lang w:val="es-CO"/>
        </w:rPr>
        <w:t>468</w:t>
      </w:r>
      <w:r w:rsidRPr="001575EA">
        <w:rPr>
          <w:rFonts w:ascii="Century" w:hAnsi="Century"/>
          <w:sz w:val="18"/>
          <w:szCs w:val="18"/>
          <w:lang w:val="es-CO"/>
        </w:rPr>
        <w:t xml:space="preserve"> </w:t>
      </w:r>
    </w:p>
  </w:footnote>
  <w:footnote w:id="9">
    <w:p w14:paraId="10B8F2AB" w14:textId="77777777" w:rsidR="008D4F8E" w:rsidRPr="001575EA" w:rsidRDefault="008D4F8E" w:rsidP="00F819BA">
      <w:pPr>
        <w:pStyle w:val="Textonotapie"/>
        <w:jc w:val="both"/>
        <w:rPr>
          <w:rFonts w:ascii="Century" w:hAnsi="Century"/>
          <w:sz w:val="18"/>
          <w:szCs w:val="18"/>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CSJ. Sala Civil. Sentencia del 17-09-1992; MP: Ospina B.</w:t>
      </w:r>
    </w:p>
  </w:footnote>
  <w:footnote w:id="10">
    <w:p w14:paraId="10B8F2AC" w14:textId="1DDF5DEC" w:rsidR="008D4F8E" w:rsidRPr="001575EA" w:rsidRDefault="008D4F8E" w:rsidP="00F819BA">
      <w:pPr>
        <w:pStyle w:val="Textonotapie"/>
        <w:jc w:val="both"/>
        <w:rPr>
          <w:rFonts w:ascii="Century" w:hAnsi="Century"/>
          <w:sz w:val="18"/>
          <w:szCs w:val="18"/>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CSJ. STC</w:t>
      </w:r>
      <w:r w:rsidR="00556DC6" w:rsidRPr="001575EA">
        <w:rPr>
          <w:rFonts w:ascii="Century" w:hAnsi="Century"/>
          <w:sz w:val="18"/>
          <w:szCs w:val="18"/>
          <w:lang w:val="es-CO"/>
        </w:rPr>
        <w:t>-</w:t>
      </w:r>
      <w:r w:rsidRPr="001575EA">
        <w:rPr>
          <w:rFonts w:ascii="Century" w:hAnsi="Century"/>
          <w:sz w:val="18"/>
          <w:szCs w:val="18"/>
          <w:lang w:val="es-CO"/>
        </w:rPr>
        <w:t>12737-2017.</w:t>
      </w:r>
    </w:p>
  </w:footnote>
  <w:footnote w:id="11">
    <w:p w14:paraId="10B8F2AD" w14:textId="5CBADF81" w:rsidR="008D4F8E" w:rsidRPr="001575EA" w:rsidRDefault="008D4F8E" w:rsidP="00F819BA">
      <w:pPr>
        <w:pStyle w:val="Textonotapie"/>
        <w:jc w:val="both"/>
        <w:rPr>
          <w:rFonts w:ascii="Century" w:hAnsi="Century"/>
          <w:sz w:val="18"/>
          <w:szCs w:val="18"/>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LÓPEZ B., Hernán F.</w:t>
      </w:r>
      <w:r w:rsidRPr="001575EA">
        <w:rPr>
          <w:rFonts w:ascii="Century" w:hAnsi="Century"/>
          <w:sz w:val="18"/>
          <w:szCs w:val="18"/>
        </w:rPr>
        <w:t xml:space="preserve"> Ob. cit., p.</w:t>
      </w:r>
      <w:r w:rsidR="00556DC6" w:rsidRPr="001575EA">
        <w:rPr>
          <w:rFonts w:ascii="Century" w:hAnsi="Century"/>
          <w:sz w:val="18"/>
          <w:szCs w:val="18"/>
        </w:rPr>
        <w:t>781.</w:t>
      </w:r>
    </w:p>
  </w:footnote>
  <w:footnote w:id="12">
    <w:p w14:paraId="10B8F2AE" w14:textId="77777777" w:rsidR="008D4F8E" w:rsidRPr="001575EA" w:rsidRDefault="008D4F8E" w:rsidP="00F819BA">
      <w:pPr>
        <w:pStyle w:val="Textonotapie"/>
        <w:jc w:val="both"/>
        <w:rPr>
          <w:rFonts w:ascii="Century" w:hAnsi="Century"/>
          <w:sz w:val="18"/>
          <w:szCs w:val="18"/>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ROJAS G., Miguel E. Código General del Proceso comentado, ESAJU, 2017, Bogotá DC, p.511.</w:t>
      </w:r>
    </w:p>
  </w:footnote>
  <w:footnote w:id="13">
    <w:p w14:paraId="20E63A82" w14:textId="13307B8D" w:rsidR="00556DC6" w:rsidRPr="001575EA" w:rsidRDefault="00556DC6" w:rsidP="00556DC6">
      <w:pPr>
        <w:pStyle w:val="Textonotapie"/>
        <w:jc w:val="both"/>
        <w:rPr>
          <w:rFonts w:ascii="Century" w:hAnsi="Century"/>
          <w:sz w:val="18"/>
          <w:szCs w:val="18"/>
          <w:lang w:val="es-CO"/>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FORERO S., Jorge. El recurso de apelación y la pretensión impugnaticia [En línea]. ICDP, revista enero-junio 2016 [Visitado el 2021-23-08]. Disponible en internet:</w:t>
      </w:r>
      <w:r w:rsidRPr="001575EA">
        <w:rPr>
          <w:rStyle w:val="CitaHTML"/>
          <w:rFonts w:ascii="Century" w:hAnsi="Century" w:cs="Arial"/>
          <w:i w:val="0"/>
          <w:iCs/>
          <w:sz w:val="18"/>
          <w:szCs w:val="18"/>
        </w:rPr>
        <w:t xml:space="preserve"> </w:t>
      </w:r>
      <w:r w:rsidRPr="001575EA">
        <w:rPr>
          <w:rFonts w:ascii="Century" w:hAnsi="Century" w:cs="Arial"/>
          <w:sz w:val="18"/>
          <w:szCs w:val="18"/>
          <w:lang w:val="es-CO" w:eastAsia="es-CO"/>
        </w:rPr>
        <w:t>ttps://letrujil.files.wordpress.com/2013/09/09jorge-forero-silva.pdf</w:t>
      </w:r>
    </w:p>
  </w:footnote>
  <w:footnote w:id="14">
    <w:p w14:paraId="6C98E50E" w14:textId="6BA75043" w:rsidR="00B51359" w:rsidRPr="001575EA" w:rsidRDefault="00B51359">
      <w:pPr>
        <w:pStyle w:val="Textonotapie"/>
        <w:rPr>
          <w:rFonts w:ascii="Century" w:hAnsi="Century"/>
          <w:sz w:val="18"/>
          <w:szCs w:val="18"/>
          <w:lang w:val="es-CO"/>
        </w:rPr>
      </w:pPr>
      <w:r w:rsidRPr="001575EA">
        <w:rPr>
          <w:rStyle w:val="Refdenotaalpie"/>
          <w:rFonts w:ascii="Century" w:hAnsi="Century"/>
          <w:sz w:val="18"/>
          <w:szCs w:val="18"/>
        </w:rPr>
        <w:footnoteRef/>
      </w:r>
      <w:r w:rsidRPr="001575EA">
        <w:rPr>
          <w:rFonts w:ascii="Century" w:hAnsi="Century"/>
          <w:sz w:val="18"/>
          <w:szCs w:val="18"/>
          <w:lang w:val="es-CO"/>
        </w:rPr>
        <w:t xml:space="preserve"> CSJ. AC-1442-2019 y AC-2535-2019.</w:t>
      </w:r>
    </w:p>
  </w:footnote>
  <w:footnote w:id="15">
    <w:p w14:paraId="4B788309" w14:textId="7E554E3E" w:rsidR="00912B1B" w:rsidRPr="001575EA" w:rsidRDefault="00912B1B" w:rsidP="00912B1B">
      <w:pPr>
        <w:pStyle w:val="Textonotapie"/>
        <w:rPr>
          <w:rFonts w:ascii="Century" w:hAnsi="Century"/>
          <w:sz w:val="18"/>
          <w:szCs w:val="18"/>
          <w:lang w:val="es-CO"/>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ROJAS G., Miguel E. Lecciones de derecho procesal, procedimiento civil, tomo II, ESAJU, 2020, 7ª edición, Bogotá</w:t>
      </w:r>
      <w:r w:rsidRPr="001575EA">
        <w:rPr>
          <w:rFonts w:ascii="Century" w:hAnsi="Century"/>
          <w:strike/>
          <w:sz w:val="18"/>
          <w:szCs w:val="18"/>
          <w:lang w:val="es-CO"/>
        </w:rPr>
        <w:t>,</w:t>
      </w:r>
      <w:r w:rsidRPr="001575EA">
        <w:rPr>
          <w:rFonts w:ascii="Century" w:hAnsi="Century"/>
          <w:sz w:val="18"/>
          <w:szCs w:val="18"/>
          <w:lang w:val="es-CO"/>
        </w:rPr>
        <w:t xml:space="preserve"> p.515.</w:t>
      </w:r>
      <w:bookmarkStart w:id="5" w:name="_GoBack"/>
      <w:bookmarkEnd w:id="5"/>
    </w:p>
  </w:footnote>
  <w:footnote w:id="16">
    <w:p w14:paraId="0ED62012" w14:textId="5641032F" w:rsidR="00912B1B" w:rsidRPr="001575EA" w:rsidRDefault="00912B1B">
      <w:pPr>
        <w:pStyle w:val="Textonotapie"/>
        <w:rPr>
          <w:rFonts w:ascii="Century" w:hAnsi="Century"/>
          <w:sz w:val="18"/>
          <w:szCs w:val="18"/>
          <w:lang w:val="es-CO"/>
        </w:rPr>
      </w:pPr>
      <w:r w:rsidRPr="001575EA">
        <w:rPr>
          <w:rStyle w:val="Refdenotaalpie"/>
          <w:rFonts w:ascii="Century" w:hAnsi="Century"/>
          <w:sz w:val="18"/>
          <w:szCs w:val="18"/>
        </w:rPr>
        <w:footnoteRef/>
      </w:r>
      <w:r w:rsidRPr="001575EA">
        <w:rPr>
          <w:rFonts w:ascii="Century" w:hAnsi="Century"/>
          <w:sz w:val="18"/>
          <w:szCs w:val="18"/>
        </w:rPr>
        <w:t xml:space="preserve"> </w:t>
      </w:r>
      <w:r w:rsidRPr="001575EA">
        <w:rPr>
          <w:rFonts w:ascii="Century" w:hAnsi="Century"/>
          <w:sz w:val="18"/>
          <w:szCs w:val="18"/>
          <w:lang w:val="es-CO"/>
        </w:rPr>
        <w:t>PARRA B., Jorge. Ob. cit., p.417.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F29E" w14:textId="77777777" w:rsidR="00CF2BC2" w:rsidRPr="00A804BB" w:rsidRDefault="00CF2BC2" w:rsidP="00D279DF">
    <w:pPr>
      <w:pStyle w:val="Encabezado"/>
      <w:pBdr>
        <w:bottom w:val="single" w:sz="4" w:space="1" w:color="D9D9D9"/>
      </w:pBdr>
      <w:jc w:val="right"/>
      <w:rPr>
        <w:rFonts w:ascii="Calibri" w:hAnsi="Calibri" w:cs="Calibri"/>
        <w:b/>
        <w:bCs/>
      </w:rPr>
    </w:pPr>
    <w:r w:rsidRPr="00A804BB">
      <w:rPr>
        <w:rFonts w:ascii="Calibri" w:hAnsi="Calibri" w:cs="Calibri"/>
        <w:spacing w:val="60"/>
      </w:rPr>
      <w:t>Página</w:t>
    </w:r>
    <w:r w:rsidRPr="00A804BB">
      <w:rPr>
        <w:rFonts w:ascii="Calibri" w:hAnsi="Calibri" w:cs="Calibri"/>
      </w:rPr>
      <w:t xml:space="preserve"> | </w:t>
    </w:r>
    <w:r w:rsidRPr="00A804BB">
      <w:rPr>
        <w:rFonts w:ascii="Calibri" w:hAnsi="Calibri" w:cs="Calibri"/>
      </w:rPr>
      <w:fldChar w:fldCharType="begin"/>
    </w:r>
    <w:r w:rsidRPr="00A804BB">
      <w:rPr>
        <w:rFonts w:ascii="Calibri" w:hAnsi="Calibri" w:cs="Calibri"/>
      </w:rPr>
      <w:instrText>PAGE   \* MERGEFORMAT</w:instrText>
    </w:r>
    <w:r w:rsidRPr="00A804BB">
      <w:rPr>
        <w:rFonts w:ascii="Calibri" w:hAnsi="Calibri" w:cs="Calibri"/>
      </w:rPr>
      <w:fldChar w:fldCharType="separate"/>
    </w:r>
    <w:r w:rsidR="00053CED" w:rsidRPr="00A804BB">
      <w:rPr>
        <w:rFonts w:ascii="Calibri" w:hAnsi="Calibri" w:cs="Calibri"/>
        <w:noProof/>
      </w:rPr>
      <w:t>1</w:t>
    </w:r>
    <w:r w:rsidRPr="00A804BB">
      <w:rPr>
        <w:rFonts w:ascii="Calibri" w:hAnsi="Calibri" w:cs="Calibri"/>
      </w:rPr>
      <w:fldChar w:fldCharType="end"/>
    </w:r>
  </w:p>
  <w:p w14:paraId="10B8F2A0" w14:textId="1A4F2714" w:rsidR="00CF2BC2" w:rsidRPr="00A804BB" w:rsidRDefault="00731779" w:rsidP="00A804BB">
    <w:pPr>
      <w:pStyle w:val="Encabezado"/>
      <w:rPr>
        <w:rFonts w:asciiTheme="majorHAnsi" w:hAnsiTheme="majorHAnsi" w:cs="Iskoola Pota"/>
        <w:i/>
        <w:sz w:val="18"/>
        <w:lang w:val="es-CO"/>
      </w:rPr>
    </w:pPr>
    <w:r w:rsidRPr="00A804BB">
      <w:rPr>
        <w:rFonts w:asciiTheme="majorHAnsi" w:hAnsiTheme="majorHAnsi" w:cs="Iskoola Pota"/>
        <w:i/>
        <w:lang w:val="es-CO"/>
      </w:rPr>
      <w:t>E</w:t>
    </w:r>
    <w:r w:rsidRPr="00A804BB">
      <w:rPr>
        <w:rFonts w:asciiTheme="majorHAnsi" w:hAnsiTheme="majorHAnsi" w:cs="Iskoola Pota"/>
        <w:i/>
        <w:sz w:val="16"/>
        <w:lang w:val="es-CO"/>
      </w:rPr>
      <w:t>XPEDIENTE No.</w:t>
    </w:r>
    <w:r w:rsidR="00367C1E">
      <w:rPr>
        <w:rFonts w:asciiTheme="majorHAnsi" w:hAnsiTheme="majorHAnsi" w:cs="Iskoola Pota"/>
        <w:i/>
        <w:sz w:val="16"/>
        <w:lang w:val="es-CO"/>
      </w:rPr>
      <w:t xml:space="preserve"> </w:t>
    </w:r>
    <w:r w:rsidRPr="00A804BB">
      <w:rPr>
        <w:rFonts w:asciiTheme="majorHAnsi" w:hAnsiTheme="majorHAnsi" w:cs="Iskoola Pota"/>
        <w:i/>
        <w:sz w:val="16"/>
        <w:lang w:val="es-CO"/>
      </w:rPr>
      <w:t>20</w:t>
    </w:r>
    <w:r w:rsidR="00BD3D8C" w:rsidRPr="00A804BB">
      <w:rPr>
        <w:rFonts w:asciiTheme="majorHAnsi" w:hAnsiTheme="majorHAnsi" w:cs="Iskoola Pota"/>
        <w:i/>
        <w:sz w:val="16"/>
        <w:lang w:val="es-CO"/>
      </w:rPr>
      <w:t>1</w:t>
    </w:r>
    <w:r w:rsidR="00637A27" w:rsidRPr="00A804BB">
      <w:rPr>
        <w:rFonts w:asciiTheme="majorHAnsi" w:hAnsiTheme="majorHAnsi" w:cs="Iskoola Pota"/>
        <w:i/>
        <w:sz w:val="16"/>
        <w:lang w:val="es-CO"/>
      </w:rPr>
      <w:t>8</w:t>
    </w:r>
    <w:r w:rsidRPr="00A804BB">
      <w:rPr>
        <w:rFonts w:asciiTheme="majorHAnsi" w:hAnsiTheme="majorHAnsi" w:cs="Iskoola Pota"/>
        <w:i/>
        <w:sz w:val="16"/>
        <w:lang w:val="es-CO"/>
      </w:rPr>
      <w:t>-00</w:t>
    </w:r>
    <w:r w:rsidR="00637A27" w:rsidRPr="00A804BB">
      <w:rPr>
        <w:rFonts w:asciiTheme="majorHAnsi" w:hAnsiTheme="majorHAnsi" w:cs="Iskoola Pota"/>
        <w:i/>
        <w:sz w:val="16"/>
        <w:lang w:val="es-CO"/>
      </w:rPr>
      <w:t>311</w:t>
    </w:r>
    <w:r w:rsidRPr="00A804BB">
      <w:rPr>
        <w:rFonts w:asciiTheme="majorHAnsi" w:hAnsiTheme="majorHAnsi" w:cs="Iskoola Pota"/>
        <w:i/>
        <w:sz w:val="16"/>
        <w:lang w:val="es-CO"/>
      </w:rPr>
      <w:t>-01</w:t>
    </w:r>
  </w:p>
  <w:p w14:paraId="10B8F2A1" w14:textId="77777777" w:rsidR="00CF2BC2" w:rsidRPr="006F2303" w:rsidRDefault="00CF2BC2" w:rsidP="00585B94">
    <w:pPr>
      <w:pStyle w:val="Encabezado"/>
      <w:jc w:val="right"/>
      <w:rPr>
        <w:rFonts w:ascii="Calibri" w:hAnsi="Calibri" w:cs="Calibri"/>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4F0"/>
    <w:multiLevelType w:val="hybridMultilevel"/>
    <w:tmpl w:val="E3CEF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15:restartNumberingAfterBreak="0">
    <w:nsid w:val="155E6D5D"/>
    <w:multiLevelType w:val="multilevel"/>
    <w:tmpl w:val="B72EF83A"/>
    <w:lvl w:ilvl="0">
      <w:start w:val="4"/>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2DA53BD3"/>
    <w:multiLevelType w:val="hybridMultilevel"/>
    <w:tmpl w:val="80E2D34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33E195C"/>
    <w:multiLevelType w:val="hybridMultilevel"/>
    <w:tmpl w:val="25CC85E6"/>
    <w:lvl w:ilvl="0" w:tplc="26DE591C">
      <w:start w:val="1"/>
      <w:numFmt w:val="decimal"/>
      <w:lvlText w:val="%1."/>
      <w:lvlJc w:val="left"/>
      <w:pPr>
        <w:ind w:left="360" w:hanging="360"/>
      </w:pPr>
      <w:rPr>
        <w:rFonts w:hint="default"/>
        <w:b/>
        <w:caps w:val="0"/>
        <w:smallCaps w:val="0"/>
        <w:color w:val="000000" w:themeColor="text1"/>
        <w:spacing w:val="0"/>
        <w:sz w:val="28"/>
        <w:szCs w:val="24"/>
        <w14:glow w14:rad="0">
          <w14:srgbClr w14:val="000000"/>
        </w14:glow>
        <w14:shadow w14:blurRad="12700" w14:dist="38100" w14:dir="2700000" w14:sx="100000" w14:sy="100000" w14:kx="0" w14:ky="0" w14:algn="tl">
          <w14:schemeClr w14:val="bg1">
            <w14:lumMod w14:val="50000"/>
          </w14:schemeClr>
        </w14:shadow>
        <w14:reflection w14:blurRad="0" w14:stA="0" w14:stPos="0" w14:endA="0" w14:endPos="0" w14:dist="0" w14:dir="0" w14:fadeDir="0" w14:sx="0" w14:sy="0" w14:kx="0" w14:ky="0" w14:algn="none"/>
        <w14:textOutline w14:w="9525" w14:cap="flat" w14:cmpd="sng" w14:algn="ctr">
          <w14:solidFill>
            <w14:schemeClr w14:val="bg1"/>
          </w14:solidFill>
          <w14:prstDash w14:val="solid"/>
          <w14:round/>
        </w14:textOutline>
        <w14:props3d w14:extrusionH="0" w14:contourW="0" w14:prstMaterial="none"/>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15:restartNumberingAfterBreak="0">
    <w:nsid w:val="42F45B7E"/>
    <w:multiLevelType w:val="multilevel"/>
    <w:tmpl w:val="70B0742C"/>
    <w:lvl w:ilvl="0">
      <w:start w:val="4"/>
      <w:numFmt w:val="decimal"/>
      <w:lvlText w:val="%1."/>
      <w:lvlJc w:val="left"/>
      <w:pPr>
        <w:ind w:left="435" w:hanging="435"/>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6" w15:restartNumberingAfterBreak="0">
    <w:nsid w:val="52D329C7"/>
    <w:multiLevelType w:val="multilevel"/>
    <w:tmpl w:val="EDC67C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69BE7731"/>
    <w:multiLevelType w:val="multilevel"/>
    <w:tmpl w:val="E62473B6"/>
    <w:lvl w:ilvl="0">
      <w:start w:val="4"/>
      <w:numFmt w:val="decimal"/>
      <w:lvlText w:val="%1."/>
      <w:lvlJc w:val="left"/>
      <w:pPr>
        <w:ind w:left="400" w:hanging="400"/>
      </w:pPr>
      <w:rPr>
        <w:rFonts w:hint="default"/>
        <w:sz w:val="24"/>
        <w:szCs w:val="24"/>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D581253"/>
    <w:multiLevelType w:val="multilevel"/>
    <w:tmpl w:val="672C870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4"/>
  </w:num>
  <w:num w:numId="4">
    <w:abstractNumId w:val="8"/>
  </w:num>
  <w:num w:numId="5">
    <w:abstractNumId w:val="1"/>
  </w:num>
  <w:num w:numId="6">
    <w:abstractNumId w:val="7"/>
  </w:num>
  <w:num w:numId="7">
    <w:abstractNumId w:val="2"/>
  </w:num>
  <w:num w:numId="8">
    <w:abstractNumId w:val="0"/>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C8"/>
    <w:rsid w:val="0000074F"/>
    <w:rsid w:val="00001853"/>
    <w:rsid w:val="000037BB"/>
    <w:rsid w:val="00024513"/>
    <w:rsid w:val="00024962"/>
    <w:rsid w:val="000257D4"/>
    <w:rsid w:val="00026A0B"/>
    <w:rsid w:val="000277D9"/>
    <w:rsid w:val="00031E8F"/>
    <w:rsid w:val="00032170"/>
    <w:rsid w:val="0003270C"/>
    <w:rsid w:val="00033C34"/>
    <w:rsid w:val="0004057A"/>
    <w:rsid w:val="00041035"/>
    <w:rsid w:val="00045583"/>
    <w:rsid w:val="0005335E"/>
    <w:rsid w:val="00053CED"/>
    <w:rsid w:val="00064B59"/>
    <w:rsid w:val="00065659"/>
    <w:rsid w:val="00073FC1"/>
    <w:rsid w:val="0008075F"/>
    <w:rsid w:val="00082B69"/>
    <w:rsid w:val="0008352A"/>
    <w:rsid w:val="00084C89"/>
    <w:rsid w:val="00095957"/>
    <w:rsid w:val="0009631B"/>
    <w:rsid w:val="000A0D0F"/>
    <w:rsid w:val="000A3570"/>
    <w:rsid w:val="000A6D32"/>
    <w:rsid w:val="000B0AA5"/>
    <w:rsid w:val="000C072E"/>
    <w:rsid w:val="000C0AD3"/>
    <w:rsid w:val="000D198F"/>
    <w:rsid w:val="000D571D"/>
    <w:rsid w:val="000D5F5F"/>
    <w:rsid w:val="000E0A1E"/>
    <w:rsid w:val="000E35DB"/>
    <w:rsid w:val="000E770D"/>
    <w:rsid w:val="000F0859"/>
    <w:rsid w:val="000F3C9E"/>
    <w:rsid w:val="00102AEE"/>
    <w:rsid w:val="00103097"/>
    <w:rsid w:val="00103F51"/>
    <w:rsid w:val="00116E14"/>
    <w:rsid w:val="001203E2"/>
    <w:rsid w:val="00121C98"/>
    <w:rsid w:val="0012212E"/>
    <w:rsid w:val="00123173"/>
    <w:rsid w:val="001249D1"/>
    <w:rsid w:val="00125206"/>
    <w:rsid w:val="0012615B"/>
    <w:rsid w:val="001261EC"/>
    <w:rsid w:val="0012762C"/>
    <w:rsid w:val="00130697"/>
    <w:rsid w:val="001333D9"/>
    <w:rsid w:val="00133642"/>
    <w:rsid w:val="00134343"/>
    <w:rsid w:val="0013486D"/>
    <w:rsid w:val="00136209"/>
    <w:rsid w:val="0013799C"/>
    <w:rsid w:val="0014171F"/>
    <w:rsid w:val="0014183E"/>
    <w:rsid w:val="00144F59"/>
    <w:rsid w:val="001469BE"/>
    <w:rsid w:val="00147B6F"/>
    <w:rsid w:val="00154E71"/>
    <w:rsid w:val="001575EA"/>
    <w:rsid w:val="001605CE"/>
    <w:rsid w:val="001720A4"/>
    <w:rsid w:val="00181456"/>
    <w:rsid w:val="00182CE6"/>
    <w:rsid w:val="00187F98"/>
    <w:rsid w:val="00193EF3"/>
    <w:rsid w:val="00195679"/>
    <w:rsid w:val="001A04E5"/>
    <w:rsid w:val="001B103C"/>
    <w:rsid w:val="001B2CC7"/>
    <w:rsid w:val="001B51FB"/>
    <w:rsid w:val="001C3FEE"/>
    <w:rsid w:val="001C486D"/>
    <w:rsid w:val="001D022B"/>
    <w:rsid w:val="001D1A8E"/>
    <w:rsid w:val="001D345B"/>
    <w:rsid w:val="001D35E7"/>
    <w:rsid w:val="001D4EA0"/>
    <w:rsid w:val="001E15ED"/>
    <w:rsid w:val="001E217C"/>
    <w:rsid w:val="001E507E"/>
    <w:rsid w:val="001E5F3E"/>
    <w:rsid w:val="001E6028"/>
    <w:rsid w:val="001E6688"/>
    <w:rsid w:val="001E7E1D"/>
    <w:rsid w:val="001F061C"/>
    <w:rsid w:val="001F1AC3"/>
    <w:rsid w:val="001F7989"/>
    <w:rsid w:val="00202278"/>
    <w:rsid w:val="00202459"/>
    <w:rsid w:val="00204422"/>
    <w:rsid w:val="002069DC"/>
    <w:rsid w:val="0021100C"/>
    <w:rsid w:val="00214826"/>
    <w:rsid w:val="00225EBD"/>
    <w:rsid w:val="00231A7F"/>
    <w:rsid w:val="00231C63"/>
    <w:rsid w:val="00231EC9"/>
    <w:rsid w:val="0023594A"/>
    <w:rsid w:val="00237760"/>
    <w:rsid w:val="00237DB5"/>
    <w:rsid w:val="00241D5D"/>
    <w:rsid w:val="0024283A"/>
    <w:rsid w:val="00244FE8"/>
    <w:rsid w:val="0024635D"/>
    <w:rsid w:val="002508C8"/>
    <w:rsid w:val="00250A89"/>
    <w:rsid w:val="0025269F"/>
    <w:rsid w:val="00262AA5"/>
    <w:rsid w:val="002643C1"/>
    <w:rsid w:val="00264C32"/>
    <w:rsid w:val="00267E63"/>
    <w:rsid w:val="002720BB"/>
    <w:rsid w:val="00276FBD"/>
    <w:rsid w:val="00283F3B"/>
    <w:rsid w:val="00284272"/>
    <w:rsid w:val="002954B9"/>
    <w:rsid w:val="00295B68"/>
    <w:rsid w:val="00297A18"/>
    <w:rsid w:val="002A2C45"/>
    <w:rsid w:val="002A3A14"/>
    <w:rsid w:val="002A4492"/>
    <w:rsid w:val="002A6143"/>
    <w:rsid w:val="002B3782"/>
    <w:rsid w:val="002B63B1"/>
    <w:rsid w:val="002C082F"/>
    <w:rsid w:val="002C20A1"/>
    <w:rsid w:val="002C3054"/>
    <w:rsid w:val="002C3923"/>
    <w:rsid w:val="002C3B74"/>
    <w:rsid w:val="002D6801"/>
    <w:rsid w:val="002D7035"/>
    <w:rsid w:val="002E1265"/>
    <w:rsid w:val="002E3F14"/>
    <w:rsid w:val="002F0156"/>
    <w:rsid w:val="002F109A"/>
    <w:rsid w:val="002F17B8"/>
    <w:rsid w:val="002F3960"/>
    <w:rsid w:val="002F41F8"/>
    <w:rsid w:val="00300CA0"/>
    <w:rsid w:val="00303545"/>
    <w:rsid w:val="00305FD8"/>
    <w:rsid w:val="003101D8"/>
    <w:rsid w:val="00310452"/>
    <w:rsid w:val="00313209"/>
    <w:rsid w:val="0031546B"/>
    <w:rsid w:val="00316338"/>
    <w:rsid w:val="00316AD3"/>
    <w:rsid w:val="00321EB0"/>
    <w:rsid w:val="0032336B"/>
    <w:rsid w:val="00323FAA"/>
    <w:rsid w:val="00332BA5"/>
    <w:rsid w:val="003378C2"/>
    <w:rsid w:val="00344B8C"/>
    <w:rsid w:val="00345277"/>
    <w:rsid w:val="003469CD"/>
    <w:rsid w:val="003475B0"/>
    <w:rsid w:val="00354A55"/>
    <w:rsid w:val="00355163"/>
    <w:rsid w:val="00360E12"/>
    <w:rsid w:val="0036415A"/>
    <w:rsid w:val="00364A03"/>
    <w:rsid w:val="003677FC"/>
    <w:rsid w:val="00367C1E"/>
    <w:rsid w:val="0037017B"/>
    <w:rsid w:val="00374B39"/>
    <w:rsid w:val="00374FC1"/>
    <w:rsid w:val="003755AA"/>
    <w:rsid w:val="003755C9"/>
    <w:rsid w:val="00385E58"/>
    <w:rsid w:val="00387DA1"/>
    <w:rsid w:val="0039148D"/>
    <w:rsid w:val="003918CD"/>
    <w:rsid w:val="00395097"/>
    <w:rsid w:val="00395DD3"/>
    <w:rsid w:val="00395FA8"/>
    <w:rsid w:val="003A0252"/>
    <w:rsid w:val="003A0668"/>
    <w:rsid w:val="003A1DF5"/>
    <w:rsid w:val="003B0ABD"/>
    <w:rsid w:val="003B0B26"/>
    <w:rsid w:val="003B6759"/>
    <w:rsid w:val="003B6A33"/>
    <w:rsid w:val="003B7F40"/>
    <w:rsid w:val="003C23B2"/>
    <w:rsid w:val="003C7277"/>
    <w:rsid w:val="003D05FD"/>
    <w:rsid w:val="003D1EC4"/>
    <w:rsid w:val="003D1FEE"/>
    <w:rsid w:val="003D338B"/>
    <w:rsid w:val="003D637D"/>
    <w:rsid w:val="003D6411"/>
    <w:rsid w:val="003E05A3"/>
    <w:rsid w:val="003E0BE1"/>
    <w:rsid w:val="003E1342"/>
    <w:rsid w:val="003E18D8"/>
    <w:rsid w:val="003E746F"/>
    <w:rsid w:val="003F751D"/>
    <w:rsid w:val="00402E7F"/>
    <w:rsid w:val="004042B6"/>
    <w:rsid w:val="0040704F"/>
    <w:rsid w:val="004145E9"/>
    <w:rsid w:val="004157A4"/>
    <w:rsid w:val="00415D29"/>
    <w:rsid w:val="004171D2"/>
    <w:rsid w:val="00423F93"/>
    <w:rsid w:val="00424F04"/>
    <w:rsid w:val="004276EF"/>
    <w:rsid w:val="0043241F"/>
    <w:rsid w:val="00433CB1"/>
    <w:rsid w:val="00435A8C"/>
    <w:rsid w:val="00436498"/>
    <w:rsid w:val="00436600"/>
    <w:rsid w:val="00440F44"/>
    <w:rsid w:val="004466E8"/>
    <w:rsid w:val="00450514"/>
    <w:rsid w:val="00451704"/>
    <w:rsid w:val="00452F01"/>
    <w:rsid w:val="00453CA1"/>
    <w:rsid w:val="00457FA5"/>
    <w:rsid w:val="00462734"/>
    <w:rsid w:val="0046365F"/>
    <w:rsid w:val="004657AC"/>
    <w:rsid w:val="00471258"/>
    <w:rsid w:val="0047403E"/>
    <w:rsid w:val="00476C23"/>
    <w:rsid w:val="00480A57"/>
    <w:rsid w:val="00480C2B"/>
    <w:rsid w:val="0048279C"/>
    <w:rsid w:val="00483AB9"/>
    <w:rsid w:val="00491A48"/>
    <w:rsid w:val="004938AF"/>
    <w:rsid w:val="0049577F"/>
    <w:rsid w:val="004B0DAC"/>
    <w:rsid w:val="004B283C"/>
    <w:rsid w:val="004B78E0"/>
    <w:rsid w:val="004C269E"/>
    <w:rsid w:val="004C5362"/>
    <w:rsid w:val="004C742E"/>
    <w:rsid w:val="004D5521"/>
    <w:rsid w:val="004D5BF9"/>
    <w:rsid w:val="004D7E59"/>
    <w:rsid w:val="004E0A26"/>
    <w:rsid w:val="004F34F3"/>
    <w:rsid w:val="004F4A0C"/>
    <w:rsid w:val="004F63B7"/>
    <w:rsid w:val="00502897"/>
    <w:rsid w:val="005033BE"/>
    <w:rsid w:val="0050431E"/>
    <w:rsid w:val="005067BB"/>
    <w:rsid w:val="005073A0"/>
    <w:rsid w:val="00510F15"/>
    <w:rsid w:val="00521784"/>
    <w:rsid w:val="005235C4"/>
    <w:rsid w:val="00525319"/>
    <w:rsid w:val="00527468"/>
    <w:rsid w:val="005314D7"/>
    <w:rsid w:val="005328FB"/>
    <w:rsid w:val="0053348A"/>
    <w:rsid w:val="00533EA3"/>
    <w:rsid w:val="00534744"/>
    <w:rsid w:val="00540948"/>
    <w:rsid w:val="00547417"/>
    <w:rsid w:val="00554579"/>
    <w:rsid w:val="00556DC6"/>
    <w:rsid w:val="0056049A"/>
    <w:rsid w:val="00560A13"/>
    <w:rsid w:val="00570657"/>
    <w:rsid w:val="00571C50"/>
    <w:rsid w:val="005725C5"/>
    <w:rsid w:val="005737A8"/>
    <w:rsid w:val="00573E21"/>
    <w:rsid w:val="005760BE"/>
    <w:rsid w:val="00580988"/>
    <w:rsid w:val="00584F0C"/>
    <w:rsid w:val="00585B94"/>
    <w:rsid w:val="0058654F"/>
    <w:rsid w:val="00594009"/>
    <w:rsid w:val="00595F4D"/>
    <w:rsid w:val="005962AF"/>
    <w:rsid w:val="00596C73"/>
    <w:rsid w:val="005A0E1D"/>
    <w:rsid w:val="005A4EAF"/>
    <w:rsid w:val="005B0036"/>
    <w:rsid w:val="005B0B83"/>
    <w:rsid w:val="005B1749"/>
    <w:rsid w:val="005B3F17"/>
    <w:rsid w:val="005B51AB"/>
    <w:rsid w:val="005B7C4B"/>
    <w:rsid w:val="005C08CE"/>
    <w:rsid w:val="005C2407"/>
    <w:rsid w:val="005D1D85"/>
    <w:rsid w:val="005D24AC"/>
    <w:rsid w:val="005D42F4"/>
    <w:rsid w:val="005D5F25"/>
    <w:rsid w:val="005D5F82"/>
    <w:rsid w:val="005D66BB"/>
    <w:rsid w:val="005D7F3E"/>
    <w:rsid w:val="005E0907"/>
    <w:rsid w:val="005E0EF5"/>
    <w:rsid w:val="005E716C"/>
    <w:rsid w:val="005F10C5"/>
    <w:rsid w:val="005F2C64"/>
    <w:rsid w:val="005F3A7D"/>
    <w:rsid w:val="005F4DF6"/>
    <w:rsid w:val="005F50FC"/>
    <w:rsid w:val="00602CAB"/>
    <w:rsid w:val="00610142"/>
    <w:rsid w:val="00612EBD"/>
    <w:rsid w:val="0061392E"/>
    <w:rsid w:val="006167BC"/>
    <w:rsid w:val="006215AA"/>
    <w:rsid w:val="00625903"/>
    <w:rsid w:val="00637A27"/>
    <w:rsid w:val="00640F5C"/>
    <w:rsid w:val="00642AD4"/>
    <w:rsid w:val="006434AD"/>
    <w:rsid w:val="00644FD2"/>
    <w:rsid w:val="006503FC"/>
    <w:rsid w:val="006504BC"/>
    <w:rsid w:val="00651590"/>
    <w:rsid w:val="00653B63"/>
    <w:rsid w:val="00653E8E"/>
    <w:rsid w:val="00656489"/>
    <w:rsid w:val="00657D91"/>
    <w:rsid w:val="00657E95"/>
    <w:rsid w:val="0066267B"/>
    <w:rsid w:val="00663304"/>
    <w:rsid w:val="006643F5"/>
    <w:rsid w:val="00664C8A"/>
    <w:rsid w:val="00665413"/>
    <w:rsid w:val="00672632"/>
    <w:rsid w:val="00674D49"/>
    <w:rsid w:val="0067565D"/>
    <w:rsid w:val="0067615B"/>
    <w:rsid w:val="00676D5F"/>
    <w:rsid w:val="00680E0E"/>
    <w:rsid w:val="00681918"/>
    <w:rsid w:val="006838A2"/>
    <w:rsid w:val="00684E4A"/>
    <w:rsid w:val="00686970"/>
    <w:rsid w:val="00686AA8"/>
    <w:rsid w:val="00687A40"/>
    <w:rsid w:val="006925C3"/>
    <w:rsid w:val="00693EEF"/>
    <w:rsid w:val="006A37C0"/>
    <w:rsid w:val="006A52B5"/>
    <w:rsid w:val="006A585E"/>
    <w:rsid w:val="006B17C9"/>
    <w:rsid w:val="006B1D95"/>
    <w:rsid w:val="006B29D1"/>
    <w:rsid w:val="006B5855"/>
    <w:rsid w:val="006B7FDF"/>
    <w:rsid w:val="006C1578"/>
    <w:rsid w:val="006C61B8"/>
    <w:rsid w:val="006D0895"/>
    <w:rsid w:val="006D1431"/>
    <w:rsid w:val="006D1BF2"/>
    <w:rsid w:val="006D6072"/>
    <w:rsid w:val="006D72FA"/>
    <w:rsid w:val="006E29D1"/>
    <w:rsid w:val="006E6DCB"/>
    <w:rsid w:val="006E788B"/>
    <w:rsid w:val="006F1452"/>
    <w:rsid w:val="006F2303"/>
    <w:rsid w:val="006F5528"/>
    <w:rsid w:val="006F6DA6"/>
    <w:rsid w:val="00701405"/>
    <w:rsid w:val="00707831"/>
    <w:rsid w:val="007116D7"/>
    <w:rsid w:val="00723703"/>
    <w:rsid w:val="007246DC"/>
    <w:rsid w:val="007260AC"/>
    <w:rsid w:val="00730E6F"/>
    <w:rsid w:val="00731292"/>
    <w:rsid w:val="00731779"/>
    <w:rsid w:val="00731A6A"/>
    <w:rsid w:val="00740B73"/>
    <w:rsid w:val="0074466A"/>
    <w:rsid w:val="00756496"/>
    <w:rsid w:val="00762D02"/>
    <w:rsid w:val="00767E8A"/>
    <w:rsid w:val="00771991"/>
    <w:rsid w:val="00772EBC"/>
    <w:rsid w:val="007816C9"/>
    <w:rsid w:val="007860C0"/>
    <w:rsid w:val="007A0FC4"/>
    <w:rsid w:val="007A203D"/>
    <w:rsid w:val="007B0B58"/>
    <w:rsid w:val="007B48F5"/>
    <w:rsid w:val="007C0444"/>
    <w:rsid w:val="007C2D3D"/>
    <w:rsid w:val="007C37EE"/>
    <w:rsid w:val="007C760F"/>
    <w:rsid w:val="007C7FFE"/>
    <w:rsid w:val="007D2348"/>
    <w:rsid w:val="007D469C"/>
    <w:rsid w:val="007D4C22"/>
    <w:rsid w:val="007D58AF"/>
    <w:rsid w:val="007E3E43"/>
    <w:rsid w:val="007E40E0"/>
    <w:rsid w:val="007E52F9"/>
    <w:rsid w:val="007E5C52"/>
    <w:rsid w:val="007F31A8"/>
    <w:rsid w:val="007F6B11"/>
    <w:rsid w:val="00801268"/>
    <w:rsid w:val="00802837"/>
    <w:rsid w:val="00812438"/>
    <w:rsid w:val="00812CAA"/>
    <w:rsid w:val="0083071A"/>
    <w:rsid w:val="00836EE1"/>
    <w:rsid w:val="008400E1"/>
    <w:rsid w:val="00841492"/>
    <w:rsid w:val="00843E7D"/>
    <w:rsid w:val="00844A81"/>
    <w:rsid w:val="00845DB6"/>
    <w:rsid w:val="00847609"/>
    <w:rsid w:val="00851DF5"/>
    <w:rsid w:val="00852028"/>
    <w:rsid w:val="00855783"/>
    <w:rsid w:val="00855B79"/>
    <w:rsid w:val="0086065B"/>
    <w:rsid w:val="00861EC0"/>
    <w:rsid w:val="00866786"/>
    <w:rsid w:val="00866CEB"/>
    <w:rsid w:val="008701DF"/>
    <w:rsid w:val="00870960"/>
    <w:rsid w:val="00870DD8"/>
    <w:rsid w:val="00872615"/>
    <w:rsid w:val="00872825"/>
    <w:rsid w:val="008755F7"/>
    <w:rsid w:val="00875C10"/>
    <w:rsid w:val="00877D36"/>
    <w:rsid w:val="0088160B"/>
    <w:rsid w:val="008819CB"/>
    <w:rsid w:val="00886FE9"/>
    <w:rsid w:val="008922FC"/>
    <w:rsid w:val="00892EC7"/>
    <w:rsid w:val="00892FB7"/>
    <w:rsid w:val="008934E6"/>
    <w:rsid w:val="00894746"/>
    <w:rsid w:val="00894D1F"/>
    <w:rsid w:val="00896FC3"/>
    <w:rsid w:val="00897D2F"/>
    <w:rsid w:val="008A2113"/>
    <w:rsid w:val="008A2989"/>
    <w:rsid w:val="008B681A"/>
    <w:rsid w:val="008B6D65"/>
    <w:rsid w:val="008C0591"/>
    <w:rsid w:val="008C6AB2"/>
    <w:rsid w:val="008D08BC"/>
    <w:rsid w:val="008D0A65"/>
    <w:rsid w:val="008D2823"/>
    <w:rsid w:val="008D4F8E"/>
    <w:rsid w:val="008D6B5E"/>
    <w:rsid w:val="008E015B"/>
    <w:rsid w:val="008E0D48"/>
    <w:rsid w:val="008E12EC"/>
    <w:rsid w:val="008E3261"/>
    <w:rsid w:val="008E4F0D"/>
    <w:rsid w:val="008F13E9"/>
    <w:rsid w:val="008F1AA8"/>
    <w:rsid w:val="008F4CB6"/>
    <w:rsid w:val="008F5F03"/>
    <w:rsid w:val="0090333F"/>
    <w:rsid w:val="00912B1B"/>
    <w:rsid w:val="0091310A"/>
    <w:rsid w:val="00913BCC"/>
    <w:rsid w:val="0091C7A6"/>
    <w:rsid w:val="00923C64"/>
    <w:rsid w:val="009246AC"/>
    <w:rsid w:val="00924D9D"/>
    <w:rsid w:val="00934BB4"/>
    <w:rsid w:val="0093624A"/>
    <w:rsid w:val="00941FCD"/>
    <w:rsid w:val="00951C2E"/>
    <w:rsid w:val="009645BB"/>
    <w:rsid w:val="00971480"/>
    <w:rsid w:val="009721FE"/>
    <w:rsid w:val="00973C50"/>
    <w:rsid w:val="00977144"/>
    <w:rsid w:val="00977E7F"/>
    <w:rsid w:val="009806FC"/>
    <w:rsid w:val="0098264E"/>
    <w:rsid w:val="00982B46"/>
    <w:rsid w:val="00982D1F"/>
    <w:rsid w:val="00984E65"/>
    <w:rsid w:val="009A15BE"/>
    <w:rsid w:val="009A5AA5"/>
    <w:rsid w:val="009A7938"/>
    <w:rsid w:val="009B3602"/>
    <w:rsid w:val="009B44B4"/>
    <w:rsid w:val="009B5BBC"/>
    <w:rsid w:val="009B65E5"/>
    <w:rsid w:val="009B710A"/>
    <w:rsid w:val="009C0897"/>
    <w:rsid w:val="009C10BA"/>
    <w:rsid w:val="009C2D71"/>
    <w:rsid w:val="009D64AB"/>
    <w:rsid w:val="009E0216"/>
    <w:rsid w:val="009E0EA2"/>
    <w:rsid w:val="009E1ACB"/>
    <w:rsid w:val="009E4D2B"/>
    <w:rsid w:val="009E65DF"/>
    <w:rsid w:val="009E6B4F"/>
    <w:rsid w:val="009F1427"/>
    <w:rsid w:val="009F2D8F"/>
    <w:rsid w:val="009F76D7"/>
    <w:rsid w:val="00A01106"/>
    <w:rsid w:val="00A04C6B"/>
    <w:rsid w:val="00A05BFA"/>
    <w:rsid w:val="00A062F3"/>
    <w:rsid w:val="00A10745"/>
    <w:rsid w:val="00A11372"/>
    <w:rsid w:val="00A14F72"/>
    <w:rsid w:val="00A163BD"/>
    <w:rsid w:val="00A170E4"/>
    <w:rsid w:val="00A238E3"/>
    <w:rsid w:val="00A24704"/>
    <w:rsid w:val="00A33BF7"/>
    <w:rsid w:val="00A54805"/>
    <w:rsid w:val="00A56F54"/>
    <w:rsid w:val="00A57F6E"/>
    <w:rsid w:val="00A703E3"/>
    <w:rsid w:val="00A72BB3"/>
    <w:rsid w:val="00A72CE2"/>
    <w:rsid w:val="00A74242"/>
    <w:rsid w:val="00A74260"/>
    <w:rsid w:val="00A77B60"/>
    <w:rsid w:val="00A804BB"/>
    <w:rsid w:val="00A87098"/>
    <w:rsid w:val="00A879A3"/>
    <w:rsid w:val="00A87BFE"/>
    <w:rsid w:val="00A95343"/>
    <w:rsid w:val="00A95FD6"/>
    <w:rsid w:val="00A966A2"/>
    <w:rsid w:val="00A96ADB"/>
    <w:rsid w:val="00A970DE"/>
    <w:rsid w:val="00AA0EBA"/>
    <w:rsid w:val="00AA2F1B"/>
    <w:rsid w:val="00AA3772"/>
    <w:rsid w:val="00AA52EE"/>
    <w:rsid w:val="00AB28B5"/>
    <w:rsid w:val="00AB630B"/>
    <w:rsid w:val="00AC3AFA"/>
    <w:rsid w:val="00AC4819"/>
    <w:rsid w:val="00AC5D57"/>
    <w:rsid w:val="00AC6D78"/>
    <w:rsid w:val="00AC7E0E"/>
    <w:rsid w:val="00AD11C0"/>
    <w:rsid w:val="00AD15E2"/>
    <w:rsid w:val="00AD1F9C"/>
    <w:rsid w:val="00AD6960"/>
    <w:rsid w:val="00AF0BEB"/>
    <w:rsid w:val="00AF4A81"/>
    <w:rsid w:val="00AF5519"/>
    <w:rsid w:val="00AF581F"/>
    <w:rsid w:val="00B0164D"/>
    <w:rsid w:val="00B0422C"/>
    <w:rsid w:val="00B12609"/>
    <w:rsid w:val="00B15897"/>
    <w:rsid w:val="00B2078D"/>
    <w:rsid w:val="00B20C5E"/>
    <w:rsid w:val="00B2546D"/>
    <w:rsid w:val="00B27CC5"/>
    <w:rsid w:val="00B30F47"/>
    <w:rsid w:val="00B31648"/>
    <w:rsid w:val="00B3269C"/>
    <w:rsid w:val="00B3707F"/>
    <w:rsid w:val="00B37E74"/>
    <w:rsid w:val="00B40A31"/>
    <w:rsid w:val="00B40F83"/>
    <w:rsid w:val="00B50E55"/>
    <w:rsid w:val="00B51359"/>
    <w:rsid w:val="00B57BC0"/>
    <w:rsid w:val="00B6337A"/>
    <w:rsid w:val="00B7015D"/>
    <w:rsid w:val="00B70B6C"/>
    <w:rsid w:val="00B70B6D"/>
    <w:rsid w:val="00B80408"/>
    <w:rsid w:val="00B806ED"/>
    <w:rsid w:val="00B80AB6"/>
    <w:rsid w:val="00B82F1C"/>
    <w:rsid w:val="00B87EDA"/>
    <w:rsid w:val="00B92401"/>
    <w:rsid w:val="00B92AB4"/>
    <w:rsid w:val="00B93F8C"/>
    <w:rsid w:val="00B960DF"/>
    <w:rsid w:val="00BA1C8C"/>
    <w:rsid w:val="00BA2013"/>
    <w:rsid w:val="00BA594C"/>
    <w:rsid w:val="00BA7888"/>
    <w:rsid w:val="00BB39DE"/>
    <w:rsid w:val="00BB7112"/>
    <w:rsid w:val="00BC30E1"/>
    <w:rsid w:val="00BC5F1F"/>
    <w:rsid w:val="00BD0A28"/>
    <w:rsid w:val="00BD12C5"/>
    <w:rsid w:val="00BD1BDA"/>
    <w:rsid w:val="00BD207B"/>
    <w:rsid w:val="00BD3D8C"/>
    <w:rsid w:val="00BD4330"/>
    <w:rsid w:val="00BD7CFA"/>
    <w:rsid w:val="00BE0457"/>
    <w:rsid w:val="00BE0C8F"/>
    <w:rsid w:val="00BE0E76"/>
    <w:rsid w:val="00BE2C52"/>
    <w:rsid w:val="00BF05B9"/>
    <w:rsid w:val="00BF1631"/>
    <w:rsid w:val="00BF4F29"/>
    <w:rsid w:val="00BF54BA"/>
    <w:rsid w:val="00BF6D42"/>
    <w:rsid w:val="00C020C1"/>
    <w:rsid w:val="00C05206"/>
    <w:rsid w:val="00C06EDA"/>
    <w:rsid w:val="00C06FCD"/>
    <w:rsid w:val="00C07E01"/>
    <w:rsid w:val="00C10B9D"/>
    <w:rsid w:val="00C11280"/>
    <w:rsid w:val="00C1466E"/>
    <w:rsid w:val="00C206CD"/>
    <w:rsid w:val="00C2164E"/>
    <w:rsid w:val="00C23F12"/>
    <w:rsid w:val="00C25D91"/>
    <w:rsid w:val="00C318EE"/>
    <w:rsid w:val="00C34B6F"/>
    <w:rsid w:val="00C35F68"/>
    <w:rsid w:val="00C37B5C"/>
    <w:rsid w:val="00C42051"/>
    <w:rsid w:val="00C43287"/>
    <w:rsid w:val="00C44EDE"/>
    <w:rsid w:val="00C52CF4"/>
    <w:rsid w:val="00C545C3"/>
    <w:rsid w:val="00C6248F"/>
    <w:rsid w:val="00C6379E"/>
    <w:rsid w:val="00C66938"/>
    <w:rsid w:val="00C67CDE"/>
    <w:rsid w:val="00C72386"/>
    <w:rsid w:val="00C73C8D"/>
    <w:rsid w:val="00C74101"/>
    <w:rsid w:val="00C74ACB"/>
    <w:rsid w:val="00C820A5"/>
    <w:rsid w:val="00C85F9E"/>
    <w:rsid w:val="00C861F3"/>
    <w:rsid w:val="00C87109"/>
    <w:rsid w:val="00C87903"/>
    <w:rsid w:val="00C9261A"/>
    <w:rsid w:val="00C93D6D"/>
    <w:rsid w:val="00C95487"/>
    <w:rsid w:val="00CA3BCF"/>
    <w:rsid w:val="00CA48FA"/>
    <w:rsid w:val="00CB6BFA"/>
    <w:rsid w:val="00CC0F99"/>
    <w:rsid w:val="00CC3457"/>
    <w:rsid w:val="00CC41F7"/>
    <w:rsid w:val="00CC6516"/>
    <w:rsid w:val="00CC7065"/>
    <w:rsid w:val="00CD018E"/>
    <w:rsid w:val="00CD0B7D"/>
    <w:rsid w:val="00CD46C0"/>
    <w:rsid w:val="00CE186E"/>
    <w:rsid w:val="00CE5FAF"/>
    <w:rsid w:val="00CF2BC2"/>
    <w:rsid w:val="00CF2E47"/>
    <w:rsid w:val="00CF35A6"/>
    <w:rsid w:val="00CF3C6C"/>
    <w:rsid w:val="00CF7B32"/>
    <w:rsid w:val="00D00FE9"/>
    <w:rsid w:val="00D04AD6"/>
    <w:rsid w:val="00D067C0"/>
    <w:rsid w:val="00D07372"/>
    <w:rsid w:val="00D1363F"/>
    <w:rsid w:val="00D20FE0"/>
    <w:rsid w:val="00D2626D"/>
    <w:rsid w:val="00D26C55"/>
    <w:rsid w:val="00D279DF"/>
    <w:rsid w:val="00D30A13"/>
    <w:rsid w:val="00D32AA4"/>
    <w:rsid w:val="00D32E3D"/>
    <w:rsid w:val="00D41173"/>
    <w:rsid w:val="00D50C65"/>
    <w:rsid w:val="00D5242C"/>
    <w:rsid w:val="00D5244E"/>
    <w:rsid w:val="00D53ADD"/>
    <w:rsid w:val="00D5621B"/>
    <w:rsid w:val="00D63659"/>
    <w:rsid w:val="00D63AC7"/>
    <w:rsid w:val="00D758AB"/>
    <w:rsid w:val="00D75C32"/>
    <w:rsid w:val="00D83DC4"/>
    <w:rsid w:val="00D90DCB"/>
    <w:rsid w:val="00D91179"/>
    <w:rsid w:val="00D91BEB"/>
    <w:rsid w:val="00D91D05"/>
    <w:rsid w:val="00D95C78"/>
    <w:rsid w:val="00D968A2"/>
    <w:rsid w:val="00D973D0"/>
    <w:rsid w:val="00D9750B"/>
    <w:rsid w:val="00DA3BD1"/>
    <w:rsid w:val="00DB1D36"/>
    <w:rsid w:val="00DB458F"/>
    <w:rsid w:val="00DB6059"/>
    <w:rsid w:val="00DB7C98"/>
    <w:rsid w:val="00DC173D"/>
    <w:rsid w:val="00DC4F12"/>
    <w:rsid w:val="00DC703E"/>
    <w:rsid w:val="00DD1704"/>
    <w:rsid w:val="00DD3BD8"/>
    <w:rsid w:val="00DD7872"/>
    <w:rsid w:val="00DD7EE3"/>
    <w:rsid w:val="00DE664A"/>
    <w:rsid w:val="00DF2360"/>
    <w:rsid w:val="00DF2C89"/>
    <w:rsid w:val="00DF4F66"/>
    <w:rsid w:val="00DF6816"/>
    <w:rsid w:val="00E0186B"/>
    <w:rsid w:val="00E1029B"/>
    <w:rsid w:val="00E1257F"/>
    <w:rsid w:val="00E27453"/>
    <w:rsid w:val="00E27935"/>
    <w:rsid w:val="00E30F8E"/>
    <w:rsid w:val="00E31602"/>
    <w:rsid w:val="00E37259"/>
    <w:rsid w:val="00E3739D"/>
    <w:rsid w:val="00E37456"/>
    <w:rsid w:val="00E4399D"/>
    <w:rsid w:val="00E53EA2"/>
    <w:rsid w:val="00E55393"/>
    <w:rsid w:val="00E61687"/>
    <w:rsid w:val="00E619D8"/>
    <w:rsid w:val="00E61CFE"/>
    <w:rsid w:val="00E70F59"/>
    <w:rsid w:val="00E72608"/>
    <w:rsid w:val="00E73D21"/>
    <w:rsid w:val="00E77EB2"/>
    <w:rsid w:val="00E86B83"/>
    <w:rsid w:val="00E934DA"/>
    <w:rsid w:val="00E942BA"/>
    <w:rsid w:val="00E979D2"/>
    <w:rsid w:val="00EA3DE4"/>
    <w:rsid w:val="00EA47A2"/>
    <w:rsid w:val="00EA5FE9"/>
    <w:rsid w:val="00EB19F3"/>
    <w:rsid w:val="00EB6074"/>
    <w:rsid w:val="00EB7B64"/>
    <w:rsid w:val="00EC0B17"/>
    <w:rsid w:val="00EC44E7"/>
    <w:rsid w:val="00EC519C"/>
    <w:rsid w:val="00ED0D05"/>
    <w:rsid w:val="00ED4349"/>
    <w:rsid w:val="00ED506C"/>
    <w:rsid w:val="00ED70B1"/>
    <w:rsid w:val="00EE1700"/>
    <w:rsid w:val="00EE186F"/>
    <w:rsid w:val="00EF73DE"/>
    <w:rsid w:val="00F029D8"/>
    <w:rsid w:val="00F0469C"/>
    <w:rsid w:val="00F10094"/>
    <w:rsid w:val="00F10D94"/>
    <w:rsid w:val="00F207CD"/>
    <w:rsid w:val="00F21836"/>
    <w:rsid w:val="00F25E89"/>
    <w:rsid w:val="00F3182B"/>
    <w:rsid w:val="00F3646D"/>
    <w:rsid w:val="00F36966"/>
    <w:rsid w:val="00F37133"/>
    <w:rsid w:val="00F437F8"/>
    <w:rsid w:val="00F453F1"/>
    <w:rsid w:val="00F503EE"/>
    <w:rsid w:val="00F60B33"/>
    <w:rsid w:val="00F6278C"/>
    <w:rsid w:val="00F70875"/>
    <w:rsid w:val="00F70D3D"/>
    <w:rsid w:val="00F735F8"/>
    <w:rsid w:val="00F76084"/>
    <w:rsid w:val="00F77D80"/>
    <w:rsid w:val="00F819BA"/>
    <w:rsid w:val="00F83594"/>
    <w:rsid w:val="00F91C7F"/>
    <w:rsid w:val="00F92B15"/>
    <w:rsid w:val="00F9683E"/>
    <w:rsid w:val="00FA0601"/>
    <w:rsid w:val="00FA09AB"/>
    <w:rsid w:val="00FA7D23"/>
    <w:rsid w:val="00FB14A8"/>
    <w:rsid w:val="00FB6E6C"/>
    <w:rsid w:val="00FC7FD5"/>
    <w:rsid w:val="00FD17BA"/>
    <w:rsid w:val="00FD349C"/>
    <w:rsid w:val="00FD72DA"/>
    <w:rsid w:val="00FD7D4F"/>
    <w:rsid w:val="00FF0372"/>
    <w:rsid w:val="00FF2E86"/>
    <w:rsid w:val="00FF4292"/>
    <w:rsid w:val="00FF4C53"/>
    <w:rsid w:val="00FF69FD"/>
    <w:rsid w:val="03742D1A"/>
    <w:rsid w:val="05223213"/>
    <w:rsid w:val="052EBFC1"/>
    <w:rsid w:val="055595C1"/>
    <w:rsid w:val="06D1AEAD"/>
    <w:rsid w:val="082C54FC"/>
    <w:rsid w:val="088C79FE"/>
    <w:rsid w:val="09287DF2"/>
    <w:rsid w:val="0B029548"/>
    <w:rsid w:val="0E0AB497"/>
    <w:rsid w:val="0E15B5D0"/>
    <w:rsid w:val="0E315AA4"/>
    <w:rsid w:val="0FFFDE02"/>
    <w:rsid w:val="10D15D07"/>
    <w:rsid w:val="1157C28B"/>
    <w:rsid w:val="13FAAFC3"/>
    <w:rsid w:val="1497F108"/>
    <w:rsid w:val="14FCAF5E"/>
    <w:rsid w:val="15F38B4F"/>
    <w:rsid w:val="19587E67"/>
    <w:rsid w:val="19F72A57"/>
    <w:rsid w:val="1A105446"/>
    <w:rsid w:val="1BDF0B58"/>
    <w:rsid w:val="1C8EBCAA"/>
    <w:rsid w:val="1D23FF5E"/>
    <w:rsid w:val="1D3FA695"/>
    <w:rsid w:val="1DE96219"/>
    <w:rsid w:val="1DFA7348"/>
    <w:rsid w:val="1E14BCF6"/>
    <w:rsid w:val="1EE54468"/>
    <w:rsid w:val="1F955122"/>
    <w:rsid w:val="1FBA27A5"/>
    <w:rsid w:val="1FE6935D"/>
    <w:rsid w:val="2134C17F"/>
    <w:rsid w:val="21A93D12"/>
    <w:rsid w:val="2310D9F3"/>
    <w:rsid w:val="23331955"/>
    <w:rsid w:val="250BF787"/>
    <w:rsid w:val="27EC389C"/>
    <w:rsid w:val="2829CE1C"/>
    <w:rsid w:val="2865B07B"/>
    <w:rsid w:val="29FB20F8"/>
    <w:rsid w:val="2A1048F7"/>
    <w:rsid w:val="2C19F707"/>
    <w:rsid w:val="2C88C445"/>
    <w:rsid w:val="2D09B8E1"/>
    <w:rsid w:val="2ECB3F18"/>
    <w:rsid w:val="30C2E810"/>
    <w:rsid w:val="313955BE"/>
    <w:rsid w:val="317C0E85"/>
    <w:rsid w:val="323D1C18"/>
    <w:rsid w:val="3264A465"/>
    <w:rsid w:val="32956185"/>
    <w:rsid w:val="32AB032B"/>
    <w:rsid w:val="34215F36"/>
    <w:rsid w:val="34C21791"/>
    <w:rsid w:val="34FD7AA2"/>
    <w:rsid w:val="3574BCDA"/>
    <w:rsid w:val="3603A2E6"/>
    <w:rsid w:val="36690643"/>
    <w:rsid w:val="372ACEE2"/>
    <w:rsid w:val="37A14F9E"/>
    <w:rsid w:val="38F8A9B4"/>
    <w:rsid w:val="38FE49AB"/>
    <w:rsid w:val="395A7386"/>
    <w:rsid w:val="395FEFF8"/>
    <w:rsid w:val="3A6919A3"/>
    <w:rsid w:val="3ABCD4EE"/>
    <w:rsid w:val="3AFBC059"/>
    <w:rsid w:val="3B806C9A"/>
    <w:rsid w:val="3C0F89F5"/>
    <w:rsid w:val="3CC09D70"/>
    <w:rsid w:val="3CE3784F"/>
    <w:rsid w:val="3EE7900D"/>
    <w:rsid w:val="3EEA9AE5"/>
    <w:rsid w:val="4164CEF3"/>
    <w:rsid w:val="41A8B9F5"/>
    <w:rsid w:val="44E5E671"/>
    <w:rsid w:val="4501D35E"/>
    <w:rsid w:val="45139E6C"/>
    <w:rsid w:val="455C9E07"/>
    <w:rsid w:val="45F8A1F7"/>
    <w:rsid w:val="468D5EED"/>
    <w:rsid w:val="46D90242"/>
    <w:rsid w:val="48CA6EEC"/>
    <w:rsid w:val="48F31AC6"/>
    <w:rsid w:val="4A1C7EC5"/>
    <w:rsid w:val="4A3DBFB4"/>
    <w:rsid w:val="4B5CF19B"/>
    <w:rsid w:val="4D3651AC"/>
    <w:rsid w:val="4D7D06A0"/>
    <w:rsid w:val="4DE0DDDB"/>
    <w:rsid w:val="4F2240B4"/>
    <w:rsid w:val="50479893"/>
    <w:rsid w:val="507A6175"/>
    <w:rsid w:val="520F7707"/>
    <w:rsid w:val="53E1C6B6"/>
    <w:rsid w:val="54B732D2"/>
    <w:rsid w:val="5552BBBE"/>
    <w:rsid w:val="5555CA91"/>
    <w:rsid w:val="55D2F53A"/>
    <w:rsid w:val="55D7D475"/>
    <w:rsid w:val="55F0751F"/>
    <w:rsid w:val="56F9C6BB"/>
    <w:rsid w:val="57B7D4B4"/>
    <w:rsid w:val="5A5E5C8B"/>
    <w:rsid w:val="5B0DCFDF"/>
    <w:rsid w:val="5BD427A6"/>
    <w:rsid w:val="5C3A0D7C"/>
    <w:rsid w:val="5D608161"/>
    <w:rsid w:val="5D807590"/>
    <w:rsid w:val="5DA8274B"/>
    <w:rsid w:val="5EA8F693"/>
    <w:rsid w:val="60158260"/>
    <w:rsid w:val="61235993"/>
    <w:rsid w:val="617CD68A"/>
    <w:rsid w:val="645E569E"/>
    <w:rsid w:val="654A2C0B"/>
    <w:rsid w:val="65659E6A"/>
    <w:rsid w:val="65A9B69F"/>
    <w:rsid w:val="660D5EA0"/>
    <w:rsid w:val="670427B5"/>
    <w:rsid w:val="67E319AE"/>
    <w:rsid w:val="681C5858"/>
    <w:rsid w:val="681C9E7D"/>
    <w:rsid w:val="686AA072"/>
    <w:rsid w:val="697D4145"/>
    <w:rsid w:val="69B3A810"/>
    <w:rsid w:val="69B828B9"/>
    <w:rsid w:val="6A0474D1"/>
    <w:rsid w:val="6BCC34CE"/>
    <w:rsid w:val="6C06683B"/>
    <w:rsid w:val="6C086BFB"/>
    <w:rsid w:val="6ED7E5F4"/>
    <w:rsid w:val="6F1039F3"/>
    <w:rsid w:val="6F2796C0"/>
    <w:rsid w:val="711954B2"/>
    <w:rsid w:val="72CA12B2"/>
    <w:rsid w:val="72D3D36A"/>
    <w:rsid w:val="748C82CD"/>
    <w:rsid w:val="7587161C"/>
    <w:rsid w:val="758A8088"/>
    <w:rsid w:val="75E48B2F"/>
    <w:rsid w:val="79AB8965"/>
    <w:rsid w:val="7AB5C76B"/>
    <w:rsid w:val="7B0A4F62"/>
    <w:rsid w:val="7BE36763"/>
    <w:rsid w:val="7C07E558"/>
    <w:rsid w:val="7CCBA065"/>
    <w:rsid w:val="7D7F37C4"/>
    <w:rsid w:val="7D8E2951"/>
    <w:rsid w:val="7D9A349C"/>
    <w:rsid w:val="7DB81DE0"/>
    <w:rsid w:val="7FAC956D"/>
    <w:rsid w:val="7FC4D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B8F23B"/>
  <w15:docId w15:val="{1550F256-A8EC-4CD7-9DD2-086608E3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8E3"/>
    <w:rPr>
      <w:sz w:val="20"/>
      <w:szCs w:val="20"/>
    </w:rPr>
  </w:style>
  <w:style w:type="paragraph" w:styleId="Ttulo1">
    <w:name w:val="heading 1"/>
    <w:basedOn w:val="Normal"/>
    <w:next w:val="Normal"/>
    <w:link w:val="Ttulo1Car"/>
    <w:uiPriority w:val="99"/>
    <w:qFormat/>
    <w:rsid w:val="00A238E3"/>
    <w:pPr>
      <w:keepNext/>
      <w:spacing w:line="360" w:lineRule="auto"/>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238E3"/>
    <w:rPr>
      <w:rFonts w:ascii="Cambria" w:hAnsi="Cambria" w:cs="Cambria"/>
      <w:b/>
      <w:bCs/>
      <w:kern w:val="32"/>
      <w:sz w:val="32"/>
      <w:szCs w:val="32"/>
      <w:lang w:val="es-ES" w:eastAsia="es-ES"/>
    </w:rPr>
  </w:style>
  <w:style w:type="paragraph" w:customStyle="1" w:styleId="Textopredeterminado">
    <w:name w:val="Texto predeterminado"/>
    <w:basedOn w:val="Normal"/>
    <w:uiPriority w:val="99"/>
    <w:rsid w:val="006A52B5"/>
    <w:pPr>
      <w:overflowPunct w:val="0"/>
      <w:autoSpaceDE w:val="0"/>
      <w:autoSpaceDN w:val="0"/>
      <w:adjustRightInd w:val="0"/>
      <w:textAlignment w:val="baseline"/>
    </w:pPr>
    <w:rPr>
      <w:color w:val="000000"/>
      <w:sz w:val="24"/>
      <w:szCs w:val="24"/>
    </w:rPr>
  </w:style>
  <w:style w:type="paragraph" w:styleId="Textoindependiente">
    <w:name w:val="Body Text"/>
    <w:basedOn w:val="Normal"/>
    <w:link w:val="Textoindependien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40704F"/>
    <w:rPr>
      <w:rFonts w:ascii="Verdana" w:hAnsi="Verdana" w:cs="Verdana"/>
      <w:spacing w:val="-3"/>
      <w:sz w:val="24"/>
      <w:szCs w:val="24"/>
      <w:lang w:val="es-ES_tradnl" w:eastAsia="es-ES"/>
    </w:rPr>
  </w:style>
  <w:style w:type="paragraph" w:styleId="Sinespaciado">
    <w:name w:val="No Spacing"/>
    <w:link w:val="SinespaciadoCar1"/>
    <w:uiPriority w:val="1"/>
    <w:qFormat/>
    <w:rsid w:val="0040704F"/>
    <w:pPr>
      <w:widowControl w:val="0"/>
      <w:autoSpaceDE w:val="0"/>
      <w:autoSpaceDN w:val="0"/>
      <w:adjustRightInd w:val="0"/>
    </w:pPr>
    <w:rPr>
      <w:rFonts w:ascii="Courier New" w:hAnsi="Courier New" w:cs="Courier New"/>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934BB4"/>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34BB4"/>
    <w:rPr>
      <w:lang w:val="es-ES" w:eastAsia="es-ES"/>
    </w:rPr>
  </w:style>
  <w:style w:type="paragraph" w:styleId="Encabezado">
    <w:name w:val="header"/>
    <w:basedOn w:val="Normal"/>
    <w:link w:val="EncabezadoCar"/>
    <w:uiPriority w:val="99"/>
    <w:rsid w:val="00E30F8E"/>
    <w:pPr>
      <w:tabs>
        <w:tab w:val="center" w:pos="4419"/>
        <w:tab w:val="right" w:pos="8838"/>
      </w:tabs>
    </w:pPr>
  </w:style>
  <w:style w:type="character" w:customStyle="1" w:styleId="EncabezadoCar">
    <w:name w:val="Encabezado Car"/>
    <w:basedOn w:val="Fuentedeprrafopredeter"/>
    <w:link w:val="Encabezado"/>
    <w:uiPriority w:val="99"/>
    <w:locked/>
    <w:rsid w:val="00E30F8E"/>
    <w:rPr>
      <w:lang w:val="es-ES" w:eastAsia="es-ES"/>
    </w:rPr>
  </w:style>
  <w:style w:type="paragraph" w:styleId="Piedepgina">
    <w:name w:val="footer"/>
    <w:aliases w:val="Pie de página Car Car"/>
    <w:basedOn w:val="Normal"/>
    <w:link w:val="PiedepginaCar"/>
    <w:uiPriority w:val="99"/>
    <w:rsid w:val="00E30F8E"/>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E30F8E"/>
    <w:rPr>
      <w:lang w:val="es-ES" w:eastAsia="es-ES"/>
    </w:rPr>
  </w:style>
  <w:style w:type="paragraph" w:styleId="Textodeglobo">
    <w:name w:val="Balloon Text"/>
    <w:basedOn w:val="Normal"/>
    <w:link w:val="TextodegloboCar"/>
    <w:uiPriority w:val="99"/>
    <w:semiHidden/>
    <w:rsid w:val="00E30F8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30F8E"/>
    <w:rPr>
      <w:rFonts w:ascii="Tahoma" w:hAnsi="Tahoma" w:cs="Tahoma"/>
      <w:sz w:val="16"/>
      <w:szCs w:val="1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187F98"/>
    <w:rPr>
      <w:vertAlign w:val="superscript"/>
    </w:rPr>
  </w:style>
  <w:style w:type="character" w:customStyle="1" w:styleId="SinespaciadoCar1">
    <w:name w:val="Sin espaciado Car1"/>
    <w:link w:val="Sinespaciado"/>
    <w:uiPriority w:val="99"/>
    <w:locked/>
    <w:rsid w:val="0013799C"/>
    <w:rPr>
      <w:rFonts w:ascii="Courier New" w:hAnsi="Courier New" w:cs="Courier New"/>
      <w:sz w:val="22"/>
      <w:szCs w:val="22"/>
      <w:lang w:val="es-ES" w:eastAsia="es-ES"/>
    </w:rPr>
  </w:style>
  <w:style w:type="paragraph" w:styleId="Ttulo">
    <w:name w:val="Title"/>
    <w:basedOn w:val="Normal"/>
    <w:link w:val="TtuloCar"/>
    <w:uiPriority w:val="99"/>
    <w:qFormat/>
    <w:rsid w:val="00310452"/>
    <w:pPr>
      <w:jc w:val="center"/>
    </w:pPr>
    <w:rPr>
      <w:rFonts w:ascii="Arial" w:hAnsi="Arial" w:cs="Arial"/>
      <w:b/>
      <w:bCs/>
      <w:i/>
      <w:iCs/>
      <w:sz w:val="24"/>
      <w:szCs w:val="24"/>
    </w:rPr>
  </w:style>
  <w:style w:type="character" w:customStyle="1" w:styleId="TtuloCar">
    <w:name w:val="Título Car"/>
    <w:basedOn w:val="Fuentedeprrafopredeter"/>
    <w:link w:val="Ttulo"/>
    <w:uiPriority w:val="99"/>
    <w:locked/>
    <w:rsid w:val="00310452"/>
    <w:rPr>
      <w:rFonts w:ascii="Arial" w:hAnsi="Arial" w:cs="Arial"/>
      <w:b/>
      <w:bCs/>
      <w:i/>
      <w:iCs/>
      <w:sz w:val="24"/>
      <w:szCs w:val="24"/>
      <w:lang w:val="es-ES" w:eastAsia="es-ES"/>
    </w:rPr>
  </w:style>
  <w:style w:type="paragraph" w:styleId="Prrafodelista">
    <w:name w:val="List Paragraph"/>
    <w:basedOn w:val="Normal"/>
    <w:uiPriority w:val="34"/>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cs="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cs="Courier New"/>
    </w:rPr>
  </w:style>
  <w:style w:type="character" w:customStyle="1" w:styleId="SinespaciadoCar">
    <w:name w:val="Sin espaciado Car"/>
    <w:link w:val="Sinespaciado1"/>
    <w:uiPriority w:val="1"/>
    <w:locked/>
    <w:rsid w:val="00283F3B"/>
    <w:rPr>
      <w:rFonts w:ascii="Courier New" w:hAnsi="Courier New" w:cs="Courier New"/>
      <w:sz w:val="22"/>
      <w:szCs w:val="22"/>
      <w:lang w:val="es-ES" w:eastAsia="es-ES"/>
    </w:rPr>
  </w:style>
  <w:style w:type="paragraph" w:customStyle="1" w:styleId="NormalCSJ">
    <w:name w:val="Normal CSJ"/>
    <w:basedOn w:val="Normal"/>
    <w:link w:val="NormalCSJCar"/>
    <w:qFormat/>
    <w:rsid w:val="001C3FE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1C3FEE"/>
    <w:rPr>
      <w:bCs/>
      <w:i/>
      <w:sz w:val="24"/>
      <w:szCs w:val="24"/>
    </w:rPr>
  </w:style>
  <w:style w:type="character" w:customStyle="1" w:styleId="NormalCSJCar">
    <w:name w:val="Normal CSJ Car"/>
    <w:basedOn w:val="Fuentedeprrafopredeter"/>
    <w:link w:val="NormalCSJ"/>
    <w:rsid w:val="001C3FEE"/>
    <w:rPr>
      <w:rFonts w:ascii="Bookman Old Style" w:eastAsia="Calibri" w:hAnsi="Bookman Old Style"/>
      <w:sz w:val="28"/>
      <w:szCs w:val="28"/>
    </w:rPr>
  </w:style>
  <w:style w:type="character" w:customStyle="1" w:styleId="CitaIntraCSJCar">
    <w:name w:val="Cita Intra CSJ Car"/>
    <w:basedOn w:val="NormalCSJCar"/>
    <w:link w:val="CitaIntraCSJ"/>
    <w:rsid w:val="001C3FEE"/>
    <w:rPr>
      <w:rFonts w:ascii="Bookman Old Style" w:eastAsia="Calibri" w:hAnsi="Bookman Old Style"/>
      <w:bCs/>
      <w:i/>
      <w:sz w:val="24"/>
      <w:szCs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246AC"/>
    <w:rPr>
      <w:b/>
      <w:bCs/>
    </w:rPr>
  </w:style>
  <w:style w:type="character" w:customStyle="1" w:styleId="AsuntodelcomentarioCar">
    <w:name w:val="Asunto del comentario Car"/>
    <w:basedOn w:val="TextocomentarioCar"/>
    <w:link w:val="Asuntodelcomentario"/>
    <w:uiPriority w:val="99"/>
    <w:semiHidden/>
    <w:rsid w:val="009246AC"/>
    <w:rPr>
      <w:b/>
      <w:bCs/>
      <w:sz w:val="20"/>
      <w:szCs w:val="20"/>
    </w:rPr>
  </w:style>
  <w:style w:type="character" w:styleId="CitaHTML">
    <w:name w:val="HTML Cite"/>
    <w:basedOn w:val="Fuentedeprrafopredeter"/>
    <w:uiPriority w:val="99"/>
    <w:unhideWhenUsed/>
    <w:rsid w:val="00556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955">
      <w:bodyDiv w:val="1"/>
      <w:marLeft w:val="0"/>
      <w:marRight w:val="0"/>
      <w:marTop w:val="0"/>
      <w:marBottom w:val="0"/>
      <w:divBdr>
        <w:top w:val="none" w:sz="0" w:space="0" w:color="auto"/>
        <w:left w:val="none" w:sz="0" w:space="0" w:color="auto"/>
        <w:bottom w:val="none" w:sz="0" w:space="0" w:color="auto"/>
        <w:right w:val="none" w:sz="0" w:space="0" w:color="auto"/>
      </w:divBdr>
    </w:div>
    <w:div w:id="546183124">
      <w:bodyDiv w:val="1"/>
      <w:marLeft w:val="0"/>
      <w:marRight w:val="0"/>
      <w:marTop w:val="0"/>
      <w:marBottom w:val="0"/>
      <w:divBdr>
        <w:top w:val="none" w:sz="0" w:space="0" w:color="auto"/>
        <w:left w:val="none" w:sz="0" w:space="0" w:color="auto"/>
        <w:bottom w:val="none" w:sz="0" w:space="0" w:color="auto"/>
        <w:right w:val="none" w:sz="0" w:space="0" w:color="auto"/>
      </w:divBdr>
    </w:div>
    <w:div w:id="557326770">
      <w:bodyDiv w:val="1"/>
      <w:marLeft w:val="0"/>
      <w:marRight w:val="0"/>
      <w:marTop w:val="0"/>
      <w:marBottom w:val="0"/>
      <w:divBdr>
        <w:top w:val="none" w:sz="0" w:space="0" w:color="auto"/>
        <w:left w:val="none" w:sz="0" w:space="0" w:color="auto"/>
        <w:bottom w:val="none" w:sz="0" w:space="0" w:color="auto"/>
        <w:right w:val="none" w:sz="0" w:space="0" w:color="auto"/>
      </w:divBdr>
    </w:div>
    <w:div w:id="721714865">
      <w:bodyDiv w:val="1"/>
      <w:marLeft w:val="0"/>
      <w:marRight w:val="0"/>
      <w:marTop w:val="0"/>
      <w:marBottom w:val="0"/>
      <w:divBdr>
        <w:top w:val="none" w:sz="0" w:space="0" w:color="auto"/>
        <w:left w:val="none" w:sz="0" w:space="0" w:color="auto"/>
        <w:bottom w:val="none" w:sz="0" w:space="0" w:color="auto"/>
        <w:right w:val="none" w:sz="0" w:space="0" w:color="auto"/>
      </w:divBdr>
    </w:div>
    <w:div w:id="752552977">
      <w:bodyDiv w:val="1"/>
      <w:marLeft w:val="0"/>
      <w:marRight w:val="0"/>
      <w:marTop w:val="0"/>
      <w:marBottom w:val="0"/>
      <w:divBdr>
        <w:top w:val="none" w:sz="0" w:space="0" w:color="auto"/>
        <w:left w:val="none" w:sz="0" w:space="0" w:color="auto"/>
        <w:bottom w:val="none" w:sz="0" w:space="0" w:color="auto"/>
        <w:right w:val="none" w:sz="0" w:space="0" w:color="auto"/>
      </w:divBdr>
    </w:div>
    <w:div w:id="823011553">
      <w:bodyDiv w:val="1"/>
      <w:marLeft w:val="0"/>
      <w:marRight w:val="0"/>
      <w:marTop w:val="0"/>
      <w:marBottom w:val="0"/>
      <w:divBdr>
        <w:top w:val="none" w:sz="0" w:space="0" w:color="auto"/>
        <w:left w:val="none" w:sz="0" w:space="0" w:color="auto"/>
        <w:bottom w:val="none" w:sz="0" w:space="0" w:color="auto"/>
        <w:right w:val="none" w:sz="0" w:space="0" w:color="auto"/>
      </w:divBdr>
    </w:div>
    <w:div w:id="1124615315">
      <w:bodyDiv w:val="1"/>
      <w:marLeft w:val="0"/>
      <w:marRight w:val="0"/>
      <w:marTop w:val="0"/>
      <w:marBottom w:val="0"/>
      <w:divBdr>
        <w:top w:val="none" w:sz="0" w:space="0" w:color="auto"/>
        <w:left w:val="none" w:sz="0" w:space="0" w:color="auto"/>
        <w:bottom w:val="none" w:sz="0" w:space="0" w:color="auto"/>
        <w:right w:val="none" w:sz="0" w:space="0" w:color="auto"/>
      </w:divBdr>
    </w:div>
    <w:div w:id="1739405096">
      <w:bodyDiv w:val="1"/>
      <w:marLeft w:val="0"/>
      <w:marRight w:val="0"/>
      <w:marTop w:val="0"/>
      <w:marBottom w:val="0"/>
      <w:divBdr>
        <w:top w:val="none" w:sz="0" w:space="0" w:color="auto"/>
        <w:left w:val="none" w:sz="0" w:space="0" w:color="auto"/>
        <w:bottom w:val="none" w:sz="0" w:space="0" w:color="auto"/>
        <w:right w:val="none" w:sz="0" w:space="0" w:color="auto"/>
      </w:divBdr>
    </w:div>
    <w:div w:id="1776166596">
      <w:bodyDiv w:val="1"/>
      <w:marLeft w:val="0"/>
      <w:marRight w:val="0"/>
      <w:marTop w:val="0"/>
      <w:marBottom w:val="0"/>
      <w:divBdr>
        <w:top w:val="none" w:sz="0" w:space="0" w:color="auto"/>
        <w:left w:val="none" w:sz="0" w:space="0" w:color="auto"/>
        <w:bottom w:val="none" w:sz="0" w:space="0" w:color="auto"/>
        <w:right w:val="none" w:sz="0" w:space="0" w:color="auto"/>
      </w:divBdr>
    </w:div>
    <w:div w:id="1934967784">
      <w:bodyDiv w:val="1"/>
      <w:marLeft w:val="0"/>
      <w:marRight w:val="0"/>
      <w:marTop w:val="0"/>
      <w:marBottom w:val="0"/>
      <w:divBdr>
        <w:top w:val="none" w:sz="0" w:space="0" w:color="auto"/>
        <w:left w:val="none" w:sz="0" w:space="0" w:color="auto"/>
        <w:bottom w:val="none" w:sz="0" w:space="0" w:color="auto"/>
        <w:right w:val="none" w:sz="0" w:space="0" w:color="auto"/>
      </w:divBdr>
    </w:div>
    <w:div w:id="2129003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90ab34687b054d1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87BE8-587E-4E3A-A5F4-2F25D55CE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B236B-B508-4C8B-A947-1AD12DCED9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D7263C-2D62-4C39-8BB6-244C68D2AED5}">
  <ds:schemaRefs>
    <ds:schemaRef ds:uri="http://schemas.microsoft.com/sharepoint/v3/contenttype/forms"/>
  </ds:schemaRefs>
</ds:datastoreItem>
</file>

<file path=customXml/itemProps4.xml><?xml version="1.0" encoding="utf-8"?>
<ds:datastoreItem xmlns:ds="http://schemas.openxmlformats.org/officeDocument/2006/customXml" ds:itemID="{89B94640-6750-42CF-AC68-9C1040B9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Hermides Alonso Gaviria Ocampo</cp:lastModifiedBy>
  <cp:revision>7</cp:revision>
  <cp:lastPrinted>2020-02-26T15:16:00Z</cp:lastPrinted>
  <dcterms:created xsi:type="dcterms:W3CDTF">2022-02-11T16:33:00Z</dcterms:created>
  <dcterms:modified xsi:type="dcterms:W3CDTF">2022-03-24T14:58:00Z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