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FE58" w14:textId="77777777" w:rsidR="005115C8" w:rsidRPr="005115C8" w:rsidRDefault="005115C8" w:rsidP="005115C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5115C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164505" w14:textId="77777777" w:rsidR="005115C8" w:rsidRPr="005115C8" w:rsidRDefault="005115C8" w:rsidP="005115C8">
      <w:pPr>
        <w:widowControl/>
        <w:autoSpaceDE/>
        <w:autoSpaceDN/>
        <w:adjustRightInd/>
        <w:jc w:val="both"/>
        <w:rPr>
          <w:rFonts w:ascii="Arial" w:hAnsi="Arial" w:cs="Arial"/>
          <w:sz w:val="20"/>
          <w:szCs w:val="20"/>
          <w:lang w:val="es-419"/>
        </w:rPr>
      </w:pPr>
    </w:p>
    <w:p w14:paraId="5DBE0780" w14:textId="10373FF4"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Asunto</w:t>
      </w:r>
      <w:r w:rsidRPr="005115C8">
        <w:rPr>
          <w:rFonts w:ascii="Arial" w:hAnsi="Arial" w:cs="Arial"/>
          <w:sz w:val="20"/>
          <w:szCs w:val="20"/>
          <w:lang w:val="es-419"/>
        </w:rPr>
        <w:tab/>
      </w:r>
      <w:r w:rsidRPr="005115C8">
        <w:rPr>
          <w:rFonts w:ascii="Arial" w:hAnsi="Arial" w:cs="Arial"/>
          <w:sz w:val="20"/>
          <w:szCs w:val="20"/>
          <w:lang w:val="es-419"/>
        </w:rPr>
        <w:tab/>
        <w:t>: Sentencia de tutela en primera instancia</w:t>
      </w:r>
    </w:p>
    <w:p w14:paraId="5E329031" w14:textId="544B408A"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 xml:space="preserve">Accionante </w:t>
      </w:r>
      <w:r w:rsidRPr="005115C8">
        <w:rPr>
          <w:rFonts w:ascii="Arial" w:hAnsi="Arial" w:cs="Arial"/>
          <w:sz w:val="20"/>
          <w:szCs w:val="20"/>
          <w:lang w:val="es-419"/>
        </w:rPr>
        <w:tab/>
        <w:t>: María Elena Vinasco Uribe</w:t>
      </w:r>
    </w:p>
    <w:p w14:paraId="54D287B5" w14:textId="65F7DC93"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 xml:space="preserve">Accionados </w:t>
      </w:r>
      <w:r w:rsidRPr="005115C8">
        <w:rPr>
          <w:rFonts w:ascii="Arial" w:hAnsi="Arial" w:cs="Arial"/>
          <w:sz w:val="20"/>
          <w:szCs w:val="20"/>
          <w:lang w:val="es-419"/>
        </w:rPr>
        <w:tab/>
        <w:t>: Juzgado Promiscuo del Circuito de Quinchía y otro</w:t>
      </w:r>
    </w:p>
    <w:p w14:paraId="2A75EBC9" w14:textId="7E8E1AE7"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Vinculados</w:t>
      </w:r>
      <w:r w:rsidRPr="005115C8">
        <w:rPr>
          <w:rFonts w:ascii="Arial" w:hAnsi="Arial" w:cs="Arial"/>
          <w:sz w:val="20"/>
          <w:szCs w:val="20"/>
          <w:lang w:val="es-419"/>
        </w:rPr>
        <w:tab/>
        <w:t xml:space="preserve">: Secretaría de Planeación, Ambiente y Obras Públicas de Quinchía y otros </w:t>
      </w:r>
    </w:p>
    <w:p w14:paraId="08E3443B" w14:textId="7173D339"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Radicación</w:t>
      </w:r>
      <w:r w:rsidRPr="005115C8">
        <w:rPr>
          <w:rFonts w:ascii="Arial" w:hAnsi="Arial" w:cs="Arial"/>
          <w:sz w:val="20"/>
          <w:szCs w:val="20"/>
          <w:lang w:val="es-419"/>
        </w:rPr>
        <w:tab/>
        <w:t>: 66001-22-13-000-2022-00040-00</w:t>
      </w:r>
    </w:p>
    <w:p w14:paraId="25459542" w14:textId="2DAAF03B"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 xml:space="preserve">Mg. Ponente </w:t>
      </w:r>
      <w:r w:rsidRPr="005115C8">
        <w:rPr>
          <w:rFonts w:ascii="Arial" w:hAnsi="Arial" w:cs="Arial"/>
          <w:sz w:val="20"/>
          <w:szCs w:val="20"/>
          <w:lang w:val="es-419"/>
        </w:rPr>
        <w:tab/>
        <w:t>: DUBERNEY GRISALES HERRERA</w:t>
      </w:r>
    </w:p>
    <w:p w14:paraId="41629C7F" w14:textId="797BBDC5" w:rsidR="005115C8" w:rsidRPr="005115C8" w:rsidRDefault="005115C8" w:rsidP="005115C8">
      <w:pPr>
        <w:widowControl/>
        <w:autoSpaceDE/>
        <w:autoSpaceDN/>
        <w:adjustRightInd/>
        <w:jc w:val="both"/>
        <w:rPr>
          <w:rFonts w:ascii="Arial" w:hAnsi="Arial" w:cs="Arial"/>
          <w:sz w:val="20"/>
          <w:szCs w:val="20"/>
          <w:lang w:val="es-419"/>
        </w:rPr>
      </w:pPr>
      <w:r w:rsidRPr="005115C8">
        <w:rPr>
          <w:rFonts w:ascii="Arial" w:hAnsi="Arial" w:cs="Arial"/>
          <w:sz w:val="20"/>
          <w:szCs w:val="20"/>
          <w:lang w:val="es-419"/>
        </w:rPr>
        <w:t>Acta número</w:t>
      </w:r>
      <w:r w:rsidRPr="005115C8">
        <w:rPr>
          <w:rFonts w:ascii="Arial" w:hAnsi="Arial" w:cs="Arial"/>
          <w:sz w:val="20"/>
          <w:szCs w:val="20"/>
          <w:lang w:val="es-419"/>
        </w:rPr>
        <w:tab/>
        <w:t>: 90 de 09-03-2022</w:t>
      </w:r>
    </w:p>
    <w:p w14:paraId="7F1A7924" w14:textId="77777777" w:rsidR="005115C8" w:rsidRPr="005115C8" w:rsidRDefault="005115C8" w:rsidP="005115C8">
      <w:pPr>
        <w:widowControl/>
        <w:autoSpaceDE/>
        <w:autoSpaceDN/>
        <w:adjustRightInd/>
        <w:jc w:val="both"/>
        <w:rPr>
          <w:rFonts w:ascii="Arial" w:hAnsi="Arial" w:cs="Arial"/>
          <w:sz w:val="20"/>
          <w:szCs w:val="20"/>
          <w:lang w:val="es-419"/>
        </w:rPr>
      </w:pPr>
    </w:p>
    <w:p w14:paraId="35A66572" w14:textId="66D384CB" w:rsidR="005115C8" w:rsidRPr="005115C8" w:rsidRDefault="005115C8" w:rsidP="005115C8">
      <w:pPr>
        <w:widowControl/>
        <w:autoSpaceDE/>
        <w:autoSpaceDN/>
        <w:adjustRightInd/>
        <w:jc w:val="both"/>
        <w:rPr>
          <w:rFonts w:ascii="Arial" w:hAnsi="Arial" w:cs="Arial"/>
          <w:b/>
          <w:bCs/>
          <w:iCs/>
          <w:sz w:val="20"/>
          <w:szCs w:val="20"/>
          <w:lang w:val="es-419" w:eastAsia="fr-FR"/>
        </w:rPr>
      </w:pPr>
      <w:r w:rsidRPr="005115C8">
        <w:rPr>
          <w:rFonts w:ascii="Arial" w:hAnsi="Arial" w:cs="Arial"/>
          <w:b/>
          <w:bCs/>
          <w:iCs/>
          <w:sz w:val="20"/>
          <w:szCs w:val="20"/>
          <w:u w:val="single"/>
          <w:lang w:val="es-419" w:eastAsia="fr-FR"/>
        </w:rPr>
        <w:t>TEMAS:</w:t>
      </w:r>
      <w:r w:rsidRPr="005115C8">
        <w:rPr>
          <w:rFonts w:ascii="Arial" w:hAnsi="Arial" w:cs="Arial"/>
          <w:b/>
          <w:bCs/>
          <w:iCs/>
          <w:sz w:val="20"/>
          <w:szCs w:val="20"/>
          <w:lang w:val="es-419" w:eastAsia="fr-FR"/>
        </w:rPr>
        <w:tab/>
      </w:r>
      <w:r w:rsidR="005F380B">
        <w:rPr>
          <w:rFonts w:ascii="Arial" w:hAnsi="Arial" w:cs="Arial"/>
          <w:b/>
          <w:bCs/>
          <w:iCs/>
          <w:sz w:val="20"/>
          <w:szCs w:val="20"/>
          <w:lang w:val="es-419" w:eastAsia="fr-FR"/>
        </w:rPr>
        <w:t xml:space="preserve">DEBIDO PROCESO / </w:t>
      </w:r>
      <w:r w:rsidR="00125F6B">
        <w:rPr>
          <w:rFonts w:ascii="Arial" w:hAnsi="Arial" w:cs="Arial"/>
          <w:b/>
          <w:bCs/>
          <w:iCs/>
          <w:sz w:val="20"/>
          <w:szCs w:val="20"/>
          <w:lang w:val="es-419" w:eastAsia="fr-FR"/>
        </w:rPr>
        <w:t>TUTELA CONTRA DECISIÓN JUDICIAL / REQUISITOS GENERALES Y ESPECIALES DE PROCEDIBILIDAD / DEFECTO PROCEDIMENTAL / SE ALEGA FALTA DE VINCULACIÓN A UNA ACCIÓN DE TUTELA / IMPROCEDENTE / SE DEBATÍA EL DERECHO A LA IGUALDAD RESPECTO DE OTRA PERSONA.</w:t>
      </w:r>
    </w:p>
    <w:p w14:paraId="4B8E9A8F" w14:textId="77777777" w:rsidR="005115C8" w:rsidRPr="005115C8" w:rsidRDefault="005115C8" w:rsidP="005115C8">
      <w:pPr>
        <w:widowControl/>
        <w:autoSpaceDE/>
        <w:autoSpaceDN/>
        <w:adjustRightInd/>
        <w:jc w:val="both"/>
        <w:rPr>
          <w:rFonts w:ascii="Arial" w:hAnsi="Arial" w:cs="Arial"/>
          <w:sz w:val="20"/>
          <w:szCs w:val="20"/>
          <w:lang w:val="es-419"/>
        </w:rPr>
      </w:pPr>
    </w:p>
    <w:p w14:paraId="38CC391D" w14:textId="7A3424D9" w:rsidR="005115C8" w:rsidRPr="005115C8" w:rsidRDefault="005F49D2" w:rsidP="005115C8">
      <w:pPr>
        <w:widowControl/>
        <w:autoSpaceDE/>
        <w:autoSpaceDN/>
        <w:adjustRightInd/>
        <w:jc w:val="both"/>
        <w:rPr>
          <w:rFonts w:ascii="Arial" w:hAnsi="Arial" w:cs="Arial"/>
          <w:sz w:val="20"/>
          <w:szCs w:val="20"/>
          <w:lang w:val="es-419"/>
        </w:rPr>
      </w:pPr>
      <w:r w:rsidRPr="005F49D2">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5F49D2">
        <w:rPr>
          <w:rFonts w:ascii="Arial" w:hAnsi="Arial" w:cs="Arial"/>
          <w:sz w:val="20"/>
          <w:szCs w:val="20"/>
          <w:lang w:val="es-419"/>
        </w:rPr>
        <w:t>re-definición</w:t>
      </w:r>
      <w:proofErr w:type="spellEnd"/>
      <w:r w:rsidRPr="005F49D2">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sidR="000D2CE2">
        <w:rPr>
          <w:rFonts w:ascii="Arial" w:hAnsi="Arial" w:cs="Arial"/>
          <w:sz w:val="20"/>
          <w:szCs w:val="20"/>
          <w:lang w:val="es-419"/>
        </w:rPr>
        <w:t>…</w:t>
      </w:r>
    </w:p>
    <w:p w14:paraId="0DB7ED39" w14:textId="77777777" w:rsidR="005115C8" w:rsidRPr="005115C8" w:rsidRDefault="005115C8" w:rsidP="005115C8">
      <w:pPr>
        <w:widowControl/>
        <w:autoSpaceDE/>
        <w:autoSpaceDN/>
        <w:adjustRightInd/>
        <w:jc w:val="both"/>
        <w:rPr>
          <w:rFonts w:ascii="Arial" w:hAnsi="Arial" w:cs="Arial"/>
          <w:sz w:val="20"/>
          <w:szCs w:val="20"/>
          <w:lang w:val="es-419"/>
        </w:rPr>
      </w:pPr>
    </w:p>
    <w:p w14:paraId="64145575" w14:textId="38238C30" w:rsidR="005115C8" w:rsidRPr="005115C8" w:rsidRDefault="001A67FF" w:rsidP="005115C8">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1A67FF">
        <w:rPr>
          <w:rFonts w:ascii="Arial" w:hAnsi="Arial" w:cs="Arial"/>
          <w:sz w:val="20"/>
          <w:szCs w:val="20"/>
          <w:lang w:val="es-419"/>
        </w:rPr>
        <w:t>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1A67FF">
        <w:rPr>
          <w:rFonts w:ascii="Arial" w:hAnsi="Arial" w:cs="Arial"/>
          <w:sz w:val="20"/>
          <w:szCs w:val="20"/>
          <w:lang w:val="es-419"/>
        </w:rPr>
        <w:t>viii</w:t>
      </w:r>
      <w:proofErr w:type="spellEnd"/>
      <w:r w:rsidRPr="001A67FF">
        <w:rPr>
          <w:rFonts w:ascii="Arial" w:hAnsi="Arial" w:cs="Arial"/>
          <w:sz w:val="20"/>
          <w:szCs w:val="20"/>
          <w:lang w:val="es-419"/>
        </w:rPr>
        <w:t>) violación directa de la Carta.</w:t>
      </w:r>
    </w:p>
    <w:p w14:paraId="7B1F5AB8" w14:textId="77777777" w:rsidR="005115C8" w:rsidRPr="005115C8" w:rsidRDefault="005115C8" w:rsidP="005115C8">
      <w:pPr>
        <w:widowControl/>
        <w:autoSpaceDE/>
        <w:autoSpaceDN/>
        <w:adjustRightInd/>
        <w:jc w:val="both"/>
        <w:rPr>
          <w:rFonts w:ascii="Arial" w:hAnsi="Arial" w:cs="Arial"/>
          <w:sz w:val="20"/>
          <w:szCs w:val="20"/>
          <w:lang w:val="es-419"/>
        </w:rPr>
      </w:pPr>
    </w:p>
    <w:p w14:paraId="7CE8304A" w14:textId="3F74ED0D" w:rsidR="005115C8" w:rsidRPr="005115C8" w:rsidRDefault="003251FA" w:rsidP="005115C8">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3251FA">
        <w:rPr>
          <w:rFonts w:ascii="Arial" w:hAnsi="Arial" w:cs="Arial"/>
          <w:sz w:val="20"/>
          <w:szCs w:val="20"/>
          <w:lang w:val="es-419"/>
        </w:rPr>
        <w:t>en el caso se concretan en el defecto procedimental, pues, se arguye que los despachos judiciales accionados adelantaron la acción de tutela radicada al No. 2019-00031, sin vincular a la accionante, pese a que el fallo tutelar afectaría sus intereses</w:t>
      </w:r>
      <w:r>
        <w:rPr>
          <w:rFonts w:ascii="Arial" w:hAnsi="Arial" w:cs="Arial"/>
          <w:sz w:val="20"/>
          <w:szCs w:val="20"/>
          <w:lang w:val="es-419"/>
        </w:rPr>
        <w:t>…</w:t>
      </w:r>
    </w:p>
    <w:p w14:paraId="72917300" w14:textId="03B6DC0D" w:rsidR="005115C8" w:rsidRDefault="005115C8" w:rsidP="005115C8">
      <w:pPr>
        <w:widowControl/>
        <w:autoSpaceDE/>
        <w:autoSpaceDN/>
        <w:adjustRightInd/>
        <w:jc w:val="both"/>
        <w:rPr>
          <w:rFonts w:ascii="Arial" w:hAnsi="Arial" w:cs="Arial"/>
          <w:sz w:val="20"/>
          <w:szCs w:val="20"/>
        </w:rPr>
      </w:pPr>
    </w:p>
    <w:p w14:paraId="33491B32" w14:textId="77777777" w:rsidR="005F380B" w:rsidRPr="005F380B" w:rsidRDefault="005F380B" w:rsidP="005F380B">
      <w:pPr>
        <w:widowControl/>
        <w:autoSpaceDE/>
        <w:autoSpaceDN/>
        <w:adjustRightInd/>
        <w:jc w:val="both"/>
        <w:rPr>
          <w:rFonts w:ascii="Arial" w:hAnsi="Arial" w:cs="Arial"/>
          <w:sz w:val="20"/>
          <w:szCs w:val="20"/>
        </w:rPr>
      </w:pPr>
      <w:r w:rsidRPr="005F380B">
        <w:rPr>
          <w:rFonts w:ascii="Arial" w:hAnsi="Arial" w:cs="Arial"/>
          <w:sz w:val="20"/>
          <w:szCs w:val="20"/>
        </w:rPr>
        <w:t>De entrada, se aprecia que fracasa la censura, habida cuenta de que era innecesario vincular a la señora María E. Vinasco U. a la acción de tutela, en razón a que su objeto único y principal atañó a la supuesta amenaza o trasgresión de los derechos al debido proceso e igualdad del señor García M., con ocasión de las decisiones administrativas que le impidieron construir un cuarto piso en su inmueble.</w:t>
      </w:r>
    </w:p>
    <w:p w14:paraId="16A51AF1" w14:textId="77777777" w:rsidR="005F380B" w:rsidRPr="005F380B" w:rsidRDefault="005F380B" w:rsidP="005F380B">
      <w:pPr>
        <w:widowControl/>
        <w:autoSpaceDE/>
        <w:autoSpaceDN/>
        <w:adjustRightInd/>
        <w:jc w:val="both"/>
        <w:rPr>
          <w:rFonts w:ascii="Arial" w:hAnsi="Arial" w:cs="Arial"/>
          <w:sz w:val="20"/>
          <w:szCs w:val="20"/>
        </w:rPr>
      </w:pPr>
    </w:p>
    <w:p w14:paraId="19248769" w14:textId="39228E38" w:rsidR="003251FA" w:rsidRDefault="005F380B" w:rsidP="005F380B">
      <w:pPr>
        <w:widowControl/>
        <w:autoSpaceDE/>
        <w:autoSpaceDN/>
        <w:adjustRightInd/>
        <w:jc w:val="both"/>
        <w:rPr>
          <w:rFonts w:ascii="Arial" w:hAnsi="Arial" w:cs="Arial"/>
          <w:sz w:val="20"/>
          <w:szCs w:val="20"/>
        </w:rPr>
      </w:pPr>
      <w:r w:rsidRPr="005F380B">
        <w:rPr>
          <w:rFonts w:ascii="Arial" w:hAnsi="Arial" w:cs="Arial"/>
          <w:sz w:val="20"/>
          <w:szCs w:val="20"/>
        </w:rPr>
        <w:t>La queja implicaba verificar si la administración le dio un trato desigual, como quiera que en el sector hay una edificación semejante y las autoridades accionadas no impidieron su realización</w:t>
      </w:r>
      <w:r>
        <w:rPr>
          <w:rFonts w:ascii="Arial" w:hAnsi="Arial" w:cs="Arial"/>
          <w:sz w:val="20"/>
          <w:szCs w:val="20"/>
        </w:rPr>
        <w:t>…</w:t>
      </w:r>
    </w:p>
    <w:p w14:paraId="1EEC6DAA" w14:textId="6F37D165" w:rsidR="003251FA" w:rsidRDefault="003251FA" w:rsidP="005115C8">
      <w:pPr>
        <w:widowControl/>
        <w:autoSpaceDE/>
        <w:autoSpaceDN/>
        <w:adjustRightInd/>
        <w:jc w:val="both"/>
        <w:rPr>
          <w:rFonts w:ascii="Arial" w:hAnsi="Arial" w:cs="Arial"/>
          <w:sz w:val="20"/>
          <w:szCs w:val="20"/>
        </w:rPr>
      </w:pPr>
    </w:p>
    <w:p w14:paraId="4B690A33" w14:textId="722C9318" w:rsidR="003251FA" w:rsidRDefault="005F380B" w:rsidP="005115C8">
      <w:pPr>
        <w:widowControl/>
        <w:autoSpaceDE/>
        <w:autoSpaceDN/>
        <w:adjustRightInd/>
        <w:jc w:val="both"/>
        <w:rPr>
          <w:rFonts w:ascii="Arial" w:hAnsi="Arial" w:cs="Arial"/>
          <w:sz w:val="20"/>
          <w:szCs w:val="20"/>
        </w:rPr>
      </w:pPr>
      <w:r w:rsidRPr="005F380B">
        <w:rPr>
          <w:rFonts w:ascii="Arial" w:hAnsi="Arial" w:cs="Arial"/>
          <w:sz w:val="20"/>
          <w:szCs w:val="20"/>
        </w:rPr>
        <w:t>Inviable era considerar que la decisión tutelar implicaba orientar el sentido de las decisiones de la administración y menos calificar si las actuaciones ejecutadas frente a la señora Vinasco U. debían modificarse. El propósito del amparo era garantizar el trato igual.</w:t>
      </w:r>
    </w:p>
    <w:p w14:paraId="3313E5EC" w14:textId="77777777" w:rsidR="005F380B" w:rsidRPr="005115C8" w:rsidRDefault="005F380B" w:rsidP="005115C8">
      <w:pPr>
        <w:widowControl/>
        <w:autoSpaceDE/>
        <w:autoSpaceDN/>
        <w:adjustRightInd/>
        <w:jc w:val="both"/>
        <w:rPr>
          <w:rFonts w:ascii="Arial" w:hAnsi="Arial" w:cs="Arial"/>
          <w:sz w:val="20"/>
          <w:szCs w:val="20"/>
        </w:rPr>
      </w:pPr>
    </w:p>
    <w:p w14:paraId="50F5CB66" w14:textId="77777777" w:rsidR="005115C8" w:rsidRPr="005115C8" w:rsidRDefault="005115C8" w:rsidP="005115C8">
      <w:pPr>
        <w:widowControl/>
        <w:autoSpaceDE/>
        <w:autoSpaceDN/>
        <w:adjustRightInd/>
        <w:jc w:val="both"/>
        <w:rPr>
          <w:rFonts w:ascii="Arial" w:hAnsi="Arial" w:cs="Arial"/>
          <w:sz w:val="20"/>
          <w:szCs w:val="20"/>
        </w:rPr>
      </w:pPr>
    </w:p>
    <w:p w14:paraId="0088E066" w14:textId="77777777" w:rsidR="005115C8" w:rsidRPr="005115C8" w:rsidRDefault="005115C8" w:rsidP="005115C8">
      <w:pPr>
        <w:widowControl/>
        <w:autoSpaceDE/>
        <w:autoSpaceDN/>
        <w:adjustRightInd/>
        <w:jc w:val="both"/>
        <w:rPr>
          <w:rFonts w:ascii="Arial" w:hAnsi="Arial" w:cs="Arial"/>
          <w:sz w:val="20"/>
          <w:szCs w:val="20"/>
        </w:rPr>
      </w:pPr>
    </w:p>
    <w:bookmarkEnd w:id="0"/>
    <w:bookmarkEnd w:id="1"/>
    <w:p w14:paraId="0F02A2F1" w14:textId="77777777" w:rsidR="00DA576B" w:rsidRPr="00DA576B" w:rsidRDefault="00DA576B" w:rsidP="00DA576B">
      <w:pPr>
        <w:widowControl/>
        <w:tabs>
          <w:tab w:val="left" w:pos="3579"/>
        </w:tabs>
        <w:autoSpaceDE/>
        <w:autoSpaceDN/>
        <w:adjustRightInd/>
        <w:spacing w:line="360" w:lineRule="auto"/>
        <w:jc w:val="center"/>
        <w:rPr>
          <w:rFonts w:ascii="Calibri" w:hAnsi="Calibri" w:cs="Times New Roman"/>
          <w:w w:val="140"/>
          <w:sz w:val="22"/>
          <w:szCs w:val="22"/>
          <w:lang w:val="es-CO"/>
        </w:rPr>
      </w:pPr>
      <w:r w:rsidRPr="00DA576B">
        <w:rPr>
          <w:rFonts w:ascii="Calibri" w:hAnsi="Calibri" w:cs="Times New Roman"/>
          <w:noProof/>
          <w:sz w:val="22"/>
          <w:szCs w:val="22"/>
        </w:rPr>
        <w:drawing>
          <wp:inline distT="0" distB="0" distL="0" distR="0" wp14:anchorId="4C30F4D7" wp14:editId="0D2DB0ED">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3319DFC" w14:textId="77777777" w:rsidR="00DA576B" w:rsidRPr="00DA576B" w:rsidRDefault="00DA576B" w:rsidP="00DA576B">
      <w:pPr>
        <w:widowControl/>
        <w:tabs>
          <w:tab w:val="left" w:pos="3579"/>
        </w:tabs>
        <w:autoSpaceDE/>
        <w:autoSpaceDN/>
        <w:adjustRightInd/>
        <w:spacing w:line="360" w:lineRule="auto"/>
        <w:jc w:val="center"/>
        <w:rPr>
          <w:rFonts w:ascii="Georgia" w:hAnsi="Georgia" w:cs="Arial"/>
          <w:w w:val="140"/>
          <w:sz w:val="14"/>
          <w:szCs w:val="22"/>
          <w:lang w:val="es-CO"/>
        </w:rPr>
      </w:pPr>
      <w:bookmarkStart w:id="2" w:name="_Hlk62825177"/>
      <w:r w:rsidRPr="00DA576B">
        <w:rPr>
          <w:rFonts w:ascii="Georgia" w:hAnsi="Georgia" w:cs="Arial"/>
          <w:w w:val="140"/>
          <w:sz w:val="14"/>
          <w:szCs w:val="22"/>
          <w:lang w:val="es-CO"/>
        </w:rPr>
        <w:t>REPÚBLICA DE COLOMBIA</w:t>
      </w:r>
    </w:p>
    <w:p w14:paraId="5186D3B7" w14:textId="77777777" w:rsidR="00DA576B" w:rsidRPr="00DA576B" w:rsidRDefault="00DA576B" w:rsidP="00DA576B">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DA576B">
        <w:rPr>
          <w:rFonts w:ascii="Georgia" w:hAnsi="Georgia" w:cs="Arial"/>
          <w:w w:val="140"/>
          <w:sz w:val="14"/>
          <w:szCs w:val="22"/>
          <w:lang w:val="es-CO"/>
        </w:rPr>
        <w:t>RAMA JUDICIAL DEL PODER PÚBLICO</w:t>
      </w:r>
    </w:p>
    <w:p w14:paraId="3C750765" w14:textId="77777777" w:rsidR="00DA576B" w:rsidRPr="00DA576B" w:rsidRDefault="00DA576B" w:rsidP="00DA576B">
      <w:pPr>
        <w:widowControl/>
        <w:autoSpaceDE/>
        <w:autoSpaceDN/>
        <w:adjustRightInd/>
        <w:spacing w:line="360" w:lineRule="auto"/>
        <w:jc w:val="center"/>
        <w:rPr>
          <w:rFonts w:ascii="Georgia" w:hAnsi="Georgia" w:cs="Arial"/>
          <w:b/>
          <w:bCs/>
          <w:w w:val="140"/>
          <w:sz w:val="16"/>
          <w:szCs w:val="22"/>
          <w:lang w:val="es-CO"/>
        </w:rPr>
      </w:pPr>
      <w:r w:rsidRPr="00DA576B">
        <w:rPr>
          <w:rFonts w:ascii="Georgia" w:hAnsi="Georgia" w:cs="Arial"/>
          <w:b/>
          <w:bCs/>
          <w:w w:val="140"/>
          <w:sz w:val="18"/>
          <w:szCs w:val="22"/>
          <w:lang w:val="es-CO"/>
        </w:rPr>
        <w:t>T</w:t>
      </w:r>
      <w:r w:rsidRPr="00DA576B">
        <w:rPr>
          <w:rFonts w:ascii="Georgia" w:hAnsi="Georgia" w:cs="Arial"/>
          <w:b/>
          <w:bCs/>
          <w:w w:val="140"/>
          <w:sz w:val="16"/>
          <w:szCs w:val="22"/>
          <w:lang w:val="es-CO"/>
        </w:rPr>
        <w:t>RIBUNAL</w:t>
      </w:r>
      <w:r w:rsidRPr="00DA576B">
        <w:rPr>
          <w:rFonts w:ascii="Georgia" w:hAnsi="Georgia" w:cs="Arial"/>
          <w:b/>
          <w:bCs/>
          <w:w w:val="140"/>
          <w:sz w:val="18"/>
          <w:szCs w:val="22"/>
          <w:lang w:val="es-CO"/>
        </w:rPr>
        <w:t xml:space="preserve"> S</w:t>
      </w:r>
      <w:r w:rsidRPr="00DA576B">
        <w:rPr>
          <w:rFonts w:ascii="Georgia" w:hAnsi="Georgia" w:cs="Arial"/>
          <w:b/>
          <w:bCs/>
          <w:w w:val="140"/>
          <w:sz w:val="16"/>
          <w:szCs w:val="22"/>
          <w:lang w:val="es-CO"/>
        </w:rPr>
        <w:t xml:space="preserve">UPERIOR DEL </w:t>
      </w:r>
      <w:r w:rsidRPr="00DA576B">
        <w:rPr>
          <w:rFonts w:ascii="Georgia" w:hAnsi="Georgia" w:cs="Arial"/>
          <w:b/>
          <w:bCs/>
          <w:w w:val="140"/>
          <w:sz w:val="18"/>
          <w:szCs w:val="22"/>
          <w:lang w:val="es-CO"/>
        </w:rPr>
        <w:t>D</w:t>
      </w:r>
      <w:r w:rsidRPr="00DA576B">
        <w:rPr>
          <w:rFonts w:ascii="Georgia" w:hAnsi="Georgia" w:cs="Arial"/>
          <w:b/>
          <w:bCs/>
          <w:w w:val="140"/>
          <w:sz w:val="16"/>
          <w:szCs w:val="22"/>
          <w:lang w:val="es-CO"/>
        </w:rPr>
        <w:t>ISTRITO</w:t>
      </w:r>
      <w:r w:rsidRPr="00DA576B">
        <w:rPr>
          <w:rFonts w:ascii="Georgia" w:hAnsi="Georgia" w:cs="Arial"/>
          <w:b/>
          <w:bCs/>
          <w:w w:val="140"/>
          <w:sz w:val="18"/>
          <w:szCs w:val="22"/>
          <w:lang w:val="es-CO"/>
        </w:rPr>
        <w:t xml:space="preserve"> J</w:t>
      </w:r>
      <w:r w:rsidRPr="00DA576B">
        <w:rPr>
          <w:rFonts w:ascii="Georgia" w:hAnsi="Georgia" w:cs="Arial"/>
          <w:b/>
          <w:bCs/>
          <w:w w:val="140"/>
          <w:sz w:val="16"/>
          <w:szCs w:val="22"/>
          <w:lang w:val="es-CO"/>
        </w:rPr>
        <w:t>UDICIAL</w:t>
      </w:r>
    </w:p>
    <w:p w14:paraId="70A98774" w14:textId="77777777" w:rsidR="00DA576B" w:rsidRPr="00DA576B" w:rsidRDefault="00DA576B" w:rsidP="00DA576B">
      <w:pPr>
        <w:widowControl/>
        <w:autoSpaceDE/>
        <w:autoSpaceDN/>
        <w:adjustRightInd/>
        <w:spacing w:line="360" w:lineRule="auto"/>
        <w:jc w:val="center"/>
        <w:rPr>
          <w:rFonts w:ascii="Georgia" w:hAnsi="Georgia" w:cs="Arial"/>
          <w:w w:val="140"/>
          <w:sz w:val="18"/>
          <w:szCs w:val="18"/>
          <w:lang w:val="es-CO"/>
        </w:rPr>
      </w:pPr>
      <w:r w:rsidRPr="00DA576B">
        <w:rPr>
          <w:rFonts w:ascii="Georgia" w:hAnsi="Georgia" w:cs="Arial"/>
          <w:w w:val="140"/>
          <w:sz w:val="18"/>
          <w:szCs w:val="18"/>
          <w:lang w:val="es-CO"/>
        </w:rPr>
        <w:t>S</w:t>
      </w:r>
      <w:r w:rsidRPr="00DA576B">
        <w:rPr>
          <w:rFonts w:ascii="Georgia" w:hAnsi="Georgia" w:cs="Arial"/>
          <w:w w:val="140"/>
          <w:sz w:val="16"/>
          <w:szCs w:val="18"/>
          <w:lang w:val="es-CO"/>
        </w:rPr>
        <w:t>ALA</w:t>
      </w:r>
      <w:r w:rsidRPr="00DA576B">
        <w:rPr>
          <w:rFonts w:ascii="Georgia" w:hAnsi="Georgia" w:cs="Arial"/>
          <w:w w:val="140"/>
          <w:sz w:val="14"/>
          <w:szCs w:val="18"/>
          <w:lang w:val="es-CO"/>
        </w:rPr>
        <w:t xml:space="preserve"> </w:t>
      </w:r>
      <w:r w:rsidRPr="00DA576B">
        <w:rPr>
          <w:rFonts w:ascii="Georgia" w:hAnsi="Georgia" w:cs="Arial"/>
          <w:w w:val="140"/>
          <w:sz w:val="16"/>
          <w:szCs w:val="18"/>
          <w:lang w:val="es-CO"/>
        </w:rPr>
        <w:t xml:space="preserve">DE </w:t>
      </w:r>
      <w:r w:rsidRPr="00DA576B">
        <w:rPr>
          <w:rFonts w:ascii="Georgia" w:hAnsi="Georgia" w:cs="Arial"/>
          <w:w w:val="140"/>
          <w:sz w:val="18"/>
          <w:szCs w:val="18"/>
          <w:lang w:val="es-CO"/>
        </w:rPr>
        <w:t>D</w:t>
      </w:r>
      <w:r w:rsidRPr="00DA576B">
        <w:rPr>
          <w:rFonts w:ascii="Georgia" w:hAnsi="Georgia" w:cs="Arial"/>
          <w:w w:val="140"/>
          <w:sz w:val="16"/>
          <w:szCs w:val="18"/>
          <w:lang w:val="es-CO"/>
        </w:rPr>
        <w:t>ECISIÓN</w:t>
      </w:r>
      <w:r w:rsidRPr="00DA576B">
        <w:rPr>
          <w:rFonts w:ascii="Georgia" w:hAnsi="Georgia" w:cs="Arial"/>
          <w:w w:val="140"/>
          <w:sz w:val="14"/>
          <w:szCs w:val="18"/>
          <w:lang w:val="es-CO"/>
        </w:rPr>
        <w:t xml:space="preserve"> </w:t>
      </w:r>
      <w:r w:rsidRPr="00DA576B">
        <w:rPr>
          <w:rFonts w:ascii="Georgia" w:hAnsi="Georgia" w:cs="Arial"/>
          <w:w w:val="140"/>
          <w:sz w:val="18"/>
          <w:szCs w:val="18"/>
          <w:lang w:val="es-CO"/>
        </w:rPr>
        <w:t>C</w:t>
      </w:r>
      <w:r w:rsidRPr="00DA576B">
        <w:rPr>
          <w:rFonts w:ascii="Georgia" w:hAnsi="Georgia" w:cs="Arial"/>
          <w:w w:val="140"/>
          <w:sz w:val="16"/>
          <w:szCs w:val="18"/>
          <w:lang w:val="es-CO"/>
        </w:rPr>
        <w:t xml:space="preserve">IVIL – </w:t>
      </w:r>
      <w:r w:rsidRPr="00DA576B">
        <w:rPr>
          <w:rFonts w:ascii="Georgia" w:hAnsi="Georgia" w:cs="Arial"/>
          <w:w w:val="140"/>
          <w:sz w:val="18"/>
          <w:szCs w:val="18"/>
          <w:lang w:val="es-CO"/>
        </w:rPr>
        <w:t>F</w:t>
      </w:r>
      <w:r w:rsidRPr="00DA576B">
        <w:rPr>
          <w:rFonts w:ascii="Georgia" w:hAnsi="Georgia" w:cs="Arial"/>
          <w:w w:val="140"/>
          <w:sz w:val="16"/>
          <w:szCs w:val="18"/>
          <w:lang w:val="es-CO"/>
        </w:rPr>
        <w:t xml:space="preserve">AMILIA – </w:t>
      </w:r>
      <w:r w:rsidRPr="00DA576B">
        <w:rPr>
          <w:rFonts w:ascii="Georgia" w:hAnsi="Georgia" w:cs="Arial"/>
          <w:w w:val="140"/>
          <w:sz w:val="18"/>
          <w:szCs w:val="18"/>
          <w:lang w:val="es-CO"/>
        </w:rPr>
        <w:t>D</w:t>
      </w:r>
      <w:r w:rsidRPr="00DA576B">
        <w:rPr>
          <w:rFonts w:ascii="Georgia" w:hAnsi="Georgia" w:cs="Arial"/>
          <w:w w:val="140"/>
          <w:sz w:val="16"/>
          <w:szCs w:val="18"/>
          <w:lang w:val="es-CO"/>
        </w:rPr>
        <w:t>ISTRITO</w:t>
      </w:r>
      <w:r w:rsidRPr="00DA576B">
        <w:rPr>
          <w:rFonts w:ascii="Georgia" w:hAnsi="Georgia" w:cs="Arial"/>
          <w:w w:val="140"/>
          <w:sz w:val="18"/>
          <w:szCs w:val="18"/>
          <w:lang w:val="es-CO"/>
        </w:rPr>
        <w:t xml:space="preserve"> D</w:t>
      </w:r>
      <w:r w:rsidRPr="00DA576B">
        <w:rPr>
          <w:rFonts w:ascii="Georgia" w:hAnsi="Georgia" w:cs="Arial"/>
          <w:w w:val="140"/>
          <w:sz w:val="16"/>
          <w:szCs w:val="18"/>
          <w:lang w:val="es-CO"/>
        </w:rPr>
        <w:t>E</w:t>
      </w:r>
      <w:r w:rsidRPr="00DA576B">
        <w:rPr>
          <w:rFonts w:ascii="Georgia" w:hAnsi="Georgia" w:cs="Arial"/>
          <w:w w:val="140"/>
          <w:sz w:val="18"/>
          <w:szCs w:val="18"/>
          <w:lang w:val="es-CO"/>
        </w:rPr>
        <w:t xml:space="preserve"> P</w:t>
      </w:r>
      <w:r w:rsidRPr="00DA576B">
        <w:rPr>
          <w:rFonts w:ascii="Georgia" w:hAnsi="Georgia" w:cs="Arial"/>
          <w:w w:val="140"/>
          <w:sz w:val="16"/>
          <w:szCs w:val="18"/>
          <w:lang w:val="es-CO"/>
        </w:rPr>
        <w:t>EREIRA</w:t>
      </w:r>
      <w:r w:rsidRPr="00DA576B">
        <w:rPr>
          <w:rFonts w:ascii="Georgia" w:hAnsi="Georgia" w:cs="Arial"/>
          <w:w w:val="140"/>
          <w:sz w:val="18"/>
          <w:szCs w:val="18"/>
          <w:lang w:val="es-CO"/>
        </w:rPr>
        <w:t xml:space="preserve"> </w:t>
      </w:r>
    </w:p>
    <w:p w14:paraId="0DEB0754" w14:textId="77777777" w:rsidR="00DA576B" w:rsidRPr="00DA576B" w:rsidRDefault="00DA576B" w:rsidP="00DA576B">
      <w:pPr>
        <w:pStyle w:val="Sinespaciado"/>
        <w:spacing w:line="360" w:lineRule="auto"/>
        <w:jc w:val="center"/>
        <w:rPr>
          <w:rFonts w:ascii="Georgia" w:hAnsi="Georgia" w:cs="Arial"/>
          <w:w w:val="140"/>
          <w:sz w:val="16"/>
          <w:szCs w:val="18"/>
          <w:lang w:val="es-CO"/>
        </w:rPr>
      </w:pP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EPARTAMENTO </w:t>
      </w: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EL </w:t>
      </w:r>
      <w:r w:rsidRPr="00DA576B">
        <w:rPr>
          <w:rFonts w:ascii="Georgia" w:hAnsi="Georgia" w:cs="Arial"/>
          <w:w w:val="140"/>
          <w:sz w:val="18"/>
          <w:szCs w:val="18"/>
          <w:lang w:val="es-CO"/>
        </w:rPr>
        <w:t>R</w:t>
      </w:r>
      <w:r w:rsidRPr="00DA576B">
        <w:rPr>
          <w:rFonts w:ascii="Georgia" w:hAnsi="Georgia" w:cs="Arial"/>
          <w:w w:val="140"/>
          <w:sz w:val="16"/>
          <w:szCs w:val="18"/>
          <w:lang w:val="es-CO"/>
        </w:rPr>
        <w:t>ISARALDA</w:t>
      </w:r>
      <w:bookmarkEnd w:id="2"/>
    </w:p>
    <w:p w14:paraId="0C84C76F" w14:textId="77777777" w:rsidR="00DA576B" w:rsidRPr="00DA576B" w:rsidRDefault="00DA576B" w:rsidP="00DA576B">
      <w:pPr>
        <w:widowControl/>
        <w:autoSpaceDE/>
        <w:autoSpaceDN/>
        <w:adjustRightInd/>
        <w:spacing w:line="276" w:lineRule="auto"/>
        <w:jc w:val="center"/>
        <w:rPr>
          <w:rFonts w:ascii="Georgia" w:hAnsi="Georgia" w:cs="Arial"/>
          <w:bCs/>
          <w:lang w:val="es-CO"/>
        </w:rPr>
      </w:pPr>
    </w:p>
    <w:p w14:paraId="484BDF4C" w14:textId="0615D077" w:rsidR="006170B3" w:rsidRPr="005115C8" w:rsidRDefault="006170B3" w:rsidP="00DA576B">
      <w:pPr>
        <w:widowControl/>
        <w:autoSpaceDE/>
        <w:autoSpaceDN/>
        <w:adjustRightInd/>
        <w:spacing w:line="360" w:lineRule="auto"/>
        <w:jc w:val="center"/>
        <w:rPr>
          <w:rFonts w:ascii="Georgia" w:hAnsi="Georgia" w:cs="Arial"/>
          <w:b/>
          <w:bCs/>
        </w:rPr>
      </w:pPr>
      <w:r w:rsidRPr="005115C8">
        <w:rPr>
          <w:rFonts w:ascii="Georgia" w:hAnsi="Georgia" w:cs="Arial"/>
          <w:b/>
          <w:bCs/>
        </w:rPr>
        <w:t>ST1-</w:t>
      </w:r>
      <w:r w:rsidR="00DA4C4D" w:rsidRPr="005115C8">
        <w:rPr>
          <w:rFonts w:ascii="Georgia" w:hAnsi="Georgia" w:cs="Arial"/>
          <w:b/>
          <w:bCs/>
        </w:rPr>
        <w:t>0039</w:t>
      </w:r>
      <w:r w:rsidRPr="005115C8">
        <w:rPr>
          <w:rFonts w:ascii="Georgia" w:hAnsi="Georgia" w:cs="Arial"/>
          <w:b/>
          <w:bCs/>
        </w:rPr>
        <w:t>-</w:t>
      </w:r>
      <w:r w:rsidR="00C124EB" w:rsidRPr="005115C8">
        <w:rPr>
          <w:rFonts w:ascii="Georgia" w:hAnsi="Georgia" w:cs="Arial"/>
          <w:b/>
          <w:bCs/>
        </w:rPr>
        <w:t>2022</w:t>
      </w:r>
    </w:p>
    <w:p w14:paraId="478E3187" w14:textId="77777777" w:rsidR="002060F5" w:rsidRPr="005115C8" w:rsidRDefault="002060F5" w:rsidP="005115C8">
      <w:pPr>
        <w:pBdr>
          <w:bottom w:val="double" w:sz="6" w:space="1" w:color="auto"/>
        </w:pBdr>
        <w:spacing w:line="276" w:lineRule="auto"/>
        <w:jc w:val="center"/>
        <w:rPr>
          <w:rFonts w:ascii="Georgia" w:hAnsi="Georgia" w:cs="Arial"/>
          <w:b/>
          <w:bCs/>
        </w:rPr>
      </w:pPr>
    </w:p>
    <w:p w14:paraId="350EE9E6" w14:textId="77777777" w:rsidR="00D809D6" w:rsidRPr="005115C8" w:rsidRDefault="00D809D6" w:rsidP="005115C8">
      <w:pPr>
        <w:spacing w:line="276" w:lineRule="auto"/>
        <w:jc w:val="center"/>
        <w:rPr>
          <w:rFonts w:ascii="Georgia" w:hAnsi="Georgia" w:cs="Arial"/>
          <w:b/>
          <w:bCs/>
        </w:rPr>
      </w:pPr>
    </w:p>
    <w:p w14:paraId="182FFEF0" w14:textId="4D7502BA" w:rsidR="00026BFF" w:rsidRPr="00DA576B" w:rsidRDefault="008A728E" w:rsidP="005115C8">
      <w:pPr>
        <w:spacing w:line="276" w:lineRule="auto"/>
        <w:jc w:val="center"/>
        <w:rPr>
          <w:rFonts w:ascii="Georgia" w:hAnsi="Georgia" w:cs="Arial"/>
          <w:bCs/>
          <w:iCs/>
          <w:smallCaps/>
          <w:lang w:val="es-CO"/>
        </w:rPr>
      </w:pPr>
      <w:r w:rsidRPr="00DA576B">
        <w:rPr>
          <w:rFonts w:ascii="Georgia" w:hAnsi="Georgia" w:cs="Arial"/>
          <w:bCs/>
          <w:iCs/>
          <w:smallCaps/>
          <w:lang w:val="es-CO"/>
        </w:rPr>
        <w:t>Nueve</w:t>
      </w:r>
      <w:r w:rsidR="00162AC6" w:rsidRPr="00DA576B">
        <w:rPr>
          <w:rFonts w:ascii="Georgia" w:hAnsi="Georgia" w:cs="Arial"/>
          <w:bCs/>
          <w:iCs/>
          <w:smallCaps/>
          <w:lang w:val="es-CO"/>
        </w:rPr>
        <w:t xml:space="preserve"> </w:t>
      </w:r>
      <w:r w:rsidR="0013401E" w:rsidRPr="00DA576B">
        <w:rPr>
          <w:rFonts w:ascii="Georgia" w:hAnsi="Georgia" w:cs="Arial"/>
          <w:bCs/>
          <w:iCs/>
          <w:smallCaps/>
          <w:lang w:val="es-CO"/>
        </w:rPr>
        <w:t>(</w:t>
      </w:r>
      <w:r w:rsidRPr="00DA576B">
        <w:rPr>
          <w:rFonts w:ascii="Georgia" w:hAnsi="Georgia" w:cs="Arial"/>
          <w:bCs/>
          <w:iCs/>
          <w:smallCaps/>
          <w:lang w:val="es-CO"/>
        </w:rPr>
        <w:t>9</w:t>
      </w:r>
      <w:r w:rsidR="0013401E" w:rsidRPr="00DA576B">
        <w:rPr>
          <w:rFonts w:ascii="Georgia" w:hAnsi="Georgia" w:cs="Arial"/>
          <w:bCs/>
          <w:iCs/>
          <w:smallCaps/>
          <w:lang w:val="es-CO"/>
        </w:rPr>
        <w:t xml:space="preserve">) de </w:t>
      </w:r>
      <w:r w:rsidR="00162AC6" w:rsidRPr="00DA576B">
        <w:rPr>
          <w:rFonts w:ascii="Georgia" w:hAnsi="Georgia" w:cs="Arial"/>
          <w:bCs/>
          <w:iCs/>
          <w:smallCaps/>
          <w:lang w:val="es-CO"/>
        </w:rPr>
        <w:t xml:space="preserve">marzo </w:t>
      </w:r>
      <w:r w:rsidR="0013401E" w:rsidRPr="00DA576B">
        <w:rPr>
          <w:rFonts w:ascii="Georgia" w:hAnsi="Georgia" w:cs="Arial"/>
          <w:bCs/>
          <w:iCs/>
          <w:smallCaps/>
          <w:lang w:val="es-CO"/>
        </w:rPr>
        <w:t xml:space="preserve">de dos mil </w:t>
      </w:r>
      <w:r w:rsidR="00C124EB" w:rsidRPr="00DA576B">
        <w:rPr>
          <w:rFonts w:ascii="Georgia" w:hAnsi="Georgia" w:cs="Arial"/>
          <w:bCs/>
          <w:iCs/>
          <w:smallCaps/>
          <w:lang w:val="es-CO"/>
        </w:rPr>
        <w:t xml:space="preserve">veintidós </w:t>
      </w:r>
      <w:r w:rsidR="0013401E" w:rsidRPr="00DA576B">
        <w:rPr>
          <w:rFonts w:ascii="Georgia" w:hAnsi="Georgia" w:cs="Arial"/>
          <w:bCs/>
          <w:iCs/>
          <w:smallCaps/>
          <w:lang w:val="es-CO"/>
        </w:rPr>
        <w:t>(</w:t>
      </w:r>
      <w:r w:rsidR="00C124EB" w:rsidRPr="00DA576B">
        <w:rPr>
          <w:rFonts w:ascii="Georgia" w:hAnsi="Georgia" w:cs="Arial"/>
          <w:bCs/>
          <w:iCs/>
          <w:smallCaps/>
          <w:lang w:val="es-CO"/>
        </w:rPr>
        <w:t>2022</w:t>
      </w:r>
      <w:r w:rsidR="0013401E" w:rsidRPr="00DA576B">
        <w:rPr>
          <w:rFonts w:ascii="Georgia" w:hAnsi="Georgia" w:cs="Arial"/>
          <w:bCs/>
          <w:iCs/>
          <w:smallCaps/>
          <w:lang w:val="es-CO"/>
        </w:rPr>
        <w:t>)</w:t>
      </w:r>
      <w:r w:rsidR="0013401E" w:rsidRPr="00DA576B">
        <w:rPr>
          <w:rFonts w:ascii="Georgia" w:hAnsi="Georgia" w:cs="Arial"/>
          <w:bCs/>
          <w:iCs/>
          <w:lang w:val="es-CO"/>
        </w:rPr>
        <w:t>.</w:t>
      </w:r>
    </w:p>
    <w:p w14:paraId="045403A0" w14:textId="0E4074D3" w:rsidR="000147A2" w:rsidRPr="005115C8" w:rsidRDefault="000147A2" w:rsidP="005115C8">
      <w:pPr>
        <w:spacing w:line="276" w:lineRule="auto"/>
        <w:jc w:val="center"/>
        <w:rPr>
          <w:rFonts w:ascii="Georgia" w:hAnsi="Georgia" w:cs="Arial"/>
          <w:b/>
          <w:bCs/>
          <w:lang w:val="es-CO"/>
        </w:rPr>
      </w:pPr>
    </w:p>
    <w:p w14:paraId="59CE7E25" w14:textId="77777777" w:rsidR="006170B3" w:rsidRPr="005115C8" w:rsidRDefault="006170B3" w:rsidP="005115C8">
      <w:pPr>
        <w:spacing w:line="276" w:lineRule="auto"/>
        <w:jc w:val="center"/>
        <w:rPr>
          <w:rFonts w:ascii="Georgia" w:hAnsi="Georgia" w:cs="Arial"/>
          <w:b/>
          <w:bCs/>
          <w:lang w:val="es-CO"/>
        </w:rPr>
      </w:pPr>
    </w:p>
    <w:p w14:paraId="261BBAB6" w14:textId="77777777" w:rsidR="00CB272A" w:rsidRPr="005115C8" w:rsidRDefault="00040EA1" w:rsidP="005115C8">
      <w:pPr>
        <w:pStyle w:val="Textoindependiente"/>
        <w:numPr>
          <w:ilvl w:val="0"/>
          <w:numId w:val="1"/>
        </w:numPr>
        <w:spacing w:line="276" w:lineRule="auto"/>
        <w:rPr>
          <w:rFonts w:ascii="Georgia" w:hAnsi="Georgia" w:cs="Arial"/>
          <w:b/>
          <w:bCs/>
          <w:smallCaps/>
          <w:szCs w:val="24"/>
        </w:rPr>
      </w:pPr>
      <w:r w:rsidRPr="005115C8">
        <w:rPr>
          <w:rFonts w:ascii="Georgia" w:hAnsi="Georgia" w:cs="Arial"/>
          <w:b/>
          <w:bCs/>
          <w:smallCaps/>
          <w:szCs w:val="24"/>
        </w:rPr>
        <w:t>El asunto por decidir</w:t>
      </w:r>
    </w:p>
    <w:p w14:paraId="10D6AAB1" w14:textId="77777777" w:rsidR="00CB272A" w:rsidRPr="005115C8" w:rsidRDefault="00CB272A" w:rsidP="005115C8">
      <w:pPr>
        <w:pStyle w:val="Textoindependiente"/>
        <w:spacing w:line="276" w:lineRule="auto"/>
        <w:rPr>
          <w:rFonts w:ascii="Georgia" w:hAnsi="Georgia" w:cs="Arial"/>
          <w:szCs w:val="24"/>
        </w:rPr>
      </w:pPr>
    </w:p>
    <w:p w14:paraId="165F0239" w14:textId="050B7CBC" w:rsidR="00CB272A" w:rsidRPr="005115C8" w:rsidRDefault="00CB272A" w:rsidP="005115C8">
      <w:pPr>
        <w:pStyle w:val="Textoindependiente"/>
        <w:spacing w:line="276" w:lineRule="auto"/>
        <w:rPr>
          <w:rFonts w:ascii="Georgia" w:hAnsi="Georgia" w:cs="Arial"/>
          <w:szCs w:val="24"/>
        </w:rPr>
      </w:pPr>
      <w:r w:rsidRPr="005115C8">
        <w:rPr>
          <w:rFonts w:ascii="Georgia" w:hAnsi="Georgia" w:cs="Arial"/>
          <w:szCs w:val="24"/>
        </w:rPr>
        <w:t xml:space="preserve">La </w:t>
      </w:r>
      <w:r w:rsidR="00E54925" w:rsidRPr="005115C8">
        <w:rPr>
          <w:rFonts w:ascii="Georgia" w:hAnsi="Georgia" w:cs="Arial"/>
          <w:szCs w:val="24"/>
        </w:rPr>
        <w:t>acción</w:t>
      </w:r>
      <w:r w:rsidRPr="005115C8">
        <w:rPr>
          <w:rFonts w:ascii="Georgia" w:hAnsi="Georgia" w:cs="Arial"/>
          <w:szCs w:val="24"/>
        </w:rPr>
        <w:t xml:space="preserve"> constitucional </w:t>
      </w:r>
      <w:r w:rsidR="00060AA9" w:rsidRPr="005115C8">
        <w:rPr>
          <w:rFonts w:ascii="Georgia" w:hAnsi="Georgia" w:cs="Arial"/>
          <w:szCs w:val="24"/>
        </w:rPr>
        <w:t>mencionada</w:t>
      </w:r>
      <w:r w:rsidRPr="005115C8">
        <w:rPr>
          <w:rFonts w:ascii="Georgia" w:hAnsi="Georgia" w:cs="Arial"/>
          <w:szCs w:val="24"/>
        </w:rPr>
        <w:t xml:space="preserve">, </w:t>
      </w:r>
      <w:r w:rsidR="6B768175" w:rsidRPr="005115C8">
        <w:rPr>
          <w:rFonts w:ascii="Georgia" w:hAnsi="Georgia" w:cs="Arial"/>
          <w:szCs w:val="24"/>
        </w:rPr>
        <w:t>agotad</w:t>
      </w:r>
      <w:r w:rsidR="5AC98B14" w:rsidRPr="005115C8">
        <w:rPr>
          <w:rFonts w:ascii="Georgia" w:hAnsi="Georgia" w:cs="Arial"/>
          <w:szCs w:val="24"/>
        </w:rPr>
        <w:t>o</w:t>
      </w:r>
      <w:r w:rsidR="6B768175" w:rsidRPr="005115C8">
        <w:rPr>
          <w:rFonts w:ascii="Georgia" w:hAnsi="Georgia" w:cs="Arial"/>
          <w:szCs w:val="24"/>
        </w:rPr>
        <w:t xml:space="preserve"> </w:t>
      </w:r>
      <w:r w:rsidR="5946BBA4" w:rsidRPr="005115C8">
        <w:rPr>
          <w:rFonts w:ascii="Georgia" w:hAnsi="Georgia" w:cs="Arial"/>
          <w:szCs w:val="24"/>
        </w:rPr>
        <w:t xml:space="preserve">el </w:t>
      </w:r>
      <w:r w:rsidRPr="005115C8">
        <w:rPr>
          <w:rFonts w:ascii="Georgia" w:hAnsi="Georgia" w:cs="Arial"/>
          <w:szCs w:val="24"/>
        </w:rPr>
        <w:t xml:space="preserve">trámite preferente y sumario, sin </w:t>
      </w:r>
      <w:r w:rsidR="3950A692" w:rsidRPr="005115C8">
        <w:rPr>
          <w:rFonts w:ascii="Georgia" w:hAnsi="Georgia" w:cs="Arial"/>
          <w:szCs w:val="24"/>
        </w:rPr>
        <w:t xml:space="preserve">advertir </w:t>
      </w:r>
      <w:r w:rsidRPr="005115C8">
        <w:rPr>
          <w:rFonts w:ascii="Georgia" w:hAnsi="Georgia" w:cs="Arial"/>
          <w:szCs w:val="24"/>
        </w:rPr>
        <w:t>nulidad</w:t>
      </w:r>
      <w:r w:rsidR="37F096A1" w:rsidRPr="005115C8">
        <w:rPr>
          <w:rFonts w:ascii="Georgia" w:hAnsi="Georgia" w:cs="Arial"/>
          <w:szCs w:val="24"/>
        </w:rPr>
        <w:t>es</w:t>
      </w:r>
      <w:r w:rsidRPr="005115C8">
        <w:rPr>
          <w:rFonts w:ascii="Georgia" w:hAnsi="Georgia" w:cs="Arial"/>
          <w:szCs w:val="24"/>
        </w:rPr>
        <w:t>.</w:t>
      </w:r>
    </w:p>
    <w:p w14:paraId="2532EC16" w14:textId="77777777" w:rsidR="006170B3" w:rsidRPr="005115C8" w:rsidRDefault="006170B3" w:rsidP="005115C8">
      <w:pPr>
        <w:pStyle w:val="Textoindependiente"/>
        <w:spacing w:line="276" w:lineRule="auto"/>
        <w:rPr>
          <w:rFonts w:ascii="Georgia" w:hAnsi="Georgia" w:cs="Arial"/>
          <w:szCs w:val="24"/>
        </w:rPr>
      </w:pPr>
    </w:p>
    <w:p w14:paraId="4E6AB9B7" w14:textId="14F5849F" w:rsidR="00CB272A" w:rsidRPr="005115C8" w:rsidRDefault="00040EA1" w:rsidP="005115C8">
      <w:pPr>
        <w:pStyle w:val="Textoindependiente"/>
        <w:numPr>
          <w:ilvl w:val="0"/>
          <w:numId w:val="1"/>
        </w:numPr>
        <w:spacing w:line="276" w:lineRule="auto"/>
        <w:rPr>
          <w:rFonts w:ascii="Georgia" w:hAnsi="Georgia" w:cs="Arial"/>
          <w:b/>
          <w:bCs/>
          <w:smallCaps/>
          <w:szCs w:val="24"/>
        </w:rPr>
      </w:pPr>
      <w:r w:rsidRPr="005115C8">
        <w:rPr>
          <w:rFonts w:ascii="Georgia" w:hAnsi="Georgia" w:cs="Arial"/>
          <w:b/>
          <w:bCs/>
          <w:smallCaps/>
          <w:szCs w:val="24"/>
        </w:rPr>
        <w:t>La síntesis fáctic</w:t>
      </w:r>
      <w:r w:rsidR="0013401E" w:rsidRPr="005115C8">
        <w:rPr>
          <w:rFonts w:ascii="Georgia" w:hAnsi="Georgia" w:cs="Arial"/>
          <w:b/>
          <w:bCs/>
          <w:smallCaps/>
          <w:szCs w:val="24"/>
        </w:rPr>
        <w:t>a</w:t>
      </w:r>
      <w:r w:rsidRPr="005115C8">
        <w:rPr>
          <w:rFonts w:ascii="Georgia" w:hAnsi="Georgia" w:cs="Arial"/>
          <w:b/>
          <w:bCs/>
          <w:smallCaps/>
          <w:szCs w:val="24"/>
        </w:rPr>
        <w:t xml:space="preserve"> relevante</w:t>
      </w:r>
    </w:p>
    <w:p w14:paraId="6F638FEC" w14:textId="77777777" w:rsidR="00CB272A" w:rsidRPr="005115C8" w:rsidRDefault="00CB272A" w:rsidP="005115C8">
      <w:pPr>
        <w:pStyle w:val="Textoindependiente"/>
        <w:spacing w:line="276" w:lineRule="auto"/>
        <w:rPr>
          <w:rFonts w:ascii="Georgia" w:hAnsi="Georgia" w:cs="Arial"/>
          <w:szCs w:val="24"/>
        </w:rPr>
      </w:pPr>
    </w:p>
    <w:p w14:paraId="132294EE" w14:textId="2DD8BA7C" w:rsidR="00313E9E" w:rsidRPr="005115C8" w:rsidRDefault="00313E9E" w:rsidP="005115C8">
      <w:pPr>
        <w:spacing w:line="276" w:lineRule="auto"/>
        <w:jc w:val="both"/>
        <w:rPr>
          <w:rFonts w:ascii="Georgia" w:hAnsi="Georgia" w:cs="Arial"/>
          <w:lang w:val="es-CO"/>
        </w:rPr>
      </w:pPr>
      <w:r w:rsidRPr="005115C8">
        <w:rPr>
          <w:rFonts w:ascii="Georgia" w:hAnsi="Georgia" w:cs="Arial"/>
          <w:lang w:val="es-CO"/>
        </w:rPr>
        <w:t xml:space="preserve">Relata la actora que construyó una edificación de cuatro pisos en inmueble de su propiedad, pese a la suspensión de la licencia dispuesta por la Secretaría de Planeación, Ambiente y Obras Públicas de Quinchía; luego, el señor José Orlando García </w:t>
      </w:r>
      <w:r w:rsidR="00880332" w:rsidRPr="005115C8">
        <w:rPr>
          <w:rFonts w:ascii="Georgia" w:hAnsi="Georgia" w:cs="Arial"/>
          <w:lang w:val="es-CO"/>
        </w:rPr>
        <w:t>Moncada</w:t>
      </w:r>
      <w:r w:rsidRPr="005115C8">
        <w:rPr>
          <w:rFonts w:ascii="Georgia" w:hAnsi="Georgia" w:cs="Arial"/>
          <w:lang w:val="es-CO"/>
        </w:rPr>
        <w:t xml:space="preserve"> solicitó permiso semejante para realizar obras en otro inmueble y la autoridad lo negó. </w:t>
      </w:r>
    </w:p>
    <w:p w14:paraId="25A6E715" w14:textId="77777777" w:rsidR="00313E9E" w:rsidRPr="005115C8" w:rsidRDefault="00313E9E" w:rsidP="005115C8">
      <w:pPr>
        <w:spacing w:line="276" w:lineRule="auto"/>
        <w:jc w:val="both"/>
        <w:rPr>
          <w:rFonts w:ascii="Georgia" w:hAnsi="Georgia" w:cs="Arial"/>
          <w:lang w:val="es-CO"/>
        </w:rPr>
      </w:pPr>
    </w:p>
    <w:p w14:paraId="3793B3CA" w14:textId="78ECF847" w:rsidR="00313E9E" w:rsidRPr="005115C8" w:rsidRDefault="00313E9E" w:rsidP="005115C8">
      <w:pPr>
        <w:spacing w:line="276" w:lineRule="auto"/>
        <w:jc w:val="both"/>
        <w:rPr>
          <w:rFonts w:ascii="Georgia" w:hAnsi="Georgia" w:cs="Arial"/>
          <w:lang w:val="es-CO"/>
        </w:rPr>
      </w:pPr>
      <w:r w:rsidRPr="005115C8">
        <w:rPr>
          <w:rFonts w:ascii="Georgia" w:hAnsi="Georgia" w:cs="Arial"/>
          <w:lang w:val="es-CO"/>
        </w:rPr>
        <w:t xml:space="preserve">Producto de lo anterior, el señor García M. formuló acción de tutela contra la mencionada secretaría </w:t>
      </w:r>
      <w:r w:rsidR="00BF1D48" w:rsidRPr="005115C8">
        <w:rPr>
          <w:rFonts w:ascii="Georgia" w:hAnsi="Georgia" w:cs="Arial"/>
          <w:lang w:val="es-CO"/>
        </w:rPr>
        <w:t>que conocieron</w:t>
      </w:r>
      <w:r w:rsidRPr="005115C8">
        <w:rPr>
          <w:rFonts w:ascii="Georgia" w:hAnsi="Georgia" w:cs="Arial"/>
          <w:lang w:val="es-CO"/>
        </w:rPr>
        <w:t xml:space="preserve"> los </w:t>
      </w:r>
      <w:r w:rsidR="0093443E" w:rsidRPr="005115C8">
        <w:rPr>
          <w:rFonts w:ascii="Georgia" w:hAnsi="Georgia" w:cs="Arial"/>
          <w:lang w:val="es-CO"/>
        </w:rPr>
        <w:t xml:space="preserve">Juzgados Promiscuos Municipal y del Circuito de Quinchía, radicada al No.2019-00031-00, y culminó con sentencia de segunda instancia del 04-04-2019 que tuteló los derechos, se aclaró con fallo del 29-05-2019, en el sentido de que </w:t>
      </w:r>
      <w:r w:rsidRPr="005115C8">
        <w:rPr>
          <w:rFonts w:ascii="Georgia" w:hAnsi="Georgia" w:cs="Arial"/>
          <w:lang w:val="es-CO"/>
        </w:rPr>
        <w:t xml:space="preserve">la accionada </w:t>
      </w:r>
      <w:r w:rsidR="001C4D63" w:rsidRPr="005115C8">
        <w:rPr>
          <w:rFonts w:ascii="Georgia" w:hAnsi="Georgia" w:cs="Arial"/>
          <w:lang w:val="es-CO"/>
        </w:rPr>
        <w:t xml:space="preserve">no estaba obligada a conceder la licencia sino a </w:t>
      </w:r>
      <w:r w:rsidRPr="005115C8">
        <w:rPr>
          <w:rFonts w:ascii="Georgia" w:hAnsi="Georgia" w:cs="Arial"/>
          <w:lang w:val="es-CO"/>
        </w:rPr>
        <w:t>garantizar el derecho a la igualdad del actor frente a la señora Ma. Elena Vinasco U.</w:t>
      </w:r>
      <w:r w:rsidR="001C4D63" w:rsidRPr="005115C8">
        <w:rPr>
          <w:rFonts w:ascii="Georgia" w:hAnsi="Georgia" w:cs="Arial"/>
          <w:lang w:val="es-CO"/>
        </w:rPr>
        <w:t>, aquí accionante</w:t>
      </w:r>
      <w:r w:rsidRPr="005115C8">
        <w:rPr>
          <w:rFonts w:ascii="Georgia" w:hAnsi="Georgia" w:cs="Arial"/>
          <w:lang w:val="es-CO"/>
        </w:rPr>
        <w:t xml:space="preserve">. </w:t>
      </w:r>
    </w:p>
    <w:p w14:paraId="18CC0929" w14:textId="1AE877B0" w:rsidR="00313E9E" w:rsidRPr="005115C8" w:rsidRDefault="00313E9E" w:rsidP="005115C8">
      <w:pPr>
        <w:spacing w:line="276" w:lineRule="auto"/>
        <w:jc w:val="both"/>
        <w:rPr>
          <w:rFonts w:ascii="Georgia" w:hAnsi="Georgia" w:cs="Arial"/>
          <w:lang w:val="es-CO"/>
        </w:rPr>
      </w:pPr>
    </w:p>
    <w:p w14:paraId="6408B29F" w14:textId="67318871" w:rsidR="00F510F7" w:rsidRPr="005115C8" w:rsidRDefault="001C4D63" w:rsidP="005115C8">
      <w:pPr>
        <w:spacing w:line="276" w:lineRule="auto"/>
        <w:jc w:val="both"/>
        <w:rPr>
          <w:rFonts w:ascii="Georgia" w:hAnsi="Georgia" w:cs="Arial"/>
          <w:lang w:val="es-CO"/>
        </w:rPr>
      </w:pPr>
      <w:r w:rsidRPr="005115C8">
        <w:rPr>
          <w:rFonts w:ascii="Georgia" w:hAnsi="Georgia" w:cs="Arial"/>
          <w:lang w:val="es-CO"/>
        </w:rPr>
        <w:t xml:space="preserve">Sobrevino el cumplimiento de la orden por parte de la accionada y negó la licencia de construcción, luego </w:t>
      </w:r>
      <w:r w:rsidR="00BF1D48" w:rsidRPr="005115C8">
        <w:rPr>
          <w:rFonts w:ascii="Georgia" w:hAnsi="Georgia" w:cs="Arial"/>
          <w:lang w:val="es-CO"/>
        </w:rPr>
        <w:t xml:space="preserve">se </w:t>
      </w:r>
      <w:r w:rsidRPr="005115C8">
        <w:rPr>
          <w:rFonts w:ascii="Georgia" w:hAnsi="Georgia" w:cs="Arial"/>
          <w:lang w:val="es-CO"/>
        </w:rPr>
        <w:t>remitió la actuación al Inspector de Policía para que iniciara el respectivo proceso frente al señor García M.</w:t>
      </w:r>
      <w:r w:rsidR="00487980" w:rsidRPr="005115C8">
        <w:rPr>
          <w:rFonts w:ascii="Georgia" w:hAnsi="Georgia" w:cs="Arial"/>
          <w:lang w:val="es-CO"/>
        </w:rPr>
        <w:t xml:space="preserve">; sin embargo, </w:t>
      </w:r>
      <w:r w:rsidR="00F510F7" w:rsidRPr="005115C8">
        <w:rPr>
          <w:rFonts w:ascii="Georgia" w:hAnsi="Georgia" w:cs="Arial"/>
          <w:lang w:val="es-CO"/>
        </w:rPr>
        <w:t xml:space="preserve">se inició </w:t>
      </w:r>
      <w:r w:rsidRPr="005115C8">
        <w:rPr>
          <w:rFonts w:ascii="Georgia" w:hAnsi="Georgia" w:cs="Arial"/>
          <w:lang w:val="es-CO"/>
        </w:rPr>
        <w:t>incidente de desacato</w:t>
      </w:r>
      <w:r w:rsidR="00F510F7" w:rsidRPr="005115C8">
        <w:rPr>
          <w:rFonts w:ascii="Georgia" w:hAnsi="Georgia" w:cs="Arial"/>
          <w:lang w:val="es-CO"/>
        </w:rPr>
        <w:t xml:space="preserve">, el 16-12-2021 se sancionó a la </w:t>
      </w:r>
      <w:r w:rsidR="00BF1D48" w:rsidRPr="005115C8">
        <w:rPr>
          <w:rFonts w:ascii="Georgia" w:hAnsi="Georgia" w:cs="Arial"/>
          <w:lang w:val="es-CO"/>
        </w:rPr>
        <w:t xml:space="preserve">autoridad </w:t>
      </w:r>
      <w:r w:rsidR="00F510F7" w:rsidRPr="005115C8">
        <w:rPr>
          <w:rFonts w:ascii="Georgia" w:hAnsi="Georgia" w:cs="Arial"/>
          <w:lang w:val="es-CO"/>
        </w:rPr>
        <w:t xml:space="preserve">y en segunda sede se anuló lo actuado. </w:t>
      </w:r>
    </w:p>
    <w:p w14:paraId="63446E55" w14:textId="58072BD1" w:rsidR="001C4D63" w:rsidRPr="005115C8" w:rsidRDefault="001C4D63" w:rsidP="005115C8">
      <w:pPr>
        <w:spacing w:line="276" w:lineRule="auto"/>
        <w:jc w:val="both"/>
        <w:rPr>
          <w:rFonts w:ascii="Georgia" w:hAnsi="Georgia" w:cs="Arial"/>
          <w:lang w:val="es-CO"/>
        </w:rPr>
      </w:pPr>
      <w:r w:rsidRPr="005115C8">
        <w:rPr>
          <w:rFonts w:ascii="Georgia" w:hAnsi="Georgia" w:cs="Arial"/>
          <w:lang w:val="es-CO"/>
        </w:rPr>
        <w:t xml:space="preserve"> </w:t>
      </w:r>
    </w:p>
    <w:p w14:paraId="109D3EA7" w14:textId="4A5BFC9E" w:rsidR="006155DB" w:rsidRPr="005115C8" w:rsidRDefault="00F510F7" w:rsidP="005115C8">
      <w:pPr>
        <w:spacing w:line="276" w:lineRule="auto"/>
        <w:jc w:val="both"/>
        <w:rPr>
          <w:rFonts w:ascii="Georgia" w:hAnsi="Georgia" w:cs="Arial"/>
          <w:lang w:val="es-CO"/>
        </w:rPr>
      </w:pPr>
      <w:r w:rsidRPr="005115C8">
        <w:rPr>
          <w:rFonts w:ascii="Georgia" w:hAnsi="Georgia" w:cs="Arial"/>
          <w:lang w:val="es-CO"/>
        </w:rPr>
        <w:t xml:space="preserve">Ninguno de los despachos judiciales </w:t>
      </w:r>
      <w:r w:rsidRPr="005115C8">
        <w:rPr>
          <w:rFonts w:ascii="Georgia" w:hAnsi="Georgia" w:cs="Arial"/>
          <w:u w:val="single"/>
          <w:lang w:val="es-CO"/>
        </w:rPr>
        <w:t>vinculó a la señora Vinasco U. al trámite tutelar, pese a que la decisión afecta</w:t>
      </w:r>
      <w:r w:rsidR="00BF1D48" w:rsidRPr="005115C8">
        <w:rPr>
          <w:rFonts w:ascii="Georgia" w:hAnsi="Georgia" w:cs="Arial"/>
          <w:u w:val="single"/>
          <w:lang w:val="es-CO"/>
        </w:rPr>
        <w:t>ba</w:t>
      </w:r>
      <w:r w:rsidRPr="005115C8">
        <w:rPr>
          <w:rFonts w:ascii="Georgia" w:hAnsi="Georgia" w:cs="Arial"/>
          <w:u w:val="single"/>
          <w:lang w:val="es-CO"/>
        </w:rPr>
        <w:t xml:space="preserve"> sus intereses; </w:t>
      </w:r>
      <w:r w:rsidRPr="005115C8">
        <w:rPr>
          <w:rFonts w:ascii="Georgia" w:hAnsi="Georgia" w:cs="Arial"/>
          <w:lang w:val="es-CO"/>
        </w:rPr>
        <w:t>y, actualmente la Inspección de Policía de Quinchía adelanta proceso verbal en su contra, notificado el 01-02-2022</w:t>
      </w:r>
      <w:r w:rsidR="005F4241" w:rsidRPr="005115C8">
        <w:rPr>
          <w:rFonts w:ascii="Georgia" w:hAnsi="Georgia" w:cs="Arial"/>
          <w:lang w:val="es-CO"/>
        </w:rPr>
        <w:t xml:space="preserve"> (Cuaderno No.1, pdf No</w:t>
      </w:r>
      <w:r w:rsidR="00BF1D48" w:rsidRPr="005115C8">
        <w:rPr>
          <w:rFonts w:ascii="Georgia" w:hAnsi="Georgia" w:cs="Arial"/>
          <w:lang w:val="es-CO"/>
        </w:rPr>
        <w:t>.02</w:t>
      </w:r>
      <w:r w:rsidR="005F4241" w:rsidRPr="005115C8">
        <w:rPr>
          <w:rFonts w:ascii="Georgia" w:hAnsi="Georgia" w:cs="Arial"/>
          <w:lang w:val="es-CO"/>
        </w:rPr>
        <w:t>)</w:t>
      </w:r>
      <w:r w:rsidR="006155DB" w:rsidRPr="005115C8">
        <w:rPr>
          <w:rFonts w:ascii="Georgia" w:hAnsi="Georgia" w:cs="Arial"/>
          <w:lang w:val="es-CO"/>
        </w:rPr>
        <w:t xml:space="preserve">. </w:t>
      </w:r>
    </w:p>
    <w:p w14:paraId="35440B1F" w14:textId="77777777" w:rsidR="006170B3" w:rsidRPr="005115C8" w:rsidRDefault="006170B3" w:rsidP="005115C8">
      <w:pPr>
        <w:spacing w:line="276" w:lineRule="auto"/>
        <w:jc w:val="both"/>
        <w:rPr>
          <w:rFonts w:ascii="Georgia" w:hAnsi="Georgia" w:cs="Arial"/>
          <w:lang w:val="es-CO"/>
        </w:rPr>
      </w:pPr>
    </w:p>
    <w:p w14:paraId="4309BBD5" w14:textId="7194CC63" w:rsidR="0099045D" w:rsidRPr="005115C8" w:rsidRDefault="005F4241" w:rsidP="005115C8">
      <w:pPr>
        <w:pStyle w:val="Textoindependiente"/>
        <w:numPr>
          <w:ilvl w:val="0"/>
          <w:numId w:val="1"/>
        </w:numPr>
        <w:spacing w:line="276" w:lineRule="auto"/>
        <w:rPr>
          <w:rFonts w:ascii="Georgia" w:hAnsi="Georgia" w:cs="Arial"/>
          <w:b/>
          <w:bCs/>
          <w:smallCaps/>
          <w:szCs w:val="24"/>
        </w:rPr>
      </w:pPr>
      <w:r w:rsidRPr="005115C8">
        <w:rPr>
          <w:rFonts w:ascii="Georgia" w:hAnsi="Georgia" w:cs="Arial"/>
          <w:b/>
          <w:bCs/>
          <w:smallCaps/>
          <w:szCs w:val="24"/>
        </w:rPr>
        <w:t>Los</w:t>
      </w:r>
      <w:r w:rsidR="00686CE3" w:rsidRPr="005115C8">
        <w:rPr>
          <w:rFonts w:ascii="Georgia" w:hAnsi="Georgia" w:cs="Arial"/>
          <w:b/>
          <w:bCs/>
          <w:smallCaps/>
          <w:szCs w:val="24"/>
        </w:rPr>
        <w:t xml:space="preserve"> </w:t>
      </w:r>
      <w:r w:rsidR="00040EA1" w:rsidRPr="005115C8">
        <w:rPr>
          <w:rFonts w:ascii="Georgia" w:hAnsi="Georgia" w:cs="Arial"/>
          <w:b/>
          <w:bCs/>
          <w:smallCaps/>
          <w:szCs w:val="24"/>
        </w:rPr>
        <w:t>derecho</w:t>
      </w:r>
      <w:r w:rsidRPr="005115C8">
        <w:rPr>
          <w:rFonts w:ascii="Georgia" w:hAnsi="Georgia" w:cs="Arial"/>
          <w:b/>
          <w:bCs/>
          <w:smallCaps/>
          <w:szCs w:val="24"/>
        </w:rPr>
        <w:t>s</w:t>
      </w:r>
      <w:r w:rsidR="00040EA1" w:rsidRPr="005115C8">
        <w:rPr>
          <w:rFonts w:ascii="Georgia" w:hAnsi="Georgia" w:cs="Arial"/>
          <w:b/>
          <w:bCs/>
          <w:smallCaps/>
          <w:szCs w:val="24"/>
        </w:rPr>
        <w:t xml:space="preserve"> invocado</w:t>
      </w:r>
      <w:r w:rsidRPr="005115C8">
        <w:rPr>
          <w:rFonts w:ascii="Georgia" w:hAnsi="Georgia" w:cs="Arial"/>
          <w:b/>
          <w:bCs/>
          <w:smallCaps/>
          <w:szCs w:val="24"/>
        </w:rPr>
        <w:t>s</w:t>
      </w:r>
      <w:r w:rsidR="00686CE3" w:rsidRPr="005115C8">
        <w:rPr>
          <w:rFonts w:ascii="Georgia" w:hAnsi="Georgia" w:cs="Arial"/>
          <w:b/>
          <w:bCs/>
          <w:smallCaps/>
          <w:szCs w:val="24"/>
        </w:rPr>
        <w:t xml:space="preserve"> y la petición de protección </w:t>
      </w:r>
    </w:p>
    <w:p w14:paraId="3FD5A6BF" w14:textId="77777777" w:rsidR="00CA12AD" w:rsidRPr="005115C8" w:rsidRDefault="00CA12AD" w:rsidP="005115C8">
      <w:pPr>
        <w:pStyle w:val="Textoindependiente"/>
        <w:spacing w:line="276" w:lineRule="auto"/>
        <w:ind w:left="360"/>
        <w:rPr>
          <w:rFonts w:ascii="Georgia" w:hAnsi="Georgia" w:cs="Arial"/>
          <w:b/>
          <w:bCs/>
          <w:smallCaps/>
          <w:szCs w:val="24"/>
        </w:rPr>
      </w:pPr>
    </w:p>
    <w:p w14:paraId="6F70BED6" w14:textId="4D626CAB" w:rsidR="00C862CD" w:rsidRPr="005115C8" w:rsidRDefault="00BF1D48" w:rsidP="00511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5115C8">
        <w:rPr>
          <w:rFonts w:ascii="Georgia" w:hAnsi="Georgia" w:cs="Arial"/>
          <w:spacing w:val="-3"/>
        </w:rPr>
        <w:t xml:space="preserve">Los derechos al </w:t>
      </w:r>
      <w:r w:rsidR="00A3225A" w:rsidRPr="005115C8">
        <w:rPr>
          <w:rFonts w:ascii="Georgia" w:hAnsi="Georgia" w:cs="Arial"/>
          <w:spacing w:val="-3"/>
        </w:rPr>
        <w:t>debido proceso</w:t>
      </w:r>
      <w:r w:rsidRPr="005115C8">
        <w:rPr>
          <w:rFonts w:ascii="Georgia" w:hAnsi="Georgia" w:cs="Arial"/>
          <w:spacing w:val="-3"/>
        </w:rPr>
        <w:t>, defensa y contradicción</w:t>
      </w:r>
      <w:r w:rsidR="00A3225A" w:rsidRPr="005115C8">
        <w:rPr>
          <w:rFonts w:ascii="Georgia" w:hAnsi="Georgia" w:cs="Arial"/>
        </w:rPr>
        <w:t xml:space="preserve">. </w:t>
      </w:r>
      <w:r w:rsidR="00BE6FA4" w:rsidRPr="005115C8">
        <w:rPr>
          <w:rFonts w:ascii="Georgia" w:hAnsi="Georgia" w:cs="Arial"/>
        </w:rPr>
        <w:t>Solicitó</w:t>
      </w:r>
      <w:r w:rsidR="005F4241" w:rsidRPr="005115C8">
        <w:rPr>
          <w:rFonts w:ascii="Georgia" w:hAnsi="Georgia" w:cs="Arial"/>
        </w:rPr>
        <w:t xml:space="preserve">: </w:t>
      </w:r>
      <w:r w:rsidR="005F4241" w:rsidRPr="005115C8">
        <w:rPr>
          <w:rFonts w:ascii="Georgia" w:hAnsi="Georgia" w:cs="Arial"/>
          <w:b/>
          <w:bCs/>
        </w:rPr>
        <w:t xml:space="preserve">(i) </w:t>
      </w:r>
      <w:r w:rsidRPr="005115C8">
        <w:rPr>
          <w:rFonts w:ascii="Georgia" w:hAnsi="Georgia" w:cs="Arial"/>
        </w:rPr>
        <w:t xml:space="preserve">Disponer que en el trámite de desacato los juzgados accionados inapliquen </w:t>
      </w:r>
      <w:r w:rsidR="004A53A2" w:rsidRPr="005115C8">
        <w:rPr>
          <w:rFonts w:ascii="Georgia" w:hAnsi="Georgia" w:cs="Arial"/>
        </w:rPr>
        <w:t xml:space="preserve">la orden de tutela contra la señora Vinasco U., específicamente, lo referente a </w:t>
      </w:r>
      <w:r w:rsidR="004A53A2" w:rsidRPr="005115C8">
        <w:rPr>
          <w:rFonts w:ascii="Georgia" w:hAnsi="Georgia" w:cs="Arial"/>
          <w:i/>
          <w:iCs/>
        </w:rPr>
        <w:t>“</w:t>
      </w:r>
      <w:r w:rsidR="004A53A2" w:rsidRPr="00FE1BFF">
        <w:rPr>
          <w:rFonts w:ascii="Georgia" w:hAnsi="Georgia" w:cs="Arial"/>
          <w:i/>
          <w:iCs/>
          <w:sz w:val="22"/>
        </w:rPr>
        <w:t xml:space="preserve">(…) </w:t>
      </w:r>
      <w:r w:rsidR="004A53A2" w:rsidRPr="00FE1BFF">
        <w:rPr>
          <w:rFonts w:ascii="Georgia" w:hAnsi="Georgia" w:cs="Arial"/>
          <w:i/>
          <w:iCs/>
          <w:sz w:val="22"/>
          <w:lang w:val="es-CO"/>
        </w:rPr>
        <w:t xml:space="preserve">que se le garantizara el derecho a la igualdad frente a la ciudadana (se refiere a </w:t>
      </w:r>
      <w:r w:rsidR="004A53A2" w:rsidRPr="00FE1BFF">
        <w:rPr>
          <w:rFonts w:ascii="Georgia" w:hAnsi="Georgia" w:cs="Arial"/>
          <w:b/>
          <w:bCs/>
          <w:i/>
          <w:iCs/>
          <w:sz w:val="22"/>
          <w:lang w:val="es-CO"/>
        </w:rPr>
        <w:t>María Elena Vinasco Uribe</w:t>
      </w:r>
      <w:r w:rsidR="004A53A2" w:rsidRPr="00FE1BFF">
        <w:rPr>
          <w:rFonts w:ascii="Georgia" w:hAnsi="Georgia" w:cs="Arial"/>
          <w:i/>
          <w:iCs/>
          <w:sz w:val="22"/>
          <w:lang w:val="es-CO"/>
        </w:rPr>
        <w:t xml:space="preserve">) que tiene la construcción de cuatro pisos en el mismo sector y eso se puede hacer otorgándole la licencia para el cuarto piso al señor Orlando García u </w:t>
      </w:r>
      <w:r w:rsidR="004A53A2" w:rsidRPr="00FE1BFF">
        <w:rPr>
          <w:rFonts w:ascii="Georgia" w:hAnsi="Georgia" w:cs="Arial"/>
          <w:b/>
          <w:bCs/>
          <w:i/>
          <w:iCs/>
          <w:sz w:val="22"/>
          <w:lang w:val="es-CO"/>
        </w:rPr>
        <w:t xml:space="preserve">ordenándole demoler a la propietaria del edificio de cuatro pisos </w:t>
      </w:r>
      <w:r w:rsidR="004A53A2" w:rsidRPr="00FE1BFF">
        <w:rPr>
          <w:rFonts w:ascii="Georgia" w:hAnsi="Georgia" w:cs="Arial"/>
          <w:i/>
          <w:iCs/>
          <w:sz w:val="22"/>
          <w:lang w:val="es-CO"/>
        </w:rPr>
        <w:t>(…)</w:t>
      </w:r>
      <w:r w:rsidR="004A53A2" w:rsidRPr="005115C8">
        <w:rPr>
          <w:rFonts w:ascii="Georgia" w:hAnsi="Georgia" w:cs="Arial"/>
          <w:i/>
          <w:iCs/>
          <w:lang w:val="es-CO"/>
        </w:rPr>
        <w:t>”</w:t>
      </w:r>
      <w:r w:rsidR="004A53A2" w:rsidRPr="005115C8">
        <w:rPr>
          <w:rFonts w:ascii="Georgia" w:hAnsi="Georgia" w:cs="Arial"/>
          <w:lang w:val="es-CO"/>
        </w:rPr>
        <w:t xml:space="preserve"> (Negrilla originales)</w:t>
      </w:r>
      <w:r w:rsidR="005F4241" w:rsidRPr="005115C8">
        <w:rPr>
          <w:rFonts w:ascii="Georgia" w:hAnsi="Georgia" w:cs="Arial"/>
        </w:rPr>
        <w:t xml:space="preserve">; </w:t>
      </w:r>
      <w:r w:rsidR="004A53A2" w:rsidRPr="005115C8">
        <w:rPr>
          <w:rFonts w:ascii="Georgia" w:hAnsi="Georgia" w:cs="Arial"/>
        </w:rPr>
        <w:t xml:space="preserve">y, </w:t>
      </w:r>
      <w:r w:rsidR="00B50CA2" w:rsidRPr="005115C8">
        <w:rPr>
          <w:rFonts w:ascii="Georgia" w:hAnsi="Georgia" w:cs="Arial"/>
          <w:b/>
          <w:bCs/>
        </w:rPr>
        <w:t>(</w:t>
      </w:r>
      <w:r w:rsidR="005F4241" w:rsidRPr="005115C8">
        <w:rPr>
          <w:rFonts w:ascii="Georgia" w:hAnsi="Georgia" w:cs="Arial"/>
          <w:b/>
          <w:bCs/>
        </w:rPr>
        <w:t>ii</w:t>
      </w:r>
      <w:r w:rsidR="00B50CA2" w:rsidRPr="005115C8">
        <w:rPr>
          <w:rFonts w:ascii="Georgia" w:hAnsi="Georgia" w:cs="Arial"/>
          <w:b/>
          <w:bCs/>
        </w:rPr>
        <w:t xml:space="preserve">) </w:t>
      </w:r>
      <w:r w:rsidR="004A53A2" w:rsidRPr="005115C8">
        <w:rPr>
          <w:rFonts w:ascii="Georgia" w:hAnsi="Georgia" w:cs="Arial"/>
        </w:rPr>
        <w:t xml:space="preserve">Anular lo actuado en la acción de tutela y vincular a la accionante </w:t>
      </w:r>
      <w:r w:rsidR="005F4241" w:rsidRPr="005115C8">
        <w:rPr>
          <w:rFonts w:ascii="Georgia" w:hAnsi="Georgia" w:cs="Arial"/>
          <w:lang w:val="es-CO"/>
        </w:rPr>
        <w:t>(Cuaderno No.1, pdf No.</w:t>
      </w:r>
      <w:r w:rsidR="004A53A2" w:rsidRPr="005115C8">
        <w:rPr>
          <w:rFonts w:ascii="Georgia" w:hAnsi="Georgia" w:cs="Arial"/>
          <w:lang w:val="es-CO"/>
        </w:rPr>
        <w:t>02</w:t>
      </w:r>
      <w:r w:rsidR="005F4241" w:rsidRPr="005115C8">
        <w:rPr>
          <w:rFonts w:ascii="Georgia" w:hAnsi="Georgia" w:cs="Arial"/>
          <w:lang w:val="es-CO"/>
        </w:rPr>
        <w:t>).</w:t>
      </w:r>
    </w:p>
    <w:p w14:paraId="6EFDC340" w14:textId="6E646425" w:rsidR="00BE6FA4" w:rsidRPr="005115C8" w:rsidRDefault="00BE6FA4" w:rsidP="005115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5115C8" w:rsidRDefault="00040EA1" w:rsidP="005115C8">
      <w:pPr>
        <w:pStyle w:val="Sinespaciado"/>
        <w:numPr>
          <w:ilvl w:val="0"/>
          <w:numId w:val="1"/>
        </w:numPr>
        <w:spacing w:line="276" w:lineRule="auto"/>
        <w:jc w:val="both"/>
        <w:rPr>
          <w:rFonts w:ascii="Georgia" w:hAnsi="Georgia" w:cs="Arial"/>
          <w:b/>
          <w:bCs/>
          <w:smallCaps/>
          <w:szCs w:val="24"/>
        </w:rPr>
      </w:pPr>
      <w:r w:rsidRPr="005115C8">
        <w:rPr>
          <w:rFonts w:ascii="Georgia" w:hAnsi="Georgia" w:cs="Arial"/>
          <w:b/>
          <w:bCs/>
          <w:smallCaps/>
          <w:szCs w:val="24"/>
        </w:rPr>
        <w:t>La síntesis de la crónica procesal</w:t>
      </w:r>
    </w:p>
    <w:p w14:paraId="51F4A9EA" w14:textId="77777777" w:rsidR="00E96F4A" w:rsidRPr="005115C8" w:rsidRDefault="00E96F4A" w:rsidP="005115C8">
      <w:pPr>
        <w:pStyle w:val="Prrafodelista"/>
        <w:spacing w:line="276" w:lineRule="auto"/>
        <w:ind w:left="0"/>
        <w:jc w:val="both"/>
        <w:rPr>
          <w:rFonts w:ascii="Georgia" w:hAnsi="Georgia"/>
        </w:rPr>
      </w:pPr>
    </w:p>
    <w:p w14:paraId="74BB1EB0" w14:textId="4281BFE5" w:rsidR="00493E80" w:rsidRPr="005115C8" w:rsidRDefault="005F4241" w:rsidP="005115C8">
      <w:pPr>
        <w:pStyle w:val="Prrafodelista"/>
        <w:spacing w:line="276" w:lineRule="auto"/>
        <w:ind w:left="0"/>
        <w:jc w:val="both"/>
        <w:rPr>
          <w:rFonts w:ascii="Georgia" w:hAnsi="Georgia" w:cs="Arial"/>
        </w:rPr>
      </w:pPr>
      <w:r w:rsidRPr="005115C8">
        <w:rPr>
          <w:rFonts w:ascii="Georgia" w:hAnsi="Georgia"/>
        </w:rPr>
        <w:t xml:space="preserve">El </w:t>
      </w:r>
      <w:r w:rsidR="00487980" w:rsidRPr="005115C8">
        <w:rPr>
          <w:rFonts w:ascii="Georgia" w:hAnsi="Georgia"/>
        </w:rPr>
        <w:t>25</w:t>
      </w:r>
      <w:r w:rsidR="00EB1F71" w:rsidRPr="005115C8">
        <w:rPr>
          <w:rFonts w:ascii="Georgia" w:hAnsi="Georgia"/>
        </w:rPr>
        <w:t>-</w:t>
      </w:r>
      <w:r w:rsidR="00777277" w:rsidRPr="005115C8">
        <w:rPr>
          <w:rFonts w:ascii="Georgia" w:hAnsi="Georgia"/>
        </w:rPr>
        <w:t>02</w:t>
      </w:r>
      <w:r w:rsidR="00EB1F71" w:rsidRPr="005115C8">
        <w:rPr>
          <w:rFonts w:ascii="Georgia" w:hAnsi="Georgia"/>
        </w:rPr>
        <w:t>-</w:t>
      </w:r>
      <w:r w:rsidR="00777277" w:rsidRPr="005115C8">
        <w:rPr>
          <w:rFonts w:ascii="Georgia" w:hAnsi="Georgia"/>
        </w:rPr>
        <w:t xml:space="preserve">2022 </w:t>
      </w:r>
      <w:r w:rsidR="00DC59B8" w:rsidRPr="005115C8">
        <w:rPr>
          <w:rFonts w:ascii="Georgia" w:hAnsi="Georgia" w:cs="Arial"/>
        </w:rPr>
        <w:t xml:space="preserve">se admitió </w:t>
      </w:r>
      <w:r w:rsidR="00DC59B8" w:rsidRPr="005115C8">
        <w:rPr>
          <w:rFonts w:ascii="Georgia" w:hAnsi="Georgia"/>
        </w:rPr>
        <w:t>(</w:t>
      </w:r>
      <w:r w:rsidR="00487980" w:rsidRPr="005115C8">
        <w:rPr>
          <w:rFonts w:ascii="Georgia" w:hAnsi="Georgia"/>
        </w:rPr>
        <w:t>Cuaderno No.1</w:t>
      </w:r>
      <w:r w:rsidR="00DC59B8" w:rsidRPr="005115C8">
        <w:rPr>
          <w:rFonts w:ascii="Georgia" w:hAnsi="Georgia"/>
        </w:rPr>
        <w:t xml:space="preserve">, </w:t>
      </w:r>
      <w:r w:rsidR="00517CBB" w:rsidRPr="005115C8">
        <w:rPr>
          <w:rFonts w:ascii="Georgia" w:hAnsi="Georgia"/>
        </w:rPr>
        <w:t xml:space="preserve">pdf </w:t>
      </w:r>
      <w:r w:rsidR="00DC59B8" w:rsidRPr="005115C8">
        <w:rPr>
          <w:rFonts w:ascii="Georgia" w:hAnsi="Georgia"/>
        </w:rPr>
        <w:t>No.</w:t>
      </w:r>
      <w:r w:rsidR="00487980" w:rsidRPr="005115C8">
        <w:rPr>
          <w:rFonts w:ascii="Georgia" w:hAnsi="Georgia"/>
        </w:rPr>
        <w:t>10</w:t>
      </w:r>
      <w:r w:rsidR="006170B3" w:rsidRPr="005115C8">
        <w:rPr>
          <w:rFonts w:ascii="Georgia" w:hAnsi="Georgia"/>
        </w:rPr>
        <w:t>)</w:t>
      </w:r>
      <w:r w:rsidR="00FB64B4" w:rsidRPr="005115C8">
        <w:rPr>
          <w:rFonts w:ascii="Georgia" w:hAnsi="Georgia"/>
        </w:rPr>
        <w:t>.</w:t>
      </w:r>
      <w:r w:rsidR="00DF1192" w:rsidRPr="005115C8">
        <w:rPr>
          <w:rFonts w:ascii="Georgia" w:hAnsi="Georgia"/>
        </w:rPr>
        <w:t xml:space="preserve"> </w:t>
      </w:r>
      <w:r w:rsidR="00FB64B4" w:rsidRPr="005115C8">
        <w:rPr>
          <w:rFonts w:ascii="Georgia" w:hAnsi="Georgia"/>
        </w:rPr>
        <w:t>S</w:t>
      </w:r>
      <w:r w:rsidR="7A787B2D" w:rsidRPr="005115C8">
        <w:rPr>
          <w:rFonts w:ascii="Georgia" w:hAnsi="Georgia"/>
        </w:rPr>
        <w:t xml:space="preserve">e </w:t>
      </w:r>
      <w:r w:rsidR="00DC59B8" w:rsidRPr="005115C8">
        <w:rPr>
          <w:rFonts w:ascii="Georgia" w:hAnsi="Georgia" w:cs="Arial"/>
        </w:rPr>
        <w:t>entera</w:t>
      </w:r>
      <w:r w:rsidR="0414A2E5" w:rsidRPr="005115C8">
        <w:rPr>
          <w:rFonts w:ascii="Georgia" w:hAnsi="Georgia" w:cs="Arial"/>
        </w:rPr>
        <w:t xml:space="preserve">ron </w:t>
      </w:r>
      <w:r w:rsidR="00AC42E2" w:rsidRPr="005115C8">
        <w:rPr>
          <w:rFonts w:ascii="Georgia" w:hAnsi="Georgia" w:cs="Arial"/>
        </w:rPr>
        <w:t xml:space="preserve">las partes </w:t>
      </w:r>
      <w:r w:rsidR="00DC59B8" w:rsidRPr="005115C8">
        <w:rPr>
          <w:rFonts w:ascii="Georgia" w:hAnsi="Georgia" w:cs="Arial"/>
        </w:rPr>
        <w:t>(</w:t>
      </w:r>
      <w:r w:rsidR="00517CBB" w:rsidRPr="005115C8">
        <w:rPr>
          <w:rFonts w:ascii="Georgia" w:hAnsi="Georgia" w:cs="Arial"/>
        </w:rPr>
        <w:t>Ibidem</w:t>
      </w:r>
      <w:r w:rsidR="00DC59B8" w:rsidRPr="005115C8">
        <w:rPr>
          <w:rFonts w:ascii="Georgia" w:hAnsi="Georgia" w:cs="Arial"/>
        </w:rPr>
        <w:t xml:space="preserve">, </w:t>
      </w:r>
      <w:r w:rsidR="00517CBB" w:rsidRPr="005115C8">
        <w:rPr>
          <w:rFonts w:ascii="Georgia" w:hAnsi="Georgia" w:cs="Arial"/>
        </w:rPr>
        <w:t xml:space="preserve">pdf </w:t>
      </w:r>
      <w:r w:rsidR="00DC59B8" w:rsidRPr="005115C8">
        <w:rPr>
          <w:rFonts w:ascii="Georgia" w:hAnsi="Georgia" w:cs="Arial"/>
        </w:rPr>
        <w:t>No</w:t>
      </w:r>
      <w:r w:rsidR="00880332" w:rsidRPr="005115C8">
        <w:rPr>
          <w:rFonts w:ascii="Georgia" w:hAnsi="Georgia" w:cs="Arial"/>
        </w:rPr>
        <w:t>s</w:t>
      </w:r>
      <w:r w:rsidR="00DC59B8" w:rsidRPr="005115C8">
        <w:rPr>
          <w:rFonts w:ascii="Georgia" w:hAnsi="Georgia" w:cs="Arial"/>
        </w:rPr>
        <w:t>.</w:t>
      </w:r>
      <w:r w:rsidR="00487980" w:rsidRPr="005115C8">
        <w:rPr>
          <w:rFonts w:ascii="Georgia" w:hAnsi="Georgia" w:cs="Arial"/>
        </w:rPr>
        <w:t>11</w:t>
      </w:r>
      <w:r w:rsidR="00880332" w:rsidRPr="005115C8">
        <w:rPr>
          <w:rFonts w:ascii="Georgia" w:hAnsi="Georgia" w:cs="Arial"/>
        </w:rPr>
        <w:t xml:space="preserve"> y 22</w:t>
      </w:r>
      <w:r w:rsidR="00DC59B8" w:rsidRPr="005115C8">
        <w:rPr>
          <w:rFonts w:ascii="Georgia" w:hAnsi="Georgia" w:cs="Arial"/>
        </w:rPr>
        <w:t>)</w:t>
      </w:r>
      <w:r w:rsidR="2F107FE1" w:rsidRPr="005115C8">
        <w:rPr>
          <w:rFonts w:ascii="Georgia" w:hAnsi="Georgia" w:cs="Arial"/>
        </w:rPr>
        <w:t xml:space="preserve"> y </w:t>
      </w:r>
      <w:r w:rsidR="00136368" w:rsidRPr="005115C8">
        <w:rPr>
          <w:rFonts w:ascii="Georgia" w:hAnsi="Georgia" w:cs="Arial"/>
        </w:rPr>
        <w:t xml:space="preserve">los juzgados accionados </w:t>
      </w:r>
      <w:r w:rsidR="00487980" w:rsidRPr="005115C8">
        <w:rPr>
          <w:rFonts w:ascii="Georgia" w:hAnsi="Georgia" w:cs="Arial"/>
        </w:rPr>
        <w:t xml:space="preserve">y autoridades vinculadas </w:t>
      </w:r>
      <w:r w:rsidR="00136368" w:rsidRPr="005115C8">
        <w:rPr>
          <w:rFonts w:ascii="Georgia" w:hAnsi="Georgia" w:cs="Arial"/>
        </w:rPr>
        <w:t xml:space="preserve">contestaron </w:t>
      </w:r>
      <w:r w:rsidR="00A3225A" w:rsidRPr="005115C8">
        <w:rPr>
          <w:rFonts w:ascii="Georgia" w:hAnsi="Georgia" w:cs="Arial"/>
        </w:rPr>
        <w:t>(</w:t>
      </w:r>
      <w:r w:rsidR="00517CBB" w:rsidRPr="005115C8">
        <w:rPr>
          <w:rFonts w:ascii="Georgia" w:hAnsi="Georgia" w:cs="Arial"/>
        </w:rPr>
        <w:t>Ibidem</w:t>
      </w:r>
      <w:r w:rsidR="00A3225A" w:rsidRPr="005115C8">
        <w:rPr>
          <w:rFonts w:ascii="Georgia" w:hAnsi="Georgia" w:cs="Arial"/>
        </w:rPr>
        <w:t xml:space="preserve">, </w:t>
      </w:r>
      <w:r w:rsidR="00517CBB" w:rsidRPr="005115C8">
        <w:rPr>
          <w:rFonts w:ascii="Georgia" w:hAnsi="Georgia" w:cs="Arial"/>
        </w:rPr>
        <w:t xml:space="preserve">pdf </w:t>
      </w:r>
      <w:r w:rsidR="00A3225A" w:rsidRPr="005115C8">
        <w:rPr>
          <w:rFonts w:ascii="Georgia" w:hAnsi="Georgia" w:cs="Arial"/>
        </w:rPr>
        <w:t>No</w:t>
      </w:r>
      <w:r w:rsidR="00136368" w:rsidRPr="005115C8">
        <w:rPr>
          <w:rFonts w:ascii="Georgia" w:hAnsi="Georgia" w:cs="Arial"/>
        </w:rPr>
        <w:t>s</w:t>
      </w:r>
      <w:r w:rsidR="00A3225A" w:rsidRPr="005115C8">
        <w:rPr>
          <w:rFonts w:ascii="Georgia" w:hAnsi="Georgia" w:cs="Arial"/>
        </w:rPr>
        <w:t>.</w:t>
      </w:r>
      <w:r w:rsidR="00487980" w:rsidRPr="005115C8">
        <w:rPr>
          <w:rFonts w:ascii="Georgia" w:hAnsi="Georgia" w:cs="Arial"/>
        </w:rPr>
        <w:t>12, 13, 15, 18, 24 y 25</w:t>
      </w:r>
      <w:r w:rsidR="00A3225A" w:rsidRPr="005115C8">
        <w:rPr>
          <w:rFonts w:ascii="Georgia" w:hAnsi="Georgia" w:cs="Arial"/>
        </w:rPr>
        <w:t>)</w:t>
      </w:r>
      <w:r w:rsidR="00EE29D7" w:rsidRPr="005115C8">
        <w:rPr>
          <w:rFonts w:ascii="Georgia" w:hAnsi="Georgia" w:cs="Arial"/>
        </w:rPr>
        <w:t>.</w:t>
      </w:r>
    </w:p>
    <w:p w14:paraId="33103FE1" w14:textId="41DE764C" w:rsidR="00B220D6" w:rsidRPr="005115C8" w:rsidRDefault="00B220D6" w:rsidP="005115C8">
      <w:pPr>
        <w:spacing w:line="276" w:lineRule="auto"/>
        <w:jc w:val="both"/>
        <w:rPr>
          <w:rFonts w:ascii="Georgia" w:hAnsi="Georgia" w:cs="Arial"/>
        </w:rPr>
      </w:pPr>
    </w:p>
    <w:p w14:paraId="0E6D1130" w14:textId="287F2867" w:rsidR="00136368" w:rsidRPr="005115C8" w:rsidRDefault="00136368" w:rsidP="005115C8">
      <w:pPr>
        <w:spacing w:line="276" w:lineRule="auto"/>
        <w:jc w:val="both"/>
        <w:rPr>
          <w:rFonts w:ascii="Georgia" w:hAnsi="Georgia" w:cs="Arial"/>
        </w:rPr>
      </w:pPr>
      <w:r w:rsidRPr="005115C8">
        <w:rPr>
          <w:rFonts w:ascii="Georgia" w:hAnsi="Georgia" w:cs="Arial"/>
        </w:rPr>
        <w:t xml:space="preserve">El Juez Promiscuo Municipal de </w:t>
      </w:r>
      <w:r w:rsidR="00487980" w:rsidRPr="005115C8">
        <w:rPr>
          <w:rFonts w:ascii="Georgia" w:hAnsi="Georgia" w:cs="Arial"/>
        </w:rPr>
        <w:t>Quinchía</w:t>
      </w:r>
      <w:r w:rsidRPr="005115C8">
        <w:rPr>
          <w:rFonts w:ascii="Georgia" w:hAnsi="Georgia" w:cs="Arial"/>
        </w:rPr>
        <w:t xml:space="preserve"> relató el estado actual del proceso </w:t>
      </w:r>
      <w:r w:rsidR="00487980" w:rsidRPr="005115C8">
        <w:rPr>
          <w:rFonts w:ascii="Georgia" w:hAnsi="Georgia" w:cs="Arial"/>
        </w:rPr>
        <w:t xml:space="preserve">e </w:t>
      </w:r>
      <w:r w:rsidR="00487980" w:rsidRPr="005115C8">
        <w:rPr>
          <w:rFonts w:ascii="Georgia" w:hAnsi="Georgia" w:cs="Arial"/>
        </w:rPr>
        <w:lastRenderedPageBreak/>
        <w:t>informó que el 11-01-2022 la accionante formuló petición</w:t>
      </w:r>
      <w:r w:rsidR="001A46CF" w:rsidRPr="005115C8">
        <w:rPr>
          <w:rFonts w:ascii="Georgia" w:hAnsi="Georgia" w:cs="Arial"/>
        </w:rPr>
        <w:t xml:space="preserve"> que no resolvió </w:t>
      </w:r>
      <w:r w:rsidR="00487980" w:rsidRPr="005115C8">
        <w:rPr>
          <w:rFonts w:ascii="Georgia" w:hAnsi="Georgia" w:cs="Arial"/>
        </w:rPr>
        <w:t xml:space="preserve">porque había remitido el incidente al superior para </w:t>
      </w:r>
      <w:r w:rsidR="001A46CF" w:rsidRPr="005115C8">
        <w:rPr>
          <w:rFonts w:ascii="Georgia" w:hAnsi="Georgia" w:cs="Arial"/>
        </w:rPr>
        <w:t xml:space="preserve">desatar la </w:t>
      </w:r>
      <w:r w:rsidR="00487980" w:rsidRPr="005115C8">
        <w:rPr>
          <w:rFonts w:ascii="Georgia" w:hAnsi="Georgia" w:cs="Arial"/>
        </w:rPr>
        <w:t xml:space="preserve">consulta (Ibidem, pdf No.13). </w:t>
      </w:r>
      <w:r w:rsidR="00880332" w:rsidRPr="005115C8">
        <w:rPr>
          <w:rFonts w:ascii="Georgia" w:hAnsi="Georgia" w:cs="Arial"/>
        </w:rPr>
        <w:t xml:space="preserve">La Alcaldía de esa municipalidad informó que la accionante solicitó a los accionados anular lo actuado y desestimaron el ruego porque no era la etapa procesal para solicitarlo. </w:t>
      </w:r>
      <w:r w:rsidR="00733494" w:rsidRPr="005115C8">
        <w:rPr>
          <w:rFonts w:ascii="Georgia" w:hAnsi="Georgia" w:cs="Arial"/>
        </w:rPr>
        <w:t xml:space="preserve">Sin oponerse </w:t>
      </w:r>
      <w:r w:rsidR="00880332" w:rsidRPr="005115C8">
        <w:rPr>
          <w:rFonts w:ascii="Georgia" w:hAnsi="Georgia" w:cs="Arial"/>
        </w:rPr>
        <w:t>a las pretensiones (Ib., pdf No.15)</w:t>
      </w:r>
      <w:r w:rsidR="00733494" w:rsidRPr="005115C8">
        <w:rPr>
          <w:rFonts w:ascii="Georgia" w:hAnsi="Georgia" w:cs="Arial"/>
        </w:rPr>
        <w:t>. Y, e</w:t>
      </w:r>
      <w:r w:rsidR="00880332" w:rsidRPr="005115C8">
        <w:rPr>
          <w:rFonts w:ascii="Georgia" w:hAnsi="Georgia" w:cs="Arial"/>
        </w:rPr>
        <w:t>l señor José O</w:t>
      </w:r>
      <w:r w:rsidR="00733494" w:rsidRPr="005115C8">
        <w:rPr>
          <w:rFonts w:ascii="Georgia" w:hAnsi="Georgia" w:cs="Arial"/>
        </w:rPr>
        <w:t>.</w:t>
      </w:r>
      <w:r w:rsidR="00880332" w:rsidRPr="005115C8">
        <w:rPr>
          <w:rFonts w:ascii="Georgia" w:hAnsi="Georgia" w:cs="Arial"/>
        </w:rPr>
        <w:t xml:space="preserve"> García M</w:t>
      </w:r>
      <w:r w:rsidR="00733494" w:rsidRPr="005115C8">
        <w:rPr>
          <w:rFonts w:ascii="Georgia" w:hAnsi="Georgia" w:cs="Arial"/>
        </w:rPr>
        <w:t xml:space="preserve">. solicitó desestimar las pretensiones porque es </w:t>
      </w:r>
      <w:r w:rsidR="00880332" w:rsidRPr="005115C8">
        <w:rPr>
          <w:rFonts w:ascii="Georgia" w:hAnsi="Georgia" w:cs="Arial"/>
        </w:rPr>
        <w:t xml:space="preserve">innecesario vincular a la accionante a la tutela </w:t>
      </w:r>
      <w:r w:rsidR="00733494" w:rsidRPr="005115C8">
        <w:rPr>
          <w:rFonts w:ascii="Georgia" w:hAnsi="Georgia" w:cs="Arial"/>
        </w:rPr>
        <w:t xml:space="preserve">ya que el ente municipal </w:t>
      </w:r>
      <w:r w:rsidR="00880332" w:rsidRPr="005115C8">
        <w:rPr>
          <w:rFonts w:ascii="Georgia" w:hAnsi="Georgia" w:cs="Arial"/>
        </w:rPr>
        <w:t xml:space="preserve">era el trasgresor de sus derechos (Ib. Pdf No.18). </w:t>
      </w:r>
    </w:p>
    <w:p w14:paraId="66F486A1" w14:textId="77777777" w:rsidR="00136368" w:rsidRPr="005115C8" w:rsidRDefault="00136368" w:rsidP="005115C8">
      <w:pPr>
        <w:spacing w:line="276" w:lineRule="auto"/>
        <w:jc w:val="both"/>
        <w:rPr>
          <w:rFonts w:ascii="Georgia" w:hAnsi="Georgia" w:cs="Arial"/>
        </w:rPr>
      </w:pPr>
    </w:p>
    <w:p w14:paraId="50C2DF7D" w14:textId="1B3965DB" w:rsidR="0006400C" w:rsidRPr="005115C8" w:rsidRDefault="0006400C" w:rsidP="005115C8">
      <w:pPr>
        <w:pStyle w:val="Prrafodelista"/>
        <w:numPr>
          <w:ilvl w:val="0"/>
          <w:numId w:val="18"/>
        </w:numPr>
        <w:spacing w:line="276" w:lineRule="auto"/>
        <w:jc w:val="both"/>
        <w:rPr>
          <w:rFonts w:ascii="Georgia" w:hAnsi="Georgia"/>
          <w:b/>
          <w:bCs/>
          <w:smallCaps/>
        </w:rPr>
      </w:pPr>
      <w:r w:rsidRPr="005115C8">
        <w:rPr>
          <w:rFonts w:ascii="Georgia" w:hAnsi="Georgia"/>
          <w:b/>
          <w:bCs/>
          <w:smallCaps/>
        </w:rPr>
        <w:t>La fundamentación jurídica para decidir</w:t>
      </w:r>
    </w:p>
    <w:p w14:paraId="70B6E0A8" w14:textId="77777777" w:rsidR="00F134D6" w:rsidRPr="005115C8" w:rsidRDefault="00F134D6" w:rsidP="005115C8">
      <w:pPr>
        <w:pStyle w:val="Textoindependiente"/>
        <w:spacing w:line="276" w:lineRule="auto"/>
        <w:ind w:left="400"/>
        <w:rPr>
          <w:rFonts w:ascii="Georgia" w:hAnsi="Georgia" w:cs="Arial"/>
          <w:szCs w:val="24"/>
        </w:rPr>
      </w:pPr>
    </w:p>
    <w:p w14:paraId="61F773B9" w14:textId="0E443484" w:rsidR="002F4D2C" w:rsidRPr="005115C8" w:rsidRDefault="0006400C" w:rsidP="005115C8">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5115C8">
        <w:rPr>
          <w:rFonts w:ascii="Georgia" w:hAnsi="Georgia" w:cs="Arial"/>
          <w:smallCaps/>
          <w:szCs w:val="24"/>
        </w:rPr>
        <w:t>La competencia funcional</w:t>
      </w:r>
      <w:r w:rsidR="002F4D2C" w:rsidRPr="005115C8">
        <w:rPr>
          <w:rFonts w:ascii="Georgia" w:hAnsi="Georgia" w:cs="Arial"/>
          <w:smallCaps/>
          <w:szCs w:val="24"/>
        </w:rPr>
        <w:t>.</w:t>
      </w:r>
      <w:r w:rsidR="002F4D2C" w:rsidRPr="005115C8">
        <w:rPr>
          <w:rFonts w:ascii="Georgia" w:hAnsi="Georgia"/>
          <w:smallCaps/>
          <w:szCs w:val="24"/>
        </w:rPr>
        <w:t xml:space="preserve"> </w:t>
      </w:r>
      <w:r w:rsidR="002F4D2C" w:rsidRPr="005115C8">
        <w:rPr>
          <w:rFonts w:ascii="Georgia" w:hAnsi="Georgia" w:cs="Arial"/>
          <w:szCs w:val="24"/>
        </w:rPr>
        <w:t xml:space="preserve">Se tiene en esta Sala, en razón a ser la superiora jerárquica del Juzgado </w:t>
      </w:r>
      <w:r w:rsidR="00FB64B4" w:rsidRPr="005115C8">
        <w:rPr>
          <w:rFonts w:ascii="Georgia" w:hAnsi="Georgia" w:cs="Arial"/>
          <w:szCs w:val="24"/>
        </w:rPr>
        <w:t>Promiscuo</w:t>
      </w:r>
      <w:r w:rsidR="002F4D2C" w:rsidRPr="005115C8">
        <w:rPr>
          <w:rFonts w:ascii="Georgia" w:hAnsi="Georgia" w:cs="Arial"/>
          <w:szCs w:val="24"/>
        </w:rPr>
        <w:t xml:space="preserve"> del Circuito de </w:t>
      </w:r>
      <w:r w:rsidR="001A46CF" w:rsidRPr="005115C8">
        <w:rPr>
          <w:rFonts w:ascii="Georgia" w:hAnsi="Georgia" w:cs="Arial"/>
          <w:szCs w:val="24"/>
        </w:rPr>
        <w:t>Quinchía</w:t>
      </w:r>
      <w:r w:rsidR="00136368" w:rsidRPr="005115C8">
        <w:rPr>
          <w:rFonts w:ascii="Georgia" w:hAnsi="Georgia" w:cs="Arial"/>
          <w:szCs w:val="24"/>
        </w:rPr>
        <w:t xml:space="preserve"> </w:t>
      </w:r>
      <w:r w:rsidR="002F4D2C" w:rsidRPr="005115C8">
        <w:rPr>
          <w:rFonts w:ascii="Georgia" w:eastAsia="Georgia" w:hAnsi="Georgia" w:cs="Georgia"/>
          <w:szCs w:val="24"/>
        </w:rPr>
        <w:t>(Arts.37, D.2591/1991 y 2.2.3.1.2.1-5º, D.1069/2015, modificado por el 1º, D.333-2021).</w:t>
      </w:r>
    </w:p>
    <w:p w14:paraId="4516AE70" w14:textId="77777777" w:rsidR="004B5243" w:rsidRPr="005115C8" w:rsidRDefault="004B5243" w:rsidP="005115C8">
      <w:pPr>
        <w:pStyle w:val="Textoindependiente"/>
        <w:spacing w:line="276" w:lineRule="auto"/>
        <w:rPr>
          <w:rFonts w:ascii="Georgia" w:hAnsi="Georgia" w:cs="Arial"/>
          <w:szCs w:val="24"/>
        </w:rPr>
      </w:pPr>
    </w:p>
    <w:p w14:paraId="0832875B" w14:textId="7C0B9090" w:rsidR="0006400C" w:rsidRPr="005115C8" w:rsidRDefault="0006400C" w:rsidP="005115C8">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5115C8">
        <w:rPr>
          <w:rFonts w:ascii="Georgia" w:hAnsi="Georgia" w:cs="Arial"/>
          <w:smallCaps/>
          <w:szCs w:val="24"/>
        </w:rPr>
        <w:t>El problema jurídico a resolver</w:t>
      </w:r>
      <w:r w:rsidR="002F4D2C" w:rsidRPr="005115C8">
        <w:rPr>
          <w:rFonts w:ascii="Georgia" w:hAnsi="Georgia" w:cs="Arial"/>
          <w:smallCaps/>
          <w:szCs w:val="24"/>
        </w:rPr>
        <w:t>.</w:t>
      </w:r>
      <w:r w:rsidRPr="005115C8">
        <w:rPr>
          <w:rFonts w:ascii="Georgia" w:hAnsi="Georgia"/>
          <w:smallCaps/>
          <w:szCs w:val="24"/>
        </w:rPr>
        <w:t xml:space="preserve"> </w:t>
      </w:r>
      <w:r w:rsidRPr="005115C8">
        <w:rPr>
          <w:rFonts w:ascii="Georgia" w:hAnsi="Georgia" w:cs="Arial"/>
          <w:szCs w:val="24"/>
        </w:rPr>
        <w:t>¿</w:t>
      </w:r>
      <w:r w:rsidR="00B73E1D" w:rsidRPr="005115C8">
        <w:rPr>
          <w:rFonts w:ascii="Georgia" w:hAnsi="Georgia" w:cs="Arial"/>
          <w:szCs w:val="24"/>
        </w:rPr>
        <w:t>Se</w:t>
      </w:r>
      <w:r w:rsidRPr="005115C8">
        <w:rPr>
          <w:rFonts w:ascii="Georgia" w:hAnsi="Georgia" w:cs="Arial"/>
          <w:szCs w:val="24"/>
        </w:rPr>
        <w:t xml:space="preserve"> ha</w:t>
      </w:r>
      <w:r w:rsidR="00B73E1D" w:rsidRPr="005115C8">
        <w:rPr>
          <w:rFonts w:ascii="Georgia" w:hAnsi="Georgia" w:cs="Arial"/>
          <w:szCs w:val="24"/>
        </w:rPr>
        <w:t>n</w:t>
      </w:r>
      <w:r w:rsidRPr="005115C8">
        <w:rPr>
          <w:rFonts w:ascii="Georgia" w:hAnsi="Georgia" w:cs="Arial"/>
          <w:szCs w:val="24"/>
        </w:rPr>
        <w:t xml:space="preserve"> vulnerado o amenazado los derechos fundamentales </w:t>
      </w:r>
      <w:r w:rsidR="6C10AE98" w:rsidRPr="005115C8">
        <w:rPr>
          <w:rFonts w:ascii="Georgia" w:hAnsi="Georgia" w:cs="Arial"/>
          <w:szCs w:val="24"/>
        </w:rPr>
        <w:t xml:space="preserve">alegados por </w:t>
      </w:r>
      <w:r w:rsidR="00136368" w:rsidRPr="005115C8">
        <w:rPr>
          <w:rFonts w:ascii="Georgia" w:hAnsi="Georgia" w:cs="Arial"/>
          <w:szCs w:val="24"/>
        </w:rPr>
        <w:t xml:space="preserve">la </w:t>
      </w:r>
      <w:r w:rsidR="00AC42E2" w:rsidRPr="005115C8">
        <w:rPr>
          <w:rFonts w:ascii="Georgia" w:hAnsi="Georgia" w:cs="Arial"/>
          <w:szCs w:val="24"/>
        </w:rPr>
        <w:t>promotor</w:t>
      </w:r>
      <w:r w:rsidR="00136368" w:rsidRPr="005115C8">
        <w:rPr>
          <w:rFonts w:ascii="Georgia" w:hAnsi="Georgia" w:cs="Arial"/>
          <w:szCs w:val="24"/>
        </w:rPr>
        <w:t>a</w:t>
      </w:r>
      <w:r w:rsidR="5971D690" w:rsidRPr="005115C8">
        <w:rPr>
          <w:rFonts w:ascii="Georgia" w:hAnsi="Georgia" w:cs="Arial"/>
          <w:szCs w:val="24"/>
        </w:rPr>
        <w:t>,</w:t>
      </w:r>
      <w:r w:rsidRPr="005115C8">
        <w:rPr>
          <w:rFonts w:ascii="Georgia" w:hAnsi="Georgia" w:cs="Arial"/>
          <w:szCs w:val="24"/>
        </w:rPr>
        <w:t xml:space="preserve"> </w:t>
      </w:r>
      <w:r w:rsidR="320A55DD" w:rsidRPr="005115C8">
        <w:rPr>
          <w:rFonts w:ascii="Georgia" w:hAnsi="Georgia" w:cs="Arial"/>
          <w:szCs w:val="24"/>
        </w:rPr>
        <w:t xml:space="preserve">en </w:t>
      </w:r>
      <w:r w:rsidR="001A46CF" w:rsidRPr="005115C8">
        <w:rPr>
          <w:rFonts w:ascii="Georgia" w:hAnsi="Georgia" w:cs="Arial"/>
          <w:szCs w:val="24"/>
        </w:rPr>
        <w:t>el trámite tutelar</w:t>
      </w:r>
      <w:r w:rsidRPr="005115C8">
        <w:rPr>
          <w:rFonts w:ascii="Georgia" w:hAnsi="Georgia" w:cs="Arial"/>
          <w:szCs w:val="24"/>
        </w:rPr>
        <w:t xml:space="preserve">, según el escrito de tutela? </w:t>
      </w:r>
    </w:p>
    <w:p w14:paraId="4ED7B180" w14:textId="77777777" w:rsidR="00FF100E" w:rsidRPr="005115C8" w:rsidRDefault="00FF100E" w:rsidP="005115C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5115C8" w:rsidRDefault="0006400C" w:rsidP="005115C8">
      <w:pPr>
        <w:pStyle w:val="Prrafodelista"/>
        <w:numPr>
          <w:ilvl w:val="1"/>
          <w:numId w:val="18"/>
        </w:numPr>
        <w:spacing w:line="276" w:lineRule="auto"/>
        <w:rPr>
          <w:rFonts w:ascii="Georgia" w:eastAsia="Georgia" w:hAnsi="Georgia" w:cs="Georgia"/>
        </w:rPr>
      </w:pPr>
      <w:r w:rsidRPr="005115C8">
        <w:rPr>
          <w:rFonts w:ascii="Georgia" w:hAnsi="Georgia" w:cs="Arial"/>
          <w:smallCaps/>
        </w:rPr>
        <w:t>Los presupuestos generales de procedencia</w:t>
      </w:r>
    </w:p>
    <w:p w14:paraId="41152495" w14:textId="41A1B066" w:rsidR="0006400C" w:rsidRPr="005115C8" w:rsidRDefault="0006400C" w:rsidP="005115C8">
      <w:pPr>
        <w:spacing w:line="276" w:lineRule="auto"/>
        <w:rPr>
          <w:rFonts w:ascii="Georgia" w:hAnsi="Georgia"/>
          <w:smallCaps/>
        </w:rPr>
      </w:pPr>
    </w:p>
    <w:p w14:paraId="01153583" w14:textId="313DAD4B" w:rsidR="0006400C" w:rsidRPr="005115C8" w:rsidRDefault="0006400C" w:rsidP="005115C8">
      <w:pPr>
        <w:pStyle w:val="Prrafodelista"/>
        <w:numPr>
          <w:ilvl w:val="2"/>
          <w:numId w:val="18"/>
        </w:numPr>
        <w:spacing w:line="276" w:lineRule="auto"/>
        <w:ind w:left="0" w:firstLine="0"/>
        <w:jc w:val="both"/>
        <w:rPr>
          <w:rFonts w:ascii="Georgia" w:hAnsi="Georgia" w:cs="Arial"/>
        </w:rPr>
      </w:pPr>
      <w:r w:rsidRPr="005115C8">
        <w:rPr>
          <w:rFonts w:ascii="Georgia" w:hAnsi="Georgia"/>
          <w:smallCaps/>
        </w:rPr>
        <w:t>La legitimación en la causa</w:t>
      </w:r>
      <w:r w:rsidR="002F4D2C" w:rsidRPr="005115C8">
        <w:rPr>
          <w:rFonts w:ascii="Georgia" w:hAnsi="Georgia"/>
          <w:smallCaps/>
        </w:rPr>
        <w:t>.</w:t>
      </w:r>
      <w:r w:rsidRPr="005115C8">
        <w:rPr>
          <w:rFonts w:ascii="Georgia" w:hAnsi="Georgia"/>
          <w:smallCaps/>
        </w:rPr>
        <w:t xml:space="preserve"> </w:t>
      </w:r>
      <w:r w:rsidR="00AC42E2" w:rsidRPr="005115C8">
        <w:rPr>
          <w:rFonts w:ascii="Georgia" w:hAnsi="Georgia" w:cs="Arial"/>
        </w:rPr>
        <w:t xml:space="preserve">Se cumple por activa porque a </w:t>
      </w:r>
      <w:r w:rsidR="001A46CF" w:rsidRPr="005115C8">
        <w:rPr>
          <w:rFonts w:ascii="Georgia" w:hAnsi="Georgia" w:cs="Arial"/>
        </w:rPr>
        <w:t xml:space="preserve">la actora se le resolvió una </w:t>
      </w:r>
      <w:r w:rsidR="002F7C46" w:rsidRPr="005115C8">
        <w:rPr>
          <w:rFonts w:ascii="Georgia" w:hAnsi="Georgia" w:cs="Arial"/>
        </w:rPr>
        <w:t xml:space="preserve">irregularidad procesal pedida en su favor, en la tutela </w:t>
      </w:r>
      <w:r w:rsidR="00136368" w:rsidRPr="005115C8">
        <w:rPr>
          <w:rFonts w:ascii="Georgia" w:hAnsi="Georgia" w:cs="Arial"/>
        </w:rPr>
        <w:t>reprochad</w:t>
      </w:r>
      <w:r w:rsidR="002F7C46" w:rsidRPr="005115C8">
        <w:rPr>
          <w:rFonts w:ascii="Georgia" w:hAnsi="Georgia" w:cs="Arial"/>
        </w:rPr>
        <w:t xml:space="preserve">a </w:t>
      </w:r>
      <w:r w:rsidR="002F7C46" w:rsidRPr="005115C8">
        <w:rPr>
          <w:rFonts w:ascii="Georgia" w:hAnsi="Georgia" w:cs="Arial"/>
          <w:lang w:val="es-CO"/>
        </w:rPr>
        <w:t>(Ib., pdf No.12, enlace expediente digitalizado, cuaderno No.1, pdf Nos.23-25)</w:t>
      </w:r>
      <w:r w:rsidRPr="005115C8">
        <w:rPr>
          <w:rFonts w:ascii="Georgia" w:hAnsi="Georgia" w:cs="Arial"/>
        </w:rPr>
        <w:t xml:space="preserve">. Y, por pasiva, </w:t>
      </w:r>
      <w:r w:rsidR="00136368" w:rsidRPr="005115C8">
        <w:rPr>
          <w:rFonts w:ascii="Georgia" w:hAnsi="Georgia" w:cs="Arial"/>
        </w:rPr>
        <w:t xml:space="preserve">los </w:t>
      </w:r>
      <w:r w:rsidRPr="005115C8">
        <w:rPr>
          <w:rFonts w:ascii="Georgia" w:hAnsi="Georgia" w:cs="Arial"/>
        </w:rPr>
        <w:t>Juzgado</w:t>
      </w:r>
      <w:r w:rsidR="00136368" w:rsidRPr="005115C8">
        <w:rPr>
          <w:rFonts w:ascii="Georgia" w:hAnsi="Georgia" w:cs="Arial"/>
        </w:rPr>
        <w:t>s</w:t>
      </w:r>
      <w:r w:rsidRPr="005115C8">
        <w:rPr>
          <w:rFonts w:ascii="Georgia" w:hAnsi="Georgia" w:cs="Arial"/>
        </w:rPr>
        <w:t xml:space="preserve"> </w:t>
      </w:r>
      <w:r w:rsidR="00FB64B4" w:rsidRPr="005115C8">
        <w:rPr>
          <w:rFonts w:ascii="Georgia" w:hAnsi="Georgia" w:cs="Arial"/>
        </w:rPr>
        <w:t>Promiscuo</w:t>
      </w:r>
      <w:r w:rsidR="00136368" w:rsidRPr="005115C8">
        <w:rPr>
          <w:rFonts w:ascii="Georgia" w:hAnsi="Georgia" w:cs="Arial"/>
        </w:rPr>
        <w:t>s</w:t>
      </w:r>
      <w:r w:rsidR="00B73E1D" w:rsidRPr="005115C8">
        <w:rPr>
          <w:rFonts w:ascii="Georgia" w:hAnsi="Georgia" w:cs="Arial"/>
        </w:rPr>
        <w:t xml:space="preserve"> </w:t>
      </w:r>
      <w:r w:rsidR="00136368" w:rsidRPr="005115C8">
        <w:rPr>
          <w:rFonts w:ascii="Georgia" w:hAnsi="Georgia" w:cs="Arial"/>
        </w:rPr>
        <w:t xml:space="preserve">Municipal y </w:t>
      </w:r>
      <w:r w:rsidR="00B73E1D" w:rsidRPr="005115C8">
        <w:rPr>
          <w:rFonts w:ascii="Georgia" w:hAnsi="Georgia" w:cs="Arial"/>
        </w:rPr>
        <w:t xml:space="preserve">del </w:t>
      </w:r>
      <w:r w:rsidR="007664C8" w:rsidRPr="005115C8">
        <w:rPr>
          <w:rFonts w:ascii="Georgia" w:hAnsi="Georgia" w:cs="Arial"/>
        </w:rPr>
        <w:t xml:space="preserve">Circuito </w:t>
      </w:r>
      <w:r w:rsidR="00B73E1D" w:rsidRPr="005115C8">
        <w:rPr>
          <w:rFonts w:ascii="Georgia" w:hAnsi="Georgia" w:cs="Arial"/>
        </w:rPr>
        <w:t xml:space="preserve">de </w:t>
      </w:r>
      <w:r w:rsidR="002F7C46" w:rsidRPr="005115C8">
        <w:rPr>
          <w:rFonts w:ascii="Georgia" w:hAnsi="Georgia" w:cs="Arial"/>
        </w:rPr>
        <w:t>Quinchía</w:t>
      </w:r>
      <w:r w:rsidRPr="005115C8">
        <w:rPr>
          <w:rFonts w:ascii="Georgia" w:hAnsi="Georgia" w:cs="Arial"/>
        </w:rPr>
        <w:t xml:space="preserve"> </w:t>
      </w:r>
      <w:r w:rsidR="00136368" w:rsidRPr="005115C8">
        <w:rPr>
          <w:rFonts w:ascii="Georgia" w:hAnsi="Georgia" w:cs="Arial"/>
        </w:rPr>
        <w:t xml:space="preserve">por conocer </w:t>
      </w:r>
      <w:r w:rsidR="002F7C46" w:rsidRPr="005115C8">
        <w:rPr>
          <w:rFonts w:ascii="Georgia" w:hAnsi="Georgia" w:cs="Arial"/>
        </w:rPr>
        <w:t xml:space="preserve">el </w:t>
      </w:r>
      <w:r w:rsidR="00136368" w:rsidRPr="005115C8">
        <w:rPr>
          <w:rFonts w:ascii="Georgia" w:hAnsi="Georgia" w:cs="Arial"/>
        </w:rPr>
        <w:t xml:space="preserve">asunto </w:t>
      </w:r>
      <w:r w:rsidR="002F7C46" w:rsidRPr="005115C8">
        <w:rPr>
          <w:rFonts w:ascii="Georgia" w:hAnsi="Georgia" w:cs="Arial"/>
          <w:lang w:val="es-CO"/>
        </w:rPr>
        <w:t>(Cuaderno No.1, pdf No.12, enlaces expedientes digitalizados)</w:t>
      </w:r>
      <w:r w:rsidRPr="005115C8">
        <w:rPr>
          <w:rFonts w:ascii="Georgia" w:hAnsi="Georgia" w:cs="Arial"/>
        </w:rPr>
        <w:t>.</w:t>
      </w:r>
    </w:p>
    <w:p w14:paraId="262DE0BA" w14:textId="77777777" w:rsidR="00733494" w:rsidRPr="005115C8" w:rsidRDefault="00733494" w:rsidP="005115C8">
      <w:pPr>
        <w:pStyle w:val="Prrafodelista"/>
        <w:spacing w:line="276" w:lineRule="auto"/>
        <w:ind w:left="0"/>
        <w:jc w:val="both"/>
        <w:rPr>
          <w:rFonts w:ascii="Georgia" w:hAnsi="Georgia" w:cs="Arial"/>
        </w:rPr>
      </w:pPr>
    </w:p>
    <w:p w14:paraId="06937CB0" w14:textId="616FCEEC" w:rsidR="002F4D2C" w:rsidRPr="005115C8" w:rsidRDefault="005633D4" w:rsidP="005115C8">
      <w:pPr>
        <w:pStyle w:val="Textoindependiente"/>
        <w:shd w:val="clear" w:color="auto" w:fill="FFFFFF" w:themeFill="background1"/>
        <w:autoSpaceDE/>
        <w:adjustRightInd/>
        <w:spacing w:line="276" w:lineRule="auto"/>
        <w:textAlignment w:val="auto"/>
        <w:rPr>
          <w:rFonts w:ascii="Georgia" w:hAnsi="Georgia" w:cs="Arial"/>
          <w:szCs w:val="24"/>
        </w:rPr>
      </w:pPr>
      <w:r w:rsidRPr="005115C8">
        <w:rPr>
          <w:rFonts w:ascii="Georgia" w:hAnsi="Georgia" w:cs="Arial"/>
          <w:smallCaps/>
          <w:szCs w:val="24"/>
        </w:rPr>
        <w:t xml:space="preserve">5.3.3. </w:t>
      </w:r>
      <w:r w:rsidR="006F7327" w:rsidRPr="005115C8">
        <w:rPr>
          <w:rFonts w:ascii="Georgia" w:hAnsi="Georgia" w:cs="Arial"/>
          <w:smallCaps/>
          <w:szCs w:val="24"/>
        </w:rPr>
        <w:t>Las subreglas de procedibilidad para decisiones judiciales</w:t>
      </w:r>
      <w:r w:rsidR="002F4D2C" w:rsidRPr="005115C8">
        <w:rPr>
          <w:rFonts w:ascii="Georgia" w:hAnsi="Georgia" w:cs="Arial"/>
          <w:smallCaps/>
          <w:szCs w:val="24"/>
        </w:rPr>
        <w:t xml:space="preserve">. </w:t>
      </w:r>
      <w:r w:rsidR="002F4D2C" w:rsidRPr="005115C8">
        <w:rPr>
          <w:rFonts w:ascii="Georgia" w:hAnsi="Georgia" w:cs="Arial"/>
          <w:szCs w:val="24"/>
        </w:rPr>
        <w:t xml:space="preserve">Desde la sentencia C-543 </w:t>
      </w:r>
      <w:r w:rsidR="002F4D2C" w:rsidRPr="005115C8">
        <w:rPr>
          <w:rFonts w:ascii="Georgia" w:hAnsi="Georgia"/>
          <w:szCs w:val="24"/>
        </w:rPr>
        <w:t>de</w:t>
      </w:r>
      <w:r w:rsidR="002F4D2C" w:rsidRPr="005115C8">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F4D2C" w:rsidRPr="005115C8">
        <w:rPr>
          <w:rFonts w:ascii="Georgia" w:hAnsi="Georgia" w:cs="Arial"/>
          <w:szCs w:val="24"/>
        </w:rPr>
        <w:t>re-definición</w:t>
      </w:r>
      <w:proofErr w:type="spellEnd"/>
      <w:r w:rsidR="002F4D2C" w:rsidRPr="005115C8">
        <w:rPr>
          <w:rFonts w:ascii="Georgia" w:hAnsi="Georgia" w:cs="Arial"/>
          <w:szCs w:val="24"/>
        </w:rPr>
        <w:t xml:space="preserve"> dogmática entre 2003 y 2005</w:t>
      </w:r>
      <w:r w:rsidR="002F4D2C" w:rsidRPr="005115C8">
        <w:rPr>
          <w:rFonts w:ascii="Georgia" w:hAnsi="Georgia" w:cs="Arial"/>
          <w:szCs w:val="24"/>
          <w:vertAlign w:val="superscript"/>
        </w:rPr>
        <w:footnoteReference w:id="1"/>
      </w:r>
      <w:r w:rsidR="002F4D2C" w:rsidRPr="005115C8">
        <w:rPr>
          <w:rFonts w:ascii="Georgia" w:hAnsi="Georgia" w:cs="Arial"/>
          <w:szCs w:val="24"/>
        </w:rPr>
        <w:t>, básicamente sustituyó la expresión “</w:t>
      </w:r>
      <w:r w:rsidR="002F4D2C" w:rsidRPr="00FE1BFF">
        <w:rPr>
          <w:rFonts w:ascii="Georgia" w:hAnsi="Georgia" w:cs="Arial"/>
          <w:sz w:val="22"/>
          <w:szCs w:val="24"/>
        </w:rPr>
        <w:t>vías de hecho</w:t>
      </w:r>
      <w:r w:rsidR="002F4D2C" w:rsidRPr="005115C8">
        <w:rPr>
          <w:rFonts w:ascii="Georgia" w:hAnsi="Georgia" w:cs="Arial"/>
          <w:szCs w:val="24"/>
        </w:rPr>
        <w:t>” por la de “</w:t>
      </w:r>
      <w:r w:rsidR="002F4D2C" w:rsidRPr="00FE1BFF">
        <w:rPr>
          <w:rFonts w:ascii="Georgia" w:hAnsi="Georgia" w:cs="Arial"/>
          <w:sz w:val="22"/>
          <w:szCs w:val="24"/>
        </w:rPr>
        <w:t>causales genéricas de procedibilidad</w:t>
      </w:r>
      <w:r w:rsidR="002F4D2C" w:rsidRPr="005115C8">
        <w:rPr>
          <w:rFonts w:ascii="Georgia" w:hAnsi="Georgia" w:cs="Arial"/>
          <w:szCs w:val="24"/>
        </w:rPr>
        <w:t>” y ensanchó las causales especiales, pasando de cuatro (4) a ocho (8).   En el mismo sentido Quiroga Natale</w:t>
      </w:r>
      <w:r w:rsidR="002F4D2C" w:rsidRPr="005115C8">
        <w:rPr>
          <w:rFonts w:ascii="Georgia" w:hAnsi="Georgia"/>
          <w:szCs w:val="24"/>
          <w:vertAlign w:val="superscript"/>
        </w:rPr>
        <w:footnoteReference w:id="2"/>
      </w:r>
      <w:r w:rsidR="002F4D2C" w:rsidRPr="005115C8">
        <w:rPr>
          <w:rFonts w:ascii="Georgia" w:hAnsi="Georgia" w:cs="Arial"/>
          <w:szCs w:val="24"/>
        </w:rPr>
        <w:t>.</w:t>
      </w:r>
    </w:p>
    <w:p w14:paraId="627037F2" w14:textId="77777777" w:rsidR="00FB64B4" w:rsidRPr="005115C8" w:rsidRDefault="00FB64B4" w:rsidP="005115C8">
      <w:pPr>
        <w:pStyle w:val="Textoindependiente"/>
        <w:shd w:val="clear" w:color="auto" w:fill="FFFFFF" w:themeFill="background1"/>
        <w:autoSpaceDE/>
        <w:adjustRightInd/>
        <w:spacing w:line="276" w:lineRule="auto"/>
        <w:textAlignment w:val="auto"/>
        <w:rPr>
          <w:rFonts w:ascii="Georgia" w:hAnsi="Georgia" w:cs="Arial"/>
          <w:szCs w:val="24"/>
        </w:rPr>
      </w:pPr>
    </w:p>
    <w:p w14:paraId="57DA5BC3" w14:textId="735CE5C3" w:rsidR="002F4D2C" w:rsidRPr="005115C8" w:rsidRDefault="002F4D2C" w:rsidP="005115C8">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5115C8">
        <w:rPr>
          <w:rFonts w:ascii="Georgia" w:hAnsi="Georgia" w:cs="Arial"/>
          <w:szCs w:val="24"/>
        </w:rPr>
        <w:t xml:space="preserve">Ahora, en frente del examen que se reclama en sede constitucional, resulta de mayúscula trascendencia, precisar que </w:t>
      </w:r>
      <w:r w:rsidRPr="005115C8">
        <w:rPr>
          <w:rFonts w:ascii="Georgia" w:hAnsi="Georgia" w:cs="Arial"/>
          <w:szCs w:val="24"/>
          <w:u w:val="single"/>
        </w:rPr>
        <w:t>se trata de un juicio de validez y no de corrección</w:t>
      </w:r>
      <w:r w:rsidRPr="005115C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w:t>
      </w:r>
      <w:r w:rsidR="00136368" w:rsidRPr="005115C8">
        <w:rPr>
          <w:rFonts w:ascii="Georgia" w:hAnsi="Georgia" w:cs="Arial"/>
          <w:szCs w:val="24"/>
        </w:rPr>
        <w:t>2022</w:t>
      </w:r>
      <w:r w:rsidRPr="005115C8">
        <w:rPr>
          <w:rFonts w:ascii="Georgia" w:hAnsi="Georgia" w:cs="Arial"/>
          <w:szCs w:val="24"/>
        </w:rPr>
        <w:t>)</w:t>
      </w:r>
      <w:r w:rsidRPr="005115C8">
        <w:rPr>
          <w:rFonts w:ascii="Georgia" w:hAnsi="Georgia"/>
          <w:szCs w:val="24"/>
          <w:vertAlign w:val="superscript"/>
        </w:rPr>
        <w:footnoteReference w:id="3"/>
      </w:r>
      <w:r w:rsidRPr="005115C8">
        <w:rPr>
          <w:rFonts w:ascii="Georgia" w:hAnsi="Georgia" w:cs="Arial"/>
          <w:szCs w:val="24"/>
        </w:rPr>
        <w:t>.</w:t>
      </w:r>
    </w:p>
    <w:p w14:paraId="6EFF29EB" w14:textId="77777777" w:rsidR="002F4D2C" w:rsidRPr="005115C8" w:rsidRDefault="002F4D2C" w:rsidP="005115C8">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4DF813A8" w14:textId="6D06F20F" w:rsidR="002F4D2C" w:rsidRPr="005115C8" w:rsidRDefault="002F4D2C" w:rsidP="005115C8">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5115C8">
        <w:rPr>
          <w:rFonts w:ascii="Georgia" w:hAnsi="Georgia" w:cs="Arial"/>
          <w:szCs w:val="24"/>
        </w:rPr>
        <w:lastRenderedPageBreak/>
        <w:t xml:space="preserve">Los requisitos generales de procedibilidad, explicados en amplitud </w:t>
      </w:r>
      <w:bookmarkStart w:id="3" w:name="_GoBack"/>
      <w:bookmarkEnd w:id="3"/>
      <w:r w:rsidRPr="005115C8">
        <w:rPr>
          <w:rFonts w:ascii="Georgia" w:hAnsi="Georgia" w:cs="Arial"/>
          <w:szCs w:val="24"/>
        </w:rPr>
        <w:t>en la sentencia C-590 de 2005 y reiterados en la consolidada línea jurisprudencial (</w:t>
      </w:r>
      <w:r w:rsidR="00136368" w:rsidRPr="005115C8">
        <w:rPr>
          <w:rFonts w:ascii="Georgia" w:hAnsi="Georgia" w:cs="Arial"/>
          <w:szCs w:val="24"/>
        </w:rPr>
        <w:t>2022</w:t>
      </w:r>
      <w:r w:rsidRPr="005115C8">
        <w:rPr>
          <w:rFonts w:ascii="Georgia" w:hAnsi="Georgia" w:cs="Arial"/>
          <w:szCs w:val="24"/>
        </w:rPr>
        <w:t>)</w:t>
      </w:r>
      <w:r w:rsidRPr="005115C8">
        <w:rPr>
          <w:rFonts w:ascii="Georgia" w:hAnsi="Georgia" w:cs="Arial"/>
          <w:szCs w:val="24"/>
          <w:vertAlign w:val="superscript"/>
        </w:rPr>
        <w:footnoteReference w:id="4"/>
      </w:r>
      <w:r w:rsidRPr="005115C8">
        <w:rPr>
          <w:rFonts w:ascii="Georgia" w:hAnsi="Georgia" w:cs="Arial"/>
          <w:szCs w:val="24"/>
        </w:rPr>
        <w:t xml:space="preserve"> son: </w:t>
      </w:r>
      <w:r w:rsidRPr="005115C8">
        <w:rPr>
          <w:rFonts w:ascii="Georgia" w:hAnsi="Georgia" w:cs="Arial"/>
          <w:szCs w:val="24"/>
          <w:u w:val="single"/>
        </w:rPr>
        <w:t>(i) Que el asunto sea de relevancia constitucional</w:t>
      </w:r>
      <w:r w:rsidRPr="005115C8">
        <w:rPr>
          <w:rFonts w:ascii="Georgia" w:hAnsi="Georgia" w:cs="Arial"/>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5115C8">
        <w:rPr>
          <w:rFonts w:ascii="Georgia" w:hAnsi="Georgia"/>
          <w:szCs w:val="24"/>
          <w:vertAlign w:val="superscript"/>
        </w:rPr>
        <w:footnoteReference w:id="5"/>
      </w:r>
      <w:r w:rsidRPr="005115C8">
        <w:rPr>
          <w:rFonts w:ascii="Georgia" w:hAnsi="Georgia" w:cs="Arial"/>
          <w:szCs w:val="24"/>
        </w:rPr>
        <w:t>.</w:t>
      </w:r>
    </w:p>
    <w:p w14:paraId="4116F477" w14:textId="77777777" w:rsidR="002F4D2C" w:rsidRPr="005115C8" w:rsidRDefault="002F4D2C" w:rsidP="005115C8">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28AD4A4E" w14:textId="69FFFF41" w:rsidR="002F4D2C" w:rsidRPr="005115C8" w:rsidRDefault="002F4D2C" w:rsidP="005115C8">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5115C8">
        <w:rPr>
          <w:rFonts w:ascii="Georgia" w:hAnsi="Georgia" w:cs="Arial"/>
          <w:szCs w:val="24"/>
        </w:rPr>
        <w:t xml:space="preserve">De otra parte, como causales especiales de procedibilidad, se han definido los siguientes: (i) Defecto orgánico, (ii) Defecto procedimental absoluto, (iii) Defecto fáctico, (iv) Error inducido, (v) Decisión sin motivación, (vi) Defecto </w:t>
      </w:r>
      <w:r w:rsidR="00A00C76" w:rsidRPr="005115C8">
        <w:rPr>
          <w:rFonts w:ascii="Georgia" w:hAnsi="Georgia" w:cs="Arial"/>
          <w:szCs w:val="24"/>
        </w:rPr>
        <w:t>material o sustantivo; (</w:t>
      </w:r>
      <w:r w:rsidRPr="005115C8">
        <w:rPr>
          <w:rFonts w:ascii="Georgia" w:hAnsi="Georgia" w:cs="Arial"/>
          <w:szCs w:val="24"/>
        </w:rPr>
        <w:t>vii</w:t>
      </w:r>
      <w:r w:rsidR="00A00C76" w:rsidRPr="005115C8">
        <w:rPr>
          <w:rFonts w:ascii="Georgia" w:hAnsi="Georgia" w:cs="Arial"/>
          <w:szCs w:val="24"/>
        </w:rPr>
        <w:t>) Desconocimiento del precedente; y, por último</w:t>
      </w:r>
      <w:r w:rsidRPr="005115C8">
        <w:rPr>
          <w:rFonts w:ascii="Georgia" w:hAnsi="Georgia" w:cs="Arial"/>
          <w:szCs w:val="24"/>
        </w:rPr>
        <w:t>, (</w:t>
      </w:r>
      <w:proofErr w:type="spellStart"/>
      <w:r w:rsidRPr="005115C8">
        <w:rPr>
          <w:rFonts w:ascii="Georgia" w:hAnsi="Georgia" w:cs="Arial"/>
          <w:szCs w:val="24"/>
        </w:rPr>
        <w:t>viii</w:t>
      </w:r>
      <w:proofErr w:type="spellEnd"/>
      <w:r w:rsidRPr="005115C8">
        <w:rPr>
          <w:rFonts w:ascii="Georgia" w:hAnsi="Georgia" w:cs="Arial"/>
          <w:szCs w:val="24"/>
        </w:rPr>
        <w:t xml:space="preserve">) violación directa de la Carta.  Un sistemático recuento puede leerse </w:t>
      </w:r>
      <w:r w:rsidRPr="005115C8">
        <w:rPr>
          <w:rFonts w:ascii="Georgia" w:hAnsi="Georgia"/>
          <w:szCs w:val="24"/>
        </w:rPr>
        <w:t>en</w:t>
      </w:r>
      <w:r w:rsidRPr="005115C8">
        <w:rPr>
          <w:rFonts w:ascii="Georgia" w:hAnsi="Georgia" w:cs="Arial"/>
          <w:szCs w:val="24"/>
        </w:rPr>
        <w:t xml:space="preserve"> la obra de los doctores Catalina Botero Marino</w:t>
      </w:r>
      <w:r w:rsidRPr="005115C8">
        <w:rPr>
          <w:rFonts w:ascii="Georgia" w:hAnsi="Georgia" w:cs="Arial"/>
          <w:szCs w:val="24"/>
          <w:vertAlign w:val="superscript"/>
        </w:rPr>
        <w:footnoteReference w:id="6"/>
      </w:r>
      <w:r w:rsidRPr="005115C8">
        <w:rPr>
          <w:rFonts w:ascii="Georgia" w:hAnsi="Georgia" w:cs="Arial"/>
          <w:szCs w:val="24"/>
        </w:rPr>
        <w:t xml:space="preserve"> y Quinche Ramírez</w:t>
      </w:r>
      <w:r w:rsidRPr="005115C8">
        <w:rPr>
          <w:rFonts w:ascii="Georgia" w:hAnsi="Georgia" w:cs="Arial"/>
          <w:szCs w:val="24"/>
          <w:vertAlign w:val="superscript"/>
        </w:rPr>
        <w:footnoteReference w:id="7"/>
      </w:r>
      <w:r w:rsidRPr="005115C8">
        <w:rPr>
          <w:rFonts w:ascii="Georgia" w:hAnsi="Georgia" w:cs="Arial"/>
          <w:szCs w:val="24"/>
        </w:rPr>
        <w:t>.</w:t>
      </w:r>
    </w:p>
    <w:p w14:paraId="6C9AFCDB" w14:textId="77777777" w:rsidR="002F7C46" w:rsidRPr="005115C8" w:rsidRDefault="002F7C46" w:rsidP="005115C8">
      <w:pPr>
        <w:pStyle w:val="Prrafodelista"/>
        <w:spacing w:line="276" w:lineRule="auto"/>
        <w:ind w:left="400"/>
        <w:rPr>
          <w:rFonts w:ascii="Georgia" w:hAnsi="Georgia" w:cs="Arial"/>
          <w:b/>
          <w:bCs/>
          <w:smallCaps/>
          <w:lang w:val="es-CO"/>
        </w:rPr>
      </w:pPr>
    </w:p>
    <w:p w14:paraId="2315ECC6" w14:textId="54DAE549" w:rsidR="00324408" w:rsidRPr="005115C8" w:rsidRDefault="00324408" w:rsidP="005115C8">
      <w:pPr>
        <w:pStyle w:val="Prrafodelista"/>
        <w:numPr>
          <w:ilvl w:val="0"/>
          <w:numId w:val="18"/>
        </w:numPr>
        <w:spacing w:line="276" w:lineRule="auto"/>
        <w:rPr>
          <w:rFonts w:ascii="Georgia" w:hAnsi="Georgia" w:cs="Arial"/>
          <w:b/>
          <w:bCs/>
          <w:smallCaps/>
          <w:lang w:val="es-CO"/>
        </w:rPr>
      </w:pPr>
      <w:r w:rsidRPr="005115C8">
        <w:rPr>
          <w:rFonts w:ascii="Georgia" w:hAnsi="Georgia" w:cs="Arial"/>
          <w:b/>
          <w:bCs/>
          <w:smallCaps/>
          <w:lang w:val="es-CO"/>
        </w:rPr>
        <w:t>El caso concreto analizado</w:t>
      </w:r>
    </w:p>
    <w:p w14:paraId="56324046" w14:textId="77777777" w:rsidR="006170B3" w:rsidRPr="005115C8" w:rsidRDefault="006170B3" w:rsidP="005115C8">
      <w:pPr>
        <w:pStyle w:val="Textoindependiente"/>
        <w:spacing w:line="276" w:lineRule="auto"/>
        <w:textAlignment w:val="auto"/>
        <w:rPr>
          <w:rFonts w:ascii="Georgia" w:hAnsi="Georgia"/>
          <w:smallCaps/>
          <w:szCs w:val="24"/>
        </w:rPr>
      </w:pPr>
    </w:p>
    <w:p w14:paraId="1628AAEF" w14:textId="1CF66B8B" w:rsidR="001E6974" w:rsidRPr="005115C8" w:rsidRDefault="006879B2" w:rsidP="005115C8">
      <w:pPr>
        <w:pStyle w:val="Textoindependiente"/>
        <w:spacing w:line="276" w:lineRule="auto"/>
        <w:ind w:right="51"/>
        <w:textAlignment w:val="auto"/>
        <w:rPr>
          <w:rFonts w:ascii="Georgia" w:hAnsi="Georgia" w:cs="Arial"/>
          <w:szCs w:val="24"/>
        </w:rPr>
      </w:pPr>
      <w:r w:rsidRPr="005115C8">
        <w:rPr>
          <w:rFonts w:ascii="Georgia" w:hAnsi="Georgia"/>
          <w:smallCaps/>
          <w:szCs w:val="24"/>
        </w:rPr>
        <w:t xml:space="preserve">6.1. La falta de vinculación. </w:t>
      </w:r>
      <w:r w:rsidR="001E6974" w:rsidRPr="005115C8">
        <w:rPr>
          <w:rFonts w:ascii="Georgia" w:hAnsi="Georgia"/>
          <w:szCs w:val="24"/>
        </w:rPr>
        <w:t>Están cumplidos los presupuestos generales de procedibilida</w:t>
      </w:r>
      <w:r w:rsidRPr="005115C8">
        <w:rPr>
          <w:rFonts w:ascii="Georgia" w:hAnsi="Georgia"/>
          <w:szCs w:val="24"/>
        </w:rPr>
        <w:t>d</w:t>
      </w:r>
      <w:r w:rsidR="001E6974" w:rsidRPr="005115C8">
        <w:rPr>
          <w:rFonts w:ascii="Georgia" w:hAnsi="Georgia" w:cs="Arial"/>
          <w:szCs w:val="24"/>
        </w:rPr>
        <w:t xml:space="preserve">. </w:t>
      </w:r>
      <w:r w:rsidR="001E6974" w:rsidRPr="005115C8">
        <w:rPr>
          <w:rFonts w:ascii="Georgia" w:hAnsi="Georgia"/>
          <w:szCs w:val="24"/>
        </w:rPr>
        <w:t>El asunto es de relevancia constitucional porque se invocan el debido proceso, la defensa y contradicción; son inexistentes medios ordinarios adicionales a la irregularidad procesal invocada; no se cuestiona un fallo de tutela</w:t>
      </w:r>
      <w:r w:rsidR="008A728E" w:rsidRPr="005115C8">
        <w:rPr>
          <w:rStyle w:val="Refdenotaalpie"/>
          <w:rFonts w:ascii="Georgia" w:hAnsi="Georgia"/>
          <w:szCs w:val="24"/>
        </w:rPr>
        <w:footnoteReference w:id="8"/>
      </w:r>
      <w:r w:rsidR="001E6974" w:rsidRPr="005115C8">
        <w:rPr>
          <w:rFonts w:ascii="Georgia" w:hAnsi="Georgia"/>
          <w:szCs w:val="24"/>
        </w:rPr>
        <w:t xml:space="preserve">; hay inmediatez, porque la decisión que desestimó la anomalía data del 19-01-2022 </w:t>
      </w:r>
      <w:r w:rsidR="001E6974" w:rsidRPr="005115C8">
        <w:rPr>
          <w:rFonts w:ascii="Georgia" w:hAnsi="Georgia" w:cs="Arial"/>
          <w:szCs w:val="24"/>
          <w:lang w:val="es-CO"/>
        </w:rPr>
        <w:t>(Ib., pdf No.12, enlace expediente digitalizado, cuaderno No.</w:t>
      </w:r>
      <w:r w:rsidR="00694ED7" w:rsidRPr="005115C8">
        <w:rPr>
          <w:rFonts w:ascii="Georgia" w:hAnsi="Georgia" w:cs="Arial"/>
          <w:szCs w:val="24"/>
          <w:lang w:val="es-CO"/>
        </w:rPr>
        <w:t>2</w:t>
      </w:r>
      <w:r w:rsidR="001E6974" w:rsidRPr="005115C8">
        <w:rPr>
          <w:rFonts w:ascii="Georgia" w:hAnsi="Georgia" w:cs="Arial"/>
          <w:szCs w:val="24"/>
          <w:lang w:val="es-CO"/>
        </w:rPr>
        <w:t>, pdf No</w:t>
      </w:r>
      <w:r w:rsidR="00694ED7" w:rsidRPr="005115C8">
        <w:rPr>
          <w:rFonts w:ascii="Georgia" w:hAnsi="Georgia" w:cs="Arial"/>
          <w:szCs w:val="24"/>
          <w:lang w:val="es-CO"/>
        </w:rPr>
        <w:t>.29</w:t>
      </w:r>
      <w:r w:rsidR="001E6974" w:rsidRPr="005115C8">
        <w:rPr>
          <w:rFonts w:ascii="Georgia" w:hAnsi="Georgia" w:cs="Arial"/>
          <w:szCs w:val="24"/>
          <w:lang w:val="es-CO"/>
        </w:rPr>
        <w:t>)</w:t>
      </w:r>
      <w:r w:rsidR="001E6974" w:rsidRPr="005115C8">
        <w:rPr>
          <w:rFonts w:ascii="Georgia" w:hAnsi="Georgia" w:cs="Arial"/>
          <w:szCs w:val="24"/>
        </w:rPr>
        <w:t xml:space="preserve"> </w:t>
      </w:r>
      <w:r w:rsidR="001E6974" w:rsidRPr="005115C8">
        <w:rPr>
          <w:rFonts w:ascii="Georgia" w:hAnsi="Georgia"/>
          <w:szCs w:val="24"/>
        </w:rPr>
        <w:t xml:space="preserve">y el amparo se presentó del </w:t>
      </w:r>
      <w:r w:rsidR="00694ED7" w:rsidRPr="005115C8">
        <w:rPr>
          <w:rFonts w:ascii="Georgia" w:hAnsi="Georgia"/>
          <w:szCs w:val="24"/>
        </w:rPr>
        <w:t>24-02-2022</w:t>
      </w:r>
      <w:r w:rsidR="001E6974" w:rsidRPr="005115C8">
        <w:rPr>
          <w:rFonts w:ascii="Georgia" w:hAnsi="Georgia"/>
          <w:szCs w:val="24"/>
        </w:rPr>
        <w:t xml:space="preserve"> </w:t>
      </w:r>
      <w:r w:rsidR="001E6974" w:rsidRPr="005115C8">
        <w:rPr>
          <w:rFonts w:ascii="Georgia" w:hAnsi="Georgia" w:cs="Arial"/>
          <w:szCs w:val="24"/>
        </w:rPr>
        <w:t>(Ib., pdf No.</w:t>
      </w:r>
      <w:r w:rsidR="00694ED7" w:rsidRPr="005115C8">
        <w:rPr>
          <w:rFonts w:ascii="Georgia" w:hAnsi="Georgia" w:cs="Arial"/>
          <w:szCs w:val="24"/>
        </w:rPr>
        <w:t>08</w:t>
      </w:r>
      <w:r w:rsidR="001E6974" w:rsidRPr="005115C8">
        <w:rPr>
          <w:rFonts w:ascii="Georgia" w:hAnsi="Georgia" w:cs="Arial"/>
          <w:szCs w:val="24"/>
        </w:rPr>
        <w:t>)</w:t>
      </w:r>
      <w:r w:rsidR="001E6974" w:rsidRPr="005115C8">
        <w:rPr>
          <w:rFonts w:ascii="Georgia" w:hAnsi="Georgia"/>
          <w:szCs w:val="24"/>
        </w:rPr>
        <w:t>; la irregularidad alegada resulta ser trascendente para el desarrollo de la litis</w:t>
      </w:r>
      <w:r w:rsidR="001E6974" w:rsidRPr="005115C8">
        <w:rPr>
          <w:rFonts w:ascii="Georgia" w:hAnsi="Georgia" w:cs="Arial"/>
          <w:szCs w:val="24"/>
        </w:rPr>
        <w:t>; además, identificó el hecho trasgresor o amenazante.</w:t>
      </w:r>
    </w:p>
    <w:p w14:paraId="527A89B0" w14:textId="77777777" w:rsidR="00694ED7" w:rsidRPr="005115C8" w:rsidRDefault="00694ED7" w:rsidP="005115C8">
      <w:pPr>
        <w:widowControl/>
        <w:spacing w:line="276" w:lineRule="auto"/>
        <w:jc w:val="both"/>
        <w:rPr>
          <w:rFonts w:ascii="Georgia" w:hAnsi="Georgia" w:cs="Arial"/>
        </w:rPr>
      </w:pPr>
    </w:p>
    <w:p w14:paraId="393446D6" w14:textId="287EB719" w:rsidR="00694ED7" w:rsidRPr="005115C8" w:rsidRDefault="00694ED7" w:rsidP="005115C8">
      <w:pPr>
        <w:widowControl/>
        <w:spacing w:line="276" w:lineRule="auto"/>
        <w:jc w:val="both"/>
        <w:rPr>
          <w:rFonts w:ascii="Georgia" w:hAnsi="Georgia" w:cs="Arial"/>
          <w:lang w:val="es-CO"/>
        </w:rPr>
      </w:pPr>
      <w:r w:rsidRPr="005115C8">
        <w:rPr>
          <w:rFonts w:ascii="Georgia" w:hAnsi="Georgia" w:cs="Arial"/>
        </w:rPr>
        <w:t>Incumbe proseguir con la revisión de las causales especiales y en el caso se concreta</w:t>
      </w:r>
      <w:r w:rsidR="00AB04D7" w:rsidRPr="005115C8">
        <w:rPr>
          <w:rFonts w:ascii="Georgia" w:hAnsi="Georgia" w:cs="Arial"/>
        </w:rPr>
        <w:t>n</w:t>
      </w:r>
      <w:r w:rsidRPr="005115C8">
        <w:rPr>
          <w:rFonts w:ascii="Georgia" w:hAnsi="Georgia" w:cs="Arial"/>
        </w:rPr>
        <w:t xml:space="preserve"> en el defecto procedimental, pues, se arguye que los despachos judiciales accionad</w:t>
      </w:r>
      <w:r w:rsidR="009806D4" w:rsidRPr="005115C8">
        <w:rPr>
          <w:rFonts w:ascii="Georgia" w:hAnsi="Georgia" w:cs="Arial"/>
        </w:rPr>
        <w:t>o</w:t>
      </w:r>
      <w:r w:rsidRPr="005115C8">
        <w:rPr>
          <w:rFonts w:ascii="Georgia" w:hAnsi="Georgia" w:cs="Arial"/>
        </w:rPr>
        <w:t>s adelantaron la acción de tutela radicada al No.</w:t>
      </w:r>
      <w:r w:rsidR="00142D3D">
        <w:rPr>
          <w:rFonts w:ascii="Georgia" w:hAnsi="Georgia" w:cs="Arial"/>
        </w:rPr>
        <w:t xml:space="preserve"> </w:t>
      </w:r>
      <w:r w:rsidRPr="005115C8">
        <w:rPr>
          <w:rFonts w:ascii="Georgia" w:hAnsi="Georgia" w:cs="Arial"/>
        </w:rPr>
        <w:t xml:space="preserve">2019-00031, sin vincular a la accionante, </w:t>
      </w:r>
      <w:r w:rsidR="009806D4" w:rsidRPr="005115C8">
        <w:rPr>
          <w:rFonts w:ascii="Georgia" w:hAnsi="Georgia" w:cs="Arial"/>
        </w:rPr>
        <w:t>pese a que</w:t>
      </w:r>
      <w:r w:rsidR="00F65C68" w:rsidRPr="005115C8">
        <w:rPr>
          <w:rFonts w:ascii="Georgia" w:hAnsi="Georgia" w:cs="Arial"/>
        </w:rPr>
        <w:t xml:space="preserve"> </w:t>
      </w:r>
      <w:r w:rsidRPr="005115C8">
        <w:rPr>
          <w:rFonts w:ascii="Georgia" w:hAnsi="Georgia" w:cs="Arial"/>
        </w:rPr>
        <w:t>el fallo tutelar</w:t>
      </w:r>
      <w:r w:rsidR="009806D4" w:rsidRPr="005115C8">
        <w:rPr>
          <w:rFonts w:ascii="Georgia" w:hAnsi="Georgia" w:cs="Arial"/>
        </w:rPr>
        <w:t xml:space="preserve"> </w:t>
      </w:r>
      <w:r w:rsidRPr="005115C8">
        <w:rPr>
          <w:rFonts w:ascii="Georgia" w:hAnsi="Georgia" w:cs="Arial"/>
        </w:rPr>
        <w:t>afect</w:t>
      </w:r>
      <w:r w:rsidR="009806D4" w:rsidRPr="005115C8">
        <w:rPr>
          <w:rFonts w:ascii="Georgia" w:hAnsi="Georgia" w:cs="Arial"/>
        </w:rPr>
        <w:t>aría</w:t>
      </w:r>
      <w:r w:rsidRPr="005115C8">
        <w:rPr>
          <w:rFonts w:ascii="Georgia" w:hAnsi="Georgia" w:cs="Arial"/>
        </w:rPr>
        <w:t xml:space="preserve"> sus intereses</w:t>
      </w:r>
      <w:r w:rsidR="009806D4" w:rsidRPr="005115C8">
        <w:rPr>
          <w:rFonts w:ascii="Georgia" w:hAnsi="Georgia" w:cs="Arial"/>
        </w:rPr>
        <w:t xml:space="preserve">, </w:t>
      </w:r>
      <w:r w:rsidR="00165539" w:rsidRPr="005115C8">
        <w:rPr>
          <w:rFonts w:ascii="Georgia" w:hAnsi="Georgia" w:cs="Arial"/>
        </w:rPr>
        <w:t xml:space="preserve">pues, </w:t>
      </w:r>
      <w:r w:rsidR="009806D4" w:rsidRPr="005115C8">
        <w:rPr>
          <w:rFonts w:ascii="Georgia" w:hAnsi="Georgia" w:cs="Arial"/>
        </w:rPr>
        <w:t xml:space="preserve">ordenó </w:t>
      </w:r>
      <w:r w:rsidRPr="005115C8">
        <w:rPr>
          <w:rFonts w:ascii="Georgia" w:hAnsi="Georgia" w:cs="Arial"/>
        </w:rPr>
        <w:t xml:space="preserve">a la autoridad accionada garantizar el derecho a la igualdad del </w:t>
      </w:r>
      <w:r w:rsidR="00F65C68" w:rsidRPr="005115C8">
        <w:rPr>
          <w:rFonts w:ascii="Georgia" w:hAnsi="Georgia" w:cs="Arial"/>
        </w:rPr>
        <w:t xml:space="preserve">señor </w:t>
      </w:r>
      <w:r w:rsidR="00F65C68" w:rsidRPr="005115C8">
        <w:rPr>
          <w:rFonts w:ascii="Georgia" w:hAnsi="Georgia" w:cs="Arial"/>
          <w:lang w:val="es-CO"/>
        </w:rPr>
        <w:t>José O</w:t>
      </w:r>
      <w:r w:rsidR="00733494" w:rsidRPr="005115C8">
        <w:rPr>
          <w:rFonts w:ascii="Georgia" w:hAnsi="Georgia" w:cs="Arial"/>
          <w:lang w:val="es-CO"/>
        </w:rPr>
        <w:t>.</w:t>
      </w:r>
      <w:r w:rsidR="00F65C68" w:rsidRPr="005115C8">
        <w:rPr>
          <w:rFonts w:ascii="Georgia" w:hAnsi="Georgia" w:cs="Arial"/>
          <w:lang w:val="es-CO"/>
        </w:rPr>
        <w:t xml:space="preserve"> García M. </w:t>
      </w:r>
      <w:r w:rsidRPr="005115C8">
        <w:rPr>
          <w:rFonts w:ascii="Georgia" w:hAnsi="Georgia" w:cs="Arial"/>
        </w:rPr>
        <w:t xml:space="preserve">otorgándole la licencia de construcción </w:t>
      </w:r>
      <w:r w:rsidR="00142D3D">
        <w:rPr>
          <w:rFonts w:ascii="Georgia" w:hAnsi="Georgia" w:cs="Arial"/>
        </w:rPr>
        <w:t>o</w:t>
      </w:r>
      <w:r w:rsidRPr="005115C8">
        <w:rPr>
          <w:rFonts w:ascii="Georgia" w:hAnsi="Georgia" w:cs="Arial"/>
        </w:rPr>
        <w:t xml:space="preserve"> </w:t>
      </w:r>
      <w:r w:rsidR="00165539" w:rsidRPr="005115C8">
        <w:rPr>
          <w:rFonts w:ascii="Georgia" w:hAnsi="Georgia" w:cs="Arial"/>
        </w:rPr>
        <w:t>decidiendo</w:t>
      </w:r>
      <w:r w:rsidRPr="005115C8">
        <w:rPr>
          <w:rFonts w:ascii="Georgia" w:hAnsi="Georgia" w:cs="Arial"/>
        </w:rPr>
        <w:t xml:space="preserve"> la demolición del edificio de </w:t>
      </w:r>
      <w:r w:rsidR="00F65C68" w:rsidRPr="005115C8">
        <w:rPr>
          <w:rFonts w:ascii="Georgia" w:hAnsi="Georgia" w:cs="Arial"/>
        </w:rPr>
        <w:t>su propiedad.</w:t>
      </w:r>
    </w:p>
    <w:p w14:paraId="5F68EDCF" w14:textId="77777777" w:rsidR="00694ED7" w:rsidRPr="005115C8" w:rsidRDefault="00694ED7" w:rsidP="005115C8">
      <w:pPr>
        <w:widowControl/>
        <w:spacing w:line="276" w:lineRule="auto"/>
        <w:jc w:val="both"/>
        <w:rPr>
          <w:rFonts w:ascii="Georgia" w:hAnsi="Georgia" w:cs="Arial"/>
          <w:lang w:val="es-CO"/>
        </w:rPr>
      </w:pPr>
    </w:p>
    <w:p w14:paraId="0CD49848" w14:textId="72DAF14C" w:rsidR="00666AD3" w:rsidRPr="005115C8" w:rsidRDefault="00666AD3" w:rsidP="005115C8">
      <w:pPr>
        <w:widowControl/>
        <w:spacing w:line="276" w:lineRule="auto"/>
        <w:jc w:val="both"/>
        <w:rPr>
          <w:rFonts w:ascii="Georgia" w:hAnsi="Georgia" w:cs="Arial"/>
          <w:lang w:val="es-CO"/>
        </w:rPr>
      </w:pPr>
      <w:bookmarkStart w:id="4" w:name="_Hlk102118049"/>
      <w:r w:rsidRPr="005115C8">
        <w:rPr>
          <w:rFonts w:ascii="Georgia" w:hAnsi="Georgia" w:cs="Arial"/>
        </w:rPr>
        <w:t xml:space="preserve">De entrada, se aprecia que fracasa la censura, habida cuenta de que era innecesario vincular a la </w:t>
      </w:r>
      <w:r w:rsidR="00742FB3" w:rsidRPr="005115C8">
        <w:rPr>
          <w:rFonts w:ascii="Georgia" w:hAnsi="Georgia" w:cs="Arial"/>
        </w:rPr>
        <w:t xml:space="preserve">señora </w:t>
      </w:r>
      <w:r w:rsidR="00F65C68" w:rsidRPr="005115C8">
        <w:rPr>
          <w:rFonts w:ascii="Georgia" w:hAnsi="Georgia" w:cs="Arial"/>
        </w:rPr>
        <w:t xml:space="preserve">María E. Vinasco U. </w:t>
      </w:r>
      <w:r w:rsidR="00FF726E" w:rsidRPr="005115C8">
        <w:rPr>
          <w:rFonts w:ascii="Georgia" w:hAnsi="Georgia" w:cs="Arial"/>
        </w:rPr>
        <w:t>a la acción de tutela</w:t>
      </w:r>
      <w:r w:rsidRPr="005115C8">
        <w:rPr>
          <w:rFonts w:ascii="Georgia" w:hAnsi="Georgia" w:cs="Arial"/>
        </w:rPr>
        <w:t xml:space="preserve">, en razón a que </w:t>
      </w:r>
      <w:r w:rsidR="00F00C84" w:rsidRPr="005115C8">
        <w:rPr>
          <w:rFonts w:ascii="Georgia" w:hAnsi="Georgia" w:cs="Arial"/>
        </w:rPr>
        <w:t xml:space="preserve">su </w:t>
      </w:r>
      <w:r w:rsidRPr="005115C8">
        <w:rPr>
          <w:rFonts w:ascii="Georgia" w:hAnsi="Georgia" w:cs="Arial"/>
        </w:rPr>
        <w:t xml:space="preserve">objeto único y principal atañó a la supuesta amenaza o trasgresión de </w:t>
      </w:r>
      <w:r w:rsidRPr="005115C8">
        <w:rPr>
          <w:rFonts w:ascii="Georgia" w:hAnsi="Georgia" w:cs="Arial"/>
          <w:u w:val="single"/>
        </w:rPr>
        <w:t xml:space="preserve">los derechos al debido </w:t>
      </w:r>
      <w:r w:rsidRPr="005115C8">
        <w:rPr>
          <w:rFonts w:ascii="Georgia" w:hAnsi="Georgia" w:cs="Arial"/>
          <w:u w:val="single"/>
        </w:rPr>
        <w:lastRenderedPageBreak/>
        <w:t xml:space="preserve">proceso e igualdad </w:t>
      </w:r>
      <w:r w:rsidRPr="005115C8">
        <w:rPr>
          <w:rFonts w:ascii="Georgia" w:hAnsi="Georgia" w:cs="Arial"/>
          <w:b/>
          <w:bCs/>
          <w:u w:val="single"/>
        </w:rPr>
        <w:t xml:space="preserve">del señor </w:t>
      </w:r>
      <w:r w:rsidRPr="005115C8">
        <w:rPr>
          <w:rFonts w:ascii="Georgia" w:hAnsi="Georgia" w:cs="Arial"/>
          <w:b/>
          <w:bCs/>
          <w:u w:val="single"/>
          <w:lang w:val="es-CO"/>
        </w:rPr>
        <w:t>García M</w:t>
      </w:r>
      <w:r w:rsidR="00733494" w:rsidRPr="005115C8">
        <w:rPr>
          <w:rFonts w:ascii="Georgia" w:hAnsi="Georgia" w:cs="Arial"/>
          <w:b/>
          <w:bCs/>
          <w:u w:val="single"/>
          <w:lang w:val="es-CO"/>
        </w:rPr>
        <w:t>.</w:t>
      </w:r>
      <w:r w:rsidRPr="005115C8">
        <w:rPr>
          <w:rFonts w:ascii="Georgia" w:hAnsi="Georgia" w:cs="Arial"/>
          <w:lang w:val="es-CO"/>
        </w:rPr>
        <w:t>, con ocasión de las decisiones administrativas que le impidieron construir un cua</w:t>
      </w:r>
      <w:r w:rsidR="009806D4" w:rsidRPr="005115C8">
        <w:rPr>
          <w:rFonts w:ascii="Georgia" w:hAnsi="Georgia" w:cs="Arial"/>
          <w:lang w:val="es-CO"/>
        </w:rPr>
        <w:t>r</w:t>
      </w:r>
      <w:r w:rsidRPr="005115C8">
        <w:rPr>
          <w:rFonts w:ascii="Georgia" w:hAnsi="Georgia" w:cs="Arial"/>
          <w:lang w:val="es-CO"/>
        </w:rPr>
        <w:t>to piso en su inmueble</w:t>
      </w:r>
      <w:r w:rsidR="00E042DF" w:rsidRPr="005115C8">
        <w:rPr>
          <w:rFonts w:ascii="Georgia" w:hAnsi="Georgia" w:cs="Arial"/>
          <w:lang w:val="es-CO"/>
        </w:rPr>
        <w:t>.</w:t>
      </w:r>
    </w:p>
    <w:p w14:paraId="5C3F91F7" w14:textId="31F05A06" w:rsidR="00666AD3" w:rsidRPr="005115C8" w:rsidRDefault="00666AD3" w:rsidP="005115C8">
      <w:pPr>
        <w:widowControl/>
        <w:spacing w:line="276" w:lineRule="auto"/>
        <w:jc w:val="both"/>
        <w:rPr>
          <w:rFonts w:ascii="Georgia" w:hAnsi="Georgia" w:cs="Arial"/>
          <w:lang w:val="es-CO"/>
        </w:rPr>
      </w:pPr>
    </w:p>
    <w:p w14:paraId="1A6F8474" w14:textId="2EB43998" w:rsidR="00742FB3" w:rsidRPr="005115C8" w:rsidRDefault="00FF726E" w:rsidP="005115C8">
      <w:pPr>
        <w:widowControl/>
        <w:spacing w:line="276" w:lineRule="auto"/>
        <w:jc w:val="both"/>
        <w:rPr>
          <w:rFonts w:ascii="Georgia" w:hAnsi="Georgia" w:cs="Arial"/>
          <w:i/>
          <w:iCs/>
          <w:u w:val="single"/>
        </w:rPr>
      </w:pPr>
      <w:r w:rsidRPr="005115C8">
        <w:rPr>
          <w:rFonts w:ascii="Georgia" w:hAnsi="Georgia" w:cs="Arial"/>
          <w:lang w:val="es-CO"/>
        </w:rPr>
        <w:t>L</w:t>
      </w:r>
      <w:r w:rsidR="00666AD3" w:rsidRPr="005115C8">
        <w:rPr>
          <w:rFonts w:ascii="Georgia" w:hAnsi="Georgia" w:cs="Arial"/>
          <w:lang w:val="es-CO"/>
        </w:rPr>
        <w:t xml:space="preserve">a queja implicaba verificar si la administración </w:t>
      </w:r>
      <w:r w:rsidR="00F65C68" w:rsidRPr="005115C8">
        <w:rPr>
          <w:rFonts w:ascii="Georgia" w:hAnsi="Georgia" w:cs="Arial"/>
          <w:lang w:val="es-CO"/>
        </w:rPr>
        <w:t xml:space="preserve">le </w:t>
      </w:r>
      <w:r w:rsidR="00666AD3" w:rsidRPr="005115C8">
        <w:rPr>
          <w:rFonts w:ascii="Georgia" w:hAnsi="Georgia" w:cs="Arial"/>
          <w:lang w:val="es-CO"/>
        </w:rPr>
        <w:t xml:space="preserve">dio un trato desigual, como quiera que </w:t>
      </w:r>
      <w:r w:rsidR="00F65C68" w:rsidRPr="005115C8">
        <w:rPr>
          <w:rFonts w:ascii="Georgia" w:hAnsi="Georgia" w:cs="Arial"/>
          <w:lang w:val="es-CO"/>
        </w:rPr>
        <w:t xml:space="preserve">en el sector hay </w:t>
      </w:r>
      <w:r w:rsidR="00666AD3" w:rsidRPr="005115C8">
        <w:rPr>
          <w:rFonts w:ascii="Georgia" w:hAnsi="Georgia" w:cs="Arial"/>
        </w:rPr>
        <w:t xml:space="preserve">una edificación semejante </w:t>
      </w:r>
      <w:r w:rsidR="001B6479" w:rsidRPr="005115C8">
        <w:rPr>
          <w:rFonts w:ascii="Georgia" w:hAnsi="Georgia" w:cs="Arial"/>
        </w:rPr>
        <w:t xml:space="preserve">y las autoridades accionadas no impidieron </w:t>
      </w:r>
      <w:r w:rsidR="00617BD3" w:rsidRPr="005115C8">
        <w:rPr>
          <w:rFonts w:ascii="Georgia" w:hAnsi="Georgia" w:cs="Arial"/>
        </w:rPr>
        <w:t>su realización</w:t>
      </w:r>
      <w:bookmarkEnd w:id="4"/>
      <w:r w:rsidR="001B6479" w:rsidRPr="005115C8">
        <w:rPr>
          <w:rFonts w:ascii="Georgia" w:hAnsi="Georgia" w:cs="Arial"/>
        </w:rPr>
        <w:t>.</w:t>
      </w:r>
      <w:r w:rsidR="00742FB3" w:rsidRPr="005115C8">
        <w:rPr>
          <w:rFonts w:ascii="Georgia" w:hAnsi="Georgia" w:cs="Arial"/>
        </w:rPr>
        <w:t xml:space="preserve"> </w:t>
      </w:r>
      <w:r w:rsidR="001B6479" w:rsidRPr="005115C8">
        <w:rPr>
          <w:rFonts w:ascii="Georgia" w:hAnsi="Georgia" w:cs="Arial"/>
        </w:rPr>
        <w:t xml:space="preserve">En ese orden de ideas, </w:t>
      </w:r>
      <w:r w:rsidR="001B6479" w:rsidRPr="005115C8">
        <w:rPr>
          <w:rFonts w:ascii="Georgia" w:hAnsi="Georgia" w:cs="Arial"/>
          <w:u w:val="single"/>
        </w:rPr>
        <w:t>el análisis constitucional era sobre los actos administrativo</w:t>
      </w:r>
      <w:r w:rsidR="00617BD3" w:rsidRPr="005115C8">
        <w:rPr>
          <w:rFonts w:ascii="Georgia" w:hAnsi="Georgia" w:cs="Arial"/>
          <w:u w:val="single"/>
        </w:rPr>
        <w:t>s</w:t>
      </w:r>
      <w:r w:rsidR="001B6479" w:rsidRPr="005115C8">
        <w:rPr>
          <w:rFonts w:ascii="Georgia" w:hAnsi="Georgia" w:cs="Arial"/>
          <w:u w:val="single"/>
        </w:rPr>
        <w:t xml:space="preserve"> </w:t>
      </w:r>
      <w:r w:rsidR="00E042DF" w:rsidRPr="005115C8">
        <w:rPr>
          <w:rFonts w:ascii="Georgia" w:hAnsi="Georgia" w:cs="Arial"/>
          <w:u w:val="single"/>
        </w:rPr>
        <w:t xml:space="preserve">que decidieron su reclamo, </w:t>
      </w:r>
      <w:r w:rsidR="001B6479" w:rsidRPr="005115C8">
        <w:rPr>
          <w:rFonts w:ascii="Georgia" w:hAnsi="Georgia" w:cs="Arial"/>
          <w:u w:val="single"/>
        </w:rPr>
        <w:t xml:space="preserve">verificar </w:t>
      </w:r>
      <w:r w:rsidR="00F65C68" w:rsidRPr="005115C8">
        <w:rPr>
          <w:rFonts w:ascii="Georgia" w:hAnsi="Georgia" w:cs="Arial"/>
          <w:u w:val="single"/>
        </w:rPr>
        <w:t xml:space="preserve">la resolución </w:t>
      </w:r>
      <w:r w:rsidR="00742FB3" w:rsidRPr="005115C8">
        <w:rPr>
          <w:rFonts w:ascii="Georgia" w:hAnsi="Georgia" w:cs="Arial"/>
          <w:u w:val="single"/>
        </w:rPr>
        <w:t xml:space="preserve">e </w:t>
      </w:r>
      <w:r w:rsidR="001B6479" w:rsidRPr="005115C8">
        <w:rPr>
          <w:rFonts w:ascii="Georgia" w:hAnsi="Georgia" w:cs="Arial"/>
          <w:u w:val="single"/>
        </w:rPr>
        <w:t>imponer las órdenes de protección correspondientes.</w:t>
      </w:r>
      <w:r w:rsidR="00E042DF" w:rsidRPr="005115C8">
        <w:rPr>
          <w:rFonts w:ascii="Georgia" w:hAnsi="Georgia" w:cs="Arial"/>
        </w:rPr>
        <w:t xml:space="preserve"> </w:t>
      </w:r>
      <w:r w:rsidR="00E042DF" w:rsidRPr="005115C8">
        <w:rPr>
          <w:rFonts w:ascii="Georgia" w:hAnsi="Georgia" w:cs="Arial"/>
          <w:i/>
          <w:iCs/>
        </w:rPr>
        <w:t xml:space="preserve">El juicio de igualdad imponía comparar las dos actuaciones, para determinar si hubo o no un trato discriminatorio, </w:t>
      </w:r>
      <w:r w:rsidR="00E042DF" w:rsidRPr="005115C8">
        <w:rPr>
          <w:rFonts w:ascii="Georgia" w:hAnsi="Georgia" w:cs="Arial"/>
          <w:b/>
          <w:bCs/>
          <w:i/>
          <w:iCs/>
        </w:rPr>
        <w:t>pero decidir sobre los relacionados con el señor García M.</w:t>
      </w:r>
    </w:p>
    <w:p w14:paraId="7FD9510E" w14:textId="5837FCEA" w:rsidR="00742FB3" w:rsidRPr="005115C8" w:rsidRDefault="00742FB3" w:rsidP="005115C8">
      <w:pPr>
        <w:widowControl/>
        <w:spacing w:line="276" w:lineRule="auto"/>
        <w:jc w:val="both"/>
        <w:rPr>
          <w:rFonts w:ascii="Georgia" w:hAnsi="Georgia" w:cs="Arial"/>
        </w:rPr>
      </w:pPr>
    </w:p>
    <w:p w14:paraId="3F1ECBF5" w14:textId="52CB00A9" w:rsidR="00742FB3" w:rsidRPr="005115C8" w:rsidRDefault="00E042DF" w:rsidP="005115C8">
      <w:pPr>
        <w:widowControl/>
        <w:spacing w:line="276" w:lineRule="auto"/>
        <w:jc w:val="both"/>
        <w:rPr>
          <w:rFonts w:ascii="Georgia" w:hAnsi="Georgia" w:cs="Arial"/>
        </w:rPr>
      </w:pPr>
      <w:r w:rsidRPr="005115C8">
        <w:rPr>
          <w:rFonts w:ascii="Georgia" w:hAnsi="Georgia" w:cs="Arial"/>
        </w:rPr>
        <w:t xml:space="preserve">Por lo tanto, el juzgador, para proteger el derecho a la igualdad, debía ordenar que se resolviera el reclamo de forma análoga </w:t>
      </w:r>
      <w:r w:rsidR="00F00C84" w:rsidRPr="005115C8">
        <w:rPr>
          <w:rFonts w:ascii="Georgia" w:hAnsi="Georgia" w:cs="Arial"/>
        </w:rPr>
        <w:t>al</w:t>
      </w:r>
      <w:r w:rsidRPr="005115C8">
        <w:rPr>
          <w:rFonts w:ascii="Georgia" w:hAnsi="Georgia" w:cs="Arial"/>
        </w:rPr>
        <w:t xml:space="preserve"> de</w:t>
      </w:r>
      <w:r w:rsidR="003C143D" w:rsidRPr="005115C8">
        <w:rPr>
          <w:rFonts w:ascii="Georgia" w:hAnsi="Georgia" w:cs="Arial"/>
        </w:rPr>
        <w:t xml:space="preserve"> anteriores </w:t>
      </w:r>
      <w:r w:rsidRPr="005115C8">
        <w:rPr>
          <w:rFonts w:ascii="Georgia" w:hAnsi="Georgia" w:cs="Arial"/>
        </w:rPr>
        <w:t xml:space="preserve">personas en similar situación y con arreglo al Plan de Ordenamiento Territorial (POT). </w:t>
      </w:r>
      <w:r w:rsidR="00F00C84" w:rsidRPr="005115C8">
        <w:rPr>
          <w:rFonts w:ascii="Georgia" w:hAnsi="Georgia" w:cs="Arial"/>
        </w:rPr>
        <w:t xml:space="preserve">Tarea que en efecto realizó en </w:t>
      </w:r>
      <w:r w:rsidR="003C143D" w:rsidRPr="005115C8">
        <w:rPr>
          <w:rFonts w:ascii="Georgia" w:hAnsi="Georgia" w:cs="Arial"/>
        </w:rPr>
        <w:t xml:space="preserve">la sentencia </w:t>
      </w:r>
      <w:r w:rsidR="00F00C84" w:rsidRPr="005115C8">
        <w:rPr>
          <w:rFonts w:ascii="Georgia" w:hAnsi="Georgia" w:cs="Arial"/>
        </w:rPr>
        <w:t>dictad</w:t>
      </w:r>
      <w:r w:rsidR="003C143D" w:rsidRPr="005115C8">
        <w:rPr>
          <w:rFonts w:ascii="Georgia" w:hAnsi="Georgia" w:cs="Arial"/>
        </w:rPr>
        <w:t>a</w:t>
      </w:r>
      <w:r w:rsidR="00F00C84" w:rsidRPr="005115C8">
        <w:rPr>
          <w:rFonts w:ascii="Georgia" w:hAnsi="Georgia" w:cs="Arial"/>
        </w:rPr>
        <w:t xml:space="preserve"> el </w:t>
      </w:r>
      <w:r w:rsidR="001B6479" w:rsidRPr="005115C8">
        <w:rPr>
          <w:rFonts w:ascii="Georgia" w:hAnsi="Georgia" w:cs="Arial"/>
        </w:rPr>
        <w:t>04-04-2019</w:t>
      </w:r>
      <w:r w:rsidR="00F00C84" w:rsidRPr="005115C8">
        <w:rPr>
          <w:rFonts w:ascii="Georgia" w:hAnsi="Georgia" w:cs="Arial"/>
        </w:rPr>
        <w:t xml:space="preserve">, pues </w:t>
      </w:r>
      <w:r w:rsidR="001B6479" w:rsidRPr="005115C8">
        <w:rPr>
          <w:rFonts w:ascii="Georgia" w:hAnsi="Georgia" w:cs="Arial"/>
        </w:rPr>
        <w:t xml:space="preserve">concedió el amparo porque </w:t>
      </w:r>
      <w:r w:rsidR="003C143D" w:rsidRPr="005115C8">
        <w:rPr>
          <w:rFonts w:ascii="Georgia" w:hAnsi="Georgia" w:cs="Arial"/>
        </w:rPr>
        <w:t xml:space="preserve">la Alcaldía y la Secretaría de Planeación de Quinchía omitieron aplicar las normas por igual a todos los asociados; además, </w:t>
      </w:r>
      <w:r w:rsidR="001B6479" w:rsidRPr="005115C8">
        <w:rPr>
          <w:rFonts w:ascii="Georgia" w:hAnsi="Georgia" w:cs="Arial"/>
        </w:rPr>
        <w:t xml:space="preserve">el </w:t>
      </w:r>
      <w:r w:rsidRPr="005115C8">
        <w:rPr>
          <w:rFonts w:ascii="Georgia" w:hAnsi="Georgia" w:cs="Arial"/>
        </w:rPr>
        <w:t xml:space="preserve">POT </w:t>
      </w:r>
      <w:r w:rsidR="00F00C84" w:rsidRPr="005115C8">
        <w:rPr>
          <w:rFonts w:ascii="Georgia" w:hAnsi="Georgia" w:cs="Arial"/>
        </w:rPr>
        <w:t xml:space="preserve">contaba </w:t>
      </w:r>
      <w:r w:rsidR="009806D4" w:rsidRPr="005115C8">
        <w:rPr>
          <w:rFonts w:ascii="Georgia" w:hAnsi="Georgia" w:cs="Arial"/>
        </w:rPr>
        <w:t>con vacíos normativos</w:t>
      </w:r>
      <w:r w:rsidR="00F00C84" w:rsidRPr="005115C8">
        <w:rPr>
          <w:rFonts w:ascii="Georgia" w:hAnsi="Georgia" w:cs="Arial"/>
        </w:rPr>
        <w:t xml:space="preserve"> y </w:t>
      </w:r>
      <w:r w:rsidR="003C143D" w:rsidRPr="005115C8">
        <w:rPr>
          <w:rFonts w:ascii="Georgia" w:hAnsi="Georgia" w:cs="Arial"/>
        </w:rPr>
        <w:t>era su obligación actualizarlo</w:t>
      </w:r>
      <w:r w:rsidR="00286B09" w:rsidRPr="005115C8">
        <w:rPr>
          <w:rFonts w:ascii="Georgia" w:hAnsi="Georgia" w:cs="Arial"/>
        </w:rPr>
        <w:t xml:space="preserve"> </w:t>
      </w:r>
      <w:r w:rsidR="00286B09" w:rsidRPr="005115C8">
        <w:rPr>
          <w:rFonts w:ascii="Georgia" w:hAnsi="Georgia" w:cs="Arial"/>
          <w:lang w:val="es-CO"/>
        </w:rPr>
        <w:t>(Ib., pdf No.12, enlace expediente digitalizado (Tutela), cuaderno No.2, pdf No.</w:t>
      </w:r>
      <w:r w:rsidR="008E7C09" w:rsidRPr="005115C8">
        <w:rPr>
          <w:rFonts w:ascii="Georgia" w:hAnsi="Georgia" w:cs="Arial"/>
          <w:lang w:val="es-CO"/>
        </w:rPr>
        <w:t>0</w:t>
      </w:r>
      <w:r w:rsidR="00286B09" w:rsidRPr="005115C8">
        <w:rPr>
          <w:rFonts w:ascii="Georgia" w:hAnsi="Georgia" w:cs="Arial"/>
          <w:lang w:val="es-CO"/>
        </w:rPr>
        <w:t>1, folios 54-64)</w:t>
      </w:r>
      <w:r w:rsidR="003C143D" w:rsidRPr="005115C8">
        <w:rPr>
          <w:rFonts w:ascii="Georgia" w:hAnsi="Georgia" w:cs="Arial"/>
        </w:rPr>
        <w:t>.</w:t>
      </w:r>
      <w:r w:rsidR="009806D4" w:rsidRPr="005115C8">
        <w:rPr>
          <w:rFonts w:ascii="Georgia" w:hAnsi="Georgia" w:cs="Arial"/>
        </w:rPr>
        <w:t xml:space="preserve"> </w:t>
      </w:r>
    </w:p>
    <w:p w14:paraId="565542DB" w14:textId="1FF2BF53" w:rsidR="00784444" w:rsidRPr="005115C8" w:rsidRDefault="00784444" w:rsidP="005115C8">
      <w:pPr>
        <w:widowControl/>
        <w:spacing w:line="276" w:lineRule="auto"/>
        <w:jc w:val="both"/>
        <w:rPr>
          <w:rFonts w:ascii="Georgia" w:hAnsi="Georgia" w:cs="Arial"/>
        </w:rPr>
      </w:pPr>
    </w:p>
    <w:p w14:paraId="4163A33D" w14:textId="4DF0B0B3" w:rsidR="004E7B77" w:rsidRPr="005115C8" w:rsidRDefault="00784444" w:rsidP="005115C8">
      <w:pPr>
        <w:widowControl/>
        <w:spacing w:line="276" w:lineRule="auto"/>
        <w:jc w:val="both"/>
        <w:rPr>
          <w:rFonts w:ascii="Georgia" w:hAnsi="Georgia" w:cs="Arial"/>
        </w:rPr>
      </w:pPr>
      <w:r w:rsidRPr="005115C8">
        <w:rPr>
          <w:rFonts w:ascii="Georgia" w:hAnsi="Georgia" w:cs="Arial"/>
        </w:rPr>
        <w:t xml:space="preserve">Inviable era considerar que la decisión tutelar implicaba orientar el sentido de las decisiones de la administración y </w:t>
      </w:r>
      <w:r w:rsidRPr="005115C8">
        <w:rPr>
          <w:rFonts w:ascii="Georgia" w:hAnsi="Georgia" w:cs="Arial"/>
          <w:i/>
          <w:iCs/>
          <w:u w:val="single"/>
        </w:rPr>
        <w:t>menos calificar si las actuaciones ejecutadas frente a la señora Vinasco U. debían modificarse</w:t>
      </w:r>
      <w:r w:rsidRPr="005115C8">
        <w:rPr>
          <w:rFonts w:ascii="Georgia" w:hAnsi="Georgia" w:cs="Arial"/>
        </w:rPr>
        <w:t>. El propósito del amparo era garantizar el trato igual</w:t>
      </w:r>
      <w:r w:rsidR="00733494" w:rsidRPr="005115C8">
        <w:rPr>
          <w:rFonts w:ascii="Georgia" w:hAnsi="Georgia" w:cs="Arial"/>
        </w:rPr>
        <w:t>.</w:t>
      </w:r>
    </w:p>
    <w:p w14:paraId="3B7DB995" w14:textId="77777777" w:rsidR="004E7B77" w:rsidRPr="005115C8" w:rsidRDefault="004E7B77" w:rsidP="005115C8">
      <w:pPr>
        <w:widowControl/>
        <w:spacing w:line="276" w:lineRule="auto"/>
        <w:jc w:val="both"/>
        <w:rPr>
          <w:rFonts w:ascii="Georgia" w:hAnsi="Georgia" w:cs="Arial"/>
        </w:rPr>
      </w:pPr>
    </w:p>
    <w:p w14:paraId="1A34BC19" w14:textId="43A8CCB9" w:rsidR="00ED0712" w:rsidRDefault="00617BD3" w:rsidP="005115C8">
      <w:pPr>
        <w:widowControl/>
        <w:spacing w:line="276" w:lineRule="auto"/>
        <w:jc w:val="both"/>
        <w:rPr>
          <w:rFonts w:ascii="Georgia" w:hAnsi="Georgia" w:cs="Arial"/>
        </w:rPr>
      </w:pPr>
      <w:r w:rsidRPr="005115C8">
        <w:rPr>
          <w:rFonts w:ascii="Georgia" w:hAnsi="Georgia" w:cs="Arial"/>
        </w:rPr>
        <w:t xml:space="preserve">No discute la Corporación </w:t>
      </w:r>
      <w:r w:rsidR="004E7B77" w:rsidRPr="005115C8">
        <w:rPr>
          <w:rFonts w:ascii="Georgia" w:hAnsi="Georgia" w:cs="Arial"/>
        </w:rPr>
        <w:t>que con ocasión del acato de la orden</w:t>
      </w:r>
      <w:r w:rsidR="00784444" w:rsidRPr="005115C8">
        <w:rPr>
          <w:rFonts w:ascii="Georgia" w:hAnsi="Georgia" w:cs="Arial"/>
        </w:rPr>
        <w:t xml:space="preserve"> </w:t>
      </w:r>
      <w:r w:rsidR="004E7B77" w:rsidRPr="005115C8">
        <w:rPr>
          <w:rFonts w:ascii="Georgia" w:hAnsi="Georgia" w:cs="Arial"/>
        </w:rPr>
        <w:t xml:space="preserve">la autoridad </w:t>
      </w:r>
      <w:r w:rsidR="0025692A" w:rsidRPr="005115C8">
        <w:rPr>
          <w:rFonts w:ascii="Georgia" w:hAnsi="Georgia" w:cs="Arial"/>
        </w:rPr>
        <w:t xml:space="preserve">pueda tomar </w:t>
      </w:r>
      <w:r w:rsidR="004E7B77" w:rsidRPr="005115C8">
        <w:rPr>
          <w:rFonts w:ascii="Georgia" w:hAnsi="Georgia" w:cs="Arial"/>
        </w:rPr>
        <w:t xml:space="preserve">decisiones administrativas que </w:t>
      </w:r>
      <w:r w:rsidR="0025692A" w:rsidRPr="005115C8">
        <w:rPr>
          <w:rFonts w:ascii="Georgia" w:hAnsi="Georgia" w:cs="Arial"/>
        </w:rPr>
        <w:t>afecten</w:t>
      </w:r>
      <w:r w:rsidR="004E7B77" w:rsidRPr="005115C8">
        <w:rPr>
          <w:rFonts w:ascii="Georgia" w:hAnsi="Georgia" w:cs="Arial"/>
        </w:rPr>
        <w:t xml:space="preserve"> a terceros, como quiera que </w:t>
      </w:r>
      <w:r w:rsidR="0025692A" w:rsidRPr="005115C8">
        <w:rPr>
          <w:rFonts w:ascii="Georgia" w:hAnsi="Georgia" w:cs="Arial"/>
        </w:rPr>
        <w:t>le correspond</w:t>
      </w:r>
      <w:r w:rsidR="009D2FFD" w:rsidRPr="005115C8">
        <w:rPr>
          <w:rFonts w:ascii="Georgia" w:hAnsi="Georgia" w:cs="Arial"/>
        </w:rPr>
        <w:t>e</w:t>
      </w:r>
      <w:r w:rsidR="0025692A" w:rsidRPr="005115C8">
        <w:rPr>
          <w:rFonts w:ascii="Georgia" w:hAnsi="Georgia" w:cs="Arial"/>
        </w:rPr>
        <w:t xml:space="preserve"> emparejar </w:t>
      </w:r>
      <w:r w:rsidR="004E7B77" w:rsidRPr="005115C8">
        <w:rPr>
          <w:rFonts w:ascii="Georgia" w:hAnsi="Georgia" w:cs="Arial"/>
        </w:rPr>
        <w:t xml:space="preserve">sus decisiones con las que </w:t>
      </w:r>
      <w:r w:rsidR="00286B09" w:rsidRPr="005115C8">
        <w:rPr>
          <w:rFonts w:ascii="Georgia" w:hAnsi="Georgia" w:cs="Arial"/>
        </w:rPr>
        <w:t xml:space="preserve">en </w:t>
      </w:r>
      <w:r w:rsidR="004E7B77" w:rsidRPr="005115C8">
        <w:rPr>
          <w:rFonts w:ascii="Georgia" w:hAnsi="Georgia" w:cs="Arial"/>
        </w:rPr>
        <w:t>casos semejantes había proferido con anterioridad</w:t>
      </w:r>
      <w:r w:rsidR="000D2B76" w:rsidRPr="005115C8">
        <w:rPr>
          <w:rFonts w:ascii="Georgia" w:hAnsi="Georgia" w:cs="Arial"/>
        </w:rPr>
        <w:t xml:space="preserve">; sin embargo, ese enjuiciamiento mal podía afectar directamente los intereses de personas ajenas a la tutela, </w:t>
      </w:r>
      <w:r w:rsidR="00ED0712" w:rsidRPr="005115C8">
        <w:rPr>
          <w:rFonts w:ascii="Georgia" w:hAnsi="Georgia" w:cs="Arial"/>
        </w:rPr>
        <w:t xml:space="preserve">pues trátese de actuaciones de exclusiva competencia de la </w:t>
      </w:r>
      <w:r w:rsidR="00AB04D7" w:rsidRPr="005115C8">
        <w:rPr>
          <w:rFonts w:ascii="Georgia" w:hAnsi="Georgia" w:cs="Arial"/>
        </w:rPr>
        <w:t>accionada</w:t>
      </w:r>
      <w:r w:rsidR="00ED0712" w:rsidRPr="005115C8">
        <w:rPr>
          <w:rFonts w:ascii="Georgia" w:hAnsi="Georgia" w:cs="Arial"/>
        </w:rPr>
        <w:t>.</w:t>
      </w:r>
    </w:p>
    <w:p w14:paraId="3DC2B318" w14:textId="77777777" w:rsidR="00142D3D" w:rsidRPr="005115C8" w:rsidRDefault="00142D3D" w:rsidP="005115C8">
      <w:pPr>
        <w:widowControl/>
        <w:spacing w:line="276" w:lineRule="auto"/>
        <w:jc w:val="both"/>
        <w:rPr>
          <w:rFonts w:ascii="Georgia" w:hAnsi="Georgia" w:cs="Arial"/>
        </w:rPr>
      </w:pPr>
    </w:p>
    <w:p w14:paraId="2A934E25" w14:textId="7B85FFF3" w:rsidR="00ED0712" w:rsidRPr="005115C8" w:rsidRDefault="00ED0712" w:rsidP="005115C8">
      <w:pPr>
        <w:widowControl/>
        <w:spacing w:line="276" w:lineRule="auto"/>
        <w:jc w:val="both"/>
        <w:rPr>
          <w:rFonts w:ascii="Georgia" w:hAnsi="Georgia" w:cs="Arial"/>
        </w:rPr>
      </w:pPr>
      <w:r w:rsidRPr="005115C8">
        <w:rPr>
          <w:rFonts w:ascii="Georgia" w:hAnsi="Georgia" w:cs="Arial"/>
        </w:rPr>
        <w:t xml:space="preserve">Los actos administrativos </w:t>
      </w:r>
      <w:r w:rsidR="0025692A" w:rsidRPr="005115C8">
        <w:rPr>
          <w:rFonts w:ascii="Georgia" w:hAnsi="Georgia" w:cs="Arial"/>
        </w:rPr>
        <w:t xml:space="preserve">deben observar el ordenamiento legal, </w:t>
      </w:r>
      <w:r w:rsidR="00F00C84" w:rsidRPr="005115C8">
        <w:rPr>
          <w:rFonts w:ascii="Georgia" w:hAnsi="Georgia" w:cs="Arial"/>
        </w:rPr>
        <w:t>entonces</w:t>
      </w:r>
      <w:r w:rsidR="0025692A" w:rsidRPr="005115C8">
        <w:rPr>
          <w:rFonts w:ascii="Georgia" w:hAnsi="Georgia" w:cs="Arial"/>
        </w:rPr>
        <w:t xml:space="preserve">, si al desatar el reclamo del interesado advierte que </w:t>
      </w:r>
      <w:r w:rsidR="000D2B76" w:rsidRPr="005115C8">
        <w:rPr>
          <w:rFonts w:ascii="Georgia" w:hAnsi="Georgia" w:cs="Arial"/>
        </w:rPr>
        <w:t xml:space="preserve">otorgó licencias </w:t>
      </w:r>
      <w:r w:rsidR="00F00C84" w:rsidRPr="005115C8">
        <w:rPr>
          <w:rFonts w:ascii="Georgia" w:hAnsi="Georgia" w:cs="Arial"/>
        </w:rPr>
        <w:t xml:space="preserve">irregulares o pretirió realizar el control respectivo sobre las </w:t>
      </w:r>
      <w:r w:rsidR="003C143D" w:rsidRPr="005115C8">
        <w:rPr>
          <w:rFonts w:ascii="Georgia" w:hAnsi="Georgia" w:cs="Arial"/>
        </w:rPr>
        <w:t xml:space="preserve">obras </w:t>
      </w:r>
      <w:r w:rsidR="00F00C84" w:rsidRPr="005115C8">
        <w:rPr>
          <w:rFonts w:ascii="Georgia" w:hAnsi="Georgia" w:cs="Arial"/>
        </w:rPr>
        <w:t>existentes</w:t>
      </w:r>
      <w:r w:rsidR="000D2B76" w:rsidRPr="005115C8">
        <w:rPr>
          <w:rFonts w:ascii="Georgia" w:hAnsi="Georgia" w:cs="Arial"/>
        </w:rPr>
        <w:t xml:space="preserve">, correspondía que de oficio </w:t>
      </w:r>
      <w:r w:rsidRPr="005115C8">
        <w:rPr>
          <w:rFonts w:ascii="Georgia" w:hAnsi="Georgia" w:cs="Arial"/>
        </w:rPr>
        <w:t>adelant</w:t>
      </w:r>
      <w:r w:rsidR="00F00C84" w:rsidRPr="005115C8">
        <w:rPr>
          <w:rFonts w:ascii="Georgia" w:hAnsi="Georgia" w:cs="Arial"/>
        </w:rPr>
        <w:t>ara</w:t>
      </w:r>
      <w:r w:rsidRPr="005115C8">
        <w:rPr>
          <w:rFonts w:ascii="Georgia" w:hAnsi="Georgia" w:cs="Arial"/>
        </w:rPr>
        <w:t xml:space="preserve"> </w:t>
      </w:r>
      <w:r w:rsidR="000D2B76" w:rsidRPr="005115C8">
        <w:rPr>
          <w:rFonts w:ascii="Georgia" w:hAnsi="Georgia" w:cs="Arial"/>
        </w:rPr>
        <w:t>los trámites respectivos</w:t>
      </w:r>
      <w:r w:rsidRPr="005115C8">
        <w:rPr>
          <w:rFonts w:ascii="Georgia" w:hAnsi="Georgia" w:cs="Arial"/>
        </w:rPr>
        <w:t xml:space="preserve">. </w:t>
      </w:r>
    </w:p>
    <w:p w14:paraId="07C9BB75" w14:textId="77777777" w:rsidR="00ED0712" w:rsidRPr="005115C8" w:rsidRDefault="00ED0712" w:rsidP="005115C8">
      <w:pPr>
        <w:widowControl/>
        <w:spacing w:line="276" w:lineRule="auto"/>
        <w:jc w:val="both"/>
        <w:rPr>
          <w:rFonts w:ascii="Georgia" w:hAnsi="Georgia" w:cs="Arial"/>
        </w:rPr>
      </w:pPr>
    </w:p>
    <w:p w14:paraId="50A21B38" w14:textId="19D7E37B" w:rsidR="000D2B76" w:rsidRPr="005115C8" w:rsidRDefault="00733494" w:rsidP="005115C8">
      <w:pPr>
        <w:widowControl/>
        <w:spacing w:line="276" w:lineRule="auto"/>
        <w:jc w:val="both"/>
        <w:rPr>
          <w:rFonts w:ascii="Georgia" w:hAnsi="Georgia" w:cs="Arial"/>
        </w:rPr>
      </w:pPr>
      <w:r w:rsidRPr="005115C8">
        <w:rPr>
          <w:rFonts w:ascii="Georgia" w:hAnsi="Georgia" w:cs="Arial"/>
        </w:rPr>
        <w:t>Así las cosas</w:t>
      </w:r>
      <w:r w:rsidR="00ED0712" w:rsidRPr="005115C8">
        <w:rPr>
          <w:rFonts w:ascii="Georgia" w:hAnsi="Georgia" w:cs="Arial"/>
        </w:rPr>
        <w:t xml:space="preserve">, </w:t>
      </w:r>
      <w:r w:rsidR="00D6359E" w:rsidRPr="005115C8">
        <w:rPr>
          <w:rFonts w:ascii="Georgia" w:hAnsi="Georgia" w:cs="Arial"/>
        </w:rPr>
        <w:t xml:space="preserve">innecesario era rebasar la pretensión constitucional para afectar los derechos de la señora </w:t>
      </w:r>
      <w:r w:rsidR="00ED0712" w:rsidRPr="005115C8">
        <w:rPr>
          <w:rFonts w:ascii="Georgia" w:hAnsi="Georgia" w:cs="Arial"/>
        </w:rPr>
        <w:t xml:space="preserve">Vinasco U. </w:t>
      </w:r>
      <w:r w:rsidR="00D6359E" w:rsidRPr="005115C8">
        <w:rPr>
          <w:rFonts w:ascii="Georgia" w:hAnsi="Georgia" w:cs="Arial"/>
        </w:rPr>
        <w:t xml:space="preserve">porque </w:t>
      </w:r>
      <w:r w:rsidR="00D6359E" w:rsidRPr="005115C8">
        <w:rPr>
          <w:rFonts w:ascii="Georgia" w:hAnsi="Georgia" w:cs="Arial"/>
          <w:u w:val="single"/>
        </w:rPr>
        <w:t xml:space="preserve">la decisión judicial solo admitía auscultar si las actuaciones administrativas relacionadas con la construcción del cuatro piso de su inmueble se ajustaban a derecho, </w:t>
      </w:r>
      <w:r w:rsidR="00D6359E" w:rsidRPr="005115C8">
        <w:rPr>
          <w:rFonts w:ascii="Georgia" w:hAnsi="Georgia" w:cs="Arial"/>
          <w:b/>
          <w:bCs/>
          <w:u w:val="single"/>
        </w:rPr>
        <w:t>mas no alterarlas</w:t>
      </w:r>
      <w:r w:rsidR="00D6359E" w:rsidRPr="005115C8">
        <w:rPr>
          <w:rFonts w:ascii="Georgia" w:hAnsi="Georgia" w:cs="Arial"/>
        </w:rPr>
        <w:t xml:space="preserve">. </w:t>
      </w:r>
    </w:p>
    <w:p w14:paraId="24C1BD0A" w14:textId="602C27E2" w:rsidR="000D2B76" w:rsidRPr="005115C8" w:rsidRDefault="000D2B76" w:rsidP="005115C8">
      <w:pPr>
        <w:widowControl/>
        <w:spacing w:line="276" w:lineRule="auto"/>
        <w:jc w:val="both"/>
        <w:rPr>
          <w:rFonts w:ascii="Georgia" w:hAnsi="Georgia" w:cs="Arial"/>
        </w:rPr>
      </w:pPr>
    </w:p>
    <w:p w14:paraId="33C4A054" w14:textId="3044D54D" w:rsidR="000D2B76" w:rsidRPr="005115C8" w:rsidRDefault="00D6359E" w:rsidP="005115C8">
      <w:pPr>
        <w:widowControl/>
        <w:spacing w:line="276" w:lineRule="auto"/>
        <w:jc w:val="both"/>
        <w:rPr>
          <w:rFonts w:ascii="Georgia" w:hAnsi="Georgia" w:cs="Arial"/>
        </w:rPr>
      </w:pPr>
      <w:r w:rsidRPr="005115C8">
        <w:rPr>
          <w:rFonts w:ascii="Georgia" w:hAnsi="Georgia" w:cs="Arial"/>
        </w:rPr>
        <w:t xml:space="preserve">El objeto único y principal era propender porque al promotor del amparo se le brindara idéntico trato, con independencia de que </w:t>
      </w:r>
      <w:r w:rsidR="00AB04D7" w:rsidRPr="005115C8">
        <w:rPr>
          <w:rFonts w:ascii="Georgia" w:hAnsi="Georgia" w:cs="Arial"/>
        </w:rPr>
        <w:t xml:space="preserve">el ente territorial </w:t>
      </w:r>
      <w:r w:rsidRPr="005115C8">
        <w:rPr>
          <w:rFonts w:ascii="Georgia" w:hAnsi="Georgia" w:cs="Arial"/>
        </w:rPr>
        <w:t xml:space="preserve">durante su acato considere necesario </w:t>
      </w:r>
      <w:r w:rsidR="00AB04D7" w:rsidRPr="005115C8">
        <w:rPr>
          <w:rFonts w:ascii="Georgia" w:hAnsi="Georgia" w:cs="Arial"/>
        </w:rPr>
        <w:t xml:space="preserve">tomar medidas </w:t>
      </w:r>
      <w:r w:rsidR="00286B09" w:rsidRPr="005115C8">
        <w:rPr>
          <w:rFonts w:ascii="Georgia" w:hAnsi="Georgia" w:cs="Arial"/>
        </w:rPr>
        <w:t>respecto</w:t>
      </w:r>
      <w:r w:rsidR="00AB04D7" w:rsidRPr="005115C8">
        <w:rPr>
          <w:rFonts w:ascii="Georgia" w:hAnsi="Georgia" w:cs="Arial"/>
        </w:rPr>
        <w:t xml:space="preserve"> </w:t>
      </w:r>
      <w:r w:rsidR="003C143D" w:rsidRPr="005115C8">
        <w:rPr>
          <w:rFonts w:ascii="Georgia" w:hAnsi="Georgia" w:cs="Arial"/>
        </w:rPr>
        <w:t xml:space="preserve">a </w:t>
      </w:r>
      <w:r w:rsidR="00AB04D7" w:rsidRPr="005115C8">
        <w:rPr>
          <w:rFonts w:ascii="Georgia" w:hAnsi="Georgia" w:cs="Arial"/>
        </w:rPr>
        <w:t>otros administrados que hayan edificado sin cumplir las normas urbanísticas. Es un aspecto harto disímil</w:t>
      </w:r>
      <w:r w:rsidR="003C143D" w:rsidRPr="005115C8">
        <w:rPr>
          <w:rFonts w:ascii="Georgia" w:hAnsi="Georgia" w:cs="Arial"/>
        </w:rPr>
        <w:t xml:space="preserve">, en consecuencia, debe </w:t>
      </w:r>
      <w:r w:rsidR="00AB04D7" w:rsidRPr="005115C8">
        <w:rPr>
          <w:rFonts w:ascii="Georgia" w:hAnsi="Georgia" w:cs="Arial"/>
        </w:rPr>
        <w:t>negarse la salvaguarda invocada.</w:t>
      </w:r>
      <w:r w:rsidR="00ED0712" w:rsidRPr="005115C8">
        <w:rPr>
          <w:rFonts w:ascii="Georgia" w:hAnsi="Georgia" w:cs="Arial"/>
        </w:rPr>
        <w:t xml:space="preserve"> </w:t>
      </w:r>
    </w:p>
    <w:p w14:paraId="060C9AD5" w14:textId="42CEBC25" w:rsidR="00AB04D7" w:rsidRPr="005115C8" w:rsidRDefault="00AB04D7" w:rsidP="005115C8">
      <w:pPr>
        <w:widowControl/>
        <w:spacing w:line="276" w:lineRule="auto"/>
        <w:jc w:val="both"/>
        <w:rPr>
          <w:rFonts w:ascii="Georgia" w:hAnsi="Georgia" w:cs="Arial"/>
        </w:rPr>
      </w:pPr>
    </w:p>
    <w:p w14:paraId="47AEAC39" w14:textId="68608E5B" w:rsidR="00FF75F6" w:rsidRPr="005115C8" w:rsidRDefault="006879B2" w:rsidP="005115C8">
      <w:pPr>
        <w:widowControl/>
        <w:spacing w:line="276" w:lineRule="auto"/>
        <w:jc w:val="both"/>
        <w:rPr>
          <w:rFonts w:ascii="Georgia" w:hAnsi="Georgia" w:cs="Arial"/>
        </w:rPr>
      </w:pPr>
      <w:r w:rsidRPr="005115C8">
        <w:rPr>
          <w:rFonts w:ascii="Georgia" w:hAnsi="Georgia" w:cs="Arial"/>
          <w:smallCaps/>
        </w:rPr>
        <w:lastRenderedPageBreak/>
        <w:t>6.2. La ausencia fáctica</w:t>
      </w:r>
      <w:r w:rsidRPr="005115C8">
        <w:rPr>
          <w:rFonts w:ascii="Georgia" w:hAnsi="Georgia" w:cs="Arial"/>
        </w:rPr>
        <w:t xml:space="preserve">. </w:t>
      </w:r>
      <w:r w:rsidR="00733494" w:rsidRPr="005115C8">
        <w:rPr>
          <w:rFonts w:ascii="Georgia" w:hAnsi="Georgia" w:cs="Arial"/>
        </w:rPr>
        <w:t>E</w:t>
      </w:r>
      <w:r w:rsidR="00FF75F6" w:rsidRPr="005115C8">
        <w:rPr>
          <w:rFonts w:ascii="Georgia" w:hAnsi="Georgia" w:cs="Arial"/>
        </w:rPr>
        <w:t xml:space="preserve">n lo que concierne a la queja fundada en que el juzgador dispuso conceder la licencia urbanista al accionante o demoler la edificación de la aquí actora, también el amparo se desestimará, pero por cuenta de la inexistencia de acción imputada. </w:t>
      </w:r>
    </w:p>
    <w:p w14:paraId="30B4E2F6" w14:textId="77777777" w:rsidR="00FF75F6" w:rsidRPr="005115C8" w:rsidRDefault="00FF75F6" w:rsidP="005115C8">
      <w:pPr>
        <w:widowControl/>
        <w:spacing w:line="276" w:lineRule="auto"/>
        <w:jc w:val="both"/>
        <w:rPr>
          <w:rFonts w:ascii="Georgia" w:hAnsi="Georgia" w:cs="Arial"/>
        </w:rPr>
      </w:pPr>
    </w:p>
    <w:p w14:paraId="6A7006F9" w14:textId="439E6E1A" w:rsidR="006E5869" w:rsidRPr="005115C8" w:rsidRDefault="00FF75F6" w:rsidP="005115C8">
      <w:pPr>
        <w:widowControl/>
        <w:spacing w:line="276" w:lineRule="auto"/>
        <w:jc w:val="both"/>
        <w:rPr>
          <w:rFonts w:ascii="Georgia" w:hAnsi="Georgia" w:cs="Arial"/>
        </w:rPr>
      </w:pPr>
      <w:r w:rsidRPr="005115C8">
        <w:rPr>
          <w:rFonts w:ascii="Georgia" w:hAnsi="Georgia" w:cs="Arial"/>
        </w:rPr>
        <w:t xml:space="preserve">Nótese que con auto del </w:t>
      </w:r>
      <w:r w:rsidR="006E5869" w:rsidRPr="005115C8">
        <w:rPr>
          <w:rFonts w:ascii="Georgia" w:hAnsi="Georgia" w:cs="Arial"/>
        </w:rPr>
        <w:t>29-05-2019 se desestimó la aclaración solicitada por la autoridad</w:t>
      </w:r>
      <w:r w:rsidR="008E7C09" w:rsidRPr="005115C8">
        <w:rPr>
          <w:rFonts w:ascii="Georgia" w:hAnsi="Georgia" w:cs="Arial"/>
        </w:rPr>
        <w:t xml:space="preserve"> (Ib., pdf No.04, folios 6-8)</w:t>
      </w:r>
      <w:r w:rsidR="006E5869" w:rsidRPr="005115C8">
        <w:rPr>
          <w:rFonts w:ascii="Georgia" w:hAnsi="Georgia" w:cs="Arial"/>
        </w:rPr>
        <w:t xml:space="preserve">, de tal suerte que la parte resolutiva del fallo </w:t>
      </w:r>
      <w:r w:rsidR="00733494" w:rsidRPr="005115C8">
        <w:rPr>
          <w:rFonts w:ascii="Georgia" w:hAnsi="Georgia" w:cs="Arial"/>
        </w:rPr>
        <w:t xml:space="preserve">del 04-04-2019 </w:t>
      </w:r>
      <w:r w:rsidR="006E5869" w:rsidRPr="005115C8">
        <w:rPr>
          <w:rFonts w:ascii="Georgia" w:hAnsi="Georgia" w:cs="Arial"/>
        </w:rPr>
        <w:t>quedó incólume, esto es, que la accionada</w:t>
      </w:r>
      <w:r w:rsidR="00F65C68" w:rsidRPr="005115C8">
        <w:rPr>
          <w:rFonts w:ascii="Georgia" w:hAnsi="Georgia" w:cs="Arial"/>
        </w:rPr>
        <w:t>:</w:t>
      </w:r>
      <w:r w:rsidR="006E5869" w:rsidRPr="005115C8">
        <w:rPr>
          <w:rFonts w:ascii="Georgia" w:hAnsi="Georgia" w:cs="Arial"/>
        </w:rPr>
        <w:t xml:space="preserve"> </w:t>
      </w:r>
      <w:r w:rsidR="006E5869" w:rsidRPr="005115C8">
        <w:rPr>
          <w:rFonts w:ascii="Georgia" w:hAnsi="Georgia" w:cs="Arial"/>
          <w:i/>
          <w:iCs/>
        </w:rPr>
        <w:t>“</w:t>
      </w:r>
      <w:r w:rsidR="00F65C68" w:rsidRPr="00FE1BFF">
        <w:rPr>
          <w:rFonts w:ascii="Georgia" w:hAnsi="Georgia" w:cs="Arial"/>
          <w:i/>
          <w:iCs/>
          <w:sz w:val="22"/>
        </w:rPr>
        <w:t xml:space="preserve">(…) </w:t>
      </w:r>
      <w:r w:rsidR="006E5869" w:rsidRPr="00FE1BFF">
        <w:rPr>
          <w:rFonts w:ascii="Georgia" w:hAnsi="Georgia" w:cs="Arial"/>
          <w:i/>
          <w:iCs/>
          <w:sz w:val="22"/>
        </w:rPr>
        <w:t>analice la documentación presentada por el señor José Orlando García Moncada</w:t>
      </w:r>
      <w:r w:rsidR="006E5869" w:rsidRPr="00FE1BFF">
        <w:rPr>
          <w:rFonts w:ascii="Georgia" w:hAnsi="Georgia" w:cs="Arial"/>
          <w:sz w:val="22"/>
        </w:rPr>
        <w:t xml:space="preserve"> </w:t>
      </w:r>
      <w:r w:rsidR="006E5869" w:rsidRPr="00FE1BFF">
        <w:rPr>
          <w:rFonts w:ascii="Georgia" w:hAnsi="Georgia" w:cs="Arial"/>
          <w:i/>
          <w:iCs/>
          <w:sz w:val="22"/>
        </w:rPr>
        <w:t>(…) respecto a la ampliación de la licencia de construcción a él otorgada y emita una respuesta de fondo, la que deberá ajustarse a la normativa legal sobre la materia, pero garantizando el derecho a la igualdad. Así mismo deberá indicar en su respuesta qué recursos proceden y en qué término se deben interponer (…)</w:t>
      </w:r>
      <w:r w:rsidR="006E5869" w:rsidRPr="005115C8">
        <w:rPr>
          <w:rFonts w:ascii="Georgia" w:hAnsi="Georgia" w:cs="Arial"/>
          <w:i/>
          <w:iCs/>
        </w:rPr>
        <w:t>”</w:t>
      </w:r>
      <w:r w:rsidR="008E7C09" w:rsidRPr="005115C8">
        <w:rPr>
          <w:rFonts w:ascii="Georgia" w:hAnsi="Georgia" w:cs="Arial"/>
          <w:i/>
          <w:iCs/>
        </w:rPr>
        <w:t xml:space="preserve"> </w:t>
      </w:r>
      <w:r w:rsidR="008E7C09" w:rsidRPr="005115C8">
        <w:rPr>
          <w:rFonts w:ascii="Georgia" w:hAnsi="Georgia" w:cs="Arial"/>
          <w:lang w:val="es-CO"/>
        </w:rPr>
        <w:t>(Ib., pdf No.12, enlace expediente digitalizado (Tutela), cuaderno No.2, pdf No.01, folio 63)</w:t>
      </w:r>
      <w:r w:rsidR="006E5869" w:rsidRPr="005115C8">
        <w:rPr>
          <w:rFonts w:ascii="Georgia" w:hAnsi="Georgia" w:cs="Arial"/>
          <w:i/>
          <w:iCs/>
        </w:rPr>
        <w:t>.</w:t>
      </w:r>
      <w:r w:rsidR="00F65C68" w:rsidRPr="005115C8">
        <w:rPr>
          <w:rFonts w:ascii="Georgia" w:hAnsi="Georgia" w:cs="Arial"/>
          <w:i/>
          <w:iCs/>
        </w:rPr>
        <w:t xml:space="preserve"> </w:t>
      </w:r>
      <w:r w:rsidR="00F65C68" w:rsidRPr="005115C8">
        <w:rPr>
          <w:rFonts w:ascii="Georgia" w:hAnsi="Georgia" w:cs="Arial"/>
        </w:rPr>
        <w:t>N</w:t>
      </w:r>
      <w:r w:rsidR="006E5869" w:rsidRPr="005115C8">
        <w:rPr>
          <w:rFonts w:ascii="Georgia" w:hAnsi="Georgia" w:cs="Arial"/>
        </w:rPr>
        <w:t>o tomó decisión alguna relacionada con la señora Vinasco U.</w:t>
      </w:r>
    </w:p>
    <w:p w14:paraId="31840490" w14:textId="30AFD50A" w:rsidR="006E5869" w:rsidRPr="005115C8" w:rsidRDefault="006E5869" w:rsidP="005115C8">
      <w:pPr>
        <w:widowControl/>
        <w:spacing w:line="276" w:lineRule="auto"/>
        <w:jc w:val="both"/>
        <w:rPr>
          <w:rFonts w:ascii="Georgia" w:hAnsi="Georgia" w:cs="Arial"/>
        </w:rPr>
      </w:pPr>
    </w:p>
    <w:p w14:paraId="524E86A4" w14:textId="2FF2A540" w:rsidR="008E7C09" w:rsidRPr="005115C8" w:rsidRDefault="0047238B" w:rsidP="005115C8">
      <w:pPr>
        <w:widowControl/>
        <w:spacing w:line="276" w:lineRule="auto"/>
        <w:jc w:val="both"/>
        <w:rPr>
          <w:rFonts w:ascii="Georgia" w:hAnsi="Georgia" w:cs="Arial"/>
        </w:rPr>
      </w:pPr>
      <w:r w:rsidRPr="005115C8">
        <w:rPr>
          <w:rFonts w:ascii="Georgia" w:hAnsi="Georgia" w:cs="Arial"/>
        </w:rPr>
        <w:t xml:space="preserve">Ahora, cierto es que el juzgador en </w:t>
      </w:r>
      <w:r w:rsidR="008E7C09" w:rsidRPr="005115C8">
        <w:rPr>
          <w:rFonts w:ascii="Georgia" w:hAnsi="Georgia" w:cs="Arial"/>
        </w:rPr>
        <w:t>la</w:t>
      </w:r>
      <w:r w:rsidRPr="005115C8">
        <w:rPr>
          <w:rFonts w:ascii="Georgia" w:hAnsi="Georgia" w:cs="Arial"/>
        </w:rPr>
        <w:t xml:space="preserve"> decisión </w:t>
      </w:r>
      <w:r w:rsidR="008E7C09" w:rsidRPr="005115C8">
        <w:rPr>
          <w:rFonts w:ascii="Georgia" w:hAnsi="Georgia" w:cs="Arial"/>
        </w:rPr>
        <w:t xml:space="preserve">del 29-05-2019 </w:t>
      </w:r>
      <w:r w:rsidRPr="005115C8">
        <w:rPr>
          <w:rFonts w:ascii="Georgia" w:hAnsi="Georgia" w:cs="Arial"/>
        </w:rPr>
        <w:t>resolvió varios interrogantes planteados por la accionada</w:t>
      </w:r>
      <w:r w:rsidR="00D55BB9" w:rsidRPr="005115C8">
        <w:rPr>
          <w:rFonts w:ascii="Georgia" w:hAnsi="Georgia" w:cs="Arial"/>
        </w:rPr>
        <w:t xml:space="preserve"> y expuso</w:t>
      </w:r>
      <w:r w:rsidR="008E7C09" w:rsidRPr="005115C8">
        <w:rPr>
          <w:rFonts w:ascii="Georgia" w:hAnsi="Georgia" w:cs="Arial"/>
        </w:rPr>
        <w:t xml:space="preserve"> que</w:t>
      </w:r>
      <w:r w:rsidR="00D55BB9" w:rsidRPr="005115C8">
        <w:rPr>
          <w:rFonts w:ascii="Georgia" w:hAnsi="Georgia" w:cs="Arial"/>
        </w:rPr>
        <w:t xml:space="preserve">: </w:t>
      </w:r>
      <w:r w:rsidR="00D55BB9" w:rsidRPr="005115C8">
        <w:rPr>
          <w:rFonts w:ascii="Georgia" w:hAnsi="Georgia" w:cs="Arial"/>
          <w:i/>
          <w:iCs/>
        </w:rPr>
        <w:t>“</w:t>
      </w:r>
      <w:r w:rsidR="00D55BB9" w:rsidRPr="00FE1BFF">
        <w:rPr>
          <w:rFonts w:ascii="Georgia" w:hAnsi="Georgia" w:cs="Arial"/>
          <w:i/>
          <w:iCs/>
          <w:sz w:val="22"/>
        </w:rPr>
        <w:t xml:space="preserve">(…) </w:t>
      </w:r>
      <w:r w:rsidR="00E65D2E" w:rsidRPr="00FE1BFF">
        <w:rPr>
          <w:rFonts w:ascii="Georgia" w:hAnsi="Georgia" w:cs="Arial"/>
          <w:i/>
          <w:iCs/>
          <w:sz w:val="22"/>
        </w:rPr>
        <w:t>Lo que se dispuso fue que se le garantizara el derecho a la igualdad frente a la ciudadana que tiene la construcción de cuatro pisos en el mismo sector y eso se puede hacer otorgándole la licencia para el cuatro piso (…) u ordenándole demoler a la propietaria del edificio de cuatro pisos</w:t>
      </w:r>
      <w:r w:rsidR="009D2FFD" w:rsidRPr="00FE1BFF">
        <w:rPr>
          <w:rFonts w:ascii="Georgia" w:hAnsi="Georgia" w:cs="Arial"/>
          <w:i/>
          <w:iCs/>
          <w:sz w:val="22"/>
        </w:rPr>
        <w:t xml:space="preserve"> </w:t>
      </w:r>
      <w:r w:rsidR="00E65D2E" w:rsidRPr="00FE1BFF">
        <w:rPr>
          <w:rFonts w:ascii="Georgia" w:hAnsi="Georgia" w:cs="Arial"/>
          <w:i/>
          <w:iCs/>
          <w:sz w:val="22"/>
        </w:rPr>
        <w:t xml:space="preserve">(…) </w:t>
      </w:r>
      <w:r w:rsidR="008E7C09" w:rsidRPr="00FE1BFF">
        <w:rPr>
          <w:rFonts w:ascii="Georgia" w:hAnsi="Georgia" w:cs="Arial"/>
          <w:sz w:val="22"/>
        </w:rPr>
        <w:t>y a renglón seguido dijo:</w:t>
      </w:r>
      <w:r w:rsidR="008E7C09" w:rsidRPr="00FE1BFF">
        <w:rPr>
          <w:rFonts w:ascii="Georgia" w:hAnsi="Georgia" w:cs="Arial"/>
          <w:i/>
          <w:iCs/>
          <w:sz w:val="22"/>
        </w:rPr>
        <w:t xml:space="preserve"> (…) </w:t>
      </w:r>
      <w:r w:rsidR="00D55BB9" w:rsidRPr="00FE1BFF">
        <w:rPr>
          <w:rFonts w:ascii="Georgia" w:hAnsi="Georgia" w:cs="Arial"/>
          <w:i/>
          <w:iCs/>
          <w:sz w:val="22"/>
        </w:rPr>
        <w:t xml:space="preserve">Lo único que se prohibió fue que el rechazo del permiso se produjera por la prohibición del PBOT, precisamente porque a otras personas sí se les ha permitido edificar más de tres pisos, pues omitir aplicar las </w:t>
      </w:r>
      <w:r w:rsidR="00E65D2E" w:rsidRPr="00FE1BFF">
        <w:rPr>
          <w:rFonts w:ascii="Georgia" w:hAnsi="Georgia" w:cs="Arial"/>
          <w:i/>
          <w:iCs/>
          <w:sz w:val="22"/>
        </w:rPr>
        <w:t>sanciones y dejar constituir una situación administrativa es autorizar (…)</w:t>
      </w:r>
      <w:r w:rsidR="00E65D2E" w:rsidRPr="005115C8">
        <w:rPr>
          <w:rFonts w:ascii="Georgia" w:hAnsi="Georgia" w:cs="Arial"/>
          <w:i/>
          <w:iCs/>
        </w:rPr>
        <w:t>”</w:t>
      </w:r>
      <w:r w:rsidR="008E7C09" w:rsidRPr="005115C8">
        <w:rPr>
          <w:rFonts w:ascii="Georgia" w:hAnsi="Georgia" w:cs="Arial"/>
          <w:i/>
          <w:iCs/>
        </w:rPr>
        <w:t xml:space="preserve"> </w:t>
      </w:r>
      <w:r w:rsidR="008E7C09" w:rsidRPr="005115C8">
        <w:rPr>
          <w:rFonts w:ascii="Georgia" w:hAnsi="Georgia" w:cs="Arial"/>
        </w:rPr>
        <w:t>(Ib., pdf No.04, folios 6-8)</w:t>
      </w:r>
      <w:r w:rsidRPr="005115C8">
        <w:rPr>
          <w:rFonts w:ascii="Georgia" w:hAnsi="Georgia" w:cs="Arial"/>
        </w:rPr>
        <w:t xml:space="preserve">, </w:t>
      </w:r>
      <w:r w:rsidR="00E65D2E" w:rsidRPr="005115C8">
        <w:rPr>
          <w:rFonts w:ascii="Georgia" w:hAnsi="Georgia" w:cs="Arial"/>
        </w:rPr>
        <w:t xml:space="preserve">sin embargo, trátese de apreciaciones que </w:t>
      </w:r>
      <w:r w:rsidR="00D55BB9" w:rsidRPr="005115C8">
        <w:rPr>
          <w:rFonts w:ascii="Georgia" w:hAnsi="Georgia" w:cs="Arial"/>
        </w:rPr>
        <w:t>no altera</w:t>
      </w:r>
      <w:r w:rsidR="00E65D2E" w:rsidRPr="005115C8">
        <w:rPr>
          <w:rFonts w:ascii="Georgia" w:hAnsi="Georgia" w:cs="Arial"/>
        </w:rPr>
        <w:t>ron</w:t>
      </w:r>
      <w:r w:rsidR="00D55BB9" w:rsidRPr="005115C8">
        <w:rPr>
          <w:rFonts w:ascii="Georgia" w:hAnsi="Georgia" w:cs="Arial"/>
        </w:rPr>
        <w:t>, adicion</w:t>
      </w:r>
      <w:r w:rsidR="00E65D2E" w:rsidRPr="005115C8">
        <w:rPr>
          <w:rFonts w:ascii="Georgia" w:hAnsi="Georgia" w:cs="Arial"/>
        </w:rPr>
        <w:t>aron</w:t>
      </w:r>
      <w:r w:rsidR="00D55BB9" w:rsidRPr="005115C8">
        <w:rPr>
          <w:rFonts w:ascii="Georgia" w:hAnsi="Georgia" w:cs="Arial"/>
        </w:rPr>
        <w:t xml:space="preserve"> o </w:t>
      </w:r>
      <w:r w:rsidR="00E65D2E" w:rsidRPr="005115C8">
        <w:rPr>
          <w:rFonts w:ascii="Georgia" w:hAnsi="Georgia" w:cs="Arial"/>
        </w:rPr>
        <w:t xml:space="preserve">aclararon </w:t>
      </w:r>
      <w:r w:rsidR="00D55BB9" w:rsidRPr="005115C8">
        <w:rPr>
          <w:rFonts w:ascii="Georgia" w:hAnsi="Georgia" w:cs="Arial"/>
        </w:rPr>
        <w:t xml:space="preserve">la </w:t>
      </w:r>
      <w:r w:rsidRPr="005115C8">
        <w:rPr>
          <w:rFonts w:ascii="Georgia" w:hAnsi="Georgia" w:cs="Arial"/>
        </w:rPr>
        <w:t>parte resolutiva</w:t>
      </w:r>
      <w:r w:rsidR="00D55BB9" w:rsidRPr="005115C8">
        <w:rPr>
          <w:rFonts w:ascii="Georgia" w:hAnsi="Georgia" w:cs="Arial"/>
        </w:rPr>
        <w:t xml:space="preserve"> </w:t>
      </w:r>
      <w:r w:rsidR="00733494" w:rsidRPr="005115C8">
        <w:rPr>
          <w:rFonts w:ascii="Georgia" w:hAnsi="Georgia" w:cs="Arial"/>
        </w:rPr>
        <w:t>de la sentencia de tutela</w:t>
      </w:r>
      <w:r w:rsidR="008E7C09" w:rsidRPr="005115C8">
        <w:rPr>
          <w:rFonts w:ascii="Georgia" w:hAnsi="Georgia" w:cs="Arial"/>
        </w:rPr>
        <w:t xml:space="preserve">. </w:t>
      </w:r>
    </w:p>
    <w:p w14:paraId="19A0BC3A" w14:textId="77777777" w:rsidR="008E7C09" w:rsidRPr="005115C8" w:rsidRDefault="008E7C09" w:rsidP="005115C8">
      <w:pPr>
        <w:widowControl/>
        <w:spacing w:line="276" w:lineRule="auto"/>
        <w:jc w:val="both"/>
        <w:rPr>
          <w:rFonts w:ascii="Georgia" w:hAnsi="Georgia" w:cs="Arial"/>
        </w:rPr>
      </w:pPr>
    </w:p>
    <w:p w14:paraId="5BE77B6F" w14:textId="55DDF117" w:rsidR="0047238B" w:rsidRPr="005115C8" w:rsidRDefault="008E7C09" w:rsidP="005115C8">
      <w:pPr>
        <w:widowControl/>
        <w:spacing w:line="276" w:lineRule="auto"/>
        <w:jc w:val="both"/>
        <w:rPr>
          <w:rFonts w:ascii="Georgia" w:hAnsi="Georgia" w:cs="Arial"/>
        </w:rPr>
      </w:pPr>
      <w:r w:rsidRPr="005115C8">
        <w:rPr>
          <w:rFonts w:ascii="Georgia" w:hAnsi="Georgia" w:cs="Arial"/>
        </w:rPr>
        <w:t>La parte vinculante quedó incólume y a ella se ciñe la verificación del acato.</w:t>
      </w:r>
      <w:r w:rsidR="00165539" w:rsidRPr="005115C8">
        <w:rPr>
          <w:rFonts w:ascii="Georgia" w:hAnsi="Georgia" w:cs="Arial"/>
        </w:rPr>
        <w:t xml:space="preserve"> Corresponde </w:t>
      </w:r>
      <w:r w:rsidR="00F65C68" w:rsidRPr="005115C8">
        <w:rPr>
          <w:rFonts w:ascii="Georgia" w:hAnsi="Georgia" w:cs="Arial"/>
        </w:rPr>
        <w:t xml:space="preserve">a </w:t>
      </w:r>
      <w:r w:rsidR="00E65D2E" w:rsidRPr="005115C8">
        <w:rPr>
          <w:rFonts w:ascii="Georgia" w:hAnsi="Georgia" w:cs="Arial"/>
        </w:rPr>
        <w:t xml:space="preserve">la autoridad accionada tomar las medidas necesarias para </w:t>
      </w:r>
      <w:r w:rsidRPr="005115C8">
        <w:rPr>
          <w:rFonts w:ascii="Georgia" w:hAnsi="Georgia" w:cs="Arial"/>
        </w:rPr>
        <w:t xml:space="preserve">cumplir </w:t>
      </w:r>
      <w:r w:rsidR="00F65C68" w:rsidRPr="005115C8">
        <w:rPr>
          <w:rFonts w:ascii="Georgia" w:hAnsi="Georgia" w:cs="Arial"/>
        </w:rPr>
        <w:t>y si considera necesario adelantar actuaciones frente a terceros, será</w:t>
      </w:r>
      <w:r w:rsidRPr="005115C8">
        <w:rPr>
          <w:rFonts w:ascii="Georgia" w:hAnsi="Georgia" w:cs="Arial"/>
        </w:rPr>
        <w:t>n</w:t>
      </w:r>
      <w:r w:rsidR="00F65C68" w:rsidRPr="005115C8">
        <w:rPr>
          <w:rFonts w:ascii="Georgia" w:hAnsi="Georgia" w:cs="Arial"/>
        </w:rPr>
        <w:t xml:space="preserve"> producto de la comprobación de anomalías que corregir</w:t>
      </w:r>
      <w:r w:rsidRPr="005115C8">
        <w:rPr>
          <w:rFonts w:ascii="Georgia" w:hAnsi="Georgia" w:cs="Arial"/>
        </w:rPr>
        <w:t>á</w:t>
      </w:r>
      <w:r w:rsidR="00F65C68" w:rsidRPr="005115C8">
        <w:rPr>
          <w:rFonts w:ascii="Georgia" w:hAnsi="Georgia" w:cs="Arial"/>
        </w:rPr>
        <w:t xml:space="preserve"> de oficio </w:t>
      </w:r>
      <w:r w:rsidRPr="005115C8">
        <w:rPr>
          <w:rFonts w:ascii="Georgia" w:hAnsi="Georgia" w:cs="Arial"/>
        </w:rPr>
        <w:t>con arreglo a sus competencias legales, en modo alguno, porque el juez de la causa así lo dispuso</w:t>
      </w:r>
      <w:r w:rsidR="00D55BB9" w:rsidRPr="005115C8">
        <w:rPr>
          <w:rFonts w:ascii="Georgia" w:hAnsi="Georgia" w:cs="Arial"/>
        </w:rPr>
        <w:t xml:space="preserve">.    </w:t>
      </w:r>
    </w:p>
    <w:p w14:paraId="2AE4C33B" w14:textId="77777777" w:rsidR="0047238B" w:rsidRPr="005115C8" w:rsidRDefault="0047238B" w:rsidP="005115C8">
      <w:pPr>
        <w:widowControl/>
        <w:spacing w:line="276" w:lineRule="auto"/>
        <w:jc w:val="both"/>
        <w:rPr>
          <w:rFonts w:ascii="Georgia" w:hAnsi="Georgia" w:cs="Arial"/>
        </w:rPr>
      </w:pPr>
    </w:p>
    <w:p w14:paraId="7FF0E807" w14:textId="637A6232" w:rsidR="002F4B28" w:rsidRPr="005115C8" w:rsidRDefault="006879B2" w:rsidP="005115C8">
      <w:pPr>
        <w:pStyle w:val="Textoindependiente"/>
        <w:spacing w:line="276" w:lineRule="auto"/>
        <w:ind w:right="51"/>
        <w:rPr>
          <w:rFonts w:ascii="Georgia" w:hAnsi="Georgia" w:cs="Arial"/>
          <w:szCs w:val="24"/>
          <w:lang w:val="es-CO"/>
        </w:rPr>
      </w:pPr>
      <w:r w:rsidRPr="005115C8">
        <w:rPr>
          <w:rFonts w:ascii="Georgia" w:hAnsi="Georgia" w:cs="Verdana"/>
          <w:spacing w:val="0"/>
          <w:szCs w:val="24"/>
          <w:lang w:val="es-ES"/>
        </w:rPr>
        <w:t xml:space="preserve">Sin duda, imputa una acción inexistente y, en consecuencia, se declarará improcedente el amparo al respecto por falta de hechos. </w:t>
      </w:r>
      <w:r w:rsidR="00F74F29" w:rsidRPr="005115C8">
        <w:rPr>
          <w:rFonts w:ascii="Georgia" w:hAnsi="Georgia" w:cs="Verdana"/>
          <w:spacing w:val="0"/>
          <w:szCs w:val="24"/>
          <w:lang w:val="es-ES"/>
        </w:rPr>
        <w:t xml:space="preserve">Explica </w:t>
      </w:r>
      <w:r w:rsidR="00AE7567" w:rsidRPr="005115C8">
        <w:rPr>
          <w:rFonts w:ascii="Georgia" w:hAnsi="Georgia" w:cs="Verdana"/>
          <w:spacing w:val="0"/>
          <w:szCs w:val="24"/>
          <w:lang w:val="es-ES"/>
        </w:rPr>
        <w:t>la CSJ</w:t>
      </w:r>
      <w:r w:rsidR="00F74F29" w:rsidRPr="005115C8">
        <w:rPr>
          <w:rFonts w:ascii="Georgia" w:hAnsi="Georgia" w:cs="Verdana"/>
          <w:spacing w:val="0"/>
          <w:szCs w:val="24"/>
          <w:lang w:val="es-ES"/>
        </w:rPr>
        <w:t xml:space="preserve"> (2021)</w:t>
      </w:r>
      <w:r w:rsidR="00AE7567" w:rsidRPr="005115C8">
        <w:rPr>
          <w:rStyle w:val="Refdenotaalpie"/>
          <w:rFonts w:ascii="Georgia" w:hAnsi="Georgia"/>
          <w:spacing w:val="0"/>
          <w:szCs w:val="24"/>
          <w:lang w:val="es-ES"/>
        </w:rPr>
        <w:footnoteReference w:id="9"/>
      </w:r>
      <w:r w:rsidR="00AE7567" w:rsidRPr="005115C8">
        <w:rPr>
          <w:rFonts w:ascii="Georgia" w:hAnsi="Georgia" w:cs="Verdana"/>
          <w:spacing w:val="0"/>
          <w:szCs w:val="24"/>
          <w:lang w:val="es-ES"/>
        </w:rPr>
        <w:t xml:space="preserve"> en reciente decisión: </w:t>
      </w:r>
      <w:r w:rsidR="00AE7567" w:rsidRPr="005115C8">
        <w:rPr>
          <w:rFonts w:ascii="Georgia" w:hAnsi="Georgia" w:cs="Verdana"/>
          <w:i/>
          <w:spacing w:val="0"/>
          <w:szCs w:val="24"/>
          <w:lang w:val="es-ES"/>
        </w:rPr>
        <w:t>“</w:t>
      </w:r>
      <w:r w:rsidR="00AE7567" w:rsidRPr="00FE1BFF">
        <w:rPr>
          <w:rFonts w:ascii="Georgia" w:hAnsi="Georgia" w:cs="Verdana"/>
          <w:i/>
          <w:spacing w:val="0"/>
          <w:sz w:val="22"/>
          <w:szCs w:val="24"/>
          <w:lang w:val="es-ES"/>
        </w:rPr>
        <w:t>(…) n</w:t>
      </w:r>
      <w:r w:rsidR="00AE7567" w:rsidRPr="00FE1BFF">
        <w:rPr>
          <w:rFonts w:ascii="Georgia" w:hAnsi="Georgia"/>
          <w:i/>
          <w:sz w:val="22"/>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00AE7567" w:rsidRPr="005115C8">
        <w:rPr>
          <w:rFonts w:ascii="Georgia" w:hAnsi="Georgia"/>
          <w:i/>
          <w:szCs w:val="24"/>
          <w:shd w:val="clear" w:color="auto" w:fill="FFFFFF"/>
        </w:rPr>
        <w:t>”</w:t>
      </w:r>
      <w:r w:rsidR="00AE7567" w:rsidRPr="005115C8">
        <w:rPr>
          <w:rFonts w:ascii="Georgia" w:hAnsi="Georgia"/>
          <w:szCs w:val="24"/>
          <w:shd w:val="clear" w:color="auto" w:fill="FFFFFF"/>
        </w:rPr>
        <w:t xml:space="preserve">. </w:t>
      </w:r>
    </w:p>
    <w:p w14:paraId="6CDE90AE" w14:textId="7378FC3C" w:rsidR="002F4B28" w:rsidRPr="005115C8" w:rsidRDefault="002F4B28" w:rsidP="005115C8">
      <w:pPr>
        <w:pStyle w:val="Textoindependiente"/>
        <w:spacing w:line="276" w:lineRule="auto"/>
        <w:rPr>
          <w:rFonts w:ascii="Georgia" w:hAnsi="Georgia" w:cs="Arial"/>
          <w:szCs w:val="24"/>
          <w:lang w:val="es-CO"/>
        </w:rPr>
      </w:pPr>
    </w:p>
    <w:p w14:paraId="03717E77" w14:textId="42090CA4" w:rsidR="00A25B3E" w:rsidRPr="005115C8" w:rsidRDefault="00A25B3E" w:rsidP="005115C8">
      <w:pPr>
        <w:pStyle w:val="Textoindependiente"/>
        <w:spacing w:line="276" w:lineRule="auto"/>
        <w:rPr>
          <w:rFonts w:ascii="Georgia" w:hAnsi="Georgia" w:cs="Arial"/>
          <w:szCs w:val="24"/>
          <w:lang w:val="es-CO"/>
        </w:rPr>
      </w:pPr>
      <w:r w:rsidRPr="005115C8">
        <w:rPr>
          <w:rFonts w:ascii="Georgia" w:hAnsi="Georgia" w:cs="Arial"/>
          <w:szCs w:val="24"/>
          <w:lang w:val="es-CO"/>
        </w:rPr>
        <w:t>Finalmente, preciso acotar que, según el relato de la accionante</w:t>
      </w:r>
      <w:r w:rsidR="0073626E" w:rsidRPr="005115C8">
        <w:rPr>
          <w:rFonts w:ascii="Georgia" w:hAnsi="Georgia" w:cs="Arial"/>
          <w:szCs w:val="24"/>
          <w:lang w:val="es-CO"/>
        </w:rPr>
        <w:t>,</w:t>
      </w:r>
      <w:r w:rsidRPr="005115C8">
        <w:rPr>
          <w:rFonts w:ascii="Georgia" w:hAnsi="Georgia" w:cs="Arial"/>
          <w:szCs w:val="24"/>
          <w:lang w:val="es-CO"/>
        </w:rPr>
        <w:t xml:space="preserve"> construyó el cuatro piso de su inmueble no obstante la suspensión ordenada por el ente municipal</w:t>
      </w:r>
      <w:r w:rsidR="0073626E" w:rsidRPr="005115C8">
        <w:rPr>
          <w:rFonts w:ascii="Georgia" w:hAnsi="Georgia" w:cs="Arial"/>
          <w:szCs w:val="24"/>
          <w:lang w:val="es-CO"/>
        </w:rPr>
        <w:t xml:space="preserve">, </w:t>
      </w:r>
      <w:r w:rsidRPr="005115C8">
        <w:rPr>
          <w:rFonts w:ascii="Georgia" w:hAnsi="Georgia" w:cs="Arial"/>
          <w:szCs w:val="24"/>
          <w:lang w:val="es-CO"/>
        </w:rPr>
        <w:t xml:space="preserve">por ende, razonable es que </w:t>
      </w:r>
      <w:r w:rsidR="00165539" w:rsidRPr="005115C8">
        <w:rPr>
          <w:rFonts w:ascii="Georgia" w:hAnsi="Georgia" w:cs="Arial"/>
          <w:szCs w:val="24"/>
          <w:lang w:val="es-CO"/>
        </w:rPr>
        <w:t xml:space="preserve">se </w:t>
      </w:r>
      <w:r w:rsidR="0073626E" w:rsidRPr="005115C8">
        <w:rPr>
          <w:rFonts w:ascii="Georgia" w:hAnsi="Georgia" w:cs="Arial"/>
          <w:szCs w:val="24"/>
          <w:lang w:val="es-CO"/>
        </w:rPr>
        <w:t>haya</w:t>
      </w:r>
      <w:r w:rsidR="00165539" w:rsidRPr="005115C8">
        <w:rPr>
          <w:rFonts w:ascii="Georgia" w:hAnsi="Georgia" w:cs="Arial"/>
          <w:szCs w:val="24"/>
          <w:lang w:val="es-CO"/>
        </w:rPr>
        <w:t>n</w:t>
      </w:r>
      <w:r w:rsidR="0073626E" w:rsidRPr="005115C8">
        <w:rPr>
          <w:rFonts w:ascii="Georgia" w:hAnsi="Georgia" w:cs="Arial"/>
          <w:szCs w:val="24"/>
          <w:lang w:val="es-CO"/>
        </w:rPr>
        <w:t xml:space="preserve"> remitido las diligencias a </w:t>
      </w:r>
      <w:r w:rsidRPr="005115C8">
        <w:rPr>
          <w:rFonts w:ascii="Georgia" w:hAnsi="Georgia" w:cs="Arial"/>
          <w:szCs w:val="24"/>
          <w:lang w:val="es-CO"/>
        </w:rPr>
        <w:t xml:space="preserve">la Inspección de Policía </w:t>
      </w:r>
      <w:r w:rsidR="0073626E" w:rsidRPr="005115C8">
        <w:rPr>
          <w:rFonts w:ascii="Georgia" w:hAnsi="Georgia" w:cs="Arial"/>
          <w:szCs w:val="24"/>
          <w:lang w:val="es-CO"/>
        </w:rPr>
        <w:t xml:space="preserve">para que </w:t>
      </w:r>
      <w:r w:rsidRPr="005115C8">
        <w:rPr>
          <w:rFonts w:ascii="Georgia" w:hAnsi="Georgia" w:cs="Arial"/>
          <w:szCs w:val="24"/>
          <w:lang w:val="es-CO"/>
        </w:rPr>
        <w:t xml:space="preserve">adelante el trámite verbal respectivo. Inviable entonces </w:t>
      </w:r>
      <w:r w:rsidR="0073626E" w:rsidRPr="005115C8">
        <w:rPr>
          <w:rFonts w:ascii="Georgia" w:hAnsi="Georgia" w:cs="Arial"/>
          <w:szCs w:val="24"/>
          <w:lang w:val="es-CO"/>
        </w:rPr>
        <w:t xml:space="preserve">concluir </w:t>
      </w:r>
      <w:r w:rsidRPr="005115C8">
        <w:rPr>
          <w:rFonts w:ascii="Georgia" w:hAnsi="Georgia" w:cs="Arial"/>
          <w:szCs w:val="24"/>
          <w:lang w:val="es-CO"/>
        </w:rPr>
        <w:t xml:space="preserve">que </w:t>
      </w:r>
      <w:r w:rsidR="0073626E" w:rsidRPr="005115C8">
        <w:rPr>
          <w:rFonts w:ascii="Georgia" w:hAnsi="Georgia" w:cs="Arial"/>
          <w:szCs w:val="24"/>
          <w:lang w:val="es-CO"/>
        </w:rPr>
        <w:t>tal determinación tuvo origen exclusivo en las actividades hechas por la autoridad con miras a cumplir el fallo de tutela</w:t>
      </w:r>
      <w:r w:rsidRPr="005115C8">
        <w:rPr>
          <w:rFonts w:ascii="Georgia" w:hAnsi="Georgia" w:cs="Arial"/>
          <w:szCs w:val="24"/>
          <w:lang w:val="es-CO"/>
        </w:rPr>
        <w:t xml:space="preserve">, </w:t>
      </w:r>
      <w:r w:rsidR="0073626E" w:rsidRPr="005115C8">
        <w:rPr>
          <w:rFonts w:ascii="Georgia" w:hAnsi="Georgia" w:cs="Arial"/>
          <w:szCs w:val="24"/>
          <w:lang w:val="es-CO"/>
        </w:rPr>
        <w:t xml:space="preserve">sino también y, en mayor medida, </w:t>
      </w:r>
      <w:r w:rsidRPr="005115C8">
        <w:rPr>
          <w:rFonts w:ascii="Georgia" w:hAnsi="Georgia" w:cs="Arial"/>
          <w:szCs w:val="24"/>
          <w:lang w:val="es-CO"/>
        </w:rPr>
        <w:t xml:space="preserve">en </w:t>
      </w:r>
      <w:r w:rsidR="0073626E" w:rsidRPr="005115C8">
        <w:rPr>
          <w:rFonts w:ascii="Georgia" w:hAnsi="Georgia" w:cs="Arial"/>
          <w:szCs w:val="24"/>
          <w:lang w:val="es-CO"/>
        </w:rPr>
        <w:t xml:space="preserve">la </w:t>
      </w:r>
      <w:r w:rsidRPr="005115C8">
        <w:rPr>
          <w:rFonts w:ascii="Georgia" w:hAnsi="Georgia" w:cs="Arial"/>
          <w:szCs w:val="24"/>
          <w:lang w:val="es-CO"/>
        </w:rPr>
        <w:t>deliberada desatención de la orden administrativa.</w:t>
      </w:r>
    </w:p>
    <w:p w14:paraId="7036C106" w14:textId="77777777" w:rsidR="00165539" w:rsidRPr="005115C8" w:rsidRDefault="00165539" w:rsidP="005115C8">
      <w:pPr>
        <w:pStyle w:val="Textoindependiente"/>
        <w:spacing w:line="276" w:lineRule="auto"/>
        <w:rPr>
          <w:rFonts w:ascii="Georgia" w:hAnsi="Georgia" w:cs="Arial"/>
          <w:szCs w:val="24"/>
          <w:lang w:val="es-CO"/>
        </w:rPr>
      </w:pPr>
    </w:p>
    <w:p w14:paraId="44C25814" w14:textId="731D5F3A" w:rsidR="006E3281" w:rsidRPr="005115C8" w:rsidRDefault="00EB2A2C" w:rsidP="005115C8">
      <w:pPr>
        <w:pStyle w:val="Textoindependiente"/>
        <w:spacing w:line="276" w:lineRule="auto"/>
        <w:rPr>
          <w:rFonts w:ascii="Georgia" w:hAnsi="Georgia" w:cs="Arial"/>
          <w:szCs w:val="24"/>
        </w:rPr>
      </w:pPr>
      <w:r w:rsidRPr="005115C8">
        <w:rPr>
          <w:rFonts w:ascii="Georgia" w:hAnsi="Georgia" w:cs="Arial"/>
          <w:szCs w:val="24"/>
        </w:rPr>
        <w:t>En mérito de lo expuesto</w:t>
      </w:r>
      <w:r w:rsidR="006E3281" w:rsidRPr="005115C8">
        <w:rPr>
          <w:rFonts w:ascii="Georgia" w:hAnsi="Georgia" w:cs="Arial"/>
          <w:szCs w:val="24"/>
        </w:rPr>
        <w:t>,</w:t>
      </w:r>
      <w:r w:rsidR="00C15D5F" w:rsidRPr="005115C8">
        <w:rPr>
          <w:rFonts w:ascii="Georgia" w:hAnsi="Georgia" w:cs="Arial"/>
          <w:szCs w:val="24"/>
        </w:rPr>
        <w:t xml:space="preserve"> </w:t>
      </w:r>
      <w:r w:rsidR="006E3281" w:rsidRPr="005115C8">
        <w:rPr>
          <w:rFonts w:ascii="Georgia" w:hAnsi="Georgia" w:cs="Arial"/>
          <w:szCs w:val="24"/>
        </w:rPr>
        <w:t xml:space="preserve">el </w:t>
      </w:r>
      <w:r w:rsidR="006E3281" w:rsidRPr="005115C8">
        <w:rPr>
          <w:rFonts w:ascii="Georgia" w:hAnsi="Georgia" w:cs="Arial"/>
          <w:smallCaps/>
          <w:szCs w:val="24"/>
        </w:rPr>
        <w:t>Tribunal Superior del Distrito Judicial de</w:t>
      </w:r>
      <w:r w:rsidRPr="005115C8">
        <w:rPr>
          <w:rFonts w:ascii="Georgia" w:hAnsi="Georgia" w:cs="Arial"/>
          <w:smallCaps/>
          <w:szCs w:val="24"/>
        </w:rPr>
        <w:t xml:space="preserve"> </w:t>
      </w:r>
      <w:r w:rsidR="006E3281" w:rsidRPr="005115C8">
        <w:rPr>
          <w:rFonts w:ascii="Georgia" w:hAnsi="Georgia" w:cs="Arial"/>
          <w:smallCaps/>
          <w:szCs w:val="24"/>
        </w:rPr>
        <w:t>Pereira, Sala de Decisión Civil</w:t>
      </w:r>
      <w:r w:rsidR="00F748EB" w:rsidRPr="005115C8">
        <w:rPr>
          <w:rFonts w:ascii="Georgia" w:hAnsi="Georgia" w:cs="Arial"/>
          <w:smallCaps/>
          <w:szCs w:val="24"/>
        </w:rPr>
        <w:t xml:space="preserve"> </w:t>
      </w:r>
      <w:r w:rsidR="006E3281" w:rsidRPr="005115C8">
        <w:rPr>
          <w:rFonts w:ascii="Georgia" w:hAnsi="Georgia" w:cs="Arial"/>
          <w:smallCaps/>
          <w:szCs w:val="24"/>
        </w:rPr>
        <w:t>-</w:t>
      </w:r>
      <w:r w:rsidR="00F748EB" w:rsidRPr="005115C8">
        <w:rPr>
          <w:rFonts w:ascii="Georgia" w:hAnsi="Georgia" w:cs="Arial"/>
          <w:smallCaps/>
          <w:szCs w:val="24"/>
        </w:rPr>
        <w:t xml:space="preserve"> </w:t>
      </w:r>
      <w:r w:rsidR="006E3281" w:rsidRPr="005115C8">
        <w:rPr>
          <w:rFonts w:ascii="Georgia" w:hAnsi="Georgia" w:cs="Arial"/>
          <w:smallCaps/>
          <w:szCs w:val="24"/>
        </w:rPr>
        <w:t>Familia</w:t>
      </w:r>
      <w:r w:rsidR="006E3281" w:rsidRPr="005115C8">
        <w:rPr>
          <w:rFonts w:ascii="Georgia" w:hAnsi="Georgia" w:cs="Arial"/>
          <w:szCs w:val="24"/>
        </w:rPr>
        <w:t>, administrando Justicia, en nombre de la República y por autoridad de la Ley,</w:t>
      </w:r>
    </w:p>
    <w:p w14:paraId="30841054" w14:textId="77777777" w:rsidR="00EB2A2C" w:rsidRPr="005115C8" w:rsidRDefault="00EB2A2C" w:rsidP="005115C8">
      <w:pPr>
        <w:pStyle w:val="Textoindependiente"/>
        <w:spacing w:line="276" w:lineRule="auto"/>
        <w:jc w:val="center"/>
        <w:rPr>
          <w:rFonts w:ascii="Georgia" w:hAnsi="Georgia" w:cs="Arial"/>
          <w:bCs/>
          <w:smallCaps/>
          <w:szCs w:val="24"/>
        </w:rPr>
      </w:pPr>
    </w:p>
    <w:p w14:paraId="67CBDF2C" w14:textId="4AD6E10A" w:rsidR="006E3281" w:rsidRPr="005115C8" w:rsidRDefault="006E3281" w:rsidP="005115C8">
      <w:pPr>
        <w:pStyle w:val="Textoindependiente"/>
        <w:spacing w:line="276" w:lineRule="auto"/>
        <w:jc w:val="center"/>
        <w:rPr>
          <w:rFonts w:ascii="Georgia" w:hAnsi="Georgia" w:cs="Arial"/>
          <w:bCs/>
          <w:smallCaps/>
          <w:szCs w:val="24"/>
        </w:rPr>
      </w:pPr>
      <w:r w:rsidRPr="005115C8">
        <w:rPr>
          <w:rFonts w:ascii="Georgia" w:hAnsi="Georgia" w:cs="Arial"/>
          <w:bCs/>
          <w:smallCaps/>
          <w:szCs w:val="24"/>
        </w:rPr>
        <w:t xml:space="preserve">F A L </w:t>
      </w:r>
      <w:proofErr w:type="spellStart"/>
      <w:r w:rsidRPr="005115C8">
        <w:rPr>
          <w:rFonts w:ascii="Georgia" w:hAnsi="Georgia" w:cs="Arial"/>
          <w:bCs/>
          <w:smallCaps/>
          <w:szCs w:val="24"/>
        </w:rPr>
        <w:t>L</w:t>
      </w:r>
      <w:proofErr w:type="spellEnd"/>
      <w:r w:rsidRPr="005115C8">
        <w:rPr>
          <w:rFonts w:ascii="Georgia" w:hAnsi="Georgia" w:cs="Arial"/>
          <w:bCs/>
          <w:smallCaps/>
          <w:szCs w:val="24"/>
        </w:rPr>
        <w:t xml:space="preserve"> A,</w:t>
      </w:r>
    </w:p>
    <w:p w14:paraId="2E8C832D" w14:textId="77777777" w:rsidR="00647FE1" w:rsidRPr="005115C8" w:rsidRDefault="00647FE1" w:rsidP="005115C8">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26344F4D" w14:textId="4DEC8C47" w:rsidR="006879B2" w:rsidRPr="005115C8" w:rsidRDefault="006879B2" w:rsidP="005115C8">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5115C8">
        <w:rPr>
          <w:rFonts w:ascii="Georgia" w:hAnsi="Georgia" w:cs="Arial"/>
        </w:rPr>
        <w:t xml:space="preserve">NEGAR la tutela propuesta por la señora </w:t>
      </w:r>
      <w:r w:rsidRPr="005115C8">
        <w:rPr>
          <w:rFonts w:ascii="Georgia" w:hAnsi="Georgia" w:cs="Arial"/>
          <w:lang w:val="es-CO"/>
        </w:rPr>
        <w:t xml:space="preserve">María Elena Vinasco U. </w:t>
      </w:r>
      <w:r w:rsidRPr="005115C8">
        <w:rPr>
          <w:rFonts w:ascii="Georgia" w:hAnsi="Georgia" w:cs="Arial"/>
        </w:rPr>
        <w:t>contra los Juzgados Promiscuos Municipal y del Circuito de Quinchía, en lo que concierne a la falta de vinculación como tercera interesada en la tutela radicada al No.2019-00031.</w:t>
      </w:r>
    </w:p>
    <w:p w14:paraId="0AFAD22D" w14:textId="77777777" w:rsidR="006879B2" w:rsidRPr="005115C8" w:rsidRDefault="006879B2" w:rsidP="005115C8">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55995C64" w14:textId="52F9EDC3" w:rsidR="002F4B28" w:rsidRPr="005115C8" w:rsidRDefault="00BF72EF" w:rsidP="005115C8">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5115C8">
        <w:rPr>
          <w:rFonts w:ascii="Georgia" w:hAnsi="Georgia" w:cs="Arial"/>
        </w:rPr>
        <w:t xml:space="preserve">DECLARAR improcedente </w:t>
      </w:r>
      <w:r w:rsidR="006879B2" w:rsidRPr="005115C8">
        <w:rPr>
          <w:rFonts w:ascii="Georgia" w:hAnsi="Georgia" w:cs="Arial"/>
        </w:rPr>
        <w:t xml:space="preserve">el amparo frente a los mentados despachos judiciales, respecto a la </w:t>
      </w:r>
      <w:r w:rsidR="00A25B3E" w:rsidRPr="005115C8">
        <w:rPr>
          <w:rFonts w:ascii="Georgia" w:hAnsi="Georgia" w:cs="Arial"/>
        </w:rPr>
        <w:t xml:space="preserve">orden de conceder licencia urbanística al señor </w:t>
      </w:r>
      <w:r w:rsidR="00A25B3E" w:rsidRPr="005115C8">
        <w:rPr>
          <w:rFonts w:ascii="Georgia" w:hAnsi="Georgia" w:cs="Arial"/>
          <w:lang w:val="es-CO"/>
        </w:rPr>
        <w:t>José Orlando García M. o, en su defecto, disponer la demolición del inmueble de la señora Vinasco Uribe, por ausencia fáctica</w:t>
      </w:r>
      <w:r w:rsidR="000A5E3F" w:rsidRPr="005115C8">
        <w:rPr>
          <w:rFonts w:ascii="Georgia" w:hAnsi="Georgia" w:cs="Arial"/>
        </w:rPr>
        <w:t>.</w:t>
      </w:r>
    </w:p>
    <w:p w14:paraId="2BE3F3C8" w14:textId="77777777" w:rsidR="002F4B28" w:rsidRPr="005115C8" w:rsidRDefault="002F4B28" w:rsidP="005115C8">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1086371" w14:textId="2B06F537" w:rsidR="002F4B28" w:rsidRPr="005115C8" w:rsidRDefault="002F4B28" w:rsidP="005115C8">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5115C8">
        <w:rPr>
          <w:rFonts w:ascii="Georgia" w:hAnsi="Georgia" w:cs="Arial"/>
        </w:rPr>
        <w:t xml:space="preserve">LEVANTAR la medida provisional decretada con auto del </w:t>
      </w:r>
      <w:r w:rsidR="00A25B3E" w:rsidRPr="005115C8">
        <w:rPr>
          <w:rFonts w:ascii="Georgia" w:hAnsi="Georgia" w:cs="Arial"/>
        </w:rPr>
        <w:t>25</w:t>
      </w:r>
      <w:r w:rsidRPr="005115C8">
        <w:rPr>
          <w:rFonts w:ascii="Georgia" w:hAnsi="Georgia" w:cs="Arial"/>
        </w:rPr>
        <w:t>-02-2022.</w:t>
      </w:r>
    </w:p>
    <w:p w14:paraId="472F6A28" w14:textId="77777777" w:rsidR="002F4B28" w:rsidRPr="005115C8" w:rsidRDefault="002F4B28" w:rsidP="005115C8">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5ECD3F93" w:rsidR="008A7662" w:rsidRPr="005115C8" w:rsidRDefault="006E3281" w:rsidP="005115C8">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5115C8">
        <w:rPr>
          <w:rFonts w:ascii="Georgia" w:hAnsi="Georgia" w:cs="Arial"/>
          <w:spacing w:val="-3"/>
          <w:lang w:val="es-ES_tradnl"/>
        </w:rPr>
        <w:t xml:space="preserve">REMITIR este expediente, a la </w:t>
      </w:r>
      <w:r w:rsidR="00730B2F" w:rsidRPr="005115C8">
        <w:rPr>
          <w:rFonts w:ascii="Georgia" w:hAnsi="Georgia" w:cs="Arial"/>
          <w:spacing w:val="-3"/>
          <w:lang w:val="es-ES_tradnl"/>
        </w:rPr>
        <w:t>CC</w:t>
      </w:r>
      <w:r w:rsidRPr="005115C8">
        <w:rPr>
          <w:rFonts w:ascii="Georgia" w:hAnsi="Georgia" w:cs="Arial"/>
          <w:spacing w:val="-3"/>
          <w:lang w:val="es-ES_tradnl"/>
        </w:rPr>
        <w:t xml:space="preserve"> para su eventual revisión.</w:t>
      </w:r>
    </w:p>
    <w:p w14:paraId="030CD15C" w14:textId="77777777" w:rsidR="002F4B28" w:rsidRPr="005115C8" w:rsidRDefault="002F4B28" w:rsidP="005115C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5115C8" w:rsidRDefault="001F4C1B" w:rsidP="005115C8">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5115C8">
        <w:rPr>
          <w:rFonts w:ascii="Georgia" w:hAnsi="Georgia" w:cs="Arial"/>
          <w:spacing w:val="-3"/>
          <w:lang w:val="es-ES_tradnl"/>
        </w:rPr>
        <w:t>ORDENAR el archivo del expediente, surtidos los trámites anteriores.</w:t>
      </w:r>
    </w:p>
    <w:p w14:paraId="279C574D" w14:textId="77777777" w:rsidR="00D63926" w:rsidRPr="005115C8" w:rsidRDefault="00D63926" w:rsidP="005115C8">
      <w:pPr>
        <w:pStyle w:val="Textoindependiente"/>
        <w:spacing w:line="276" w:lineRule="auto"/>
        <w:jc w:val="center"/>
        <w:rPr>
          <w:rFonts w:ascii="Georgia" w:hAnsi="Georgia" w:cs="Arial"/>
          <w:smallCaps/>
          <w:szCs w:val="24"/>
          <w:lang w:val="es-CO"/>
        </w:rPr>
      </w:pPr>
    </w:p>
    <w:p w14:paraId="72F7621E" w14:textId="77777777" w:rsidR="00A00C76" w:rsidRPr="00A00C76" w:rsidRDefault="00A00C76" w:rsidP="00A00C76">
      <w:pPr>
        <w:overflowPunct w:val="0"/>
        <w:spacing w:line="276" w:lineRule="auto"/>
        <w:jc w:val="center"/>
        <w:rPr>
          <w:rFonts w:ascii="Georgia" w:hAnsi="Georgia" w:cs="Arial"/>
          <w:bCs/>
          <w:smallCaps/>
          <w:kern w:val="28"/>
        </w:rPr>
      </w:pPr>
      <w:r w:rsidRPr="00A00C76">
        <w:rPr>
          <w:rFonts w:ascii="Georgia" w:hAnsi="Georgia" w:cs="Arial"/>
          <w:bCs/>
          <w:smallCaps/>
          <w:kern w:val="28"/>
        </w:rPr>
        <w:t>Notifíquese,</w:t>
      </w:r>
    </w:p>
    <w:p w14:paraId="177C0F5D" w14:textId="77777777" w:rsidR="00A00C76" w:rsidRPr="00A00C76" w:rsidRDefault="00A00C76" w:rsidP="00A00C76">
      <w:pPr>
        <w:widowControl/>
        <w:overflowPunct w:val="0"/>
        <w:spacing w:line="276" w:lineRule="auto"/>
        <w:jc w:val="center"/>
        <w:textAlignment w:val="baseline"/>
        <w:rPr>
          <w:rFonts w:ascii="Georgia" w:hAnsi="Georgia" w:cs="Arial"/>
          <w:bCs/>
          <w:caps/>
          <w:w w:val="150"/>
          <w:szCs w:val="18"/>
          <w:lang w:val="es-MX"/>
        </w:rPr>
      </w:pPr>
      <w:bookmarkStart w:id="5" w:name="_Hlk76974190"/>
    </w:p>
    <w:p w14:paraId="0D661D02" w14:textId="77777777" w:rsidR="00A00C76" w:rsidRPr="00A00C76" w:rsidRDefault="00A00C76" w:rsidP="00A00C76">
      <w:pPr>
        <w:widowControl/>
        <w:overflowPunct w:val="0"/>
        <w:spacing w:line="276" w:lineRule="auto"/>
        <w:jc w:val="center"/>
        <w:textAlignment w:val="baseline"/>
        <w:rPr>
          <w:rFonts w:ascii="Georgia" w:hAnsi="Georgia" w:cs="Arial"/>
          <w:bCs/>
          <w:caps/>
          <w:w w:val="150"/>
          <w:szCs w:val="18"/>
          <w:lang w:val="es-MX"/>
        </w:rPr>
      </w:pPr>
    </w:p>
    <w:p w14:paraId="21738E60" w14:textId="77777777" w:rsidR="00A00C76" w:rsidRPr="00A00C76" w:rsidRDefault="00A00C76" w:rsidP="00A00C76">
      <w:pPr>
        <w:widowControl/>
        <w:overflowPunct w:val="0"/>
        <w:spacing w:line="276" w:lineRule="auto"/>
        <w:jc w:val="center"/>
        <w:textAlignment w:val="baseline"/>
        <w:rPr>
          <w:rFonts w:ascii="Georgia" w:hAnsi="Georgia" w:cs="Arial"/>
          <w:bCs/>
          <w:caps/>
          <w:w w:val="150"/>
          <w:szCs w:val="18"/>
          <w:lang w:val="es-MX"/>
        </w:rPr>
      </w:pPr>
    </w:p>
    <w:p w14:paraId="6929B8A3" w14:textId="77777777" w:rsidR="00A00C76" w:rsidRPr="00A00C76" w:rsidRDefault="00A00C76" w:rsidP="00A00C76">
      <w:pPr>
        <w:widowControl/>
        <w:overflowPunct w:val="0"/>
        <w:spacing w:line="276" w:lineRule="auto"/>
        <w:jc w:val="center"/>
        <w:textAlignment w:val="baseline"/>
        <w:rPr>
          <w:rFonts w:ascii="Georgia" w:hAnsi="Georgia" w:cs="Arial"/>
          <w:b/>
          <w:bCs/>
          <w:caps/>
          <w:spacing w:val="20"/>
          <w:w w:val="150"/>
          <w:sz w:val="22"/>
          <w:szCs w:val="18"/>
          <w:lang w:val="es-MX"/>
        </w:rPr>
      </w:pPr>
      <w:r w:rsidRPr="00A00C76">
        <w:rPr>
          <w:rFonts w:ascii="Georgia" w:hAnsi="Georgia" w:cs="Arial"/>
          <w:b/>
          <w:bCs/>
          <w:caps/>
          <w:spacing w:val="20"/>
          <w:w w:val="150"/>
          <w:szCs w:val="18"/>
          <w:lang w:val="es-MX"/>
        </w:rPr>
        <w:t>D</w:t>
      </w:r>
      <w:r w:rsidRPr="00A00C76">
        <w:rPr>
          <w:rFonts w:ascii="Georgia" w:hAnsi="Georgia" w:cs="Arial"/>
          <w:b/>
          <w:bCs/>
          <w:caps/>
          <w:spacing w:val="20"/>
          <w:w w:val="150"/>
          <w:sz w:val="16"/>
          <w:szCs w:val="18"/>
          <w:lang w:val="es-MX"/>
        </w:rPr>
        <w:t>UBERNEY</w:t>
      </w:r>
      <w:r w:rsidRPr="00A00C76">
        <w:rPr>
          <w:rFonts w:ascii="Georgia" w:hAnsi="Georgia" w:cs="Arial"/>
          <w:b/>
          <w:bCs/>
          <w:caps/>
          <w:spacing w:val="20"/>
          <w:w w:val="150"/>
          <w:sz w:val="20"/>
          <w:szCs w:val="18"/>
          <w:lang w:val="es-MX"/>
        </w:rPr>
        <w:t xml:space="preserve"> </w:t>
      </w:r>
      <w:r w:rsidRPr="00A00C76">
        <w:rPr>
          <w:rFonts w:ascii="Georgia" w:hAnsi="Georgia" w:cs="Arial"/>
          <w:b/>
          <w:bCs/>
          <w:caps/>
          <w:spacing w:val="20"/>
          <w:w w:val="150"/>
          <w:szCs w:val="18"/>
          <w:lang w:val="es-MX"/>
        </w:rPr>
        <w:t>G</w:t>
      </w:r>
      <w:r w:rsidRPr="00A00C76">
        <w:rPr>
          <w:rFonts w:ascii="Georgia" w:hAnsi="Georgia" w:cs="Arial"/>
          <w:b/>
          <w:bCs/>
          <w:caps/>
          <w:spacing w:val="20"/>
          <w:w w:val="150"/>
          <w:sz w:val="16"/>
          <w:szCs w:val="18"/>
          <w:lang w:val="es-MX"/>
        </w:rPr>
        <w:t>RISALES</w:t>
      </w:r>
      <w:r w:rsidRPr="00A00C76">
        <w:rPr>
          <w:rFonts w:ascii="Georgia" w:hAnsi="Georgia" w:cs="Arial"/>
          <w:b/>
          <w:bCs/>
          <w:caps/>
          <w:spacing w:val="20"/>
          <w:w w:val="150"/>
          <w:sz w:val="20"/>
          <w:szCs w:val="18"/>
          <w:lang w:val="es-MX"/>
        </w:rPr>
        <w:t xml:space="preserve"> </w:t>
      </w:r>
      <w:r w:rsidRPr="00A00C76">
        <w:rPr>
          <w:rFonts w:ascii="Georgia" w:hAnsi="Georgia" w:cs="Arial"/>
          <w:b/>
          <w:bCs/>
          <w:caps/>
          <w:spacing w:val="20"/>
          <w:w w:val="150"/>
          <w:szCs w:val="18"/>
          <w:lang w:val="es-MX"/>
        </w:rPr>
        <w:t>H</w:t>
      </w:r>
      <w:r w:rsidRPr="00A00C76">
        <w:rPr>
          <w:rFonts w:ascii="Georgia" w:hAnsi="Georgia" w:cs="Arial"/>
          <w:b/>
          <w:bCs/>
          <w:caps/>
          <w:spacing w:val="20"/>
          <w:w w:val="150"/>
          <w:sz w:val="16"/>
          <w:szCs w:val="18"/>
          <w:lang w:val="es-MX"/>
        </w:rPr>
        <w:t>ERRERA</w:t>
      </w:r>
    </w:p>
    <w:p w14:paraId="009D3529" w14:textId="77777777" w:rsidR="00A00C76" w:rsidRPr="00A00C76" w:rsidRDefault="00A00C76" w:rsidP="00A00C7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A00C76">
        <w:rPr>
          <w:rFonts w:ascii="Georgia" w:hAnsi="Georgia" w:cs="Arial"/>
          <w:bCs/>
          <w:caps/>
          <w:spacing w:val="20"/>
          <w:w w:val="150"/>
          <w:kern w:val="28"/>
          <w:sz w:val="28"/>
          <w:szCs w:val="22"/>
        </w:rPr>
        <w:t>M</w:t>
      </w:r>
      <w:r w:rsidRPr="00A00C76">
        <w:rPr>
          <w:rFonts w:ascii="Georgia" w:hAnsi="Georgia" w:cs="Arial"/>
          <w:bCs/>
          <w:caps/>
          <w:spacing w:val="20"/>
          <w:w w:val="150"/>
          <w:kern w:val="28"/>
          <w:sz w:val="18"/>
          <w:szCs w:val="18"/>
        </w:rPr>
        <w:t>agistrado</w:t>
      </w:r>
    </w:p>
    <w:p w14:paraId="2A0D279C" w14:textId="77777777" w:rsidR="00A00C76" w:rsidRPr="00A00C76" w:rsidRDefault="00A00C76" w:rsidP="00A00C76">
      <w:pPr>
        <w:widowControl/>
        <w:overflowPunct w:val="0"/>
        <w:spacing w:line="276" w:lineRule="auto"/>
        <w:textAlignment w:val="baseline"/>
        <w:rPr>
          <w:rFonts w:ascii="Georgia" w:hAnsi="Georgia" w:cs="Arial"/>
          <w:caps/>
          <w:spacing w:val="20"/>
          <w:w w:val="150"/>
          <w:szCs w:val="28"/>
          <w:lang w:val="es-MX"/>
        </w:rPr>
      </w:pPr>
    </w:p>
    <w:p w14:paraId="55B54A9D" w14:textId="77777777" w:rsidR="00A00C76" w:rsidRPr="00A00C76" w:rsidRDefault="00A00C76" w:rsidP="00A00C76">
      <w:pPr>
        <w:widowControl/>
        <w:overflowPunct w:val="0"/>
        <w:spacing w:line="276" w:lineRule="auto"/>
        <w:textAlignment w:val="baseline"/>
        <w:rPr>
          <w:rFonts w:ascii="Georgia" w:hAnsi="Georgia" w:cs="Arial"/>
          <w:caps/>
          <w:spacing w:val="20"/>
          <w:w w:val="150"/>
          <w:szCs w:val="28"/>
          <w:lang w:val="es-MX"/>
        </w:rPr>
      </w:pPr>
    </w:p>
    <w:p w14:paraId="26FC3E31" w14:textId="77777777" w:rsidR="00A00C76" w:rsidRPr="00A00C76" w:rsidRDefault="00A00C76" w:rsidP="00A00C76">
      <w:pPr>
        <w:widowControl/>
        <w:overflowPunct w:val="0"/>
        <w:spacing w:line="276" w:lineRule="auto"/>
        <w:textAlignment w:val="baseline"/>
        <w:rPr>
          <w:rFonts w:ascii="Georgia" w:hAnsi="Georgia" w:cs="Arial"/>
          <w:caps/>
          <w:spacing w:val="20"/>
          <w:w w:val="150"/>
          <w:szCs w:val="28"/>
          <w:lang w:val="es-MX"/>
        </w:rPr>
      </w:pPr>
    </w:p>
    <w:p w14:paraId="35EAB52B" w14:textId="77777777" w:rsidR="00A00C76" w:rsidRPr="00A00C76" w:rsidRDefault="00A00C76" w:rsidP="00A00C76">
      <w:pPr>
        <w:widowControl/>
        <w:overflowPunct w:val="0"/>
        <w:spacing w:line="276" w:lineRule="auto"/>
        <w:textAlignment w:val="baseline"/>
        <w:rPr>
          <w:rFonts w:ascii="Georgia" w:hAnsi="Georgia" w:cs="Arial"/>
          <w:b/>
          <w:caps/>
          <w:spacing w:val="20"/>
          <w:w w:val="150"/>
          <w:sz w:val="16"/>
          <w:szCs w:val="18"/>
          <w:lang w:val="es-MX"/>
        </w:rPr>
      </w:pPr>
      <w:r w:rsidRPr="00A00C76">
        <w:rPr>
          <w:rFonts w:ascii="Georgia" w:hAnsi="Georgia" w:cs="Arial"/>
          <w:b/>
          <w:caps/>
          <w:spacing w:val="20"/>
          <w:w w:val="150"/>
          <w:szCs w:val="28"/>
          <w:lang w:val="es-MX"/>
        </w:rPr>
        <w:t>E</w:t>
      </w:r>
      <w:r w:rsidRPr="00A00C76">
        <w:rPr>
          <w:rFonts w:ascii="Georgia" w:hAnsi="Georgia" w:cs="Arial"/>
          <w:b/>
          <w:caps/>
          <w:spacing w:val="20"/>
          <w:w w:val="150"/>
          <w:sz w:val="16"/>
          <w:szCs w:val="18"/>
          <w:lang w:val="es-MX"/>
        </w:rPr>
        <w:t xml:space="preserve">DDER </w:t>
      </w:r>
      <w:r w:rsidRPr="00A00C76">
        <w:rPr>
          <w:rFonts w:ascii="Georgia" w:hAnsi="Georgia" w:cs="Arial"/>
          <w:b/>
          <w:caps/>
          <w:spacing w:val="20"/>
          <w:w w:val="150"/>
          <w:szCs w:val="28"/>
          <w:lang w:val="es-MX"/>
        </w:rPr>
        <w:t>J</w:t>
      </w:r>
      <w:r w:rsidRPr="00A00C76">
        <w:rPr>
          <w:rFonts w:ascii="Georgia" w:hAnsi="Georgia" w:cs="Arial"/>
          <w:b/>
          <w:caps/>
          <w:spacing w:val="20"/>
          <w:w w:val="150"/>
          <w:sz w:val="16"/>
          <w:szCs w:val="18"/>
          <w:lang w:val="es-MX"/>
        </w:rPr>
        <w:t xml:space="preserve">. </w:t>
      </w:r>
      <w:r w:rsidRPr="00A00C76">
        <w:rPr>
          <w:rFonts w:ascii="Georgia" w:hAnsi="Georgia" w:cs="Arial"/>
          <w:b/>
          <w:caps/>
          <w:spacing w:val="20"/>
          <w:w w:val="150"/>
          <w:szCs w:val="28"/>
          <w:lang w:val="es-MX"/>
        </w:rPr>
        <w:t>S</w:t>
      </w:r>
      <w:r w:rsidRPr="00A00C76">
        <w:rPr>
          <w:rFonts w:ascii="Georgia" w:hAnsi="Georgia" w:cs="Arial"/>
          <w:b/>
          <w:caps/>
          <w:spacing w:val="20"/>
          <w:w w:val="150"/>
          <w:sz w:val="16"/>
          <w:szCs w:val="18"/>
          <w:lang w:val="es-MX"/>
        </w:rPr>
        <w:t xml:space="preserve">ÁNCHEZ </w:t>
      </w:r>
      <w:r w:rsidRPr="00A00C76">
        <w:rPr>
          <w:rFonts w:ascii="Georgia" w:hAnsi="Georgia" w:cs="Arial"/>
          <w:b/>
          <w:caps/>
          <w:spacing w:val="20"/>
          <w:w w:val="150"/>
          <w:szCs w:val="28"/>
          <w:lang w:val="es-MX"/>
        </w:rPr>
        <w:t>C</w:t>
      </w:r>
      <w:r w:rsidRPr="00A00C76">
        <w:rPr>
          <w:rFonts w:ascii="Georgia" w:hAnsi="Georgia" w:cs="Arial"/>
          <w:b/>
          <w:caps/>
          <w:spacing w:val="20"/>
          <w:w w:val="150"/>
          <w:sz w:val="16"/>
          <w:szCs w:val="18"/>
          <w:lang w:val="es-MX"/>
        </w:rPr>
        <w:t>.</w:t>
      </w:r>
      <w:r w:rsidRPr="00A00C76">
        <w:rPr>
          <w:rFonts w:ascii="Georgia" w:hAnsi="Georgia" w:cs="Arial"/>
          <w:b/>
          <w:bCs/>
          <w:caps/>
          <w:spacing w:val="20"/>
          <w:w w:val="150"/>
          <w:sz w:val="16"/>
          <w:szCs w:val="10"/>
          <w:lang w:val="es-MX"/>
        </w:rPr>
        <w:tab/>
      </w:r>
      <w:r w:rsidRPr="00A00C76">
        <w:rPr>
          <w:rFonts w:ascii="Georgia" w:hAnsi="Georgia" w:cs="Arial"/>
          <w:b/>
          <w:caps/>
          <w:spacing w:val="20"/>
          <w:w w:val="150"/>
          <w:szCs w:val="28"/>
          <w:lang w:val="es-MX"/>
        </w:rPr>
        <w:t>J</w:t>
      </w:r>
      <w:r w:rsidRPr="00A00C76">
        <w:rPr>
          <w:rFonts w:ascii="Georgia" w:hAnsi="Georgia" w:cs="Arial"/>
          <w:b/>
          <w:caps/>
          <w:spacing w:val="20"/>
          <w:w w:val="150"/>
          <w:sz w:val="16"/>
          <w:szCs w:val="18"/>
          <w:lang w:val="es-MX"/>
        </w:rPr>
        <w:t xml:space="preserve">AIME </w:t>
      </w:r>
      <w:r w:rsidRPr="00A00C76">
        <w:rPr>
          <w:rFonts w:ascii="Georgia" w:hAnsi="Georgia" w:cs="Arial"/>
          <w:b/>
          <w:caps/>
          <w:spacing w:val="20"/>
          <w:w w:val="150"/>
          <w:szCs w:val="28"/>
          <w:lang w:val="es-MX"/>
        </w:rPr>
        <w:t>A</w:t>
      </w:r>
      <w:r w:rsidRPr="00A00C76">
        <w:rPr>
          <w:rFonts w:ascii="Georgia" w:hAnsi="Georgia" w:cs="Arial"/>
          <w:b/>
          <w:caps/>
          <w:spacing w:val="20"/>
          <w:w w:val="150"/>
          <w:sz w:val="16"/>
          <w:szCs w:val="18"/>
          <w:lang w:val="es-MX"/>
        </w:rPr>
        <w:t xml:space="preserve">. </w:t>
      </w:r>
      <w:r w:rsidRPr="00A00C76">
        <w:rPr>
          <w:rFonts w:ascii="Georgia" w:hAnsi="Georgia" w:cs="Arial"/>
          <w:b/>
          <w:caps/>
          <w:spacing w:val="20"/>
          <w:w w:val="150"/>
          <w:szCs w:val="28"/>
          <w:lang w:val="es-MX"/>
        </w:rPr>
        <w:t>S</w:t>
      </w:r>
      <w:r w:rsidRPr="00A00C76">
        <w:rPr>
          <w:rFonts w:ascii="Georgia" w:hAnsi="Georgia" w:cs="Arial"/>
          <w:b/>
          <w:caps/>
          <w:spacing w:val="20"/>
          <w:w w:val="150"/>
          <w:sz w:val="16"/>
          <w:szCs w:val="18"/>
          <w:lang w:val="es-MX"/>
        </w:rPr>
        <w:t xml:space="preserve">ARAZA </w:t>
      </w:r>
      <w:r w:rsidRPr="00A00C76">
        <w:rPr>
          <w:rFonts w:ascii="Georgia" w:hAnsi="Georgia" w:cs="Arial"/>
          <w:b/>
          <w:caps/>
          <w:spacing w:val="20"/>
          <w:w w:val="150"/>
          <w:szCs w:val="28"/>
          <w:lang w:val="es-MX"/>
        </w:rPr>
        <w:t>N</w:t>
      </w:r>
      <w:r w:rsidRPr="00A00C76">
        <w:rPr>
          <w:rFonts w:ascii="Georgia" w:hAnsi="Georgia" w:cs="Arial"/>
          <w:b/>
          <w:caps/>
          <w:spacing w:val="20"/>
          <w:w w:val="150"/>
          <w:sz w:val="16"/>
          <w:szCs w:val="18"/>
          <w:lang w:val="es-MX"/>
        </w:rPr>
        <w:t>aranjo</w:t>
      </w:r>
    </w:p>
    <w:p w14:paraId="7366E118" w14:textId="74FB2A3F" w:rsidR="009D2FFD" w:rsidRPr="00A00C76" w:rsidRDefault="00A00C76" w:rsidP="00A00C7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A00C76">
        <w:rPr>
          <w:rFonts w:ascii="Georgia" w:hAnsi="Georgia" w:cs="Arial"/>
          <w:bCs/>
          <w:caps/>
          <w:spacing w:val="20"/>
          <w:w w:val="150"/>
          <w:sz w:val="18"/>
          <w:szCs w:val="10"/>
          <w:lang w:val="en-US"/>
        </w:rPr>
        <w:t xml:space="preserve">M A G I S T R A D O </w:t>
      </w:r>
      <w:r w:rsidRPr="00A00C76">
        <w:rPr>
          <w:rFonts w:ascii="Georgia" w:hAnsi="Georgia" w:cs="Arial"/>
          <w:bCs/>
          <w:caps/>
          <w:spacing w:val="20"/>
          <w:w w:val="150"/>
          <w:sz w:val="18"/>
          <w:szCs w:val="10"/>
          <w:lang w:val="en-US"/>
        </w:rPr>
        <w:tab/>
      </w:r>
      <w:r w:rsidRPr="00A00C76">
        <w:rPr>
          <w:rFonts w:ascii="Georgia" w:hAnsi="Georgia" w:cs="Arial"/>
          <w:bCs/>
          <w:caps/>
          <w:spacing w:val="20"/>
          <w:w w:val="150"/>
          <w:sz w:val="18"/>
          <w:szCs w:val="10"/>
          <w:lang w:val="en-US"/>
        </w:rPr>
        <w:tab/>
        <w:t>M A G I S T R A D O</w:t>
      </w:r>
      <w:bookmarkEnd w:id="5"/>
    </w:p>
    <w:sectPr w:rsidR="009D2FFD" w:rsidRPr="00A00C76" w:rsidSect="00125F6B">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0012A3" w16cex:dateUtc="2022-03-08T14:03:29.539Z"/>
  <w16cex:commentExtensible w16cex:durableId="7EEAEB39" w16cex:dateUtc="2022-03-08T14:43:46.6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6DF4" w14:textId="77777777" w:rsidR="00690FEF" w:rsidRDefault="00690FEF" w:rsidP="0099045D">
      <w:r>
        <w:separator/>
      </w:r>
    </w:p>
  </w:endnote>
  <w:endnote w:type="continuationSeparator" w:id="0">
    <w:p w14:paraId="4D0D3316" w14:textId="77777777" w:rsidR="00690FEF" w:rsidRDefault="00690FE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072D68" w:rsidRPr="00494523" w:rsidRDefault="00072D68"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072D68" w:rsidRDefault="00072D68" w:rsidP="0013771A">
    <w:pPr>
      <w:pStyle w:val="Piedepgina"/>
      <w:spacing w:line="360" w:lineRule="auto"/>
      <w:jc w:val="right"/>
      <w:rPr>
        <w:rFonts w:ascii="Arial" w:hAnsi="Arial" w:cs="Arial"/>
        <w:spacing w:val="20"/>
        <w:w w:val="200"/>
        <w:sz w:val="14"/>
        <w:szCs w:val="10"/>
        <w:lang w:val="es-CO"/>
      </w:rPr>
    </w:pPr>
  </w:p>
  <w:p w14:paraId="05632840" w14:textId="77777777" w:rsidR="00072D68" w:rsidRPr="003E18D8" w:rsidRDefault="00072D6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072D68" w:rsidRPr="007F7D49" w:rsidRDefault="00072D6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F604" w14:textId="77777777" w:rsidR="00690FEF" w:rsidRDefault="00690FEF" w:rsidP="0099045D">
      <w:r>
        <w:separator/>
      </w:r>
    </w:p>
  </w:footnote>
  <w:footnote w:type="continuationSeparator" w:id="0">
    <w:p w14:paraId="3EA0B548" w14:textId="77777777" w:rsidR="00690FEF" w:rsidRDefault="00690FEF" w:rsidP="0099045D">
      <w:r>
        <w:continuationSeparator/>
      </w:r>
    </w:p>
  </w:footnote>
  <w:footnote w:id="1">
    <w:p w14:paraId="2A7EAACD" w14:textId="77777777"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QUINCHE R., Manuel F. Vías de hecho, acción de tutela contra providencias, Temis SA, Bogotá, 2013, p.103.</w:t>
      </w:r>
    </w:p>
  </w:footnote>
  <w:footnote w:id="2">
    <w:p w14:paraId="586B433A" w14:textId="77777777"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QUIROGA N., Édgar A. Tutela contra decisiones judiciales, Universidad Santo Tomás y editorial Ibáñez, Bogotá DC, 2014, p.83.</w:t>
      </w:r>
    </w:p>
  </w:footnote>
  <w:footnote w:id="3">
    <w:p w14:paraId="25FEF039" w14:textId="7FC8CAB8"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CC. T-001-2022, T-019 de 2021, T-019 de 2020, SU-037 de 2019, SU-056 de 2018, </w:t>
      </w:r>
      <w:hyperlink r:id="rId1" w:history="1">
        <w:r w:rsidRPr="00A00C76">
          <w:rPr>
            <w:rStyle w:val="Hipervnculo"/>
            <w:rFonts w:ascii="Century" w:hAnsi="Century"/>
            <w:color w:val="000000" w:themeColor="text1"/>
            <w:sz w:val="18"/>
            <w:szCs w:val="18"/>
          </w:rPr>
          <w:t>SU-336 de 2017</w:t>
        </w:r>
      </w:hyperlink>
      <w:r w:rsidRPr="00A00C76">
        <w:rPr>
          <w:rFonts w:ascii="Century" w:hAnsi="Century"/>
          <w:color w:val="000000" w:themeColor="text1"/>
          <w:sz w:val="18"/>
          <w:szCs w:val="18"/>
        </w:rPr>
        <w:t>, </w:t>
      </w:r>
      <w:hyperlink r:id="rId2" w:history="1">
        <w:r w:rsidRPr="00A00C76">
          <w:rPr>
            <w:rStyle w:val="Hipervnculo"/>
            <w:rFonts w:ascii="Century" w:hAnsi="Century"/>
            <w:color w:val="000000" w:themeColor="text1"/>
            <w:sz w:val="18"/>
            <w:szCs w:val="18"/>
          </w:rPr>
          <w:t>SU-354 de 2017</w:t>
        </w:r>
      </w:hyperlink>
      <w:r w:rsidRPr="00A00C76">
        <w:rPr>
          <w:rFonts w:ascii="Century" w:hAnsi="Century"/>
          <w:color w:val="000000" w:themeColor="text1"/>
          <w:sz w:val="18"/>
          <w:szCs w:val="18"/>
        </w:rPr>
        <w:t xml:space="preserve">, </w:t>
      </w:r>
      <w:r w:rsidRPr="00A00C76">
        <w:rPr>
          <w:rFonts w:ascii="Century" w:hAnsi="Century"/>
          <w:sz w:val="18"/>
          <w:szCs w:val="18"/>
        </w:rPr>
        <w:t>T-137 de 2017, SU-222 de 2016 y T-917 de 2011.</w:t>
      </w:r>
    </w:p>
  </w:footnote>
  <w:footnote w:id="4">
    <w:p w14:paraId="381CF2EF" w14:textId="55D2FB48"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CC. T-008-2022, T-019 de 2021, T-019 de 2020, SU-037 de 2019, SU-056 de 2018, </w:t>
      </w:r>
      <w:hyperlink r:id="rId3" w:history="1">
        <w:r w:rsidRPr="00A00C76">
          <w:rPr>
            <w:rStyle w:val="Hipervnculo"/>
            <w:rFonts w:ascii="Century" w:hAnsi="Century"/>
            <w:color w:val="000000"/>
            <w:sz w:val="18"/>
            <w:szCs w:val="18"/>
          </w:rPr>
          <w:t>SU-336 de 2017</w:t>
        </w:r>
      </w:hyperlink>
      <w:r w:rsidRPr="00A00C76">
        <w:rPr>
          <w:rFonts w:ascii="Century" w:hAnsi="Century"/>
          <w:color w:val="000000"/>
          <w:sz w:val="18"/>
          <w:szCs w:val="18"/>
        </w:rPr>
        <w:t>, </w:t>
      </w:r>
      <w:hyperlink r:id="rId4" w:history="1">
        <w:r w:rsidRPr="00A00C76">
          <w:rPr>
            <w:rStyle w:val="Hipervnculo"/>
            <w:rFonts w:ascii="Century" w:hAnsi="Century"/>
            <w:color w:val="000000"/>
            <w:sz w:val="18"/>
            <w:szCs w:val="18"/>
          </w:rPr>
          <w:t>SU-354 de 2017</w:t>
        </w:r>
      </w:hyperlink>
      <w:r w:rsidRPr="00A00C76">
        <w:rPr>
          <w:rFonts w:ascii="Century" w:hAnsi="Century"/>
          <w:color w:val="000000"/>
          <w:sz w:val="18"/>
          <w:szCs w:val="18"/>
        </w:rPr>
        <w:t xml:space="preserve">, </w:t>
      </w:r>
      <w:r w:rsidRPr="00A00C76">
        <w:rPr>
          <w:rFonts w:ascii="Century" w:hAnsi="Century"/>
          <w:sz w:val="18"/>
          <w:szCs w:val="18"/>
        </w:rPr>
        <w:t>T-137 de 2017 y SU-222 de 2016, entre muchas.</w:t>
      </w:r>
    </w:p>
  </w:footnote>
  <w:footnote w:id="5">
    <w:p w14:paraId="49A083E1" w14:textId="77777777"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CC. T-019 de 2021 y T-307 de 2015.</w:t>
      </w:r>
    </w:p>
  </w:footnote>
  <w:footnote w:id="6">
    <w:p w14:paraId="2DF02C66" w14:textId="77777777" w:rsidR="00072D68" w:rsidRPr="00A00C76" w:rsidRDefault="00072D68" w:rsidP="00A00C76">
      <w:pPr>
        <w:pStyle w:val="Textonotapie"/>
        <w:jc w:val="both"/>
        <w:rPr>
          <w:rFonts w:ascii="Century" w:hAnsi="Century"/>
          <w:sz w:val="18"/>
          <w:szCs w:val="18"/>
          <w:lang w:val="es-CO"/>
        </w:rPr>
      </w:pPr>
      <w:r w:rsidRPr="00A00C76">
        <w:rPr>
          <w:rFonts w:ascii="Century" w:hAnsi="Century"/>
          <w:sz w:val="18"/>
          <w:szCs w:val="18"/>
          <w:vertAlign w:val="superscript"/>
        </w:rPr>
        <w:footnoteRef/>
      </w:r>
      <w:r w:rsidRPr="00A00C76">
        <w:rPr>
          <w:rFonts w:ascii="Century" w:hAnsi="Century"/>
          <w:sz w:val="18"/>
          <w:szCs w:val="18"/>
        </w:rPr>
        <w:t xml:space="preserve"> ESCUELA JUDICIAL RODRIGO LARA BONILLA. La acción de tutela en el ordenamiento constitucional colombiano, Universidad Nacional de Colombia, Catalina Botero Marino, </w:t>
      </w:r>
      <w:proofErr w:type="spellStart"/>
      <w:r w:rsidRPr="00A00C76">
        <w:rPr>
          <w:rFonts w:ascii="Century" w:hAnsi="Century"/>
          <w:sz w:val="18"/>
          <w:szCs w:val="18"/>
        </w:rPr>
        <w:t>Ediprime</w:t>
      </w:r>
      <w:proofErr w:type="spellEnd"/>
      <w:r w:rsidRPr="00A00C76">
        <w:rPr>
          <w:rFonts w:ascii="Century" w:hAnsi="Century"/>
          <w:sz w:val="18"/>
          <w:szCs w:val="18"/>
        </w:rPr>
        <w:t xml:space="preserve"> Ltda., 2006, p.61-75.</w:t>
      </w:r>
    </w:p>
  </w:footnote>
  <w:footnote w:id="7">
    <w:p w14:paraId="71E420D7" w14:textId="77777777" w:rsidR="00072D68" w:rsidRPr="00A00C76" w:rsidRDefault="00072D68" w:rsidP="00A00C76">
      <w:pPr>
        <w:pStyle w:val="Textonotapie"/>
        <w:jc w:val="both"/>
        <w:rPr>
          <w:rFonts w:ascii="Century" w:hAnsi="Century"/>
          <w:color w:val="000000" w:themeColor="text1"/>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QUINCHE R., </w:t>
      </w:r>
      <w:r w:rsidRPr="00A00C76">
        <w:rPr>
          <w:rFonts w:ascii="Century" w:hAnsi="Century"/>
          <w:color w:val="000000" w:themeColor="text1"/>
          <w:sz w:val="18"/>
          <w:szCs w:val="18"/>
        </w:rPr>
        <w:t>Manuel F. La acción de tutela, el amparo en Colombia, Bogotá DC, 2011, p.233-285.</w:t>
      </w:r>
    </w:p>
  </w:footnote>
  <w:footnote w:id="8">
    <w:p w14:paraId="34888266" w14:textId="42AD432D" w:rsidR="008A728E" w:rsidRPr="00A00C76" w:rsidRDefault="008A728E"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w:t>
      </w:r>
      <w:r w:rsidRPr="00A00C76">
        <w:rPr>
          <w:rFonts w:ascii="Century" w:hAnsi="Century"/>
          <w:sz w:val="18"/>
          <w:szCs w:val="18"/>
          <w:lang w:val="es-CO"/>
        </w:rPr>
        <w:t xml:space="preserve">CC. SU627 de 2015 reiterada en la SU116 de 2018: </w:t>
      </w:r>
      <w:r w:rsidRPr="00A00C76">
        <w:rPr>
          <w:rFonts w:ascii="Century" w:hAnsi="Century"/>
          <w:i/>
          <w:sz w:val="18"/>
          <w:szCs w:val="18"/>
          <w:lang w:val="es-CO"/>
        </w:rPr>
        <w:t xml:space="preserve">“(…) </w:t>
      </w:r>
      <w:r w:rsidRPr="00A00C76">
        <w:rPr>
          <w:rFonts w:ascii="Century" w:hAnsi="Century"/>
          <w:i/>
          <w:color w:val="000000"/>
          <w:sz w:val="18"/>
          <w:szCs w:val="18"/>
          <w:shd w:val="clear" w:color="auto" w:fill="FFFFFF"/>
        </w:rPr>
        <w:t> Si la actuación acaece con anterioridad a la sentencia y consiste en la omisión del juez de cumplir con su deber de informar, notificar o vincular a los terceros que serían afectados por la tutela, y se cumplen los requisitos generales de procedibilidad de la acción, el amparo sí procede, incluso si la Corte Constitucional no ha seleccionado el asunto para su revisión (…)”</w:t>
      </w:r>
    </w:p>
  </w:footnote>
  <w:footnote w:id="9">
    <w:p w14:paraId="55D2754C" w14:textId="4791C106" w:rsidR="00072D68" w:rsidRPr="00A00C76" w:rsidRDefault="00072D68" w:rsidP="00A00C76">
      <w:pPr>
        <w:pStyle w:val="Textonotapie"/>
        <w:jc w:val="both"/>
        <w:rPr>
          <w:rFonts w:ascii="Century" w:hAnsi="Century"/>
          <w:sz w:val="18"/>
          <w:szCs w:val="18"/>
          <w:lang w:val="es-CO"/>
        </w:rPr>
      </w:pPr>
      <w:r w:rsidRPr="00A00C76">
        <w:rPr>
          <w:rStyle w:val="Refdenotaalpie"/>
          <w:rFonts w:ascii="Century" w:hAnsi="Century"/>
          <w:sz w:val="18"/>
          <w:szCs w:val="18"/>
        </w:rPr>
        <w:footnoteRef/>
      </w:r>
      <w:r w:rsidRPr="00A00C76">
        <w:rPr>
          <w:rFonts w:ascii="Century" w:hAnsi="Century"/>
          <w:sz w:val="18"/>
          <w:szCs w:val="18"/>
        </w:rPr>
        <w:t xml:space="preserve"> </w:t>
      </w:r>
      <w:r w:rsidRPr="00A00C76">
        <w:rPr>
          <w:rFonts w:ascii="Century" w:hAnsi="Century"/>
          <w:sz w:val="18"/>
          <w:szCs w:val="18"/>
          <w:lang w:val="es-CO"/>
        </w:rPr>
        <w:t>CSJ. STC</w:t>
      </w:r>
      <w:r w:rsidR="00F74F29" w:rsidRPr="00A00C76">
        <w:rPr>
          <w:rFonts w:ascii="Century" w:hAnsi="Century"/>
          <w:sz w:val="18"/>
          <w:szCs w:val="18"/>
          <w:lang w:val="es-CO"/>
        </w:rPr>
        <w:t>-</w:t>
      </w:r>
      <w:r w:rsidRPr="00A00C76">
        <w:rPr>
          <w:rFonts w:ascii="Century" w:hAnsi="Century"/>
          <w:sz w:val="18"/>
          <w:szCs w:val="18"/>
          <w:lang w:val="es-CO"/>
        </w:rPr>
        <w:t>7008-2021, STC</w:t>
      </w:r>
      <w:r w:rsidR="00F74F29" w:rsidRPr="00A00C76">
        <w:rPr>
          <w:rFonts w:ascii="Century" w:hAnsi="Century"/>
          <w:sz w:val="18"/>
          <w:szCs w:val="18"/>
          <w:lang w:val="es-CO"/>
        </w:rPr>
        <w:t>-</w:t>
      </w:r>
      <w:r w:rsidRPr="00A00C76">
        <w:rPr>
          <w:rFonts w:ascii="Century" w:hAnsi="Century"/>
          <w:sz w:val="18"/>
          <w:szCs w:val="18"/>
          <w:lang w:val="es-CO"/>
        </w:rPr>
        <w:t xml:space="preserve">197-2021, STC8053-2019 ySTC6835-2019, entre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072D68" w:rsidRPr="00423540" w:rsidRDefault="00072D68" w:rsidP="003876D0">
    <w:pPr>
      <w:pStyle w:val="Encabezado"/>
      <w:pBdr>
        <w:bottom w:val="single" w:sz="4" w:space="2" w:color="D9D9D9"/>
      </w:pBdr>
      <w:jc w:val="right"/>
      <w:rPr>
        <w:rFonts w:ascii="Georgia" w:hAnsi="Georgia" w:cs="Calibri"/>
        <w:i/>
        <w:sz w:val="20"/>
      </w:rPr>
    </w:pPr>
    <w:r w:rsidRPr="00423540">
      <w:rPr>
        <w:rFonts w:ascii="Arial" w:hAnsi="Arial" w:cs="Arial"/>
        <w:i/>
        <w:sz w:val="18"/>
        <w:szCs w:val="18"/>
      </w:rPr>
      <w:tab/>
    </w:r>
    <w:r w:rsidRPr="00423540">
      <w:rPr>
        <w:rFonts w:ascii="Georgia" w:hAnsi="Georgia" w:cs="Arial"/>
        <w:i/>
        <w:sz w:val="18"/>
        <w:szCs w:val="18"/>
      </w:rPr>
      <w:tab/>
    </w:r>
    <w:r w:rsidRPr="00423540">
      <w:rPr>
        <w:rFonts w:ascii="Georgia" w:hAnsi="Georgia" w:cs="Calibri"/>
        <w:i/>
        <w:spacing w:val="60"/>
        <w:sz w:val="20"/>
      </w:rPr>
      <w:t>Página</w:t>
    </w:r>
    <w:r w:rsidRPr="00423540">
      <w:rPr>
        <w:rFonts w:ascii="Georgia" w:hAnsi="Georgia" w:cs="Calibri"/>
        <w:i/>
        <w:sz w:val="20"/>
      </w:rPr>
      <w:t xml:space="preserve"> | </w:t>
    </w:r>
    <w:r w:rsidRPr="00423540">
      <w:rPr>
        <w:rFonts w:ascii="Georgia" w:hAnsi="Georgia" w:cs="Calibri"/>
        <w:i/>
        <w:sz w:val="20"/>
      </w:rPr>
      <w:fldChar w:fldCharType="begin"/>
    </w:r>
    <w:r w:rsidRPr="00423540">
      <w:rPr>
        <w:rFonts w:ascii="Georgia" w:hAnsi="Georgia" w:cs="Calibri"/>
        <w:i/>
        <w:sz w:val="20"/>
      </w:rPr>
      <w:instrText xml:space="preserve"> PAGE   \* MERGEFORMAT </w:instrText>
    </w:r>
    <w:r w:rsidRPr="00423540">
      <w:rPr>
        <w:rFonts w:ascii="Georgia" w:hAnsi="Georgia" w:cs="Calibri"/>
        <w:i/>
        <w:sz w:val="20"/>
      </w:rPr>
      <w:fldChar w:fldCharType="separate"/>
    </w:r>
    <w:r w:rsidRPr="00423540">
      <w:rPr>
        <w:rFonts w:ascii="Georgia" w:hAnsi="Georgia" w:cs="Calibri"/>
        <w:i/>
        <w:noProof/>
        <w:sz w:val="20"/>
      </w:rPr>
      <w:t>5</w:t>
    </w:r>
    <w:r w:rsidRPr="00423540">
      <w:rPr>
        <w:rFonts w:ascii="Georgia" w:hAnsi="Georgia" w:cs="Calibri"/>
        <w:i/>
        <w:sz w:val="20"/>
      </w:rPr>
      <w:fldChar w:fldCharType="end"/>
    </w:r>
  </w:p>
  <w:p w14:paraId="6F7CC890" w14:textId="7F18DDCF" w:rsidR="00072D68" w:rsidRPr="00423540" w:rsidRDefault="00072D68">
    <w:pPr>
      <w:pStyle w:val="Encabezado"/>
      <w:rPr>
        <w:rFonts w:ascii="Georgia" w:hAnsi="Georgia" w:cs="Arial"/>
        <w:i/>
        <w:sz w:val="20"/>
        <w:szCs w:val="20"/>
      </w:rPr>
    </w:pPr>
    <w:r w:rsidRPr="00423540">
      <w:rPr>
        <w:rFonts w:ascii="Georgia" w:hAnsi="Georgia" w:cs="Arial"/>
        <w:i/>
        <w:sz w:val="20"/>
        <w:szCs w:val="20"/>
      </w:rPr>
      <w:t>EXPEDIENTE No.</w:t>
    </w:r>
    <w:r w:rsidR="00423540" w:rsidRPr="00423540">
      <w:rPr>
        <w:rFonts w:ascii="Georgia" w:hAnsi="Georgia" w:cs="Arial"/>
        <w:i/>
        <w:sz w:val="20"/>
        <w:szCs w:val="20"/>
      </w:rPr>
      <w:t xml:space="preserve"> </w:t>
    </w:r>
    <w:r w:rsidRPr="00423540">
      <w:rPr>
        <w:rFonts w:ascii="Georgia" w:hAnsi="Georgia" w:cs="Arial"/>
        <w:i/>
        <w:sz w:val="20"/>
        <w:szCs w:val="20"/>
      </w:rPr>
      <w:t>2022-</w:t>
    </w:r>
    <w:r w:rsidR="0093443E" w:rsidRPr="00423540">
      <w:rPr>
        <w:rFonts w:ascii="Georgia" w:hAnsi="Georgia" w:cs="Arial"/>
        <w:i/>
        <w:sz w:val="20"/>
        <w:szCs w:val="20"/>
      </w:rPr>
      <w:t>00040</w:t>
    </w:r>
    <w:r w:rsidRPr="00423540">
      <w:rPr>
        <w:rFonts w:ascii="Georgia" w:hAnsi="Georgia" w:cs="Arial"/>
        <w:i/>
        <w:sz w:val="20"/>
        <w:szCs w:val="20"/>
      </w:rPr>
      <w:t>-00</w:t>
    </w:r>
  </w:p>
</w:hdr>
</file>

<file path=word/intelligence2.xml><?xml version="1.0" encoding="utf-8"?>
<int2:intelligence xmlns:int2="http://schemas.microsoft.com/office/intelligence/2020/intelligence" xmlns:oel="http://schemas.microsoft.com/office/2019/extlst">
  <int2:observations>
    <int2:textHash int2:hashCode="K8RmfbGBJefp/j" int2:id="vzCTgbX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B010E60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8A"/>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4EA4"/>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AA9"/>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2D68"/>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A7308"/>
    <w:rsid w:val="000B0256"/>
    <w:rsid w:val="000B0E31"/>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B3D"/>
    <w:rsid w:val="000D2B76"/>
    <w:rsid w:val="000D2CE2"/>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5F6B"/>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368"/>
    <w:rsid w:val="00136606"/>
    <w:rsid w:val="00136FE1"/>
    <w:rsid w:val="0013721C"/>
    <w:rsid w:val="0013771A"/>
    <w:rsid w:val="00137E97"/>
    <w:rsid w:val="00141287"/>
    <w:rsid w:val="00141D52"/>
    <w:rsid w:val="00142676"/>
    <w:rsid w:val="0014281B"/>
    <w:rsid w:val="00142D3D"/>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AC6"/>
    <w:rsid w:val="00162F1A"/>
    <w:rsid w:val="00162FB1"/>
    <w:rsid w:val="00163299"/>
    <w:rsid w:val="00163385"/>
    <w:rsid w:val="001638EF"/>
    <w:rsid w:val="00163B5A"/>
    <w:rsid w:val="00163C03"/>
    <w:rsid w:val="00163E7B"/>
    <w:rsid w:val="0016466E"/>
    <w:rsid w:val="00164D6D"/>
    <w:rsid w:val="00164DB6"/>
    <w:rsid w:val="00165539"/>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66E7"/>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6CF"/>
    <w:rsid w:val="001A4B1D"/>
    <w:rsid w:val="001A52A7"/>
    <w:rsid w:val="001A67FF"/>
    <w:rsid w:val="001A6877"/>
    <w:rsid w:val="001A6A5E"/>
    <w:rsid w:val="001A6BD6"/>
    <w:rsid w:val="001A7270"/>
    <w:rsid w:val="001B024F"/>
    <w:rsid w:val="001B0E0F"/>
    <w:rsid w:val="001B1B9D"/>
    <w:rsid w:val="001B20E8"/>
    <w:rsid w:val="001B392D"/>
    <w:rsid w:val="001B3C41"/>
    <w:rsid w:val="001B4781"/>
    <w:rsid w:val="001B4A84"/>
    <w:rsid w:val="001B5303"/>
    <w:rsid w:val="001B549A"/>
    <w:rsid w:val="001B5697"/>
    <w:rsid w:val="001B59F9"/>
    <w:rsid w:val="001B62E6"/>
    <w:rsid w:val="001B6479"/>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D63"/>
    <w:rsid w:val="001C4ED0"/>
    <w:rsid w:val="001C539D"/>
    <w:rsid w:val="001C56B4"/>
    <w:rsid w:val="001C60A8"/>
    <w:rsid w:val="001C61F5"/>
    <w:rsid w:val="001C7A2A"/>
    <w:rsid w:val="001C7B73"/>
    <w:rsid w:val="001C7E8E"/>
    <w:rsid w:val="001C7FDD"/>
    <w:rsid w:val="001D00F0"/>
    <w:rsid w:val="001D019C"/>
    <w:rsid w:val="001D025F"/>
    <w:rsid w:val="001D0884"/>
    <w:rsid w:val="001D0C97"/>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974"/>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17"/>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84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92A"/>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B09"/>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B28"/>
    <w:rsid w:val="002F4C69"/>
    <w:rsid w:val="002F4D2C"/>
    <w:rsid w:val="002F55D1"/>
    <w:rsid w:val="002F5CFC"/>
    <w:rsid w:val="002F6CFE"/>
    <w:rsid w:val="002F7C46"/>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3E9E"/>
    <w:rsid w:val="0031408F"/>
    <w:rsid w:val="0031464A"/>
    <w:rsid w:val="00314A51"/>
    <w:rsid w:val="00314D8D"/>
    <w:rsid w:val="00315910"/>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1FA"/>
    <w:rsid w:val="00325212"/>
    <w:rsid w:val="00325FDA"/>
    <w:rsid w:val="003261E4"/>
    <w:rsid w:val="003266C0"/>
    <w:rsid w:val="00326A31"/>
    <w:rsid w:val="00326BCE"/>
    <w:rsid w:val="00326C60"/>
    <w:rsid w:val="00326CD4"/>
    <w:rsid w:val="003271C1"/>
    <w:rsid w:val="00327614"/>
    <w:rsid w:val="00330025"/>
    <w:rsid w:val="003327BC"/>
    <w:rsid w:val="00333E9A"/>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3C6E"/>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9FA"/>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2220"/>
    <w:rsid w:val="003B3673"/>
    <w:rsid w:val="003B37F0"/>
    <w:rsid w:val="003B4005"/>
    <w:rsid w:val="003B4683"/>
    <w:rsid w:val="003B50F3"/>
    <w:rsid w:val="003B5178"/>
    <w:rsid w:val="003B691D"/>
    <w:rsid w:val="003B6E96"/>
    <w:rsid w:val="003B7AD3"/>
    <w:rsid w:val="003B7F01"/>
    <w:rsid w:val="003C0F58"/>
    <w:rsid w:val="003C143D"/>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4EC"/>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540"/>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38B"/>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87980"/>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53A2"/>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E7B77"/>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569"/>
    <w:rsid w:val="005109D6"/>
    <w:rsid w:val="00511336"/>
    <w:rsid w:val="005115C8"/>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5D58"/>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D4"/>
    <w:rsid w:val="0056345F"/>
    <w:rsid w:val="005634DD"/>
    <w:rsid w:val="00564507"/>
    <w:rsid w:val="00564860"/>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3B9"/>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80B"/>
    <w:rsid w:val="005F3B66"/>
    <w:rsid w:val="005F3E08"/>
    <w:rsid w:val="005F4241"/>
    <w:rsid w:val="005F4568"/>
    <w:rsid w:val="005F474C"/>
    <w:rsid w:val="005F47CB"/>
    <w:rsid w:val="005F4905"/>
    <w:rsid w:val="005F49D2"/>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5DB"/>
    <w:rsid w:val="00616471"/>
    <w:rsid w:val="00616887"/>
    <w:rsid w:val="00616D7D"/>
    <w:rsid w:val="006170B3"/>
    <w:rsid w:val="00617412"/>
    <w:rsid w:val="006178DE"/>
    <w:rsid w:val="00617BD3"/>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6AD3"/>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9B2"/>
    <w:rsid w:val="00687E4B"/>
    <w:rsid w:val="00690466"/>
    <w:rsid w:val="00690473"/>
    <w:rsid w:val="00690658"/>
    <w:rsid w:val="00690EAE"/>
    <w:rsid w:val="00690FEF"/>
    <w:rsid w:val="0069134C"/>
    <w:rsid w:val="00691C48"/>
    <w:rsid w:val="00692A5A"/>
    <w:rsid w:val="00692D1E"/>
    <w:rsid w:val="00692F74"/>
    <w:rsid w:val="00694204"/>
    <w:rsid w:val="006942B0"/>
    <w:rsid w:val="006945AA"/>
    <w:rsid w:val="006947CB"/>
    <w:rsid w:val="00694C24"/>
    <w:rsid w:val="00694ED7"/>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8DA"/>
    <w:rsid w:val="006E4A22"/>
    <w:rsid w:val="006E5869"/>
    <w:rsid w:val="006E5F93"/>
    <w:rsid w:val="006E6668"/>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94"/>
    <w:rsid w:val="007334BF"/>
    <w:rsid w:val="007336C1"/>
    <w:rsid w:val="00733969"/>
    <w:rsid w:val="00733F1E"/>
    <w:rsid w:val="007346DF"/>
    <w:rsid w:val="00734D26"/>
    <w:rsid w:val="0073626E"/>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1D"/>
    <w:rsid w:val="00742E38"/>
    <w:rsid w:val="00742FB3"/>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277"/>
    <w:rsid w:val="007776C1"/>
    <w:rsid w:val="00777898"/>
    <w:rsid w:val="00777DDF"/>
    <w:rsid w:val="0078091F"/>
    <w:rsid w:val="007809FD"/>
    <w:rsid w:val="00780C46"/>
    <w:rsid w:val="00781A90"/>
    <w:rsid w:val="007829A5"/>
    <w:rsid w:val="00783061"/>
    <w:rsid w:val="00783425"/>
    <w:rsid w:val="00784444"/>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08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6F67"/>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332"/>
    <w:rsid w:val="00880786"/>
    <w:rsid w:val="00880E10"/>
    <w:rsid w:val="008810AC"/>
    <w:rsid w:val="00881F89"/>
    <w:rsid w:val="0088249B"/>
    <w:rsid w:val="00882634"/>
    <w:rsid w:val="0088282C"/>
    <w:rsid w:val="0088289A"/>
    <w:rsid w:val="00882C38"/>
    <w:rsid w:val="00882DA6"/>
    <w:rsid w:val="008830CE"/>
    <w:rsid w:val="00883109"/>
    <w:rsid w:val="00883BF2"/>
    <w:rsid w:val="00885175"/>
    <w:rsid w:val="0088532E"/>
    <w:rsid w:val="008858F6"/>
    <w:rsid w:val="008860B9"/>
    <w:rsid w:val="0088687D"/>
    <w:rsid w:val="00887407"/>
    <w:rsid w:val="00887F89"/>
    <w:rsid w:val="00887FBC"/>
    <w:rsid w:val="008904A3"/>
    <w:rsid w:val="008904C0"/>
    <w:rsid w:val="0089101F"/>
    <w:rsid w:val="00891395"/>
    <w:rsid w:val="008914F4"/>
    <w:rsid w:val="00891BA7"/>
    <w:rsid w:val="00892529"/>
    <w:rsid w:val="00892767"/>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28E"/>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577F"/>
    <w:rsid w:val="008E638B"/>
    <w:rsid w:val="008E6592"/>
    <w:rsid w:val="008E65AC"/>
    <w:rsid w:val="008E742B"/>
    <w:rsid w:val="008E747D"/>
    <w:rsid w:val="008E7763"/>
    <w:rsid w:val="008E7C09"/>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43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07"/>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6D4"/>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2FFD"/>
    <w:rsid w:val="009D366A"/>
    <w:rsid w:val="009D37DE"/>
    <w:rsid w:val="009D43C5"/>
    <w:rsid w:val="009D465C"/>
    <w:rsid w:val="009D5A25"/>
    <w:rsid w:val="009D5CFB"/>
    <w:rsid w:val="009D6634"/>
    <w:rsid w:val="009D6E82"/>
    <w:rsid w:val="009D7930"/>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0C76"/>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5B3E"/>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682"/>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BAB"/>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494B"/>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4D7"/>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720"/>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56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09F"/>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023"/>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A4"/>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48"/>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B39"/>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D"/>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416"/>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BB9"/>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59E"/>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4C4D"/>
    <w:rsid w:val="00DA576B"/>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3F0B"/>
    <w:rsid w:val="00DE51A8"/>
    <w:rsid w:val="00DE6847"/>
    <w:rsid w:val="00DE68FE"/>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2DF"/>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12B"/>
    <w:rsid w:val="00E142C3"/>
    <w:rsid w:val="00E14368"/>
    <w:rsid w:val="00E14F65"/>
    <w:rsid w:val="00E1527D"/>
    <w:rsid w:val="00E155EA"/>
    <w:rsid w:val="00E1661F"/>
    <w:rsid w:val="00E166E7"/>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1982"/>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5D2E"/>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712"/>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0C84"/>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520"/>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CFE"/>
    <w:rsid w:val="00F45ED2"/>
    <w:rsid w:val="00F460C1"/>
    <w:rsid w:val="00F46225"/>
    <w:rsid w:val="00F46BEB"/>
    <w:rsid w:val="00F46D27"/>
    <w:rsid w:val="00F4746E"/>
    <w:rsid w:val="00F5025F"/>
    <w:rsid w:val="00F50AA8"/>
    <w:rsid w:val="00F51028"/>
    <w:rsid w:val="00F510F7"/>
    <w:rsid w:val="00F51456"/>
    <w:rsid w:val="00F5194D"/>
    <w:rsid w:val="00F52923"/>
    <w:rsid w:val="00F54045"/>
    <w:rsid w:val="00F5430A"/>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369"/>
    <w:rsid w:val="00F6473D"/>
    <w:rsid w:val="00F650F6"/>
    <w:rsid w:val="00F655AD"/>
    <w:rsid w:val="00F65C6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4F29"/>
    <w:rsid w:val="00F752BC"/>
    <w:rsid w:val="00F75751"/>
    <w:rsid w:val="00F75BA3"/>
    <w:rsid w:val="00F75E88"/>
    <w:rsid w:val="00F81259"/>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87C6F"/>
    <w:rsid w:val="00F87E7B"/>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4B4"/>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1BFF"/>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26E"/>
    <w:rsid w:val="00FF75F6"/>
    <w:rsid w:val="00FF769D"/>
    <w:rsid w:val="0101406E"/>
    <w:rsid w:val="015A365F"/>
    <w:rsid w:val="01FAE8CA"/>
    <w:rsid w:val="02DFB4FF"/>
    <w:rsid w:val="0414A2E5"/>
    <w:rsid w:val="053F5982"/>
    <w:rsid w:val="055E2728"/>
    <w:rsid w:val="056FD82C"/>
    <w:rsid w:val="058368B9"/>
    <w:rsid w:val="06525BCB"/>
    <w:rsid w:val="07700F5D"/>
    <w:rsid w:val="0A1DBC4C"/>
    <w:rsid w:val="0B27A9FB"/>
    <w:rsid w:val="0B995035"/>
    <w:rsid w:val="0C1EE475"/>
    <w:rsid w:val="0CB03639"/>
    <w:rsid w:val="0CE330A0"/>
    <w:rsid w:val="0F5832BC"/>
    <w:rsid w:val="10668972"/>
    <w:rsid w:val="108FA48F"/>
    <w:rsid w:val="109AA066"/>
    <w:rsid w:val="11950E72"/>
    <w:rsid w:val="1338CC59"/>
    <w:rsid w:val="1370D9C0"/>
    <w:rsid w:val="13FF8A6B"/>
    <w:rsid w:val="14D49CBA"/>
    <w:rsid w:val="1543372C"/>
    <w:rsid w:val="169829E8"/>
    <w:rsid w:val="185CCA5C"/>
    <w:rsid w:val="18C00FDD"/>
    <w:rsid w:val="192DCE00"/>
    <w:rsid w:val="193DE2D9"/>
    <w:rsid w:val="1944FE34"/>
    <w:rsid w:val="195B432A"/>
    <w:rsid w:val="198BD2A8"/>
    <w:rsid w:val="19E37325"/>
    <w:rsid w:val="1A38E027"/>
    <w:rsid w:val="1C100084"/>
    <w:rsid w:val="1C2FF19D"/>
    <w:rsid w:val="1CE4DE5E"/>
    <w:rsid w:val="1D01282E"/>
    <w:rsid w:val="1D3745D1"/>
    <w:rsid w:val="1ED6695C"/>
    <w:rsid w:val="1F8EB292"/>
    <w:rsid w:val="21A7E3D3"/>
    <w:rsid w:val="2311DCD2"/>
    <w:rsid w:val="23708374"/>
    <w:rsid w:val="240F10C0"/>
    <w:rsid w:val="24EAC084"/>
    <w:rsid w:val="256C1408"/>
    <w:rsid w:val="25FEEA61"/>
    <w:rsid w:val="263E0B77"/>
    <w:rsid w:val="28F75E1A"/>
    <w:rsid w:val="290E36B3"/>
    <w:rsid w:val="29749277"/>
    <w:rsid w:val="29BE31A7"/>
    <w:rsid w:val="2A3DA05E"/>
    <w:rsid w:val="2A929DDE"/>
    <w:rsid w:val="2ACD8C01"/>
    <w:rsid w:val="2AD249D1"/>
    <w:rsid w:val="2C41D062"/>
    <w:rsid w:val="2D9CCAA9"/>
    <w:rsid w:val="2E99F3FC"/>
    <w:rsid w:val="2F107FE1"/>
    <w:rsid w:val="2FB0055F"/>
    <w:rsid w:val="30200FC1"/>
    <w:rsid w:val="31080DC1"/>
    <w:rsid w:val="31AFA97F"/>
    <w:rsid w:val="320A55DD"/>
    <w:rsid w:val="32F97BC7"/>
    <w:rsid w:val="33AF12E1"/>
    <w:rsid w:val="33D27F6F"/>
    <w:rsid w:val="3453C48F"/>
    <w:rsid w:val="34A24633"/>
    <w:rsid w:val="356E4FD0"/>
    <w:rsid w:val="35AF8AEF"/>
    <w:rsid w:val="37774F45"/>
    <w:rsid w:val="37F096A1"/>
    <w:rsid w:val="386B1238"/>
    <w:rsid w:val="3950A692"/>
    <w:rsid w:val="3A4D4C52"/>
    <w:rsid w:val="3A9D1320"/>
    <w:rsid w:val="3AC009A6"/>
    <w:rsid w:val="3AE5BF6A"/>
    <w:rsid w:val="3B3D6368"/>
    <w:rsid w:val="3BC599CA"/>
    <w:rsid w:val="3CDBACB7"/>
    <w:rsid w:val="3DD4B3E2"/>
    <w:rsid w:val="3E0CC9D5"/>
    <w:rsid w:val="3E31615E"/>
    <w:rsid w:val="3E6CC927"/>
    <w:rsid w:val="3F6EC873"/>
    <w:rsid w:val="4010D48B"/>
    <w:rsid w:val="407BB3C3"/>
    <w:rsid w:val="40CBC354"/>
    <w:rsid w:val="411EB3A7"/>
    <w:rsid w:val="4226B9C5"/>
    <w:rsid w:val="4348754D"/>
    <w:rsid w:val="43DB713A"/>
    <w:rsid w:val="44197C82"/>
    <w:rsid w:val="4455D24D"/>
    <w:rsid w:val="44FCCA8D"/>
    <w:rsid w:val="4635619A"/>
    <w:rsid w:val="4AC513D1"/>
    <w:rsid w:val="4ACBBD83"/>
    <w:rsid w:val="4AD5EA01"/>
    <w:rsid w:val="4B58DCD6"/>
    <w:rsid w:val="4B9FAE67"/>
    <w:rsid w:val="4EB74C76"/>
    <w:rsid w:val="4FEEB6BA"/>
    <w:rsid w:val="50B5EB6A"/>
    <w:rsid w:val="51657F70"/>
    <w:rsid w:val="5230697A"/>
    <w:rsid w:val="53E3BFEA"/>
    <w:rsid w:val="543E800B"/>
    <w:rsid w:val="554690AD"/>
    <w:rsid w:val="55651BBA"/>
    <w:rsid w:val="563A53A0"/>
    <w:rsid w:val="56826B62"/>
    <w:rsid w:val="569E275F"/>
    <w:rsid w:val="56B3DD6D"/>
    <w:rsid w:val="56B6AC3E"/>
    <w:rsid w:val="57252CEE"/>
    <w:rsid w:val="575E0998"/>
    <w:rsid w:val="58527C9F"/>
    <w:rsid w:val="5946BBA4"/>
    <w:rsid w:val="5971D690"/>
    <w:rsid w:val="5AC98B14"/>
    <w:rsid w:val="5AEB7653"/>
    <w:rsid w:val="5BB3B7DD"/>
    <w:rsid w:val="5D0C771C"/>
    <w:rsid w:val="5D65CB3A"/>
    <w:rsid w:val="5D7B4E8D"/>
    <w:rsid w:val="5FA5BF19"/>
    <w:rsid w:val="6145033B"/>
    <w:rsid w:val="623ACAF5"/>
    <w:rsid w:val="6281A8F6"/>
    <w:rsid w:val="665CA63B"/>
    <w:rsid w:val="66C715D6"/>
    <w:rsid w:val="67035EDA"/>
    <w:rsid w:val="674EB69E"/>
    <w:rsid w:val="6786AD86"/>
    <w:rsid w:val="678EE5BF"/>
    <w:rsid w:val="68051D8A"/>
    <w:rsid w:val="6A21C4DC"/>
    <w:rsid w:val="6B768175"/>
    <w:rsid w:val="6C10AE98"/>
    <w:rsid w:val="6CA69091"/>
    <w:rsid w:val="6E30840B"/>
    <w:rsid w:val="6EAAA554"/>
    <w:rsid w:val="6EF25BE6"/>
    <w:rsid w:val="6F0B8443"/>
    <w:rsid w:val="6FAA69F6"/>
    <w:rsid w:val="713534A8"/>
    <w:rsid w:val="71D6D3F9"/>
    <w:rsid w:val="725862C0"/>
    <w:rsid w:val="73DEF566"/>
    <w:rsid w:val="7429544B"/>
    <w:rsid w:val="7616F4D0"/>
    <w:rsid w:val="76A107DE"/>
    <w:rsid w:val="76B5757E"/>
    <w:rsid w:val="77302DC4"/>
    <w:rsid w:val="775EBEDD"/>
    <w:rsid w:val="77CEE24E"/>
    <w:rsid w:val="7860EAE4"/>
    <w:rsid w:val="78DD062B"/>
    <w:rsid w:val="791FD20B"/>
    <w:rsid w:val="795AA103"/>
    <w:rsid w:val="79851399"/>
    <w:rsid w:val="79D9CAC4"/>
    <w:rsid w:val="7A639182"/>
    <w:rsid w:val="7A787B2D"/>
    <w:rsid w:val="7B0D7003"/>
    <w:rsid w:val="7B9EE4B6"/>
    <w:rsid w:val="7BDCA3E1"/>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CA1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CA12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7202653">
      <w:bodyDiv w:val="1"/>
      <w:marLeft w:val="0"/>
      <w:marRight w:val="0"/>
      <w:marTop w:val="0"/>
      <w:marBottom w:val="0"/>
      <w:divBdr>
        <w:top w:val="none" w:sz="0" w:space="0" w:color="auto"/>
        <w:left w:val="none" w:sz="0" w:space="0" w:color="auto"/>
        <w:bottom w:val="none" w:sz="0" w:space="0" w:color="auto"/>
        <w:right w:val="none" w:sz="0" w:space="0" w:color="auto"/>
      </w:divBdr>
    </w:div>
    <w:div w:id="259026161">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418989700">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579096374">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998651446">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16274337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35582471">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13367049">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05140543">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 w:id="2123919880">
      <w:bodyDiv w:val="1"/>
      <w:marLeft w:val="0"/>
      <w:marRight w:val="0"/>
      <w:marTop w:val="0"/>
      <w:marBottom w:val="0"/>
      <w:divBdr>
        <w:top w:val="none" w:sz="0" w:space="0" w:color="auto"/>
        <w:left w:val="none" w:sz="0" w:space="0" w:color="auto"/>
        <w:bottom w:val="none" w:sz="0" w:space="0" w:color="auto"/>
        <w:right w:val="none" w:sz="0" w:space="0" w:color="auto"/>
      </w:divBdr>
    </w:div>
    <w:div w:id="21354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3a46826618304c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05FC-CED8-4B64-AB7A-E0F525D9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482A6299-73F3-46AD-9FDA-49BD4A41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2838</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13</cp:revision>
  <cp:lastPrinted>2018-01-25T14:22:00Z</cp:lastPrinted>
  <dcterms:created xsi:type="dcterms:W3CDTF">2022-02-28T16:43:00Z</dcterms:created>
  <dcterms:modified xsi:type="dcterms:W3CDTF">2022-04-29T14:49:00Z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