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5B23" w14:textId="77777777" w:rsidR="00A84782" w:rsidRPr="00A84782" w:rsidRDefault="00A84782" w:rsidP="00A8478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r w:rsidRPr="00A8478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6DFB92" w14:textId="77777777" w:rsidR="00A84782" w:rsidRPr="00A84782" w:rsidRDefault="00A84782" w:rsidP="00A84782">
      <w:pPr>
        <w:widowControl/>
        <w:autoSpaceDE/>
        <w:autoSpaceDN/>
        <w:adjustRightInd/>
        <w:jc w:val="both"/>
        <w:rPr>
          <w:rFonts w:ascii="Arial" w:eastAsia="Times New Roman" w:hAnsi="Arial" w:cs="Arial"/>
          <w:sz w:val="20"/>
          <w:szCs w:val="20"/>
          <w:lang w:val="es-419"/>
        </w:rPr>
      </w:pPr>
    </w:p>
    <w:p w14:paraId="05239722" w14:textId="186AB4E8"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Asunto</w:t>
      </w:r>
      <w:r w:rsidRPr="00FE4384">
        <w:rPr>
          <w:rFonts w:ascii="Arial" w:eastAsia="Times New Roman" w:hAnsi="Arial" w:cs="Arial"/>
          <w:sz w:val="20"/>
          <w:szCs w:val="20"/>
          <w:lang w:val="es-419"/>
        </w:rPr>
        <w:tab/>
      </w:r>
      <w:r w:rsidRPr="00FE4384">
        <w:rPr>
          <w:rFonts w:ascii="Arial" w:eastAsia="Times New Roman" w:hAnsi="Arial" w:cs="Arial"/>
          <w:sz w:val="20"/>
          <w:szCs w:val="20"/>
          <w:lang w:val="es-419"/>
        </w:rPr>
        <w:tab/>
        <w:t>: Sentencia de tutela en segunda instancia</w:t>
      </w:r>
    </w:p>
    <w:p w14:paraId="41699718" w14:textId="50AAED70"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Accionante</w:t>
      </w:r>
      <w:r w:rsidRPr="00FE4384">
        <w:rPr>
          <w:rFonts w:ascii="Arial" w:eastAsia="Times New Roman" w:hAnsi="Arial" w:cs="Arial"/>
          <w:sz w:val="20"/>
          <w:szCs w:val="20"/>
          <w:lang w:val="es-419"/>
        </w:rPr>
        <w:tab/>
        <w:t>: María Trinidad Londoño Cuervo</w:t>
      </w:r>
    </w:p>
    <w:p w14:paraId="0AD63FD9" w14:textId="2873063E"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Accionados</w:t>
      </w:r>
      <w:r w:rsidRPr="00FE4384">
        <w:rPr>
          <w:rFonts w:ascii="Arial" w:eastAsia="Times New Roman" w:hAnsi="Arial" w:cs="Arial"/>
          <w:sz w:val="20"/>
          <w:szCs w:val="20"/>
          <w:lang w:val="es-419"/>
        </w:rPr>
        <w:tab/>
        <w:t xml:space="preserve">: Colpensiones </w:t>
      </w:r>
    </w:p>
    <w:p w14:paraId="585C3049" w14:textId="630D8D86"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Litisconsortes</w:t>
      </w:r>
      <w:r w:rsidRPr="00FE4384">
        <w:rPr>
          <w:rFonts w:ascii="Arial" w:eastAsia="Times New Roman" w:hAnsi="Arial" w:cs="Arial"/>
          <w:sz w:val="20"/>
          <w:szCs w:val="20"/>
          <w:lang w:val="es-419"/>
        </w:rPr>
        <w:tab/>
        <w:t>: Dirección de Medicina Laboral de Colpensiones</w:t>
      </w:r>
    </w:p>
    <w:p w14:paraId="63B55328" w14:textId="6DBE006B"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Terceros</w:t>
      </w:r>
      <w:r w:rsidRPr="00FE4384">
        <w:rPr>
          <w:rFonts w:ascii="Arial" w:eastAsia="Times New Roman" w:hAnsi="Arial" w:cs="Arial"/>
          <w:sz w:val="20"/>
          <w:szCs w:val="20"/>
          <w:lang w:val="es-419"/>
        </w:rPr>
        <w:tab/>
        <w:t>: Dirección de Atención y Servicio de Colpensiones</w:t>
      </w:r>
    </w:p>
    <w:p w14:paraId="3E44224A" w14:textId="6DD6A0DB"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Procedencia</w:t>
      </w:r>
      <w:r w:rsidRPr="00FE4384">
        <w:rPr>
          <w:rFonts w:ascii="Arial" w:eastAsia="Times New Roman" w:hAnsi="Arial" w:cs="Arial"/>
          <w:sz w:val="20"/>
          <w:szCs w:val="20"/>
          <w:lang w:val="es-419"/>
        </w:rPr>
        <w:tab/>
        <w:t>: Juzgado 2º Civil del Circuito de Pereira</w:t>
      </w:r>
    </w:p>
    <w:p w14:paraId="56E434EB" w14:textId="54E6AC25"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Radicación</w:t>
      </w:r>
      <w:r w:rsidRPr="00FE4384">
        <w:rPr>
          <w:rFonts w:ascii="Arial" w:eastAsia="Times New Roman" w:hAnsi="Arial" w:cs="Arial"/>
          <w:sz w:val="20"/>
          <w:szCs w:val="20"/>
          <w:lang w:val="es-419"/>
        </w:rPr>
        <w:tab/>
        <w:t>: 66001-31-03-002-2022-00292-01</w:t>
      </w:r>
    </w:p>
    <w:p w14:paraId="1D3A6EF2" w14:textId="49FC43B3" w:rsidR="00FE4384" w:rsidRPr="00FE4384"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Mg. Ponente</w:t>
      </w:r>
      <w:r w:rsidRPr="00FE4384">
        <w:rPr>
          <w:rFonts w:ascii="Arial" w:eastAsia="Times New Roman" w:hAnsi="Arial" w:cs="Arial"/>
          <w:sz w:val="20"/>
          <w:szCs w:val="20"/>
          <w:lang w:val="es-419"/>
        </w:rPr>
        <w:tab/>
        <w:t>: DUBERNEY GRISALES HERRERA</w:t>
      </w:r>
    </w:p>
    <w:p w14:paraId="6258F02C" w14:textId="65BF0E35" w:rsidR="00A84782" w:rsidRPr="00A84782" w:rsidRDefault="00FE4384" w:rsidP="00FE4384">
      <w:pPr>
        <w:widowControl/>
        <w:autoSpaceDE/>
        <w:autoSpaceDN/>
        <w:adjustRightInd/>
        <w:jc w:val="both"/>
        <w:rPr>
          <w:rFonts w:ascii="Arial" w:eastAsia="Times New Roman" w:hAnsi="Arial" w:cs="Arial"/>
          <w:sz w:val="20"/>
          <w:szCs w:val="20"/>
          <w:lang w:val="es-419"/>
        </w:rPr>
      </w:pPr>
      <w:r w:rsidRPr="00FE4384">
        <w:rPr>
          <w:rFonts w:ascii="Arial" w:eastAsia="Times New Roman" w:hAnsi="Arial" w:cs="Arial"/>
          <w:sz w:val="20"/>
          <w:szCs w:val="20"/>
          <w:lang w:val="es-419"/>
        </w:rPr>
        <w:t>Acta número</w:t>
      </w:r>
      <w:r w:rsidRPr="00FE4384">
        <w:rPr>
          <w:rFonts w:ascii="Arial" w:eastAsia="Times New Roman" w:hAnsi="Arial" w:cs="Arial"/>
          <w:sz w:val="20"/>
          <w:szCs w:val="20"/>
          <w:lang w:val="es-419"/>
        </w:rPr>
        <w:tab/>
        <w:t>: 213 del 24-05-2022</w:t>
      </w:r>
    </w:p>
    <w:p w14:paraId="0902A38D" w14:textId="77777777" w:rsidR="00A84782" w:rsidRPr="00A84782" w:rsidRDefault="00A84782" w:rsidP="00A84782">
      <w:pPr>
        <w:widowControl/>
        <w:autoSpaceDE/>
        <w:autoSpaceDN/>
        <w:adjustRightInd/>
        <w:jc w:val="both"/>
        <w:rPr>
          <w:rFonts w:ascii="Arial" w:eastAsia="Times New Roman" w:hAnsi="Arial" w:cs="Arial"/>
          <w:sz w:val="20"/>
          <w:szCs w:val="20"/>
          <w:lang w:val="es-419"/>
        </w:rPr>
      </w:pPr>
    </w:p>
    <w:p w14:paraId="45490A5A" w14:textId="3C3D9A00" w:rsidR="00A84782" w:rsidRPr="00A84782" w:rsidRDefault="00E00BE8" w:rsidP="00A84782">
      <w:pPr>
        <w:widowControl/>
        <w:autoSpaceDE/>
        <w:autoSpaceDN/>
        <w:adjustRightInd/>
        <w:jc w:val="both"/>
        <w:rPr>
          <w:rFonts w:ascii="Arial" w:eastAsia="Times New Roman" w:hAnsi="Arial" w:cs="Arial"/>
          <w:b/>
          <w:bCs/>
          <w:iCs/>
          <w:sz w:val="20"/>
          <w:szCs w:val="20"/>
          <w:lang w:val="es-419" w:eastAsia="fr-FR"/>
        </w:rPr>
      </w:pPr>
      <w:r w:rsidRPr="00A84782">
        <w:rPr>
          <w:rFonts w:ascii="Arial" w:eastAsia="Times New Roman" w:hAnsi="Arial" w:cs="Arial"/>
          <w:b/>
          <w:bCs/>
          <w:iCs/>
          <w:sz w:val="20"/>
          <w:szCs w:val="20"/>
          <w:u w:val="single"/>
          <w:lang w:val="es-419" w:eastAsia="fr-FR"/>
        </w:rPr>
        <w:t>TEMAS:</w:t>
      </w:r>
      <w:r w:rsidRPr="00A8478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CALIFICACIÓN DE PÉRDIDA DE CAPACIDAD LABORAL / PRINCIPIO DE SUBSIDIARIEDAD / FLEXIBILIDAD / PERSONAS EN SITUACIÓN DE DISCAPACIDAD / ENFERMEDADES SOBREVINIENTES / DEBE HACERSE NUEVA CALIFICACIÓN, AUNQUE NO HAYA TRANSCURRIDO EL AÑO PREVISTO EN LA LEY.</w:t>
      </w:r>
    </w:p>
    <w:p w14:paraId="1E1EE608" w14:textId="77777777" w:rsidR="00A84782" w:rsidRPr="00A84782" w:rsidRDefault="00A84782" w:rsidP="00A84782">
      <w:pPr>
        <w:widowControl/>
        <w:autoSpaceDE/>
        <w:autoSpaceDN/>
        <w:adjustRightInd/>
        <w:jc w:val="both"/>
        <w:rPr>
          <w:rFonts w:ascii="Arial" w:eastAsia="Times New Roman" w:hAnsi="Arial" w:cs="Arial"/>
          <w:sz w:val="20"/>
          <w:szCs w:val="20"/>
          <w:lang w:val="es-419"/>
        </w:rPr>
      </w:pPr>
    </w:p>
    <w:p w14:paraId="3BBAF062" w14:textId="4939743D" w:rsidR="00F75A23" w:rsidRPr="00F75A23" w:rsidRDefault="00F75A23" w:rsidP="00F75A23">
      <w:pPr>
        <w:widowControl/>
        <w:autoSpaceDE/>
        <w:autoSpaceDN/>
        <w:adjustRightInd/>
        <w:jc w:val="both"/>
        <w:rPr>
          <w:rFonts w:ascii="Arial" w:eastAsia="Times New Roman" w:hAnsi="Arial" w:cs="Arial"/>
          <w:sz w:val="20"/>
          <w:szCs w:val="20"/>
          <w:lang w:val="es-419"/>
        </w:rPr>
      </w:pPr>
      <w:r w:rsidRPr="00F75A23">
        <w:rPr>
          <w:rFonts w:ascii="Arial" w:eastAsia="Times New Roman" w:hAnsi="Arial" w:cs="Arial"/>
          <w:sz w:val="20"/>
          <w:szCs w:val="20"/>
          <w:lang w:val="es-419"/>
        </w:rPr>
        <w:t>Procede la acción siempre que el afectado carezca de otro instrumento defensivo judicial (2022). Empero, hay dos (2) excepciones que guardan en común la existencia del medio ordinario: (i) La tutela transitoria para evitar un perjuicio irremediable; y (ii) La ineficacia de la herramienta regular para salvaguardar los derechos.</w:t>
      </w:r>
    </w:p>
    <w:p w14:paraId="0DA4AD75" w14:textId="77777777" w:rsidR="00F75A23" w:rsidRPr="00F75A23" w:rsidRDefault="00F75A23" w:rsidP="00F75A23">
      <w:pPr>
        <w:widowControl/>
        <w:autoSpaceDE/>
        <w:autoSpaceDN/>
        <w:adjustRightInd/>
        <w:jc w:val="both"/>
        <w:rPr>
          <w:rFonts w:ascii="Arial" w:eastAsia="Times New Roman" w:hAnsi="Arial" w:cs="Arial"/>
          <w:sz w:val="20"/>
          <w:szCs w:val="20"/>
          <w:lang w:val="es-419"/>
        </w:rPr>
      </w:pPr>
    </w:p>
    <w:p w14:paraId="226B7163" w14:textId="3C2D28E5" w:rsidR="00A84782" w:rsidRPr="00A84782" w:rsidRDefault="00F75A23" w:rsidP="00F75A23">
      <w:pPr>
        <w:widowControl/>
        <w:autoSpaceDE/>
        <w:autoSpaceDN/>
        <w:adjustRightInd/>
        <w:jc w:val="both"/>
        <w:rPr>
          <w:rFonts w:ascii="Arial" w:eastAsia="Times New Roman" w:hAnsi="Arial" w:cs="Arial"/>
          <w:sz w:val="20"/>
          <w:szCs w:val="20"/>
          <w:lang w:val="es-419"/>
        </w:rPr>
      </w:pPr>
      <w:r w:rsidRPr="00F75A23">
        <w:rPr>
          <w:rFonts w:ascii="Arial" w:eastAsia="Times New Roman" w:hAnsi="Arial" w:cs="Arial"/>
          <w:sz w:val="20"/>
          <w:szCs w:val="20"/>
          <w:lang w:val="es-419"/>
        </w:rPr>
        <w:t>Importante precisar que el análisis de este requisito: “(…) debe hacerse de manera flexible cuando se trata de personas en situación de discapacidad o de la tercera edad</w:t>
      </w:r>
      <w:r>
        <w:rPr>
          <w:rFonts w:ascii="Arial" w:eastAsia="Times New Roman" w:hAnsi="Arial" w:cs="Arial"/>
          <w:sz w:val="20"/>
          <w:szCs w:val="20"/>
          <w:lang w:val="es-419"/>
        </w:rPr>
        <w:t>…”</w:t>
      </w:r>
    </w:p>
    <w:p w14:paraId="0EE9AA73" w14:textId="77777777" w:rsidR="00A84782" w:rsidRPr="00A84782" w:rsidRDefault="00A84782" w:rsidP="00A84782">
      <w:pPr>
        <w:widowControl/>
        <w:autoSpaceDE/>
        <w:autoSpaceDN/>
        <w:adjustRightInd/>
        <w:jc w:val="both"/>
        <w:rPr>
          <w:rFonts w:ascii="Arial" w:eastAsia="Times New Roman" w:hAnsi="Arial" w:cs="Arial"/>
          <w:sz w:val="20"/>
          <w:szCs w:val="20"/>
          <w:lang w:val="es-419"/>
        </w:rPr>
      </w:pPr>
    </w:p>
    <w:p w14:paraId="353CBC32" w14:textId="1224F0D5" w:rsidR="00A84782" w:rsidRPr="00A84782" w:rsidRDefault="00F75A23" w:rsidP="00A84782">
      <w:pPr>
        <w:widowControl/>
        <w:autoSpaceDE/>
        <w:autoSpaceDN/>
        <w:adjustRightInd/>
        <w:jc w:val="both"/>
        <w:rPr>
          <w:rFonts w:ascii="Arial" w:eastAsia="Times New Roman" w:hAnsi="Arial" w:cs="Arial"/>
          <w:sz w:val="20"/>
          <w:szCs w:val="20"/>
          <w:lang w:val="es-419"/>
        </w:rPr>
      </w:pPr>
      <w:r w:rsidRPr="00F75A23">
        <w:rPr>
          <w:rFonts w:ascii="Arial" w:eastAsia="Times New Roman" w:hAnsi="Arial" w:cs="Arial"/>
          <w:sz w:val="20"/>
          <w:szCs w:val="20"/>
          <w:lang w:val="es-419"/>
        </w:rPr>
        <w:t>Respecto a la tutela de derechos de personas en situación de discapacidad con ocasión del trámite de calificación de la PCL, ha dicho la Corte Constitucional que es procedente porque, en su parecer, la vía ordinaria laboral (Art.2º, CPTSS) no es eficaz y expedita cuando el afiliado está afectado en su salud</w:t>
      </w:r>
      <w:r>
        <w:rPr>
          <w:rFonts w:ascii="Arial" w:eastAsia="Times New Roman" w:hAnsi="Arial" w:cs="Arial"/>
          <w:sz w:val="20"/>
          <w:szCs w:val="20"/>
          <w:lang w:val="es-419"/>
        </w:rPr>
        <w:t>…</w:t>
      </w:r>
    </w:p>
    <w:p w14:paraId="760C8967" w14:textId="77777777" w:rsidR="00A84782" w:rsidRPr="00A84782" w:rsidRDefault="00A84782" w:rsidP="00A84782">
      <w:pPr>
        <w:widowControl/>
        <w:autoSpaceDE/>
        <w:autoSpaceDN/>
        <w:adjustRightInd/>
        <w:jc w:val="both"/>
        <w:rPr>
          <w:rFonts w:ascii="Arial" w:eastAsia="Times New Roman" w:hAnsi="Arial" w:cs="Arial"/>
          <w:sz w:val="20"/>
          <w:szCs w:val="20"/>
          <w:lang w:val="es-419"/>
        </w:rPr>
      </w:pPr>
    </w:p>
    <w:p w14:paraId="5A0019F2" w14:textId="1EE4A244" w:rsidR="00A84782" w:rsidRPr="00A84782" w:rsidRDefault="00F75A23" w:rsidP="00A84782">
      <w:pPr>
        <w:widowControl/>
        <w:autoSpaceDE/>
        <w:autoSpaceDN/>
        <w:adjustRightInd/>
        <w:jc w:val="both"/>
        <w:rPr>
          <w:rFonts w:ascii="Arial" w:eastAsia="Times New Roman" w:hAnsi="Arial" w:cs="Arial"/>
          <w:sz w:val="20"/>
          <w:szCs w:val="20"/>
          <w:lang w:val="es-419"/>
        </w:rPr>
      </w:pPr>
      <w:r w:rsidRPr="00F75A23">
        <w:rPr>
          <w:rFonts w:ascii="Arial" w:eastAsia="Times New Roman" w:hAnsi="Arial" w:cs="Arial"/>
          <w:sz w:val="20"/>
          <w:szCs w:val="20"/>
          <w:lang w:val="es-419"/>
        </w:rPr>
        <w:t>Palmario es que la calificación de la PCL es un derecho que el fondo pensional debe garantizar a sus afiliados, en la medida en que tiene relación directa con el acceso a otros de carácter fundamental, como el de la seguridad social o el mínimo vital, precisamente, porque es necesario para que puedan obtener el reconocimiento eventual de una pensión de invalidez o de sobrevivientes, según sea el caso</w:t>
      </w:r>
      <w:r>
        <w:rPr>
          <w:rFonts w:ascii="Arial" w:eastAsia="Times New Roman" w:hAnsi="Arial" w:cs="Arial"/>
          <w:sz w:val="20"/>
          <w:szCs w:val="20"/>
          <w:lang w:val="es-419"/>
        </w:rPr>
        <w:t>…</w:t>
      </w:r>
    </w:p>
    <w:p w14:paraId="50F0378C" w14:textId="77777777" w:rsidR="00A84782" w:rsidRPr="00A84782" w:rsidRDefault="00A84782" w:rsidP="00A84782">
      <w:pPr>
        <w:widowControl/>
        <w:autoSpaceDE/>
        <w:autoSpaceDN/>
        <w:adjustRightInd/>
        <w:jc w:val="both"/>
        <w:rPr>
          <w:rFonts w:ascii="Arial" w:eastAsia="Times New Roman" w:hAnsi="Arial" w:cs="Arial"/>
          <w:sz w:val="20"/>
          <w:szCs w:val="20"/>
        </w:rPr>
      </w:pPr>
    </w:p>
    <w:p w14:paraId="2A8FDF83" w14:textId="2F93FABD" w:rsidR="00A84782" w:rsidRPr="00A84782" w:rsidRDefault="00575B44" w:rsidP="00A84782">
      <w:pPr>
        <w:widowControl/>
        <w:autoSpaceDE/>
        <w:autoSpaceDN/>
        <w:adjustRightInd/>
        <w:jc w:val="both"/>
        <w:rPr>
          <w:rFonts w:ascii="Arial" w:eastAsia="Times New Roman" w:hAnsi="Arial" w:cs="Arial"/>
          <w:sz w:val="20"/>
          <w:szCs w:val="20"/>
        </w:rPr>
      </w:pPr>
      <w:r w:rsidRPr="00575B44">
        <w:rPr>
          <w:rFonts w:ascii="Arial" w:eastAsia="Times New Roman" w:hAnsi="Arial" w:cs="Arial"/>
          <w:sz w:val="20"/>
          <w:szCs w:val="20"/>
        </w:rPr>
        <w:t>En tratándose de la calificación de enfermedades adicionales que no pudieron tenerse en cuenta en el dictamen por ser posteriores a su expedición, esta Magistratura (2021), con base en jurisprudencia de la CC, de forma pacífica y reiterada ha expuesto que es dable su práctica, habida cuenta de que la valoración de la PCL no puede estar “(…)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 (…)” .</w:t>
      </w:r>
    </w:p>
    <w:p w14:paraId="6C7E5C69" w14:textId="77777777" w:rsidR="00A84782" w:rsidRPr="00A84782" w:rsidRDefault="00A84782" w:rsidP="00A84782">
      <w:pPr>
        <w:widowControl/>
        <w:autoSpaceDE/>
        <w:autoSpaceDN/>
        <w:adjustRightInd/>
        <w:jc w:val="both"/>
        <w:rPr>
          <w:rFonts w:ascii="Arial" w:eastAsia="Times New Roman" w:hAnsi="Arial" w:cs="Arial"/>
          <w:sz w:val="20"/>
          <w:szCs w:val="20"/>
        </w:rPr>
      </w:pPr>
    </w:p>
    <w:bookmarkEnd w:id="0"/>
    <w:p w14:paraId="46AC0E59" w14:textId="368F23F9" w:rsidR="00A84782" w:rsidRDefault="00A84782" w:rsidP="00A84782">
      <w:pPr>
        <w:widowControl/>
        <w:autoSpaceDE/>
        <w:autoSpaceDN/>
        <w:adjustRightInd/>
        <w:jc w:val="both"/>
        <w:rPr>
          <w:rFonts w:ascii="Arial" w:eastAsia="Times New Roman" w:hAnsi="Arial" w:cs="Arial"/>
          <w:sz w:val="20"/>
          <w:szCs w:val="20"/>
        </w:rPr>
      </w:pPr>
    </w:p>
    <w:p w14:paraId="2C63E784" w14:textId="77777777" w:rsidR="00575B44" w:rsidRPr="00A84782" w:rsidRDefault="00575B44" w:rsidP="00A84782">
      <w:pPr>
        <w:widowControl/>
        <w:autoSpaceDE/>
        <w:autoSpaceDN/>
        <w:adjustRightInd/>
        <w:jc w:val="both"/>
        <w:rPr>
          <w:rFonts w:ascii="Arial" w:eastAsia="Times New Roman" w:hAnsi="Arial" w:cs="Arial"/>
          <w:sz w:val="20"/>
          <w:szCs w:val="20"/>
        </w:rPr>
      </w:pPr>
    </w:p>
    <w:bookmarkEnd w:id="1"/>
    <w:p w14:paraId="4CEEE6CB" w14:textId="77777777" w:rsidR="00EA1FA4" w:rsidRPr="007C0A88" w:rsidRDefault="00EA1FA4" w:rsidP="00EA1FA4">
      <w:pPr>
        <w:pStyle w:val="Sinespaciado"/>
        <w:spacing w:line="360" w:lineRule="auto"/>
        <w:rPr>
          <w:rFonts w:ascii="Georgia" w:hAnsi="Georgia" w:cs="Arial"/>
          <w:w w:val="140"/>
        </w:rPr>
      </w:pPr>
      <w:r>
        <w:rPr>
          <w:noProof/>
        </w:rPr>
        <w:drawing>
          <wp:anchor distT="0" distB="0" distL="114300" distR="114300" simplePos="0" relativeHeight="251659264" behindDoc="0" locked="0" layoutInCell="1" allowOverlap="1" wp14:anchorId="64CC6A17" wp14:editId="110EE26E">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8CA73" w14:textId="77777777" w:rsidR="00EA1FA4" w:rsidRPr="007C0A88" w:rsidRDefault="00EA1FA4" w:rsidP="00EA1FA4">
      <w:pPr>
        <w:pStyle w:val="Sinespaciado"/>
        <w:spacing w:line="360" w:lineRule="auto"/>
        <w:rPr>
          <w:rFonts w:ascii="Georgia" w:hAnsi="Georgia" w:cs="Arial"/>
          <w:w w:val="140"/>
          <w:sz w:val="14"/>
        </w:rPr>
      </w:pPr>
    </w:p>
    <w:p w14:paraId="461B42F1" w14:textId="77777777" w:rsidR="00EA1FA4" w:rsidRPr="0092467E" w:rsidRDefault="00EA1FA4" w:rsidP="00EA1FA4">
      <w:pPr>
        <w:pStyle w:val="Sinespaciado"/>
        <w:tabs>
          <w:tab w:val="left" w:pos="3579"/>
        </w:tabs>
        <w:spacing w:line="360" w:lineRule="auto"/>
        <w:jc w:val="center"/>
        <w:rPr>
          <w:rFonts w:ascii="Georgia" w:hAnsi="Georgia" w:cs="Arial"/>
          <w:w w:val="140"/>
          <w:sz w:val="2"/>
        </w:rPr>
      </w:pPr>
    </w:p>
    <w:p w14:paraId="1EE3F4FD" w14:textId="77777777" w:rsidR="00EA1FA4" w:rsidRPr="001E5B6B" w:rsidRDefault="00EA1FA4" w:rsidP="00EA1FA4">
      <w:pPr>
        <w:pStyle w:val="Sinespaciado"/>
        <w:tabs>
          <w:tab w:val="left" w:pos="3579"/>
        </w:tabs>
        <w:spacing w:line="360" w:lineRule="auto"/>
        <w:jc w:val="center"/>
        <w:rPr>
          <w:rFonts w:ascii="Georgia" w:hAnsi="Georgia" w:cs="Arial"/>
          <w:w w:val="140"/>
          <w:sz w:val="14"/>
        </w:rPr>
      </w:pPr>
      <w:r w:rsidRPr="001E5B6B">
        <w:rPr>
          <w:rFonts w:ascii="Georgia" w:hAnsi="Georgia" w:cs="Arial"/>
          <w:w w:val="140"/>
          <w:sz w:val="14"/>
        </w:rPr>
        <w:t>REPUBLICA DE COLOMBIA</w:t>
      </w:r>
    </w:p>
    <w:p w14:paraId="2A3A54CB" w14:textId="77777777" w:rsidR="00EA1FA4" w:rsidRPr="001E5B6B" w:rsidRDefault="00EA1FA4" w:rsidP="00EA1FA4">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14:paraId="1AD3C325" w14:textId="77777777" w:rsidR="00EA1FA4" w:rsidRPr="007A0D2C" w:rsidRDefault="00EA1FA4" w:rsidP="00EA1FA4">
      <w:pPr>
        <w:pStyle w:val="Sinespaciado"/>
        <w:spacing w:line="360" w:lineRule="auto"/>
        <w:jc w:val="center"/>
        <w:rPr>
          <w:rFonts w:ascii="Georgia" w:hAnsi="Georgia" w:cs="Arial"/>
          <w:b/>
          <w:bCs/>
          <w:w w:val="140"/>
          <w:sz w:val="16"/>
        </w:rPr>
      </w:pPr>
      <w:r w:rsidRPr="007A0D2C">
        <w:rPr>
          <w:rFonts w:ascii="Georgia" w:hAnsi="Georgia" w:cs="Arial"/>
          <w:b/>
          <w:bCs/>
          <w:w w:val="140"/>
          <w:sz w:val="18"/>
        </w:rPr>
        <w:t>T</w:t>
      </w:r>
      <w:r w:rsidRPr="007A0D2C">
        <w:rPr>
          <w:rFonts w:ascii="Georgia" w:hAnsi="Georgia" w:cs="Arial"/>
          <w:b/>
          <w:bCs/>
          <w:w w:val="140"/>
          <w:sz w:val="16"/>
        </w:rPr>
        <w:t>RIBUNAL</w:t>
      </w:r>
      <w:r w:rsidRPr="007A0D2C">
        <w:rPr>
          <w:rFonts w:ascii="Georgia" w:hAnsi="Georgia" w:cs="Arial"/>
          <w:b/>
          <w:bCs/>
          <w:w w:val="140"/>
          <w:sz w:val="18"/>
        </w:rPr>
        <w:t xml:space="preserve"> S</w:t>
      </w:r>
      <w:r w:rsidRPr="007A0D2C">
        <w:rPr>
          <w:rFonts w:ascii="Georgia" w:hAnsi="Georgia" w:cs="Arial"/>
          <w:b/>
          <w:bCs/>
          <w:w w:val="140"/>
          <w:sz w:val="16"/>
        </w:rPr>
        <w:t xml:space="preserve">UPERIOR DEL </w:t>
      </w:r>
      <w:r w:rsidRPr="007A0D2C">
        <w:rPr>
          <w:rFonts w:ascii="Georgia" w:hAnsi="Georgia" w:cs="Arial"/>
          <w:b/>
          <w:bCs/>
          <w:w w:val="140"/>
          <w:sz w:val="18"/>
        </w:rPr>
        <w:t>D</w:t>
      </w:r>
      <w:r w:rsidRPr="007A0D2C">
        <w:rPr>
          <w:rFonts w:ascii="Georgia" w:hAnsi="Georgia" w:cs="Arial"/>
          <w:b/>
          <w:bCs/>
          <w:w w:val="140"/>
          <w:sz w:val="16"/>
        </w:rPr>
        <w:t>ISTRITO</w:t>
      </w:r>
      <w:r w:rsidRPr="007A0D2C">
        <w:rPr>
          <w:rFonts w:ascii="Georgia" w:hAnsi="Georgia" w:cs="Arial"/>
          <w:b/>
          <w:bCs/>
          <w:w w:val="140"/>
          <w:sz w:val="18"/>
        </w:rPr>
        <w:t xml:space="preserve"> J</w:t>
      </w:r>
      <w:r w:rsidRPr="007A0D2C">
        <w:rPr>
          <w:rFonts w:ascii="Georgia" w:hAnsi="Georgia" w:cs="Arial"/>
          <w:b/>
          <w:bCs/>
          <w:w w:val="140"/>
          <w:sz w:val="16"/>
        </w:rPr>
        <w:t>UDICIAL</w:t>
      </w:r>
    </w:p>
    <w:p w14:paraId="48F21C49" w14:textId="77777777" w:rsidR="00EA1FA4" w:rsidRPr="001E5B6B" w:rsidRDefault="00EA1FA4" w:rsidP="00EA1FA4">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14:paraId="0B33FF0E" w14:textId="77777777" w:rsidR="00EA1FA4" w:rsidRPr="001E5B6B" w:rsidRDefault="00EA1FA4" w:rsidP="00EA1FA4">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14:paraId="2430578E" w14:textId="122076D9" w:rsidR="006F562A" w:rsidRPr="00FE4384" w:rsidRDefault="006F562A" w:rsidP="00FE4384">
      <w:pPr>
        <w:spacing w:line="276" w:lineRule="auto"/>
        <w:jc w:val="center"/>
        <w:rPr>
          <w:rFonts w:ascii="Georgia" w:hAnsi="Georgia" w:cs="Arial"/>
          <w:b/>
          <w:bCs/>
        </w:rPr>
      </w:pPr>
    </w:p>
    <w:p w14:paraId="4D755D93" w14:textId="7D0F7D2A" w:rsidR="00224A4F" w:rsidRPr="00FE4384" w:rsidRDefault="00224A4F" w:rsidP="00FE4384">
      <w:pPr>
        <w:pStyle w:val="Textoindependiente"/>
        <w:tabs>
          <w:tab w:val="clear" w:pos="3540"/>
          <w:tab w:val="left" w:pos="3969"/>
        </w:tabs>
        <w:spacing w:line="276" w:lineRule="auto"/>
        <w:jc w:val="center"/>
        <w:rPr>
          <w:rFonts w:ascii="Georgia" w:hAnsi="Georgia"/>
          <w:b/>
          <w:bCs/>
          <w:szCs w:val="24"/>
        </w:rPr>
      </w:pPr>
      <w:r w:rsidRPr="00FE4384">
        <w:rPr>
          <w:rFonts w:ascii="Georgia" w:hAnsi="Georgia"/>
          <w:b/>
          <w:bCs/>
          <w:szCs w:val="24"/>
        </w:rPr>
        <w:t>ST2-</w:t>
      </w:r>
      <w:r w:rsidR="00BF4B0C" w:rsidRPr="00FE4384">
        <w:rPr>
          <w:rFonts w:ascii="Georgia" w:hAnsi="Georgia"/>
          <w:b/>
          <w:bCs/>
          <w:szCs w:val="24"/>
        </w:rPr>
        <w:t>0143</w:t>
      </w:r>
      <w:r w:rsidRPr="00FE4384">
        <w:rPr>
          <w:rFonts w:ascii="Georgia" w:hAnsi="Georgia"/>
          <w:b/>
          <w:bCs/>
          <w:szCs w:val="24"/>
        </w:rPr>
        <w:t>-</w:t>
      </w:r>
      <w:r w:rsidR="00E230D6" w:rsidRPr="00FE4384">
        <w:rPr>
          <w:rFonts w:ascii="Georgia" w:hAnsi="Georgia"/>
          <w:b/>
          <w:bCs/>
          <w:szCs w:val="24"/>
        </w:rPr>
        <w:t>2022</w:t>
      </w:r>
    </w:p>
    <w:p w14:paraId="7D6724A8" w14:textId="77777777" w:rsidR="00224A4F" w:rsidRPr="00FE4384" w:rsidRDefault="00224A4F" w:rsidP="00FE4384">
      <w:pPr>
        <w:pStyle w:val="Textoindependiente"/>
        <w:tabs>
          <w:tab w:val="clear" w:pos="3540"/>
          <w:tab w:val="left" w:pos="3969"/>
        </w:tabs>
        <w:spacing w:line="276" w:lineRule="auto"/>
        <w:rPr>
          <w:rFonts w:ascii="Georgia" w:hAnsi="Georgia"/>
          <w:szCs w:val="24"/>
        </w:rPr>
      </w:pPr>
    </w:p>
    <w:p w14:paraId="2C72F462" w14:textId="77777777" w:rsidR="00CB5E3C" w:rsidRPr="00FE4384" w:rsidRDefault="00CB5E3C" w:rsidP="00FE4384">
      <w:pPr>
        <w:pBdr>
          <w:bottom w:val="double" w:sz="6" w:space="1" w:color="auto"/>
        </w:pBdr>
        <w:spacing w:line="276" w:lineRule="auto"/>
        <w:jc w:val="center"/>
        <w:rPr>
          <w:rFonts w:ascii="Georgia" w:hAnsi="Georgia" w:cs="Arial"/>
          <w:b/>
          <w:bCs/>
        </w:rPr>
      </w:pPr>
    </w:p>
    <w:p w14:paraId="511620ED" w14:textId="399863BC" w:rsidR="00CB5E3C" w:rsidRPr="00FE4384" w:rsidRDefault="00CB5E3C" w:rsidP="00FE4384">
      <w:pPr>
        <w:spacing w:line="276" w:lineRule="auto"/>
        <w:jc w:val="center"/>
        <w:rPr>
          <w:rFonts w:ascii="Georgia" w:hAnsi="Georgia" w:cs="Arial"/>
          <w:b/>
          <w:bCs/>
        </w:rPr>
      </w:pPr>
    </w:p>
    <w:p w14:paraId="58FA0F52" w14:textId="29AF56FD" w:rsidR="00CB5E3C" w:rsidRPr="00FE4384" w:rsidRDefault="00BF4B0C" w:rsidP="00FE4384">
      <w:pPr>
        <w:spacing w:line="276" w:lineRule="auto"/>
        <w:jc w:val="center"/>
        <w:rPr>
          <w:rFonts w:ascii="Georgia" w:hAnsi="Georgia" w:cs="Arial"/>
          <w:b/>
          <w:bCs/>
          <w:lang w:val="es-CO"/>
        </w:rPr>
      </w:pPr>
      <w:r w:rsidRPr="00FE4384">
        <w:rPr>
          <w:rFonts w:ascii="Georgia" w:hAnsi="Georgia" w:cs="Arial"/>
          <w:b/>
          <w:bCs/>
          <w:smallCaps/>
          <w:lang w:val="es-CO"/>
        </w:rPr>
        <w:t xml:space="preserve">Veinticuatro </w:t>
      </w:r>
      <w:r w:rsidR="006C00F3" w:rsidRPr="00FE4384">
        <w:rPr>
          <w:rFonts w:ascii="Georgia" w:hAnsi="Georgia" w:cs="Arial"/>
          <w:b/>
          <w:bCs/>
          <w:smallCaps/>
          <w:lang w:val="es-CO"/>
        </w:rPr>
        <w:t>(</w:t>
      </w:r>
      <w:r w:rsidRPr="00FE4384">
        <w:rPr>
          <w:rFonts w:ascii="Georgia" w:hAnsi="Georgia" w:cs="Arial"/>
          <w:b/>
          <w:bCs/>
          <w:smallCaps/>
          <w:lang w:val="es-CO"/>
        </w:rPr>
        <w:t>24</w:t>
      </w:r>
      <w:r w:rsidR="00CB5E3C" w:rsidRPr="00FE4384">
        <w:rPr>
          <w:rFonts w:ascii="Georgia" w:hAnsi="Georgia" w:cs="Arial"/>
          <w:b/>
          <w:bCs/>
          <w:smallCaps/>
          <w:lang w:val="es-CO"/>
        </w:rPr>
        <w:t xml:space="preserve">) de </w:t>
      </w:r>
      <w:r w:rsidR="00E230D6" w:rsidRPr="00FE4384">
        <w:rPr>
          <w:rFonts w:ascii="Georgia" w:hAnsi="Georgia" w:cs="Arial"/>
          <w:b/>
          <w:bCs/>
          <w:smallCaps/>
          <w:lang w:val="es-CO"/>
        </w:rPr>
        <w:t xml:space="preserve">mayo </w:t>
      </w:r>
      <w:r w:rsidR="00CB5E3C" w:rsidRPr="00FE4384">
        <w:rPr>
          <w:rFonts w:ascii="Georgia" w:hAnsi="Georgia" w:cs="Arial"/>
          <w:b/>
          <w:bCs/>
          <w:smallCaps/>
          <w:lang w:val="es-CO"/>
        </w:rPr>
        <w:t xml:space="preserve">de dos mil </w:t>
      </w:r>
      <w:r w:rsidR="00E230D6" w:rsidRPr="00FE4384">
        <w:rPr>
          <w:rFonts w:ascii="Georgia" w:hAnsi="Georgia" w:cs="Arial"/>
          <w:b/>
          <w:bCs/>
          <w:smallCaps/>
          <w:lang w:val="es-CO"/>
        </w:rPr>
        <w:t xml:space="preserve">veintidós </w:t>
      </w:r>
      <w:r w:rsidR="00CB5E3C" w:rsidRPr="00FE4384">
        <w:rPr>
          <w:rFonts w:ascii="Georgia" w:hAnsi="Georgia" w:cs="Arial"/>
          <w:b/>
          <w:bCs/>
          <w:smallCaps/>
          <w:lang w:val="es-CO"/>
        </w:rPr>
        <w:t>(</w:t>
      </w:r>
      <w:r w:rsidR="00E230D6" w:rsidRPr="00FE4384">
        <w:rPr>
          <w:rFonts w:ascii="Georgia" w:hAnsi="Georgia" w:cs="Arial"/>
          <w:b/>
          <w:bCs/>
          <w:smallCaps/>
          <w:lang w:val="es-CO"/>
        </w:rPr>
        <w:t>2022</w:t>
      </w:r>
      <w:r w:rsidR="00CB5E3C" w:rsidRPr="00FE4384">
        <w:rPr>
          <w:rFonts w:ascii="Georgia" w:hAnsi="Georgia" w:cs="Arial"/>
          <w:b/>
          <w:bCs/>
          <w:smallCaps/>
          <w:lang w:val="es-CO"/>
        </w:rPr>
        <w:t>)</w:t>
      </w:r>
      <w:r w:rsidR="00CB5E3C" w:rsidRPr="00FE4384">
        <w:rPr>
          <w:rFonts w:ascii="Georgia" w:hAnsi="Georgia" w:cs="Arial"/>
          <w:b/>
          <w:bCs/>
          <w:lang w:val="es-CO"/>
        </w:rPr>
        <w:t>.</w:t>
      </w:r>
    </w:p>
    <w:p w14:paraId="0C2A93DC" w14:textId="32D7769E" w:rsidR="00D6104D" w:rsidRPr="00FE4384" w:rsidRDefault="00D6104D" w:rsidP="00FE4384">
      <w:pPr>
        <w:pStyle w:val="Textoindependiente"/>
        <w:spacing w:line="276" w:lineRule="auto"/>
        <w:rPr>
          <w:rFonts w:ascii="Georgia" w:hAnsi="Georgia"/>
          <w:szCs w:val="24"/>
          <w:lang w:val="es-CO"/>
        </w:rPr>
      </w:pPr>
    </w:p>
    <w:p w14:paraId="0EEE68B0" w14:textId="77777777" w:rsidR="006F499A" w:rsidRPr="00FE4384" w:rsidRDefault="006F499A" w:rsidP="00FE4384">
      <w:pPr>
        <w:pStyle w:val="Textoindependiente"/>
        <w:spacing w:line="276" w:lineRule="auto"/>
        <w:rPr>
          <w:rFonts w:ascii="Georgia" w:hAnsi="Georgia"/>
          <w:szCs w:val="24"/>
          <w:lang w:val="es-CO"/>
        </w:rPr>
      </w:pPr>
    </w:p>
    <w:p w14:paraId="70A0426A" w14:textId="77777777" w:rsidR="00191365" w:rsidRPr="00FE4384" w:rsidRDefault="00191365" w:rsidP="00FE4384">
      <w:pPr>
        <w:pStyle w:val="Textoindependiente"/>
        <w:numPr>
          <w:ilvl w:val="0"/>
          <w:numId w:val="1"/>
        </w:numPr>
        <w:spacing w:line="276" w:lineRule="auto"/>
        <w:rPr>
          <w:rFonts w:ascii="Georgia" w:hAnsi="Georgia" w:cs="Arial"/>
          <w:b/>
          <w:bCs/>
          <w:smallCaps/>
          <w:szCs w:val="24"/>
        </w:rPr>
      </w:pPr>
      <w:r w:rsidRPr="00FE4384">
        <w:rPr>
          <w:rFonts w:ascii="Georgia" w:hAnsi="Georgia" w:cs="Arial"/>
          <w:b/>
          <w:bCs/>
          <w:smallCaps/>
          <w:szCs w:val="24"/>
        </w:rPr>
        <w:lastRenderedPageBreak/>
        <w:t>El asunto por decidir</w:t>
      </w:r>
    </w:p>
    <w:p w14:paraId="6B6B6054" w14:textId="77777777" w:rsidR="007C0A88" w:rsidRPr="00FE4384" w:rsidRDefault="007C0A88" w:rsidP="00FE4384">
      <w:pPr>
        <w:pStyle w:val="Textoindependiente"/>
        <w:spacing w:line="276" w:lineRule="auto"/>
        <w:rPr>
          <w:rFonts w:ascii="Georgia" w:hAnsi="Georgia"/>
          <w:szCs w:val="24"/>
        </w:rPr>
      </w:pPr>
    </w:p>
    <w:p w14:paraId="115B5D3F" w14:textId="77495005" w:rsidR="007C0A88" w:rsidRPr="00FE4384" w:rsidRDefault="007C0A88" w:rsidP="00FE4384">
      <w:pPr>
        <w:pStyle w:val="Textoindependiente"/>
        <w:spacing w:line="276" w:lineRule="auto"/>
        <w:rPr>
          <w:rFonts w:ascii="Georgia" w:hAnsi="Georgia"/>
          <w:szCs w:val="24"/>
        </w:rPr>
      </w:pPr>
      <w:r w:rsidRPr="00FE4384">
        <w:rPr>
          <w:rFonts w:ascii="Georgia" w:hAnsi="Georgia"/>
          <w:szCs w:val="24"/>
        </w:rPr>
        <w:t>La impugnación suscitada en el trámite constitucional</w:t>
      </w:r>
      <w:r w:rsidR="00B1253F" w:rsidRPr="00FE4384">
        <w:rPr>
          <w:rFonts w:ascii="Georgia" w:hAnsi="Georgia"/>
          <w:szCs w:val="24"/>
        </w:rPr>
        <w:t xml:space="preserve">, una vez se ha cumplido la </w:t>
      </w:r>
      <w:r w:rsidRPr="00FE4384">
        <w:rPr>
          <w:rFonts w:ascii="Georgia" w:hAnsi="Georgia"/>
          <w:szCs w:val="24"/>
        </w:rPr>
        <w:t>actuación de primera instancia.</w:t>
      </w:r>
    </w:p>
    <w:p w14:paraId="7914EE8F" w14:textId="6B32E0E1" w:rsidR="002F20AB" w:rsidRPr="00FE4384" w:rsidRDefault="002F20AB" w:rsidP="00FE4384">
      <w:pPr>
        <w:pStyle w:val="Textoindependiente"/>
        <w:spacing w:line="276" w:lineRule="auto"/>
        <w:rPr>
          <w:rFonts w:ascii="Georgia" w:hAnsi="Georgia"/>
          <w:szCs w:val="24"/>
        </w:rPr>
      </w:pPr>
    </w:p>
    <w:p w14:paraId="19EA19BE" w14:textId="77777777" w:rsidR="006F499A" w:rsidRPr="00FE4384" w:rsidRDefault="006F499A" w:rsidP="00FE4384">
      <w:pPr>
        <w:pStyle w:val="Textoindependiente"/>
        <w:spacing w:line="276" w:lineRule="auto"/>
        <w:rPr>
          <w:rFonts w:ascii="Georgia" w:hAnsi="Georgia"/>
          <w:szCs w:val="24"/>
        </w:rPr>
      </w:pPr>
    </w:p>
    <w:p w14:paraId="6D9B1BBA" w14:textId="77777777" w:rsidR="00DD1514" w:rsidRPr="00FE4384" w:rsidRDefault="00191365" w:rsidP="00FE4384">
      <w:pPr>
        <w:pStyle w:val="Textoindependiente"/>
        <w:numPr>
          <w:ilvl w:val="0"/>
          <w:numId w:val="1"/>
        </w:numPr>
        <w:spacing w:line="276" w:lineRule="auto"/>
        <w:rPr>
          <w:rFonts w:ascii="Georgia" w:hAnsi="Georgia"/>
          <w:b/>
          <w:bCs/>
          <w:smallCaps/>
          <w:szCs w:val="24"/>
          <w:lang w:val="es-419"/>
        </w:rPr>
      </w:pPr>
      <w:r w:rsidRPr="00FE4384">
        <w:rPr>
          <w:rFonts w:ascii="Georgia" w:hAnsi="Georgia"/>
          <w:b/>
          <w:bCs/>
          <w:smallCaps/>
          <w:szCs w:val="24"/>
          <w:lang w:val="es-419"/>
        </w:rPr>
        <w:t xml:space="preserve">La síntesis fáctica </w:t>
      </w:r>
    </w:p>
    <w:p w14:paraId="4C2ACC4F" w14:textId="2A406908" w:rsidR="00DD1514" w:rsidRPr="00FE4384" w:rsidRDefault="00DD1514" w:rsidP="00FE4384">
      <w:pPr>
        <w:pStyle w:val="Textoindependiente"/>
        <w:spacing w:line="276" w:lineRule="auto"/>
        <w:rPr>
          <w:rFonts w:ascii="Georgia" w:hAnsi="Georgia"/>
          <w:b/>
          <w:bCs/>
          <w:smallCaps/>
          <w:szCs w:val="24"/>
          <w:lang w:val="es-419"/>
        </w:rPr>
      </w:pPr>
    </w:p>
    <w:p w14:paraId="15B10EE0" w14:textId="68D985E5" w:rsidR="00B818F7" w:rsidRPr="00FE4384" w:rsidRDefault="00B818F7" w:rsidP="00FE4384">
      <w:pPr>
        <w:pStyle w:val="Textoindependiente"/>
        <w:spacing w:line="276" w:lineRule="auto"/>
        <w:rPr>
          <w:rFonts w:ascii="Georgia" w:hAnsi="Georgia"/>
          <w:szCs w:val="24"/>
        </w:rPr>
      </w:pPr>
      <w:r w:rsidRPr="00FE4384">
        <w:rPr>
          <w:rFonts w:ascii="Georgia" w:hAnsi="Georgia"/>
          <w:szCs w:val="24"/>
        </w:rPr>
        <w:t xml:space="preserve">Relató </w:t>
      </w:r>
      <w:r w:rsidR="00B84772" w:rsidRPr="00FE4384">
        <w:rPr>
          <w:rFonts w:ascii="Georgia" w:hAnsi="Georgia"/>
          <w:szCs w:val="24"/>
        </w:rPr>
        <w:t xml:space="preserve">la actora que el 24-06-2021 fue calificada con una pérdida de capacidad laboral (En adelante PCL) del 44,00%; y, como su médico diagnosticó enfermedad adicional (Trastorno mixto de ansiedad y depresión), el 10-03-2022 solicitó a Colpensiones calificar nuevamente la PCL, empero, la autoridad desestimó el reclamo porque el dictamen tenía menos de un año de expedición </w:t>
      </w:r>
      <w:r w:rsidRPr="00FE4384">
        <w:rPr>
          <w:rFonts w:ascii="Georgia" w:hAnsi="Georgia" w:cs="Arial"/>
          <w:szCs w:val="24"/>
          <w:lang w:val="es-CO"/>
        </w:rPr>
        <w:t xml:space="preserve">(Cuaderno No.1, </w:t>
      </w:r>
      <w:r w:rsidR="00696F3D" w:rsidRPr="00FE4384">
        <w:rPr>
          <w:rFonts w:ascii="Georgia" w:hAnsi="Georgia" w:cs="Arial"/>
          <w:szCs w:val="24"/>
          <w:lang w:val="es-CO"/>
        </w:rPr>
        <w:t>pdf.</w:t>
      </w:r>
      <w:r w:rsidR="00B84772" w:rsidRPr="00FE4384">
        <w:rPr>
          <w:rFonts w:ascii="Georgia" w:hAnsi="Georgia" w:cs="Arial"/>
          <w:szCs w:val="24"/>
          <w:lang w:val="es-CO"/>
        </w:rPr>
        <w:t>002</w:t>
      </w:r>
      <w:r w:rsidRPr="00FE4384">
        <w:rPr>
          <w:rFonts w:ascii="Georgia" w:hAnsi="Georgia" w:cs="Arial"/>
          <w:szCs w:val="24"/>
          <w:lang w:val="es-CO"/>
        </w:rPr>
        <w:t>).</w:t>
      </w:r>
    </w:p>
    <w:p w14:paraId="1D5D5F9C" w14:textId="62624FEA" w:rsidR="006C17FF" w:rsidRDefault="006C17FF" w:rsidP="00FE4384">
      <w:pPr>
        <w:pStyle w:val="Textoindependiente"/>
        <w:tabs>
          <w:tab w:val="clear" w:pos="708"/>
          <w:tab w:val="left" w:pos="709"/>
        </w:tabs>
        <w:spacing w:line="276" w:lineRule="auto"/>
        <w:rPr>
          <w:rFonts w:ascii="Georgia" w:eastAsia="Times New Roman" w:hAnsi="Georgia"/>
          <w:szCs w:val="24"/>
          <w:lang w:val="es-CO"/>
        </w:rPr>
      </w:pPr>
    </w:p>
    <w:p w14:paraId="70A0AFFA" w14:textId="77777777" w:rsidR="00431752" w:rsidRPr="00FE4384" w:rsidRDefault="00431752" w:rsidP="00FE4384">
      <w:pPr>
        <w:pStyle w:val="Textoindependiente"/>
        <w:tabs>
          <w:tab w:val="clear" w:pos="708"/>
          <w:tab w:val="left" w:pos="709"/>
        </w:tabs>
        <w:spacing w:line="276" w:lineRule="auto"/>
        <w:rPr>
          <w:rFonts w:ascii="Georgia" w:eastAsia="Times New Roman" w:hAnsi="Georgia"/>
          <w:szCs w:val="24"/>
          <w:lang w:val="es-CO"/>
        </w:rPr>
      </w:pPr>
    </w:p>
    <w:p w14:paraId="59390938" w14:textId="0BDA9126" w:rsidR="00191365" w:rsidRPr="00FE4384" w:rsidRDefault="00B84772" w:rsidP="00FE4384">
      <w:pPr>
        <w:pStyle w:val="Textoindependiente"/>
        <w:numPr>
          <w:ilvl w:val="0"/>
          <w:numId w:val="1"/>
        </w:numPr>
        <w:spacing w:line="276" w:lineRule="auto"/>
        <w:rPr>
          <w:rFonts w:ascii="Georgia" w:hAnsi="Georgia"/>
          <w:b/>
          <w:bCs/>
          <w:smallCaps/>
          <w:szCs w:val="24"/>
          <w:lang w:val="es-419"/>
        </w:rPr>
      </w:pPr>
      <w:r w:rsidRPr="00FE4384">
        <w:rPr>
          <w:rFonts w:ascii="Georgia" w:hAnsi="Georgia"/>
          <w:b/>
          <w:bCs/>
          <w:smallCaps/>
          <w:szCs w:val="24"/>
          <w:lang w:val="es-CO"/>
        </w:rPr>
        <w:t xml:space="preserve">El </w:t>
      </w:r>
      <w:r w:rsidR="00191365" w:rsidRPr="00FE4384">
        <w:rPr>
          <w:rFonts w:ascii="Georgia" w:hAnsi="Georgia"/>
          <w:b/>
          <w:bCs/>
          <w:smallCaps/>
          <w:szCs w:val="24"/>
          <w:lang w:val="es-419"/>
        </w:rPr>
        <w:t>derecho invocado</w:t>
      </w:r>
      <w:r w:rsidR="00191365" w:rsidRPr="00FE4384">
        <w:rPr>
          <w:rFonts w:ascii="Georgia" w:hAnsi="Georgia"/>
          <w:b/>
          <w:bCs/>
          <w:smallCaps/>
          <w:szCs w:val="24"/>
          <w:lang w:val="es-CO"/>
        </w:rPr>
        <w:t xml:space="preserve"> y la </w:t>
      </w:r>
      <w:r w:rsidR="00191365" w:rsidRPr="00FE4384">
        <w:rPr>
          <w:rFonts w:ascii="Georgia" w:hAnsi="Georgia"/>
          <w:b/>
          <w:bCs/>
          <w:smallCaps/>
          <w:szCs w:val="24"/>
          <w:lang w:val="es-419"/>
        </w:rPr>
        <w:t xml:space="preserve">petición </w:t>
      </w:r>
    </w:p>
    <w:p w14:paraId="2B98778A" w14:textId="77777777" w:rsidR="00621A1F" w:rsidRPr="00FE4384" w:rsidRDefault="00621A1F" w:rsidP="00FE4384">
      <w:pPr>
        <w:pStyle w:val="Textoindependiente"/>
        <w:widowControl w:val="0"/>
        <w:spacing w:line="276" w:lineRule="auto"/>
        <w:ind w:left="360"/>
        <w:rPr>
          <w:rFonts w:ascii="Georgia" w:hAnsi="Georgia"/>
          <w:szCs w:val="24"/>
        </w:rPr>
      </w:pPr>
    </w:p>
    <w:p w14:paraId="3A9D30AC" w14:textId="7F79824F" w:rsidR="00CC5919" w:rsidRPr="00FE4384" w:rsidRDefault="00B84772" w:rsidP="00FE4384">
      <w:pPr>
        <w:pStyle w:val="Textoindependiente"/>
        <w:widowControl w:val="0"/>
        <w:spacing w:line="276" w:lineRule="auto"/>
        <w:rPr>
          <w:rFonts w:ascii="Georgia" w:hAnsi="Georgia"/>
          <w:szCs w:val="24"/>
        </w:rPr>
      </w:pPr>
      <w:r w:rsidRPr="00FE4384">
        <w:rPr>
          <w:rFonts w:ascii="Georgia" w:hAnsi="Georgia"/>
          <w:szCs w:val="24"/>
        </w:rPr>
        <w:t>La s</w:t>
      </w:r>
      <w:r w:rsidR="00EA1FA4" w:rsidRPr="00FE4384">
        <w:rPr>
          <w:rFonts w:ascii="Georgia" w:hAnsi="Georgia"/>
          <w:szCs w:val="24"/>
        </w:rPr>
        <w:t>eguridad social</w:t>
      </w:r>
      <w:r w:rsidR="00CB3A58" w:rsidRPr="00FE4384">
        <w:rPr>
          <w:rFonts w:ascii="Georgia" w:hAnsi="Georgia"/>
          <w:szCs w:val="24"/>
        </w:rPr>
        <w:t>.</w:t>
      </w:r>
      <w:r w:rsidR="000B2464" w:rsidRPr="00FE4384">
        <w:rPr>
          <w:rFonts w:ascii="Georgia" w:hAnsi="Georgia"/>
          <w:szCs w:val="24"/>
        </w:rPr>
        <w:t xml:space="preserve"> </w:t>
      </w:r>
      <w:r w:rsidR="000B2464" w:rsidRPr="00FE4384">
        <w:rPr>
          <w:rFonts w:ascii="Georgia" w:hAnsi="Georgia" w:cs="Arial"/>
          <w:szCs w:val="24"/>
        </w:rPr>
        <w:t>S</w:t>
      </w:r>
      <w:r w:rsidR="00607CAD" w:rsidRPr="00FE4384">
        <w:rPr>
          <w:rFonts w:ascii="Georgia" w:hAnsi="Georgia" w:cs="Arial"/>
          <w:szCs w:val="24"/>
        </w:rPr>
        <w:t>olicitó</w:t>
      </w:r>
      <w:r w:rsidR="00B513E8" w:rsidRPr="00FE4384">
        <w:rPr>
          <w:rFonts w:ascii="Georgia" w:hAnsi="Georgia" w:cs="Arial"/>
          <w:szCs w:val="24"/>
        </w:rPr>
        <w:t xml:space="preserve"> o</w:t>
      </w:r>
      <w:r w:rsidR="00EF0E0F" w:rsidRPr="00FE4384">
        <w:rPr>
          <w:rFonts w:ascii="Georgia" w:hAnsi="Georgia" w:cs="Arial"/>
          <w:szCs w:val="24"/>
        </w:rPr>
        <w:t xml:space="preserve">rdenar </w:t>
      </w:r>
      <w:r w:rsidR="00232D75" w:rsidRPr="00FE4384">
        <w:rPr>
          <w:rFonts w:ascii="Georgia" w:hAnsi="Georgia" w:cs="Arial"/>
          <w:szCs w:val="24"/>
        </w:rPr>
        <w:t>a</w:t>
      </w:r>
      <w:r w:rsidR="00102308" w:rsidRPr="00FE4384">
        <w:rPr>
          <w:rFonts w:ascii="Georgia" w:hAnsi="Georgia" w:cs="Arial"/>
          <w:szCs w:val="24"/>
        </w:rPr>
        <w:t xml:space="preserve"> Colpensiones</w:t>
      </w:r>
      <w:r w:rsidR="00C251D7" w:rsidRPr="00FE4384">
        <w:rPr>
          <w:rFonts w:ascii="Georgia" w:hAnsi="Georgia" w:cs="Arial"/>
          <w:szCs w:val="24"/>
        </w:rPr>
        <w:t xml:space="preserve">: </w:t>
      </w:r>
      <w:r w:rsidRPr="00FE4384">
        <w:rPr>
          <w:rFonts w:ascii="Georgia" w:hAnsi="Georgia" w:cs="Arial"/>
          <w:szCs w:val="24"/>
        </w:rPr>
        <w:t xml:space="preserve">Calificar la PCL </w:t>
      </w:r>
      <w:r w:rsidR="008D2EB8" w:rsidRPr="00FE4384">
        <w:rPr>
          <w:rFonts w:ascii="Georgia" w:hAnsi="Georgia" w:cs="Arial"/>
          <w:szCs w:val="24"/>
        </w:rPr>
        <w:t>con base en su actual estado patológico</w:t>
      </w:r>
      <w:r w:rsidR="00E32BC2" w:rsidRPr="00FE4384">
        <w:rPr>
          <w:rFonts w:ascii="Georgia" w:hAnsi="Georgia" w:cs="Arial"/>
          <w:szCs w:val="24"/>
        </w:rPr>
        <w:t xml:space="preserve"> </w:t>
      </w:r>
      <w:r w:rsidR="00C251D7" w:rsidRPr="00FE4384">
        <w:rPr>
          <w:rFonts w:ascii="Georgia" w:eastAsia="Times New Roman" w:hAnsi="Georgia"/>
          <w:szCs w:val="24"/>
        </w:rPr>
        <w:t xml:space="preserve">(Cuaderno No.1, </w:t>
      </w:r>
      <w:r w:rsidR="00E32BC2" w:rsidRPr="00FE4384">
        <w:rPr>
          <w:rFonts w:ascii="Georgia" w:eastAsia="Times New Roman" w:hAnsi="Georgia"/>
          <w:szCs w:val="24"/>
        </w:rPr>
        <w:t>pdf.</w:t>
      </w:r>
      <w:r w:rsidR="008D2EB8" w:rsidRPr="00FE4384">
        <w:rPr>
          <w:rFonts w:ascii="Georgia" w:eastAsia="Times New Roman" w:hAnsi="Georgia"/>
          <w:szCs w:val="24"/>
        </w:rPr>
        <w:t>002</w:t>
      </w:r>
      <w:r w:rsidR="00C251D7" w:rsidRPr="00FE4384">
        <w:rPr>
          <w:rFonts w:ascii="Georgia" w:eastAsia="Times New Roman" w:hAnsi="Georgia"/>
          <w:szCs w:val="24"/>
        </w:rPr>
        <w:t>)</w:t>
      </w:r>
      <w:r w:rsidR="00B513E8" w:rsidRPr="00FE4384">
        <w:rPr>
          <w:rFonts w:ascii="Georgia" w:eastAsia="Times New Roman" w:hAnsi="Georgia"/>
          <w:szCs w:val="24"/>
          <w:lang w:val="es-CO"/>
        </w:rPr>
        <w:t xml:space="preserve">. </w:t>
      </w:r>
    </w:p>
    <w:p w14:paraId="05CDE5C9" w14:textId="3C739594" w:rsidR="00EF0E0F" w:rsidRPr="00FE4384" w:rsidRDefault="00EF0E0F" w:rsidP="00FE4384">
      <w:pPr>
        <w:pStyle w:val="Textoindependiente"/>
        <w:widowControl w:val="0"/>
        <w:spacing w:line="276" w:lineRule="auto"/>
        <w:rPr>
          <w:rFonts w:ascii="Georgia" w:hAnsi="Georgia" w:cs="Arial"/>
          <w:szCs w:val="24"/>
        </w:rPr>
      </w:pPr>
    </w:p>
    <w:p w14:paraId="393E1726" w14:textId="77777777" w:rsidR="00B513E8" w:rsidRPr="00FE4384" w:rsidRDefault="00B513E8" w:rsidP="00FE4384">
      <w:pPr>
        <w:pStyle w:val="Textoindependiente"/>
        <w:widowControl w:val="0"/>
        <w:spacing w:line="276" w:lineRule="auto"/>
        <w:rPr>
          <w:rFonts w:ascii="Georgia" w:hAnsi="Georgia" w:cs="Arial"/>
          <w:szCs w:val="24"/>
        </w:rPr>
      </w:pPr>
    </w:p>
    <w:p w14:paraId="69A32046" w14:textId="77777777" w:rsidR="00191365" w:rsidRPr="00FE4384" w:rsidRDefault="00191365" w:rsidP="00FE4384">
      <w:pPr>
        <w:pStyle w:val="Textoindependiente"/>
        <w:widowControl w:val="0"/>
        <w:numPr>
          <w:ilvl w:val="0"/>
          <w:numId w:val="1"/>
        </w:numPr>
        <w:spacing w:line="276" w:lineRule="auto"/>
        <w:rPr>
          <w:rFonts w:ascii="Georgia" w:hAnsi="Georgia"/>
          <w:b/>
          <w:bCs/>
          <w:smallCaps/>
          <w:szCs w:val="24"/>
          <w:lang w:val="es-419"/>
        </w:rPr>
      </w:pPr>
      <w:r w:rsidRPr="00FE4384">
        <w:rPr>
          <w:rFonts w:ascii="Georgia" w:hAnsi="Georgia"/>
          <w:b/>
          <w:bCs/>
          <w:smallCaps/>
          <w:szCs w:val="24"/>
          <w:lang w:val="es-419"/>
        </w:rPr>
        <w:t>La sinopsis de la crónica procesal</w:t>
      </w:r>
    </w:p>
    <w:p w14:paraId="7BE09489" w14:textId="1C701597" w:rsidR="002B2E94" w:rsidRPr="00FE4384" w:rsidRDefault="00B513E8" w:rsidP="00FE4384">
      <w:pPr>
        <w:pStyle w:val="Textoindependiente"/>
        <w:widowControl w:val="0"/>
        <w:spacing w:line="276" w:lineRule="auto"/>
        <w:rPr>
          <w:rFonts w:ascii="Georgia" w:hAnsi="Georgia"/>
          <w:szCs w:val="24"/>
        </w:rPr>
      </w:pPr>
      <w:r w:rsidRPr="00FE4384">
        <w:rPr>
          <w:rFonts w:ascii="Georgia" w:hAnsi="Georgia"/>
          <w:szCs w:val="24"/>
        </w:rPr>
        <w:t xml:space="preserve"> </w:t>
      </w:r>
    </w:p>
    <w:p w14:paraId="64AA3071" w14:textId="5DB0311D" w:rsidR="00BF6FBF" w:rsidRPr="00FE4384" w:rsidRDefault="008D2EB8" w:rsidP="00FE4384">
      <w:pPr>
        <w:spacing w:line="276" w:lineRule="auto"/>
        <w:jc w:val="both"/>
        <w:rPr>
          <w:rFonts w:ascii="Georgia" w:hAnsi="Georgia"/>
          <w:lang w:val="es-CO"/>
        </w:rPr>
      </w:pPr>
      <w:r w:rsidRPr="00FE4384">
        <w:rPr>
          <w:rFonts w:ascii="Georgia" w:hAnsi="Georgia"/>
        </w:rPr>
        <w:t xml:space="preserve">El 18-03-2022 se </w:t>
      </w:r>
      <w:r w:rsidR="00C251D7" w:rsidRPr="00FE4384">
        <w:rPr>
          <w:rFonts w:ascii="Georgia" w:hAnsi="Georgia"/>
        </w:rPr>
        <w:t>a</w:t>
      </w:r>
      <w:r w:rsidR="003A489A" w:rsidRPr="00FE4384">
        <w:rPr>
          <w:rFonts w:ascii="Georgia" w:hAnsi="Georgia"/>
        </w:rPr>
        <w:t>dmitió</w:t>
      </w:r>
      <w:r w:rsidR="00F85CA4" w:rsidRPr="00FE4384">
        <w:rPr>
          <w:rFonts w:ascii="Georgia" w:hAnsi="Georgia"/>
        </w:rPr>
        <w:t xml:space="preserve"> </w:t>
      </w:r>
      <w:r w:rsidR="00EF0E0F" w:rsidRPr="00FE4384">
        <w:rPr>
          <w:rFonts w:ascii="Georgia" w:hAnsi="Georgia"/>
        </w:rPr>
        <w:t>la acción</w:t>
      </w:r>
      <w:r w:rsidR="002978A1" w:rsidRPr="00FE4384">
        <w:rPr>
          <w:rFonts w:ascii="Georgia" w:hAnsi="Georgia"/>
        </w:rPr>
        <w:t xml:space="preserve"> </w:t>
      </w:r>
      <w:r w:rsidR="00A23C49" w:rsidRPr="00FE4384">
        <w:rPr>
          <w:rFonts w:ascii="Georgia" w:hAnsi="Georgia"/>
        </w:rPr>
        <w:t>(</w:t>
      </w:r>
      <w:r w:rsidR="00232D75" w:rsidRPr="00FE4384">
        <w:rPr>
          <w:rFonts w:ascii="Georgia" w:hAnsi="Georgia"/>
        </w:rPr>
        <w:t xml:space="preserve">Cuaderno No.1, </w:t>
      </w:r>
      <w:r w:rsidR="004D7947" w:rsidRPr="00FE4384">
        <w:rPr>
          <w:rFonts w:ascii="Georgia" w:hAnsi="Georgia"/>
        </w:rPr>
        <w:t>pdf</w:t>
      </w:r>
      <w:r w:rsidR="00B513E8" w:rsidRPr="00FE4384">
        <w:rPr>
          <w:rFonts w:ascii="Georgia" w:hAnsi="Georgia"/>
        </w:rPr>
        <w:t>.</w:t>
      </w:r>
      <w:r w:rsidRPr="00FE4384">
        <w:rPr>
          <w:rFonts w:ascii="Georgia" w:hAnsi="Georgia"/>
        </w:rPr>
        <w:t>003</w:t>
      </w:r>
      <w:r w:rsidR="00B513E8" w:rsidRPr="00FE4384">
        <w:rPr>
          <w:rFonts w:ascii="Georgia" w:hAnsi="Georgia"/>
        </w:rPr>
        <w:t>)</w:t>
      </w:r>
      <w:r w:rsidR="00F639E1" w:rsidRPr="00FE4384">
        <w:rPr>
          <w:rFonts w:ascii="Georgia" w:hAnsi="Georgia"/>
        </w:rPr>
        <w:t xml:space="preserve">; </w:t>
      </w:r>
      <w:r w:rsidR="004D7947" w:rsidRPr="00FE4384">
        <w:rPr>
          <w:rFonts w:ascii="Georgia" w:hAnsi="Georgia"/>
        </w:rPr>
        <w:t xml:space="preserve">el </w:t>
      </w:r>
      <w:r w:rsidRPr="00FE4384">
        <w:rPr>
          <w:rFonts w:ascii="Georgia" w:hAnsi="Georgia"/>
        </w:rPr>
        <w:t xml:space="preserve">30-03-2022 se falló </w:t>
      </w:r>
      <w:r w:rsidR="004D7947" w:rsidRPr="00FE4384">
        <w:rPr>
          <w:rFonts w:ascii="Georgia" w:hAnsi="Georgia"/>
        </w:rPr>
        <w:t>(Ibidem, pdf.</w:t>
      </w:r>
      <w:r w:rsidRPr="00FE4384">
        <w:rPr>
          <w:rFonts w:ascii="Georgia" w:hAnsi="Georgia"/>
        </w:rPr>
        <w:t>006</w:t>
      </w:r>
      <w:r w:rsidR="004D7947" w:rsidRPr="00FE4384">
        <w:rPr>
          <w:rFonts w:ascii="Georgia" w:hAnsi="Georgia"/>
        </w:rPr>
        <w:t>)</w:t>
      </w:r>
      <w:r w:rsidR="00607CAD" w:rsidRPr="00FE4384">
        <w:rPr>
          <w:rFonts w:ascii="Georgia" w:hAnsi="Georgia"/>
        </w:rPr>
        <w:t>;</w:t>
      </w:r>
      <w:r w:rsidR="00784128" w:rsidRPr="00FE4384">
        <w:rPr>
          <w:rFonts w:ascii="Georgia" w:hAnsi="Georgia"/>
        </w:rPr>
        <w:t xml:space="preserve"> </w:t>
      </w:r>
      <w:r w:rsidR="00EA2391" w:rsidRPr="00FE4384">
        <w:rPr>
          <w:rFonts w:ascii="Georgia" w:hAnsi="Georgia"/>
        </w:rPr>
        <w:t>y</w:t>
      </w:r>
      <w:r w:rsidR="001B0570" w:rsidRPr="00FE4384">
        <w:rPr>
          <w:rFonts w:ascii="Georgia" w:hAnsi="Georgia"/>
        </w:rPr>
        <w:t xml:space="preserve">, </w:t>
      </w:r>
      <w:r w:rsidR="00EA2391" w:rsidRPr="00FE4384">
        <w:rPr>
          <w:rFonts w:ascii="Georgia" w:hAnsi="Georgia"/>
        </w:rPr>
        <w:t>el</w:t>
      </w:r>
      <w:r w:rsidR="00E654D1" w:rsidRPr="00FE4384">
        <w:rPr>
          <w:rFonts w:ascii="Georgia" w:hAnsi="Georgia"/>
        </w:rPr>
        <w:t xml:space="preserve"> </w:t>
      </w:r>
      <w:r w:rsidRPr="00FE4384">
        <w:rPr>
          <w:rFonts w:ascii="Georgia" w:hAnsi="Georgia"/>
        </w:rPr>
        <w:t xml:space="preserve">19-04-2022 se </w:t>
      </w:r>
      <w:r w:rsidR="00EA2391" w:rsidRPr="00FE4384">
        <w:rPr>
          <w:rFonts w:ascii="Georgia" w:hAnsi="Georgia"/>
        </w:rPr>
        <w:t xml:space="preserve">concedió la impugnación </w:t>
      </w:r>
      <w:r w:rsidR="004D7947" w:rsidRPr="00FE4384">
        <w:rPr>
          <w:rFonts w:ascii="Georgia" w:hAnsi="Georgia"/>
        </w:rPr>
        <w:t>(Ibidem, pdf.</w:t>
      </w:r>
      <w:r w:rsidRPr="00FE4384">
        <w:rPr>
          <w:rFonts w:ascii="Georgia" w:hAnsi="Georgia"/>
        </w:rPr>
        <w:t>009</w:t>
      </w:r>
      <w:r w:rsidR="004D7947" w:rsidRPr="00FE4384">
        <w:rPr>
          <w:rFonts w:ascii="Georgia" w:hAnsi="Georgia"/>
        </w:rPr>
        <w:t>)</w:t>
      </w:r>
      <w:r w:rsidR="00B513E8" w:rsidRPr="00FE4384">
        <w:rPr>
          <w:rFonts w:ascii="Georgia" w:hAnsi="Georgia"/>
        </w:rPr>
        <w:t>.</w:t>
      </w:r>
      <w:r w:rsidR="00EA1FA4" w:rsidRPr="00FE4384">
        <w:rPr>
          <w:rFonts w:ascii="Georgia" w:hAnsi="Georgia"/>
        </w:rPr>
        <w:t xml:space="preserve"> </w:t>
      </w:r>
    </w:p>
    <w:p w14:paraId="6C83F26E" w14:textId="77777777" w:rsidR="00EA2391" w:rsidRPr="00FE4384" w:rsidRDefault="00EA2391" w:rsidP="00FE4384">
      <w:pPr>
        <w:pStyle w:val="Textoindependiente"/>
        <w:widowControl w:val="0"/>
        <w:spacing w:line="276" w:lineRule="auto"/>
        <w:rPr>
          <w:rFonts w:ascii="Georgia" w:hAnsi="Georgia" w:cs="Arial"/>
          <w:szCs w:val="24"/>
        </w:rPr>
      </w:pPr>
    </w:p>
    <w:p w14:paraId="20EF3945" w14:textId="7B4C5A03" w:rsidR="00035388" w:rsidRPr="00FE4384" w:rsidRDefault="008D2EB8" w:rsidP="00FE4384">
      <w:pPr>
        <w:widowControl/>
        <w:spacing w:line="276" w:lineRule="auto"/>
        <w:jc w:val="both"/>
        <w:rPr>
          <w:rFonts w:ascii="Georgia" w:hAnsi="Georgia" w:cs="Arial"/>
        </w:rPr>
      </w:pPr>
      <w:r w:rsidRPr="00FE4384">
        <w:rPr>
          <w:rFonts w:ascii="Georgia" w:hAnsi="Georgia" w:cs="Arial"/>
        </w:rPr>
        <w:t xml:space="preserve">La sentencia amparó los derechos y ordenó calificar la PCL porque el plazo para solicitar la nueva calificación del artículo 55, D.1352/2013 solo aplica respecto a enfermedades de origen laboral, según criterio jurisprudencial de esta Sala de la Corporación </w:t>
      </w:r>
      <w:r w:rsidR="00C136F1" w:rsidRPr="00FE4384">
        <w:rPr>
          <w:rFonts w:ascii="Georgia" w:hAnsi="Georgia" w:cs="Arial"/>
        </w:rPr>
        <w:t>(</w:t>
      </w:r>
      <w:r w:rsidRPr="00FE4384">
        <w:rPr>
          <w:rFonts w:ascii="Georgia" w:hAnsi="Georgia" w:cs="Arial"/>
        </w:rPr>
        <w:t>ibidem</w:t>
      </w:r>
      <w:r w:rsidR="00C136F1" w:rsidRPr="00FE4384">
        <w:rPr>
          <w:rFonts w:ascii="Georgia" w:hAnsi="Georgia" w:cs="Arial"/>
        </w:rPr>
        <w:t xml:space="preserve">, </w:t>
      </w:r>
      <w:r w:rsidR="00DC063B" w:rsidRPr="00FE4384">
        <w:rPr>
          <w:rFonts w:ascii="Georgia" w:hAnsi="Georgia" w:cs="Arial"/>
        </w:rPr>
        <w:t>pdf.</w:t>
      </w:r>
      <w:r w:rsidRPr="00FE4384">
        <w:rPr>
          <w:rFonts w:ascii="Georgia" w:hAnsi="Georgia" w:cs="Arial"/>
        </w:rPr>
        <w:t>006</w:t>
      </w:r>
      <w:r w:rsidR="00C136F1" w:rsidRPr="00FE4384">
        <w:rPr>
          <w:rFonts w:ascii="Georgia" w:hAnsi="Georgia" w:cs="Arial"/>
        </w:rPr>
        <w:t>)</w:t>
      </w:r>
      <w:r w:rsidR="00CC7260" w:rsidRPr="00FE4384">
        <w:rPr>
          <w:rFonts w:ascii="Georgia" w:hAnsi="Georgia" w:cs="Arial"/>
        </w:rPr>
        <w:t xml:space="preserve">. </w:t>
      </w:r>
    </w:p>
    <w:p w14:paraId="62742029" w14:textId="77777777" w:rsidR="00035388" w:rsidRPr="00FE4384" w:rsidRDefault="00035388" w:rsidP="00FE4384">
      <w:pPr>
        <w:widowControl/>
        <w:spacing w:line="276" w:lineRule="auto"/>
        <w:jc w:val="both"/>
        <w:rPr>
          <w:rFonts w:ascii="Georgia" w:hAnsi="Georgia" w:cs="Arial"/>
        </w:rPr>
      </w:pPr>
    </w:p>
    <w:p w14:paraId="01FC37B1" w14:textId="6F827ABE" w:rsidR="00035388" w:rsidRPr="00FE4384" w:rsidRDefault="008D2EB8" w:rsidP="00FE4384">
      <w:pPr>
        <w:widowControl/>
        <w:spacing w:line="276" w:lineRule="auto"/>
        <w:jc w:val="both"/>
        <w:rPr>
          <w:rFonts w:ascii="Georgia" w:hAnsi="Georgia"/>
          <w:lang w:val="es-CO"/>
        </w:rPr>
      </w:pPr>
      <w:r w:rsidRPr="00FE4384">
        <w:rPr>
          <w:rFonts w:ascii="Georgia" w:hAnsi="Georgia" w:cs="Arial"/>
        </w:rPr>
        <w:t xml:space="preserve">La autoridad impugnó y pidió revocar </w:t>
      </w:r>
      <w:r w:rsidR="00AA0A90" w:rsidRPr="00FE4384">
        <w:rPr>
          <w:rFonts w:ascii="Georgia" w:hAnsi="Georgia" w:cs="Arial"/>
        </w:rPr>
        <w:t>la decisión porque</w:t>
      </w:r>
      <w:r w:rsidR="001E7C59" w:rsidRPr="00FE4384">
        <w:rPr>
          <w:rFonts w:ascii="Georgia" w:hAnsi="Georgia" w:cs="Arial"/>
        </w:rPr>
        <w:t xml:space="preserve">: </w:t>
      </w:r>
      <w:r w:rsidR="00D60213" w:rsidRPr="00FE4384">
        <w:rPr>
          <w:rFonts w:ascii="Georgia" w:hAnsi="Georgia"/>
          <w:b/>
          <w:bCs/>
        </w:rPr>
        <w:t xml:space="preserve">(i) </w:t>
      </w:r>
      <w:r w:rsidR="00AA0A90" w:rsidRPr="00FE4384">
        <w:rPr>
          <w:rFonts w:ascii="Georgia" w:hAnsi="Georgia"/>
        </w:rPr>
        <w:t>El amparo incumple el presupuesto de subsidiariedad</w:t>
      </w:r>
      <w:r w:rsidR="001E7C59" w:rsidRPr="00FE4384">
        <w:rPr>
          <w:rFonts w:ascii="Georgia" w:hAnsi="Georgia"/>
        </w:rPr>
        <w:t>;</w:t>
      </w:r>
      <w:r w:rsidR="00AA0A90" w:rsidRPr="00FE4384">
        <w:rPr>
          <w:rFonts w:ascii="Georgia" w:hAnsi="Georgia"/>
        </w:rPr>
        <w:t xml:space="preserve"> </w:t>
      </w:r>
      <w:r w:rsidR="00D60213" w:rsidRPr="00FE4384">
        <w:rPr>
          <w:rFonts w:ascii="Georgia" w:hAnsi="Georgia"/>
          <w:b/>
          <w:bCs/>
          <w:lang w:val="es-CO"/>
        </w:rPr>
        <w:t xml:space="preserve">(ii) </w:t>
      </w:r>
      <w:r w:rsidR="00AA0A90" w:rsidRPr="00FE4384">
        <w:rPr>
          <w:rFonts w:ascii="Georgia" w:hAnsi="Georgia"/>
          <w:lang w:val="es-CO"/>
        </w:rPr>
        <w:t xml:space="preserve">El juez constitucional es incompetente para desatar problemas jurídicos en materia laboral; y, </w:t>
      </w:r>
      <w:r w:rsidR="00AA0A90" w:rsidRPr="00FE4384">
        <w:rPr>
          <w:rFonts w:ascii="Georgia" w:hAnsi="Georgia"/>
          <w:b/>
          <w:bCs/>
          <w:lang w:val="es-CO"/>
        </w:rPr>
        <w:t xml:space="preserve">(iii) </w:t>
      </w:r>
      <w:r w:rsidR="00AA0A90" w:rsidRPr="00FE4384">
        <w:rPr>
          <w:rFonts w:ascii="Georgia" w:hAnsi="Georgia"/>
          <w:lang w:val="es-CO"/>
        </w:rPr>
        <w:t>El deber de proteger el patrimonio público</w:t>
      </w:r>
      <w:r w:rsidR="00FD6B03" w:rsidRPr="00FE4384">
        <w:rPr>
          <w:rFonts w:ascii="Georgia" w:hAnsi="Georgia"/>
          <w:lang w:val="es-CO"/>
        </w:rPr>
        <w:t xml:space="preserve"> (</w:t>
      </w:r>
      <w:r w:rsidR="0076691A" w:rsidRPr="00FE4384">
        <w:rPr>
          <w:rFonts w:ascii="Georgia" w:hAnsi="Georgia"/>
          <w:lang w:val="es-CO"/>
        </w:rPr>
        <w:t>Ib.</w:t>
      </w:r>
      <w:r w:rsidR="001E7C59" w:rsidRPr="00FE4384">
        <w:rPr>
          <w:rFonts w:ascii="Georgia" w:hAnsi="Georgia"/>
          <w:lang w:val="es-CO"/>
        </w:rPr>
        <w:t>, pdf.</w:t>
      </w:r>
      <w:r w:rsidR="00AA0A90" w:rsidRPr="00FE4384">
        <w:rPr>
          <w:rFonts w:ascii="Georgia" w:hAnsi="Georgia"/>
          <w:lang w:val="es-CO"/>
        </w:rPr>
        <w:t>008</w:t>
      </w:r>
      <w:r w:rsidR="00FD6B03" w:rsidRPr="00FE4384">
        <w:rPr>
          <w:rFonts w:ascii="Georgia" w:hAnsi="Georgia"/>
          <w:lang w:val="es-CO"/>
        </w:rPr>
        <w:t>).</w:t>
      </w:r>
    </w:p>
    <w:p w14:paraId="5C35D34B" w14:textId="0DA0B4A8" w:rsidR="003B41AF" w:rsidRPr="00FE4384" w:rsidRDefault="003B41AF" w:rsidP="00FE4384">
      <w:pPr>
        <w:pStyle w:val="Textoindependiente"/>
        <w:widowControl w:val="0"/>
        <w:spacing w:line="276" w:lineRule="auto"/>
        <w:rPr>
          <w:rFonts w:ascii="Georgia" w:hAnsi="Georgia"/>
          <w:szCs w:val="24"/>
        </w:rPr>
      </w:pPr>
    </w:p>
    <w:p w14:paraId="693F4CBF" w14:textId="77777777" w:rsidR="00035388" w:rsidRPr="00FE4384" w:rsidRDefault="00035388" w:rsidP="00FE4384">
      <w:pPr>
        <w:pStyle w:val="Textoindependiente"/>
        <w:widowControl w:val="0"/>
        <w:spacing w:line="276" w:lineRule="auto"/>
        <w:rPr>
          <w:rFonts w:ascii="Georgia" w:hAnsi="Georgia"/>
          <w:szCs w:val="24"/>
        </w:rPr>
      </w:pPr>
    </w:p>
    <w:p w14:paraId="172FD9F4" w14:textId="77777777" w:rsidR="00191365" w:rsidRPr="00FE4384" w:rsidRDefault="00191365" w:rsidP="00FE4384">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FE4384">
        <w:rPr>
          <w:rFonts w:ascii="Georgia" w:hAnsi="Georgia"/>
          <w:b/>
          <w:bCs/>
          <w:smallCaps/>
          <w:szCs w:val="24"/>
          <w:lang w:val="es-419"/>
        </w:rPr>
        <w:t>La fundamentación jurídica para resolver</w:t>
      </w:r>
    </w:p>
    <w:p w14:paraId="4C196A1E" w14:textId="5D4EFDF0" w:rsidR="30B69111" w:rsidRPr="00FE4384" w:rsidRDefault="30B69111" w:rsidP="00FE4384">
      <w:pPr>
        <w:pStyle w:val="Textoindependiente"/>
        <w:spacing w:line="276" w:lineRule="auto"/>
        <w:rPr>
          <w:rFonts w:ascii="Georgia" w:hAnsi="Georgia"/>
          <w:b/>
          <w:bCs/>
          <w:smallCaps/>
          <w:szCs w:val="24"/>
          <w:lang w:val="es-419"/>
        </w:rPr>
      </w:pPr>
    </w:p>
    <w:p w14:paraId="67C8E499" w14:textId="1E904D09" w:rsidR="0095208E" w:rsidRPr="00FE4384" w:rsidRDefault="0095208E" w:rsidP="00FE4384">
      <w:pPr>
        <w:pStyle w:val="Textoindependiente"/>
        <w:widowControl w:val="0"/>
        <w:numPr>
          <w:ilvl w:val="1"/>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FE4384">
        <w:rPr>
          <w:rFonts w:ascii="Georgia" w:hAnsi="Georgia"/>
          <w:smallCaps/>
          <w:szCs w:val="24"/>
          <w:lang w:val="es-419"/>
        </w:rPr>
        <w:t>La competencia funcional</w:t>
      </w:r>
      <w:r w:rsidR="00AA0A90" w:rsidRPr="00FE4384">
        <w:rPr>
          <w:rFonts w:ascii="Georgia" w:hAnsi="Georgia"/>
          <w:smallCaps/>
          <w:szCs w:val="24"/>
          <w:lang w:val="es-419"/>
        </w:rPr>
        <w:t>.</w:t>
      </w:r>
      <w:r w:rsidRPr="00FE4384">
        <w:rPr>
          <w:rFonts w:ascii="Georgia" w:hAnsi="Georgia"/>
          <w:smallCaps/>
          <w:szCs w:val="24"/>
          <w:lang w:val="es-419"/>
        </w:rPr>
        <w:t xml:space="preserve"> </w:t>
      </w:r>
      <w:r w:rsidRPr="00FE4384">
        <w:rPr>
          <w:rFonts w:ascii="Georgia" w:hAnsi="Georgia" w:cs="Arial"/>
          <w:szCs w:val="24"/>
          <w:lang w:val="es-CO"/>
        </w:rPr>
        <w:t xml:space="preserve">La tiene esta Sala, por ser la superiora jerárquica del Despacho cognoscente </w:t>
      </w:r>
      <w:r w:rsidRPr="00FE4384">
        <w:rPr>
          <w:rFonts w:ascii="Georgia" w:hAnsi="Georgia"/>
          <w:szCs w:val="24"/>
        </w:rPr>
        <w:t>(Art. 32, D.2591/1991)</w:t>
      </w:r>
      <w:r w:rsidRPr="00FE4384">
        <w:rPr>
          <w:rFonts w:ascii="Georgia" w:hAnsi="Georgia" w:cs="Arial"/>
          <w:szCs w:val="24"/>
          <w:lang w:val="es-CO"/>
        </w:rPr>
        <w:t>.</w:t>
      </w:r>
    </w:p>
    <w:p w14:paraId="0A9E7A30" w14:textId="77777777" w:rsidR="00C35362" w:rsidRPr="00FE4384" w:rsidRDefault="00C35362" w:rsidP="00FE4384">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rPr>
          <w:rFonts w:ascii="Georgia" w:hAnsi="Georgia"/>
          <w:szCs w:val="24"/>
          <w:lang w:val="es-419"/>
        </w:rPr>
      </w:pPr>
    </w:p>
    <w:p w14:paraId="148A33F8" w14:textId="56F27DC5" w:rsidR="0095208E" w:rsidRPr="00FE4384" w:rsidRDefault="0095208E" w:rsidP="00FE4384">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FE4384">
        <w:rPr>
          <w:rFonts w:ascii="Georgia" w:hAnsi="Georgia"/>
          <w:smallCaps/>
          <w:szCs w:val="24"/>
          <w:lang w:val="es-419"/>
        </w:rPr>
        <w:t>El problema jurídico a resolver</w:t>
      </w:r>
      <w:r w:rsidR="00AA0A90" w:rsidRPr="00FE4384">
        <w:rPr>
          <w:rFonts w:ascii="Georgia" w:hAnsi="Georgia"/>
          <w:smallCaps/>
          <w:szCs w:val="24"/>
          <w:lang w:val="es-419"/>
        </w:rPr>
        <w:t>.</w:t>
      </w:r>
      <w:r w:rsidRPr="00FE4384">
        <w:rPr>
          <w:rFonts w:ascii="Georgia" w:hAnsi="Georgia"/>
          <w:smallCaps/>
          <w:szCs w:val="24"/>
          <w:lang w:val="es-419"/>
        </w:rPr>
        <w:t xml:space="preserve"> </w:t>
      </w:r>
      <w:r w:rsidRPr="00FE4384">
        <w:rPr>
          <w:rFonts w:ascii="Georgia" w:hAnsi="Georgia"/>
          <w:szCs w:val="24"/>
          <w:lang w:val="es-419"/>
        </w:rPr>
        <w:t>¿Se debe confirmar, modificar o revocar la sentencia del Juzgado</w:t>
      </w:r>
      <w:r w:rsidRPr="00FE4384">
        <w:rPr>
          <w:rFonts w:ascii="Georgia" w:hAnsi="Georgia"/>
          <w:szCs w:val="24"/>
          <w:lang w:val="es-CO"/>
        </w:rPr>
        <w:t xml:space="preserve"> </w:t>
      </w:r>
      <w:r w:rsidR="00AA0A90" w:rsidRPr="00FE4384">
        <w:rPr>
          <w:rFonts w:ascii="Georgia" w:hAnsi="Georgia"/>
          <w:szCs w:val="24"/>
          <w:lang w:val="es-CO"/>
        </w:rPr>
        <w:t>2</w:t>
      </w:r>
      <w:r w:rsidR="00CC7260" w:rsidRPr="00FE4384">
        <w:rPr>
          <w:rFonts w:ascii="Georgia" w:hAnsi="Georgia"/>
          <w:szCs w:val="24"/>
          <w:lang w:val="es-CO"/>
        </w:rPr>
        <w:t xml:space="preserve">º </w:t>
      </w:r>
      <w:r w:rsidR="001E7C59" w:rsidRPr="00FE4384">
        <w:rPr>
          <w:rFonts w:ascii="Georgia" w:hAnsi="Georgia"/>
          <w:szCs w:val="24"/>
          <w:lang w:val="es-CO"/>
        </w:rPr>
        <w:t xml:space="preserve">Civil </w:t>
      </w:r>
      <w:r w:rsidR="006064F4" w:rsidRPr="00FE4384">
        <w:rPr>
          <w:rFonts w:ascii="Georgia" w:hAnsi="Georgia"/>
          <w:szCs w:val="24"/>
          <w:lang w:val="es-CO"/>
        </w:rPr>
        <w:t xml:space="preserve">del Circuito de </w:t>
      </w:r>
      <w:r w:rsidR="00F759B3" w:rsidRPr="00FE4384">
        <w:rPr>
          <w:rFonts w:ascii="Georgia" w:hAnsi="Georgia"/>
          <w:szCs w:val="24"/>
          <w:lang w:val="es-CO"/>
        </w:rPr>
        <w:t>Pereira</w:t>
      </w:r>
      <w:r w:rsidRPr="00FE4384">
        <w:rPr>
          <w:rFonts w:ascii="Georgia" w:hAnsi="Georgia"/>
          <w:szCs w:val="24"/>
          <w:lang w:val="es-419"/>
        </w:rPr>
        <w:t xml:space="preserve">, según la impugnación? </w:t>
      </w:r>
    </w:p>
    <w:p w14:paraId="51E1B014" w14:textId="77777777" w:rsidR="004769A6" w:rsidRPr="00FE4384" w:rsidRDefault="004769A6" w:rsidP="00FE4384">
      <w:pPr>
        <w:spacing w:line="276" w:lineRule="auto"/>
        <w:jc w:val="both"/>
        <w:rPr>
          <w:rFonts w:ascii="Georgia" w:hAnsi="Georgia" w:cs="Arial"/>
          <w:lang w:val="es-419"/>
        </w:rPr>
      </w:pPr>
    </w:p>
    <w:p w14:paraId="5A7194C3" w14:textId="3513DE5B" w:rsidR="004704B6" w:rsidRPr="00FE4384" w:rsidRDefault="004704B6" w:rsidP="00FE4384">
      <w:pPr>
        <w:pStyle w:val="Textoindependiente"/>
        <w:widowControl w:val="0"/>
        <w:numPr>
          <w:ilvl w:val="1"/>
          <w:numId w:val="36"/>
        </w:numPr>
        <w:tabs>
          <w:tab w:val="clear" w:pos="708"/>
        </w:tabs>
        <w:spacing w:line="276" w:lineRule="auto"/>
        <w:rPr>
          <w:rFonts w:ascii="Georgia" w:hAnsi="Georgia"/>
          <w:szCs w:val="24"/>
          <w:lang w:val="es-419"/>
        </w:rPr>
      </w:pPr>
      <w:r w:rsidRPr="00FE4384">
        <w:rPr>
          <w:rFonts w:ascii="Georgia" w:hAnsi="Georgia"/>
          <w:smallCaps/>
          <w:szCs w:val="24"/>
          <w:lang w:val="es-419"/>
        </w:rPr>
        <w:t>Los presupuestos generales de procedencia</w:t>
      </w:r>
    </w:p>
    <w:p w14:paraId="5264DF85" w14:textId="77777777" w:rsidR="004704B6" w:rsidRPr="00FE4384" w:rsidRDefault="004704B6" w:rsidP="00FE4384">
      <w:pPr>
        <w:pStyle w:val="Textoindependiente"/>
        <w:widowControl w:val="0"/>
        <w:spacing w:line="276" w:lineRule="auto"/>
        <w:ind w:left="720"/>
        <w:rPr>
          <w:rFonts w:ascii="Georgia" w:hAnsi="Georgia"/>
          <w:szCs w:val="24"/>
          <w:lang w:val="es-419"/>
        </w:rPr>
      </w:pPr>
    </w:p>
    <w:p w14:paraId="647949D1" w14:textId="5352E2BC" w:rsidR="00D6114C" w:rsidRPr="00FE4384" w:rsidRDefault="004704B6" w:rsidP="00FE4384">
      <w:pPr>
        <w:pStyle w:val="Textoindependiente"/>
        <w:widowControl w:val="0"/>
        <w:numPr>
          <w:ilvl w:val="2"/>
          <w:numId w:val="38"/>
        </w:numPr>
        <w:spacing w:line="276" w:lineRule="auto"/>
        <w:ind w:left="0" w:firstLine="0"/>
        <w:textAlignment w:val="auto"/>
        <w:rPr>
          <w:rFonts w:ascii="Georgia" w:hAnsi="Georgia"/>
          <w:szCs w:val="24"/>
          <w:lang w:val="es-CO"/>
        </w:rPr>
      </w:pPr>
      <w:r w:rsidRPr="00FE4384">
        <w:rPr>
          <w:rFonts w:ascii="Georgia" w:hAnsi="Georgia"/>
          <w:smallCaps/>
          <w:szCs w:val="24"/>
          <w:lang w:val="es-419"/>
        </w:rPr>
        <w:t>La legitimación en la causa</w:t>
      </w:r>
      <w:r w:rsidR="00EC2157" w:rsidRPr="00FE4384">
        <w:rPr>
          <w:rFonts w:ascii="Georgia" w:hAnsi="Georgia"/>
          <w:smallCaps/>
          <w:szCs w:val="24"/>
          <w:lang w:val="es-419"/>
        </w:rPr>
        <w:t>:</w:t>
      </w:r>
      <w:r w:rsidRPr="00FE4384">
        <w:rPr>
          <w:rFonts w:ascii="Georgia" w:hAnsi="Georgia"/>
          <w:smallCaps/>
          <w:szCs w:val="24"/>
          <w:lang w:val="es-419"/>
        </w:rPr>
        <w:t xml:space="preserve"> </w:t>
      </w:r>
      <w:r w:rsidR="00AA0A90" w:rsidRPr="00FE4384">
        <w:rPr>
          <w:rFonts w:ascii="Georgia" w:hAnsi="Georgia"/>
          <w:szCs w:val="24"/>
        </w:rPr>
        <w:t xml:space="preserve">Se cumple por </w:t>
      </w:r>
      <w:r w:rsidR="00D6114C" w:rsidRPr="00FE4384">
        <w:rPr>
          <w:rFonts w:ascii="Georgia" w:hAnsi="Georgia"/>
          <w:szCs w:val="24"/>
        </w:rPr>
        <w:t xml:space="preserve">activa </w:t>
      </w:r>
      <w:r w:rsidR="00AA0A90" w:rsidRPr="00FE4384">
        <w:rPr>
          <w:rFonts w:ascii="Georgia" w:hAnsi="Georgia"/>
          <w:szCs w:val="24"/>
        </w:rPr>
        <w:t xml:space="preserve">porque la actora está afiliada a Colpensiones y reclamó la calificación </w:t>
      </w:r>
      <w:r w:rsidR="00D6114C" w:rsidRPr="00FE4384">
        <w:rPr>
          <w:rFonts w:ascii="Georgia" w:hAnsi="Georgia"/>
          <w:szCs w:val="24"/>
        </w:rPr>
        <w:t>(</w:t>
      </w:r>
      <w:r w:rsidR="003C44BA" w:rsidRPr="00FE4384">
        <w:rPr>
          <w:rFonts w:ascii="Georgia" w:hAnsi="Georgia"/>
          <w:szCs w:val="24"/>
        </w:rPr>
        <w:t>Ib.</w:t>
      </w:r>
      <w:r w:rsidR="006064F4" w:rsidRPr="00FE4384">
        <w:rPr>
          <w:rFonts w:ascii="Georgia" w:hAnsi="Georgia"/>
          <w:szCs w:val="24"/>
          <w:lang w:val="es-419"/>
        </w:rPr>
        <w:t>, pdf.</w:t>
      </w:r>
      <w:r w:rsidR="00AA0A90" w:rsidRPr="00FE4384">
        <w:rPr>
          <w:rFonts w:ascii="Georgia" w:hAnsi="Georgia"/>
          <w:szCs w:val="24"/>
          <w:lang w:val="es-419"/>
        </w:rPr>
        <w:t>002</w:t>
      </w:r>
      <w:r w:rsidR="00D6114C" w:rsidRPr="00FE4384">
        <w:rPr>
          <w:rFonts w:ascii="Georgia" w:hAnsi="Georgia"/>
          <w:szCs w:val="24"/>
          <w:lang w:val="es-419"/>
        </w:rPr>
        <w:t xml:space="preserve">, </w:t>
      </w:r>
      <w:r w:rsidR="006064F4" w:rsidRPr="00FE4384">
        <w:rPr>
          <w:rFonts w:ascii="Georgia" w:hAnsi="Georgia"/>
          <w:szCs w:val="24"/>
          <w:lang w:val="es-419"/>
        </w:rPr>
        <w:t xml:space="preserve">folio </w:t>
      </w:r>
      <w:r w:rsidR="00AA0A90" w:rsidRPr="00FE4384">
        <w:rPr>
          <w:rFonts w:ascii="Georgia" w:hAnsi="Georgia"/>
          <w:szCs w:val="24"/>
          <w:lang w:val="es-419"/>
        </w:rPr>
        <w:t>10</w:t>
      </w:r>
      <w:r w:rsidR="00D6114C" w:rsidRPr="00FE4384">
        <w:rPr>
          <w:rFonts w:ascii="Georgia" w:hAnsi="Georgia"/>
          <w:szCs w:val="24"/>
          <w:lang w:val="es-CO"/>
        </w:rPr>
        <w:t>)</w:t>
      </w:r>
      <w:r w:rsidR="00AA0A90" w:rsidRPr="00FE4384">
        <w:rPr>
          <w:rFonts w:ascii="Georgia" w:hAnsi="Georgia"/>
          <w:szCs w:val="24"/>
          <w:lang w:val="es-CO"/>
        </w:rPr>
        <w:t>; y, e</w:t>
      </w:r>
      <w:r w:rsidR="00D6114C" w:rsidRPr="00FE4384">
        <w:rPr>
          <w:rFonts w:ascii="Georgia" w:hAnsi="Georgia"/>
          <w:szCs w:val="24"/>
          <w:lang w:val="es-CO"/>
        </w:rPr>
        <w:t xml:space="preserve">n el extremo </w:t>
      </w:r>
      <w:r w:rsidR="00D6114C" w:rsidRPr="00FE4384">
        <w:rPr>
          <w:rFonts w:ascii="Georgia" w:hAnsi="Georgia"/>
          <w:szCs w:val="24"/>
          <w:lang w:val="es-419"/>
        </w:rPr>
        <w:t>pasivo</w:t>
      </w:r>
      <w:r w:rsidR="00D6114C" w:rsidRPr="00FE4384">
        <w:rPr>
          <w:rFonts w:ascii="Georgia" w:hAnsi="Georgia"/>
          <w:szCs w:val="24"/>
          <w:lang w:val="es-CO"/>
        </w:rPr>
        <w:t xml:space="preserve">, </w:t>
      </w:r>
      <w:r w:rsidR="00D6114C" w:rsidRPr="00FE4384">
        <w:rPr>
          <w:rFonts w:ascii="Georgia" w:hAnsi="Georgia"/>
          <w:szCs w:val="24"/>
        </w:rPr>
        <w:t xml:space="preserve">la </w:t>
      </w:r>
      <w:r w:rsidR="00D6114C" w:rsidRPr="00FE4384">
        <w:rPr>
          <w:rFonts w:ascii="Georgia" w:hAnsi="Georgia"/>
          <w:szCs w:val="24"/>
        </w:rPr>
        <w:lastRenderedPageBreak/>
        <w:t xml:space="preserve">Dirección de Medicina Laboral de Colpensiones </w:t>
      </w:r>
      <w:r w:rsidR="00AA0A90" w:rsidRPr="00FE4384">
        <w:rPr>
          <w:rFonts w:ascii="Georgia" w:hAnsi="Georgia"/>
          <w:szCs w:val="24"/>
        </w:rPr>
        <w:t>por responder (Ib.</w:t>
      </w:r>
      <w:r w:rsidR="00AA0A90" w:rsidRPr="00FE4384">
        <w:rPr>
          <w:rFonts w:ascii="Georgia" w:hAnsi="Georgia"/>
          <w:szCs w:val="24"/>
          <w:lang w:val="es-419"/>
        </w:rPr>
        <w:t>, pdf.002, folio 11</w:t>
      </w:r>
      <w:r w:rsidR="00AA0A90" w:rsidRPr="00FE4384">
        <w:rPr>
          <w:rFonts w:ascii="Georgia" w:hAnsi="Georgia"/>
          <w:szCs w:val="24"/>
          <w:lang w:val="es-CO"/>
        </w:rPr>
        <w:t xml:space="preserve">) </w:t>
      </w:r>
      <w:r w:rsidR="00AA0A90" w:rsidRPr="00FE4384">
        <w:rPr>
          <w:rFonts w:ascii="Georgia" w:hAnsi="Georgia"/>
          <w:szCs w:val="24"/>
        </w:rPr>
        <w:t>y ser competente para resolver ese tipo de ruegos</w:t>
      </w:r>
      <w:r w:rsidR="00D6114C" w:rsidRPr="00FE4384">
        <w:rPr>
          <w:rFonts w:ascii="Georgia" w:hAnsi="Georgia"/>
          <w:szCs w:val="24"/>
          <w:lang w:val="es-ES"/>
        </w:rPr>
        <w:t xml:space="preserve"> </w:t>
      </w:r>
      <w:r w:rsidR="00D6114C" w:rsidRPr="00FE4384">
        <w:rPr>
          <w:rFonts w:ascii="Georgia" w:hAnsi="Georgia"/>
          <w:szCs w:val="24"/>
        </w:rPr>
        <w:t>(Art</w:t>
      </w:r>
      <w:r w:rsidR="00FD71DC" w:rsidRPr="00FE4384">
        <w:rPr>
          <w:rFonts w:ascii="Georgia" w:hAnsi="Georgia"/>
          <w:szCs w:val="24"/>
        </w:rPr>
        <w:t>s</w:t>
      </w:r>
      <w:r w:rsidR="00D6114C" w:rsidRPr="00FE4384">
        <w:rPr>
          <w:rFonts w:ascii="Georgia" w:hAnsi="Georgia"/>
          <w:szCs w:val="24"/>
        </w:rPr>
        <w:t>.4.3.2.2.</w:t>
      </w:r>
      <w:r w:rsidR="00FD71DC" w:rsidRPr="00FE4384">
        <w:rPr>
          <w:rFonts w:ascii="Georgia" w:hAnsi="Georgia"/>
          <w:szCs w:val="24"/>
        </w:rPr>
        <w:t xml:space="preserve">, </w:t>
      </w:r>
      <w:r w:rsidR="00D6114C" w:rsidRPr="00FE4384">
        <w:rPr>
          <w:rFonts w:ascii="Georgia" w:hAnsi="Georgia"/>
          <w:szCs w:val="24"/>
        </w:rPr>
        <w:t>Acuerdo 131</w:t>
      </w:r>
      <w:r w:rsidR="00FD71DC" w:rsidRPr="00FE4384">
        <w:rPr>
          <w:rFonts w:ascii="Georgia" w:hAnsi="Georgia"/>
          <w:szCs w:val="24"/>
        </w:rPr>
        <w:t>/</w:t>
      </w:r>
      <w:r w:rsidR="00D6114C" w:rsidRPr="00FE4384">
        <w:rPr>
          <w:rFonts w:ascii="Georgia" w:hAnsi="Georgia"/>
          <w:szCs w:val="24"/>
        </w:rPr>
        <w:t>2018)</w:t>
      </w:r>
      <w:r w:rsidR="00D6114C" w:rsidRPr="00FE4384">
        <w:rPr>
          <w:rFonts w:ascii="Georgia" w:hAnsi="Georgia"/>
          <w:szCs w:val="24"/>
          <w:lang w:val="es-CO"/>
        </w:rPr>
        <w:t>.</w:t>
      </w:r>
    </w:p>
    <w:p w14:paraId="1C11B3EA" w14:textId="2DD12ED3" w:rsidR="00D6114C" w:rsidRPr="00FE4384" w:rsidRDefault="00D6114C" w:rsidP="00FE4384">
      <w:pPr>
        <w:pStyle w:val="Textoindependiente"/>
        <w:widowControl w:val="0"/>
        <w:spacing w:line="276" w:lineRule="auto"/>
        <w:rPr>
          <w:rFonts w:ascii="Georgia" w:hAnsi="Georgia"/>
          <w:szCs w:val="24"/>
          <w:lang w:val="es-CO"/>
        </w:rPr>
      </w:pPr>
    </w:p>
    <w:p w14:paraId="1D028499" w14:textId="5900CFDD" w:rsidR="00AA0A90" w:rsidRPr="00FE4384" w:rsidRDefault="00AA0A90" w:rsidP="00FE4384">
      <w:pPr>
        <w:pStyle w:val="Textoindependiente"/>
        <w:widowControl w:val="0"/>
        <w:spacing w:line="276" w:lineRule="auto"/>
        <w:rPr>
          <w:rFonts w:ascii="Georgia" w:hAnsi="Georgia"/>
          <w:szCs w:val="24"/>
          <w:lang w:val="es-CO"/>
        </w:rPr>
      </w:pPr>
      <w:r w:rsidRPr="00FE4384">
        <w:rPr>
          <w:rFonts w:ascii="Georgia" w:hAnsi="Georgia"/>
          <w:szCs w:val="24"/>
        </w:rPr>
        <w:t xml:space="preserve">Distinto es respecto a la </w:t>
      </w:r>
      <w:r w:rsidRPr="00FE4384">
        <w:rPr>
          <w:rFonts w:ascii="Georgia" w:hAnsi="Georgia" w:cs="Arial"/>
          <w:szCs w:val="24"/>
          <w:lang w:val="es-CO"/>
        </w:rPr>
        <w:t>Dirección de Atención y Servicio de Colpensiones</w:t>
      </w:r>
      <w:r w:rsidRPr="00FE4384">
        <w:rPr>
          <w:rFonts w:ascii="Georgia" w:hAnsi="Georgia"/>
          <w:szCs w:val="24"/>
        </w:rPr>
        <w:t xml:space="preserve"> porque </w:t>
      </w:r>
      <w:r w:rsidRPr="00FE4384">
        <w:rPr>
          <w:rFonts w:ascii="Georgia" w:hAnsi="Georgia"/>
          <w:i/>
          <w:iCs/>
          <w:szCs w:val="24"/>
        </w:rPr>
        <w:t>es incompetente</w:t>
      </w:r>
      <w:r w:rsidRPr="00FE4384">
        <w:rPr>
          <w:rFonts w:ascii="Georgia" w:hAnsi="Georgia"/>
          <w:szCs w:val="24"/>
        </w:rPr>
        <w:t xml:space="preserve"> para adelantar los trámites de la calificación de PCL (</w:t>
      </w:r>
      <w:r w:rsidRPr="00FE4384">
        <w:rPr>
          <w:rFonts w:ascii="Georgia" w:hAnsi="Georgia" w:cs="Arial"/>
          <w:szCs w:val="24"/>
        </w:rPr>
        <w:t>Acuerdo 131/2018)</w:t>
      </w:r>
      <w:r w:rsidRPr="00FE4384">
        <w:rPr>
          <w:rFonts w:ascii="Georgia" w:hAnsi="Georgia"/>
          <w:szCs w:val="24"/>
          <w:lang w:val="es-CO"/>
        </w:rPr>
        <w:t>. Se adicionará el fallo para declarar improcedente el amparo en su contra.</w:t>
      </w:r>
    </w:p>
    <w:p w14:paraId="4CFE170A" w14:textId="77777777" w:rsidR="00AA0A90" w:rsidRPr="00FE4384" w:rsidRDefault="00AA0A90" w:rsidP="00FE4384">
      <w:pPr>
        <w:pStyle w:val="Textoindependiente"/>
        <w:widowControl w:val="0"/>
        <w:spacing w:line="276" w:lineRule="auto"/>
        <w:rPr>
          <w:rFonts w:ascii="Georgia" w:hAnsi="Georgia"/>
          <w:szCs w:val="24"/>
          <w:lang w:val="es-CO"/>
        </w:rPr>
      </w:pPr>
    </w:p>
    <w:p w14:paraId="41DDA5F3" w14:textId="20C82727" w:rsidR="00AA0A90" w:rsidRPr="00FE4384" w:rsidRDefault="00AA0A90" w:rsidP="00FE4384">
      <w:pPr>
        <w:pStyle w:val="Textoindependiente"/>
        <w:spacing w:line="276" w:lineRule="auto"/>
        <w:textAlignment w:val="auto"/>
        <w:rPr>
          <w:rFonts w:ascii="Georgia" w:hAnsi="Georgia"/>
          <w:szCs w:val="24"/>
        </w:rPr>
      </w:pPr>
      <w:r w:rsidRPr="00FE4384">
        <w:rPr>
          <w:rFonts w:ascii="Georgia" w:hAnsi="Georgia"/>
          <w:smallCaps/>
          <w:szCs w:val="24"/>
          <w:lang w:val="es-419"/>
        </w:rPr>
        <w:t xml:space="preserve">5.3.2. </w:t>
      </w:r>
      <w:r w:rsidR="00057A10" w:rsidRPr="00FE4384">
        <w:rPr>
          <w:rFonts w:ascii="Georgia" w:hAnsi="Georgia"/>
          <w:smallCaps/>
          <w:szCs w:val="24"/>
          <w:lang w:val="es-419"/>
        </w:rPr>
        <w:t>La inmediatez</w:t>
      </w:r>
      <w:r w:rsidR="00A76F97" w:rsidRPr="00FE4384">
        <w:rPr>
          <w:rFonts w:ascii="Georgia" w:hAnsi="Georgia" w:cs="Arial"/>
          <w:szCs w:val="24"/>
          <w:lang w:val="es-419"/>
        </w:rPr>
        <w:t xml:space="preserve"> </w:t>
      </w:r>
      <w:r w:rsidRPr="00FE4384">
        <w:rPr>
          <w:rFonts w:ascii="Georgia" w:hAnsi="Georgia" w:cs="Arial"/>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6F34283A" w14:textId="77777777" w:rsidR="00AA0A90" w:rsidRPr="00FE4384" w:rsidRDefault="00AA0A90" w:rsidP="00FE4384">
      <w:pPr>
        <w:pStyle w:val="Textoindependiente"/>
        <w:spacing w:line="276" w:lineRule="auto"/>
        <w:rPr>
          <w:rFonts w:ascii="Georgia" w:hAnsi="Georgia"/>
          <w:szCs w:val="24"/>
        </w:rPr>
      </w:pPr>
    </w:p>
    <w:p w14:paraId="3EF827D1" w14:textId="77777777" w:rsidR="00AA0A90" w:rsidRPr="00FE4384" w:rsidRDefault="00AA0A90" w:rsidP="00FE4384">
      <w:pPr>
        <w:pStyle w:val="Textoindependiente"/>
        <w:spacing w:line="276" w:lineRule="auto"/>
        <w:rPr>
          <w:rFonts w:ascii="Georgia" w:hAnsi="Georgia"/>
          <w:szCs w:val="24"/>
          <w:shd w:val="clear" w:color="auto" w:fill="FFFFFF"/>
          <w:lang w:val="es-ES"/>
        </w:rPr>
      </w:pPr>
      <w:r w:rsidRPr="00FE4384">
        <w:rPr>
          <w:rFonts w:ascii="Georgia" w:hAnsi="Georgia" w:cs="Arial"/>
          <w:szCs w:val="24"/>
          <w:lang w:val="es-419"/>
        </w:rPr>
        <w:t xml:space="preserve">Este requisito: </w:t>
      </w:r>
      <w:r w:rsidRPr="00FE4384">
        <w:rPr>
          <w:rFonts w:ascii="Georgia" w:hAnsi="Georgia" w:cs="Arial"/>
          <w:i/>
          <w:iCs/>
          <w:szCs w:val="24"/>
          <w:lang w:val="es-419"/>
        </w:rPr>
        <w:t xml:space="preserve">“(…) </w:t>
      </w:r>
      <w:r w:rsidRPr="00FE4384">
        <w:rPr>
          <w:rFonts w:ascii="Georgia" w:hAnsi="Georgia"/>
          <w:i/>
          <w:iCs/>
          <w:szCs w:val="24"/>
          <w:shd w:val="clear" w:color="auto" w:fill="FFFFFF"/>
        </w:rPr>
        <w:t>impone la carga al demandante de presentar la acción de tutela en un término prudente y razonable (…)”</w:t>
      </w:r>
      <w:r w:rsidRPr="00FE4384">
        <w:rPr>
          <w:rFonts w:ascii="Georgia" w:hAnsi="Georgia"/>
          <w:szCs w:val="24"/>
          <w:shd w:val="clear" w:color="auto" w:fill="FFFFFF"/>
        </w:rPr>
        <w:t xml:space="preserve">, por lo tanto, </w:t>
      </w:r>
      <w:r w:rsidRPr="00FE4384">
        <w:rPr>
          <w:rFonts w:ascii="Georgia" w:hAnsi="Georgia"/>
          <w:i/>
          <w:iCs/>
          <w:szCs w:val="24"/>
          <w:shd w:val="clear" w:color="auto" w:fill="FFFFFF"/>
        </w:rPr>
        <w:t xml:space="preserve">“(…) el juez de tutela no podrá conocer de un asunto, y menos aún conceder la protección (…), cuando la solicitud se haga de manera tardía (…)” </w:t>
      </w:r>
      <w:r w:rsidRPr="00FE4384">
        <w:rPr>
          <w:rFonts w:ascii="Georgia" w:hAnsi="Georgia"/>
          <w:szCs w:val="24"/>
          <w:shd w:val="clear" w:color="auto" w:fill="FFFFFF"/>
        </w:rPr>
        <w:t>(2020)</w:t>
      </w:r>
      <w:r w:rsidRPr="00FE4384">
        <w:rPr>
          <w:rStyle w:val="Refdenotaalpie"/>
          <w:rFonts w:ascii="Georgia" w:eastAsiaTheme="majorEastAsia" w:hAnsi="Georgia"/>
          <w:szCs w:val="24"/>
          <w:shd w:val="clear" w:color="auto" w:fill="FFFFFF"/>
        </w:rPr>
        <w:footnoteReference w:id="1"/>
      </w:r>
      <w:r w:rsidRPr="00FE4384">
        <w:rPr>
          <w:rFonts w:ascii="Georgia" w:hAnsi="Georgia"/>
          <w:szCs w:val="24"/>
          <w:shd w:val="clear" w:color="auto" w:fill="FFFFFF"/>
        </w:rPr>
        <w:t xml:space="preserve">. Aquello porque: </w:t>
      </w:r>
      <w:r w:rsidRPr="00FE4384">
        <w:rPr>
          <w:rFonts w:ascii="Georgia" w:hAnsi="Georgia"/>
          <w:i/>
          <w:iCs/>
          <w:szCs w:val="24"/>
          <w:shd w:val="clear" w:color="auto" w:fill="FFFFFF"/>
        </w:rPr>
        <w:t xml:space="preserve">“(…) </w:t>
      </w:r>
      <w:r w:rsidRPr="00FE4384">
        <w:rPr>
          <w:rFonts w:ascii="Georgia" w:hAnsi="Georgia"/>
          <w:i/>
          <w:iCs/>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FE4384">
        <w:rPr>
          <w:rFonts w:ascii="Georgia" w:hAnsi="Georgia"/>
          <w:szCs w:val="24"/>
          <w:shd w:val="clear" w:color="auto" w:fill="FFFFFF"/>
          <w:lang w:val="es-ES"/>
        </w:rPr>
        <w:t xml:space="preserve"> </w:t>
      </w:r>
      <w:r w:rsidRPr="00FE4384">
        <w:rPr>
          <w:rFonts w:ascii="Georgia" w:hAnsi="Georgia"/>
          <w:szCs w:val="24"/>
          <w:shd w:val="clear" w:color="auto" w:fill="FFFFFF"/>
        </w:rPr>
        <w:t>(2021)</w:t>
      </w:r>
      <w:r w:rsidRPr="00FE4384">
        <w:rPr>
          <w:rStyle w:val="Refdenotaalpie"/>
          <w:rFonts w:ascii="Georgia" w:eastAsiaTheme="majorEastAsia" w:hAnsi="Georgia"/>
          <w:szCs w:val="24"/>
          <w:shd w:val="clear" w:color="auto" w:fill="FFFFFF"/>
        </w:rPr>
        <w:footnoteReference w:id="2"/>
      </w:r>
      <w:r w:rsidRPr="00FE4384">
        <w:rPr>
          <w:rFonts w:ascii="Georgia" w:hAnsi="Georgia"/>
          <w:szCs w:val="24"/>
          <w:shd w:val="clear" w:color="auto" w:fill="FFFFFF"/>
        </w:rPr>
        <w:t xml:space="preserve">. </w:t>
      </w:r>
      <w:r w:rsidRPr="00FE4384">
        <w:rPr>
          <w:rFonts w:ascii="Georgia" w:hAnsi="Georgia"/>
          <w:szCs w:val="24"/>
          <w:shd w:val="clear" w:color="auto" w:fill="FFFFFF"/>
          <w:lang w:val="es-ES"/>
        </w:rPr>
        <w:t>Criterio reiterado por la CC (2022)</w:t>
      </w:r>
      <w:r w:rsidRPr="00FE4384">
        <w:rPr>
          <w:rFonts w:ascii="Georgia" w:hAnsi="Georgia"/>
          <w:szCs w:val="24"/>
          <w:shd w:val="clear" w:color="auto" w:fill="FFFFFF"/>
          <w:vertAlign w:val="superscript"/>
          <w:lang w:val="es-ES"/>
        </w:rPr>
        <w:footnoteReference w:id="3"/>
      </w:r>
      <w:r w:rsidRPr="00FE4384">
        <w:rPr>
          <w:rFonts w:ascii="Georgia" w:hAnsi="Georgia"/>
          <w:szCs w:val="24"/>
          <w:shd w:val="clear" w:color="auto" w:fill="FFFFFF"/>
          <w:lang w:val="es-ES"/>
        </w:rPr>
        <w:t>.</w:t>
      </w:r>
    </w:p>
    <w:p w14:paraId="511C4262" w14:textId="77777777" w:rsidR="00AA0A90" w:rsidRPr="00FE4384" w:rsidRDefault="00AA0A90" w:rsidP="00FE4384">
      <w:pPr>
        <w:pStyle w:val="Textoindependiente"/>
        <w:spacing w:line="276" w:lineRule="auto"/>
        <w:rPr>
          <w:rFonts w:ascii="Georgia" w:hAnsi="Georgia" w:cs="Arial"/>
          <w:bCs/>
          <w:szCs w:val="24"/>
          <w:lang w:val="es-CO"/>
        </w:rPr>
      </w:pPr>
    </w:p>
    <w:p w14:paraId="5852C96D" w14:textId="3E378712" w:rsidR="00C75A3C" w:rsidRPr="00FE4384" w:rsidRDefault="00AA0A90" w:rsidP="00FE4384">
      <w:pPr>
        <w:pStyle w:val="Textoindependiente"/>
        <w:spacing w:line="276" w:lineRule="auto"/>
        <w:rPr>
          <w:rFonts w:ascii="Georgia" w:hAnsi="Georgia" w:cs="Arial"/>
          <w:szCs w:val="24"/>
          <w:lang w:val="es-CO"/>
        </w:rPr>
      </w:pPr>
      <w:r w:rsidRPr="00FE4384">
        <w:rPr>
          <w:rFonts w:ascii="Georgia" w:hAnsi="Georgia" w:cs="Arial"/>
          <w:szCs w:val="24"/>
          <w:lang w:val="es-CO"/>
        </w:rPr>
        <w:t xml:space="preserve">Se satisface porque la acción se promovió </w:t>
      </w:r>
      <w:bookmarkStart w:id="3" w:name="_Hlk45532728"/>
      <w:r w:rsidRPr="00FE4384">
        <w:rPr>
          <w:rFonts w:ascii="Georgia" w:hAnsi="Georgia" w:cs="Arial"/>
          <w:szCs w:val="24"/>
          <w:lang w:val="es-CO"/>
        </w:rPr>
        <w:t xml:space="preserve">(17-03-2022) </w:t>
      </w:r>
      <w:bookmarkEnd w:id="3"/>
      <w:r w:rsidRPr="00FE4384">
        <w:rPr>
          <w:rFonts w:ascii="Georgia" w:hAnsi="Georgia" w:cs="Arial"/>
          <w:szCs w:val="24"/>
          <w:lang w:val="es-CO"/>
        </w:rPr>
        <w:t xml:space="preserve">(Id., </w:t>
      </w:r>
      <w:proofErr w:type="spellStart"/>
      <w:r w:rsidRPr="00FE4384">
        <w:rPr>
          <w:rFonts w:ascii="Georgia" w:hAnsi="Georgia" w:cs="Arial"/>
          <w:szCs w:val="24"/>
          <w:lang w:val="es-CO"/>
        </w:rPr>
        <w:t>pdf</w:t>
      </w:r>
      <w:proofErr w:type="spellEnd"/>
      <w:r w:rsidRPr="00FE4384">
        <w:rPr>
          <w:rFonts w:ascii="Georgia" w:hAnsi="Georgia" w:cs="Arial"/>
          <w:szCs w:val="24"/>
          <w:lang w:val="es-CO"/>
        </w:rPr>
        <w:t xml:space="preserve"> No.001) dos (2) días después de expedida respuesta rebatida (15-03-2022) (Ib., </w:t>
      </w:r>
      <w:proofErr w:type="spellStart"/>
      <w:r w:rsidRPr="00FE4384">
        <w:rPr>
          <w:rFonts w:ascii="Georgia" w:hAnsi="Georgia" w:cs="Arial"/>
          <w:szCs w:val="24"/>
          <w:lang w:val="es-CO"/>
        </w:rPr>
        <w:t>pdf</w:t>
      </w:r>
      <w:proofErr w:type="spellEnd"/>
      <w:r w:rsidRPr="00FE4384">
        <w:rPr>
          <w:rFonts w:ascii="Georgia" w:hAnsi="Georgia" w:cs="Arial"/>
          <w:szCs w:val="24"/>
          <w:lang w:val="es-CO"/>
        </w:rPr>
        <w:t xml:space="preserve"> No.002, folio 11), claramente</w:t>
      </w:r>
      <w:r w:rsidRPr="00FE4384">
        <w:rPr>
          <w:rFonts w:ascii="Georgia" w:hAnsi="Georgia" w:cs="Arial"/>
          <w:szCs w:val="24"/>
          <w:lang w:val="es-419"/>
        </w:rPr>
        <w:t xml:space="preserve"> dentro de</w:t>
      </w:r>
      <w:r w:rsidRPr="00FE4384">
        <w:rPr>
          <w:rFonts w:ascii="Georgia" w:hAnsi="Georgia" w:cs="Arial"/>
          <w:szCs w:val="24"/>
          <w:lang w:val="es-CO"/>
        </w:rPr>
        <w:t>l</w:t>
      </w:r>
      <w:r w:rsidRPr="00FE4384">
        <w:rPr>
          <w:rFonts w:ascii="Georgia" w:hAnsi="Georgia" w:cs="Arial"/>
          <w:szCs w:val="24"/>
          <w:lang w:val="es-419"/>
        </w:rPr>
        <w:t xml:space="preserve"> plazo general de los seis (6) meses, fijado por la doctrina constitucional</w:t>
      </w:r>
      <w:r w:rsidRPr="00FE4384">
        <w:rPr>
          <w:rStyle w:val="Refdenotaalpie"/>
          <w:rFonts w:ascii="Georgia" w:hAnsi="Georgia" w:cs="Arial"/>
          <w:noProof/>
          <w:szCs w:val="24"/>
          <w:lang w:val="es-CO"/>
        </w:rPr>
        <w:footnoteReference w:id="4"/>
      </w:r>
      <w:r w:rsidRPr="00FE4384">
        <w:rPr>
          <w:rFonts w:ascii="Georgia" w:hAnsi="Georgia" w:cs="Arial"/>
          <w:szCs w:val="24"/>
          <w:vertAlign w:val="superscript"/>
          <w:lang w:val="es-419"/>
        </w:rPr>
        <w:t>-</w:t>
      </w:r>
      <w:r w:rsidRPr="00FE4384">
        <w:rPr>
          <w:rStyle w:val="Refdenotaalpie"/>
          <w:rFonts w:ascii="Georgia" w:hAnsi="Georgia"/>
          <w:szCs w:val="24"/>
          <w:lang w:val="es-419"/>
        </w:rPr>
        <w:footnoteReference w:id="5"/>
      </w:r>
      <w:r w:rsidRPr="00FE4384">
        <w:rPr>
          <w:rFonts w:ascii="Georgia" w:hAnsi="Georgia" w:cs="Arial"/>
          <w:szCs w:val="24"/>
          <w:lang w:val="es-CO"/>
        </w:rPr>
        <w:t xml:space="preserve">. </w:t>
      </w:r>
    </w:p>
    <w:p w14:paraId="734595E0" w14:textId="77777777" w:rsidR="00AA0A90" w:rsidRPr="00FE4384" w:rsidRDefault="00AA0A90" w:rsidP="00FE4384">
      <w:pPr>
        <w:pStyle w:val="Textoindependiente"/>
        <w:spacing w:line="276" w:lineRule="auto"/>
        <w:rPr>
          <w:rFonts w:ascii="Georgia" w:hAnsi="Georgia" w:cs="Arial"/>
          <w:bCs/>
          <w:szCs w:val="24"/>
          <w:lang w:val="es-CO"/>
        </w:rPr>
      </w:pPr>
    </w:p>
    <w:p w14:paraId="7F21E502" w14:textId="77777777" w:rsidR="00AA0A90" w:rsidRPr="00FE4384" w:rsidRDefault="00AA0A90" w:rsidP="00FE4384">
      <w:p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CO" w:eastAsia="es-CO"/>
        </w:rPr>
      </w:pPr>
      <w:r w:rsidRPr="00FE4384">
        <w:rPr>
          <w:rFonts w:ascii="Georgia" w:hAnsi="Georgia" w:cs="Arial"/>
          <w:smallCaps/>
        </w:rPr>
        <w:t xml:space="preserve">5.3.3. </w:t>
      </w:r>
      <w:r w:rsidR="00FD71DC" w:rsidRPr="00FE4384">
        <w:rPr>
          <w:rFonts w:ascii="Georgia" w:hAnsi="Georgia" w:cs="Arial"/>
          <w:smallCaps/>
        </w:rPr>
        <w:t xml:space="preserve"> </w:t>
      </w:r>
      <w:r w:rsidR="004704B6" w:rsidRPr="00FE4384">
        <w:rPr>
          <w:rFonts w:ascii="Georgia" w:hAnsi="Georgia" w:cs="Arial"/>
          <w:smallCaps/>
        </w:rPr>
        <w:t>L</w:t>
      </w:r>
      <w:r w:rsidR="004704B6" w:rsidRPr="00FE4384">
        <w:rPr>
          <w:rFonts w:ascii="Georgia" w:hAnsi="Georgia" w:cs="Arial"/>
          <w:smallCaps/>
          <w:lang w:val="es-419"/>
        </w:rPr>
        <w:t>a subsidiariedad</w:t>
      </w:r>
      <w:r w:rsidR="00EC2157" w:rsidRPr="00FE4384">
        <w:rPr>
          <w:rFonts w:ascii="Georgia" w:hAnsi="Georgia" w:cs="Arial"/>
          <w:smallCaps/>
          <w:lang w:val="es-419"/>
        </w:rPr>
        <w:t>:</w:t>
      </w:r>
      <w:r w:rsidR="004704B6" w:rsidRPr="00FE4384">
        <w:rPr>
          <w:rFonts w:ascii="Georgia" w:hAnsi="Georgia" w:cs="Arial"/>
        </w:rPr>
        <w:t xml:space="preserve"> </w:t>
      </w:r>
      <w:bookmarkStart w:id="4" w:name="_Hlk109654162"/>
      <w:r w:rsidRPr="00FE4384">
        <w:rPr>
          <w:rFonts w:ascii="Georgia" w:hAnsi="Georgia" w:cs="Arial"/>
        </w:rPr>
        <w:t>Procede la acción siempre que el afectado carezca de otro instrumento defensivo judicial (2022)</w:t>
      </w:r>
      <w:r w:rsidRPr="00FE4384">
        <w:rPr>
          <w:rFonts w:ascii="Georgia" w:hAnsi="Georgia"/>
          <w:vertAlign w:val="superscript"/>
        </w:rPr>
        <w:footnoteReference w:id="6"/>
      </w:r>
      <w:r w:rsidRPr="00FE4384">
        <w:rPr>
          <w:rFonts w:ascii="Georgia" w:hAnsi="Georgia" w:cs="Arial"/>
        </w:rPr>
        <w:t xml:space="preserve">. Empero, hay dos </w:t>
      </w:r>
      <w:r w:rsidRPr="00FE4384">
        <w:rPr>
          <w:rFonts w:ascii="Georgia" w:hAnsi="Georgia"/>
        </w:rPr>
        <w:t>(</w:t>
      </w:r>
      <w:r w:rsidRPr="00FE4384">
        <w:rPr>
          <w:rFonts w:ascii="Georgia" w:hAnsi="Georgia" w:cs="Arial"/>
        </w:rPr>
        <w:t xml:space="preserve">2) excepciones que guardan en común la existencia del medio ordinario: </w:t>
      </w:r>
      <w:r w:rsidRPr="00FE4384">
        <w:rPr>
          <w:rFonts w:ascii="Georgia" w:hAnsi="Georgia" w:cs="Arial"/>
          <w:b/>
          <w:bCs/>
        </w:rPr>
        <w:t>(i)</w:t>
      </w:r>
      <w:r w:rsidRPr="00FE4384">
        <w:rPr>
          <w:rFonts w:ascii="Georgia" w:hAnsi="Georgia" w:cs="Arial"/>
        </w:rPr>
        <w:t xml:space="preserve"> La tutela transitoria para evitar un perjuicio irremediable; y </w:t>
      </w:r>
      <w:r w:rsidRPr="00FE4384">
        <w:rPr>
          <w:rFonts w:ascii="Georgia" w:hAnsi="Georgia" w:cs="Arial"/>
          <w:b/>
          <w:bCs/>
        </w:rPr>
        <w:t>(ii)</w:t>
      </w:r>
      <w:r w:rsidRPr="00FE4384">
        <w:rPr>
          <w:rFonts w:ascii="Georgia" w:hAnsi="Georgia" w:cs="Arial"/>
        </w:rPr>
        <w:t xml:space="preserve"> La ineficacia de la herramienta regular para salvaguardar los derechos.</w:t>
      </w:r>
    </w:p>
    <w:p w14:paraId="1AEF22CB" w14:textId="22F07E16" w:rsidR="009B4A6A" w:rsidRPr="00FE4384" w:rsidRDefault="009B4A6A" w:rsidP="00FE4384">
      <w:pPr>
        <w:spacing w:line="276" w:lineRule="auto"/>
        <w:jc w:val="both"/>
        <w:rPr>
          <w:rFonts w:ascii="Georgia" w:hAnsi="Georgia" w:cs="Arial"/>
          <w:lang w:val="es-419"/>
        </w:rPr>
      </w:pPr>
    </w:p>
    <w:p w14:paraId="57344FA4" w14:textId="13894E98" w:rsidR="00D21586" w:rsidRPr="00FE4384" w:rsidRDefault="00D21586" w:rsidP="00FE4384">
      <w:pPr>
        <w:pStyle w:val="Textoindependiente"/>
        <w:spacing w:line="276" w:lineRule="auto"/>
        <w:rPr>
          <w:rFonts w:ascii="Georgia" w:hAnsi="Georgia" w:cs="Arial"/>
          <w:szCs w:val="24"/>
        </w:rPr>
      </w:pPr>
      <w:r w:rsidRPr="00FE4384">
        <w:rPr>
          <w:rFonts w:ascii="Georgia" w:hAnsi="Georgia" w:cs="Arial"/>
          <w:szCs w:val="24"/>
          <w:lang w:val="es-CO"/>
        </w:rPr>
        <w:t>Importante precisar que el análisis de este requisito</w:t>
      </w:r>
      <w:r w:rsidRPr="00FE4384">
        <w:rPr>
          <w:rFonts w:ascii="Georgia" w:hAnsi="Georgia"/>
          <w:szCs w:val="24"/>
          <w:vertAlign w:val="superscript"/>
          <w:lang w:val="es-419"/>
        </w:rPr>
        <w:footnoteReference w:id="7"/>
      </w:r>
      <w:r w:rsidRPr="00FE4384">
        <w:rPr>
          <w:rFonts w:ascii="Georgia" w:hAnsi="Georgia" w:cs="Arial"/>
          <w:szCs w:val="24"/>
          <w:lang w:val="es-CO"/>
        </w:rPr>
        <w:t xml:space="preserve">: </w:t>
      </w:r>
      <w:r w:rsidRPr="00FE4384">
        <w:rPr>
          <w:rFonts w:ascii="Georgia" w:hAnsi="Georgia" w:cs="Arial"/>
          <w:i/>
          <w:szCs w:val="24"/>
          <w:lang w:val="es-CO"/>
        </w:rPr>
        <w:t>“(…) debe hacerse de manera flexible cuando se trata de personas en situación de discapacidad o de la tercera edad</w:t>
      </w:r>
      <w:bookmarkEnd w:id="4"/>
      <w:r w:rsidRPr="00FE4384">
        <w:rPr>
          <w:rFonts w:ascii="Georgia" w:hAnsi="Georgia" w:cs="Arial"/>
          <w:i/>
          <w:szCs w:val="24"/>
          <w:lang w:val="es-CO"/>
        </w:rPr>
        <w:t>. (…)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FE4384">
        <w:rPr>
          <w:rFonts w:ascii="Georgia" w:hAnsi="Georgia" w:cs="Arial"/>
          <w:szCs w:val="24"/>
          <w:lang w:val="es-CO"/>
        </w:rPr>
        <w:t xml:space="preserve"> Tesis reiterada por esa Corporación</w:t>
      </w:r>
      <w:r w:rsidRPr="00FE4384">
        <w:rPr>
          <w:rFonts w:ascii="Georgia" w:hAnsi="Georgia"/>
          <w:szCs w:val="24"/>
          <w:vertAlign w:val="superscript"/>
          <w:lang w:val="es-419"/>
        </w:rPr>
        <w:footnoteReference w:id="8"/>
      </w:r>
      <w:r w:rsidRPr="00FE4384">
        <w:rPr>
          <w:rFonts w:ascii="Georgia" w:hAnsi="Georgia" w:cs="Arial"/>
          <w:szCs w:val="24"/>
          <w:lang w:val="es-CO"/>
        </w:rPr>
        <w:t xml:space="preserve">. </w:t>
      </w:r>
      <w:r w:rsidRPr="00FE4384">
        <w:rPr>
          <w:rFonts w:ascii="Georgia" w:hAnsi="Georgia" w:cs="Arial"/>
          <w:szCs w:val="24"/>
        </w:rPr>
        <w:t xml:space="preserve">Aquí el examen es diferenciado, tal como pasa a explicarse. </w:t>
      </w:r>
    </w:p>
    <w:p w14:paraId="1598E933" w14:textId="77777777" w:rsidR="005C0370" w:rsidRPr="00FE4384" w:rsidRDefault="005C0370" w:rsidP="00FE4384">
      <w:pPr>
        <w:pStyle w:val="Textoindependiente"/>
        <w:spacing w:line="276" w:lineRule="auto"/>
        <w:rPr>
          <w:rFonts w:ascii="Georgia" w:hAnsi="Georgia" w:cs="Arial"/>
          <w:szCs w:val="24"/>
        </w:rPr>
      </w:pPr>
    </w:p>
    <w:p w14:paraId="3CA7194A" w14:textId="0D2105EE" w:rsidR="00FD71DC" w:rsidRPr="00FE4384" w:rsidRDefault="45EA0DF6" w:rsidP="00FE4384">
      <w:pPr>
        <w:pStyle w:val="Textoindependiente"/>
        <w:spacing w:line="276" w:lineRule="auto"/>
        <w:rPr>
          <w:rFonts w:ascii="Georgia" w:hAnsi="Georgia"/>
          <w:szCs w:val="24"/>
        </w:rPr>
      </w:pPr>
      <w:r w:rsidRPr="00FE4384">
        <w:rPr>
          <w:rFonts w:ascii="Georgia" w:hAnsi="Georgia"/>
          <w:szCs w:val="24"/>
        </w:rPr>
        <w:t xml:space="preserve">Respecto </w:t>
      </w:r>
      <w:r w:rsidR="00D21586" w:rsidRPr="00FE4384">
        <w:rPr>
          <w:rFonts w:ascii="Georgia" w:hAnsi="Georgia"/>
          <w:szCs w:val="24"/>
        </w:rPr>
        <w:t xml:space="preserve">a la tutela de derechos de personas en situación de discapacidad con ocasión del trámite de calificación de la PCL, ha dicho la Corte </w:t>
      </w:r>
      <w:r w:rsidR="0072577C" w:rsidRPr="00FE4384">
        <w:rPr>
          <w:rFonts w:ascii="Georgia" w:hAnsi="Georgia"/>
          <w:szCs w:val="24"/>
        </w:rPr>
        <w:t>Constitucional</w:t>
      </w:r>
      <w:r w:rsidR="60B562EB" w:rsidRPr="00FE4384">
        <w:rPr>
          <w:rFonts w:ascii="Georgia" w:hAnsi="Georgia"/>
          <w:szCs w:val="24"/>
        </w:rPr>
        <w:t xml:space="preserve"> </w:t>
      </w:r>
      <w:r w:rsidR="00D21586" w:rsidRPr="00FE4384">
        <w:rPr>
          <w:rFonts w:ascii="Georgia" w:hAnsi="Georgia"/>
          <w:szCs w:val="24"/>
        </w:rPr>
        <w:t xml:space="preserve">que es procedente </w:t>
      </w:r>
      <w:r w:rsidR="00D21586" w:rsidRPr="00FE4384">
        <w:rPr>
          <w:rFonts w:ascii="Georgia" w:hAnsi="Georgia"/>
          <w:szCs w:val="24"/>
        </w:rPr>
        <w:lastRenderedPageBreak/>
        <w:t>porque, en su parecer, la vía ordinaria laboral (Art</w:t>
      </w:r>
      <w:r w:rsidR="00FD71DC" w:rsidRPr="00FE4384">
        <w:rPr>
          <w:rFonts w:ascii="Georgia" w:hAnsi="Georgia"/>
          <w:szCs w:val="24"/>
        </w:rPr>
        <w:t>.</w:t>
      </w:r>
      <w:r w:rsidR="00D21586" w:rsidRPr="00FE4384">
        <w:rPr>
          <w:rFonts w:ascii="Georgia" w:hAnsi="Georgia"/>
          <w:szCs w:val="24"/>
        </w:rPr>
        <w:t xml:space="preserve">2º, CPTSS) no es eficaz y expedita </w:t>
      </w:r>
      <w:r w:rsidR="67763C1E" w:rsidRPr="00FE4384">
        <w:rPr>
          <w:rFonts w:ascii="Georgia" w:hAnsi="Georgia"/>
          <w:szCs w:val="24"/>
        </w:rPr>
        <w:t xml:space="preserve">cuando </w:t>
      </w:r>
      <w:r w:rsidR="00D21586" w:rsidRPr="00FE4384">
        <w:rPr>
          <w:rFonts w:ascii="Georgia" w:hAnsi="Georgia"/>
          <w:szCs w:val="24"/>
        </w:rPr>
        <w:t xml:space="preserve">el afiliado </w:t>
      </w:r>
      <w:r w:rsidR="4FCED9AC" w:rsidRPr="00FE4384">
        <w:rPr>
          <w:rFonts w:ascii="Georgia" w:hAnsi="Georgia"/>
          <w:szCs w:val="24"/>
        </w:rPr>
        <w:t xml:space="preserve">está </w:t>
      </w:r>
      <w:r w:rsidR="00D21586" w:rsidRPr="00FE4384">
        <w:rPr>
          <w:rFonts w:ascii="Georgia" w:hAnsi="Georgia"/>
          <w:szCs w:val="24"/>
        </w:rPr>
        <w:t>afectado en su salud</w:t>
      </w:r>
      <w:r w:rsidR="00D21586" w:rsidRPr="00FE4384">
        <w:rPr>
          <w:rStyle w:val="Refdenotaalpie"/>
          <w:rFonts w:ascii="Georgia" w:hAnsi="Georgia" w:cs="Arial"/>
          <w:szCs w:val="24"/>
        </w:rPr>
        <w:footnoteReference w:id="9"/>
      </w:r>
      <w:r w:rsidR="00D21586" w:rsidRPr="00FE4384">
        <w:rPr>
          <w:rFonts w:ascii="Georgia" w:hAnsi="Georgia"/>
          <w:szCs w:val="24"/>
        </w:rPr>
        <w:t xml:space="preserve">. </w:t>
      </w:r>
    </w:p>
    <w:p w14:paraId="22EBF550" w14:textId="77777777" w:rsidR="00FD71DC" w:rsidRPr="00FE4384" w:rsidRDefault="00FD71DC" w:rsidP="00FE4384">
      <w:pPr>
        <w:pStyle w:val="Textoindependiente"/>
        <w:spacing w:line="276" w:lineRule="auto"/>
        <w:rPr>
          <w:rFonts w:ascii="Georgia" w:hAnsi="Georgia"/>
          <w:szCs w:val="24"/>
        </w:rPr>
      </w:pPr>
    </w:p>
    <w:p w14:paraId="6E2FEF65" w14:textId="09C51215" w:rsidR="00D21586" w:rsidRPr="00FE4384" w:rsidRDefault="00D21586" w:rsidP="00FE4384">
      <w:pPr>
        <w:pStyle w:val="Textoindependiente"/>
        <w:spacing w:line="276" w:lineRule="auto"/>
        <w:rPr>
          <w:rFonts w:ascii="Georgia" w:hAnsi="Georgia"/>
          <w:szCs w:val="24"/>
          <w:u w:val="single"/>
        </w:rPr>
      </w:pPr>
      <w:r w:rsidRPr="00FE4384">
        <w:rPr>
          <w:rFonts w:ascii="Georgia" w:hAnsi="Georgia"/>
          <w:szCs w:val="24"/>
        </w:rPr>
        <w:t>Aquello porque la negativa en la práctica de la valoración de la PCL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w:t>
      </w:r>
    </w:p>
    <w:p w14:paraId="5C0E9CEC" w14:textId="77777777" w:rsidR="00D21586" w:rsidRPr="00FE4384" w:rsidRDefault="00D21586" w:rsidP="00FE4384">
      <w:pPr>
        <w:pStyle w:val="Prrafodelista"/>
        <w:spacing w:after="0"/>
        <w:jc w:val="both"/>
        <w:rPr>
          <w:rFonts w:ascii="Georgia" w:hAnsi="Georgia"/>
          <w:sz w:val="24"/>
          <w:szCs w:val="24"/>
          <w:u w:val="single"/>
        </w:rPr>
      </w:pPr>
    </w:p>
    <w:p w14:paraId="2694A21B" w14:textId="69A495F9" w:rsidR="003904F1" w:rsidRPr="00FE4384" w:rsidRDefault="00D21586" w:rsidP="00FE4384">
      <w:pPr>
        <w:widowControl/>
        <w:autoSpaceDE/>
        <w:autoSpaceDN/>
        <w:adjustRightInd/>
        <w:spacing w:line="276" w:lineRule="auto"/>
        <w:jc w:val="both"/>
        <w:rPr>
          <w:rFonts w:ascii="Georgia" w:eastAsia="Times New Roman" w:hAnsi="Georgia"/>
        </w:rPr>
      </w:pPr>
      <w:r w:rsidRPr="00FE4384">
        <w:rPr>
          <w:rFonts w:ascii="Georgia" w:hAnsi="Georgia" w:cs="Times New Roman"/>
          <w:spacing w:val="-3"/>
        </w:rPr>
        <w:t>Entonces</w:t>
      </w:r>
      <w:r w:rsidR="002240F8" w:rsidRPr="00FE4384">
        <w:rPr>
          <w:rFonts w:ascii="Georgia" w:hAnsi="Georgia" w:cs="Times New Roman"/>
          <w:spacing w:val="-3"/>
        </w:rPr>
        <w:t xml:space="preserve">, </w:t>
      </w:r>
      <w:r w:rsidR="003C44BA" w:rsidRPr="00FE4384">
        <w:rPr>
          <w:rFonts w:ascii="Georgia" w:hAnsi="Georgia" w:cs="Times New Roman"/>
          <w:spacing w:val="-3"/>
        </w:rPr>
        <w:t xml:space="preserve">como </w:t>
      </w:r>
      <w:r w:rsidR="0072577C" w:rsidRPr="00FE4384">
        <w:rPr>
          <w:rFonts w:ascii="Georgia" w:hAnsi="Georgia" w:cs="Times New Roman"/>
          <w:spacing w:val="-3"/>
        </w:rPr>
        <w:t>la</w:t>
      </w:r>
      <w:r w:rsidR="003C44BA" w:rsidRPr="00FE4384">
        <w:rPr>
          <w:rFonts w:ascii="Georgia" w:hAnsi="Georgia" w:cs="Times New Roman"/>
          <w:spacing w:val="-3"/>
        </w:rPr>
        <w:t xml:space="preserve"> actor</w:t>
      </w:r>
      <w:r w:rsidR="0072577C" w:rsidRPr="00FE4384">
        <w:rPr>
          <w:rFonts w:ascii="Georgia" w:hAnsi="Georgia" w:cs="Times New Roman"/>
          <w:spacing w:val="-3"/>
        </w:rPr>
        <w:t>a</w:t>
      </w:r>
      <w:r w:rsidR="003C44BA" w:rsidRPr="00FE4384">
        <w:rPr>
          <w:rFonts w:ascii="Georgia" w:hAnsi="Georgia" w:cs="Times New Roman"/>
          <w:spacing w:val="-3"/>
        </w:rPr>
        <w:t xml:space="preserve"> es una adulta mayor </w:t>
      </w:r>
      <w:r w:rsidR="0072577C" w:rsidRPr="00FE4384">
        <w:rPr>
          <w:rFonts w:ascii="Georgia" w:hAnsi="Georgia" w:cs="Times New Roman"/>
          <w:spacing w:val="-3"/>
        </w:rPr>
        <w:t xml:space="preserve">(69 años) </w:t>
      </w:r>
      <w:r w:rsidR="003C44BA" w:rsidRPr="00FE4384">
        <w:rPr>
          <w:rFonts w:ascii="Georgia" w:hAnsi="Georgia" w:cs="Times New Roman"/>
          <w:spacing w:val="-3"/>
        </w:rPr>
        <w:t>que padece enfermedades incapacitantes (</w:t>
      </w:r>
      <w:r w:rsidR="0072577C" w:rsidRPr="00FE4384">
        <w:rPr>
          <w:rFonts w:ascii="Georgia" w:hAnsi="Georgia" w:cs="Times New Roman"/>
          <w:spacing w:val="-3"/>
        </w:rPr>
        <w:t>Artrosis primaria generalizada, fibromialgia, visión subnormal de un ojo, entro otras</w:t>
      </w:r>
      <w:r w:rsidR="003C44BA" w:rsidRPr="00FE4384">
        <w:rPr>
          <w:rFonts w:ascii="Georgia" w:hAnsi="Georgia" w:cs="Times New Roman"/>
          <w:spacing w:val="-3"/>
        </w:rPr>
        <w:t xml:space="preserve">) (Ib., </w:t>
      </w:r>
      <w:proofErr w:type="spellStart"/>
      <w:r w:rsidR="003C44BA" w:rsidRPr="00FE4384">
        <w:rPr>
          <w:rFonts w:ascii="Georgia" w:hAnsi="Georgia" w:cs="Times New Roman"/>
          <w:spacing w:val="-3"/>
        </w:rPr>
        <w:t>pdf</w:t>
      </w:r>
      <w:proofErr w:type="spellEnd"/>
      <w:r w:rsidR="0072577C" w:rsidRPr="00FE4384">
        <w:rPr>
          <w:rFonts w:ascii="Georgia" w:hAnsi="Georgia" w:cs="Times New Roman"/>
          <w:spacing w:val="-3"/>
        </w:rPr>
        <w:t xml:space="preserve"> No.002</w:t>
      </w:r>
      <w:r w:rsidR="003C44BA" w:rsidRPr="00FE4384">
        <w:rPr>
          <w:rFonts w:ascii="Georgia" w:hAnsi="Georgia" w:cs="Times New Roman"/>
          <w:spacing w:val="-3"/>
        </w:rPr>
        <w:t xml:space="preserve">, folios </w:t>
      </w:r>
      <w:r w:rsidR="0072577C" w:rsidRPr="00FE4384">
        <w:rPr>
          <w:rFonts w:ascii="Georgia" w:hAnsi="Georgia" w:cs="Times New Roman"/>
          <w:spacing w:val="-3"/>
        </w:rPr>
        <w:t>6-23</w:t>
      </w:r>
      <w:r w:rsidR="003C44BA" w:rsidRPr="00FE4384">
        <w:rPr>
          <w:rFonts w:ascii="Georgia" w:hAnsi="Georgia" w:cs="Times New Roman"/>
          <w:spacing w:val="-3"/>
        </w:rPr>
        <w:t>),</w:t>
      </w:r>
      <w:r w:rsidR="00E278CA" w:rsidRPr="00FE4384">
        <w:rPr>
          <w:rFonts w:ascii="Georgia" w:hAnsi="Georgia" w:cs="Times New Roman"/>
          <w:spacing w:val="-3"/>
        </w:rPr>
        <w:t xml:space="preserve"> </w:t>
      </w:r>
      <w:r w:rsidR="002240F8" w:rsidRPr="00FE4384">
        <w:rPr>
          <w:rFonts w:ascii="Georgia" w:hAnsi="Georgia" w:cs="Times New Roman"/>
          <w:spacing w:val="-3"/>
        </w:rPr>
        <w:t xml:space="preserve">a juicio de la Corporación, </w:t>
      </w:r>
      <w:r w:rsidR="003C44BA" w:rsidRPr="00FE4384">
        <w:rPr>
          <w:rFonts w:ascii="Georgia" w:hAnsi="Georgia" w:cs="Times New Roman"/>
          <w:spacing w:val="-3"/>
        </w:rPr>
        <w:t xml:space="preserve">se supera la subsidiariedad, habida cuenta de que </w:t>
      </w:r>
      <w:r w:rsidRPr="00FE4384">
        <w:rPr>
          <w:rFonts w:ascii="Georgia" w:hAnsi="Georgia" w:cs="Times New Roman"/>
          <w:spacing w:val="-3"/>
        </w:rPr>
        <w:t>el proceso judicial ordinario laboral es ineficaz para proteger a tiempo sus derechos</w:t>
      </w:r>
      <w:r w:rsidR="003C44BA" w:rsidRPr="00FE4384">
        <w:rPr>
          <w:rFonts w:ascii="Georgia" w:hAnsi="Georgia" w:cs="Times New Roman"/>
          <w:spacing w:val="-3"/>
        </w:rPr>
        <w:t xml:space="preserve">, </w:t>
      </w:r>
      <w:r w:rsidRPr="00FE4384">
        <w:rPr>
          <w:rFonts w:ascii="Georgia" w:hAnsi="Georgia" w:cs="Times New Roman"/>
          <w:spacing w:val="-3"/>
        </w:rPr>
        <w:t>dilatar</w:t>
      </w:r>
      <w:r w:rsidR="0A71833A" w:rsidRPr="00FE4384">
        <w:rPr>
          <w:rFonts w:ascii="Georgia" w:hAnsi="Georgia" w:cs="Times New Roman"/>
          <w:spacing w:val="-3"/>
        </w:rPr>
        <w:t>ía</w:t>
      </w:r>
      <w:r w:rsidRPr="00FE4384">
        <w:rPr>
          <w:rFonts w:ascii="Georgia" w:hAnsi="Georgia" w:cs="Times New Roman"/>
          <w:spacing w:val="-3"/>
        </w:rPr>
        <w:t xml:space="preserve"> más el resultado de un trámite administrativo indispensable para establecer si puede acceder a una eventual pensión de invalidez. Criterio expuesto por la Sala Civil Familia de este Tribunal (2021)</w:t>
      </w:r>
      <w:r w:rsidR="002C265D" w:rsidRPr="00FE4384">
        <w:rPr>
          <w:rStyle w:val="Refdenotaalpie"/>
          <w:rFonts w:ascii="Georgia" w:hAnsi="Georgia" w:cs="Arial"/>
        </w:rPr>
        <w:footnoteReference w:id="10"/>
      </w:r>
      <w:r w:rsidRPr="00FE4384">
        <w:rPr>
          <w:rFonts w:ascii="Georgia" w:hAnsi="Georgia" w:cs="Times New Roman"/>
          <w:spacing w:val="-3"/>
        </w:rPr>
        <w:t xml:space="preserve">. </w:t>
      </w:r>
      <w:r w:rsidR="002240F8" w:rsidRPr="00FE4384">
        <w:rPr>
          <w:rFonts w:ascii="Georgia" w:hAnsi="Georgia" w:cs="Times New Roman"/>
          <w:spacing w:val="-3"/>
        </w:rPr>
        <w:t xml:space="preserve">Se </w:t>
      </w:r>
      <w:r w:rsidR="00395F41" w:rsidRPr="00FE4384">
        <w:rPr>
          <w:rFonts w:ascii="Georgia" w:eastAsia="Times New Roman" w:hAnsi="Georgia"/>
        </w:rPr>
        <w:t>supera el test de procedencia</w:t>
      </w:r>
      <w:r w:rsidR="00CC2FB7" w:rsidRPr="00FE4384">
        <w:rPr>
          <w:rFonts w:ascii="Georgia" w:eastAsia="Times New Roman" w:hAnsi="Georgia"/>
        </w:rPr>
        <w:t xml:space="preserve"> y</w:t>
      </w:r>
      <w:r w:rsidR="00395F41" w:rsidRPr="00FE4384">
        <w:rPr>
          <w:rFonts w:ascii="Georgia" w:eastAsia="Times New Roman" w:hAnsi="Georgia"/>
        </w:rPr>
        <w:t xml:space="preserve"> puede examinarse de fondo</w:t>
      </w:r>
      <w:r w:rsidR="009346D5" w:rsidRPr="00FE4384">
        <w:rPr>
          <w:rFonts w:ascii="Georgia" w:eastAsia="Times New Roman" w:hAnsi="Georgia"/>
        </w:rPr>
        <w:t xml:space="preserve"> el amparo en torno al trámite de calificación.</w:t>
      </w:r>
    </w:p>
    <w:p w14:paraId="691B5C1A" w14:textId="061D2156" w:rsidR="00395F41" w:rsidRPr="00FE4384" w:rsidRDefault="00395F41" w:rsidP="00FE4384">
      <w:pPr>
        <w:widowControl/>
        <w:autoSpaceDE/>
        <w:autoSpaceDN/>
        <w:adjustRightInd/>
        <w:spacing w:line="276" w:lineRule="auto"/>
        <w:jc w:val="both"/>
        <w:rPr>
          <w:rFonts w:ascii="Georgia" w:hAnsi="Georgia" w:cs="Times New Roman"/>
          <w:spacing w:val="-3"/>
        </w:rPr>
      </w:pPr>
      <w:r w:rsidRPr="00FE4384">
        <w:rPr>
          <w:rFonts w:ascii="Georgia" w:eastAsia="Times New Roman" w:hAnsi="Georgia"/>
        </w:rPr>
        <w:t xml:space="preserve"> </w:t>
      </w:r>
    </w:p>
    <w:p w14:paraId="64D74163" w14:textId="77777777" w:rsidR="00EC2157" w:rsidRPr="00FE4384" w:rsidRDefault="003754EC" w:rsidP="00FE4384">
      <w:pPr>
        <w:pStyle w:val="Prrafodelista"/>
        <w:numPr>
          <w:ilvl w:val="1"/>
          <w:numId w:val="38"/>
        </w:numPr>
        <w:autoSpaceDE w:val="0"/>
        <w:autoSpaceDN w:val="0"/>
        <w:adjustRightInd w:val="0"/>
        <w:spacing w:after="0"/>
        <w:contextualSpacing w:val="0"/>
        <w:jc w:val="both"/>
        <w:rPr>
          <w:rFonts w:ascii="Georgia" w:hAnsi="Georgia" w:cs="Arial"/>
          <w:smallCaps/>
          <w:sz w:val="24"/>
          <w:szCs w:val="24"/>
        </w:rPr>
      </w:pPr>
      <w:r w:rsidRPr="00FE4384">
        <w:rPr>
          <w:rFonts w:ascii="Georgia" w:hAnsi="Georgia" w:cs="Arial"/>
          <w:smallCaps/>
          <w:sz w:val="24"/>
          <w:szCs w:val="24"/>
        </w:rPr>
        <w:t>La calificación y su relación con otros derechos fundamentales</w:t>
      </w:r>
    </w:p>
    <w:p w14:paraId="1F5272C7" w14:textId="77777777" w:rsidR="00EC2157" w:rsidRPr="00FE4384" w:rsidRDefault="00EC2157" w:rsidP="00FE4384">
      <w:pPr>
        <w:spacing w:line="276" w:lineRule="auto"/>
        <w:jc w:val="both"/>
        <w:rPr>
          <w:rFonts w:ascii="Georgia" w:hAnsi="Georgia" w:cs="Arial"/>
        </w:rPr>
      </w:pPr>
    </w:p>
    <w:p w14:paraId="57DCA897" w14:textId="071DDA75" w:rsidR="003754EC" w:rsidRPr="00FE4384" w:rsidRDefault="003754EC" w:rsidP="00FE4384">
      <w:pPr>
        <w:spacing w:line="276" w:lineRule="auto"/>
        <w:jc w:val="both"/>
        <w:rPr>
          <w:rFonts w:ascii="Georgia" w:hAnsi="Georgia" w:cs="Arial"/>
          <w:smallCaps/>
        </w:rPr>
      </w:pPr>
      <w:r w:rsidRPr="00FE4384">
        <w:rPr>
          <w:rFonts w:ascii="Georgia" w:hAnsi="Georgia" w:cs="Arial"/>
        </w:rPr>
        <w:t>Precisas las palabras de la CC</w:t>
      </w:r>
      <w:r w:rsidRPr="00FE4384">
        <w:rPr>
          <w:rStyle w:val="Refdenotaalpie"/>
          <w:rFonts w:ascii="Georgia" w:hAnsi="Georgia"/>
        </w:rPr>
        <w:footnoteReference w:id="11"/>
      </w:r>
      <w:r w:rsidRPr="00FE4384">
        <w:rPr>
          <w:rFonts w:ascii="Georgia" w:hAnsi="Georgia" w:cs="Arial"/>
        </w:rPr>
        <w:t xml:space="preserve">: </w:t>
      </w:r>
      <w:r w:rsidRPr="00FE4384">
        <w:rPr>
          <w:rFonts w:ascii="Georgia" w:hAnsi="Georgia" w:cs="Arial"/>
          <w:i/>
        </w:rPr>
        <w:t xml:space="preserve">“(…)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 </w:t>
      </w:r>
      <w:r w:rsidRPr="00FE4384">
        <w:rPr>
          <w:rFonts w:ascii="Georgia" w:hAnsi="Georgia" w:cs="Arial"/>
        </w:rPr>
        <w:t>Y, a propósito de la calificación de la PCL, también explicó</w:t>
      </w:r>
      <w:r w:rsidRPr="00FE4384">
        <w:rPr>
          <w:rStyle w:val="Refdenotaalpie"/>
          <w:rFonts w:ascii="Georgia" w:hAnsi="Georgia"/>
        </w:rPr>
        <w:footnoteReference w:id="12"/>
      </w:r>
      <w:r w:rsidRPr="00FE4384">
        <w:rPr>
          <w:rFonts w:ascii="Georgia" w:hAnsi="Georgia" w:cs="Arial"/>
        </w:rPr>
        <w:t xml:space="preserve">: </w:t>
      </w:r>
    </w:p>
    <w:p w14:paraId="473C822B" w14:textId="77777777" w:rsidR="003754EC" w:rsidRPr="00FE4384" w:rsidRDefault="003754EC" w:rsidP="00FE4384">
      <w:pPr>
        <w:widowControl/>
        <w:spacing w:line="276" w:lineRule="auto"/>
        <w:jc w:val="both"/>
        <w:rPr>
          <w:rFonts w:ascii="Georgia" w:hAnsi="Georgia" w:cs="Arial"/>
        </w:rPr>
      </w:pPr>
    </w:p>
    <w:p w14:paraId="775A993D" w14:textId="77777777" w:rsidR="003754EC" w:rsidRPr="00431752" w:rsidRDefault="003754EC" w:rsidP="00431752">
      <w:pPr>
        <w:widowControl/>
        <w:ind w:left="426" w:right="420"/>
        <w:jc w:val="both"/>
        <w:rPr>
          <w:rFonts w:ascii="Georgia" w:hAnsi="Georgia" w:cs="Arial"/>
          <w:sz w:val="22"/>
        </w:rPr>
      </w:pPr>
      <w:r w:rsidRPr="00431752">
        <w:rPr>
          <w:rFonts w:ascii="Georgia" w:hAnsi="Georgia" w:cs="Arial"/>
          <w:sz w:val="22"/>
        </w:rPr>
        <w:t xml:space="preserve">… la Corte de forma sistemática ha sostenido que </w:t>
      </w:r>
      <w:r w:rsidRPr="00431752">
        <w:rPr>
          <w:rFonts w:ascii="Georgia" w:hAnsi="Georgia" w:cs="Arial"/>
          <w:b/>
          <w:bCs/>
          <w:sz w:val="22"/>
          <w:u w:val="single"/>
        </w:rPr>
        <w:t xml:space="preserve">la calificación de pérdida de capacidad laboral </w:t>
      </w:r>
      <w:r w:rsidRPr="00431752">
        <w:rPr>
          <w:rFonts w:ascii="Georgia" w:hAnsi="Georgia" w:cs="Arial"/>
          <w:b/>
          <w:bCs/>
          <w:i/>
          <w:iCs/>
          <w:sz w:val="22"/>
          <w:u w:val="single"/>
        </w:rPr>
        <w:t>es un derecho</w:t>
      </w:r>
      <w:r w:rsidRPr="00431752">
        <w:rPr>
          <w:rFonts w:ascii="Georgia" w:hAnsi="Georgia" w:cs="Arial"/>
          <w:sz w:val="22"/>
          <w:u w:val="single"/>
        </w:rPr>
        <w:t xml:space="preserve"> que tienen todos los afiliados al Sistema General de Seguridad Social</w:t>
      </w:r>
      <w:r w:rsidRPr="00431752">
        <w:rPr>
          <w:rFonts w:ascii="Georgia" w:hAnsi="Georgia" w:cs="Arial"/>
          <w:sz w:val="22"/>
        </w:rPr>
        <w:t xml:space="preserve">, sin distinción alguna, </w:t>
      </w:r>
      <w:r w:rsidRPr="00431752">
        <w:rPr>
          <w:rFonts w:ascii="Georgia" w:hAnsi="Georgia" w:cs="Arial"/>
          <w:sz w:val="22"/>
          <w:u w:val="single"/>
        </w:rPr>
        <w:t>pues es el medio para acceder a la garantía de otros derechos como la salud, el mínimo vital y la seguridad social</w:t>
      </w:r>
      <w:r w:rsidRPr="00431752">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69B5AF65" w14:textId="77777777" w:rsidR="003754EC" w:rsidRPr="00431752" w:rsidRDefault="003754EC" w:rsidP="00431752">
      <w:pPr>
        <w:widowControl/>
        <w:ind w:left="426" w:right="420"/>
        <w:jc w:val="both"/>
        <w:rPr>
          <w:rFonts w:ascii="Georgia" w:hAnsi="Georgia" w:cs="Arial"/>
          <w:sz w:val="22"/>
        </w:rPr>
      </w:pPr>
    </w:p>
    <w:p w14:paraId="7A16A7CE" w14:textId="77777777" w:rsidR="003754EC" w:rsidRPr="00431752" w:rsidRDefault="003754EC" w:rsidP="00431752">
      <w:pPr>
        <w:widowControl/>
        <w:ind w:left="426" w:right="420"/>
        <w:jc w:val="both"/>
        <w:rPr>
          <w:rFonts w:ascii="Georgia" w:hAnsi="Georgia" w:cs="Arial"/>
          <w:sz w:val="22"/>
          <w:lang w:val="es-CO"/>
        </w:rPr>
      </w:pPr>
      <w:r w:rsidRPr="00431752">
        <w:rPr>
          <w:rFonts w:ascii="Georgia" w:hAnsi="Georgia" w:cs="Arial"/>
          <w:sz w:val="22"/>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431752">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431752">
        <w:rPr>
          <w:rFonts w:ascii="Georgia" w:hAnsi="Georgia" w:cs="Arial"/>
          <w:i/>
          <w:iCs/>
          <w:smallCaps/>
          <w:sz w:val="22"/>
          <w:u w:val="single"/>
        </w:rPr>
        <w:t>iusfundamentales</w:t>
      </w:r>
      <w:proofErr w:type="spellEnd"/>
      <w:r w:rsidRPr="00431752">
        <w:rPr>
          <w:rFonts w:ascii="Georgia" w:hAnsi="Georgia" w:cs="Arial"/>
          <w:smallCaps/>
          <w:sz w:val="22"/>
          <w:u w:val="single"/>
        </w:rPr>
        <w:t> en que ella se funda</w:t>
      </w:r>
      <w:r w:rsidRPr="00431752">
        <w:rPr>
          <w:rFonts w:ascii="Georgia" w:hAnsi="Georgia" w:cs="Arial"/>
          <w:sz w:val="22"/>
        </w:rPr>
        <w:t xml:space="preserve">. Negrilla, líneas y versalita de la Sala. </w:t>
      </w:r>
    </w:p>
    <w:p w14:paraId="52307C2D" w14:textId="77777777" w:rsidR="003754EC" w:rsidRPr="00FE4384" w:rsidRDefault="003754EC" w:rsidP="00FE4384">
      <w:pPr>
        <w:widowControl/>
        <w:spacing w:line="276" w:lineRule="auto"/>
        <w:jc w:val="both"/>
        <w:rPr>
          <w:rFonts w:ascii="Georgia" w:hAnsi="Georgia" w:cs="Arial"/>
          <w:lang w:val="es-CO"/>
        </w:rPr>
      </w:pPr>
    </w:p>
    <w:p w14:paraId="2918AB62" w14:textId="475CF796" w:rsidR="003754EC" w:rsidRPr="00FE4384" w:rsidRDefault="003754EC" w:rsidP="00FE4384">
      <w:pPr>
        <w:widowControl/>
        <w:autoSpaceDE/>
        <w:autoSpaceDN/>
        <w:adjustRightInd/>
        <w:spacing w:line="276" w:lineRule="auto"/>
        <w:jc w:val="both"/>
        <w:rPr>
          <w:rFonts w:ascii="Georgia" w:hAnsi="Georgia" w:cs="Times New Roman"/>
          <w:lang w:val="es-CO" w:eastAsia="es-CO"/>
        </w:rPr>
      </w:pPr>
      <w:r w:rsidRPr="00FE4384">
        <w:rPr>
          <w:rFonts w:ascii="Georgia" w:hAnsi="Georgia" w:cs="Arial"/>
          <w:lang w:val="es-CO"/>
        </w:rPr>
        <w:t xml:space="preserve">Palmario es que la calificación de la PCL es un derecho que el fondo pensional debe garantizar a sus afiliados, en la medida en que tiene relación directa con el acceso a otros de carácter fundamental, como el de la seguridad social o el mínimo vital, precisamente, porque </w:t>
      </w:r>
      <w:r w:rsidRPr="00FE4384">
        <w:rPr>
          <w:rFonts w:ascii="Georgia" w:hAnsi="Georgia" w:cs="Arial"/>
        </w:rPr>
        <w:t xml:space="preserve">es necesario para que puedan obtener el reconocimiento </w:t>
      </w:r>
      <w:r w:rsidRPr="00FE4384">
        <w:rPr>
          <w:rFonts w:ascii="Georgia" w:hAnsi="Georgia" w:cs="Arial"/>
        </w:rPr>
        <w:lastRenderedPageBreak/>
        <w:t xml:space="preserve">eventual de una pensión de invalidez o de sobrevivientes, según sea el caso. </w:t>
      </w:r>
      <w:r w:rsidR="00415BBF" w:rsidRPr="00FE4384">
        <w:rPr>
          <w:rFonts w:ascii="Georgia" w:hAnsi="Georgia" w:cs="Arial"/>
        </w:rPr>
        <w:t>La</w:t>
      </w:r>
      <w:r w:rsidRPr="00FE4384">
        <w:rPr>
          <w:rFonts w:ascii="Georgia" w:hAnsi="Georgia" w:cs="Arial"/>
        </w:rPr>
        <w:t xml:space="preserve"> negación del trámite o la </w:t>
      </w:r>
      <w:r w:rsidRPr="00FE4384">
        <w:rPr>
          <w:rFonts w:ascii="Georgia" w:hAnsi="Georgia" w:cs="Arial"/>
          <w:lang w:val="es-CO"/>
        </w:rPr>
        <w:t xml:space="preserve">dilación injustificada comporta el agravio de dichos derechos. </w:t>
      </w:r>
    </w:p>
    <w:p w14:paraId="497A1250" w14:textId="77777777" w:rsidR="003754EC" w:rsidRPr="00FE4384" w:rsidRDefault="003754EC" w:rsidP="00FE4384">
      <w:pPr>
        <w:pStyle w:val="Prrafodelista"/>
        <w:spacing w:after="0"/>
        <w:contextualSpacing w:val="0"/>
        <w:jc w:val="both"/>
        <w:rPr>
          <w:rFonts w:ascii="Georgia" w:eastAsia="Times New Roman" w:hAnsi="Georgia"/>
          <w:sz w:val="24"/>
          <w:szCs w:val="24"/>
          <w:lang w:eastAsia="es-ES"/>
        </w:rPr>
      </w:pPr>
    </w:p>
    <w:p w14:paraId="117E641D" w14:textId="77777777" w:rsidR="002F2F7C" w:rsidRPr="00FE4384" w:rsidRDefault="002F2F7C" w:rsidP="00FE4384">
      <w:pPr>
        <w:pStyle w:val="Prrafodelista"/>
        <w:spacing w:after="0"/>
        <w:contextualSpacing w:val="0"/>
        <w:jc w:val="both"/>
        <w:rPr>
          <w:rFonts w:ascii="Georgia" w:eastAsia="Times New Roman" w:hAnsi="Georgia"/>
          <w:sz w:val="24"/>
          <w:szCs w:val="24"/>
          <w:lang w:val="es-ES_tradnl" w:eastAsia="es-ES_tradnl"/>
        </w:rPr>
      </w:pPr>
    </w:p>
    <w:p w14:paraId="6DAE56B3" w14:textId="77777777" w:rsidR="00450736" w:rsidRPr="00FE4384" w:rsidRDefault="00450736" w:rsidP="00FE4384">
      <w:pPr>
        <w:pStyle w:val="Textoindependiente"/>
        <w:numPr>
          <w:ilvl w:val="0"/>
          <w:numId w:val="36"/>
        </w:numPr>
        <w:tabs>
          <w:tab w:val="clear" w:pos="0"/>
          <w:tab w:val="clear" w:pos="1416"/>
        </w:tabs>
        <w:spacing w:line="276" w:lineRule="auto"/>
        <w:rPr>
          <w:rFonts w:ascii="Georgia" w:hAnsi="Georgia"/>
          <w:b/>
          <w:bCs/>
          <w:smallCaps/>
          <w:szCs w:val="24"/>
        </w:rPr>
      </w:pPr>
      <w:r w:rsidRPr="00FE4384">
        <w:rPr>
          <w:rFonts w:ascii="Georgia" w:hAnsi="Georgia"/>
          <w:b/>
          <w:bCs/>
          <w:smallCaps/>
          <w:szCs w:val="24"/>
        </w:rPr>
        <w:t>El caso concreto analizado</w:t>
      </w:r>
    </w:p>
    <w:p w14:paraId="128FFD31" w14:textId="77777777" w:rsidR="0072577C" w:rsidRPr="00FE4384" w:rsidRDefault="0072577C" w:rsidP="00FE4384">
      <w:pPr>
        <w:pStyle w:val="Textoindependiente"/>
        <w:spacing w:line="276" w:lineRule="auto"/>
        <w:rPr>
          <w:rFonts w:ascii="Georgia" w:hAnsi="Georgia"/>
          <w:szCs w:val="24"/>
        </w:rPr>
      </w:pPr>
    </w:p>
    <w:p w14:paraId="7740D558" w14:textId="4CDDFE64" w:rsidR="00485013" w:rsidRPr="00FE4384" w:rsidRDefault="002240F8" w:rsidP="00FE4384">
      <w:pPr>
        <w:pStyle w:val="Textoindependiente"/>
        <w:spacing w:line="276" w:lineRule="auto"/>
        <w:rPr>
          <w:rFonts w:ascii="Georgia" w:hAnsi="Georgia"/>
          <w:szCs w:val="24"/>
        </w:rPr>
      </w:pPr>
      <w:r w:rsidRPr="00FE4384">
        <w:rPr>
          <w:rFonts w:ascii="Georgia" w:hAnsi="Georgia"/>
          <w:szCs w:val="24"/>
        </w:rPr>
        <w:t xml:space="preserve">El fallo se </w:t>
      </w:r>
      <w:r w:rsidR="0072577C" w:rsidRPr="00FE4384">
        <w:rPr>
          <w:rFonts w:ascii="Georgia" w:hAnsi="Georgia"/>
          <w:szCs w:val="24"/>
        </w:rPr>
        <w:t xml:space="preserve">confirmará porque es </w:t>
      </w:r>
      <w:r w:rsidR="00B6395C" w:rsidRPr="00FE4384">
        <w:rPr>
          <w:rFonts w:ascii="Georgia" w:hAnsi="Georgia"/>
          <w:szCs w:val="24"/>
        </w:rPr>
        <w:t xml:space="preserve">innegable </w:t>
      </w:r>
      <w:r w:rsidR="0072577C" w:rsidRPr="00FE4384">
        <w:rPr>
          <w:rFonts w:ascii="Georgia" w:hAnsi="Georgia"/>
          <w:szCs w:val="24"/>
        </w:rPr>
        <w:t xml:space="preserve">que la </w:t>
      </w:r>
      <w:r w:rsidR="00485013" w:rsidRPr="00FE4384">
        <w:rPr>
          <w:rFonts w:ascii="Georgia" w:hAnsi="Georgia" w:cs="Arial"/>
          <w:szCs w:val="24"/>
        </w:rPr>
        <w:t xml:space="preserve">Dirección de Medicina Laboral de Colpensiones </w:t>
      </w:r>
      <w:r w:rsidRPr="00FE4384">
        <w:rPr>
          <w:rFonts w:ascii="Georgia" w:hAnsi="Georgia"/>
          <w:szCs w:val="24"/>
        </w:rPr>
        <w:t>trasgredió los derechos a la calificación de la PCL</w:t>
      </w:r>
      <w:r w:rsidR="0072577C" w:rsidRPr="00FE4384">
        <w:rPr>
          <w:rFonts w:ascii="Georgia" w:hAnsi="Georgia"/>
          <w:szCs w:val="24"/>
        </w:rPr>
        <w:t xml:space="preserve"> y</w:t>
      </w:r>
      <w:r w:rsidRPr="00FE4384">
        <w:rPr>
          <w:rFonts w:ascii="Georgia" w:hAnsi="Georgia"/>
          <w:szCs w:val="24"/>
        </w:rPr>
        <w:t xml:space="preserve"> </w:t>
      </w:r>
      <w:r w:rsidR="00B6395C" w:rsidRPr="00FE4384">
        <w:rPr>
          <w:rFonts w:ascii="Georgia" w:hAnsi="Georgia"/>
          <w:szCs w:val="24"/>
        </w:rPr>
        <w:t xml:space="preserve">a </w:t>
      </w:r>
      <w:r w:rsidRPr="00FE4384">
        <w:rPr>
          <w:rFonts w:ascii="Georgia" w:hAnsi="Georgia"/>
          <w:szCs w:val="24"/>
        </w:rPr>
        <w:t>la seguridad social</w:t>
      </w:r>
      <w:r w:rsidR="0072577C" w:rsidRPr="00FE4384">
        <w:rPr>
          <w:rFonts w:ascii="Georgia" w:hAnsi="Georgia"/>
          <w:szCs w:val="24"/>
        </w:rPr>
        <w:t xml:space="preserve"> de la accionante. </w:t>
      </w:r>
    </w:p>
    <w:p w14:paraId="3DF69827" w14:textId="77777777" w:rsidR="00485013" w:rsidRPr="00FE4384" w:rsidRDefault="00485013" w:rsidP="00FE4384">
      <w:pPr>
        <w:pStyle w:val="Textoindependiente"/>
        <w:spacing w:line="276" w:lineRule="auto"/>
        <w:rPr>
          <w:rFonts w:ascii="Georgia" w:hAnsi="Georgia"/>
          <w:szCs w:val="24"/>
        </w:rPr>
      </w:pPr>
    </w:p>
    <w:p w14:paraId="58BEB027" w14:textId="5E57CE6C" w:rsidR="00485013" w:rsidRPr="00FE4384" w:rsidRDefault="0072577C" w:rsidP="00FE4384">
      <w:pPr>
        <w:pStyle w:val="Textoindependiente"/>
        <w:spacing w:line="276" w:lineRule="auto"/>
        <w:rPr>
          <w:rFonts w:ascii="Georgia" w:hAnsi="Georgia" w:cs="Arial"/>
          <w:szCs w:val="24"/>
        </w:rPr>
      </w:pPr>
      <w:r w:rsidRPr="00FE4384">
        <w:rPr>
          <w:rFonts w:ascii="Georgia" w:hAnsi="Georgia"/>
          <w:szCs w:val="24"/>
        </w:rPr>
        <w:t>Denegó el reclamo, sin soporte legal ni jurisprudencial</w:t>
      </w:r>
      <w:r w:rsidR="00485013" w:rsidRPr="00FE4384">
        <w:rPr>
          <w:rFonts w:ascii="Georgia" w:hAnsi="Georgia"/>
          <w:szCs w:val="24"/>
        </w:rPr>
        <w:t xml:space="preserve">, pues, con el oficio del </w:t>
      </w:r>
      <w:r w:rsidRPr="00FE4384">
        <w:rPr>
          <w:rFonts w:ascii="Georgia" w:hAnsi="Georgia" w:cs="Arial"/>
          <w:szCs w:val="24"/>
        </w:rPr>
        <w:t xml:space="preserve">15-03-2022 </w:t>
      </w:r>
      <w:r w:rsidR="00485013" w:rsidRPr="00FE4384">
        <w:rPr>
          <w:rFonts w:ascii="Georgia" w:hAnsi="Georgia" w:cs="Arial"/>
          <w:szCs w:val="24"/>
        </w:rPr>
        <w:t xml:space="preserve">se limitó a informar a la </w:t>
      </w:r>
      <w:r w:rsidRPr="00FE4384">
        <w:rPr>
          <w:rFonts w:ascii="Georgia" w:hAnsi="Georgia" w:cs="Arial"/>
          <w:szCs w:val="24"/>
        </w:rPr>
        <w:t xml:space="preserve">peticionaria que </w:t>
      </w:r>
      <w:r w:rsidRPr="00FE4384">
        <w:rPr>
          <w:rFonts w:ascii="Georgia" w:hAnsi="Georgia" w:cs="Arial"/>
          <w:i/>
          <w:iCs/>
          <w:szCs w:val="24"/>
        </w:rPr>
        <w:t>“</w:t>
      </w:r>
      <w:r w:rsidR="00485013" w:rsidRPr="00FE4384">
        <w:rPr>
          <w:rFonts w:ascii="Georgia" w:hAnsi="Georgia" w:cs="Arial"/>
          <w:i/>
          <w:iCs/>
          <w:szCs w:val="24"/>
        </w:rPr>
        <w:t xml:space="preserve">(…) </w:t>
      </w:r>
      <w:r w:rsidRPr="00FE4384">
        <w:rPr>
          <w:rFonts w:ascii="Georgia" w:hAnsi="Georgia" w:cs="Arial"/>
          <w:i/>
          <w:iCs/>
          <w:szCs w:val="24"/>
        </w:rPr>
        <w:t>no es posible continuar con la calificación (…)</w:t>
      </w:r>
      <w:r w:rsidR="00485013" w:rsidRPr="00FE4384">
        <w:rPr>
          <w:rFonts w:ascii="Georgia" w:hAnsi="Georgia" w:cs="Arial"/>
          <w:i/>
          <w:iCs/>
          <w:szCs w:val="24"/>
        </w:rPr>
        <w:t>”</w:t>
      </w:r>
      <w:r w:rsidRPr="00FE4384">
        <w:rPr>
          <w:rFonts w:ascii="Georgia" w:hAnsi="Georgia" w:cs="Arial"/>
          <w:szCs w:val="24"/>
        </w:rPr>
        <w:t xml:space="preserve"> </w:t>
      </w:r>
      <w:r w:rsidR="00485013" w:rsidRPr="00FE4384">
        <w:rPr>
          <w:rFonts w:ascii="Georgia" w:hAnsi="Georgia" w:cs="Arial"/>
          <w:szCs w:val="24"/>
        </w:rPr>
        <w:t xml:space="preserve">porque </w:t>
      </w:r>
      <w:r w:rsidR="00485013" w:rsidRPr="00FE4384">
        <w:rPr>
          <w:rFonts w:ascii="Georgia" w:hAnsi="Georgia" w:cs="Arial"/>
          <w:i/>
          <w:iCs/>
          <w:szCs w:val="24"/>
        </w:rPr>
        <w:t>“(…) cuenta con dictamen menor de un año (…)” (¿?)</w:t>
      </w:r>
      <w:r w:rsidR="0076691A" w:rsidRPr="00FE4384">
        <w:rPr>
          <w:rFonts w:ascii="Georgia" w:hAnsi="Georgia" w:cs="Arial"/>
          <w:szCs w:val="24"/>
        </w:rPr>
        <w:t xml:space="preserve"> (Ib., </w:t>
      </w:r>
      <w:proofErr w:type="spellStart"/>
      <w:r w:rsidR="0076691A" w:rsidRPr="00FE4384">
        <w:rPr>
          <w:rFonts w:ascii="Georgia" w:hAnsi="Georgia" w:cs="Arial"/>
          <w:szCs w:val="24"/>
        </w:rPr>
        <w:t>pdf</w:t>
      </w:r>
      <w:proofErr w:type="spellEnd"/>
      <w:r w:rsidR="0076691A" w:rsidRPr="00FE4384">
        <w:rPr>
          <w:rFonts w:ascii="Georgia" w:hAnsi="Georgia" w:cs="Arial"/>
          <w:szCs w:val="24"/>
        </w:rPr>
        <w:t xml:space="preserve"> No.002, folio 11)</w:t>
      </w:r>
      <w:r w:rsidR="00485013" w:rsidRPr="00FE4384">
        <w:rPr>
          <w:rFonts w:ascii="Georgia" w:hAnsi="Georgia" w:cs="Arial"/>
          <w:szCs w:val="24"/>
        </w:rPr>
        <w:t>.</w:t>
      </w:r>
    </w:p>
    <w:p w14:paraId="5644D777" w14:textId="5C62ADD3" w:rsidR="00485013" w:rsidRPr="00FE4384" w:rsidRDefault="00485013" w:rsidP="00FE4384">
      <w:pPr>
        <w:pStyle w:val="Textoindependiente"/>
        <w:spacing w:line="276" w:lineRule="auto"/>
        <w:rPr>
          <w:rFonts w:ascii="Georgia" w:hAnsi="Georgia" w:cs="Arial"/>
          <w:szCs w:val="24"/>
        </w:rPr>
      </w:pPr>
    </w:p>
    <w:p w14:paraId="014F314A" w14:textId="10F1F8CC" w:rsidR="00F61CEE" w:rsidRPr="00FE4384" w:rsidRDefault="00485013" w:rsidP="00FE4384">
      <w:pPr>
        <w:pStyle w:val="Textoindependiente"/>
        <w:spacing w:line="276" w:lineRule="auto"/>
        <w:rPr>
          <w:rFonts w:ascii="Georgia" w:hAnsi="Georgia"/>
          <w:szCs w:val="24"/>
          <w:lang w:val="es-CO"/>
        </w:rPr>
      </w:pPr>
      <w:r w:rsidRPr="00FE4384">
        <w:rPr>
          <w:rFonts w:ascii="Georgia" w:hAnsi="Georgia"/>
          <w:szCs w:val="24"/>
          <w:lang w:val="es-CO"/>
        </w:rPr>
        <w:t>Según el artículo</w:t>
      </w:r>
      <w:r w:rsidR="00F4307E" w:rsidRPr="00FE4384">
        <w:rPr>
          <w:rFonts w:ascii="Georgia" w:hAnsi="Georgia"/>
          <w:szCs w:val="24"/>
          <w:lang w:val="es-CO"/>
        </w:rPr>
        <w:t xml:space="preserve"> 41, Ley 100, modificado por el </w:t>
      </w:r>
      <w:r w:rsidRPr="00FE4384">
        <w:rPr>
          <w:rFonts w:ascii="Georgia" w:hAnsi="Georgia"/>
          <w:szCs w:val="24"/>
          <w:lang w:val="es-CO"/>
        </w:rPr>
        <w:t>142, DL</w:t>
      </w:r>
      <w:r w:rsidR="00F4307E" w:rsidRPr="00FE4384">
        <w:rPr>
          <w:rFonts w:ascii="Georgia" w:hAnsi="Georgia"/>
          <w:szCs w:val="24"/>
          <w:lang w:val="es-CO"/>
        </w:rPr>
        <w:t>.</w:t>
      </w:r>
      <w:r w:rsidRPr="00FE4384">
        <w:rPr>
          <w:rFonts w:ascii="Georgia" w:hAnsi="Georgia"/>
          <w:szCs w:val="24"/>
          <w:lang w:val="es-CO"/>
        </w:rPr>
        <w:t>19</w:t>
      </w:r>
      <w:r w:rsidR="00F4307E" w:rsidRPr="00FE4384">
        <w:rPr>
          <w:rFonts w:ascii="Georgia" w:hAnsi="Georgia"/>
          <w:szCs w:val="24"/>
          <w:lang w:val="es-CO"/>
        </w:rPr>
        <w:t>/</w:t>
      </w:r>
      <w:r w:rsidRPr="00FE4384">
        <w:rPr>
          <w:rFonts w:ascii="Georgia" w:hAnsi="Georgia"/>
          <w:szCs w:val="24"/>
          <w:lang w:val="es-CO"/>
        </w:rPr>
        <w:t xml:space="preserve">2012, corresponde a las </w:t>
      </w:r>
      <w:r w:rsidRPr="00FE4384">
        <w:rPr>
          <w:rFonts w:ascii="Georgia" w:hAnsi="Georgia" w:cs="Arial"/>
          <w:szCs w:val="24"/>
        </w:rPr>
        <w:t>entidades del Sistema General de Seguridad Social</w:t>
      </w:r>
      <w:r w:rsidRPr="00FE4384">
        <w:rPr>
          <w:rFonts w:ascii="Georgia" w:hAnsi="Georgia"/>
          <w:szCs w:val="24"/>
          <w:lang w:val="es-CO"/>
        </w:rPr>
        <w:t xml:space="preserve">: </w:t>
      </w:r>
      <w:r w:rsidRPr="00FE4384">
        <w:rPr>
          <w:rFonts w:ascii="Georgia" w:hAnsi="Georgia"/>
          <w:i/>
          <w:iCs/>
          <w:szCs w:val="24"/>
          <w:lang w:val="es-CO"/>
        </w:rPr>
        <w:t>“(…) determinar en una primera oportunidad la pérdida de capacidad laboral y calificar el grado de invalidez y el origen de estas contingencias (…)</w:t>
      </w:r>
      <w:r w:rsidR="00F4307E" w:rsidRPr="00FE4384">
        <w:rPr>
          <w:rFonts w:ascii="Georgia" w:hAnsi="Georgia"/>
          <w:i/>
          <w:iCs/>
          <w:szCs w:val="24"/>
          <w:lang w:val="es-CO"/>
        </w:rPr>
        <w:t xml:space="preserve"> </w:t>
      </w:r>
      <w:r w:rsidR="00F4307E" w:rsidRPr="00FE4384">
        <w:rPr>
          <w:rFonts w:ascii="Georgia" w:hAnsi="Georgia"/>
          <w:b/>
          <w:i/>
          <w:iCs/>
          <w:szCs w:val="24"/>
          <w:u w:val="single"/>
          <w:lang w:val="es-ES"/>
        </w:rPr>
        <w:t>con base en el manual único para la calificación de invalidez, expedido por el Gobierno Nacional, vigente a la fecha de calificación</w:t>
      </w:r>
      <w:r w:rsidR="00F4307E" w:rsidRPr="00FE4384">
        <w:rPr>
          <w:rFonts w:ascii="Georgia" w:hAnsi="Georgia"/>
          <w:i/>
          <w:iCs/>
          <w:szCs w:val="24"/>
          <w:lang w:val="es-ES"/>
        </w:rPr>
        <w:t xml:space="preserve"> (…)</w:t>
      </w:r>
      <w:r w:rsidRPr="00FE4384">
        <w:rPr>
          <w:rFonts w:ascii="Georgia" w:hAnsi="Georgia"/>
          <w:i/>
          <w:iCs/>
          <w:szCs w:val="24"/>
          <w:lang w:val="es-CO"/>
        </w:rPr>
        <w:t>”</w:t>
      </w:r>
      <w:r w:rsidR="0076691A" w:rsidRPr="00FE4384">
        <w:rPr>
          <w:rFonts w:ascii="Georgia" w:hAnsi="Georgia"/>
          <w:iCs/>
          <w:szCs w:val="24"/>
          <w:lang w:val="es-CO"/>
        </w:rPr>
        <w:t xml:space="preserve"> (Negrilla a propósito)</w:t>
      </w:r>
      <w:r w:rsidR="00F61CEE" w:rsidRPr="00FE4384">
        <w:rPr>
          <w:rFonts w:ascii="Georgia" w:hAnsi="Georgia"/>
          <w:szCs w:val="24"/>
          <w:lang w:val="es-CO"/>
        </w:rPr>
        <w:t>.</w:t>
      </w:r>
    </w:p>
    <w:p w14:paraId="05AB71E7" w14:textId="625F2415" w:rsidR="00F61CEE" w:rsidRPr="00FE4384" w:rsidRDefault="00F61CEE" w:rsidP="00FE4384">
      <w:pPr>
        <w:pStyle w:val="Textoindependiente"/>
        <w:spacing w:line="276" w:lineRule="auto"/>
        <w:rPr>
          <w:rFonts w:ascii="Georgia" w:hAnsi="Georgia"/>
          <w:szCs w:val="24"/>
          <w:lang w:val="es-CO"/>
        </w:rPr>
      </w:pPr>
    </w:p>
    <w:p w14:paraId="443A00EA" w14:textId="5B06FFC6" w:rsidR="0076691A" w:rsidRDefault="002B6018" w:rsidP="00FE4384">
      <w:pPr>
        <w:pStyle w:val="Textoindependiente"/>
        <w:spacing w:line="276" w:lineRule="auto"/>
        <w:rPr>
          <w:rFonts w:ascii="Georgia" w:hAnsi="Georgia"/>
          <w:i/>
          <w:szCs w:val="24"/>
          <w:lang w:val="es-CO"/>
        </w:rPr>
      </w:pPr>
      <w:r w:rsidRPr="00FE4384">
        <w:rPr>
          <w:rFonts w:ascii="Georgia" w:hAnsi="Georgia"/>
          <w:szCs w:val="24"/>
          <w:lang w:val="es-CO"/>
        </w:rPr>
        <w:t>En tratándose de la calificación de enfermedades adicionales que no pudieron tenerse en cuenta en el dictamen por ser posteriores a su expedición, esta Magistratura (2021)</w:t>
      </w:r>
      <w:r w:rsidRPr="00FE4384">
        <w:rPr>
          <w:rStyle w:val="Refdenotaalpie"/>
          <w:rFonts w:ascii="Georgia" w:hAnsi="Georgia"/>
          <w:szCs w:val="24"/>
          <w:lang w:val="es-CO"/>
        </w:rPr>
        <w:footnoteReference w:id="13"/>
      </w:r>
      <w:r w:rsidRPr="00FE4384">
        <w:rPr>
          <w:rFonts w:ascii="Georgia" w:hAnsi="Georgia"/>
          <w:szCs w:val="24"/>
          <w:lang w:val="es-CO"/>
        </w:rPr>
        <w:t>, con base en jurisprudencia de la CC</w:t>
      </w:r>
      <w:r w:rsidRPr="00FE4384">
        <w:rPr>
          <w:rStyle w:val="Refdenotaalpie"/>
          <w:rFonts w:ascii="Georgia" w:hAnsi="Georgia"/>
          <w:szCs w:val="24"/>
          <w:lang w:val="es-CO"/>
        </w:rPr>
        <w:footnoteReference w:id="14"/>
      </w:r>
      <w:r w:rsidRPr="00FE4384">
        <w:rPr>
          <w:rFonts w:ascii="Georgia" w:hAnsi="Georgia"/>
          <w:szCs w:val="24"/>
          <w:lang w:val="es-CO"/>
        </w:rPr>
        <w:t xml:space="preserve">, de forma pacífica y reiterada ha expuesto que es dable su práctica, habida cuenta de que la valoración de la PCL no puede estar </w:t>
      </w:r>
      <w:r w:rsidRPr="00FE4384">
        <w:rPr>
          <w:rFonts w:ascii="Georgia" w:hAnsi="Georgia"/>
          <w:i/>
          <w:szCs w:val="24"/>
          <w:lang w:val="es-CO"/>
        </w:rPr>
        <w:t xml:space="preserve">“(…) </w:t>
      </w:r>
      <w:r w:rsidRPr="00FE4384">
        <w:rPr>
          <w:rFonts w:ascii="Georgia" w:hAnsi="Georgia"/>
          <w:i/>
          <w:szCs w:val="24"/>
          <w:u w:val="single"/>
          <w:lang w:val="es-CO"/>
        </w:rPr>
        <w:t>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r w:rsidRPr="00FE4384">
        <w:rPr>
          <w:rFonts w:ascii="Georgia" w:hAnsi="Georgia"/>
          <w:i/>
          <w:szCs w:val="24"/>
          <w:lang w:val="es-CO"/>
        </w:rPr>
        <w:t xml:space="preserve"> (…)”</w:t>
      </w:r>
      <w:r w:rsidRPr="00FE4384">
        <w:rPr>
          <w:rStyle w:val="Refdenotaalpie"/>
          <w:rFonts w:ascii="Georgia" w:hAnsi="Georgia"/>
          <w:i/>
          <w:szCs w:val="24"/>
          <w:lang w:val="es-CO"/>
        </w:rPr>
        <w:footnoteReference w:id="15"/>
      </w:r>
      <w:r w:rsidR="0076691A" w:rsidRPr="00FE4384">
        <w:rPr>
          <w:rFonts w:ascii="Georgia" w:hAnsi="Georgia"/>
          <w:i/>
          <w:szCs w:val="24"/>
          <w:lang w:val="es-CO"/>
        </w:rPr>
        <w:t>.</w:t>
      </w:r>
    </w:p>
    <w:p w14:paraId="2F7EEDB7" w14:textId="77777777" w:rsidR="00431752" w:rsidRPr="00FE4384" w:rsidRDefault="00431752" w:rsidP="00FE4384">
      <w:pPr>
        <w:pStyle w:val="Textoindependiente"/>
        <w:spacing w:line="276" w:lineRule="auto"/>
        <w:rPr>
          <w:rFonts w:ascii="Georgia" w:hAnsi="Georgia"/>
          <w:i/>
          <w:szCs w:val="24"/>
          <w:lang w:val="es-CO"/>
        </w:rPr>
      </w:pPr>
    </w:p>
    <w:p w14:paraId="7F87C1AA" w14:textId="015B73BB" w:rsidR="00DF5AE8" w:rsidRPr="00FE4384" w:rsidRDefault="002B6018" w:rsidP="00FE4384">
      <w:pPr>
        <w:pStyle w:val="Textoindependiente"/>
        <w:spacing w:line="276" w:lineRule="auto"/>
        <w:rPr>
          <w:rFonts w:ascii="Georgia" w:hAnsi="Georgia"/>
          <w:szCs w:val="24"/>
          <w:lang w:val="es-CO"/>
        </w:rPr>
      </w:pPr>
      <w:r w:rsidRPr="00FE4384">
        <w:rPr>
          <w:rFonts w:ascii="Georgia" w:hAnsi="Georgia"/>
          <w:i/>
          <w:szCs w:val="24"/>
          <w:lang w:val="es-CO"/>
        </w:rPr>
        <w:t xml:space="preserve"> </w:t>
      </w:r>
      <w:r w:rsidR="00583A64" w:rsidRPr="00FE4384">
        <w:rPr>
          <w:rFonts w:ascii="Georgia" w:hAnsi="Georgia"/>
          <w:szCs w:val="24"/>
          <w:lang w:val="es-CO"/>
        </w:rPr>
        <w:t>El 2.2.5.1.53, D.1072/2015</w:t>
      </w:r>
      <w:r w:rsidR="001D1872" w:rsidRPr="00FE4384">
        <w:rPr>
          <w:rStyle w:val="Refdenotaalpie"/>
          <w:rFonts w:ascii="Georgia" w:hAnsi="Georgia"/>
          <w:szCs w:val="24"/>
          <w:lang w:val="es-CO"/>
        </w:rPr>
        <w:footnoteReference w:id="16"/>
      </w:r>
      <w:r w:rsidR="00583A64" w:rsidRPr="00FE4384">
        <w:rPr>
          <w:rFonts w:ascii="Georgia" w:hAnsi="Georgia"/>
          <w:szCs w:val="24"/>
          <w:lang w:val="es-CO"/>
        </w:rPr>
        <w:t xml:space="preserve"> (Decreto único reglamentario del sector trabajo), es inaplicable para el caso en concreto, como quiera que el límite temporal del año</w:t>
      </w:r>
      <w:r w:rsidR="0076691A" w:rsidRPr="00FE4384">
        <w:rPr>
          <w:rFonts w:ascii="Georgia" w:hAnsi="Georgia"/>
          <w:szCs w:val="24"/>
          <w:lang w:val="es-CO"/>
        </w:rPr>
        <w:t>,</w:t>
      </w:r>
      <w:r w:rsidR="00583A64" w:rsidRPr="00FE4384">
        <w:rPr>
          <w:rFonts w:ascii="Georgia" w:hAnsi="Georgia"/>
          <w:szCs w:val="24"/>
          <w:lang w:val="es-CO"/>
        </w:rPr>
        <w:t xml:space="preserve"> alude en exclusivo a la revisión de calificaciones, así: </w:t>
      </w:r>
      <w:r w:rsidR="00583A64" w:rsidRPr="00FE4384">
        <w:rPr>
          <w:rFonts w:ascii="Georgia" w:hAnsi="Georgia"/>
          <w:i/>
          <w:szCs w:val="24"/>
          <w:lang w:val="es-CO"/>
        </w:rPr>
        <w:t>“(…) la revisión de la pérdida de incapacidad permanente parcial por parte (…) será procedente cuando el porcentaje sea inferior al 50% de pérdida de capacidad laboral (…), mínimo al año siguiente de la calificación (…)”</w:t>
      </w:r>
      <w:r w:rsidR="00583A64" w:rsidRPr="00FE4384">
        <w:rPr>
          <w:rFonts w:ascii="Georgia" w:hAnsi="Georgia"/>
          <w:szCs w:val="24"/>
          <w:lang w:val="es-CO"/>
        </w:rPr>
        <w:t>. Contexto disímil a la existencia de nueva patología</w:t>
      </w:r>
      <w:r w:rsidR="00DF5AE8" w:rsidRPr="00FE4384">
        <w:rPr>
          <w:rFonts w:ascii="Georgia" w:hAnsi="Georgia"/>
          <w:szCs w:val="24"/>
          <w:lang w:val="es-CO"/>
        </w:rPr>
        <w:t>; necesario calificar de nuevo porque se modificó el estado actual de salud del afiliado</w:t>
      </w:r>
      <w:r w:rsidR="0076691A" w:rsidRPr="00FE4384">
        <w:rPr>
          <w:rFonts w:ascii="Georgia" w:hAnsi="Georgia"/>
          <w:szCs w:val="24"/>
          <w:lang w:val="es-CO"/>
        </w:rPr>
        <w:t xml:space="preserve"> y, en consecuencia, </w:t>
      </w:r>
      <w:r w:rsidR="00DF5AE8" w:rsidRPr="00FE4384">
        <w:rPr>
          <w:rFonts w:ascii="Georgia" w:hAnsi="Georgia"/>
          <w:szCs w:val="24"/>
          <w:lang w:val="es-CO"/>
        </w:rPr>
        <w:t xml:space="preserve">podría acrecentar el resultado inicial y cumplir </w:t>
      </w:r>
      <w:r w:rsidR="0076691A" w:rsidRPr="00FE4384">
        <w:rPr>
          <w:rFonts w:ascii="Georgia" w:hAnsi="Georgia"/>
          <w:szCs w:val="24"/>
          <w:lang w:val="es-CO"/>
        </w:rPr>
        <w:t xml:space="preserve">así </w:t>
      </w:r>
      <w:r w:rsidR="00DF5AE8" w:rsidRPr="00FE4384">
        <w:rPr>
          <w:rFonts w:ascii="Georgia" w:hAnsi="Georgia"/>
          <w:szCs w:val="24"/>
          <w:lang w:val="es-CO"/>
        </w:rPr>
        <w:t xml:space="preserve">el requisito para reclamar la pensión de invalidez. </w:t>
      </w:r>
    </w:p>
    <w:p w14:paraId="0888894B" w14:textId="541FC55B" w:rsidR="00DF5AE8" w:rsidRPr="00FE4384" w:rsidRDefault="00DF5AE8" w:rsidP="00FE4384">
      <w:pPr>
        <w:pStyle w:val="Textoindependiente"/>
        <w:spacing w:line="276" w:lineRule="auto"/>
        <w:rPr>
          <w:rFonts w:ascii="Georgia" w:hAnsi="Georgia"/>
          <w:szCs w:val="24"/>
          <w:lang w:val="es-CO"/>
        </w:rPr>
      </w:pPr>
    </w:p>
    <w:p w14:paraId="6E82C4B6" w14:textId="28525AD9" w:rsidR="00DF5AE8" w:rsidRPr="00FE4384" w:rsidRDefault="00DF5AE8" w:rsidP="00FE4384">
      <w:pPr>
        <w:pStyle w:val="Textoindependiente"/>
        <w:spacing w:line="276" w:lineRule="auto"/>
        <w:rPr>
          <w:rFonts w:ascii="Georgia" w:hAnsi="Georgia"/>
          <w:szCs w:val="24"/>
          <w:lang w:val="es-ES"/>
        </w:rPr>
      </w:pPr>
      <w:r w:rsidRPr="00FE4384">
        <w:rPr>
          <w:rFonts w:ascii="Georgia" w:hAnsi="Georgia"/>
          <w:szCs w:val="24"/>
          <w:lang w:val="es-CO"/>
        </w:rPr>
        <w:t>Cabe resaltar que el literal f, numeral 1.3. del anexo técnico del manual de calificación, D.1507/2014</w:t>
      </w:r>
      <w:r w:rsidRPr="00FE4384">
        <w:rPr>
          <w:rStyle w:val="Refdenotaalpie"/>
          <w:rFonts w:ascii="Georgia" w:hAnsi="Georgia"/>
          <w:szCs w:val="24"/>
          <w:lang w:val="es-CO"/>
        </w:rPr>
        <w:footnoteReference w:id="17"/>
      </w:r>
      <w:r w:rsidRPr="00FE4384">
        <w:rPr>
          <w:rFonts w:ascii="Georgia" w:hAnsi="Georgia"/>
          <w:szCs w:val="24"/>
          <w:lang w:val="es-CO"/>
        </w:rPr>
        <w:t>,</w:t>
      </w:r>
      <w:r w:rsidRPr="00FE4384">
        <w:rPr>
          <w:rFonts w:ascii="Georgia" w:hAnsi="Georgia"/>
          <w:szCs w:val="24"/>
          <w:lang w:val="es-ES"/>
        </w:rPr>
        <w:t xml:space="preserve"> establece que</w:t>
      </w:r>
      <w:r w:rsidRPr="00FE4384">
        <w:rPr>
          <w:rFonts w:ascii="Georgia" w:hAnsi="Georgia" w:cs="Arial"/>
          <w:szCs w:val="24"/>
          <w:lang w:val="es-CO" w:eastAsia="es-CO"/>
        </w:rPr>
        <w:t xml:space="preserve">: </w:t>
      </w:r>
      <w:r w:rsidRPr="00FE4384">
        <w:rPr>
          <w:rFonts w:ascii="Georgia" w:hAnsi="Georgia" w:cs="Arial"/>
          <w:i/>
          <w:iCs/>
          <w:szCs w:val="24"/>
          <w:lang w:val="es-CO" w:eastAsia="es-CO"/>
        </w:rPr>
        <w:t xml:space="preserve">“(…) </w:t>
      </w:r>
      <w:r w:rsidRPr="00FE4384">
        <w:rPr>
          <w:rFonts w:ascii="Georgia" w:hAnsi="Georgia" w:cs="Arial"/>
          <w:i/>
          <w:iCs/>
          <w:szCs w:val="24"/>
          <w:u w:val="single"/>
          <w:lang w:val="es-ES" w:eastAsia="es-CO"/>
        </w:rPr>
        <w:t xml:space="preserve">En caso de patologías adicionales no contempladas </w:t>
      </w:r>
      <w:r w:rsidRPr="00FE4384">
        <w:rPr>
          <w:rFonts w:ascii="Georgia" w:hAnsi="Georgia" w:cs="Arial"/>
          <w:i/>
          <w:iCs/>
          <w:szCs w:val="24"/>
          <w:u w:val="single"/>
          <w:lang w:val="es-ES" w:eastAsia="es-CO"/>
        </w:rPr>
        <w:lastRenderedPageBreak/>
        <w:t>en la calificación en firme, debe realizarse nuevamente la calificación con la documentación correspondiente, iniciando el proceso en primera oportunidad</w:t>
      </w:r>
      <w:r w:rsidRPr="00FE4384">
        <w:rPr>
          <w:rFonts w:ascii="Georgia" w:hAnsi="Georgia" w:cs="Arial"/>
          <w:i/>
          <w:iCs/>
          <w:szCs w:val="24"/>
          <w:lang w:val="es-ES" w:eastAsia="es-CO"/>
        </w:rPr>
        <w:t xml:space="preserve">, </w:t>
      </w:r>
      <w:r w:rsidRPr="00FE4384">
        <w:rPr>
          <w:rFonts w:ascii="Georgia" w:hAnsi="Georgia" w:cs="Arial"/>
          <w:b/>
          <w:i/>
          <w:iCs/>
          <w:szCs w:val="24"/>
          <w:lang w:val="es-ES" w:eastAsia="es-CO"/>
        </w:rPr>
        <w:t xml:space="preserve">la cual podrá realizarse antes de los doce (12) meses </w:t>
      </w:r>
      <w:r w:rsidRPr="00FE4384">
        <w:rPr>
          <w:rFonts w:ascii="Georgia" w:hAnsi="Georgia" w:cs="Arial"/>
          <w:i/>
          <w:iCs/>
          <w:szCs w:val="24"/>
          <w:lang w:val="es-CO" w:eastAsia="es-CO"/>
        </w:rPr>
        <w:t xml:space="preserve">(…)” </w:t>
      </w:r>
      <w:r w:rsidRPr="00FE4384">
        <w:rPr>
          <w:rFonts w:ascii="Georgia" w:hAnsi="Georgia" w:cs="Arial"/>
          <w:szCs w:val="24"/>
          <w:lang w:val="es-CO" w:eastAsia="es-CO"/>
        </w:rPr>
        <w:t xml:space="preserve">(Resaltado a propósito). Es la única norma que contempla la nueva calificación y, aun cuando esté contenida en el capítulo </w:t>
      </w:r>
      <w:r w:rsidRPr="00FE4384">
        <w:rPr>
          <w:rFonts w:ascii="Georgia" w:hAnsi="Georgia"/>
          <w:szCs w:val="24"/>
          <w:lang w:val="es-ES"/>
        </w:rPr>
        <w:t xml:space="preserve">neoplásicas o cáncer, no constituye la exclusión de la calificación de patologías diversas que acaezcan con posterioridad </w:t>
      </w:r>
      <w:r w:rsidR="001D1872" w:rsidRPr="00FE4384">
        <w:rPr>
          <w:rFonts w:ascii="Georgia" w:hAnsi="Georgia"/>
          <w:szCs w:val="24"/>
          <w:lang w:val="es-ES"/>
        </w:rPr>
        <w:t>al dictamen final</w:t>
      </w:r>
      <w:r w:rsidRPr="00FE4384">
        <w:rPr>
          <w:rFonts w:ascii="Georgia" w:hAnsi="Georgia"/>
          <w:szCs w:val="24"/>
          <w:lang w:val="es-ES"/>
        </w:rPr>
        <w:t>.</w:t>
      </w:r>
    </w:p>
    <w:p w14:paraId="7ADB176F" w14:textId="7A73F039" w:rsidR="00DF5AE8" w:rsidRPr="00FE4384" w:rsidRDefault="00DF5AE8" w:rsidP="00FE4384">
      <w:pPr>
        <w:pStyle w:val="Textoindependiente"/>
        <w:spacing w:line="276" w:lineRule="auto"/>
        <w:rPr>
          <w:rFonts w:ascii="Georgia" w:hAnsi="Georgia"/>
          <w:szCs w:val="24"/>
          <w:lang w:val="es-ES"/>
        </w:rPr>
      </w:pPr>
    </w:p>
    <w:p w14:paraId="4CD3C027" w14:textId="3B81DB2F" w:rsidR="001D1872" w:rsidRPr="00FE4384" w:rsidRDefault="001D1872" w:rsidP="00FE4384">
      <w:pPr>
        <w:pStyle w:val="Textoindependiente"/>
        <w:spacing w:line="276" w:lineRule="auto"/>
        <w:rPr>
          <w:rFonts w:ascii="Georgia" w:hAnsi="Georgia"/>
          <w:i/>
          <w:iCs/>
          <w:szCs w:val="24"/>
          <w:lang w:val="es-ES"/>
        </w:rPr>
      </w:pPr>
      <w:r w:rsidRPr="00FE4384">
        <w:rPr>
          <w:rFonts w:ascii="Georgia" w:hAnsi="Georgia"/>
          <w:szCs w:val="24"/>
          <w:lang w:val="es-ES"/>
        </w:rPr>
        <w:t>En todo caso, trátese de normas que regulan en exclusivo la labor de las Juntas de Calificación, por manera que es inaceptable que Colpensiones siquiera las invoque para justificar el desacato del deber legal de calificar en una primera oportunidad a sus afiliados (A</w:t>
      </w:r>
      <w:r w:rsidRPr="00FE4384">
        <w:rPr>
          <w:rFonts w:ascii="Georgia" w:hAnsi="Georgia"/>
          <w:szCs w:val="24"/>
          <w:lang w:val="es-CO"/>
        </w:rPr>
        <w:t>rt.41, Ley 100)</w:t>
      </w:r>
      <w:r w:rsidRPr="00FE4384">
        <w:rPr>
          <w:rFonts w:ascii="Georgia" w:hAnsi="Georgia"/>
          <w:szCs w:val="24"/>
          <w:lang w:val="es-ES"/>
        </w:rPr>
        <w:t>. Razonó este Tribunal</w:t>
      </w:r>
      <w:r w:rsidRPr="00FE4384">
        <w:rPr>
          <w:rStyle w:val="Refdenotaalpie"/>
          <w:rFonts w:ascii="Georgia" w:hAnsi="Georgia"/>
          <w:szCs w:val="24"/>
          <w:lang w:val="es-CO"/>
        </w:rPr>
        <w:footnoteReference w:id="18"/>
      </w:r>
      <w:r w:rsidRPr="00FE4384">
        <w:rPr>
          <w:rFonts w:ascii="Georgia" w:hAnsi="Georgia"/>
          <w:szCs w:val="24"/>
          <w:lang w:val="es-ES"/>
        </w:rPr>
        <w:t xml:space="preserve">: </w:t>
      </w:r>
      <w:r w:rsidRPr="00FE4384">
        <w:rPr>
          <w:rFonts w:ascii="Georgia" w:hAnsi="Georgia"/>
          <w:i/>
          <w:szCs w:val="24"/>
          <w:lang w:val="es-ES"/>
        </w:rPr>
        <w:t xml:space="preserve">“(…) </w:t>
      </w:r>
      <w:r w:rsidRPr="00FE4384">
        <w:rPr>
          <w:rFonts w:ascii="Georgia" w:hAnsi="Georgia"/>
          <w:i/>
          <w:iCs/>
          <w:szCs w:val="24"/>
          <w:lang w:val="es-ES"/>
        </w:rPr>
        <w:t>al no existir norma expresa sobre la prohibición de recalificación con anterioridad a un año contado desde el primer dictamen médico laboral, y teniendo en cuenta (…) la necesidad de dictaminar la real condición de salud, pues existe evidencia de que luego de la primera calificación del actor se le diagnosticaron enfermedades distintas (…) Colpensiones no podía exigir se aguardara un año para poder solicitar la nueva calificación (…)”.</w:t>
      </w:r>
    </w:p>
    <w:p w14:paraId="7FC2641A" w14:textId="77777777" w:rsidR="001D1872" w:rsidRPr="00FE4384" w:rsidRDefault="001D1872" w:rsidP="00FE4384">
      <w:pPr>
        <w:pStyle w:val="Textoindependiente"/>
        <w:spacing w:line="276" w:lineRule="auto"/>
        <w:rPr>
          <w:rFonts w:ascii="Georgia" w:hAnsi="Georgia"/>
          <w:szCs w:val="24"/>
          <w:lang w:val="es-ES"/>
        </w:rPr>
      </w:pPr>
    </w:p>
    <w:p w14:paraId="48410A9C" w14:textId="77777777" w:rsidR="00EA1FA4" w:rsidRPr="00FE4384" w:rsidRDefault="00EA1FA4" w:rsidP="00FE4384">
      <w:pPr>
        <w:spacing w:line="276" w:lineRule="auto"/>
        <w:ind w:right="51"/>
        <w:jc w:val="both"/>
        <w:rPr>
          <w:rFonts w:ascii="Georgia" w:hAnsi="Georgia" w:cs="Arial"/>
        </w:rPr>
      </w:pPr>
      <w:r w:rsidRPr="00FE4384">
        <w:rPr>
          <w:rFonts w:ascii="Georgia" w:hAnsi="Georgia" w:cs="Arial"/>
        </w:rPr>
        <w:t xml:space="preserve">En mérito de los razonamientos jurídicos hechos, el </w:t>
      </w:r>
      <w:r w:rsidRPr="00FE4384">
        <w:rPr>
          <w:rFonts w:ascii="Georgia" w:hAnsi="Georgia" w:cs="Arial"/>
          <w:smallCaps/>
        </w:rPr>
        <w:t>Tribunal Superior del Distrito Judicial de Pereira, en Sala decisión Civil - Familia</w:t>
      </w:r>
      <w:r w:rsidRPr="00FE4384">
        <w:rPr>
          <w:rFonts w:ascii="Georgia" w:hAnsi="Georgia" w:cs="Arial"/>
        </w:rPr>
        <w:t>, administrando Justicia, en nombre de la República de Colombia y por autoridad de la Ley,</w:t>
      </w:r>
    </w:p>
    <w:p w14:paraId="6BC0984F" w14:textId="77777777" w:rsidR="00E278CA" w:rsidRPr="00FE4384" w:rsidRDefault="00E278CA" w:rsidP="00FE4384">
      <w:pPr>
        <w:pStyle w:val="Textoindependiente"/>
        <w:tabs>
          <w:tab w:val="left" w:pos="3155"/>
          <w:tab w:val="center" w:pos="4703"/>
        </w:tabs>
        <w:spacing w:line="276" w:lineRule="auto"/>
        <w:jc w:val="center"/>
        <w:rPr>
          <w:rFonts w:ascii="Georgia" w:hAnsi="Georgia" w:cs="Arial"/>
          <w:smallCaps/>
          <w:szCs w:val="24"/>
        </w:rPr>
      </w:pPr>
    </w:p>
    <w:p w14:paraId="121AEB8D" w14:textId="5988AF79" w:rsidR="009D68EA" w:rsidRPr="00FE4384" w:rsidRDefault="007F3159" w:rsidP="00FE4384">
      <w:pPr>
        <w:pStyle w:val="Textoindependiente"/>
        <w:tabs>
          <w:tab w:val="left" w:pos="3155"/>
          <w:tab w:val="center" w:pos="4703"/>
        </w:tabs>
        <w:spacing w:line="276" w:lineRule="auto"/>
        <w:jc w:val="center"/>
        <w:rPr>
          <w:rFonts w:ascii="Georgia" w:hAnsi="Georgia" w:cs="Arial"/>
          <w:smallCaps/>
          <w:szCs w:val="24"/>
        </w:rPr>
      </w:pPr>
      <w:r w:rsidRPr="00FE4384">
        <w:rPr>
          <w:rFonts w:ascii="Georgia" w:hAnsi="Georgia" w:cs="Arial"/>
          <w:smallCaps/>
          <w:szCs w:val="24"/>
        </w:rPr>
        <w:t>F</w:t>
      </w:r>
      <w:r w:rsidR="009D68EA" w:rsidRPr="00FE4384">
        <w:rPr>
          <w:rFonts w:ascii="Georgia" w:hAnsi="Georgia" w:cs="Arial"/>
          <w:smallCaps/>
          <w:szCs w:val="24"/>
        </w:rPr>
        <w:t xml:space="preserve"> A L </w:t>
      </w:r>
      <w:proofErr w:type="spellStart"/>
      <w:r w:rsidR="009D68EA" w:rsidRPr="00FE4384">
        <w:rPr>
          <w:rFonts w:ascii="Georgia" w:hAnsi="Georgia" w:cs="Arial"/>
          <w:smallCaps/>
          <w:szCs w:val="24"/>
        </w:rPr>
        <w:t>L</w:t>
      </w:r>
      <w:proofErr w:type="spellEnd"/>
      <w:r w:rsidR="009D68EA" w:rsidRPr="00FE4384">
        <w:rPr>
          <w:rFonts w:ascii="Georgia" w:hAnsi="Georgia" w:cs="Arial"/>
          <w:smallCaps/>
          <w:szCs w:val="24"/>
        </w:rPr>
        <w:t xml:space="preserve"> A,</w:t>
      </w:r>
    </w:p>
    <w:p w14:paraId="2DCB44DC" w14:textId="77777777" w:rsidR="009D68EA" w:rsidRPr="00FE4384" w:rsidRDefault="009D68EA" w:rsidP="00FE4384">
      <w:pPr>
        <w:pStyle w:val="Textoindependiente"/>
        <w:tabs>
          <w:tab w:val="clear" w:pos="708"/>
          <w:tab w:val="clear" w:pos="1416"/>
          <w:tab w:val="left" w:pos="426"/>
        </w:tabs>
        <w:spacing w:line="276" w:lineRule="auto"/>
        <w:ind w:left="425"/>
        <w:rPr>
          <w:rFonts w:ascii="Georgia" w:hAnsi="Georgia"/>
          <w:szCs w:val="24"/>
        </w:rPr>
      </w:pPr>
    </w:p>
    <w:p w14:paraId="23708BCF" w14:textId="0F191322" w:rsidR="00A1281B" w:rsidRPr="00FE4384" w:rsidRDefault="0076691A" w:rsidP="00FE43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FE4384">
        <w:rPr>
          <w:rFonts w:ascii="Georgia" w:hAnsi="Georgia"/>
          <w:szCs w:val="24"/>
        </w:rPr>
        <w:t>CONFIRMAR</w:t>
      </w:r>
      <w:r w:rsidR="0063075E" w:rsidRPr="00FE4384">
        <w:rPr>
          <w:rFonts w:ascii="Georgia" w:hAnsi="Georgia"/>
          <w:szCs w:val="24"/>
        </w:rPr>
        <w:t xml:space="preserve"> </w:t>
      </w:r>
      <w:r w:rsidR="001717F1" w:rsidRPr="00FE4384">
        <w:rPr>
          <w:rFonts w:ascii="Georgia" w:hAnsi="Georgia"/>
          <w:szCs w:val="24"/>
        </w:rPr>
        <w:t xml:space="preserve">la sentencia </w:t>
      </w:r>
      <w:r w:rsidR="00AB338A" w:rsidRPr="00FE4384">
        <w:rPr>
          <w:rFonts w:ascii="Georgia" w:hAnsi="Georgia"/>
          <w:szCs w:val="24"/>
        </w:rPr>
        <w:t xml:space="preserve">proferida el </w:t>
      </w:r>
      <w:r w:rsidRPr="00FE4384">
        <w:rPr>
          <w:rFonts w:ascii="Georgia" w:hAnsi="Georgia"/>
          <w:szCs w:val="24"/>
        </w:rPr>
        <w:t>30</w:t>
      </w:r>
      <w:r w:rsidR="0063075E" w:rsidRPr="00FE4384">
        <w:rPr>
          <w:rFonts w:ascii="Georgia" w:hAnsi="Georgia"/>
          <w:szCs w:val="24"/>
        </w:rPr>
        <w:t>-</w:t>
      </w:r>
      <w:r w:rsidRPr="00FE4384">
        <w:rPr>
          <w:rFonts w:ascii="Georgia" w:hAnsi="Georgia"/>
          <w:szCs w:val="24"/>
        </w:rPr>
        <w:t>03</w:t>
      </w:r>
      <w:r w:rsidR="0063075E" w:rsidRPr="00FE4384">
        <w:rPr>
          <w:rFonts w:ascii="Georgia" w:hAnsi="Georgia"/>
          <w:szCs w:val="24"/>
        </w:rPr>
        <w:t>-</w:t>
      </w:r>
      <w:r w:rsidRPr="00FE4384">
        <w:rPr>
          <w:rFonts w:ascii="Georgia" w:hAnsi="Georgia"/>
          <w:szCs w:val="24"/>
        </w:rPr>
        <w:t xml:space="preserve">2022 </w:t>
      </w:r>
      <w:r w:rsidR="001717F1" w:rsidRPr="00FE4384">
        <w:rPr>
          <w:rFonts w:ascii="Georgia" w:hAnsi="Georgia"/>
          <w:szCs w:val="24"/>
        </w:rPr>
        <w:t>por</w:t>
      </w:r>
      <w:r w:rsidR="00C15B1F" w:rsidRPr="00FE4384">
        <w:rPr>
          <w:rFonts w:ascii="Georgia" w:hAnsi="Georgia"/>
          <w:szCs w:val="24"/>
        </w:rPr>
        <w:t xml:space="preserve"> </w:t>
      </w:r>
      <w:r w:rsidR="001717F1" w:rsidRPr="00FE4384">
        <w:rPr>
          <w:rFonts w:ascii="Georgia" w:hAnsi="Georgia"/>
          <w:szCs w:val="24"/>
        </w:rPr>
        <w:t xml:space="preserve">el Juzgado </w:t>
      </w:r>
      <w:r w:rsidRPr="00FE4384">
        <w:rPr>
          <w:rFonts w:ascii="Georgia" w:hAnsi="Georgia"/>
          <w:szCs w:val="24"/>
        </w:rPr>
        <w:t>2</w:t>
      </w:r>
      <w:r w:rsidR="000146EB" w:rsidRPr="00FE4384">
        <w:rPr>
          <w:rFonts w:ascii="Georgia" w:hAnsi="Georgia"/>
          <w:szCs w:val="24"/>
        </w:rPr>
        <w:t xml:space="preserve">º </w:t>
      </w:r>
      <w:r w:rsidR="0063075E" w:rsidRPr="00FE4384">
        <w:rPr>
          <w:rFonts w:ascii="Georgia" w:hAnsi="Georgia"/>
          <w:szCs w:val="24"/>
        </w:rPr>
        <w:t xml:space="preserve">Civil del </w:t>
      </w:r>
      <w:r w:rsidR="000146EB" w:rsidRPr="00FE4384">
        <w:rPr>
          <w:rFonts w:ascii="Georgia" w:hAnsi="Georgia"/>
          <w:szCs w:val="24"/>
        </w:rPr>
        <w:t>Circuito de Pereira</w:t>
      </w:r>
      <w:r w:rsidR="00464FAC" w:rsidRPr="00FE4384">
        <w:rPr>
          <w:rFonts w:ascii="Georgia" w:hAnsi="Georgia"/>
          <w:szCs w:val="24"/>
        </w:rPr>
        <w:t>.</w:t>
      </w:r>
    </w:p>
    <w:p w14:paraId="4AC14B1F" w14:textId="77777777" w:rsidR="0063075E" w:rsidRPr="00FE4384" w:rsidRDefault="0063075E" w:rsidP="00FE4384">
      <w:pPr>
        <w:pStyle w:val="Textoindependiente"/>
        <w:tabs>
          <w:tab w:val="clear" w:pos="708"/>
          <w:tab w:val="left" w:pos="426"/>
        </w:tabs>
        <w:spacing w:line="276" w:lineRule="auto"/>
        <w:ind w:left="426"/>
        <w:textAlignment w:val="auto"/>
        <w:rPr>
          <w:rFonts w:ascii="Georgia" w:hAnsi="Georgia"/>
          <w:szCs w:val="24"/>
        </w:rPr>
      </w:pPr>
    </w:p>
    <w:p w14:paraId="08B8B991" w14:textId="77777777" w:rsidR="0076691A" w:rsidRPr="00FE4384" w:rsidRDefault="0076691A" w:rsidP="00FE43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FE4384">
        <w:rPr>
          <w:rFonts w:ascii="Georgia" w:hAnsi="Georgia"/>
          <w:szCs w:val="24"/>
          <w:lang w:val="es-419"/>
        </w:rPr>
        <w:t xml:space="preserve">DECLARAR improcedente el amparo contra </w:t>
      </w:r>
      <w:r w:rsidRPr="00FE4384">
        <w:rPr>
          <w:rFonts w:ascii="Georgia" w:hAnsi="Georgia"/>
          <w:szCs w:val="24"/>
        </w:rPr>
        <w:t xml:space="preserve">la </w:t>
      </w:r>
      <w:r w:rsidRPr="00FE4384">
        <w:rPr>
          <w:rFonts w:ascii="Georgia" w:hAnsi="Georgia" w:cs="Arial"/>
          <w:szCs w:val="24"/>
          <w:lang w:val="es-CO"/>
        </w:rPr>
        <w:t>Dirección de Atención y Servicio de Colpensiones, por carecer de legitimación.</w:t>
      </w:r>
    </w:p>
    <w:p w14:paraId="324E3D9E" w14:textId="51C4DF56" w:rsidR="00A1281B" w:rsidRPr="00FE4384" w:rsidRDefault="0076691A" w:rsidP="00FE4384">
      <w:pPr>
        <w:pStyle w:val="Textoindependiente"/>
        <w:tabs>
          <w:tab w:val="clear" w:pos="708"/>
          <w:tab w:val="left" w:pos="426"/>
        </w:tabs>
        <w:spacing w:line="276" w:lineRule="auto"/>
        <w:textAlignment w:val="auto"/>
        <w:rPr>
          <w:rFonts w:ascii="Georgia" w:hAnsi="Georgia"/>
          <w:szCs w:val="24"/>
        </w:rPr>
      </w:pPr>
      <w:r w:rsidRPr="00FE4384">
        <w:rPr>
          <w:rFonts w:ascii="Georgia" w:hAnsi="Georgia"/>
          <w:szCs w:val="24"/>
        </w:rPr>
        <w:t xml:space="preserve"> </w:t>
      </w:r>
    </w:p>
    <w:p w14:paraId="0796BE53" w14:textId="0A1DBAE0" w:rsidR="009D68EA" w:rsidRPr="00FE4384" w:rsidRDefault="00CB5E3C" w:rsidP="00FE4384">
      <w:pPr>
        <w:pStyle w:val="Textoindependiente"/>
        <w:numPr>
          <w:ilvl w:val="0"/>
          <w:numId w:val="22"/>
        </w:numPr>
        <w:tabs>
          <w:tab w:val="clear" w:pos="708"/>
          <w:tab w:val="left" w:pos="426"/>
        </w:tabs>
        <w:spacing w:line="276" w:lineRule="auto"/>
        <w:ind w:left="425" w:hanging="425"/>
        <w:textAlignment w:val="auto"/>
        <w:rPr>
          <w:rFonts w:ascii="Georgia" w:hAnsi="Georgia"/>
          <w:szCs w:val="24"/>
        </w:rPr>
      </w:pPr>
      <w:r w:rsidRPr="00FE4384">
        <w:rPr>
          <w:rFonts w:ascii="Georgia" w:hAnsi="Georgia"/>
          <w:szCs w:val="24"/>
        </w:rPr>
        <w:t>ENVIAR</w:t>
      </w:r>
      <w:r w:rsidR="009D68EA" w:rsidRPr="00FE4384">
        <w:rPr>
          <w:rFonts w:ascii="Georgia" w:hAnsi="Georgia"/>
          <w:szCs w:val="24"/>
        </w:rPr>
        <w:t xml:space="preserve"> este expediente a la CC para su eventual revisión.</w:t>
      </w:r>
    </w:p>
    <w:p w14:paraId="58C29194" w14:textId="77777777" w:rsidR="00FE4384" w:rsidRPr="00AC7895" w:rsidRDefault="00FE4384" w:rsidP="00FE4384">
      <w:pPr>
        <w:spacing w:line="276" w:lineRule="auto"/>
        <w:jc w:val="center"/>
        <w:rPr>
          <w:rFonts w:ascii="Georgia" w:hAnsi="Georgia" w:cs="Arial"/>
          <w:bCs/>
          <w:smallCaps/>
        </w:rPr>
      </w:pPr>
    </w:p>
    <w:p w14:paraId="3B57CAC9" w14:textId="77777777" w:rsidR="00FE4384" w:rsidRPr="00C61E79" w:rsidRDefault="00FE4384" w:rsidP="00FE4384">
      <w:pPr>
        <w:spacing w:line="276" w:lineRule="auto"/>
        <w:jc w:val="center"/>
        <w:rPr>
          <w:rFonts w:ascii="Georgia" w:hAnsi="Georgia" w:cs="Arial"/>
          <w:bCs/>
          <w:smallCaps/>
        </w:rPr>
      </w:pPr>
      <w:r w:rsidRPr="00C61E79">
        <w:rPr>
          <w:rFonts w:ascii="Georgia" w:hAnsi="Georgia" w:cs="Arial"/>
          <w:bCs/>
          <w:smallCaps/>
        </w:rPr>
        <w:t>Notifíquese,</w:t>
      </w:r>
    </w:p>
    <w:p w14:paraId="320B49B3" w14:textId="77777777" w:rsidR="00FE4384" w:rsidRPr="00C61E79" w:rsidRDefault="00FE4384" w:rsidP="00FE4384">
      <w:pPr>
        <w:widowControl/>
        <w:spacing w:line="276" w:lineRule="auto"/>
        <w:jc w:val="center"/>
        <w:textAlignment w:val="baseline"/>
        <w:rPr>
          <w:rFonts w:ascii="Georgia" w:hAnsi="Georgia" w:cs="Arial"/>
          <w:bCs/>
          <w:caps/>
          <w:w w:val="150"/>
          <w:szCs w:val="18"/>
          <w:lang w:val="es-MX"/>
        </w:rPr>
      </w:pPr>
      <w:bookmarkStart w:id="5" w:name="_Hlk76974190"/>
    </w:p>
    <w:p w14:paraId="76173935" w14:textId="77777777" w:rsidR="00FE4384" w:rsidRPr="00C61E79" w:rsidRDefault="00FE4384" w:rsidP="00FE4384">
      <w:pPr>
        <w:widowControl/>
        <w:spacing w:line="276" w:lineRule="auto"/>
        <w:jc w:val="center"/>
        <w:textAlignment w:val="baseline"/>
        <w:rPr>
          <w:rFonts w:ascii="Georgia" w:hAnsi="Georgia" w:cs="Arial"/>
          <w:bCs/>
          <w:caps/>
          <w:w w:val="150"/>
          <w:szCs w:val="18"/>
          <w:lang w:val="es-MX"/>
        </w:rPr>
      </w:pPr>
    </w:p>
    <w:p w14:paraId="73FA96A5" w14:textId="77777777" w:rsidR="00FE4384" w:rsidRPr="00C61E79" w:rsidRDefault="00FE4384" w:rsidP="00FE4384">
      <w:pPr>
        <w:widowControl/>
        <w:spacing w:line="276" w:lineRule="auto"/>
        <w:jc w:val="center"/>
        <w:textAlignment w:val="baseline"/>
        <w:rPr>
          <w:rFonts w:ascii="Georgia" w:hAnsi="Georgia" w:cs="Arial"/>
          <w:bCs/>
          <w:caps/>
          <w:w w:val="150"/>
          <w:szCs w:val="18"/>
          <w:lang w:val="es-MX"/>
        </w:rPr>
      </w:pPr>
    </w:p>
    <w:p w14:paraId="6F722376" w14:textId="77777777" w:rsidR="00FE4384" w:rsidRPr="00C61E79" w:rsidRDefault="00FE4384" w:rsidP="00FE4384">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08C758E3" w14:textId="77777777" w:rsidR="00FE4384" w:rsidRPr="00C61E79" w:rsidRDefault="00FE4384" w:rsidP="00FE438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62A9A90C" w14:textId="77777777" w:rsidR="00FE4384" w:rsidRPr="00C61E79" w:rsidRDefault="00FE4384" w:rsidP="00FE4384">
      <w:pPr>
        <w:widowControl/>
        <w:spacing w:line="276" w:lineRule="auto"/>
        <w:textAlignment w:val="baseline"/>
        <w:rPr>
          <w:rFonts w:ascii="Georgia" w:hAnsi="Georgia" w:cs="Arial"/>
          <w:caps/>
          <w:spacing w:val="20"/>
          <w:w w:val="150"/>
          <w:szCs w:val="28"/>
          <w:lang w:val="es-MX"/>
        </w:rPr>
      </w:pPr>
    </w:p>
    <w:p w14:paraId="21C70E1F" w14:textId="77777777" w:rsidR="00FE4384" w:rsidRPr="00C61E79" w:rsidRDefault="00FE4384" w:rsidP="00FE4384">
      <w:pPr>
        <w:widowControl/>
        <w:spacing w:line="276" w:lineRule="auto"/>
        <w:textAlignment w:val="baseline"/>
        <w:rPr>
          <w:rFonts w:ascii="Georgia" w:hAnsi="Georgia" w:cs="Arial"/>
          <w:caps/>
          <w:spacing w:val="20"/>
          <w:w w:val="150"/>
          <w:szCs w:val="28"/>
          <w:lang w:val="es-MX"/>
        </w:rPr>
      </w:pPr>
    </w:p>
    <w:p w14:paraId="6C759027" w14:textId="77777777" w:rsidR="00FE4384" w:rsidRPr="00C61E79" w:rsidRDefault="00FE4384" w:rsidP="00FE4384">
      <w:pPr>
        <w:widowControl/>
        <w:spacing w:line="276" w:lineRule="auto"/>
        <w:textAlignment w:val="baseline"/>
        <w:rPr>
          <w:rFonts w:ascii="Georgia" w:hAnsi="Georgia" w:cs="Arial"/>
          <w:caps/>
          <w:spacing w:val="20"/>
          <w:w w:val="150"/>
          <w:szCs w:val="28"/>
          <w:lang w:val="es-MX"/>
        </w:rPr>
      </w:pPr>
    </w:p>
    <w:p w14:paraId="752820A6" w14:textId="77777777" w:rsidR="00FE4384" w:rsidRPr="00C61E79" w:rsidRDefault="00FE4384" w:rsidP="00FE4384">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0E02A21A" w14:textId="13B6C7CE" w:rsidR="00FE4384" w:rsidRPr="00FE4384" w:rsidRDefault="00FE4384" w:rsidP="00FE438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5"/>
      <w:bookmarkEnd w:id="2"/>
    </w:p>
    <w:sectPr w:rsidR="00FE4384" w:rsidRPr="00FE4384" w:rsidSect="00FE4384">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5BDB19" w16cex:dateUtc="2022-05-23T16:44:38.3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752A2" w14:textId="77777777" w:rsidR="00E1571C" w:rsidRDefault="00E1571C" w:rsidP="002F20AB">
      <w:r>
        <w:separator/>
      </w:r>
    </w:p>
  </w:endnote>
  <w:endnote w:type="continuationSeparator" w:id="0">
    <w:p w14:paraId="5295770E" w14:textId="77777777" w:rsidR="00E1571C" w:rsidRDefault="00E1571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B5574" w:rsidRPr="00A73A5D" w:rsidRDefault="00DB5574" w:rsidP="00751EE2">
    <w:pPr>
      <w:pStyle w:val="Piedepgina"/>
      <w:spacing w:line="360" w:lineRule="auto"/>
      <w:jc w:val="right"/>
      <w:rPr>
        <w:rFonts w:ascii="Georgia" w:hAnsi="Georgia" w:cs="Arial"/>
        <w:spacing w:val="20"/>
        <w:w w:val="200"/>
        <w:sz w:val="14"/>
        <w:szCs w:val="10"/>
      </w:rPr>
    </w:pPr>
  </w:p>
  <w:p w14:paraId="39A077C4" w14:textId="77777777" w:rsidR="00DB5574" w:rsidRPr="00A73A5D" w:rsidRDefault="00DB5574" w:rsidP="00431752">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43175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D267" w14:textId="77777777" w:rsidR="00E1571C" w:rsidRDefault="00E1571C" w:rsidP="002F20AB">
      <w:r>
        <w:separator/>
      </w:r>
    </w:p>
  </w:footnote>
  <w:footnote w:type="continuationSeparator" w:id="0">
    <w:p w14:paraId="152829FD" w14:textId="77777777" w:rsidR="00E1571C" w:rsidRDefault="00E1571C" w:rsidP="002F20AB">
      <w:r>
        <w:continuationSeparator/>
      </w:r>
    </w:p>
  </w:footnote>
  <w:footnote w:id="1">
    <w:p w14:paraId="568EDE81" w14:textId="77777777" w:rsidR="00AA0A90" w:rsidRPr="00FE4384" w:rsidRDefault="00AA0A90" w:rsidP="00FE4384">
      <w:pPr>
        <w:pStyle w:val="Textonotapie"/>
        <w:jc w:val="both"/>
        <w:rPr>
          <w:rFonts w:ascii="Century" w:hAnsi="Century"/>
          <w:sz w:val="18"/>
        </w:rPr>
      </w:pPr>
      <w:r w:rsidRPr="00FE4384">
        <w:rPr>
          <w:rStyle w:val="Refdenotaalpie"/>
          <w:rFonts w:ascii="Century" w:eastAsiaTheme="majorEastAsia" w:hAnsi="Century"/>
          <w:sz w:val="18"/>
        </w:rPr>
        <w:footnoteRef/>
      </w:r>
      <w:r w:rsidRPr="00FE4384">
        <w:rPr>
          <w:rFonts w:ascii="Century" w:hAnsi="Century"/>
          <w:sz w:val="18"/>
        </w:rPr>
        <w:t xml:space="preserve"> CC. T-075 de 2020.</w:t>
      </w:r>
    </w:p>
  </w:footnote>
  <w:footnote w:id="2">
    <w:p w14:paraId="41FAD647" w14:textId="77777777" w:rsidR="00AA0A90" w:rsidRPr="00FE4384" w:rsidRDefault="00AA0A90" w:rsidP="00FE4384">
      <w:pPr>
        <w:pStyle w:val="Textonotapie"/>
        <w:jc w:val="both"/>
        <w:rPr>
          <w:rFonts w:ascii="Century" w:hAnsi="Century"/>
          <w:sz w:val="18"/>
        </w:rPr>
      </w:pPr>
      <w:r w:rsidRPr="00FE4384">
        <w:rPr>
          <w:rStyle w:val="Refdenotaalpie"/>
          <w:rFonts w:ascii="Century" w:eastAsiaTheme="majorEastAsia" w:hAnsi="Century"/>
          <w:sz w:val="18"/>
        </w:rPr>
        <w:footnoteRef/>
      </w:r>
      <w:r w:rsidRPr="00FE4384">
        <w:rPr>
          <w:rFonts w:ascii="Century" w:hAnsi="Century"/>
          <w:sz w:val="18"/>
        </w:rPr>
        <w:t xml:space="preserve"> CC. T-131 de 2021.</w:t>
      </w:r>
    </w:p>
  </w:footnote>
  <w:footnote w:id="3">
    <w:p w14:paraId="4EFB2C59" w14:textId="77777777" w:rsidR="00AA0A90" w:rsidRPr="00FE4384" w:rsidRDefault="00AA0A90" w:rsidP="00FE4384">
      <w:pPr>
        <w:pStyle w:val="Textonotapie"/>
        <w:jc w:val="both"/>
        <w:rPr>
          <w:rFonts w:ascii="Century" w:hAnsi="Century"/>
          <w:sz w:val="18"/>
        </w:rPr>
      </w:pPr>
      <w:r w:rsidRPr="00FE4384">
        <w:rPr>
          <w:rStyle w:val="Refdenotaalpie"/>
          <w:rFonts w:ascii="Century" w:hAnsi="Century"/>
          <w:sz w:val="18"/>
        </w:rPr>
        <w:footnoteRef/>
      </w:r>
      <w:r w:rsidRPr="00FE4384">
        <w:rPr>
          <w:rFonts w:ascii="Century" w:hAnsi="Century"/>
          <w:sz w:val="18"/>
        </w:rPr>
        <w:t xml:space="preserve"> CC. T-005 de 2022.</w:t>
      </w:r>
    </w:p>
  </w:footnote>
  <w:footnote w:id="4">
    <w:p w14:paraId="14E121E9" w14:textId="77777777" w:rsidR="00AA0A90" w:rsidRPr="00FE4384" w:rsidRDefault="00AA0A90" w:rsidP="00FE4384">
      <w:pPr>
        <w:pStyle w:val="Textonotapie"/>
        <w:jc w:val="both"/>
        <w:rPr>
          <w:rFonts w:ascii="Century" w:hAnsi="Century"/>
          <w:sz w:val="18"/>
        </w:rPr>
      </w:pPr>
      <w:r w:rsidRPr="00FE4384">
        <w:rPr>
          <w:rStyle w:val="Refdenotaalpie"/>
          <w:rFonts w:ascii="Century" w:hAnsi="Century" w:cs="Calibri Light"/>
          <w:sz w:val="18"/>
        </w:rPr>
        <w:footnoteRef/>
      </w:r>
      <w:r w:rsidRPr="00FE4384">
        <w:rPr>
          <w:rFonts w:ascii="Century" w:hAnsi="Century" w:cs="Calibri Light"/>
          <w:sz w:val="18"/>
        </w:rPr>
        <w:t xml:space="preserve"> CC. SU-037 de 2019 y </w:t>
      </w:r>
      <w:hyperlink r:id="rId1" w:history="1">
        <w:r w:rsidRPr="00FE4384">
          <w:rPr>
            <w:rStyle w:val="Hipervnculo"/>
            <w:rFonts w:ascii="Century" w:hAnsi="Century" w:cs="Calibri Light"/>
            <w:color w:val="auto"/>
            <w:sz w:val="18"/>
            <w:u w:val="none"/>
          </w:rPr>
          <w:t>SU-499 de 2016</w:t>
        </w:r>
      </w:hyperlink>
      <w:r w:rsidRPr="00FE4384">
        <w:rPr>
          <w:rFonts w:ascii="Century" w:hAnsi="Century" w:cs="Calibri Light"/>
          <w:sz w:val="18"/>
        </w:rPr>
        <w:t>.</w:t>
      </w:r>
    </w:p>
  </w:footnote>
  <w:footnote w:id="5">
    <w:p w14:paraId="1BDE9760" w14:textId="77777777" w:rsidR="00AA0A90" w:rsidRPr="00FE4384" w:rsidRDefault="00AA0A90" w:rsidP="00FE4384">
      <w:pPr>
        <w:pStyle w:val="Textonotapie"/>
        <w:jc w:val="both"/>
        <w:rPr>
          <w:rFonts w:ascii="Century" w:hAnsi="Century"/>
          <w:sz w:val="18"/>
        </w:rPr>
      </w:pPr>
      <w:r w:rsidRPr="00FE4384">
        <w:rPr>
          <w:rStyle w:val="Refdenotaalpie"/>
          <w:rFonts w:ascii="Century" w:hAnsi="Century"/>
          <w:sz w:val="18"/>
        </w:rPr>
        <w:footnoteRef/>
      </w:r>
      <w:r w:rsidRPr="00FE4384">
        <w:rPr>
          <w:rFonts w:ascii="Century" w:hAnsi="Century"/>
          <w:sz w:val="18"/>
        </w:rPr>
        <w:t xml:space="preserve"> CSJ. STC2701-2020, STC13404-2019,</w:t>
      </w:r>
      <w:r w:rsidRPr="00FE4384">
        <w:rPr>
          <w:rFonts w:ascii="Century" w:hAnsi="Century"/>
          <w:b/>
          <w:sz w:val="18"/>
        </w:rPr>
        <w:t xml:space="preserve"> </w:t>
      </w:r>
      <w:r w:rsidRPr="00FE4384">
        <w:rPr>
          <w:rFonts w:ascii="Century" w:hAnsi="Century"/>
          <w:sz w:val="18"/>
        </w:rPr>
        <w:t>STC2154-2016 y STC10383-2016.</w:t>
      </w:r>
    </w:p>
  </w:footnote>
  <w:footnote w:id="6">
    <w:p w14:paraId="525B87D2" w14:textId="77777777" w:rsidR="00AA0A90" w:rsidRPr="00FE4384" w:rsidRDefault="00AA0A90" w:rsidP="00FE4384">
      <w:pPr>
        <w:pStyle w:val="Textonotapie"/>
        <w:jc w:val="both"/>
        <w:rPr>
          <w:rFonts w:ascii="Century" w:hAnsi="Century"/>
          <w:sz w:val="18"/>
        </w:rPr>
      </w:pPr>
      <w:r w:rsidRPr="00FE4384">
        <w:rPr>
          <w:rStyle w:val="Refdenotaalpie"/>
          <w:rFonts w:ascii="Century" w:hAnsi="Century" w:cs="Calibri Light"/>
          <w:sz w:val="18"/>
        </w:rPr>
        <w:footnoteRef/>
      </w:r>
      <w:r w:rsidRPr="00FE4384">
        <w:rPr>
          <w:rFonts w:ascii="Century" w:hAnsi="Century" w:cs="Calibri Light"/>
          <w:sz w:val="18"/>
        </w:rPr>
        <w:t xml:space="preserve"> CC. T-003 de 2022, T-034-2021, </w:t>
      </w:r>
      <w:hyperlink r:id="rId2" w:history="1">
        <w:r w:rsidRPr="00FE4384">
          <w:rPr>
            <w:rStyle w:val="Hipervnculo"/>
            <w:rFonts w:ascii="Century" w:hAnsi="Century" w:cs="Calibri Light"/>
            <w:color w:val="auto"/>
            <w:sz w:val="18"/>
            <w:u w:val="none"/>
          </w:rPr>
          <w:t>T-053 de 2020</w:t>
        </w:r>
      </w:hyperlink>
      <w:r w:rsidRPr="00FE4384">
        <w:rPr>
          <w:rFonts w:ascii="Century" w:hAnsi="Century" w:cs="Calibri Light"/>
          <w:sz w:val="18"/>
        </w:rPr>
        <w:t xml:space="preserve">, T-422 de 2019, T-359 de 2019, </w:t>
      </w:r>
      <w:r w:rsidRPr="00FE4384">
        <w:rPr>
          <w:rFonts w:ascii="Century" w:hAnsi="Century"/>
          <w:sz w:val="18"/>
        </w:rPr>
        <w:t xml:space="preserve">C-132 de 2018, </w:t>
      </w:r>
      <w:r w:rsidRPr="00FE4384">
        <w:rPr>
          <w:rFonts w:ascii="Century" w:hAnsi="Century" w:cs="Calibri Light"/>
          <w:sz w:val="18"/>
        </w:rPr>
        <w:t>T-015 de 2016, T-162 de 2010 y T-099 de 2008.</w:t>
      </w:r>
    </w:p>
  </w:footnote>
  <w:footnote w:id="7">
    <w:p w14:paraId="31A1630C" w14:textId="77777777" w:rsidR="00D21586" w:rsidRPr="00FE4384" w:rsidRDefault="00D21586" w:rsidP="00FE4384">
      <w:pPr>
        <w:pStyle w:val="Textonotapie"/>
        <w:jc w:val="both"/>
        <w:rPr>
          <w:rFonts w:ascii="Century" w:hAnsi="Century"/>
          <w:sz w:val="18"/>
          <w:lang w:val="es-ES"/>
        </w:rPr>
      </w:pPr>
      <w:r w:rsidRPr="00FE4384">
        <w:rPr>
          <w:rStyle w:val="Refdenotaalpie"/>
          <w:rFonts w:ascii="Century" w:hAnsi="Century" w:cs="Arial"/>
          <w:sz w:val="18"/>
        </w:rPr>
        <w:footnoteRef/>
      </w:r>
      <w:r w:rsidRPr="00FE4384">
        <w:rPr>
          <w:rFonts w:ascii="Century" w:hAnsi="Century" w:cs="Arial"/>
          <w:sz w:val="18"/>
        </w:rPr>
        <w:t xml:space="preserve"> CC.T-070 de 2017. </w:t>
      </w:r>
    </w:p>
  </w:footnote>
  <w:footnote w:id="8">
    <w:p w14:paraId="17619D0D" w14:textId="77777777" w:rsidR="00D21586" w:rsidRPr="00FE4384" w:rsidRDefault="00D21586" w:rsidP="00FE4384">
      <w:pPr>
        <w:pStyle w:val="Textonotapie"/>
        <w:jc w:val="both"/>
        <w:rPr>
          <w:rFonts w:ascii="Century" w:hAnsi="Century"/>
          <w:sz w:val="18"/>
        </w:rPr>
      </w:pPr>
      <w:r w:rsidRPr="00FE4384">
        <w:rPr>
          <w:rStyle w:val="Refdenotaalpie"/>
          <w:rFonts w:ascii="Century" w:hAnsi="Century" w:cs="Arial"/>
          <w:sz w:val="18"/>
        </w:rPr>
        <w:footnoteRef/>
      </w:r>
      <w:r w:rsidRPr="00FE4384">
        <w:rPr>
          <w:rFonts w:ascii="Century" w:hAnsi="Century" w:cs="Arial"/>
          <w:sz w:val="18"/>
        </w:rPr>
        <w:t xml:space="preserve"> CC. T-136 de 2019 y T-027 de 2019, entre otras.</w:t>
      </w:r>
    </w:p>
  </w:footnote>
  <w:footnote w:id="9">
    <w:p w14:paraId="030B37B8" w14:textId="77777777" w:rsidR="00D21586" w:rsidRPr="00FE4384" w:rsidRDefault="00D21586" w:rsidP="00FE4384">
      <w:pPr>
        <w:pStyle w:val="Textonotapie"/>
        <w:jc w:val="both"/>
        <w:rPr>
          <w:rFonts w:ascii="Century" w:hAnsi="Century"/>
          <w:sz w:val="18"/>
          <w:lang w:val="es-ES"/>
        </w:rPr>
      </w:pPr>
      <w:r w:rsidRPr="00FE4384">
        <w:rPr>
          <w:rStyle w:val="Refdenotaalpie"/>
          <w:rFonts w:ascii="Century" w:hAnsi="Century"/>
          <w:sz w:val="18"/>
        </w:rPr>
        <w:footnoteRef/>
      </w:r>
      <w:r w:rsidRPr="00FE4384">
        <w:rPr>
          <w:rFonts w:ascii="Century" w:hAnsi="Century"/>
          <w:sz w:val="18"/>
        </w:rPr>
        <w:t xml:space="preserve"> CC. T-038 de 2011 y T-427 de 2018.</w:t>
      </w:r>
    </w:p>
  </w:footnote>
  <w:footnote w:id="10">
    <w:p w14:paraId="6FAF915E" w14:textId="72040346" w:rsidR="002C265D" w:rsidRPr="00FE4384" w:rsidRDefault="002C265D" w:rsidP="00FE4384">
      <w:pPr>
        <w:pStyle w:val="Textonotapie"/>
        <w:jc w:val="both"/>
        <w:rPr>
          <w:rFonts w:ascii="Century" w:hAnsi="Century"/>
          <w:sz w:val="18"/>
          <w:lang w:val="es-ES"/>
        </w:rPr>
      </w:pPr>
      <w:r w:rsidRPr="00FE4384">
        <w:rPr>
          <w:rStyle w:val="Refdenotaalpie"/>
          <w:rFonts w:ascii="Century" w:hAnsi="Century"/>
          <w:sz w:val="18"/>
        </w:rPr>
        <w:footnoteRef/>
      </w:r>
      <w:r w:rsidRPr="00FE4384">
        <w:rPr>
          <w:rFonts w:ascii="Century" w:hAnsi="Century"/>
          <w:sz w:val="18"/>
        </w:rPr>
        <w:t xml:space="preserve"> TSP, Sala Civil - Familia. Sentencias (i)</w:t>
      </w:r>
      <w:r w:rsidR="003C44BA" w:rsidRPr="00FE4384">
        <w:rPr>
          <w:rFonts w:ascii="Century" w:hAnsi="Century"/>
          <w:sz w:val="18"/>
        </w:rPr>
        <w:t xml:space="preserve"> ST2-0321-2021; y, del (ii)</w:t>
      </w:r>
      <w:r w:rsidRPr="00FE4384">
        <w:rPr>
          <w:rFonts w:ascii="Century" w:hAnsi="Century"/>
          <w:sz w:val="18"/>
        </w:rPr>
        <w:t xml:space="preserve"> 06-02-2020; MP: Saraza N., exp.2019-00110-01, (i</w:t>
      </w:r>
      <w:r w:rsidR="003C44BA" w:rsidRPr="00FE4384">
        <w:rPr>
          <w:rFonts w:ascii="Century" w:hAnsi="Century"/>
          <w:sz w:val="18"/>
        </w:rPr>
        <w:t>i</w:t>
      </w:r>
      <w:r w:rsidRPr="00FE4384">
        <w:rPr>
          <w:rFonts w:ascii="Century" w:hAnsi="Century"/>
          <w:sz w:val="18"/>
        </w:rPr>
        <w:t>i) 13-02-2020, MP: Saraza N., exp.2019-00368-01; (i</w:t>
      </w:r>
      <w:r w:rsidR="003C44BA" w:rsidRPr="00FE4384">
        <w:rPr>
          <w:rFonts w:ascii="Century" w:hAnsi="Century"/>
          <w:sz w:val="18"/>
        </w:rPr>
        <w:t>v</w:t>
      </w:r>
      <w:r w:rsidRPr="00FE4384">
        <w:rPr>
          <w:rFonts w:ascii="Century" w:hAnsi="Century"/>
          <w:sz w:val="18"/>
        </w:rPr>
        <w:t>) 24-02-2020, MP: Grisales H., exp.2020-00002-01; (v) 28-02-2020, MP: Grisales H.; exp.2020-00016-01; y, (v</w:t>
      </w:r>
      <w:r w:rsidR="003C44BA" w:rsidRPr="00FE4384">
        <w:rPr>
          <w:rFonts w:ascii="Century" w:hAnsi="Century"/>
          <w:sz w:val="18"/>
        </w:rPr>
        <w:t>i</w:t>
      </w:r>
      <w:r w:rsidRPr="00FE4384">
        <w:rPr>
          <w:rFonts w:ascii="Century" w:hAnsi="Century"/>
          <w:sz w:val="18"/>
        </w:rPr>
        <w:t>) 14-04-2020, MP: Grisales H., No.2020-00017-01.</w:t>
      </w:r>
    </w:p>
  </w:footnote>
  <w:footnote w:id="11">
    <w:p w14:paraId="32738AB2" w14:textId="77777777" w:rsidR="003754EC" w:rsidRPr="00FE4384" w:rsidRDefault="003754EC" w:rsidP="00FE4384">
      <w:pPr>
        <w:pStyle w:val="Textonotapie"/>
        <w:jc w:val="both"/>
        <w:rPr>
          <w:rFonts w:ascii="Century" w:hAnsi="Century"/>
          <w:sz w:val="18"/>
          <w:lang w:val="es-ES"/>
        </w:rPr>
      </w:pPr>
      <w:r w:rsidRPr="00FE4384">
        <w:rPr>
          <w:rStyle w:val="Refdenotaalpie"/>
          <w:rFonts w:ascii="Century" w:hAnsi="Century"/>
          <w:sz w:val="18"/>
        </w:rPr>
        <w:footnoteRef/>
      </w:r>
      <w:r w:rsidRPr="00FE4384">
        <w:rPr>
          <w:rFonts w:ascii="Century" w:hAnsi="Century"/>
          <w:sz w:val="18"/>
        </w:rPr>
        <w:t xml:space="preserve"> CC. T-427 de 2018.</w:t>
      </w:r>
    </w:p>
  </w:footnote>
  <w:footnote w:id="12">
    <w:p w14:paraId="159C9C11" w14:textId="506947C0" w:rsidR="003754EC" w:rsidRPr="00FE4384" w:rsidRDefault="003754EC" w:rsidP="00FE4384">
      <w:pPr>
        <w:pStyle w:val="Textonotapie"/>
        <w:jc w:val="both"/>
        <w:rPr>
          <w:rFonts w:ascii="Century" w:hAnsi="Century"/>
          <w:sz w:val="18"/>
        </w:rPr>
      </w:pPr>
      <w:r w:rsidRPr="00FE4384">
        <w:rPr>
          <w:rStyle w:val="Refdenotaalpie"/>
          <w:rFonts w:ascii="Century" w:hAnsi="Century"/>
          <w:sz w:val="18"/>
        </w:rPr>
        <w:footnoteRef/>
      </w:r>
      <w:r w:rsidRPr="00FE4384">
        <w:rPr>
          <w:rFonts w:ascii="Century" w:hAnsi="Century"/>
          <w:sz w:val="18"/>
        </w:rPr>
        <w:t xml:space="preserve"> CC. Ob. cit.</w:t>
      </w:r>
      <w:r w:rsidR="00B6395C" w:rsidRPr="00FE4384">
        <w:rPr>
          <w:rFonts w:ascii="Century" w:hAnsi="Century"/>
          <w:sz w:val="18"/>
        </w:rPr>
        <w:t xml:space="preserve"> Tesis iterada en la T-249 de 2021.</w:t>
      </w:r>
    </w:p>
  </w:footnote>
  <w:footnote w:id="13">
    <w:p w14:paraId="2D7D854B" w14:textId="77777777" w:rsidR="002B6018" w:rsidRPr="00FE4384" w:rsidRDefault="002B6018" w:rsidP="00FE4384">
      <w:pPr>
        <w:pStyle w:val="Textonotapie"/>
        <w:jc w:val="both"/>
        <w:rPr>
          <w:rFonts w:ascii="Century" w:hAnsi="Century"/>
          <w:sz w:val="18"/>
          <w:lang w:val="es-ES"/>
        </w:rPr>
      </w:pPr>
      <w:r w:rsidRPr="00FE4384">
        <w:rPr>
          <w:rStyle w:val="Refdenotaalpie"/>
          <w:rFonts w:ascii="Century" w:hAnsi="Century"/>
          <w:sz w:val="18"/>
        </w:rPr>
        <w:footnoteRef/>
      </w:r>
      <w:r w:rsidRPr="00FE4384">
        <w:rPr>
          <w:rFonts w:ascii="Century" w:hAnsi="Century"/>
          <w:sz w:val="18"/>
        </w:rPr>
        <w:t xml:space="preserve"> </w:t>
      </w:r>
      <w:r w:rsidRPr="00FE4384">
        <w:rPr>
          <w:rFonts w:ascii="Century" w:hAnsi="Century"/>
          <w:sz w:val="18"/>
          <w:lang w:val="es-ES"/>
        </w:rPr>
        <w:t>TSP, Sala Civil – Familia. ST-0110-2021, ST2-0163-2021, ST2-0190-2021, ST2-0306-2021, ST2-0359-2021 y ST2-0488-2021</w:t>
      </w:r>
    </w:p>
  </w:footnote>
  <w:footnote w:id="14">
    <w:p w14:paraId="563EBC13" w14:textId="62C8A6DC" w:rsidR="002B6018" w:rsidRPr="00FE4384" w:rsidRDefault="002B6018" w:rsidP="00FE4384">
      <w:pPr>
        <w:pStyle w:val="Textonotapie"/>
        <w:jc w:val="both"/>
        <w:rPr>
          <w:rFonts w:ascii="Century" w:hAnsi="Century"/>
          <w:sz w:val="18"/>
          <w:lang w:val="es-ES"/>
        </w:rPr>
      </w:pPr>
      <w:r w:rsidRPr="00FE4384">
        <w:rPr>
          <w:rStyle w:val="Refdenotaalpie"/>
          <w:rFonts w:ascii="Century" w:hAnsi="Century"/>
          <w:sz w:val="18"/>
        </w:rPr>
        <w:footnoteRef/>
      </w:r>
      <w:r w:rsidRPr="00FE4384">
        <w:rPr>
          <w:rFonts w:ascii="Century" w:hAnsi="Century"/>
          <w:sz w:val="18"/>
        </w:rPr>
        <w:t xml:space="preserve"> </w:t>
      </w:r>
      <w:r w:rsidRPr="00FE4384">
        <w:rPr>
          <w:rFonts w:ascii="Century" w:hAnsi="Century"/>
          <w:sz w:val="18"/>
          <w:lang w:val="es-ES"/>
        </w:rPr>
        <w:t>CC. T-876 de 2013.</w:t>
      </w:r>
    </w:p>
  </w:footnote>
  <w:footnote w:id="15">
    <w:p w14:paraId="55999A3E" w14:textId="470EBC40" w:rsidR="002B6018" w:rsidRPr="00FE4384" w:rsidRDefault="002B6018" w:rsidP="00FE4384">
      <w:pPr>
        <w:pStyle w:val="Textonotapie"/>
        <w:jc w:val="both"/>
        <w:rPr>
          <w:rFonts w:ascii="Century" w:hAnsi="Century"/>
          <w:sz w:val="18"/>
          <w:lang w:val="es-ES"/>
        </w:rPr>
      </w:pPr>
      <w:r w:rsidRPr="00FE4384">
        <w:rPr>
          <w:rStyle w:val="Refdenotaalpie"/>
          <w:rFonts w:ascii="Century" w:hAnsi="Century"/>
          <w:sz w:val="18"/>
        </w:rPr>
        <w:footnoteRef/>
      </w:r>
      <w:r w:rsidRPr="00FE4384">
        <w:rPr>
          <w:rFonts w:ascii="Century" w:hAnsi="Century"/>
          <w:sz w:val="18"/>
        </w:rPr>
        <w:t xml:space="preserve"> </w:t>
      </w:r>
      <w:r w:rsidRPr="00FE4384">
        <w:rPr>
          <w:rFonts w:ascii="Century" w:hAnsi="Century"/>
          <w:sz w:val="18"/>
          <w:lang w:val="es-ES"/>
        </w:rPr>
        <w:t>CC. Ob. cit.</w:t>
      </w:r>
    </w:p>
  </w:footnote>
  <w:footnote w:id="16">
    <w:p w14:paraId="65792D7A" w14:textId="67178CF3" w:rsidR="001D1872" w:rsidRPr="00FE4384" w:rsidRDefault="001D1872" w:rsidP="00FE4384">
      <w:pPr>
        <w:pStyle w:val="Textonotapie"/>
        <w:jc w:val="both"/>
        <w:rPr>
          <w:rFonts w:ascii="Century" w:hAnsi="Century"/>
          <w:sz w:val="18"/>
          <w:lang w:val="es-ES"/>
        </w:rPr>
      </w:pPr>
      <w:r w:rsidRPr="00FE4384">
        <w:rPr>
          <w:rStyle w:val="Refdenotaalpie"/>
          <w:rFonts w:ascii="Century" w:hAnsi="Century"/>
          <w:sz w:val="18"/>
        </w:rPr>
        <w:footnoteRef/>
      </w:r>
      <w:r w:rsidRPr="00FE4384">
        <w:rPr>
          <w:rFonts w:ascii="Century" w:hAnsi="Century"/>
          <w:sz w:val="18"/>
        </w:rPr>
        <w:t xml:space="preserve"> Art.55, D.1352/2013.</w:t>
      </w:r>
    </w:p>
  </w:footnote>
  <w:footnote w:id="17">
    <w:p w14:paraId="7D5A100B" w14:textId="13F53DA0" w:rsidR="00DF5AE8" w:rsidRPr="00FE4384" w:rsidRDefault="00DF5AE8" w:rsidP="00FE4384">
      <w:pPr>
        <w:pStyle w:val="Textonotapie"/>
        <w:jc w:val="both"/>
        <w:rPr>
          <w:rFonts w:ascii="Century" w:hAnsi="Century"/>
          <w:sz w:val="18"/>
        </w:rPr>
      </w:pPr>
      <w:r w:rsidRPr="00FE4384">
        <w:rPr>
          <w:rStyle w:val="Refdenotaalpie"/>
          <w:rFonts w:ascii="Century" w:hAnsi="Century"/>
          <w:sz w:val="18"/>
        </w:rPr>
        <w:footnoteRef/>
      </w:r>
      <w:r w:rsidRPr="00FE4384">
        <w:rPr>
          <w:rFonts w:ascii="Century" w:hAnsi="Century"/>
          <w:sz w:val="18"/>
        </w:rPr>
        <w:t xml:space="preserve"> Vigente, según el artículo 3.1.1. del D.1072/2015.</w:t>
      </w:r>
    </w:p>
  </w:footnote>
  <w:footnote w:id="18">
    <w:p w14:paraId="30F1C2A7" w14:textId="77777777" w:rsidR="001D1872" w:rsidRPr="002B6018" w:rsidRDefault="001D1872" w:rsidP="00FE4384">
      <w:pPr>
        <w:pStyle w:val="Textonotapie"/>
        <w:jc w:val="both"/>
        <w:rPr>
          <w:lang w:val="es-ES"/>
        </w:rPr>
      </w:pPr>
      <w:r w:rsidRPr="00FE4384">
        <w:rPr>
          <w:rStyle w:val="Refdenotaalpie"/>
          <w:rFonts w:ascii="Century" w:hAnsi="Century"/>
          <w:sz w:val="18"/>
        </w:rPr>
        <w:footnoteRef/>
      </w:r>
      <w:r w:rsidRPr="00FE4384">
        <w:rPr>
          <w:rFonts w:ascii="Century" w:hAnsi="Century"/>
          <w:sz w:val="18"/>
        </w:rPr>
        <w:t xml:space="preserve"> </w:t>
      </w:r>
      <w:r w:rsidRPr="00FE4384">
        <w:rPr>
          <w:rFonts w:ascii="Century" w:hAnsi="Century"/>
          <w:sz w:val="18"/>
          <w:lang w:val="es-ES"/>
        </w:rPr>
        <w:t>TSP, Sala Civil – Familia. ST-0110-2021, ST2-0163-2021, ST2-0190-2021, ST2-0306-2021, ST2-0359-2021 y ST2-0488-2021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431752" w:rsidRDefault="00DB5574" w:rsidP="00431752">
    <w:pPr>
      <w:pStyle w:val="Encabezado"/>
      <w:pBdr>
        <w:bottom w:val="single" w:sz="4" w:space="1" w:color="D9D9D9"/>
      </w:pBdr>
      <w:jc w:val="right"/>
      <w:rPr>
        <w:rFonts w:ascii="Georgia" w:hAnsi="Georgia"/>
        <w:b/>
        <w:sz w:val="20"/>
        <w:szCs w:val="20"/>
      </w:rPr>
    </w:pPr>
    <w:r w:rsidRPr="00431752">
      <w:rPr>
        <w:rFonts w:ascii="Georgia" w:hAnsi="Georgia"/>
        <w:spacing w:val="60"/>
        <w:sz w:val="20"/>
        <w:szCs w:val="20"/>
      </w:rPr>
      <w:t>Página</w:t>
    </w:r>
    <w:r w:rsidRPr="00431752">
      <w:rPr>
        <w:rFonts w:ascii="Georgia" w:hAnsi="Georgia"/>
        <w:sz w:val="20"/>
        <w:szCs w:val="20"/>
      </w:rPr>
      <w:t xml:space="preserve"> | </w:t>
    </w:r>
    <w:r w:rsidRPr="00431752">
      <w:rPr>
        <w:rFonts w:ascii="Georgia" w:hAnsi="Georgia"/>
        <w:sz w:val="20"/>
        <w:szCs w:val="20"/>
      </w:rPr>
      <w:fldChar w:fldCharType="begin"/>
    </w:r>
    <w:r w:rsidRPr="00431752">
      <w:rPr>
        <w:rFonts w:ascii="Georgia" w:hAnsi="Georgia"/>
        <w:sz w:val="20"/>
        <w:szCs w:val="20"/>
      </w:rPr>
      <w:instrText xml:space="preserve"> PAGE   \* MERGEFORMAT </w:instrText>
    </w:r>
    <w:r w:rsidRPr="00431752">
      <w:rPr>
        <w:rFonts w:ascii="Georgia" w:hAnsi="Georgia"/>
        <w:sz w:val="20"/>
        <w:szCs w:val="20"/>
      </w:rPr>
      <w:fldChar w:fldCharType="separate"/>
    </w:r>
    <w:r w:rsidRPr="00431752">
      <w:rPr>
        <w:rFonts w:ascii="Georgia" w:hAnsi="Georgia"/>
        <w:noProof/>
        <w:sz w:val="20"/>
        <w:szCs w:val="20"/>
      </w:rPr>
      <w:t>11</w:t>
    </w:r>
    <w:r w:rsidRPr="00431752">
      <w:rPr>
        <w:rFonts w:ascii="Georgia" w:hAnsi="Georgia"/>
        <w:sz w:val="20"/>
        <w:szCs w:val="20"/>
      </w:rPr>
      <w:fldChar w:fldCharType="end"/>
    </w:r>
  </w:p>
  <w:p w14:paraId="532F4AAC" w14:textId="4ABA772D" w:rsidR="00DB5574" w:rsidRPr="00431752" w:rsidRDefault="00DB5574" w:rsidP="00431752">
    <w:pPr>
      <w:pStyle w:val="Encabezado"/>
      <w:ind w:right="360"/>
      <w:jc w:val="both"/>
      <w:rPr>
        <w:rFonts w:ascii="Georgia" w:hAnsi="Georgia" w:cs="Calibri"/>
        <w:i/>
        <w:sz w:val="20"/>
        <w:szCs w:val="20"/>
      </w:rPr>
    </w:pPr>
    <w:r w:rsidRPr="00431752">
      <w:rPr>
        <w:rFonts w:ascii="Georgia" w:hAnsi="Georgia" w:cs="Calibri"/>
        <w:i/>
        <w:sz w:val="20"/>
        <w:szCs w:val="20"/>
      </w:rPr>
      <w:t>EXPEDIENTE No.</w:t>
    </w:r>
    <w:r w:rsidR="00FE4384" w:rsidRPr="00431752">
      <w:rPr>
        <w:rFonts w:ascii="Georgia" w:hAnsi="Georgia" w:cs="Calibri"/>
        <w:i/>
        <w:sz w:val="20"/>
        <w:szCs w:val="20"/>
      </w:rPr>
      <w:t xml:space="preserve"> </w:t>
    </w:r>
    <w:r w:rsidR="00E230D6" w:rsidRPr="00431752">
      <w:rPr>
        <w:rFonts w:ascii="Georgia" w:hAnsi="Georgia" w:cs="Calibri"/>
        <w:i/>
        <w:sz w:val="20"/>
        <w:szCs w:val="20"/>
      </w:rPr>
      <w:t>2022-00292-01</w:t>
    </w:r>
  </w:p>
</w:hdr>
</file>

<file path=word/intelligence.xml><?xml version="1.0" encoding="utf-8"?>
<int:Intelligence xmlns:int="http://schemas.microsoft.com/office/intelligence/2019/intelligence">
  <int:IntelligenceSettings/>
  <int:Manifest>
    <int:WordHash hashCode="3OrpIB+g3mvFV7" id="jAznESsn"/>
  </int:Manifest>
  <int:Observations>
    <int:Content id="jAznESs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B5A4FCC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D13EED44"/>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vertAlign w:val="baseline"/>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A42F9D"/>
    <w:multiLevelType w:val="multilevel"/>
    <w:tmpl w:val="3922197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3D52F3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1BC25F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6ED370A"/>
    <w:multiLevelType w:val="hybridMultilevel"/>
    <w:tmpl w:val="6C48918E"/>
    <w:lvl w:ilvl="0" w:tplc="CAF46926">
      <w:start w:val="1"/>
      <w:numFmt w:val="decimal"/>
      <w:lvlText w:val="(%1)"/>
      <w:lvlJc w:val="left"/>
      <w:pPr>
        <w:ind w:left="1146" w:hanging="72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7C80E25"/>
    <w:multiLevelType w:val="multilevel"/>
    <w:tmpl w:val="AFBC2F72"/>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C6E35A4"/>
    <w:multiLevelType w:val="multilevel"/>
    <w:tmpl w:val="B0B4622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8"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15:restartNumberingAfterBreak="0">
    <w:nsid w:val="6BDF2A95"/>
    <w:multiLevelType w:val="multilevel"/>
    <w:tmpl w:val="5CE679C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15:restartNumberingAfterBreak="0">
    <w:nsid w:val="7D1A2738"/>
    <w:multiLevelType w:val="multilevel"/>
    <w:tmpl w:val="12BE533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2"/>
  </w:num>
  <w:num w:numId="2">
    <w:abstractNumId w:val="26"/>
  </w:num>
  <w:num w:numId="3">
    <w:abstractNumId w:val="21"/>
  </w:num>
  <w:num w:numId="4">
    <w:abstractNumId w:val="16"/>
  </w:num>
  <w:num w:numId="5">
    <w:abstractNumId w:val="28"/>
  </w:num>
  <w:num w:numId="6">
    <w:abstractNumId w:val="20"/>
  </w:num>
  <w:num w:numId="7">
    <w:abstractNumId w:val="3"/>
  </w:num>
  <w:num w:numId="8">
    <w:abstractNumId w:val="13"/>
  </w:num>
  <w:num w:numId="9">
    <w:abstractNumId w:val="14"/>
  </w:num>
  <w:num w:numId="10">
    <w:abstractNumId w:val="2"/>
  </w:num>
  <w:num w:numId="11">
    <w:abstractNumId w:val="25"/>
  </w:num>
  <w:num w:numId="12">
    <w:abstractNumId w:val="11"/>
  </w:num>
  <w:num w:numId="13">
    <w:abstractNumId w:val="15"/>
  </w:num>
  <w:num w:numId="14">
    <w:abstractNumId w:val="31"/>
  </w:num>
  <w:num w:numId="15">
    <w:abstractNumId w:val="22"/>
  </w:num>
  <w:num w:numId="16">
    <w:abstractNumId w:val="0"/>
  </w:num>
  <w:num w:numId="17">
    <w:abstractNumId w:val="34"/>
  </w:num>
  <w:num w:numId="18">
    <w:abstractNumId w:val="23"/>
  </w:num>
  <w:num w:numId="19">
    <w:abstractNumId w:val="30"/>
  </w:num>
  <w:num w:numId="20">
    <w:abstractNumId w:val="29"/>
  </w:num>
  <w:num w:numId="21">
    <w:abstractNumId w:val="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9"/>
  </w:num>
  <w:num w:numId="29">
    <w:abstractNumId w:val="8"/>
  </w:num>
  <w:num w:numId="30">
    <w:abstractNumId w:val="33"/>
  </w:num>
  <w:num w:numId="31">
    <w:abstractNumId w:val="1"/>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0"/>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4A98"/>
    <w:rsid w:val="00006595"/>
    <w:rsid w:val="00007912"/>
    <w:rsid w:val="000100E5"/>
    <w:rsid w:val="00011CF2"/>
    <w:rsid w:val="00011D52"/>
    <w:rsid w:val="00011E7F"/>
    <w:rsid w:val="00011F63"/>
    <w:rsid w:val="00013BE8"/>
    <w:rsid w:val="00013EE3"/>
    <w:rsid w:val="000146EB"/>
    <w:rsid w:val="0002042C"/>
    <w:rsid w:val="000215F0"/>
    <w:rsid w:val="00021BE6"/>
    <w:rsid w:val="00022F38"/>
    <w:rsid w:val="00023886"/>
    <w:rsid w:val="00023FAD"/>
    <w:rsid w:val="00024E51"/>
    <w:rsid w:val="00024E54"/>
    <w:rsid w:val="00026F32"/>
    <w:rsid w:val="00027251"/>
    <w:rsid w:val="000279AF"/>
    <w:rsid w:val="00031D5D"/>
    <w:rsid w:val="00032DB7"/>
    <w:rsid w:val="000332E9"/>
    <w:rsid w:val="00033B22"/>
    <w:rsid w:val="00033CAE"/>
    <w:rsid w:val="00033F1E"/>
    <w:rsid w:val="00034DD8"/>
    <w:rsid w:val="0003538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28A5"/>
    <w:rsid w:val="000841F5"/>
    <w:rsid w:val="0008427C"/>
    <w:rsid w:val="00085FB4"/>
    <w:rsid w:val="0008767C"/>
    <w:rsid w:val="00092478"/>
    <w:rsid w:val="00092CB6"/>
    <w:rsid w:val="00093449"/>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2FDC"/>
    <w:rsid w:val="000F35C9"/>
    <w:rsid w:val="000F3FF5"/>
    <w:rsid w:val="000F5423"/>
    <w:rsid w:val="000F596B"/>
    <w:rsid w:val="000F66F2"/>
    <w:rsid w:val="000F68A5"/>
    <w:rsid w:val="000F6C11"/>
    <w:rsid w:val="000F701D"/>
    <w:rsid w:val="001012AD"/>
    <w:rsid w:val="001017E7"/>
    <w:rsid w:val="001017EF"/>
    <w:rsid w:val="00102308"/>
    <w:rsid w:val="001039D0"/>
    <w:rsid w:val="00103CD9"/>
    <w:rsid w:val="0010401B"/>
    <w:rsid w:val="001055E9"/>
    <w:rsid w:val="00105F37"/>
    <w:rsid w:val="001064AC"/>
    <w:rsid w:val="00106916"/>
    <w:rsid w:val="00106DFB"/>
    <w:rsid w:val="001127AE"/>
    <w:rsid w:val="00115641"/>
    <w:rsid w:val="00115C96"/>
    <w:rsid w:val="00116465"/>
    <w:rsid w:val="00117015"/>
    <w:rsid w:val="00117C99"/>
    <w:rsid w:val="00120933"/>
    <w:rsid w:val="00121007"/>
    <w:rsid w:val="001211DF"/>
    <w:rsid w:val="0012155C"/>
    <w:rsid w:val="00123CFB"/>
    <w:rsid w:val="00124DDA"/>
    <w:rsid w:val="00124F49"/>
    <w:rsid w:val="00125979"/>
    <w:rsid w:val="00126298"/>
    <w:rsid w:val="001266B4"/>
    <w:rsid w:val="00126EC6"/>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7F1"/>
    <w:rsid w:val="0017206C"/>
    <w:rsid w:val="00172487"/>
    <w:rsid w:val="001726A9"/>
    <w:rsid w:val="00172AC7"/>
    <w:rsid w:val="00172F27"/>
    <w:rsid w:val="00173244"/>
    <w:rsid w:val="00173AED"/>
    <w:rsid w:val="00173B56"/>
    <w:rsid w:val="00173EBC"/>
    <w:rsid w:val="00175F77"/>
    <w:rsid w:val="0017606A"/>
    <w:rsid w:val="001771BE"/>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3B2"/>
    <w:rsid w:val="001A261B"/>
    <w:rsid w:val="001A2BC5"/>
    <w:rsid w:val="001A3CCC"/>
    <w:rsid w:val="001A3EF7"/>
    <w:rsid w:val="001A4B98"/>
    <w:rsid w:val="001A4F41"/>
    <w:rsid w:val="001A7CD5"/>
    <w:rsid w:val="001B03A5"/>
    <w:rsid w:val="001B0570"/>
    <w:rsid w:val="001B0B6E"/>
    <w:rsid w:val="001B22A1"/>
    <w:rsid w:val="001B249F"/>
    <w:rsid w:val="001B2BF9"/>
    <w:rsid w:val="001B47F2"/>
    <w:rsid w:val="001B4E5A"/>
    <w:rsid w:val="001B6B9C"/>
    <w:rsid w:val="001B7878"/>
    <w:rsid w:val="001C1611"/>
    <w:rsid w:val="001C2101"/>
    <w:rsid w:val="001C575B"/>
    <w:rsid w:val="001D0F3C"/>
    <w:rsid w:val="001D14A5"/>
    <w:rsid w:val="001D1872"/>
    <w:rsid w:val="001D2702"/>
    <w:rsid w:val="001D3BEE"/>
    <w:rsid w:val="001D3D53"/>
    <w:rsid w:val="001D523E"/>
    <w:rsid w:val="001D52A2"/>
    <w:rsid w:val="001D5682"/>
    <w:rsid w:val="001D5B0F"/>
    <w:rsid w:val="001D6658"/>
    <w:rsid w:val="001D6840"/>
    <w:rsid w:val="001D76C4"/>
    <w:rsid w:val="001E1592"/>
    <w:rsid w:val="001E17AB"/>
    <w:rsid w:val="001E311C"/>
    <w:rsid w:val="001E5B6B"/>
    <w:rsid w:val="001E6AB8"/>
    <w:rsid w:val="001E7C59"/>
    <w:rsid w:val="001E7EDB"/>
    <w:rsid w:val="001F0298"/>
    <w:rsid w:val="001F08CF"/>
    <w:rsid w:val="001F0AC0"/>
    <w:rsid w:val="001F1DC2"/>
    <w:rsid w:val="001F2983"/>
    <w:rsid w:val="001F3204"/>
    <w:rsid w:val="001F6B77"/>
    <w:rsid w:val="0020003C"/>
    <w:rsid w:val="0020069F"/>
    <w:rsid w:val="0020102F"/>
    <w:rsid w:val="00202EB9"/>
    <w:rsid w:val="00203834"/>
    <w:rsid w:val="0020383C"/>
    <w:rsid w:val="0020456C"/>
    <w:rsid w:val="00205091"/>
    <w:rsid w:val="00206B9D"/>
    <w:rsid w:val="00207906"/>
    <w:rsid w:val="00210A59"/>
    <w:rsid w:val="00213147"/>
    <w:rsid w:val="00214468"/>
    <w:rsid w:val="00214551"/>
    <w:rsid w:val="00214A4A"/>
    <w:rsid w:val="00215123"/>
    <w:rsid w:val="00217035"/>
    <w:rsid w:val="00217D77"/>
    <w:rsid w:val="00220BD3"/>
    <w:rsid w:val="00221B21"/>
    <w:rsid w:val="00221B6D"/>
    <w:rsid w:val="00222C60"/>
    <w:rsid w:val="00222F3E"/>
    <w:rsid w:val="00223558"/>
    <w:rsid w:val="002240F8"/>
    <w:rsid w:val="00224A4F"/>
    <w:rsid w:val="00230D6E"/>
    <w:rsid w:val="00230F0D"/>
    <w:rsid w:val="00231A7F"/>
    <w:rsid w:val="00231EFB"/>
    <w:rsid w:val="00232D75"/>
    <w:rsid w:val="00233F28"/>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682"/>
    <w:rsid w:val="00255E29"/>
    <w:rsid w:val="00257A0E"/>
    <w:rsid w:val="00257C43"/>
    <w:rsid w:val="00265452"/>
    <w:rsid w:val="00265ACD"/>
    <w:rsid w:val="00265D64"/>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18"/>
    <w:rsid w:val="002B6043"/>
    <w:rsid w:val="002B7A49"/>
    <w:rsid w:val="002C265D"/>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16C1"/>
    <w:rsid w:val="002F177F"/>
    <w:rsid w:val="002F20AB"/>
    <w:rsid w:val="002F2F7C"/>
    <w:rsid w:val="002F330A"/>
    <w:rsid w:val="002F3A1F"/>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46A18"/>
    <w:rsid w:val="0035091C"/>
    <w:rsid w:val="003509ED"/>
    <w:rsid w:val="00351BE4"/>
    <w:rsid w:val="00351E76"/>
    <w:rsid w:val="003530CC"/>
    <w:rsid w:val="00356574"/>
    <w:rsid w:val="003575CA"/>
    <w:rsid w:val="003614F2"/>
    <w:rsid w:val="00367391"/>
    <w:rsid w:val="003708EF"/>
    <w:rsid w:val="0037385E"/>
    <w:rsid w:val="00374FC2"/>
    <w:rsid w:val="003754EC"/>
    <w:rsid w:val="00377118"/>
    <w:rsid w:val="00377982"/>
    <w:rsid w:val="00377BA9"/>
    <w:rsid w:val="00377C39"/>
    <w:rsid w:val="003801D6"/>
    <w:rsid w:val="00380B58"/>
    <w:rsid w:val="00382FDA"/>
    <w:rsid w:val="003832EC"/>
    <w:rsid w:val="00383C88"/>
    <w:rsid w:val="003855C9"/>
    <w:rsid w:val="0038681A"/>
    <w:rsid w:val="003904F1"/>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41AF"/>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BA"/>
    <w:rsid w:val="003C4A4A"/>
    <w:rsid w:val="003C620C"/>
    <w:rsid w:val="003C6992"/>
    <w:rsid w:val="003C6D22"/>
    <w:rsid w:val="003C710D"/>
    <w:rsid w:val="003C7446"/>
    <w:rsid w:val="003D0FBA"/>
    <w:rsid w:val="003D1702"/>
    <w:rsid w:val="003D3B31"/>
    <w:rsid w:val="003D512F"/>
    <w:rsid w:val="003E1575"/>
    <w:rsid w:val="003E18D8"/>
    <w:rsid w:val="003E6D15"/>
    <w:rsid w:val="003F01EC"/>
    <w:rsid w:val="003F10B4"/>
    <w:rsid w:val="003F162E"/>
    <w:rsid w:val="003F298D"/>
    <w:rsid w:val="003F5C01"/>
    <w:rsid w:val="00401E1D"/>
    <w:rsid w:val="00404694"/>
    <w:rsid w:val="004046B5"/>
    <w:rsid w:val="00404829"/>
    <w:rsid w:val="00407F98"/>
    <w:rsid w:val="004080AA"/>
    <w:rsid w:val="0041105C"/>
    <w:rsid w:val="00411432"/>
    <w:rsid w:val="00413231"/>
    <w:rsid w:val="004134D8"/>
    <w:rsid w:val="0041355E"/>
    <w:rsid w:val="0041414C"/>
    <w:rsid w:val="00415BBF"/>
    <w:rsid w:val="00416657"/>
    <w:rsid w:val="0041757E"/>
    <w:rsid w:val="00417661"/>
    <w:rsid w:val="00417DA3"/>
    <w:rsid w:val="00421D69"/>
    <w:rsid w:val="0042362D"/>
    <w:rsid w:val="004251D9"/>
    <w:rsid w:val="004259A6"/>
    <w:rsid w:val="00425FFB"/>
    <w:rsid w:val="00427D6B"/>
    <w:rsid w:val="00430378"/>
    <w:rsid w:val="00431377"/>
    <w:rsid w:val="00431752"/>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0736"/>
    <w:rsid w:val="004518F7"/>
    <w:rsid w:val="0045202E"/>
    <w:rsid w:val="00452D30"/>
    <w:rsid w:val="00455284"/>
    <w:rsid w:val="00461F7E"/>
    <w:rsid w:val="0046206E"/>
    <w:rsid w:val="00463583"/>
    <w:rsid w:val="00463D16"/>
    <w:rsid w:val="00464A72"/>
    <w:rsid w:val="00464FAC"/>
    <w:rsid w:val="00466C46"/>
    <w:rsid w:val="00467235"/>
    <w:rsid w:val="0046775F"/>
    <w:rsid w:val="00467C42"/>
    <w:rsid w:val="00470402"/>
    <w:rsid w:val="004704B6"/>
    <w:rsid w:val="00471697"/>
    <w:rsid w:val="00471C6C"/>
    <w:rsid w:val="004733F2"/>
    <w:rsid w:val="00475C03"/>
    <w:rsid w:val="004769A6"/>
    <w:rsid w:val="00476D6C"/>
    <w:rsid w:val="00480564"/>
    <w:rsid w:val="00480688"/>
    <w:rsid w:val="00481877"/>
    <w:rsid w:val="00481F58"/>
    <w:rsid w:val="00483D25"/>
    <w:rsid w:val="00485013"/>
    <w:rsid w:val="00486576"/>
    <w:rsid w:val="00486D05"/>
    <w:rsid w:val="004904EE"/>
    <w:rsid w:val="00490773"/>
    <w:rsid w:val="004909B8"/>
    <w:rsid w:val="0049109E"/>
    <w:rsid w:val="0049174B"/>
    <w:rsid w:val="00492CFE"/>
    <w:rsid w:val="004930CF"/>
    <w:rsid w:val="00494780"/>
    <w:rsid w:val="004975AA"/>
    <w:rsid w:val="00497F8A"/>
    <w:rsid w:val="004A05CD"/>
    <w:rsid w:val="004A0867"/>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B74BC"/>
    <w:rsid w:val="004C0806"/>
    <w:rsid w:val="004C4256"/>
    <w:rsid w:val="004C5BDE"/>
    <w:rsid w:val="004C6746"/>
    <w:rsid w:val="004C7D84"/>
    <w:rsid w:val="004D1CFD"/>
    <w:rsid w:val="004D37D7"/>
    <w:rsid w:val="004D4476"/>
    <w:rsid w:val="004D4912"/>
    <w:rsid w:val="004D4EFD"/>
    <w:rsid w:val="004D678C"/>
    <w:rsid w:val="004D7947"/>
    <w:rsid w:val="004D7BEE"/>
    <w:rsid w:val="004D7EC1"/>
    <w:rsid w:val="004E02B0"/>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4C4D"/>
    <w:rsid w:val="00505776"/>
    <w:rsid w:val="005063E1"/>
    <w:rsid w:val="00506CB9"/>
    <w:rsid w:val="0050752F"/>
    <w:rsid w:val="0051036C"/>
    <w:rsid w:val="00510663"/>
    <w:rsid w:val="00512B8A"/>
    <w:rsid w:val="00514EA8"/>
    <w:rsid w:val="005206FB"/>
    <w:rsid w:val="00521FBB"/>
    <w:rsid w:val="0052222D"/>
    <w:rsid w:val="00522421"/>
    <w:rsid w:val="005227AC"/>
    <w:rsid w:val="005231D8"/>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60017"/>
    <w:rsid w:val="00562995"/>
    <w:rsid w:val="00565175"/>
    <w:rsid w:val="00565450"/>
    <w:rsid w:val="005660B9"/>
    <w:rsid w:val="00566A11"/>
    <w:rsid w:val="00570C27"/>
    <w:rsid w:val="00571181"/>
    <w:rsid w:val="005712ED"/>
    <w:rsid w:val="00573AD1"/>
    <w:rsid w:val="005741C1"/>
    <w:rsid w:val="00575B44"/>
    <w:rsid w:val="00577D50"/>
    <w:rsid w:val="00582361"/>
    <w:rsid w:val="00583A64"/>
    <w:rsid w:val="00584B9D"/>
    <w:rsid w:val="00587194"/>
    <w:rsid w:val="00587698"/>
    <w:rsid w:val="00591FBE"/>
    <w:rsid w:val="0059311A"/>
    <w:rsid w:val="00597CED"/>
    <w:rsid w:val="005A2595"/>
    <w:rsid w:val="005A3B1D"/>
    <w:rsid w:val="005A3C01"/>
    <w:rsid w:val="005A461E"/>
    <w:rsid w:val="005A56C8"/>
    <w:rsid w:val="005A66FC"/>
    <w:rsid w:val="005A6E34"/>
    <w:rsid w:val="005A703D"/>
    <w:rsid w:val="005A7334"/>
    <w:rsid w:val="005A7BED"/>
    <w:rsid w:val="005B025A"/>
    <w:rsid w:val="005B229A"/>
    <w:rsid w:val="005B248B"/>
    <w:rsid w:val="005B2646"/>
    <w:rsid w:val="005B2BDE"/>
    <w:rsid w:val="005B31A0"/>
    <w:rsid w:val="005B387F"/>
    <w:rsid w:val="005B3BD2"/>
    <w:rsid w:val="005B606C"/>
    <w:rsid w:val="005B66D3"/>
    <w:rsid w:val="005B7472"/>
    <w:rsid w:val="005C0370"/>
    <w:rsid w:val="005C085F"/>
    <w:rsid w:val="005C19D8"/>
    <w:rsid w:val="005C1C5A"/>
    <w:rsid w:val="005C1FC1"/>
    <w:rsid w:val="005C2225"/>
    <w:rsid w:val="005C31C9"/>
    <w:rsid w:val="005C3B96"/>
    <w:rsid w:val="005C458F"/>
    <w:rsid w:val="005C6722"/>
    <w:rsid w:val="005C7936"/>
    <w:rsid w:val="005D1620"/>
    <w:rsid w:val="005D269F"/>
    <w:rsid w:val="005D29AD"/>
    <w:rsid w:val="005D3CDA"/>
    <w:rsid w:val="005D5478"/>
    <w:rsid w:val="005D5B8A"/>
    <w:rsid w:val="005D780A"/>
    <w:rsid w:val="005E14BE"/>
    <w:rsid w:val="005E2305"/>
    <w:rsid w:val="005E45DD"/>
    <w:rsid w:val="005E5EE9"/>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64F4"/>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75E"/>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596E"/>
    <w:rsid w:val="00646857"/>
    <w:rsid w:val="006472F2"/>
    <w:rsid w:val="00650262"/>
    <w:rsid w:val="006507EA"/>
    <w:rsid w:val="006511BE"/>
    <w:rsid w:val="0065133D"/>
    <w:rsid w:val="00652D2F"/>
    <w:rsid w:val="00655913"/>
    <w:rsid w:val="006562FD"/>
    <w:rsid w:val="00656C54"/>
    <w:rsid w:val="00661297"/>
    <w:rsid w:val="006615CB"/>
    <w:rsid w:val="006627C2"/>
    <w:rsid w:val="00662B8C"/>
    <w:rsid w:val="006632D5"/>
    <w:rsid w:val="00663770"/>
    <w:rsid w:val="006641CB"/>
    <w:rsid w:val="006642B1"/>
    <w:rsid w:val="0066436E"/>
    <w:rsid w:val="0066511B"/>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6F3D"/>
    <w:rsid w:val="006975BD"/>
    <w:rsid w:val="006A04FE"/>
    <w:rsid w:val="006A3A7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0F3"/>
    <w:rsid w:val="006C02F8"/>
    <w:rsid w:val="006C0A90"/>
    <w:rsid w:val="006C0C98"/>
    <w:rsid w:val="006C1445"/>
    <w:rsid w:val="006C17FF"/>
    <w:rsid w:val="006C1F03"/>
    <w:rsid w:val="006C2AFC"/>
    <w:rsid w:val="006C6087"/>
    <w:rsid w:val="006D15DE"/>
    <w:rsid w:val="006D1B00"/>
    <w:rsid w:val="006D2299"/>
    <w:rsid w:val="006D3B8F"/>
    <w:rsid w:val="006D3E04"/>
    <w:rsid w:val="006D5236"/>
    <w:rsid w:val="006D5F62"/>
    <w:rsid w:val="006D62A3"/>
    <w:rsid w:val="006D6BA1"/>
    <w:rsid w:val="006D7214"/>
    <w:rsid w:val="006E0259"/>
    <w:rsid w:val="006E1629"/>
    <w:rsid w:val="006E1832"/>
    <w:rsid w:val="006E3341"/>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6F7A57"/>
    <w:rsid w:val="00700B63"/>
    <w:rsid w:val="00701835"/>
    <w:rsid w:val="00705B75"/>
    <w:rsid w:val="00707B4A"/>
    <w:rsid w:val="007117A0"/>
    <w:rsid w:val="00712D21"/>
    <w:rsid w:val="0071674A"/>
    <w:rsid w:val="00716B70"/>
    <w:rsid w:val="007201D5"/>
    <w:rsid w:val="0072020C"/>
    <w:rsid w:val="00720D87"/>
    <w:rsid w:val="0072250C"/>
    <w:rsid w:val="00723390"/>
    <w:rsid w:val="00723F96"/>
    <w:rsid w:val="0072577C"/>
    <w:rsid w:val="00725A38"/>
    <w:rsid w:val="00726989"/>
    <w:rsid w:val="0073192F"/>
    <w:rsid w:val="00731B65"/>
    <w:rsid w:val="00731CB2"/>
    <w:rsid w:val="0073207B"/>
    <w:rsid w:val="00732403"/>
    <w:rsid w:val="007328DA"/>
    <w:rsid w:val="0073335D"/>
    <w:rsid w:val="0073555B"/>
    <w:rsid w:val="00735CD2"/>
    <w:rsid w:val="00736A7B"/>
    <w:rsid w:val="007406AB"/>
    <w:rsid w:val="00740778"/>
    <w:rsid w:val="007469AE"/>
    <w:rsid w:val="00746C32"/>
    <w:rsid w:val="007470B5"/>
    <w:rsid w:val="00747531"/>
    <w:rsid w:val="0074779F"/>
    <w:rsid w:val="00747C49"/>
    <w:rsid w:val="00747ED4"/>
    <w:rsid w:val="00751EE2"/>
    <w:rsid w:val="00752AC7"/>
    <w:rsid w:val="00753EFD"/>
    <w:rsid w:val="0075477F"/>
    <w:rsid w:val="00754BF8"/>
    <w:rsid w:val="007552B7"/>
    <w:rsid w:val="00755DA9"/>
    <w:rsid w:val="00756FCF"/>
    <w:rsid w:val="00757715"/>
    <w:rsid w:val="0076020F"/>
    <w:rsid w:val="0076296E"/>
    <w:rsid w:val="007629AE"/>
    <w:rsid w:val="007640D2"/>
    <w:rsid w:val="00764347"/>
    <w:rsid w:val="0076691A"/>
    <w:rsid w:val="007671B0"/>
    <w:rsid w:val="00770B29"/>
    <w:rsid w:val="00771090"/>
    <w:rsid w:val="007720C9"/>
    <w:rsid w:val="0077234A"/>
    <w:rsid w:val="00774500"/>
    <w:rsid w:val="00775C19"/>
    <w:rsid w:val="00775E15"/>
    <w:rsid w:val="00775F63"/>
    <w:rsid w:val="00776B80"/>
    <w:rsid w:val="007776C4"/>
    <w:rsid w:val="00777919"/>
    <w:rsid w:val="00780399"/>
    <w:rsid w:val="00780449"/>
    <w:rsid w:val="00781457"/>
    <w:rsid w:val="00781B9C"/>
    <w:rsid w:val="00784128"/>
    <w:rsid w:val="007857F3"/>
    <w:rsid w:val="00785B30"/>
    <w:rsid w:val="007860C0"/>
    <w:rsid w:val="00786CF7"/>
    <w:rsid w:val="00786D18"/>
    <w:rsid w:val="00790B5F"/>
    <w:rsid w:val="00790D2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0DC7"/>
    <w:rsid w:val="007D130E"/>
    <w:rsid w:val="007D4737"/>
    <w:rsid w:val="007D56C8"/>
    <w:rsid w:val="007D6F7F"/>
    <w:rsid w:val="007E269D"/>
    <w:rsid w:val="007E2FA0"/>
    <w:rsid w:val="007E37BC"/>
    <w:rsid w:val="007E3CDF"/>
    <w:rsid w:val="007E4E84"/>
    <w:rsid w:val="007E62ED"/>
    <w:rsid w:val="007E67B6"/>
    <w:rsid w:val="007E6B8E"/>
    <w:rsid w:val="007E7710"/>
    <w:rsid w:val="007F2158"/>
    <w:rsid w:val="007F3159"/>
    <w:rsid w:val="007F3286"/>
    <w:rsid w:val="007F3A65"/>
    <w:rsid w:val="007F3D86"/>
    <w:rsid w:val="007F7D49"/>
    <w:rsid w:val="00800654"/>
    <w:rsid w:val="00804DB7"/>
    <w:rsid w:val="00805F26"/>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76C7"/>
    <w:rsid w:val="0083345D"/>
    <w:rsid w:val="00835525"/>
    <w:rsid w:val="00835D5D"/>
    <w:rsid w:val="00836EE1"/>
    <w:rsid w:val="0084012E"/>
    <w:rsid w:val="00842033"/>
    <w:rsid w:val="00843062"/>
    <w:rsid w:val="00843342"/>
    <w:rsid w:val="00843668"/>
    <w:rsid w:val="008446D1"/>
    <w:rsid w:val="00844928"/>
    <w:rsid w:val="00844B73"/>
    <w:rsid w:val="00845D57"/>
    <w:rsid w:val="00846E0C"/>
    <w:rsid w:val="0084769F"/>
    <w:rsid w:val="00847A1B"/>
    <w:rsid w:val="00847A96"/>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396"/>
    <w:rsid w:val="008663DA"/>
    <w:rsid w:val="00866D83"/>
    <w:rsid w:val="00867912"/>
    <w:rsid w:val="008700FE"/>
    <w:rsid w:val="00872680"/>
    <w:rsid w:val="00875D4E"/>
    <w:rsid w:val="00876B04"/>
    <w:rsid w:val="00877A45"/>
    <w:rsid w:val="0088147B"/>
    <w:rsid w:val="00882F38"/>
    <w:rsid w:val="00884392"/>
    <w:rsid w:val="008847CB"/>
    <w:rsid w:val="0088683E"/>
    <w:rsid w:val="00887AAC"/>
    <w:rsid w:val="00890E34"/>
    <w:rsid w:val="008912FF"/>
    <w:rsid w:val="00893FCA"/>
    <w:rsid w:val="008963B8"/>
    <w:rsid w:val="00897802"/>
    <w:rsid w:val="008A0FA5"/>
    <w:rsid w:val="008A2B57"/>
    <w:rsid w:val="008A4A7A"/>
    <w:rsid w:val="008A68FF"/>
    <w:rsid w:val="008A7226"/>
    <w:rsid w:val="008A7C32"/>
    <w:rsid w:val="008B07F3"/>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C77DB"/>
    <w:rsid w:val="008D2EB8"/>
    <w:rsid w:val="008D3305"/>
    <w:rsid w:val="008D4EE1"/>
    <w:rsid w:val="008D6527"/>
    <w:rsid w:val="008D698B"/>
    <w:rsid w:val="008E1D0B"/>
    <w:rsid w:val="008E258F"/>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3B2A"/>
    <w:rsid w:val="0093403F"/>
    <w:rsid w:val="009346D5"/>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63D"/>
    <w:rsid w:val="00954720"/>
    <w:rsid w:val="0095543E"/>
    <w:rsid w:val="00956A70"/>
    <w:rsid w:val="00957870"/>
    <w:rsid w:val="00963416"/>
    <w:rsid w:val="00963807"/>
    <w:rsid w:val="00965973"/>
    <w:rsid w:val="0096600B"/>
    <w:rsid w:val="00966782"/>
    <w:rsid w:val="00967096"/>
    <w:rsid w:val="0096734B"/>
    <w:rsid w:val="0096755F"/>
    <w:rsid w:val="00970BE6"/>
    <w:rsid w:val="00971C3A"/>
    <w:rsid w:val="00972E5F"/>
    <w:rsid w:val="00974030"/>
    <w:rsid w:val="00974F28"/>
    <w:rsid w:val="00975546"/>
    <w:rsid w:val="009756F6"/>
    <w:rsid w:val="009758F3"/>
    <w:rsid w:val="009760D6"/>
    <w:rsid w:val="00980038"/>
    <w:rsid w:val="00980916"/>
    <w:rsid w:val="009850F7"/>
    <w:rsid w:val="009854AB"/>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A7F55"/>
    <w:rsid w:val="009B0FAE"/>
    <w:rsid w:val="009B100B"/>
    <w:rsid w:val="009B19F4"/>
    <w:rsid w:val="009B2801"/>
    <w:rsid w:val="009B2BED"/>
    <w:rsid w:val="009B4A6A"/>
    <w:rsid w:val="009B6026"/>
    <w:rsid w:val="009B7364"/>
    <w:rsid w:val="009C00B3"/>
    <w:rsid w:val="009C122E"/>
    <w:rsid w:val="009C1824"/>
    <w:rsid w:val="009C553D"/>
    <w:rsid w:val="009C56F5"/>
    <w:rsid w:val="009C5EE4"/>
    <w:rsid w:val="009C635F"/>
    <w:rsid w:val="009D0422"/>
    <w:rsid w:val="009D0D8E"/>
    <w:rsid w:val="009D1ACF"/>
    <w:rsid w:val="009D2AA8"/>
    <w:rsid w:val="009D2AAF"/>
    <w:rsid w:val="009D2BC9"/>
    <w:rsid w:val="009D613E"/>
    <w:rsid w:val="009D68EA"/>
    <w:rsid w:val="009D6FEF"/>
    <w:rsid w:val="009E0268"/>
    <w:rsid w:val="009E17E9"/>
    <w:rsid w:val="009E4769"/>
    <w:rsid w:val="009E536D"/>
    <w:rsid w:val="009E579C"/>
    <w:rsid w:val="009E65C8"/>
    <w:rsid w:val="009F0110"/>
    <w:rsid w:val="009F0BC3"/>
    <w:rsid w:val="009F17BA"/>
    <w:rsid w:val="009F1AEE"/>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281B"/>
    <w:rsid w:val="00A13B23"/>
    <w:rsid w:val="00A14E56"/>
    <w:rsid w:val="00A15932"/>
    <w:rsid w:val="00A16E76"/>
    <w:rsid w:val="00A21281"/>
    <w:rsid w:val="00A231EF"/>
    <w:rsid w:val="00A23611"/>
    <w:rsid w:val="00A23B0E"/>
    <w:rsid w:val="00A23C49"/>
    <w:rsid w:val="00A24DF3"/>
    <w:rsid w:val="00A25327"/>
    <w:rsid w:val="00A25584"/>
    <w:rsid w:val="00A26337"/>
    <w:rsid w:val="00A2682D"/>
    <w:rsid w:val="00A27E23"/>
    <w:rsid w:val="00A30C3F"/>
    <w:rsid w:val="00A31490"/>
    <w:rsid w:val="00A314BE"/>
    <w:rsid w:val="00A315FB"/>
    <w:rsid w:val="00A31918"/>
    <w:rsid w:val="00A34800"/>
    <w:rsid w:val="00A34A59"/>
    <w:rsid w:val="00A35534"/>
    <w:rsid w:val="00A35768"/>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54B2"/>
    <w:rsid w:val="00A55ED7"/>
    <w:rsid w:val="00A55FA2"/>
    <w:rsid w:val="00A5DDBA"/>
    <w:rsid w:val="00A61BBC"/>
    <w:rsid w:val="00A61D68"/>
    <w:rsid w:val="00A61E55"/>
    <w:rsid w:val="00A62F5F"/>
    <w:rsid w:val="00A63601"/>
    <w:rsid w:val="00A643AF"/>
    <w:rsid w:val="00A65604"/>
    <w:rsid w:val="00A66348"/>
    <w:rsid w:val="00A67268"/>
    <w:rsid w:val="00A67644"/>
    <w:rsid w:val="00A676BC"/>
    <w:rsid w:val="00A67871"/>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6F97"/>
    <w:rsid w:val="00A77179"/>
    <w:rsid w:val="00A8100F"/>
    <w:rsid w:val="00A8129C"/>
    <w:rsid w:val="00A82ED3"/>
    <w:rsid w:val="00A843AD"/>
    <w:rsid w:val="00A845F5"/>
    <w:rsid w:val="00A84782"/>
    <w:rsid w:val="00A8504E"/>
    <w:rsid w:val="00A85066"/>
    <w:rsid w:val="00A915CE"/>
    <w:rsid w:val="00A92EB1"/>
    <w:rsid w:val="00A93B4F"/>
    <w:rsid w:val="00A94126"/>
    <w:rsid w:val="00A94AAE"/>
    <w:rsid w:val="00A94CE7"/>
    <w:rsid w:val="00A9535D"/>
    <w:rsid w:val="00AA0A90"/>
    <w:rsid w:val="00AA1C1A"/>
    <w:rsid w:val="00AA25B6"/>
    <w:rsid w:val="00AA30EF"/>
    <w:rsid w:val="00AA57E7"/>
    <w:rsid w:val="00AA6E51"/>
    <w:rsid w:val="00AA7351"/>
    <w:rsid w:val="00AB00C2"/>
    <w:rsid w:val="00AB190E"/>
    <w:rsid w:val="00AB2643"/>
    <w:rsid w:val="00AB2B91"/>
    <w:rsid w:val="00AB3059"/>
    <w:rsid w:val="00AB331B"/>
    <w:rsid w:val="00AB338A"/>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CF6"/>
    <w:rsid w:val="00AD2E57"/>
    <w:rsid w:val="00AD3CE7"/>
    <w:rsid w:val="00AD5990"/>
    <w:rsid w:val="00AD5D23"/>
    <w:rsid w:val="00AD7560"/>
    <w:rsid w:val="00AE08D1"/>
    <w:rsid w:val="00AE0F4B"/>
    <w:rsid w:val="00AE2799"/>
    <w:rsid w:val="00AE3BD7"/>
    <w:rsid w:val="00AE3D47"/>
    <w:rsid w:val="00AE45C6"/>
    <w:rsid w:val="00AE4964"/>
    <w:rsid w:val="00AE4CFE"/>
    <w:rsid w:val="00AE6C6B"/>
    <w:rsid w:val="00AE704B"/>
    <w:rsid w:val="00AE7CE7"/>
    <w:rsid w:val="00AE7D08"/>
    <w:rsid w:val="00AF04EE"/>
    <w:rsid w:val="00AF1371"/>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5D2"/>
    <w:rsid w:val="00B478FE"/>
    <w:rsid w:val="00B47F00"/>
    <w:rsid w:val="00B509BE"/>
    <w:rsid w:val="00B513E8"/>
    <w:rsid w:val="00B5195E"/>
    <w:rsid w:val="00B51BAE"/>
    <w:rsid w:val="00B5211A"/>
    <w:rsid w:val="00B52709"/>
    <w:rsid w:val="00B533C4"/>
    <w:rsid w:val="00B552A6"/>
    <w:rsid w:val="00B5576A"/>
    <w:rsid w:val="00B620F5"/>
    <w:rsid w:val="00B62341"/>
    <w:rsid w:val="00B62F4B"/>
    <w:rsid w:val="00B6395C"/>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8F7"/>
    <w:rsid w:val="00B81D1E"/>
    <w:rsid w:val="00B82C68"/>
    <w:rsid w:val="00B84772"/>
    <w:rsid w:val="00B84DF8"/>
    <w:rsid w:val="00B87F44"/>
    <w:rsid w:val="00B902FF"/>
    <w:rsid w:val="00B90B52"/>
    <w:rsid w:val="00B931CB"/>
    <w:rsid w:val="00B9636E"/>
    <w:rsid w:val="00B964F2"/>
    <w:rsid w:val="00B97826"/>
    <w:rsid w:val="00BA1780"/>
    <w:rsid w:val="00BA2498"/>
    <w:rsid w:val="00BA2ED5"/>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51DC"/>
    <w:rsid w:val="00BB56D4"/>
    <w:rsid w:val="00BB74FF"/>
    <w:rsid w:val="00BC1C36"/>
    <w:rsid w:val="00BC1E92"/>
    <w:rsid w:val="00BC49C9"/>
    <w:rsid w:val="00BC703A"/>
    <w:rsid w:val="00BD0A59"/>
    <w:rsid w:val="00BD1C0C"/>
    <w:rsid w:val="00BD20C4"/>
    <w:rsid w:val="00BD3A6A"/>
    <w:rsid w:val="00BD4103"/>
    <w:rsid w:val="00BD491A"/>
    <w:rsid w:val="00BD7A76"/>
    <w:rsid w:val="00BD7D7B"/>
    <w:rsid w:val="00BE02B4"/>
    <w:rsid w:val="00BE0BEF"/>
    <w:rsid w:val="00BE0E22"/>
    <w:rsid w:val="00BE1EF9"/>
    <w:rsid w:val="00BE210F"/>
    <w:rsid w:val="00BE490F"/>
    <w:rsid w:val="00BE7B33"/>
    <w:rsid w:val="00BF0265"/>
    <w:rsid w:val="00BF0868"/>
    <w:rsid w:val="00BF0BA5"/>
    <w:rsid w:val="00BF2953"/>
    <w:rsid w:val="00BF2D53"/>
    <w:rsid w:val="00BF3CE6"/>
    <w:rsid w:val="00BF4B0C"/>
    <w:rsid w:val="00BF6FBF"/>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6F1"/>
    <w:rsid w:val="00C1385E"/>
    <w:rsid w:val="00C14398"/>
    <w:rsid w:val="00C15637"/>
    <w:rsid w:val="00C15670"/>
    <w:rsid w:val="00C15706"/>
    <w:rsid w:val="00C15B1F"/>
    <w:rsid w:val="00C160BB"/>
    <w:rsid w:val="00C211C6"/>
    <w:rsid w:val="00C21AB2"/>
    <w:rsid w:val="00C224B8"/>
    <w:rsid w:val="00C251D7"/>
    <w:rsid w:val="00C25D39"/>
    <w:rsid w:val="00C305DA"/>
    <w:rsid w:val="00C306A8"/>
    <w:rsid w:val="00C308FC"/>
    <w:rsid w:val="00C312D0"/>
    <w:rsid w:val="00C31D08"/>
    <w:rsid w:val="00C3262E"/>
    <w:rsid w:val="00C327A5"/>
    <w:rsid w:val="00C33EF9"/>
    <w:rsid w:val="00C34319"/>
    <w:rsid w:val="00C34C23"/>
    <w:rsid w:val="00C34C76"/>
    <w:rsid w:val="00C34CBF"/>
    <w:rsid w:val="00C35357"/>
    <w:rsid w:val="00C35362"/>
    <w:rsid w:val="00C36670"/>
    <w:rsid w:val="00C36EEB"/>
    <w:rsid w:val="00C3721B"/>
    <w:rsid w:val="00C406A9"/>
    <w:rsid w:val="00C40A2C"/>
    <w:rsid w:val="00C40CBF"/>
    <w:rsid w:val="00C43FC8"/>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678D7"/>
    <w:rsid w:val="00C70F24"/>
    <w:rsid w:val="00C7282A"/>
    <w:rsid w:val="00C7546E"/>
    <w:rsid w:val="00C75A3C"/>
    <w:rsid w:val="00C76956"/>
    <w:rsid w:val="00C775BE"/>
    <w:rsid w:val="00C811FE"/>
    <w:rsid w:val="00C8203C"/>
    <w:rsid w:val="00C82D82"/>
    <w:rsid w:val="00C8302F"/>
    <w:rsid w:val="00C83327"/>
    <w:rsid w:val="00C84D00"/>
    <w:rsid w:val="00C8560A"/>
    <w:rsid w:val="00C862D7"/>
    <w:rsid w:val="00C90860"/>
    <w:rsid w:val="00C91BBB"/>
    <w:rsid w:val="00C92569"/>
    <w:rsid w:val="00C92E2D"/>
    <w:rsid w:val="00C94C21"/>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5E3C"/>
    <w:rsid w:val="00CB7701"/>
    <w:rsid w:val="00CC2FB7"/>
    <w:rsid w:val="00CC39CD"/>
    <w:rsid w:val="00CC3BCB"/>
    <w:rsid w:val="00CC5919"/>
    <w:rsid w:val="00CC6EF0"/>
    <w:rsid w:val="00CC7260"/>
    <w:rsid w:val="00CC7964"/>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C6"/>
    <w:rsid w:val="00CF03D1"/>
    <w:rsid w:val="00CF0562"/>
    <w:rsid w:val="00CF12D8"/>
    <w:rsid w:val="00CF2422"/>
    <w:rsid w:val="00CF2E2F"/>
    <w:rsid w:val="00CF3971"/>
    <w:rsid w:val="00CF4D81"/>
    <w:rsid w:val="00CF5E40"/>
    <w:rsid w:val="00CF667A"/>
    <w:rsid w:val="00CF6FF3"/>
    <w:rsid w:val="00D0039D"/>
    <w:rsid w:val="00D0579B"/>
    <w:rsid w:val="00D067E0"/>
    <w:rsid w:val="00D0757E"/>
    <w:rsid w:val="00D07AEB"/>
    <w:rsid w:val="00D07DFA"/>
    <w:rsid w:val="00D11813"/>
    <w:rsid w:val="00D1298B"/>
    <w:rsid w:val="00D129C7"/>
    <w:rsid w:val="00D12F43"/>
    <w:rsid w:val="00D1751E"/>
    <w:rsid w:val="00D2051D"/>
    <w:rsid w:val="00D21586"/>
    <w:rsid w:val="00D21EEA"/>
    <w:rsid w:val="00D22184"/>
    <w:rsid w:val="00D2288E"/>
    <w:rsid w:val="00D2373A"/>
    <w:rsid w:val="00D261A2"/>
    <w:rsid w:val="00D277E8"/>
    <w:rsid w:val="00D32E88"/>
    <w:rsid w:val="00D33D3F"/>
    <w:rsid w:val="00D33D52"/>
    <w:rsid w:val="00D35921"/>
    <w:rsid w:val="00D35BCB"/>
    <w:rsid w:val="00D37757"/>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0213"/>
    <w:rsid w:val="00D6104D"/>
    <w:rsid w:val="00D6114C"/>
    <w:rsid w:val="00D648BB"/>
    <w:rsid w:val="00D66C88"/>
    <w:rsid w:val="00D70B60"/>
    <w:rsid w:val="00D71C8C"/>
    <w:rsid w:val="00D7479A"/>
    <w:rsid w:val="00D7492E"/>
    <w:rsid w:val="00D76833"/>
    <w:rsid w:val="00D76C01"/>
    <w:rsid w:val="00D76EA3"/>
    <w:rsid w:val="00D80C69"/>
    <w:rsid w:val="00D822DA"/>
    <w:rsid w:val="00D83AAE"/>
    <w:rsid w:val="00D83C17"/>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063B"/>
    <w:rsid w:val="00DC09A8"/>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0527"/>
    <w:rsid w:val="00DF180B"/>
    <w:rsid w:val="00DF4705"/>
    <w:rsid w:val="00DF47E2"/>
    <w:rsid w:val="00DF5AE8"/>
    <w:rsid w:val="00DF6B52"/>
    <w:rsid w:val="00DF6F79"/>
    <w:rsid w:val="00DF6FAD"/>
    <w:rsid w:val="00E00139"/>
    <w:rsid w:val="00E00BE8"/>
    <w:rsid w:val="00E01769"/>
    <w:rsid w:val="00E025B0"/>
    <w:rsid w:val="00E02766"/>
    <w:rsid w:val="00E05640"/>
    <w:rsid w:val="00E0600F"/>
    <w:rsid w:val="00E1083B"/>
    <w:rsid w:val="00E12786"/>
    <w:rsid w:val="00E13FF1"/>
    <w:rsid w:val="00E14018"/>
    <w:rsid w:val="00E1458E"/>
    <w:rsid w:val="00E14999"/>
    <w:rsid w:val="00E1571C"/>
    <w:rsid w:val="00E15889"/>
    <w:rsid w:val="00E16788"/>
    <w:rsid w:val="00E16E12"/>
    <w:rsid w:val="00E17198"/>
    <w:rsid w:val="00E21F2B"/>
    <w:rsid w:val="00E22A58"/>
    <w:rsid w:val="00E230D6"/>
    <w:rsid w:val="00E2322D"/>
    <w:rsid w:val="00E24161"/>
    <w:rsid w:val="00E26A5B"/>
    <w:rsid w:val="00E278CA"/>
    <w:rsid w:val="00E27DB1"/>
    <w:rsid w:val="00E30B3F"/>
    <w:rsid w:val="00E320CA"/>
    <w:rsid w:val="00E32841"/>
    <w:rsid w:val="00E32BC2"/>
    <w:rsid w:val="00E348AD"/>
    <w:rsid w:val="00E34A00"/>
    <w:rsid w:val="00E36DB7"/>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C94"/>
    <w:rsid w:val="00E87E64"/>
    <w:rsid w:val="00E90B87"/>
    <w:rsid w:val="00E91010"/>
    <w:rsid w:val="00E9207C"/>
    <w:rsid w:val="00E927DD"/>
    <w:rsid w:val="00E9348C"/>
    <w:rsid w:val="00E942CB"/>
    <w:rsid w:val="00E954B6"/>
    <w:rsid w:val="00E957A3"/>
    <w:rsid w:val="00E96EBF"/>
    <w:rsid w:val="00E975A9"/>
    <w:rsid w:val="00E97DCA"/>
    <w:rsid w:val="00EA1B5E"/>
    <w:rsid w:val="00EA1FA4"/>
    <w:rsid w:val="00EA2391"/>
    <w:rsid w:val="00EA39CD"/>
    <w:rsid w:val="00EA3CE0"/>
    <w:rsid w:val="00EA64B7"/>
    <w:rsid w:val="00EA65B4"/>
    <w:rsid w:val="00EA72D0"/>
    <w:rsid w:val="00EA76AD"/>
    <w:rsid w:val="00EA7A8D"/>
    <w:rsid w:val="00EA7C10"/>
    <w:rsid w:val="00EB007E"/>
    <w:rsid w:val="00EB0C2A"/>
    <w:rsid w:val="00EB0C80"/>
    <w:rsid w:val="00EB40BF"/>
    <w:rsid w:val="00EB44BF"/>
    <w:rsid w:val="00EB4CBB"/>
    <w:rsid w:val="00EB4D38"/>
    <w:rsid w:val="00EB7638"/>
    <w:rsid w:val="00EC0083"/>
    <w:rsid w:val="00EC07A8"/>
    <w:rsid w:val="00EC0BBF"/>
    <w:rsid w:val="00EC2157"/>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B33"/>
    <w:rsid w:val="00F20799"/>
    <w:rsid w:val="00F21D34"/>
    <w:rsid w:val="00F2520B"/>
    <w:rsid w:val="00F25E55"/>
    <w:rsid w:val="00F26165"/>
    <w:rsid w:val="00F26452"/>
    <w:rsid w:val="00F26514"/>
    <w:rsid w:val="00F26B05"/>
    <w:rsid w:val="00F26CEE"/>
    <w:rsid w:val="00F30DDD"/>
    <w:rsid w:val="00F31179"/>
    <w:rsid w:val="00F32195"/>
    <w:rsid w:val="00F32EE7"/>
    <w:rsid w:val="00F34554"/>
    <w:rsid w:val="00F35167"/>
    <w:rsid w:val="00F35A13"/>
    <w:rsid w:val="00F35D52"/>
    <w:rsid w:val="00F407F0"/>
    <w:rsid w:val="00F40905"/>
    <w:rsid w:val="00F417F1"/>
    <w:rsid w:val="00F41EB7"/>
    <w:rsid w:val="00F42D77"/>
    <w:rsid w:val="00F4307E"/>
    <w:rsid w:val="00F430DD"/>
    <w:rsid w:val="00F432AF"/>
    <w:rsid w:val="00F4333D"/>
    <w:rsid w:val="00F453F6"/>
    <w:rsid w:val="00F45C90"/>
    <w:rsid w:val="00F46B1C"/>
    <w:rsid w:val="00F46B42"/>
    <w:rsid w:val="00F46F46"/>
    <w:rsid w:val="00F47839"/>
    <w:rsid w:val="00F518C2"/>
    <w:rsid w:val="00F51A57"/>
    <w:rsid w:val="00F52F10"/>
    <w:rsid w:val="00F52F85"/>
    <w:rsid w:val="00F53813"/>
    <w:rsid w:val="00F54AD5"/>
    <w:rsid w:val="00F54BCF"/>
    <w:rsid w:val="00F55155"/>
    <w:rsid w:val="00F60957"/>
    <w:rsid w:val="00F6151C"/>
    <w:rsid w:val="00F6187C"/>
    <w:rsid w:val="00F61CEE"/>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75A23"/>
    <w:rsid w:val="00F839CE"/>
    <w:rsid w:val="00F84342"/>
    <w:rsid w:val="00F85CA4"/>
    <w:rsid w:val="00F86A7A"/>
    <w:rsid w:val="00F86DCE"/>
    <w:rsid w:val="00F906D9"/>
    <w:rsid w:val="00F910F3"/>
    <w:rsid w:val="00F91B1D"/>
    <w:rsid w:val="00F92C3C"/>
    <w:rsid w:val="00F92D90"/>
    <w:rsid w:val="00F935F1"/>
    <w:rsid w:val="00F94295"/>
    <w:rsid w:val="00F94A1B"/>
    <w:rsid w:val="00F95498"/>
    <w:rsid w:val="00F963EE"/>
    <w:rsid w:val="00F96CF6"/>
    <w:rsid w:val="00FA0874"/>
    <w:rsid w:val="00FA14A6"/>
    <w:rsid w:val="00FA1597"/>
    <w:rsid w:val="00FA2A78"/>
    <w:rsid w:val="00FA399C"/>
    <w:rsid w:val="00FA3A33"/>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E8F"/>
    <w:rsid w:val="00FC457A"/>
    <w:rsid w:val="00FC48F9"/>
    <w:rsid w:val="00FC508F"/>
    <w:rsid w:val="00FC623A"/>
    <w:rsid w:val="00FC632B"/>
    <w:rsid w:val="00FC71B5"/>
    <w:rsid w:val="00FC749D"/>
    <w:rsid w:val="00FD0DFF"/>
    <w:rsid w:val="00FD3143"/>
    <w:rsid w:val="00FD36D7"/>
    <w:rsid w:val="00FD5558"/>
    <w:rsid w:val="00FD58EF"/>
    <w:rsid w:val="00FD6B03"/>
    <w:rsid w:val="00FD71DC"/>
    <w:rsid w:val="00FD769B"/>
    <w:rsid w:val="00FE2934"/>
    <w:rsid w:val="00FE4384"/>
    <w:rsid w:val="00FE5669"/>
    <w:rsid w:val="00FF0067"/>
    <w:rsid w:val="00FF4146"/>
    <w:rsid w:val="00FF680A"/>
    <w:rsid w:val="00FF6E5D"/>
    <w:rsid w:val="00FF7755"/>
    <w:rsid w:val="00FF78A3"/>
    <w:rsid w:val="010B87F8"/>
    <w:rsid w:val="016F7514"/>
    <w:rsid w:val="02578539"/>
    <w:rsid w:val="0260FC9B"/>
    <w:rsid w:val="02B5B740"/>
    <w:rsid w:val="02F6B647"/>
    <w:rsid w:val="03B1CB96"/>
    <w:rsid w:val="03CD3F65"/>
    <w:rsid w:val="0472363A"/>
    <w:rsid w:val="049F3714"/>
    <w:rsid w:val="05048070"/>
    <w:rsid w:val="05219E75"/>
    <w:rsid w:val="056BEE6A"/>
    <w:rsid w:val="05C4B226"/>
    <w:rsid w:val="06CEB3B9"/>
    <w:rsid w:val="06D5DB3D"/>
    <w:rsid w:val="0734DDAF"/>
    <w:rsid w:val="079DEBBA"/>
    <w:rsid w:val="088E1C5C"/>
    <w:rsid w:val="08C8BEB5"/>
    <w:rsid w:val="09126A50"/>
    <w:rsid w:val="0A1CBF24"/>
    <w:rsid w:val="0A71833A"/>
    <w:rsid w:val="0B3571E9"/>
    <w:rsid w:val="0B5C126B"/>
    <w:rsid w:val="0C0A8AEC"/>
    <w:rsid w:val="0D1FA6E3"/>
    <w:rsid w:val="0D25B306"/>
    <w:rsid w:val="0D91DFEA"/>
    <w:rsid w:val="0DCD0090"/>
    <w:rsid w:val="0E0BBDA8"/>
    <w:rsid w:val="0E0EDE93"/>
    <w:rsid w:val="0E2C6729"/>
    <w:rsid w:val="0F2E79DF"/>
    <w:rsid w:val="0FA6EBD2"/>
    <w:rsid w:val="1003B4FF"/>
    <w:rsid w:val="1035C407"/>
    <w:rsid w:val="10949F8C"/>
    <w:rsid w:val="10BDD542"/>
    <w:rsid w:val="10E437EE"/>
    <w:rsid w:val="10F4FDAE"/>
    <w:rsid w:val="112CCA13"/>
    <w:rsid w:val="1168AB39"/>
    <w:rsid w:val="12245342"/>
    <w:rsid w:val="13117F97"/>
    <w:rsid w:val="133B55C1"/>
    <w:rsid w:val="134CD38B"/>
    <w:rsid w:val="1394F48A"/>
    <w:rsid w:val="14F10B44"/>
    <w:rsid w:val="150E7C14"/>
    <w:rsid w:val="157A703B"/>
    <w:rsid w:val="16E84551"/>
    <w:rsid w:val="1823D418"/>
    <w:rsid w:val="18679C2D"/>
    <w:rsid w:val="1998FCF0"/>
    <w:rsid w:val="1A27AE40"/>
    <w:rsid w:val="1A3D5E3D"/>
    <w:rsid w:val="1A4A88C4"/>
    <w:rsid w:val="1A687AA4"/>
    <w:rsid w:val="1AC2A952"/>
    <w:rsid w:val="1B38AA03"/>
    <w:rsid w:val="1B97C901"/>
    <w:rsid w:val="1C4FDC51"/>
    <w:rsid w:val="1C9ED45E"/>
    <w:rsid w:val="1CBAD6E2"/>
    <w:rsid w:val="1CEB8D3B"/>
    <w:rsid w:val="1D4EF531"/>
    <w:rsid w:val="1E1C5B45"/>
    <w:rsid w:val="1E75D6FD"/>
    <w:rsid w:val="1ECC112D"/>
    <w:rsid w:val="1F4F882C"/>
    <w:rsid w:val="1F513334"/>
    <w:rsid w:val="2065F68E"/>
    <w:rsid w:val="2098CDAC"/>
    <w:rsid w:val="2155A788"/>
    <w:rsid w:val="21C098CB"/>
    <w:rsid w:val="21C2CAA7"/>
    <w:rsid w:val="2292014F"/>
    <w:rsid w:val="229AD0CD"/>
    <w:rsid w:val="22B5FDE0"/>
    <w:rsid w:val="235A2A3E"/>
    <w:rsid w:val="23771D24"/>
    <w:rsid w:val="23A443AE"/>
    <w:rsid w:val="23E1B2E1"/>
    <w:rsid w:val="24394D0D"/>
    <w:rsid w:val="2487F864"/>
    <w:rsid w:val="25B96464"/>
    <w:rsid w:val="25BCE063"/>
    <w:rsid w:val="26074405"/>
    <w:rsid w:val="26386367"/>
    <w:rsid w:val="263DDB50"/>
    <w:rsid w:val="26634008"/>
    <w:rsid w:val="270C06EA"/>
    <w:rsid w:val="27474B30"/>
    <w:rsid w:val="2767C08C"/>
    <w:rsid w:val="27FB2C4C"/>
    <w:rsid w:val="280905EE"/>
    <w:rsid w:val="2925FA6E"/>
    <w:rsid w:val="2AAD7A74"/>
    <w:rsid w:val="2AB047F7"/>
    <w:rsid w:val="2B6EBDD9"/>
    <w:rsid w:val="2B9F0D3B"/>
    <w:rsid w:val="2CFE546D"/>
    <w:rsid w:val="2D3F28E9"/>
    <w:rsid w:val="2DAD73F9"/>
    <w:rsid w:val="2E1A9567"/>
    <w:rsid w:val="2E4AF587"/>
    <w:rsid w:val="2EA7D3BA"/>
    <w:rsid w:val="2ED055F3"/>
    <w:rsid w:val="2ED56B0C"/>
    <w:rsid w:val="2EEBCD41"/>
    <w:rsid w:val="2EEBE033"/>
    <w:rsid w:val="30865943"/>
    <w:rsid w:val="30B69111"/>
    <w:rsid w:val="30DE7E22"/>
    <w:rsid w:val="30F67208"/>
    <w:rsid w:val="31BB5E85"/>
    <w:rsid w:val="31EDD5C8"/>
    <w:rsid w:val="32129A0C"/>
    <w:rsid w:val="32689CF7"/>
    <w:rsid w:val="327F33D7"/>
    <w:rsid w:val="32E6DDF6"/>
    <w:rsid w:val="33196CF9"/>
    <w:rsid w:val="333667B4"/>
    <w:rsid w:val="333EF7B0"/>
    <w:rsid w:val="33C92410"/>
    <w:rsid w:val="34718EB0"/>
    <w:rsid w:val="34BDD5AA"/>
    <w:rsid w:val="34D0C1D7"/>
    <w:rsid w:val="35794FD5"/>
    <w:rsid w:val="35C90C14"/>
    <w:rsid w:val="3602B28C"/>
    <w:rsid w:val="3684AAEB"/>
    <w:rsid w:val="36E50F10"/>
    <w:rsid w:val="37651821"/>
    <w:rsid w:val="3842EF21"/>
    <w:rsid w:val="384F27CC"/>
    <w:rsid w:val="387417D1"/>
    <w:rsid w:val="38E0C910"/>
    <w:rsid w:val="3910C5FC"/>
    <w:rsid w:val="3956B4AA"/>
    <w:rsid w:val="3976D858"/>
    <w:rsid w:val="3990E0D7"/>
    <w:rsid w:val="39EE9311"/>
    <w:rsid w:val="3A0E64B0"/>
    <w:rsid w:val="3A3EB2D7"/>
    <w:rsid w:val="3AA59D46"/>
    <w:rsid w:val="3B6B7E7F"/>
    <w:rsid w:val="3B901FAE"/>
    <w:rsid w:val="3BD8631E"/>
    <w:rsid w:val="3BE20A50"/>
    <w:rsid w:val="3C5E37AB"/>
    <w:rsid w:val="3C7E7F58"/>
    <w:rsid w:val="3CA8DAA0"/>
    <w:rsid w:val="3D4A25CA"/>
    <w:rsid w:val="3DC04E01"/>
    <w:rsid w:val="3E63316B"/>
    <w:rsid w:val="3EBF1F8E"/>
    <w:rsid w:val="3EE6B051"/>
    <w:rsid w:val="4014F08B"/>
    <w:rsid w:val="40176FF4"/>
    <w:rsid w:val="405DCF55"/>
    <w:rsid w:val="4189BB86"/>
    <w:rsid w:val="41A7ABF6"/>
    <w:rsid w:val="41B91CC1"/>
    <w:rsid w:val="41E3C37B"/>
    <w:rsid w:val="41EDCB1C"/>
    <w:rsid w:val="4251996E"/>
    <w:rsid w:val="4281A9CF"/>
    <w:rsid w:val="42901F1A"/>
    <w:rsid w:val="42C478DA"/>
    <w:rsid w:val="42F6879A"/>
    <w:rsid w:val="43498379"/>
    <w:rsid w:val="4366A319"/>
    <w:rsid w:val="43672B5F"/>
    <w:rsid w:val="44237515"/>
    <w:rsid w:val="442B794C"/>
    <w:rsid w:val="44CB8D1B"/>
    <w:rsid w:val="450C7C3B"/>
    <w:rsid w:val="4578A40A"/>
    <w:rsid w:val="45EA0DF6"/>
    <w:rsid w:val="45FF1263"/>
    <w:rsid w:val="46176DCC"/>
    <w:rsid w:val="4679BD2E"/>
    <w:rsid w:val="46BBE404"/>
    <w:rsid w:val="472112EC"/>
    <w:rsid w:val="47D6C98F"/>
    <w:rsid w:val="4826CF0E"/>
    <w:rsid w:val="485F5585"/>
    <w:rsid w:val="49045A1C"/>
    <w:rsid w:val="4985EB19"/>
    <w:rsid w:val="49F14C45"/>
    <w:rsid w:val="4A07C779"/>
    <w:rsid w:val="4A3BBD41"/>
    <w:rsid w:val="4B5F36B4"/>
    <w:rsid w:val="4BA520E8"/>
    <w:rsid w:val="4C278656"/>
    <w:rsid w:val="4C337B5D"/>
    <w:rsid w:val="4C8881FE"/>
    <w:rsid w:val="4CAA3AB2"/>
    <w:rsid w:val="4CB9AAAD"/>
    <w:rsid w:val="4CC5FEE1"/>
    <w:rsid w:val="4D163B10"/>
    <w:rsid w:val="4D5A8601"/>
    <w:rsid w:val="4DDFF857"/>
    <w:rsid w:val="4DECD7A1"/>
    <w:rsid w:val="4EF13E1F"/>
    <w:rsid w:val="4F328297"/>
    <w:rsid w:val="4F3F8168"/>
    <w:rsid w:val="4F7CFECF"/>
    <w:rsid w:val="4FCED9AC"/>
    <w:rsid w:val="4FE9E61B"/>
    <w:rsid w:val="505CF42D"/>
    <w:rsid w:val="5082DC2C"/>
    <w:rsid w:val="50C6AB53"/>
    <w:rsid w:val="51D8A39B"/>
    <w:rsid w:val="521B8323"/>
    <w:rsid w:val="521E1ACE"/>
    <w:rsid w:val="52CE621F"/>
    <w:rsid w:val="536ED828"/>
    <w:rsid w:val="53D6A62E"/>
    <w:rsid w:val="542AAC5F"/>
    <w:rsid w:val="542F33DB"/>
    <w:rsid w:val="544B2C82"/>
    <w:rsid w:val="545F6040"/>
    <w:rsid w:val="54817AB3"/>
    <w:rsid w:val="554DB608"/>
    <w:rsid w:val="567A0B13"/>
    <w:rsid w:val="56CE60CF"/>
    <w:rsid w:val="578B316B"/>
    <w:rsid w:val="57D3BD4A"/>
    <w:rsid w:val="5813C8D5"/>
    <w:rsid w:val="587B49DA"/>
    <w:rsid w:val="596090AF"/>
    <w:rsid w:val="5A288467"/>
    <w:rsid w:val="5BBE7F58"/>
    <w:rsid w:val="5BD0E035"/>
    <w:rsid w:val="5BF61A02"/>
    <w:rsid w:val="5C68568D"/>
    <w:rsid w:val="5C9D38A0"/>
    <w:rsid w:val="5D94E11F"/>
    <w:rsid w:val="5D9C5246"/>
    <w:rsid w:val="5DA59CF2"/>
    <w:rsid w:val="5DD3CF6D"/>
    <w:rsid w:val="5DE3A0A5"/>
    <w:rsid w:val="5DF335AB"/>
    <w:rsid w:val="5E576491"/>
    <w:rsid w:val="5E641C63"/>
    <w:rsid w:val="5EF75C21"/>
    <w:rsid w:val="5F21BCE4"/>
    <w:rsid w:val="60794EB8"/>
    <w:rsid w:val="60B562EB"/>
    <w:rsid w:val="610D4416"/>
    <w:rsid w:val="611F88BA"/>
    <w:rsid w:val="613784E6"/>
    <w:rsid w:val="61982D1D"/>
    <w:rsid w:val="61FF0F6F"/>
    <w:rsid w:val="624928DF"/>
    <w:rsid w:val="6275820D"/>
    <w:rsid w:val="633E67C7"/>
    <w:rsid w:val="63A55BF3"/>
    <w:rsid w:val="63D0A7CF"/>
    <w:rsid w:val="63FA064F"/>
    <w:rsid w:val="640BD170"/>
    <w:rsid w:val="64467673"/>
    <w:rsid w:val="64742E69"/>
    <w:rsid w:val="64C6FFEA"/>
    <w:rsid w:val="64D35DE7"/>
    <w:rsid w:val="65B39698"/>
    <w:rsid w:val="6690720E"/>
    <w:rsid w:val="6694EA2B"/>
    <w:rsid w:val="67763C1E"/>
    <w:rsid w:val="67C8F6EE"/>
    <w:rsid w:val="67D071E6"/>
    <w:rsid w:val="67E6E815"/>
    <w:rsid w:val="6892663B"/>
    <w:rsid w:val="6913C7F9"/>
    <w:rsid w:val="6962C5DF"/>
    <w:rsid w:val="69CB03B6"/>
    <w:rsid w:val="6A21D7E8"/>
    <w:rsid w:val="6A6947D3"/>
    <w:rsid w:val="6BAA4740"/>
    <w:rsid w:val="6BE8EF23"/>
    <w:rsid w:val="6C54D56E"/>
    <w:rsid w:val="6CB51328"/>
    <w:rsid w:val="6D3A3231"/>
    <w:rsid w:val="6DE4E365"/>
    <w:rsid w:val="6E418A2B"/>
    <w:rsid w:val="6E4F3A73"/>
    <w:rsid w:val="6E63A2BC"/>
    <w:rsid w:val="6E7E5011"/>
    <w:rsid w:val="6EBB8140"/>
    <w:rsid w:val="6FA4E042"/>
    <w:rsid w:val="6FECB3EA"/>
    <w:rsid w:val="700540B5"/>
    <w:rsid w:val="7140B0A3"/>
    <w:rsid w:val="717EF7BD"/>
    <w:rsid w:val="72B13DCE"/>
    <w:rsid w:val="72D91264"/>
    <w:rsid w:val="72F6F769"/>
    <w:rsid w:val="731063B0"/>
    <w:rsid w:val="732AF388"/>
    <w:rsid w:val="73AB4105"/>
    <w:rsid w:val="73C8B80A"/>
    <w:rsid w:val="76704992"/>
    <w:rsid w:val="76761E16"/>
    <w:rsid w:val="768DF7DA"/>
    <w:rsid w:val="76F22460"/>
    <w:rsid w:val="784575ED"/>
    <w:rsid w:val="78FB88C4"/>
    <w:rsid w:val="7981F188"/>
    <w:rsid w:val="798F8A87"/>
    <w:rsid w:val="7ADDA63D"/>
    <w:rsid w:val="7AE23E91"/>
    <w:rsid w:val="7B0349D7"/>
    <w:rsid w:val="7B247CDE"/>
    <w:rsid w:val="7B6BD154"/>
    <w:rsid w:val="7B978DDD"/>
    <w:rsid w:val="7BCA7DC3"/>
    <w:rsid w:val="7BEF0AFB"/>
    <w:rsid w:val="7C672454"/>
    <w:rsid w:val="7C7386DC"/>
    <w:rsid w:val="7CF388DC"/>
    <w:rsid w:val="7D60B22A"/>
    <w:rsid w:val="7D61FD5C"/>
    <w:rsid w:val="7D71DC97"/>
    <w:rsid w:val="7DB79CA9"/>
    <w:rsid w:val="7DFB5F86"/>
    <w:rsid w:val="7E02F4B5"/>
    <w:rsid w:val="7F2B62F8"/>
    <w:rsid w:val="7F6B7ECE"/>
    <w:rsid w:val="7F9537CC"/>
    <w:rsid w:val="7F9EC516"/>
    <w:rsid w:val="7FAB8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character" w:customStyle="1" w:styleId="baj">
    <w:name w:val="b_aj"/>
    <w:basedOn w:val="Fuentedeprrafopredeter"/>
    <w:rsid w:val="00F6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348">
      <w:bodyDiv w:val="1"/>
      <w:marLeft w:val="0"/>
      <w:marRight w:val="0"/>
      <w:marTop w:val="0"/>
      <w:marBottom w:val="0"/>
      <w:divBdr>
        <w:top w:val="none" w:sz="0" w:space="0" w:color="auto"/>
        <w:left w:val="none" w:sz="0" w:space="0" w:color="auto"/>
        <w:bottom w:val="none" w:sz="0" w:space="0" w:color="auto"/>
        <w:right w:val="none" w:sz="0" w:space="0" w:color="auto"/>
      </w:divBdr>
    </w:div>
    <w:div w:id="129369536">
      <w:bodyDiv w:val="1"/>
      <w:marLeft w:val="0"/>
      <w:marRight w:val="0"/>
      <w:marTop w:val="0"/>
      <w:marBottom w:val="0"/>
      <w:divBdr>
        <w:top w:val="none" w:sz="0" w:space="0" w:color="auto"/>
        <w:left w:val="none" w:sz="0" w:space="0" w:color="auto"/>
        <w:bottom w:val="none" w:sz="0" w:space="0" w:color="auto"/>
        <w:right w:val="none" w:sz="0" w:space="0" w:color="auto"/>
      </w:divBdr>
    </w:div>
    <w:div w:id="153840697">
      <w:bodyDiv w:val="1"/>
      <w:marLeft w:val="0"/>
      <w:marRight w:val="0"/>
      <w:marTop w:val="0"/>
      <w:marBottom w:val="0"/>
      <w:divBdr>
        <w:top w:val="none" w:sz="0" w:space="0" w:color="auto"/>
        <w:left w:val="none" w:sz="0" w:space="0" w:color="auto"/>
        <w:bottom w:val="none" w:sz="0" w:space="0" w:color="auto"/>
        <w:right w:val="none" w:sz="0" w:space="0" w:color="auto"/>
      </w:divBdr>
    </w:div>
    <w:div w:id="23096950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499">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579799336">
      <w:bodyDiv w:val="1"/>
      <w:marLeft w:val="0"/>
      <w:marRight w:val="0"/>
      <w:marTop w:val="0"/>
      <w:marBottom w:val="0"/>
      <w:divBdr>
        <w:top w:val="none" w:sz="0" w:space="0" w:color="auto"/>
        <w:left w:val="none" w:sz="0" w:space="0" w:color="auto"/>
        <w:bottom w:val="none" w:sz="0" w:space="0" w:color="auto"/>
        <w:right w:val="none" w:sz="0" w:space="0" w:color="auto"/>
      </w:divBdr>
    </w:div>
    <w:div w:id="613751344">
      <w:bodyDiv w:val="1"/>
      <w:marLeft w:val="0"/>
      <w:marRight w:val="0"/>
      <w:marTop w:val="0"/>
      <w:marBottom w:val="0"/>
      <w:divBdr>
        <w:top w:val="none" w:sz="0" w:space="0" w:color="auto"/>
        <w:left w:val="none" w:sz="0" w:space="0" w:color="auto"/>
        <w:bottom w:val="none" w:sz="0" w:space="0" w:color="auto"/>
        <w:right w:val="none" w:sz="0" w:space="0" w:color="auto"/>
      </w:divBdr>
    </w:div>
    <w:div w:id="667176983">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7943">
      <w:bodyDiv w:val="1"/>
      <w:marLeft w:val="0"/>
      <w:marRight w:val="0"/>
      <w:marTop w:val="0"/>
      <w:marBottom w:val="0"/>
      <w:divBdr>
        <w:top w:val="none" w:sz="0" w:space="0" w:color="auto"/>
        <w:left w:val="none" w:sz="0" w:space="0" w:color="auto"/>
        <w:bottom w:val="none" w:sz="0" w:space="0" w:color="auto"/>
        <w:right w:val="none" w:sz="0" w:space="0" w:color="auto"/>
      </w:divBdr>
    </w:div>
    <w:div w:id="888153055">
      <w:bodyDiv w:val="1"/>
      <w:marLeft w:val="0"/>
      <w:marRight w:val="0"/>
      <w:marTop w:val="0"/>
      <w:marBottom w:val="0"/>
      <w:divBdr>
        <w:top w:val="none" w:sz="0" w:space="0" w:color="auto"/>
        <w:left w:val="none" w:sz="0" w:space="0" w:color="auto"/>
        <w:bottom w:val="none" w:sz="0" w:space="0" w:color="auto"/>
        <w:right w:val="none" w:sz="0" w:space="0" w:color="auto"/>
      </w:divBdr>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16268825">
      <w:bodyDiv w:val="1"/>
      <w:marLeft w:val="0"/>
      <w:marRight w:val="0"/>
      <w:marTop w:val="0"/>
      <w:marBottom w:val="0"/>
      <w:divBdr>
        <w:top w:val="none" w:sz="0" w:space="0" w:color="auto"/>
        <w:left w:val="none" w:sz="0" w:space="0" w:color="auto"/>
        <w:bottom w:val="none" w:sz="0" w:space="0" w:color="auto"/>
        <w:right w:val="none" w:sz="0" w:space="0" w:color="auto"/>
      </w:divBdr>
    </w:div>
    <w:div w:id="1124811240">
      <w:bodyDiv w:val="1"/>
      <w:marLeft w:val="0"/>
      <w:marRight w:val="0"/>
      <w:marTop w:val="0"/>
      <w:marBottom w:val="0"/>
      <w:divBdr>
        <w:top w:val="none" w:sz="0" w:space="0" w:color="auto"/>
        <w:left w:val="none" w:sz="0" w:space="0" w:color="auto"/>
        <w:bottom w:val="none" w:sz="0" w:space="0" w:color="auto"/>
        <w:right w:val="none" w:sz="0" w:space="0" w:color="auto"/>
      </w:divBdr>
    </w:div>
    <w:div w:id="1138761020">
      <w:bodyDiv w:val="1"/>
      <w:marLeft w:val="0"/>
      <w:marRight w:val="0"/>
      <w:marTop w:val="0"/>
      <w:marBottom w:val="0"/>
      <w:divBdr>
        <w:top w:val="none" w:sz="0" w:space="0" w:color="auto"/>
        <w:left w:val="none" w:sz="0" w:space="0" w:color="auto"/>
        <w:bottom w:val="none" w:sz="0" w:space="0" w:color="auto"/>
        <w:right w:val="none" w:sz="0" w:space="0" w:color="auto"/>
      </w:divBdr>
    </w:div>
    <w:div w:id="1143959792">
      <w:bodyDiv w:val="1"/>
      <w:marLeft w:val="0"/>
      <w:marRight w:val="0"/>
      <w:marTop w:val="0"/>
      <w:marBottom w:val="0"/>
      <w:divBdr>
        <w:top w:val="none" w:sz="0" w:space="0" w:color="auto"/>
        <w:left w:val="none" w:sz="0" w:space="0" w:color="auto"/>
        <w:bottom w:val="none" w:sz="0" w:space="0" w:color="auto"/>
        <w:right w:val="none" w:sz="0" w:space="0" w:color="auto"/>
      </w:divBdr>
    </w:div>
    <w:div w:id="1158577170">
      <w:bodyDiv w:val="1"/>
      <w:marLeft w:val="0"/>
      <w:marRight w:val="0"/>
      <w:marTop w:val="0"/>
      <w:marBottom w:val="0"/>
      <w:divBdr>
        <w:top w:val="none" w:sz="0" w:space="0" w:color="auto"/>
        <w:left w:val="none" w:sz="0" w:space="0" w:color="auto"/>
        <w:bottom w:val="none" w:sz="0" w:space="0" w:color="auto"/>
        <w:right w:val="none" w:sz="0" w:space="0" w:color="auto"/>
      </w:divBdr>
    </w:div>
    <w:div w:id="1167020212">
      <w:bodyDiv w:val="1"/>
      <w:marLeft w:val="0"/>
      <w:marRight w:val="0"/>
      <w:marTop w:val="0"/>
      <w:marBottom w:val="0"/>
      <w:divBdr>
        <w:top w:val="none" w:sz="0" w:space="0" w:color="auto"/>
        <w:left w:val="none" w:sz="0" w:space="0" w:color="auto"/>
        <w:bottom w:val="none" w:sz="0" w:space="0" w:color="auto"/>
        <w:right w:val="none" w:sz="0" w:space="0" w:color="auto"/>
      </w:divBdr>
    </w:div>
    <w:div w:id="1254438641">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71413653">
      <w:bodyDiv w:val="1"/>
      <w:marLeft w:val="0"/>
      <w:marRight w:val="0"/>
      <w:marTop w:val="0"/>
      <w:marBottom w:val="0"/>
      <w:divBdr>
        <w:top w:val="none" w:sz="0" w:space="0" w:color="auto"/>
        <w:left w:val="none" w:sz="0" w:space="0" w:color="auto"/>
        <w:bottom w:val="none" w:sz="0" w:space="0" w:color="auto"/>
        <w:right w:val="none" w:sz="0" w:space="0" w:color="auto"/>
      </w:divBdr>
    </w:div>
    <w:div w:id="1422603280">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65929407">
      <w:bodyDiv w:val="1"/>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3324">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0272">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41634915">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2531fe8aadc840c4" Type="http://schemas.microsoft.com/office/2019/09/relationships/intelligence" Target="intelligence.xml"/><Relationship Id="rId10" Type="http://schemas.openxmlformats.org/officeDocument/2006/relationships/endnotes" Target="endnotes.xml"/><Relationship Id="R0a2e8aea13be4b1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B1C2-C738-470D-B943-BCC043AD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E2114368-6FF5-4F2A-AB3D-FA955A61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2407</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52</cp:revision>
  <cp:lastPrinted>2020-02-21T13:13:00Z</cp:lastPrinted>
  <dcterms:created xsi:type="dcterms:W3CDTF">2021-06-22T12:41:00Z</dcterms:created>
  <dcterms:modified xsi:type="dcterms:W3CDTF">2022-07-25T20:15:00Z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