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26E813" w14:textId="77777777" w:rsidR="005E4B37" w:rsidRPr="005E4B37" w:rsidRDefault="005E4B37" w:rsidP="005E4B3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5E4B3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3A1D9C5" w14:textId="77777777" w:rsidR="005E4B37" w:rsidRPr="005E4B37" w:rsidRDefault="005E4B37" w:rsidP="005E4B37">
      <w:pPr>
        <w:widowControl/>
        <w:autoSpaceDE/>
        <w:autoSpaceDN/>
        <w:adjustRightInd/>
        <w:jc w:val="both"/>
        <w:rPr>
          <w:rFonts w:ascii="Arial" w:hAnsi="Arial" w:cs="Arial"/>
          <w:sz w:val="20"/>
          <w:szCs w:val="20"/>
          <w:lang w:val="es-419"/>
        </w:rPr>
      </w:pPr>
    </w:p>
    <w:p w14:paraId="7AAED5C5" w14:textId="77777777" w:rsidR="0069424D" w:rsidRPr="0069424D" w:rsidRDefault="0069424D" w:rsidP="0069424D">
      <w:pPr>
        <w:widowControl/>
        <w:autoSpaceDE/>
        <w:autoSpaceDN/>
        <w:adjustRightInd/>
        <w:jc w:val="both"/>
        <w:rPr>
          <w:rFonts w:ascii="Arial" w:hAnsi="Arial" w:cs="Arial"/>
          <w:sz w:val="20"/>
          <w:szCs w:val="20"/>
          <w:lang w:val="es-419"/>
        </w:rPr>
      </w:pPr>
      <w:r w:rsidRPr="0069424D">
        <w:rPr>
          <w:rFonts w:ascii="Arial" w:hAnsi="Arial" w:cs="Arial"/>
          <w:sz w:val="20"/>
          <w:szCs w:val="20"/>
          <w:lang w:val="es-419"/>
        </w:rPr>
        <w:t>Asunto</w:t>
      </w:r>
      <w:r w:rsidRPr="0069424D">
        <w:rPr>
          <w:rFonts w:ascii="Arial" w:hAnsi="Arial" w:cs="Arial"/>
          <w:sz w:val="20"/>
          <w:szCs w:val="20"/>
          <w:lang w:val="es-419"/>
        </w:rPr>
        <w:tab/>
      </w:r>
      <w:r w:rsidRPr="0069424D">
        <w:rPr>
          <w:rFonts w:ascii="Arial" w:hAnsi="Arial" w:cs="Arial"/>
          <w:sz w:val="20"/>
          <w:szCs w:val="20"/>
          <w:lang w:val="es-419"/>
        </w:rPr>
        <w:tab/>
      </w:r>
      <w:r w:rsidRPr="0069424D">
        <w:rPr>
          <w:rFonts w:ascii="Arial" w:hAnsi="Arial" w:cs="Arial"/>
          <w:sz w:val="20"/>
          <w:szCs w:val="20"/>
          <w:lang w:val="es-419"/>
        </w:rPr>
        <w:tab/>
        <w:t>: Sentencia de tutela en segunda instancia</w:t>
      </w:r>
    </w:p>
    <w:p w14:paraId="204BE486" w14:textId="57B73B24" w:rsidR="0069424D" w:rsidRPr="0069424D" w:rsidRDefault="0069424D" w:rsidP="0069424D">
      <w:pPr>
        <w:widowControl/>
        <w:autoSpaceDE/>
        <w:autoSpaceDN/>
        <w:adjustRightInd/>
        <w:jc w:val="both"/>
        <w:rPr>
          <w:rFonts w:ascii="Arial" w:hAnsi="Arial" w:cs="Arial"/>
          <w:sz w:val="20"/>
          <w:szCs w:val="20"/>
          <w:lang w:val="es-419"/>
        </w:rPr>
      </w:pPr>
      <w:r w:rsidRPr="0069424D">
        <w:rPr>
          <w:rFonts w:ascii="Arial" w:hAnsi="Arial" w:cs="Arial"/>
          <w:sz w:val="20"/>
          <w:szCs w:val="20"/>
          <w:lang w:val="es-419"/>
        </w:rPr>
        <w:t>Accionantes</w:t>
      </w:r>
      <w:r w:rsidRPr="0069424D">
        <w:rPr>
          <w:rFonts w:ascii="Arial" w:hAnsi="Arial" w:cs="Arial"/>
          <w:sz w:val="20"/>
          <w:szCs w:val="20"/>
          <w:lang w:val="es-419"/>
        </w:rPr>
        <w:tab/>
      </w:r>
      <w:r w:rsidRPr="0069424D">
        <w:rPr>
          <w:rFonts w:ascii="Arial" w:hAnsi="Arial" w:cs="Arial"/>
          <w:sz w:val="20"/>
          <w:szCs w:val="20"/>
          <w:lang w:val="es-419"/>
        </w:rPr>
        <w:tab/>
        <w:t>: María Fabiola Estrada Valenzuela</w:t>
      </w:r>
    </w:p>
    <w:p w14:paraId="1A8AA932" w14:textId="2B64C8BE" w:rsidR="0069424D" w:rsidRPr="0069424D" w:rsidRDefault="0069424D" w:rsidP="0069424D">
      <w:pPr>
        <w:widowControl/>
        <w:autoSpaceDE/>
        <w:autoSpaceDN/>
        <w:adjustRightInd/>
        <w:jc w:val="both"/>
        <w:rPr>
          <w:rFonts w:ascii="Arial" w:hAnsi="Arial" w:cs="Arial"/>
          <w:sz w:val="20"/>
          <w:szCs w:val="20"/>
          <w:lang w:val="es-419"/>
        </w:rPr>
      </w:pPr>
      <w:r w:rsidRPr="0069424D">
        <w:rPr>
          <w:rFonts w:ascii="Arial" w:hAnsi="Arial" w:cs="Arial"/>
          <w:sz w:val="20"/>
          <w:szCs w:val="20"/>
          <w:lang w:val="es-419"/>
        </w:rPr>
        <w:t>Accionado</w:t>
      </w:r>
      <w:r w:rsidRPr="0069424D">
        <w:rPr>
          <w:rFonts w:ascii="Arial" w:hAnsi="Arial" w:cs="Arial"/>
          <w:sz w:val="20"/>
          <w:szCs w:val="20"/>
          <w:lang w:val="es-419"/>
        </w:rPr>
        <w:tab/>
      </w:r>
      <w:r w:rsidRPr="0069424D">
        <w:rPr>
          <w:rFonts w:ascii="Arial" w:hAnsi="Arial" w:cs="Arial"/>
          <w:sz w:val="20"/>
          <w:szCs w:val="20"/>
          <w:lang w:val="es-419"/>
        </w:rPr>
        <w:tab/>
        <w:t xml:space="preserve">: Colpensiones </w:t>
      </w:r>
    </w:p>
    <w:p w14:paraId="5489A5B3" w14:textId="1F304AC0" w:rsidR="0069424D" w:rsidRPr="0069424D" w:rsidRDefault="0069424D" w:rsidP="0069424D">
      <w:pPr>
        <w:widowControl/>
        <w:autoSpaceDE/>
        <w:autoSpaceDN/>
        <w:adjustRightInd/>
        <w:jc w:val="both"/>
        <w:rPr>
          <w:rFonts w:ascii="Arial" w:hAnsi="Arial" w:cs="Arial"/>
          <w:sz w:val="20"/>
          <w:szCs w:val="20"/>
          <w:lang w:val="es-419"/>
        </w:rPr>
      </w:pPr>
      <w:r w:rsidRPr="0069424D">
        <w:rPr>
          <w:rFonts w:ascii="Arial" w:hAnsi="Arial" w:cs="Arial"/>
          <w:sz w:val="20"/>
          <w:szCs w:val="20"/>
          <w:lang w:val="es-419"/>
        </w:rPr>
        <w:t>Litisconsortes</w:t>
      </w:r>
      <w:r w:rsidRPr="0069424D">
        <w:rPr>
          <w:rFonts w:ascii="Arial" w:hAnsi="Arial" w:cs="Arial"/>
          <w:sz w:val="20"/>
          <w:szCs w:val="20"/>
          <w:lang w:val="es-419"/>
        </w:rPr>
        <w:tab/>
      </w:r>
      <w:r w:rsidRPr="0069424D">
        <w:rPr>
          <w:rFonts w:ascii="Arial" w:hAnsi="Arial" w:cs="Arial"/>
          <w:sz w:val="20"/>
          <w:szCs w:val="20"/>
          <w:lang w:val="es-419"/>
        </w:rPr>
        <w:tab/>
        <w:t>: Subdirección de Determinación de Colpensiones y otra</w:t>
      </w:r>
    </w:p>
    <w:p w14:paraId="3FA6A941" w14:textId="1AB06C76" w:rsidR="0069424D" w:rsidRPr="0069424D" w:rsidRDefault="0069424D" w:rsidP="0069424D">
      <w:pPr>
        <w:widowControl/>
        <w:autoSpaceDE/>
        <w:autoSpaceDN/>
        <w:adjustRightInd/>
        <w:jc w:val="both"/>
        <w:rPr>
          <w:rFonts w:ascii="Arial" w:hAnsi="Arial" w:cs="Arial"/>
          <w:sz w:val="20"/>
          <w:szCs w:val="20"/>
          <w:lang w:val="es-419"/>
        </w:rPr>
      </w:pPr>
      <w:r w:rsidRPr="0069424D">
        <w:rPr>
          <w:rFonts w:ascii="Arial" w:hAnsi="Arial" w:cs="Arial"/>
          <w:sz w:val="20"/>
          <w:szCs w:val="20"/>
          <w:lang w:val="es-419"/>
        </w:rPr>
        <w:t>Despacho de origen</w:t>
      </w:r>
      <w:r w:rsidRPr="0069424D">
        <w:rPr>
          <w:rFonts w:ascii="Arial" w:hAnsi="Arial" w:cs="Arial"/>
          <w:sz w:val="20"/>
          <w:szCs w:val="20"/>
          <w:lang w:val="es-419"/>
        </w:rPr>
        <w:tab/>
        <w:t xml:space="preserve">: Juzgado 2º de Familia de Pereira </w:t>
      </w:r>
    </w:p>
    <w:p w14:paraId="77B80BA9" w14:textId="7D3DB3FE" w:rsidR="0069424D" w:rsidRPr="0069424D" w:rsidRDefault="0069424D" w:rsidP="0069424D">
      <w:pPr>
        <w:widowControl/>
        <w:autoSpaceDE/>
        <w:autoSpaceDN/>
        <w:adjustRightInd/>
        <w:jc w:val="both"/>
        <w:rPr>
          <w:rFonts w:ascii="Arial" w:hAnsi="Arial" w:cs="Arial"/>
          <w:sz w:val="20"/>
          <w:szCs w:val="20"/>
          <w:lang w:val="es-419"/>
        </w:rPr>
      </w:pPr>
      <w:r w:rsidRPr="0069424D">
        <w:rPr>
          <w:rFonts w:ascii="Arial" w:hAnsi="Arial" w:cs="Arial"/>
          <w:sz w:val="20"/>
          <w:szCs w:val="20"/>
          <w:lang w:val="es-419"/>
        </w:rPr>
        <w:t>Radicación</w:t>
      </w:r>
      <w:r w:rsidRPr="0069424D">
        <w:rPr>
          <w:rFonts w:ascii="Arial" w:hAnsi="Arial" w:cs="Arial"/>
          <w:sz w:val="20"/>
          <w:szCs w:val="20"/>
          <w:lang w:val="es-419"/>
        </w:rPr>
        <w:tab/>
      </w:r>
      <w:r w:rsidRPr="0069424D">
        <w:rPr>
          <w:rFonts w:ascii="Arial" w:hAnsi="Arial" w:cs="Arial"/>
          <w:sz w:val="20"/>
          <w:szCs w:val="20"/>
          <w:lang w:val="es-419"/>
        </w:rPr>
        <w:tab/>
        <w:t>: 66001—31-10-002-2022-00132-01</w:t>
      </w:r>
    </w:p>
    <w:p w14:paraId="3B0D5FD5" w14:textId="463E1BA4" w:rsidR="0069424D" w:rsidRPr="0069424D" w:rsidRDefault="0069424D" w:rsidP="0069424D">
      <w:pPr>
        <w:widowControl/>
        <w:autoSpaceDE/>
        <w:autoSpaceDN/>
        <w:adjustRightInd/>
        <w:jc w:val="both"/>
        <w:rPr>
          <w:rFonts w:ascii="Arial" w:hAnsi="Arial" w:cs="Arial"/>
          <w:sz w:val="20"/>
          <w:szCs w:val="20"/>
          <w:lang w:val="es-419"/>
        </w:rPr>
      </w:pPr>
      <w:r w:rsidRPr="0069424D">
        <w:rPr>
          <w:rFonts w:ascii="Arial" w:hAnsi="Arial" w:cs="Arial"/>
          <w:sz w:val="20"/>
          <w:szCs w:val="20"/>
          <w:lang w:val="es-419"/>
        </w:rPr>
        <w:t>Magistrado Ponente</w:t>
      </w:r>
      <w:r w:rsidRPr="0069424D">
        <w:rPr>
          <w:rFonts w:ascii="Arial" w:hAnsi="Arial" w:cs="Arial"/>
          <w:sz w:val="20"/>
          <w:szCs w:val="20"/>
          <w:lang w:val="es-419"/>
        </w:rPr>
        <w:tab/>
        <w:t>: DUBERNEY GRISALES HERRERA</w:t>
      </w:r>
    </w:p>
    <w:p w14:paraId="01F92246" w14:textId="4B318813" w:rsidR="005E4B37" w:rsidRDefault="0069424D" w:rsidP="0069424D">
      <w:pPr>
        <w:widowControl/>
        <w:autoSpaceDE/>
        <w:autoSpaceDN/>
        <w:adjustRightInd/>
        <w:jc w:val="both"/>
        <w:rPr>
          <w:rFonts w:ascii="Arial" w:hAnsi="Arial" w:cs="Arial"/>
          <w:sz w:val="20"/>
          <w:szCs w:val="20"/>
          <w:lang w:val="es-419"/>
        </w:rPr>
      </w:pPr>
      <w:r w:rsidRPr="0069424D">
        <w:rPr>
          <w:rFonts w:ascii="Arial" w:hAnsi="Arial" w:cs="Arial"/>
          <w:sz w:val="20"/>
          <w:szCs w:val="20"/>
          <w:lang w:val="es-419"/>
        </w:rPr>
        <w:t>Acta número</w:t>
      </w:r>
      <w:r w:rsidRPr="0069424D">
        <w:rPr>
          <w:rFonts w:ascii="Arial" w:hAnsi="Arial" w:cs="Arial"/>
          <w:sz w:val="20"/>
          <w:szCs w:val="20"/>
          <w:lang w:val="es-419"/>
        </w:rPr>
        <w:tab/>
      </w:r>
      <w:r w:rsidRPr="0069424D">
        <w:rPr>
          <w:rFonts w:ascii="Arial" w:hAnsi="Arial" w:cs="Arial"/>
          <w:sz w:val="20"/>
          <w:szCs w:val="20"/>
          <w:lang w:val="es-419"/>
        </w:rPr>
        <w:tab/>
        <w:t>: 245 de 08-06-2022</w:t>
      </w:r>
    </w:p>
    <w:p w14:paraId="47513A9B" w14:textId="77777777" w:rsidR="0069424D" w:rsidRPr="005E4B37" w:rsidRDefault="0069424D" w:rsidP="0069424D">
      <w:pPr>
        <w:widowControl/>
        <w:autoSpaceDE/>
        <w:autoSpaceDN/>
        <w:adjustRightInd/>
        <w:jc w:val="both"/>
        <w:rPr>
          <w:rFonts w:ascii="Arial" w:hAnsi="Arial" w:cs="Arial"/>
          <w:sz w:val="20"/>
          <w:szCs w:val="20"/>
          <w:lang w:val="es-419"/>
        </w:rPr>
      </w:pPr>
    </w:p>
    <w:p w14:paraId="4DA48210" w14:textId="7A52F710" w:rsidR="005E4B37" w:rsidRPr="005E4B37" w:rsidRDefault="00E94859" w:rsidP="005E4B37">
      <w:pPr>
        <w:jc w:val="both"/>
        <w:rPr>
          <w:rFonts w:ascii="Arial" w:hAnsi="Arial" w:cs="Arial"/>
          <w:lang w:val="es-419"/>
        </w:rPr>
      </w:pPr>
      <w:r w:rsidRPr="005E4B37">
        <w:rPr>
          <w:rFonts w:ascii="Arial" w:hAnsi="Arial" w:cs="Arial"/>
          <w:b/>
          <w:bCs/>
          <w:iCs/>
          <w:sz w:val="20"/>
          <w:szCs w:val="20"/>
          <w:u w:val="single"/>
          <w:lang w:val="es-419" w:eastAsia="fr-FR"/>
        </w:rPr>
        <w:t>TEMAS:</w:t>
      </w:r>
      <w:r w:rsidRPr="005E4B37">
        <w:rPr>
          <w:rFonts w:ascii="Arial" w:hAnsi="Arial" w:cs="Arial"/>
          <w:b/>
          <w:bCs/>
          <w:iCs/>
          <w:sz w:val="20"/>
          <w:szCs w:val="20"/>
          <w:lang w:val="es-419" w:eastAsia="fr-FR"/>
        </w:rPr>
        <w:tab/>
      </w:r>
      <w:r>
        <w:rPr>
          <w:rFonts w:ascii="Arial" w:hAnsi="Arial" w:cs="Arial"/>
          <w:b/>
          <w:bCs/>
          <w:iCs/>
          <w:sz w:val="20"/>
          <w:szCs w:val="20"/>
          <w:lang w:val="es-419" w:eastAsia="fr-FR"/>
        </w:rPr>
        <w:t xml:space="preserve">SEGURIDAD SOCIAL / SOLICITUD </w:t>
      </w:r>
      <w:r w:rsidRPr="0069424D">
        <w:rPr>
          <w:rFonts w:ascii="Arial" w:hAnsi="Arial" w:cs="Arial"/>
          <w:b/>
          <w:sz w:val="20"/>
          <w:szCs w:val="20"/>
          <w:lang w:val="es-419"/>
        </w:rPr>
        <w:t xml:space="preserve">PENSIÓN </w:t>
      </w:r>
      <w:r>
        <w:rPr>
          <w:rFonts w:ascii="Arial" w:hAnsi="Arial" w:cs="Arial"/>
          <w:b/>
          <w:sz w:val="20"/>
          <w:szCs w:val="20"/>
          <w:lang w:val="es-419"/>
        </w:rPr>
        <w:t xml:space="preserve">DE </w:t>
      </w:r>
      <w:r w:rsidRPr="0069424D">
        <w:rPr>
          <w:rFonts w:ascii="Arial" w:hAnsi="Arial" w:cs="Arial"/>
          <w:b/>
          <w:sz w:val="20"/>
          <w:szCs w:val="20"/>
          <w:lang w:val="es-419"/>
        </w:rPr>
        <w:t>SOBREVIVIENTE</w:t>
      </w:r>
      <w:r>
        <w:rPr>
          <w:rFonts w:ascii="Arial" w:hAnsi="Arial" w:cs="Arial"/>
          <w:b/>
          <w:sz w:val="20"/>
          <w:szCs w:val="20"/>
          <w:lang w:val="es-419"/>
        </w:rPr>
        <w:t>S / PROCEDENCIA EXCEPCIONAL DE LA TUTELA / REQUISITOS GENERALES / SUBSIDIARIEDAD / REQUISITOS ESPECIALES / SUJETO DE ESPECIAL PROTECCIÓN, AFECTACIÓN DERECHOS FUNDAMENTALES / CERTEZA SOBRE EXISTENCIA DEL DERECHO.</w:t>
      </w:r>
    </w:p>
    <w:p w14:paraId="3B1E8737" w14:textId="77777777" w:rsidR="005E4B37" w:rsidRPr="005E4B37" w:rsidRDefault="005E4B37" w:rsidP="005E4B37">
      <w:pPr>
        <w:widowControl/>
        <w:autoSpaceDE/>
        <w:autoSpaceDN/>
        <w:adjustRightInd/>
        <w:jc w:val="both"/>
        <w:rPr>
          <w:rFonts w:ascii="Arial" w:hAnsi="Arial" w:cs="Arial"/>
          <w:sz w:val="20"/>
          <w:szCs w:val="20"/>
          <w:lang w:val="es-419"/>
        </w:rPr>
      </w:pPr>
    </w:p>
    <w:p w14:paraId="1D362CF0" w14:textId="1F7373D6" w:rsidR="005E4B37" w:rsidRPr="005E4B37" w:rsidRDefault="00AC47A2" w:rsidP="005E4B37">
      <w:pPr>
        <w:widowControl/>
        <w:autoSpaceDE/>
        <w:autoSpaceDN/>
        <w:adjustRightInd/>
        <w:jc w:val="both"/>
        <w:rPr>
          <w:rFonts w:ascii="Arial" w:hAnsi="Arial" w:cs="Arial"/>
          <w:sz w:val="20"/>
          <w:szCs w:val="20"/>
          <w:lang w:val="es-419"/>
        </w:rPr>
      </w:pPr>
      <w:r w:rsidRPr="00AC47A2">
        <w:rPr>
          <w:rFonts w:ascii="Arial" w:hAnsi="Arial" w:cs="Arial"/>
          <w:sz w:val="20"/>
          <w:szCs w:val="20"/>
          <w:lang w:val="es-419"/>
        </w:rPr>
        <w:t xml:space="preserve">Informa la actora que su padre, señor Manuel Salvador Estrada García, era beneficiario de una pensión de vejez, y falleció el 16-11-2016. Fue calificada con una pérdida de capacidad laboral del 51,05% y solicitó a Colpensiones el reconocimiento pensional como sobreviviente (Sustitución pensional), </w:t>
      </w:r>
      <w:proofErr w:type="spellStart"/>
      <w:r w:rsidRPr="00AC47A2">
        <w:rPr>
          <w:rFonts w:ascii="Arial" w:hAnsi="Arial" w:cs="Arial"/>
          <w:sz w:val="20"/>
          <w:szCs w:val="20"/>
          <w:lang w:val="es-419"/>
        </w:rPr>
        <w:t>mas</w:t>
      </w:r>
      <w:proofErr w:type="spellEnd"/>
      <w:r w:rsidRPr="00AC47A2">
        <w:rPr>
          <w:rFonts w:ascii="Arial" w:hAnsi="Arial" w:cs="Arial"/>
          <w:sz w:val="20"/>
          <w:szCs w:val="20"/>
          <w:lang w:val="es-419"/>
        </w:rPr>
        <w:t xml:space="preserve"> la desestimó porque se estructuró con posterioridad al deceso de su progenitor</w:t>
      </w:r>
      <w:r>
        <w:rPr>
          <w:rFonts w:ascii="Arial" w:hAnsi="Arial" w:cs="Arial"/>
          <w:sz w:val="20"/>
          <w:szCs w:val="20"/>
          <w:lang w:val="es-419"/>
        </w:rPr>
        <w:t>…</w:t>
      </w:r>
    </w:p>
    <w:p w14:paraId="4266B281" w14:textId="77777777" w:rsidR="005E4B37" w:rsidRPr="005E4B37" w:rsidRDefault="005E4B37" w:rsidP="005E4B37">
      <w:pPr>
        <w:widowControl/>
        <w:autoSpaceDE/>
        <w:autoSpaceDN/>
        <w:adjustRightInd/>
        <w:jc w:val="both"/>
        <w:rPr>
          <w:rFonts w:ascii="Arial" w:hAnsi="Arial" w:cs="Arial"/>
          <w:sz w:val="20"/>
          <w:szCs w:val="20"/>
          <w:lang w:val="es-419"/>
        </w:rPr>
      </w:pPr>
    </w:p>
    <w:p w14:paraId="78DAC4FE" w14:textId="56D8FCA8" w:rsidR="005E4B37" w:rsidRPr="005E4B37" w:rsidRDefault="00AC47A2" w:rsidP="005E4B37">
      <w:pPr>
        <w:widowControl/>
        <w:autoSpaceDE/>
        <w:autoSpaceDN/>
        <w:adjustRightInd/>
        <w:jc w:val="both"/>
        <w:rPr>
          <w:rFonts w:ascii="Arial" w:hAnsi="Arial" w:cs="Arial"/>
          <w:sz w:val="20"/>
          <w:szCs w:val="20"/>
          <w:lang w:val="es-419"/>
        </w:rPr>
      </w:pPr>
      <w:r w:rsidRPr="00AC47A2">
        <w:rPr>
          <w:rFonts w:ascii="Arial" w:hAnsi="Arial" w:cs="Arial"/>
          <w:sz w:val="20"/>
          <w:szCs w:val="20"/>
          <w:lang w:val="es-419"/>
        </w:rPr>
        <w:t>Procede la acción siempre que el afectado carezca de otro instrumento defensivo judicial</w:t>
      </w:r>
      <w:r>
        <w:rPr>
          <w:rFonts w:ascii="Arial" w:hAnsi="Arial" w:cs="Arial"/>
          <w:sz w:val="20"/>
          <w:szCs w:val="20"/>
          <w:lang w:val="es-419"/>
        </w:rPr>
        <w:t>…</w:t>
      </w:r>
    </w:p>
    <w:p w14:paraId="7BC44512" w14:textId="77777777" w:rsidR="005E4B37" w:rsidRPr="005E4B37" w:rsidRDefault="005E4B37" w:rsidP="005E4B37">
      <w:pPr>
        <w:widowControl/>
        <w:autoSpaceDE/>
        <w:autoSpaceDN/>
        <w:adjustRightInd/>
        <w:jc w:val="both"/>
        <w:rPr>
          <w:rFonts w:ascii="Arial" w:hAnsi="Arial" w:cs="Arial"/>
          <w:sz w:val="20"/>
          <w:szCs w:val="20"/>
          <w:lang w:val="es-419"/>
        </w:rPr>
      </w:pPr>
    </w:p>
    <w:p w14:paraId="339ACD09" w14:textId="641495B5" w:rsidR="005E4B37" w:rsidRDefault="00D00BCD" w:rsidP="005E4B37">
      <w:pPr>
        <w:widowControl/>
        <w:autoSpaceDE/>
        <w:autoSpaceDN/>
        <w:adjustRightInd/>
        <w:jc w:val="both"/>
        <w:rPr>
          <w:rFonts w:ascii="Arial" w:hAnsi="Arial" w:cs="Arial"/>
          <w:sz w:val="20"/>
          <w:szCs w:val="20"/>
          <w:lang w:val="es-419"/>
        </w:rPr>
      </w:pPr>
      <w:r w:rsidRPr="00D00BCD">
        <w:rPr>
          <w:rFonts w:ascii="Arial" w:hAnsi="Arial" w:cs="Arial"/>
          <w:sz w:val="20"/>
          <w:szCs w:val="20"/>
          <w:lang w:val="es-419"/>
        </w:rPr>
        <w:t>Empero, el análisis de este requisito: “(…) debe hacerse de manera flexible cuando se trata de personas en situación de discapacidad o de la tercera edad. (…) la exigencia de agotar los mecanismos de defensa judicial está supeditado a que estos sean eficaces y suficientemente expeditos</w:t>
      </w:r>
      <w:r>
        <w:rPr>
          <w:rFonts w:ascii="Arial" w:hAnsi="Arial" w:cs="Arial"/>
          <w:sz w:val="20"/>
          <w:szCs w:val="20"/>
          <w:lang w:val="es-419"/>
        </w:rPr>
        <w:t>…</w:t>
      </w:r>
    </w:p>
    <w:p w14:paraId="04C01E58" w14:textId="5958CFE3" w:rsidR="00D00BCD" w:rsidRDefault="00D00BCD" w:rsidP="005E4B37">
      <w:pPr>
        <w:widowControl/>
        <w:autoSpaceDE/>
        <w:autoSpaceDN/>
        <w:adjustRightInd/>
        <w:jc w:val="both"/>
        <w:rPr>
          <w:rFonts w:ascii="Arial" w:hAnsi="Arial" w:cs="Arial"/>
          <w:sz w:val="20"/>
          <w:szCs w:val="20"/>
          <w:lang w:val="es-419"/>
        </w:rPr>
      </w:pPr>
    </w:p>
    <w:p w14:paraId="6AAC77CD" w14:textId="7C2E9AD5" w:rsidR="00D00BCD" w:rsidRPr="00D00BCD" w:rsidRDefault="00D00BCD" w:rsidP="00D00BCD">
      <w:pPr>
        <w:widowControl/>
        <w:autoSpaceDE/>
        <w:autoSpaceDN/>
        <w:adjustRightInd/>
        <w:jc w:val="both"/>
        <w:rPr>
          <w:rFonts w:ascii="Arial" w:hAnsi="Arial" w:cs="Arial"/>
          <w:sz w:val="20"/>
          <w:szCs w:val="20"/>
          <w:lang w:val="es-419"/>
        </w:rPr>
      </w:pPr>
      <w:r w:rsidRPr="00D00BCD">
        <w:rPr>
          <w:rFonts w:ascii="Arial" w:hAnsi="Arial" w:cs="Arial"/>
          <w:sz w:val="20"/>
          <w:szCs w:val="20"/>
          <w:lang w:val="es-419"/>
        </w:rPr>
        <w:t>Empero, en tratándose del reconocimiento de una pensión de sobrevivientes, la CC, de vieja data y de forma reiterada, supeditó la procedencia de la acción al cumplimiento pleno de cuatro requisitos</w:t>
      </w:r>
      <w:r>
        <w:rPr>
          <w:rFonts w:ascii="Arial" w:hAnsi="Arial" w:cs="Arial"/>
          <w:sz w:val="20"/>
          <w:szCs w:val="20"/>
          <w:lang w:val="es-419"/>
        </w:rPr>
        <w:t>…</w:t>
      </w:r>
      <w:r w:rsidRPr="00D00BCD">
        <w:rPr>
          <w:rFonts w:ascii="Arial" w:hAnsi="Arial" w:cs="Arial"/>
          <w:sz w:val="20"/>
          <w:szCs w:val="20"/>
          <w:lang w:val="es-419"/>
        </w:rPr>
        <w:t xml:space="preserve">: </w:t>
      </w:r>
    </w:p>
    <w:p w14:paraId="757CE67C" w14:textId="77777777" w:rsidR="00D00BCD" w:rsidRPr="00D00BCD" w:rsidRDefault="00D00BCD" w:rsidP="00D00BCD">
      <w:pPr>
        <w:widowControl/>
        <w:autoSpaceDE/>
        <w:autoSpaceDN/>
        <w:adjustRightInd/>
        <w:jc w:val="both"/>
        <w:rPr>
          <w:rFonts w:ascii="Arial" w:hAnsi="Arial" w:cs="Arial"/>
          <w:sz w:val="20"/>
          <w:szCs w:val="20"/>
          <w:lang w:val="es-419"/>
        </w:rPr>
      </w:pPr>
    </w:p>
    <w:p w14:paraId="3F2C20F7" w14:textId="71A56AE7" w:rsidR="00D00BCD" w:rsidRDefault="00D00BCD" w:rsidP="00D00BCD">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D00BCD">
        <w:rPr>
          <w:rFonts w:ascii="Arial" w:hAnsi="Arial" w:cs="Arial"/>
          <w:sz w:val="20"/>
          <w:szCs w:val="20"/>
          <w:lang w:val="es-419"/>
        </w:rPr>
        <w:t>(i) se trate de un sujeto de especial protección constitucional; (ii) la falta de pago genera un alto grado de afectación de los derechos fundamentales</w:t>
      </w:r>
      <w:r>
        <w:rPr>
          <w:rFonts w:ascii="Arial" w:hAnsi="Arial" w:cs="Arial"/>
          <w:sz w:val="20"/>
          <w:szCs w:val="20"/>
          <w:lang w:val="es-419"/>
        </w:rPr>
        <w:t>…</w:t>
      </w:r>
      <w:r w:rsidRPr="00D00BCD">
        <w:rPr>
          <w:rFonts w:ascii="Arial" w:hAnsi="Arial" w:cs="Arial"/>
          <w:sz w:val="20"/>
          <w:szCs w:val="20"/>
          <w:lang w:val="es-419"/>
        </w:rPr>
        <w:t>; (iii) se haya desplegado cierta actividad administrativa y judicial por el interesado</w:t>
      </w:r>
      <w:r>
        <w:rPr>
          <w:rFonts w:ascii="Arial" w:hAnsi="Arial" w:cs="Arial"/>
          <w:sz w:val="20"/>
          <w:szCs w:val="20"/>
          <w:lang w:val="es-419"/>
        </w:rPr>
        <w:t>…</w:t>
      </w:r>
      <w:r w:rsidRPr="00D00BCD">
        <w:rPr>
          <w:rFonts w:ascii="Arial" w:hAnsi="Arial" w:cs="Arial"/>
          <w:sz w:val="20"/>
          <w:szCs w:val="20"/>
          <w:lang w:val="es-419"/>
        </w:rPr>
        <w:t>; (iv) se acredite, sumariamente, las razones por las cuales el medio judicial ordinario es ineficaz</w:t>
      </w:r>
      <w:r w:rsidR="007C2297">
        <w:rPr>
          <w:rFonts w:ascii="Arial" w:hAnsi="Arial" w:cs="Arial"/>
          <w:sz w:val="20"/>
          <w:szCs w:val="20"/>
          <w:lang w:val="es-419"/>
        </w:rPr>
        <w:t>…</w:t>
      </w:r>
      <w:r w:rsidRPr="00D00BCD">
        <w:rPr>
          <w:rFonts w:ascii="Arial" w:hAnsi="Arial" w:cs="Arial"/>
          <w:sz w:val="20"/>
          <w:szCs w:val="20"/>
          <w:lang w:val="es-419"/>
        </w:rPr>
        <w:t>; y (v) exista certeza en cuanto al cumplimiento de los requisitos de reconocimiento del derecho pensional reclamado</w:t>
      </w:r>
      <w:r>
        <w:rPr>
          <w:rFonts w:ascii="Arial" w:hAnsi="Arial" w:cs="Arial"/>
          <w:sz w:val="20"/>
          <w:szCs w:val="20"/>
          <w:lang w:val="es-419"/>
        </w:rPr>
        <w:t>…”</w:t>
      </w:r>
    </w:p>
    <w:p w14:paraId="6EE32C43" w14:textId="1C25FC81" w:rsidR="00D00BCD" w:rsidRDefault="00D00BCD" w:rsidP="005E4B37">
      <w:pPr>
        <w:widowControl/>
        <w:autoSpaceDE/>
        <w:autoSpaceDN/>
        <w:adjustRightInd/>
        <w:jc w:val="both"/>
        <w:rPr>
          <w:rFonts w:ascii="Arial" w:hAnsi="Arial" w:cs="Arial"/>
          <w:sz w:val="20"/>
          <w:szCs w:val="20"/>
          <w:lang w:val="es-419"/>
        </w:rPr>
      </w:pPr>
    </w:p>
    <w:p w14:paraId="69AE7304" w14:textId="77777777" w:rsidR="0056382D" w:rsidRPr="0056382D" w:rsidRDefault="0056382D" w:rsidP="0056382D">
      <w:pPr>
        <w:widowControl/>
        <w:autoSpaceDE/>
        <w:autoSpaceDN/>
        <w:adjustRightInd/>
        <w:jc w:val="both"/>
        <w:rPr>
          <w:rFonts w:ascii="Arial" w:hAnsi="Arial" w:cs="Arial"/>
          <w:sz w:val="20"/>
          <w:szCs w:val="20"/>
          <w:lang w:val="es-419"/>
        </w:rPr>
      </w:pPr>
      <w:r w:rsidRPr="0056382D">
        <w:rPr>
          <w:rFonts w:ascii="Arial" w:hAnsi="Arial" w:cs="Arial"/>
          <w:sz w:val="20"/>
          <w:szCs w:val="20"/>
          <w:lang w:val="es-419"/>
        </w:rPr>
        <w:t xml:space="preserve">Se confirmará el fallo opugnado porque es clara la falta de subsidiariedad. La tutela incumple uno (1) de los cinco (5) presupuestos concomitantes para superar este presupuesto y basta para desestimarla. En síntesis, atañe a los requisitos legales de la sustitución pensional, específicamente, la dependencia económica del causante con ocasión de la invalidez calificada. </w:t>
      </w:r>
    </w:p>
    <w:p w14:paraId="647F4574" w14:textId="77777777" w:rsidR="0056382D" w:rsidRPr="0056382D" w:rsidRDefault="0056382D" w:rsidP="0056382D">
      <w:pPr>
        <w:widowControl/>
        <w:autoSpaceDE/>
        <w:autoSpaceDN/>
        <w:adjustRightInd/>
        <w:jc w:val="both"/>
        <w:rPr>
          <w:rFonts w:ascii="Arial" w:hAnsi="Arial" w:cs="Arial"/>
          <w:sz w:val="20"/>
          <w:szCs w:val="20"/>
          <w:lang w:val="es-419"/>
        </w:rPr>
      </w:pPr>
    </w:p>
    <w:p w14:paraId="34ED6309" w14:textId="4F85DE13" w:rsidR="00D00BCD" w:rsidRDefault="0056382D" w:rsidP="005E4B37">
      <w:pPr>
        <w:widowControl/>
        <w:autoSpaceDE/>
        <w:autoSpaceDN/>
        <w:adjustRightInd/>
        <w:jc w:val="both"/>
        <w:rPr>
          <w:rFonts w:ascii="Arial" w:hAnsi="Arial" w:cs="Arial"/>
          <w:sz w:val="20"/>
          <w:szCs w:val="20"/>
          <w:lang w:val="es-419"/>
        </w:rPr>
      </w:pPr>
      <w:r w:rsidRPr="0056382D">
        <w:rPr>
          <w:rFonts w:ascii="Arial" w:hAnsi="Arial" w:cs="Arial"/>
          <w:sz w:val="20"/>
          <w:szCs w:val="20"/>
          <w:lang w:val="es-419"/>
        </w:rPr>
        <w:t>Revisado el segundo dictamen de PCL, expedido por la Junta Nacional de Calificación de Invalidez, se tiene que desestimó la modificación de la fecha de estructuración porque el diagnóstico del cuadro depresivo que acrecentó el porcentaje de invalidez, data del 28-12-2018 “(…) En consecuencia, no es posible modificar la fecha de estructuración para el año 2015 (…)”</w:t>
      </w:r>
    </w:p>
    <w:p w14:paraId="5DA56ED8" w14:textId="2E9A3C8C" w:rsidR="0056382D" w:rsidRDefault="0056382D" w:rsidP="005E4B37">
      <w:pPr>
        <w:widowControl/>
        <w:autoSpaceDE/>
        <w:autoSpaceDN/>
        <w:adjustRightInd/>
        <w:jc w:val="both"/>
        <w:rPr>
          <w:rFonts w:ascii="Arial" w:hAnsi="Arial" w:cs="Arial"/>
          <w:sz w:val="20"/>
          <w:szCs w:val="20"/>
          <w:lang w:val="es-419"/>
        </w:rPr>
      </w:pPr>
    </w:p>
    <w:p w14:paraId="6E1185CC" w14:textId="15B90E61" w:rsidR="0056382D" w:rsidRPr="005E4B37" w:rsidRDefault="0056382D" w:rsidP="005E4B37">
      <w:pPr>
        <w:widowControl/>
        <w:autoSpaceDE/>
        <w:autoSpaceDN/>
        <w:adjustRightInd/>
        <w:jc w:val="both"/>
        <w:rPr>
          <w:rFonts w:ascii="Arial" w:hAnsi="Arial" w:cs="Arial"/>
          <w:sz w:val="20"/>
          <w:szCs w:val="20"/>
          <w:lang w:val="es-419"/>
        </w:rPr>
      </w:pPr>
      <w:r w:rsidRPr="0056382D">
        <w:rPr>
          <w:rFonts w:ascii="Arial" w:hAnsi="Arial" w:cs="Arial"/>
          <w:sz w:val="20"/>
          <w:szCs w:val="20"/>
          <w:lang w:val="es-419"/>
        </w:rPr>
        <w:t>Así las cosas, imposible es que el hipotético apoyo económico que recibía la actora, tuviera origen en disminución física que le impidiera laborar</w:t>
      </w:r>
      <w:r>
        <w:rPr>
          <w:rFonts w:ascii="Arial" w:hAnsi="Arial" w:cs="Arial"/>
          <w:sz w:val="20"/>
          <w:szCs w:val="20"/>
          <w:lang w:val="es-419"/>
        </w:rPr>
        <w:t>…</w:t>
      </w:r>
    </w:p>
    <w:p w14:paraId="54B891BC" w14:textId="77777777" w:rsidR="005E4B37" w:rsidRPr="005E4B37" w:rsidRDefault="005E4B37" w:rsidP="005E4B37">
      <w:pPr>
        <w:widowControl/>
        <w:autoSpaceDE/>
        <w:autoSpaceDN/>
        <w:adjustRightInd/>
        <w:jc w:val="both"/>
        <w:rPr>
          <w:rFonts w:ascii="Arial" w:hAnsi="Arial" w:cs="Arial"/>
          <w:sz w:val="20"/>
          <w:szCs w:val="20"/>
        </w:rPr>
      </w:pPr>
    </w:p>
    <w:p w14:paraId="47BBAD5E" w14:textId="77777777" w:rsidR="005E4B37" w:rsidRPr="005E4B37" w:rsidRDefault="005E4B37" w:rsidP="005E4B37">
      <w:pPr>
        <w:widowControl/>
        <w:autoSpaceDE/>
        <w:autoSpaceDN/>
        <w:adjustRightInd/>
        <w:jc w:val="both"/>
        <w:rPr>
          <w:rFonts w:ascii="Arial" w:hAnsi="Arial" w:cs="Arial"/>
          <w:sz w:val="20"/>
          <w:szCs w:val="20"/>
        </w:rPr>
      </w:pPr>
    </w:p>
    <w:bookmarkEnd w:id="0"/>
    <w:p w14:paraId="05F6C159" w14:textId="77777777" w:rsidR="005E4B37" w:rsidRPr="005E4B37" w:rsidRDefault="005E4B37" w:rsidP="005E4B37">
      <w:pPr>
        <w:widowControl/>
        <w:autoSpaceDE/>
        <w:autoSpaceDN/>
        <w:adjustRightInd/>
        <w:jc w:val="both"/>
        <w:rPr>
          <w:rFonts w:ascii="Arial" w:hAnsi="Arial" w:cs="Arial"/>
          <w:sz w:val="20"/>
          <w:szCs w:val="20"/>
        </w:rPr>
      </w:pPr>
    </w:p>
    <w:bookmarkEnd w:id="1"/>
    <w:p w14:paraId="08DEA8E3" w14:textId="77777777" w:rsidR="00C0365A" w:rsidRDefault="00C0365A" w:rsidP="00C0365A">
      <w:pPr>
        <w:pStyle w:val="Sinespaciado"/>
        <w:spacing w:line="360" w:lineRule="auto"/>
        <w:rPr>
          <w:rFonts w:ascii="Georgia" w:hAnsi="Georgia" w:cs="Arial"/>
          <w:w w:val="140"/>
          <w:szCs w:val="22"/>
        </w:rPr>
      </w:pPr>
      <w:r>
        <w:rPr>
          <w:noProof/>
          <w:szCs w:val="22"/>
        </w:rPr>
        <w:drawing>
          <wp:anchor distT="0" distB="0" distL="114300" distR="114300" simplePos="0" relativeHeight="251673600" behindDoc="0" locked="0" layoutInCell="1" allowOverlap="1" wp14:anchorId="6BB3E79A" wp14:editId="6FC8F8C7">
            <wp:simplePos x="0" y="0"/>
            <wp:positionH relativeFrom="column">
              <wp:posOffset>2720340</wp:posOffset>
            </wp:positionH>
            <wp:positionV relativeFrom="paragraph">
              <wp:posOffset>0</wp:posOffset>
            </wp:positionV>
            <wp:extent cx="422910" cy="422910"/>
            <wp:effectExtent l="0" t="0" r="0" b="0"/>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6101B440" w14:textId="77777777" w:rsidR="00C0365A" w:rsidRDefault="00C0365A" w:rsidP="00C0365A">
      <w:pPr>
        <w:pStyle w:val="Sinespaciado"/>
        <w:spacing w:line="360" w:lineRule="auto"/>
        <w:rPr>
          <w:rFonts w:ascii="Georgia" w:hAnsi="Georgia" w:cs="Arial"/>
          <w:w w:val="140"/>
          <w:sz w:val="14"/>
        </w:rPr>
      </w:pPr>
    </w:p>
    <w:p w14:paraId="196CE666" w14:textId="77777777" w:rsidR="00C0365A" w:rsidRDefault="00C0365A" w:rsidP="00C0365A">
      <w:pPr>
        <w:pStyle w:val="Sinespaciado"/>
        <w:tabs>
          <w:tab w:val="left" w:pos="3579"/>
        </w:tabs>
        <w:spacing w:line="360" w:lineRule="auto"/>
        <w:jc w:val="center"/>
        <w:rPr>
          <w:rFonts w:ascii="Georgia" w:hAnsi="Georgia" w:cs="Arial"/>
          <w:w w:val="140"/>
          <w:sz w:val="2"/>
        </w:rPr>
      </w:pPr>
    </w:p>
    <w:p w14:paraId="01CFA728" w14:textId="77777777" w:rsidR="00C0365A" w:rsidRDefault="00C0365A" w:rsidP="00C0365A">
      <w:pPr>
        <w:pStyle w:val="Sinespaciado"/>
        <w:tabs>
          <w:tab w:val="left" w:pos="3579"/>
        </w:tabs>
        <w:spacing w:line="360" w:lineRule="auto"/>
        <w:jc w:val="center"/>
        <w:rPr>
          <w:rFonts w:ascii="Georgia" w:hAnsi="Georgia" w:cs="Arial"/>
          <w:w w:val="140"/>
          <w:sz w:val="14"/>
        </w:rPr>
      </w:pPr>
      <w:r>
        <w:rPr>
          <w:rFonts w:ascii="Georgia" w:hAnsi="Georgia" w:cs="Arial"/>
          <w:w w:val="140"/>
          <w:sz w:val="14"/>
        </w:rPr>
        <w:t>REPUBLICA DE COLOMBIA</w:t>
      </w:r>
    </w:p>
    <w:p w14:paraId="164C63AE" w14:textId="77777777" w:rsidR="00C0365A" w:rsidRDefault="00C0365A" w:rsidP="00C0365A">
      <w:pPr>
        <w:pStyle w:val="Sinespaciado"/>
        <w:tabs>
          <w:tab w:val="center" w:pos="4987"/>
          <w:tab w:val="left" w:pos="8449"/>
        </w:tabs>
        <w:spacing w:line="360" w:lineRule="auto"/>
        <w:jc w:val="center"/>
        <w:rPr>
          <w:rFonts w:ascii="Georgia" w:hAnsi="Georgia" w:cs="Arial"/>
          <w:w w:val="140"/>
        </w:rPr>
      </w:pPr>
      <w:r>
        <w:rPr>
          <w:rFonts w:ascii="Georgia" w:hAnsi="Georgia" w:cs="Arial"/>
          <w:w w:val="140"/>
          <w:sz w:val="14"/>
        </w:rPr>
        <w:t>RAMA JUDICIAL DEL PODER PÚBLICO</w:t>
      </w:r>
    </w:p>
    <w:p w14:paraId="0B98BBE5" w14:textId="77777777" w:rsidR="00C0365A" w:rsidRDefault="00C0365A" w:rsidP="00C0365A">
      <w:pPr>
        <w:pStyle w:val="Sinespaciado"/>
        <w:spacing w:line="360" w:lineRule="auto"/>
        <w:jc w:val="center"/>
        <w:rPr>
          <w:rFonts w:ascii="Georgia" w:hAnsi="Georgia" w:cs="Arial"/>
          <w:b/>
          <w:bCs/>
          <w:w w:val="140"/>
          <w:sz w:val="16"/>
        </w:rPr>
      </w:pPr>
      <w:r>
        <w:rPr>
          <w:rFonts w:ascii="Georgia" w:hAnsi="Georgia" w:cs="Arial"/>
          <w:b/>
          <w:bCs/>
          <w:w w:val="140"/>
          <w:sz w:val="18"/>
        </w:rPr>
        <w:t>T</w:t>
      </w:r>
      <w:r>
        <w:rPr>
          <w:rFonts w:ascii="Georgia" w:hAnsi="Georgia" w:cs="Arial"/>
          <w:b/>
          <w:bCs/>
          <w:w w:val="140"/>
          <w:sz w:val="16"/>
        </w:rPr>
        <w:t>RIBUNAL</w:t>
      </w:r>
      <w:r>
        <w:rPr>
          <w:rFonts w:ascii="Georgia" w:hAnsi="Georgia" w:cs="Arial"/>
          <w:b/>
          <w:bCs/>
          <w:w w:val="140"/>
          <w:sz w:val="18"/>
        </w:rPr>
        <w:t xml:space="preserve"> S</w:t>
      </w:r>
      <w:r>
        <w:rPr>
          <w:rFonts w:ascii="Georgia" w:hAnsi="Georgia" w:cs="Arial"/>
          <w:b/>
          <w:bCs/>
          <w:w w:val="140"/>
          <w:sz w:val="16"/>
        </w:rPr>
        <w:t xml:space="preserve">UPERIOR DEL </w:t>
      </w:r>
      <w:r>
        <w:rPr>
          <w:rFonts w:ascii="Georgia" w:hAnsi="Georgia" w:cs="Arial"/>
          <w:b/>
          <w:bCs/>
          <w:w w:val="140"/>
          <w:sz w:val="18"/>
        </w:rPr>
        <w:t>D</w:t>
      </w:r>
      <w:r>
        <w:rPr>
          <w:rFonts w:ascii="Georgia" w:hAnsi="Georgia" w:cs="Arial"/>
          <w:b/>
          <w:bCs/>
          <w:w w:val="140"/>
          <w:sz w:val="16"/>
        </w:rPr>
        <w:t>ISTRITO</w:t>
      </w:r>
      <w:r>
        <w:rPr>
          <w:rFonts w:ascii="Georgia" w:hAnsi="Georgia" w:cs="Arial"/>
          <w:b/>
          <w:bCs/>
          <w:w w:val="140"/>
          <w:sz w:val="18"/>
        </w:rPr>
        <w:t xml:space="preserve"> J</w:t>
      </w:r>
      <w:r>
        <w:rPr>
          <w:rFonts w:ascii="Georgia" w:hAnsi="Georgia" w:cs="Arial"/>
          <w:b/>
          <w:bCs/>
          <w:w w:val="140"/>
          <w:sz w:val="16"/>
        </w:rPr>
        <w:t>UDICIAL</w:t>
      </w:r>
    </w:p>
    <w:p w14:paraId="7D6CF4B6" w14:textId="77777777" w:rsidR="00C0365A" w:rsidRDefault="00C0365A" w:rsidP="00C0365A">
      <w:pPr>
        <w:pStyle w:val="Sinespaciado"/>
        <w:spacing w:line="360" w:lineRule="auto"/>
        <w:jc w:val="center"/>
        <w:rPr>
          <w:rFonts w:ascii="Georgia" w:hAnsi="Georgia" w:cs="Arial"/>
          <w:w w:val="140"/>
          <w:sz w:val="16"/>
          <w:szCs w:val="18"/>
        </w:rPr>
      </w:pPr>
      <w:r>
        <w:rPr>
          <w:rFonts w:ascii="Georgia" w:hAnsi="Georgia" w:cs="Arial"/>
          <w:w w:val="140"/>
          <w:sz w:val="18"/>
          <w:szCs w:val="18"/>
        </w:rPr>
        <w:t>S</w:t>
      </w:r>
      <w:r>
        <w:rPr>
          <w:rFonts w:ascii="Georgia" w:hAnsi="Georgia" w:cs="Arial"/>
          <w:w w:val="140"/>
          <w:sz w:val="16"/>
          <w:szCs w:val="18"/>
        </w:rPr>
        <w:t>ALA</w:t>
      </w:r>
      <w:r>
        <w:rPr>
          <w:rFonts w:ascii="Georgia" w:hAnsi="Georgia" w:cs="Arial"/>
          <w:w w:val="140"/>
          <w:sz w:val="14"/>
          <w:szCs w:val="18"/>
        </w:rPr>
        <w:t xml:space="preserve"> </w:t>
      </w:r>
      <w:r>
        <w:rPr>
          <w:rFonts w:ascii="Georgia" w:hAnsi="Georgia" w:cs="Arial"/>
          <w:w w:val="140"/>
          <w:sz w:val="16"/>
          <w:szCs w:val="18"/>
        </w:rPr>
        <w:t xml:space="preserve">DE </w:t>
      </w:r>
      <w:r>
        <w:rPr>
          <w:rFonts w:ascii="Georgia" w:hAnsi="Georgia" w:cs="Arial"/>
          <w:w w:val="140"/>
          <w:sz w:val="18"/>
          <w:szCs w:val="18"/>
        </w:rPr>
        <w:t>D</w:t>
      </w:r>
      <w:r>
        <w:rPr>
          <w:rFonts w:ascii="Georgia" w:hAnsi="Georgia" w:cs="Arial"/>
          <w:w w:val="140"/>
          <w:sz w:val="16"/>
          <w:szCs w:val="18"/>
        </w:rPr>
        <w:t>ECISIÓN</w:t>
      </w:r>
      <w:r>
        <w:rPr>
          <w:rFonts w:ascii="Georgia" w:hAnsi="Georgia" w:cs="Arial"/>
          <w:w w:val="140"/>
          <w:sz w:val="18"/>
          <w:szCs w:val="18"/>
        </w:rPr>
        <w:t xml:space="preserve"> C</w:t>
      </w:r>
      <w:r>
        <w:rPr>
          <w:rFonts w:ascii="Georgia" w:hAnsi="Georgia" w:cs="Arial"/>
          <w:w w:val="140"/>
          <w:sz w:val="16"/>
          <w:szCs w:val="18"/>
        </w:rPr>
        <w:t>IVIL –</w:t>
      </w:r>
      <w:r>
        <w:rPr>
          <w:rFonts w:ascii="Georgia" w:hAnsi="Georgia" w:cs="Arial"/>
          <w:w w:val="140"/>
          <w:sz w:val="18"/>
          <w:szCs w:val="18"/>
        </w:rPr>
        <w:t>F</w:t>
      </w:r>
      <w:r>
        <w:rPr>
          <w:rFonts w:ascii="Georgia" w:hAnsi="Georgia" w:cs="Arial"/>
          <w:w w:val="140"/>
          <w:sz w:val="16"/>
          <w:szCs w:val="18"/>
        </w:rPr>
        <w:t xml:space="preserve">AMILIA – </w:t>
      </w:r>
      <w:r>
        <w:rPr>
          <w:rFonts w:ascii="Georgia" w:hAnsi="Georgia" w:cs="Arial"/>
          <w:w w:val="140"/>
          <w:sz w:val="18"/>
          <w:szCs w:val="18"/>
        </w:rPr>
        <w:t>D</w:t>
      </w:r>
      <w:r>
        <w:rPr>
          <w:rFonts w:ascii="Georgia" w:hAnsi="Georgia" w:cs="Arial"/>
          <w:w w:val="140"/>
          <w:sz w:val="16"/>
          <w:szCs w:val="18"/>
        </w:rPr>
        <w:t>ISTRITO</w:t>
      </w:r>
      <w:r>
        <w:rPr>
          <w:rFonts w:ascii="Georgia" w:hAnsi="Georgia" w:cs="Arial"/>
          <w:w w:val="140"/>
          <w:sz w:val="18"/>
          <w:szCs w:val="18"/>
        </w:rPr>
        <w:t xml:space="preserve"> D</w:t>
      </w:r>
      <w:r>
        <w:rPr>
          <w:rFonts w:ascii="Georgia" w:hAnsi="Georgia" w:cs="Arial"/>
          <w:w w:val="140"/>
          <w:sz w:val="16"/>
          <w:szCs w:val="18"/>
        </w:rPr>
        <w:t>E</w:t>
      </w:r>
      <w:r>
        <w:rPr>
          <w:rFonts w:ascii="Georgia" w:hAnsi="Georgia" w:cs="Arial"/>
          <w:w w:val="140"/>
          <w:sz w:val="18"/>
          <w:szCs w:val="18"/>
        </w:rPr>
        <w:t xml:space="preserve"> P</w:t>
      </w:r>
      <w:r>
        <w:rPr>
          <w:rFonts w:ascii="Georgia" w:hAnsi="Georgia" w:cs="Arial"/>
          <w:w w:val="140"/>
          <w:sz w:val="16"/>
          <w:szCs w:val="18"/>
        </w:rPr>
        <w:t>EREIRA</w:t>
      </w:r>
    </w:p>
    <w:p w14:paraId="57F4F6FB" w14:textId="77777777" w:rsidR="00C0365A" w:rsidRDefault="00C0365A" w:rsidP="00C0365A">
      <w:pPr>
        <w:pStyle w:val="Sinespaciado"/>
        <w:spacing w:line="360" w:lineRule="auto"/>
        <w:jc w:val="center"/>
        <w:rPr>
          <w:rFonts w:ascii="Georgia" w:hAnsi="Georgia" w:cs="Arial"/>
          <w:w w:val="140"/>
          <w:sz w:val="16"/>
          <w:szCs w:val="18"/>
        </w:rPr>
      </w:pPr>
      <w:r>
        <w:rPr>
          <w:rFonts w:ascii="Georgia" w:hAnsi="Georgia" w:cs="Arial"/>
          <w:w w:val="140"/>
          <w:sz w:val="18"/>
          <w:szCs w:val="18"/>
        </w:rPr>
        <w:t>D</w:t>
      </w:r>
      <w:r>
        <w:rPr>
          <w:rFonts w:ascii="Georgia" w:hAnsi="Georgia" w:cs="Arial"/>
          <w:w w:val="140"/>
          <w:sz w:val="16"/>
          <w:szCs w:val="18"/>
        </w:rPr>
        <w:t xml:space="preserve">EPARTAMENTO </w:t>
      </w:r>
      <w:r>
        <w:rPr>
          <w:rFonts w:ascii="Georgia" w:hAnsi="Georgia" w:cs="Arial"/>
          <w:w w:val="140"/>
          <w:sz w:val="18"/>
          <w:szCs w:val="18"/>
        </w:rPr>
        <w:t>D</w:t>
      </w:r>
      <w:r>
        <w:rPr>
          <w:rFonts w:ascii="Georgia" w:hAnsi="Georgia" w:cs="Arial"/>
          <w:w w:val="140"/>
          <w:sz w:val="16"/>
          <w:szCs w:val="18"/>
        </w:rPr>
        <w:t xml:space="preserve">EL </w:t>
      </w:r>
      <w:r>
        <w:rPr>
          <w:rFonts w:ascii="Georgia" w:hAnsi="Georgia" w:cs="Arial"/>
          <w:w w:val="140"/>
          <w:sz w:val="18"/>
          <w:szCs w:val="18"/>
        </w:rPr>
        <w:t>R</w:t>
      </w:r>
      <w:r>
        <w:rPr>
          <w:rFonts w:ascii="Georgia" w:hAnsi="Georgia" w:cs="Arial"/>
          <w:w w:val="140"/>
          <w:sz w:val="16"/>
          <w:szCs w:val="18"/>
        </w:rPr>
        <w:t>ISARALDA</w:t>
      </w:r>
    </w:p>
    <w:p w14:paraId="3F40C16F" w14:textId="292B6DE4" w:rsidR="00927167" w:rsidRPr="0069424D" w:rsidRDefault="00927167" w:rsidP="0069424D">
      <w:pPr>
        <w:pStyle w:val="Sinespaciado"/>
        <w:tabs>
          <w:tab w:val="left" w:pos="3579"/>
        </w:tabs>
        <w:spacing w:line="276" w:lineRule="auto"/>
        <w:rPr>
          <w:rFonts w:ascii="Georgia" w:hAnsi="Georgia" w:cs="Arial"/>
          <w:w w:val="140"/>
          <w:szCs w:val="24"/>
        </w:rPr>
      </w:pPr>
    </w:p>
    <w:p w14:paraId="4AD14F39" w14:textId="5BEA0638" w:rsidR="004D73E2" w:rsidRPr="0069424D" w:rsidRDefault="004D73E2" w:rsidP="0069424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69424D">
        <w:rPr>
          <w:rFonts w:ascii="Georgia" w:hAnsi="Georgia" w:cs="Arial"/>
          <w:b/>
          <w:bCs/>
          <w:szCs w:val="24"/>
        </w:rPr>
        <w:t>ST2-</w:t>
      </w:r>
      <w:r w:rsidR="004A39B9" w:rsidRPr="0069424D">
        <w:rPr>
          <w:rFonts w:ascii="Georgia" w:hAnsi="Georgia" w:cs="Arial"/>
          <w:b/>
          <w:bCs/>
          <w:szCs w:val="24"/>
        </w:rPr>
        <w:t>0177</w:t>
      </w:r>
      <w:r w:rsidRPr="0069424D">
        <w:rPr>
          <w:rFonts w:ascii="Georgia" w:hAnsi="Georgia" w:cs="Arial"/>
          <w:b/>
          <w:bCs/>
          <w:szCs w:val="24"/>
        </w:rPr>
        <w:t>-</w:t>
      </w:r>
      <w:r w:rsidR="003F6E9E" w:rsidRPr="0069424D">
        <w:rPr>
          <w:rFonts w:ascii="Georgia" w:hAnsi="Georgia" w:cs="Arial"/>
          <w:b/>
          <w:bCs/>
          <w:szCs w:val="24"/>
        </w:rPr>
        <w:t>2022</w:t>
      </w:r>
    </w:p>
    <w:p w14:paraId="37CE2812" w14:textId="77777777" w:rsidR="004D73E2" w:rsidRPr="0069424D" w:rsidRDefault="004D73E2" w:rsidP="0069424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p>
    <w:p w14:paraId="5E3DA19B" w14:textId="77777777" w:rsidR="00927167" w:rsidRPr="0069424D" w:rsidRDefault="00927167" w:rsidP="0069424D">
      <w:pPr>
        <w:pStyle w:val="Textoindependiente"/>
        <w:spacing w:line="276" w:lineRule="auto"/>
        <w:rPr>
          <w:rFonts w:ascii="Georgia" w:hAnsi="Georgia" w:cs="Arial"/>
          <w:b/>
          <w:bCs/>
          <w:szCs w:val="24"/>
        </w:rPr>
      </w:pPr>
    </w:p>
    <w:p w14:paraId="7D6D920B" w14:textId="77777777" w:rsidR="00785FA3" w:rsidRPr="0069424D" w:rsidRDefault="00785FA3" w:rsidP="0069424D">
      <w:pPr>
        <w:pBdr>
          <w:bottom w:val="double" w:sz="6" w:space="1" w:color="auto"/>
        </w:pBdr>
        <w:spacing w:line="276" w:lineRule="auto"/>
        <w:jc w:val="center"/>
        <w:rPr>
          <w:rFonts w:ascii="Georgia" w:hAnsi="Georgia"/>
          <w:b/>
          <w:bCs/>
          <w:lang w:val="es-419"/>
        </w:rPr>
      </w:pPr>
    </w:p>
    <w:p w14:paraId="6F88AEEC" w14:textId="77777777" w:rsidR="00785FA3" w:rsidRPr="0069424D" w:rsidRDefault="00785FA3" w:rsidP="0069424D">
      <w:pPr>
        <w:spacing w:line="276" w:lineRule="auto"/>
        <w:jc w:val="center"/>
        <w:rPr>
          <w:rFonts w:ascii="Georgia" w:hAnsi="Georgia"/>
          <w:b/>
          <w:bCs/>
          <w:lang w:val="es-419"/>
        </w:rPr>
      </w:pPr>
    </w:p>
    <w:p w14:paraId="69AB888C" w14:textId="77777777" w:rsidR="000C3A25" w:rsidRPr="0069424D" w:rsidRDefault="000C3A25" w:rsidP="0069424D">
      <w:pPr>
        <w:spacing w:line="276" w:lineRule="auto"/>
        <w:jc w:val="center"/>
        <w:rPr>
          <w:rFonts w:ascii="Georgia" w:hAnsi="Georgia"/>
          <w:b/>
          <w:bCs/>
          <w:lang w:val="es-419"/>
        </w:rPr>
      </w:pPr>
    </w:p>
    <w:p w14:paraId="74A24397" w14:textId="700FDE90" w:rsidR="00CF7F14" w:rsidRPr="0069424D" w:rsidRDefault="004A39B9" w:rsidP="0069424D">
      <w:pPr>
        <w:spacing w:line="276" w:lineRule="auto"/>
        <w:jc w:val="center"/>
        <w:rPr>
          <w:rFonts w:ascii="Georgia" w:hAnsi="Georgia" w:cs="Arial"/>
          <w:b/>
          <w:bCs/>
          <w:lang w:val="es-CO"/>
        </w:rPr>
      </w:pPr>
      <w:r w:rsidRPr="0069424D">
        <w:rPr>
          <w:rFonts w:ascii="Georgia" w:hAnsi="Georgia" w:cs="Arial"/>
          <w:b/>
          <w:bCs/>
          <w:smallCaps/>
          <w:lang w:val="es-CO"/>
        </w:rPr>
        <w:t>Ocho</w:t>
      </w:r>
      <w:r w:rsidR="0026655F" w:rsidRPr="0069424D">
        <w:rPr>
          <w:rFonts w:ascii="Georgia" w:hAnsi="Georgia" w:cs="Arial"/>
          <w:b/>
          <w:bCs/>
          <w:smallCaps/>
          <w:lang w:val="es-CO"/>
        </w:rPr>
        <w:t xml:space="preserve"> </w:t>
      </w:r>
      <w:r w:rsidR="00CF7F14" w:rsidRPr="0069424D">
        <w:rPr>
          <w:rFonts w:ascii="Georgia" w:hAnsi="Georgia" w:cs="Arial"/>
          <w:b/>
          <w:bCs/>
          <w:smallCaps/>
          <w:lang w:val="es-CO"/>
        </w:rPr>
        <w:t>(</w:t>
      </w:r>
      <w:r w:rsidRPr="0069424D">
        <w:rPr>
          <w:rFonts w:ascii="Georgia" w:hAnsi="Georgia" w:cs="Arial"/>
          <w:b/>
          <w:bCs/>
          <w:smallCaps/>
          <w:lang w:val="es-CO"/>
        </w:rPr>
        <w:t>8</w:t>
      </w:r>
      <w:r w:rsidR="00CF7F14" w:rsidRPr="0069424D">
        <w:rPr>
          <w:rFonts w:ascii="Georgia" w:hAnsi="Georgia" w:cs="Arial"/>
          <w:b/>
          <w:bCs/>
          <w:smallCaps/>
          <w:lang w:val="es-CO"/>
        </w:rPr>
        <w:t xml:space="preserve">) de </w:t>
      </w:r>
      <w:r w:rsidR="0026655F" w:rsidRPr="0069424D">
        <w:rPr>
          <w:rFonts w:ascii="Georgia" w:hAnsi="Georgia" w:cs="Arial"/>
          <w:b/>
          <w:bCs/>
          <w:smallCaps/>
          <w:lang w:val="es-CO"/>
        </w:rPr>
        <w:t xml:space="preserve">junio </w:t>
      </w:r>
      <w:r w:rsidR="00CF7F14" w:rsidRPr="0069424D">
        <w:rPr>
          <w:rFonts w:ascii="Georgia" w:hAnsi="Georgia" w:cs="Arial"/>
          <w:b/>
          <w:bCs/>
          <w:smallCaps/>
          <w:lang w:val="es-CO"/>
        </w:rPr>
        <w:t xml:space="preserve">de dos mil </w:t>
      </w:r>
      <w:r w:rsidR="0026655F" w:rsidRPr="0069424D">
        <w:rPr>
          <w:rFonts w:ascii="Georgia" w:hAnsi="Georgia" w:cs="Arial"/>
          <w:b/>
          <w:bCs/>
          <w:smallCaps/>
          <w:lang w:val="es-CO"/>
        </w:rPr>
        <w:t xml:space="preserve">veintidós </w:t>
      </w:r>
      <w:r w:rsidR="00CF7F14" w:rsidRPr="0069424D">
        <w:rPr>
          <w:rFonts w:ascii="Georgia" w:hAnsi="Georgia" w:cs="Arial"/>
          <w:b/>
          <w:bCs/>
          <w:smallCaps/>
          <w:lang w:val="es-CO"/>
        </w:rPr>
        <w:t>(</w:t>
      </w:r>
      <w:r w:rsidR="0026655F" w:rsidRPr="0069424D">
        <w:rPr>
          <w:rFonts w:ascii="Georgia" w:hAnsi="Georgia" w:cs="Arial"/>
          <w:b/>
          <w:bCs/>
          <w:smallCaps/>
          <w:lang w:val="es-CO"/>
        </w:rPr>
        <w:t>2022</w:t>
      </w:r>
      <w:r w:rsidR="00CF7F14" w:rsidRPr="0069424D">
        <w:rPr>
          <w:rFonts w:ascii="Georgia" w:hAnsi="Georgia" w:cs="Arial"/>
          <w:b/>
          <w:bCs/>
          <w:smallCaps/>
          <w:lang w:val="es-CO"/>
        </w:rPr>
        <w:t>)</w:t>
      </w:r>
      <w:r w:rsidR="00CF7F14" w:rsidRPr="0069424D">
        <w:rPr>
          <w:rFonts w:ascii="Georgia" w:hAnsi="Georgia" w:cs="Arial"/>
          <w:b/>
          <w:bCs/>
          <w:lang w:val="es-CO"/>
        </w:rPr>
        <w:t>.</w:t>
      </w:r>
    </w:p>
    <w:p w14:paraId="1007E4CE" w14:textId="448F090C" w:rsidR="00785FA3" w:rsidRPr="0069424D" w:rsidRDefault="00785FA3" w:rsidP="0069424D">
      <w:pPr>
        <w:pStyle w:val="Textoindependiente"/>
        <w:spacing w:line="276" w:lineRule="auto"/>
        <w:rPr>
          <w:rFonts w:ascii="Georgia" w:hAnsi="Georgia"/>
          <w:szCs w:val="24"/>
          <w:lang w:val="es-419"/>
        </w:rPr>
      </w:pPr>
    </w:p>
    <w:p w14:paraId="3E5AFB29" w14:textId="77777777" w:rsidR="0026655F" w:rsidRPr="0069424D" w:rsidRDefault="0026655F" w:rsidP="0069424D">
      <w:pPr>
        <w:pStyle w:val="Textoindependiente"/>
        <w:spacing w:line="276" w:lineRule="auto"/>
        <w:rPr>
          <w:rFonts w:ascii="Georgia" w:hAnsi="Georgia"/>
          <w:szCs w:val="24"/>
          <w:lang w:val="es-419"/>
        </w:rPr>
      </w:pPr>
    </w:p>
    <w:p w14:paraId="19E16A83" w14:textId="77777777" w:rsidR="00785FA3" w:rsidRPr="0069424D" w:rsidRDefault="00785FA3" w:rsidP="0069424D">
      <w:pPr>
        <w:pStyle w:val="Textoindependiente"/>
        <w:numPr>
          <w:ilvl w:val="0"/>
          <w:numId w:val="1"/>
        </w:numPr>
        <w:spacing w:line="276" w:lineRule="auto"/>
        <w:rPr>
          <w:rFonts w:ascii="Georgia" w:hAnsi="Georgia"/>
          <w:bCs/>
          <w:smallCaps/>
          <w:szCs w:val="24"/>
          <w:lang w:val="es-419"/>
        </w:rPr>
      </w:pPr>
      <w:r w:rsidRPr="0069424D">
        <w:rPr>
          <w:rFonts w:ascii="Georgia" w:hAnsi="Georgia"/>
          <w:bCs/>
          <w:smallCaps/>
          <w:szCs w:val="24"/>
          <w:lang w:val="es-419"/>
        </w:rPr>
        <w:t>El asunto a decidir</w:t>
      </w:r>
    </w:p>
    <w:p w14:paraId="77BFD57D" w14:textId="77777777" w:rsidR="00785FA3" w:rsidRPr="0069424D" w:rsidRDefault="00785FA3" w:rsidP="0069424D">
      <w:pPr>
        <w:pStyle w:val="Textoindependiente"/>
        <w:spacing w:line="276" w:lineRule="auto"/>
        <w:rPr>
          <w:rFonts w:ascii="Georgia" w:hAnsi="Georgia"/>
          <w:szCs w:val="24"/>
          <w:lang w:val="es-419"/>
        </w:rPr>
      </w:pPr>
    </w:p>
    <w:p w14:paraId="156E1B91" w14:textId="77777777" w:rsidR="00785FA3" w:rsidRPr="0069424D" w:rsidRDefault="00785FA3" w:rsidP="0069424D">
      <w:pPr>
        <w:pStyle w:val="Textoindependiente"/>
        <w:spacing w:line="276" w:lineRule="auto"/>
        <w:rPr>
          <w:rFonts w:ascii="Georgia" w:hAnsi="Georgia"/>
          <w:szCs w:val="24"/>
          <w:lang w:val="es-419"/>
        </w:rPr>
      </w:pPr>
      <w:r w:rsidRPr="0069424D">
        <w:rPr>
          <w:rFonts w:ascii="Georgia" w:hAnsi="Georgia"/>
          <w:szCs w:val="24"/>
          <w:lang w:val="es-419"/>
        </w:rPr>
        <w:t>La impugnación suscitada en el trámite constitucional ya referido, una vez se ha cumplido la actuación de primera instancia.</w:t>
      </w:r>
    </w:p>
    <w:p w14:paraId="3C244698" w14:textId="436219A7" w:rsidR="00785FA3" w:rsidRPr="0069424D" w:rsidRDefault="00785FA3" w:rsidP="0069424D">
      <w:pPr>
        <w:pStyle w:val="Textoindependiente"/>
        <w:spacing w:line="276" w:lineRule="auto"/>
        <w:rPr>
          <w:rFonts w:ascii="Georgia" w:hAnsi="Georgia"/>
          <w:szCs w:val="24"/>
          <w:lang w:val="es-419"/>
        </w:rPr>
      </w:pPr>
    </w:p>
    <w:p w14:paraId="257EF9A1" w14:textId="77777777" w:rsidR="0026655F" w:rsidRPr="0069424D" w:rsidRDefault="0026655F" w:rsidP="0069424D">
      <w:pPr>
        <w:pStyle w:val="Textoindependiente"/>
        <w:spacing w:line="276" w:lineRule="auto"/>
        <w:rPr>
          <w:rFonts w:ascii="Georgia" w:hAnsi="Georgia"/>
          <w:szCs w:val="24"/>
          <w:lang w:val="es-419"/>
        </w:rPr>
      </w:pPr>
    </w:p>
    <w:p w14:paraId="56B5028B" w14:textId="486E7A42" w:rsidR="00785FA3" w:rsidRPr="0069424D" w:rsidRDefault="00785FA3" w:rsidP="0069424D">
      <w:pPr>
        <w:pStyle w:val="Textoindependiente"/>
        <w:numPr>
          <w:ilvl w:val="0"/>
          <w:numId w:val="1"/>
        </w:numPr>
        <w:spacing w:line="276" w:lineRule="auto"/>
        <w:rPr>
          <w:rFonts w:ascii="Georgia" w:hAnsi="Georgia"/>
          <w:bCs/>
          <w:smallCaps/>
          <w:szCs w:val="24"/>
          <w:lang w:val="es-419"/>
        </w:rPr>
      </w:pPr>
      <w:r w:rsidRPr="0069424D">
        <w:rPr>
          <w:rFonts w:ascii="Georgia" w:hAnsi="Georgia"/>
          <w:bCs/>
          <w:smallCaps/>
          <w:szCs w:val="24"/>
          <w:lang w:val="es-419"/>
        </w:rPr>
        <w:t>La síntesis fáctica</w:t>
      </w:r>
      <w:r w:rsidR="230CFAD6" w:rsidRPr="0069424D">
        <w:rPr>
          <w:rFonts w:ascii="Georgia" w:hAnsi="Georgia"/>
          <w:bCs/>
          <w:smallCaps/>
          <w:szCs w:val="24"/>
          <w:lang w:val="es-419"/>
        </w:rPr>
        <w:t xml:space="preserve"> relevante</w:t>
      </w:r>
    </w:p>
    <w:p w14:paraId="792F79B7" w14:textId="77777777" w:rsidR="00833986" w:rsidRPr="0069424D" w:rsidRDefault="00833986" w:rsidP="0069424D">
      <w:pPr>
        <w:pStyle w:val="Textoindependiente"/>
        <w:spacing w:line="276" w:lineRule="auto"/>
        <w:rPr>
          <w:rFonts w:ascii="Georgia" w:hAnsi="Georgia" w:cs="Arial"/>
          <w:szCs w:val="24"/>
        </w:rPr>
      </w:pPr>
    </w:p>
    <w:p w14:paraId="2D5D5EE9" w14:textId="59EA8649" w:rsidR="00260884" w:rsidRDefault="00713834" w:rsidP="0069424D">
      <w:pPr>
        <w:pStyle w:val="Textoindependiente"/>
        <w:spacing w:line="276" w:lineRule="auto"/>
        <w:rPr>
          <w:rFonts w:ascii="Georgia" w:hAnsi="Georgia"/>
          <w:szCs w:val="24"/>
        </w:rPr>
      </w:pPr>
      <w:r w:rsidRPr="0069424D">
        <w:rPr>
          <w:rFonts w:ascii="Georgia" w:hAnsi="Georgia"/>
          <w:szCs w:val="24"/>
        </w:rPr>
        <w:t xml:space="preserve">Informa la actora que </w:t>
      </w:r>
      <w:r w:rsidR="0026655F" w:rsidRPr="0069424D">
        <w:rPr>
          <w:rFonts w:ascii="Georgia" w:hAnsi="Georgia"/>
          <w:szCs w:val="24"/>
        </w:rPr>
        <w:t>su padre</w:t>
      </w:r>
      <w:r w:rsidR="00B10630" w:rsidRPr="0069424D">
        <w:rPr>
          <w:rFonts w:ascii="Georgia" w:hAnsi="Georgia"/>
          <w:szCs w:val="24"/>
        </w:rPr>
        <w:t xml:space="preserve">, señor </w:t>
      </w:r>
      <w:r w:rsidR="0026655F" w:rsidRPr="0069424D">
        <w:rPr>
          <w:rFonts w:ascii="Georgia" w:hAnsi="Georgia"/>
          <w:szCs w:val="24"/>
        </w:rPr>
        <w:t>Manuel Salvador Estrada García</w:t>
      </w:r>
      <w:r w:rsidR="00B10630" w:rsidRPr="0069424D">
        <w:rPr>
          <w:rFonts w:ascii="Georgia" w:hAnsi="Georgia"/>
          <w:szCs w:val="24"/>
        </w:rPr>
        <w:t xml:space="preserve">, </w:t>
      </w:r>
      <w:r w:rsidR="002E1E38" w:rsidRPr="0069424D">
        <w:rPr>
          <w:rFonts w:ascii="Georgia" w:hAnsi="Georgia"/>
          <w:szCs w:val="24"/>
        </w:rPr>
        <w:t xml:space="preserve">era beneficiario de </w:t>
      </w:r>
      <w:r w:rsidRPr="0069424D">
        <w:rPr>
          <w:rFonts w:ascii="Georgia" w:hAnsi="Georgia"/>
          <w:szCs w:val="24"/>
        </w:rPr>
        <w:t xml:space="preserve">una </w:t>
      </w:r>
      <w:r w:rsidR="002E1E38" w:rsidRPr="0069424D">
        <w:rPr>
          <w:rFonts w:ascii="Georgia" w:hAnsi="Georgia"/>
          <w:szCs w:val="24"/>
        </w:rPr>
        <w:t xml:space="preserve">pensión de vejez, y falleció el </w:t>
      </w:r>
      <w:r w:rsidR="0026655F" w:rsidRPr="0069424D">
        <w:rPr>
          <w:rFonts w:ascii="Georgia" w:hAnsi="Georgia"/>
          <w:szCs w:val="24"/>
        </w:rPr>
        <w:t>16-11-2016</w:t>
      </w:r>
      <w:r w:rsidR="00B10630" w:rsidRPr="0069424D">
        <w:rPr>
          <w:rFonts w:ascii="Georgia" w:hAnsi="Georgia"/>
          <w:szCs w:val="24"/>
        </w:rPr>
        <w:t xml:space="preserve">. </w:t>
      </w:r>
      <w:r w:rsidR="0026655F" w:rsidRPr="0069424D">
        <w:rPr>
          <w:rFonts w:ascii="Georgia" w:hAnsi="Georgia"/>
          <w:szCs w:val="24"/>
        </w:rPr>
        <w:t xml:space="preserve">Fue calificada con una pérdida de capacidad laboral del 51,05% y solicitó a Colpensiones </w:t>
      </w:r>
      <w:r w:rsidR="002E1E38" w:rsidRPr="0069424D">
        <w:rPr>
          <w:rFonts w:ascii="Georgia" w:hAnsi="Georgia"/>
          <w:szCs w:val="24"/>
        </w:rPr>
        <w:t xml:space="preserve">el reconocimiento </w:t>
      </w:r>
      <w:r w:rsidR="00B10630" w:rsidRPr="0069424D">
        <w:rPr>
          <w:rFonts w:ascii="Georgia" w:hAnsi="Georgia"/>
          <w:szCs w:val="24"/>
        </w:rPr>
        <w:t xml:space="preserve">pensional como sobreviviente </w:t>
      </w:r>
      <w:r w:rsidR="007B2BA1" w:rsidRPr="0069424D">
        <w:rPr>
          <w:rFonts w:ascii="Georgia" w:hAnsi="Georgia"/>
          <w:szCs w:val="24"/>
        </w:rPr>
        <w:t>(Sustitución pensional)</w:t>
      </w:r>
      <w:r w:rsidR="0026655F" w:rsidRPr="0069424D">
        <w:rPr>
          <w:rFonts w:ascii="Georgia" w:hAnsi="Georgia"/>
          <w:szCs w:val="24"/>
        </w:rPr>
        <w:t xml:space="preserve">, </w:t>
      </w:r>
      <w:proofErr w:type="spellStart"/>
      <w:r w:rsidR="0026655F" w:rsidRPr="0069424D">
        <w:rPr>
          <w:rFonts w:ascii="Georgia" w:hAnsi="Georgia"/>
          <w:szCs w:val="24"/>
        </w:rPr>
        <w:t>mas</w:t>
      </w:r>
      <w:proofErr w:type="spellEnd"/>
      <w:r w:rsidR="0026655F" w:rsidRPr="0069424D">
        <w:rPr>
          <w:rFonts w:ascii="Georgia" w:hAnsi="Georgia"/>
          <w:szCs w:val="24"/>
        </w:rPr>
        <w:t xml:space="preserve"> la desestimó porque se estructuró con posterioridad al deceso de su progenitor, sin tener en cuenta que de tiempo atrás padece las enfermedades crónicas calificadas. A</w:t>
      </w:r>
      <w:r w:rsidR="007B2BA1" w:rsidRPr="0069424D">
        <w:rPr>
          <w:rFonts w:ascii="Georgia" w:hAnsi="Georgia"/>
          <w:szCs w:val="24"/>
        </w:rPr>
        <w:t>greg</w:t>
      </w:r>
      <w:r w:rsidRPr="0069424D">
        <w:rPr>
          <w:rFonts w:ascii="Georgia" w:hAnsi="Georgia"/>
          <w:szCs w:val="24"/>
        </w:rPr>
        <w:t>a</w:t>
      </w:r>
      <w:r w:rsidR="007B2BA1" w:rsidRPr="0069424D">
        <w:rPr>
          <w:rFonts w:ascii="Georgia" w:hAnsi="Georgia"/>
          <w:szCs w:val="24"/>
        </w:rPr>
        <w:t xml:space="preserve"> que</w:t>
      </w:r>
      <w:r w:rsidR="0026655F" w:rsidRPr="0069424D">
        <w:rPr>
          <w:rFonts w:ascii="Georgia" w:hAnsi="Georgia"/>
          <w:szCs w:val="24"/>
        </w:rPr>
        <w:t xml:space="preserve"> c</w:t>
      </w:r>
      <w:r w:rsidR="007B2BA1" w:rsidRPr="0069424D">
        <w:rPr>
          <w:rFonts w:ascii="Georgia" w:hAnsi="Georgia"/>
          <w:szCs w:val="24"/>
        </w:rPr>
        <w:t xml:space="preserve">arece de </w:t>
      </w:r>
      <w:r w:rsidR="0026655F" w:rsidRPr="0069424D">
        <w:rPr>
          <w:rFonts w:ascii="Georgia" w:hAnsi="Georgia"/>
          <w:szCs w:val="24"/>
        </w:rPr>
        <w:t xml:space="preserve">ingresos para su subsistencia </w:t>
      </w:r>
      <w:r w:rsidR="00260884" w:rsidRPr="0069424D">
        <w:rPr>
          <w:rFonts w:ascii="Georgia" w:hAnsi="Georgia"/>
          <w:szCs w:val="24"/>
        </w:rPr>
        <w:t>(</w:t>
      </w:r>
      <w:r w:rsidR="00B84E4A" w:rsidRPr="0069424D">
        <w:rPr>
          <w:rFonts w:ascii="Georgia" w:hAnsi="Georgia"/>
          <w:szCs w:val="24"/>
        </w:rPr>
        <w:t xml:space="preserve">Cuaderno No.1, </w:t>
      </w:r>
      <w:proofErr w:type="spellStart"/>
      <w:r w:rsidR="0026655F" w:rsidRPr="0069424D">
        <w:rPr>
          <w:rFonts w:ascii="Georgia" w:hAnsi="Georgia"/>
          <w:szCs w:val="24"/>
        </w:rPr>
        <w:t>pdf</w:t>
      </w:r>
      <w:proofErr w:type="spellEnd"/>
      <w:r w:rsidR="0026655F" w:rsidRPr="0069424D">
        <w:rPr>
          <w:rFonts w:ascii="Georgia" w:hAnsi="Georgia"/>
          <w:szCs w:val="24"/>
        </w:rPr>
        <w:t xml:space="preserve"> </w:t>
      </w:r>
      <w:r w:rsidR="00B84E4A" w:rsidRPr="0069424D">
        <w:rPr>
          <w:rFonts w:ascii="Georgia" w:hAnsi="Georgia"/>
          <w:szCs w:val="24"/>
        </w:rPr>
        <w:t>No.</w:t>
      </w:r>
      <w:r w:rsidR="0026655F" w:rsidRPr="0069424D">
        <w:rPr>
          <w:rFonts w:ascii="Georgia" w:hAnsi="Georgia"/>
          <w:szCs w:val="24"/>
        </w:rPr>
        <w:t>02</w:t>
      </w:r>
      <w:r w:rsidR="00260884" w:rsidRPr="0069424D">
        <w:rPr>
          <w:rFonts w:ascii="Georgia" w:hAnsi="Georgia"/>
          <w:szCs w:val="24"/>
        </w:rPr>
        <w:t>).</w:t>
      </w:r>
    </w:p>
    <w:p w14:paraId="152E9163" w14:textId="368C47E6" w:rsidR="0069424D" w:rsidRDefault="0069424D" w:rsidP="0069424D">
      <w:pPr>
        <w:pStyle w:val="Textoindependiente"/>
        <w:spacing w:line="276" w:lineRule="auto"/>
        <w:rPr>
          <w:rFonts w:ascii="Georgia" w:hAnsi="Georgia"/>
          <w:szCs w:val="24"/>
        </w:rPr>
      </w:pPr>
    </w:p>
    <w:p w14:paraId="3EAF2097" w14:textId="77777777" w:rsidR="0069424D" w:rsidRPr="0069424D" w:rsidRDefault="0069424D" w:rsidP="0069424D">
      <w:pPr>
        <w:pStyle w:val="Textoindependiente"/>
        <w:spacing w:line="276" w:lineRule="auto"/>
        <w:rPr>
          <w:rFonts w:ascii="Georgia" w:hAnsi="Georgia"/>
          <w:szCs w:val="24"/>
        </w:rPr>
      </w:pPr>
    </w:p>
    <w:p w14:paraId="41ADE410" w14:textId="77777777" w:rsidR="000A42F5" w:rsidRPr="0069424D" w:rsidRDefault="000A42F5" w:rsidP="0069424D">
      <w:pPr>
        <w:pStyle w:val="Textoindependiente"/>
        <w:numPr>
          <w:ilvl w:val="0"/>
          <w:numId w:val="1"/>
        </w:numPr>
        <w:spacing w:line="276" w:lineRule="auto"/>
        <w:rPr>
          <w:rFonts w:ascii="Georgia" w:hAnsi="Georgia"/>
          <w:bCs/>
          <w:smallCaps/>
          <w:szCs w:val="24"/>
          <w:lang w:val="es-419"/>
        </w:rPr>
      </w:pPr>
      <w:r w:rsidRPr="0069424D">
        <w:rPr>
          <w:rFonts w:ascii="Georgia" w:hAnsi="Georgia"/>
          <w:bCs/>
          <w:smallCaps/>
          <w:szCs w:val="24"/>
          <w:lang w:val="es-CO"/>
        </w:rPr>
        <w:t xml:space="preserve">Los </w:t>
      </w:r>
      <w:r w:rsidRPr="0069424D">
        <w:rPr>
          <w:rFonts w:ascii="Georgia" w:hAnsi="Georgia"/>
          <w:bCs/>
          <w:smallCaps/>
          <w:szCs w:val="24"/>
          <w:lang w:val="es-419"/>
        </w:rPr>
        <w:t>derechos invocados</w:t>
      </w:r>
      <w:r w:rsidRPr="0069424D">
        <w:rPr>
          <w:rFonts w:ascii="Georgia" w:hAnsi="Georgia"/>
          <w:bCs/>
          <w:smallCaps/>
          <w:szCs w:val="24"/>
          <w:lang w:val="es-CO"/>
        </w:rPr>
        <w:t xml:space="preserve"> y su</w:t>
      </w:r>
      <w:r w:rsidRPr="0069424D">
        <w:rPr>
          <w:rFonts w:ascii="Georgia" w:hAnsi="Georgia"/>
          <w:bCs/>
          <w:smallCaps/>
          <w:szCs w:val="24"/>
          <w:lang w:val="es-419"/>
        </w:rPr>
        <w:t xml:space="preserve"> protección</w:t>
      </w:r>
    </w:p>
    <w:p w14:paraId="19E06B12" w14:textId="77777777" w:rsidR="004D73E2" w:rsidRPr="0069424D" w:rsidRDefault="004D73E2" w:rsidP="0069424D">
      <w:pPr>
        <w:pStyle w:val="Textoindependiente"/>
        <w:spacing w:line="276" w:lineRule="auto"/>
        <w:rPr>
          <w:rFonts w:ascii="Georgia" w:hAnsi="Georgia"/>
          <w:szCs w:val="24"/>
          <w:lang w:val="es-419"/>
        </w:rPr>
      </w:pPr>
    </w:p>
    <w:p w14:paraId="7A7616A7" w14:textId="7C52AF09" w:rsidR="00B84E4A" w:rsidRPr="0069424D" w:rsidRDefault="0026655F" w:rsidP="0069424D">
      <w:pPr>
        <w:pStyle w:val="Textoindependiente"/>
        <w:spacing w:line="276" w:lineRule="auto"/>
        <w:rPr>
          <w:rFonts w:ascii="Georgia" w:hAnsi="Georgia"/>
          <w:szCs w:val="24"/>
        </w:rPr>
      </w:pPr>
      <w:r w:rsidRPr="0069424D">
        <w:rPr>
          <w:rFonts w:ascii="Georgia" w:hAnsi="Georgia"/>
          <w:szCs w:val="24"/>
          <w:lang w:val="es-419"/>
        </w:rPr>
        <w:t>El mínimo vital, la dignidad humana, la igualdad y la seguridad social</w:t>
      </w:r>
      <w:r w:rsidR="00C0365A" w:rsidRPr="0069424D">
        <w:rPr>
          <w:rFonts w:ascii="Georgia" w:hAnsi="Georgia"/>
          <w:szCs w:val="24"/>
          <w:lang w:val="es-419"/>
        </w:rPr>
        <w:t xml:space="preserve">. </w:t>
      </w:r>
      <w:r w:rsidRPr="0069424D">
        <w:rPr>
          <w:rFonts w:ascii="Georgia" w:hAnsi="Georgia"/>
          <w:szCs w:val="24"/>
          <w:lang w:val="es-419"/>
        </w:rPr>
        <w:t xml:space="preserve">Solicitó </w:t>
      </w:r>
      <w:r w:rsidR="00B84E4A" w:rsidRPr="0069424D">
        <w:rPr>
          <w:rFonts w:ascii="Georgia" w:hAnsi="Georgia"/>
          <w:szCs w:val="24"/>
          <w:lang w:val="es-419"/>
        </w:rPr>
        <w:t xml:space="preserve">ordenar a Colpensiones </w:t>
      </w:r>
      <w:r w:rsidRPr="0069424D">
        <w:rPr>
          <w:rFonts w:ascii="Georgia" w:hAnsi="Georgia"/>
          <w:szCs w:val="24"/>
          <w:lang w:val="es-419"/>
        </w:rPr>
        <w:t>r</w:t>
      </w:r>
      <w:r w:rsidR="00953B30" w:rsidRPr="0069424D">
        <w:rPr>
          <w:rFonts w:ascii="Georgia" w:hAnsi="Georgia"/>
          <w:szCs w:val="24"/>
          <w:lang w:val="es-419"/>
        </w:rPr>
        <w:t xml:space="preserve">econocer y pagar la </w:t>
      </w:r>
      <w:r w:rsidRPr="0069424D">
        <w:rPr>
          <w:rFonts w:ascii="Georgia" w:hAnsi="Georgia"/>
          <w:szCs w:val="24"/>
          <w:lang w:val="es-419"/>
        </w:rPr>
        <w:t>sustitución pensional</w:t>
      </w:r>
      <w:r w:rsidR="00713834" w:rsidRPr="0069424D">
        <w:rPr>
          <w:rFonts w:ascii="Georgia" w:hAnsi="Georgia"/>
          <w:szCs w:val="24"/>
          <w:lang w:val="es-419"/>
        </w:rPr>
        <w:t xml:space="preserve"> </w:t>
      </w:r>
      <w:r w:rsidR="00C0365A" w:rsidRPr="0069424D">
        <w:rPr>
          <w:rFonts w:ascii="Georgia" w:hAnsi="Georgia"/>
          <w:szCs w:val="24"/>
        </w:rPr>
        <w:t xml:space="preserve">(Cuaderno No.1, </w:t>
      </w:r>
      <w:proofErr w:type="spellStart"/>
      <w:r w:rsidRPr="0069424D">
        <w:rPr>
          <w:rFonts w:ascii="Georgia" w:hAnsi="Georgia"/>
          <w:szCs w:val="24"/>
        </w:rPr>
        <w:t>pdf</w:t>
      </w:r>
      <w:proofErr w:type="spellEnd"/>
      <w:r w:rsidRPr="0069424D">
        <w:rPr>
          <w:rFonts w:ascii="Georgia" w:hAnsi="Georgia"/>
          <w:szCs w:val="24"/>
        </w:rPr>
        <w:t xml:space="preserve"> No.02</w:t>
      </w:r>
      <w:r w:rsidR="00C0365A" w:rsidRPr="0069424D">
        <w:rPr>
          <w:rFonts w:ascii="Georgia" w:hAnsi="Georgia"/>
          <w:szCs w:val="24"/>
        </w:rPr>
        <w:t>).</w:t>
      </w:r>
    </w:p>
    <w:p w14:paraId="35E9872E" w14:textId="0B11ECED" w:rsidR="00C0365A" w:rsidRPr="0069424D" w:rsidRDefault="00C0365A" w:rsidP="0069424D">
      <w:pPr>
        <w:pStyle w:val="Textoindependiente"/>
        <w:spacing w:line="276" w:lineRule="auto"/>
        <w:rPr>
          <w:rFonts w:ascii="Georgia" w:hAnsi="Georgia"/>
          <w:szCs w:val="24"/>
        </w:rPr>
      </w:pPr>
    </w:p>
    <w:p w14:paraId="49BAEEED" w14:textId="77777777" w:rsidR="0026655F" w:rsidRPr="0069424D" w:rsidRDefault="0026655F" w:rsidP="0069424D">
      <w:pPr>
        <w:pStyle w:val="Textoindependiente"/>
        <w:spacing w:line="276" w:lineRule="auto"/>
        <w:rPr>
          <w:rFonts w:ascii="Georgia" w:hAnsi="Georgia"/>
          <w:szCs w:val="24"/>
        </w:rPr>
      </w:pPr>
    </w:p>
    <w:p w14:paraId="7AA022D6" w14:textId="77777777" w:rsidR="00785FA3" w:rsidRPr="0069424D" w:rsidRDefault="00785FA3" w:rsidP="0069424D">
      <w:pPr>
        <w:pStyle w:val="Textoindependiente"/>
        <w:widowControl w:val="0"/>
        <w:numPr>
          <w:ilvl w:val="0"/>
          <w:numId w:val="1"/>
        </w:numPr>
        <w:spacing w:line="276" w:lineRule="auto"/>
        <w:rPr>
          <w:rFonts w:ascii="Georgia" w:hAnsi="Georgia"/>
          <w:bCs/>
          <w:smallCaps/>
          <w:szCs w:val="24"/>
          <w:lang w:val="es-419"/>
        </w:rPr>
      </w:pPr>
      <w:r w:rsidRPr="0069424D">
        <w:rPr>
          <w:rFonts w:ascii="Georgia" w:hAnsi="Georgia"/>
          <w:bCs/>
          <w:smallCaps/>
          <w:szCs w:val="24"/>
          <w:lang w:val="es-419"/>
        </w:rPr>
        <w:t>La sinopsis de la crónica procesal</w:t>
      </w:r>
    </w:p>
    <w:p w14:paraId="68B11E2F" w14:textId="77777777" w:rsidR="00953B30" w:rsidRPr="0069424D" w:rsidRDefault="00953B30" w:rsidP="0069424D">
      <w:pPr>
        <w:pStyle w:val="Textoindependiente"/>
        <w:widowControl w:val="0"/>
        <w:spacing w:line="276" w:lineRule="auto"/>
        <w:rPr>
          <w:rFonts w:ascii="Georgia" w:hAnsi="Georgia"/>
          <w:szCs w:val="24"/>
          <w:lang w:val="es-CO"/>
        </w:rPr>
      </w:pPr>
    </w:p>
    <w:p w14:paraId="5BF25372" w14:textId="73BD087F" w:rsidR="00552FFA" w:rsidRPr="0069424D" w:rsidRDefault="0026655F" w:rsidP="0069424D">
      <w:pPr>
        <w:pStyle w:val="Textoindependiente"/>
        <w:widowControl w:val="0"/>
        <w:spacing w:line="276" w:lineRule="auto"/>
        <w:rPr>
          <w:rFonts w:ascii="Georgia" w:hAnsi="Georgia"/>
          <w:szCs w:val="24"/>
          <w:lang w:val="es-419"/>
        </w:rPr>
      </w:pPr>
      <w:r w:rsidRPr="0069424D">
        <w:rPr>
          <w:rFonts w:ascii="Georgia" w:hAnsi="Georgia"/>
          <w:szCs w:val="24"/>
          <w:lang w:val="es-CO"/>
        </w:rPr>
        <w:t>Con</w:t>
      </w:r>
      <w:r w:rsidR="00B84E4A" w:rsidRPr="0069424D">
        <w:rPr>
          <w:rFonts w:ascii="Georgia" w:hAnsi="Georgia"/>
          <w:szCs w:val="24"/>
          <w:lang w:val="es-CO"/>
        </w:rPr>
        <w:t xml:space="preserve"> auto del </w:t>
      </w:r>
      <w:r w:rsidRPr="0069424D">
        <w:rPr>
          <w:rFonts w:ascii="Georgia" w:hAnsi="Georgia"/>
          <w:szCs w:val="24"/>
          <w:lang w:val="es-CO"/>
        </w:rPr>
        <w:t xml:space="preserve">19-04-2022 se </w:t>
      </w:r>
      <w:r w:rsidR="00785FA3" w:rsidRPr="0069424D">
        <w:rPr>
          <w:rFonts w:ascii="Georgia" w:hAnsi="Georgia"/>
          <w:szCs w:val="24"/>
          <w:lang w:val="es-CO"/>
        </w:rPr>
        <w:t>admitió</w:t>
      </w:r>
      <w:r w:rsidR="00EE1567" w:rsidRPr="0069424D">
        <w:rPr>
          <w:rFonts w:ascii="Georgia" w:hAnsi="Georgia"/>
          <w:szCs w:val="24"/>
          <w:lang w:val="es-CO"/>
        </w:rPr>
        <w:t xml:space="preserve"> </w:t>
      </w:r>
      <w:r w:rsidR="00B84E4A" w:rsidRPr="0069424D">
        <w:rPr>
          <w:rFonts w:ascii="Georgia" w:hAnsi="Georgia"/>
          <w:szCs w:val="24"/>
          <w:lang w:val="es-CO"/>
        </w:rPr>
        <w:t xml:space="preserve">la tutela </w:t>
      </w:r>
      <w:r w:rsidRPr="0069424D">
        <w:rPr>
          <w:rFonts w:ascii="Georgia" w:hAnsi="Georgia"/>
          <w:szCs w:val="24"/>
          <w:lang w:val="es-CO"/>
        </w:rPr>
        <w:t xml:space="preserve">y se decretaron pruebas </w:t>
      </w:r>
      <w:r w:rsidR="00785FA3" w:rsidRPr="0069424D">
        <w:rPr>
          <w:rFonts w:ascii="Georgia" w:hAnsi="Georgia"/>
          <w:szCs w:val="24"/>
          <w:lang w:val="es-CO"/>
        </w:rPr>
        <w:t>(</w:t>
      </w:r>
      <w:r w:rsidR="00B84E4A" w:rsidRPr="0069424D">
        <w:rPr>
          <w:rFonts w:ascii="Georgia" w:hAnsi="Georgia"/>
          <w:szCs w:val="24"/>
          <w:lang w:val="es-CO"/>
        </w:rPr>
        <w:t xml:space="preserve">Cuaderno No.1, </w:t>
      </w:r>
      <w:proofErr w:type="spellStart"/>
      <w:r w:rsidRPr="0069424D">
        <w:rPr>
          <w:rFonts w:ascii="Georgia" w:hAnsi="Georgia"/>
          <w:szCs w:val="24"/>
          <w:lang w:val="es-CO"/>
        </w:rPr>
        <w:t>pdf</w:t>
      </w:r>
      <w:proofErr w:type="spellEnd"/>
      <w:r w:rsidRPr="0069424D">
        <w:rPr>
          <w:rFonts w:ascii="Georgia" w:hAnsi="Georgia"/>
          <w:szCs w:val="24"/>
          <w:lang w:val="es-CO"/>
        </w:rPr>
        <w:t xml:space="preserve"> </w:t>
      </w:r>
      <w:r w:rsidR="00C0365A" w:rsidRPr="0069424D">
        <w:rPr>
          <w:rFonts w:ascii="Georgia" w:hAnsi="Georgia"/>
          <w:szCs w:val="24"/>
          <w:lang w:val="es-CO"/>
        </w:rPr>
        <w:t>No.</w:t>
      </w:r>
      <w:r w:rsidRPr="0069424D">
        <w:rPr>
          <w:rFonts w:ascii="Georgia" w:hAnsi="Georgia"/>
          <w:szCs w:val="24"/>
          <w:lang w:val="es-CO"/>
        </w:rPr>
        <w:t>03</w:t>
      </w:r>
      <w:r w:rsidR="00B84E4A" w:rsidRPr="0069424D">
        <w:rPr>
          <w:rFonts w:ascii="Georgia" w:hAnsi="Georgia"/>
          <w:szCs w:val="24"/>
          <w:lang w:val="es-CO"/>
        </w:rPr>
        <w:t>)</w:t>
      </w:r>
      <w:r w:rsidR="002D033F" w:rsidRPr="0069424D">
        <w:rPr>
          <w:rFonts w:ascii="Georgia" w:hAnsi="Georgia"/>
          <w:szCs w:val="24"/>
          <w:lang w:val="es-CO"/>
        </w:rPr>
        <w:t>; e</w:t>
      </w:r>
      <w:r w:rsidR="00785FA3" w:rsidRPr="0069424D">
        <w:rPr>
          <w:rFonts w:ascii="Georgia" w:hAnsi="Georgia"/>
          <w:szCs w:val="24"/>
          <w:lang w:val="es-CO"/>
        </w:rPr>
        <w:t xml:space="preserve">l </w:t>
      </w:r>
      <w:r w:rsidRPr="0069424D">
        <w:rPr>
          <w:rFonts w:ascii="Georgia" w:hAnsi="Georgia"/>
          <w:szCs w:val="24"/>
          <w:lang w:val="es-CO"/>
        </w:rPr>
        <w:t xml:space="preserve">02-05-2022 se falló </w:t>
      </w:r>
      <w:r w:rsidR="00C2660D" w:rsidRPr="0069424D">
        <w:rPr>
          <w:rFonts w:ascii="Georgia" w:hAnsi="Georgia"/>
          <w:szCs w:val="24"/>
          <w:lang w:val="es-CO"/>
        </w:rPr>
        <w:t>(</w:t>
      </w:r>
      <w:r w:rsidRPr="0069424D">
        <w:rPr>
          <w:rFonts w:ascii="Georgia" w:hAnsi="Georgia"/>
          <w:szCs w:val="24"/>
          <w:lang w:val="es-CO"/>
        </w:rPr>
        <w:t>Ibidem</w:t>
      </w:r>
      <w:r w:rsidR="002D033F" w:rsidRPr="0069424D">
        <w:rPr>
          <w:rFonts w:ascii="Georgia" w:hAnsi="Georgia"/>
          <w:szCs w:val="24"/>
          <w:lang w:val="es-CO"/>
        </w:rPr>
        <w:t xml:space="preserve">, </w:t>
      </w:r>
      <w:proofErr w:type="spellStart"/>
      <w:r w:rsidRPr="0069424D">
        <w:rPr>
          <w:rFonts w:ascii="Georgia" w:hAnsi="Georgia"/>
          <w:szCs w:val="24"/>
          <w:lang w:val="es-CO"/>
        </w:rPr>
        <w:t>pdf</w:t>
      </w:r>
      <w:proofErr w:type="spellEnd"/>
      <w:r w:rsidRPr="0069424D">
        <w:rPr>
          <w:rFonts w:ascii="Georgia" w:hAnsi="Georgia"/>
          <w:szCs w:val="24"/>
          <w:lang w:val="es-CO"/>
        </w:rPr>
        <w:t xml:space="preserve"> </w:t>
      </w:r>
      <w:r w:rsidR="002D033F" w:rsidRPr="0069424D">
        <w:rPr>
          <w:rFonts w:ascii="Georgia" w:hAnsi="Georgia"/>
          <w:szCs w:val="24"/>
          <w:lang w:val="es-CO"/>
        </w:rPr>
        <w:t>No.</w:t>
      </w:r>
      <w:r w:rsidRPr="0069424D">
        <w:rPr>
          <w:rFonts w:ascii="Georgia" w:hAnsi="Georgia"/>
          <w:szCs w:val="24"/>
          <w:lang w:val="es-CO"/>
        </w:rPr>
        <w:t>07</w:t>
      </w:r>
      <w:r w:rsidR="00C2660D" w:rsidRPr="0069424D">
        <w:rPr>
          <w:rFonts w:ascii="Georgia" w:hAnsi="Georgia"/>
          <w:szCs w:val="24"/>
          <w:lang w:val="es-CO"/>
        </w:rPr>
        <w:t>)</w:t>
      </w:r>
      <w:r w:rsidR="002D033F" w:rsidRPr="0069424D">
        <w:rPr>
          <w:rFonts w:ascii="Georgia" w:hAnsi="Georgia"/>
          <w:szCs w:val="24"/>
          <w:lang w:val="es-CO"/>
        </w:rPr>
        <w:t>; y</w:t>
      </w:r>
      <w:r w:rsidR="00785FA3" w:rsidRPr="0069424D">
        <w:rPr>
          <w:rFonts w:ascii="Georgia" w:hAnsi="Georgia"/>
          <w:szCs w:val="24"/>
          <w:lang w:val="es-419"/>
        </w:rPr>
        <w:t xml:space="preserve">, el </w:t>
      </w:r>
      <w:r w:rsidRPr="0069424D">
        <w:rPr>
          <w:rFonts w:ascii="Georgia" w:hAnsi="Georgia"/>
          <w:szCs w:val="24"/>
          <w:lang w:val="es-CO"/>
        </w:rPr>
        <w:t xml:space="preserve">09-05-2022 se </w:t>
      </w:r>
      <w:r w:rsidR="00785FA3" w:rsidRPr="0069424D">
        <w:rPr>
          <w:rFonts w:ascii="Georgia" w:hAnsi="Georgia"/>
          <w:szCs w:val="24"/>
          <w:lang w:val="es-419"/>
        </w:rPr>
        <w:t xml:space="preserve">concedió la impugnación </w:t>
      </w:r>
      <w:r w:rsidR="002D033F" w:rsidRPr="0069424D">
        <w:rPr>
          <w:rFonts w:ascii="Georgia" w:hAnsi="Georgia"/>
          <w:szCs w:val="24"/>
          <w:lang w:val="es-419"/>
        </w:rPr>
        <w:t>(</w:t>
      </w:r>
      <w:r w:rsidRPr="0069424D">
        <w:rPr>
          <w:rFonts w:ascii="Georgia" w:hAnsi="Georgia"/>
          <w:szCs w:val="24"/>
          <w:lang w:val="es-419"/>
        </w:rPr>
        <w:t xml:space="preserve">Ibidem, </w:t>
      </w:r>
      <w:proofErr w:type="spellStart"/>
      <w:r w:rsidRPr="0069424D">
        <w:rPr>
          <w:rFonts w:ascii="Georgia" w:hAnsi="Georgia"/>
          <w:szCs w:val="24"/>
          <w:lang w:val="es-419"/>
        </w:rPr>
        <w:t>pdf</w:t>
      </w:r>
      <w:proofErr w:type="spellEnd"/>
      <w:r w:rsidRPr="0069424D">
        <w:rPr>
          <w:rFonts w:ascii="Georgia" w:hAnsi="Georgia"/>
          <w:szCs w:val="24"/>
          <w:lang w:val="es-419"/>
        </w:rPr>
        <w:t xml:space="preserve"> </w:t>
      </w:r>
      <w:r w:rsidR="002D033F" w:rsidRPr="0069424D">
        <w:rPr>
          <w:rFonts w:ascii="Georgia" w:hAnsi="Georgia"/>
          <w:szCs w:val="24"/>
          <w:lang w:val="es-419"/>
        </w:rPr>
        <w:t>No.</w:t>
      </w:r>
      <w:r w:rsidRPr="0069424D">
        <w:rPr>
          <w:rFonts w:ascii="Georgia" w:hAnsi="Georgia"/>
          <w:szCs w:val="24"/>
          <w:lang w:val="es-419"/>
        </w:rPr>
        <w:t>10</w:t>
      </w:r>
      <w:r w:rsidR="002D033F" w:rsidRPr="0069424D">
        <w:rPr>
          <w:rFonts w:ascii="Georgia" w:hAnsi="Georgia"/>
          <w:szCs w:val="24"/>
          <w:lang w:val="es-419"/>
        </w:rPr>
        <w:t>).</w:t>
      </w:r>
      <w:r w:rsidR="002C53E4" w:rsidRPr="0069424D">
        <w:rPr>
          <w:rFonts w:ascii="Georgia" w:hAnsi="Georgia"/>
          <w:szCs w:val="24"/>
          <w:lang w:val="es-419"/>
        </w:rPr>
        <w:t xml:space="preserve"> </w:t>
      </w:r>
    </w:p>
    <w:p w14:paraId="6E2B1410" w14:textId="77777777" w:rsidR="00552FFA" w:rsidRPr="0069424D" w:rsidRDefault="00552FFA" w:rsidP="0069424D">
      <w:pPr>
        <w:pStyle w:val="Textoindependiente"/>
        <w:widowControl w:val="0"/>
        <w:spacing w:line="276" w:lineRule="auto"/>
        <w:rPr>
          <w:rFonts w:ascii="Georgia" w:hAnsi="Georgia"/>
          <w:szCs w:val="24"/>
          <w:lang w:val="es-419"/>
        </w:rPr>
      </w:pPr>
    </w:p>
    <w:p w14:paraId="5A8912D6" w14:textId="18525CA7" w:rsidR="00BE29B4" w:rsidRPr="0069424D" w:rsidRDefault="0026655F" w:rsidP="0069424D">
      <w:pPr>
        <w:pStyle w:val="Textoindependiente"/>
        <w:widowControl w:val="0"/>
        <w:spacing w:line="276" w:lineRule="auto"/>
        <w:rPr>
          <w:rFonts w:ascii="Georgia" w:hAnsi="Georgia"/>
          <w:szCs w:val="24"/>
          <w:lang w:val="es-CO"/>
        </w:rPr>
      </w:pPr>
      <w:r w:rsidRPr="0069424D">
        <w:rPr>
          <w:rFonts w:ascii="Georgia" w:hAnsi="Georgia"/>
          <w:szCs w:val="24"/>
          <w:lang w:val="es-419"/>
        </w:rPr>
        <w:t xml:space="preserve">La sentencia </w:t>
      </w:r>
      <w:r w:rsidR="00763C6A" w:rsidRPr="0069424D">
        <w:rPr>
          <w:rFonts w:ascii="Georgia" w:hAnsi="Georgia"/>
          <w:szCs w:val="24"/>
          <w:lang w:val="es-419"/>
        </w:rPr>
        <w:t>declaró improcedente el amparo por carecer de subsidiariedad. Es inexistente la posible causación de un perjuicio irremediable, la accionante demoró siete (7) meses en reclamar la subvención y pretirió probar la dependencia económica (Ibidem</w:t>
      </w:r>
      <w:r w:rsidR="004217ED" w:rsidRPr="0069424D">
        <w:rPr>
          <w:rFonts w:ascii="Georgia" w:hAnsi="Georgia"/>
          <w:szCs w:val="24"/>
          <w:lang w:val="es-419"/>
        </w:rPr>
        <w:t xml:space="preserve">, </w:t>
      </w:r>
      <w:proofErr w:type="spellStart"/>
      <w:r w:rsidR="00763C6A" w:rsidRPr="0069424D">
        <w:rPr>
          <w:rFonts w:ascii="Georgia" w:hAnsi="Georgia"/>
          <w:szCs w:val="24"/>
          <w:lang w:val="es-419"/>
        </w:rPr>
        <w:t>pdf</w:t>
      </w:r>
      <w:proofErr w:type="spellEnd"/>
      <w:r w:rsidR="00763C6A" w:rsidRPr="0069424D">
        <w:rPr>
          <w:rFonts w:ascii="Georgia" w:hAnsi="Georgia"/>
          <w:szCs w:val="24"/>
          <w:lang w:val="es-419"/>
        </w:rPr>
        <w:t xml:space="preserve"> </w:t>
      </w:r>
      <w:r w:rsidR="004217ED" w:rsidRPr="0069424D">
        <w:rPr>
          <w:rFonts w:ascii="Georgia" w:hAnsi="Georgia"/>
          <w:szCs w:val="24"/>
          <w:lang w:val="es-419"/>
        </w:rPr>
        <w:t>No.</w:t>
      </w:r>
      <w:r w:rsidR="00763C6A" w:rsidRPr="0069424D">
        <w:rPr>
          <w:rFonts w:ascii="Georgia" w:hAnsi="Georgia"/>
          <w:szCs w:val="24"/>
          <w:lang w:val="es-419"/>
        </w:rPr>
        <w:t>07</w:t>
      </w:r>
      <w:r w:rsidR="004217ED" w:rsidRPr="0069424D">
        <w:rPr>
          <w:rFonts w:ascii="Georgia" w:hAnsi="Georgia"/>
          <w:szCs w:val="24"/>
          <w:lang w:val="es-419"/>
        </w:rPr>
        <w:t>).</w:t>
      </w:r>
      <w:r w:rsidR="00763C6A" w:rsidRPr="0069424D">
        <w:rPr>
          <w:rFonts w:ascii="Georgia" w:hAnsi="Georgia"/>
          <w:szCs w:val="24"/>
          <w:lang w:val="es-419"/>
        </w:rPr>
        <w:t xml:space="preserve"> </w:t>
      </w:r>
      <w:r w:rsidR="004217ED" w:rsidRPr="0069424D">
        <w:rPr>
          <w:rFonts w:ascii="Georgia" w:hAnsi="Georgia"/>
          <w:szCs w:val="24"/>
          <w:lang w:val="es-419"/>
        </w:rPr>
        <w:t xml:space="preserve">La </w:t>
      </w:r>
      <w:r w:rsidR="00763C6A" w:rsidRPr="0069424D">
        <w:rPr>
          <w:rFonts w:ascii="Georgia" w:hAnsi="Georgia"/>
          <w:szCs w:val="24"/>
          <w:lang w:val="es-419"/>
        </w:rPr>
        <w:t xml:space="preserve">actora </w:t>
      </w:r>
      <w:r w:rsidR="00763C6A" w:rsidRPr="0069424D">
        <w:rPr>
          <w:rFonts w:ascii="Georgia" w:hAnsi="Georgia"/>
          <w:szCs w:val="24"/>
          <w:lang w:val="es-CO"/>
        </w:rPr>
        <w:t xml:space="preserve">alega ineficacia del medio ordinario porque la justicia laboral no aplica el criterio jurisprudencia de la CC y advenimiento de perjuicio irremediable porque requiere de la pensión para su subsistencia </w:t>
      </w:r>
      <w:r w:rsidR="008B6185" w:rsidRPr="0069424D">
        <w:rPr>
          <w:rFonts w:ascii="Georgia" w:hAnsi="Georgia"/>
          <w:szCs w:val="24"/>
          <w:lang w:val="es-CO"/>
        </w:rPr>
        <w:t>(</w:t>
      </w:r>
      <w:r w:rsidR="00763C6A" w:rsidRPr="0069424D">
        <w:rPr>
          <w:rFonts w:ascii="Georgia" w:hAnsi="Georgia"/>
          <w:szCs w:val="24"/>
          <w:lang w:val="es-CO"/>
        </w:rPr>
        <w:t>Ib.,</w:t>
      </w:r>
      <w:r w:rsidR="008B6185" w:rsidRPr="0069424D">
        <w:rPr>
          <w:rFonts w:ascii="Georgia" w:hAnsi="Georgia"/>
          <w:szCs w:val="24"/>
          <w:lang w:val="es-CO"/>
        </w:rPr>
        <w:t xml:space="preserve"> </w:t>
      </w:r>
      <w:proofErr w:type="spellStart"/>
      <w:r w:rsidR="00763C6A" w:rsidRPr="0069424D">
        <w:rPr>
          <w:rFonts w:ascii="Georgia" w:hAnsi="Georgia"/>
          <w:szCs w:val="24"/>
          <w:lang w:val="es-CO"/>
        </w:rPr>
        <w:t>pdf</w:t>
      </w:r>
      <w:proofErr w:type="spellEnd"/>
      <w:r w:rsidR="00763C6A" w:rsidRPr="0069424D">
        <w:rPr>
          <w:rFonts w:ascii="Georgia" w:hAnsi="Georgia"/>
          <w:szCs w:val="24"/>
          <w:lang w:val="es-CO"/>
        </w:rPr>
        <w:t xml:space="preserve"> </w:t>
      </w:r>
      <w:r w:rsidR="008B6185" w:rsidRPr="0069424D">
        <w:rPr>
          <w:rFonts w:ascii="Georgia" w:hAnsi="Georgia"/>
          <w:szCs w:val="24"/>
          <w:lang w:val="es-CO"/>
        </w:rPr>
        <w:t>No.</w:t>
      </w:r>
      <w:r w:rsidR="00763C6A" w:rsidRPr="0069424D">
        <w:rPr>
          <w:rFonts w:ascii="Georgia" w:hAnsi="Georgia"/>
          <w:szCs w:val="24"/>
          <w:lang w:val="es-CO"/>
        </w:rPr>
        <w:t>09</w:t>
      </w:r>
      <w:r w:rsidR="008B6185" w:rsidRPr="0069424D">
        <w:rPr>
          <w:rFonts w:ascii="Georgia" w:hAnsi="Georgia"/>
          <w:szCs w:val="24"/>
          <w:lang w:val="es-CO"/>
        </w:rPr>
        <w:t>).</w:t>
      </w:r>
    </w:p>
    <w:p w14:paraId="315B6285" w14:textId="2AB92A0B" w:rsidR="00A830DF" w:rsidRPr="0069424D" w:rsidRDefault="00A830DF" w:rsidP="0069424D">
      <w:pPr>
        <w:pStyle w:val="Textoindependiente"/>
        <w:widowControl w:val="0"/>
        <w:spacing w:line="276" w:lineRule="auto"/>
        <w:rPr>
          <w:rFonts w:ascii="Georgia" w:hAnsi="Georgia"/>
          <w:szCs w:val="24"/>
          <w:lang w:val="es-CO"/>
        </w:rPr>
      </w:pPr>
    </w:p>
    <w:p w14:paraId="1C8EA464" w14:textId="77777777" w:rsidR="00763C6A" w:rsidRPr="0069424D" w:rsidRDefault="00763C6A" w:rsidP="0069424D">
      <w:pPr>
        <w:pStyle w:val="Textoindependiente"/>
        <w:widowControl w:val="0"/>
        <w:spacing w:line="276" w:lineRule="auto"/>
        <w:rPr>
          <w:rFonts w:ascii="Georgia" w:hAnsi="Georgia"/>
          <w:szCs w:val="24"/>
          <w:lang w:val="es-CO"/>
        </w:rPr>
      </w:pPr>
    </w:p>
    <w:p w14:paraId="2D74F6EE" w14:textId="77777777" w:rsidR="00785FA3" w:rsidRPr="0069424D" w:rsidRDefault="00785FA3" w:rsidP="0069424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Cs/>
          <w:smallCaps/>
          <w:szCs w:val="24"/>
          <w:lang w:val="es-419"/>
        </w:rPr>
      </w:pPr>
      <w:r w:rsidRPr="0069424D">
        <w:rPr>
          <w:rFonts w:ascii="Georgia" w:hAnsi="Georgia"/>
          <w:bCs/>
          <w:smallCaps/>
          <w:szCs w:val="24"/>
          <w:lang w:val="es-419"/>
        </w:rPr>
        <w:t>La fundamentación jurídica para resolver</w:t>
      </w:r>
    </w:p>
    <w:p w14:paraId="7B31D5A2" w14:textId="77777777" w:rsidR="00785FA3" w:rsidRPr="0069424D" w:rsidRDefault="00785FA3" w:rsidP="0069424D">
      <w:pPr>
        <w:pStyle w:val="Textoindependiente"/>
        <w:widowControl w:val="0"/>
        <w:spacing w:line="276" w:lineRule="auto"/>
        <w:ind w:left="708"/>
        <w:rPr>
          <w:rFonts w:ascii="Georgia" w:hAnsi="Georgia"/>
          <w:smallCaps/>
          <w:szCs w:val="24"/>
          <w:lang w:val="es-419"/>
        </w:rPr>
      </w:pPr>
    </w:p>
    <w:p w14:paraId="41DDAB80" w14:textId="3C94D971" w:rsidR="00785FA3" w:rsidRPr="0069424D" w:rsidRDefault="00785FA3" w:rsidP="0069424D">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pacing w:line="276" w:lineRule="auto"/>
        <w:ind w:left="0" w:firstLine="0"/>
        <w:rPr>
          <w:rFonts w:ascii="Georgia" w:hAnsi="Georgia"/>
          <w:szCs w:val="24"/>
          <w:lang w:val="es-419"/>
        </w:rPr>
      </w:pPr>
      <w:r w:rsidRPr="0069424D">
        <w:rPr>
          <w:rFonts w:ascii="Georgia" w:hAnsi="Georgia"/>
          <w:iCs/>
          <w:smallCaps/>
          <w:szCs w:val="24"/>
          <w:lang w:val="es-419"/>
        </w:rPr>
        <w:t>La competencia funcional</w:t>
      </w:r>
      <w:r w:rsidR="00763C6A" w:rsidRPr="0069424D">
        <w:rPr>
          <w:rFonts w:ascii="Georgia" w:hAnsi="Georgia"/>
          <w:iCs/>
          <w:smallCaps/>
          <w:szCs w:val="24"/>
          <w:lang w:val="es-419"/>
        </w:rPr>
        <w:t>.</w:t>
      </w:r>
      <w:r w:rsidRPr="0069424D">
        <w:rPr>
          <w:rFonts w:ascii="Georgia" w:hAnsi="Georgia"/>
          <w:smallCaps/>
          <w:szCs w:val="24"/>
          <w:lang w:val="es-419"/>
        </w:rPr>
        <w:t xml:space="preserve"> </w:t>
      </w:r>
      <w:r w:rsidR="005C2817" w:rsidRPr="0069424D">
        <w:rPr>
          <w:rFonts w:ascii="Georgia" w:hAnsi="Georgia" w:cs="Arial"/>
          <w:szCs w:val="24"/>
          <w:lang w:val="es-CO"/>
        </w:rPr>
        <w:t xml:space="preserve">La tiene esta Sala, por ser la superiora jerárquica del Despacho cognoscente </w:t>
      </w:r>
      <w:r w:rsidR="005C2817" w:rsidRPr="0069424D">
        <w:rPr>
          <w:rFonts w:ascii="Georgia" w:hAnsi="Georgia"/>
          <w:szCs w:val="24"/>
        </w:rPr>
        <w:t>(Art. 32, D.2591/1991)</w:t>
      </w:r>
      <w:r w:rsidR="005C2817" w:rsidRPr="0069424D">
        <w:rPr>
          <w:rFonts w:ascii="Georgia" w:hAnsi="Georgia" w:cs="Arial"/>
          <w:szCs w:val="24"/>
          <w:lang w:val="es-CO"/>
        </w:rPr>
        <w:t>.</w:t>
      </w:r>
    </w:p>
    <w:p w14:paraId="6718F628" w14:textId="77777777" w:rsidR="00F978DE" w:rsidRPr="0069424D" w:rsidRDefault="00F978DE" w:rsidP="0069424D">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pacing w:line="276" w:lineRule="auto"/>
        <w:ind w:left="709"/>
        <w:rPr>
          <w:rFonts w:ascii="Georgia" w:hAnsi="Georgia"/>
          <w:szCs w:val="24"/>
          <w:lang w:val="es-419"/>
        </w:rPr>
      </w:pPr>
    </w:p>
    <w:p w14:paraId="0E0EB417" w14:textId="153CF522" w:rsidR="005C2817" w:rsidRPr="0069424D" w:rsidRDefault="00785FA3" w:rsidP="0069424D">
      <w:pPr>
        <w:pStyle w:val="Textoindependiente"/>
        <w:widowControl w:val="0"/>
        <w:numPr>
          <w:ilvl w:val="1"/>
          <w:numId w:val="9"/>
        </w:numPr>
        <w:tabs>
          <w:tab w:val="clear" w:pos="708"/>
          <w:tab w:val="left" w:pos="709"/>
        </w:tabs>
        <w:spacing w:line="276" w:lineRule="auto"/>
        <w:ind w:left="0" w:firstLine="0"/>
        <w:rPr>
          <w:rFonts w:ascii="Georgia" w:hAnsi="Georgia"/>
          <w:szCs w:val="24"/>
          <w:lang w:val="es-419"/>
        </w:rPr>
      </w:pPr>
      <w:r w:rsidRPr="0069424D">
        <w:rPr>
          <w:rFonts w:ascii="Georgia" w:hAnsi="Georgia"/>
          <w:smallCaps/>
          <w:szCs w:val="24"/>
          <w:lang w:val="es-419"/>
        </w:rPr>
        <w:t>El problema jurídico a resolver</w:t>
      </w:r>
      <w:r w:rsidR="00763C6A" w:rsidRPr="0069424D">
        <w:rPr>
          <w:rFonts w:ascii="Georgia" w:hAnsi="Georgia"/>
          <w:smallCaps/>
          <w:szCs w:val="24"/>
          <w:lang w:val="es-419"/>
        </w:rPr>
        <w:t>.</w:t>
      </w:r>
      <w:r w:rsidRPr="0069424D">
        <w:rPr>
          <w:rFonts w:ascii="Georgia" w:hAnsi="Georgia"/>
          <w:smallCaps/>
          <w:szCs w:val="24"/>
          <w:lang w:val="es-419"/>
        </w:rPr>
        <w:t xml:space="preserve"> </w:t>
      </w:r>
      <w:r w:rsidR="005C2817" w:rsidRPr="0069424D">
        <w:rPr>
          <w:rFonts w:ascii="Georgia" w:hAnsi="Georgia"/>
          <w:szCs w:val="24"/>
          <w:lang w:val="es-419"/>
        </w:rPr>
        <w:t xml:space="preserve">¿Se debe confirmar, modificar o revocar la </w:t>
      </w:r>
      <w:r w:rsidR="005C2817" w:rsidRPr="0069424D">
        <w:rPr>
          <w:rFonts w:ascii="Georgia" w:hAnsi="Georgia"/>
          <w:szCs w:val="24"/>
          <w:lang w:val="es-419"/>
        </w:rPr>
        <w:lastRenderedPageBreak/>
        <w:t>sentencia del Juzgado</w:t>
      </w:r>
      <w:r w:rsidR="005C2817" w:rsidRPr="0069424D">
        <w:rPr>
          <w:rFonts w:ascii="Georgia" w:hAnsi="Georgia"/>
          <w:szCs w:val="24"/>
          <w:lang w:val="es-CO"/>
        </w:rPr>
        <w:t xml:space="preserve"> 2</w:t>
      </w:r>
      <w:r w:rsidR="00E72501" w:rsidRPr="0069424D">
        <w:rPr>
          <w:rFonts w:ascii="Georgia" w:hAnsi="Georgia"/>
          <w:szCs w:val="24"/>
          <w:lang w:val="es-CO"/>
        </w:rPr>
        <w:t>º</w:t>
      </w:r>
      <w:r w:rsidR="008B6185" w:rsidRPr="0069424D">
        <w:rPr>
          <w:rFonts w:ascii="Georgia" w:hAnsi="Georgia"/>
          <w:szCs w:val="24"/>
          <w:lang w:val="es-CO"/>
        </w:rPr>
        <w:t xml:space="preserve"> </w:t>
      </w:r>
      <w:r w:rsidR="00A830DF" w:rsidRPr="0069424D">
        <w:rPr>
          <w:rFonts w:ascii="Georgia" w:hAnsi="Georgia"/>
          <w:szCs w:val="24"/>
          <w:lang w:val="es-CO"/>
        </w:rPr>
        <w:t xml:space="preserve">de Familia de </w:t>
      </w:r>
      <w:r w:rsidR="008B6185" w:rsidRPr="0069424D">
        <w:rPr>
          <w:rFonts w:ascii="Georgia" w:hAnsi="Georgia"/>
          <w:szCs w:val="24"/>
          <w:lang w:val="es-CO"/>
        </w:rPr>
        <w:t>Pereira</w:t>
      </w:r>
      <w:r w:rsidR="005C2817" w:rsidRPr="0069424D">
        <w:rPr>
          <w:rFonts w:ascii="Georgia" w:hAnsi="Georgia"/>
          <w:szCs w:val="24"/>
          <w:lang w:val="es-419"/>
        </w:rPr>
        <w:t xml:space="preserve">, según la impugnación </w:t>
      </w:r>
      <w:r w:rsidR="00E72501" w:rsidRPr="0069424D">
        <w:rPr>
          <w:rFonts w:ascii="Georgia" w:hAnsi="Georgia"/>
          <w:szCs w:val="24"/>
          <w:lang w:val="es-419"/>
        </w:rPr>
        <w:t>de la autoridad</w:t>
      </w:r>
      <w:r w:rsidR="005C2817" w:rsidRPr="0069424D">
        <w:rPr>
          <w:rFonts w:ascii="Georgia" w:hAnsi="Georgia"/>
          <w:szCs w:val="24"/>
          <w:lang w:val="es-419"/>
        </w:rPr>
        <w:t xml:space="preserve">? </w:t>
      </w:r>
    </w:p>
    <w:p w14:paraId="510A3719" w14:textId="651F7DEA" w:rsidR="00B84E4A" w:rsidRPr="0069424D" w:rsidRDefault="00B84E4A" w:rsidP="0069424D">
      <w:pPr>
        <w:pStyle w:val="Textoindependiente"/>
        <w:widowControl w:val="0"/>
        <w:tabs>
          <w:tab w:val="clear" w:pos="708"/>
        </w:tabs>
        <w:spacing w:line="276" w:lineRule="auto"/>
        <w:ind w:left="720"/>
        <w:rPr>
          <w:rFonts w:ascii="Georgia" w:hAnsi="Georgia"/>
          <w:szCs w:val="24"/>
          <w:lang w:val="es-419"/>
        </w:rPr>
      </w:pPr>
    </w:p>
    <w:p w14:paraId="21DB274E" w14:textId="77777777" w:rsidR="00785FA3" w:rsidRPr="0069424D" w:rsidRDefault="00785FA3" w:rsidP="0069424D">
      <w:pPr>
        <w:pStyle w:val="Textoindependiente"/>
        <w:widowControl w:val="0"/>
        <w:numPr>
          <w:ilvl w:val="1"/>
          <w:numId w:val="9"/>
        </w:numPr>
        <w:tabs>
          <w:tab w:val="clear" w:pos="708"/>
        </w:tabs>
        <w:spacing w:line="276" w:lineRule="auto"/>
        <w:rPr>
          <w:rFonts w:ascii="Georgia" w:hAnsi="Georgia"/>
          <w:iCs/>
          <w:szCs w:val="24"/>
          <w:lang w:val="es-419"/>
        </w:rPr>
      </w:pPr>
      <w:r w:rsidRPr="0069424D">
        <w:rPr>
          <w:rFonts w:ascii="Georgia" w:hAnsi="Georgia"/>
          <w:iCs/>
          <w:smallCaps/>
          <w:szCs w:val="24"/>
          <w:lang w:val="es-419"/>
        </w:rPr>
        <w:t>Los presupuestos de procedencia</w:t>
      </w:r>
    </w:p>
    <w:p w14:paraId="6F7FAF2E" w14:textId="77777777" w:rsidR="00785FA3" w:rsidRPr="0069424D" w:rsidRDefault="00785FA3" w:rsidP="0069424D">
      <w:pPr>
        <w:pStyle w:val="Textoindependiente"/>
        <w:widowControl w:val="0"/>
        <w:spacing w:line="276" w:lineRule="auto"/>
        <w:ind w:left="720"/>
        <w:rPr>
          <w:rFonts w:ascii="Georgia" w:hAnsi="Georgia"/>
          <w:szCs w:val="24"/>
          <w:lang w:val="es-419"/>
        </w:rPr>
      </w:pPr>
    </w:p>
    <w:p w14:paraId="2102A080" w14:textId="4FBD2D53" w:rsidR="008B6185" w:rsidRPr="0069424D" w:rsidRDefault="0069424D" w:rsidP="000A3F74">
      <w:pPr>
        <w:pStyle w:val="Textoindependiente"/>
        <w:numPr>
          <w:ilvl w:val="2"/>
          <w:numId w:val="9"/>
        </w:numPr>
        <w:tabs>
          <w:tab w:val="clear" w:pos="708"/>
          <w:tab w:val="clear" w:pos="1416"/>
          <w:tab w:val="left" w:pos="709"/>
          <w:tab w:val="left" w:pos="1418"/>
        </w:tabs>
        <w:spacing w:line="276" w:lineRule="auto"/>
        <w:ind w:left="0" w:firstLine="0"/>
        <w:rPr>
          <w:rFonts w:ascii="Georgia" w:hAnsi="Georgia" w:cs="Arial"/>
          <w:szCs w:val="24"/>
        </w:rPr>
      </w:pPr>
      <w:r w:rsidRPr="0069424D">
        <w:rPr>
          <w:rFonts w:ascii="Georgia" w:hAnsi="Georgia"/>
          <w:iCs/>
          <w:smallCaps/>
          <w:szCs w:val="24"/>
          <w:lang w:val="es-CO"/>
        </w:rPr>
        <w:t>L</w:t>
      </w:r>
      <w:r w:rsidRPr="0069424D">
        <w:rPr>
          <w:rFonts w:ascii="Georgia" w:hAnsi="Georgia"/>
          <w:iCs/>
          <w:smallCaps/>
          <w:szCs w:val="24"/>
          <w:lang w:val="es-419"/>
        </w:rPr>
        <w:t>A LEGITIMACIÓN EN LA CAUSA</w:t>
      </w:r>
      <w:r w:rsidR="00DB0CFB" w:rsidRPr="0069424D">
        <w:rPr>
          <w:rFonts w:ascii="Georgia" w:hAnsi="Georgia"/>
          <w:smallCaps/>
          <w:szCs w:val="24"/>
          <w:lang w:val="es-419"/>
        </w:rPr>
        <w:t xml:space="preserve">. </w:t>
      </w:r>
      <w:r w:rsidR="004A39B9" w:rsidRPr="0069424D">
        <w:rPr>
          <w:rFonts w:ascii="Georgia" w:hAnsi="Georgia"/>
          <w:smallCaps/>
          <w:szCs w:val="24"/>
          <w:lang w:val="es-419"/>
        </w:rPr>
        <w:t xml:space="preserve"> </w:t>
      </w:r>
      <w:r w:rsidRPr="0069424D">
        <w:rPr>
          <w:rFonts w:ascii="Georgia" w:hAnsi="Georgia"/>
          <w:szCs w:val="24"/>
        </w:rPr>
        <w:t>Por activa, la actora porque reclamó la</w:t>
      </w:r>
      <w:r w:rsidR="00763C6A" w:rsidRPr="0069424D">
        <w:rPr>
          <w:rFonts w:ascii="Georgia" w:hAnsi="Georgia"/>
          <w:szCs w:val="24"/>
        </w:rPr>
        <w:t xml:space="preserve"> sustitución pensional</w:t>
      </w:r>
      <w:r w:rsidR="005C2817" w:rsidRPr="0069424D">
        <w:rPr>
          <w:rFonts w:ascii="Georgia" w:hAnsi="Georgia"/>
          <w:szCs w:val="24"/>
          <w:lang w:val="es-CO"/>
        </w:rPr>
        <w:t xml:space="preserve">. En el extremo </w:t>
      </w:r>
      <w:r w:rsidR="005C2817" w:rsidRPr="0069424D">
        <w:rPr>
          <w:rFonts w:ascii="Georgia" w:hAnsi="Georgia"/>
          <w:szCs w:val="24"/>
          <w:lang w:val="es-419"/>
        </w:rPr>
        <w:t>pasivo</w:t>
      </w:r>
      <w:r w:rsidR="005C2817" w:rsidRPr="0069424D">
        <w:rPr>
          <w:rFonts w:ascii="Georgia" w:hAnsi="Georgia"/>
          <w:szCs w:val="24"/>
          <w:lang w:val="es-CO"/>
        </w:rPr>
        <w:t xml:space="preserve">, </w:t>
      </w:r>
      <w:r w:rsidR="008B6185" w:rsidRPr="0069424D">
        <w:rPr>
          <w:rFonts w:ascii="Georgia" w:hAnsi="Georgia" w:cs="Arial"/>
          <w:szCs w:val="24"/>
        </w:rPr>
        <w:t xml:space="preserve">la </w:t>
      </w:r>
      <w:r w:rsidR="00763C6A" w:rsidRPr="0069424D">
        <w:rPr>
          <w:rFonts w:ascii="Georgia" w:hAnsi="Georgia" w:cs="Arial"/>
          <w:b/>
          <w:szCs w:val="24"/>
        </w:rPr>
        <w:t xml:space="preserve">(i) </w:t>
      </w:r>
      <w:r w:rsidR="008B6185" w:rsidRPr="0069424D">
        <w:rPr>
          <w:rFonts w:ascii="Georgia" w:hAnsi="Georgia" w:cs="Arial"/>
          <w:szCs w:val="24"/>
          <w:lang w:val="es-ES"/>
        </w:rPr>
        <w:t xml:space="preserve">Subdirección de Determinación de Derechos </w:t>
      </w:r>
      <w:r w:rsidR="00763C6A" w:rsidRPr="0069424D">
        <w:rPr>
          <w:rFonts w:ascii="Georgia" w:hAnsi="Georgia" w:cs="Arial"/>
          <w:szCs w:val="24"/>
          <w:lang w:val="es-ES"/>
        </w:rPr>
        <w:t xml:space="preserve">y </w:t>
      </w:r>
      <w:r w:rsidR="007412C8" w:rsidRPr="0069424D">
        <w:rPr>
          <w:rFonts w:ascii="Georgia" w:hAnsi="Georgia" w:cs="Arial"/>
          <w:szCs w:val="24"/>
          <w:lang w:val="es-ES"/>
        </w:rPr>
        <w:t xml:space="preserve">la </w:t>
      </w:r>
      <w:r w:rsidR="00763C6A" w:rsidRPr="0069424D">
        <w:rPr>
          <w:rFonts w:ascii="Georgia" w:hAnsi="Georgia" w:cs="Arial"/>
          <w:b/>
          <w:szCs w:val="24"/>
          <w:lang w:val="es-ES"/>
        </w:rPr>
        <w:t xml:space="preserve">(ii) </w:t>
      </w:r>
      <w:r w:rsidR="007412C8" w:rsidRPr="0069424D">
        <w:rPr>
          <w:rFonts w:ascii="Georgia" w:hAnsi="Georgia" w:cs="Arial"/>
          <w:szCs w:val="24"/>
          <w:lang w:val="es-ES"/>
        </w:rPr>
        <w:t>Dirección de Prestaciones Económicas de Colpensiones</w:t>
      </w:r>
      <w:r w:rsidR="008B6185" w:rsidRPr="0069424D">
        <w:rPr>
          <w:rFonts w:ascii="Georgia" w:hAnsi="Georgia" w:cs="Arial"/>
          <w:szCs w:val="24"/>
        </w:rPr>
        <w:t>, por</w:t>
      </w:r>
      <w:r w:rsidR="00E72501" w:rsidRPr="0069424D">
        <w:rPr>
          <w:rFonts w:ascii="Georgia" w:hAnsi="Georgia" w:cs="Arial"/>
          <w:szCs w:val="24"/>
        </w:rPr>
        <w:t xml:space="preserve"> expedir los actos administrativos rebatidos </w:t>
      </w:r>
      <w:r w:rsidR="00E72501" w:rsidRPr="0069424D">
        <w:rPr>
          <w:rFonts w:ascii="Georgia" w:hAnsi="Georgia" w:cs="Arial"/>
          <w:szCs w:val="24"/>
          <w:lang w:val="es-ES"/>
        </w:rPr>
        <w:t>(</w:t>
      </w:r>
      <w:r w:rsidR="007412C8" w:rsidRPr="0069424D">
        <w:rPr>
          <w:rFonts w:ascii="Georgia" w:hAnsi="Georgia" w:cs="Arial"/>
          <w:szCs w:val="24"/>
          <w:lang w:val="es-ES"/>
        </w:rPr>
        <w:t xml:space="preserve">Ib., </w:t>
      </w:r>
      <w:proofErr w:type="spellStart"/>
      <w:r w:rsidR="007412C8" w:rsidRPr="0069424D">
        <w:rPr>
          <w:rFonts w:ascii="Georgia" w:hAnsi="Georgia" w:cs="Arial"/>
          <w:szCs w:val="24"/>
          <w:lang w:val="es-ES"/>
        </w:rPr>
        <w:t>pdf</w:t>
      </w:r>
      <w:proofErr w:type="spellEnd"/>
      <w:r w:rsidR="007412C8" w:rsidRPr="0069424D">
        <w:rPr>
          <w:rFonts w:ascii="Georgia" w:hAnsi="Georgia" w:cs="Arial"/>
          <w:szCs w:val="24"/>
          <w:lang w:val="es-ES"/>
        </w:rPr>
        <w:t xml:space="preserve"> No.02, folios 37-59</w:t>
      </w:r>
      <w:r w:rsidR="008D3136" w:rsidRPr="0069424D">
        <w:rPr>
          <w:rFonts w:ascii="Georgia" w:hAnsi="Georgia" w:cs="Arial"/>
          <w:szCs w:val="24"/>
          <w:lang w:val="es-ES"/>
        </w:rPr>
        <w:t>)</w:t>
      </w:r>
      <w:r w:rsidR="008B6185" w:rsidRPr="0069424D">
        <w:rPr>
          <w:rFonts w:ascii="Georgia" w:hAnsi="Georgia" w:cs="Arial"/>
          <w:szCs w:val="24"/>
        </w:rPr>
        <w:t>.</w:t>
      </w:r>
    </w:p>
    <w:p w14:paraId="702839C7" w14:textId="77777777" w:rsidR="008B6185" w:rsidRPr="0069424D" w:rsidRDefault="008B6185" w:rsidP="0069424D">
      <w:pPr>
        <w:pStyle w:val="Textoindependiente"/>
        <w:tabs>
          <w:tab w:val="clear" w:pos="708"/>
          <w:tab w:val="clear" w:pos="1416"/>
          <w:tab w:val="left" w:pos="709"/>
          <w:tab w:val="left" w:pos="1418"/>
        </w:tabs>
        <w:spacing w:line="276" w:lineRule="auto"/>
        <w:rPr>
          <w:rFonts w:ascii="Georgia" w:hAnsi="Georgia"/>
          <w:i/>
          <w:iCs/>
          <w:smallCaps/>
          <w:szCs w:val="24"/>
        </w:rPr>
      </w:pPr>
    </w:p>
    <w:p w14:paraId="0D37F512" w14:textId="77777777" w:rsidR="007412C8" w:rsidRPr="0069424D" w:rsidRDefault="007412C8" w:rsidP="0069424D">
      <w:pPr>
        <w:pStyle w:val="Textoindependiente"/>
        <w:numPr>
          <w:ilvl w:val="2"/>
          <w:numId w:val="9"/>
        </w:numPr>
        <w:tabs>
          <w:tab w:val="clear" w:pos="0"/>
          <w:tab w:val="clear" w:pos="708"/>
          <w:tab w:val="clear" w:pos="1416"/>
          <w:tab w:val="left" w:pos="851"/>
        </w:tabs>
        <w:spacing w:line="276" w:lineRule="auto"/>
        <w:ind w:left="0" w:firstLine="0"/>
        <w:textAlignment w:val="auto"/>
        <w:rPr>
          <w:rFonts w:ascii="Georgia" w:hAnsi="Georgia" w:cs="Arial"/>
          <w:szCs w:val="24"/>
          <w:lang w:val="es-419"/>
        </w:rPr>
      </w:pPr>
      <w:r w:rsidRPr="0069424D">
        <w:rPr>
          <w:rFonts w:ascii="Georgia" w:hAnsi="Georgia"/>
          <w:smallCaps/>
          <w:szCs w:val="24"/>
          <w:lang w:val="es-419"/>
        </w:rPr>
        <w:t>La inmediatez</w:t>
      </w:r>
      <w:r w:rsidRPr="0069424D">
        <w:rPr>
          <w:rFonts w:ascii="Georgia" w:hAnsi="Georgia" w:cs="Arial"/>
          <w:szCs w:val="24"/>
          <w:lang w:val="es-419"/>
        </w:rPr>
        <w:t xml:space="preserve"> 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36C16764" w14:textId="77777777" w:rsidR="007412C8" w:rsidRPr="0069424D" w:rsidRDefault="007412C8" w:rsidP="0069424D">
      <w:pPr>
        <w:pStyle w:val="Textoindependiente"/>
        <w:tabs>
          <w:tab w:val="clear" w:pos="1416"/>
        </w:tabs>
        <w:spacing w:line="276" w:lineRule="auto"/>
        <w:rPr>
          <w:rFonts w:ascii="Georgia" w:hAnsi="Georgia" w:cs="Arial"/>
          <w:szCs w:val="24"/>
          <w:lang w:val="es-419"/>
        </w:rPr>
      </w:pPr>
    </w:p>
    <w:p w14:paraId="34A8357B" w14:textId="77777777" w:rsidR="007412C8" w:rsidRPr="0069424D" w:rsidRDefault="007412C8" w:rsidP="0069424D">
      <w:pPr>
        <w:pStyle w:val="Textoindependiente"/>
        <w:spacing w:line="276" w:lineRule="auto"/>
        <w:rPr>
          <w:rFonts w:ascii="Georgia" w:hAnsi="Georgia"/>
          <w:szCs w:val="24"/>
          <w:shd w:val="clear" w:color="auto" w:fill="FFFFFF"/>
          <w:lang w:val="es-CO"/>
        </w:rPr>
      </w:pPr>
      <w:r w:rsidRPr="0069424D">
        <w:rPr>
          <w:rFonts w:ascii="Georgia" w:hAnsi="Georgia" w:cs="Arial"/>
          <w:szCs w:val="24"/>
          <w:lang w:val="es-419"/>
        </w:rPr>
        <w:t xml:space="preserve">Este requisito: </w:t>
      </w:r>
      <w:r w:rsidRPr="0069424D">
        <w:rPr>
          <w:rFonts w:ascii="Georgia" w:hAnsi="Georgia" w:cs="Arial"/>
          <w:i/>
          <w:iCs/>
          <w:szCs w:val="24"/>
          <w:lang w:val="es-419"/>
        </w:rPr>
        <w:t xml:space="preserve">“(…) </w:t>
      </w:r>
      <w:r w:rsidRPr="0069424D">
        <w:rPr>
          <w:rFonts w:ascii="Georgia" w:hAnsi="Georgia"/>
          <w:i/>
          <w:iCs/>
          <w:szCs w:val="24"/>
          <w:shd w:val="clear" w:color="auto" w:fill="FFFFFF"/>
        </w:rPr>
        <w:t>impone la carga al demandante de presentar la acción de tutela en un término prudente y razonable (…)”</w:t>
      </w:r>
      <w:r w:rsidRPr="0069424D">
        <w:rPr>
          <w:rFonts w:ascii="Georgia" w:hAnsi="Georgia"/>
          <w:szCs w:val="24"/>
          <w:shd w:val="clear" w:color="auto" w:fill="FFFFFF"/>
        </w:rPr>
        <w:t xml:space="preserve">, por lo tanto, </w:t>
      </w:r>
      <w:r w:rsidRPr="0069424D">
        <w:rPr>
          <w:rFonts w:ascii="Georgia" w:hAnsi="Georgia"/>
          <w:i/>
          <w:iCs/>
          <w:szCs w:val="24"/>
          <w:shd w:val="clear" w:color="auto" w:fill="FFFFFF"/>
        </w:rPr>
        <w:t xml:space="preserve">“(…) el juez de tutela no podrá conocer de un asunto, y menos aún conceder la protección (…), cuando la solicitud se haga de manera tardía (…)” </w:t>
      </w:r>
      <w:r w:rsidRPr="0069424D">
        <w:rPr>
          <w:rFonts w:ascii="Georgia" w:hAnsi="Georgia"/>
          <w:szCs w:val="24"/>
          <w:shd w:val="clear" w:color="auto" w:fill="FFFFFF"/>
        </w:rPr>
        <w:t>(2020)</w:t>
      </w:r>
      <w:r w:rsidRPr="0069424D">
        <w:rPr>
          <w:rStyle w:val="Refdenotaalpie"/>
          <w:rFonts w:ascii="Georgia" w:eastAsiaTheme="majorEastAsia" w:hAnsi="Georgia"/>
          <w:szCs w:val="24"/>
          <w:shd w:val="clear" w:color="auto" w:fill="FFFFFF"/>
        </w:rPr>
        <w:footnoteReference w:id="1"/>
      </w:r>
      <w:r w:rsidRPr="0069424D">
        <w:rPr>
          <w:rFonts w:ascii="Georgia" w:hAnsi="Georgia"/>
          <w:szCs w:val="24"/>
          <w:shd w:val="clear" w:color="auto" w:fill="FFFFFF"/>
        </w:rPr>
        <w:t xml:space="preserve">. Aquello porque: </w:t>
      </w:r>
      <w:r w:rsidRPr="0069424D">
        <w:rPr>
          <w:rFonts w:ascii="Georgia" w:hAnsi="Georgia"/>
          <w:i/>
          <w:iCs/>
          <w:szCs w:val="24"/>
          <w:shd w:val="clear" w:color="auto" w:fill="FFFFFF"/>
        </w:rPr>
        <w:t xml:space="preserve">“(…) </w:t>
      </w:r>
      <w:r w:rsidRPr="0069424D">
        <w:rPr>
          <w:rFonts w:ascii="Georgia" w:hAnsi="Georgia"/>
          <w:i/>
          <w:iCs/>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69424D">
        <w:rPr>
          <w:rFonts w:ascii="Georgia" w:hAnsi="Georgia"/>
          <w:szCs w:val="24"/>
          <w:shd w:val="clear" w:color="auto" w:fill="FFFFFF"/>
          <w:lang w:val="es-ES"/>
        </w:rPr>
        <w:t xml:space="preserve"> </w:t>
      </w:r>
      <w:r w:rsidRPr="0069424D">
        <w:rPr>
          <w:rFonts w:ascii="Georgia" w:hAnsi="Georgia"/>
          <w:szCs w:val="24"/>
          <w:shd w:val="clear" w:color="auto" w:fill="FFFFFF"/>
        </w:rPr>
        <w:t>(2021)</w:t>
      </w:r>
      <w:r w:rsidRPr="0069424D">
        <w:rPr>
          <w:rStyle w:val="Refdenotaalpie"/>
          <w:rFonts w:ascii="Georgia" w:eastAsiaTheme="majorEastAsia" w:hAnsi="Georgia"/>
          <w:szCs w:val="24"/>
          <w:shd w:val="clear" w:color="auto" w:fill="FFFFFF"/>
        </w:rPr>
        <w:footnoteReference w:id="2"/>
      </w:r>
      <w:r w:rsidRPr="0069424D">
        <w:rPr>
          <w:rFonts w:ascii="Georgia" w:hAnsi="Georgia"/>
          <w:szCs w:val="24"/>
          <w:shd w:val="clear" w:color="auto" w:fill="FFFFFF"/>
        </w:rPr>
        <w:t xml:space="preserve">. </w:t>
      </w:r>
      <w:r w:rsidRPr="0069424D">
        <w:rPr>
          <w:rFonts w:ascii="Georgia" w:hAnsi="Georgia"/>
          <w:szCs w:val="24"/>
          <w:shd w:val="clear" w:color="auto" w:fill="FFFFFF"/>
          <w:lang w:val="es-ES"/>
        </w:rPr>
        <w:t>Criterio reiterado por la CC (2022)</w:t>
      </w:r>
      <w:r w:rsidRPr="0069424D">
        <w:rPr>
          <w:rFonts w:ascii="Georgia" w:hAnsi="Georgia"/>
          <w:szCs w:val="24"/>
          <w:shd w:val="clear" w:color="auto" w:fill="FFFFFF"/>
          <w:vertAlign w:val="superscript"/>
          <w:lang w:val="es-ES"/>
        </w:rPr>
        <w:footnoteReference w:id="3"/>
      </w:r>
      <w:r w:rsidRPr="0069424D">
        <w:rPr>
          <w:rFonts w:ascii="Georgia" w:hAnsi="Georgia"/>
          <w:szCs w:val="24"/>
          <w:shd w:val="clear" w:color="auto" w:fill="FFFFFF"/>
          <w:lang w:val="es-ES"/>
        </w:rPr>
        <w:t>.</w:t>
      </w:r>
      <w:r w:rsidRPr="0069424D">
        <w:rPr>
          <w:rFonts w:ascii="Georgia" w:hAnsi="Georgia"/>
          <w:szCs w:val="24"/>
          <w:shd w:val="clear" w:color="auto" w:fill="FFFFFF"/>
          <w:lang w:val="es-CO"/>
        </w:rPr>
        <w:t xml:space="preserve"> </w:t>
      </w:r>
    </w:p>
    <w:p w14:paraId="2B743F08" w14:textId="77777777" w:rsidR="00146492" w:rsidRPr="0069424D" w:rsidRDefault="00146492" w:rsidP="0069424D">
      <w:pPr>
        <w:tabs>
          <w:tab w:val="left" w:pos="709"/>
        </w:tabs>
        <w:spacing w:line="276" w:lineRule="auto"/>
        <w:rPr>
          <w:rFonts w:ascii="Georgia" w:hAnsi="Georgia"/>
        </w:rPr>
      </w:pPr>
    </w:p>
    <w:p w14:paraId="25A2EDE0" w14:textId="6279CDE2" w:rsidR="00146492" w:rsidRPr="0069424D" w:rsidRDefault="00146492" w:rsidP="0069424D">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pacing w:line="276" w:lineRule="auto"/>
        <w:rPr>
          <w:rFonts w:ascii="Georgia" w:hAnsi="Georgia"/>
          <w:szCs w:val="24"/>
        </w:rPr>
      </w:pPr>
      <w:r w:rsidRPr="0069424D">
        <w:rPr>
          <w:rFonts w:ascii="Georgia" w:hAnsi="Georgia"/>
          <w:szCs w:val="24"/>
        </w:rPr>
        <w:t>Se satisface por</w:t>
      </w:r>
      <w:r w:rsidR="007408B6" w:rsidRPr="0069424D">
        <w:rPr>
          <w:rFonts w:ascii="Georgia" w:hAnsi="Georgia"/>
          <w:szCs w:val="24"/>
        </w:rPr>
        <w:t>que</w:t>
      </w:r>
      <w:r w:rsidRPr="0069424D">
        <w:rPr>
          <w:rFonts w:ascii="Georgia" w:hAnsi="Georgia"/>
          <w:szCs w:val="24"/>
        </w:rPr>
        <w:t xml:space="preserve"> el amparo se presentó (</w:t>
      </w:r>
      <w:r w:rsidR="007412C8" w:rsidRPr="0069424D">
        <w:rPr>
          <w:rFonts w:ascii="Georgia" w:hAnsi="Georgia"/>
          <w:szCs w:val="24"/>
        </w:rPr>
        <w:t>18</w:t>
      </w:r>
      <w:r w:rsidRPr="0069424D">
        <w:rPr>
          <w:rFonts w:ascii="Georgia" w:hAnsi="Georgia"/>
          <w:szCs w:val="24"/>
        </w:rPr>
        <w:t>-</w:t>
      </w:r>
      <w:r w:rsidR="007412C8" w:rsidRPr="0069424D">
        <w:rPr>
          <w:rFonts w:ascii="Georgia" w:hAnsi="Georgia"/>
          <w:szCs w:val="24"/>
        </w:rPr>
        <w:t>04</w:t>
      </w:r>
      <w:r w:rsidRPr="0069424D">
        <w:rPr>
          <w:rFonts w:ascii="Georgia" w:hAnsi="Georgia"/>
          <w:szCs w:val="24"/>
        </w:rPr>
        <w:t>-</w:t>
      </w:r>
      <w:r w:rsidR="007412C8" w:rsidRPr="0069424D">
        <w:rPr>
          <w:rFonts w:ascii="Georgia" w:hAnsi="Georgia"/>
          <w:szCs w:val="24"/>
        </w:rPr>
        <w:t>2022</w:t>
      </w:r>
      <w:r w:rsidRPr="0069424D">
        <w:rPr>
          <w:rFonts w:ascii="Georgia" w:hAnsi="Georgia"/>
          <w:szCs w:val="24"/>
        </w:rPr>
        <w:t>) (</w:t>
      </w:r>
      <w:r w:rsidR="007412C8" w:rsidRPr="0069424D">
        <w:rPr>
          <w:rFonts w:ascii="Georgia" w:hAnsi="Georgia"/>
          <w:szCs w:val="24"/>
        </w:rPr>
        <w:t xml:space="preserve">Ib., </w:t>
      </w:r>
      <w:proofErr w:type="spellStart"/>
      <w:r w:rsidR="007412C8" w:rsidRPr="0069424D">
        <w:rPr>
          <w:rFonts w:ascii="Georgia" w:hAnsi="Georgia"/>
          <w:szCs w:val="24"/>
        </w:rPr>
        <w:t>pdf</w:t>
      </w:r>
      <w:proofErr w:type="spellEnd"/>
      <w:r w:rsidRPr="0069424D">
        <w:rPr>
          <w:rFonts w:ascii="Georgia" w:hAnsi="Georgia"/>
          <w:szCs w:val="24"/>
        </w:rPr>
        <w:t xml:space="preserve"> No.</w:t>
      </w:r>
      <w:r w:rsidR="007412C8" w:rsidRPr="0069424D">
        <w:rPr>
          <w:rFonts w:ascii="Georgia" w:hAnsi="Georgia"/>
          <w:szCs w:val="24"/>
        </w:rPr>
        <w:t>01</w:t>
      </w:r>
      <w:r w:rsidRPr="0069424D">
        <w:rPr>
          <w:rFonts w:ascii="Georgia" w:hAnsi="Georgia"/>
          <w:szCs w:val="24"/>
        </w:rPr>
        <w:t xml:space="preserve">) </w:t>
      </w:r>
      <w:r w:rsidR="007412C8" w:rsidRPr="0069424D">
        <w:rPr>
          <w:rFonts w:ascii="Georgia" w:hAnsi="Georgia"/>
          <w:szCs w:val="24"/>
        </w:rPr>
        <w:t xml:space="preserve">cuatro </w:t>
      </w:r>
      <w:r w:rsidRPr="0069424D">
        <w:rPr>
          <w:rFonts w:ascii="Georgia" w:hAnsi="Georgia"/>
          <w:szCs w:val="24"/>
        </w:rPr>
        <w:t>(</w:t>
      </w:r>
      <w:r w:rsidR="007412C8" w:rsidRPr="0069424D">
        <w:rPr>
          <w:rFonts w:ascii="Georgia" w:hAnsi="Georgia"/>
          <w:szCs w:val="24"/>
        </w:rPr>
        <w:t>4</w:t>
      </w:r>
      <w:r w:rsidRPr="0069424D">
        <w:rPr>
          <w:rFonts w:ascii="Georgia" w:hAnsi="Georgia"/>
          <w:szCs w:val="24"/>
        </w:rPr>
        <w:t xml:space="preserve">) </w:t>
      </w:r>
      <w:r w:rsidR="007412C8" w:rsidRPr="0069424D">
        <w:rPr>
          <w:rFonts w:ascii="Georgia" w:hAnsi="Georgia"/>
          <w:szCs w:val="24"/>
        </w:rPr>
        <w:t xml:space="preserve">meses </w:t>
      </w:r>
      <w:r w:rsidRPr="0069424D">
        <w:rPr>
          <w:rFonts w:ascii="Georgia" w:hAnsi="Georgia"/>
          <w:szCs w:val="24"/>
        </w:rPr>
        <w:t xml:space="preserve">después de expedido el </w:t>
      </w:r>
      <w:r w:rsidR="007412C8" w:rsidRPr="0069424D">
        <w:rPr>
          <w:rFonts w:ascii="Georgia" w:hAnsi="Georgia"/>
          <w:szCs w:val="24"/>
        </w:rPr>
        <w:t xml:space="preserve">último </w:t>
      </w:r>
      <w:r w:rsidRPr="0069424D">
        <w:rPr>
          <w:rFonts w:ascii="Georgia" w:hAnsi="Georgia"/>
          <w:szCs w:val="24"/>
        </w:rPr>
        <w:t xml:space="preserve">acto administrativo cuestionado - </w:t>
      </w:r>
      <w:r w:rsidR="007412C8" w:rsidRPr="0069424D">
        <w:rPr>
          <w:rFonts w:ascii="Georgia" w:hAnsi="Georgia"/>
          <w:szCs w:val="24"/>
        </w:rPr>
        <w:t>DPE11719 del 27-12-2021 -</w:t>
      </w:r>
      <w:r w:rsidRPr="0069424D">
        <w:rPr>
          <w:rFonts w:ascii="Georgia" w:hAnsi="Georgia"/>
          <w:szCs w:val="24"/>
        </w:rPr>
        <w:t xml:space="preserve"> (</w:t>
      </w:r>
      <w:r w:rsidR="007412C8" w:rsidRPr="0069424D">
        <w:rPr>
          <w:rFonts w:ascii="Georgia" w:hAnsi="Georgia"/>
          <w:szCs w:val="24"/>
        </w:rPr>
        <w:t>Ib.</w:t>
      </w:r>
      <w:r w:rsidRPr="0069424D">
        <w:rPr>
          <w:rFonts w:ascii="Georgia" w:hAnsi="Georgia"/>
          <w:szCs w:val="24"/>
        </w:rPr>
        <w:t xml:space="preserve">, </w:t>
      </w:r>
      <w:proofErr w:type="spellStart"/>
      <w:r w:rsidR="007412C8" w:rsidRPr="0069424D">
        <w:rPr>
          <w:rFonts w:ascii="Georgia" w:hAnsi="Georgia"/>
          <w:szCs w:val="24"/>
        </w:rPr>
        <w:t>pdf</w:t>
      </w:r>
      <w:proofErr w:type="spellEnd"/>
      <w:r w:rsidR="007412C8" w:rsidRPr="0069424D">
        <w:rPr>
          <w:rFonts w:ascii="Georgia" w:hAnsi="Georgia"/>
          <w:szCs w:val="24"/>
        </w:rPr>
        <w:t xml:space="preserve"> </w:t>
      </w:r>
      <w:r w:rsidRPr="0069424D">
        <w:rPr>
          <w:rFonts w:ascii="Georgia" w:hAnsi="Georgia"/>
          <w:szCs w:val="24"/>
        </w:rPr>
        <w:t>No.</w:t>
      </w:r>
      <w:r w:rsidR="007412C8" w:rsidRPr="0069424D">
        <w:rPr>
          <w:rFonts w:ascii="Georgia" w:hAnsi="Georgia"/>
          <w:szCs w:val="24"/>
        </w:rPr>
        <w:t>51-59</w:t>
      </w:r>
      <w:r w:rsidRPr="0069424D">
        <w:rPr>
          <w:rFonts w:ascii="Georgia" w:hAnsi="Georgia"/>
          <w:szCs w:val="24"/>
        </w:rPr>
        <w:t>), esto es, en el plazo de los seis (6) meses fijado como razonable por la doctrina constitucional</w:t>
      </w:r>
      <w:r w:rsidRPr="0069424D">
        <w:rPr>
          <w:rStyle w:val="Refdenotaalpie"/>
          <w:rFonts w:ascii="Georgia" w:hAnsi="Georgia" w:cs="Arial"/>
          <w:noProof/>
          <w:szCs w:val="24"/>
          <w:lang w:val="es-CO"/>
        </w:rPr>
        <w:footnoteReference w:id="4"/>
      </w:r>
      <w:r w:rsidRPr="0069424D">
        <w:rPr>
          <w:rFonts w:ascii="Georgia" w:hAnsi="Georgia"/>
          <w:szCs w:val="24"/>
        </w:rPr>
        <w:t xml:space="preserve">. </w:t>
      </w:r>
    </w:p>
    <w:p w14:paraId="768C674A" w14:textId="77777777" w:rsidR="00146492" w:rsidRPr="0069424D" w:rsidRDefault="00146492" w:rsidP="0069424D">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pacing w:line="276" w:lineRule="auto"/>
        <w:rPr>
          <w:rFonts w:ascii="Georgia" w:hAnsi="Georgia"/>
          <w:szCs w:val="24"/>
        </w:rPr>
      </w:pPr>
    </w:p>
    <w:p w14:paraId="0EA3BDC4" w14:textId="77777777" w:rsidR="007412C8" w:rsidRPr="0069424D" w:rsidRDefault="007412C8" w:rsidP="0069424D">
      <w:pPr>
        <w:pStyle w:val="Prrafodelista"/>
        <w:widowControl/>
        <w:numPr>
          <w:ilvl w:val="2"/>
          <w:numId w:val="9"/>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ind w:left="0" w:firstLine="0"/>
        <w:contextualSpacing/>
        <w:jc w:val="both"/>
        <w:textAlignment w:val="baseline"/>
        <w:rPr>
          <w:rFonts w:ascii="Georgia" w:hAnsi="Georgia" w:cs="Arial"/>
          <w:lang w:val="es-CO" w:eastAsia="es-CO"/>
        </w:rPr>
      </w:pPr>
      <w:r w:rsidRPr="0069424D">
        <w:rPr>
          <w:rFonts w:ascii="Georgia" w:hAnsi="Georgia" w:cs="Arial"/>
          <w:smallCaps/>
        </w:rPr>
        <w:t>L</w:t>
      </w:r>
      <w:r w:rsidRPr="0069424D">
        <w:rPr>
          <w:rFonts w:ascii="Georgia" w:hAnsi="Georgia" w:cs="Arial"/>
          <w:smallCaps/>
          <w:lang w:val="es-419"/>
        </w:rPr>
        <w:t>a subsidiariedad</w:t>
      </w:r>
      <w:r w:rsidRPr="0069424D">
        <w:rPr>
          <w:rFonts w:ascii="Georgia" w:hAnsi="Georgia" w:cs="Arial"/>
        </w:rPr>
        <w:t>. Procede la acción siempre que el afectado carezca de otro instrumento defensivo judicial (2022)</w:t>
      </w:r>
      <w:r w:rsidRPr="0069424D">
        <w:rPr>
          <w:rFonts w:ascii="Georgia" w:hAnsi="Georgia"/>
          <w:vertAlign w:val="superscript"/>
        </w:rPr>
        <w:footnoteReference w:id="5"/>
      </w:r>
      <w:r w:rsidRPr="0069424D">
        <w:rPr>
          <w:rFonts w:ascii="Georgia" w:hAnsi="Georgia" w:cs="Arial"/>
        </w:rPr>
        <w:t xml:space="preserve">. Empero, hay dos </w:t>
      </w:r>
      <w:r w:rsidRPr="0069424D">
        <w:rPr>
          <w:rFonts w:ascii="Georgia" w:hAnsi="Georgia"/>
        </w:rPr>
        <w:t>(</w:t>
      </w:r>
      <w:r w:rsidRPr="0069424D">
        <w:rPr>
          <w:rFonts w:ascii="Georgia" w:hAnsi="Georgia" w:cs="Arial"/>
        </w:rPr>
        <w:t xml:space="preserve">2) excepciones que guardan en común la existencia del medio ordinario: </w:t>
      </w:r>
      <w:r w:rsidRPr="0069424D">
        <w:rPr>
          <w:rFonts w:ascii="Georgia" w:hAnsi="Georgia" w:cs="Arial"/>
          <w:b/>
          <w:bCs/>
        </w:rPr>
        <w:t>(i)</w:t>
      </w:r>
      <w:r w:rsidRPr="0069424D">
        <w:rPr>
          <w:rFonts w:ascii="Georgia" w:hAnsi="Georgia" w:cs="Arial"/>
        </w:rPr>
        <w:t xml:space="preserve"> La tutela transitoria para evitar un perjuicio irremediable; y </w:t>
      </w:r>
      <w:r w:rsidRPr="0069424D">
        <w:rPr>
          <w:rFonts w:ascii="Georgia" w:hAnsi="Georgia" w:cs="Arial"/>
          <w:b/>
          <w:bCs/>
        </w:rPr>
        <w:t>(ii)</w:t>
      </w:r>
      <w:r w:rsidRPr="0069424D">
        <w:rPr>
          <w:rFonts w:ascii="Georgia" w:hAnsi="Georgia" w:cs="Arial"/>
        </w:rPr>
        <w:t xml:space="preserve"> La ineficacia de la herramienta regular para salvaguardar los derechos.</w:t>
      </w:r>
    </w:p>
    <w:p w14:paraId="1EE80490" w14:textId="77777777" w:rsidR="004A39B9" w:rsidRPr="0069424D" w:rsidRDefault="004A39B9" w:rsidP="0069424D">
      <w:pPr>
        <w:pStyle w:val="Textoindependiente"/>
        <w:spacing w:line="276" w:lineRule="auto"/>
        <w:rPr>
          <w:rFonts w:ascii="Georgia" w:hAnsi="Georgia" w:cs="Arial"/>
          <w:szCs w:val="24"/>
          <w:lang w:val="es-CO"/>
        </w:rPr>
      </w:pPr>
    </w:p>
    <w:p w14:paraId="27374C35" w14:textId="40493A18" w:rsidR="006F3032" w:rsidRPr="0069424D" w:rsidRDefault="006F3032" w:rsidP="0069424D">
      <w:pPr>
        <w:pStyle w:val="Textoindependiente"/>
        <w:spacing w:line="276" w:lineRule="auto"/>
        <w:rPr>
          <w:rFonts w:ascii="Georgia" w:hAnsi="Georgia" w:cs="Arial"/>
          <w:szCs w:val="24"/>
          <w:lang w:val="es-CO"/>
        </w:rPr>
      </w:pPr>
      <w:r w:rsidRPr="0069424D">
        <w:rPr>
          <w:rFonts w:ascii="Georgia" w:hAnsi="Georgia" w:cs="Arial"/>
          <w:szCs w:val="24"/>
          <w:lang w:val="es-CO"/>
        </w:rPr>
        <w:t>Empero,</w:t>
      </w:r>
      <w:r w:rsidR="00146492" w:rsidRPr="0069424D">
        <w:rPr>
          <w:rFonts w:ascii="Georgia" w:hAnsi="Georgia" w:cs="Arial"/>
          <w:szCs w:val="24"/>
          <w:lang w:val="es-CO"/>
        </w:rPr>
        <w:t xml:space="preserve"> el análisis de este requisito: </w:t>
      </w:r>
      <w:r w:rsidR="00146492" w:rsidRPr="0069424D">
        <w:rPr>
          <w:rFonts w:ascii="Georgia" w:hAnsi="Georgia" w:cs="Arial"/>
          <w:i/>
          <w:szCs w:val="24"/>
          <w:lang w:val="es-CO"/>
        </w:rPr>
        <w:t>“(…) debe hacerse de manera flexible cuando se trata de personas en situación de discapacidad o de la tercera edad. (…) 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004A39B9" w:rsidRPr="0069424D">
        <w:rPr>
          <w:rFonts w:ascii="Georgia" w:hAnsi="Georgia"/>
          <w:szCs w:val="24"/>
          <w:vertAlign w:val="superscript"/>
          <w:lang w:val="es-419"/>
        </w:rPr>
        <w:footnoteReference w:id="6"/>
      </w:r>
      <w:r w:rsidR="00146492" w:rsidRPr="0069424D">
        <w:rPr>
          <w:rFonts w:ascii="Georgia" w:hAnsi="Georgia" w:cs="Arial"/>
          <w:i/>
          <w:szCs w:val="24"/>
          <w:lang w:val="es-CO"/>
        </w:rPr>
        <w:t>.</w:t>
      </w:r>
      <w:r w:rsidR="00146492" w:rsidRPr="0069424D">
        <w:rPr>
          <w:rFonts w:ascii="Georgia" w:hAnsi="Georgia" w:cs="Arial"/>
          <w:szCs w:val="24"/>
          <w:lang w:val="es-CO"/>
        </w:rPr>
        <w:t xml:space="preserve"> Tesis reiterada por esa Corporación.</w:t>
      </w:r>
      <w:r w:rsidR="00146492" w:rsidRPr="0069424D">
        <w:rPr>
          <w:rFonts w:ascii="Georgia" w:hAnsi="Georgia"/>
          <w:szCs w:val="24"/>
          <w:vertAlign w:val="superscript"/>
          <w:lang w:val="es-419"/>
        </w:rPr>
        <w:footnoteReference w:id="7"/>
      </w:r>
    </w:p>
    <w:p w14:paraId="53F189D3" w14:textId="77777777" w:rsidR="006F3032" w:rsidRPr="0069424D" w:rsidRDefault="006F3032" w:rsidP="0069424D">
      <w:pPr>
        <w:pStyle w:val="Textoindependiente"/>
        <w:spacing w:line="276" w:lineRule="auto"/>
        <w:ind w:left="720"/>
        <w:rPr>
          <w:rFonts w:ascii="Georgia" w:hAnsi="Georgia" w:cs="Arial"/>
          <w:szCs w:val="24"/>
          <w:lang w:val="es-CO"/>
        </w:rPr>
      </w:pPr>
    </w:p>
    <w:p w14:paraId="3BC0D446" w14:textId="7AE029E4" w:rsidR="006F3032" w:rsidRPr="0069424D" w:rsidRDefault="007412C8" w:rsidP="0069424D">
      <w:pPr>
        <w:pStyle w:val="Textoindependiente"/>
        <w:spacing w:line="276" w:lineRule="auto"/>
        <w:rPr>
          <w:rFonts w:ascii="Georgia" w:hAnsi="Georgia" w:cs="Arial"/>
          <w:szCs w:val="24"/>
          <w:lang w:val="es-419"/>
        </w:rPr>
      </w:pPr>
      <w:bookmarkStart w:id="3" w:name="_Hlk110336785"/>
      <w:r w:rsidRPr="0069424D">
        <w:rPr>
          <w:rFonts w:ascii="Georgia" w:hAnsi="Georgia" w:cs="Arial"/>
          <w:szCs w:val="24"/>
        </w:rPr>
        <w:lastRenderedPageBreak/>
        <w:t xml:space="preserve">Empero, en </w:t>
      </w:r>
      <w:r w:rsidR="006F3032" w:rsidRPr="0069424D">
        <w:rPr>
          <w:rFonts w:ascii="Georgia" w:hAnsi="Georgia" w:cs="Arial"/>
          <w:szCs w:val="24"/>
        </w:rPr>
        <w:t xml:space="preserve">tratándose del reconocimiento de una pensión de sobrevivientes, la CC, de vieja data y de forma reiterada, </w:t>
      </w:r>
      <w:r w:rsidRPr="0069424D">
        <w:rPr>
          <w:rFonts w:ascii="Georgia" w:hAnsi="Georgia" w:cs="Arial"/>
          <w:szCs w:val="24"/>
        </w:rPr>
        <w:t xml:space="preserve">supeditó la procedencia </w:t>
      </w:r>
      <w:r w:rsidR="006F3032" w:rsidRPr="0069424D">
        <w:rPr>
          <w:rFonts w:ascii="Georgia" w:hAnsi="Georgia" w:cs="Arial"/>
          <w:szCs w:val="24"/>
        </w:rPr>
        <w:t>de la acción al cumplimiento pleno de cuatro requisitos especiales concomitantes (</w:t>
      </w:r>
      <w:r w:rsidR="000166B0" w:rsidRPr="0069424D">
        <w:rPr>
          <w:rFonts w:ascii="Georgia" w:hAnsi="Georgia" w:cs="Arial"/>
          <w:szCs w:val="24"/>
        </w:rPr>
        <w:t>2022</w:t>
      </w:r>
      <w:r w:rsidR="006F3032" w:rsidRPr="0069424D">
        <w:rPr>
          <w:rFonts w:ascii="Georgia" w:hAnsi="Georgia" w:cs="Arial"/>
          <w:szCs w:val="24"/>
        </w:rPr>
        <w:t>)</w:t>
      </w:r>
      <w:r w:rsidR="006F3032" w:rsidRPr="0069424D">
        <w:rPr>
          <w:rStyle w:val="Refdenotaalpie"/>
          <w:rFonts w:ascii="Georgia" w:hAnsi="Georgia"/>
          <w:szCs w:val="24"/>
        </w:rPr>
        <w:footnoteReference w:id="8"/>
      </w:r>
      <w:r w:rsidR="006F3032" w:rsidRPr="0069424D">
        <w:rPr>
          <w:rFonts w:ascii="Georgia" w:hAnsi="Georgia" w:cs="Arial"/>
          <w:szCs w:val="24"/>
        </w:rPr>
        <w:t xml:space="preserve">, a saber: </w:t>
      </w:r>
    </w:p>
    <w:p w14:paraId="6F9C4F81" w14:textId="77777777" w:rsidR="006F3032" w:rsidRPr="0069424D" w:rsidRDefault="006F3032" w:rsidP="0069424D">
      <w:pPr>
        <w:pStyle w:val="Sinespaciado3"/>
        <w:spacing w:line="276" w:lineRule="auto"/>
        <w:jc w:val="both"/>
        <w:rPr>
          <w:rFonts w:ascii="Georgia" w:hAnsi="Georgia" w:cs="Arial"/>
          <w:sz w:val="24"/>
          <w:szCs w:val="24"/>
          <w:lang w:val="es-ES_tradnl"/>
        </w:rPr>
      </w:pPr>
    </w:p>
    <w:p w14:paraId="67CD64BC" w14:textId="1FB965B9" w:rsidR="006F3032" w:rsidRPr="00FF5F5B" w:rsidRDefault="000166B0" w:rsidP="00FF5F5B">
      <w:pPr>
        <w:shd w:val="clear" w:color="auto" w:fill="FFFFFF" w:themeFill="background1"/>
        <w:tabs>
          <w:tab w:val="left" w:pos="1320"/>
        </w:tabs>
        <w:ind w:left="426" w:right="420"/>
        <w:jc w:val="both"/>
        <w:rPr>
          <w:rFonts w:ascii="Georgia" w:hAnsi="Georgia"/>
          <w:bCs/>
          <w:sz w:val="22"/>
        </w:rPr>
      </w:pPr>
      <w:r w:rsidRPr="00FF5F5B">
        <w:rPr>
          <w:rFonts w:ascii="Georgia" w:hAnsi="Georgia"/>
          <w:bCs/>
          <w:sz w:val="22"/>
        </w:rPr>
        <w:t xml:space="preserve">(i) se trate de un sujeto de especial protección constitucional; (ii) la falta de pago genera un alto grado de afectación de los derechos fundamentales, en particular al mínimo vital; (iii) se haya desplegado cierta actividad administrativa y judicial por el interesado tendiente a obtener la salvaguarda de sus derechos; (iv) se acredite, sumariamente, las razones por las cuales el medio judicial ordinario es ineficaz para lograr el amparo inmediato de los derechos fundamentales presuntamente afectados; </w:t>
      </w:r>
      <w:r w:rsidRPr="00FF5F5B">
        <w:rPr>
          <w:rFonts w:ascii="Georgia" w:hAnsi="Georgia"/>
          <w:b/>
          <w:bCs/>
          <w:sz w:val="22"/>
        </w:rPr>
        <w:t>y (v) exista certeza en cuanto al cumplimiento de los requisitos de reconocimiento del derecho pensional reclamado</w:t>
      </w:r>
      <w:r w:rsidRPr="00FF5F5B">
        <w:rPr>
          <w:rFonts w:ascii="Georgia" w:hAnsi="Georgia"/>
          <w:bCs/>
          <w:sz w:val="22"/>
        </w:rPr>
        <w:t xml:space="preserve"> </w:t>
      </w:r>
      <w:bookmarkEnd w:id="3"/>
      <w:r w:rsidR="007412C8" w:rsidRPr="00FF5F5B">
        <w:rPr>
          <w:rFonts w:ascii="Georgia" w:hAnsi="Georgia"/>
          <w:bCs/>
          <w:sz w:val="22"/>
        </w:rPr>
        <w:t>(Negrilla a propósito).</w:t>
      </w:r>
    </w:p>
    <w:p w14:paraId="34DF77C6" w14:textId="77777777" w:rsidR="007412C8" w:rsidRPr="0069424D" w:rsidRDefault="007412C8" w:rsidP="0069424D">
      <w:pPr>
        <w:shd w:val="clear" w:color="auto" w:fill="FFFFFF" w:themeFill="background1"/>
        <w:tabs>
          <w:tab w:val="left" w:pos="1320"/>
        </w:tabs>
        <w:spacing w:line="276" w:lineRule="auto"/>
        <w:jc w:val="both"/>
        <w:rPr>
          <w:rFonts w:ascii="Georgia" w:hAnsi="Georgia" w:cs="Arial"/>
          <w:lang w:val="es-ES_tradnl"/>
        </w:rPr>
      </w:pPr>
    </w:p>
    <w:p w14:paraId="5EEDF37D" w14:textId="5532DB26" w:rsidR="007412C8" w:rsidRPr="0069424D" w:rsidRDefault="007412C8" w:rsidP="0069424D">
      <w:pPr>
        <w:shd w:val="clear" w:color="auto" w:fill="FFFFFF" w:themeFill="background1"/>
        <w:tabs>
          <w:tab w:val="left" w:pos="1320"/>
        </w:tabs>
        <w:spacing w:line="276" w:lineRule="auto"/>
        <w:jc w:val="both"/>
        <w:rPr>
          <w:rFonts w:ascii="Georgia" w:hAnsi="Georgia" w:cs="Arial"/>
          <w:lang w:val="es-ES_tradnl"/>
        </w:rPr>
      </w:pPr>
      <w:r w:rsidRPr="0069424D">
        <w:rPr>
          <w:rFonts w:ascii="Georgia" w:hAnsi="Georgia" w:cs="Arial"/>
          <w:lang w:val="es-ES_tradnl"/>
        </w:rPr>
        <w:t xml:space="preserve">El incumplimiento de cualquiera de los requisitos reseñados impide la intervención del juez constitucional. </w:t>
      </w:r>
    </w:p>
    <w:p w14:paraId="2AB9D476" w14:textId="5B97C942" w:rsidR="007412C8" w:rsidRPr="0069424D" w:rsidRDefault="007412C8" w:rsidP="0069424D">
      <w:pPr>
        <w:shd w:val="clear" w:color="auto" w:fill="FFFFFF" w:themeFill="background1"/>
        <w:tabs>
          <w:tab w:val="left" w:pos="1320"/>
        </w:tabs>
        <w:spacing w:line="276" w:lineRule="auto"/>
        <w:jc w:val="both"/>
        <w:rPr>
          <w:rFonts w:ascii="Georgia" w:hAnsi="Georgia" w:cs="Arial"/>
          <w:lang w:val="es-ES_tradnl"/>
        </w:rPr>
      </w:pPr>
    </w:p>
    <w:p w14:paraId="47306E01" w14:textId="77777777" w:rsidR="000166B0" w:rsidRPr="0069424D" w:rsidRDefault="000166B0" w:rsidP="0069424D">
      <w:pPr>
        <w:pStyle w:val="Textoindependiente"/>
        <w:numPr>
          <w:ilvl w:val="1"/>
          <w:numId w:val="9"/>
        </w:numPr>
        <w:tabs>
          <w:tab w:val="clear" w:pos="0"/>
        </w:tabs>
        <w:spacing w:line="276" w:lineRule="auto"/>
        <w:rPr>
          <w:rFonts w:ascii="Georgia" w:hAnsi="Georgia" w:cs="Arial"/>
          <w:iCs/>
          <w:smallCaps/>
          <w:szCs w:val="24"/>
        </w:rPr>
      </w:pPr>
      <w:r w:rsidRPr="0069424D">
        <w:rPr>
          <w:rFonts w:ascii="Georgia" w:hAnsi="Georgia" w:cs="Arial"/>
          <w:iCs/>
          <w:smallCaps/>
          <w:szCs w:val="24"/>
        </w:rPr>
        <w:t>La sustitución pensional</w:t>
      </w:r>
    </w:p>
    <w:p w14:paraId="27F907BD" w14:textId="77777777" w:rsidR="000166B0" w:rsidRPr="0069424D" w:rsidRDefault="000166B0" w:rsidP="0069424D">
      <w:pPr>
        <w:pStyle w:val="Textoindependiente"/>
        <w:tabs>
          <w:tab w:val="clear" w:pos="0"/>
        </w:tabs>
        <w:spacing w:line="276" w:lineRule="auto"/>
        <w:rPr>
          <w:rFonts w:ascii="Georgia" w:hAnsi="Georgia" w:cs="Arial"/>
          <w:szCs w:val="24"/>
        </w:rPr>
      </w:pPr>
    </w:p>
    <w:p w14:paraId="073B0A1F" w14:textId="2F566E6D" w:rsidR="000166B0" w:rsidRPr="0069424D" w:rsidRDefault="000166B0" w:rsidP="0069424D">
      <w:pPr>
        <w:pStyle w:val="Textoindependiente"/>
        <w:spacing w:line="276" w:lineRule="auto"/>
        <w:rPr>
          <w:rFonts w:ascii="Georgia" w:hAnsi="Georgia" w:cs="Arial"/>
          <w:szCs w:val="24"/>
          <w:lang w:val="es-CO"/>
        </w:rPr>
      </w:pPr>
      <w:r w:rsidRPr="0069424D">
        <w:rPr>
          <w:rFonts w:ascii="Georgia" w:hAnsi="Georgia" w:cs="Arial"/>
          <w:szCs w:val="24"/>
        </w:rPr>
        <w:t>Esta prestación social tiene por finalidad que los familiares que dependían económicamente de una persona fallecida que gozaba de una pensión, puedan subrogarse en ese derecho, a efectos paliar la desmejora económica y evitar la afectación de su mínimo vital</w:t>
      </w:r>
      <w:r w:rsidRPr="0069424D">
        <w:rPr>
          <w:rStyle w:val="Refdenotaalpie"/>
          <w:rFonts w:ascii="Georgia" w:hAnsi="Georgia"/>
          <w:szCs w:val="24"/>
        </w:rPr>
        <w:footnoteReference w:id="9"/>
      </w:r>
      <w:r w:rsidRPr="0069424D">
        <w:rPr>
          <w:rFonts w:ascii="Georgia" w:hAnsi="Georgia" w:cs="Arial"/>
          <w:szCs w:val="24"/>
        </w:rPr>
        <w:t xml:space="preserve">. Está figura se contempla en el artículo 46-1º, Ley 100, </w:t>
      </w:r>
      <w:r w:rsidRPr="0069424D">
        <w:rPr>
          <w:rFonts w:ascii="Georgia" w:hAnsi="Georgia" w:cs="Arial"/>
          <w:szCs w:val="24"/>
          <w:lang w:val="es-ES"/>
        </w:rPr>
        <w:t>modificado por el artículo 12, Ley 797</w:t>
      </w:r>
      <w:r w:rsidRPr="0069424D">
        <w:rPr>
          <w:rFonts w:ascii="Georgia" w:hAnsi="Georgia" w:cs="Arial"/>
          <w:szCs w:val="24"/>
        </w:rPr>
        <w:t>: “</w:t>
      </w:r>
      <w:r w:rsidRPr="0069424D">
        <w:rPr>
          <w:rFonts w:ascii="Georgia" w:hAnsi="Georgia" w:cs="Arial"/>
          <w:i/>
          <w:szCs w:val="24"/>
          <w:lang w:val="es-CO"/>
        </w:rPr>
        <w:t>Tendrán derecho a la pensión de sobrevivientes: 1.  Los miembros del grupo familiar del pensionado por vejez, o invalidez por riesgo común, que fallezca (…)”.</w:t>
      </w:r>
      <w:r w:rsidRPr="0069424D">
        <w:rPr>
          <w:rFonts w:ascii="Georgia" w:hAnsi="Georgia" w:cs="Arial"/>
          <w:szCs w:val="24"/>
          <w:lang w:val="es-CO"/>
        </w:rPr>
        <w:t xml:space="preserve"> </w:t>
      </w:r>
    </w:p>
    <w:p w14:paraId="7EFFFA0F" w14:textId="77777777" w:rsidR="000166B0" w:rsidRPr="0069424D" w:rsidRDefault="000166B0" w:rsidP="0069424D">
      <w:pPr>
        <w:pStyle w:val="Textoindependiente"/>
        <w:spacing w:line="276" w:lineRule="auto"/>
        <w:rPr>
          <w:rFonts w:ascii="Georgia" w:hAnsi="Georgia" w:cs="Arial"/>
          <w:szCs w:val="24"/>
          <w:lang w:val="es-CO"/>
        </w:rPr>
      </w:pPr>
    </w:p>
    <w:p w14:paraId="3D29177F" w14:textId="410303BE" w:rsidR="000166B0" w:rsidRPr="0069424D" w:rsidRDefault="000166B0" w:rsidP="0069424D">
      <w:pPr>
        <w:pStyle w:val="Textoindependiente"/>
        <w:spacing w:line="276" w:lineRule="auto"/>
        <w:rPr>
          <w:rFonts w:ascii="Georgia" w:hAnsi="Georgia" w:cs="Arial"/>
          <w:szCs w:val="24"/>
          <w:lang w:val="es-CO"/>
        </w:rPr>
      </w:pPr>
      <w:r w:rsidRPr="0069424D">
        <w:rPr>
          <w:rFonts w:ascii="Georgia" w:hAnsi="Georgia" w:cs="Arial"/>
          <w:szCs w:val="24"/>
          <w:lang w:val="es-CO"/>
        </w:rPr>
        <w:t xml:space="preserve">Y, el artículo 47, literal “c”, ibidem, establece que </w:t>
      </w:r>
      <w:r w:rsidR="00346923" w:rsidRPr="0069424D">
        <w:rPr>
          <w:rFonts w:ascii="Georgia" w:hAnsi="Georgia" w:cs="Arial"/>
          <w:szCs w:val="24"/>
          <w:lang w:val="es-CO"/>
        </w:rPr>
        <w:t>los hijos supérstites en situación de invalidez tienen</w:t>
      </w:r>
      <w:r w:rsidRPr="0069424D">
        <w:rPr>
          <w:rFonts w:ascii="Georgia" w:hAnsi="Georgia" w:cs="Arial"/>
          <w:szCs w:val="24"/>
          <w:lang w:val="es-CO"/>
        </w:rPr>
        <w:t xml:space="preserve"> derecho a la sustitución </w:t>
      </w:r>
      <w:r w:rsidR="00346923" w:rsidRPr="0069424D">
        <w:rPr>
          <w:rFonts w:ascii="Georgia" w:hAnsi="Georgia" w:cs="Arial"/>
          <w:szCs w:val="24"/>
          <w:lang w:val="es-CO"/>
        </w:rPr>
        <w:t xml:space="preserve">pensional </w:t>
      </w:r>
      <w:r w:rsidR="00346923" w:rsidRPr="0069424D">
        <w:rPr>
          <w:rFonts w:ascii="Georgia" w:hAnsi="Georgia" w:cs="Arial"/>
          <w:b/>
          <w:szCs w:val="24"/>
          <w:lang w:val="es-CO"/>
        </w:rPr>
        <w:t>(i)</w:t>
      </w:r>
      <w:r w:rsidR="00346923" w:rsidRPr="0069424D">
        <w:rPr>
          <w:rFonts w:ascii="Georgia" w:hAnsi="Georgia" w:cs="Arial"/>
          <w:szCs w:val="24"/>
          <w:lang w:val="es-CO"/>
        </w:rPr>
        <w:t xml:space="preserve"> si dependían económicamente del causante y </w:t>
      </w:r>
      <w:r w:rsidR="00346923" w:rsidRPr="0069424D">
        <w:rPr>
          <w:rFonts w:ascii="Georgia" w:hAnsi="Georgia" w:cs="Arial"/>
          <w:b/>
          <w:szCs w:val="24"/>
          <w:lang w:val="es-CO"/>
        </w:rPr>
        <w:t xml:space="preserve">(ii) </w:t>
      </w:r>
      <w:r w:rsidR="00346923" w:rsidRPr="0069424D">
        <w:rPr>
          <w:rFonts w:ascii="Georgia" w:hAnsi="Georgia" w:cs="Arial"/>
          <w:szCs w:val="24"/>
          <w:lang w:val="es-CO"/>
        </w:rPr>
        <w:t>mientras subsistan las condiciones de invalidez</w:t>
      </w:r>
      <w:r w:rsidRPr="0069424D">
        <w:rPr>
          <w:rFonts w:ascii="Georgia" w:hAnsi="Georgia" w:cs="Arial"/>
          <w:szCs w:val="24"/>
          <w:lang w:val="es-CO"/>
        </w:rPr>
        <w:t>.</w:t>
      </w:r>
    </w:p>
    <w:p w14:paraId="6910DE63" w14:textId="4E4A1A30" w:rsidR="000166B0" w:rsidRPr="0069424D" w:rsidRDefault="000166B0" w:rsidP="0069424D">
      <w:pPr>
        <w:shd w:val="clear" w:color="auto" w:fill="FFFFFF" w:themeFill="background1"/>
        <w:tabs>
          <w:tab w:val="left" w:pos="1320"/>
        </w:tabs>
        <w:spacing w:line="276" w:lineRule="auto"/>
        <w:jc w:val="both"/>
        <w:rPr>
          <w:rFonts w:ascii="Georgia" w:hAnsi="Georgia" w:cs="Arial"/>
          <w:lang w:val="es-ES_tradnl"/>
        </w:rPr>
      </w:pPr>
    </w:p>
    <w:p w14:paraId="7FCC0E2B" w14:textId="77777777" w:rsidR="00346923" w:rsidRPr="0069424D" w:rsidRDefault="00346923" w:rsidP="0069424D">
      <w:pPr>
        <w:pStyle w:val="Textoindependiente"/>
        <w:spacing w:line="276" w:lineRule="auto"/>
        <w:rPr>
          <w:rFonts w:ascii="Georgia" w:hAnsi="Georgia" w:cs="Arial"/>
          <w:szCs w:val="24"/>
          <w:lang w:val="es-CO"/>
        </w:rPr>
      </w:pPr>
    </w:p>
    <w:p w14:paraId="524872D8" w14:textId="77777777" w:rsidR="00346923" w:rsidRPr="0069424D" w:rsidRDefault="00346923" w:rsidP="0069424D">
      <w:pPr>
        <w:pStyle w:val="Prrafodelista"/>
        <w:widowControl/>
        <w:numPr>
          <w:ilvl w:val="0"/>
          <w:numId w:val="5"/>
        </w:numPr>
        <w:autoSpaceDE/>
        <w:autoSpaceDN/>
        <w:adjustRightInd/>
        <w:spacing w:line="276" w:lineRule="auto"/>
        <w:contextualSpacing/>
        <w:jc w:val="both"/>
        <w:rPr>
          <w:rFonts w:ascii="Georgia" w:hAnsi="Georgia" w:cs="Arial"/>
          <w:bCs/>
          <w:smallCaps/>
          <w:lang w:val="es-419"/>
        </w:rPr>
      </w:pPr>
      <w:r w:rsidRPr="0069424D">
        <w:rPr>
          <w:rFonts w:ascii="Georgia" w:hAnsi="Georgia" w:cs="Arial"/>
          <w:bCs/>
          <w:smallCaps/>
          <w:lang w:val="es-419"/>
        </w:rPr>
        <w:t>El caso concreto analizado</w:t>
      </w:r>
    </w:p>
    <w:p w14:paraId="0BDB86B9" w14:textId="77777777" w:rsidR="00346923" w:rsidRPr="0069424D" w:rsidRDefault="00346923" w:rsidP="0069424D">
      <w:pPr>
        <w:shd w:val="clear" w:color="auto" w:fill="FFFFFF" w:themeFill="background1"/>
        <w:tabs>
          <w:tab w:val="left" w:pos="1320"/>
        </w:tabs>
        <w:spacing w:line="276" w:lineRule="auto"/>
        <w:jc w:val="both"/>
        <w:rPr>
          <w:rFonts w:ascii="Georgia" w:hAnsi="Georgia" w:cs="Arial"/>
          <w:lang w:val="es-ES_tradnl"/>
        </w:rPr>
      </w:pPr>
    </w:p>
    <w:p w14:paraId="3283386D" w14:textId="257F6A9C" w:rsidR="00346923" w:rsidRPr="0069424D" w:rsidRDefault="00346923" w:rsidP="0069424D">
      <w:pPr>
        <w:pStyle w:val="Textoindependiente"/>
        <w:spacing w:line="276" w:lineRule="auto"/>
        <w:rPr>
          <w:rFonts w:ascii="Georgia" w:hAnsi="Georgia"/>
          <w:bCs/>
          <w:szCs w:val="24"/>
        </w:rPr>
      </w:pPr>
      <w:r w:rsidRPr="0069424D">
        <w:rPr>
          <w:rFonts w:ascii="Georgia" w:hAnsi="Georgia" w:cs="Arial"/>
          <w:szCs w:val="24"/>
        </w:rPr>
        <w:t xml:space="preserve">Se confirmará el fallo opugnado porque es clara la falta de subsidiariedad. La tutela incumple uno (1) de los </w:t>
      </w:r>
      <w:r w:rsidR="00C73D26" w:rsidRPr="0069424D">
        <w:rPr>
          <w:rFonts w:ascii="Georgia" w:hAnsi="Georgia" w:cs="Arial"/>
          <w:szCs w:val="24"/>
        </w:rPr>
        <w:t xml:space="preserve">cinco </w:t>
      </w:r>
      <w:r w:rsidRPr="0069424D">
        <w:rPr>
          <w:rFonts w:ascii="Georgia" w:hAnsi="Georgia" w:cs="Arial"/>
          <w:szCs w:val="24"/>
        </w:rPr>
        <w:t>(</w:t>
      </w:r>
      <w:r w:rsidR="00E41152" w:rsidRPr="0069424D">
        <w:rPr>
          <w:rFonts w:ascii="Georgia" w:hAnsi="Georgia" w:cs="Arial"/>
          <w:szCs w:val="24"/>
        </w:rPr>
        <w:t>5</w:t>
      </w:r>
      <w:r w:rsidRPr="0069424D">
        <w:rPr>
          <w:rFonts w:ascii="Georgia" w:hAnsi="Georgia" w:cs="Arial"/>
          <w:szCs w:val="24"/>
        </w:rPr>
        <w:t>) presupuestos concomitantes para superar este presupuesto y basta para desestimarl</w:t>
      </w:r>
      <w:r w:rsidR="00101EEC" w:rsidRPr="0069424D">
        <w:rPr>
          <w:rFonts w:ascii="Georgia" w:hAnsi="Georgia" w:cs="Arial"/>
          <w:szCs w:val="24"/>
        </w:rPr>
        <w:t>a</w:t>
      </w:r>
      <w:r w:rsidRPr="0069424D">
        <w:rPr>
          <w:rFonts w:ascii="Georgia" w:hAnsi="Georgia" w:cs="Arial"/>
          <w:szCs w:val="24"/>
        </w:rPr>
        <w:t>. En síntesis, atañe a</w:t>
      </w:r>
      <w:r w:rsidR="00B5631A" w:rsidRPr="0069424D">
        <w:rPr>
          <w:rFonts w:ascii="Georgia" w:hAnsi="Georgia" w:cs="Arial"/>
          <w:szCs w:val="24"/>
        </w:rPr>
        <w:t xml:space="preserve"> </w:t>
      </w:r>
      <w:r w:rsidRPr="0069424D">
        <w:rPr>
          <w:rFonts w:ascii="Georgia" w:hAnsi="Georgia" w:cs="Arial"/>
          <w:szCs w:val="24"/>
        </w:rPr>
        <w:t xml:space="preserve">los </w:t>
      </w:r>
      <w:r w:rsidRPr="0069424D">
        <w:rPr>
          <w:rFonts w:ascii="Georgia" w:hAnsi="Georgia"/>
          <w:bCs/>
          <w:szCs w:val="24"/>
        </w:rPr>
        <w:t xml:space="preserve">requisitos legales de la sustitución pensional, específicamente, </w:t>
      </w:r>
      <w:r w:rsidR="00B5631A" w:rsidRPr="0069424D">
        <w:rPr>
          <w:rFonts w:ascii="Georgia" w:hAnsi="Georgia"/>
          <w:bCs/>
          <w:szCs w:val="24"/>
        </w:rPr>
        <w:t>la dependencia económica del causante con ocasión de la invalidez calificada</w:t>
      </w:r>
      <w:r w:rsidRPr="0069424D">
        <w:rPr>
          <w:rFonts w:ascii="Georgia" w:hAnsi="Georgia"/>
          <w:bCs/>
          <w:szCs w:val="24"/>
        </w:rPr>
        <w:t xml:space="preserve">. </w:t>
      </w:r>
    </w:p>
    <w:p w14:paraId="707BAC5D" w14:textId="539061DF" w:rsidR="00346923" w:rsidRPr="0069424D" w:rsidRDefault="00346923" w:rsidP="0069424D">
      <w:pPr>
        <w:pStyle w:val="Textoindependiente"/>
        <w:spacing w:line="276" w:lineRule="auto"/>
        <w:rPr>
          <w:rFonts w:ascii="Georgia" w:hAnsi="Georgia"/>
          <w:bCs/>
          <w:szCs w:val="24"/>
        </w:rPr>
      </w:pPr>
    </w:p>
    <w:p w14:paraId="0D0B1A8E" w14:textId="44139418" w:rsidR="00101EEC" w:rsidRPr="0069424D" w:rsidRDefault="00101EEC" w:rsidP="0069424D">
      <w:pPr>
        <w:pStyle w:val="Textoindependiente"/>
        <w:spacing w:line="276" w:lineRule="auto"/>
        <w:rPr>
          <w:rFonts w:ascii="Georgia" w:hAnsi="Georgia"/>
          <w:bCs/>
          <w:szCs w:val="24"/>
        </w:rPr>
      </w:pPr>
      <w:r w:rsidRPr="0069424D">
        <w:rPr>
          <w:rFonts w:ascii="Georgia" w:hAnsi="Georgia"/>
          <w:bCs/>
          <w:szCs w:val="24"/>
        </w:rPr>
        <w:t>Revisado el</w:t>
      </w:r>
      <w:r w:rsidR="002E2F4B" w:rsidRPr="0069424D">
        <w:rPr>
          <w:rFonts w:ascii="Georgia" w:hAnsi="Georgia"/>
          <w:bCs/>
          <w:szCs w:val="24"/>
        </w:rPr>
        <w:t xml:space="preserve"> segundo </w:t>
      </w:r>
      <w:r w:rsidRPr="0069424D">
        <w:rPr>
          <w:rFonts w:ascii="Georgia" w:hAnsi="Georgia"/>
          <w:bCs/>
          <w:szCs w:val="24"/>
        </w:rPr>
        <w:t>dictamen de PCL</w:t>
      </w:r>
      <w:r w:rsidR="00790510" w:rsidRPr="0069424D">
        <w:rPr>
          <w:rFonts w:ascii="Georgia" w:hAnsi="Georgia"/>
          <w:bCs/>
          <w:szCs w:val="24"/>
        </w:rPr>
        <w:t xml:space="preserve">, </w:t>
      </w:r>
      <w:r w:rsidRPr="0069424D">
        <w:rPr>
          <w:rFonts w:ascii="Georgia" w:hAnsi="Georgia"/>
          <w:bCs/>
          <w:szCs w:val="24"/>
        </w:rPr>
        <w:t>expedido por la Junta Nacional de Calificación de Invalidez</w:t>
      </w:r>
      <w:r w:rsidR="00790510" w:rsidRPr="0069424D">
        <w:rPr>
          <w:rFonts w:ascii="Georgia" w:hAnsi="Georgia"/>
          <w:bCs/>
          <w:szCs w:val="24"/>
        </w:rPr>
        <w:t>,</w:t>
      </w:r>
      <w:r w:rsidRPr="0069424D">
        <w:rPr>
          <w:rFonts w:ascii="Georgia" w:hAnsi="Georgia"/>
          <w:bCs/>
          <w:szCs w:val="24"/>
        </w:rPr>
        <w:t xml:space="preserve"> se tiene</w:t>
      </w:r>
      <w:r w:rsidR="00790510" w:rsidRPr="0069424D">
        <w:rPr>
          <w:rFonts w:ascii="Georgia" w:hAnsi="Georgia"/>
          <w:bCs/>
          <w:szCs w:val="24"/>
        </w:rPr>
        <w:t xml:space="preserve"> que</w:t>
      </w:r>
      <w:r w:rsidR="00DA5DE9" w:rsidRPr="0069424D">
        <w:rPr>
          <w:rFonts w:ascii="Georgia" w:hAnsi="Georgia"/>
          <w:bCs/>
          <w:szCs w:val="24"/>
        </w:rPr>
        <w:t xml:space="preserve"> d</w:t>
      </w:r>
      <w:r w:rsidRPr="0069424D">
        <w:rPr>
          <w:rFonts w:ascii="Georgia" w:hAnsi="Georgia"/>
          <w:bCs/>
          <w:szCs w:val="24"/>
        </w:rPr>
        <w:t xml:space="preserve">esestimó la modificación de la fecha de estructuración porque </w:t>
      </w:r>
      <w:r w:rsidR="00B5631A" w:rsidRPr="0069424D">
        <w:rPr>
          <w:rFonts w:ascii="Georgia" w:hAnsi="Georgia"/>
          <w:bCs/>
          <w:szCs w:val="24"/>
        </w:rPr>
        <w:t xml:space="preserve">el </w:t>
      </w:r>
      <w:r w:rsidR="00790510" w:rsidRPr="0069424D">
        <w:rPr>
          <w:rFonts w:ascii="Georgia" w:hAnsi="Georgia"/>
          <w:bCs/>
          <w:szCs w:val="24"/>
        </w:rPr>
        <w:t xml:space="preserve">diagnóstico del cuadro depresivo que acrecentó el porcentaje de invalidez, data del 28-12-2018 </w:t>
      </w:r>
      <w:r w:rsidR="00790510" w:rsidRPr="0069424D">
        <w:rPr>
          <w:rFonts w:ascii="Georgia" w:hAnsi="Georgia"/>
          <w:bCs/>
          <w:i/>
          <w:szCs w:val="24"/>
        </w:rPr>
        <w:t>“(…) En consecuencia, no es posible modificar la fecha de estructuración para el año 2015 (…)”</w:t>
      </w:r>
      <w:r w:rsidR="00790510" w:rsidRPr="0069424D">
        <w:rPr>
          <w:rFonts w:ascii="Georgia" w:hAnsi="Georgia"/>
          <w:bCs/>
          <w:szCs w:val="24"/>
        </w:rPr>
        <w:t xml:space="preserve"> (Ib., </w:t>
      </w:r>
      <w:proofErr w:type="spellStart"/>
      <w:r w:rsidR="00790510" w:rsidRPr="0069424D">
        <w:rPr>
          <w:rFonts w:ascii="Georgia" w:hAnsi="Georgia"/>
          <w:bCs/>
          <w:szCs w:val="24"/>
        </w:rPr>
        <w:t>pdf</w:t>
      </w:r>
      <w:proofErr w:type="spellEnd"/>
      <w:r w:rsidR="00790510" w:rsidRPr="0069424D">
        <w:rPr>
          <w:rFonts w:ascii="Georgia" w:hAnsi="Georgia"/>
          <w:bCs/>
          <w:szCs w:val="24"/>
        </w:rPr>
        <w:t xml:space="preserve"> No.02, folio 32). </w:t>
      </w:r>
    </w:p>
    <w:p w14:paraId="3D6F977E" w14:textId="77777777" w:rsidR="004C6E95" w:rsidRPr="0069424D" w:rsidRDefault="004C6E95" w:rsidP="0069424D">
      <w:pPr>
        <w:pStyle w:val="Textoindependiente"/>
        <w:spacing w:line="276" w:lineRule="auto"/>
        <w:rPr>
          <w:rFonts w:ascii="Georgia" w:hAnsi="Georgia"/>
          <w:bCs/>
          <w:szCs w:val="24"/>
        </w:rPr>
      </w:pPr>
    </w:p>
    <w:p w14:paraId="6D2F61EB" w14:textId="348901E3" w:rsidR="00E41152" w:rsidRPr="0069424D" w:rsidRDefault="00434E14" w:rsidP="0069424D">
      <w:pPr>
        <w:pStyle w:val="Textoindependiente"/>
        <w:spacing w:line="276" w:lineRule="auto"/>
        <w:rPr>
          <w:rFonts w:ascii="Georgia" w:hAnsi="Georgia"/>
          <w:szCs w:val="24"/>
        </w:rPr>
      </w:pPr>
      <w:r w:rsidRPr="0069424D">
        <w:rPr>
          <w:rFonts w:ascii="Georgia" w:hAnsi="Georgia"/>
          <w:szCs w:val="24"/>
        </w:rPr>
        <w:t xml:space="preserve">Así las cosas, imposible </w:t>
      </w:r>
      <w:r w:rsidR="004C6E95" w:rsidRPr="0069424D">
        <w:rPr>
          <w:rFonts w:ascii="Georgia" w:hAnsi="Georgia"/>
          <w:szCs w:val="24"/>
        </w:rPr>
        <w:t xml:space="preserve">es que </w:t>
      </w:r>
      <w:r w:rsidR="00790510" w:rsidRPr="0069424D">
        <w:rPr>
          <w:rFonts w:ascii="Georgia" w:hAnsi="Georgia"/>
          <w:szCs w:val="24"/>
        </w:rPr>
        <w:t xml:space="preserve">el hipotético apoyo económico que </w:t>
      </w:r>
      <w:r w:rsidR="004C6E95" w:rsidRPr="0069424D">
        <w:rPr>
          <w:rFonts w:ascii="Georgia" w:hAnsi="Georgia"/>
          <w:szCs w:val="24"/>
        </w:rPr>
        <w:t xml:space="preserve">recibía </w:t>
      </w:r>
      <w:r w:rsidR="00790510" w:rsidRPr="0069424D">
        <w:rPr>
          <w:rFonts w:ascii="Georgia" w:hAnsi="Georgia"/>
          <w:szCs w:val="24"/>
        </w:rPr>
        <w:t xml:space="preserve">la actora, </w:t>
      </w:r>
      <w:r w:rsidR="004C6E95" w:rsidRPr="0069424D">
        <w:rPr>
          <w:rFonts w:ascii="Georgia" w:hAnsi="Georgia"/>
          <w:szCs w:val="24"/>
        </w:rPr>
        <w:t xml:space="preserve">tuviera </w:t>
      </w:r>
      <w:r w:rsidR="00790510" w:rsidRPr="0069424D">
        <w:rPr>
          <w:rFonts w:ascii="Georgia" w:hAnsi="Georgia"/>
          <w:szCs w:val="24"/>
        </w:rPr>
        <w:t xml:space="preserve">origen en disminución física </w:t>
      </w:r>
      <w:r w:rsidR="004C6E95" w:rsidRPr="0069424D">
        <w:rPr>
          <w:rFonts w:ascii="Georgia" w:hAnsi="Georgia"/>
          <w:szCs w:val="24"/>
        </w:rPr>
        <w:t xml:space="preserve">que le impidiera </w:t>
      </w:r>
      <w:r w:rsidR="00790510" w:rsidRPr="0069424D">
        <w:rPr>
          <w:rFonts w:ascii="Georgia" w:hAnsi="Georgia"/>
          <w:szCs w:val="24"/>
        </w:rPr>
        <w:t>laborar</w:t>
      </w:r>
      <w:r w:rsidRPr="0069424D">
        <w:rPr>
          <w:rFonts w:ascii="Georgia" w:hAnsi="Georgia"/>
          <w:szCs w:val="24"/>
        </w:rPr>
        <w:t xml:space="preserve">. </w:t>
      </w:r>
      <w:r w:rsidR="004C6E95" w:rsidRPr="0069424D">
        <w:rPr>
          <w:rFonts w:ascii="Georgia" w:hAnsi="Georgia"/>
          <w:szCs w:val="24"/>
        </w:rPr>
        <w:t>N</w:t>
      </w:r>
      <w:r w:rsidR="00790510" w:rsidRPr="0069424D">
        <w:rPr>
          <w:rFonts w:ascii="Georgia" w:hAnsi="Georgia"/>
          <w:szCs w:val="24"/>
        </w:rPr>
        <w:t xml:space="preserve">o puede ser otra la conclusión </w:t>
      </w:r>
      <w:r w:rsidR="004C6E95" w:rsidRPr="0069424D">
        <w:rPr>
          <w:rFonts w:ascii="Georgia" w:hAnsi="Georgia"/>
          <w:szCs w:val="24"/>
        </w:rPr>
        <w:t xml:space="preserve">de </w:t>
      </w:r>
      <w:r w:rsidR="004C6E95" w:rsidRPr="0069424D">
        <w:rPr>
          <w:rFonts w:ascii="Georgia" w:hAnsi="Georgia"/>
          <w:szCs w:val="24"/>
        </w:rPr>
        <w:lastRenderedPageBreak/>
        <w:t xml:space="preserve">la Sala </w:t>
      </w:r>
      <w:r w:rsidR="00790510" w:rsidRPr="0069424D">
        <w:rPr>
          <w:rFonts w:ascii="Georgia" w:hAnsi="Georgia"/>
          <w:szCs w:val="24"/>
        </w:rPr>
        <w:t xml:space="preserve">porque </w:t>
      </w:r>
      <w:r w:rsidR="005140A1" w:rsidRPr="0069424D">
        <w:rPr>
          <w:rFonts w:ascii="Georgia" w:hAnsi="Georgia"/>
          <w:szCs w:val="24"/>
        </w:rPr>
        <w:t xml:space="preserve">el episodio depresivo </w:t>
      </w:r>
      <w:r w:rsidR="00790510" w:rsidRPr="0069424D">
        <w:rPr>
          <w:rFonts w:ascii="Georgia" w:hAnsi="Georgia"/>
          <w:szCs w:val="24"/>
        </w:rPr>
        <w:t xml:space="preserve">que </w:t>
      </w:r>
      <w:r w:rsidR="005140A1" w:rsidRPr="0069424D">
        <w:rPr>
          <w:rFonts w:ascii="Georgia" w:hAnsi="Georgia"/>
          <w:szCs w:val="24"/>
        </w:rPr>
        <w:t xml:space="preserve">aumentó el porcentaje de la </w:t>
      </w:r>
      <w:r w:rsidR="00790510" w:rsidRPr="0069424D">
        <w:rPr>
          <w:rFonts w:ascii="Georgia" w:hAnsi="Georgia"/>
          <w:szCs w:val="24"/>
        </w:rPr>
        <w:t xml:space="preserve">PCL, </w:t>
      </w:r>
      <w:r w:rsidRPr="0069424D">
        <w:rPr>
          <w:rFonts w:ascii="Georgia" w:hAnsi="Georgia"/>
          <w:szCs w:val="24"/>
        </w:rPr>
        <w:t xml:space="preserve">se diagnosticó luego </w:t>
      </w:r>
      <w:r w:rsidR="00DA5DE9" w:rsidRPr="0069424D">
        <w:rPr>
          <w:rFonts w:ascii="Georgia" w:hAnsi="Georgia"/>
          <w:szCs w:val="24"/>
        </w:rPr>
        <w:t xml:space="preserve">de la muerte </w:t>
      </w:r>
      <w:r w:rsidR="005140A1" w:rsidRPr="0069424D">
        <w:rPr>
          <w:rFonts w:ascii="Georgia" w:hAnsi="Georgia"/>
          <w:szCs w:val="24"/>
        </w:rPr>
        <w:t xml:space="preserve">del progenitor 19-11-2016 (Ib., </w:t>
      </w:r>
      <w:proofErr w:type="spellStart"/>
      <w:r w:rsidR="005140A1" w:rsidRPr="0069424D">
        <w:rPr>
          <w:rFonts w:ascii="Georgia" w:hAnsi="Georgia"/>
          <w:szCs w:val="24"/>
        </w:rPr>
        <w:t>pdf</w:t>
      </w:r>
      <w:proofErr w:type="spellEnd"/>
      <w:r w:rsidR="005140A1" w:rsidRPr="0069424D">
        <w:rPr>
          <w:rFonts w:ascii="Georgia" w:hAnsi="Georgia"/>
          <w:szCs w:val="24"/>
        </w:rPr>
        <w:t xml:space="preserve"> No.02, folio 20)</w:t>
      </w:r>
      <w:r w:rsidR="00B5631A" w:rsidRPr="0069424D">
        <w:rPr>
          <w:rFonts w:ascii="Georgia" w:hAnsi="Georgia"/>
          <w:szCs w:val="24"/>
        </w:rPr>
        <w:t xml:space="preserve">. </w:t>
      </w:r>
    </w:p>
    <w:p w14:paraId="36594BE5" w14:textId="225B92FE" w:rsidR="00E41152" w:rsidRPr="0069424D" w:rsidRDefault="00E41152" w:rsidP="0069424D">
      <w:pPr>
        <w:pStyle w:val="Textoindependiente"/>
        <w:spacing w:line="276" w:lineRule="auto"/>
        <w:rPr>
          <w:rFonts w:ascii="Georgia" w:hAnsi="Georgia"/>
          <w:bCs/>
          <w:szCs w:val="24"/>
        </w:rPr>
      </w:pPr>
    </w:p>
    <w:p w14:paraId="4D48CC89" w14:textId="0AFEBB6B" w:rsidR="004C6E95" w:rsidRPr="0069424D" w:rsidRDefault="004C6E95" w:rsidP="0069424D">
      <w:pPr>
        <w:pStyle w:val="Textoindependiente"/>
        <w:spacing w:line="276" w:lineRule="auto"/>
        <w:rPr>
          <w:rFonts w:ascii="Georgia" w:hAnsi="Georgia"/>
          <w:bCs/>
          <w:szCs w:val="24"/>
        </w:rPr>
      </w:pPr>
      <w:r w:rsidRPr="0069424D">
        <w:rPr>
          <w:rFonts w:ascii="Georgia" w:hAnsi="Georgia"/>
          <w:bCs/>
          <w:szCs w:val="24"/>
        </w:rPr>
        <w:t xml:space="preserve">La </w:t>
      </w:r>
      <w:proofErr w:type="spellStart"/>
      <w:r w:rsidRPr="0069424D">
        <w:rPr>
          <w:rFonts w:ascii="Georgia" w:hAnsi="Georgia"/>
          <w:bCs/>
          <w:szCs w:val="24"/>
        </w:rPr>
        <w:t>opugnante</w:t>
      </w:r>
      <w:proofErr w:type="spellEnd"/>
      <w:r w:rsidRPr="0069424D">
        <w:rPr>
          <w:rFonts w:ascii="Georgia" w:hAnsi="Georgia"/>
          <w:bCs/>
          <w:szCs w:val="24"/>
        </w:rPr>
        <w:t xml:space="preserve"> alega que antes </w:t>
      </w:r>
      <w:r w:rsidR="00DA5DE9" w:rsidRPr="0069424D">
        <w:rPr>
          <w:rFonts w:ascii="Georgia" w:hAnsi="Georgia"/>
          <w:bCs/>
          <w:szCs w:val="24"/>
        </w:rPr>
        <w:t xml:space="preserve">del </w:t>
      </w:r>
      <w:r w:rsidRPr="0069424D">
        <w:rPr>
          <w:rFonts w:ascii="Georgia" w:hAnsi="Georgia"/>
          <w:bCs/>
          <w:szCs w:val="24"/>
        </w:rPr>
        <w:t xml:space="preserve">fallecimiento ya padecía diabetes mellitus y, como es una enfermedad crónica, Colpensiones debió tomar el día del diagnóstico como data de estructuración de la PCL, según se desprende de su historia clínica, en lugar de la fecha fijada por la Junta </w:t>
      </w:r>
      <w:r w:rsidR="00DA5DE9" w:rsidRPr="0069424D">
        <w:rPr>
          <w:rFonts w:ascii="Georgia" w:hAnsi="Georgia"/>
          <w:bCs/>
          <w:szCs w:val="24"/>
        </w:rPr>
        <w:t>N</w:t>
      </w:r>
      <w:r w:rsidRPr="0069424D">
        <w:rPr>
          <w:rFonts w:ascii="Georgia" w:hAnsi="Georgia"/>
          <w:bCs/>
          <w:szCs w:val="24"/>
        </w:rPr>
        <w:t xml:space="preserve">acional de Calificación. Esta es la queja única y principal frente a las decisiones administrativas; no obstante, el acervo probatorio impide a la judicatura concluir que reúne los presupuestos de la subvención. </w:t>
      </w:r>
    </w:p>
    <w:p w14:paraId="2E22D82A" w14:textId="77777777" w:rsidR="004C6E95" w:rsidRPr="0069424D" w:rsidRDefault="004C6E95" w:rsidP="0069424D">
      <w:pPr>
        <w:pStyle w:val="Textoindependiente"/>
        <w:spacing w:line="276" w:lineRule="auto"/>
        <w:rPr>
          <w:rFonts w:ascii="Georgia" w:hAnsi="Georgia"/>
          <w:bCs/>
          <w:szCs w:val="24"/>
        </w:rPr>
      </w:pPr>
    </w:p>
    <w:p w14:paraId="6AF08662" w14:textId="754CCA87" w:rsidR="003341EA" w:rsidRPr="0069424D" w:rsidRDefault="00E41152" w:rsidP="0069424D">
      <w:pPr>
        <w:pStyle w:val="Textoindependiente"/>
        <w:spacing w:line="276" w:lineRule="auto"/>
        <w:rPr>
          <w:rFonts w:ascii="Georgia" w:hAnsi="Georgia"/>
          <w:bCs/>
          <w:szCs w:val="24"/>
        </w:rPr>
      </w:pPr>
      <w:r w:rsidRPr="0069424D">
        <w:rPr>
          <w:rFonts w:ascii="Georgia" w:hAnsi="Georgia"/>
          <w:bCs/>
          <w:szCs w:val="24"/>
        </w:rPr>
        <w:t>La jurisprudencia constitucional</w:t>
      </w:r>
      <w:r w:rsidR="003341EA" w:rsidRPr="0069424D">
        <w:rPr>
          <w:rFonts w:ascii="Georgia" w:hAnsi="Georgia"/>
          <w:bCs/>
          <w:szCs w:val="24"/>
        </w:rPr>
        <w:t xml:space="preserve"> (</w:t>
      </w:r>
      <w:r w:rsidR="00D03108" w:rsidRPr="0069424D">
        <w:rPr>
          <w:rFonts w:ascii="Georgia" w:hAnsi="Georgia"/>
          <w:bCs/>
          <w:szCs w:val="24"/>
        </w:rPr>
        <w:t>2019</w:t>
      </w:r>
      <w:r w:rsidR="003341EA" w:rsidRPr="0069424D">
        <w:rPr>
          <w:rFonts w:ascii="Georgia" w:hAnsi="Georgia"/>
          <w:bCs/>
          <w:szCs w:val="24"/>
        </w:rPr>
        <w:t>)</w:t>
      </w:r>
      <w:r w:rsidR="00D03108" w:rsidRPr="0069424D">
        <w:rPr>
          <w:rStyle w:val="Refdenotaalpie"/>
          <w:rFonts w:ascii="Georgia" w:hAnsi="Georgia"/>
          <w:bCs/>
          <w:szCs w:val="24"/>
        </w:rPr>
        <w:footnoteReference w:id="10"/>
      </w:r>
      <w:r w:rsidRPr="0069424D">
        <w:rPr>
          <w:rFonts w:ascii="Georgia" w:hAnsi="Georgia"/>
          <w:bCs/>
          <w:szCs w:val="24"/>
        </w:rPr>
        <w:t xml:space="preserve">, </w:t>
      </w:r>
      <w:r w:rsidR="003341EA" w:rsidRPr="0069424D">
        <w:rPr>
          <w:rFonts w:ascii="Georgia" w:hAnsi="Georgia"/>
          <w:bCs/>
          <w:szCs w:val="24"/>
        </w:rPr>
        <w:t xml:space="preserve">al desatar </w:t>
      </w:r>
      <w:r w:rsidRPr="0069424D">
        <w:rPr>
          <w:rFonts w:ascii="Georgia" w:hAnsi="Georgia"/>
          <w:bCs/>
          <w:szCs w:val="24"/>
        </w:rPr>
        <w:t xml:space="preserve">problemas jurídicos idénticos al presente, </w:t>
      </w:r>
      <w:r w:rsidR="003341EA" w:rsidRPr="0069424D">
        <w:rPr>
          <w:rFonts w:ascii="Georgia" w:hAnsi="Georgia"/>
          <w:bCs/>
          <w:szCs w:val="24"/>
        </w:rPr>
        <w:t>explic</w:t>
      </w:r>
      <w:r w:rsidR="004C6E95" w:rsidRPr="0069424D">
        <w:rPr>
          <w:rFonts w:ascii="Georgia" w:hAnsi="Georgia"/>
          <w:bCs/>
          <w:szCs w:val="24"/>
        </w:rPr>
        <w:t>ó</w:t>
      </w:r>
      <w:r w:rsidR="003341EA" w:rsidRPr="0069424D">
        <w:rPr>
          <w:rFonts w:ascii="Georgia" w:hAnsi="Georgia"/>
          <w:bCs/>
          <w:szCs w:val="24"/>
        </w:rPr>
        <w:t xml:space="preserve"> que</w:t>
      </w:r>
      <w:r w:rsidRPr="0069424D">
        <w:rPr>
          <w:rFonts w:ascii="Georgia" w:hAnsi="Georgia"/>
          <w:bCs/>
          <w:szCs w:val="24"/>
        </w:rPr>
        <w:t xml:space="preserve">: </w:t>
      </w:r>
    </w:p>
    <w:p w14:paraId="0F1631F9" w14:textId="77777777" w:rsidR="003341EA" w:rsidRPr="0069424D" w:rsidRDefault="003341EA" w:rsidP="0069424D">
      <w:pPr>
        <w:pStyle w:val="Textoindependiente"/>
        <w:spacing w:line="276" w:lineRule="auto"/>
        <w:rPr>
          <w:rFonts w:ascii="Georgia" w:hAnsi="Georgia"/>
          <w:bCs/>
          <w:szCs w:val="24"/>
        </w:rPr>
      </w:pPr>
    </w:p>
    <w:p w14:paraId="7C9F255F" w14:textId="44410E81" w:rsidR="00E41152" w:rsidRPr="00FF5F5B" w:rsidRDefault="00E41152" w:rsidP="00FF5F5B">
      <w:pPr>
        <w:pStyle w:val="Textoindependiente"/>
        <w:tabs>
          <w:tab w:val="clear" w:pos="0"/>
          <w:tab w:val="clear" w:pos="708"/>
        </w:tabs>
        <w:spacing w:line="240" w:lineRule="auto"/>
        <w:ind w:left="426" w:right="420"/>
        <w:rPr>
          <w:rFonts w:ascii="Georgia" w:hAnsi="Georgia"/>
          <w:bCs/>
          <w:sz w:val="22"/>
          <w:szCs w:val="24"/>
        </w:rPr>
      </w:pPr>
      <w:r w:rsidRPr="00FF5F5B">
        <w:rPr>
          <w:rFonts w:ascii="Georgia" w:hAnsi="Georgia"/>
          <w:bCs/>
          <w:sz w:val="22"/>
          <w:szCs w:val="24"/>
        </w:rPr>
        <w:t xml:space="preserve">… </w:t>
      </w:r>
      <w:r w:rsidRPr="00FF5F5B">
        <w:rPr>
          <w:rFonts w:ascii="Georgia" w:hAnsi="Georgia"/>
          <w:bCs/>
          <w:sz w:val="22"/>
          <w:szCs w:val="24"/>
          <w:lang w:val="es-ES"/>
        </w:rPr>
        <w:t xml:space="preserve">tratándose de sustituciones pensionales a favor de hijos en situación de invalidez </w:t>
      </w:r>
      <w:r w:rsidRPr="00FF5F5B">
        <w:rPr>
          <w:rFonts w:ascii="Georgia" w:hAnsi="Georgia"/>
          <w:b/>
          <w:bCs/>
          <w:sz w:val="22"/>
          <w:szCs w:val="24"/>
          <w:lang w:val="es-ES"/>
        </w:rPr>
        <w:t>cuando esta es negada con base en que la estructuración de la invalidez fue posterior al deceso del causante</w:t>
      </w:r>
      <w:r w:rsidRPr="00FF5F5B">
        <w:rPr>
          <w:rFonts w:ascii="Georgia" w:hAnsi="Georgia"/>
          <w:bCs/>
          <w:sz w:val="22"/>
          <w:szCs w:val="24"/>
          <w:lang w:val="es-ES"/>
        </w:rPr>
        <w:t xml:space="preserve">, </w:t>
      </w:r>
      <w:r w:rsidRPr="00FF5F5B">
        <w:rPr>
          <w:rFonts w:ascii="Georgia" w:hAnsi="Georgia"/>
          <w:bCs/>
          <w:sz w:val="22"/>
          <w:szCs w:val="24"/>
          <w:u w:val="single"/>
          <w:lang w:val="es-ES"/>
        </w:rPr>
        <w:t>el dictamen de pérdida de la capacidad laboral, </w:t>
      </w:r>
      <w:r w:rsidRPr="00FF5F5B">
        <w:rPr>
          <w:rFonts w:ascii="Georgia" w:hAnsi="Georgia"/>
          <w:bCs/>
          <w:i/>
          <w:iCs/>
          <w:sz w:val="22"/>
          <w:szCs w:val="24"/>
          <w:u w:val="single"/>
          <w:lang w:val="es-ES"/>
        </w:rPr>
        <w:t>prima facie</w:t>
      </w:r>
      <w:r w:rsidRPr="00FF5F5B">
        <w:rPr>
          <w:rFonts w:ascii="Georgia" w:hAnsi="Georgia"/>
          <w:bCs/>
          <w:sz w:val="22"/>
          <w:szCs w:val="24"/>
          <w:u w:val="single"/>
          <w:lang w:val="es-ES"/>
        </w:rPr>
        <w:t>, es el documento idóneo para valorar si esta ocurrió con anterioridad o posterioridad al fallecimiento del titular de la prestación</w:t>
      </w:r>
      <w:r w:rsidRPr="00FF5F5B">
        <w:rPr>
          <w:rFonts w:ascii="Georgia" w:hAnsi="Georgia"/>
          <w:bCs/>
          <w:sz w:val="22"/>
          <w:szCs w:val="24"/>
          <w:lang w:val="es-ES"/>
        </w:rPr>
        <w:t xml:space="preserve">. Sin embargo, hay ocasiones en las cuales no refleja cabalmente su surgimiento, por ejemplo, </w:t>
      </w:r>
      <w:r w:rsidRPr="00FF5F5B">
        <w:rPr>
          <w:rFonts w:ascii="Georgia" w:hAnsi="Georgia"/>
          <w:b/>
          <w:bCs/>
          <w:sz w:val="22"/>
          <w:szCs w:val="24"/>
          <w:lang w:val="es-ES"/>
        </w:rPr>
        <w:t>frente a enfermedades crónicas, degenerativas o congénitas</w:t>
      </w:r>
      <w:r w:rsidRPr="00FF5F5B">
        <w:rPr>
          <w:rFonts w:ascii="Georgia" w:hAnsi="Georgia"/>
          <w:bCs/>
          <w:sz w:val="22"/>
          <w:szCs w:val="24"/>
          <w:lang w:val="es-ES"/>
        </w:rPr>
        <w:t xml:space="preserve">, (…), </w:t>
      </w:r>
      <w:r w:rsidRPr="00FF5F5B">
        <w:rPr>
          <w:rFonts w:ascii="Georgia" w:hAnsi="Georgia"/>
          <w:bCs/>
          <w:sz w:val="22"/>
          <w:szCs w:val="24"/>
          <w:u w:val="single"/>
          <w:lang w:val="es-ES"/>
        </w:rPr>
        <w:t>por lo cual también se debe valorar la historia clínica y los conceptos médicos que obren en el proceso, a efectos de determinar las primeras manifestaciones del padecimiento que imposibilitaron a quien solicita la sustitución pensional a llevar una vida con plena potencialidad de sus capacidades</w:t>
      </w:r>
      <w:r w:rsidRPr="00FF5F5B">
        <w:rPr>
          <w:rFonts w:ascii="Georgia" w:hAnsi="Georgia"/>
          <w:bCs/>
          <w:sz w:val="22"/>
          <w:szCs w:val="24"/>
          <w:lang w:val="es-ES"/>
        </w:rPr>
        <w:t>…</w:t>
      </w:r>
      <w:r w:rsidRPr="00FF5F5B">
        <w:rPr>
          <w:rFonts w:ascii="Georgia" w:hAnsi="Georgia"/>
          <w:bCs/>
          <w:sz w:val="22"/>
          <w:szCs w:val="24"/>
        </w:rPr>
        <w:t xml:space="preserve"> </w:t>
      </w:r>
      <w:r w:rsidR="00434E14" w:rsidRPr="00FF5F5B">
        <w:rPr>
          <w:rFonts w:ascii="Georgia" w:hAnsi="Georgia"/>
          <w:bCs/>
          <w:sz w:val="22"/>
          <w:szCs w:val="24"/>
        </w:rPr>
        <w:t xml:space="preserve"> (Negrilla y línea a propósito).</w:t>
      </w:r>
    </w:p>
    <w:p w14:paraId="544C8FEF" w14:textId="5B8AA4E8" w:rsidR="003341EA" w:rsidRPr="0069424D" w:rsidRDefault="003341EA" w:rsidP="0069424D">
      <w:pPr>
        <w:pStyle w:val="Textoindependiente"/>
        <w:spacing w:line="276" w:lineRule="auto"/>
        <w:rPr>
          <w:rFonts w:ascii="Georgia" w:hAnsi="Georgia"/>
          <w:bCs/>
          <w:szCs w:val="24"/>
        </w:rPr>
      </w:pPr>
    </w:p>
    <w:p w14:paraId="4DC5D72C" w14:textId="574936C3" w:rsidR="00434E14" w:rsidRPr="0069424D" w:rsidRDefault="00387F8B" w:rsidP="0069424D">
      <w:pPr>
        <w:pStyle w:val="Textoindependiente"/>
        <w:spacing w:line="276" w:lineRule="auto"/>
        <w:rPr>
          <w:rFonts w:ascii="Georgia" w:hAnsi="Georgia"/>
          <w:szCs w:val="24"/>
        </w:rPr>
      </w:pPr>
      <w:r w:rsidRPr="0069424D">
        <w:rPr>
          <w:rFonts w:ascii="Georgia" w:hAnsi="Georgia"/>
          <w:szCs w:val="24"/>
        </w:rPr>
        <w:t xml:space="preserve">Tesis </w:t>
      </w:r>
      <w:r w:rsidR="00D03108" w:rsidRPr="0069424D">
        <w:rPr>
          <w:rFonts w:ascii="Georgia" w:hAnsi="Georgia"/>
          <w:szCs w:val="24"/>
        </w:rPr>
        <w:t>reiterada y vigente (2021)</w:t>
      </w:r>
      <w:r w:rsidR="00D03108" w:rsidRPr="0069424D">
        <w:rPr>
          <w:rStyle w:val="Refdenotaalpie"/>
          <w:rFonts w:ascii="Georgia" w:hAnsi="Georgia"/>
          <w:szCs w:val="24"/>
        </w:rPr>
        <w:footnoteReference w:id="11"/>
      </w:r>
      <w:r w:rsidR="002E2F4B" w:rsidRPr="0069424D">
        <w:rPr>
          <w:rFonts w:ascii="Georgia" w:hAnsi="Georgia"/>
          <w:szCs w:val="24"/>
        </w:rPr>
        <w:t>;</w:t>
      </w:r>
      <w:r w:rsidR="00D03108" w:rsidRPr="0069424D">
        <w:rPr>
          <w:rFonts w:ascii="Georgia" w:hAnsi="Georgia"/>
          <w:szCs w:val="24"/>
        </w:rPr>
        <w:t xml:space="preserve"> </w:t>
      </w:r>
      <w:r w:rsidR="004C6E95" w:rsidRPr="0069424D">
        <w:rPr>
          <w:rFonts w:ascii="Georgia" w:hAnsi="Georgia"/>
          <w:szCs w:val="24"/>
        </w:rPr>
        <w:t>sin embargo</w:t>
      </w:r>
      <w:r w:rsidR="00D03108" w:rsidRPr="0069424D">
        <w:rPr>
          <w:rFonts w:ascii="Georgia" w:hAnsi="Georgia"/>
          <w:szCs w:val="24"/>
        </w:rPr>
        <w:t xml:space="preserve">, </w:t>
      </w:r>
      <w:r w:rsidRPr="0069424D">
        <w:rPr>
          <w:rFonts w:ascii="Georgia" w:hAnsi="Georgia"/>
          <w:szCs w:val="24"/>
        </w:rPr>
        <w:t>inaplicable para el caso en concreto</w:t>
      </w:r>
      <w:r w:rsidR="002E2F4B" w:rsidRPr="0069424D">
        <w:rPr>
          <w:rFonts w:ascii="Georgia" w:hAnsi="Georgia"/>
          <w:szCs w:val="24"/>
        </w:rPr>
        <w:t>,</w:t>
      </w:r>
      <w:r w:rsidRPr="0069424D">
        <w:rPr>
          <w:rFonts w:ascii="Georgia" w:hAnsi="Georgia"/>
          <w:szCs w:val="24"/>
        </w:rPr>
        <w:t xml:space="preserve"> puesto que la diabetes mellitus</w:t>
      </w:r>
      <w:r w:rsidR="00D03108" w:rsidRPr="0069424D">
        <w:rPr>
          <w:rFonts w:ascii="Georgia" w:hAnsi="Georgia"/>
          <w:szCs w:val="24"/>
        </w:rPr>
        <w:t xml:space="preserve">, aun cuando </w:t>
      </w:r>
      <w:r w:rsidR="00254016" w:rsidRPr="0069424D">
        <w:rPr>
          <w:rFonts w:ascii="Georgia" w:hAnsi="Georgia"/>
          <w:szCs w:val="24"/>
        </w:rPr>
        <w:t xml:space="preserve">es un padecimiento </w:t>
      </w:r>
      <w:r w:rsidR="00D03108" w:rsidRPr="0069424D">
        <w:rPr>
          <w:rFonts w:ascii="Georgia" w:hAnsi="Georgia"/>
          <w:szCs w:val="24"/>
        </w:rPr>
        <w:t>crónic</w:t>
      </w:r>
      <w:r w:rsidR="00254016" w:rsidRPr="0069424D">
        <w:rPr>
          <w:rFonts w:ascii="Georgia" w:hAnsi="Georgia"/>
          <w:szCs w:val="24"/>
        </w:rPr>
        <w:t>o</w:t>
      </w:r>
      <w:r w:rsidR="00D03108" w:rsidRPr="0069424D">
        <w:rPr>
          <w:rFonts w:ascii="Georgia" w:hAnsi="Georgia"/>
          <w:szCs w:val="24"/>
        </w:rPr>
        <w:t xml:space="preserve">, </w:t>
      </w:r>
      <w:r w:rsidR="002E2F4B" w:rsidRPr="0069424D">
        <w:rPr>
          <w:rFonts w:ascii="Georgia" w:hAnsi="Georgia"/>
          <w:szCs w:val="24"/>
        </w:rPr>
        <w:t xml:space="preserve">fue </w:t>
      </w:r>
      <w:r w:rsidR="004C6E95" w:rsidRPr="0069424D">
        <w:rPr>
          <w:rFonts w:ascii="Georgia" w:hAnsi="Georgia"/>
          <w:szCs w:val="24"/>
        </w:rPr>
        <w:t xml:space="preserve">insuficiente </w:t>
      </w:r>
      <w:r w:rsidRPr="0069424D">
        <w:rPr>
          <w:rFonts w:ascii="Georgia" w:hAnsi="Georgia"/>
          <w:szCs w:val="24"/>
        </w:rPr>
        <w:t xml:space="preserve">para calificar </w:t>
      </w:r>
      <w:r w:rsidR="002E2F4B" w:rsidRPr="0069424D">
        <w:rPr>
          <w:rFonts w:ascii="Georgia" w:hAnsi="Georgia"/>
          <w:szCs w:val="24"/>
        </w:rPr>
        <w:t xml:space="preserve">la </w:t>
      </w:r>
      <w:r w:rsidRPr="0069424D">
        <w:rPr>
          <w:rFonts w:ascii="Georgia" w:hAnsi="Georgia"/>
          <w:szCs w:val="24"/>
        </w:rPr>
        <w:t>PCL del 50,05%</w:t>
      </w:r>
      <w:r w:rsidR="004C6E95" w:rsidRPr="0069424D">
        <w:rPr>
          <w:rFonts w:ascii="Georgia" w:hAnsi="Georgia"/>
          <w:szCs w:val="24"/>
        </w:rPr>
        <w:t>. A</w:t>
      </w:r>
      <w:r w:rsidRPr="0069424D">
        <w:rPr>
          <w:rFonts w:ascii="Georgia" w:hAnsi="Georgia"/>
          <w:szCs w:val="24"/>
        </w:rPr>
        <w:t>sí se extracta del resultado del primer dictamen</w:t>
      </w:r>
      <w:r w:rsidR="004C6E95" w:rsidRPr="0069424D">
        <w:rPr>
          <w:rFonts w:ascii="Georgia" w:hAnsi="Georgia"/>
          <w:szCs w:val="24"/>
        </w:rPr>
        <w:t xml:space="preserve">, pues, </w:t>
      </w:r>
      <w:r w:rsidRPr="0069424D">
        <w:rPr>
          <w:rFonts w:ascii="Georgia" w:hAnsi="Georgia"/>
          <w:szCs w:val="24"/>
        </w:rPr>
        <w:t>asignó un 37,38% de PCL con base</w:t>
      </w:r>
      <w:r w:rsidR="002E2F4B" w:rsidRPr="0069424D">
        <w:rPr>
          <w:rFonts w:ascii="Georgia" w:hAnsi="Georgia"/>
          <w:szCs w:val="24"/>
        </w:rPr>
        <w:t>, exclusivamente,</w:t>
      </w:r>
      <w:r w:rsidRPr="0069424D">
        <w:rPr>
          <w:rFonts w:ascii="Georgia" w:hAnsi="Georgia"/>
          <w:szCs w:val="24"/>
        </w:rPr>
        <w:t xml:space="preserve"> en </w:t>
      </w:r>
      <w:r w:rsidR="002E2F4B" w:rsidRPr="0069424D">
        <w:rPr>
          <w:rFonts w:ascii="Georgia" w:hAnsi="Georgia"/>
          <w:szCs w:val="24"/>
        </w:rPr>
        <w:t xml:space="preserve">la </w:t>
      </w:r>
      <w:r w:rsidRPr="0069424D">
        <w:rPr>
          <w:rFonts w:ascii="Georgia" w:hAnsi="Georgia"/>
          <w:i/>
          <w:iCs/>
          <w:szCs w:val="24"/>
        </w:rPr>
        <w:t>“(…) diabetes mellitus (…)</w:t>
      </w:r>
      <w:r w:rsidR="002E2F4B" w:rsidRPr="0069424D">
        <w:rPr>
          <w:rFonts w:ascii="Georgia" w:hAnsi="Georgia"/>
          <w:i/>
          <w:iCs/>
          <w:szCs w:val="24"/>
        </w:rPr>
        <w:t>,</w:t>
      </w:r>
      <w:r w:rsidRPr="0069424D">
        <w:rPr>
          <w:rFonts w:ascii="Georgia" w:hAnsi="Georgia"/>
          <w:i/>
          <w:iCs/>
          <w:szCs w:val="24"/>
        </w:rPr>
        <w:t xml:space="preserve"> disminución (…) de la agudeza visual de ambos ojos, hipertensión esencial (…), otros estados posquirúrgicos – histerectomía y colecistectomía (…)”</w:t>
      </w:r>
      <w:r w:rsidRPr="0069424D">
        <w:rPr>
          <w:rFonts w:ascii="Georgia" w:hAnsi="Georgia"/>
          <w:szCs w:val="24"/>
        </w:rPr>
        <w:t xml:space="preserve"> (Ib., </w:t>
      </w:r>
      <w:proofErr w:type="spellStart"/>
      <w:r w:rsidRPr="0069424D">
        <w:rPr>
          <w:rFonts w:ascii="Georgia" w:hAnsi="Georgia"/>
          <w:szCs w:val="24"/>
        </w:rPr>
        <w:t>pdf</w:t>
      </w:r>
      <w:proofErr w:type="spellEnd"/>
      <w:r w:rsidRPr="0069424D">
        <w:rPr>
          <w:rFonts w:ascii="Georgia" w:hAnsi="Georgia"/>
          <w:szCs w:val="24"/>
        </w:rPr>
        <w:t xml:space="preserve"> No.02, folio 28)</w:t>
      </w:r>
      <w:r w:rsidR="004C6E95" w:rsidRPr="0069424D">
        <w:rPr>
          <w:rFonts w:ascii="Georgia" w:hAnsi="Georgia"/>
          <w:szCs w:val="24"/>
        </w:rPr>
        <w:t xml:space="preserve">. </w:t>
      </w:r>
    </w:p>
    <w:p w14:paraId="5F944F7C" w14:textId="77777777" w:rsidR="00434E14" w:rsidRPr="0069424D" w:rsidRDefault="00434E14" w:rsidP="0069424D">
      <w:pPr>
        <w:pStyle w:val="Textoindependiente"/>
        <w:spacing w:line="276" w:lineRule="auto"/>
        <w:rPr>
          <w:rFonts w:ascii="Georgia" w:hAnsi="Georgia"/>
          <w:bCs/>
          <w:szCs w:val="24"/>
        </w:rPr>
      </w:pPr>
    </w:p>
    <w:p w14:paraId="6FEE7485" w14:textId="3609F728" w:rsidR="00387F8B" w:rsidRPr="0069424D" w:rsidRDefault="00387F8B" w:rsidP="0069424D">
      <w:pPr>
        <w:pStyle w:val="Textoindependiente"/>
        <w:spacing w:line="276" w:lineRule="auto"/>
        <w:rPr>
          <w:rFonts w:ascii="Georgia" w:hAnsi="Georgia"/>
          <w:bCs/>
          <w:szCs w:val="24"/>
        </w:rPr>
      </w:pPr>
      <w:r w:rsidRPr="0069424D">
        <w:rPr>
          <w:rFonts w:ascii="Georgia" w:hAnsi="Georgia"/>
          <w:bCs/>
          <w:szCs w:val="24"/>
        </w:rPr>
        <w:t xml:space="preserve">Sin duda, la enfermedad adicional y posterior al deceso </w:t>
      </w:r>
      <w:r w:rsidR="002E2F4B" w:rsidRPr="0069424D">
        <w:rPr>
          <w:rFonts w:ascii="Georgia" w:hAnsi="Georgia"/>
          <w:bCs/>
          <w:szCs w:val="24"/>
        </w:rPr>
        <w:t xml:space="preserve">(Cuaderno depresivo), fue indispensable </w:t>
      </w:r>
      <w:r w:rsidRPr="0069424D">
        <w:rPr>
          <w:rFonts w:ascii="Georgia" w:hAnsi="Georgia"/>
          <w:bCs/>
          <w:szCs w:val="24"/>
        </w:rPr>
        <w:t xml:space="preserve">para acrecentar la PCL, por </w:t>
      </w:r>
      <w:r w:rsidR="00D03108" w:rsidRPr="0069424D">
        <w:rPr>
          <w:rFonts w:ascii="Georgia" w:hAnsi="Georgia"/>
          <w:bCs/>
          <w:szCs w:val="24"/>
        </w:rPr>
        <w:t xml:space="preserve">ende, </w:t>
      </w:r>
      <w:r w:rsidRPr="0069424D">
        <w:rPr>
          <w:rFonts w:ascii="Georgia" w:hAnsi="Georgia"/>
          <w:bCs/>
          <w:szCs w:val="24"/>
        </w:rPr>
        <w:t xml:space="preserve">la data de estructuración no puede ser </w:t>
      </w:r>
      <w:r w:rsidR="00D03108" w:rsidRPr="0069424D">
        <w:rPr>
          <w:rFonts w:ascii="Georgia" w:hAnsi="Georgia"/>
          <w:bCs/>
          <w:szCs w:val="24"/>
        </w:rPr>
        <w:t xml:space="preserve">otra distinta </w:t>
      </w:r>
      <w:r w:rsidR="002E2F4B" w:rsidRPr="0069424D">
        <w:rPr>
          <w:rFonts w:ascii="Georgia" w:hAnsi="Georgia"/>
          <w:bCs/>
          <w:szCs w:val="24"/>
        </w:rPr>
        <w:t xml:space="preserve">que </w:t>
      </w:r>
      <w:r w:rsidR="00D03108" w:rsidRPr="0069424D">
        <w:rPr>
          <w:rFonts w:ascii="Georgia" w:hAnsi="Georgia"/>
          <w:bCs/>
          <w:szCs w:val="24"/>
        </w:rPr>
        <w:t xml:space="preserve">la de </w:t>
      </w:r>
      <w:r w:rsidRPr="0069424D">
        <w:rPr>
          <w:rFonts w:ascii="Georgia" w:hAnsi="Georgia"/>
          <w:bCs/>
          <w:szCs w:val="24"/>
        </w:rPr>
        <w:t xml:space="preserve">su diagnóstico. </w:t>
      </w:r>
    </w:p>
    <w:p w14:paraId="375B8669" w14:textId="77777777" w:rsidR="004C6E95" w:rsidRPr="0069424D" w:rsidRDefault="004C6E95" w:rsidP="0069424D">
      <w:pPr>
        <w:pStyle w:val="Textoindependiente"/>
        <w:spacing w:line="276" w:lineRule="auto"/>
        <w:rPr>
          <w:rFonts w:ascii="Georgia" w:hAnsi="Georgia"/>
          <w:bCs/>
          <w:szCs w:val="24"/>
        </w:rPr>
      </w:pPr>
    </w:p>
    <w:p w14:paraId="09C10CE2" w14:textId="3A22E57B" w:rsidR="003341EA" w:rsidRDefault="00D03108" w:rsidP="0069424D">
      <w:pPr>
        <w:pStyle w:val="Textoindependiente"/>
        <w:spacing w:line="276" w:lineRule="auto"/>
        <w:rPr>
          <w:rFonts w:ascii="Georgia" w:hAnsi="Georgia"/>
          <w:bCs/>
          <w:szCs w:val="24"/>
          <w:lang w:val="es-ES"/>
        </w:rPr>
      </w:pPr>
      <w:r w:rsidRPr="0069424D">
        <w:rPr>
          <w:rFonts w:ascii="Georgia" w:hAnsi="Georgia"/>
          <w:bCs/>
          <w:szCs w:val="24"/>
        </w:rPr>
        <w:t xml:space="preserve">Por demás está decir que </w:t>
      </w:r>
      <w:r w:rsidR="002E2F4B" w:rsidRPr="0069424D">
        <w:rPr>
          <w:rFonts w:ascii="Georgia" w:hAnsi="Georgia"/>
          <w:bCs/>
          <w:szCs w:val="24"/>
        </w:rPr>
        <w:t>tampoco es viable cambiar</w:t>
      </w:r>
      <w:r w:rsidRPr="0069424D">
        <w:rPr>
          <w:rFonts w:ascii="Georgia" w:hAnsi="Georgia"/>
          <w:bCs/>
          <w:szCs w:val="24"/>
        </w:rPr>
        <w:t xml:space="preserve"> la fecha de estructuración</w:t>
      </w:r>
      <w:r w:rsidR="002E2F4B" w:rsidRPr="0069424D">
        <w:rPr>
          <w:rFonts w:ascii="Georgia" w:hAnsi="Georgia"/>
          <w:bCs/>
          <w:szCs w:val="24"/>
        </w:rPr>
        <w:t>,</w:t>
      </w:r>
      <w:r w:rsidR="003341EA" w:rsidRPr="0069424D">
        <w:rPr>
          <w:rFonts w:ascii="Georgia" w:hAnsi="Georgia"/>
          <w:bCs/>
          <w:szCs w:val="24"/>
        </w:rPr>
        <w:t xml:space="preserve"> por la potísima razón de que </w:t>
      </w:r>
      <w:r w:rsidRPr="0069424D">
        <w:rPr>
          <w:rFonts w:ascii="Georgia" w:hAnsi="Georgia"/>
          <w:bCs/>
          <w:szCs w:val="24"/>
        </w:rPr>
        <w:t xml:space="preserve">el cuadro depresivo </w:t>
      </w:r>
      <w:r w:rsidR="003341EA" w:rsidRPr="0069424D">
        <w:rPr>
          <w:rFonts w:ascii="Georgia" w:hAnsi="Georgia"/>
          <w:bCs/>
          <w:szCs w:val="24"/>
        </w:rPr>
        <w:t xml:space="preserve">no se subsume en las categorías de enfermedad crónica, </w:t>
      </w:r>
      <w:r w:rsidR="003341EA" w:rsidRPr="0069424D">
        <w:rPr>
          <w:rFonts w:ascii="Georgia" w:hAnsi="Georgia"/>
          <w:bCs/>
          <w:szCs w:val="24"/>
          <w:lang w:val="es-ES"/>
        </w:rPr>
        <w:t xml:space="preserve">degenerativa o congénita; y, en todo caso, </w:t>
      </w:r>
      <w:r w:rsidR="00254016" w:rsidRPr="0069424D">
        <w:rPr>
          <w:rFonts w:ascii="Georgia" w:hAnsi="Georgia"/>
          <w:bCs/>
          <w:szCs w:val="24"/>
          <w:lang w:val="es-ES"/>
        </w:rPr>
        <w:t xml:space="preserve">el </w:t>
      </w:r>
      <w:r w:rsidRPr="0069424D">
        <w:rPr>
          <w:rFonts w:ascii="Georgia" w:hAnsi="Georgia"/>
          <w:bCs/>
          <w:szCs w:val="24"/>
          <w:lang w:val="es-ES"/>
        </w:rPr>
        <w:t xml:space="preserve">diagnóstico data del </w:t>
      </w:r>
      <w:r w:rsidR="003341EA" w:rsidRPr="0069424D">
        <w:rPr>
          <w:rFonts w:ascii="Georgia" w:hAnsi="Georgia"/>
          <w:bCs/>
          <w:szCs w:val="24"/>
        </w:rPr>
        <w:t xml:space="preserve">09-03-2017 y 12-12-2017, es decir, </w:t>
      </w:r>
      <w:r w:rsidR="00254016" w:rsidRPr="0069424D">
        <w:rPr>
          <w:rFonts w:ascii="Georgia" w:hAnsi="Georgia"/>
          <w:bCs/>
          <w:szCs w:val="24"/>
        </w:rPr>
        <w:t xml:space="preserve">meses </w:t>
      </w:r>
      <w:r w:rsidR="004C6E95" w:rsidRPr="0069424D">
        <w:rPr>
          <w:rFonts w:ascii="Georgia" w:hAnsi="Georgia"/>
          <w:bCs/>
          <w:szCs w:val="24"/>
        </w:rPr>
        <w:t xml:space="preserve">después </w:t>
      </w:r>
      <w:r w:rsidR="003341EA" w:rsidRPr="0069424D">
        <w:rPr>
          <w:rFonts w:ascii="Georgia" w:hAnsi="Georgia"/>
          <w:bCs/>
          <w:szCs w:val="24"/>
        </w:rPr>
        <w:t>de</w:t>
      </w:r>
      <w:r w:rsidRPr="0069424D">
        <w:rPr>
          <w:rFonts w:ascii="Georgia" w:hAnsi="Georgia"/>
          <w:bCs/>
          <w:szCs w:val="24"/>
        </w:rPr>
        <w:t xml:space="preserve"> </w:t>
      </w:r>
      <w:r w:rsidR="003341EA" w:rsidRPr="0069424D">
        <w:rPr>
          <w:rFonts w:ascii="Georgia" w:hAnsi="Georgia"/>
          <w:bCs/>
          <w:szCs w:val="24"/>
        </w:rPr>
        <w:t>l</w:t>
      </w:r>
      <w:r w:rsidRPr="0069424D">
        <w:rPr>
          <w:rFonts w:ascii="Georgia" w:hAnsi="Georgia"/>
          <w:bCs/>
          <w:szCs w:val="24"/>
        </w:rPr>
        <w:t>a</w:t>
      </w:r>
      <w:r w:rsidR="003341EA" w:rsidRPr="0069424D">
        <w:rPr>
          <w:rFonts w:ascii="Georgia" w:hAnsi="Georgia"/>
          <w:bCs/>
          <w:szCs w:val="24"/>
        </w:rPr>
        <w:t xml:space="preserve"> </w:t>
      </w:r>
      <w:r w:rsidRPr="0069424D">
        <w:rPr>
          <w:rFonts w:ascii="Georgia" w:hAnsi="Georgia"/>
          <w:bCs/>
          <w:szCs w:val="24"/>
        </w:rPr>
        <w:t>muerte</w:t>
      </w:r>
      <w:r w:rsidR="003341EA" w:rsidRPr="0069424D">
        <w:rPr>
          <w:rFonts w:ascii="Georgia" w:hAnsi="Georgia"/>
          <w:bCs/>
          <w:szCs w:val="24"/>
        </w:rPr>
        <w:t xml:space="preserve"> del pensionado</w:t>
      </w:r>
      <w:r w:rsidR="00254016" w:rsidRPr="0069424D">
        <w:rPr>
          <w:rFonts w:ascii="Georgia" w:hAnsi="Georgia"/>
          <w:bCs/>
          <w:szCs w:val="24"/>
        </w:rPr>
        <w:t xml:space="preserve"> (19-11-2016)</w:t>
      </w:r>
      <w:r w:rsidR="003341EA" w:rsidRPr="0069424D">
        <w:rPr>
          <w:rFonts w:ascii="Georgia" w:hAnsi="Georgia"/>
          <w:bCs/>
          <w:szCs w:val="24"/>
        </w:rPr>
        <w:t xml:space="preserve">, </w:t>
      </w:r>
      <w:r w:rsidR="004C6E95" w:rsidRPr="0069424D">
        <w:rPr>
          <w:rFonts w:ascii="Georgia" w:hAnsi="Georgia"/>
          <w:bCs/>
          <w:szCs w:val="24"/>
        </w:rPr>
        <w:t>por lo tanto</w:t>
      </w:r>
      <w:r w:rsidRPr="0069424D">
        <w:rPr>
          <w:rFonts w:ascii="Georgia" w:hAnsi="Georgia"/>
          <w:bCs/>
          <w:szCs w:val="24"/>
        </w:rPr>
        <w:t xml:space="preserve">, </w:t>
      </w:r>
      <w:r w:rsidR="003341EA" w:rsidRPr="0069424D">
        <w:rPr>
          <w:rFonts w:ascii="Georgia" w:hAnsi="Georgia"/>
          <w:bCs/>
          <w:szCs w:val="24"/>
        </w:rPr>
        <w:t xml:space="preserve">la </w:t>
      </w:r>
      <w:r w:rsidR="004C6E95" w:rsidRPr="0069424D">
        <w:rPr>
          <w:rFonts w:ascii="Georgia" w:hAnsi="Georgia"/>
          <w:bCs/>
          <w:szCs w:val="24"/>
        </w:rPr>
        <w:t xml:space="preserve">eventual </w:t>
      </w:r>
      <w:r w:rsidR="003341EA" w:rsidRPr="0069424D">
        <w:rPr>
          <w:rFonts w:ascii="Georgia" w:hAnsi="Georgia"/>
          <w:bCs/>
          <w:szCs w:val="24"/>
        </w:rPr>
        <w:t>modificación</w:t>
      </w:r>
      <w:r w:rsidR="00254016" w:rsidRPr="0069424D">
        <w:rPr>
          <w:rFonts w:ascii="Georgia" w:hAnsi="Georgia"/>
          <w:bCs/>
          <w:szCs w:val="24"/>
        </w:rPr>
        <w:t>,</w:t>
      </w:r>
      <w:r w:rsidR="003341EA" w:rsidRPr="0069424D">
        <w:rPr>
          <w:rFonts w:ascii="Georgia" w:hAnsi="Georgia"/>
          <w:bCs/>
          <w:szCs w:val="24"/>
        </w:rPr>
        <w:t xml:space="preserve"> </w:t>
      </w:r>
      <w:r w:rsidR="002E2F4B" w:rsidRPr="0069424D">
        <w:rPr>
          <w:rFonts w:ascii="Georgia" w:hAnsi="Georgia"/>
          <w:bCs/>
          <w:szCs w:val="24"/>
        </w:rPr>
        <w:t xml:space="preserve">en modo alguno </w:t>
      </w:r>
      <w:r w:rsidR="003341EA" w:rsidRPr="0069424D">
        <w:rPr>
          <w:rFonts w:ascii="Georgia" w:hAnsi="Georgia"/>
          <w:bCs/>
          <w:szCs w:val="24"/>
        </w:rPr>
        <w:t>implicaría cumplir el presupuesto de la invalidez</w:t>
      </w:r>
      <w:r w:rsidRPr="0069424D">
        <w:rPr>
          <w:rFonts w:ascii="Georgia" w:hAnsi="Georgia"/>
          <w:bCs/>
          <w:szCs w:val="24"/>
        </w:rPr>
        <w:t xml:space="preserve"> previa</w:t>
      </w:r>
      <w:r w:rsidR="003341EA" w:rsidRPr="0069424D">
        <w:rPr>
          <w:rFonts w:ascii="Georgia" w:hAnsi="Georgia"/>
          <w:bCs/>
          <w:szCs w:val="24"/>
        </w:rPr>
        <w:t>.</w:t>
      </w:r>
      <w:r w:rsidR="003341EA" w:rsidRPr="0069424D">
        <w:rPr>
          <w:rFonts w:ascii="Georgia" w:hAnsi="Georgia"/>
          <w:bCs/>
          <w:szCs w:val="24"/>
          <w:lang w:val="es-ES"/>
        </w:rPr>
        <w:t xml:space="preserve"> </w:t>
      </w:r>
    </w:p>
    <w:p w14:paraId="67CA60A5" w14:textId="77777777" w:rsidR="0069424D" w:rsidRPr="0069424D" w:rsidRDefault="0069424D" w:rsidP="0069424D">
      <w:pPr>
        <w:pStyle w:val="Textoindependiente"/>
        <w:spacing w:line="276" w:lineRule="auto"/>
        <w:rPr>
          <w:rFonts w:ascii="Georgia" w:hAnsi="Georgia"/>
          <w:bCs/>
          <w:szCs w:val="24"/>
        </w:rPr>
      </w:pPr>
    </w:p>
    <w:p w14:paraId="1D52E06E" w14:textId="4BE74377" w:rsidR="0094754D" w:rsidRPr="0069424D" w:rsidRDefault="0094754D" w:rsidP="0069424D">
      <w:pPr>
        <w:pStyle w:val="Textoindependiente"/>
        <w:spacing w:line="276" w:lineRule="auto"/>
        <w:rPr>
          <w:rFonts w:ascii="Georgia" w:hAnsi="Georgia"/>
          <w:bCs/>
          <w:szCs w:val="24"/>
          <w:lang w:val="es-ES"/>
        </w:rPr>
      </w:pPr>
      <w:r w:rsidRPr="0069424D">
        <w:rPr>
          <w:rFonts w:ascii="Georgia" w:hAnsi="Georgia"/>
          <w:bCs/>
          <w:szCs w:val="24"/>
        </w:rPr>
        <w:t xml:space="preserve">Reconoce la Sala que la situación de invalidez y la afiliación al régimen subsidiado son circunstancias que flexibilizan el análisis de subsidiariedad, mas no lo vedan. </w:t>
      </w:r>
      <w:r w:rsidR="00C73D26" w:rsidRPr="0069424D">
        <w:rPr>
          <w:rFonts w:ascii="Georgia" w:hAnsi="Georgia"/>
          <w:bCs/>
          <w:szCs w:val="24"/>
        </w:rPr>
        <w:t xml:space="preserve">Como se anotó, para superar la </w:t>
      </w:r>
      <w:proofErr w:type="spellStart"/>
      <w:r w:rsidR="00C73D26" w:rsidRPr="0069424D">
        <w:rPr>
          <w:rFonts w:ascii="Georgia" w:hAnsi="Georgia"/>
          <w:bCs/>
          <w:szCs w:val="24"/>
        </w:rPr>
        <w:t>res</w:t>
      </w:r>
      <w:r w:rsidR="00254016" w:rsidRPr="0069424D">
        <w:rPr>
          <w:rFonts w:ascii="Georgia" w:hAnsi="Georgia"/>
          <w:bCs/>
          <w:szCs w:val="24"/>
        </w:rPr>
        <w:t>i</w:t>
      </w:r>
      <w:r w:rsidR="00C73D26" w:rsidRPr="0069424D">
        <w:rPr>
          <w:rFonts w:ascii="Georgia" w:hAnsi="Georgia"/>
          <w:bCs/>
          <w:szCs w:val="24"/>
        </w:rPr>
        <w:t>dualidad</w:t>
      </w:r>
      <w:proofErr w:type="spellEnd"/>
      <w:r w:rsidR="00254016" w:rsidRPr="0069424D">
        <w:rPr>
          <w:rFonts w:ascii="Georgia" w:hAnsi="Georgia"/>
          <w:bCs/>
          <w:szCs w:val="24"/>
        </w:rPr>
        <w:t xml:space="preserve"> indispensable era que la promotora acreditara</w:t>
      </w:r>
      <w:r w:rsidR="00C73D26" w:rsidRPr="0069424D">
        <w:rPr>
          <w:rFonts w:ascii="Georgia" w:hAnsi="Georgia"/>
          <w:bCs/>
          <w:szCs w:val="24"/>
        </w:rPr>
        <w:t xml:space="preserve">: (i) </w:t>
      </w:r>
      <w:r w:rsidR="00254016" w:rsidRPr="0069424D">
        <w:rPr>
          <w:rFonts w:ascii="Georgia" w:hAnsi="Georgia"/>
          <w:bCs/>
          <w:szCs w:val="24"/>
        </w:rPr>
        <w:t xml:space="preserve">Ser </w:t>
      </w:r>
      <w:r w:rsidRPr="0069424D">
        <w:rPr>
          <w:rFonts w:ascii="Georgia" w:hAnsi="Georgia"/>
          <w:bCs/>
          <w:szCs w:val="24"/>
          <w:lang w:val="es-ES"/>
        </w:rPr>
        <w:t xml:space="preserve">sujeto de especial protección constitucional; (ii) </w:t>
      </w:r>
      <w:r w:rsidR="00254016" w:rsidRPr="0069424D">
        <w:rPr>
          <w:rFonts w:ascii="Georgia" w:hAnsi="Georgia"/>
          <w:bCs/>
          <w:szCs w:val="24"/>
          <w:lang w:val="es-ES"/>
        </w:rPr>
        <w:t xml:space="preserve">La </w:t>
      </w:r>
      <w:r w:rsidR="00C73D26" w:rsidRPr="0069424D">
        <w:rPr>
          <w:rFonts w:ascii="Georgia" w:hAnsi="Georgia"/>
          <w:bCs/>
          <w:szCs w:val="24"/>
          <w:lang w:val="es-ES"/>
        </w:rPr>
        <w:t xml:space="preserve">afectación </w:t>
      </w:r>
      <w:r w:rsidRPr="0069424D">
        <w:rPr>
          <w:rFonts w:ascii="Georgia" w:hAnsi="Georgia"/>
          <w:bCs/>
          <w:szCs w:val="24"/>
          <w:lang w:val="es-ES"/>
        </w:rPr>
        <w:t xml:space="preserve">de los derechos fundamentales, en particular al mínimo vital; (iii) </w:t>
      </w:r>
      <w:r w:rsidR="00C73D26" w:rsidRPr="0069424D">
        <w:rPr>
          <w:rFonts w:ascii="Georgia" w:hAnsi="Georgia"/>
          <w:bCs/>
          <w:szCs w:val="24"/>
          <w:lang w:val="es-ES"/>
        </w:rPr>
        <w:t xml:space="preserve">La práctica de </w:t>
      </w:r>
      <w:r w:rsidRPr="0069424D">
        <w:rPr>
          <w:rFonts w:ascii="Georgia" w:hAnsi="Georgia"/>
          <w:bCs/>
          <w:szCs w:val="24"/>
          <w:lang w:val="es-ES"/>
        </w:rPr>
        <w:t xml:space="preserve">cierta actividad administrativa y judicial; (iv) </w:t>
      </w:r>
      <w:r w:rsidR="00C73D26" w:rsidRPr="0069424D">
        <w:rPr>
          <w:rFonts w:ascii="Georgia" w:hAnsi="Georgia"/>
          <w:bCs/>
          <w:szCs w:val="24"/>
          <w:lang w:val="es-ES"/>
        </w:rPr>
        <w:t>La ineficacia del mecanismo laboral ordinario</w:t>
      </w:r>
      <w:r w:rsidRPr="0069424D">
        <w:rPr>
          <w:rFonts w:ascii="Georgia" w:hAnsi="Georgia"/>
          <w:bCs/>
          <w:szCs w:val="24"/>
          <w:lang w:val="es-ES"/>
        </w:rPr>
        <w:t xml:space="preserve">; </w:t>
      </w:r>
      <w:r w:rsidRPr="0069424D">
        <w:rPr>
          <w:rFonts w:ascii="Georgia" w:hAnsi="Georgia"/>
          <w:b/>
          <w:bCs/>
          <w:szCs w:val="24"/>
          <w:lang w:val="es-ES"/>
        </w:rPr>
        <w:t xml:space="preserve">y (v) </w:t>
      </w:r>
      <w:r w:rsidR="00C73D26" w:rsidRPr="0069424D">
        <w:rPr>
          <w:rFonts w:ascii="Georgia" w:hAnsi="Georgia"/>
          <w:b/>
          <w:bCs/>
          <w:szCs w:val="24"/>
          <w:lang w:val="es-ES"/>
        </w:rPr>
        <w:t>L</w:t>
      </w:r>
      <w:r w:rsidRPr="0069424D">
        <w:rPr>
          <w:rFonts w:ascii="Georgia" w:hAnsi="Georgia"/>
          <w:b/>
          <w:bCs/>
          <w:szCs w:val="24"/>
          <w:lang w:val="es-ES"/>
        </w:rPr>
        <w:t xml:space="preserve">os </w:t>
      </w:r>
      <w:r w:rsidRPr="0069424D">
        <w:rPr>
          <w:rFonts w:ascii="Georgia" w:hAnsi="Georgia"/>
          <w:b/>
          <w:bCs/>
          <w:szCs w:val="24"/>
          <w:lang w:val="es-ES"/>
        </w:rPr>
        <w:lastRenderedPageBreak/>
        <w:t>requisitos de reconocimiento del derecho pensional reclamado</w:t>
      </w:r>
      <w:r w:rsidR="00C73D26" w:rsidRPr="0069424D">
        <w:rPr>
          <w:rFonts w:ascii="Georgia" w:hAnsi="Georgia"/>
          <w:bCs/>
          <w:szCs w:val="24"/>
          <w:lang w:val="es-ES"/>
        </w:rPr>
        <w:t xml:space="preserve">, </w:t>
      </w:r>
      <w:r w:rsidR="00C73D26" w:rsidRPr="0069424D">
        <w:rPr>
          <w:rFonts w:ascii="Georgia" w:hAnsi="Georgia"/>
          <w:bCs/>
          <w:i/>
          <w:szCs w:val="24"/>
          <w:lang w:val="es-ES"/>
        </w:rPr>
        <w:t>aspecto último carente de demostración.</w:t>
      </w:r>
    </w:p>
    <w:p w14:paraId="20911B2E" w14:textId="77777777" w:rsidR="00C73D26" w:rsidRPr="0069424D" w:rsidRDefault="00C73D26" w:rsidP="0069424D">
      <w:pPr>
        <w:pStyle w:val="Textoindependiente"/>
        <w:spacing w:line="276" w:lineRule="auto"/>
        <w:rPr>
          <w:rFonts w:ascii="Georgia" w:hAnsi="Georgia"/>
          <w:bCs/>
          <w:szCs w:val="24"/>
        </w:rPr>
      </w:pPr>
    </w:p>
    <w:p w14:paraId="69FA339E" w14:textId="6E7E071C" w:rsidR="005B17AD" w:rsidRPr="0069424D" w:rsidRDefault="00D03108" w:rsidP="0069424D">
      <w:pPr>
        <w:pStyle w:val="Textoindependiente"/>
        <w:spacing w:line="276" w:lineRule="auto"/>
        <w:rPr>
          <w:rFonts w:ascii="Georgia" w:hAnsi="Georgia" w:cs="Arial"/>
          <w:szCs w:val="24"/>
        </w:rPr>
      </w:pPr>
      <w:r w:rsidRPr="0069424D">
        <w:rPr>
          <w:rFonts w:ascii="Georgia" w:hAnsi="Georgia"/>
          <w:bCs/>
          <w:szCs w:val="24"/>
        </w:rPr>
        <w:t>Corolario</w:t>
      </w:r>
      <w:r w:rsidR="00C73D26" w:rsidRPr="0069424D">
        <w:rPr>
          <w:rFonts w:ascii="Georgia" w:hAnsi="Georgia"/>
          <w:bCs/>
          <w:szCs w:val="24"/>
        </w:rPr>
        <w:t xml:space="preserve">, imposible que el juez de tutela realice el análisis de fondo deprecado y, de paso, se inmiscuya en asuntos exclusivos </w:t>
      </w:r>
      <w:r w:rsidR="00254016" w:rsidRPr="0069424D">
        <w:rPr>
          <w:rFonts w:ascii="Georgia" w:hAnsi="Georgia"/>
          <w:bCs/>
          <w:szCs w:val="24"/>
        </w:rPr>
        <w:t xml:space="preserve">de la justicia </w:t>
      </w:r>
      <w:r w:rsidR="00C73D26" w:rsidRPr="0069424D">
        <w:rPr>
          <w:rFonts w:ascii="Georgia" w:hAnsi="Georgia"/>
          <w:bCs/>
          <w:szCs w:val="24"/>
        </w:rPr>
        <w:t xml:space="preserve">laboral. </w:t>
      </w:r>
      <w:r w:rsidR="00310B6D" w:rsidRPr="0069424D">
        <w:rPr>
          <w:rFonts w:ascii="Georgia" w:hAnsi="Georgia"/>
          <w:bCs/>
          <w:szCs w:val="24"/>
        </w:rPr>
        <w:t>Debe la interesada rebatir los actos administrativos desestimatorios ante</w:t>
      </w:r>
      <w:r w:rsidR="00254016" w:rsidRPr="0069424D">
        <w:rPr>
          <w:rFonts w:ascii="Georgia" w:hAnsi="Georgia"/>
          <w:bCs/>
          <w:szCs w:val="24"/>
        </w:rPr>
        <w:t xml:space="preserve"> la jurisdicción </w:t>
      </w:r>
      <w:r w:rsidR="00310B6D" w:rsidRPr="0069424D">
        <w:rPr>
          <w:rFonts w:ascii="Georgia" w:hAnsi="Georgia"/>
          <w:bCs/>
          <w:szCs w:val="24"/>
        </w:rPr>
        <w:t>ordinaria</w:t>
      </w:r>
      <w:r w:rsidR="00254016" w:rsidRPr="0069424D">
        <w:rPr>
          <w:rFonts w:ascii="Georgia" w:hAnsi="Georgia"/>
          <w:bCs/>
          <w:szCs w:val="24"/>
        </w:rPr>
        <w:t xml:space="preserve"> competente</w:t>
      </w:r>
      <w:r w:rsidR="00310B6D" w:rsidRPr="0069424D">
        <w:rPr>
          <w:rFonts w:ascii="Georgia" w:hAnsi="Georgia"/>
          <w:bCs/>
          <w:szCs w:val="24"/>
        </w:rPr>
        <w:t xml:space="preserve">, incluso, la calificación de la PCL respecto a la fecha de estructuración, como quiera que es la decisión que realmente impidió verificar el cumplimiento de uno de los requisitos pensionales </w:t>
      </w:r>
      <w:r w:rsidR="00310B6D" w:rsidRPr="0069424D">
        <w:rPr>
          <w:rFonts w:ascii="Georgia" w:hAnsi="Georgia"/>
          <w:szCs w:val="24"/>
        </w:rPr>
        <w:t>(Art.2º, CPTSS)</w:t>
      </w:r>
      <w:r w:rsidR="00310B6D" w:rsidRPr="0069424D">
        <w:rPr>
          <w:rFonts w:ascii="Georgia" w:hAnsi="Georgia"/>
          <w:bCs/>
          <w:szCs w:val="24"/>
        </w:rPr>
        <w:t>.</w:t>
      </w:r>
      <w:r w:rsidR="007758F6" w:rsidRPr="0069424D">
        <w:rPr>
          <w:rFonts w:ascii="Georgia" w:hAnsi="Georgia" w:cs="Arial"/>
          <w:szCs w:val="24"/>
        </w:rPr>
        <w:t xml:space="preserve"> </w:t>
      </w:r>
    </w:p>
    <w:p w14:paraId="61E35AB5" w14:textId="77777777" w:rsidR="00D03108" w:rsidRPr="0069424D" w:rsidRDefault="00D03108" w:rsidP="0069424D">
      <w:pPr>
        <w:pStyle w:val="Textoindependiente"/>
        <w:spacing w:line="276" w:lineRule="auto"/>
        <w:rPr>
          <w:rFonts w:ascii="Georgia" w:hAnsi="Georgia"/>
          <w:szCs w:val="24"/>
        </w:rPr>
      </w:pPr>
    </w:p>
    <w:p w14:paraId="56D00E72" w14:textId="72030A77" w:rsidR="00A45A9F" w:rsidRDefault="00A45A9F" w:rsidP="0069424D">
      <w:pPr>
        <w:spacing w:line="276" w:lineRule="auto"/>
        <w:ind w:right="51"/>
        <w:jc w:val="both"/>
        <w:rPr>
          <w:rFonts w:ascii="Georgia" w:hAnsi="Georgia" w:cs="Arial"/>
        </w:rPr>
      </w:pPr>
      <w:r w:rsidRPr="0069424D">
        <w:rPr>
          <w:rFonts w:ascii="Georgia" w:hAnsi="Georgia" w:cs="Arial"/>
        </w:rPr>
        <w:t xml:space="preserve">En mérito de los razonamientos jurídicos hechos, el </w:t>
      </w:r>
      <w:r w:rsidRPr="0069424D">
        <w:rPr>
          <w:rFonts w:ascii="Georgia" w:hAnsi="Georgia" w:cs="Arial"/>
          <w:smallCaps/>
          <w:lang w:val="es-419"/>
        </w:rPr>
        <w:t>Tribunal Superior del Distrito Judicial de Pereira, Sala de Decisión Civil – Familia</w:t>
      </w:r>
      <w:r w:rsidRPr="0069424D">
        <w:rPr>
          <w:rFonts w:ascii="Georgia" w:hAnsi="Georgia" w:cs="Arial"/>
        </w:rPr>
        <w:t>, administrando Justicia, en nombre de la República de Colombia y por autoridad de la Ley,</w:t>
      </w:r>
    </w:p>
    <w:p w14:paraId="79B55C75" w14:textId="77777777" w:rsidR="007C2297" w:rsidRPr="0069424D" w:rsidRDefault="007C2297" w:rsidP="0069424D">
      <w:pPr>
        <w:spacing w:line="276" w:lineRule="auto"/>
        <w:ind w:right="51"/>
        <w:jc w:val="both"/>
        <w:rPr>
          <w:rFonts w:ascii="Georgia" w:hAnsi="Georgia" w:cs="Arial"/>
        </w:rPr>
      </w:pPr>
    </w:p>
    <w:p w14:paraId="6259C2E5" w14:textId="090003FB" w:rsidR="00F017CA" w:rsidRPr="0069424D" w:rsidRDefault="001660B7" w:rsidP="006942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rPr>
      </w:pPr>
      <w:r w:rsidRPr="0069424D">
        <w:rPr>
          <w:rFonts w:ascii="Georgia" w:hAnsi="Georgia"/>
          <w:b/>
          <w:bCs/>
          <w:smallCaps/>
        </w:rPr>
        <w:t xml:space="preserve">F a l </w:t>
      </w:r>
      <w:proofErr w:type="spellStart"/>
      <w:r w:rsidRPr="0069424D">
        <w:rPr>
          <w:rFonts w:ascii="Georgia" w:hAnsi="Georgia"/>
          <w:b/>
          <w:bCs/>
          <w:smallCaps/>
        </w:rPr>
        <w:t>l</w:t>
      </w:r>
      <w:proofErr w:type="spellEnd"/>
      <w:r w:rsidRPr="0069424D">
        <w:rPr>
          <w:rFonts w:ascii="Georgia" w:hAnsi="Georgia"/>
          <w:b/>
          <w:bCs/>
          <w:smallCaps/>
        </w:rPr>
        <w:t xml:space="preserve"> a,</w:t>
      </w:r>
    </w:p>
    <w:p w14:paraId="2896C135" w14:textId="77777777" w:rsidR="00F017CA" w:rsidRPr="0069424D" w:rsidRDefault="00F017CA" w:rsidP="006942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624D40C3" w14:textId="48705876" w:rsidR="001C40C6" w:rsidRPr="0069424D" w:rsidRDefault="00254016" w:rsidP="0069424D">
      <w:pPr>
        <w:widowControl/>
        <w:numPr>
          <w:ilvl w:val="0"/>
          <w:numId w:val="4"/>
        </w:numPr>
        <w:tabs>
          <w:tab w:val="clear" w:pos="360"/>
          <w:tab w:val="num" w:pos="720"/>
        </w:tabs>
        <w:autoSpaceDE/>
        <w:autoSpaceDN/>
        <w:adjustRightInd/>
        <w:spacing w:line="276" w:lineRule="auto"/>
        <w:jc w:val="both"/>
        <w:rPr>
          <w:rFonts w:ascii="Georgia" w:hAnsi="Georgia"/>
        </w:rPr>
      </w:pPr>
      <w:r w:rsidRPr="0069424D">
        <w:rPr>
          <w:rFonts w:ascii="Georgia" w:hAnsi="Georgia"/>
        </w:rPr>
        <w:t xml:space="preserve">CONFIRMAR </w:t>
      </w:r>
      <w:r w:rsidR="00D11742" w:rsidRPr="0069424D">
        <w:rPr>
          <w:rFonts w:ascii="Georgia" w:hAnsi="Georgia"/>
        </w:rPr>
        <w:t xml:space="preserve">la sentencia proferida el </w:t>
      </w:r>
      <w:r w:rsidRPr="0069424D">
        <w:rPr>
          <w:rFonts w:ascii="Georgia" w:hAnsi="Georgia"/>
        </w:rPr>
        <w:t xml:space="preserve">02-05-2022 </w:t>
      </w:r>
      <w:r w:rsidR="00D11742" w:rsidRPr="0069424D">
        <w:rPr>
          <w:rFonts w:ascii="Georgia" w:hAnsi="Georgia"/>
        </w:rPr>
        <w:t xml:space="preserve">por el Juzgado </w:t>
      </w:r>
      <w:r w:rsidRPr="0069424D">
        <w:rPr>
          <w:rFonts w:ascii="Georgia" w:hAnsi="Georgia"/>
        </w:rPr>
        <w:t>2º de Familia de Pereira</w:t>
      </w:r>
      <w:r w:rsidR="001C40C6" w:rsidRPr="0069424D">
        <w:rPr>
          <w:rFonts w:ascii="Georgia" w:hAnsi="Georgia"/>
        </w:rPr>
        <w:t>.</w:t>
      </w:r>
    </w:p>
    <w:p w14:paraId="28CF507A" w14:textId="77777777" w:rsidR="005B17AD" w:rsidRPr="0069424D" w:rsidRDefault="005B17AD" w:rsidP="0069424D">
      <w:pPr>
        <w:widowControl/>
        <w:autoSpaceDE/>
        <w:autoSpaceDN/>
        <w:adjustRightInd/>
        <w:spacing w:line="276" w:lineRule="auto"/>
        <w:jc w:val="both"/>
        <w:rPr>
          <w:rFonts w:ascii="Georgia" w:hAnsi="Georgia" w:cs="Arial"/>
          <w:lang w:val="es-419"/>
        </w:rPr>
      </w:pPr>
    </w:p>
    <w:p w14:paraId="363F35A7" w14:textId="77777777" w:rsidR="00B90ED3" w:rsidRPr="0069424D" w:rsidRDefault="00B90ED3" w:rsidP="0069424D">
      <w:pPr>
        <w:pStyle w:val="Prrafodelista"/>
        <w:numPr>
          <w:ilvl w:val="0"/>
          <w:numId w:val="4"/>
        </w:numPr>
        <w:spacing w:line="276" w:lineRule="auto"/>
        <w:jc w:val="both"/>
        <w:rPr>
          <w:rFonts w:ascii="Georgia" w:hAnsi="Georgia" w:cs="Arial"/>
          <w:lang w:val="es-419"/>
        </w:rPr>
      </w:pPr>
      <w:r w:rsidRPr="0069424D">
        <w:rPr>
          <w:rFonts w:ascii="Georgia" w:hAnsi="Georgia" w:cs="Arial"/>
        </w:rPr>
        <w:t>REMITIR este expediente, a la CC para su eventual revisión</w:t>
      </w:r>
    </w:p>
    <w:p w14:paraId="5B64A530" w14:textId="77777777" w:rsidR="0069424D" w:rsidRPr="00002B06" w:rsidRDefault="0069424D" w:rsidP="0069424D">
      <w:pPr>
        <w:spacing w:line="276" w:lineRule="auto"/>
        <w:jc w:val="center"/>
        <w:rPr>
          <w:rFonts w:ascii="Georgia" w:hAnsi="Georgia" w:cs="Arial"/>
          <w:bCs/>
          <w:smallCaps/>
        </w:rPr>
      </w:pPr>
    </w:p>
    <w:p w14:paraId="3F220CC3" w14:textId="77777777" w:rsidR="0069424D" w:rsidRPr="00002B06" w:rsidRDefault="0069424D" w:rsidP="0069424D">
      <w:pPr>
        <w:spacing w:line="276" w:lineRule="auto"/>
        <w:jc w:val="center"/>
        <w:rPr>
          <w:rFonts w:ascii="Georgia" w:hAnsi="Georgia" w:cs="Arial"/>
          <w:bCs/>
          <w:smallCaps/>
        </w:rPr>
      </w:pPr>
      <w:r w:rsidRPr="00002B06">
        <w:rPr>
          <w:rFonts w:ascii="Georgia" w:hAnsi="Georgia" w:cs="Arial"/>
          <w:bCs/>
          <w:smallCaps/>
        </w:rPr>
        <w:t>Notifíquese,</w:t>
      </w:r>
    </w:p>
    <w:p w14:paraId="18506504" w14:textId="77777777" w:rsidR="0069424D" w:rsidRPr="00002B06" w:rsidRDefault="0069424D" w:rsidP="0069424D">
      <w:pPr>
        <w:widowControl/>
        <w:spacing w:line="276" w:lineRule="auto"/>
        <w:jc w:val="center"/>
        <w:textAlignment w:val="baseline"/>
        <w:rPr>
          <w:rFonts w:ascii="Georgia" w:hAnsi="Georgia" w:cs="Arial"/>
          <w:bCs/>
          <w:caps/>
          <w:w w:val="150"/>
          <w:szCs w:val="18"/>
          <w:lang w:val="es-MX"/>
        </w:rPr>
      </w:pPr>
      <w:bookmarkStart w:id="4" w:name="_Hlk76974190"/>
    </w:p>
    <w:p w14:paraId="5F400B90" w14:textId="77777777" w:rsidR="0069424D" w:rsidRPr="00002B06" w:rsidRDefault="0069424D" w:rsidP="0069424D">
      <w:pPr>
        <w:widowControl/>
        <w:spacing w:line="276" w:lineRule="auto"/>
        <w:jc w:val="center"/>
        <w:textAlignment w:val="baseline"/>
        <w:rPr>
          <w:rFonts w:ascii="Georgia" w:hAnsi="Georgia" w:cs="Arial"/>
          <w:bCs/>
          <w:caps/>
          <w:w w:val="150"/>
          <w:szCs w:val="18"/>
          <w:lang w:val="es-MX"/>
        </w:rPr>
      </w:pPr>
    </w:p>
    <w:p w14:paraId="37088D99" w14:textId="77777777" w:rsidR="0069424D" w:rsidRPr="00002B06" w:rsidRDefault="0069424D" w:rsidP="0069424D">
      <w:pPr>
        <w:widowControl/>
        <w:spacing w:line="276" w:lineRule="auto"/>
        <w:jc w:val="center"/>
        <w:textAlignment w:val="baseline"/>
        <w:rPr>
          <w:rFonts w:ascii="Georgia" w:hAnsi="Georgia" w:cs="Arial"/>
          <w:bCs/>
          <w:caps/>
          <w:w w:val="150"/>
          <w:szCs w:val="18"/>
          <w:lang w:val="es-MX"/>
        </w:rPr>
      </w:pPr>
    </w:p>
    <w:p w14:paraId="5E2CEAD7" w14:textId="77777777" w:rsidR="0069424D" w:rsidRPr="00002B06" w:rsidRDefault="0069424D" w:rsidP="0069424D">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7C3A2626" w14:textId="77777777" w:rsidR="0069424D" w:rsidRPr="00002B06" w:rsidRDefault="0069424D" w:rsidP="0069424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5DD67D29" w14:textId="77777777" w:rsidR="0069424D" w:rsidRPr="00002B06" w:rsidRDefault="0069424D" w:rsidP="0069424D">
      <w:pPr>
        <w:widowControl/>
        <w:spacing w:line="276" w:lineRule="auto"/>
        <w:textAlignment w:val="baseline"/>
        <w:rPr>
          <w:rFonts w:ascii="Georgia" w:hAnsi="Georgia" w:cs="Arial"/>
          <w:caps/>
          <w:spacing w:val="20"/>
          <w:w w:val="150"/>
          <w:szCs w:val="28"/>
          <w:lang w:val="es-MX"/>
        </w:rPr>
      </w:pPr>
    </w:p>
    <w:p w14:paraId="088C6364" w14:textId="77777777" w:rsidR="0069424D" w:rsidRPr="00002B06" w:rsidRDefault="0069424D" w:rsidP="0069424D">
      <w:pPr>
        <w:widowControl/>
        <w:spacing w:line="276" w:lineRule="auto"/>
        <w:textAlignment w:val="baseline"/>
        <w:rPr>
          <w:rFonts w:ascii="Georgia" w:hAnsi="Georgia" w:cs="Arial"/>
          <w:caps/>
          <w:spacing w:val="20"/>
          <w:w w:val="150"/>
          <w:szCs w:val="28"/>
          <w:lang w:val="es-MX"/>
        </w:rPr>
      </w:pPr>
    </w:p>
    <w:p w14:paraId="0CCDB079" w14:textId="77777777" w:rsidR="0069424D" w:rsidRPr="00002B06" w:rsidRDefault="0069424D" w:rsidP="0069424D">
      <w:pPr>
        <w:widowControl/>
        <w:spacing w:line="276" w:lineRule="auto"/>
        <w:textAlignment w:val="baseline"/>
        <w:rPr>
          <w:rFonts w:ascii="Georgia" w:hAnsi="Georgia" w:cs="Arial"/>
          <w:caps/>
          <w:spacing w:val="20"/>
          <w:w w:val="150"/>
          <w:szCs w:val="28"/>
          <w:lang w:val="es-MX"/>
        </w:rPr>
      </w:pPr>
    </w:p>
    <w:p w14:paraId="49F7CDD3" w14:textId="77777777" w:rsidR="0069424D" w:rsidRPr="00002B06" w:rsidRDefault="0069424D" w:rsidP="0069424D">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427A7924" w14:textId="0DC0D7C9" w:rsidR="000B19DE" w:rsidRPr="0069424D" w:rsidRDefault="0069424D" w:rsidP="0069424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highlight w:val="cyan"/>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4"/>
    </w:p>
    <w:sectPr w:rsidR="000B19DE" w:rsidRPr="0069424D" w:rsidSect="005E4B37">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5711A" w16cex:dateUtc="2022-06-06T20:46:40.715Z"/>
  <w16cex:commentExtensible w16cex:durableId="70499468" w16cex:dateUtc="2022-06-06T20:39:48.28Z"/>
  <w16cex:commentExtensible w16cex:durableId="62676806" w16cex:dateUtc="2022-06-06T20:41:53.509Z"/>
  <w16cex:commentExtensible w16cex:durableId="4F7FE208" w16cex:dateUtc="2022-06-06T20:42:38.23Z"/>
  <w16cex:commentExtensible w16cex:durableId="44FF5BCE" w16cex:dateUtc="2022-06-06T20:47:18.5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BBC17" w14:textId="77777777" w:rsidR="004838C6" w:rsidRDefault="004838C6" w:rsidP="0099045D">
      <w:r>
        <w:separator/>
      </w:r>
    </w:p>
  </w:endnote>
  <w:endnote w:type="continuationSeparator" w:id="0">
    <w:p w14:paraId="3BA6CE7E" w14:textId="77777777" w:rsidR="004838C6" w:rsidRDefault="004838C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C73D26" w:rsidRPr="00FF5F5B" w:rsidRDefault="00C73D26" w:rsidP="00FF5F5B">
    <w:pPr>
      <w:pStyle w:val="Piedepgina"/>
      <w:pBdr>
        <w:bottom w:val="double" w:sz="6" w:space="1" w:color="auto"/>
      </w:pBdr>
      <w:jc w:val="right"/>
      <w:rPr>
        <w:rFonts w:ascii="Georgia" w:hAnsi="Georgia" w:cs="Arial"/>
        <w:spacing w:val="20"/>
        <w:w w:val="200"/>
        <w:sz w:val="2"/>
        <w:szCs w:val="10"/>
        <w:lang w:val="es-CO"/>
      </w:rPr>
    </w:pPr>
  </w:p>
  <w:p w14:paraId="467DEDB7" w14:textId="77777777" w:rsidR="00C73D26" w:rsidRPr="00FF5F5B" w:rsidRDefault="00C73D26" w:rsidP="00FF5F5B">
    <w:pPr>
      <w:pStyle w:val="Piedepgina"/>
      <w:jc w:val="right"/>
      <w:rPr>
        <w:rFonts w:ascii="Georgia" w:hAnsi="Georgia" w:cs="Arial"/>
        <w:spacing w:val="20"/>
        <w:w w:val="200"/>
        <w:sz w:val="14"/>
        <w:szCs w:val="10"/>
        <w:lang w:val="es-CO"/>
      </w:rPr>
    </w:pPr>
  </w:p>
  <w:p w14:paraId="68156F21" w14:textId="77777777" w:rsidR="00C73D26" w:rsidRPr="00FF5F5B" w:rsidRDefault="00C73D26" w:rsidP="00FF5F5B">
    <w:pPr>
      <w:pStyle w:val="Piedepgina"/>
      <w:jc w:val="right"/>
      <w:rPr>
        <w:rFonts w:ascii="Georgia" w:hAnsi="Georgia" w:cs="Arial"/>
        <w:spacing w:val="20"/>
        <w:w w:val="200"/>
        <w:sz w:val="10"/>
        <w:szCs w:val="10"/>
        <w:lang w:val="es-CO"/>
      </w:rPr>
    </w:pPr>
    <w:r w:rsidRPr="00FF5F5B">
      <w:rPr>
        <w:rFonts w:ascii="Georgia" w:hAnsi="Georgia" w:cs="Arial"/>
        <w:spacing w:val="20"/>
        <w:w w:val="200"/>
        <w:sz w:val="14"/>
        <w:szCs w:val="10"/>
        <w:lang w:val="es-CO"/>
      </w:rPr>
      <w:t>T</w:t>
    </w:r>
    <w:r w:rsidRPr="00FF5F5B">
      <w:rPr>
        <w:rFonts w:ascii="Georgia" w:hAnsi="Georgia" w:cs="Arial"/>
        <w:spacing w:val="20"/>
        <w:w w:val="200"/>
        <w:sz w:val="10"/>
        <w:szCs w:val="10"/>
        <w:lang w:val="es-CO"/>
      </w:rPr>
      <w:t xml:space="preserve">RIBUNAL </w:t>
    </w:r>
    <w:r w:rsidRPr="00FF5F5B">
      <w:rPr>
        <w:rFonts w:ascii="Georgia" w:hAnsi="Georgia" w:cs="Arial"/>
        <w:spacing w:val="20"/>
        <w:w w:val="200"/>
        <w:sz w:val="14"/>
        <w:szCs w:val="10"/>
        <w:lang w:val="es-CO"/>
      </w:rPr>
      <w:t>S</w:t>
    </w:r>
    <w:r w:rsidRPr="00FF5F5B">
      <w:rPr>
        <w:rFonts w:ascii="Georgia" w:hAnsi="Georgia" w:cs="Arial"/>
        <w:spacing w:val="20"/>
        <w:w w:val="200"/>
        <w:sz w:val="10"/>
        <w:szCs w:val="10"/>
        <w:lang w:val="es-CO"/>
      </w:rPr>
      <w:t xml:space="preserve">UPERIOR DE </w:t>
    </w:r>
    <w:r w:rsidRPr="00FF5F5B">
      <w:rPr>
        <w:rFonts w:ascii="Georgia" w:hAnsi="Georgia" w:cs="Arial"/>
        <w:spacing w:val="20"/>
        <w:w w:val="200"/>
        <w:sz w:val="14"/>
        <w:szCs w:val="10"/>
        <w:lang w:val="es-CO"/>
      </w:rPr>
      <w:t>P</w:t>
    </w:r>
    <w:r w:rsidRPr="00FF5F5B">
      <w:rPr>
        <w:rFonts w:ascii="Georgia" w:hAnsi="Georgia" w:cs="Arial"/>
        <w:spacing w:val="20"/>
        <w:w w:val="200"/>
        <w:sz w:val="10"/>
        <w:szCs w:val="10"/>
        <w:lang w:val="es-CO"/>
      </w:rPr>
      <w:t>EREIRA</w:t>
    </w:r>
  </w:p>
  <w:p w14:paraId="1955232D" w14:textId="77777777" w:rsidR="00C73D26" w:rsidRPr="00FF5F5B" w:rsidRDefault="00C73D26" w:rsidP="00FF5F5B">
    <w:pPr>
      <w:pStyle w:val="Piedepgina"/>
      <w:jc w:val="right"/>
      <w:rPr>
        <w:rFonts w:ascii="Georgia" w:hAnsi="Georgia"/>
        <w:lang w:val="es-CO"/>
      </w:rPr>
    </w:pPr>
    <w:r w:rsidRPr="00FF5F5B">
      <w:rPr>
        <w:rFonts w:ascii="Georgia" w:hAnsi="Georgia" w:cs="Arial"/>
        <w:spacing w:val="20"/>
        <w:w w:val="200"/>
        <w:sz w:val="10"/>
        <w:szCs w:val="10"/>
        <w:lang w:val="es-CO"/>
      </w:rPr>
      <w:t xml:space="preserve">MP </w:t>
    </w:r>
    <w:r w:rsidRPr="00FF5F5B">
      <w:rPr>
        <w:rFonts w:ascii="Georgia" w:hAnsi="Georgia" w:cs="Arial"/>
        <w:spacing w:val="20"/>
        <w:w w:val="200"/>
        <w:sz w:val="12"/>
        <w:szCs w:val="10"/>
        <w:lang w:val="es-CO"/>
      </w:rPr>
      <w:t>D</w:t>
    </w:r>
    <w:r w:rsidRPr="00FF5F5B">
      <w:rPr>
        <w:rFonts w:ascii="Georgia" w:hAnsi="Georgia" w:cs="Arial"/>
        <w:spacing w:val="20"/>
        <w:w w:val="200"/>
        <w:sz w:val="8"/>
        <w:szCs w:val="10"/>
        <w:lang w:val="es-CO"/>
      </w:rPr>
      <w:t>UBERNEY</w:t>
    </w:r>
    <w:r w:rsidRPr="00FF5F5B">
      <w:rPr>
        <w:rFonts w:ascii="Georgia" w:hAnsi="Georgia" w:cs="Arial"/>
        <w:spacing w:val="20"/>
        <w:w w:val="200"/>
        <w:sz w:val="10"/>
        <w:szCs w:val="10"/>
        <w:lang w:val="es-CO"/>
      </w:rPr>
      <w:t xml:space="preserve"> </w:t>
    </w:r>
    <w:r w:rsidRPr="00FF5F5B">
      <w:rPr>
        <w:rFonts w:ascii="Georgia" w:hAnsi="Georgia" w:cs="Arial"/>
        <w:spacing w:val="20"/>
        <w:w w:val="200"/>
        <w:sz w:val="12"/>
        <w:szCs w:val="10"/>
        <w:lang w:val="es-CO"/>
      </w:rPr>
      <w:t>G</w:t>
    </w:r>
    <w:r w:rsidRPr="00FF5F5B">
      <w:rPr>
        <w:rFonts w:ascii="Georgia" w:hAnsi="Georgia" w:cs="Arial"/>
        <w:spacing w:val="20"/>
        <w:w w:val="200"/>
        <w:sz w:val="8"/>
        <w:szCs w:val="10"/>
        <w:lang w:val="es-CO"/>
      </w:rPr>
      <w:t>RISALES</w:t>
    </w:r>
    <w:r w:rsidRPr="00FF5F5B">
      <w:rPr>
        <w:rFonts w:ascii="Georgia" w:hAnsi="Georgia" w:cs="Arial"/>
        <w:spacing w:val="20"/>
        <w:w w:val="200"/>
        <w:sz w:val="10"/>
        <w:szCs w:val="10"/>
        <w:lang w:val="es-CO"/>
      </w:rPr>
      <w:t xml:space="preserve"> </w:t>
    </w:r>
    <w:r w:rsidRPr="00FF5F5B">
      <w:rPr>
        <w:rFonts w:ascii="Georgia" w:hAnsi="Georgia" w:cs="Arial"/>
        <w:spacing w:val="20"/>
        <w:w w:val="200"/>
        <w:sz w:val="12"/>
        <w:szCs w:val="10"/>
        <w:lang w:val="es-CO"/>
      </w:rPr>
      <w:t>H</w:t>
    </w:r>
    <w:r w:rsidRPr="00FF5F5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A5BA" w14:textId="77777777" w:rsidR="004838C6" w:rsidRDefault="004838C6" w:rsidP="0099045D">
      <w:r>
        <w:separator/>
      </w:r>
    </w:p>
  </w:footnote>
  <w:footnote w:type="continuationSeparator" w:id="0">
    <w:p w14:paraId="6F1E772F" w14:textId="77777777" w:rsidR="004838C6" w:rsidRDefault="004838C6" w:rsidP="0099045D">
      <w:r>
        <w:continuationSeparator/>
      </w:r>
    </w:p>
  </w:footnote>
  <w:footnote w:id="1">
    <w:p w14:paraId="34187478" w14:textId="77777777" w:rsidR="00C73D26" w:rsidRPr="00FF5F5B" w:rsidRDefault="00C73D26" w:rsidP="00FF5F5B">
      <w:pPr>
        <w:pStyle w:val="Textonotapie"/>
        <w:jc w:val="both"/>
        <w:rPr>
          <w:rFonts w:ascii="Georgia" w:hAnsi="Georgia"/>
          <w:lang w:val="es-CO"/>
        </w:rPr>
      </w:pPr>
      <w:r w:rsidRPr="00FF5F5B">
        <w:rPr>
          <w:rStyle w:val="Refdenotaalpie"/>
          <w:rFonts w:ascii="Georgia" w:eastAsiaTheme="majorEastAsia" w:hAnsi="Georgia"/>
        </w:rPr>
        <w:footnoteRef/>
      </w:r>
      <w:r w:rsidRPr="00FF5F5B">
        <w:rPr>
          <w:rFonts w:ascii="Georgia" w:hAnsi="Georgia"/>
          <w:lang w:val="es-CO"/>
        </w:rPr>
        <w:t xml:space="preserve"> CC. T-075 de 2020.</w:t>
      </w:r>
    </w:p>
  </w:footnote>
  <w:footnote w:id="2">
    <w:p w14:paraId="2938EFB2" w14:textId="77777777" w:rsidR="00C73D26" w:rsidRPr="00FF5F5B" w:rsidRDefault="00C73D26" w:rsidP="00FF5F5B">
      <w:pPr>
        <w:pStyle w:val="Textonotapie"/>
        <w:jc w:val="both"/>
        <w:rPr>
          <w:rFonts w:ascii="Georgia" w:hAnsi="Georgia"/>
          <w:lang w:val="es-CO"/>
        </w:rPr>
      </w:pPr>
      <w:r w:rsidRPr="00FF5F5B">
        <w:rPr>
          <w:rStyle w:val="Refdenotaalpie"/>
          <w:rFonts w:ascii="Georgia" w:eastAsiaTheme="majorEastAsia" w:hAnsi="Georgia"/>
        </w:rPr>
        <w:footnoteRef/>
      </w:r>
      <w:r w:rsidRPr="00FF5F5B">
        <w:rPr>
          <w:rFonts w:ascii="Georgia" w:hAnsi="Georgia"/>
        </w:rPr>
        <w:t xml:space="preserve"> CC. T-131 de 2021.</w:t>
      </w:r>
    </w:p>
  </w:footnote>
  <w:footnote w:id="3">
    <w:p w14:paraId="085039D0" w14:textId="77777777" w:rsidR="00C73D26" w:rsidRPr="00FF5F5B" w:rsidRDefault="00C73D26" w:rsidP="00FF5F5B">
      <w:pPr>
        <w:pStyle w:val="Textonotapie"/>
        <w:jc w:val="both"/>
        <w:rPr>
          <w:rFonts w:ascii="Georgia" w:hAnsi="Georgia"/>
        </w:rPr>
      </w:pPr>
      <w:r w:rsidRPr="00FF5F5B">
        <w:rPr>
          <w:rStyle w:val="Refdenotaalpie"/>
          <w:rFonts w:ascii="Georgia" w:hAnsi="Georgia"/>
        </w:rPr>
        <w:footnoteRef/>
      </w:r>
      <w:r w:rsidRPr="00FF5F5B">
        <w:rPr>
          <w:rFonts w:ascii="Georgia" w:hAnsi="Georgia"/>
        </w:rPr>
        <w:t xml:space="preserve"> CC. T-005 de 2022.</w:t>
      </w:r>
    </w:p>
  </w:footnote>
  <w:footnote w:id="4">
    <w:p w14:paraId="027ADA69" w14:textId="77777777" w:rsidR="00C73D26" w:rsidRPr="00FF5F5B" w:rsidRDefault="00C73D26" w:rsidP="00FF5F5B">
      <w:pPr>
        <w:pStyle w:val="Textonotapie"/>
        <w:jc w:val="both"/>
        <w:rPr>
          <w:rFonts w:ascii="Georgia" w:hAnsi="Georgia"/>
        </w:rPr>
      </w:pPr>
      <w:r w:rsidRPr="00FF5F5B">
        <w:rPr>
          <w:rStyle w:val="Refdenotaalpie"/>
          <w:rFonts w:ascii="Georgia" w:hAnsi="Georgia"/>
        </w:rPr>
        <w:footnoteRef/>
      </w:r>
      <w:r w:rsidRPr="00FF5F5B">
        <w:rPr>
          <w:rFonts w:ascii="Georgia" w:hAnsi="Georgia"/>
        </w:rPr>
        <w:t xml:space="preserve"> CC. SU-037 de 2019 y </w:t>
      </w:r>
      <w:hyperlink r:id="rId1" w:history="1">
        <w:r w:rsidRPr="00FF5F5B">
          <w:rPr>
            <w:rStyle w:val="Hipervnculo"/>
            <w:rFonts w:ascii="Georgia" w:hAnsi="Georgia"/>
            <w:color w:val="auto"/>
            <w:u w:val="none"/>
          </w:rPr>
          <w:t>SU-499 de 2016</w:t>
        </w:r>
      </w:hyperlink>
      <w:r w:rsidRPr="00FF5F5B">
        <w:rPr>
          <w:rFonts w:ascii="Georgia" w:hAnsi="Georgia"/>
        </w:rPr>
        <w:t>.</w:t>
      </w:r>
    </w:p>
  </w:footnote>
  <w:footnote w:id="5">
    <w:p w14:paraId="1C2B3446" w14:textId="77777777" w:rsidR="00C73D26" w:rsidRPr="00FF5F5B" w:rsidRDefault="00C73D26" w:rsidP="00FF5F5B">
      <w:pPr>
        <w:pStyle w:val="Textonotapie"/>
        <w:jc w:val="both"/>
        <w:rPr>
          <w:rFonts w:ascii="Georgia" w:hAnsi="Georgia"/>
        </w:rPr>
      </w:pPr>
      <w:r w:rsidRPr="00FF5F5B">
        <w:rPr>
          <w:rStyle w:val="Refdenotaalpie"/>
          <w:rFonts w:ascii="Georgia" w:hAnsi="Georgia" w:cs="Calibri Light"/>
        </w:rPr>
        <w:footnoteRef/>
      </w:r>
      <w:r w:rsidRPr="00FF5F5B">
        <w:rPr>
          <w:rFonts w:ascii="Georgia" w:hAnsi="Georgia" w:cs="Calibri Light"/>
        </w:rPr>
        <w:t xml:space="preserve"> CC. T-003 de 2022, T-034-2021, </w:t>
      </w:r>
      <w:hyperlink r:id="rId2" w:history="1">
        <w:r w:rsidRPr="00FF5F5B">
          <w:rPr>
            <w:rStyle w:val="Hipervnculo"/>
            <w:rFonts w:ascii="Georgia" w:hAnsi="Georgia" w:cs="Calibri Light"/>
            <w:color w:val="auto"/>
            <w:u w:val="none"/>
          </w:rPr>
          <w:t>T-053 de 2020</w:t>
        </w:r>
      </w:hyperlink>
      <w:r w:rsidRPr="00FF5F5B">
        <w:rPr>
          <w:rFonts w:ascii="Georgia" w:hAnsi="Georgia" w:cs="Calibri Light"/>
        </w:rPr>
        <w:t xml:space="preserve">, T-422 de 2019, T-359 de 2019, </w:t>
      </w:r>
      <w:r w:rsidRPr="00FF5F5B">
        <w:rPr>
          <w:rFonts w:ascii="Georgia" w:hAnsi="Georgia"/>
        </w:rPr>
        <w:t xml:space="preserve">C-132 de 2018, </w:t>
      </w:r>
      <w:r w:rsidRPr="00FF5F5B">
        <w:rPr>
          <w:rFonts w:ascii="Georgia" w:hAnsi="Georgia" w:cs="Calibri Light"/>
        </w:rPr>
        <w:t>T-015 de 2016, T-162 de 2010 y T-099 de 2008.</w:t>
      </w:r>
    </w:p>
  </w:footnote>
  <w:footnote w:id="6">
    <w:p w14:paraId="5F61A865" w14:textId="77777777" w:rsidR="004A39B9" w:rsidRPr="00FF5F5B" w:rsidRDefault="004A39B9" w:rsidP="00FF5F5B">
      <w:pPr>
        <w:pStyle w:val="Textonotapie"/>
        <w:jc w:val="both"/>
        <w:rPr>
          <w:rFonts w:ascii="Georgia" w:hAnsi="Georgia"/>
        </w:rPr>
      </w:pPr>
      <w:r w:rsidRPr="00FF5F5B">
        <w:rPr>
          <w:rStyle w:val="Refdenotaalpie"/>
          <w:rFonts w:ascii="Georgia" w:hAnsi="Georgia" w:cs="Arial"/>
        </w:rPr>
        <w:footnoteRef/>
      </w:r>
      <w:r w:rsidRPr="00FF5F5B">
        <w:rPr>
          <w:rFonts w:ascii="Georgia" w:hAnsi="Georgia" w:cs="Arial"/>
        </w:rPr>
        <w:t xml:space="preserve"> CC.T-070 de 2017. </w:t>
      </w:r>
    </w:p>
  </w:footnote>
  <w:footnote w:id="7">
    <w:p w14:paraId="184BB969" w14:textId="77777777" w:rsidR="00C73D26" w:rsidRPr="00FF5F5B" w:rsidRDefault="00C73D26" w:rsidP="00FF5F5B">
      <w:pPr>
        <w:pStyle w:val="Textonotapie"/>
        <w:jc w:val="both"/>
        <w:rPr>
          <w:rFonts w:ascii="Georgia" w:hAnsi="Georgia"/>
        </w:rPr>
      </w:pPr>
      <w:r w:rsidRPr="00FF5F5B">
        <w:rPr>
          <w:rStyle w:val="Refdenotaalpie"/>
          <w:rFonts w:ascii="Georgia" w:hAnsi="Georgia" w:cs="Arial"/>
        </w:rPr>
        <w:footnoteRef/>
      </w:r>
      <w:r w:rsidRPr="00FF5F5B">
        <w:rPr>
          <w:rFonts w:ascii="Georgia" w:hAnsi="Georgia" w:cs="Arial"/>
        </w:rPr>
        <w:t xml:space="preserve"> CC. T-136 de 2019 y T-027 de 2019, entre otras.</w:t>
      </w:r>
    </w:p>
  </w:footnote>
  <w:footnote w:id="8">
    <w:p w14:paraId="3746364B" w14:textId="6325A113" w:rsidR="00C73D26" w:rsidRPr="00FF5F5B" w:rsidRDefault="00C73D26" w:rsidP="00FF5F5B">
      <w:pPr>
        <w:pStyle w:val="Textonotapie"/>
        <w:jc w:val="both"/>
        <w:rPr>
          <w:rFonts w:ascii="Georgia" w:hAnsi="Georgia"/>
          <w:lang w:val="es-CO"/>
        </w:rPr>
      </w:pPr>
      <w:r w:rsidRPr="00FF5F5B">
        <w:rPr>
          <w:rStyle w:val="Refdenotaalpie"/>
          <w:rFonts w:ascii="Georgia" w:hAnsi="Georgia"/>
        </w:rPr>
        <w:footnoteRef/>
      </w:r>
      <w:r w:rsidRPr="00FF5F5B">
        <w:rPr>
          <w:rFonts w:ascii="Georgia" w:hAnsi="Georgia"/>
          <w:lang w:val="es-CO"/>
        </w:rPr>
        <w:t xml:space="preserve"> CC. T-108 de 2022, T-080 de 2021, T-001-2020 y </w:t>
      </w:r>
      <w:r w:rsidRPr="00FF5F5B">
        <w:rPr>
          <w:rFonts w:ascii="Georgia" w:hAnsi="Georgia"/>
          <w:shd w:val="clear" w:color="auto" w:fill="FFFFFF"/>
        </w:rPr>
        <w:t>SU 005 de 2018.</w:t>
      </w:r>
    </w:p>
  </w:footnote>
  <w:footnote w:id="9">
    <w:p w14:paraId="6C773B53" w14:textId="77777777" w:rsidR="00C73D26" w:rsidRPr="00FF5F5B" w:rsidRDefault="00C73D26" w:rsidP="00FF5F5B">
      <w:pPr>
        <w:pStyle w:val="Textonotapie"/>
        <w:jc w:val="both"/>
        <w:rPr>
          <w:rFonts w:ascii="Georgia" w:hAnsi="Georgia"/>
          <w:lang w:val="es-CO"/>
        </w:rPr>
      </w:pPr>
      <w:r w:rsidRPr="00FF5F5B">
        <w:rPr>
          <w:rStyle w:val="Refdenotaalpie"/>
          <w:rFonts w:ascii="Georgia" w:hAnsi="Georgia"/>
        </w:rPr>
        <w:footnoteRef/>
      </w:r>
      <w:r w:rsidRPr="00FF5F5B">
        <w:rPr>
          <w:rFonts w:ascii="Georgia" w:hAnsi="Georgia"/>
        </w:rPr>
        <w:t xml:space="preserve"> </w:t>
      </w:r>
      <w:r w:rsidRPr="00FF5F5B">
        <w:rPr>
          <w:rFonts w:ascii="Georgia" w:hAnsi="Georgia"/>
          <w:lang w:val="es-CO"/>
        </w:rPr>
        <w:t>CC. T-015 de 2017, T-190 de 1993, C-002 de 1999, T-213 de 2019 y C-071 de 2019</w:t>
      </w:r>
    </w:p>
  </w:footnote>
  <w:footnote w:id="10">
    <w:p w14:paraId="63972F08" w14:textId="48BE0AE2" w:rsidR="00D03108" w:rsidRPr="00FF5F5B" w:rsidRDefault="00D03108" w:rsidP="00FF5F5B">
      <w:pPr>
        <w:pStyle w:val="Textonotapie"/>
        <w:jc w:val="both"/>
        <w:rPr>
          <w:rFonts w:ascii="Georgia" w:hAnsi="Georgia"/>
          <w:lang w:val="es-CO"/>
        </w:rPr>
      </w:pPr>
      <w:r w:rsidRPr="00FF5F5B">
        <w:rPr>
          <w:rStyle w:val="Refdenotaalpie"/>
          <w:rFonts w:ascii="Georgia" w:hAnsi="Georgia"/>
        </w:rPr>
        <w:footnoteRef/>
      </w:r>
      <w:r w:rsidRPr="00FF5F5B">
        <w:rPr>
          <w:rFonts w:ascii="Georgia" w:hAnsi="Georgia"/>
        </w:rPr>
        <w:t xml:space="preserve"> </w:t>
      </w:r>
      <w:r w:rsidRPr="00FF5F5B">
        <w:rPr>
          <w:rFonts w:ascii="Georgia" w:hAnsi="Georgia"/>
          <w:lang w:val="es-CO"/>
        </w:rPr>
        <w:t>CC. T-213 de 2019.</w:t>
      </w:r>
    </w:p>
  </w:footnote>
  <w:footnote w:id="11">
    <w:p w14:paraId="2743A4B3" w14:textId="30407929" w:rsidR="00D03108" w:rsidRPr="00FF5F5B" w:rsidRDefault="00D03108" w:rsidP="00FF5F5B">
      <w:pPr>
        <w:pStyle w:val="Textonotapie"/>
        <w:jc w:val="both"/>
        <w:rPr>
          <w:rFonts w:ascii="Georgia" w:hAnsi="Georgia"/>
          <w:lang w:val="es-CO"/>
        </w:rPr>
      </w:pPr>
      <w:r w:rsidRPr="00FF5F5B">
        <w:rPr>
          <w:rStyle w:val="Refdenotaalpie"/>
          <w:rFonts w:ascii="Georgia" w:hAnsi="Georgia"/>
        </w:rPr>
        <w:footnoteRef/>
      </w:r>
      <w:r w:rsidRPr="00FF5F5B">
        <w:rPr>
          <w:rFonts w:ascii="Georgia" w:hAnsi="Georgia"/>
        </w:rPr>
        <w:t xml:space="preserve"> </w:t>
      </w:r>
      <w:r w:rsidRPr="00FF5F5B">
        <w:rPr>
          <w:rFonts w:ascii="Georgia" w:hAnsi="Georgia"/>
          <w:lang w:val="es-CO"/>
        </w:rPr>
        <w:t>CC. T-080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C73D26" w:rsidRPr="005E4B37" w:rsidRDefault="00C73D26">
    <w:pPr>
      <w:pStyle w:val="Encabezado"/>
      <w:pBdr>
        <w:bottom w:val="single" w:sz="4" w:space="1" w:color="D9D9D9"/>
      </w:pBdr>
      <w:jc w:val="right"/>
      <w:rPr>
        <w:rFonts w:ascii="Georgia" w:hAnsi="Georgia" w:cs="Calibri"/>
        <w:i/>
        <w:sz w:val="18"/>
        <w:szCs w:val="18"/>
      </w:rPr>
    </w:pPr>
    <w:r w:rsidRPr="005E4B37">
      <w:rPr>
        <w:rFonts w:ascii="Georgia" w:hAnsi="Georgia" w:cs="Calibri"/>
        <w:i/>
        <w:spacing w:val="60"/>
        <w:sz w:val="18"/>
        <w:szCs w:val="18"/>
      </w:rPr>
      <w:t>Página</w:t>
    </w:r>
    <w:r w:rsidRPr="005E4B37">
      <w:rPr>
        <w:rFonts w:ascii="Georgia" w:hAnsi="Georgia" w:cs="Calibri"/>
        <w:i/>
        <w:sz w:val="18"/>
        <w:szCs w:val="18"/>
      </w:rPr>
      <w:t xml:space="preserve"> | </w:t>
    </w:r>
    <w:r w:rsidRPr="005E4B37">
      <w:rPr>
        <w:rFonts w:ascii="Georgia" w:hAnsi="Georgia" w:cs="Calibri"/>
        <w:i/>
        <w:sz w:val="18"/>
        <w:szCs w:val="18"/>
      </w:rPr>
      <w:fldChar w:fldCharType="begin"/>
    </w:r>
    <w:r w:rsidRPr="005E4B37">
      <w:rPr>
        <w:rFonts w:ascii="Georgia" w:hAnsi="Georgia" w:cs="Calibri"/>
        <w:i/>
        <w:sz w:val="18"/>
        <w:szCs w:val="18"/>
      </w:rPr>
      <w:instrText xml:space="preserve"> PAGE   \* MERGEFORMAT </w:instrText>
    </w:r>
    <w:r w:rsidRPr="005E4B37">
      <w:rPr>
        <w:rFonts w:ascii="Georgia" w:hAnsi="Georgia" w:cs="Calibri"/>
        <w:i/>
        <w:sz w:val="18"/>
        <w:szCs w:val="18"/>
      </w:rPr>
      <w:fldChar w:fldCharType="separate"/>
    </w:r>
    <w:r w:rsidRPr="005E4B37">
      <w:rPr>
        <w:rFonts w:ascii="Georgia" w:hAnsi="Georgia" w:cs="Calibri"/>
        <w:i/>
        <w:noProof/>
        <w:sz w:val="18"/>
        <w:szCs w:val="18"/>
      </w:rPr>
      <w:t>6</w:t>
    </w:r>
    <w:r w:rsidRPr="005E4B37">
      <w:rPr>
        <w:rFonts w:ascii="Georgia" w:hAnsi="Georgia" w:cs="Calibri"/>
        <w:i/>
        <w:sz w:val="18"/>
        <w:szCs w:val="18"/>
      </w:rPr>
      <w:fldChar w:fldCharType="end"/>
    </w:r>
  </w:p>
  <w:p w14:paraId="247F1617" w14:textId="14ED5F4B" w:rsidR="00C73D26" w:rsidRPr="005E4B37" w:rsidRDefault="00C73D26" w:rsidP="009C568C">
    <w:pPr>
      <w:pStyle w:val="Encabezado"/>
      <w:ind w:right="360"/>
      <w:jc w:val="both"/>
      <w:rPr>
        <w:rFonts w:ascii="Georgia" w:hAnsi="Georgia" w:cs="Calibri"/>
        <w:i/>
        <w:sz w:val="18"/>
        <w:szCs w:val="18"/>
      </w:rPr>
    </w:pPr>
    <w:r w:rsidRPr="005E4B37">
      <w:rPr>
        <w:rFonts w:ascii="Georgia" w:hAnsi="Georgia" w:cs="Calibri"/>
        <w:i/>
        <w:sz w:val="18"/>
        <w:szCs w:val="18"/>
      </w:rPr>
      <w:t>EXPEDIENTE No.</w:t>
    </w:r>
    <w:r w:rsidR="005E4B37" w:rsidRPr="005E4B37">
      <w:rPr>
        <w:rFonts w:ascii="Georgia" w:hAnsi="Georgia" w:cs="Calibri"/>
        <w:i/>
        <w:sz w:val="18"/>
        <w:szCs w:val="18"/>
      </w:rPr>
      <w:t xml:space="preserve"> </w:t>
    </w:r>
    <w:r w:rsidRPr="005E4B37">
      <w:rPr>
        <w:rFonts w:ascii="Georgia" w:hAnsi="Georgia" w:cs="Calibri"/>
        <w:i/>
        <w:sz w:val="18"/>
        <w:szCs w:val="18"/>
      </w:rPr>
      <w:t>2022-00132-01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736ED80A"/>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4A3489C"/>
    <w:multiLevelType w:val="hybridMultilevel"/>
    <w:tmpl w:val="9B5A44CC"/>
    <w:lvl w:ilvl="0" w:tplc="016CFD3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25C23857"/>
    <w:multiLevelType w:val="multilevel"/>
    <w:tmpl w:val="19262262"/>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84F2158"/>
    <w:multiLevelType w:val="multilevel"/>
    <w:tmpl w:val="88CA262A"/>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10"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8"/>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253"/>
    <w:rsid w:val="000166B0"/>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2FD4"/>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1CAB"/>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28C"/>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EC"/>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492"/>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278"/>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710"/>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ADC"/>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5D07"/>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016"/>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55F"/>
    <w:rsid w:val="00266971"/>
    <w:rsid w:val="00266F3B"/>
    <w:rsid w:val="002673D6"/>
    <w:rsid w:val="00267454"/>
    <w:rsid w:val="00270042"/>
    <w:rsid w:val="0027056E"/>
    <w:rsid w:val="002708B8"/>
    <w:rsid w:val="00270A55"/>
    <w:rsid w:val="00270BAA"/>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26A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7BE"/>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E38"/>
    <w:rsid w:val="002E1FBB"/>
    <w:rsid w:val="002E248D"/>
    <w:rsid w:val="002E2E1A"/>
    <w:rsid w:val="002E2F4B"/>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0F6A"/>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B6D"/>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1EA"/>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49E4"/>
    <w:rsid w:val="00344DAF"/>
    <w:rsid w:val="003451E1"/>
    <w:rsid w:val="003451FA"/>
    <w:rsid w:val="00345352"/>
    <w:rsid w:val="0034557F"/>
    <w:rsid w:val="00345944"/>
    <w:rsid w:val="00345CC6"/>
    <w:rsid w:val="00345F28"/>
    <w:rsid w:val="00346923"/>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87F8B"/>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6E9E"/>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7ED"/>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14"/>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6BB"/>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8C6"/>
    <w:rsid w:val="004839FC"/>
    <w:rsid w:val="00483A5C"/>
    <w:rsid w:val="00483E3A"/>
    <w:rsid w:val="004842E4"/>
    <w:rsid w:val="0048449B"/>
    <w:rsid w:val="00484970"/>
    <w:rsid w:val="00484979"/>
    <w:rsid w:val="00484A74"/>
    <w:rsid w:val="00484F22"/>
    <w:rsid w:val="004855F2"/>
    <w:rsid w:val="00486062"/>
    <w:rsid w:val="00486355"/>
    <w:rsid w:val="0048666E"/>
    <w:rsid w:val="00486979"/>
    <w:rsid w:val="00486EDB"/>
    <w:rsid w:val="0048720A"/>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39B9"/>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6E9"/>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5"/>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2FFA"/>
    <w:rsid w:val="004D37AC"/>
    <w:rsid w:val="004D3C11"/>
    <w:rsid w:val="004D421C"/>
    <w:rsid w:val="004D426C"/>
    <w:rsid w:val="004D49FA"/>
    <w:rsid w:val="004D4D7E"/>
    <w:rsid w:val="004D5EB0"/>
    <w:rsid w:val="004D6813"/>
    <w:rsid w:val="004D6917"/>
    <w:rsid w:val="004D7268"/>
    <w:rsid w:val="004D732D"/>
    <w:rsid w:val="004D73E2"/>
    <w:rsid w:val="004D7886"/>
    <w:rsid w:val="004D7940"/>
    <w:rsid w:val="004D79C3"/>
    <w:rsid w:val="004E0055"/>
    <w:rsid w:val="004E02C5"/>
    <w:rsid w:val="004E048B"/>
    <w:rsid w:val="004E05C9"/>
    <w:rsid w:val="004E07CD"/>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006"/>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0A1"/>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375"/>
    <w:rsid w:val="00551BFA"/>
    <w:rsid w:val="00551FBB"/>
    <w:rsid w:val="00552009"/>
    <w:rsid w:val="005525BC"/>
    <w:rsid w:val="0055282B"/>
    <w:rsid w:val="00552E55"/>
    <w:rsid w:val="00552FFA"/>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611"/>
    <w:rsid w:val="00561C54"/>
    <w:rsid w:val="00561F4D"/>
    <w:rsid w:val="0056345F"/>
    <w:rsid w:val="005634DD"/>
    <w:rsid w:val="0056382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3202"/>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17AD"/>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B37"/>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08B4"/>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57CED"/>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67FD6"/>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4D"/>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52B"/>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032"/>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834"/>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8B6"/>
    <w:rsid w:val="00740C9E"/>
    <w:rsid w:val="007412C8"/>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C6A"/>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58F6"/>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510"/>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2BA1"/>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297"/>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48F"/>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174C"/>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B6E"/>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2FB0"/>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136"/>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37D4E"/>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4D"/>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48E6"/>
    <w:rsid w:val="00A9506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7A2"/>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31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31A"/>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104"/>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D7859"/>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6DD"/>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AD8"/>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3D26"/>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0924"/>
    <w:rsid w:val="00C91451"/>
    <w:rsid w:val="00C914BD"/>
    <w:rsid w:val="00C92A0F"/>
    <w:rsid w:val="00C932B1"/>
    <w:rsid w:val="00C93766"/>
    <w:rsid w:val="00C94017"/>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751"/>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0BCD"/>
    <w:rsid w:val="00D012A7"/>
    <w:rsid w:val="00D016C6"/>
    <w:rsid w:val="00D020D3"/>
    <w:rsid w:val="00D02184"/>
    <w:rsid w:val="00D02480"/>
    <w:rsid w:val="00D0260A"/>
    <w:rsid w:val="00D026C3"/>
    <w:rsid w:val="00D02D37"/>
    <w:rsid w:val="00D03108"/>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742"/>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19E4"/>
    <w:rsid w:val="00D72754"/>
    <w:rsid w:val="00D72758"/>
    <w:rsid w:val="00D72761"/>
    <w:rsid w:val="00D72808"/>
    <w:rsid w:val="00D72920"/>
    <w:rsid w:val="00D730BC"/>
    <w:rsid w:val="00D733E6"/>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2FA2"/>
    <w:rsid w:val="00DA3326"/>
    <w:rsid w:val="00DA37F5"/>
    <w:rsid w:val="00DA3DFC"/>
    <w:rsid w:val="00DA4AEC"/>
    <w:rsid w:val="00DA569C"/>
    <w:rsid w:val="00DA59FF"/>
    <w:rsid w:val="00DA5B56"/>
    <w:rsid w:val="00DA5DE9"/>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52"/>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2501"/>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859"/>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558"/>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8E6"/>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B37"/>
    <w:rsid w:val="00EF2BE2"/>
    <w:rsid w:val="00EF2C94"/>
    <w:rsid w:val="00EF2F32"/>
    <w:rsid w:val="00EF34BE"/>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CFC"/>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D36"/>
    <w:rsid w:val="00F968C2"/>
    <w:rsid w:val="00F97184"/>
    <w:rsid w:val="00F9725D"/>
    <w:rsid w:val="00F974FB"/>
    <w:rsid w:val="00F9751E"/>
    <w:rsid w:val="00F976CF"/>
    <w:rsid w:val="00F97738"/>
    <w:rsid w:val="00F978DE"/>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84E"/>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5F5B"/>
    <w:rsid w:val="00FF6120"/>
    <w:rsid w:val="00FF61F4"/>
    <w:rsid w:val="00FF6C3E"/>
    <w:rsid w:val="00FF769D"/>
    <w:rsid w:val="00FF787E"/>
    <w:rsid w:val="013736D6"/>
    <w:rsid w:val="01C9A613"/>
    <w:rsid w:val="022608C3"/>
    <w:rsid w:val="037AE612"/>
    <w:rsid w:val="03C1D924"/>
    <w:rsid w:val="0402A1FF"/>
    <w:rsid w:val="05B79ABD"/>
    <w:rsid w:val="06EA1F63"/>
    <w:rsid w:val="073D41E5"/>
    <w:rsid w:val="08EA5B97"/>
    <w:rsid w:val="099F3673"/>
    <w:rsid w:val="0A720135"/>
    <w:rsid w:val="0AC4F0BF"/>
    <w:rsid w:val="0AE5BC0E"/>
    <w:rsid w:val="0B3B06D4"/>
    <w:rsid w:val="0BAD7A75"/>
    <w:rsid w:val="0C0DD196"/>
    <w:rsid w:val="0C1AB04F"/>
    <w:rsid w:val="0F15856C"/>
    <w:rsid w:val="0FC2B454"/>
    <w:rsid w:val="10060B3F"/>
    <w:rsid w:val="1178E26F"/>
    <w:rsid w:val="17585411"/>
    <w:rsid w:val="1762770F"/>
    <w:rsid w:val="1800EAD9"/>
    <w:rsid w:val="1844297E"/>
    <w:rsid w:val="18746674"/>
    <w:rsid w:val="18BD4066"/>
    <w:rsid w:val="19F4994D"/>
    <w:rsid w:val="1A38DD03"/>
    <w:rsid w:val="1B29DA56"/>
    <w:rsid w:val="1B360A03"/>
    <w:rsid w:val="1D316911"/>
    <w:rsid w:val="1DAE6D38"/>
    <w:rsid w:val="1E95E9CC"/>
    <w:rsid w:val="22C5A65A"/>
    <w:rsid w:val="230CFAD6"/>
    <w:rsid w:val="233DB3C2"/>
    <w:rsid w:val="253298E4"/>
    <w:rsid w:val="2663969C"/>
    <w:rsid w:val="290A8BA0"/>
    <w:rsid w:val="29261609"/>
    <w:rsid w:val="29FE0B2F"/>
    <w:rsid w:val="2BE2CB65"/>
    <w:rsid w:val="2DC4AEB4"/>
    <w:rsid w:val="2EAB8687"/>
    <w:rsid w:val="31330F63"/>
    <w:rsid w:val="3293223D"/>
    <w:rsid w:val="334AFC3D"/>
    <w:rsid w:val="338BC518"/>
    <w:rsid w:val="35243FEC"/>
    <w:rsid w:val="357420D5"/>
    <w:rsid w:val="38100476"/>
    <w:rsid w:val="3902FF42"/>
    <w:rsid w:val="393F400A"/>
    <w:rsid w:val="3BC0653D"/>
    <w:rsid w:val="3C0C0D79"/>
    <w:rsid w:val="3DD908E5"/>
    <w:rsid w:val="41CF3577"/>
    <w:rsid w:val="42061881"/>
    <w:rsid w:val="43CB3DBB"/>
    <w:rsid w:val="44C5E8CB"/>
    <w:rsid w:val="46F3D2D3"/>
    <w:rsid w:val="46FB2D81"/>
    <w:rsid w:val="47BAFCEB"/>
    <w:rsid w:val="484E6777"/>
    <w:rsid w:val="4CC9ED77"/>
    <w:rsid w:val="4D379051"/>
    <w:rsid w:val="4DC4CA10"/>
    <w:rsid w:val="4DEBC425"/>
    <w:rsid w:val="4E3C8E1B"/>
    <w:rsid w:val="502B86C6"/>
    <w:rsid w:val="50998629"/>
    <w:rsid w:val="514AA180"/>
    <w:rsid w:val="51A791DC"/>
    <w:rsid w:val="526FE827"/>
    <w:rsid w:val="538DA978"/>
    <w:rsid w:val="54C2E438"/>
    <w:rsid w:val="55FD7FBF"/>
    <w:rsid w:val="5777638A"/>
    <w:rsid w:val="592DA033"/>
    <w:rsid w:val="5A5B5464"/>
    <w:rsid w:val="5B86E93D"/>
    <w:rsid w:val="5D4158BC"/>
    <w:rsid w:val="5D6FBBB1"/>
    <w:rsid w:val="5E53D2B7"/>
    <w:rsid w:val="5FD95334"/>
    <w:rsid w:val="60F06BD4"/>
    <w:rsid w:val="63BCF59F"/>
    <w:rsid w:val="64B0B892"/>
    <w:rsid w:val="66020DA1"/>
    <w:rsid w:val="6617BA2D"/>
    <w:rsid w:val="6711C1AC"/>
    <w:rsid w:val="69E0424E"/>
    <w:rsid w:val="6B22AA79"/>
    <w:rsid w:val="6B3B3B5E"/>
    <w:rsid w:val="6C22E41C"/>
    <w:rsid w:val="6C3F3282"/>
    <w:rsid w:val="6CF348BC"/>
    <w:rsid w:val="6EEC88F2"/>
    <w:rsid w:val="6EEE6D6F"/>
    <w:rsid w:val="6F0B515C"/>
    <w:rsid w:val="72359ECF"/>
    <w:rsid w:val="7311E39E"/>
    <w:rsid w:val="7405BCC6"/>
    <w:rsid w:val="74336E5C"/>
    <w:rsid w:val="747BB5CE"/>
    <w:rsid w:val="76D9D7BB"/>
    <w:rsid w:val="77B189C2"/>
    <w:rsid w:val="77BCDB1C"/>
    <w:rsid w:val="78011D70"/>
    <w:rsid w:val="79C07584"/>
    <w:rsid w:val="7AFA6319"/>
    <w:rsid w:val="7C66DC1E"/>
    <w:rsid w:val="7EEE68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8C22CD06-745A-4D12-88D3-96A9D473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 w:type="character" w:customStyle="1" w:styleId="iaj">
    <w:name w:val="i_aj"/>
    <w:basedOn w:val="Fuentedeprrafopredeter"/>
    <w:rsid w:val="004E07CD"/>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697774688">
      <w:bodyDiv w:val="1"/>
      <w:marLeft w:val="0"/>
      <w:marRight w:val="0"/>
      <w:marTop w:val="0"/>
      <w:marBottom w:val="0"/>
      <w:divBdr>
        <w:top w:val="none" w:sz="0" w:space="0" w:color="auto"/>
        <w:left w:val="none" w:sz="0" w:space="0" w:color="auto"/>
        <w:bottom w:val="none" w:sz="0" w:space="0" w:color="auto"/>
        <w:right w:val="none" w:sz="0" w:space="0" w:color="auto"/>
      </w:divBdr>
    </w:div>
    <w:div w:id="709496743">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dc75cec47aa848c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5B431-A8AA-4D26-B564-18A3BBA8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3.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300729E7-2F47-4BFD-A617-F6DCB0D5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2328</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14</cp:revision>
  <cp:lastPrinted>2020-12-09T12:54:00Z</cp:lastPrinted>
  <dcterms:created xsi:type="dcterms:W3CDTF">2022-06-06T15:46:00Z</dcterms:created>
  <dcterms:modified xsi:type="dcterms:W3CDTF">2022-08-02T18:14:00Z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