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362B" w14:textId="77777777" w:rsidR="00BF61C3" w:rsidRPr="00BF61C3" w:rsidRDefault="00BF61C3" w:rsidP="00BF61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F61C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1AF8E5" w14:textId="77777777" w:rsidR="00BF61C3" w:rsidRPr="00BF61C3" w:rsidRDefault="00BF61C3" w:rsidP="00BF61C3">
      <w:pPr>
        <w:jc w:val="both"/>
        <w:rPr>
          <w:rFonts w:ascii="Arial" w:hAnsi="Arial" w:cs="Arial"/>
          <w:lang w:val="es-419"/>
        </w:rPr>
      </w:pPr>
    </w:p>
    <w:p w14:paraId="4B78E92C" w14:textId="47D0352E" w:rsidR="00BF61C3" w:rsidRPr="00BF61C3" w:rsidRDefault="00BF61C3" w:rsidP="00BF61C3">
      <w:pPr>
        <w:jc w:val="both"/>
        <w:rPr>
          <w:rFonts w:ascii="Arial" w:hAnsi="Arial" w:cs="Arial"/>
          <w:lang w:val="es-CO"/>
        </w:rPr>
      </w:pPr>
      <w:r w:rsidRPr="00BF61C3">
        <w:rPr>
          <w:rFonts w:ascii="Arial" w:hAnsi="Arial" w:cs="Arial"/>
          <w:lang w:val="es-CO"/>
        </w:rPr>
        <w:t>Tipo de proceso</w:t>
      </w:r>
      <w:r w:rsidRPr="00BF61C3">
        <w:rPr>
          <w:rFonts w:ascii="Arial" w:hAnsi="Arial" w:cs="Arial"/>
          <w:lang w:val="es-CO"/>
        </w:rPr>
        <w:tab/>
        <w:t xml:space="preserve">: Expropiación </w:t>
      </w:r>
    </w:p>
    <w:p w14:paraId="78961BB1" w14:textId="764147C2" w:rsidR="00BF61C3" w:rsidRPr="00BF61C3" w:rsidRDefault="00BF61C3" w:rsidP="00BF61C3">
      <w:pPr>
        <w:jc w:val="both"/>
        <w:rPr>
          <w:rFonts w:ascii="Arial" w:hAnsi="Arial" w:cs="Arial"/>
          <w:lang w:val="es-CO"/>
        </w:rPr>
      </w:pPr>
      <w:r w:rsidRPr="00BF61C3">
        <w:rPr>
          <w:rFonts w:ascii="Arial" w:hAnsi="Arial" w:cs="Arial"/>
          <w:lang w:val="es-CO"/>
        </w:rPr>
        <w:t>Demandante</w:t>
      </w:r>
      <w:r w:rsidRPr="00BF61C3">
        <w:rPr>
          <w:rFonts w:ascii="Arial" w:hAnsi="Arial" w:cs="Arial"/>
          <w:lang w:val="es-CO"/>
        </w:rPr>
        <w:tab/>
      </w:r>
      <w:r w:rsidRPr="00BF61C3">
        <w:rPr>
          <w:rFonts w:ascii="Arial" w:hAnsi="Arial" w:cs="Arial"/>
          <w:lang w:val="es-CO"/>
        </w:rPr>
        <w:tab/>
        <w:t xml:space="preserve">: Agencia Nacional de Infraestructura </w:t>
      </w:r>
      <w:r w:rsidR="000C36F1">
        <w:rPr>
          <w:rFonts w:ascii="Arial" w:hAnsi="Arial" w:cs="Arial"/>
          <w:lang w:val="es-CO"/>
        </w:rPr>
        <w:t>–</w:t>
      </w:r>
      <w:r w:rsidRPr="00BF61C3">
        <w:rPr>
          <w:rFonts w:ascii="Arial" w:hAnsi="Arial" w:cs="Arial"/>
          <w:lang w:val="es-CO"/>
        </w:rPr>
        <w:t xml:space="preserve"> ANI</w:t>
      </w:r>
    </w:p>
    <w:p w14:paraId="31B145EB" w14:textId="38B0B173" w:rsidR="00BF61C3" w:rsidRPr="00BF61C3" w:rsidRDefault="00BF61C3" w:rsidP="00BF61C3">
      <w:pPr>
        <w:jc w:val="both"/>
        <w:rPr>
          <w:rFonts w:ascii="Arial" w:hAnsi="Arial" w:cs="Arial"/>
          <w:lang w:val="es-CO"/>
        </w:rPr>
      </w:pPr>
      <w:r w:rsidRPr="00BF61C3">
        <w:rPr>
          <w:rFonts w:ascii="Arial" w:hAnsi="Arial" w:cs="Arial"/>
          <w:lang w:val="es-CO"/>
        </w:rPr>
        <w:t>Demandados</w:t>
      </w:r>
      <w:r>
        <w:rPr>
          <w:rFonts w:ascii="Arial" w:hAnsi="Arial" w:cs="Arial"/>
          <w:lang w:val="es-CO"/>
        </w:rPr>
        <w:tab/>
      </w:r>
      <w:r w:rsidRPr="00BF61C3">
        <w:rPr>
          <w:rFonts w:ascii="Arial" w:hAnsi="Arial" w:cs="Arial"/>
          <w:lang w:val="es-CO"/>
        </w:rPr>
        <w:tab/>
        <w:t>: Sociedad Lazos S</w:t>
      </w:r>
      <w:r w:rsidR="000C36F1">
        <w:rPr>
          <w:rFonts w:ascii="Arial" w:hAnsi="Arial" w:cs="Arial"/>
          <w:lang w:val="es-CO"/>
        </w:rPr>
        <w:t>.</w:t>
      </w:r>
      <w:r w:rsidRPr="00BF61C3">
        <w:rPr>
          <w:rFonts w:ascii="Arial" w:hAnsi="Arial" w:cs="Arial"/>
          <w:lang w:val="es-CO"/>
        </w:rPr>
        <w:t>A</w:t>
      </w:r>
      <w:r w:rsidR="000C36F1">
        <w:rPr>
          <w:rFonts w:ascii="Arial" w:hAnsi="Arial" w:cs="Arial"/>
          <w:lang w:val="es-CO"/>
        </w:rPr>
        <w:t>.</w:t>
      </w:r>
      <w:r w:rsidRPr="00BF61C3">
        <w:rPr>
          <w:rFonts w:ascii="Arial" w:hAnsi="Arial" w:cs="Arial"/>
          <w:lang w:val="es-CO"/>
        </w:rPr>
        <w:t xml:space="preserve"> y otros</w:t>
      </w:r>
    </w:p>
    <w:p w14:paraId="78D42282" w14:textId="77777777" w:rsidR="00BF61C3" w:rsidRPr="00BF61C3" w:rsidRDefault="00BF61C3" w:rsidP="00BF61C3">
      <w:pPr>
        <w:jc w:val="both"/>
        <w:rPr>
          <w:rFonts w:ascii="Arial" w:hAnsi="Arial" w:cs="Arial"/>
          <w:lang w:val="es-CO"/>
        </w:rPr>
      </w:pPr>
      <w:r w:rsidRPr="00BF61C3">
        <w:rPr>
          <w:rFonts w:ascii="Arial" w:hAnsi="Arial" w:cs="Arial"/>
          <w:lang w:val="es-CO"/>
        </w:rPr>
        <w:t xml:space="preserve">Procedencia </w:t>
      </w:r>
      <w:r w:rsidRPr="00BF61C3">
        <w:rPr>
          <w:rFonts w:ascii="Arial" w:hAnsi="Arial" w:cs="Arial"/>
          <w:lang w:val="es-CO"/>
        </w:rPr>
        <w:tab/>
      </w:r>
      <w:r w:rsidRPr="00BF61C3">
        <w:rPr>
          <w:rFonts w:ascii="Arial" w:hAnsi="Arial" w:cs="Arial"/>
          <w:lang w:val="es-CO"/>
        </w:rPr>
        <w:tab/>
        <w:t>: Juzgado Promiscuo del Circuito de La Virginia, R.</w:t>
      </w:r>
    </w:p>
    <w:p w14:paraId="1F08EEFD" w14:textId="65CB39B1" w:rsidR="00BF61C3" w:rsidRPr="00BF61C3" w:rsidRDefault="00BF61C3" w:rsidP="00BF61C3">
      <w:pPr>
        <w:jc w:val="both"/>
        <w:rPr>
          <w:rFonts w:ascii="Arial" w:hAnsi="Arial" w:cs="Arial"/>
          <w:lang w:val="es-CO"/>
        </w:rPr>
      </w:pPr>
      <w:r w:rsidRPr="00BF61C3">
        <w:rPr>
          <w:rFonts w:ascii="Arial" w:hAnsi="Arial" w:cs="Arial"/>
          <w:lang w:val="es-CO"/>
        </w:rPr>
        <w:t>Radicación</w:t>
      </w:r>
      <w:r w:rsidRPr="00BF61C3">
        <w:rPr>
          <w:rFonts w:ascii="Arial" w:hAnsi="Arial" w:cs="Arial"/>
          <w:lang w:val="es-CO"/>
        </w:rPr>
        <w:tab/>
      </w:r>
      <w:r w:rsidRPr="00BF61C3">
        <w:rPr>
          <w:rFonts w:ascii="Arial" w:hAnsi="Arial" w:cs="Arial"/>
          <w:lang w:val="es-CO"/>
        </w:rPr>
        <w:tab/>
        <w:t>: 66400-31-89-001-</w:t>
      </w:r>
      <w:r w:rsidRPr="003D0F58">
        <w:rPr>
          <w:rFonts w:ascii="Arial" w:hAnsi="Arial" w:cs="Arial"/>
          <w:b/>
          <w:lang w:val="es-CO"/>
        </w:rPr>
        <w:t>2019-00140-01</w:t>
      </w:r>
    </w:p>
    <w:p w14:paraId="3AE2A466" w14:textId="045EB2ED" w:rsidR="00BF61C3" w:rsidRPr="00BF61C3" w:rsidRDefault="00BF61C3" w:rsidP="00BF61C3">
      <w:pPr>
        <w:jc w:val="both"/>
        <w:rPr>
          <w:rFonts w:ascii="Arial" w:hAnsi="Arial" w:cs="Arial"/>
          <w:lang w:val="es-CO"/>
        </w:rPr>
      </w:pPr>
      <w:proofErr w:type="spellStart"/>
      <w:r w:rsidRPr="00BF61C3">
        <w:rPr>
          <w:rFonts w:ascii="Arial" w:hAnsi="Arial" w:cs="Arial"/>
          <w:lang w:val="es-CO"/>
        </w:rPr>
        <w:t>Mag</w:t>
      </w:r>
      <w:proofErr w:type="spellEnd"/>
      <w:r w:rsidRPr="00BF61C3">
        <w:rPr>
          <w:rFonts w:ascii="Arial" w:hAnsi="Arial" w:cs="Arial"/>
          <w:lang w:val="es-CO"/>
        </w:rPr>
        <w:t>. Sustanciador</w:t>
      </w:r>
      <w:r w:rsidRPr="00BF61C3">
        <w:rPr>
          <w:rFonts w:ascii="Arial" w:hAnsi="Arial" w:cs="Arial"/>
          <w:lang w:val="es-CO"/>
        </w:rPr>
        <w:tab/>
        <w:t>: DUBERNEY GRISALES HERRERA</w:t>
      </w:r>
    </w:p>
    <w:p w14:paraId="23C9BEEA" w14:textId="77777777" w:rsidR="00BF61C3" w:rsidRPr="00BF61C3" w:rsidRDefault="00BF61C3" w:rsidP="00BF61C3">
      <w:pPr>
        <w:jc w:val="both"/>
        <w:rPr>
          <w:rFonts w:ascii="Arial" w:hAnsi="Arial" w:cs="Arial"/>
          <w:lang w:val="es-419"/>
        </w:rPr>
      </w:pPr>
    </w:p>
    <w:p w14:paraId="0DADD307" w14:textId="487EA58A" w:rsidR="00BF61C3" w:rsidRPr="00BF61C3" w:rsidRDefault="00CF0C07" w:rsidP="00BF61C3">
      <w:pPr>
        <w:widowControl w:val="0"/>
        <w:autoSpaceDE w:val="0"/>
        <w:autoSpaceDN w:val="0"/>
        <w:adjustRightInd w:val="0"/>
        <w:jc w:val="both"/>
        <w:rPr>
          <w:rFonts w:ascii="Arial" w:hAnsi="Arial" w:cs="Arial"/>
          <w:sz w:val="24"/>
          <w:szCs w:val="24"/>
          <w:lang w:val="es-419"/>
        </w:rPr>
      </w:pPr>
      <w:r w:rsidRPr="00BF61C3">
        <w:rPr>
          <w:rFonts w:ascii="Arial" w:hAnsi="Arial" w:cs="Arial"/>
          <w:b/>
          <w:bCs/>
          <w:iCs/>
          <w:u w:val="single"/>
          <w:lang w:val="es-419" w:eastAsia="fr-FR"/>
        </w:rPr>
        <w:t>TEMAS:</w:t>
      </w:r>
      <w:r w:rsidRPr="00BF61C3">
        <w:rPr>
          <w:rFonts w:ascii="Arial" w:hAnsi="Arial" w:cs="Arial"/>
          <w:b/>
          <w:bCs/>
          <w:iCs/>
          <w:lang w:val="es-419" w:eastAsia="fr-FR"/>
        </w:rPr>
        <w:tab/>
      </w:r>
      <w:r>
        <w:rPr>
          <w:rFonts w:ascii="Arial" w:hAnsi="Arial" w:cs="Arial"/>
          <w:b/>
          <w:bCs/>
          <w:iCs/>
          <w:lang w:val="es-419" w:eastAsia="fr-FR"/>
        </w:rPr>
        <w:t>NULIDAD PROCESAL / FALTA DE COMPETENCIA / POR FACTOR SUBJETIVO / RECURSO DE APELACIÓN / REQUISITOS DE VIABILIDAD / LEGITIMACIÓN, OPORTUNIDAD Y PROCEDENCIA / PROVIDENCIA APELABLE / NO LO ES LA QUE DECLARA LA INCOMPETENCIA / SE DECIDE COMO CONFLICTO DE COMPETENCIA, SI SE GENERA.</w:t>
      </w:r>
    </w:p>
    <w:p w14:paraId="608579F9" w14:textId="77777777" w:rsidR="00BF61C3" w:rsidRPr="00BF61C3" w:rsidRDefault="00BF61C3" w:rsidP="00BF61C3">
      <w:pPr>
        <w:jc w:val="both"/>
        <w:rPr>
          <w:rFonts w:ascii="Arial" w:hAnsi="Arial" w:cs="Arial"/>
          <w:lang w:val="es-419"/>
        </w:rPr>
      </w:pPr>
    </w:p>
    <w:p w14:paraId="7BA53BC4" w14:textId="76CC142E" w:rsidR="00BF61C3" w:rsidRPr="00BF61C3" w:rsidRDefault="00B32A08" w:rsidP="00BF61C3">
      <w:pPr>
        <w:jc w:val="both"/>
        <w:rPr>
          <w:rFonts w:ascii="Arial" w:hAnsi="Arial" w:cs="Arial"/>
          <w:lang w:val="es-419"/>
        </w:rPr>
      </w:pPr>
      <w:r w:rsidRPr="00B32A08">
        <w:rPr>
          <w:rFonts w:ascii="Arial" w:hAnsi="Arial" w:cs="Arial"/>
          <w:lang w:val="es-419"/>
        </w:rPr>
        <w:t>Según la técnica procesal, para tramitar los recursos, deben concurrir de manera inexorable los presupuestos de viabilidad</w:t>
      </w:r>
      <w:r>
        <w:rPr>
          <w:rFonts w:ascii="Arial" w:hAnsi="Arial" w:cs="Arial"/>
          <w:lang w:val="es-419"/>
        </w:rPr>
        <w:t>…</w:t>
      </w:r>
    </w:p>
    <w:p w14:paraId="0CF2C724" w14:textId="77777777" w:rsidR="00BF61C3" w:rsidRPr="00BF61C3" w:rsidRDefault="00BF61C3" w:rsidP="00BF61C3">
      <w:pPr>
        <w:jc w:val="both"/>
        <w:rPr>
          <w:rFonts w:ascii="Arial" w:hAnsi="Arial" w:cs="Arial"/>
          <w:lang w:val="es-419"/>
        </w:rPr>
      </w:pPr>
    </w:p>
    <w:p w14:paraId="58CE6A25" w14:textId="3A787AF7" w:rsidR="00BF61C3" w:rsidRPr="00BF61C3" w:rsidRDefault="00B32A08" w:rsidP="00BF61C3">
      <w:pPr>
        <w:jc w:val="both"/>
        <w:rPr>
          <w:rFonts w:ascii="Arial" w:hAnsi="Arial" w:cs="Arial"/>
          <w:lang w:val="es-419"/>
        </w:rPr>
      </w:pPr>
      <w:r w:rsidRPr="00B32A08">
        <w:rPr>
          <w:rFonts w:ascii="Arial" w:hAnsi="Arial" w:cs="Arial"/>
          <w:lang w:val="es-419"/>
        </w:rPr>
        <w:t>Se hacen consistir en: (i) legitimación, (ii) oportunidad, (iii) procedencia y (iv) cargas procesales</w:t>
      </w:r>
      <w:r>
        <w:rPr>
          <w:rFonts w:ascii="Arial" w:hAnsi="Arial" w:cs="Arial"/>
          <w:lang w:val="es-419"/>
        </w:rPr>
        <w:t>…</w:t>
      </w:r>
    </w:p>
    <w:p w14:paraId="01CB04E2" w14:textId="77777777" w:rsidR="00BF61C3" w:rsidRPr="00BF61C3" w:rsidRDefault="00BF61C3" w:rsidP="00BF61C3">
      <w:pPr>
        <w:jc w:val="both"/>
        <w:rPr>
          <w:rFonts w:ascii="Arial" w:hAnsi="Arial" w:cs="Arial"/>
          <w:lang w:val="es-419"/>
        </w:rPr>
      </w:pPr>
    </w:p>
    <w:p w14:paraId="5364BB1E" w14:textId="72543029" w:rsidR="00B32A08" w:rsidRPr="00B32A08" w:rsidRDefault="002A6E78" w:rsidP="00B32A08">
      <w:pPr>
        <w:jc w:val="both"/>
        <w:rPr>
          <w:rFonts w:ascii="Arial" w:hAnsi="Arial" w:cs="Arial"/>
          <w:lang w:val="es-419"/>
        </w:rPr>
      </w:pPr>
      <w:r>
        <w:rPr>
          <w:rFonts w:ascii="Arial" w:hAnsi="Arial" w:cs="Arial"/>
          <w:lang w:val="es-419"/>
        </w:rPr>
        <w:t xml:space="preserve">… </w:t>
      </w:r>
      <w:r w:rsidR="00B32A08" w:rsidRPr="00B32A08">
        <w:rPr>
          <w:rFonts w:ascii="Arial" w:hAnsi="Arial" w:cs="Arial"/>
          <w:lang w:val="es-419"/>
        </w:rPr>
        <w:t>para este caso concreto, se echa de menos la procedencia, entendida como la expresa autorización normativa para atacar la decisión.</w:t>
      </w:r>
    </w:p>
    <w:p w14:paraId="5A6B40C5" w14:textId="77777777" w:rsidR="00B32A08" w:rsidRPr="00B32A08" w:rsidRDefault="00B32A08" w:rsidP="00B32A08">
      <w:pPr>
        <w:jc w:val="both"/>
        <w:rPr>
          <w:rFonts w:ascii="Arial" w:hAnsi="Arial" w:cs="Arial"/>
          <w:lang w:val="es-419"/>
        </w:rPr>
      </w:pPr>
    </w:p>
    <w:p w14:paraId="6486F3BE" w14:textId="5FA0A6D2" w:rsidR="00BF61C3" w:rsidRPr="00BF61C3" w:rsidRDefault="00B32A08" w:rsidP="00B32A08">
      <w:pPr>
        <w:jc w:val="both"/>
        <w:rPr>
          <w:rFonts w:ascii="Arial" w:hAnsi="Arial" w:cs="Arial"/>
          <w:lang w:val="es-419"/>
        </w:rPr>
      </w:pPr>
      <w:r w:rsidRPr="00B32A08">
        <w:rPr>
          <w:rFonts w:ascii="Arial" w:hAnsi="Arial" w:cs="Arial"/>
          <w:lang w:val="es-419"/>
        </w:rPr>
        <w:t>La decisión cuestionada, sin dudas, es de aquellas en las que se ha declarado la incompetencia para conocer del asunto, proveído que es irrecurrible por así disponerlo el artículo 139, CGP, al señalar: “Siempre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 Estas decisiones no admiten recurso (…)”.</w:t>
      </w:r>
    </w:p>
    <w:p w14:paraId="2841AF39" w14:textId="37F03A31" w:rsidR="00BF61C3" w:rsidRDefault="00BF61C3" w:rsidP="00BF61C3">
      <w:pPr>
        <w:jc w:val="both"/>
        <w:rPr>
          <w:rFonts w:ascii="Arial" w:hAnsi="Arial" w:cs="Arial"/>
          <w:lang w:val="es-419"/>
        </w:rPr>
      </w:pPr>
    </w:p>
    <w:p w14:paraId="15F53B1A" w14:textId="7494FB2D" w:rsidR="008809B5" w:rsidRDefault="008809B5" w:rsidP="00BF61C3">
      <w:pPr>
        <w:jc w:val="both"/>
        <w:rPr>
          <w:rFonts w:ascii="Arial" w:hAnsi="Arial" w:cs="Arial"/>
          <w:lang w:val="es-419"/>
        </w:rPr>
      </w:pPr>
      <w:r w:rsidRPr="008809B5">
        <w:rPr>
          <w:rFonts w:ascii="Arial" w:hAnsi="Arial" w:cs="Arial"/>
          <w:lang w:val="es-419"/>
        </w:rPr>
        <w:t>Esa improcedencia tiene reconocimiento en la doctrina nacional, por ejemplo, el profesor López Blanco anota: “Manifestada la incompetencia por el juez, cualquiera que sea la causa, (…). Esta determinación es irrecurrible debido a que ni siquiera se previó el recurso de reposición en su contra. El Código expresamente así lo ordena para evitar dilación innecesaria de la actuación (…)”</w:t>
      </w:r>
    </w:p>
    <w:p w14:paraId="3657951B" w14:textId="77777777" w:rsidR="008809B5" w:rsidRDefault="008809B5" w:rsidP="00BF61C3">
      <w:pPr>
        <w:jc w:val="both"/>
        <w:rPr>
          <w:rFonts w:ascii="Arial" w:hAnsi="Arial" w:cs="Arial"/>
          <w:lang w:val="es-419"/>
        </w:rPr>
      </w:pPr>
    </w:p>
    <w:p w14:paraId="7FD102A8" w14:textId="56CC0533" w:rsidR="002A6E78" w:rsidRDefault="0095748C" w:rsidP="00BF61C3">
      <w:pPr>
        <w:jc w:val="both"/>
        <w:rPr>
          <w:rFonts w:ascii="Arial" w:hAnsi="Arial" w:cs="Arial"/>
          <w:lang w:val="es-419"/>
        </w:rPr>
      </w:pPr>
      <w:r w:rsidRPr="0095748C">
        <w:rPr>
          <w:rFonts w:ascii="Arial" w:hAnsi="Arial" w:cs="Arial"/>
          <w:lang w:val="es-419"/>
        </w:rPr>
        <w:t>Según explica la CSJ en sede de tutela (Criterio auxiliar), conforme dispone la aludida norma (Art. 139, inciso 4°, CGP), el conocimiento del superior jerárquico será ante un eventual rechazo del despacho que reciba el asunto, en sede de conflicto, desde luego, y no de apelación</w:t>
      </w:r>
      <w:r>
        <w:rPr>
          <w:rFonts w:ascii="Arial" w:hAnsi="Arial" w:cs="Arial"/>
          <w:lang w:val="es-419"/>
        </w:rPr>
        <w:t>.</w:t>
      </w:r>
    </w:p>
    <w:p w14:paraId="49596494" w14:textId="77777777" w:rsidR="002A6E78" w:rsidRPr="00BF61C3" w:rsidRDefault="002A6E78" w:rsidP="00BF61C3">
      <w:pPr>
        <w:jc w:val="both"/>
        <w:rPr>
          <w:rFonts w:ascii="Arial" w:hAnsi="Arial" w:cs="Arial"/>
          <w:lang w:val="es-419"/>
        </w:rPr>
      </w:pPr>
    </w:p>
    <w:p w14:paraId="7AEBD719" w14:textId="77777777" w:rsidR="00BF61C3" w:rsidRPr="00BF61C3" w:rsidRDefault="00BF61C3" w:rsidP="00BF61C3">
      <w:pPr>
        <w:jc w:val="both"/>
        <w:rPr>
          <w:rFonts w:ascii="Arial" w:hAnsi="Arial" w:cs="Arial"/>
          <w:lang w:val="es-419"/>
        </w:rPr>
      </w:pPr>
    </w:p>
    <w:p w14:paraId="44A7DF88" w14:textId="77777777" w:rsidR="00BF61C3" w:rsidRPr="00BF61C3" w:rsidRDefault="00BF61C3" w:rsidP="00BF61C3">
      <w:pPr>
        <w:jc w:val="both"/>
        <w:rPr>
          <w:rFonts w:ascii="Arial" w:hAnsi="Arial" w:cs="Arial"/>
          <w:lang w:val="es-419"/>
        </w:rPr>
      </w:pPr>
    </w:p>
    <w:p w14:paraId="77372B36" w14:textId="77777777" w:rsidR="00BF61C3" w:rsidRPr="00BF61C3" w:rsidRDefault="00BF61C3" w:rsidP="00BF61C3">
      <w:pPr>
        <w:tabs>
          <w:tab w:val="left" w:pos="3579"/>
        </w:tabs>
        <w:spacing w:line="360" w:lineRule="auto"/>
        <w:ind w:left="4248" w:hanging="4248"/>
        <w:jc w:val="center"/>
        <w:rPr>
          <w:rFonts w:ascii="Georgia" w:hAnsi="Georgia" w:cs="Arial"/>
          <w:w w:val="140"/>
          <w:sz w:val="14"/>
          <w:szCs w:val="22"/>
          <w:lang w:val="es-CO"/>
        </w:rPr>
      </w:pPr>
      <w:r w:rsidRPr="00BF61C3">
        <w:rPr>
          <w:rFonts w:ascii="Georgia" w:hAnsi="Georgia"/>
          <w:noProof/>
          <w:sz w:val="22"/>
          <w:szCs w:val="22"/>
          <w:lang w:val="es-CO" w:eastAsia="es-CO"/>
        </w:rPr>
        <w:drawing>
          <wp:anchor distT="0" distB="0" distL="114300" distR="114300" simplePos="0" relativeHeight="251660288" behindDoc="0" locked="0" layoutInCell="1" allowOverlap="1" wp14:anchorId="10B9C693" wp14:editId="4203B04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A969" w14:textId="77777777" w:rsidR="00BF61C3" w:rsidRPr="00BF61C3" w:rsidRDefault="00BF61C3" w:rsidP="00BF61C3">
      <w:pPr>
        <w:tabs>
          <w:tab w:val="left" w:pos="3579"/>
        </w:tabs>
        <w:spacing w:line="360" w:lineRule="auto"/>
        <w:ind w:left="3579" w:hanging="3579"/>
        <w:jc w:val="center"/>
        <w:rPr>
          <w:rFonts w:ascii="Georgia" w:hAnsi="Georgia" w:cs="Arial"/>
          <w:w w:val="140"/>
          <w:sz w:val="14"/>
          <w:szCs w:val="22"/>
          <w:lang w:val="es-CO"/>
        </w:rPr>
      </w:pPr>
    </w:p>
    <w:p w14:paraId="7B4CDF1B" w14:textId="77777777" w:rsidR="00BF61C3" w:rsidRPr="00BF61C3" w:rsidRDefault="00BF61C3" w:rsidP="00BF61C3">
      <w:pPr>
        <w:tabs>
          <w:tab w:val="left" w:pos="3579"/>
        </w:tabs>
        <w:spacing w:line="360" w:lineRule="auto"/>
        <w:ind w:left="3579" w:hanging="3579"/>
        <w:jc w:val="center"/>
        <w:rPr>
          <w:rFonts w:ascii="Georgia" w:hAnsi="Georgia" w:cs="Arial"/>
          <w:w w:val="140"/>
          <w:sz w:val="14"/>
          <w:szCs w:val="22"/>
          <w:lang w:val="es-CO"/>
        </w:rPr>
      </w:pPr>
    </w:p>
    <w:p w14:paraId="4F181754" w14:textId="77777777" w:rsidR="00BF61C3" w:rsidRPr="00BF61C3" w:rsidRDefault="00BF61C3" w:rsidP="00BF61C3">
      <w:pPr>
        <w:tabs>
          <w:tab w:val="left" w:pos="3579"/>
        </w:tabs>
        <w:spacing w:line="360" w:lineRule="auto"/>
        <w:ind w:left="3579" w:hanging="3579"/>
        <w:jc w:val="center"/>
        <w:rPr>
          <w:rFonts w:ascii="Georgia" w:hAnsi="Georgia" w:cs="Arial"/>
          <w:w w:val="140"/>
          <w:sz w:val="14"/>
          <w:szCs w:val="22"/>
          <w:lang w:val="es-CO"/>
        </w:rPr>
      </w:pPr>
      <w:r w:rsidRPr="00BF61C3">
        <w:rPr>
          <w:rFonts w:ascii="Georgia" w:hAnsi="Georgia" w:cs="Arial"/>
          <w:w w:val="140"/>
          <w:sz w:val="14"/>
          <w:szCs w:val="22"/>
          <w:lang w:val="es-CO"/>
        </w:rPr>
        <w:t>REPUBLICA DE COLOMBIA</w:t>
      </w:r>
    </w:p>
    <w:p w14:paraId="6A43C98E" w14:textId="77777777" w:rsidR="00BF61C3" w:rsidRPr="00BF61C3" w:rsidRDefault="00BF61C3" w:rsidP="00BF61C3">
      <w:pPr>
        <w:tabs>
          <w:tab w:val="center" w:pos="4987"/>
          <w:tab w:val="left" w:pos="8449"/>
        </w:tabs>
        <w:spacing w:line="360" w:lineRule="auto"/>
        <w:jc w:val="center"/>
        <w:rPr>
          <w:rFonts w:ascii="Georgia" w:hAnsi="Georgia" w:cs="Arial"/>
          <w:w w:val="140"/>
          <w:sz w:val="22"/>
          <w:szCs w:val="22"/>
          <w:lang w:val="es-CO"/>
        </w:rPr>
      </w:pPr>
      <w:r w:rsidRPr="00BF61C3">
        <w:rPr>
          <w:rFonts w:ascii="Georgia" w:hAnsi="Georgia" w:cs="Arial"/>
          <w:w w:val="140"/>
          <w:sz w:val="14"/>
          <w:szCs w:val="22"/>
          <w:lang w:val="es-CO"/>
        </w:rPr>
        <w:t>RAMA JUDICIAL DEL PODER PÚBLICO</w:t>
      </w:r>
    </w:p>
    <w:p w14:paraId="459836D6" w14:textId="77777777" w:rsidR="00BF61C3" w:rsidRPr="00BF61C3" w:rsidRDefault="00BF61C3" w:rsidP="00BF61C3">
      <w:pPr>
        <w:spacing w:line="360" w:lineRule="auto"/>
        <w:jc w:val="center"/>
        <w:rPr>
          <w:rFonts w:ascii="Georgia" w:hAnsi="Georgia" w:cs="Arial"/>
          <w:b/>
          <w:w w:val="140"/>
          <w:sz w:val="16"/>
          <w:szCs w:val="22"/>
          <w:lang w:val="es-CO"/>
        </w:rPr>
      </w:pPr>
      <w:r w:rsidRPr="00BF61C3">
        <w:rPr>
          <w:rFonts w:ascii="Georgia" w:hAnsi="Georgia" w:cs="Arial"/>
          <w:b/>
          <w:w w:val="140"/>
          <w:sz w:val="18"/>
          <w:szCs w:val="22"/>
          <w:lang w:val="es-CO"/>
        </w:rPr>
        <w:t>T</w:t>
      </w:r>
      <w:r w:rsidRPr="00BF61C3">
        <w:rPr>
          <w:rFonts w:ascii="Georgia" w:hAnsi="Georgia" w:cs="Arial"/>
          <w:b/>
          <w:w w:val="140"/>
          <w:sz w:val="16"/>
          <w:szCs w:val="22"/>
          <w:lang w:val="es-CO"/>
        </w:rPr>
        <w:t>RIBUNAL</w:t>
      </w:r>
      <w:r w:rsidRPr="00BF61C3">
        <w:rPr>
          <w:rFonts w:ascii="Georgia" w:hAnsi="Georgia" w:cs="Arial"/>
          <w:b/>
          <w:w w:val="140"/>
          <w:sz w:val="18"/>
          <w:szCs w:val="22"/>
          <w:lang w:val="es-CO"/>
        </w:rPr>
        <w:t xml:space="preserve"> S</w:t>
      </w:r>
      <w:r w:rsidRPr="00BF61C3">
        <w:rPr>
          <w:rFonts w:ascii="Georgia" w:hAnsi="Georgia" w:cs="Arial"/>
          <w:b/>
          <w:w w:val="140"/>
          <w:sz w:val="16"/>
          <w:szCs w:val="22"/>
          <w:lang w:val="es-CO"/>
        </w:rPr>
        <w:t xml:space="preserve">UPERIOR DEL </w:t>
      </w:r>
      <w:r w:rsidRPr="00BF61C3">
        <w:rPr>
          <w:rFonts w:ascii="Georgia" w:hAnsi="Georgia" w:cs="Arial"/>
          <w:b/>
          <w:w w:val="140"/>
          <w:sz w:val="18"/>
          <w:szCs w:val="22"/>
          <w:lang w:val="es-CO"/>
        </w:rPr>
        <w:t>D</w:t>
      </w:r>
      <w:r w:rsidRPr="00BF61C3">
        <w:rPr>
          <w:rFonts w:ascii="Georgia" w:hAnsi="Georgia" w:cs="Arial"/>
          <w:b/>
          <w:w w:val="140"/>
          <w:sz w:val="16"/>
          <w:szCs w:val="22"/>
          <w:lang w:val="es-CO"/>
        </w:rPr>
        <w:t>ISTRITO</w:t>
      </w:r>
      <w:r w:rsidRPr="00BF61C3">
        <w:rPr>
          <w:rFonts w:ascii="Georgia" w:hAnsi="Georgia" w:cs="Arial"/>
          <w:b/>
          <w:w w:val="140"/>
          <w:sz w:val="18"/>
          <w:szCs w:val="22"/>
          <w:lang w:val="es-CO"/>
        </w:rPr>
        <w:t xml:space="preserve"> J</w:t>
      </w:r>
      <w:r w:rsidRPr="00BF61C3">
        <w:rPr>
          <w:rFonts w:ascii="Georgia" w:hAnsi="Georgia" w:cs="Arial"/>
          <w:b/>
          <w:w w:val="140"/>
          <w:sz w:val="16"/>
          <w:szCs w:val="22"/>
          <w:lang w:val="es-CO"/>
        </w:rPr>
        <w:t>UDICIAL</w:t>
      </w:r>
    </w:p>
    <w:p w14:paraId="7B7C78F2" w14:textId="77777777" w:rsidR="00BF61C3" w:rsidRPr="00BF61C3" w:rsidRDefault="00BF61C3" w:rsidP="00BF61C3">
      <w:pPr>
        <w:spacing w:line="360" w:lineRule="auto"/>
        <w:jc w:val="center"/>
        <w:rPr>
          <w:rFonts w:ascii="Georgia" w:hAnsi="Georgia" w:cs="Arial"/>
          <w:w w:val="140"/>
          <w:sz w:val="16"/>
          <w:szCs w:val="18"/>
          <w:lang w:val="es-CO"/>
        </w:rPr>
      </w:pPr>
      <w:r w:rsidRPr="00BF61C3">
        <w:rPr>
          <w:rFonts w:ascii="Georgia" w:hAnsi="Georgia" w:cs="Arial"/>
          <w:w w:val="140"/>
          <w:sz w:val="18"/>
          <w:szCs w:val="16"/>
          <w:lang w:val="es-CO"/>
        </w:rPr>
        <w:t>S</w:t>
      </w:r>
      <w:r w:rsidRPr="00BF61C3">
        <w:rPr>
          <w:rFonts w:ascii="Georgia" w:hAnsi="Georgia" w:cs="Arial"/>
          <w:w w:val="140"/>
          <w:sz w:val="16"/>
          <w:szCs w:val="14"/>
          <w:lang w:val="es-CO"/>
        </w:rPr>
        <w:t xml:space="preserve">ALA </w:t>
      </w:r>
      <w:r w:rsidRPr="00BF61C3">
        <w:rPr>
          <w:rFonts w:ascii="Georgia" w:hAnsi="Georgia" w:cs="Arial"/>
          <w:w w:val="140"/>
          <w:sz w:val="18"/>
          <w:szCs w:val="18"/>
          <w:lang w:val="es-CO"/>
        </w:rPr>
        <w:t>U</w:t>
      </w:r>
      <w:r w:rsidRPr="00BF61C3">
        <w:rPr>
          <w:rFonts w:ascii="Georgia" w:hAnsi="Georgia" w:cs="Arial"/>
          <w:w w:val="140"/>
          <w:sz w:val="16"/>
          <w:szCs w:val="16"/>
          <w:lang w:val="es-CO"/>
        </w:rPr>
        <w:t>NITARIA</w:t>
      </w:r>
      <w:r w:rsidRPr="00BF61C3">
        <w:rPr>
          <w:rFonts w:ascii="Georgia" w:hAnsi="Georgia" w:cs="Arial"/>
          <w:w w:val="140"/>
          <w:sz w:val="14"/>
          <w:szCs w:val="14"/>
          <w:lang w:val="es-CO"/>
        </w:rPr>
        <w:t xml:space="preserve"> </w:t>
      </w:r>
      <w:r w:rsidRPr="00BF61C3">
        <w:rPr>
          <w:rFonts w:ascii="Georgia" w:hAnsi="Georgia" w:cs="Arial"/>
          <w:w w:val="140"/>
          <w:sz w:val="18"/>
          <w:szCs w:val="16"/>
          <w:lang w:val="es-CO"/>
        </w:rPr>
        <w:t>C</w:t>
      </w:r>
      <w:r w:rsidRPr="00BF61C3">
        <w:rPr>
          <w:rFonts w:ascii="Georgia" w:hAnsi="Georgia" w:cs="Arial"/>
          <w:w w:val="140"/>
          <w:sz w:val="16"/>
          <w:szCs w:val="16"/>
          <w:lang w:val="es-CO"/>
        </w:rPr>
        <w:t>IVIL</w:t>
      </w:r>
      <w:r w:rsidRPr="00BF61C3">
        <w:rPr>
          <w:rFonts w:ascii="Georgia" w:hAnsi="Georgia" w:cs="Arial"/>
          <w:w w:val="140"/>
          <w:sz w:val="14"/>
          <w:szCs w:val="14"/>
          <w:lang w:val="es-CO"/>
        </w:rPr>
        <w:t xml:space="preserve">– </w:t>
      </w:r>
      <w:r w:rsidRPr="00BF61C3">
        <w:rPr>
          <w:rFonts w:ascii="Georgia" w:hAnsi="Georgia" w:cs="Arial"/>
          <w:w w:val="140"/>
          <w:sz w:val="18"/>
          <w:szCs w:val="16"/>
          <w:lang w:val="es-CO"/>
        </w:rPr>
        <w:t>F</w:t>
      </w:r>
      <w:r w:rsidRPr="00BF61C3">
        <w:rPr>
          <w:rFonts w:ascii="Georgia" w:hAnsi="Georgia" w:cs="Arial"/>
          <w:w w:val="140"/>
          <w:sz w:val="16"/>
          <w:szCs w:val="16"/>
          <w:lang w:val="es-CO"/>
        </w:rPr>
        <w:t xml:space="preserve">AMILIA – </w:t>
      </w:r>
      <w:r w:rsidRPr="00BF61C3">
        <w:rPr>
          <w:rFonts w:ascii="Georgia" w:hAnsi="Georgia" w:cs="Arial"/>
          <w:w w:val="140"/>
          <w:sz w:val="18"/>
          <w:szCs w:val="16"/>
          <w:lang w:val="es-CO"/>
        </w:rPr>
        <w:t>D</w:t>
      </w:r>
      <w:r w:rsidRPr="00BF61C3">
        <w:rPr>
          <w:rFonts w:ascii="Georgia" w:hAnsi="Georgia" w:cs="Arial"/>
          <w:w w:val="140"/>
          <w:sz w:val="16"/>
          <w:szCs w:val="16"/>
          <w:lang w:val="es-CO"/>
        </w:rPr>
        <w:t xml:space="preserve">ISTRITO DE </w:t>
      </w:r>
      <w:r w:rsidRPr="00BF61C3">
        <w:rPr>
          <w:rFonts w:ascii="Georgia" w:hAnsi="Georgia" w:cs="Arial"/>
          <w:w w:val="140"/>
          <w:sz w:val="18"/>
          <w:szCs w:val="16"/>
          <w:lang w:val="es-CO"/>
        </w:rPr>
        <w:t>P</w:t>
      </w:r>
      <w:r w:rsidRPr="00BF61C3">
        <w:rPr>
          <w:rFonts w:ascii="Georgia" w:hAnsi="Georgia" w:cs="Arial"/>
          <w:w w:val="140"/>
          <w:sz w:val="16"/>
          <w:szCs w:val="16"/>
          <w:lang w:val="es-CO"/>
        </w:rPr>
        <w:t>EREIRA</w:t>
      </w:r>
    </w:p>
    <w:p w14:paraId="7138C782" w14:textId="77777777" w:rsidR="00BF61C3" w:rsidRPr="00BF61C3" w:rsidRDefault="00BF61C3" w:rsidP="00BF61C3">
      <w:pPr>
        <w:spacing w:line="360" w:lineRule="auto"/>
        <w:jc w:val="center"/>
        <w:rPr>
          <w:rFonts w:ascii="Georgia" w:hAnsi="Georgia" w:cs="Arial"/>
          <w:w w:val="140"/>
          <w:sz w:val="16"/>
          <w:szCs w:val="16"/>
          <w:lang w:val="es-CO"/>
        </w:rPr>
      </w:pPr>
      <w:r w:rsidRPr="00BF61C3">
        <w:rPr>
          <w:rFonts w:ascii="Georgia" w:hAnsi="Georgia" w:cs="Arial"/>
          <w:w w:val="140"/>
          <w:sz w:val="16"/>
          <w:szCs w:val="18"/>
          <w:lang w:val="es-CO"/>
        </w:rPr>
        <w:t xml:space="preserve">D </w:t>
      </w:r>
      <w:r w:rsidRPr="00BF61C3">
        <w:rPr>
          <w:rFonts w:ascii="Georgia" w:hAnsi="Georgia" w:cs="Arial"/>
          <w:w w:val="140"/>
          <w:sz w:val="14"/>
          <w:szCs w:val="16"/>
          <w:lang w:val="es-CO"/>
        </w:rPr>
        <w:t xml:space="preserve">E P A R T A M E N T O   D E L </w:t>
      </w:r>
      <w:r w:rsidRPr="00BF61C3">
        <w:rPr>
          <w:rFonts w:ascii="Georgia" w:hAnsi="Georgia" w:cs="Arial"/>
          <w:w w:val="140"/>
          <w:sz w:val="12"/>
          <w:szCs w:val="14"/>
          <w:lang w:val="es-CO"/>
        </w:rPr>
        <w:t xml:space="preserve">   </w:t>
      </w:r>
      <w:r w:rsidRPr="00BF61C3">
        <w:rPr>
          <w:rFonts w:ascii="Georgia" w:hAnsi="Georgia" w:cs="Arial"/>
          <w:w w:val="140"/>
          <w:sz w:val="16"/>
          <w:szCs w:val="16"/>
          <w:lang w:val="es-CO"/>
        </w:rPr>
        <w:t xml:space="preserve">R </w:t>
      </w:r>
      <w:r w:rsidRPr="00BF61C3">
        <w:rPr>
          <w:rFonts w:ascii="Georgia" w:hAnsi="Georgia" w:cs="Arial"/>
          <w:w w:val="140"/>
          <w:sz w:val="14"/>
          <w:szCs w:val="16"/>
          <w:lang w:val="es-CO"/>
        </w:rPr>
        <w:t>I S A R A L D A</w:t>
      </w:r>
    </w:p>
    <w:p w14:paraId="2A4AC023" w14:textId="77777777" w:rsidR="00BF61C3" w:rsidRPr="00BF61C3" w:rsidRDefault="00BF61C3" w:rsidP="003D0F58">
      <w:pPr>
        <w:spacing w:line="276" w:lineRule="auto"/>
        <w:jc w:val="center"/>
        <w:rPr>
          <w:rFonts w:ascii="Georgia" w:hAnsi="Georgia" w:cs="Arial"/>
          <w:b/>
          <w:bCs/>
          <w:sz w:val="24"/>
          <w:szCs w:val="24"/>
          <w:lang w:val="es-CO"/>
        </w:rPr>
      </w:pPr>
    </w:p>
    <w:p w14:paraId="0B1190A4" w14:textId="7BF9DBE8" w:rsidR="00505324" w:rsidRPr="00FF1C07" w:rsidRDefault="00505324" w:rsidP="003D0F58">
      <w:pPr>
        <w:pStyle w:val="Textoindependiente"/>
        <w:spacing w:line="276" w:lineRule="auto"/>
        <w:jc w:val="center"/>
        <w:rPr>
          <w:rFonts w:ascii="Georgia" w:hAnsi="Georgia" w:cs="Arial"/>
          <w:b/>
          <w:szCs w:val="24"/>
          <w:lang w:val="es-CO"/>
        </w:rPr>
      </w:pPr>
      <w:r w:rsidRPr="00FF1C07">
        <w:rPr>
          <w:rFonts w:ascii="Georgia" w:hAnsi="Georgia" w:cs="Arial"/>
          <w:b/>
          <w:szCs w:val="24"/>
          <w:lang w:val="es-CO"/>
        </w:rPr>
        <w:t>AC-0</w:t>
      </w:r>
      <w:r w:rsidR="001A54C0" w:rsidRPr="00FF1C07">
        <w:rPr>
          <w:rFonts w:ascii="Georgia" w:hAnsi="Georgia" w:cs="Arial"/>
          <w:b/>
          <w:szCs w:val="24"/>
          <w:lang w:val="es-CO"/>
        </w:rPr>
        <w:t>130</w:t>
      </w:r>
      <w:r w:rsidRPr="00FF1C07">
        <w:rPr>
          <w:rFonts w:ascii="Georgia" w:hAnsi="Georgia" w:cs="Arial"/>
          <w:b/>
          <w:szCs w:val="24"/>
          <w:lang w:val="es-CO"/>
        </w:rPr>
        <w:t>-2022</w:t>
      </w:r>
    </w:p>
    <w:p w14:paraId="314D5453" w14:textId="7F7F7493" w:rsidR="00AA062F" w:rsidRPr="00F84644" w:rsidRDefault="005E0330" w:rsidP="003D0F58">
      <w:pPr>
        <w:pBdr>
          <w:bottom w:val="double" w:sz="6" w:space="1" w:color="auto"/>
        </w:pBdr>
        <w:spacing w:line="276" w:lineRule="auto"/>
        <w:jc w:val="center"/>
        <w:rPr>
          <w:rFonts w:ascii="Georgia" w:hAnsi="Georgia" w:cs="Arial"/>
          <w:b/>
          <w:bCs/>
          <w:smallCaps/>
          <w:sz w:val="24"/>
          <w:szCs w:val="24"/>
        </w:rPr>
      </w:pPr>
      <w:bookmarkStart w:id="0" w:name="_GoBack"/>
      <w:bookmarkEnd w:id="0"/>
      <w:r w:rsidRPr="00F84644">
        <w:rPr>
          <w:rFonts w:ascii="Georgia" w:hAnsi="Georgia" w:cs="Arial"/>
          <w:sz w:val="24"/>
          <w:szCs w:val="24"/>
        </w:rPr>
        <w:tab/>
      </w:r>
    </w:p>
    <w:p w14:paraId="6A80C0E9" w14:textId="3DA167E3" w:rsidR="00AA062F" w:rsidRDefault="00AA062F" w:rsidP="003D0F58">
      <w:pPr>
        <w:spacing w:line="276" w:lineRule="auto"/>
        <w:jc w:val="center"/>
        <w:rPr>
          <w:rFonts w:ascii="Georgia" w:hAnsi="Georgia" w:cs="Arial"/>
          <w:b/>
          <w:bCs/>
          <w:smallCaps/>
          <w:sz w:val="24"/>
          <w:szCs w:val="24"/>
        </w:rPr>
      </w:pPr>
    </w:p>
    <w:p w14:paraId="741B579D" w14:textId="77777777" w:rsidR="00CF0C07" w:rsidRPr="00F84644" w:rsidRDefault="00CF0C07" w:rsidP="003D0F58">
      <w:pPr>
        <w:spacing w:line="276" w:lineRule="auto"/>
        <w:jc w:val="center"/>
        <w:rPr>
          <w:rFonts w:ascii="Georgia" w:hAnsi="Georgia" w:cs="Arial"/>
          <w:b/>
          <w:bCs/>
          <w:smallCaps/>
          <w:sz w:val="24"/>
          <w:szCs w:val="24"/>
        </w:rPr>
      </w:pPr>
    </w:p>
    <w:p w14:paraId="1022DF7F" w14:textId="4A0DBEEF" w:rsidR="00DB268B" w:rsidRPr="00F84644" w:rsidRDefault="00CA3AED" w:rsidP="003D0F58">
      <w:pPr>
        <w:spacing w:line="276" w:lineRule="auto"/>
        <w:jc w:val="center"/>
        <w:rPr>
          <w:rFonts w:ascii="Georgia" w:hAnsi="Georgia" w:cs="Arial"/>
          <w:bCs/>
          <w:smallCaps/>
          <w:sz w:val="24"/>
          <w:szCs w:val="24"/>
        </w:rPr>
      </w:pPr>
      <w:r w:rsidRPr="00F84644">
        <w:rPr>
          <w:rFonts w:ascii="Georgia" w:hAnsi="Georgia" w:cs="Arial"/>
          <w:bCs/>
          <w:smallCaps/>
          <w:sz w:val="24"/>
          <w:szCs w:val="24"/>
        </w:rPr>
        <w:t xml:space="preserve">Veinticuatro </w:t>
      </w:r>
      <w:r w:rsidR="00DB268B" w:rsidRPr="00F84644">
        <w:rPr>
          <w:rFonts w:ascii="Georgia" w:hAnsi="Georgia" w:cs="Arial"/>
          <w:bCs/>
          <w:smallCaps/>
          <w:sz w:val="24"/>
          <w:szCs w:val="24"/>
        </w:rPr>
        <w:t>(</w:t>
      </w:r>
      <w:r w:rsidRPr="00F84644">
        <w:rPr>
          <w:rFonts w:ascii="Georgia" w:hAnsi="Georgia" w:cs="Arial"/>
          <w:bCs/>
          <w:smallCaps/>
          <w:sz w:val="24"/>
          <w:szCs w:val="24"/>
        </w:rPr>
        <w:t>24</w:t>
      </w:r>
      <w:r w:rsidR="00DB268B" w:rsidRPr="00F84644">
        <w:rPr>
          <w:rFonts w:ascii="Georgia" w:hAnsi="Georgia" w:cs="Arial"/>
          <w:bCs/>
          <w:smallCaps/>
          <w:sz w:val="24"/>
          <w:szCs w:val="24"/>
        </w:rPr>
        <w:t xml:space="preserve">) de </w:t>
      </w:r>
      <w:r w:rsidR="00505324" w:rsidRPr="00F84644">
        <w:rPr>
          <w:rFonts w:ascii="Georgia" w:hAnsi="Georgia" w:cs="Arial"/>
          <w:bCs/>
          <w:smallCaps/>
          <w:sz w:val="24"/>
          <w:szCs w:val="24"/>
        </w:rPr>
        <w:t>octubre</w:t>
      </w:r>
      <w:r w:rsidR="00F25F74" w:rsidRPr="00F84644">
        <w:rPr>
          <w:rFonts w:ascii="Georgia" w:hAnsi="Georgia" w:cs="Arial"/>
          <w:bCs/>
          <w:smallCaps/>
          <w:sz w:val="24"/>
          <w:szCs w:val="24"/>
        </w:rPr>
        <w:t xml:space="preserve"> </w:t>
      </w:r>
      <w:r w:rsidR="00DB268B" w:rsidRPr="00F84644">
        <w:rPr>
          <w:rFonts w:ascii="Georgia" w:hAnsi="Georgia" w:cs="Arial"/>
          <w:bCs/>
          <w:smallCaps/>
          <w:sz w:val="24"/>
          <w:szCs w:val="24"/>
        </w:rPr>
        <w:t>de dos mil veinti</w:t>
      </w:r>
      <w:r w:rsidR="00BC30C4" w:rsidRPr="00F84644">
        <w:rPr>
          <w:rFonts w:ascii="Georgia" w:hAnsi="Georgia" w:cs="Arial"/>
          <w:bCs/>
          <w:smallCaps/>
          <w:sz w:val="24"/>
          <w:szCs w:val="24"/>
        </w:rPr>
        <w:t xml:space="preserve">dós </w:t>
      </w:r>
      <w:r w:rsidR="00DB268B" w:rsidRPr="00F84644">
        <w:rPr>
          <w:rFonts w:ascii="Georgia" w:hAnsi="Georgia" w:cs="Arial"/>
          <w:bCs/>
          <w:smallCaps/>
          <w:sz w:val="24"/>
          <w:szCs w:val="24"/>
        </w:rPr>
        <w:t>(202</w:t>
      </w:r>
      <w:r w:rsidR="00BC30C4" w:rsidRPr="00F84644">
        <w:rPr>
          <w:rFonts w:ascii="Georgia" w:hAnsi="Georgia" w:cs="Arial"/>
          <w:bCs/>
          <w:smallCaps/>
          <w:sz w:val="24"/>
          <w:szCs w:val="24"/>
        </w:rPr>
        <w:t>2</w:t>
      </w:r>
      <w:r w:rsidR="00DB268B" w:rsidRPr="00F84644">
        <w:rPr>
          <w:rFonts w:ascii="Georgia" w:hAnsi="Georgia" w:cs="Arial"/>
          <w:bCs/>
          <w:smallCaps/>
          <w:sz w:val="24"/>
          <w:szCs w:val="24"/>
        </w:rPr>
        <w:t>).</w:t>
      </w:r>
    </w:p>
    <w:p w14:paraId="16E8D677" w14:textId="2C32C142" w:rsidR="0073352B" w:rsidRPr="00F84644" w:rsidRDefault="0073352B" w:rsidP="003D0F58">
      <w:pPr>
        <w:spacing w:line="276" w:lineRule="auto"/>
        <w:jc w:val="both"/>
        <w:rPr>
          <w:rFonts w:ascii="Georgia" w:hAnsi="Georgia" w:cs="Arial"/>
          <w:sz w:val="24"/>
          <w:szCs w:val="24"/>
        </w:rPr>
      </w:pPr>
    </w:p>
    <w:p w14:paraId="322CD3D9" w14:textId="77777777" w:rsidR="007D2A11" w:rsidRPr="00F84644" w:rsidRDefault="007D2A11" w:rsidP="003D0F58">
      <w:pPr>
        <w:spacing w:line="276" w:lineRule="auto"/>
        <w:jc w:val="both"/>
        <w:rPr>
          <w:rFonts w:ascii="Georgia" w:hAnsi="Georgia" w:cs="Arial"/>
          <w:sz w:val="24"/>
          <w:szCs w:val="24"/>
        </w:rPr>
      </w:pPr>
    </w:p>
    <w:p w14:paraId="3DD5D5D2" w14:textId="77777777" w:rsidR="00505324" w:rsidRPr="00F84644" w:rsidRDefault="00505324" w:rsidP="003D0F58">
      <w:pPr>
        <w:pStyle w:val="Textoindependiente"/>
        <w:numPr>
          <w:ilvl w:val="0"/>
          <w:numId w:val="13"/>
        </w:numPr>
        <w:spacing w:line="276" w:lineRule="auto"/>
        <w:rPr>
          <w:rFonts w:ascii="Georgia" w:hAnsi="Georgia"/>
          <w:b/>
          <w:smallCaps/>
          <w:szCs w:val="24"/>
        </w:rPr>
      </w:pPr>
      <w:r w:rsidRPr="00F84644">
        <w:rPr>
          <w:rFonts w:ascii="Georgia" w:hAnsi="Georgia"/>
          <w:b/>
          <w:smallCaps/>
          <w:szCs w:val="24"/>
        </w:rPr>
        <w:t>EL ASUNTO POR DECIDIR</w:t>
      </w:r>
    </w:p>
    <w:p w14:paraId="3BF64B96" w14:textId="77777777" w:rsidR="00505324" w:rsidRPr="00F84644" w:rsidRDefault="00505324" w:rsidP="003D0F58">
      <w:pPr>
        <w:pStyle w:val="Sinespaciado"/>
        <w:spacing w:line="276" w:lineRule="auto"/>
        <w:jc w:val="both"/>
        <w:rPr>
          <w:rFonts w:ascii="Georgia" w:hAnsi="Georgia" w:cs="Arial"/>
        </w:rPr>
      </w:pPr>
    </w:p>
    <w:p w14:paraId="72BE93C7" w14:textId="0C62A73A" w:rsidR="00505324" w:rsidRPr="00F84644" w:rsidRDefault="00505324" w:rsidP="003D0F58">
      <w:pPr>
        <w:pStyle w:val="Sinespaciado"/>
        <w:spacing w:line="276" w:lineRule="auto"/>
        <w:jc w:val="both"/>
        <w:rPr>
          <w:rFonts w:ascii="Georgia" w:hAnsi="Georgia" w:cs="Arial"/>
        </w:rPr>
      </w:pPr>
      <w:r w:rsidRPr="00F84644">
        <w:rPr>
          <w:rFonts w:ascii="Georgia" w:hAnsi="Georgia" w:cs="Arial"/>
        </w:rPr>
        <w:t>Los recursos ordinarios</w:t>
      </w:r>
      <w:r w:rsidR="00E06F25" w:rsidRPr="00F84644">
        <w:rPr>
          <w:rFonts w:ascii="Georgia" w:hAnsi="Georgia" w:cs="Arial"/>
        </w:rPr>
        <w:t xml:space="preserve">, de reposición y en subsidio de apelación, </w:t>
      </w:r>
      <w:r w:rsidRPr="00F84644">
        <w:rPr>
          <w:rFonts w:ascii="Georgia" w:hAnsi="Georgia" w:cs="Arial"/>
        </w:rPr>
        <w:t xml:space="preserve">propuestos por los mandatarios judiciales de ambos extremos, contra </w:t>
      </w:r>
      <w:r w:rsidR="00E946E8" w:rsidRPr="00F84644">
        <w:rPr>
          <w:rFonts w:ascii="Georgia" w:hAnsi="Georgia" w:cs="Arial"/>
        </w:rPr>
        <w:t>el auto de 21-09-2022.</w:t>
      </w:r>
    </w:p>
    <w:p w14:paraId="7CBC772D" w14:textId="77777777" w:rsidR="00E946E8" w:rsidRPr="00F84644" w:rsidRDefault="00E946E8" w:rsidP="003D0F58">
      <w:pPr>
        <w:pStyle w:val="Sinespaciado"/>
        <w:spacing w:line="276" w:lineRule="auto"/>
        <w:jc w:val="both"/>
        <w:rPr>
          <w:rFonts w:ascii="Georgia" w:hAnsi="Georgia" w:cs="Arial"/>
        </w:rPr>
      </w:pPr>
    </w:p>
    <w:p w14:paraId="143834C7" w14:textId="77777777" w:rsidR="00505324" w:rsidRPr="00F84644" w:rsidRDefault="00505324" w:rsidP="003D0F58">
      <w:pPr>
        <w:pStyle w:val="Sinespaciado"/>
        <w:spacing w:line="276" w:lineRule="auto"/>
        <w:jc w:val="both"/>
        <w:rPr>
          <w:rFonts w:ascii="Georgia" w:hAnsi="Georgia" w:cs="Arial"/>
        </w:rPr>
      </w:pPr>
    </w:p>
    <w:p w14:paraId="12023561" w14:textId="77777777" w:rsidR="00E946E8" w:rsidRPr="00F84644" w:rsidRDefault="00E946E8" w:rsidP="003D0F58">
      <w:pPr>
        <w:pStyle w:val="Textoindependiente"/>
        <w:numPr>
          <w:ilvl w:val="0"/>
          <w:numId w:val="13"/>
        </w:numPr>
        <w:spacing w:line="276" w:lineRule="auto"/>
        <w:rPr>
          <w:rFonts w:ascii="Georgia" w:hAnsi="Georgia"/>
          <w:b/>
          <w:smallCaps/>
          <w:szCs w:val="24"/>
        </w:rPr>
      </w:pPr>
      <w:r w:rsidRPr="00F84644">
        <w:rPr>
          <w:rFonts w:ascii="Georgia" w:hAnsi="Georgia"/>
          <w:b/>
          <w:smallCaps/>
          <w:szCs w:val="24"/>
        </w:rPr>
        <w:t>La providencia recurrida</w:t>
      </w:r>
    </w:p>
    <w:p w14:paraId="75D96579" w14:textId="77777777" w:rsidR="00505324" w:rsidRPr="00F84644" w:rsidRDefault="00505324" w:rsidP="003D0F58">
      <w:pPr>
        <w:pStyle w:val="Sinespaciado"/>
        <w:spacing w:line="276" w:lineRule="auto"/>
        <w:jc w:val="both"/>
        <w:rPr>
          <w:rFonts w:ascii="Georgia" w:hAnsi="Georgia" w:cs="Arial"/>
        </w:rPr>
      </w:pPr>
    </w:p>
    <w:p w14:paraId="54822838" w14:textId="0E6B2113" w:rsidR="00E946E8" w:rsidRPr="00F84644" w:rsidRDefault="00E946E8" w:rsidP="003D0F58">
      <w:pPr>
        <w:spacing w:line="276" w:lineRule="auto"/>
        <w:jc w:val="both"/>
        <w:rPr>
          <w:rFonts w:ascii="Georgia" w:hAnsi="Georgia" w:cs="Arial"/>
          <w:sz w:val="24"/>
          <w:szCs w:val="24"/>
        </w:rPr>
      </w:pPr>
      <w:r w:rsidRPr="00F84644">
        <w:rPr>
          <w:rFonts w:ascii="Georgia" w:hAnsi="Georgia" w:cs="Arial"/>
          <w:sz w:val="24"/>
          <w:szCs w:val="24"/>
        </w:rPr>
        <w:t xml:space="preserve">Anuló lo actuado desde la sentencia de primer grado, porque conforme </w:t>
      </w:r>
      <w:r w:rsidR="00E06F25" w:rsidRPr="00F84644">
        <w:rPr>
          <w:rFonts w:ascii="Georgia" w:hAnsi="Georgia" w:cs="Arial"/>
          <w:sz w:val="24"/>
          <w:szCs w:val="24"/>
        </w:rPr>
        <w:t xml:space="preserve">el criterio </w:t>
      </w:r>
      <w:r w:rsidR="008B0869" w:rsidRPr="00F84644">
        <w:rPr>
          <w:rFonts w:ascii="Georgia" w:hAnsi="Georgia" w:cs="Arial"/>
          <w:sz w:val="24"/>
          <w:szCs w:val="24"/>
        </w:rPr>
        <w:t xml:space="preserve">vigente y </w:t>
      </w:r>
      <w:r w:rsidR="00E06F25" w:rsidRPr="00F84644">
        <w:rPr>
          <w:rFonts w:ascii="Georgia" w:hAnsi="Georgia" w:cs="Arial"/>
          <w:sz w:val="24"/>
          <w:szCs w:val="24"/>
        </w:rPr>
        <w:t>unificador de la especialidad civil, el juzgado de primer grado carecía de competencia por factor subjetivo</w:t>
      </w:r>
      <w:r w:rsidR="008B0869" w:rsidRPr="00F84644">
        <w:rPr>
          <w:rFonts w:ascii="Georgia" w:hAnsi="Georgia" w:cs="Arial"/>
          <w:sz w:val="24"/>
          <w:szCs w:val="24"/>
        </w:rPr>
        <w:t xml:space="preserve"> (Parte actora),</w:t>
      </w:r>
      <w:r w:rsidR="00E06F25" w:rsidRPr="00F84644">
        <w:rPr>
          <w:rFonts w:ascii="Georgia" w:hAnsi="Georgia" w:cs="Arial"/>
          <w:sz w:val="24"/>
          <w:szCs w:val="24"/>
        </w:rPr>
        <w:t xml:space="preserve"> para conocer el proceso y ello, también, hacía irregular </w:t>
      </w:r>
      <w:r w:rsidR="008B0869" w:rsidRPr="00F84644">
        <w:rPr>
          <w:rFonts w:ascii="Georgia" w:hAnsi="Georgia" w:cs="Arial"/>
          <w:sz w:val="24"/>
          <w:szCs w:val="24"/>
        </w:rPr>
        <w:t xml:space="preserve">el trámite </w:t>
      </w:r>
      <w:r w:rsidR="00E06F25" w:rsidRPr="00F84644">
        <w:rPr>
          <w:rFonts w:ascii="Georgia" w:hAnsi="Georgia" w:cs="Arial"/>
          <w:sz w:val="24"/>
          <w:szCs w:val="24"/>
        </w:rPr>
        <w:t xml:space="preserve">surtido en esta sede </w:t>
      </w:r>
      <w:r w:rsidR="00E06F25" w:rsidRPr="00F84644">
        <w:rPr>
          <w:rFonts w:ascii="Georgia" w:hAnsi="Georgia" w:cs="Arial"/>
          <w:sz w:val="24"/>
          <w:szCs w:val="24"/>
          <w:lang w:val="es-CO"/>
        </w:rPr>
        <w:t>(Carpeta 02SegundaInstancia, pdf No.25).</w:t>
      </w:r>
      <w:r w:rsidR="00E06F25" w:rsidRPr="00F84644">
        <w:rPr>
          <w:rFonts w:ascii="Georgia" w:hAnsi="Georgia" w:cs="Arial"/>
          <w:sz w:val="24"/>
          <w:szCs w:val="24"/>
        </w:rPr>
        <w:t xml:space="preserve"> </w:t>
      </w:r>
    </w:p>
    <w:p w14:paraId="77285835" w14:textId="799E0483" w:rsidR="00505324" w:rsidRPr="00F84644" w:rsidRDefault="00505324" w:rsidP="003D0F58">
      <w:pPr>
        <w:spacing w:line="276" w:lineRule="auto"/>
        <w:jc w:val="both"/>
        <w:rPr>
          <w:rFonts w:ascii="Georgia" w:hAnsi="Georgia" w:cs="Arial"/>
          <w:sz w:val="24"/>
          <w:szCs w:val="24"/>
        </w:rPr>
      </w:pPr>
    </w:p>
    <w:p w14:paraId="3E201B6A" w14:textId="77777777" w:rsidR="00E06F25" w:rsidRPr="00F84644" w:rsidRDefault="00E06F25" w:rsidP="003D0F58">
      <w:pPr>
        <w:spacing w:line="276" w:lineRule="auto"/>
        <w:jc w:val="both"/>
        <w:rPr>
          <w:rFonts w:ascii="Georgia" w:hAnsi="Georgia" w:cs="Arial"/>
          <w:sz w:val="24"/>
          <w:szCs w:val="24"/>
        </w:rPr>
      </w:pPr>
    </w:p>
    <w:p w14:paraId="5DAF02A5" w14:textId="1A73BC0E" w:rsidR="00E06F25" w:rsidRPr="00F84644" w:rsidRDefault="00E06F25" w:rsidP="003D0F58">
      <w:pPr>
        <w:pStyle w:val="Textoindependiente"/>
        <w:numPr>
          <w:ilvl w:val="0"/>
          <w:numId w:val="13"/>
        </w:numPr>
        <w:spacing w:line="276" w:lineRule="auto"/>
        <w:rPr>
          <w:rFonts w:ascii="Georgia" w:hAnsi="Georgia"/>
          <w:b/>
          <w:smallCaps/>
          <w:szCs w:val="24"/>
        </w:rPr>
      </w:pPr>
      <w:r w:rsidRPr="00F84644">
        <w:rPr>
          <w:rFonts w:ascii="Georgia" w:hAnsi="Georgia"/>
          <w:b/>
          <w:smallCaps/>
          <w:szCs w:val="24"/>
        </w:rPr>
        <w:t>La síntesis de los recursos</w:t>
      </w:r>
    </w:p>
    <w:p w14:paraId="0B2DF5D0" w14:textId="77777777" w:rsidR="00505324" w:rsidRPr="00F84644" w:rsidRDefault="00505324" w:rsidP="003D0F58">
      <w:pPr>
        <w:pStyle w:val="Sinespaciado"/>
        <w:spacing w:line="276" w:lineRule="auto"/>
        <w:ind w:left="720"/>
        <w:jc w:val="both"/>
        <w:rPr>
          <w:rFonts w:ascii="Georgia" w:hAnsi="Georgia" w:cs="Arial"/>
        </w:rPr>
      </w:pPr>
    </w:p>
    <w:p w14:paraId="7D3BD7DE" w14:textId="1C01BFF0" w:rsidR="00505324" w:rsidRPr="00F84644" w:rsidRDefault="00E06F25" w:rsidP="003D0F58">
      <w:pPr>
        <w:pStyle w:val="Sinespaciado"/>
        <w:spacing w:line="276" w:lineRule="auto"/>
        <w:jc w:val="both"/>
        <w:rPr>
          <w:rFonts w:ascii="Georgia" w:hAnsi="Georgia" w:cs="Arial"/>
        </w:rPr>
      </w:pPr>
      <w:r w:rsidRPr="00F84644">
        <w:rPr>
          <w:rFonts w:ascii="Georgia" w:hAnsi="Georgia" w:cs="Arial"/>
        </w:rPr>
        <w:t xml:space="preserve">3.1. </w:t>
      </w:r>
      <w:r w:rsidRPr="00F84644">
        <w:rPr>
          <w:rFonts w:ascii="Georgia" w:hAnsi="Georgia" w:cs="Arial"/>
          <w:smallCaps/>
        </w:rPr>
        <w:t>La Agencia Nacional de Infraestructura – Ani</w:t>
      </w:r>
      <w:r w:rsidR="00280851" w:rsidRPr="00F84644">
        <w:rPr>
          <w:rFonts w:ascii="Georgia" w:hAnsi="Georgia" w:cs="Arial"/>
          <w:smallCaps/>
        </w:rPr>
        <w:t xml:space="preserve"> (Demandante)</w:t>
      </w:r>
      <w:r w:rsidRPr="00F84644">
        <w:rPr>
          <w:rFonts w:ascii="Georgia" w:hAnsi="Georgia" w:cs="Arial"/>
        </w:rPr>
        <w:t xml:space="preserve">. </w:t>
      </w:r>
      <w:r w:rsidR="00280851" w:rsidRPr="00F84644">
        <w:rPr>
          <w:rFonts w:ascii="Georgia" w:hAnsi="Georgia" w:cs="Arial"/>
        </w:rPr>
        <w:t>Considera que debe aplicarse lo dicho por la CSJ en el proveído AC-1723-2020 (Reiterada en AC-813-2020), es decir, que la competencia está dada por la ubicación del inmueble afectado por la expropiación, conforme los artículos 20 y 28, CGP. Aduce que esa entidad renunció al fuero subjetivo</w:t>
      </w:r>
      <w:r w:rsidR="001F4CCD" w:rsidRPr="00F84644">
        <w:rPr>
          <w:rFonts w:ascii="Georgia" w:hAnsi="Georgia" w:cs="Arial"/>
        </w:rPr>
        <w:t>,</w:t>
      </w:r>
      <w:r w:rsidR="00280851" w:rsidRPr="00F84644">
        <w:rPr>
          <w:rFonts w:ascii="Georgia" w:hAnsi="Georgia" w:cs="Arial"/>
        </w:rPr>
        <w:t xml:space="preserve"> en aras de garantizar los derechos de administración de justicia y debido proceso de ambos extremos </w:t>
      </w:r>
      <w:r w:rsidR="00280851" w:rsidRPr="00F84644">
        <w:rPr>
          <w:rFonts w:ascii="Georgia" w:hAnsi="Georgia" w:cs="Arial"/>
          <w:lang w:val="es-CO"/>
        </w:rPr>
        <w:t>(Carpeta 02SegundaInstancia, pdf No.27).</w:t>
      </w:r>
    </w:p>
    <w:p w14:paraId="7BD55F66" w14:textId="3DC5BB0F" w:rsidR="00505324" w:rsidRPr="00F84644" w:rsidRDefault="00505324" w:rsidP="003D0F58">
      <w:pPr>
        <w:pStyle w:val="Sinespaciado"/>
        <w:spacing w:line="276" w:lineRule="auto"/>
        <w:jc w:val="both"/>
        <w:rPr>
          <w:rFonts w:ascii="Georgia" w:hAnsi="Georgia" w:cs="Arial"/>
        </w:rPr>
      </w:pPr>
    </w:p>
    <w:p w14:paraId="2B48AB33" w14:textId="5A06C8EF" w:rsidR="00280851" w:rsidRPr="00F84644" w:rsidRDefault="00280851" w:rsidP="003D0F58">
      <w:pPr>
        <w:pStyle w:val="Sinespaciado"/>
        <w:spacing w:line="276" w:lineRule="auto"/>
        <w:jc w:val="both"/>
        <w:rPr>
          <w:rFonts w:ascii="Georgia" w:hAnsi="Georgia" w:cs="Arial"/>
        </w:rPr>
      </w:pPr>
      <w:r w:rsidRPr="00F84644">
        <w:rPr>
          <w:rFonts w:ascii="Georgia" w:hAnsi="Georgia" w:cs="Arial"/>
        </w:rPr>
        <w:t xml:space="preserve">3.2. </w:t>
      </w:r>
      <w:r w:rsidRPr="00F84644">
        <w:rPr>
          <w:rFonts w:ascii="Georgia" w:hAnsi="Georgia" w:cs="Arial"/>
          <w:smallCaps/>
        </w:rPr>
        <w:t>Sociedad La</w:t>
      </w:r>
      <w:r w:rsidR="00DB2805" w:rsidRPr="00F84644">
        <w:rPr>
          <w:rFonts w:ascii="Georgia" w:hAnsi="Georgia" w:cs="Arial"/>
          <w:smallCaps/>
        </w:rPr>
        <w:t>z</w:t>
      </w:r>
      <w:r w:rsidRPr="00F84644">
        <w:rPr>
          <w:rFonts w:ascii="Georgia" w:hAnsi="Georgia" w:cs="Arial"/>
          <w:smallCaps/>
        </w:rPr>
        <w:t>os SA (Codemandada)</w:t>
      </w:r>
      <w:r w:rsidRPr="00F84644">
        <w:rPr>
          <w:rFonts w:ascii="Georgia" w:hAnsi="Georgia" w:cs="Arial"/>
        </w:rPr>
        <w:t xml:space="preserve">. </w:t>
      </w:r>
      <w:r w:rsidR="00606F9C" w:rsidRPr="00F84644">
        <w:rPr>
          <w:rFonts w:ascii="Georgia" w:hAnsi="Georgia" w:cs="Arial"/>
        </w:rPr>
        <w:t xml:space="preserve">Estima que el criterio </w:t>
      </w:r>
      <w:r w:rsidR="008B4C32" w:rsidRPr="00F84644">
        <w:rPr>
          <w:rFonts w:ascii="Georgia" w:hAnsi="Georgia" w:cs="Arial"/>
        </w:rPr>
        <w:t xml:space="preserve">fundante de la anulación es contrario a la postura de </w:t>
      </w:r>
      <w:r w:rsidRPr="00F84644">
        <w:rPr>
          <w:rFonts w:ascii="Georgia" w:hAnsi="Georgia" w:cs="Arial"/>
        </w:rPr>
        <w:t>la CSJ</w:t>
      </w:r>
      <w:r w:rsidR="008B4C32" w:rsidRPr="00F84644">
        <w:rPr>
          <w:rFonts w:ascii="Georgia" w:hAnsi="Georgia" w:cs="Arial"/>
        </w:rPr>
        <w:t xml:space="preserve">, en casos similares donde </w:t>
      </w:r>
      <w:r w:rsidR="001F4CCD" w:rsidRPr="00F84644">
        <w:rPr>
          <w:rFonts w:ascii="Georgia" w:hAnsi="Georgia" w:cs="Arial"/>
        </w:rPr>
        <w:t>la</w:t>
      </w:r>
      <w:r w:rsidR="008B4C32" w:rsidRPr="00F84644">
        <w:rPr>
          <w:rFonts w:ascii="Georgia" w:hAnsi="Georgia" w:cs="Arial"/>
        </w:rPr>
        <w:t xml:space="preserve"> demandante </w:t>
      </w:r>
      <w:r w:rsidR="001F4CCD" w:rsidRPr="00F84644">
        <w:rPr>
          <w:rFonts w:ascii="Georgia" w:hAnsi="Georgia" w:cs="Arial"/>
        </w:rPr>
        <w:t>coincide con la d</w:t>
      </w:r>
      <w:r w:rsidR="008B4C32" w:rsidRPr="00F84644">
        <w:rPr>
          <w:rFonts w:ascii="Georgia" w:hAnsi="Georgia" w:cs="Arial"/>
        </w:rPr>
        <w:t>e este caso, en las</w:t>
      </w:r>
      <w:r w:rsidRPr="00F84644">
        <w:rPr>
          <w:rFonts w:ascii="Georgia" w:hAnsi="Georgia" w:cs="Arial"/>
        </w:rPr>
        <w:t xml:space="preserve"> </w:t>
      </w:r>
      <w:r w:rsidR="008B4C32" w:rsidRPr="00F84644">
        <w:rPr>
          <w:rFonts w:ascii="Georgia" w:hAnsi="Georgia" w:cs="Arial"/>
        </w:rPr>
        <w:t xml:space="preserve">que el fuero aplicado es el territorial privativo. Cita </w:t>
      </w:r>
      <w:r w:rsidRPr="00F84644">
        <w:rPr>
          <w:rFonts w:ascii="Georgia" w:hAnsi="Georgia" w:cs="Arial"/>
        </w:rPr>
        <w:t>l</w:t>
      </w:r>
      <w:r w:rsidR="008B4C32" w:rsidRPr="00F84644">
        <w:rPr>
          <w:rFonts w:ascii="Georgia" w:hAnsi="Georgia" w:cs="Arial"/>
        </w:rPr>
        <w:t>os</w:t>
      </w:r>
      <w:r w:rsidRPr="00F84644">
        <w:rPr>
          <w:rFonts w:ascii="Georgia" w:hAnsi="Georgia" w:cs="Arial"/>
        </w:rPr>
        <w:t xml:space="preserve"> proveído</w:t>
      </w:r>
      <w:r w:rsidR="008B4C32" w:rsidRPr="00F84644">
        <w:rPr>
          <w:rFonts w:ascii="Georgia" w:hAnsi="Georgia" w:cs="Arial"/>
        </w:rPr>
        <w:t>s</w:t>
      </w:r>
      <w:r w:rsidRPr="00F84644">
        <w:rPr>
          <w:rFonts w:ascii="Georgia" w:hAnsi="Georgia" w:cs="Arial"/>
        </w:rPr>
        <w:t xml:space="preserve"> AC-</w:t>
      </w:r>
      <w:r w:rsidR="008B4C32" w:rsidRPr="00F84644">
        <w:rPr>
          <w:rFonts w:ascii="Georgia" w:hAnsi="Georgia" w:cs="Arial"/>
        </w:rPr>
        <w:t>177</w:t>
      </w:r>
      <w:r w:rsidRPr="00F84644">
        <w:rPr>
          <w:rFonts w:ascii="Georgia" w:hAnsi="Georgia" w:cs="Arial"/>
        </w:rPr>
        <w:t>-202</w:t>
      </w:r>
      <w:r w:rsidR="008B4C32" w:rsidRPr="00F84644">
        <w:rPr>
          <w:rFonts w:ascii="Georgia" w:hAnsi="Georgia" w:cs="Arial"/>
        </w:rPr>
        <w:t xml:space="preserve">1, AC-4043-2018 </w:t>
      </w:r>
      <w:r w:rsidR="001F4CCD" w:rsidRPr="00F84644">
        <w:rPr>
          <w:rFonts w:ascii="Georgia" w:hAnsi="Georgia" w:cs="Arial"/>
        </w:rPr>
        <w:t>y</w:t>
      </w:r>
      <w:r w:rsidR="008B4C32" w:rsidRPr="00F84644">
        <w:rPr>
          <w:rFonts w:ascii="Georgia" w:hAnsi="Georgia" w:cs="Arial"/>
        </w:rPr>
        <w:t xml:space="preserve"> AC-2649-2020. Expone que fue decisión de la actora radicar la demanda en La Virginia, por ende, renunció a la </w:t>
      </w:r>
      <w:r w:rsidR="001F4CCD" w:rsidRPr="00F84644">
        <w:rPr>
          <w:rFonts w:ascii="Georgia" w:hAnsi="Georgia" w:cs="Arial"/>
        </w:rPr>
        <w:t xml:space="preserve">dispuesto en </w:t>
      </w:r>
      <w:r w:rsidR="008B4C32" w:rsidRPr="00F84644">
        <w:rPr>
          <w:rFonts w:ascii="Georgia" w:hAnsi="Georgia" w:cs="Arial"/>
        </w:rPr>
        <w:t>el artículo 28-10°, CGP. Finalmente, en extenso, se refiere al debido proceso conforme normas del derecho internacional</w:t>
      </w:r>
      <w:r w:rsidRPr="00F84644">
        <w:rPr>
          <w:rFonts w:ascii="Georgia" w:hAnsi="Georgia" w:cs="Arial"/>
        </w:rPr>
        <w:t xml:space="preserve"> </w:t>
      </w:r>
      <w:r w:rsidRPr="00F84644">
        <w:rPr>
          <w:rFonts w:ascii="Georgia" w:hAnsi="Georgia" w:cs="Arial"/>
          <w:lang w:val="es-CO"/>
        </w:rPr>
        <w:t>(Carpeta 02SegundaInstancia, pdf No.2</w:t>
      </w:r>
      <w:r w:rsidR="008B4C32" w:rsidRPr="00F84644">
        <w:rPr>
          <w:rFonts w:ascii="Georgia" w:hAnsi="Georgia" w:cs="Arial"/>
          <w:lang w:val="es-CO"/>
        </w:rPr>
        <w:t>9</w:t>
      </w:r>
      <w:r w:rsidRPr="00F84644">
        <w:rPr>
          <w:rFonts w:ascii="Georgia" w:hAnsi="Georgia" w:cs="Arial"/>
          <w:lang w:val="es-CO"/>
        </w:rPr>
        <w:t>).</w:t>
      </w:r>
    </w:p>
    <w:p w14:paraId="65A5F8DA" w14:textId="5FF1870E" w:rsidR="00280851" w:rsidRPr="00F84644" w:rsidRDefault="00280851" w:rsidP="003D0F58">
      <w:pPr>
        <w:pStyle w:val="Sinespaciado"/>
        <w:spacing w:line="276" w:lineRule="auto"/>
        <w:jc w:val="both"/>
        <w:rPr>
          <w:rFonts w:ascii="Georgia" w:hAnsi="Georgia" w:cs="Arial"/>
        </w:rPr>
      </w:pPr>
    </w:p>
    <w:p w14:paraId="4FD70ABD" w14:textId="77777777" w:rsidR="008B4C32" w:rsidRPr="00F84644" w:rsidRDefault="008B4C32" w:rsidP="003D0F58">
      <w:pPr>
        <w:pStyle w:val="Sinespaciado"/>
        <w:spacing w:line="276" w:lineRule="auto"/>
        <w:jc w:val="both"/>
        <w:rPr>
          <w:rFonts w:ascii="Georgia" w:hAnsi="Georgia" w:cs="Arial"/>
        </w:rPr>
      </w:pPr>
    </w:p>
    <w:p w14:paraId="1C643739" w14:textId="77777777" w:rsidR="008B4C32" w:rsidRPr="00F84644" w:rsidRDefault="008B4C32" w:rsidP="003D0F58">
      <w:pPr>
        <w:pStyle w:val="Textoindependiente"/>
        <w:numPr>
          <w:ilvl w:val="0"/>
          <w:numId w:val="13"/>
        </w:numPr>
        <w:spacing w:line="276" w:lineRule="auto"/>
        <w:rPr>
          <w:rFonts w:ascii="Georgia" w:hAnsi="Georgia"/>
          <w:b/>
          <w:smallCaps/>
          <w:szCs w:val="24"/>
        </w:rPr>
      </w:pPr>
      <w:r w:rsidRPr="00F84644">
        <w:rPr>
          <w:rFonts w:ascii="Georgia" w:hAnsi="Georgia"/>
          <w:b/>
          <w:smallCaps/>
          <w:szCs w:val="24"/>
        </w:rPr>
        <w:t>Las estimaciones jurídicas para decidir</w:t>
      </w:r>
    </w:p>
    <w:p w14:paraId="482325A4" w14:textId="77777777" w:rsidR="00505324" w:rsidRPr="00F84644" w:rsidRDefault="00505324" w:rsidP="003D0F58">
      <w:pPr>
        <w:pStyle w:val="Textopredeterminado"/>
        <w:spacing w:line="276" w:lineRule="auto"/>
        <w:ind w:left="720"/>
        <w:jc w:val="both"/>
        <w:textAlignment w:val="baseline"/>
        <w:rPr>
          <w:rFonts w:ascii="Georgia" w:hAnsi="Georgia" w:cs="Arial"/>
          <w:smallCaps/>
          <w:color w:val="auto"/>
          <w:szCs w:val="24"/>
        </w:rPr>
      </w:pPr>
    </w:p>
    <w:p w14:paraId="1E56B5E2" w14:textId="6098C605" w:rsidR="008B4C32" w:rsidRPr="00F84644" w:rsidRDefault="008B4C32" w:rsidP="003D0F58">
      <w:pPr>
        <w:pStyle w:val="Textopredeterminado"/>
        <w:spacing w:line="276" w:lineRule="auto"/>
        <w:jc w:val="both"/>
        <w:textAlignment w:val="baseline"/>
        <w:rPr>
          <w:rFonts w:ascii="Georgia" w:hAnsi="Georgia" w:cs="Arial"/>
          <w:color w:val="auto"/>
          <w:szCs w:val="24"/>
        </w:rPr>
      </w:pPr>
      <w:r w:rsidRPr="00F84644">
        <w:rPr>
          <w:rFonts w:ascii="Georgia" w:hAnsi="Georgia" w:cs="Arial"/>
          <w:smallCaps/>
          <w:color w:val="auto"/>
          <w:szCs w:val="24"/>
        </w:rPr>
        <w:t xml:space="preserve">4.1. El trámite del recurso. </w:t>
      </w:r>
      <w:r w:rsidRPr="00F84644">
        <w:rPr>
          <w:rFonts w:ascii="Georgia" w:hAnsi="Georgia" w:cs="Arial"/>
          <w:color w:val="auto"/>
          <w:szCs w:val="24"/>
        </w:rPr>
        <w:t xml:space="preserve">Conforme a los artículos 110 y 318, CGP, se surtió el traslado secretarial, sin pronunciamiento reciproco </w:t>
      </w:r>
      <w:r w:rsidRPr="00F84644">
        <w:rPr>
          <w:rFonts w:ascii="Georgia" w:hAnsi="Georgia" w:cs="Arial"/>
          <w:color w:val="auto"/>
          <w:szCs w:val="24"/>
          <w:lang w:val="es-CO"/>
        </w:rPr>
        <w:t>(Carpeta 02SegundaInstancia, pdf Nos.30 y 31)</w:t>
      </w:r>
      <w:r w:rsidRPr="00F84644">
        <w:rPr>
          <w:rFonts w:ascii="Georgia" w:hAnsi="Georgia" w:cs="Arial"/>
          <w:color w:val="auto"/>
          <w:szCs w:val="24"/>
        </w:rPr>
        <w:t>.</w:t>
      </w:r>
    </w:p>
    <w:p w14:paraId="12571DE3" w14:textId="77777777" w:rsidR="00505324" w:rsidRPr="00F84644" w:rsidRDefault="00505324" w:rsidP="003D0F58">
      <w:pPr>
        <w:pStyle w:val="Textoindependiente"/>
        <w:spacing w:line="276" w:lineRule="auto"/>
        <w:rPr>
          <w:rFonts w:ascii="Georgia" w:hAnsi="Georgia" w:cs="Arial"/>
          <w:szCs w:val="24"/>
        </w:rPr>
      </w:pPr>
    </w:p>
    <w:p w14:paraId="294C9FE5" w14:textId="1E1A8630" w:rsidR="008B4C32" w:rsidRDefault="008B4C32" w:rsidP="003D0F58">
      <w:pPr>
        <w:pStyle w:val="Textopredeterminado"/>
        <w:spacing w:line="276" w:lineRule="auto"/>
        <w:jc w:val="both"/>
        <w:textAlignment w:val="baseline"/>
        <w:rPr>
          <w:rFonts w:ascii="Georgia" w:hAnsi="Georgia" w:cs="Arial"/>
          <w:color w:val="auto"/>
          <w:szCs w:val="24"/>
        </w:rPr>
      </w:pPr>
      <w:r w:rsidRPr="00F84644">
        <w:rPr>
          <w:rFonts w:ascii="Georgia" w:hAnsi="Georgia" w:cs="Arial"/>
          <w:smallCaps/>
          <w:color w:val="auto"/>
          <w:szCs w:val="24"/>
        </w:rPr>
        <w:t xml:space="preserve">4.2. Los requisitos de viabilidad de un recurso. </w:t>
      </w:r>
      <w:bookmarkStart w:id="1" w:name="_Hlk119055193"/>
      <w:r w:rsidRPr="00F84644">
        <w:rPr>
          <w:rFonts w:ascii="Georgia" w:hAnsi="Georgia" w:cs="Arial"/>
          <w:color w:val="auto"/>
          <w:szCs w:val="24"/>
        </w:rPr>
        <w:t xml:space="preserve">Según </w:t>
      </w:r>
      <w:r w:rsidRPr="00F84644">
        <w:rPr>
          <w:rFonts w:ascii="Georgia" w:hAnsi="Georgia" w:cs="Arial"/>
          <w:color w:val="auto"/>
          <w:spacing w:val="-3"/>
          <w:szCs w:val="24"/>
        </w:rPr>
        <w:t xml:space="preserve">la técnica procesal, para tramitar </w:t>
      </w:r>
      <w:r w:rsidRPr="00F84644">
        <w:rPr>
          <w:rFonts w:ascii="Georgia" w:hAnsi="Georgia" w:cs="Arial"/>
          <w:color w:val="auto"/>
          <w:szCs w:val="24"/>
        </w:rPr>
        <w:t>los recursos, deben concurrir de manera inexorable los presupuestos de viabilidad</w:t>
      </w:r>
      <w:bookmarkEnd w:id="1"/>
      <w:r w:rsidRPr="00F84644">
        <w:rPr>
          <w:rFonts w:ascii="Georgia" w:hAnsi="Georgia" w:cs="Arial"/>
          <w:color w:val="auto"/>
          <w:szCs w:val="24"/>
        </w:rPr>
        <w:t>, trámite</w:t>
      </w:r>
      <w:r w:rsidRPr="00F84644">
        <w:rPr>
          <w:rStyle w:val="Refdenotaalpie"/>
          <w:rFonts w:ascii="Georgia" w:hAnsi="Georgia"/>
          <w:color w:val="auto"/>
          <w:szCs w:val="24"/>
        </w:rPr>
        <w:footnoteReference w:id="2"/>
      </w:r>
      <w:r w:rsidRPr="00F84644">
        <w:rPr>
          <w:rFonts w:ascii="Georgia" w:hAnsi="Georgia" w:cs="Arial"/>
          <w:color w:val="auto"/>
          <w:szCs w:val="24"/>
        </w:rPr>
        <w:t>, o condiciones para tener la posibilidad de recurrir</w:t>
      </w:r>
      <w:r w:rsidRPr="00F84644">
        <w:rPr>
          <w:rStyle w:val="Refdenotaalpie"/>
          <w:rFonts w:ascii="Georgia" w:hAnsi="Georgia"/>
          <w:i/>
          <w:iCs/>
          <w:color w:val="auto"/>
          <w:szCs w:val="24"/>
        </w:rPr>
        <w:footnoteReference w:id="3"/>
      </w:r>
      <w:r w:rsidRPr="00F84644">
        <w:rPr>
          <w:rFonts w:ascii="Georgia" w:hAnsi="Georgia" w:cs="Arial"/>
          <w:color w:val="auto"/>
          <w:szCs w:val="24"/>
        </w:rPr>
        <w:t>, según la doctrina nacional</w:t>
      </w:r>
      <w:r w:rsidRPr="00F84644">
        <w:rPr>
          <w:rFonts w:ascii="Georgia" w:hAnsi="Georgia" w:cs="Arial"/>
          <w:color w:val="auto"/>
          <w:szCs w:val="24"/>
          <w:vertAlign w:val="superscript"/>
        </w:rPr>
        <w:footnoteReference w:id="4"/>
      </w:r>
      <w:r w:rsidRPr="00F84644">
        <w:rPr>
          <w:rFonts w:ascii="Georgia" w:hAnsi="Georgia" w:cs="Arial"/>
          <w:color w:val="auto"/>
          <w:szCs w:val="24"/>
          <w:vertAlign w:val="superscript"/>
        </w:rPr>
        <w:t>-</w:t>
      </w:r>
      <w:r w:rsidRPr="00F84644">
        <w:rPr>
          <w:rFonts w:ascii="Georgia" w:hAnsi="Georgia" w:cs="Arial"/>
          <w:color w:val="auto"/>
          <w:szCs w:val="24"/>
          <w:vertAlign w:val="superscript"/>
        </w:rPr>
        <w:footnoteReference w:id="5"/>
      </w:r>
      <w:r w:rsidRPr="00F84644">
        <w:rPr>
          <w:rFonts w:ascii="Georgia" w:hAnsi="Georgia" w:cs="Arial"/>
          <w:color w:val="auto"/>
          <w:szCs w:val="24"/>
        </w:rPr>
        <w:t>, para allanar el escrutinio del tema de apelación.</w:t>
      </w:r>
    </w:p>
    <w:p w14:paraId="7A9AA112" w14:textId="77777777" w:rsidR="00B32A08" w:rsidRPr="00F84644" w:rsidRDefault="00B32A08" w:rsidP="003D0F58">
      <w:pPr>
        <w:pStyle w:val="Textopredeterminado"/>
        <w:spacing w:line="276" w:lineRule="auto"/>
        <w:jc w:val="both"/>
        <w:textAlignment w:val="baseline"/>
        <w:rPr>
          <w:rFonts w:ascii="Georgia" w:hAnsi="Georgia" w:cs="Arial"/>
          <w:color w:val="auto"/>
          <w:szCs w:val="24"/>
        </w:rPr>
      </w:pPr>
    </w:p>
    <w:p w14:paraId="58168E25" w14:textId="7ADC2B90" w:rsidR="00997438" w:rsidRPr="00F84644" w:rsidRDefault="008B4C32" w:rsidP="003D0F58">
      <w:pPr>
        <w:pStyle w:val="Textopredeterminado"/>
        <w:spacing w:line="276" w:lineRule="auto"/>
        <w:ind w:left="-12"/>
        <w:jc w:val="both"/>
        <w:rPr>
          <w:rFonts w:ascii="Georgia" w:hAnsi="Georgia" w:cs="Arial"/>
          <w:color w:val="auto"/>
          <w:szCs w:val="24"/>
        </w:rPr>
      </w:pPr>
      <w:r w:rsidRPr="00F84644">
        <w:rPr>
          <w:rFonts w:ascii="Georgia" w:hAnsi="Georgia" w:cs="Arial"/>
          <w:color w:val="auto"/>
          <w:szCs w:val="24"/>
        </w:rPr>
        <w:t>Esos requisitos son una serie de exigencias normativas formales que permiten su trámite y garantizan su resolución.  Así anota el maestro López B.: “</w:t>
      </w:r>
      <w:r w:rsidRPr="00F84644">
        <w:rPr>
          <w:rFonts w:ascii="Georgia" w:hAnsi="Georgia" w:cs="Arial"/>
          <w:i/>
          <w:iCs/>
          <w:color w:val="auto"/>
          <w:sz w:val="22"/>
          <w:szCs w:val="24"/>
        </w:rPr>
        <w:t xml:space="preserve">En todo caso sin </w:t>
      </w:r>
      <w:r w:rsidRPr="00F84644">
        <w:rPr>
          <w:rFonts w:ascii="Georgia" w:hAnsi="Georgia" w:cs="Arial"/>
          <w:i/>
          <w:iCs/>
          <w:color w:val="auto"/>
          <w:sz w:val="22"/>
          <w:szCs w:val="24"/>
        </w:rPr>
        <w:lastRenderedPageBreak/>
        <w:t>estar reunidos los requisitos de viabilidad del recurso jamás se podrá tener éxito en el mismo por constituir un precedente necesario para decidirlo</w:t>
      </w:r>
      <w:r w:rsidRPr="00F84644">
        <w:rPr>
          <w:rFonts w:ascii="Georgia" w:hAnsi="Georgia" w:cs="Arial"/>
          <w:color w:val="auto"/>
          <w:szCs w:val="24"/>
        </w:rPr>
        <w:t>”</w:t>
      </w:r>
      <w:r w:rsidRPr="00F84644">
        <w:rPr>
          <w:rFonts w:ascii="Georgia" w:hAnsi="Georgia" w:cs="Arial"/>
          <w:color w:val="auto"/>
          <w:szCs w:val="24"/>
          <w:vertAlign w:val="superscript"/>
        </w:rPr>
        <w:footnoteReference w:id="6"/>
      </w:r>
      <w:r w:rsidRPr="00F84644">
        <w:rPr>
          <w:rFonts w:ascii="Georgia" w:hAnsi="Georgia" w:cs="Arial"/>
          <w:color w:val="auto"/>
          <w:szCs w:val="24"/>
        </w:rPr>
        <w:t xml:space="preserve">.  </w:t>
      </w:r>
    </w:p>
    <w:p w14:paraId="6EF96332" w14:textId="77777777" w:rsidR="00997438" w:rsidRPr="00F84644" w:rsidRDefault="00997438" w:rsidP="003D0F58">
      <w:pPr>
        <w:pStyle w:val="Textopredeterminado"/>
        <w:spacing w:line="276" w:lineRule="auto"/>
        <w:ind w:left="-12"/>
        <w:jc w:val="both"/>
        <w:rPr>
          <w:rFonts w:ascii="Georgia" w:hAnsi="Georgia" w:cs="Arial"/>
          <w:color w:val="auto"/>
          <w:szCs w:val="24"/>
        </w:rPr>
      </w:pPr>
    </w:p>
    <w:p w14:paraId="3F0359F5" w14:textId="6B8035E9" w:rsidR="00997438" w:rsidRPr="00F84644" w:rsidRDefault="008B4C32" w:rsidP="003D0F58">
      <w:pPr>
        <w:pStyle w:val="Textopredeterminado"/>
        <w:spacing w:line="276" w:lineRule="auto"/>
        <w:ind w:left="-12"/>
        <w:jc w:val="both"/>
        <w:rPr>
          <w:rFonts w:ascii="Georgia" w:hAnsi="Georgia" w:cs="Arial"/>
          <w:color w:val="auto"/>
          <w:szCs w:val="24"/>
        </w:rPr>
      </w:pPr>
      <w:r w:rsidRPr="00F84644">
        <w:rPr>
          <w:rFonts w:ascii="Georgia" w:hAnsi="Georgia" w:cs="Arial"/>
          <w:color w:val="auto"/>
          <w:szCs w:val="24"/>
        </w:rPr>
        <w:t>Y explica el profesor Rojas G. en su obra: “</w:t>
      </w:r>
      <w:r w:rsidRPr="00F84644">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F84644">
        <w:rPr>
          <w:rFonts w:ascii="Georgia" w:hAnsi="Georgia" w:cs="Arial"/>
          <w:color w:val="auto"/>
          <w:szCs w:val="24"/>
        </w:rPr>
        <w:t>”</w:t>
      </w:r>
      <w:r w:rsidRPr="00F84644">
        <w:rPr>
          <w:rStyle w:val="Refdenotaalpie"/>
          <w:rFonts w:ascii="Georgia" w:hAnsi="Georgia" w:cs="Arial"/>
          <w:color w:val="auto"/>
          <w:szCs w:val="24"/>
        </w:rPr>
        <w:t xml:space="preserve"> </w:t>
      </w:r>
      <w:r w:rsidRPr="00F84644">
        <w:rPr>
          <w:rStyle w:val="Refdenotaalpie"/>
          <w:rFonts w:ascii="Georgia" w:hAnsi="Georgia" w:cs="Arial"/>
          <w:color w:val="auto"/>
          <w:szCs w:val="24"/>
        </w:rPr>
        <w:footnoteReference w:id="7"/>
      </w:r>
      <w:r w:rsidRPr="00F84644">
        <w:rPr>
          <w:rFonts w:ascii="Georgia" w:hAnsi="Georgia" w:cs="Arial"/>
          <w:color w:val="auto"/>
          <w:szCs w:val="24"/>
        </w:rPr>
        <w:t>.</w:t>
      </w:r>
      <w:r w:rsidR="00997438" w:rsidRPr="00F84644">
        <w:rPr>
          <w:rFonts w:ascii="Georgia" w:hAnsi="Georgia" w:cs="Arial"/>
          <w:color w:val="auto"/>
          <w:szCs w:val="24"/>
        </w:rPr>
        <w:t xml:space="preserve"> En el mismo sentido los profesores Sanabria Santos (2021)</w:t>
      </w:r>
      <w:r w:rsidR="00997438" w:rsidRPr="00F84644">
        <w:rPr>
          <w:rStyle w:val="Refdenotaalpie"/>
          <w:rFonts w:ascii="Georgia" w:hAnsi="Georgia"/>
          <w:color w:val="auto"/>
          <w:szCs w:val="24"/>
        </w:rPr>
        <w:footnoteReference w:id="8"/>
      </w:r>
      <w:r w:rsidR="00997438" w:rsidRPr="00F84644">
        <w:rPr>
          <w:rFonts w:ascii="Georgia" w:hAnsi="Georgia" w:cs="Arial"/>
          <w:color w:val="auto"/>
          <w:szCs w:val="24"/>
        </w:rPr>
        <w:t xml:space="preserve"> y Parra Benítez (2021)</w:t>
      </w:r>
      <w:r w:rsidR="00997438" w:rsidRPr="00F84644">
        <w:rPr>
          <w:rStyle w:val="Refdenotaalpie"/>
          <w:rFonts w:ascii="Georgia" w:hAnsi="Georgia"/>
          <w:color w:val="auto"/>
          <w:szCs w:val="24"/>
        </w:rPr>
        <w:footnoteReference w:id="9"/>
      </w:r>
      <w:r w:rsidR="00997438" w:rsidRPr="00F84644">
        <w:rPr>
          <w:rFonts w:ascii="Georgia" w:hAnsi="Georgia" w:cs="Arial"/>
          <w:color w:val="auto"/>
          <w:szCs w:val="24"/>
        </w:rPr>
        <w:t>.</w:t>
      </w:r>
    </w:p>
    <w:p w14:paraId="7A0606B3" w14:textId="77777777" w:rsidR="008B4C32" w:rsidRPr="00F84644" w:rsidRDefault="008B4C32" w:rsidP="003D0F58">
      <w:pPr>
        <w:pStyle w:val="Textopredeterminado"/>
        <w:spacing w:line="276" w:lineRule="auto"/>
        <w:ind w:left="-12" w:hanging="12"/>
        <w:jc w:val="both"/>
        <w:rPr>
          <w:rFonts w:ascii="Georgia" w:hAnsi="Georgia" w:cs="Arial"/>
          <w:color w:val="auto"/>
          <w:szCs w:val="24"/>
        </w:rPr>
      </w:pPr>
    </w:p>
    <w:p w14:paraId="543BE86D" w14:textId="77777777" w:rsidR="008B4C32" w:rsidRPr="00F84644" w:rsidRDefault="008B4C32" w:rsidP="003D0F58">
      <w:pPr>
        <w:pStyle w:val="Sinespaciado"/>
        <w:spacing w:line="276" w:lineRule="auto"/>
        <w:jc w:val="both"/>
        <w:rPr>
          <w:rFonts w:ascii="Georgia" w:hAnsi="Georgia" w:cs="Arial"/>
        </w:rPr>
      </w:pPr>
      <w:r w:rsidRPr="00F84644">
        <w:rPr>
          <w:rFonts w:ascii="Georgia" w:hAnsi="Georgia" w:cs="Arial"/>
          <w:lang w:val="es-CO"/>
        </w:rPr>
        <w:t>Tales presupuestos son concurrentes y necesarios, ausente uno se malogra el estudio de la impugnación. La misma CSJ enseña: “</w:t>
      </w:r>
      <w:r w:rsidRPr="00F84644">
        <w:rPr>
          <w:rFonts w:ascii="Georgia" w:hAnsi="Georgia" w:cs="Arial"/>
          <w:i/>
          <w:iCs/>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F84644">
        <w:rPr>
          <w:rFonts w:ascii="Georgia" w:hAnsi="Georgia" w:cs="Arial"/>
          <w:lang w:val="es-CO"/>
        </w:rPr>
        <w:t>”</w:t>
      </w:r>
      <w:r w:rsidRPr="00F84644">
        <w:rPr>
          <w:rStyle w:val="Refdenotaalpie"/>
          <w:rFonts w:ascii="Georgia" w:hAnsi="Georgia"/>
          <w:lang w:val="es-CO"/>
        </w:rPr>
        <w:footnoteReference w:id="10"/>
      </w:r>
      <w:r w:rsidRPr="00F84644">
        <w:rPr>
          <w:rFonts w:ascii="Georgia" w:hAnsi="Georgia" w:cs="Arial"/>
          <w:lang w:val="es-CO"/>
        </w:rPr>
        <w:t xml:space="preserve">. </w:t>
      </w:r>
    </w:p>
    <w:p w14:paraId="195090EA" w14:textId="77777777" w:rsidR="008B4C32" w:rsidRPr="00F84644" w:rsidRDefault="008B4C32" w:rsidP="003D0F58">
      <w:pPr>
        <w:pStyle w:val="Sinespaciado"/>
        <w:widowControl/>
        <w:autoSpaceDE/>
        <w:autoSpaceDN/>
        <w:adjustRightInd/>
        <w:spacing w:line="276" w:lineRule="auto"/>
        <w:jc w:val="both"/>
        <w:rPr>
          <w:rFonts w:ascii="Georgia" w:hAnsi="Georgia" w:cs="Arial"/>
        </w:rPr>
      </w:pPr>
    </w:p>
    <w:p w14:paraId="42D42964" w14:textId="77777777" w:rsidR="008B4C32" w:rsidRPr="00F84644" w:rsidRDefault="008B4C32" w:rsidP="003D0F58">
      <w:pPr>
        <w:spacing w:line="276" w:lineRule="auto"/>
        <w:jc w:val="both"/>
        <w:rPr>
          <w:rFonts w:ascii="Georgia" w:hAnsi="Georgia" w:cs="Arial"/>
          <w:sz w:val="24"/>
          <w:szCs w:val="24"/>
        </w:rPr>
      </w:pPr>
      <w:r w:rsidRPr="00F84644">
        <w:rPr>
          <w:rFonts w:ascii="Georgia" w:hAnsi="Georgia" w:cs="Arial"/>
          <w:sz w:val="24"/>
          <w:szCs w:val="24"/>
        </w:rPr>
        <w:t>En providencia más próxima (2017)</w:t>
      </w:r>
      <w:r w:rsidRPr="00F84644">
        <w:rPr>
          <w:rStyle w:val="Refdenotaalpie"/>
          <w:rFonts w:ascii="Georgia" w:hAnsi="Georgia"/>
          <w:sz w:val="24"/>
          <w:szCs w:val="24"/>
        </w:rPr>
        <w:footnoteReference w:id="11"/>
      </w:r>
      <w:r w:rsidRPr="00F84644">
        <w:rPr>
          <w:rFonts w:ascii="Georgia" w:hAnsi="Georgia" w:cs="Arial"/>
          <w:sz w:val="24"/>
          <w:szCs w:val="24"/>
        </w:rPr>
        <w:t>, en sede constitucional que es criterio auxiliar, evocó: “</w:t>
      </w:r>
      <w:r w:rsidRPr="00F84644">
        <w:rPr>
          <w:rFonts w:ascii="Georgia" w:hAnsi="Georgia" w:cs="Arial"/>
          <w:i/>
          <w:iCs/>
          <w:sz w:val="22"/>
          <w:szCs w:val="24"/>
        </w:rPr>
        <w:t xml:space="preserve">(…) </w:t>
      </w:r>
      <w:r w:rsidRPr="00F84644">
        <w:rPr>
          <w:rFonts w:ascii="Georgia" w:hAnsi="Georgia" w:cs="Arial"/>
          <w:i/>
          <w:iCs/>
          <w:spacing w:val="-4"/>
          <w:sz w:val="22"/>
          <w:szCs w:val="24"/>
        </w:rPr>
        <w:t>Por supuesto que, era facultad del superior realizar el análisis preliminar para la «admisión» de la alzada, y conforme a la regla cuarta del canon 325 del C.G.P.</w:t>
      </w:r>
      <w:r w:rsidRPr="00F84644">
        <w:rPr>
          <w:rFonts w:ascii="Georgia" w:hAnsi="Georgia" w:cs="Arial"/>
          <w:spacing w:val="-4"/>
          <w:sz w:val="22"/>
          <w:szCs w:val="24"/>
        </w:rPr>
        <w:t xml:space="preserve"> </w:t>
      </w:r>
      <w:r w:rsidRPr="00F84644">
        <w:rPr>
          <w:rFonts w:ascii="Georgia" w:hAnsi="Georgia" w:cs="Arial"/>
          <w:i/>
          <w:iCs/>
          <w:sz w:val="22"/>
          <w:szCs w:val="24"/>
          <w:shd w:val="clear" w:color="auto" w:fill="FFFFFF"/>
        </w:rPr>
        <w:t>(…)</w:t>
      </w:r>
      <w:r w:rsidRPr="00F84644">
        <w:rPr>
          <w:rFonts w:ascii="Georgia" w:hAnsi="Georgia" w:cs="Arial"/>
          <w:i/>
          <w:iCs/>
          <w:sz w:val="24"/>
          <w:szCs w:val="24"/>
          <w:shd w:val="clear" w:color="auto" w:fill="FFFFFF"/>
        </w:rPr>
        <w:t>”.</w:t>
      </w:r>
      <w:r w:rsidRPr="00F84644">
        <w:rPr>
          <w:rFonts w:ascii="Georgia" w:hAnsi="Georgia" w:cs="Arial"/>
          <w:sz w:val="24"/>
          <w:szCs w:val="24"/>
          <w:shd w:val="clear" w:color="auto" w:fill="FFFFFF"/>
        </w:rPr>
        <w:t xml:space="preserve"> Comentarios aplicables para el CGP, puesto que en este aspecto se conservó el esquema.</w:t>
      </w:r>
    </w:p>
    <w:p w14:paraId="6044A6A3" w14:textId="77777777" w:rsidR="008B4C32" w:rsidRPr="00F84644" w:rsidRDefault="008B4C32" w:rsidP="003D0F58">
      <w:pPr>
        <w:pStyle w:val="Sinespaciado"/>
        <w:spacing w:line="276" w:lineRule="auto"/>
        <w:jc w:val="both"/>
        <w:rPr>
          <w:rFonts w:ascii="Georgia" w:hAnsi="Georgia" w:cs="Arial"/>
        </w:rPr>
      </w:pPr>
    </w:p>
    <w:p w14:paraId="256E2052" w14:textId="77777777" w:rsidR="009021B7" w:rsidRPr="00F84644" w:rsidRDefault="008B4C32" w:rsidP="003D0F58">
      <w:pPr>
        <w:pStyle w:val="Sinespaciado"/>
        <w:spacing w:line="276" w:lineRule="auto"/>
        <w:jc w:val="both"/>
        <w:rPr>
          <w:rFonts w:ascii="Georgia" w:hAnsi="Georgia" w:cs="Arial"/>
        </w:rPr>
      </w:pPr>
      <w:bookmarkStart w:id="3" w:name="_Hlk119055241"/>
      <w:r w:rsidRPr="00F84644">
        <w:rPr>
          <w:rFonts w:ascii="Georgia" w:hAnsi="Georgia" w:cs="Arial"/>
        </w:rPr>
        <w:t xml:space="preserve">Se hacen consistir en: </w:t>
      </w:r>
      <w:r w:rsidRPr="00F84644">
        <w:rPr>
          <w:rFonts w:ascii="Georgia" w:hAnsi="Georgia" w:cs="Arial"/>
          <w:b/>
          <w:bCs/>
        </w:rPr>
        <w:t>(i)</w:t>
      </w:r>
      <w:r w:rsidRPr="00F84644">
        <w:rPr>
          <w:rFonts w:ascii="Georgia" w:hAnsi="Georgia" w:cs="Arial"/>
        </w:rPr>
        <w:t xml:space="preserve"> legitimación, </w:t>
      </w:r>
      <w:r w:rsidRPr="00F84644">
        <w:rPr>
          <w:rFonts w:ascii="Georgia" w:hAnsi="Georgia" w:cs="Arial"/>
          <w:b/>
          <w:bCs/>
        </w:rPr>
        <w:t>(ii)</w:t>
      </w:r>
      <w:r w:rsidRPr="00F84644">
        <w:rPr>
          <w:rFonts w:ascii="Georgia" w:hAnsi="Georgia" w:cs="Arial"/>
        </w:rPr>
        <w:t xml:space="preserve"> oportunidad, </w:t>
      </w:r>
      <w:r w:rsidRPr="00F84644">
        <w:rPr>
          <w:rFonts w:ascii="Georgia" w:hAnsi="Georgia" w:cs="Arial"/>
          <w:b/>
          <w:bCs/>
        </w:rPr>
        <w:t>(iii)</w:t>
      </w:r>
      <w:r w:rsidRPr="00F84644">
        <w:rPr>
          <w:rFonts w:ascii="Georgia" w:hAnsi="Georgia" w:cs="Arial"/>
        </w:rPr>
        <w:t xml:space="preserve"> procedencia y </w:t>
      </w:r>
      <w:r w:rsidRPr="00F84644">
        <w:rPr>
          <w:rFonts w:ascii="Georgia" w:hAnsi="Georgia" w:cs="Arial"/>
          <w:b/>
          <w:bCs/>
        </w:rPr>
        <w:t>(iv)</w:t>
      </w:r>
      <w:r w:rsidRPr="00F84644">
        <w:rPr>
          <w:rFonts w:ascii="Georgia" w:hAnsi="Georgia" w:cs="Arial"/>
        </w:rPr>
        <w:t xml:space="preserve"> cargas procesales </w:t>
      </w:r>
      <w:bookmarkEnd w:id="3"/>
      <w:r w:rsidRPr="00F84644">
        <w:rPr>
          <w:rFonts w:ascii="Georgia" w:hAnsi="Georgia" w:cs="Arial"/>
        </w:rPr>
        <w:t>(Sustentación, expedición de copias, etc.); los tres (3) primeros implican la inadmisibilidad del recurso, mientras que el cuarto, provoca la deserción, como acota la doctrina patria</w:t>
      </w:r>
      <w:r w:rsidRPr="00F84644">
        <w:rPr>
          <w:rStyle w:val="Refdenotaalpie"/>
          <w:rFonts w:ascii="Georgia" w:hAnsi="Georgia"/>
        </w:rPr>
        <w:footnoteReference w:id="12"/>
      </w:r>
      <w:r w:rsidRPr="00F84644">
        <w:rPr>
          <w:rFonts w:ascii="Georgia" w:hAnsi="Georgia" w:cs="Arial"/>
          <w:vertAlign w:val="superscript"/>
        </w:rPr>
        <w:t>-</w:t>
      </w:r>
      <w:r w:rsidRPr="00F84644">
        <w:rPr>
          <w:rStyle w:val="Refdenotaalpie"/>
          <w:rFonts w:ascii="Georgia" w:hAnsi="Georgia"/>
        </w:rPr>
        <w:footnoteReference w:id="13"/>
      </w:r>
      <w:r w:rsidRPr="00F84644">
        <w:rPr>
          <w:rFonts w:ascii="Georgia" w:hAnsi="Georgia" w:cs="Arial"/>
        </w:rPr>
        <w:t xml:space="preserve">. </w:t>
      </w:r>
      <w:r w:rsidR="009021B7" w:rsidRPr="00F84644">
        <w:rPr>
          <w:rFonts w:ascii="Georgia" w:hAnsi="Georgia" w:cs="Arial"/>
        </w:rPr>
        <w:t xml:space="preserve"> </w:t>
      </w:r>
    </w:p>
    <w:p w14:paraId="6D0E6E84" w14:textId="39D4271F" w:rsidR="009021B7" w:rsidRPr="00F84644" w:rsidRDefault="009021B7" w:rsidP="003D0F58">
      <w:pPr>
        <w:pStyle w:val="Sinespaciado"/>
        <w:spacing w:line="276" w:lineRule="auto"/>
        <w:jc w:val="both"/>
        <w:rPr>
          <w:rFonts w:ascii="Georgia" w:hAnsi="Georgia" w:cs="Arial"/>
        </w:rPr>
      </w:pPr>
    </w:p>
    <w:p w14:paraId="419F6B2E" w14:textId="77777777" w:rsidR="009021B7" w:rsidRPr="00F84644" w:rsidRDefault="009021B7" w:rsidP="003D0F58">
      <w:pPr>
        <w:pStyle w:val="Sinespaciado"/>
        <w:spacing w:line="276" w:lineRule="auto"/>
        <w:jc w:val="both"/>
        <w:rPr>
          <w:rFonts w:ascii="Georgia" w:hAnsi="Georgia" w:cs="Arial"/>
        </w:rPr>
      </w:pPr>
      <w:r w:rsidRPr="00F84644">
        <w:rPr>
          <w:rFonts w:ascii="Georgia" w:hAnsi="Georgia" w:cs="Arial"/>
        </w:rPr>
        <w:t>En particular para este caso concreto, se echa de menos la procedencia, entendida como la expresa autorización normativa para atacar la decisión</w:t>
      </w:r>
      <w:r w:rsidRPr="00F84644">
        <w:rPr>
          <w:rStyle w:val="Refdenotaalpie"/>
          <w:rFonts w:ascii="Georgia" w:hAnsi="Georgia" w:cs="Arial"/>
        </w:rPr>
        <w:footnoteReference w:id="14"/>
      </w:r>
      <w:r w:rsidRPr="00F84644">
        <w:rPr>
          <w:rFonts w:ascii="Georgia" w:hAnsi="Georgia" w:cs="Arial"/>
        </w:rPr>
        <w:t>.</w:t>
      </w:r>
    </w:p>
    <w:p w14:paraId="44B995BA" w14:textId="6E5A98E4" w:rsidR="008B4C32" w:rsidRPr="00F84644" w:rsidRDefault="008B4C32" w:rsidP="003D0F58">
      <w:pPr>
        <w:pStyle w:val="Textopredeterminado"/>
        <w:spacing w:line="276" w:lineRule="auto"/>
        <w:jc w:val="both"/>
        <w:rPr>
          <w:rFonts w:ascii="Georgia" w:hAnsi="Georgia" w:cs="Arial"/>
          <w:color w:val="auto"/>
          <w:szCs w:val="24"/>
        </w:rPr>
      </w:pPr>
    </w:p>
    <w:p w14:paraId="6A454327" w14:textId="064D1EBD" w:rsidR="00103A46" w:rsidRPr="00F84644" w:rsidRDefault="001F4CCD" w:rsidP="003D0F58">
      <w:pPr>
        <w:pStyle w:val="Sinespaciado"/>
        <w:spacing w:line="276" w:lineRule="auto"/>
        <w:jc w:val="both"/>
        <w:rPr>
          <w:rFonts w:ascii="Georgia" w:hAnsi="Georgia" w:cs="Arial"/>
        </w:rPr>
      </w:pPr>
      <w:r w:rsidRPr="00F84644">
        <w:rPr>
          <w:rFonts w:ascii="Georgia" w:hAnsi="Georgia" w:cs="Arial"/>
        </w:rPr>
        <w:t xml:space="preserve">La </w:t>
      </w:r>
      <w:r w:rsidR="00FD7701" w:rsidRPr="00F84644">
        <w:rPr>
          <w:rFonts w:ascii="Georgia" w:hAnsi="Georgia" w:cs="Arial"/>
        </w:rPr>
        <w:t xml:space="preserve">decisión cuestionada, </w:t>
      </w:r>
      <w:r w:rsidRPr="00F84644">
        <w:rPr>
          <w:rFonts w:ascii="Georgia" w:hAnsi="Georgia" w:cs="Arial"/>
        </w:rPr>
        <w:t xml:space="preserve">sin dudas, </w:t>
      </w:r>
      <w:r w:rsidR="00103A46" w:rsidRPr="00F84644">
        <w:rPr>
          <w:rFonts w:ascii="Georgia" w:hAnsi="Georgia" w:cs="Arial"/>
        </w:rPr>
        <w:t xml:space="preserve">es de aquellas </w:t>
      </w:r>
      <w:r w:rsidR="00FD7701" w:rsidRPr="00F84644">
        <w:rPr>
          <w:rFonts w:ascii="Georgia" w:hAnsi="Georgia" w:cs="Arial"/>
        </w:rPr>
        <w:t>en las que se ha declarado la incompetencia para conocer del asunto</w:t>
      </w:r>
      <w:r w:rsidR="00103A46" w:rsidRPr="00F84644">
        <w:rPr>
          <w:rFonts w:ascii="Georgia" w:hAnsi="Georgia" w:cs="Arial"/>
        </w:rPr>
        <w:t xml:space="preserve">, proveído </w:t>
      </w:r>
      <w:r w:rsidR="00FD7701" w:rsidRPr="00F84644">
        <w:rPr>
          <w:rFonts w:ascii="Georgia" w:hAnsi="Georgia" w:cs="Arial"/>
        </w:rPr>
        <w:t xml:space="preserve">que es irrecurrible </w:t>
      </w:r>
      <w:r w:rsidR="00103A46" w:rsidRPr="00F84644">
        <w:rPr>
          <w:rFonts w:ascii="Georgia" w:hAnsi="Georgia" w:cs="Arial"/>
        </w:rPr>
        <w:t>por</w:t>
      </w:r>
      <w:r w:rsidR="00103A46" w:rsidRPr="00F84644">
        <w:rPr>
          <w:rFonts w:ascii="Georgia" w:hAnsi="Georgia" w:cs="Arial"/>
          <w:i/>
          <w:iCs/>
        </w:rPr>
        <w:t xml:space="preserve"> </w:t>
      </w:r>
      <w:r w:rsidR="00103A46" w:rsidRPr="00F84644">
        <w:rPr>
          <w:rFonts w:ascii="Georgia" w:hAnsi="Georgia" w:cs="Arial"/>
        </w:rPr>
        <w:t>así disponerlo el artículo 139</w:t>
      </w:r>
      <w:r w:rsidR="00FD7701" w:rsidRPr="00F84644">
        <w:rPr>
          <w:rFonts w:ascii="Georgia" w:hAnsi="Georgia" w:cs="Arial"/>
        </w:rPr>
        <w:t>, CGP, al señalar</w:t>
      </w:r>
      <w:r w:rsidR="00103A46" w:rsidRPr="00F84644">
        <w:rPr>
          <w:rFonts w:ascii="Georgia" w:hAnsi="Georgia" w:cs="Arial"/>
        </w:rPr>
        <w:t>: “</w:t>
      </w:r>
      <w:r w:rsidR="00103A46" w:rsidRPr="00271131">
        <w:rPr>
          <w:rFonts w:ascii="Georgia" w:hAnsi="Georgia" w:cs="Arial"/>
          <w:i/>
          <w:sz w:val="22"/>
        </w:rPr>
        <w:t xml:space="preserve">Siempre que el juez declare su incompetencia para conocer de un proceso ordenará remitirlo al que estime competente. Cuando el juez que reciba el expediente se declare a su vez incompetente solicitará que el conflicto se decida por el funcionario judicial que sea superior funcional común a ambos, al que enviará la actuación. </w:t>
      </w:r>
      <w:r w:rsidR="00103A46" w:rsidRPr="00271131">
        <w:rPr>
          <w:rFonts w:ascii="Georgia" w:hAnsi="Georgia" w:cs="Arial"/>
          <w:i/>
          <w:sz w:val="22"/>
          <w:u w:val="single"/>
        </w:rPr>
        <w:t>Estas decisiones no admiten recurso</w:t>
      </w:r>
      <w:r w:rsidR="00103A46" w:rsidRPr="00271131">
        <w:rPr>
          <w:rFonts w:ascii="Georgia" w:hAnsi="Georgia" w:cs="Arial"/>
          <w:i/>
          <w:sz w:val="22"/>
        </w:rPr>
        <w:t xml:space="preserve"> (…)</w:t>
      </w:r>
      <w:r w:rsidR="00103A46" w:rsidRPr="00F84644">
        <w:rPr>
          <w:rFonts w:ascii="Georgia" w:hAnsi="Georgia" w:cs="Arial"/>
          <w:i/>
        </w:rPr>
        <w:t>”</w:t>
      </w:r>
      <w:r w:rsidR="00103A46" w:rsidRPr="00F84644">
        <w:rPr>
          <w:rFonts w:ascii="Georgia" w:hAnsi="Georgia" w:cs="Bookman Old Style"/>
          <w:i/>
        </w:rPr>
        <w:t xml:space="preserve">. </w:t>
      </w:r>
      <w:r w:rsidR="00103A46" w:rsidRPr="00F84644">
        <w:rPr>
          <w:rFonts w:ascii="Georgia" w:hAnsi="Georgia" w:cs="Arial"/>
        </w:rPr>
        <w:t xml:space="preserve">(Subraya fuera de texto). </w:t>
      </w:r>
    </w:p>
    <w:p w14:paraId="7E2E185D" w14:textId="77777777" w:rsidR="00103A46" w:rsidRPr="00F84644" w:rsidRDefault="00103A46" w:rsidP="003D0F58">
      <w:pPr>
        <w:pStyle w:val="Sinespaciado"/>
        <w:spacing w:line="276" w:lineRule="auto"/>
        <w:jc w:val="both"/>
        <w:rPr>
          <w:rFonts w:ascii="Georgia" w:hAnsi="Georgia" w:cs="Arial"/>
        </w:rPr>
      </w:pPr>
    </w:p>
    <w:p w14:paraId="3A7842ED" w14:textId="64AC90BD" w:rsidR="00FD7701" w:rsidRPr="00F84644" w:rsidRDefault="00FD7701" w:rsidP="003D0F58">
      <w:pPr>
        <w:pStyle w:val="Sinespaciado"/>
        <w:spacing w:line="276" w:lineRule="auto"/>
        <w:jc w:val="both"/>
        <w:rPr>
          <w:rFonts w:ascii="Georgia" w:hAnsi="Georgia" w:cs="Arial"/>
        </w:rPr>
      </w:pPr>
      <w:r w:rsidRPr="00F84644">
        <w:rPr>
          <w:rFonts w:ascii="Georgia" w:hAnsi="Georgia" w:cs="Arial"/>
        </w:rPr>
        <w:t>Esa i</w:t>
      </w:r>
      <w:r w:rsidR="00103A46" w:rsidRPr="00F84644">
        <w:rPr>
          <w:rFonts w:ascii="Georgia" w:hAnsi="Georgia" w:cs="Arial"/>
        </w:rPr>
        <w:t xml:space="preserve">mprocedencia </w:t>
      </w:r>
      <w:r w:rsidRPr="00F84644">
        <w:rPr>
          <w:rFonts w:ascii="Georgia" w:hAnsi="Georgia" w:cs="Arial"/>
        </w:rPr>
        <w:t xml:space="preserve">tiene </w:t>
      </w:r>
      <w:r w:rsidR="00103A46" w:rsidRPr="00F84644">
        <w:rPr>
          <w:rFonts w:ascii="Georgia" w:hAnsi="Georgia" w:cs="Arial"/>
        </w:rPr>
        <w:t>reconoci</w:t>
      </w:r>
      <w:r w:rsidRPr="00F84644">
        <w:rPr>
          <w:rFonts w:ascii="Georgia" w:hAnsi="Georgia" w:cs="Arial"/>
        </w:rPr>
        <w:t xml:space="preserve">miento en </w:t>
      </w:r>
      <w:r w:rsidR="00103A46" w:rsidRPr="00F84644">
        <w:rPr>
          <w:rFonts w:ascii="Georgia" w:hAnsi="Georgia" w:cs="Arial"/>
        </w:rPr>
        <w:t xml:space="preserve">la doctrina nacional, </w:t>
      </w:r>
      <w:r w:rsidRPr="00F84644">
        <w:rPr>
          <w:rFonts w:ascii="Georgia" w:hAnsi="Georgia" w:cs="Arial"/>
        </w:rPr>
        <w:t xml:space="preserve">por ejemplo, </w:t>
      </w:r>
      <w:r w:rsidR="00103A46" w:rsidRPr="00F84644">
        <w:rPr>
          <w:rFonts w:ascii="Georgia" w:hAnsi="Georgia" w:cs="Arial"/>
        </w:rPr>
        <w:t xml:space="preserve">el </w:t>
      </w:r>
      <w:r w:rsidR="00103A46" w:rsidRPr="00F84644">
        <w:rPr>
          <w:rFonts w:ascii="Georgia" w:hAnsi="Georgia" w:cs="Arial"/>
        </w:rPr>
        <w:lastRenderedPageBreak/>
        <w:t>profesor López B</w:t>
      </w:r>
      <w:r w:rsidRPr="00F84644">
        <w:rPr>
          <w:rFonts w:ascii="Georgia" w:hAnsi="Georgia" w:cs="Arial"/>
        </w:rPr>
        <w:t>lanco</w:t>
      </w:r>
      <w:r w:rsidR="00103A46" w:rsidRPr="00F84644">
        <w:rPr>
          <w:rFonts w:ascii="Georgia" w:hAnsi="Georgia" w:cs="Arial"/>
          <w:vertAlign w:val="superscript"/>
        </w:rPr>
        <w:footnoteReference w:id="15"/>
      </w:r>
      <w:r w:rsidRPr="00F84644">
        <w:rPr>
          <w:rFonts w:ascii="Georgia" w:hAnsi="Georgia" w:cs="Arial"/>
        </w:rPr>
        <w:t xml:space="preserve"> anota</w:t>
      </w:r>
      <w:r w:rsidR="00103A46" w:rsidRPr="00F84644">
        <w:rPr>
          <w:rFonts w:ascii="Georgia" w:hAnsi="Georgia" w:cs="Arial"/>
        </w:rPr>
        <w:t>: “</w:t>
      </w:r>
      <w:r w:rsidR="00103A46" w:rsidRPr="00271131">
        <w:rPr>
          <w:rFonts w:ascii="Georgia" w:hAnsi="Georgia" w:cs="Arial"/>
          <w:i/>
          <w:sz w:val="22"/>
        </w:rPr>
        <w:t xml:space="preserve">Manifestada la incompetencia por el juez, cualquiera que sea la causa, (…). </w:t>
      </w:r>
      <w:r w:rsidR="00103A46" w:rsidRPr="00271131">
        <w:rPr>
          <w:rFonts w:ascii="Georgia" w:hAnsi="Georgia" w:cs="Arial"/>
          <w:i/>
          <w:sz w:val="22"/>
          <w:u w:val="single"/>
        </w:rPr>
        <w:t>Esta determinación es irrecurrible debido a que ni siquiera se previó el recurso de reposición en su contra</w:t>
      </w:r>
      <w:r w:rsidR="00103A46" w:rsidRPr="00271131">
        <w:rPr>
          <w:rFonts w:ascii="Georgia" w:hAnsi="Georgia" w:cs="Arial"/>
          <w:i/>
          <w:sz w:val="22"/>
        </w:rPr>
        <w:t>. El Código expresamente así lo ordena para evitar dilación innecesaria de la actuación (…)</w:t>
      </w:r>
      <w:r w:rsidRPr="00F84644">
        <w:rPr>
          <w:rFonts w:ascii="Georgia" w:hAnsi="Georgia" w:cs="Arial"/>
          <w:i/>
        </w:rPr>
        <w:t>”</w:t>
      </w:r>
      <w:r w:rsidR="001F4CCD" w:rsidRPr="00F84644">
        <w:rPr>
          <w:rFonts w:ascii="Georgia" w:hAnsi="Georgia" w:cs="Arial"/>
        </w:rPr>
        <w:t>, también, es d</w:t>
      </w:r>
      <w:r w:rsidRPr="00F84644">
        <w:rPr>
          <w:rFonts w:ascii="Georgia" w:hAnsi="Georgia" w:cs="Arial"/>
        </w:rPr>
        <w:t xml:space="preserve">el mismo criterio </w:t>
      </w:r>
      <w:r w:rsidR="00103A46" w:rsidRPr="00F84644">
        <w:rPr>
          <w:rFonts w:ascii="Georgia" w:hAnsi="Georgia" w:cs="Arial"/>
        </w:rPr>
        <w:t>el profesor Escobar Vélez</w:t>
      </w:r>
      <w:r w:rsidR="00103A46" w:rsidRPr="00F84644">
        <w:rPr>
          <w:rStyle w:val="Refdenotaalpie"/>
          <w:rFonts w:ascii="Georgia" w:hAnsi="Georgia"/>
        </w:rPr>
        <w:footnoteReference w:id="16"/>
      </w:r>
      <w:r w:rsidR="00103A46" w:rsidRPr="00F84644">
        <w:rPr>
          <w:rFonts w:ascii="Georgia" w:hAnsi="Georgia" w:cs="Arial"/>
        </w:rPr>
        <w:t>.</w:t>
      </w:r>
      <w:r w:rsidRPr="00F84644">
        <w:rPr>
          <w:rFonts w:ascii="Georgia" w:hAnsi="Georgia" w:cs="Arial"/>
        </w:rPr>
        <w:t xml:space="preserve"> </w:t>
      </w:r>
    </w:p>
    <w:p w14:paraId="17ED2CEA" w14:textId="77777777" w:rsidR="00FD7701" w:rsidRPr="00F84644" w:rsidRDefault="00FD7701" w:rsidP="003D0F58">
      <w:pPr>
        <w:pStyle w:val="Sinespaciado"/>
        <w:spacing w:line="276" w:lineRule="auto"/>
        <w:jc w:val="both"/>
        <w:rPr>
          <w:rFonts w:ascii="Georgia" w:hAnsi="Georgia" w:cs="Arial"/>
        </w:rPr>
      </w:pPr>
    </w:p>
    <w:p w14:paraId="237D72F6" w14:textId="24E79FCE" w:rsidR="00FD7701" w:rsidRPr="00F84644" w:rsidRDefault="00BE79D0" w:rsidP="003D0F58">
      <w:pPr>
        <w:pStyle w:val="Sinespaciado"/>
        <w:spacing w:line="276" w:lineRule="auto"/>
        <w:jc w:val="both"/>
        <w:rPr>
          <w:rFonts w:ascii="Georgia" w:hAnsi="Georgia" w:cs="Arial"/>
        </w:rPr>
      </w:pPr>
      <w:r w:rsidRPr="00F84644">
        <w:rPr>
          <w:rFonts w:ascii="Georgia" w:hAnsi="Georgia" w:cs="Arial"/>
        </w:rPr>
        <w:t xml:space="preserve">Según </w:t>
      </w:r>
      <w:r w:rsidR="00C91936" w:rsidRPr="00F84644">
        <w:rPr>
          <w:rFonts w:ascii="Georgia" w:hAnsi="Georgia" w:cs="Arial"/>
        </w:rPr>
        <w:t>explica la CSJ en sede de tutela (Criterio auxiliar)</w:t>
      </w:r>
      <w:r w:rsidRPr="00F84644">
        <w:rPr>
          <w:rFonts w:ascii="Georgia" w:hAnsi="Georgia" w:cs="Arial"/>
        </w:rPr>
        <w:t xml:space="preserve">, </w:t>
      </w:r>
      <w:r w:rsidR="0051119D" w:rsidRPr="00F84644">
        <w:rPr>
          <w:rFonts w:ascii="Georgia" w:hAnsi="Georgia" w:cs="Arial"/>
        </w:rPr>
        <w:t xml:space="preserve">conforme </w:t>
      </w:r>
      <w:r w:rsidR="00CA3AED" w:rsidRPr="00F84644">
        <w:rPr>
          <w:rFonts w:ascii="Georgia" w:hAnsi="Georgia" w:cs="Arial"/>
        </w:rPr>
        <w:t>d</w:t>
      </w:r>
      <w:r w:rsidR="0051119D" w:rsidRPr="00F84644">
        <w:rPr>
          <w:rFonts w:ascii="Georgia" w:hAnsi="Georgia" w:cs="Arial"/>
        </w:rPr>
        <w:t xml:space="preserve">ispone la aludida norma (Art. 139, inciso 4°, CGP), el conocimiento del </w:t>
      </w:r>
      <w:r w:rsidRPr="00F84644">
        <w:rPr>
          <w:rFonts w:ascii="Georgia" w:hAnsi="Georgia" w:cs="Arial"/>
        </w:rPr>
        <w:t>superior</w:t>
      </w:r>
      <w:r w:rsidR="0051119D" w:rsidRPr="00F84644">
        <w:rPr>
          <w:rFonts w:ascii="Georgia" w:hAnsi="Georgia" w:cs="Arial"/>
        </w:rPr>
        <w:t xml:space="preserve"> </w:t>
      </w:r>
      <w:r w:rsidRPr="00F84644">
        <w:rPr>
          <w:rFonts w:ascii="Georgia" w:hAnsi="Georgia" w:cs="Arial"/>
        </w:rPr>
        <w:t xml:space="preserve">jerárquico </w:t>
      </w:r>
      <w:r w:rsidR="0051119D" w:rsidRPr="00F84644">
        <w:rPr>
          <w:rFonts w:ascii="Georgia" w:hAnsi="Georgia" w:cs="Arial"/>
        </w:rPr>
        <w:t xml:space="preserve">será ante un eventual rechazo del despacho que reciba el asunto, </w:t>
      </w:r>
      <w:r w:rsidRPr="00F84644">
        <w:rPr>
          <w:rFonts w:ascii="Georgia" w:hAnsi="Georgia" w:cs="Arial"/>
        </w:rPr>
        <w:t>en sede de conflicto</w:t>
      </w:r>
      <w:r w:rsidR="0A2F3C6F" w:rsidRPr="00F84644">
        <w:rPr>
          <w:rFonts w:ascii="Georgia" w:hAnsi="Georgia" w:cs="Arial"/>
        </w:rPr>
        <w:t xml:space="preserve">, desde luego, </w:t>
      </w:r>
      <w:r w:rsidRPr="00F84644">
        <w:rPr>
          <w:rFonts w:ascii="Georgia" w:hAnsi="Georgia" w:cs="Arial"/>
        </w:rPr>
        <w:t>y no de apelación</w:t>
      </w:r>
      <w:r w:rsidR="0051119D" w:rsidRPr="00F84644">
        <w:rPr>
          <w:rFonts w:ascii="Georgia" w:hAnsi="Georgia" w:cs="Arial"/>
        </w:rPr>
        <w:t xml:space="preserve">. </w:t>
      </w:r>
      <w:r w:rsidR="0D1F704F" w:rsidRPr="00F84644">
        <w:rPr>
          <w:rFonts w:ascii="Georgia" w:hAnsi="Georgia" w:cs="Arial"/>
        </w:rPr>
        <w:t xml:space="preserve">En el mismo sentido, </w:t>
      </w:r>
      <w:r w:rsidR="39B85F88" w:rsidRPr="00F84644">
        <w:rPr>
          <w:rFonts w:ascii="Georgia" w:hAnsi="Georgia" w:cs="Arial"/>
        </w:rPr>
        <w:t xml:space="preserve">el </w:t>
      </w:r>
      <w:r w:rsidR="0051119D" w:rsidRPr="00F84644">
        <w:rPr>
          <w:rFonts w:ascii="Georgia" w:hAnsi="Georgia" w:cs="Arial"/>
        </w:rPr>
        <w:t>profesor Sanabria Santos</w:t>
      </w:r>
      <w:r w:rsidR="0051119D" w:rsidRPr="00F84644">
        <w:rPr>
          <w:rStyle w:val="Refdenotaalpie"/>
          <w:rFonts w:ascii="Georgia" w:hAnsi="Georgia"/>
        </w:rPr>
        <w:footnoteReference w:id="17"/>
      </w:r>
      <w:r w:rsidR="00CF134D" w:rsidRPr="00F84644">
        <w:rPr>
          <w:rFonts w:ascii="Georgia" w:hAnsi="Georgia" w:cs="Arial"/>
        </w:rPr>
        <w:t>:</w:t>
      </w:r>
      <w:r w:rsidR="0051119D" w:rsidRPr="00F84644">
        <w:rPr>
          <w:rFonts w:ascii="Georgia" w:hAnsi="Georgia" w:cs="Arial"/>
        </w:rPr>
        <w:t xml:space="preserve"> </w:t>
      </w:r>
      <w:r w:rsidR="0051119D" w:rsidRPr="00F84644">
        <w:rPr>
          <w:rFonts w:ascii="Georgia" w:hAnsi="Georgia" w:cs="Arial"/>
          <w:i/>
          <w:iCs/>
        </w:rPr>
        <w:t>“</w:t>
      </w:r>
      <w:r w:rsidR="0051119D" w:rsidRPr="00271131">
        <w:rPr>
          <w:rFonts w:ascii="Georgia" w:hAnsi="Georgia" w:cs="Arial"/>
          <w:i/>
          <w:iCs/>
          <w:sz w:val="22"/>
        </w:rPr>
        <w:t>(…) el conflicto de competencia se provoca cuando el juez que recibe el proceso después de la declaratoria de incompetencia del primero a su vez niega su propia competencia (…) le corresponde al superior jerárquico común de ambos determinar cuál es el juez que deberá conoce de dicho asunto (…)</w:t>
      </w:r>
      <w:r w:rsidR="0051119D" w:rsidRPr="00F84644">
        <w:rPr>
          <w:rFonts w:ascii="Georgia" w:hAnsi="Georgia" w:cs="Arial"/>
          <w:i/>
          <w:iCs/>
        </w:rPr>
        <w:t xml:space="preserve">”. </w:t>
      </w:r>
      <w:r w:rsidR="0051119D" w:rsidRPr="00F84644">
        <w:rPr>
          <w:rFonts w:ascii="Georgia" w:hAnsi="Georgia" w:cs="Arial"/>
        </w:rPr>
        <w:t xml:space="preserve">Para sellar </w:t>
      </w:r>
      <w:r w:rsidR="3B542FE9" w:rsidRPr="00F84644">
        <w:rPr>
          <w:rFonts w:ascii="Georgia" w:hAnsi="Georgia" w:cs="Arial"/>
        </w:rPr>
        <w:t>el tema</w:t>
      </w:r>
      <w:r w:rsidR="758412AB" w:rsidRPr="00F84644">
        <w:rPr>
          <w:rFonts w:ascii="Georgia" w:hAnsi="Georgia" w:cs="Arial"/>
        </w:rPr>
        <w:t xml:space="preserve">, </w:t>
      </w:r>
      <w:r w:rsidR="0051119D" w:rsidRPr="00F84644">
        <w:rPr>
          <w:rFonts w:ascii="Georgia" w:hAnsi="Georgia" w:cs="Arial"/>
        </w:rPr>
        <w:t xml:space="preserve">las palabras de </w:t>
      </w:r>
      <w:r w:rsidR="24B031B5" w:rsidRPr="00F84644">
        <w:rPr>
          <w:rFonts w:ascii="Georgia" w:hAnsi="Georgia" w:cs="Arial"/>
        </w:rPr>
        <w:t xml:space="preserve">aquella </w:t>
      </w:r>
      <w:r w:rsidR="0051119D" w:rsidRPr="00F84644">
        <w:rPr>
          <w:rFonts w:ascii="Georgia" w:hAnsi="Georgia" w:cs="Arial"/>
        </w:rPr>
        <w:t>Corporación</w:t>
      </w:r>
      <w:r w:rsidR="0051119D" w:rsidRPr="00F84644">
        <w:rPr>
          <w:rStyle w:val="Refdenotaalpie"/>
          <w:rFonts w:ascii="Georgia" w:hAnsi="Georgia"/>
        </w:rPr>
        <w:footnoteReference w:id="18"/>
      </w:r>
      <w:r w:rsidR="0051119D" w:rsidRPr="00F84644">
        <w:rPr>
          <w:rFonts w:ascii="Georgia" w:hAnsi="Georgia" w:cs="Arial"/>
        </w:rPr>
        <w:t xml:space="preserve">: </w:t>
      </w:r>
    </w:p>
    <w:p w14:paraId="614126BC" w14:textId="299E0768" w:rsidR="00C91936" w:rsidRPr="00F84644" w:rsidRDefault="00C91936" w:rsidP="003D0F58">
      <w:pPr>
        <w:pStyle w:val="Sinespaciado"/>
        <w:spacing w:line="276" w:lineRule="auto"/>
        <w:jc w:val="both"/>
        <w:rPr>
          <w:rFonts w:ascii="Georgia" w:hAnsi="Georgia" w:cs="Arial"/>
        </w:rPr>
      </w:pPr>
    </w:p>
    <w:p w14:paraId="56AA608E" w14:textId="77777777" w:rsidR="00C91936" w:rsidRPr="00F84644" w:rsidRDefault="00C91936" w:rsidP="00F84644">
      <w:pPr>
        <w:widowControl w:val="0"/>
        <w:ind w:left="426" w:right="418" w:firstLine="709"/>
        <w:jc w:val="both"/>
        <w:rPr>
          <w:rFonts w:ascii="Georgia" w:hAnsi="Georgia" w:cs="Arial"/>
          <w:sz w:val="22"/>
          <w:szCs w:val="24"/>
        </w:rPr>
      </w:pPr>
      <w:r w:rsidRPr="00F84644">
        <w:rPr>
          <w:rFonts w:ascii="Georgia" w:hAnsi="Georgia" w:cs="Arial"/>
          <w:sz w:val="22"/>
          <w:szCs w:val="24"/>
        </w:rPr>
        <w:t>3.</w:t>
      </w:r>
      <w:r w:rsidRPr="00F84644">
        <w:rPr>
          <w:rFonts w:ascii="Georgia" w:hAnsi="Georgia" w:cs="Arial"/>
          <w:sz w:val="22"/>
          <w:szCs w:val="24"/>
        </w:rPr>
        <w:tab/>
        <w:t xml:space="preserve">Ahora bien, se observa que la postura asumida por el juzgado del circuito que inadmitió la alzada interpuesta contra el auto de rechazo del pliego introductor no refleja atropello, habida cuenta que los argumentos que le sirven de respaldo enmarcan dentro de lo razonable y dejan entrever que esa autoridad advirtió la existencia de las reglas de procedimiento provistas para dirimir esa clase de controversias, sin que su actuar revele arbitrariedad o subjetividad. </w:t>
      </w:r>
    </w:p>
    <w:p w14:paraId="614701F3" w14:textId="77777777" w:rsidR="00C91936" w:rsidRPr="00F84644" w:rsidRDefault="00C91936" w:rsidP="00F84644">
      <w:pPr>
        <w:widowControl w:val="0"/>
        <w:ind w:left="426" w:right="418" w:firstLine="709"/>
        <w:jc w:val="both"/>
        <w:rPr>
          <w:rFonts w:ascii="Georgia" w:hAnsi="Georgia" w:cs="Arial"/>
          <w:sz w:val="22"/>
          <w:szCs w:val="24"/>
        </w:rPr>
      </w:pPr>
    </w:p>
    <w:p w14:paraId="7C22A35C" w14:textId="77777777" w:rsidR="00C91936" w:rsidRPr="00F84644" w:rsidRDefault="00C91936" w:rsidP="00F84644">
      <w:pPr>
        <w:widowControl w:val="0"/>
        <w:ind w:left="426" w:right="418" w:firstLine="709"/>
        <w:jc w:val="both"/>
        <w:rPr>
          <w:rFonts w:ascii="Georgia" w:hAnsi="Georgia" w:cs="Arial"/>
          <w:sz w:val="22"/>
          <w:szCs w:val="24"/>
        </w:rPr>
      </w:pPr>
      <w:r w:rsidRPr="00F84644">
        <w:rPr>
          <w:rFonts w:ascii="Georgia" w:hAnsi="Georgia" w:cs="Arial"/>
          <w:sz w:val="22"/>
          <w:szCs w:val="24"/>
        </w:rPr>
        <w:t>Al respecto, téngase en cuenta que dicho estamento se apoyó en el artículo 139 del Código General del Proceso, consagratorio del trámite que se debe seguir cuando se rechaza el libelo inaugural por “</w:t>
      </w:r>
      <w:r w:rsidRPr="00F84644">
        <w:rPr>
          <w:rFonts w:ascii="Georgia" w:hAnsi="Georgia" w:cs="Arial"/>
          <w:i/>
          <w:sz w:val="22"/>
          <w:szCs w:val="24"/>
        </w:rPr>
        <w:t>falta de competencia territorial</w:t>
      </w:r>
      <w:r w:rsidRPr="00F84644">
        <w:rPr>
          <w:rFonts w:ascii="Georgia" w:hAnsi="Georgia" w:cs="Arial"/>
          <w:sz w:val="22"/>
          <w:szCs w:val="24"/>
        </w:rPr>
        <w:t>”, y con base en dicha disposición normativa encontró que la providencia apelada no era susceptible de ese medio de control, habida cuenta que, conforme lo explicitó, es de cargo del estrado a quien se reasigne la actuación entrar a pronunciarse al respecto, bien asumiendo esa atribución, ora provocando un “</w:t>
      </w:r>
      <w:r w:rsidRPr="00F84644">
        <w:rPr>
          <w:rFonts w:ascii="Georgia" w:hAnsi="Georgia" w:cs="Arial"/>
          <w:i/>
          <w:sz w:val="22"/>
          <w:szCs w:val="24"/>
        </w:rPr>
        <w:t>conflicto negativo de competencia</w:t>
      </w:r>
      <w:r w:rsidRPr="00F84644">
        <w:rPr>
          <w:rFonts w:ascii="Georgia" w:hAnsi="Georgia" w:cs="Arial"/>
          <w:sz w:val="22"/>
          <w:szCs w:val="24"/>
        </w:rPr>
        <w:t>”.</w:t>
      </w:r>
    </w:p>
    <w:p w14:paraId="57E209B0" w14:textId="77777777" w:rsidR="00C91936" w:rsidRPr="00F84644" w:rsidRDefault="00C91936" w:rsidP="00F84644">
      <w:pPr>
        <w:widowControl w:val="0"/>
        <w:tabs>
          <w:tab w:val="left" w:pos="6840"/>
        </w:tabs>
        <w:ind w:left="426" w:right="418"/>
        <w:jc w:val="both"/>
        <w:rPr>
          <w:rFonts w:ascii="Georgia" w:hAnsi="Georgia" w:cs="Arial"/>
          <w:sz w:val="22"/>
          <w:szCs w:val="24"/>
        </w:rPr>
      </w:pPr>
    </w:p>
    <w:p w14:paraId="159A9C27" w14:textId="37768D9C" w:rsidR="00C91936" w:rsidRPr="00F84644" w:rsidRDefault="00C91936" w:rsidP="00F84644">
      <w:pPr>
        <w:widowControl w:val="0"/>
        <w:ind w:left="426" w:right="418" w:firstLine="709"/>
        <w:jc w:val="both"/>
        <w:rPr>
          <w:rFonts w:ascii="Georgia" w:hAnsi="Georgia" w:cs="Arial"/>
          <w:sz w:val="22"/>
          <w:szCs w:val="24"/>
        </w:rPr>
      </w:pPr>
      <w:r w:rsidRPr="00F84644">
        <w:rPr>
          <w:rFonts w:ascii="Georgia" w:hAnsi="Georgia" w:cs="Arial"/>
          <w:sz w:val="22"/>
          <w:szCs w:val="24"/>
        </w:rPr>
        <w:t xml:space="preserve">(…) </w:t>
      </w:r>
    </w:p>
    <w:p w14:paraId="67653744" w14:textId="77777777" w:rsidR="00C91936" w:rsidRPr="00F84644" w:rsidRDefault="00C91936" w:rsidP="00F84644">
      <w:pPr>
        <w:widowControl w:val="0"/>
        <w:ind w:left="426" w:right="418" w:firstLine="709"/>
        <w:jc w:val="both"/>
        <w:rPr>
          <w:rFonts w:ascii="Georgia" w:hAnsi="Georgia" w:cs="Arial"/>
          <w:sz w:val="22"/>
          <w:szCs w:val="24"/>
        </w:rPr>
      </w:pPr>
    </w:p>
    <w:p w14:paraId="31062743" w14:textId="77777777" w:rsidR="00C91936" w:rsidRPr="00F84644" w:rsidRDefault="00C91936" w:rsidP="00F84644">
      <w:pPr>
        <w:widowControl w:val="0"/>
        <w:ind w:left="426" w:right="418" w:firstLine="709"/>
        <w:jc w:val="both"/>
        <w:rPr>
          <w:rFonts w:ascii="Georgia" w:hAnsi="Georgia" w:cs="Arial"/>
          <w:sz w:val="22"/>
          <w:szCs w:val="24"/>
        </w:rPr>
      </w:pPr>
      <w:r w:rsidRPr="00F84644">
        <w:rPr>
          <w:rFonts w:ascii="Georgia" w:hAnsi="Georgia" w:cs="Arial"/>
          <w:sz w:val="22"/>
          <w:szCs w:val="24"/>
        </w:rPr>
        <w:t>En un caso de contornos similares, esta Corte expresó:</w:t>
      </w:r>
    </w:p>
    <w:p w14:paraId="541CFCF8" w14:textId="77777777" w:rsidR="00C91936" w:rsidRPr="00F84644" w:rsidRDefault="00C91936" w:rsidP="00F84644">
      <w:pPr>
        <w:widowControl w:val="0"/>
        <w:ind w:left="426" w:right="418" w:firstLine="709"/>
        <w:jc w:val="both"/>
        <w:rPr>
          <w:rFonts w:ascii="Georgia" w:hAnsi="Georgia" w:cs="Arial"/>
          <w:sz w:val="22"/>
          <w:szCs w:val="24"/>
        </w:rPr>
      </w:pPr>
    </w:p>
    <w:p w14:paraId="7721A8CE" w14:textId="60B7BC9B" w:rsidR="00C91936" w:rsidRPr="00F84644" w:rsidRDefault="00C91936" w:rsidP="00F84644">
      <w:pPr>
        <w:pStyle w:val="Sinespaciado"/>
        <w:ind w:left="851" w:right="843"/>
        <w:jc w:val="both"/>
        <w:rPr>
          <w:rFonts w:ascii="Georgia" w:hAnsi="Georgia" w:cs="Arial"/>
          <w:sz w:val="22"/>
        </w:rPr>
      </w:pPr>
      <w:r w:rsidRPr="00F84644">
        <w:rPr>
          <w:rFonts w:ascii="Georgia" w:hAnsi="Georgia" w:cs="Arial"/>
          <w:i/>
          <w:sz w:val="22"/>
        </w:rPr>
        <w:t xml:space="preserve">«[L]a repulsa de un funcionario para tramitar un asunto por considerarse incompetente por el factor territorial, tampoco admite la apelación conforme lo dispone el artículo 148 del estatuto procesal civil, que descarta expresamente este remedio. Por ello, la Sala ha explicado que la inviabilidad de este medio de contradicción tiene “su razón de ser porque de llegar a admitirse la procedencia de la apelación contra el auto que declara la falta de competencia, se estaría obligando al superior a dirimir un conflicto de competencia que debe ser planteado por el juez a quien se envía la actuación y se niega a conocer del proceso; y al tiempo se estaría invadiendo la órbita de acción del órgano a quien el artículo 18 de la Ley 270 de 1996 le asigna la facultad para desatar el conflicto. (…) De ahí que frente a una supuesta arbitrariedad del funcionario judicial en la decisión que se viene comentando, no resulte exigible el agotamiento de los recursos ordinarios, pues esa determinación no es susceptible de alzada, tal como lo ha sostenido esta Corporación en reciente pronunciamiento» </w:t>
      </w:r>
      <w:r w:rsidRPr="00F84644">
        <w:rPr>
          <w:rFonts w:ascii="Georgia" w:hAnsi="Georgia" w:cs="Arial"/>
          <w:sz w:val="22"/>
        </w:rPr>
        <w:t>(CSJ STC 11728-2016).</w:t>
      </w:r>
    </w:p>
    <w:p w14:paraId="383F7ABB" w14:textId="5DC58727" w:rsidR="00505324" w:rsidRPr="00F84644" w:rsidRDefault="00505324" w:rsidP="003D0F58">
      <w:pPr>
        <w:pStyle w:val="Sinespaciado"/>
        <w:spacing w:line="276" w:lineRule="auto"/>
        <w:jc w:val="both"/>
        <w:rPr>
          <w:rFonts w:ascii="Georgia" w:hAnsi="Georgia" w:cs="Arial"/>
          <w:lang w:val="es-CO"/>
        </w:rPr>
      </w:pPr>
    </w:p>
    <w:p w14:paraId="765429FA" w14:textId="73A55C8C" w:rsidR="00505324" w:rsidRPr="00F84644" w:rsidRDefault="00505324" w:rsidP="003D0F58">
      <w:pPr>
        <w:pStyle w:val="Sinespaciado"/>
        <w:spacing w:line="276" w:lineRule="auto"/>
        <w:jc w:val="both"/>
        <w:rPr>
          <w:rFonts w:ascii="Georgia" w:hAnsi="Georgia" w:cs="Arial"/>
          <w:lang w:val="es-CO"/>
        </w:rPr>
      </w:pPr>
      <w:r w:rsidRPr="00F84644">
        <w:rPr>
          <w:rFonts w:ascii="Georgia" w:hAnsi="Georgia" w:cs="Arial"/>
        </w:rPr>
        <w:t xml:space="preserve">Así las cosas, </w:t>
      </w:r>
      <w:r w:rsidR="00997438" w:rsidRPr="00F84644">
        <w:rPr>
          <w:rFonts w:ascii="Georgia" w:hAnsi="Georgia" w:cs="Arial"/>
        </w:rPr>
        <w:t xml:space="preserve">sin lugar a otras consideraciones, los recursos interpuestos, por ambos </w:t>
      </w:r>
      <w:r w:rsidR="00997438" w:rsidRPr="00F84644">
        <w:rPr>
          <w:rFonts w:ascii="Georgia" w:hAnsi="Georgia" w:cs="Arial"/>
        </w:rPr>
        <w:lastRenderedPageBreak/>
        <w:t>extremos, habrán de inadmitirse</w:t>
      </w:r>
      <w:r w:rsidRPr="00F84644">
        <w:rPr>
          <w:rFonts w:ascii="Georgia" w:hAnsi="Georgia" w:cs="Arial"/>
        </w:rPr>
        <w:t xml:space="preserve">, toda vez que </w:t>
      </w:r>
      <w:r w:rsidR="00997438" w:rsidRPr="00F84644">
        <w:rPr>
          <w:rFonts w:ascii="Georgia" w:hAnsi="Georgia" w:cs="Arial"/>
        </w:rPr>
        <w:t>son improcedentes</w:t>
      </w:r>
      <w:r w:rsidRPr="00F84644">
        <w:rPr>
          <w:rFonts w:ascii="Georgia" w:hAnsi="Georgia" w:cs="Arial"/>
        </w:rPr>
        <w:t>.</w:t>
      </w:r>
    </w:p>
    <w:p w14:paraId="15DB580E" w14:textId="10793002" w:rsidR="00505324" w:rsidRPr="00F84644" w:rsidRDefault="00505324" w:rsidP="003D0F58">
      <w:pPr>
        <w:pStyle w:val="Sinespaciado"/>
        <w:spacing w:line="276" w:lineRule="auto"/>
        <w:jc w:val="both"/>
        <w:rPr>
          <w:rFonts w:ascii="Georgia" w:hAnsi="Georgia" w:cs="Arial"/>
        </w:rPr>
      </w:pPr>
    </w:p>
    <w:p w14:paraId="143388A2" w14:textId="77777777" w:rsidR="00997438" w:rsidRPr="00F84644" w:rsidRDefault="00997438" w:rsidP="003D0F58">
      <w:pPr>
        <w:pStyle w:val="Sinespaciado"/>
        <w:spacing w:line="276" w:lineRule="auto"/>
        <w:jc w:val="both"/>
        <w:rPr>
          <w:rFonts w:ascii="Georgia" w:hAnsi="Georgia" w:cs="Arial"/>
        </w:rPr>
      </w:pPr>
    </w:p>
    <w:p w14:paraId="1ACDCADC" w14:textId="77777777" w:rsidR="00505324" w:rsidRPr="00F84644" w:rsidRDefault="00505324" w:rsidP="003D0F58">
      <w:pPr>
        <w:pStyle w:val="Textoindependiente"/>
        <w:numPr>
          <w:ilvl w:val="0"/>
          <w:numId w:val="13"/>
        </w:numPr>
        <w:spacing w:line="276" w:lineRule="auto"/>
        <w:rPr>
          <w:rFonts w:ascii="Georgia" w:hAnsi="Georgia"/>
          <w:b/>
          <w:smallCaps/>
          <w:szCs w:val="24"/>
        </w:rPr>
      </w:pPr>
      <w:r w:rsidRPr="00F84644">
        <w:rPr>
          <w:rFonts w:ascii="Georgia" w:hAnsi="Georgia"/>
          <w:b/>
          <w:smallCaps/>
          <w:szCs w:val="24"/>
        </w:rPr>
        <w:t>las decisiones finales</w:t>
      </w:r>
    </w:p>
    <w:p w14:paraId="63EC0F1E" w14:textId="77777777" w:rsidR="00505324" w:rsidRPr="00F84644" w:rsidRDefault="00505324" w:rsidP="003D0F58">
      <w:pPr>
        <w:pStyle w:val="Textopredeterminado"/>
        <w:spacing w:line="276" w:lineRule="auto"/>
        <w:jc w:val="both"/>
        <w:rPr>
          <w:rFonts w:ascii="Georgia" w:hAnsi="Georgia" w:cs="Arial"/>
          <w:color w:val="auto"/>
          <w:szCs w:val="24"/>
        </w:rPr>
      </w:pPr>
    </w:p>
    <w:p w14:paraId="720CF0C0" w14:textId="2C831687" w:rsidR="00505324" w:rsidRPr="00F84644" w:rsidRDefault="00505324" w:rsidP="003D0F58">
      <w:pPr>
        <w:pStyle w:val="Textopredeterminado"/>
        <w:spacing w:line="276" w:lineRule="auto"/>
        <w:jc w:val="both"/>
        <w:rPr>
          <w:rFonts w:ascii="Georgia" w:hAnsi="Georgia" w:cs="Arial"/>
          <w:color w:val="auto"/>
          <w:szCs w:val="24"/>
        </w:rPr>
      </w:pPr>
      <w:r w:rsidRPr="00F84644">
        <w:rPr>
          <w:rFonts w:ascii="Georgia" w:hAnsi="Georgia" w:cs="Arial"/>
          <w:color w:val="auto"/>
          <w:szCs w:val="24"/>
        </w:rPr>
        <w:t xml:space="preserve">Con estribo en las premisas anteriores: </w:t>
      </w:r>
      <w:r w:rsidRPr="00F84644">
        <w:rPr>
          <w:rFonts w:ascii="Georgia" w:hAnsi="Georgia" w:cs="Arial"/>
          <w:b/>
          <w:color w:val="auto"/>
          <w:szCs w:val="24"/>
        </w:rPr>
        <w:t>(i)</w:t>
      </w:r>
      <w:r w:rsidRPr="00F84644">
        <w:rPr>
          <w:rFonts w:ascii="Georgia" w:hAnsi="Georgia" w:cs="Arial"/>
          <w:color w:val="auto"/>
          <w:szCs w:val="24"/>
        </w:rPr>
        <w:t xml:space="preserve"> Se dispondrá la inadmisibilidad del recurso; </w:t>
      </w:r>
      <w:r w:rsidR="00997438" w:rsidRPr="00F84644">
        <w:rPr>
          <w:rFonts w:ascii="Georgia" w:hAnsi="Georgia" w:cs="Arial"/>
          <w:color w:val="auto"/>
          <w:szCs w:val="24"/>
        </w:rPr>
        <w:t xml:space="preserve">y, </w:t>
      </w:r>
      <w:r w:rsidRPr="00F84644">
        <w:rPr>
          <w:rFonts w:ascii="Georgia" w:hAnsi="Georgia" w:cs="Arial"/>
          <w:b/>
          <w:color w:val="auto"/>
          <w:szCs w:val="24"/>
        </w:rPr>
        <w:t>(ii)</w:t>
      </w:r>
      <w:r w:rsidRPr="00F84644">
        <w:rPr>
          <w:rFonts w:ascii="Georgia" w:hAnsi="Georgia" w:cs="Arial"/>
          <w:color w:val="auto"/>
          <w:szCs w:val="24"/>
        </w:rPr>
        <w:t xml:space="preserve"> Se advertirá que esta decisión es irrecurrible </w:t>
      </w:r>
      <w:r w:rsidR="00997438" w:rsidRPr="00F84644">
        <w:rPr>
          <w:rFonts w:ascii="Georgia" w:hAnsi="Georgia" w:cs="Arial"/>
          <w:color w:val="auto"/>
          <w:szCs w:val="24"/>
        </w:rPr>
        <w:t>[</w:t>
      </w:r>
      <w:r w:rsidRPr="00F84644">
        <w:rPr>
          <w:rFonts w:ascii="Georgia" w:hAnsi="Georgia" w:cs="Arial"/>
          <w:color w:val="auto"/>
          <w:szCs w:val="24"/>
        </w:rPr>
        <w:t>Artículo 318, CGP</w:t>
      </w:r>
      <w:r w:rsidR="00997438" w:rsidRPr="00F84644">
        <w:rPr>
          <w:rFonts w:ascii="Georgia" w:hAnsi="Georgia" w:cs="Arial"/>
          <w:color w:val="auto"/>
          <w:szCs w:val="24"/>
        </w:rPr>
        <w:t>]</w:t>
      </w:r>
      <w:r w:rsidRPr="00F84644">
        <w:rPr>
          <w:rFonts w:ascii="Georgia" w:hAnsi="Georgia" w:cs="Arial"/>
          <w:color w:val="auto"/>
          <w:szCs w:val="24"/>
        </w:rPr>
        <w:t>.</w:t>
      </w:r>
    </w:p>
    <w:p w14:paraId="3C040373" w14:textId="77777777" w:rsidR="00CA3AED" w:rsidRPr="00F84644" w:rsidRDefault="00CA3AED" w:rsidP="003D0F58">
      <w:pPr>
        <w:pStyle w:val="Textopredeterminado"/>
        <w:spacing w:line="276" w:lineRule="auto"/>
        <w:jc w:val="both"/>
        <w:rPr>
          <w:rFonts w:ascii="Georgia" w:hAnsi="Georgia" w:cs="Arial"/>
          <w:color w:val="auto"/>
          <w:szCs w:val="24"/>
        </w:rPr>
      </w:pPr>
    </w:p>
    <w:p w14:paraId="532E6341" w14:textId="2E8CD9AC" w:rsidR="00505324" w:rsidRPr="00F84644" w:rsidRDefault="00505324" w:rsidP="003D0F58">
      <w:pPr>
        <w:tabs>
          <w:tab w:val="left" w:pos="-720"/>
        </w:tabs>
        <w:suppressAutoHyphens/>
        <w:spacing w:line="276" w:lineRule="auto"/>
        <w:jc w:val="both"/>
        <w:rPr>
          <w:rFonts w:ascii="Georgia" w:hAnsi="Georgia" w:cs="Arial"/>
          <w:sz w:val="24"/>
          <w:szCs w:val="24"/>
        </w:rPr>
      </w:pPr>
      <w:r w:rsidRPr="00F84644">
        <w:rPr>
          <w:rFonts w:ascii="Georgia" w:hAnsi="Georgia" w:cs="Arial"/>
          <w:sz w:val="24"/>
          <w:szCs w:val="24"/>
        </w:rPr>
        <w:t xml:space="preserve">En mérito de lo discurrido en los acápites precedentes, el </w:t>
      </w:r>
      <w:r w:rsidRPr="00F84644">
        <w:rPr>
          <w:rFonts w:ascii="Georgia" w:hAnsi="Georgia" w:cs="Arial"/>
          <w:smallCaps/>
          <w:sz w:val="24"/>
          <w:szCs w:val="24"/>
        </w:rPr>
        <w:t>Tribunal Superior del Distrito Judicial de Pereira, Sala Unitaria de Decisión</w:t>
      </w:r>
      <w:r w:rsidRPr="00F84644">
        <w:rPr>
          <w:rFonts w:ascii="Georgia" w:hAnsi="Georgia" w:cs="Arial"/>
          <w:sz w:val="24"/>
          <w:szCs w:val="24"/>
        </w:rPr>
        <w:t>,</w:t>
      </w:r>
    </w:p>
    <w:p w14:paraId="6C877792" w14:textId="77777777" w:rsidR="00997438" w:rsidRPr="00F84644" w:rsidRDefault="00997438" w:rsidP="003D0F58">
      <w:pPr>
        <w:tabs>
          <w:tab w:val="left" w:pos="-720"/>
        </w:tabs>
        <w:suppressAutoHyphens/>
        <w:spacing w:line="276" w:lineRule="auto"/>
        <w:jc w:val="both"/>
        <w:rPr>
          <w:rFonts w:ascii="Georgia" w:hAnsi="Georgia" w:cs="Arial"/>
          <w:spacing w:val="-3"/>
          <w:sz w:val="24"/>
          <w:szCs w:val="24"/>
        </w:rPr>
      </w:pPr>
    </w:p>
    <w:p w14:paraId="3B422727" w14:textId="77777777" w:rsidR="00505324" w:rsidRPr="00F84644" w:rsidRDefault="00505324" w:rsidP="003D0F58">
      <w:pPr>
        <w:pStyle w:val="Sinespaciado"/>
        <w:spacing w:line="276" w:lineRule="auto"/>
        <w:jc w:val="center"/>
        <w:rPr>
          <w:rFonts w:ascii="Georgia" w:hAnsi="Georgia" w:cs="Arial"/>
        </w:rPr>
      </w:pPr>
      <w:r w:rsidRPr="00F84644">
        <w:rPr>
          <w:rFonts w:ascii="Georgia" w:hAnsi="Georgia" w:cs="Arial"/>
        </w:rPr>
        <w:t>R E S U E L V E,</w:t>
      </w:r>
    </w:p>
    <w:p w14:paraId="1A332A58" w14:textId="77777777" w:rsidR="00997438" w:rsidRPr="00F84644" w:rsidRDefault="00997438" w:rsidP="003D0F58">
      <w:pPr>
        <w:pStyle w:val="Textopredeterminado"/>
        <w:spacing w:line="276" w:lineRule="auto"/>
        <w:ind w:left="360"/>
        <w:jc w:val="both"/>
        <w:rPr>
          <w:rFonts w:ascii="Georgia" w:hAnsi="Georgia" w:cs="Arial"/>
          <w:color w:val="auto"/>
          <w:szCs w:val="24"/>
        </w:rPr>
      </w:pPr>
    </w:p>
    <w:p w14:paraId="73E4E4A6" w14:textId="1B919E2F" w:rsidR="00505324" w:rsidRPr="00F84644" w:rsidRDefault="00505324" w:rsidP="003D0F58">
      <w:pPr>
        <w:pStyle w:val="Textopredeterminado"/>
        <w:numPr>
          <w:ilvl w:val="0"/>
          <w:numId w:val="12"/>
        </w:numPr>
        <w:spacing w:line="276" w:lineRule="auto"/>
        <w:jc w:val="both"/>
        <w:rPr>
          <w:rFonts w:ascii="Georgia" w:hAnsi="Georgia" w:cs="Arial"/>
          <w:color w:val="auto"/>
          <w:szCs w:val="24"/>
        </w:rPr>
      </w:pPr>
      <w:r w:rsidRPr="00F84644">
        <w:rPr>
          <w:rFonts w:ascii="Georgia" w:hAnsi="Georgia" w:cs="Arial"/>
          <w:color w:val="auto"/>
          <w:szCs w:val="24"/>
        </w:rPr>
        <w:t>DECLARAR inadmisible</w:t>
      </w:r>
      <w:r w:rsidR="00997438" w:rsidRPr="00F84644">
        <w:rPr>
          <w:rFonts w:ascii="Georgia" w:hAnsi="Georgia" w:cs="Arial"/>
          <w:color w:val="auto"/>
          <w:szCs w:val="24"/>
        </w:rPr>
        <w:t>s</w:t>
      </w:r>
      <w:r w:rsidRPr="00F84644">
        <w:rPr>
          <w:rFonts w:ascii="Georgia" w:hAnsi="Georgia" w:cs="Arial"/>
          <w:color w:val="auto"/>
          <w:szCs w:val="24"/>
        </w:rPr>
        <w:t xml:space="preserve"> l</w:t>
      </w:r>
      <w:r w:rsidR="00997438" w:rsidRPr="00F84644">
        <w:rPr>
          <w:rFonts w:ascii="Georgia" w:hAnsi="Georgia" w:cs="Arial"/>
          <w:color w:val="auto"/>
          <w:szCs w:val="24"/>
        </w:rPr>
        <w:t>os</w:t>
      </w:r>
      <w:r w:rsidRPr="00F84644">
        <w:rPr>
          <w:rFonts w:ascii="Georgia" w:hAnsi="Georgia" w:cs="Arial"/>
          <w:color w:val="auto"/>
          <w:szCs w:val="24"/>
        </w:rPr>
        <w:t xml:space="preserve"> recurso</w:t>
      </w:r>
      <w:r w:rsidR="00997438" w:rsidRPr="00F84644">
        <w:rPr>
          <w:rFonts w:ascii="Georgia" w:hAnsi="Georgia" w:cs="Arial"/>
          <w:color w:val="auto"/>
          <w:szCs w:val="24"/>
        </w:rPr>
        <w:t xml:space="preserve">s de reposición y en subsidio de apelación </w:t>
      </w:r>
      <w:r w:rsidRPr="00F84644">
        <w:rPr>
          <w:rFonts w:ascii="Georgia" w:hAnsi="Georgia" w:cs="Arial"/>
          <w:color w:val="auto"/>
          <w:szCs w:val="24"/>
        </w:rPr>
        <w:t>formulado</w:t>
      </w:r>
      <w:r w:rsidR="00997438" w:rsidRPr="00F84644">
        <w:rPr>
          <w:rFonts w:ascii="Georgia" w:hAnsi="Georgia" w:cs="Arial"/>
          <w:color w:val="auto"/>
          <w:szCs w:val="24"/>
        </w:rPr>
        <w:t>s</w:t>
      </w:r>
      <w:r w:rsidRPr="00F84644">
        <w:rPr>
          <w:rFonts w:ascii="Georgia" w:hAnsi="Georgia" w:cs="Arial"/>
          <w:color w:val="auto"/>
          <w:szCs w:val="24"/>
        </w:rPr>
        <w:t xml:space="preserve"> contra el auto emitido el </w:t>
      </w:r>
      <w:r w:rsidR="00997438" w:rsidRPr="00F84644">
        <w:rPr>
          <w:rFonts w:ascii="Georgia" w:hAnsi="Georgia" w:cs="Arial"/>
          <w:color w:val="auto"/>
          <w:szCs w:val="24"/>
        </w:rPr>
        <w:t>21-09-2022</w:t>
      </w:r>
      <w:r w:rsidRPr="00F84644">
        <w:rPr>
          <w:rFonts w:ascii="Georgia" w:hAnsi="Georgia" w:cs="Arial"/>
          <w:color w:val="auto"/>
          <w:szCs w:val="24"/>
        </w:rPr>
        <w:t xml:space="preserve">. </w:t>
      </w:r>
    </w:p>
    <w:p w14:paraId="2F249A35" w14:textId="77777777" w:rsidR="00505324" w:rsidRPr="00F84644" w:rsidRDefault="00505324" w:rsidP="003D0F58">
      <w:pPr>
        <w:pStyle w:val="Textopredeterminado"/>
        <w:spacing w:line="276" w:lineRule="auto"/>
        <w:ind w:left="360"/>
        <w:jc w:val="both"/>
        <w:rPr>
          <w:rFonts w:ascii="Georgia" w:hAnsi="Georgia" w:cs="Arial"/>
          <w:color w:val="auto"/>
          <w:szCs w:val="24"/>
        </w:rPr>
      </w:pPr>
    </w:p>
    <w:p w14:paraId="2A3CBE4B" w14:textId="77777777" w:rsidR="00505324" w:rsidRPr="00F84644" w:rsidRDefault="00505324" w:rsidP="003D0F58">
      <w:pPr>
        <w:pStyle w:val="Textopredeterminado"/>
        <w:numPr>
          <w:ilvl w:val="0"/>
          <w:numId w:val="11"/>
        </w:numPr>
        <w:spacing w:line="276" w:lineRule="auto"/>
        <w:jc w:val="both"/>
        <w:textAlignment w:val="baseline"/>
        <w:rPr>
          <w:rFonts w:ascii="Georgia" w:hAnsi="Georgia" w:cs="Arial"/>
          <w:color w:val="auto"/>
          <w:szCs w:val="24"/>
        </w:rPr>
      </w:pPr>
      <w:r w:rsidRPr="00F84644">
        <w:rPr>
          <w:rFonts w:ascii="Georgia" w:hAnsi="Georgia" w:cs="Arial"/>
          <w:color w:val="auto"/>
          <w:szCs w:val="24"/>
        </w:rPr>
        <w:t>ADVERTIR que esta decisión es irrecurrible.</w:t>
      </w:r>
    </w:p>
    <w:p w14:paraId="69C3BF70" w14:textId="77777777" w:rsidR="003D0F58" w:rsidRPr="00F84644" w:rsidRDefault="003D0F58" w:rsidP="003D0F58">
      <w:pPr>
        <w:pStyle w:val="Prrafodelista"/>
        <w:spacing w:line="276" w:lineRule="auto"/>
        <w:ind w:left="360"/>
        <w:jc w:val="center"/>
        <w:rPr>
          <w:rFonts w:ascii="Georgia" w:hAnsi="Georgia" w:cs="Arial"/>
          <w:smallCaps/>
          <w:sz w:val="24"/>
          <w:szCs w:val="24"/>
        </w:rPr>
      </w:pPr>
    </w:p>
    <w:p w14:paraId="15941856" w14:textId="77777777" w:rsidR="003D0F58" w:rsidRPr="00F84644" w:rsidRDefault="003D0F58" w:rsidP="003D0F58">
      <w:pPr>
        <w:pStyle w:val="Prrafodelista"/>
        <w:spacing w:line="276" w:lineRule="auto"/>
        <w:ind w:left="360"/>
        <w:jc w:val="center"/>
        <w:rPr>
          <w:rFonts w:ascii="Georgia" w:hAnsi="Georgia" w:cs="Arial"/>
          <w:smallCaps/>
          <w:sz w:val="24"/>
          <w:szCs w:val="24"/>
        </w:rPr>
      </w:pPr>
      <w:r w:rsidRPr="00F84644">
        <w:rPr>
          <w:rFonts w:ascii="Georgia" w:hAnsi="Georgia" w:cs="Arial"/>
          <w:smallCaps/>
          <w:sz w:val="24"/>
          <w:szCs w:val="24"/>
        </w:rPr>
        <w:t>Notifíquese,</w:t>
      </w:r>
    </w:p>
    <w:p w14:paraId="6D765D40" w14:textId="407F047E" w:rsidR="003D0F58" w:rsidRDefault="003D0F58" w:rsidP="003D0F58">
      <w:pPr>
        <w:pStyle w:val="Textopredeterminado"/>
        <w:spacing w:line="276" w:lineRule="auto"/>
        <w:ind w:left="360"/>
        <w:jc w:val="center"/>
        <w:rPr>
          <w:rFonts w:ascii="Georgia" w:hAnsi="Georgia" w:cs="Arial"/>
          <w:caps/>
          <w:color w:val="auto"/>
          <w:spacing w:val="20"/>
          <w:w w:val="150"/>
          <w:szCs w:val="24"/>
          <w:lang w:val="es-MX"/>
        </w:rPr>
      </w:pPr>
    </w:p>
    <w:p w14:paraId="63DC3528" w14:textId="11F02224" w:rsidR="0095748C" w:rsidRDefault="0095748C" w:rsidP="003D0F58">
      <w:pPr>
        <w:pStyle w:val="Textopredeterminado"/>
        <w:spacing w:line="276" w:lineRule="auto"/>
        <w:ind w:left="360"/>
        <w:jc w:val="center"/>
        <w:rPr>
          <w:rFonts w:ascii="Georgia" w:hAnsi="Georgia" w:cs="Arial"/>
          <w:caps/>
          <w:color w:val="auto"/>
          <w:spacing w:val="20"/>
          <w:w w:val="150"/>
          <w:szCs w:val="24"/>
          <w:lang w:val="es-MX"/>
        </w:rPr>
      </w:pPr>
    </w:p>
    <w:p w14:paraId="445A740D" w14:textId="77777777" w:rsidR="0095748C" w:rsidRPr="00F84644" w:rsidRDefault="0095748C" w:rsidP="003D0F58">
      <w:pPr>
        <w:pStyle w:val="Textopredeterminado"/>
        <w:spacing w:line="276" w:lineRule="auto"/>
        <w:ind w:left="360"/>
        <w:jc w:val="center"/>
        <w:rPr>
          <w:rFonts w:ascii="Georgia" w:hAnsi="Georgia" w:cs="Arial"/>
          <w:caps/>
          <w:color w:val="auto"/>
          <w:spacing w:val="20"/>
          <w:w w:val="150"/>
          <w:szCs w:val="24"/>
          <w:lang w:val="es-MX"/>
        </w:rPr>
      </w:pPr>
    </w:p>
    <w:p w14:paraId="70E4616C" w14:textId="77777777" w:rsidR="003D0F58" w:rsidRPr="00F84644" w:rsidRDefault="003D0F58" w:rsidP="003D0F58">
      <w:pPr>
        <w:pStyle w:val="Textopredeterminado"/>
        <w:spacing w:line="276" w:lineRule="auto"/>
        <w:ind w:left="360"/>
        <w:jc w:val="center"/>
        <w:rPr>
          <w:rFonts w:ascii="Georgia" w:hAnsi="Georgia" w:cs="Arial"/>
          <w:caps/>
          <w:spacing w:val="20"/>
          <w:w w:val="150"/>
          <w:szCs w:val="24"/>
          <w:lang w:val="es-MX"/>
        </w:rPr>
      </w:pPr>
    </w:p>
    <w:p w14:paraId="047A7223" w14:textId="77777777" w:rsidR="003D0F58" w:rsidRPr="00F84644" w:rsidRDefault="003D0F58" w:rsidP="003D0F58">
      <w:pPr>
        <w:overflowPunct w:val="0"/>
        <w:autoSpaceDE w:val="0"/>
        <w:autoSpaceDN w:val="0"/>
        <w:adjustRightInd w:val="0"/>
        <w:spacing w:line="276" w:lineRule="auto"/>
        <w:jc w:val="center"/>
        <w:textAlignment w:val="baseline"/>
        <w:rPr>
          <w:rFonts w:ascii="Georgia" w:hAnsi="Georgia" w:cs="Arial"/>
          <w:b/>
          <w:bCs/>
          <w:caps/>
          <w:spacing w:val="20"/>
          <w:w w:val="150"/>
          <w:sz w:val="24"/>
          <w:szCs w:val="24"/>
          <w:lang w:val="es-MX"/>
        </w:rPr>
      </w:pPr>
      <w:r w:rsidRPr="00F84644">
        <w:rPr>
          <w:rFonts w:ascii="Georgia" w:hAnsi="Georgia" w:cs="Arial"/>
          <w:b/>
          <w:bCs/>
          <w:caps/>
          <w:spacing w:val="20"/>
          <w:w w:val="150"/>
          <w:sz w:val="24"/>
          <w:szCs w:val="24"/>
          <w:lang w:val="es-MX"/>
        </w:rPr>
        <w:t>DUBERNEY GRISALES HERRERA</w:t>
      </w:r>
    </w:p>
    <w:p w14:paraId="5D7CE6ED" w14:textId="4AF42662" w:rsidR="00A61E8D" w:rsidRPr="00F84644" w:rsidRDefault="003D0F58" w:rsidP="003D0F58">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20"/>
          <w:w w:val="150"/>
          <w:kern w:val="28"/>
          <w:sz w:val="24"/>
          <w:szCs w:val="24"/>
        </w:rPr>
      </w:pPr>
      <w:r w:rsidRPr="00F84644">
        <w:rPr>
          <w:rFonts w:ascii="Georgia" w:hAnsi="Georgia" w:cs="Arial"/>
          <w:bCs/>
          <w:caps/>
          <w:spacing w:val="20"/>
          <w:w w:val="150"/>
          <w:kern w:val="28"/>
          <w:sz w:val="24"/>
          <w:szCs w:val="24"/>
        </w:rPr>
        <w:t>Magistrado</w:t>
      </w:r>
    </w:p>
    <w:sectPr w:rsidR="00A61E8D" w:rsidRPr="00F84644" w:rsidSect="007D2A11">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8909CA" w16cex:dateUtc="2022-09-23T13:10:20.711Z"/>
  <w16cex:commentExtensible w16cex:durableId="5AA96308" w16cex:dateUtc="2022-09-23T13:13:41.394Z"/>
  <w16cex:commentExtensible w16cex:durableId="3EE7B65D" w16cex:dateUtc="2022-09-23T13:14:20.772Z"/>
  <w16cex:commentExtensible w16cex:durableId="27F5770C" w16cex:dateUtc="2022-09-23T13:14:38.491Z"/>
  <w16cex:commentExtensible w16cex:durableId="47718275" w16cex:dateUtc="2022-09-23T13:15:01.194Z"/>
  <w16cex:commentExtensible w16cex:durableId="49A3484B" w16cex:dateUtc="2022-10-24T15:55:23.1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1DCF" w14:textId="77777777" w:rsidR="007C3F55" w:rsidRDefault="007C3F55" w:rsidP="009A1240">
      <w:r>
        <w:separator/>
      </w:r>
    </w:p>
  </w:endnote>
  <w:endnote w:type="continuationSeparator" w:id="0">
    <w:p w14:paraId="594260BF" w14:textId="77777777" w:rsidR="007C3F55" w:rsidRDefault="007C3F55" w:rsidP="009A1240">
      <w:r>
        <w:continuationSeparator/>
      </w:r>
    </w:p>
  </w:endnote>
  <w:endnote w:type="continuationNotice" w:id="1">
    <w:p w14:paraId="5B6C85F3" w14:textId="77777777" w:rsidR="007C3F55" w:rsidRDefault="007C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807E" w14:textId="77777777" w:rsidR="00045CE3" w:rsidRPr="0073352B" w:rsidRDefault="00045CE3" w:rsidP="00045CE3">
    <w:pPr>
      <w:pStyle w:val="Piedepgina"/>
      <w:pBdr>
        <w:bottom w:val="double" w:sz="6" w:space="1" w:color="auto"/>
      </w:pBdr>
      <w:spacing w:line="360" w:lineRule="auto"/>
      <w:jc w:val="right"/>
      <w:rPr>
        <w:rFonts w:ascii="Arial" w:hAnsi="Arial" w:cs="Arial"/>
        <w:color w:val="0000CC"/>
        <w:spacing w:val="20"/>
        <w:w w:val="200"/>
        <w:sz w:val="14"/>
        <w:szCs w:val="10"/>
        <w:lang w:val="es-CO"/>
      </w:rPr>
    </w:pPr>
  </w:p>
  <w:p w14:paraId="53C5807F" w14:textId="77777777" w:rsidR="00045CE3" w:rsidRPr="0073352B" w:rsidRDefault="00045CE3" w:rsidP="00045CE3">
    <w:pPr>
      <w:pStyle w:val="Piedepgina"/>
      <w:spacing w:line="360" w:lineRule="auto"/>
      <w:jc w:val="right"/>
      <w:rPr>
        <w:rFonts w:ascii="Arial" w:hAnsi="Arial" w:cs="Arial"/>
        <w:color w:val="0000CC"/>
        <w:spacing w:val="20"/>
        <w:w w:val="200"/>
        <w:sz w:val="14"/>
        <w:szCs w:val="10"/>
        <w:lang w:val="es-CO"/>
      </w:rPr>
    </w:pPr>
  </w:p>
  <w:p w14:paraId="53C58080" w14:textId="77777777" w:rsidR="003C5098" w:rsidRPr="007D2A11" w:rsidRDefault="003C5098" w:rsidP="007D2A11">
    <w:pPr>
      <w:pStyle w:val="Piedepgina"/>
      <w:jc w:val="right"/>
      <w:rPr>
        <w:rFonts w:ascii="Arial" w:hAnsi="Arial" w:cs="Arial"/>
        <w:spacing w:val="20"/>
        <w:w w:val="200"/>
        <w:sz w:val="12"/>
        <w:szCs w:val="10"/>
      </w:rPr>
    </w:pPr>
    <w:r w:rsidRPr="007D2A11">
      <w:rPr>
        <w:rFonts w:ascii="Arial" w:hAnsi="Arial" w:cs="Arial"/>
        <w:spacing w:val="20"/>
        <w:w w:val="200"/>
        <w:sz w:val="16"/>
        <w:szCs w:val="14"/>
      </w:rPr>
      <w:t>T</w:t>
    </w:r>
    <w:r w:rsidRPr="007D2A11">
      <w:rPr>
        <w:rFonts w:ascii="Arial" w:hAnsi="Arial" w:cs="Arial"/>
        <w:spacing w:val="20"/>
        <w:w w:val="200"/>
        <w:sz w:val="12"/>
        <w:szCs w:val="10"/>
      </w:rPr>
      <w:t xml:space="preserve">RIBUNAL </w:t>
    </w:r>
    <w:r w:rsidRPr="007D2A11">
      <w:rPr>
        <w:rFonts w:ascii="Arial" w:hAnsi="Arial" w:cs="Arial"/>
        <w:spacing w:val="20"/>
        <w:w w:val="200"/>
        <w:sz w:val="16"/>
        <w:szCs w:val="14"/>
      </w:rPr>
      <w:t>S</w:t>
    </w:r>
    <w:r w:rsidRPr="007D2A11">
      <w:rPr>
        <w:rFonts w:ascii="Arial" w:hAnsi="Arial" w:cs="Arial"/>
        <w:spacing w:val="20"/>
        <w:w w:val="200"/>
        <w:sz w:val="12"/>
        <w:szCs w:val="10"/>
      </w:rPr>
      <w:t xml:space="preserve">UPERIOR DE </w:t>
    </w:r>
    <w:r w:rsidRPr="007D2A11">
      <w:rPr>
        <w:rFonts w:ascii="Arial" w:hAnsi="Arial" w:cs="Arial"/>
        <w:spacing w:val="20"/>
        <w:w w:val="200"/>
        <w:sz w:val="16"/>
        <w:szCs w:val="14"/>
      </w:rPr>
      <w:t>P</w:t>
    </w:r>
    <w:r w:rsidRPr="007D2A11">
      <w:rPr>
        <w:rFonts w:ascii="Arial" w:hAnsi="Arial" w:cs="Arial"/>
        <w:spacing w:val="20"/>
        <w:w w:val="200"/>
        <w:sz w:val="12"/>
        <w:szCs w:val="10"/>
      </w:rPr>
      <w:t>EREIRA</w:t>
    </w:r>
  </w:p>
  <w:p w14:paraId="53C58081" w14:textId="77777777" w:rsidR="00045CE3" w:rsidRPr="007D2A11" w:rsidRDefault="00045CE3" w:rsidP="007D2A11">
    <w:pPr>
      <w:pStyle w:val="Piedepgina"/>
      <w:jc w:val="right"/>
      <w:rPr>
        <w:sz w:val="22"/>
      </w:rPr>
    </w:pPr>
    <w:r w:rsidRPr="007D2A11">
      <w:rPr>
        <w:rFonts w:ascii="Arial" w:hAnsi="Arial" w:cs="Arial"/>
        <w:spacing w:val="20"/>
        <w:w w:val="200"/>
        <w:sz w:val="12"/>
        <w:szCs w:val="10"/>
        <w:lang w:val="es-CO"/>
      </w:rPr>
      <w:t>M</w:t>
    </w:r>
    <w:r w:rsidR="00D851DA" w:rsidRPr="007D2A11">
      <w:rPr>
        <w:rFonts w:ascii="Arial" w:hAnsi="Arial" w:cs="Arial"/>
        <w:spacing w:val="20"/>
        <w:w w:val="200"/>
        <w:sz w:val="12"/>
        <w:szCs w:val="10"/>
        <w:lang w:val="es-CO"/>
      </w:rPr>
      <w:t>S</w:t>
    </w:r>
    <w:r w:rsidRPr="007D2A11">
      <w:rPr>
        <w:rFonts w:ascii="Arial" w:hAnsi="Arial" w:cs="Arial"/>
        <w:spacing w:val="20"/>
        <w:w w:val="200"/>
        <w:sz w:val="12"/>
        <w:szCs w:val="10"/>
        <w:lang w:val="es-CO"/>
      </w:rPr>
      <w:t xml:space="preserve"> </w:t>
    </w:r>
    <w:r w:rsidRPr="007D2A11">
      <w:rPr>
        <w:rFonts w:ascii="Arial" w:hAnsi="Arial" w:cs="Arial"/>
        <w:spacing w:val="20"/>
        <w:w w:val="200"/>
        <w:sz w:val="14"/>
        <w:szCs w:val="10"/>
        <w:lang w:val="es-CO"/>
      </w:rPr>
      <w:t>D</w:t>
    </w:r>
    <w:r w:rsidRPr="007D2A11">
      <w:rPr>
        <w:rFonts w:ascii="Arial" w:hAnsi="Arial" w:cs="Arial"/>
        <w:spacing w:val="20"/>
        <w:w w:val="200"/>
        <w:sz w:val="10"/>
        <w:szCs w:val="10"/>
        <w:lang w:val="es-CO"/>
      </w:rPr>
      <w:t>UBERNEY</w:t>
    </w:r>
    <w:r w:rsidRPr="007D2A11">
      <w:rPr>
        <w:rFonts w:ascii="Arial" w:hAnsi="Arial" w:cs="Arial"/>
        <w:spacing w:val="20"/>
        <w:w w:val="200"/>
        <w:sz w:val="12"/>
        <w:szCs w:val="10"/>
        <w:lang w:val="es-CO"/>
      </w:rPr>
      <w:t xml:space="preserve"> </w:t>
    </w:r>
    <w:r w:rsidRPr="007D2A11">
      <w:rPr>
        <w:rFonts w:ascii="Arial" w:hAnsi="Arial" w:cs="Arial"/>
        <w:spacing w:val="20"/>
        <w:w w:val="200"/>
        <w:sz w:val="14"/>
        <w:szCs w:val="10"/>
        <w:lang w:val="es-CO"/>
      </w:rPr>
      <w:t>G</w:t>
    </w:r>
    <w:r w:rsidRPr="007D2A11">
      <w:rPr>
        <w:rFonts w:ascii="Arial" w:hAnsi="Arial" w:cs="Arial"/>
        <w:spacing w:val="20"/>
        <w:w w:val="200"/>
        <w:sz w:val="10"/>
        <w:szCs w:val="10"/>
        <w:lang w:val="es-CO"/>
      </w:rPr>
      <w:t>RISALES</w:t>
    </w:r>
    <w:r w:rsidRPr="007D2A11">
      <w:rPr>
        <w:rFonts w:ascii="Arial" w:hAnsi="Arial" w:cs="Arial"/>
        <w:spacing w:val="20"/>
        <w:w w:val="200"/>
        <w:sz w:val="12"/>
        <w:szCs w:val="10"/>
        <w:lang w:val="es-CO"/>
      </w:rPr>
      <w:t xml:space="preserve"> </w:t>
    </w:r>
    <w:r w:rsidRPr="007D2A11">
      <w:rPr>
        <w:rFonts w:ascii="Arial" w:hAnsi="Arial" w:cs="Arial"/>
        <w:spacing w:val="20"/>
        <w:w w:val="200"/>
        <w:sz w:val="14"/>
        <w:szCs w:val="10"/>
        <w:lang w:val="es-CO"/>
      </w:rPr>
      <w:t>H</w:t>
    </w:r>
    <w:r w:rsidRPr="007D2A11">
      <w:rPr>
        <w:rFonts w:ascii="Arial" w:hAnsi="Arial" w:cs="Arial"/>
        <w:spacing w:val="20"/>
        <w:w w:val="200"/>
        <w:sz w:val="10"/>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14001" w14:textId="77777777" w:rsidR="007C3F55" w:rsidRDefault="007C3F55" w:rsidP="009A1240">
      <w:r>
        <w:separator/>
      </w:r>
    </w:p>
  </w:footnote>
  <w:footnote w:type="continuationSeparator" w:id="0">
    <w:p w14:paraId="3030B955" w14:textId="77777777" w:rsidR="007C3F55" w:rsidRDefault="007C3F55" w:rsidP="009A1240">
      <w:r>
        <w:continuationSeparator/>
      </w:r>
    </w:p>
  </w:footnote>
  <w:footnote w:type="continuationNotice" w:id="1">
    <w:p w14:paraId="118BF1B0" w14:textId="77777777" w:rsidR="007C3F55" w:rsidRDefault="007C3F55"/>
  </w:footnote>
  <w:footnote w:id="2">
    <w:p w14:paraId="1EB1EA99" w14:textId="77777777" w:rsidR="008B4C32" w:rsidRPr="007D2A11" w:rsidRDefault="008B4C32"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cs="Calibri"/>
          <w:sz w:val="18"/>
          <w:szCs w:val="22"/>
          <w:lang w:val="es-CO"/>
        </w:rPr>
        <w:t>FORERO S., Jorge. Actividad probatoria en la segunda instancia. Memorias del XXIX Congreso de derecho Procesal, 2018, ICDP, p.307 ss.</w:t>
      </w:r>
    </w:p>
  </w:footnote>
  <w:footnote w:id="3">
    <w:p w14:paraId="2A81A3E2" w14:textId="77777777" w:rsidR="008B4C32" w:rsidRPr="007D2A11" w:rsidRDefault="008B4C32"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ESCOBAR V. Édgar G. Los recursos en el Código General del Proceso. Librería jurídica Sánchez R. Ltda. 2015, p.37.</w:t>
      </w:r>
    </w:p>
  </w:footnote>
  <w:footnote w:id="4">
    <w:p w14:paraId="4A78E6B3" w14:textId="77777777" w:rsidR="008B4C32" w:rsidRPr="007D2A11" w:rsidRDefault="008B4C32" w:rsidP="007D2A11">
      <w:pPr>
        <w:pStyle w:val="Textonotapie"/>
        <w:jc w:val="both"/>
        <w:rPr>
          <w:rFonts w:ascii="Century" w:hAnsi="Century"/>
          <w:sz w:val="18"/>
          <w:szCs w:val="22"/>
        </w:rPr>
      </w:pPr>
      <w:r w:rsidRPr="007D2A11">
        <w:rPr>
          <w:rFonts w:ascii="Century" w:hAnsi="Century"/>
          <w:sz w:val="18"/>
          <w:szCs w:val="22"/>
          <w:vertAlign w:val="superscript"/>
        </w:rPr>
        <w:footnoteRef/>
      </w:r>
      <w:r w:rsidRPr="007D2A11">
        <w:rPr>
          <w:rFonts w:ascii="Century" w:hAnsi="Century"/>
          <w:sz w:val="18"/>
          <w:szCs w:val="22"/>
        </w:rPr>
        <w:t xml:space="preserve"> </w:t>
      </w:r>
      <w:r w:rsidRPr="007D2A11">
        <w:rPr>
          <w:rFonts w:ascii="Century" w:hAnsi="Century"/>
          <w:sz w:val="18"/>
          <w:szCs w:val="22"/>
          <w:lang w:val="es-CO"/>
        </w:rPr>
        <w:t>LÓPEZ B., Hernán F. Código General del Proceso, parte general, Bogotá DC, Dupre editores, 2019, p.781</w:t>
      </w:r>
      <w:r w:rsidRPr="007D2A11">
        <w:rPr>
          <w:rFonts w:ascii="Century" w:hAnsi="Century"/>
          <w:sz w:val="18"/>
          <w:szCs w:val="22"/>
        </w:rPr>
        <w:t>.</w:t>
      </w:r>
    </w:p>
  </w:footnote>
  <w:footnote w:id="5">
    <w:p w14:paraId="1B373373" w14:textId="77777777" w:rsidR="008B4C32" w:rsidRPr="007D2A11" w:rsidRDefault="008B4C32" w:rsidP="007D2A11">
      <w:pPr>
        <w:pStyle w:val="Textonotapie"/>
        <w:jc w:val="both"/>
        <w:rPr>
          <w:rFonts w:ascii="Century" w:hAnsi="Century"/>
          <w:sz w:val="18"/>
          <w:szCs w:val="22"/>
        </w:rPr>
      </w:pPr>
      <w:r w:rsidRPr="007D2A11">
        <w:rPr>
          <w:rFonts w:ascii="Century" w:hAnsi="Century"/>
          <w:sz w:val="18"/>
          <w:szCs w:val="22"/>
          <w:vertAlign w:val="superscript"/>
        </w:rPr>
        <w:footnoteRef/>
      </w:r>
      <w:r w:rsidRPr="007D2A11">
        <w:rPr>
          <w:rFonts w:ascii="Century" w:hAnsi="Century"/>
          <w:sz w:val="18"/>
          <w:szCs w:val="22"/>
        </w:rPr>
        <w:t xml:space="preserve"> PARRA Q., Jairo. Derecho procesal civil, tomo I, Santafé de Bogotá D.C., Temis, 1992, p.276.</w:t>
      </w:r>
    </w:p>
  </w:footnote>
  <w:footnote w:id="6">
    <w:p w14:paraId="2FBD9520" w14:textId="77777777" w:rsidR="008B4C32" w:rsidRPr="007D2A11" w:rsidRDefault="008B4C32" w:rsidP="007D2A11">
      <w:pPr>
        <w:pStyle w:val="Sinespaciado"/>
        <w:jc w:val="both"/>
        <w:rPr>
          <w:rFonts w:ascii="Century" w:hAnsi="Century"/>
          <w:sz w:val="18"/>
          <w:szCs w:val="22"/>
        </w:rPr>
      </w:pPr>
      <w:r w:rsidRPr="007D2A11">
        <w:rPr>
          <w:rFonts w:ascii="Century" w:hAnsi="Century"/>
          <w:sz w:val="18"/>
          <w:szCs w:val="22"/>
          <w:vertAlign w:val="superscript"/>
        </w:rPr>
        <w:footnoteRef/>
      </w:r>
      <w:r w:rsidRPr="007D2A11">
        <w:rPr>
          <w:rFonts w:ascii="Century" w:hAnsi="Century"/>
          <w:sz w:val="18"/>
          <w:szCs w:val="22"/>
        </w:rPr>
        <w:t xml:space="preserve"> </w:t>
      </w:r>
      <w:r w:rsidRPr="007D2A11">
        <w:rPr>
          <w:rFonts w:ascii="Century" w:hAnsi="Century"/>
          <w:sz w:val="18"/>
          <w:szCs w:val="22"/>
          <w:lang w:val="es-CO"/>
        </w:rPr>
        <w:t xml:space="preserve">LÓPEZ B., Hernán F. </w:t>
      </w:r>
      <w:r w:rsidRPr="007D2A11">
        <w:rPr>
          <w:rFonts w:ascii="Century" w:hAnsi="Century"/>
          <w:sz w:val="18"/>
          <w:szCs w:val="22"/>
        </w:rPr>
        <w:t>Ob. cit., p.781.</w:t>
      </w:r>
    </w:p>
  </w:footnote>
  <w:footnote w:id="7">
    <w:p w14:paraId="170EB801" w14:textId="77777777" w:rsidR="008B4C32" w:rsidRPr="007D2A11" w:rsidRDefault="008B4C32"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ROJAS G., Miguel E. Lecciones de derecho procesal, procedimiento civil, tomo II, ESAJU, 2020, 7ª edición, Bogotá, p.468.</w:t>
      </w:r>
    </w:p>
  </w:footnote>
  <w:footnote w:id="8">
    <w:p w14:paraId="7E9EEAEF" w14:textId="77777777" w:rsidR="00997438" w:rsidRPr="007D2A11" w:rsidRDefault="00997438" w:rsidP="007D2A11">
      <w:pPr>
        <w:pStyle w:val="Textonotapie"/>
        <w:jc w:val="both"/>
        <w:rPr>
          <w:rFonts w:ascii="Century" w:hAnsi="Century"/>
          <w:sz w:val="18"/>
          <w:szCs w:val="22"/>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SANABRIA S., Henry. Derecho procesal civil general, Universidad Externado de Colombia, Bogotá DC, 2021, p.664.</w:t>
      </w:r>
    </w:p>
  </w:footnote>
  <w:footnote w:id="9">
    <w:p w14:paraId="31A7D859" w14:textId="77777777" w:rsidR="00997438" w:rsidRPr="007D2A11" w:rsidRDefault="00997438"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bookmarkStart w:id="2" w:name="_Hlk82073434"/>
      <w:r w:rsidRPr="007D2A11">
        <w:rPr>
          <w:rFonts w:ascii="Century" w:hAnsi="Century"/>
          <w:sz w:val="18"/>
          <w:szCs w:val="22"/>
          <w:lang w:val="es-CO"/>
        </w:rPr>
        <w:t>PARRA B., Jorge. Derecho procesal civil, 2ª edición puesta al día, Bogotá DC, Temis, 2021, p.395.</w:t>
      </w:r>
      <w:bookmarkEnd w:id="2"/>
    </w:p>
  </w:footnote>
  <w:footnote w:id="10">
    <w:p w14:paraId="2AB5CDDD" w14:textId="77777777" w:rsidR="008B4C32" w:rsidRPr="007D2A11" w:rsidRDefault="008B4C32"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CSJ. Sala Civil. Sentencia del 17-09-1992; MP: Ospina B.</w:t>
      </w:r>
    </w:p>
  </w:footnote>
  <w:footnote w:id="11">
    <w:p w14:paraId="1BA76669" w14:textId="77777777" w:rsidR="008B4C32" w:rsidRPr="007D2A11" w:rsidRDefault="008B4C32" w:rsidP="007D2A11">
      <w:pPr>
        <w:pStyle w:val="Textonotapie"/>
        <w:jc w:val="both"/>
        <w:rPr>
          <w:rFonts w:ascii="Century" w:hAnsi="Century"/>
          <w:sz w:val="18"/>
          <w:szCs w:val="22"/>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CSJ. STC-12737-2017.</w:t>
      </w:r>
    </w:p>
  </w:footnote>
  <w:footnote w:id="12">
    <w:p w14:paraId="00109CCB" w14:textId="77777777" w:rsidR="008B4C32" w:rsidRPr="007D2A11" w:rsidRDefault="008B4C32"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LÓPEZ B., Hernán F.</w:t>
      </w:r>
      <w:r w:rsidRPr="007D2A11">
        <w:rPr>
          <w:rFonts w:ascii="Century" w:hAnsi="Century"/>
          <w:sz w:val="18"/>
          <w:szCs w:val="22"/>
        </w:rPr>
        <w:t xml:space="preserve"> Ob. cit., p.776.</w:t>
      </w:r>
    </w:p>
  </w:footnote>
  <w:footnote w:id="13">
    <w:p w14:paraId="185BD8A3" w14:textId="77777777" w:rsidR="008B4C32" w:rsidRPr="007D2A11" w:rsidRDefault="008B4C32"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ROJAS G., Miguel E. Código General del Proceso comentado, ESAJU, 2017, Bogotá DC, p.511.</w:t>
      </w:r>
    </w:p>
  </w:footnote>
  <w:footnote w:id="14">
    <w:p w14:paraId="1BDF96CF" w14:textId="77777777" w:rsidR="009021B7" w:rsidRPr="007D2A11" w:rsidRDefault="009021B7"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FORERO S., Jorge. El recurso de apelación y la pretensión impugnaticia [En línea]. ICDP, revista enero-junio 2016 [Visitado el 2021-23-08]. Disponible en internet:</w:t>
      </w:r>
      <w:r w:rsidRPr="007D2A11">
        <w:rPr>
          <w:rStyle w:val="CitaHTML"/>
          <w:rFonts w:ascii="Century" w:hAnsi="Century" w:cs="Arial"/>
          <w:iCs/>
          <w:sz w:val="18"/>
          <w:szCs w:val="22"/>
        </w:rPr>
        <w:t xml:space="preserve"> </w:t>
      </w:r>
      <w:r w:rsidRPr="007D2A11">
        <w:rPr>
          <w:rFonts w:ascii="Century" w:hAnsi="Century" w:cs="Arial"/>
          <w:sz w:val="18"/>
          <w:szCs w:val="22"/>
          <w:lang w:val="es-CO" w:eastAsia="es-CO"/>
        </w:rPr>
        <w:t>ttps://letrujil.files.wordpress.com/2013/09/09jorge-forero-silva.pdf</w:t>
      </w:r>
    </w:p>
  </w:footnote>
  <w:footnote w:id="15">
    <w:p w14:paraId="7580E51A" w14:textId="2B610F3C" w:rsidR="00103A46" w:rsidRPr="007D2A11" w:rsidRDefault="00103A46" w:rsidP="007D2A11">
      <w:pPr>
        <w:pStyle w:val="Sinespaciado"/>
        <w:jc w:val="both"/>
        <w:rPr>
          <w:rFonts w:ascii="Century" w:hAnsi="Century"/>
          <w:sz w:val="18"/>
          <w:szCs w:val="22"/>
        </w:rPr>
      </w:pPr>
      <w:r w:rsidRPr="007D2A11">
        <w:rPr>
          <w:rFonts w:ascii="Century" w:hAnsi="Century" w:cs="Calibri"/>
          <w:sz w:val="18"/>
          <w:szCs w:val="22"/>
          <w:vertAlign w:val="superscript"/>
        </w:rPr>
        <w:footnoteRef/>
      </w:r>
      <w:r w:rsidRPr="007D2A11">
        <w:rPr>
          <w:rFonts w:ascii="Century" w:hAnsi="Century" w:cs="Calibri"/>
          <w:sz w:val="18"/>
          <w:szCs w:val="22"/>
        </w:rPr>
        <w:t xml:space="preserve"> </w:t>
      </w:r>
      <w:r w:rsidRPr="007D2A11">
        <w:rPr>
          <w:rFonts w:ascii="Century" w:hAnsi="Century" w:cstheme="minorHAnsi"/>
          <w:sz w:val="18"/>
          <w:szCs w:val="22"/>
          <w:lang w:val="es-CO"/>
        </w:rPr>
        <w:t>LÓPEZ B., Hernán F.</w:t>
      </w:r>
      <w:r w:rsidRPr="007D2A11">
        <w:rPr>
          <w:rFonts w:ascii="Century" w:hAnsi="Century" w:cs="Calibri"/>
          <w:sz w:val="18"/>
          <w:szCs w:val="22"/>
        </w:rPr>
        <w:t xml:space="preserve"> Ob. Cit., p.26</w:t>
      </w:r>
      <w:r w:rsidR="00FD7701" w:rsidRPr="007D2A11">
        <w:rPr>
          <w:rFonts w:ascii="Century" w:hAnsi="Century" w:cs="Calibri"/>
          <w:sz w:val="18"/>
          <w:szCs w:val="22"/>
        </w:rPr>
        <w:t>5</w:t>
      </w:r>
      <w:r w:rsidRPr="007D2A11">
        <w:rPr>
          <w:rFonts w:ascii="Century" w:hAnsi="Century" w:cs="Calibri"/>
          <w:sz w:val="18"/>
          <w:szCs w:val="22"/>
        </w:rPr>
        <w:t xml:space="preserve">. </w:t>
      </w:r>
    </w:p>
  </w:footnote>
  <w:footnote w:id="16">
    <w:p w14:paraId="6CE21213" w14:textId="4919E32B" w:rsidR="00103A46" w:rsidRPr="007D2A11" w:rsidRDefault="00103A46"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ESCOBAR V., Edgar G. Los recursos en el Código General del Proceso, Librería jurídica Sánchez R. Ltda</w:t>
      </w:r>
      <w:r w:rsidR="00FD7701" w:rsidRPr="007D2A11">
        <w:rPr>
          <w:rFonts w:ascii="Century" w:hAnsi="Century"/>
          <w:sz w:val="18"/>
          <w:szCs w:val="22"/>
          <w:lang w:val="es-CO"/>
        </w:rPr>
        <w:t>.</w:t>
      </w:r>
      <w:r w:rsidRPr="007D2A11">
        <w:rPr>
          <w:rFonts w:ascii="Century" w:hAnsi="Century"/>
          <w:sz w:val="18"/>
          <w:szCs w:val="22"/>
          <w:lang w:val="es-CO"/>
        </w:rPr>
        <w:t>, 2015, Medellín, p.</w:t>
      </w:r>
      <w:r w:rsidR="00FD7701" w:rsidRPr="007D2A11">
        <w:rPr>
          <w:rFonts w:ascii="Century" w:hAnsi="Century"/>
          <w:sz w:val="18"/>
          <w:szCs w:val="22"/>
          <w:lang w:val="es-CO"/>
        </w:rPr>
        <w:t xml:space="preserve">51 y </w:t>
      </w:r>
      <w:r w:rsidRPr="007D2A11">
        <w:rPr>
          <w:rFonts w:ascii="Century" w:hAnsi="Century"/>
          <w:sz w:val="18"/>
          <w:szCs w:val="22"/>
          <w:lang w:val="es-CO"/>
        </w:rPr>
        <w:t xml:space="preserve">71. </w:t>
      </w:r>
    </w:p>
  </w:footnote>
  <w:footnote w:id="17">
    <w:p w14:paraId="3795702E" w14:textId="0B3316E4" w:rsidR="0051119D" w:rsidRPr="007D2A11" w:rsidRDefault="0051119D" w:rsidP="007D2A11">
      <w:pPr>
        <w:pStyle w:val="Textonotapie"/>
        <w:jc w:val="both"/>
        <w:rPr>
          <w:rFonts w:ascii="Century" w:hAnsi="Century"/>
          <w:sz w:val="18"/>
          <w:szCs w:val="22"/>
          <w:lang w:val="es-CO"/>
        </w:rPr>
      </w:pPr>
      <w:r w:rsidRPr="007D2A11">
        <w:rPr>
          <w:rStyle w:val="Refdenotaalpie"/>
          <w:rFonts w:ascii="Century" w:hAnsi="Century"/>
          <w:sz w:val="18"/>
          <w:szCs w:val="22"/>
        </w:rPr>
        <w:footnoteRef/>
      </w:r>
      <w:r w:rsidRPr="007D2A11">
        <w:rPr>
          <w:rFonts w:ascii="Century" w:hAnsi="Century"/>
          <w:sz w:val="18"/>
          <w:szCs w:val="22"/>
          <w:lang w:val="es-CO"/>
        </w:rPr>
        <w:t xml:space="preserve"> SANABRIA S., Henry. </w:t>
      </w:r>
      <w:r w:rsidRPr="007D2A11">
        <w:rPr>
          <w:rFonts w:ascii="Century" w:hAnsi="Century"/>
          <w:sz w:val="18"/>
          <w:szCs w:val="22"/>
        </w:rPr>
        <w:t>Ob. cit., p.205.</w:t>
      </w:r>
    </w:p>
  </w:footnote>
  <w:footnote w:id="18">
    <w:p w14:paraId="2FEEB88B" w14:textId="77777777" w:rsidR="0051119D" w:rsidRPr="007D2A11" w:rsidRDefault="0051119D" w:rsidP="007D2A11">
      <w:pPr>
        <w:pStyle w:val="Textonotapie"/>
        <w:jc w:val="both"/>
        <w:rPr>
          <w:sz w:val="16"/>
          <w:lang w:val="es-CO"/>
        </w:rPr>
      </w:pPr>
      <w:r w:rsidRPr="007D2A11">
        <w:rPr>
          <w:rStyle w:val="Refdenotaalpie"/>
          <w:rFonts w:ascii="Century" w:hAnsi="Century"/>
          <w:sz w:val="18"/>
          <w:szCs w:val="22"/>
        </w:rPr>
        <w:footnoteRef/>
      </w:r>
      <w:r w:rsidRPr="007D2A11">
        <w:rPr>
          <w:rFonts w:ascii="Century" w:hAnsi="Century"/>
          <w:sz w:val="18"/>
          <w:szCs w:val="22"/>
        </w:rPr>
        <w:t xml:space="preserve"> </w:t>
      </w:r>
      <w:r w:rsidRPr="007D2A11">
        <w:rPr>
          <w:rFonts w:ascii="Century" w:hAnsi="Century"/>
          <w:sz w:val="18"/>
          <w:szCs w:val="22"/>
          <w:lang w:val="es-CO"/>
        </w:rPr>
        <w:t>CSJ. STC-559-2018 que reitera lo dicho en STC-11728-2016 y STC-5733-2016.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807B" w14:textId="77777777" w:rsidR="00045CE3" w:rsidRPr="007D2A11" w:rsidRDefault="00045CE3" w:rsidP="007D2A11">
    <w:pPr>
      <w:pStyle w:val="Encabezado"/>
      <w:pBdr>
        <w:bottom w:val="single" w:sz="4" w:space="1" w:color="D9D9D9"/>
      </w:pBdr>
      <w:jc w:val="right"/>
      <w:rPr>
        <w:rFonts w:ascii="Century" w:hAnsi="Century" w:cs="Calibri"/>
        <w:bCs/>
        <w:sz w:val="18"/>
        <w:szCs w:val="18"/>
      </w:rPr>
    </w:pPr>
    <w:r w:rsidRPr="007D2A11">
      <w:rPr>
        <w:rFonts w:ascii="Century" w:hAnsi="Century" w:cs="Calibri"/>
        <w:spacing w:val="60"/>
        <w:sz w:val="18"/>
        <w:szCs w:val="18"/>
      </w:rPr>
      <w:t>Página</w:t>
    </w:r>
    <w:r w:rsidRPr="007D2A11">
      <w:rPr>
        <w:rFonts w:ascii="Century" w:hAnsi="Century" w:cs="Calibri"/>
        <w:sz w:val="18"/>
        <w:szCs w:val="18"/>
      </w:rPr>
      <w:t xml:space="preserve"> | </w:t>
    </w:r>
    <w:r w:rsidRPr="007D2A11">
      <w:rPr>
        <w:rFonts w:ascii="Century" w:hAnsi="Century" w:cs="Calibri"/>
        <w:sz w:val="18"/>
        <w:szCs w:val="18"/>
      </w:rPr>
      <w:fldChar w:fldCharType="begin"/>
    </w:r>
    <w:r w:rsidRPr="007D2A11">
      <w:rPr>
        <w:rFonts w:ascii="Century" w:hAnsi="Century" w:cs="Calibri"/>
        <w:sz w:val="18"/>
        <w:szCs w:val="18"/>
      </w:rPr>
      <w:instrText>PAGE   \* MERGEFORMAT</w:instrText>
    </w:r>
    <w:r w:rsidRPr="007D2A11">
      <w:rPr>
        <w:rFonts w:ascii="Century" w:hAnsi="Century" w:cs="Calibri"/>
        <w:sz w:val="18"/>
        <w:szCs w:val="18"/>
      </w:rPr>
      <w:fldChar w:fldCharType="separate"/>
    </w:r>
    <w:r w:rsidR="00B75651" w:rsidRPr="007D2A11">
      <w:rPr>
        <w:rFonts w:ascii="Century" w:hAnsi="Century" w:cs="Calibri"/>
        <w:bCs/>
        <w:noProof/>
        <w:sz w:val="18"/>
        <w:szCs w:val="18"/>
      </w:rPr>
      <w:t>1</w:t>
    </w:r>
    <w:r w:rsidRPr="007D2A11">
      <w:rPr>
        <w:rFonts w:ascii="Century" w:hAnsi="Century" w:cs="Calibri"/>
        <w:sz w:val="18"/>
        <w:szCs w:val="18"/>
      </w:rPr>
      <w:fldChar w:fldCharType="end"/>
    </w:r>
  </w:p>
  <w:p w14:paraId="53C5807D" w14:textId="6A30AD4C" w:rsidR="008D321B" w:rsidRPr="007D2A11" w:rsidRDefault="00045CE3" w:rsidP="007D2A11">
    <w:pPr>
      <w:pStyle w:val="Encabezado"/>
      <w:rPr>
        <w:rFonts w:ascii="Century" w:hAnsi="Century" w:cs="Iskoola Pota"/>
        <w:i/>
        <w:sz w:val="18"/>
        <w:szCs w:val="18"/>
        <w:lang w:val="es-CO"/>
      </w:rPr>
    </w:pPr>
    <w:r w:rsidRPr="007D2A11">
      <w:rPr>
        <w:rFonts w:ascii="Century" w:hAnsi="Century" w:cs="Iskoola Pota"/>
        <w:i/>
        <w:sz w:val="18"/>
        <w:szCs w:val="18"/>
        <w:lang w:val="es-CO"/>
      </w:rPr>
      <w:t>EXPEDIENTE No.</w:t>
    </w:r>
    <w:r w:rsidR="007D2A11" w:rsidRPr="007D2A11">
      <w:rPr>
        <w:rFonts w:ascii="Century" w:hAnsi="Century" w:cs="Iskoola Pota"/>
        <w:i/>
        <w:sz w:val="18"/>
        <w:szCs w:val="18"/>
        <w:lang w:val="es-CO"/>
      </w:rPr>
      <w:t xml:space="preserve"> </w:t>
    </w:r>
    <w:r w:rsidRPr="007D2A11">
      <w:rPr>
        <w:rFonts w:ascii="Century" w:hAnsi="Century" w:cs="Iskoola Pota"/>
        <w:i/>
        <w:sz w:val="18"/>
        <w:szCs w:val="18"/>
        <w:lang w:val="es-CO"/>
      </w:rPr>
      <w:t>20</w:t>
    </w:r>
    <w:r w:rsidR="00593A63" w:rsidRPr="007D2A11">
      <w:rPr>
        <w:rFonts w:ascii="Century" w:hAnsi="Century" w:cs="Iskoola Pota"/>
        <w:i/>
        <w:sz w:val="18"/>
        <w:szCs w:val="18"/>
        <w:lang w:val="es-CO"/>
      </w:rPr>
      <w:t>1</w:t>
    </w:r>
    <w:r w:rsidR="004C7D72" w:rsidRPr="007D2A11">
      <w:rPr>
        <w:rFonts w:ascii="Century" w:hAnsi="Century" w:cs="Iskoola Pota"/>
        <w:i/>
        <w:sz w:val="18"/>
        <w:szCs w:val="18"/>
        <w:lang w:val="es-CO"/>
      </w:rPr>
      <w:t>9</w:t>
    </w:r>
    <w:r w:rsidRPr="007D2A11">
      <w:rPr>
        <w:rFonts w:ascii="Century" w:hAnsi="Century" w:cs="Iskoola Pota"/>
        <w:i/>
        <w:sz w:val="18"/>
        <w:szCs w:val="18"/>
        <w:lang w:val="es-CO"/>
      </w:rPr>
      <w:t>-0</w:t>
    </w:r>
    <w:r w:rsidR="00974DC4" w:rsidRPr="007D2A11">
      <w:rPr>
        <w:rFonts w:ascii="Century" w:hAnsi="Century" w:cs="Iskoola Pota"/>
        <w:i/>
        <w:sz w:val="18"/>
        <w:szCs w:val="18"/>
        <w:lang w:val="es-CO"/>
      </w:rPr>
      <w:t>1</w:t>
    </w:r>
    <w:r w:rsidR="00F76CAD" w:rsidRPr="007D2A11">
      <w:rPr>
        <w:rFonts w:ascii="Century" w:hAnsi="Century" w:cs="Iskoola Pota"/>
        <w:i/>
        <w:sz w:val="18"/>
        <w:szCs w:val="18"/>
        <w:lang w:val="es-CO"/>
      </w:rPr>
      <w:t>40</w:t>
    </w:r>
    <w:r w:rsidR="00974DC4" w:rsidRPr="007D2A11">
      <w:rPr>
        <w:rFonts w:ascii="Century" w:hAnsi="Century" w:cs="Iskoola Pota"/>
        <w:i/>
        <w:sz w:val="18"/>
        <w:szCs w:val="18"/>
        <w:lang w:val="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504664BE"/>
    <w:multiLevelType w:val="multilevel"/>
    <w:tmpl w:val="6CB606FE"/>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67334F69"/>
    <w:multiLevelType w:val="multilevel"/>
    <w:tmpl w:val="7292CD7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11"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7"/>
  </w:num>
  <w:num w:numId="2">
    <w:abstractNumId w:val="4"/>
  </w:num>
  <w:num w:numId="3">
    <w:abstractNumId w:val="11"/>
  </w:num>
  <w:num w:numId="4">
    <w:abstractNumId w:val="9"/>
  </w:num>
  <w:num w:numId="5">
    <w:abstractNumId w:val="3"/>
  </w:num>
  <w:num w:numId="6">
    <w:abstractNumId w:val="1"/>
  </w:num>
  <w:num w:numId="7">
    <w:abstractNumId w:val="6"/>
  </w:num>
  <w:num w:numId="8">
    <w:abstractNumId w:val="2"/>
  </w:num>
  <w:num w:numId="9">
    <w:abstractNumId w:val="0"/>
  </w:num>
  <w:num w:numId="10">
    <w:abstractNumId w:val="5"/>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570F"/>
    <w:rsid w:val="000111C6"/>
    <w:rsid w:val="000124CA"/>
    <w:rsid w:val="00014142"/>
    <w:rsid w:val="000150CA"/>
    <w:rsid w:val="00015D40"/>
    <w:rsid w:val="00032991"/>
    <w:rsid w:val="000400E9"/>
    <w:rsid w:val="00045CE3"/>
    <w:rsid w:val="00050E52"/>
    <w:rsid w:val="000521D3"/>
    <w:rsid w:val="00057617"/>
    <w:rsid w:val="00057B5C"/>
    <w:rsid w:val="00060A66"/>
    <w:rsid w:val="00061786"/>
    <w:rsid w:val="00063444"/>
    <w:rsid w:val="00063E12"/>
    <w:rsid w:val="000819BA"/>
    <w:rsid w:val="00091C30"/>
    <w:rsid w:val="00094BEA"/>
    <w:rsid w:val="000975A8"/>
    <w:rsid w:val="000979F2"/>
    <w:rsid w:val="000A3198"/>
    <w:rsid w:val="000A60A4"/>
    <w:rsid w:val="000A65E9"/>
    <w:rsid w:val="000B2C44"/>
    <w:rsid w:val="000B3A8B"/>
    <w:rsid w:val="000B4877"/>
    <w:rsid w:val="000C36F1"/>
    <w:rsid w:val="000C5738"/>
    <w:rsid w:val="000D03C3"/>
    <w:rsid w:val="000D0F15"/>
    <w:rsid w:val="000D106C"/>
    <w:rsid w:val="000D1C67"/>
    <w:rsid w:val="000D4106"/>
    <w:rsid w:val="000D51C5"/>
    <w:rsid w:val="000D579D"/>
    <w:rsid w:val="000D70EB"/>
    <w:rsid w:val="000E1102"/>
    <w:rsid w:val="000E7647"/>
    <w:rsid w:val="000F08E0"/>
    <w:rsid w:val="000F16E3"/>
    <w:rsid w:val="000F1B66"/>
    <w:rsid w:val="000F3A81"/>
    <w:rsid w:val="000F3C01"/>
    <w:rsid w:val="000F6932"/>
    <w:rsid w:val="00103A46"/>
    <w:rsid w:val="001046B1"/>
    <w:rsid w:val="00107E1A"/>
    <w:rsid w:val="00112D32"/>
    <w:rsid w:val="001130D4"/>
    <w:rsid w:val="00114608"/>
    <w:rsid w:val="00114FEE"/>
    <w:rsid w:val="00117C9A"/>
    <w:rsid w:val="0012018F"/>
    <w:rsid w:val="00121881"/>
    <w:rsid w:val="00122CE4"/>
    <w:rsid w:val="0012712D"/>
    <w:rsid w:val="00127440"/>
    <w:rsid w:val="00132BE5"/>
    <w:rsid w:val="00140284"/>
    <w:rsid w:val="001403D4"/>
    <w:rsid w:val="00141432"/>
    <w:rsid w:val="001446B1"/>
    <w:rsid w:val="001452E0"/>
    <w:rsid w:val="00157865"/>
    <w:rsid w:val="00164AF9"/>
    <w:rsid w:val="00170452"/>
    <w:rsid w:val="0017105E"/>
    <w:rsid w:val="00190036"/>
    <w:rsid w:val="001A207B"/>
    <w:rsid w:val="001A432B"/>
    <w:rsid w:val="001A46C4"/>
    <w:rsid w:val="001A54C0"/>
    <w:rsid w:val="001A565D"/>
    <w:rsid w:val="001A688F"/>
    <w:rsid w:val="001B2496"/>
    <w:rsid w:val="001B3230"/>
    <w:rsid w:val="001B4583"/>
    <w:rsid w:val="001B4B9B"/>
    <w:rsid w:val="001C36DF"/>
    <w:rsid w:val="001C3F97"/>
    <w:rsid w:val="001C4E57"/>
    <w:rsid w:val="001C51D4"/>
    <w:rsid w:val="001C5578"/>
    <w:rsid w:val="001C5598"/>
    <w:rsid w:val="001D06A8"/>
    <w:rsid w:val="001D0AA3"/>
    <w:rsid w:val="001D60DE"/>
    <w:rsid w:val="001D7953"/>
    <w:rsid w:val="001D7E85"/>
    <w:rsid w:val="001E18FB"/>
    <w:rsid w:val="001E2D55"/>
    <w:rsid w:val="001E57DE"/>
    <w:rsid w:val="001F088A"/>
    <w:rsid w:val="001F4CCD"/>
    <w:rsid w:val="001F53B6"/>
    <w:rsid w:val="001F562E"/>
    <w:rsid w:val="001F635D"/>
    <w:rsid w:val="00201848"/>
    <w:rsid w:val="00202312"/>
    <w:rsid w:val="00207C51"/>
    <w:rsid w:val="0021075B"/>
    <w:rsid w:val="00215D16"/>
    <w:rsid w:val="00216AE8"/>
    <w:rsid w:val="00227FA6"/>
    <w:rsid w:val="00230208"/>
    <w:rsid w:val="00231164"/>
    <w:rsid w:val="00231A7F"/>
    <w:rsid w:val="0023681D"/>
    <w:rsid w:val="00236A9B"/>
    <w:rsid w:val="0023704F"/>
    <w:rsid w:val="00237B2C"/>
    <w:rsid w:val="00237BF5"/>
    <w:rsid w:val="002419D4"/>
    <w:rsid w:val="00243379"/>
    <w:rsid w:val="002444A4"/>
    <w:rsid w:val="0024455A"/>
    <w:rsid w:val="0025353F"/>
    <w:rsid w:val="00257943"/>
    <w:rsid w:val="002579E7"/>
    <w:rsid w:val="00257B1F"/>
    <w:rsid w:val="00266386"/>
    <w:rsid w:val="00271131"/>
    <w:rsid w:val="002711FB"/>
    <w:rsid w:val="00271C0C"/>
    <w:rsid w:val="0027637D"/>
    <w:rsid w:val="00280589"/>
    <w:rsid w:val="00280851"/>
    <w:rsid w:val="002825A8"/>
    <w:rsid w:val="002860D6"/>
    <w:rsid w:val="002873EC"/>
    <w:rsid w:val="002912F2"/>
    <w:rsid w:val="00297096"/>
    <w:rsid w:val="002A0A88"/>
    <w:rsid w:val="002A18D8"/>
    <w:rsid w:val="002A6E78"/>
    <w:rsid w:val="002B50F6"/>
    <w:rsid w:val="002B513B"/>
    <w:rsid w:val="002B587A"/>
    <w:rsid w:val="002C4195"/>
    <w:rsid w:val="002C6FB8"/>
    <w:rsid w:val="002C7A37"/>
    <w:rsid w:val="002D4917"/>
    <w:rsid w:val="002D605B"/>
    <w:rsid w:val="002E0BA3"/>
    <w:rsid w:val="002E21FB"/>
    <w:rsid w:val="002E5263"/>
    <w:rsid w:val="002E562C"/>
    <w:rsid w:val="002E59B4"/>
    <w:rsid w:val="002E6DD5"/>
    <w:rsid w:val="002F091A"/>
    <w:rsid w:val="002F4DF5"/>
    <w:rsid w:val="002F7410"/>
    <w:rsid w:val="003013A2"/>
    <w:rsid w:val="00301E59"/>
    <w:rsid w:val="00305C99"/>
    <w:rsid w:val="00306B90"/>
    <w:rsid w:val="00310EAB"/>
    <w:rsid w:val="0031381E"/>
    <w:rsid w:val="00313EC7"/>
    <w:rsid w:val="00317A83"/>
    <w:rsid w:val="00323447"/>
    <w:rsid w:val="0033124D"/>
    <w:rsid w:val="003319C7"/>
    <w:rsid w:val="003336C3"/>
    <w:rsid w:val="00333EEA"/>
    <w:rsid w:val="00335716"/>
    <w:rsid w:val="003403D8"/>
    <w:rsid w:val="003423B9"/>
    <w:rsid w:val="00342974"/>
    <w:rsid w:val="00342E88"/>
    <w:rsid w:val="00344BF2"/>
    <w:rsid w:val="003458B9"/>
    <w:rsid w:val="00352931"/>
    <w:rsid w:val="00360576"/>
    <w:rsid w:val="00360BE3"/>
    <w:rsid w:val="00363D70"/>
    <w:rsid w:val="00370D1D"/>
    <w:rsid w:val="0038158A"/>
    <w:rsid w:val="00382AFA"/>
    <w:rsid w:val="00384791"/>
    <w:rsid w:val="00386111"/>
    <w:rsid w:val="00392869"/>
    <w:rsid w:val="00392F07"/>
    <w:rsid w:val="00393DD3"/>
    <w:rsid w:val="0039636F"/>
    <w:rsid w:val="003972DC"/>
    <w:rsid w:val="003A1A5B"/>
    <w:rsid w:val="003A56DD"/>
    <w:rsid w:val="003B19D8"/>
    <w:rsid w:val="003B409C"/>
    <w:rsid w:val="003B445E"/>
    <w:rsid w:val="003C5098"/>
    <w:rsid w:val="003C53FB"/>
    <w:rsid w:val="003C77D5"/>
    <w:rsid w:val="003D081D"/>
    <w:rsid w:val="003D0F58"/>
    <w:rsid w:val="003D12E7"/>
    <w:rsid w:val="003D228A"/>
    <w:rsid w:val="003D67D8"/>
    <w:rsid w:val="003D6C3D"/>
    <w:rsid w:val="003E236C"/>
    <w:rsid w:val="003E3CF7"/>
    <w:rsid w:val="003E4533"/>
    <w:rsid w:val="003E5ED3"/>
    <w:rsid w:val="003E6ECB"/>
    <w:rsid w:val="003E72CC"/>
    <w:rsid w:val="003F3AD2"/>
    <w:rsid w:val="003F79A4"/>
    <w:rsid w:val="00400B90"/>
    <w:rsid w:val="00402132"/>
    <w:rsid w:val="00403F27"/>
    <w:rsid w:val="00411AC5"/>
    <w:rsid w:val="00414421"/>
    <w:rsid w:val="00427BE4"/>
    <w:rsid w:val="004335C7"/>
    <w:rsid w:val="00433A3C"/>
    <w:rsid w:val="00436669"/>
    <w:rsid w:val="00455600"/>
    <w:rsid w:val="00455DE9"/>
    <w:rsid w:val="00456189"/>
    <w:rsid w:val="00460634"/>
    <w:rsid w:val="004609EA"/>
    <w:rsid w:val="004614E4"/>
    <w:rsid w:val="00461F2C"/>
    <w:rsid w:val="00463E96"/>
    <w:rsid w:val="00465107"/>
    <w:rsid w:val="00471F25"/>
    <w:rsid w:val="00475D64"/>
    <w:rsid w:val="00481A0C"/>
    <w:rsid w:val="00482924"/>
    <w:rsid w:val="004848E7"/>
    <w:rsid w:val="0048492D"/>
    <w:rsid w:val="00485FCD"/>
    <w:rsid w:val="00493C3B"/>
    <w:rsid w:val="00496E6F"/>
    <w:rsid w:val="004A5CF2"/>
    <w:rsid w:val="004A7C24"/>
    <w:rsid w:val="004B55B6"/>
    <w:rsid w:val="004B6BF7"/>
    <w:rsid w:val="004C11E9"/>
    <w:rsid w:val="004C319B"/>
    <w:rsid w:val="004C7D72"/>
    <w:rsid w:val="004D73F7"/>
    <w:rsid w:val="004E1CAC"/>
    <w:rsid w:val="004E1EF9"/>
    <w:rsid w:val="004E2173"/>
    <w:rsid w:val="004E305B"/>
    <w:rsid w:val="004E6A80"/>
    <w:rsid w:val="004F229E"/>
    <w:rsid w:val="004F32EE"/>
    <w:rsid w:val="004F537C"/>
    <w:rsid w:val="004F703F"/>
    <w:rsid w:val="004F7160"/>
    <w:rsid w:val="004F76CE"/>
    <w:rsid w:val="004F7993"/>
    <w:rsid w:val="00500A43"/>
    <w:rsid w:val="00500DC5"/>
    <w:rsid w:val="005022A7"/>
    <w:rsid w:val="005035D2"/>
    <w:rsid w:val="00505324"/>
    <w:rsid w:val="0051119D"/>
    <w:rsid w:val="00515B6B"/>
    <w:rsid w:val="0052398B"/>
    <w:rsid w:val="0053073B"/>
    <w:rsid w:val="0054427C"/>
    <w:rsid w:val="0054548D"/>
    <w:rsid w:val="0055115B"/>
    <w:rsid w:val="005558AF"/>
    <w:rsid w:val="005607BB"/>
    <w:rsid w:val="00561911"/>
    <w:rsid w:val="00564C16"/>
    <w:rsid w:val="0056570B"/>
    <w:rsid w:val="00570A9B"/>
    <w:rsid w:val="00570C60"/>
    <w:rsid w:val="00572804"/>
    <w:rsid w:val="0057362D"/>
    <w:rsid w:val="005768FC"/>
    <w:rsid w:val="00582F12"/>
    <w:rsid w:val="00585272"/>
    <w:rsid w:val="0058709F"/>
    <w:rsid w:val="00587231"/>
    <w:rsid w:val="005938D9"/>
    <w:rsid w:val="00593A63"/>
    <w:rsid w:val="00597D74"/>
    <w:rsid w:val="005B781D"/>
    <w:rsid w:val="005C16F8"/>
    <w:rsid w:val="005C2AFE"/>
    <w:rsid w:val="005C3D57"/>
    <w:rsid w:val="005C46CA"/>
    <w:rsid w:val="005C4919"/>
    <w:rsid w:val="005D0B8F"/>
    <w:rsid w:val="005D0C4E"/>
    <w:rsid w:val="005D39F3"/>
    <w:rsid w:val="005D49DF"/>
    <w:rsid w:val="005E0330"/>
    <w:rsid w:val="005E03C6"/>
    <w:rsid w:val="005E604E"/>
    <w:rsid w:val="005F1FB2"/>
    <w:rsid w:val="006007CA"/>
    <w:rsid w:val="006036BB"/>
    <w:rsid w:val="00603DD9"/>
    <w:rsid w:val="0060427D"/>
    <w:rsid w:val="00606F9C"/>
    <w:rsid w:val="00607310"/>
    <w:rsid w:val="00611CB0"/>
    <w:rsid w:val="006144B3"/>
    <w:rsid w:val="00615014"/>
    <w:rsid w:val="00617D63"/>
    <w:rsid w:val="00623497"/>
    <w:rsid w:val="006235A9"/>
    <w:rsid w:val="00623A6D"/>
    <w:rsid w:val="00631244"/>
    <w:rsid w:val="00631466"/>
    <w:rsid w:val="006319BD"/>
    <w:rsid w:val="00651C7E"/>
    <w:rsid w:val="006527BF"/>
    <w:rsid w:val="00660E7E"/>
    <w:rsid w:val="00663341"/>
    <w:rsid w:val="00664ECE"/>
    <w:rsid w:val="006715BF"/>
    <w:rsid w:val="00671DF9"/>
    <w:rsid w:val="00672632"/>
    <w:rsid w:val="0067785B"/>
    <w:rsid w:val="00681A45"/>
    <w:rsid w:val="00682BBB"/>
    <w:rsid w:val="006837D2"/>
    <w:rsid w:val="00686B69"/>
    <w:rsid w:val="006950C1"/>
    <w:rsid w:val="00695536"/>
    <w:rsid w:val="006A11EF"/>
    <w:rsid w:val="006A30E2"/>
    <w:rsid w:val="006A6085"/>
    <w:rsid w:val="006B1C00"/>
    <w:rsid w:val="006B2386"/>
    <w:rsid w:val="006B2518"/>
    <w:rsid w:val="006B768E"/>
    <w:rsid w:val="006B7EB8"/>
    <w:rsid w:val="006B7F16"/>
    <w:rsid w:val="006C3F55"/>
    <w:rsid w:val="006C408D"/>
    <w:rsid w:val="006C572F"/>
    <w:rsid w:val="006E1121"/>
    <w:rsid w:val="006E1CE9"/>
    <w:rsid w:val="006E221E"/>
    <w:rsid w:val="006F310C"/>
    <w:rsid w:val="006F58F9"/>
    <w:rsid w:val="006F61F6"/>
    <w:rsid w:val="007031D1"/>
    <w:rsid w:val="00707F42"/>
    <w:rsid w:val="00715013"/>
    <w:rsid w:val="00725DA4"/>
    <w:rsid w:val="00726D6E"/>
    <w:rsid w:val="00727833"/>
    <w:rsid w:val="007326D4"/>
    <w:rsid w:val="007330E3"/>
    <w:rsid w:val="0073352B"/>
    <w:rsid w:val="00734860"/>
    <w:rsid w:val="00737026"/>
    <w:rsid w:val="007377EC"/>
    <w:rsid w:val="007379E4"/>
    <w:rsid w:val="00740B86"/>
    <w:rsid w:val="0076163D"/>
    <w:rsid w:val="007668A2"/>
    <w:rsid w:val="00767D33"/>
    <w:rsid w:val="00770FCA"/>
    <w:rsid w:val="00774AD2"/>
    <w:rsid w:val="00776C17"/>
    <w:rsid w:val="00780839"/>
    <w:rsid w:val="00781593"/>
    <w:rsid w:val="00781928"/>
    <w:rsid w:val="007841FC"/>
    <w:rsid w:val="007853A8"/>
    <w:rsid w:val="007860C0"/>
    <w:rsid w:val="007A1804"/>
    <w:rsid w:val="007A3800"/>
    <w:rsid w:val="007A476E"/>
    <w:rsid w:val="007A6BCF"/>
    <w:rsid w:val="007B7795"/>
    <w:rsid w:val="007C03DB"/>
    <w:rsid w:val="007C0924"/>
    <w:rsid w:val="007C140E"/>
    <w:rsid w:val="007C3F55"/>
    <w:rsid w:val="007C52E4"/>
    <w:rsid w:val="007C66B8"/>
    <w:rsid w:val="007D102F"/>
    <w:rsid w:val="007D2A11"/>
    <w:rsid w:val="007D2D3B"/>
    <w:rsid w:val="007D341B"/>
    <w:rsid w:val="007D7466"/>
    <w:rsid w:val="007F105A"/>
    <w:rsid w:val="007F2975"/>
    <w:rsid w:val="007F3A25"/>
    <w:rsid w:val="00810D50"/>
    <w:rsid w:val="0081363A"/>
    <w:rsid w:val="0081625A"/>
    <w:rsid w:val="0082011F"/>
    <w:rsid w:val="00820BF6"/>
    <w:rsid w:val="0082292F"/>
    <w:rsid w:val="00827A08"/>
    <w:rsid w:val="00827A6D"/>
    <w:rsid w:val="0083050E"/>
    <w:rsid w:val="00832731"/>
    <w:rsid w:val="00834347"/>
    <w:rsid w:val="00834976"/>
    <w:rsid w:val="0083773F"/>
    <w:rsid w:val="008556C4"/>
    <w:rsid w:val="008557A4"/>
    <w:rsid w:val="0086284C"/>
    <w:rsid w:val="00863948"/>
    <w:rsid w:val="00876E0A"/>
    <w:rsid w:val="008809B5"/>
    <w:rsid w:val="00884D74"/>
    <w:rsid w:val="008872A2"/>
    <w:rsid w:val="008920B4"/>
    <w:rsid w:val="008930E1"/>
    <w:rsid w:val="008B0869"/>
    <w:rsid w:val="008B14AB"/>
    <w:rsid w:val="008B18E2"/>
    <w:rsid w:val="008B3E9A"/>
    <w:rsid w:val="008B4C32"/>
    <w:rsid w:val="008B500B"/>
    <w:rsid w:val="008B5B4C"/>
    <w:rsid w:val="008B7145"/>
    <w:rsid w:val="008C6FA2"/>
    <w:rsid w:val="008D321B"/>
    <w:rsid w:val="008E0505"/>
    <w:rsid w:val="008E0D48"/>
    <w:rsid w:val="008E1174"/>
    <w:rsid w:val="008F5023"/>
    <w:rsid w:val="00901796"/>
    <w:rsid w:val="009021B7"/>
    <w:rsid w:val="00903782"/>
    <w:rsid w:val="0090699E"/>
    <w:rsid w:val="00910B1E"/>
    <w:rsid w:val="00910D7A"/>
    <w:rsid w:val="00911C83"/>
    <w:rsid w:val="00913737"/>
    <w:rsid w:val="009147CB"/>
    <w:rsid w:val="00920420"/>
    <w:rsid w:val="00921C1B"/>
    <w:rsid w:val="00944538"/>
    <w:rsid w:val="0094614E"/>
    <w:rsid w:val="00952E5E"/>
    <w:rsid w:val="00953227"/>
    <w:rsid w:val="00953B22"/>
    <w:rsid w:val="0095660B"/>
    <w:rsid w:val="00956A70"/>
    <w:rsid w:val="0095728D"/>
    <w:rsid w:val="0095748C"/>
    <w:rsid w:val="00963ECB"/>
    <w:rsid w:val="009671D4"/>
    <w:rsid w:val="00967D6F"/>
    <w:rsid w:val="00974DC4"/>
    <w:rsid w:val="009759B2"/>
    <w:rsid w:val="009844A7"/>
    <w:rsid w:val="00985FD1"/>
    <w:rsid w:val="0099309B"/>
    <w:rsid w:val="009969C3"/>
    <w:rsid w:val="00997438"/>
    <w:rsid w:val="009A1240"/>
    <w:rsid w:val="009A1AEA"/>
    <w:rsid w:val="009A6C1F"/>
    <w:rsid w:val="009A7A02"/>
    <w:rsid w:val="009B1DF4"/>
    <w:rsid w:val="009B54C5"/>
    <w:rsid w:val="009C1975"/>
    <w:rsid w:val="009C207D"/>
    <w:rsid w:val="009D2E2B"/>
    <w:rsid w:val="009E1072"/>
    <w:rsid w:val="009E3076"/>
    <w:rsid w:val="009E3110"/>
    <w:rsid w:val="009F0E61"/>
    <w:rsid w:val="009F2506"/>
    <w:rsid w:val="00A11F60"/>
    <w:rsid w:val="00A12284"/>
    <w:rsid w:val="00A22745"/>
    <w:rsid w:val="00A230D3"/>
    <w:rsid w:val="00A2585D"/>
    <w:rsid w:val="00A269F1"/>
    <w:rsid w:val="00A26BAA"/>
    <w:rsid w:val="00A3039E"/>
    <w:rsid w:val="00A35365"/>
    <w:rsid w:val="00A51E08"/>
    <w:rsid w:val="00A55546"/>
    <w:rsid w:val="00A5572D"/>
    <w:rsid w:val="00A55AFF"/>
    <w:rsid w:val="00A56277"/>
    <w:rsid w:val="00A57455"/>
    <w:rsid w:val="00A609A2"/>
    <w:rsid w:val="00A61E8D"/>
    <w:rsid w:val="00A62541"/>
    <w:rsid w:val="00A62787"/>
    <w:rsid w:val="00A63699"/>
    <w:rsid w:val="00A644D6"/>
    <w:rsid w:val="00A71D99"/>
    <w:rsid w:val="00A73D76"/>
    <w:rsid w:val="00A7420C"/>
    <w:rsid w:val="00A748DF"/>
    <w:rsid w:val="00A76938"/>
    <w:rsid w:val="00A81263"/>
    <w:rsid w:val="00A837CE"/>
    <w:rsid w:val="00A909D6"/>
    <w:rsid w:val="00A96BBB"/>
    <w:rsid w:val="00A97BC3"/>
    <w:rsid w:val="00A97E41"/>
    <w:rsid w:val="00AA062F"/>
    <w:rsid w:val="00AA0D85"/>
    <w:rsid w:val="00AA3FF8"/>
    <w:rsid w:val="00AB2D84"/>
    <w:rsid w:val="00AB6D90"/>
    <w:rsid w:val="00AC0533"/>
    <w:rsid w:val="00AC51E2"/>
    <w:rsid w:val="00AC71B8"/>
    <w:rsid w:val="00AC72E5"/>
    <w:rsid w:val="00AD10DB"/>
    <w:rsid w:val="00AD1484"/>
    <w:rsid w:val="00AD1A3F"/>
    <w:rsid w:val="00AD410B"/>
    <w:rsid w:val="00AD6D47"/>
    <w:rsid w:val="00AE0641"/>
    <w:rsid w:val="00AE38B2"/>
    <w:rsid w:val="00AF09DF"/>
    <w:rsid w:val="00AF4B72"/>
    <w:rsid w:val="00AF69AF"/>
    <w:rsid w:val="00AF7A6F"/>
    <w:rsid w:val="00B014D1"/>
    <w:rsid w:val="00B01A99"/>
    <w:rsid w:val="00B07E4B"/>
    <w:rsid w:val="00B21049"/>
    <w:rsid w:val="00B21163"/>
    <w:rsid w:val="00B214D7"/>
    <w:rsid w:val="00B25249"/>
    <w:rsid w:val="00B27D74"/>
    <w:rsid w:val="00B307B1"/>
    <w:rsid w:val="00B32A08"/>
    <w:rsid w:val="00B37678"/>
    <w:rsid w:val="00B50C23"/>
    <w:rsid w:val="00B52788"/>
    <w:rsid w:val="00B52EC6"/>
    <w:rsid w:val="00B55A68"/>
    <w:rsid w:val="00B60061"/>
    <w:rsid w:val="00B62758"/>
    <w:rsid w:val="00B6380C"/>
    <w:rsid w:val="00B6639A"/>
    <w:rsid w:val="00B675CB"/>
    <w:rsid w:val="00B6781E"/>
    <w:rsid w:val="00B70B43"/>
    <w:rsid w:val="00B71EBD"/>
    <w:rsid w:val="00B724CE"/>
    <w:rsid w:val="00B74B6B"/>
    <w:rsid w:val="00B7521C"/>
    <w:rsid w:val="00B75651"/>
    <w:rsid w:val="00B75A6A"/>
    <w:rsid w:val="00B849B9"/>
    <w:rsid w:val="00B87206"/>
    <w:rsid w:val="00B875A2"/>
    <w:rsid w:val="00B87832"/>
    <w:rsid w:val="00B960FD"/>
    <w:rsid w:val="00B968BD"/>
    <w:rsid w:val="00BA0A2F"/>
    <w:rsid w:val="00BA457F"/>
    <w:rsid w:val="00BB455A"/>
    <w:rsid w:val="00BC1A36"/>
    <w:rsid w:val="00BC2578"/>
    <w:rsid w:val="00BC30C4"/>
    <w:rsid w:val="00BC3D53"/>
    <w:rsid w:val="00BC3EC8"/>
    <w:rsid w:val="00BC589D"/>
    <w:rsid w:val="00BC706F"/>
    <w:rsid w:val="00BC77B9"/>
    <w:rsid w:val="00BC7887"/>
    <w:rsid w:val="00BD1343"/>
    <w:rsid w:val="00BD68FD"/>
    <w:rsid w:val="00BD744D"/>
    <w:rsid w:val="00BE0E76"/>
    <w:rsid w:val="00BE16DB"/>
    <w:rsid w:val="00BE2F2A"/>
    <w:rsid w:val="00BE49F3"/>
    <w:rsid w:val="00BE79D0"/>
    <w:rsid w:val="00BE7DCA"/>
    <w:rsid w:val="00BF0045"/>
    <w:rsid w:val="00BF61C3"/>
    <w:rsid w:val="00BF73F6"/>
    <w:rsid w:val="00C022C2"/>
    <w:rsid w:val="00C02A44"/>
    <w:rsid w:val="00C04173"/>
    <w:rsid w:val="00C04D9E"/>
    <w:rsid w:val="00C0547C"/>
    <w:rsid w:val="00C0586F"/>
    <w:rsid w:val="00C05C86"/>
    <w:rsid w:val="00C06BBA"/>
    <w:rsid w:val="00C12E58"/>
    <w:rsid w:val="00C134DD"/>
    <w:rsid w:val="00C13E91"/>
    <w:rsid w:val="00C15C72"/>
    <w:rsid w:val="00C15ED5"/>
    <w:rsid w:val="00C20FB2"/>
    <w:rsid w:val="00C23440"/>
    <w:rsid w:val="00C24D4D"/>
    <w:rsid w:val="00C27EB1"/>
    <w:rsid w:val="00C303BC"/>
    <w:rsid w:val="00C3045F"/>
    <w:rsid w:val="00C30ACA"/>
    <w:rsid w:val="00C31D4B"/>
    <w:rsid w:val="00C32B52"/>
    <w:rsid w:val="00C34DDA"/>
    <w:rsid w:val="00C363C4"/>
    <w:rsid w:val="00C363D3"/>
    <w:rsid w:val="00C36400"/>
    <w:rsid w:val="00C36F80"/>
    <w:rsid w:val="00C40444"/>
    <w:rsid w:val="00C40CD0"/>
    <w:rsid w:val="00C437CD"/>
    <w:rsid w:val="00C54FE1"/>
    <w:rsid w:val="00C607B0"/>
    <w:rsid w:val="00C647E5"/>
    <w:rsid w:val="00C65DA3"/>
    <w:rsid w:val="00C70027"/>
    <w:rsid w:val="00C741D5"/>
    <w:rsid w:val="00C80A52"/>
    <w:rsid w:val="00C820E9"/>
    <w:rsid w:val="00C82245"/>
    <w:rsid w:val="00C832B8"/>
    <w:rsid w:val="00C903AF"/>
    <w:rsid w:val="00C91199"/>
    <w:rsid w:val="00C9127E"/>
    <w:rsid w:val="00C91936"/>
    <w:rsid w:val="00C9534A"/>
    <w:rsid w:val="00CA0F66"/>
    <w:rsid w:val="00CA3AED"/>
    <w:rsid w:val="00CA5CE8"/>
    <w:rsid w:val="00CA6C0B"/>
    <w:rsid w:val="00CB283C"/>
    <w:rsid w:val="00CB49B5"/>
    <w:rsid w:val="00CB6B9A"/>
    <w:rsid w:val="00CC1093"/>
    <w:rsid w:val="00CC15CC"/>
    <w:rsid w:val="00CC75F4"/>
    <w:rsid w:val="00CD2257"/>
    <w:rsid w:val="00CD7AAA"/>
    <w:rsid w:val="00CF0C07"/>
    <w:rsid w:val="00CF0EBE"/>
    <w:rsid w:val="00CF134D"/>
    <w:rsid w:val="00CF3CF5"/>
    <w:rsid w:val="00CF6850"/>
    <w:rsid w:val="00CF7AA1"/>
    <w:rsid w:val="00D02CB4"/>
    <w:rsid w:val="00D06465"/>
    <w:rsid w:val="00D112E2"/>
    <w:rsid w:val="00D1698E"/>
    <w:rsid w:val="00D2108D"/>
    <w:rsid w:val="00D2440A"/>
    <w:rsid w:val="00D24B66"/>
    <w:rsid w:val="00D26844"/>
    <w:rsid w:val="00D4141F"/>
    <w:rsid w:val="00D46DD8"/>
    <w:rsid w:val="00D47ACB"/>
    <w:rsid w:val="00D51EAD"/>
    <w:rsid w:val="00D52A0D"/>
    <w:rsid w:val="00D52ED3"/>
    <w:rsid w:val="00D5369D"/>
    <w:rsid w:val="00D619AE"/>
    <w:rsid w:val="00D65E0A"/>
    <w:rsid w:val="00D70FD2"/>
    <w:rsid w:val="00D71B92"/>
    <w:rsid w:val="00D73D69"/>
    <w:rsid w:val="00D83E5D"/>
    <w:rsid w:val="00D84F31"/>
    <w:rsid w:val="00D851DA"/>
    <w:rsid w:val="00D856B2"/>
    <w:rsid w:val="00D8721C"/>
    <w:rsid w:val="00D9154D"/>
    <w:rsid w:val="00D915F4"/>
    <w:rsid w:val="00D93167"/>
    <w:rsid w:val="00D94D58"/>
    <w:rsid w:val="00D9703B"/>
    <w:rsid w:val="00D972D4"/>
    <w:rsid w:val="00D97527"/>
    <w:rsid w:val="00D97B75"/>
    <w:rsid w:val="00DA079E"/>
    <w:rsid w:val="00DA1E67"/>
    <w:rsid w:val="00DA4BF1"/>
    <w:rsid w:val="00DA5858"/>
    <w:rsid w:val="00DB0458"/>
    <w:rsid w:val="00DB222B"/>
    <w:rsid w:val="00DB268B"/>
    <w:rsid w:val="00DB2805"/>
    <w:rsid w:val="00DB2868"/>
    <w:rsid w:val="00DB2CF6"/>
    <w:rsid w:val="00DC031D"/>
    <w:rsid w:val="00DC1644"/>
    <w:rsid w:val="00DC21CE"/>
    <w:rsid w:val="00DC3B05"/>
    <w:rsid w:val="00DC4E67"/>
    <w:rsid w:val="00DD00F5"/>
    <w:rsid w:val="00DD366D"/>
    <w:rsid w:val="00DE078F"/>
    <w:rsid w:val="00DE19D9"/>
    <w:rsid w:val="00DE429A"/>
    <w:rsid w:val="00DF5461"/>
    <w:rsid w:val="00DF73EF"/>
    <w:rsid w:val="00E00FBE"/>
    <w:rsid w:val="00E036C8"/>
    <w:rsid w:val="00E04CE6"/>
    <w:rsid w:val="00E06F25"/>
    <w:rsid w:val="00E10297"/>
    <w:rsid w:val="00E108C1"/>
    <w:rsid w:val="00E13879"/>
    <w:rsid w:val="00E14DB5"/>
    <w:rsid w:val="00E153E8"/>
    <w:rsid w:val="00E16943"/>
    <w:rsid w:val="00E16A96"/>
    <w:rsid w:val="00E23B32"/>
    <w:rsid w:val="00E253EE"/>
    <w:rsid w:val="00E2686D"/>
    <w:rsid w:val="00E316D9"/>
    <w:rsid w:val="00E31F83"/>
    <w:rsid w:val="00E34EB6"/>
    <w:rsid w:val="00E42B6A"/>
    <w:rsid w:val="00E42C5F"/>
    <w:rsid w:val="00E4399D"/>
    <w:rsid w:val="00E44741"/>
    <w:rsid w:val="00E45AE0"/>
    <w:rsid w:val="00E54E75"/>
    <w:rsid w:val="00E55393"/>
    <w:rsid w:val="00E5643E"/>
    <w:rsid w:val="00E5720B"/>
    <w:rsid w:val="00E642EC"/>
    <w:rsid w:val="00E71E27"/>
    <w:rsid w:val="00E7400E"/>
    <w:rsid w:val="00E8141D"/>
    <w:rsid w:val="00E856DA"/>
    <w:rsid w:val="00E86F07"/>
    <w:rsid w:val="00E87611"/>
    <w:rsid w:val="00E92773"/>
    <w:rsid w:val="00E9418E"/>
    <w:rsid w:val="00E946E8"/>
    <w:rsid w:val="00E96913"/>
    <w:rsid w:val="00EA00D7"/>
    <w:rsid w:val="00EA12F0"/>
    <w:rsid w:val="00EA40EA"/>
    <w:rsid w:val="00EB1F06"/>
    <w:rsid w:val="00EB2A8A"/>
    <w:rsid w:val="00EB4638"/>
    <w:rsid w:val="00EB7E37"/>
    <w:rsid w:val="00EC3FF2"/>
    <w:rsid w:val="00ED0720"/>
    <w:rsid w:val="00ED09C1"/>
    <w:rsid w:val="00ED295E"/>
    <w:rsid w:val="00ED5DCD"/>
    <w:rsid w:val="00ED7382"/>
    <w:rsid w:val="00EE0413"/>
    <w:rsid w:val="00EE0973"/>
    <w:rsid w:val="00EF32DC"/>
    <w:rsid w:val="00EF4827"/>
    <w:rsid w:val="00F0240A"/>
    <w:rsid w:val="00F02986"/>
    <w:rsid w:val="00F121C1"/>
    <w:rsid w:val="00F1389F"/>
    <w:rsid w:val="00F1669F"/>
    <w:rsid w:val="00F20247"/>
    <w:rsid w:val="00F227EB"/>
    <w:rsid w:val="00F22945"/>
    <w:rsid w:val="00F25594"/>
    <w:rsid w:val="00F25F74"/>
    <w:rsid w:val="00F31348"/>
    <w:rsid w:val="00F32BA7"/>
    <w:rsid w:val="00F34747"/>
    <w:rsid w:val="00F404F9"/>
    <w:rsid w:val="00F4481B"/>
    <w:rsid w:val="00F45CF7"/>
    <w:rsid w:val="00F6163C"/>
    <w:rsid w:val="00F625EA"/>
    <w:rsid w:val="00F6458D"/>
    <w:rsid w:val="00F65EC8"/>
    <w:rsid w:val="00F72723"/>
    <w:rsid w:val="00F76CAD"/>
    <w:rsid w:val="00F84644"/>
    <w:rsid w:val="00F91A2C"/>
    <w:rsid w:val="00F94637"/>
    <w:rsid w:val="00F96938"/>
    <w:rsid w:val="00F97CD6"/>
    <w:rsid w:val="00FA35FE"/>
    <w:rsid w:val="00FB30C6"/>
    <w:rsid w:val="00FC0A1B"/>
    <w:rsid w:val="00FC0DD8"/>
    <w:rsid w:val="00FC5390"/>
    <w:rsid w:val="00FC5EB6"/>
    <w:rsid w:val="00FC7BF7"/>
    <w:rsid w:val="00FD575C"/>
    <w:rsid w:val="00FD5EA9"/>
    <w:rsid w:val="00FD6544"/>
    <w:rsid w:val="00FD7701"/>
    <w:rsid w:val="00FD7D84"/>
    <w:rsid w:val="00FD7EDC"/>
    <w:rsid w:val="00FE41FD"/>
    <w:rsid w:val="00FE74F1"/>
    <w:rsid w:val="00FE7AEA"/>
    <w:rsid w:val="00FF132F"/>
    <w:rsid w:val="00FF1C07"/>
    <w:rsid w:val="00FF54D4"/>
    <w:rsid w:val="00FF769E"/>
    <w:rsid w:val="03A11EA7"/>
    <w:rsid w:val="04E11275"/>
    <w:rsid w:val="072CDDCA"/>
    <w:rsid w:val="0749DEEE"/>
    <w:rsid w:val="0A2F3C6F"/>
    <w:rsid w:val="0D1F704F"/>
    <w:rsid w:val="0D5CE614"/>
    <w:rsid w:val="0F2884FE"/>
    <w:rsid w:val="1329800B"/>
    <w:rsid w:val="14034F08"/>
    <w:rsid w:val="15B6F011"/>
    <w:rsid w:val="1ACA664C"/>
    <w:rsid w:val="1C60823B"/>
    <w:rsid w:val="1D902D95"/>
    <w:rsid w:val="1DE6B96F"/>
    <w:rsid w:val="213B5ADB"/>
    <w:rsid w:val="23AB278F"/>
    <w:rsid w:val="24B031B5"/>
    <w:rsid w:val="25058F8D"/>
    <w:rsid w:val="25061288"/>
    <w:rsid w:val="25E36C42"/>
    <w:rsid w:val="265A6F19"/>
    <w:rsid w:val="2697E64D"/>
    <w:rsid w:val="291E0646"/>
    <w:rsid w:val="2BBE1952"/>
    <w:rsid w:val="2C483C83"/>
    <w:rsid w:val="2EB7B8B7"/>
    <w:rsid w:val="3243B5FB"/>
    <w:rsid w:val="332C87C9"/>
    <w:rsid w:val="33FE0299"/>
    <w:rsid w:val="340870D0"/>
    <w:rsid w:val="343E3CA6"/>
    <w:rsid w:val="37A4563F"/>
    <w:rsid w:val="37B00226"/>
    <w:rsid w:val="37E3C430"/>
    <w:rsid w:val="39B85F88"/>
    <w:rsid w:val="3AC04EB5"/>
    <w:rsid w:val="3B542FE9"/>
    <w:rsid w:val="3C59D4C1"/>
    <w:rsid w:val="3D37C7D0"/>
    <w:rsid w:val="3D6ECBE2"/>
    <w:rsid w:val="42961E7D"/>
    <w:rsid w:val="43CE582B"/>
    <w:rsid w:val="4431E8A9"/>
    <w:rsid w:val="455DBF1C"/>
    <w:rsid w:val="4C1FEB8E"/>
    <w:rsid w:val="4DC3174F"/>
    <w:rsid w:val="4EE7EFD6"/>
    <w:rsid w:val="50584AFF"/>
    <w:rsid w:val="55EBD08F"/>
    <w:rsid w:val="562112AC"/>
    <w:rsid w:val="578A561F"/>
    <w:rsid w:val="57F1FB8B"/>
    <w:rsid w:val="5817F8B2"/>
    <w:rsid w:val="59FE8BE3"/>
    <w:rsid w:val="5A8A4D3E"/>
    <w:rsid w:val="5AEB4070"/>
    <w:rsid w:val="60089EAC"/>
    <w:rsid w:val="65CFFBAF"/>
    <w:rsid w:val="65FC7819"/>
    <w:rsid w:val="69C655D6"/>
    <w:rsid w:val="6A4971CE"/>
    <w:rsid w:val="6B5367C6"/>
    <w:rsid w:val="6C7C8B73"/>
    <w:rsid w:val="6DB1B2A5"/>
    <w:rsid w:val="6E3733A7"/>
    <w:rsid w:val="70B8B352"/>
    <w:rsid w:val="722F98A8"/>
    <w:rsid w:val="7568A6CF"/>
    <w:rsid w:val="758412AB"/>
    <w:rsid w:val="7CDEE4B0"/>
    <w:rsid w:val="7E36DA8C"/>
    <w:rsid w:val="7E6A7B11"/>
    <w:rsid w:val="7EA94FDF"/>
    <w:rsid w:val="7FB21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58055"/>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aliases w:val="Colorful List - Accent 11,Ha,List Paragraph1,lp1"/>
    <w:basedOn w:val="Normal"/>
    <w:link w:val="PrrafodelistaCar"/>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link w:val="Notadepie"/>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imes New Roman" w:hAnsi="Times New Roman" w:cs="Times New Roman"/>
      <w:sz w:val="20"/>
      <w:szCs w:val="20"/>
      <w:lang w:val="es-ES" w:eastAsia="es-ES"/>
    </w:rPr>
  </w:style>
  <w:style w:type="character" w:styleId="Refdecomentario">
    <w:name w:val="annotation reference"/>
    <w:basedOn w:val="Fuentedeprrafopredeter"/>
    <w:uiPriority w:val="99"/>
    <w:rPr>
      <w:sz w:val="16"/>
      <w:szCs w:val="16"/>
    </w:rPr>
  </w:style>
  <w:style w:type="paragraph" w:customStyle="1" w:styleId="Notadepie">
    <w:name w:val="Nota de pie"/>
    <w:aliases w:val="Pie de pagina"/>
    <w:basedOn w:val="Normal"/>
    <w:link w:val="Refdenotaalpie"/>
    <w:uiPriority w:val="99"/>
    <w:rsid w:val="008B4C32"/>
    <w:pPr>
      <w:spacing w:after="160" w:line="240" w:lineRule="exact"/>
    </w:pPr>
    <w:rPr>
      <w:rFonts w:asciiTheme="minorHAnsi" w:hAnsiTheme="minorHAnsi"/>
      <w:sz w:val="22"/>
      <w:szCs w:val="22"/>
      <w:vertAlign w:val="superscript"/>
      <w:lang w:val="es-CO" w:eastAsia="en-US"/>
    </w:rPr>
  </w:style>
  <w:style w:type="character" w:customStyle="1" w:styleId="SinespaciadoCar1">
    <w:name w:val="Sin espaciado Car1"/>
    <w:uiPriority w:val="99"/>
    <w:locked/>
    <w:rsid w:val="009021B7"/>
    <w:rPr>
      <w:rFonts w:ascii="Courier New" w:hAnsi="Courier New" w:cs="Courier New"/>
      <w:sz w:val="22"/>
      <w:szCs w:val="22"/>
      <w:lang w:val="es-ES" w:eastAsia="es-ES"/>
    </w:rPr>
  </w:style>
  <w:style w:type="character" w:styleId="CitaHTML">
    <w:name w:val="HTML Cite"/>
    <w:basedOn w:val="Fuentedeprrafopredeter"/>
    <w:uiPriority w:val="99"/>
    <w:unhideWhenUsed/>
    <w:rsid w:val="009021B7"/>
    <w:rPr>
      <w:rFonts w:cs="Times New Roman"/>
      <w:i/>
    </w:rPr>
  </w:style>
  <w:style w:type="character" w:customStyle="1" w:styleId="PrrafodelistaCar">
    <w:name w:val="Párrafo de lista Car"/>
    <w:aliases w:val="Colorful List - Accent 11 Car,Ha Car,List Paragraph1 Car,lp1 Car"/>
    <w:link w:val="Prrafodelista"/>
    <w:uiPriority w:val="34"/>
    <w:locked/>
    <w:rsid w:val="003D0F58"/>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9604">
      <w:bodyDiv w:val="1"/>
      <w:marLeft w:val="0"/>
      <w:marRight w:val="0"/>
      <w:marTop w:val="0"/>
      <w:marBottom w:val="0"/>
      <w:divBdr>
        <w:top w:val="none" w:sz="0" w:space="0" w:color="auto"/>
        <w:left w:val="none" w:sz="0" w:space="0" w:color="auto"/>
        <w:bottom w:val="none" w:sz="0" w:space="0" w:color="auto"/>
        <w:right w:val="none" w:sz="0" w:space="0" w:color="auto"/>
      </w:divBdr>
    </w:div>
    <w:div w:id="216475398">
      <w:bodyDiv w:val="1"/>
      <w:marLeft w:val="0"/>
      <w:marRight w:val="0"/>
      <w:marTop w:val="0"/>
      <w:marBottom w:val="0"/>
      <w:divBdr>
        <w:top w:val="none" w:sz="0" w:space="0" w:color="auto"/>
        <w:left w:val="none" w:sz="0" w:space="0" w:color="auto"/>
        <w:bottom w:val="none" w:sz="0" w:space="0" w:color="auto"/>
        <w:right w:val="none" w:sz="0" w:space="0" w:color="auto"/>
      </w:divBdr>
    </w:div>
    <w:div w:id="229078939">
      <w:bodyDiv w:val="1"/>
      <w:marLeft w:val="0"/>
      <w:marRight w:val="0"/>
      <w:marTop w:val="0"/>
      <w:marBottom w:val="0"/>
      <w:divBdr>
        <w:top w:val="none" w:sz="0" w:space="0" w:color="auto"/>
        <w:left w:val="none" w:sz="0" w:space="0" w:color="auto"/>
        <w:bottom w:val="none" w:sz="0" w:space="0" w:color="auto"/>
        <w:right w:val="none" w:sz="0" w:space="0" w:color="auto"/>
      </w:divBdr>
    </w:div>
    <w:div w:id="272982011">
      <w:bodyDiv w:val="1"/>
      <w:marLeft w:val="0"/>
      <w:marRight w:val="0"/>
      <w:marTop w:val="0"/>
      <w:marBottom w:val="0"/>
      <w:divBdr>
        <w:top w:val="none" w:sz="0" w:space="0" w:color="auto"/>
        <w:left w:val="none" w:sz="0" w:space="0" w:color="auto"/>
        <w:bottom w:val="none" w:sz="0" w:space="0" w:color="auto"/>
        <w:right w:val="none" w:sz="0" w:space="0" w:color="auto"/>
      </w:divBdr>
    </w:div>
    <w:div w:id="357662091">
      <w:bodyDiv w:val="1"/>
      <w:marLeft w:val="0"/>
      <w:marRight w:val="0"/>
      <w:marTop w:val="0"/>
      <w:marBottom w:val="0"/>
      <w:divBdr>
        <w:top w:val="none" w:sz="0" w:space="0" w:color="auto"/>
        <w:left w:val="none" w:sz="0" w:space="0" w:color="auto"/>
        <w:bottom w:val="none" w:sz="0" w:space="0" w:color="auto"/>
        <w:right w:val="none" w:sz="0" w:space="0" w:color="auto"/>
      </w:divBdr>
    </w:div>
    <w:div w:id="397559655">
      <w:bodyDiv w:val="1"/>
      <w:marLeft w:val="0"/>
      <w:marRight w:val="0"/>
      <w:marTop w:val="0"/>
      <w:marBottom w:val="0"/>
      <w:divBdr>
        <w:top w:val="none" w:sz="0" w:space="0" w:color="auto"/>
        <w:left w:val="none" w:sz="0" w:space="0" w:color="auto"/>
        <w:bottom w:val="none" w:sz="0" w:space="0" w:color="auto"/>
        <w:right w:val="none" w:sz="0" w:space="0" w:color="auto"/>
      </w:divBdr>
    </w:div>
    <w:div w:id="507642158">
      <w:bodyDiv w:val="1"/>
      <w:marLeft w:val="0"/>
      <w:marRight w:val="0"/>
      <w:marTop w:val="0"/>
      <w:marBottom w:val="0"/>
      <w:divBdr>
        <w:top w:val="none" w:sz="0" w:space="0" w:color="auto"/>
        <w:left w:val="none" w:sz="0" w:space="0" w:color="auto"/>
        <w:bottom w:val="none" w:sz="0" w:space="0" w:color="auto"/>
        <w:right w:val="none" w:sz="0" w:space="0" w:color="auto"/>
      </w:divBdr>
    </w:div>
    <w:div w:id="565649938">
      <w:bodyDiv w:val="1"/>
      <w:marLeft w:val="0"/>
      <w:marRight w:val="0"/>
      <w:marTop w:val="0"/>
      <w:marBottom w:val="0"/>
      <w:divBdr>
        <w:top w:val="none" w:sz="0" w:space="0" w:color="auto"/>
        <w:left w:val="none" w:sz="0" w:space="0" w:color="auto"/>
        <w:bottom w:val="none" w:sz="0" w:space="0" w:color="auto"/>
        <w:right w:val="none" w:sz="0" w:space="0" w:color="auto"/>
      </w:divBdr>
    </w:div>
    <w:div w:id="568737433">
      <w:bodyDiv w:val="1"/>
      <w:marLeft w:val="0"/>
      <w:marRight w:val="0"/>
      <w:marTop w:val="0"/>
      <w:marBottom w:val="0"/>
      <w:divBdr>
        <w:top w:val="none" w:sz="0" w:space="0" w:color="auto"/>
        <w:left w:val="none" w:sz="0" w:space="0" w:color="auto"/>
        <w:bottom w:val="none" w:sz="0" w:space="0" w:color="auto"/>
        <w:right w:val="none" w:sz="0" w:space="0" w:color="auto"/>
      </w:divBdr>
    </w:div>
    <w:div w:id="661547498">
      <w:bodyDiv w:val="1"/>
      <w:marLeft w:val="0"/>
      <w:marRight w:val="0"/>
      <w:marTop w:val="0"/>
      <w:marBottom w:val="0"/>
      <w:divBdr>
        <w:top w:val="none" w:sz="0" w:space="0" w:color="auto"/>
        <w:left w:val="none" w:sz="0" w:space="0" w:color="auto"/>
        <w:bottom w:val="none" w:sz="0" w:space="0" w:color="auto"/>
        <w:right w:val="none" w:sz="0" w:space="0" w:color="auto"/>
      </w:divBdr>
    </w:div>
    <w:div w:id="699017588">
      <w:bodyDiv w:val="1"/>
      <w:marLeft w:val="0"/>
      <w:marRight w:val="0"/>
      <w:marTop w:val="0"/>
      <w:marBottom w:val="0"/>
      <w:divBdr>
        <w:top w:val="none" w:sz="0" w:space="0" w:color="auto"/>
        <w:left w:val="none" w:sz="0" w:space="0" w:color="auto"/>
        <w:bottom w:val="none" w:sz="0" w:space="0" w:color="auto"/>
        <w:right w:val="none" w:sz="0" w:space="0" w:color="auto"/>
      </w:divBdr>
    </w:div>
    <w:div w:id="711274682">
      <w:bodyDiv w:val="1"/>
      <w:marLeft w:val="0"/>
      <w:marRight w:val="0"/>
      <w:marTop w:val="0"/>
      <w:marBottom w:val="0"/>
      <w:divBdr>
        <w:top w:val="none" w:sz="0" w:space="0" w:color="auto"/>
        <w:left w:val="none" w:sz="0" w:space="0" w:color="auto"/>
        <w:bottom w:val="none" w:sz="0" w:space="0" w:color="auto"/>
        <w:right w:val="none" w:sz="0" w:space="0" w:color="auto"/>
      </w:divBdr>
    </w:div>
    <w:div w:id="734624367">
      <w:bodyDiv w:val="1"/>
      <w:marLeft w:val="0"/>
      <w:marRight w:val="0"/>
      <w:marTop w:val="0"/>
      <w:marBottom w:val="0"/>
      <w:divBdr>
        <w:top w:val="none" w:sz="0" w:space="0" w:color="auto"/>
        <w:left w:val="none" w:sz="0" w:space="0" w:color="auto"/>
        <w:bottom w:val="none" w:sz="0" w:space="0" w:color="auto"/>
        <w:right w:val="none" w:sz="0" w:space="0" w:color="auto"/>
      </w:divBdr>
    </w:div>
    <w:div w:id="907614763">
      <w:bodyDiv w:val="1"/>
      <w:marLeft w:val="0"/>
      <w:marRight w:val="0"/>
      <w:marTop w:val="0"/>
      <w:marBottom w:val="0"/>
      <w:divBdr>
        <w:top w:val="none" w:sz="0" w:space="0" w:color="auto"/>
        <w:left w:val="none" w:sz="0" w:space="0" w:color="auto"/>
        <w:bottom w:val="none" w:sz="0" w:space="0" w:color="auto"/>
        <w:right w:val="none" w:sz="0" w:space="0" w:color="auto"/>
      </w:divBdr>
    </w:div>
    <w:div w:id="931930917">
      <w:bodyDiv w:val="1"/>
      <w:marLeft w:val="0"/>
      <w:marRight w:val="0"/>
      <w:marTop w:val="0"/>
      <w:marBottom w:val="0"/>
      <w:divBdr>
        <w:top w:val="none" w:sz="0" w:space="0" w:color="auto"/>
        <w:left w:val="none" w:sz="0" w:space="0" w:color="auto"/>
        <w:bottom w:val="none" w:sz="0" w:space="0" w:color="auto"/>
        <w:right w:val="none" w:sz="0" w:space="0" w:color="auto"/>
      </w:divBdr>
    </w:div>
    <w:div w:id="988098391">
      <w:bodyDiv w:val="1"/>
      <w:marLeft w:val="0"/>
      <w:marRight w:val="0"/>
      <w:marTop w:val="0"/>
      <w:marBottom w:val="0"/>
      <w:divBdr>
        <w:top w:val="none" w:sz="0" w:space="0" w:color="auto"/>
        <w:left w:val="none" w:sz="0" w:space="0" w:color="auto"/>
        <w:bottom w:val="none" w:sz="0" w:space="0" w:color="auto"/>
        <w:right w:val="none" w:sz="0" w:space="0" w:color="auto"/>
      </w:divBdr>
    </w:div>
    <w:div w:id="1170633558">
      <w:bodyDiv w:val="1"/>
      <w:marLeft w:val="0"/>
      <w:marRight w:val="0"/>
      <w:marTop w:val="0"/>
      <w:marBottom w:val="0"/>
      <w:divBdr>
        <w:top w:val="none" w:sz="0" w:space="0" w:color="auto"/>
        <w:left w:val="none" w:sz="0" w:space="0" w:color="auto"/>
        <w:bottom w:val="none" w:sz="0" w:space="0" w:color="auto"/>
        <w:right w:val="none" w:sz="0" w:space="0" w:color="auto"/>
      </w:divBdr>
    </w:div>
    <w:div w:id="1625040531">
      <w:bodyDiv w:val="1"/>
      <w:marLeft w:val="0"/>
      <w:marRight w:val="0"/>
      <w:marTop w:val="0"/>
      <w:marBottom w:val="0"/>
      <w:divBdr>
        <w:top w:val="none" w:sz="0" w:space="0" w:color="auto"/>
        <w:left w:val="none" w:sz="0" w:space="0" w:color="auto"/>
        <w:bottom w:val="none" w:sz="0" w:space="0" w:color="auto"/>
        <w:right w:val="none" w:sz="0" w:space="0" w:color="auto"/>
      </w:divBdr>
    </w:div>
    <w:div w:id="1823428076">
      <w:bodyDiv w:val="1"/>
      <w:marLeft w:val="0"/>
      <w:marRight w:val="0"/>
      <w:marTop w:val="0"/>
      <w:marBottom w:val="0"/>
      <w:divBdr>
        <w:top w:val="none" w:sz="0" w:space="0" w:color="auto"/>
        <w:left w:val="none" w:sz="0" w:space="0" w:color="auto"/>
        <w:bottom w:val="none" w:sz="0" w:space="0" w:color="auto"/>
        <w:right w:val="none" w:sz="0" w:space="0" w:color="auto"/>
      </w:divBdr>
    </w:div>
    <w:div w:id="1828204795">
      <w:bodyDiv w:val="1"/>
      <w:marLeft w:val="0"/>
      <w:marRight w:val="0"/>
      <w:marTop w:val="0"/>
      <w:marBottom w:val="0"/>
      <w:divBdr>
        <w:top w:val="none" w:sz="0" w:space="0" w:color="auto"/>
        <w:left w:val="none" w:sz="0" w:space="0" w:color="auto"/>
        <w:bottom w:val="none" w:sz="0" w:space="0" w:color="auto"/>
        <w:right w:val="none" w:sz="0" w:space="0" w:color="auto"/>
      </w:divBdr>
    </w:div>
    <w:div w:id="1890263073">
      <w:bodyDiv w:val="1"/>
      <w:marLeft w:val="0"/>
      <w:marRight w:val="0"/>
      <w:marTop w:val="0"/>
      <w:marBottom w:val="0"/>
      <w:divBdr>
        <w:top w:val="none" w:sz="0" w:space="0" w:color="auto"/>
        <w:left w:val="none" w:sz="0" w:space="0" w:color="auto"/>
        <w:bottom w:val="none" w:sz="0" w:space="0" w:color="auto"/>
        <w:right w:val="none" w:sz="0" w:space="0" w:color="auto"/>
      </w:divBdr>
    </w:div>
    <w:div w:id="1953633753">
      <w:bodyDiv w:val="1"/>
      <w:marLeft w:val="0"/>
      <w:marRight w:val="0"/>
      <w:marTop w:val="0"/>
      <w:marBottom w:val="0"/>
      <w:divBdr>
        <w:top w:val="none" w:sz="0" w:space="0" w:color="auto"/>
        <w:left w:val="none" w:sz="0" w:space="0" w:color="auto"/>
        <w:bottom w:val="none" w:sz="0" w:space="0" w:color="auto"/>
        <w:right w:val="none" w:sz="0" w:space="0" w:color="auto"/>
      </w:divBdr>
    </w:div>
    <w:div w:id="2034068520">
      <w:bodyDiv w:val="1"/>
      <w:marLeft w:val="0"/>
      <w:marRight w:val="0"/>
      <w:marTop w:val="0"/>
      <w:marBottom w:val="0"/>
      <w:divBdr>
        <w:top w:val="none" w:sz="0" w:space="0" w:color="auto"/>
        <w:left w:val="none" w:sz="0" w:space="0" w:color="auto"/>
        <w:bottom w:val="none" w:sz="0" w:space="0" w:color="auto"/>
        <w:right w:val="none" w:sz="0" w:space="0" w:color="auto"/>
      </w:divBdr>
    </w:div>
    <w:div w:id="21231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28d7d6feaf8d458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1F75-04D5-4628-A43F-C17E6E60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6C55-3008-4165-B83C-AE384195A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6C57E-9E8E-4DBF-8D5A-EB54FA2DE012}">
  <ds:schemaRefs>
    <ds:schemaRef ds:uri="http://schemas.microsoft.com/sharepoint/v3/contenttype/forms"/>
  </ds:schemaRefs>
</ds:datastoreItem>
</file>

<file path=customXml/itemProps4.xml><?xml version="1.0" encoding="utf-8"?>
<ds:datastoreItem xmlns:ds="http://schemas.openxmlformats.org/officeDocument/2006/customXml" ds:itemID="{3F2395A5-A4E3-4A30-979D-0BD08684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1784</Words>
  <Characters>9813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6</cp:revision>
  <cp:lastPrinted>2016-02-03T13:36:00Z</cp:lastPrinted>
  <dcterms:created xsi:type="dcterms:W3CDTF">2022-10-24T16:06:00Z</dcterms:created>
  <dcterms:modified xsi:type="dcterms:W3CDTF">2022-11-11T16:01:00Z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