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BC60" w14:textId="77777777" w:rsidR="006E608A" w:rsidRPr="006E608A" w:rsidRDefault="006E608A" w:rsidP="006E608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6E608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DB8BCA" w14:textId="77777777" w:rsidR="006E608A" w:rsidRPr="006E608A" w:rsidRDefault="006E608A" w:rsidP="006E608A">
      <w:pPr>
        <w:spacing w:after="0" w:line="240" w:lineRule="auto"/>
        <w:jc w:val="both"/>
        <w:rPr>
          <w:rFonts w:ascii="Arial" w:eastAsia="Times New Roman" w:hAnsi="Arial" w:cs="Arial"/>
          <w:sz w:val="20"/>
          <w:szCs w:val="20"/>
          <w:lang w:val="es-419" w:eastAsia="es-ES"/>
        </w:rPr>
      </w:pPr>
    </w:p>
    <w:p w14:paraId="0B8E8C51" w14:textId="776B60BE" w:rsidR="006E608A" w:rsidRPr="006E608A" w:rsidRDefault="001A45C4" w:rsidP="006E608A">
      <w:pPr>
        <w:spacing w:after="0" w:line="240" w:lineRule="auto"/>
        <w:jc w:val="both"/>
        <w:rPr>
          <w:rFonts w:ascii="Arial" w:eastAsia="Times New Roman" w:hAnsi="Arial" w:cs="Arial"/>
          <w:b/>
          <w:bCs/>
          <w:iCs/>
          <w:sz w:val="20"/>
          <w:szCs w:val="20"/>
          <w:lang w:val="es-419" w:eastAsia="fr-FR"/>
        </w:rPr>
      </w:pPr>
      <w:r w:rsidRPr="006E608A">
        <w:rPr>
          <w:rFonts w:ascii="Arial" w:eastAsia="Times New Roman" w:hAnsi="Arial" w:cs="Arial"/>
          <w:b/>
          <w:bCs/>
          <w:iCs/>
          <w:sz w:val="20"/>
          <w:szCs w:val="20"/>
          <w:u w:val="single"/>
          <w:lang w:val="es-419" w:eastAsia="fr-FR"/>
        </w:rPr>
        <w:t>TEMAS:</w:t>
      </w:r>
      <w:r w:rsidRPr="006E608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CONFLICTO DE COMPETENCIA / ARTÍCULO 1°, NUMERAL 3, DECRETO 333 DE 2021 / TUTELA CONTRA FUNCIONARIOS DEL ORDEN NACIONAL / COMPETE A LOS TRIBUNALES SUPERIORES Y ADMINISTRATIVOS / SI ES CONTRA LA ENTIDAD, A LOS JUZGADOS DE CIRCUITO.</w:t>
      </w:r>
    </w:p>
    <w:p w14:paraId="76A9C149" w14:textId="77777777" w:rsidR="006E608A" w:rsidRPr="006E608A" w:rsidRDefault="006E608A" w:rsidP="006E608A">
      <w:pPr>
        <w:spacing w:after="0" w:line="240" w:lineRule="auto"/>
        <w:jc w:val="both"/>
        <w:rPr>
          <w:rFonts w:ascii="Arial" w:eastAsia="Times New Roman" w:hAnsi="Arial" w:cs="Arial"/>
          <w:sz w:val="20"/>
          <w:szCs w:val="20"/>
          <w:lang w:val="es-419" w:eastAsia="es-ES"/>
        </w:rPr>
      </w:pPr>
    </w:p>
    <w:p w14:paraId="5D2B4118" w14:textId="77777777" w:rsidR="0005421B" w:rsidRPr="0005421B" w:rsidRDefault="0005421B" w:rsidP="0005421B">
      <w:pPr>
        <w:spacing w:after="0" w:line="240" w:lineRule="auto"/>
        <w:jc w:val="both"/>
        <w:rPr>
          <w:rFonts w:ascii="Arial" w:eastAsia="Times New Roman" w:hAnsi="Arial" w:cs="Arial"/>
          <w:sz w:val="20"/>
          <w:szCs w:val="20"/>
          <w:lang w:val="es-419" w:eastAsia="es-ES"/>
        </w:rPr>
      </w:pPr>
      <w:r w:rsidRPr="0005421B">
        <w:rPr>
          <w:rFonts w:ascii="Arial" w:eastAsia="Times New Roman" w:hAnsi="Arial" w:cs="Arial"/>
          <w:sz w:val="20"/>
          <w:szCs w:val="20"/>
          <w:lang w:val="es-419" w:eastAsia="es-ES"/>
        </w:rPr>
        <w:t>La controversia nace, porque, establece el numeral 3° del artículo 1° del Decreto 333 de 2021 que:</w:t>
      </w:r>
      <w:r w:rsidRPr="0005421B">
        <w:rPr>
          <w:rFonts w:ascii="Arial" w:eastAsia="Times New Roman" w:hAnsi="Arial" w:cs="Arial"/>
          <w:sz w:val="20"/>
          <w:szCs w:val="20"/>
          <w:lang w:val="es-419" w:eastAsia="es-ES"/>
        </w:rPr>
        <w:tab/>
      </w:r>
      <w:r w:rsidRPr="0005421B">
        <w:rPr>
          <w:rFonts w:ascii="Arial" w:eastAsia="Times New Roman" w:hAnsi="Arial" w:cs="Arial"/>
          <w:sz w:val="20"/>
          <w:szCs w:val="20"/>
          <w:lang w:val="es-419" w:eastAsia="es-ES"/>
        </w:rPr>
        <w:tab/>
      </w:r>
      <w:r w:rsidRPr="0005421B">
        <w:rPr>
          <w:rFonts w:ascii="Arial" w:eastAsia="Times New Roman" w:hAnsi="Arial" w:cs="Arial"/>
          <w:sz w:val="20"/>
          <w:szCs w:val="20"/>
          <w:lang w:val="es-419" w:eastAsia="es-ES"/>
        </w:rPr>
        <w:tab/>
      </w:r>
      <w:r w:rsidRPr="0005421B">
        <w:rPr>
          <w:rFonts w:ascii="Arial" w:eastAsia="Times New Roman" w:hAnsi="Arial" w:cs="Arial"/>
          <w:sz w:val="20"/>
          <w:szCs w:val="20"/>
          <w:lang w:val="es-419" w:eastAsia="es-ES"/>
        </w:rPr>
        <w:tab/>
      </w:r>
    </w:p>
    <w:p w14:paraId="696900C2" w14:textId="01CA7CB7" w:rsidR="006E608A" w:rsidRPr="006E608A" w:rsidRDefault="0005421B" w:rsidP="0005421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5421B">
        <w:rPr>
          <w:rFonts w:ascii="Arial" w:eastAsia="Times New Roman" w:hAnsi="Arial" w:cs="Arial"/>
          <w:sz w:val="20"/>
          <w:szCs w:val="20"/>
          <w:lang w:val="es-419" w:eastAsia="es-ES"/>
        </w:rPr>
        <w:t>Las acciones de tutela dirigidas contra las actuaciones del Contralor General de la República, del Procurador General de la Nación, del Fiscal General de la Nación, del Registrador Nacional del Estado Civil, del Defensor del Pueblo, del Auditor General de la República, del Contador General de la Nación, del Consejo Nacional Electoral</w:t>
      </w:r>
      <w:r>
        <w:rPr>
          <w:rFonts w:ascii="Arial" w:eastAsia="Times New Roman" w:hAnsi="Arial" w:cs="Arial"/>
          <w:sz w:val="20"/>
          <w:szCs w:val="20"/>
          <w:lang w:val="es-419" w:eastAsia="es-ES"/>
        </w:rPr>
        <w:t>…”</w:t>
      </w:r>
    </w:p>
    <w:p w14:paraId="7C4EFA66" w14:textId="77777777" w:rsidR="006E608A" w:rsidRPr="006E608A" w:rsidRDefault="006E608A" w:rsidP="006E608A">
      <w:pPr>
        <w:spacing w:after="0" w:line="240" w:lineRule="auto"/>
        <w:jc w:val="both"/>
        <w:rPr>
          <w:rFonts w:ascii="Arial" w:eastAsia="Times New Roman" w:hAnsi="Arial" w:cs="Arial"/>
          <w:sz w:val="20"/>
          <w:szCs w:val="20"/>
          <w:lang w:val="es-419" w:eastAsia="es-ES"/>
        </w:rPr>
      </w:pPr>
    </w:p>
    <w:p w14:paraId="7CE918C8" w14:textId="5FA8CDA9" w:rsidR="006E608A" w:rsidRPr="006E608A" w:rsidRDefault="0088655D" w:rsidP="006E608A">
      <w:pPr>
        <w:spacing w:after="0" w:line="240" w:lineRule="auto"/>
        <w:jc w:val="both"/>
        <w:rPr>
          <w:rFonts w:ascii="Arial" w:eastAsia="Times New Roman" w:hAnsi="Arial" w:cs="Arial"/>
          <w:sz w:val="20"/>
          <w:szCs w:val="20"/>
          <w:lang w:val="es-419" w:eastAsia="es-ES"/>
        </w:rPr>
      </w:pPr>
      <w:r w:rsidRPr="0088655D">
        <w:rPr>
          <w:rFonts w:ascii="Arial" w:eastAsia="Times New Roman" w:hAnsi="Arial" w:cs="Arial"/>
          <w:sz w:val="20"/>
          <w:szCs w:val="20"/>
          <w:lang w:val="es-419" w:eastAsia="es-ES"/>
        </w:rPr>
        <w:t>Sin embargo, como apuntó el magistrado García Barajas, de la lectura de la demanda, se desprende que ninguna queja o súplica se eleva, específicamente, frente al funcionario que actúa en calidad de Defensor del Pueblo</w:t>
      </w:r>
      <w:r>
        <w:rPr>
          <w:rFonts w:ascii="Arial" w:eastAsia="Times New Roman" w:hAnsi="Arial" w:cs="Arial"/>
          <w:sz w:val="20"/>
          <w:szCs w:val="20"/>
          <w:lang w:val="es-419" w:eastAsia="es-ES"/>
        </w:rPr>
        <w:t>…</w:t>
      </w:r>
    </w:p>
    <w:p w14:paraId="1568A912" w14:textId="77777777" w:rsidR="006E608A" w:rsidRPr="006E608A" w:rsidRDefault="006E608A" w:rsidP="006E608A">
      <w:pPr>
        <w:spacing w:after="0" w:line="240" w:lineRule="auto"/>
        <w:jc w:val="both"/>
        <w:rPr>
          <w:rFonts w:ascii="Arial" w:eastAsia="Times New Roman" w:hAnsi="Arial" w:cs="Arial"/>
          <w:sz w:val="20"/>
          <w:szCs w:val="20"/>
          <w:lang w:val="es-419" w:eastAsia="es-ES"/>
        </w:rPr>
      </w:pPr>
    </w:p>
    <w:p w14:paraId="6B2AC71E" w14:textId="1EA3CAA6" w:rsidR="006E608A" w:rsidRPr="006E608A" w:rsidRDefault="004A38FF" w:rsidP="006E608A">
      <w:pPr>
        <w:spacing w:after="0" w:line="240" w:lineRule="auto"/>
        <w:jc w:val="both"/>
        <w:rPr>
          <w:rFonts w:ascii="Arial" w:eastAsia="Times New Roman" w:hAnsi="Arial" w:cs="Arial"/>
          <w:sz w:val="20"/>
          <w:szCs w:val="20"/>
          <w:lang w:val="es-419" w:eastAsia="es-ES"/>
        </w:rPr>
      </w:pPr>
      <w:r w:rsidRPr="004A38FF">
        <w:rPr>
          <w:rFonts w:ascii="Arial" w:eastAsia="Times New Roman" w:hAnsi="Arial" w:cs="Arial"/>
          <w:sz w:val="20"/>
          <w:szCs w:val="20"/>
          <w:lang w:val="es-419" w:eastAsia="es-ES"/>
        </w:rPr>
        <w:t>Cambiando lo que hay que cambiar, lo que aquí sucede, ha sido aclarado ya por la Sala de Casación Civil de la Corte Suprema de Justicia cuando</w:t>
      </w:r>
      <w:r>
        <w:rPr>
          <w:rFonts w:ascii="Arial" w:eastAsia="Times New Roman" w:hAnsi="Arial" w:cs="Arial"/>
          <w:sz w:val="20"/>
          <w:szCs w:val="20"/>
          <w:lang w:val="es-419" w:eastAsia="es-ES"/>
        </w:rPr>
        <w:t>…</w:t>
      </w:r>
      <w:r w:rsidRPr="004A38FF">
        <w:rPr>
          <w:rFonts w:ascii="Arial" w:eastAsia="Times New Roman" w:hAnsi="Arial" w:cs="Arial"/>
          <w:sz w:val="20"/>
          <w:szCs w:val="20"/>
          <w:lang w:val="es-419" w:eastAsia="es-ES"/>
        </w:rPr>
        <w:t xml:space="preserve"> declaró la nulidad de lo actuado en esta sede, en consideración a que el amparo estaba dirigido contra la Procuraduría General de la Nación y no concretamente frente el Procurador General de la Nación</w:t>
      </w:r>
      <w:r>
        <w:rPr>
          <w:rFonts w:ascii="Arial" w:eastAsia="Times New Roman" w:hAnsi="Arial" w:cs="Arial"/>
          <w:sz w:val="20"/>
          <w:szCs w:val="20"/>
          <w:lang w:val="es-419" w:eastAsia="es-ES"/>
        </w:rPr>
        <w:t>…</w:t>
      </w:r>
    </w:p>
    <w:p w14:paraId="6325B0D9" w14:textId="0CA1F629" w:rsidR="006E608A" w:rsidRDefault="006E608A" w:rsidP="006E608A">
      <w:pPr>
        <w:spacing w:after="0" w:line="240" w:lineRule="auto"/>
        <w:jc w:val="both"/>
        <w:rPr>
          <w:rFonts w:ascii="Arial" w:eastAsia="Times New Roman" w:hAnsi="Arial" w:cs="Arial"/>
          <w:sz w:val="20"/>
          <w:szCs w:val="20"/>
          <w:lang w:eastAsia="es-ES"/>
        </w:rPr>
      </w:pPr>
    </w:p>
    <w:p w14:paraId="4C6F8CA6" w14:textId="77777777" w:rsidR="00A85A85" w:rsidRPr="00A85A85" w:rsidRDefault="00A85A85" w:rsidP="00A85A85">
      <w:pPr>
        <w:spacing w:after="0" w:line="240" w:lineRule="auto"/>
        <w:jc w:val="both"/>
        <w:rPr>
          <w:rFonts w:ascii="Arial" w:eastAsia="Times New Roman" w:hAnsi="Arial" w:cs="Arial"/>
          <w:sz w:val="20"/>
          <w:szCs w:val="20"/>
          <w:lang w:eastAsia="es-ES"/>
        </w:rPr>
      </w:pPr>
      <w:r w:rsidRPr="00A85A85">
        <w:rPr>
          <w:rFonts w:ascii="Arial" w:eastAsia="Times New Roman" w:hAnsi="Arial" w:cs="Arial"/>
          <w:sz w:val="20"/>
          <w:szCs w:val="20"/>
          <w:lang w:eastAsia="es-ES"/>
        </w:rPr>
        <w:t>En esa ocasión, el alto Tribunal enseñó:</w:t>
      </w:r>
    </w:p>
    <w:p w14:paraId="6E73A25B" w14:textId="77777777" w:rsidR="00A85A85" w:rsidRPr="00A85A85" w:rsidRDefault="00A85A85" w:rsidP="00A85A85">
      <w:pPr>
        <w:spacing w:after="0" w:line="240" w:lineRule="auto"/>
        <w:jc w:val="both"/>
        <w:rPr>
          <w:rFonts w:ascii="Arial" w:eastAsia="Times New Roman" w:hAnsi="Arial" w:cs="Arial"/>
          <w:sz w:val="20"/>
          <w:szCs w:val="20"/>
          <w:lang w:eastAsia="es-ES"/>
        </w:rPr>
      </w:pPr>
    </w:p>
    <w:p w14:paraId="3C6D2AAF" w14:textId="089790D1" w:rsidR="004A38FF" w:rsidRDefault="00A85A85" w:rsidP="00A85A8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A85A85">
        <w:rPr>
          <w:rFonts w:ascii="Arial" w:eastAsia="Times New Roman" w:hAnsi="Arial" w:cs="Arial"/>
          <w:sz w:val="20"/>
          <w:szCs w:val="20"/>
          <w:lang w:eastAsia="es-ES"/>
        </w:rPr>
        <w:t>Se resalta, aun cuando el numeral 3° ídem, indica las atribuciones de los tribunales para conocer de súplicas tutelares incoadas frente a los actos del Procurador General de la Nación, entre otros, lo discutido en el amparo de la referencia en nada involucra la gestión de ese funcionario.</w:t>
      </w:r>
      <w:r>
        <w:rPr>
          <w:rFonts w:ascii="Arial" w:eastAsia="Times New Roman" w:hAnsi="Arial" w:cs="Arial"/>
          <w:sz w:val="20"/>
          <w:szCs w:val="20"/>
          <w:lang w:eastAsia="es-ES"/>
        </w:rPr>
        <w:t>”</w:t>
      </w:r>
    </w:p>
    <w:p w14:paraId="21B0D986" w14:textId="77777777" w:rsidR="004A38FF" w:rsidRPr="006E608A" w:rsidRDefault="004A38FF" w:rsidP="006E608A">
      <w:pPr>
        <w:spacing w:after="0" w:line="240" w:lineRule="auto"/>
        <w:jc w:val="both"/>
        <w:rPr>
          <w:rFonts w:ascii="Arial" w:eastAsia="Times New Roman" w:hAnsi="Arial" w:cs="Arial"/>
          <w:sz w:val="20"/>
          <w:szCs w:val="20"/>
          <w:lang w:eastAsia="es-ES"/>
        </w:rPr>
      </w:pPr>
    </w:p>
    <w:p w14:paraId="37FE64DA" w14:textId="77777777" w:rsidR="006E608A" w:rsidRPr="006E608A" w:rsidRDefault="006E608A" w:rsidP="006E608A">
      <w:pPr>
        <w:spacing w:after="0" w:line="240" w:lineRule="auto"/>
        <w:jc w:val="both"/>
        <w:rPr>
          <w:rFonts w:ascii="Arial" w:eastAsia="Times New Roman" w:hAnsi="Arial" w:cs="Arial"/>
          <w:sz w:val="20"/>
          <w:szCs w:val="20"/>
          <w:lang w:eastAsia="es-ES"/>
        </w:rPr>
      </w:pPr>
    </w:p>
    <w:p w14:paraId="356FC7E0" w14:textId="77777777" w:rsidR="006E608A" w:rsidRPr="006E608A" w:rsidRDefault="006E608A" w:rsidP="006E608A">
      <w:pPr>
        <w:spacing w:after="0" w:line="240" w:lineRule="auto"/>
        <w:jc w:val="both"/>
        <w:rPr>
          <w:rFonts w:ascii="Arial" w:eastAsia="Times New Roman" w:hAnsi="Arial" w:cs="Arial"/>
          <w:sz w:val="20"/>
          <w:szCs w:val="20"/>
          <w:lang w:eastAsia="es-ES"/>
        </w:rPr>
      </w:pPr>
    </w:p>
    <w:bookmarkEnd w:id="0"/>
    <w:p w14:paraId="2867E364" w14:textId="77777777" w:rsidR="00E158BB" w:rsidRPr="00881636" w:rsidRDefault="00E158BB" w:rsidP="00881636">
      <w:pPr>
        <w:tabs>
          <w:tab w:val="left" w:pos="3060"/>
        </w:tabs>
        <w:spacing w:after="0" w:line="276" w:lineRule="auto"/>
        <w:ind w:firstLine="2835"/>
        <w:contextualSpacing/>
        <w:jc w:val="both"/>
        <w:rPr>
          <w:rFonts w:ascii="Gadugi" w:eastAsia="Times New Roman" w:hAnsi="Gadugi" w:cs="Arial"/>
          <w:b/>
          <w:sz w:val="24"/>
          <w:szCs w:val="24"/>
          <w:lang w:eastAsia="es-ES"/>
        </w:rPr>
      </w:pPr>
      <w:r w:rsidRPr="00881636">
        <w:rPr>
          <w:rFonts w:ascii="Gadugi" w:eastAsia="Times New Roman" w:hAnsi="Gadugi" w:cs="Arial"/>
          <w:b/>
          <w:sz w:val="24"/>
          <w:szCs w:val="24"/>
          <w:lang w:eastAsia="es-ES"/>
        </w:rPr>
        <w:t xml:space="preserve">TRIBUNAL SUPERIOR DEL DISTRITO JUDICIAL </w:t>
      </w:r>
    </w:p>
    <w:p w14:paraId="348B4B5F" w14:textId="4328CCAE" w:rsidR="005545BE" w:rsidRPr="00881636" w:rsidRDefault="00640CA2" w:rsidP="00881636">
      <w:pPr>
        <w:keepNext/>
        <w:spacing w:after="0" w:line="276" w:lineRule="auto"/>
        <w:jc w:val="both"/>
        <w:outlineLvl w:val="2"/>
        <w:rPr>
          <w:rFonts w:ascii="Gadugi" w:eastAsia="Times New Roman" w:hAnsi="Gadugi" w:cs="Arial"/>
          <w:sz w:val="24"/>
          <w:szCs w:val="24"/>
          <w:lang w:eastAsia="es-ES"/>
        </w:rPr>
      </w:pPr>
      <w:r w:rsidRPr="00881636">
        <w:rPr>
          <w:rFonts w:ascii="Gadugi" w:eastAsia="Times New Roman" w:hAnsi="Gadugi" w:cs="Arial"/>
          <w:b/>
          <w:bCs/>
          <w:sz w:val="24"/>
          <w:szCs w:val="24"/>
          <w:lang w:eastAsia="es-ES"/>
        </w:rPr>
        <w:t xml:space="preserve"> </w:t>
      </w:r>
      <w:r w:rsidRPr="00881636">
        <w:rPr>
          <w:rFonts w:ascii="Gadugi" w:eastAsia="Times New Roman" w:hAnsi="Gadugi" w:cs="Arial"/>
          <w:b/>
          <w:bCs/>
          <w:sz w:val="24"/>
          <w:szCs w:val="24"/>
          <w:lang w:val="es-419" w:eastAsia="es-ES"/>
        </w:rPr>
        <w:t xml:space="preserve">  </w:t>
      </w:r>
      <w:r w:rsidRPr="00881636">
        <w:rPr>
          <w:rFonts w:ascii="Gadugi" w:eastAsia="Times New Roman" w:hAnsi="Gadugi" w:cs="Arial"/>
          <w:b/>
          <w:bCs/>
          <w:sz w:val="24"/>
          <w:szCs w:val="24"/>
          <w:lang w:eastAsia="es-ES"/>
        </w:rPr>
        <w:t xml:space="preserve">         </w:t>
      </w:r>
      <w:r w:rsidRPr="00881636">
        <w:rPr>
          <w:rFonts w:ascii="Gadugi" w:eastAsia="Times New Roman" w:hAnsi="Gadugi"/>
          <w:b/>
          <w:sz w:val="24"/>
          <w:szCs w:val="24"/>
          <w:lang w:val="es-MX" w:eastAsia="es-ES"/>
        </w:rPr>
        <w:t xml:space="preserve">  </w:t>
      </w:r>
      <w:r w:rsidRPr="00881636">
        <w:rPr>
          <w:rFonts w:ascii="Gadugi" w:eastAsia="Times New Roman" w:hAnsi="Gadugi"/>
          <w:b/>
          <w:sz w:val="24"/>
          <w:szCs w:val="24"/>
          <w:lang w:val="es-419" w:eastAsia="es-ES"/>
        </w:rPr>
        <w:t xml:space="preserve">         </w:t>
      </w:r>
      <w:r w:rsidRPr="00881636">
        <w:rPr>
          <w:rFonts w:ascii="Gadugi" w:eastAsia="Times New Roman" w:hAnsi="Gadugi"/>
          <w:b/>
          <w:sz w:val="24"/>
          <w:szCs w:val="24"/>
          <w:lang w:val="es-419" w:eastAsia="es-ES"/>
        </w:rPr>
        <w:tab/>
      </w:r>
      <w:r w:rsidRPr="00881636">
        <w:rPr>
          <w:rFonts w:ascii="Gadugi" w:eastAsia="Times New Roman" w:hAnsi="Gadugi"/>
          <w:b/>
          <w:sz w:val="24"/>
          <w:szCs w:val="24"/>
          <w:lang w:val="es-419" w:eastAsia="es-ES"/>
        </w:rPr>
        <w:tab/>
      </w:r>
      <w:r w:rsidRPr="00881636">
        <w:rPr>
          <w:rFonts w:ascii="Gadugi" w:eastAsia="Times New Roman" w:hAnsi="Gadugi"/>
          <w:b/>
          <w:sz w:val="24"/>
          <w:szCs w:val="24"/>
          <w:lang w:val="es-419" w:eastAsia="es-ES"/>
        </w:rPr>
        <w:tab/>
        <w:t xml:space="preserve">         </w:t>
      </w:r>
      <w:r w:rsidRPr="00881636">
        <w:rPr>
          <w:rFonts w:ascii="Gadugi" w:eastAsia="Times New Roman" w:hAnsi="Gadugi"/>
          <w:b/>
          <w:sz w:val="24"/>
          <w:szCs w:val="24"/>
          <w:lang w:val="es-MX" w:eastAsia="es-ES"/>
        </w:rPr>
        <w:t>SALA MIXTA NRO. 10</w:t>
      </w:r>
    </w:p>
    <w:p w14:paraId="5ED73F65" w14:textId="77777777" w:rsidR="00E158BB" w:rsidRPr="00881636" w:rsidRDefault="00E158BB" w:rsidP="00881636">
      <w:pPr>
        <w:keepNext/>
        <w:spacing w:after="0" w:line="276" w:lineRule="auto"/>
        <w:ind w:firstLine="2835"/>
        <w:contextualSpacing/>
        <w:jc w:val="both"/>
        <w:outlineLvl w:val="0"/>
        <w:rPr>
          <w:rFonts w:ascii="Gadugi" w:eastAsia="Times New Roman" w:hAnsi="Gadugi" w:cs="Arial"/>
          <w:sz w:val="24"/>
          <w:szCs w:val="24"/>
          <w:lang w:eastAsia="es-ES"/>
        </w:rPr>
      </w:pPr>
    </w:p>
    <w:p w14:paraId="02A7F544" w14:textId="77777777" w:rsidR="00E158BB" w:rsidRPr="00881636" w:rsidRDefault="00E158BB" w:rsidP="00881636">
      <w:pPr>
        <w:spacing w:after="0" w:line="276" w:lineRule="auto"/>
        <w:ind w:firstLine="2835"/>
        <w:contextualSpacing/>
        <w:jc w:val="both"/>
        <w:rPr>
          <w:rFonts w:ascii="Gadugi" w:eastAsia="Times New Roman" w:hAnsi="Gadugi" w:cs="Arial"/>
          <w:sz w:val="24"/>
          <w:szCs w:val="24"/>
          <w:lang w:eastAsia="es-ES"/>
        </w:rPr>
      </w:pPr>
    </w:p>
    <w:p w14:paraId="0078D094" w14:textId="77777777" w:rsidR="00E158BB" w:rsidRPr="00881636" w:rsidRDefault="00E158BB" w:rsidP="00881636">
      <w:pPr>
        <w:spacing w:after="0" w:line="276" w:lineRule="auto"/>
        <w:ind w:firstLine="2835"/>
        <w:contextualSpacing/>
        <w:jc w:val="both"/>
        <w:rPr>
          <w:rFonts w:ascii="Gadugi" w:eastAsia="Times New Roman" w:hAnsi="Gadugi" w:cs="Arial"/>
          <w:sz w:val="24"/>
          <w:szCs w:val="24"/>
          <w:lang w:eastAsia="es-ES"/>
        </w:rPr>
      </w:pPr>
      <w:r w:rsidRPr="00881636">
        <w:rPr>
          <w:rFonts w:ascii="Gadugi" w:eastAsia="Times New Roman" w:hAnsi="Gadugi" w:cs="Arial"/>
          <w:sz w:val="24"/>
          <w:szCs w:val="24"/>
          <w:lang w:eastAsia="es-ES"/>
        </w:rPr>
        <w:t>Magistrado: Jaime Alberto Saraza Naranjo</w:t>
      </w:r>
    </w:p>
    <w:p w14:paraId="35E66AF3" w14:textId="3EEDC705" w:rsidR="00E158BB" w:rsidRPr="00881636" w:rsidRDefault="00E158BB" w:rsidP="00881636">
      <w:pPr>
        <w:spacing w:after="0" w:line="276" w:lineRule="auto"/>
        <w:ind w:firstLine="2835"/>
        <w:contextualSpacing/>
        <w:jc w:val="both"/>
        <w:rPr>
          <w:rFonts w:ascii="Gadugi" w:eastAsia="Times New Roman" w:hAnsi="Gadugi" w:cs="Arial"/>
          <w:sz w:val="24"/>
          <w:szCs w:val="24"/>
          <w:lang w:val="es-CO" w:eastAsia="es-ES"/>
        </w:rPr>
      </w:pPr>
      <w:r w:rsidRPr="00881636">
        <w:rPr>
          <w:rFonts w:ascii="Gadugi" w:eastAsia="Times New Roman" w:hAnsi="Gadugi" w:cs="Arial"/>
          <w:sz w:val="24"/>
          <w:szCs w:val="24"/>
          <w:lang w:eastAsia="es-ES"/>
        </w:rPr>
        <w:t xml:space="preserve">Pereira, </w:t>
      </w:r>
      <w:r w:rsidR="00ED6CF3" w:rsidRPr="00881636">
        <w:rPr>
          <w:rFonts w:ascii="Gadugi" w:eastAsia="Times New Roman" w:hAnsi="Gadugi" w:cs="Arial"/>
          <w:sz w:val="24"/>
          <w:szCs w:val="24"/>
          <w:lang w:eastAsia="es-ES"/>
        </w:rPr>
        <w:t>enero dieciocho de dos mil veintidós</w:t>
      </w:r>
      <w:r w:rsidR="008D6A9A" w:rsidRPr="00881636">
        <w:rPr>
          <w:rFonts w:ascii="Gadugi" w:eastAsia="Times New Roman" w:hAnsi="Gadugi" w:cs="Arial"/>
          <w:sz w:val="24"/>
          <w:szCs w:val="24"/>
          <w:lang w:eastAsia="es-ES"/>
        </w:rPr>
        <w:t xml:space="preserve"> </w:t>
      </w:r>
      <w:r w:rsidR="005545BE" w:rsidRPr="00881636">
        <w:rPr>
          <w:rFonts w:ascii="Gadugi" w:eastAsia="Times New Roman" w:hAnsi="Gadugi" w:cs="Arial"/>
          <w:sz w:val="24"/>
          <w:szCs w:val="24"/>
          <w:lang w:eastAsia="es-ES"/>
        </w:rPr>
        <w:t xml:space="preserve"> </w:t>
      </w:r>
      <w:r w:rsidR="00473B4A" w:rsidRPr="00881636">
        <w:rPr>
          <w:rFonts w:ascii="Gadugi" w:eastAsia="Times New Roman" w:hAnsi="Gadugi" w:cs="Arial"/>
          <w:sz w:val="24"/>
          <w:szCs w:val="24"/>
          <w:lang w:val="es-CO" w:eastAsia="es-ES"/>
        </w:rPr>
        <w:t xml:space="preserve"> </w:t>
      </w:r>
    </w:p>
    <w:p w14:paraId="63A1CB0E" w14:textId="021C6FCE" w:rsidR="00E158BB" w:rsidRPr="00881636" w:rsidRDefault="00473B4A" w:rsidP="00881636">
      <w:pPr>
        <w:tabs>
          <w:tab w:val="left" w:pos="2880"/>
        </w:tabs>
        <w:spacing w:after="0" w:line="276" w:lineRule="auto"/>
        <w:ind w:firstLine="2835"/>
        <w:contextualSpacing/>
        <w:jc w:val="both"/>
        <w:rPr>
          <w:rFonts w:ascii="Gadugi" w:eastAsia="Times New Roman" w:hAnsi="Gadugi" w:cs="Arial"/>
          <w:iCs/>
          <w:sz w:val="24"/>
          <w:szCs w:val="24"/>
          <w:lang w:eastAsia="es-ES"/>
        </w:rPr>
      </w:pPr>
      <w:r w:rsidRPr="00881636">
        <w:rPr>
          <w:rFonts w:ascii="Gadugi" w:eastAsia="Times New Roman" w:hAnsi="Gadugi" w:cs="Arial"/>
          <w:iCs/>
          <w:sz w:val="24"/>
          <w:szCs w:val="24"/>
          <w:lang w:eastAsia="es-ES"/>
        </w:rPr>
        <w:t xml:space="preserve">Expediente: </w:t>
      </w:r>
      <w:r w:rsidR="008D6A9A" w:rsidRPr="00881636">
        <w:rPr>
          <w:rFonts w:ascii="Gadugi" w:eastAsia="Times New Roman" w:hAnsi="Gadugi" w:cs="Arial"/>
          <w:iCs/>
          <w:sz w:val="24"/>
          <w:szCs w:val="24"/>
          <w:lang w:eastAsia="es-ES"/>
        </w:rPr>
        <w:t>66001221800020220000100</w:t>
      </w:r>
    </w:p>
    <w:p w14:paraId="17F9DF05" w14:textId="1D353D26" w:rsidR="00C81034" w:rsidRPr="00881636" w:rsidRDefault="00C81034" w:rsidP="00881636">
      <w:pPr>
        <w:tabs>
          <w:tab w:val="left" w:pos="2880"/>
        </w:tabs>
        <w:spacing w:after="0" w:line="276" w:lineRule="auto"/>
        <w:ind w:firstLine="2835"/>
        <w:contextualSpacing/>
        <w:jc w:val="both"/>
        <w:rPr>
          <w:rFonts w:ascii="Gadugi" w:eastAsia="Times New Roman" w:hAnsi="Gadugi" w:cs="Arial"/>
          <w:iCs/>
          <w:sz w:val="24"/>
          <w:szCs w:val="24"/>
          <w:lang w:eastAsia="es-ES"/>
        </w:rPr>
      </w:pPr>
      <w:r w:rsidRPr="00881636">
        <w:rPr>
          <w:rFonts w:ascii="Gadugi" w:eastAsia="Times New Roman" w:hAnsi="Gadugi" w:cs="Arial"/>
          <w:iCs/>
          <w:sz w:val="24"/>
          <w:szCs w:val="24"/>
          <w:lang w:eastAsia="es-ES"/>
        </w:rPr>
        <w:t>Acta Nro. 004 del 18 de enero de 2022</w:t>
      </w:r>
    </w:p>
    <w:p w14:paraId="4B09D068" w14:textId="399B48E4" w:rsidR="005545BE" w:rsidRPr="00881636" w:rsidRDefault="00410420" w:rsidP="00881636">
      <w:pPr>
        <w:spacing w:after="0" w:line="276" w:lineRule="auto"/>
        <w:contextualSpacing/>
        <w:jc w:val="both"/>
        <w:rPr>
          <w:rFonts w:ascii="Gadugi" w:eastAsia="Times New Roman" w:hAnsi="Gadugi" w:cs="Arial"/>
          <w:bCs/>
          <w:iCs/>
          <w:kern w:val="28"/>
          <w:sz w:val="24"/>
          <w:szCs w:val="24"/>
          <w:lang w:val="es-MX" w:eastAsia="es-ES"/>
        </w:rPr>
      </w:pPr>
      <w:bookmarkStart w:id="1" w:name="_GoBack"/>
      <w:bookmarkEnd w:id="1"/>
      <w:r w:rsidRPr="00881636">
        <w:rPr>
          <w:rFonts w:ascii="Gadugi" w:eastAsia="Times New Roman" w:hAnsi="Gadugi" w:cs="Arial"/>
          <w:b/>
          <w:bCs/>
          <w:i/>
          <w:iCs/>
          <w:kern w:val="28"/>
          <w:sz w:val="24"/>
          <w:szCs w:val="24"/>
          <w:lang w:val="es-MX" w:eastAsia="es-ES"/>
        </w:rPr>
        <w:tab/>
      </w:r>
      <w:r w:rsidRPr="00881636">
        <w:rPr>
          <w:rFonts w:ascii="Gadugi" w:eastAsia="Times New Roman" w:hAnsi="Gadugi" w:cs="Arial"/>
          <w:b/>
          <w:bCs/>
          <w:i/>
          <w:iCs/>
          <w:kern w:val="28"/>
          <w:sz w:val="24"/>
          <w:szCs w:val="24"/>
          <w:lang w:val="es-MX" w:eastAsia="es-ES"/>
        </w:rPr>
        <w:tab/>
      </w:r>
      <w:r w:rsidRPr="00881636">
        <w:rPr>
          <w:rFonts w:ascii="Gadugi" w:eastAsia="Times New Roman" w:hAnsi="Gadugi" w:cs="Arial"/>
          <w:b/>
          <w:bCs/>
          <w:i/>
          <w:iCs/>
          <w:kern w:val="28"/>
          <w:sz w:val="24"/>
          <w:szCs w:val="24"/>
          <w:lang w:val="es-MX" w:eastAsia="es-ES"/>
        </w:rPr>
        <w:tab/>
      </w:r>
      <w:r w:rsidRPr="00881636">
        <w:rPr>
          <w:rFonts w:ascii="Gadugi" w:eastAsia="Times New Roman" w:hAnsi="Gadugi" w:cs="Arial"/>
          <w:b/>
          <w:bCs/>
          <w:i/>
          <w:iCs/>
          <w:kern w:val="28"/>
          <w:sz w:val="24"/>
          <w:szCs w:val="24"/>
          <w:lang w:val="es-MX" w:eastAsia="es-ES"/>
        </w:rPr>
        <w:tab/>
      </w:r>
      <w:r w:rsidR="005545BE" w:rsidRPr="00881636">
        <w:rPr>
          <w:rFonts w:ascii="Gadugi" w:eastAsia="Times New Roman" w:hAnsi="Gadugi" w:cs="Arial"/>
          <w:bCs/>
          <w:iCs/>
          <w:kern w:val="28"/>
          <w:sz w:val="24"/>
          <w:szCs w:val="24"/>
          <w:lang w:val="es-MX" w:eastAsia="es-ES"/>
        </w:rPr>
        <w:t>Auto N</w:t>
      </w:r>
      <w:r w:rsidR="00C81034" w:rsidRPr="00881636">
        <w:rPr>
          <w:rFonts w:ascii="Gadugi" w:eastAsia="Times New Roman" w:hAnsi="Gadugi" w:cs="Arial"/>
          <w:bCs/>
          <w:iCs/>
          <w:kern w:val="28"/>
          <w:sz w:val="24"/>
          <w:szCs w:val="24"/>
          <w:lang w:val="es-MX" w:eastAsia="es-ES"/>
        </w:rPr>
        <w:t>r</w:t>
      </w:r>
      <w:r w:rsidR="005545BE" w:rsidRPr="00881636">
        <w:rPr>
          <w:rFonts w:ascii="Gadugi" w:eastAsia="Times New Roman" w:hAnsi="Gadugi" w:cs="Arial"/>
          <w:bCs/>
          <w:iCs/>
          <w:kern w:val="28"/>
          <w:sz w:val="24"/>
          <w:szCs w:val="24"/>
          <w:lang w:val="es-MX" w:eastAsia="es-ES"/>
        </w:rPr>
        <w:t>o.</w:t>
      </w:r>
      <w:r w:rsidR="00324E5A" w:rsidRPr="00881636">
        <w:rPr>
          <w:rFonts w:ascii="Gadugi" w:eastAsia="Times New Roman" w:hAnsi="Gadugi" w:cs="Arial"/>
          <w:bCs/>
          <w:iCs/>
          <w:kern w:val="28"/>
          <w:sz w:val="24"/>
          <w:szCs w:val="24"/>
          <w:lang w:val="es-MX" w:eastAsia="es-ES"/>
        </w:rPr>
        <w:t xml:space="preserve"> </w:t>
      </w:r>
      <w:r w:rsidR="00ED6CF3" w:rsidRPr="00881636">
        <w:rPr>
          <w:rFonts w:ascii="Gadugi" w:eastAsia="Times New Roman" w:hAnsi="Gadugi" w:cs="Arial"/>
          <w:bCs/>
          <w:iCs/>
          <w:kern w:val="28"/>
          <w:sz w:val="24"/>
          <w:szCs w:val="24"/>
          <w:lang w:val="es-MX" w:eastAsia="es-ES"/>
        </w:rPr>
        <w:t>AT</w:t>
      </w:r>
      <w:r w:rsidR="00A85A85">
        <w:rPr>
          <w:rFonts w:ascii="Gadugi" w:eastAsia="Times New Roman" w:hAnsi="Gadugi" w:cs="Arial"/>
          <w:bCs/>
          <w:iCs/>
          <w:kern w:val="28"/>
          <w:sz w:val="24"/>
          <w:szCs w:val="24"/>
          <w:lang w:val="es-MX" w:eastAsia="es-ES"/>
        </w:rPr>
        <w:t>-</w:t>
      </w:r>
      <w:r w:rsidR="00ED6CF3" w:rsidRPr="00881636">
        <w:rPr>
          <w:rFonts w:ascii="Gadugi" w:eastAsia="Times New Roman" w:hAnsi="Gadugi" w:cs="Arial"/>
          <w:bCs/>
          <w:iCs/>
          <w:kern w:val="28"/>
          <w:sz w:val="24"/>
          <w:szCs w:val="24"/>
          <w:lang w:val="es-MX" w:eastAsia="es-ES"/>
        </w:rPr>
        <w:t>0003-2022</w:t>
      </w:r>
      <w:r w:rsidR="008D6A9A" w:rsidRPr="00881636">
        <w:rPr>
          <w:rFonts w:ascii="Gadugi" w:eastAsia="Times New Roman" w:hAnsi="Gadugi" w:cs="Arial"/>
          <w:bCs/>
          <w:iCs/>
          <w:kern w:val="28"/>
          <w:sz w:val="24"/>
          <w:szCs w:val="24"/>
          <w:lang w:val="es-MX" w:eastAsia="es-ES"/>
        </w:rPr>
        <w:t xml:space="preserve"> </w:t>
      </w:r>
      <w:r w:rsidR="005545BE" w:rsidRPr="00881636">
        <w:rPr>
          <w:rFonts w:ascii="Gadugi" w:eastAsia="Times New Roman" w:hAnsi="Gadugi" w:cs="Arial"/>
          <w:bCs/>
          <w:iCs/>
          <w:kern w:val="28"/>
          <w:sz w:val="24"/>
          <w:szCs w:val="24"/>
          <w:lang w:val="es-MX" w:eastAsia="es-ES"/>
        </w:rPr>
        <w:t xml:space="preserve"> </w:t>
      </w:r>
    </w:p>
    <w:p w14:paraId="528CF56E" w14:textId="77777777" w:rsidR="00E158BB" w:rsidRPr="00881636" w:rsidRDefault="00E158BB" w:rsidP="00881636">
      <w:pPr>
        <w:spacing w:after="0" w:line="276" w:lineRule="auto"/>
        <w:contextualSpacing/>
        <w:jc w:val="both"/>
        <w:rPr>
          <w:rFonts w:ascii="Gadugi" w:eastAsia="Times New Roman" w:hAnsi="Gadugi" w:cs="Arial"/>
          <w:b/>
          <w:bCs/>
          <w:i/>
          <w:iCs/>
          <w:kern w:val="28"/>
          <w:sz w:val="24"/>
          <w:szCs w:val="24"/>
          <w:u w:val="single"/>
          <w:lang w:val="es-MX" w:eastAsia="es-ES"/>
        </w:rPr>
      </w:pPr>
    </w:p>
    <w:p w14:paraId="04B05A07" w14:textId="77777777" w:rsidR="00410420" w:rsidRPr="00881636" w:rsidRDefault="00410420" w:rsidP="00881636">
      <w:pPr>
        <w:spacing w:after="0" w:line="276" w:lineRule="auto"/>
        <w:contextualSpacing/>
        <w:jc w:val="both"/>
        <w:rPr>
          <w:rFonts w:ascii="Gadugi" w:eastAsia="Times New Roman" w:hAnsi="Gadugi" w:cs="Arial"/>
          <w:b/>
          <w:bCs/>
          <w:iCs/>
          <w:kern w:val="28"/>
          <w:sz w:val="24"/>
          <w:szCs w:val="24"/>
          <w:u w:val="single"/>
          <w:lang w:val="es-MX" w:eastAsia="es-ES"/>
        </w:rPr>
      </w:pPr>
    </w:p>
    <w:p w14:paraId="7C7A6295" w14:textId="5C752C2E" w:rsidR="00E158BB" w:rsidRPr="00881636" w:rsidRDefault="00E158BB" w:rsidP="00881636">
      <w:pPr>
        <w:spacing w:after="0" w:line="276" w:lineRule="auto"/>
        <w:ind w:firstLine="2835"/>
        <w:contextualSpacing/>
        <w:jc w:val="both"/>
        <w:rPr>
          <w:rFonts w:ascii="Gadugi" w:eastAsia="Times New Roman" w:hAnsi="Gadugi" w:cs="Arial"/>
          <w:b/>
          <w:bCs/>
          <w:sz w:val="24"/>
          <w:szCs w:val="24"/>
          <w:lang w:eastAsia="es-ES"/>
        </w:rPr>
      </w:pPr>
      <w:r w:rsidRPr="00881636">
        <w:rPr>
          <w:rFonts w:ascii="Gadugi" w:eastAsia="Times New Roman" w:hAnsi="Gadugi" w:cs="Arial"/>
          <w:sz w:val="24"/>
          <w:szCs w:val="24"/>
          <w:lang w:eastAsia="es-ES"/>
        </w:rPr>
        <w:t xml:space="preserve">Decide la Sala el conflicto de competencia suscitado por </w:t>
      </w:r>
      <w:r w:rsidR="00BC1C42" w:rsidRPr="00881636">
        <w:rPr>
          <w:rFonts w:ascii="Gadugi" w:eastAsia="Times New Roman" w:hAnsi="Gadugi" w:cs="Arial"/>
          <w:sz w:val="24"/>
          <w:szCs w:val="24"/>
          <w:lang w:eastAsia="es-ES"/>
        </w:rPr>
        <w:t>el despacho Nro. 002</w:t>
      </w:r>
      <w:r w:rsidR="008D6A9A" w:rsidRPr="00881636">
        <w:rPr>
          <w:rFonts w:ascii="Gadugi" w:eastAsia="Times New Roman" w:hAnsi="Gadugi" w:cs="Arial"/>
          <w:sz w:val="24"/>
          <w:szCs w:val="24"/>
          <w:lang w:eastAsia="es-ES"/>
        </w:rPr>
        <w:t xml:space="preserve"> de la Sala Civil – Familia del Tribunal Superior de Pereira</w:t>
      </w:r>
      <w:r w:rsidRPr="00881636">
        <w:rPr>
          <w:rFonts w:ascii="Gadugi" w:eastAsia="Times New Roman" w:hAnsi="Gadugi" w:cs="Arial"/>
          <w:sz w:val="24"/>
          <w:szCs w:val="24"/>
          <w:lang w:eastAsia="es-ES"/>
        </w:rPr>
        <w:t xml:space="preserve"> frente al</w:t>
      </w:r>
      <w:r w:rsidR="008D6A9A" w:rsidRPr="00881636">
        <w:rPr>
          <w:rFonts w:ascii="Gadugi" w:eastAsia="Times New Roman" w:hAnsi="Gadugi" w:cs="Arial"/>
          <w:sz w:val="24"/>
          <w:szCs w:val="24"/>
          <w:lang w:eastAsia="es-ES"/>
        </w:rPr>
        <w:t xml:space="preserve"> Juzgado Tercero Penal del Circuito Especializado Itinerante local</w:t>
      </w:r>
      <w:r w:rsidRPr="00881636">
        <w:rPr>
          <w:rFonts w:ascii="Gadugi" w:eastAsia="Times New Roman" w:hAnsi="Gadugi" w:cs="Arial"/>
          <w:sz w:val="24"/>
          <w:szCs w:val="24"/>
          <w:lang w:eastAsia="es-ES"/>
        </w:rPr>
        <w:t>, en la presente acción de tutela promovida por</w:t>
      </w:r>
      <w:r w:rsidR="00B7304D" w:rsidRPr="00881636">
        <w:rPr>
          <w:rFonts w:ascii="Gadugi" w:eastAsia="Times New Roman" w:hAnsi="Gadugi" w:cs="Arial"/>
          <w:sz w:val="24"/>
          <w:szCs w:val="24"/>
          <w:lang w:eastAsia="es-ES"/>
        </w:rPr>
        <w:t xml:space="preserve"> </w:t>
      </w:r>
      <w:r w:rsidR="00B7304D" w:rsidRPr="00881636">
        <w:rPr>
          <w:rFonts w:ascii="Gadugi" w:eastAsia="Times New Roman" w:hAnsi="Gadugi" w:cs="Arial"/>
          <w:b/>
          <w:bCs/>
          <w:sz w:val="24"/>
          <w:szCs w:val="24"/>
          <w:lang w:eastAsia="es-ES"/>
        </w:rPr>
        <w:t>Aldemar Calderón Laverde</w:t>
      </w:r>
      <w:r w:rsidR="00B7304D" w:rsidRPr="00881636">
        <w:rPr>
          <w:rFonts w:ascii="Gadugi" w:eastAsia="Times New Roman" w:hAnsi="Gadugi" w:cs="Arial"/>
          <w:sz w:val="24"/>
          <w:szCs w:val="24"/>
          <w:lang w:eastAsia="es-ES"/>
        </w:rPr>
        <w:t xml:space="preserve">, en contra del </w:t>
      </w:r>
      <w:r w:rsidR="00B7304D" w:rsidRPr="00881636">
        <w:rPr>
          <w:rFonts w:ascii="Gadugi" w:eastAsia="Times New Roman" w:hAnsi="Gadugi" w:cs="Arial"/>
          <w:b/>
          <w:bCs/>
          <w:sz w:val="24"/>
          <w:szCs w:val="24"/>
          <w:lang w:eastAsia="es-ES"/>
        </w:rPr>
        <w:t>Establecimiento Penitenciario de Mediana Seguridad y Carcelario de Pereira</w:t>
      </w:r>
      <w:r w:rsidR="00CE3CF7" w:rsidRPr="00881636">
        <w:rPr>
          <w:rFonts w:ascii="Gadugi" w:eastAsia="Times New Roman" w:hAnsi="Gadugi" w:cs="Arial"/>
          <w:b/>
          <w:bCs/>
          <w:sz w:val="24"/>
          <w:szCs w:val="24"/>
          <w:lang w:eastAsia="es-ES"/>
        </w:rPr>
        <w:t xml:space="preserve"> -EPMS</w:t>
      </w:r>
      <w:r w:rsidR="00DC637D" w:rsidRPr="00881636">
        <w:rPr>
          <w:rFonts w:ascii="Gadugi" w:eastAsia="Times New Roman" w:hAnsi="Gadugi" w:cs="Arial"/>
          <w:b/>
          <w:bCs/>
          <w:sz w:val="24"/>
          <w:szCs w:val="24"/>
          <w:lang w:eastAsia="es-ES"/>
        </w:rPr>
        <w:t>C de Pereira</w:t>
      </w:r>
      <w:r w:rsidR="00CE3CF7" w:rsidRPr="00881636">
        <w:rPr>
          <w:rFonts w:ascii="Gadugi" w:eastAsia="Times New Roman" w:hAnsi="Gadugi" w:cs="Arial"/>
          <w:b/>
          <w:bCs/>
          <w:sz w:val="24"/>
          <w:szCs w:val="24"/>
          <w:lang w:eastAsia="es-ES"/>
        </w:rPr>
        <w:t>-</w:t>
      </w:r>
      <w:r w:rsidR="00B7304D" w:rsidRPr="00881636">
        <w:rPr>
          <w:rFonts w:ascii="Gadugi" w:eastAsia="Times New Roman" w:hAnsi="Gadugi" w:cs="Arial"/>
          <w:sz w:val="24"/>
          <w:szCs w:val="24"/>
          <w:lang w:eastAsia="es-ES"/>
        </w:rPr>
        <w:t xml:space="preserve">, el </w:t>
      </w:r>
      <w:r w:rsidR="00B7304D" w:rsidRPr="00881636">
        <w:rPr>
          <w:rFonts w:ascii="Gadugi" w:eastAsia="Times New Roman" w:hAnsi="Gadugi" w:cs="Arial"/>
          <w:b/>
          <w:bCs/>
          <w:sz w:val="24"/>
          <w:szCs w:val="24"/>
          <w:lang w:eastAsia="es-ES"/>
        </w:rPr>
        <w:t>Ministerio de Salud y Protección Social</w:t>
      </w:r>
      <w:r w:rsidR="00B7304D" w:rsidRPr="00881636">
        <w:rPr>
          <w:rFonts w:ascii="Gadugi" w:eastAsia="Times New Roman" w:hAnsi="Gadugi" w:cs="Arial"/>
          <w:sz w:val="24"/>
          <w:szCs w:val="24"/>
          <w:lang w:eastAsia="es-ES"/>
        </w:rPr>
        <w:t xml:space="preserve"> y el </w:t>
      </w:r>
      <w:r w:rsidR="00B7304D" w:rsidRPr="00881636">
        <w:rPr>
          <w:rFonts w:ascii="Gadugi" w:eastAsia="Times New Roman" w:hAnsi="Gadugi" w:cs="Arial"/>
          <w:b/>
          <w:bCs/>
          <w:sz w:val="24"/>
          <w:szCs w:val="24"/>
          <w:lang w:eastAsia="es-ES"/>
        </w:rPr>
        <w:t>Defensor del Pueblo.</w:t>
      </w:r>
    </w:p>
    <w:p w14:paraId="7E24D620" w14:textId="77777777" w:rsidR="00E158BB" w:rsidRPr="00881636" w:rsidRDefault="00E158BB" w:rsidP="00881636">
      <w:pPr>
        <w:spacing w:after="0" w:line="276" w:lineRule="auto"/>
        <w:ind w:firstLine="2880"/>
        <w:contextualSpacing/>
        <w:jc w:val="both"/>
        <w:rPr>
          <w:rFonts w:ascii="Gadugi" w:eastAsia="Times New Roman" w:hAnsi="Gadugi" w:cs="Arial"/>
          <w:b/>
          <w:bCs/>
          <w:iCs/>
          <w:sz w:val="24"/>
          <w:szCs w:val="24"/>
          <w:u w:val="single"/>
          <w:lang w:eastAsia="es-ES"/>
        </w:rPr>
      </w:pPr>
    </w:p>
    <w:p w14:paraId="66378E52" w14:textId="77777777" w:rsidR="00E158BB" w:rsidRPr="00881636" w:rsidRDefault="00E158BB" w:rsidP="00881636">
      <w:pPr>
        <w:spacing w:after="0" w:line="276" w:lineRule="auto"/>
        <w:ind w:left="612" w:firstLine="2268"/>
        <w:contextualSpacing/>
        <w:jc w:val="both"/>
        <w:rPr>
          <w:rFonts w:ascii="Gadugi" w:eastAsia="Times New Roman" w:hAnsi="Gadugi" w:cs="Arial"/>
          <w:b/>
          <w:bCs/>
          <w:iCs/>
          <w:sz w:val="24"/>
          <w:szCs w:val="24"/>
          <w:lang w:eastAsia="es-ES"/>
        </w:rPr>
      </w:pPr>
    </w:p>
    <w:p w14:paraId="7C5BD400" w14:textId="77777777" w:rsidR="00E158BB" w:rsidRPr="00881636" w:rsidRDefault="00E158BB" w:rsidP="00881636">
      <w:pPr>
        <w:spacing w:after="0" w:line="276" w:lineRule="auto"/>
        <w:ind w:left="612" w:firstLine="2223"/>
        <w:contextualSpacing/>
        <w:jc w:val="both"/>
        <w:rPr>
          <w:rFonts w:ascii="Gadugi" w:eastAsia="Times New Roman" w:hAnsi="Gadugi" w:cs="Arial"/>
          <w:b/>
          <w:bCs/>
          <w:iCs/>
          <w:sz w:val="24"/>
          <w:szCs w:val="24"/>
          <w:lang w:eastAsia="es-ES"/>
        </w:rPr>
      </w:pPr>
      <w:r w:rsidRPr="00881636">
        <w:rPr>
          <w:rFonts w:ascii="Gadugi" w:eastAsia="Times New Roman" w:hAnsi="Gadugi" w:cs="Arial"/>
          <w:b/>
          <w:bCs/>
          <w:iCs/>
          <w:sz w:val="24"/>
          <w:szCs w:val="24"/>
          <w:lang w:eastAsia="es-ES"/>
        </w:rPr>
        <w:t>ANTECEDENTES</w:t>
      </w:r>
    </w:p>
    <w:p w14:paraId="69E0F9A3" w14:textId="77777777" w:rsidR="00E158BB" w:rsidRPr="00881636" w:rsidRDefault="00E158BB" w:rsidP="00881636">
      <w:pPr>
        <w:spacing w:after="0" w:line="276" w:lineRule="auto"/>
        <w:ind w:firstLine="2880"/>
        <w:contextualSpacing/>
        <w:jc w:val="both"/>
        <w:rPr>
          <w:rFonts w:ascii="Gadugi" w:eastAsia="Times New Roman" w:hAnsi="Gadugi" w:cs="Arial"/>
          <w:snapToGrid w:val="0"/>
          <w:sz w:val="24"/>
          <w:szCs w:val="24"/>
          <w:lang w:eastAsia="es-ES"/>
        </w:rPr>
      </w:pPr>
    </w:p>
    <w:p w14:paraId="76D5C2F2" w14:textId="374BB6EA" w:rsidR="005545BE" w:rsidRPr="00881636" w:rsidRDefault="005545BE" w:rsidP="00881636">
      <w:pPr>
        <w:spacing w:after="0" w:line="276" w:lineRule="auto"/>
        <w:ind w:firstLine="2880"/>
        <w:contextualSpacing/>
        <w:jc w:val="both"/>
        <w:rPr>
          <w:rFonts w:ascii="Gadugi" w:eastAsia="Times New Roman" w:hAnsi="Gadugi" w:cs="Arial"/>
          <w:snapToGrid w:val="0"/>
          <w:sz w:val="24"/>
          <w:szCs w:val="24"/>
          <w:lang w:eastAsia="es-ES"/>
        </w:rPr>
      </w:pPr>
    </w:p>
    <w:p w14:paraId="6EB4F5F6" w14:textId="7EA09A1F" w:rsidR="0052195F" w:rsidRPr="00881636" w:rsidRDefault="0052195F" w:rsidP="00881636">
      <w:pPr>
        <w:spacing w:after="0" w:line="276" w:lineRule="auto"/>
        <w:ind w:firstLine="2880"/>
        <w:contextualSpacing/>
        <w:jc w:val="both"/>
        <w:rPr>
          <w:rFonts w:ascii="Gadugi" w:eastAsia="Times New Roman" w:hAnsi="Gadugi" w:cs="Arial"/>
          <w:snapToGrid w:val="0"/>
          <w:sz w:val="24"/>
          <w:szCs w:val="24"/>
          <w:lang w:eastAsia="es-ES"/>
        </w:rPr>
      </w:pPr>
      <w:r w:rsidRPr="00881636">
        <w:rPr>
          <w:rFonts w:ascii="Gadugi" w:eastAsia="Times New Roman" w:hAnsi="Gadugi" w:cs="Arial"/>
          <w:snapToGrid w:val="0"/>
          <w:sz w:val="24"/>
          <w:szCs w:val="24"/>
          <w:lang w:eastAsia="es-ES"/>
        </w:rPr>
        <w:lastRenderedPageBreak/>
        <w:t>Narró el demandante que, en el EPMS</w:t>
      </w:r>
      <w:r w:rsidR="00DC637D" w:rsidRPr="00881636">
        <w:rPr>
          <w:rFonts w:ascii="Gadugi" w:eastAsia="Times New Roman" w:hAnsi="Gadugi" w:cs="Arial"/>
          <w:snapToGrid w:val="0"/>
          <w:sz w:val="24"/>
          <w:szCs w:val="24"/>
          <w:lang w:eastAsia="es-ES"/>
        </w:rPr>
        <w:t>C</w:t>
      </w:r>
      <w:r w:rsidRPr="00881636">
        <w:rPr>
          <w:rFonts w:ascii="Gadugi" w:eastAsia="Times New Roman" w:hAnsi="Gadugi" w:cs="Arial"/>
          <w:snapToGrid w:val="0"/>
          <w:sz w:val="24"/>
          <w:szCs w:val="24"/>
          <w:lang w:eastAsia="es-ES"/>
        </w:rPr>
        <w:t xml:space="preserve"> de Pereira, a donde asiste a labores de evangelización, le impidieron el ingreso por no estar vacunado</w:t>
      </w:r>
      <w:r w:rsidR="00A92908" w:rsidRPr="00881636">
        <w:rPr>
          <w:rFonts w:ascii="Gadugi" w:eastAsia="Times New Roman" w:hAnsi="Gadugi" w:cs="Arial"/>
          <w:snapToGrid w:val="0"/>
          <w:sz w:val="24"/>
          <w:szCs w:val="24"/>
          <w:lang w:eastAsia="es-ES"/>
        </w:rPr>
        <w:t xml:space="preserve"> contra el coronavirus</w:t>
      </w:r>
      <w:r w:rsidRPr="00881636">
        <w:rPr>
          <w:rFonts w:ascii="Gadugi" w:eastAsia="Times New Roman" w:hAnsi="Gadugi" w:cs="Arial"/>
          <w:snapToGrid w:val="0"/>
          <w:sz w:val="24"/>
          <w:szCs w:val="24"/>
          <w:lang w:eastAsia="es-ES"/>
        </w:rPr>
        <w:t xml:space="preserve">, lo cual no hace por objeción de conciencia, dado que sus creencias religiosas se lo prohíben. Pidió, en consecuencia, </w:t>
      </w:r>
      <w:r w:rsidR="00A92908" w:rsidRPr="00881636">
        <w:rPr>
          <w:rFonts w:ascii="Gadugi" w:eastAsia="Times New Roman" w:hAnsi="Gadugi" w:cs="Arial"/>
          <w:snapToGrid w:val="0"/>
          <w:sz w:val="24"/>
          <w:szCs w:val="24"/>
          <w:lang w:eastAsia="es-ES"/>
        </w:rPr>
        <w:t>declarar que dicho centro de reclusión discrimina y segrega a los ciudadanos que rechazan la vacuna, y entonces, se le ordene a esa autoridad permitirle el ingreso sin exigirle el carnet de vacunación.</w:t>
      </w:r>
      <w:r w:rsidR="00AB22D2" w:rsidRPr="00881636">
        <w:rPr>
          <w:rStyle w:val="Refdenotaalpie"/>
          <w:rFonts w:ascii="Gadugi" w:eastAsia="Times New Roman" w:hAnsi="Gadugi" w:cs="Arial"/>
          <w:snapToGrid w:val="0"/>
          <w:sz w:val="24"/>
          <w:szCs w:val="24"/>
          <w:lang w:eastAsia="es-ES"/>
        </w:rPr>
        <w:footnoteReference w:id="1"/>
      </w:r>
    </w:p>
    <w:p w14:paraId="7DA3984B" w14:textId="08167E85" w:rsidR="00A92908" w:rsidRPr="00881636" w:rsidRDefault="00A92908" w:rsidP="00881636">
      <w:pPr>
        <w:spacing w:after="0" w:line="276" w:lineRule="auto"/>
        <w:ind w:firstLine="2880"/>
        <w:contextualSpacing/>
        <w:jc w:val="both"/>
        <w:rPr>
          <w:rFonts w:ascii="Gadugi" w:eastAsia="Times New Roman" w:hAnsi="Gadugi" w:cs="Arial"/>
          <w:snapToGrid w:val="0"/>
          <w:sz w:val="24"/>
          <w:szCs w:val="24"/>
          <w:lang w:eastAsia="es-ES"/>
        </w:rPr>
      </w:pPr>
    </w:p>
    <w:p w14:paraId="62005ECD" w14:textId="7D1EE1A7" w:rsidR="00A92908" w:rsidRPr="00881636" w:rsidRDefault="00A92908" w:rsidP="00881636">
      <w:pPr>
        <w:spacing w:after="0" w:line="276" w:lineRule="auto"/>
        <w:ind w:firstLine="2880"/>
        <w:contextualSpacing/>
        <w:jc w:val="both"/>
        <w:rPr>
          <w:rFonts w:ascii="Gadugi" w:eastAsia="Times New Roman" w:hAnsi="Gadugi" w:cs="Arial"/>
          <w:snapToGrid w:val="0"/>
          <w:sz w:val="24"/>
          <w:szCs w:val="24"/>
          <w:lang w:eastAsia="es-ES"/>
        </w:rPr>
      </w:pPr>
      <w:r w:rsidRPr="00881636">
        <w:rPr>
          <w:rFonts w:ascii="Gadugi" w:eastAsia="Times New Roman" w:hAnsi="Gadugi" w:cs="Arial"/>
          <w:snapToGrid w:val="0"/>
          <w:sz w:val="24"/>
          <w:szCs w:val="24"/>
          <w:lang w:eastAsia="es-ES"/>
        </w:rPr>
        <w:t xml:space="preserve">Inicialmente el caso le correspondió al Juzgado Tercero Penal del Circuito Especializado Itinerante local, que lo repelió, toda vez que </w:t>
      </w:r>
      <w:r w:rsidRPr="00881636">
        <w:rPr>
          <w:rFonts w:ascii="Gadugi" w:eastAsia="Times New Roman" w:hAnsi="Gadugi" w:cs="Arial"/>
          <w:i/>
          <w:iCs/>
          <w:snapToGrid w:val="0"/>
          <w:sz w:val="24"/>
          <w:szCs w:val="24"/>
          <w:lang w:eastAsia="es-ES"/>
        </w:rPr>
        <w:t>“</w:t>
      </w:r>
      <w:r w:rsidRPr="00881636">
        <w:rPr>
          <w:rFonts w:ascii="Gadugi" w:eastAsia="Times New Roman" w:hAnsi="Gadugi" w:cs="Arial"/>
          <w:i/>
          <w:iCs/>
          <w:snapToGrid w:val="0"/>
          <w:szCs w:val="24"/>
          <w:lang w:eastAsia="es-ES"/>
        </w:rPr>
        <w:t>(…) las acciones constitucionales de tutela que se interpongan contra “el Defensor del Pueblo”, entre otros, serán repartidas a los Tribunales Superiores de Distrito Judicial o a los Tribunales Administrativos</w:t>
      </w:r>
      <w:r w:rsidRPr="00881636">
        <w:rPr>
          <w:rFonts w:ascii="Gadugi" w:eastAsia="Times New Roman" w:hAnsi="Gadugi" w:cs="Arial"/>
          <w:i/>
          <w:iCs/>
          <w:snapToGrid w:val="0"/>
          <w:sz w:val="24"/>
          <w:szCs w:val="24"/>
          <w:lang w:eastAsia="es-ES"/>
        </w:rPr>
        <w:t>”</w:t>
      </w:r>
      <w:r w:rsidRPr="00881636">
        <w:rPr>
          <w:rFonts w:ascii="Gadugi" w:eastAsia="Times New Roman" w:hAnsi="Gadugi" w:cs="Arial"/>
          <w:snapToGrid w:val="0"/>
          <w:sz w:val="24"/>
          <w:szCs w:val="24"/>
          <w:lang w:eastAsia="es-ES"/>
        </w:rPr>
        <w:t>.</w:t>
      </w:r>
      <w:r w:rsidR="00AB22D2" w:rsidRPr="00881636">
        <w:rPr>
          <w:rStyle w:val="Refdenotaalpie"/>
          <w:rFonts w:ascii="Gadugi" w:eastAsia="Times New Roman" w:hAnsi="Gadugi" w:cs="Arial"/>
          <w:snapToGrid w:val="0"/>
          <w:sz w:val="24"/>
          <w:szCs w:val="24"/>
          <w:lang w:eastAsia="es-ES"/>
        </w:rPr>
        <w:footnoteReference w:id="2"/>
      </w:r>
    </w:p>
    <w:p w14:paraId="66C14BBC" w14:textId="208365E2" w:rsidR="00A92908" w:rsidRPr="00881636" w:rsidRDefault="00A92908" w:rsidP="00881636">
      <w:pPr>
        <w:spacing w:after="0" w:line="276" w:lineRule="auto"/>
        <w:ind w:firstLine="2880"/>
        <w:contextualSpacing/>
        <w:jc w:val="both"/>
        <w:rPr>
          <w:rFonts w:ascii="Gadugi" w:eastAsia="Times New Roman" w:hAnsi="Gadugi" w:cs="Arial"/>
          <w:snapToGrid w:val="0"/>
          <w:sz w:val="24"/>
          <w:szCs w:val="24"/>
          <w:lang w:eastAsia="es-ES"/>
        </w:rPr>
      </w:pPr>
    </w:p>
    <w:p w14:paraId="7C1E73C1" w14:textId="2BE33431" w:rsidR="0052195F" w:rsidRPr="00881636" w:rsidRDefault="00A92908" w:rsidP="00881636">
      <w:pPr>
        <w:spacing w:after="0" w:line="276" w:lineRule="auto"/>
        <w:ind w:firstLine="2880"/>
        <w:contextualSpacing/>
        <w:jc w:val="both"/>
        <w:rPr>
          <w:rFonts w:ascii="Gadugi" w:eastAsia="Times New Roman" w:hAnsi="Gadugi" w:cs="Arial"/>
          <w:snapToGrid w:val="0"/>
          <w:sz w:val="24"/>
          <w:szCs w:val="24"/>
          <w:lang w:eastAsia="es-ES"/>
        </w:rPr>
      </w:pPr>
      <w:r w:rsidRPr="00881636">
        <w:rPr>
          <w:rFonts w:ascii="Gadugi" w:eastAsia="Times New Roman" w:hAnsi="Gadugi" w:cs="Arial"/>
          <w:snapToGrid w:val="0"/>
          <w:sz w:val="24"/>
          <w:szCs w:val="24"/>
          <w:lang w:eastAsia="es-ES"/>
        </w:rPr>
        <w:t xml:space="preserve">Llegó el expediente al despacho del magistrado Carlos Mauricio García Barajas de </w:t>
      </w:r>
      <w:r w:rsidR="00083A0A" w:rsidRPr="00881636">
        <w:rPr>
          <w:rFonts w:ascii="Gadugi" w:eastAsia="Times New Roman" w:hAnsi="Gadugi" w:cs="Arial"/>
          <w:snapToGrid w:val="0"/>
          <w:sz w:val="24"/>
          <w:szCs w:val="24"/>
          <w:lang w:eastAsia="es-ES"/>
        </w:rPr>
        <w:t>la Sala Civil Familia de esta Corporación</w:t>
      </w:r>
      <w:r w:rsidR="000664C8" w:rsidRPr="00881636">
        <w:rPr>
          <w:rFonts w:ascii="Gadugi" w:eastAsia="Times New Roman" w:hAnsi="Gadugi" w:cs="Arial"/>
          <w:snapToGrid w:val="0"/>
          <w:sz w:val="24"/>
          <w:szCs w:val="24"/>
          <w:lang w:eastAsia="es-ES"/>
        </w:rPr>
        <w:t>,</w:t>
      </w:r>
      <w:r w:rsidR="00083A0A" w:rsidRPr="00881636">
        <w:rPr>
          <w:rFonts w:ascii="Gadugi" w:eastAsia="Times New Roman" w:hAnsi="Gadugi" w:cs="Arial"/>
          <w:snapToGrid w:val="0"/>
          <w:sz w:val="24"/>
          <w:szCs w:val="24"/>
          <w:lang w:eastAsia="es-ES"/>
        </w:rPr>
        <w:t xml:space="preserve"> quien generó el conflicto negativo de competencia porque, respecto del Defensor del Pueblo, se presenta una vinculación aparente, si bien, a ese funcionario </w:t>
      </w:r>
      <w:r w:rsidR="00083A0A" w:rsidRPr="00881636">
        <w:rPr>
          <w:rFonts w:ascii="Gadugi" w:eastAsia="Times New Roman" w:hAnsi="Gadugi" w:cs="Arial"/>
          <w:i/>
          <w:iCs/>
          <w:snapToGrid w:val="0"/>
          <w:sz w:val="24"/>
          <w:szCs w:val="24"/>
          <w:lang w:eastAsia="es-ES"/>
        </w:rPr>
        <w:t>“</w:t>
      </w:r>
      <w:r w:rsidR="00083A0A" w:rsidRPr="00881636">
        <w:rPr>
          <w:rFonts w:ascii="Gadugi" w:eastAsia="Times New Roman" w:hAnsi="Gadugi" w:cs="Arial"/>
          <w:i/>
          <w:iCs/>
          <w:snapToGrid w:val="0"/>
          <w:szCs w:val="24"/>
          <w:lang w:eastAsia="es-ES"/>
        </w:rPr>
        <w:t>no se le atribuye acción u omisión alguna que lesione los derechos del accionante</w:t>
      </w:r>
      <w:r w:rsidR="00083A0A" w:rsidRPr="00881636">
        <w:rPr>
          <w:rFonts w:ascii="Gadugi" w:eastAsia="Times New Roman" w:hAnsi="Gadugi" w:cs="Arial"/>
          <w:i/>
          <w:iCs/>
          <w:snapToGrid w:val="0"/>
          <w:sz w:val="24"/>
          <w:szCs w:val="24"/>
          <w:lang w:eastAsia="es-ES"/>
        </w:rPr>
        <w:t>”.</w:t>
      </w:r>
      <w:r w:rsidR="00AB22D2" w:rsidRPr="00881636">
        <w:rPr>
          <w:rStyle w:val="Refdenotaalpie"/>
          <w:rFonts w:ascii="Gadugi" w:eastAsia="Times New Roman" w:hAnsi="Gadugi" w:cs="Arial"/>
          <w:i/>
          <w:iCs/>
          <w:snapToGrid w:val="0"/>
          <w:sz w:val="24"/>
          <w:szCs w:val="24"/>
          <w:lang w:eastAsia="es-ES"/>
        </w:rPr>
        <w:footnoteReference w:id="3"/>
      </w:r>
    </w:p>
    <w:p w14:paraId="7E97D29D" w14:textId="77777777" w:rsidR="00083A0A" w:rsidRPr="00881636" w:rsidRDefault="00083A0A" w:rsidP="00881636">
      <w:pPr>
        <w:spacing w:after="0" w:line="276" w:lineRule="auto"/>
        <w:ind w:firstLine="2835"/>
        <w:contextualSpacing/>
        <w:jc w:val="both"/>
        <w:rPr>
          <w:rFonts w:ascii="Gadugi" w:eastAsia="Times New Roman" w:hAnsi="Gadugi" w:cs="Arial"/>
          <w:sz w:val="24"/>
          <w:szCs w:val="24"/>
          <w:lang w:eastAsia="es-ES"/>
        </w:rPr>
      </w:pPr>
    </w:p>
    <w:p w14:paraId="3D9B4D41" w14:textId="0307DB82" w:rsidR="00E158BB" w:rsidRPr="00881636" w:rsidRDefault="00083A0A" w:rsidP="00881636">
      <w:pPr>
        <w:spacing w:after="0" w:line="276" w:lineRule="auto"/>
        <w:ind w:firstLine="2835"/>
        <w:contextualSpacing/>
        <w:jc w:val="both"/>
        <w:rPr>
          <w:rFonts w:ascii="Gadugi" w:eastAsia="Times New Roman" w:hAnsi="Gadugi" w:cs="Arial"/>
          <w:sz w:val="24"/>
          <w:szCs w:val="24"/>
          <w:lang w:eastAsia="es-ES"/>
        </w:rPr>
      </w:pPr>
      <w:r w:rsidRPr="00881636">
        <w:rPr>
          <w:rFonts w:ascii="Gadugi" w:eastAsia="Times New Roman" w:hAnsi="Gadugi" w:cs="Arial"/>
          <w:sz w:val="24"/>
          <w:szCs w:val="24"/>
          <w:lang w:eastAsia="es-ES"/>
        </w:rPr>
        <w:t xml:space="preserve">Con esos prolegómenos, </w:t>
      </w:r>
      <w:r w:rsidR="00E158BB" w:rsidRPr="00881636">
        <w:rPr>
          <w:rFonts w:ascii="Gadugi" w:eastAsia="Times New Roman" w:hAnsi="Gadugi" w:cs="Arial"/>
          <w:sz w:val="24"/>
          <w:szCs w:val="24"/>
          <w:lang w:eastAsia="es-ES"/>
        </w:rPr>
        <w:t xml:space="preserve">arribó a esta sede el amparo para </w:t>
      </w:r>
      <w:r w:rsidR="00E85B58" w:rsidRPr="00881636">
        <w:rPr>
          <w:rFonts w:ascii="Gadugi" w:eastAsia="Times New Roman" w:hAnsi="Gadugi" w:cs="Arial"/>
          <w:sz w:val="24"/>
          <w:szCs w:val="24"/>
          <w:lang w:val="es-419" w:eastAsia="es-ES"/>
        </w:rPr>
        <w:t>zanjar</w:t>
      </w:r>
      <w:r w:rsidR="00E158BB" w:rsidRPr="00881636">
        <w:rPr>
          <w:rFonts w:ascii="Gadugi" w:eastAsia="Times New Roman" w:hAnsi="Gadugi" w:cs="Arial"/>
          <w:sz w:val="24"/>
          <w:szCs w:val="24"/>
          <w:lang w:eastAsia="es-ES"/>
        </w:rPr>
        <w:t xml:space="preserve"> el diferendo. </w:t>
      </w:r>
    </w:p>
    <w:p w14:paraId="09EF8A63" w14:textId="77777777" w:rsidR="00410420" w:rsidRPr="00881636" w:rsidRDefault="00410420" w:rsidP="00881636">
      <w:pPr>
        <w:spacing w:after="0" w:line="276" w:lineRule="auto"/>
        <w:ind w:firstLine="2835"/>
        <w:contextualSpacing/>
        <w:jc w:val="both"/>
        <w:rPr>
          <w:rFonts w:ascii="Gadugi" w:eastAsia="Times New Roman" w:hAnsi="Gadugi" w:cs="Arial"/>
          <w:sz w:val="24"/>
          <w:szCs w:val="24"/>
          <w:lang w:eastAsia="es-ES"/>
        </w:rPr>
      </w:pPr>
    </w:p>
    <w:p w14:paraId="252C4D72" w14:textId="77777777" w:rsidR="00410420" w:rsidRPr="00881636" w:rsidRDefault="00410420" w:rsidP="00881636">
      <w:pPr>
        <w:spacing w:after="0" w:line="276" w:lineRule="auto"/>
        <w:ind w:firstLine="2835"/>
        <w:contextualSpacing/>
        <w:jc w:val="both"/>
        <w:rPr>
          <w:rFonts w:ascii="Gadugi" w:eastAsia="Times New Roman" w:hAnsi="Gadugi" w:cs="Arial"/>
          <w:sz w:val="24"/>
          <w:szCs w:val="24"/>
          <w:lang w:eastAsia="es-ES"/>
        </w:rPr>
      </w:pPr>
    </w:p>
    <w:p w14:paraId="2FA3C483" w14:textId="77777777" w:rsidR="00E158BB" w:rsidRPr="00881636" w:rsidRDefault="00E158BB" w:rsidP="00881636">
      <w:pPr>
        <w:spacing w:after="0" w:line="276" w:lineRule="auto"/>
        <w:ind w:firstLine="2835"/>
        <w:contextualSpacing/>
        <w:jc w:val="both"/>
        <w:rPr>
          <w:rFonts w:ascii="Gadugi" w:eastAsia="Times New Roman" w:hAnsi="Gadugi" w:cs="Arial"/>
          <w:sz w:val="24"/>
          <w:szCs w:val="24"/>
          <w:lang w:eastAsia="es-ES"/>
        </w:rPr>
      </w:pPr>
      <w:r w:rsidRPr="00881636">
        <w:rPr>
          <w:rFonts w:ascii="Gadugi" w:eastAsia="Times New Roman" w:hAnsi="Gadugi" w:cs="Arial"/>
          <w:b/>
          <w:bCs/>
          <w:iCs/>
          <w:sz w:val="24"/>
          <w:szCs w:val="24"/>
          <w:lang w:eastAsia="es-ES"/>
        </w:rPr>
        <w:t>CONSIDERACIONES</w:t>
      </w:r>
      <w:r w:rsidRPr="00881636">
        <w:rPr>
          <w:rFonts w:ascii="Gadugi" w:eastAsia="Times New Roman" w:hAnsi="Gadugi" w:cs="Arial"/>
          <w:b/>
          <w:bCs/>
          <w:sz w:val="24"/>
          <w:szCs w:val="24"/>
          <w:lang w:eastAsia="es-ES"/>
        </w:rPr>
        <w:t>:</w:t>
      </w:r>
    </w:p>
    <w:p w14:paraId="38B6B4F9" w14:textId="77777777" w:rsidR="00E158BB" w:rsidRPr="00881636" w:rsidRDefault="00060DE8" w:rsidP="00881636">
      <w:pPr>
        <w:spacing w:after="0" w:line="276" w:lineRule="auto"/>
        <w:contextualSpacing/>
        <w:jc w:val="both"/>
        <w:rPr>
          <w:rFonts w:ascii="Gadugi" w:eastAsia="Times New Roman" w:hAnsi="Gadugi" w:cs="Arial"/>
          <w:snapToGrid w:val="0"/>
          <w:sz w:val="24"/>
          <w:szCs w:val="24"/>
          <w:lang w:eastAsia="es-ES"/>
        </w:rPr>
      </w:pP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p>
    <w:p w14:paraId="54499710" w14:textId="77777777" w:rsidR="00E158BB" w:rsidRPr="00881636" w:rsidRDefault="00060DE8" w:rsidP="00881636">
      <w:pPr>
        <w:spacing w:after="0" w:line="276" w:lineRule="auto"/>
        <w:contextualSpacing/>
        <w:jc w:val="both"/>
        <w:rPr>
          <w:rFonts w:ascii="Gadugi" w:eastAsia="Times New Roman" w:hAnsi="Gadugi" w:cs="Arial"/>
          <w:snapToGrid w:val="0"/>
          <w:sz w:val="24"/>
          <w:szCs w:val="24"/>
          <w:lang w:eastAsia="es-ES"/>
        </w:rPr>
      </w:pP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p>
    <w:p w14:paraId="26351C27" w14:textId="28231E58" w:rsidR="005545BE" w:rsidRPr="00881636" w:rsidRDefault="005545BE" w:rsidP="00881636">
      <w:pPr>
        <w:spacing w:after="0" w:line="276" w:lineRule="auto"/>
        <w:contextualSpacing/>
        <w:jc w:val="both"/>
        <w:rPr>
          <w:rFonts w:ascii="Gadugi" w:eastAsia="Times New Roman" w:hAnsi="Gadugi" w:cs="Arial"/>
          <w:snapToGrid w:val="0"/>
          <w:sz w:val="24"/>
          <w:szCs w:val="24"/>
          <w:lang w:val="es-419" w:eastAsia="es-ES"/>
        </w:rPr>
      </w:pP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r>
      <w:r w:rsidRPr="00881636">
        <w:rPr>
          <w:rFonts w:ascii="Gadugi" w:eastAsia="Times New Roman" w:hAnsi="Gadugi" w:cs="Arial"/>
          <w:snapToGrid w:val="0"/>
          <w:sz w:val="24"/>
          <w:szCs w:val="24"/>
          <w:lang w:eastAsia="es-ES"/>
        </w:rPr>
        <w:tab/>
        <w:t xml:space="preserve">Es del resorte de esta Corporación decidir el conflicto que se suscita entre los Juzgados en contienda, en virtud de lo prevenido por el artículo </w:t>
      </w:r>
      <w:r w:rsidR="000664C8" w:rsidRPr="00881636">
        <w:rPr>
          <w:rFonts w:ascii="Gadugi" w:eastAsia="Times New Roman" w:hAnsi="Gadugi" w:cs="Arial"/>
          <w:snapToGrid w:val="0"/>
          <w:sz w:val="24"/>
          <w:szCs w:val="24"/>
          <w:lang w:val="es-419" w:eastAsia="es-ES"/>
        </w:rPr>
        <w:t>18 de la Ley 270 de 1996.</w:t>
      </w:r>
    </w:p>
    <w:p w14:paraId="5E85C7C0" w14:textId="77777777" w:rsidR="00E158BB" w:rsidRPr="00881636" w:rsidRDefault="00A47D81" w:rsidP="00881636">
      <w:pPr>
        <w:spacing w:after="0" w:line="276" w:lineRule="auto"/>
        <w:contextualSpacing/>
        <w:jc w:val="both"/>
        <w:rPr>
          <w:rFonts w:ascii="Gadugi" w:eastAsia="Times New Roman" w:hAnsi="Gadugi" w:cs="Arial"/>
          <w:snapToGrid w:val="0"/>
          <w:sz w:val="24"/>
          <w:szCs w:val="24"/>
          <w:lang w:val="es-419" w:eastAsia="es-ES"/>
        </w:rPr>
      </w:pPr>
      <w:r w:rsidRPr="00881636">
        <w:rPr>
          <w:rFonts w:ascii="Gadugi" w:eastAsia="Times New Roman" w:hAnsi="Gadugi" w:cs="Arial"/>
          <w:snapToGrid w:val="0"/>
          <w:sz w:val="24"/>
          <w:szCs w:val="24"/>
          <w:lang w:val="es-419" w:eastAsia="es-ES"/>
        </w:rPr>
        <w:tab/>
      </w:r>
      <w:r w:rsidRPr="00881636">
        <w:rPr>
          <w:rFonts w:ascii="Gadugi" w:eastAsia="Times New Roman" w:hAnsi="Gadugi" w:cs="Arial"/>
          <w:snapToGrid w:val="0"/>
          <w:sz w:val="24"/>
          <w:szCs w:val="24"/>
          <w:lang w:val="es-419" w:eastAsia="es-ES"/>
        </w:rPr>
        <w:tab/>
      </w:r>
      <w:r w:rsidRPr="00881636">
        <w:rPr>
          <w:rFonts w:ascii="Gadugi" w:eastAsia="Times New Roman" w:hAnsi="Gadugi" w:cs="Arial"/>
          <w:snapToGrid w:val="0"/>
          <w:sz w:val="24"/>
          <w:szCs w:val="24"/>
          <w:lang w:val="es-419" w:eastAsia="es-ES"/>
        </w:rPr>
        <w:tab/>
      </w:r>
      <w:r w:rsidRPr="00881636">
        <w:rPr>
          <w:rFonts w:ascii="Gadugi" w:eastAsia="Times New Roman" w:hAnsi="Gadugi" w:cs="Arial"/>
          <w:snapToGrid w:val="0"/>
          <w:sz w:val="24"/>
          <w:szCs w:val="24"/>
          <w:lang w:val="es-419" w:eastAsia="es-ES"/>
        </w:rPr>
        <w:tab/>
      </w:r>
    </w:p>
    <w:p w14:paraId="4D4D0ACF" w14:textId="3EF8D824" w:rsidR="00E158BB" w:rsidRPr="00881636" w:rsidRDefault="00E158BB" w:rsidP="00881636">
      <w:pPr>
        <w:spacing w:after="0" w:line="276" w:lineRule="auto"/>
        <w:contextualSpacing/>
        <w:jc w:val="both"/>
        <w:rPr>
          <w:rFonts w:ascii="Gadugi" w:eastAsia="Times New Roman" w:hAnsi="Gadugi" w:cs="Arial"/>
          <w:bCs/>
          <w:iCs/>
          <w:sz w:val="24"/>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004E047F" w:rsidRPr="00881636">
        <w:rPr>
          <w:rFonts w:ascii="Gadugi" w:eastAsia="Times New Roman" w:hAnsi="Gadugi" w:cs="Arial"/>
          <w:bCs/>
          <w:iCs/>
          <w:sz w:val="24"/>
          <w:szCs w:val="24"/>
          <w:lang w:eastAsia="es-ES"/>
        </w:rPr>
        <w:t>Sigue</w:t>
      </w:r>
      <w:r w:rsidRPr="00881636">
        <w:rPr>
          <w:rFonts w:ascii="Gadugi" w:eastAsia="Times New Roman" w:hAnsi="Gadugi" w:cs="Arial"/>
          <w:bCs/>
          <w:iCs/>
          <w:sz w:val="24"/>
          <w:szCs w:val="24"/>
          <w:lang w:eastAsia="es-ES"/>
        </w:rPr>
        <w:t xml:space="preserve"> </w:t>
      </w:r>
      <w:r w:rsidR="00874053" w:rsidRPr="00881636">
        <w:rPr>
          <w:rFonts w:ascii="Gadugi" w:eastAsia="Times New Roman" w:hAnsi="Gadugi" w:cs="Arial"/>
          <w:bCs/>
          <w:iCs/>
          <w:sz w:val="24"/>
          <w:szCs w:val="24"/>
          <w:lang w:eastAsia="es-ES"/>
        </w:rPr>
        <w:t>determinar</w:t>
      </w:r>
      <w:r w:rsidRPr="00881636">
        <w:rPr>
          <w:rFonts w:ascii="Gadugi" w:eastAsia="Times New Roman" w:hAnsi="Gadugi" w:cs="Arial"/>
          <w:bCs/>
          <w:iCs/>
          <w:sz w:val="24"/>
          <w:szCs w:val="24"/>
          <w:lang w:eastAsia="es-ES"/>
        </w:rPr>
        <w:t xml:space="preserve">, </w:t>
      </w:r>
      <w:r w:rsidR="004E047F" w:rsidRPr="00881636">
        <w:rPr>
          <w:rFonts w:ascii="Gadugi" w:eastAsia="Times New Roman" w:hAnsi="Gadugi" w:cs="Arial"/>
          <w:bCs/>
          <w:iCs/>
          <w:sz w:val="24"/>
          <w:szCs w:val="24"/>
          <w:lang w:eastAsia="es-ES"/>
        </w:rPr>
        <w:t>entonces</w:t>
      </w:r>
      <w:r w:rsidRPr="00881636">
        <w:rPr>
          <w:rFonts w:ascii="Gadugi" w:eastAsia="Times New Roman" w:hAnsi="Gadugi" w:cs="Arial"/>
          <w:bCs/>
          <w:iCs/>
          <w:sz w:val="24"/>
          <w:szCs w:val="24"/>
          <w:lang w:eastAsia="es-ES"/>
        </w:rPr>
        <w:t>, a cuál de los funcionarios involucrados en el conflicto competencia le corresponde adelantar el trámite</w:t>
      </w:r>
      <w:r w:rsidR="00FF3C4D" w:rsidRPr="00881636">
        <w:rPr>
          <w:rFonts w:ascii="Gadugi" w:eastAsia="Times New Roman" w:hAnsi="Gadugi" w:cs="Arial"/>
          <w:bCs/>
          <w:iCs/>
          <w:sz w:val="24"/>
          <w:szCs w:val="24"/>
          <w:lang w:eastAsia="es-ES"/>
        </w:rPr>
        <w:t>, frente a lo cual, rápido se advierte que la razón está de parte del magistrado de la Sala Civil Familia de este Tribunal.</w:t>
      </w:r>
    </w:p>
    <w:p w14:paraId="3D70626E" w14:textId="6B6AFF45" w:rsidR="00FF3C4D" w:rsidRPr="00881636" w:rsidRDefault="00FF3C4D" w:rsidP="00881636">
      <w:pPr>
        <w:spacing w:after="0" w:line="276" w:lineRule="auto"/>
        <w:contextualSpacing/>
        <w:jc w:val="both"/>
        <w:rPr>
          <w:rFonts w:ascii="Gadugi" w:eastAsia="Times New Roman" w:hAnsi="Gadugi" w:cs="Arial"/>
          <w:bCs/>
          <w:iCs/>
          <w:sz w:val="24"/>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p>
    <w:p w14:paraId="1FA47CEB" w14:textId="5E1F5F4F" w:rsidR="00EB620E" w:rsidRPr="00881636" w:rsidRDefault="00FF3C4D" w:rsidP="00881636">
      <w:pPr>
        <w:spacing w:after="0" w:line="276" w:lineRule="auto"/>
        <w:contextualSpacing/>
        <w:jc w:val="both"/>
        <w:rPr>
          <w:rFonts w:ascii="Gadugi" w:eastAsia="Times New Roman" w:hAnsi="Gadugi" w:cs="Arial"/>
          <w:bCs/>
          <w:iCs/>
          <w:sz w:val="24"/>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00313079" w:rsidRPr="00881636">
        <w:rPr>
          <w:rFonts w:ascii="Gadugi" w:eastAsia="Times New Roman" w:hAnsi="Gadugi" w:cs="Arial"/>
          <w:bCs/>
          <w:iCs/>
          <w:sz w:val="24"/>
          <w:szCs w:val="24"/>
          <w:lang w:eastAsia="es-ES"/>
        </w:rPr>
        <w:t>La controversia nace</w:t>
      </w:r>
      <w:r w:rsidR="009E261A" w:rsidRPr="00881636">
        <w:rPr>
          <w:rFonts w:ascii="Gadugi" w:eastAsia="Times New Roman" w:hAnsi="Gadugi" w:cs="Arial"/>
          <w:bCs/>
          <w:iCs/>
          <w:sz w:val="24"/>
          <w:szCs w:val="24"/>
          <w:lang w:eastAsia="es-ES"/>
        </w:rPr>
        <w:t>,</w:t>
      </w:r>
      <w:r w:rsidR="00313079" w:rsidRPr="00881636">
        <w:rPr>
          <w:rFonts w:ascii="Gadugi" w:eastAsia="Times New Roman" w:hAnsi="Gadugi" w:cs="Arial"/>
          <w:bCs/>
          <w:iCs/>
          <w:sz w:val="24"/>
          <w:szCs w:val="24"/>
          <w:lang w:eastAsia="es-ES"/>
        </w:rPr>
        <w:t xml:space="preserve"> porque</w:t>
      </w:r>
      <w:r w:rsidR="009E261A" w:rsidRPr="00881636">
        <w:rPr>
          <w:rFonts w:ascii="Gadugi" w:eastAsia="Times New Roman" w:hAnsi="Gadugi" w:cs="Arial"/>
          <w:bCs/>
          <w:iCs/>
          <w:sz w:val="24"/>
          <w:szCs w:val="24"/>
          <w:lang w:eastAsia="es-ES"/>
        </w:rPr>
        <w:t>,</w:t>
      </w:r>
      <w:r w:rsidR="00313079" w:rsidRPr="00881636">
        <w:rPr>
          <w:rFonts w:ascii="Gadugi" w:eastAsia="Times New Roman" w:hAnsi="Gadugi" w:cs="Arial"/>
          <w:bCs/>
          <w:iCs/>
          <w:sz w:val="24"/>
          <w:szCs w:val="24"/>
          <w:lang w:eastAsia="es-ES"/>
        </w:rPr>
        <w:t xml:space="preserve"> establece el numeral 3° del artículo 1° del Decreto 333 de 2021 que:</w:t>
      </w:r>
      <w:r w:rsidR="00A47D81" w:rsidRPr="00881636">
        <w:rPr>
          <w:rFonts w:ascii="Gadugi" w:eastAsia="Times New Roman" w:hAnsi="Gadugi" w:cs="Arial"/>
          <w:bCs/>
          <w:iCs/>
          <w:sz w:val="24"/>
          <w:szCs w:val="24"/>
          <w:lang w:eastAsia="es-ES"/>
        </w:rPr>
        <w:tab/>
      </w:r>
      <w:r w:rsidR="00A47D81" w:rsidRPr="00881636">
        <w:rPr>
          <w:rFonts w:ascii="Gadugi" w:eastAsia="Times New Roman" w:hAnsi="Gadugi" w:cs="Arial"/>
          <w:bCs/>
          <w:iCs/>
          <w:sz w:val="24"/>
          <w:szCs w:val="24"/>
          <w:lang w:eastAsia="es-ES"/>
        </w:rPr>
        <w:tab/>
      </w:r>
      <w:r w:rsidR="00A47D81" w:rsidRPr="00881636">
        <w:rPr>
          <w:rFonts w:ascii="Gadugi" w:eastAsia="Times New Roman" w:hAnsi="Gadugi" w:cs="Arial"/>
          <w:bCs/>
          <w:iCs/>
          <w:sz w:val="24"/>
          <w:szCs w:val="24"/>
          <w:lang w:eastAsia="es-ES"/>
        </w:rPr>
        <w:tab/>
      </w:r>
      <w:r w:rsidR="00A47D81" w:rsidRPr="00881636">
        <w:rPr>
          <w:rFonts w:ascii="Gadugi" w:eastAsia="Times New Roman" w:hAnsi="Gadugi" w:cs="Arial"/>
          <w:bCs/>
          <w:iCs/>
          <w:sz w:val="24"/>
          <w:szCs w:val="24"/>
          <w:lang w:eastAsia="es-ES"/>
        </w:rPr>
        <w:tab/>
      </w:r>
    </w:p>
    <w:p w14:paraId="74012805" w14:textId="7D2AF5BA" w:rsidR="00FF3C4D" w:rsidRPr="00881636" w:rsidRDefault="00FF3C4D" w:rsidP="00881636">
      <w:pPr>
        <w:spacing w:after="0" w:line="276" w:lineRule="auto"/>
        <w:contextualSpacing/>
        <w:jc w:val="both"/>
        <w:rPr>
          <w:rFonts w:ascii="Gadugi" w:eastAsia="Times New Roman" w:hAnsi="Gadugi" w:cs="Arial"/>
          <w:bCs/>
          <w:iCs/>
          <w:sz w:val="24"/>
          <w:szCs w:val="24"/>
          <w:lang w:eastAsia="es-ES"/>
        </w:rPr>
      </w:pPr>
    </w:p>
    <w:p w14:paraId="7421CA4B" w14:textId="663E202C" w:rsidR="00313079" w:rsidRPr="00881636" w:rsidRDefault="00313079" w:rsidP="00881636">
      <w:pPr>
        <w:spacing w:after="0" w:line="240" w:lineRule="auto"/>
        <w:ind w:left="426" w:right="420"/>
        <w:contextualSpacing/>
        <w:jc w:val="both"/>
        <w:rPr>
          <w:rFonts w:ascii="Gadugi" w:eastAsia="Times New Roman" w:hAnsi="Gadugi" w:cs="Arial"/>
          <w:bCs/>
          <w:iCs/>
          <w:szCs w:val="24"/>
          <w:lang w:eastAsia="es-ES"/>
        </w:rPr>
      </w:pPr>
      <w:r w:rsidRPr="00881636">
        <w:rPr>
          <w:rFonts w:ascii="Gadugi" w:eastAsia="Times New Roman" w:hAnsi="Gadugi" w:cs="Arial"/>
          <w:bCs/>
          <w:iCs/>
          <w:szCs w:val="24"/>
          <w:lang w:eastAsia="es-ES"/>
        </w:rPr>
        <w:tab/>
      </w:r>
      <w:r w:rsidRPr="00881636">
        <w:rPr>
          <w:rFonts w:ascii="Gadugi" w:eastAsia="Times New Roman" w:hAnsi="Gadugi" w:cs="Arial"/>
          <w:bCs/>
          <w:iCs/>
          <w:szCs w:val="24"/>
          <w:lang w:eastAsia="es-ES"/>
        </w:rPr>
        <w:tab/>
      </w:r>
      <w:r w:rsidRPr="00881636">
        <w:rPr>
          <w:rFonts w:ascii="Gadugi" w:eastAsia="Times New Roman" w:hAnsi="Gadugi" w:cs="Arial"/>
          <w:bCs/>
          <w:iCs/>
          <w:szCs w:val="24"/>
          <w:lang w:eastAsia="es-ES"/>
        </w:rPr>
        <w:tab/>
      </w:r>
      <w:r w:rsidRPr="00881636">
        <w:rPr>
          <w:rFonts w:ascii="Gadugi" w:eastAsia="Times New Roman" w:hAnsi="Gadugi" w:cs="Arial"/>
          <w:bCs/>
          <w:iCs/>
          <w:szCs w:val="24"/>
          <w:lang w:eastAsia="es-ES"/>
        </w:rPr>
        <w:tab/>
        <w:t xml:space="preserve">3. Las acciones de tutela dirigidas contra las actuaciones del Contralor General de la República, del Procurador General de la Nación, del Fiscal </w:t>
      </w:r>
      <w:r w:rsidRPr="00881636">
        <w:rPr>
          <w:rFonts w:ascii="Gadugi" w:eastAsia="Times New Roman" w:hAnsi="Gadugi" w:cs="Arial"/>
          <w:bCs/>
          <w:iCs/>
          <w:szCs w:val="24"/>
          <w:lang w:eastAsia="es-ES"/>
        </w:rPr>
        <w:lastRenderedPageBreak/>
        <w:t xml:space="preserve">General de la Nación, del Registrador Nacional del Estado Civil, </w:t>
      </w:r>
      <w:r w:rsidRPr="00881636">
        <w:rPr>
          <w:rFonts w:ascii="Gadugi" w:eastAsia="Times New Roman" w:hAnsi="Gadugi" w:cs="Arial"/>
          <w:b/>
          <w:iCs/>
          <w:szCs w:val="24"/>
          <w:lang w:eastAsia="es-ES"/>
        </w:rPr>
        <w:t>del Defensor del Pueblo</w:t>
      </w:r>
      <w:r w:rsidRPr="00881636">
        <w:rPr>
          <w:rFonts w:ascii="Gadugi" w:eastAsia="Times New Roman" w:hAnsi="Gadugi" w:cs="Arial"/>
          <w:bCs/>
          <w:iCs/>
          <w:szCs w:val="24"/>
          <w:lang w:eastAsia="es-ES"/>
        </w:rPr>
        <w:t>, del Auditor General de la República, del Contador General de la Nación, del Consejo Nacional Electoral, así como, las decisiones tomadas por la Superintendencia Nacional de Salud relacionadas con medidas cautelares y de toma de posesión e intervención forzosa administrativa para administrar o liquidar, de cesación provisional, o de revocatoria total o parcial de habilitación o autorización de funcionamiento, con fundamento en los artículos 124 y 125 de la Ley 1438 de 2011</w:t>
      </w:r>
      <w:r w:rsidRPr="00881636">
        <w:rPr>
          <w:rFonts w:ascii="Gadugi" w:eastAsia="Times New Roman" w:hAnsi="Gadugi" w:cs="Arial"/>
          <w:b/>
          <w:iCs/>
          <w:szCs w:val="24"/>
          <w:lang w:eastAsia="es-ES"/>
        </w:rPr>
        <w:t>, serán repartidas, a los Tribunales Superiores de Distrito Judicial o a los Tribunales Administrativos</w:t>
      </w:r>
      <w:r w:rsidRPr="00881636">
        <w:rPr>
          <w:rFonts w:ascii="Gadugi" w:eastAsia="Times New Roman" w:hAnsi="Gadugi" w:cs="Arial"/>
          <w:bCs/>
          <w:iCs/>
          <w:szCs w:val="24"/>
          <w:lang w:eastAsia="es-ES"/>
        </w:rPr>
        <w:t>.</w:t>
      </w:r>
    </w:p>
    <w:p w14:paraId="2BB8A069" w14:textId="44112125" w:rsidR="00313079" w:rsidRPr="00881636" w:rsidRDefault="00313079" w:rsidP="00881636">
      <w:pPr>
        <w:tabs>
          <w:tab w:val="left" w:pos="9356"/>
        </w:tabs>
        <w:spacing w:after="0" w:line="276" w:lineRule="auto"/>
        <w:ind w:right="51"/>
        <w:contextualSpacing/>
        <w:jc w:val="both"/>
        <w:rPr>
          <w:rFonts w:ascii="Gadugi" w:eastAsia="Times New Roman" w:hAnsi="Gadugi" w:cs="Arial"/>
          <w:bCs/>
          <w:iCs/>
          <w:sz w:val="24"/>
          <w:szCs w:val="24"/>
          <w:lang w:eastAsia="es-ES"/>
        </w:rPr>
      </w:pPr>
    </w:p>
    <w:p w14:paraId="567E5C49" w14:textId="64FAE58B" w:rsidR="00BC1C42" w:rsidRPr="00881636" w:rsidRDefault="00313079"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t xml:space="preserve">Sin embargo, como apuntó el magistrado García Barajas, de la lectura de la demanda, se desprende que ninguna queja o súplica se eleva, específicamente, frente al funcionario que actúa en calidad de </w:t>
      </w:r>
      <w:r w:rsidR="00BC1C42" w:rsidRPr="00881636">
        <w:rPr>
          <w:rFonts w:ascii="Gadugi" w:eastAsia="Times New Roman" w:hAnsi="Gadugi" w:cs="Arial"/>
          <w:bCs/>
          <w:iCs/>
          <w:sz w:val="24"/>
          <w:szCs w:val="24"/>
          <w:lang w:eastAsia="es-ES"/>
        </w:rPr>
        <w:t>Defensor del Pueblo</w:t>
      </w:r>
      <w:r w:rsidR="009E261A" w:rsidRPr="00881636">
        <w:rPr>
          <w:rFonts w:ascii="Gadugi" w:eastAsia="Times New Roman" w:hAnsi="Gadugi" w:cs="Arial"/>
          <w:bCs/>
          <w:iCs/>
          <w:sz w:val="24"/>
          <w:szCs w:val="24"/>
          <w:lang w:eastAsia="es-ES"/>
        </w:rPr>
        <w:t>. D</w:t>
      </w:r>
      <w:r w:rsidRPr="00881636">
        <w:rPr>
          <w:rFonts w:ascii="Gadugi" w:eastAsia="Times New Roman" w:hAnsi="Gadugi" w:cs="Arial"/>
          <w:bCs/>
          <w:iCs/>
          <w:sz w:val="24"/>
          <w:szCs w:val="24"/>
          <w:lang w:eastAsia="es-ES"/>
        </w:rPr>
        <w:t xml:space="preserve">istinto a eso, </w:t>
      </w:r>
      <w:r w:rsidR="00BC1C42" w:rsidRPr="00881636">
        <w:rPr>
          <w:rFonts w:ascii="Gadugi" w:eastAsia="Times New Roman" w:hAnsi="Gadugi" w:cs="Arial"/>
          <w:bCs/>
          <w:iCs/>
          <w:sz w:val="24"/>
          <w:szCs w:val="24"/>
          <w:lang w:eastAsia="es-ES"/>
        </w:rPr>
        <w:t>las pretensiones están dirigidas, exclusivamente, al EPMS</w:t>
      </w:r>
      <w:r w:rsidR="00DC637D" w:rsidRPr="00881636">
        <w:rPr>
          <w:rFonts w:ascii="Gadugi" w:eastAsia="Times New Roman" w:hAnsi="Gadugi" w:cs="Arial"/>
          <w:bCs/>
          <w:iCs/>
          <w:sz w:val="24"/>
          <w:szCs w:val="24"/>
          <w:lang w:eastAsia="es-ES"/>
        </w:rPr>
        <w:t>C</w:t>
      </w:r>
      <w:r w:rsidR="00BC1C42" w:rsidRPr="00881636">
        <w:rPr>
          <w:rFonts w:ascii="Gadugi" w:eastAsia="Times New Roman" w:hAnsi="Gadugi" w:cs="Arial"/>
          <w:bCs/>
          <w:iCs/>
          <w:sz w:val="24"/>
          <w:szCs w:val="24"/>
          <w:lang w:eastAsia="es-ES"/>
        </w:rPr>
        <w:t xml:space="preserve"> de Pereira</w:t>
      </w:r>
      <w:r w:rsidR="00AA5CCF" w:rsidRPr="00881636">
        <w:rPr>
          <w:rFonts w:ascii="Gadugi" w:eastAsia="Times New Roman" w:hAnsi="Gadugi" w:cs="Arial"/>
          <w:bCs/>
          <w:iCs/>
          <w:sz w:val="24"/>
          <w:szCs w:val="24"/>
          <w:lang w:eastAsia="es-ES"/>
        </w:rPr>
        <w:t>, que es una institución adscrita al INPEC, organismo del orden nacional</w:t>
      </w:r>
      <w:r w:rsidR="00DC637D" w:rsidRPr="00881636">
        <w:rPr>
          <w:rFonts w:ascii="Gadugi" w:eastAsia="Times New Roman" w:hAnsi="Gadugi" w:cs="Arial"/>
          <w:bCs/>
          <w:iCs/>
          <w:sz w:val="24"/>
          <w:szCs w:val="24"/>
          <w:lang w:eastAsia="es-ES"/>
        </w:rPr>
        <w:t>.</w:t>
      </w:r>
    </w:p>
    <w:p w14:paraId="5B032441" w14:textId="2292ACBA" w:rsidR="008F225F" w:rsidRPr="00881636" w:rsidRDefault="008F225F"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p>
    <w:p w14:paraId="3732DC69" w14:textId="48D31E29" w:rsidR="008F225F" w:rsidRPr="00881636" w:rsidRDefault="008F225F"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00AA5CCF"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Así las cosas, no es el numeral 3° del artículo 1°</w:t>
      </w:r>
      <w:r w:rsidR="00AA5CCF" w:rsidRPr="00881636">
        <w:rPr>
          <w:rFonts w:ascii="Gadugi" w:eastAsia="Times New Roman" w:hAnsi="Gadugi" w:cs="Arial"/>
          <w:bCs/>
          <w:iCs/>
          <w:sz w:val="24"/>
          <w:szCs w:val="24"/>
          <w:lang w:eastAsia="es-ES"/>
        </w:rPr>
        <w:t xml:space="preserve"> </w:t>
      </w:r>
      <w:r w:rsidRPr="00881636">
        <w:rPr>
          <w:rFonts w:ascii="Gadugi" w:eastAsia="Times New Roman" w:hAnsi="Gadugi" w:cs="Arial"/>
          <w:bCs/>
          <w:iCs/>
          <w:sz w:val="24"/>
          <w:szCs w:val="24"/>
          <w:lang w:eastAsia="es-ES"/>
        </w:rPr>
        <w:t>del Decreto 333 la regla de reparto aplicable a este trámite, sino el</w:t>
      </w:r>
      <w:r w:rsidR="00AA5CCF" w:rsidRPr="00881636">
        <w:rPr>
          <w:rFonts w:ascii="Gadugi" w:eastAsia="Times New Roman" w:hAnsi="Gadugi" w:cs="Arial"/>
          <w:bCs/>
          <w:iCs/>
          <w:sz w:val="24"/>
          <w:szCs w:val="24"/>
          <w:lang w:eastAsia="es-ES"/>
        </w:rPr>
        <w:t xml:space="preserve"> </w:t>
      </w:r>
      <w:r w:rsidRPr="00881636">
        <w:rPr>
          <w:rFonts w:ascii="Gadugi" w:eastAsia="Times New Roman" w:hAnsi="Gadugi" w:cs="Arial"/>
          <w:bCs/>
          <w:iCs/>
          <w:sz w:val="24"/>
          <w:szCs w:val="24"/>
          <w:lang w:eastAsia="es-ES"/>
        </w:rPr>
        <w:t>numeral 2° que establece:</w:t>
      </w:r>
    </w:p>
    <w:p w14:paraId="58FB9A69" w14:textId="475F910D" w:rsidR="00AA5CCF" w:rsidRPr="00881636" w:rsidRDefault="00AA5CCF"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p>
    <w:p w14:paraId="74D3D1F7" w14:textId="1E7DC331" w:rsidR="00313079" w:rsidRPr="000F6DF7" w:rsidRDefault="00AA5CCF" w:rsidP="000F6DF7">
      <w:pPr>
        <w:spacing w:after="0" w:line="240" w:lineRule="auto"/>
        <w:ind w:left="426" w:right="420"/>
        <w:contextualSpacing/>
        <w:jc w:val="both"/>
        <w:rPr>
          <w:rFonts w:ascii="Gadugi" w:eastAsia="Times New Roman" w:hAnsi="Gadugi" w:cs="Arial"/>
          <w:bCs/>
          <w:iCs/>
          <w:szCs w:val="24"/>
          <w:lang w:eastAsia="es-ES"/>
        </w:rPr>
      </w:pPr>
      <w:r w:rsidRPr="000F6DF7">
        <w:rPr>
          <w:rFonts w:ascii="Gadugi" w:eastAsia="Times New Roman" w:hAnsi="Gadugi" w:cs="Arial"/>
          <w:bCs/>
          <w:iCs/>
          <w:szCs w:val="24"/>
          <w:lang w:eastAsia="es-ES"/>
        </w:rPr>
        <w:tab/>
      </w:r>
      <w:r w:rsidRPr="000F6DF7">
        <w:rPr>
          <w:rFonts w:ascii="Gadugi" w:eastAsia="Times New Roman" w:hAnsi="Gadugi" w:cs="Arial"/>
          <w:bCs/>
          <w:iCs/>
          <w:szCs w:val="24"/>
          <w:lang w:eastAsia="es-ES"/>
        </w:rPr>
        <w:tab/>
      </w:r>
      <w:r w:rsidRPr="000F6DF7">
        <w:rPr>
          <w:rFonts w:ascii="Gadugi" w:eastAsia="Times New Roman" w:hAnsi="Gadugi" w:cs="Arial"/>
          <w:bCs/>
          <w:iCs/>
          <w:szCs w:val="24"/>
          <w:lang w:eastAsia="es-ES"/>
        </w:rPr>
        <w:tab/>
      </w:r>
      <w:r w:rsidR="008F225F" w:rsidRPr="000F6DF7">
        <w:rPr>
          <w:rFonts w:ascii="Gadugi" w:eastAsia="Times New Roman" w:hAnsi="Gadugi" w:cs="Arial"/>
          <w:bCs/>
          <w:iCs/>
          <w:szCs w:val="24"/>
          <w:lang w:eastAsia="es-ES"/>
        </w:rPr>
        <w:t>2. Las acciones de tutela que se interpongan contra</w:t>
      </w:r>
      <w:r w:rsidRPr="000F6DF7">
        <w:rPr>
          <w:rFonts w:ascii="Gadugi" w:eastAsia="Times New Roman" w:hAnsi="Gadugi" w:cs="Arial"/>
          <w:bCs/>
          <w:iCs/>
          <w:szCs w:val="24"/>
          <w:lang w:eastAsia="es-ES"/>
        </w:rPr>
        <w:t xml:space="preserve"> </w:t>
      </w:r>
      <w:r w:rsidR="008F225F" w:rsidRPr="000F6DF7">
        <w:rPr>
          <w:rFonts w:ascii="Gadugi" w:eastAsia="Times New Roman" w:hAnsi="Gadugi" w:cs="Arial"/>
          <w:bCs/>
          <w:iCs/>
          <w:szCs w:val="24"/>
          <w:lang w:eastAsia="es-ES"/>
        </w:rPr>
        <w:t>cualquier autoridad, organismo o entidad pública del orden nacional</w:t>
      </w:r>
      <w:r w:rsidRPr="000F6DF7">
        <w:rPr>
          <w:rFonts w:ascii="Gadugi" w:eastAsia="Times New Roman" w:hAnsi="Gadugi" w:cs="Arial"/>
          <w:bCs/>
          <w:iCs/>
          <w:szCs w:val="24"/>
          <w:lang w:eastAsia="es-ES"/>
        </w:rPr>
        <w:t xml:space="preserve"> </w:t>
      </w:r>
      <w:r w:rsidR="008F225F" w:rsidRPr="000F6DF7">
        <w:rPr>
          <w:rFonts w:ascii="Gadugi" w:eastAsia="Times New Roman" w:hAnsi="Gadugi" w:cs="Arial"/>
          <w:bCs/>
          <w:iCs/>
          <w:szCs w:val="24"/>
          <w:lang w:eastAsia="es-ES"/>
        </w:rPr>
        <w:t>serán repartidas, para su conocimiento en primera instancia, a los Jueces</w:t>
      </w:r>
      <w:r w:rsidRPr="000F6DF7">
        <w:rPr>
          <w:rFonts w:ascii="Gadugi" w:eastAsia="Times New Roman" w:hAnsi="Gadugi" w:cs="Arial"/>
          <w:bCs/>
          <w:iCs/>
          <w:szCs w:val="24"/>
          <w:lang w:eastAsia="es-ES"/>
        </w:rPr>
        <w:t xml:space="preserve"> </w:t>
      </w:r>
      <w:r w:rsidR="008F225F" w:rsidRPr="000F6DF7">
        <w:rPr>
          <w:rFonts w:ascii="Gadugi" w:eastAsia="Times New Roman" w:hAnsi="Gadugi" w:cs="Arial"/>
          <w:bCs/>
          <w:iCs/>
          <w:szCs w:val="24"/>
          <w:lang w:eastAsia="es-ES"/>
        </w:rPr>
        <w:t>del Circuito o con igual categoría.</w:t>
      </w:r>
    </w:p>
    <w:p w14:paraId="59B6027F" w14:textId="39440967" w:rsidR="00AA5CCF" w:rsidRPr="00881636" w:rsidRDefault="00AA5CCF"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p>
    <w:p w14:paraId="02297E9A" w14:textId="6DEF7299" w:rsidR="00AA5CCF" w:rsidRPr="00881636" w:rsidRDefault="00AA5CCF"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t>Cambiando lo que hay que cambiar, lo que aquí sucede, ha sido aclarado ya por la Sala de Casación Civil de la Corte Suprema de Justicia</w:t>
      </w:r>
      <w:r w:rsidRPr="00881636">
        <w:rPr>
          <w:rStyle w:val="Refdenotaalpie"/>
          <w:rFonts w:ascii="Gadugi" w:eastAsia="Times New Roman" w:hAnsi="Gadugi" w:cs="Arial"/>
          <w:bCs/>
          <w:iCs/>
          <w:sz w:val="24"/>
          <w:szCs w:val="24"/>
          <w:lang w:eastAsia="es-ES"/>
        </w:rPr>
        <w:footnoteReference w:id="4"/>
      </w:r>
      <w:r w:rsidR="00DC637D" w:rsidRPr="00881636">
        <w:rPr>
          <w:rFonts w:ascii="Gadugi" w:eastAsia="Times New Roman" w:hAnsi="Gadugi" w:cs="Arial"/>
          <w:bCs/>
          <w:iCs/>
          <w:sz w:val="24"/>
          <w:szCs w:val="24"/>
          <w:lang w:eastAsia="es-ES"/>
        </w:rPr>
        <w:t>-</w:t>
      </w:r>
      <w:r w:rsidR="00DC637D" w:rsidRPr="00881636">
        <w:rPr>
          <w:rStyle w:val="Refdenotaalpie"/>
          <w:rFonts w:ascii="Gadugi" w:eastAsia="Times New Roman" w:hAnsi="Gadugi" w:cs="Arial"/>
          <w:bCs/>
          <w:iCs/>
          <w:sz w:val="24"/>
          <w:szCs w:val="24"/>
          <w:lang w:eastAsia="es-ES"/>
        </w:rPr>
        <w:footnoteReference w:id="5"/>
      </w:r>
      <w:r w:rsidRPr="00881636">
        <w:rPr>
          <w:rFonts w:ascii="Gadugi" w:eastAsia="Times New Roman" w:hAnsi="Gadugi" w:cs="Arial"/>
          <w:bCs/>
          <w:iCs/>
          <w:sz w:val="24"/>
          <w:szCs w:val="24"/>
          <w:lang w:eastAsia="es-ES"/>
        </w:rPr>
        <w:t xml:space="preserve"> cuando al recibir en segunda instancia una acción de tutela, de la que en primera instancia conoció esta Sala, declaró la nulidad de lo actuado en esta sede, en consideración a que el amparo estaba dirigido contra la Procuraduría General de la Nación y no concretamente frente el Procurador General de la Nación. Y aunque así sucedió cuando estaba vigente el Decreto 1983 de 2017, para el caso presente no hay variación, pues la teleología de la norma que la reemplazó</w:t>
      </w:r>
      <w:r w:rsidR="00ED6CF3" w:rsidRPr="00881636">
        <w:rPr>
          <w:rFonts w:ascii="Gadugi" w:eastAsia="Times New Roman" w:hAnsi="Gadugi" w:cs="Arial"/>
          <w:bCs/>
          <w:iCs/>
          <w:sz w:val="24"/>
          <w:szCs w:val="24"/>
          <w:lang w:eastAsia="es-ES"/>
        </w:rPr>
        <w:t>,</w:t>
      </w:r>
      <w:r w:rsidRPr="00881636">
        <w:rPr>
          <w:rFonts w:ascii="Gadugi" w:eastAsia="Times New Roman" w:hAnsi="Gadugi" w:cs="Arial"/>
          <w:bCs/>
          <w:iCs/>
          <w:sz w:val="24"/>
          <w:szCs w:val="24"/>
          <w:lang w:eastAsia="es-ES"/>
        </w:rPr>
        <w:t xml:space="preserve"> se conservó incólume ahora en el Decreto 333 de 2021.</w:t>
      </w:r>
    </w:p>
    <w:p w14:paraId="3C4784B3" w14:textId="1EBAA61D" w:rsidR="00AA5CCF" w:rsidRPr="00881636" w:rsidRDefault="00AA5CCF"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p>
    <w:p w14:paraId="79836D44" w14:textId="230F973A" w:rsidR="00AA5CCF" w:rsidRPr="00881636" w:rsidRDefault="00AA5CCF" w:rsidP="00881636">
      <w:pPr>
        <w:tabs>
          <w:tab w:val="left" w:pos="1701"/>
        </w:tabs>
        <w:spacing w:after="0" w:line="276" w:lineRule="auto"/>
        <w:ind w:right="51"/>
        <w:contextualSpacing/>
        <w:jc w:val="both"/>
        <w:rPr>
          <w:rFonts w:ascii="Gadugi" w:eastAsia="Times New Roman" w:hAnsi="Gadugi" w:cs="Arial"/>
          <w:bCs/>
          <w:iCs/>
          <w:sz w:val="24"/>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t>En esa ocasión, el alto Tribunal enseñó:</w:t>
      </w:r>
    </w:p>
    <w:p w14:paraId="7DF07E9A" w14:textId="0E35D62E" w:rsidR="00AA5CCF" w:rsidRPr="00881636" w:rsidRDefault="00AA5CCF" w:rsidP="00881636">
      <w:pPr>
        <w:tabs>
          <w:tab w:val="left" w:pos="1701"/>
        </w:tabs>
        <w:spacing w:after="0" w:line="276" w:lineRule="auto"/>
        <w:ind w:left="567" w:right="618"/>
        <w:contextualSpacing/>
        <w:jc w:val="both"/>
        <w:rPr>
          <w:rFonts w:ascii="Gadugi" w:eastAsia="Times New Roman" w:hAnsi="Gadugi" w:cs="Arial"/>
          <w:bCs/>
          <w:iCs/>
          <w:sz w:val="24"/>
          <w:szCs w:val="24"/>
          <w:lang w:eastAsia="es-ES"/>
        </w:rPr>
      </w:pPr>
    </w:p>
    <w:p w14:paraId="0D40E3CE" w14:textId="6A21077C" w:rsidR="00AA5CCF" w:rsidRPr="000F6DF7" w:rsidRDefault="00AA5CCF" w:rsidP="000F6DF7">
      <w:pPr>
        <w:spacing w:after="0" w:line="240" w:lineRule="auto"/>
        <w:ind w:left="426" w:right="420"/>
        <w:contextualSpacing/>
        <w:jc w:val="both"/>
        <w:rPr>
          <w:rFonts w:ascii="Gadugi" w:eastAsia="Times New Roman" w:hAnsi="Gadugi" w:cs="Arial"/>
          <w:b/>
          <w:iCs/>
          <w:szCs w:val="24"/>
          <w:lang w:eastAsia="es-ES"/>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0F6DF7">
        <w:rPr>
          <w:rFonts w:ascii="Gadugi" w:eastAsia="Times New Roman" w:hAnsi="Gadugi" w:cs="Arial"/>
          <w:bCs/>
          <w:iCs/>
          <w:szCs w:val="24"/>
          <w:lang w:eastAsia="es-ES"/>
        </w:rPr>
        <w:t xml:space="preserve">Se resalta, aun cuando el numeral 3° ídem, </w:t>
      </w:r>
      <w:r w:rsidRPr="000F6DF7">
        <w:rPr>
          <w:rFonts w:ascii="Gadugi" w:eastAsia="Times New Roman" w:hAnsi="Gadugi" w:cs="Arial"/>
          <w:b/>
          <w:iCs/>
          <w:szCs w:val="24"/>
          <w:lang w:eastAsia="es-ES"/>
        </w:rPr>
        <w:t>indica las atribuciones de los tribunales para conocer de súplicas tutelares incoadas frente a los actos del Procurador General de la Nación, entre otros, lo discutido en el amparo de la referencia en nada involucra la gestión de ese funcionario.</w:t>
      </w:r>
    </w:p>
    <w:p w14:paraId="102919BC" w14:textId="13CCF42D" w:rsidR="00AA5CCF" w:rsidRPr="000F6DF7" w:rsidRDefault="00AA5CCF" w:rsidP="000F6DF7">
      <w:pPr>
        <w:spacing w:after="0" w:line="240" w:lineRule="auto"/>
        <w:ind w:left="426" w:right="420"/>
        <w:contextualSpacing/>
        <w:jc w:val="both"/>
        <w:rPr>
          <w:rFonts w:ascii="Gadugi" w:eastAsia="Times New Roman" w:hAnsi="Gadugi" w:cs="Arial"/>
          <w:bCs/>
          <w:iCs/>
          <w:szCs w:val="24"/>
          <w:lang w:eastAsia="es-ES"/>
        </w:rPr>
      </w:pPr>
    </w:p>
    <w:p w14:paraId="1E13B462" w14:textId="20669691" w:rsidR="00AA5CCF" w:rsidRPr="000F6DF7" w:rsidRDefault="00AA5CCF" w:rsidP="000F6DF7">
      <w:pPr>
        <w:spacing w:after="0" w:line="240" w:lineRule="auto"/>
        <w:ind w:left="426" w:right="420"/>
        <w:contextualSpacing/>
        <w:jc w:val="both"/>
        <w:rPr>
          <w:rFonts w:ascii="Gadugi" w:eastAsia="Times New Roman" w:hAnsi="Gadugi" w:cs="Arial"/>
          <w:bCs/>
          <w:iCs/>
          <w:szCs w:val="24"/>
          <w:lang w:eastAsia="es-ES"/>
        </w:rPr>
      </w:pPr>
      <w:r w:rsidRPr="000F6DF7">
        <w:rPr>
          <w:rFonts w:ascii="Gadugi" w:eastAsia="Times New Roman" w:hAnsi="Gadugi" w:cs="Arial"/>
          <w:bCs/>
          <w:iCs/>
          <w:szCs w:val="24"/>
          <w:lang w:eastAsia="es-ES"/>
        </w:rPr>
        <w:tab/>
      </w:r>
      <w:r w:rsidRPr="000F6DF7">
        <w:rPr>
          <w:rFonts w:ascii="Gadugi" w:eastAsia="Times New Roman" w:hAnsi="Gadugi" w:cs="Arial"/>
          <w:bCs/>
          <w:iCs/>
          <w:szCs w:val="24"/>
          <w:lang w:eastAsia="es-ES"/>
        </w:rPr>
        <w:tab/>
      </w:r>
      <w:r w:rsidRPr="000F6DF7">
        <w:rPr>
          <w:rFonts w:ascii="Gadugi" w:eastAsia="Times New Roman" w:hAnsi="Gadugi" w:cs="Arial"/>
          <w:bCs/>
          <w:iCs/>
          <w:szCs w:val="24"/>
          <w:lang w:eastAsia="es-ES"/>
        </w:rPr>
        <w:tab/>
        <w:t>Esta Corporación, en un asunto asimilable, recientemente advirtió:</w:t>
      </w:r>
    </w:p>
    <w:p w14:paraId="1AAB05A1" w14:textId="2E03B9DF" w:rsidR="00AA5CCF" w:rsidRPr="000F6DF7" w:rsidRDefault="00AA5CCF" w:rsidP="000F6DF7">
      <w:pPr>
        <w:spacing w:after="0" w:line="240" w:lineRule="auto"/>
        <w:ind w:left="426" w:right="420"/>
        <w:contextualSpacing/>
        <w:jc w:val="both"/>
        <w:rPr>
          <w:rFonts w:ascii="Gadugi" w:eastAsia="Times New Roman" w:hAnsi="Gadugi" w:cs="Arial"/>
          <w:bCs/>
          <w:iCs/>
          <w:szCs w:val="24"/>
          <w:lang w:eastAsia="es-ES"/>
        </w:rPr>
      </w:pPr>
    </w:p>
    <w:p w14:paraId="72BA6760" w14:textId="78B48EEF" w:rsidR="00AA5CCF" w:rsidRPr="00881636" w:rsidRDefault="00AA5CCF" w:rsidP="000F6DF7">
      <w:pPr>
        <w:spacing w:after="0" w:line="240" w:lineRule="auto"/>
        <w:ind w:left="426" w:right="420"/>
        <w:contextualSpacing/>
        <w:jc w:val="both"/>
        <w:rPr>
          <w:rFonts w:ascii="Gadugi" w:eastAsia="Times New Roman" w:hAnsi="Gadugi" w:cs="Arial"/>
          <w:bCs/>
          <w:iCs/>
          <w:sz w:val="24"/>
          <w:szCs w:val="24"/>
          <w:lang w:eastAsia="es-ES"/>
        </w:rPr>
      </w:pPr>
      <w:r w:rsidRPr="000F6DF7">
        <w:rPr>
          <w:rFonts w:ascii="Gadugi" w:eastAsia="Times New Roman" w:hAnsi="Gadugi" w:cs="Arial"/>
          <w:bCs/>
          <w:iCs/>
          <w:szCs w:val="24"/>
          <w:lang w:eastAsia="es-ES"/>
        </w:rPr>
        <w:tab/>
      </w:r>
      <w:r w:rsidRPr="000F6DF7">
        <w:rPr>
          <w:rFonts w:ascii="Gadugi" w:eastAsia="Times New Roman" w:hAnsi="Gadugi" w:cs="Arial"/>
          <w:bCs/>
          <w:iCs/>
          <w:szCs w:val="24"/>
          <w:lang w:eastAsia="es-ES"/>
        </w:rPr>
        <w:tab/>
      </w:r>
      <w:r w:rsidRPr="000F6DF7">
        <w:rPr>
          <w:rFonts w:ascii="Gadugi" w:eastAsia="Times New Roman" w:hAnsi="Gadugi" w:cs="Arial"/>
          <w:bCs/>
          <w:iCs/>
          <w:szCs w:val="24"/>
          <w:lang w:eastAsia="es-ES"/>
        </w:rPr>
        <w:tab/>
        <w:t xml:space="preserve">“(…) Es menester señalar, el numeral 3º del citado canon precisa que concierne a los tribunales tramitar las salvaguardas en donde se cuestionen las “(…) </w:t>
      </w:r>
      <w:r w:rsidRPr="000F6DF7">
        <w:rPr>
          <w:rFonts w:ascii="Gadugi" w:eastAsia="Times New Roman" w:hAnsi="Gadugi" w:cs="Arial"/>
          <w:bCs/>
          <w:iCs/>
          <w:szCs w:val="24"/>
          <w:lang w:eastAsia="es-ES"/>
        </w:rPr>
        <w:lastRenderedPageBreak/>
        <w:t xml:space="preserve">actuaciones (…) del Registrador Nacional del Estado Civil </w:t>
      </w:r>
      <w:r w:rsidRPr="000F6DF7">
        <w:rPr>
          <w:rFonts w:ascii="Gadugi" w:eastAsia="Times New Roman" w:hAnsi="Gadugi" w:cs="Arial"/>
          <w:b/>
          <w:iCs/>
          <w:szCs w:val="24"/>
          <w:lang w:eastAsia="es-ES"/>
        </w:rPr>
        <w:t>(…)”; sin embargo, en el presente decurso no se ataca acción u omisión alguna de esa autoridad</w:t>
      </w:r>
      <w:r w:rsidRPr="000F6DF7">
        <w:rPr>
          <w:rFonts w:ascii="Gadugi" w:eastAsia="Times New Roman" w:hAnsi="Gadugi" w:cs="Arial"/>
          <w:bCs/>
          <w:iCs/>
          <w:szCs w:val="24"/>
          <w:lang w:eastAsia="es-ES"/>
        </w:rPr>
        <w:t xml:space="preserve"> (…)</w:t>
      </w:r>
      <w:r w:rsidRPr="000F6DF7">
        <w:rPr>
          <w:rStyle w:val="Refdenotaalpie"/>
          <w:rFonts w:ascii="Gadugi" w:eastAsia="Times New Roman" w:hAnsi="Gadugi" w:cs="Arial"/>
          <w:bCs/>
          <w:iCs/>
          <w:szCs w:val="24"/>
          <w:lang w:eastAsia="es-ES"/>
        </w:rPr>
        <w:footnoteReference w:id="6"/>
      </w:r>
      <w:r w:rsidRPr="000F6DF7">
        <w:rPr>
          <w:rFonts w:ascii="Gadugi" w:eastAsia="Times New Roman" w:hAnsi="Gadugi" w:cs="Arial"/>
          <w:bCs/>
          <w:iCs/>
          <w:szCs w:val="24"/>
          <w:lang w:eastAsia="es-ES"/>
        </w:rPr>
        <w:t>”. (Destaca la sala)</w:t>
      </w:r>
      <w:r w:rsidRPr="000F6DF7">
        <w:rPr>
          <w:rFonts w:ascii="Gadugi" w:eastAsia="Times New Roman" w:hAnsi="Gadugi" w:cs="Arial"/>
          <w:bCs/>
          <w:iCs/>
          <w:szCs w:val="24"/>
          <w:lang w:eastAsia="es-ES"/>
        </w:rPr>
        <w:cr/>
      </w:r>
    </w:p>
    <w:p w14:paraId="612E8F1E" w14:textId="160C5624" w:rsidR="00E158BB" w:rsidRPr="00881636" w:rsidRDefault="00EB620E" w:rsidP="00881636">
      <w:pPr>
        <w:spacing w:after="0" w:line="276" w:lineRule="auto"/>
        <w:contextualSpacing/>
        <w:jc w:val="both"/>
        <w:rPr>
          <w:rFonts w:ascii="Gadugi" w:eastAsia="Segoe UI" w:hAnsi="Gadugi" w:cs="Segoe UI"/>
          <w:sz w:val="24"/>
          <w:szCs w:val="24"/>
        </w:rPr>
      </w:pP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Pr="00881636">
        <w:rPr>
          <w:rFonts w:ascii="Gadugi" w:eastAsia="Times New Roman" w:hAnsi="Gadugi" w:cs="Arial"/>
          <w:bCs/>
          <w:iCs/>
          <w:sz w:val="24"/>
          <w:szCs w:val="24"/>
          <w:lang w:eastAsia="es-ES"/>
        </w:rPr>
        <w:tab/>
      </w:r>
      <w:r w:rsidR="00BE6DBB" w:rsidRPr="00881636">
        <w:rPr>
          <w:rFonts w:ascii="Gadugi" w:eastAsia="Times New Roman" w:hAnsi="Gadugi" w:cs="Arial"/>
          <w:bCs/>
          <w:iCs/>
          <w:sz w:val="24"/>
          <w:szCs w:val="24"/>
          <w:lang w:eastAsia="es-ES"/>
        </w:rPr>
        <w:t xml:space="preserve">La jurisprudencia transcrita aclara la tesis de la Sala y entonces, es suficiente lo explicado hasta este </w:t>
      </w:r>
      <w:r w:rsidR="00935E64" w:rsidRPr="00881636">
        <w:rPr>
          <w:rFonts w:ascii="Gadugi" w:eastAsia="Times New Roman" w:hAnsi="Gadugi" w:cs="Arial"/>
          <w:bCs/>
          <w:iCs/>
          <w:sz w:val="24"/>
          <w:szCs w:val="24"/>
          <w:lang w:eastAsia="es-ES"/>
        </w:rPr>
        <w:t>punto para</w:t>
      </w:r>
      <w:r w:rsidR="00CA6B48" w:rsidRPr="00881636">
        <w:rPr>
          <w:rFonts w:ascii="Gadugi" w:eastAsia="Times New Roman" w:hAnsi="Gadugi" w:cs="Arial"/>
          <w:bCs/>
          <w:iCs/>
          <w:sz w:val="24"/>
          <w:szCs w:val="24"/>
          <w:lang w:eastAsia="es-ES"/>
        </w:rPr>
        <w:t xml:space="preserve"> asignarle la competencia para tramitar este caso</w:t>
      </w:r>
      <w:r w:rsidR="00BE6DBB" w:rsidRPr="00881636">
        <w:rPr>
          <w:rFonts w:ascii="Gadugi" w:eastAsia="Times New Roman" w:hAnsi="Gadugi" w:cs="Arial"/>
          <w:bCs/>
          <w:iCs/>
          <w:sz w:val="24"/>
          <w:szCs w:val="24"/>
          <w:lang w:eastAsia="es-ES"/>
        </w:rPr>
        <w:t>, en primera instancia,</w:t>
      </w:r>
      <w:r w:rsidR="00CA6B48" w:rsidRPr="00881636">
        <w:rPr>
          <w:rFonts w:ascii="Gadugi" w:eastAsia="Times New Roman" w:hAnsi="Gadugi" w:cs="Arial"/>
          <w:bCs/>
          <w:iCs/>
          <w:sz w:val="24"/>
          <w:szCs w:val="24"/>
          <w:lang w:eastAsia="es-ES"/>
        </w:rPr>
        <w:t xml:space="preserve"> al </w:t>
      </w:r>
      <w:r w:rsidR="00CA6B48" w:rsidRPr="00881636">
        <w:rPr>
          <w:rFonts w:ascii="Gadugi" w:eastAsia="Times New Roman" w:hAnsi="Gadugi" w:cs="Arial"/>
          <w:sz w:val="24"/>
          <w:szCs w:val="24"/>
          <w:lang w:eastAsia="es-ES"/>
        </w:rPr>
        <w:t>Juzgado Tercero Penal del Circuito Especializado Itinerante local</w:t>
      </w:r>
      <w:r w:rsidR="005F5093" w:rsidRPr="00881636">
        <w:rPr>
          <w:rFonts w:ascii="Gadugi" w:eastAsia="Segoe UI" w:hAnsi="Gadugi" w:cs="Segoe UI"/>
          <w:sz w:val="24"/>
          <w:szCs w:val="24"/>
        </w:rPr>
        <w:t xml:space="preserve"> </w:t>
      </w:r>
      <w:r w:rsidR="00E158BB" w:rsidRPr="00881636">
        <w:rPr>
          <w:rFonts w:ascii="Gadugi" w:eastAsia="Segoe UI" w:hAnsi="Gadugi" w:cs="Segoe UI"/>
          <w:sz w:val="24"/>
          <w:szCs w:val="24"/>
        </w:rPr>
        <w:t>y allí se remitirá el expediente</w:t>
      </w:r>
      <w:r w:rsidR="009D668C" w:rsidRPr="00881636">
        <w:rPr>
          <w:rFonts w:ascii="Gadugi" w:eastAsia="Segoe UI" w:hAnsi="Gadugi" w:cs="Segoe UI"/>
          <w:sz w:val="24"/>
          <w:szCs w:val="24"/>
        </w:rPr>
        <w:t>. A</w:t>
      </w:r>
      <w:r w:rsidR="00E158BB" w:rsidRPr="00881636">
        <w:rPr>
          <w:rFonts w:ascii="Gadugi" w:eastAsia="Segoe UI" w:hAnsi="Gadugi" w:cs="Segoe UI"/>
          <w:sz w:val="24"/>
          <w:szCs w:val="24"/>
        </w:rPr>
        <w:t>l</w:t>
      </w:r>
      <w:r w:rsidR="005F5093" w:rsidRPr="00881636">
        <w:rPr>
          <w:rFonts w:ascii="Gadugi" w:eastAsia="Segoe UI" w:hAnsi="Gadugi" w:cs="Segoe UI"/>
          <w:sz w:val="24"/>
          <w:szCs w:val="24"/>
        </w:rPr>
        <w:t xml:space="preserve"> </w:t>
      </w:r>
      <w:r w:rsidR="00CA6B48" w:rsidRPr="00881636">
        <w:rPr>
          <w:rFonts w:ascii="Gadugi" w:eastAsia="Segoe UI" w:hAnsi="Gadugi" w:cs="Segoe UI"/>
          <w:sz w:val="24"/>
          <w:szCs w:val="24"/>
        </w:rPr>
        <w:t>Despacho 002 de la Sala Civil Familia del Tribual Superior de Pereira</w:t>
      </w:r>
      <w:r w:rsidR="00E158BB" w:rsidRPr="00881636">
        <w:rPr>
          <w:rFonts w:ascii="Gadugi" w:eastAsia="Segoe UI" w:hAnsi="Gadugi" w:cs="Segoe UI"/>
          <w:sz w:val="24"/>
          <w:szCs w:val="24"/>
        </w:rPr>
        <w:t xml:space="preserve"> se le informará lo pertinente.</w:t>
      </w:r>
      <w:r w:rsidR="00566677" w:rsidRPr="00881636">
        <w:rPr>
          <w:rFonts w:ascii="Gadugi" w:eastAsia="Segoe UI" w:hAnsi="Gadugi" w:cs="Segoe UI"/>
          <w:sz w:val="24"/>
          <w:szCs w:val="24"/>
        </w:rPr>
        <w:t xml:space="preserve"> </w:t>
      </w:r>
    </w:p>
    <w:p w14:paraId="72514E9C" w14:textId="3441A4F8" w:rsidR="00ED6CF3" w:rsidRPr="00881636" w:rsidRDefault="00ED6CF3" w:rsidP="00881636">
      <w:pPr>
        <w:spacing w:after="0" w:line="276" w:lineRule="auto"/>
        <w:contextualSpacing/>
        <w:jc w:val="both"/>
        <w:rPr>
          <w:rFonts w:ascii="Gadugi" w:eastAsia="Segoe UI" w:hAnsi="Gadugi" w:cs="Segoe UI"/>
          <w:sz w:val="24"/>
          <w:szCs w:val="24"/>
        </w:rPr>
      </w:pPr>
    </w:p>
    <w:p w14:paraId="55627FF4" w14:textId="77777777" w:rsidR="00ED6CF3" w:rsidRPr="00881636" w:rsidRDefault="00ED6CF3" w:rsidP="00881636">
      <w:pPr>
        <w:spacing w:after="0" w:line="276" w:lineRule="auto"/>
        <w:contextualSpacing/>
        <w:jc w:val="both"/>
        <w:rPr>
          <w:rFonts w:ascii="Gadugi" w:eastAsia="Segoe UI" w:hAnsi="Gadugi" w:cs="Segoe UI"/>
          <w:sz w:val="24"/>
          <w:szCs w:val="24"/>
        </w:rPr>
      </w:pPr>
    </w:p>
    <w:p w14:paraId="55EE10C1" w14:textId="77777777" w:rsidR="00E158BB" w:rsidRPr="00881636" w:rsidRDefault="00E158BB" w:rsidP="00881636">
      <w:pPr>
        <w:widowControl w:val="0"/>
        <w:spacing w:after="0" w:line="276" w:lineRule="auto"/>
        <w:ind w:firstLine="2835"/>
        <w:jc w:val="both"/>
        <w:rPr>
          <w:rFonts w:ascii="Gadugi" w:eastAsia="Tahoma" w:hAnsi="Gadugi" w:cs="Tahoma"/>
          <w:b/>
          <w:bCs/>
          <w:sz w:val="24"/>
          <w:szCs w:val="24"/>
        </w:rPr>
      </w:pPr>
      <w:r w:rsidRPr="00881636">
        <w:rPr>
          <w:rFonts w:ascii="Gadugi" w:eastAsia="Tahoma" w:hAnsi="Gadugi" w:cs="Tahoma"/>
          <w:b/>
          <w:bCs/>
          <w:color w:val="000000"/>
          <w:sz w:val="24"/>
          <w:szCs w:val="24"/>
        </w:rPr>
        <w:t>DECISIÓN</w:t>
      </w:r>
    </w:p>
    <w:p w14:paraId="290592F5" w14:textId="77777777" w:rsidR="00E158BB" w:rsidRPr="00881636" w:rsidRDefault="00E158BB" w:rsidP="00881636">
      <w:pPr>
        <w:widowControl w:val="0"/>
        <w:spacing w:after="0" w:line="276" w:lineRule="auto"/>
        <w:ind w:firstLine="2835"/>
        <w:jc w:val="both"/>
        <w:rPr>
          <w:rFonts w:ascii="Gadugi" w:eastAsia="Courier New" w:hAnsi="Gadugi" w:cs="Courier New"/>
          <w:color w:val="000000"/>
          <w:sz w:val="24"/>
          <w:szCs w:val="24"/>
          <w:lang w:eastAsia="es-ES"/>
        </w:rPr>
      </w:pPr>
    </w:p>
    <w:p w14:paraId="55E3887C" w14:textId="77777777" w:rsidR="00E158BB" w:rsidRPr="00881636" w:rsidRDefault="00E158BB" w:rsidP="00881636">
      <w:pPr>
        <w:widowControl w:val="0"/>
        <w:spacing w:after="0" w:line="276" w:lineRule="auto"/>
        <w:ind w:right="20" w:firstLine="2835"/>
        <w:jc w:val="both"/>
        <w:rPr>
          <w:rFonts w:ascii="Gadugi" w:eastAsia="Tahoma" w:hAnsi="Gadugi" w:cs="Tahoma"/>
          <w:color w:val="000000"/>
          <w:sz w:val="24"/>
          <w:szCs w:val="24"/>
          <w:lang w:val="es-419"/>
        </w:rPr>
      </w:pPr>
    </w:p>
    <w:p w14:paraId="29976EA1" w14:textId="22C83D57" w:rsidR="00CA6B48" w:rsidRPr="00881636" w:rsidRDefault="00E158BB" w:rsidP="00881636">
      <w:pPr>
        <w:spacing w:after="0" w:line="276" w:lineRule="auto"/>
        <w:ind w:firstLine="2835"/>
        <w:contextualSpacing/>
        <w:jc w:val="both"/>
        <w:rPr>
          <w:rFonts w:ascii="Gadugi" w:eastAsia="Tahoma" w:hAnsi="Gadugi" w:cs="Tahoma"/>
          <w:color w:val="000000"/>
          <w:sz w:val="24"/>
          <w:szCs w:val="24"/>
        </w:rPr>
      </w:pPr>
      <w:r w:rsidRPr="00881636">
        <w:rPr>
          <w:rFonts w:ascii="Gadugi" w:eastAsia="Tahoma" w:hAnsi="Gadugi" w:cs="Tahoma"/>
          <w:color w:val="000000"/>
          <w:sz w:val="24"/>
          <w:szCs w:val="24"/>
          <w:lang w:val="es-419"/>
        </w:rPr>
        <w:t>E</w:t>
      </w:r>
      <w:r w:rsidRPr="00881636">
        <w:rPr>
          <w:rFonts w:ascii="Gadugi" w:eastAsia="Tahoma" w:hAnsi="Gadugi" w:cs="Tahoma"/>
          <w:color w:val="000000"/>
          <w:sz w:val="24"/>
          <w:szCs w:val="24"/>
        </w:rPr>
        <w:t xml:space="preserve">n mérito de lo expuesto, esta </w:t>
      </w:r>
      <w:r w:rsidRPr="00881636">
        <w:rPr>
          <w:rFonts w:ascii="Gadugi" w:eastAsia="Segoe UI" w:hAnsi="Gadugi" w:cs="Segoe UI"/>
          <w:sz w:val="24"/>
          <w:szCs w:val="24"/>
        </w:rPr>
        <w:t xml:space="preserve">Sala </w:t>
      </w:r>
      <w:r w:rsidR="00935E64" w:rsidRPr="00881636">
        <w:rPr>
          <w:rFonts w:ascii="Gadugi" w:eastAsia="Segoe UI" w:hAnsi="Gadugi" w:cs="Segoe UI"/>
          <w:sz w:val="24"/>
          <w:szCs w:val="24"/>
        </w:rPr>
        <w:t>Mixta Nro. 10</w:t>
      </w:r>
      <w:r w:rsidRPr="00881636">
        <w:rPr>
          <w:rFonts w:ascii="Gadugi" w:eastAsia="Segoe UI" w:hAnsi="Gadugi" w:cs="Segoe UI"/>
          <w:sz w:val="24"/>
          <w:szCs w:val="24"/>
        </w:rPr>
        <w:t xml:space="preserve"> del Tribunal Superior de Pereira, </w:t>
      </w:r>
      <w:r w:rsidRPr="00881636">
        <w:rPr>
          <w:rFonts w:ascii="Gadugi" w:eastAsia="Segoe UI" w:hAnsi="Gadugi" w:cs="Segoe UI"/>
          <w:b/>
          <w:sz w:val="24"/>
          <w:szCs w:val="24"/>
        </w:rPr>
        <w:t>DECLARA</w:t>
      </w:r>
      <w:r w:rsidRPr="00881636">
        <w:rPr>
          <w:rFonts w:ascii="Gadugi" w:eastAsia="Segoe UI" w:hAnsi="Gadugi" w:cs="Segoe UI"/>
          <w:sz w:val="24"/>
          <w:szCs w:val="24"/>
        </w:rPr>
        <w:t xml:space="preserve"> </w:t>
      </w:r>
      <w:r w:rsidRPr="00881636">
        <w:rPr>
          <w:rFonts w:ascii="Gadugi" w:eastAsia="Tahoma" w:hAnsi="Gadugi" w:cs="Tahoma"/>
          <w:color w:val="000000"/>
          <w:sz w:val="24"/>
          <w:szCs w:val="24"/>
        </w:rPr>
        <w:t xml:space="preserve">que el conocimiento de la </w:t>
      </w:r>
      <w:r w:rsidR="00CA6B48" w:rsidRPr="00881636">
        <w:rPr>
          <w:rFonts w:ascii="Gadugi" w:eastAsia="Tahoma" w:hAnsi="Gadugi" w:cs="Tahoma"/>
          <w:color w:val="000000"/>
          <w:sz w:val="24"/>
          <w:szCs w:val="24"/>
        </w:rPr>
        <w:t xml:space="preserve">presente acción de tutela le corresponde al </w:t>
      </w:r>
      <w:r w:rsidR="00CA6B48" w:rsidRPr="00881636">
        <w:rPr>
          <w:rFonts w:ascii="Gadugi" w:eastAsia="Segoe UI" w:hAnsi="Gadugi" w:cs="Segoe UI"/>
          <w:sz w:val="24"/>
          <w:szCs w:val="24"/>
          <w:u w:val="single"/>
        </w:rPr>
        <w:t>Juzgado Tercero Penal del Circuito Especializado Itinerante de Pereira</w:t>
      </w:r>
      <w:r w:rsidR="00CA6B48" w:rsidRPr="00881636">
        <w:rPr>
          <w:rFonts w:ascii="Gadugi" w:eastAsia="Segoe UI" w:hAnsi="Gadugi" w:cs="Segoe UI"/>
          <w:sz w:val="24"/>
          <w:szCs w:val="24"/>
        </w:rPr>
        <w:t xml:space="preserve">, </w:t>
      </w:r>
      <w:r w:rsidR="00CA6B48" w:rsidRPr="00881636">
        <w:rPr>
          <w:rFonts w:ascii="Gadugi" w:eastAsia="Tahoma" w:hAnsi="Gadugi" w:cs="Tahoma"/>
          <w:color w:val="000000"/>
          <w:sz w:val="24"/>
          <w:szCs w:val="24"/>
        </w:rPr>
        <w:t>y allí se dispone remitir el expediente.</w:t>
      </w:r>
    </w:p>
    <w:p w14:paraId="75BAB1FE" w14:textId="77777777" w:rsidR="00CA6B48" w:rsidRPr="00881636" w:rsidRDefault="00CA6B48" w:rsidP="00881636">
      <w:pPr>
        <w:spacing w:after="0" w:line="276" w:lineRule="auto"/>
        <w:ind w:firstLine="2835"/>
        <w:contextualSpacing/>
        <w:jc w:val="both"/>
        <w:rPr>
          <w:rFonts w:ascii="Gadugi" w:eastAsia="Tahoma" w:hAnsi="Gadugi" w:cs="Tahoma"/>
          <w:color w:val="000000"/>
          <w:sz w:val="24"/>
          <w:szCs w:val="24"/>
        </w:rPr>
      </w:pPr>
    </w:p>
    <w:p w14:paraId="53BAE70B" w14:textId="7472BC68" w:rsidR="00E158BB" w:rsidRPr="00881636" w:rsidRDefault="00E158BB" w:rsidP="00881636">
      <w:pPr>
        <w:widowControl w:val="0"/>
        <w:spacing w:after="0" w:line="276" w:lineRule="auto"/>
        <w:ind w:right="20" w:firstLine="2835"/>
        <w:jc w:val="both"/>
        <w:rPr>
          <w:rFonts w:ascii="Gadugi" w:eastAsia="Times New Roman" w:hAnsi="Gadugi" w:cs="Arial"/>
          <w:bCs/>
          <w:iCs/>
          <w:sz w:val="24"/>
          <w:szCs w:val="24"/>
          <w:lang w:eastAsia="es-ES"/>
        </w:rPr>
      </w:pPr>
      <w:r w:rsidRPr="00881636">
        <w:rPr>
          <w:rFonts w:ascii="Gadugi" w:eastAsia="Segoe UI" w:hAnsi="Gadugi" w:cs="Segoe UI"/>
          <w:bCs/>
          <w:sz w:val="24"/>
          <w:szCs w:val="24"/>
        </w:rPr>
        <w:t xml:space="preserve">De esta decisión, infórmese </w:t>
      </w:r>
      <w:r w:rsidR="00CA6B48" w:rsidRPr="00881636">
        <w:rPr>
          <w:rFonts w:ascii="Gadugi" w:eastAsia="Segoe UI" w:hAnsi="Gadugi" w:cs="Segoe UI"/>
          <w:bCs/>
          <w:sz w:val="24"/>
          <w:szCs w:val="24"/>
        </w:rPr>
        <w:t>al Despacho 002 de la Sala Civil Familia del Tribual Superior de Pereira</w:t>
      </w:r>
      <w:r w:rsidR="00220060" w:rsidRPr="00881636">
        <w:rPr>
          <w:rFonts w:ascii="Gadugi" w:eastAsia="Segoe UI" w:hAnsi="Gadugi" w:cs="Segoe UI"/>
          <w:bCs/>
          <w:sz w:val="24"/>
          <w:szCs w:val="24"/>
        </w:rPr>
        <w:t>.</w:t>
      </w:r>
      <w:r w:rsidR="00617F9A" w:rsidRPr="00881636">
        <w:rPr>
          <w:rFonts w:ascii="Gadugi" w:eastAsia="Segoe UI" w:hAnsi="Gadugi" w:cs="Segoe UI"/>
          <w:bCs/>
          <w:sz w:val="24"/>
          <w:szCs w:val="24"/>
        </w:rPr>
        <w:t xml:space="preserve"> </w:t>
      </w:r>
      <w:r w:rsidRPr="00881636">
        <w:rPr>
          <w:rFonts w:ascii="Gadugi" w:eastAsia="Times New Roman" w:hAnsi="Gadugi" w:cs="Arial"/>
          <w:bCs/>
          <w:iCs/>
          <w:sz w:val="24"/>
          <w:szCs w:val="24"/>
          <w:lang w:eastAsia="es-ES"/>
        </w:rPr>
        <w:t>Notifíquese la decisión a las partes en la forma prevista en el artículo 5º del Decreto 306 de 1992.</w:t>
      </w:r>
    </w:p>
    <w:p w14:paraId="443E813D" w14:textId="77777777" w:rsidR="00E158BB" w:rsidRPr="00881636" w:rsidRDefault="00E158BB" w:rsidP="00881636">
      <w:pPr>
        <w:spacing w:after="0" w:line="276" w:lineRule="auto"/>
        <w:contextualSpacing/>
        <w:jc w:val="both"/>
        <w:rPr>
          <w:rFonts w:ascii="Gadugi" w:eastAsia="Times New Roman" w:hAnsi="Gadugi" w:cs="Arial"/>
          <w:bCs/>
          <w:iCs/>
          <w:sz w:val="24"/>
          <w:szCs w:val="24"/>
          <w:lang w:eastAsia="es-ES"/>
        </w:rPr>
      </w:pPr>
    </w:p>
    <w:p w14:paraId="3155E66B" w14:textId="1E230587" w:rsidR="00473B4A" w:rsidRPr="00881636" w:rsidRDefault="00935E64" w:rsidP="00881636">
      <w:pPr>
        <w:spacing w:after="0" w:line="276" w:lineRule="auto"/>
        <w:ind w:firstLine="2880"/>
        <w:contextualSpacing/>
        <w:jc w:val="both"/>
        <w:rPr>
          <w:rFonts w:ascii="Gadugi" w:eastAsia="Times New Roman" w:hAnsi="Gadugi" w:cs="Arial"/>
          <w:iCs/>
          <w:sz w:val="24"/>
          <w:szCs w:val="24"/>
          <w:lang w:eastAsia="es-ES"/>
        </w:rPr>
      </w:pPr>
      <w:r w:rsidRPr="00881636">
        <w:rPr>
          <w:rFonts w:ascii="Gadugi" w:eastAsia="Times New Roman" w:hAnsi="Gadugi" w:cs="Arial"/>
          <w:iCs/>
          <w:sz w:val="24"/>
          <w:szCs w:val="24"/>
          <w:lang w:eastAsia="es-ES"/>
        </w:rPr>
        <w:t>Los</w:t>
      </w:r>
      <w:r w:rsidR="005545BE" w:rsidRPr="00881636">
        <w:rPr>
          <w:rFonts w:ascii="Gadugi" w:eastAsia="Times New Roman" w:hAnsi="Gadugi" w:cs="Arial"/>
          <w:iCs/>
          <w:sz w:val="24"/>
          <w:szCs w:val="24"/>
          <w:lang w:eastAsia="es-ES"/>
        </w:rPr>
        <w:t xml:space="preserve"> </w:t>
      </w:r>
      <w:r w:rsidR="00473B4A" w:rsidRPr="00881636">
        <w:rPr>
          <w:rFonts w:ascii="Gadugi" w:eastAsia="Times New Roman" w:hAnsi="Gadugi" w:cs="Arial"/>
          <w:iCs/>
          <w:sz w:val="24"/>
          <w:szCs w:val="24"/>
          <w:lang w:eastAsia="es-ES"/>
        </w:rPr>
        <w:t>Magistrado</w:t>
      </w:r>
      <w:r w:rsidRPr="00881636">
        <w:rPr>
          <w:rFonts w:ascii="Gadugi" w:eastAsia="Times New Roman" w:hAnsi="Gadugi" w:cs="Arial"/>
          <w:iCs/>
          <w:sz w:val="24"/>
          <w:szCs w:val="24"/>
          <w:lang w:eastAsia="es-ES"/>
        </w:rPr>
        <w:t>s</w:t>
      </w:r>
      <w:r w:rsidR="00473B4A" w:rsidRPr="00881636">
        <w:rPr>
          <w:rFonts w:ascii="Gadugi" w:eastAsia="Times New Roman" w:hAnsi="Gadugi" w:cs="Arial"/>
          <w:iCs/>
          <w:sz w:val="24"/>
          <w:szCs w:val="24"/>
          <w:lang w:eastAsia="es-ES"/>
        </w:rPr>
        <w:t xml:space="preserve">, </w:t>
      </w:r>
    </w:p>
    <w:p w14:paraId="007D1BC4" w14:textId="77777777" w:rsidR="00473B4A" w:rsidRPr="00881636" w:rsidRDefault="00473B4A" w:rsidP="00881636">
      <w:pPr>
        <w:spacing w:after="0" w:line="276" w:lineRule="auto"/>
        <w:ind w:firstLine="2880"/>
        <w:contextualSpacing/>
        <w:jc w:val="both"/>
        <w:rPr>
          <w:rFonts w:ascii="Gadugi" w:eastAsia="Times New Roman" w:hAnsi="Gadugi" w:cs="Arial"/>
          <w:b/>
          <w:bCs/>
          <w:sz w:val="24"/>
          <w:szCs w:val="24"/>
          <w:lang w:eastAsia="es-ES"/>
        </w:rPr>
      </w:pPr>
    </w:p>
    <w:p w14:paraId="5A9EE19A" w14:textId="70B2E67A" w:rsidR="00E85B58" w:rsidRPr="00881636" w:rsidRDefault="00E85B58" w:rsidP="00881636">
      <w:pPr>
        <w:spacing w:after="0" w:line="276" w:lineRule="auto"/>
        <w:ind w:firstLine="2880"/>
        <w:contextualSpacing/>
        <w:jc w:val="both"/>
        <w:rPr>
          <w:rFonts w:ascii="Gadugi" w:eastAsia="Times New Roman" w:hAnsi="Gadugi" w:cs="Arial"/>
          <w:b/>
          <w:bCs/>
          <w:sz w:val="24"/>
          <w:szCs w:val="24"/>
          <w:lang w:eastAsia="es-ES"/>
        </w:rPr>
      </w:pPr>
    </w:p>
    <w:p w14:paraId="21BCD611" w14:textId="4097C690" w:rsidR="00566677" w:rsidRPr="00881636" w:rsidRDefault="00473B4A" w:rsidP="00881636">
      <w:pPr>
        <w:spacing w:after="0" w:line="276" w:lineRule="auto"/>
        <w:ind w:firstLine="2880"/>
        <w:contextualSpacing/>
        <w:jc w:val="both"/>
        <w:rPr>
          <w:rFonts w:ascii="Gadugi" w:eastAsia="Times New Roman" w:hAnsi="Gadugi" w:cs="Arial"/>
          <w:b/>
          <w:bCs/>
          <w:iCs/>
          <w:sz w:val="24"/>
          <w:szCs w:val="24"/>
          <w:lang w:eastAsia="es-ES"/>
        </w:rPr>
      </w:pPr>
      <w:r w:rsidRPr="00881636">
        <w:rPr>
          <w:rFonts w:ascii="Gadugi" w:eastAsia="Times New Roman" w:hAnsi="Gadugi" w:cs="Arial"/>
          <w:b/>
          <w:bCs/>
          <w:iCs/>
          <w:sz w:val="24"/>
          <w:szCs w:val="24"/>
          <w:lang w:eastAsia="es-ES"/>
        </w:rPr>
        <w:t>JAIME ALBERTO SARAZA NARANJO</w:t>
      </w:r>
    </w:p>
    <w:p w14:paraId="19A956D6" w14:textId="14C98C89" w:rsidR="00935E64" w:rsidRPr="00881636" w:rsidRDefault="00935E64" w:rsidP="00881636">
      <w:pPr>
        <w:spacing w:after="0" w:line="276" w:lineRule="auto"/>
        <w:ind w:firstLine="2880"/>
        <w:contextualSpacing/>
        <w:jc w:val="both"/>
        <w:rPr>
          <w:rFonts w:ascii="Gadugi" w:eastAsia="Times New Roman" w:hAnsi="Gadugi" w:cs="Arial"/>
          <w:b/>
          <w:bCs/>
          <w:iCs/>
          <w:sz w:val="24"/>
          <w:szCs w:val="24"/>
          <w:lang w:eastAsia="es-ES"/>
        </w:rPr>
      </w:pPr>
    </w:p>
    <w:p w14:paraId="1321330C" w14:textId="77777777" w:rsidR="006E608A" w:rsidRPr="00881636" w:rsidRDefault="006E608A" w:rsidP="00881636">
      <w:pPr>
        <w:spacing w:after="0" w:line="276" w:lineRule="auto"/>
        <w:ind w:firstLine="2880"/>
        <w:contextualSpacing/>
        <w:jc w:val="both"/>
        <w:rPr>
          <w:rFonts w:ascii="Gadugi" w:eastAsia="Times New Roman" w:hAnsi="Gadugi" w:cs="Arial"/>
          <w:b/>
          <w:bCs/>
          <w:iCs/>
          <w:sz w:val="24"/>
          <w:szCs w:val="24"/>
          <w:lang w:eastAsia="es-ES"/>
        </w:rPr>
      </w:pPr>
    </w:p>
    <w:p w14:paraId="73685441" w14:textId="499246D6" w:rsidR="00935E64" w:rsidRPr="00881636" w:rsidRDefault="00935E64" w:rsidP="00881636">
      <w:pPr>
        <w:spacing w:after="0" w:line="276" w:lineRule="auto"/>
        <w:ind w:firstLine="2880"/>
        <w:contextualSpacing/>
        <w:jc w:val="both"/>
        <w:rPr>
          <w:rFonts w:ascii="Gadugi" w:eastAsia="Times New Roman" w:hAnsi="Gadugi" w:cs="Arial"/>
          <w:b/>
          <w:bCs/>
          <w:sz w:val="24"/>
          <w:szCs w:val="24"/>
          <w:lang w:eastAsia="es-ES"/>
        </w:rPr>
      </w:pPr>
      <w:r w:rsidRPr="00881636">
        <w:rPr>
          <w:rFonts w:ascii="Gadugi" w:eastAsia="Times New Roman" w:hAnsi="Gadugi" w:cs="Arial"/>
          <w:b/>
          <w:bCs/>
          <w:sz w:val="24"/>
          <w:szCs w:val="24"/>
          <w:lang w:eastAsia="es-ES"/>
        </w:rPr>
        <w:t>JULIO CÉSAR SALAZAR MUÑOZ</w:t>
      </w:r>
    </w:p>
    <w:p w14:paraId="0BB46B91" w14:textId="7BB00D93" w:rsidR="00935E64" w:rsidRPr="00881636" w:rsidRDefault="00935E64" w:rsidP="00881636">
      <w:pPr>
        <w:spacing w:after="0" w:line="276" w:lineRule="auto"/>
        <w:ind w:firstLine="2880"/>
        <w:contextualSpacing/>
        <w:jc w:val="both"/>
        <w:rPr>
          <w:rFonts w:ascii="Gadugi" w:eastAsia="Times New Roman" w:hAnsi="Gadugi" w:cs="Arial"/>
          <w:b/>
          <w:bCs/>
          <w:iCs/>
          <w:sz w:val="24"/>
          <w:szCs w:val="24"/>
          <w:lang w:eastAsia="es-ES"/>
        </w:rPr>
      </w:pPr>
    </w:p>
    <w:p w14:paraId="2C05C5C7" w14:textId="77777777" w:rsidR="006E608A" w:rsidRPr="00881636" w:rsidRDefault="006E608A" w:rsidP="00881636">
      <w:pPr>
        <w:spacing w:after="0" w:line="276" w:lineRule="auto"/>
        <w:ind w:firstLine="2880"/>
        <w:contextualSpacing/>
        <w:jc w:val="both"/>
        <w:rPr>
          <w:rFonts w:ascii="Gadugi" w:eastAsia="Times New Roman" w:hAnsi="Gadugi" w:cs="Arial"/>
          <w:b/>
          <w:bCs/>
          <w:iCs/>
          <w:sz w:val="24"/>
          <w:szCs w:val="24"/>
          <w:lang w:eastAsia="es-ES"/>
        </w:rPr>
      </w:pPr>
    </w:p>
    <w:p w14:paraId="4DC0299F" w14:textId="7634CA08" w:rsidR="00935E64" w:rsidRPr="00881636" w:rsidRDefault="00935E64" w:rsidP="00881636">
      <w:pPr>
        <w:spacing w:after="0" w:line="276" w:lineRule="auto"/>
        <w:ind w:firstLine="2880"/>
        <w:contextualSpacing/>
        <w:jc w:val="both"/>
        <w:rPr>
          <w:rFonts w:ascii="Gadugi" w:eastAsia="Times New Roman" w:hAnsi="Gadugi" w:cs="Arial"/>
          <w:b/>
          <w:bCs/>
          <w:iCs/>
          <w:sz w:val="24"/>
          <w:szCs w:val="24"/>
          <w:lang w:eastAsia="es-ES"/>
        </w:rPr>
      </w:pPr>
      <w:r w:rsidRPr="00881636">
        <w:rPr>
          <w:rFonts w:ascii="Gadugi" w:eastAsia="Times New Roman" w:hAnsi="Gadugi" w:cs="Arial"/>
          <w:b/>
          <w:bCs/>
          <w:iCs/>
          <w:sz w:val="24"/>
          <w:szCs w:val="24"/>
          <w:lang w:eastAsia="es-ES"/>
        </w:rPr>
        <w:t>JULIÁN RIVERA LOAIZA</w:t>
      </w:r>
    </w:p>
    <w:sectPr w:rsidR="00935E64" w:rsidRPr="00881636" w:rsidSect="006E608A">
      <w:headerReference w:type="default" r:id="rId10"/>
      <w:footerReference w:type="default" r:id="rId11"/>
      <w:pgSz w:w="12242" w:h="18722" w:code="258"/>
      <w:pgMar w:top="1871" w:right="1304" w:bottom="1304" w:left="1871" w:header="567" w:footer="567"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43F6BC" w16cex:dateUtc="2022-01-18T00:48:44.6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C3C1" w14:textId="77777777" w:rsidR="00E60BA8" w:rsidRDefault="00E60BA8" w:rsidP="00E158BB">
      <w:pPr>
        <w:spacing w:after="0" w:line="240" w:lineRule="auto"/>
      </w:pPr>
      <w:r>
        <w:separator/>
      </w:r>
    </w:p>
  </w:endnote>
  <w:endnote w:type="continuationSeparator" w:id="0">
    <w:p w14:paraId="0AEEA481" w14:textId="77777777" w:rsidR="00E60BA8" w:rsidRDefault="00E60BA8" w:rsidP="00E1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1D4A" w14:textId="0F7120AE" w:rsidR="00D13A5B" w:rsidRDefault="00E80CAC" w:rsidP="00D13A5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79D2">
      <w:rPr>
        <w:rStyle w:val="Nmerodepgina"/>
        <w:noProof/>
      </w:rPr>
      <w:t>2</w:t>
    </w:r>
    <w:r>
      <w:rPr>
        <w:rStyle w:val="Nmerodepgina"/>
      </w:rPr>
      <w:fldChar w:fldCharType="end"/>
    </w:r>
  </w:p>
  <w:p w14:paraId="10BF6CB0" w14:textId="77777777" w:rsidR="00D13A5B" w:rsidRDefault="00D13A5B" w:rsidP="00D13A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5192" w14:textId="77777777" w:rsidR="00E60BA8" w:rsidRDefault="00E60BA8" w:rsidP="00E158BB">
      <w:pPr>
        <w:spacing w:after="0" w:line="240" w:lineRule="auto"/>
      </w:pPr>
      <w:r>
        <w:separator/>
      </w:r>
    </w:p>
  </w:footnote>
  <w:footnote w:type="continuationSeparator" w:id="0">
    <w:p w14:paraId="07747A6B" w14:textId="77777777" w:rsidR="00E60BA8" w:rsidRDefault="00E60BA8" w:rsidP="00E158BB">
      <w:pPr>
        <w:spacing w:after="0" w:line="240" w:lineRule="auto"/>
      </w:pPr>
      <w:r>
        <w:continuationSeparator/>
      </w:r>
    </w:p>
  </w:footnote>
  <w:footnote w:id="1">
    <w:p w14:paraId="724586FA" w14:textId="381C2C7B" w:rsidR="00AB22D2" w:rsidRPr="00881636" w:rsidRDefault="00AB22D2" w:rsidP="00881636">
      <w:pPr>
        <w:pStyle w:val="Textonotapie"/>
        <w:jc w:val="both"/>
        <w:rPr>
          <w:rFonts w:ascii="Century" w:hAnsi="Century"/>
          <w:sz w:val="18"/>
          <w:szCs w:val="24"/>
          <w:lang w:val="es-CO"/>
        </w:rPr>
      </w:pPr>
      <w:r w:rsidRPr="00881636">
        <w:rPr>
          <w:rStyle w:val="Refdenotaalpie"/>
          <w:rFonts w:ascii="Century" w:hAnsi="Century"/>
          <w:sz w:val="18"/>
          <w:szCs w:val="24"/>
        </w:rPr>
        <w:footnoteRef/>
      </w:r>
      <w:r w:rsidRPr="00881636">
        <w:rPr>
          <w:rFonts w:ascii="Century" w:hAnsi="Century"/>
          <w:sz w:val="18"/>
          <w:szCs w:val="24"/>
        </w:rPr>
        <w:t xml:space="preserve"> </w:t>
      </w:r>
      <w:r w:rsidRPr="00881636">
        <w:rPr>
          <w:rFonts w:ascii="Century" w:hAnsi="Century"/>
          <w:sz w:val="18"/>
          <w:szCs w:val="24"/>
          <w:lang w:val="es-CO"/>
        </w:rPr>
        <w:t>Documento 02.</w:t>
      </w:r>
    </w:p>
  </w:footnote>
  <w:footnote w:id="2">
    <w:p w14:paraId="24C3CF1D" w14:textId="7F0BB160" w:rsidR="00AB22D2" w:rsidRPr="00881636" w:rsidRDefault="00AB22D2" w:rsidP="00881636">
      <w:pPr>
        <w:pStyle w:val="Textonotapie"/>
        <w:jc w:val="both"/>
        <w:rPr>
          <w:rFonts w:ascii="Century" w:hAnsi="Century"/>
          <w:sz w:val="18"/>
          <w:szCs w:val="24"/>
          <w:lang w:val="es-CO"/>
        </w:rPr>
      </w:pPr>
      <w:r w:rsidRPr="00881636">
        <w:rPr>
          <w:rStyle w:val="Refdenotaalpie"/>
          <w:rFonts w:ascii="Century" w:hAnsi="Century"/>
          <w:sz w:val="18"/>
          <w:szCs w:val="24"/>
        </w:rPr>
        <w:footnoteRef/>
      </w:r>
      <w:r w:rsidRPr="00881636">
        <w:rPr>
          <w:rFonts w:ascii="Century" w:hAnsi="Century"/>
          <w:sz w:val="18"/>
          <w:szCs w:val="24"/>
        </w:rPr>
        <w:t xml:space="preserve"> </w:t>
      </w:r>
      <w:r w:rsidRPr="00881636">
        <w:rPr>
          <w:rFonts w:ascii="Century" w:hAnsi="Century"/>
          <w:sz w:val="18"/>
          <w:szCs w:val="24"/>
          <w:lang w:val="es-CO"/>
        </w:rPr>
        <w:t>Documento 08.</w:t>
      </w:r>
    </w:p>
  </w:footnote>
  <w:footnote w:id="3">
    <w:p w14:paraId="4655F68B" w14:textId="2485EB83" w:rsidR="00AB22D2" w:rsidRPr="00881636" w:rsidRDefault="00AB22D2" w:rsidP="00881636">
      <w:pPr>
        <w:pStyle w:val="Textonotapie"/>
        <w:jc w:val="both"/>
        <w:rPr>
          <w:rFonts w:ascii="Century" w:hAnsi="Century"/>
          <w:sz w:val="18"/>
          <w:szCs w:val="24"/>
          <w:lang w:val="es-CO"/>
        </w:rPr>
      </w:pPr>
      <w:r w:rsidRPr="00881636">
        <w:rPr>
          <w:rStyle w:val="Refdenotaalpie"/>
          <w:rFonts w:ascii="Century" w:hAnsi="Century"/>
          <w:sz w:val="18"/>
          <w:szCs w:val="24"/>
        </w:rPr>
        <w:footnoteRef/>
      </w:r>
      <w:r w:rsidRPr="00881636">
        <w:rPr>
          <w:rFonts w:ascii="Century" w:hAnsi="Century"/>
          <w:sz w:val="18"/>
          <w:szCs w:val="24"/>
        </w:rPr>
        <w:t xml:space="preserve"> </w:t>
      </w:r>
      <w:r w:rsidRPr="00881636">
        <w:rPr>
          <w:rFonts w:ascii="Century" w:hAnsi="Century"/>
          <w:sz w:val="18"/>
          <w:szCs w:val="24"/>
          <w:lang w:val="es-CO"/>
        </w:rPr>
        <w:t>Documento 14.</w:t>
      </w:r>
    </w:p>
  </w:footnote>
  <w:footnote w:id="4">
    <w:p w14:paraId="2CC1FCBD" w14:textId="2089A5E0" w:rsidR="00AA5CCF" w:rsidRPr="00881636" w:rsidRDefault="00AA5CCF" w:rsidP="00881636">
      <w:pPr>
        <w:pStyle w:val="Textonotapie"/>
        <w:jc w:val="both"/>
        <w:rPr>
          <w:rFonts w:ascii="Century" w:hAnsi="Century"/>
          <w:sz w:val="18"/>
          <w:szCs w:val="24"/>
          <w:lang w:val="es-CO"/>
        </w:rPr>
      </w:pPr>
      <w:r w:rsidRPr="00881636">
        <w:rPr>
          <w:rStyle w:val="Refdenotaalpie"/>
          <w:rFonts w:ascii="Century" w:hAnsi="Century"/>
          <w:sz w:val="18"/>
          <w:szCs w:val="24"/>
        </w:rPr>
        <w:footnoteRef/>
      </w:r>
      <w:r w:rsidRPr="00881636">
        <w:rPr>
          <w:rFonts w:ascii="Century" w:hAnsi="Century"/>
          <w:sz w:val="18"/>
          <w:szCs w:val="24"/>
        </w:rPr>
        <w:t xml:space="preserve"> LUIS ARMANDO TOLOSA VILLABONA, Magistrado ponente, ATC1275-2018, Radicación </w:t>
      </w:r>
      <w:proofErr w:type="spellStart"/>
      <w:r w:rsidRPr="00881636">
        <w:rPr>
          <w:rFonts w:ascii="Century" w:hAnsi="Century"/>
          <w:sz w:val="18"/>
          <w:szCs w:val="24"/>
        </w:rPr>
        <w:t>n.°</w:t>
      </w:r>
      <w:proofErr w:type="spellEnd"/>
      <w:r w:rsidRPr="00881636">
        <w:rPr>
          <w:rFonts w:ascii="Century" w:hAnsi="Century"/>
          <w:sz w:val="18"/>
          <w:szCs w:val="24"/>
        </w:rPr>
        <w:t xml:space="preserve"> 66001-22-13-000-2018-00210-01, Bogotá, D. C., veintiuno (21) de junio de dos mil dieciocho (2018).</w:t>
      </w:r>
    </w:p>
  </w:footnote>
  <w:footnote w:id="5">
    <w:p w14:paraId="059C6055" w14:textId="09EED637" w:rsidR="00DC637D" w:rsidRPr="00881636" w:rsidRDefault="00DC637D" w:rsidP="00881636">
      <w:pPr>
        <w:pStyle w:val="Textonotapie"/>
        <w:jc w:val="both"/>
        <w:rPr>
          <w:rFonts w:ascii="Century" w:hAnsi="Century"/>
          <w:sz w:val="18"/>
          <w:szCs w:val="24"/>
          <w:lang w:val="es-CO"/>
        </w:rPr>
      </w:pPr>
      <w:r w:rsidRPr="00881636">
        <w:rPr>
          <w:rStyle w:val="Refdenotaalpie"/>
          <w:rFonts w:ascii="Century" w:hAnsi="Century"/>
          <w:sz w:val="18"/>
          <w:szCs w:val="24"/>
        </w:rPr>
        <w:footnoteRef/>
      </w:r>
      <w:r w:rsidRPr="00881636">
        <w:rPr>
          <w:rFonts w:ascii="Century" w:hAnsi="Century"/>
          <w:sz w:val="18"/>
          <w:szCs w:val="24"/>
        </w:rPr>
        <w:t xml:space="preserve"> </w:t>
      </w:r>
      <w:r w:rsidRPr="00881636">
        <w:rPr>
          <w:rFonts w:ascii="Century" w:hAnsi="Century"/>
          <w:sz w:val="18"/>
          <w:szCs w:val="24"/>
          <w:lang w:val="es-CO"/>
        </w:rPr>
        <w:t>También puede leerse el auto ATC1194-2020.</w:t>
      </w:r>
    </w:p>
  </w:footnote>
  <w:footnote w:id="6">
    <w:p w14:paraId="562A4F27" w14:textId="7FAC49B0" w:rsidR="00AA5CCF" w:rsidRPr="00ED6CF3" w:rsidRDefault="00AA5CCF" w:rsidP="00881636">
      <w:pPr>
        <w:pStyle w:val="Textonotapie"/>
        <w:jc w:val="both"/>
        <w:rPr>
          <w:sz w:val="24"/>
          <w:szCs w:val="24"/>
          <w:lang w:val="es-CO"/>
        </w:rPr>
      </w:pPr>
      <w:r w:rsidRPr="00881636">
        <w:rPr>
          <w:rStyle w:val="Refdenotaalpie"/>
          <w:rFonts w:ascii="Century" w:hAnsi="Century"/>
          <w:sz w:val="18"/>
          <w:szCs w:val="24"/>
        </w:rPr>
        <w:footnoteRef/>
      </w:r>
      <w:r w:rsidRPr="00881636">
        <w:rPr>
          <w:rFonts w:ascii="Century" w:hAnsi="Century"/>
          <w:sz w:val="18"/>
          <w:szCs w:val="24"/>
        </w:rPr>
        <w:t xml:space="preserve"> </w:t>
      </w:r>
      <w:r w:rsidR="00DC637D" w:rsidRPr="00881636">
        <w:rPr>
          <w:rFonts w:ascii="Century" w:hAnsi="Century"/>
          <w:sz w:val="18"/>
          <w:szCs w:val="24"/>
        </w:rPr>
        <w:t>CSJ. ATC aprobado en Sala de 21 de marzo de 2018, Rad. 50001-22-13-000-2018-00031-01.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9E7F" w14:textId="77777777" w:rsidR="00D13A5B" w:rsidRDefault="00D13A5B">
    <w:pPr>
      <w:pStyle w:val="Encabezado"/>
    </w:pPr>
  </w:p>
  <w:p w14:paraId="127E4652" w14:textId="77777777" w:rsidR="00D13A5B" w:rsidRDefault="00D13A5B">
    <w:pPr>
      <w:pStyle w:val="Encabezado"/>
      <w:framePr w:wrap="auto" w:vAnchor="text" w:hAnchor="page" w:x="6481" w:y="67"/>
      <w:rPr>
        <w:rStyle w:val="Nmerodepgina"/>
      </w:rPr>
    </w:pPr>
  </w:p>
  <w:p w14:paraId="115C7A54" w14:textId="77777777" w:rsidR="00D13A5B" w:rsidRPr="00FB6324" w:rsidRDefault="00D13A5B" w:rsidP="00D13A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BB"/>
    <w:rsid w:val="00030A45"/>
    <w:rsid w:val="0005421B"/>
    <w:rsid w:val="00060DE8"/>
    <w:rsid w:val="000664C8"/>
    <w:rsid w:val="00071A5F"/>
    <w:rsid w:val="00083A0A"/>
    <w:rsid w:val="000C7775"/>
    <w:rsid w:val="000F6DF7"/>
    <w:rsid w:val="00120960"/>
    <w:rsid w:val="001A45C4"/>
    <w:rsid w:val="001C4EDB"/>
    <w:rsid w:val="00220060"/>
    <w:rsid w:val="00232A65"/>
    <w:rsid w:val="00242EA3"/>
    <w:rsid w:val="002675E0"/>
    <w:rsid w:val="002B216D"/>
    <w:rsid w:val="002C045F"/>
    <w:rsid w:val="00313079"/>
    <w:rsid w:val="00315E60"/>
    <w:rsid w:val="00316FA0"/>
    <w:rsid w:val="00324E5A"/>
    <w:rsid w:val="003A23A0"/>
    <w:rsid w:val="00410420"/>
    <w:rsid w:val="00453BBE"/>
    <w:rsid w:val="00473B4A"/>
    <w:rsid w:val="00480E3C"/>
    <w:rsid w:val="004A38FF"/>
    <w:rsid w:val="004A5B7B"/>
    <w:rsid w:val="004E047F"/>
    <w:rsid w:val="0052195F"/>
    <w:rsid w:val="005545BE"/>
    <w:rsid w:val="00566677"/>
    <w:rsid w:val="005779D2"/>
    <w:rsid w:val="005A65A4"/>
    <w:rsid w:val="005B3457"/>
    <w:rsid w:val="005B43C2"/>
    <w:rsid w:val="005F5093"/>
    <w:rsid w:val="00617F9A"/>
    <w:rsid w:val="00640CA2"/>
    <w:rsid w:val="0065389F"/>
    <w:rsid w:val="006E46FF"/>
    <w:rsid w:val="006E608A"/>
    <w:rsid w:val="0071300C"/>
    <w:rsid w:val="00715874"/>
    <w:rsid w:val="007A6C48"/>
    <w:rsid w:val="0080354C"/>
    <w:rsid w:val="00850ABB"/>
    <w:rsid w:val="00874053"/>
    <w:rsid w:val="00881636"/>
    <w:rsid w:val="0088655D"/>
    <w:rsid w:val="008D6A9A"/>
    <w:rsid w:val="008F1D5E"/>
    <w:rsid w:val="008F225F"/>
    <w:rsid w:val="008F3DCA"/>
    <w:rsid w:val="0093139E"/>
    <w:rsid w:val="00935E64"/>
    <w:rsid w:val="009D668C"/>
    <w:rsid w:val="009E261A"/>
    <w:rsid w:val="00A30946"/>
    <w:rsid w:val="00A47D81"/>
    <w:rsid w:val="00A85A85"/>
    <w:rsid w:val="00A92908"/>
    <w:rsid w:val="00AA5CCF"/>
    <w:rsid w:val="00AB22D2"/>
    <w:rsid w:val="00B72261"/>
    <w:rsid w:val="00B7304D"/>
    <w:rsid w:val="00B90625"/>
    <w:rsid w:val="00BC1C42"/>
    <w:rsid w:val="00BE6DBB"/>
    <w:rsid w:val="00C2135B"/>
    <w:rsid w:val="00C35A57"/>
    <w:rsid w:val="00C51E83"/>
    <w:rsid w:val="00C81034"/>
    <w:rsid w:val="00C85F7B"/>
    <w:rsid w:val="00CA6B48"/>
    <w:rsid w:val="00CD171F"/>
    <w:rsid w:val="00CE3CF7"/>
    <w:rsid w:val="00D06F57"/>
    <w:rsid w:val="00D13A5B"/>
    <w:rsid w:val="00D1562D"/>
    <w:rsid w:val="00D35234"/>
    <w:rsid w:val="00DC637D"/>
    <w:rsid w:val="00DE4875"/>
    <w:rsid w:val="00E13C33"/>
    <w:rsid w:val="00E158BB"/>
    <w:rsid w:val="00E32A0A"/>
    <w:rsid w:val="00E60BA8"/>
    <w:rsid w:val="00E77239"/>
    <w:rsid w:val="00E80CAC"/>
    <w:rsid w:val="00E85B58"/>
    <w:rsid w:val="00E9711A"/>
    <w:rsid w:val="00EB37A9"/>
    <w:rsid w:val="00EB620E"/>
    <w:rsid w:val="00EC797A"/>
    <w:rsid w:val="00ED6CF3"/>
    <w:rsid w:val="00F016BA"/>
    <w:rsid w:val="00F8538D"/>
    <w:rsid w:val="00FB6A8D"/>
    <w:rsid w:val="00FC6C05"/>
    <w:rsid w:val="00FF3C4D"/>
    <w:rsid w:val="056BD099"/>
    <w:rsid w:val="3DEA35DA"/>
    <w:rsid w:val="50A78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118E"/>
  <w15:chartTrackingRefBased/>
  <w15:docId w15:val="{1D190642-EA88-4046-834B-E8A40E34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8BB"/>
    <w:pPr>
      <w:spacing w:after="160" w:line="259" w:lineRule="auto"/>
    </w:pPr>
    <w:rPr>
      <w:rFonts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8BB"/>
    <w:pPr>
      <w:tabs>
        <w:tab w:val="center" w:pos="4252"/>
        <w:tab w:val="right" w:pos="8504"/>
      </w:tabs>
      <w:spacing w:after="0" w:line="240" w:lineRule="auto"/>
    </w:pPr>
  </w:style>
  <w:style w:type="character" w:customStyle="1" w:styleId="EncabezadoCar">
    <w:name w:val="Encabezado Car"/>
    <w:link w:val="Encabezado"/>
    <w:uiPriority w:val="99"/>
    <w:rsid w:val="00E158BB"/>
    <w:rPr>
      <w:rFonts w:ascii="Calibri" w:eastAsia="Calibri" w:hAnsi="Calibri" w:cs="Times New Roman"/>
    </w:rPr>
  </w:style>
  <w:style w:type="paragraph" w:styleId="Textonotapie">
    <w:name w:val="footnote text"/>
    <w:basedOn w:val="Normal"/>
    <w:link w:val="TextonotapieCar"/>
    <w:uiPriority w:val="99"/>
    <w:unhideWhenUsed/>
    <w:rsid w:val="00E158BB"/>
    <w:pPr>
      <w:spacing w:after="0" w:line="240" w:lineRule="auto"/>
    </w:pPr>
    <w:rPr>
      <w:sz w:val="20"/>
      <w:szCs w:val="20"/>
    </w:rPr>
  </w:style>
  <w:style w:type="character" w:customStyle="1" w:styleId="TextonotapieCar">
    <w:name w:val="Texto nota pie Car"/>
    <w:link w:val="Textonotapie"/>
    <w:uiPriority w:val="99"/>
    <w:rsid w:val="00E158BB"/>
    <w:rPr>
      <w:rFonts w:ascii="Calibri" w:eastAsia="Calibri" w:hAnsi="Calibri" w:cs="Times New Roman"/>
      <w:sz w:val="20"/>
      <w:szCs w:val="20"/>
    </w:rPr>
  </w:style>
  <w:style w:type="character" w:styleId="Nmerodepgina">
    <w:name w:val="page number"/>
    <w:rsid w:val="00E158BB"/>
  </w:style>
  <w:style w:type="paragraph" w:styleId="Piedepgina">
    <w:name w:val="footer"/>
    <w:basedOn w:val="Normal"/>
    <w:link w:val="PiedepginaCar"/>
    <w:rsid w:val="00E158BB"/>
    <w:pPr>
      <w:tabs>
        <w:tab w:val="center" w:pos="4252"/>
        <w:tab w:val="right" w:pos="8504"/>
      </w:tabs>
      <w:spacing w:after="0" w:line="240" w:lineRule="auto"/>
    </w:pPr>
    <w:rPr>
      <w:rFonts w:ascii="Arial" w:eastAsia="Times New Roman" w:hAnsi="Arial" w:cs="Arial"/>
      <w:color w:val="000000"/>
      <w:lang w:eastAsia="es-ES"/>
    </w:rPr>
  </w:style>
  <w:style w:type="character" w:customStyle="1" w:styleId="PiedepginaCar">
    <w:name w:val="Pie de página Car"/>
    <w:link w:val="Piedepgina"/>
    <w:rsid w:val="00E158BB"/>
    <w:rPr>
      <w:rFonts w:ascii="Arial" w:eastAsia="Times New Roman" w:hAnsi="Arial" w:cs="Arial"/>
      <w:color w:val="000000"/>
      <w:lang w:eastAsia="es-ES"/>
    </w:rPr>
  </w:style>
  <w:style w:type="character" w:styleId="Refdenotaalpie">
    <w:name w:val="footnote reference"/>
    <w:semiHidden/>
    <w:rsid w:val="00E158BB"/>
    <w:rPr>
      <w:vertAlign w:val="superscript"/>
    </w:rPr>
  </w:style>
  <w:style w:type="paragraph" w:styleId="Textodeglobo">
    <w:name w:val="Balloon Text"/>
    <w:basedOn w:val="Normal"/>
    <w:link w:val="TextodegloboCar"/>
    <w:uiPriority w:val="99"/>
    <w:semiHidden/>
    <w:unhideWhenUsed/>
    <w:rsid w:val="00071A5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71A5F"/>
    <w:rPr>
      <w:rFonts w:ascii="Segoe UI" w:hAnsi="Segoe UI" w:cs="Segoe UI"/>
      <w:sz w:val="18"/>
      <w:szCs w:val="18"/>
      <w:lang w:val="es-ES" w:eastAsia="en-US"/>
    </w:rPr>
  </w:style>
  <w:style w:type="paragraph" w:styleId="Prrafodelista">
    <w:name w:val="List Paragraph"/>
    <w:basedOn w:val="Normal"/>
    <w:uiPriority w:val="34"/>
    <w:qFormat/>
    <w:rsid w:val="00C2135B"/>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cs="Times New Roman"/>
      <w:lang w:val="es-ES"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2c9633d373e74c7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D88F860BA6F644A3C5B6863981EF44" ma:contentTypeVersion="2" ma:contentTypeDescription="Crear nuevo documento." ma:contentTypeScope="" ma:versionID="e9666c176048f2d691f7cdea6e5a9591">
  <xsd:schema xmlns:xsd="http://www.w3.org/2001/XMLSchema" xmlns:xs="http://www.w3.org/2001/XMLSchema" xmlns:p="http://schemas.microsoft.com/office/2006/metadata/properties" xmlns:ns2="b71082db-7a97-41b5-86a0-bd07b965da7d" targetNamespace="http://schemas.microsoft.com/office/2006/metadata/properties" ma:root="true" ma:fieldsID="530517c58ec82a6c155310c24e68c54d" ns2:_="">
    <xsd:import namespace="b71082db-7a97-41b5-86a0-bd07b965da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082db-7a97-41b5-86a0-bd07b965d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7306-D068-4531-8A7A-F891E3A7F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082db-7a97-41b5-86a0-bd07b965d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FAB15-BFCD-43C8-8811-576DFF73F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E55CA-A647-475A-8CFF-FB98A09AAA9A}">
  <ds:schemaRefs>
    <ds:schemaRef ds:uri="http://schemas.microsoft.com/sharepoint/v3/contenttype/forms"/>
  </ds:schemaRefs>
</ds:datastoreItem>
</file>

<file path=customXml/itemProps4.xml><?xml version="1.0" encoding="utf-8"?>
<ds:datastoreItem xmlns:ds="http://schemas.openxmlformats.org/officeDocument/2006/customXml" ds:itemID="{976D5B67-1978-4FEC-A9FE-F349C5A6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1300</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Hermides Alonso Gaviria Ocampo</cp:lastModifiedBy>
  <cp:revision>5</cp:revision>
  <cp:lastPrinted>2019-03-14T18:10:00Z</cp:lastPrinted>
  <dcterms:created xsi:type="dcterms:W3CDTF">2022-01-18T16:14:00Z</dcterms:created>
  <dcterms:modified xsi:type="dcterms:W3CDTF">2022-04-11T18:11:00Z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0x01010027D88F860BA6F644A3C5B6863981EF44</vt:lpwstr>
  </property>
</Properties>
</file>