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97B5" w14:textId="77777777" w:rsidR="0088617D" w:rsidRPr="0088617D" w:rsidRDefault="0088617D" w:rsidP="0088617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88617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B8E2FB" w14:textId="77777777" w:rsidR="0088617D" w:rsidRPr="0088617D" w:rsidRDefault="0088617D" w:rsidP="0088617D">
      <w:pPr>
        <w:spacing w:after="0" w:line="240" w:lineRule="auto"/>
        <w:jc w:val="both"/>
        <w:rPr>
          <w:rFonts w:ascii="Arial" w:eastAsia="Times New Roman" w:hAnsi="Arial" w:cs="Arial"/>
          <w:sz w:val="20"/>
          <w:szCs w:val="20"/>
          <w:lang w:val="es-419" w:eastAsia="es-ES"/>
        </w:rPr>
      </w:pPr>
    </w:p>
    <w:p w14:paraId="57188A62" w14:textId="5DFECE80" w:rsidR="0088617D" w:rsidRPr="0088617D" w:rsidRDefault="0088617D" w:rsidP="0088617D">
      <w:pPr>
        <w:spacing w:after="0" w:line="240" w:lineRule="auto"/>
        <w:jc w:val="both"/>
        <w:rPr>
          <w:rFonts w:ascii="Arial" w:eastAsia="Times New Roman" w:hAnsi="Arial" w:cs="Arial"/>
          <w:sz w:val="20"/>
          <w:szCs w:val="20"/>
          <w:lang w:val="es-419" w:eastAsia="es-ES"/>
        </w:rPr>
      </w:pPr>
      <w:r w:rsidRPr="0088617D">
        <w:rPr>
          <w:rFonts w:ascii="Arial" w:eastAsia="Times New Roman" w:hAnsi="Arial" w:cs="Arial"/>
          <w:sz w:val="20"/>
          <w:szCs w:val="20"/>
          <w:lang w:val="es-419" w:eastAsia="es-ES"/>
        </w:rPr>
        <w:t>Expediente:</w:t>
      </w:r>
      <w:r w:rsidRPr="0088617D">
        <w:rPr>
          <w:rFonts w:ascii="Arial" w:eastAsia="Times New Roman" w:hAnsi="Arial" w:cs="Arial"/>
          <w:sz w:val="20"/>
          <w:szCs w:val="20"/>
          <w:lang w:val="es-419" w:eastAsia="es-ES"/>
        </w:rPr>
        <w:tab/>
        <w:t>66001310300220190014301</w:t>
      </w:r>
    </w:p>
    <w:p w14:paraId="6381C6B6" w14:textId="77777777" w:rsidR="0088617D" w:rsidRPr="0088617D" w:rsidRDefault="0088617D" w:rsidP="0088617D">
      <w:pPr>
        <w:spacing w:after="0" w:line="240" w:lineRule="auto"/>
        <w:jc w:val="both"/>
        <w:rPr>
          <w:rFonts w:ascii="Arial" w:eastAsia="Times New Roman" w:hAnsi="Arial" w:cs="Arial"/>
          <w:sz w:val="20"/>
          <w:szCs w:val="20"/>
          <w:lang w:val="es-419" w:eastAsia="es-ES"/>
        </w:rPr>
      </w:pPr>
      <w:r w:rsidRPr="0088617D">
        <w:rPr>
          <w:rFonts w:ascii="Arial" w:eastAsia="Times New Roman" w:hAnsi="Arial" w:cs="Arial"/>
          <w:sz w:val="20"/>
          <w:szCs w:val="20"/>
          <w:lang w:val="es-419" w:eastAsia="es-ES"/>
        </w:rPr>
        <w:t xml:space="preserve">Proceso: </w:t>
      </w:r>
      <w:r w:rsidRPr="0088617D">
        <w:rPr>
          <w:rFonts w:ascii="Arial" w:eastAsia="Times New Roman" w:hAnsi="Arial" w:cs="Arial"/>
          <w:sz w:val="20"/>
          <w:szCs w:val="20"/>
          <w:lang w:val="es-419" w:eastAsia="es-ES"/>
        </w:rPr>
        <w:tab/>
        <w:t>Impugnación de acto de asamblea</w:t>
      </w:r>
    </w:p>
    <w:p w14:paraId="04B130A7" w14:textId="347DF744" w:rsidR="0088617D" w:rsidRPr="0088617D" w:rsidRDefault="0088617D" w:rsidP="0088617D">
      <w:pPr>
        <w:spacing w:after="0" w:line="240" w:lineRule="auto"/>
        <w:jc w:val="both"/>
        <w:rPr>
          <w:rFonts w:ascii="Arial" w:eastAsia="Times New Roman" w:hAnsi="Arial" w:cs="Arial"/>
          <w:sz w:val="20"/>
          <w:szCs w:val="20"/>
          <w:lang w:val="es-419" w:eastAsia="es-ES"/>
        </w:rPr>
      </w:pPr>
      <w:r w:rsidRPr="0088617D">
        <w:rPr>
          <w:rFonts w:ascii="Arial" w:eastAsia="Times New Roman" w:hAnsi="Arial" w:cs="Arial"/>
          <w:sz w:val="20"/>
          <w:szCs w:val="20"/>
          <w:lang w:val="es-419" w:eastAsia="es-ES"/>
        </w:rPr>
        <w:t xml:space="preserve">Demandante: </w:t>
      </w:r>
      <w:r w:rsidRPr="0088617D">
        <w:rPr>
          <w:rFonts w:ascii="Arial" w:eastAsia="Times New Roman" w:hAnsi="Arial" w:cs="Arial"/>
          <w:sz w:val="20"/>
          <w:szCs w:val="20"/>
          <w:lang w:val="es-419" w:eastAsia="es-ES"/>
        </w:rPr>
        <w:tab/>
        <w:t>María Lucero Luna López</w:t>
      </w:r>
    </w:p>
    <w:p w14:paraId="1CA425CD" w14:textId="77777777" w:rsidR="0088617D" w:rsidRPr="0088617D" w:rsidRDefault="0088617D" w:rsidP="0088617D">
      <w:pPr>
        <w:spacing w:after="0" w:line="240" w:lineRule="auto"/>
        <w:jc w:val="both"/>
        <w:rPr>
          <w:rFonts w:ascii="Arial" w:eastAsia="Times New Roman" w:hAnsi="Arial" w:cs="Arial"/>
          <w:sz w:val="20"/>
          <w:szCs w:val="20"/>
          <w:lang w:val="es-419" w:eastAsia="es-ES"/>
        </w:rPr>
      </w:pPr>
      <w:r w:rsidRPr="0088617D">
        <w:rPr>
          <w:rFonts w:ascii="Arial" w:eastAsia="Times New Roman" w:hAnsi="Arial" w:cs="Arial"/>
          <w:sz w:val="20"/>
          <w:szCs w:val="20"/>
          <w:lang w:val="es-419" w:eastAsia="es-ES"/>
        </w:rPr>
        <w:t>Demandada:</w:t>
      </w:r>
      <w:r w:rsidRPr="0088617D">
        <w:rPr>
          <w:rFonts w:ascii="Arial" w:eastAsia="Times New Roman" w:hAnsi="Arial" w:cs="Arial"/>
          <w:sz w:val="20"/>
          <w:szCs w:val="20"/>
          <w:lang w:val="es-419" w:eastAsia="es-ES"/>
        </w:rPr>
        <w:tab/>
        <w:t>Innova Decoración S.A.S.</w:t>
      </w:r>
    </w:p>
    <w:p w14:paraId="27E88410" w14:textId="2744366A" w:rsidR="0088617D" w:rsidRPr="0088617D" w:rsidRDefault="0088617D" w:rsidP="0088617D">
      <w:pPr>
        <w:spacing w:after="0" w:line="240" w:lineRule="auto"/>
        <w:jc w:val="both"/>
        <w:rPr>
          <w:rFonts w:ascii="Arial" w:eastAsia="Times New Roman" w:hAnsi="Arial" w:cs="Arial"/>
          <w:sz w:val="20"/>
          <w:szCs w:val="20"/>
          <w:lang w:val="es-419" w:eastAsia="es-ES"/>
        </w:rPr>
      </w:pPr>
      <w:r w:rsidRPr="0088617D">
        <w:rPr>
          <w:rFonts w:ascii="Arial" w:eastAsia="Times New Roman" w:hAnsi="Arial" w:cs="Arial"/>
          <w:sz w:val="20"/>
          <w:szCs w:val="20"/>
          <w:lang w:val="es-419" w:eastAsia="es-ES"/>
        </w:rPr>
        <w:t>Acta No.</w:t>
      </w:r>
      <w:r w:rsidR="00077588">
        <w:rPr>
          <w:rFonts w:ascii="Arial" w:eastAsia="Times New Roman" w:hAnsi="Arial" w:cs="Arial"/>
          <w:sz w:val="20"/>
          <w:szCs w:val="20"/>
          <w:lang w:val="es-419" w:eastAsia="es-ES"/>
        </w:rPr>
        <w:t>:</w:t>
      </w:r>
      <w:bookmarkStart w:id="2" w:name="_GoBack"/>
      <w:bookmarkEnd w:id="2"/>
      <w:r w:rsidRPr="0088617D">
        <w:rPr>
          <w:rFonts w:ascii="Arial" w:eastAsia="Times New Roman" w:hAnsi="Arial" w:cs="Arial"/>
          <w:sz w:val="20"/>
          <w:szCs w:val="20"/>
          <w:lang w:val="es-419" w:eastAsia="es-ES"/>
        </w:rPr>
        <w:t xml:space="preserve"> </w:t>
      </w:r>
      <w:r w:rsidRPr="0088617D">
        <w:rPr>
          <w:rFonts w:ascii="Arial" w:eastAsia="Times New Roman" w:hAnsi="Arial" w:cs="Arial"/>
          <w:sz w:val="20"/>
          <w:szCs w:val="20"/>
          <w:lang w:val="es-419" w:eastAsia="es-ES"/>
        </w:rPr>
        <w:tab/>
        <w:t>54 del 10 de febrero de 2022</w:t>
      </w:r>
    </w:p>
    <w:p w14:paraId="1E1F1B3A" w14:textId="77777777" w:rsidR="0088617D" w:rsidRPr="0088617D" w:rsidRDefault="0088617D" w:rsidP="0088617D">
      <w:pPr>
        <w:spacing w:after="0" w:line="240" w:lineRule="auto"/>
        <w:jc w:val="both"/>
        <w:rPr>
          <w:rFonts w:ascii="Arial" w:eastAsia="Times New Roman" w:hAnsi="Arial" w:cs="Arial"/>
          <w:sz w:val="20"/>
          <w:szCs w:val="20"/>
          <w:lang w:val="es-419" w:eastAsia="es-ES"/>
        </w:rPr>
      </w:pPr>
    </w:p>
    <w:p w14:paraId="2A644980" w14:textId="4E83E795" w:rsidR="0088617D" w:rsidRPr="0088617D" w:rsidRDefault="0088617D" w:rsidP="0088617D">
      <w:pPr>
        <w:spacing w:after="0" w:line="240" w:lineRule="auto"/>
        <w:jc w:val="both"/>
        <w:rPr>
          <w:rFonts w:ascii="Arial" w:eastAsia="Times New Roman" w:hAnsi="Arial" w:cs="Arial"/>
          <w:b/>
          <w:bCs/>
          <w:iCs/>
          <w:sz w:val="20"/>
          <w:szCs w:val="20"/>
          <w:lang w:val="es-419" w:eastAsia="fr-FR"/>
        </w:rPr>
      </w:pPr>
      <w:r w:rsidRPr="0088617D">
        <w:rPr>
          <w:rFonts w:ascii="Arial" w:eastAsia="Times New Roman" w:hAnsi="Arial" w:cs="Arial"/>
          <w:b/>
          <w:bCs/>
          <w:iCs/>
          <w:sz w:val="20"/>
          <w:szCs w:val="20"/>
          <w:u w:val="single"/>
          <w:lang w:val="es-419" w:eastAsia="fr-FR"/>
        </w:rPr>
        <w:t>TEMAS:</w:t>
      </w:r>
      <w:r w:rsidRPr="0088617D">
        <w:rPr>
          <w:rFonts w:ascii="Arial" w:eastAsia="Times New Roman" w:hAnsi="Arial" w:cs="Arial"/>
          <w:b/>
          <w:bCs/>
          <w:iCs/>
          <w:sz w:val="20"/>
          <w:szCs w:val="20"/>
          <w:lang w:val="es-419" w:eastAsia="fr-FR"/>
        </w:rPr>
        <w:tab/>
      </w:r>
      <w:r w:rsidR="00AB0E97">
        <w:rPr>
          <w:rFonts w:ascii="Arial" w:eastAsia="Times New Roman" w:hAnsi="Arial" w:cs="Arial"/>
          <w:b/>
          <w:bCs/>
          <w:iCs/>
          <w:sz w:val="20"/>
          <w:szCs w:val="20"/>
          <w:lang w:val="es-419" w:eastAsia="fr-FR"/>
        </w:rPr>
        <w:t xml:space="preserve">IMPUGNACIÓN ACTOS DE ASAMBLEA / SOCIEDAD SIMPLIFICADA POR ACCIONES / </w:t>
      </w:r>
      <w:r w:rsidR="004C716A">
        <w:rPr>
          <w:rFonts w:ascii="Arial" w:eastAsia="Times New Roman" w:hAnsi="Arial" w:cs="Arial"/>
          <w:b/>
          <w:bCs/>
          <w:iCs/>
          <w:sz w:val="20"/>
          <w:szCs w:val="20"/>
          <w:lang w:val="es-419" w:eastAsia="fr-FR"/>
        </w:rPr>
        <w:t>NORMAS QUE LA RIGEN / FORMAS DE IMPUGNACIÓN: INEFICACIA, NULIDAD E INOPONIBILIDAD / PRINCIPIO DE CONGRUENCIA.</w:t>
      </w:r>
    </w:p>
    <w:p w14:paraId="64648DA3" w14:textId="77777777" w:rsidR="0088617D" w:rsidRPr="0088617D" w:rsidRDefault="0088617D" w:rsidP="0088617D">
      <w:pPr>
        <w:spacing w:after="0" w:line="240" w:lineRule="auto"/>
        <w:jc w:val="both"/>
        <w:rPr>
          <w:rFonts w:ascii="Arial" w:eastAsia="Times New Roman" w:hAnsi="Arial" w:cs="Arial"/>
          <w:sz w:val="20"/>
          <w:szCs w:val="20"/>
          <w:lang w:val="es-419" w:eastAsia="es-ES"/>
        </w:rPr>
      </w:pPr>
    </w:p>
    <w:p w14:paraId="62D41B70" w14:textId="153E27C2" w:rsidR="00830E0B" w:rsidRPr="00830E0B" w:rsidRDefault="00830E0B" w:rsidP="00830E0B">
      <w:pPr>
        <w:spacing w:after="0" w:line="240" w:lineRule="auto"/>
        <w:jc w:val="both"/>
        <w:rPr>
          <w:rFonts w:ascii="Arial" w:eastAsia="Times New Roman" w:hAnsi="Arial" w:cs="Arial"/>
          <w:sz w:val="20"/>
          <w:szCs w:val="20"/>
          <w:lang w:val="es-419" w:eastAsia="es-ES"/>
        </w:rPr>
      </w:pPr>
      <w:r w:rsidRPr="00830E0B">
        <w:rPr>
          <w:rFonts w:ascii="Arial" w:eastAsia="Times New Roman" w:hAnsi="Arial" w:cs="Arial"/>
          <w:sz w:val="20"/>
          <w:szCs w:val="20"/>
          <w:lang w:val="es-419" w:eastAsia="es-ES"/>
        </w:rPr>
        <w:t xml:space="preserve">La sociedad simplificada por acciones, tiene soporte en la Ley 1258 de 2008, normativa que, en su artículo 45, remite, a falta de previsión allí, a las disposiciones contenidas en los estatutos sociales, a las normas que rigen a la sociedad anónima, y en su defecto, en cuanto no sean contradictorias, a las disposiciones generales que rigen las sociedades previstas en el Código de Comercio. </w:t>
      </w:r>
    </w:p>
    <w:p w14:paraId="7E2D8C59" w14:textId="77777777" w:rsidR="00830E0B" w:rsidRPr="00830E0B" w:rsidRDefault="00830E0B" w:rsidP="00830E0B">
      <w:pPr>
        <w:spacing w:after="0" w:line="240" w:lineRule="auto"/>
        <w:jc w:val="both"/>
        <w:rPr>
          <w:rFonts w:ascii="Arial" w:eastAsia="Times New Roman" w:hAnsi="Arial" w:cs="Arial"/>
          <w:sz w:val="20"/>
          <w:szCs w:val="20"/>
          <w:lang w:val="es-419" w:eastAsia="es-ES"/>
        </w:rPr>
      </w:pPr>
    </w:p>
    <w:p w14:paraId="009A93C4" w14:textId="7232D4B9" w:rsidR="0088617D" w:rsidRPr="0088617D" w:rsidRDefault="00830E0B" w:rsidP="00830E0B">
      <w:pPr>
        <w:spacing w:after="0" w:line="240" w:lineRule="auto"/>
        <w:jc w:val="both"/>
        <w:rPr>
          <w:rFonts w:ascii="Arial" w:eastAsia="Times New Roman" w:hAnsi="Arial" w:cs="Arial"/>
          <w:sz w:val="20"/>
          <w:szCs w:val="20"/>
          <w:lang w:val="es-419" w:eastAsia="es-ES"/>
        </w:rPr>
      </w:pPr>
      <w:r w:rsidRPr="00830E0B">
        <w:rPr>
          <w:rFonts w:ascii="Arial" w:eastAsia="Times New Roman" w:hAnsi="Arial" w:cs="Arial"/>
          <w:sz w:val="20"/>
          <w:szCs w:val="20"/>
          <w:lang w:val="es-419" w:eastAsia="es-ES"/>
        </w:rPr>
        <w:t>Como dicha ley y los estatutos allegados</w:t>
      </w:r>
      <w:r w:rsidR="00F935C5">
        <w:rPr>
          <w:rFonts w:ascii="Arial" w:eastAsia="Times New Roman" w:hAnsi="Arial" w:cs="Arial"/>
          <w:sz w:val="20"/>
          <w:szCs w:val="20"/>
          <w:lang w:val="es-419" w:eastAsia="es-ES"/>
        </w:rPr>
        <w:t>…</w:t>
      </w:r>
      <w:r w:rsidRPr="00830E0B">
        <w:rPr>
          <w:rFonts w:ascii="Arial" w:eastAsia="Times New Roman" w:hAnsi="Arial" w:cs="Arial"/>
          <w:sz w:val="20"/>
          <w:szCs w:val="20"/>
          <w:lang w:val="es-419" w:eastAsia="es-ES"/>
        </w:rPr>
        <w:t xml:space="preserve"> ninguna regulación traen sobre la impugnación de los actos de la asamblea de socios, es necesario acudir a las reglas del Código de Comercio, concretamente al artículo 191</w:t>
      </w:r>
      <w:r w:rsidR="00F935C5">
        <w:rPr>
          <w:rFonts w:ascii="Arial" w:eastAsia="Times New Roman" w:hAnsi="Arial" w:cs="Arial"/>
          <w:sz w:val="20"/>
          <w:szCs w:val="20"/>
          <w:lang w:val="es-419" w:eastAsia="es-ES"/>
        </w:rPr>
        <w:t>…</w:t>
      </w:r>
    </w:p>
    <w:p w14:paraId="452368BF" w14:textId="77777777" w:rsidR="0088617D" w:rsidRPr="0088617D" w:rsidRDefault="0088617D" w:rsidP="0088617D">
      <w:pPr>
        <w:spacing w:after="0" w:line="240" w:lineRule="auto"/>
        <w:jc w:val="both"/>
        <w:rPr>
          <w:rFonts w:ascii="Arial" w:eastAsia="Times New Roman" w:hAnsi="Arial" w:cs="Arial"/>
          <w:sz w:val="20"/>
          <w:szCs w:val="20"/>
          <w:lang w:val="es-419" w:eastAsia="es-ES"/>
        </w:rPr>
      </w:pPr>
    </w:p>
    <w:p w14:paraId="7A76371C" w14:textId="7DA716D1" w:rsidR="0088617D" w:rsidRPr="0088617D" w:rsidRDefault="00F935C5" w:rsidP="0088617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935C5">
        <w:rPr>
          <w:rFonts w:ascii="Arial" w:eastAsia="Times New Roman" w:hAnsi="Arial" w:cs="Arial"/>
          <w:sz w:val="20"/>
          <w:szCs w:val="20"/>
          <w:lang w:val="es-419" w:eastAsia="es-ES"/>
        </w:rPr>
        <w:t>en los términos del artículo 190 del mismo estatuto, son tres las situaciones que la ley prevé, frente a una decisión tomada en una reunión: (i) la ineficacia, cuando se celebre en contravención a lo prescrito en el artículo 186, norma que regula el lugar y el quórum; (iii) la nulidad absoluta, se adopta sin el número de votos previstos en los estatutos o en las leyes, o excediendo los límites del contrato social; y (iii) la inoponibilidad, cuando no tenga carácter general, de acuerdo con el artículo 188, frente a los socios ausentes o disidentes.</w:t>
      </w:r>
    </w:p>
    <w:p w14:paraId="242D1CAB" w14:textId="77777777" w:rsidR="0088617D" w:rsidRPr="0088617D" w:rsidRDefault="0088617D" w:rsidP="0088617D">
      <w:pPr>
        <w:spacing w:after="0" w:line="240" w:lineRule="auto"/>
        <w:jc w:val="both"/>
        <w:rPr>
          <w:rFonts w:ascii="Arial" w:eastAsia="Times New Roman" w:hAnsi="Arial" w:cs="Arial"/>
          <w:sz w:val="20"/>
          <w:szCs w:val="20"/>
          <w:lang w:val="es-419" w:eastAsia="es-ES"/>
        </w:rPr>
      </w:pPr>
    </w:p>
    <w:p w14:paraId="71B18A62" w14:textId="272CD9A8" w:rsidR="0088617D" w:rsidRPr="0088617D" w:rsidRDefault="00470AF5" w:rsidP="0088617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70AF5">
        <w:rPr>
          <w:rFonts w:ascii="Arial" w:eastAsia="Times New Roman" w:hAnsi="Arial" w:cs="Arial"/>
          <w:sz w:val="20"/>
          <w:szCs w:val="20"/>
          <w:lang w:val="es-419" w:eastAsia="es-ES"/>
        </w:rPr>
        <w:t>deviene claro que la única mención que se hizo en el libelo sobre el informe de gestión, aparece en el hecho vigésimo, en el que se trae a colación lo que regula el artículo 46 de la Ley 222, que establece los documentos que se deben presentar a la asamblea o junta de socios al término de cada ejercicio contable. Pero, según se puede observar, ninguna afirmación se hizo sobre su ausencia, o las consecuencias de la misma, mucho menos se invocó la nulidad de las decisiones de la junta con fundamento en esa omisión.</w:t>
      </w:r>
    </w:p>
    <w:p w14:paraId="4316CFA2" w14:textId="77777777" w:rsidR="0088617D" w:rsidRPr="0088617D" w:rsidRDefault="0088617D" w:rsidP="0088617D">
      <w:pPr>
        <w:spacing w:after="0" w:line="240" w:lineRule="auto"/>
        <w:jc w:val="both"/>
        <w:rPr>
          <w:rFonts w:ascii="Arial" w:eastAsia="Times New Roman" w:hAnsi="Arial" w:cs="Arial"/>
          <w:sz w:val="20"/>
          <w:szCs w:val="20"/>
          <w:lang w:val="es-ES" w:eastAsia="es-ES"/>
        </w:rPr>
      </w:pPr>
    </w:p>
    <w:p w14:paraId="5D284168" w14:textId="09E6CFA9" w:rsidR="0088617D" w:rsidRPr="0088617D" w:rsidRDefault="00F85AEB" w:rsidP="0088617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85AEB">
        <w:rPr>
          <w:rFonts w:ascii="Arial" w:eastAsia="Times New Roman" w:hAnsi="Arial" w:cs="Arial"/>
          <w:sz w:val="20"/>
          <w:szCs w:val="20"/>
          <w:lang w:val="es-ES" w:eastAsia="es-ES"/>
        </w:rPr>
        <w:t>a juicio de esta Colegiatura, la cuestión atinente a la falta del informe de gestión como una causal de la deprecada nulidad, desborda las reglas de la congruencia señaladas en el artículo 281 del CGP, como quiera que la decisión del juez debe estar acorde con los hechos, las pretensiones y las excepciones que aparezcan probadas y hayan sido alegadas si así lo exige la ley</w:t>
      </w:r>
      <w:r>
        <w:rPr>
          <w:rFonts w:ascii="Arial" w:eastAsia="Times New Roman" w:hAnsi="Arial" w:cs="Arial"/>
          <w:sz w:val="20"/>
          <w:szCs w:val="20"/>
          <w:lang w:val="es-ES" w:eastAsia="es-ES"/>
        </w:rPr>
        <w:t>…</w:t>
      </w:r>
    </w:p>
    <w:p w14:paraId="6C621E87" w14:textId="77777777" w:rsidR="0088617D" w:rsidRPr="0088617D" w:rsidRDefault="0088617D" w:rsidP="0088617D">
      <w:pPr>
        <w:spacing w:after="0" w:line="240" w:lineRule="auto"/>
        <w:jc w:val="both"/>
        <w:rPr>
          <w:rFonts w:ascii="Arial" w:eastAsia="Times New Roman" w:hAnsi="Arial" w:cs="Arial"/>
          <w:sz w:val="20"/>
          <w:szCs w:val="20"/>
          <w:lang w:val="es-ES" w:eastAsia="es-ES"/>
        </w:rPr>
      </w:pPr>
    </w:p>
    <w:bookmarkEnd w:id="0"/>
    <w:p w14:paraId="0B3A0287" w14:textId="70C66ACA" w:rsidR="0088617D" w:rsidRDefault="00AC6CF9" w:rsidP="0088617D">
      <w:pPr>
        <w:spacing w:after="0" w:line="240" w:lineRule="auto"/>
        <w:jc w:val="both"/>
        <w:rPr>
          <w:rFonts w:ascii="Arial" w:eastAsia="Times New Roman" w:hAnsi="Arial" w:cs="Arial"/>
          <w:sz w:val="20"/>
          <w:szCs w:val="20"/>
          <w:lang w:val="es-ES" w:eastAsia="es-ES"/>
        </w:rPr>
      </w:pPr>
      <w:r w:rsidRPr="00AC6CF9">
        <w:rPr>
          <w:rFonts w:ascii="Arial" w:eastAsia="Times New Roman" w:hAnsi="Arial" w:cs="Arial"/>
          <w:sz w:val="20"/>
          <w:szCs w:val="20"/>
          <w:lang w:val="es-ES" w:eastAsia="es-ES"/>
        </w:rPr>
        <w:t>En segundo término, al hacer referencia al comienzo al artículo 191 del C. de Comercio, se dijo que la nulidad de las decisiones adoptadas en una asamblea general surge como consecuencia de que se adopten sin el número de votos previstos en los estatutos o en las leyes, o excediendo los límites del contrato social. Mas, en el caso de ahora, en el que se discute, precisamente, una nulidad -no la ineficacia o la inoponibilidad a las que también alude la norma- ninguno de los dos supuestos se saca a relucir</w:t>
      </w:r>
      <w:r>
        <w:rPr>
          <w:rFonts w:ascii="Arial" w:eastAsia="Times New Roman" w:hAnsi="Arial" w:cs="Arial"/>
          <w:sz w:val="20"/>
          <w:szCs w:val="20"/>
          <w:lang w:val="es-ES" w:eastAsia="es-ES"/>
        </w:rPr>
        <w:t>…</w:t>
      </w:r>
    </w:p>
    <w:p w14:paraId="06FBC198" w14:textId="77777777" w:rsidR="00AC6CF9" w:rsidRDefault="00AC6CF9" w:rsidP="0088617D">
      <w:pPr>
        <w:spacing w:after="0" w:line="240" w:lineRule="auto"/>
        <w:jc w:val="both"/>
        <w:rPr>
          <w:rFonts w:ascii="Arial" w:eastAsia="Times New Roman" w:hAnsi="Arial" w:cs="Arial"/>
          <w:sz w:val="20"/>
          <w:szCs w:val="20"/>
          <w:lang w:val="es-ES" w:eastAsia="es-ES"/>
        </w:rPr>
      </w:pPr>
    </w:p>
    <w:p w14:paraId="1904D617" w14:textId="77777777" w:rsidR="00AC6CF9" w:rsidRDefault="00AC6CF9" w:rsidP="0088617D">
      <w:pPr>
        <w:spacing w:after="0" w:line="240" w:lineRule="auto"/>
        <w:jc w:val="both"/>
        <w:rPr>
          <w:rFonts w:ascii="Arial" w:eastAsia="Times New Roman" w:hAnsi="Arial" w:cs="Arial"/>
          <w:sz w:val="20"/>
          <w:szCs w:val="20"/>
          <w:lang w:val="es-ES" w:eastAsia="es-ES"/>
        </w:rPr>
      </w:pPr>
    </w:p>
    <w:p w14:paraId="6DC1144B" w14:textId="77777777" w:rsidR="00F85AEB" w:rsidRPr="0088617D" w:rsidRDefault="00F85AEB" w:rsidP="0088617D">
      <w:pPr>
        <w:spacing w:after="0" w:line="240" w:lineRule="auto"/>
        <w:jc w:val="both"/>
        <w:rPr>
          <w:rFonts w:ascii="Arial" w:eastAsia="Times New Roman" w:hAnsi="Arial" w:cs="Arial"/>
          <w:sz w:val="20"/>
          <w:szCs w:val="20"/>
          <w:lang w:val="es-ES" w:eastAsia="es-ES"/>
        </w:rPr>
      </w:pPr>
    </w:p>
    <w:bookmarkEnd w:id="1"/>
    <w:p w14:paraId="1C3BEE41" w14:textId="77777777" w:rsidR="00F155E1" w:rsidRPr="0088617D" w:rsidRDefault="00F155E1" w:rsidP="0088617D">
      <w:pPr>
        <w:keepNext/>
        <w:overflowPunct w:val="0"/>
        <w:autoSpaceDE w:val="0"/>
        <w:autoSpaceDN w:val="0"/>
        <w:adjustRightInd w:val="0"/>
        <w:spacing w:after="0" w:line="276" w:lineRule="auto"/>
        <w:ind w:firstLine="2835"/>
        <w:jc w:val="both"/>
        <w:outlineLvl w:val="0"/>
        <w:rPr>
          <w:rFonts w:ascii="Gadugi" w:eastAsia="Malgun Gothic" w:hAnsi="Gadugi" w:cs="Arial Narrow"/>
          <w:b/>
          <w:bCs/>
          <w:sz w:val="24"/>
          <w:szCs w:val="24"/>
          <w:lang w:val="es-419" w:eastAsia="es-ES"/>
        </w:rPr>
      </w:pPr>
      <w:r w:rsidRPr="0088617D">
        <w:rPr>
          <w:rFonts w:ascii="Gadugi" w:eastAsia="Malgun Gothic" w:hAnsi="Gadugi" w:cs="Arial Narrow"/>
          <w:b/>
          <w:bCs/>
          <w:sz w:val="24"/>
          <w:szCs w:val="24"/>
          <w:lang w:val="es-419" w:eastAsia="es-ES"/>
        </w:rPr>
        <w:t>TRIBUNAL SUPERIOR DEL DISTRITO JUDICIAL</w:t>
      </w:r>
    </w:p>
    <w:p w14:paraId="183CE53A" w14:textId="77777777" w:rsidR="00F155E1" w:rsidRPr="0088617D" w:rsidRDefault="00F155E1" w:rsidP="0088617D">
      <w:pPr>
        <w:spacing w:after="0" w:line="276" w:lineRule="auto"/>
        <w:ind w:firstLine="2835"/>
        <w:jc w:val="both"/>
        <w:rPr>
          <w:rFonts w:ascii="Gadugi" w:eastAsia="Malgun Gothic" w:hAnsi="Gadugi" w:cs="Estrangelo Edessa"/>
          <w:b/>
          <w:bCs/>
          <w:sz w:val="24"/>
          <w:szCs w:val="24"/>
          <w:lang w:val="es-419"/>
        </w:rPr>
      </w:pPr>
      <w:r w:rsidRPr="0088617D">
        <w:rPr>
          <w:rFonts w:ascii="Gadugi" w:eastAsia="Malgun Gothic" w:hAnsi="Gadugi" w:cs="Estrangelo Edessa"/>
          <w:b/>
          <w:bCs/>
          <w:sz w:val="24"/>
          <w:szCs w:val="24"/>
          <w:lang w:val="es-419"/>
        </w:rPr>
        <w:t xml:space="preserve">         SALA DE DECISIÓN CIVIL-FAMILIA</w:t>
      </w:r>
    </w:p>
    <w:p w14:paraId="672A6659" w14:textId="77777777" w:rsidR="00F155E1" w:rsidRPr="0088617D" w:rsidRDefault="00F155E1" w:rsidP="0088617D">
      <w:pPr>
        <w:spacing w:after="0" w:line="276" w:lineRule="auto"/>
        <w:ind w:firstLine="2835"/>
        <w:jc w:val="both"/>
        <w:rPr>
          <w:rFonts w:ascii="Gadugi" w:eastAsia="Malgun Gothic" w:hAnsi="Gadugi" w:cs="Estrangelo Edessa"/>
          <w:sz w:val="24"/>
          <w:szCs w:val="24"/>
          <w:lang w:val="es-419"/>
        </w:rPr>
      </w:pPr>
    </w:p>
    <w:p w14:paraId="0A37501D" w14:textId="77777777" w:rsidR="00F155E1" w:rsidRPr="0088617D" w:rsidRDefault="00F155E1" w:rsidP="0088617D">
      <w:pPr>
        <w:spacing w:after="0" w:line="276" w:lineRule="auto"/>
        <w:ind w:firstLine="2835"/>
        <w:jc w:val="both"/>
        <w:rPr>
          <w:rFonts w:ascii="Gadugi" w:eastAsia="Malgun Gothic" w:hAnsi="Gadugi" w:cs="Estrangelo Edessa"/>
          <w:sz w:val="24"/>
          <w:szCs w:val="24"/>
          <w:lang w:val="es-419"/>
        </w:rPr>
      </w:pPr>
    </w:p>
    <w:p w14:paraId="79A18CBD" w14:textId="2D775E32" w:rsidR="00F155E1" w:rsidRPr="0088617D" w:rsidRDefault="00F155E1" w:rsidP="0088617D">
      <w:pPr>
        <w:spacing w:after="0" w:line="240" w:lineRule="auto"/>
        <w:ind w:firstLine="2835"/>
        <w:jc w:val="both"/>
        <w:rPr>
          <w:rFonts w:ascii="Gadugi" w:eastAsia="Malgun Gothic" w:hAnsi="Gadugi" w:cs="Estrangelo Edessa"/>
          <w:sz w:val="24"/>
          <w:szCs w:val="24"/>
          <w:lang w:val="es-419"/>
        </w:rPr>
      </w:pPr>
      <w:r w:rsidRPr="0088617D">
        <w:rPr>
          <w:rFonts w:ascii="Gadugi" w:eastAsia="Malgun Gothic" w:hAnsi="Gadugi" w:cs="Estrangelo Edessa"/>
          <w:sz w:val="24"/>
          <w:szCs w:val="24"/>
          <w:lang w:val="es-419"/>
        </w:rPr>
        <w:t>Magistrado:</w:t>
      </w:r>
      <w:r w:rsidRPr="0088617D">
        <w:rPr>
          <w:rFonts w:ascii="Gadugi" w:eastAsia="Malgun Gothic" w:hAnsi="Gadugi" w:cs="Estrangelo Edessa"/>
          <w:sz w:val="24"/>
          <w:szCs w:val="24"/>
          <w:lang w:val="es-419"/>
        </w:rPr>
        <w:tab/>
      </w:r>
      <w:r w:rsidR="0088617D">
        <w:rPr>
          <w:rFonts w:ascii="Gadugi" w:eastAsia="Malgun Gothic" w:hAnsi="Gadugi" w:cs="Estrangelo Edessa"/>
          <w:sz w:val="24"/>
          <w:szCs w:val="24"/>
          <w:lang w:val="es-419"/>
        </w:rPr>
        <w:tab/>
      </w:r>
      <w:r w:rsidRPr="0088617D">
        <w:rPr>
          <w:rFonts w:ascii="Gadugi" w:eastAsia="Malgun Gothic" w:hAnsi="Gadugi" w:cs="Estrangelo Edessa"/>
          <w:sz w:val="24"/>
          <w:szCs w:val="24"/>
          <w:lang w:val="es-419"/>
        </w:rPr>
        <w:t>Jaime Alberto Saraza Naranjo</w:t>
      </w:r>
    </w:p>
    <w:p w14:paraId="39F4EECB" w14:textId="5765699F" w:rsidR="00F155E1" w:rsidRPr="0088617D" w:rsidRDefault="00F155E1" w:rsidP="0088617D">
      <w:pPr>
        <w:spacing w:after="0" w:line="240" w:lineRule="auto"/>
        <w:ind w:firstLine="2835"/>
        <w:jc w:val="both"/>
        <w:rPr>
          <w:rFonts w:ascii="Gadugi" w:eastAsia="Malgun Gothic" w:hAnsi="Gadugi" w:cs="Estrangelo Edessa"/>
          <w:sz w:val="24"/>
          <w:szCs w:val="24"/>
          <w:lang w:val="es-419"/>
        </w:rPr>
      </w:pPr>
      <w:r w:rsidRPr="0088617D">
        <w:rPr>
          <w:rFonts w:ascii="Gadugi" w:eastAsia="Malgun Gothic" w:hAnsi="Gadugi" w:cs="Estrangelo Edessa"/>
          <w:sz w:val="24"/>
          <w:szCs w:val="24"/>
          <w:lang w:val="es-419"/>
        </w:rPr>
        <w:t>Pereira,</w:t>
      </w:r>
      <w:r w:rsidR="0088617D">
        <w:rPr>
          <w:rFonts w:ascii="Gadugi" w:eastAsia="Malgun Gothic" w:hAnsi="Gadugi" w:cs="Estrangelo Edessa"/>
          <w:sz w:val="24"/>
          <w:szCs w:val="24"/>
          <w:lang w:val="es-419"/>
        </w:rPr>
        <w:tab/>
      </w:r>
      <w:r w:rsidRPr="0088617D">
        <w:rPr>
          <w:rFonts w:ascii="Gadugi" w:eastAsia="Malgun Gothic" w:hAnsi="Gadugi" w:cs="Estrangelo Edessa"/>
          <w:sz w:val="24"/>
          <w:szCs w:val="24"/>
          <w:lang w:val="es-419"/>
        </w:rPr>
        <w:tab/>
      </w:r>
      <w:r w:rsidR="001A006E" w:rsidRPr="0088617D">
        <w:rPr>
          <w:rFonts w:ascii="Gadugi" w:eastAsia="Malgun Gothic" w:hAnsi="Gadugi" w:cs="Estrangelo Edessa"/>
          <w:sz w:val="24"/>
          <w:szCs w:val="24"/>
          <w:lang w:val="es-419"/>
        </w:rPr>
        <w:t>Febrero diez de dos mil veintidós</w:t>
      </w:r>
    </w:p>
    <w:p w14:paraId="3BBE0C0B" w14:textId="0ED7B173" w:rsidR="00EE2386" w:rsidRPr="0088617D" w:rsidRDefault="00EE2386" w:rsidP="0088617D">
      <w:pPr>
        <w:spacing w:after="0" w:line="240" w:lineRule="auto"/>
        <w:ind w:firstLine="2835"/>
        <w:jc w:val="both"/>
        <w:rPr>
          <w:rFonts w:ascii="Gadugi" w:eastAsia="Malgun Gothic" w:hAnsi="Gadugi" w:cs="Estrangelo Edessa"/>
          <w:sz w:val="24"/>
          <w:szCs w:val="24"/>
        </w:rPr>
      </w:pPr>
      <w:r w:rsidRPr="0088617D">
        <w:rPr>
          <w:rFonts w:ascii="Gadugi" w:eastAsia="Malgun Gothic" w:hAnsi="Gadugi" w:cs="Estrangelo Edessa"/>
          <w:sz w:val="24"/>
          <w:szCs w:val="24"/>
        </w:rPr>
        <w:t>Sentencia No.:</w:t>
      </w:r>
      <w:r w:rsidR="0088617D">
        <w:rPr>
          <w:rFonts w:ascii="Gadugi" w:eastAsia="Malgun Gothic" w:hAnsi="Gadugi" w:cs="Estrangelo Edessa"/>
          <w:sz w:val="24"/>
          <w:szCs w:val="24"/>
        </w:rPr>
        <w:tab/>
      </w:r>
      <w:r w:rsidR="001A006E" w:rsidRPr="0088617D">
        <w:rPr>
          <w:rFonts w:ascii="Gadugi" w:eastAsia="Malgun Gothic" w:hAnsi="Gadugi" w:cs="Estrangelo Edessa"/>
          <w:sz w:val="24"/>
          <w:szCs w:val="24"/>
        </w:rPr>
        <w:t>SC-</w:t>
      </w:r>
      <w:r w:rsidR="003A4968">
        <w:rPr>
          <w:rFonts w:ascii="Gadugi" w:eastAsia="Malgun Gothic" w:hAnsi="Gadugi" w:cs="Estrangelo Edessa"/>
          <w:sz w:val="24"/>
          <w:szCs w:val="24"/>
        </w:rPr>
        <w:t>0</w:t>
      </w:r>
      <w:r w:rsidR="001A006E" w:rsidRPr="0088617D">
        <w:rPr>
          <w:rFonts w:ascii="Gadugi" w:eastAsia="Malgun Gothic" w:hAnsi="Gadugi" w:cs="Estrangelo Edessa"/>
          <w:sz w:val="24"/>
          <w:szCs w:val="24"/>
        </w:rPr>
        <w:t>004-2022</w:t>
      </w:r>
      <w:r w:rsidRPr="0088617D">
        <w:rPr>
          <w:rFonts w:ascii="Gadugi" w:eastAsia="Malgun Gothic" w:hAnsi="Gadugi" w:cs="Estrangelo Edessa"/>
          <w:sz w:val="24"/>
          <w:szCs w:val="24"/>
        </w:rPr>
        <w:tab/>
      </w:r>
    </w:p>
    <w:p w14:paraId="5FABC303" w14:textId="6BF01CDE" w:rsidR="00EE2386" w:rsidRDefault="00EE2386" w:rsidP="0088617D">
      <w:pPr>
        <w:tabs>
          <w:tab w:val="left" w:pos="4536"/>
        </w:tabs>
        <w:spacing w:after="0" w:line="276" w:lineRule="auto"/>
        <w:ind w:firstLine="2835"/>
        <w:jc w:val="both"/>
        <w:rPr>
          <w:rFonts w:ascii="Gadugi" w:eastAsia="Malgun Gothic" w:hAnsi="Gadugi" w:cs="Estrangelo Edessa"/>
          <w:sz w:val="24"/>
          <w:szCs w:val="24"/>
        </w:rPr>
      </w:pPr>
    </w:p>
    <w:p w14:paraId="7590683B" w14:textId="77777777" w:rsidR="003A4968" w:rsidRPr="0088617D" w:rsidRDefault="003A4968" w:rsidP="0088617D">
      <w:pPr>
        <w:tabs>
          <w:tab w:val="left" w:pos="4536"/>
        </w:tabs>
        <w:spacing w:after="0" w:line="276" w:lineRule="auto"/>
        <w:ind w:firstLine="2835"/>
        <w:jc w:val="both"/>
        <w:rPr>
          <w:rFonts w:ascii="Gadugi" w:eastAsia="Malgun Gothic" w:hAnsi="Gadugi" w:cs="Estrangelo Edessa"/>
          <w:sz w:val="24"/>
          <w:szCs w:val="24"/>
        </w:rPr>
      </w:pPr>
    </w:p>
    <w:p w14:paraId="0C55F396" w14:textId="1D9DC026" w:rsidR="00F155E1" w:rsidRPr="0088617D" w:rsidRDefault="00F155E1" w:rsidP="0088617D">
      <w:pPr>
        <w:tabs>
          <w:tab w:val="left" w:pos="4536"/>
        </w:tabs>
        <w:spacing w:after="0" w:line="276" w:lineRule="auto"/>
        <w:ind w:firstLine="2835"/>
        <w:jc w:val="both"/>
        <w:rPr>
          <w:rFonts w:ascii="Gadugi" w:eastAsia="Malgun Gothic" w:hAnsi="Gadugi" w:cs="Estrangelo Edessa"/>
          <w:b/>
          <w:sz w:val="24"/>
          <w:szCs w:val="24"/>
        </w:rPr>
      </w:pPr>
      <w:r w:rsidRPr="0088617D">
        <w:rPr>
          <w:rFonts w:ascii="Gadugi" w:eastAsia="Malgun Gothic" w:hAnsi="Gadugi" w:cs="Estrangelo Edessa"/>
          <w:sz w:val="24"/>
          <w:szCs w:val="24"/>
        </w:rPr>
        <w:t>Resuelve la Sala el recurso de apelación in</w:t>
      </w:r>
      <w:r w:rsidR="008A6DC5" w:rsidRPr="0088617D">
        <w:rPr>
          <w:rFonts w:ascii="Gadugi" w:eastAsia="Malgun Gothic" w:hAnsi="Gadugi" w:cs="Estrangelo Edessa"/>
          <w:sz w:val="24"/>
          <w:szCs w:val="24"/>
        </w:rPr>
        <w:t>terpuesto por la parte demandante</w:t>
      </w:r>
      <w:r w:rsidRPr="0088617D">
        <w:rPr>
          <w:rFonts w:ascii="Gadugi" w:eastAsia="Malgun Gothic" w:hAnsi="Gadugi" w:cs="Estrangelo Edessa"/>
          <w:sz w:val="24"/>
          <w:szCs w:val="24"/>
        </w:rPr>
        <w:t xml:space="preserve"> contra la sentencia del </w:t>
      </w:r>
      <w:r w:rsidR="00957830" w:rsidRPr="0088617D">
        <w:rPr>
          <w:rFonts w:ascii="Gadugi" w:eastAsia="Malgun Gothic" w:hAnsi="Gadugi" w:cs="Estrangelo Edessa"/>
          <w:sz w:val="24"/>
          <w:szCs w:val="24"/>
        </w:rPr>
        <w:t>11 de diciembre de 2020</w:t>
      </w:r>
      <w:r w:rsidRPr="0088617D">
        <w:rPr>
          <w:rFonts w:ascii="Gadugi" w:eastAsia="Malgun Gothic" w:hAnsi="Gadugi" w:cs="Estrangelo Edessa"/>
          <w:sz w:val="24"/>
          <w:szCs w:val="24"/>
        </w:rPr>
        <w:t xml:space="preserve">, proferida por el Juzgado Segundo </w:t>
      </w:r>
      <w:r w:rsidRPr="0088617D">
        <w:rPr>
          <w:rFonts w:ascii="Gadugi" w:eastAsia="Calibri" w:hAnsi="Gadugi" w:cs="Times New Roman"/>
          <w:sz w:val="24"/>
          <w:szCs w:val="24"/>
        </w:rPr>
        <w:t>Civil del Circuito de Pereira</w:t>
      </w:r>
      <w:r w:rsidRPr="0088617D">
        <w:rPr>
          <w:rFonts w:ascii="Gadugi" w:eastAsia="Malgun Gothic" w:hAnsi="Gadugi" w:cs="Estrangelo Edessa"/>
          <w:sz w:val="24"/>
          <w:szCs w:val="24"/>
        </w:rPr>
        <w:t xml:space="preserve">, en este proceso verbal </w:t>
      </w:r>
      <w:r w:rsidR="0030466F" w:rsidRPr="0088617D">
        <w:rPr>
          <w:rFonts w:ascii="Gadugi" w:eastAsia="Malgun Gothic" w:hAnsi="Gadugi" w:cs="Estrangelo Edessa"/>
          <w:sz w:val="24"/>
          <w:szCs w:val="24"/>
        </w:rPr>
        <w:t xml:space="preserve">de impugnación </w:t>
      </w:r>
      <w:r w:rsidR="0030466F" w:rsidRPr="0088617D">
        <w:rPr>
          <w:rFonts w:ascii="Gadugi" w:eastAsia="Malgun Gothic" w:hAnsi="Gadugi" w:cs="Estrangelo Edessa"/>
          <w:sz w:val="24"/>
          <w:szCs w:val="24"/>
        </w:rPr>
        <w:lastRenderedPageBreak/>
        <w:t>de actos de asamblea</w:t>
      </w:r>
      <w:r w:rsidRPr="0088617D">
        <w:rPr>
          <w:rFonts w:ascii="Gadugi" w:eastAsia="Malgun Gothic" w:hAnsi="Gadugi" w:cs="Estrangelo Edessa"/>
          <w:sz w:val="24"/>
          <w:szCs w:val="24"/>
        </w:rPr>
        <w:t xml:space="preserve"> que inició </w:t>
      </w:r>
      <w:r w:rsidR="0030466F" w:rsidRPr="0088617D">
        <w:rPr>
          <w:rFonts w:ascii="Gadugi" w:eastAsia="Malgun Gothic" w:hAnsi="Gadugi" w:cs="Estrangelo Edessa"/>
          <w:b/>
          <w:sz w:val="24"/>
          <w:szCs w:val="24"/>
        </w:rPr>
        <w:t>María Lucero Luna</w:t>
      </w:r>
      <w:r w:rsidR="00A65B2B" w:rsidRPr="0088617D">
        <w:rPr>
          <w:rFonts w:ascii="Gadugi" w:eastAsia="Malgun Gothic" w:hAnsi="Gadugi" w:cs="Estrangelo Edessa"/>
          <w:sz w:val="24"/>
          <w:szCs w:val="24"/>
        </w:rPr>
        <w:t xml:space="preserve"> </w:t>
      </w:r>
      <w:r w:rsidR="00A65B2B" w:rsidRPr="0088617D">
        <w:rPr>
          <w:rFonts w:ascii="Gadugi" w:eastAsia="Malgun Gothic" w:hAnsi="Gadugi" w:cs="Estrangelo Edessa"/>
          <w:b/>
          <w:sz w:val="24"/>
          <w:szCs w:val="24"/>
        </w:rPr>
        <w:t>López</w:t>
      </w:r>
      <w:r w:rsidR="00A65B2B" w:rsidRPr="0088617D">
        <w:rPr>
          <w:rFonts w:ascii="Gadugi" w:eastAsia="Malgun Gothic" w:hAnsi="Gadugi" w:cs="Estrangelo Edessa"/>
          <w:sz w:val="24"/>
          <w:szCs w:val="24"/>
        </w:rPr>
        <w:t xml:space="preserve"> </w:t>
      </w:r>
      <w:r w:rsidRPr="0088617D">
        <w:rPr>
          <w:rFonts w:ascii="Gadugi" w:eastAsia="Malgun Gothic" w:hAnsi="Gadugi" w:cs="Estrangelo Edessa"/>
          <w:sz w:val="24"/>
          <w:szCs w:val="24"/>
        </w:rPr>
        <w:t xml:space="preserve">frente a </w:t>
      </w:r>
      <w:r w:rsidR="008D0965" w:rsidRPr="0088617D">
        <w:rPr>
          <w:rFonts w:ascii="Gadugi" w:eastAsia="Malgun Gothic" w:hAnsi="Gadugi" w:cs="Estrangelo Edessa"/>
          <w:b/>
          <w:sz w:val="24"/>
          <w:szCs w:val="24"/>
        </w:rPr>
        <w:t>Innova Decoración</w:t>
      </w:r>
      <w:r w:rsidR="0030466F" w:rsidRPr="0088617D">
        <w:rPr>
          <w:rFonts w:ascii="Gadugi" w:eastAsia="Malgun Gothic" w:hAnsi="Gadugi" w:cs="Estrangelo Edessa"/>
          <w:b/>
          <w:sz w:val="24"/>
          <w:szCs w:val="24"/>
        </w:rPr>
        <w:t xml:space="preserve"> S.A.S.</w:t>
      </w:r>
      <w:r w:rsidR="005F001D" w:rsidRPr="0088617D">
        <w:rPr>
          <w:rFonts w:ascii="Gadugi" w:eastAsia="Malgun Gothic" w:hAnsi="Gadugi" w:cs="Estrangelo Edessa"/>
          <w:b/>
          <w:sz w:val="24"/>
          <w:szCs w:val="24"/>
        </w:rPr>
        <w:t xml:space="preserve"> </w:t>
      </w:r>
      <w:r w:rsidR="005F001D" w:rsidRPr="0088617D">
        <w:rPr>
          <w:rFonts w:ascii="Gadugi" w:eastAsia="Malgun Gothic" w:hAnsi="Gadugi" w:cs="Estrangelo Edessa"/>
          <w:sz w:val="24"/>
          <w:szCs w:val="24"/>
        </w:rPr>
        <w:t xml:space="preserve">representada por Fredy </w:t>
      </w:r>
      <w:r w:rsidR="0088617D" w:rsidRPr="0088617D">
        <w:rPr>
          <w:rFonts w:ascii="Gadugi" w:eastAsia="Malgun Gothic" w:hAnsi="Gadugi" w:cs="Estrangelo Edessa"/>
          <w:sz w:val="24"/>
          <w:szCs w:val="24"/>
        </w:rPr>
        <w:t>Alexander</w:t>
      </w:r>
      <w:r w:rsidR="005F001D" w:rsidRPr="0088617D">
        <w:rPr>
          <w:rFonts w:ascii="Gadugi" w:eastAsia="Malgun Gothic" w:hAnsi="Gadugi" w:cs="Estrangelo Edessa"/>
          <w:sz w:val="24"/>
          <w:szCs w:val="24"/>
        </w:rPr>
        <w:t xml:space="preserve"> Zapata Pachón.</w:t>
      </w:r>
    </w:p>
    <w:p w14:paraId="1A56F7BD" w14:textId="527CC8C9" w:rsidR="00EE2386" w:rsidRDefault="00EE2386" w:rsidP="0088617D">
      <w:pPr>
        <w:tabs>
          <w:tab w:val="left" w:pos="4536"/>
        </w:tabs>
        <w:spacing w:after="0" w:line="276" w:lineRule="auto"/>
        <w:ind w:firstLine="2835"/>
        <w:jc w:val="both"/>
        <w:rPr>
          <w:rFonts w:ascii="Gadugi" w:eastAsia="Malgun Gothic" w:hAnsi="Gadugi" w:cs="Estrangelo Edessa"/>
          <w:b/>
          <w:sz w:val="24"/>
          <w:szCs w:val="24"/>
        </w:rPr>
      </w:pPr>
    </w:p>
    <w:p w14:paraId="182FB325" w14:textId="77777777" w:rsidR="003A4968" w:rsidRPr="0088617D" w:rsidRDefault="003A4968" w:rsidP="0088617D">
      <w:pPr>
        <w:tabs>
          <w:tab w:val="left" w:pos="4536"/>
        </w:tabs>
        <w:spacing w:after="0" w:line="276" w:lineRule="auto"/>
        <w:ind w:firstLine="2835"/>
        <w:jc w:val="both"/>
        <w:rPr>
          <w:rFonts w:ascii="Gadugi" w:eastAsia="Malgun Gothic" w:hAnsi="Gadugi" w:cs="Estrangelo Edessa"/>
          <w:b/>
          <w:sz w:val="24"/>
          <w:szCs w:val="24"/>
        </w:rPr>
      </w:pPr>
    </w:p>
    <w:p w14:paraId="0F10BAA5" w14:textId="254A0FEA" w:rsidR="00F155E1" w:rsidRPr="0088617D" w:rsidRDefault="00F155E1" w:rsidP="0088617D">
      <w:pPr>
        <w:pStyle w:val="Prrafodelista"/>
        <w:numPr>
          <w:ilvl w:val="0"/>
          <w:numId w:val="1"/>
        </w:numPr>
        <w:tabs>
          <w:tab w:val="left" w:pos="4536"/>
        </w:tabs>
        <w:spacing w:after="0" w:line="276" w:lineRule="auto"/>
        <w:jc w:val="both"/>
        <w:rPr>
          <w:rFonts w:ascii="Gadugi" w:eastAsia="Malgun Gothic" w:hAnsi="Gadugi" w:cs="Estrangelo Edessa"/>
          <w:b/>
          <w:sz w:val="24"/>
          <w:szCs w:val="24"/>
        </w:rPr>
      </w:pPr>
      <w:r w:rsidRPr="0088617D">
        <w:rPr>
          <w:rFonts w:ascii="Gadugi" w:eastAsia="Malgun Gothic" w:hAnsi="Gadugi" w:cs="Estrangelo Edessa"/>
          <w:b/>
          <w:sz w:val="24"/>
          <w:szCs w:val="24"/>
        </w:rPr>
        <w:t>ANTECEDENTES</w:t>
      </w:r>
    </w:p>
    <w:p w14:paraId="2551463F" w14:textId="77777777" w:rsidR="00EE2386" w:rsidRPr="004C716A" w:rsidRDefault="00EE2386" w:rsidP="004C716A">
      <w:pPr>
        <w:tabs>
          <w:tab w:val="left" w:pos="4536"/>
        </w:tabs>
        <w:spacing w:after="0" w:line="276" w:lineRule="auto"/>
        <w:ind w:left="2835"/>
        <w:jc w:val="both"/>
        <w:rPr>
          <w:rFonts w:ascii="Gadugi" w:eastAsia="Malgun Gothic" w:hAnsi="Gadugi" w:cs="Estrangelo Edessa"/>
          <w:b/>
          <w:sz w:val="24"/>
          <w:szCs w:val="24"/>
        </w:rPr>
      </w:pPr>
    </w:p>
    <w:p w14:paraId="5DAF2DC2" w14:textId="7CA1A511" w:rsidR="00F155E1" w:rsidRPr="0088617D" w:rsidRDefault="00F155E1" w:rsidP="0088617D">
      <w:pPr>
        <w:pStyle w:val="Prrafodelista"/>
        <w:numPr>
          <w:ilvl w:val="1"/>
          <w:numId w:val="1"/>
        </w:numPr>
        <w:tabs>
          <w:tab w:val="left" w:pos="3402"/>
        </w:tabs>
        <w:spacing w:after="0" w:line="276" w:lineRule="auto"/>
        <w:ind w:left="0" w:firstLine="2835"/>
        <w:jc w:val="both"/>
        <w:rPr>
          <w:rStyle w:val="normaltextrun"/>
          <w:rFonts w:ascii="Gadugi" w:hAnsi="Gadugi"/>
          <w:sz w:val="24"/>
          <w:szCs w:val="24"/>
        </w:rPr>
      </w:pPr>
      <w:r w:rsidRPr="0088617D">
        <w:rPr>
          <w:rFonts w:ascii="Gadugi" w:eastAsia="Malgun Gothic" w:hAnsi="Gadugi" w:cs="Estrangelo Edessa"/>
          <w:b/>
          <w:sz w:val="24"/>
          <w:szCs w:val="24"/>
        </w:rPr>
        <w:t xml:space="preserve">Hechos </w:t>
      </w:r>
      <w:r w:rsidR="008D0965" w:rsidRPr="0088617D">
        <w:rPr>
          <w:rStyle w:val="normaltextrun"/>
          <w:rFonts w:ascii="Gadugi" w:hAnsi="Gadugi"/>
          <w:bCs/>
          <w:color w:val="000000"/>
          <w:sz w:val="24"/>
          <w:szCs w:val="24"/>
          <w:shd w:val="clear" w:color="auto" w:fill="FFFFFF"/>
        </w:rPr>
        <w:t xml:space="preserve">(p. 45, </w:t>
      </w:r>
      <w:r w:rsidR="00FF1DA3" w:rsidRPr="0088617D">
        <w:rPr>
          <w:rStyle w:val="normaltextrun"/>
          <w:rFonts w:ascii="Gadugi" w:hAnsi="Gadugi"/>
          <w:bCs/>
          <w:color w:val="000000"/>
          <w:sz w:val="24"/>
          <w:szCs w:val="24"/>
          <w:shd w:val="clear" w:color="auto" w:fill="FFFFFF"/>
        </w:rPr>
        <w:t>01CuadernoPrincipal)</w:t>
      </w:r>
      <w:r w:rsidR="00BE3B3C" w:rsidRPr="0088617D">
        <w:rPr>
          <w:rStyle w:val="normaltextrun"/>
          <w:rFonts w:ascii="Gadugi" w:hAnsi="Gadugi"/>
          <w:bCs/>
          <w:color w:val="000000"/>
          <w:sz w:val="24"/>
          <w:szCs w:val="24"/>
          <w:shd w:val="clear" w:color="auto" w:fill="FFFFFF"/>
        </w:rPr>
        <w:t>.</w:t>
      </w:r>
    </w:p>
    <w:p w14:paraId="6A05A809" w14:textId="77777777" w:rsidR="00F155E1" w:rsidRPr="0088617D" w:rsidRDefault="00F155E1" w:rsidP="0088617D">
      <w:pPr>
        <w:tabs>
          <w:tab w:val="left" w:pos="3402"/>
        </w:tabs>
        <w:spacing w:after="0" w:line="276" w:lineRule="auto"/>
        <w:jc w:val="both"/>
        <w:rPr>
          <w:rFonts w:ascii="Gadugi" w:hAnsi="Gadugi"/>
          <w:sz w:val="24"/>
          <w:szCs w:val="24"/>
        </w:rPr>
      </w:pPr>
    </w:p>
    <w:p w14:paraId="3CEB6E50" w14:textId="1A71FE96" w:rsidR="00F155E1" w:rsidRPr="0088617D" w:rsidRDefault="00B85075" w:rsidP="0088617D">
      <w:pPr>
        <w:pStyle w:val="Prrafodelista"/>
        <w:tabs>
          <w:tab w:val="left" w:pos="3402"/>
        </w:tabs>
        <w:spacing w:after="0" w:line="276" w:lineRule="auto"/>
        <w:ind w:left="0" w:firstLine="2835"/>
        <w:jc w:val="both"/>
        <w:rPr>
          <w:rFonts w:ascii="Gadugi" w:eastAsia="Malgun Gothic" w:hAnsi="Gadugi" w:cs="Estrangelo Edessa"/>
          <w:sz w:val="24"/>
          <w:szCs w:val="24"/>
        </w:rPr>
      </w:pPr>
      <w:r w:rsidRPr="0088617D">
        <w:rPr>
          <w:rFonts w:ascii="Gadugi" w:eastAsia="Malgun Gothic" w:hAnsi="Gadugi" w:cs="Estrangelo Edessa"/>
          <w:sz w:val="24"/>
          <w:szCs w:val="24"/>
        </w:rPr>
        <w:t xml:space="preserve">Narra </w:t>
      </w:r>
      <w:r w:rsidR="00F155E1" w:rsidRPr="0088617D">
        <w:rPr>
          <w:rFonts w:ascii="Gadugi" w:eastAsia="Malgun Gothic" w:hAnsi="Gadugi" w:cs="Estrangelo Edessa"/>
          <w:sz w:val="24"/>
          <w:szCs w:val="24"/>
        </w:rPr>
        <w:t>l</w:t>
      </w:r>
      <w:r w:rsidRPr="0088617D">
        <w:rPr>
          <w:rFonts w:ascii="Gadugi" w:eastAsia="Malgun Gothic" w:hAnsi="Gadugi" w:cs="Estrangelo Edessa"/>
          <w:sz w:val="24"/>
          <w:szCs w:val="24"/>
        </w:rPr>
        <w:t>a</w:t>
      </w:r>
      <w:r w:rsidR="00F155E1" w:rsidRPr="0088617D">
        <w:rPr>
          <w:rFonts w:ascii="Gadugi" w:eastAsia="Malgun Gothic" w:hAnsi="Gadugi" w:cs="Estrangelo Edessa"/>
          <w:sz w:val="24"/>
          <w:szCs w:val="24"/>
        </w:rPr>
        <w:t xml:space="preserve"> demandante </w:t>
      </w:r>
      <w:r w:rsidR="00E445FE" w:rsidRPr="0088617D">
        <w:rPr>
          <w:rFonts w:ascii="Gadugi" w:eastAsia="Malgun Gothic" w:hAnsi="Gadugi" w:cs="Estrangelo Edessa"/>
          <w:sz w:val="24"/>
          <w:szCs w:val="24"/>
        </w:rPr>
        <w:t>que el 1</w:t>
      </w:r>
      <w:r w:rsidR="00EE2386" w:rsidRPr="0088617D">
        <w:rPr>
          <w:rFonts w:ascii="Gadugi" w:eastAsia="Malgun Gothic" w:hAnsi="Gadugi" w:cs="Estrangelo Edessa"/>
          <w:sz w:val="24"/>
          <w:szCs w:val="24"/>
        </w:rPr>
        <w:t>°</w:t>
      </w:r>
      <w:r w:rsidR="00E445FE" w:rsidRPr="0088617D">
        <w:rPr>
          <w:rFonts w:ascii="Gadugi" w:eastAsia="Malgun Gothic" w:hAnsi="Gadugi" w:cs="Estrangelo Edessa"/>
          <w:sz w:val="24"/>
          <w:szCs w:val="24"/>
        </w:rPr>
        <w:t xml:space="preserve"> de septiembre </w:t>
      </w:r>
      <w:r w:rsidRPr="0088617D">
        <w:rPr>
          <w:rFonts w:ascii="Gadugi" w:eastAsia="Malgun Gothic" w:hAnsi="Gadugi" w:cs="Estrangelo Edessa"/>
          <w:sz w:val="24"/>
          <w:szCs w:val="24"/>
        </w:rPr>
        <w:t xml:space="preserve">de 2016, </w:t>
      </w:r>
      <w:r w:rsidR="00EE2386" w:rsidRPr="0088617D">
        <w:rPr>
          <w:rFonts w:ascii="Gadugi" w:eastAsia="Malgun Gothic" w:hAnsi="Gadugi" w:cs="Estrangelo Edessa"/>
          <w:sz w:val="24"/>
          <w:szCs w:val="24"/>
        </w:rPr>
        <w:t>se constituyó la</w:t>
      </w:r>
      <w:r w:rsidRPr="0088617D">
        <w:rPr>
          <w:rFonts w:ascii="Gadugi" w:eastAsia="Malgun Gothic" w:hAnsi="Gadugi" w:cs="Estrangelo Edessa"/>
          <w:sz w:val="24"/>
          <w:szCs w:val="24"/>
        </w:rPr>
        <w:t xml:space="preserve"> sociedad Innova Decoración S.A.S.</w:t>
      </w:r>
      <w:r w:rsidR="00EE2386" w:rsidRPr="0088617D">
        <w:rPr>
          <w:rFonts w:ascii="Gadugi" w:eastAsia="Malgun Gothic" w:hAnsi="Gadugi" w:cs="Estrangelo Edessa"/>
          <w:sz w:val="24"/>
          <w:szCs w:val="24"/>
        </w:rPr>
        <w:t xml:space="preserve">, cuyo objeto es </w:t>
      </w:r>
      <w:r w:rsidRPr="0088617D">
        <w:rPr>
          <w:rFonts w:ascii="Gadugi" w:eastAsia="Malgun Gothic" w:hAnsi="Gadugi" w:cs="Estrangelo Edessa"/>
          <w:sz w:val="24"/>
          <w:szCs w:val="24"/>
        </w:rPr>
        <w:t xml:space="preserve">la comercialización de productos textiles y confeccionados para uso doméstico. Se integró por los socios María Lucero Luna López con un 35% de participación, Jessica Luna Correa con </w:t>
      </w:r>
      <w:r w:rsidR="00EE2386" w:rsidRPr="0088617D">
        <w:rPr>
          <w:rFonts w:ascii="Gadugi" w:eastAsia="Malgun Gothic" w:hAnsi="Gadugi" w:cs="Estrangelo Edessa"/>
          <w:sz w:val="24"/>
          <w:szCs w:val="24"/>
        </w:rPr>
        <w:t xml:space="preserve">el </w:t>
      </w:r>
      <w:r w:rsidRPr="0088617D">
        <w:rPr>
          <w:rFonts w:ascii="Gadugi" w:eastAsia="Malgun Gothic" w:hAnsi="Gadugi" w:cs="Estrangelo Edessa"/>
          <w:sz w:val="24"/>
          <w:szCs w:val="24"/>
        </w:rPr>
        <w:t>10%</w:t>
      </w:r>
      <w:r w:rsidR="00EE2386" w:rsidRPr="0088617D">
        <w:rPr>
          <w:rFonts w:ascii="Gadugi" w:eastAsia="Malgun Gothic" w:hAnsi="Gadugi" w:cs="Estrangelo Edessa"/>
          <w:sz w:val="24"/>
          <w:szCs w:val="24"/>
        </w:rPr>
        <w:t>,</w:t>
      </w:r>
      <w:r w:rsidRPr="0088617D">
        <w:rPr>
          <w:rFonts w:ascii="Gadugi" w:eastAsia="Malgun Gothic" w:hAnsi="Gadugi" w:cs="Estrangelo Edessa"/>
          <w:sz w:val="24"/>
          <w:szCs w:val="24"/>
        </w:rPr>
        <w:t xml:space="preserve"> e Inversiones Megacor S.A.S.</w:t>
      </w:r>
      <w:r w:rsidR="00EE2386" w:rsidRPr="0088617D">
        <w:rPr>
          <w:rFonts w:ascii="Gadugi" w:eastAsia="Malgun Gothic" w:hAnsi="Gadugi" w:cs="Estrangelo Edessa"/>
          <w:sz w:val="24"/>
          <w:szCs w:val="24"/>
        </w:rPr>
        <w:t>,</w:t>
      </w:r>
      <w:r w:rsidRPr="0088617D">
        <w:rPr>
          <w:rFonts w:ascii="Gadugi" w:eastAsia="Malgun Gothic" w:hAnsi="Gadugi" w:cs="Estrangelo Edessa"/>
          <w:sz w:val="24"/>
          <w:szCs w:val="24"/>
        </w:rPr>
        <w:t xml:space="preserve"> representada legalmente por David Morales Romero</w:t>
      </w:r>
      <w:r w:rsidR="00EE2386" w:rsidRPr="0088617D">
        <w:rPr>
          <w:rFonts w:ascii="Gadugi" w:eastAsia="Malgun Gothic" w:hAnsi="Gadugi" w:cs="Estrangelo Edessa"/>
          <w:sz w:val="24"/>
          <w:szCs w:val="24"/>
        </w:rPr>
        <w:t>,</w:t>
      </w:r>
      <w:r w:rsidRPr="0088617D">
        <w:rPr>
          <w:rFonts w:ascii="Gadugi" w:eastAsia="Malgun Gothic" w:hAnsi="Gadugi" w:cs="Estrangelo Edessa"/>
          <w:sz w:val="24"/>
          <w:szCs w:val="24"/>
        </w:rPr>
        <w:t xml:space="preserve"> como el mayor accionista con </w:t>
      </w:r>
      <w:r w:rsidR="00EE2386" w:rsidRPr="0088617D">
        <w:rPr>
          <w:rFonts w:ascii="Gadugi" w:eastAsia="Malgun Gothic" w:hAnsi="Gadugi" w:cs="Estrangelo Edessa"/>
          <w:sz w:val="24"/>
          <w:szCs w:val="24"/>
        </w:rPr>
        <w:t xml:space="preserve">el </w:t>
      </w:r>
      <w:r w:rsidRPr="0088617D">
        <w:rPr>
          <w:rFonts w:ascii="Gadugi" w:eastAsia="Malgun Gothic" w:hAnsi="Gadugi" w:cs="Estrangelo Edessa"/>
          <w:sz w:val="24"/>
          <w:szCs w:val="24"/>
        </w:rPr>
        <w:t>55%.</w:t>
      </w:r>
    </w:p>
    <w:p w14:paraId="5A39BBE3" w14:textId="77777777" w:rsidR="00B85075" w:rsidRPr="0088617D" w:rsidRDefault="00B85075"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63A272E1" w14:textId="31C2F4D1" w:rsidR="00F155E1" w:rsidRPr="0088617D" w:rsidRDefault="00EE2386"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El</w:t>
      </w:r>
      <w:r w:rsidR="00B85075" w:rsidRPr="0088617D">
        <w:rPr>
          <w:rStyle w:val="normaltextrun"/>
          <w:rFonts w:ascii="Gadugi" w:eastAsia="Malgun Gothic" w:hAnsi="Gadugi" w:cs="Estrangelo Edessa"/>
          <w:sz w:val="24"/>
          <w:szCs w:val="24"/>
        </w:rPr>
        <w:t xml:space="preserve"> capital suscrito de la sociedad fue de $66</w:t>
      </w:r>
      <w:r w:rsidRPr="0088617D">
        <w:rPr>
          <w:rStyle w:val="normaltextrun"/>
          <w:rFonts w:ascii="Gadugi" w:eastAsia="Malgun Gothic" w:hAnsi="Gadugi" w:cs="Estrangelo Edessa"/>
          <w:sz w:val="24"/>
          <w:szCs w:val="24"/>
        </w:rPr>
        <w:t>’</w:t>
      </w:r>
      <w:r w:rsidR="00B85075" w:rsidRPr="0088617D">
        <w:rPr>
          <w:rStyle w:val="normaltextrun"/>
          <w:rFonts w:ascii="Gadugi" w:eastAsia="Malgun Gothic" w:hAnsi="Gadugi" w:cs="Estrangelo Edessa"/>
          <w:sz w:val="24"/>
          <w:szCs w:val="24"/>
        </w:rPr>
        <w:t>666.000</w:t>
      </w:r>
      <w:r w:rsidRPr="0088617D">
        <w:rPr>
          <w:rStyle w:val="normaltextrun"/>
          <w:rFonts w:ascii="Gadugi" w:eastAsia="Malgun Gothic" w:hAnsi="Gadugi" w:cs="Estrangelo Edessa"/>
          <w:sz w:val="24"/>
          <w:szCs w:val="24"/>
        </w:rPr>
        <w:t>,</w:t>
      </w:r>
      <w:r w:rsidR="00E76F66">
        <w:rPr>
          <w:rStyle w:val="normaltextrun"/>
          <w:rFonts w:ascii="Gadugi" w:eastAsia="Malgun Gothic" w:hAnsi="Gadugi" w:cs="Estrangelo Edessa"/>
          <w:sz w:val="24"/>
          <w:szCs w:val="24"/>
        </w:rPr>
        <w:t>00</w:t>
      </w:r>
      <w:r w:rsidR="00B85075" w:rsidRPr="0088617D">
        <w:rPr>
          <w:rStyle w:val="normaltextrun"/>
          <w:rFonts w:ascii="Gadugi" w:eastAsia="Malgun Gothic" w:hAnsi="Gadugi" w:cs="Estrangelo Edessa"/>
          <w:sz w:val="24"/>
          <w:szCs w:val="24"/>
        </w:rPr>
        <w:t xml:space="preserve">, dividido en 66.666 </w:t>
      </w:r>
      <w:r w:rsidR="00E445FE" w:rsidRPr="0088617D">
        <w:rPr>
          <w:rStyle w:val="normaltextrun"/>
          <w:rFonts w:ascii="Gadugi" w:eastAsia="Malgun Gothic" w:hAnsi="Gadugi" w:cs="Estrangelo Edessa"/>
          <w:sz w:val="24"/>
          <w:szCs w:val="24"/>
        </w:rPr>
        <w:t xml:space="preserve">acciones </w:t>
      </w:r>
      <w:r w:rsidR="00B85075" w:rsidRPr="0088617D">
        <w:rPr>
          <w:rStyle w:val="normaltextrun"/>
          <w:rFonts w:ascii="Gadugi" w:eastAsia="Malgun Gothic" w:hAnsi="Gadugi" w:cs="Estrangelo Edessa"/>
          <w:sz w:val="24"/>
          <w:szCs w:val="24"/>
        </w:rPr>
        <w:t>ordinarias de valor nominal de $1</w:t>
      </w:r>
      <w:r w:rsidRPr="0088617D">
        <w:rPr>
          <w:rStyle w:val="normaltextrun"/>
          <w:rFonts w:ascii="Gadugi" w:eastAsia="Malgun Gothic" w:hAnsi="Gadugi" w:cs="Estrangelo Edessa"/>
          <w:sz w:val="24"/>
          <w:szCs w:val="24"/>
        </w:rPr>
        <w:t>.</w:t>
      </w:r>
      <w:r w:rsidR="00B85075" w:rsidRPr="0088617D">
        <w:rPr>
          <w:rStyle w:val="normaltextrun"/>
          <w:rFonts w:ascii="Gadugi" w:eastAsia="Malgun Gothic" w:hAnsi="Gadugi" w:cs="Estrangelo Edessa"/>
          <w:sz w:val="24"/>
          <w:szCs w:val="24"/>
        </w:rPr>
        <w:t>000</w:t>
      </w:r>
      <w:r w:rsidR="00E76F66">
        <w:rPr>
          <w:rStyle w:val="normaltextrun"/>
          <w:rFonts w:ascii="Gadugi" w:eastAsia="Malgun Gothic" w:hAnsi="Gadugi" w:cs="Estrangelo Edessa"/>
          <w:sz w:val="24"/>
          <w:szCs w:val="24"/>
        </w:rPr>
        <w:t>,00</w:t>
      </w:r>
      <w:r w:rsidR="00B85075" w:rsidRPr="0088617D">
        <w:rPr>
          <w:rStyle w:val="normaltextrun"/>
          <w:rFonts w:ascii="Gadugi" w:eastAsia="Malgun Gothic" w:hAnsi="Gadugi" w:cs="Estrangelo Edessa"/>
          <w:sz w:val="24"/>
          <w:szCs w:val="24"/>
        </w:rPr>
        <w:t xml:space="preserve"> cada una</w:t>
      </w:r>
      <w:r w:rsidRPr="0088617D">
        <w:rPr>
          <w:rStyle w:val="normaltextrun"/>
          <w:rFonts w:ascii="Gadugi" w:eastAsia="Malgun Gothic" w:hAnsi="Gadugi" w:cs="Estrangelo Edessa"/>
          <w:sz w:val="24"/>
          <w:szCs w:val="24"/>
        </w:rPr>
        <w:t>,</w:t>
      </w:r>
      <w:r w:rsidR="00B85075" w:rsidRPr="0088617D">
        <w:rPr>
          <w:rStyle w:val="normaltextrun"/>
          <w:rFonts w:ascii="Gadugi" w:eastAsia="Malgun Gothic" w:hAnsi="Gadugi" w:cs="Estrangelo Edessa"/>
          <w:sz w:val="24"/>
          <w:szCs w:val="24"/>
        </w:rPr>
        <w:t xml:space="preserve"> y el capital pagado por $30</w:t>
      </w:r>
      <w:r w:rsidRPr="0088617D">
        <w:rPr>
          <w:rStyle w:val="normaltextrun"/>
          <w:rFonts w:ascii="Gadugi" w:eastAsia="Malgun Gothic" w:hAnsi="Gadugi" w:cs="Estrangelo Edessa"/>
          <w:sz w:val="24"/>
          <w:szCs w:val="24"/>
        </w:rPr>
        <w:t>’</w:t>
      </w:r>
      <w:r w:rsidR="00B85075" w:rsidRPr="0088617D">
        <w:rPr>
          <w:rStyle w:val="normaltextrun"/>
          <w:rFonts w:ascii="Gadugi" w:eastAsia="Malgun Gothic" w:hAnsi="Gadugi" w:cs="Estrangelo Edessa"/>
          <w:sz w:val="24"/>
          <w:szCs w:val="24"/>
        </w:rPr>
        <w:t>000.000</w:t>
      </w:r>
      <w:r w:rsidR="00E76F66">
        <w:rPr>
          <w:rStyle w:val="normaltextrun"/>
          <w:rFonts w:ascii="Gadugi" w:eastAsia="Malgun Gothic" w:hAnsi="Gadugi" w:cs="Estrangelo Edessa"/>
          <w:sz w:val="24"/>
          <w:szCs w:val="24"/>
        </w:rPr>
        <w:t>,00</w:t>
      </w:r>
      <w:r w:rsidRPr="0088617D">
        <w:rPr>
          <w:rStyle w:val="normaltextrun"/>
          <w:rFonts w:ascii="Gadugi" w:eastAsia="Malgun Gothic" w:hAnsi="Gadugi" w:cs="Estrangelo Edessa"/>
          <w:sz w:val="24"/>
          <w:szCs w:val="24"/>
        </w:rPr>
        <w:t xml:space="preserve">, </w:t>
      </w:r>
      <w:r w:rsidR="00B85075" w:rsidRPr="0088617D">
        <w:rPr>
          <w:rStyle w:val="normaltextrun"/>
          <w:rFonts w:ascii="Gadugi" w:eastAsia="Malgun Gothic" w:hAnsi="Gadugi" w:cs="Estrangelo Edessa"/>
          <w:sz w:val="24"/>
          <w:szCs w:val="24"/>
        </w:rPr>
        <w:t>dividido en 30.000 acciones ordinarias de valor nominal de $1</w:t>
      </w:r>
      <w:r w:rsidRPr="0088617D">
        <w:rPr>
          <w:rStyle w:val="normaltextrun"/>
          <w:rFonts w:ascii="Gadugi" w:eastAsia="Malgun Gothic" w:hAnsi="Gadugi" w:cs="Estrangelo Edessa"/>
          <w:sz w:val="24"/>
          <w:szCs w:val="24"/>
        </w:rPr>
        <w:t>.</w:t>
      </w:r>
      <w:r w:rsidR="00B85075" w:rsidRPr="0088617D">
        <w:rPr>
          <w:rStyle w:val="normaltextrun"/>
          <w:rFonts w:ascii="Gadugi" w:eastAsia="Malgun Gothic" w:hAnsi="Gadugi" w:cs="Estrangelo Edessa"/>
          <w:sz w:val="24"/>
          <w:szCs w:val="24"/>
        </w:rPr>
        <w:t>000</w:t>
      </w:r>
      <w:r w:rsidR="00E76F66">
        <w:rPr>
          <w:rStyle w:val="normaltextrun"/>
          <w:rFonts w:ascii="Gadugi" w:eastAsia="Malgun Gothic" w:hAnsi="Gadugi" w:cs="Estrangelo Edessa"/>
          <w:sz w:val="24"/>
          <w:szCs w:val="24"/>
        </w:rPr>
        <w:t>,00</w:t>
      </w:r>
      <w:r w:rsidR="00B85075" w:rsidRPr="0088617D">
        <w:rPr>
          <w:rStyle w:val="normaltextrun"/>
          <w:rFonts w:ascii="Gadugi" w:eastAsia="Malgun Gothic" w:hAnsi="Gadugi" w:cs="Estrangelo Edessa"/>
          <w:sz w:val="24"/>
          <w:szCs w:val="24"/>
        </w:rPr>
        <w:t xml:space="preserve"> cada una. </w:t>
      </w:r>
    </w:p>
    <w:p w14:paraId="41C8F396" w14:textId="77777777" w:rsidR="005F5664" w:rsidRPr="0088617D" w:rsidRDefault="005F5664"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6796FABD" w14:textId="30B6E249" w:rsidR="00B85075" w:rsidRPr="0088617D" w:rsidRDefault="00EE2386"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El</w:t>
      </w:r>
      <w:r w:rsidR="005F5664" w:rsidRPr="0088617D">
        <w:rPr>
          <w:rStyle w:val="normaltextrun"/>
          <w:rFonts w:ascii="Gadugi" w:eastAsia="Malgun Gothic" w:hAnsi="Gadugi" w:cs="Estrangelo Edessa"/>
          <w:sz w:val="24"/>
          <w:szCs w:val="24"/>
        </w:rPr>
        <w:t xml:space="preserve"> 29 de marzo de 2019</w:t>
      </w:r>
      <w:r w:rsidRPr="0088617D">
        <w:rPr>
          <w:rStyle w:val="normaltextrun"/>
          <w:rFonts w:ascii="Gadugi" w:eastAsia="Malgun Gothic" w:hAnsi="Gadugi" w:cs="Estrangelo Edessa"/>
          <w:sz w:val="24"/>
          <w:szCs w:val="24"/>
        </w:rPr>
        <w:t>,</w:t>
      </w:r>
      <w:r w:rsidR="005F5664" w:rsidRPr="0088617D">
        <w:rPr>
          <w:rStyle w:val="normaltextrun"/>
          <w:rFonts w:ascii="Gadugi" w:eastAsia="Malgun Gothic" w:hAnsi="Gadugi" w:cs="Estrangelo Edessa"/>
          <w:sz w:val="24"/>
          <w:szCs w:val="24"/>
        </w:rPr>
        <w:t xml:space="preserve"> se celebró asamblea general de accionistas en </w:t>
      </w:r>
      <w:r w:rsidRPr="0088617D">
        <w:rPr>
          <w:rStyle w:val="normaltextrun"/>
          <w:rFonts w:ascii="Gadugi" w:eastAsia="Malgun Gothic" w:hAnsi="Gadugi" w:cs="Estrangelo Edessa"/>
          <w:sz w:val="24"/>
          <w:szCs w:val="24"/>
        </w:rPr>
        <w:t xml:space="preserve">la que </w:t>
      </w:r>
      <w:r w:rsidR="005F5664" w:rsidRPr="0088617D">
        <w:rPr>
          <w:rStyle w:val="normaltextrun"/>
          <w:rFonts w:ascii="Gadugi" w:eastAsia="Malgun Gothic" w:hAnsi="Gadugi" w:cs="Estrangelo Edessa"/>
          <w:sz w:val="24"/>
          <w:szCs w:val="24"/>
        </w:rPr>
        <w:t>fue apr</w:t>
      </w:r>
      <w:r w:rsidR="00FF3CA1" w:rsidRPr="0088617D">
        <w:rPr>
          <w:rStyle w:val="normaltextrun"/>
          <w:rFonts w:ascii="Gadugi" w:eastAsia="Malgun Gothic" w:hAnsi="Gadugi" w:cs="Estrangelo Edessa"/>
          <w:sz w:val="24"/>
          <w:szCs w:val="24"/>
        </w:rPr>
        <w:t xml:space="preserve">obado </w:t>
      </w:r>
      <w:r w:rsidRPr="0088617D">
        <w:rPr>
          <w:rStyle w:val="normaltextrun"/>
          <w:rFonts w:ascii="Gadugi" w:eastAsia="Malgun Gothic" w:hAnsi="Gadugi" w:cs="Estrangelo Edessa"/>
          <w:sz w:val="24"/>
          <w:szCs w:val="24"/>
        </w:rPr>
        <w:t>el</w:t>
      </w:r>
      <w:r w:rsidR="00FF3CA1" w:rsidRPr="0088617D">
        <w:rPr>
          <w:rStyle w:val="normaltextrun"/>
          <w:rFonts w:ascii="Gadugi" w:eastAsia="Malgun Gothic" w:hAnsi="Gadugi" w:cs="Estrangelo Edessa"/>
          <w:sz w:val="24"/>
          <w:szCs w:val="24"/>
        </w:rPr>
        <w:t xml:space="preserve"> balance del año 2018;</w:t>
      </w:r>
      <w:r w:rsidR="005F5664" w:rsidRPr="0088617D">
        <w:rPr>
          <w:rStyle w:val="normaltextrun"/>
          <w:rFonts w:ascii="Gadugi" w:eastAsia="Malgun Gothic" w:hAnsi="Gadugi" w:cs="Estrangelo Edessa"/>
          <w:sz w:val="24"/>
          <w:szCs w:val="24"/>
        </w:rPr>
        <w:t xml:space="preserve"> sin embargo, María lucero Luna López y Jessica Luna Correa</w:t>
      </w:r>
      <w:r w:rsidRPr="0088617D">
        <w:rPr>
          <w:rStyle w:val="normaltextrun"/>
          <w:rFonts w:ascii="Gadugi" w:eastAsia="Malgun Gothic" w:hAnsi="Gadugi" w:cs="Estrangelo Edessa"/>
          <w:sz w:val="24"/>
          <w:szCs w:val="24"/>
        </w:rPr>
        <w:t>,</w:t>
      </w:r>
      <w:r w:rsidR="005F5664" w:rsidRPr="0088617D">
        <w:rPr>
          <w:rStyle w:val="normaltextrun"/>
          <w:rFonts w:ascii="Gadugi" w:eastAsia="Malgun Gothic" w:hAnsi="Gadugi" w:cs="Estrangelo Edessa"/>
          <w:sz w:val="24"/>
          <w:szCs w:val="24"/>
        </w:rPr>
        <w:t xml:space="preserve"> por intermedio de sus apoderados</w:t>
      </w:r>
      <w:r w:rsidRPr="0088617D">
        <w:rPr>
          <w:rStyle w:val="normaltextrun"/>
          <w:rFonts w:ascii="Gadugi" w:eastAsia="Malgun Gothic" w:hAnsi="Gadugi" w:cs="Estrangelo Edessa"/>
          <w:sz w:val="24"/>
          <w:szCs w:val="24"/>
        </w:rPr>
        <w:t>,</w:t>
      </w:r>
      <w:r w:rsidR="005F5664" w:rsidRPr="0088617D">
        <w:rPr>
          <w:rStyle w:val="normaltextrun"/>
          <w:rFonts w:ascii="Gadugi" w:eastAsia="Malgun Gothic" w:hAnsi="Gadugi" w:cs="Estrangelo Edessa"/>
          <w:sz w:val="24"/>
          <w:szCs w:val="24"/>
        </w:rPr>
        <w:t xml:space="preserve"> votaron negativamente dichos balances, </w:t>
      </w:r>
      <w:r w:rsidRPr="0088617D">
        <w:rPr>
          <w:rStyle w:val="normaltextrun"/>
          <w:rFonts w:ascii="Gadugi" w:eastAsia="Malgun Gothic" w:hAnsi="Gadugi" w:cs="Estrangelo Edessa"/>
          <w:sz w:val="24"/>
          <w:szCs w:val="24"/>
        </w:rPr>
        <w:t xml:space="preserve">ya que presentaban </w:t>
      </w:r>
      <w:r w:rsidR="005F5664" w:rsidRPr="0088617D">
        <w:rPr>
          <w:rStyle w:val="normaltextrun"/>
          <w:rFonts w:ascii="Gadugi" w:eastAsia="Malgun Gothic" w:hAnsi="Gadugi" w:cs="Estrangelo Edessa"/>
          <w:sz w:val="24"/>
          <w:szCs w:val="24"/>
        </w:rPr>
        <w:t>inconsistencias y manejos indebidos de recursos.</w:t>
      </w:r>
    </w:p>
    <w:p w14:paraId="72A3D3EC" w14:textId="77777777" w:rsidR="005F5664" w:rsidRPr="0088617D" w:rsidRDefault="005F5664"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71AD1471" w14:textId="1629D643" w:rsidR="005F5664" w:rsidRPr="0088617D" w:rsidRDefault="00EE2386"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 xml:space="preserve">Resaltó que, </w:t>
      </w:r>
      <w:r w:rsidR="00E55CF0" w:rsidRPr="0088617D">
        <w:rPr>
          <w:rStyle w:val="normaltextrun"/>
          <w:rFonts w:ascii="Gadugi" w:eastAsia="Malgun Gothic" w:hAnsi="Gadugi" w:cs="Estrangelo Edessa"/>
          <w:sz w:val="24"/>
          <w:szCs w:val="24"/>
        </w:rPr>
        <w:t xml:space="preserve">revisado el libro de accionistas en la reunión de la asamblea general, </w:t>
      </w:r>
      <w:r w:rsidRPr="0088617D">
        <w:rPr>
          <w:rStyle w:val="normaltextrun"/>
          <w:rFonts w:ascii="Gadugi" w:eastAsia="Malgun Gothic" w:hAnsi="Gadugi" w:cs="Estrangelo Edessa"/>
          <w:sz w:val="24"/>
          <w:szCs w:val="24"/>
        </w:rPr>
        <w:t>sus</w:t>
      </w:r>
      <w:r w:rsidR="00E55CF0" w:rsidRPr="0088617D">
        <w:rPr>
          <w:rStyle w:val="normaltextrun"/>
          <w:rFonts w:ascii="Gadugi" w:eastAsia="Malgun Gothic" w:hAnsi="Gadugi" w:cs="Estrangelo Edessa"/>
          <w:sz w:val="24"/>
          <w:szCs w:val="24"/>
        </w:rPr>
        <w:t xml:space="preserve"> apodera</w:t>
      </w:r>
      <w:r w:rsidR="00C34C46" w:rsidRPr="0088617D">
        <w:rPr>
          <w:rStyle w:val="normaltextrun"/>
          <w:rFonts w:ascii="Gadugi" w:eastAsia="Malgun Gothic" w:hAnsi="Gadugi" w:cs="Estrangelo Edessa"/>
          <w:sz w:val="24"/>
          <w:szCs w:val="24"/>
        </w:rPr>
        <w:t>dos</w:t>
      </w:r>
      <w:r w:rsidR="00E445FE" w:rsidRPr="0088617D">
        <w:rPr>
          <w:rStyle w:val="normaltextrun"/>
          <w:rFonts w:ascii="Gadugi" w:eastAsia="Malgun Gothic" w:hAnsi="Gadugi" w:cs="Estrangelo Edessa"/>
          <w:sz w:val="24"/>
          <w:szCs w:val="24"/>
        </w:rPr>
        <w:t xml:space="preserve"> </w:t>
      </w:r>
      <w:r w:rsidR="00C34C46" w:rsidRPr="0088617D">
        <w:rPr>
          <w:rStyle w:val="normaltextrun"/>
          <w:rFonts w:ascii="Gadugi" w:eastAsia="Malgun Gothic" w:hAnsi="Gadugi" w:cs="Estrangelo Edessa"/>
          <w:sz w:val="24"/>
          <w:szCs w:val="24"/>
        </w:rPr>
        <w:t xml:space="preserve">vislumbraron </w:t>
      </w:r>
      <w:r w:rsidRPr="0088617D">
        <w:rPr>
          <w:rStyle w:val="normaltextrun"/>
          <w:rFonts w:ascii="Gadugi" w:eastAsia="Malgun Gothic" w:hAnsi="Gadugi" w:cs="Estrangelo Edessa"/>
          <w:sz w:val="24"/>
          <w:szCs w:val="24"/>
        </w:rPr>
        <w:t xml:space="preserve">que </w:t>
      </w:r>
      <w:r w:rsidR="00E55CF0" w:rsidRPr="0088617D">
        <w:rPr>
          <w:rStyle w:val="normaltextrun"/>
          <w:rFonts w:ascii="Gadugi" w:eastAsia="Malgun Gothic" w:hAnsi="Gadugi" w:cs="Estrangelo Edessa"/>
          <w:sz w:val="24"/>
          <w:szCs w:val="24"/>
        </w:rPr>
        <w:t>el representante de Innova Decoración S.A.S</w:t>
      </w:r>
      <w:r w:rsidRPr="0088617D">
        <w:rPr>
          <w:rStyle w:val="normaltextrun"/>
          <w:rFonts w:ascii="Gadugi" w:eastAsia="Malgun Gothic" w:hAnsi="Gadugi" w:cs="Estrangelo Edessa"/>
          <w:sz w:val="24"/>
          <w:szCs w:val="24"/>
        </w:rPr>
        <w:t>.</w:t>
      </w:r>
      <w:r w:rsidR="00E55CF0" w:rsidRPr="0088617D">
        <w:rPr>
          <w:rStyle w:val="normaltextrun"/>
          <w:rFonts w:ascii="Gadugi" w:eastAsia="Malgun Gothic" w:hAnsi="Gadugi" w:cs="Estrangelo Edessa"/>
          <w:sz w:val="24"/>
          <w:szCs w:val="24"/>
        </w:rPr>
        <w:t xml:space="preserve"> aparecía como titular del 10% de la participación accionaria que correspondía a la señora Jessica Luna Correa, situación que tuvo que ser subsanada previo al inicio de la asamblea.</w:t>
      </w:r>
    </w:p>
    <w:p w14:paraId="0D0B940D" w14:textId="77777777" w:rsidR="00C34C46" w:rsidRPr="0088617D" w:rsidRDefault="00C34C46"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085EDD8D" w14:textId="21614A6B" w:rsidR="00C34C46" w:rsidRPr="0088617D" w:rsidRDefault="00EE2386"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 xml:space="preserve">Además, </w:t>
      </w:r>
      <w:r w:rsidR="00AE1D69" w:rsidRPr="0088617D">
        <w:rPr>
          <w:rStyle w:val="normaltextrun"/>
          <w:rFonts w:ascii="Gadugi" w:eastAsia="Malgun Gothic" w:hAnsi="Gadugi" w:cs="Estrangelo Edessa"/>
          <w:sz w:val="24"/>
          <w:szCs w:val="24"/>
        </w:rPr>
        <w:t>no se celebr</w:t>
      </w:r>
      <w:r w:rsidRPr="0088617D">
        <w:rPr>
          <w:rStyle w:val="normaltextrun"/>
          <w:rFonts w:ascii="Gadugi" w:eastAsia="Malgun Gothic" w:hAnsi="Gadugi" w:cs="Estrangelo Edessa"/>
          <w:sz w:val="24"/>
          <w:szCs w:val="24"/>
        </w:rPr>
        <w:t>aron</w:t>
      </w:r>
      <w:r w:rsidR="00AE1D69" w:rsidRPr="0088617D">
        <w:rPr>
          <w:rStyle w:val="normaltextrun"/>
          <w:rFonts w:ascii="Gadugi" w:eastAsia="Malgun Gothic" w:hAnsi="Gadugi" w:cs="Estrangelo Edessa"/>
          <w:sz w:val="24"/>
          <w:szCs w:val="24"/>
        </w:rPr>
        <w:t xml:space="preserve"> por parte de la Sociedad Innova Decoración S.A.S. asambleas generales de accionistas durante los años 2016, 2017 y 2018, lo </w:t>
      </w:r>
      <w:r w:rsidRPr="0088617D">
        <w:rPr>
          <w:rStyle w:val="normaltextrun"/>
          <w:rFonts w:ascii="Gadugi" w:eastAsia="Malgun Gothic" w:hAnsi="Gadugi" w:cs="Estrangelo Edessa"/>
          <w:sz w:val="24"/>
          <w:szCs w:val="24"/>
        </w:rPr>
        <w:t>que</w:t>
      </w:r>
      <w:r w:rsidR="00AE1D69" w:rsidRPr="0088617D">
        <w:rPr>
          <w:rStyle w:val="normaltextrun"/>
          <w:rFonts w:ascii="Gadugi" w:eastAsia="Malgun Gothic" w:hAnsi="Gadugi" w:cs="Estrangelo Edessa"/>
          <w:sz w:val="24"/>
          <w:szCs w:val="24"/>
        </w:rPr>
        <w:t xml:space="preserve"> demuestra que los estados financieros de los años anteriores al año 2019 n</w:t>
      </w:r>
      <w:r w:rsidRPr="0088617D">
        <w:rPr>
          <w:rStyle w:val="normaltextrun"/>
          <w:rFonts w:ascii="Gadugi" w:eastAsia="Malgun Gothic" w:hAnsi="Gadugi" w:cs="Estrangelo Edessa"/>
          <w:sz w:val="24"/>
          <w:szCs w:val="24"/>
        </w:rPr>
        <w:t xml:space="preserve">unca </w:t>
      </w:r>
      <w:r w:rsidR="00AE1D69" w:rsidRPr="0088617D">
        <w:rPr>
          <w:rStyle w:val="normaltextrun"/>
          <w:rFonts w:ascii="Gadugi" w:eastAsia="Malgun Gothic" w:hAnsi="Gadugi" w:cs="Estrangelo Edessa"/>
          <w:sz w:val="24"/>
          <w:szCs w:val="24"/>
        </w:rPr>
        <w:t>fueron discutidos y aprobados por los accionistas.</w:t>
      </w:r>
    </w:p>
    <w:p w14:paraId="0E27B00A" w14:textId="77777777" w:rsidR="00AE1D69" w:rsidRPr="0088617D" w:rsidRDefault="00AE1D69"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3B577925" w14:textId="61EF22AE" w:rsidR="00AE1D69" w:rsidRPr="0088617D" w:rsidRDefault="00AE1D69"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 xml:space="preserve">Con respecto </w:t>
      </w:r>
      <w:r w:rsidR="00EE2386" w:rsidRPr="0088617D">
        <w:rPr>
          <w:rStyle w:val="normaltextrun"/>
          <w:rFonts w:ascii="Gadugi" w:eastAsia="Malgun Gothic" w:hAnsi="Gadugi" w:cs="Estrangelo Edessa"/>
          <w:sz w:val="24"/>
          <w:szCs w:val="24"/>
        </w:rPr>
        <w:t>a</w:t>
      </w:r>
      <w:r w:rsidRPr="0088617D">
        <w:rPr>
          <w:rStyle w:val="normaltextrun"/>
          <w:rFonts w:ascii="Gadugi" w:eastAsia="Malgun Gothic" w:hAnsi="Gadugi" w:cs="Estrangelo Edessa"/>
          <w:sz w:val="24"/>
          <w:szCs w:val="24"/>
        </w:rPr>
        <w:t xml:space="preserve"> las objeciones realizadas</w:t>
      </w:r>
      <w:r w:rsidR="00EE2386" w:rsidRPr="0088617D">
        <w:rPr>
          <w:rStyle w:val="normaltextrun"/>
          <w:rFonts w:ascii="Gadugi" w:eastAsia="Malgun Gothic" w:hAnsi="Gadugi" w:cs="Estrangelo Edessa"/>
          <w:sz w:val="24"/>
          <w:szCs w:val="24"/>
        </w:rPr>
        <w:t xml:space="preserve">, </w:t>
      </w:r>
      <w:r w:rsidRPr="0088617D">
        <w:rPr>
          <w:rStyle w:val="normaltextrun"/>
          <w:rFonts w:ascii="Gadugi" w:eastAsia="Malgun Gothic" w:hAnsi="Gadugi" w:cs="Estrangelo Edessa"/>
          <w:sz w:val="24"/>
          <w:szCs w:val="24"/>
        </w:rPr>
        <w:t xml:space="preserve"> menciona que sus discrepancias se centraron en</w:t>
      </w:r>
      <w:r w:rsidR="00EE2386" w:rsidRPr="0088617D">
        <w:rPr>
          <w:rStyle w:val="normaltextrun"/>
          <w:rFonts w:ascii="Gadugi" w:eastAsia="Malgun Gothic" w:hAnsi="Gadugi" w:cs="Estrangelo Edessa"/>
          <w:sz w:val="24"/>
          <w:szCs w:val="24"/>
        </w:rPr>
        <w:t xml:space="preserve"> que (i)</w:t>
      </w:r>
      <w:r w:rsidRPr="0088617D">
        <w:rPr>
          <w:rStyle w:val="normaltextrun"/>
          <w:rFonts w:ascii="Gadugi" w:eastAsia="Malgun Gothic" w:hAnsi="Gadugi" w:cs="Estrangelo Edessa"/>
          <w:sz w:val="24"/>
          <w:szCs w:val="24"/>
        </w:rPr>
        <w:t xml:space="preserve"> los estados financieros no se encuentran firmados por sus creadores; </w:t>
      </w:r>
      <w:r w:rsidR="00EE2386" w:rsidRPr="0088617D">
        <w:rPr>
          <w:rStyle w:val="normaltextrun"/>
          <w:rFonts w:ascii="Gadugi" w:eastAsia="Malgun Gothic" w:hAnsi="Gadugi" w:cs="Estrangelo Edessa"/>
          <w:sz w:val="24"/>
          <w:szCs w:val="24"/>
        </w:rPr>
        <w:t xml:space="preserve">(ii) </w:t>
      </w:r>
      <w:r w:rsidRPr="0088617D">
        <w:rPr>
          <w:rStyle w:val="normaltextrun"/>
          <w:rFonts w:ascii="Gadugi" w:eastAsia="Malgun Gothic" w:hAnsi="Gadugi" w:cs="Estrangelo Edessa"/>
          <w:sz w:val="24"/>
          <w:szCs w:val="24"/>
        </w:rPr>
        <w:t>en determinado momento de las operaciones mercantiles de Innova, la sociedad Megacor se convirt</w:t>
      </w:r>
      <w:r w:rsidR="00EE2386" w:rsidRPr="0088617D">
        <w:rPr>
          <w:rStyle w:val="normaltextrun"/>
          <w:rFonts w:ascii="Gadugi" w:eastAsia="Malgun Gothic" w:hAnsi="Gadugi" w:cs="Estrangelo Edessa"/>
          <w:sz w:val="24"/>
          <w:szCs w:val="24"/>
        </w:rPr>
        <w:t>ió</w:t>
      </w:r>
      <w:r w:rsidRPr="0088617D">
        <w:rPr>
          <w:rStyle w:val="normaltextrun"/>
          <w:rFonts w:ascii="Gadugi" w:eastAsia="Malgun Gothic" w:hAnsi="Gadugi" w:cs="Estrangelo Edessa"/>
          <w:sz w:val="24"/>
          <w:szCs w:val="24"/>
        </w:rPr>
        <w:t xml:space="preserve"> en uno de sus acreedores</w:t>
      </w:r>
      <w:r w:rsidR="00862E8F" w:rsidRPr="0088617D">
        <w:rPr>
          <w:rStyle w:val="normaltextrun"/>
          <w:rFonts w:ascii="Gadugi" w:eastAsia="Malgun Gothic" w:hAnsi="Gadugi" w:cs="Estrangelo Edessa"/>
          <w:sz w:val="24"/>
          <w:szCs w:val="24"/>
        </w:rPr>
        <w:t>, lo cual no consta en un v</w:t>
      </w:r>
      <w:r w:rsidR="00EE2386" w:rsidRPr="0088617D">
        <w:rPr>
          <w:rStyle w:val="normaltextrun"/>
          <w:rFonts w:ascii="Gadugi" w:eastAsia="Malgun Gothic" w:hAnsi="Gadugi" w:cs="Estrangelo Edessa"/>
          <w:sz w:val="24"/>
          <w:szCs w:val="24"/>
        </w:rPr>
        <w:t>ínculo jurídico</w:t>
      </w:r>
      <w:r w:rsidR="00862E8F" w:rsidRPr="0088617D">
        <w:rPr>
          <w:rStyle w:val="normaltextrun"/>
          <w:rFonts w:ascii="Gadugi" w:eastAsia="Malgun Gothic" w:hAnsi="Gadugi" w:cs="Estrangelo Edessa"/>
          <w:sz w:val="24"/>
          <w:szCs w:val="24"/>
        </w:rPr>
        <w:t xml:space="preserve"> idóneo; </w:t>
      </w:r>
      <w:r w:rsidR="00EE2386" w:rsidRPr="0088617D">
        <w:rPr>
          <w:rStyle w:val="normaltextrun"/>
          <w:rFonts w:ascii="Gadugi" w:eastAsia="Malgun Gothic" w:hAnsi="Gadugi" w:cs="Estrangelo Edessa"/>
          <w:sz w:val="24"/>
          <w:szCs w:val="24"/>
        </w:rPr>
        <w:t>(iii)</w:t>
      </w:r>
      <w:r w:rsidR="00862E8F" w:rsidRPr="0088617D">
        <w:rPr>
          <w:rStyle w:val="normaltextrun"/>
          <w:rFonts w:ascii="Gadugi" w:eastAsia="Malgun Gothic" w:hAnsi="Gadugi" w:cs="Estrangelo Edessa"/>
          <w:sz w:val="24"/>
          <w:szCs w:val="24"/>
        </w:rPr>
        <w:t xml:space="preserve"> el contador de la sociedad Innova manifestó que en </w:t>
      </w:r>
      <w:r w:rsidR="00862E8F" w:rsidRPr="0088617D">
        <w:rPr>
          <w:rStyle w:val="normaltextrun"/>
          <w:rFonts w:ascii="Gadugi" w:eastAsia="Malgun Gothic" w:hAnsi="Gadugi" w:cs="Estrangelo Edessa"/>
          <w:sz w:val="24"/>
          <w:szCs w:val="24"/>
        </w:rPr>
        <w:lastRenderedPageBreak/>
        <w:t xml:space="preserve">determinado momento se empezaron a canalizar las operaciones de Megacor, a través de </w:t>
      </w:r>
      <w:r w:rsidR="004128A4" w:rsidRPr="0088617D">
        <w:rPr>
          <w:rStyle w:val="normaltextrun"/>
          <w:rFonts w:ascii="Gadugi" w:eastAsia="Malgun Gothic" w:hAnsi="Gadugi" w:cs="Estrangelo Edessa"/>
          <w:sz w:val="24"/>
          <w:szCs w:val="24"/>
        </w:rPr>
        <w:t>aquella</w:t>
      </w:r>
      <w:r w:rsidR="004C47A2" w:rsidRPr="0088617D">
        <w:rPr>
          <w:rStyle w:val="normaltextrun"/>
          <w:rFonts w:ascii="Gadugi" w:eastAsia="Malgun Gothic" w:hAnsi="Gadugi" w:cs="Estrangelo Edessa"/>
          <w:sz w:val="24"/>
          <w:szCs w:val="24"/>
        </w:rPr>
        <w:t xml:space="preserve">; </w:t>
      </w:r>
      <w:r w:rsidR="004128A4" w:rsidRPr="0088617D">
        <w:rPr>
          <w:rStyle w:val="normaltextrun"/>
          <w:rFonts w:ascii="Gadugi" w:eastAsia="Malgun Gothic" w:hAnsi="Gadugi" w:cs="Estrangelo Edessa"/>
          <w:sz w:val="24"/>
          <w:szCs w:val="24"/>
        </w:rPr>
        <w:t xml:space="preserve">(iv) </w:t>
      </w:r>
      <w:r w:rsidR="00CC2336" w:rsidRPr="0088617D">
        <w:rPr>
          <w:rStyle w:val="normaltextrun"/>
          <w:rFonts w:ascii="Gadugi" w:eastAsia="Malgun Gothic" w:hAnsi="Gadugi" w:cs="Estrangelo Edessa"/>
          <w:sz w:val="24"/>
          <w:szCs w:val="24"/>
        </w:rPr>
        <w:t>con respecto a la titularidad de las acciones de la señora Jessica Luna Correa, aparece como titular el representante legal de la sociedad Innova</w:t>
      </w:r>
      <w:r w:rsidR="00E445FE" w:rsidRPr="0088617D">
        <w:rPr>
          <w:rStyle w:val="normaltextrun"/>
          <w:rFonts w:ascii="Gadugi" w:eastAsia="Malgun Gothic" w:hAnsi="Gadugi" w:cs="Estrangelo Edessa"/>
          <w:sz w:val="24"/>
          <w:szCs w:val="24"/>
        </w:rPr>
        <w:t xml:space="preserve"> y no ella</w:t>
      </w:r>
      <w:r w:rsidR="00CC2336" w:rsidRPr="0088617D">
        <w:rPr>
          <w:rStyle w:val="normaltextrun"/>
          <w:rFonts w:ascii="Gadugi" w:eastAsia="Malgun Gothic" w:hAnsi="Gadugi" w:cs="Estrangelo Edessa"/>
          <w:sz w:val="24"/>
          <w:szCs w:val="24"/>
        </w:rPr>
        <w:t xml:space="preserve">; </w:t>
      </w:r>
      <w:r w:rsidR="004128A4" w:rsidRPr="0088617D">
        <w:rPr>
          <w:rStyle w:val="normaltextrun"/>
          <w:rFonts w:ascii="Gadugi" w:eastAsia="Malgun Gothic" w:hAnsi="Gadugi" w:cs="Estrangelo Edessa"/>
          <w:sz w:val="24"/>
          <w:szCs w:val="24"/>
        </w:rPr>
        <w:t>(v)</w:t>
      </w:r>
      <w:r w:rsidR="00CC2336" w:rsidRPr="0088617D">
        <w:rPr>
          <w:rStyle w:val="normaltextrun"/>
          <w:rFonts w:ascii="Gadugi" w:eastAsia="Malgun Gothic" w:hAnsi="Gadugi" w:cs="Estrangelo Edessa"/>
          <w:sz w:val="24"/>
          <w:szCs w:val="24"/>
        </w:rPr>
        <w:t xml:space="preserve"> los estados financieros presentan falencias notorias</w:t>
      </w:r>
      <w:r w:rsidR="004128A4" w:rsidRPr="0088617D">
        <w:rPr>
          <w:rStyle w:val="normaltextrun"/>
          <w:rFonts w:ascii="Gadugi" w:eastAsia="Malgun Gothic" w:hAnsi="Gadugi" w:cs="Estrangelo Edessa"/>
          <w:sz w:val="24"/>
          <w:szCs w:val="24"/>
        </w:rPr>
        <w:t>; y (vi)</w:t>
      </w:r>
      <w:r w:rsidR="00CC2336" w:rsidRPr="0088617D">
        <w:rPr>
          <w:rStyle w:val="normaltextrun"/>
          <w:rFonts w:ascii="Gadugi" w:eastAsia="Malgun Gothic" w:hAnsi="Gadugi" w:cs="Estrangelo Edessa"/>
          <w:sz w:val="24"/>
          <w:szCs w:val="24"/>
        </w:rPr>
        <w:t xml:space="preserve"> la </w:t>
      </w:r>
      <w:r w:rsidR="004128A4" w:rsidRPr="0088617D">
        <w:rPr>
          <w:rStyle w:val="normaltextrun"/>
          <w:rFonts w:ascii="Gadugi" w:eastAsia="Malgun Gothic" w:hAnsi="Gadugi" w:cs="Estrangelo Edessa"/>
          <w:sz w:val="24"/>
          <w:szCs w:val="24"/>
        </w:rPr>
        <w:t xml:space="preserve">falta de </w:t>
      </w:r>
      <w:r w:rsidR="00CC2336" w:rsidRPr="0088617D">
        <w:rPr>
          <w:rStyle w:val="normaltextrun"/>
          <w:rFonts w:ascii="Gadugi" w:eastAsia="Malgun Gothic" w:hAnsi="Gadugi" w:cs="Estrangelo Edessa"/>
          <w:sz w:val="24"/>
          <w:szCs w:val="24"/>
        </w:rPr>
        <w:t>realización de asamblea general de accionistas durante los periodos 2017</w:t>
      </w:r>
      <w:r w:rsidR="004128A4" w:rsidRPr="0088617D">
        <w:rPr>
          <w:rStyle w:val="normaltextrun"/>
          <w:rFonts w:ascii="Gadugi" w:eastAsia="Malgun Gothic" w:hAnsi="Gadugi" w:cs="Estrangelo Edessa"/>
          <w:sz w:val="24"/>
          <w:szCs w:val="24"/>
        </w:rPr>
        <w:t>-</w:t>
      </w:r>
      <w:r w:rsidR="00CC2336" w:rsidRPr="0088617D">
        <w:rPr>
          <w:rStyle w:val="normaltextrun"/>
          <w:rFonts w:ascii="Gadugi" w:eastAsia="Malgun Gothic" w:hAnsi="Gadugi" w:cs="Estrangelo Edessa"/>
          <w:sz w:val="24"/>
          <w:szCs w:val="24"/>
        </w:rPr>
        <w:t>2018</w:t>
      </w:r>
      <w:r w:rsidR="004128A4" w:rsidRPr="0088617D">
        <w:rPr>
          <w:rStyle w:val="normaltextrun"/>
          <w:rFonts w:ascii="Gadugi" w:eastAsia="Malgun Gothic" w:hAnsi="Gadugi" w:cs="Estrangelo Edessa"/>
          <w:sz w:val="24"/>
          <w:szCs w:val="24"/>
        </w:rPr>
        <w:t>,</w:t>
      </w:r>
      <w:r w:rsidR="00CC2336" w:rsidRPr="0088617D">
        <w:rPr>
          <w:rStyle w:val="normaltextrun"/>
          <w:rFonts w:ascii="Gadugi" w:eastAsia="Malgun Gothic" w:hAnsi="Gadugi" w:cs="Estrangelo Edessa"/>
          <w:sz w:val="24"/>
          <w:szCs w:val="24"/>
        </w:rPr>
        <w:t xml:space="preserve"> para la aprobación de los estados financieros.</w:t>
      </w:r>
    </w:p>
    <w:p w14:paraId="60061E4C" w14:textId="77777777" w:rsidR="00CC2336" w:rsidRPr="0088617D" w:rsidRDefault="00CC2336"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4C494A02" w14:textId="388B214C" w:rsidR="00CC2336" w:rsidRPr="0088617D" w:rsidRDefault="004128A4"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 xml:space="preserve">Agregó que, </w:t>
      </w:r>
      <w:r w:rsidR="00CC2336" w:rsidRPr="0088617D">
        <w:rPr>
          <w:rStyle w:val="normaltextrun"/>
          <w:rFonts w:ascii="Gadugi" w:eastAsia="Malgun Gothic" w:hAnsi="Gadugi" w:cs="Estrangelo Edessa"/>
          <w:sz w:val="24"/>
          <w:szCs w:val="24"/>
        </w:rPr>
        <w:t xml:space="preserve">pese a que sus apoderados manifestaron las discrepancias con los estados financieros del periodo 2018, </w:t>
      </w:r>
      <w:r w:rsidR="00D71AC4" w:rsidRPr="0088617D">
        <w:rPr>
          <w:rStyle w:val="normaltextrun"/>
          <w:rFonts w:ascii="Gadugi" w:eastAsia="Malgun Gothic" w:hAnsi="Gadugi" w:cs="Estrangelo Edessa"/>
          <w:sz w:val="24"/>
          <w:szCs w:val="24"/>
        </w:rPr>
        <w:t xml:space="preserve">fueron aprobados por su socio mayoritario Inversiones Megacor. </w:t>
      </w:r>
    </w:p>
    <w:p w14:paraId="44EAFD9C" w14:textId="77777777" w:rsidR="00D71AC4" w:rsidRPr="0088617D" w:rsidRDefault="00D71AC4"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32837561" w14:textId="0F36AC1D" w:rsidR="00D71AC4" w:rsidRPr="0088617D" w:rsidRDefault="004128A4"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Y que,</w:t>
      </w:r>
      <w:r w:rsidR="00E445FE" w:rsidRPr="0088617D">
        <w:rPr>
          <w:rStyle w:val="normaltextrun"/>
          <w:rFonts w:ascii="Gadugi" w:eastAsia="Malgun Gothic" w:hAnsi="Gadugi" w:cs="Estrangelo Edessa"/>
          <w:sz w:val="24"/>
          <w:szCs w:val="24"/>
        </w:rPr>
        <w:t xml:space="preserve"> aunque</w:t>
      </w:r>
      <w:r w:rsidR="00D71AC4" w:rsidRPr="0088617D">
        <w:rPr>
          <w:rStyle w:val="normaltextrun"/>
          <w:rFonts w:ascii="Gadugi" w:eastAsia="Malgun Gothic" w:hAnsi="Gadugi" w:cs="Estrangelo Edessa"/>
          <w:sz w:val="24"/>
          <w:szCs w:val="24"/>
        </w:rPr>
        <w:t xml:space="preserve"> se hizo manifestación expresa para aplazar la asamblea y revisar exhaustivamente los estados financieros, dicha petición fue descartada y se aprob</w:t>
      </w:r>
      <w:r w:rsidRPr="0088617D">
        <w:rPr>
          <w:rStyle w:val="normaltextrun"/>
          <w:rFonts w:ascii="Gadugi" w:eastAsia="Malgun Gothic" w:hAnsi="Gadugi" w:cs="Estrangelo Edessa"/>
          <w:sz w:val="24"/>
          <w:szCs w:val="24"/>
        </w:rPr>
        <w:t>aron,</w:t>
      </w:r>
      <w:r w:rsidR="00D71AC4" w:rsidRPr="0088617D">
        <w:rPr>
          <w:rStyle w:val="normaltextrun"/>
          <w:rFonts w:ascii="Gadugi" w:eastAsia="Malgun Gothic" w:hAnsi="Gadugi" w:cs="Estrangelo Edessa"/>
          <w:sz w:val="24"/>
          <w:szCs w:val="24"/>
        </w:rPr>
        <w:t xml:space="preserve"> sin trascender los disensos presentados por las accionistas María Lucero Luna y J</w:t>
      </w:r>
      <w:r w:rsidRPr="0088617D">
        <w:rPr>
          <w:rStyle w:val="normaltextrun"/>
          <w:rFonts w:ascii="Gadugi" w:eastAsia="Malgun Gothic" w:hAnsi="Gadugi" w:cs="Estrangelo Edessa"/>
          <w:sz w:val="24"/>
          <w:szCs w:val="24"/>
        </w:rPr>
        <w:t>é</w:t>
      </w:r>
      <w:r w:rsidR="00D71AC4" w:rsidRPr="0088617D">
        <w:rPr>
          <w:rStyle w:val="normaltextrun"/>
          <w:rFonts w:ascii="Gadugi" w:eastAsia="Malgun Gothic" w:hAnsi="Gadugi" w:cs="Estrangelo Edessa"/>
          <w:sz w:val="24"/>
          <w:szCs w:val="24"/>
        </w:rPr>
        <w:t>ssica Luna Correa</w:t>
      </w:r>
      <w:r w:rsidRPr="0088617D">
        <w:rPr>
          <w:rStyle w:val="normaltextrun"/>
          <w:rFonts w:ascii="Gadugi" w:eastAsia="Malgun Gothic" w:hAnsi="Gadugi" w:cs="Estrangelo Edessa"/>
          <w:sz w:val="24"/>
          <w:szCs w:val="24"/>
        </w:rPr>
        <w:t>,</w:t>
      </w:r>
      <w:r w:rsidR="00D71AC4" w:rsidRPr="0088617D">
        <w:rPr>
          <w:rStyle w:val="normaltextrun"/>
          <w:rFonts w:ascii="Gadugi" w:eastAsia="Malgun Gothic" w:hAnsi="Gadugi" w:cs="Estrangelo Edessa"/>
          <w:sz w:val="24"/>
          <w:szCs w:val="24"/>
        </w:rPr>
        <w:t xml:space="preserve"> por intermedio de sus apoderados.</w:t>
      </w:r>
    </w:p>
    <w:p w14:paraId="4B94D5A5" w14:textId="77777777" w:rsidR="00514DBF" w:rsidRPr="0088617D" w:rsidRDefault="00514DBF"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1BD7791A" w14:textId="7B4804B7" w:rsidR="00514DBF" w:rsidRPr="0088617D" w:rsidRDefault="009D068B"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Aduce que</w:t>
      </w:r>
      <w:r w:rsidR="006A413C" w:rsidRPr="0088617D">
        <w:rPr>
          <w:rStyle w:val="normaltextrun"/>
          <w:rFonts w:ascii="Gadugi" w:eastAsia="Malgun Gothic" w:hAnsi="Gadugi" w:cs="Estrangelo Edessa"/>
          <w:sz w:val="24"/>
          <w:szCs w:val="24"/>
        </w:rPr>
        <w:t>,</w:t>
      </w:r>
      <w:r w:rsidRPr="0088617D">
        <w:rPr>
          <w:rStyle w:val="normaltextrun"/>
          <w:rFonts w:ascii="Gadugi" w:eastAsia="Malgun Gothic" w:hAnsi="Gadugi" w:cs="Estrangelo Edessa"/>
          <w:sz w:val="24"/>
          <w:szCs w:val="24"/>
        </w:rPr>
        <w:t xml:space="preserve"> además de lo expuesto, tampoco se presentó por parte del representante legal de Innova proyecto de distribución de utilidades</w:t>
      </w:r>
      <w:r w:rsidR="006A413C" w:rsidRPr="0088617D">
        <w:rPr>
          <w:rStyle w:val="normaltextrun"/>
          <w:rFonts w:ascii="Gadugi" w:eastAsia="Malgun Gothic" w:hAnsi="Gadugi" w:cs="Estrangelo Edessa"/>
          <w:sz w:val="24"/>
          <w:szCs w:val="24"/>
        </w:rPr>
        <w:t>, pese a que en los estados financieros del año 2018 se obtuvo una utilidad del ejercicio por $7.699.375</w:t>
      </w:r>
      <w:r w:rsidR="004128A4" w:rsidRPr="0088617D">
        <w:rPr>
          <w:rStyle w:val="normaltextrun"/>
          <w:rFonts w:ascii="Gadugi" w:eastAsia="Malgun Gothic" w:hAnsi="Gadugi" w:cs="Estrangelo Edessa"/>
          <w:sz w:val="24"/>
          <w:szCs w:val="24"/>
        </w:rPr>
        <w:t>, con</w:t>
      </w:r>
      <w:r w:rsidRPr="0088617D">
        <w:rPr>
          <w:rStyle w:val="normaltextrun"/>
          <w:rFonts w:ascii="Gadugi" w:eastAsia="Malgun Gothic" w:hAnsi="Gadugi" w:cs="Estrangelo Edessa"/>
          <w:sz w:val="24"/>
          <w:szCs w:val="24"/>
        </w:rPr>
        <w:t>traviniendo el artículo 25 de los estatutos</w:t>
      </w:r>
      <w:r w:rsidR="00E445FE" w:rsidRPr="0088617D">
        <w:rPr>
          <w:rStyle w:val="normaltextrun"/>
          <w:rFonts w:ascii="Gadugi" w:eastAsia="Malgun Gothic" w:hAnsi="Gadugi" w:cs="Estrangelo Edessa"/>
          <w:sz w:val="24"/>
          <w:szCs w:val="24"/>
        </w:rPr>
        <w:t xml:space="preserve"> de la sociedad</w:t>
      </w:r>
      <w:r w:rsidR="006A413C" w:rsidRPr="0088617D">
        <w:rPr>
          <w:rStyle w:val="normaltextrun"/>
          <w:rFonts w:ascii="Gadugi" w:eastAsia="Malgun Gothic" w:hAnsi="Gadugi" w:cs="Estrangelo Edessa"/>
          <w:sz w:val="24"/>
          <w:szCs w:val="24"/>
        </w:rPr>
        <w:t xml:space="preserve"> en relación con la</w:t>
      </w:r>
      <w:r w:rsidRPr="0088617D">
        <w:rPr>
          <w:rStyle w:val="normaltextrun"/>
          <w:rFonts w:ascii="Gadugi" w:eastAsia="Malgun Gothic" w:hAnsi="Gadugi" w:cs="Estrangelo Edessa"/>
          <w:sz w:val="24"/>
          <w:szCs w:val="24"/>
        </w:rPr>
        <w:t xml:space="preserve"> </w:t>
      </w:r>
      <w:r w:rsidR="006A413C" w:rsidRPr="0088617D">
        <w:rPr>
          <w:rStyle w:val="normaltextrun"/>
          <w:rFonts w:ascii="Gadugi" w:eastAsia="Malgun Gothic" w:hAnsi="Gadugi" w:cs="Estrangelo Edessa"/>
          <w:sz w:val="24"/>
          <w:szCs w:val="24"/>
        </w:rPr>
        <w:t>distribución</w:t>
      </w:r>
      <w:r w:rsidRPr="0088617D">
        <w:rPr>
          <w:rStyle w:val="normaltextrun"/>
          <w:rFonts w:ascii="Gadugi" w:eastAsia="Malgun Gothic" w:hAnsi="Gadugi" w:cs="Estrangelo Edessa"/>
          <w:sz w:val="24"/>
          <w:szCs w:val="24"/>
        </w:rPr>
        <w:t xml:space="preserve"> de utilidades.</w:t>
      </w:r>
    </w:p>
    <w:p w14:paraId="3DEEC669" w14:textId="77777777" w:rsidR="00E1298A" w:rsidRPr="0088617D" w:rsidRDefault="00E1298A"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3AA1F099" w14:textId="10BC08F0" w:rsidR="004128A4" w:rsidRPr="0088617D" w:rsidRDefault="00E1298A"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Finaliz</w:t>
      </w:r>
      <w:r w:rsidR="004128A4" w:rsidRPr="0088617D">
        <w:rPr>
          <w:rStyle w:val="normaltextrun"/>
          <w:rFonts w:ascii="Gadugi" w:eastAsia="Malgun Gothic" w:hAnsi="Gadugi" w:cs="Estrangelo Edessa"/>
          <w:sz w:val="24"/>
          <w:szCs w:val="24"/>
        </w:rPr>
        <w:t>ó</w:t>
      </w:r>
      <w:r w:rsidRPr="0088617D">
        <w:rPr>
          <w:rStyle w:val="normaltextrun"/>
          <w:rFonts w:ascii="Gadugi" w:eastAsia="Malgun Gothic" w:hAnsi="Gadugi" w:cs="Estrangelo Edessa"/>
          <w:sz w:val="24"/>
          <w:szCs w:val="24"/>
        </w:rPr>
        <w:t xml:space="preserve"> mencionando que el acta 01 de la asamblea general de accionistas impugnada, </w:t>
      </w:r>
      <w:r w:rsidR="004128A4" w:rsidRPr="0088617D">
        <w:rPr>
          <w:rStyle w:val="normaltextrun"/>
          <w:rFonts w:ascii="Gadugi" w:eastAsia="Malgun Gothic" w:hAnsi="Gadugi" w:cs="Estrangelo Edessa"/>
          <w:i/>
          <w:sz w:val="24"/>
          <w:szCs w:val="24"/>
        </w:rPr>
        <w:t>“</w:t>
      </w:r>
      <w:r w:rsidR="004128A4" w:rsidRPr="00E76F66">
        <w:rPr>
          <w:rStyle w:val="normaltextrun"/>
          <w:rFonts w:ascii="Gadugi" w:eastAsia="Malgun Gothic" w:hAnsi="Gadugi" w:cs="Estrangelo Edessa"/>
          <w:i/>
          <w:szCs w:val="24"/>
        </w:rPr>
        <w:t>…</w:t>
      </w:r>
      <w:r w:rsidR="00E76F66" w:rsidRPr="00E76F66">
        <w:rPr>
          <w:rStyle w:val="normaltextrun"/>
          <w:rFonts w:ascii="Gadugi" w:eastAsia="Malgun Gothic" w:hAnsi="Gadugi" w:cs="Estrangelo Edessa"/>
          <w:i/>
          <w:szCs w:val="24"/>
        </w:rPr>
        <w:t xml:space="preserve"> </w:t>
      </w:r>
      <w:r w:rsidRPr="00E76F66">
        <w:rPr>
          <w:rStyle w:val="normaltextrun"/>
          <w:rFonts w:ascii="Gadugi" w:eastAsia="Malgun Gothic" w:hAnsi="Gadugi" w:cs="Estrangelo Edessa"/>
          <w:i/>
          <w:szCs w:val="24"/>
        </w:rPr>
        <w:t xml:space="preserve">está viciada de nulidad, pues </w:t>
      </w:r>
      <w:r w:rsidR="004128A4" w:rsidRPr="00E76F66">
        <w:rPr>
          <w:rStyle w:val="normaltextrun"/>
          <w:rFonts w:ascii="Gadugi" w:eastAsia="Malgun Gothic" w:hAnsi="Gadugi" w:cs="Estrangelo Edessa"/>
          <w:i/>
          <w:szCs w:val="24"/>
        </w:rPr>
        <w:t xml:space="preserve">adolece </w:t>
      </w:r>
      <w:r w:rsidR="004128A4" w:rsidRPr="00E76F66">
        <w:rPr>
          <w:rStyle w:val="normaltextrun"/>
          <w:rFonts w:ascii="Gadugi" w:eastAsia="Malgun Gothic" w:hAnsi="Gadugi" w:cs="Estrangelo Edessa"/>
          <w:szCs w:val="24"/>
        </w:rPr>
        <w:t>(sic)</w:t>
      </w:r>
      <w:r w:rsidR="004128A4" w:rsidRPr="00E76F66">
        <w:rPr>
          <w:rStyle w:val="normaltextrun"/>
          <w:rFonts w:ascii="Gadugi" w:eastAsia="Malgun Gothic" w:hAnsi="Gadugi" w:cs="Estrangelo Edessa"/>
          <w:i/>
          <w:szCs w:val="24"/>
        </w:rPr>
        <w:t xml:space="preserve"> de uno de los componentes estructurales </w:t>
      </w:r>
      <w:r w:rsidRPr="00E76F66">
        <w:rPr>
          <w:rStyle w:val="normaltextrun"/>
          <w:rFonts w:ascii="Gadugi" w:eastAsia="Malgun Gothic" w:hAnsi="Gadugi" w:cs="Estrangelo Edessa"/>
          <w:i/>
          <w:szCs w:val="24"/>
        </w:rPr>
        <w:t>que</w:t>
      </w:r>
      <w:r w:rsidR="004128A4" w:rsidRPr="00E76F66">
        <w:rPr>
          <w:rStyle w:val="normaltextrun"/>
          <w:rFonts w:ascii="Gadugi" w:eastAsia="Malgun Gothic" w:hAnsi="Gadugi" w:cs="Estrangelo Edessa"/>
          <w:i/>
          <w:szCs w:val="24"/>
        </w:rPr>
        <w:t xml:space="preserve"> la ley exige, cuál </w:t>
      </w:r>
      <w:r w:rsidR="004128A4" w:rsidRPr="00E76F66">
        <w:rPr>
          <w:rStyle w:val="normaltextrun"/>
          <w:rFonts w:ascii="Gadugi" w:eastAsia="Malgun Gothic" w:hAnsi="Gadugi" w:cs="Estrangelo Edessa"/>
          <w:szCs w:val="24"/>
        </w:rPr>
        <w:t>(sic)</w:t>
      </w:r>
      <w:r w:rsidR="004128A4" w:rsidRPr="00E76F66">
        <w:rPr>
          <w:rStyle w:val="normaltextrun"/>
          <w:rFonts w:ascii="Gadugi" w:eastAsia="Malgun Gothic" w:hAnsi="Gadugi" w:cs="Estrangelo Edessa"/>
          <w:i/>
          <w:szCs w:val="24"/>
        </w:rPr>
        <w:t xml:space="preserve"> es la presentación y aprobación de un proyecto de distribución de utilidades</w:t>
      </w:r>
      <w:r w:rsidR="004128A4" w:rsidRPr="0088617D">
        <w:rPr>
          <w:rStyle w:val="normaltextrun"/>
          <w:rFonts w:ascii="Gadugi" w:eastAsia="Malgun Gothic" w:hAnsi="Gadugi" w:cs="Estrangelo Edessa"/>
          <w:sz w:val="24"/>
          <w:szCs w:val="24"/>
        </w:rPr>
        <w:t>”, según está previsto en varias normas, como los artículos 420 y 422 del C. Co., 46 de la Ley 222 de 1995, 155 del C. Co., modificado por el 240 de la Ley 222.</w:t>
      </w:r>
    </w:p>
    <w:p w14:paraId="6B46FB12" w14:textId="77777777" w:rsidR="004128A4" w:rsidRPr="0088617D" w:rsidRDefault="004128A4"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2921D0E1" w14:textId="4545D1A4" w:rsidR="004128A4" w:rsidRPr="0088617D" w:rsidRDefault="004128A4"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Style w:val="normaltextrun"/>
          <w:rFonts w:ascii="Gadugi" w:eastAsia="Malgun Gothic" w:hAnsi="Gadugi" w:cs="Estrangelo Edessa"/>
          <w:sz w:val="24"/>
          <w:szCs w:val="24"/>
        </w:rPr>
        <w:t xml:space="preserve">E insiste en que </w:t>
      </w:r>
      <w:r w:rsidRPr="0088617D">
        <w:rPr>
          <w:rStyle w:val="normaltextrun"/>
          <w:rFonts w:ascii="Gadugi" w:eastAsia="Malgun Gothic" w:hAnsi="Gadugi" w:cs="Estrangelo Edessa"/>
          <w:i/>
          <w:sz w:val="24"/>
          <w:szCs w:val="24"/>
        </w:rPr>
        <w:t>“</w:t>
      </w:r>
      <w:r w:rsidRPr="00E76F66">
        <w:rPr>
          <w:rStyle w:val="normaltextrun"/>
          <w:rFonts w:ascii="Gadugi" w:eastAsia="Malgun Gothic" w:hAnsi="Gadugi" w:cs="Estrangelo Edessa"/>
          <w:i/>
          <w:szCs w:val="24"/>
        </w:rPr>
        <w:t xml:space="preserve">EL ACTA DE ASAMBLEA ORDINARIA N°1 de la sociedad INNOVA DECORACIÓN S.A.S. con fecha del 29 de marzo de 2019, refleja que ni se elaboró, ni se presentó, ni mucho menos se sometió a votación proyecto de distribución de utilidades por parte de sus administradores. De hecho, ni siquiera se </w:t>
      </w:r>
      <w:r w:rsidR="00FF1DA3" w:rsidRPr="00E76F66">
        <w:rPr>
          <w:rStyle w:val="normaltextrun"/>
          <w:rFonts w:ascii="Gadugi" w:eastAsia="Malgun Gothic" w:hAnsi="Gadugi" w:cs="Estrangelo Edessa"/>
          <w:i/>
          <w:szCs w:val="24"/>
        </w:rPr>
        <w:t>hizo distribución de utilidades según el mínimo legal establecido. Esto no solo va en contravía de la ley y los estatutos, sino que atenta de forma evidente contra los derechos económicos de TODOS los accionistas…</w:t>
      </w:r>
      <w:r w:rsidR="00FF1DA3" w:rsidRPr="0088617D">
        <w:rPr>
          <w:rStyle w:val="normaltextrun"/>
          <w:rFonts w:ascii="Gadugi" w:eastAsia="Malgun Gothic" w:hAnsi="Gadugi" w:cs="Estrangelo Edessa"/>
          <w:i/>
          <w:sz w:val="24"/>
          <w:szCs w:val="24"/>
        </w:rPr>
        <w:t xml:space="preserve">”. </w:t>
      </w:r>
      <w:r w:rsidRPr="0088617D">
        <w:rPr>
          <w:rStyle w:val="normaltextrun"/>
          <w:rFonts w:ascii="Gadugi" w:eastAsia="Malgun Gothic" w:hAnsi="Gadugi" w:cs="Estrangelo Edessa"/>
          <w:sz w:val="24"/>
          <w:szCs w:val="24"/>
        </w:rPr>
        <w:t xml:space="preserve"> </w:t>
      </w:r>
    </w:p>
    <w:p w14:paraId="5473F62C" w14:textId="77777777" w:rsidR="004128A4" w:rsidRPr="0088617D" w:rsidRDefault="004128A4" w:rsidP="0088617D">
      <w:pPr>
        <w:pStyle w:val="Prrafodelista"/>
        <w:tabs>
          <w:tab w:val="left" w:pos="3402"/>
        </w:tabs>
        <w:spacing w:after="0" w:line="276" w:lineRule="auto"/>
        <w:ind w:left="0" w:firstLine="2835"/>
        <w:jc w:val="both"/>
        <w:rPr>
          <w:rStyle w:val="normaltextrun"/>
          <w:rFonts w:ascii="Gadugi" w:eastAsia="Malgun Gothic" w:hAnsi="Gadugi" w:cs="Estrangelo Edessa"/>
          <w:sz w:val="24"/>
          <w:szCs w:val="24"/>
        </w:rPr>
      </w:pPr>
    </w:p>
    <w:p w14:paraId="4C56D84A" w14:textId="55C1554A" w:rsidR="00F155E1" w:rsidRPr="0088617D" w:rsidRDefault="00F155E1" w:rsidP="0088617D">
      <w:pPr>
        <w:pStyle w:val="Prrafodelista"/>
        <w:numPr>
          <w:ilvl w:val="1"/>
          <w:numId w:val="1"/>
        </w:numPr>
        <w:tabs>
          <w:tab w:val="left" w:pos="3402"/>
        </w:tabs>
        <w:spacing w:after="0" w:line="276" w:lineRule="auto"/>
        <w:ind w:left="0" w:firstLine="2835"/>
        <w:jc w:val="both"/>
        <w:rPr>
          <w:rStyle w:val="normaltextrun"/>
          <w:rFonts w:ascii="Gadugi" w:eastAsia="Malgun Gothic" w:hAnsi="Gadugi" w:cs="Estrangelo Edessa"/>
          <w:sz w:val="24"/>
          <w:szCs w:val="24"/>
        </w:rPr>
      </w:pPr>
      <w:r w:rsidRPr="0088617D">
        <w:rPr>
          <w:rFonts w:ascii="Gadugi" w:eastAsia="Calibri" w:hAnsi="Gadugi" w:cs="Times New Roman"/>
          <w:b/>
          <w:sz w:val="24"/>
          <w:szCs w:val="24"/>
        </w:rPr>
        <w:t xml:space="preserve">Pretensiones </w:t>
      </w:r>
      <w:r w:rsidR="00A23F3E" w:rsidRPr="0088617D">
        <w:rPr>
          <w:rStyle w:val="normaltextrun"/>
          <w:rFonts w:ascii="Gadugi" w:hAnsi="Gadugi"/>
          <w:bCs/>
          <w:color w:val="000000"/>
          <w:sz w:val="24"/>
          <w:szCs w:val="24"/>
          <w:shd w:val="clear" w:color="auto" w:fill="FFFFFF"/>
        </w:rPr>
        <w:t>(p. 49,</w:t>
      </w:r>
      <w:r w:rsidR="00FF1DA3" w:rsidRPr="0088617D">
        <w:rPr>
          <w:rStyle w:val="normaltextrun"/>
          <w:rFonts w:ascii="Gadugi" w:hAnsi="Gadugi"/>
          <w:bCs/>
          <w:color w:val="000000"/>
          <w:sz w:val="24"/>
          <w:szCs w:val="24"/>
          <w:shd w:val="clear" w:color="auto" w:fill="FFFFFF"/>
        </w:rPr>
        <w:t xml:space="preserve"> 01 CuadernoPrincipal).</w:t>
      </w:r>
    </w:p>
    <w:p w14:paraId="45FB0818" w14:textId="77777777" w:rsidR="00F155E1" w:rsidRPr="0088617D" w:rsidRDefault="00F155E1" w:rsidP="0088617D">
      <w:pPr>
        <w:pStyle w:val="Prrafodelista"/>
        <w:tabs>
          <w:tab w:val="left" w:pos="3402"/>
        </w:tabs>
        <w:spacing w:after="0" w:line="276" w:lineRule="auto"/>
        <w:ind w:left="2835"/>
        <w:jc w:val="both"/>
        <w:rPr>
          <w:rFonts w:ascii="Gadugi" w:eastAsia="Calibri" w:hAnsi="Gadugi" w:cs="Times New Roman"/>
          <w:sz w:val="24"/>
          <w:szCs w:val="24"/>
        </w:rPr>
      </w:pPr>
    </w:p>
    <w:p w14:paraId="12BC843D" w14:textId="77777777" w:rsidR="00FF1DA3" w:rsidRPr="0088617D" w:rsidRDefault="00F155E1" w:rsidP="0088617D">
      <w:pPr>
        <w:pStyle w:val="Prrafodelista"/>
        <w:tabs>
          <w:tab w:val="left" w:pos="3402"/>
        </w:tabs>
        <w:spacing w:after="0" w:line="276" w:lineRule="auto"/>
        <w:ind w:left="0" w:firstLine="2835"/>
        <w:jc w:val="both"/>
        <w:rPr>
          <w:rFonts w:ascii="Gadugi" w:eastAsia="Calibri" w:hAnsi="Gadugi" w:cs="Times New Roman"/>
          <w:sz w:val="24"/>
          <w:szCs w:val="24"/>
        </w:rPr>
      </w:pPr>
      <w:r w:rsidRPr="0088617D">
        <w:rPr>
          <w:rFonts w:ascii="Gadugi" w:eastAsia="Calibri" w:hAnsi="Gadugi" w:cs="Times New Roman"/>
          <w:sz w:val="24"/>
          <w:szCs w:val="24"/>
        </w:rPr>
        <w:t>Con base en lo relatado, pidió que se dec</w:t>
      </w:r>
      <w:r w:rsidR="00FF1DA3" w:rsidRPr="0088617D">
        <w:rPr>
          <w:rFonts w:ascii="Gadugi" w:eastAsia="Calibri" w:hAnsi="Gadugi" w:cs="Times New Roman"/>
          <w:sz w:val="24"/>
          <w:szCs w:val="24"/>
        </w:rPr>
        <w:t xml:space="preserve">retara </w:t>
      </w:r>
      <w:r w:rsidRPr="0088617D">
        <w:rPr>
          <w:rFonts w:ascii="Gadugi" w:eastAsia="Calibri" w:hAnsi="Gadugi" w:cs="Times New Roman"/>
          <w:sz w:val="24"/>
          <w:szCs w:val="24"/>
        </w:rPr>
        <w:t xml:space="preserve">la nulidad </w:t>
      </w:r>
      <w:r w:rsidR="00A23F3E" w:rsidRPr="0088617D">
        <w:rPr>
          <w:rFonts w:ascii="Gadugi" w:eastAsia="Calibri" w:hAnsi="Gadugi" w:cs="Times New Roman"/>
          <w:sz w:val="24"/>
          <w:szCs w:val="24"/>
        </w:rPr>
        <w:t xml:space="preserve">del acta de asamblea ordinaria No. </w:t>
      </w:r>
      <w:r w:rsidR="001D7B34" w:rsidRPr="0088617D">
        <w:rPr>
          <w:rFonts w:ascii="Gadugi" w:eastAsia="Calibri" w:hAnsi="Gadugi" w:cs="Times New Roman"/>
          <w:sz w:val="24"/>
          <w:szCs w:val="24"/>
        </w:rPr>
        <w:t>0</w:t>
      </w:r>
      <w:r w:rsidR="00A23F3E" w:rsidRPr="0088617D">
        <w:rPr>
          <w:rFonts w:ascii="Gadugi" w:eastAsia="Calibri" w:hAnsi="Gadugi" w:cs="Times New Roman"/>
          <w:sz w:val="24"/>
          <w:szCs w:val="24"/>
        </w:rPr>
        <w:t>1 de la sociedad Innova decoración S.A.S. de fecha 29 de marzo de 2019</w:t>
      </w:r>
      <w:r w:rsidR="00FF1DA3" w:rsidRPr="0088617D">
        <w:rPr>
          <w:rFonts w:ascii="Gadugi" w:eastAsia="Calibri" w:hAnsi="Gadugi" w:cs="Times New Roman"/>
          <w:sz w:val="24"/>
          <w:szCs w:val="24"/>
        </w:rPr>
        <w:t>, por haberse suscrito en contravención a disposiciones legales y estatutarias, según los términos del artículo 191 del Código de Comercio.</w:t>
      </w:r>
    </w:p>
    <w:p w14:paraId="0F6D5E47" w14:textId="77777777" w:rsidR="00FF1DA3" w:rsidRPr="0088617D" w:rsidRDefault="00FF1DA3" w:rsidP="0088617D">
      <w:pPr>
        <w:pStyle w:val="Prrafodelista"/>
        <w:tabs>
          <w:tab w:val="left" w:pos="3402"/>
        </w:tabs>
        <w:spacing w:after="0" w:line="276" w:lineRule="auto"/>
        <w:ind w:left="0" w:firstLine="2835"/>
        <w:jc w:val="both"/>
        <w:rPr>
          <w:rFonts w:ascii="Gadugi" w:eastAsia="Calibri" w:hAnsi="Gadugi" w:cs="Times New Roman"/>
          <w:sz w:val="24"/>
          <w:szCs w:val="24"/>
        </w:rPr>
      </w:pPr>
    </w:p>
    <w:p w14:paraId="2015F3D8" w14:textId="68A3307D" w:rsidR="00A23F3E" w:rsidRPr="0088617D" w:rsidRDefault="00FF1DA3" w:rsidP="0088617D">
      <w:pPr>
        <w:pStyle w:val="Prrafodelista"/>
        <w:tabs>
          <w:tab w:val="left" w:pos="3402"/>
        </w:tabs>
        <w:spacing w:after="0" w:line="276" w:lineRule="auto"/>
        <w:ind w:left="0" w:firstLine="2835"/>
        <w:jc w:val="both"/>
        <w:rPr>
          <w:rFonts w:ascii="Gadugi" w:eastAsia="Calibri" w:hAnsi="Gadugi" w:cs="Times New Roman"/>
          <w:sz w:val="24"/>
          <w:szCs w:val="24"/>
        </w:rPr>
      </w:pPr>
      <w:r w:rsidRPr="0088617D">
        <w:rPr>
          <w:rFonts w:ascii="Gadugi" w:eastAsia="Calibri" w:hAnsi="Gadugi" w:cs="Times New Roman"/>
          <w:sz w:val="24"/>
          <w:szCs w:val="24"/>
        </w:rPr>
        <w:lastRenderedPageBreak/>
        <w:t>Como consecuencia de lo anterior, que (i) se</w:t>
      </w:r>
      <w:r w:rsidR="007005BD" w:rsidRPr="0088617D">
        <w:rPr>
          <w:rFonts w:ascii="Gadugi" w:eastAsia="Calibri" w:hAnsi="Gadugi"/>
          <w:sz w:val="24"/>
          <w:szCs w:val="24"/>
        </w:rPr>
        <w:t xml:space="preserve"> ordene convocar a una nueva asamblea general de accionistas del año 2019</w:t>
      </w:r>
      <w:r w:rsidRPr="0088617D">
        <w:rPr>
          <w:rFonts w:ascii="Gadugi" w:eastAsia="Calibri" w:hAnsi="Gadugi"/>
          <w:sz w:val="24"/>
          <w:szCs w:val="24"/>
        </w:rPr>
        <w:t>; (ii) se</w:t>
      </w:r>
      <w:r w:rsidR="00A23F3E" w:rsidRPr="0088617D">
        <w:rPr>
          <w:rFonts w:ascii="Gadugi" w:eastAsia="Calibri" w:hAnsi="Gadugi" w:cs="Times New Roman"/>
          <w:sz w:val="24"/>
          <w:szCs w:val="24"/>
        </w:rPr>
        <w:t xml:space="preserve"> </w:t>
      </w:r>
      <w:r w:rsidR="00CD5224" w:rsidRPr="0088617D">
        <w:rPr>
          <w:rFonts w:ascii="Gadugi" w:eastAsia="Calibri" w:hAnsi="Gadugi" w:cs="Times New Roman"/>
          <w:sz w:val="24"/>
          <w:szCs w:val="24"/>
        </w:rPr>
        <w:t>conmin</w:t>
      </w:r>
      <w:r w:rsidRPr="0088617D">
        <w:rPr>
          <w:rFonts w:ascii="Gadugi" w:eastAsia="Calibri" w:hAnsi="Gadugi" w:cs="Times New Roman"/>
          <w:sz w:val="24"/>
          <w:szCs w:val="24"/>
        </w:rPr>
        <w:t>e</w:t>
      </w:r>
      <w:r w:rsidR="00CD5224" w:rsidRPr="0088617D">
        <w:rPr>
          <w:rFonts w:ascii="Gadugi" w:eastAsia="Calibri" w:hAnsi="Gadugi" w:cs="Times New Roman"/>
          <w:sz w:val="24"/>
          <w:szCs w:val="24"/>
        </w:rPr>
        <w:t xml:space="preserve"> al representante legal y </w:t>
      </w:r>
      <w:r w:rsidRPr="0088617D">
        <w:rPr>
          <w:rFonts w:ascii="Gadugi" w:eastAsia="Calibri" w:hAnsi="Gadugi" w:cs="Times New Roman"/>
          <w:sz w:val="24"/>
          <w:szCs w:val="24"/>
        </w:rPr>
        <w:t xml:space="preserve">a los </w:t>
      </w:r>
      <w:r w:rsidR="00CD5224" w:rsidRPr="0088617D">
        <w:rPr>
          <w:rFonts w:ascii="Gadugi" w:eastAsia="Calibri" w:hAnsi="Gadugi" w:cs="Times New Roman"/>
          <w:sz w:val="24"/>
          <w:szCs w:val="24"/>
        </w:rPr>
        <w:t xml:space="preserve">administradores de la sociedad Innova </w:t>
      </w:r>
      <w:r w:rsidRPr="0088617D">
        <w:rPr>
          <w:rFonts w:ascii="Gadugi" w:eastAsia="Calibri" w:hAnsi="Gadugi" w:cs="Times New Roman"/>
          <w:sz w:val="24"/>
          <w:szCs w:val="24"/>
        </w:rPr>
        <w:t>D</w:t>
      </w:r>
      <w:r w:rsidR="00CD5224" w:rsidRPr="0088617D">
        <w:rPr>
          <w:rFonts w:ascii="Gadugi" w:eastAsia="Calibri" w:hAnsi="Gadugi" w:cs="Times New Roman"/>
          <w:sz w:val="24"/>
          <w:szCs w:val="24"/>
        </w:rPr>
        <w:t xml:space="preserve">ecoración S.A.S., para que se presente </w:t>
      </w:r>
      <w:r w:rsidRPr="0088617D">
        <w:rPr>
          <w:rFonts w:ascii="Gadugi" w:eastAsia="Calibri" w:hAnsi="Gadugi" w:cs="Times New Roman"/>
          <w:sz w:val="24"/>
          <w:szCs w:val="24"/>
        </w:rPr>
        <w:t xml:space="preserve">el </w:t>
      </w:r>
      <w:r w:rsidR="00CD5224" w:rsidRPr="0088617D">
        <w:rPr>
          <w:rFonts w:ascii="Gadugi" w:eastAsia="Calibri" w:hAnsi="Gadugi" w:cs="Times New Roman"/>
          <w:sz w:val="24"/>
          <w:szCs w:val="24"/>
        </w:rPr>
        <w:t xml:space="preserve">proyecto de </w:t>
      </w:r>
      <w:r w:rsidRPr="0088617D">
        <w:rPr>
          <w:rFonts w:ascii="Gadugi" w:eastAsia="Calibri" w:hAnsi="Gadugi" w:cs="Times New Roman"/>
          <w:sz w:val="24"/>
          <w:szCs w:val="24"/>
        </w:rPr>
        <w:t xml:space="preserve">distribución de utilidades y se realice la </w:t>
      </w:r>
      <w:r w:rsidR="00CD5224" w:rsidRPr="0088617D">
        <w:rPr>
          <w:rFonts w:ascii="Gadugi" w:eastAsia="Calibri" w:hAnsi="Gadugi" w:cs="Times New Roman"/>
          <w:sz w:val="24"/>
          <w:szCs w:val="24"/>
        </w:rPr>
        <w:t xml:space="preserve">debida partición </w:t>
      </w:r>
      <w:r w:rsidRPr="0088617D">
        <w:rPr>
          <w:rFonts w:ascii="Gadugi" w:eastAsia="Calibri" w:hAnsi="Gadugi" w:cs="Times New Roman"/>
          <w:sz w:val="24"/>
          <w:szCs w:val="24"/>
        </w:rPr>
        <w:t xml:space="preserve">de las que corresponden al ejercicio del año 2018, incluyendo los intereses moratorios a partir del 29 de marzo de 2019; (iv) se condene en costas a la sociedad demandada. </w:t>
      </w:r>
    </w:p>
    <w:p w14:paraId="62486C05" w14:textId="77777777" w:rsidR="00F155E1" w:rsidRPr="0088617D" w:rsidRDefault="00F155E1" w:rsidP="0088617D">
      <w:pPr>
        <w:spacing w:after="0" w:line="276" w:lineRule="auto"/>
        <w:jc w:val="both"/>
        <w:rPr>
          <w:rFonts w:ascii="Gadugi" w:eastAsia="Calibri" w:hAnsi="Gadugi" w:cs="Times New Roman"/>
          <w:sz w:val="24"/>
          <w:szCs w:val="24"/>
        </w:rPr>
      </w:pPr>
    </w:p>
    <w:p w14:paraId="0E91A543" w14:textId="77777777" w:rsidR="00F155E1" w:rsidRPr="0088617D" w:rsidRDefault="00F155E1" w:rsidP="0088617D">
      <w:pPr>
        <w:pStyle w:val="Prrafodelista"/>
        <w:numPr>
          <w:ilvl w:val="1"/>
          <w:numId w:val="1"/>
        </w:numPr>
        <w:spacing w:after="0" w:line="276" w:lineRule="auto"/>
        <w:jc w:val="both"/>
        <w:rPr>
          <w:rFonts w:ascii="Gadugi" w:eastAsia="Calibri" w:hAnsi="Gadugi" w:cs="Times New Roman"/>
          <w:b/>
          <w:sz w:val="24"/>
          <w:szCs w:val="24"/>
        </w:rPr>
      </w:pPr>
      <w:r w:rsidRPr="0088617D">
        <w:rPr>
          <w:rFonts w:ascii="Gadugi" w:eastAsia="Calibri" w:hAnsi="Gadugi" w:cs="Times New Roman"/>
          <w:b/>
          <w:sz w:val="24"/>
          <w:szCs w:val="24"/>
        </w:rPr>
        <w:t>Trámite.</w:t>
      </w:r>
    </w:p>
    <w:p w14:paraId="1C1DED4F" w14:textId="77777777" w:rsidR="00FF1DA3" w:rsidRPr="0088617D" w:rsidRDefault="00FF1DA3" w:rsidP="0088617D">
      <w:pPr>
        <w:spacing w:after="0" w:line="276" w:lineRule="auto"/>
        <w:jc w:val="both"/>
        <w:rPr>
          <w:rFonts w:ascii="Gadugi" w:eastAsia="Calibri" w:hAnsi="Gadugi" w:cs="Times New Roman"/>
          <w:sz w:val="24"/>
          <w:szCs w:val="24"/>
        </w:rPr>
      </w:pPr>
    </w:p>
    <w:p w14:paraId="65D4BE34" w14:textId="4E31EF76" w:rsidR="00F155E1" w:rsidRPr="0088617D" w:rsidRDefault="00F155E1" w:rsidP="0088617D">
      <w:pPr>
        <w:spacing w:after="0" w:line="276" w:lineRule="auto"/>
        <w:jc w:val="both"/>
        <w:rPr>
          <w:rFonts w:ascii="Gadugi" w:hAnsi="Gadugi"/>
          <w:bCs/>
          <w:sz w:val="24"/>
          <w:szCs w:val="24"/>
        </w:rPr>
      </w:pPr>
      <w:r w:rsidRPr="0088617D">
        <w:rPr>
          <w:rFonts w:ascii="Gadugi" w:eastAsia="Calibri" w:hAnsi="Gadugi" w:cs="Times New Roman"/>
          <w:sz w:val="24"/>
          <w:szCs w:val="24"/>
        </w:rPr>
        <w:t xml:space="preserve">  </w:t>
      </w:r>
      <w:r w:rsidRPr="0088617D">
        <w:rPr>
          <w:rFonts w:ascii="Gadugi" w:eastAsia="Calibri" w:hAnsi="Gadugi" w:cs="Times New Roman"/>
          <w:sz w:val="24"/>
          <w:szCs w:val="24"/>
        </w:rPr>
        <w:tab/>
      </w:r>
      <w:r w:rsidRPr="0088617D">
        <w:rPr>
          <w:rFonts w:ascii="Gadugi" w:eastAsia="Calibri" w:hAnsi="Gadugi" w:cs="Times New Roman"/>
          <w:sz w:val="24"/>
          <w:szCs w:val="24"/>
        </w:rPr>
        <w:tab/>
      </w:r>
      <w:r w:rsidRPr="0088617D">
        <w:rPr>
          <w:rFonts w:ascii="Gadugi" w:eastAsia="Calibri" w:hAnsi="Gadugi" w:cs="Times New Roman"/>
          <w:sz w:val="24"/>
          <w:szCs w:val="24"/>
        </w:rPr>
        <w:tab/>
      </w:r>
      <w:r w:rsidRPr="0088617D">
        <w:rPr>
          <w:rFonts w:ascii="Gadugi" w:eastAsia="Calibri" w:hAnsi="Gadugi" w:cs="Times New Roman"/>
          <w:sz w:val="24"/>
          <w:szCs w:val="24"/>
        </w:rPr>
        <w:tab/>
        <w:t xml:space="preserve">La demanda fue admitida por el Juzgado </w:t>
      </w:r>
      <w:r w:rsidR="008E0251" w:rsidRPr="0088617D">
        <w:rPr>
          <w:rFonts w:ascii="Gadugi" w:eastAsia="Calibri" w:hAnsi="Gadugi" w:cs="Times New Roman"/>
          <w:sz w:val="24"/>
          <w:szCs w:val="24"/>
        </w:rPr>
        <w:t xml:space="preserve">Segundo Civil </w:t>
      </w:r>
      <w:r w:rsidRPr="0088617D">
        <w:rPr>
          <w:rFonts w:ascii="Gadugi" w:eastAsia="Calibri" w:hAnsi="Gadugi" w:cs="Times New Roman"/>
          <w:sz w:val="24"/>
          <w:szCs w:val="24"/>
        </w:rPr>
        <w:t>del Cir</w:t>
      </w:r>
      <w:r w:rsidR="008E0251" w:rsidRPr="0088617D">
        <w:rPr>
          <w:rFonts w:ascii="Gadugi" w:eastAsia="Calibri" w:hAnsi="Gadugi" w:cs="Times New Roman"/>
          <w:sz w:val="24"/>
          <w:szCs w:val="24"/>
        </w:rPr>
        <w:t>cuito de Pereira con auto del 31 de mayo de 2019 (p. 56</w:t>
      </w:r>
      <w:r w:rsidRPr="0088617D">
        <w:rPr>
          <w:rFonts w:ascii="Gadugi" w:eastAsia="Calibri" w:hAnsi="Gadugi" w:cs="Times New Roman"/>
          <w:sz w:val="24"/>
          <w:szCs w:val="24"/>
        </w:rPr>
        <w:t>,</w:t>
      </w:r>
      <w:r w:rsidR="00531B85" w:rsidRPr="0088617D">
        <w:rPr>
          <w:rFonts w:ascii="Gadugi" w:eastAsia="Calibri" w:hAnsi="Gadugi" w:cs="Times New Roman"/>
          <w:sz w:val="24"/>
          <w:szCs w:val="24"/>
        </w:rPr>
        <w:t xml:space="preserve"> </w:t>
      </w:r>
      <w:r w:rsidR="00FF1DA3" w:rsidRPr="0088617D">
        <w:rPr>
          <w:rFonts w:ascii="Gadugi" w:eastAsia="Calibri" w:hAnsi="Gadugi" w:cs="Times New Roman"/>
          <w:sz w:val="24"/>
          <w:szCs w:val="24"/>
        </w:rPr>
        <w:t>ib). No</w:t>
      </w:r>
      <w:r w:rsidR="00BB11CE" w:rsidRPr="0088617D">
        <w:rPr>
          <w:rFonts w:ascii="Gadugi" w:eastAsia="Calibri" w:hAnsi="Gadugi" w:cs="Times New Roman"/>
          <w:sz w:val="24"/>
          <w:szCs w:val="24"/>
        </w:rPr>
        <w:t>tificada la demanda</w:t>
      </w:r>
      <w:r w:rsidR="00FF1DA3" w:rsidRPr="0088617D">
        <w:rPr>
          <w:rFonts w:ascii="Gadugi" w:eastAsia="Calibri" w:hAnsi="Gadugi" w:cs="Times New Roman"/>
          <w:sz w:val="24"/>
          <w:szCs w:val="24"/>
        </w:rPr>
        <w:t>da</w:t>
      </w:r>
      <w:r w:rsidR="00BB11CE" w:rsidRPr="0088617D">
        <w:rPr>
          <w:rFonts w:ascii="Gadugi" w:eastAsia="Calibri" w:hAnsi="Gadugi" w:cs="Times New Roman"/>
          <w:sz w:val="24"/>
          <w:szCs w:val="24"/>
        </w:rPr>
        <w:t>, se pronunció sobre los hechos, se opuso</w:t>
      </w:r>
      <w:r w:rsidRPr="0088617D">
        <w:rPr>
          <w:rFonts w:ascii="Gadugi" w:eastAsia="Calibri" w:hAnsi="Gadugi" w:cs="Times New Roman"/>
          <w:sz w:val="24"/>
          <w:szCs w:val="24"/>
        </w:rPr>
        <w:t xml:space="preserve"> </w:t>
      </w:r>
      <w:r w:rsidR="00BB11CE" w:rsidRPr="0088617D">
        <w:rPr>
          <w:rFonts w:ascii="Gadugi" w:eastAsia="Calibri" w:hAnsi="Gadugi" w:cs="Times New Roman"/>
          <w:sz w:val="24"/>
          <w:szCs w:val="24"/>
        </w:rPr>
        <w:t>a las pretensiones y propuso</w:t>
      </w:r>
      <w:r w:rsidRPr="0088617D">
        <w:rPr>
          <w:rFonts w:ascii="Gadugi" w:eastAsia="Calibri" w:hAnsi="Gadugi" w:cs="Times New Roman"/>
          <w:sz w:val="24"/>
          <w:szCs w:val="24"/>
        </w:rPr>
        <w:t xml:space="preserve"> como excepciones las siguientes: </w:t>
      </w:r>
      <w:r w:rsidR="00BB11CE" w:rsidRPr="0088617D">
        <w:rPr>
          <w:rFonts w:ascii="Gadugi" w:hAnsi="Gadugi"/>
          <w:bCs/>
          <w:sz w:val="24"/>
          <w:szCs w:val="24"/>
        </w:rPr>
        <w:t>(i) cumplimiento de</w:t>
      </w:r>
      <w:r w:rsidR="003D418A" w:rsidRPr="0088617D">
        <w:rPr>
          <w:rFonts w:ascii="Gadugi" w:hAnsi="Gadugi"/>
          <w:bCs/>
          <w:sz w:val="24"/>
          <w:szCs w:val="24"/>
        </w:rPr>
        <w:t>l</w:t>
      </w:r>
      <w:r w:rsidR="00BB11CE" w:rsidRPr="0088617D">
        <w:rPr>
          <w:rFonts w:ascii="Gadugi" w:hAnsi="Gadugi"/>
          <w:bCs/>
          <w:sz w:val="24"/>
          <w:szCs w:val="24"/>
        </w:rPr>
        <w:t xml:space="preserve"> qu</w:t>
      </w:r>
      <w:r w:rsidR="00FF1DA3" w:rsidRPr="0088617D">
        <w:rPr>
          <w:rFonts w:ascii="Gadugi" w:hAnsi="Gadugi"/>
          <w:bCs/>
          <w:sz w:val="24"/>
          <w:szCs w:val="24"/>
        </w:rPr>
        <w:t>ó</w:t>
      </w:r>
      <w:r w:rsidR="00BB11CE" w:rsidRPr="0088617D">
        <w:rPr>
          <w:rFonts w:ascii="Gadugi" w:hAnsi="Gadugi"/>
          <w:bCs/>
          <w:sz w:val="24"/>
          <w:szCs w:val="24"/>
        </w:rPr>
        <w:t xml:space="preserve">rum deliberatorio; </w:t>
      </w:r>
      <w:r w:rsidR="003D418A" w:rsidRPr="0088617D">
        <w:rPr>
          <w:rFonts w:ascii="Gadugi" w:hAnsi="Gadugi"/>
          <w:bCs/>
          <w:sz w:val="24"/>
          <w:szCs w:val="24"/>
        </w:rPr>
        <w:t xml:space="preserve">(ii) conflicto de intereses; </w:t>
      </w:r>
      <w:r w:rsidR="00FF1DA3" w:rsidRPr="0088617D">
        <w:rPr>
          <w:rFonts w:ascii="Gadugi" w:hAnsi="Gadugi"/>
          <w:bCs/>
          <w:sz w:val="24"/>
          <w:szCs w:val="24"/>
        </w:rPr>
        <w:t xml:space="preserve">y </w:t>
      </w:r>
      <w:r w:rsidR="003D418A" w:rsidRPr="0088617D">
        <w:rPr>
          <w:rFonts w:ascii="Gadugi" w:hAnsi="Gadugi"/>
          <w:bCs/>
          <w:sz w:val="24"/>
          <w:szCs w:val="24"/>
        </w:rPr>
        <w:t xml:space="preserve">(iii) </w:t>
      </w:r>
      <w:r w:rsidR="00FF1DA3" w:rsidRPr="0088617D">
        <w:rPr>
          <w:rFonts w:ascii="Gadugi" w:hAnsi="Gadugi"/>
          <w:bCs/>
          <w:sz w:val="24"/>
          <w:szCs w:val="24"/>
        </w:rPr>
        <w:t xml:space="preserve">la </w:t>
      </w:r>
      <w:r w:rsidR="003D418A" w:rsidRPr="0088617D">
        <w:rPr>
          <w:rFonts w:ascii="Gadugi" w:hAnsi="Gadugi"/>
          <w:bCs/>
          <w:sz w:val="24"/>
          <w:szCs w:val="24"/>
        </w:rPr>
        <w:t>genérica.</w:t>
      </w:r>
    </w:p>
    <w:p w14:paraId="1299C43A" w14:textId="77777777" w:rsidR="00F155E1" w:rsidRPr="0088617D" w:rsidRDefault="00F155E1" w:rsidP="0088617D">
      <w:pPr>
        <w:spacing w:after="0" w:line="276" w:lineRule="auto"/>
        <w:jc w:val="both"/>
        <w:rPr>
          <w:rFonts w:ascii="Gadugi" w:hAnsi="Gadugi"/>
          <w:bCs/>
          <w:sz w:val="24"/>
          <w:szCs w:val="24"/>
        </w:rPr>
      </w:pPr>
    </w:p>
    <w:p w14:paraId="77FD4CF3" w14:textId="2BB6E180" w:rsidR="00F155E1" w:rsidRDefault="00F155E1" w:rsidP="0088617D">
      <w:pPr>
        <w:spacing w:after="0" w:line="276" w:lineRule="auto"/>
        <w:ind w:firstLine="2835"/>
        <w:jc w:val="both"/>
        <w:rPr>
          <w:rFonts w:ascii="Gadugi" w:eastAsia="Calibri" w:hAnsi="Gadugi" w:cs="Times New Roman"/>
          <w:sz w:val="24"/>
          <w:szCs w:val="24"/>
        </w:rPr>
      </w:pPr>
      <w:r w:rsidRPr="0088617D">
        <w:rPr>
          <w:rFonts w:ascii="Gadugi" w:eastAsia="Calibri" w:hAnsi="Gadugi" w:cs="Times New Roman"/>
          <w:sz w:val="24"/>
          <w:szCs w:val="24"/>
        </w:rPr>
        <w:t xml:space="preserve">Surtido </w:t>
      </w:r>
      <w:r w:rsidR="00FF1DA3" w:rsidRPr="0088617D">
        <w:rPr>
          <w:rFonts w:ascii="Gadugi" w:eastAsia="Calibri" w:hAnsi="Gadugi" w:cs="Times New Roman"/>
          <w:sz w:val="24"/>
          <w:szCs w:val="24"/>
        </w:rPr>
        <w:t xml:space="preserve">su </w:t>
      </w:r>
      <w:r w:rsidRPr="0088617D">
        <w:rPr>
          <w:rFonts w:ascii="Gadugi" w:eastAsia="Calibri" w:hAnsi="Gadugi" w:cs="Times New Roman"/>
          <w:sz w:val="24"/>
          <w:szCs w:val="24"/>
        </w:rPr>
        <w:t>traslado</w:t>
      </w:r>
      <w:r w:rsidR="00FF1DA3" w:rsidRPr="0088617D">
        <w:rPr>
          <w:rFonts w:ascii="Gadugi" w:eastAsia="Calibri" w:hAnsi="Gadugi" w:cs="Times New Roman"/>
          <w:sz w:val="24"/>
          <w:szCs w:val="24"/>
        </w:rPr>
        <w:t xml:space="preserve">, </w:t>
      </w:r>
      <w:r w:rsidRPr="0088617D">
        <w:rPr>
          <w:rFonts w:ascii="Gadugi" w:eastAsia="Calibri" w:hAnsi="Gadugi" w:cs="Times New Roman"/>
          <w:sz w:val="24"/>
          <w:szCs w:val="24"/>
        </w:rPr>
        <w:t xml:space="preserve">decretadas y practicadas las pruebas, se produjo el fallo de primer grado. </w:t>
      </w:r>
    </w:p>
    <w:p w14:paraId="21F5A2F3" w14:textId="77777777" w:rsidR="00C13399" w:rsidRPr="0088617D" w:rsidRDefault="00C13399" w:rsidP="0088617D">
      <w:pPr>
        <w:spacing w:after="0" w:line="276" w:lineRule="auto"/>
        <w:ind w:firstLine="2835"/>
        <w:jc w:val="both"/>
        <w:rPr>
          <w:rFonts w:ascii="Gadugi" w:eastAsia="Calibri" w:hAnsi="Gadugi" w:cs="Times New Roman"/>
          <w:sz w:val="24"/>
          <w:szCs w:val="24"/>
        </w:rPr>
      </w:pPr>
    </w:p>
    <w:p w14:paraId="1F9E930C" w14:textId="2249F37E" w:rsidR="00772C00" w:rsidRPr="0088617D" w:rsidRDefault="00F155E1" w:rsidP="0088617D">
      <w:pPr>
        <w:pStyle w:val="Prrafodelista"/>
        <w:numPr>
          <w:ilvl w:val="1"/>
          <w:numId w:val="1"/>
        </w:numPr>
        <w:spacing w:after="0" w:line="276" w:lineRule="auto"/>
        <w:ind w:left="0" w:firstLine="2835"/>
        <w:jc w:val="both"/>
        <w:rPr>
          <w:rFonts w:ascii="Gadugi" w:eastAsia="Calibri" w:hAnsi="Gadugi" w:cs="Times New Roman"/>
          <w:sz w:val="24"/>
          <w:szCs w:val="24"/>
        </w:rPr>
      </w:pPr>
      <w:r w:rsidRPr="0088617D">
        <w:rPr>
          <w:rFonts w:ascii="Gadugi" w:eastAsia="Calibri" w:hAnsi="Gadugi" w:cs="Times New Roman"/>
          <w:b/>
          <w:sz w:val="24"/>
          <w:szCs w:val="24"/>
        </w:rPr>
        <w:t>La sentencia de primera instancia</w:t>
      </w:r>
      <w:r w:rsidR="00772C00" w:rsidRPr="0088617D">
        <w:rPr>
          <w:rFonts w:ascii="Gadugi" w:eastAsia="Calibri" w:hAnsi="Gadugi" w:cs="Times New Roman"/>
          <w:b/>
          <w:sz w:val="24"/>
          <w:szCs w:val="24"/>
        </w:rPr>
        <w:t xml:space="preserve"> </w:t>
      </w:r>
      <w:r w:rsidR="00772C00" w:rsidRPr="0088617D">
        <w:rPr>
          <w:rFonts w:ascii="Gadugi" w:eastAsia="Calibri" w:hAnsi="Gadugi" w:cs="Times New Roman"/>
          <w:sz w:val="24"/>
          <w:szCs w:val="24"/>
        </w:rPr>
        <w:t>(18 au-dienciaConcentradaSentencia)</w:t>
      </w:r>
    </w:p>
    <w:p w14:paraId="3461D779" w14:textId="77777777" w:rsidR="00F155E1" w:rsidRPr="0088617D" w:rsidRDefault="00F155E1" w:rsidP="0088617D">
      <w:pPr>
        <w:pStyle w:val="Prrafodelista"/>
        <w:spacing w:after="0" w:line="276" w:lineRule="auto"/>
        <w:ind w:left="0" w:firstLine="2835"/>
        <w:jc w:val="both"/>
        <w:rPr>
          <w:rFonts w:ascii="Gadugi" w:eastAsia="Calibri" w:hAnsi="Gadugi" w:cs="Times New Roman"/>
          <w:sz w:val="24"/>
          <w:szCs w:val="24"/>
        </w:rPr>
      </w:pPr>
    </w:p>
    <w:p w14:paraId="1D754C98" w14:textId="4E7A9EFB" w:rsidR="005B2196" w:rsidRPr="0088617D" w:rsidRDefault="00772C00" w:rsidP="0088617D">
      <w:pPr>
        <w:pStyle w:val="Prrafodelista"/>
        <w:spacing w:after="0" w:line="276" w:lineRule="auto"/>
        <w:ind w:left="0" w:firstLine="2835"/>
        <w:jc w:val="both"/>
        <w:rPr>
          <w:rFonts w:ascii="Gadugi" w:hAnsi="Gadugi"/>
          <w:sz w:val="24"/>
          <w:szCs w:val="24"/>
        </w:rPr>
      </w:pPr>
      <w:r w:rsidRPr="0088617D">
        <w:rPr>
          <w:rFonts w:ascii="Gadugi" w:hAnsi="Gadugi"/>
          <w:sz w:val="24"/>
          <w:szCs w:val="24"/>
        </w:rPr>
        <w:t>El Juzgado d</w:t>
      </w:r>
      <w:r w:rsidR="00175410" w:rsidRPr="0088617D">
        <w:rPr>
          <w:rFonts w:ascii="Gadugi" w:hAnsi="Gadugi"/>
          <w:sz w:val="24"/>
          <w:szCs w:val="24"/>
        </w:rPr>
        <w:t>eclaró no probada</w:t>
      </w:r>
      <w:r w:rsidRPr="0088617D">
        <w:rPr>
          <w:rFonts w:ascii="Gadugi" w:hAnsi="Gadugi"/>
          <w:sz w:val="24"/>
          <w:szCs w:val="24"/>
        </w:rPr>
        <w:t>s</w:t>
      </w:r>
      <w:r w:rsidR="00175410" w:rsidRPr="0088617D">
        <w:rPr>
          <w:rFonts w:ascii="Gadugi" w:hAnsi="Gadugi"/>
          <w:sz w:val="24"/>
          <w:szCs w:val="24"/>
        </w:rPr>
        <w:t xml:space="preserve"> las excepciones de cumplimiento del qu</w:t>
      </w:r>
      <w:r w:rsidRPr="0088617D">
        <w:rPr>
          <w:rFonts w:ascii="Gadugi" w:hAnsi="Gadugi"/>
          <w:sz w:val="24"/>
          <w:szCs w:val="24"/>
        </w:rPr>
        <w:t>ó</w:t>
      </w:r>
      <w:r w:rsidR="00175410" w:rsidRPr="0088617D">
        <w:rPr>
          <w:rFonts w:ascii="Gadugi" w:hAnsi="Gadugi"/>
          <w:sz w:val="24"/>
          <w:szCs w:val="24"/>
        </w:rPr>
        <w:t>rum deliberatorio y conflicto de intereses</w:t>
      </w:r>
      <w:r w:rsidRPr="0088617D">
        <w:rPr>
          <w:rFonts w:ascii="Gadugi" w:hAnsi="Gadugi"/>
          <w:sz w:val="24"/>
          <w:szCs w:val="24"/>
        </w:rPr>
        <w:t>; d</w:t>
      </w:r>
      <w:r w:rsidR="00161256" w:rsidRPr="0088617D">
        <w:rPr>
          <w:rFonts w:ascii="Gadugi" w:hAnsi="Gadugi"/>
          <w:sz w:val="24"/>
          <w:szCs w:val="24"/>
        </w:rPr>
        <w:t>esestimó</w:t>
      </w:r>
      <w:r w:rsidR="00175410" w:rsidRPr="0088617D">
        <w:rPr>
          <w:rFonts w:ascii="Gadugi" w:hAnsi="Gadugi"/>
          <w:sz w:val="24"/>
          <w:szCs w:val="24"/>
        </w:rPr>
        <w:t xml:space="preserve"> la anulación del acta impugnada por las falencias de los estados financieros y la falta de informe de gestión del administrador</w:t>
      </w:r>
      <w:r w:rsidRPr="0088617D">
        <w:rPr>
          <w:rFonts w:ascii="Gadugi" w:hAnsi="Gadugi"/>
          <w:sz w:val="24"/>
          <w:szCs w:val="24"/>
        </w:rPr>
        <w:t xml:space="preserve">; pero la anuló por la decisión de </w:t>
      </w:r>
      <w:r w:rsidR="00175410" w:rsidRPr="0088617D">
        <w:rPr>
          <w:rFonts w:ascii="Gadugi" w:hAnsi="Gadugi"/>
          <w:sz w:val="24"/>
          <w:szCs w:val="24"/>
        </w:rPr>
        <w:t>abstenerse de distribuir utilidades en la asamblea ordinaria d</w:t>
      </w:r>
      <w:r w:rsidR="00CC3E33" w:rsidRPr="0088617D">
        <w:rPr>
          <w:rFonts w:ascii="Gadugi" w:hAnsi="Gadugi"/>
          <w:sz w:val="24"/>
          <w:szCs w:val="24"/>
        </w:rPr>
        <w:t>e la sociedad Innova decoración</w:t>
      </w:r>
      <w:r w:rsidR="007C133B" w:rsidRPr="0088617D">
        <w:rPr>
          <w:rFonts w:ascii="Gadugi" w:hAnsi="Gadugi"/>
          <w:sz w:val="24"/>
          <w:szCs w:val="24"/>
        </w:rPr>
        <w:t xml:space="preserve"> S.A.S. del 29 de marzo de 2019</w:t>
      </w:r>
      <w:r w:rsidR="00175410" w:rsidRPr="0088617D">
        <w:rPr>
          <w:rFonts w:ascii="Gadugi" w:hAnsi="Gadugi"/>
          <w:sz w:val="24"/>
          <w:szCs w:val="24"/>
        </w:rPr>
        <w:t>.</w:t>
      </w:r>
    </w:p>
    <w:p w14:paraId="1FC39945" w14:textId="77777777" w:rsidR="00161256" w:rsidRPr="0088617D" w:rsidRDefault="00161256" w:rsidP="0088617D">
      <w:pPr>
        <w:spacing w:after="0" w:line="276" w:lineRule="auto"/>
        <w:jc w:val="both"/>
        <w:rPr>
          <w:rFonts w:ascii="Gadugi" w:hAnsi="Gadugi"/>
          <w:sz w:val="24"/>
          <w:szCs w:val="24"/>
        </w:rPr>
      </w:pPr>
    </w:p>
    <w:p w14:paraId="063F5111" w14:textId="77777777" w:rsidR="00772C00" w:rsidRPr="0088617D" w:rsidRDefault="00F155E1" w:rsidP="0088617D">
      <w:pPr>
        <w:spacing w:after="0" w:line="276" w:lineRule="auto"/>
        <w:ind w:firstLine="2835"/>
        <w:jc w:val="both"/>
        <w:rPr>
          <w:rFonts w:ascii="Gadugi" w:eastAsia="Calibri" w:hAnsi="Gadugi" w:cs="Times New Roman"/>
          <w:sz w:val="24"/>
          <w:szCs w:val="24"/>
        </w:rPr>
      </w:pPr>
      <w:r w:rsidRPr="0088617D">
        <w:rPr>
          <w:rFonts w:ascii="Gadugi" w:eastAsia="Calibri" w:hAnsi="Gadugi" w:cs="Times New Roman"/>
          <w:sz w:val="24"/>
          <w:szCs w:val="24"/>
        </w:rPr>
        <w:t>A</w:t>
      </w:r>
      <w:r w:rsidR="00FB1108" w:rsidRPr="0088617D">
        <w:rPr>
          <w:rFonts w:ascii="Gadugi" w:eastAsia="Calibri" w:hAnsi="Gadugi" w:cs="Times New Roman"/>
          <w:sz w:val="24"/>
          <w:szCs w:val="24"/>
        </w:rPr>
        <w:t>peló la parte demandante</w:t>
      </w:r>
      <w:r w:rsidR="00772C00" w:rsidRPr="0088617D">
        <w:rPr>
          <w:rFonts w:ascii="Gadugi" w:eastAsia="Calibri" w:hAnsi="Gadugi" w:cs="Times New Roman"/>
          <w:sz w:val="24"/>
          <w:szCs w:val="24"/>
        </w:rPr>
        <w:t xml:space="preserve">. </w:t>
      </w:r>
    </w:p>
    <w:p w14:paraId="4787C01C" w14:textId="77777777" w:rsidR="00772C00" w:rsidRPr="0088617D" w:rsidRDefault="00772C00" w:rsidP="0088617D">
      <w:pPr>
        <w:spacing w:after="0" w:line="276" w:lineRule="auto"/>
        <w:ind w:firstLine="2835"/>
        <w:jc w:val="both"/>
        <w:rPr>
          <w:rFonts w:ascii="Gadugi" w:eastAsia="Calibri" w:hAnsi="Gadugi" w:cs="Times New Roman"/>
          <w:sz w:val="24"/>
          <w:szCs w:val="24"/>
        </w:rPr>
      </w:pPr>
    </w:p>
    <w:p w14:paraId="54CEB244" w14:textId="230CE43F" w:rsidR="00772C00" w:rsidRPr="0088617D" w:rsidRDefault="00772C00" w:rsidP="0088617D">
      <w:pPr>
        <w:spacing w:after="0" w:line="276" w:lineRule="auto"/>
        <w:ind w:firstLine="2835"/>
        <w:jc w:val="both"/>
        <w:rPr>
          <w:rStyle w:val="normaltextrun"/>
          <w:rFonts w:ascii="Gadugi" w:hAnsi="Gadugi" w:cs="Segoe UI"/>
          <w:sz w:val="24"/>
          <w:szCs w:val="24"/>
        </w:rPr>
      </w:pPr>
      <w:r w:rsidRPr="0088617D">
        <w:rPr>
          <w:rFonts w:ascii="Gadugi" w:eastAsia="Calibri" w:hAnsi="Gadugi" w:cs="Times New Roman"/>
          <w:sz w:val="24"/>
          <w:szCs w:val="24"/>
        </w:rPr>
        <w:t>En término presentó sus reparos</w:t>
      </w:r>
      <w:r w:rsidR="00FB1108" w:rsidRPr="0088617D">
        <w:rPr>
          <w:rStyle w:val="normaltextrun"/>
          <w:rFonts w:ascii="Gadugi" w:hAnsi="Gadugi" w:cs="Segoe UI"/>
          <w:sz w:val="24"/>
          <w:szCs w:val="24"/>
        </w:rPr>
        <w:t xml:space="preserve"> (p. 2, </w:t>
      </w:r>
      <w:r w:rsidR="00AC5005" w:rsidRPr="0088617D">
        <w:rPr>
          <w:rStyle w:val="normaltextrun"/>
          <w:rFonts w:ascii="Gadugi" w:hAnsi="Gadugi" w:cs="Segoe UI"/>
          <w:sz w:val="24"/>
          <w:szCs w:val="24"/>
        </w:rPr>
        <w:t>archivo</w:t>
      </w:r>
      <w:r w:rsidR="00FB1108" w:rsidRPr="0088617D">
        <w:rPr>
          <w:rStyle w:val="normaltextrun"/>
          <w:rFonts w:ascii="Gadugi" w:hAnsi="Gadugi" w:cs="Segoe UI"/>
          <w:sz w:val="24"/>
          <w:szCs w:val="24"/>
        </w:rPr>
        <w:t xml:space="preserve"> 20</w:t>
      </w:r>
      <w:r w:rsidRPr="0088617D">
        <w:rPr>
          <w:rStyle w:val="normaltextrun"/>
          <w:rFonts w:ascii="Gadugi" w:hAnsi="Gadugi" w:cs="Segoe UI"/>
          <w:sz w:val="24"/>
          <w:szCs w:val="24"/>
        </w:rPr>
        <w:t xml:space="preserve"> MemorialRecursoApelaciónSentencia), que fueron reproducidos en el escrito de sustentación allegado en esta sede (07.</w:t>
      </w:r>
      <w:r w:rsidR="00E76F66">
        <w:rPr>
          <w:rStyle w:val="normaltextrun"/>
          <w:rFonts w:ascii="Gadugi" w:hAnsi="Gadugi" w:cs="Segoe UI"/>
          <w:sz w:val="24"/>
          <w:szCs w:val="24"/>
        </w:rPr>
        <w:t xml:space="preserve"> </w:t>
      </w:r>
      <w:r w:rsidRPr="0088617D">
        <w:rPr>
          <w:rStyle w:val="normaltextrun"/>
          <w:rFonts w:ascii="Gadugi" w:hAnsi="Gadugi" w:cs="Segoe UI"/>
          <w:sz w:val="24"/>
          <w:szCs w:val="24"/>
        </w:rPr>
        <w:t>Sustentación</w:t>
      </w:r>
      <w:r w:rsidR="00E76F66">
        <w:rPr>
          <w:rStyle w:val="normaltextrun"/>
          <w:rFonts w:ascii="Gadugi" w:hAnsi="Gadugi" w:cs="Segoe UI"/>
          <w:sz w:val="24"/>
          <w:szCs w:val="24"/>
        </w:rPr>
        <w:t xml:space="preserve"> </w:t>
      </w:r>
      <w:r w:rsidRPr="0088617D">
        <w:rPr>
          <w:rStyle w:val="normaltextrun"/>
          <w:rFonts w:ascii="Gadugi" w:hAnsi="Gadugi" w:cs="Segoe UI"/>
          <w:sz w:val="24"/>
          <w:szCs w:val="24"/>
        </w:rPr>
        <w:t>Demandante)</w:t>
      </w:r>
      <w:r w:rsidR="001D0BE4" w:rsidRPr="0088617D">
        <w:rPr>
          <w:rStyle w:val="normaltextrun"/>
          <w:rFonts w:ascii="Gadugi" w:hAnsi="Gadugi" w:cs="Segoe UI"/>
          <w:sz w:val="24"/>
          <w:szCs w:val="24"/>
        </w:rPr>
        <w:t xml:space="preserve">, a los que se hará alusión adelante. </w:t>
      </w:r>
    </w:p>
    <w:p w14:paraId="5B4768F4" w14:textId="3FFB9BBD" w:rsidR="004157BF" w:rsidRDefault="004157BF" w:rsidP="0088617D">
      <w:pPr>
        <w:spacing w:after="0" w:line="276" w:lineRule="auto"/>
        <w:ind w:firstLine="2835"/>
        <w:jc w:val="both"/>
        <w:rPr>
          <w:rStyle w:val="normaltextrun"/>
          <w:rFonts w:ascii="Gadugi" w:hAnsi="Gadugi" w:cs="Segoe UI"/>
          <w:sz w:val="24"/>
          <w:szCs w:val="24"/>
        </w:rPr>
      </w:pPr>
    </w:p>
    <w:p w14:paraId="329288B0" w14:textId="77777777" w:rsidR="003A4968" w:rsidRPr="0088617D" w:rsidRDefault="003A4968" w:rsidP="0088617D">
      <w:pPr>
        <w:spacing w:after="0" w:line="276" w:lineRule="auto"/>
        <w:ind w:firstLine="2835"/>
        <w:jc w:val="both"/>
        <w:rPr>
          <w:rStyle w:val="normaltextrun"/>
          <w:rFonts w:ascii="Gadugi" w:hAnsi="Gadugi" w:cs="Segoe UI"/>
          <w:sz w:val="24"/>
          <w:szCs w:val="24"/>
        </w:rPr>
      </w:pPr>
    </w:p>
    <w:p w14:paraId="4FF48455" w14:textId="7D753122" w:rsidR="004157BF" w:rsidRPr="0088617D" w:rsidRDefault="004157BF" w:rsidP="0088617D">
      <w:pPr>
        <w:pStyle w:val="Prrafodelista"/>
        <w:numPr>
          <w:ilvl w:val="0"/>
          <w:numId w:val="1"/>
        </w:numPr>
        <w:spacing w:after="0" w:line="276" w:lineRule="auto"/>
        <w:jc w:val="both"/>
        <w:rPr>
          <w:rStyle w:val="normaltextrun"/>
          <w:rFonts w:ascii="Gadugi" w:hAnsi="Gadugi" w:cs="Segoe UI"/>
          <w:sz w:val="24"/>
          <w:szCs w:val="24"/>
        </w:rPr>
      </w:pPr>
      <w:r w:rsidRPr="0088617D">
        <w:rPr>
          <w:rStyle w:val="normaltextrun"/>
          <w:rFonts w:ascii="Gadugi" w:hAnsi="Gadugi" w:cs="Segoe UI"/>
          <w:b/>
          <w:sz w:val="24"/>
          <w:szCs w:val="24"/>
        </w:rPr>
        <w:t>CONSIDERACIONES</w:t>
      </w:r>
    </w:p>
    <w:p w14:paraId="51F28D0C" w14:textId="3A929869" w:rsidR="004157BF" w:rsidRDefault="004157BF" w:rsidP="0088617D">
      <w:pPr>
        <w:spacing w:after="0" w:line="276" w:lineRule="auto"/>
        <w:ind w:left="2835"/>
        <w:jc w:val="both"/>
        <w:rPr>
          <w:rStyle w:val="normaltextrun"/>
          <w:rFonts w:ascii="Gadugi" w:hAnsi="Gadugi" w:cs="Segoe UI"/>
          <w:sz w:val="24"/>
          <w:szCs w:val="24"/>
        </w:rPr>
      </w:pPr>
    </w:p>
    <w:p w14:paraId="12CD823F" w14:textId="00946BD9" w:rsidR="004157BF" w:rsidRPr="0088617D" w:rsidRDefault="001D0BE4" w:rsidP="0088617D">
      <w:pPr>
        <w:pStyle w:val="Prrafodelista"/>
        <w:numPr>
          <w:ilvl w:val="1"/>
          <w:numId w:val="1"/>
        </w:numPr>
        <w:tabs>
          <w:tab w:val="left" w:pos="3402"/>
        </w:tabs>
        <w:spacing w:after="0" w:line="276" w:lineRule="auto"/>
        <w:ind w:left="0" w:firstLine="2835"/>
        <w:jc w:val="both"/>
        <w:rPr>
          <w:rStyle w:val="normaltextrun"/>
          <w:rFonts w:ascii="Gadugi" w:hAnsi="Gadugi" w:cs="Segoe UI"/>
          <w:sz w:val="24"/>
          <w:szCs w:val="24"/>
        </w:rPr>
      </w:pPr>
      <w:r w:rsidRPr="0088617D">
        <w:rPr>
          <w:rStyle w:val="normaltextrun"/>
          <w:rFonts w:ascii="Gadugi" w:hAnsi="Gadugi" w:cs="Segoe UI"/>
          <w:sz w:val="24"/>
          <w:szCs w:val="24"/>
        </w:rPr>
        <w:t xml:space="preserve">Los presupuestos para la adecuada conformación del proceso concurren cabalmente y no se vislumbra causal alguna que pueda invalidar la actuación. </w:t>
      </w:r>
    </w:p>
    <w:p w14:paraId="58FA07DF" w14:textId="0AA896AD" w:rsidR="001D0BE4" w:rsidRPr="0088617D" w:rsidRDefault="001D0BE4" w:rsidP="0088617D">
      <w:pPr>
        <w:tabs>
          <w:tab w:val="left" w:pos="3402"/>
        </w:tabs>
        <w:spacing w:after="0" w:line="276" w:lineRule="auto"/>
        <w:jc w:val="both"/>
        <w:rPr>
          <w:rStyle w:val="normaltextrun"/>
          <w:rFonts w:ascii="Gadugi" w:hAnsi="Gadugi" w:cs="Segoe UI"/>
          <w:sz w:val="24"/>
          <w:szCs w:val="24"/>
        </w:rPr>
      </w:pPr>
    </w:p>
    <w:p w14:paraId="00A92E4A" w14:textId="0889625E" w:rsidR="001D0BE4" w:rsidRPr="0088617D" w:rsidRDefault="001D0BE4" w:rsidP="0088617D">
      <w:pPr>
        <w:pStyle w:val="Prrafodelista"/>
        <w:numPr>
          <w:ilvl w:val="1"/>
          <w:numId w:val="1"/>
        </w:numPr>
        <w:tabs>
          <w:tab w:val="left" w:pos="3402"/>
        </w:tabs>
        <w:spacing w:after="0" w:line="276" w:lineRule="auto"/>
        <w:ind w:left="0" w:firstLine="2835"/>
        <w:jc w:val="both"/>
        <w:rPr>
          <w:rStyle w:val="normaltextrun"/>
          <w:rFonts w:ascii="Gadugi" w:hAnsi="Gadugi" w:cs="Segoe UI"/>
          <w:color w:val="FF0000"/>
          <w:sz w:val="24"/>
          <w:szCs w:val="24"/>
        </w:rPr>
      </w:pPr>
      <w:r w:rsidRPr="0088617D">
        <w:rPr>
          <w:rStyle w:val="normaltextrun"/>
          <w:rFonts w:ascii="Gadugi" w:hAnsi="Gadugi" w:cs="Segoe UI"/>
          <w:sz w:val="24"/>
          <w:szCs w:val="24"/>
        </w:rPr>
        <w:lastRenderedPageBreak/>
        <w:t xml:space="preserve">Se trata en este caso de la impugnación de una decisión societaria, que, al tenor de lo reglado por el artículo 191 del C. de Comercio, puede ser intentada, entre otros, por los socios disidentes. Aquí se involucra a la sociedad Innova </w:t>
      </w:r>
      <w:r w:rsidR="00A07A33" w:rsidRPr="0088617D">
        <w:rPr>
          <w:rStyle w:val="normaltextrun"/>
          <w:rFonts w:ascii="Gadugi" w:hAnsi="Gadugi" w:cs="Segoe UI"/>
          <w:sz w:val="24"/>
          <w:szCs w:val="24"/>
        </w:rPr>
        <w:t>Decoración S.A.S., de la que es accionista la demandante</w:t>
      </w:r>
      <w:r w:rsidR="00B14703" w:rsidRPr="0088617D">
        <w:rPr>
          <w:rStyle w:val="normaltextrun"/>
          <w:rFonts w:ascii="Gadugi" w:hAnsi="Gadugi" w:cs="Segoe UI"/>
          <w:sz w:val="24"/>
          <w:szCs w:val="24"/>
        </w:rPr>
        <w:t xml:space="preserve">, de acuerdo con el acto constitutivo aportado </w:t>
      </w:r>
      <w:r w:rsidR="00A07A33" w:rsidRPr="0088617D">
        <w:rPr>
          <w:rStyle w:val="normaltextrun"/>
          <w:rFonts w:ascii="Gadugi" w:hAnsi="Gadugi" w:cs="Segoe UI"/>
          <w:sz w:val="24"/>
          <w:szCs w:val="24"/>
        </w:rPr>
        <w:t>(p. 4, 01CuadernoPrincipal)</w:t>
      </w:r>
      <w:r w:rsidR="00B14703" w:rsidRPr="0088617D">
        <w:rPr>
          <w:rStyle w:val="normaltextrun"/>
          <w:rFonts w:ascii="Gadugi" w:hAnsi="Gadugi" w:cs="Segoe UI"/>
          <w:sz w:val="24"/>
          <w:szCs w:val="24"/>
        </w:rPr>
        <w:t>, inscrito en el registro mercantil (p. 36, ib.)</w:t>
      </w:r>
      <w:r w:rsidR="00A07A33" w:rsidRPr="0088617D">
        <w:rPr>
          <w:rStyle w:val="normaltextrun"/>
          <w:rFonts w:ascii="Gadugi" w:hAnsi="Gadugi" w:cs="Segoe UI"/>
          <w:sz w:val="24"/>
          <w:szCs w:val="24"/>
        </w:rPr>
        <w:t>.</w:t>
      </w:r>
      <w:r w:rsidR="00B14703" w:rsidRPr="0088617D">
        <w:rPr>
          <w:rStyle w:val="normaltextrun"/>
          <w:rFonts w:ascii="Gadugi" w:hAnsi="Gadugi" w:cs="Segoe UI"/>
          <w:sz w:val="24"/>
          <w:szCs w:val="24"/>
        </w:rPr>
        <w:t xml:space="preserve"> Y lo que se reclama es la declaración de nulidad de decisiones adoptadas en la asamblea ordinaria No. 001 del 29 de marzo de 2019, que constan en el acta de esa fecha (p. 18, ib.). </w:t>
      </w:r>
      <w:r w:rsidR="00AC778E" w:rsidRPr="0088617D">
        <w:rPr>
          <w:rStyle w:val="normaltextrun"/>
          <w:rFonts w:ascii="Gadugi" w:hAnsi="Gadugi" w:cs="Segoe UI"/>
          <w:sz w:val="24"/>
          <w:szCs w:val="24"/>
        </w:rPr>
        <w:t xml:space="preserve">Así que la legitimación por activa y por pasiva es clara. </w:t>
      </w:r>
      <w:r w:rsidR="00A07A33" w:rsidRPr="0088617D">
        <w:rPr>
          <w:rStyle w:val="normaltextrun"/>
          <w:rFonts w:ascii="Gadugi" w:hAnsi="Gadugi" w:cs="Segoe UI"/>
          <w:color w:val="FF0000"/>
          <w:sz w:val="24"/>
          <w:szCs w:val="24"/>
        </w:rPr>
        <w:t xml:space="preserve"> </w:t>
      </w:r>
    </w:p>
    <w:p w14:paraId="359C49EA" w14:textId="47CC710C" w:rsidR="004157BF" w:rsidRPr="0088617D" w:rsidRDefault="004157BF" w:rsidP="0088617D">
      <w:pPr>
        <w:spacing w:after="0" w:line="276" w:lineRule="auto"/>
        <w:ind w:left="2835"/>
        <w:jc w:val="both"/>
        <w:rPr>
          <w:rStyle w:val="normaltextrun"/>
          <w:rFonts w:ascii="Gadugi" w:hAnsi="Gadugi" w:cs="Segoe UI"/>
          <w:color w:val="FF0000"/>
          <w:sz w:val="24"/>
          <w:szCs w:val="24"/>
        </w:rPr>
      </w:pPr>
    </w:p>
    <w:p w14:paraId="0919A770" w14:textId="55A15553" w:rsidR="004157BF" w:rsidRPr="0088617D" w:rsidRDefault="00AC778E" w:rsidP="0088617D">
      <w:pPr>
        <w:pStyle w:val="Prrafodelista"/>
        <w:numPr>
          <w:ilvl w:val="1"/>
          <w:numId w:val="1"/>
        </w:numPr>
        <w:tabs>
          <w:tab w:val="left" w:pos="3402"/>
        </w:tabs>
        <w:spacing w:after="0" w:line="276" w:lineRule="auto"/>
        <w:ind w:left="0" w:firstLine="2835"/>
        <w:jc w:val="both"/>
        <w:rPr>
          <w:rStyle w:val="normaltextrun"/>
          <w:rFonts w:ascii="Gadugi" w:hAnsi="Gadugi" w:cs="Segoe UI"/>
          <w:sz w:val="24"/>
          <w:szCs w:val="24"/>
        </w:rPr>
      </w:pPr>
      <w:r w:rsidRPr="0088617D">
        <w:rPr>
          <w:rStyle w:val="normaltextrun"/>
          <w:rFonts w:ascii="Gadugi" w:hAnsi="Gadugi" w:cs="Segoe UI"/>
          <w:sz w:val="24"/>
          <w:szCs w:val="24"/>
        </w:rPr>
        <w:t xml:space="preserve">La sociedad simplificada por acciones, tiene soporte en la Ley 1258 de 2008, normativa que, en su artículo 45, remite, </w:t>
      </w:r>
      <w:r w:rsidR="00775D3B" w:rsidRPr="0088617D">
        <w:rPr>
          <w:rStyle w:val="normaltextrun"/>
          <w:rFonts w:ascii="Gadugi" w:hAnsi="Gadugi" w:cs="Segoe UI"/>
          <w:sz w:val="24"/>
          <w:szCs w:val="24"/>
        </w:rPr>
        <w:t xml:space="preserve">a falta de previsión </w:t>
      </w:r>
      <w:r w:rsidRPr="0088617D">
        <w:rPr>
          <w:rStyle w:val="normaltextrun"/>
          <w:rFonts w:ascii="Gadugi" w:hAnsi="Gadugi" w:cs="Segoe UI"/>
          <w:sz w:val="24"/>
          <w:szCs w:val="24"/>
        </w:rPr>
        <w:t>allí, a las disposiciones contenidas en los estatutos sociales, a las normas que rigen a la sociedad anónima, y en su defecto, en cuanto no sean contradictorias, a las disposiciones generales que rigen las sociedades previstas en el C</w:t>
      </w:r>
      <w:r w:rsidR="00FA28A1" w:rsidRPr="0088617D">
        <w:rPr>
          <w:rStyle w:val="normaltextrun"/>
          <w:rFonts w:ascii="Gadugi" w:hAnsi="Gadugi" w:cs="Segoe UI"/>
          <w:sz w:val="24"/>
          <w:szCs w:val="24"/>
        </w:rPr>
        <w:t>ódigo de</w:t>
      </w:r>
      <w:r w:rsidRPr="0088617D">
        <w:rPr>
          <w:rStyle w:val="normaltextrun"/>
          <w:rFonts w:ascii="Gadugi" w:hAnsi="Gadugi" w:cs="Segoe UI"/>
          <w:sz w:val="24"/>
          <w:szCs w:val="24"/>
        </w:rPr>
        <w:t xml:space="preserve"> Co</w:t>
      </w:r>
      <w:r w:rsidR="00FA28A1" w:rsidRPr="0088617D">
        <w:rPr>
          <w:rStyle w:val="normaltextrun"/>
          <w:rFonts w:ascii="Gadugi" w:hAnsi="Gadugi" w:cs="Segoe UI"/>
          <w:sz w:val="24"/>
          <w:szCs w:val="24"/>
        </w:rPr>
        <w:t>mercio</w:t>
      </w:r>
      <w:r w:rsidRPr="0088617D">
        <w:rPr>
          <w:rStyle w:val="normaltextrun"/>
          <w:rFonts w:ascii="Gadugi" w:hAnsi="Gadugi" w:cs="Segoe UI"/>
          <w:sz w:val="24"/>
          <w:szCs w:val="24"/>
        </w:rPr>
        <w:t xml:space="preserve">. </w:t>
      </w:r>
    </w:p>
    <w:p w14:paraId="040E2FB1" w14:textId="77777777" w:rsidR="00AC778E" w:rsidRPr="0088617D" w:rsidRDefault="00AC778E" w:rsidP="0088617D">
      <w:pPr>
        <w:pStyle w:val="Prrafodelista"/>
        <w:spacing w:line="276" w:lineRule="auto"/>
        <w:rPr>
          <w:rStyle w:val="normaltextrun"/>
          <w:rFonts w:ascii="Gadugi" w:hAnsi="Gadugi" w:cs="Segoe UI"/>
          <w:sz w:val="24"/>
          <w:szCs w:val="24"/>
        </w:rPr>
      </w:pPr>
    </w:p>
    <w:p w14:paraId="45771284" w14:textId="2F0296DB" w:rsidR="00AC778E" w:rsidRPr="0088617D" w:rsidRDefault="00AC778E" w:rsidP="0088617D">
      <w:pPr>
        <w:pStyle w:val="Prrafodelista"/>
        <w:tabs>
          <w:tab w:val="left" w:pos="3402"/>
        </w:tabs>
        <w:spacing w:after="0" w:line="276" w:lineRule="auto"/>
        <w:ind w:left="0" w:firstLine="2835"/>
        <w:jc w:val="both"/>
        <w:rPr>
          <w:rStyle w:val="normaltextrun"/>
          <w:rFonts w:ascii="Gadugi" w:hAnsi="Gadugi" w:cs="Segoe UI"/>
          <w:i/>
          <w:sz w:val="24"/>
          <w:szCs w:val="24"/>
        </w:rPr>
      </w:pPr>
      <w:r w:rsidRPr="0088617D">
        <w:rPr>
          <w:rStyle w:val="normaltextrun"/>
          <w:rFonts w:ascii="Gadugi" w:hAnsi="Gadugi" w:cs="Segoe UI"/>
          <w:sz w:val="24"/>
          <w:szCs w:val="24"/>
        </w:rPr>
        <w:t xml:space="preserve">Como </w:t>
      </w:r>
      <w:r w:rsidR="007D4E18" w:rsidRPr="0088617D">
        <w:rPr>
          <w:rStyle w:val="normaltextrun"/>
          <w:rFonts w:ascii="Gadugi" w:hAnsi="Gadugi" w:cs="Segoe UI"/>
          <w:sz w:val="24"/>
          <w:szCs w:val="24"/>
        </w:rPr>
        <w:t xml:space="preserve">dicha ley y </w:t>
      </w:r>
      <w:r w:rsidRPr="0088617D">
        <w:rPr>
          <w:rStyle w:val="normaltextrun"/>
          <w:rFonts w:ascii="Gadugi" w:hAnsi="Gadugi" w:cs="Segoe UI"/>
          <w:sz w:val="24"/>
          <w:szCs w:val="24"/>
        </w:rPr>
        <w:t>los estatutos</w:t>
      </w:r>
      <w:r w:rsidR="00E12E8C" w:rsidRPr="0088617D">
        <w:rPr>
          <w:rStyle w:val="normaltextrun"/>
          <w:rFonts w:ascii="Gadugi" w:hAnsi="Gadugi" w:cs="Segoe UI"/>
          <w:sz w:val="24"/>
          <w:szCs w:val="24"/>
        </w:rPr>
        <w:t xml:space="preserve"> allegados (p. 4, ib.), ninguna</w:t>
      </w:r>
      <w:r w:rsidR="00E76F66">
        <w:rPr>
          <w:rStyle w:val="normaltextrun"/>
          <w:rFonts w:ascii="Gadugi" w:hAnsi="Gadugi" w:cs="Segoe UI"/>
          <w:sz w:val="24"/>
          <w:szCs w:val="24"/>
        </w:rPr>
        <w:t xml:space="preserve"> </w:t>
      </w:r>
      <w:r w:rsidR="00E12E8C" w:rsidRPr="0088617D">
        <w:rPr>
          <w:rStyle w:val="normaltextrun"/>
          <w:rFonts w:ascii="Gadugi" w:hAnsi="Gadugi" w:cs="Segoe UI"/>
          <w:sz w:val="24"/>
          <w:szCs w:val="24"/>
        </w:rPr>
        <w:t>regulación</w:t>
      </w:r>
      <w:r w:rsidR="00E76F66">
        <w:rPr>
          <w:rStyle w:val="normaltextrun"/>
          <w:rFonts w:ascii="Gadugi" w:hAnsi="Gadugi" w:cs="Segoe UI"/>
          <w:sz w:val="24"/>
          <w:szCs w:val="24"/>
        </w:rPr>
        <w:t xml:space="preserve"> </w:t>
      </w:r>
      <w:r w:rsidR="00E12E8C" w:rsidRPr="0088617D">
        <w:rPr>
          <w:rStyle w:val="normaltextrun"/>
          <w:rFonts w:ascii="Gadugi" w:hAnsi="Gadugi" w:cs="Segoe UI"/>
          <w:sz w:val="24"/>
          <w:szCs w:val="24"/>
        </w:rPr>
        <w:t xml:space="preserve">traen sobre la impugnación de los actos de la asamblea de socios, es necesario acudir a las reglas del </w:t>
      </w:r>
      <w:r w:rsidR="009D4007" w:rsidRPr="0088617D">
        <w:rPr>
          <w:rStyle w:val="normaltextrun"/>
          <w:rFonts w:ascii="Gadugi" w:hAnsi="Gadugi" w:cs="Segoe UI"/>
          <w:sz w:val="24"/>
          <w:szCs w:val="24"/>
        </w:rPr>
        <w:t>Código de Comercio</w:t>
      </w:r>
      <w:r w:rsidR="00E12E8C" w:rsidRPr="0088617D">
        <w:rPr>
          <w:rStyle w:val="normaltextrun"/>
          <w:rFonts w:ascii="Gadugi" w:hAnsi="Gadugi" w:cs="Segoe UI"/>
          <w:sz w:val="24"/>
          <w:szCs w:val="24"/>
        </w:rPr>
        <w:t xml:space="preserve">, concretamente al artículo 191, que establece que </w:t>
      </w:r>
      <w:r w:rsidR="00E12E8C" w:rsidRPr="0088617D">
        <w:rPr>
          <w:rStyle w:val="normaltextrun"/>
          <w:rFonts w:ascii="Gadugi" w:hAnsi="Gadugi" w:cs="Segoe UI"/>
          <w:i/>
          <w:sz w:val="24"/>
          <w:szCs w:val="24"/>
        </w:rPr>
        <w:t>“</w:t>
      </w:r>
      <w:r w:rsidR="00E12E8C" w:rsidRPr="00E76F66">
        <w:rPr>
          <w:rStyle w:val="normaltextrun"/>
          <w:rFonts w:ascii="Gadugi" w:hAnsi="Gadugi" w:cs="Segoe UI"/>
          <w:i/>
          <w:szCs w:val="24"/>
        </w:rPr>
        <w:t>los administradores, los revisores fiscales y los socios ausentes o disidentes podrán impugnar las decisiones de la asamblea o de la junta de socios cuando no se ajusten a las prescripciones legales o a los estatutos</w:t>
      </w:r>
      <w:r w:rsidR="00E12E8C" w:rsidRPr="0088617D">
        <w:rPr>
          <w:rStyle w:val="normaltextrun"/>
          <w:rFonts w:ascii="Gadugi" w:hAnsi="Gadugi" w:cs="Segoe UI"/>
          <w:i/>
          <w:sz w:val="24"/>
          <w:szCs w:val="24"/>
        </w:rPr>
        <w:t xml:space="preserve">”. </w:t>
      </w:r>
      <w:r w:rsidR="00E12E8C" w:rsidRPr="0088617D">
        <w:rPr>
          <w:rStyle w:val="normaltextrun"/>
          <w:rFonts w:ascii="Gadugi" w:hAnsi="Gadugi" w:cs="Segoe UI"/>
          <w:sz w:val="24"/>
          <w:szCs w:val="24"/>
        </w:rPr>
        <w:t xml:space="preserve">Y recalca que </w:t>
      </w:r>
      <w:r w:rsidR="00E12E8C" w:rsidRPr="0088617D">
        <w:rPr>
          <w:rStyle w:val="normaltextrun"/>
          <w:rFonts w:ascii="Gadugi" w:hAnsi="Gadugi" w:cs="Segoe UI"/>
          <w:i/>
          <w:sz w:val="24"/>
          <w:szCs w:val="24"/>
        </w:rPr>
        <w:t>“</w:t>
      </w:r>
      <w:r w:rsidR="00E12E8C" w:rsidRPr="00E76F66">
        <w:rPr>
          <w:rStyle w:val="normaltextrun"/>
          <w:rFonts w:ascii="Gadugi" w:hAnsi="Gadugi" w:cs="Segoe UI"/>
          <w:i/>
          <w:szCs w:val="24"/>
        </w:rPr>
        <w:t>La impugnación solo podrá ser intentada dentro de los dos meses siguientes a la fecha de la reunión en la cual sea adoptadas las decisiones, a menos que se trate de acuerdos o actas de la asamblea que deban ser inscritos en el registro mercantil, caso en el cual los dos meses se contarán a partir de la fecha de la inscripción</w:t>
      </w:r>
      <w:r w:rsidR="00E12E8C" w:rsidRPr="0088617D">
        <w:rPr>
          <w:rStyle w:val="normaltextrun"/>
          <w:rFonts w:ascii="Gadugi" w:hAnsi="Gadugi" w:cs="Segoe UI"/>
          <w:i/>
          <w:sz w:val="24"/>
          <w:szCs w:val="24"/>
        </w:rPr>
        <w:t xml:space="preserve">”. </w:t>
      </w:r>
    </w:p>
    <w:p w14:paraId="0A65BDBB" w14:textId="7C2C5299" w:rsidR="00E12E8C" w:rsidRPr="0088617D" w:rsidRDefault="00E12E8C" w:rsidP="0088617D">
      <w:pPr>
        <w:pStyle w:val="Prrafodelista"/>
        <w:tabs>
          <w:tab w:val="left" w:pos="3402"/>
        </w:tabs>
        <w:spacing w:after="0" w:line="276" w:lineRule="auto"/>
        <w:ind w:left="0" w:firstLine="2835"/>
        <w:jc w:val="both"/>
        <w:rPr>
          <w:rStyle w:val="normaltextrun"/>
          <w:rFonts w:ascii="Gadugi" w:hAnsi="Gadugi" w:cs="Segoe UI"/>
          <w:i/>
          <w:sz w:val="24"/>
          <w:szCs w:val="24"/>
        </w:rPr>
      </w:pPr>
    </w:p>
    <w:p w14:paraId="4B69A31B" w14:textId="7CE98A96" w:rsidR="00E12E8C" w:rsidRDefault="007D4E18" w:rsidP="0088617D">
      <w:pPr>
        <w:pStyle w:val="Prrafodelista"/>
        <w:tabs>
          <w:tab w:val="left" w:pos="3402"/>
        </w:tabs>
        <w:spacing w:after="0" w:line="276" w:lineRule="auto"/>
        <w:ind w:left="0" w:firstLine="2835"/>
        <w:jc w:val="both"/>
        <w:rPr>
          <w:rStyle w:val="normaltextrun"/>
          <w:rFonts w:ascii="Gadugi" w:hAnsi="Gadugi" w:cs="Segoe UI"/>
          <w:sz w:val="24"/>
          <w:szCs w:val="24"/>
        </w:rPr>
      </w:pPr>
      <w:r w:rsidRPr="0088617D">
        <w:rPr>
          <w:rStyle w:val="normaltextrun"/>
          <w:rFonts w:ascii="Gadugi" w:hAnsi="Gadugi" w:cs="Segoe UI"/>
          <w:sz w:val="24"/>
          <w:szCs w:val="24"/>
        </w:rPr>
        <w:t xml:space="preserve">Ahora, </w:t>
      </w:r>
      <w:bookmarkStart w:id="3" w:name="_Hlk100218125"/>
      <w:r w:rsidRPr="0088617D">
        <w:rPr>
          <w:rStyle w:val="normaltextrun"/>
          <w:rFonts w:ascii="Gadugi" w:hAnsi="Gadugi" w:cs="Segoe UI"/>
          <w:sz w:val="24"/>
          <w:szCs w:val="24"/>
        </w:rPr>
        <w:t xml:space="preserve">en los términos del artículo 190 del mismo estatuto, son tres las situaciones que la ley prevé, frente a una decisión tomada en una reunión: (i) la ineficacia, cuando se celebre en contravención a lo prescrito en el artículo 186, norma que regula el lugar y el quórum; (iii) la nulidad absoluta, se adopta sin el número de votos previstos en los estatutos o en las leyes, o excediendo los límites del contrato social; y (iii) la inoponibilidad, cuando no tenga carácter general, de acuerdo con el artículo 188, frente a los socios ausentes o disidentes. </w:t>
      </w:r>
      <w:bookmarkEnd w:id="3"/>
    </w:p>
    <w:p w14:paraId="26769D25" w14:textId="77777777" w:rsidR="00E76F66" w:rsidRPr="0088617D" w:rsidRDefault="00E76F66" w:rsidP="0088617D">
      <w:pPr>
        <w:pStyle w:val="Prrafodelista"/>
        <w:tabs>
          <w:tab w:val="left" w:pos="3402"/>
        </w:tabs>
        <w:spacing w:after="0" w:line="276" w:lineRule="auto"/>
        <w:ind w:left="0" w:firstLine="2835"/>
        <w:jc w:val="both"/>
        <w:rPr>
          <w:rStyle w:val="normaltextrun"/>
          <w:rFonts w:ascii="Gadugi" w:hAnsi="Gadugi" w:cs="Segoe UI"/>
          <w:i/>
          <w:sz w:val="24"/>
          <w:szCs w:val="24"/>
        </w:rPr>
      </w:pPr>
    </w:p>
    <w:p w14:paraId="6FD0135E" w14:textId="77777777" w:rsidR="002D0F39" w:rsidRPr="0088617D" w:rsidRDefault="002D0F39" w:rsidP="0088617D">
      <w:pPr>
        <w:pStyle w:val="Prrafodelista"/>
        <w:numPr>
          <w:ilvl w:val="1"/>
          <w:numId w:val="1"/>
        </w:numPr>
        <w:tabs>
          <w:tab w:val="left" w:pos="3402"/>
        </w:tabs>
        <w:spacing w:after="0" w:line="276" w:lineRule="auto"/>
        <w:ind w:left="0" w:firstLine="2835"/>
        <w:jc w:val="both"/>
        <w:rPr>
          <w:rStyle w:val="normaltextrun"/>
          <w:rFonts w:ascii="Gadugi" w:hAnsi="Gadugi" w:cs="Segoe UI"/>
          <w:sz w:val="24"/>
          <w:szCs w:val="24"/>
        </w:rPr>
      </w:pPr>
      <w:r w:rsidRPr="0088617D">
        <w:rPr>
          <w:rStyle w:val="normaltextrun"/>
          <w:rFonts w:ascii="Gadugi" w:hAnsi="Gadugi" w:cs="Segoe UI"/>
          <w:sz w:val="24"/>
          <w:szCs w:val="24"/>
        </w:rPr>
        <w:t xml:space="preserve">Para definir lo que es motivo de impugnación, se advierte necesario precisar qué es lo que se reclamó con la demanda. </w:t>
      </w:r>
    </w:p>
    <w:p w14:paraId="0AB2E473" w14:textId="74B86AB3" w:rsidR="002D0F39" w:rsidRPr="0088617D" w:rsidRDefault="002D0F39" w:rsidP="0088617D">
      <w:pPr>
        <w:tabs>
          <w:tab w:val="left" w:pos="3402"/>
        </w:tabs>
        <w:spacing w:after="0" w:line="276" w:lineRule="auto"/>
        <w:ind w:left="2835"/>
        <w:jc w:val="both"/>
        <w:rPr>
          <w:rStyle w:val="normaltextrun"/>
          <w:rFonts w:ascii="Gadugi" w:hAnsi="Gadugi" w:cs="Segoe UI"/>
          <w:sz w:val="24"/>
          <w:szCs w:val="24"/>
        </w:rPr>
      </w:pPr>
    </w:p>
    <w:p w14:paraId="61E2554E" w14:textId="05F73709" w:rsidR="002D0F39" w:rsidRPr="0088617D" w:rsidRDefault="002D0F39" w:rsidP="0088617D">
      <w:pPr>
        <w:tabs>
          <w:tab w:val="left" w:pos="3402"/>
        </w:tabs>
        <w:spacing w:after="0" w:line="276" w:lineRule="auto"/>
        <w:ind w:firstLine="2835"/>
        <w:jc w:val="both"/>
        <w:rPr>
          <w:rStyle w:val="normaltextrun"/>
          <w:rFonts w:ascii="Gadugi" w:hAnsi="Gadugi" w:cs="Segoe UI"/>
          <w:sz w:val="24"/>
          <w:szCs w:val="24"/>
        </w:rPr>
      </w:pPr>
      <w:r w:rsidRPr="0088617D">
        <w:rPr>
          <w:rStyle w:val="normaltextrun"/>
          <w:rFonts w:ascii="Gadugi" w:hAnsi="Gadugi" w:cs="Segoe UI"/>
          <w:sz w:val="24"/>
          <w:szCs w:val="24"/>
        </w:rPr>
        <w:t xml:space="preserve">De acuerdo con el resumen presentado, luego de que </w:t>
      </w:r>
      <w:r w:rsidR="00B9587A" w:rsidRPr="0088617D">
        <w:rPr>
          <w:rStyle w:val="normaltextrun"/>
          <w:rFonts w:ascii="Gadugi" w:hAnsi="Gadugi" w:cs="Segoe UI"/>
          <w:sz w:val="24"/>
          <w:szCs w:val="24"/>
        </w:rPr>
        <w:t xml:space="preserve">se hiciera una descripción de lo que ocurrió en la reunión del 29 de marzo de 2019, en la que se aprobó el balance del año 2018, a pesar de las objeciones formuladas por las socias minoritarias de las que se hace derivar la condición </w:t>
      </w:r>
      <w:r w:rsidR="00F41DCD" w:rsidRPr="0088617D">
        <w:rPr>
          <w:rStyle w:val="normaltextrun"/>
          <w:rFonts w:ascii="Gadugi" w:hAnsi="Gadugi" w:cs="Segoe UI"/>
          <w:sz w:val="24"/>
          <w:szCs w:val="24"/>
        </w:rPr>
        <w:t xml:space="preserve">de disidentes </w:t>
      </w:r>
      <w:r w:rsidR="00B9587A" w:rsidRPr="0088617D">
        <w:rPr>
          <w:rStyle w:val="normaltextrun"/>
          <w:rFonts w:ascii="Gadugi" w:hAnsi="Gadugi" w:cs="Segoe UI"/>
          <w:sz w:val="24"/>
          <w:szCs w:val="24"/>
        </w:rPr>
        <w:t>impuesta por el artículo 191 para efectos de poder impugnar (hechos octavo y noveno), se menciona que</w:t>
      </w:r>
      <w:r w:rsidR="009D4007" w:rsidRPr="0088617D">
        <w:rPr>
          <w:rStyle w:val="normaltextrun"/>
          <w:rFonts w:ascii="Gadugi" w:hAnsi="Gadugi" w:cs="Segoe UI"/>
          <w:sz w:val="24"/>
          <w:szCs w:val="24"/>
        </w:rPr>
        <w:t>:</w:t>
      </w:r>
      <w:r w:rsidR="00B9587A" w:rsidRPr="0088617D">
        <w:rPr>
          <w:rStyle w:val="normaltextrun"/>
          <w:rFonts w:ascii="Gadugi" w:hAnsi="Gadugi" w:cs="Segoe UI"/>
          <w:sz w:val="24"/>
          <w:szCs w:val="24"/>
        </w:rPr>
        <w:t xml:space="preserve"> (i) el libro de accionistas presentó inconsistencias que allí fueron corregidas (hecho </w:t>
      </w:r>
      <w:r w:rsidR="00B9587A" w:rsidRPr="0088617D">
        <w:rPr>
          <w:rStyle w:val="normaltextrun"/>
          <w:rFonts w:ascii="Gadugi" w:hAnsi="Gadugi" w:cs="Segoe UI"/>
          <w:sz w:val="24"/>
          <w:szCs w:val="24"/>
        </w:rPr>
        <w:lastRenderedPageBreak/>
        <w:t xml:space="preserve">décimo); (ii) el libro de actas de asamblea revela ausencia total de reuniones o convocatorias correspondientes a los años 2016, 2017 y 2018, es decir, que los estados financieros anteriores al 2019, no fueron sometidos a aprobación; (iii)  </w:t>
      </w:r>
      <w:r w:rsidR="00F41DCD" w:rsidRPr="0088617D">
        <w:rPr>
          <w:rStyle w:val="normaltextrun"/>
          <w:rFonts w:ascii="Gadugi" w:hAnsi="Gadugi" w:cs="Segoe UI"/>
          <w:sz w:val="24"/>
          <w:szCs w:val="24"/>
        </w:rPr>
        <w:t xml:space="preserve">las disidentes plantearon varias inconsistencias sobre los estados financieros, a pesar de lo cual, fueron </w:t>
      </w:r>
      <w:r w:rsidR="003A1667" w:rsidRPr="0088617D">
        <w:rPr>
          <w:rStyle w:val="normaltextrun"/>
          <w:rFonts w:ascii="Gadugi" w:hAnsi="Gadugi" w:cs="Segoe UI"/>
          <w:sz w:val="24"/>
          <w:szCs w:val="24"/>
        </w:rPr>
        <w:t xml:space="preserve">aprobados por mayoría; (iv) se solicitó aplazamiento de la reunión, pero la propuesta fue derrotada; (v) y se omitió presentar y someter a aprobación un proyecto de distribución de utilidades, y así se hizo constar en el acta, lo que constituye una contravención de disposiciones legales y estatutarias, pues el artículo 25 de los estatutos contempla que </w:t>
      </w:r>
      <w:r w:rsidR="003A1667" w:rsidRPr="0088617D">
        <w:rPr>
          <w:rStyle w:val="normaltextrun"/>
          <w:rFonts w:ascii="Gadugi" w:hAnsi="Gadugi" w:cs="Segoe UI"/>
          <w:i/>
          <w:sz w:val="24"/>
          <w:szCs w:val="24"/>
        </w:rPr>
        <w:t>“</w:t>
      </w:r>
      <w:r w:rsidR="003A1667" w:rsidRPr="00E76F66">
        <w:rPr>
          <w:rStyle w:val="normaltextrun"/>
          <w:rFonts w:ascii="Gadugi" w:hAnsi="Gadugi" w:cs="Segoe UI"/>
          <w:i/>
          <w:szCs w:val="24"/>
        </w:rPr>
        <w:t>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w:t>
      </w:r>
      <w:r w:rsidR="003A1667" w:rsidRPr="0088617D">
        <w:rPr>
          <w:rStyle w:val="normaltextrun"/>
          <w:rFonts w:ascii="Gadugi" w:hAnsi="Gadugi" w:cs="Segoe UI"/>
          <w:i/>
          <w:sz w:val="24"/>
          <w:szCs w:val="24"/>
        </w:rPr>
        <w:t xml:space="preserve">”. </w:t>
      </w:r>
    </w:p>
    <w:p w14:paraId="1484FA5D" w14:textId="4C8584C5" w:rsidR="00377F5B" w:rsidRPr="0088617D" w:rsidRDefault="00377F5B" w:rsidP="0088617D">
      <w:pPr>
        <w:tabs>
          <w:tab w:val="left" w:pos="3402"/>
        </w:tabs>
        <w:spacing w:after="0" w:line="276" w:lineRule="auto"/>
        <w:ind w:firstLine="2835"/>
        <w:jc w:val="both"/>
        <w:rPr>
          <w:rStyle w:val="normaltextrun"/>
          <w:rFonts w:ascii="Gadugi" w:hAnsi="Gadugi" w:cs="Segoe UI"/>
          <w:sz w:val="24"/>
          <w:szCs w:val="24"/>
        </w:rPr>
      </w:pPr>
    </w:p>
    <w:p w14:paraId="3943623E" w14:textId="155FA14F" w:rsidR="00377F5B" w:rsidRPr="0088617D" w:rsidRDefault="00377F5B" w:rsidP="0088617D">
      <w:pPr>
        <w:tabs>
          <w:tab w:val="left" w:pos="3402"/>
        </w:tabs>
        <w:spacing w:after="0" w:line="276" w:lineRule="auto"/>
        <w:ind w:firstLine="2835"/>
        <w:jc w:val="both"/>
        <w:rPr>
          <w:rStyle w:val="normaltextrun"/>
          <w:rFonts w:ascii="Gadugi" w:hAnsi="Gadugi" w:cs="Segoe UI"/>
          <w:sz w:val="24"/>
          <w:szCs w:val="24"/>
        </w:rPr>
      </w:pPr>
      <w:r w:rsidRPr="0088617D">
        <w:rPr>
          <w:rStyle w:val="normaltextrun"/>
          <w:rFonts w:ascii="Gadugi" w:hAnsi="Gadugi" w:cs="Segoe UI"/>
          <w:sz w:val="24"/>
          <w:szCs w:val="24"/>
        </w:rPr>
        <w:t>Y se resalta que al examen de los estados financieros de 2018, hubo unas utilidades de fin de ejercicio por valor de $7’699.375</w:t>
      </w:r>
      <w:r w:rsidR="00E76F66">
        <w:rPr>
          <w:rStyle w:val="normaltextrun"/>
          <w:rFonts w:ascii="Gadugi" w:hAnsi="Gadugi" w:cs="Segoe UI"/>
          <w:sz w:val="24"/>
          <w:szCs w:val="24"/>
        </w:rPr>
        <w:t>,00</w:t>
      </w:r>
      <w:r w:rsidRPr="0088617D">
        <w:rPr>
          <w:rStyle w:val="normaltextrun"/>
          <w:rFonts w:ascii="Gadugi" w:hAnsi="Gadugi" w:cs="Segoe UI"/>
          <w:sz w:val="24"/>
          <w:szCs w:val="24"/>
        </w:rPr>
        <w:t xml:space="preserve">, sobre las que no hubo distribución alguna ni se justificó esa omisión, con lo cual se vulneró el derecho de la accionista de percibir dichas utilidades. Por ello, de manera categórica, en el hecho </w:t>
      </w:r>
      <w:r w:rsidRPr="0088617D">
        <w:rPr>
          <w:rStyle w:val="normaltextrun"/>
          <w:rFonts w:ascii="Gadugi" w:hAnsi="Gadugi" w:cs="Segoe UI"/>
          <w:i/>
          <w:sz w:val="24"/>
          <w:szCs w:val="24"/>
        </w:rPr>
        <w:t xml:space="preserve">“VIGÉSIMO” </w:t>
      </w:r>
      <w:r w:rsidRPr="0088617D">
        <w:rPr>
          <w:rStyle w:val="normaltextrun"/>
          <w:rFonts w:ascii="Gadugi" w:hAnsi="Gadugi" w:cs="Segoe UI"/>
          <w:sz w:val="24"/>
          <w:szCs w:val="24"/>
        </w:rPr>
        <w:t xml:space="preserve"> se afirma que el acta “</w:t>
      </w:r>
      <w:r w:rsidRPr="00C13399">
        <w:rPr>
          <w:rStyle w:val="normaltextrun"/>
          <w:rFonts w:ascii="Gadugi" w:hAnsi="Gadugi" w:cs="Segoe UI"/>
          <w:i/>
          <w:szCs w:val="24"/>
        </w:rPr>
        <w:t>está viciada de nulidad, pues adolece de uno de los componentes estructurales que la ley exige, cual es la presentación y aprobación de un proyecto de distribución de utilidades</w:t>
      </w:r>
      <w:r w:rsidR="00843D27" w:rsidRPr="0088617D">
        <w:rPr>
          <w:rStyle w:val="normaltextrun"/>
          <w:rFonts w:ascii="Gadugi" w:hAnsi="Gadugi" w:cs="Segoe UI"/>
          <w:i/>
          <w:sz w:val="24"/>
          <w:szCs w:val="24"/>
        </w:rPr>
        <w:t>”</w:t>
      </w:r>
      <w:r w:rsidR="00843D27" w:rsidRPr="0088617D">
        <w:rPr>
          <w:rStyle w:val="normaltextrun"/>
          <w:rFonts w:ascii="Gadugi" w:hAnsi="Gadugi" w:cs="Segoe UI"/>
          <w:sz w:val="24"/>
          <w:szCs w:val="24"/>
        </w:rPr>
        <w:t xml:space="preserve">; </w:t>
      </w:r>
      <w:r w:rsidR="008D640C" w:rsidRPr="0088617D">
        <w:rPr>
          <w:rStyle w:val="normaltextrun"/>
          <w:rFonts w:ascii="Gadugi" w:hAnsi="Gadugi" w:cs="Segoe UI"/>
          <w:sz w:val="24"/>
          <w:szCs w:val="24"/>
        </w:rPr>
        <w:t>a partir de lo cual señaló las disposiciones aplicables a esa distribución, concretamente, los artículos 420 y 422 del C. de Comercio y 46 de la Ley 222 de 1995; también el artículo 155 del estatuto mercantil, modificado por el 240 de la Ley 222, referido a la mayoría para la aprobación de distribución de utilidades, y en este caso, ni siquiera se realizó la distribución</w:t>
      </w:r>
      <w:r w:rsidRPr="0088617D">
        <w:rPr>
          <w:rStyle w:val="normaltextrun"/>
          <w:rFonts w:ascii="Gadugi" w:hAnsi="Gadugi" w:cs="Segoe UI"/>
          <w:sz w:val="24"/>
          <w:szCs w:val="24"/>
        </w:rPr>
        <w:t xml:space="preserve"> </w:t>
      </w:r>
      <w:r w:rsidR="008D640C" w:rsidRPr="0088617D">
        <w:rPr>
          <w:rStyle w:val="normaltextrun"/>
          <w:rFonts w:ascii="Gadugi" w:hAnsi="Gadugi" w:cs="Segoe UI"/>
          <w:sz w:val="24"/>
          <w:szCs w:val="24"/>
        </w:rPr>
        <w:t xml:space="preserve">con el mínimo allí establecido. </w:t>
      </w:r>
    </w:p>
    <w:p w14:paraId="55738153" w14:textId="4B353381" w:rsidR="002D0F39" w:rsidRPr="0088617D" w:rsidRDefault="002D0F39" w:rsidP="0088617D">
      <w:pPr>
        <w:tabs>
          <w:tab w:val="left" w:pos="3402"/>
        </w:tabs>
        <w:spacing w:after="0" w:line="276" w:lineRule="auto"/>
        <w:ind w:left="2835"/>
        <w:jc w:val="both"/>
        <w:rPr>
          <w:rStyle w:val="normaltextrun"/>
          <w:rFonts w:ascii="Gadugi" w:hAnsi="Gadugi" w:cs="Segoe UI"/>
          <w:sz w:val="24"/>
          <w:szCs w:val="24"/>
        </w:rPr>
      </w:pPr>
    </w:p>
    <w:p w14:paraId="29C67F5E" w14:textId="3E1A7264" w:rsidR="00A72D75" w:rsidRPr="0088617D" w:rsidRDefault="008D640C" w:rsidP="0088617D">
      <w:pPr>
        <w:pStyle w:val="Prrafodelista"/>
        <w:numPr>
          <w:ilvl w:val="1"/>
          <w:numId w:val="1"/>
        </w:numPr>
        <w:tabs>
          <w:tab w:val="left" w:pos="3402"/>
        </w:tabs>
        <w:spacing w:after="0" w:line="276" w:lineRule="auto"/>
        <w:ind w:left="0" w:firstLine="2835"/>
        <w:jc w:val="both"/>
        <w:rPr>
          <w:rStyle w:val="normaltextrun"/>
          <w:rFonts w:ascii="Gadugi" w:hAnsi="Gadugi" w:cs="Segoe UI"/>
          <w:sz w:val="24"/>
          <w:szCs w:val="24"/>
        </w:rPr>
      </w:pPr>
      <w:r w:rsidRPr="0088617D">
        <w:rPr>
          <w:rStyle w:val="normaltextrun"/>
          <w:rFonts w:ascii="Gadugi" w:hAnsi="Gadugi" w:cs="Segoe UI"/>
          <w:sz w:val="24"/>
          <w:szCs w:val="24"/>
        </w:rPr>
        <w:t xml:space="preserve">Este derrotero es relevante, por cuanto, </w:t>
      </w:r>
      <w:r w:rsidR="0094635A" w:rsidRPr="0088617D">
        <w:rPr>
          <w:rStyle w:val="normaltextrun"/>
          <w:rFonts w:ascii="Gadugi" w:hAnsi="Gadugi" w:cs="Segoe UI"/>
          <w:sz w:val="24"/>
          <w:szCs w:val="24"/>
        </w:rPr>
        <w:t xml:space="preserve">deviene claro que la única mención que se hizo en el libelo sobre </w:t>
      </w:r>
      <w:r w:rsidR="005B11D1" w:rsidRPr="0088617D">
        <w:rPr>
          <w:rStyle w:val="normaltextrun"/>
          <w:rFonts w:ascii="Gadugi" w:hAnsi="Gadugi" w:cs="Segoe UI"/>
          <w:sz w:val="24"/>
          <w:szCs w:val="24"/>
        </w:rPr>
        <w:t xml:space="preserve">el informe de gestión, </w:t>
      </w:r>
      <w:r w:rsidR="0094635A" w:rsidRPr="0088617D">
        <w:rPr>
          <w:rStyle w:val="normaltextrun"/>
          <w:rFonts w:ascii="Gadugi" w:hAnsi="Gadugi" w:cs="Segoe UI"/>
          <w:sz w:val="24"/>
          <w:szCs w:val="24"/>
        </w:rPr>
        <w:t xml:space="preserve">aparece en el </w:t>
      </w:r>
      <w:r w:rsidR="003D3CF5" w:rsidRPr="0088617D">
        <w:rPr>
          <w:rStyle w:val="normaltextrun"/>
          <w:rFonts w:ascii="Gadugi" w:hAnsi="Gadugi" w:cs="Segoe UI"/>
          <w:sz w:val="24"/>
          <w:szCs w:val="24"/>
        </w:rPr>
        <w:t xml:space="preserve">hecho vigésimo, en el que </w:t>
      </w:r>
      <w:r w:rsidR="00865210" w:rsidRPr="0088617D">
        <w:rPr>
          <w:rStyle w:val="normaltextrun"/>
          <w:rFonts w:ascii="Gadugi" w:hAnsi="Gadugi" w:cs="Segoe UI"/>
          <w:sz w:val="24"/>
          <w:szCs w:val="24"/>
        </w:rPr>
        <w:t xml:space="preserve">se </w:t>
      </w:r>
      <w:r w:rsidR="003D3CF5" w:rsidRPr="0088617D">
        <w:rPr>
          <w:rStyle w:val="normaltextrun"/>
          <w:rFonts w:ascii="Gadugi" w:hAnsi="Gadugi" w:cs="Segoe UI"/>
          <w:sz w:val="24"/>
          <w:szCs w:val="24"/>
        </w:rPr>
        <w:t xml:space="preserve">trae a colación lo que regula el artículo 46 de la Ley 222, </w:t>
      </w:r>
      <w:r w:rsidR="002C0780" w:rsidRPr="0088617D">
        <w:rPr>
          <w:rStyle w:val="normaltextrun"/>
          <w:rFonts w:ascii="Gadugi" w:hAnsi="Gadugi" w:cs="Segoe UI"/>
          <w:sz w:val="24"/>
          <w:szCs w:val="24"/>
        </w:rPr>
        <w:t>que establece los documentos que se deben presentar a la asamblea o junta de socios al término de cada ejercicio contable. P</w:t>
      </w:r>
      <w:r w:rsidR="00A72D75" w:rsidRPr="0088617D">
        <w:rPr>
          <w:rStyle w:val="normaltextrun"/>
          <w:rFonts w:ascii="Gadugi" w:hAnsi="Gadugi" w:cs="Segoe UI"/>
          <w:sz w:val="24"/>
          <w:szCs w:val="24"/>
        </w:rPr>
        <w:t>e</w:t>
      </w:r>
      <w:r w:rsidR="002C0780" w:rsidRPr="0088617D">
        <w:rPr>
          <w:rStyle w:val="normaltextrun"/>
          <w:rFonts w:ascii="Gadugi" w:hAnsi="Gadugi" w:cs="Segoe UI"/>
          <w:sz w:val="24"/>
          <w:szCs w:val="24"/>
        </w:rPr>
        <w:t xml:space="preserve">ro, </w:t>
      </w:r>
      <w:r w:rsidR="00865210" w:rsidRPr="0088617D">
        <w:rPr>
          <w:rStyle w:val="normaltextrun"/>
          <w:rFonts w:ascii="Gadugi" w:hAnsi="Gadugi" w:cs="Segoe UI"/>
          <w:sz w:val="24"/>
          <w:szCs w:val="24"/>
        </w:rPr>
        <w:t>según</w:t>
      </w:r>
      <w:r w:rsidR="002C0780" w:rsidRPr="0088617D">
        <w:rPr>
          <w:rStyle w:val="normaltextrun"/>
          <w:rFonts w:ascii="Gadugi" w:hAnsi="Gadugi" w:cs="Segoe UI"/>
          <w:sz w:val="24"/>
          <w:szCs w:val="24"/>
        </w:rPr>
        <w:t xml:space="preserve"> se puede observar, ninguna afirmación se hizo sobre su ausencia</w:t>
      </w:r>
      <w:r w:rsidR="00A72D75" w:rsidRPr="0088617D">
        <w:rPr>
          <w:rStyle w:val="normaltextrun"/>
          <w:rFonts w:ascii="Gadugi" w:hAnsi="Gadugi" w:cs="Segoe UI"/>
          <w:sz w:val="24"/>
          <w:szCs w:val="24"/>
        </w:rPr>
        <w:t>, o las consecuencias de la misma, mucho menos se invocó la nulidad de las decisiones de la junta con fundamento en esa omisión</w:t>
      </w:r>
      <w:r w:rsidR="00865210" w:rsidRPr="0088617D">
        <w:rPr>
          <w:rStyle w:val="normaltextrun"/>
          <w:rFonts w:ascii="Gadugi" w:hAnsi="Gadugi" w:cs="Segoe UI"/>
          <w:sz w:val="24"/>
          <w:szCs w:val="24"/>
        </w:rPr>
        <w:t>.</w:t>
      </w:r>
    </w:p>
    <w:p w14:paraId="2560ACD7" w14:textId="77777777" w:rsidR="00865210" w:rsidRPr="0088617D" w:rsidRDefault="00865210" w:rsidP="0088617D">
      <w:pPr>
        <w:pStyle w:val="Prrafodelista"/>
        <w:tabs>
          <w:tab w:val="left" w:pos="3402"/>
        </w:tabs>
        <w:spacing w:after="0" w:line="276" w:lineRule="auto"/>
        <w:ind w:left="2835"/>
        <w:jc w:val="both"/>
        <w:rPr>
          <w:rStyle w:val="normaltextrun"/>
          <w:rFonts w:ascii="Gadugi" w:hAnsi="Gadugi" w:cs="Segoe UI"/>
          <w:sz w:val="24"/>
          <w:szCs w:val="24"/>
        </w:rPr>
      </w:pPr>
    </w:p>
    <w:p w14:paraId="79C550A4" w14:textId="111CC3A3" w:rsidR="00625085" w:rsidRPr="0088617D" w:rsidRDefault="00A72D75" w:rsidP="0088617D">
      <w:pPr>
        <w:pStyle w:val="Prrafodelista"/>
        <w:numPr>
          <w:ilvl w:val="1"/>
          <w:numId w:val="1"/>
        </w:numPr>
        <w:tabs>
          <w:tab w:val="left" w:pos="3402"/>
        </w:tabs>
        <w:spacing w:after="0" w:line="276" w:lineRule="auto"/>
        <w:ind w:left="0" w:firstLine="2835"/>
        <w:jc w:val="both"/>
        <w:rPr>
          <w:rFonts w:ascii="Gadugi" w:hAnsi="Gadugi" w:cs="Segoe UI"/>
          <w:sz w:val="24"/>
          <w:szCs w:val="24"/>
        </w:rPr>
      </w:pPr>
      <w:r w:rsidRPr="0088617D">
        <w:rPr>
          <w:rStyle w:val="normaltextrun"/>
          <w:rFonts w:ascii="Gadugi" w:hAnsi="Gadugi" w:cs="Segoe UI"/>
          <w:sz w:val="24"/>
          <w:szCs w:val="24"/>
        </w:rPr>
        <w:t>No obstante, el Juzgado, al proferir el fallo, en</w:t>
      </w:r>
      <w:r w:rsidR="00625085" w:rsidRPr="0088617D">
        <w:rPr>
          <w:rStyle w:val="normaltextrun"/>
          <w:rFonts w:ascii="Gadugi" w:hAnsi="Gadugi" w:cs="Segoe UI"/>
          <w:sz w:val="24"/>
          <w:szCs w:val="24"/>
        </w:rPr>
        <w:t xml:space="preserve">focó la cuestión en tres cuestionamientos </w:t>
      </w:r>
      <w:r w:rsidR="00625085" w:rsidRPr="0088617D">
        <w:rPr>
          <w:rStyle w:val="normaltextrun"/>
          <w:rFonts w:ascii="Gadugi" w:hAnsi="Gadugi" w:cs="Segoe UI"/>
          <w:i/>
          <w:sz w:val="24"/>
          <w:szCs w:val="24"/>
        </w:rPr>
        <w:t>“</w:t>
      </w:r>
      <w:r w:rsidR="00625085" w:rsidRPr="00C13399">
        <w:rPr>
          <w:rStyle w:val="normaltextrun"/>
          <w:rFonts w:ascii="Gadugi" w:hAnsi="Gadugi" w:cs="Segoe UI"/>
          <w:i/>
          <w:szCs w:val="24"/>
        </w:rPr>
        <w:t>p</w:t>
      </w:r>
      <w:r w:rsidR="00625085" w:rsidRPr="00C13399">
        <w:rPr>
          <w:rFonts w:ascii="Gadugi" w:hAnsi="Gadugi"/>
          <w:i/>
          <w:szCs w:val="24"/>
        </w:rPr>
        <w:t>rimero, que los estados financieros presentan falencias de diverso orden; segundo, que el administrador no rindió informe sobre su gestión y tercero, que no se presentó proyecto de distribución de utilidades</w:t>
      </w:r>
      <w:r w:rsidR="00625085" w:rsidRPr="0088617D">
        <w:rPr>
          <w:rFonts w:ascii="Gadugi" w:hAnsi="Gadugi"/>
          <w:sz w:val="24"/>
          <w:szCs w:val="24"/>
        </w:rPr>
        <w:t xml:space="preserve">”. Y al asumir el análisis del </w:t>
      </w:r>
      <w:r w:rsidR="005B11D1" w:rsidRPr="0088617D">
        <w:rPr>
          <w:rFonts w:ascii="Gadugi" w:hAnsi="Gadugi"/>
          <w:sz w:val="24"/>
          <w:szCs w:val="24"/>
        </w:rPr>
        <w:t>informe de gestión</w:t>
      </w:r>
      <w:r w:rsidR="00625085" w:rsidRPr="0088617D">
        <w:rPr>
          <w:rFonts w:ascii="Gadugi" w:hAnsi="Gadugi"/>
          <w:sz w:val="24"/>
          <w:szCs w:val="24"/>
        </w:rPr>
        <w:t xml:space="preserve"> dijo que “</w:t>
      </w:r>
      <w:r w:rsidR="00625085" w:rsidRPr="00C13399">
        <w:rPr>
          <w:rFonts w:ascii="Gadugi" w:hAnsi="Gadugi"/>
          <w:i/>
          <w:szCs w:val="24"/>
        </w:rPr>
        <w:t>Con respecto a esta última irregularidad</w:t>
      </w:r>
      <w:r w:rsidR="005B11D1" w:rsidRPr="00C13399">
        <w:rPr>
          <w:rFonts w:ascii="Gadugi" w:hAnsi="Gadugi"/>
          <w:i/>
          <w:szCs w:val="24"/>
        </w:rPr>
        <w:t xml:space="preserve"> </w:t>
      </w:r>
      <w:r w:rsidR="005B11D1" w:rsidRPr="00C13399">
        <w:rPr>
          <w:rFonts w:ascii="Gadugi" w:hAnsi="Gadugi"/>
          <w:szCs w:val="24"/>
        </w:rPr>
        <w:t>(sic)</w:t>
      </w:r>
      <w:r w:rsidR="005B11D1" w:rsidRPr="00C13399">
        <w:rPr>
          <w:rStyle w:val="Refdenotaalpie"/>
          <w:rFonts w:ascii="Gadugi" w:hAnsi="Gadugi"/>
          <w:szCs w:val="24"/>
        </w:rPr>
        <w:footnoteReference w:id="1"/>
      </w:r>
      <w:r w:rsidR="00625085" w:rsidRPr="00C13399">
        <w:rPr>
          <w:rFonts w:ascii="Gadugi" w:hAnsi="Gadugi"/>
          <w:i/>
          <w:szCs w:val="24"/>
        </w:rPr>
        <w:t xml:space="preserve">, el apoderado de la demandante no expresó </w:t>
      </w:r>
      <w:r w:rsidR="005B11D1" w:rsidRPr="00C13399">
        <w:rPr>
          <w:rFonts w:ascii="Gadugi" w:hAnsi="Gadugi"/>
          <w:i/>
          <w:szCs w:val="24"/>
        </w:rPr>
        <w:t xml:space="preserve">disenso </w:t>
      </w:r>
      <w:r w:rsidR="00625085" w:rsidRPr="00C13399">
        <w:rPr>
          <w:rFonts w:ascii="Gadugi" w:hAnsi="Gadugi"/>
          <w:i/>
          <w:szCs w:val="24"/>
        </w:rPr>
        <w:t>durante la audiencia, de modo que en lo que a ello se refiere, no puede considerarse a la gestora como socia disidente y por lo mismo carece de legitimación para cuestionarlo; me refiero concretamente a la ausencia del informe que se echa de menos por parte del administrador</w:t>
      </w:r>
      <w:r w:rsidR="00625085" w:rsidRPr="0088617D">
        <w:rPr>
          <w:rFonts w:ascii="Gadugi" w:hAnsi="Gadugi"/>
          <w:i/>
          <w:sz w:val="24"/>
          <w:szCs w:val="24"/>
        </w:rPr>
        <w:t>”.</w:t>
      </w:r>
    </w:p>
    <w:p w14:paraId="3ED9D921" w14:textId="77777777" w:rsidR="00625085" w:rsidRPr="0088617D" w:rsidRDefault="00625085" w:rsidP="0088617D">
      <w:pPr>
        <w:tabs>
          <w:tab w:val="left" w:pos="2835"/>
          <w:tab w:val="left" w:pos="3261"/>
        </w:tabs>
        <w:spacing w:after="0" w:line="276" w:lineRule="auto"/>
        <w:jc w:val="both"/>
        <w:rPr>
          <w:rFonts w:ascii="Gadugi" w:hAnsi="Gadugi"/>
          <w:sz w:val="24"/>
          <w:szCs w:val="24"/>
        </w:rPr>
      </w:pPr>
    </w:p>
    <w:p w14:paraId="77791ED1" w14:textId="0D887A47" w:rsidR="00625085" w:rsidRPr="0088617D" w:rsidRDefault="00625085" w:rsidP="0088617D">
      <w:pPr>
        <w:tabs>
          <w:tab w:val="left" w:pos="2835"/>
          <w:tab w:val="left" w:pos="3261"/>
        </w:tabs>
        <w:spacing w:after="0" w:line="276" w:lineRule="auto"/>
        <w:jc w:val="both"/>
        <w:rPr>
          <w:rFonts w:ascii="Gadugi" w:hAnsi="Gadugi"/>
          <w:sz w:val="24"/>
          <w:szCs w:val="24"/>
        </w:rPr>
      </w:pPr>
      <w:r w:rsidRPr="0088617D">
        <w:rPr>
          <w:rFonts w:ascii="Gadugi" w:hAnsi="Gadugi"/>
          <w:sz w:val="24"/>
          <w:szCs w:val="24"/>
        </w:rPr>
        <w:t xml:space="preserve"> </w:t>
      </w:r>
      <w:r w:rsidRPr="0088617D">
        <w:rPr>
          <w:rFonts w:ascii="Gadugi" w:hAnsi="Gadugi"/>
          <w:sz w:val="24"/>
          <w:szCs w:val="24"/>
        </w:rPr>
        <w:tab/>
        <w:t>Dos cosas se observan allí</w:t>
      </w:r>
      <w:r w:rsidR="007536BC" w:rsidRPr="0088617D">
        <w:rPr>
          <w:rFonts w:ascii="Gadugi" w:hAnsi="Gadugi"/>
          <w:sz w:val="24"/>
          <w:szCs w:val="24"/>
        </w:rPr>
        <w:t>: u</w:t>
      </w:r>
      <w:r w:rsidRPr="0088617D">
        <w:rPr>
          <w:rFonts w:ascii="Gadugi" w:hAnsi="Gadugi"/>
          <w:sz w:val="24"/>
          <w:szCs w:val="24"/>
        </w:rPr>
        <w:t>na, que tuvo como sustento del libelo una circunstancia que, en estricto sentido, no le fue planteada</w:t>
      </w:r>
      <w:r w:rsidR="00865210" w:rsidRPr="0088617D">
        <w:rPr>
          <w:rFonts w:ascii="Gadugi" w:hAnsi="Gadugi"/>
          <w:sz w:val="24"/>
          <w:szCs w:val="24"/>
        </w:rPr>
        <w:t>, si bien, como se dijo, lo atinente al informe de gestión fue una mera referencia de unas obligaciones del representante legal, para concluir que la ausencia de distribución de utilidades viciaba la reunión. Y</w:t>
      </w:r>
      <w:r w:rsidRPr="0088617D">
        <w:rPr>
          <w:rFonts w:ascii="Gadugi" w:hAnsi="Gadugi"/>
          <w:sz w:val="24"/>
          <w:szCs w:val="24"/>
        </w:rPr>
        <w:t xml:space="preserve"> otra, que sobre ella, con la aclaración que hizo</w:t>
      </w:r>
      <w:r w:rsidR="00593A53" w:rsidRPr="0088617D">
        <w:rPr>
          <w:rFonts w:ascii="Gadugi" w:hAnsi="Gadugi"/>
          <w:sz w:val="24"/>
          <w:szCs w:val="24"/>
        </w:rPr>
        <w:t xml:space="preserve"> en la audiencia</w:t>
      </w:r>
      <w:r w:rsidRPr="0088617D">
        <w:rPr>
          <w:rFonts w:ascii="Gadugi" w:hAnsi="Gadugi"/>
          <w:sz w:val="24"/>
          <w:szCs w:val="24"/>
        </w:rPr>
        <w:t xml:space="preserve">, resolvió la cuestión señalando sobre la falta de </w:t>
      </w:r>
      <w:r w:rsidR="00593A53" w:rsidRPr="0088617D">
        <w:rPr>
          <w:rFonts w:ascii="Gadugi" w:hAnsi="Gadugi"/>
          <w:sz w:val="24"/>
          <w:szCs w:val="24"/>
        </w:rPr>
        <w:t xml:space="preserve">dicho </w:t>
      </w:r>
      <w:r w:rsidRPr="0088617D">
        <w:rPr>
          <w:rFonts w:ascii="Gadugi" w:hAnsi="Gadugi"/>
          <w:sz w:val="24"/>
          <w:szCs w:val="24"/>
        </w:rPr>
        <w:t xml:space="preserve">informe </w:t>
      </w:r>
      <w:r w:rsidR="00865210" w:rsidRPr="0088617D">
        <w:rPr>
          <w:rFonts w:ascii="Gadugi" w:hAnsi="Gadugi"/>
          <w:sz w:val="24"/>
          <w:szCs w:val="24"/>
        </w:rPr>
        <w:t xml:space="preserve">que </w:t>
      </w:r>
      <w:r w:rsidRPr="0088617D">
        <w:rPr>
          <w:rFonts w:ascii="Gadugi" w:hAnsi="Gadugi"/>
          <w:sz w:val="24"/>
          <w:szCs w:val="24"/>
        </w:rPr>
        <w:t xml:space="preserve">no hubo disidencia durante la asamblea y, por tanto, la demandante carece de legitimación para reclamar por esa falencia. </w:t>
      </w:r>
    </w:p>
    <w:p w14:paraId="27881354" w14:textId="33A3DE01" w:rsidR="00625085" w:rsidRPr="0088617D" w:rsidRDefault="00625085" w:rsidP="0088617D">
      <w:pPr>
        <w:tabs>
          <w:tab w:val="left" w:pos="2835"/>
          <w:tab w:val="left" w:pos="3261"/>
        </w:tabs>
        <w:spacing w:after="0" w:line="276" w:lineRule="auto"/>
        <w:jc w:val="both"/>
        <w:rPr>
          <w:rFonts w:ascii="Gadugi" w:hAnsi="Gadugi"/>
          <w:sz w:val="24"/>
          <w:szCs w:val="24"/>
        </w:rPr>
      </w:pPr>
    </w:p>
    <w:p w14:paraId="6DBAF92F" w14:textId="5E4ACAC4" w:rsidR="00865210" w:rsidRPr="0088617D" w:rsidRDefault="00625085" w:rsidP="0088617D">
      <w:pPr>
        <w:tabs>
          <w:tab w:val="left" w:pos="2835"/>
          <w:tab w:val="left" w:pos="3261"/>
        </w:tabs>
        <w:spacing w:after="0" w:line="276" w:lineRule="auto"/>
        <w:jc w:val="both"/>
        <w:rPr>
          <w:rStyle w:val="normaltextrun"/>
          <w:rFonts w:ascii="Gadugi" w:hAnsi="Gadugi" w:cs="Segoe UI"/>
          <w:sz w:val="24"/>
          <w:szCs w:val="24"/>
        </w:rPr>
      </w:pPr>
      <w:r w:rsidRPr="0088617D">
        <w:rPr>
          <w:rFonts w:ascii="Gadugi" w:hAnsi="Gadugi"/>
          <w:sz w:val="24"/>
          <w:szCs w:val="24"/>
        </w:rPr>
        <w:tab/>
        <w:t xml:space="preserve">Por supuesto, con esa apertura, la parte demandante soportó sus reparos concretos y la sustentación de la apelación en </w:t>
      </w:r>
      <w:r w:rsidR="004D6E50" w:rsidRPr="0088617D">
        <w:rPr>
          <w:rFonts w:ascii="Gadugi" w:hAnsi="Gadugi"/>
          <w:sz w:val="24"/>
          <w:szCs w:val="24"/>
        </w:rPr>
        <w:t>estas cuestiones</w:t>
      </w:r>
      <w:r w:rsidRPr="0088617D">
        <w:rPr>
          <w:rFonts w:ascii="Gadugi" w:hAnsi="Gadugi"/>
          <w:sz w:val="24"/>
          <w:szCs w:val="24"/>
        </w:rPr>
        <w:t>: (i) la i</w:t>
      </w:r>
      <w:r w:rsidR="00133670" w:rsidRPr="0088617D">
        <w:rPr>
          <w:rStyle w:val="normaltextrun"/>
          <w:rFonts w:ascii="Gadugi" w:hAnsi="Gadugi" w:cs="Segoe UI"/>
          <w:sz w:val="24"/>
          <w:szCs w:val="24"/>
        </w:rPr>
        <w:t xml:space="preserve">nterpretación normativa insuficiente, porque la norma </w:t>
      </w:r>
      <w:r w:rsidR="00646307" w:rsidRPr="0088617D">
        <w:rPr>
          <w:rStyle w:val="normaltextrun"/>
          <w:rFonts w:ascii="Gadugi" w:hAnsi="Gadugi" w:cs="Segoe UI"/>
          <w:sz w:val="24"/>
          <w:szCs w:val="24"/>
        </w:rPr>
        <w:t>-</w:t>
      </w:r>
      <w:r w:rsidR="00775D3B" w:rsidRPr="0088617D">
        <w:rPr>
          <w:rStyle w:val="normaltextrun"/>
          <w:rFonts w:ascii="Gadugi" w:hAnsi="Gadugi" w:cs="Segoe UI"/>
          <w:sz w:val="24"/>
          <w:szCs w:val="24"/>
        </w:rPr>
        <w:t xml:space="preserve">sin mencionarla </w:t>
      </w:r>
      <w:r w:rsidR="00646307" w:rsidRPr="0088617D">
        <w:rPr>
          <w:rStyle w:val="normaltextrun"/>
          <w:rFonts w:ascii="Gadugi" w:hAnsi="Gadugi" w:cs="Segoe UI"/>
          <w:sz w:val="24"/>
          <w:szCs w:val="24"/>
        </w:rPr>
        <w:t>-</w:t>
      </w:r>
      <w:r w:rsidR="00133670" w:rsidRPr="0088617D">
        <w:rPr>
          <w:rStyle w:val="normaltextrun"/>
          <w:rFonts w:ascii="Gadugi" w:hAnsi="Gadugi" w:cs="Segoe UI"/>
          <w:sz w:val="24"/>
          <w:szCs w:val="24"/>
        </w:rPr>
        <w:t xml:space="preserve"> es clara en que al representante legal le incumbe presentar el informe de gestión</w:t>
      </w:r>
      <w:r w:rsidRPr="0088617D">
        <w:rPr>
          <w:rStyle w:val="normaltextrun"/>
          <w:rFonts w:ascii="Gadugi" w:hAnsi="Gadugi" w:cs="Segoe UI"/>
          <w:sz w:val="24"/>
          <w:szCs w:val="24"/>
        </w:rPr>
        <w:t xml:space="preserve"> y</w:t>
      </w:r>
      <w:r w:rsidR="00314A71" w:rsidRPr="0088617D">
        <w:rPr>
          <w:rStyle w:val="normaltextrun"/>
          <w:rFonts w:ascii="Gadugi" w:hAnsi="Gadugi" w:cs="Segoe UI"/>
          <w:sz w:val="24"/>
          <w:szCs w:val="24"/>
        </w:rPr>
        <w:t xml:space="preserve"> el hecho de no haber </w:t>
      </w:r>
      <w:r w:rsidRPr="0088617D">
        <w:rPr>
          <w:rStyle w:val="normaltextrun"/>
          <w:rFonts w:ascii="Gadugi" w:hAnsi="Gadugi" w:cs="Segoe UI"/>
          <w:sz w:val="24"/>
          <w:szCs w:val="24"/>
        </w:rPr>
        <w:t>formulado</w:t>
      </w:r>
      <w:r w:rsidR="00314A71" w:rsidRPr="0088617D">
        <w:rPr>
          <w:rStyle w:val="normaltextrun"/>
          <w:rFonts w:ascii="Gadugi" w:hAnsi="Gadugi" w:cs="Segoe UI"/>
          <w:sz w:val="24"/>
          <w:szCs w:val="24"/>
        </w:rPr>
        <w:t xml:space="preserve"> disidencia sobre </w:t>
      </w:r>
      <w:r w:rsidRPr="0088617D">
        <w:rPr>
          <w:rStyle w:val="normaltextrun"/>
          <w:rFonts w:ascii="Gadugi" w:hAnsi="Gadugi" w:cs="Segoe UI"/>
          <w:sz w:val="24"/>
          <w:szCs w:val="24"/>
        </w:rPr>
        <w:t xml:space="preserve">ello es </w:t>
      </w:r>
      <w:r w:rsidR="00314A71" w:rsidRPr="0088617D">
        <w:rPr>
          <w:rStyle w:val="normaltextrun"/>
          <w:rFonts w:ascii="Gadugi" w:hAnsi="Gadugi" w:cs="Segoe UI"/>
          <w:sz w:val="24"/>
          <w:szCs w:val="24"/>
        </w:rPr>
        <w:t>irrelevante, p</w:t>
      </w:r>
      <w:r w:rsidR="00646307" w:rsidRPr="0088617D">
        <w:rPr>
          <w:rStyle w:val="normaltextrun"/>
          <w:rFonts w:ascii="Gadugi" w:hAnsi="Gadugi" w:cs="Segoe UI"/>
          <w:sz w:val="24"/>
          <w:szCs w:val="24"/>
        </w:rPr>
        <w:t>ues</w:t>
      </w:r>
      <w:r w:rsidR="00314A71" w:rsidRPr="0088617D">
        <w:rPr>
          <w:rStyle w:val="normaltextrun"/>
          <w:rFonts w:ascii="Gadugi" w:hAnsi="Gadugi" w:cs="Segoe UI"/>
          <w:sz w:val="24"/>
          <w:szCs w:val="24"/>
        </w:rPr>
        <w:t xml:space="preserve"> la pretensión principal tiene que ver con la omisión de un requisito o formalidad que la ley prescribe para dar valor a determinado acto jurídico en consideración a su naturaleza, como señala el artículo 1741 del C. Civil, es decir, se trata de una nulidad absoluta. El representante legal reconoció que nunca presentó un informe de gestión, y el artículo 187 del C. de Co. </w:t>
      </w:r>
      <w:r w:rsidRPr="0088617D">
        <w:rPr>
          <w:rStyle w:val="normaltextrun"/>
          <w:rFonts w:ascii="Gadugi" w:hAnsi="Gadugi" w:cs="Segoe UI"/>
          <w:sz w:val="24"/>
          <w:szCs w:val="24"/>
        </w:rPr>
        <w:t>e</w:t>
      </w:r>
      <w:r w:rsidR="00314A71" w:rsidRPr="0088617D">
        <w:rPr>
          <w:rStyle w:val="normaltextrun"/>
          <w:rFonts w:ascii="Gadugi" w:hAnsi="Gadugi" w:cs="Segoe UI"/>
          <w:sz w:val="24"/>
          <w:szCs w:val="24"/>
        </w:rPr>
        <w:t xml:space="preserve">stablece las funciones de la junta o asamblea de socios, entre ellas, la de disponer de las utilidades sociales conforme al contrato y a las leyes, y considerar los informes de los administradores o del representante legal sobre el estado de los negocios sociales. </w:t>
      </w:r>
      <w:r w:rsidR="00593A53" w:rsidRPr="0088617D">
        <w:rPr>
          <w:rStyle w:val="normaltextrun"/>
          <w:rFonts w:ascii="Gadugi" w:hAnsi="Gadugi" w:cs="Segoe UI"/>
          <w:sz w:val="24"/>
          <w:szCs w:val="24"/>
        </w:rPr>
        <w:t>De manera que</w:t>
      </w:r>
      <w:r w:rsidR="00314A71" w:rsidRPr="0088617D">
        <w:rPr>
          <w:rStyle w:val="normaltextrun"/>
          <w:rFonts w:ascii="Gadugi" w:hAnsi="Gadugi" w:cs="Segoe UI"/>
          <w:sz w:val="24"/>
          <w:szCs w:val="24"/>
        </w:rPr>
        <w:t>, la presentación del informe de gestión es un mandato legal</w:t>
      </w:r>
      <w:r w:rsidR="00865210" w:rsidRPr="0088617D">
        <w:rPr>
          <w:rStyle w:val="normaltextrun"/>
          <w:rFonts w:ascii="Gadugi" w:hAnsi="Gadugi" w:cs="Segoe UI"/>
          <w:sz w:val="24"/>
          <w:szCs w:val="24"/>
        </w:rPr>
        <w:t>, contenido, además, en el artículo 13</w:t>
      </w:r>
      <w:r w:rsidR="00314A71" w:rsidRPr="0088617D">
        <w:rPr>
          <w:rStyle w:val="normaltextrun"/>
          <w:rFonts w:ascii="Gadugi" w:hAnsi="Gadugi" w:cs="Segoe UI"/>
          <w:sz w:val="24"/>
          <w:szCs w:val="24"/>
        </w:rPr>
        <w:t xml:space="preserve"> de los estatutos</w:t>
      </w:r>
      <w:r w:rsidR="00865210" w:rsidRPr="0088617D">
        <w:rPr>
          <w:rStyle w:val="normaltextrun"/>
          <w:rFonts w:ascii="Gadugi" w:hAnsi="Gadugi" w:cs="Segoe UI"/>
          <w:sz w:val="24"/>
          <w:szCs w:val="24"/>
        </w:rPr>
        <w:t xml:space="preserve">. Y (ii) la indebida </w:t>
      </w:r>
      <w:r w:rsidR="00314A71" w:rsidRPr="0088617D">
        <w:rPr>
          <w:rStyle w:val="normaltextrun"/>
          <w:rFonts w:ascii="Gadugi" w:hAnsi="Gadugi" w:cs="Segoe UI"/>
          <w:sz w:val="24"/>
          <w:szCs w:val="24"/>
        </w:rPr>
        <w:t>valoración probatoria</w:t>
      </w:r>
      <w:r w:rsidR="00865210" w:rsidRPr="0088617D">
        <w:rPr>
          <w:rStyle w:val="normaltextrun"/>
          <w:rFonts w:ascii="Gadugi" w:hAnsi="Gadugi" w:cs="Segoe UI"/>
          <w:sz w:val="24"/>
          <w:szCs w:val="24"/>
        </w:rPr>
        <w:t xml:space="preserve">, porque la falta de exhibición de documentos y la confesión del representante legal, son suficientes para acreditar la omisión del informe de gestión. </w:t>
      </w:r>
    </w:p>
    <w:p w14:paraId="5FC16249" w14:textId="77777777" w:rsidR="00865210" w:rsidRPr="0088617D" w:rsidRDefault="00865210" w:rsidP="0088617D">
      <w:pPr>
        <w:tabs>
          <w:tab w:val="left" w:pos="2835"/>
          <w:tab w:val="left" w:pos="3261"/>
        </w:tabs>
        <w:spacing w:after="0" w:line="276" w:lineRule="auto"/>
        <w:jc w:val="both"/>
        <w:rPr>
          <w:rStyle w:val="normaltextrun"/>
          <w:rFonts w:ascii="Gadugi" w:hAnsi="Gadugi" w:cs="Segoe UI"/>
          <w:sz w:val="24"/>
          <w:szCs w:val="24"/>
        </w:rPr>
      </w:pPr>
    </w:p>
    <w:p w14:paraId="58A50EE9" w14:textId="0910A1CE" w:rsidR="00865210" w:rsidRPr="0088617D" w:rsidRDefault="00865210" w:rsidP="0088617D">
      <w:pPr>
        <w:pStyle w:val="Prrafodelista"/>
        <w:numPr>
          <w:ilvl w:val="1"/>
          <w:numId w:val="1"/>
        </w:numPr>
        <w:tabs>
          <w:tab w:val="left" w:pos="2835"/>
          <w:tab w:val="left" w:pos="3402"/>
        </w:tabs>
        <w:spacing w:after="0" w:line="276" w:lineRule="auto"/>
        <w:ind w:left="0" w:firstLine="2835"/>
        <w:jc w:val="both"/>
        <w:rPr>
          <w:rStyle w:val="normaltextrun"/>
          <w:rFonts w:ascii="Gadugi" w:hAnsi="Gadugi" w:cs="Segoe UI"/>
          <w:sz w:val="24"/>
          <w:szCs w:val="24"/>
        </w:rPr>
      </w:pPr>
      <w:r w:rsidRPr="0088617D">
        <w:rPr>
          <w:rStyle w:val="normaltextrun"/>
          <w:rFonts w:ascii="Gadugi" w:hAnsi="Gadugi" w:cs="Segoe UI"/>
          <w:sz w:val="24"/>
          <w:szCs w:val="24"/>
        </w:rPr>
        <w:t>Es evidente que la mención que estos reparos contiene</w:t>
      </w:r>
      <w:r w:rsidR="00646307" w:rsidRPr="0088617D">
        <w:rPr>
          <w:rStyle w:val="normaltextrun"/>
          <w:rFonts w:ascii="Gadugi" w:hAnsi="Gadugi" w:cs="Segoe UI"/>
          <w:sz w:val="24"/>
          <w:szCs w:val="24"/>
        </w:rPr>
        <w:t>n</w:t>
      </w:r>
      <w:r w:rsidRPr="0088617D">
        <w:rPr>
          <w:rStyle w:val="normaltextrun"/>
          <w:rFonts w:ascii="Gadugi" w:hAnsi="Gadugi" w:cs="Segoe UI"/>
          <w:sz w:val="24"/>
          <w:szCs w:val="24"/>
        </w:rPr>
        <w:t xml:space="preserve"> sobre la distribución de utilidades no puede ser motivo de análisis aquí, porque esa pretensión le fue favorable, con lo que la legitimación suya para discutir cualquier aspecto relacionado con el punto se resiente. </w:t>
      </w:r>
    </w:p>
    <w:p w14:paraId="7990D7F1" w14:textId="77777777" w:rsidR="00865210" w:rsidRPr="0088617D" w:rsidRDefault="00865210" w:rsidP="0088617D">
      <w:pPr>
        <w:tabs>
          <w:tab w:val="left" w:pos="2835"/>
          <w:tab w:val="left" w:pos="3261"/>
        </w:tabs>
        <w:spacing w:after="0" w:line="276" w:lineRule="auto"/>
        <w:jc w:val="both"/>
        <w:rPr>
          <w:rStyle w:val="normaltextrun"/>
          <w:rFonts w:ascii="Gadugi" w:hAnsi="Gadugi" w:cs="Segoe UI"/>
          <w:sz w:val="24"/>
          <w:szCs w:val="24"/>
        </w:rPr>
      </w:pPr>
    </w:p>
    <w:p w14:paraId="7AE1BECE" w14:textId="60B629F6" w:rsidR="00314A71" w:rsidRPr="0088617D" w:rsidRDefault="00865210" w:rsidP="0088617D">
      <w:pPr>
        <w:pStyle w:val="Prrafodelista"/>
        <w:numPr>
          <w:ilvl w:val="1"/>
          <w:numId w:val="1"/>
        </w:numPr>
        <w:tabs>
          <w:tab w:val="left" w:pos="2835"/>
          <w:tab w:val="left" w:pos="3402"/>
        </w:tabs>
        <w:spacing w:after="0" w:line="276" w:lineRule="auto"/>
        <w:ind w:left="0" w:firstLine="2835"/>
        <w:jc w:val="both"/>
        <w:rPr>
          <w:rStyle w:val="normaltextrun"/>
          <w:rFonts w:ascii="Gadugi" w:hAnsi="Gadugi" w:cs="Segoe UI"/>
          <w:sz w:val="24"/>
          <w:szCs w:val="24"/>
        </w:rPr>
      </w:pPr>
      <w:r w:rsidRPr="0088617D">
        <w:rPr>
          <w:rStyle w:val="normaltextrun"/>
          <w:rFonts w:ascii="Gadugi" w:hAnsi="Gadugi" w:cs="Segoe UI"/>
          <w:sz w:val="24"/>
          <w:szCs w:val="24"/>
        </w:rPr>
        <w:t xml:space="preserve">Y en lo que atañe a la falta del informe de gestión, la Sala prohijará </w:t>
      </w:r>
      <w:r w:rsidR="00646307" w:rsidRPr="0088617D">
        <w:rPr>
          <w:rStyle w:val="normaltextrun"/>
          <w:rFonts w:ascii="Gadugi" w:hAnsi="Gadugi" w:cs="Segoe UI"/>
          <w:sz w:val="24"/>
          <w:szCs w:val="24"/>
        </w:rPr>
        <w:t xml:space="preserve">el fallo por varias razones: </w:t>
      </w:r>
    </w:p>
    <w:p w14:paraId="6CA295B5" w14:textId="37D0076A" w:rsidR="00314A71" w:rsidRPr="0088617D" w:rsidRDefault="00314A71" w:rsidP="0088617D">
      <w:pPr>
        <w:spacing w:after="0" w:line="276" w:lineRule="auto"/>
        <w:jc w:val="both"/>
        <w:rPr>
          <w:rStyle w:val="normaltextrun"/>
          <w:rFonts w:ascii="Gadugi" w:hAnsi="Gadugi" w:cs="Segoe UI"/>
          <w:sz w:val="24"/>
          <w:szCs w:val="24"/>
        </w:rPr>
      </w:pPr>
    </w:p>
    <w:p w14:paraId="6C319BAF" w14:textId="249D01D2" w:rsidR="00801C56" w:rsidRPr="0088617D" w:rsidRDefault="00646307" w:rsidP="0088617D">
      <w:pPr>
        <w:spacing w:after="0" w:line="276" w:lineRule="auto"/>
        <w:jc w:val="both"/>
        <w:rPr>
          <w:rStyle w:val="normaltextrun"/>
          <w:rFonts w:ascii="Gadugi" w:hAnsi="Gadugi" w:cs="Segoe UI"/>
          <w:sz w:val="24"/>
          <w:szCs w:val="24"/>
        </w:rPr>
      </w:pPr>
      <w:r w:rsidRPr="0088617D">
        <w:rPr>
          <w:rStyle w:val="normaltextrun"/>
          <w:rFonts w:ascii="Gadugi" w:hAnsi="Gadugi" w:cs="Segoe UI"/>
          <w:sz w:val="24"/>
          <w:szCs w:val="24"/>
        </w:rPr>
        <w:t xml:space="preserve">  </w:t>
      </w:r>
      <w:r w:rsidRPr="0088617D">
        <w:rPr>
          <w:rStyle w:val="normaltextrun"/>
          <w:rFonts w:ascii="Gadugi" w:hAnsi="Gadugi" w:cs="Segoe UI"/>
          <w:sz w:val="24"/>
          <w:szCs w:val="24"/>
        </w:rPr>
        <w:tab/>
      </w:r>
      <w:r w:rsidRPr="0088617D">
        <w:rPr>
          <w:rStyle w:val="normaltextrun"/>
          <w:rFonts w:ascii="Gadugi" w:hAnsi="Gadugi" w:cs="Segoe UI"/>
          <w:sz w:val="24"/>
          <w:szCs w:val="24"/>
        </w:rPr>
        <w:tab/>
      </w:r>
      <w:r w:rsidRPr="0088617D">
        <w:rPr>
          <w:rStyle w:val="normaltextrun"/>
          <w:rFonts w:ascii="Gadugi" w:hAnsi="Gadugi" w:cs="Segoe UI"/>
          <w:sz w:val="24"/>
          <w:szCs w:val="24"/>
        </w:rPr>
        <w:tab/>
      </w:r>
      <w:r w:rsidRPr="0088617D">
        <w:rPr>
          <w:rStyle w:val="normaltextrun"/>
          <w:rFonts w:ascii="Gadugi" w:hAnsi="Gadugi" w:cs="Segoe UI"/>
          <w:sz w:val="24"/>
          <w:szCs w:val="24"/>
        </w:rPr>
        <w:tab/>
        <w:t xml:space="preserve">En primer lugar, como quedó esbozado, a juicio de </w:t>
      </w:r>
      <w:r w:rsidR="00801C56" w:rsidRPr="0088617D">
        <w:rPr>
          <w:rStyle w:val="normaltextrun"/>
          <w:rFonts w:ascii="Gadugi" w:hAnsi="Gadugi" w:cs="Segoe UI"/>
          <w:sz w:val="24"/>
          <w:szCs w:val="24"/>
        </w:rPr>
        <w:t>esta Colegiatura</w:t>
      </w:r>
      <w:r w:rsidRPr="0088617D">
        <w:rPr>
          <w:rStyle w:val="normaltextrun"/>
          <w:rFonts w:ascii="Gadugi" w:hAnsi="Gadugi" w:cs="Segoe UI"/>
          <w:sz w:val="24"/>
          <w:szCs w:val="24"/>
        </w:rPr>
        <w:t>, la cuestión atinente a la falta del informe de gestión como una causal de la deprecada nulidad, desborda las reglas de la congruencia señaladas en el artículo 281 del CGP, como quiera que la decisión del juez debe estar acorde con los hechos, las pretensiones y las excepciones que aparezcan probadas y hayan sido alegadas si así lo exige la ley (prescripción, compensación y nulidad relativa -art. 282 ib.)</w:t>
      </w:r>
      <w:r w:rsidR="00801C56" w:rsidRPr="0088617D">
        <w:rPr>
          <w:rStyle w:val="normaltextrun"/>
          <w:rFonts w:ascii="Gadugi" w:hAnsi="Gadugi" w:cs="Segoe UI"/>
          <w:sz w:val="24"/>
          <w:szCs w:val="24"/>
        </w:rPr>
        <w:t xml:space="preserve">, salvo aquellos eventos en los que </w:t>
      </w:r>
      <w:r w:rsidR="007536BC" w:rsidRPr="0088617D">
        <w:rPr>
          <w:rStyle w:val="normaltextrun"/>
          <w:rFonts w:ascii="Gadugi" w:hAnsi="Gadugi" w:cs="Segoe UI"/>
          <w:sz w:val="24"/>
          <w:szCs w:val="24"/>
        </w:rPr>
        <w:t xml:space="preserve">se debe </w:t>
      </w:r>
      <w:r w:rsidR="00801C56" w:rsidRPr="0088617D">
        <w:rPr>
          <w:rStyle w:val="normaltextrun"/>
          <w:rFonts w:ascii="Gadugi" w:hAnsi="Gadugi" w:cs="Segoe UI"/>
          <w:sz w:val="24"/>
          <w:szCs w:val="24"/>
        </w:rPr>
        <w:t xml:space="preserve">proveer de oficio (como la legitimación de las partes, los </w:t>
      </w:r>
      <w:r w:rsidR="00801C56" w:rsidRPr="0088617D">
        <w:rPr>
          <w:rStyle w:val="normaltextrun"/>
          <w:rFonts w:ascii="Gadugi" w:hAnsi="Gadugi" w:cs="Segoe UI"/>
          <w:sz w:val="24"/>
          <w:szCs w:val="24"/>
        </w:rPr>
        <w:lastRenderedPageBreak/>
        <w:t xml:space="preserve">asuntos de familia y agrarios en las condiciones señaladas en los parágrafos de la citada norma, las costas del proceso, las restituciones mutuas, los hechos que configuren una excepción de mérito distinta de las tres citadas). Y ya está dicho que en la demanda no se aludió a esa específica circunstancia para sustentar lo pedido, más allá de la simple mención que sobre el particular se hizo en el hecho vigésimo. </w:t>
      </w:r>
    </w:p>
    <w:p w14:paraId="4EE45D3F" w14:textId="29DA1394" w:rsidR="00801C56" w:rsidRPr="0088617D" w:rsidRDefault="00801C56" w:rsidP="0088617D">
      <w:pPr>
        <w:spacing w:after="0" w:line="276" w:lineRule="auto"/>
        <w:jc w:val="both"/>
        <w:rPr>
          <w:rStyle w:val="normaltextrun"/>
          <w:rFonts w:ascii="Gadugi" w:hAnsi="Gadugi" w:cs="Segoe UI"/>
          <w:sz w:val="24"/>
          <w:szCs w:val="24"/>
        </w:rPr>
      </w:pPr>
    </w:p>
    <w:p w14:paraId="7C86CB88" w14:textId="071A762D" w:rsidR="00A86373" w:rsidRPr="0088617D" w:rsidRDefault="00801C56" w:rsidP="0088617D">
      <w:pPr>
        <w:spacing w:after="0" w:line="276" w:lineRule="auto"/>
        <w:jc w:val="both"/>
        <w:rPr>
          <w:rStyle w:val="normaltextrun"/>
          <w:rFonts w:ascii="Gadugi" w:hAnsi="Gadugi" w:cs="Segoe UI"/>
          <w:sz w:val="24"/>
          <w:szCs w:val="24"/>
        </w:rPr>
      </w:pPr>
      <w:r w:rsidRPr="0088617D">
        <w:rPr>
          <w:rStyle w:val="normaltextrun"/>
          <w:rFonts w:ascii="Gadugi" w:hAnsi="Gadugi" w:cs="Segoe UI"/>
          <w:sz w:val="24"/>
          <w:szCs w:val="24"/>
        </w:rPr>
        <w:t xml:space="preserve">  </w:t>
      </w:r>
      <w:r w:rsidRPr="0088617D">
        <w:rPr>
          <w:rStyle w:val="normaltextrun"/>
          <w:rFonts w:ascii="Gadugi" w:hAnsi="Gadugi" w:cs="Segoe UI"/>
          <w:sz w:val="24"/>
          <w:szCs w:val="24"/>
        </w:rPr>
        <w:tab/>
      </w:r>
      <w:r w:rsidRPr="0088617D">
        <w:rPr>
          <w:rStyle w:val="normaltextrun"/>
          <w:rFonts w:ascii="Gadugi" w:hAnsi="Gadugi" w:cs="Segoe UI"/>
          <w:sz w:val="24"/>
          <w:szCs w:val="24"/>
        </w:rPr>
        <w:tab/>
      </w:r>
      <w:r w:rsidRPr="0088617D">
        <w:rPr>
          <w:rStyle w:val="normaltextrun"/>
          <w:rFonts w:ascii="Gadugi" w:hAnsi="Gadugi" w:cs="Segoe UI"/>
          <w:sz w:val="24"/>
          <w:szCs w:val="24"/>
        </w:rPr>
        <w:tab/>
      </w:r>
      <w:r w:rsidRPr="0088617D">
        <w:rPr>
          <w:rStyle w:val="normaltextrun"/>
          <w:rFonts w:ascii="Gadugi" w:hAnsi="Gadugi" w:cs="Segoe UI"/>
          <w:sz w:val="24"/>
          <w:szCs w:val="24"/>
        </w:rPr>
        <w:tab/>
        <w:t xml:space="preserve">En segundo término, </w:t>
      </w:r>
      <w:r w:rsidR="009F14E8" w:rsidRPr="0088617D">
        <w:rPr>
          <w:rStyle w:val="normaltextrun"/>
          <w:rFonts w:ascii="Gadugi" w:hAnsi="Gadugi" w:cs="Segoe UI"/>
          <w:sz w:val="24"/>
          <w:szCs w:val="24"/>
        </w:rPr>
        <w:t xml:space="preserve">al hacer referencia al comienzo al artículo 191 del C. de Comercio, se dijo que la nulidad de </w:t>
      </w:r>
      <w:r w:rsidR="00A86373" w:rsidRPr="0088617D">
        <w:rPr>
          <w:rStyle w:val="normaltextrun"/>
          <w:rFonts w:ascii="Gadugi" w:hAnsi="Gadugi" w:cs="Segoe UI"/>
          <w:sz w:val="24"/>
          <w:szCs w:val="24"/>
        </w:rPr>
        <w:t xml:space="preserve">las decisiones adoptadas en una asamblea general surge como consecuencia de que se adopten sin el número de votos previstos en los estatutos o en las leyes, o excediendo los límites del contrato social. Mas, en el caso de ahora, en el que se discute, precisamente, una nulidad -no la ineficacia o la inoponibilidad a las que también alude la norma- ninguno de los dos supuestos se saca a relucir. Es decir, no dice la demandante que en la asamblea se irrespetara el número de votos, como tampoco que alguno de los accionistas o el representante legal hubiesen sobrepasado los límites que les impone el contrato. Así que, lo que se debate está al margen de lo que constituye una nulidad de una decisión de la asamblea. </w:t>
      </w:r>
    </w:p>
    <w:p w14:paraId="1D344423" w14:textId="7926B77F" w:rsidR="00A86373" w:rsidRPr="0088617D" w:rsidRDefault="00A86373" w:rsidP="0088617D">
      <w:pPr>
        <w:spacing w:after="0" w:line="276" w:lineRule="auto"/>
        <w:jc w:val="both"/>
        <w:rPr>
          <w:rStyle w:val="normaltextrun"/>
          <w:rFonts w:ascii="Gadugi" w:hAnsi="Gadugi" w:cs="Segoe UI"/>
          <w:sz w:val="24"/>
          <w:szCs w:val="24"/>
        </w:rPr>
      </w:pPr>
    </w:p>
    <w:p w14:paraId="2E2DD881" w14:textId="36E621F1" w:rsidR="00801C56" w:rsidRPr="0088617D" w:rsidRDefault="00A86373" w:rsidP="0088617D">
      <w:pPr>
        <w:spacing w:after="0" w:line="276" w:lineRule="auto"/>
        <w:ind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Si esto fuera </w:t>
      </w:r>
      <w:r w:rsidR="00AB5978" w:rsidRPr="0088617D">
        <w:rPr>
          <w:rStyle w:val="normaltextrun"/>
          <w:rFonts w:ascii="Gadugi" w:hAnsi="Gadugi" w:cs="Segoe UI"/>
          <w:sz w:val="24"/>
          <w:szCs w:val="24"/>
        </w:rPr>
        <w:t>in</w:t>
      </w:r>
      <w:r w:rsidRPr="0088617D">
        <w:rPr>
          <w:rStyle w:val="normaltextrun"/>
          <w:rFonts w:ascii="Gadugi" w:hAnsi="Gadugi" w:cs="Segoe UI"/>
          <w:sz w:val="24"/>
          <w:szCs w:val="24"/>
        </w:rPr>
        <w:t xml:space="preserve">suficiente, </w:t>
      </w:r>
      <w:r w:rsidR="007536BC" w:rsidRPr="0088617D">
        <w:rPr>
          <w:rStyle w:val="normaltextrun"/>
          <w:rFonts w:ascii="Gadugi" w:hAnsi="Gadugi" w:cs="Segoe UI"/>
          <w:sz w:val="24"/>
          <w:szCs w:val="24"/>
        </w:rPr>
        <w:t xml:space="preserve">para abordar la crítica que se hace al fallo, </w:t>
      </w:r>
      <w:r w:rsidR="00801C56" w:rsidRPr="0088617D">
        <w:rPr>
          <w:rStyle w:val="normaltextrun"/>
          <w:rFonts w:ascii="Gadugi" w:hAnsi="Gadugi" w:cs="Segoe UI"/>
          <w:sz w:val="24"/>
          <w:szCs w:val="24"/>
        </w:rPr>
        <w:t>como bien señala el funcionario en la sentencia, el acta de la asamblea general que se combate nada enseña acerca de que allí se hubiera disentido del orden del día por no incluir el aludido informe de gestión. Toda la dis</w:t>
      </w:r>
      <w:r w:rsidRPr="0088617D">
        <w:rPr>
          <w:rStyle w:val="normaltextrun"/>
          <w:rFonts w:ascii="Gadugi" w:hAnsi="Gadugi" w:cs="Segoe UI"/>
          <w:sz w:val="24"/>
          <w:szCs w:val="24"/>
        </w:rPr>
        <w:t>crepancia</w:t>
      </w:r>
      <w:r w:rsidR="00801C56" w:rsidRPr="0088617D">
        <w:rPr>
          <w:rStyle w:val="normaltextrun"/>
          <w:rFonts w:ascii="Gadugi" w:hAnsi="Gadugi" w:cs="Segoe UI"/>
          <w:sz w:val="24"/>
          <w:szCs w:val="24"/>
        </w:rPr>
        <w:t xml:space="preserve"> estuvo centrada en los estados financieros y en la distribución de utilidades, con lo que resulta inapropiado ahora debatir la nulidad de una decisión que, en estricto sentido, ni siquiera se adoptó. </w:t>
      </w:r>
    </w:p>
    <w:p w14:paraId="3CE778D1" w14:textId="47AD9B90" w:rsidR="00801C56" w:rsidRPr="0088617D" w:rsidRDefault="00801C56" w:rsidP="0088617D">
      <w:pPr>
        <w:spacing w:after="0" w:line="276" w:lineRule="auto"/>
        <w:jc w:val="both"/>
        <w:rPr>
          <w:rStyle w:val="normaltextrun"/>
          <w:rFonts w:ascii="Gadugi" w:hAnsi="Gadugi" w:cs="Segoe UI"/>
          <w:sz w:val="24"/>
          <w:szCs w:val="24"/>
        </w:rPr>
      </w:pPr>
    </w:p>
    <w:p w14:paraId="7A5F46EC" w14:textId="61E29C9B" w:rsidR="00802CFB" w:rsidRPr="0088617D" w:rsidRDefault="00801C56" w:rsidP="0088617D">
      <w:pPr>
        <w:spacing w:after="0" w:line="276" w:lineRule="auto"/>
        <w:ind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En efecto, </w:t>
      </w:r>
      <w:r w:rsidR="00A86373" w:rsidRPr="0088617D">
        <w:rPr>
          <w:rStyle w:val="normaltextrun"/>
          <w:rFonts w:ascii="Gadugi" w:hAnsi="Gadugi" w:cs="Segoe UI"/>
          <w:sz w:val="24"/>
          <w:szCs w:val="24"/>
        </w:rPr>
        <w:t xml:space="preserve">esta es otra razón para desestimar el reparo. Y es que, </w:t>
      </w:r>
      <w:r w:rsidRPr="0088617D">
        <w:rPr>
          <w:rStyle w:val="normaltextrun"/>
          <w:rFonts w:ascii="Gadugi" w:hAnsi="Gadugi" w:cs="Segoe UI"/>
          <w:sz w:val="24"/>
          <w:szCs w:val="24"/>
        </w:rPr>
        <w:t xml:space="preserve">en el orden del día se omitió por completo tratar el informe de gestión. Es decir, que el punto </w:t>
      </w:r>
      <w:r w:rsidR="007536BC" w:rsidRPr="0088617D">
        <w:rPr>
          <w:rStyle w:val="normaltextrun"/>
          <w:rFonts w:ascii="Gadugi" w:hAnsi="Gadugi" w:cs="Segoe UI"/>
          <w:sz w:val="24"/>
          <w:szCs w:val="24"/>
        </w:rPr>
        <w:t xml:space="preserve">jamás fue </w:t>
      </w:r>
      <w:r w:rsidRPr="0088617D">
        <w:rPr>
          <w:rStyle w:val="normaltextrun"/>
          <w:rFonts w:ascii="Gadugi" w:hAnsi="Gadugi" w:cs="Segoe UI"/>
          <w:sz w:val="24"/>
          <w:szCs w:val="24"/>
        </w:rPr>
        <w:t xml:space="preserve">debatido. Son claras las normas que cita la recurrente </w:t>
      </w:r>
      <w:r w:rsidR="00802CFB" w:rsidRPr="0088617D">
        <w:rPr>
          <w:rStyle w:val="normaltextrun"/>
          <w:rFonts w:ascii="Gadugi" w:hAnsi="Gadugi" w:cs="Segoe UI"/>
          <w:sz w:val="24"/>
          <w:szCs w:val="24"/>
        </w:rPr>
        <w:t xml:space="preserve">para </w:t>
      </w:r>
      <w:r w:rsidRPr="0088617D">
        <w:rPr>
          <w:rStyle w:val="normaltextrun"/>
          <w:rFonts w:ascii="Gadugi" w:hAnsi="Gadugi" w:cs="Segoe UI"/>
          <w:sz w:val="24"/>
          <w:szCs w:val="24"/>
        </w:rPr>
        <w:t xml:space="preserve">señalar que es un deber del representante legal </w:t>
      </w:r>
      <w:r w:rsidR="00802CFB" w:rsidRPr="0088617D">
        <w:rPr>
          <w:rStyle w:val="normaltextrun"/>
          <w:rFonts w:ascii="Gadugi" w:hAnsi="Gadugi" w:cs="Segoe UI"/>
          <w:sz w:val="24"/>
          <w:szCs w:val="24"/>
        </w:rPr>
        <w:t xml:space="preserve">someter a consideración </w:t>
      </w:r>
      <w:r w:rsidR="00D102E0" w:rsidRPr="0088617D">
        <w:rPr>
          <w:rStyle w:val="normaltextrun"/>
          <w:rFonts w:ascii="Gadugi" w:hAnsi="Gadugi" w:cs="Segoe UI"/>
          <w:sz w:val="24"/>
          <w:szCs w:val="24"/>
        </w:rPr>
        <w:t xml:space="preserve">de la junta de accionistas </w:t>
      </w:r>
      <w:r w:rsidR="00802CFB" w:rsidRPr="0088617D">
        <w:rPr>
          <w:rStyle w:val="normaltextrun"/>
          <w:rFonts w:ascii="Gadugi" w:hAnsi="Gadugi" w:cs="Segoe UI"/>
          <w:sz w:val="24"/>
          <w:szCs w:val="24"/>
        </w:rPr>
        <w:t>el informe de su gestión</w:t>
      </w:r>
      <w:r w:rsidR="00D102E0" w:rsidRPr="0088617D">
        <w:rPr>
          <w:rStyle w:val="normaltextrun"/>
          <w:rFonts w:ascii="Gadugi" w:hAnsi="Gadugi" w:cs="Segoe UI"/>
          <w:sz w:val="24"/>
          <w:szCs w:val="24"/>
        </w:rPr>
        <w:t xml:space="preserve">. Así lo prevé también el artículo 37 de la Ley 1258 de 2008, que regula la sociedad por acciones simplificada.  </w:t>
      </w:r>
    </w:p>
    <w:p w14:paraId="4EEA097C" w14:textId="77777777" w:rsidR="00802CFB" w:rsidRPr="0088617D" w:rsidRDefault="00802CFB" w:rsidP="0088617D">
      <w:pPr>
        <w:spacing w:after="0" w:line="276" w:lineRule="auto"/>
        <w:jc w:val="both"/>
        <w:rPr>
          <w:rStyle w:val="normaltextrun"/>
          <w:rFonts w:ascii="Gadugi" w:hAnsi="Gadugi" w:cs="Segoe UI"/>
          <w:sz w:val="24"/>
          <w:szCs w:val="24"/>
        </w:rPr>
      </w:pPr>
    </w:p>
    <w:p w14:paraId="5D2EFEB6" w14:textId="2200ABE4" w:rsidR="00A86373" w:rsidRPr="0088617D" w:rsidRDefault="00D102E0" w:rsidP="0088617D">
      <w:pPr>
        <w:pStyle w:val="Prrafodelista"/>
        <w:tabs>
          <w:tab w:val="left" w:pos="3402"/>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Mas, sucede que en este caso, hubo una omisión total de la rendición de ese informe en la asamblea realizada en marzo de 2019</w:t>
      </w:r>
      <w:r w:rsidR="00A86373" w:rsidRPr="0088617D">
        <w:rPr>
          <w:rStyle w:val="normaltextrun"/>
          <w:rFonts w:ascii="Gadugi" w:hAnsi="Gadugi" w:cs="Segoe UI"/>
          <w:sz w:val="24"/>
          <w:szCs w:val="24"/>
        </w:rPr>
        <w:t xml:space="preserve">; </w:t>
      </w:r>
      <w:r w:rsidRPr="0088617D">
        <w:rPr>
          <w:rStyle w:val="normaltextrun"/>
          <w:rFonts w:ascii="Gadugi" w:hAnsi="Gadugi" w:cs="Segoe UI"/>
          <w:sz w:val="24"/>
          <w:szCs w:val="24"/>
        </w:rPr>
        <w:t>n</w:t>
      </w:r>
      <w:r w:rsidR="00AB5978" w:rsidRPr="0088617D">
        <w:rPr>
          <w:rStyle w:val="normaltextrun"/>
          <w:rFonts w:ascii="Gadugi" w:hAnsi="Gadugi" w:cs="Segoe UI"/>
          <w:sz w:val="24"/>
          <w:szCs w:val="24"/>
        </w:rPr>
        <w:t xml:space="preserve">i siquiera era </w:t>
      </w:r>
      <w:r w:rsidRPr="0088617D">
        <w:rPr>
          <w:rStyle w:val="normaltextrun"/>
          <w:rFonts w:ascii="Gadugi" w:hAnsi="Gadugi" w:cs="Segoe UI"/>
          <w:sz w:val="24"/>
          <w:szCs w:val="24"/>
        </w:rPr>
        <w:t xml:space="preserve">un punto a tratar, como se puede leer en el acta respectiva. Así que, si sobre el particular </w:t>
      </w:r>
      <w:r w:rsidR="009F14E8" w:rsidRPr="0088617D">
        <w:rPr>
          <w:rStyle w:val="normaltextrun"/>
          <w:rFonts w:ascii="Gadugi" w:hAnsi="Gadugi" w:cs="Segoe UI"/>
          <w:sz w:val="24"/>
          <w:szCs w:val="24"/>
        </w:rPr>
        <w:t>ninguna decisión se adoptó</w:t>
      </w:r>
      <w:r w:rsidRPr="0088617D">
        <w:rPr>
          <w:rStyle w:val="normaltextrun"/>
          <w:rFonts w:ascii="Gadugi" w:hAnsi="Gadugi" w:cs="Segoe UI"/>
          <w:sz w:val="24"/>
          <w:szCs w:val="24"/>
        </w:rPr>
        <w:t xml:space="preserve"> </w:t>
      </w:r>
      <w:r w:rsidR="009F14E8" w:rsidRPr="0088617D">
        <w:rPr>
          <w:rStyle w:val="normaltextrun"/>
          <w:rFonts w:ascii="Gadugi" w:hAnsi="Gadugi" w:cs="Segoe UI"/>
          <w:sz w:val="24"/>
          <w:szCs w:val="24"/>
        </w:rPr>
        <w:t xml:space="preserve">tampoco parece viable, </w:t>
      </w:r>
      <w:r w:rsidRPr="0088617D">
        <w:rPr>
          <w:rStyle w:val="normaltextrun"/>
          <w:rFonts w:ascii="Gadugi" w:hAnsi="Gadugi" w:cs="Segoe UI"/>
          <w:sz w:val="24"/>
          <w:szCs w:val="24"/>
        </w:rPr>
        <w:t xml:space="preserve">en criterio de la Sala, que pueda reclamarse </w:t>
      </w:r>
      <w:r w:rsidR="009F14E8" w:rsidRPr="0088617D">
        <w:rPr>
          <w:rStyle w:val="normaltextrun"/>
          <w:rFonts w:ascii="Gadugi" w:hAnsi="Gadugi" w:cs="Segoe UI"/>
          <w:sz w:val="24"/>
          <w:szCs w:val="24"/>
        </w:rPr>
        <w:t xml:space="preserve">su nulidad, </w:t>
      </w:r>
      <w:r w:rsidR="00A86373" w:rsidRPr="0088617D">
        <w:rPr>
          <w:rStyle w:val="normaltextrun"/>
          <w:rFonts w:ascii="Gadugi" w:hAnsi="Gadugi" w:cs="Segoe UI"/>
          <w:sz w:val="24"/>
          <w:szCs w:val="24"/>
        </w:rPr>
        <w:t xml:space="preserve">menos aún porque, respecto del mentado informe se hubieran desconocido mayorías o excedido facultades, lo que no pudo ocurrir, si nunca se puso sobre la mesa. </w:t>
      </w:r>
    </w:p>
    <w:p w14:paraId="4E25B302" w14:textId="77777777" w:rsidR="00A86373" w:rsidRPr="0088617D" w:rsidRDefault="00A86373" w:rsidP="0088617D">
      <w:pPr>
        <w:pStyle w:val="Prrafodelista"/>
        <w:tabs>
          <w:tab w:val="left" w:pos="3402"/>
        </w:tabs>
        <w:spacing w:after="0" w:line="276" w:lineRule="auto"/>
        <w:ind w:left="0" w:firstLine="2268"/>
        <w:jc w:val="both"/>
        <w:rPr>
          <w:rStyle w:val="normaltextrun"/>
          <w:rFonts w:ascii="Gadugi" w:hAnsi="Gadugi" w:cs="Segoe UI"/>
          <w:sz w:val="24"/>
          <w:szCs w:val="24"/>
        </w:rPr>
      </w:pPr>
    </w:p>
    <w:p w14:paraId="512FFD64" w14:textId="0B308BA2" w:rsidR="00805F64" w:rsidRPr="0088617D" w:rsidRDefault="00A86373" w:rsidP="0088617D">
      <w:pPr>
        <w:pStyle w:val="Prrafodelista"/>
        <w:tabs>
          <w:tab w:val="left" w:pos="3402"/>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Se dirá que con ello desconoció el representante legal sus deberes como tal, lo que </w:t>
      </w:r>
      <w:r w:rsidR="00AB5978" w:rsidRPr="0088617D">
        <w:rPr>
          <w:rStyle w:val="normaltextrun"/>
          <w:rFonts w:ascii="Gadugi" w:hAnsi="Gadugi" w:cs="Segoe UI"/>
          <w:sz w:val="24"/>
          <w:szCs w:val="24"/>
        </w:rPr>
        <w:t xml:space="preserve">puede ser </w:t>
      </w:r>
      <w:r w:rsidRPr="0088617D">
        <w:rPr>
          <w:rStyle w:val="normaltextrun"/>
          <w:rFonts w:ascii="Gadugi" w:hAnsi="Gadugi" w:cs="Segoe UI"/>
          <w:sz w:val="24"/>
          <w:szCs w:val="24"/>
        </w:rPr>
        <w:t>cierto</w:t>
      </w:r>
      <w:r w:rsidR="00AB5978" w:rsidRPr="0088617D">
        <w:rPr>
          <w:rStyle w:val="normaltextrun"/>
          <w:rFonts w:ascii="Gadugi" w:hAnsi="Gadugi" w:cs="Segoe UI"/>
          <w:sz w:val="24"/>
          <w:szCs w:val="24"/>
        </w:rPr>
        <w:t>;</w:t>
      </w:r>
      <w:r w:rsidRPr="0088617D">
        <w:rPr>
          <w:rStyle w:val="normaltextrun"/>
          <w:rFonts w:ascii="Gadugi" w:hAnsi="Gadugi" w:cs="Segoe UI"/>
          <w:sz w:val="24"/>
          <w:szCs w:val="24"/>
        </w:rPr>
        <w:t xml:space="preserve"> pero la consecuencia no puede derivar en la nulidad de algo que nunca se trató</w:t>
      </w:r>
      <w:r w:rsidR="00805F64" w:rsidRPr="0088617D">
        <w:rPr>
          <w:rStyle w:val="normaltextrun"/>
          <w:rFonts w:ascii="Gadugi" w:hAnsi="Gadugi" w:cs="Segoe UI"/>
          <w:sz w:val="24"/>
          <w:szCs w:val="24"/>
        </w:rPr>
        <w:t xml:space="preserve">; más bien, el artículo 27 de la Ley 1258 prevé que a los </w:t>
      </w:r>
      <w:r w:rsidR="00805F64" w:rsidRPr="0088617D">
        <w:rPr>
          <w:rStyle w:val="normaltextrun"/>
          <w:rFonts w:ascii="Gadugi" w:hAnsi="Gadugi" w:cs="Segoe UI"/>
          <w:sz w:val="24"/>
          <w:szCs w:val="24"/>
        </w:rPr>
        <w:lastRenderedPageBreak/>
        <w:t xml:space="preserve">administradores de la SAS les son aplicables las reglas relativas a la responsabilidad de los administradores contenidas en la Ley 222 de 1995. </w:t>
      </w:r>
    </w:p>
    <w:p w14:paraId="069598D9" w14:textId="77777777" w:rsidR="00805F64" w:rsidRPr="0088617D" w:rsidRDefault="00805F64" w:rsidP="0088617D">
      <w:pPr>
        <w:pStyle w:val="Prrafodelista"/>
        <w:tabs>
          <w:tab w:val="left" w:pos="3402"/>
        </w:tabs>
        <w:spacing w:after="0" w:line="276" w:lineRule="auto"/>
        <w:ind w:left="0" w:firstLine="2268"/>
        <w:jc w:val="both"/>
        <w:rPr>
          <w:rStyle w:val="normaltextrun"/>
          <w:rFonts w:ascii="Gadugi" w:hAnsi="Gadugi" w:cs="Segoe UI"/>
          <w:sz w:val="24"/>
          <w:szCs w:val="24"/>
        </w:rPr>
      </w:pPr>
    </w:p>
    <w:p w14:paraId="61935576" w14:textId="514C7EBF" w:rsidR="00805F64" w:rsidRPr="0088617D" w:rsidRDefault="00805F64" w:rsidP="0088617D">
      <w:pPr>
        <w:pStyle w:val="Prrafodelista"/>
        <w:tabs>
          <w:tab w:val="left" w:pos="3402"/>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Por lo demás, en la misma Ley 1285 está prevista la forma en que deben convocarse las reuniones de la asamblea. En el artículo 20 está diseñado que el representante legal debe realizar esa citación, incluyendo el orden del día. En el acta de la que se realizó el </w:t>
      </w:r>
      <w:r w:rsidR="0025325F" w:rsidRPr="0088617D">
        <w:rPr>
          <w:rStyle w:val="normaltextrun"/>
          <w:rFonts w:ascii="Gadugi" w:hAnsi="Gadugi" w:cs="Segoe UI"/>
          <w:sz w:val="24"/>
          <w:szCs w:val="24"/>
        </w:rPr>
        <w:t xml:space="preserve">29 de marzo de 2019, se hizo constar que tal convocatoria se efectuó y que los libros y demás elementos exigidos por la ley estuvieron a disposición de los accionistas durante cinco días. Es decir, que ellos supieron con antelación cuál sería el orden </w:t>
      </w:r>
      <w:r w:rsidR="007536BC" w:rsidRPr="0088617D">
        <w:rPr>
          <w:rStyle w:val="normaltextrun"/>
          <w:rFonts w:ascii="Gadugi" w:hAnsi="Gadugi" w:cs="Segoe UI"/>
          <w:sz w:val="24"/>
          <w:szCs w:val="24"/>
        </w:rPr>
        <w:t>a tratar.</w:t>
      </w:r>
      <w:r w:rsidR="0025325F" w:rsidRPr="0088617D">
        <w:rPr>
          <w:rStyle w:val="normaltextrun"/>
          <w:rFonts w:ascii="Gadugi" w:hAnsi="Gadugi" w:cs="Segoe UI"/>
          <w:sz w:val="24"/>
          <w:szCs w:val="24"/>
        </w:rPr>
        <w:t xml:space="preserve"> </w:t>
      </w:r>
    </w:p>
    <w:p w14:paraId="2FF919A3" w14:textId="025951F1" w:rsidR="0025325F" w:rsidRPr="0088617D" w:rsidRDefault="0025325F" w:rsidP="0088617D">
      <w:pPr>
        <w:pStyle w:val="Prrafodelista"/>
        <w:tabs>
          <w:tab w:val="left" w:pos="3402"/>
        </w:tabs>
        <w:spacing w:after="0" w:line="276" w:lineRule="auto"/>
        <w:ind w:left="0" w:firstLine="2268"/>
        <w:jc w:val="both"/>
        <w:rPr>
          <w:rStyle w:val="normaltextrun"/>
          <w:rFonts w:ascii="Gadugi" w:hAnsi="Gadugi" w:cs="Segoe UI"/>
          <w:sz w:val="24"/>
          <w:szCs w:val="24"/>
        </w:rPr>
      </w:pPr>
    </w:p>
    <w:p w14:paraId="527FE7E5" w14:textId="7EA75148" w:rsidR="0025325F" w:rsidRPr="0088617D" w:rsidRDefault="0025325F" w:rsidP="0088617D">
      <w:pPr>
        <w:pStyle w:val="Prrafodelista"/>
        <w:tabs>
          <w:tab w:val="left" w:pos="3402"/>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Sin embargo, llegado el día, ese orden se aprobó sin discusión y, se repite, en él no se incluyó la rendición del informe de gestión. Por ello, pudieron los accionistas pedir que se adicionara y, en todo caso, atendiendo lo prescrito por el inciso final del artículo 14 de los estatutos (p. 10, 01CuadernoPrincipal), los accionistas que representen por lo menos el 20% de las acciones suscritas, podría</w:t>
      </w:r>
      <w:r w:rsidR="007536BC" w:rsidRPr="0088617D">
        <w:rPr>
          <w:rStyle w:val="normaltextrun"/>
          <w:rFonts w:ascii="Gadugi" w:hAnsi="Gadugi" w:cs="Segoe UI"/>
          <w:sz w:val="24"/>
          <w:szCs w:val="24"/>
        </w:rPr>
        <w:t>n</w:t>
      </w:r>
      <w:r w:rsidRPr="0088617D">
        <w:rPr>
          <w:rStyle w:val="normaltextrun"/>
          <w:rFonts w:ascii="Gadugi" w:hAnsi="Gadugi" w:cs="Segoe UI"/>
          <w:sz w:val="24"/>
          <w:szCs w:val="24"/>
        </w:rPr>
        <w:t xml:space="preserve"> haber solicitado al representante legal que convocara a una asamblea general de accionistas, con el propósito de tratar un tema omitido: el informe de gestión. </w:t>
      </w:r>
    </w:p>
    <w:p w14:paraId="07B54C27" w14:textId="77777777" w:rsidR="0025325F" w:rsidRPr="0088617D" w:rsidRDefault="0025325F" w:rsidP="0088617D">
      <w:pPr>
        <w:pStyle w:val="Prrafodelista"/>
        <w:tabs>
          <w:tab w:val="left" w:pos="3402"/>
        </w:tabs>
        <w:spacing w:after="0" w:line="276" w:lineRule="auto"/>
        <w:ind w:left="0" w:firstLine="2268"/>
        <w:jc w:val="both"/>
        <w:rPr>
          <w:rStyle w:val="normaltextrun"/>
          <w:rFonts w:ascii="Gadugi" w:hAnsi="Gadugi" w:cs="Segoe UI"/>
          <w:i/>
          <w:sz w:val="24"/>
          <w:szCs w:val="24"/>
        </w:rPr>
      </w:pPr>
    </w:p>
    <w:p w14:paraId="37A94838" w14:textId="6A84A889" w:rsidR="0025325F" w:rsidRPr="0088617D" w:rsidRDefault="0025325F" w:rsidP="0088617D">
      <w:pPr>
        <w:pStyle w:val="Prrafodelista"/>
        <w:tabs>
          <w:tab w:val="left" w:pos="3402"/>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Lo que se quiere significar, entonces, es que, como el asunto del informe no fue asumido por la asamblea, predicar sobre el punto una nulidad, es desacertado. Más bien, fue una omisión que pudo haberse remediado en el momento mismo de la asamblea, pidiendo la adición del orden del día, o solicitando la convocatoria a una reunión con ese fin. </w:t>
      </w:r>
    </w:p>
    <w:p w14:paraId="2AE40040" w14:textId="07EA60FC" w:rsidR="0025325F" w:rsidRPr="0088617D" w:rsidRDefault="0025325F" w:rsidP="0088617D">
      <w:pPr>
        <w:pStyle w:val="Prrafodelista"/>
        <w:tabs>
          <w:tab w:val="left" w:pos="3402"/>
        </w:tabs>
        <w:spacing w:after="0" w:line="276" w:lineRule="auto"/>
        <w:ind w:left="0" w:firstLine="2268"/>
        <w:jc w:val="both"/>
        <w:rPr>
          <w:rStyle w:val="normaltextrun"/>
          <w:rFonts w:ascii="Gadugi" w:hAnsi="Gadugi" w:cs="Segoe UI"/>
          <w:i/>
          <w:sz w:val="24"/>
          <w:szCs w:val="24"/>
        </w:rPr>
      </w:pPr>
    </w:p>
    <w:p w14:paraId="0C1C3E57" w14:textId="2E2EE031" w:rsidR="00F379C2" w:rsidRPr="0088617D" w:rsidRDefault="00F379C2" w:rsidP="0088617D">
      <w:pPr>
        <w:pStyle w:val="Prrafodelista"/>
        <w:tabs>
          <w:tab w:val="left" w:pos="3402"/>
        </w:tabs>
        <w:spacing w:after="0" w:line="276" w:lineRule="auto"/>
        <w:ind w:left="0" w:firstLine="2268"/>
        <w:jc w:val="both"/>
        <w:rPr>
          <w:rStyle w:val="normaltextrun"/>
          <w:rFonts w:ascii="Gadugi" w:hAnsi="Gadugi" w:cs="Segoe UI"/>
          <w:color w:val="FF0000"/>
          <w:sz w:val="24"/>
          <w:szCs w:val="24"/>
        </w:rPr>
      </w:pPr>
      <w:r w:rsidRPr="0088617D">
        <w:rPr>
          <w:rStyle w:val="normaltextrun"/>
          <w:rFonts w:ascii="Gadugi" w:hAnsi="Gadugi" w:cs="Segoe UI"/>
          <w:sz w:val="24"/>
          <w:szCs w:val="24"/>
        </w:rPr>
        <w:t xml:space="preserve">En un caso en el que en una asamblea general la reunión quedó inconclusa, porque no se agotó el punto relacionado con el informe de gestión, se le consultó a la Superintendencia de Sociedades, entre otras cosas, si </w:t>
      </w:r>
      <w:r w:rsidRPr="0088617D">
        <w:rPr>
          <w:rStyle w:val="normaltextrun"/>
          <w:rFonts w:ascii="Gadugi" w:hAnsi="Gadugi" w:cs="Segoe UI"/>
          <w:i/>
          <w:iCs/>
          <w:sz w:val="24"/>
          <w:szCs w:val="24"/>
        </w:rPr>
        <w:t>“</w:t>
      </w:r>
      <w:r w:rsidRPr="00C13399">
        <w:rPr>
          <w:rStyle w:val="normaltextrun"/>
          <w:rFonts w:ascii="Gadugi" w:hAnsi="Gadugi" w:cs="Segoe UI"/>
          <w:i/>
          <w:iCs/>
          <w:szCs w:val="24"/>
        </w:rPr>
        <w:t>…</w:t>
      </w:r>
      <w:r w:rsidR="00C13399" w:rsidRPr="00C13399">
        <w:rPr>
          <w:rStyle w:val="normaltextrun"/>
          <w:rFonts w:ascii="Gadugi" w:hAnsi="Gadugi" w:cs="Segoe UI"/>
          <w:i/>
          <w:iCs/>
          <w:szCs w:val="24"/>
        </w:rPr>
        <w:t xml:space="preserve"> </w:t>
      </w:r>
      <w:r w:rsidRPr="00C13399">
        <w:rPr>
          <w:rFonts w:ascii="Gadugi" w:hAnsi="Gadugi"/>
          <w:i/>
          <w:iCs/>
          <w:szCs w:val="24"/>
        </w:rPr>
        <w:t xml:space="preserve">Teniendo en cuenta que en los estatutos de la entidad se estipuló que: "Cada uno de los puntos del orden del día es indivisible", ¿El hecho que no se haya podido agotar la totalidad del punto del orden del día del informe de gestión , genera que las decisiones tomadas en dicho punto del orden del día se tornen ineficaces o nulas? </w:t>
      </w:r>
      <w:r w:rsidRPr="0088617D">
        <w:rPr>
          <w:rFonts w:ascii="Gadugi" w:hAnsi="Gadugi"/>
          <w:sz w:val="24"/>
          <w:szCs w:val="24"/>
        </w:rPr>
        <w:t>“,</w:t>
      </w:r>
      <w:r w:rsidRPr="0088617D">
        <w:rPr>
          <w:rFonts w:ascii="Gadugi" w:eastAsia="Gadugi" w:hAnsi="Gadugi" w:cs="Gadugi"/>
          <w:sz w:val="24"/>
          <w:szCs w:val="24"/>
        </w:rPr>
        <w:t xml:space="preserve"> respondió la entidad</w:t>
      </w:r>
      <w:r w:rsidRPr="0088617D">
        <w:rPr>
          <w:rFonts w:ascii="Gadugi" w:hAnsi="Gadugi"/>
          <w:sz w:val="24"/>
          <w:szCs w:val="24"/>
        </w:rPr>
        <w:t xml:space="preserve">: </w:t>
      </w:r>
      <w:r w:rsidRPr="0088617D">
        <w:rPr>
          <w:rStyle w:val="normaltextrun"/>
          <w:rFonts w:ascii="Gadugi" w:hAnsi="Gadugi" w:cs="Segoe UI"/>
          <w:color w:val="FF0000"/>
          <w:sz w:val="24"/>
          <w:szCs w:val="24"/>
        </w:rPr>
        <w:t xml:space="preserve"> </w:t>
      </w:r>
    </w:p>
    <w:p w14:paraId="55C4D191" w14:textId="7AA898E4" w:rsidR="00F379C2" w:rsidRPr="0088617D" w:rsidRDefault="00F379C2" w:rsidP="0088617D">
      <w:pPr>
        <w:pStyle w:val="Prrafodelista"/>
        <w:tabs>
          <w:tab w:val="left" w:pos="3402"/>
        </w:tabs>
        <w:spacing w:after="0" w:line="276" w:lineRule="auto"/>
        <w:ind w:left="0" w:firstLine="2268"/>
        <w:jc w:val="both"/>
        <w:rPr>
          <w:rStyle w:val="normaltextrun"/>
          <w:rFonts w:ascii="Gadugi" w:hAnsi="Gadugi" w:cs="Segoe UI"/>
          <w:color w:val="FF0000"/>
          <w:sz w:val="24"/>
          <w:szCs w:val="24"/>
        </w:rPr>
      </w:pPr>
    </w:p>
    <w:p w14:paraId="30FE4E47" w14:textId="70D52CAE" w:rsidR="00F379C2" w:rsidRPr="00C13399" w:rsidRDefault="00F379C2" w:rsidP="00C13399">
      <w:pPr>
        <w:pStyle w:val="Prrafodelista"/>
        <w:spacing w:after="0" w:line="240" w:lineRule="auto"/>
        <w:ind w:left="426" w:right="418" w:firstLine="850"/>
        <w:jc w:val="both"/>
        <w:rPr>
          <w:rStyle w:val="normaltextrun"/>
          <w:rFonts w:ascii="Gadugi" w:hAnsi="Gadugi" w:cs="Segoe UI"/>
          <w:i/>
          <w:color w:val="FF0000"/>
          <w:szCs w:val="24"/>
        </w:rPr>
      </w:pPr>
      <w:r w:rsidRPr="00C13399">
        <w:rPr>
          <w:rFonts w:ascii="Gadugi" w:hAnsi="Gadugi"/>
          <w:szCs w:val="24"/>
        </w:rPr>
        <w:t>En lo que se refiere al sexto interrogante, tal y como se advirtió en el punto primero, la situación planteada no afecta la validez ni genera ineficacia de las decisiones adoptadas. Tampoco en este evento, el hecho de que la estipulación estatutaria señale que "cada uno de los puntos del orden del día es indivisible", constituye un riesgo para la validez de las decisiones, pues la circunstancia de que los socios en una reunión extraordinaria con temario de ordinaria, retomen la consideración de los asuntos que no fueron evacuados en la reunión ordinaria, por tratarse del mismo informe de gestión, a juicio de esta Oficina, no rompe la unidad de la materia objeto de análisis, la cual se mantiene</w:t>
      </w:r>
      <w:r w:rsidRPr="00C13399">
        <w:rPr>
          <w:rFonts w:ascii="Gadugi" w:hAnsi="Gadugi"/>
          <w:i/>
          <w:szCs w:val="24"/>
        </w:rPr>
        <w:t xml:space="preserve"> indivisible.</w:t>
      </w:r>
    </w:p>
    <w:p w14:paraId="62285CC9" w14:textId="77777777" w:rsidR="00F379C2" w:rsidRPr="0088617D" w:rsidRDefault="00F379C2" w:rsidP="0088617D">
      <w:pPr>
        <w:pStyle w:val="Prrafodelista"/>
        <w:tabs>
          <w:tab w:val="left" w:pos="3402"/>
        </w:tabs>
        <w:spacing w:after="0" w:line="276" w:lineRule="auto"/>
        <w:ind w:left="0" w:firstLine="2268"/>
        <w:jc w:val="both"/>
        <w:rPr>
          <w:rStyle w:val="normaltextrun"/>
          <w:rFonts w:ascii="Gadugi" w:hAnsi="Gadugi" w:cs="Segoe UI"/>
          <w:color w:val="FF0000"/>
          <w:sz w:val="24"/>
          <w:szCs w:val="24"/>
        </w:rPr>
      </w:pPr>
    </w:p>
    <w:p w14:paraId="4EA10B1A" w14:textId="7E696D07" w:rsidR="00805F64" w:rsidRPr="0088617D" w:rsidRDefault="0025325F" w:rsidP="0088617D">
      <w:pPr>
        <w:pStyle w:val="Prrafodelista"/>
        <w:tabs>
          <w:tab w:val="left" w:pos="3402"/>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Cambiando lo que hay que cambiar, </w:t>
      </w:r>
      <w:r w:rsidR="009D4007" w:rsidRPr="0088617D">
        <w:rPr>
          <w:rStyle w:val="normaltextrun"/>
          <w:rFonts w:ascii="Gadugi" w:hAnsi="Gadugi" w:cs="Segoe UI"/>
          <w:sz w:val="24"/>
          <w:szCs w:val="24"/>
        </w:rPr>
        <w:t xml:space="preserve">en este caso tampoco habría forma de predicar la validez o la ineficacia de una decisión que, se reitera, es inexistente. </w:t>
      </w:r>
      <w:r w:rsidR="009D4007" w:rsidRPr="0088617D">
        <w:rPr>
          <w:rStyle w:val="normaltextrun"/>
          <w:rFonts w:ascii="Gadugi" w:hAnsi="Gadugi" w:cs="Segoe UI"/>
          <w:sz w:val="24"/>
          <w:szCs w:val="24"/>
        </w:rPr>
        <w:lastRenderedPageBreak/>
        <w:t xml:space="preserve">Nada se oponía, en consecuencia, a que los accionistas, siguiendo la regla en cita, solicitaran la convocatoria de una asamblea adicional con ese fin.  </w:t>
      </w:r>
    </w:p>
    <w:p w14:paraId="2D888FDE" w14:textId="6B0407E5" w:rsidR="009D4007" w:rsidRPr="0088617D" w:rsidRDefault="009D4007" w:rsidP="0088617D">
      <w:pPr>
        <w:pStyle w:val="Prrafodelista"/>
        <w:tabs>
          <w:tab w:val="left" w:pos="3402"/>
        </w:tabs>
        <w:spacing w:after="0" w:line="276" w:lineRule="auto"/>
        <w:ind w:left="0" w:firstLine="2268"/>
        <w:jc w:val="both"/>
        <w:rPr>
          <w:rStyle w:val="normaltextrun"/>
          <w:rFonts w:ascii="Gadugi" w:hAnsi="Gadugi" w:cs="Segoe UI"/>
          <w:sz w:val="24"/>
          <w:szCs w:val="24"/>
        </w:rPr>
      </w:pPr>
    </w:p>
    <w:p w14:paraId="3B0C1F71" w14:textId="5B18C284" w:rsidR="00F279D2" w:rsidRPr="0088617D" w:rsidRDefault="007536BC" w:rsidP="0088617D">
      <w:pPr>
        <w:pStyle w:val="Prrafodelista"/>
        <w:numPr>
          <w:ilvl w:val="1"/>
          <w:numId w:val="1"/>
        </w:numPr>
        <w:tabs>
          <w:tab w:val="left" w:pos="2835"/>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Todas estas razones </w:t>
      </w:r>
      <w:r w:rsidR="00F279D2" w:rsidRPr="0088617D">
        <w:rPr>
          <w:rStyle w:val="normaltextrun"/>
          <w:rFonts w:ascii="Gadugi" w:hAnsi="Gadugi" w:cs="Segoe UI"/>
          <w:sz w:val="24"/>
          <w:szCs w:val="24"/>
        </w:rPr>
        <w:t xml:space="preserve">sirven para confirmar el fallo protestado, incluyendo lo que tiene que ver con la condena en costas, pues el juzgado fundó su decisión de exonerar en primera instancia en la regulación que trae el artículo 365-5 del CGP y sobre el particular se pide su imposición solo en cuanto sea consecuencia de la revocatoria del mismo, lo que no ha de acontecer. </w:t>
      </w:r>
    </w:p>
    <w:p w14:paraId="518AF654" w14:textId="77777777" w:rsidR="00F279D2" w:rsidRPr="0088617D" w:rsidRDefault="00F279D2" w:rsidP="0088617D">
      <w:pPr>
        <w:pStyle w:val="Prrafodelista"/>
        <w:tabs>
          <w:tab w:val="left" w:pos="2835"/>
        </w:tabs>
        <w:spacing w:after="0" w:line="276" w:lineRule="auto"/>
        <w:ind w:left="2268"/>
        <w:jc w:val="both"/>
        <w:rPr>
          <w:rStyle w:val="normaltextrun"/>
          <w:rFonts w:ascii="Gadugi" w:hAnsi="Gadugi" w:cs="Segoe UI"/>
          <w:sz w:val="24"/>
          <w:szCs w:val="24"/>
        </w:rPr>
      </w:pPr>
    </w:p>
    <w:p w14:paraId="406757F3" w14:textId="1A42C26B" w:rsidR="00F279D2" w:rsidRDefault="00F279D2" w:rsidP="0088617D">
      <w:pPr>
        <w:pStyle w:val="Prrafodelista"/>
        <w:tabs>
          <w:tab w:val="left" w:pos="2835"/>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En esta sede, se condenará en costas a la recurrente y a favor de la demandada, por mandato del artículo 365-1 del CGP. Ellas se liquidarán en el juzgado de primera instancia, siguiendo las pautas del artículo 366 ibidem. Para tal fin, en auto separado, se fijarán las agencias en derecho.</w:t>
      </w:r>
    </w:p>
    <w:p w14:paraId="4BA7A45F" w14:textId="78F84A09" w:rsidR="00C13399" w:rsidRDefault="00C13399" w:rsidP="0088617D">
      <w:pPr>
        <w:pStyle w:val="Prrafodelista"/>
        <w:tabs>
          <w:tab w:val="left" w:pos="2835"/>
        </w:tabs>
        <w:spacing w:after="0" w:line="276" w:lineRule="auto"/>
        <w:ind w:left="0" w:firstLine="2268"/>
        <w:jc w:val="both"/>
        <w:rPr>
          <w:rStyle w:val="normaltextrun"/>
          <w:rFonts w:ascii="Gadugi" w:hAnsi="Gadugi" w:cs="Segoe UI"/>
          <w:sz w:val="24"/>
          <w:szCs w:val="24"/>
        </w:rPr>
      </w:pPr>
    </w:p>
    <w:p w14:paraId="683D32EE" w14:textId="77777777" w:rsidR="003A4968" w:rsidRPr="0088617D" w:rsidRDefault="003A4968" w:rsidP="0088617D">
      <w:pPr>
        <w:pStyle w:val="Prrafodelista"/>
        <w:tabs>
          <w:tab w:val="left" w:pos="2835"/>
        </w:tabs>
        <w:spacing w:after="0" w:line="276" w:lineRule="auto"/>
        <w:ind w:left="0" w:firstLine="2268"/>
        <w:jc w:val="both"/>
        <w:rPr>
          <w:rStyle w:val="normaltextrun"/>
          <w:rFonts w:ascii="Gadugi" w:hAnsi="Gadugi" w:cs="Segoe UI"/>
          <w:sz w:val="24"/>
          <w:szCs w:val="24"/>
        </w:rPr>
      </w:pPr>
    </w:p>
    <w:p w14:paraId="1F12A6C1" w14:textId="18A3A031" w:rsidR="00F279D2" w:rsidRPr="0088617D" w:rsidRDefault="00F279D2" w:rsidP="0088617D">
      <w:pPr>
        <w:pStyle w:val="Prrafodelista"/>
        <w:numPr>
          <w:ilvl w:val="0"/>
          <w:numId w:val="1"/>
        </w:numPr>
        <w:tabs>
          <w:tab w:val="left" w:pos="2552"/>
        </w:tabs>
        <w:spacing w:after="0" w:line="276" w:lineRule="auto"/>
        <w:ind w:left="0" w:firstLine="2268"/>
        <w:jc w:val="both"/>
        <w:rPr>
          <w:rStyle w:val="normaltextrun"/>
          <w:rFonts w:ascii="Gadugi" w:hAnsi="Gadugi" w:cs="Segoe UI"/>
          <w:b/>
          <w:sz w:val="24"/>
          <w:szCs w:val="24"/>
        </w:rPr>
      </w:pPr>
      <w:r w:rsidRPr="0088617D">
        <w:rPr>
          <w:rStyle w:val="normaltextrun"/>
          <w:rFonts w:ascii="Gadugi" w:hAnsi="Gadugi" w:cs="Segoe UI"/>
          <w:b/>
          <w:sz w:val="24"/>
          <w:szCs w:val="24"/>
        </w:rPr>
        <w:t xml:space="preserve">DECISIÓN. </w:t>
      </w:r>
    </w:p>
    <w:p w14:paraId="1383FB85" w14:textId="542A659F" w:rsidR="00F279D2" w:rsidRPr="0088617D" w:rsidRDefault="00F279D2" w:rsidP="0088617D">
      <w:pPr>
        <w:pStyle w:val="Prrafodelista"/>
        <w:tabs>
          <w:tab w:val="left" w:pos="2835"/>
        </w:tabs>
        <w:spacing w:after="0" w:line="276" w:lineRule="auto"/>
        <w:ind w:left="0" w:firstLine="2268"/>
        <w:jc w:val="both"/>
        <w:rPr>
          <w:rStyle w:val="normaltextrun"/>
          <w:rFonts w:ascii="Gadugi" w:hAnsi="Gadugi" w:cs="Segoe UI"/>
          <w:sz w:val="24"/>
          <w:szCs w:val="24"/>
        </w:rPr>
      </w:pPr>
    </w:p>
    <w:p w14:paraId="59B6A9E3" w14:textId="2E87D303" w:rsidR="00F279D2" w:rsidRPr="0088617D" w:rsidRDefault="00F279D2" w:rsidP="0088617D">
      <w:pPr>
        <w:pStyle w:val="Prrafodelista"/>
        <w:tabs>
          <w:tab w:val="left" w:pos="2835"/>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En armonía con lo dicho, esta Sala de Decisión Civil-Familia del Tribunal Superior de Pereira, administrando justicia en nombre de la República y por autoridad de la Ley, </w:t>
      </w:r>
      <w:r w:rsidRPr="0088617D">
        <w:rPr>
          <w:rStyle w:val="normaltextrun"/>
          <w:rFonts w:ascii="Gadugi" w:hAnsi="Gadugi" w:cs="Segoe UI"/>
          <w:b/>
          <w:sz w:val="24"/>
          <w:szCs w:val="24"/>
        </w:rPr>
        <w:t xml:space="preserve">CONFIRMA </w:t>
      </w:r>
      <w:r w:rsidRPr="0088617D">
        <w:rPr>
          <w:rFonts w:ascii="Gadugi" w:eastAsia="Malgun Gothic" w:hAnsi="Gadugi" w:cs="Estrangelo Edessa"/>
          <w:sz w:val="24"/>
          <w:szCs w:val="24"/>
        </w:rPr>
        <w:t xml:space="preserve">la sentencia del 11 de diciembre de 2020, proferida por el Juzgado Segundo </w:t>
      </w:r>
      <w:r w:rsidRPr="0088617D">
        <w:rPr>
          <w:rFonts w:ascii="Gadugi" w:eastAsia="Calibri" w:hAnsi="Gadugi" w:cs="Times New Roman"/>
          <w:sz w:val="24"/>
          <w:szCs w:val="24"/>
        </w:rPr>
        <w:t>Civil del Circuito de Pereira</w:t>
      </w:r>
      <w:r w:rsidRPr="0088617D">
        <w:rPr>
          <w:rFonts w:ascii="Gadugi" w:eastAsia="Malgun Gothic" w:hAnsi="Gadugi" w:cs="Estrangelo Edessa"/>
          <w:sz w:val="24"/>
          <w:szCs w:val="24"/>
        </w:rPr>
        <w:t xml:space="preserve">, en este proceso verbal de impugnación de actos de asamblea que inició </w:t>
      </w:r>
      <w:r w:rsidRPr="0088617D">
        <w:rPr>
          <w:rFonts w:ascii="Gadugi" w:eastAsia="Malgun Gothic" w:hAnsi="Gadugi" w:cs="Estrangelo Edessa"/>
          <w:b/>
          <w:sz w:val="24"/>
          <w:szCs w:val="24"/>
        </w:rPr>
        <w:t>María Lucero Luna</w:t>
      </w:r>
      <w:r w:rsidRPr="0088617D">
        <w:rPr>
          <w:rFonts w:ascii="Gadugi" w:eastAsia="Malgun Gothic" w:hAnsi="Gadugi" w:cs="Estrangelo Edessa"/>
          <w:sz w:val="24"/>
          <w:szCs w:val="24"/>
        </w:rPr>
        <w:t xml:space="preserve"> </w:t>
      </w:r>
      <w:r w:rsidRPr="0088617D">
        <w:rPr>
          <w:rFonts w:ascii="Gadugi" w:eastAsia="Malgun Gothic" w:hAnsi="Gadugi" w:cs="Estrangelo Edessa"/>
          <w:b/>
          <w:sz w:val="24"/>
          <w:szCs w:val="24"/>
        </w:rPr>
        <w:t>López</w:t>
      </w:r>
      <w:r w:rsidRPr="0088617D">
        <w:rPr>
          <w:rFonts w:ascii="Gadugi" w:eastAsia="Malgun Gothic" w:hAnsi="Gadugi" w:cs="Estrangelo Edessa"/>
          <w:sz w:val="24"/>
          <w:szCs w:val="24"/>
        </w:rPr>
        <w:t xml:space="preserve"> frente a </w:t>
      </w:r>
      <w:r w:rsidRPr="0088617D">
        <w:rPr>
          <w:rFonts w:ascii="Gadugi" w:eastAsia="Malgun Gothic" w:hAnsi="Gadugi" w:cs="Estrangelo Edessa"/>
          <w:b/>
          <w:sz w:val="24"/>
          <w:szCs w:val="24"/>
        </w:rPr>
        <w:t xml:space="preserve">Innova Decoración S.A.S. </w:t>
      </w:r>
      <w:r w:rsidRPr="0088617D">
        <w:rPr>
          <w:rFonts w:ascii="Gadugi" w:eastAsia="Malgun Gothic" w:hAnsi="Gadugi" w:cs="Estrangelo Edessa"/>
          <w:sz w:val="24"/>
          <w:szCs w:val="24"/>
        </w:rPr>
        <w:t xml:space="preserve">representada por Fredy </w:t>
      </w:r>
      <w:r w:rsidR="00C13399" w:rsidRPr="0088617D">
        <w:rPr>
          <w:rFonts w:ascii="Gadugi" w:eastAsia="Malgun Gothic" w:hAnsi="Gadugi" w:cs="Estrangelo Edessa"/>
          <w:sz w:val="24"/>
          <w:szCs w:val="24"/>
        </w:rPr>
        <w:t>Alexander</w:t>
      </w:r>
      <w:r w:rsidRPr="0088617D">
        <w:rPr>
          <w:rFonts w:ascii="Gadugi" w:eastAsia="Malgun Gothic" w:hAnsi="Gadugi" w:cs="Estrangelo Edessa"/>
          <w:sz w:val="24"/>
          <w:szCs w:val="24"/>
        </w:rPr>
        <w:t xml:space="preserve"> Zapata Pachón</w:t>
      </w:r>
    </w:p>
    <w:p w14:paraId="14AFCAA4" w14:textId="690EA225" w:rsidR="009D4007" w:rsidRPr="0088617D" w:rsidRDefault="009D4007" w:rsidP="0088617D">
      <w:pPr>
        <w:pStyle w:val="Prrafodelista"/>
        <w:tabs>
          <w:tab w:val="left" w:pos="2835"/>
        </w:tabs>
        <w:spacing w:after="0" w:line="276" w:lineRule="auto"/>
        <w:ind w:left="0" w:firstLine="2268"/>
        <w:jc w:val="both"/>
        <w:rPr>
          <w:rStyle w:val="normaltextrun"/>
          <w:rFonts w:ascii="Gadugi" w:hAnsi="Gadugi" w:cs="Segoe UI"/>
          <w:sz w:val="24"/>
          <w:szCs w:val="24"/>
        </w:rPr>
      </w:pPr>
    </w:p>
    <w:p w14:paraId="2D2C23A7" w14:textId="649D7CD2" w:rsidR="00F279D2" w:rsidRPr="0088617D" w:rsidRDefault="00F279D2" w:rsidP="0088617D">
      <w:pPr>
        <w:pStyle w:val="Prrafodelista"/>
        <w:tabs>
          <w:tab w:val="left" w:pos="2835"/>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Costas En esta sede a cargo de la recurrente y a favor de la demandada. </w:t>
      </w:r>
    </w:p>
    <w:p w14:paraId="3F3443D5" w14:textId="77777777" w:rsidR="00F279D2" w:rsidRPr="0088617D" w:rsidRDefault="00F279D2" w:rsidP="0088617D">
      <w:pPr>
        <w:pStyle w:val="Prrafodelista"/>
        <w:tabs>
          <w:tab w:val="left" w:pos="2835"/>
        </w:tabs>
        <w:spacing w:after="0" w:line="276" w:lineRule="auto"/>
        <w:ind w:left="2268"/>
        <w:jc w:val="both"/>
        <w:rPr>
          <w:rStyle w:val="normaltextrun"/>
          <w:rFonts w:ascii="Gadugi" w:hAnsi="Gadugi" w:cs="Segoe UI"/>
          <w:sz w:val="24"/>
          <w:szCs w:val="24"/>
        </w:rPr>
      </w:pPr>
    </w:p>
    <w:p w14:paraId="3C4BE2AD" w14:textId="4030B8A8" w:rsidR="009D4007" w:rsidRPr="0088617D" w:rsidRDefault="00F279D2" w:rsidP="0088617D">
      <w:pPr>
        <w:pStyle w:val="Prrafodelista"/>
        <w:tabs>
          <w:tab w:val="left" w:pos="3402"/>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Notifíquese.</w:t>
      </w:r>
    </w:p>
    <w:p w14:paraId="2828E624" w14:textId="4411B624"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sz w:val="24"/>
          <w:szCs w:val="24"/>
        </w:rPr>
      </w:pPr>
    </w:p>
    <w:p w14:paraId="76854C5B" w14:textId="3482C5F0"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sz w:val="24"/>
          <w:szCs w:val="24"/>
        </w:rPr>
      </w:pPr>
      <w:r w:rsidRPr="0088617D">
        <w:rPr>
          <w:rStyle w:val="normaltextrun"/>
          <w:rFonts w:ascii="Gadugi" w:hAnsi="Gadugi" w:cs="Segoe UI"/>
          <w:sz w:val="24"/>
          <w:szCs w:val="24"/>
        </w:rPr>
        <w:t xml:space="preserve">Los Magistrados, </w:t>
      </w:r>
    </w:p>
    <w:p w14:paraId="17F05A46" w14:textId="7AC3F599"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sz w:val="24"/>
          <w:szCs w:val="24"/>
        </w:rPr>
      </w:pPr>
    </w:p>
    <w:p w14:paraId="4AB1DFB0" w14:textId="24DF30CA"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sz w:val="24"/>
          <w:szCs w:val="24"/>
        </w:rPr>
      </w:pPr>
    </w:p>
    <w:p w14:paraId="5257C30B" w14:textId="5FCAEF5A"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b/>
          <w:sz w:val="24"/>
          <w:szCs w:val="24"/>
        </w:rPr>
      </w:pPr>
      <w:r w:rsidRPr="0088617D">
        <w:rPr>
          <w:rStyle w:val="normaltextrun"/>
          <w:rFonts w:ascii="Gadugi" w:hAnsi="Gadugi" w:cs="Segoe UI"/>
          <w:b/>
          <w:sz w:val="24"/>
          <w:szCs w:val="24"/>
        </w:rPr>
        <w:t>JAIME ALBERTO SARAZA NARANJO</w:t>
      </w:r>
    </w:p>
    <w:p w14:paraId="074D2CC3" w14:textId="36BAD8E2"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b/>
          <w:sz w:val="24"/>
          <w:szCs w:val="24"/>
        </w:rPr>
      </w:pPr>
    </w:p>
    <w:p w14:paraId="391F17BD" w14:textId="78DE8BFE"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b/>
          <w:sz w:val="24"/>
          <w:szCs w:val="24"/>
        </w:rPr>
      </w:pPr>
    </w:p>
    <w:p w14:paraId="0CAD836A" w14:textId="5DB2DA42"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b/>
          <w:bCs/>
          <w:sz w:val="24"/>
          <w:szCs w:val="24"/>
        </w:rPr>
      </w:pPr>
      <w:r w:rsidRPr="0088617D">
        <w:rPr>
          <w:rStyle w:val="normaltextrun"/>
          <w:rFonts w:ascii="Gadugi" w:hAnsi="Gadugi" w:cs="Segoe UI"/>
          <w:b/>
          <w:bCs/>
          <w:sz w:val="24"/>
          <w:szCs w:val="24"/>
        </w:rPr>
        <w:t xml:space="preserve">CARLOS MAURICIO GARCÍA BARAJAS </w:t>
      </w:r>
    </w:p>
    <w:p w14:paraId="316C0519" w14:textId="180C51DF"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b/>
          <w:sz w:val="24"/>
          <w:szCs w:val="24"/>
        </w:rPr>
      </w:pPr>
    </w:p>
    <w:p w14:paraId="2BAD9DEC" w14:textId="3E902C45"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b/>
          <w:sz w:val="24"/>
          <w:szCs w:val="24"/>
        </w:rPr>
      </w:pPr>
    </w:p>
    <w:p w14:paraId="3BFF1C1F" w14:textId="266B43ED" w:rsidR="00F279D2" w:rsidRPr="0088617D" w:rsidRDefault="00F279D2" w:rsidP="0088617D">
      <w:pPr>
        <w:pStyle w:val="Prrafodelista"/>
        <w:tabs>
          <w:tab w:val="left" w:pos="3402"/>
        </w:tabs>
        <w:spacing w:after="0" w:line="276" w:lineRule="auto"/>
        <w:ind w:left="0" w:firstLine="2268"/>
        <w:jc w:val="both"/>
        <w:rPr>
          <w:rStyle w:val="normaltextrun"/>
          <w:rFonts w:ascii="Gadugi" w:hAnsi="Gadugi" w:cs="Segoe UI"/>
          <w:b/>
          <w:bCs/>
          <w:sz w:val="24"/>
          <w:szCs w:val="24"/>
        </w:rPr>
      </w:pPr>
      <w:r w:rsidRPr="0088617D">
        <w:rPr>
          <w:rStyle w:val="normaltextrun"/>
          <w:rFonts w:ascii="Gadugi" w:hAnsi="Gadugi" w:cs="Segoe UI"/>
          <w:b/>
          <w:bCs/>
          <w:sz w:val="24"/>
          <w:szCs w:val="24"/>
        </w:rPr>
        <w:t xml:space="preserve">DUBERNEY GRISALES HERRERA </w:t>
      </w:r>
    </w:p>
    <w:sectPr w:rsidR="00F279D2" w:rsidRPr="0088617D" w:rsidSect="004C716A">
      <w:pgSz w:w="12240" w:h="18720" w:code="258"/>
      <w:pgMar w:top="1758" w:right="1191" w:bottom="1191" w:left="175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D10818" w16cex:dateUtc="2022-01-31T21:42:15.395Z"/>
  <w16cex:commentExtensible w16cex:durableId="19B6AD99" w16cex:dateUtc="2022-02-02T20:30:47.0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B2AF" w14:textId="77777777" w:rsidR="00605369" w:rsidRDefault="00605369" w:rsidP="005B11D1">
      <w:pPr>
        <w:spacing w:after="0" w:line="240" w:lineRule="auto"/>
      </w:pPr>
      <w:r>
        <w:separator/>
      </w:r>
    </w:p>
  </w:endnote>
  <w:endnote w:type="continuationSeparator" w:id="0">
    <w:p w14:paraId="785F0408" w14:textId="77777777" w:rsidR="00605369" w:rsidRDefault="00605369" w:rsidP="005B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BA2B" w14:textId="77777777" w:rsidR="00605369" w:rsidRDefault="00605369" w:rsidP="005B11D1">
      <w:pPr>
        <w:spacing w:after="0" w:line="240" w:lineRule="auto"/>
      </w:pPr>
      <w:r>
        <w:separator/>
      </w:r>
    </w:p>
  </w:footnote>
  <w:footnote w:type="continuationSeparator" w:id="0">
    <w:p w14:paraId="067A0FF4" w14:textId="77777777" w:rsidR="00605369" w:rsidRDefault="00605369" w:rsidP="005B11D1">
      <w:pPr>
        <w:spacing w:after="0" w:line="240" w:lineRule="auto"/>
      </w:pPr>
      <w:r>
        <w:continuationSeparator/>
      </w:r>
    </w:p>
  </w:footnote>
  <w:footnote w:id="1">
    <w:p w14:paraId="1789FC6A" w14:textId="7504008E" w:rsidR="00801C56" w:rsidRPr="00C13399" w:rsidRDefault="00801C56" w:rsidP="00C13399">
      <w:pPr>
        <w:pStyle w:val="Textonotapie"/>
        <w:jc w:val="both"/>
        <w:rPr>
          <w:rFonts w:ascii="Century" w:hAnsi="Century"/>
          <w:sz w:val="18"/>
          <w:szCs w:val="28"/>
          <w:lang w:val="es-419"/>
        </w:rPr>
      </w:pPr>
      <w:r w:rsidRPr="00C13399">
        <w:rPr>
          <w:rStyle w:val="Refdenotaalpie"/>
          <w:rFonts w:ascii="Century" w:hAnsi="Century"/>
          <w:sz w:val="18"/>
          <w:szCs w:val="28"/>
        </w:rPr>
        <w:footnoteRef/>
      </w:r>
      <w:r w:rsidRPr="00C13399">
        <w:rPr>
          <w:rFonts w:ascii="Century" w:hAnsi="Century"/>
          <w:sz w:val="18"/>
          <w:szCs w:val="28"/>
        </w:rPr>
        <w:t xml:space="preserve"> </w:t>
      </w:r>
      <w:r w:rsidRPr="00C13399">
        <w:rPr>
          <w:rFonts w:ascii="Century" w:hAnsi="Century"/>
          <w:sz w:val="18"/>
          <w:szCs w:val="28"/>
          <w:lang w:val="es-419"/>
        </w:rPr>
        <w:t xml:space="preserve">En realidad era la segunda irregularidad y no la última, de ahí su aclaración posterior acerca de que se refería al informe de gestión.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6E9A"/>
    <w:multiLevelType w:val="hybridMultilevel"/>
    <w:tmpl w:val="99000AB4"/>
    <w:lvl w:ilvl="0" w:tplc="A13C0FD4">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34CD4F73"/>
    <w:multiLevelType w:val="hybridMultilevel"/>
    <w:tmpl w:val="8AF41A8A"/>
    <w:lvl w:ilvl="0" w:tplc="879E36E0">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3B52010B"/>
    <w:multiLevelType w:val="multilevel"/>
    <w:tmpl w:val="D046BC3E"/>
    <w:lvl w:ilvl="0">
      <w:start w:val="1"/>
      <w:numFmt w:val="decimal"/>
      <w:lvlText w:val="%1."/>
      <w:lvlJc w:val="left"/>
      <w:pPr>
        <w:ind w:left="3195" w:hanging="360"/>
      </w:pPr>
    </w:lvl>
    <w:lvl w:ilvl="1">
      <w:start w:val="1"/>
      <w:numFmt w:val="decimal"/>
      <w:isLgl/>
      <w:lvlText w:val="%1.%2."/>
      <w:lvlJc w:val="left"/>
      <w:pPr>
        <w:ind w:left="4406" w:hanging="720"/>
      </w:pPr>
      <w:rPr>
        <w:rFonts w:ascii="Gadugi" w:hAnsi="Gadugi" w:hint="default"/>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EB"/>
    <w:rsid w:val="00014164"/>
    <w:rsid w:val="00020534"/>
    <w:rsid w:val="00030A33"/>
    <w:rsid w:val="0006303C"/>
    <w:rsid w:val="0007018A"/>
    <w:rsid w:val="00072421"/>
    <w:rsid w:val="000763C9"/>
    <w:rsid w:val="00077588"/>
    <w:rsid w:val="00090E92"/>
    <w:rsid w:val="0009430D"/>
    <w:rsid w:val="000A2671"/>
    <w:rsid w:val="000B0A07"/>
    <w:rsid w:val="000C6577"/>
    <w:rsid w:val="000C72DF"/>
    <w:rsid w:val="000D4D4A"/>
    <w:rsid w:val="000E39DA"/>
    <w:rsid w:val="0010662F"/>
    <w:rsid w:val="001109D2"/>
    <w:rsid w:val="00113D89"/>
    <w:rsid w:val="001208B2"/>
    <w:rsid w:val="0012581F"/>
    <w:rsid w:val="00131E5A"/>
    <w:rsid w:val="00133670"/>
    <w:rsid w:val="001340F6"/>
    <w:rsid w:val="0013625C"/>
    <w:rsid w:val="00156FCD"/>
    <w:rsid w:val="0016013E"/>
    <w:rsid w:val="00161256"/>
    <w:rsid w:val="001624D6"/>
    <w:rsid w:val="00162C83"/>
    <w:rsid w:val="00174DDB"/>
    <w:rsid w:val="00175410"/>
    <w:rsid w:val="00181606"/>
    <w:rsid w:val="001833BC"/>
    <w:rsid w:val="001A006E"/>
    <w:rsid w:val="001C2225"/>
    <w:rsid w:val="001C3D5C"/>
    <w:rsid w:val="001D0BE4"/>
    <w:rsid w:val="001D23B6"/>
    <w:rsid w:val="001D62CA"/>
    <w:rsid w:val="001D7B34"/>
    <w:rsid w:val="001F754A"/>
    <w:rsid w:val="0020119E"/>
    <w:rsid w:val="00206414"/>
    <w:rsid w:val="00222703"/>
    <w:rsid w:val="00227388"/>
    <w:rsid w:val="0024090C"/>
    <w:rsid w:val="0025325F"/>
    <w:rsid w:val="002577EC"/>
    <w:rsid w:val="002677BC"/>
    <w:rsid w:val="0026786F"/>
    <w:rsid w:val="002755E5"/>
    <w:rsid w:val="00281223"/>
    <w:rsid w:val="00281EFF"/>
    <w:rsid w:val="0029421B"/>
    <w:rsid w:val="00294855"/>
    <w:rsid w:val="00296395"/>
    <w:rsid w:val="002A0214"/>
    <w:rsid w:val="002B011A"/>
    <w:rsid w:val="002B1719"/>
    <w:rsid w:val="002B6662"/>
    <w:rsid w:val="002C0780"/>
    <w:rsid w:val="002C40D1"/>
    <w:rsid w:val="002D06CF"/>
    <w:rsid w:val="002D0F39"/>
    <w:rsid w:val="002D2969"/>
    <w:rsid w:val="002E1151"/>
    <w:rsid w:val="002E3A0C"/>
    <w:rsid w:val="002F05E1"/>
    <w:rsid w:val="00302792"/>
    <w:rsid w:val="0030466F"/>
    <w:rsid w:val="00314A71"/>
    <w:rsid w:val="00321E06"/>
    <w:rsid w:val="00331EA2"/>
    <w:rsid w:val="00337870"/>
    <w:rsid w:val="0034041D"/>
    <w:rsid w:val="00350CA9"/>
    <w:rsid w:val="003511E4"/>
    <w:rsid w:val="003521BE"/>
    <w:rsid w:val="00356E95"/>
    <w:rsid w:val="00377693"/>
    <w:rsid w:val="00377F5B"/>
    <w:rsid w:val="00387DF3"/>
    <w:rsid w:val="00393E76"/>
    <w:rsid w:val="003A0F29"/>
    <w:rsid w:val="003A1667"/>
    <w:rsid w:val="003A238E"/>
    <w:rsid w:val="003A4968"/>
    <w:rsid w:val="003A68CF"/>
    <w:rsid w:val="003C276F"/>
    <w:rsid w:val="003D3639"/>
    <w:rsid w:val="003D3CF5"/>
    <w:rsid w:val="003D418A"/>
    <w:rsid w:val="003E1864"/>
    <w:rsid w:val="003E2CBD"/>
    <w:rsid w:val="003F3DF0"/>
    <w:rsid w:val="00411301"/>
    <w:rsid w:val="004128A4"/>
    <w:rsid w:val="004157BF"/>
    <w:rsid w:val="00422517"/>
    <w:rsid w:val="0043032E"/>
    <w:rsid w:val="00443AC7"/>
    <w:rsid w:val="00470AF5"/>
    <w:rsid w:val="00473549"/>
    <w:rsid w:val="0047502D"/>
    <w:rsid w:val="00480F75"/>
    <w:rsid w:val="00483627"/>
    <w:rsid w:val="004876A4"/>
    <w:rsid w:val="00495FAE"/>
    <w:rsid w:val="004A5DC3"/>
    <w:rsid w:val="004B292D"/>
    <w:rsid w:val="004B54C2"/>
    <w:rsid w:val="004B5E0B"/>
    <w:rsid w:val="004C0607"/>
    <w:rsid w:val="004C47A2"/>
    <w:rsid w:val="004C716A"/>
    <w:rsid w:val="004D5ADE"/>
    <w:rsid w:val="004D6E50"/>
    <w:rsid w:val="004F1C72"/>
    <w:rsid w:val="00513186"/>
    <w:rsid w:val="00514DBF"/>
    <w:rsid w:val="00530556"/>
    <w:rsid w:val="00530D34"/>
    <w:rsid w:val="00531B85"/>
    <w:rsid w:val="005368D3"/>
    <w:rsid w:val="00541380"/>
    <w:rsid w:val="005425FE"/>
    <w:rsid w:val="00550B45"/>
    <w:rsid w:val="00555413"/>
    <w:rsid w:val="00555454"/>
    <w:rsid w:val="005611F5"/>
    <w:rsid w:val="005614B7"/>
    <w:rsid w:val="005615C9"/>
    <w:rsid w:val="00575D31"/>
    <w:rsid w:val="00593A53"/>
    <w:rsid w:val="00594C7B"/>
    <w:rsid w:val="005A75C7"/>
    <w:rsid w:val="005B11D1"/>
    <w:rsid w:val="005B2196"/>
    <w:rsid w:val="005C0514"/>
    <w:rsid w:val="005C1519"/>
    <w:rsid w:val="005D327D"/>
    <w:rsid w:val="005E2FF0"/>
    <w:rsid w:val="005F001D"/>
    <w:rsid w:val="005F5664"/>
    <w:rsid w:val="005F6605"/>
    <w:rsid w:val="00605369"/>
    <w:rsid w:val="0060610A"/>
    <w:rsid w:val="00612BB3"/>
    <w:rsid w:val="00625085"/>
    <w:rsid w:val="0063195E"/>
    <w:rsid w:val="006400B9"/>
    <w:rsid w:val="00646307"/>
    <w:rsid w:val="00646E3E"/>
    <w:rsid w:val="006656C9"/>
    <w:rsid w:val="00667CAF"/>
    <w:rsid w:val="00667F25"/>
    <w:rsid w:val="006860E7"/>
    <w:rsid w:val="006A413C"/>
    <w:rsid w:val="006C66F6"/>
    <w:rsid w:val="006D7317"/>
    <w:rsid w:val="006F2BDE"/>
    <w:rsid w:val="006F43B8"/>
    <w:rsid w:val="006F606A"/>
    <w:rsid w:val="007005BD"/>
    <w:rsid w:val="00711A8D"/>
    <w:rsid w:val="00722A46"/>
    <w:rsid w:val="00730BDD"/>
    <w:rsid w:val="00740595"/>
    <w:rsid w:val="007536BC"/>
    <w:rsid w:val="00755E29"/>
    <w:rsid w:val="00760C0A"/>
    <w:rsid w:val="00764680"/>
    <w:rsid w:val="00772C00"/>
    <w:rsid w:val="00772C8B"/>
    <w:rsid w:val="00775D3B"/>
    <w:rsid w:val="00794E7E"/>
    <w:rsid w:val="007A1A8D"/>
    <w:rsid w:val="007A3F76"/>
    <w:rsid w:val="007A46A0"/>
    <w:rsid w:val="007B535A"/>
    <w:rsid w:val="007C133B"/>
    <w:rsid w:val="007C35AE"/>
    <w:rsid w:val="007D1549"/>
    <w:rsid w:val="007D4E18"/>
    <w:rsid w:val="007D519D"/>
    <w:rsid w:val="007F50F6"/>
    <w:rsid w:val="007F7010"/>
    <w:rsid w:val="007F7563"/>
    <w:rsid w:val="00801C56"/>
    <w:rsid w:val="00802638"/>
    <w:rsid w:val="00802CFB"/>
    <w:rsid w:val="00805F64"/>
    <w:rsid w:val="0081603B"/>
    <w:rsid w:val="00830E0B"/>
    <w:rsid w:val="00843D27"/>
    <w:rsid w:val="00843DBB"/>
    <w:rsid w:val="00847C0A"/>
    <w:rsid w:val="008529F4"/>
    <w:rsid w:val="00853E62"/>
    <w:rsid w:val="00862E8F"/>
    <w:rsid w:val="00865210"/>
    <w:rsid w:val="00880BE0"/>
    <w:rsid w:val="0088617D"/>
    <w:rsid w:val="00890725"/>
    <w:rsid w:val="00892C30"/>
    <w:rsid w:val="00892E5C"/>
    <w:rsid w:val="008945F4"/>
    <w:rsid w:val="00897184"/>
    <w:rsid w:val="00897CA5"/>
    <w:rsid w:val="008A6DC5"/>
    <w:rsid w:val="008A7D4B"/>
    <w:rsid w:val="008B0AEF"/>
    <w:rsid w:val="008B4051"/>
    <w:rsid w:val="008B7B43"/>
    <w:rsid w:val="008B7F65"/>
    <w:rsid w:val="008C1E19"/>
    <w:rsid w:val="008D0489"/>
    <w:rsid w:val="008D0965"/>
    <w:rsid w:val="008D640C"/>
    <w:rsid w:val="008D7E37"/>
    <w:rsid w:val="008E0251"/>
    <w:rsid w:val="008E68EF"/>
    <w:rsid w:val="008F110F"/>
    <w:rsid w:val="0090099C"/>
    <w:rsid w:val="00911B96"/>
    <w:rsid w:val="00924FFE"/>
    <w:rsid w:val="0093086D"/>
    <w:rsid w:val="00932151"/>
    <w:rsid w:val="009422D8"/>
    <w:rsid w:val="00945E56"/>
    <w:rsid w:val="0094635A"/>
    <w:rsid w:val="009465EC"/>
    <w:rsid w:val="009557F0"/>
    <w:rsid w:val="00956301"/>
    <w:rsid w:val="00957830"/>
    <w:rsid w:val="00975927"/>
    <w:rsid w:val="009900BB"/>
    <w:rsid w:val="0099342B"/>
    <w:rsid w:val="009A4B96"/>
    <w:rsid w:val="009A68D7"/>
    <w:rsid w:val="009BA22E"/>
    <w:rsid w:val="009C54A7"/>
    <w:rsid w:val="009D068B"/>
    <w:rsid w:val="009D190E"/>
    <w:rsid w:val="009D4007"/>
    <w:rsid w:val="009D6A7F"/>
    <w:rsid w:val="009E290F"/>
    <w:rsid w:val="009F14E8"/>
    <w:rsid w:val="009F298C"/>
    <w:rsid w:val="00A07A33"/>
    <w:rsid w:val="00A07ACB"/>
    <w:rsid w:val="00A10FB7"/>
    <w:rsid w:val="00A22CB3"/>
    <w:rsid w:val="00A23F3E"/>
    <w:rsid w:val="00A30E4C"/>
    <w:rsid w:val="00A41C02"/>
    <w:rsid w:val="00A42651"/>
    <w:rsid w:val="00A5528D"/>
    <w:rsid w:val="00A65B2B"/>
    <w:rsid w:val="00A72304"/>
    <w:rsid w:val="00A72D75"/>
    <w:rsid w:val="00A75546"/>
    <w:rsid w:val="00A76D7A"/>
    <w:rsid w:val="00A7719D"/>
    <w:rsid w:val="00A82904"/>
    <w:rsid w:val="00A85C46"/>
    <w:rsid w:val="00A86373"/>
    <w:rsid w:val="00A92870"/>
    <w:rsid w:val="00AA5F97"/>
    <w:rsid w:val="00AB0E97"/>
    <w:rsid w:val="00AB2DFA"/>
    <w:rsid w:val="00AB3B97"/>
    <w:rsid w:val="00AB5978"/>
    <w:rsid w:val="00AC234A"/>
    <w:rsid w:val="00AC5005"/>
    <w:rsid w:val="00AC6B8A"/>
    <w:rsid w:val="00AC6CF9"/>
    <w:rsid w:val="00AC778E"/>
    <w:rsid w:val="00AD0F0A"/>
    <w:rsid w:val="00AD76B1"/>
    <w:rsid w:val="00AE1D69"/>
    <w:rsid w:val="00AE7021"/>
    <w:rsid w:val="00B04F3E"/>
    <w:rsid w:val="00B07FFE"/>
    <w:rsid w:val="00B14703"/>
    <w:rsid w:val="00B20220"/>
    <w:rsid w:val="00B20C06"/>
    <w:rsid w:val="00B32570"/>
    <w:rsid w:val="00B42F49"/>
    <w:rsid w:val="00B50D47"/>
    <w:rsid w:val="00B50DEF"/>
    <w:rsid w:val="00B540FC"/>
    <w:rsid w:val="00B57BE1"/>
    <w:rsid w:val="00B62262"/>
    <w:rsid w:val="00B665D9"/>
    <w:rsid w:val="00B71EA5"/>
    <w:rsid w:val="00B841E8"/>
    <w:rsid w:val="00B84719"/>
    <w:rsid w:val="00B85075"/>
    <w:rsid w:val="00B940DA"/>
    <w:rsid w:val="00B9587A"/>
    <w:rsid w:val="00B9685D"/>
    <w:rsid w:val="00BA50B6"/>
    <w:rsid w:val="00BA61EE"/>
    <w:rsid w:val="00BB11CE"/>
    <w:rsid w:val="00BC3F12"/>
    <w:rsid w:val="00BD3FF4"/>
    <w:rsid w:val="00BD51AA"/>
    <w:rsid w:val="00BE3B3C"/>
    <w:rsid w:val="00C13399"/>
    <w:rsid w:val="00C23944"/>
    <w:rsid w:val="00C2776B"/>
    <w:rsid w:val="00C323CB"/>
    <w:rsid w:val="00C34C46"/>
    <w:rsid w:val="00C35A54"/>
    <w:rsid w:val="00C42577"/>
    <w:rsid w:val="00C54847"/>
    <w:rsid w:val="00C551E8"/>
    <w:rsid w:val="00C56FEF"/>
    <w:rsid w:val="00C91312"/>
    <w:rsid w:val="00C96C57"/>
    <w:rsid w:val="00CA089C"/>
    <w:rsid w:val="00CC2336"/>
    <w:rsid w:val="00CC3E33"/>
    <w:rsid w:val="00CD5224"/>
    <w:rsid w:val="00CE2094"/>
    <w:rsid w:val="00CE3F78"/>
    <w:rsid w:val="00CF57A5"/>
    <w:rsid w:val="00D024EE"/>
    <w:rsid w:val="00D06967"/>
    <w:rsid w:val="00D102E0"/>
    <w:rsid w:val="00D1281D"/>
    <w:rsid w:val="00D139D3"/>
    <w:rsid w:val="00D213A1"/>
    <w:rsid w:val="00D21F81"/>
    <w:rsid w:val="00D44A42"/>
    <w:rsid w:val="00D50434"/>
    <w:rsid w:val="00D6310D"/>
    <w:rsid w:val="00D664E3"/>
    <w:rsid w:val="00D70E47"/>
    <w:rsid w:val="00D71AC4"/>
    <w:rsid w:val="00D74F28"/>
    <w:rsid w:val="00D76F3F"/>
    <w:rsid w:val="00DA32CE"/>
    <w:rsid w:val="00DB4A1B"/>
    <w:rsid w:val="00DB6320"/>
    <w:rsid w:val="00DC05D9"/>
    <w:rsid w:val="00DF6806"/>
    <w:rsid w:val="00DF6944"/>
    <w:rsid w:val="00E1298A"/>
    <w:rsid w:val="00E12E8C"/>
    <w:rsid w:val="00E165CA"/>
    <w:rsid w:val="00E3438F"/>
    <w:rsid w:val="00E3617A"/>
    <w:rsid w:val="00E409FE"/>
    <w:rsid w:val="00E42626"/>
    <w:rsid w:val="00E445FE"/>
    <w:rsid w:val="00E53143"/>
    <w:rsid w:val="00E545F3"/>
    <w:rsid w:val="00E54934"/>
    <w:rsid w:val="00E55CF0"/>
    <w:rsid w:val="00E637F0"/>
    <w:rsid w:val="00E665B7"/>
    <w:rsid w:val="00E74BF6"/>
    <w:rsid w:val="00E76F66"/>
    <w:rsid w:val="00E85A74"/>
    <w:rsid w:val="00EA4925"/>
    <w:rsid w:val="00EB0967"/>
    <w:rsid w:val="00EB4326"/>
    <w:rsid w:val="00ED3BC4"/>
    <w:rsid w:val="00EE2386"/>
    <w:rsid w:val="00EF0D65"/>
    <w:rsid w:val="00EF3107"/>
    <w:rsid w:val="00F01E35"/>
    <w:rsid w:val="00F10E43"/>
    <w:rsid w:val="00F12A01"/>
    <w:rsid w:val="00F14302"/>
    <w:rsid w:val="00F14D92"/>
    <w:rsid w:val="00F155E1"/>
    <w:rsid w:val="00F17BEB"/>
    <w:rsid w:val="00F275D3"/>
    <w:rsid w:val="00F279D2"/>
    <w:rsid w:val="00F31C3F"/>
    <w:rsid w:val="00F348CF"/>
    <w:rsid w:val="00F36425"/>
    <w:rsid w:val="00F379C2"/>
    <w:rsid w:val="00F41DCD"/>
    <w:rsid w:val="00F420F5"/>
    <w:rsid w:val="00F5266A"/>
    <w:rsid w:val="00F52F8A"/>
    <w:rsid w:val="00F709E2"/>
    <w:rsid w:val="00F713E0"/>
    <w:rsid w:val="00F77B47"/>
    <w:rsid w:val="00F802E3"/>
    <w:rsid w:val="00F85AEB"/>
    <w:rsid w:val="00F86AC7"/>
    <w:rsid w:val="00F935C5"/>
    <w:rsid w:val="00F97BAE"/>
    <w:rsid w:val="00FA28A1"/>
    <w:rsid w:val="00FA4F55"/>
    <w:rsid w:val="00FA62A2"/>
    <w:rsid w:val="00FB1108"/>
    <w:rsid w:val="00FB5ABD"/>
    <w:rsid w:val="00FC7210"/>
    <w:rsid w:val="00FD44E1"/>
    <w:rsid w:val="00FE1E64"/>
    <w:rsid w:val="00FE289B"/>
    <w:rsid w:val="00FF1DA3"/>
    <w:rsid w:val="00FF3CA1"/>
    <w:rsid w:val="00FF4495"/>
    <w:rsid w:val="0916381A"/>
    <w:rsid w:val="23583AEF"/>
    <w:rsid w:val="28F338B3"/>
    <w:rsid w:val="2B40D131"/>
    <w:rsid w:val="38CC2704"/>
    <w:rsid w:val="3A584964"/>
    <w:rsid w:val="3ACC4BD1"/>
    <w:rsid w:val="4A8D4ADD"/>
    <w:rsid w:val="68E94C55"/>
    <w:rsid w:val="7273D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FDC8"/>
  <w15:chartTrackingRefBased/>
  <w15:docId w15:val="{CDDF3CE8-0088-4DBE-86C2-798DAC9D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2262"/>
    <w:rPr>
      <w:color w:val="0563C1" w:themeColor="hyperlink"/>
      <w:u w:val="single"/>
    </w:rPr>
  </w:style>
  <w:style w:type="paragraph" w:styleId="Prrafodelista">
    <w:name w:val="List Paragraph"/>
    <w:basedOn w:val="Normal"/>
    <w:uiPriority w:val="34"/>
    <w:qFormat/>
    <w:rsid w:val="00F155E1"/>
    <w:pPr>
      <w:spacing w:line="256" w:lineRule="auto"/>
      <w:ind w:left="720"/>
      <w:contextualSpacing/>
    </w:pPr>
  </w:style>
  <w:style w:type="character" w:customStyle="1" w:styleId="normaltextrun">
    <w:name w:val="normaltextrun"/>
    <w:basedOn w:val="Fuentedeprrafopredeter"/>
    <w:rsid w:val="00F155E1"/>
  </w:style>
  <w:style w:type="paragraph" w:customStyle="1" w:styleId="paragraph">
    <w:name w:val="paragraph"/>
    <w:basedOn w:val="Normal"/>
    <w:rsid w:val="00A23F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BD51AA"/>
    <w:rPr>
      <w:color w:val="605E5C"/>
      <w:shd w:val="clear" w:color="auto" w:fill="E1DFDD"/>
    </w:rPr>
  </w:style>
  <w:style w:type="paragraph" w:styleId="Textonotapie">
    <w:name w:val="footnote text"/>
    <w:basedOn w:val="Normal"/>
    <w:link w:val="TextonotapieCar"/>
    <w:uiPriority w:val="99"/>
    <w:semiHidden/>
    <w:unhideWhenUsed/>
    <w:rsid w:val="005B11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11D1"/>
    <w:rPr>
      <w:sz w:val="20"/>
      <w:szCs w:val="20"/>
    </w:rPr>
  </w:style>
  <w:style w:type="character" w:styleId="Refdenotaalpie">
    <w:name w:val="footnote reference"/>
    <w:basedOn w:val="Fuentedeprrafopredeter"/>
    <w:uiPriority w:val="99"/>
    <w:semiHidden/>
    <w:unhideWhenUsed/>
    <w:rsid w:val="005B11D1"/>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D6E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255">
      <w:bodyDiv w:val="1"/>
      <w:marLeft w:val="0"/>
      <w:marRight w:val="0"/>
      <w:marTop w:val="0"/>
      <w:marBottom w:val="0"/>
      <w:divBdr>
        <w:top w:val="none" w:sz="0" w:space="0" w:color="auto"/>
        <w:left w:val="none" w:sz="0" w:space="0" w:color="auto"/>
        <w:bottom w:val="none" w:sz="0" w:space="0" w:color="auto"/>
        <w:right w:val="none" w:sz="0" w:space="0" w:color="auto"/>
      </w:divBdr>
    </w:div>
    <w:div w:id="12474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cb685247bcee45b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157BD-479C-4A1D-B914-2CA9F65FEB95}">
  <ds:schemaRefs>
    <ds:schemaRef ds:uri="http://schemas.microsoft.com/sharepoint/v3/contenttype/forms"/>
  </ds:schemaRefs>
</ds:datastoreItem>
</file>

<file path=customXml/itemProps2.xml><?xml version="1.0" encoding="utf-8"?>
<ds:datastoreItem xmlns:ds="http://schemas.openxmlformats.org/officeDocument/2006/customXml" ds:itemID="{95928880-CDEE-4D08-801E-6514239F7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628119-B921-4777-91E3-F060BB960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F921F-5793-48E9-8A7C-A34AD09C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4153</Words>
  <Characters>22846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8</cp:revision>
  <dcterms:created xsi:type="dcterms:W3CDTF">2022-02-10T16:21:00Z</dcterms:created>
  <dcterms:modified xsi:type="dcterms:W3CDTF">2022-04-15T16:12:00Z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1852219866</vt:i4>
  </property>
  <property fmtid="{D5CDD505-2E9C-101B-9397-08002B2CF9AE}" pid="3" name="ContentTypeId">
    <vt:lpwstr>0x010100CCD5AFAD2AB8B04697BA6D3B76A92F30</vt:lpwstr>
  </property>
</Properties>
</file>