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668CA" w14:textId="77777777" w:rsidR="009933BF" w:rsidRPr="008A290B" w:rsidRDefault="009933BF" w:rsidP="009933B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4F00C7" w14:textId="77777777" w:rsidR="009933BF" w:rsidRDefault="009933BF" w:rsidP="009933BF">
      <w:pPr>
        <w:jc w:val="both"/>
        <w:rPr>
          <w:rFonts w:ascii="Arial" w:hAnsi="Arial" w:cs="Arial"/>
          <w:lang w:val="es-419"/>
        </w:rPr>
      </w:pPr>
    </w:p>
    <w:p w14:paraId="6CE6E6AD" w14:textId="77777777" w:rsidR="004356B2" w:rsidRPr="00E32969" w:rsidRDefault="004356B2" w:rsidP="004356B2">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REQUISITOS DE PROCEDIBILIDAD / DEFECTO FÁCTICO / DEFINICIÓN / NO LO HAY EN ESTE CASO.</w:t>
      </w:r>
    </w:p>
    <w:p w14:paraId="712C6146" w14:textId="77777777" w:rsidR="004356B2" w:rsidRPr="00E32969" w:rsidRDefault="004356B2" w:rsidP="004356B2">
      <w:pPr>
        <w:jc w:val="both"/>
        <w:rPr>
          <w:rFonts w:ascii="Arial" w:hAnsi="Arial" w:cs="Arial"/>
          <w:lang w:val="es-419"/>
        </w:rPr>
      </w:pPr>
    </w:p>
    <w:p w14:paraId="69B158A3" w14:textId="7C321D9C" w:rsidR="004356B2" w:rsidRDefault="0031667F" w:rsidP="004356B2">
      <w:pPr>
        <w:jc w:val="both"/>
        <w:rPr>
          <w:rFonts w:ascii="Arial" w:hAnsi="Arial" w:cs="Arial"/>
          <w:lang w:val="es-419"/>
        </w:rPr>
      </w:pPr>
      <w:r w:rsidRPr="0031667F">
        <w:rPr>
          <w:rFonts w:ascii="Arial" w:hAnsi="Arial" w:cs="Arial"/>
          <w:lang w:val="es-419"/>
        </w:rPr>
        <w:t>Acude el señor Villafañe Castaño en procura de la protección de su derecho al debido proceso, por la inconformidad que le causa, por una parte, el trámite que se le dio al proceso monitorio de marras, el cual considera ajeno al dispuesto en los artículos 419, 420 y 421 del CGP; y por otra, que en la decisión de ese caso se hubiera “dejando por fuera la valoración de las pruebas aportadas”.</w:t>
      </w:r>
    </w:p>
    <w:p w14:paraId="29A6E83A" w14:textId="77777777" w:rsidR="0031667F" w:rsidRPr="00E32969" w:rsidRDefault="0031667F" w:rsidP="004356B2">
      <w:pPr>
        <w:jc w:val="both"/>
        <w:rPr>
          <w:rFonts w:ascii="Arial" w:hAnsi="Arial" w:cs="Arial"/>
          <w:lang w:val="es-419"/>
        </w:rPr>
      </w:pPr>
    </w:p>
    <w:p w14:paraId="53A24EDD" w14:textId="77777777" w:rsidR="004356B2" w:rsidRDefault="004356B2" w:rsidP="004356B2">
      <w:pPr>
        <w:jc w:val="both"/>
        <w:rPr>
          <w:rFonts w:ascii="Arial" w:hAnsi="Arial" w:cs="Arial"/>
          <w:lang w:val="es-419"/>
        </w:rPr>
      </w:pPr>
      <w:r w:rsidRPr="009F45E0">
        <w:rPr>
          <w:rFonts w:ascii="Arial" w:hAnsi="Arial" w:cs="Arial"/>
          <w:lang w:val="es-419"/>
        </w:rPr>
        <w:t>Reiteradamente se ha expuesto que a pesar de la inexequibilidad de las normas que en el Decreto 2591 de 1991 preveían la acción de tutela contra providencias judiciales ,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 xml:space="preserve">… </w:t>
      </w:r>
      <w:r w:rsidRPr="009F45E0">
        <w:rPr>
          <w:rFonts w:ascii="Arial" w:hAnsi="Arial" w:cs="Arial"/>
          <w:lang w:val="es-419"/>
        </w:rPr>
        <w:t>las causales específicas, se compendian en los defectos (i) orgánico, (ii) sustantivo, (iii) procedimental o fáctico; (iv) error inducido; (v) decisión sin motivación</w:t>
      </w:r>
      <w:r>
        <w:rPr>
          <w:rFonts w:ascii="Arial" w:hAnsi="Arial" w:cs="Arial"/>
          <w:lang w:val="es-419"/>
        </w:rPr>
        <w:t>…</w:t>
      </w:r>
    </w:p>
    <w:p w14:paraId="14B85279" w14:textId="77777777" w:rsidR="004356B2" w:rsidRDefault="004356B2" w:rsidP="004356B2">
      <w:pPr>
        <w:jc w:val="both"/>
        <w:rPr>
          <w:rFonts w:ascii="Arial" w:hAnsi="Arial" w:cs="Arial"/>
          <w:lang w:val="es-419"/>
        </w:rPr>
      </w:pPr>
    </w:p>
    <w:p w14:paraId="7E40ABCB" w14:textId="03DB786A" w:rsidR="004356B2" w:rsidRPr="00C2501C" w:rsidRDefault="0031667F" w:rsidP="004356B2">
      <w:pPr>
        <w:jc w:val="both"/>
        <w:rPr>
          <w:rFonts w:ascii="Arial" w:hAnsi="Arial" w:cs="Arial"/>
          <w:lang w:val="es-419"/>
        </w:rPr>
      </w:pPr>
      <w:r w:rsidRPr="0031667F">
        <w:rPr>
          <w:rFonts w:ascii="Arial" w:hAnsi="Arial" w:cs="Arial"/>
          <w:lang w:val="es-419"/>
        </w:rPr>
        <w:t>Sobre ese yerro la Corte Constitucional enseña que</w:t>
      </w:r>
      <w:r w:rsidR="004356B2" w:rsidRPr="00C2501C">
        <w:rPr>
          <w:rFonts w:ascii="Arial" w:hAnsi="Arial" w:cs="Arial"/>
          <w:lang w:val="es-419"/>
        </w:rPr>
        <w:t>:</w:t>
      </w:r>
    </w:p>
    <w:p w14:paraId="120B81A9" w14:textId="77777777" w:rsidR="004356B2" w:rsidRPr="00C2501C" w:rsidRDefault="004356B2" w:rsidP="004356B2">
      <w:pPr>
        <w:jc w:val="both"/>
        <w:rPr>
          <w:rFonts w:ascii="Arial" w:hAnsi="Arial" w:cs="Arial"/>
          <w:lang w:val="es-419"/>
        </w:rPr>
      </w:pPr>
    </w:p>
    <w:p w14:paraId="5E79EE0F" w14:textId="77777777" w:rsidR="004356B2" w:rsidRPr="00E32969" w:rsidRDefault="004356B2" w:rsidP="004356B2">
      <w:pPr>
        <w:jc w:val="both"/>
        <w:rPr>
          <w:rFonts w:ascii="Arial" w:hAnsi="Arial" w:cs="Arial"/>
          <w:lang w:val="es-419"/>
        </w:rPr>
      </w:pPr>
      <w:r>
        <w:rPr>
          <w:rFonts w:ascii="Arial" w:hAnsi="Arial" w:cs="Arial"/>
          <w:lang w:val="es-419"/>
        </w:rPr>
        <w:t>“Se</w:t>
      </w:r>
      <w:r w:rsidRPr="00C2501C">
        <w:rPr>
          <w:rFonts w:ascii="Arial" w:hAnsi="Arial" w:cs="Arial"/>
          <w:lang w:val="es-419"/>
        </w:rPr>
        <w:t xml:space="preserve"> erige sobre la malinterpretación de los hechos expuestos en un proceso, la cual deviene de una inapropiada valoración probatoria, bien porque el juez no contaba con pruebas para sustentar sus afirmaciones, ora porque al estimar su valor demostrativo fue arbitrario. La Corte ha dicho que tal arbitrariedad debe ser “de tal magnitud que pueda advertirse de manera evidente y flagrante</w:t>
      </w:r>
      <w:r>
        <w:rPr>
          <w:rFonts w:ascii="Arial" w:hAnsi="Arial" w:cs="Arial"/>
          <w:lang w:val="es-419"/>
        </w:rPr>
        <w:t>…”</w:t>
      </w:r>
    </w:p>
    <w:p w14:paraId="06AEA219" w14:textId="77777777" w:rsidR="004356B2" w:rsidRDefault="004356B2" w:rsidP="004356B2">
      <w:pPr>
        <w:jc w:val="both"/>
        <w:rPr>
          <w:rFonts w:ascii="Arial" w:hAnsi="Arial" w:cs="Arial"/>
        </w:rPr>
      </w:pPr>
    </w:p>
    <w:p w14:paraId="6C4175BB" w14:textId="77777777" w:rsidR="00170D9A" w:rsidRPr="00170D9A" w:rsidRDefault="00170D9A" w:rsidP="00170D9A">
      <w:pPr>
        <w:jc w:val="both"/>
        <w:rPr>
          <w:rFonts w:ascii="Arial" w:hAnsi="Arial" w:cs="Arial"/>
        </w:rPr>
      </w:pPr>
      <w:r w:rsidRPr="00170D9A">
        <w:rPr>
          <w:rFonts w:ascii="Arial" w:hAnsi="Arial" w:cs="Arial"/>
        </w:rPr>
        <w:t xml:space="preserve">En el caso concreto, no se advierte alguna omisión en el decreto de pruebas, en su práctica, ni tampoco una infundada valoración de las mismas. </w:t>
      </w:r>
    </w:p>
    <w:p w14:paraId="264E686B" w14:textId="77777777" w:rsidR="00170D9A" w:rsidRPr="00170D9A" w:rsidRDefault="00170D9A" w:rsidP="00170D9A">
      <w:pPr>
        <w:jc w:val="both"/>
        <w:rPr>
          <w:rFonts w:ascii="Arial" w:hAnsi="Arial" w:cs="Arial"/>
        </w:rPr>
      </w:pPr>
    </w:p>
    <w:p w14:paraId="5F516054" w14:textId="4FCD35A6" w:rsidR="009933BF" w:rsidRDefault="00170D9A" w:rsidP="00170D9A">
      <w:pPr>
        <w:jc w:val="both"/>
        <w:rPr>
          <w:rFonts w:ascii="Arial" w:hAnsi="Arial" w:cs="Arial"/>
        </w:rPr>
      </w:pPr>
      <w:r w:rsidRPr="00170D9A">
        <w:rPr>
          <w:rFonts w:ascii="Arial" w:hAnsi="Arial" w:cs="Arial"/>
        </w:rPr>
        <w:t>Baste recordar que fueron decretadas todas las pruebas documentales y testimoniales de la parte demandante, además se practicó con exhaustividad el interrogatorio a las partes</w:t>
      </w:r>
      <w:r>
        <w:rPr>
          <w:rFonts w:ascii="Arial" w:hAnsi="Arial" w:cs="Arial"/>
        </w:rPr>
        <w:t>…</w:t>
      </w:r>
    </w:p>
    <w:p w14:paraId="4FE9719F" w14:textId="4C64B18A" w:rsidR="009933BF" w:rsidRDefault="009933BF" w:rsidP="009933BF">
      <w:pPr>
        <w:jc w:val="both"/>
        <w:rPr>
          <w:rFonts w:ascii="Arial" w:hAnsi="Arial" w:cs="Arial"/>
        </w:rPr>
      </w:pPr>
    </w:p>
    <w:p w14:paraId="4DFBCBFB" w14:textId="77777777" w:rsidR="00170D9A" w:rsidRDefault="00170D9A" w:rsidP="009933BF">
      <w:pPr>
        <w:jc w:val="both"/>
        <w:rPr>
          <w:rFonts w:ascii="Arial" w:hAnsi="Arial" w:cs="Arial"/>
        </w:rPr>
      </w:pPr>
    </w:p>
    <w:p w14:paraId="49B8CB4F" w14:textId="77777777" w:rsidR="009933BF" w:rsidRDefault="009933BF" w:rsidP="009933BF">
      <w:pPr>
        <w:jc w:val="both"/>
        <w:rPr>
          <w:rFonts w:ascii="Arial" w:hAnsi="Arial" w:cs="Arial"/>
        </w:rPr>
      </w:pPr>
    </w:p>
    <w:bookmarkEnd w:id="0"/>
    <w:p w14:paraId="51C7EC5E" w14:textId="4C17F675" w:rsidR="00CD73E5" w:rsidRPr="009933BF" w:rsidRDefault="00CD73E5" w:rsidP="009933BF">
      <w:pPr>
        <w:tabs>
          <w:tab w:val="left" w:pos="3108"/>
        </w:tabs>
        <w:spacing w:line="276" w:lineRule="auto"/>
        <w:ind w:firstLine="2835"/>
        <w:jc w:val="both"/>
        <w:rPr>
          <w:rFonts w:ascii="Gadugi" w:hAnsi="Gadugi"/>
          <w:b/>
          <w:sz w:val="24"/>
          <w:szCs w:val="24"/>
        </w:rPr>
      </w:pPr>
      <w:r w:rsidRPr="009933BF">
        <w:rPr>
          <w:rFonts w:ascii="Gadugi" w:hAnsi="Gadugi"/>
          <w:b/>
          <w:sz w:val="24"/>
          <w:szCs w:val="24"/>
        </w:rPr>
        <w:t xml:space="preserve">TRIBUNAL SUPERIOR DEL DISTRITO JUDICIAL </w:t>
      </w:r>
    </w:p>
    <w:p w14:paraId="7DC3B892" w14:textId="77777777" w:rsidR="00CD73E5" w:rsidRPr="009933BF" w:rsidRDefault="00CD73E5" w:rsidP="009933BF">
      <w:pPr>
        <w:tabs>
          <w:tab w:val="left" w:pos="3108"/>
        </w:tabs>
        <w:spacing w:line="276" w:lineRule="auto"/>
        <w:ind w:firstLine="2835"/>
        <w:jc w:val="both"/>
        <w:rPr>
          <w:rFonts w:ascii="Gadugi" w:hAnsi="Gadugi"/>
          <w:b/>
          <w:sz w:val="24"/>
          <w:szCs w:val="24"/>
        </w:rPr>
      </w:pPr>
      <w:r w:rsidRPr="009933BF">
        <w:rPr>
          <w:rFonts w:ascii="Gadugi" w:hAnsi="Gadugi"/>
          <w:b/>
          <w:sz w:val="24"/>
          <w:szCs w:val="24"/>
        </w:rPr>
        <w:t xml:space="preserve">          SALA DE DECISIÓN CIVIL FAMILIA </w:t>
      </w:r>
    </w:p>
    <w:p w14:paraId="588CC4DB" w14:textId="77777777" w:rsidR="00CD73E5" w:rsidRPr="009933BF" w:rsidRDefault="00CD73E5" w:rsidP="009933BF">
      <w:pPr>
        <w:tabs>
          <w:tab w:val="left" w:pos="3108"/>
        </w:tabs>
        <w:spacing w:line="276" w:lineRule="auto"/>
        <w:ind w:firstLine="2835"/>
        <w:jc w:val="both"/>
        <w:rPr>
          <w:rFonts w:ascii="Gadugi" w:hAnsi="Gadugi"/>
          <w:sz w:val="24"/>
          <w:szCs w:val="24"/>
        </w:rPr>
      </w:pPr>
    </w:p>
    <w:p w14:paraId="2B68DD4D" w14:textId="77777777" w:rsidR="00496CF1" w:rsidRPr="009933BF" w:rsidRDefault="00496CF1" w:rsidP="009933BF">
      <w:pPr>
        <w:tabs>
          <w:tab w:val="left" w:pos="3108"/>
        </w:tabs>
        <w:spacing w:line="276" w:lineRule="auto"/>
        <w:ind w:firstLine="2835"/>
        <w:jc w:val="both"/>
        <w:rPr>
          <w:rFonts w:ascii="Gadugi" w:hAnsi="Gadugi"/>
          <w:sz w:val="24"/>
          <w:szCs w:val="24"/>
        </w:rPr>
      </w:pPr>
    </w:p>
    <w:p w14:paraId="70FEA158" w14:textId="77777777" w:rsidR="00CD73E5" w:rsidRPr="009933BF" w:rsidRDefault="00CD73E5" w:rsidP="009933BF">
      <w:pPr>
        <w:tabs>
          <w:tab w:val="left" w:pos="3108"/>
        </w:tabs>
        <w:spacing w:line="276" w:lineRule="auto"/>
        <w:ind w:firstLine="2835"/>
        <w:jc w:val="both"/>
        <w:rPr>
          <w:rFonts w:ascii="Gadugi" w:hAnsi="Gadugi"/>
          <w:sz w:val="24"/>
          <w:szCs w:val="24"/>
        </w:rPr>
      </w:pPr>
      <w:r w:rsidRPr="009933BF">
        <w:rPr>
          <w:rFonts w:ascii="Gadugi" w:hAnsi="Gadugi"/>
          <w:sz w:val="24"/>
          <w:szCs w:val="24"/>
        </w:rPr>
        <w:t>Magistrado: Jaime Alberto Saraza Naranjo</w:t>
      </w:r>
    </w:p>
    <w:p w14:paraId="7380AD05" w14:textId="2DE6815D" w:rsidR="00CD73E5" w:rsidRPr="009933BF" w:rsidRDefault="00CD73E5" w:rsidP="009933BF">
      <w:pPr>
        <w:tabs>
          <w:tab w:val="left" w:pos="3108"/>
        </w:tabs>
        <w:spacing w:line="276" w:lineRule="auto"/>
        <w:ind w:firstLine="2835"/>
        <w:jc w:val="both"/>
        <w:rPr>
          <w:rFonts w:ascii="Gadugi" w:hAnsi="Gadugi"/>
          <w:sz w:val="24"/>
          <w:szCs w:val="24"/>
          <w:lang w:val="es-419"/>
        </w:rPr>
      </w:pPr>
      <w:r w:rsidRPr="009933BF">
        <w:rPr>
          <w:rFonts w:ascii="Gadugi" w:hAnsi="Gadugi"/>
          <w:sz w:val="24"/>
          <w:szCs w:val="24"/>
        </w:rPr>
        <w:t>Pereira,</w:t>
      </w:r>
      <w:r w:rsidR="00DA2460" w:rsidRPr="009933BF">
        <w:rPr>
          <w:rFonts w:ascii="Gadugi" w:hAnsi="Gadugi"/>
          <w:sz w:val="24"/>
          <w:szCs w:val="24"/>
        </w:rPr>
        <w:t xml:space="preserve"> febrero tres de dos mil veintidós </w:t>
      </w:r>
      <w:r w:rsidR="00CA67BA" w:rsidRPr="009933BF">
        <w:rPr>
          <w:rFonts w:ascii="Gadugi" w:hAnsi="Gadugi"/>
          <w:sz w:val="24"/>
          <w:szCs w:val="24"/>
        </w:rPr>
        <w:t xml:space="preserve"> </w:t>
      </w:r>
      <w:r w:rsidR="002A3FE9" w:rsidRPr="009933BF">
        <w:rPr>
          <w:rFonts w:ascii="Gadugi" w:hAnsi="Gadugi"/>
          <w:sz w:val="24"/>
          <w:szCs w:val="24"/>
        </w:rPr>
        <w:t xml:space="preserve"> </w:t>
      </w:r>
      <w:r w:rsidR="00CA67BA" w:rsidRPr="009933BF">
        <w:rPr>
          <w:rFonts w:ascii="Gadugi" w:hAnsi="Gadugi"/>
          <w:sz w:val="24"/>
          <w:szCs w:val="24"/>
        </w:rPr>
        <w:t xml:space="preserve"> </w:t>
      </w:r>
      <w:r w:rsidR="003F059A" w:rsidRPr="009933BF">
        <w:rPr>
          <w:rFonts w:ascii="Gadugi" w:hAnsi="Gadugi"/>
          <w:sz w:val="24"/>
          <w:szCs w:val="24"/>
        </w:rPr>
        <w:t xml:space="preserve"> </w:t>
      </w:r>
      <w:r w:rsidR="000649B3" w:rsidRPr="009933BF">
        <w:rPr>
          <w:rFonts w:ascii="Gadugi" w:hAnsi="Gadugi"/>
          <w:sz w:val="24"/>
          <w:szCs w:val="24"/>
        </w:rPr>
        <w:t xml:space="preserve"> </w:t>
      </w:r>
      <w:r w:rsidR="003F059A" w:rsidRPr="009933BF">
        <w:rPr>
          <w:rFonts w:ascii="Gadugi" w:hAnsi="Gadugi"/>
          <w:sz w:val="24"/>
          <w:szCs w:val="24"/>
        </w:rPr>
        <w:t xml:space="preserve"> </w:t>
      </w:r>
      <w:r w:rsidR="00E750C2" w:rsidRPr="009933BF">
        <w:rPr>
          <w:rFonts w:ascii="Gadugi" w:hAnsi="Gadugi"/>
          <w:sz w:val="24"/>
          <w:szCs w:val="24"/>
        </w:rPr>
        <w:t xml:space="preserve"> </w:t>
      </w:r>
      <w:r w:rsidR="008F3B81" w:rsidRPr="009933BF">
        <w:rPr>
          <w:rFonts w:ascii="Gadugi" w:hAnsi="Gadugi"/>
          <w:sz w:val="24"/>
          <w:szCs w:val="24"/>
        </w:rPr>
        <w:t xml:space="preserve"> </w:t>
      </w:r>
      <w:r w:rsidR="00200310" w:rsidRPr="009933BF">
        <w:rPr>
          <w:rFonts w:ascii="Gadugi" w:hAnsi="Gadugi"/>
          <w:sz w:val="24"/>
          <w:szCs w:val="24"/>
        </w:rPr>
        <w:t xml:space="preserve"> </w:t>
      </w:r>
      <w:r w:rsidR="00D25BC0" w:rsidRPr="009933BF">
        <w:rPr>
          <w:rFonts w:ascii="Gadugi" w:hAnsi="Gadugi"/>
          <w:sz w:val="24"/>
          <w:szCs w:val="24"/>
        </w:rPr>
        <w:t xml:space="preserve"> </w:t>
      </w:r>
      <w:r w:rsidR="00E7303F" w:rsidRPr="009933BF">
        <w:rPr>
          <w:rFonts w:ascii="Gadugi" w:hAnsi="Gadugi"/>
          <w:sz w:val="24"/>
          <w:szCs w:val="24"/>
        </w:rPr>
        <w:t xml:space="preserve"> </w:t>
      </w:r>
      <w:r w:rsidR="00467ED1" w:rsidRPr="009933BF">
        <w:rPr>
          <w:rFonts w:ascii="Gadugi" w:hAnsi="Gadugi"/>
          <w:sz w:val="24"/>
          <w:szCs w:val="24"/>
        </w:rPr>
        <w:t xml:space="preserve"> </w:t>
      </w:r>
      <w:r w:rsidR="00F93C69" w:rsidRPr="009933BF">
        <w:rPr>
          <w:rFonts w:ascii="Gadugi" w:hAnsi="Gadugi"/>
          <w:sz w:val="24"/>
          <w:szCs w:val="24"/>
        </w:rPr>
        <w:t xml:space="preserve"> </w:t>
      </w:r>
      <w:r w:rsidR="00D8626E" w:rsidRPr="009933BF">
        <w:rPr>
          <w:rFonts w:ascii="Gadugi" w:hAnsi="Gadugi"/>
          <w:sz w:val="24"/>
          <w:szCs w:val="24"/>
        </w:rPr>
        <w:t xml:space="preserve"> </w:t>
      </w:r>
      <w:r w:rsidR="002327F3" w:rsidRPr="009933BF">
        <w:rPr>
          <w:rFonts w:ascii="Gadugi" w:hAnsi="Gadugi"/>
          <w:sz w:val="24"/>
          <w:szCs w:val="24"/>
        </w:rPr>
        <w:t xml:space="preserve"> </w:t>
      </w:r>
      <w:r w:rsidR="00340743" w:rsidRPr="009933BF">
        <w:rPr>
          <w:rFonts w:ascii="Gadugi" w:hAnsi="Gadugi"/>
          <w:sz w:val="24"/>
          <w:szCs w:val="24"/>
        </w:rPr>
        <w:t xml:space="preserve"> </w:t>
      </w:r>
      <w:r w:rsidRPr="009933BF">
        <w:rPr>
          <w:rFonts w:ascii="Gadugi" w:hAnsi="Gadugi"/>
          <w:sz w:val="24"/>
          <w:szCs w:val="24"/>
        </w:rPr>
        <w:t xml:space="preserve"> </w:t>
      </w:r>
      <w:r w:rsidR="00C562AD" w:rsidRPr="009933BF">
        <w:rPr>
          <w:rFonts w:ascii="Gadugi" w:hAnsi="Gadugi"/>
          <w:sz w:val="24"/>
          <w:szCs w:val="24"/>
        </w:rPr>
        <w:t xml:space="preserve"> </w:t>
      </w:r>
      <w:r w:rsidR="005D5FC7" w:rsidRPr="009933BF">
        <w:rPr>
          <w:rFonts w:ascii="Gadugi" w:hAnsi="Gadugi"/>
          <w:sz w:val="24"/>
          <w:szCs w:val="24"/>
        </w:rPr>
        <w:t xml:space="preserve"> </w:t>
      </w:r>
      <w:r w:rsidR="00DD7802" w:rsidRPr="009933BF">
        <w:rPr>
          <w:rFonts w:ascii="Gadugi" w:hAnsi="Gadugi"/>
          <w:sz w:val="24"/>
          <w:szCs w:val="24"/>
          <w:lang w:val="es-419"/>
        </w:rPr>
        <w:t xml:space="preserve"> </w:t>
      </w:r>
    </w:p>
    <w:p w14:paraId="2A7A82FE" w14:textId="281E673E" w:rsidR="00D8626E" w:rsidRPr="009933BF" w:rsidRDefault="00CD73E5" w:rsidP="009933BF">
      <w:pPr>
        <w:tabs>
          <w:tab w:val="left" w:pos="3108"/>
        </w:tabs>
        <w:spacing w:line="276" w:lineRule="auto"/>
        <w:ind w:left="2832" w:firstLine="3"/>
        <w:jc w:val="both"/>
        <w:rPr>
          <w:rFonts w:ascii="Gadugi" w:hAnsi="Gadugi"/>
          <w:sz w:val="24"/>
          <w:szCs w:val="24"/>
        </w:rPr>
      </w:pPr>
      <w:bookmarkStart w:id="1" w:name="_GoBack"/>
      <w:bookmarkEnd w:id="1"/>
      <w:r w:rsidRPr="009933BF">
        <w:rPr>
          <w:rFonts w:ascii="Gadugi" w:hAnsi="Gadugi"/>
          <w:sz w:val="24"/>
          <w:szCs w:val="24"/>
        </w:rPr>
        <w:t>Expediente</w:t>
      </w:r>
      <w:r w:rsidR="00E7303F" w:rsidRPr="009933BF">
        <w:rPr>
          <w:rFonts w:ascii="Gadugi" w:hAnsi="Gadugi"/>
          <w:sz w:val="24"/>
          <w:szCs w:val="24"/>
        </w:rPr>
        <w:t>:</w:t>
      </w:r>
      <w:r w:rsidR="008F3B81" w:rsidRPr="009933BF">
        <w:rPr>
          <w:rFonts w:ascii="Gadugi" w:hAnsi="Gadugi"/>
          <w:sz w:val="24"/>
          <w:szCs w:val="24"/>
        </w:rPr>
        <w:t xml:space="preserve"> </w:t>
      </w:r>
      <w:r w:rsidR="002A3FE9" w:rsidRPr="009933BF">
        <w:rPr>
          <w:rFonts w:ascii="Gadugi" w:hAnsi="Gadugi"/>
          <w:sz w:val="24"/>
          <w:szCs w:val="24"/>
        </w:rPr>
        <w:t>66001310300220210027101</w:t>
      </w:r>
    </w:p>
    <w:p w14:paraId="39000C96" w14:textId="529BEA2F" w:rsidR="00CD73E5" w:rsidRPr="009933BF" w:rsidRDefault="00CD73E5" w:rsidP="009933BF">
      <w:pPr>
        <w:tabs>
          <w:tab w:val="left" w:pos="3108"/>
        </w:tabs>
        <w:spacing w:line="276" w:lineRule="auto"/>
        <w:ind w:left="2832" w:firstLine="3"/>
        <w:jc w:val="both"/>
        <w:rPr>
          <w:rFonts w:ascii="Gadugi" w:hAnsi="Gadugi"/>
          <w:sz w:val="24"/>
          <w:szCs w:val="24"/>
          <w:lang w:val="es-419"/>
        </w:rPr>
      </w:pPr>
      <w:r w:rsidRPr="009933BF">
        <w:rPr>
          <w:rFonts w:ascii="Gadugi" w:hAnsi="Gadugi"/>
          <w:sz w:val="24"/>
          <w:szCs w:val="24"/>
        </w:rPr>
        <w:t>Acta</w:t>
      </w:r>
      <w:r w:rsidR="00E7303F" w:rsidRPr="009933BF">
        <w:rPr>
          <w:rFonts w:ascii="Gadugi" w:hAnsi="Gadugi"/>
          <w:sz w:val="24"/>
          <w:szCs w:val="24"/>
        </w:rPr>
        <w:t>:</w:t>
      </w:r>
      <w:r w:rsidR="00CA67BA" w:rsidRPr="009933BF">
        <w:rPr>
          <w:rFonts w:ascii="Gadugi" w:hAnsi="Gadugi"/>
          <w:sz w:val="24"/>
          <w:szCs w:val="24"/>
        </w:rPr>
        <w:t xml:space="preserve"> </w:t>
      </w:r>
      <w:r w:rsidR="00DA2460" w:rsidRPr="009933BF">
        <w:rPr>
          <w:rFonts w:ascii="Gadugi" w:hAnsi="Gadugi"/>
          <w:sz w:val="24"/>
          <w:szCs w:val="24"/>
        </w:rPr>
        <w:t>41 del 3 de febrero de 2022</w:t>
      </w:r>
      <w:r w:rsidR="002A3FE9" w:rsidRPr="009933BF">
        <w:rPr>
          <w:rFonts w:ascii="Gadugi" w:hAnsi="Gadugi"/>
          <w:sz w:val="24"/>
          <w:szCs w:val="24"/>
        </w:rPr>
        <w:t xml:space="preserve"> </w:t>
      </w:r>
      <w:r w:rsidR="003F059A" w:rsidRPr="009933BF">
        <w:rPr>
          <w:rFonts w:ascii="Gadugi" w:hAnsi="Gadugi"/>
          <w:sz w:val="24"/>
          <w:szCs w:val="24"/>
        </w:rPr>
        <w:t xml:space="preserve"> </w:t>
      </w:r>
      <w:r w:rsidR="000649B3" w:rsidRPr="009933BF">
        <w:rPr>
          <w:rFonts w:ascii="Gadugi" w:hAnsi="Gadugi"/>
          <w:sz w:val="24"/>
          <w:szCs w:val="24"/>
        </w:rPr>
        <w:t xml:space="preserve"> </w:t>
      </w:r>
      <w:r w:rsidRPr="009933BF">
        <w:rPr>
          <w:rFonts w:ascii="Gadugi" w:hAnsi="Gadugi"/>
          <w:sz w:val="24"/>
          <w:szCs w:val="24"/>
        </w:rPr>
        <w:t xml:space="preserve"> </w:t>
      </w:r>
      <w:r w:rsidR="008F3B81" w:rsidRPr="009933BF">
        <w:rPr>
          <w:rFonts w:ascii="Gadugi" w:hAnsi="Gadugi"/>
          <w:sz w:val="24"/>
          <w:szCs w:val="24"/>
        </w:rPr>
        <w:t xml:space="preserve"> </w:t>
      </w:r>
      <w:r w:rsidR="00200310" w:rsidRPr="009933BF">
        <w:rPr>
          <w:rFonts w:ascii="Gadugi" w:hAnsi="Gadugi"/>
          <w:sz w:val="24"/>
          <w:szCs w:val="24"/>
        </w:rPr>
        <w:t xml:space="preserve"> </w:t>
      </w:r>
    </w:p>
    <w:p w14:paraId="51EFA6D1" w14:textId="27A35D48" w:rsidR="00CD73E5" w:rsidRPr="009933BF" w:rsidRDefault="00467ED1" w:rsidP="009933BF">
      <w:pPr>
        <w:tabs>
          <w:tab w:val="left" w:pos="3108"/>
        </w:tabs>
        <w:spacing w:line="276" w:lineRule="auto"/>
        <w:ind w:firstLine="2835"/>
        <w:jc w:val="both"/>
        <w:rPr>
          <w:rFonts w:ascii="Gadugi" w:hAnsi="Gadugi"/>
          <w:sz w:val="24"/>
          <w:szCs w:val="24"/>
        </w:rPr>
      </w:pPr>
      <w:r w:rsidRPr="009933BF">
        <w:rPr>
          <w:rFonts w:ascii="Gadugi" w:hAnsi="Gadugi"/>
          <w:sz w:val="24"/>
          <w:szCs w:val="24"/>
        </w:rPr>
        <w:t>Sentencia</w:t>
      </w:r>
      <w:r w:rsidR="00E7303F" w:rsidRPr="009933BF">
        <w:rPr>
          <w:rFonts w:ascii="Gadugi" w:hAnsi="Gadugi"/>
          <w:sz w:val="24"/>
          <w:szCs w:val="24"/>
        </w:rPr>
        <w:t>:</w:t>
      </w:r>
      <w:r w:rsidR="00EF64A2">
        <w:rPr>
          <w:rFonts w:ascii="Gadugi" w:hAnsi="Gadugi"/>
          <w:sz w:val="24"/>
          <w:szCs w:val="24"/>
        </w:rPr>
        <w:t xml:space="preserve"> </w:t>
      </w:r>
      <w:r w:rsidR="00DA2460" w:rsidRPr="009933BF">
        <w:rPr>
          <w:rFonts w:ascii="Gadugi" w:hAnsi="Gadugi"/>
          <w:sz w:val="24"/>
          <w:szCs w:val="24"/>
        </w:rPr>
        <w:t>ST2-0031-2022</w:t>
      </w:r>
      <w:r w:rsidR="002A3FE9" w:rsidRPr="009933BF">
        <w:rPr>
          <w:rFonts w:ascii="Gadugi" w:hAnsi="Gadugi"/>
          <w:sz w:val="24"/>
          <w:szCs w:val="24"/>
        </w:rPr>
        <w:t xml:space="preserve"> </w:t>
      </w:r>
      <w:r w:rsidR="001C2703" w:rsidRPr="009933BF">
        <w:rPr>
          <w:rFonts w:ascii="Gadugi" w:hAnsi="Gadugi"/>
          <w:sz w:val="24"/>
          <w:szCs w:val="24"/>
        </w:rPr>
        <w:t xml:space="preserve"> </w:t>
      </w:r>
      <w:r w:rsidR="000649B3" w:rsidRPr="009933BF">
        <w:rPr>
          <w:rFonts w:ascii="Gadugi" w:hAnsi="Gadugi"/>
          <w:sz w:val="24"/>
          <w:szCs w:val="24"/>
        </w:rPr>
        <w:t xml:space="preserve"> </w:t>
      </w:r>
    </w:p>
    <w:p w14:paraId="71D65F08" w14:textId="77777777" w:rsidR="00467ED1" w:rsidRPr="009933BF" w:rsidRDefault="00467ED1" w:rsidP="009933BF">
      <w:pPr>
        <w:tabs>
          <w:tab w:val="left" w:pos="3108"/>
        </w:tabs>
        <w:spacing w:line="276" w:lineRule="auto"/>
        <w:ind w:firstLine="2835"/>
        <w:jc w:val="both"/>
        <w:rPr>
          <w:rFonts w:ascii="Gadugi" w:hAnsi="Gadugi"/>
          <w:sz w:val="24"/>
          <w:szCs w:val="24"/>
        </w:rPr>
      </w:pPr>
    </w:p>
    <w:p w14:paraId="71DF6EF9" w14:textId="77777777" w:rsidR="00C562AD" w:rsidRPr="009933BF" w:rsidRDefault="00C562AD" w:rsidP="009933BF">
      <w:pPr>
        <w:tabs>
          <w:tab w:val="left" w:pos="3108"/>
        </w:tabs>
        <w:spacing w:line="276" w:lineRule="auto"/>
        <w:ind w:firstLine="2835"/>
        <w:jc w:val="both"/>
        <w:rPr>
          <w:rFonts w:ascii="Gadugi" w:hAnsi="Gadugi"/>
          <w:sz w:val="24"/>
          <w:szCs w:val="24"/>
        </w:rPr>
      </w:pPr>
    </w:p>
    <w:p w14:paraId="72CF00E3" w14:textId="6F3144D8" w:rsidR="008F3B81" w:rsidRPr="009933BF" w:rsidRDefault="00C562AD" w:rsidP="009933BF">
      <w:pPr>
        <w:tabs>
          <w:tab w:val="left" w:pos="3108"/>
        </w:tabs>
        <w:spacing w:line="276" w:lineRule="auto"/>
        <w:ind w:firstLine="2835"/>
        <w:jc w:val="both"/>
        <w:rPr>
          <w:rFonts w:ascii="Gadugi" w:hAnsi="Gadugi"/>
          <w:b/>
          <w:sz w:val="24"/>
          <w:szCs w:val="24"/>
        </w:rPr>
      </w:pPr>
      <w:r w:rsidRPr="009933BF">
        <w:rPr>
          <w:rFonts w:ascii="Gadugi" w:hAnsi="Gadugi"/>
          <w:sz w:val="24"/>
          <w:szCs w:val="24"/>
        </w:rPr>
        <w:t>Decide la Sala la impugnación propuesta por</w:t>
      </w:r>
      <w:r w:rsidR="00D8626E" w:rsidRPr="009933BF">
        <w:rPr>
          <w:rFonts w:ascii="Gadugi" w:hAnsi="Gadugi"/>
          <w:sz w:val="24"/>
          <w:szCs w:val="24"/>
        </w:rPr>
        <w:t xml:space="preserve"> la parte actora </w:t>
      </w:r>
      <w:r w:rsidR="002327F3" w:rsidRPr="009933BF">
        <w:rPr>
          <w:rFonts w:ascii="Gadugi" w:hAnsi="Gadugi"/>
          <w:sz w:val="24"/>
          <w:szCs w:val="24"/>
        </w:rPr>
        <w:t xml:space="preserve">contra la </w:t>
      </w:r>
      <w:r w:rsidR="00366C33" w:rsidRPr="009933BF">
        <w:rPr>
          <w:rFonts w:ascii="Gadugi" w:hAnsi="Gadugi"/>
          <w:sz w:val="24"/>
          <w:szCs w:val="24"/>
        </w:rPr>
        <w:t xml:space="preserve">sentencia del </w:t>
      </w:r>
      <w:r w:rsidR="002A3FE9" w:rsidRPr="009933BF">
        <w:rPr>
          <w:rFonts w:ascii="Gadugi" w:hAnsi="Gadugi"/>
          <w:sz w:val="24"/>
          <w:szCs w:val="24"/>
        </w:rPr>
        <w:t>30</w:t>
      </w:r>
      <w:r w:rsidR="00467ED1" w:rsidRPr="009933BF">
        <w:rPr>
          <w:rFonts w:ascii="Gadugi" w:hAnsi="Gadugi"/>
          <w:sz w:val="24"/>
          <w:szCs w:val="24"/>
        </w:rPr>
        <w:t xml:space="preserve"> de </w:t>
      </w:r>
      <w:r w:rsidR="000649B3" w:rsidRPr="009933BF">
        <w:rPr>
          <w:rFonts w:ascii="Gadugi" w:hAnsi="Gadugi"/>
          <w:sz w:val="24"/>
          <w:szCs w:val="24"/>
        </w:rPr>
        <w:t>noviembre</w:t>
      </w:r>
      <w:r w:rsidR="008F3B81" w:rsidRPr="009933BF">
        <w:rPr>
          <w:rFonts w:ascii="Gadugi" w:hAnsi="Gadugi"/>
          <w:sz w:val="24"/>
          <w:szCs w:val="24"/>
        </w:rPr>
        <w:t xml:space="preserve"> </w:t>
      </w:r>
      <w:r w:rsidR="00E7303F" w:rsidRPr="009933BF">
        <w:rPr>
          <w:rFonts w:ascii="Gadugi" w:hAnsi="Gadugi"/>
          <w:sz w:val="24"/>
          <w:szCs w:val="24"/>
        </w:rPr>
        <w:t>de 2021</w:t>
      </w:r>
      <w:r w:rsidR="000649B3" w:rsidRPr="009933BF">
        <w:rPr>
          <w:rFonts w:ascii="Gadugi" w:hAnsi="Gadugi"/>
          <w:sz w:val="24"/>
          <w:szCs w:val="24"/>
        </w:rPr>
        <w:t>,</w:t>
      </w:r>
      <w:r w:rsidR="00366C33" w:rsidRPr="009933BF">
        <w:rPr>
          <w:rFonts w:ascii="Gadugi" w:hAnsi="Gadugi"/>
          <w:sz w:val="24"/>
          <w:szCs w:val="24"/>
        </w:rPr>
        <w:t xml:space="preserve"> proferida por el Juzgado </w:t>
      </w:r>
      <w:r w:rsidR="002A3FE9" w:rsidRPr="009933BF">
        <w:rPr>
          <w:rFonts w:ascii="Gadugi" w:hAnsi="Gadugi"/>
          <w:sz w:val="24"/>
          <w:szCs w:val="24"/>
        </w:rPr>
        <w:t xml:space="preserve">Segundo </w:t>
      </w:r>
      <w:r w:rsidR="00E7303F" w:rsidRPr="009933BF">
        <w:rPr>
          <w:rFonts w:ascii="Gadugi" w:hAnsi="Gadugi"/>
          <w:sz w:val="24"/>
          <w:szCs w:val="24"/>
        </w:rPr>
        <w:t xml:space="preserve">Civil del Circuito </w:t>
      </w:r>
      <w:r w:rsidR="008F3B81" w:rsidRPr="009933BF">
        <w:rPr>
          <w:rFonts w:ascii="Gadugi" w:hAnsi="Gadugi"/>
          <w:sz w:val="24"/>
          <w:szCs w:val="24"/>
        </w:rPr>
        <w:t>local</w:t>
      </w:r>
      <w:r w:rsidR="00D007C6" w:rsidRPr="009933BF">
        <w:rPr>
          <w:rFonts w:ascii="Gadugi" w:hAnsi="Gadugi"/>
          <w:sz w:val="24"/>
          <w:szCs w:val="24"/>
        </w:rPr>
        <w:t xml:space="preserve">, en esta acción de tutela </w:t>
      </w:r>
      <w:r w:rsidR="008F3B81" w:rsidRPr="009933BF">
        <w:rPr>
          <w:rFonts w:ascii="Gadugi" w:hAnsi="Gadugi"/>
          <w:sz w:val="24"/>
          <w:szCs w:val="24"/>
        </w:rPr>
        <w:t>formulada</w:t>
      </w:r>
      <w:r w:rsidR="002A3FE9" w:rsidRPr="009933BF">
        <w:rPr>
          <w:rFonts w:ascii="Gadugi" w:hAnsi="Gadugi"/>
          <w:sz w:val="24"/>
          <w:szCs w:val="24"/>
        </w:rPr>
        <w:t>, mediante apoderado judicial,</w:t>
      </w:r>
      <w:r w:rsidR="008F3B81" w:rsidRPr="009933BF">
        <w:rPr>
          <w:rFonts w:ascii="Gadugi" w:hAnsi="Gadugi"/>
          <w:sz w:val="24"/>
          <w:szCs w:val="24"/>
        </w:rPr>
        <w:t xml:space="preserve"> por</w:t>
      </w:r>
      <w:r w:rsidR="000649B3" w:rsidRPr="009933BF">
        <w:rPr>
          <w:rFonts w:ascii="Gadugi" w:hAnsi="Gadugi"/>
          <w:sz w:val="24"/>
          <w:szCs w:val="24"/>
        </w:rPr>
        <w:t xml:space="preserve"> </w:t>
      </w:r>
      <w:r w:rsidR="002A3FE9" w:rsidRPr="009933BF">
        <w:rPr>
          <w:rFonts w:ascii="Gadugi" w:hAnsi="Gadugi"/>
          <w:b/>
          <w:sz w:val="24"/>
          <w:szCs w:val="24"/>
        </w:rPr>
        <w:t>Wilmar Hernando Villafañe Castaño</w:t>
      </w:r>
      <w:r w:rsidR="00D946BC" w:rsidRPr="009933BF">
        <w:rPr>
          <w:rFonts w:ascii="Gadugi" w:hAnsi="Gadugi"/>
          <w:b/>
          <w:sz w:val="24"/>
          <w:szCs w:val="24"/>
        </w:rPr>
        <w:t xml:space="preserve"> </w:t>
      </w:r>
      <w:r w:rsidR="008D41EE" w:rsidRPr="009933BF">
        <w:rPr>
          <w:rFonts w:ascii="Gadugi" w:hAnsi="Gadugi"/>
          <w:sz w:val="24"/>
          <w:szCs w:val="24"/>
        </w:rPr>
        <w:t>frente al</w:t>
      </w:r>
      <w:r w:rsidR="008D41EE" w:rsidRPr="009933BF">
        <w:rPr>
          <w:rFonts w:ascii="Gadugi" w:hAnsi="Gadugi"/>
          <w:b/>
          <w:sz w:val="24"/>
          <w:szCs w:val="24"/>
        </w:rPr>
        <w:t xml:space="preserve"> </w:t>
      </w:r>
      <w:r w:rsidR="00F93C69" w:rsidRPr="009933BF">
        <w:rPr>
          <w:rFonts w:ascii="Gadugi" w:hAnsi="Gadugi"/>
          <w:b/>
          <w:sz w:val="24"/>
          <w:szCs w:val="24"/>
        </w:rPr>
        <w:t xml:space="preserve">Juzgado </w:t>
      </w:r>
      <w:r w:rsidR="008F3B81" w:rsidRPr="009933BF">
        <w:rPr>
          <w:rFonts w:ascii="Gadugi" w:hAnsi="Gadugi"/>
          <w:b/>
          <w:sz w:val="24"/>
          <w:szCs w:val="24"/>
        </w:rPr>
        <w:t>S</w:t>
      </w:r>
      <w:r w:rsidR="002A3FE9" w:rsidRPr="009933BF">
        <w:rPr>
          <w:rFonts w:ascii="Gadugi" w:hAnsi="Gadugi"/>
          <w:b/>
          <w:sz w:val="24"/>
          <w:szCs w:val="24"/>
        </w:rPr>
        <w:t>exto</w:t>
      </w:r>
      <w:r w:rsidR="00D946BC" w:rsidRPr="009933BF">
        <w:rPr>
          <w:rFonts w:ascii="Gadugi" w:hAnsi="Gadugi"/>
          <w:b/>
          <w:sz w:val="24"/>
          <w:szCs w:val="24"/>
        </w:rPr>
        <w:t xml:space="preserve"> Civil Municipal de </w:t>
      </w:r>
      <w:r w:rsidR="00FB7EC4" w:rsidRPr="009933BF">
        <w:rPr>
          <w:rFonts w:ascii="Gadugi" w:hAnsi="Gadugi"/>
          <w:b/>
          <w:sz w:val="24"/>
          <w:szCs w:val="24"/>
        </w:rPr>
        <w:t>Pereira,</w:t>
      </w:r>
      <w:r w:rsidR="00467ED1" w:rsidRPr="009933BF">
        <w:rPr>
          <w:rFonts w:ascii="Gadugi" w:hAnsi="Gadugi"/>
          <w:b/>
          <w:sz w:val="24"/>
          <w:szCs w:val="24"/>
        </w:rPr>
        <w:t xml:space="preserve"> </w:t>
      </w:r>
      <w:r w:rsidR="00467ED1" w:rsidRPr="009933BF">
        <w:rPr>
          <w:rFonts w:ascii="Gadugi" w:hAnsi="Gadugi"/>
          <w:sz w:val="24"/>
          <w:szCs w:val="24"/>
        </w:rPr>
        <w:t>a la que fue vinculad</w:t>
      </w:r>
      <w:r w:rsidR="002A3FE9" w:rsidRPr="009933BF">
        <w:rPr>
          <w:rFonts w:ascii="Gadugi" w:hAnsi="Gadugi"/>
          <w:sz w:val="24"/>
          <w:szCs w:val="24"/>
        </w:rPr>
        <w:t>o</w:t>
      </w:r>
      <w:r w:rsidR="000649B3" w:rsidRPr="009933BF">
        <w:rPr>
          <w:rFonts w:ascii="Gadugi" w:hAnsi="Gadugi"/>
          <w:sz w:val="24"/>
          <w:szCs w:val="24"/>
        </w:rPr>
        <w:t xml:space="preserve"> </w:t>
      </w:r>
      <w:r w:rsidR="002A3FE9" w:rsidRPr="009933BF">
        <w:rPr>
          <w:rFonts w:ascii="Gadugi" w:hAnsi="Gadugi"/>
          <w:b/>
          <w:sz w:val="24"/>
          <w:szCs w:val="24"/>
        </w:rPr>
        <w:t>Jaime Ardila Rodríguez.</w:t>
      </w:r>
    </w:p>
    <w:p w14:paraId="58505EF8" w14:textId="51540008" w:rsidR="00A0360C" w:rsidRPr="009933BF" w:rsidRDefault="002D708D" w:rsidP="009933BF">
      <w:pPr>
        <w:tabs>
          <w:tab w:val="left" w:pos="2835"/>
        </w:tabs>
        <w:spacing w:line="276" w:lineRule="auto"/>
        <w:rPr>
          <w:rFonts w:ascii="Gadugi" w:hAnsi="Gadugi"/>
          <w:sz w:val="24"/>
          <w:szCs w:val="24"/>
          <w:lang w:val="es-MX"/>
        </w:rPr>
      </w:pPr>
      <w:r w:rsidRPr="009933BF">
        <w:rPr>
          <w:rFonts w:ascii="Gadugi" w:hAnsi="Gadugi"/>
          <w:sz w:val="24"/>
          <w:szCs w:val="24"/>
          <w:lang w:val="es-MX"/>
        </w:rPr>
        <w:tab/>
      </w:r>
      <w:r w:rsidRPr="009933BF">
        <w:rPr>
          <w:rFonts w:ascii="Gadugi" w:hAnsi="Gadugi"/>
          <w:sz w:val="24"/>
          <w:szCs w:val="24"/>
          <w:lang w:val="es-MX"/>
        </w:rPr>
        <w:tab/>
      </w:r>
    </w:p>
    <w:p w14:paraId="1E9224F3" w14:textId="15CB1A9C" w:rsidR="001313B3" w:rsidRPr="009933BF" w:rsidRDefault="0006073D" w:rsidP="009933BF">
      <w:pPr>
        <w:tabs>
          <w:tab w:val="left" w:pos="2835"/>
        </w:tabs>
        <w:spacing w:line="276" w:lineRule="auto"/>
        <w:rPr>
          <w:rFonts w:ascii="Gadugi" w:hAnsi="Gadugi"/>
          <w:sz w:val="24"/>
          <w:szCs w:val="24"/>
          <w:lang w:val="es-MX"/>
        </w:rPr>
      </w:pPr>
      <w:r w:rsidRPr="009933BF">
        <w:rPr>
          <w:rFonts w:ascii="Gadugi" w:hAnsi="Gadugi"/>
          <w:sz w:val="24"/>
          <w:szCs w:val="24"/>
          <w:lang w:val="es-MX"/>
        </w:rPr>
        <w:tab/>
      </w:r>
    </w:p>
    <w:p w14:paraId="1E58425D" w14:textId="6EA50F02" w:rsidR="00CD73E5" w:rsidRPr="009933BF" w:rsidRDefault="00BE16F9" w:rsidP="009933BF">
      <w:pPr>
        <w:pStyle w:val="Ttulo4"/>
        <w:tabs>
          <w:tab w:val="left" w:pos="3108"/>
        </w:tabs>
        <w:spacing w:line="276" w:lineRule="auto"/>
        <w:rPr>
          <w:rFonts w:ascii="Gadugi" w:hAnsi="Gadugi"/>
          <w:b/>
          <w:sz w:val="24"/>
          <w:szCs w:val="24"/>
        </w:rPr>
      </w:pPr>
      <w:r w:rsidRPr="009933BF">
        <w:rPr>
          <w:rFonts w:ascii="Gadugi" w:hAnsi="Gadugi"/>
          <w:b/>
          <w:sz w:val="24"/>
          <w:szCs w:val="24"/>
        </w:rPr>
        <w:t xml:space="preserve">1. </w:t>
      </w:r>
      <w:r w:rsidR="00CD73E5" w:rsidRPr="009933BF">
        <w:rPr>
          <w:rFonts w:ascii="Gadugi" w:hAnsi="Gadugi"/>
          <w:b/>
          <w:sz w:val="24"/>
          <w:szCs w:val="24"/>
        </w:rPr>
        <w:t>ANTECEDENTES</w:t>
      </w:r>
    </w:p>
    <w:p w14:paraId="6F6ECDF4" w14:textId="77777777" w:rsidR="008F3B81" w:rsidRPr="009933BF" w:rsidRDefault="008F3B81" w:rsidP="009933BF">
      <w:pPr>
        <w:tabs>
          <w:tab w:val="left" w:pos="3108"/>
          <w:tab w:val="left" w:pos="7695"/>
        </w:tabs>
        <w:spacing w:line="276" w:lineRule="auto"/>
        <w:ind w:firstLine="2835"/>
        <w:jc w:val="both"/>
        <w:rPr>
          <w:rFonts w:ascii="Gadugi" w:hAnsi="Gadugi" w:cs="Century Gothic"/>
          <w:b/>
          <w:bCs/>
          <w:sz w:val="24"/>
          <w:szCs w:val="24"/>
        </w:rPr>
      </w:pPr>
    </w:p>
    <w:p w14:paraId="13B30E91" w14:textId="30CD2C35" w:rsidR="008F3B81" w:rsidRPr="009933BF" w:rsidRDefault="008F3B81" w:rsidP="009933BF">
      <w:pPr>
        <w:tabs>
          <w:tab w:val="left" w:pos="3108"/>
          <w:tab w:val="left" w:pos="7695"/>
        </w:tabs>
        <w:spacing w:line="276" w:lineRule="auto"/>
        <w:ind w:firstLine="2835"/>
        <w:jc w:val="both"/>
        <w:rPr>
          <w:rFonts w:ascii="Gadugi" w:hAnsi="Gadugi" w:cs="Century Gothic"/>
          <w:b/>
          <w:bCs/>
          <w:sz w:val="24"/>
          <w:szCs w:val="24"/>
        </w:rPr>
      </w:pPr>
    </w:p>
    <w:p w14:paraId="1AF92904" w14:textId="1A4C66EC" w:rsidR="0029673C" w:rsidRPr="009933BF" w:rsidRDefault="00BE16F9" w:rsidP="009933BF">
      <w:pPr>
        <w:tabs>
          <w:tab w:val="left" w:pos="3108"/>
          <w:tab w:val="left" w:pos="7695"/>
        </w:tabs>
        <w:spacing w:line="276" w:lineRule="auto"/>
        <w:ind w:firstLine="2835"/>
        <w:jc w:val="both"/>
        <w:rPr>
          <w:rFonts w:ascii="Gadugi" w:hAnsi="Gadugi" w:cs="Century Gothic"/>
          <w:sz w:val="24"/>
          <w:szCs w:val="24"/>
        </w:rPr>
      </w:pPr>
      <w:r w:rsidRPr="009933BF">
        <w:rPr>
          <w:rFonts w:ascii="Gadugi" w:hAnsi="Gadugi" w:cs="Century Gothic"/>
          <w:sz w:val="24"/>
          <w:szCs w:val="24"/>
        </w:rPr>
        <w:t xml:space="preserve">1.1. </w:t>
      </w:r>
      <w:r w:rsidR="000649B3" w:rsidRPr="009933BF">
        <w:rPr>
          <w:rFonts w:ascii="Gadugi" w:hAnsi="Gadugi" w:cs="Century Gothic"/>
          <w:sz w:val="24"/>
          <w:szCs w:val="24"/>
        </w:rPr>
        <w:t xml:space="preserve">De </w:t>
      </w:r>
      <w:r w:rsidR="0027217B" w:rsidRPr="009933BF">
        <w:rPr>
          <w:rFonts w:ascii="Gadugi" w:hAnsi="Gadugi" w:cs="Century Gothic"/>
          <w:sz w:val="24"/>
          <w:szCs w:val="24"/>
        </w:rPr>
        <w:t>los hechos</w:t>
      </w:r>
      <w:r w:rsidR="000649B3" w:rsidRPr="009933BF">
        <w:rPr>
          <w:rFonts w:ascii="Gadugi" w:hAnsi="Gadugi" w:cs="Century Gothic"/>
          <w:sz w:val="24"/>
          <w:szCs w:val="24"/>
        </w:rPr>
        <w:t xml:space="preserve"> se extrae que,</w:t>
      </w:r>
      <w:r w:rsidR="0029673C" w:rsidRPr="009933BF">
        <w:rPr>
          <w:rFonts w:ascii="Gadugi" w:hAnsi="Gadugi" w:cs="Century Gothic"/>
          <w:sz w:val="24"/>
          <w:szCs w:val="24"/>
        </w:rPr>
        <w:t xml:space="preserve"> </w:t>
      </w:r>
      <w:r w:rsidR="002005E0" w:rsidRPr="009933BF">
        <w:rPr>
          <w:rFonts w:ascii="Gadugi" w:hAnsi="Gadugi" w:cs="Century Gothic"/>
          <w:sz w:val="24"/>
          <w:szCs w:val="24"/>
        </w:rPr>
        <w:t>ante el juzgado accionado, se tramitó un proceso monitorio con radicado 2020-00609-0</w:t>
      </w:r>
      <w:r w:rsidR="00213BBB" w:rsidRPr="009933BF">
        <w:rPr>
          <w:rFonts w:ascii="Gadugi" w:hAnsi="Gadugi" w:cs="Century Gothic"/>
          <w:sz w:val="24"/>
          <w:szCs w:val="24"/>
        </w:rPr>
        <w:t>0</w:t>
      </w:r>
      <w:r w:rsidR="002005E0" w:rsidRPr="009933BF">
        <w:rPr>
          <w:rFonts w:ascii="Gadugi" w:hAnsi="Gadugi" w:cs="Century Gothic"/>
          <w:sz w:val="24"/>
          <w:szCs w:val="24"/>
        </w:rPr>
        <w:t>, el cual fue admitido el 16 de octubre de 2020</w:t>
      </w:r>
      <w:r w:rsidR="000868CA" w:rsidRPr="009933BF">
        <w:rPr>
          <w:rFonts w:ascii="Gadugi" w:hAnsi="Gadugi" w:cs="Century Gothic"/>
          <w:sz w:val="24"/>
          <w:szCs w:val="24"/>
        </w:rPr>
        <w:t xml:space="preserve">; </w:t>
      </w:r>
      <w:r w:rsidR="002005E0" w:rsidRPr="009933BF">
        <w:rPr>
          <w:rFonts w:ascii="Gadugi" w:hAnsi="Gadugi" w:cs="Century Gothic"/>
          <w:sz w:val="24"/>
          <w:szCs w:val="24"/>
        </w:rPr>
        <w:t xml:space="preserve">el demandado aportó una contestación </w:t>
      </w:r>
      <w:r w:rsidR="002005E0" w:rsidRPr="009933BF">
        <w:rPr>
          <w:rFonts w:ascii="Gadugi" w:hAnsi="Gadugi" w:cs="Century Gothic"/>
          <w:i/>
          <w:iCs/>
          <w:sz w:val="24"/>
          <w:szCs w:val="24"/>
        </w:rPr>
        <w:t>“</w:t>
      </w:r>
      <w:r w:rsidR="002005E0" w:rsidRPr="009933BF">
        <w:rPr>
          <w:rFonts w:ascii="Gadugi" w:hAnsi="Gadugi" w:cs="Century Gothic"/>
          <w:i/>
          <w:iCs/>
          <w:sz w:val="22"/>
          <w:szCs w:val="24"/>
        </w:rPr>
        <w:t>(…) redactada a mano y en dos partes, además de que es una contestación deficiente toda vez que en ningún momento niega la obligación dineraria (…)</w:t>
      </w:r>
      <w:r w:rsidR="002005E0" w:rsidRPr="009933BF">
        <w:rPr>
          <w:rFonts w:ascii="Gadugi" w:hAnsi="Gadugi" w:cs="Century Gothic"/>
          <w:i/>
          <w:iCs/>
          <w:sz w:val="24"/>
          <w:szCs w:val="24"/>
        </w:rPr>
        <w:t>”</w:t>
      </w:r>
      <w:r w:rsidR="002005E0" w:rsidRPr="009933BF">
        <w:rPr>
          <w:rFonts w:ascii="Gadugi" w:hAnsi="Gadugi" w:cs="Century Gothic"/>
          <w:sz w:val="24"/>
          <w:szCs w:val="24"/>
        </w:rPr>
        <w:t>; pese a lo cual</w:t>
      </w:r>
      <w:r w:rsidR="000868CA" w:rsidRPr="009933BF">
        <w:rPr>
          <w:rFonts w:ascii="Gadugi" w:hAnsi="Gadugi" w:cs="Century Gothic"/>
          <w:sz w:val="24"/>
          <w:szCs w:val="24"/>
        </w:rPr>
        <w:t>,</w:t>
      </w:r>
      <w:r w:rsidR="002005E0" w:rsidRPr="009933BF">
        <w:rPr>
          <w:rFonts w:ascii="Gadugi" w:hAnsi="Gadugi" w:cs="Century Gothic"/>
          <w:sz w:val="24"/>
          <w:szCs w:val="24"/>
        </w:rPr>
        <w:t xml:space="preserve"> el juzgado decidió continuar con el trámite</w:t>
      </w:r>
      <w:r w:rsidR="00927789" w:rsidRPr="009933BF">
        <w:rPr>
          <w:rFonts w:ascii="Gadugi" w:hAnsi="Gadugi" w:cs="Century Gothic"/>
          <w:sz w:val="24"/>
          <w:szCs w:val="24"/>
        </w:rPr>
        <w:t>,</w:t>
      </w:r>
      <w:r w:rsidR="002005E0" w:rsidRPr="009933BF">
        <w:rPr>
          <w:rFonts w:ascii="Gadugi" w:hAnsi="Gadugi" w:cs="Century Gothic"/>
          <w:sz w:val="24"/>
          <w:szCs w:val="24"/>
        </w:rPr>
        <w:t xml:space="preserve"> aun cuando ese escrito incumplía lo establecido en el artículo 421 del CGP. </w:t>
      </w:r>
    </w:p>
    <w:p w14:paraId="7548C345" w14:textId="03782343" w:rsidR="00567061" w:rsidRPr="009933BF" w:rsidRDefault="00567061" w:rsidP="009933BF">
      <w:pPr>
        <w:tabs>
          <w:tab w:val="left" w:pos="3108"/>
          <w:tab w:val="left" w:pos="7695"/>
        </w:tabs>
        <w:spacing w:line="276" w:lineRule="auto"/>
        <w:ind w:firstLine="2835"/>
        <w:jc w:val="both"/>
        <w:rPr>
          <w:rFonts w:ascii="Gadugi" w:hAnsi="Gadugi" w:cs="Century Gothic"/>
          <w:bCs/>
          <w:sz w:val="24"/>
          <w:szCs w:val="24"/>
        </w:rPr>
      </w:pPr>
    </w:p>
    <w:p w14:paraId="32ED68D4" w14:textId="4F8E16D8" w:rsidR="00567061" w:rsidRPr="009933BF" w:rsidRDefault="00567061" w:rsidP="009933BF">
      <w:pPr>
        <w:tabs>
          <w:tab w:val="left" w:pos="3108"/>
          <w:tab w:val="left" w:pos="7695"/>
        </w:tabs>
        <w:spacing w:line="276" w:lineRule="auto"/>
        <w:ind w:firstLine="2835"/>
        <w:jc w:val="both"/>
        <w:rPr>
          <w:rFonts w:ascii="Gadugi" w:hAnsi="Gadugi" w:cs="Century Gothic"/>
          <w:bCs/>
          <w:i/>
          <w:sz w:val="24"/>
          <w:szCs w:val="24"/>
        </w:rPr>
      </w:pPr>
      <w:r w:rsidRPr="009933BF">
        <w:rPr>
          <w:rFonts w:ascii="Gadugi" w:hAnsi="Gadugi" w:cs="Century Gothic"/>
          <w:bCs/>
          <w:sz w:val="24"/>
          <w:szCs w:val="24"/>
        </w:rPr>
        <w:t xml:space="preserve">El 15 de junio de 2021 se llevó a cabo una audiencia en la cual </w:t>
      </w:r>
      <w:r w:rsidRPr="009933BF">
        <w:rPr>
          <w:rFonts w:ascii="Gadugi" w:hAnsi="Gadugi" w:cs="Century Gothic"/>
          <w:bCs/>
          <w:i/>
          <w:sz w:val="24"/>
          <w:szCs w:val="24"/>
        </w:rPr>
        <w:t>“</w:t>
      </w:r>
      <w:r w:rsidRPr="009933BF">
        <w:rPr>
          <w:rFonts w:ascii="Gadugi" w:hAnsi="Gadugi" w:cs="Century Gothic"/>
          <w:bCs/>
          <w:i/>
          <w:sz w:val="22"/>
          <w:szCs w:val="24"/>
        </w:rPr>
        <w:t>(…) el juez de instancia no valora los reclamos del hoy demandante porque considera que no es el proceso idóneo para hacerlo, (…) dejando por fuera la valoración de las pruebas aportadas y anotando que el proceso no tiene procedencia</w:t>
      </w:r>
      <w:r w:rsidRPr="009933BF">
        <w:rPr>
          <w:rFonts w:ascii="Gadugi" w:hAnsi="Gadugi" w:cs="Century Gothic"/>
          <w:bCs/>
          <w:i/>
          <w:sz w:val="24"/>
          <w:szCs w:val="24"/>
        </w:rPr>
        <w:t>”</w:t>
      </w:r>
      <w:r w:rsidR="00F736AA" w:rsidRPr="009933BF">
        <w:rPr>
          <w:rFonts w:ascii="Gadugi" w:hAnsi="Gadugi" w:cs="Century Gothic"/>
          <w:bCs/>
          <w:i/>
          <w:sz w:val="24"/>
          <w:szCs w:val="24"/>
        </w:rPr>
        <w:t>.</w:t>
      </w:r>
    </w:p>
    <w:p w14:paraId="329A700B" w14:textId="69C92D5C" w:rsidR="00F736AA" w:rsidRPr="009933BF" w:rsidRDefault="00F736AA" w:rsidP="009933BF">
      <w:pPr>
        <w:tabs>
          <w:tab w:val="left" w:pos="3108"/>
          <w:tab w:val="left" w:pos="7695"/>
        </w:tabs>
        <w:spacing w:line="276" w:lineRule="auto"/>
        <w:ind w:firstLine="2835"/>
        <w:jc w:val="both"/>
        <w:rPr>
          <w:rFonts w:ascii="Gadugi" w:hAnsi="Gadugi" w:cs="Century Gothic"/>
          <w:bCs/>
          <w:sz w:val="24"/>
          <w:szCs w:val="24"/>
        </w:rPr>
      </w:pPr>
    </w:p>
    <w:p w14:paraId="65DE1AAE" w14:textId="47B023C1" w:rsidR="00F736AA" w:rsidRPr="009933BF" w:rsidRDefault="00F736AA"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Respecto del trámite y la decisión definitiva presentó los siguientes reparos:</w:t>
      </w:r>
    </w:p>
    <w:p w14:paraId="789996EB" w14:textId="373FA8E9" w:rsidR="00F736AA" w:rsidRPr="009933BF" w:rsidRDefault="00F736AA" w:rsidP="009933BF">
      <w:pPr>
        <w:tabs>
          <w:tab w:val="left" w:pos="3108"/>
          <w:tab w:val="left" w:pos="7695"/>
        </w:tabs>
        <w:spacing w:line="276" w:lineRule="auto"/>
        <w:ind w:firstLine="2835"/>
        <w:jc w:val="both"/>
        <w:rPr>
          <w:rFonts w:ascii="Gadugi" w:hAnsi="Gadugi" w:cs="Century Gothic"/>
          <w:bCs/>
          <w:sz w:val="24"/>
          <w:szCs w:val="24"/>
        </w:rPr>
      </w:pPr>
    </w:p>
    <w:p w14:paraId="203FD015" w14:textId="17DB8622" w:rsidR="00F736AA" w:rsidRPr="009933BF" w:rsidRDefault="00F736AA"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(i) Si el juez arguyó que la acción monitoria </w:t>
      </w:r>
      <w:r w:rsidRPr="009933BF">
        <w:rPr>
          <w:rFonts w:ascii="Gadugi" w:hAnsi="Gadugi" w:cs="Century Gothic"/>
          <w:bCs/>
          <w:i/>
          <w:sz w:val="24"/>
          <w:szCs w:val="24"/>
        </w:rPr>
        <w:t>“</w:t>
      </w:r>
      <w:r w:rsidRPr="009933BF">
        <w:rPr>
          <w:rFonts w:ascii="Gadugi" w:hAnsi="Gadugi" w:cs="Century Gothic"/>
          <w:bCs/>
          <w:i/>
          <w:sz w:val="22"/>
          <w:szCs w:val="24"/>
        </w:rPr>
        <w:t>(…) no era procedente porque carece de requisitos procesales tales como un contrato y una obligación determinada y exigible (…)”, “¿Por qué la admitió en primer lugar?”</w:t>
      </w:r>
      <w:r w:rsidRPr="009933BF">
        <w:rPr>
          <w:rFonts w:ascii="Gadugi" w:hAnsi="Gadugi" w:cs="Century Gothic"/>
          <w:bCs/>
          <w:i/>
          <w:sz w:val="24"/>
          <w:szCs w:val="24"/>
        </w:rPr>
        <w:t xml:space="preserve">. </w:t>
      </w:r>
      <w:r w:rsidRPr="009933BF">
        <w:rPr>
          <w:rFonts w:ascii="Gadugi" w:hAnsi="Gadugi" w:cs="Century Gothic"/>
          <w:bCs/>
          <w:sz w:val="24"/>
          <w:szCs w:val="24"/>
        </w:rPr>
        <w:t>En todo caso, la obligación dineraria si existió pues nació de un contrato verbal celebrado por el accionante y el señor Jaime Ardila, donde el segundo se comprometió a pagarle al primero algunos arreglos a un inmueble</w:t>
      </w:r>
      <w:r w:rsidR="00D83415" w:rsidRPr="009933BF">
        <w:rPr>
          <w:rFonts w:ascii="Gadugi" w:hAnsi="Gadugi" w:cs="Century Gothic"/>
          <w:bCs/>
          <w:sz w:val="24"/>
          <w:szCs w:val="24"/>
        </w:rPr>
        <w:t xml:space="preserve"> en el que funcionaba un establecimiento de comercio. </w:t>
      </w:r>
      <w:r w:rsidRPr="009933BF">
        <w:rPr>
          <w:rFonts w:ascii="Gadugi" w:hAnsi="Gadugi" w:cs="Century Gothic"/>
          <w:bCs/>
          <w:sz w:val="24"/>
          <w:szCs w:val="24"/>
        </w:rPr>
        <w:t xml:space="preserve"> </w:t>
      </w:r>
    </w:p>
    <w:p w14:paraId="1D4BC70C" w14:textId="00727B68" w:rsidR="00927789" w:rsidRPr="009933BF" w:rsidRDefault="00927789" w:rsidP="009933BF">
      <w:pPr>
        <w:tabs>
          <w:tab w:val="left" w:pos="3108"/>
          <w:tab w:val="left" w:pos="7695"/>
        </w:tabs>
        <w:spacing w:line="276" w:lineRule="auto"/>
        <w:ind w:firstLine="2835"/>
        <w:jc w:val="both"/>
        <w:rPr>
          <w:rFonts w:ascii="Gadugi" w:hAnsi="Gadugi" w:cs="Century Gothic"/>
          <w:bCs/>
          <w:sz w:val="24"/>
          <w:szCs w:val="24"/>
        </w:rPr>
      </w:pPr>
    </w:p>
    <w:p w14:paraId="42F4F7CF" w14:textId="25556D3D" w:rsidR="00F736AA" w:rsidRPr="009933BF" w:rsidRDefault="00F736AA"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(ii) </w:t>
      </w:r>
      <w:r w:rsidR="0055477F" w:rsidRPr="009933BF">
        <w:rPr>
          <w:rFonts w:ascii="Gadugi" w:hAnsi="Gadugi" w:cs="Century Gothic"/>
          <w:bCs/>
          <w:sz w:val="24"/>
          <w:szCs w:val="24"/>
        </w:rPr>
        <w:t xml:space="preserve">Ante la contestación deficiente de la demanda, y en atención a lo reglado en el artículo 421, el despacho debió </w:t>
      </w:r>
      <w:r w:rsidR="0055477F" w:rsidRPr="009933BF">
        <w:rPr>
          <w:rFonts w:ascii="Gadugi" w:hAnsi="Gadugi" w:cs="Century Gothic"/>
          <w:bCs/>
          <w:i/>
          <w:sz w:val="24"/>
          <w:szCs w:val="24"/>
        </w:rPr>
        <w:t>“</w:t>
      </w:r>
      <w:r w:rsidR="0055477F" w:rsidRPr="009933BF">
        <w:rPr>
          <w:rFonts w:ascii="Gadugi" w:hAnsi="Gadugi" w:cs="Century Gothic"/>
          <w:bCs/>
          <w:i/>
          <w:sz w:val="22"/>
          <w:szCs w:val="24"/>
        </w:rPr>
        <w:t>(…) librar sentencia en contra del señor Ardila (…)</w:t>
      </w:r>
      <w:r w:rsidR="0055477F" w:rsidRPr="009933BF">
        <w:rPr>
          <w:rFonts w:ascii="Gadugi" w:hAnsi="Gadugi" w:cs="Century Gothic"/>
          <w:bCs/>
          <w:i/>
          <w:sz w:val="24"/>
          <w:szCs w:val="24"/>
        </w:rPr>
        <w:t>”.</w:t>
      </w:r>
      <w:r w:rsidR="0055477F" w:rsidRPr="009933BF">
        <w:rPr>
          <w:rFonts w:ascii="Gadugi" w:hAnsi="Gadugi" w:cs="Century Gothic"/>
          <w:bCs/>
          <w:sz w:val="24"/>
          <w:szCs w:val="24"/>
        </w:rPr>
        <w:t xml:space="preserve"> </w:t>
      </w:r>
    </w:p>
    <w:p w14:paraId="594C8E88" w14:textId="6904DB49" w:rsidR="0055477F" w:rsidRPr="009933BF" w:rsidRDefault="0055477F" w:rsidP="009933BF">
      <w:pPr>
        <w:tabs>
          <w:tab w:val="left" w:pos="3108"/>
          <w:tab w:val="left" w:pos="7695"/>
        </w:tabs>
        <w:spacing w:line="276" w:lineRule="auto"/>
        <w:ind w:firstLine="2835"/>
        <w:jc w:val="both"/>
        <w:rPr>
          <w:rFonts w:ascii="Gadugi" w:hAnsi="Gadugi" w:cs="Century Gothic"/>
          <w:bCs/>
          <w:sz w:val="24"/>
          <w:szCs w:val="24"/>
        </w:rPr>
      </w:pPr>
    </w:p>
    <w:p w14:paraId="0551006B" w14:textId="379B9FA9" w:rsidR="0055477F" w:rsidRPr="009933BF" w:rsidRDefault="0055477F"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(iii) El juez no debió convocar a audiencia, sino proferir sentencia contra el demandado, porque con su proceder contrarió lo reglado en los artículos 419, 420, y 421 del CGP, además el juez no debió aludir a un proceso de restitución de inmueble que involucraba al accionante y al señor Jaime Ardila porque ese era un asunto ya archivado y constituye cosa juzgada.</w:t>
      </w:r>
      <w:r w:rsidR="00646CEC" w:rsidRPr="009933BF">
        <w:rPr>
          <w:rStyle w:val="Refdenotaalpie"/>
          <w:rFonts w:ascii="Gadugi" w:hAnsi="Gadugi"/>
          <w:bCs/>
          <w:sz w:val="24"/>
          <w:szCs w:val="24"/>
        </w:rPr>
        <w:footnoteReference w:id="1"/>
      </w:r>
      <w:r w:rsidRPr="009933BF">
        <w:rPr>
          <w:rFonts w:ascii="Gadugi" w:hAnsi="Gadugi" w:cs="Century Gothic"/>
          <w:bCs/>
          <w:sz w:val="24"/>
          <w:szCs w:val="24"/>
        </w:rPr>
        <w:t xml:space="preserve"> </w:t>
      </w:r>
    </w:p>
    <w:p w14:paraId="362ED5C3" w14:textId="3DCB749E" w:rsidR="0055477F" w:rsidRPr="009933BF" w:rsidRDefault="0055477F" w:rsidP="009933BF">
      <w:pPr>
        <w:tabs>
          <w:tab w:val="left" w:pos="3108"/>
          <w:tab w:val="left" w:pos="7695"/>
        </w:tabs>
        <w:spacing w:line="276" w:lineRule="auto"/>
        <w:ind w:firstLine="2835"/>
        <w:jc w:val="both"/>
        <w:rPr>
          <w:rFonts w:ascii="Gadugi" w:hAnsi="Gadugi" w:cs="Century Gothic"/>
          <w:bCs/>
          <w:sz w:val="24"/>
          <w:szCs w:val="24"/>
        </w:rPr>
      </w:pPr>
    </w:p>
    <w:p w14:paraId="41459A3B" w14:textId="3E6DC304" w:rsidR="0055477F" w:rsidRPr="009933BF" w:rsidRDefault="00BE16F9"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1.2. </w:t>
      </w:r>
      <w:r w:rsidR="0055477F" w:rsidRPr="009933BF">
        <w:rPr>
          <w:rFonts w:ascii="Gadugi" w:hAnsi="Gadugi" w:cs="Century Gothic"/>
          <w:bCs/>
          <w:sz w:val="24"/>
          <w:szCs w:val="24"/>
        </w:rPr>
        <w:t>Pidió, entonces, declarar la nulidad de todo lo actuado en el juicio monitorio</w:t>
      </w:r>
      <w:r w:rsidR="003738B7" w:rsidRPr="009933BF">
        <w:rPr>
          <w:rFonts w:ascii="Gadugi" w:hAnsi="Gadugi" w:cs="Century Gothic"/>
          <w:bCs/>
          <w:sz w:val="24"/>
          <w:szCs w:val="24"/>
        </w:rPr>
        <w:t xml:space="preserve"> y del fallo que en él se profirió</w:t>
      </w:r>
      <w:r w:rsidR="0055477F" w:rsidRPr="009933BF">
        <w:rPr>
          <w:rFonts w:ascii="Gadugi" w:hAnsi="Gadugi" w:cs="Century Gothic"/>
          <w:bCs/>
          <w:sz w:val="24"/>
          <w:szCs w:val="24"/>
        </w:rPr>
        <w:t>, y que se le envíe copia del fallo que cuestiona.</w:t>
      </w:r>
      <w:r w:rsidR="00646CEC" w:rsidRPr="009933BF">
        <w:rPr>
          <w:rStyle w:val="Refdenotaalpie"/>
          <w:rFonts w:ascii="Gadugi" w:hAnsi="Gadugi"/>
          <w:bCs/>
          <w:sz w:val="24"/>
          <w:szCs w:val="24"/>
        </w:rPr>
        <w:footnoteReference w:id="2"/>
      </w:r>
      <w:r w:rsidR="0055477F" w:rsidRPr="009933BF">
        <w:rPr>
          <w:rFonts w:ascii="Gadugi" w:hAnsi="Gadugi" w:cs="Century Gothic"/>
          <w:bCs/>
          <w:sz w:val="24"/>
          <w:szCs w:val="24"/>
        </w:rPr>
        <w:t xml:space="preserve"> </w:t>
      </w:r>
    </w:p>
    <w:p w14:paraId="47364EA9" w14:textId="09747E38" w:rsidR="0055477F" w:rsidRPr="009933BF" w:rsidRDefault="0055477F" w:rsidP="009933BF">
      <w:pPr>
        <w:tabs>
          <w:tab w:val="left" w:pos="3108"/>
          <w:tab w:val="left" w:pos="7695"/>
        </w:tabs>
        <w:spacing w:line="276" w:lineRule="auto"/>
        <w:ind w:firstLine="2835"/>
        <w:jc w:val="both"/>
        <w:rPr>
          <w:rFonts w:ascii="Gadugi" w:hAnsi="Gadugi" w:cs="Century Gothic"/>
          <w:bCs/>
          <w:sz w:val="24"/>
          <w:szCs w:val="24"/>
        </w:rPr>
      </w:pPr>
    </w:p>
    <w:p w14:paraId="09E4F769" w14:textId="4C86D4FD" w:rsidR="00C459CD" w:rsidRPr="009933BF" w:rsidRDefault="00BE16F9"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1.3. </w:t>
      </w:r>
      <w:r w:rsidR="0055477F" w:rsidRPr="009933BF">
        <w:rPr>
          <w:rFonts w:ascii="Gadugi" w:hAnsi="Gadugi" w:cs="Century Gothic"/>
          <w:bCs/>
          <w:sz w:val="24"/>
          <w:szCs w:val="24"/>
        </w:rPr>
        <w:t>E</w:t>
      </w:r>
      <w:r w:rsidR="00870B55" w:rsidRPr="009933BF">
        <w:rPr>
          <w:rFonts w:ascii="Gadugi" w:hAnsi="Gadugi" w:cs="Century Gothic"/>
          <w:bCs/>
          <w:sz w:val="24"/>
          <w:szCs w:val="24"/>
        </w:rPr>
        <w:t>l juzgado</w:t>
      </w:r>
      <w:r w:rsidR="0055477F" w:rsidRPr="009933BF">
        <w:rPr>
          <w:rFonts w:ascii="Gadugi" w:hAnsi="Gadugi" w:cs="Century Gothic"/>
          <w:bCs/>
          <w:sz w:val="24"/>
          <w:szCs w:val="24"/>
        </w:rPr>
        <w:t xml:space="preserve"> de primera instancia</w:t>
      </w:r>
      <w:r w:rsidR="00870B55" w:rsidRPr="009933BF">
        <w:rPr>
          <w:rFonts w:ascii="Gadugi" w:hAnsi="Gadugi" w:cs="Century Gothic"/>
          <w:bCs/>
          <w:sz w:val="24"/>
          <w:szCs w:val="24"/>
        </w:rPr>
        <w:t xml:space="preserve"> </w:t>
      </w:r>
      <w:r w:rsidR="0055477F" w:rsidRPr="009933BF">
        <w:rPr>
          <w:rFonts w:ascii="Gadugi" w:hAnsi="Gadugi" w:cs="Century Gothic"/>
          <w:bCs/>
          <w:sz w:val="24"/>
          <w:szCs w:val="24"/>
        </w:rPr>
        <w:t>le dio</w:t>
      </w:r>
      <w:r w:rsidR="00870B55" w:rsidRPr="009933BF">
        <w:rPr>
          <w:rFonts w:ascii="Gadugi" w:hAnsi="Gadugi" w:cs="Century Gothic"/>
          <w:bCs/>
          <w:sz w:val="24"/>
          <w:szCs w:val="24"/>
        </w:rPr>
        <w:t xml:space="preserve"> trámite a la demanda con auto del </w:t>
      </w:r>
      <w:r w:rsidR="0055477F" w:rsidRPr="009933BF">
        <w:rPr>
          <w:rFonts w:ascii="Gadugi" w:hAnsi="Gadugi" w:cs="Century Gothic"/>
          <w:bCs/>
          <w:sz w:val="24"/>
          <w:szCs w:val="24"/>
        </w:rPr>
        <w:t>18</w:t>
      </w:r>
      <w:r w:rsidR="00870B55" w:rsidRPr="009933BF">
        <w:rPr>
          <w:rFonts w:ascii="Gadugi" w:hAnsi="Gadugi" w:cs="Century Gothic"/>
          <w:bCs/>
          <w:sz w:val="24"/>
          <w:szCs w:val="24"/>
        </w:rPr>
        <w:t xml:space="preserve"> de noviembre de 2021;</w:t>
      </w:r>
      <w:r w:rsidR="00CA06C3" w:rsidRPr="009933BF">
        <w:rPr>
          <w:rFonts w:ascii="Gadugi" w:hAnsi="Gadugi" w:cs="Century Gothic"/>
          <w:bCs/>
          <w:sz w:val="24"/>
          <w:szCs w:val="24"/>
        </w:rPr>
        <w:t xml:space="preserve"> allí fue vinculad</w:t>
      </w:r>
      <w:r w:rsidR="00C459CD" w:rsidRPr="009933BF">
        <w:rPr>
          <w:rFonts w:ascii="Gadugi" w:hAnsi="Gadugi" w:cs="Century Gothic"/>
          <w:bCs/>
          <w:sz w:val="24"/>
          <w:szCs w:val="24"/>
        </w:rPr>
        <w:t xml:space="preserve">o el señor Jaime Ardila </w:t>
      </w:r>
      <w:r w:rsidR="00C459CD" w:rsidRPr="009933BF">
        <w:rPr>
          <w:rFonts w:ascii="Gadugi" w:hAnsi="Gadugi" w:cs="Century Gothic"/>
          <w:bCs/>
          <w:sz w:val="24"/>
          <w:szCs w:val="24"/>
        </w:rPr>
        <w:lastRenderedPageBreak/>
        <w:t>Rodríguez, y se requirió al juzgado encartado para que aportara el enlace para acceder al monitorio de marras.</w:t>
      </w:r>
      <w:r w:rsidR="00646CEC" w:rsidRPr="009933BF">
        <w:rPr>
          <w:rStyle w:val="Refdenotaalpie"/>
          <w:rFonts w:ascii="Gadugi" w:hAnsi="Gadugi"/>
          <w:bCs/>
          <w:sz w:val="24"/>
          <w:szCs w:val="24"/>
        </w:rPr>
        <w:footnoteReference w:id="3"/>
      </w:r>
      <w:r w:rsidR="00C459CD" w:rsidRPr="009933BF">
        <w:rPr>
          <w:rFonts w:ascii="Gadugi" w:hAnsi="Gadugi" w:cs="Century Gothic"/>
          <w:bCs/>
          <w:sz w:val="24"/>
          <w:szCs w:val="24"/>
        </w:rPr>
        <w:t xml:space="preserve"> </w:t>
      </w:r>
    </w:p>
    <w:p w14:paraId="629C2107" w14:textId="6CB38960" w:rsidR="00A61D5C" w:rsidRPr="009933BF" w:rsidRDefault="00A61D5C" w:rsidP="009933BF">
      <w:pPr>
        <w:tabs>
          <w:tab w:val="left" w:pos="3108"/>
          <w:tab w:val="left" w:pos="7695"/>
        </w:tabs>
        <w:spacing w:line="276" w:lineRule="auto"/>
        <w:ind w:firstLine="2835"/>
        <w:jc w:val="both"/>
        <w:rPr>
          <w:rFonts w:ascii="Gadugi" w:hAnsi="Gadugi" w:cs="Century Gothic"/>
          <w:bCs/>
          <w:sz w:val="24"/>
          <w:szCs w:val="24"/>
        </w:rPr>
      </w:pPr>
    </w:p>
    <w:p w14:paraId="3EAA0EC1" w14:textId="46F0FAB7" w:rsidR="00C459CD" w:rsidRPr="009933BF" w:rsidRDefault="00BE16F9"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1.4. </w:t>
      </w:r>
      <w:r w:rsidR="00C459CD" w:rsidRPr="009933BF">
        <w:rPr>
          <w:rFonts w:ascii="Gadugi" w:hAnsi="Gadugi" w:cs="Century Gothic"/>
          <w:bCs/>
          <w:sz w:val="24"/>
          <w:szCs w:val="24"/>
        </w:rPr>
        <w:t>El Juzgado Sexto Civil Municipal local, remitió el enlace que se le solicitó.</w:t>
      </w:r>
      <w:r w:rsidR="008C3C26" w:rsidRPr="009933BF">
        <w:rPr>
          <w:rStyle w:val="Refdenotaalpie"/>
          <w:rFonts w:ascii="Gadugi" w:hAnsi="Gadugi"/>
          <w:bCs/>
          <w:sz w:val="24"/>
          <w:szCs w:val="24"/>
        </w:rPr>
        <w:footnoteReference w:id="4"/>
      </w:r>
    </w:p>
    <w:p w14:paraId="1836B33B" w14:textId="05869570" w:rsidR="00C459CD" w:rsidRPr="009933BF" w:rsidRDefault="00C459CD" w:rsidP="009933BF">
      <w:pPr>
        <w:tabs>
          <w:tab w:val="left" w:pos="3108"/>
          <w:tab w:val="left" w:pos="7695"/>
        </w:tabs>
        <w:spacing w:line="276" w:lineRule="auto"/>
        <w:ind w:firstLine="2835"/>
        <w:jc w:val="both"/>
        <w:rPr>
          <w:rFonts w:ascii="Gadugi" w:hAnsi="Gadugi" w:cs="Century Gothic"/>
          <w:bCs/>
          <w:sz w:val="24"/>
          <w:szCs w:val="24"/>
        </w:rPr>
      </w:pPr>
    </w:p>
    <w:p w14:paraId="171F919C" w14:textId="0F06C33B" w:rsidR="00C459CD" w:rsidRPr="009933BF" w:rsidRDefault="00BE16F9"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1.5. </w:t>
      </w:r>
      <w:r w:rsidR="00C459CD" w:rsidRPr="009933BF">
        <w:rPr>
          <w:rFonts w:ascii="Gadugi" w:hAnsi="Gadugi" w:cs="Century Gothic"/>
          <w:bCs/>
          <w:sz w:val="24"/>
          <w:szCs w:val="24"/>
        </w:rPr>
        <w:t xml:space="preserve">El vinculado Jaime Ardila Rodríguez, indicó que desconoce una norma que le impida contestar la demanda en manuscrito, y si bien la presentó en dos partes, lo cierto es que el juzgado no le halló reparo, ni tampoco el demandante que omitió invocar alguna nulidad por ese motivo. </w:t>
      </w:r>
    </w:p>
    <w:p w14:paraId="57185FB2" w14:textId="4E34D253" w:rsidR="00C459CD" w:rsidRPr="009933BF" w:rsidRDefault="00C459CD" w:rsidP="009933BF">
      <w:pPr>
        <w:tabs>
          <w:tab w:val="left" w:pos="3108"/>
          <w:tab w:val="left" w:pos="7695"/>
        </w:tabs>
        <w:spacing w:line="276" w:lineRule="auto"/>
        <w:ind w:firstLine="2835"/>
        <w:jc w:val="both"/>
        <w:rPr>
          <w:rFonts w:ascii="Gadugi" w:hAnsi="Gadugi" w:cs="Century Gothic"/>
          <w:bCs/>
          <w:sz w:val="24"/>
          <w:szCs w:val="24"/>
        </w:rPr>
      </w:pPr>
    </w:p>
    <w:p w14:paraId="6E8A3BAE" w14:textId="2FC10908" w:rsidR="00D83415" w:rsidRPr="009933BF" w:rsidRDefault="00D83415"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Adujo </w:t>
      </w:r>
      <w:r w:rsidR="00C459CD" w:rsidRPr="009933BF">
        <w:rPr>
          <w:rFonts w:ascii="Gadugi" w:hAnsi="Gadugi" w:cs="Century Gothic"/>
          <w:bCs/>
          <w:sz w:val="24"/>
          <w:szCs w:val="24"/>
        </w:rPr>
        <w:t xml:space="preserve">que su contestación </w:t>
      </w:r>
      <w:r w:rsidRPr="009933BF">
        <w:rPr>
          <w:rFonts w:ascii="Gadugi" w:hAnsi="Gadugi" w:cs="Century Gothic"/>
          <w:bCs/>
          <w:sz w:val="24"/>
          <w:szCs w:val="24"/>
        </w:rPr>
        <w:t>cumplía con los requisitos, además, ello no fue reprochado por la parte demandante en la audiencia</w:t>
      </w:r>
      <w:r w:rsidR="00BE16F9" w:rsidRPr="009933BF">
        <w:rPr>
          <w:rFonts w:ascii="Gadugi" w:hAnsi="Gadugi" w:cs="Century Gothic"/>
          <w:bCs/>
          <w:sz w:val="24"/>
          <w:szCs w:val="24"/>
        </w:rPr>
        <w:t>, y que e</w:t>
      </w:r>
      <w:r w:rsidRPr="009933BF">
        <w:rPr>
          <w:rFonts w:ascii="Gadugi" w:hAnsi="Gadugi" w:cs="Century Gothic"/>
          <w:bCs/>
          <w:sz w:val="24"/>
          <w:szCs w:val="24"/>
        </w:rPr>
        <w:t xml:space="preserve">l juzgado falló en derecho después de realizar un análisis del caso, sin que la parte demandante hubiera alegado alguna nulidad. </w:t>
      </w:r>
    </w:p>
    <w:p w14:paraId="7B71C841" w14:textId="571C6D3B" w:rsidR="00D83415" w:rsidRPr="009933BF" w:rsidRDefault="00D83415" w:rsidP="009933BF">
      <w:pPr>
        <w:tabs>
          <w:tab w:val="left" w:pos="3108"/>
          <w:tab w:val="left" w:pos="7695"/>
        </w:tabs>
        <w:spacing w:line="276" w:lineRule="auto"/>
        <w:ind w:firstLine="2835"/>
        <w:jc w:val="both"/>
        <w:rPr>
          <w:rFonts w:ascii="Gadugi" w:hAnsi="Gadugi" w:cs="Century Gothic"/>
          <w:bCs/>
          <w:sz w:val="24"/>
          <w:szCs w:val="24"/>
        </w:rPr>
      </w:pPr>
    </w:p>
    <w:p w14:paraId="789767F1" w14:textId="3F447C3D" w:rsidR="00D83415" w:rsidRPr="009933BF" w:rsidRDefault="00D83415"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Aseveró que </w:t>
      </w:r>
      <w:r w:rsidRPr="009933BF">
        <w:rPr>
          <w:rFonts w:ascii="Gadugi" w:hAnsi="Gadugi" w:cs="Century Gothic"/>
          <w:bCs/>
          <w:i/>
          <w:sz w:val="24"/>
          <w:szCs w:val="24"/>
        </w:rPr>
        <w:t>“</w:t>
      </w:r>
      <w:r w:rsidRPr="009933BF">
        <w:rPr>
          <w:rFonts w:ascii="Gadugi" w:hAnsi="Gadugi" w:cs="Century Gothic"/>
          <w:bCs/>
          <w:i/>
          <w:sz w:val="22"/>
          <w:szCs w:val="24"/>
        </w:rPr>
        <w:t>(…) al señor Villafañe no le debo absolutamente nada, por lo contrario él me adeuda más de $50.000.000 de arrendamiento, daños, perjuicios morales y materiales, agua, industria y comercio, que me tocó cancelar para evitar cortes y reconexiones</w:t>
      </w:r>
      <w:r w:rsidRPr="009933BF">
        <w:rPr>
          <w:rFonts w:ascii="Gadugi" w:hAnsi="Gadugi" w:cs="Century Gothic"/>
          <w:bCs/>
          <w:i/>
          <w:sz w:val="24"/>
          <w:szCs w:val="24"/>
        </w:rPr>
        <w:t>”</w:t>
      </w:r>
      <w:r w:rsidRPr="009933BF">
        <w:rPr>
          <w:rFonts w:ascii="Gadugi" w:hAnsi="Gadugi" w:cs="Century Gothic"/>
          <w:bCs/>
          <w:sz w:val="24"/>
          <w:szCs w:val="24"/>
        </w:rPr>
        <w:t xml:space="preserve"> y agregó que el accionante se vale de artimañas, demandas y acciones de tutela para entorpecer el proceso.</w:t>
      </w:r>
      <w:r w:rsidR="008C3C26" w:rsidRPr="009933BF">
        <w:rPr>
          <w:rStyle w:val="Refdenotaalpie"/>
          <w:rFonts w:ascii="Gadugi" w:hAnsi="Gadugi"/>
          <w:bCs/>
          <w:sz w:val="24"/>
          <w:szCs w:val="24"/>
        </w:rPr>
        <w:footnoteReference w:id="5"/>
      </w:r>
      <w:r w:rsidRPr="009933BF">
        <w:rPr>
          <w:rFonts w:ascii="Gadugi" w:hAnsi="Gadugi" w:cs="Century Gothic"/>
          <w:bCs/>
          <w:sz w:val="24"/>
          <w:szCs w:val="24"/>
        </w:rPr>
        <w:t xml:space="preserve">  </w:t>
      </w:r>
    </w:p>
    <w:p w14:paraId="1BD59B4D" w14:textId="77777777" w:rsidR="00C459CD" w:rsidRPr="009933BF" w:rsidRDefault="00C459CD" w:rsidP="009933BF">
      <w:pPr>
        <w:tabs>
          <w:tab w:val="left" w:pos="3108"/>
          <w:tab w:val="left" w:pos="7695"/>
        </w:tabs>
        <w:spacing w:line="276" w:lineRule="auto"/>
        <w:ind w:firstLine="2835"/>
        <w:jc w:val="both"/>
        <w:rPr>
          <w:rFonts w:ascii="Gadugi" w:hAnsi="Gadugi" w:cs="Century Gothic"/>
          <w:bCs/>
          <w:sz w:val="24"/>
          <w:szCs w:val="24"/>
        </w:rPr>
      </w:pPr>
    </w:p>
    <w:p w14:paraId="6EBA7A18" w14:textId="551A2833" w:rsidR="00A6292F" w:rsidRPr="009933BF" w:rsidRDefault="00BE16F9"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1.6. </w:t>
      </w:r>
      <w:r w:rsidR="00A61D5C" w:rsidRPr="009933BF">
        <w:rPr>
          <w:rFonts w:ascii="Gadugi" w:hAnsi="Gadugi" w:cs="Century Gothic"/>
          <w:bCs/>
          <w:sz w:val="24"/>
          <w:szCs w:val="24"/>
        </w:rPr>
        <w:t>Sobrevino la sentencia de primer grado que estimó procedente la demanda, pero negó la protección</w:t>
      </w:r>
      <w:r w:rsidR="00A6292F" w:rsidRPr="009933BF">
        <w:rPr>
          <w:rFonts w:ascii="Gadugi" w:hAnsi="Gadugi" w:cs="Century Gothic"/>
          <w:bCs/>
          <w:sz w:val="24"/>
          <w:szCs w:val="24"/>
        </w:rPr>
        <w:t>, con la siguiente exposición de motivos:</w:t>
      </w:r>
    </w:p>
    <w:p w14:paraId="088859F7" w14:textId="77777777" w:rsidR="00A6292F" w:rsidRPr="009933BF" w:rsidRDefault="00A6292F" w:rsidP="009933BF">
      <w:pPr>
        <w:tabs>
          <w:tab w:val="left" w:pos="3108"/>
          <w:tab w:val="left" w:pos="7695"/>
        </w:tabs>
        <w:spacing w:line="276" w:lineRule="auto"/>
        <w:ind w:firstLine="2835"/>
        <w:jc w:val="both"/>
        <w:rPr>
          <w:rFonts w:ascii="Gadugi" w:hAnsi="Gadugi" w:cs="Century Gothic"/>
          <w:bCs/>
          <w:sz w:val="24"/>
          <w:szCs w:val="24"/>
        </w:rPr>
      </w:pPr>
    </w:p>
    <w:p w14:paraId="60599A49" w14:textId="356A3B60" w:rsidR="00D83415" w:rsidRPr="009933BF" w:rsidRDefault="00A6292F" w:rsidP="00D275C1">
      <w:pPr>
        <w:ind w:left="426" w:right="420" w:firstLine="1134"/>
        <w:jc w:val="both"/>
        <w:rPr>
          <w:rFonts w:ascii="Gadugi" w:hAnsi="Gadugi" w:cs="Century Gothic"/>
          <w:bCs/>
          <w:sz w:val="24"/>
          <w:szCs w:val="24"/>
        </w:rPr>
      </w:pPr>
      <w:r w:rsidRPr="00D275C1">
        <w:rPr>
          <w:rFonts w:ascii="Gadugi" w:hAnsi="Gadugi" w:cs="Century Gothic"/>
          <w:bCs/>
          <w:sz w:val="22"/>
          <w:szCs w:val="24"/>
        </w:rPr>
        <w:t>De la revisión integra del expediente 2020-00609-00, y escuchada detenidamente la audiencia celebrada en el asunto de marras, se avizora que la Agencia Judicial accionada mediante audiencia del 15-06-2021 denegó las pretensiones de la demanda, sin que se revele una posición injusta y caprichosa que permitiera la intromisión del Juez de tutela en el proceso que conoce el Juzgado Sexto Civil Municipal desde antaño, quien en últimas es su Juez Natural y es quien; en efecto, conoce de primera mano cada una de las etapas que en aquel se ha presentado, máxime cuando, pese a que se escudriño con detenimiento el proceso, no se logró percibir los efectos materiales desfavorables que podrían derivarse de las decisiones que reprocha el accionante; por el contrario, en sus providencias el Juez de Primer Grado siempre busco obtener la verdad procesal, buscando un convencimiento para proferir la decisión correspondiente.</w:t>
      </w:r>
      <w:r w:rsidRPr="00D275C1">
        <w:rPr>
          <w:rFonts w:ascii="Gadugi" w:hAnsi="Gadugi" w:cs="Century Gothic"/>
          <w:bCs/>
          <w:sz w:val="22"/>
          <w:szCs w:val="24"/>
        </w:rPr>
        <w:cr/>
      </w:r>
    </w:p>
    <w:p w14:paraId="2D81EA33" w14:textId="0E2129AD" w:rsidR="00D83415" w:rsidRPr="009933BF" w:rsidRDefault="00154BFB" w:rsidP="009933BF">
      <w:pPr>
        <w:tabs>
          <w:tab w:val="left" w:pos="3108"/>
          <w:tab w:val="left" w:pos="7695"/>
        </w:tabs>
        <w:spacing w:line="276" w:lineRule="auto"/>
        <w:ind w:firstLine="2835"/>
        <w:jc w:val="both"/>
        <w:rPr>
          <w:rFonts w:ascii="Gadugi" w:hAnsi="Gadugi" w:cs="Century Gothic"/>
          <w:bCs/>
          <w:sz w:val="24"/>
          <w:szCs w:val="24"/>
        </w:rPr>
      </w:pPr>
      <w:r w:rsidRPr="009933BF">
        <w:rPr>
          <w:rFonts w:ascii="Gadugi" w:hAnsi="Gadugi" w:cs="Century Gothic"/>
          <w:bCs/>
          <w:sz w:val="24"/>
          <w:szCs w:val="24"/>
        </w:rPr>
        <w:t xml:space="preserve">A ello le agregó, después de analizar con exhaustividad el decurso de la audiencia en la que se definió el monitorio, que el juez acusado valoró debidamente las pruebas y concluyó que lo que se estaba reclamando, ya había sido </w:t>
      </w:r>
      <w:r w:rsidRPr="009933BF">
        <w:rPr>
          <w:rFonts w:ascii="Gadugi" w:hAnsi="Gadugi" w:cs="Century Gothic"/>
          <w:bCs/>
          <w:sz w:val="24"/>
          <w:szCs w:val="24"/>
        </w:rPr>
        <w:lastRenderedPageBreak/>
        <w:t>resuelto en un juicio de restitución de tenencia en el que estaban involucradas las mismas partes.</w:t>
      </w:r>
      <w:r w:rsidR="008C3C26" w:rsidRPr="009933BF">
        <w:rPr>
          <w:rStyle w:val="Refdenotaalpie"/>
          <w:rFonts w:ascii="Gadugi" w:hAnsi="Gadugi"/>
          <w:bCs/>
          <w:sz w:val="24"/>
          <w:szCs w:val="24"/>
        </w:rPr>
        <w:footnoteReference w:id="6"/>
      </w:r>
      <w:r w:rsidRPr="009933BF">
        <w:rPr>
          <w:rFonts w:ascii="Gadugi" w:hAnsi="Gadugi" w:cs="Century Gothic"/>
          <w:bCs/>
          <w:sz w:val="24"/>
          <w:szCs w:val="24"/>
        </w:rPr>
        <w:t xml:space="preserve"> </w:t>
      </w:r>
    </w:p>
    <w:p w14:paraId="14A5A946" w14:textId="77777777" w:rsidR="00A61D5C" w:rsidRPr="009933BF" w:rsidRDefault="00A61D5C" w:rsidP="009933BF">
      <w:pPr>
        <w:tabs>
          <w:tab w:val="left" w:pos="2835"/>
        </w:tabs>
        <w:spacing w:line="276" w:lineRule="auto"/>
        <w:jc w:val="both"/>
        <w:rPr>
          <w:rFonts w:ascii="Gadugi" w:hAnsi="Gadugi" w:cs="Arial"/>
          <w:sz w:val="24"/>
          <w:szCs w:val="24"/>
        </w:rPr>
      </w:pPr>
    </w:p>
    <w:p w14:paraId="115AB2D4" w14:textId="17A4612A" w:rsidR="00433F4E" w:rsidRPr="009933BF" w:rsidRDefault="008A2799"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tab/>
      </w:r>
      <w:r w:rsidR="00BE16F9" w:rsidRPr="009933BF">
        <w:rPr>
          <w:rFonts w:ascii="Gadugi" w:hAnsi="Gadugi" w:cs="Arial"/>
          <w:sz w:val="24"/>
          <w:szCs w:val="24"/>
        </w:rPr>
        <w:t xml:space="preserve">1.7. </w:t>
      </w:r>
      <w:r w:rsidRPr="009933BF">
        <w:rPr>
          <w:rFonts w:ascii="Gadugi" w:hAnsi="Gadugi" w:cs="Arial"/>
          <w:sz w:val="24"/>
          <w:szCs w:val="24"/>
        </w:rPr>
        <w:t>Impugnó la parte actora</w:t>
      </w:r>
      <w:r w:rsidR="00433F4E" w:rsidRPr="009933BF">
        <w:rPr>
          <w:rFonts w:ascii="Gadugi" w:hAnsi="Gadugi" w:cs="Arial"/>
          <w:sz w:val="24"/>
          <w:szCs w:val="24"/>
        </w:rPr>
        <w:t xml:space="preserve"> que insistió e</w:t>
      </w:r>
      <w:r w:rsidR="000868CA" w:rsidRPr="009933BF">
        <w:rPr>
          <w:rFonts w:ascii="Gadugi" w:hAnsi="Gadugi" w:cs="Arial"/>
          <w:sz w:val="24"/>
          <w:szCs w:val="24"/>
        </w:rPr>
        <w:t>n</w:t>
      </w:r>
      <w:r w:rsidR="00433F4E" w:rsidRPr="009933BF">
        <w:rPr>
          <w:rFonts w:ascii="Gadugi" w:hAnsi="Gadugi" w:cs="Arial"/>
          <w:sz w:val="24"/>
          <w:szCs w:val="24"/>
        </w:rPr>
        <w:t xml:space="preserve"> que hubo una violación de los artículos 419, 420 y 421 del CGP y</w:t>
      </w:r>
      <w:r w:rsidR="005C43B2" w:rsidRPr="009933BF">
        <w:rPr>
          <w:rFonts w:ascii="Gadugi" w:hAnsi="Gadugi" w:cs="Arial"/>
          <w:sz w:val="24"/>
          <w:szCs w:val="24"/>
        </w:rPr>
        <w:t xml:space="preserve"> </w:t>
      </w:r>
      <w:r w:rsidR="00433F4E" w:rsidRPr="009933BF">
        <w:rPr>
          <w:rFonts w:ascii="Gadugi" w:hAnsi="Gadugi" w:cs="Arial"/>
          <w:sz w:val="24"/>
          <w:szCs w:val="24"/>
        </w:rPr>
        <w:t>planteó que el tema de las mejoras e indemnizaciones no fue debatido, sino solo planteado, en el proceso de restitución de inmueble arrendado.</w:t>
      </w:r>
      <w:r w:rsidR="00433F4E" w:rsidRPr="009933BF">
        <w:rPr>
          <w:rStyle w:val="Refdenotaalpie"/>
          <w:rFonts w:ascii="Gadugi" w:hAnsi="Gadugi"/>
          <w:sz w:val="24"/>
          <w:szCs w:val="24"/>
        </w:rPr>
        <w:t xml:space="preserve"> </w:t>
      </w:r>
      <w:r w:rsidR="00433F4E" w:rsidRPr="009933BF">
        <w:rPr>
          <w:rStyle w:val="Refdenotaalpie"/>
          <w:rFonts w:ascii="Gadugi" w:hAnsi="Gadugi"/>
          <w:sz w:val="24"/>
          <w:szCs w:val="24"/>
        </w:rPr>
        <w:footnoteReference w:id="7"/>
      </w:r>
      <w:r w:rsidR="00433F4E" w:rsidRPr="009933BF">
        <w:rPr>
          <w:rFonts w:ascii="Gadugi" w:hAnsi="Gadugi" w:cs="Arial"/>
          <w:sz w:val="24"/>
          <w:szCs w:val="24"/>
        </w:rPr>
        <w:t xml:space="preserve"> </w:t>
      </w:r>
    </w:p>
    <w:p w14:paraId="0A2D8230" w14:textId="77777777" w:rsidR="00213BBB" w:rsidRPr="009933BF" w:rsidRDefault="00213BBB" w:rsidP="009933BF">
      <w:pPr>
        <w:tabs>
          <w:tab w:val="left" w:pos="3108"/>
        </w:tabs>
        <w:spacing w:line="276" w:lineRule="auto"/>
        <w:ind w:firstLine="2835"/>
        <w:jc w:val="both"/>
        <w:rPr>
          <w:rFonts w:ascii="Gadugi" w:hAnsi="Gadugi" w:cs="Arial"/>
          <w:b/>
          <w:sz w:val="24"/>
          <w:szCs w:val="24"/>
        </w:rPr>
      </w:pPr>
    </w:p>
    <w:p w14:paraId="7AC2DF7F" w14:textId="77777777" w:rsidR="00213BBB" w:rsidRPr="009933BF" w:rsidRDefault="00213BBB" w:rsidP="009933BF">
      <w:pPr>
        <w:tabs>
          <w:tab w:val="left" w:pos="3108"/>
        </w:tabs>
        <w:spacing w:line="276" w:lineRule="auto"/>
        <w:ind w:firstLine="2835"/>
        <w:jc w:val="both"/>
        <w:rPr>
          <w:rFonts w:ascii="Gadugi" w:hAnsi="Gadugi" w:cs="Arial"/>
          <w:b/>
          <w:sz w:val="24"/>
          <w:szCs w:val="24"/>
        </w:rPr>
      </w:pPr>
    </w:p>
    <w:p w14:paraId="3E084F27" w14:textId="1CEB6E30" w:rsidR="00CD73E5" w:rsidRPr="009933BF" w:rsidRDefault="00BE16F9" w:rsidP="009933BF">
      <w:pPr>
        <w:tabs>
          <w:tab w:val="left" w:pos="3108"/>
        </w:tabs>
        <w:spacing w:line="276" w:lineRule="auto"/>
        <w:ind w:firstLine="2835"/>
        <w:jc w:val="both"/>
        <w:rPr>
          <w:rFonts w:ascii="Gadugi" w:hAnsi="Gadugi" w:cs="Arial"/>
          <w:b/>
          <w:sz w:val="24"/>
          <w:szCs w:val="24"/>
        </w:rPr>
      </w:pPr>
      <w:r w:rsidRPr="009933BF">
        <w:rPr>
          <w:rFonts w:ascii="Gadugi" w:hAnsi="Gadugi" w:cs="Arial"/>
          <w:b/>
          <w:sz w:val="24"/>
          <w:szCs w:val="24"/>
        </w:rPr>
        <w:t xml:space="preserve">2. </w:t>
      </w:r>
      <w:r w:rsidR="00CD73E5" w:rsidRPr="009933BF">
        <w:rPr>
          <w:rFonts w:ascii="Gadugi" w:hAnsi="Gadugi" w:cs="Arial"/>
          <w:b/>
          <w:sz w:val="24"/>
          <w:szCs w:val="24"/>
        </w:rPr>
        <w:t>CONSIDERACIONES</w:t>
      </w:r>
    </w:p>
    <w:p w14:paraId="5FD16B4D" w14:textId="77777777" w:rsidR="00CD73E5" w:rsidRPr="009933BF" w:rsidRDefault="00CD73E5" w:rsidP="009933BF">
      <w:pPr>
        <w:tabs>
          <w:tab w:val="left" w:pos="3108"/>
        </w:tabs>
        <w:spacing w:line="276" w:lineRule="auto"/>
        <w:ind w:firstLine="2835"/>
        <w:jc w:val="both"/>
        <w:rPr>
          <w:rFonts w:ascii="Gadugi" w:hAnsi="Gadugi" w:cs="Arial"/>
          <w:sz w:val="24"/>
          <w:szCs w:val="24"/>
          <w:u w:val="single"/>
        </w:rPr>
      </w:pPr>
    </w:p>
    <w:p w14:paraId="64659FF8" w14:textId="77777777" w:rsidR="00AC20A1" w:rsidRPr="009933BF" w:rsidRDefault="00AC20A1" w:rsidP="009933BF">
      <w:pPr>
        <w:pStyle w:val="Textoindependiente21"/>
        <w:tabs>
          <w:tab w:val="left" w:pos="3108"/>
        </w:tabs>
        <w:spacing w:line="276" w:lineRule="auto"/>
        <w:rPr>
          <w:rFonts w:ascii="Gadugi" w:hAnsi="Gadugi"/>
          <w:szCs w:val="24"/>
        </w:rPr>
      </w:pPr>
    </w:p>
    <w:p w14:paraId="3E681443" w14:textId="68D19BD6" w:rsidR="00CD73E5" w:rsidRPr="009933BF" w:rsidRDefault="00646CEC" w:rsidP="009933BF">
      <w:pPr>
        <w:pStyle w:val="Textoindependiente21"/>
        <w:tabs>
          <w:tab w:val="left" w:pos="3108"/>
        </w:tabs>
        <w:spacing w:line="276" w:lineRule="auto"/>
        <w:rPr>
          <w:rFonts w:ascii="Gadugi" w:hAnsi="Gadugi"/>
          <w:szCs w:val="24"/>
        </w:rPr>
      </w:pPr>
      <w:r w:rsidRPr="009933BF">
        <w:rPr>
          <w:rFonts w:ascii="Gadugi" w:hAnsi="Gadugi"/>
          <w:szCs w:val="24"/>
        </w:rPr>
        <w:t xml:space="preserve">2.1. </w:t>
      </w:r>
      <w:r w:rsidR="009E0FD8" w:rsidRPr="009933BF">
        <w:rPr>
          <w:rFonts w:ascii="Gadugi" w:hAnsi="Gadugi"/>
          <w:szCs w:val="24"/>
        </w:rPr>
        <w:t>L</w:t>
      </w:r>
      <w:r w:rsidR="00F66464" w:rsidRPr="009933BF">
        <w:rPr>
          <w:rFonts w:ascii="Gadugi" w:hAnsi="Gadugi"/>
          <w:szCs w:val="24"/>
        </w:rPr>
        <w:t>a acción de</w:t>
      </w:r>
      <w:r w:rsidR="00CD73E5" w:rsidRPr="009933BF">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39DE15AC" w14:textId="77777777" w:rsidR="00CD73E5" w:rsidRPr="009933BF" w:rsidRDefault="00CD73E5" w:rsidP="009933BF">
      <w:pPr>
        <w:tabs>
          <w:tab w:val="left" w:pos="2835"/>
        </w:tabs>
        <w:spacing w:line="276" w:lineRule="auto"/>
        <w:ind w:firstLine="2835"/>
        <w:jc w:val="both"/>
        <w:rPr>
          <w:rFonts w:ascii="Gadugi" w:hAnsi="Gadugi"/>
          <w:sz w:val="24"/>
          <w:szCs w:val="24"/>
        </w:rPr>
      </w:pPr>
      <w:r w:rsidRPr="009933BF">
        <w:rPr>
          <w:rFonts w:ascii="Gadugi" w:hAnsi="Gadugi"/>
          <w:sz w:val="24"/>
          <w:szCs w:val="24"/>
        </w:rPr>
        <w:t xml:space="preserve">  </w:t>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p>
    <w:p w14:paraId="0C0FB840" w14:textId="38213A0A" w:rsidR="00915650" w:rsidRPr="009933BF" w:rsidRDefault="00646CEC" w:rsidP="009933BF">
      <w:pPr>
        <w:tabs>
          <w:tab w:val="left" w:pos="3108"/>
        </w:tabs>
        <w:spacing w:line="276" w:lineRule="auto"/>
        <w:ind w:firstLine="2835"/>
        <w:jc w:val="both"/>
        <w:rPr>
          <w:rFonts w:ascii="Gadugi" w:hAnsi="Gadugi" w:cs="Arial"/>
          <w:sz w:val="24"/>
          <w:szCs w:val="24"/>
        </w:rPr>
      </w:pPr>
      <w:r w:rsidRPr="009933BF">
        <w:rPr>
          <w:rFonts w:ascii="Gadugi" w:hAnsi="Gadugi"/>
          <w:sz w:val="24"/>
          <w:szCs w:val="24"/>
        </w:rPr>
        <w:t xml:space="preserve">2.2. </w:t>
      </w:r>
      <w:bookmarkStart w:id="2" w:name="_Hlk100302527"/>
      <w:r w:rsidR="009022F5" w:rsidRPr="009933BF">
        <w:rPr>
          <w:rFonts w:ascii="Gadugi" w:hAnsi="Gadugi"/>
          <w:sz w:val="24"/>
          <w:szCs w:val="24"/>
        </w:rPr>
        <w:t xml:space="preserve">Acude </w:t>
      </w:r>
      <w:r w:rsidR="00213BBB" w:rsidRPr="009933BF">
        <w:rPr>
          <w:rFonts w:ascii="Gadugi" w:hAnsi="Gadugi"/>
          <w:sz w:val="24"/>
          <w:szCs w:val="24"/>
        </w:rPr>
        <w:t>el señor Villafañe Castaño</w:t>
      </w:r>
      <w:r w:rsidR="00CD73E5" w:rsidRPr="009933BF">
        <w:rPr>
          <w:rFonts w:ascii="Gadugi" w:hAnsi="Gadugi"/>
          <w:sz w:val="24"/>
          <w:szCs w:val="24"/>
        </w:rPr>
        <w:t xml:space="preserve"> </w:t>
      </w:r>
      <w:r w:rsidR="00CD73E5" w:rsidRPr="009933BF">
        <w:rPr>
          <w:rFonts w:ascii="Gadugi" w:hAnsi="Gadugi" w:cs="Arial"/>
          <w:sz w:val="24"/>
          <w:szCs w:val="24"/>
        </w:rPr>
        <w:t>en procura de la protección de</w:t>
      </w:r>
      <w:r w:rsidR="00D97D5E" w:rsidRPr="009933BF">
        <w:rPr>
          <w:rFonts w:ascii="Gadugi" w:hAnsi="Gadugi" w:cs="Arial"/>
          <w:sz w:val="24"/>
          <w:szCs w:val="24"/>
        </w:rPr>
        <w:t xml:space="preserve"> </w:t>
      </w:r>
      <w:r w:rsidR="00642E81" w:rsidRPr="009933BF">
        <w:rPr>
          <w:rFonts w:ascii="Gadugi" w:hAnsi="Gadugi" w:cs="Arial"/>
          <w:sz w:val="24"/>
          <w:szCs w:val="24"/>
        </w:rPr>
        <w:t>su derecho al debido proceso</w:t>
      </w:r>
      <w:r w:rsidR="00213BBB" w:rsidRPr="009933BF">
        <w:rPr>
          <w:rFonts w:ascii="Gadugi" w:hAnsi="Gadugi" w:cs="Arial"/>
          <w:sz w:val="24"/>
          <w:szCs w:val="24"/>
        </w:rPr>
        <w:t xml:space="preserve">, </w:t>
      </w:r>
      <w:r w:rsidR="00E460C4" w:rsidRPr="009933BF">
        <w:rPr>
          <w:rFonts w:ascii="Gadugi" w:hAnsi="Gadugi" w:cs="Arial"/>
          <w:sz w:val="24"/>
          <w:szCs w:val="24"/>
        </w:rPr>
        <w:t>por la inconformidad que le causa</w:t>
      </w:r>
      <w:r w:rsidR="00915650" w:rsidRPr="009933BF">
        <w:rPr>
          <w:rFonts w:ascii="Gadugi" w:hAnsi="Gadugi" w:cs="Arial"/>
          <w:sz w:val="24"/>
          <w:szCs w:val="24"/>
        </w:rPr>
        <w:t>, por una parte,</w:t>
      </w:r>
      <w:r w:rsidR="00213BBB" w:rsidRPr="009933BF">
        <w:rPr>
          <w:rFonts w:ascii="Gadugi" w:hAnsi="Gadugi" w:cs="Arial"/>
          <w:sz w:val="24"/>
          <w:szCs w:val="24"/>
        </w:rPr>
        <w:t xml:space="preserve"> </w:t>
      </w:r>
      <w:r w:rsidR="00915650" w:rsidRPr="009933BF">
        <w:rPr>
          <w:rFonts w:ascii="Gadugi" w:hAnsi="Gadugi" w:cs="Arial"/>
          <w:sz w:val="24"/>
          <w:szCs w:val="24"/>
        </w:rPr>
        <w:t xml:space="preserve">el trámite que se le dio al proceso monitorio de marras, el cual considera ajeno al dispuesto en los artículos 419, 420 y 421 del CGP; y por otra, que en la decisión de ese caso se hubiera </w:t>
      </w:r>
      <w:r w:rsidR="00915650" w:rsidRPr="009933BF">
        <w:rPr>
          <w:rFonts w:ascii="Gadugi" w:hAnsi="Gadugi" w:cs="Arial"/>
          <w:i/>
          <w:sz w:val="24"/>
          <w:szCs w:val="24"/>
        </w:rPr>
        <w:t>“</w:t>
      </w:r>
      <w:r w:rsidR="00915650" w:rsidRPr="009933BF">
        <w:rPr>
          <w:rFonts w:ascii="Gadugi" w:hAnsi="Gadugi" w:cs="Arial"/>
          <w:i/>
          <w:sz w:val="22"/>
          <w:szCs w:val="24"/>
        </w:rPr>
        <w:t>dejando por fuera la valoración de las pruebas aportadas</w:t>
      </w:r>
      <w:r w:rsidR="00915650" w:rsidRPr="009933BF">
        <w:rPr>
          <w:rFonts w:ascii="Gadugi" w:hAnsi="Gadugi" w:cs="Arial"/>
          <w:i/>
          <w:sz w:val="24"/>
          <w:szCs w:val="24"/>
        </w:rPr>
        <w:t>”.</w:t>
      </w:r>
      <w:r w:rsidR="00915650" w:rsidRPr="009933BF">
        <w:rPr>
          <w:rFonts w:ascii="Gadugi" w:hAnsi="Gadugi" w:cs="Arial"/>
          <w:sz w:val="24"/>
          <w:szCs w:val="24"/>
        </w:rPr>
        <w:t xml:space="preserve"> </w:t>
      </w:r>
      <w:bookmarkEnd w:id="2"/>
    </w:p>
    <w:p w14:paraId="71BFAF82" w14:textId="55DD5825" w:rsidR="002A1F1E" w:rsidRPr="009933BF" w:rsidRDefault="00646CEC"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p>
    <w:p w14:paraId="12BE7F90" w14:textId="48650A96" w:rsidR="00BF5A0B" w:rsidRPr="009933BF" w:rsidRDefault="00BF5A0B" w:rsidP="009933BF">
      <w:pPr>
        <w:spacing w:line="276" w:lineRule="auto"/>
        <w:jc w:val="both"/>
        <w:rPr>
          <w:rFonts w:ascii="Gadugi" w:hAnsi="Gadugi"/>
          <w:sz w:val="24"/>
          <w:szCs w:val="24"/>
        </w:rPr>
      </w:pPr>
      <w:r w:rsidRPr="009933BF">
        <w:rPr>
          <w:rFonts w:ascii="Gadugi" w:hAnsi="Gadugi"/>
          <w:sz w:val="24"/>
          <w:szCs w:val="24"/>
        </w:rPr>
        <w:t xml:space="preserve">  </w:t>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00646CEC" w:rsidRPr="009933BF">
        <w:rPr>
          <w:rFonts w:ascii="Gadugi" w:hAnsi="Gadugi"/>
          <w:sz w:val="24"/>
          <w:szCs w:val="24"/>
        </w:rPr>
        <w:t xml:space="preserve">2.3. </w:t>
      </w:r>
      <w:r w:rsidRPr="009933BF">
        <w:rPr>
          <w:rFonts w:ascii="Gadugi" w:hAnsi="Gadugi"/>
          <w:sz w:val="24"/>
          <w:szCs w:val="24"/>
        </w:rPr>
        <w:t>R</w:t>
      </w:r>
      <w:r w:rsidRPr="009933BF">
        <w:rPr>
          <w:rFonts w:ascii="Gadugi" w:hAnsi="Gadugi" w:cs="Arial"/>
          <w:sz w:val="24"/>
          <w:szCs w:val="24"/>
        </w:rPr>
        <w:t xml:space="preserve">eiteradamente se ha expuesto que </w:t>
      </w:r>
      <w:r w:rsidRPr="009933BF">
        <w:rPr>
          <w:rFonts w:ascii="Gadugi" w:hAnsi="Gadugi"/>
          <w:sz w:val="24"/>
          <w:szCs w:val="24"/>
        </w:rPr>
        <w:t>a pesar de la inexequibilidad de las normas que en el Decreto 2591 de 1991 preveían la acción de tutela contra providencias judiciales</w:t>
      </w:r>
      <w:r w:rsidRPr="009933BF">
        <w:rPr>
          <w:rStyle w:val="Refdenotaalpie"/>
          <w:rFonts w:ascii="Gadugi" w:hAnsi="Gadugi"/>
          <w:sz w:val="24"/>
          <w:szCs w:val="24"/>
        </w:rPr>
        <w:footnoteReference w:id="8"/>
      </w:r>
      <w:r w:rsidRPr="009933BF">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9933BF">
        <w:rPr>
          <w:rFonts w:ascii="Gadugi" w:hAnsi="Gadugi" w:cs="Arial"/>
          <w:sz w:val="24"/>
          <w:szCs w:val="24"/>
        </w:rPr>
        <w:t xml:space="preserve"> en múltiples ocasiones. Sobre ellas, recientemente, en las sentencias SU-222 de 2016, SU573 de 2017 y SU004 de 2018, </w:t>
      </w:r>
      <w:r w:rsidRPr="009933BF">
        <w:rPr>
          <w:rFonts w:ascii="Gadugi" w:hAnsi="Gadugi" w:cs="Arial"/>
          <w:sz w:val="24"/>
          <w:szCs w:val="24"/>
          <w:lang w:val="es-419"/>
        </w:rPr>
        <w:t xml:space="preserve">reiteradas en las sentencias </w:t>
      </w:r>
      <w:r w:rsidRPr="009933BF">
        <w:rPr>
          <w:rFonts w:ascii="Gadugi" w:hAnsi="Gadugi" w:cs="Arial"/>
          <w:sz w:val="24"/>
          <w:szCs w:val="24"/>
        </w:rPr>
        <w:t>T-008-20, T-053-20,</w:t>
      </w:r>
      <w:r w:rsidR="00E460C4" w:rsidRPr="009933BF">
        <w:rPr>
          <w:rFonts w:ascii="Gadugi" w:hAnsi="Gadugi" w:cs="Arial"/>
          <w:sz w:val="24"/>
          <w:szCs w:val="24"/>
        </w:rPr>
        <w:t xml:space="preserve"> T-045-21, T-019</w:t>
      </w:r>
      <w:r w:rsidR="005F33AC" w:rsidRPr="009933BF">
        <w:rPr>
          <w:rFonts w:ascii="Gadugi" w:hAnsi="Gadugi" w:cs="Arial"/>
          <w:sz w:val="24"/>
          <w:szCs w:val="24"/>
        </w:rPr>
        <w:t>-</w:t>
      </w:r>
      <w:r w:rsidR="00E460C4" w:rsidRPr="009933BF">
        <w:rPr>
          <w:rFonts w:ascii="Gadugi" w:hAnsi="Gadugi" w:cs="Arial"/>
          <w:sz w:val="24"/>
          <w:szCs w:val="24"/>
        </w:rPr>
        <w:t>21</w:t>
      </w:r>
      <w:r w:rsidR="00CF0E46" w:rsidRPr="009933BF">
        <w:rPr>
          <w:rFonts w:ascii="Gadugi" w:hAnsi="Gadugi" w:cs="Arial"/>
          <w:sz w:val="24"/>
          <w:szCs w:val="24"/>
        </w:rPr>
        <w:t xml:space="preserve">, y más recientemente en la SU128-21, </w:t>
      </w:r>
      <w:r w:rsidRPr="009933BF">
        <w:rPr>
          <w:rFonts w:ascii="Gadugi" w:hAnsi="Gadugi" w:cs="Arial"/>
          <w:sz w:val="24"/>
          <w:szCs w:val="24"/>
        </w:rPr>
        <w:t xml:space="preserve">todas aludiendo a la C-590 de 2005, recordó que las primeras obedecen a </w:t>
      </w:r>
      <w:r w:rsidRPr="009933BF">
        <w:rPr>
          <w:rFonts w:ascii="Gadugi" w:hAnsi="Gadugi"/>
          <w:sz w:val="24"/>
          <w:szCs w:val="24"/>
          <w:bdr w:val="none" w:sz="0" w:space="0" w:color="auto" w:frame="1"/>
          <w:lang w:val="es-CO"/>
        </w:rPr>
        <w:t xml:space="preserve">(i)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w:t>
      </w:r>
      <w:r w:rsidRPr="009933BF">
        <w:rPr>
          <w:rFonts w:ascii="Gadugi" w:hAnsi="Gadugi"/>
          <w:sz w:val="24"/>
          <w:szCs w:val="24"/>
          <w:bdr w:val="none" w:sz="0" w:space="0" w:color="auto" w:frame="1"/>
          <w:lang w:val="es-CO"/>
        </w:rPr>
        <w:lastRenderedPageBreak/>
        <w:t>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9933BF">
        <w:rPr>
          <w:rFonts w:ascii="Gadugi" w:hAnsi="Gadugi"/>
          <w:sz w:val="24"/>
          <w:szCs w:val="24"/>
        </w:rPr>
        <w:t xml:space="preserve"> </w:t>
      </w:r>
      <w:r w:rsidRPr="009933BF">
        <w:rPr>
          <w:rFonts w:ascii="Gadugi" w:hAnsi="Gadugi" w:cs="Arial"/>
          <w:sz w:val="24"/>
          <w:szCs w:val="24"/>
        </w:rPr>
        <w:t>Y en cuanto a las segundas, es decir, las causales específicas, se compendian en los defectos</w:t>
      </w:r>
      <w:r w:rsidRPr="009933BF">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9933BF">
        <w:rPr>
          <w:rFonts w:ascii="Gadugi" w:hAnsi="Gadugi"/>
          <w:sz w:val="24"/>
          <w:szCs w:val="24"/>
        </w:rPr>
        <w:t xml:space="preserve"> </w:t>
      </w:r>
    </w:p>
    <w:p w14:paraId="00A6F875" w14:textId="77777777" w:rsidR="00925A9D" w:rsidRPr="009933BF" w:rsidRDefault="00925A9D"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tab/>
      </w:r>
      <w:r w:rsidRPr="009933BF">
        <w:rPr>
          <w:rFonts w:ascii="Gadugi" w:hAnsi="Gadugi" w:cs="Arial"/>
          <w:sz w:val="24"/>
          <w:szCs w:val="24"/>
        </w:rPr>
        <w:tab/>
      </w:r>
      <w:r w:rsidRPr="009933BF">
        <w:rPr>
          <w:rFonts w:ascii="Gadugi" w:hAnsi="Gadugi" w:cs="Arial"/>
          <w:sz w:val="24"/>
          <w:szCs w:val="24"/>
        </w:rPr>
        <w:tab/>
      </w:r>
    </w:p>
    <w:p w14:paraId="20963E2E" w14:textId="5823D2A0" w:rsidR="00925A9D" w:rsidRPr="009933BF" w:rsidRDefault="00075935" w:rsidP="009933BF">
      <w:pPr>
        <w:tabs>
          <w:tab w:val="left" w:pos="3108"/>
        </w:tabs>
        <w:spacing w:line="276" w:lineRule="auto"/>
        <w:ind w:firstLine="2835"/>
        <w:jc w:val="both"/>
        <w:rPr>
          <w:rFonts w:ascii="Gadugi" w:hAnsi="Gadugi" w:cs="Arial"/>
          <w:sz w:val="24"/>
          <w:szCs w:val="24"/>
        </w:rPr>
      </w:pPr>
      <w:r w:rsidRPr="009933BF">
        <w:rPr>
          <w:rFonts w:ascii="Gadugi" w:hAnsi="Gadugi"/>
          <w:sz w:val="24"/>
          <w:szCs w:val="24"/>
        </w:rPr>
        <w:t xml:space="preserve">2.4. </w:t>
      </w:r>
      <w:r w:rsidR="00925A9D" w:rsidRPr="009933BF">
        <w:rPr>
          <w:rFonts w:ascii="Gadugi" w:hAnsi="Gadugi"/>
          <w:sz w:val="24"/>
          <w:szCs w:val="24"/>
        </w:rPr>
        <w:t>L</w:t>
      </w:r>
      <w:r w:rsidR="00925A9D" w:rsidRPr="009933BF">
        <w:rPr>
          <w:rFonts w:ascii="Gadugi" w:hAnsi="Gadugi" w:cs="Arial"/>
          <w:sz w:val="24"/>
          <w:szCs w:val="24"/>
        </w:rPr>
        <w:t>a legitimación por activa se cumple toda vez que el accionante, que actúa mediante apoderado judicial debidamente facultado</w:t>
      </w:r>
      <w:r w:rsidR="00925A9D" w:rsidRPr="009933BF">
        <w:rPr>
          <w:rStyle w:val="Refdenotaalpie"/>
          <w:rFonts w:ascii="Gadugi" w:hAnsi="Gadugi"/>
          <w:sz w:val="24"/>
          <w:szCs w:val="24"/>
        </w:rPr>
        <w:footnoteReference w:id="9"/>
      </w:r>
      <w:r w:rsidR="00925A9D" w:rsidRPr="009933BF">
        <w:rPr>
          <w:rFonts w:ascii="Gadugi" w:hAnsi="Gadugi" w:cs="Arial"/>
          <w:sz w:val="24"/>
          <w:szCs w:val="24"/>
        </w:rPr>
        <w:t xml:space="preserve">, es demandante en el proceso monitorio de marras; también se cumple por pasiva, ya que en el Juzgado accionado se tramita ese caso. Y en calidad de tercero puede comparecer el señor </w:t>
      </w:r>
      <w:r w:rsidR="00925A9D" w:rsidRPr="009933BF">
        <w:rPr>
          <w:rFonts w:ascii="Gadugi" w:hAnsi="Gadugi" w:cs="Century Gothic"/>
          <w:bCs/>
          <w:sz w:val="24"/>
          <w:szCs w:val="24"/>
        </w:rPr>
        <w:t>Jaime Ardila Rodríguez</w:t>
      </w:r>
      <w:r w:rsidR="00925A9D" w:rsidRPr="009933BF">
        <w:rPr>
          <w:rFonts w:ascii="Gadugi" w:hAnsi="Gadugi" w:cs="Arial"/>
          <w:sz w:val="24"/>
          <w:szCs w:val="24"/>
        </w:rPr>
        <w:t xml:space="preserve">, pues actúa como demandado en el juicio que se cuestiona. </w:t>
      </w:r>
    </w:p>
    <w:p w14:paraId="589DE77A" w14:textId="521B1985" w:rsidR="00925A9D" w:rsidRPr="009933BF" w:rsidRDefault="00925A9D" w:rsidP="009933BF">
      <w:pPr>
        <w:tabs>
          <w:tab w:val="left" w:pos="2835"/>
        </w:tabs>
        <w:spacing w:line="276" w:lineRule="auto"/>
        <w:jc w:val="both"/>
        <w:rPr>
          <w:rFonts w:ascii="Gadugi" w:hAnsi="Gadugi" w:cs="Arial"/>
          <w:sz w:val="24"/>
          <w:szCs w:val="24"/>
        </w:rPr>
      </w:pPr>
    </w:p>
    <w:p w14:paraId="3F6FFD47" w14:textId="5BB40D97" w:rsidR="003738B7" w:rsidRPr="009933BF" w:rsidRDefault="00925A9D"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tab/>
      </w:r>
      <w:r w:rsidR="00075935" w:rsidRPr="009933BF">
        <w:rPr>
          <w:rFonts w:ascii="Gadugi" w:hAnsi="Gadugi" w:cs="Arial"/>
          <w:sz w:val="24"/>
          <w:szCs w:val="24"/>
        </w:rPr>
        <w:t xml:space="preserve">2.5. </w:t>
      </w:r>
      <w:r w:rsidRPr="009933BF">
        <w:rPr>
          <w:rFonts w:ascii="Gadugi" w:hAnsi="Gadugi" w:cs="Arial"/>
          <w:sz w:val="24"/>
          <w:szCs w:val="24"/>
        </w:rPr>
        <w:t>Ahora bien, s</w:t>
      </w:r>
      <w:r w:rsidR="003738B7" w:rsidRPr="009933BF">
        <w:rPr>
          <w:rFonts w:ascii="Gadugi" w:hAnsi="Gadugi" w:cs="Arial"/>
          <w:sz w:val="24"/>
          <w:szCs w:val="24"/>
        </w:rPr>
        <w:t>egún se advierte en las pretensiones de la tutela, el accionante ataca el trámite del juicio monitorio, porque según él</w:t>
      </w:r>
      <w:r w:rsidR="006B2C99" w:rsidRPr="009933BF">
        <w:rPr>
          <w:rFonts w:ascii="Gadugi" w:hAnsi="Gadugi" w:cs="Arial"/>
          <w:sz w:val="24"/>
          <w:szCs w:val="24"/>
        </w:rPr>
        <w:t>,</w:t>
      </w:r>
      <w:r w:rsidR="003738B7" w:rsidRPr="009933BF">
        <w:rPr>
          <w:rFonts w:ascii="Gadugi" w:hAnsi="Gadugi" w:cs="Arial"/>
          <w:sz w:val="24"/>
          <w:szCs w:val="24"/>
        </w:rPr>
        <w:t xml:space="preserve"> no debió convocarse a audiencia sino proferirse sentencia condenatoria ante la defectuosa contestación de la demanda, y también reprocha el fallo que en ese caso se profirió, porque carece de una debida valoración probatoria. </w:t>
      </w:r>
    </w:p>
    <w:p w14:paraId="1C6BB8E4" w14:textId="6BA0C3F0" w:rsidR="003738B7" w:rsidRPr="009933BF" w:rsidRDefault="003738B7" w:rsidP="009933BF">
      <w:pPr>
        <w:tabs>
          <w:tab w:val="left" w:pos="2835"/>
        </w:tabs>
        <w:spacing w:line="276" w:lineRule="auto"/>
        <w:jc w:val="both"/>
        <w:rPr>
          <w:rFonts w:ascii="Gadugi" w:hAnsi="Gadugi" w:cs="Arial"/>
          <w:sz w:val="24"/>
          <w:szCs w:val="24"/>
        </w:rPr>
      </w:pPr>
    </w:p>
    <w:p w14:paraId="1189C879" w14:textId="29D32D7A" w:rsidR="003738B7" w:rsidRPr="009933BF" w:rsidRDefault="003738B7"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tab/>
      </w:r>
      <w:r w:rsidR="00075935" w:rsidRPr="009933BF">
        <w:rPr>
          <w:rFonts w:ascii="Gadugi" w:hAnsi="Gadugi" w:cs="Arial"/>
          <w:sz w:val="24"/>
          <w:szCs w:val="24"/>
        </w:rPr>
        <w:t xml:space="preserve">2.5.1. </w:t>
      </w:r>
      <w:r w:rsidRPr="009933BF">
        <w:rPr>
          <w:rFonts w:ascii="Gadugi" w:hAnsi="Gadugi" w:cs="Arial"/>
          <w:sz w:val="24"/>
          <w:szCs w:val="24"/>
        </w:rPr>
        <w:t xml:space="preserve">Frente al primer reproche, rápido </w:t>
      </w:r>
      <w:r w:rsidR="007E190D" w:rsidRPr="009933BF">
        <w:rPr>
          <w:rFonts w:ascii="Gadugi" w:hAnsi="Gadugi" w:cs="Arial"/>
          <w:sz w:val="24"/>
          <w:szCs w:val="24"/>
        </w:rPr>
        <w:t xml:space="preserve">ve </w:t>
      </w:r>
      <w:r w:rsidRPr="009933BF">
        <w:rPr>
          <w:rFonts w:ascii="Gadugi" w:hAnsi="Gadugi" w:cs="Arial"/>
          <w:sz w:val="24"/>
          <w:szCs w:val="24"/>
        </w:rPr>
        <w:t>la Sala la improcedencia de esta demanda pues carece de los presupuestos de inmediatez y subsidiaridad.</w:t>
      </w:r>
    </w:p>
    <w:p w14:paraId="00A043F3" w14:textId="1F5B6552" w:rsidR="003738B7" w:rsidRPr="009933BF" w:rsidRDefault="003738B7" w:rsidP="009933BF">
      <w:pPr>
        <w:tabs>
          <w:tab w:val="left" w:pos="2835"/>
        </w:tabs>
        <w:spacing w:line="276" w:lineRule="auto"/>
        <w:jc w:val="both"/>
        <w:rPr>
          <w:rFonts w:ascii="Gadugi" w:hAnsi="Gadugi" w:cs="Arial"/>
          <w:sz w:val="24"/>
          <w:szCs w:val="24"/>
        </w:rPr>
      </w:pPr>
    </w:p>
    <w:p w14:paraId="60C4A4BE" w14:textId="1648E88B" w:rsidR="003738B7" w:rsidRPr="009933BF" w:rsidRDefault="003738B7" w:rsidP="009933BF">
      <w:pPr>
        <w:tabs>
          <w:tab w:val="left" w:pos="2835"/>
        </w:tabs>
        <w:spacing w:line="276" w:lineRule="auto"/>
        <w:jc w:val="both"/>
        <w:rPr>
          <w:rFonts w:ascii="Gadugi" w:hAnsi="Gadugi"/>
          <w:sz w:val="24"/>
          <w:szCs w:val="24"/>
        </w:rPr>
      </w:pPr>
      <w:r w:rsidRPr="009933BF">
        <w:rPr>
          <w:rFonts w:ascii="Gadugi" w:hAnsi="Gadugi" w:cs="Arial"/>
          <w:sz w:val="24"/>
          <w:szCs w:val="24"/>
        </w:rPr>
        <w:tab/>
        <w:t>En efecto, el auto mediante el cual el juzgado acusado convocó a la audiencia prevista en el artículo 392 del CGP, data del 13 de abril de 2021</w:t>
      </w:r>
      <w:r w:rsidR="00925A9D" w:rsidRPr="009933BF">
        <w:rPr>
          <w:rStyle w:val="Refdenotaalpie"/>
          <w:rFonts w:ascii="Gadugi" w:hAnsi="Gadugi"/>
          <w:sz w:val="24"/>
          <w:szCs w:val="24"/>
        </w:rPr>
        <w:footnoteReference w:id="10"/>
      </w:r>
      <w:r w:rsidRPr="009933BF">
        <w:rPr>
          <w:rFonts w:ascii="Gadugi" w:hAnsi="Gadugi" w:cs="Arial"/>
          <w:sz w:val="24"/>
          <w:szCs w:val="24"/>
        </w:rPr>
        <w:t>, y esta demanda se radicó el 17 de noviembre del mismo año</w:t>
      </w:r>
      <w:r w:rsidR="00925A9D" w:rsidRPr="009933BF">
        <w:rPr>
          <w:rStyle w:val="Refdenotaalpie"/>
          <w:rFonts w:ascii="Gadugi" w:hAnsi="Gadugi"/>
          <w:sz w:val="24"/>
          <w:szCs w:val="24"/>
        </w:rPr>
        <w:footnoteReference w:id="11"/>
      </w:r>
      <w:r w:rsidRPr="009933BF">
        <w:rPr>
          <w:rFonts w:ascii="Gadugi" w:hAnsi="Gadugi" w:cs="Arial"/>
          <w:sz w:val="24"/>
          <w:szCs w:val="24"/>
        </w:rPr>
        <w:t xml:space="preserve">, </w:t>
      </w:r>
      <w:r w:rsidRPr="009933BF">
        <w:rPr>
          <w:rFonts w:ascii="Gadugi" w:hAnsi="Gadugi"/>
          <w:sz w:val="24"/>
          <w:szCs w:val="24"/>
        </w:rPr>
        <w:t>como se ve, se superó el término de 6 meses que la jurisprudencia ha establecido como razonable para la iniciación del amparo constitucional</w:t>
      </w:r>
      <w:r w:rsidRPr="009933BF">
        <w:rPr>
          <w:rStyle w:val="Refdenotaalpie"/>
          <w:rFonts w:ascii="Gadugi" w:hAnsi="Gadugi"/>
          <w:sz w:val="24"/>
          <w:szCs w:val="24"/>
        </w:rPr>
        <w:footnoteReference w:id="12"/>
      </w:r>
      <w:r w:rsidRPr="009933BF">
        <w:rPr>
          <w:rFonts w:ascii="Gadugi" w:hAnsi="Gadugi"/>
          <w:sz w:val="24"/>
          <w:szCs w:val="24"/>
        </w:rPr>
        <w:t>, sin que se plant</w:t>
      </w:r>
      <w:r w:rsidR="00925A9D" w:rsidRPr="009933BF">
        <w:rPr>
          <w:rFonts w:ascii="Gadugi" w:hAnsi="Gadugi"/>
          <w:sz w:val="24"/>
          <w:szCs w:val="24"/>
        </w:rPr>
        <w:t>eara</w:t>
      </w:r>
      <w:r w:rsidRPr="009933BF">
        <w:rPr>
          <w:rFonts w:ascii="Gadugi" w:hAnsi="Gadugi"/>
          <w:sz w:val="24"/>
          <w:szCs w:val="24"/>
        </w:rPr>
        <w:t xml:space="preserve"> una justificación sobre el porqué de la tardanza. </w:t>
      </w:r>
    </w:p>
    <w:p w14:paraId="308EFDF0" w14:textId="5A259DD0" w:rsidR="00925A9D" w:rsidRPr="009933BF" w:rsidRDefault="00925A9D" w:rsidP="009933BF">
      <w:pPr>
        <w:tabs>
          <w:tab w:val="left" w:pos="2835"/>
        </w:tabs>
        <w:spacing w:line="276" w:lineRule="auto"/>
        <w:jc w:val="both"/>
        <w:rPr>
          <w:rFonts w:ascii="Gadugi" w:hAnsi="Gadugi" w:cs="Arial"/>
          <w:sz w:val="24"/>
          <w:szCs w:val="24"/>
        </w:rPr>
      </w:pPr>
    </w:p>
    <w:p w14:paraId="70242B8C" w14:textId="55BADA84" w:rsidR="00925A9D" w:rsidRPr="009933BF" w:rsidRDefault="00925A9D"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tab/>
        <w:t xml:space="preserve">Además, contra esa decisión no se formuló ningún reparo, a pesar de que la parte actora estaba habilitada para formular el recurso de reposición (Art. 318 CGP); el cual es el mecanismo judicial idóneo para propiciar, ante el juez natural, el debate que ahora se quiere agotar ante el juez constitucional, lo cual contraría la residualidad que caracteriza a la acción de tutela. </w:t>
      </w:r>
    </w:p>
    <w:p w14:paraId="20622C1D" w14:textId="3546DF10" w:rsidR="003738B7" w:rsidRPr="009933BF" w:rsidRDefault="003738B7" w:rsidP="009933BF">
      <w:pPr>
        <w:tabs>
          <w:tab w:val="left" w:pos="2835"/>
        </w:tabs>
        <w:spacing w:line="276" w:lineRule="auto"/>
        <w:jc w:val="both"/>
        <w:rPr>
          <w:rFonts w:ascii="Gadugi" w:hAnsi="Gadugi" w:cs="Arial"/>
          <w:sz w:val="24"/>
          <w:szCs w:val="24"/>
        </w:rPr>
      </w:pPr>
    </w:p>
    <w:p w14:paraId="7AE8451F" w14:textId="080DCE44" w:rsidR="00925A9D" w:rsidRPr="009933BF" w:rsidRDefault="00925A9D"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lastRenderedPageBreak/>
        <w:tab/>
        <w:t>Así las cosas, se modificará el fallo para declarar improcedente la demanda, en relación con las quejas formuladas contra el trámite que se le impartió al juicio monitorio.</w:t>
      </w:r>
    </w:p>
    <w:p w14:paraId="106B0E64" w14:textId="7613D503" w:rsidR="00925A9D" w:rsidRPr="009933BF" w:rsidRDefault="00925A9D" w:rsidP="009933BF">
      <w:pPr>
        <w:tabs>
          <w:tab w:val="left" w:pos="2835"/>
        </w:tabs>
        <w:spacing w:line="276" w:lineRule="auto"/>
        <w:jc w:val="both"/>
        <w:rPr>
          <w:rFonts w:ascii="Gadugi" w:hAnsi="Gadugi" w:cs="Arial"/>
          <w:sz w:val="24"/>
          <w:szCs w:val="24"/>
        </w:rPr>
      </w:pPr>
    </w:p>
    <w:p w14:paraId="71DFC740" w14:textId="35D6DFCA" w:rsidR="00925A9D" w:rsidRPr="009933BF" w:rsidRDefault="00925A9D" w:rsidP="009933BF">
      <w:pPr>
        <w:tabs>
          <w:tab w:val="left" w:pos="2835"/>
        </w:tabs>
        <w:spacing w:line="276" w:lineRule="auto"/>
        <w:jc w:val="both"/>
        <w:rPr>
          <w:rFonts w:ascii="Gadugi" w:hAnsi="Gadugi" w:cs="Arial"/>
          <w:sz w:val="24"/>
          <w:szCs w:val="24"/>
        </w:rPr>
      </w:pPr>
      <w:r w:rsidRPr="009933BF">
        <w:rPr>
          <w:rFonts w:ascii="Gadugi" w:hAnsi="Gadugi" w:cs="Arial"/>
          <w:sz w:val="24"/>
          <w:szCs w:val="24"/>
        </w:rPr>
        <w:tab/>
      </w:r>
      <w:r w:rsidR="00075935" w:rsidRPr="009933BF">
        <w:rPr>
          <w:rFonts w:ascii="Gadugi" w:hAnsi="Gadugi" w:cs="Arial"/>
          <w:sz w:val="24"/>
          <w:szCs w:val="24"/>
        </w:rPr>
        <w:t xml:space="preserve">2.5.2. </w:t>
      </w:r>
      <w:r w:rsidRPr="009933BF">
        <w:rPr>
          <w:rFonts w:ascii="Gadugi" w:hAnsi="Gadugi" w:cs="Arial"/>
          <w:sz w:val="24"/>
          <w:szCs w:val="24"/>
        </w:rPr>
        <w:t>Por otra parte, en lo que respecta a las quejas contra el fallo de ese proceso, se tiene lo siguiente:</w:t>
      </w:r>
    </w:p>
    <w:p w14:paraId="0F616B8D" w14:textId="6C90D053" w:rsidR="005F0CDC" w:rsidRPr="009933BF" w:rsidRDefault="00433F4E" w:rsidP="009933BF">
      <w:pPr>
        <w:tabs>
          <w:tab w:val="left" w:pos="2835"/>
        </w:tabs>
        <w:spacing w:line="276" w:lineRule="auto"/>
        <w:jc w:val="both"/>
        <w:rPr>
          <w:rFonts w:ascii="Gadugi" w:hAnsi="Gadugi"/>
          <w:sz w:val="24"/>
          <w:szCs w:val="24"/>
        </w:rPr>
      </w:pPr>
      <w:r w:rsidRPr="009933BF">
        <w:rPr>
          <w:rFonts w:ascii="Gadugi" w:hAnsi="Gadugi" w:cs="Arial"/>
          <w:sz w:val="24"/>
          <w:szCs w:val="24"/>
        </w:rPr>
        <w:tab/>
      </w:r>
      <w:r w:rsidR="00B86E8E" w:rsidRPr="009933BF">
        <w:rPr>
          <w:rFonts w:ascii="Gadugi" w:hAnsi="Gadugi"/>
          <w:sz w:val="24"/>
          <w:szCs w:val="24"/>
        </w:rPr>
        <w:tab/>
      </w:r>
      <w:r w:rsidR="00B86E8E" w:rsidRPr="009933BF">
        <w:rPr>
          <w:rFonts w:ascii="Gadugi" w:hAnsi="Gadugi"/>
          <w:sz w:val="24"/>
          <w:szCs w:val="24"/>
        </w:rPr>
        <w:tab/>
      </w:r>
      <w:r w:rsidR="00B86E8E" w:rsidRPr="009933BF">
        <w:rPr>
          <w:rFonts w:ascii="Gadugi" w:hAnsi="Gadugi"/>
          <w:sz w:val="24"/>
          <w:szCs w:val="24"/>
        </w:rPr>
        <w:tab/>
      </w:r>
      <w:r w:rsidR="00B86E8E" w:rsidRPr="009933BF">
        <w:rPr>
          <w:rFonts w:ascii="Gadugi" w:hAnsi="Gadugi"/>
          <w:sz w:val="24"/>
          <w:szCs w:val="24"/>
        </w:rPr>
        <w:tab/>
      </w:r>
    </w:p>
    <w:p w14:paraId="313BEB67" w14:textId="4C41A397" w:rsidR="00897990" w:rsidRPr="009933BF" w:rsidRDefault="00897990"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t xml:space="preserve">Se cumple </w:t>
      </w:r>
      <w:r w:rsidR="00A200FA" w:rsidRPr="009933BF">
        <w:rPr>
          <w:rFonts w:ascii="Gadugi" w:hAnsi="Gadugi"/>
          <w:sz w:val="24"/>
          <w:szCs w:val="24"/>
        </w:rPr>
        <w:t>con la inmediatez pues la decisión que se refuta data del 15 de junio de 2021</w:t>
      </w:r>
      <w:r w:rsidR="008C3C26" w:rsidRPr="009933BF">
        <w:rPr>
          <w:rStyle w:val="Refdenotaalpie"/>
          <w:rFonts w:ascii="Gadugi" w:hAnsi="Gadugi"/>
          <w:sz w:val="24"/>
          <w:szCs w:val="24"/>
        </w:rPr>
        <w:footnoteReference w:id="13"/>
      </w:r>
      <w:r w:rsidR="00A200FA" w:rsidRPr="009933BF">
        <w:rPr>
          <w:rFonts w:ascii="Gadugi" w:hAnsi="Gadugi"/>
          <w:sz w:val="24"/>
          <w:szCs w:val="24"/>
        </w:rPr>
        <w:t>, y</w:t>
      </w:r>
      <w:r w:rsidR="00925A9D" w:rsidRPr="009933BF">
        <w:rPr>
          <w:rFonts w:ascii="Gadugi" w:hAnsi="Gadugi"/>
          <w:sz w:val="24"/>
          <w:szCs w:val="24"/>
        </w:rPr>
        <w:t>, como se dijo antes,</w:t>
      </w:r>
      <w:r w:rsidR="00A200FA" w:rsidRPr="009933BF">
        <w:rPr>
          <w:rFonts w:ascii="Gadugi" w:hAnsi="Gadugi"/>
          <w:sz w:val="24"/>
          <w:szCs w:val="24"/>
        </w:rPr>
        <w:t xml:space="preserve"> esta demanda se </w:t>
      </w:r>
      <w:r w:rsidR="00925A9D" w:rsidRPr="009933BF">
        <w:rPr>
          <w:rFonts w:ascii="Gadugi" w:hAnsi="Gadugi"/>
          <w:sz w:val="24"/>
          <w:szCs w:val="24"/>
        </w:rPr>
        <w:t xml:space="preserve">presentó </w:t>
      </w:r>
      <w:r w:rsidR="00A200FA" w:rsidRPr="009933BF">
        <w:rPr>
          <w:rFonts w:ascii="Gadugi" w:hAnsi="Gadugi"/>
          <w:sz w:val="24"/>
          <w:szCs w:val="24"/>
        </w:rPr>
        <w:t>el 17 de noviembre del mismo año</w:t>
      </w:r>
      <w:r w:rsidR="008C3C26" w:rsidRPr="009933BF">
        <w:rPr>
          <w:rStyle w:val="Refdenotaalpie"/>
          <w:rFonts w:ascii="Gadugi" w:hAnsi="Gadugi"/>
          <w:sz w:val="24"/>
          <w:szCs w:val="24"/>
        </w:rPr>
        <w:footnoteReference w:id="14"/>
      </w:r>
      <w:r w:rsidR="00A200FA" w:rsidRPr="009933BF">
        <w:rPr>
          <w:rFonts w:ascii="Gadugi" w:hAnsi="Gadugi"/>
          <w:sz w:val="24"/>
          <w:szCs w:val="24"/>
        </w:rPr>
        <w:t xml:space="preserve">, </w:t>
      </w:r>
      <w:r w:rsidR="00925A9D" w:rsidRPr="009933BF">
        <w:rPr>
          <w:rFonts w:ascii="Gadugi" w:hAnsi="Gadugi"/>
          <w:sz w:val="24"/>
          <w:szCs w:val="24"/>
        </w:rPr>
        <w:t>es decir</w:t>
      </w:r>
      <w:r w:rsidR="00A200FA" w:rsidRPr="009933BF">
        <w:rPr>
          <w:rFonts w:ascii="Gadugi" w:hAnsi="Gadugi"/>
          <w:sz w:val="24"/>
          <w:szCs w:val="24"/>
        </w:rPr>
        <w:t xml:space="preserve">, no </w:t>
      </w:r>
      <w:r w:rsidR="00925A9D" w:rsidRPr="009933BF">
        <w:rPr>
          <w:rFonts w:ascii="Gadugi" w:hAnsi="Gadugi"/>
          <w:sz w:val="24"/>
          <w:szCs w:val="24"/>
        </w:rPr>
        <w:t xml:space="preserve">pasaron más de 6 meses entre una y otra fecha. </w:t>
      </w:r>
    </w:p>
    <w:p w14:paraId="368697BB" w14:textId="34ED623D" w:rsidR="00897990" w:rsidRPr="009933BF" w:rsidRDefault="00A200FA"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p>
    <w:p w14:paraId="11DE9082" w14:textId="6F0BA9F2" w:rsidR="00A200FA" w:rsidRPr="009933BF" w:rsidRDefault="00A200FA"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00075935" w:rsidRPr="009933BF">
        <w:rPr>
          <w:rFonts w:ascii="Gadugi" w:hAnsi="Gadugi"/>
          <w:sz w:val="24"/>
          <w:szCs w:val="24"/>
        </w:rPr>
        <w:t>S</w:t>
      </w:r>
      <w:r w:rsidRPr="009933BF">
        <w:rPr>
          <w:rFonts w:ascii="Gadugi" w:hAnsi="Gadugi"/>
          <w:sz w:val="24"/>
          <w:szCs w:val="24"/>
        </w:rPr>
        <w:t>e supera la subsidiaridad porque contra el fallo que se profirió en el monitorio no procede ningún recurso, por tratarse de un juicio en que se ventilan, exclusivamente, pretensiones dinerarias de mínima cuantía (Art</w:t>
      </w:r>
      <w:r w:rsidR="008C3C26" w:rsidRPr="009933BF">
        <w:rPr>
          <w:rFonts w:ascii="Gadugi" w:hAnsi="Gadugi"/>
          <w:sz w:val="24"/>
          <w:szCs w:val="24"/>
        </w:rPr>
        <w:t>s</w:t>
      </w:r>
      <w:r w:rsidRPr="009933BF">
        <w:rPr>
          <w:rFonts w:ascii="Gadugi" w:hAnsi="Gadugi"/>
          <w:sz w:val="24"/>
          <w:szCs w:val="24"/>
        </w:rPr>
        <w:t>. 419</w:t>
      </w:r>
      <w:r w:rsidR="008C3C26" w:rsidRPr="009933BF">
        <w:rPr>
          <w:rFonts w:ascii="Gadugi" w:hAnsi="Gadugi"/>
          <w:sz w:val="24"/>
          <w:szCs w:val="24"/>
        </w:rPr>
        <w:t xml:space="preserve"> a 421</w:t>
      </w:r>
      <w:r w:rsidRPr="009933BF">
        <w:rPr>
          <w:rFonts w:ascii="Gadugi" w:hAnsi="Gadugi"/>
          <w:sz w:val="24"/>
          <w:szCs w:val="24"/>
        </w:rPr>
        <w:t xml:space="preserve"> del CGP).</w:t>
      </w:r>
    </w:p>
    <w:p w14:paraId="03867171" w14:textId="57BAA4D0" w:rsidR="00036DEF" w:rsidRPr="009933BF" w:rsidRDefault="00036DEF" w:rsidP="009933BF">
      <w:pPr>
        <w:spacing w:line="276" w:lineRule="auto"/>
        <w:jc w:val="both"/>
        <w:rPr>
          <w:rFonts w:ascii="Gadugi" w:hAnsi="Gadugi"/>
          <w:sz w:val="24"/>
          <w:szCs w:val="24"/>
        </w:rPr>
      </w:pPr>
    </w:p>
    <w:p w14:paraId="7508BE28" w14:textId="34A2C35F" w:rsidR="008213D4" w:rsidRPr="009933BF" w:rsidRDefault="00036DEF"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00075935" w:rsidRPr="009933BF">
        <w:rPr>
          <w:rFonts w:ascii="Gadugi" w:hAnsi="Gadugi"/>
          <w:sz w:val="24"/>
          <w:szCs w:val="24"/>
        </w:rPr>
        <w:t xml:space="preserve">Y </w:t>
      </w:r>
      <w:r w:rsidR="00DA2460" w:rsidRPr="009933BF">
        <w:rPr>
          <w:rFonts w:ascii="Gadugi" w:hAnsi="Gadugi"/>
          <w:sz w:val="24"/>
          <w:szCs w:val="24"/>
        </w:rPr>
        <w:t>a</w:t>
      </w:r>
      <w:r w:rsidRPr="009933BF">
        <w:rPr>
          <w:rFonts w:ascii="Gadugi" w:hAnsi="Gadugi"/>
          <w:sz w:val="24"/>
          <w:szCs w:val="24"/>
        </w:rPr>
        <w:t xml:space="preserve">unque la parte actora nunca atinó en </w:t>
      </w:r>
      <w:r w:rsidR="008213D4" w:rsidRPr="009933BF">
        <w:rPr>
          <w:rFonts w:ascii="Gadugi" w:hAnsi="Gadugi"/>
          <w:sz w:val="24"/>
          <w:szCs w:val="24"/>
        </w:rPr>
        <w:t>los</w:t>
      </w:r>
      <w:r w:rsidRPr="009933BF">
        <w:rPr>
          <w:rFonts w:ascii="Gadugi" w:hAnsi="Gadugi"/>
          <w:sz w:val="24"/>
          <w:szCs w:val="24"/>
        </w:rPr>
        <w:t xml:space="preserve"> tipo</w:t>
      </w:r>
      <w:r w:rsidR="008213D4" w:rsidRPr="009933BF">
        <w:rPr>
          <w:rFonts w:ascii="Gadugi" w:hAnsi="Gadugi"/>
          <w:sz w:val="24"/>
          <w:szCs w:val="24"/>
        </w:rPr>
        <w:t>s</w:t>
      </w:r>
      <w:r w:rsidRPr="009933BF">
        <w:rPr>
          <w:rFonts w:ascii="Gadugi" w:hAnsi="Gadugi"/>
          <w:sz w:val="24"/>
          <w:szCs w:val="24"/>
        </w:rPr>
        <w:t xml:space="preserve"> de defecto</w:t>
      </w:r>
      <w:r w:rsidR="008213D4" w:rsidRPr="009933BF">
        <w:rPr>
          <w:rFonts w:ascii="Gadugi" w:hAnsi="Gadugi"/>
          <w:sz w:val="24"/>
          <w:szCs w:val="24"/>
        </w:rPr>
        <w:t>s</w:t>
      </w:r>
      <w:r w:rsidRPr="009933BF">
        <w:rPr>
          <w:rFonts w:ascii="Gadugi" w:hAnsi="Gadugi"/>
          <w:sz w:val="24"/>
          <w:szCs w:val="24"/>
        </w:rPr>
        <w:t xml:space="preserve"> que le endilga a la decisión cuestionada, y más bien confundió a lo largo de todo su escrito las diferentes causales específicas de procedibilidad de la acción de tutela</w:t>
      </w:r>
      <w:r w:rsidR="008213D4" w:rsidRPr="009933BF">
        <w:rPr>
          <w:rFonts w:ascii="Gadugi" w:hAnsi="Gadugi"/>
          <w:sz w:val="24"/>
          <w:szCs w:val="24"/>
        </w:rPr>
        <w:t xml:space="preserve"> contra providencia judicial</w:t>
      </w:r>
      <w:r w:rsidRPr="009933BF">
        <w:rPr>
          <w:rFonts w:ascii="Gadugi" w:hAnsi="Gadugi"/>
          <w:sz w:val="24"/>
          <w:szCs w:val="24"/>
        </w:rPr>
        <w:t xml:space="preserve">, la Sala deduce que sus reproches se enmarcan en lo que la jurisprudencia ha sabido definir como defecto </w:t>
      </w:r>
      <w:r w:rsidR="008213D4" w:rsidRPr="009933BF">
        <w:rPr>
          <w:rFonts w:ascii="Gadugi" w:hAnsi="Gadugi"/>
          <w:sz w:val="24"/>
          <w:szCs w:val="24"/>
        </w:rPr>
        <w:t>fáctico</w:t>
      </w:r>
      <w:r w:rsidR="00075935" w:rsidRPr="009933BF">
        <w:rPr>
          <w:rFonts w:ascii="Gadugi" w:hAnsi="Gadugi"/>
          <w:sz w:val="24"/>
          <w:szCs w:val="24"/>
        </w:rPr>
        <w:t>,</w:t>
      </w:r>
      <w:r w:rsidR="008213D4" w:rsidRPr="009933BF">
        <w:rPr>
          <w:rFonts w:ascii="Gadugi" w:hAnsi="Gadugi"/>
          <w:sz w:val="24"/>
          <w:szCs w:val="24"/>
        </w:rPr>
        <w:t xml:space="preserve"> pues alega una deficiente valoración probatoria</w:t>
      </w:r>
      <w:r w:rsidR="0027217B" w:rsidRPr="009933BF">
        <w:rPr>
          <w:rFonts w:ascii="Gadugi" w:hAnsi="Gadugi"/>
          <w:sz w:val="24"/>
          <w:szCs w:val="24"/>
        </w:rPr>
        <w:t xml:space="preserve">. </w:t>
      </w:r>
    </w:p>
    <w:p w14:paraId="21F71120" w14:textId="5F0FBA7B" w:rsidR="00B13C66" w:rsidRPr="009933BF" w:rsidRDefault="008213D4"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p>
    <w:p w14:paraId="5CE06B1C" w14:textId="1B18B507" w:rsidR="0027217B" w:rsidRPr="009933BF" w:rsidRDefault="0027217B" w:rsidP="009933BF">
      <w:pPr>
        <w:spacing w:line="276" w:lineRule="auto"/>
        <w:ind w:right="51"/>
        <w:jc w:val="both"/>
        <w:rPr>
          <w:rFonts w:ascii="Gadugi" w:hAnsi="Gadugi"/>
          <w:sz w:val="24"/>
          <w:szCs w:val="24"/>
          <w:lang w:val="es-419"/>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t xml:space="preserve"> </w:t>
      </w:r>
      <w:r w:rsidR="00075935" w:rsidRPr="009933BF">
        <w:rPr>
          <w:rFonts w:ascii="Gadugi" w:hAnsi="Gadugi"/>
          <w:sz w:val="24"/>
          <w:szCs w:val="24"/>
        </w:rPr>
        <w:t>Sobre ese yerro la Corte Constitucional</w:t>
      </w:r>
      <w:r w:rsidRPr="009933BF">
        <w:rPr>
          <w:rFonts w:ascii="Gadugi" w:hAnsi="Gadugi"/>
          <w:sz w:val="24"/>
          <w:szCs w:val="24"/>
        </w:rPr>
        <w:t xml:space="preserve"> </w:t>
      </w:r>
      <w:r w:rsidR="00075935" w:rsidRPr="009933BF">
        <w:rPr>
          <w:rFonts w:ascii="Gadugi" w:hAnsi="Gadugi"/>
          <w:sz w:val="24"/>
          <w:szCs w:val="24"/>
        </w:rPr>
        <w:t>enseña</w:t>
      </w:r>
      <w:r w:rsidRPr="009933BF">
        <w:rPr>
          <w:rFonts w:ascii="Gadugi" w:hAnsi="Gadugi"/>
          <w:sz w:val="24"/>
          <w:szCs w:val="24"/>
        </w:rPr>
        <w:t xml:space="preserve"> que:</w:t>
      </w:r>
      <w:r w:rsidRPr="009933BF">
        <w:rPr>
          <w:rStyle w:val="Refdenotaalpie"/>
          <w:rFonts w:ascii="Gadugi" w:hAnsi="Gadugi"/>
          <w:sz w:val="24"/>
          <w:szCs w:val="24"/>
          <w:lang w:val="es-419"/>
        </w:rPr>
        <w:footnoteReference w:id="15"/>
      </w:r>
    </w:p>
    <w:p w14:paraId="2879F906" w14:textId="77777777" w:rsidR="0027217B" w:rsidRPr="009933BF" w:rsidRDefault="0027217B" w:rsidP="009933BF">
      <w:pPr>
        <w:spacing w:line="276" w:lineRule="auto"/>
        <w:jc w:val="both"/>
        <w:rPr>
          <w:rFonts w:ascii="Gadugi" w:hAnsi="Gadugi"/>
          <w:sz w:val="24"/>
          <w:szCs w:val="24"/>
          <w:lang w:val="es-419"/>
        </w:rPr>
      </w:pPr>
    </w:p>
    <w:p w14:paraId="6A532B93" w14:textId="77777777" w:rsidR="0027217B" w:rsidRPr="00D275C1" w:rsidRDefault="0027217B" w:rsidP="00D275C1">
      <w:pPr>
        <w:ind w:left="426" w:right="420"/>
        <w:jc w:val="both"/>
        <w:rPr>
          <w:rFonts w:ascii="Gadugi" w:hAnsi="Gadugi"/>
          <w:sz w:val="22"/>
          <w:szCs w:val="24"/>
          <w:lang w:val="es-CO" w:eastAsia="es-CO"/>
        </w:rPr>
      </w:pPr>
      <w:r w:rsidRPr="00D275C1">
        <w:rPr>
          <w:rFonts w:ascii="Gadugi" w:hAnsi="Gadugi"/>
          <w:sz w:val="22"/>
          <w:szCs w:val="24"/>
          <w:lang w:val="es-419"/>
        </w:rPr>
        <w:tab/>
      </w:r>
      <w:r w:rsidRPr="00D275C1">
        <w:rPr>
          <w:rFonts w:ascii="Gadugi" w:hAnsi="Gadugi"/>
          <w:sz w:val="22"/>
          <w:szCs w:val="24"/>
          <w:lang w:val="es-419"/>
        </w:rPr>
        <w:tab/>
      </w:r>
      <w:r w:rsidRPr="00D275C1">
        <w:rPr>
          <w:rFonts w:ascii="Gadugi" w:hAnsi="Gadugi"/>
          <w:sz w:val="22"/>
          <w:szCs w:val="24"/>
          <w:lang w:val="es-419"/>
        </w:rPr>
        <w:tab/>
      </w:r>
      <w:r w:rsidRPr="00D275C1">
        <w:rPr>
          <w:rFonts w:ascii="Gadugi" w:hAnsi="Gadugi"/>
          <w:sz w:val="22"/>
          <w:szCs w:val="24"/>
          <w:lang w:val="es-419"/>
        </w:rPr>
        <w:tab/>
      </w:r>
      <w:r w:rsidRPr="00D275C1">
        <w:rPr>
          <w:rFonts w:ascii="Gadugi" w:hAnsi="Gadugi"/>
          <w:sz w:val="22"/>
          <w:szCs w:val="24"/>
          <w:lang w:val="es-CO" w:eastAsia="es-CO"/>
        </w:rPr>
        <w:t>(…) </w:t>
      </w:r>
    </w:p>
    <w:p w14:paraId="13BBA2C9" w14:textId="77777777" w:rsidR="0027217B" w:rsidRPr="00D275C1" w:rsidRDefault="0027217B" w:rsidP="00D275C1">
      <w:pPr>
        <w:ind w:left="426" w:right="420"/>
        <w:jc w:val="both"/>
        <w:rPr>
          <w:rFonts w:ascii="Gadugi" w:hAnsi="Gadugi"/>
          <w:sz w:val="22"/>
          <w:szCs w:val="24"/>
          <w:lang w:val="es-CO" w:eastAsia="es-CO"/>
        </w:rPr>
      </w:pPr>
    </w:p>
    <w:p w14:paraId="2060C094" w14:textId="77777777" w:rsidR="0027217B" w:rsidRPr="00D275C1" w:rsidRDefault="0027217B" w:rsidP="00D275C1">
      <w:pPr>
        <w:ind w:left="426" w:right="420"/>
        <w:jc w:val="both"/>
        <w:rPr>
          <w:rFonts w:ascii="Gadugi" w:hAnsi="Gadugi"/>
          <w:sz w:val="22"/>
          <w:szCs w:val="24"/>
          <w:lang w:val="es-CO" w:eastAsia="es-CO"/>
        </w:rPr>
      </w:pPr>
      <w:r w:rsidRPr="00D275C1">
        <w:rPr>
          <w:rFonts w:ascii="Gadugi" w:hAnsi="Gadugi"/>
          <w:sz w:val="22"/>
          <w:szCs w:val="24"/>
          <w:lang w:val="es-CO" w:eastAsia="es-CO"/>
        </w:rPr>
        <w:tab/>
      </w:r>
      <w:r w:rsidRPr="00D275C1">
        <w:rPr>
          <w:rFonts w:ascii="Gadugi" w:hAnsi="Gadugi"/>
          <w:sz w:val="22"/>
          <w:szCs w:val="24"/>
          <w:lang w:val="es-CO" w:eastAsia="es-CO"/>
        </w:rPr>
        <w:tab/>
      </w:r>
      <w:r w:rsidRPr="00D275C1">
        <w:rPr>
          <w:rFonts w:ascii="Gadugi" w:hAnsi="Gadugi"/>
          <w:sz w:val="22"/>
          <w:szCs w:val="24"/>
          <w:lang w:val="es-CO" w:eastAsia="es-CO"/>
        </w:rPr>
        <w:tab/>
      </w:r>
      <w:r w:rsidRPr="00D275C1">
        <w:rPr>
          <w:rFonts w:ascii="Gadugi" w:hAnsi="Gadugi"/>
          <w:sz w:val="22"/>
          <w:szCs w:val="24"/>
          <w:lang w:val="es-CO" w:eastAsia="es-CO"/>
        </w:rPr>
        <w:tab/>
      </w:r>
      <w:r w:rsidRPr="00D275C1">
        <w:rPr>
          <w:rFonts w:ascii="Gadugi" w:hAnsi="Gadugi"/>
          <w:b/>
          <w:sz w:val="22"/>
          <w:szCs w:val="24"/>
          <w:lang w:val="es-CO" w:eastAsia="es-CO"/>
        </w:rPr>
        <w:t>Se erige sobre la malinterpretación de los hechos expuestos en un proceso, la cual deviene de una inapropiada valoración probatoria, bien porque el juez no contaba con pruebas para sustentar sus afirmaciones, ora porque al estimar su valor demostrativo fue arbitrario</w:t>
      </w:r>
      <w:r w:rsidRPr="00D275C1">
        <w:rPr>
          <w:rStyle w:val="Refdenotaalpie"/>
          <w:rFonts w:ascii="Gadugi" w:hAnsi="Gadugi"/>
          <w:sz w:val="22"/>
          <w:szCs w:val="24"/>
          <w:lang w:val="es-CO" w:eastAsia="es-CO"/>
        </w:rPr>
        <w:footnoteReference w:id="16"/>
      </w:r>
      <w:r w:rsidRPr="00D275C1">
        <w:rPr>
          <w:rFonts w:ascii="Gadugi" w:hAnsi="Gadugi"/>
          <w:sz w:val="22"/>
          <w:szCs w:val="24"/>
          <w:lang w:val="es-CO" w:eastAsia="es-CO"/>
        </w:rPr>
        <w:t>. La Corte ha dicho que tal arbitrariedad debe ser “</w:t>
      </w:r>
      <w:r w:rsidRPr="00D275C1">
        <w:rPr>
          <w:rFonts w:ascii="Gadugi" w:hAnsi="Gadugi"/>
          <w:i/>
          <w:iCs/>
          <w:sz w:val="22"/>
          <w:szCs w:val="24"/>
          <w:shd w:val="clear" w:color="auto" w:fill="FFFFFF"/>
          <w:lang w:val="es-CO" w:eastAsia="es-CO"/>
        </w:rPr>
        <w:t>de tal magnitud que pueda advertirse de manera evidente y flagrante, sin que quepa margen de objetividad alguno que permita explicar razonablemente la conclusión a la cual llegó el juez</w:t>
      </w:r>
      <w:r w:rsidRPr="00D275C1">
        <w:rPr>
          <w:rStyle w:val="Refdenotaalpie"/>
          <w:rFonts w:ascii="Gadugi" w:hAnsi="Gadugi"/>
          <w:i/>
          <w:iCs/>
          <w:sz w:val="22"/>
          <w:szCs w:val="24"/>
          <w:shd w:val="clear" w:color="auto" w:fill="FFFFFF"/>
          <w:lang w:val="es-CO" w:eastAsia="es-CO"/>
        </w:rPr>
        <w:footnoteReference w:id="17"/>
      </w:r>
      <w:r w:rsidRPr="00D275C1">
        <w:rPr>
          <w:rFonts w:ascii="Gadugi" w:hAnsi="Gadugi"/>
          <w:i/>
          <w:iCs/>
          <w:sz w:val="22"/>
          <w:szCs w:val="24"/>
          <w:shd w:val="clear" w:color="auto" w:fill="FFFFFF"/>
          <w:lang w:val="es-CO" w:eastAsia="es-CO"/>
        </w:rPr>
        <w:t>.</w:t>
      </w:r>
      <w:r w:rsidRPr="00D275C1">
        <w:rPr>
          <w:rFonts w:ascii="Gadugi" w:hAnsi="Gadugi"/>
          <w:i/>
          <w:iCs/>
          <w:sz w:val="22"/>
          <w:szCs w:val="24"/>
          <w:lang w:val="es-CO" w:eastAsia="es-CO"/>
        </w:rPr>
        <w:t> </w:t>
      </w:r>
      <w:r w:rsidRPr="00D275C1">
        <w:rPr>
          <w:rFonts w:ascii="Gadugi" w:hAnsi="Gadugi"/>
          <w:i/>
          <w:iCs/>
          <w:sz w:val="22"/>
          <w:szCs w:val="24"/>
          <w:shd w:val="clear" w:color="auto" w:fill="FFFFFF"/>
          <w:lang w:val="es-CO" w:eastAsia="es-CO"/>
        </w:rPr>
        <w:t>En igual sentido, es imprescindible que tal yerro tenga una trascendencia fundamental en el sentido del fallo, de manera que si no se hubiera incurrido en él, el funcionario judicial hubiera adoptado una decisión completamente opuesta</w:t>
      </w:r>
      <w:r w:rsidRPr="00D275C1">
        <w:rPr>
          <w:rStyle w:val="Refdenotaalpie"/>
          <w:rFonts w:ascii="Gadugi" w:hAnsi="Gadugi"/>
          <w:i/>
          <w:iCs/>
          <w:sz w:val="22"/>
          <w:szCs w:val="24"/>
          <w:shd w:val="clear" w:color="auto" w:fill="FFFFFF"/>
          <w:lang w:val="es-CO" w:eastAsia="es-CO"/>
        </w:rPr>
        <w:footnoteReference w:id="18"/>
      </w:r>
      <w:r w:rsidRPr="00D275C1">
        <w:rPr>
          <w:rFonts w:ascii="Gadugi" w:hAnsi="Gadugi"/>
          <w:i/>
          <w:iCs/>
          <w:sz w:val="22"/>
          <w:szCs w:val="24"/>
          <w:shd w:val="clear" w:color="auto" w:fill="FFFFFF"/>
          <w:lang w:val="es-CO" w:eastAsia="es-CO"/>
        </w:rPr>
        <w:t>”</w:t>
      </w:r>
      <w:r w:rsidRPr="00D275C1">
        <w:rPr>
          <w:rFonts w:ascii="Gadugi" w:hAnsi="Gadugi"/>
          <w:sz w:val="22"/>
          <w:szCs w:val="24"/>
          <w:lang w:val="es-CO" w:eastAsia="es-CO"/>
        </w:rPr>
        <w:t>.  </w:t>
      </w:r>
    </w:p>
    <w:p w14:paraId="3AC8B326" w14:textId="77777777" w:rsidR="0027217B" w:rsidRPr="00D275C1" w:rsidRDefault="0027217B" w:rsidP="00D275C1">
      <w:pPr>
        <w:shd w:val="clear" w:color="auto" w:fill="FFFFFF"/>
        <w:overflowPunct/>
        <w:autoSpaceDE/>
        <w:autoSpaceDN/>
        <w:adjustRightInd/>
        <w:ind w:left="426" w:right="420"/>
        <w:jc w:val="both"/>
        <w:textAlignment w:val="auto"/>
        <w:rPr>
          <w:rFonts w:ascii="Gadugi" w:hAnsi="Gadugi"/>
          <w:sz w:val="22"/>
          <w:szCs w:val="24"/>
          <w:lang w:val="es-CO" w:eastAsia="es-CO"/>
        </w:rPr>
      </w:pPr>
    </w:p>
    <w:p w14:paraId="408D9A49" w14:textId="714973A9" w:rsidR="0027217B" w:rsidRPr="00D275C1" w:rsidRDefault="0027217B" w:rsidP="00D275C1">
      <w:pPr>
        <w:shd w:val="clear" w:color="auto" w:fill="FFFFFF"/>
        <w:overflowPunct/>
        <w:autoSpaceDE/>
        <w:autoSpaceDN/>
        <w:adjustRightInd/>
        <w:ind w:left="426" w:right="420"/>
        <w:jc w:val="both"/>
        <w:textAlignment w:val="auto"/>
        <w:rPr>
          <w:rFonts w:ascii="Gadugi" w:hAnsi="Gadugi"/>
          <w:sz w:val="22"/>
          <w:szCs w:val="24"/>
          <w:lang w:val="es-CO" w:eastAsia="es-CO"/>
        </w:rPr>
      </w:pPr>
      <w:r w:rsidRPr="00D275C1">
        <w:rPr>
          <w:rFonts w:ascii="Gadugi" w:hAnsi="Gadugi" w:cs="Calibri"/>
          <w:sz w:val="22"/>
          <w:szCs w:val="24"/>
          <w:lang w:val="es-CO" w:eastAsia="es-CO"/>
        </w:rPr>
        <w:tab/>
      </w:r>
      <w:r w:rsidRPr="00D275C1">
        <w:rPr>
          <w:rFonts w:ascii="Gadugi" w:hAnsi="Gadugi" w:cs="Calibri"/>
          <w:sz w:val="22"/>
          <w:szCs w:val="24"/>
          <w:lang w:val="es-CO" w:eastAsia="es-CO"/>
        </w:rPr>
        <w:tab/>
      </w:r>
      <w:r w:rsidRPr="00D275C1">
        <w:rPr>
          <w:rFonts w:ascii="Gadugi" w:hAnsi="Gadugi" w:cs="Calibri"/>
          <w:sz w:val="22"/>
          <w:szCs w:val="24"/>
          <w:lang w:val="es-CO" w:eastAsia="es-CO"/>
        </w:rPr>
        <w:tab/>
      </w:r>
      <w:r w:rsidRPr="00D275C1">
        <w:rPr>
          <w:rFonts w:ascii="Gadugi" w:hAnsi="Gadugi" w:cs="Calibri"/>
          <w:sz w:val="22"/>
          <w:szCs w:val="24"/>
          <w:lang w:val="es-CO" w:eastAsia="es-CO"/>
        </w:rPr>
        <w:tab/>
      </w:r>
      <w:r w:rsidR="00B13C66" w:rsidRPr="00D275C1">
        <w:rPr>
          <w:rFonts w:ascii="Gadugi" w:hAnsi="Gadugi"/>
          <w:sz w:val="22"/>
          <w:szCs w:val="24"/>
          <w:lang w:val="es-CO" w:eastAsia="es-CO"/>
        </w:rPr>
        <w:t>(…)</w:t>
      </w:r>
    </w:p>
    <w:p w14:paraId="59062C5A" w14:textId="77777777" w:rsidR="0027217B" w:rsidRPr="009933BF" w:rsidRDefault="0027217B" w:rsidP="009933BF">
      <w:pPr>
        <w:spacing w:line="276" w:lineRule="auto"/>
        <w:ind w:left="567" w:right="902"/>
        <w:jc w:val="both"/>
        <w:rPr>
          <w:rFonts w:ascii="Gadugi" w:hAnsi="Gadugi"/>
          <w:sz w:val="24"/>
          <w:szCs w:val="24"/>
        </w:rPr>
      </w:pPr>
    </w:p>
    <w:p w14:paraId="4E42AACE" w14:textId="2B6AB17C" w:rsidR="00F05CB7" w:rsidRPr="009933BF" w:rsidRDefault="002F273F" w:rsidP="009933BF">
      <w:pPr>
        <w:spacing w:line="276" w:lineRule="auto"/>
        <w:jc w:val="both"/>
        <w:rPr>
          <w:rFonts w:ascii="Gadugi" w:hAnsi="Gadugi"/>
          <w:sz w:val="24"/>
          <w:szCs w:val="24"/>
        </w:rPr>
      </w:pPr>
      <w:r w:rsidRPr="009933BF">
        <w:rPr>
          <w:rFonts w:ascii="Gadugi" w:hAnsi="Gadugi"/>
          <w:sz w:val="24"/>
          <w:szCs w:val="24"/>
        </w:rPr>
        <w:lastRenderedPageBreak/>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bookmarkStart w:id="3" w:name="_Hlk100302780"/>
      <w:r w:rsidR="0027217B" w:rsidRPr="009933BF">
        <w:rPr>
          <w:rFonts w:ascii="Gadugi" w:hAnsi="Gadugi"/>
          <w:sz w:val="24"/>
          <w:szCs w:val="24"/>
        </w:rPr>
        <w:t xml:space="preserve">En el caso concreto, </w:t>
      </w:r>
      <w:r w:rsidR="00075935" w:rsidRPr="009933BF">
        <w:rPr>
          <w:rFonts w:ascii="Gadugi" w:hAnsi="Gadugi"/>
          <w:sz w:val="24"/>
          <w:szCs w:val="24"/>
        </w:rPr>
        <w:t>n</w:t>
      </w:r>
      <w:r w:rsidR="00F05CB7" w:rsidRPr="009933BF">
        <w:rPr>
          <w:rFonts w:ascii="Gadugi" w:hAnsi="Gadugi"/>
          <w:sz w:val="24"/>
          <w:szCs w:val="24"/>
        </w:rPr>
        <w:t>o se advierte alguna omisión en el decreto de pruebas, en su práctica, ni tampoco una infundada valoración de la</w:t>
      </w:r>
      <w:r w:rsidR="003F27B1" w:rsidRPr="009933BF">
        <w:rPr>
          <w:rFonts w:ascii="Gadugi" w:hAnsi="Gadugi"/>
          <w:sz w:val="24"/>
          <w:szCs w:val="24"/>
        </w:rPr>
        <w:t xml:space="preserve">s mismas. </w:t>
      </w:r>
    </w:p>
    <w:p w14:paraId="47455A67" w14:textId="4AA9F184" w:rsidR="00F05CB7" w:rsidRPr="009933BF" w:rsidRDefault="00F05CB7" w:rsidP="009933BF">
      <w:pPr>
        <w:spacing w:line="276" w:lineRule="auto"/>
        <w:jc w:val="both"/>
        <w:rPr>
          <w:rFonts w:ascii="Gadugi" w:hAnsi="Gadugi"/>
          <w:sz w:val="24"/>
          <w:szCs w:val="24"/>
        </w:rPr>
      </w:pPr>
    </w:p>
    <w:p w14:paraId="244C1471" w14:textId="1B04A11E" w:rsidR="00F63C1A" w:rsidRPr="009933BF" w:rsidRDefault="00F05CB7"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t>Baste recordar que</w:t>
      </w:r>
      <w:r w:rsidR="00F63C1A" w:rsidRPr="009933BF">
        <w:rPr>
          <w:rFonts w:ascii="Gadugi" w:hAnsi="Gadugi"/>
          <w:sz w:val="24"/>
          <w:szCs w:val="24"/>
        </w:rPr>
        <w:t xml:space="preserve"> fueron decretadas todas las pruebas documentales y testimoniales de la parte demandante</w:t>
      </w:r>
      <w:r w:rsidR="003F27B1" w:rsidRPr="009933BF">
        <w:rPr>
          <w:rStyle w:val="Refdenotaalpie"/>
          <w:rFonts w:ascii="Gadugi" w:hAnsi="Gadugi"/>
          <w:sz w:val="24"/>
          <w:szCs w:val="24"/>
        </w:rPr>
        <w:footnoteReference w:id="19"/>
      </w:r>
      <w:r w:rsidRPr="009933BF">
        <w:rPr>
          <w:rFonts w:ascii="Gadugi" w:hAnsi="Gadugi"/>
          <w:sz w:val="24"/>
          <w:szCs w:val="24"/>
        </w:rPr>
        <w:t>, además se practicó con exhaustividad el interrogatorio a las partes</w:t>
      </w:r>
      <w:bookmarkEnd w:id="3"/>
      <w:r w:rsidR="003F27B1" w:rsidRPr="009933BF">
        <w:rPr>
          <w:rStyle w:val="Refdenotaalpie"/>
          <w:rFonts w:ascii="Gadugi" w:hAnsi="Gadugi"/>
          <w:sz w:val="24"/>
          <w:szCs w:val="24"/>
        </w:rPr>
        <w:footnoteReference w:id="20"/>
      </w:r>
      <w:r w:rsidRPr="009933BF">
        <w:rPr>
          <w:rFonts w:ascii="Gadugi" w:hAnsi="Gadugi"/>
          <w:sz w:val="24"/>
          <w:szCs w:val="24"/>
        </w:rPr>
        <w:t>, a quienes se les indagó sobre el juicio de restitución de inmueble arrendado que los involucraba a ambos, adelantado ante el Juzgado Primero de Pequeñas Causas y Competencias Múltiples de Pereira, y en el que se profirió fallo el 15 de febrero de 2021</w:t>
      </w:r>
      <w:r w:rsidR="00CD47D0" w:rsidRPr="009933BF">
        <w:rPr>
          <w:rFonts w:ascii="Gadugi" w:hAnsi="Gadugi"/>
          <w:sz w:val="24"/>
          <w:szCs w:val="24"/>
        </w:rPr>
        <w:t xml:space="preserve"> y se negó el reconocimiento de mejoras al señor Villafañe Castaño, cuya acta inclusive fue aportada por la parte actora</w:t>
      </w:r>
      <w:r w:rsidR="007A0C7C" w:rsidRPr="009933BF">
        <w:rPr>
          <w:rStyle w:val="Refdenotaalpie"/>
          <w:rFonts w:ascii="Gadugi" w:hAnsi="Gadugi"/>
          <w:sz w:val="24"/>
          <w:szCs w:val="24"/>
        </w:rPr>
        <w:footnoteReference w:id="21"/>
      </w:r>
      <w:r w:rsidR="00CD47D0" w:rsidRPr="009933BF">
        <w:rPr>
          <w:rFonts w:ascii="Gadugi" w:hAnsi="Gadugi"/>
          <w:sz w:val="24"/>
          <w:szCs w:val="24"/>
        </w:rPr>
        <w:t xml:space="preserve">, misma que también, fue valorada por el juez acusado.  </w:t>
      </w:r>
    </w:p>
    <w:p w14:paraId="53EAA226" w14:textId="6B5B7800" w:rsidR="00CD47D0" w:rsidRPr="009933BF" w:rsidRDefault="00CD47D0" w:rsidP="009933BF">
      <w:pPr>
        <w:spacing w:line="276" w:lineRule="auto"/>
        <w:jc w:val="both"/>
        <w:rPr>
          <w:rFonts w:ascii="Gadugi" w:hAnsi="Gadugi"/>
          <w:sz w:val="24"/>
          <w:szCs w:val="24"/>
        </w:rPr>
      </w:pPr>
    </w:p>
    <w:p w14:paraId="2F177CEE" w14:textId="0A8762E4" w:rsidR="00CD47D0" w:rsidRPr="009933BF" w:rsidRDefault="00CD47D0"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t>Y con base en todo ello, presentó el despacho las siguientes consideraciones fácticas y jurídicas</w:t>
      </w:r>
      <w:r w:rsidR="007A0C7C" w:rsidRPr="009933BF">
        <w:rPr>
          <w:rStyle w:val="Refdenotaalpie"/>
          <w:rFonts w:ascii="Gadugi" w:hAnsi="Gadugi"/>
          <w:sz w:val="24"/>
          <w:szCs w:val="24"/>
        </w:rPr>
        <w:footnoteReference w:id="22"/>
      </w:r>
      <w:r w:rsidRPr="009933BF">
        <w:rPr>
          <w:rFonts w:ascii="Gadugi" w:hAnsi="Gadugi"/>
          <w:sz w:val="24"/>
          <w:szCs w:val="24"/>
        </w:rPr>
        <w:t xml:space="preserve">: </w:t>
      </w:r>
    </w:p>
    <w:p w14:paraId="193B61F7" w14:textId="2A0D0E06" w:rsidR="002A5AFA" w:rsidRPr="009933BF" w:rsidRDefault="002A5AFA" w:rsidP="009933BF">
      <w:pPr>
        <w:spacing w:line="276" w:lineRule="auto"/>
        <w:jc w:val="both"/>
        <w:rPr>
          <w:rFonts w:ascii="Gadugi" w:hAnsi="Gadugi"/>
          <w:sz w:val="24"/>
          <w:szCs w:val="24"/>
        </w:rPr>
      </w:pPr>
    </w:p>
    <w:p w14:paraId="0FFD5BA5" w14:textId="1B0B1E03" w:rsidR="001B3C49" w:rsidRPr="00D275C1" w:rsidRDefault="00230E42"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004837A2" w:rsidRPr="00D275C1">
        <w:rPr>
          <w:rFonts w:ascii="Gadugi" w:hAnsi="Gadugi"/>
          <w:sz w:val="22"/>
          <w:szCs w:val="24"/>
        </w:rPr>
        <w:t>Con la acción judicial presentada se aportó como prueba 5 recibos de arreglos efectuados al inmueble que suman un total de $1.505.000.</w:t>
      </w:r>
      <w:r w:rsidR="00D275C1" w:rsidRPr="00D275C1">
        <w:rPr>
          <w:rFonts w:ascii="Gadugi" w:hAnsi="Gadugi"/>
          <w:sz w:val="22"/>
          <w:szCs w:val="24"/>
        </w:rPr>
        <w:t>00</w:t>
      </w:r>
      <w:r w:rsidR="004837A2" w:rsidRPr="00D275C1">
        <w:rPr>
          <w:rFonts w:ascii="Gadugi" w:hAnsi="Gadugi"/>
          <w:sz w:val="22"/>
          <w:szCs w:val="24"/>
        </w:rPr>
        <w:t>, y un documento que alude a un daño emergente</w:t>
      </w:r>
      <w:r w:rsidR="00F63C1A" w:rsidRPr="00D275C1">
        <w:rPr>
          <w:rFonts w:ascii="Gadugi" w:hAnsi="Gadugi"/>
          <w:sz w:val="22"/>
          <w:szCs w:val="24"/>
        </w:rPr>
        <w:t xml:space="preserve">, </w:t>
      </w:r>
      <w:r w:rsidR="001B3C49" w:rsidRPr="00D275C1">
        <w:rPr>
          <w:rFonts w:ascii="Gadugi" w:hAnsi="Gadugi"/>
          <w:sz w:val="22"/>
          <w:szCs w:val="24"/>
        </w:rPr>
        <w:t>por la no realización de un evento social en el inmueble, los documentos que prueban la existencia de la relación contractual enunciada en la demanda y en la contestación de la demanda.</w:t>
      </w:r>
    </w:p>
    <w:p w14:paraId="62437C0D" w14:textId="5970157E" w:rsidR="00F63C1A" w:rsidRPr="00D275C1" w:rsidRDefault="00F63C1A" w:rsidP="00D275C1">
      <w:pPr>
        <w:ind w:left="426" w:right="420"/>
        <w:jc w:val="both"/>
        <w:rPr>
          <w:rFonts w:ascii="Gadugi" w:hAnsi="Gadugi"/>
          <w:sz w:val="22"/>
          <w:szCs w:val="24"/>
        </w:rPr>
      </w:pPr>
    </w:p>
    <w:p w14:paraId="2132E864" w14:textId="7046297B" w:rsidR="00F63C1A" w:rsidRPr="00D275C1" w:rsidRDefault="00F63C1A"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t>(…)</w:t>
      </w:r>
    </w:p>
    <w:p w14:paraId="04BCC985" w14:textId="15D29D9E" w:rsidR="001B3C49" w:rsidRPr="00D275C1" w:rsidRDefault="001B3C49" w:rsidP="00D275C1">
      <w:pPr>
        <w:ind w:left="426" w:right="420"/>
        <w:jc w:val="both"/>
        <w:rPr>
          <w:rFonts w:ascii="Gadugi" w:hAnsi="Gadugi"/>
          <w:sz w:val="22"/>
          <w:szCs w:val="24"/>
        </w:rPr>
      </w:pPr>
    </w:p>
    <w:p w14:paraId="497EA65E" w14:textId="4998C227" w:rsidR="001B3C49" w:rsidRPr="00D275C1" w:rsidRDefault="001B3C49"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t>Conforme a la filosofía de la acción monitoria, con ella se pretende facilitar el acceso a la administración de justicia de aquellas personas que cuentan con obligaciones dinerarias que no pueden o no acostumbran documentar mediante títulos ejecutivos y que por lo complicado que resulta acudir a un proceso judicial complejo y demorado desisten de su cobro</w:t>
      </w:r>
      <w:r w:rsidR="00A227DA" w:rsidRPr="00D275C1">
        <w:rPr>
          <w:rFonts w:ascii="Gadugi" w:hAnsi="Gadugi"/>
          <w:sz w:val="22"/>
          <w:szCs w:val="24"/>
        </w:rPr>
        <w:t>.</w:t>
      </w:r>
    </w:p>
    <w:p w14:paraId="045D2651" w14:textId="0493A43B" w:rsidR="00A227DA" w:rsidRPr="00D275C1" w:rsidRDefault="00A227DA" w:rsidP="00D275C1">
      <w:pPr>
        <w:ind w:left="426" w:right="420"/>
        <w:jc w:val="both"/>
        <w:rPr>
          <w:rFonts w:ascii="Gadugi" w:hAnsi="Gadugi"/>
          <w:sz w:val="22"/>
          <w:szCs w:val="24"/>
        </w:rPr>
      </w:pPr>
    </w:p>
    <w:p w14:paraId="4E88C4DA" w14:textId="2729E12B" w:rsidR="00A227DA" w:rsidRPr="00D275C1" w:rsidRDefault="00A227DA"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t>Es claro que, en el caso de marras, como lo señala la parte demandada, la acción entablada no encaja en dicha perspectiva pues las sumas de dinero cobradas por el señor Wilmar Hernando Villafañe Castaño, no son de aquellas que se generan entre distintas partes y de las cuales no se acostumbra documentar, como es ejemplo típico las cuentas de los tenderos que se anotan en los cuadernos</w:t>
      </w:r>
      <w:r w:rsidR="00F63C1A" w:rsidRPr="00D275C1">
        <w:rPr>
          <w:rFonts w:ascii="Gadugi" w:hAnsi="Gadugi"/>
          <w:sz w:val="22"/>
          <w:szCs w:val="24"/>
        </w:rPr>
        <w:t>;</w:t>
      </w:r>
      <w:r w:rsidRPr="00D275C1">
        <w:rPr>
          <w:rFonts w:ascii="Gadugi" w:hAnsi="Gadugi"/>
          <w:sz w:val="22"/>
          <w:szCs w:val="24"/>
        </w:rPr>
        <w:t xml:space="preserve"> las prestaciones demandadas tienen origen en situaciones que se deben ventilar con fundamento en el contrato de arrendamiento pactado entre las partes, situación para la cual existe un procedimiento jurídico consagrado en el CGP, tal cual, es el procedimiento de arrendamiento o mediante un proceso verbal en que se reconozca  los derechos de las partes, conforme al desarrollo del contrato de arrendamiento y en que se declare si hay o no incumplimiento contractual, y quien, dentro del contrato bilateral, queda debiendo a quien.</w:t>
      </w:r>
    </w:p>
    <w:p w14:paraId="1C5F8971" w14:textId="77777777" w:rsidR="00A227DA" w:rsidRPr="00D275C1" w:rsidRDefault="00A227DA" w:rsidP="00D275C1">
      <w:pPr>
        <w:ind w:left="426" w:right="420"/>
        <w:jc w:val="both"/>
        <w:rPr>
          <w:rFonts w:ascii="Gadugi" w:hAnsi="Gadugi"/>
          <w:sz w:val="22"/>
          <w:szCs w:val="24"/>
        </w:rPr>
      </w:pPr>
    </w:p>
    <w:p w14:paraId="7DBB9DE8" w14:textId="58324161" w:rsidR="00A227DA" w:rsidRPr="00D275C1" w:rsidRDefault="00A227DA" w:rsidP="00D275C1">
      <w:pPr>
        <w:ind w:left="426" w:right="420"/>
        <w:jc w:val="both"/>
        <w:rPr>
          <w:rFonts w:ascii="Gadugi" w:hAnsi="Gadugi"/>
          <w:sz w:val="22"/>
          <w:szCs w:val="24"/>
        </w:rPr>
      </w:pPr>
      <w:r w:rsidRPr="00D275C1">
        <w:rPr>
          <w:rFonts w:ascii="Gadugi" w:hAnsi="Gadugi"/>
          <w:sz w:val="22"/>
          <w:szCs w:val="24"/>
        </w:rPr>
        <w:lastRenderedPageBreak/>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00F63C1A" w:rsidRPr="00D275C1">
        <w:rPr>
          <w:rFonts w:ascii="Gadugi" w:hAnsi="Gadugi"/>
          <w:sz w:val="22"/>
          <w:szCs w:val="24"/>
        </w:rPr>
        <w:t>“</w:t>
      </w:r>
      <w:r w:rsidRPr="00D275C1">
        <w:rPr>
          <w:rFonts w:ascii="Gadugi" w:hAnsi="Gadugi"/>
          <w:sz w:val="22"/>
          <w:szCs w:val="24"/>
        </w:rPr>
        <w:t xml:space="preserve">Es claro que en el proceso el señor Wilmar Hernando Villafañe Castaño, no tiene un título ejecutivo, ni un principio de título ejecutivo en contra del señor Jaime Ardila Rodríguez, </w:t>
      </w:r>
      <w:r w:rsidR="00F63C1A" w:rsidRPr="00D275C1">
        <w:rPr>
          <w:rFonts w:ascii="Gadugi" w:hAnsi="Gadugi"/>
          <w:sz w:val="22"/>
          <w:szCs w:val="24"/>
        </w:rPr>
        <w:t>solamente</w:t>
      </w:r>
      <w:r w:rsidRPr="00D275C1">
        <w:rPr>
          <w:rFonts w:ascii="Gadugi" w:hAnsi="Gadugi"/>
          <w:sz w:val="22"/>
          <w:szCs w:val="24"/>
        </w:rPr>
        <w:t xml:space="preserve"> cuenta con una versión acerca de que por el desarrollo del contrato el arrendador le adeuda unas </w:t>
      </w:r>
      <w:r w:rsidR="00F63C1A" w:rsidRPr="00D275C1">
        <w:rPr>
          <w:rFonts w:ascii="Gadugi" w:hAnsi="Gadugi"/>
          <w:sz w:val="22"/>
          <w:szCs w:val="24"/>
        </w:rPr>
        <w:t>sumas</w:t>
      </w:r>
      <w:r w:rsidRPr="00D275C1">
        <w:rPr>
          <w:rFonts w:ascii="Gadugi" w:hAnsi="Gadugi"/>
          <w:sz w:val="22"/>
          <w:szCs w:val="24"/>
        </w:rPr>
        <w:t xml:space="preserve"> de dinero por reparaciones y por un lucro cesante que no pudo realizar.</w:t>
      </w:r>
    </w:p>
    <w:p w14:paraId="6FA0CD09" w14:textId="77777777" w:rsidR="00A227DA" w:rsidRPr="00D275C1" w:rsidRDefault="00A227DA" w:rsidP="00D275C1">
      <w:pPr>
        <w:ind w:left="426" w:right="420"/>
        <w:jc w:val="both"/>
        <w:rPr>
          <w:rFonts w:ascii="Gadugi" w:hAnsi="Gadugi"/>
          <w:sz w:val="22"/>
          <w:szCs w:val="24"/>
        </w:rPr>
      </w:pPr>
    </w:p>
    <w:p w14:paraId="2F1024C1" w14:textId="60122F50" w:rsidR="00A227DA" w:rsidRPr="00D275C1" w:rsidRDefault="00A227DA"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t xml:space="preserve">    </w:t>
      </w:r>
      <w:r w:rsidRPr="00D275C1">
        <w:rPr>
          <w:rFonts w:ascii="Gadugi" w:hAnsi="Gadugi"/>
          <w:sz w:val="22"/>
          <w:szCs w:val="24"/>
        </w:rPr>
        <w:tab/>
        <w:t>Esas puntuales situaciones están al margen de lo que es un proceso monitorio</w:t>
      </w:r>
      <w:r w:rsidR="00F63C1A" w:rsidRPr="00D275C1">
        <w:rPr>
          <w:rFonts w:ascii="Gadugi" w:hAnsi="Gadugi"/>
          <w:sz w:val="22"/>
          <w:szCs w:val="24"/>
        </w:rPr>
        <w:t>,</w:t>
      </w:r>
      <w:r w:rsidRPr="00D275C1">
        <w:rPr>
          <w:rFonts w:ascii="Gadugi" w:hAnsi="Gadugi"/>
          <w:sz w:val="22"/>
          <w:szCs w:val="24"/>
        </w:rPr>
        <w:t xml:space="preserve"> debiendo haber reclamado sus derechos, el señor Wilmar Hernando Villafañe Castaño, dentro del proceso de restitución que se adelantó en el Juzgado Primero de Pequeñas Causas y Competencias Múltiples con radicado 2018-00164, del cual refieren ambas partes en este proceso, </w:t>
      </w:r>
      <w:r w:rsidR="00A10881" w:rsidRPr="00D275C1">
        <w:rPr>
          <w:rFonts w:ascii="Gadugi" w:hAnsi="Gadugi"/>
          <w:sz w:val="22"/>
          <w:szCs w:val="24"/>
        </w:rPr>
        <w:t>y las vicisitudes allí presentadas que impidieron un pronunciamiento no son un fundamento jurídico suficiente para acudir a la acción monitoria.</w:t>
      </w:r>
    </w:p>
    <w:p w14:paraId="037F82E2" w14:textId="4DCCC728" w:rsidR="00A10881" w:rsidRPr="00D275C1" w:rsidRDefault="00A10881" w:rsidP="00D275C1">
      <w:pPr>
        <w:ind w:left="426" w:right="420"/>
        <w:jc w:val="both"/>
        <w:rPr>
          <w:rFonts w:ascii="Gadugi" w:hAnsi="Gadugi"/>
          <w:sz w:val="22"/>
          <w:szCs w:val="24"/>
        </w:rPr>
      </w:pPr>
    </w:p>
    <w:p w14:paraId="32EA1DDC" w14:textId="77777777" w:rsidR="00A10881" w:rsidRPr="00D275C1" w:rsidRDefault="00A10881"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t>No se puede olvidar que actuando con el artículo 384 del CGP, dentro del proceso de restitución el arrendatario demandado puede alegar la existencia de mejoras o arreglos efectuados al inmueble, petición que se tramitará como excepción, igualmente, permite el precepto legal la compensación de créditos cuando en la sentencia se reconozca al demandado el derecho al valor de mejoras o reparaciones demostradas; finalmente, el numeral 7° de la norma citada, dice que se permite ventilar en el proceso de restitución “cualquier otra prestación económica derivada del contrato,  del reconocimiento delas indemnizaciones a que hubiere lugar y a las costas procesales”.</w:t>
      </w:r>
    </w:p>
    <w:p w14:paraId="052CCA3C" w14:textId="17DAD32E" w:rsidR="00A10881" w:rsidRPr="00D275C1" w:rsidRDefault="00A10881" w:rsidP="00D275C1">
      <w:pPr>
        <w:ind w:left="426" w:right="420"/>
        <w:jc w:val="both"/>
        <w:rPr>
          <w:rFonts w:ascii="Gadugi" w:hAnsi="Gadugi"/>
          <w:sz w:val="22"/>
          <w:szCs w:val="24"/>
        </w:rPr>
      </w:pPr>
    </w:p>
    <w:p w14:paraId="44012611" w14:textId="28C4E620" w:rsidR="00A10881" w:rsidRPr="00D275C1" w:rsidRDefault="00A10881" w:rsidP="00D275C1">
      <w:pPr>
        <w:ind w:left="426" w:right="420"/>
        <w:jc w:val="both"/>
        <w:rPr>
          <w:rFonts w:ascii="Gadugi" w:hAnsi="Gadugi"/>
          <w:sz w:val="22"/>
          <w:szCs w:val="24"/>
        </w:rPr>
      </w:pP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r>
      <w:r w:rsidRPr="00D275C1">
        <w:rPr>
          <w:rFonts w:ascii="Gadugi" w:hAnsi="Gadugi"/>
          <w:sz w:val="22"/>
          <w:szCs w:val="24"/>
        </w:rPr>
        <w:tab/>
        <w:t xml:space="preserve"> (…) </w:t>
      </w:r>
    </w:p>
    <w:p w14:paraId="0EE861B5" w14:textId="52666A39" w:rsidR="00230E42" w:rsidRPr="009933BF" w:rsidRDefault="00230E42" w:rsidP="000C6FF7">
      <w:pPr>
        <w:spacing w:line="276" w:lineRule="auto"/>
        <w:ind w:right="902"/>
        <w:jc w:val="both"/>
        <w:rPr>
          <w:rFonts w:ascii="Gadugi" w:hAnsi="Gadugi"/>
          <w:sz w:val="24"/>
          <w:szCs w:val="24"/>
        </w:rPr>
      </w:pPr>
    </w:p>
    <w:p w14:paraId="3B58C923" w14:textId="0BD1B7F2" w:rsidR="00B13C66" w:rsidRPr="009933BF" w:rsidRDefault="004837A2" w:rsidP="009933BF">
      <w:pPr>
        <w:spacing w:line="276" w:lineRule="auto"/>
        <w:jc w:val="both"/>
        <w:rPr>
          <w:rFonts w:ascii="Gadugi" w:hAnsi="Gadugi"/>
          <w:sz w:val="24"/>
          <w:szCs w:val="24"/>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00CD47D0" w:rsidRPr="009933BF">
        <w:rPr>
          <w:rFonts w:ascii="Gadugi" w:hAnsi="Gadugi"/>
          <w:sz w:val="24"/>
          <w:szCs w:val="24"/>
        </w:rPr>
        <w:t>Lo que acaba de transcribirse y resaltarse, le muestra a la Sala una valoración individual y en conjunto de los elementos probatorios que se presentaron en el juico, y que le permitieron al funcionario cognoscente, concluir</w:t>
      </w:r>
      <w:r w:rsidR="00BE16F9" w:rsidRPr="009933BF">
        <w:rPr>
          <w:rFonts w:ascii="Gadugi" w:hAnsi="Gadugi"/>
          <w:sz w:val="24"/>
          <w:szCs w:val="24"/>
        </w:rPr>
        <w:t xml:space="preserve"> que</w:t>
      </w:r>
      <w:r w:rsidR="00CD47D0" w:rsidRPr="009933BF">
        <w:rPr>
          <w:rFonts w:ascii="Gadugi" w:hAnsi="Gadugi"/>
          <w:sz w:val="24"/>
          <w:szCs w:val="24"/>
        </w:rPr>
        <w:t xml:space="preserve"> </w:t>
      </w:r>
      <w:r w:rsidR="00BE16F9" w:rsidRPr="009933BF">
        <w:rPr>
          <w:rFonts w:ascii="Gadugi" w:hAnsi="Gadugi"/>
          <w:sz w:val="24"/>
          <w:szCs w:val="24"/>
        </w:rPr>
        <w:t xml:space="preserve">las pretensiones debían ser negadas toda vez que </w:t>
      </w:r>
      <w:r w:rsidR="00BE16F9" w:rsidRPr="009933BF">
        <w:rPr>
          <w:rFonts w:ascii="Gadugi" w:hAnsi="Gadugi"/>
          <w:i/>
          <w:sz w:val="24"/>
          <w:szCs w:val="24"/>
        </w:rPr>
        <w:t>“</w:t>
      </w:r>
      <w:r w:rsidR="00BE16F9" w:rsidRPr="009933BF">
        <w:rPr>
          <w:rFonts w:ascii="Gadugi" w:hAnsi="Gadugi"/>
          <w:i/>
          <w:sz w:val="22"/>
          <w:szCs w:val="24"/>
        </w:rPr>
        <w:t xml:space="preserve">(…) los documentos aportados por el señor Wilmar Hernando Villafañe Castaño </w:t>
      </w:r>
      <w:r w:rsidR="00BE16F9" w:rsidRPr="009933BF">
        <w:rPr>
          <w:rFonts w:ascii="Gadugi" w:hAnsi="Gadugi"/>
          <w:i/>
          <w:sz w:val="22"/>
          <w:szCs w:val="24"/>
          <w:u w:val="single"/>
        </w:rPr>
        <w:t>no constituyen un principio de título ejecutivo de ninguna obligación exigible al señor Jaime Ardila Rodríguez</w:t>
      </w:r>
      <w:r w:rsidR="00BE16F9" w:rsidRPr="009933BF">
        <w:rPr>
          <w:rFonts w:ascii="Gadugi" w:hAnsi="Gadugi"/>
          <w:i/>
          <w:sz w:val="22"/>
          <w:szCs w:val="24"/>
        </w:rPr>
        <w:t>, siendo una obligación incierta que debió reclamarse en el proceso de restitución tramitado entre las partes, sin que pueda pretender el demandante mediante la acción monitoria tomar una nueva opción para reabrir un debate jurídico ante el descuido en la defensa de sus derechos  en el proceso ya tramitado (…)</w:t>
      </w:r>
      <w:r w:rsidR="00BE16F9" w:rsidRPr="009933BF">
        <w:rPr>
          <w:rFonts w:ascii="Gadugi" w:hAnsi="Gadugi"/>
          <w:i/>
          <w:sz w:val="24"/>
          <w:szCs w:val="24"/>
        </w:rPr>
        <w:t>”</w:t>
      </w:r>
      <w:r w:rsidR="002F6B03" w:rsidRPr="009933BF">
        <w:rPr>
          <w:rFonts w:ascii="Gadugi" w:hAnsi="Gadugi"/>
          <w:i/>
          <w:sz w:val="24"/>
          <w:szCs w:val="24"/>
        </w:rPr>
        <w:t xml:space="preserve"> </w:t>
      </w:r>
      <w:r w:rsidR="007A0C7C" w:rsidRPr="009933BF">
        <w:rPr>
          <w:rStyle w:val="Refdenotaalpie"/>
          <w:rFonts w:ascii="Gadugi" w:hAnsi="Gadugi"/>
          <w:sz w:val="24"/>
          <w:szCs w:val="24"/>
        </w:rPr>
        <w:footnoteReference w:id="23"/>
      </w:r>
      <w:r w:rsidR="00BE16F9" w:rsidRPr="009933BF">
        <w:rPr>
          <w:rFonts w:ascii="Gadugi" w:hAnsi="Gadugi"/>
          <w:i/>
          <w:sz w:val="24"/>
          <w:szCs w:val="24"/>
        </w:rPr>
        <w:t>.</w:t>
      </w:r>
      <w:r w:rsidR="00915650" w:rsidRPr="009933BF">
        <w:rPr>
          <w:rFonts w:ascii="Gadugi" w:hAnsi="Gadugi"/>
          <w:i/>
          <w:sz w:val="24"/>
          <w:szCs w:val="24"/>
        </w:rPr>
        <w:t xml:space="preserve"> </w:t>
      </w:r>
      <w:r w:rsidR="00915650" w:rsidRPr="009933BF">
        <w:rPr>
          <w:rFonts w:ascii="Gadugi" w:hAnsi="Gadugi"/>
          <w:sz w:val="24"/>
          <w:szCs w:val="24"/>
        </w:rPr>
        <w:t>(Destaca la Sala).</w:t>
      </w:r>
    </w:p>
    <w:p w14:paraId="47EDA199" w14:textId="77777777" w:rsidR="006B2C99" w:rsidRPr="009933BF" w:rsidRDefault="006B2C99" w:rsidP="009933BF">
      <w:pPr>
        <w:spacing w:line="276" w:lineRule="auto"/>
        <w:jc w:val="both"/>
        <w:rPr>
          <w:rFonts w:ascii="Gadugi" w:hAnsi="Gadugi"/>
          <w:sz w:val="24"/>
          <w:szCs w:val="24"/>
        </w:rPr>
      </w:pPr>
    </w:p>
    <w:p w14:paraId="658C6760" w14:textId="77777777" w:rsidR="006B2C99" w:rsidRPr="009933BF" w:rsidRDefault="006B2C99" w:rsidP="009933BF">
      <w:pPr>
        <w:tabs>
          <w:tab w:val="left" w:pos="3108"/>
        </w:tabs>
        <w:spacing w:line="276" w:lineRule="auto"/>
        <w:ind w:firstLine="2835"/>
        <w:jc w:val="both"/>
        <w:rPr>
          <w:rFonts w:ascii="Gadugi" w:hAnsi="Gadugi"/>
          <w:sz w:val="24"/>
          <w:szCs w:val="24"/>
        </w:rPr>
      </w:pPr>
      <w:r w:rsidRPr="009933BF">
        <w:rPr>
          <w:rFonts w:ascii="Gadugi" w:hAnsi="Gadugi"/>
          <w:sz w:val="24"/>
          <w:szCs w:val="24"/>
        </w:rPr>
        <w:t>Recapitulando</w:t>
      </w:r>
      <w:r w:rsidR="00BE16F9" w:rsidRPr="009933BF">
        <w:rPr>
          <w:rFonts w:ascii="Gadugi" w:hAnsi="Gadugi"/>
          <w:sz w:val="24"/>
          <w:szCs w:val="24"/>
        </w:rPr>
        <w:t xml:space="preserve">, se </w:t>
      </w:r>
      <w:r w:rsidR="00075935" w:rsidRPr="009933BF">
        <w:rPr>
          <w:rFonts w:ascii="Gadugi" w:hAnsi="Gadugi"/>
          <w:sz w:val="24"/>
          <w:szCs w:val="24"/>
        </w:rPr>
        <w:t>modificará la sentencia impugnada para declarar improcedente las quejas de la demanda relacionadas con el rito del proceso monitorio</w:t>
      </w:r>
      <w:r w:rsidRPr="009933BF">
        <w:rPr>
          <w:rFonts w:ascii="Gadugi" w:hAnsi="Gadugi"/>
          <w:sz w:val="24"/>
          <w:szCs w:val="24"/>
        </w:rPr>
        <w:t>.</w:t>
      </w:r>
    </w:p>
    <w:p w14:paraId="3FF432D6" w14:textId="77777777" w:rsidR="006B2C99" w:rsidRPr="009933BF" w:rsidRDefault="006B2C99" w:rsidP="009933BF">
      <w:pPr>
        <w:tabs>
          <w:tab w:val="left" w:pos="3108"/>
        </w:tabs>
        <w:spacing w:line="276" w:lineRule="auto"/>
        <w:ind w:firstLine="2835"/>
        <w:jc w:val="both"/>
        <w:rPr>
          <w:rFonts w:ascii="Gadugi" w:hAnsi="Gadugi"/>
          <w:sz w:val="24"/>
          <w:szCs w:val="24"/>
        </w:rPr>
      </w:pPr>
    </w:p>
    <w:p w14:paraId="4A636CAD" w14:textId="3685D2A7" w:rsidR="00075935" w:rsidRPr="009933BF" w:rsidRDefault="006B2C99" w:rsidP="009933BF">
      <w:pPr>
        <w:tabs>
          <w:tab w:val="left" w:pos="3108"/>
        </w:tabs>
        <w:spacing w:line="276" w:lineRule="auto"/>
        <w:ind w:firstLine="2835"/>
        <w:jc w:val="both"/>
        <w:rPr>
          <w:rFonts w:ascii="Gadugi" w:hAnsi="Gadugi"/>
          <w:sz w:val="24"/>
          <w:szCs w:val="24"/>
        </w:rPr>
      </w:pPr>
      <w:r w:rsidRPr="009933BF">
        <w:rPr>
          <w:rFonts w:ascii="Gadugi" w:hAnsi="Gadugi"/>
          <w:sz w:val="24"/>
          <w:szCs w:val="24"/>
        </w:rPr>
        <w:t>P</w:t>
      </w:r>
      <w:r w:rsidR="00075935" w:rsidRPr="009933BF">
        <w:rPr>
          <w:rFonts w:ascii="Gadugi" w:hAnsi="Gadugi"/>
          <w:sz w:val="24"/>
          <w:szCs w:val="24"/>
        </w:rPr>
        <w:t xml:space="preserve">ero se confirmará en la demás, porque fue acertado analizar de fondo los reproches que envolvían la valoración que a las pruebas le dio el juez accionado, </w:t>
      </w:r>
      <w:r w:rsidRPr="009933BF">
        <w:rPr>
          <w:rFonts w:ascii="Gadugi" w:hAnsi="Gadugi"/>
          <w:sz w:val="24"/>
          <w:szCs w:val="24"/>
        </w:rPr>
        <w:t>y que lo condujeron a tomar la decisión que finamente impartió, la cual, dicho sea de paso, no fue confutada por la parte actora, que solo cuestionó el procedimiento y la valoración probatoria que la antecedieron</w:t>
      </w:r>
      <w:r w:rsidR="00915650" w:rsidRPr="009933BF">
        <w:rPr>
          <w:rFonts w:ascii="Gadugi" w:hAnsi="Gadugi"/>
          <w:sz w:val="24"/>
          <w:szCs w:val="24"/>
        </w:rPr>
        <w:t xml:space="preserve">; </w:t>
      </w:r>
      <w:r w:rsidR="007340B1" w:rsidRPr="009933BF">
        <w:rPr>
          <w:rFonts w:ascii="Gadugi" w:hAnsi="Gadugi"/>
          <w:sz w:val="24"/>
          <w:szCs w:val="24"/>
        </w:rPr>
        <w:t xml:space="preserve">misma que, </w:t>
      </w:r>
      <w:r w:rsidR="00915650" w:rsidRPr="009933BF">
        <w:rPr>
          <w:rFonts w:ascii="Gadugi" w:hAnsi="Gadugi"/>
          <w:sz w:val="24"/>
          <w:szCs w:val="24"/>
        </w:rPr>
        <w:t>en todo</w:t>
      </w:r>
      <w:r w:rsidR="007340B1" w:rsidRPr="009933BF">
        <w:rPr>
          <w:rFonts w:ascii="Gadugi" w:hAnsi="Gadugi"/>
          <w:sz w:val="24"/>
          <w:szCs w:val="24"/>
        </w:rPr>
        <w:t>,</w:t>
      </w:r>
      <w:r w:rsidR="00915650" w:rsidRPr="009933BF">
        <w:rPr>
          <w:rFonts w:ascii="Gadugi" w:hAnsi="Gadugi"/>
          <w:sz w:val="24"/>
          <w:szCs w:val="24"/>
        </w:rPr>
        <w:t xml:space="preserve"> </w:t>
      </w:r>
      <w:r w:rsidR="00915650" w:rsidRPr="009933BF">
        <w:rPr>
          <w:rFonts w:ascii="Gadugi" w:hAnsi="Gadugi"/>
          <w:sz w:val="24"/>
          <w:szCs w:val="24"/>
        </w:rPr>
        <w:lastRenderedPageBreak/>
        <w:t>caso</w:t>
      </w:r>
      <w:r w:rsidR="00075935" w:rsidRPr="009933BF">
        <w:rPr>
          <w:rFonts w:ascii="Gadugi" w:hAnsi="Gadugi"/>
          <w:sz w:val="24"/>
          <w:szCs w:val="24"/>
        </w:rPr>
        <w:t xml:space="preserve"> no puede ser descalificada por el juez de tutela, pues si así se hiciera, se usurparía la función misma del juicio ordinario, pues </w:t>
      </w:r>
      <w:r w:rsidR="00075935" w:rsidRPr="009933BF">
        <w:rPr>
          <w:rFonts w:ascii="Gadugi" w:hAnsi="Gadugi"/>
          <w:i/>
          <w:sz w:val="24"/>
          <w:szCs w:val="24"/>
        </w:rPr>
        <w:t>“</w:t>
      </w:r>
      <w:r w:rsidR="00075935" w:rsidRPr="00D275C1">
        <w:rPr>
          <w:rFonts w:ascii="Gadugi" w:hAnsi="Gadugi"/>
          <w:i/>
          <w:sz w:val="22"/>
          <w:szCs w:val="24"/>
        </w:rPr>
        <w:t>La sola divergencia conceptual no puede ser venero para demandar este amparo porque la tutela no es instrumento para definir cuál planteamiento hermenéutico en las hipótesis de subsunción legal es el válido, ni cuál de las inferencias valorativas de los elementos fácticos es la más acertada o la más correcta para dar lugar a la intervención del juez constitucional</w:t>
      </w:r>
      <w:r w:rsidR="00075935" w:rsidRPr="009933BF">
        <w:rPr>
          <w:rFonts w:ascii="Gadugi" w:hAnsi="Gadugi"/>
          <w:i/>
          <w:sz w:val="24"/>
          <w:szCs w:val="24"/>
        </w:rPr>
        <w:t>.”</w:t>
      </w:r>
      <w:r w:rsidR="00D275C1">
        <w:rPr>
          <w:rFonts w:ascii="Gadugi" w:hAnsi="Gadugi"/>
          <w:i/>
          <w:sz w:val="24"/>
          <w:szCs w:val="24"/>
        </w:rPr>
        <w:t xml:space="preserve"> </w:t>
      </w:r>
      <w:r w:rsidR="00075935" w:rsidRPr="009933BF">
        <w:rPr>
          <w:rStyle w:val="Refdenotaalpie"/>
          <w:rFonts w:ascii="Gadugi" w:hAnsi="Gadugi"/>
          <w:sz w:val="24"/>
          <w:szCs w:val="24"/>
        </w:rPr>
        <w:footnoteReference w:id="24"/>
      </w:r>
    </w:p>
    <w:p w14:paraId="7D850652" w14:textId="5BA95024" w:rsidR="000A451B" w:rsidRPr="009933BF" w:rsidRDefault="000A451B" w:rsidP="009933BF">
      <w:pPr>
        <w:spacing w:line="276" w:lineRule="auto"/>
        <w:jc w:val="both"/>
        <w:rPr>
          <w:rFonts w:ascii="Gadugi" w:hAnsi="Gadugi"/>
          <w:sz w:val="24"/>
          <w:szCs w:val="24"/>
        </w:rPr>
      </w:pPr>
    </w:p>
    <w:p w14:paraId="5105BE95" w14:textId="77777777" w:rsidR="0055337E" w:rsidRPr="009933BF" w:rsidRDefault="0055337E" w:rsidP="009933BF">
      <w:pPr>
        <w:spacing w:line="276" w:lineRule="auto"/>
        <w:jc w:val="both"/>
        <w:rPr>
          <w:rFonts w:ascii="Gadugi" w:hAnsi="Gadugi"/>
          <w:sz w:val="24"/>
          <w:szCs w:val="24"/>
        </w:rPr>
      </w:pPr>
    </w:p>
    <w:p w14:paraId="6C076540" w14:textId="033047DB" w:rsidR="002B141D" w:rsidRPr="009933BF" w:rsidRDefault="004B4B0E" w:rsidP="009933BF">
      <w:pPr>
        <w:spacing w:line="276" w:lineRule="auto"/>
        <w:jc w:val="both"/>
        <w:rPr>
          <w:rFonts w:ascii="Gadugi" w:hAnsi="Gadugi"/>
          <w:b/>
          <w:sz w:val="24"/>
          <w:szCs w:val="24"/>
        </w:rPr>
      </w:pPr>
      <w:r w:rsidRPr="009933BF">
        <w:rPr>
          <w:rFonts w:ascii="Gadugi" w:hAnsi="Gadugi" w:cs="Arial"/>
          <w:sz w:val="24"/>
          <w:szCs w:val="24"/>
        </w:rPr>
        <w:tab/>
        <w:t xml:space="preserve">  </w:t>
      </w:r>
      <w:r w:rsidR="002B141D" w:rsidRPr="009933BF">
        <w:rPr>
          <w:rFonts w:ascii="Gadugi" w:hAnsi="Gadugi"/>
          <w:b/>
          <w:sz w:val="24"/>
          <w:szCs w:val="24"/>
          <w:lang w:val="es-419"/>
        </w:rPr>
        <w:tab/>
      </w:r>
      <w:r w:rsidR="002B141D" w:rsidRPr="009933BF">
        <w:rPr>
          <w:rFonts w:ascii="Gadugi" w:hAnsi="Gadugi"/>
          <w:b/>
          <w:sz w:val="24"/>
          <w:szCs w:val="24"/>
          <w:lang w:val="es-419"/>
        </w:rPr>
        <w:tab/>
      </w:r>
      <w:r w:rsidR="002B141D" w:rsidRPr="009933BF">
        <w:rPr>
          <w:rFonts w:ascii="Gadugi" w:hAnsi="Gadugi"/>
          <w:b/>
          <w:sz w:val="24"/>
          <w:szCs w:val="24"/>
          <w:lang w:val="es-419"/>
        </w:rPr>
        <w:tab/>
      </w:r>
      <w:r w:rsidR="00646CEC" w:rsidRPr="009933BF">
        <w:rPr>
          <w:rFonts w:ascii="Gadugi" w:hAnsi="Gadugi"/>
          <w:b/>
          <w:sz w:val="24"/>
          <w:szCs w:val="24"/>
          <w:lang w:val="es-419"/>
        </w:rPr>
        <w:t xml:space="preserve">3. </w:t>
      </w:r>
      <w:r w:rsidR="002B141D" w:rsidRPr="009933BF">
        <w:rPr>
          <w:rFonts w:ascii="Gadugi" w:hAnsi="Gadugi"/>
          <w:b/>
          <w:sz w:val="24"/>
          <w:szCs w:val="24"/>
        </w:rPr>
        <w:t>DECISIÓN</w:t>
      </w:r>
    </w:p>
    <w:p w14:paraId="6EE4B65E" w14:textId="77777777" w:rsidR="000A451B" w:rsidRPr="009933BF" w:rsidRDefault="000A451B" w:rsidP="009933BF">
      <w:pPr>
        <w:tabs>
          <w:tab w:val="left" w:pos="3108"/>
        </w:tabs>
        <w:spacing w:line="276" w:lineRule="auto"/>
        <w:ind w:firstLine="2835"/>
        <w:jc w:val="both"/>
        <w:rPr>
          <w:rFonts w:ascii="Gadugi" w:hAnsi="Gadugi" w:cs="Century Gothic"/>
          <w:sz w:val="24"/>
          <w:szCs w:val="24"/>
        </w:rPr>
      </w:pPr>
    </w:p>
    <w:p w14:paraId="2AB3E5A8" w14:textId="77777777" w:rsidR="000A451B" w:rsidRPr="009933BF" w:rsidRDefault="000A451B" w:rsidP="009933BF">
      <w:pPr>
        <w:tabs>
          <w:tab w:val="left" w:pos="3108"/>
        </w:tabs>
        <w:spacing w:line="276" w:lineRule="auto"/>
        <w:ind w:firstLine="2835"/>
        <w:jc w:val="both"/>
        <w:rPr>
          <w:rFonts w:ascii="Gadugi" w:hAnsi="Gadugi" w:cs="Century Gothic"/>
          <w:sz w:val="24"/>
          <w:szCs w:val="24"/>
        </w:rPr>
      </w:pPr>
    </w:p>
    <w:p w14:paraId="54542B5D" w14:textId="2C271301" w:rsidR="00576E34" w:rsidRPr="009933BF" w:rsidRDefault="002B141D" w:rsidP="009933BF">
      <w:pPr>
        <w:tabs>
          <w:tab w:val="left" w:pos="3108"/>
        </w:tabs>
        <w:spacing w:line="276" w:lineRule="auto"/>
        <w:ind w:firstLine="2835"/>
        <w:jc w:val="both"/>
        <w:rPr>
          <w:rFonts w:ascii="Gadugi" w:hAnsi="Gadugi"/>
          <w:sz w:val="24"/>
          <w:szCs w:val="24"/>
        </w:rPr>
      </w:pPr>
      <w:r w:rsidRPr="009933BF">
        <w:rPr>
          <w:rFonts w:ascii="Gadugi" w:hAnsi="Gadugi" w:cs="Century Gothic"/>
          <w:sz w:val="24"/>
          <w:szCs w:val="24"/>
        </w:rPr>
        <w:t xml:space="preserve">En mérito de lo expuesto la </w:t>
      </w:r>
      <w:r w:rsidRPr="009933BF">
        <w:rPr>
          <w:rFonts w:ascii="Gadugi" w:hAnsi="Gadugi" w:cs="Century Gothic"/>
          <w:b/>
          <w:bCs/>
          <w:sz w:val="24"/>
          <w:szCs w:val="24"/>
        </w:rPr>
        <w:t>Sala de Decisión Civil Familia del Tribunal Superior del Distrito Judicial de Pereira</w:t>
      </w:r>
      <w:r w:rsidRPr="009933BF">
        <w:rPr>
          <w:rFonts w:ascii="Gadugi" w:hAnsi="Gadugi" w:cs="Century Gothic"/>
          <w:sz w:val="24"/>
          <w:szCs w:val="24"/>
        </w:rPr>
        <w:t>, administrando justicia en nombre de la República y por autoridad de la Ley</w:t>
      </w:r>
      <w:r w:rsidR="00D00EF1" w:rsidRPr="009933BF">
        <w:rPr>
          <w:rFonts w:ascii="Gadugi" w:hAnsi="Gadugi" w:cs="Century Gothic"/>
          <w:sz w:val="24"/>
          <w:szCs w:val="24"/>
        </w:rPr>
        <w:t>,</w:t>
      </w:r>
      <w:r w:rsidRPr="009933BF">
        <w:rPr>
          <w:rFonts w:ascii="Gadugi" w:hAnsi="Gadugi" w:cs="Century Gothic"/>
          <w:sz w:val="24"/>
          <w:szCs w:val="24"/>
        </w:rPr>
        <w:t xml:space="preserve"> </w:t>
      </w:r>
      <w:r w:rsidR="00075935" w:rsidRPr="009933BF">
        <w:rPr>
          <w:rFonts w:ascii="Gadugi" w:hAnsi="Gadugi" w:cs="Century Gothic"/>
          <w:b/>
          <w:sz w:val="24"/>
          <w:szCs w:val="24"/>
        </w:rPr>
        <w:t>MODIFICA</w:t>
      </w:r>
      <w:r w:rsidR="004B4B0E" w:rsidRPr="009933BF">
        <w:rPr>
          <w:rFonts w:ascii="Gadugi" w:hAnsi="Gadugi" w:cs="Century Gothic"/>
          <w:b/>
          <w:sz w:val="24"/>
          <w:szCs w:val="24"/>
        </w:rPr>
        <w:t xml:space="preserve"> </w:t>
      </w:r>
      <w:r w:rsidRPr="009933BF">
        <w:rPr>
          <w:rFonts w:ascii="Gadugi" w:hAnsi="Gadugi" w:cs="Century Gothic"/>
          <w:bCs/>
          <w:sz w:val="24"/>
          <w:szCs w:val="24"/>
        </w:rPr>
        <w:t xml:space="preserve">la sentencia </w:t>
      </w:r>
      <w:r w:rsidR="004B4B0E" w:rsidRPr="009933BF">
        <w:rPr>
          <w:rFonts w:ascii="Gadugi" w:hAnsi="Gadugi"/>
          <w:sz w:val="24"/>
          <w:szCs w:val="24"/>
        </w:rPr>
        <w:t>impugnada</w:t>
      </w:r>
      <w:r w:rsidR="00075935" w:rsidRPr="009933BF">
        <w:rPr>
          <w:rFonts w:ascii="Gadugi" w:hAnsi="Gadugi"/>
          <w:sz w:val="24"/>
          <w:szCs w:val="24"/>
        </w:rPr>
        <w:t xml:space="preserve">, para declarar improcedente la acción de tutela respecto de las quejas de la demanda relacionadas con el trámite </w:t>
      </w:r>
      <w:r w:rsidR="00915650" w:rsidRPr="009933BF">
        <w:rPr>
          <w:rFonts w:ascii="Gadugi" w:hAnsi="Gadugi"/>
          <w:sz w:val="24"/>
          <w:szCs w:val="24"/>
        </w:rPr>
        <w:t>que se le dio al</w:t>
      </w:r>
      <w:r w:rsidR="00075935" w:rsidRPr="009933BF">
        <w:rPr>
          <w:rFonts w:ascii="Gadugi" w:hAnsi="Gadugi"/>
          <w:sz w:val="24"/>
          <w:szCs w:val="24"/>
        </w:rPr>
        <w:t xml:space="preserve"> proceso monitorio.</w:t>
      </w:r>
    </w:p>
    <w:p w14:paraId="56734566" w14:textId="77777777" w:rsidR="00075935" w:rsidRPr="009933BF" w:rsidRDefault="00075935" w:rsidP="009933BF">
      <w:pPr>
        <w:spacing w:line="276" w:lineRule="auto"/>
        <w:jc w:val="both"/>
        <w:rPr>
          <w:rFonts w:ascii="Gadugi" w:hAnsi="Gadugi" w:cs="Arial"/>
          <w:b/>
          <w:sz w:val="24"/>
          <w:szCs w:val="24"/>
        </w:rPr>
      </w:pPr>
    </w:p>
    <w:p w14:paraId="18918067" w14:textId="471F5E7E" w:rsidR="00075935" w:rsidRDefault="00075935" w:rsidP="009933BF">
      <w:pPr>
        <w:spacing w:line="276" w:lineRule="auto"/>
        <w:jc w:val="both"/>
        <w:rPr>
          <w:rFonts w:ascii="Gadugi" w:hAnsi="Gadugi" w:cs="Arial"/>
          <w:sz w:val="24"/>
          <w:szCs w:val="24"/>
        </w:rPr>
      </w:pPr>
      <w:r w:rsidRPr="009933BF">
        <w:rPr>
          <w:rFonts w:ascii="Gadugi" w:hAnsi="Gadugi" w:cs="Arial"/>
          <w:b/>
          <w:sz w:val="24"/>
          <w:szCs w:val="24"/>
        </w:rPr>
        <w:tab/>
      </w:r>
      <w:r w:rsidRPr="009933BF">
        <w:rPr>
          <w:rFonts w:ascii="Gadugi" w:hAnsi="Gadugi" w:cs="Arial"/>
          <w:b/>
          <w:sz w:val="24"/>
          <w:szCs w:val="24"/>
        </w:rPr>
        <w:tab/>
      </w:r>
      <w:r w:rsidRPr="009933BF">
        <w:rPr>
          <w:rFonts w:ascii="Gadugi" w:hAnsi="Gadugi" w:cs="Arial"/>
          <w:b/>
          <w:sz w:val="24"/>
          <w:szCs w:val="24"/>
        </w:rPr>
        <w:tab/>
      </w:r>
      <w:r w:rsidRPr="009933BF">
        <w:rPr>
          <w:rFonts w:ascii="Gadugi" w:hAnsi="Gadugi" w:cs="Arial"/>
          <w:b/>
          <w:sz w:val="24"/>
          <w:szCs w:val="24"/>
        </w:rPr>
        <w:tab/>
      </w:r>
      <w:r w:rsidRPr="009933BF">
        <w:rPr>
          <w:rFonts w:ascii="Gadugi" w:hAnsi="Gadugi" w:cs="Arial"/>
          <w:sz w:val="24"/>
          <w:szCs w:val="24"/>
        </w:rPr>
        <w:t xml:space="preserve">Se </w:t>
      </w:r>
      <w:r w:rsidRPr="009933BF">
        <w:rPr>
          <w:rFonts w:ascii="Gadugi" w:hAnsi="Gadugi" w:cs="Arial"/>
          <w:b/>
          <w:sz w:val="24"/>
          <w:szCs w:val="24"/>
        </w:rPr>
        <w:t>CONFIRMA</w:t>
      </w:r>
      <w:r w:rsidRPr="009933BF">
        <w:rPr>
          <w:rFonts w:ascii="Gadugi" w:hAnsi="Gadugi" w:cs="Arial"/>
          <w:sz w:val="24"/>
          <w:szCs w:val="24"/>
        </w:rPr>
        <w:t xml:space="preserve"> en lo demás.</w:t>
      </w:r>
    </w:p>
    <w:p w14:paraId="1978D6FA" w14:textId="77777777" w:rsidR="00D275C1" w:rsidRPr="009933BF" w:rsidRDefault="00D275C1" w:rsidP="009933BF">
      <w:pPr>
        <w:spacing w:line="276" w:lineRule="auto"/>
        <w:jc w:val="both"/>
        <w:rPr>
          <w:rFonts w:ascii="Gadugi" w:hAnsi="Gadugi" w:cs="Arial"/>
          <w:b/>
          <w:sz w:val="24"/>
          <w:szCs w:val="24"/>
        </w:rPr>
      </w:pPr>
    </w:p>
    <w:p w14:paraId="5608D06B" w14:textId="77777777" w:rsidR="00205ABE" w:rsidRPr="009933BF" w:rsidRDefault="002B141D" w:rsidP="009933BF">
      <w:pPr>
        <w:pStyle w:val="Textoindependiente2"/>
        <w:spacing w:after="0" w:line="276" w:lineRule="auto"/>
        <w:jc w:val="both"/>
        <w:rPr>
          <w:rFonts w:ascii="Gadugi" w:hAnsi="Gadugi"/>
          <w:sz w:val="24"/>
          <w:szCs w:val="24"/>
          <w:lang w:val="es-419"/>
        </w:rPr>
      </w:pP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r>
      <w:r w:rsidRPr="009933BF">
        <w:rPr>
          <w:rFonts w:ascii="Gadugi" w:hAnsi="Gadugi"/>
          <w:sz w:val="24"/>
          <w:szCs w:val="24"/>
        </w:rPr>
        <w:tab/>
        <w:t>Notifíquese esta decisión a las partes en la forma prevista en el artículo 5º del Decreto 306 de 1992</w:t>
      </w:r>
      <w:r w:rsidRPr="009933BF">
        <w:rPr>
          <w:rFonts w:ascii="Gadugi" w:hAnsi="Gadugi"/>
          <w:sz w:val="24"/>
          <w:szCs w:val="24"/>
          <w:lang w:val="es-419"/>
        </w:rPr>
        <w:t xml:space="preserve">. </w:t>
      </w:r>
    </w:p>
    <w:p w14:paraId="7DD59477" w14:textId="2CC2DB14" w:rsidR="00205ABE" w:rsidRPr="009933BF" w:rsidRDefault="00205ABE" w:rsidP="009933BF">
      <w:pPr>
        <w:pStyle w:val="Textoindependiente2"/>
        <w:spacing w:after="0" w:line="276" w:lineRule="auto"/>
        <w:jc w:val="both"/>
        <w:rPr>
          <w:rFonts w:ascii="Gadugi" w:hAnsi="Gadugi"/>
          <w:sz w:val="24"/>
          <w:szCs w:val="24"/>
          <w:lang w:val="es-419"/>
        </w:rPr>
      </w:pPr>
    </w:p>
    <w:p w14:paraId="378B8E78" w14:textId="60D131E2" w:rsidR="00205ABE" w:rsidRPr="009933BF" w:rsidRDefault="00205ABE" w:rsidP="009933BF">
      <w:pPr>
        <w:pStyle w:val="Textoindependiente2"/>
        <w:spacing w:after="0" w:line="276" w:lineRule="auto"/>
        <w:jc w:val="both"/>
        <w:rPr>
          <w:rFonts w:ascii="Gadugi" w:hAnsi="Gadugi"/>
          <w:sz w:val="24"/>
          <w:szCs w:val="24"/>
        </w:rPr>
      </w:pPr>
      <w:r w:rsidRPr="009933BF">
        <w:rPr>
          <w:rFonts w:ascii="Gadugi" w:hAnsi="Gadugi"/>
          <w:sz w:val="24"/>
          <w:szCs w:val="24"/>
          <w:lang w:val="es-419"/>
        </w:rPr>
        <w:t xml:space="preserve"> </w:t>
      </w:r>
      <w:r w:rsidRPr="009933BF">
        <w:rPr>
          <w:rFonts w:ascii="Gadugi" w:hAnsi="Gadugi"/>
          <w:sz w:val="24"/>
          <w:szCs w:val="24"/>
          <w:lang w:val="es-419"/>
        </w:rPr>
        <w:tab/>
      </w:r>
      <w:r w:rsidRPr="009933BF">
        <w:rPr>
          <w:rFonts w:ascii="Gadugi" w:hAnsi="Gadugi"/>
          <w:sz w:val="24"/>
          <w:szCs w:val="24"/>
          <w:lang w:val="es-419"/>
        </w:rPr>
        <w:tab/>
      </w:r>
      <w:r w:rsidRPr="009933BF">
        <w:rPr>
          <w:rFonts w:ascii="Gadugi" w:hAnsi="Gadugi"/>
          <w:sz w:val="24"/>
          <w:szCs w:val="24"/>
          <w:lang w:val="es-419"/>
        </w:rPr>
        <w:tab/>
      </w:r>
      <w:r w:rsidRPr="009933BF">
        <w:rPr>
          <w:rFonts w:ascii="Gadugi" w:hAnsi="Gadugi"/>
          <w:sz w:val="24"/>
          <w:szCs w:val="24"/>
          <w:lang w:val="es-419"/>
        </w:rPr>
        <w:tab/>
      </w:r>
      <w:r w:rsidR="009933BF">
        <w:rPr>
          <w:rFonts w:ascii="Gadugi" w:hAnsi="Gadugi"/>
          <w:sz w:val="24"/>
          <w:szCs w:val="24"/>
        </w:rPr>
        <w:t>Op</w:t>
      </w:r>
      <w:r w:rsidR="002B141D" w:rsidRPr="009933BF">
        <w:rPr>
          <w:rFonts w:ascii="Gadugi" w:hAnsi="Gadugi"/>
          <w:sz w:val="24"/>
          <w:szCs w:val="24"/>
        </w:rPr>
        <w:t>ortunamente remítase el expediente a la Corte Constitucional para su eventual revisión.</w:t>
      </w:r>
      <w:r w:rsidR="0080796E" w:rsidRPr="009933BF">
        <w:rPr>
          <w:rFonts w:ascii="Gadugi" w:hAnsi="Gadugi"/>
          <w:sz w:val="24"/>
          <w:szCs w:val="24"/>
        </w:rPr>
        <w:t xml:space="preserve"> </w:t>
      </w:r>
    </w:p>
    <w:p w14:paraId="1CEA6EEF" w14:textId="77777777" w:rsidR="00205ABE" w:rsidRPr="009933BF" w:rsidRDefault="00205ABE" w:rsidP="009933BF">
      <w:pPr>
        <w:pStyle w:val="Textoindependiente2"/>
        <w:spacing w:after="0" w:line="276" w:lineRule="auto"/>
        <w:jc w:val="both"/>
        <w:rPr>
          <w:rFonts w:ascii="Gadugi" w:hAnsi="Gadugi"/>
          <w:sz w:val="24"/>
          <w:szCs w:val="24"/>
        </w:rPr>
      </w:pPr>
    </w:p>
    <w:p w14:paraId="7964C4E3" w14:textId="7FE55B3F" w:rsidR="002B141D" w:rsidRPr="009933BF" w:rsidRDefault="0080796E" w:rsidP="009933BF">
      <w:pPr>
        <w:pStyle w:val="Textoindependiente2"/>
        <w:spacing w:after="0" w:line="276" w:lineRule="auto"/>
        <w:ind w:left="2124" w:firstLine="708"/>
        <w:jc w:val="both"/>
        <w:rPr>
          <w:rFonts w:ascii="Gadugi" w:hAnsi="Gadugi"/>
          <w:sz w:val="24"/>
          <w:szCs w:val="24"/>
        </w:rPr>
      </w:pPr>
      <w:r w:rsidRPr="009933BF">
        <w:rPr>
          <w:rFonts w:ascii="Gadugi" w:hAnsi="Gadugi"/>
          <w:sz w:val="24"/>
          <w:szCs w:val="24"/>
        </w:rPr>
        <w:t>A su regreso, archívese.</w:t>
      </w:r>
    </w:p>
    <w:p w14:paraId="631872BC" w14:textId="77777777" w:rsidR="00272AF7" w:rsidRPr="009933BF" w:rsidRDefault="00272AF7" w:rsidP="009933BF">
      <w:pPr>
        <w:spacing w:line="276" w:lineRule="auto"/>
        <w:ind w:firstLine="2835"/>
        <w:jc w:val="both"/>
        <w:rPr>
          <w:rFonts w:ascii="Gadugi" w:hAnsi="Gadugi" w:cs="Century Gothic"/>
          <w:sz w:val="24"/>
          <w:szCs w:val="24"/>
        </w:rPr>
      </w:pPr>
    </w:p>
    <w:p w14:paraId="3BF6748F" w14:textId="22579937" w:rsidR="002B141D" w:rsidRPr="009933BF" w:rsidRDefault="002B141D" w:rsidP="009933BF">
      <w:pPr>
        <w:spacing w:line="276" w:lineRule="auto"/>
        <w:ind w:firstLine="2835"/>
        <w:jc w:val="both"/>
        <w:rPr>
          <w:rFonts w:ascii="Gadugi" w:hAnsi="Gadugi" w:cs="Century Gothic"/>
          <w:sz w:val="24"/>
          <w:szCs w:val="24"/>
        </w:rPr>
      </w:pPr>
      <w:r w:rsidRPr="009933BF">
        <w:rPr>
          <w:rFonts w:ascii="Gadugi" w:hAnsi="Gadugi" w:cs="Century Gothic"/>
          <w:sz w:val="24"/>
          <w:szCs w:val="24"/>
        </w:rPr>
        <w:t>Los Magistrados,</w:t>
      </w:r>
    </w:p>
    <w:p w14:paraId="3D080994" w14:textId="664D5C12" w:rsidR="0080796E" w:rsidRDefault="0080796E" w:rsidP="009933BF">
      <w:pPr>
        <w:spacing w:line="276" w:lineRule="auto"/>
        <w:ind w:firstLine="2835"/>
        <w:jc w:val="both"/>
        <w:rPr>
          <w:rFonts w:ascii="Gadugi" w:hAnsi="Gadugi" w:cs="Century Gothic"/>
          <w:b/>
          <w:bCs/>
          <w:sz w:val="24"/>
          <w:szCs w:val="24"/>
        </w:rPr>
      </w:pPr>
    </w:p>
    <w:p w14:paraId="40D2021E" w14:textId="77777777" w:rsidR="009933BF" w:rsidRPr="009933BF" w:rsidRDefault="009933BF" w:rsidP="009933BF">
      <w:pPr>
        <w:spacing w:line="276" w:lineRule="auto"/>
        <w:ind w:firstLine="2835"/>
        <w:jc w:val="both"/>
        <w:rPr>
          <w:rFonts w:ascii="Gadugi" w:hAnsi="Gadugi" w:cs="Century Gothic"/>
          <w:b/>
          <w:bCs/>
          <w:sz w:val="24"/>
          <w:szCs w:val="24"/>
        </w:rPr>
      </w:pPr>
    </w:p>
    <w:p w14:paraId="2095930C" w14:textId="77777777" w:rsidR="002B141D" w:rsidRPr="009933BF" w:rsidRDefault="002B141D" w:rsidP="009933BF">
      <w:pPr>
        <w:spacing w:line="276" w:lineRule="auto"/>
        <w:ind w:firstLine="2835"/>
        <w:jc w:val="both"/>
        <w:rPr>
          <w:rFonts w:ascii="Gadugi" w:hAnsi="Gadugi" w:cs="Century Gothic"/>
          <w:b/>
          <w:bCs/>
          <w:sz w:val="24"/>
          <w:szCs w:val="24"/>
        </w:rPr>
      </w:pPr>
      <w:r w:rsidRPr="009933BF">
        <w:rPr>
          <w:rFonts w:ascii="Gadugi" w:hAnsi="Gadugi" w:cs="Century Gothic"/>
          <w:b/>
          <w:bCs/>
          <w:sz w:val="24"/>
          <w:szCs w:val="24"/>
        </w:rPr>
        <w:t>JAIME ALBERTO SARAZA NARANJO</w:t>
      </w:r>
    </w:p>
    <w:p w14:paraId="3960390D" w14:textId="53A82219" w:rsidR="0080796E" w:rsidRDefault="0080796E" w:rsidP="009933BF">
      <w:pPr>
        <w:spacing w:line="276" w:lineRule="auto"/>
        <w:ind w:firstLine="2835"/>
        <w:jc w:val="both"/>
        <w:rPr>
          <w:rFonts w:ascii="Gadugi" w:hAnsi="Gadugi" w:cs="Century Gothic"/>
          <w:b/>
          <w:bCs/>
          <w:sz w:val="24"/>
          <w:szCs w:val="24"/>
        </w:rPr>
      </w:pPr>
    </w:p>
    <w:p w14:paraId="7430F3D1" w14:textId="77777777" w:rsidR="009933BF" w:rsidRPr="009933BF" w:rsidRDefault="009933BF" w:rsidP="009933BF">
      <w:pPr>
        <w:spacing w:line="276" w:lineRule="auto"/>
        <w:ind w:firstLine="2835"/>
        <w:jc w:val="both"/>
        <w:rPr>
          <w:rFonts w:ascii="Gadugi" w:hAnsi="Gadugi" w:cs="Century Gothic"/>
          <w:b/>
          <w:bCs/>
          <w:sz w:val="24"/>
          <w:szCs w:val="24"/>
        </w:rPr>
      </w:pPr>
    </w:p>
    <w:p w14:paraId="289079DE" w14:textId="3CBD27E3" w:rsidR="00205ABE" w:rsidRPr="009933BF" w:rsidRDefault="0080796E" w:rsidP="009933BF">
      <w:pPr>
        <w:spacing w:line="276" w:lineRule="auto"/>
        <w:ind w:right="-374" w:firstLine="2835"/>
        <w:jc w:val="both"/>
        <w:rPr>
          <w:rFonts w:ascii="Gadugi" w:hAnsi="Gadugi" w:cs="Century Gothic"/>
          <w:b/>
          <w:bCs/>
          <w:sz w:val="24"/>
          <w:szCs w:val="24"/>
        </w:rPr>
      </w:pPr>
      <w:r w:rsidRPr="009933BF">
        <w:rPr>
          <w:rFonts w:ascii="Gadugi" w:hAnsi="Gadugi" w:cs="Century Gothic"/>
          <w:b/>
          <w:bCs/>
          <w:sz w:val="24"/>
          <w:szCs w:val="24"/>
        </w:rPr>
        <w:t>CA</w:t>
      </w:r>
      <w:r w:rsidR="003545B5" w:rsidRPr="009933BF">
        <w:rPr>
          <w:rFonts w:ascii="Gadugi" w:hAnsi="Gadugi" w:cs="Century Gothic"/>
          <w:b/>
          <w:bCs/>
          <w:sz w:val="24"/>
          <w:szCs w:val="24"/>
        </w:rPr>
        <w:t>RLOS MAURICIO GARCÍA BARAJAS</w:t>
      </w:r>
      <w:r w:rsidR="00D97D5E" w:rsidRPr="009933BF">
        <w:rPr>
          <w:rFonts w:ascii="Gadugi" w:hAnsi="Gadugi" w:cs="Century Gothic"/>
          <w:b/>
          <w:bCs/>
          <w:sz w:val="24"/>
          <w:szCs w:val="24"/>
        </w:rPr>
        <w:t xml:space="preserve">   </w:t>
      </w:r>
    </w:p>
    <w:p w14:paraId="1B97456A" w14:textId="150697DB" w:rsidR="00205ABE" w:rsidRDefault="00205ABE" w:rsidP="009933BF">
      <w:pPr>
        <w:spacing w:line="276" w:lineRule="auto"/>
        <w:ind w:right="-374"/>
        <w:jc w:val="both"/>
        <w:rPr>
          <w:rFonts w:ascii="Gadugi" w:hAnsi="Gadugi" w:cs="Century Gothic"/>
          <w:b/>
          <w:bCs/>
          <w:sz w:val="24"/>
          <w:szCs w:val="24"/>
        </w:rPr>
      </w:pPr>
    </w:p>
    <w:p w14:paraId="38FC7B02" w14:textId="77777777" w:rsidR="009933BF" w:rsidRPr="009933BF" w:rsidRDefault="009933BF" w:rsidP="009933BF">
      <w:pPr>
        <w:spacing w:line="276" w:lineRule="auto"/>
        <w:ind w:right="-374"/>
        <w:jc w:val="both"/>
        <w:rPr>
          <w:rFonts w:ascii="Gadugi" w:hAnsi="Gadugi" w:cs="Century Gothic"/>
          <w:b/>
          <w:bCs/>
          <w:sz w:val="24"/>
          <w:szCs w:val="24"/>
        </w:rPr>
      </w:pPr>
    </w:p>
    <w:p w14:paraId="6A1596F5" w14:textId="7D028FA3" w:rsidR="00416259" w:rsidRPr="009933BF" w:rsidRDefault="003545B5" w:rsidP="009933BF">
      <w:pPr>
        <w:spacing w:line="276" w:lineRule="auto"/>
        <w:ind w:left="708" w:right="-374" w:firstLine="2127"/>
        <w:jc w:val="both"/>
        <w:rPr>
          <w:rFonts w:ascii="Gadugi" w:hAnsi="Gadugi" w:cs="Century Gothic"/>
          <w:b/>
          <w:bCs/>
          <w:sz w:val="24"/>
          <w:szCs w:val="24"/>
        </w:rPr>
      </w:pPr>
      <w:r w:rsidRPr="009933BF">
        <w:rPr>
          <w:rFonts w:ascii="Gadugi" w:hAnsi="Gadugi" w:cs="Century Gothic"/>
          <w:b/>
          <w:bCs/>
          <w:sz w:val="24"/>
          <w:szCs w:val="24"/>
        </w:rPr>
        <w:t>DUBERNEY GRISALES HERRERA</w:t>
      </w:r>
    </w:p>
    <w:sectPr w:rsidR="00416259" w:rsidRPr="009933BF" w:rsidSect="005C0F48">
      <w:headerReference w:type="default" r:id="rId11"/>
      <w:footerReference w:type="default" r:id="rId12"/>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82BF44" w16cex:dateUtc="2022-02-03T17:04:00.747Z"/>
  <w16cex:commentExtensible w16cex:durableId="228EF0EC" w16cex:dateUtc="2022-02-03T21:09:59.6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0222D" w14:textId="77777777" w:rsidR="00616B79" w:rsidRDefault="00616B79" w:rsidP="00CD73E5">
      <w:r>
        <w:separator/>
      </w:r>
    </w:p>
  </w:endnote>
  <w:endnote w:type="continuationSeparator" w:id="0">
    <w:p w14:paraId="33338675" w14:textId="77777777" w:rsidR="00616B79" w:rsidRDefault="00616B79"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1A3F" w14:textId="70C8A443" w:rsidR="007C7ADD" w:rsidRPr="009933BF" w:rsidRDefault="007C7ADD">
    <w:pPr>
      <w:pStyle w:val="Piedepgina"/>
      <w:framePr w:wrap="auto" w:vAnchor="text" w:hAnchor="margin" w:xAlign="right" w:y="1"/>
      <w:rPr>
        <w:rStyle w:val="Nmerodepgina"/>
        <w:rFonts w:ascii="Century" w:hAnsi="Century"/>
        <w:sz w:val="18"/>
      </w:rPr>
    </w:pPr>
    <w:r w:rsidRPr="009933BF">
      <w:rPr>
        <w:rStyle w:val="Nmerodepgina"/>
        <w:rFonts w:ascii="Century" w:hAnsi="Century"/>
        <w:sz w:val="18"/>
      </w:rPr>
      <w:fldChar w:fldCharType="begin"/>
    </w:r>
    <w:r w:rsidRPr="009933BF">
      <w:rPr>
        <w:rStyle w:val="Nmerodepgina"/>
        <w:rFonts w:ascii="Century" w:hAnsi="Century"/>
        <w:sz w:val="18"/>
      </w:rPr>
      <w:instrText xml:space="preserve">PAGE  </w:instrText>
    </w:r>
    <w:r w:rsidRPr="009933BF">
      <w:rPr>
        <w:rStyle w:val="Nmerodepgina"/>
        <w:rFonts w:ascii="Century" w:hAnsi="Century"/>
        <w:sz w:val="18"/>
      </w:rPr>
      <w:fldChar w:fldCharType="separate"/>
    </w:r>
    <w:r w:rsidRPr="009933BF">
      <w:rPr>
        <w:rStyle w:val="Nmerodepgina"/>
        <w:rFonts w:ascii="Century" w:hAnsi="Century"/>
        <w:noProof/>
        <w:sz w:val="18"/>
      </w:rPr>
      <w:t>10</w:t>
    </w:r>
    <w:r w:rsidRPr="009933BF">
      <w:rPr>
        <w:rStyle w:val="Nmerodepgina"/>
        <w:rFonts w:ascii="Century" w:hAnsi="Century"/>
        <w:sz w:val="18"/>
      </w:rPr>
      <w:fldChar w:fldCharType="end"/>
    </w:r>
  </w:p>
  <w:p w14:paraId="39499B75" w14:textId="77777777" w:rsidR="007C7ADD" w:rsidRDefault="007C7AD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821B" w14:textId="77777777" w:rsidR="00616B79" w:rsidRDefault="00616B79" w:rsidP="00CD73E5">
      <w:r>
        <w:separator/>
      </w:r>
    </w:p>
  </w:footnote>
  <w:footnote w:type="continuationSeparator" w:id="0">
    <w:p w14:paraId="628CE575" w14:textId="77777777" w:rsidR="00616B79" w:rsidRDefault="00616B79" w:rsidP="00CD73E5">
      <w:r>
        <w:continuationSeparator/>
      </w:r>
    </w:p>
  </w:footnote>
  <w:footnote w:id="1">
    <w:p w14:paraId="6848F5C7" w14:textId="20CBFBC7" w:rsidR="00646CEC" w:rsidRPr="009933BF" w:rsidRDefault="00646CEC"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002, C. 1.</w:t>
      </w:r>
    </w:p>
  </w:footnote>
  <w:footnote w:id="2">
    <w:p w14:paraId="5A85BC7F" w14:textId="34E0B7C5" w:rsidR="00646CEC" w:rsidRPr="009933BF" w:rsidRDefault="00646CEC"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002, C. 1.</w:t>
      </w:r>
    </w:p>
  </w:footnote>
  <w:footnote w:id="3">
    <w:p w14:paraId="6BA5C3A0" w14:textId="1156B882" w:rsidR="00646CEC" w:rsidRPr="009933BF" w:rsidRDefault="00646CEC"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w:t>
      </w:r>
      <w:r w:rsidR="008C3C26" w:rsidRPr="009933BF">
        <w:rPr>
          <w:rFonts w:ascii="Century" w:hAnsi="Century"/>
          <w:sz w:val="18"/>
          <w:szCs w:val="18"/>
          <w:lang w:val="es-CO"/>
        </w:rPr>
        <w:t>3</w:t>
      </w:r>
      <w:r w:rsidRPr="009933BF">
        <w:rPr>
          <w:rFonts w:ascii="Century" w:hAnsi="Century"/>
          <w:sz w:val="18"/>
          <w:szCs w:val="18"/>
          <w:lang w:val="es-CO"/>
        </w:rPr>
        <w:t>, C. 1.</w:t>
      </w:r>
    </w:p>
  </w:footnote>
  <w:footnote w:id="4">
    <w:p w14:paraId="25CF0DC2" w14:textId="6D5DB70E" w:rsidR="008C3C26" w:rsidRPr="009933BF" w:rsidRDefault="008C3C26"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006, C. 1.</w:t>
      </w:r>
    </w:p>
  </w:footnote>
  <w:footnote w:id="5">
    <w:p w14:paraId="415EF638" w14:textId="3E81A198" w:rsidR="008C3C26" w:rsidRPr="009933BF" w:rsidRDefault="008C3C26"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008, C. 1.</w:t>
      </w:r>
    </w:p>
  </w:footnote>
  <w:footnote w:id="6">
    <w:p w14:paraId="29488314" w14:textId="0CDC3F65" w:rsidR="008C3C26" w:rsidRPr="009933BF" w:rsidRDefault="008C3C26"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009, C. 1.</w:t>
      </w:r>
    </w:p>
  </w:footnote>
  <w:footnote w:id="7">
    <w:p w14:paraId="6041E146" w14:textId="77777777" w:rsidR="00433F4E" w:rsidRPr="009933BF" w:rsidRDefault="00433F4E"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011, C. 1.</w:t>
      </w:r>
    </w:p>
  </w:footnote>
  <w:footnote w:id="8">
    <w:p w14:paraId="173086B1" w14:textId="77777777" w:rsidR="007C7ADD" w:rsidRPr="009933BF" w:rsidRDefault="007C7ADD" w:rsidP="009933BF">
      <w:pPr>
        <w:pStyle w:val="Textonotapie"/>
        <w:tabs>
          <w:tab w:val="left" w:pos="426"/>
        </w:tabs>
        <w:jc w:val="both"/>
        <w:rPr>
          <w:rFonts w:ascii="Century" w:hAnsi="Century" w:cstheme="majorHAnsi"/>
          <w:sz w:val="18"/>
          <w:szCs w:val="18"/>
          <w:lang w:val="es-CO"/>
        </w:rPr>
      </w:pPr>
      <w:r w:rsidRPr="009933BF">
        <w:rPr>
          <w:rStyle w:val="Refdenotaalpie"/>
          <w:rFonts w:ascii="Century" w:hAnsi="Century" w:cstheme="majorHAnsi"/>
          <w:sz w:val="18"/>
          <w:szCs w:val="18"/>
        </w:rPr>
        <w:footnoteRef/>
      </w:r>
      <w:r w:rsidRPr="009933BF">
        <w:rPr>
          <w:rFonts w:ascii="Century" w:hAnsi="Century" w:cstheme="majorHAnsi"/>
          <w:sz w:val="18"/>
          <w:szCs w:val="18"/>
          <w:vertAlign w:val="superscript"/>
        </w:rPr>
        <w:t xml:space="preserve"> </w:t>
      </w:r>
      <w:r w:rsidRPr="009933BF">
        <w:rPr>
          <w:rFonts w:ascii="Century" w:hAnsi="Century" w:cstheme="majorHAnsi"/>
          <w:sz w:val="18"/>
          <w:szCs w:val="18"/>
        </w:rPr>
        <w:t>Sentencia C-543-92</w:t>
      </w:r>
    </w:p>
  </w:footnote>
  <w:footnote w:id="9">
    <w:p w14:paraId="3EDC1B7E" w14:textId="77777777" w:rsidR="00925A9D" w:rsidRPr="009933BF" w:rsidRDefault="00925A9D"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Pág. 8 </w:t>
      </w:r>
      <w:r w:rsidRPr="009933BF">
        <w:rPr>
          <w:rFonts w:ascii="Century" w:hAnsi="Century"/>
          <w:sz w:val="18"/>
          <w:szCs w:val="18"/>
          <w:lang w:val="es-CO"/>
        </w:rPr>
        <w:t>Documento 002, C. 1.</w:t>
      </w:r>
    </w:p>
  </w:footnote>
  <w:footnote w:id="10">
    <w:p w14:paraId="060DEBA0" w14:textId="70E4F533" w:rsidR="00925A9D" w:rsidRPr="009933BF" w:rsidRDefault="00925A9D"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00075935" w:rsidRPr="009933BF">
        <w:rPr>
          <w:rFonts w:ascii="Century" w:hAnsi="Century"/>
          <w:sz w:val="18"/>
          <w:szCs w:val="18"/>
          <w:lang w:val="es-CO"/>
        </w:rPr>
        <w:t>Documento 021, Expediente monitorio, C. 1.</w:t>
      </w:r>
    </w:p>
  </w:footnote>
  <w:footnote w:id="11">
    <w:p w14:paraId="65CD7686" w14:textId="77777777" w:rsidR="00925A9D" w:rsidRPr="009933BF" w:rsidRDefault="00925A9D"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001, C. 1.</w:t>
      </w:r>
    </w:p>
  </w:footnote>
  <w:footnote w:id="12">
    <w:p w14:paraId="6025A6D7" w14:textId="77777777" w:rsidR="003738B7" w:rsidRPr="009933BF" w:rsidRDefault="003738B7"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Por ejemplo, sentencia T-461/19.</w:t>
      </w:r>
    </w:p>
  </w:footnote>
  <w:footnote w:id="13">
    <w:p w14:paraId="2AC284C2" w14:textId="494B5D68" w:rsidR="008C3C26" w:rsidRPr="009933BF" w:rsidRDefault="008C3C26"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36, Expediente monitorio</w:t>
      </w:r>
      <w:r w:rsidR="00A8365D" w:rsidRPr="009933BF">
        <w:rPr>
          <w:rFonts w:ascii="Century" w:hAnsi="Century"/>
          <w:sz w:val="18"/>
          <w:szCs w:val="18"/>
          <w:lang w:val="es-CO"/>
        </w:rPr>
        <w:t>, C. 1.</w:t>
      </w:r>
    </w:p>
  </w:footnote>
  <w:footnote w:id="14">
    <w:p w14:paraId="088497A3" w14:textId="5E12AB55" w:rsidR="008C3C26" w:rsidRPr="009933BF" w:rsidRDefault="008C3C26"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Documento 001, C. 1.</w:t>
      </w:r>
    </w:p>
  </w:footnote>
  <w:footnote w:id="15">
    <w:p w14:paraId="1364C86D" w14:textId="77777777" w:rsidR="0027217B" w:rsidRPr="009933BF" w:rsidRDefault="0027217B" w:rsidP="009933BF">
      <w:pPr>
        <w:pStyle w:val="Textonotapie"/>
        <w:jc w:val="both"/>
        <w:rPr>
          <w:rFonts w:ascii="Century" w:hAnsi="Century" w:cstheme="majorHAnsi"/>
          <w:sz w:val="18"/>
          <w:szCs w:val="18"/>
          <w:lang w:val="es-CO"/>
        </w:rPr>
      </w:pPr>
      <w:r w:rsidRPr="009933BF">
        <w:rPr>
          <w:rStyle w:val="Refdenotaalpie"/>
          <w:rFonts w:ascii="Century" w:hAnsi="Century" w:cstheme="majorHAnsi"/>
          <w:sz w:val="18"/>
          <w:szCs w:val="18"/>
        </w:rPr>
        <w:footnoteRef/>
      </w:r>
      <w:r w:rsidRPr="009933BF">
        <w:rPr>
          <w:rFonts w:ascii="Century" w:hAnsi="Century" w:cstheme="majorHAnsi"/>
          <w:sz w:val="18"/>
          <w:szCs w:val="18"/>
        </w:rPr>
        <w:t xml:space="preserve"> Sentencia SU-072/18</w:t>
      </w:r>
    </w:p>
  </w:footnote>
  <w:footnote w:id="16">
    <w:p w14:paraId="1C69B246" w14:textId="77777777" w:rsidR="0027217B" w:rsidRPr="009933BF" w:rsidRDefault="0027217B" w:rsidP="009933BF">
      <w:pPr>
        <w:pStyle w:val="Textonotapie"/>
        <w:jc w:val="both"/>
        <w:rPr>
          <w:rFonts w:ascii="Century" w:hAnsi="Century" w:cstheme="majorHAnsi"/>
          <w:sz w:val="18"/>
          <w:szCs w:val="18"/>
          <w:lang w:val="es-CO"/>
        </w:rPr>
      </w:pPr>
      <w:r w:rsidRPr="009933BF">
        <w:rPr>
          <w:rStyle w:val="Refdenotaalpie"/>
          <w:rFonts w:ascii="Century" w:hAnsi="Century" w:cstheme="majorHAnsi"/>
          <w:sz w:val="18"/>
          <w:szCs w:val="18"/>
        </w:rPr>
        <w:footnoteRef/>
      </w:r>
      <w:r w:rsidRPr="009933BF">
        <w:rPr>
          <w:rFonts w:ascii="Century" w:hAnsi="Century" w:cstheme="majorHAnsi"/>
          <w:sz w:val="18"/>
          <w:szCs w:val="18"/>
        </w:rPr>
        <w:t xml:space="preserve"> SU-632 de 2017 basándose en las SU-195 de 2012, T-143 de 2011, T-456 de 2010 y T-567 de 1998.</w:t>
      </w:r>
    </w:p>
  </w:footnote>
  <w:footnote w:id="17">
    <w:p w14:paraId="1DE8F582" w14:textId="77777777" w:rsidR="0027217B" w:rsidRPr="009933BF" w:rsidRDefault="0027217B" w:rsidP="009933BF">
      <w:pPr>
        <w:pStyle w:val="Textonotapie"/>
        <w:jc w:val="both"/>
        <w:rPr>
          <w:rFonts w:ascii="Century" w:hAnsi="Century" w:cstheme="majorHAnsi"/>
          <w:sz w:val="18"/>
          <w:szCs w:val="18"/>
          <w:lang w:val="es-CO"/>
        </w:rPr>
      </w:pPr>
      <w:r w:rsidRPr="009933BF">
        <w:rPr>
          <w:rStyle w:val="Refdenotaalpie"/>
          <w:rFonts w:ascii="Century" w:hAnsi="Century" w:cstheme="majorHAnsi"/>
          <w:sz w:val="18"/>
          <w:szCs w:val="18"/>
        </w:rPr>
        <w:footnoteRef/>
      </w:r>
      <w:r w:rsidRPr="009933BF">
        <w:rPr>
          <w:rFonts w:ascii="Century" w:hAnsi="Century" w:cstheme="majorHAnsi"/>
          <w:sz w:val="18"/>
          <w:szCs w:val="18"/>
        </w:rPr>
        <w:t xml:space="preserve"> Sentencia T-456 de 2010. Recapitulada en la SU-632 de 2017.</w:t>
      </w:r>
    </w:p>
  </w:footnote>
  <w:footnote w:id="18">
    <w:p w14:paraId="0D1F3A0C" w14:textId="77777777" w:rsidR="0027217B" w:rsidRPr="009933BF" w:rsidRDefault="0027217B" w:rsidP="009933BF">
      <w:pPr>
        <w:pStyle w:val="Textonotapie"/>
        <w:jc w:val="both"/>
        <w:rPr>
          <w:rFonts w:ascii="Century" w:hAnsi="Century" w:cstheme="majorHAnsi"/>
          <w:sz w:val="18"/>
          <w:szCs w:val="18"/>
          <w:lang w:val="es-CO"/>
        </w:rPr>
      </w:pPr>
      <w:r w:rsidRPr="009933BF">
        <w:rPr>
          <w:rStyle w:val="Refdenotaalpie"/>
          <w:rFonts w:ascii="Century" w:hAnsi="Century" w:cstheme="majorHAnsi"/>
          <w:sz w:val="18"/>
          <w:szCs w:val="18"/>
        </w:rPr>
        <w:footnoteRef/>
      </w:r>
      <w:r w:rsidRPr="009933BF">
        <w:rPr>
          <w:rFonts w:ascii="Century" w:hAnsi="Century" w:cstheme="majorHAnsi"/>
          <w:sz w:val="18"/>
          <w:szCs w:val="18"/>
        </w:rPr>
        <w:t xml:space="preserve"> Sentencia T-311 de 2009. Recapitulada en la SU-632 de 2017.</w:t>
      </w:r>
    </w:p>
  </w:footnote>
  <w:footnote w:id="19">
    <w:p w14:paraId="75D9A612" w14:textId="39887BBF" w:rsidR="003F27B1" w:rsidRPr="009933BF" w:rsidRDefault="003F27B1"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Documento 021, Expediente Monitorio, C. 1.</w:t>
      </w:r>
    </w:p>
  </w:footnote>
  <w:footnote w:id="20">
    <w:p w14:paraId="521D2CE2" w14:textId="462CA198" w:rsidR="003F27B1" w:rsidRPr="009933BF" w:rsidRDefault="003F27B1"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000973E6" w:rsidRPr="009933BF">
        <w:rPr>
          <w:rFonts w:ascii="Century" w:hAnsi="Century"/>
          <w:sz w:val="18"/>
          <w:szCs w:val="18"/>
        </w:rPr>
        <w:t>Min.</w:t>
      </w:r>
      <w:r w:rsidR="007A0C7C" w:rsidRPr="009933BF">
        <w:rPr>
          <w:rFonts w:ascii="Century" w:hAnsi="Century"/>
          <w:sz w:val="18"/>
          <w:szCs w:val="18"/>
        </w:rPr>
        <w:t>20:23 (empieza interrogatorio demandado) t Min. 35:33 (Empieza interrogatorio Demandado), archivo 25, Expediente Monitorio, C. 1.</w:t>
      </w:r>
    </w:p>
  </w:footnote>
  <w:footnote w:id="21">
    <w:p w14:paraId="6AAE840D" w14:textId="4D532A37" w:rsidR="007A0C7C" w:rsidRPr="009933BF" w:rsidRDefault="007A0C7C"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w:t>
      </w:r>
      <w:r w:rsidRPr="009933BF">
        <w:rPr>
          <w:rFonts w:ascii="Century" w:hAnsi="Century"/>
          <w:sz w:val="18"/>
          <w:szCs w:val="18"/>
          <w:lang w:val="es-CO"/>
        </w:rPr>
        <w:t xml:space="preserve">Pág. 6 Documento 005, </w:t>
      </w:r>
      <w:r w:rsidRPr="009933BF">
        <w:rPr>
          <w:rFonts w:ascii="Century" w:hAnsi="Century"/>
          <w:sz w:val="18"/>
          <w:szCs w:val="18"/>
        </w:rPr>
        <w:t>Expediente Monitorio, C. 1.</w:t>
      </w:r>
    </w:p>
  </w:footnote>
  <w:footnote w:id="22">
    <w:p w14:paraId="06E96F51" w14:textId="1F2D72D4" w:rsidR="007A0C7C" w:rsidRPr="009933BF" w:rsidRDefault="007A0C7C"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Min. 1:16:30 a Min.1:26:56, archivo 25, Expediente Monitorio, C. 1.</w:t>
      </w:r>
    </w:p>
  </w:footnote>
  <w:footnote w:id="23">
    <w:p w14:paraId="2D4B46C7" w14:textId="2B613EE5" w:rsidR="007A0C7C" w:rsidRPr="009933BF" w:rsidRDefault="007A0C7C" w:rsidP="009933BF">
      <w:pPr>
        <w:pStyle w:val="Textonotapie"/>
        <w:jc w:val="both"/>
        <w:rPr>
          <w:rFonts w:ascii="Century" w:hAnsi="Century"/>
          <w:sz w:val="18"/>
          <w:szCs w:val="18"/>
          <w:lang w:val="es-CO"/>
        </w:rPr>
      </w:pPr>
      <w:r w:rsidRPr="009933BF">
        <w:rPr>
          <w:rStyle w:val="Refdenotaalpie"/>
          <w:rFonts w:ascii="Century" w:hAnsi="Century"/>
          <w:sz w:val="18"/>
          <w:szCs w:val="18"/>
        </w:rPr>
        <w:footnoteRef/>
      </w:r>
      <w:r w:rsidRPr="009933BF">
        <w:rPr>
          <w:rFonts w:ascii="Century" w:hAnsi="Century"/>
          <w:sz w:val="18"/>
          <w:szCs w:val="18"/>
        </w:rPr>
        <w:t xml:space="preserve"> Min. 1:21:58 a Min.1:22:29, archivo 25, Expediente Monitorio, C. 1.</w:t>
      </w:r>
    </w:p>
  </w:footnote>
  <w:footnote w:id="24">
    <w:p w14:paraId="634CFF3D" w14:textId="77777777" w:rsidR="00075935" w:rsidRPr="00822AF0" w:rsidRDefault="00075935" w:rsidP="009933BF">
      <w:pPr>
        <w:pStyle w:val="Textonotapie"/>
        <w:jc w:val="both"/>
        <w:rPr>
          <w:rFonts w:ascii="Bahnschrift Light Condensed" w:hAnsi="Bahnschrift Light Condensed"/>
          <w:sz w:val="24"/>
          <w:szCs w:val="24"/>
          <w:lang w:val="es-CO"/>
        </w:rPr>
      </w:pPr>
      <w:r w:rsidRPr="009933BF">
        <w:rPr>
          <w:rStyle w:val="Refdenotaalpie"/>
          <w:rFonts w:ascii="Century" w:hAnsi="Century"/>
          <w:sz w:val="18"/>
          <w:szCs w:val="18"/>
        </w:rPr>
        <w:footnoteRef/>
      </w:r>
      <w:r w:rsidRPr="009933BF">
        <w:rPr>
          <w:rFonts w:ascii="Century" w:hAnsi="Century"/>
          <w:sz w:val="18"/>
          <w:szCs w:val="18"/>
        </w:rPr>
        <w:t xml:space="preserve"> STC13599-2018 M.P. Luis Armando Tolosa Villabona.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B36D" w14:textId="77777777" w:rsidR="007C7ADD" w:rsidRDefault="007C7ADD" w:rsidP="00A54986">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149F"/>
    <w:multiLevelType w:val="hybridMultilevel"/>
    <w:tmpl w:val="EBDC0786"/>
    <w:lvl w:ilvl="0" w:tplc="E0386EC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9133DDD"/>
    <w:multiLevelType w:val="hybridMultilevel"/>
    <w:tmpl w:val="01542EC2"/>
    <w:lvl w:ilvl="0" w:tplc="653AC25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13A8B"/>
    <w:rsid w:val="00023EB7"/>
    <w:rsid w:val="00025DE3"/>
    <w:rsid w:val="00031AE1"/>
    <w:rsid w:val="00032C87"/>
    <w:rsid w:val="00036916"/>
    <w:rsid w:val="00036DEF"/>
    <w:rsid w:val="00042088"/>
    <w:rsid w:val="00042810"/>
    <w:rsid w:val="00042E46"/>
    <w:rsid w:val="00044F41"/>
    <w:rsid w:val="00046077"/>
    <w:rsid w:val="000561F5"/>
    <w:rsid w:val="00057B30"/>
    <w:rsid w:val="00057FEF"/>
    <w:rsid w:val="0006073D"/>
    <w:rsid w:val="000649B3"/>
    <w:rsid w:val="00064D81"/>
    <w:rsid w:val="00072FD4"/>
    <w:rsid w:val="00075935"/>
    <w:rsid w:val="00082447"/>
    <w:rsid w:val="00083C12"/>
    <w:rsid w:val="00084A35"/>
    <w:rsid w:val="000868CA"/>
    <w:rsid w:val="0008760C"/>
    <w:rsid w:val="000909EC"/>
    <w:rsid w:val="00091629"/>
    <w:rsid w:val="00094A61"/>
    <w:rsid w:val="00095C04"/>
    <w:rsid w:val="000973E6"/>
    <w:rsid w:val="000A14CD"/>
    <w:rsid w:val="000A451B"/>
    <w:rsid w:val="000A7920"/>
    <w:rsid w:val="000B4BDC"/>
    <w:rsid w:val="000C44EF"/>
    <w:rsid w:val="000C48EF"/>
    <w:rsid w:val="000C6FF7"/>
    <w:rsid w:val="000D7583"/>
    <w:rsid w:val="000E00D1"/>
    <w:rsid w:val="000E3800"/>
    <w:rsid w:val="000E4D5F"/>
    <w:rsid w:val="000F189F"/>
    <w:rsid w:val="000F443B"/>
    <w:rsid w:val="000F67BE"/>
    <w:rsid w:val="00102CDF"/>
    <w:rsid w:val="0010676D"/>
    <w:rsid w:val="00106AA4"/>
    <w:rsid w:val="001078C7"/>
    <w:rsid w:val="001101C9"/>
    <w:rsid w:val="00123442"/>
    <w:rsid w:val="001247B9"/>
    <w:rsid w:val="00127C1F"/>
    <w:rsid w:val="001313B3"/>
    <w:rsid w:val="001355B9"/>
    <w:rsid w:val="0013682D"/>
    <w:rsid w:val="00137D12"/>
    <w:rsid w:val="00144607"/>
    <w:rsid w:val="00146C88"/>
    <w:rsid w:val="00154319"/>
    <w:rsid w:val="001547A5"/>
    <w:rsid w:val="00154BFB"/>
    <w:rsid w:val="00170D9A"/>
    <w:rsid w:val="0017328F"/>
    <w:rsid w:val="0017505B"/>
    <w:rsid w:val="0018035F"/>
    <w:rsid w:val="00187887"/>
    <w:rsid w:val="00190B6D"/>
    <w:rsid w:val="001920FD"/>
    <w:rsid w:val="001924A5"/>
    <w:rsid w:val="00192B43"/>
    <w:rsid w:val="001A1201"/>
    <w:rsid w:val="001A46A3"/>
    <w:rsid w:val="001A5055"/>
    <w:rsid w:val="001A61D8"/>
    <w:rsid w:val="001A6E73"/>
    <w:rsid w:val="001B3C49"/>
    <w:rsid w:val="001B5A80"/>
    <w:rsid w:val="001B682B"/>
    <w:rsid w:val="001C1144"/>
    <w:rsid w:val="001C2703"/>
    <w:rsid w:val="001C401E"/>
    <w:rsid w:val="001C4FAC"/>
    <w:rsid w:val="001C62C3"/>
    <w:rsid w:val="001E0739"/>
    <w:rsid w:val="001E0A0C"/>
    <w:rsid w:val="001E63A6"/>
    <w:rsid w:val="001E74AE"/>
    <w:rsid w:val="00200310"/>
    <w:rsid w:val="002005E0"/>
    <w:rsid w:val="00201A69"/>
    <w:rsid w:val="00205ABE"/>
    <w:rsid w:val="00213BBB"/>
    <w:rsid w:val="00227E21"/>
    <w:rsid w:val="00230E42"/>
    <w:rsid w:val="002327F3"/>
    <w:rsid w:val="00232BF9"/>
    <w:rsid w:val="00240BA3"/>
    <w:rsid w:val="002452B5"/>
    <w:rsid w:val="00254CA3"/>
    <w:rsid w:val="00254ECB"/>
    <w:rsid w:val="0025676E"/>
    <w:rsid w:val="002640CA"/>
    <w:rsid w:val="0026485D"/>
    <w:rsid w:val="00264ECC"/>
    <w:rsid w:val="00267716"/>
    <w:rsid w:val="00271C9E"/>
    <w:rsid w:val="0027217B"/>
    <w:rsid w:val="00272AF7"/>
    <w:rsid w:val="002731F9"/>
    <w:rsid w:val="00274C38"/>
    <w:rsid w:val="00277318"/>
    <w:rsid w:val="00280C0A"/>
    <w:rsid w:val="00281B9C"/>
    <w:rsid w:val="00282189"/>
    <w:rsid w:val="00283F7E"/>
    <w:rsid w:val="00290F75"/>
    <w:rsid w:val="00294CE2"/>
    <w:rsid w:val="00295489"/>
    <w:rsid w:val="0029673C"/>
    <w:rsid w:val="002967C9"/>
    <w:rsid w:val="002A13BB"/>
    <w:rsid w:val="002A1CAA"/>
    <w:rsid w:val="002A1F1E"/>
    <w:rsid w:val="002A3FE9"/>
    <w:rsid w:val="002A5AFA"/>
    <w:rsid w:val="002A64FA"/>
    <w:rsid w:val="002A668D"/>
    <w:rsid w:val="002A77BA"/>
    <w:rsid w:val="002B141D"/>
    <w:rsid w:val="002B2D36"/>
    <w:rsid w:val="002C458A"/>
    <w:rsid w:val="002C4C8A"/>
    <w:rsid w:val="002C5B1C"/>
    <w:rsid w:val="002D14C2"/>
    <w:rsid w:val="002D2530"/>
    <w:rsid w:val="002D2DB6"/>
    <w:rsid w:val="002D708D"/>
    <w:rsid w:val="002E0E95"/>
    <w:rsid w:val="002E138B"/>
    <w:rsid w:val="002F273F"/>
    <w:rsid w:val="002F6B03"/>
    <w:rsid w:val="00300E4C"/>
    <w:rsid w:val="0030149B"/>
    <w:rsid w:val="003049BB"/>
    <w:rsid w:val="00311978"/>
    <w:rsid w:val="003127B8"/>
    <w:rsid w:val="00312F26"/>
    <w:rsid w:val="0031667F"/>
    <w:rsid w:val="003213A7"/>
    <w:rsid w:val="00322465"/>
    <w:rsid w:val="003261C7"/>
    <w:rsid w:val="00327AEE"/>
    <w:rsid w:val="00327BAC"/>
    <w:rsid w:val="00340743"/>
    <w:rsid w:val="00340B65"/>
    <w:rsid w:val="0034370E"/>
    <w:rsid w:val="0034751F"/>
    <w:rsid w:val="0035091E"/>
    <w:rsid w:val="00350B72"/>
    <w:rsid w:val="00350C07"/>
    <w:rsid w:val="00352EAF"/>
    <w:rsid w:val="003545B5"/>
    <w:rsid w:val="00356C7F"/>
    <w:rsid w:val="00363BDD"/>
    <w:rsid w:val="00363FC2"/>
    <w:rsid w:val="0036517B"/>
    <w:rsid w:val="00366C33"/>
    <w:rsid w:val="003738B7"/>
    <w:rsid w:val="00373DC4"/>
    <w:rsid w:val="00382321"/>
    <w:rsid w:val="0038716C"/>
    <w:rsid w:val="003871C0"/>
    <w:rsid w:val="003953FF"/>
    <w:rsid w:val="003969EA"/>
    <w:rsid w:val="00397994"/>
    <w:rsid w:val="003A1683"/>
    <w:rsid w:val="003B7519"/>
    <w:rsid w:val="003C1AB7"/>
    <w:rsid w:val="003C2840"/>
    <w:rsid w:val="003C351A"/>
    <w:rsid w:val="003C422B"/>
    <w:rsid w:val="003D091D"/>
    <w:rsid w:val="003D3C37"/>
    <w:rsid w:val="003E256E"/>
    <w:rsid w:val="003E3870"/>
    <w:rsid w:val="003E5B22"/>
    <w:rsid w:val="003E7EB2"/>
    <w:rsid w:val="003F059A"/>
    <w:rsid w:val="003F27B1"/>
    <w:rsid w:val="0040103F"/>
    <w:rsid w:val="00407722"/>
    <w:rsid w:val="00412245"/>
    <w:rsid w:val="00414BF5"/>
    <w:rsid w:val="00416259"/>
    <w:rsid w:val="00423C01"/>
    <w:rsid w:val="00424BF8"/>
    <w:rsid w:val="00427560"/>
    <w:rsid w:val="00431634"/>
    <w:rsid w:val="00433F4E"/>
    <w:rsid w:val="004356B2"/>
    <w:rsid w:val="00436A51"/>
    <w:rsid w:val="0045635C"/>
    <w:rsid w:val="0046194B"/>
    <w:rsid w:val="004659D1"/>
    <w:rsid w:val="00467ED1"/>
    <w:rsid w:val="00476416"/>
    <w:rsid w:val="00482A42"/>
    <w:rsid w:val="00482FEF"/>
    <w:rsid w:val="004837A2"/>
    <w:rsid w:val="004859C1"/>
    <w:rsid w:val="00492465"/>
    <w:rsid w:val="00493C21"/>
    <w:rsid w:val="00495EC8"/>
    <w:rsid w:val="00496CF1"/>
    <w:rsid w:val="004A351F"/>
    <w:rsid w:val="004A6EA8"/>
    <w:rsid w:val="004B4B0E"/>
    <w:rsid w:val="004B7A1A"/>
    <w:rsid w:val="004D23DE"/>
    <w:rsid w:val="004D2CD4"/>
    <w:rsid w:val="004E2EB5"/>
    <w:rsid w:val="004E35A9"/>
    <w:rsid w:val="004F15A0"/>
    <w:rsid w:val="004F1998"/>
    <w:rsid w:val="004F7B5F"/>
    <w:rsid w:val="0050283B"/>
    <w:rsid w:val="00504EF7"/>
    <w:rsid w:val="0051586B"/>
    <w:rsid w:val="00517172"/>
    <w:rsid w:val="00523370"/>
    <w:rsid w:val="005263EF"/>
    <w:rsid w:val="00526F23"/>
    <w:rsid w:val="00527A58"/>
    <w:rsid w:val="00534DAC"/>
    <w:rsid w:val="00547184"/>
    <w:rsid w:val="00550199"/>
    <w:rsid w:val="00550939"/>
    <w:rsid w:val="0055337E"/>
    <w:rsid w:val="0055477F"/>
    <w:rsid w:val="005547B1"/>
    <w:rsid w:val="00556759"/>
    <w:rsid w:val="00561211"/>
    <w:rsid w:val="00567061"/>
    <w:rsid w:val="005676EF"/>
    <w:rsid w:val="005729AD"/>
    <w:rsid w:val="00576E34"/>
    <w:rsid w:val="00577905"/>
    <w:rsid w:val="00580719"/>
    <w:rsid w:val="0058485D"/>
    <w:rsid w:val="00587D46"/>
    <w:rsid w:val="005930DD"/>
    <w:rsid w:val="00594E5D"/>
    <w:rsid w:val="005A1133"/>
    <w:rsid w:val="005A2CC0"/>
    <w:rsid w:val="005A3C2A"/>
    <w:rsid w:val="005A5434"/>
    <w:rsid w:val="005A7048"/>
    <w:rsid w:val="005B1452"/>
    <w:rsid w:val="005B3A46"/>
    <w:rsid w:val="005B4682"/>
    <w:rsid w:val="005B4AFA"/>
    <w:rsid w:val="005C0F48"/>
    <w:rsid w:val="005C2A87"/>
    <w:rsid w:val="005C43B2"/>
    <w:rsid w:val="005C4755"/>
    <w:rsid w:val="005D5EFC"/>
    <w:rsid w:val="005D5FC7"/>
    <w:rsid w:val="005D6060"/>
    <w:rsid w:val="005D7779"/>
    <w:rsid w:val="005E2FF2"/>
    <w:rsid w:val="005E61BB"/>
    <w:rsid w:val="005F0CDC"/>
    <w:rsid w:val="005F33AC"/>
    <w:rsid w:val="005F74CF"/>
    <w:rsid w:val="00603195"/>
    <w:rsid w:val="006039FA"/>
    <w:rsid w:val="006109B0"/>
    <w:rsid w:val="00610AC1"/>
    <w:rsid w:val="006143D6"/>
    <w:rsid w:val="00616B79"/>
    <w:rsid w:val="006264E5"/>
    <w:rsid w:val="00626EE6"/>
    <w:rsid w:val="00642E81"/>
    <w:rsid w:val="00646CEC"/>
    <w:rsid w:val="00667D78"/>
    <w:rsid w:val="00667F06"/>
    <w:rsid w:val="00675B31"/>
    <w:rsid w:val="00677E25"/>
    <w:rsid w:val="00680EE6"/>
    <w:rsid w:val="00682FC9"/>
    <w:rsid w:val="00692CA8"/>
    <w:rsid w:val="00694240"/>
    <w:rsid w:val="006967CA"/>
    <w:rsid w:val="006A1906"/>
    <w:rsid w:val="006A212D"/>
    <w:rsid w:val="006A76F6"/>
    <w:rsid w:val="006B16B9"/>
    <w:rsid w:val="006B2C99"/>
    <w:rsid w:val="006D368B"/>
    <w:rsid w:val="006D59A0"/>
    <w:rsid w:val="006E4430"/>
    <w:rsid w:val="006F44D3"/>
    <w:rsid w:val="006F5747"/>
    <w:rsid w:val="006F7900"/>
    <w:rsid w:val="00700022"/>
    <w:rsid w:val="00707B73"/>
    <w:rsid w:val="00712F9E"/>
    <w:rsid w:val="00713293"/>
    <w:rsid w:val="0071350F"/>
    <w:rsid w:val="007164D1"/>
    <w:rsid w:val="007227F4"/>
    <w:rsid w:val="00732643"/>
    <w:rsid w:val="007340B1"/>
    <w:rsid w:val="00734E9B"/>
    <w:rsid w:val="007448F9"/>
    <w:rsid w:val="00744D08"/>
    <w:rsid w:val="00767D9E"/>
    <w:rsid w:val="00772119"/>
    <w:rsid w:val="007728A7"/>
    <w:rsid w:val="00772C2C"/>
    <w:rsid w:val="0078658B"/>
    <w:rsid w:val="00786D69"/>
    <w:rsid w:val="00786ECF"/>
    <w:rsid w:val="0079179A"/>
    <w:rsid w:val="0079675F"/>
    <w:rsid w:val="007A0C7C"/>
    <w:rsid w:val="007A1BFF"/>
    <w:rsid w:val="007A2EA2"/>
    <w:rsid w:val="007A3840"/>
    <w:rsid w:val="007A3EF2"/>
    <w:rsid w:val="007C7774"/>
    <w:rsid w:val="007C7861"/>
    <w:rsid w:val="007C7ADD"/>
    <w:rsid w:val="007D0DB4"/>
    <w:rsid w:val="007D4B68"/>
    <w:rsid w:val="007E190D"/>
    <w:rsid w:val="007E28C4"/>
    <w:rsid w:val="007F3C3C"/>
    <w:rsid w:val="007F70FC"/>
    <w:rsid w:val="0080796E"/>
    <w:rsid w:val="00807C39"/>
    <w:rsid w:val="008121C6"/>
    <w:rsid w:val="0082129F"/>
    <w:rsid w:val="008213D4"/>
    <w:rsid w:val="00822AF0"/>
    <w:rsid w:val="008370CE"/>
    <w:rsid w:val="00850350"/>
    <w:rsid w:val="00850B1A"/>
    <w:rsid w:val="0085158B"/>
    <w:rsid w:val="00853990"/>
    <w:rsid w:val="00864C42"/>
    <w:rsid w:val="00865106"/>
    <w:rsid w:val="00870B55"/>
    <w:rsid w:val="008718AA"/>
    <w:rsid w:val="008724F1"/>
    <w:rsid w:val="00873F11"/>
    <w:rsid w:val="00877544"/>
    <w:rsid w:val="008840E8"/>
    <w:rsid w:val="00885C69"/>
    <w:rsid w:val="00893330"/>
    <w:rsid w:val="00896121"/>
    <w:rsid w:val="0089683B"/>
    <w:rsid w:val="00897990"/>
    <w:rsid w:val="00897CFC"/>
    <w:rsid w:val="008A0096"/>
    <w:rsid w:val="008A2799"/>
    <w:rsid w:val="008A5A60"/>
    <w:rsid w:val="008B2F28"/>
    <w:rsid w:val="008B6883"/>
    <w:rsid w:val="008C10CA"/>
    <w:rsid w:val="008C2D90"/>
    <w:rsid w:val="008C3725"/>
    <w:rsid w:val="008C3C26"/>
    <w:rsid w:val="008C4378"/>
    <w:rsid w:val="008C590D"/>
    <w:rsid w:val="008D2433"/>
    <w:rsid w:val="008D2C52"/>
    <w:rsid w:val="008D41EE"/>
    <w:rsid w:val="008E15AB"/>
    <w:rsid w:val="008F2E68"/>
    <w:rsid w:val="008F3B81"/>
    <w:rsid w:val="009022F5"/>
    <w:rsid w:val="00915650"/>
    <w:rsid w:val="0092190D"/>
    <w:rsid w:val="0092217E"/>
    <w:rsid w:val="00925A9D"/>
    <w:rsid w:val="00925DA2"/>
    <w:rsid w:val="00927789"/>
    <w:rsid w:val="009417A8"/>
    <w:rsid w:val="00943090"/>
    <w:rsid w:val="00943FF1"/>
    <w:rsid w:val="00950379"/>
    <w:rsid w:val="009507A2"/>
    <w:rsid w:val="00950B06"/>
    <w:rsid w:val="009518A8"/>
    <w:rsid w:val="009578B8"/>
    <w:rsid w:val="00962585"/>
    <w:rsid w:val="0096332A"/>
    <w:rsid w:val="00965768"/>
    <w:rsid w:val="00966586"/>
    <w:rsid w:val="00972ED3"/>
    <w:rsid w:val="00985AB9"/>
    <w:rsid w:val="009878F9"/>
    <w:rsid w:val="009933BF"/>
    <w:rsid w:val="00993C82"/>
    <w:rsid w:val="009A0169"/>
    <w:rsid w:val="009A2618"/>
    <w:rsid w:val="009C00B4"/>
    <w:rsid w:val="009D02B5"/>
    <w:rsid w:val="009D0F3B"/>
    <w:rsid w:val="009D4AE4"/>
    <w:rsid w:val="009D4C7B"/>
    <w:rsid w:val="009D5349"/>
    <w:rsid w:val="009D7747"/>
    <w:rsid w:val="009E0471"/>
    <w:rsid w:val="009E0FD8"/>
    <w:rsid w:val="009E336D"/>
    <w:rsid w:val="009E4741"/>
    <w:rsid w:val="00A006BB"/>
    <w:rsid w:val="00A01DEF"/>
    <w:rsid w:val="00A0360C"/>
    <w:rsid w:val="00A0378E"/>
    <w:rsid w:val="00A10881"/>
    <w:rsid w:val="00A16252"/>
    <w:rsid w:val="00A200FA"/>
    <w:rsid w:val="00A227DA"/>
    <w:rsid w:val="00A248E6"/>
    <w:rsid w:val="00A26868"/>
    <w:rsid w:val="00A27193"/>
    <w:rsid w:val="00A35114"/>
    <w:rsid w:val="00A3656A"/>
    <w:rsid w:val="00A37894"/>
    <w:rsid w:val="00A4037B"/>
    <w:rsid w:val="00A42D85"/>
    <w:rsid w:val="00A43B6A"/>
    <w:rsid w:val="00A47D04"/>
    <w:rsid w:val="00A52863"/>
    <w:rsid w:val="00A53551"/>
    <w:rsid w:val="00A54986"/>
    <w:rsid w:val="00A55724"/>
    <w:rsid w:val="00A57AE0"/>
    <w:rsid w:val="00A619BC"/>
    <w:rsid w:val="00A61D5C"/>
    <w:rsid w:val="00A6292F"/>
    <w:rsid w:val="00A80E46"/>
    <w:rsid w:val="00A82227"/>
    <w:rsid w:val="00A8365D"/>
    <w:rsid w:val="00A853FF"/>
    <w:rsid w:val="00A875BB"/>
    <w:rsid w:val="00A90E67"/>
    <w:rsid w:val="00A95A82"/>
    <w:rsid w:val="00AA09D4"/>
    <w:rsid w:val="00AC20A1"/>
    <w:rsid w:val="00AC4AEE"/>
    <w:rsid w:val="00AC5562"/>
    <w:rsid w:val="00AC642D"/>
    <w:rsid w:val="00AC7344"/>
    <w:rsid w:val="00AD1020"/>
    <w:rsid w:val="00AD192C"/>
    <w:rsid w:val="00AD5A79"/>
    <w:rsid w:val="00AD741E"/>
    <w:rsid w:val="00AE5D91"/>
    <w:rsid w:val="00AE6090"/>
    <w:rsid w:val="00AE6E43"/>
    <w:rsid w:val="00AF4AD3"/>
    <w:rsid w:val="00AF7AC9"/>
    <w:rsid w:val="00B00139"/>
    <w:rsid w:val="00B02AD0"/>
    <w:rsid w:val="00B02BE9"/>
    <w:rsid w:val="00B052B7"/>
    <w:rsid w:val="00B10E71"/>
    <w:rsid w:val="00B13C66"/>
    <w:rsid w:val="00B1618B"/>
    <w:rsid w:val="00B17C95"/>
    <w:rsid w:val="00B20B7B"/>
    <w:rsid w:val="00B27E2B"/>
    <w:rsid w:val="00B30CAA"/>
    <w:rsid w:val="00B33A1F"/>
    <w:rsid w:val="00B34201"/>
    <w:rsid w:val="00B36F01"/>
    <w:rsid w:val="00B408E6"/>
    <w:rsid w:val="00B40BCA"/>
    <w:rsid w:val="00B56442"/>
    <w:rsid w:val="00B576AD"/>
    <w:rsid w:val="00B623E8"/>
    <w:rsid w:val="00B6253B"/>
    <w:rsid w:val="00B735EC"/>
    <w:rsid w:val="00B76082"/>
    <w:rsid w:val="00B80881"/>
    <w:rsid w:val="00B85F73"/>
    <w:rsid w:val="00B86E8E"/>
    <w:rsid w:val="00B93D03"/>
    <w:rsid w:val="00B94403"/>
    <w:rsid w:val="00B973B6"/>
    <w:rsid w:val="00BA1A8F"/>
    <w:rsid w:val="00BA2E5F"/>
    <w:rsid w:val="00BA4750"/>
    <w:rsid w:val="00BB68AA"/>
    <w:rsid w:val="00BC2DFF"/>
    <w:rsid w:val="00BC56C9"/>
    <w:rsid w:val="00BD2349"/>
    <w:rsid w:val="00BD3838"/>
    <w:rsid w:val="00BD601B"/>
    <w:rsid w:val="00BE16F9"/>
    <w:rsid w:val="00BE3D4C"/>
    <w:rsid w:val="00BE3FA4"/>
    <w:rsid w:val="00BF254D"/>
    <w:rsid w:val="00BF426C"/>
    <w:rsid w:val="00BF46E3"/>
    <w:rsid w:val="00BF508F"/>
    <w:rsid w:val="00BF5A0B"/>
    <w:rsid w:val="00C23659"/>
    <w:rsid w:val="00C3113A"/>
    <w:rsid w:val="00C313F5"/>
    <w:rsid w:val="00C34084"/>
    <w:rsid w:val="00C459CD"/>
    <w:rsid w:val="00C54BA0"/>
    <w:rsid w:val="00C55B70"/>
    <w:rsid w:val="00C562AD"/>
    <w:rsid w:val="00C6417B"/>
    <w:rsid w:val="00C660AE"/>
    <w:rsid w:val="00C71F28"/>
    <w:rsid w:val="00C73A6D"/>
    <w:rsid w:val="00C75795"/>
    <w:rsid w:val="00C805F6"/>
    <w:rsid w:val="00C82097"/>
    <w:rsid w:val="00CA06C3"/>
    <w:rsid w:val="00CA13BC"/>
    <w:rsid w:val="00CA24F8"/>
    <w:rsid w:val="00CA67BA"/>
    <w:rsid w:val="00CB50CE"/>
    <w:rsid w:val="00CB5998"/>
    <w:rsid w:val="00CB75FF"/>
    <w:rsid w:val="00CB7F71"/>
    <w:rsid w:val="00CC07C1"/>
    <w:rsid w:val="00CC3339"/>
    <w:rsid w:val="00CD1E8A"/>
    <w:rsid w:val="00CD34E9"/>
    <w:rsid w:val="00CD47D0"/>
    <w:rsid w:val="00CD73E5"/>
    <w:rsid w:val="00CD7727"/>
    <w:rsid w:val="00CE1C2E"/>
    <w:rsid w:val="00CE3390"/>
    <w:rsid w:val="00CF0E46"/>
    <w:rsid w:val="00CF380C"/>
    <w:rsid w:val="00D007C6"/>
    <w:rsid w:val="00D00EF1"/>
    <w:rsid w:val="00D016CA"/>
    <w:rsid w:val="00D03C17"/>
    <w:rsid w:val="00D04829"/>
    <w:rsid w:val="00D1112B"/>
    <w:rsid w:val="00D13775"/>
    <w:rsid w:val="00D14203"/>
    <w:rsid w:val="00D216D9"/>
    <w:rsid w:val="00D22B11"/>
    <w:rsid w:val="00D2390F"/>
    <w:rsid w:val="00D24D8A"/>
    <w:rsid w:val="00D25BC0"/>
    <w:rsid w:val="00D275C1"/>
    <w:rsid w:val="00D3180D"/>
    <w:rsid w:val="00D33331"/>
    <w:rsid w:val="00D40309"/>
    <w:rsid w:val="00D41FBD"/>
    <w:rsid w:val="00D43414"/>
    <w:rsid w:val="00D43DAA"/>
    <w:rsid w:val="00D43E7C"/>
    <w:rsid w:val="00D46456"/>
    <w:rsid w:val="00D521F8"/>
    <w:rsid w:val="00D6501E"/>
    <w:rsid w:val="00D80543"/>
    <w:rsid w:val="00D806BB"/>
    <w:rsid w:val="00D8186A"/>
    <w:rsid w:val="00D83415"/>
    <w:rsid w:val="00D8517B"/>
    <w:rsid w:val="00D85287"/>
    <w:rsid w:val="00D8626E"/>
    <w:rsid w:val="00D946BC"/>
    <w:rsid w:val="00D97AA3"/>
    <w:rsid w:val="00D97D5E"/>
    <w:rsid w:val="00DA007F"/>
    <w:rsid w:val="00DA2460"/>
    <w:rsid w:val="00DA3C2D"/>
    <w:rsid w:val="00DB0318"/>
    <w:rsid w:val="00DB2A9D"/>
    <w:rsid w:val="00DB2B97"/>
    <w:rsid w:val="00DB4B23"/>
    <w:rsid w:val="00DC767B"/>
    <w:rsid w:val="00DC7AA7"/>
    <w:rsid w:val="00DD34BB"/>
    <w:rsid w:val="00DD7802"/>
    <w:rsid w:val="00DE2C57"/>
    <w:rsid w:val="00DE700F"/>
    <w:rsid w:val="00DF6B46"/>
    <w:rsid w:val="00DF6E32"/>
    <w:rsid w:val="00DF749F"/>
    <w:rsid w:val="00E00E45"/>
    <w:rsid w:val="00E016CE"/>
    <w:rsid w:val="00E03443"/>
    <w:rsid w:val="00E040C3"/>
    <w:rsid w:val="00E07EF3"/>
    <w:rsid w:val="00E10B79"/>
    <w:rsid w:val="00E170E0"/>
    <w:rsid w:val="00E21E93"/>
    <w:rsid w:val="00E278BC"/>
    <w:rsid w:val="00E3052D"/>
    <w:rsid w:val="00E31BED"/>
    <w:rsid w:val="00E37ACD"/>
    <w:rsid w:val="00E460C4"/>
    <w:rsid w:val="00E50518"/>
    <w:rsid w:val="00E6002C"/>
    <w:rsid w:val="00E64DA0"/>
    <w:rsid w:val="00E64FFE"/>
    <w:rsid w:val="00E7303F"/>
    <w:rsid w:val="00E73BF3"/>
    <w:rsid w:val="00E750C2"/>
    <w:rsid w:val="00E76C67"/>
    <w:rsid w:val="00E84683"/>
    <w:rsid w:val="00E943FF"/>
    <w:rsid w:val="00E95B31"/>
    <w:rsid w:val="00EA1D7B"/>
    <w:rsid w:val="00EC0FD3"/>
    <w:rsid w:val="00EC276F"/>
    <w:rsid w:val="00ED2244"/>
    <w:rsid w:val="00ED5862"/>
    <w:rsid w:val="00EE4976"/>
    <w:rsid w:val="00EE7D70"/>
    <w:rsid w:val="00EF64A2"/>
    <w:rsid w:val="00F05CB7"/>
    <w:rsid w:val="00F111E5"/>
    <w:rsid w:val="00F12178"/>
    <w:rsid w:val="00F12786"/>
    <w:rsid w:val="00F14E38"/>
    <w:rsid w:val="00F1637D"/>
    <w:rsid w:val="00F16C74"/>
    <w:rsid w:val="00F171EE"/>
    <w:rsid w:val="00F20A47"/>
    <w:rsid w:val="00F306A1"/>
    <w:rsid w:val="00F318DC"/>
    <w:rsid w:val="00F34452"/>
    <w:rsid w:val="00F405C7"/>
    <w:rsid w:val="00F40D9F"/>
    <w:rsid w:val="00F415DA"/>
    <w:rsid w:val="00F464E3"/>
    <w:rsid w:val="00F5185E"/>
    <w:rsid w:val="00F52C02"/>
    <w:rsid w:val="00F62567"/>
    <w:rsid w:val="00F63C1A"/>
    <w:rsid w:val="00F63E94"/>
    <w:rsid w:val="00F66464"/>
    <w:rsid w:val="00F70756"/>
    <w:rsid w:val="00F73412"/>
    <w:rsid w:val="00F736AA"/>
    <w:rsid w:val="00F90CD5"/>
    <w:rsid w:val="00F93C69"/>
    <w:rsid w:val="00FA203C"/>
    <w:rsid w:val="00FB20FC"/>
    <w:rsid w:val="00FB5A98"/>
    <w:rsid w:val="00FB6F3A"/>
    <w:rsid w:val="00FB7EC4"/>
    <w:rsid w:val="00FB7F2B"/>
    <w:rsid w:val="00FC74B2"/>
    <w:rsid w:val="00FD1696"/>
    <w:rsid w:val="00FD2398"/>
    <w:rsid w:val="00FD6F14"/>
    <w:rsid w:val="00FE44AA"/>
    <w:rsid w:val="00FE5D7C"/>
    <w:rsid w:val="00FF0520"/>
    <w:rsid w:val="00FF6AB9"/>
    <w:rsid w:val="05C66CCD"/>
    <w:rsid w:val="0E8960D1"/>
    <w:rsid w:val="12CE8E11"/>
    <w:rsid w:val="1E52B3DF"/>
    <w:rsid w:val="20DB82BA"/>
    <w:rsid w:val="26FF0D15"/>
    <w:rsid w:val="2972CA90"/>
    <w:rsid w:val="2C78A3E1"/>
    <w:rsid w:val="2EFF56EF"/>
    <w:rsid w:val="38213DA9"/>
    <w:rsid w:val="3C1DCF33"/>
    <w:rsid w:val="3FEA70FF"/>
    <w:rsid w:val="5DC2A22E"/>
    <w:rsid w:val="5E2AB527"/>
    <w:rsid w:val="5FBD17F5"/>
    <w:rsid w:val="60C36E8E"/>
    <w:rsid w:val="60E1ED65"/>
    <w:rsid w:val="6220C0CD"/>
    <w:rsid w:val="62428FBC"/>
    <w:rsid w:val="6249446D"/>
    <w:rsid w:val="633B306A"/>
    <w:rsid w:val="68D5D625"/>
    <w:rsid w:val="7B502501"/>
    <w:rsid w:val="7C7B74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EF37"/>
  <w15:docId w15:val="{37F615EB-7CE1-49B2-B80B-6164FA67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4B4B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aliases w:val="aaPie de página,Pie de página Car Car"/>
    <w:basedOn w:val="Normal"/>
    <w:link w:val="PiedepginaCar"/>
    <w:rsid w:val="00CD73E5"/>
    <w:pPr>
      <w:tabs>
        <w:tab w:val="center" w:pos="4419"/>
        <w:tab w:val="right" w:pos="8838"/>
      </w:tabs>
    </w:pPr>
  </w:style>
  <w:style w:type="character" w:customStyle="1" w:styleId="PiedepginaCar">
    <w:name w:val="Pie de página Car"/>
    <w:aliases w:val="aaPie de página Car,Pie de página Car Car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number"/>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link w:val="4GChar"/>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styleId="Textoindependiente2">
    <w:name w:val="Body Text 2"/>
    <w:basedOn w:val="Normal"/>
    <w:link w:val="Textoindependiente2Car"/>
    <w:rsid w:val="00E943FF"/>
    <w:pPr>
      <w:spacing w:after="120" w:line="480" w:lineRule="auto"/>
    </w:pPr>
  </w:style>
  <w:style w:type="character" w:customStyle="1" w:styleId="Textoindependiente2Car">
    <w:name w:val="Texto independiente 2 Car"/>
    <w:link w:val="Textoindependiente2"/>
    <w:rsid w:val="00E943FF"/>
    <w:rPr>
      <w:rFonts w:ascii="Times New Roman" w:eastAsia="Times New Roman" w:hAnsi="Times New Roman"/>
      <w:lang w:val="es-ES" w:eastAsia="es-ES"/>
    </w:rPr>
  </w:style>
  <w:style w:type="paragraph" w:styleId="Encabezado">
    <w:name w:val="header"/>
    <w:basedOn w:val="Normal"/>
    <w:link w:val="EncabezadoCar"/>
    <w:uiPriority w:val="99"/>
    <w:rsid w:val="000E4D5F"/>
    <w:pPr>
      <w:tabs>
        <w:tab w:val="center" w:pos="4252"/>
        <w:tab w:val="right" w:pos="8504"/>
      </w:tabs>
      <w:overflowPunct/>
      <w:autoSpaceDE/>
      <w:autoSpaceDN/>
      <w:adjustRightInd/>
      <w:textAlignment w:val="auto"/>
    </w:pPr>
    <w:rPr>
      <w:sz w:val="24"/>
      <w:szCs w:val="24"/>
    </w:rPr>
  </w:style>
  <w:style w:type="character" w:customStyle="1" w:styleId="EncabezadoCar">
    <w:name w:val="Encabezado Car"/>
    <w:link w:val="Encabezado"/>
    <w:uiPriority w:val="99"/>
    <w:rsid w:val="000E4D5F"/>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nhideWhenUsed/>
    <w:rsid w:val="00CA13BC"/>
    <w:pPr>
      <w:spacing w:after="120"/>
      <w:ind w:left="283"/>
      <w:textAlignment w:val="auto"/>
    </w:pPr>
    <w:rPr>
      <w:lang w:val="es-ES_tradnl"/>
    </w:rPr>
  </w:style>
  <w:style w:type="character" w:customStyle="1" w:styleId="SangradetextonormalCar">
    <w:name w:val="Sangría de texto normal Car"/>
    <w:link w:val="Sangradetextonormal"/>
    <w:rsid w:val="00CA13BC"/>
    <w:rPr>
      <w:rFonts w:ascii="Times New Roman" w:eastAsia="Times New Roman" w:hAnsi="Times New Roman"/>
      <w:lang w:val="es-ES_tradnl" w:eastAsia="es-ES"/>
    </w:rPr>
  </w:style>
  <w:style w:type="paragraph" w:styleId="Prrafodelista">
    <w:name w:val="List Paragraph"/>
    <w:basedOn w:val="Normal"/>
    <w:uiPriority w:val="34"/>
    <w:qFormat/>
    <w:rsid w:val="008121C6"/>
    <w:pPr>
      <w:ind w:left="720"/>
      <w:contextualSpacing/>
    </w:pPr>
  </w:style>
  <w:style w:type="character" w:styleId="Hipervnculo">
    <w:name w:val="Hyperlink"/>
    <w:basedOn w:val="Fuentedeprrafopredeter"/>
    <w:uiPriority w:val="99"/>
    <w:semiHidden/>
    <w:unhideWhenUsed/>
    <w:rsid w:val="00B27E2B"/>
    <w:rPr>
      <w:color w:val="0000FF"/>
      <w:u w:val="single"/>
    </w:rPr>
  </w:style>
  <w:style w:type="paragraph" w:styleId="NormalWeb">
    <w:name w:val="Normal (Web)"/>
    <w:basedOn w:val="Normal"/>
    <w:uiPriority w:val="99"/>
    <w:semiHidden/>
    <w:unhideWhenUsed/>
    <w:rsid w:val="00B27E2B"/>
    <w:pPr>
      <w:overflowPunct/>
      <w:autoSpaceDE/>
      <w:autoSpaceDN/>
      <w:adjustRightInd/>
      <w:spacing w:before="100" w:beforeAutospacing="1" w:after="100" w:afterAutospacing="1"/>
      <w:textAlignment w:val="auto"/>
    </w:pPr>
    <w:rPr>
      <w:sz w:val="24"/>
      <w:szCs w:val="24"/>
      <w:lang w:val="es-CO" w:eastAsia="es-CO"/>
    </w:rPr>
  </w:style>
  <w:style w:type="character" w:styleId="Textoennegrita">
    <w:name w:val="Strong"/>
    <w:basedOn w:val="Fuentedeprrafopredeter"/>
    <w:uiPriority w:val="22"/>
    <w:qFormat/>
    <w:rsid w:val="00B27E2B"/>
    <w:rPr>
      <w:b/>
      <w:bCs/>
    </w:rPr>
  </w:style>
  <w:style w:type="paragraph" w:customStyle="1" w:styleId="centrado">
    <w:name w:val="centrado"/>
    <w:basedOn w:val="Normal"/>
    <w:rsid w:val="00B27E2B"/>
    <w:pPr>
      <w:overflowPunct/>
      <w:autoSpaceDE/>
      <w:autoSpaceDN/>
      <w:adjustRightInd/>
      <w:spacing w:before="100" w:beforeAutospacing="1" w:after="100" w:afterAutospacing="1"/>
      <w:textAlignment w:val="auto"/>
    </w:pPr>
    <w:rPr>
      <w:sz w:val="24"/>
      <w:szCs w:val="24"/>
      <w:lang w:val="es-CO" w:eastAsia="es-CO"/>
    </w:rPr>
  </w:style>
  <w:style w:type="character" w:customStyle="1" w:styleId="baj">
    <w:name w:val="baj"/>
    <w:basedOn w:val="Fuentedeprrafopredeter"/>
    <w:rsid w:val="00B27E2B"/>
  </w:style>
  <w:style w:type="character" w:customStyle="1" w:styleId="apple-converted-space">
    <w:name w:val="apple-converted-space"/>
    <w:basedOn w:val="Fuentedeprrafopredeter"/>
    <w:rsid w:val="00B27E2B"/>
  </w:style>
  <w:style w:type="paragraph" w:styleId="Textoindependiente">
    <w:name w:val="Body Text"/>
    <w:basedOn w:val="Normal"/>
    <w:link w:val="TextoindependienteCar"/>
    <w:uiPriority w:val="99"/>
    <w:semiHidden/>
    <w:unhideWhenUsed/>
    <w:rsid w:val="00DF749F"/>
    <w:pPr>
      <w:spacing w:after="120"/>
    </w:pPr>
  </w:style>
  <w:style w:type="character" w:customStyle="1" w:styleId="TextoindependienteCar">
    <w:name w:val="Texto independiente Car"/>
    <w:basedOn w:val="Fuentedeprrafopredeter"/>
    <w:link w:val="Textoindependiente"/>
    <w:uiPriority w:val="99"/>
    <w:semiHidden/>
    <w:rsid w:val="00DF749F"/>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Ttulo1Car">
    <w:name w:val="Título 1 Car"/>
    <w:basedOn w:val="Fuentedeprrafopredeter"/>
    <w:link w:val="Ttulo1"/>
    <w:uiPriority w:val="9"/>
    <w:rsid w:val="004B4B0E"/>
    <w:rPr>
      <w:rFonts w:asciiTheme="majorHAnsi" w:eastAsiaTheme="majorEastAsia" w:hAnsiTheme="majorHAnsi" w:cstheme="majorBidi"/>
      <w:color w:val="2F5496" w:themeColor="accent1" w:themeShade="BF"/>
      <w:sz w:val="32"/>
      <w:szCs w:val="32"/>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8213D4"/>
    <w:pPr>
      <w:overflowPunct/>
      <w:autoSpaceDE/>
      <w:autoSpaceDN/>
      <w:adjustRightInd/>
      <w:textAlignment w:val="auto"/>
    </w:pPr>
    <w:rPr>
      <w:rFonts w:ascii="Calibri" w:eastAsia="Calibri" w:hAnsi="Calibri"/>
      <w:vertAlign w:val="superscript"/>
      <w:lang w:val="es-CO" w:eastAsia="es-CO"/>
    </w:rPr>
  </w:style>
  <w:style w:type="paragraph" w:styleId="Sinespaciado">
    <w:name w:val="No Spacing"/>
    <w:link w:val="SinespaciadoCar"/>
    <w:uiPriority w:val="1"/>
    <w:qFormat/>
    <w:rsid w:val="009933BF"/>
    <w:rPr>
      <w:rFonts w:eastAsia="Times New Roman"/>
      <w:sz w:val="22"/>
      <w:szCs w:val="22"/>
      <w:lang w:val="es-ES" w:eastAsia="es-ES"/>
    </w:rPr>
  </w:style>
  <w:style w:type="character" w:customStyle="1" w:styleId="SinespaciadoCar">
    <w:name w:val="Sin espaciado Car"/>
    <w:link w:val="Sinespaciado"/>
    <w:uiPriority w:val="1"/>
    <w:locked/>
    <w:rsid w:val="009933BF"/>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3733">
      <w:bodyDiv w:val="1"/>
      <w:marLeft w:val="0"/>
      <w:marRight w:val="0"/>
      <w:marTop w:val="0"/>
      <w:marBottom w:val="0"/>
      <w:divBdr>
        <w:top w:val="none" w:sz="0" w:space="0" w:color="auto"/>
        <w:left w:val="none" w:sz="0" w:space="0" w:color="auto"/>
        <w:bottom w:val="none" w:sz="0" w:space="0" w:color="auto"/>
        <w:right w:val="none" w:sz="0" w:space="0" w:color="auto"/>
      </w:divBdr>
    </w:div>
    <w:div w:id="534150638">
      <w:bodyDiv w:val="1"/>
      <w:marLeft w:val="0"/>
      <w:marRight w:val="0"/>
      <w:marTop w:val="0"/>
      <w:marBottom w:val="0"/>
      <w:divBdr>
        <w:top w:val="none" w:sz="0" w:space="0" w:color="auto"/>
        <w:left w:val="none" w:sz="0" w:space="0" w:color="auto"/>
        <w:bottom w:val="none" w:sz="0" w:space="0" w:color="auto"/>
        <w:right w:val="none" w:sz="0" w:space="0" w:color="auto"/>
      </w:divBdr>
    </w:div>
    <w:div w:id="678699871">
      <w:bodyDiv w:val="1"/>
      <w:marLeft w:val="0"/>
      <w:marRight w:val="0"/>
      <w:marTop w:val="0"/>
      <w:marBottom w:val="0"/>
      <w:divBdr>
        <w:top w:val="none" w:sz="0" w:space="0" w:color="auto"/>
        <w:left w:val="none" w:sz="0" w:space="0" w:color="auto"/>
        <w:bottom w:val="none" w:sz="0" w:space="0" w:color="auto"/>
        <w:right w:val="none" w:sz="0" w:space="0" w:color="auto"/>
      </w:divBdr>
    </w:div>
    <w:div w:id="734477910">
      <w:bodyDiv w:val="1"/>
      <w:marLeft w:val="0"/>
      <w:marRight w:val="0"/>
      <w:marTop w:val="0"/>
      <w:marBottom w:val="0"/>
      <w:divBdr>
        <w:top w:val="none" w:sz="0" w:space="0" w:color="auto"/>
        <w:left w:val="none" w:sz="0" w:space="0" w:color="auto"/>
        <w:bottom w:val="none" w:sz="0" w:space="0" w:color="auto"/>
        <w:right w:val="none" w:sz="0" w:space="0" w:color="auto"/>
      </w:divBdr>
    </w:div>
    <w:div w:id="809708631">
      <w:bodyDiv w:val="1"/>
      <w:marLeft w:val="0"/>
      <w:marRight w:val="0"/>
      <w:marTop w:val="0"/>
      <w:marBottom w:val="0"/>
      <w:divBdr>
        <w:top w:val="none" w:sz="0" w:space="0" w:color="auto"/>
        <w:left w:val="none" w:sz="0" w:space="0" w:color="auto"/>
        <w:bottom w:val="none" w:sz="0" w:space="0" w:color="auto"/>
        <w:right w:val="none" w:sz="0" w:space="0" w:color="auto"/>
      </w:divBdr>
    </w:div>
    <w:div w:id="1127315841">
      <w:bodyDiv w:val="1"/>
      <w:marLeft w:val="0"/>
      <w:marRight w:val="0"/>
      <w:marTop w:val="0"/>
      <w:marBottom w:val="0"/>
      <w:divBdr>
        <w:top w:val="none" w:sz="0" w:space="0" w:color="auto"/>
        <w:left w:val="none" w:sz="0" w:space="0" w:color="auto"/>
        <w:bottom w:val="none" w:sz="0" w:space="0" w:color="auto"/>
        <w:right w:val="none" w:sz="0" w:space="0" w:color="auto"/>
      </w:divBdr>
    </w:div>
    <w:div w:id="1138759793">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361128468">
      <w:bodyDiv w:val="1"/>
      <w:marLeft w:val="0"/>
      <w:marRight w:val="0"/>
      <w:marTop w:val="0"/>
      <w:marBottom w:val="0"/>
      <w:divBdr>
        <w:top w:val="none" w:sz="0" w:space="0" w:color="auto"/>
        <w:left w:val="none" w:sz="0" w:space="0" w:color="auto"/>
        <w:bottom w:val="none" w:sz="0" w:space="0" w:color="auto"/>
        <w:right w:val="none" w:sz="0" w:space="0" w:color="auto"/>
      </w:divBdr>
    </w:div>
    <w:div w:id="1368334478">
      <w:bodyDiv w:val="1"/>
      <w:marLeft w:val="0"/>
      <w:marRight w:val="0"/>
      <w:marTop w:val="0"/>
      <w:marBottom w:val="0"/>
      <w:divBdr>
        <w:top w:val="none" w:sz="0" w:space="0" w:color="auto"/>
        <w:left w:val="none" w:sz="0" w:space="0" w:color="auto"/>
        <w:bottom w:val="none" w:sz="0" w:space="0" w:color="auto"/>
        <w:right w:val="none" w:sz="0" w:space="0" w:color="auto"/>
      </w:divBdr>
    </w:div>
    <w:div w:id="1503621123">
      <w:bodyDiv w:val="1"/>
      <w:marLeft w:val="0"/>
      <w:marRight w:val="0"/>
      <w:marTop w:val="0"/>
      <w:marBottom w:val="0"/>
      <w:divBdr>
        <w:top w:val="none" w:sz="0" w:space="0" w:color="auto"/>
        <w:left w:val="none" w:sz="0" w:space="0" w:color="auto"/>
        <w:bottom w:val="none" w:sz="0" w:space="0" w:color="auto"/>
        <w:right w:val="none" w:sz="0" w:space="0" w:color="auto"/>
      </w:divBdr>
    </w:div>
    <w:div w:id="1619726295">
      <w:bodyDiv w:val="1"/>
      <w:marLeft w:val="0"/>
      <w:marRight w:val="0"/>
      <w:marTop w:val="0"/>
      <w:marBottom w:val="0"/>
      <w:divBdr>
        <w:top w:val="none" w:sz="0" w:space="0" w:color="auto"/>
        <w:left w:val="none" w:sz="0" w:space="0" w:color="auto"/>
        <w:bottom w:val="none" w:sz="0" w:space="0" w:color="auto"/>
        <w:right w:val="none" w:sz="0" w:space="0" w:color="auto"/>
      </w:divBdr>
    </w:div>
    <w:div w:id="167634610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78af80aec19a4b1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63E3-7492-41DE-B126-C78BCB878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1185A-AB21-4FE0-B299-F33F25942D9B}">
  <ds:schemaRefs>
    <ds:schemaRef ds:uri="http://schemas.microsoft.com/sharepoint/v3/contenttype/forms"/>
  </ds:schemaRefs>
</ds:datastoreItem>
</file>

<file path=customXml/itemProps3.xml><?xml version="1.0" encoding="utf-8"?>
<ds:datastoreItem xmlns:ds="http://schemas.openxmlformats.org/officeDocument/2006/customXml" ds:itemID="{E7F84D6D-C997-46CA-9AAA-B4F6F4F9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ACC74-6BCF-46A0-B7C5-E5D04DFF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3239</Words>
  <Characters>17818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5</cp:revision>
  <cp:lastPrinted>2019-05-03T12:17:00Z</cp:lastPrinted>
  <dcterms:created xsi:type="dcterms:W3CDTF">2022-02-03T21:15:00Z</dcterms:created>
  <dcterms:modified xsi:type="dcterms:W3CDTF">2022-04-08T14:33:00Z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