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D2A2" w14:textId="77777777" w:rsidR="0082503C" w:rsidRPr="008A290B" w:rsidRDefault="0082503C" w:rsidP="0082503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F36479" w14:textId="77777777" w:rsidR="0082503C" w:rsidRDefault="0082503C" w:rsidP="0082503C">
      <w:pPr>
        <w:jc w:val="both"/>
        <w:rPr>
          <w:rFonts w:ascii="Arial" w:hAnsi="Arial" w:cs="Arial"/>
          <w:lang w:val="es-419"/>
        </w:rPr>
      </w:pPr>
    </w:p>
    <w:p w14:paraId="6C6244B4" w14:textId="24740D98" w:rsidR="0082503C" w:rsidRPr="00E32969" w:rsidRDefault="0082503C" w:rsidP="0082503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140F76">
        <w:rPr>
          <w:rFonts w:ascii="Arial" w:hAnsi="Arial" w:cs="Arial"/>
          <w:b/>
          <w:bCs/>
          <w:iCs/>
          <w:sz w:val="20"/>
          <w:szCs w:val="20"/>
          <w:lang w:val="es-419" w:eastAsia="fr-FR"/>
        </w:rPr>
        <w:t xml:space="preserve">DEBIDO PROCESO </w:t>
      </w:r>
      <w:r w:rsidR="00171F02">
        <w:rPr>
          <w:rFonts w:ascii="Arial" w:hAnsi="Arial" w:cs="Arial"/>
          <w:b/>
          <w:bCs/>
          <w:iCs/>
          <w:sz w:val="20"/>
          <w:szCs w:val="20"/>
          <w:lang w:val="es-419" w:eastAsia="fr-FR"/>
        </w:rPr>
        <w:t>/</w:t>
      </w:r>
      <w:r w:rsidR="00E039B7">
        <w:rPr>
          <w:rFonts w:ascii="Arial" w:hAnsi="Arial" w:cs="Arial"/>
          <w:b/>
          <w:bCs/>
          <w:iCs/>
          <w:sz w:val="20"/>
          <w:szCs w:val="20"/>
          <w:lang w:val="es-419" w:eastAsia="fr-FR"/>
        </w:rPr>
        <w:t xml:space="preserve"> TUTELA CONTRA DECISIÓN JUDICIAL / REQUISITOS DE PROCEDIBILIDAD / INMEDIATEZ / TÉRMINO RAZONABLE, 6 MESES / SUBSIDIARIEDAD / ACCIONANTE NO RECURRIÓ LA DECISIÓN ANTE EL JUEZ ORDINARIO.</w:t>
      </w:r>
    </w:p>
    <w:p w14:paraId="10F2A9ED" w14:textId="77777777" w:rsidR="0082503C" w:rsidRPr="00E32969" w:rsidRDefault="0082503C" w:rsidP="0082503C">
      <w:pPr>
        <w:jc w:val="both"/>
        <w:rPr>
          <w:rFonts w:ascii="Arial" w:hAnsi="Arial" w:cs="Arial"/>
          <w:lang w:val="es-419"/>
        </w:rPr>
      </w:pPr>
    </w:p>
    <w:p w14:paraId="6E46EB29" w14:textId="77777777" w:rsidR="008D52E9" w:rsidRPr="008D52E9" w:rsidRDefault="008D52E9" w:rsidP="008D52E9">
      <w:pPr>
        <w:jc w:val="both"/>
        <w:rPr>
          <w:rFonts w:ascii="Arial" w:hAnsi="Arial" w:cs="Arial"/>
          <w:lang w:val="es-419"/>
        </w:rPr>
      </w:pPr>
      <w:r w:rsidRPr="008D52E9">
        <w:rPr>
          <w:rFonts w:ascii="Arial" w:hAnsi="Arial" w:cs="Arial"/>
          <w:lang w:val="es-419"/>
        </w:rPr>
        <w:t xml:space="preserve">Acude la sociedad accionante en procura de la protección de su derecho al debido proceso, por la inconformidad que le causa que el juzgado accionado hubiera rechazado una nulidad por indebida notificación que invocó en la ejecución que trajo a colación. </w:t>
      </w:r>
    </w:p>
    <w:p w14:paraId="31B87C88" w14:textId="77777777" w:rsidR="008D52E9" w:rsidRPr="008D52E9" w:rsidRDefault="008D52E9" w:rsidP="008D52E9">
      <w:pPr>
        <w:jc w:val="both"/>
        <w:rPr>
          <w:rFonts w:ascii="Arial" w:hAnsi="Arial" w:cs="Arial"/>
          <w:lang w:val="es-419"/>
        </w:rPr>
      </w:pPr>
    </w:p>
    <w:p w14:paraId="486D9861" w14:textId="44E7C287" w:rsidR="0082503C" w:rsidRPr="00E32969" w:rsidRDefault="008D52E9" w:rsidP="008D52E9">
      <w:pPr>
        <w:jc w:val="both"/>
        <w:rPr>
          <w:rFonts w:ascii="Arial" w:hAnsi="Arial" w:cs="Arial"/>
          <w:lang w:val="es-419"/>
        </w:rPr>
      </w:pPr>
      <w:r w:rsidRPr="008D52E9">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00E039B7" w:rsidRPr="00E039B7">
        <w:rPr>
          <w:rFonts w:ascii="Arial" w:hAnsi="Arial" w:cs="Arial"/>
          <w:lang w:val="es-419"/>
        </w:rPr>
        <w:t xml:space="preserve"> en múltiples ocasiones</w:t>
      </w:r>
      <w:r>
        <w:rPr>
          <w:rFonts w:ascii="Arial" w:hAnsi="Arial" w:cs="Arial"/>
          <w:lang w:val="es-419"/>
        </w:rPr>
        <w:t>…</w:t>
      </w:r>
    </w:p>
    <w:p w14:paraId="2F7B8C51" w14:textId="77777777" w:rsidR="0082503C" w:rsidRPr="00E32969" w:rsidRDefault="0082503C" w:rsidP="0082503C">
      <w:pPr>
        <w:jc w:val="both"/>
        <w:rPr>
          <w:rFonts w:ascii="Arial" w:hAnsi="Arial" w:cs="Arial"/>
          <w:lang w:val="es-419"/>
        </w:rPr>
      </w:pPr>
    </w:p>
    <w:p w14:paraId="31C2D96A" w14:textId="235CD6D3" w:rsidR="0082503C" w:rsidRDefault="00140F76" w:rsidP="0082503C">
      <w:pPr>
        <w:jc w:val="both"/>
        <w:rPr>
          <w:rFonts w:ascii="Arial" w:hAnsi="Arial" w:cs="Arial"/>
          <w:lang w:val="es-419"/>
        </w:rPr>
      </w:pPr>
      <w:r>
        <w:rPr>
          <w:rFonts w:ascii="Arial" w:hAnsi="Arial" w:cs="Arial"/>
          <w:lang w:val="es-419"/>
        </w:rPr>
        <w:t xml:space="preserve">… </w:t>
      </w:r>
      <w:r w:rsidRPr="00140F76">
        <w:rPr>
          <w:rFonts w:ascii="Arial" w:hAnsi="Arial" w:cs="Arial"/>
          <w:lang w:val="es-419"/>
        </w:rPr>
        <w:t>respecto de las pretensiones tendientes a derruir el auto mediante el cual se declaró terminado el proceso ejecutivo por pago total de la obligación, se incumple el requisito de la inmediatez, porque esa decisión fue notificada el 12 de marzo de 2021, y esta demanda se radicó el 9 de noviembre del mismo año, como se ve, se superó el término de 6 meses que la jurisprudencia ha establecido como razonable para la iniciación del amparo constitucional</w:t>
      </w:r>
      <w:r>
        <w:rPr>
          <w:rFonts w:ascii="Arial" w:hAnsi="Arial" w:cs="Arial"/>
          <w:lang w:val="es-419"/>
        </w:rPr>
        <w:t>…</w:t>
      </w:r>
    </w:p>
    <w:p w14:paraId="1B1B971E" w14:textId="77777777" w:rsidR="0082503C" w:rsidRDefault="0082503C" w:rsidP="0082503C">
      <w:pPr>
        <w:jc w:val="both"/>
        <w:rPr>
          <w:rFonts w:ascii="Arial" w:hAnsi="Arial" w:cs="Arial"/>
          <w:lang w:val="es-419"/>
        </w:rPr>
      </w:pPr>
    </w:p>
    <w:p w14:paraId="77D05E99" w14:textId="6345376F" w:rsidR="00140F76" w:rsidRPr="00140F76" w:rsidRDefault="00140F76" w:rsidP="00140F76">
      <w:pPr>
        <w:jc w:val="both"/>
        <w:rPr>
          <w:rFonts w:ascii="Arial" w:hAnsi="Arial" w:cs="Arial"/>
          <w:lang w:val="es-419"/>
        </w:rPr>
      </w:pPr>
      <w:r w:rsidRPr="00140F76">
        <w:rPr>
          <w:rFonts w:ascii="Arial" w:hAnsi="Arial" w:cs="Arial"/>
          <w:lang w:val="es-419"/>
        </w:rPr>
        <w:t xml:space="preserve">Según lo que acaba de explicarse, es claro que la inmediatez sí se supera en lo que se refiere a las pretensiones orientadas a que se deje sin efecto el auto notificado el 17 de septiembre de 2021, con el cual se rechazó la nulidad por indebida notificación atendiendo lo dispuesto en el inciso 3° del artículo 134 del CGP; no obstante, rápido se ve que, respecto de esa decisión, se incumple el presupuesto de la subsidiariedad. </w:t>
      </w:r>
    </w:p>
    <w:p w14:paraId="0FCA010E" w14:textId="77777777" w:rsidR="00140F76" w:rsidRPr="00140F76" w:rsidRDefault="00140F76" w:rsidP="00140F76">
      <w:pPr>
        <w:jc w:val="both"/>
        <w:rPr>
          <w:rFonts w:ascii="Arial" w:hAnsi="Arial" w:cs="Arial"/>
          <w:lang w:val="es-419"/>
        </w:rPr>
      </w:pPr>
    </w:p>
    <w:p w14:paraId="0C812B0D" w14:textId="34D71748" w:rsidR="0082503C" w:rsidRPr="00E32969" w:rsidRDefault="00140F76" w:rsidP="00140F76">
      <w:pPr>
        <w:jc w:val="both"/>
        <w:rPr>
          <w:rFonts w:ascii="Arial" w:hAnsi="Arial" w:cs="Arial"/>
          <w:lang w:val="es-419"/>
        </w:rPr>
      </w:pPr>
      <w:r w:rsidRPr="00140F76">
        <w:rPr>
          <w:rFonts w:ascii="Arial" w:hAnsi="Arial" w:cs="Arial"/>
          <w:lang w:val="es-419"/>
        </w:rPr>
        <w:t>Basta con remitirse al expediente de la ejecución para descubrir que la ejecutada omitió recurrir esa providencia, a pesar de que, contra ella, procedía el recurso de reposición</w:t>
      </w:r>
      <w:r>
        <w:rPr>
          <w:rFonts w:ascii="Arial" w:hAnsi="Arial" w:cs="Arial"/>
          <w:lang w:val="es-419"/>
        </w:rPr>
        <w:t>…</w:t>
      </w:r>
    </w:p>
    <w:p w14:paraId="525D3A55" w14:textId="77777777" w:rsidR="0082503C" w:rsidRDefault="0082503C" w:rsidP="0082503C">
      <w:pPr>
        <w:jc w:val="both"/>
        <w:rPr>
          <w:rFonts w:ascii="Arial" w:hAnsi="Arial" w:cs="Arial"/>
        </w:rPr>
      </w:pPr>
    </w:p>
    <w:p w14:paraId="5D93B9F3" w14:textId="77777777" w:rsidR="0082503C" w:rsidRDefault="0082503C" w:rsidP="0082503C">
      <w:pPr>
        <w:jc w:val="both"/>
        <w:rPr>
          <w:rFonts w:ascii="Arial" w:hAnsi="Arial" w:cs="Arial"/>
        </w:rPr>
      </w:pPr>
    </w:p>
    <w:p w14:paraId="07518EC6" w14:textId="77777777" w:rsidR="0082503C" w:rsidRDefault="0082503C" w:rsidP="0082503C">
      <w:pPr>
        <w:jc w:val="both"/>
        <w:rPr>
          <w:rFonts w:ascii="Arial" w:hAnsi="Arial" w:cs="Arial"/>
        </w:rPr>
      </w:pPr>
    </w:p>
    <w:bookmarkEnd w:id="0"/>
    <w:p w14:paraId="51C7EC5E" w14:textId="60D12FCC" w:rsidR="00CD73E5" w:rsidRPr="0082503C" w:rsidRDefault="00CD73E5" w:rsidP="0082503C">
      <w:pPr>
        <w:tabs>
          <w:tab w:val="left" w:pos="3108"/>
        </w:tabs>
        <w:spacing w:line="276" w:lineRule="auto"/>
        <w:ind w:firstLine="2835"/>
        <w:jc w:val="both"/>
        <w:rPr>
          <w:rFonts w:ascii="Gadugi" w:hAnsi="Gadugi"/>
          <w:b/>
          <w:color w:val="000000" w:themeColor="text1"/>
          <w:sz w:val="24"/>
          <w:szCs w:val="24"/>
        </w:rPr>
      </w:pPr>
      <w:r w:rsidRPr="0082503C">
        <w:rPr>
          <w:rFonts w:ascii="Gadugi" w:hAnsi="Gadugi"/>
          <w:b/>
          <w:color w:val="000000" w:themeColor="text1"/>
          <w:sz w:val="24"/>
          <w:szCs w:val="24"/>
        </w:rPr>
        <w:t xml:space="preserve">TRIBUNAL SUPERIOR DEL DISTRITO JUDICIAL </w:t>
      </w:r>
    </w:p>
    <w:p w14:paraId="7DC3B892" w14:textId="77777777" w:rsidR="00CD73E5" w:rsidRPr="0082503C" w:rsidRDefault="00CD73E5" w:rsidP="0082503C">
      <w:pPr>
        <w:tabs>
          <w:tab w:val="left" w:pos="3108"/>
        </w:tabs>
        <w:spacing w:line="276" w:lineRule="auto"/>
        <w:ind w:firstLine="2835"/>
        <w:jc w:val="both"/>
        <w:rPr>
          <w:rFonts w:ascii="Gadugi" w:hAnsi="Gadugi"/>
          <w:b/>
          <w:color w:val="000000" w:themeColor="text1"/>
          <w:sz w:val="24"/>
          <w:szCs w:val="24"/>
        </w:rPr>
      </w:pPr>
      <w:r w:rsidRPr="0082503C">
        <w:rPr>
          <w:rFonts w:ascii="Gadugi" w:hAnsi="Gadugi"/>
          <w:b/>
          <w:color w:val="000000" w:themeColor="text1"/>
          <w:sz w:val="24"/>
          <w:szCs w:val="24"/>
        </w:rPr>
        <w:t xml:space="preserve">          SALA DE DECISIÓN CIVIL FAMILIA </w:t>
      </w:r>
    </w:p>
    <w:p w14:paraId="588CC4DB" w14:textId="77777777" w:rsidR="00CD73E5" w:rsidRPr="0082503C" w:rsidRDefault="00CD73E5" w:rsidP="0082503C">
      <w:pPr>
        <w:tabs>
          <w:tab w:val="left" w:pos="3108"/>
        </w:tabs>
        <w:spacing w:line="276" w:lineRule="auto"/>
        <w:ind w:firstLine="2835"/>
        <w:jc w:val="both"/>
        <w:rPr>
          <w:rFonts w:ascii="Gadugi" w:hAnsi="Gadugi"/>
          <w:color w:val="000000" w:themeColor="text1"/>
          <w:sz w:val="24"/>
          <w:szCs w:val="24"/>
        </w:rPr>
      </w:pPr>
    </w:p>
    <w:p w14:paraId="2B68DD4D" w14:textId="77777777" w:rsidR="00496CF1" w:rsidRPr="0082503C" w:rsidRDefault="00496CF1" w:rsidP="0082503C">
      <w:pPr>
        <w:tabs>
          <w:tab w:val="left" w:pos="3108"/>
        </w:tabs>
        <w:spacing w:line="276" w:lineRule="auto"/>
        <w:ind w:firstLine="2835"/>
        <w:jc w:val="both"/>
        <w:rPr>
          <w:rFonts w:ascii="Gadugi" w:hAnsi="Gadugi"/>
          <w:color w:val="000000" w:themeColor="text1"/>
          <w:sz w:val="24"/>
          <w:szCs w:val="24"/>
        </w:rPr>
      </w:pPr>
    </w:p>
    <w:p w14:paraId="70FEA158" w14:textId="77777777" w:rsidR="00CD73E5" w:rsidRPr="0082503C" w:rsidRDefault="00CD73E5" w:rsidP="0082503C">
      <w:pPr>
        <w:tabs>
          <w:tab w:val="left" w:pos="3108"/>
        </w:tabs>
        <w:spacing w:line="276" w:lineRule="auto"/>
        <w:ind w:firstLine="2835"/>
        <w:jc w:val="both"/>
        <w:rPr>
          <w:rFonts w:ascii="Gadugi" w:hAnsi="Gadugi"/>
          <w:color w:val="000000" w:themeColor="text1"/>
          <w:sz w:val="24"/>
          <w:szCs w:val="24"/>
        </w:rPr>
      </w:pPr>
      <w:r w:rsidRPr="0082503C">
        <w:rPr>
          <w:rFonts w:ascii="Gadugi" w:hAnsi="Gadugi"/>
          <w:color w:val="000000" w:themeColor="text1"/>
          <w:sz w:val="24"/>
          <w:szCs w:val="24"/>
        </w:rPr>
        <w:t>Magistrado: Jaime Alberto Saraza Naranjo</w:t>
      </w:r>
    </w:p>
    <w:p w14:paraId="7380AD05" w14:textId="31997941" w:rsidR="00CD73E5" w:rsidRPr="0082503C" w:rsidRDefault="00CD73E5" w:rsidP="0082503C">
      <w:pPr>
        <w:tabs>
          <w:tab w:val="left" w:pos="3108"/>
        </w:tabs>
        <w:spacing w:line="276" w:lineRule="auto"/>
        <w:ind w:firstLine="2835"/>
        <w:jc w:val="both"/>
        <w:rPr>
          <w:rFonts w:ascii="Gadugi" w:hAnsi="Gadugi"/>
          <w:color w:val="000000" w:themeColor="text1"/>
          <w:sz w:val="24"/>
          <w:szCs w:val="24"/>
          <w:lang w:val="es-419"/>
        </w:rPr>
      </w:pPr>
      <w:r w:rsidRPr="0082503C">
        <w:rPr>
          <w:rFonts w:ascii="Gadugi" w:hAnsi="Gadugi"/>
          <w:color w:val="000000" w:themeColor="text1"/>
          <w:sz w:val="24"/>
          <w:szCs w:val="24"/>
        </w:rPr>
        <w:t>Pereira,</w:t>
      </w:r>
      <w:r w:rsidR="00CA67BA" w:rsidRPr="0082503C">
        <w:rPr>
          <w:rFonts w:ascii="Gadugi" w:hAnsi="Gadugi"/>
          <w:color w:val="000000" w:themeColor="text1"/>
          <w:sz w:val="24"/>
          <w:szCs w:val="24"/>
        </w:rPr>
        <w:t xml:space="preserve"> primero de febrero de dos mil veintidós </w:t>
      </w:r>
      <w:r w:rsidR="003F059A" w:rsidRPr="0082503C">
        <w:rPr>
          <w:rFonts w:ascii="Gadugi" w:hAnsi="Gadugi"/>
          <w:color w:val="000000" w:themeColor="text1"/>
          <w:sz w:val="24"/>
          <w:szCs w:val="24"/>
        </w:rPr>
        <w:t xml:space="preserve"> </w:t>
      </w:r>
      <w:r w:rsidR="000649B3" w:rsidRPr="0082503C">
        <w:rPr>
          <w:rFonts w:ascii="Gadugi" w:hAnsi="Gadugi"/>
          <w:color w:val="000000" w:themeColor="text1"/>
          <w:sz w:val="24"/>
          <w:szCs w:val="24"/>
        </w:rPr>
        <w:t xml:space="preserve"> </w:t>
      </w:r>
      <w:r w:rsidR="003F059A" w:rsidRPr="0082503C">
        <w:rPr>
          <w:rFonts w:ascii="Gadugi" w:hAnsi="Gadugi"/>
          <w:color w:val="000000" w:themeColor="text1"/>
          <w:sz w:val="24"/>
          <w:szCs w:val="24"/>
        </w:rPr>
        <w:t xml:space="preserve"> </w:t>
      </w:r>
      <w:r w:rsidR="00E750C2" w:rsidRPr="0082503C">
        <w:rPr>
          <w:rFonts w:ascii="Gadugi" w:hAnsi="Gadugi"/>
          <w:color w:val="000000" w:themeColor="text1"/>
          <w:sz w:val="24"/>
          <w:szCs w:val="24"/>
        </w:rPr>
        <w:t xml:space="preserve"> </w:t>
      </w:r>
      <w:r w:rsidR="008F3B81" w:rsidRPr="0082503C">
        <w:rPr>
          <w:rFonts w:ascii="Gadugi" w:hAnsi="Gadugi"/>
          <w:color w:val="000000" w:themeColor="text1"/>
          <w:sz w:val="24"/>
          <w:szCs w:val="24"/>
        </w:rPr>
        <w:t xml:space="preserve"> </w:t>
      </w:r>
      <w:r w:rsidR="00200310" w:rsidRPr="0082503C">
        <w:rPr>
          <w:rFonts w:ascii="Gadugi" w:hAnsi="Gadugi"/>
          <w:color w:val="000000" w:themeColor="text1"/>
          <w:sz w:val="24"/>
          <w:szCs w:val="24"/>
        </w:rPr>
        <w:t xml:space="preserve"> </w:t>
      </w:r>
      <w:r w:rsidR="00D25BC0" w:rsidRPr="0082503C">
        <w:rPr>
          <w:rFonts w:ascii="Gadugi" w:hAnsi="Gadugi"/>
          <w:color w:val="000000" w:themeColor="text1"/>
          <w:sz w:val="24"/>
          <w:szCs w:val="24"/>
        </w:rPr>
        <w:t xml:space="preserve"> </w:t>
      </w:r>
      <w:r w:rsidR="00E7303F" w:rsidRPr="0082503C">
        <w:rPr>
          <w:rFonts w:ascii="Gadugi" w:hAnsi="Gadugi"/>
          <w:color w:val="000000" w:themeColor="text1"/>
          <w:sz w:val="24"/>
          <w:szCs w:val="24"/>
        </w:rPr>
        <w:t xml:space="preserve"> </w:t>
      </w:r>
      <w:r w:rsidR="00467ED1" w:rsidRPr="0082503C">
        <w:rPr>
          <w:rFonts w:ascii="Gadugi" w:hAnsi="Gadugi"/>
          <w:color w:val="000000" w:themeColor="text1"/>
          <w:sz w:val="24"/>
          <w:szCs w:val="24"/>
        </w:rPr>
        <w:t xml:space="preserve"> </w:t>
      </w:r>
      <w:r w:rsidR="00F93C69" w:rsidRPr="0082503C">
        <w:rPr>
          <w:rFonts w:ascii="Gadugi" w:hAnsi="Gadugi"/>
          <w:color w:val="000000" w:themeColor="text1"/>
          <w:sz w:val="24"/>
          <w:szCs w:val="24"/>
        </w:rPr>
        <w:t xml:space="preserve"> </w:t>
      </w:r>
      <w:r w:rsidR="00D8626E" w:rsidRPr="0082503C">
        <w:rPr>
          <w:rFonts w:ascii="Gadugi" w:hAnsi="Gadugi"/>
          <w:color w:val="000000" w:themeColor="text1"/>
          <w:sz w:val="24"/>
          <w:szCs w:val="24"/>
        </w:rPr>
        <w:t xml:space="preserve"> </w:t>
      </w:r>
      <w:r w:rsidR="002327F3" w:rsidRPr="0082503C">
        <w:rPr>
          <w:rFonts w:ascii="Gadugi" w:hAnsi="Gadugi"/>
          <w:color w:val="000000" w:themeColor="text1"/>
          <w:sz w:val="24"/>
          <w:szCs w:val="24"/>
        </w:rPr>
        <w:t xml:space="preserve"> </w:t>
      </w:r>
      <w:r w:rsidR="00340743" w:rsidRPr="0082503C">
        <w:rPr>
          <w:rFonts w:ascii="Gadugi" w:hAnsi="Gadugi"/>
          <w:color w:val="000000" w:themeColor="text1"/>
          <w:sz w:val="24"/>
          <w:szCs w:val="24"/>
        </w:rPr>
        <w:t xml:space="preserve"> </w:t>
      </w:r>
      <w:r w:rsidRPr="0082503C">
        <w:rPr>
          <w:rFonts w:ascii="Gadugi" w:hAnsi="Gadugi"/>
          <w:color w:val="000000" w:themeColor="text1"/>
          <w:sz w:val="24"/>
          <w:szCs w:val="24"/>
        </w:rPr>
        <w:t xml:space="preserve"> </w:t>
      </w:r>
      <w:r w:rsidR="00C562AD" w:rsidRPr="0082503C">
        <w:rPr>
          <w:rFonts w:ascii="Gadugi" w:hAnsi="Gadugi"/>
          <w:color w:val="000000" w:themeColor="text1"/>
          <w:sz w:val="24"/>
          <w:szCs w:val="24"/>
        </w:rPr>
        <w:t xml:space="preserve"> </w:t>
      </w:r>
      <w:r w:rsidR="005D5FC7" w:rsidRPr="0082503C">
        <w:rPr>
          <w:rFonts w:ascii="Gadugi" w:hAnsi="Gadugi"/>
          <w:color w:val="000000" w:themeColor="text1"/>
          <w:sz w:val="24"/>
          <w:szCs w:val="24"/>
        </w:rPr>
        <w:t xml:space="preserve"> </w:t>
      </w:r>
      <w:r w:rsidR="00DD7802" w:rsidRPr="0082503C">
        <w:rPr>
          <w:rFonts w:ascii="Gadugi" w:hAnsi="Gadugi"/>
          <w:color w:val="000000" w:themeColor="text1"/>
          <w:sz w:val="24"/>
          <w:szCs w:val="24"/>
          <w:lang w:val="es-419"/>
        </w:rPr>
        <w:t xml:space="preserve"> </w:t>
      </w:r>
    </w:p>
    <w:p w14:paraId="2A7A82FE" w14:textId="16AC1254" w:rsidR="00D8626E" w:rsidRPr="0082503C" w:rsidRDefault="00CD73E5" w:rsidP="0082503C">
      <w:pPr>
        <w:tabs>
          <w:tab w:val="left" w:pos="3108"/>
        </w:tabs>
        <w:spacing w:line="276" w:lineRule="auto"/>
        <w:ind w:left="2832" w:firstLine="3"/>
        <w:jc w:val="both"/>
        <w:rPr>
          <w:rFonts w:ascii="Gadugi" w:hAnsi="Gadugi"/>
          <w:color w:val="000000" w:themeColor="text1"/>
          <w:sz w:val="24"/>
          <w:szCs w:val="24"/>
        </w:rPr>
      </w:pPr>
      <w:r w:rsidRPr="0082503C">
        <w:rPr>
          <w:rFonts w:ascii="Gadugi" w:hAnsi="Gadugi"/>
          <w:color w:val="000000" w:themeColor="text1"/>
          <w:sz w:val="24"/>
          <w:szCs w:val="24"/>
        </w:rPr>
        <w:t>Expediente</w:t>
      </w:r>
      <w:r w:rsidR="00E7303F" w:rsidRPr="0082503C">
        <w:rPr>
          <w:rFonts w:ascii="Gadugi" w:hAnsi="Gadugi"/>
          <w:color w:val="000000" w:themeColor="text1"/>
          <w:sz w:val="24"/>
          <w:szCs w:val="24"/>
        </w:rPr>
        <w:t>:</w:t>
      </w:r>
      <w:r w:rsidR="008F3B81" w:rsidRPr="0082503C">
        <w:rPr>
          <w:rFonts w:ascii="Gadugi" w:hAnsi="Gadugi"/>
          <w:color w:val="000000" w:themeColor="text1"/>
          <w:sz w:val="24"/>
          <w:szCs w:val="24"/>
        </w:rPr>
        <w:t xml:space="preserve"> </w:t>
      </w:r>
      <w:r w:rsidR="000649B3" w:rsidRPr="0082503C">
        <w:rPr>
          <w:rFonts w:ascii="Gadugi" w:hAnsi="Gadugi"/>
          <w:color w:val="000000" w:themeColor="text1"/>
          <w:sz w:val="24"/>
          <w:szCs w:val="24"/>
        </w:rPr>
        <w:t>66001310300420210029101</w:t>
      </w:r>
    </w:p>
    <w:p w14:paraId="39000C96" w14:textId="1EB1AAA1" w:rsidR="00CD73E5" w:rsidRPr="0082503C" w:rsidRDefault="00CD73E5" w:rsidP="0082503C">
      <w:pPr>
        <w:tabs>
          <w:tab w:val="left" w:pos="3108"/>
        </w:tabs>
        <w:spacing w:line="276" w:lineRule="auto"/>
        <w:ind w:left="2832" w:firstLine="3"/>
        <w:jc w:val="both"/>
        <w:rPr>
          <w:rFonts w:ascii="Gadugi" w:hAnsi="Gadugi"/>
          <w:color w:val="000000" w:themeColor="text1"/>
          <w:sz w:val="24"/>
          <w:szCs w:val="24"/>
          <w:lang w:val="es-419"/>
        </w:rPr>
      </w:pPr>
      <w:r w:rsidRPr="0082503C">
        <w:rPr>
          <w:rFonts w:ascii="Gadugi" w:hAnsi="Gadugi"/>
          <w:color w:val="000000" w:themeColor="text1"/>
          <w:sz w:val="24"/>
          <w:szCs w:val="24"/>
        </w:rPr>
        <w:t>Acta</w:t>
      </w:r>
      <w:r w:rsidR="00E7303F" w:rsidRPr="0082503C">
        <w:rPr>
          <w:rFonts w:ascii="Gadugi" w:hAnsi="Gadugi"/>
          <w:color w:val="000000" w:themeColor="text1"/>
          <w:sz w:val="24"/>
          <w:szCs w:val="24"/>
        </w:rPr>
        <w:t>:</w:t>
      </w:r>
      <w:r w:rsidR="00CA67BA" w:rsidRPr="0082503C">
        <w:rPr>
          <w:rFonts w:ascii="Gadugi" w:hAnsi="Gadugi"/>
          <w:color w:val="000000" w:themeColor="text1"/>
          <w:sz w:val="24"/>
          <w:szCs w:val="24"/>
        </w:rPr>
        <w:t xml:space="preserve"> 32 del 1° de febrero de 2022</w:t>
      </w:r>
      <w:r w:rsidR="003F059A" w:rsidRPr="0082503C">
        <w:rPr>
          <w:rFonts w:ascii="Gadugi" w:hAnsi="Gadugi"/>
          <w:color w:val="000000" w:themeColor="text1"/>
          <w:sz w:val="24"/>
          <w:szCs w:val="24"/>
        </w:rPr>
        <w:t xml:space="preserve"> </w:t>
      </w:r>
      <w:r w:rsidR="000649B3" w:rsidRPr="0082503C">
        <w:rPr>
          <w:rFonts w:ascii="Gadugi" w:hAnsi="Gadugi"/>
          <w:color w:val="000000" w:themeColor="text1"/>
          <w:sz w:val="24"/>
          <w:szCs w:val="24"/>
        </w:rPr>
        <w:t xml:space="preserve"> </w:t>
      </w:r>
      <w:r w:rsidRPr="0082503C">
        <w:rPr>
          <w:rFonts w:ascii="Gadugi" w:hAnsi="Gadugi"/>
          <w:color w:val="000000" w:themeColor="text1"/>
          <w:sz w:val="24"/>
          <w:szCs w:val="24"/>
        </w:rPr>
        <w:t xml:space="preserve"> </w:t>
      </w:r>
      <w:r w:rsidR="008F3B81" w:rsidRPr="0082503C">
        <w:rPr>
          <w:rFonts w:ascii="Gadugi" w:hAnsi="Gadugi"/>
          <w:color w:val="000000" w:themeColor="text1"/>
          <w:sz w:val="24"/>
          <w:szCs w:val="24"/>
        </w:rPr>
        <w:t xml:space="preserve"> </w:t>
      </w:r>
      <w:r w:rsidR="00200310" w:rsidRPr="0082503C">
        <w:rPr>
          <w:rFonts w:ascii="Gadugi" w:hAnsi="Gadugi"/>
          <w:color w:val="000000" w:themeColor="text1"/>
          <w:sz w:val="24"/>
          <w:szCs w:val="24"/>
        </w:rPr>
        <w:t xml:space="preserve"> </w:t>
      </w:r>
    </w:p>
    <w:p w14:paraId="51EFA6D1" w14:textId="673B2DF0" w:rsidR="00CD73E5" w:rsidRPr="0082503C" w:rsidRDefault="00467ED1" w:rsidP="0082503C">
      <w:pPr>
        <w:tabs>
          <w:tab w:val="left" w:pos="3108"/>
        </w:tabs>
        <w:spacing w:line="276" w:lineRule="auto"/>
        <w:ind w:firstLine="2835"/>
        <w:jc w:val="both"/>
        <w:rPr>
          <w:rFonts w:ascii="Gadugi" w:hAnsi="Gadugi"/>
          <w:color w:val="000000" w:themeColor="text1"/>
          <w:sz w:val="24"/>
          <w:szCs w:val="24"/>
        </w:rPr>
      </w:pPr>
      <w:r w:rsidRPr="0082503C">
        <w:rPr>
          <w:rFonts w:ascii="Gadugi" w:hAnsi="Gadugi"/>
          <w:color w:val="000000" w:themeColor="text1"/>
          <w:sz w:val="24"/>
          <w:szCs w:val="24"/>
        </w:rPr>
        <w:t>Sente</w:t>
      </w:r>
      <w:bookmarkStart w:id="1" w:name="_GoBack"/>
      <w:bookmarkEnd w:id="1"/>
      <w:r w:rsidRPr="0082503C">
        <w:rPr>
          <w:rFonts w:ascii="Gadugi" w:hAnsi="Gadugi"/>
          <w:color w:val="000000" w:themeColor="text1"/>
          <w:sz w:val="24"/>
          <w:szCs w:val="24"/>
        </w:rPr>
        <w:t>ncia</w:t>
      </w:r>
      <w:r w:rsidR="00E7303F" w:rsidRPr="0082503C">
        <w:rPr>
          <w:rFonts w:ascii="Gadugi" w:hAnsi="Gadugi"/>
          <w:color w:val="000000" w:themeColor="text1"/>
          <w:sz w:val="24"/>
          <w:szCs w:val="24"/>
        </w:rPr>
        <w:t>:</w:t>
      </w:r>
      <w:r w:rsidR="00CA67BA" w:rsidRPr="0082503C">
        <w:rPr>
          <w:rFonts w:ascii="Gadugi" w:hAnsi="Gadugi"/>
          <w:color w:val="000000" w:themeColor="text1"/>
          <w:sz w:val="24"/>
          <w:szCs w:val="24"/>
        </w:rPr>
        <w:t xml:space="preserve"> ST2-0023-2022</w:t>
      </w:r>
      <w:r w:rsidR="001C2703" w:rsidRPr="0082503C">
        <w:rPr>
          <w:rFonts w:ascii="Gadugi" w:hAnsi="Gadugi"/>
          <w:color w:val="000000" w:themeColor="text1"/>
          <w:sz w:val="24"/>
          <w:szCs w:val="24"/>
        </w:rPr>
        <w:t xml:space="preserve"> </w:t>
      </w:r>
      <w:r w:rsidR="000649B3" w:rsidRPr="0082503C">
        <w:rPr>
          <w:rFonts w:ascii="Gadugi" w:hAnsi="Gadugi"/>
          <w:color w:val="000000" w:themeColor="text1"/>
          <w:sz w:val="24"/>
          <w:szCs w:val="24"/>
        </w:rPr>
        <w:t xml:space="preserve"> </w:t>
      </w:r>
    </w:p>
    <w:p w14:paraId="71D65F08" w14:textId="77777777" w:rsidR="00467ED1" w:rsidRPr="0082503C" w:rsidRDefault="00467ED1" w:rsidP="0082503C">
      <w:pPr>
        <w:tabs>
          <w:tab w:val="left" w:pos="3108"/>
        </w:tabs>
        <w:spacing w:line="276" w:lineRule="auto"/>
        <w:ind w:firstLine="2835"/>
        <w:jc w:val="both"/>
        <w:rPr>
          <w:rFonts w:ascii="Gadugi" w:hAnsi="Gadugi"/>
          <w:color w:val="000000" w:themeColor="text1"/>
          <w:sz w:val="24"/>
          <w:szCs w:val="24"/>
        </w:rPr>
      </w:pPr>
    </w:p>
    <w:p w14:paraId="71DF6EF9" w14:textId="77777777" w:rsidR="00C562AD" w:rsidRPr="0082503C" w:rsidRDefault="00C562AD" w:rsidP="0082503C">
      <w:pPr>
        <w:tabs>
          <w:tab w:val="left" w:pos="3108"/>
        </w:tabs>
        <w:spacing w:line="276" w:lineRule="auto"/>
        <w:ind w:firstLine="2835"/>
        <w:jc w:val="both"/>
        <w:rPr>
          <w:rFonts w:ascii="Gadugi" w:hAnsi="Gadugi"/>
          <w:color w:val="000000" w:themeColor="text1"/>
          <w:sz w:val="24"/>
          <w:szCs w:val="24"/>
        </w:rPr>
      </w:pPr>
    </w:p>
    <w:p w14:paraId="72CF00E3" w14:textId="5F26566C" w:rsidR="008F3B81" w:rsidRPr="0082503C" w:rsidRDefault="00C562AD" w:rsidP="0082503C">
      <w:pPr>
        <w:tabs>
          <w:tab w:val="left" w:pos="3108"/>
        </w:tabs>
        <w:spacing w:line="276" w:lineRule="auto"/>
        <w:ind w:firstLine="2835"/>
        <w:jc w:val="both"/>
        <w:rPr>
          <w:rFonts w:ascii="Gadugi" w:hAnsi="Gadugi"/>
          <w:b/>
          <w:color w:val="000000" w:themeColor="text1"/>
          <w:sz w:val="24"/>
          <w:szCs w:val="24"/>
        </w:rPr>
      </w:pPr>
      <w:r w:rsidRPr="0082503C">
        <w:rPr>
          <w:rFonts w:ascii="Gadugi" w:hAnsi="Gadugi"/>
          <w:color w:val="000000" w:themeColor="text1"/>
          <w:sz w:val="24"/>
          <w:szCs w:val="24"/>
        </w:rPr>
        <w:t>Decide la Sala la impugnación propuesta por</w:t>
      </w:r>
      <w:r w:rsidR="00D8626E" w:rsidRPr="0082503C">
        <w:rPr>
          <w:rFonts w:ascii="Gadugi" w:hAnsi="Gadugi"/>
          <w:color w:val="000000" w:themeColor="text1"/>
          <w:sz w:val="24"/>
          <w:szCs w:val="24"/>
        </w:rPr>
        <w:t xml:space="preserve"> la parte actora </w:t>
      </w:r>
      <w:r w:rsidR="002327F3" w:rsidRPr="0082503C">
        <w:rPr>
          <w:rFonts w:ascii="Gadugi" w:hAnsi="Gadugi"/>
          <w:color w:val="000000" w:themeColor="text1"/>
          <w:sz w:val="24"/>
          <w:szCs w:val="24"/>
        </w:rPr>
        <w:t xml:space="preserve">contra la </w:t>
      </w:r>
      <w:r w:rsidR="00366C33" w:rsidRPr="0082503C">
        <w:rPr>
          <w:rFonts w:ascii="Gadugi" w:hAnsi="Gadugi"/>
          <w:color w:val="000000" w:themeColor="text1"/>
          <w:sz w:val="24"/>
          <w:szCs w:val="24"/>
        </w:rPr>
        <w:t xml:space="preserve">sentencia del </w:t>
      </w:r>
      <w:r w:rsidR="000649B3" w:rsidRPr="0082503C">
        <w:rPr>
          <w:rFonts w:ascii="Gadugi" w:hAnsi="Gadugi"/>
          <w:color w:val="000000" w:themeColor="text1"/>
          <w:sz w:val="24"/>
          <w:szCs w:val="24"/>
        </w:rPr>
        <w:t>23</w:t>
      </w:r>
      <w:r w:rsidR="00467ED1" w:rsidRPr="0082503C">
        <w:rPr>
          <w:rFonts w:ascii="Gadugi" w:hAnsi="Gadugi"/>
          <w:color w:val="000000" w:themeColor="text1"/>
          <w:sz w:val="24"/>
          <w:szCs w:val="24"/>
        </w:rPr>
        <w:t xml:space="preserve"> de </w:t>
      </w:r>
      <w:r w:rsidR="000649B3" w:rsidRPr="0082503C">
        <w:rPr>
          <w:rFonts w:ascii="Gadugi" w:hAnsi="Gadugi"/>
          <w:color w:val="000000" w:themeColor="text1"/>
          <w:sz w:val="24"/>
          <w:szCs w:val="24"/>
        </w:rPr>
        <w:t>noviembre</w:t>
      </w:r>
      <w:r w:rsidR="008F3B81" w:rsidRPr="0082503C">
        <w:rPr>
          <w:rFonts w:ascii="Gadugi" w:hAnsi="Gadugi"/>
          <w:color w:val="000000" w:themeColor="text1"/>
          <w:sz w:val="24"/>
          <w:szCs w:val="24"/>
        </w:rPr>
        <w:t xml:space="preserve"> </w:t>
      </w:r>
      <w:r w:rsidR="00E7303F" w:rsidRPr="0082503C">
        <w:rPr>
          <w:rFonts w:ascii="Gadugi" w:hAnsi="Gadugi"/>
          <w:color w:val="000000" w:themeColor="text1"/>
          <w:sz w:val="24"/>
          <w:szCs w:val="24"/>
        </w:rPr>
        <w:t>de 2021</w:t>
      </w:r>
      <w:r w:rsidR="000649B3" w:rsidRPr="0082503C">
        <w:rPr>
          <w:rFonts w:ascii="Gadugi" w:hAnsi="Gadugi"/>
          <w:color w:val="000000" w:themeColor="text1"/>
          <w:sz w:val="24"/>
          <w:szCs w:val="24"/>
        </w:rPr>
        <w:t>,</w:t>
      </w:r>
      <w:r w:rsidR="00366C33" w:rsidRPr="0082503C">
        <w:rPr>
          <w:rFonts w:ascii="Gadugi" w:hAnsi="Gadugi"/>
          <w:color w:val="000000" w:themeColor="text1"/>
          <w:sz w:val="24"/>
          <w:szCs w:val="24"/>
        </w:rPr>
        <w:t xml:space="preserve"> proferida por el Juzgado </w:t>
      </w:r>
      <w:r w:rsidR="000649B3" w:rsidRPr="0082503C">
        <w:rPr>
          <w:rFonts w:ascii="Gadugi" w:hAnsi="Gadugi"/>
          <w:color w:val="000000" w:themeColor="text1"/>
          <w:sz w:val="24"/>
          <w:szCs w:val="24"/>
        </w:rPr>
        <w:t>Cuarto</w:t>
      </w:r>
      <w:r w:rsidR="008F3B81" w:rsidRPr="0082503C">
        <w:rPr>
          <w:rFonts w:ascii="Gadugi" w:hAnsi="Gadugi"/>
          <w:color w:val="000000" w:themeColor="text1"/>
          <w:sz w:val="24"/>
          <w:szCs w:val="24"/>
        </w:rPr>
        <w:t xml:space="preserve"> </w:t>
      </w:r>
      <w:r w:rsidR="00E7303F" w:rsidRPr="0082503C">
        <w:rPr>
          <w:rFonts w:ascii="Gadugi" w:hAnsi="Gadugi"/>
          <w:color w:val="000000" w:themeColor="text1"/>
          <w:sz w:val="24"/>
          <w:szCs w:val="24"/>
        </w:rPr>
        <w:t xml:space="preserve">Civil del Circuito </w:t>
      </w:r>
      <w:r w:rsidR="008F3B81" w:rsidRPr="0082503C">
        <w:rPr>
          <w:rFonts w:ascii="Gadugi" w:hAnsi="Gadugi"/>
          <w:color w:val="000000" w:themeColor="text1"/>
          <w:sz w:val="24"/>
          <w:szCs w:val="24"/>
        </w:rPr>
        <w:t>local</w:t>
      </w:r>
      <w:r w:rsidR="00D007C6" w:rsidRPr="0082503C">
        <w:rPr>
          <w:rFonts w:ascii="Gadugi" w:hAnsi="Gadugi"/>
          <w:color w:val="000000" w:themeColor="text1"/>
          <w:sz w:val="24"/>
          <w:szCs w:val="24"/>
        </w:rPr>
        <w:t xml:space="preserve">, en esta acción de tutela </w:t>
      </w:r>
      <w:r w:rsidR="008F3B81" w:rsidRPr="0082503C">
        <w:rPr>
          <w:rFonts w:ascii="Gadugi" w:hAnsi="Gadugi"/>
          <w:color w:val="000000" w:themeColor="text1"/>
          <w:sz w:val="24"/>
          <w:szCs w:val="24"/>
        </w:rPr>
        <w:t>formulada por</w:t>
      </w:r>
      <w:r w:rsidR="000649B3" w:rsidRPr="0082503C">
        <w:rPr>
          <w:rFonts w:ascii="Gadugi" w:hAnsi="Gadugi"/>
          <w:color w:val="000000" w:themeColor="text1"/>
          <w:sz w:val="24"/>
          <w:szCs w:val="24"/>
        </w:rPr>
        <w:t xml:space="preserve"> la sociedad </w:t>
      </w:r>
      <w:r w:rsidR="000649B3" w:rsidRPr="0082503C">
        <w:rPr>
          <w:rFonts w:ascii="Gadugi" w:hAnsi="Gadugi"/>
          <w:b/>
          <w:color w:val="000000" w:themeColor="text1"/>
          <w:sz w:val="24"/>
          <w:szCs w:val="24"/>
        </w:rPr>
        <w:t>Futuro S.A.S.</w:t>
      </w:r>
      <w:r w:rsidR="000649B3" w:rsidRPr="0082503C">
        <w:rPr>
          <w:rFonts w:ascii="Gadugi" w:hAnsi="Gadugi"/>
          <w:color w:val="000000" w:themeColor="text1"/>
          <w:sz w:val="24"/>
          <w:szCs w:val="24"/>
        </w:rPr>
        <w:t>,</w:t>
      </w:r>
      <w:r w:rsidR="00D946BC" w:rsidRPr="0082503C">
        <w:rPr>
          <w:rFonts w:ascii="Gadugi" w:hAnsi="Gadugi"/>
          <w:b/>
          <w:color w:val="000000" w:themeColor="text1"/>
          <w:sz w:val="24"/>
          <w:szCs w:val="24"/>
        </w:rPr>
        <w:t xml:space="preserve"> </w:t>
      </w:r>
      <w:r w:rsidR="008D41EE" w:rsidRPr="0082503C">
        <w:rPr>
          <w:rFonts w:ascii="Gadugi" w:hAnsi="Gadugi"/>
          <w:color w:val="000000" w:themeColor="text1"/>
          <w:sz w:val="24"/>
          <w:szCs w:val="24"/>
        </w:rPr>
        <w:t>frente al</w:t>
      </w:r>
      <w:r w:rsidR="008D41EE" w:rsidRPr="0082503C">
        <w:rPr>
          <w:rFonts w:ascii="Gadugi" w:hAnsi="Gadugi"/>
          <w:b/>
          <w:color w:val="000000" w:themeColor="text1"/>
          <w:sz w:val="24"/>
          <w:szCs w:val="24"/>
        </w:rPr>
        <w:t xml:space="preserve"> </w:t>
      </w:r>
      <w:r w:rsidR="00F93C69" w:rsidRPr="0082503C">
        <w:rPr>
          <w:rFonts w:ascii="Gadugi" w:hAnsi="Gadugi"/>
          <w:b/>
          <w:color w:val="000000" w:themeColor="text1"/>
          <w:sz w:val="24"/>
          <w:szCs w:val="24"/>
        </w:rPr>
        <w:t xml:space="preserve">Juzgado </w:t>
      </w:r>
      <w:r w:rsidR="008F3B81" w:rsidRPr="0082503C">
        <w:rPr>
          <w:rFonts w:ascii="Gadugi" w:hAnsi="Gadugi"/>
          <w:b/>
          <w:color w:val="000000" w:themeColor="text1"/>
          <w:sz w:val="24"/>
          <w:szCs w:val="24"/>
        </w:rPr>
        <w:t>Séptimo</w:t>
      </w:r>
      <w:r w:rsidR="00D946BC" w:rsidRPr="0082503C">
        <w:rPr>
          <w:rFonts w:ascii="Gadugi" w:hAnsi="Gadugi"/>
          <w:b/>
          <w:color w:val="000000" w:themeColor="text1"/>
          <w:sz w:val="24"/>
          <w:szCs w:val="24"/>
        </w:rPr>
        <w:t xml:space="preserve"> Civil Municipal de </w:t>
      </w:r>
      <w:r w:rsidR="00FB7EC4" w:rsidRPr="0082503C">
        <w:rPr>
          <w:rFonts w:ascii="Gadugi" w:hAnsi="Gadugi"/>
          <w:b/>
          <w:color w:val="000000" w:themeColor="text1"/>
          <w:sz w:val="24"/>
          <w:szCs w:val="24"/>
        </w:rPr>
        <w:t>Pereira,</w:t>
      </w:r>
      <w:r w:rsidR="00467ED1" w:rsidRPr="0082503C">
        <w:rPr>
          <w:rFonts w:ascii="Gadugi" w:hAnsi="Gadugi"/>
          <w:b/>
          <w:color w:val="000000" w:themeColor="text1"/>
          <w:sz w:val="24"/>
          <w:szCs w:val="24"/>
        </w:rPr>
        <w:t xml:space="preserve"> </w:t>
      </w:r>
      <w:r w:rsidR="00467ED1" w:rsidRPr="0082503C">
        <w:rPr>
          <w:rFonts w:ascii="Gadugi" w:hAnsi="Gadugi"/>
          <w:color w:val="000000" w:themeColor="text1"/>
          <w:sz w:val="24"/>
          <w:szCs w:val="24"/>
        </w:rPr>
        <w:t>a la que fue vinculad</w:t>
      </w:r>
      <w:r w:rsidR="008F3B81" w:rsidRPr="0082503C">
        <w:rPr>
          <w:rFonts w:ascii="Gadugi" w:hAnsi="Gadugi"/>
          <w:color w:val="000000" w:themeColor="text1"/>
          <w:sz w:val="24"/>
          <w:szCs w:val="24"/>
        </w:rPr>
        <w:t>a</w:t>
      </w:r>
      <w:r w:rsidR="000649B3" w:rsidRPr="0082503C">
        <w:rPr>
          <w:rFonts w:ascii="Gadugi" w:hAnsi="Gadugi"/>
          <w:color w:val="000000" w:themeColor="text1"/>
          <w:sz w:val="24"/>
          <w:szCs w:val="24"/>
        </w:rPr>
        <w:t xml:space="preserve"> </w:t>
      </w:r>
      <w:r w:rsidR="008F3B81" w:rsidRPr="0082503C">
        <w:rPr>
          <w:rFonts w:ascii="Gadugi" w:hAnsi="Gadugi"/>
          <w:color w:val="000000" w:themeColor="text1"/>
          <w:sz w:val="24"/>
          <w:szCs w:val="24"/>
        </w:rPr>
        <w:t xml:space="preserve">la </w:t>
      </w:r>
      <w:bookmarkStart w:id="2" w:name="_Hlk86150479"/>
      <w:r w:rsidR="000649B3" w:rsidRPr="0082503C">
        <w:rPr>
          <w:rFonts w:ascii="Gadugi" w:hAnsi="Gadugi"/>
          <w:color w:val="000000" w:themeColor="text1"/>
          <w:sz w:val="24"/>
          <w:szCs w:val="24"/>
        </w:rPr>
        <w:t>sociedad</w:t>
      </w:r>
      <w:r w:rsidR="008F3B81" w:rsidRPr="0082503C">
        <w:rPr>
          <w:rFonts w:ascii="Gadugi" w:hAnsi="Gadugi"/>
          <w:b/>
          <w:color w:val="000000" w:themeColor="text1"/>
          <w:sz w:val="24"/>
          <w:szCs w:val="24"/>
        </w:rPr>
        <w:t xml:space="preserve"> </w:t>
      </w:r>
      <w:bookmarkEnd w:id="2"/>
      <w:proofErr w:type="spellStart"/>
      <w:r w:rsidR="000649B3" w:rsidRPr="0082503C">
        <w:rPr>
          <w:rFonts w:ascii="Gadugi" w:hAnsi="Gadugi"/>
          <w:b/>
          <w:color w:val="000000" w:themeColor="text1"/>
          <w:sz w:val="24"/>
          <w:szCs w:val="24"/>
        </w:rPr>
        <w:t>Mototransportamos</w:t>
      </w:r>
      <w:proofErr w:type="spellEnd"/>
      <w:r w:rsidR="000649B3" w:rsidRPr="0082503C">
        <w:rPr>
          <w:rFonts w:ascii="Gadugi" w:hAnsi="Gadugi"/>
          <w:b/>
          <w:color w:val="000000" w:themeColor="text1"/>
          <w:sz w:val="24"/>
          <w:szCs w:val="24"/>
        </w:rPr>
        <w:t xml:space="preserve"> S.A.S. </w:t>
      </w:r>
    </w:p>
    <w:p w14:paraId="58505EF8" w14:textId="51540008" w:rsidR="00A0360C" w:rsidRPr="0082503C" w:rsidRDefault="002D708D" w:rsidP="0082503C">
      <w:pPr>
        <w:tabs>
          <w:tab w:val="left" w:pos="2835"/>
        </w:tabs>
        <w:spacing w:line="276" w:lineRule="auto"/>
        <w:rPr>
          <w:rFonts w:ascii="Gadugi" w:hAnsi="Gadugi"/>
          <w:color w:val="000000" w:themeColor="text1"/>
          <w:sz w:val="24"/>
          <w:szCs w:val="24"/>
          <w:lang w:val="es-MX"/>
        </w:rPr>
      </w:pPr>
      <w:r w:rsidRPr="0082503C">
        <w:rPr>
          <w:rFonts w:ascii="Gadugi" w:hAnsi="Gadugi"/>
          <w:color w:val="000000" w:themeColor="text1"/>
          <w:sz w:val="24"/>
          <w:szCs w:val="24"/>
          <w:lang w:val="es-MX"/>
        </w:rPr>
        <w:tab/>
      </w:r>
      <w:r w:rsidRPr="0082503C">
        <w:rPr>
          <w:rFonts w:ascii="Gadugi" w:hAnsi="Gadugi"/>
          <w:color w:val="000000" w:themeColor="text1"/>
          <w:sz w:val="24"/>
          <w:szCs w:val="24"/>
          <w:lang w:val="es-MX"/>
        </w:rPr>
        <w:tab/>
      </w:r>
    </w:p>
    <w:p w14:paraId="1E9224F3" w14:textId="15CB1A9C" w:rsidR="001313B3" w:rsidRPr="0082503C" w:rsidRDefault="0006073D" w:rsidP="0082503C">
      <w:pPr>
        <w:tabs>
          <w:tab w:val="left" w:pos="2835"/>
        </w:tabs>
        <w:spacing w:line="276" w:lineRule="auto"/>
        <w:rPr>
          <w:rFonts w:ascii="Gadugi" w:hAnsi="Gadugi"/>
          <w:color w:val="000000" w:themeColor="text1"/>
          <w:sz w:val="24"/>
          <w:szCs w:val="24"/>
          <w:lang w:val="es-MX"/>
        </w:rPr>
      </w:pPr>
      <w:r w:rsidRPr="0082503C">
        <w:rPr>
          <w:rFonts w:ascii="Gadugi" w:hAnsi="Gadugi"/>
          <w:color w:val="000000" w:themeColor="text1"/>
          <w:sz w:val="24"/>
          <w:szCs w:val="24"/>
          <w:lang w:val="es-MX"/>
        </w:rPr>
        <w:tab/>
      </w:r>
    </w:p>
    <w:p w14:paraId="1E58425D" w14:textId="77777777" w:rsidR="00CD73E5" w:rsidRPr="0082503C" w:rsidRDefault="00CD73E5" w:rsidP="0082503C">
      <w:pPr>
        <w:pStyle w:val="Ttulo4"/>
        <w:tabs>
          <w:tab w:val="left" w:pos="3108"/>
        </w:tabs>
        <w:spacing w:line="276" w:lineRule="auto"/>
        <w:rPr>
          <w:rFonts w:ascii="Gadugi" w:hAnsi="Gadugi"/>
          <w:b/>
          <w:color w:val="000000" w:themeColor="text1"/>
          <w:sz w:val="24"/>
          <w:szCs w:val="24"/>
        </w:rPr>
      </w:pPr>
      <w:r w:rsidRPr="0082503C">
        <w:rPr>
          <w:rFonts w:ascii="Gadugi" w:hAnsi="Gadugi"/>
          <w:b/>
          <w:color w:val="000000" w:themeColor="text1"/>
          <w:sz w:val="24"/>
          <w:szCs w:val="24"/>
        </w:rPr>
        <w:lastRenderedPageBreak/>
        <w:t>ANTECEDENTES</w:t>
      </w:r>
    </w:p>
    <w:p w14:paraId="6F6ECDF4" w14:textId="77777777" w:rsidR="008F3B81" w:rsidRPr="0082503C" w:rsidRDefault="008F3B81" w:rsidP="0082503C">
      <w:pPr>
        <w:tabs>
          <w:tab w:val="left" w:pos="3108"/>
          <w:tab w:val="left" w:pos="7695"/>
        </w:tabs>
        <w:spacing w:line="276" w:lineRule="auto"/>
        <w:ind w:firstLine="2835"/>
        <w:jc w:val="both"/>
        <w:rPr>
          <w:rFonts w:ascii="Gadugi" w:hAnsi="Gadugi" w:cs="Century Gothic"/>
          <w:b/>
          <w:bCs/>
          <w:color w:val="000000" w:themeColor="text1"/>
          <w:sz w:val="24"/>
          <w:szCs w:val="24"/>
        </w:rPr>
      </w:pPr>
    </w:p>
    <w:p w14:paraId="13B30E91" w14:textId="30CD2C35" w:rsidR="008F3B81" w:rsidRPr="0082503C" w:rsidRDefault="008F3B81" w:rsidP="0082503C">
      <w:pPr>
        <w:tabs>
          <w:tab w:val="left" w:pos="3108"/>
          <w:tab w:val="left" w:pos="7695"/>
        </w:tabs>
        <w:spacing w:line="276" w:lineRule="auto"/>
        <w:ind w:firstLine="2835"/>
        <w:jc w:val="both"/>
        <w:rPr>
          <w:rFonts w:ascii="Gadugi" w:hAnsi="Gadugi" w:cs="Century Gothic"/>
          <w:b/>
          <w:bCs/>
          <w:color w:val="000000" w:themeColor="text1"/>
          <w:sz w:val="24"/>
          <w:szCs w:val="24"/>
        </w:rPr>
      </w:pPr>
    </w:p>
    <w:p w14:paraId="4A25C67E" w14:textId="154DA2C3" w:rsidR="000649B3" w:rsidRPr="0082503C" w:rsidRDefault="000649B3" w:rsidP="0082503C">
      <w:pPr>
        <w:tabs>
          <w:tab w:val="left" w:pos="3108"/>
          <w:tab w:val="left" w:pos="7695"/>
        </w:tabs>
        <w:spacing w:line="276" w:lineRule="auto"/>
        <w:ind w:firstLine="2835"/>
        <w:jc w:val="both"/>
        <w:rPr>
          <w:rFonts w:ascii="Gadugi" w:hAnsi="Gadugi" w:cs="Century Gothic"/>
          <w:bCs/>
          <w:color w:val="000000" w:themeColor="text1"/>
          <w:sz w:val="24"/>
          <w:szCs w:val="24"/>
        </w:rPr>
      </w:pPr>
      <w:r w:rsidRPr="0082503C">
        <w:rPr>
          <w:rFonts w:ascii="Gadugi" w:hAnsi="Gadugi" w:cs="Century Gothic"/>
          <w:bCs/>
          <w:color w:val="000000" w:themeColor="text1"/>
          <w:sz w:val="24"/>
          <w:szCs w:val="24"/>
        </w:rPr>
        <w:t xml:space="preserve">Del recuento fáctico se extrae que, ante el juzgado accionado, se tramitó </w:t>
      </w:r>
      <w:r w:rsidR="004D23DE" w:rsidRPr="0082503C">
        <w:rPr>
          <w:rFonts w:ascii="Gadugi" w:hAnsi="Gadugi" w:cs="Century Gothic"/>
          <w:bCs/>
          <w:color w:val="000000" w:themeColor="text1"/>
          <w:sz w:val="24"/>
          <w:szCs w:val="24"/>
        </w:rPr>
        <w:t>la ejecución</w:t>
      </w:r>
      <w:r w:rsidRPr="0082503C">
        <w:rPr>
          <w:rFonts w:ascii="Gadugi" w:hAnsi="Gadugi" w:cs="Century Gothic"/>
          <w:bCs/>
          <w:color w:val="000000" w:themeColor="text1"/>
          <w:sz w:val="24"/>
          <w:szCs w:val="24"/>
        </w:rPr>
        <w:t xml:space="preserve"> con radicado 2019-00538-00, en </w:t>
      </w:r>
      <w:r w:rsidR="004D23DE" w:rsidRPr="0082503C">
        <w:rPr>
          <w:rFonts w:ascii="Gadugi" w:hAnsi="Gadugi" w:cs="Century Gothic"/>
          <w:bCs/>
          <w:color w:val="000000" w:themeColor="text1"/>
          <w:sz w:val="24"/>
          <w:szCs w:val="24"/>
        </w:rPr>
        <w:t>la</w:t>
      </w:r>
      <w:r w:rsidRPr="0082503C">
        <w:rPr>
          <w:rFonts w:ascii="Gadugi" w:hAnsi="Gadugi" w:cs="Century Gothic"/>
          <w:bCs/>
          <w:color w:val="000000" w:themeColor="text1"/>
          <w:sz w:val="24"/>
          <w:szCs w:val="24"/>
        </w:rPr>
        <w:t xml:space="preserve"> cual, el 12 de marzo de 2021, se ordenó la terminación del proceso y la cancelación</w:t>
      </w:r>
      <w:r w:rsidR="004D23DE" w:rsidRPr="0082503C">
        <w:rPr>
          <w:rFonts w:ascii="Gadugi" w:hAnsi="Gadugi" w:cs="Century Gothic"/>
          <w:bCs/>
          <w:color w:val="000000" w:themeColor="text1"/>
          <w:sz w:val="24"/>
          <w:szCs w:val="24"/>
        </w:rPr>
        <w:t xml:space="preserve"> de los títulos judiciales, producto de los descuentos realizados a la parte demandada.</w:t>
      </w:r>
    </w:p>
    <w:p w14:paraId="3C71FFD5" w14:textId="7C706285" w:rsidR="004D23DE" w:rsidRPr="0082503C" w:rsidRDefault="004D23DE" w:rsidP="0082503C">
      <w:pPr>
        <w:tabs>
          <w:tab w:val="left" w:pos="3108"/>
          <w:tab w:val="left" w:pos="7695"/>
        </w:tabs>
        <w:spacing w:line="276" w:lineRule="auto"/>
        <w:ind w:firstLine="2835"/>
        <w:jc w:val="both"/>
        <w:rPr>
          <w:rFonts w:ascii="Gadugi" w:hAnsi="Gadugi" w:cs="Century Gothic"/>
          <w:bCs/>
          <w:color w:val="000000" w:themeColor="text1"/>
          <w:sz w:val="24"/>
          <w:szCs w:val="24"/>
        </w:rPr>
      </w:pPr>
    </w:p>
    <w:p w14:paraId="548DCA54" w14:textId="3F57F824" w:rsidR="004D23DE" w:rsidRPr="0082503C" w:rsidRDefault="004D23DE" w:rsidP="0082503C">
      <w:pPr>
        <w:tabs>
          <w:tab w:val="left" w:pos="3108"/>
          <w:tab w:val="left" w:pos="7695"/>
        </w:tabs>
        <w:spacing w:line="276" w:lineRule="auto"/>
        <w:ind w:firstLine="2835"/>
        <w:jc w:val="both"/>
        <w:rPr>
          <w:rFonts w:ascii="Gadugi" w:hAnsi="Gadugi" w:cs="Century Gothic"/>
          <w:bCs/>
          <w:i/>
          <w:color w:val="000000" w:themeColor="text1"/>
          <w:sz w:val="24"/>
          <w:szCs w:val="24"/>
        </w:rPr>
      </w:pPr>
      <w:r w:rsidRPr="0082503C">
        <w:rPr>
          <w:rFonts w:ascii="Gadugi" w:hAnsi="Gadugi" w:cs="Century Gothic"/>
          <w:bCs/>
          <w:color w:val="000000" w:themeColor="text1"/>
          <w:sz w:val="24"/>
          <w:szCs w:val="24"/>
        </w:rPr>
        <w:t xml:space="preserve">El 21 de abril siguiente, </w:t>
      </w:r>
      <w:r w:rsidR="003A1683" w:rsidRPr="0082503C">
        <w:rPr>
          <w:rFonts w:ascii="Gadugi" w:hAnsi="Gadugi" w:cs="Century Gothic"/>
          <w:bCs/>
          <w:color w:val="000000" w:themeColor="text1"/>
          <w:sz w:val="24"/>
          <w:szCs w:val="24"/>
        </w:rPr>
        <w:t xml:space="preserve">dado que no se tenía conocimiento del proceso, </w:t>
      </w:r>
      <w:r w:rsidRPr="0082503C">
        <w:rPr>
          <w:rFonts w:ascii="Gadugi" w:hAnsi="Gadugi" w:cs="Century Gothic"/>
          <w:bCs/>
          <w:color w:val="000000" w:themeColor="text1"/>
          <w:sz w:val="24"/>
          <w:szCs w:val="24"/>
        </w:rPr>
        <w:t>la ejecutada presentó un escrito otorgando poder a un profesional del derecho para que la representara, el cual no ha sido resuelto.</w:t>
      </w:r>
      <w:r w:rsidR="00192B43" w:rsidRPr="0082503C">
        <w:rPr>
          <w:rFonts w:ascii="Gadugi" w:hAnsi="Gadugi" w:cs="Century Gothic"/>
          <w:bCs/>
          <w:color w:val="000000" w:themeColor="text1"/>
          <w:sz w:val="24"/>
          <w:szCs w:val="24"/>
        </w:rPr>
        <w:t xml:space="preserve"> </w:t>
      </w:r>
      <w:r w:rsidRPr="0082503C">
        <w:rPr>
          <w:rFonts w:ascii="Gadugi" w:hAnsi="Gadugi" w:cs="Century Gothic"/>
          <w:bCs/>
          <w:color w:val="000000" w:themeColor="text1"/>
          <w:sz w:val="24"/>
          <w:szCs w:val="24"/>
        </w:rPr>
        <w:t xml:space="preserve">El 20 de agosto </w:t>
      </w:r>
      <w:r w:rsidR="003A1683" w:rsidRPr="0082503C">
        <w:rPr>
          <w:rFonts w:ascii="Gadugi" w:hAnsi="Gadugi" w:cs="Century Gothic"/>
          <w:bCs/>
          <w:color w:val="000000" w:themeColor="text1"/>
          <w:sz w:val="24"/>
          <w:szCs w:val="24"/>
        </w:rPr>
        <w:t xml:space="preserve">se radicó otro memorial invocando la nulidad del trámite por la indebida notificación del auto admisorio, lo cual fue resuelto desfavorablemente por el juzgado </w:t>
      </w:r>
      <w:r w:rsidR="003A1683" w:rsidRPr="0082503C">
        <w:rPr>
          <w:rFonts w:ascii="Gadugi" w:hAnsi="Gadugi" w:cs="Century Gothic"/>
          <w:bCs/>
          <w:i/>
          <w:color w:val="000000" w:themeColor="text1"/>
          <w:sz w:val="24"/>
          <w:szCs w:val="24"/>
        </w:rPr>
        <w:t>“</w:t>
      </w:r>
      <w:r w:rsidR="003A1683" w:rsidRPr="00387EE6">
        <w:rPr>
          <w:rFonts w:ascii="Gadugi" w:hAnsi="Gadugi" w:cs="Century Gothic"/>
          <w:bCs/>
          <w:i/>
          <w:color w:val="000000" w:themeColor="text1"/>
          <w:sz w:val="22"/>
          <w:szCs w:val="24"/>
        </w:rPr>
        <w:t>(…) con el argumento de que el Proceso fue legalmente terminado, argumentando que dicha causal de nulidad no se alegó oportunamente y sin emitir pronunciamiento alguno con relación a la notificación</w:t>
      </w:r>
      <w:r w:rsidR="003A1683" w:rsidRPr="0082503C">
        <w:rPr>
          <w:rFonts w:ascii="Gadugi" w:hAnsi="Gadugi" w:cs="Century Gothic"/>
          <w:bCs/>
          <w:i/>
          <w:color w:val="000000" w:themeColor="text1"/>
          <w:sz w:val="24"/>
          <w:szCs w:val="24"/>
        </w:rPr>
        <w:t xml:space="preserve">”. </w:t>
      </w:r>
    </w:p>
    <w:p w14:paraId="6C908F08" w14:textId="77777777" w:rsidR="00AC20A1" w:rsidRPr="0082503C" w:rsidRDefault="00AC20A1" w:rsidP="0082503C">
      <w:pPr>
        <w:tabs>
          <w:tab w:val="left" w:pos="3108"/>
          <w:tab w:val="left" w:pos="7695"/>
        </w:tabs>
        <w:spacing w:line="276" w:lineRule="auto"/>
        <w:ind w:firstLine="2835"/>
        <w:jc w:val="both"/>
        <w:rPr>
          <w:rFonts w:ascii="Gadugi" w:hAnsi="Gadugi" w:cs="Century Gothic"/>
          <w:bCs/>
          <w:color w:val="000000" w:themeColor="text1"/>
          <w:sz w:val="24"/>
          <w:szCs w:val="24"/>
        </w:rPr>
      </w:pPr>
    </w:p>
    <w:p w14:paraId="0C028524" w14:textId="782CDFBF" w:rsidR="003A1683" w:rsidRPr="0082503C" w:rsidRDefault="003A1683" w:rsidP="0082503C">
      <w:pPr>
        <w:tabs>
          <w:tab w:val="left" w:pos="3108"/>
          <w:tab w:val="left" w:pos="7695"/>
        </w:tabs>
        <w:spacing w:line="276" w:lineRule="auto"/>
        <w:ind w:firstLine="2835"/>
        <w:jc w:val="both"/>
        <w:rPr>
          <w:rFonts w:ascii="Gadugi" w:hAnsi="Gadugi" w:cs="Century Gothic"/>
          <w:bCs/>
          <w:color w:val="000000" w:themeColor="text1"/>
          <w:sz w:val="24"/>
          <w:szCs w:val="24"/>
        </w:rPr>
      </w:pPr>
      <w:r w:rsidRPr="0082503C">
        <w:rPr>
          <w:rFonts w:ascii="Gadugi" w:hAnsi="Gadugi" w:cs="Century Gothic"/>
          <w:bCs/>
          <w:color w:val="000000" w:themeColor="text1"/>
          <w:sz w:val="24"/>
          <w:szCs w:val="24"/>
        </w:rPr>
        <w:t xml:space="preserve">También reprochó que </w:t>
      </w:r>
      <w:r w:rsidRPr="0082503C">
        <w:rPr>
          <w:rFonts w:ascii="Gadugi" w:hAnsi="Gadugi" w:cs="Century Gothic"/>
          <w:bCs/>
          <w:i/>
          <w:color w:val="000000" w:themeColor="text1"/>
          <w:sz w:val="24"/>
          <w:szCs w:val="24"/>
        </w:rPr>
        <w:t>“</w:t>
      </w:r>
      <w:r w:rsidRPr="00387EE6">
        <w:rPr>
          <w:rFonts w:ascii="Gadugi" w:hAnsi="Gadugi" w:cs="Century Gothic"/>
          <w:bCs/>
          <w:i/>
          <w:color w:val="000000" w:themeColor="text1"/>
          <w:sz w:val="22"/>
          <w:szCs w:val="24"/>
        </w:rPr>
        <w:t>(…) en el récord de actuaciones procesales consultadas en la página de la rama judicial, no aparece por ningún lado la notificación que se le haya hecho a la demandada, o si no fue posible su notificación personal, la de por aviso o el emplazamiento respectivo.”</w:t>
      </w:r>
      <w:r w:rsidRPr="00387EE6">
        <w:rPr>
          <w:rFonts w:ascii="Gadugi" w:hAnsi="Gadugi" w:cs="Century Gothic"/>
          <w:bCs/>
          <w:color w:val="000000" w:themeColor="text1"/>
          <w:sz w:val="22"/>
          <w:szCs w:val="24"/>
        </w:rPr>
        <w:t xml:space="preserve">, y también que </w:t>
      </w:r>
      <w:r w:rsidRPr="00387EE6">
        <w:rPr>
          <w:rFonts w:ascii="Gadugi" w:hAnsi="Gadugi" w:cs="Century Gothic"/>
          <w:bCs/>
          <w:i/>
          <w:color w:val="000000" w:themeColor="text1"/>
          <w:sz w:val="22"/>
          <w:szCs w:val="24"/>
        </w:rPr>
        <w:t>“(…) No ha sido posible conocer el expediente, a pesar de haberse solicitado en el oficio del día 21 de abril del 2021 (…)</w:t>
      </w:r>
      <w:r w:rsidRPr="0082503C">
        <w:rPr>
          <w:rFonts w:ascii="Gadugi" w:hAnsi="Gadugi" w:cs="Century Gothic"/>
          <w:bCs/>
          <w:i/>
          <w:color w:val="000000" w:themeColor="text1"/>
          <w:sz w:val="24"/>
          <w:szCs w:val="24"/>
        </w:rPr>
        <w:t>”.</w:t>
      </w:r>
      <w:r w:rsidRPr="0082503C">
        <w:rPr>
          <w:rFonts w:ascii="Gadugi" w:hAnsi="Gadugi" w:cs="Century Gothic"/>
          <w:bCs/>
          <w:color w:val="000000" w:themeColor="text1"/>
          <w:sz w:val="24"/>
          <w:szCs w:val="24"/>
        </w:rPr>
        <w:t xml:space="preserve"> </w:t>
      </w:r>
    </w:p>
    <w:p w14:paraId="6FF41DA6" w14:textId="03225DE6" w:rsidR="003A1683" w:rsidRPr="0082503C" w:rsidRDefault="003A1683" w:rsidP="0082503C">
      <w:pPr>
        <w:tabs>
          <w:tab w:val="left" w:pos="3108"/>
          <w:tab w:val="left" w:pos="7695"/>
        </w:tabs>
        <w:spacing w:line="276" w:lineRule="auto"/>
        <w:ind w:firstLine="2835"/>
        <w:jc w:val="both"/>
        <w:rPr>
          <w:rFonts w:ascii="Gadugi" w:hAnsi="Gadugi" w:cs="Century Gothic"/>
          <w:bCs/>
          <w:color w:val="000000" w:themeColor="text1"/>
          <w:sz w:val="24"/>
          <w:szCs w:val="24"/>
        </w:rPr>
      </w:pPr>
    </w:p>
    <w:p w14:paraId="5878E5F1" w14:textId="587AEB3E" w:rsidR="003A1683" w:rsidRPr="0082503C" w:rsidRDefault="003A1683" w:rsidP="0082503C">
      <w:pPr>
        <w:tabs>
          <w:tab w:val="left" w:pos="3108"/>
          <w:tab w:val="left" w:pos="7695"/>
        </w:tabs>
        <w:spacing w:line="276" w:lineRule="auto"/>
        <w:ind w:firstLine="2835"/>
        <w:jc w:val="both"/>
        <w:rPr>
          <w:rFonts w:ascii="Gadugi" w:hAnsi="Gadugi" w:cs="Century Gothic"/>
          <w:bCs/>
          <w:color w:val="000000" w:themeColor="text1"/>
          <w:sz w:val="24"/>
          <w:szCs w:val="24"/>
        </w:rPr>
      </w:pPr>
      <w:r w:rsidRPr="0082503C">
        <w:rPr>
          <w:rFonts w:ascii="Gadugi" w:hAnsi="Gadugi" w:cs="Century Gothic"/>
          <w:bCs/>
          <w:color w:val="000000" w:themeColor="text1"/>
          <w:sz w:val="24"/>
          <w:szCs w:val="24"/>
        </w:rPr>
        <w:t xml:space="preserve">Pidió, entonces, ordenarle al despacho </w:t>
      </w:r>
      <w:r w:rsidR="00870B55" w:rsidRPr="0082503C">
        <w:rPr>
          <w:rFonts w:ascii="Gadugi" w:hAnsi="Gadugi" w:cs="Century Gothic"/>
          <w:bCs/>
          <w:color w:val="000000" w:themeColor="text1"/>
          <w:sz w:val="24"/>
          <w:szCs w:val="24"/>
        </w:rPr>
        <w:t xml:space="preserve">(i) </w:t>
      </w:r>
      <w:r w:rsidRPr="0082503C">
        <w:rPr>
          <w:rFonts w:ascii="Gadugi" w:hAnsi="Gadugi" w:cs="Century Gothic"/>
          <w:bCs/>
          <w:color w:val="000000" w:themeColor="text1"/>
          <w:sz w:val="24"/>
          <w:szCs w:val="24"/>
        </w:rPr>
        <w:t xml:space="preserve">invalidar el auto mediante el cual se </w:t>
      </w:r>
      <w:r w:rsidR="00870B55" w:rsidRPr="0082503C">
        <w:rPr>
          <w:rFonts w:ascii="Gadugi" w:hAnsi="Gadugi" w:cs="Century Gothic"/>
          <w:bCs/>
          <w:color w:val="000000" w:themeColor="text1"/>
          <w:sz w:val="24"/>
          <w:szCs w:val="24"/>
        </w:rPr>
        <w:t xml:space="preserve">dio por terminado el proceso, (ii) darle trámite a la notificación del auto admisorio de la demanda, (iii) declarar nulas las actuaciones posteriores, (iv) y continuar con el trámite dándole a la ejecutada la oportunidad de ejercer su defensa. También solicitó ordenarle a la parte ejecutante devolver los dineros que le fueron desembolsados, hasta tanto el juzgado no ordene de nuevo su cancelación. Como medida previa pidió la suspensión de los efectos del auto del 12 de marzo de 2021, en el cual se terminó el proceso, y se dispuso la </w:t>
      </w:r>
      <w:r w:rsidR="00870B55" w:rsidRPr="0082503C">
        <w:rPr>
          <w:rFonts w:ascii="Gadugi" w:hAnsi="Gadugi" w:cs="Century Gothic"/>
          <w:bCs/>
          <w:i/>
          <w:color w:val="000000" w:themeColor="text1"/>
          <w:sz w:val="24"/>
          <w:szCs w:val="24"/>
        </w:rPr>
        <w:t>“</w:t>
      </w:r>
      <w:r w:rsidR="00870B55" w:rsidRPr="00387EE6">
        <w:rPr>
          <w:rFonts w:ascii="Gadugi" w:hAnsi="Gadugi" w:cs="Century Gothic"/>
          <w:bCs/>
          <w:i/>
          <w:color w:val="000000" w:themeColor="text1"/>
          <w:sz w:val="22"/>
          <w:szCs w:val="24"/>
        </w:rPr>
        <w:t>(…) devolución de la suma de $ 21.121.926 a la parte demandante</w:t>
      </w:r>
      <w:r w:rsidR="00870B55" w:rsidRPr="0082503C">
        <w:rPr>
          <w:rFonts w:ascii="Gadugi" w:hAnsi="Gadugi" w:cs="Century Gothic"/>
          <w:bCs/>
          <w:i/>
          <w:color w:val="000000" w:themeColor="text1"/>
          <w:sz w:val="24"/>
          <w:szCs w:val="24"/>
        </w:rPr>
        <w:t>”.</w:t>
      </w:r>
      <w:r w:rsidR="00192B43" w:rsidRPr="0082503C">
        <w:rPr>
          <w:rStyle w:val="Refdenotaalpie"/>
          <w:rFonts w:ascii="Gadugi" w:hAnsi="Gadugi"/>
          <w:bCs/>
          <w:i/>
          <w:color w:val="000000" w:themeColor="text1"/>
          <w:sz w:val="24"/>
          <w:szCs w:val="24"/>
        </w:rPr>
        <w:footnoteReference w:id="1"/>
      </w:r>
      <w:r w:rsidR="00870B55" w:rsidRPr="0082503C">
        <w:rPr>
          <w:rFonts w:ascii="Gadugi" w:hAnsi="Gadugi" w:cs="Century Gothic"/>
          <w:bCs/>
          <w:color w:val="000000" w:themeColor="text1"/>
          <w:sz w:val="24"/>
          <w:szCs w:val="24"/>
        </w:rPr>
        <w:t xml:space="preserve"> </w:t>
      </w:r>
    </w:p>
    <w:p w14:paraId="6371EC05" w14:textId="2478641E" w:rsidR="00870B55" w:rsidRPr="0082503C" w:rsidRDefault="00870B55" w:rsidP="0082503C">
      <w:pPr>
        <w:tabs>
          <w:tab w:val="left" w:pos="3108"/>
          <w:tab w:val="left" w:pos="7695"/>
        </w:tabs>
        <w:spacing w:line="276" w:lineRule="auto"/>
        <w:ind w:firstLine="2835"/>
        <w:jc w:val="both"/>
        <w:rPr>
          <w:rFonts w:ascii="Gadugi" w:hAnsi="Gadugi" w:cs="Century Gothic"/>
          <w:bCs/>
          <w:color w:val="000000" w:themeColor="text1"/>
          <w:sz w:val="24"/>
          <w:szCs w:val="24"/>
        </w:rPr>
      </w:pPr>
    </w:p>
    <w:p w14:paraId="39A5A6BE" w14:textId="7AAF7B0E" w:rsidR="00870B55" w:rsidRPr="0082503C" w:rsidRDefault="00192B43" w:rsidP="0082503C">
      <w:pPr>
        <w:tabs>
          <w:tab w:val="left" w:pos="3108"/>
          <w:tab w:val="left" w:pos="7695"/>
        </w:tabs>
        <w:spacing w:line="276" w:lineRule="auto"/>
        <w:ind w:firstLine="2835"/>
        <w:jc w:val="both"/>
        <w:rPr>
          <w:rFonts w:ascii="Gadugi" w:hAnsi="Gadugi" w:cs="Century Gothic"/>
          <w:bCs/>
          <w:color w:val="000000" w:themeColor="text1"/>
          <w:sz w:val="24"/>
          <w:szCs w:val="24"/>
        </w:rPr>
      </w:pPr>
      <w:r w:rsidRPr="0082503C">
        <w:rPr>
          <w:rFonts w:ascii="Gadugi" w:hAnsi="Gadugi" w:cs="Century Gothic"/>
          <w:bCs/>
          <w:color w:val="000000" w:themeColor="text1"/>
          <w:sz w:val="24"/>
          <w:szCs w:val="24"/>
        </w:rPr>
        <w:t>Luego de una inadmisión</w:t>
      </w:r>
      <w:r w:rsidRPr="0082503C">
        <w:rPr>
          <w:rStyle w:val="Refdenotaalpie"/>
          <w:rFonts w:ascii="Gadugi" w:hAnsi="Gadugi"/>
          <w:bCs/>
          <w:color w:val="000000" w:themeColor="text1"/>
          <w:sz w:val="24"/>
          <w:szCs w:val="24"/>
        </w:rPr>
        <w:footnoteReference w:id="2"/>
      </w:r>
      <w:r w:rsidRPr="0082503C">
        <w:rPr>
          <w:rFonts w:ascii="Gadugi" w:hAnsi="Gadugi" w:cs="Century Gothic"/>
          <w:bCs/>
          <w:color w:val="000000" w:themeColor="text1"/>
          <w:sz w:val="24"/>
          <w:szCs w:val="24"/>
        </w:rPr>
        <w:t>, e</w:t>
      </w:r>
      <w:r w:rsidR="00870B55" w:rsidRPr="0082503C">
        <w:rPr>
          <w:rFonts w:ascii="Gadugi" w:hAnsi="Gadugi" w:cs="Century Gothic"/>
          <w:bCs/>
          <w:color w:val="000000" w:themeColor="text1"/>
          <w:sz w:val="24"/>
          <w:szCs w:val="24"/>
        </w:rPr>
        <w:t>l juzgado dispuso darle trámite a la demanda con auto del 11 de noviembre de 2021</w:t>
      </w:r>
      <w:r w:rsidRPr="0082503C">
        <w:rPr>
          <w:rStyle w:val="Refdenotaalpie"/>
          <w:rFonts w:ascii="Gadugi" w:hAnsi="Gadugi"/>
          <w:bCs/>
          <w:color w:val="000000" w:themeColor="text1"/>
          <w:sz w:val="24"/>
          <w:szCs w:val="24"/>
        </w:rPr>
        <w:footnoteReference w:id="3"/>
      </w:r>
      <w:r w:rsidR="00870B55" w:rsidRPr="0082503C">
        <w:rPr>
          <w:rFonts w:ascii="Gadugi" w:hAnsi="Gadugi" w:cs="Century Gothic"/>
          <w:bCs/>
          <w:color w:val="000000" w:themeColor="text1"/>
          <w:sz w:val="24"/>
          <w:szCs w:val="24"/>
        </w:rPr>
        <w:t>;</w:t>
      </w:r>
      <w:r w:rsidR="00CA06C3" w:rsidRPr="0082503C">
        <w:rPr>
          <w:rFonts w:ascii="Gadugi" w:hAnsi="Gadugi" w:cs="Century Gothic"/>
          <w:bCs/>
          <w:color w:val="000000" w:themeColor="text1"/>
          <w:sz w:val="24"/>
          <w:szCs w:val="24"/>
        </w:rPr>
        <w:t xml:space="preserve"> allí fue vinculada la sociedad </w:t>
      </w:r>
      <w:proofErr w:type="spellStart"/>
      <w:r w:rsidR="00CA06C3" w:rsidRPr="0082503C">
        <w:rPr>
          <w:rFonts w:ascii="Gadugi" w:hAnsi="Gadugi" w:cs="Century Gothic"/>
          <w:bCs/>
          <w:color w:val="000000" w:themeColor="text1"/>
          <w:sz w:val="24"/>
          <w:szCs w:val="24"/>
        </w:rPr>
        <w:t>Mototransportamos</w:t>
      </w:r>
      <w:proofErr w:type="spellEnd"/>
      <w:r w:rsidR="00CA06C3" w:rsidRPr="0082503C">
        <w:rPr>
          <w:rFonts w:ascii="Gadugi" w:hAnsi="Gadugi" w:cs="Century Gothic"/>
          <w:bCs/>
          <w:color w:val="000000" w:themeColor="text1"/>
          <w:sz w:val="24"/>
          <w:szCs w:val="24"/>
        </w:rPr>
        <w:t xml:space="preserve"> S.A.S., se ordenó la inspección judicial de la ejecución cuestionada, y se negó la cautela deprecada por incumplirse los presupuestos del artículo 7º del Decreto 2591 de 1991.</w:t>
      </w:r>
    </w:p>
    <w:p w14:paraId="58D5A37E" w14:textId="16EE026D" w:rsidR="00CA06C3" w:rsidRPr="0082503C" w:rsidRDefault="00CA06C3" w:rsidP="0082503C">
      <w:pPr>
        <w:tabs>
          <w:tab w:val="left" w:pos="3108"/>
          <w:tab w:val="left" w:pos="7695"/>
        </w:tabs>
        <w:spacing w:line="276" w:lineRule="auto"/>
        <w:ind w:firstLine="2835"/>
        <w:jc w:val="both"/>
        <w:rPr>
          <w:rFonts w:ascii="Gadugi" w:hAnsi="Gadugi" w:cs="Century Gothic"/>
          <w:bCs/>
          <w:color w:val="000000" w:themeColor="text1"/>
          <w:sz w:val="24"/>
          <w:szCs w:val="24"/>
        </w:rPr>
      </w:pPr>
    </w:p>
    <w:p w14:paraId="6D428D6B" w14:textId="374D6EF3" w:rsidR="00A61D5C" w:rsidRPr="0082503C" w:rsidRDefault="00CA06C3" w:rsidP="0082503C">
      <w:pPr>
        <w:tabs>
          <w:tab w:val="left" w:pos="3108"/>
          <w:tab w:val="left" w:pos="7695"/>
        </w:tabs>
        <w:spacing w:line="276" w:lineRule="auto"/>
        <w:ind w:firstLine="2835"/>
        <w:jc w:val="both"/>
        <w:rPr>
          <w:rFonts w:ascii="Gadugi" w:hAnsi="Gadugi" w:cs="Century Gothic"/>
          <w:bCs/>
          <w:color w:val="000000" w:themeColor="text1"/>
          <w:sz w:val="24"/>
          <w:szCs w:val="24"/>
        </w:rPr>
      </w:pPr>
      <w:r w:rsidRPr="0082503C">
        <w:rPr>
          <w:rFonts w:ascii="Gadugi" w:hAnsi="Gadugi" w:cs="Century Gothic"/>
          <w:bCs/>
          <w:color w:val="000000" w:themeColor="text1"/>
          <w:sz w:val="24"/>
          <w:szCs w:val="24"/>
        </w:rPr>
        <w:lastRenderedPageBreak/>
        <w:t xml:space="preserve">Quien se presentó como apoderada judicial de la sociedad </w:t>
      </w:r>
      <w:proofErr w:type="spellStart"/>
      <w:r w:rsidRPr="0082503C">
        <w:rPr>
          <w:rFonts w:ascii="Gadugi" w:hAnsi="Gadugi" w:cs="Century Gothic"/>
          <w:bCs/>
          <w:color w:val="000000" w:themeColor="text1"/>
          <w:sz w:val="24"/>
          <w:szCs w:val="24"/>
        </w:rPr>
        <w:t>Mototransportamos</w:t>
      </w:r>
      <w:proofErr w:type="spellEnd"/>
      <w:r w:rsidRPr="0082503C">
        <w:rPr>
          <w:rFonts w:ascii="Gadugi" w:hAnsi="Gadugi" w:cs="Century Gothic"/>
          <w:bCs/>
          <w:color w:val="000000" w:themeColor="text1"/>
          <w:sz w:val="24"/>
          <w:szCs w:val="24"/>
        </w:rPr>
        <w:t xml:space="preserve"> S.A.S. en la ejecución de marras, allegó un escrito a este expediente, que no será tenido en cu</w:t>
      </w:r>
      <w:r w:rsidR="00D43E7C" w:rsidRPr="0082503C">
        <w:rPr>
          <w:rFonts w:ascii="Gadugi" w:hAnsi="Gadugi" w:cs="Century Gothic"/>
          <w:bCs/>
          <w:color w:val="000000" w:themeColor="text1"/>
          <w:sz w:val="24"/>
          <w:szCs w:val="24"/>
        </w:rPr>
        <w:t>e</w:t>
      </w:r>
      <w:r w:rsidRPr="0082503C">
        <w:rPr>
          <w:rFonts w:ascii="Gadugi" w:hAnsi="Gadugi" w:cs="Century Gothic"/>
          <w:bCs/>
          <w:color w:val="000000" w:themeColor="text1"/>
          <w:sz w:val="24"/>
          <w:szCs w:val="24"/>
        </w:rPr>
        <w:t xml:space="preserve">nta, </w:t>
      </w:r>
      <w:r w:rsidR="00192B43" w:rsidRPr="0082503C">
        <w:rPr>
          <w:rFonts w:ascii="Gadugi" w:hAnsi="Gadugi" w:cs="Century Gothic"/>
          <w:bCs/>
          <w:color w:val="000000" w:themeColor="text1"/>
          <w:sz w:val="24"/>
          <w:szCs w:val="24"/>
        </w:rPr>
        <w:t>pues</w:t>
      </w:r>
      <w:r w:rsidRPr="0082503C">
        <w:rPr>
          <w:rFonts w:ascii="Gadugi" w:hAnsi="Gadugi" w:cs="Century Gothic"/>
          <w:bCs/>
          <w:color w:val="000000" w:themeColor="text1"/>
          <w:sz w:val="24"/>
          <w:szCs w:val="24"/>
        </w:rPr>
        <w:t xml:space="preserve"> no </w:t>
      </w:r>
      <w:r w:rsidR="00192B43" w:rsidRPr="0082503C">
        <w:rPr>
          <w:rFonts w:ascii="Gadugi" w:hAnsi="Gadugi" w:cs="Century Gothic"/>
          <w:bCs/>
          <w:color w:val="000000" w:themeColor="text1"/>
          <w:sz w:val="24"/>
          <w:szCs w:val="24"/>
        </w:rPr>
        <w:t xml:space="preserve">se </w:t>
      </w:r>
      <w:r w:rsidRPr="0082503C">
        <w:rPr>
          <w:rFonts w:ascii="Gadugi" w:hAnsi="Gadugi" w:cs="Century Gothic"/>
          <w:bCs/>
          <w:color w:val="000000" w:themeColor="text1"/>
          <w:sz w:val="24"/>
          <w:szCs w:val="24"/>
        </w:rPr>
        <w:t xml:space="preserve">aportó el poder especial para representar a esa sociedad en este </w:t>
      </w:r>
      <w:r w:rsidR="00A61D5C" w:rsidRPr="0082503C">
        <w:rPr>
          <w:rFonts w:ascii="Gadugi" w:hAnsi="Gadugi" w:cs="Century Gothic"/>
          <w:bCs/>
          <w:color w:val="000000" w:themeColor="text1"/>
          <w:sz w:val="24"/>
          <w:szCs w:val="24"/>
        </w:rPr>
        <w:t>trámite constitucional.</w:t>
      </w:r>
      <w:r w:rsidR="00192B43" w:rsidRPr="0082503C">
        <w:rPr>
          <w:rStyle w:val="Refdenotaalpie"/>
          <w:rFonts w:ascii="Gadugi" w:hAnsi="Gadugi"/>
          <w:bCs/>
          <w:color w:val="000000" w:themeColor="text1"/>
          <w:sz w:val="24"/>
          <w:szCs w:val="24"/>
        </w:rPr>
        <w:footnoteReference w:id="4"/>
      </w:r>
      <w:r w:rsidR="00A61D5C" w:rsidRPr="0082503C">
        <w:rPr>
          <w:rFonts w:ascii="Gadugi" w:hAnsi="Gadugi" w:cs="Century Gothic"/>
          <w:bCs/>
          <w:color w:val="000000" w:themeColor="text1"/>
          <w:sz w:val="24"/>
          <w:szCs w:val="24"/>
        </w:rPr>
        <w:t xml:space="preserve"> </w:t>
      </w:r>
    </w:p>
    <w:p w14:paraId="629C2107" w14:textId="77777777" w:rsidR="00A61D5C" w:rsidRPr="0082503C" w:rsidRDefault="00A61D5C" w:rsidP="0082503C">
      <w:pPr>
        <w:tabs>
          <w:tab w:val="left" w:pos="3108"/>
          <w:tab w:val="left" w:pos="7695"/>
        </w:tabs>
        <w:spacing w:line="276" w:lineRule="auto"/>
        <w:ind w:firstLine="2835"/>
        <w:jc w:val="both"/>
        <w:rPr>
          <w:rFonts w:ascii="Gadugi" w:hAnsi="Gadugi" w:cs="Century Gothic"/>
          <w:bCs/>
          <w:color w:val="000000" w:themeColor="text1"/>
          <w:sz w:val="24"/>
          <w:szCs w:val="24"/>
        </w:rPr>
      </w:pPr>
    </w:p>
    <w:p w14:paraId="1A069929" w14:textId="3C5759BC" w:rsidR="005B3A46" w:rsidRPr="0082503C" w:rsidRDefault="00A61D5C" w:rsidP="0082503C">
      <w:pPr>
        <w:tabs>
          <w:tab w:val="left" w:pos="3108"/>
          <w:tab w:val="left" w:pos="7695"/>
        </w:tabs>
        <w:spacing w:line="276" w:lineRule="auto"/>
        <w:ind w:firstLine="2835"/>
        <w:jc w:val="both"/>
        <w:rPr>
          <w:rFonts w:ascii="Gadugi" w:hAnsi="Gadugi" w:cs="Century Gothic"/>
          <w:bCs/>
          <w:color w:val="000000" w:themeColor="text1"/>
          <w:sz w:val="24"/>
          <w:szCs w:val="24"/>
        </w:rPr>
      </w:pPr>
      <w:r w:rsidRPr="0082503C">
        <w:rPr>
          <w:rFonts w:ascii="Gadugi" w:hAnsi="Gadugi" w:cs="Century Gothic"/>
          <w:bCs/>
          <w:color w:val="000000" w:themeColor="text1"/>
          <w:sz w:val="24"/>
          <w:szCs w:val="24"/>
        </w:rPr>
        <w:t xml:space="preserve">Sobrevino la sentencia de primer grado que, estimó procedente la demanda, pero negó la protección, dado que </w:t>
      </w:r>
      <w:r w:rsidR="00192B43" w:rsidRPr="0082503C">
        <w:rPr>
          <w:rFonts w:ascii="Gadugi" w:hAnsi="Gadugi" w:cs="Century Gothic"/>
          <w:bCs/>
          <w:color w:val="000000" w:themeColor="text1"/>
          <w:sz w:val="24"/>
          <w:szCs w:val="24"/>
        </w:rPr>
        <w:t>consideró</w:t>
      </w:r>
      <w:r w:rsidRPr="0082503C">
        <w:rPr>
          <w:rFonts w:ascii="Gadugi" w:hAnsi="Gadugi" w:cs="Century Gothic"/>
          <w:bCs/>
          <w:color w:val="000000" w:themeColor="text1"/>
          <w:sz w:val="24"/>
          <w:szCs w:val="24"/>
        </w:rPr>
        <w:t xml:space="preserve"> razonable la decisión del juzgado accionado; sobre ello explicó que:</w:t>
      </w:r>
    </w:p>
    <w:p w14:paraId="4DDBA1A2" w14:textId="7DD497FE" w:rsidR="00A61D5C" w:rsidRPr="0082503C" w:rsidRDefault="00A61D5C" w:rsidP="0082503C">
      <w:pPr>
        <w:tabs>
          <w:tab w:val="left" w:pos="3108"/>
          <w:tab w:val="left" w:pos="7695"/>
        </w:tabs>
        <w:spacing w:line="276" w:lineRule="auto"/>
        <w:ind w:firstLine="2835"/>
        <w:jc w:val="both"/>
        <w:rPr>
          <w:rFonts w:ascii="Gadugi" w:hAnsi="Gadugi" w:cs="Arial"/>
          <w:color w:val="000000" w:themeColor="text1"/>
          <w:sz w:val="24"/>
          <w:szCs w:val="24"/>
        </w:rPr>
      </w:pPr>
    </w:p>
    <w:p w14:paraId="7538A086" w14:textId="21BFB5A8" w:rsidR="00A61D5C" w:rsidRPr="00387EE6" w:rsidRDefault="00A61D5C" w:rsidP="00387EE6">
      <w:pPr>
        <w:tabs>
          <w:tab w:val="left" w:pos="3108"/>
        </w:tabs>
        <w:ind w:left="426" w:right="420" w:firstLine="2268"/>
        <w:jc w:val="both"/>
        <w:rPr>
          <w:rFonts w:ascii="Gadugi" w:hAnsi="Gadugi" w:cs="Arial"/>
          <w:color w:val="000000" w:themeColor="text1"/>
          <w:sz w:val="22"/>
          <w:szCs w:val="24"/>
        </w:rPr>
      </w:pPr>
      <w:r w:rsidRPr="00387EE6">
        <w:rPr>
          <w:rFonts w:ascii="Gadugi" w:hAnsi="Gadugi" w:cs="Arial"/>
          <w:color w:val="000000" w:themeColor="text1"/>
          <w:sz w:val="22"/>
          <w:szCs w:val="24"/>
        </w:rPr>
        <w:t xml:space="preserve">Como bien puede verse, la accionante, demandada dentro del proceso ejecutivo, fue debidamente citada para la notificación del auto admisorio de la demanda, dado que recibió la misma por intermedio del señor Jhon Mena, quien se identificó con la cédula de ciudadanía número 1.088.755.533, y posteriormente, la notificación por aviso la cual se negó a recibir según lo informado por la empresa de correos, información que no fue desvirtuada dentro del expediente pretendiendo ahora utilizar como medio de defensa la acción de tutela que aquí se adelanta. </w:t>
      </w:r>
    </w:p>
    <w:p w14:paraId="52A8A5C7" w14:textId="77777777" w:rsidR="00A61D5C" w:rsidRPr="00387EE6" w:rsidRDefault="00A61D5C" w:rsidP="00387EE6">
      <w:pPr>
        <w:tabs>
          <w:tab w:val="left" w:pos="3108"/>
        </w:tabs>
        <w:ind w:left="426" w:right="420" w:firstLine="2268"/>
        <w:jc w:val="both"/>
        <w:rPr>
          <w:rFonts w:ascii="Gadugi" w:hAnsi="Gadugi" w:cs="Arial"/>
          <w:color w:val="000000" w:themeColor="text1"/>
          <w:sz w:val="22"/>
          <w:szCs w:val="24"/>
        </w:rPr>
      </w:pPr>
    </w:p>
    <w:p w14:paraId="5FD7EACD" w14:textId="7E1A6194" w:rsidR="00A61D5C" w:rsidRPr="00387EE6" w:rsidRDefault="00A61D5C" w:rsidP="00387EE6">
      <w:pPr>
        <w:tabs>
          <w:tab w:val="left" w:pos="3108"/>
        </w:tabs>
        <w:ind w:left="426" w:right="420" w:firstLine="2268"/>
        <w:jc w:val="both"/>
        <w:rPr>
          <w:rFonts w:ascii="Gadugi" w:hAnsi="Gadugi" w:cs="Arial"/>
          <w:color w:val="000000" w:themeColor="text1"/>
          <w:sz w:val="22"/>
          <w:szCs w:val="24"/>
        </w:rPr>
      </w:pPr>
      <w:r w:rsidRPr="00387EE6">
        <w:rPr>
          <w:rFonts w:ascii="Gadugi" w:hAnsi="Gadugi" w:cs="Arial"/>
          <w:color w:val="000000" w:themeColor="text1"/>
          <w:sz w:val="22"/>
          <w:szCs w:val="24"/>
        </w:rPr>
        <w:t>Tampoco puede insistir la accionante en que desconocía el trámite del proceso ejecutivo, pues de los correos aportados por la empresa vinculada resulta evidente que ésta sí tenía conocimiento de ello y por eso vía electrónica se comunicó en varias oportunidades con la empresa demandante para tratar de llegar a un acuerdo sobre lo adeudado.</w:t>
      </w:r>
      <w:r w:rsidR="00192B43" w:rsidRPr="00387EE6">
        <w:rPr>
          <w:rStyle w:val="Refdenotaalpie"/>
          <w:rFonts w:ascii="Gadugi" w:hAnsi="Gadugi"/>
          <w:color w:val="000000" w:themeColor="text1"/>
          <w:sz w:val="22"/>
          <w:szCs w:val="24"/>
        </w:rPr>
        <w:footnoteReference w:id="5"/>
      </w:r>
    </w:p>
    <w:p w14:paraId="14A5A946" w14:textId="77777777" w:rsidR="00A61D5C" w:rsidRPr="0082503C" w:rsidRDefault="00A61D5C" w:rsidP="0082503C">
      <w:pPr>
        <w:tabs>
          <w:tab w:val="left" w:pos="2835"/>
        </w:tabs>
        <w:spacing w:line="276" w:lineRule="auto"/>
        <w:jc w:val="both"/>
        <w:rPr>
          <w:rFonts w:ascii="Gadugi" w:hAnsi="Gadugi" w:cs="Arial"/>
          <w:color w:val="000000" w:themeColor="text1"/>
          <w:sz w:val="24"/>
          <w:szCs w:val="24"/>
        </w:rPr>
      </w:pPr>
    </w:p>
    <w:p w14:paraId="1BA0F4C9" w14:textId="5931B106" w:rsidR="006967CA" w:rsidRPr="0082503C" w:rsidRDefault="008A2799" w:rsidP="0082503C">
      <w:pPr>
        <w:tabs>
          <w:tab w:val="left" w:pos="2835"/>
        </w:tabs>
        <w:spacing w:line="276" w:lineRule="auto"/>
        <w:jc w:val="both"/>
        <w:rPr>
          <w:rFonts w:ascii="Gadugi" w:hAnsi="Gadugi" w:cs="Arial"/>
          <w:color w:val="000000" w:themeColor="text1"/>
          <w:sz w:val="24"/>
          <w:szCs w:val="24"/>
        </w:rPr>
      </w:pPr>
      <w:r w:rsidRPr="0082503C">
        <w:rPr>
          <w:rFonts w:ascii="Gadugi" w:hAnsi="Gadugi" w:cs="Arial"/>
          <w:color w:val="000000" w:themeColor="text1"/>
          <w:sz w:val="24"/>
          <w:szCs w:val="24"/>
        </w:rPr>
        <w:tab/>
        <w:t>Impugnó la parte actora</w:t>
      </w:r>
      <w:r w:rsidR="005C43B2" w:rsidRPr="0082503C">
        <w:rPr>
          <w:rFonts w:ascii="Gadugi" w:hAnsi="Gadugi" w:cs="Arial"/>
          <w:color w:val="000000" w:themeColor="text1"/>
          <w:sz w:val="24"/>
          <w:szCs w:val="24"/>
        </w:rPr>
        <w:t xml:space="preserve"> </w:t>
      </w:r>
      <w:r w:rsidR="006967CA" w:rsidRPr="0082503C">
        <w:rPr>
          <w:rFonts w:ascii="Gadugi" w:hAnsi="Gadugi" w:cs="Arial"/>
          <w:color w:val="000000" w:themeColor="text1"/>
          <w:sz w:val="24"/>
          <w:szCs w:val="24"/>
        </w:rPr>
        <w:t>para insistir en que fue indebidamente notificada del auto mediante el cual se libró mandamiento de pago en ese proceso ejecutivo.</w:t>
      </w:r>
      <w:r w:rsidR="00AA09D4" w:rsidRPr="0082503C">
        <w:rPr>
          <w:rStyle w:val="Refdenotaalpie"/>
          <w:rFonts w:ascii="Gadugi" w:hAnsi="Gadugi"/>
          <w:color w:val="000000" w:themeColor="text1"/>
          <w:sz w:val="24"/>
          <w:szCs w:val="24"/>
        </w:rPr>
        <w:footnoteReference w:id="6"/>
      </w:r>
      <w:r w:rsidR="006967CA" w:rsidRPr="0082503C">
        <w:rPr>
          <w:rFonts w:ascii="Gadugi" w:hAnsi="Gadugi" w:cs="Arial"/>
          <w:color w:val="000000" w:themeColor="text1"/>
          <w:sz w:val="24"/>
          <w:szCs w:val="24"/>
        </w:rPr>
        <w:t xml:space="preserve"> </w:t>
      </w:r>
    </w:p>
    <w:p w14:paraId="751C74C1" w14:textId="77777777" w:rsidR="008D41EE" w:rsidRPr="0082503C" w:rsidRDefault="008D41EE" w:rsidP="0082503C">
      <w:pPr>
        <w:tabs>
          <w:tab w:val="left" w:pos="3108"/>
        </w:tabs>
        <w:spacing w:line="276" w:lineRule="auto"/>
        <w:ind w:firstLine="2835"/>
        <w:jc w:val="both"/>
        <w:rPr>
          <w:rFonts w:ascii="Gadugi" w:hAnsi="Gadugi" w:cs="Arial"/>
          <w:b/>
          <w:color w:val="000000" w:themeColor="text1"/>
          <w:sz w:val="24"/>
          <w:szCs w:val="24"/>
        </w:rPr>
      </w:pPr>
    </w:p>
    <w:p w14:paraId="34597989" w14:textId="77777777" w:rsidR="008D41EE" w:rsidRPr="0082503C" w:rsidRDefault="008D41EE" w:rsidP="0082503C">
      <w:pPr>
        <w:tabs>
          <w:tab w:val="left" w:pos="3108"/>
        </w:tabs>
        <w:spacing w:line="276" w:lineRule="auto"/>
        <w:ind w:firstLine="2835"/>
        <w:jc w:val="both"/>
        <w:rPr>
          <w:rFonts w:ascii="Gadugi" w:hAnsi="Gadugi" w:cs="Arial"/>
          <w:b/>
          <w:color w:val="000000" w:themeColor="text1"/>
          <w:sz w:val="24"/>
          <w:szCs w:val="24"/>
        </w:rPr>
      </w:pPr>
    </w:p>
    <w:p w14:paraId="3E084F27" w14:textId="5FB8170F" w:rsidR="00CD73E5" w:rsidRPr="0082503C" w:rsidRDefault="00CD73E5" w:rsidP="0082503C">
      <w:pPr>
        <w:tabs>
          <w:tab w:val="left" w:pos="3108"/>
        </w:tabs>
        <w:spacing w:line="276" w:lineRule="auto"/>
        <w:ind w:firstLine="2835"/>
        <w:jc w:val="both"/>
        <w:rPr>
          <w:rFonts w:ascii="Gadugi" w:hAnsi="Gadugi" w:cs="Arial"/>
          <w:b/>
          <w:color w:val="000000" w:themeColor="text1"/>
          <w:sz w:val="24"/>
          <w:szCs w:val="24"/>
        </w:rPr>
      </w:pPr>
      <w:r w:rsidRPr="0082503C">
        <w:rPr>
          <w:rFonts w:ascii="Gadugi" w:hAnsi="Gadugi" w:cs="Arial"/>
          <w:b/>
          <w:color w:val="000000" w:themeColor="text1"/>
          <w:sz w:val="24"/>
          <w:szCs w:val="24"/>
        </w:rPr>
        <w:t>CONSIDERACIONES</w:t>
      </w:r>
    </w:p>
    <w:p w14:paraId="5FD16B4D" w14:textId="77777777" w:rsidR="00CD73E5" w:rsidRPr="0082503C" w:rsidRDefault="00CD73E5" w:rsidP="0082503C">
      <w:pPr>
        <w:tabs>
          <w:tab w:val="left" w:pos="3108"/>
        </w:tabs>
        <w:spacing w:line="276" w:lineRule="auto"/>
        <w:ind w:firstLine="2835"/>
        <w:jc w:val="both"/>
        <w:rPr>
          <w:rFonts w:ascii="Gadugi" w:hAnsi="Gadugi" w:cs="Arial"/>
          <w:color w:val="000000" w:themeColor="text1"/>
          <w:sz w:val="24"/>
          <w:szCs w:val="24"/>
          <w:u w:val="single"/>
        </w:rPr>
      </w:pPr>
    </w:p>
    <w:p w14:paraId="64659FF8" w14:textId="77777777" w:rsidR="00AC20A1" w:rsidRPr="0082503C" w:rsidRDefault="00AC20A1" w:rsidP="0082503C">
      <w:pPr>
        <w:pStyle w:val="Textoindependiente21"/>
        <w:tabs>
          <w:tab w:val="left" w:pos="3108"/>
        </w:tabs>
        <w:spacing w:line="276" w:lineRule="auto"/>
        <w:rPr>
          <w:rFonts w:ascii="Gadugi" w:hAnsi="Gadugi"/>
          <w:color w:val="000000" w:themeColor="text1"/>
          <w:szCs w:val="24"/>
        </w:rPr>
      </w:pPr>
    </w:p>
    <w:p w14:paraId="3E681443" w14:textId="43C47FBF" w:rsidR="00CD73E5" w:rsidRPr="0082503C" w:rsidRDefault="009E0FD8" w:rsidP="0082503C">
      <w:pPr>
        <w:pStyle w:val="Textoindependiente21"/>
        <w:tabs>
          <w:tab w:val="left" w:pos="3108"/>
        </w:tabs>
        <w:spacing w:line="276" w:lineRule="auto"/>
        <w:rPr>
          <w:rFonts w:ascii="Gadugi" w:hAnsi="Gadugi"/>
          <w:color w:val="000000" w:themeColor="text1"/>
          <w:szCs w:val="24"/>
        </w:rPr>
      </w:pPr>
      <w:r w:rsidRPr="0082503C">
        <w:rPr>
          <w:rFonts w:ascii="Gadugi" w:hAnsi="Gadugi"/>
          <w:color w:val="000000" w:themeColor="text1"/>
          <w:szCs w:val="24"/>
        </w:rPr>
        <w:t>L</w:t>
      </w:r>
      <w:r w:rsidR="00F66464" w:rsidRPr="0082503C">
        <w:rPr>
          <w:rFonts w:ascii="Gadugi" w:hAnsi="Gadugi"/>
          <w:color w:val="000000" w:themeColor="text1"/>
          <w:szCs w:val="24"/>
        </w:rPr>
        <w:t>a acción de</w:t>
      </w:r>
      <w:r w:rsidR="00CD73E5" w:rsidRPr="0082503C">
        <w:rPr>
          <w:rFonts w:ascii="Gadugi" w:hAnsi="Gadugi"/>
          <w:color w:val="000000" w:themeColor="text1"/>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39DE15AC" w14:textId="77777777" w:rsidR="00CD73E5" w:rsidRPr="0082503C" w:rsidRDefault="00CD73E5" w:rsidP="0082503C">
      <w:pPr>
        <w:tabs>
          <w:tab w:val="left" w:pos="2835"/>
        </w:tabs>
        <w:spacing w:line="276" w:lineRule="auto"/>
        <w:ind w:firstLine="2835"/>
        <w:jc w:val="both"/>
        <w:rPr>
          <w:rFonts w:ascii="Gadugi" w:hAnsi="Gadugi"/>
          <w:color w:val="000000" w:themeColor="text1"/>
          <w:sz w:val="24"/>
          <w:szCs w:val="24"/>
        </w:rPr>
      </w:pPr>
      <w:r w:rsidRPr="0082503C">
        <w:rPr>
          <w:rFonts w:ascii="Gadugi" w:hAnsi="Gadugi"/>
          <w:color w:val="000000" w:themeColor="text1"/>
          <w:sz w:val="24"/>
          <w:szCs w:val="24"/>
        </w:rPr>
        <w:t xml:space="preserve">  </w:t>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p>
    <w:p w14:paraId="7F5A5DB1" w14:textId="4AECC4B9" w:rsidR="005F0CDC" w:rsidRPr="0082503C" w:rsidRDefault="009022F5" w:rsidP="0082503C">
      <w:pPr>
        <w:tabs>
          <w:tab w:val="left" w:pos="3108"/>
        </w:tabs>
        <w:spacing w:line="276" w:lineRule="auto"/>
        <w:ind w:firstLine="2835"/>
        <w:jc w:val="both"/>
        <w:rPr>
          <w:rFonts w:ascii="Gadugi" w:hAnsi="Gadugi" w:cs="Arial"/>
          <w:color w:val="000000" w:themeColor="text1"/>
          <w:sz w:val="24"/>
          <w:szCs w:val="24"/>
        </w:rPr>
      </w:pPr>
      <w:r w:rsidRPr="0082503C">
        <w:rPr>
          <w:rFonts w:ascii="Gadugi" w:hAnsi="Gadugi"/>
          <w:color w:val="000000" w:themeColor="text1"/>
          <w:sz w:val="24"/>
          <w:szCs w:val="24"/>
        </w:rPr>
        <w:t xml:space="preserve">Acude </w:t>
      </w:r>
      <w:r w:rsidR="005F0CDC" w:rsidRPr="0082503C">
        <w:rPr>
          <w:rFonts w:ascii="Gadugi" w:hAnsi="Gadugi"/>
          <w:color w:val="000000" w:themeColor="text1"/>
          <w:sz w:val="24"/>
          <w:szCs w:val="24"/>
        </w:rPr>
        <w:t>la sociedad</w:t>
      </w:r>
      <w:r w:rsidRPr="0082503C">
        <w:rPr>
          <w:rFonts w:ascii="Gadugi" w:hAnsi="Gadugi"/>
          <w:color w:val="000000" w:themeColor="text1"/>
          <w:sz w:val="24"/>
          <w:szCs w:val="24"/>
        </w:rPr>
        <w:t xml:space="preserve"> accionante</w:t>
      </w:r>
      <w:r w:rsidR="00CD73E5" w:rsidRPr="0082503C">
        <w:rPr>
          <w:rFonts w:ascii="Gadugi" w:hAnsi="Gadugi"/>
          <w:color w:val="000000" w:themeColor="text1"/>
          <w:sz w:val="24"/>
          <w:szCs w:val="24"/>
        </w:rPr>
        <w:t xml:space="preserve"> </w:t>
      </w:r>
      <w:r w:rsidR="00CD73E5" w:rsidRPr="0082503C">
        <w:rPr>
          <w:rFonts w:ascii="Gadugi" w:hAnsi="Gadugi" w:cs="Arial"/>
          <w:color w:val="000000" w:themeColor="text1"/>
          <w:sz w:val="24"/>
          <w:szCs w:val="24"/>
        </w:rPr>
        <w:t>en procura de la protección de</w:t>
      </w:r>
      <w:r w:rsidR="00D97D5E" w:rsidRPr="0082503C">
        <w:rPr>
          <w:rFonts w:ascii="Gadugi" w:hAnsi="Gadugi" w:cs="Arial"/>
          <w:color w:val="000000" w:themeColor="text1"/>
          <w:sz w:val="24"/>
          <w:szCs w:val="24"/>
        </w:rPr>
        <w:t xml:space="preserve"> </w:t>
      </w:r>
      <w:r w:rsidR="00642E81" w:rsidRPr="0082503C">
        <w:rPr>
          <w:rFonts w:ascii="Gadugi" w:hAnsi="Gadugi" w:cs="Arial"/>
          <w:color w:val="000000" w:themeColor="text1"/>
          <w:sz w:val="24"/>
          <w:szCs w:val="24"/>
        </w:rPr>
        <w:t>su derecho al debido proceso</w:t>
      </w:r>
      <w:r w:rsidR="00036916" w:rsidRPr="0082503C">
        <w:rPr>
          <w:rFonts w:ascii="Gadugi" w:hAnsi="Gadugi" w:cs="Arial"/>
          <w:color w:val="000000" w:themeColor="text1"/>
          <w:sz w:val="24"/>
          <w:szCs w:val="24"/>
        </w:rPr>
        <w:t>,</w:t>
      </w:r>
      <w:r w:rsidR="00A0360C" w:rsidRPr="0082503C">
        <w:rPr>
          <w:rFonts w:ascii="Gadugi" w:hAnsi="Gadugi" w:cs="Arial"/>
          <w:color w:val="000000" w:themeColor="text1"/>
          <w:sz w:val="24"/>
          <w:szCs w:val="24"/>
        </w:rPr>
        <w:t xml:space="preserve"> </w:t>
      </w:r>
      <w:r w:rsidR="00E460C4" w:rsidRPr="0082503C">
        <w:rPr>
          <w:rFonts w:ascii="Gadugi" w:hAnsi="Gadugi" w:cs="Arial"/>
          <w:color w:val="000000" w:themeColor="text1"/>
          <w:sz w:val="24"/>
          <w:szCs w:val="24"/>
        </w:rPr>
        <w:t>por la inconformidad que le causa</w:t>
      </w:r>
      <w:r w:rsidR="005C43B2" w:rsidRPr="0082503C">
        <w:rPr>
          <w:rFonts w:ascii="Gadugi" w:hAnsi="Gadugi" w:cs="Arial"/>
          <w:color w:val="000000" w:themeColor="text1"/>
          <w:sz w:val="24"/>
          <w:szCs w:val="24"/>
        </w:rPr>
        <w:t xml:space="preserve"> que el juzgado accionado </w:t>
      </w:r>
      <w:r w:rsidR="005F0CDC" w:rsidRPr="0082503C">
        <w:rPr>
          <w:rFonts w:ascii="Gadugi" w:hAnsi="Gadugi" w:cs="Arial"/>
          <w:color w:val="000000" w:themeColor="text1"/>
          <w:sz w:val="24"/>
          <w:szCs w:val="24"/>
        </w:rPr>
        <w:t xml:space="preserve">hubiera rechazado una nulidad por indebida notificación que invocó en la ejecución que trajo a colación. </w:t>
      </w:r>
    </w:p>
    <w:p w14:paraId="6E7B7EDB" w14:textId="6F806982" w:rsidR="00BF5A0B" w:rsidRPr="0082503C" w:rsidRDefault="00BF5A0B" w:rsidP="0082503C">
      <w:pPr>
        <w:spacing w:line="276" w:lineRule="auto"/>
        <w:jc w:val="both"/>
        <w:rPr>
          <w:rFonts w:ascii="Gadugi" w:hAnsi="Gadugi"/>
          <w:color w:val="000000" w:themeColor="text1"/>
          <w:sz w:val="24"/>
          <w:szCs w:val="24"/>
        </w:rPr>
      </w:pPr>
    </w:p>
    <w:p w14:paraId="12BE7F90" w14:textId="5716C076" w:rsidR="00BF5A0B" w:rsidRPr="0082503C" w:rsidRDefault="00BF5A0B" w:rsidP="0082503C">
      <w:pPr>
        <w:spacing w:line="276" w:lineRule="auto"/>
        <w:jc w:val="both"/>
        <w:rPr>
          <w:rFonts w:ascii="Gadugi" w:hAnsi="Gadugi"/>
          <w:color w:val="000000" w:themeColor="text1"/>
          <w:sz w:val="24"/>
          <w:szCs w:val="24"/>
        </w:rPr>
      </w:pPr>
      <w:r w:rsidRPr="0082503C">
        <w:rPr>
          <w:rFonts w:ascii="Gadugi" w:hAnsi="Gadugi"/>
          <w:color w:val="000000" w:themeColor="text1"/>
          <w:sz w:val="24"/>
          <w:szCs w:val="24"/>
        </w:rPr>
        <w:t xml:space="preserve">  </w:t>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t>R</w:t>
      </w:r>
      <w:r w:rsidRPr="0082503C">
        <w:rPr>
          <w:rFonts w:ascii="Gadugi" w:hAnsi="Gadugi" w:cs="Arial"/>
          <w:color w:val="000000" w:themeColor="text1"/>
          <w:sz w:val="24"/>
          <w:szCs w:val="24"/>
        </w:rPr>
        <w:t xml:space="preserve">eiteradamente se ha expuesto que </w:t>
      </w:r>
      <w:r w:rsidRPr="0082503C">
        <w:rPr>
          <w:rFonts w:ascii="Gadugi" w:hAnsi="Gadugi"/>
          <w:color w:val="000000" w:themeColor="text1"/>
          <w:sz w:val="24"/>
          <w:szCs w:val="24"/>
        </w:rPr>
        <w:t>a pesar de la inexequibilidad de las normas que en el Decreto 2591 de 1991 preveían la acción de tutela contra providencias judiciales</w:t>
      </w:r>
      <w:r w:rsidRPr="0082503C">
        <w:rPr>
          <w:rStyle w:val="Refdenotaalpie"/>
          <w:rFonts w:ascii="Gadugi" w:hAnsi="Gadugi"/>
          <w:color w:val="000000" w:themeColor="text1"/>
          <w:sz w:val="24"/>
          <w:szCs w:val="24"/>
        </w:rPr>
        <w:footnoteReference w:id="7"/>
      </w:r>
      <w:r w:rsidRPr="0082503C">
        <w:rPr>
          <w:rFonts w:ascii="Gadugi" w:hAnsi="Gadugi"/>
          <w:color w:val="000000" w:themeColor="text1"/>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Pr="0082503C">
        <w:rPr>
          <w:rFonts w:ascii="Gadugi" w:hAnsi="Gadugi" w:cs="Arial"/>
          <w:color w:val="000000" w:themeColor="text1"/>
          <w:sz w:val="24"/>
          <w:szCs w:val="24"/>
        </w:rPr>
        <w:t xml:space="preserve"> en múltiples ocasiones. Sobre ellas, recientemente, en las sentencias SU-222 de 2016, SU573 de 2017 y SU004 de 2018, </w:t>
      </w:r>
      <w:r w:rsidRPr="0082503C">
        <w:rPr>
          <w:rFonts w:ascii="Gadugi" w:hAnsi="Gadugi" w:cs="Arial"/>
          <w:color w:val="000000" w:themeColor="text1"/>
          <w:sz w:val="24"/>
          <w:szCs w:val="24"/>
          <w:lang w:val="es-419"/>
        </w:rPr>
        <w:t xml:space="preserve">reiteradas en las sentencias </w:t>
      </w:r>
      <w:r w:rsidRPr="0082503C">
        <w:rPr>
          <w:rFonts w:ascii="Gadugi" w:hAnsi="Gadugi" w:cs="Arial"/>
          <w:color w:val="000000" w:themeColor="text1"/>
          <w:sz w:val="24"/>
          <w:szCs w:val="24"/>
        </w:rPr>
        <w:t>T-008-20, T-053-20,</w:t>
      </w:r>
      <w:r w:rsidR="00E460C4" w:rsidRPr="0082503C">
        <w:rPr>
          <w:rFonts w:ascii="Gadugi" w:hAnsi="Gadugi" w:cs="Arial"/>
          <w:color w:val="000000" w:themeColor="text1"/>
          <w:sz w:val="24"/>
          <w:szCs w:val="24"/>
        </w:rPr>
        <w:t xml:space="preserve"> T-045-21, T-019</w:t>
      </w:r>
      <w:r w:rsidR="005F33AC" w:rsidRPr="0082503C">
        <w:rPr>
          <w:rFonts w:ascii="Gadugi" w:hAnsi="Gadugi" w:cs="Arial"/>
          <w:color w:val="000000" w:themeColor="text1"/>
          <w:sz w:val="24"/>
          <w:szCs w:val="24"/>
        </w:rPr>
        <w:t>-</w:t>
      </w:r>
      <w:r w:rsidR="00E460C4" w:rsidRPr="0082503C">
        <w:rPr>
          <w:rFonts w:ascii="Gadugi" w:hAnsi="Gadugi" w:cs="Arial"/>
          <w:color w:val="000000" w:themeColor="text1"/>
          <w:sz w:val="24"/>
          <w:szCs w:val="24"/>
        </w:rPr>
        <w:t>21</w:t>
      </w:r>
      <w:r w:rsidR="00CF0E46" w:rsidRPr="0082503C">
        <w:rPr>
          <w:rFonts w:ascii="Gadugi" w:hAnsi="Gadugi" w:cs="Arial"/>
          <w:color w:val="000000" w:themeColor="text1"/>
          <w:sz w:val="24"/>
          <w:szCs w:val="24"/>
        </w:rPr>
        <w:t xml:space="preserve">, </w:t>
      </w:r>
      <w:r w:rsidR="00CF0E46" w:rsidRPr="0082503C">
        <w:rPr>
          <w:rFonts w:ascii="Gadugi" w:hAnsi="Gadugi" w:cs="Arial"/>
          <w:sz w:val="24"/>
          <w:szCs w:val="24"/>
        </w:rPr>
        <w:t xml:space="preserve">y más recientemente en la SU128-21, </w:t>
      </w:r>
      <w:r w:rsidRPr="0082503C">
        <w:rPr>
          <w:rFonts w:ascii="Gadugi" w:hAnsi="Gadugi" w:cs="Arial"/>
          <w:color w:val="000000" w:themeColor="text1"/>
          <w:sz w:val="24"/>
          <w:szCs w:val="24"/>
        </w:rPr>
        <w:t xml:space="preserve">todas aludiendo a la C-590 de 2005, recordó que las primeras obedecen a </w:t>
      </w:r>
      <w:r w:rsidRPr="0082503C">
        <w:rPr>
          <w:rFonts w:ascii="Gadugi" w:hAnsi="Gadugi"/>
          <w:color w:val="000000" w:themeColor="text1"/>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82503C">
        <w:rPr>
          <w:rFonts w:ascii="Gadugi" w:hAnsi="Gadugi"/>
          <w:color w:val="000000" w:themeColor="text1"/>
          <w:sz w:val="24"/>
          <w:szCs w:val="24"/>
        </w:rPr>
        <w:t xml:space="preserve"> </w:t>
      </w:r>
      <w:r w:rsidRPr="0082503C">
        <w:rPr>
          <w:rFonts w:ascii="Gadugi" w:hAnsi="Gadugi" w:cs="Arial"/>
          <w:color w:val="000000" w:themeColor="text1"/>
          <w:sz w:val="24"/>
          <w:szCs w:val="24"/>
        </w:rPr>
        <w:t>Y en cuanto a las segundas, es decir, las causales específicas, se compendian en los defectos</w:t>
      </w:r>
      <w:r w:rsidRPr="0082503C">
        <w:rPr>
          <w:rFonts w:ascii="Gadugi" w:hAnsi="Gadugi"/>
          <w:color w:val="000000" w:themeColor="text1"/>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82503C">
        <w:rPr>
          <w:rFonts w:ascii="Gadugi" w:hAnsi="Gadugi"/>
          <w:color w:val="000000" w:themeColor="text1"/>
          <w:sz w:val="24"/>
          <w:szCs w:val="24"/>
        </w:rPr>
        <w:t xml:space="preserve"> </w:t>
      </w:r>
    </w:p>
    <w:p w14:paraId="5561DDFC" w14:textId="77777777" w:rsidR="005F0CDC" w:rsidRPr="0082503C" w:rsidRDefault="005F0CDC" w:rsidP="0082503C">
      <w:pPr>
        <w:tabs>
          <w:tab w:val="left" w:pos="2835"/>
        </w:tabs>
        <w:spacing w:line="276" w:lineRule="auto"/>
        <w:jc w:val="both"/>
        <w:rPr>
          <w:rFonts w:ascii="Gadugi" w:hAnsi="Gadugi" w:cs="Arial"/>
          <w:color w:val="000000" w:themeColor="text1"/>
          <w:sz w:val="24"/>
          <w:szCs w:val="24"/>
        </w:rPr>
      </w:pPr>
    </w:p>
    <w:p w14:paraId="268DFDD7" w14:textId="69CE8878" w:rsidR="005F0CDC" w:rsidRPr="0082503C" w:rsidRDefault="005F0CDC" w:rsidP="0082503C">
      <w:pPr>
        <w:tabs>
          <w:tab w:val="left" w:pos="2835"/>
        </w:tabs>
        <w:spacing w:line="276" w:lineRule="auto"/>
        <w:jc w:val="both"/>
        <w:rPr>
          <w:rFonts w:ascii="Gadugi" w:hAnsi="Gadugi" w:cs="Arial"/>
          <w:color w:val="000000" w:themeColor="text1"/>
          <w:sz w:val="24"/>
          <w:szCs w:val="24"/>
        </w:rPr>
      </w:pPr>
      <w:r w:rsidRPr="0082503C">
        <w:rPr>
          <w:rFonts w:ascii="Gadugi" w:hAnsi="Gadugi" w:cs="Arial"/>
          <w:color w:val="000000" w:themeColor="text1"/>
          <w:sz w:val="24"/>
          <w:szCs w:val="24"/>
        </w:rPr>
        <w:tab/>
        <w:t xml:space="preserve">En </w:t>
      </w:r>
      <w:r w:rsidR="007F70FC" w:rsidRPr="0082503C">
        <w:rPr>
          <w:rFonts w:ascii="Gadugi" w:hAnsi="Gadugi" w:cs="Arial"/>
          <w:color w:val="000000" w:themeColor="text1"/>
          <w:sz w:val="24"/>
          <w:szCs w:val="24"/>
        </w:rPr>
        <w:t xml:space="preserve">el presente caso, en lo que se refiriere a la procedencia del trámite, </w:t>
      </w:r>
      <w:r w:rsidRPr="0082503C">
        <w:rPr>
          <w:rFonts w:ascii="Gadugi" w:hAnsi="Gadugi" w:cs="Arial"/>
          <w:color w:val="000000" w:themeColor="text1"/>
          <w:sz w:val="24"/>
          <w:szCs w:val="24"/>
        </w:rPr>
        <w:t>se tiene lo siguiente:</w:t>
      </w:r>
    </w:p>
    <w:p w14:paraId="304FED29" w14:textId="77777777" w:rsidR="005F0CDC" w:rsidRPr="0082503C" w:rsidRDefault="005F0CDC" w:rsidP="0082503C">
      <w:pPr>
        <w:tabs>
          <w:tab w:val="left" w:pos="2835"/>
        </w:tabs>
        <w:spacing w:line="276" w:lineRule="auto"/>
        <w:jc w:val="both"/>
        <w:rPr>
          <w:rFonts w:ascii="Gadugi" w:hAnsi="Gadugi" w:cs="Arial"/>
          <w:color w:val="000000" w:themeColor="text1"/>
          <w:sz w:val="24"/>
          <w:szCs w:val="24"/>
        </w:rPr>
      </w:pPr>
    </w:p>
    <w:p w14:paraId="0549FF63" w14:textId="5DEABA69" w:rsidR="005F0CDC" w:rsidRPr="0082503C" w:rsidRDefault="005F0CDC" w:rsidP="0082503C">
      <w:pPr>
        <w:tabs>
          <w:tab w:val="left" w:pos="3108"/>
        </w:tabs>
        <w:spacing w:line="276" w:lineRule="auto"/>
        <w:ind w:firstLine="2835"/>
        <w:jc w:val="both"/>
        <w:rPr>
          <w:rFonts w:ascii="Gadugi" w:hAnsi="Gadugi" w:cs="Arial"/>
          <w:color w:val="000000" w:themeColor="text1"/>
          <w:sz w:val="24"/>
          <w:szCs w:val="24"/>
        </w:rPr>
      </w:pPr>
      <w:r w:rsidRPr="0082503C">
        <w:rPr>
          <w:rFonts w:ascii="Gadugi" w:hAnsi="Gadugi"/>
          <w:color w:val="000000" w:themeColor="text1"/>
          <w:sz w:val="24"/>
          <w:szCs w:val="24"/>
        </w:rPr>
        <w:t>L</w:t>
      </w:r>
      <w:r w:rsidRPr="0082503C">
        <w:rPr>
          <w:rFonts w:ascii="Gadugi" w:hAnsi="Gadugi" w:cs="Arial"/>
          <w:color w:val="000000" w:themeColor="text1"/>
          <w:sz w:val="24"/>
          <w:szCs w:val="24"/>
        </w:rPr>
        <w:t>a legitimación por activa se cumple toda vez que la sociedad accionante,</w:t>
      </w:r>
      <w:r w:rsidR="00290F75" w:rsidRPr="0082503C">
        <w:rPr>
          <w:rFonts w:ascii="Gadugi" w:hAnsi="Gadugi" w:cs="Arial"/>
          <w:color w:val="000000" w:themeColor="text1"/>
          <w:sz w:val="24"/>
          <w:szCs w:val="24"/>
        </w:rPr>
        <w:t xml:space="preserve"> que actúa mediante apoderado judicial debidamente facultado</w:t>
      </w:r>
      <w:r w:rsidR="00290F75" w:rsidRPr="0082503C">
        <w:rPr>
          <w:rStyle w:val="Refdenotaalpie"/>
          <w:rFonts w:ascii="Gadugi" w:hAnsi="Gadugi"/>
          <w:color w:val="000000" w:themeColor="text1"/>
          <w:sz w:val="24"/>
          <w:szCs w:val="24"/>
        </w:rPr>
        <w:footnoteReference w:id="8"/>
      </w:r>
      <w:r w:rsidR="00290F75" w:rsidRPr="0082503C">
        <w:rPr>
          <w:rFonts w:ascii="Gadugi" w:hAnsi="Gadugi" w:cs="Arial"/>
          <w:color w:val="000000" w:themeColor="text1"/>
          <w:sz w:val="24"/>
          <w:szCs w:val="24"/>
        </w:rPr>
        <w:t xml:space="preserve"> por su representante legal</w:t>
      </w:r>
      <w:r w:rsidR="00290F75" w:rsidRPr="0082503C">
        <w:rPr>
          <w:rStyle w:val="Refdenotaalpie"/>
          <w:rFonts w:ascii="Gadugi" w:hAnsi="Gadugi"/>
          <w:color w:val="000000" w:themeColor="text1"/>
          <w:sz w:val="24"/>
          <w:szCs w:val="24"/>
        </w:rPr>
        <w:footnoteReference w:id="9"/>
      </w:r>
      <w:r w:rsidR="00290F75" w:rsidRPr="0082503C">
        <w:rPr>
          <w:rFonts w:ascii="Gadugi" w:hAnsi="Gadugi" w:cs="Arial"/>
          <w:color w:val="000000" w:themeColor="text1"/>
          <w:sz w:val="24"/>
          <w:szCs w:val="24"/>
        </w:rPr>
        <w:t>,</w:t>
      </w:r>
      <w:r w:rsidRPr="0082503C">
        <w:rPr>
          <w:rFonts w:ascii="Gadugi" w:hAnsi="Gadugi" w:cs="Arial"/>
          <w:color w:val="000000" w:themeColor="text1"/>
          <w:sz w:val="24"/>
          <w:szCs w:val="24"/>
        </w:rPr>
        <w:t xml:space="preserve"> es demandada en el proceso ejecutivo de marras; también se cumple por pasiva, ya que en el Juzgado accionado se tramita ese caso. Y</w:t>
      </w:r>
      <w:r w:rsidR="00AA09D4" w:rsidRPr="0082503C">
        <w:rPr>
          <w:rFonts w:ascii="Gadugi" w:hAnsi="Gadugi" w:cs="Arial"/>
          <w:color w:val="000000" w:themeColor="text1"/>
          <w:sz w:val="24"/>
          <w:szCs w:val="24"/>
        </w:rPr>
        <w:t xml:space="preserve"> en calidad de tercero</w:t>
      </w:r>
      <w:r w:rsidRPr="0082503C">
        <w:rPr>
          <w:rFonts w:ascii="Gadugi" w:hAnsi="Gadugi" w:cs="Arial"/>
          <w:color w:val="000000" w:themeColor="text1"/>
          <w:sz w:val="24"/>
          <w:szCs w:val="24"/>
        </w:rPr>
        <w:t xml:space="preserve"> puede comparecer la sociedad </w:t>
      </w:r>
      <w:proofErr w:type="spellStart"/>
      <w:r w:rsidRPr="0082503C">
        <w:rPr>
          <w:rFonts w:ascii="Gadugi" w:hAnsi="Gadugi"/>
          <w:color w:val="000000" w:themeColor="text1"/>
          <w:sz w:val="24"/>
          <w:szCs w:val="24"/>
        </w:rPr>
        <w:t>Mototransportamos</w:t>
      </w:r>
      <w:proofErr w:type="spellEnd"/>
      <w:r w:rsidRPr="0082503C">
        <w:rPr>
          <w:rFonts w:ascii="Gadugi" w:hAnsi="Gadugi"/>
          <w:color w:val="000000" w:themeColor="text1"/>
          <w:sz w:val="24"/>
          <w:szCs w:val="24"/>
        </w:rPr>
        <w:t xml:space="preserve"> S.A.S.</w:t>
      </w:r>
      <w:r w:rsidRPr="0082503C">
        <w:rPr>
          <w:rFonts w:ascii="Gadugi" w:hAnsi="Gadugi" w:cs="Arial"/>
          <w:color w:val="000000" w:themeColor="text1"/>
          <w:sz w:val="24"/>
          <w:szCs w:val="24"/>
        </w:rPr>
        <w:t xml:space="preserve">, pues actúa como ejecutante en el juicio que se cuestiona. </w:t>
      </w:r>
    </w:p>
    <w:p w14:paraId="0F616B8D" w14:textId="77777777" w:rsidR="005F0CDC" w:rsidRPr="0082503C" w:rsidRDefault="005F0CDC" w:rsidP="0082503C">
      <w:pPr>
        <w:spacing w:line="276" w:lineRule="auto"/>
        <w:jc w:val="both"/>
        <w:rPr>
          <w:rFonts w:ascii="Gadugi" w:hAnsi="Gadugi"/>
          <w:color w:val="000000" w:themeColor="text1"/>
          <w:sz w:val="24"/>
          <w:szCs w:val="24"/>
        </w:rPr>
      </w:pPr>
    </w:p>
    <w:p w14:paraId="1FAFAFDC" w14:textId="0E961AAF" w:rsidR="00D3180D" w:rsidRPr="0082503C" w:rsidRDefault="005F0CDC" w:rsidP="0082503C">
      <w:pPr>
        <w:spacing w:line="276" w:lineRule="auto"/>
        <w:jc w:val="both"/>
        <w:rPr>
          <w:rFonts w:ascii="Gadugi" w:hAnsi="Gadugi"/>
          <w:color w:val="000000" w:themeColor="text1"/>
          <w:sz w:val="24"/>
          <w:szCs w:val="24"/>
        </w:rPr>
      </w:pP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t>Advierte la Sala que</w:t>
      </w:r>
      <w:r w:rsidR="007F70FC" w:rsidRPr="0082503C">
        <w:rPr>
          <w:rFonts w:ascii="Gadugi" w:hAnsi="Gadugi"/>
          <w:color w:val="000000" w:themeColor="text1"/>
          <w:sz w:val="24"/>
          <w:szCs w:val="24"/>
        </w:rPr>
        <w:t>, respecto de</w:t>
      </w:r>
      <w:r w:rsidRPr="0082503C">
        <w:rPr>
          <w:rFonts w:ascii="Gadugi" w:hAnsi="Gadugi"/>
          <w:color w:val="000000" w:themeColor="text1"/>
          <w:sz w:val="24"/>
          <w:szCs w:val="24"/>
        </w:rPr>
        <w:t xml:space="preserve"> </w:t>
      </w:r>
      <w:r w:rsidR="007F70FC" w:rsidRPr="0082503C">
        <w:rPr>
          <w:rFonts w:ascii="Gadugi" w:hAnsi="Gadugi"/>
          <w:color w:val="000000" w:themeColor="text1"/>
          <w:sz w:val="24"/>
          <w:szCs w:val="24"/>
        </w:rPr>
        <w:t>las pretensiones tendientes a derruir el auto mediante el cual se declaró terminado el proceso ejecutivo</w:t>
      </w:r>
      <w:r w:rsidR="000909EC" w:rsidRPr="0082503C">
        <w:rPr>
          <w:rFonts w:ascii="Gadugi" w:hAnsi="Gadugi"/>
          <w:color w:val="000000" w:themeColor="text1"/>
          <w:sz w:val="24"/>
          <w:szCs w:val="24"/>
        </w:rPr>
        <w:t xml:space="preserve"> por pago total de la obligación</w:t>
      </w:r>
      <w:r w:rsidR="007F70FC" w:rsidRPr="0082503C">
        <w:rPr>
          <w:rFonts w:ascii="Gadugi" w:hAnsi="Gadugi"/>
          <w:color w:val="000000" w:themeColor="text1"/>
          <w:sz w:val="24"/>
          <w:szCs w:val="24"/>
        </w:rPr>
        <w:t xml:space="preserve">, se incumple el </w:t>
      </w:r>
      <w:r w:rsidR="000909EC" w:rsidRPr="0082503C">
        <w:rPr>
          <w:rFonts w:ascii="Gadugi" w:hAnsi="Gadugi"/>
          <w:color w:val="000000" w:themeColor="text1"/>
          <w:sz w:val="24"/>
          <w:szCs w:val="24"/>
        </w:rPr>
        <w:t>requisito</w:t>
      </w:r>
      <w:r w:rsidR="007F70FC" w:rsidRPr="0082503C">
        <w:rPr>
          <w:rFonts w:ascii="Gadugi" w:hAnsi="Gadugi"/>
          <w:color w:val="000000" w:themeColor="text1"/>
          <w:sz w:val="24"/>
          <w:szCs w:val="24"/>
        </w:rPr>
        <w:t xml:space="preserve"> de la inmediatez, porque esa </w:t>
      </w:r>
      <w:r w:rsidR="007F70FC" w:rsidRPr="0082503C">
        <w:rPr>
          <w:rFonts w:ascii="Gadugi" w:hAnsi="Gadugi"/>
          <w:color w:val="000000" w:themeColor="text1"/>
          <w:sz w:val="24"/>
          <w:szCs w:val="24"/>
        </w:rPr>
        <w:lastRenderedPageBreak/>
        <w:t>decisión fue notificada el 12 de marzo de 2021</w:t>
      </w:r>
      <w:r w:rsidR="00290F75" w:rsidRPr="0082503C">
        <w:rPr>
          <w:rStyle w:val="Refdenotaalpie"/>
          <w:rFonts w:ascii="Gadugi" w:hAnsi="Gadugi"/>
          <w:color w:val="000000" w:themeColor="text1"/>
          <w:sz w:val="24"/>
          <w:szCs w:val="24"/>
        </w:rPr>
        <w:footnoteReference w:id="10"/>
      </w:r>
      <w:r w:rsidR="007F70FC" w:rsidRPr="0082503C">
        <w:rPr>
          <w:rFonts w:ascii="Gadugi" w:hAnsi="Gadugi"/>
          <w:color w:val="000000" w:themeColor="text1"/>
          <w:sz w:val="24"/>
          <w:szCs w:val="24"/>
        </w:rPr>
        <w:t>, y esta demanda se radicó el 9 de noviembre del mismo año</w:t>
      </w:r>
      <w:r w:rsidR="008D2C52" w:rsidRPr="0082503C">
        <w:rPr>
          <w:rStyle w:val="Refdenotaalpie"/>
          <w:rFonts w:ascii="Gadugi" w:hAnsi="Gadugi"/>
          <w:color w:val="000000" w:themeColor="text1"/>
          <w:sz w:val="24"/>
          <w:szCs w:val="24"/>
        </w:rPr>
        <w:footnoteReference w:id="11"/>
      </w:r>
      <w:r w:rsidR="007F70FC" w:rsidRPr="0082503C">
        <w:rPr>
          <w:rFonts w:ascii="Gadugi" w:hAnsi="Gadugi"/>
          <w:color w:val="000000" w:themeColor="text1"/>
          <w:sz w:val="24"/>
          <w:szCs w:val="24"/>
        </w:rPr>
        <w:t>, como se ve, se superó el término de 6 meses que la jurisprudencia ha establecido como razonable para la iniciación del amparo constitucional</w:t>
      </w:r>
      <w:r w:rsidR="008D2C52" w:rsidRPr="0082503C">
        <w:rPr>
          <w:rStyle w:val="Refdenotaalpie"/>
          <w:rFonts w:ascii="Gadugi" w:hAnsi="Gadugi"/>
          <w:color w:val="000000" w:themeColor="text1"/>
          <w:sz w:val="24"/>
          <w:szCs w:val="24"/>
        </w:rPr>
        <w:footnoteReference w:id="12"/>
      </w:r>
      <w:r w:rsidR="008D2C52" w:rsidRPr="0082503C">
        <w:rPr>
          <w:rFonts w:ascii="Gadugi" w:hAnsi="Gadugi"/>
          <w:color w:val="000000" w:themeColor="text1"/>
          <w:sz w:val="24"/>
          <w:szCs w:val="24"/>
        </w:rPr>
        <w:t xml:space="preserve">, sin que se hubiera justificado la tardanza.  </w:t>
      </w:r>
    </w:p>
    <w:p w14:paraId="6AEE51C1" w14:textId="1C8FAFDB" w:rsidR="00B052B7" w:rsidRPr="0082503C" w:rsidRDefault="00B052B7" w:rsidP="0082503C">
      <w:pPr>
        <w:spacing w:line="276" w:lineRule="auto"/>
        <w:jc w:val="both"/>
        <w:rPr>
          <w:rFonts w:ascii="Gadugi" w:hAnsi="Gadugi"/>
          <w:color w:val="000000" w:themeColor="text1"/>
          <w:sz w:val="24"/>
          <w:szCs w:val="24"/>
        </w:rPr>
      </w:pPr>
    </w:p>
    <w:p w14:paraId="23354CBA" w14:textId="478DDD1F" w:rsidR="005F0CDC" w:rsidRPr="0082503C" w:rsidRDefault="00D3180D" w:rsidP="0082503C">
      <w:pPr>
        <w:spacing w:line="276" w:lineRule="auto"/>
        <w:jc w:val="both"/>
        <w:rPr>
          <w:rFonts w:ascii="Gadugi" w:hAnsi="Gadugi"/>
          <w:color w:val="000000" w:themeColor="text1"/>
          <w:sz w:val="24"/>
          <w:szCs w:val="24"/>
        </w:rPr>
      </w:pP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001B5A80" w:rsidRPr="0082503C">
        <w:rPr>
          <w:rFonts w:ascii="Gadugi" w:hAnsi="Gadugi"/>
          <w:color w:val="000000" w:themeColor="text1"/>
          <w:sz w:val="24"/>
          <w:szCs w:val="24"/>
        </w:rPr>
        <w:t>Según lo que acaba de explicarse, es claro que la inmediatez s</w:t>
      </w:r>
      <w:r w:rsidR="006F44D3" w:rsidRPr="0082503C">
        <w:rPr>
          <w:rFonts w:ascii="Gadugi" w:hAnsi="Gadugi"/>
          <w:color w:val="000000" w:themeColor="text1"/>
          <w:sz w:val="24"/>
          <w:szCs w:val="24"/>
        </w:rPr>
        <w:t>í</w:t>
      </w:r>
      <w:r w:rsidRPr="0082503C">
        <w:rPr>
          <w:rFonts w:ascii="Gadugi" w:hAnsi="Gadugi"/>
          <w:color w:val="000000" w:themeColor="text1"/>
          <w:sz w:val="24"/>
          <w:szCs w:val="24"/>
        </w:rPr>
        <w:t xml:space="preserve"> se supera </w:t>
      </w:r>
      <w:r w:rsidR="004A351F" w:rsidRPr="0082503C">
        <w:rPr>
          <w:rFonts w:ascii="Gadugi" w:hAnsi="Gadugi"/>
          <w:color w:val="000000" w:themeColor="text1"/>
          <w:sz w:val="24"/>
          <w:szCs w:val="24"/>
        </w:rPr>
        <w:t xml:space="preserve">en lo que se refiere a </w:t>
      </w:r>
      <w:r w:rsidRPr="0082503C">
        <w:rPr>
          <w:rFonts w:ascii="Gadugi" w:hAnsi="Gadugi"/>
          <w:color w:val="000000" w:themeColor="text1"/>
          <w:sz w:val="24"/>
          <w:szCs w:val="24"/>
        </w:rPr>
        <w:t>l</w:t>
      </w:r>
      <w:r w:rsidR="004A351F" w:rsidRPr="0082503C">
        <w:rPr>
          <w:rFonts w:ascii="Gadugi" w:hAnsi="Gadugi"/>
          <w:color w:val="000000" w:themeColor="text1"/>
          <w:sz w:val="24"/>
          <w:szCs w:val="24"/>
        </w:rPr>
        <w:t>as pretensiones orientadas a que se deje sin efecto el</w:t>
      </w:r>
      <w:r w:rsidRPr="0082503C">
        <w:rPr>
          <w:rFonts w:ascii="Gadugi" w:hAnsi="Gadugi"/>
          <w:color w:val="000000" w:themeColor="text1"/>
          <w:sz w:val="24"/>
          <w:szCs w:val="24"/>
        </w:rPr>
        <w:t xml:space="preserve"> auto notificado el 17 de septiembre de 2021</w:t>
      </w:r>
      <w:r w:rsidR="008D2C52" w:rsidRPr="0082503C">
        <w:rPr>
          <w:rStyle w:val="Refdenotaalpie"/>
          <w:rFonts w:ascii="Gadugi" w:hAnsi="Gadugi"/>
          <w:color w:val="000000" w:themeColor="text1"/>
          <w:sz w:val="24"/>
          <w:szCs w:val="24"/>
        </w:rPr>
        <w:footnoteReference w:id="13"/>
      </w:r>
      <w:r w:rsidRPr="0082503C">
        <w:rPr>
          <w:rFonts w:ascii="Gadugi" w:hAnsi="Gadugi"/>
          <w:color w:val="000000" w:themeColor="text1"/>
          <w:sz w:val="24"/>
          <w:szCs w:val="24"/>
        </w:rPr>
        <w:t xml:space="preserve">, </w:t>
      </w:r>
      <w:r w:rsidR="001B5A80" w:rsidRPr="0082503C">
        <w:rPr>
          <w:rFonts w:ascii="Gadugi" w:hAnsi="Gadugi"/>
          <w:color w:val="000000" w:themeColor="text1"/>
          <w:sz w:val="24"/>
          <w:szCs w:val="24"/>
        </w:rPr>
        <w:t>con el cual se rechazó la nulidad por indebida notificación</w:t>
      </w:r>
      <w:r w:rsidR="000909EC" w:rsidRPr="0082503C">
        <w:rPr>
          <w:rFonts w:ascii="Gadugi" w:hAnsi="Gadugi"/>
          <w:color w:val="000000" w:themeColor="text1"/>
          <w:sz w:val="24"/>
          <w:szCs w:val="24"/>
        </w:rPr>
        <w:t xml:space="preserve"> atendiendo lo dispuesto en el inciso 3° del artículo 134 del CGP</w:t>
      </w:r>
      <w:r w:rsidR="000909EC" w:rsidRPr="0082503C">
        <w:rPr>
          <w:rStyle w:val="Refdenotaalpie"/>
          <w:rFonts w:ascii="Gadugi" w:hAnsi="Gadugi"/>
          <w:color w:val="000000" w:themeColor="text1"/>
          <w:sz w:val="24"/>
          <w:szCs w:val="24"/>
        </w:rPr>
        <w:footnoteReference w:id="14"/>
      </w:r>
      <w:r w:rsidR="000909EC" w:rsidRPr="0082503C">
        <w:rPr>
          <w:rFonts w:ascii="Gadugi" w:hAnsi="Gadugi"/>
          <w:color w:val="000000" w:themeColor="text1"/>
          <w:sz w:val="24"/>
          <w:szCs w:val="24"/>
        </w:rPr>
        <w:t xml:space="preserve">; </w:t>
      </w:r>
      <w:r w:rsidR="004A351F" w:rsidRPr="0082503C">
        <w:rPr>
          <w:rFonts w:ascii="Gadugi" w:hAnsi="Gadugi"/>
          <w:color w:val="000000" w:themeColor="text1"/>
          <w:sz w:val="24"/>
          <w:szCs w:val="24"/>
        </w:rPr>
        <w:t xml:space="preserve">no obstante, rápido </w:t>
      </w:r>
      <w:r w:rsidR="00AA09D4" w:rsidRPr="0082503C">
        <w:rPr>
          <w:rFonts w:ascii="Gadugi" w:hAnsi="Gadugi"/>
          <w:color w:val="000000" w:themeColor="text1"/>
          <w:sz w:val="24"/>
          <w:szCs w:val="24"/>
        </w:rPr>
        <w:t>se ve</w:t>
      </w:r>
      <w:r w:rsidR="004A351F" w:rsidRPr="0082503C">
        <w:rPr>
          <w:rFonts w:ascii="Gadugi" w:hAnsi="Gadugi"/>
          <w:color w:val="000000" w:themeColor="text1"/>
          <w:sz w:val="24"/>
          <w:szCs w:val="24"/>
        </w:rPr>
        <w:t xml:space="preserve"> que, respecto de esa decisión, se incumple el presupuesto de la subsidiari</w:t>
      </w:r>
      <w:r w:rsidR="00032C87" w:rsidRPr="0082503C">
        <w:rPr>
          <w:rFonts w:ascii="Gadugi" w:hAnsi="Gadugi"/>
          <w:color w:val="000000" w:themeColor="text1"/>
          <w:sz w:val="24"/>
          <w:szCs w:val="24"/>
        </w:rPr>
        <w:t>e</w:t>
      </w:r>
      <w:r w:rsidR="004A351F" w:rsidRPr="0082503C">
        <w:rPr>
          <w:rFonts w:ascii="Gadugi" w:hAnsi="Gadugi"/>
          <w:color w:val="000000" w:themeColor="text1"/>
          <w:sz w:val="24"/>
          <w:szCs w:val="24"/>
        </w:rPr>
        <w:t xml:space="preserve">dad. </w:t>
      </w:r>
    </w:p>
    <w:p w14:paraId="2CF5FC32" w14:textId="4C2B0F6F" w:rsidR="004A351F" w:rsidRPr="0082503C" w:rsidRDefault="004A351F" w:rsidP="0082503C">
      <w:pPr>
        <w:spacing w:line="276" w:lineRule="auto"/>
        <w:jc w:val="both"/>
        <w:rPr>
          <w:rFonts w:ascii="Gadugi" w:hAnsi="Gadugi"/>
          <w:color w:val="000000" w:themeColor="text1"/>
          <w:sz w:val="24"/>
          <w:szCs w:val="24"/>
        </w:rPr>
      </w:pPr>
    </w:p>
    <w:p w14:paraId="7E844A3D" w14:textId="7B58731B" w:rsidR="00B052B7" w:rsidRPr="0082503C" w:rsidRDefault="004A351F" w:rsidP="0082503C">
      <w:pPr>
        <w:spacing w:line="276" w:lineRule="auto"/>
        <w:jc w:val="both"/>
        <w:rPr>
          <w:rFonts w:ascii="Gadugi" w:hAnsi="Gadugi"/>
          <w:color w:val="000000" w:themeColor="text1"/>
          <w:sz w:val="24"/>
          <w:szCs w:val="24"/>
        </w:rPr>
      </w:pP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00F73412" w:rsidRPr="0082503C">
        <w:rPr>
          <w:rFonts w:ascii="Gadugi" w:hAnsi="Gadugi"/>
          <w:color w:val="000000" w:themeColor="text1"/>
          <w:sz w:val="24"/>
          <w:szCs w:val="24"/>
        </w:rPr>
        <w:t xml:space="preserve">Basta con remitirse al expediente de la ejecución para descubrir que </w:t>
      </w:r>
      <w:r w:rsidR="00603195" w:rsidRPr="0082503C">
        <w:rPr>
          <w:rFonts w:ascii="Gadugi" w:hAnsi="Gadugi"/>
          <w:color w:val="000000" w:themeColor="text1"/>
          <w:sz w:val="24"/>
          <w:szCs w:val="24"/>
        </w:rPr>
        <w:t>la ejecutada omitió recurrir esa providencia, a pesar de que</w:t>
      </w:r>
      <w:r w:rsidR="00B052B7" w:rsidRPr="0082503C">
        <w:rPr>
          <w:rFonts w:ascii="Gadugi" w:hAnsi="Gadugi"/>
          <w:color w:val="000000" w:themeColor="text1"/>
          <w:sz w:val="24"/>
          <w:szCs w:val="24"/>
        </w:rPr>
        <w:t>, contra ella, procedía el recurso de reposición (Art. 318 CGP), el cual era el mecanismo idóneo para propiciar, ante el juez natural de la ejecución, el debate que aquí se quiere agotar con el juez constitucional de manera principal, pasando por alto la naturaleza eminentemente residual de la acción de tutela (Art. 6, Dec. 2591/91).</w:t>
      </w:r>
    </w:p>
    <w:p w14:paraId="34210B29" w14:textId="77777777" w:rsidR="00B052B7" w:rsidRPr="0082503C" w:rsidRDefault="00B052B7" w:rsidP="0082503C">
      <w:pPr>
        <w:spacing w:line="276" w:lineRule="auto"/>
        <w:jc w:val="both"/>
        <w:rPr>
          <w:rFonts w:ascii="Gadugi" w:hAnsi="Gadugi"/>
          <w:color w:val="000000" w:themeColor="text1"/>
          <w:sz w:val="24"/>
          <w:szCs w:val="24"/>
        </w:rPr>
      </w:pPr>
    </w:p>
    <w:p w14:paraId="47758DC4" w14:textId="2231603C" w:rsidR="00B052B7" w:rsidRPr="0082503C" w:rsidRDefault="00B052B7" w:rsidP="0082503C">
      <w:pPr>
        <w:spacing w:line="276" w:lineRule="auto"/>
        <w:jc w:val="both"/>
        <w:rPr>
          <w:rFonts w:ascii="Gadugi" w:hAnsi="Gadugi"/>
          <w:color w:val="000000" w:themeColor="text1"/>
          <w:sz w:val="24"/>
          <w:szCs w:val="24"/>
        </w:rPr>
      </w:pP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t>Y es menester exaltar la importancia de tal medio impugnativo, sobre el cual la Sala de Casación Civil de la Corte Suprema de Justicia enseña</w:t>
      </w:r>
      <w:r w:rsidRPr="0082503C">
        <w:rPr>
          <w:rStyle w:val="Refdenotaalpie"/>
          <w:rFonts w:ascii="Gadugi" w:hAnsi="Gadugi"/>
          <w:color w:val="000000" w:themeColor="text1"/>
          <w:sz w:val="24"/>
          <w:szCs w:val="24"/>
        </w:rPr>
        <w:footnoteReference w:id="15"/>
      </w:r>
      <w:r w:rsidRPr="0082503C">
        <w:rPr>
          <w:rFonts w:ascii="Gadugi" w:hAnsi="Gadugi"/>
          <w:color w:val="000000" w:themeColor="text1"/>
          <w:sz w:val="24"/>
          <w:szCs w:val="24"/>
        </w:rPr>
        <w:t xml:space="preserve">: </w:t>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p>
    <w:p w14:paraId="68F9B6F2" w14:textId="77777777" w:rsidR="00AC20A1" w:rsidRPr="0082503C" w:rsidRDefault="00B052B7" w:rsidP="0082503C">
      <w:pPr>
        <w:widowControl w:val="0"/>
        <w:spacing w:line="276" w:lineRule="auto"/>
        <w:ind w:left="567" w:right="618" w:firstLine="709"/>
        <w:jc w:val="both"/>
        <w:rPr>
          <w:rFonts w:ascii="Gadugi" w:hAnsi="Gadugi"/>
          <w:color w:val="000000" w:themeColor="text1"/>
          <w:sz w:val="24"/>
          <w:szCs w:val="24"/>
        </w:rPr>
      </w:pP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p>
    <w:p w14:paraId="03CC7A70" w14:textId="29B6E847" w:rsidR="00B052B7" w:rsidRPr="00387EE6" w:rsidRDefault="00B052B7" w:rsidP="00387EE6">
      <w:pPr>
        <w:widowControl w:val="0"/>
        <w:ind w:left="426" w:right="420" w:firstLine="2268"/>
        <w:jc w:val="both"/>
        <w:rPr>
          <w:rFonts w:ascii="Gadugi" w:hAnsi="Gadugi"/>
          <w:sz w:val="22"/>
          <w:szCs w:val="24"/>
        </w:rPr>
      </w:pPr>
      <w:r w:rsidRPr="00387EE6">
        <w:rPr>
          <w:rFonts w:ascii="Gadugi" w:hAnsi="Gadugi" w:cs="Arial"/>
          <w:iCs/>
          <w:sz w:val="22"/>
          <w:szCs w:val="24"/>
        </w:rPr>
        <w:t>La Sala, en supuestos similares ha indicado</w:t>
      </w:r>
      <w:r w:rsidRPr="00387EE6">
        <w:rPr>
          <w:rFonts w:ascii="Gadugi" w:hAnsi="Gadugi"/>
          <w:sz w:val="22"/>
          <w:szCs w:val="24"/>
        </w:rPr>
        <w:t xml:space="preserve"> que «</w:t>
      </w:r>
      <w:r w:rsidRPr="00387EE6">
        <w:rPr>
          <w:rFonts w:ascii="Gadugi" w:hAnsi="Gadugi"/>
          <w:i/>
          <w:sz w:val="22"/>
          <w:szCs w:val="24"/>
        </w:rPr>
        <w:t xml:space="preserve">el accionante no puede acudir a la justicia constitucional en </w:t>
      </w:r>
      <w:proofErr w:type="spellStart"/>
      <w:r w:rsidRPr="00387EE6">
        <w:rPr>
          <w:rFonts w:ascii="Gadugi" w:hAnsi="Gadugi"/>
          <w:i/>
          <w:sz w:val="22"/>
          <w:szCs w:val="24"/>
        </w:rPr>
        <w:t>pos</w:t>
      </w:r>
      <w:proofErr w:type="spellEnd"/>
      <w:r w:rsidRPr="00387EE6">
        <w:rPr>
          <w:rFonts w:ascii="Gadugi" w:hAnsi="Gadugi"/>
          <w:i/>
          <w:sz w:val="22"/>
          <w:szCs w:val="24"/>
        </w:rPr>
        <w:t xml:space="preserve"> de oportunidades defensivas adicionales, ya que la falta de proposición oportuna de los medios de resguardo diseñados para las correspondientes actuaciones, constituye una desidia procesal que no puede sanearse con la subsidiaria acción de tutela, toda vez que, como se ha reconocido ampliamente por la jurisprudencia, cuando las partes dejan de utilizar los mecanismos de protección previstos por el orden jurídico, quedan sujetas a las consecuencias de las decisiones que le sean adversas, que serían el fruto de su propia incuria, tanto más si se tiene en cuenta que al conductor de esta herramienta le está vedado </w:t>
      </w:r>
      <w:r w:rsidRPr="00387EE6">
        <w:rPr>
          <w:rFonts w:ascii="Gadugi" w:hAnsi="Gadugi" w:cs="Arial"/>
          <w:i/>
          <w:sz w:val="22"/>
          <w:szCs w:val="24"/>
        </w:rPr>
        <w:t>injerir</w:t>
      </w:r>
      <w:r w:rsidRPr="00387EE6">
        <w:rPr>
          <w:rFonts w:ascii="Gadugi" w:hAnsi="Gadugi"/>
          <w:i/>
          <w:sz w:val="22"/>
          <w:szCs w:val="24"/>
        </w:rPr>
        <w:t xml:space="preserve"> en las decisiones o instrucciones del juez de conocimiento, so pena de invadir su órbita funcional autónoma y quebrantar el debido proceso» </w:t>
      </w:r>
      <w:r w:rsidRPr="00387EE6">
        <w:rPr>
          <w:rFonts w:ascii="Gadugi" w:hAnsi="Gadugi"/>
          <w:sz w:val="22"/>
          <w:szCs w:val="24"/>
        </w:rPr>
        <w:t xml:space="preserve">(CSJ </w:t>
      </w:r>
      <w:r w:rsidRPr="00387EE6">
        <w:rPr>
          <w:rFonts w:ascii="Gadugi" w:hAnsi="Gadugi" w:cs="Arial"/>
          <w:sz w:val="22"/>
          <w:szCs w:val="24"/>
        </w:rPr>
        <w:t>STC3803</w:t>
      </w:r>
      <w:r w:rsidRPr="00387EE6">
        <w:rPr>
          <w:rFonts w:ascii="Gadugi" w:hAnsi="Gadugi"/>
          <w:sz w:val="22"/>
          <w:szCs w:val="24"/>
        </w:rPr>
        <w:t>-2021).</w:t>
      </w:r>
    </w:p>
    <w:p w14:paraId="5681D32F" w14:textId="37B612D1" w:rsidR="00B052B7" w:rsidRPr="00387EE6" w:rsidRDefault="00B052B7" w:rsidP="00387EE6">
      <w:pPr>
        <w:widowControl w:val="0"/>
        <w:ind w:left="426" w:right="420"/>
        <w:jc w:val="both"/>
        <w:rPr>
          <w:rFonts w:ascii="Gadugi" w:hAnsi="Gadugi" w:cs="Arial"/>
          <w:iCs/>
          <w:sz w:val="22"/>
          <w:szCs w:val="24"/>
        </w:rPr>
      </w:pPr>
    </w:p>
    <w:p w14:paraId="4D8F8A44" w14:textId="77777777" w:rsidR="00B052B7" w:rsidRPr="00387EE6" w:rsidRDefault="00B052B7" w:rsidP="00387EE6">
      <w:pPr>
        <w:widowControl w:val="0"/>
        <w:ind w:left="426" w:right="420"/>
        <w:jc w:val="both"/>
        <w:rPr>
          <w:rFonts w:ascii="Gadugi" w:hAnsi="Gadugi"/>
          <w:sz w:val="22"/>
          <w:szCs w:val="24"/>
        </w:rPr>
      </w:pPr>
      <w:r w:rsidRPr="00387EE6">
        <w:rPr>
          <w:rFonts w:ascii="Gadugi" w:hAnsi="Gadugi"/>
          <w:sz w:val="22"/>
          <w:szCs w:val="24"/>
          <w:lang w:val="es-CO" w:eastAsia="en-US"/>
        </w:rPr>
        <w:tab/>
      </w:r>
      <w:r w:rsidRPr="00387EE6">
        <w:rPr>
          <w:rFonts w:ascii="Gadugi" w:hAnsi="Gadugi"/>
          <w:sz w:val="22"/>
          <w:szCs w:val="24"/>
          <w:lang w:val="es-CO" w:eastAsia="en-US"/>
        </w:rPr>
        <w:tab/>
      </w:r>
      <w:r w:rsidRPr="00387EE6">
        <w:rPr>
          <w:rFonts w:ascii="Gadugi" w:hAnsi="Gadugi"/>
          <w:sz w:val="22"/>
          <w:szCs w:val="24"/>
          <w:lang w:val="es-CO" w:eastAsia="en-US"/>
        </w:rPr>
        <w:tab/>
      </w:r>
      <w:r w:rsidRPr="00387EE6">
        <w:rPr>
          <w:rFonts w:ascii="Gadugi" w:hAnsi="Gadugi"/>
          <w:sz w:val="22"/>
          <w:szCs w:val="24"/>
          <w:lang w:val="es-CO" w:eastAsia="en-US"/>
        </w:rPr>
        <w:tab/>
      </w:r>
      <w:r w:rsidRPr="00387EE6">
        <w:rPr>
          <w:rFonts w:ascii="Gadugi" w:hAnsi="Gadugi"/>
          <w:bCs/>
          <w:sz w:val="22"/>
          <w:szCs w:val="24"/>
        </w:rPr>
        <w:t xml:space="preserve">Y sobre la eficacia de la réplica horizontal, se ha indicado que, </w:t>
      </w:r>
      <w:r w:rsidRPr="00387EE6">
        <w:rPr>
          <w:rFonts w:ascii="Gadugi" w:hAnsi="Gadugi"/>
          <w:sz w:val="22"/>
          <w:szCs w:val="24"/>
        </w:rPr>
        <w:t>«</w:t>
      </w:r>
      <w:r w:rsidRPr="00387EE6">
        <w:rPr>
          <w:rFonts w:ascii="Gadugi" w:hAnsi="Gadugi"/>
          <w:b/>
          <w:i/>
          <w:iCs/>
          <w:sz w:val="22"/>
          <w:szCs w:val="24"/>
        </w:rPr>
        <w:t xml:space="preserve">Y, no se diga que el recurso de reposición es ineficaz porque el funcionario que emitió el proveído recurrido es quien lo resuelve, ya que de aceptarse tal </w:t>
      </w:r>
      <w:r w:rsidRPr="00387EE6">
        <w:rPr>
          <w:rFonts w:ascii="Gadugi" w:hAnsi="Gadugi"/>
          <w:b/>
          <w:i/>
          <w:iCs/>
          <w:sz w:val="22"/>
          <w:szCs w:val="24"/>
        </w:rPr>
        <w:lastRenderedPageBreak/>
        <w:t>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r w:rsidRPr="00387EE6">
        <w:rPr>
          <w:rFonts w:ascii="Gadugi" w:hAnsi="Gadugi"/>
          <w:i/>
          <w:iCs/>
          <w:sz w:val="22"/>
          <w:szCs w:val="24"/>
        </w:rPr>
        <w:t xml:space="preserve"> (…)</w:t>
      </w:r>
      <w:r w:rsidRPr="00387EE6">
        <w:rPr>
          <w:rFonts w:ascii="Gadugi" w:hAnsi="Gadugi"/>
          <w:sz w:val="22"/>
          <w:szCs w:val="24"/>
        </w:rPr>
        <w:t>» (</w:t>
      </w:r>
      <w:r w:rsidRPr="00387EE6">
        <w:rPr>
          <w:rFonts w:ascii="Gadugi" w:hAnsi="Gadugi"/>
          <w:i/>
          <w:iCs/>
          <w:sz w:val="22"/>
          <w:szCs w:val="24"/>
        </w:rPr>
        <w:t>Destaca la Sala</w:t>
      </w:r>
      <w:r w:rsidRPr="00387EE6">
        <w:rPr>
          <w:rFonts w:ascii="Gadugi" w:hAnsi="Gadugi"/>
          <w:sz w:val="22"/>
          <w:szCs w:val="24"/>
        </w:rPr>
        <w:t>).</w:t>
      </w:r>
    </w:p>
    <w:p w14:paraId="40364F12" w14:textId="610EE3E4" w:rsidR="00B052B7" w:rsidRPr="0082503C" w:rsidRDefault="00B052B7" w:rsidP="0082503C">
      <w:pPr>
        <w:spacing w:line="276" w:lineRule="auto"/>
        <w:jc w:val="both"/>
        <w:rPr>
          <w:rFonts w:ascii="Gadugi" w:hAnsi="Gadugi"/>
          <w:color w:val="000000" w:themeColor="text1"/>
          <w:sz w:val="24"/>
          <w:szCs w:val="24"/>
        </w:rPr>
      </w:pPr>
    </w:p>
    <w:p w14:paraId="13498D6E" w14:textId="5EF8C465" w:rsidR="00032C87" w:rsidRPr="0082503C" w:rsidRDefault="00032C87" w:rsidP="0082503C">
      <w:pPr>
        <w:spacing w:line="276" w:lineRule="auto"/>
        <w:jc w:val="both"/>
        <w:rPr>
          <w:rFonts w:ascii="Gadugi" w:hAnsi="Gadugi"/>
          <w:color w:val="000000" w:themeColor="text1"/>
          <w:sz w:val="24"/>
          <w:szCs w:val="24"/>
        </w:rPr>
      </w:pP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t>Y en todo caso, dado que la sociedad demandante alega una indebida notificación del auto con el cual se libró mandamiento de pago</w:t>
      </w:r>
      <w:r w:rsidR="00290F75" w:rsidRPr="0082503C">
        <w:rPr>
          <w:rFonts w:ascii="Gadugi" w:hAnsi="Gadugi"/>
          <w:color w:val="000000" w:themeColor="text1"/>
          <w:sz w:val="24"/>
          <w:szCs w:val="24"/>
        </w:rPr>
        <w:t xml:space="preserve"> en la ejecución, cu</w:t>
      </w:r>
      <w:r w:rsidR="006F44D3" w:rsidRPr="0082503C">
        <w:rPr>
          <w:rFonts w:ascii="Gadugi" w:hAnsi="Gadugi"/>
          <w:color w:val="000000" w:themeColor="text1"/>
          <w:sz w:val="24"/>
          <w:szCs w:val="24"/>
        </w:rPr>
        <w:t>e</w:t>
      </w:r>
      <w:r w:rsidR="00290F75" w:rsidRPr="0082503C">
        <w:rPr>
          <w:rFonts w:ascii="Gadugi" w:hAnsi="Gadugi"/>
          <w:color w:val="000000" w:themeColor="text1"/>
          <w:sz w:val="24"/>
          <w:szCs w:val="24"/>
        </w:rPr>
        <w:t xml:space="preserve">nta con la posibilidad de acudir al recurso extraordinario de revisión, </w:t>
      </w:r>
      <w:r w:rsidR="00AC20A1" w:rsidRPr="0082503C">
        <w:rPr>
          <w:rFonts w:ascii="Gadugi" w:hAnsi="Gadugi"/>
          <w:color w:val="000000" w:themeColor="text1"/>
          <w:sz w:val="24"/>
          <w:szCs w:val="24"/>
        </w:rPr>
        <w:t>dado que el proceso terminó por pago (inc. 4, art. 134 CGP). A</w:t>
      </w:r>
      <w:r w:rsidR="00290F75" w:rsidRPr="0082503C">
        <w:rPr>
          <w:rFonts w:ascii="Gadugi" w:hAnsi="Gadugi"/>
          <w:color w:val="000000" w:themeColor="text1"/>
          <w:sz w:val="24"/>
          <w:szCs w:val="24"/>
        </w:rPr>
        <w:t>sí lo explica la Sala de Casación Civil de la Corte Suprema de Justicia</w:t>
      </w:r>
      <w:r w:rsidR="00311978" w:rsidRPr="0082503C">
        <w:rPr>
          <w:rStyle w:val="Refdenotaalpie"/>
          <w:rFonts w:ascii="Gadugi" w:hAnsi="Gadugi"/>
          <w:color w:val="000000" w:themeColor="text1"/>
          <w:sz w:val="24"/>
          <w:szCs w:val="24"/>
        </w:rPr>
        <w:footnoteReference w:id="16"/>
      </w:r>
      <w:r w:rsidR="00290F75" w:rsidRPr="0082503C">
        <w:rPr>
          <w:rFonts w:ascii="Gadugi" w:hAnsi="Gadugi"/>
          <w:color w:val="000000" w:themeColor="text1"/>
          <w:sz w:val="24"/>
          <w:szCs w:val="24"/>
        </w:rPr>
        <w:t>:</w:t>
      </w:r>
    </w:p>
    <w:p w14:paraId="6AE9D2C7" w14:textId="27480CB0" w:rsidR="00290F75" w:rsidRPr="0082503C" w:rsidRDefault="00290F75" w:rsidP="0082503C">
      <w:pPr>
        <w:spacing w:line="276" w:lineRule="auto"/>
        <w:jc w:val="both"/>
        <w:rPr>
          <w:rFonts w:ascii="Gadugi" w:hAnsi="Gadugi"/>
          <w:color w:val="000000" w:themeColor="text1"/>
          <w:sz w:val="24"/>
          <w:szCs w:val="24"/>
        </w:rPr>
      </w:pPr>
    </w:p>
    <w:p w14:paraId="26E8EEAA" w14:textId="1D4BDAD9" w:rsidR="00290F75" w:rsidRPr="00387EE6" w:rsidRDefault="00290F75" w:rsidP="00387EE6">
      <w:pPr>
        <w:ind w:left="426" w:right="420"/>
        <w:jc w:val="both"/>
        <w:rPr>
          <w:rFonts w:ascii="Gadugi" w:hAnsi="Gadugi"/>
          <w:sz w:val="22"/>
          <w:szCs w:val="24"/>
        </w:rPr>
      </w:pPr>
      <w:r w:rsidRPr="00387EE6">
        <w:rPr>
          <w:rFonts w:ascii="Gadugi" w:hAnsi="Gadugi"/>
          <w:color w:val="000000" w:themeColor="text1"/>
          <w:sz w:val="22"/>
          <w:szCs w:val="24"/>
        </w:rPr>
        <w:tab/>
      </w:r>
      <w:r w:rsidRPr="00387EE6">
        <w:rPr>
          <w:rFonts w:ascii="Gadugi" w:hAnsi="Gadugi"/>
          <w:color w:val="000000" w:themeColor="text1"/>
          <w:sz w:val="22"/>
          <w:szCs w:val="24"/>
        </w:rPr>
        <w:tab/>
      </w:r>
      <w:r w:rsidRPr="00387EE6">
        <w:rPr>
          <w:rFonts w:ascii="Gadugi" w:hAnsi="Gadugi"/>
          <w:color w:val="000000" w:themeColor="text1"/>
          <w:sz w:val="22"/>
          <w:szCs w:val="24"/>
        </w:rPr>
        <w:tab/>
      </w:r>
      <w:r w:rsidRPr="00387EE6">
        <w:rPr>
          <w:rFonts w:ascii="Gadugi" w:hAnsi="Gadugi"/>
          <w:color w:val="000000" w:themeColor="text1"/>
          <w:sz w:val="22"/>
          <w:szCs w:val="24"/>
        </w:rPr>
        <w:tab/>
      </w:r>
      <w:r w:rsidRPr="00387EE6">
        <w:rPr>
          <w:rFonts w:ascii="Gadugi" w:hAnsi="Gadugi"/>
          <w:bCs/>
          <w:iCs/>
          <w:sz w:val="22"/>
          <w:szCs w:val="24"/>
        </w:rPr>
        <w:t>Sobre la declaración de improcedencia del auxilio, soportada en la causal contemplada en el numeral 1º del canon 6º del Decreto 2591 de 1991, y concretamente cuando se ha aducido falta o deficiencias en la notificación de quien tiene interés en el proceso judicial, esta Corporación ha dicho y reiterado que «</w:t>
      </w:r>
      <w:r w:rsidRPr="00387EE6">
        <w:rPr>
          <w:rFonts w:ascii="Gadugi" w:hAnsi="Gadugi"/>
          <w:i/>
          <w:sz w:val="22"/>
          <w:szCs w:val="24"/>
        </w:rPr>
        <w:t>el ordenamiento jurídico consagra medios ordinarios de defensa, ciertamente eficaces, que le permiten a la accionante controvertir mediante otro mecanismo legal, concretamente el incidente de nulidad o, en su defecto, el recurso de revisión, los hechos que soportan la queja constitucional, de manera que puede poner en conocimiento del juez competente las irregularidades aquí planteadas, entre ellas, la indebida notificación (...)</w:t>
      </w:r>
      <w:r w:rsidRPr="00387EE6">
        <w:rPr>
          <w:rFonts w:ascii="Gadugi" w:hAnsi="Gadugi"/>
          <w:sz w:val="22"/>
          <w:szCs w:val="24"/>
        </w:rPr>
        <w:t>» (CSJ STC, 24 sep. 2008, rad. 00144-01, citada en STC7653-2019, 12 jun. 2019, rad. 00054-01, entre otras).</w:t>
      </w:r>
    </w:p>
    <w:p w14:paraId="02176E95" w14:textId="57FA0300" w:rsidR="00290F75" w:rsidRPr="00977F83" w:rsidRDefault="00290F75" w:rsidP="00977F83">
      <w:pPr>
        <w:ind w:left="426" w:right="420"/>
        <w:jc w:val="both"/>
        <w:rPr>
          <w:rFonts w:ascii="Gadugi" w:hAnsi="Gadugi"/>
          <w:sz w:val="22"/>
          <w:szCs w:val="24"/>
        </w:rPr>
      </w:pPr>
    </w:p>
    <w:p w14:paraId="3B320FD6" w14:textId="14241BC5" w:rsidR="00290F75" w:rsidRPr="00977F83" w:rsidRDefault="00290F75" w:rsidP="00977F83">
      <w:pPr>
        <w:ind w:left="426" w:right="420"/>
        <w:jc w:val="both"/>
        <w:rPr>
          <w:rFonts w:ascii="Gadugi" w:hAnsi="Gadugi" w:cs="Arial"/>
          <w:bCs/>
          <w:iCs/>
          <w:color w:val="000000"/>
          <w:sz w:val="22"/>
          <w:szCs w:val="24"/>
        </w:rPr>
      </w:pPr>
      <w:r w:rsidRPr="00977F83">
        <w:rPr>
          <w:rFonts w:ascii="Gadugi" w:hAnsi="Gadugi"/>
          <w:sz w:val="22"/>
          <w:szCs w:val="24"/>
        </w:rPr>
        <w:tab/>
      </w:r>
      <w:r w:rsidRPr="00977F83">
        <w:rPr>
          <w:rFonts w:ascii="Gadugi" w:hAnsi="Gadugi"/>
          <w:sz w:val="22"/>
          <w:szCs w:val="24"/>
        </w:rPr>
        <w:tab/>
      </w:r>
      <w:r w:rsidRPr="00977F83">
        <w:rPr>
          <w:rFonts w:ascii="Gadugi" w:hAnsi="Gadugi"/>
          <w:sz w:val="22"/>
          <w:szCs w:val="24"/>
        </w:rPr>
        <w:tab/>
      </w:r>
      <w:r w:rsidRPr="00977F83">
        <w:rPr>
          <w:rFonts w:ascii="Gadugi" w:hAnsi="Gadugi"/>
          <w:sz w:val="22"/>
          <w:szCs w:val="24"/>
        </w:rPr>
        <w:tab/>
      </w:r>
      <w:r w:rsidRPr="00977F83">
        <w:rPr>
          <w:rFonts w:ascii="Gadugi" w:hAnsi="Gadugi" w:cs="Arial"/>
          <w:bCs/>
          <w:iCs/>
          <w:color w:val="000000"/>
          <w:sz w:val="22"/>
          <w:szCs w:val="24"/>
        </w:rPr>
        <w:t xml:space="preserve">Del mismo modo, en casos de similares contornos al que ahora se analiza, la Corte sostuvo que: </w:t>
      </w:r>
    </w:p>
    <w:p w14:paraId="484A12FB" w14:textId="5CC70CC9" w:rsidR="00290F75" w:rsidRPr="00977F83" w:rsidRDefault="00290F75" w:rsidP="00977F83">
      <w:pPr>
        <w:ind w:left="426" w:right="420"/>
        <w:jc w:val="both"/>
        <w:rPr>
          <w:rFonts w:ascii="Gadugi" w:hAnsi="Gadugi" w:cs="Arial"/>
          <w:bCs/>
          <w:iCs/>
          <w:color w:val="000000"/>
          <w:sz w:val="22"/>
          <w:szCs w:val="24"/>
        </w:rPr>
      </w:pPr>
    </w:p>
    <w:p w14:paraId="46CE1F42" w14:textId="613129D3" w:rsidR="00290F75" w:rsidRPr="00977F83" w:rsidRDefault="00290F75" w:rsidP="00977F83">
      <w:pPr>
        <w:ind w:left="426" w:right="420"/>
        <w:jc w:val="both"/>
        <w:rPr>
          <w:rFonts w:ascii="Gadugi" w:hAnsi="Gadugi" w:cs="Bookman Old Style"/>
          <w:sz w:val="22"/>
          <w:szCs w:val="24"/>
          <w:lang w:val="es-ES_tradnl" w:eastAsia="es-ES_tradnl"/>
        </w:rPr>
      </w:pPr>
      <w:r w:rsidRPr="00977F83">
        <w:rPr>
          <w:rFonts w:ascii="Gadugi" w:hAnsi="Gadugi" w:cs="Arial"/>
          <w:bCs/>
          <w:iCs/>
          <w:color w:val="000000"/>
          <w:sz w:val="22"/>
          <w:szCs w:val="24"/>
        </w:rPr>
        <w:tab/>
      </w:r>
      <w:r w:rsidRPr="00977F83">
        <w:rPr>
          <w:rFonts w:ascii="Gadugi" w:hAnsi="Gadugi" w:cs="Arial"/>
          <w:bCs/>
          <w:iCs/>
          <w:color w:val="000000"/>
          <w:sz w:val="22"/>
          <w:szCs w:val="24"/>
        </w:rPr>
        <w:tab/>
      </w:r>
      <w:r w:rsidRPr="00977F83">
        <w:rPr>
          <w:rFonts w:ascii="Gadugi" w:hAnsi="Gadugi" w:cs="Arial"/>
          <w:bCs/>
          <w:iCs/>
          <w:color w:val="000000"/>
          <w:sz w:val="22"/>
          <w:szCs w:val="24"/>
        </w:rPr>
        <w:tab/>
      </w:r>
      <w:r w:rsidRPr="00977F83">
        <w:rPr>
          <w:rFonts w:ascii="Gadugi" w:hAnsi="Gadugi" w:cs="Arial"/>
          <w:bCs/>
          <w:iCs/>
          <w:color w:val="000000"/>
          <w:sz w:val="22"/>
          <w:szCs w:val="24"/>
        </w:rPr>
        <w:tab/>
        <w:t>«</w:t>
      </w:r>
      <w:r w:rsidRPr="00977F83">
        <w:rPr>
          <w:rFonts w:ascii="Gadugi" w:hAnsi="Gadugi" w:cs="Arial"/>
          <w:bCs/>
          <w:i/>
          <w:iCs/>
          <w:color w:val="000000"/>
          <w:sz w:val="22"/>
          <w:szCs w:val="24"/>
        </w:rPr>
        <w:t xml:space="preserve">el promotor cuenta con la opción de debatir la indebida notificación que alega en el juicio ordinario, mediante la formulación del recurso extraordinario de revisión (...), el cual puede promover independientemente de su desenlace, siempre y cuando se atienda la oportunidad legal y apoye la petición en una de las causales establecidas en el artículo 380 del Código de Procedimiento Civil </w:t>
      </w:r>
      <w:r w:rsidRPr="00977F83">
        <w:rPr>
          <w:rFonts w:ascii="Gadugi" w:hAnsi="Gadugi" w:cs="Arial"/>
          <w:bCs/>
          <w:iCs/>
          <w:color w:val="000000"/>
          <w:sz w:val="22"/>
          <w:szCs w:val="24"/>
        </w:rPr>
        <w:t>[hoy artículo 355 del Código General del Proceso]</w:t>
      </w:r>
      <w:r w:rsidRPr="00977F83">
        <w:rPr>
          <w:rFonts w:ascii="Gadugi" w:hAnsi="Gadugi" w:cs="Arial"/>
          <w:bCs/>
          <w:i/>
          <w:iCs/>
          <w:color w:val="000000"/>
          <w:sz w:val="22"/>
          <w:szCs w:val="24"/>
        </w:rPr>
        <w:t>; en tal sentido, resulta ilustrativo el inciso tercero del artículo 142 ibídem al señalar: “la nulidad por indebida representación o falta de notificación o emplazamiento en legal forma, podrá también alegarse durante la diligencia de que tratan los artículos 337 a 339, o como excepción en el proceso que se adelante para la ejecución de la sentencia, o mediante el recurso de revisión si no se alegó por la parte en las anteriores oportunidades"</w:t>
      </w:r>
      <w:r w:rsidRPr="00977F83">
        <w:rPr>
          <w:rFonts w:ascii="Gadugi" w:hAnsi="Gadugi" w:cs="Arial"/>
          <w:bCs/>
          <w:iCs/>
          <w:color w:val="000000"/>
          <w:sz w:val="22"/>
          <w:szCs w:val="24"/>
        </w:rPr>
        <w:t xml:space="preserve">» (CSJ STC, 24 </w:t>
      </w:r>
      <w:proofErr w:type="spellStart"/>
      <w:r w:rsidRPr="00977F83">
        <w:rPr>
          <w:rFonts w:ascii="Gadugi" w:hAnsi="Gadugi" w:cs="Arial"/>
          <w:bCs/>
          <w:iCs/>
          <w:color w:val="000000"/>
          <w:sz w:val="22"/>
          <w:szCs w:val="24"/>
        </w:rPr>
        <w:t>may</w:t>
      </w:r>
      <w:proofErr w:type="spellEnd"/>
      <w:r w:rsidRPr="00977F83">
        <w:rPr>
          <w:rFonts w:ascii="Gadugi" w:hAnsi="Gadugi" w:cs="Arial"/>
          <w:bCs/>
          <w:iCs/>
          <w:color w:val="000000"/>
          <w:sz w:val="22"/>
          <w:szCs w:val="24"/>
        </w:rPr>
        <w:t>. 2012, rad. 2012-00999-00, citada entre otras en STC7069-2019, 5 jun. 2019, rad. 01678-00)</w:t>
      </w:r>
      <w:r w:rsidRPr="00977F83">
        <w:rPr>
          <w:rFonts w:ascii="Gadugi" w:hAnsi="Gadugi" w:cs="Bookman Old Style"/>
          <w:sz w:val="22"/>
          <w:szCs w:val="24"/>
          <w:lang w:val="es-ES_tradnl" w:eastAsia="es-ES_tradnl"/>
        </w:rPr>
        <w:t>.</w:t>
      </w:r>
    </w:p>
    <w:p w14:paraId="0DF5D3D3" w14:textId="00CE8B2A" w:rsidR="00032C87" w:rsidRPr="0082503C" w:rsidRDefault="00032C87" w:rsidP="0082503C">
      <w:pPr>
        <w:spacing w:line="276" w:lineRule="auto"/>
        <w:jc w:val="both"/>
        <w:rPr>
          <w:rFonts w:ascii="Gadugi" w:hAnsi="Gadugi"/>
          <w:color w:val="000000" w:themeColor="text1"/>
          <w:sz w:val="24"/>
          <w:szCs w:val="24"/>
        </w:rPr>
      </w:pPr>
    </w:p>
    <w:p w14:paraId="0EBD87A1" w14:textId="48A05674" w:rsidR="00311978" w:rsidRPr="0082503C" w:rsidRDefault="00311978" w:rsidP="0082503C">
      <w:pPr>
        <w:spacing w:line="276" w:lineRule="auto"/>
        <w:jc w:val="both"/>
        <w:rPr>
          <w:rFonts w:ascii="Gadugi" w:hAnsi="Gadugi"/>
          <w:color w:val="000000" w:themeColor="text1"/>
          <w:sz w:val="24"/>
          <w:szCs w:val="24"/>
        </w:rPr>
      </w:pPr>
      <w:r w:rsidRPr="0082503C">
        <w:rPr>
          <w:rFonts w:ascii="Gadugi" w:hAnsi="Gadugi"/>
          <w:color w:val="000000" w:themeColor="text1"/>
          <w:sz w:val="24"/>
          <w:szCs w:val="24"/>
        </w:rPr>
        <w:lastRenderedPageBreak/>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t xml:space="preserve">En suma, la accionante pasó por alto la reposición para contrariar la decisión que estima anómala, y, en cualquier caso, aún cuenta con el recurso extraordinario de revisión para lograr ese cometido. </w:t>
      </w:r>
    </w:p>
    <w:p w14:paraId="7ED65D84" w14:textId="77777777" w:rsidR="00311978" w:rsidRPr="0082503C" w:rsidRDefault="00311978" w:rsidP="0082503C">
      <w:pPr>
        <w:spacing w:line="276" w:lineRule="auto"/>
        <w:jc w:val="both"/>
        <w:rPr>
          <w:rFonts w:ascii="Gadugi" w:hAnsi="Gadugi"/>
          <w:color w:val="000000" w:themeColor="text1"/>
          <w:sz w:val="24"/>
          <w:szCs w:val="24"/>
        </w:rPr>
      </w:pPr>
    </w:p>
    <w:p w14:paraId="5ADCF6C2" w14:textId="6B92AD3B" w:rsidR="004A351F" w:rsidRPr="0082503C" w:rsidRDefault="00B052B7" w:rsidP="0082503C">
      <w:pPr>
        <w:spacing w:line="276" w:lineRule="auto"/>
        <w:jc w:val="both"/>
        <w:rPr>
          <w:rFonts w:ascii="Gadugi" w:hAnsi="Gadugi"/>
          <w:color w:val="000000" w:themeColor="text1"/>
          <w:sz w:val="24"/>
          <w:szCs w:val="24"/>
        </w:rPr>
      </w:pP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t>Así las cosas, si bien la demanda debía despacharse desfavorablemente, era impertinente adentrarse en el fondo del debate como se hizo en primera instancia, porque la acción de tutela era improcedente</w:t>
      </w:r>
      <w:r w:rsidR="00311978" w:rsidRPr="0082503C">
        <w:rPr>
          <w:rFonts w:ascii="Gadugi" w:hAnsi="Gadugi"/>
          <w:color w:val="000000" w:themeColor="text1"/>
          <w:sz w:val="24"/>
          <w:szCs w:val="24"/>
        </w:rPr>
        <w:t>, y</w:t>
      </w:r>
      <w:r w:rsidRPr="0082503C">
        <w:rPr>
          <w:rFonts w:ascii="Gadugi" w:hAnsi="Gadugi"/>
          <w:color w:val="000000" w:themeColor="text1"/>
          <w:sz w:val="24"/>
          <w:szCs w:val="24"/>
        </w:rPr>
        <w:t xml:space="preserve"> así debía declararse</w:t>
      </w:r>
      <w:r w:rsidR="00192B43" w:rsidRPr="0082503C">
        <w:rPr>
          <w:rFonts w:ascii="Gadugi" w:hAnsi="Gadugi"/>
          <w:color w:val="000000" w:themeColor="text1"/>
          <w:sz w:val="24"/>
          <w:szCs w:val="24"/>
        </w:rPr>
        <w:t xml:space="preserve">, máxime cuando no se demostró un posible perjuicio irremediable; </w:t>
      </w:r>
      <w:r w:rsidRPr="0082503C">
        <w:rPr>
          <w:rFonts w:ascii="Gadugi" w:hAnsi="Gadugi"/>
          <w:color w:val="000000" w:themeColor="text1"/>
          <w:sz w:val="24"/>
          <w:szCs w:val="24"/>
        </w:rPr>
        <w:t xml:space="preserve">en esos términos se modificará el fallo impugnado. </w:t>
      </w:r>
    </w:p>
    <w:p w14:paraId="7D850652" w14:textId="6F8F0630" w:rsidR="000A451B" w:rsidRPr="0082503C" w:rsidRDefault="004A351F" w:rsidP="0082503C">
      <w:pPr>
        <w:spacing w:line="276" w:lineRule="auto"/>
        <w:jc w:val="both"/>
        <w:rPr>
          <w:rFonts w:ascii="Gadugi" w:hAnsi="Gadugi"/>
          <w:color w:val="000000" w:themeColor="text1"/>
          <w:sz w:val="24"/>
          <w:szCs w:val="24"/>
        </w:rPr>
      </w:pP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t xml:space="preserve"> </w:t>
      </w:r>
      <w:r w:rsidRPr="0082503C">
        <w:rPr>
          <w:rFonts w:ascii="Gadugi" w:hAnsi="Gadugi"/>
          <w:color w:val="000000" w:themeColor="text1"/>
          <w:sz w:val="24"/>
          <w:szCs w:val="24"/>
        </w:rPr>
        <w:tab/>
      </w:r>
      <w:r w:rsidR="0055337E" w:rsidRPr="0082503C">
        <w:rPr>
          <w:rFonts w:ascii="Gadugi" w:hAnsi="Gadugi"/>
          <w:color w:val="000000" w:themeColor="text1"/>
          <w:sz w:val="24"/>
          <w:szCs w:val="24"/>
        </w:rPr>
        <w:tab/>
      </w:r>
      <w:r w:rsidR="0055337E" w:rsidRPr="0082503C">
        <w:rPr>
          <w:rFonts w:ascii="Gadugi" w:hAnsi="Gadugi"/>
          <w:color w:val="000000" w:themeColor="text1"/>
          <w:sz w:val="24"/>
          <w:szCs w:val="24"/>
        </w:rPr>
        <w:tab/>
      </w:r>
      <w:r w:rsidR="008A5A60" w:rsidRPr="0082503C">
        <w:rPr>
          <w:rFonts w:ascii="Gadugi" w:hAnsi="Gadugi"/>
          <w:color w:val="000000" w:themeColor="text1"/>
          <w:sz w:val="24"/>
          <w:szCs w:val="24"/>
        </w:rPr>
        <w:t xml:space="preserve"> </w:t>
      </w:r>
    </w:p>
    <w:p w14:paraId="5105BE95" w14:textId="77777777" w:rsidR="0055337E" w:rsidRPr="0082503C" w:rsidRDefault="0055337E" w:rsidP="0082503C">
      <w:pPr>
        <w:spacing w:line="276" w:lineRule="auto"/>
        <w:jc w:val="both"/>
        <w:rPr>
          <w:rFonts w:ascii="Gadugi" w:hAnsi="Gadugi"/>
          <w:color w:val="000000" w:themeColor="text1"/>
          <w:sz w:val="24"/>
          <w:szCs w:val="24"/>
        </w:rPr>
      </w:pPr>
    </w:p>
    <w:p w14:paraId="6C076540" w14:textId="6B883AA6" w:rsidR="002B141D" w:rsidRPr="0082503C" w:rsidRDefault="004B4B0E" w:rsidP="0082503C">
      <w:pPr>
        <w:spacing w:line="276" w:lineRule="auto"/>
        <w:jc w:val="both"/>
        <w:rPr>
          <w:rFonts w:ascii="Gadugi" w:hAnsi="Gadugi"/>
          <w:b/>
          <w:color w:val="000000" w:themeColor="text1"/>
          <w:sz w:val="24"/>
          <w:szCs w:val="24"/>
        </w:rPr>
      </w:pPr>
      <w:r w:rsidRPr="0082503C">
        <w:rPr>
          <w:rFonts w:ascii="Gadugi" w:hAnsi="Gadugi" w:cs="Arial"/>
          <w:sz w:val="24"/>
          <w:szCs w:val="24"/>
        </w:rPr>
        <w:tab/>
        <w:t xml:space="preserve">  </w:t>
      </w:r>
      <w:r w:rsidR="002B141D" w:rsidRPr="0082503C">
        <w:rPr>
          <w:rFonts w:ascii="Gadugi" w:hAnsi="Gadugi"/>
          <w:b/>
          <w:color w:val="000000" w:themeColor="text1"/>
          <w:sz w:val="24"/>
          <w:szCs w:val="24"/>
          <w:lang w:val="es-419"/>
        </w:rPr>
        <w:tab/>
      </w:r>
      <w:r w:rsidR="002B141D" w:rsidRPr="0082503C">
        <w:rPr>
          <w:rFonts w:ascii="Gadugi" w:hAnsi="Gadugi"/>
          <w:b/>
          <w:color w:val="000000" w:themeColor="text1"/>
          <w:sz w:val="24"/>
          <w:szCs w:val="24"/>
          <w:lang w:val="es-419"/>
        </w:rPr>
        <w:tab/>
      </w:r>
      <w:r w:rsidR="002B141D" w:rsidRPr="0082503C">
        <w:rPr>
          <w:rFonts w:ascii="Gadugi" w:hAnsi="Gadugi"/>
          <w:b/>
          <w:color w:val="000000" w:themeColor="text1"/>
          <w:sz w:val="24"/>
          <w:szCs w:val="24"/>
          <w:lang w:val="es-419"/>
        </w:rPr>
        <w:tab/>
      </w:r>
      <w:r w:rsidR="002B141D" w:rsidRPr="0082503C">
        <w:rPr>
          <w:rFonts w:ascii="Gadugi" w:hAnsi="Gadugi"/>
          <w:b/>
          <w:color w:val="000000" w:themeColor="text1"/>
          <w:sz w:val="24"/>
          <w:szCs w:val="24"/>
        </w:rPr>
        <w:t>DECISIÓN</w:t>
      </w:r>
    </w:p>
    <w:p w14:paraId="6EE4B65E" w14:textId="77777777" w:rsidR="000A451B" w:rsidRPr="0082503C" w:rsidRDefault="000A451B" w:rsidP="0082503C">
      <w:pPr>
        <w:tabs>
          <w:tab w:val="left" w:pos="3108"/>
        </w:tabs>
        <w:spacing w:line="276" w:lineRule="auto"/>
        <w:ind w:firstLine="2835"/>
        <w:jc w:val="both"/>
        <w:rPr>
          <w:rFonts w:ascii="Gadugi" w:hAnsi="Gadugi" w:cs="Century Gothic"/>
          <w:color w:val="000000" w:themeColor="text1"/>
          <w:sz w:val="24"/>
          <w:szCs w:val="24"/>
        </w:rPr>
      </w:pPr>
    </w:p>
    <w:p w14:paraId="2AB3E5A8" w14:textId="77777777" w:rsidR="000A451B" w:rsidRPr="0082503C" w:rsidRDefault="000A451B" w:rsidP="0082503C">
      <w:pPr>
        <w:tabs>
          <w:tab w:val="left" w:pos="3108"/>
        </w:tabs>
        <w:spacing w:line="276" w:lineRule="auto"/>
        <w:ind w:firstLine="2835"/>
        <w:jc w:val="both"/>
        <w:rPr>
          <w:rFonts w:ascii="Gadugi" w:hAnsi="Gadugi" w:cs="Century Gothic"/>
          <w:color w:val="000000" w:themeColor="text1"/>
          <w:sz w:val="24"/>
          <w:szCs w:val="24"/>
        </w:rPr>
      </w:pPr>
    </w:p>
    <w:p w14:paraId="54542B5D" w14:textId="324C6C33" w:rsidR="00576E34" w:rsidRPr="0082503C" w:rsidRDefault="002B141D" w:rsidP="0082503C">
      <w:pPr>
        <w:tabs>
          <w:tab w:val="left" w:pos="3108"/>
        </w:tabs>
        <w:spacing w:line="276" w:lineRule="auto"/>
        <w:ind w:firstLine="2835"/>
        <w:jc w:val="both"/>
        <w:rPr>
          <w:rFonts w:ascii="Gadugi" w:hAnsi="Gadugi"/>
          <w:color w:val="000000" w:themeColor="text1"/>
          <w:sz w:val="24"/>
          <w:szCs w:val="24"/>
        </w:rPr>
      </w:pPr>
      <w:r w:rsidRPr="0082503C">
        <w:rPr>
          <w:rFonts w:ascii="Gadugi" w:hAnsi="Gadugi" w:cs="Century Gothic"/>
          <w:color w:val="000000" w:themeColor="text1"/>
          <w:sz w:val="24"/>
          <w:szCs w:val="24"/>
        </w:rPr>
        <w:t xml:space="preserve">En mérito de lo expuesto la </w:t>
      </w:r>
      <w:r w:rsidRPr="0082503C">
        <w:rPr>
          <w:rFonts w:ascii="Gadugi" w:hAnsi="Gadugi" w:cs="Century Gothic"/>
          <w:b/>
          <w:bCs/>
          <w:color w:val="000000" w:themeColor="text1"/>
          <w:sz w:val="24"/>
          <w:szCs w:val="24"/>
        </w:rPr>
        <w:t>Sala de Decisión Civil Familia del Tribunal Superior del Distrito Judicial de Pereira</w:t>
      </w:r>
      <w:r w:rsidRPr="0082503C">
        <w:rPr>
          <w:rFonts w:ascii="Gadugi" w:hAnsi="Gadugi" w:cs="Century Gothic"/>
          <w:color w:val="000000" w:themeColor="text1"/>
          <w:sz w:val="24"/>
          <w:szCs w:val="24"/>
        </w:rPr>
        <w:t>, administrando justicia en nombre de la República y por autoridad de la Ley</w:t>
      </w:r>
      <w:r w:rsidR="00D00EF1" w:rsidRPr="0082503C">
        <w:rPr>
          <w:rFonts w:ascii="Gadugi" w:hAnsi="Gadugi" w:cs="Century Gothic"/>
          <w:color w:val="000000" w:themeColor="text1"/>
          <w:sz w:val="24"/>
          <w:szCs w:val="24"/>
        </w:rPr>
        <w:t>,</w:t>
      </w:r>
      <w:r w:rsidRPr="0082503C">
        <w:rPr>
          <w:rFonts w:ascii="Gadugi" w:hAnsi="Gadugi" w:cs="Century Gothic"/>
          <w:color w:val="000000" w:themeColor="text1"/>
          <w:sz w:val="24"/>
          <w:szCs w:val="24"/>
        </w:rPr>
        <w:t xml:space="preserve"> </w:t>
      </w:r>
      <w:r w:rsidR="00290F75" w:rsidRPr="0082503C">
        <w:rPr>
          <w:rFonts w:ascii="Gadugi" w:hAnsi="Gadugi" w:cs="Century Gothic"/>
          <w:b/>
          <w:color w:val="000000" w:themeColor="text1"/>
          <w:sz w:val="24"/>
          <w:szCs w:val="24"/>
        </w:rPr>
        <w:t>MODIFICA</w:t>
      </w:r>
      <w:r w:rsidR="004B4B0E" w:rsidRPr="0082503C">
        <w:rPr>
          <w:rFonts w:ascii="Gadugi" w:hAnsi="Gadugi" w:cs="Century Gothic"/>
          <w:b/>
          <w:color w:val="000000" w:themeColor="text1"/>
          <w:sz w:val="24"/>
          <w:szCs w:val="24"/>
        </w:rPr>
        <w:t xml:space="preserve"> </w:t>
      </w:r>
      <w:r w:rsidRPr="0082503C">
        <w:rPr>
          <w:rFonts w:ascii="Gadugi" w:hAnsi="Gadugi" w:cs="Century Gothic"/>
          <w:bCs/>
          <w:color w:val="000000" w:themeColor="text1"/>
          <w:sz w:val="24"/>
          <w:szCs w:val="24"/>
        </w:rPr>
        <w:t xml:space="preserve">la sentencia </w:t>
      </w:r>
      <w:r w:rsidR="004B4B0E" w:rsidRPr="0082503C">
        <w:rPr>
          <w:rFonts w:ascii="Gadugi" w:hAnsi="Gadugi"/>
          <w:color w:val="000000" w:themeColor="text1"/>
          <w:sz w:val="24"/>
          <w:szCs w:val="24"/>
        </w:rPr>
        <w:t>impugnada</w:t>
      </w:r>
      <w:r w:rsidR="00290F75" w:rsidRPr="0082503C">
        <w:rPr>
          <w:rFonts w:ascii="Gadugi" w:hAnsi="Gadugi"/>
          <w:color w:val="000000" w:themeColor="text1"/>
          <w:sz w:val="24"/>
          <w:szCs w:val="24"/>
        </w:rPr>
        <w:t xml:space="preserve">, para en vez de negarla, </w:t>
      </w:r>
      <w:r w:rsidR="00290F75" w:rsidRPr="0082503C">
        <w:rPr>
          <w:rFonts w:ascii="Gadugi" w:hAnsi="Gadugi"/>
          <w:b/>
          <w:color w:val="000000" w:themeColor="text1"/>
          <w:sz w:val="24"/>
          <w:szCs w:val="24"/>
        </w:rPr>
        <w:t>DECLARAR IMPROCEDENTE</w:t>
      </w:r>
      <w:r w:rsidR="00290F75" w:rsidRPr="0082503C">
        <w:rPr>
          <w:rFonts w:ascii="Gadugi" w:hAnsi="Gadugi"/>
          <w:color w:val="000000" w:themeColor="text1"/>
          <w:sz w:val="24"/>
          <w:szCs w:val="24"/>
        </w:rPr>
        <w:t xml:space="preserve"> la presente acción de tutela.</w:t>
      </w:r>
    </w:p>
    <w:p w14:paraId="1EFD78B7" w14:textId="2EFD4B75" w:rsidR="00D00EF1" w:rsidRPr="0082503C" w:rsidRDefault="002731F9" w:rsidP="0082503C">
      <w:pPr>
        <w:spacing w:line="276" w:lineRule="auto"/>
        <w:jc w:val="both"/>
        <w:rPr>
          <w:rFonts w:ascii="Gadugi" w:hAnsi="Gadugi" w:cs="Arial"/>
          <w:b/>
          <w:color w:val="000000" w:themeColor="text1"/>
          <w:sz w:val="24"/>
          <w:szCs w:val="24"/>
        </w:rPr>
      </w:pPr>
      <w:r w:rsidRPr="0082503C">
        <w:rPr>
          <w:rFonts w:ascii="Gadugi" w:hAnsi="Gadugi" w:cs="Arial"/>
          <w:b/>
          <w:color w:val="000000" w:themeColor="text1"/>
          <w:sz w:val="24"/>
          <w:szCs w:val="24"/>
        </w:rPr>
        <w:tab/>
      </w:r>
      <w:r w:rsidRPr="0082503C">
        <w:rPr>
          <w:rFonts w:ascii="Gadugi" w:hAnsi="Gadugi" w:cs="Arial"/>
          <w:b/>
          <w:color w:val="000000" w:themeColor="text1"/>
          <w:sz w:val="24"/>
          <w:szCs w:val="24"/>
        </w:rPr>
        <w:tab/>
      </w:r>
      <w:r w:rsidRPr="0082503C">
        <w:rPr>
          <w:rFonts w:ascii="Gadugi" w:hAnsi="Gadugi" w:cs="Arial"/>
          <w:b/>
          <w:color w:val="000000" w:themeColor="text1"/>
          <w:sz w:val="24"/>
          <w:szCs w:val="24"/>
        </w:rPr>
        <w:tab/>
      </w:r>
      <w:r w:rsidRPr="0082503C">
        <w:rPr>
          <w:rFonts w:ascii="Gadugi" w:hAnsi="Gadugi" w:cs="Arial"/>
          <w:b/>
          <w:color w:val="000000" w:themeColor="text1"/>
          <w:sz w:val="24"/>
          <w:szCs w:val="24"/>
        </w:rPr>
        <w:tab/>
      </w:r>
    </w:p>
    <w:p w14:paraId="5608D06B" w14:textId="77777777" w:rsidR="00205ABE" w:rsidRPr="0082503C" w:rsidRDefault="002B141D" w:rsidP="0082503C">
      <w:pPr>
        <w:pStyle w:val="Textoindependiente2"/>
        <w:spacing w:after="0" w:line="276" w:lineRule="auto"/>
        <w:jc w:val="both"/>
        <w:rPr>
          <w:rFonts w:ascii="Gadugi" w:hAnsi="Gadugi"/>
          <w:color w:val="000000" w:themeColor="text1"/>
          <w:sz w:val="24"/>
          <w:szCs w:val="24"/>
          <w:lang w:val="es-419"/>
        </w:rPr>
      </w:pP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r>
      <w:r w:rsidRPr="0082503C">
        <w:rPr>
          <w:rFonts w:ascii="Gadugi" w:hAnsi="Gadugi"/>
          <w:color w:val="000000" w:themeColor="text1"/>
          <w:sz w:val="24"/>
          <w:szCs w:val="24"/>
        </w:rPr>
        <w:tab/>
        <w:t>Notifíquese esta decisión a las partes en la forma prevista en el artículo 5º del Decreto 306 de 1992</w:t>
      </w:r>
      <w:r w:rsidRPr="0082503C">
        <w:rPr>
          <w:rFonts w:ascii="Gadugi" w:hAnsi="Gadugi"/>
          <w:color w:val="000000" w:themeColor="text1"/>
          <w:sz w:val="24"/>
          <w:szCs w:val="24"/>
          <w:lang w:val="es-419"/>
        </w:rPr>
        <w:t xml:space="preserve">. </w:t>
      </w:r>
    </w:p>
    <w:p w14:paraId="7DD59477" w14:textId="1F6D5B6F" w:rsidR="00205ABE" w:rsidRPr="0082503C" w:rsidRDefault="002731F9" w:rsidP="0082503C">
      <w:pPr>
        <w:pStyle w:val="Textoindependiente2"/>
        <w:spacing w:after="0" w:line="276" w:lineRule="auto"/>
        <w:jc w:val="both"/>
        <w:rPr>
          <w:rFonts w:ascii="Gadugi" w:hAnsi="Gadugi"/>
          <w:color w:val="000000" w:themeColor="text1"/>
          <w:sz w:val="24"/>
          <w:szCs w:val="24"/>
          <w:lang w:val="es-419"/>
        </w:rPr>
      </w:pPr>
      <w:r w:rsidRPr="0082503C">
        <w:rPr>
          <w:rFonts w:ascii="Gadugi" w:hAnsi="Gadugi"/>
          <w:color w:val="000000" w:themeColor="text1"/>
          <w:sz w:val="24"/>
          <w:szCs w:val="24"/>
          <w:lang w:val="es-419"/>
        </w:rPr>
        <w:tab/>
      </w:r>
      <w:r w:rsidRPr="0082503C">
        <w:rPr>
          <w:rFonts w:ascii="Gadugi" w:hAnsi="Gadugi"/>
          <w:color w:val="000000" w:themeColor="text1"/>
          <w:sz w:val="24"/>
          <w:szCs w:val="24"/>
          <w:lang w:val="es-419"/>
        </w:rPr>
        <w:tab/>
      </w:r>
      <w:r w:rsidRPr="0082503C">
        <w:rPr>
          <w:rFonts w:ascii="Gadugi" w:hAnsi="Gadugi"/>
          <w:color w:val="000000" w:themeColor="text1"/>
          <w:sz w:val="24"/>
          <w:szCs w:val="24"/>
          <w:lang w:val="es-419"/>
        </w:rPr>
        <w:tab/>
      </w:r>
      <w:r w:rsidRPr="0082503C">
        <w:rPr>
          <w:rFonts w:ascii="Gadugi" w:hAnsi="Gadugi"/>
          <w:color w:val="000000" w:themeColor="text1"/>
          <w:sz w:val="24"/>
          <w:szCs w:val="24"/>
          <w:lang w:val="es-419"/>
        </w:rPr>
        <w:tab/>
      </w:r>
    </w:p>
    <w:p w14:paraId="378B8E78" w14:textId="5F72F300" w:rsidR="00205ABE" w:rsidRPr="0082503C" w:rsidRDefault="00205ABE" w:rsidP="0082503C">
      <w:pPr>
        <w:pStyle w:val="Textoindependiente2"/>
        <w:spacing w:after="0" w:line="276" w:lineRule="auto"/>
        <w:jc w:val="both"/>
        <w:rPr>
          <w:rFonts w:ascii="Gadugi" w:hAnsi="Gadugi"/>
          <w:color w:val="000000" w:themeColor="text1"/>
          <w:sz w:val="24"/>
          <w:szCs w:val="24"/>
        </w:rPr>
      </w:pPr>
      <w:r w:rsidRPr="0082503C">
        <w:rPr>
          <w:rFonts w:ascii="Gadugi" w:hAnsi="Gadugi"/>
          <w:color w:val="000000" w:themeColor="text1"/>
          <w:sz w:val="24"/>
          <w:szCs w:val="24"/>
          <w:lang w:val="es-419"/>
        </w:rPr>
        <w:t xml:space="preserve"> </w:t>
      </w:r>
      <w:r w:rsidRPr="0082503C">
        <w:rPr>
          <w:rFonts w:ascii="Gadugi" w:hAnsi="Gadugi"/>
          <w:color w:val="000000" w:themeColor="text1"/>
          <w:sz w:val="24"/>
          <w:szCs w:val="24"/>
          <w:lang w:val="es-419"/>
        </w:rPr>
        <w:tab/>
      </w:r>
      <w:r w:rsidRPr="0082503C">
        <w:rPr>
          <w:rFonts w:ascii="Gadugi" w:hAnsi="Gadugi"/>
          <w:color w:val="000000" w:themeColor="text1"/>
          <w:sz w:val="24"/>
          <w:szCs w:val="24"/>
          <w:lang w:val="es-419"/>
        </w:rPr>
        <w:tab/>
      </w:r>
      <w:r w:rsidRPr="0082503C">
        <w:rPr>
          <w:rFonts w:ascii="Gadugi" w:hAnsi="Gadugi"/>
          <w:color w:val="000000" w:themeColor="text1"/>
          <w:sz w:val="24"/>
          <w:szCs w:val="24"/>
          <w:lang w:val="es-419"/>
        </w:rPr>
        <w:tab/>
      </w:r>
      <w:r w:rsidRPr="0082503C">
        <w:rPr>
          <w:rFonts w:ascii="Gadugi" w:hAnsi="Gadugi"/>
          <w:color w:val="000000" w:themeColor="text1"/>
          <w:sz w:val="24"/>
          <w:szCs w:val="24"/>
          <w:lang w:val="es-419"/>
        </w:rPr>
        <w:tab/>
      </w:r>
      <w:r w:rsidR="0082503C">
        <w:rPr>
          <w:rFonts w:ascii="Gadugi" w:hAnsi="Gadugi"/>
          <w:color w:val="000000" w:themeColor="text1"/>
          <w:sz w:val="24"/>
          <w:szCs w:val="24"/>
        </w:rPr>
        <w:t>Op</w:t>
      </w:r>
      <w:r w:rsidR="002B141D" w:rsidRPr="0082503C">
        <w:rPr>
          <w:rFonts w:ascii="Gadugi" w:hAnsi="Gadugi"/>
          <w:color w:val="000000" w:themeColor="text1"/>
          <w:sz w:val="24"/>
          <w:szCs w:val="24"/>
        </w:rPr>
        <w:t>ortunamente remítase el expediente a la Corte Constitucional para su eventual revisión.</w:t>
      </w:r>
      <w:r w:rsidR="0080796E" w:rsidRPr="0082503C">
        <w:rPr>
          <w:rFonts w:ascii="Gadugi" w:hAnsi="Gadugi"/>
          <w:color w:val="000000" w:themeColor="text1"/>
          <w:sz w:val="24"/>
          <w:szCs w:val="24"/>
        </w:rPr>
        <w:t xml:space="preserve"> </w:t>
      </w:r>
    </w:p>
    <w:p w14:paraId="1CEA6EEF" w14:textId="77777777" w:rsidR="00205ABE" w:rsidRPr="0082503C" w:rsidRDefault="00205ABE" w:rsidP="0082503C">
      <w:pPr>
        <w:pStyle w:val="Textoindependiente2"/>
        <w:spacing w:after="0" w:line="276" w:lineRule="auto"/>
        <w:jc w:val="both"/>
        <w:rPr>
          <w:rFonts w:ascii="Gadugi" w:hAnsi="Gadugi"/>
          <w:color w:val="000000" w:themeColor="text1"/>
          <w:sz w:val="24"/>
          <w:szCs w:val="24"/>
        </w:rPr>
      </w:pPr>
    </w:p>
    <w:p w14:paraId="7964C4E3" w14:textId="7FE55B3F" w:rsidR="002B141D" w:rsidRPr="0082503C" w:rsidRDefault="0080796E" w:rsidP="0082503C">
      <w:pPr>
        <w:pStyle w:val="Textoindependiente2"/>
        <w:spacing w:after="0" w:line="276" w:lineRule="auto"/>
        <w:ind w:left="2124" w:firstLine="708"/>
        <w:jc w:val="both"/>
        <w:rPr>
          <w:rFonts w:ascii="Gadugi" w:hAnsi="Gadugi"/>
          <w:color w:val="000000" w:themeColor="text1"/>
          <w:sz w:val="24"/>
          <w:szCs w:val="24"/>
        </w:rPr>
      </w:pPr>
      <w:r w:rsidRPr="0082503C">
        <w:rPr>
          <w:rFonts w:ascii="Gadugi" w:hAnsi="Gadugi"/>
          <w:color w:val="000000" w:themeColor="text1"/>
          <w:sz w:val="24"/>
          <w:szCs w:val="24"/>
        </w:rPr>
        <w:t>A su regreso, archívese.</w:t>
      </w:r>
    </w:p>
    <w:p w14:paraId="631872BC" w14:textId="77777777" w:rsidR="00272AF7" w:rsidRPr="0082503C" w:rsidRDefault="00272AF7" w:rsidP="0082503C">
      <w:pPr>
        <w:spacing w:line="276" w:lineRule="auto"/>
        <w:ind w:firstLine="2835"/>
        <w:jc w:val="both"/>
        <w:rPr>
          <w:rFonts w:ascii="Gadugi" w:hAnsi="Gadugi" w:cs="Century Gothic"/>
          <w:color w:val="000000" w:themeColor="text1"/>
          <w:sz w:val="24"/>
          <w:szCs w:val="24"/>
        </w:rPr>
      </w:pPr>
    </w:p>
    <w:p w14:paraId="3BF6748F" w14:textId="22579937" w:rsidR="002B141D" w:rsidRPr="0082503C" w:rsidRDefault="002B141D" w:rsidP="0082503C">
      <w:pPr>
        <w:spacing w:line="276" w:lineRule="auto"/>
        <w:ind w:firstLine="2835"/>
        <w:jc w:val="both"/>
        <w:rPr>
          <w:rFonts w:ascii="Gadugi" w:hAnsi="Gadugi" w:cs="Century Gothic"/>
          <w:color w:val="000000" w:themeColor="text1"/>
          <w:sz w:val="24"/>
          <w:szCs w:val="24"/>
        </w:rPr>
      </w:pPr>
      <w:r w:rsidRPr="0082503C">
        <w:rPr>
          <w:rFonts w:ascii="Gadugi" w:hAnsi="Gadugi" w:cs="Century Gothic"/>
          <w:color w:val="000000" w:themeColor="text1"/>
          <w:sz w:val="24"/>
          <w:szCs w:val="24"/>
        </w:rPr>
        <w:t>Los Magistrados,</w:t>
      </w:r>
    </w:p>
    <w:p w14:paraId="3D080994" w14:textId="4E3F4892" w:rsidR="0080796E" w:rsidRDefault="0080796E" w:rsidP="0082503C">
      <w:pPr>
        <w:spacing w:line="276" w:lineRule="auto"/>
        <w:ind w:firstLine="2835"/>
        <w:jc w:val="both"/>
        <w:rPr>
          <w:rFonts w:ascii="Gadugi" w:hAnsi="Gadugi" w:cs="Century Gothic"/>
          <w:b/>
          <w:bCs/>
          <w:color w:val="000000" w:themeColor="text1"/>
          <w:sz w:val="24"/>
          <w:szCs w:val="24"/>
        </w:rPr>
      </w:pPr>
    </w:p>
    <w:p w14:paraId="6CCFDCBB" w14:textId="77777777" w:rsidR="0082503C" w:rsidRPr="0082503C" w:rsidRDefault="0082503C" w:rsidP="0082503C">
      <w:pPr>
        <w:spacing w:line="276" w:lineRule="auto"/>
        <w:ind w:firstLine="2835"/>
        <w:jc w:val="both"/>
        <w:rPr>
          <w:rFonts w:ascii="Gadugi" w:hAnsi="Gadugi" w:cs="Century Gothic"/>
          <w:b/>
          <w:bCs/>
          <w:color w:val="000000" w:themeColor="text1"/>
          <w:sz w:val="24"/>
          <w:szCs w:val="24"/>
        </w:rPr>
      </w:pPr>
    </w:p>
    <w:p w14:paraId="2095930C" w14:textId="77777777" w:rsidR="002B141D" w:rsidRPr="0082503C" w:rsidRDefault="002B141D" w:rsidP="0082503C">
      <w:pPr>
        <w:spacing w:line="276" w:lineRule="auto"/>
        <w:ind w:firstLine="2835"/>
        <w:jc w:val="both"/>
        <w:rPr>
          <w:rFonts w:ascii="Gadugi" w:hAnsi="Gadugi" w:cs="Century Gothic"/>
          <w:b/>
          <w:bCs/>
          <w:color w:val="000000" w:themeColor="text1"/>
          <w:sz w:val="24"/>
          <w:szCs w:val="24"/>
        </w:rPr>
      </w:pPr>
      <w:r w:rsidRPr="0082503C">
        <w:rPr>
          <w:rFonts w:ascii="Gadugi" w:hAnsi="Gadugi" w:cs="Century Gothic"/>
          <w:b/>
          <w:bCs/>
          <w:color w:val="000000" w:themeColor="text1"/>
          <w:sz w:val="24"/>
          <w:szCs w:val="24"/>
        </w:rPr>
        <w:t>JAIME ALBERTO SARAZA NARANJO</w:t>
      </w:r>
    </w:p>
    <w:p w14:paraId="3960390D" w14:textId="31F225D9" w:rsidR="0080796E" w:rsidRDefault="0080796E" w:rsidP="0082503C">
      <w:pPr>
        <w:spacing w:line="276" w:lineRule="auto"/>
        <w:ind w:firstLine="2835"/>
        <w:jc w:val="both"/>
        <w:rPr>
          <w:rFonts w:ascii="Gadugi" w:hAnsi="Gadugi" w:cs="Century Gothic"/>
          <w:b/>
          <w:bCs/>
          <w:color w:val="000000" w:themeColor="text1"/>
          <w:sz w:val="24"/>
          <w:szCs w:val="24"/>
        </w:rPr>
      </w:pPr>
    </w:p>
    <w:p w14:paraId="31A2D12C" w14:textId="77777777" w:rsidR="0082503C" w:rsidRPr="0082503C" w:rsidRDefault="0082503C" w:rsidP="0082503C">
      <w:pPr>
        <w:spacing w:line="276" w:lineRule="auto"/>
        <w:ind w:firstLine="2835"/>
        <w:jc w:val="both"/>
        <w:rPr>
          <w:rFonts w:ascii="Gadugi" w:hAnsi="Gadugi" w:cs="Century Gothic"/>
          <w:b/>
          <w:bCs/>
          <w:color w:val="000000" w:themeColor="text1"/>
          <w:sz w:val="24"/>
          <w:szCs w:val="24"/>
        </w:rPr>
      </w:pPr>
    </w:p>
    <w:p w14:paraId="289079DE" w14:textId="3CBD27E3" w:rsidR="00205ABE" w:rsidRPr="0082503C" w:rsidRDefault="0080796E" w:rsidP="0082503C">
      <w:pPr>
        <w:spacing w:line="276" w:lineRule="auto"/>
        <w:ind w:right="-374" w:firstLine="2835"/>
        <w:jc w:val="both"/>
        <w:rPr>
          <w:rFonts w:ascii="Gadugi" w:hAnsi="Gadugi" w:cs="Century Gothic"/>
          <w:b/>
          <w:bCs/>
          <w:color w:val="000000" w:themeColor="text1"/>
          <w:sz w:val="24"/>
          <w:szCs w:val="24"/>
        </w:rPr>
      </w:pPr>
      <w:r w:rsidRPr="0082503C">
        <w:rPr>
          <w:rFonts w:ascii="Gadugi" w:hAnsi="Gadugi" w:cs="Century Gothic"/>
          <w:b/>
          <w:bCs/>
          <w:color w:val="000000" w:themeColor="text1"/>
          <w:sz w:val="24"/>
          <w:szCs w:val="24"/>
        </w:rPr>
        <w:t>CA</w:t>
      </w:r>
      <w:r w:rsidR="003545B5" w:rsidRPr="0082503C">
        <w:rPr>
          <w:rFonts w:ascii="Gadugi" w:hAnsi="Gadugi" w:cs="Century Gothic"/>
          <w:b/>
          <w:bCs/>
          <w:color w:val="000000" w:themeColor="text1"/>
          <w:sz w:val="24"/>
          <w:szCs w:val="24"/>
        </w:rPr>
        <w:t>RLOS MAURICIO GARCÍA BARAJAS</w:t>
      </w:r>
      <w:r w:rsidR="00D97D5E" w:rsidRPr="0082503C">
        <w:rPr>
          <w:rFonts w:ascii="Gadugi" w:hAnsi="Gadugi" w:cs="Century Gothic"/>
          <w:b/>
          <w:bCs/>
          <w:color w:val="000000" w:themeColor="text1"/>
          <w:sz w:val="24"/>
          <w:szCs w:val="24"/>
        </w:rPr>
        <w:t xml:space="preserve">   </w:t>
      </w:r>
    </w:p>
    <w:p w14:paraId="1B97456A" w14:textId="175A8D85" w:rsidR="00205ABE" w:rsidRDefault="00205ABE" w:rsidP="0082503C">
      <w:pPr>
        <w:spacing w:line="276" w:lineRule="auto"/>
        <w:ind w:right="-374"/>
        <w:jc w:val="both"/>
        <w:rPr>
          <w:rFonts w:ascii="Gadugi" w:hAnsi="Gadugi" w:cs="Century Gothic"/>
          <w:b/>
          <w:bCs/>
          <w:color w:val="000000" w:themeColor="text1"/>
          <w:sz w:val="24"/>
          <w:szCs w:val="24"/>
        </w:rPr>
      </w:pPr>
    </w:p>
    <w:p w14:paraId="07F3E057" w14:textId="77777777" w:rsidR="0082503C" w:rsidRPr="0082503C" w:rsidRDefault="0082503C" w:rsidP="0082503C">
      <w:pPr>
        <w:spacing w:line="276" w:lineRule="auto"/>
        <w:ind w:right="-374"/>
        <w:jc w:val="both"/>
        <w:rPr>
          <w:rFonts w:ascii="Gadugi" w:hAnsi="Gadugi" w:cs="Century Gothic"/>
          <w:b/>
          <w:bCs/>
          <w:color w:val="000000" w:themeColor="text1"/>
          <w:sz w:val="24"/>
          <w:szCs w:val="24"/>
        </w:rPr>
      </w:pPr>
    </w:p>
    <w:p w14:paraId="6A1596F5" w14:textId="2F818866" w:rsidR="00416259" w:rsidRPr="0082503C" w:rsidRDefault="003545B5" w:rsidP="0082503C">
      <w:pPr>
        <w:spacing w:line="276" w:lineRule="auto"/>
        <w:ind w:left="708" w:right="-374" w:firstLine="2127"/>
        <w:jc w:val="both"/>
        <w:rPr>
          <w:rFonts w:ascii="Gadugi" w:hAnsi="Gadugi" w:cs="Century Gothic"/>
          <w:b/>
          <w:bCs/>
          <w:color w:val="000000" w:themeColor="text1"/>
          <w:sz w:val="24"/>
          <w:szCs w:val="24"/>
        </w:rPr>
      </w:pPr>
      <w:r w:rsidRPr="0082503C">
        <w:rPr>
          <w:rFonts w:ascii="Gadugi" w:hAnsi="Gadugi" w:cs="Century Gothic"/>
          <w:b/>
          <w:bCs/>
          <w:color w:val="000000" w:themeColor="text1"/>
          <w:sz w:val="24"/>
          <w:szCs w:val="24"/>
        </w:rPr>
        <w:t>DUBERNEY GRISALES HERRERA</w:t>
      </w:r>
    </w:p>
    <w:sectPr w:rsidR="00416259" w:rsidRPr="0082503C" w:rsidSect="00171F02">
      <w:headerReference w:type="default" r:id="rId11"/>
      <w:footerReference w:type="default" r:id="rId12"/>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DB5F96" w16cex:dateUtc="2021-03-24T18:35:24.038Z"/>
  <w16cex:commentExtensible w16cex:durableId="5B57276F" w16cex:dateUtc="2021-06-04T14:05:25.152Z"/>
  <w16cex:commentExtensible w16cex:durableId="58CA4CB0" w16cex:dateUtc="2021-06-04T21:12:50.239Z"/>
  <w16cex:commentExtensible w16cex:durableId="574FBE79" w16cex:dateUtc="2021-06-24T14:55:04.697Z"/>
  <w16cex:commentExtensible w16cex:durableId="08273F01" w16cex:dateUtc="2021-10-28T13:58:33.436Z"/>
  <w16cex:commentExtensible w16cex:durableId="3C736AC2" w16cex:dateUtc="2021-10-28T20:07:33.301Z"/>
  <w16cex:commentExtensible w16cex:durableId="5BF3CC88" w16cex:dateUtc="2022-01-31T19:47:50.799Z"/>
  <w16cex:commentExtensible w16cex:durableId="71CEA252" w16cex:dateUtc="2022-01-31T21:27:53.9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6169F" w14:textId="77777777" w:rsidR="001B65E8" w:rsidRDefault="001B65E8" w:rsidP="00CD73E5">
      <w:r>
        <w:separator/>
      </w:r>
    </w:p>
  </w:endnote>
  <w:endnote w:type="continuationSeparator" w:id="0">
    <w:p w14:paraId="6EF0662B" w14:textId="77777777" w:rsidR="001B65E8" w:rsidRDefault="001B65E8"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1A3F" w14:textId="70C8A443" w:rsidR="007C7ADD" w:rsidRPr="00977F83" w:rsidRDefault="007C7ADD">
    <w:pPr>
      <w:pStyle w:val="Piedepgina"/>
      <w:framePr w:wrap="auto" w:vAnchor="text" w:hAnchor="margin" w:xAlign="right" w:y="1"/>
      <w:rPr>
        <w:rStyle w:val="Nmerodepgina"/>
        <w:rFonts w:ascii="Century" w:hAnsi="Century"/>
        <w:sz w:val="18"/>
      </w:rPr>
    </w:pPr>
    <w:r w:rsidRPr="00977F83">
      <w:rPr>
        <w:rStyle w:val="Nmerodepgina"/>
        <w:rFonts w:ascii="Century" w:hAnsi="Century"/>
        <w:sz w:val="18"/>
      </w:rPr>
      <w:fldChar w:fldCharType="begin"/>
    </w:r>
    <w:r w:rsidRPr="00977F83">
      <w:rPr>
        <w:rStyle w:val="Nmerodepgina"/>
        <w:rFonts w:ascii="Century" w:hAnsi="Century"/>
        <w:sz w:val="18"/>
      </w:rPr>
      <w:instrText xml:space="preserve">PAGE  </w:instrText>
    </w:r>
    <w:r w:rsidRPr="00977F83">
      <w:rPr>
        <w:rStyle w:val="Nmerodepgina"/>
        <w:rFonts w:ascii="Century" w:hAnsi="Century"/>
        <w:sz w:val="18"/>
      </w:rPr>
      <w:fldChar w:fldCharType="separate"/>
    </w:r>
    <w:r w:rsidRPr="00977F83">
      <w:rPr>
        <w:rStyle w:val="Nmerodepgina"/>
        <w:rFonts w:ascii="Century" w:hAnsi="Century"/>
        <w:noProof/>
        <w:sz w:val="18"/>
      </w:rPr>
      <w:t>10</w:t>
    </w:r>
    <w:r w:rsidRPr="00977F83">
      <w:rPr>
        <w:rStyle w:val="Nmerodepgina"/>
        <w:rFonts w:ascii="Century" w:hAnsi="Century"/>
        <w:sz w:val="18"/>
      </w:rPr>
      <w:fldChar w:fldCharType="end"/>
    </w:r>
  </w:p>
  <w:p w14:paraId="39499B75" w14:textId="77777777" w:rsidR="007C7ADD" w:rsidRDefault="007C7AD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22A6E" w14:textId="77777777" w:rsidR="001B65E8" w:rsidRDefault="001B65E8" w:rsidP="00CD73E5">
      <w:r>
        <w:separator/>
      </w:r>
    </w:p>
  </w:footnote>
  <w:footnote w:type="continuationSeparator" w:id="0">
    <w:p w14:paraId="2EF93EDE" w14:textId="77777777" w:rsidR="001B65E8" w:rsidRDefault="001B65E8" w:rsidP="00CD73E5">
      <w:r>
        <w:continuationSeparator/>
      </w:r>
    </w:p>
  </w:footnote>
  <w:footnote w:id="1">
    <w:p w14:paraId="7E9FA00E" w14:textId="62D84472" w:rsidR="00192B43" w:rsidRPr="00977F83" w:rsidRDefault="00192B43"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w:t>
      </w:r>
      <w:r w:rsidRPr="00977F83">
        <w:rPr>
          <w:rFonts w:ascii="Century" w:hAnsi="Century"/>
          <w:sz w:val="18"/>
          <w:szCs w:val="22"/>
          <w:lang w:val="es-CO"/>
        </w:rPr>
        <w:t xml:space="preserve">Documento 02, C. 1. </w:t>
      </w:r>
    </w:p>
  </w:footnote>
  <w:footnote w:id="2">
    <w:p w14:paraId="3910B93A" w14:textId="263EE00F" w:rsidR="00192B43" w:rsidRPr="00977F83" w:rsidRDefault="00192B43"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w:t>
      </w:r>
      <w:r w:rsidRPr="00977F83">
        <w:rPr>
          <w:rFonts w:ascii="Century" w:hAnsi="Century"/>
          <w:sz w:val="18"/>
          <w:szCs w:val="22"/>
          <w:lang w:val="es-CO"/>
        </w:rPr>
        <w:t>Documento 04, C. 1.</w:t>
      </w:r>
    </w:p>
  </w:footnote>
  <w:footnote w:id="3">
    <w:p w14:paraId="38052AB5" w14:textId="28E2317D" w:rsidR="00192B43" w:rsidRPr="00977F83" w:rsidRDefault="00192B43"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w:t>
      </w:r>
      <w:r w:rsidRPr="00977F83">
        <w:rPr>
          <w:rFonts w:ascii="Century" w:hAnsi="Century"/>
          <w:sz w:val="18"/>
          <w:szCs w:val="22"/>
          <w:lang w:val="es-CO"/>
        </w:rPr>
        <w:t>Documento 10, C. 1.</w:t>
      </w:r>
    </w:p>
  </w:footnote>
  <w:footnote w:id="4">
    <w:p w14:paraId="30A62630" w14:textId="08DC3D91" w:rsidR="00192B43" w:rsidRPr="00977F83" w:rsidRDefault="00192B43"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w:t>
      </w:r>
      <w:r w:rsidRPr="00977F83">
        <w:rPr>
          <w:rFonts w:ascii="Century" w:hAnsi="Century"/>
          <w:sz w:val="18"/>
          <w:szCs w:val="22"/>
          <w:lang w:val="es-CO"/>
        </w:rPr>
        <w:t>Documento 15, C. 1.</w:t>
      </w:r>
    </w:p>
  </w:footnote>
  <w:footnote w:id="5">
    <w:p w14:paraId="551E5444" w14:textId="2C5F2596" w:rsidR="00192B43" w:rsidRPr="00977F83" w:rsidRDefault="00192B43"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w:t>
      </w:r>
      <w:r w:rsidR="00AA09D4" w:rsidRPr="00977F83">
        <w:rPr>
          <w:rFonts w:ascii="Century" w:hAnsi="Century"/>
          <w:sz w:val="18"/>
          <w:szCs w:val="22"/>
          <w:lang w:val="es-CO"/>
        </w:rPr>
        <w:t>Documento 17, C. 1.</w:t>
      </w:r>
    </w:p>
  </w:footnote>
  <w:footnote w:id="6">
    <w:p w14:paraId="62612299" w14:textId="200D53AC" w:rsidR="00AA09D4" w:rsidRPr="00977F83" w:rsidRDefault="00AA09D4"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w:t>
      </w:r>
      <w:r w:rsidRPr="00977F83">
        <w:rPr>
          <w:rFonts w:ascii="Century" w:hAnsi="Century"/>
          <w:sz w:val="18"/>
          <w:szCs w:val="22"/>
          <w:lang w:val="es-CO"/>
        </w:rPr>
        <w:t>Documento 19, C. 1.</w:t>
      </w:r>
    </w:p>
  </w:footnote>
  <w:footnote w:id="7">
    <w:p w14:paraId="173086B1" w14:textId="77777777" w:rsidR="007C7ADD" w:rsidRPr="00977F83" w:rsidRDefault="007C7ADD" w:rsidP="00977F83">
      <w:pPr>
        <w:pStyle w:val="Textonotapie"/>
        <w:tabs>
          <w:tab w:val="left" w:pos="426"/>
        </w:tabs>
        <w:jc w:val="both"/>
        <w:rPr>
          <w:rFonts w:ascii="Century" w:hAnsi="Century" w:cstheme="majorHAnsi"/>
          <w:sz w:val="18"/>
          <w:szCs w:val="22"/>
          <w:lang w:val="es-CO"/>
        </w:rPr>
      </w:pPr>
      <w:r w:rsidRPr="00977F83">
        <w:rPr>
          <w:rStyle w:val="Refdenotaalpie"/>
          <w:rFonts w:ascii="Century" w:hAnsi="Century" w:cstheme="majorHAnsi"/>
          <w:sz w:val="18"/>
          <w:szCs w:val="22"/>
        </w:rPr>
        <w:footnoteRef/>
      </w:r>
      <w:r w:rsidRPr="00977F83">
        <w:rPr>
          <w:rFonts w:ascii="Century" w:hAnsi="Century" w:cstheme="majorHAnsi"/>
          <w:sz w:val="18"/>
          <w:szCs w:val="22"/>
          <w:vertAlign w:val="superscript"/>
        </w:rPr>
        <w:t xml:space="preserve"> </w:t>
      </w:r>
      <w:r w:rsidRPr="00977F83">
        <w:rPr>
          <w:rFonts w:ascii="Century" w:hAnsi="Century" w:cstheme="majorHAnsi"/>
          <w:sz w:val="18"/>
          <w:szCs w:val="22"/>
        </w:rPr>
        <w:t>Sentencia C-543-92</w:t>
      </w:r>
    </w:p>
  </w:footnote>
  <w:footnote w:id="8">
    <w:p w14:paraId="7705FC1D" w14:textId="04948A5C" w:rsidR="00290F75" w:rsidRPr="00977F83" w:rsidRDefault="00290F75"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w:t>
      </w:r>
      <w:r w:rsidRPr="00977F83">
        <w:rPr>
          <w:rFonts w:ascii="Century" w:hAnsi="Century"/>
          <w:sz w:val="18"/>
          <w:szCs w:val="22"/>
          <w:lang w:val="es-CO"/>
        </w:rPr>
        <w:t>Documento 06, C. 1.</w:t>
      </w:r>
    </w:p>
  </w:footnote>
  <w:footnote w:id="9">
    <w:p w14:paraId="10FE382C" w14:textId="6A19BFFE" w:rsidR="00290F75" w:rsidRPr="00977F83" w:rsidRDefault="00290F75"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w:t>
      </w:r>
      <w:r w:rsidRPr="00977F83">
        <w:rPr>
          <w:rFonts w:ascii="Century" w:hAnsi="Century"/>
          <w:sz w:val="18"/>
          <w:szCs w:val="22"/>
          <w:lang w:val="es-CO"/>
        </w:rPr>
        <w:t>Pág. 11, Documento 03, C. 1.</w:t>
      </w:r>
    </w:p>
  </w:footnote>
  <w:footnote w:id="10">
    <w:p w14:paraId="183D6BCF" w14:textId="2391A541" w:rsidR="00290F75" w:rsidRPr="00977F83" w:rsidRDefault="00290F75"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w:t>
      </w:r>
      <w:r w:rsidRPr="00977F83">
        <w:rPr>
          <w:rFonts w:ascii="Century" w:hAnsi="Century"/>
          <w:sz w:val="18"/>
          <w:szCs w:val="22"/>
          <w:lang w:val="es-CO"/>
        </w:rPr>
        <w:t>Pág</w:t>
      </w:r>
      <w:r w:rsidR="008D2C52" w:rsidRPr="00977F83">
        <w:rPr>
          <w:rFonts w:ascii="Century" w:hAnsi="Century"/>
          <w:sz w:val="18"/>
          <w:szCs w:val="22"/>
          <w:lang w:val="es-CO"/>
        </w:rPr>
        <w:t>s</w:t>
      </w:r>
      <w:r w:rsidRPr="00977F83">
        <w:rPr>
          <w:rFonts w:ascii="Century" w:hAnsi="Century"/>
          <w:sz w:val="18"/>
          <w:szCs w:val="22"/>
          <w:lang w:val="es-CO"/>
        </w:rPr>
        <w:t>.</w:t>
      </w:r>
      <w:r w:rsidR="008D2C52" w:rsidRPr="00977F83">
        <w:rPr>
          <w:rFonts w:ascii="Century" w:hAnsi="Century"/>
          <w:sz w:val="18"/>
          <w:szCs w:val="22"/>
          <w:lang w:val="es-CO"/>
        </w:rPr>
        <w:t xml:space="preserve"> 57 a</w:t>
      </w:r>
      <w:r w:rsidRPr="00977F83">
        <w:rPr>
          <w:rFonts w:ascii="Century" w:hAnsi="Century"/>
          <w:sz w:val="18"/>
          <w:szCs w:val="22"/>
          <w:lang w:val="es-CO"/>
        </w:rPr>
        <w:t xml:space="preserve"> </w:t>
      </w:r>
      <w:r w:rsidR="008D2C52" w:rsidRPr="00977F83">
        <w:rPr>
          <w:rFonts w:ascii="Century" w:hAnsi="Century"/>
          <w:sz w:val="18"/>
          <w:szCs w:val="22"/>
          <w:lang w:val="es-CO"/>
        </w:rPr>
        <w:t>60</w:t>
      </w:r>
      <w:r w:rsidRPr="00977F83">
        <w:rPr>
          <w:rFonts w:ascii="Century" w:hAnsi="Century"/>
          <w:sz w:val="18"/>
          <w:szCs w:val="22"/>
          <w:lang w:val="es-CO"/>
        </w:rPr>
        <w:t xml:space="preserve">, </w:t>
      </w:r>
      <w:r w:rsidR="008D2C52" w:rsidRPr="00977F83">
        <w:rPr>
          <w:rFonts w:ascii="Century" w:hAnsi="Century"/>
          <w:sz w:val="18"/>
          <w:szCs w:val="22"/>
          <w:lang w:val="es-CO"/>
        </w:rPr>
        <w:t>C. Ppal., Expediente 2019-538, C. 1.</w:t>
      </w:r>
    </w:p>
  </w:footnote>
  <w:footnote w:id="11">
    <w:p w14:paraId="13DBCEC1" w14:textId="2F3E102D" w:rsidR="008D2C52" w:rsidRPr="00977F83" w:rsidRDefault="008D2C52"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w:t>
      </w:r>
      <w:r w:rsidRPr="00977F83">
        <w:rPr>
          <w:rFonts w:ascii="Century" w:hAnsi="Century"/>
          <w:sz w:val="18"/>
          <w:szCs w:val="22"/>
          <w:lang w:val="es-CO"/>
        </w:rPr>
        <w:t>Documento 01., C. 1.</w:t>
      </w:r>
    </w:p>
  </w:footnote>
  <w:footnote w:id="12">
    <w:p w14:paraId="777C6355" w14:textId="782C5DB0" w:rsidR="008D2C52" w:rsidRPr="00977F83" w:rsidRDefault="008D2C52"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Por ejemplo, sentencia T-461/19.</w:t>
      </w:r>
    </w:p>
  </w:footnote>
  <w:footnote w:id="13">
    <w:p w14:paraId="04D216E7" w14:textId="592F6DCB" w:rsidR="008D2C52" w:rsidRPr="00977F83" w:rsidRDefault="008D2C52"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w:t>
      </w:r>
      <w:r w:rsidRPr="00977F83">
        <w:rPr>
          <w:rFonts w:ascii="Century" w:hAnsi="Century"/>
          <w:sz w:val="18"/>
          <w:szCs w:val="22"/>
          <w:lang w:val="es-CO"/>
        </w:rPr>
        <w:t>Págs. 86 y 87, C. Ppal., Expediente 2019-538, C. 1.</w:t>
      </w:r>
    </w:p>
  </w:footnote>
  <w:footnote w:id="14">
    <w:p w14:paraId="1F48583F" w14:textId="215D1549" w:rsidR="000909EC" w:rsidRPr="00977F83" w:rsidRDefault="000909EC" w:rsidP="00977F83">
      <w:pPr>
        <w:pStyle w:val="Textonotapie"/>
        <w:jc w:val="both"/>
        <w:rPr>
          <w:rFonts w:ascii="Century" w:hAnsi="Century"/>
          <w:sz w:val="18"/>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“Dichas causales podrán alegarse en el proceso ejecutivo, incluso con posterioridad a la orden de seguir adelante con la ejecución, mientras no haya terminado </w:t>
      </w:r>
      <w:r w:rsidRPr="00977F83">
        <w:rPr>
          <w:rFonts w:ascii="Century" w:hAnsi="Century"/>
          <w:sz w:val="18"/>
          <w:szCs w:val="22"/>
          <w:u w:val="single"/>
        </w:rPr>
        <w:t>por el pago total a los acreedores</w:t>
      </w:r>
      <w:r w:rsidRPr="00977F83">
        <w:rPr>
          <w:rFonts w:ascii="Century" w:hAnsi="Century"/>
          <w:sz w:val="18"/>
          <w:szCs w:val="22"/>
        </w:rPr>
        <w:t xml:space="preserve"> o por cualquier otra causa legal.” (Se destaca). </w:t>
      </w:r>
    </w:p>
  </w:footnote>
  <w:footnote w:id="15">
    <w:p w14:paraId="16B82487" w14:textId="77777777" w:rsidR="00B052B7" w:rsidRPr="00977F83" w:rsidRDefault="00B052B7" w:rsidP="00977F83">
      <w:pPr>
        <w:pStyle w:val="Textonotapie"/>
        <w:jc w:val="both"/>
        <w:rPr>
          <w:rFonts w:ascii="Century" w:hAnsi="Century" w:cstheme="majorHAnsi"/>
          <w:sz w:val="18"/>
          <w:szCs w:val="22"/>
          <w:lang w:val="es-CO"/>
        </w:rPr>
      </w:pPr>
      <w:r w:rsidRPr="00977F83">
        <w:rPr>
          <w:rStyle w:val="Refdenotaalpie"/>
          <w:rFonts w:ascii="Century" w:hAnsi="Century" w:cstheme="majorHAnsi"/>
          <w:sz w:val="18"/>
          <w:szCs w:val="22"/>
        </w:rPr>
        <w:footnoteRef/>
      </w:r>
      <w:r w:rsidRPr="00977F83">
        <w:rPr>
          <w:rFonts w:ascii="Century" w:hAnsi="Century" w:cstheme="majorHAnsi"/>
          <w:sz w:val="18"/>
          <w:szCs w:val="22"/>
        </w:rPr>
        <w:t xml:space="preserve"> Sentencia STC6232-2021, del 2 de junio de 2021, M.P. Álvaro Fernando García Restrepo.</w:t>
      </w:r>
    </w:p>
  </w:footnote>
  <w:footnote w:id="16">
    <w:p w14:paraId="0840ACC0" w14:textId="12F75514" w:rsidR="00311978" w:rsidRPr="00311978" w:rsidRDefault="00311978" w:rsidP="00977F83">
      <w:pPr>
        <w:pStyle w:val="Textonotapie"/>
        <w:jc w:val="both"/>
        <w:rPr>
          <w:rFonts w:ascii="Bahnschrift Light SemiCondensed" w:hAnsi="Bahnschrift Light SemiCondensed"/>
          <w:sz w:val="22"/>
          <w:szCs w:val="22"/>
          <w:lang w:val="es-CO"/>
        </w:rPr>
      </w:pPr>
      <w:r w:rsidRPr="00977F83">
        <w:rPr>
          <w:rStyle w:val="Refdenotaalpie"/>
          <w:rFonts w:ascii="Century" w:hAnsi="Century"/>
          <w:sz w:val="18"/>
          <w:szCs w:val="22"/>
        </w:rPr>
        <w:footnoteRef/>
      </w:r>
      <w:r w:rsidRPr="00977F83">
        <w:rPr>
          <w:rFonts w:ascii="Century" w:hAnsi="Century"/>
          <w:sz w:val="18"/>
          <w:szCs w:val="22"/>
        </w:rPr>
        <w:t xml:space="preserve"> Sentencia STC17367-2021, del 15 de diciembre de 2021, M.P. Luis Alonso Rico Puerta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36D" w14:textId="77777777" w:rsidR="007C7ADD" w:rsidRDefault="007C7ADD"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3149F"/>
    <w:multiLevelType w:val="hybridMultilevel"/>
    <w:tmpl w:val="EBDC0786"/>
    <w:lvl w:ilvl="0" w:tplc="E0386EC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9133DDD"/>
    <w:multiLevelType w:val="hybridMultilevel"/>
    <w:tmpl w:val="01542EC2"/>
    <w:lvl w:ilvl="0" w:tplc="653AC25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13A8B"/>
    <w:rsid w:val="00023EB7"/>
    <w:rsid w:val="00025DE3"/>
    <w:rsid w:val="00031AE1"/>
    <w:rsid w:val="00032C87"/>
    <w:rsid w:val="00036916"/>
    <w:rsid w:val="00042088"/>
    <w:rsid w:val="00042810"/>
    <w:rsid w:val="00042E46"/>
    <w:rsid w:val="00044F41"/>
    <w:rsid w:val="00046077"/>
    <w:rsid w:val="000561F5"/>
    <w:rsid w:val="00057B30"/>
    <w:rsid w:val="00057FEF"/>
    <w:rsid w:val="0006073D"/>
    <w:rsid w:val="000649B3"/>
    <w:rsid w:val="00064D81"/>
    <w:rsid w:val="00072FD4"/>
    <w:rsid w:val="00082447"/>
    <w:rsid w:val="00083C12"/>
    <w:rsid w:val="00084A35"/>
    <w:rsid w:val="0008760C"/>
    <w:rsid w:val="000909EC"/>
    <w:rsid w:val="00091629"/>
    <w:rsid w:val="00094A61"/>
    <w:rsid w:val="00095C04"/>
    <w:rsid w:val="000A14CD"/>
    <w:rsid w:val="000A451B"/>
    <w:rsid w:val="000A7920"/>
    <w:rsid w:val="000B4BDC"/>
    <w:rsid w:val="000C44EF"/>
    <w:rsid w:val="000C48EF"/>
    <w:rsid w:val="000D7583"/>
    <w:rsid w:val="000E00D1"/>
    <w:rsid w:val="000E3800"/>
    <w:rsid w:val="000E4D5F"/>
    <w:rsid w:val="000F189F"/>
    <w:rsid w:val="000F443B"/>
    <w:rsid w:val="000F67BE"/>
    <w:rsid w:val="00102CDF"/>
    <w:rsid w:val="0010676D"/>
    <w:rsid w:val="00106AA4"/>
    <w:rsid w:val="001078C7"/>
    <w:rsid w:val="001101C9"/>
    <w:rsid w:val="00123442"/>
    <w:rsid w:val="001247B9"/>
    <w:rsid w:val="00127C1F"/>
    <w:rsid w:val="001313B3"/>
    <w:rsid w:val="001355B9"/>
    <w:rsid w:val="0013682D"/>
    <w:rsid w:val="00137D12"/>
    <w:rsid w:val="00140F76"/>
    <w:rsid w:val="00144607"/>
    <w:rsid w:val="00146C88"/>
    <w:rsid w:val="00154319"/>
    <w:rsid w:val="001547A5"/>
    <w:rsid w:val="00171F02"/>
    <w:rsid w:val="0017328F"/>
    <w:rsid w:val="0017505B"/>
    <w:rsid w:val="0018035F"/>
    <w:rsid w:val="00187887"/>
    <w:rsid w:val="00190B6D"/>
    <w:rsid w:val="001920FD"/>
    <w:rsid w:val="001924A5"/>
    <w:rsid w:val="00192B43"/>
    <w:rsid w:val="001A1201"/>
    <w:rsid w:val="001A46A3"/>
    <w:rsid w:val="001A5055"/>
    <w:rsid w:val="001A61D8"/>
    <w:rsid w:val="001A6E73"/>
    <w:rsid w:val="001B5A80"/>
    <w:rsid w:val="001B65E8"/>
    <w:rsid w:val="001B682B"/>
    <w:rsid w:val="001C1144"/>
    <w:rsid w:val="001C2703"/>
    <w:rsid w:val="001C401E"/>
    <w:rsid w:val="001C4FAC"/>
    <w:rsid w:val="001C5A59"/>
    <w:rsid w:val="001C62C3"/>
    <w:rsid w:val="001E0739"/>
    <w:rsid w:val="001E0A0C"/>
    <w:rsid w:val="001E63A6"/>
    <w:rsid w:val="001E74AE"/>
    <w:rsid w:val="00200310"/>
    <w:rsid w:val="00201A69"/>
    <w:rsid w:val="00205ABE"/>
    <w:rsid w:val="00227E21"/>
    <w:rsid w:val="002327F3"/>
    <w:rsid w:val="00240BA3"/>
    <w:rsid w:val="002452B5"/>
    <w:rsid w:val="00254CA3"/>
    <w:rsid w:val="00254ECB"/>
    <w:rsid w:val="002640CA"/>
    <w:rsid w:val="0026485D"/>
    <w:rsid w:val="00264ECC"/>
    <w:rsid w:val="00267716"/>
    <w:rsid w:val="00271C9E"/>
    <w:rsid w:val="00272AF7"/>
    <w:rsid w:val="002731F9"/>
    <w:rsid w:val="00274C38"/>
    <w:rsid w:val="00277318"/>
    <w:rsid w:val="00280C0A"/>
    <w:rsid w:val="00281B9C"/>
    <w:rsid w:val="00282189"/>
    <w:rsid w:val="00283F7E"/>
    <w:rsid w:val="00290F75"/>
    <w:rsid w:val="00294CE2"/>
    <w:rsid w:val="00295489"/>
    <w:rsid w:val="002967C9"/>
    <w:rsid w:val="002A13BB"/>
    <w:rsid w:val="002A1CAA"/>
    <w:rsid w:val="002A64FA"/>
    <w:rsid w:val="002A668D"/>
    <w:rsid w:val="002A77BA"/>
    <w:rsid w:val="002B141D"/>
    <w:rsid w:val="002B2D36"/>
    <w:rsid w:val="002C458A"/>
    <w:rsid w:val="002C4C8A"/>
    <w:rsid w:val="002C5B1C"/>
    <w:rsid w:val="002D14C2"/>
    <w:rsid w:val="002D2530"/>
    <w:rsid w:val="002D2DB6"/>
    <w:rsid w:val="002D708D"/>
    <w:rsid w:val="002E0E95"/>
    <w:rsid w:val="002E138B"/>
    <w:rsid w:val="00300E4C"/>
    <w:rsid w:val="0030149B"/>
    <w:rsid w:val="003049BB"/>
    <w:rsid w:val="00311978"/>
    <w:rsid w:val="003127B8"/>
    <w:rsid w:val="00312F26"/>
    <w:rsid w:val="003213A7"/>
    <w:rsid w:val="00322465"/>
    <w:rsid w:val="003261C7"/>
    <w:rsid w:val="00327AEE"/>
    <w:rsid w:val="00327BAC"/>
    <w:rsid w:val="00340743"/>
    <w:rsid w:val="00340B65"/>
    <w:rsid w:val="0034370E"/>
    <w:rsid w:val="0034751F"/>
    <w:rsid w:val="0035091E"/>
    <w:rsid w:val="00350B72"/>
    <w:rsid w:val="00350C07"/>
    <w:rsid w:val="00352EAF"/>
    <w:rsid w:val="003545B5"/>
    <w:rsid w:val="00356C7F"/>
    <w:rsid w:val="00363BDD"/>
    <w:rsid w:val="00363FC2"/>
    <w:rsid w:val="0036517B"/>
    <w:rsid w:val="00366C33"/>
    <w:rsid w:val="00373DC4"/>
    <w:rsid w:val="00382321"/>
    <w:rsid w:val="0038716C"/>
    <w:rsid w:val="003871C0"/>
    <w:rsid w:val="00387EE6"/>
    <w:rsid w:val="003953FF"/>
    <w:rsid w:val="003969EA"/>
    <w:rsid w:val="003A1683"/>
    <w:rsid w:val="003B7519"/>
    <w:rsid w:val="003C1AB7"/>
    <w:rsid w:val="003C2840"/>
    <w:rsid w:val="003C351A"/>
    <w:rsid w:val="003C422B"/>
    <w:rsid w:val="003D091D"/>
    <w:rsid w:val="003D3C37"/>
    <w:rsid w:val="003E256E"/>
    <w:rsid w:val="003E3870"/>
    <w:rsid w:val="003E5B22"/>
    <w:rsid w:val="003E7EB2"/>
    <w:rsid w:val="003F059A"/>
    <w:rsid w:val="0040103F"/>
    <w:rsid w:val="00407722"/>
    <w:rsid w:val="00412245"/>
    <w:rsid w:val="00416259"/>
    <w:rsid w:val="00423C01"/>
    <w:rsid w:val="00424BF8"/>
    <w:rsid w:val="00427560"/>
    <w:rsid w:val="00431634"/>
    <w:rsid w:val="00436A51"/>
    <w:rsid w:val="0045635C"/>
    <w:rsid w:val="0046194B"/>
    <w:rsid w:val="004659D1"/>
    <w:rsid w:val="00467ED1"/>
    <w:rsid w:val="00476416"/>
    <w:rsid w:val="00482A42"/>
    <w:rsid w:val="00482FEF"/>
    <w:rsid w:val="004859C1"/>
    <w:rsid w:val="00492465"/>
    <w:rsid w:val="00493C21"/>
    <w:rsid w:val="00495EC8"/>
    <w:rsid w:val="00496CF1"/>
    <w:rsid w:val="004A351F"/>
    <w:rsid w:val="004A6EA8"/>
    <w:rsid w:val="004B4B0E"/>
    <w:rsid w:val="004D23DE"/>
    <w:rsid w:val="004D2CD4"/>
    <w:rsid w:val="004E2EB5"/>
    <w:rsid w:val="004E35A9"/>
    <w:rsid w:val="004F15A0"/>
    <w:rsid w:val="004F1998"/>
    <w:rsid w:val="004F7B5F"/>
    <w:rsid w:val="0050283B"/>
    <w:rsid w:val="00504EF7"/>
    <w:rsid w:val="0051586B"/>
    <w:rsid w:val="00517172"/>
    <w:rsid w:val="00523370"/>
    <w:rsid w:val="005263EF"/>
    <w:rsid w:val="00526F23"/>
    <w:rsid w:val="00534DAC"/>
    <w:rsid w:val="00547184"/>
    <w:rsid w:val="00550199"/>
    <w:rsid w:val="00550939"/>
    <w:rsid w:val="0055337E"/>
    <w:rsid w:val="005547B1"/>
    <w:rsid w:val="00556759"/>
    <w:rsid w:val="00561211"/>
    <w:rsid w:val="005676EF"/>
    <w:rsid w:val="005729AD"/>
    <w:rsid w:val="00576E34"/>
    <w:rsid w:val="00577905"/>
    <w:rsid w:val="00580719"/>
    <w:rsid w:val="0058485D"/>
    <w:rsid w:val="00587D46"/>
    <w:rsid w:val="005930DD"/>
    <w:rsid w:val="00594E5D"/>
    <w:rsid w:val="005A1133"/>
    <w:rsid w:val="005A2CC0"/>
    <w:rsid w:val="005A3C2A"/>
    <w:rsid w:val="005A5434"/>
    <w:rsid w:val="005A7048"/>
    <w:rsid w:val="005B1452"/>
    <w:rsid w:val="005B3A46"/>
    <w:rsid w:val="005B4682"/>
    <w:rsid w:val="005B4AFA"/>
    <w:rsid w:val="005C2A87"/>
    <w:rsid w:val="005C43B2"/>
    <w:rsid w:val="005C4755"/>
    <w:rsid w:val="005D5EFC"/>
    <w:rsid w:val="005D5FC7"/>
    <w:rsid w:val="005D6060"/>
    <w:rsid w:val="005D7779"/>
    <w:rsid w:val="005E2FF2"/>
    <w:rsid w:val="005E61BB"/>
    <w:rsid w:val="005F0CDC"/>
    <w:rsid w:val="005F33AC"/>
    <w:rsid w:val="005F74CF"/>
    <w:rsid w:val="00603195"/>
    <w:rsid w:val="006039FA"/>
    <w:rsid w:val="006109B0"/>
    <w:rsid w:val="00610AC1"/>
    <w:rsid w:val="006143D6"/>
    <w:rsid w:val="006264E5"/>
    <w:rsid w:val="00626EE6"/>
    <w:rsid w:val="00642E81"/>
    <w:rsid w:val="00667D78"/>
    <w:rsid w:val="00667F06"/>
    <w:rsid w:val="00675B31"/>
    <w:rsid w:val="00677E25"/>
    <w:rsid w:val="00680EE6"/>
    <w:rsid w:val="00682FC9"/>
    <w:rsid w:val="00692CA8"/>
    <w:rsid w:val="00694240"/>
    <w:rsid w:val="006967CA"/>
    <w:rsid w:val="006A1906"/>
    <w:rsid w:val="006A212D"/>
    <w:rsid w:val="006A76F6"/>
    <w:rsid w:val="006B16B9"/>
    <w:rsid w:val="006D368B"/>
    <w:rsid w:val="006D59A0"/>
    <w:rsid w:val="006E4430"/>
    <w:rsid w:val="006F44D3"/>
    <w:rsid w:val="006F5747"/>
    <w:rsid w:val="006F7900"/>
    <w:rsid w:val="00700022"/>
    <w:rsid w:val="00707B73"/>
    <w:rsid w:val="00712F9E"/>
    <w:rsid w:val="00713293"/>
    <w:rsid w:val="0071350F"/>
    <w:rsid w:val="007164D1"/>
    <w:rsid w:val="007227F4"/>
    <w:rsid w:val="00732643"/>
    <w:rsid w:val="00734E9B"/>
    <w:rsid w:val="007448F9"/>
    <w:rsid w:val="00744D08"/>
    <w:rsid w:val="00767D9E"/>
    <w:rsid w:val="00772119"/>
    <w:rsid w:val="007728A7"/>
    <w:rsid w:val="00772C2C"/>
    <w:rsid w:val="00786D69"/>
    <w:rsid w:val="00786ECF"/>
    <w:rsid w:val="0079179A"/>
    <w:rsid w:val="0079675F"/>
    <w:rsid w:val="007A1BFF"/>
    <w:rsid w:val="007A2EA2"/>
    <w:rsid w:val="007A3840"/>
    <w:rsid w:val="007A3EF2"/>
    <w:rsid w:val="007C7774"/>
    <w:rsid w:val="007C7861"/>
    <w:rsid w:val="007C7ADD"/>
    <w:rsid w:val="007D0DB4"/>
    <w:rsid w:val="007D4B68"/>
    <w:rsid w:val="007E28C4"/>
    <w:rsid w:val="007F3C3C"/>
    <w:rsid w:val="007F70FC"/>
    <w:rsid w:val="0080796E"/>
    <w:rsid w:val="00807C39"/>
    <w:rsid w:val="008121C6"/>
    <w:rsid w:val="0082129F"/>
    <w:rsid w:val="0082503C"/>
    <w:rsid w:val="008370CE"/>
    <w:rsid w:val="00850350"/>
    <w:rsid w:val="00850B1A"/>
    <w:rsid w:val="0085158B"/>
    <w:rsid w:val="00853990"/>
    <w:rsid w:val="00864C42"/>
    <w:rsid w:val="00865106"/>
    <w:rsid w:val="00870B55"/>
    <w:rsid w:val="008718AA"/>
    <w:rsid w:val="008724F1"/>
    <w:rsid w:val="00873F11"/>
    <w:rsid w:val="00877544"/>
    <w:rsid w:val="008840E8"/>
    <w:rsid w:val="00885C69"/>
    <w:rsid w:val="00893330"/>
    <w:rsid w:val="00896121"/>
    <w:rsid w:val="0089683B"/>
    <w:rsid w:val="00897CFC"/>
    <w:rsid w:val="008A0096"/>
    <w:rsid w:val="008A2799"/>
    <w:rsid w:val="008A5A60"/>
    <w:rsid w:val="008B2F28"/>
    <w:rsid w:val="008B6883"/>
    <w:rsid w:val="008C10CA"/>
    <w:rsid w:val="008C2D90"/>
    <w:rsid w:val="008C3725"/>
    <w:rsid w:val="008C4378"/>
    <w:rsid w:val="008C590D"/>
    <w:rsid w:val="008D2433"/>
    <w:rsid w:val="008D2C52"/>
    <w:rsid w:val="008D41EE"/>
    <w:rsid w:val="008D52E9"/>
    <w:rsid w:val="008E15AB"/>
    <w:rsid w:val="008F2E68"/>
    <w:rsid w:val="008F3B81"/>
    <w:rsid w:val="009022F5"/>
    <w:rsid w:val="0092190D"/>
    <w:rsid w:val="0092217E"/>
    <w:rsid w:val="00925DA2"/>
    <w:rsid w:val="00943090"/>
    <w:rsid w:val="0094335D"/>
    <w:rsid w:val="00943FF1"/>
    <w:rsid w:val="00950379"/>
    <w:rsid w:val="009507A2"/>
    <w:rsid w:val="00950B06"/>
    <w:rsid w:val="009518A8"/>
    <w:rsid w:val="009578B8"/>
    <w:rsid w:val="00962585"/>
    <w:rsid w:val="0096332A"/>
    <w:rsid w:val="00965768"/>
    <w:rsid w:val="00966586"/>
    <w:rsid w:val="00972ED3"/>
    <w:rsid w:val="00977F83"/>
    <w:rsid w:val="00985AB9"/>
    <w:rsid w:val="009878F9"/>
    <w:rsid w:val="00993C82"/>
    <w:rsid w:val="009A2618"/>
    <w:rsid w:val="009C00B4"/>
    <w:rsid w:val="009D02B5"/>
    <w:rsid w:val="009D0F3B"/>
    <w:rsid w:val="009D4AE4"/>
    <w:rsid w:val="009D4C7B"/>
    <w:rsid w:val="009D5349"/>
    <w:rsid w:val="009D7747"/>
    <w:rsid w:val="009E0471"/>
    <w:rsid w:val="009E0FD8"/>
    <w:rsid w:val="009E336D"/>
    <w:rsid w:val="009E4741"/>
    <w:rsid w:val="00A006BB"/>
    <w:rsid w:val="00A01DEF"/>
    <w:rsid w:val="00A0360C"/>
    <w:rsid w:val="00A0378E"/>
    <w:rsid w:val="00A16252"/>
    <w:rsid w:val="00A248E6"/>
    <w:rsid w:val="00A26868"/>
    <w:rsid w:val="00A27193"/>
    <w:rsid w:val="00A35114"/>
    <w:rsid w:val="00A3656A"/>
    <w:rsid w:val="00A37894"/>
    <w:rsid w:val="00A4037B"/>
    <w:rsid w:val="00A42D85"/>
    <w:rsid w:val="00A43B6A"/>
    <w:rsid w:val="00A47D04"/>
    <w:rsid w:val="00A52863"/>
    <w:rsid w:val="00A53551"/>
    <w:rsid w:val="00A54986"/>
    <w:rsid w:val="00A55724"/>
    <w:rsid w:val="00A57AE0"/>
    <w:rsid w:val="00A61D5C"/>
    <w:rsid w:val="00A80E46"/>
    <w:rsid w:val="00A82227"/>
    <w:rsid w:val="00A853FF"/>
    <w:rsid w:val="00A875BB"/>
    <w:rsid w:val="00A90E67"/>
    <w:rsid w:val="00AA09D4"/>
    <w:rsid w:val="00AA2368"/>
    <w:rsid w:val="00AC20A1"/>
    <w:rsid w:val="00AC4AEE"/>
    <w:rsid w:val="00AC5562"/>
    <w:rsid w:val="00AC642D"/>
    <w:rsid w:val="00AC7344"/>
    <w:rsid w:val="00AD1020"/>
    <w:rsid w:val="00AD192C"/>
    <w:rsid w:val="00AD5A79"/>
    <w:rsid w:val="00AD741E"/>
    <w:rsid w:val="00AE5D91"/>
    <w:rsid w:val="00AE6090"/>
    <w:rsid w:val="00AE6E43"/>
    <w:rsid w:val="00AF4AD3"/>
    <w:rsid w:val="00AF7AC9"/>
    <w:rsid w:val="00B00139"/>
    <w:rsid w:val="00B02AD0"/>
    <w:rsid w:val="00B02BE9"/>
    <w:rsid w:val="00B052B7"/>
    <w:rsid w:val="00B10E71"/>
    <w:rsid w:val="00B1618B"/>
    <w:rsid w:val="00B17C95"/>
    <w:rsid w:val="00B20B7B"/>
    <w:rsid w:val="00B27E2B"/>
    <w:rsid w:val="00B30CAA"/>
    <w:rsid w:val="00B33A1F"/>
    <w:rsid w:val="00B34201"/>
    <w:rsid w:val="00B36F01"/>
    <w:rsid w:val="00B408E6"/>
    <w:rsid w:val="00B40BCA"/>
    <w:rsid w:val="00B56442"/>
    <w:rsid w:val="00B576AD"/>
    <w:rsid w:val="00B623E8"/>
    <w:rsid w:val="00B6253B"/>
    <w:rsid w:val="00B735EC"/>
    <w:rsid w:val="00B76082"/>
    <w:rsid w:val="00B80881"/>
    <w:rsid w:val="00B85F73"/>
    <w:rsid w:val="00B93D03"/>
    <w:rsid w:val="00B94403"/>
    <w:rsid w:val="00B973B6"/>
    <w:rsid w:val="00BA1A8F"/>
    <w:rsid w:val="00BA2E5F"/>
    <w:rsid w:val="00BA4750"/>
    <w:rsid w:val="00BB68AA"/>
    <w:rsid w:val="00BC2DFF"/>
    <w:rsid w:val="00BC56C9"/>
    <w:rsid w:val="00BD3838"/>
    <w:rsid w:val="00BD601B"/>
    <w:rsid w:val="00BE3D4C"/>
    <w:rsid w:val="00BF254D"/>
    <w:rsid w:val="00BF426C"/>
    <w:rsid w:val="00BF508F"/>
    <w:rsid w:val="00BF5A0B"/>
    <w:rsid w:val="00C23659"/>
    <w:rsid w:val="00C3113A"/>
    <w:rsid w:val="00C313F5"/>
    <w:rsid w:val="00C34084"/>
    <w:rsid w:val="00C54BA0"/>
    <w:rsid w:val="00C55B70"/>
    <w:rsid w:val="00C562AD"/>
    <w:rsid w:val="00C6417B"/>
    <w:rsid w:val="00C660AE"/>
    <w:rsid w:val="00C71F28"/>
    <w:rsid w:val="00C73A6D"/>
    <w:rsid w:val="00C75795"/>
    <w:rsid w:val="00C805F6"/>
    <w:rsid w:val="00C82097"/>
    <w:rsid w:val="00CA06C3"/>
    <w:rsid w:val="00CA13BC"/>
    <w:rsid w:val="00CA24F8"/>
    <w:rsid w:val="00CA67BA"/>
    <w:rsid w:val="00CB50CE"/>
    <w:rsid w:val="00CB5998"/>
    <w:rsid w:val="00CB75FF"/>
    <w:rsid w:val="00CB7F71"/>
    <w:rsid w:val="00CC07C1"/>
    <w:rsid w:val="00CC3339"/>
    <w:rsid w:val="00CD1E8A"/>
    <w:rsid w:val="00CD34E9"/>
    <w:rsid w:val="00CD73E5"/>
    <w:rsid w:val="00CD7727"/>
    <w:rsid w:val="00CE1C2E"/>
    <w:rsid w:val="00CE3390"/>
    <w:rsid w:val="00CF0E46"/>
    <w:rsid w:val="00CF380C"/>
    <w:rsid w:val="00D007C6"/>
    <w:rsid w:val="00D00EF1"/>
    <w:rsid w:val="00D016CA"/>
    <w:rsid w:val="00D03C17"/>
    <w:rsid w:val="00D04829"/>
    <w:rsid w:val="00D1112B"/>
    <w:rsid w:val="00D13775"/>
    <w:rsid w:val="00D14203"/>
    <w:rsid w:val="00D216D9"/>
    <w:rsid w:val="00D22B11"/>
    <w:rsid w:val="00D2390F"/>
    <w:rsid w:val="00D24D8A"/>
    <w:rsid w:val="00D25BC0"/>
    <w:rsid w:val="00D3180D"/>
    <w:rsid w:val="00D33331"/>
    <w:rsid w:val="00D40309"/>
    <w:rsid w:val="00D41FBD"/>
    <w:rsid w:val="00D43414"/>
    <w:rsid w:val="00D43DAA"/>
    <w:rsid w:val="00D43E7C"/>
    <w:rsid w:val="00D46456"/>
    <w:rsid w:val="00D521F8"/>
    <w:rsid w:val="00D6501E"/>
    <w:rsid w:val="00D80543"/>
    <w:rsid w:val="00D806BB"/>
    <w:rsid w:val="00D8186A"/>
    <w:rsid w:val="00D8517B"/>
    <w:rsid w:val="00D85287"/>
    <w:rsid w:val="00D8626E"/>
    <w:rsid w:val="00D946BC"/>
    <w:rsid w:val="00D97AA3"/>
    <w:rsid w:val="00D97D5E"/>
    <w:rsid w:val="00DA007F"/>
    <w:rsid w:val="00DA3C2D"/>
    <w:rsid w:val="00DB0318"/>
    <w:rsid w:val="00DB2A9D"/>
    <w:rsid w:val="00DB2B97"/>
    <w:rsid w:val="00DB4B23"/>
    <w:rsid w:val="00DC767B"/>
    <w:rsid w:val="00DC7AA7"/>
    <w:rsid w:val="00DD7802"/>
    <w:rsid w:val="00DE2C57"/>
    <w:rsid w:val="00DE700F"/>
    <w:rsid w:val="00DF6B46"/>
    <w:rsid w:val="00DF6E32"/>
    <w:rsid w:val="00DF749F"/>
    <w:rsid w:val="00E00E45"/>
    <w:rsid w:val="00E03443"/>
    <w:rsid w:val="00E039B7"/>
    <w:rsid w:val="00E040C3"/>
    <w:rsid w:val="00E07EF3"/>
    <w:rsid w:val="00E10B79"/>
    <w:rsid w:val="00E170E0"/>
    <w:rsid w:val="00E21E93"/>
    <w:rsid w:val="00E278BC"/>
    <w:rsid w:val="00E3052D"/>
    <w:rsid w:val="00E31BED"/>
    <w:rsid w:val="00E37ACD"/>
    <w:rsid w:val="00E460C4"/>
    <w:rsid w:val="00E50518"/>
    <w:rsid w:val="00E6002C"/>
    <w:rsid w:val="00E64DA0"/>
    <w:rsid w:val="00E64FFE"/>
    <w:rsid w:val="00E7303F"/>
    <w:rsid w:val="00E73BF3"/>
    <w:rsid w:val="00E750C2"/>
    <w:rsid w:val="00E76C67"/>
    <w:rsid w:val="00E84683"/>
    <w:rsid w:val="00E943FF"/>
    <w:rsid w:val="00E95B31"/>
    <w:rsid w:val="00EA1D7B"/>
    <w:rsid w:val="00EC0FD3"/>
    <w:rsid w:val="00EC276F"/>
    <w:rsid w:val="00ED2244"/>
    <w:rsid w:val="00ED5862"/>
    <w:rsid w:val="00EE4976"/>
    <w:rsid w:val="00EE7D70"/>
    <w:rsid w:val="00F111E5"/>
    <w:rsid w:val="00F12178"/>
    <w:rsid w:val="00F12786"/>
    <w:rsid w:val="00F14E38"/>
    <w:rsid w:val="00F1637D"/>
    <w:rsid w:val="00F16C74"/>
    <w:rsid w:val="00F171EE"/>
    <w:rsid w:val="00F20A47"/>
    <w:rsid w:val="00F306A1"/>
    <w:rsid w:val="00F318DC"/>
    <w:rsid w:val="00F34452"/>
    <w:rsid w:val="00F405C7"/>
    <w:rsid w:val="00F40D9F"/>
    <w:rsid w:val="00F415DA"/>
    <w:rsid w:val="00F464E3"/>
    <w:rsid w:val="00F5185E"/>
    <w:rsid w:val="00F52C02"/>
    <w:rsid w:val="00F62567"/>
    <w:rsid w:val="00F63E94"/>
    <w:rsid w:val="00F66464"/>
    <w:rsid w:val="00F70756"/>
    <w:rsid w:val="00F73412"/>
    <w:rsid w:val="00F90CD5"/>
    <w:rsid w:val="00F93C69"/>
    <w:rsid w:val="00FA203C"/>
    <w:rsid w:val="00FB20FC"/>
    <w:rsid w:val="00FB5A98"/>
    <w:rsid w:val="00FB6F3A"/>
    <w:rsid w:val="00FB7EC4"/>
    <w:rsid w:val="00FB7F2B"/>
    <w:rsid w:val="00FC74B2"/>
    <w:rsid w:val="00FD1696"/>
    <w:rsid w:val="00FD2398"/>
    <w:rsid w:val="00FD6F14"/>
    <w:rsid w:val="00FE44AA"/>
    <w:rsid w:val="00FE5D7C"/>
    <w:rsid w:val="00FF0520"/>
    <w:rsid w:val="00FF6AB9"/>
    <w:rsid w:val="05C66CCD"/>
    <w:rsid w:val="0E8960D1"/>
    <w:rsid w:val="12CE8E11"/>
    <w:rsid w:val="1E52B3DF"/>
    <w:rsid w:val="20DB82BA"/>
    <w:rsid w:val="26FF0D15"/>
    <w:rsid w:val="2972CA90"/>
    <w:rsid w:val="2C78A3E1"/>
    <w:rsid w:val="38213DA9"/>
    <w:rsid w:val="3C1DCF33"/>
    <w:rsid w:val="3FEA70FF"/>
    <w:rsid w:val="5DC2A22E"/>
    <w:rsid w:val="5FBD17F5"/>
    <w:rsid w:val="60E1ED65"/>
    <w:rsid w:val="6220C0CD"/>
    <w:rsid w:val="62428FBC"/>
    <w:rsid w:val="6249446D"/>
    <w:rsid w:val="633B306A"/>
    <w:rsid w:val="7B502501"/>
    <w:rsid w:val="7C7B7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F37"/>
  <w15:docId w15:val="{37F615EB-7CE1-49B2-B80B-6164FA67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4B4B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aliases w:val="aaPie de página,Pie de página Car Car"/>
    <w:basedOn w:val="Normal"/>
    <w:link w:val="PiedepginaCar"/>
    <w:rsid w:val="00CD73E5"/>
    <w:pPr>
      <w:tabs>
        <w:tab w:val="center" w:pos="4419"/>
        <w:tab w:val="right" w:pos="8838"/>
      </w:tabs>
    </w:pPr>
  </w:style>
  <w:style w:type="character" w:customStyle="1" w:styleId="PiedepginaCar">
    <w:name w:val="Pie de página Car"/>
    <w:aliases w:val="aaPie de página Car,Pie de página Car Car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styleId="Encabezado">
    <w:name w:val="header"/>
    <w:basedOn w:val="Normal"/>
    <w:link w:val="EncabezadoCar"/>
    <w:uiPriority w:val="99"/>
    <w:rsid w:val="000E4D5F"/>
    <w:pPr>
      <w:tabs>
        <w:tab w:val="center" w:pos="4252"/>
        <w:tab w:val="right" w:pos="8504"/>
      </w:tabs>
      <w:overflowPunct/>
      <w:autoSpaceDE/>
      <w:autoSpaceDN/>
      <w:adjustRightInd/>
      <w:textAlignment w:val="auto"/>
    </w:pPr>
    <w:rPr>
      <w:sz w:val="24"/>
      <w:szCs w:val="24"/>
    </w:rPr>
  </w:style>
  <w:style w:type="character" w:customStyle="1" w:styleId="EncabezadoCar">
    <w:name w:val="Encabezado Car"/>
    <w:link w:val="Encabezado"/>
    <w:uiPriority w:val="99"/>
    <w:rsid w:val="000E4D5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nhideWhenUsed/>
    <w:rsid w:val="00CA13BC"/>
    <w:pPr>
      <w:spacing w:after="120"/>
      <w:ind w:left="283"/>
      <w:textAlignment w:val="auto"/>
    </w:pPr>
    <w:rPr>
      <w:lang w:val="es-ES_tradnl"/>
    </w:rPr>
  </w:style>
  <w:style w:type="character" w:customStyle="1" w:styleId="SangradetextonormalCar">
    <w:name w:val="Sangría de texto normal Car"/>
    <w:link w:val="Sangradetextonormal"/>
    <w:rsid w:val="00CA13BC"/>
    <w:rPr>
      <w:rFonts w:ascii="Times New Roman" w:eastAsia="Times New Roman" w:hAnsi="Times New Roman"/>
      <w:lang w:val="es-ES_tradnl" w:eastAsia="es-ES"/>
    </w:rPr>
  </w:style>
  <w:style w:type="paragraph" w:styleId="Prrafodelista">
    <w:name w:val="List Paragraph"/>
    <w:basedOn w:val="Normal"/>
    <w:uiPriority w:val="34"/>
    <w:qFormat/>
    <w:rsid w:val="008121C6"/>
    <w:pPr>
      <w:ind w:left="720"/>
      <w:contextualSpacing/>
    </w:pPr>
  </w:style>
  <w:style w:type="character" w:styleId="Hipervnculo">
    <w:name w:val="Hyperlink"/>
    <w:basedOn w:val="Fuentedeprrafopredeter"/>
    <w:uiPriority w:val="99"/>
    <w:semiHidden/>
    <w:unhideWhenUsed/>
    <w:rsid w:val="00B27E2B"/>
    <w:rPr>
      <w:color w:val="0000FF"/>
      <w:u w:val="single"/>
    </w:rPr>
  </w:style>
  <w:style w:type="paragraph" w:styleId="NormalWeb">
    <w:name w:val="Normal (Web)"/>
    <w:basedOn w:val="Normal"/>
    <w:uiPriority w:val="99"/>
    <w:semiHidden/>
    <w:unhideWhenUsed/>
    <w:rsid w:val="00B27E2B"/>
    <w:pPr>
      <w:overflowPunct/>
      <w:autoSpaceDE/>
      <w:autoSpaceDN/>
      <w:adjustRightInd/>
      <w:spacing w:before="100" w:beforeAutospacing="1" w:after="100" w:afterAutospacing="1"/>
      <w:textAlignment w:val="auto"/>
    </w:pPr>
    <w:rPr>
      <w:sz w:val="24"/>
      <w:szCs w:val="24"/>
      <w:lang w:val="es-CO" w:eastAsia="es-CO"/>
    </w:rPr>
  </w:style>
  <w:style w:type="character" w:styleId="Textoennegrita">
    <w:name w:val="Strong"/>
    <w:basedOn w:val="Fuentedeprrafopredeter"/>
    <w:uiPriority w:val="22"/>
    <w:qFormat/>
    <w:rsid w:val="00B27E2B"/>
    <w:rPr>
      <w:b/>
      <w:bCs/>
    </w:rPr>
  </w:style>
  <w:style w:type="paragraph" w:customStyle="1" w:styleId="centrado">
    <w:name w:val="centrado"/>
    <w:basedOn w:val="Normal"/>
    <w:rsid w:val="00B27E2B"/>
    <w:pPr>
      <w:overflowPunct/>
      <w:autoSpaceDE/>
      <w:autoSpaceDN/>
      <w:adjustRightInd/>
      <w:spacing w:before="100" w:beforeAutospacing="1" w:after="100" w:afterAutospacing="1"/>
      <w:textAlignment w:val="auto"/>
    </w:pPr>
    <w:rPr>
      <w:sz w:val="24"/>
      <w:szCs w:val="24"/>
      <w:lang w:val="es-CO" w:eastAsia="es-CO"/>
    </w:rPr>
  </w:style>
  <w:style w:type="character" w:customStyle="1" w:styleId="baj">
    <w:name w:val="baj"/>
    <w:basedOn w:val="Fuentedeprrafopredeter"/>
    <w:rsid w:val="00B27E2B"/>
  </w:style>
  <w:style w:type="character" w:customStyle="1" w:styleId="apple-converted-space">
    <w:name w:val="apple-converted-space"/>
    <w:basedOn w:val="Fuentedeprrafopredeter"/>
    <w:rsid w:val="00B27E2B"/>
  </w:style>
  <w:style w:type="paragraph" w:styleId="Textoindependiente">
    <w:name w:val="Body Text"/>
    <w:basedOn w:val="Normal"/>
    <w:link w:val="TextoindependienteCar"/>
    <w:uiPriority w:val="99"/>
    <w:semiHidden/>
    <w:unhideWhenUsed/>
    <w:rsid w:val="00DF749F"/>
    <w:pPr>
      <w:spacing w:after="120"/>
    </w:pPr>
  </w:style>
  <w:style w:type="character" w:customStyle="1" w:styleId="TextoindependienteCar">
    <w:name w:val="Texto independiente Car"/>
    <w:basedOn w:val="Fuentedeprrafopredeter"/>
    <w:link w:val="Textoindependiente"/>
    <w:uiPriority w:val="99"/>
    <w:semiHidden/>
    <w:rsid w:val="00DF749F"/>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4B4B0E"/>
    <w:rPr>
      <w:rFonts w:asciiTheme="majorHAnsi" w:eastAsiaTheme="majorEastAsia" w:hAnsiTheme="majorHAnsi" w:cstheme="majorBidi"/>
      <w:color w:val="2F5496" w:themeColor="accent1" w:themeShade="BF"/>
      <w:sz w:val="32"/>
      <w:szCs w:val="32"/>
      <w:lang w:val="es-ES" w:eastAsia="es-ES"/>
    </w:rPr>
  </w:style>
  <w:style w:type="paragraph" w:styleId="Sinespaciado">
    <w:name w:val="No Spacing"/>
    <w:link w:val="SinespaciadoCar"/>
    <w:uiPriority w:val="1"/>
    <w:qFormat/>
    <w:rsid w:val="0082503C"/>
    <w:rPr>
      <w:rFonts w:eastAsia="Times New Roman"/>
      <w:sz w:val="22"/>
      <w:szCs w:val="22"/>
      <w:lang w:val="es-ES" w:eastAsia="es-ES"/>
    </w:rPr>
  </w:style>
  <w:style w:type="character" w:customStyle="1" w:styleId="SinespaciadoCar">
    <w:name w:val="Sin espaciado Car"/>
    <w:link w:val="Sinespaciado"/>
    <w:uiPriority w:val="1"/>
    <w:locked/>
    <w:rsid w:val="0082503C"/>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50638">
      <w:bodyDiv w:val="1"/>
      <w:marLeft w:val="0"/>
      <w:marRight w:val="0"/>
      <w:marTop w:val="0"/>
      <w:marBottom w:val="0"/>
      <w:divBdr>
        <w:top w:val="none" w:sz="0" w:space="0" w:color="auto"/>
        <w:left w:val="none" w:sz="0" w:space="0" w:color="auto"/>
        <w:bottom w:val="none" w:sz="0" w:space="0" w:color="auto"/>
        <w:right w:val="none" w:sz="0" w:space="0" w:color="auto"/>
      </w:divBdr>
    </w:div>
    <w:div w:id="678699871">
      <w:bodyDiv w:val="1"/>
      <w:marLeft w:val="0"/>
      <w:marRight w:val="0"/>
      <w:marTop w:val="0"/>
      <w:marBottom w:val="0"/>
      <w:divBdr>
        <w:top w:val="none" w:sz="0" w:space="0" w:color="auto"/>
        <w:left w:val="none" w:sz="0" w:space="0" w:color="auto"/>
        <w:bottom w:val="none" w:sz="0" w:space="0" w:color="auto"/>
        <w:right w:val="none" w:sz="0" w:space="0" w:color="auto"/>
      </w:divBdr>
    </w:div>
    <w:div w:id="734477910">
      <w:bodyDiv w:val="1"/>
      <w:marLeft w:val="0"/>
      <w:marRight w:val="0"/>
      <w:marTop w:val="0"/>
      <w:marBottom w:val="0"/>
      <w:divBdr>
        <w:top w:val="none" w:sz="0" w:space="0" w:color="auto"/>
        <w:left w:val="none" w:sz="0" w:space="0" w:color="auto"/>
        <w:bottom w:val="none" w:sz="0" w:space="0" w:color="auto"/>
        <w:right w:val="none" w:sz="0" w:space="0" w:color="auto"/>
      </w:divBdr>
    </w:div>
    <w:div w:id="809708631">
      <w:bodyDiv w:val="1"/>
      <w:marLeft w:val="0"/>
      <w:marRight w:val="0"/>
      <w:marTop w:val="0"/>
      <w:marBottom w:val="0"/>
      <w:divBdr>
        <w:top w:val="none" w:sz="0" w:space="0" w:color="auto"/>
        <w:left w:val="none" w:sz="0" w:space="0" w:color="auto"/>
        <w:bottom w:val="none" w:sz="0" w:space="0" w:color="auto"/>
        <w:right w:val="none" w:sz="0" w:space="0" w:color="auto"/>
      </w:divBdr>
    </w:div>
    <w:div w:id="1127315841">
      <w:bodyDiv w:val="1"/>
      <w:marLeft w:val="0"/>
      <w:marRight w:val="0"/>
      <w:marTop w:val="0"/>
      <w:marBottom w:val="0"/>
      <w:divBdr>
        <w:top w:val="none" w:sz="0" w:space="0" w:color="auto"/>
        <w:left w:val="none" w:sz="0" w:space="0" w:color="auto"/>
        <w:bottom w:val="none" w:sz="0" w:space="0" w:color="auto"/>
        <w:right w:val="none" w:sz="0" w:space="0" w:color="auto"/>
      </w:divBdr>
    </w:div>
    <w:div w:id="1138759793">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361128468">
      <w:bodyDiv w:val="1"/>
      <w:marLeft w:val="0"/>
      <w:marRight w:val="0"/>
      <w:marTop w:val="0"/>
      <w:marBottom w:val="0"/>
      <w:divBdr>
        <w:top w:val="none" w:sz="0" w:space="0" w:color="auto"/>
        <w:left w:val="none" w:sz="0" w:space="0" w:color="auto"/>
        <w:bottom w:val="none" w:sz="0" w:space="0" w:color="auto"/>
        <w:right w:val="none" w:sz="0" w:space="0" w:color="auto"/>
      </w:divBdr>
    </w:div>
    <w:div w:id="1368334478">
      <w:bodyDiv w:val="1"/>
      <w:marLeft w:val="0"/>
      <w:marRight w:val="0"/>
      <w:marTop w:val="0"/>
      <w:marBottom w:val="0"/>
      <w:divBdr>
        <w:top w:val="none" w:sz="0" w:space="0" w:color="auto"/>
        <w:left w:val="none" w:sz="0" w:space="0" w:color="auto"/>
        <w:bottom w:val="none" w:sz="0" w:space="0" w:color="auto"/>
        <w:right w:val="none" w:sz="0" w:space="0" w:color="auto"/>
      </w:divBdr>
    </w:div>
    <w:div w:id="1503621123">
      <w:bodyDiv w:val="1"/>
      <w:marLeft w:val="0"/>
      <w:marRight w:val="0"/>
      <w:marTop w:val="0"/>
      <w:marBottom w:val="0"/>
      <w:divBdr>
        <w:top w:val="none" w:sz="0" w:space="0" w:color="auto"/>
        <w:left w:val="none" w:sz="0" w:space="0" w:color="auto"/>
        <w:bottom w:val="none" w:sz="0" w:space="0" w:color="auto"/>
        <w:right w:val="none" w:sz="0" w:space="0" w:color="auto"/>
      </w:divBdr>
    </w:div>
    <w:div w:id="1619726295">
      <w:bodyDiv w:val="1"/>
      <w:marLeft w:val="0"/>
      <w:marRight w:val="0"/>
      <w:marTop w:val="0"/>
      <w:marBottom w:val="0"/>
      <w:divBdr>
        <w:top w:val="none" w:sz="0" w:space="0" w:color="auto"/>
        <w:left w:val="none" w:sz="0" w:space="0" w:color="auto"/>
        <w:bottom w:val="none" w:sz="0" w:space="0" w:color="auto"/>
        <w:right w:val="none" w:sz="0" w:space="0" w:color="auto"/>
      </w:divBdr>
    </w:div>
    <w:div w:id="167634610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4e01434ff3e040ef"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A8B0-61D8-4C49-BF03-9316C817D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063E3-7492-41DE-B126-C78BCB878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1185A-AB21-4FE0-B299-F33F25942D9B}">
  <ds:schemaRefs>
    <ds:schemaRef ds:uri="http://schemas.microsoft.com/sharepoint/v3/contenttype/forms"/>
  </ds:schemaRefs>
</ds:datastoreItem>
</file>

<file path=customXml/itemProps4.xml><?xml version="1.0" encoding="utf-8"?>
<ds:datastoreItem xmlns:ds="http://schemas.openxmlformats.org/officeDocument/2006/customXml" ds:itemID="{11F723DF-87CB-4F5A-A8C5-B791D8B0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2590</Words>
  <Characters>14249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5</cp:revision>
  <cp:lastPrinted>2019-05-03T12:17:00Z</cp:lastPrinted>
  <dcterms:created xsi:type="dcterms:W3CDTF">2022-02-01T15:46:00Z</dcterms:created>
  <dcterms:modified xsi:type="dcterms:W3CDTF">2022-04-07T20:57:00Z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