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726EC" w14:textId="77777777" w:rsidR="00BB2289" w:rsidRPr="00BB2289" w:rsidRDefault="00BB2289" w:rsidP="00BB2289">
      <w:pPr>
        <w:pBdr>
          <w:top w:val="single" w:sz="4" w:space="0" w:color="auto"/>
          <w:left w:val="single" w:sz="4" w:space="4" w:color="auto"/>
          <w:bottom w:val="single" w:sz="4" w:space="1" w:color="auto"/>
          <w:right w:val="single" w:sz="4" w:space="4" w:color="auto"/>
        </w:pBdr>
        <w:shd w:val="clear" w:color="auto" w:fill="FFFFFF"/>
        <w:overflowPunct w:val="0"/>
        <w:autoSpaceDE w:val="0"/>
        <w:autoSpaceDN w:val="0"/>
        <w:adjustRightInd w:val="0"/>
        <w:spacing w:after="0" w:line="240" w:lineRule="auto"/>
        <w:jc w:val="both"/>
        <w:textAlignment w:val="baseline"/>
        <w:rPr>
          <w:rFonts w:ascii="Arial" w:eastAsia="Times New Roman" w:hAnsi="Arial" w:cs="Arial"/>
          <w:color w:val="FF0000"/>
          <w:spacing w:val="-2"/>
          <w:sz w:val="18"/>
          <w:szCs w:val="18"/>
          <w:lang w:val="es-419" w:eastAsia="fr-FR"/>
        </w:rPr>
      </w:pPr>
      <w:bookmarkStart w:id="0" w:name="_Hlk69670443"/>
      <w:r w:rsidRPr="00BB2289">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03CECD9" w14:textId="77777777" w:rsidR="00BB2289" w:rsidRPr="00BB2289" w:rsidRDefault="00BB2289" w:rsidP="00BB2289">
      <w:pPr>
        <w:overflowPunct w:val="0"/>
        <w:autoSpaceDE w:val="0"/>
        <w:autoSpaceDN w:val="0"/>
        <w:adjustRightInd w:val="0"/>
        <w:spacing w:after="0" w:line="240" w:lineRule="auto"/>
        <w:jc w:val="both"/>
        <w:textAlignment w:val="baseline"/>
        <w:rPr>
          <w:rFonts w:ascii="Arial" w:eastAsia="Times New Roman" w:hAnsi="Arial" w:cs="Arial"/>
          <w:sz w:val="20"/>
          <w:szCs w:val="20"/>
          <w:lang w:val="es-419" w:eastAsia="es-ES"/>
        </w:rPr>
      </w:pPr>
    </w:p>
    <w:p w14:paraId="7C5714C0" w14:textId="0FB0C682" w:rsidR="00BB2289" w:rsidRPr="00BB2289" w:rsidRDefault="00546512" w:rsidP="00BB2289">
      <w:pPr>
        <w:spacing w:after="0" w:line="240" w:lineRule="auto"/>
        <w:jc w:val="both"/>
        <w:rPr>
          <w:rFonts w:ascii="Arial" w:eastAsia="Times New Roman" w:hAnsi="Arial" w:cs="Arial"/>
          <w:b/>
          <w:bCs/>
          <w:iCs/>
          <w:sz w:val="20"/>
          <w:szCs w:val="20"/>
          <w:lang w:val="es-419" w:eastAsia="fr-FR"/>
        </w:rPr>
      </w:pPr>
      <w:r w:rsidRPr="00BB2289">
        <w:rPr>
          <w:rFonts w:ascii="Arial" w:eastAsia="Times New Roman" w:hAnsi="Arial" w:cs="Arial"/>
          <w:b/>
          <w:bCs/>
          <w:iCs/>
          <w:sz w:val="20"/>
          <w:szCs w:val="20"/>
          <w:u w:val="single"/>
          <w:lang w:val="es-419" w:eastAsia="fr-FR"/>
        </w:rPr>
        <w:t>TEMAS:</w:t>
      </w:r>
      <w:r w:rsidRPr="00BB2289">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SEGURIDAD SOCIAL / RECONOCIMIENTO PENSIÓN DE VEJEZ / PRINCIPIO DE SUBSIDIARIEDAD / DEBE ACUDIRSE A LA JURISDICCIÓN ORDINARIA / EXCEPCIONES / PERJUICIO IRREMEDIABLE / CARGA PROBATORIA DEL ACCIONANTE.</w:t>
      </w:r>
    </w:p>
    <w:p w14:paraId="33C3F460" w14:textId="77777777" w:rsidR="00BB2289" w:rsidRPr="00BB2289" w:rsidRDefault="00BB2289" w:rsidP="00BB2289">
      <w:pPr>
        <w:overflowPunct w:val="0"/>
        <w:autoSpaceDE w:val="0"/>
        <w:autoSpaceDN w:val="0"/>
        <w:adjustRightInd w:val="0"/>
        <w:spacing w:after="0" w:line="240" w:lineRule="auto"/>
        <w:jc w:val="both"/>
        <w:textAlignment w:val="baseline"/>
        <w:rPr>
          <w:rFonts w:ascii="Arial" w:eastAsia="Times New Roman" w:hAnsi="Arial" w:cs="Arial"/>
          <w:sz w:val="20"/>
          <w:szCs w:val="20"/>
          <w:lang w:val="es-419" w:eastAsia="es-ES"/>
        </w:rPr>
      </w:pPr>
    </w:p>
    <w:p w14:paraId="7F82CCA1" w14:textId="56010330" w:rsidR="00BB2289" w:rsidRPr="00BB2289" w:rsidRDefault="006E2360" w:rsidP="00BB2289">
      <w:pPr>
        <w:overflowPunct w:val="0"/>
        <w:autoSpaceDE w:val="0"/>
        <w:autoSpaceDN w:val="0"/>
        <w:adjustRightInd w:val="0"/>
        <w:spacing w:after="0" w:line="240" w:lineRule="auto"/>
        <w:jc w:val="both"/>
        <w:textAlignment w:val="baseline"/>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6E2360">
        <w:rPr>
          <w:rFonts w:ascii="Arial" w:eastAsia="Times New Roman" w:hAnsi="Arial" w:cs="Arial"/>
          <w:sz w:val="20"/>
          <w:szCs w:val="20"/>
          <w:lang w:val="es-419" w:eastAsia="es-ES"/>
        </w:rPr>
        <w:t>María Amparo Uribe Vinasco dirigió su reclamo contra la Administradora Colombiana de Pensiones, con el fin de que se resuelva favorablemente su petición de reconocimiento y pago de la pensión de vejez, teniendo en cuenta, por una parte, unos aportes que realizó durante el periodo comprendido entre el 23 de enero de 2004 y el 30 de julio de 2006; y por otra, que es beneficiaria del régimen de transición</w:t>
      </w:r>
      <w:r>
        <w:rPr>
          <w:rFonts w:ascii="Arial" w:eastAsia="Times New Roman" w:hAnsi="Arial" w:cs="Arial"/>
          <w:sz w:val="20"/>
          <w:szCs w:val="20"/>
          <w:lang w:val="es-419" w:eastAsia="es-ES"/>
        </w:rPr>
        <w:t>…</w:t>
      </w:r>
    </w:p>
    <w:p w14:paraId="57F140CF" w14:textId="77777777" w:rsidR="00BB2289" w:rsidRPr="00BB2289" w:rsidRDefault="00BB2289" w:rsidP="00BB2289">
      <w:pPr>
        <w:overflowPunct w:val="0"/>
        <w:autoSpaceDE w:val="0"/>
        <w:autoSpaceDN w:val="0"/>
        <w:adjustRightInd w:val="0"/>
        <w:spacing w:after="0" w:line="240" w:lineRule="auto"/>
        <w:jc w:val="both"/>
        <w:textAlignment w:val="baseline"/>
        <w:rPr>
          <w:rFonts w:ascii="Arial" w:eastAsia="Times New Roman" w:hAnsi="Arial" w:cs="Arial"/>
          <w:sz w:val="20"/>
          <w:szCs w:val="20"/>
          <w:lang w:val="es-419" w:eastAsia="es-ES"/>
        </w:rPr>
      </w:pPr>
    </w:p>
    <w:p w14:paraId="5D503D02" w14:textId="0EEB0C99" w:rsidR="00BB2289" w:rsidRPr="00BB2289" w:rsidRDefault="006E2360" w:rsidP="00BB2289">
      <w:pPr>
        <w:overflowPunct w:val="0"/>
        <w:autoSpaceDE w:val="0"/>
        <w:autoSpaceDN w:val="0"/>
        <w:adjustRightInd w:val="0"/>
        <w:spacing w:after="0" w:line="240" w:lineRule="auto"/>
        <w:jc w:val="both"/>
        <w:textAlignment w:val="baseline"/>
        <w:rPr>
          <w:rFonts w:ascii="Arial" w:eastAsia="Times New Roman" w:hAnsi="Arial" w:cs="Arial"/>
          <w:sz w:val="20"/>
          <w:szCs w:val="20"/>
          <w:lang w:val="es-419" w:eastAsia="es-ES"/>
        </w:rPr>
      </w:pPr>
      <w:r w:rsidRPr="006E2360">
        <w:rPr>
          <w:rFonts w:ascii="Arial" w:eastAsia="Times New Roman" w:hAnsi="Arial" w:cs="Arial"/>
          <w:sz w:val="20"/>
          <w:szCs w:val="20"/>
          <w:lang w:val="es-419" w:eastAsia="es-ES"/>
        </w:rPr>
        <w:t>No sucede lo mismo con la subsidiariedad porque, como se explicó en primera instancia, tratándose de prestaciones laborales, incluida la pensión, la regla general es que es inviable acudir a esta especial acción para su reconocimiento, pues para ese efecto, debe acudirse a los jueces laborales, instituidos para dirimir ese tipo de controversias. Aunque también ha sido aclarado por la jurisprudencia que, en ciertos casos, particularmente cuando se trate de sujetos de especial protección, puede recurrirse directamente a la vía constitucional</w:t>
      </w:r>
      <w:r>
        <w:rPr>
          <w:rFonts w:ascii="Arial" w:eastAsia="Times New Roman" w:hAnsi="Arial" w:cs="Arial"/>
          <w:sz w:val="20"/>
          <w:szCs w:val="20"/>
          <w:lang w:val="es-419" w:eastAsia="es-ES"/>
        </w:rPr>
        <w:t>…</w:t>
      </w:r>
    </w:p>
    <w:p w14:paraId="6A416092" w14:textId="77777777" w:rsidR="00BB2289" w:rsidRPr="00BB2289" w:rsidRDefault="00BB2289" w:rsidP="00BB2289">
      <w:pPr>
        <w:overflowPunct w:val="0"/>
        <w:autoSpaceDE w:val="0"/>
        <w:autoSpaceDN w:val="0"/>
        <w:adjustRightInd w:val="0"/>
        <w:spacing w:after="0" w:line="240" w:lineRule="auto"/>
        <w:jc w:val="both"/>
        <w:textAlignment w:val="baseline"/>
        <w:rPr>
          <w:rFonts w:ascii="Arial" w:eastAsia="Times New Roman" w:hAnsi="Arial" w:cs="Arial"/>
          <w:sz w:val="20"/>
          <w:szCs w:val="20"/>
          <w:lang w:val="es-419" w:eastAsia="es-ES"/>
        </w:rPr>
      </w:pPr>
    </w:p>
    <w:p w14:paraId="6922C1FD" w14:textId="3F4713A8" w:rsidR="00BB2289" w:rsidRPr="00BB2289" w:rsidRDefault="00327ECC" w:rsidP="00BB2289">
      <w:pPr>
        <w:overflowPunct w:val="0"/>
        <w:autoSpaceDE w:val="0"/>
        <w:autoSpaceDN w:val="0"/>
        <w:adjustRightInd w:val="0"/>
        <w:spacing w:after="0" w:line="240" w:lineRule="auto"/>
        <w:jc w:val="both"/>
        <w:textAlignment w:val="baseline"/>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327ECC">
        <w:rPr>
          <w:rFonts w:ascii="Arial" w:eastAsia="Times New Roman" w:hAnsi="Arial" w:cs="Arial"/>
          <w:sz w:val="20"/>
          <w:szCs w:val="20"/>
          <w:lang w:val="es-419" w:eastAsia="es-ES"/>
        </w:rPr>
        <w:t>en el caso concreto, ni la falta de empleo, por sí sola, constituye un perjuicio irremediable, ni la edad de la accionante, sin más, la hace una persona de especial protección constitucional.</w:t>
      </w:r>
    </w:p>
    <w:p w14:paraId="7578F7E6" w14:textId="77777777" w:rsidR="00BB2289" w:rsidRPr="00BB2289" w:rsidRDefault="00BB2289" w:rsidP="00BB2289">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p>
    <w:p w14:paraId="3CCB2F76" w14:textId="03644DCA" w:rsidR="00BB2289" w:rsidRDefault="00327ECC" w:rsidP="00BB2289">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327ECC">
        <w:rPr>
          <w:rFonts w:ascii="Arial" w:eastAsia="Times New Roman" w:hAnsi="Arial" w:cs="Arial"/>
          <w:sz w:val="20"/>
          <w:szCs w:val="20"/>
          <w:lang w:val="es-ES" w:eastAsia="es-ES"/>
        </w:rPr>
        <w:t>no basta con mencionar que se está ante un perjuicio irremediable, tal circunstancia debe explicarse y demostrarse para que sea posible valorar si “(…) el peligro que se cierne sobre el derecho fundamental es de tal magnitud que afecta con inminencia y de manera grave su subsistencia, requiriendo por tanto de medidas impostergables que lo neutralicen.”</w:t>
      </w:r>
    </w:p>
    <w:p w14:paraId="2D000BE0" w14:textId="75D45708" w:rsidR="00327ECC" w:rsidRDefault="00327ECC" w:rsidP="00BB2289">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p>
    <w:p w14:paraId="6E1BB2C2" w14:textId="77777777" w:rsidR="00327ECC" w:rsidRPr="00BB2289" w:rsidRDefault="00327ECC" w:rsidP="00BB2289">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p>
    <w:p w14:paraId="59E893EA" w14:textId="77777777" w:rsidR="00BB2289" w:rsidRPr="00BB2289" w:rsidRDefault="00BB2289" w:rsidP="00BB2289">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p>
    <w:bookmarkEnd w:id="0"/>
    <w:p w14:paraId="3CA67CE2" w14:textId="6FF2D385" w:rsidR="00756044" w:rsidRPr="00BB2289" w:rsidRDefault="00F43CD2" w:rsidP="00BB2289">
      <w:pPr>
        <w:spacing w:after="0" w:line="276" w:lineRule="auto"/>
        <w:ind w:firstLine="2835"/>
        <w:jc w:val="both"/>
        <w:rPr>
          <w:rFonts w:ascii="Gadugi" w:eastAsia="Times New Roman" w:hAnsi="Gadugi" w:cs="Times New Roman"/>
          <w:b/>
          <w:sz w:val="24"/>
          <w:szCs w:val="24"/>
          <w:lang w:val="es-ES" w:eastAsia="es-ES"/>
        </w:rPr>
      </w:pPr>
      <w:r w:rsidRPr="00BB2289">
        <w:rPr>
          <w:rFonts w:ascii="Gadugi" w:hAnsi="Gadugi"/>
          <w:b/>
          <w:sz w:val="24"/>
          <w:szCs w:val="24"/>
        </w:rPr>
        <w:t xml:space="preserve">TRIBUNAL SUPERIOR DEL DISTRITO JUDICIAL </w:t>
      </w:r>
      <w:r w:rsidRPr="00BB2289">
        <w:rPr>
          <w:rFonts w:ascii="Gadugi" w:hAnsi="Gadugi"/>
          <w:b/>
          <w:sz w:val="24"/>
          <w:szCs w:val="24"/>
          <w:lang w:val="es-419"/>
        </w:rPr>
        <w:t xml:space="preserve">   </w:t>
      </w:r>
      <w:r w:rsidRPr="00BB2289">
        <w:rPr>
          <w:rFonts w:ascii="Gadugi" w:hAnsi="Gadugi"/>
          <w:b/>
          <w:sz w:val="24"/>
          <w:szCs w:val="24"/>
          <w:lang w:val="es-419"/>
        </w:rPr>
        <w:tab/>
      </w:r>
      <w:r w:rsidRPr="00BB2289">
        <w:rPr>
          <w:rFonts w:ascii="Gadugi" w:hAnsi="Gadugi"/>
          <w:b/>
          <w:sz w:val="24"/>
          <w:szCs w:val="24"/>
          <w:lang w:val="es-419"/>
        </w:rPr>
        <w:tab/>
      </w:r>
      <w:r w:rsidRPr="00BB2289">
        <w:rPr>
          <w:rFonts w:ascii="Gadugi" w:hAnsi="Gadugi"/>
          <w:b/>
          <w:sz w:val="24"/>
          <w:szCs w:val="24"/>
          <w:lang w:val="es-419"/>
        </w:rPr>
        <w:tab/>
      </w:r>
      <w:r w:rsidRPr="00BB2289">
        <w:rPr>
          <w:rFonts w:ascii="Gadugi" w:hAnsi="Gadugi"/>
          <w:b/>
          <w:sz w:val="24"/>
          <w:szCs w:val="24"/>
          <w:lang w:val="es-419"/>
        </w:rPr>
        <w:tab/>
      </w:r>
      <w:r w:rsidR="00E44B84" w:rsidRPr="00BB2289">
        <w:rPr>
          <w:rFonts w:ascii="Gadugi" w:hAnsi="Gadugi"/>
          <w:b/>
          <w:sz w:val="24"/>
          <w:szCs w:val="24"/>
          <w:lang w:val="es-419"/>
        </w:rPr>
        <w:t xml:space="preserve">            </w:t>
      </w:r>
      <w:r w:rsidR="00E44B84" w:rsidRPr="00BB2289">
        <w:rPr>
          <w:rFonts w:ascii="Gadugi" w:hAnsi="Gadugi"/>
          <w:b/>
          <w:sz w:val="24"/>
          <w:szCs w:val="24"/>
        </w:rPr>
        <w:t>SALA DE DECISIÓN CIVIL FAMILIA</w:t>
      </w:r>
      <w:r w:rsidR="00E44B84" w:rsidRPr="00BB2289">
        <w:rPr>
          <w:rFonts w:ascii="Gadugi" w:eastAsia="Times New Roman" w:hAnsi="Gadugi" w:cs="Times New Roman"/>
          <w:b/>
          <w:sz w:val="24"/>
          <w:szCs w:val="24"/>
          <w:lang w:val="es-ES" w:eastAsia="es-ES"/>
        </w:rPr>
        <w:t xml:space="preserve">     </w:t>
      </w:r>
    </w:p>
    <w:p w14:paraId="5A11CDC1" w14:textId="77777777" w:rsidR="00756044" w:rsidRPr="00BB2289" w:rsidRDefault="00756044" w:rsidP="00BB2289">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780F5547" w14:textId="77777777" w:rsidR="004F7764" w:rsidRPr="00BB2289" w:rsidRDefault="004F7764" w:rsidP="00BB2289">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7F4781C5" w14:textId="77777777" w:rsidR="00756044" w:rsidRPr="00BB2289" w:rsidRDefault="00756044" w:rsidP="00BB2289">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r w:rsidRPr="00BB2289">
        <w:rPr>
          <w:rFonts w:ascii="Gadugi" w:eastAsia="Times New Roman" w:hAnsi="Gadugi" w:cs="Times New Roman"/>
          <w:sz w:val="24"/>
          <w:szCs w:val="24"/>
          <w:lang w:val="es-ES" w:eastAsia="es-ES"/>
        </w:rPr>
        <w:t>Magistrado: Jaime Alberto Saraza Naranjo</w:t>
      </w:r>
    </w:p>
    <w:p w14:paraId="754A61DE" w14:textId="3A313E3A" w:rsidR="00756044" w:rsidRPr="00BB2289" w:rsidRDefault="00756044" w:rsidP="00BB2289">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419" w:eastAsia="es-ES"/>
        </w:rPr>
      </w:pPr>
      <w:r w:rsidRPr="00BB2289">
        <w:rPr>
          <w:rFonts w:ascii="Gadugi" w:eastAsia="Times New Roman" w:hAnsi="Gadugi" w:cs="Times New Roman"/>
          <w:sz w:val="24"/>
          <w:szCs w:val="24"/>
          <w:lang w:val="es-ES" w:eastAsia="es-ES"/>
        </w:rPr>
        <w:t>Pereira,</w:t>
      </w:r>
      <w:r w:rsidR="00893F84" w:rsidRPr="00BB2289">
        <w:rPr>
          <w:rFonts w:ascii="Gadugi" w:eastAsia="Times New Roman" w:hAnsi="Gadugi" w:cs="Times New Roman"/>
          <w:sz w:val="24"/>
          <w:szCs w:val="24"/>
          <w:lang w:val="es-ES" w:eastAsia="es-ES"/>
        </w:rPr>
        <w:t xml:space="preserve"> </w:t>
      </w:r>
      <w:r w:rsidR="00EC7D79" w:rsidRPr="00BB2289">
        <w:rPr>
          <w:rFonts w:ascii="Gadugi" w:eastAsia="Times New Roman" w:hAnsi="Gadugi" w:cs="Times New Roman"/>
          <w:sz w:val="24"/>
          <w:szCs w:val="24"/>
          <w:lang w:val="es-ES" w:eastAsia="es-ES"/>
        </w:rPr>
        <w:t xml:space="preserve">febrero dos de dos mil veintidós </w:t>
      </w:r>
      <w:r w:rsidR="00B9556E" w:rsidRPr="00BB2289">
        <w:rPr>
          <w:rFonts w:ascii="Gadugi" w:eastAsia="Times New Roman" w:hAnsi="Gadugi" w:cs="Times New Roman"/>
          <w:sz w:val="24"/>
          <w:szCs w:val="24"/>
          <w:lang w:val="es-ES" w:eastAsia="es-ES"/>
        </w:rPr>
        <w:t xml:space="preserve"> </w:t>
      </w:r>
      <w:r w:rsidR="005C314D" w:rsidRPr="00BB2289">
        <w:rPr>
          <w:rFonts w:ascii="Gadugi" w:eastAsia="Times New Roman" w:hAnsi="Gadugi" w:cs="Times New Roman"/>
          <w:sz w:val="24"/>
          <w:szCs w:val="24"/>
          <w:lang w:val="es-ES" w:eastAsia="es-ES"/>
        </w:rPr>
        <w:t xml:space="preserve"> </w:t>
      </w:r>
      <w:r w:rsidR="00DB3375" w:rsidRPr="00BB2289">
        <w:rPr>
          <w:rFonts w:ascii="Gadugi" w:eastAsia="Times New Roman" w:hAnsi="Gadugi" w:cs="Times New Roman"/>
          <w:sz w:val="24"/>
          <w:szCs w:val="24"/>
          <w:lang w:val="es-ES" w:eastAsia="es-ES"/>
        </w:rPr>
        <w:t xml:space="preserve"> </w:t>
      </w:r>
      <w:r w:rsidR="00C92B7B" w:rsidRPr="00BB2289">
        <w:rPr>
          <w:rFonts w:ascii="Gadugi" w:eastAsia="Times New Roman" w:hAnsi="Gadugi" w:cs="Times New Roman"/>
          <w:sz w:val="24"/>
          <w:szCs w:val="24"/>
          <w:lang w:val="es-ES" w:eastAsia="es-ES"/>
        </w:rPr>
        <w:t xml:space="preserve"> </w:t>
      </w:r>
      <w:r w:rsidR="00657992" w:rsidRPr="00BB2289">
        <w:rPr>
          <w:rFonts w:ascii="Gadugi" w:eastAsia="Times New Roman" w:hAnsi="Gadugi" w:cs="Times New Roman"/>
          <w:sz w:val="24"/>
          <w:szCs w:val="24"/>
          <w:lang w:val="es-ES" w:eastAsia="es-ES"/>
        </w:rPr>
        <w:t xml:space="preserve"> </w:t>
      </w:r>
      <w:r w:rsidR="005C314D" w:rsidRPr="00BB2289">
        <w:rPr>
          <w:rFonts w:ascii="Gadugi" w:eastAsia="Times New Roman" w:hAnsi="Gadugi" w:cs="Times New Roman"/>
          <w:sz w:val="24"/>
          <w:szCs w:val="24"/>
          <w:lang w:val="es-ES" w:eastAsia="es-ES"/>
        </w:rPr>
        <w:t xml:space="preserve"> </w:t>
      </w:r>
      <w:r w:rsidRPr="00BB2289">
        <w:rPr>
          <w:rFonts w:ascii="Gadugi" w:eastAsia="Times New Roman" w:hAnsi="Gadugi" w:cs="Times New Roman"/>
          <w:sz w:val="24"/>
          <w:szCs w:val="24"/>
          <w:lang w:val="es-ES" w:eastAsia="es-ES"/>
        </w:rPr>
        <w:t xml:space="preserve"> </w:t>
      </w:r>
      <w:r w:rsidR="00E44B84" w:rsidRPr="00BB2289">
        <w:rPr>
          <w:rFonts w:ascii="Gadugi" w:eastAsia="Times New Roman" w:hAnsi="Gadugi" w:cs="Times New Roman"/>
          <w:sz w:val="24"/>
          <w:szCs w:val="24"/>
          <w:lang w:val="es-ES" w:eastAsia="es-ES"/>
        </w:rPr>
        <w:t xml:space="preserve"> </w:t>
      </w:r>
      <w:r w:rsidR="00F43CD2" w:rsidRPr="00BB2289">
        <w:rPr>
          <w:rFonts w:ascii="Gadugi" w:eastAsia="Times New Roman" w:hAnsi="Gadugi" w:cs="Times New Roman"/>
          <w:sz w:val="24"/>
          <w:szCs w:val="24"/>
          <w:lang w:val="es-419" w:eastAsia="es-ES"/>
        </w:rPr>
        <w:t xml:space="preserve"> </w:t>
      </w:r>
    </w:p>
    <w:p w14:paraId="419972DE" w14:textId="20DE7723" w:rsidR="00756044" w:rsidRPr="00BB2289" w:rsidRDefault="00756044" w:rsidP="00BB2289">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419" w:eastAsia="es-ES"/>
        </w:rPr>
      </w:pPr>
      <w:r w:rsidRPr="00BB2289">
        <w:rPr>
          <w:rFonts w:ascii="Gadugi" w:eastAsia="Times New Roman" w:hAnsi="Gadugi" w:cs="Times New Roman"/>
          <w:sz w:val="24"/>
          <w:szCs w:val="24"/>
          <w:lang w:val="es-ES" w:eastAsia="es-ES"/>
        </w:rPr>
        <w:t>Expediente</w:t>
      </w:r>
      <w:r w:rsidRPr="00BB2289">
        <w:rPr>
          <w:rFonts w:ascii="Gadugi" w:eastAsia="Times New Roman" w:hAnsi="Gadugi" w:cs="Times New Roman"/>
          <w:sz w:val="24"/>
          <w:szCs w:val="24"/>
          <w:lang w:val="es-419" w:eastAsia="es-ES"/>
        </w:rPr>
        <w:t>s:</w:t>
      </w:r>
      <w:r w:rsidR="004F7764" w:rsidRPr="00BB2289">
        <w:rPr>
          <w:rFonts w:ascii="Gadugi" w:eastAsia="Times New Roman" w:hAnsi="Gadugi" w:cs="Times New Roman"/>
          <w:sz w:val="24"/>
          <w:szCs w:val="24"/>
          <w:lang w:val="es-ES" w:eastAsia="es-ES"/>
        </w:rPr>
        <w:t xml:space="preserve"> </w:t>
      </w:r>
      <w:r w:rsidR="00B9556E" w:rsidRPr="00BB2289">
        <w:rPr>
          <w:rFonts w:ascii="Gadugi" w:eastAsia="Times New Roman" w:hAnsi="Gadugi" w:cs="Times New Roman"/>
          <w:sz w:val="24"/>
          <w:szCs w:val="24"/>
          <w:lang w:val="es-ES" w:eastAsia="es-ES"/>
        </w:rPr>
        <w:t>66001311000320210</w:t>
      </w:r>
      <w:bookmarkStart w:id="1" w:name="_GoBack"/>
      <w:bookmarkEnd w:id="1"/>
      <w:r w:rsidR="00B9556E" w:rsidRPr="00BB2289">
        <w:rPr>
          <w:rFonts w:ascii="Gadugi" w:eastAsia="Times New Roman" w:hAnsi="Gadugi" w:cs="Times New Roman"/>
          <w:sz w:val="24"/>
          <w:szCs w:val="24"/>
          <w:lang w:val="es-ES" w:eastAsia="es-ES"/>
        </w:rPr>
        <w:t>046901</w:t>
      </w:r>
      <w:r w:rsidR="00426DA0" w:rsidRPr="00BB2289">
        <w:rPr>
          <w:rFonts w:ascii="Gadugi" w:eastAsia="Times New Roman" w:hAnsi="Gadugi" w:cs="Times New Roman"/>
          <w:sz w:val="24"/>
          <w:szCs w:val="24"/>
          <w:lang w:val="es-ES" w:eastAsia="es-ES"/>
        </w:rPr>
        <w:tab/>
      </w:r>
      <w:r w:rsidR="00426DA0" w:rsidRPr="00BB2289">
        <w:rPr>
          <w:rFonts w:ascii="Gadugi" w:eastAsia="Times New Roman" w:hAnsi="Gadugi" w:cs="Times New Roman"/>
          <w:sz w:val="24"/>
          <w:szCs w:val="24"/>
          <w:lang w:val="es-ES" w:eastAsia="es-ES"/>
        </w:rPr>
        <w:tab/>
      </w:r>
      <w:r w:rsidR="00E44B84" w:rsidRPr="00BB2289">
        <w:rPr>
          <w:rFonts w:ascii="Gadugi" w:eastAsia="Times New Roman" w:hAnsi="Gadugi" w:cs="Times New Roman"/>
          <w:sz w:val="24"/>
          <w:szCs w:val="24"/>
          <w:lang w:val="es-ES" w:eastAsia="es-ES"/>
        </w:rPr>
        <w:tab/>
      </w:r>
      <w:r w:rsidR="00657992" w:rsidRPr="00BB2289">
        <w:rPr>
          <w:rFonts w:ascii="Gadugi" w:eastAsia="Times New Roman" w:hAnsi="Gadugi" w:cs="Times New Roman"/>
          <w:sz w:val="24"/>
          <w:szCs w:val="24"/>
          <w:lang w:val="es-ES" w:eastAsia="es-ES"/>
        </w:rPr>
        <w:tab/>
      </w:r>
      <w:r w:rsidR="00657992" w:rsidRPr="00BB2289">
        <w:rPr>
          <w:rFonts w:ascii="Gadugi" w:eastAsia="Times New Roman" w:hAnsi="Gadugi" w:cs="Times New Roman"/>
          <w:sz w:val="24"/>
          <w:szCs w:val="24"/>
          <w:lang w:val="es-ES" w:eastAsia="es-ES"/>
        </w:rPr>
        <w:tab/>
      </w:r>
      <w:r w:rsidR="00DB3375" w:rsidRPr="00BB2289">
        <w:rPr>
          <w:rFonts w:ascii="Gadugi" w:eastAsia="Times New Roman" w:hAnsi="Gadugi" w:cs="Times New Roman"/>
          <w:sz w:val="24"/>
          <w:szCs w:val="24"/>
          <w:lang w:val="es-ES" w:eastAsia="es-ES"/>
        </w:rPr>
        <w:tab/>
      </w:r>
      <w:r w:rsidR="00422311" w:rsidRPr="00BB2289">
        <w:rPr>
          <w:rFonts w:ascii="Gadugi" w:eastAsia="Times New Roman" w:hAnsi="Gadugi" w:cs="Times New Roman"/>
          <w:sz w:val="24"/>
          <w:szCs w:val="24"/>
          <w:lang w:val="es-ES" w:eastAsia="es-ES"/>
        </w:rPr>
        <w:t>Act</w:t>
      </w:r>
      <w:r w:rsidR="00DB3375" w:rsidRPr="00BB2289">
        <w:rPr>
          <w:rFonts w:ascii="Gadugi" w:eastAsia="Times New Roman" w:hAnsi="Gadugi" w:cs="Times New Roman"/>
          <w:sz w:val="24"/>
          <w:szCs w:val="24"/>
          <w:lang w:val="es-ES" w:eastAsia="es-ES"/>
        </w:rPr>
        <w:t>a:</w:t>
      </w:r>
      <w:r w:rsidR="00893F84" w:rsidRPr="00BB2289">
        <w:rPr>
          <w:rFonts w:ascii="Gadugi" w:eastAsia="Times New Roman" w:hAnsi="Gadugi" w:cs="Times New Roman"/>
          <w:sz w:val="24"/>
          <w:szCs w:val="24"/>
          <w:lang w:val="es-ES" w:eastAsia="es-ES"/>
        </w:rPr>
        <w:t xml:space="preserve"> </w:t>
      </w:r>
      <w:r w:rsidR="00EC7D79" w:rsidRPr="00BB2289">
        <w:rPr>
          <w:rFonts w:ascii="Gadugi" w:eastAsia="Times New Roman" w:hAnsi="Gadugi" w:cs="Times New Roman"/>
          <w:sz w:val="24"/>
          <w:szCs w:val="24"/>
          <w:lang w:val="es-ES" w:eastAsia="es-ES"/>
        </w:rPr>
        <w:t>37 del 2 de febrero de 2022</w:t>
      </w:r>
      <w:r w:rsidR="00B9556E" w:rsidRPr="00BB2289">
        <w:rPr>
          <w:rFonts w:ascii="Gadugi" w:eastAsia="Times New Roman" w:hAnsi="Gadugi" w:cs="Times New Roman"/>
          <w:sz w:val="24"/>
          <w:szCs w:val="24"/>
          <w:lang w:val="es-ES" w:eastAsia="es-ES"/>
        </w:rPr>
        <w:t xml:space="preserve"> </w:t>
      </w:r>
      <w:r w:rsidR="00C92B7B" w:rsidRPr="00BB2289">
        <w:rPr>
          <w:rFonts w:ascii="Gadugi" w:eastAsia="Times New Roman" w:hAnsi="Gadugi" w:cs="Times New Roman"/>
          <w:sz w:val="24"/>
          <w:szCs w:val="24"/>
          <w:lang w:val="es-ES" w:eastAsia="es-ES"/>
        </w:rPr>
        <w:t xml:space="preserve"> </w:t>
      </w:r>
      <w:r w:rsidR="00DB3375" w:rsidRPr="00BB2289">
        <w:rPr>
          <w:rFonts w:ascii="Gadugi" w:eastAsia="Times New Roman" w:hAnsi="Gadugi" w:cs="Times New Roman"/>
          <w:sz w:val="24"/>
          <w:szCs w:val="24"/>
          <w:lang w:val="es-ES" w:eastAsia="es-ES"/>
        </w:rPr>
        <w:t xml:space="preserve"> </w:t>
      </w:r>
      <w:r w:rsidRPr="00BB2289">
        <w:rPr>
          <w:rFonts w:ascii="Gadugi" w:eastAsia="Times New Roman" w:hAnsi="Gadugi" w:cs="Times New Roman"/>
          <w:sz w:val="24"/>
          <w:szCs w:val="24"/>
          <w:lang w:val="es-419" w:eastAsia="es-ES"/>
        </w:rPr>
        <w:t xml:space="preserve"> </w:t>
      </w:r>
      <w:r w:rsidR="00657992" w:rsidRPr="00BB2289">
        <w:rPr>
          <w:rFonts w:ascii="Gadugi" w:eastAsia="Times New Roman" w:hAnsi="Gadugi" w:cs="Times New Roman"/>
          <w:sz w:val="24"/>
          <w:szCs w:val="24"/>
          <w:lang w:val="es-419" w:eastAsia="es-ES"/>
        </w:rPr>
        <w:t xml:space="preserve"> </w:t>
      </w:r>
    </w:p>
    <w:p w14:paraId="36D873CF" w14:textId="17F5FA39" w:rsidR="00422311" w:rsidRPr="00BB2289" w:rsidRDefault="00422311" w:rsidP="00BB2289">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419" w:eastAsia="es-ES"/>
        </w:rPr>
      </w:pPr>
      <w:r w:rsidRPr="00BB2289">
        <w:rPr>
          <w:rFonts w:ascii="Gadugi" w:eastAsia="Times New Roman" w:hAnsi="Gadugi" w:cs="Times New Roman"/>
          <w:sz w:val="24"/>
          <w:szCs w:val="24"/>
          <w:lang w:val="es-419" w:eastAsia="es-ES"/>
        </w:rPr>
        <w:t>Sentencia</w:t>
      </w:r>
      <w:r w:rsidR="00DB3375" w:rsidRPr="00BB2289">
        <w:rPr>
          <w:rFonts w:ascii="Gadugi" w:eastAsia="Times New Roman" w:hAnsi="Gadugi" w:cs="Times New Roman"/>
          <w:sz w:val="24"/>
          <w:szCs w:val="24"/>
          <w:lang w:val="es-419" w:eastAsia="es-ES"/>
        </w:rPr>
        <w:t>:</w:t>
      </w:r>
      <w:r w:rsidR="00893F84" w:rsidRPr="00BB2289">
        <w:rPr>
          <w:rFonts w:ascii="Gadugi" w:eastAsia="Times New Roman" w:hAnsi="Gadugi" w:cs="Times New Roman"/>
          <w:sz w:val="24"/>
          <w:szCs w:val="24"/>
          <w:lang w:val="es-419" w:eastAsia="es-ES"/>
        </w:rPr>
        <w:t xml:space="preserve"> </w:t>
      </w:r>
      <w:r w:rsidR="00EC7D79" w:rsidRPr="00BB2289">
        <w:rPr>
          <w:rFonts w:ascii="Gadugi" w:eastAsia="Times New Roman" w:hAnsi="Gadugi" w:cs="Times New Roman"/>
          <w:sz w:val="24"/>
          <w:szCs w:val="24"/>
          <w:lang w:val="es-419" w:eastAsia="es-ES"/>
        </w:rPr>
        <w:t>ST2-0030-2022</w:t>
      </w:r>
      <w:r w:rsidR="00B9556E" w:rsidRPr="00BB2289">
        <w:rPr>
          <w:rFonts w:ascii="Gadugi" w:eastAsia="Times New Roman" w:hAnsi="Gadugi" w:cs="Times New Roman"/>
          <w:sz w:val="24"/>
          <w:szCs w:val="24"/>
          <w:lang w:val="es-419" w:eastAsia="es-ES"/>
        </w:rPr>
        <w:t xml:space="preserve"> </w:t>
      </w:r>
    </w:p>
    <w:p w14:paraId="28DF98C7" w14:textId="77777777" w:rsidR="00756044" w:rsidRPr="00BB2289" w:rsidRDefault="00756044" w:rsidP="00BB2289">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24F4D633" w14:textId="77777777" w:rsidR="00756044" w:rsidRPr="00BB2289" w:rsidRDefault="00756044" w:rsidP="00BB2289">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5162974E" w14:textId="1E940238" w:rsidR="00073F32" w:rsidRPr="00B813CC" w:rsidRDefault="00756044" w:rsidP="00BB2289">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BB2289">
        <w:rPr>
          <w:rFonts w:ascii="Gadugi" w:eastAsia="Times New Roman" w:hAnsi="Gadugi" w:cs="Arial"/>
          <w:sz w:val="24"/>
          <w:szCs w:val="24"/>
          <w:lang w:val="es-ES" w:eastAsia="es-ES"/>
        </w:rPr>
        <w:t xml:space="preserve">  </w:t>
      </w:r>
      <w:r w:rsidRPr="00BB2289">
        <w:rPr>
          <w:rFonts w:ascii="Gadugi" w:eastAsia="Times New Roman" w:hAnsi="Gadugi" w:cs="Arial"/>
          <w:sz w:val="24"/>
          <w:szCs w:val="24"/>
          <w:lang w:val="es-ES" w:eastAsia="es-ES"/>
        </w:rPr>
        <w:tab/>
      </w:r>
      <w:r w:rsidRPr="00BB2289">
        <w:rPr>
          <w:rFonts w:ascii="Gadugi" w:eastAsia="Times New Roman" w:hAnsi="Gadugi" w:cs="Arial"/>
          <w:sz w:val="24"/>
          <w:szCs w:val="24"/>
          <w:lang w:val="es-ES" w:eastAsia="es-ES"/>
        </w:rPr>
        <w:tab/>
      </w:r>
      <w:r w:rsidRPr="00BB2289">
        <w:rPr>
          <w:rFonts w:ascii="Gadugi" w:eastAsia="Times New Roman" w:hAnsi="Gadugi" w:cs="Arial"/>
          <w:sz w:val="24"/>
          <w:szCs w:val="24"/>
          <w:lang w:val="es-ES" w:eastAsia="es-ES"/>
        </w:rPr>
        <w:tab/>
      </w:r>
      <w:r w:rsidRPr="00BB2289">
        <w:rPr>
          <w:rFonts w:ascii="Gadugi" w:eastAsia="Times New Roman" w:hAnsi="Gadugi" w:cs="Arial"/>
          <w:sz w:val="24"/>
          <w:szCs w:val="24"/>
          <w:lang w:val="es-ES" w:eastAsia="es-ES"/>
        </w:rPr>
        <w:tab/>
        <w:t xml:space="preserve">Procede la Sala a decidir la </w:t>
      </w:r>
      <w:r w:rsidRPr="00BB2289">
        <w:rPr>
          <w:rFonts w:ascii="Gadugi" w:eastAsia="Times New Roman" w:hAnsi="Gadugi" w:cs="Arial"/>
          <w:sz w:val="24"/>
          <w:szCs w:val="24"/>
          <w:lang w:val="es-419" w:eastAsia="es-ES"/>
        </w:rPr>
        <w:t xml:space="preserve">impugnación propuesta por la </w:t>
      </w:r>
      <w:r w:rsidRPr="00BB2289">
        <w:rPr>
          <w:rFonts w:ascii="Gadugi" w:eastAsia="Times New Roman" w:hAnsi="Gadugi" w:cs="Arial"/>
          <w:sz w:val="24"/>
          <w:szCs w:val="24"/>
          <w:lang w:val="es-CO" w:eastAsia="es-ES"/>
        </w:rPr>
        <w:t>parte demandante</w:t>
      </w:r>
      <w:r w:rsidRPr="00BB2289">
        <w:rPr>
          <w:rFonts w:ascii="Gadugi" w:eastAsia="Times New Roman" w:hAnsi="Gadugi" w:cs="Arial"/>
          <w:sz w:val="24"/>
          <w:szCs w:val="24"/>
          <w:lang w:val="es-419" w:eastAsia="es-ES"/>
        </w:rPr>
        <w:t xml:space="preserve"> contra la sentencia del </w:t>
      </w:r>
      <w:r w:rsidR="00B9556E" w:rsidRPr="00BB2289">
        <w:rPr>
          <w:rFonts w:ascii="Gadugi" w:eastAsia="Times New Roman" w:hAnsi="Gadugi" w:cs="Arial"/>
          <w:sz w:val="24"/>
          <w:szCs w:val="24"/>
          <w:lang w:val="es-419" w:eastAsia="es-ES"/>
        </w:rPr>
        <w:t>26</w:t>
      </w:r>
      <w:r w:rsidR="00F43CD2" w:rsidRPr="00BB2289">
        <w:rPr>
          <w:rFonts w:ascii="Gadugi" w:eastAsia="Times New Roman" w:hAnsi="Gadugi" w:cs="Arial"/>
          <w:sz w:val="24"/>
          <w:szCs w:val="24"/>
          <w:lang w:val="es-419" w:eastAsia="es-ES"/>
        </w:rPr>
        <w:t xml:space="preserve"> de</w:t>
      </w:r>
      <w:r w:rsidR="00B9556E" w:rsidRPr="00BB2289">
        <w:rPr>
          <w:rFonts w:ascii="Gadugi" w:eastAsia="Times New Roman" w:hAnsi="Gadugi" w:cs="Arial"/>
          <w:sz w:val="24"/>
          <w:szCs w:val="24"/>
          <w:lang w:val="es-419" w:eastAsia="es-ES"/>
        </w:rPr>
        <w:t xml:space="preserve"> noviembre</w:t>
      </w:r>
      <w:r w:rsidR="00E44B84" w:rsidRPr="00BB2289">
        <w:rPr>
          <w:rFonts w:ascii="Gadugi" w:eastAsia="Times New Roman" w:hAnsi="Gadugi" w:cs="Arial"/>
          <w:sz w:val="24"/>
          <w:szCs w:val="24"/>
          <w:lang w:val="es-419" w:eastAsia="es-ES"/>
        </w:rPr>
        <w:t xml:space="preserve"> de 202</w:t>
      </w:r>
      <w:r w:rsidR="00657992" w:rsidRPr="00BB2289">
        <w:rPr>
          <w:rFonts w:ascii="Gadugi" w:eastAsia="Times New Roman" w:hAnsi="Gadugi" w:cs="Arial"/>
          <w:sz w:val="24"/>
          <w:szCs w:val="24"/>
          <w:lang w:val="es-419" w:eastAsia="es-ES"/>
        </w:rPr>
        <w:t>1</w:t>
      </w:r>
      <w:r w:rsidRPr="00BB2289">
        <w:rPr>
          <w:rFonts w:ascii="Gadugi" w:eastAsia="Times New Roman" w:hAnsi="Gadugi" w:cs="Arial"/>
          <w:sz w:val="24"/>
          <w:szCs w:val="24"/>
          <w:lang w:val="es-CO" w:eastAsia="es-ES"/>
        </w:rPr>
        <w:t>,</w:t>
      </w:r>
      <w:r w:rsidRPr="00BB2289">
        <w:rPr>
          <w:rFonts w:ascii="Gadugi" w:eastAsia="Times New Roman" w:hAnsi="Gadugi" w:cs="Arial"/>
          <w:sz w:val="24"/>
          <w:szCs w:val="24"/>
          <w:lang w:val="es-419" w:eastAsia="es-ES"/>
        </w:rPr>
        <w:t xml:space="preserve"> proferida por el </w:t>
      </w:r>
      <w:r w:rsidR="00F43CD2" w:rsidRPr="00BB2289">
        <w:rPr>
          <w:rFonts w:ascii="Gadugi" w:hAnsi="Gadugi" w:cs="Arial"/>
          <w:sz w:val="24"/>
          <w:szCs w:val="24"/>
          <w:lang w:val="es-419"/>
        </w:rPr>
        <w:t xml:space="preserve">Juzgado </w:t>
      </w:r>
      <w:r w:rsidR="00B9556E" w:rsidRPr="00BB2289">
        <w:rPr>
          <w:rFonts w:ascii="Gadugi" w:hAnsi="Gadugi" w:cs="Arial"/>
          <w:sz w:val="24"/>
          <w:szCs w:val="24"/>
          <w:lang w:val="es-CO"/>
        </w:rPr>
        <w:t>Tercero de Familia</w:t>
      </w:r>
      <w:r w:rsidR="0074749B" w:rsidRPr="00BB2289">
        <w:rPr>
          <w:rFonts w:ascii="Gadugi" w:hAnsi="Gadugi" w:cs="Arial"/>
          <w:sz w:val="24"/>
          <w:szCs w:val="24"/>
          <w:lang w:val="es-CO"/>
        </w:rPr>
        <w:t xml:space="preserve"> local</w:t>
      </w:r>
      <w:r w:rsidRPr="00BB2289">
        <w:rPr>
          <w:rFonts w:ascii="Gadugi" w:eastAsia="Times New Roman" w:hAnsi="Gadugi" w:cs="Arial"/>
          <w:sz w:val="24"/>
          <w:szCs w:val="24"/>
          <w:lang w:val="es-419" w:eastAsia="es-ES"/>
        </w:rPr>
        <w:t xml:space="preserve">, en esta </w:t>
      </w:r>
      <w:r w:rsidRPr="00BB2289">
        <w:rPr>
          <w:rFonts w:ascii="Gadugi" w:eastAsia="Times New Roman" w:hAnsi="Gadugi" w:cs="Arial"/>
          <w:sz w:val="24"/>
          <w:szCs w:val="24"/>
          <w:lang w:val="es-ES" w:eastAsia="es-ES"/>
        </w:rPr>
        <w:t xml:space="preserve">acción de tutela que </w:t>
      </w:r>
      <w:r w:rsidR="00B9556E" w:rsidRPr="00BB2289">
        <w:rPr>
          <w:rFonts w:ascii="Gadugi" w:eastAsia="Times New Roman" w:hAnsi="Gadugi" w:cs="Arial"/>
          <w:b/>
          <w:sz w:val="24"/>
          <w:szCs w:val="24"/>
          <w:lang w:val="es-ES" w:eastAsia="es-ES"/>
        </w:rPr>
        <w:t xml:space="preserve">María Amparo Uribe Vinasco </w:t>
      </w:r>
      <w:r w:rsidRPr="00BB2289">
        <w:rPr>
          <w:rFonts w:ascii="Gadugi" w:eastAsia="Times New Roman" w:hAnsi="Gadugi" w:cs="Arial"/>
          <w:sz w:val="24"/>
          <w:szCs w:val="24"/>
          <w:lang w:val="es-ES" w:eastAsia="es-ES"/>
        </w:rPr>
        <w:t xml:space="preserve">promovió </w:t>
      </w:r>
      <w:r w:rsidRPr="00BB2289">
        <w:rPr>
          <w:rFonts w:ascii="Gadugi" w:eastAsia="Times New Roman" w:hAnsi="Gadugi" w:cs="Arial"/>
          <w:sz w:val="24"/>
          <w:szCs w:val="24"/>
          <w:lang w:val="es-419" w:eastAsia="es-ES"/>
        </w:rPr>
        <w:t xml:space="preserve">frente a </w:t>
      </w:r>
      <w:r w:rsidR="00657992" w:rsidRPr="00BB2289">
        <w:rPr>
          <w:rFonts w:ascii="Gadugi" w:eastAsia="Times New Roman" w:hAnsi="Gadugi" w:cs="Arial"/>
          <w:b/>
          <w:sz w:val="24"/>
          <w:szCs w:val="24"/>
          <w:lang w:val="es-ES" w:eastAsia="es-ES"/>
        </w:rPr>
        <w:t>Colpensiones</w:t>
      </w:r>
      <w:r w:rsidR="00073F32" w:rsidRPr="00BB2289">
        <w:rPr>
          <w:rFonts w:ascii="Gadugi" w:eastAsia="Times New Roman" w:hAnsi="Gadugi" w:cs="Arial"/>
          <w:b/>
          <w:sz w:val="24"/>
          <w:szCs w:val="24"/>
          <w:lang w:val="es-ES" w:eastAsia="es-ES"/>
        </w:rPr>
        <w:t xml:space="preserve">, </w:t>
      </w:r>
      <w:r w:rsidR="00073F32" w:rsidRPr="00BB2289">
        <w:rPr>
          <w:rFonts w:ascii="Gadugi" w:eastAsia="Times New Roman" w:hAnsi="Gadugi" w:cs="Arial"/>
          <w:sz w:val="24"/>
          <w:szCs w:val="24"/>
          <w:lang w:val="es-ES" w:eastAsia="es-ES"/>
        </w:rPr>
        <w:t xml:space="preserve">la </w:t>
      </w:r>
      <w:r w:rsidR="00073F32" w:rsidRPr="00BB2289">
        <w:rPr>
          <w:rFonts w:ascii="Gadugi" w:eastAsia="Times New Roman" w:hAnsi="Gadugi" w:cs="Arial"/>
          <w:b/>
          <w:sz w:val="24"/>
          <w:szCs w:val="24"/>
          <w:lang w:val="es-ES" w:eastAsia="es-ES"/>
        </w:rPr>
        <w:t>Secretaría de Educación del Municipio de Pereira</w:t>
      </w:r>
      <w:r w:rsidR="00073F32" w:rsidRPr="00BB2289">
        <w:rPr>
          <w:rFonts w:ascii="Gadugi" w:eastAsia="Times New Roman" w:hAnsi="Gadugi" w:cs="Arial"/>
          <w:sz w:val="24"/>
          <w:szCs w:val="24"/>
          <w:lang w:val="es-ES" w:eastAsia="es-ES"/>
        </w:rPr>
        <w:t xml:space="preserve">, la </w:t>
      </w:r>
      <w:r w:rsidR="00073F32" w:rsidRPr="00BB2289">
        <w:rPr>
          <w:rFonts w:ascii="Gadugi" w:eastAsia="Times New Roman" w:hAnsi="Gadugi" w:cs="Arial"/>
          <w:b/>
          <w:sz w:val="24"/>
          <w:szCs w:val="24"/>
          <w:lang w:val="es-ES" w:eastAsia="es-ES"/>
        </w:rPr>
        <w:t>Fiduprevisora S.A.</w:t>
      </w:r>
      <w:r w:rsidR="00073F32" w:rsidRPr="00BB2289">
        <w:rPr>
          <w:rFonts w:ascii="Gadugi" w:eastAsia="Times New Roman" w:hAnsi="Gadugi" w:cs="Arial"/>
          <w:sz w:val="24"/>
          <w:szCs w:val="24"/>
          <w:lang w:val="es-ES" w:eastAsia="es-ES"/>
        </w:rPr>
        <w:t xml:space="preserve"> y el </w:t>
      </w:r>
      <w:r w:rsidR="00073F32" w:rsidRPr="00BB2289">
        <w:rPr>
          <w:rFonts w:ascii="Gadugi" w:eastAsia="Times New Roman" w:hAnsi="Gadugi" w:cs="Arial"/>
          <w:b/>
          <w:sz w:val="24"/>
          <w:szCs w:val="24"/>
          <w:lang w:val="es-ES" w:eastAsia="es-ES"/>
        </w:rPr>
        <w:t>Fondo Nacional de Prestaciones Sociales del Magisterio -FOMAG-</w:t>
      </w:r>
      <w:r w:rsidR="00B813CC">
        <w:rPr>
          <w:rFonts w:ascii="Gadugi" w:eastAsia="Times New Roman" w:hAnsi="Gadugi" w:cs="Arial"/>
          <w:sz w:val="24"/>
          <w:szCs w:val="24"/>
          <w:lang w:val="es-ES" w:eastAsia="es-ES"/>
        </w:rPr>
        <w:t>.</w:t>
      </w:r>
    </w:p>
    <w:p w14:paraId="6FF5C5AC" w14:textId="77777777" w:rsidR="00073F32" w:rsidRPr="00BB2289" w:rsidRDefault="00073F32" w:rsidP="00BB2289">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p>
    <w:p w14:paraId="1BC3FA8D" w14:textId="77777777" w:rsidR="00756044" w:rsidRPr="00BB2289" w:rsidRDefault="00756044" w:rsidP="00BB2289">
      <w:pPr>
        <w:overflowPunct w:val="0"/>
        <w:autoSpaceDE w:val="0"/>
        <w:autoSpaceDN w:val="0"/>
        <w:adjustRightInd w:val="0"/>
        <w:spacing w:after="0" w:line="276" w:lineRule="auto"/>
        <w:textAlignment w:val="baseline"/>
        <w:rPr>
          <w:rFonts w:ascii="Gadugi" w:eastAsia="Times New Roman" w:hAnsi="Gadugi" w:cs="Arial"/>
          <w:b/>
          <w:bCs/>
          <w:sz w:val="24"/>
          <w:szCs w:val="24"/>
          <w:lang w:val="es-ES" w:eastAsia="es-ES"/>
        </w:rPr>
      </w:pPr>
      <w:r w:rsidRPr="00BB2289">
        <w:rPr>
          <w:rFonts w:ascii="Gadugi" w:eastAsia="Times New Roman" w:hAnsi="Gadugi" w:cs="Arial"/>
          <w:b/>
          <w:bCs/>
          <w:sz w:val="24"/>
          <w:szCs w:val="24"/>
          <w:lang w:val="es-ES" w:eastAsia="es-ES"/>
        </w:rPr>
        <w:t xml:space="preserve">  </w:t>
      </w:r>
      <w:r w:rsidRPr="00BB2289">
        <w:rPr>
          <w:rFonts w:ascii="Gadugi" w:eastAsia="Times New Roman" w:hAnsi="Gadugi" w:cs="Arial"/>
          <w:b/>
          <w:bCs/>
          <w:sz w:val="24"/>
          <w:szCs w:val="24"/>
          <w:lang w:val="es-ES" w:eastAsia="es-ES"/>
        </w:rPr>
        <w:tab/>
      </w:r>
      <w:r w:rsidRPr="00BB2289">
        <w:rPr>
          <w:rFonts w:ascii="Gadugi" w:eastAsia="Times New Roman" w:hAnsi="Gadugi" w:cs="Arial"/>
          <w:b/>
          <w:bCs/>
          <w:sz w:val="24"/>
          <w:szCs w:val="24"/>
          <w:lang w:val="es-ES" w:eastAsia="es-ES"/>
        </w:rPr>
        <w:tab/>
      </w:r>
      <w:r w:rsidRPr="00BB2289">
        <w:rPr>
          <w:rFonts w:ascii="Gadugi" w:eastAsia="Times New Roman" w:hAnsi="Gadugi" w:cs="Arial"/>
          <w:b/>
          <w:bCs/>
          <w:sz w:val="24"/>
          <w:szCs w:val="24"/>
          <w:lang w:val="es-ES" w:eastAsia="es-ES"/>
        </w:rPr>
        <w:tab/>
      </w:r>
      <w:r w:rsidRPr="00BB2289">
        <w:rPr>
          <w:rFonts w:ascii="Gadugi" w:eastAsia="Times New Roman" w:hAnsi="Gadugi" w:cs="Arial"/>
          <w:b/>
          <w:bCs/>
          <w:sz w:val="24"/>
          <w:szCs w:val="24"/>
          <w:lang w:val="es-ES" w:eastAsia="es-ES"/>
        </w:rPr>
        <w:tab/>
      </w:r>
    </w:p>
    <w:p w14:paraId="486FC1D2" w14:textId="77777777" w:rsidR="00756044" w:rsidRPr="00BB2289" w:rsidRDefault="00756044" w:rsidP="00BB2289">
      <w:pPr>
        <w:overflowPunct w:val="0"/>
        <w:autoSpaceDE w:val="0"/>
        <w:autoSpaceDN w:val="0"/>
        <w:adjustRightInd w:val="0"/>
        <w:spacing w:after="0" w:line="276" w:lineRule="auto"/>
        <w:textAlignment w:val="baseline"/>
        <w:rPr>
          <w:rFonts w:ascii="Gadugi" w:eastAsia="Times New Roman" w:hAnsi="Gadugi" w:cs="Arial"/>
          <w:sz w:val="24"/>
          <w:szCs w:val="24"/>
          <w:lang w:val="es-ES" w:eastAsia="es-ES"/>
        </w:rPr>
      </w:pPr>
      <w:r w:rsidRPr="00BB2289">
        <w:rPr>
          <w:rFonts w:ascii="Gadugi" w:eastAsia="Times New Roman" w:hAnsi="Gadugi" w:cs="Arial"/>
          <w:b/>
          <w:bCs/>
          <w:sz w:val="24"/>
          <w:szCs w:val="24"/>
          <w:lang w:val="es-ES" w:eastAsia="es-ES"/>
        </w:rPr>
        <w:t xml:space="preserve">  </w:t>
      </w:r>
      <w:r w:rsidRPr="00BB2289">
        <w:rPr>
          <w:rFonts w:ascii="Gadugi" w:eastAsia="Times New Roman" w:hAnsi="Gadugi" w:cs="Arial"/>
          <w:b/>
          <w:bCs/>
          <w:sz w:val="24"/>
          <w:szCs w:val="24"/>
          <w:lang w:val="es-ES" w:eastAsia="es-ES"/>
        </w:rPr>
        <w:tab/>
      </w:r>
      <w:r w:rsidRPr="00BB2289">
        <w:rPr>
          <w:rFonts w:ascii="Gadugi" w:eastAsia="Times New Roman" w:hAnsi="Gadugi" w:cs="Arial"/>
          <w:b/>
          <w:bCs/>
          <w:sz w:val="24"/>
          <w:szCs w:val="24"/>
          <w:lang w:val="es-ES" w:eastAsia="es-ES"/>
        </w:rPr>
        <w:tab/>
      </w:r>
      <w:r w:rsidRPr="00BB2289">
        <w:rPr>
          <w:rFonts w:ascii="Gadugi" w:eastAsia="Times New Roman" w:hAnsi="Gadugi" w:cs="Arial"/>
          <w:b/>
          <w:bCs/>
          <w:sz w:val="24"/>
          <w:szCs w:val="24"/>
          <w:lang w:val="es-ES" w:eastAsia="es-ES"/>
        </w:rPr>
        <w:tab/>
      </w:r>
      <w:r w:rsidRPr="00BB2289">
        <w:rPr>
          <w:rFonts w:ascii="Gadugi" w:eastAsia="Times New Roman" w:hAnsi="Gadugi" w:cs="Arial"/>
          <w:b/>
          <w:bCs/>
          <w:sz w:val="24"/>
          <w:szCs w:val="24"/>
          <w:lang w:val="es-ES" w:eastAsia="es-ES"/>
        </w:rPr>
        <w:tab/>
        <w:t>ANTECEDENTES</w:t>
      </w:r>
    </w:p>
    <w:p w14:paraId="026B83E3" w14:textId="77777777" w:rsidR="00756044" w:rsidRPr="00BB2289" w:rsidRDefault="00E44B84" w:rsidP="00BB2289">
      <w:pPr>
        <w:overflowPunct w:val="0"/>
        <w:autoSpaceDE w:val="0"/>
        <w:autoSpaceDN w:val="0"/>
        <w:adjustRightInd w:val="0"/>
        <w:spacing w:after="0" w:line="276" w:lineRule="auto"/>
        <w:textAlignment w:val="baseline"/>
        <w:rPr>
          <w:rFonts w:ascii="Gadugi" w:eastAsia="Times New Roman" w:hAnsi="Gadugi" w:cs="Arial"/>
          <w:sz w:val="24"/>
          <w:szCs w:val="24"/>
          <w:lang w:val="es-ES" w:eastAsia="es-ES"/>
        </w:rPr>
      </w:pPr>
      <w:r w:rsidRPr="00BB2289">
        <w:rPr>
          <w:rFonts w:ascii="Gadugi" w:eastAsia="Times New Roman" w:hAnsi="Gadugi" w:cs="Arial"/>
          <w:sz w:val="24"/>
          <w:szCs w:val="24"/>
          <w:lang w:val="es-ES" w:eastAsia="es-ES"/>
        </w:rPr>
        <w:tab/>
      </w:r>
      <w:r w:rsidRPr="00BB2289">
        <w:rPr>
          <w:rFonts w:ascii="Gadugi" w:eastAsia="Times New Roman" w:hAnsi="Gadugi" w:cs="Arial"/>
          <w:sz w:val="24"/>
          <w:szCs w:val="24"/>
          <w:lang w:val="es-ES" w:eastAsia="es-ES"/>
        </w:rPr>
        <w:tab/>
      </w:r>
      <w:r w:rsidRPr="00BB2289">
        <w:rPr>
          <w:rFonts w:ascii="Gadugi" w:eastAsia="Times New Roman" w:hAnsi="Gadugi" w:cs="Arial"/>
          <w:sz w:val="24"/>
          <w:szCs w:val="24"/>
          <w:lang w:val="es-ES" w:eastAsia="es-ES"/>
        </w:rPr>
        <w:tab/>
      </w:r>
      <w:r w:rsidRPr="00BB2289">
        <w:rPr>
          <w:rFonts w:ascii="Gadugi" w:eastAsia="Times New Roman" w:hAnsi="Gadugi" w:cs="Arial"/>
          <w:sz w:val="24"/>
          <w:szCs w:val="24"/>
          <w:lang w:val="es-ES" w:eastAsia="es-ES"/>
        </w:rPr>
        <w:tab/>
      </w:r>
    </w:p>
    <w:p w14:paraId="71AF52D6" w14:textId="66EE5353" w:rsidR="00756044" w:rsidRPr="00BB2289" w:rsidRDefault="00E44B84" w:rsidP="00BB2289">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BB2289">
        <w:rPr>
          <w:rFonts w:ascii="Gadugi" w:eastAsia="Times New Roman" w:hAnsi="Gadugi" w:cs="Arial"/>
          <w:sz w:val="24"/>
          <w:szCs w:val="24"/>
          <w:lang w:val="es-ES" w:eastAsia="es-ES"/>
        </w:rPr>
        <w:tab/>
      </w:r>
      <w:r w:rsidRPr="00BB2289">
        <w:rPr>
          <w:rFonts w:ascii="Gadugi" w:eastAsia="Times New Roman" w:hAnsi="Gadugi" w:cs="Arial"/>
          <w:sz w:val="24"/>
          <w:szCs w:val="24"/>
          <w:lang w:val="es-ES" w:eastAsia="es-ES"/>
        </w:rPr>
        <w:tab/>
      </w:r>
      <w:r w:rsidRPr="00BB2289">
        <w:rPr>
          <w:rFonts w:ascii="Gadugi" w:eastAsia="Times New Roman" w:hAnsi="Gadugi" w:cs="Arial"/>
          <w:sz w:val="24"/>
          <w:szCs w:val="24"/>
          <w:lang w:val="es-ES" w:eastAsia="es-ES"/>
        </w:rPr>
        <w:tab/>
      </w:r>
      <w:r w:rsidRPr="00BB2289">
        <w:rPr>
          <w:rFonts w:ascii="Gadugi" w:eastAsia="Times New Roman" w:hAnsi="Gadugi" w:cs="Arial"/>
          <w:sz w:val="24"/>
          <w:szCs w:val="24"/>
          <w:lang w:val="es-ES" w:eastAsia="es-ES"/>
        </w:rPr>
        <w:tab/>
      </w:r>
    </w:p>
    <w:p w14:paraId="5FFF8C43" w14:textId="1092DB64" w:rsidR="0074749B" w:rsidRPr="00BB2289" w:rsidRDefault="0074749B" w:rsidP="00BB2289">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BB2289">
        <w:rPr>
          <w:rFonts w:ascii="Gadugi" w:eastAsia="Times New Roman" w:hAnsi="Gadugi" w:cs="Arial"/>
          <w:sz w:val="24"/>
          <w:szCs w:val="24"/>
          <w:lang w:val="es-ES" w:eastAsia="es-ES"/>
        </w:rPr>
        <w:tab/>
      </w:r>
      <w:r w:rsidRPr="00BB2289">
        <w:rPr>
          <w:rFonts w:ascii="Gadugi" w:eastAsia="Times New Roman" w:hAnsi="Gadugi" w:cs="Arial"/>
          <w:sz w:val="24"/>
          <w:szCs w:val="24"/>
          <w:lang w:val="es-ES" w:eastAsia="es-ES"/>
        </w:rPr>
        <w:tab/>
      </w:r>
      <w:r w:rsidRPr="00BB2289">
        <w:rPr>
          <w:rFonts w:ascii="Gadugi" w:eastAsia="Times New Roman" w:hAnsi="Gadugi" w:cs="Arial"/>
          <w:sz w:val="24"/>
          <w:szCs w:val="24"/>
          <w:lang w:val="es-ES" w:eastAsia="es-ES"/>
        </w:rPr>
        <w:tab/>
      </w:r>
      <w:r w:rsidRPr="00BB2289">
        <w:rPr>
          <w:rFonts w:ascii="Gadugi" w:eastAsia="Times New Roman" w:hAnsi="Gadugi" w:cs="Arial"/>
          <w:sz w:val="24"/>
          <w:szCs w:val="24"/>
          <w:lang w:val="es-ES" w:eastAsia="es-ES"/>
        </w:rPr>
        <w:tab/>
        <w:t>Del extenso relato</w:t>
      </w:r>
      <w:r w:rsidR="009B1BF7" w:rsidRPr="00BB2289">
        <w:rPr>
          <w:rFonts w:ascii="Gadugi" w:eastAsia="Times New Roman" w:hAnsi="Gadugi" w:cs="Arial"/>
          <w:sz w:val="24"/>
          <w:szCs w:val="24"/>
          <w:lang w:val="es-ES" w:eastAsia="es-ES"/>
        </w:rPr>
        <w:t xml:space="preserve"> </w:t>
      </w:r>
      <w:r w:rsidRPr="00BB2289">
        <w:rPr>
          <w:rFonts w:ascii="Gadugi" w:eastAsia="Times New Roman" w:hAnsi="Gadugi" w:cs="Arial"/>
          <w:sz w:val="24"/>
          <w:szCs w:val="24"/>
          <w:lang w:val="es-ES" w:eastAsia="es-ES"/>
        </w:rPr>
        <w:t>se extrae la siguiente síntesis:</w:t>
      </w:r>
    </w:p>
    <w:p w14:paraId="5056227B" w14:textId="37E51D65" w:rsidR="00073F32" w:rsidRPr="00BB2289" w:rsidRDefault="00EC7D79" w:rsidP="00BB2289">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BB2289">
        <w:rPr>
          <w:rFonts w:ascii="Gadugi" w:eastAsia="Times New Roman" w:hAnsi="Gadugi" w:cs="Arial"/>
          <w:sz w:val="24"/>
          <w:szCs w:val="24"/>
          <w:lang w:val="es-ES" w:eastAsia="es-ES"/>
        </w:rPr>
        <w:lastRenderedPageBreak/>
        <w:tab/>
      </w:r>
      <w:r w:rsidRPr="00BB2289">
        <w:rPr>
          <w:rFonts w:ascii="Gadugi" w:eastAsia="Times New Roman" w:hAnsi="Gadugi" w:cs="Arial"/>
          <w:sz w:val="24"/>
          <w:szCs w:val="24"/>
          <w:lang w:val="es-ES" w:eastAsia="es-ES"/>
        </w:rPr>
        <w:tab/>
      </w:r>
      <w:r w:rsidRPr="00BB2289">
        <w:rPr>
          <w:rFonts w:ascii="Gadugi" w:eastAsia="Times New Roman" w:hAnsi="Gadugi" w:cs="Arial"/>
          <w:sz w:val="24"/>
          <w:szCs w:val="24"/>
          <w:lang w:val="es-ES" w:eastAsia="es-ES"/>
        </w:rPr>
        <w:tab/>
      </w:r>
      <w:r w:rsidRPr="00BB2289">
        <w:rPr>
          <w:rFonts w:ascii="Gadugi" w:eastAsia="Times New Roman" w:hAnsi="Gadugi" w:cs="Arial"/>
          <w:sz w:val="24"/>
          <w:szCs w:val="24"/>
          <w:lang w:val="es-ES" w:eastAsia="es-ES"/>
        </w:rPr>
        <w:tab/>
      </w:r>
    </w:p>
    <w:p w14:paraId="39CFD74C" w14:textId="2B8EE5A6" w:rsidR="00135B0F" w:rsidRPr="00BB2289" w:rsidRDefault="00073F32" w:rsidP="00BB2289">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BB2289">
        <w:rPr>
          <w:rFonts w:ascii="Gadugi" w:eastAsia="Times New Roman" w:hAnsi="Gadugi" w:cs="Arial"/>
          <w:sz w:val="24"/>
          <w:szCs w:val="24"/>
          <w:lang w:val="es-ES" w:eastAsia="es-ES"/>
        </w:rPr>
        <w:tab/>
      </w:r>
      <w:r w:rsidRPr="00BB2289">
        <w:rPr>
          <w:rFonts w:ascii="Gadugi" w:eastAsia="Times New Roman" w:hAnsi="Gadugi" w:cs="Arial"/>
          <w:sz w:val="24"/>
          <w:szCs w:val="24"/>
          <w:lang w:val="es-ES" w:eastAsia="es-ES"/>
        </w:rPr>
        <w:tab/>
      </w:r>
      <w:r w:rsidRPr="00BB2289">
        <w:rPr>
          <w:rFonts w:ascii="Gadugi" w:eastAsia="Times New Roman" w:hAnsi="Gadugi" w:cs="Arial"/>
          <w:sz w:val="24"/>
          <w:szCs w:val="24"/>
          <w:lang w:val="es-ES" w:eastAsia="es-ES"/>
        </w:rPr>
        <w:tab/>
      </w:r>
      <w:r w:rsidRPr="00BB2289">
        <w:rPr>
          <w:rFonts w:ascii="Gadugi" w:eastAsia="Times New Roman" w:hAnsi="Gadugi" w:cs="Arial"/>
          <w:sz w:val="24"/>
          <w:szCs w:val="24"/>
          <w:lang w:val="es-ES" w:eastAsia="es-ES"/>
        </w:rPr>
        <w:tab/>
        <w:t>La demandante cuenta con 66 años de edad, en su historia laboral expedida por Colpensiones, le aparecen 461,29 semanas cotizadas, sin embargo, no están registradas 121 semanas correspondientes a periodos que trabajó para el municipio de Pereira entre el 23 de enero de 2004 y el 30 de junio de 2006</w:t>
      </w:r>
      <w:r w:rsidR="00135B0F" w:rsidRPr="00BB2289">
        <w:rPr>
          <w:rFonts w:ascii="Gadugi" w:eastAsia="Times New Roman" w:hAnsi="Gadugi" w:cs="Arial"/>
          <w:sz w:val="24"/>
          <w:szCs w:val="24"/>
          <w:lang w:val="es-ES" w:eastAsia="es-ES"/>
        </w:rPr>
        <w:t xml:space="preserve">, y así sucede, porque esos aportes fueron realizados al FOMAG, de ahí que, al sumar esas semanas, se tiene que en realidad cuenta con 530 semanas. Destacó que, para el 1° de abril de 1994, tenía más de 35 años, por lo cual, es beneficiaria del régimen de transición. </w:t>
      </w:r>
    </w:p>
    <w:p w14:paraId="240CDD0F" w14:textId="1C89546E" w:rsidR="00135B0F" w:rsidRPr="00BB2289" w:rsidRDefault="00135B0F" w:rsidP="00BB2289">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p>
    <w:p w14:paraId="051D499E" w14:textId="2B758964" w:rsidR="00135B0F" w:rsidRPr="00BB2289" w:rsidRDefault="00135B0F" w:rsidP="00BB2289">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BB2289">
        <w:rPr>
          <w:rFonts w:ascii="Gadugi" w:eastAsia="Times New Roman" w:hAnsi="Gadugi" w:cs="Arial"/>
          <w:sz w:val="24"/>
          <w:szCs w:val="24"/>
          <w:lang w:val="es-ES" w:eastAsia="es-ES"/>
        </w:rPr>
        <w:tab/>
      </w:r>
      <w:r w:rsidRPr="00BB2289">
        <w:rPr>
          <w:rFonts w:ascii="Gadugi" w:eastAsia="Times New Roman" w:hAnsi="Gadugi" w:cs="Arial"/>
          <w:sz w:val="24"/>
          <w:szCs w:val="24"/>
          <w:lang w:val="es-ES" w:eastAsia="es-ES"/>
        </w:rPr>
        <w:tab/>
      </w:r>
      <w:r w:rsidRPr="00BB2289">
        <w:rPr>
          <w:rFonts w:ascii="Gadugi" w:eastAsia="Times New Roman" w:hAnsi="Gadugi" w:cs="Arial"/>
          <w:sz w:val="24"/>
          <w:szCs w:val="24"/>
          <w:lang w:val="es-ES" w:eastAsia="es-ES"/>
        </w:rPr>
        <w:tab/>
      </w:r>
      <w:r w:rsidRPr="00BB2289">
        <w:rPr>
          <w:rFonts w:ascii="Gadugi" w:eastAsia="Times New Roman" w:hAnsi="Gadugi" w:cs="Arial"/>
          <w:sz w:val="24"/>
          <w:szCs w:val="24"/>
          <w:lang w:val="es-ES" w:eastAsia="es-ES"/>
        </w:rPr>
        <w:tab/>
        <w:t>Mediante la Resolución GNR 277009 del 05 de agosto de 2014, Colpensiones le reconoció una pensión sustitutiva por $10.157.098.</w:t>
      </w:r>
      <w:r w:rsidR="00BB2289" w:rsidRPr="00BB2289">
        <w:rPr>
          <w:rFonts w:ascii="Gadugi" w:eastAsia="Times New Roman" w:hAnsi="Gadugi" w:cs="Arial"/>
          <w:sz w:val="24"/>
          <w:szCs w:val="24"/>
          <w:lang w:val="es-ES" w:eastAsia="es-ES"/>
        </w:rPr>
        <w:t>00</w:t>
      </w:r>
      <w:r w:rsidRPr="00BB2289">
        <w:rPr>
          <w:rFonts w:ascii="Gadugi" w:eastAsia="Times New Roman" w:hAnsi="Gadugi" w:cs="Arial"/>
          <w:sz w:val="24"/>
          <w:szCs w:val="24"/>
          <w:lang w:val="es-ES" w:eastAsia="es-ES"/>
        </w:rPr>
        <w:t>, lo cual no es impedimento para ahora solicitar la pensión de vejez, a la cual</w:t>
      </w:r>
      <w:r w:rsidR="00C21530" w:rsidRPr="00BB2289">
        <w:rPr>
          <w:rFonts w:ascii="Gadugi" w:eastAsia="Times New Roman" w:hAnsi="Gadugi" w:cs="Arial"/>
          <w:sz w:val="24"/>
          <w:szCs w:val="24"/>
          <w:lang w:val="es-ES" w:eastAsia="es-ES"/>
        </w:rPr>
        <w:t>,</w:t>
      </w:r>
      <w:r w:rsidRPr="00BB2289">
        <w:rPr>
          <w:rFonts w:ascii="Gadugi" w:eastAsia="Times New Roman" w:hAnsi="Gadugi" w:cs="Arial"/>
          <w:sz w:val="24"/>
          <w:szCs w:val="24"/>
          <w:lang w:val="es-ES" w:eastAsia="es-ES"/>
        </w:rPr>
        <w:t xml:space="preserve"> asegura, tiene derecho. Por tal motivo, el 18 de noviembre de 2020, radicó ante Colpensiones una solicitud para que le fuera reconocida dicha prestación</w:t>
      </w:r>
      <w:r w:rsidR="00816F27" w:rsidRPr="00BB2289">
        <w:rPr>
          <w:rFonts w:ascii="Gadugi" w:eastAsia="Times New Roman" w:hAnsi="Gadugi" w:cs="Arial"/>
          <w:sz w:val="24"/>
          <w:szCs w:val="24"/>
          <w:lang w:val="es-ES" w:eastAsia="es-ES"/>
        </w:rPr>
        <w:t>.</w:t>
      </w:r>
    </w:p>
    <w:p w14:paraId="2A4F1411" w14:textId="544DA71D" w:rsidR="00816F27" w:rsidRPr="00BB2289" w:rsidRDefault="00816F27" w:rsidP="00BB2289">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p>
    <w:p w14:paraId="4210F281" w14:textId="45486FAC" w:rsidR="00816F27" w:rsidRPr="00BB2289" w:rsidRDefault="00816F27" w:rsidP="00BB2289">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BB2289">
        <w:rPr>
          <w:rFonts w:ascii="Gadugi" w:eastAsia="Times New Roman" w:hAnsi="Gadugi" w:cs="Arial"/>
          <w:sz w:val="24"/>
          <w:szCs w:val="24"/>
          <w:lang w:val="es-ES" w:eastAsia="es-ES"/>
        </w:rPr>
        <w:tab/>
      </w:r>
      <w:r w:rsidRPr="00BB2289">
        <w:rPr>
          <w:rFonts w:ascii="Gadugi" w:eastAsia="Times New Roman" w:hAnsi="Gadugi" w:cs="Arial"/>
          <w:sz w:val="24"/>
          <w:szCs w:val="24"/>
          <w:lang w:val="es-ES" w:eastAsia="es-ES"/>
        </w:rPr>
        <w:tab/>
      </w:r>
      <w:r w:rsidRPr="00BB2289">
        <w:rPr>
          <w:rFonts w:ascii="Gadugi" w:eastAsia="Times New Roman" w:hAnsi="Gadugi" w:cs="Arial"/>
          <w:sz w:val="24"/>
          <w:szCs w:val="24"/>
          <w:lang w:val="es-ES" w:eastAsia="es-ES"/>
        </w:rPr>
        <w:tab/>
      </w:r>
      <w:r w:rsidRPr="00BB2289">
        <w:rPr>
          <w:rFonts w:ascii="Gadugi" w:eastAsia="Times New Roman" w:hAnsi="Gadugi" w:cs="Arial"/>
          <w:sz w:val="24"/>
          <w:szCs w:val="24"/>
          <w:lang w:val="es-ES" w:eastAsia="es-ES"/>
        </w:rPr>
        <w:tab/>
        <w:t xml:space="preserve">Con oficio del 8 de julio de 2021, Colpensiones le informó sobre el éxito de los trámites adelantados ante Protección S.A., entidad a la que realizó algunos aportes y que ya fueron cargados a su historia laboral, pero también le informó sobre el fracaso de las gestiones ante la Fiduprevisora S.A. y el Municipio de Pereira, donde no se obtuvieron respuestas positivas. </w:t>
      </w:r>
    </w:p>
    <w:p w14:paraId="06F0EBAF" w14:textId="638E5603" w:rsidR="00816F27" w:rsidRPr="00BB2289" w:rsidRDefault="00816F27" w:rsidP="00BB2289">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p>
    <w:p w14:paraId="6686AF31" w14:textId="76A7F1BA" w:rsidR="00816F27" w:rsidRPr="00BB2289" w:rsidRDefault="00816F27" w:rsidP="00BB2289">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BB2289">
        <w:rPr>
          <w:rFonts w:ascii="Gadugi" w:eastAsia="Times New Roman" w:hAnsi="Gadugi" w:cs="Arial"/>
          <w:sz w:val="24"/>
          <w:szCs w:val="24"/>
          <w:lang w:val="es-ES" w:eastAsia="es-ES"/>
        </w:rPr>
        <w:tab/>
      </w:r>
      <w:r w:rsidRPr="00BB2289">
        <w:rPr>
          <w:rFonts w:ascii="Gadugi" w:eastAsia="Times New Roman" w:hAnsi="Gadugi" w:cs="Arial"/>
          <w:sz w:val="24"/>
          <w:szCs w:val="24"/>
          <w:lang w:val="es-ES" w:eastAsia="es-ES"/>
        </w:rPr>
        <w:tab/>
      </w:r>
      <w:r w:rsidRPr="00BB2289">
        <w:rPr>
          <w:rFonts w:ascii="Gadugi" w:eastAsia="Times New Roman" w:hAnsi="Gadugi" w:cs="Arial"/>
          <w:sz w:val="24"/>
          <w:szCs w:val="24"/>
          <w:lang w:val="es-ES" w:eastAsia="es-ES"/>
        </w:rPr>
        <w:tab/>
      </w:r>
      <w:r w:rsidRPr="00BB2289">
        <w:rPr>
          <w:rFonts w:ascii="Gadugi" w:eastAsia="Times New Roman" w:hAnsi="Gadugi" w:cs="Arial"/>
          <w:sz w:val="24"/>
          <w:szCs w:val="24"/>
          <w:lang w:val="es-ES" w:eastAsia="es-ES"/>
        </w:rPr>
        <w:tab/>
        <w:t xml:space="preserve">Finalmente, mediante la Resolución SUB 159368 del 08 de julio de 2021, Colpensiones negó la pensión de vejez deprecada, con el argumento de que ella </w:t>
      </w:r>
      <w:r w:rsidRPr="00BB2289">
        <w:rPr>
          <w:rFonts w:ascii="Gadugi" w:eastAsia="Times New Roman" w:hAnsi="Gadugi" w:cs="Arial"/>
          <w:i/>
          <w:sz w:val="24"/>
          <w:szCs w:val="24"/>
          <w:lang w:val="es-ES" w:eastAsia="es-ES"/>
        </w:rPr>
        <w:t>“</w:t>
      </w:r>
      <w:r w:rsidRPr="00B813CC">
        <w:rPr>
          <w:rFonts w:ascii="Gadugi" w:eastAsia="Times New Roman" w:hAnsi="Gadugi" w:cs="Arial"/>
          <w:i/>
          <w:szCs w:val="24"/>
          <w:lang w:val="es-ES" w:eastAsia="es-ES"/>
        </w:rPr>
        <w:t>(…) NO TIENE VINCULACION AL SEGURO SOCIAL ANTES DE LA ENTRADA EN VIGENCIA DE LA LEY 100 DE 1993, ya que la primera vinculación al ISS es del 01 de abril de 1995 con el empleador Municipio de Pereira, razón por la cual en el caso no hay lugar a reconocer la prestación conforme lo establecido en el art. 12 del acuerdo 049 de 1990 aprobado por el decreto 758 de 1990</w:t>
      </w:r>
      <w:r w:rsidRPr="00BB2289">
        <w:rPr>
          <w:rFonts w:ascii="Gadugi" w:eastAsia="Times New Roman" w:hAnsi="Gadugi" w:cs="Arial"/>
          <w:i/>
          <w:sz w:val="24"/>
          <w:szCs w:val="24"/>
          <w:lang w:val="es-ES" w:eastAsia="es-ES"/>
        </w:rPr>
        <w:t>.”</w:t>
      </w:r>
    </w:p>
    <w:p w14:paraId="5B33AC4F" w14:textId="23F158D8" w:rsidR="00816F27" w:rsidRPr="00BB2289" w:rsidRDefault="00816F27" w:rsidP="00BB2289">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p>
    <w:p w14:paraId="7CEA1C13" w14:textId="3E51AF41" w:rsidR="00816F27" w:rsidRPr="00BB2289" w:rsidRDefault="00816F27" w:rsidP="00BB2289">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BB2289">
        <w:rPr>
          <w:rFonts w:ascii="Gadugi" w:eastAsia="Times New Roman" w:hAnsi="Gadugi" w:cs="Arial"/>
          <w:sz w:val="24"/>
          <w:szCs w:val="24"/>
          <w:lang w:val="es-ES" w:eastAsia="es-ES"/>
        </w:rPr>
        <w:tab/>
      </w:r>
      <w:r w:rsidRPr="00BB2289">
        <w:rPr>
          <w:rFonts w:ascii="Gadugi" w:eastAsia="Times New Roman" w:hAnsi="Gadugi" w:cs="Arial"/>
          <w:sz w:val="24"/>
          <w:szCs w:val="24"/>
          <w:lang w:val="es-ES" w:eastAsia="es-ES"/>
        </w:rPr>
        <w:tab/>
      </w:r>
      <w:r w:rsidRPr="00BB2289">
        <w:rPr>
          <w:rFonts w:ascii="Gadugi" w:eastAsia="Times New Roman" w:hAnsi="Gadugi" w:cs="Arial"/>
          <w:sz w:val="24"/>
          <w:szCs w:val="24"/>
          <w:lang w:val="es-ES" w:eastAsia="es-ES"/>
        </w:rPr>
        <w:tab/>
      </w:r>
      <w:r w:rsidRPr="00BB2289">
        <w:rPr>
          <w:rFonts w:ascii="Gadugi" w:eastAsia="Times New Roman" w:hAnsi="Gadugi" w:cs="Arial"/>
          <w:sz w:val="24"/>
          <w:szCs w:val="24"/>
          <w:lang w:val="es-ES" w:eastAsia="es-ES"/>
        </w:rPr>
        <w:tab/>
        <w:t>Contra esa decisión formuló un recurso de apelación, el cual fue despachado desfavorablemente con la Resolución del DPE 7916 del 22 de septiembre de 2021</w:t>
      </w:r>
      <w:r w:rsidR="00706A77" w:rsidRPr="00BB2289">
        <w:rPr>
          <w:rFonts w:ascii="Gadugi" w:eastAsia="Times New Roman" w:hAnsi="Gadugi" w:cs="Arial"/>
          <w:sz w:val="24"/>
          <w:szCs w:val="24"/>
          <w:lang w:val="es-ES" w:eastAsia="es-ES"/>
        </w:rPr>
        <w:t xml:space="preserve">, pero allí no se tuvo en cuenta que </w:t>
      </w:r>
      <w:r w:rsidR="00706A77" w:rsidRPr="00BB2289">
        <w:rPr>
          <w:rFonts w:ascii="Gadugi" w:eastAsia="Times New Roman" w:hAnsi="Gadugi" w:cs="Arial"/>
          <w:i/>
          <w:sz w:val="24"/>
          <w:szCs w:val="24"/>
          <w:lang w:val="es-ES" w:eastAsia="es-ES"/>
        </w:rPr>
        <w:t>“</w:t>
      </w:r>
      <w:r w:rsidR="00706A77" w:rsidRPr="00B813CC">
        <w:rPr>
          <w:rFonts w:ascii="Gadugi" w:eastAsia="Times New Roman" w:hAnsi="Gadugi" w:cs="Arial"/>
          <w:i/>
          <w:szCs w:val="24"/>
          <w:lang w:val="es-ES" w:eastAsia="es-ES"/>
        </w:rPr>
        <w:t>(…) de mi historia laboral puede observarse que mi primera cotización al extinto ISS se dio para el 01 de abril de 1995, y para los trabajadores públicos entro a regir el sistema general de pensiones a partir del 30 de junio de 1995, por lo que acredito con este requisito pues cuento con cotizaciones anteriores a la entrada en vigencia de la ley 100 d e1993, que para mí tan solo aplica a partir del 30 de junio de 1995, pues así inclusive se indica en los formatos CETIL emitido por el Municipio de Pereira</w:t>
      </w:r>
      <w:r w:rsidR="00706A77" w:rsidRPr="00BB2289">
        <w:rPr>
          <w:rFonts w:ascii="Gadugi" w:eastAsia="Times New Roman" w:hAnsi="Gadugi" w:cs="Arial"/>
          <w:i/>
          <w:sz w:val="24"/>
          <w:szCs w:val="24"/>
          <w:lang w:val="es-ES" w:eastAsia="es-ES"/>
        </w:rPr>
        <w:t>.”</w:t>
      </w:r>
    </w:p>
    <w:p w14:paraId="38A76A14" w14:textId="099D4EBF" w:rsidR="00CA08FA" w:rsidRPr="00BB2289" w:rsidRDefault="00CA08FA" w:rsidP="00BB2289">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p>
    <w:p w14:paraId="72E2A1D1" w14:textId="484DDF03" w:rsidR="00CA08FA" w:rsidRPr="00BB2289" w:rsidRDefault="00CA08FA" w:rsidP="00BB2289">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BB2289">
        <w:rPr>
          <w:rFonts w:ascii="Gadugi" w:eastAsia="Times New Roman" w:hAnsi="Gadugi" w:cs="Arial"/>
          <w:sz w:val="24"/>
          <w:szCs w:val="24"/>
          <w:lang w:val="es-ES" w:eastAsia="es-ES"/>
        </w:rPr>
        <w:lastRenderedPageBreak/>
        <w:tab/>
      </w:r>
      <w:r w:rsidRPr="00BB2289">
        <w:rPr>
          <w:rFonts w:ascii="Gadugi" w:eastAsia="Times New Roman" w:hAnsi="Gadugi" w:cs="Arial"/>
          <w:sz w:val="24"/>
          <w:szCs w:val="24"/>
          <w:lang w:val="es-ES" w:eastAsia="es-ES"/>
        </w:rPr>
        <w:tab/>
      </w:r>
      <w:r w:rsidRPr="00BB2289">
        <w:rPr>
          <w:rFonts w:ascii="Gadugi" w:eastAsia="Times New Roman" w:hAnsi="Gadugi" w:cs="Arial"/>
          <w:sz w:val="24"/>
          <w:szCs w:val="24"/>
          <w:lang w:val="es-ES" w:eastAsia="es-ES"/>
        </w:rPr>
        <w:tab/>
      </w:r>
      <w:r w:rsidRPr="00BB2289">
        <w:rPr>
          <w:rFonts w:ascii="Gadugi" w:eastAsia="Times New Roman" w:hAnsi="Gadugi" w:cs="Arial"/>
          <w:sz w:val="24"/>
          <w:szCs w:val="24"/>
          <w:lang w:val="es-ES" w:eastAsia="es-ES"/>
        </w:rPr>
        <w:tab/>
      </w:r>
      <w:r w:rsidR="00706A77" w:rsidRPr="00BB2289">
        <w:rPr>
          <w:rFonts w:ascii="Gadugi" w:eastAsia="Times New Roman" w:hAnsi="Gadugi" w:cs="Arial"/>
          <w:sz w:val="24"/>
          <w:szCs w:val="24"/>
          <w:lang w:val="es-ES" w:eastAsia="es-ES"/>
        </w:rPr>
        <w:t>Se quejó de que Colpensiones no hubiera cargado aún a su historia laboral los ciclos que laboró durante el periodo comprendido entre el 23 de enero de 2004 y el 30 de junio de 2006.</w:t>
      </w:r>
    </w:p>
    <w:p w14:paraId="65A1D3EE" w14:textId="0C4C36EB" w:rsidR="00706A77" w:rsidRPr="00BB2289" w:rsidRDefault="00706A77" w:rsidP="00BB2289">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p>
    <w:p w14:paraId="62E39D9A" w14:textId="45343E88" w:rsidR="00706A77" w:rsidRPr="00BB2289" w:rsidRDefault="00706A77" w:rsidP="00BB2289">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BB2289">
        <w:rPr>
          <w:rFonts w:ascii="Gadugi" w:eastAsia="Times New Roman" w:hAnsi="Gadugi" w:cs="Arial"/>
          <w:sz w:val="24"/>
          <w:szCs w:val="24"/>
          <w:lang w:val="es-ES" w:eastAsia="es-ES"/>
        </w:rPr>
        <w:tab/>
      </w:r>
      <w:r w:rsidRPr="00BB2289">
        <w:rPr>
          <w:rFonts w:ascii="Gadugi" w:eastAsia="Times New Roman" w:hAnsi="Gadugi" w:cs="Arial"/>
          <w:sz w:val="24"/>
          <w:szCs w:val="24"/>
          <w:lang w:val="es-ES" w:eastAsia="es-ES"/>
        </w:rPr>
        <w:tab/>
      </w:r>
      <w:r w:rsidRPr="00BB2289">
        <w:rPr>
          <w:rFonts w:ascii="Gadugi" w:eastAsia="Times New Roman" w:hAnsi="Gadugi" w:cs="Arial"/>
          <w:sz w:val="24"/>
          <w:szCs w:val="24"/>
          <w:lang w:val="es-ES" w:eastAsia="es-ES"/>
        </w:rPr>
        <w:tab/>
      </w:r>
      <w:r w:rsidRPr="00BB2289">
        <w:rPr>
          <w:rFonts w:ascii="Gadugi" w:eastAsia="Times New Roman" w:hAnsi="Gadugi" w:cs="Arial"/>
          <w:sz w:val="24"/>
          <w:szCs w:val="24"/>
          <w:lang w:val="es-ES" w:eastAsia="es-ES"/>
        </w:rPr>
        <w:tab/>
        <w:t xml:space="preserve">Agregó que, en razón a su edad, es una persona de especial protección constitucional, que no cuenta con ingresos económicos estables. </w:t>
      </w:r>
    </w:p>
    <w:p w14:paraId="0C59BAB8" w14:textId="77777777" w:rsidR="00706A77" w:rsidRPr="00BB2289" w:rsidRDefault="00706A77" w:rsidP="00BB2289">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p>
    <w:p w14:paraId="58643554" w14:textId="2F25DE55" w:rsidR="003D4EFC" w:rsidRPr="00BB2289" w:rsidRDefault="00706A77" w:rsidP="00BB2289">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BB2289">
        <w:rPr>
          <w:rFonts w:ascii="Gadugi" w:eastAsia="Times New Roman" w:hAnsi="Gadugi" w:cs="Arial"/>
          <w:sz w:val="24"/>
          <w:szCs w:val="24"/>
          <w:lang w:val="es-ES" w:eastAsia="es-ES"/>
        </w:rPr>
        <w:tab/>
      </w:r>
      <w:r w:rsidRPr="00BB2289">
        <w:rPr>
          <w:rFonts w:ascii="Gadugi" w:eastAsia="Times New Roman" w:hAnsi="Gadugi" w:cs="Arial"/>
          <w:sz w:val="24"/>
          <w:szCs w:val="24"/>
          <w:lang w:val="es-ES" w:eastAsia="es-ES"/>
        </w:rPr>
        <w:tab/>
      </w:r>
      <w:r w:rsidRPr="00BB2289">
        <w:rPr>
          <w:rFonts w:ascii="Gadugi" w:eastAsia="Times New Roman" w:hAnsi="Gadugi" w:cs="Arial"/>
          <w:sz w:val="24"/>
          <w:szCs w:val="24"/>
          <w:lang w:val="es-ES" w:eastAsia="es-ES"/>
        </w:rPr>
        <w:tab/>
      </w:r>
      <w:r w:rsidRPr="00BB2289">
        <w:rPr>
          <w:rFonts w:ascii="Gadugi" w:eastAsia="Times New Roman" w:hAnsi="Gadugi" w:cs="Arial"/>
          <w:sz w:val="24"/>
          <w:szCs w:val="24"/>
          <w:lang w:val="es-ES" w:eastAsia="es-ES"/>
        </w:rPr>
        <w:tab/>
        <w:t xml:space="preserve">Pidió, entonces, que se le ordene a Colpensiones dejar sin efectos los actos administrativos que negaron la prestación, y en su lugar, reconocerle </w:t>
      </w:r>
      <w:r w:rsidRPr="00BB2289">
        <w:rPr>
          <w:rFonts w:ascii="Gadugi" w:eastAsia="Times New Roman" w:hAnsi="Gadugi" w:cs="Arial"/>
          <w:i/>
          <w:sz w:val="24"/>
          <w:szCs w:val="24"/>
          <w:lang w:val="es-ES" w:eastAsia="es-ES"/>
        </w:rPr>
        <w:t>“</w:t>
      </w:r>
      <w:r w:rsidRPr="00B813CC">
        <w:rPr>
          <w:rFonts w:ascii="Gadugi" w:eastAsia="Times New Roman" w:hAnsi="Gadugi" w:cs="Arial"/>
          <w:i/>
          <w:szCs w:val="24"/>
          <w:lang w:val="es-ES" w:eastAsia="es-ES"/>
        </w:rPr>
        <w:t>(…) la pensión vejez de conformidad con el artículo 12 del acuerdo 049 de 1990 aprobado por el decreto 758 del mismo año,</w:t>
      </w:r>
      <w:r w:rsidR="003D4EFC" w:rsidRPr="00B813CC">
        <w:rPr>
          <w:rFonts w:ascii="Gadugi" w:eastAsia="Times New Roman" w:hAnsi="Gadugi" w:cs="Arial"/>
          <w:i/>
          <w:szCs w:val="24"/>
          <w:lang w:val="es-ES" w:eastAsia="es-ES"/>
        </w:rPr>
        <w:t xml:space="preserve"> </w:t>
      </w:r>
      <w:r w:rsidRPr="00B813CC">
        <w:rPr>
          <w:rFonts w:ascii="Gadugi" w:eastAsia="Times New Roman" w:hAnsi="Gadugi" w:cs="Arial"/>
          <w:i/>
          <w:szCs w:val="24"/>
          <w:lang w:val="es-ES" w:eastAsia="es-ES"/>
        </w:rPr>
        <w:t xml:space="preserve">lo anterior por ser </w:t>
      </w:r>
      <w:r w:rsidR="003D4EFC" w:rsidRPr="00B813CC">
        <w:rPr>
          <w:rFonts w:ascii="Gadugi" w:eastAsia="Times New Roman" w:hAnsi="Gadugi" w:cs="Arial"/>
          <w:i/>
          <w:szCs w:val="24"/>
          <w:lang w:val="es-ES" w:eastAsia="es-ES"/>
        </w:rPr>
        <w:t>beneficiario</w:t>
      </w:r>
      <w:r w:rsidRPr="00B813CC">
        <w:rPr>
          <w:rFonts w:ascii="Gadugi" w:eastAsia="Times New Roman" w:hAnsi="Gadugi" w:cs="Arial"/>
          <w:i/>
          <w:szCs w:val="24"/>
          <w:lang w:val="es-ES" w:eastAsia="es-ES"/>
        </w:rPr>
        <w:t xml:space="preserve"> del régimen de transición consagrado en</w:t>
      </w:r>
      <w:r w:rsidR="003D4EFC" w:rsidRPr="00B813CC">
        <w:rPr>
          <w:rFonts w:ascii="Gadugi" w:eastAsia="Times New Roman" w:hAnsi="Gadugi" w:cs="Arial"/>
          <w:i/>
          <w:szCs w:val="24"/>
          <w:lang w:val="es-ES" w:eastAsia="es-ES"/>
        </w:rPr>
        <w:t xml:space="preserve"> </w:t>
      </w:r>
      <w:r w:rsidRPr="00B813CC">
        <w:rPr>
          <w:rFonts w:ascii="Gadugi" w:eastAsia="Times New Roman" w:hAnsi="Gadugi" w:cs="Arial"/>
          <w:i/>
          <w:szCs w:val="24"/>
          <w:lang w:val="es-ES" w:eastAsia="es-ES"/>
        </w:rPr>
        <w:t>el art. 36 de la ley 100 de 1993, y en aplicación de la sentencia SU-769 de</w:t>
      </w:r>
      <w:r w:rsidR="003D4EFC" w:rsidRPr="00B813CC">
        <w:rPr>
          <w:rFonts w:ascii="Gadugi" w:eastAsia="Times New Roman" w:hAnsi="Gadugi" w:cs="Arial"/>
          <w:i/>
          <w:szCs w:val="24"/>
          <w:lang w:val="es-ES" w:eastAsia="es-ES"/>
        </w:rPr>
        <w:t xml:space="preserve"> </w:t>
      </w:r>
      <w:r w:rsidRPr="00B813CC">
        <w:rPr>
          <w:rFonts w:ascii="Gadugi" w:eastAsia="Times New Roman" w:hAnsi="Gadugi" w:cs="Arial"/>
          <w:i/>
          <w:szCs w:val="24"/>
          <w:lang w:val="es-ES" w:eastAsia="es-ES"/>
        </w:rPr>
        <w:t>2014 la cual permite la sumatoria de tiempos públicos no cotizados al</w:t>
      </w:r>
      <w:r w:rsidR="003D4EFC" w:rsidRPr="00B813CC">
        <w:rPr>
          <w:rFonts w:ascii="Gadugi" w:eastAsia="Times New Roman" w:hAnsi="Gadugi" w:cs="Arial"/>
          <w:i/>
          <w:szCs w:val="24"/>
          <w:lang w:val="es-ES" w:eastAsia="es-ES"/>
        </w:rPr>
        <w:t xml:space="preserve"> </w:t>
      </w:r>
      <w:r w:rsidRPr="00B813CC">
        <w:rPr>
          <w:rFonts w:ascii="Gadugi" w:eastAsia="Times New Roman" w:hAnsi="Gadugi" w:cs="Arial"/>
          <w:i/>
          <w:szCs w:val="24"/>
          <w:lang w:val="es-ES" w:eastAsia="es-ES"/>
        </w:rPr>
        <w:t>extinto ISS y tiempos privados efectivamente cotizados, y en aplicación</w:t>
      </w:r>
      <w:r w:rsidR="003D4EFC" w:rsidRPr="00B813CC">
        <w:rPr>
          <w:rFonts w:ascii="Gadugi" w:eastAsia="Times New Roman" w:hAnsi="Gadugi" w:cs="Arial"/>
          <w:i/>
          <w:szCs w:val="24"/>
          <w:lang w:val="es-ES" w:eastAsia="es-ES"/>
        </w:rPr>
        <w:t xml:space="preserve"> </w:t>
      </w:r>
      <w:r w:rsidRPr="00B813CC">
        <w:rPr>
          <w:rFonts w:ascii="Gadugi" w:eastAsia="Times New Roman" w:hAnsi="Gadugi" w:cs="Arial"/>
          <w:i/>
          <w:szCs w:val="24"/>
          <w:lang w:val="es-ES" w:eastAsia="es-ES"/>
        </w:rPr>
        <w:t>del nuevo precedente de la CORTE SUPREMA DE JUSTICIA. SALA DE</w:t>
      </w:r>
      <w:r w:rsidR="003D4EFC" w:rsidRPr="00B813CC">
        <w:rPr>
          <w:rFonts w:ascii="Gadugi" w:eastAsia="Times New Roman" w:hAnsi="Gadugi" w:cs="Arial"/>
          <w:i/>
          <w:szCs w:val="24"/>
          <w:lang w:val="es-ES" w:eastAsia="es-ES"/>
        </w:rPr>
        <w:t xml:space="preserve"> </w:t>
      </w:r>
      <w:r w:rsidRPr="00B813CC">
        <w:rPr>
          <w:rFonts w:ascii="Gadugi" w:eastAsia="Times New Roman" w:hAnsi="Gadugi" w:cs="Arial"/>
          <w:i/>
          <w:szCs w:val="24"/>
          <w:lang w:val="es-ES" w:eastAsia="es-ES"/>
        </w:rPr>
        <w:t>CASACIÓN LABORAL. SL1947-2020, lo anterior en razón a que cuento con</w:t>
      </w:r>
      <w:r w:rsidR="003D4EFC" w:rsidRPr="00B813CC">
        <w:rPr>
          <w:rFonts w:ascii="Gadugi" w:eastAsia="Times New Roman" w:hAnsi="Gadugi" w:cs="Arial"/>
          <w:i/>
          <w:szCs w:val="24"/>
          <w:lang w:val="es-ES" w:eastAsia="es-ES"/>
        </w:rPr>
        <w:t xml:space="preserve"> </w:t>
      </w:r>
      <w:r w:rsidRPr="00B813CC">
        <w:rPr>
          <w:rFonts w:ascii="Gadugi" w:eastAsia="Times New Roman" w:hAnsi="Gadugi" w:cs="Arial"/>
          <w:i/>
          <w:szCs w:val="24"/>
          <w:lang w:val="es-ES" w:eastAsia="es-ES"/>
        </w:rPr>
        <w:t>más de 500 semanas dentro de los últimos 20 años anteriores al</w:t>
      </w:r>
      <w:r w:rsidR="003D4EFC" w:rsidRPr="00B813CC">
        <w:rPr>
          <w:rFonts w:ascii="Gadugi" w:eastAsia="Times New Roman" w:hAnsi="Gadugi" w:cs="Arial"/>
          <w:i/>
          <w:szCs w:val="24"/>
          <w:lang w:val="es-ES" w:eastAsia="es-ES"/>
        </w:rPr>
        <w:t xml:space="preserve"> </w:t>
      </w:r>
      <w:r w:rsidRPr="00B813CC">
        <w:rPr>
          <w:rFonts w:ascii="Gadugi" w:eastAsia="Times New Roman" w:hAnsi="Gadugi" w:cs="Arial"/>
          <w:i/>
          <w:szCs w:val="24"/>
          <w:lang w:val="es-ES" w:eastAsia="es-ES"/>
        </w:rPr>
        <w:t>cumplimiento de la edad, esto es entre el 21 de mayo de 2010 y el 21 de</w:t>
      </w:r>
      <w:r w:rsidR="003D4EFC" w:rsidRPr="00B813CC">
        <w:rPr>
          <w:rFonts w:ascii="Gadugi" w:eastAsia="Times New Roman" w:hAnsi="Gadugi" w:cs="Arial"/>
          <w:i/>
          <w:szCs w:val="24"/>
          <w:lang w:val="es-ES" w:eastAsia="es-ES"/>
        </w:rPr>
        <w:t xml:space="preserve"> </w:t>
      </w:r>
      <w:r w:rsidRPr="00B813CC">
        <w:rPr>
          <w:rFonts w:ascii="Gadugi" w:eastAsia="Times New Roman" w:hAnsi="Gadugi" w:cs="Arial"/>
          <w:i/>
          <w:szCs w:val="24"/>
          <w:lang w:val="es-ES" w:eastAsia="es-ES"/>
        </w:rPr>
        <w:t>mayo de 1990 y más de 55 años de edad</w:t>
      </w:r>
      <w:r w:rsidR="003D4EFC" w:rsidRPr="00B813CC">
        <w:rPr>
          <w:rFonts w:ascii="Gadugi" w:eastAsia="Times New Roman" w:hAnsi="Gadugi" w:cs="Arial"/>
          <w:i/>
          <w:szCs w:val="24"/>
          <w:lang w:val="es-ES" w:eastAsia="es-ES"/>
        </w:rPr>
        <w:t xml:space="preserve"> (…)</w:t>
      </w:r>
      <w:r w:rsidR="003D4EFC" w:rsidRPr="00BB2289">
        <w:rPr>
          <w:rFonts w:ascii="Gadugi" w:eastAsia="Times New Roman" w:hAnsi="Gadugi" w:cs="Arial"/>
          <w:i/>
          <w:sz w:val="24"/>
          <w:szCs w:val="24"/>
          <w:lang w:val="es-ES" w:eastAsia="es-ES"/>
        </w:rPr>
        <w:t xml:space="preserve">.” </w:t>
      </w:r>
      <w:r w:rsidR="00816F27" w:rsidRPr="00BB2289">
        <w:rPr>
          <w:rFonts w:ascii="Gadugi" w:eastAsia="Times New Roman" w:hAnsi="Gadugi" w:cs="Arial"/>
          <w:i/>
          <w:sz w:val="24"/>
          <w:szCs w:val="24"/>
          <w:lang w:val="es-ES" w:eastAsia="es-ES"/>
        </w:rPr>
        <w:tab/>
      </w:r>
      <w:r w:rsidR="003D4EFC" w:rsidRPr="00BB2289">
        <w:rPr>
          <w:rFonts w:ascii="Gadugi" w:eastAsia="Times New Roman" w:hAnsi="Gadugi" w:cs="Arial"/>
          <w:sz w:val="24"/>
          <w:szCs w:val="24"/>
          <w:lang w:val="es-ES" w:eastAsia="es-ES"/>
        </w:rPr>
        <w:tab/>
      </w:r>
      <w:r w:rsidR="003D4EFC" w:rsidRPr="00BB2289">
        <w:rPr>
          <w:rFonts w:ascii="Gadugi" w:eastAsia="Times New Roman" w:hAnsi="Gadugi" w:cs="Arial"/>
          <w:sz w:val="24"/>
          <w:szCs w:val="24"/>
          <w:lang w:val="es-ES" w:eastAsia="es-ES"/>
        </w:rPr>
        <w:tab/>
      </w:r>
      <w:r w:rsidR="003D4EFC" w:rsidRPr="00BB2289">
        <w:rPr>
          <w:rFonts w:ascii="Gadugi" w:eastAsia="Times New Roman" w:hAnsi="Gadugi" w:cs="Arial"/>
          <w:sz w:val="24"/>
          <w:szCs w:val="24"/>
          <w:lang w:val="es-ES" w:eastAsia="es-ES"/>
        </w:rPr>
        <w:tab/>
      </w:r>
    </w:p>
    <w:p w14:paraId="51A781DE" w14:textId="25A27FA0" w:rsidR="00BF3FCE" w:rsidRDefault="003D4EFC" w:rsidP="00BB2289">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BB2289">
        <w:rPr>
          <w:rFonts w:ascii="Gadugi" w:eastAsia="Times New Roman" w:hAnsi="Gadugi" w:cs="Arial"/>
          <w:sz w:val="24"/>
          <w:szCs w:val="24"/>
          <w:lang w:val="es-ES" w:eastAsia="es-ES"/>
        </w:rPr>
        <w:tab/>
      </w:r>
      <w:r w:rsidRPr="00BB2289">
        <w:rPr>
          <w:rFonts w:ascii="Gadugi" w:eastAsia="Times New Roman" w:hAnsi="Gadugi" w:cs="Arial"/>
          <w:sz w:val="24"/>
          <w:szCs w:val="24"/>
          <w:lang w:val="es-ES" w:eastAsia="es-ES"/>
        </w:rPr>
        <w:tab/>
      </w:r>
      <w:r w:rsidRPr="00BB2289">
        <w:rPr>
          <w:rFonts w:ascii="Gadugi" w:eastAsia="Times New Roman" w:hAnsi="Gadugi" w:cs="Arial"/>
          <w:sz w:val="24"/>
          <w:szCs w:val="24"/>
          <w:lang w:val="es-ES" w:eastAsia="es-ES"/>
        </w:rPr>
        <w:tab/>
      </w:r>
      <w:r w:rsidRPr="00BB2289">
        <w:rPr>
          <w:rFonts w:ascii="Gadugi" w:eastAsia="Times New Roman" w:hAnsi="Gadugi" w:cs="Arial"/>
          <w:sz w:val="24"/>
          <w:szCs w:val="24"/>
          <w:lang w:val="es-ES" w:eastAsia="es-ES"/>
        </w:rPr>
        <w:tab/>
        <w:t xml:space="preserve">También solicitó ordenarle a la entidad pagarle </w:t>
      </w:r>
      <w:r w:rsidRPr="00BB2289">
        <w:rPr>
          <w:rFonts w:ascii="Gadugi" w:eastAsia="Times New Roman" w:hAnsi="Gadugi" w:cs="Arial"/>
          <w:i/>
          <w:sz w:val="24"/>
          <w:szCs w:val="24"/>
          <w:lang w:val="es-ES" w:eastAsia="es-ES"/>
        </w:rPr>
        <w:t>“</w:t>
      </w:r>
      <w:r w:rsidRPr="00B813CC">
        <w:rPr>
          <w:rFonts w:ascii="Gadugi" w:eastAsia="Times New Roman" w:hAnsi="Gadugi" w:cs="Arial"/>
          <w:i/>
          <w:szCs w:val="24"/>
          <w:lang w:val="es-ES" w:eastAsia="es-ES"/>
        </w:rPr>
        <w:t>(…) el retroactivo pensional a partir del momento en que se me causo el derecho a la pensión de vejez, esto es a partir del cumplimiento de la edad – 21 de mayo de 2010 – y hasta la fecha de inclusión en nómina de pensionada (…)</w:t>
      </w:r>
      <w:r w:rsidRPr="00BB2289">
        <w:rPr>
          <w:rFonts w:ascii="Gadugi" w:eastAsia="Times New Roman" w:hAnsi="Gadugi" w:cs="Arial"/>
          <w:i/>
          <w:sz w:val="24"/>
          <w:szCs w:val="24"/>
          <w:lang w:val="es-ES" w:eastAsia="es-ES"/>
        </w:rPr>
        <w:t xml:space="preserve">”; </w:t>
      </w:r>
      <w:r w:rsidRPr="00BB2289">
        <w:rPr>
          <w:rFonts w:ascii="Gadugi" w:eastAsia="Times New Roman" w:hAnsi="Gadugi" w:cs="Arial"/>
          <w:sz w:val="24"/>
          <w:szCs w:val="24"/>
          <w:lang w:val="es-ES" w:eastAsia="es-ES"/>
        </w:rPr>
        <w:t xml:space="preserve">y que cargue a su historia laboral </w:t>
      </w:r>
      <w:r w:rsidRPr="00BB2289">
        <w:rPr>
          <w:rFonts w:ascii="Gadugi" w:eastAsia="Times New Roman" w:hAnsi="Gadugi" w:cs="Arial"/>
          <w:i/>
          <w:sz w:val="24"/>
          <w:szCs w:val="24"/>
          <w:lang w:val="es-ES" w:eastAsia="es-ES"/>
        </w:rPr>
        <w:t>“</w:t>
      </w:r>
      <w:r w:rsidRPr="00B813CC">
        <w:rPr>
          <w:rFonts w:ascii="Gadugi" w:eastAsia="Times New Roman" w:hAnsi="Gadugi" w:cs="Arial"/>
          <w:i/>
          <w:szCs w:val="24"/>
          <w:lang w:val="es-ES" w:eastAsia="es-ES"/>
        </w:rPr>
        <w:t>(…) los aportes que fueron trasladados y pagados por EL FONDO NACIONAL DE PRESTACIONES SOCIALES DEL MAGISTERIO – FOMAG y LA FIDUPREVISORA SA correspondiente a los ciclos 200401 a 200506, 200507 a 200606, y en consecuencia emita una nueva historia laboral en la que se evidencie el cargue de dichos aportes (…)</w:t>
      </w:r>
      <w:r w:rsidRPr="00BB2289">
        <w:rPr>
          <w:rFonts w:ascii="Gadugi" w:eastAsia="Times New Roman" w:hAnsi="Gadugi" w:cs="Arial"/>
          <w:i/>
          <w:sz w:val="24"/>
          <w:szCs w:val="24"/>
          <w:lang w:val="es-ES" w:eastAsia="es-ES"/>
        </w:rPr>
        <w:t>”.</w:t>
      </w:r>
      <w:r w:rsidR="008579B8" w:rsidRPr="00BB2289">
        <w:rPr>
          <w:rStyle w:val="Refdenotaalpie"/>
          <w:rFonts w:ascii="Gadugi" w:eastAsia="Times New Roman" w:hAnsi="Gadugi"/>
          <w:i/>
          <w:sz w:val="24"/>
          <w:szCs w:val="24"/>
          <w:lang w:val="es-ES" w:eastAsia="es-ES"/>
        </w:rPr>
        <w:footnoteReference w:id="1"/>
      </w:r>
      <w:r w:rsidRPr="00BB2289">
        <w:rPr>
          <w:rFonts w:ascii="Gadugi" w:eastAsia="Times New Roman" w:hAnsi="Gadugi" w:cs="Arial"/>
          <w:sz w:val="24"/>
          <w:szCs w:val="24"/>
          <w:lang w:val="es-ES" w:eastAsia="es-ES"/>
        </w:rPr>
        <w:t xml:space="preserve"> </w:t>
      </w:r>
    </w:p>
    <w:p w14:paraId="6606DFBC" w14:textId="77777777" w:rsidR="00B813CC" w:rsidRPr="00BB2289" w:rsidRDefault="00B813CC" w:rsidP="00BB2289">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p>
    <w:p w14:paraId="7721F32A" w14:textId="4A931175" w:rsidR="00BF3FCE" w:rsidRPr="00BB2289" w:rsidRDefault="003E54BB" w:rsidP="00BB2289">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BB2289">
        <w:rPr>
          <w:rFonts w:ascii="Gadugi" w:eastAsia="Times New Roman" w:hAnsi="Gadugi" w:cs="Arial"/>
          <w:sz w:val="24"/>
          <w:szCs w:val="24"/>
          <w:lang w:val="es-419" w:eastAsia="es-ES"/>
        </w:rPr>
        <w:tab/>
      </w:r>
      <w:r w:rsidRPr="00BB2289">
        <w:rPr>
          <w:rFonts w:ascii="Gadugi" w:eastAsia="Times New Roman" w:hAnsi="Gadugi" w:cs="Arial"/>
          <w:sz w:val="24"/>
          <w:szCs w:val="24"/>
          <w:lang w:val="es-419" w:eastAsia="es-ES"/>
        </w:rPr>
        <w:tab/>
      </w:r>
      <w:r w:rsidRPr="00BB2289">
        <w:rPr>
          <w:rFonts w:ascii="Gadugi" w:eastAsia="Times New Roman" w:hAnsi="Gadugi" w:cs="Arial"/>
          <w:sz w:val="24"/>
          <w:szCs w:val="24"/>
          <w:lang w:val="es-419" w:eastAsia="es-ES"/>
        </w:rPr>
        <w:tab/>
      </w:r>
      <w:r w:rsidRPr="00BB2289">
        <w:rPr>
          <w:rFonts w:ascii="Gadugi" w:eastAsia="Times New Roman" w:hAnsi="Gadugi" w:cs="Arial"/>
          <w:sz w:val="24"/>
          <w:szCs w:val="24"/>
          <w:lang w:val="es-419" w:eastAsia="es-ES"/>
        </w:rPr>
        <w:tab/>
      </w:r>
      <w:r w:rsidR="00894320" w:rsidRPr="00BB2289">
        <w:rPr>
          <w:rFonts w:ascii="Gadugi" w:eastAsia="Times New Roman" w:hAnsi="Gadugi" w:cs="Arial"/>
          <w:sz w:val="24"/>
          <w:szCs w:val="24"/>
          <w:lang w:val="es-419" w:eastAsia="es-ES"/>
        </w:rPr>
        <w:t xml:space="preserve">Con auto del </w:t>
      </w:r>
      <w:r w:rsidR="003D4EFC" w:rsidRPr="00BB2289">
        <w:rPr>
          <w:rFonts w:ascii="Gadugi" w:eastAsia="Times New Roman" w:hAnsi="Gadugi" w:cs="Arial"/>
          <w:sz w:val="24"/>
          <w:szCs w:val="24"/>
          <w:lang w:val="es-419" w:eastAsia="es-ES"/>
        </w:rPr>
        <w:t>11</w:t>
      </w:r>
      <w:r w:rsidR="00894320" w:rsidRPr="00BB2289">
        <w:rPr>
          <w:rFonts w:ascii="Gadugi" w:eastAsia="Times New Roman" w:hAnsi="Gadugi" w:cs="Arial"/>
          <w:sz w:val="24"/>
          <w:szCs w:val="24"/>
          <w:lang w:val="es-419" w:eastAsia="es-ES"/>
        </w:rPr>
        <w:t xml:space="preserve"> de </w:t>
      </w:r>
      <w:r w:rsidR="003D4EFC" w:rsidRPr="00BB2289">
        <w:rPr>
          <w:rFonts w:ascii="Gadugi" w:eastAsia="Times New Roman" w:hAnsi="Gadugi" w:cs="Arial"/>
          <w:sz w:val="24"/>
          <w:szCs w:val="24"/>
          <w:lang w:val="es-419" w:eastAsia="es-ES"/>
        </w:rPr>
        <w:t>noviembre de 2021,</w:t>
      </w:r>
      <w:r w:rsidR="00894320" w:rsidRPr="00BB2289">
        <w:rPr>
          <w:rFonts w:ascii="Gadugi" w:eastAsia="Times New Roman" w:hAnsi="Gadugi" w:cs="Arial"/>
          <w:sz w:val="24"/>
          <w:szCs w:val="24"/>
          <w:lang w:val="es-419" w:eastAsia="es-ES"/>
        </w:rPr>
        <w:t xml:space="preserve"> el </w:t>
      </w:r>
      <w:r w:rsidR="003D4EFC" w:rsidRPr="00BB2289">
        <w:rPr>
          <w:rFonts w:ascii="Gadugi" w:eastAsia="Times New Roman" w:hAnsi="Gadugi" w:cs="Arial"/>
          <w:sz w:val="24"/>
          <w:szCs w:val="24"/>
          <w:lang w:val="es-419" w:eastAsia="es-ES"/>
        </w:rPr>
        <w:t>j</w:t>
      </w:r>
      <w:r w:rsidR="00894320" w:rsidRPr="00BB2289">
        <w:rPr>
          <w:rFonts w:ascii="Gadugi" w:eastAsia="Times New Roman" w:hAnsi="Gadugi" w:cs="Arial"/>
          <w:sz w:val="24"/>
          <w:szCs w:val="24"/>
          <w:lang w:val="es-419" w:eastAsia="es-ES"/>
        </w:rPr>
        <w:t>uzgado de primer grado le dio impulso a la acción con la citación</w:t>
      </w:r>
      <w:r w:rsidR="003D4EFC" w:rsidRPr="00BB2289">
        <w:rPr>
          <w:rFonts w:ascii="Gadugi" w:eastAsia="Times New Roman" w:hAnsi="Gadugi" w:cs="Arial"/>
          <w:sz w:val="24"/>
          <w:szCs w:val="24"/>
          <w:lang w:val="es-419" w:eastAsia="es-ES"/>
        </w:rPr>
        <w:t>, por pasiva, de varias dependencias de Colpensiones, entre ellas,</w:t>
      </w:r>
      <w:r w:rsidR="00894320" w:rsidRPr="00BB2289">
        <w:rPr>
          <w:rFonts w:ascii="Gadugi" w:eastAsia="Times New Roman" w:hAnsi="Gadugi" w:cs="Arial"/>
          <w:sz w:val="24"/>
          <w:szCs w:val="24"/>
          <w:lang w:val="es-419" w:eastAsia="es-ES"/>
        </w:rPr>
        <w:t xml:space="preserve"> </w:t>
      </w:r>
      <w:r w:rsidR="003D4EFC" w:rsidRPr="00BB2289">
        <w:rPr>
          <w:rFonts w:ascii="Gadugi" w:eastAsia="Times New Roman" w:hAnsi="Gadugi" w:cs="Arial"/>
          <w:sz w:val="24"/>
          <w:szCs w:val="24"/>
          <w:lang w:val="es-419" w:eastAsia="es-ES"/>
        </w:rPr>
        <w:t>la Dirección de Prestaciones Económicas.</w:t>
      </w:r>
      <w:r w:rsidR="008579B8" w:rsidRPr="00BB2289">
        <w:rPr>
          <w:rStyle w:val="Refdenotaalpie"/>
          <w:rFonts w:ascii="Gadugi" w:eastAsia="Times New Roman" w:hAnsi="Gadugi"/>
          <w:sz w:val="24"/>
          <w:szCs w:val="24"/>
          <w:lang w:val="es-419" w:eastAsia="es-ES"/>
        </w:rPr>
        <w:footnoteReference w:id="2"/>
      </w:r>
      <w:r w:rsidR="003D4EFC" w:rsidRPr="00BB2289">
        <w:rPr>
          <w:rFonts w:ascii="Gadugi" w:eastAsia="Times New Roman" w:hAnsi="Gadugi" w:cs="Arial"/>
          <w:sz w:val="24"/>
          <w:szCs w:val="24"/>
          <w:lang w:val="es-419" w:eastAsia="es-ES"/>
        </w:rPr>
        <w:t xml:space="preserve"> </w:t>
      </w:r>
    </w:p>
    <w:p w14:paraId="554BCF46" w14:textId="585B9BA7" w:rsidR="00675899" w:rsidRPr="00BB2289" w:rsidRDefault="00675899" w:rsidP="00BB2289">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4D6F2CBC" w14:textId="7F56CD30" w:rsidR="00675899" w:rsidRPr="00BB2289" w:rsidRDefault="00675899" w:rsidP="00BB2289">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BB2289">
        <w:rPr>
          <w:rFonts w:ascii="Gadugi" w:eastAsia="Times New Roman" w:hAnsi="Gadugi" w:cs="Arial"/>
          <w:sz w:val="24"/>
          <w:szCs w:val="24"/>
          <w:lang w:val="es-419" w:eastAsia="es-ES"/>
        </w:rPr>
        <w:tab/>
      </w:r>
      <w:r w:rsidRPr="00BB2289">
        <w:rPr>
          <w:rFonts w:ascii="Gadugi" w:eastAsia="Times New Roman" w:hAnsi="Gadugi" w:cs="Arial"/>
          <w:sz w:val="24"/>
          <w:szCs w:val="24"/>
          <w:lang w:val="es-419" w:eastAsia="es-ES"/>
        </w:rPr>
        <w:tab/>
      </w:r>
      <w:r w:rsidRPr="00BB2289">
        <w:rPr>
          <w:rFonts w:ascii="Gadugi" w:eastAsia="Times New Roman" w:hAnsi="Gadugi" w:cs="Arial"/>
          <w:sz w:val="24"/>
          <w:szCs w:val="24"/>
          <w:lang w:val="es-419" w:eastAsia="es-ES"/>
        </w:rPr>
        <w:tab/>
      </w:r>
      <w:r w:rsidRPr="00BB2289">
        <w:rPr>
          <w:rFonts w:ascii="Gadugi" w:eastAsia="Times New Roman" w:hAnsi="Gadugi" w:cs="Arial"/>
          <w:sz w:val="24"/>
          <w:szCs w:val="24"/>
          <w:lang w:val="es-419" w:eastAsia="es-ES"/>
        </w:rPr>
        <w:tab/>
        <w:t>La Secretar</w:t>
      </w:r>
      <w:r w:rsidR="00EC7D79" w:rsidRPr="00BB2289">
        <w:rPr>
          <w:rFonts w:ascii="Gadugi" w:eastAsia="Times New Roman" w:hAnsi="Gadugi" w:cs="Arial"/>
          <w:sz w:val="24"/>
          <w:szCs w:val="24"/>
          <w:lang w:val="es-419" w:eastAsia="es-ES"/>
        </w:rPr>
        <w:t>í</w:t>
      </w:r>
      <w:r w:rsidRPr="00BB2289">
        <w:rPr>
          <w:rFonts w:ascii="Gadugi" w:eastAsia="Times New Roman" w:hAnsi="Gadugi" w:cs="Arial"/>
          <w:sz w:val="24"/>
          <w:szCs w:val="24"/>
          <w:lang w:val="es-419" w:eastAsia="es-ES"/>
        </w:rPr>
        <w:t>a de Educación del Municipio de Pereira</w:t>
      </w:r>
      <w:r w:rsidR="008579B8" w:rsidRPr="00BB2289">
        <w:rPr>
          <w:rStyle w:val="Refdenotaalpie"/>
          <w:rFonts w:ascii="Gadugi" w:eastAsia="Times New Roman" w:hAnsi="Gadugi"/>
          <w:sz w:val="24"/>
          <w:szCs w:val="24"/>
          <w:lang w:val="es-419" w:eastAsia="es-ES"/>
        </w:rPr>
        <w:footnoteReference w:id="3"/>
      </w:r>
      <w:r w:rsidRPr="00BB2289">
        <w:rPr>
          <w:rFonts w:ascii="Gadugi" w:eastAsia="Times New Roman" w:hAnsi="Gadugi" w:cs="Arial"/>
          <w:sz w:val="24"/>
          <w:szCs w:val="24"/>
          <w:lang w:val="es-419" w:eastAsia="es-ES"/>
        </w:rPr>
        <w:t xml:space="preserve">, </w:t>
      </w:r>
      <w:r w:rsidR="00886C8C" w:rsidRPr="00BB2289">
        <w:rPr>
          <w:rFonts w:ascii="Gadugi" w:eastAsia="Times New Roman" w:hAnsi="Gadugi" w:cs="Arial"/>
          <w:sz w:val="24"/>
          <w:szCs w:val="24"/>
          <w:lang w:val="es-419" w:eastAsia="es-ES"/>
        </w:rPr>
        <w:t xml:space="preserve"> el Ministerio del Trabajo</w:t>
      </w:r>
      <w:r w:rsidR="008579B8" w:rsidRPr="00BB2289">
        <w:rPr>
          <w:rStyle w:val="Refdenotaalpie"/>
          <w:rFonts w:ascii="Gadugi" w:eastAsia="Times New Roman" w:hAnsi="Gadugi"/>
          <w:sz w:val="24"/>
          <w:szCs w:val="24"/>
          <w:lang w:val="es-419" w:eastAsia="es-ES"/>
        </w:rPr>
        <w:footnoteReference w:id="4"/>
      </w:r>
      <w:r w:rsidR="00886C8C" w:rsidRPr="00BB2289">
        <w:rPr>
          <w:rFonts w:ascii="Gadugi" w:eastAsia="Times New Roman" w:hAnsi="Gadugi" w:cs="Arial"/>
          <w:sz w:val="24"/>
          <w:szCs w:val="24"/>
          <w:lang w:val="es-419" w:eastAsia="es-ES"/>
        </w:rPr>
        <w:t>, y la Fiduprevisora S.A.</w:t>
      </w:r>
      <w:r w:rsidR="008579B8" w:rsidRPr="00BB2289">
        <w:rPr>
          <w:rStyle w:val="Refdenotaalpie"/>
          <w:rFonts w:ascii="Gadugi" w:eastAsia="Times New Roman" w:hAnsi="Gadugi"/>
          <w:sz w:val="24"/>
          <w:szCs w:val="24"/>
          <w:lang w:val="es-419" w:eastAsia="es-ES"/>
        </w:rPr>
        <w:footnoteReference w:id="5"/>
      </w:r>
      <w:r w:rsidR="00886C8C" w:rsidRPr="00BB2289">
        <w:rPr>
          <w:rFonts w:ascii="Gadugi" w:eastAsia="Times New Roman" w:hAnsi="Gadugi" w:cs="Arial"/>
          <w:sz w:val="24"/>
          <w:szCs w:val="24"/>
          <w:lang w:val="es-419" w:eastAsia="es-ES"/>
        </w:rPr>
        <w:t xml:space="preserve">, </w:t>
      </w:r>
      <w:r w:rsidRPr="00BB2289">
        <w:rPr>
          <w:rFonts w:ascii="Gadugi" w:eastAsia="Times New Roman" w:hAnsi="Gadugi" w:cs="Arial"/>
          <w:sz w:val="24"/>
          <w:szCs w:val="24"/>
          <w:lang w:val="es-419" w:eastAsia="es-ES"/>
        </w:rPr>
        <w:t>plate</w:t>
      </w:r>
      <w:r w:rsidR="00886C8C" w:rsidRPr="00BB2289">
        <w:rPr>
          <w:rFonts w:ascii="Gadugi" w:eastAsia="Times New Roman" w:hAnsi="Gadugi" w:cs="Arial"/>
          <w:sz w:val="24"/>
          <w:szCs w:val="24"/>
          <w:lang w:val="es-419" w:eastAsia="es-ES"/>
        </w:rPr>
        <w:t>aron</w:t>
      </w:r>
      <w:r w:rsidRPr="00BB2289">
        <w:rPr>
          <w:rFonts w:ascii="Gadugi" w:eastAsia="Times New Roman" w:hAnsi="Gadugi" w:cs="Arial"/>
          <w:sz w:val="24"/>
          <w:szCs w:val="24"/>
          <w:lang w:val="es-419" w:eastAsia="es-ES"/>
        </w:rPr>
        <w:t xml:space="preserve"> que la presente demanda es improcedente por carecer del presupuesto de subsidiaridad, y en todo caso, aduj</w:t>
      </w:r>
      <w:r w:rsidR="00886C8C" w:rsidRPr="00BB2289">
        <w:rPr>
          <w:rFonts w:ascii="Gadugi" w:eastAsia="Times New Roman" w:hAnsi="Gadugi" w:cs="Arial"/>
          <w:sz w:val="24"/>
          <w:szCs w:val="24"/>
          <w:lang w:val="es-419" w:eastAsia="es-ES"/>
        </w:rPr>
        <w:t>eron</w:t>
      </w:r>
      <w:r w:rsidRPr="00BB2289">
        <w:rPr>
          <w:rFonts w:ascii="Gadugi" w:eastAsia="Times New Roman" w:hAnsi="Gadugi" w:cs="Arial"/>
          <w:sz w:val="24"/>
          <w:szCs w:val="24"/>
          <w:lang w:val="es-419" w:eastAsia="es-ES"/>
        </w:rPr>
        <w:t xml:space="preserve"> su falta de legitimación en la causa por pasiva. </w:t>
      </w:r>
    </w:p>
    <w:p w14:paraId="77F1F04B" w14:textId="179C67FB" w:rsidR="00675899" w:rsidRPr="00BB2289" w:rsidRDefault="00675899" w:rsidP="00BB2289">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593913B4" w14:textId="52B9F982" w:rsidR="00886C8C" w:rsidRPr="00BB2289" w:rsidRDefault="00675899" w:rsidP="00BB2289">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BB2289">
        <w:rPr>
          <w:rFonts w:ascii="Gadugi" w:eastAsia="Times New Roman" w:hAnsi="Gadugi" w:cs="Arial"/>
          <w:sz w:val="24"/>
          <w:szCs w:val="24"/>
          <w:lang w:val="es-419" w:eastAsia="es-ES"/>
        </w:rPr>
        <w:tab/>
      </w:r>
      <w:r w:rsidRPr="00BB2289">
        <w:rPr>
          <w:rFonts w:ascii="Gadugi" w:eastAsia="Times New Roman" w:hAnsi="Gadugi" w:cs="Arial"/>
          <w:sz w:val="24"/>
          <w:szCs w:val="24"/>
          <w:lang w:val="es-419" w:eastAsia="es-ES"/>
        </w:rPr>
        <w:tab/>
      </w:r>
      <w:r w:rsidRPr="00BB2289">
        <w:rPr>
          <w:rFonts w:ascii="Gadugi" w:eastAsia="Times New Roman" w:hAnsi="Gadugi" w:cs="Arial"/>
          <w:sz w:val="24"/>
          <w:szCs w:val="24"/>
          <w:lang w:val="es-419" w:eastAsia="es-ES"/>
        </w:rPr>
        <w:tab/>
      </w:r>
      <w:r w:rsidRPr="00BB2289">
        <w:rPr>
          <w:rFonts w:ascii="Gadugi" w:eastAsia="Times New Roman" w:hAnsi="Gadugi" w:cs="Arial"/>
          <w:sz w:val="24"/>
          <w:szCs w:val="24"/>
          <w:lang w:val="es-419" w:eastAsia="es-ES"/>
        </w:rPr>
        <w:tab/>
        <w:t xml:space="preserve">El Jefe de Bonos Pensionales del Ministerio de Hacienda, indicó que la accionante no ha radicado ninguna petición ante esa cartera, que es a Colpensiones a la que le corresponde dar solución a </w:t>
      </w:r>
      <w:r w:rsidR="002618EB" w:rsidRPr="00BB2289">
        <w:rPr>
          <w:rFonts w:ascii="Gadugi" w:eastAsia="Times New Roman" w:hAnsi="Gadugi" w:cs="Arial"/>
          <w:sz w:val="24"/>
          <w:szCs w:val="24"/>
          <w:lang w:val="es-419" w:eastAsia="es-ES"/>
        </w:rPr>
        <w:t>sus</w:t>
      </w:r>
      <w:r w:rsidRPr="00BB2289">
        <w:rPr>
          <w:rFonts w:ascii="Gadugi" w:eastAsia="Times New Roman" w:hAnsi="Gadugi" w:cs="Arial"/>
          <w:sz w:val="24"/>
          <w:szCs w:val="24"/>
          <w:lang w:val="es-419" w:eastAsia="es-ES"/>
        </w:rPr>
        <w:t xml:space="preserve"> pretensiones, </w:t>
      </w:r>
      <w:r w:rsidR="00886C8C" w:rsidRPr="00BB2289">
        <w:rPr>
          <w:rFonts w:ascii="Gadugi" w:eastAsia="Times New Roman" w:hAnsi="Gadugi" w:cs="Arial"/>
          <w:sz w:val="24"/>
          <w:szCs w:val="24"/>
          <w:lang w:val="es-419" w:eastAsia="es-ES"/>
        </w:rPr>
        <w:t xml:space="preserve">que a la señora </w:t>
      </w:r>
      <w:r w:rsidR="00886C8C" w:rsidRPr="00BB2289">
        <w:rPr>
          <w:rFonts w:ascii="Gadugi" w:eastAsia="Times New Roman" w:hAnsi="Gadugi" w:cs="Arial"/>
          <w:sz w:val="24"/>
          <w:szCs w:val="24"/>
          <w:lang w:val="es-419" w:eastAsia="es-ES"/>
        </w:rPr>
        <w:lastRenderedPageBreak/>
        <w:t xml:space="preserve">Uribe Vinasco le fue reconocida una indemnización sustitutiva, por lo cual no tiene derecho a la pensión de vejez, y que </w:t>
      </w:r>
      <w:r w:rsidR="002618EB" w:rsidRPr="00BB2289">
        <w:rPr>
          <w:rFonts w:ascii="Gadugi" w:eastAsia="Times New Roman" w:hAnsi="Gadugi" w:cs="Arial"/>
          <w:sz w:val="24"/>
          <w:szCs w:val="24"/>
          <w:lang w:val="es-419" w:eastAsia="es-ES"/>
        </w:rPr>
        <w:t>ella</w:t>
      </w:r>
      <w:r w:rsidR="00886C8C" w:rsidRPr="00BB2289">
        <w:rPr>
          <w:rFonts w:ascii="Gadugi" w:eastAsia="Times New Roman" w:hAnsi="Gadugi" w:cs="Arial"/>
          <w:sz w:val="24"/>
          <w:szCs w:val="24"/>
          <w:lang w:val="es-419" w:eastAsia="es-ES"/>
        </w:rPr>
        <w:t xml:space="preserve"> cuenta </w:t>
      </w:r>
      <w:r w:rsidR="002618EB" w:rsidRPr="00BB2289">
        <w:rPr>
          <w:rFonts w:ascii="Gadugi" w:eastAsia="Times New Roman" w:hAnsi="Gadugi" w:cs="Arial"/>
          <w:sz w:val="24"/>
          <w:szCs w:val="24"/>
          <w:lang w:val="es-419" w:eastAsia="es-ES"/>
        </w:rPr>
        <w:t xml:space="preserve">con </w:t>
      </w:r>
      <w:r w:rsidR="00886C8C" w:rsidRPr="00BB2289">
        <w:rPr>
          <w:rFonts w:ascii="Gadugi" w:eastAsia="Times New Roman" w:hAnsi="Gadugi" w:cs="Arial"/>
          <w:sz w:val="24"/>
          <w:szCs w:val="24"/>
          <w:lang w:val="es-419" w:eastAsia="es-ES"/>
        </w:rPr>
        <w:t>la vía ordinaria laboral para tramitar sus ruegos, máxime cuando no demostró un perjuicio irremediable. Pidió desestimar la protección.</w:t>
      </w:r>
      <w:r w:rsidR="008579B8" w:rsidRPr="00BB2289">
        <w:rPr>
          <w:rStyle w:val="Refdenotaalpie"/>
          <w:rFonts w:ascii="Gadugi" w:eastAsia="Times New Roman" w:hAnsi="Gadugi"/>
          <w:sz w:val="24"/>
          <w:szCs w:val="24"/>
          <w:lang w:val="es-419" w:eastAsia="es-ES"/>
        </w:rPr>
        <w:footnoteReference w:id="6"/>
      </w:r>
      <w:r w:rsidR="00886C8C" w:rsidRPr="00BB2289">
        <w:rPr>
          <w:rFonts w:ascii="Gadugi" w:eastAsia="Times New Roman" w:hAnsi="Gadugi" w:cs="Arial"/>
          <w:sz w:val="24"/>
          <w:szCs w:val="24"/>
          <w:lang w:val="es-419" w:eastAsia="es-ES"/>
        </w:rPr>
        <w:t xml:space="preserve"> </w:t>
      </w:r>
    </w:p>
    <w:p w14:paraId="5DB33D6D" w14:textId="40486360" w:rsidR="00886C8C" w:rsidRPr="00BB2289" w:rsidRDefault="00886C8C" w:rsidP="00BB2289">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34193F7B" w14:textId="24B53F3C" w:rsidR="00886C8C" w:rsidRPr="00BB2289" w:rsidRDefault="00886C8C" w:rsidP="00BB2289">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BB2289">
        <w:rPr>
          <w:rFonts w:ascii="Gadugi" w:eastAsia="Times New Roman" w:hAnsi="Gadugi" w:cs="Arial"/>
          <w:sz w:val="24"/>
          <w:szCs w:val="24"/>
          <w:lang w:val="es-419" w:eastAsia="es-ES"/>
        </w:rPr>
        <w:tab/>
      </w:r>
      <w:r w:rsidRPr="00BB2289">
        <w:rPr>
          <w:rFonts w:ascii="Gadugi" w:eastAsia="Times New Roman" w:hAnsi="Gadugi" w:cs="Arial"/>
          <w:sz w:val="24"/>
          <w:szCs w:val="24"/>
          <w:lang w:val="es-419" w:eastAsia="es-ES"/>
        </w:rPr>
        <w:tab/>
      </w:r>
      <w:r w:rsidRPr="00BB2289">
        <w:rPr>
          <w:rFonts w:ascii="Gadugi" w:eastAsia="Times New Roman" w:hAnsi="Gadugi" w:cs="Arial"/>
          <w:sz w:val="24"/>
          <w:szCs w:val="24"/>
          <w:lang w:val="es-419" w:eastAsia="es-ES"/>
        </w:rPr>
        <w:tab/>
      </w:r>
      <w:r w:rsidRPr="00BB2289">
        <w:rPr>
          <w:rFonts w:ascii="Gadugi" w:eastAsia="Times New Roman" w:hAnsi="Gadugi" w:cs="Arial"/>
          <w:sz w:val="24"/>
          <w:szCs w:val="24"/>
          <w:lang w:val="es-419" w:eastAsia="es-ES"/>
        </w:rPr>
        <w:tab/>
        <w:t xml:space="preserve">Sobrevino la sentencia de primer grado que coincidió con la falta de subsidiaridad </w:t>
      </w:r>
      <w:r w:rsidR="00F777C7" w:rsidRPr="00BB2289">
        <w:rPr>
          <w:rFonts w:ascii="Gadugi" w:eastAsia="Times New Roman" w:hAnsi="Gadugi" w:cs="Arial"/>
          <w:sz w:val="24"/>
          <w:szCs w:val="24"/>
          <w:lang w:val="es-419" w:eastAsia="es-ES"/>
        </w:rPr>
        <w:t>alegada por las entidades convocadas por pasiva y declaró improcedente la protección invocada.</w:t>
      </w:r>
      <w:r w:rsidR="00D46175" w:rsidRPr="00BB2289">
        <w:rPr>
          <w:rStyle w:val="Refdenotaalpie"/>
          <w:rFonts w:ascii="Gadugi" w:eastAsia="Times New Roman" w:hAnsi="Gadugi"/>
          <w:sz w:val="24"/>
          <w:szCs w:val="24"/>
          <w:lang w:val="es-419" w:eastAsia="es-ES"/>
        </w:rPr>
        <w:footnoteReference w:id="7"/>
      </w:r>
      <w:r w:rsidR="00F777C7" w:rsidRPr="00BB2289">
        <w:rPr>
          <w:rFonts w:ascii="Gadugi" w:eastAsia="Times New Roman" w:hAnsi="Gadugi" w:cs="Arial"/>
          <w:sz w:val="24"/>
          <w:szCs w:val="24"/>
          <w:lang w:val="es-419" w:eastAsia="es-ES"/>
        </w:rPr>
        <w:t xml:space="preserve"> </w:t>
      </w:r>
      <w:r w:rsidRPr="00BB2289">
        <w:rPr>
          <w:rFonts w:ascii="Gadugi" w:eastAsia="Times New Roman" w:hAnsi="Gadugi" w:cs="Arial"/>
          <w:sz w:val="24"/>
          <w:szCs w:val="24"/>
          <w:lang w:val="es-419" w:eastAsia="es-ES"/>
        </w:rPr>
        <w:t xml:space="preserve"> </w:t>
      </w:r>
    </w:p>
    <w:p w14:paraId="3F434047" w14:textId="77777777" w:rsidR="00886C8C" w:rsidRPr="00BB2289" w:rsidRDefault="00886C8C" w:rsidP="00BB2289">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23E1DBC1" w14:textId="13301DD4" w:rsidR="0007037C" w:rsidRPr="00BB2289" w:rsidRDefault="00886C8C" w:rsidP="00BB2289">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BB2289">
        <w:rPr>
          <w:rFonts w:ascii="Gadugi" w:eastAsia="Times New Roman" w:hAnsi="Gadugi" w:cs="Arial"/>
          <w:sz w:val="24"/>
          <w:szCs w:val="24"/>
          <w:lang w:val="es-419" w:eastAsia="es-ES"/>
        </w:rPr>
        <w:tab/>
      </w:r>
      <w:r w:rsidRPr="00BB2289">
        <w:rPr>
          <w:rFonts w:ascii="Gadugi" w:eastAsia="Times New Roman" w:hAnsi="Gadugi" w:cs="Arial"/>
          <w:sz w:val="24"/>
          <w:szCs w:val="24"/>
          <w:lang w:val="es-419" w:eastAsia="es-ES"/>
        </w:rPr>
        <w:tab/>
      </w:r>
      <w:r w:rsidRPr="00BB2289">
        <w:rPr>
          <w:rFonts w:ascii="Gadugi" w:eastAsia="Times New Roman" w:hAnsi="Gadugi" w:cs="Arial"/>
          <w:sz w:val="24"/>
          <w:szCs w:val="24"/>
          <w:lang w:val="es-419" w:eastAsia="es-ES"/>
        </w:rPr>
        <w:tab/>
      </w:r>
      <w:r w:rsidRPr="00BB2289">
        <w:rPr>
          <w:rFonts w:ascii="Gadugi" w:eastAsia="Times New Roman" w:hAnsi="Gadugi" w:cs="Arial"/>
          <w:sz w:val="24"/>
          <w:szCs w:val="24"/>
          <w:lang w:val="es-419" w:eastAsia="es-ES"/>
        </w:rPr>
        <w:tab/>
        <w:t xml:space="preserve"> </w:t>
      </w:r>
      <w:r w:rsidR="005843A7" w:rsidRPr="00BB2289">
        <w:rPr>
          <w:rFonts w:ascii="Gadugi" w:eastAsia="Times New Roman" w:hAnsi="Gadugi" w:cs="Arial"/>
          <w:sz w:val="24"/>
          <w:szCs w:val="24"/>
          <w:lang w:val="es-419" w:eastAsia="es-ES"/>
        </w:rPr>
        <w:t xml:space="preserve">Impugnó la parte actora para insistir en que su mínimo vital se encuentra comprometido, pues </w:t>
      </w:r>
      <w:r w:rsidR="002618EB" w:rsidRPr="00BB2289">
        <w:rPr>
          <w:rFonts w:ascii="Gadugi" w:eastAsia="Times New Roman" w:hAnsi="Gadugi" w:cs="Arial"/>
          <w:sz w:val="24"/>
          <w:szCs w:val="24"/>
          <w:lang w:val="es-419" w:eastAsia="es-ES"/>
        </w:rPr>
        <w:t xml:space="preserve">es </w:t>
      </w:r>
      <w:r w:rsidR="005843A7" w:rsidRPr="00BB2289">
        <w:rPr>
          <w:rFonts w:ascii="Gadugi" w:eastAsia="Times New Roman" w:hAnsi="Gadugi" w:cs="Arial"/>
          <w:sz w:val="24"/>
          <w:szCs w:val="24"/>
          <w:lang w:val="es-419" w:eastAsia="es-ES"/>
        </w:rPr>
        <w:t>una persona desempleada y de la tercera edad que no labora; reiteró los argumentos jurídicos que sustentan por qué Colpensiones debe reconocerle la pensión de vejez.</w:t>
      </w:r>
      <w:r w:rsidR="00D46175" w:rsidRPr="00BB2289">
        <w:rPr>
          <w:rStyle w:val="Refdenotaalpie"/>
          <w:rFonts w:ascii="Gadugi" w:eastAsia="Times New Roman" w:hAnsi="Gadugi"/>
          <w:sz w:val="24"/>
          <w:szCs w:val="24"/>
          <w:lang w:val="es-419" w:eastAsia="es-ES"/>
        </w:rPr>
        <w:footnoteReference w:id="8"/>
      </w:r>
      <w:r w:rsidR="005843A7" w:rsidRPr="00BB2289">
        <w:rPr>
          <w:rFonts w:ascii="Gadugi" w:eastAsia="Times New Roman" w:hAnsi="Gadugi" w:cs="Arial"/>
          <w:sz w:val="24"/>
          <w:szCs w:val="24"/>
          <w:lang w:val="es-419" w:eastAsia="es-ES"/>
        </w:rPr>
        <w:t xml:space="preserve"> </w:t>
      </w:r>
    </w:p>
    <w:p w14:paraId="4F14DDDB" w14:textId="77777777" w:rsidR="0007037C" w:rsidRPr="00BB2289" w:rsidRDefault="0007037C" w:rsidP="00BB2289">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val="es-ES" w:eastAsia="es-ES"/>
        </w:rPr>
      </w:pPr>
    </w:p>
    <w:p w14:paraId="3A9BB957" w14:textId="77777777" w:rsidR="00ED6D26" w:rsidRPr="00BB2289" w:rsidRDefault="00ED6D26" w:rsidP="00BB2289">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val="es-ES" w:eastAsia="es-ES"/>
        </w:rPr>
      </w:pPr>
    </w:p>
    <w:p w14:paraId="04D9C565" w14:textId="77777777" w:rsidR="00756044" w:rsidRPr="00BB2289" w:rsidRDefault="00756044" w:rsidP="00BB2289">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val="es-ES" w:eastAsia="es-ES"/>
        </w:rPr>
      </w:pPr>
      <w:r w:rsidRPr="00BB2289">
        <w:rPr>
          <w:rFonts w:ascii="Gadugi" w:eastAsia="Times New Roman" w:hAnsi="Gadugi" w:cs="Arial"/>
          <w:b/>
          <w:sz w:val="24"/>
          <w:szCs w:val="24"/>
          <w:lang w:val="es-ES" w:eastAsia="es-ES"/>
        </w:rPr>
        <w:t>CONSIDERACIONES</w:t>
      </w:r>
    </w:p>
    <w:p w14:paraId="317676FA" w14:textId="77777777" w:rsidR="00756044" w:rsidRPr="00BB2289" w:rsidRDefault="00756044" w:rsidP="00BB2289">
      <w:pPr>
        <w:autoSpaceDE w:val="0"/>
        <w:autoSpaceDN w:val="0"/>
        <w:adjustRightInd w:val="0"/>
        <w:spacing w:after="0" w:line="276" w:lineRule="auto"/>
        <w:jc w:val="both"/>
        <w:rPr>
          <w:rFonts w:ascii="Gadugi" w:eastAsia="Times New Roman" w:hAnsi="Gadugi" w:cs="Arial"/>
          <w:sz w:val="24"/>
          <w:szCs w:val="24"/>
          <w:lang w:val="es-ES" w:eastAsia="es-ES"/>
        </w:rPr>
      </w:pPr>
      <w:r w:rsidRPr="00BB2289">
        <w:rPr>
          <w:rFonts w:ascii="Gadugi" w:eastAsia="Times New Roman" w:hAnsi="Gadugi" w:cs="Arial"/>
          <w:sz w:val="24"/>
          <w:szCs w:val="24"/>
          <w:lang w:val="es-ES" w:eastAsia="es-ES"/>
        </w:rPr>
        <w:t xml:space="preserve">  </w:t>
      </w:r>
      <w:r w:rsidRPr="00BB2289">
        <w:rPr>
          <w:rFonts w:ascii="Gadugi" w:eastAsia="Times New Roman" w:hAnsi="Gadugi" w:cs="Arial"/>
          <w:sz w:val="24"/>
          <w:szCs w:val="24"/>
          <w:lang w:val="es-ES" w:eastAsia="es-ES"/>
        </w:rPr>
        <w:tab/>
      </w:r>
      <w:r w:rsidRPr="00BB2289">
        <w:rPr>
          <w:rFonts w:ascii="Gadugi" w:eastAsia="Times New Roman" w:hAnsi="Gadugi" w:cs="Arial"/>
          <w:sz w:val="24"/>
          <w:szCs w:val="24"/>
          <w:lang w:val="es-ES" w:eastAsia="es-ES"/>
        </w:rPr>
        <w:tab/>
      </w:r>
      <w:r w:rsidRPr="00BB2289">
        <w:rPr>
          <w:rFonts w:ascii="Gadugi" w:eastAsia="Times New Roman" w:hAnsi="Gadugi" w:cs="Arial"/>
          <w:sz w:val="24"/>
          <w:szCs w:val="24"/>
          <w:lang w:val="es-ES" w:eastAsia="es-ES"/>
        </w:rPr>
        <w:tab/>
      </w:r>
      <w:r w:rsidRPr="00BB2289">
        <w:rPr>
          <w:rFonts w:ascii="Gadugi" w:eastAsia="Times New Roman" w:hAnsi="Gadugi" w:cs="Arial"/>
          <w:sz w:val="24"/>
          <w:szCs w:val="24"/>
          <w:lang w:val="es-ES" w:eastAsia="es-ES"/>
        </w:rPr>
        <w:tab/>
      </w:r>
    </w:p>
    <w:p w14:paraId="28BF3302" w14:textId="77777777" w:rsidR="00756044" w:rsidRPr="00BB2289" w:rsidRDefault="00674A22" w:rsidP="00BB2289">
      <w:pPr>
        <w:autoSpaceDE w:val="0"/>
        <w:autoSpaceDN w:val="0"/>
        <w:adjustRightInd w:val="0"/>
        <w:spacing w:after="0" w:line="276" w:lineRule="auto"/>
        <w:jc w:val="both"/>
        <w:rPr>
          <w:rFonts w:ascii="Gadugi" w:eastAsia="Times New Roman" w:hAnsi="Gadugi" w:cs="Arial"/>
          <w:sz w:val="24"/>
          <w:szCs w:val="24"/>
          <w:lang w:val="es-ES" w:eastAsia="es-ES"/>
        </w:rPr>
      </w:pPr>
      <w:r w:rsidRPr="00BB2289">
        <w:rPr>
          <w:rFonts w:ascii="Gadugi" w:eastAsia="Times New Roman" w:hAnsi="Gadugi" w:cs="Arial"/>
          <w:sz w:val="24"/>
          <w:szCs w:val="24"/>
          <w:lang w:val="es-ES" w:eastAsia="es-ES"/>
        </w:rPr>
        <w:tab/>
      </w:r>
      <w:r w:rsidRPr="00BB2289">
        <w:rPr>
          <w:rFonts w:ascii="Gadugi" w:eastAsia="Times New Roman" w:hAnsi="Gadugi" w:cs="Arial"/>
          <w:sz w:val="24"/>
          <w:szCs w:val="24"/>
          <w:lang w:val="es-ES" w:eastAsia="es-ES"/>
        </w:rPr>
        <w:tab/>
      </w:r>
      <w:r w:rsidRPr="00BB2289">
        <w:rPr>
          <w:rFonts w:ascii="Gadugi" w:eastAsia="Times New Roman" w:hAnsi="Gadugi" w:cs="Arial"/>
          <w:sz w:val="24"/>
          <w:szCs w:val="24"/>
          <w:lang w:val="es-ES" w:eastAsia="es-ES"/>
        </w:rPr>
        <w:tab/>
      </w:r>
      <w:r w:rsidRPr="00BB2289">
        <w:rPr>
          <w:rFonts w:ascii="Gadugi" w:eastAsia="Times New Roman" w:hAnsi="Gadugi" w:cs="Arial"/>
          <w:sz w:val="24"/>
          <w:szCs w:val="24"/>
          <w:lang w:val="es-ES" w:eastAsia="es-ES"/>
        </w:rPr>
        <w:tab/>
      </w:r>
    </w:p>
    <w:p w14:paraId="4A149391" w14:textId="77777777" w:rsidR="00756044" w:rsidRPr="00BB2289" w:rsidRDefault="00756044" w:rsidP="00BB2289">
      <w:pPr>
        <w:autoSpaceDE w:val="0"/>
        <w:autoSpaceDN w:val="0"/>
        <w:adjustRightInd w:val="0"/>
        <w:spacing w:after="0" w:line="276" w:lineRule="auto"/>
        <w:jc w:val="both"/>
        <w:rPr>
          <w:rFonts w:ascii="Gadugi" w:eastAsia="Times New Roman" w:hAnsi="Gadugi" w:cs="Arial"/>
          <w:sz w:val="24"/>
          <w:szCs w:val="24"/>
          <w:lang w:val="es-ES" w:eastAsia="es-ES"/>
        </w:rPr>
      </w:pPr>
      <w:r w:rsidRPr="00BB2289">
        <w:rPr>
          <w:rFonts w:ascii="Gadugi" w:eastAsia="Times New Roman" w:hAnsi="Gadugi" w:cs="Arial"/>
          <w:sz w:val="24"/>
          <w:szCs w:val="24"/>
          <w:lang w:val="es-419" w:eastAsia="es-ES"/>
        </w:rPr>
        <w:t xml:space="preserve">  </w:t>
      </w:r>
      <w:r w:rsidRPr="00BB2289">
        <w:rPr>
          <w:rFonts w:ascii="Gadugi" w:hAnsi="Gadugi"/>
          <w:sz w:val="24"/>
          <w:szCs w:val="24"/>
        </w:rPr>
        <w:tab/>
      </w:r>
      <w:r w:rsidRPr="00BB2289">
        <w:rPr>
          <w:rFonts w:ascii="Gadugi" w:hAnsi="Gadugi"/>
          <w:sz w:val="24"/>
          <w:szCs w:val="24"/>
        </w:rPr>
        <w:tab/>
      </w:r>
      <w:r w:rsidRPr="00BB2289">
        <w:rPr>
          <w:rFonts w:ascii="Gadugi" w:hAnsi="Gadugi"/>
          <w:sz w:val="24"/>
          <w:szCs w:val="24"/>
        </w:rPr>
        <w:tab/>
      </w:r>
      <w:r w:rsidRPr="00BB2289">
        <w:rPr>
          <w:rFonts w:ascii="Gadugi" w:hAnsi="Gadugi"/>
          <w:sz w:val="24"/>
          <w:szCs w:val="24"/>
        </w:rPr>
        <w:tab/>
      </w:r>
      <w:r w:rsidRPr="00BB2289">
        <w:rPr>
          <w:rFonts w:ascii="Gadugi" w:eastAsia="Times New Roman" w:hAnsi="Gadugi" w:cs="Arial"/>
          <w:sz w:val="24"/>
          <w:szCs w:val="24"/>
          <w:lang w:val="es-ES" w:eastAsia="es-ES"/>
        </w:rPr>
        <w:t>La Constitución de 1991 instituyó la acción de tutela como un mecanismo breve y sumario mediante el cual toda persona puede conseguir de un juez la protección de sus derechos fundamentales, siempre que ellos estén siendo vulnerados o amenazados por la acción o la omisión de una autoridad, o de un particular en determinados casos.</w:t>
      </w:r>
    </w:p>
    <w:p w14:paraId="0CCAAE52" w14:textId="0BE79557" w:rsidR="16090E2A" w:rsidRPr="00BB2289" w:rsidRDefault="16090E2A" w:rsidP="00BB2289">
      <w:pPr>
        <w:spacing w:after="0" w:line="276" w:lineRule="auto"/>
        <w:jc w:val="both"/>
        <w:rPr>
          <w:rFonts w:ascii="Gadugi" w:eastAsia="Times New Roman" w:hAnsi="Gadugi" w:cs="Arial"/>
          <w:sz w:val="24"/>
          <w:szCs w:val="24"/>
          <w:lang w:val="es-ES" w:eastAsia="es-ES"/>
        </w:rPr>
      </w:pPr>
    </w:p>
    <w:p w14:paraId="69A1418F" w14:textId="2992BE61" w:rsidR="00F73FC2" w:rsidRPr="00BB2289" w:rsidRDefault="00756044" w:rsidP="00BB2289">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BB2289">
        <w:rPr>
          <w:rFonts w:ascii="Gadugi" w:eastAsia="Times New Roman" w:hAnsi="Gadugi" w:cs="Times New Roman"/>
          <w:sz w:val="24"/>
          <w:szCs w:val="24"/>
          <w:lang w:val="es-ES" w:eastAsia="es-ES"/>
        </w:rPr>
        <w:t xml:space="preserve">  </w:t>
      </w:r>
      <w:r w:rsidRPr="00BB2289">
        <w:rPr>
          <w:rFonts w:ascii="Gadugi" w:eastAsia="Times New Roman" w:hAnsi="Gadugi" w:cs="Times New Roman"/>
          <w:sz w:val="24"/>
          <w:szCs w:val="24"/>
          <w:lang w:val="es-ES" w:eastAsia="es-ES"/>
        </w:rPr>
        <w:tab/>
      </w:r>
      <w:r w:rsidRPr="00BB2289">
        <w:rPr>
          <w:rFonts w:ascii="Gadugi" w:eastAsia="Times New Roman" w:hAnsi="Gadugi" w:cs="Times New Roman"/>
          <w:sz w:val="24"/>
          <w:szCs w:val="24"/>
          <w:lang w:val="es-ES" w:eastAsia="es-ES"/>
        </w:rPr>
        <w:tab/>
      </w:r>
      <w:r w:rsidRPr="00BB2289">
        <w:rPr>
          <w:rFonts w:ascii="Gadugi" w:eastAsia="Times New Roman" w:hAnsi="Gadugi" w:cs="Times New Roman"/>
          <w:sz w:val="24"/>
          <w:szCs w:val="24"/>
          <w:lang w:val="es-ES" w:eastAsia="es-ES"/>
        </w:rPr>
        <w:tab/>
      </w:r>
      <w:r w:rsidRPr="00BB2289">
        <w:rPr>
          <w:rFonts w:ascii="Gadugi" w:eastAsia="Times New Roman" w:hAnsi="Gadugi" w:cs="Times New Roman"/>
          <w:sz w:val="24"/>
          <w:szCs w:val="24"/>
          <w:lang w:val="es-ES" w:eastAsia="es-ES"/>
        </w:rPr>
        <w:tab/>
      </w:r>
      <w:r w:rsidR="00A92999" w:rsidRPr="00BB2289">
        <w:rPr>
          <w:rFonts w:ascii="Gadugi" w:eastAsia="Times New Roman" w:hAnsi="Gadugi" w:cs="Times New Roman"/>
          <w:sz w:val="24"/>
          <w:szCs w:val="24"/>
          <w:lang w:val="es-ES" w:eastAsia="es-ES"/>
        </w:rPr>
        <w:t>En este asunto</w:t>
      </w:r>
      <w:r w:rsidRPr="00BB2289">
        <w:rPr>
          <w:rFonts w:ascii="Gadugi" w:eastAsia="Times New Roman" w:hAnsi="Gadugi" w:cs="Times New Roman"/>
          <w:sz w:val="24"/>
          <w:szCs w:val="24"/>
          <w:lang w:val="es-ES" w:eastAsia="es-ES"/>
        </w:rPr>
        <w:t xml:space="preserve">, </w:t>
      </w:r>
      <w:r w:rsidR="005843A7" w:rsidRPr="00BB2289">
        <w:rPr>
          <w:rFonts w:ascii="Gadugi" w:eastAsia="Times New Roman" w:hAnsi="Gadugi" w:cs="Times New Roman"/>
          <w:sz w:val="24"/>
          <w:szCs w:val="24"/>
          <w:lang w:val="es-ES" w:eastAsia="es-ES"/>
        </w:rPr>
        <w:t>María Amparo Uribe Vinasco</w:t>
      </w:r>
      <w:r w:rsidR="0074749B" w:rsidRPr="00BB2289">
        <w:rPr>
          <w:rFonts w:ascii="Gadugi" w:eastAsia="Times New Roman" w:hAnsi="Gadugi" w:cs="Times New Roman"/>
          <w:sz w:val="24"/>
          <w:szCs w:val="24"/>
          <w:lang w:val="es-ES" w:eastAsia="es-ES"/>
        </w:rPr>
        <w:t xml:space="preserve"> </w:t>
      </w:r>
      <w:r w:rsidRPr="00BB2289">
        <w:rPr>
          <w:rFonts w:ascii="Gadugi" w:eastAsia="Times New Roman" w:hAnsi="Gadugi" w:cs="Times New Roman"/>
          <w:sz w:val="24"/>
          <w:szCs w:val="24"/>
          <w:lang w:val="es-ES" w:eastAsia="es-ES"/>
        </w:rPr>
        <w:t>dirigió su reclamo contra la Administ</w:t>
      </w:r>
      <w:r w:rsidR="0088709E" w:rsidRPr="00BB2289">
        <w:rPr>
          <w:rFonts w:ascii="Gadugi" w:eastAsia="Times New Roman" w:hAnsi="Gadugi" w:cs="Times New Roman"/>
          <w:sz w:val="24"/>
          <w:szCs w:val="24"/>
          <w:lang w:val="es-ES" w:eastAsia="es-ES"/>
        </w:rPr>
        <w:t>radora Colombiana de Pensiones,</w:t>
      </w:r>
      <w:r w:rsidRPr="00BB2289">
        <w:rPr>
          <w:rFonts w:ascii="Gadugi" w:eastAsia="Times New Roman" w:hAnsi="Gadugi" w:cs="Times New Roman"/>
          <w:sz w:val="24"/>
          <w:szCs w:val="24"/>
          <w:lang w:val="es-ES" w:eastAsia="es-ES"/>
        </w:rPr>
        <w:t xml:space="preserve"> con el fin de que se resuelva</w:t>
      </w:r>
      <w:r w:rsidRPr="00BB2289">
        <w:rPr>
          <w:rFonts w:ascii="Gadugi" w:eastAsia="Times New Roman" w:hAnsi="Gadugi" w:cs="Times New Roman"/>
          <w:sz w:val="24"/>
          <w:szCs w:val="24"/>
          <w:lang w:val="es-419" w:eastAsia="es-ES"/>
        </w:rPr>
        <w:t xml:space="preserve"> </w:t>
      </w:r>
      <w:r w:rsidRPr="00BB2289">
        <w:rPr>
          <w:rFonts w:ascii="Gadugi" w:eastAsia="Times New Roman" w:hAnsi="Gadugi" w:cs="Times New Roman"/>
          <w:sz w:val="24"/>
          <w:szCs w:val="24"/>
          <w:lang w:val="es-ES" w:eastAsia="es-ES"/>
        </w:rPr>
        <w:t xml:space="preserve">favorablemente su petición de reconocimiento y pago de </w:t>
      </w:r>
      <w:r w:rsidRPr="00BB2289">
        <w:rPr>
          <w:rFonts w:ascii="Gadugi" w:eastAsia="Times New Roman" w:hAnsi="Gadugi" w:cs="Times New Roman"/>
          <w:sz w:val="24"/>
          <w:szCs w:val="24"/>
          <w:lang w:val="es-419" w:eastAsia="es-ES"/>
        </w:rPr>
        <w:t xml:space="preserve">la </w:t>
      </w:r>
      <w:r w:rsidRPr="00BB2289">
        <w:rPr>
          <w:rFonts w:ascii="Gadugi" w:eastAsia="Times New Roman" w:hAnsi="Gadugi" w:cs="Times New Roman"/>
          <w:sz w:val="24"/>
          <w:szCs w:val="24"/>
          <w:lang w:val="es-ES" w:eastAsia="es-ES"/>
        </w:rPr>
        <w:t xml:space="preserve">pensión de </w:t>
      </w:r>
      <w:r w:rsidR="00A5524B" w:rsidRPr="00BB2289">
        <w:rPr>
          <w:rFonts w:ascii="Gadugi" w:eastAsia="Times New Roman" w:hAnsi="Gadugi" w:cs="Times New Roman"/>
          <w:sz w:val="24"/>
          <w:szCs w:val="24"/>
          <w:lang w:val="es-ES" w:eastAsia="es-ES"/>
        </w:rPr>
        <w:t>vejez</w:t>
      </w:r>
      <w:r w:rsidRPr="00BB2289">
        <w:rPr>
          <w:rFonts w:ascii="Gadugi" w:eastAsia="Times New Roman" w:hAnsi="Gadugi" w:cs="Times New Roman"/>
          <w:sz w:val="24"/>
          <w:szCs w:val="24"/>
          <w:lang w:val="es-ES" w:eastAsia="es-ES"/>
        </w:rPr>
        <w:t xml:space="preserve">, </w:t>
      </w:r>
      <w:r w:rsidR="00F73FC2" w:rsidRPr="00BB2289">
        <w:rPr>
          <w:rFonts w:ascii="Gadugi" w:eastAsia="Times New Roman" w:hAnsi="Gadugi" w:cs="Times New Roman"/>
          <w:sz w:val="24"/>
          <w:szCs w:val="24"/>
          <w:lang w:val="es-ES" w:eastAsia="es-ES"/>
        </w:rPr>
        <w:t>teniendo en cuenta</w:t>
      </w:r>
      <w:r w:rsidR="00CE5255" w:rsidRPr="00BB2289">
        <w:rPr>
          <w:rFonts w:ascii="Gadugi" w:eastAsia="Times New Roman" w:hAnsi="Gadugi" w:cs="Times New Roman"/>
          <w:sz w:val="24"/>
          <w:szCs w:val="24"/>
          <w:lang w:val="es-ES" w:eastAsia="es-ES"/>
        </w:rPr>
        <w:t>, por una parte,</w:t>
      </w:r>
      <w:r w:rsidR="00BA2A7F" w:rsidRPr="00BB2289">
        <w:rPr>
          <w:rFonts w:ascii="Gadugi" w:eastAsia="Times New Roman" w:hAnsi="Gadugi" w:cs="Times New Roman"/>
          <w:sz w:val="24"/>
          <w:szCs w:val="24"/>
          <w:lang w:val="es-ES" w:eastAsia="es-ES"/>
        </w:rPr>
        <w:t xml:space="preserve"> unos aportes que realizó durante el periodo comprendido entre el 23 de enero de 2004 y el 30 de julio de 2006; y por otra</w:t>
      </w:r>
      <w:r w:rsidR="00480CB3" w:rsidRPr="00BB2289">
        <w:rPr>
          <w:rFonts w:ascii="Gadugi" w:eastAsia="Times New Roman" w:hAnsi="Gadugi" w:cs="Times New Roman"/>
          <w:sz w:val="24"/>
          <w:szCs w:val="24"/>
          <w:lang w:val="es-ES" w:eastAsia="es-ES"/>
        </w:rPr>
        <w:t>,</w:t>
      </w:r>
      <w:r w:rsidR="00F73FC2" w:rsidRPr="00BB2289">
        <w:rPr>
          <w:rFonts w:ascii="Gadugi" w:eastAsia="Times New Roman" w:hAnsi="Gadugi" w:cs="Times New Roman"/>
          <w:sz w:val="24"/>
          <w:szCs w:val="24"/>
          <w:lang w:val="es-ES" w:eastAsia="es-ES"/>
        </w:rPr>
        <w:t xml:space="preserve"> que</w:t>
      </w:r>
      <w:r w:rsidR="00CE5255" w:rsidRPr="00BB2289">
        <w:rPr>
          <w:rFonts w:ascii="Gadugi" w:eastAsia="Times New Roman" w:hAnsi="Gadugi" w:cs="Times New Roman"/>
          <w:sz w:val="24"/>
          <w:szCs w:val="24"/>
          <w:lang w:val="es-ES" w:eastAsia="es-ES"/>
        </w:rPr>
        <w:t xml:space="preserve"> es beneficiaria del régimen de transición, pues su primera cotización al sistema general de pensiones fue el 1° de abril de 1995 por medio del Municipio de Pereira, y </w:t>
      </w:r>
      <w:r w:rsidR="00CE5255" w:rsidRPr="00BB2289">
        <w:rPr>
          <w:rFonts w:ascii="Gadugi" w:eastAsia="Times New Roman" w:hAnsi="Gadugi" w:cs="Times New Roman"/>
          <w:i/>
          <w:sz w:val="24"/>
          <w:szCs w:val="24"/>
          <w:lang w:val="es-ES" w:eastAsia="es-ES"/>
        </w:rPr>
        <w:t>“</w:t>
      </w:r>
      <w:r w:rsidR="00CE5255" w:rsidRPr="00100B65">
        <w:rPr>
          <w:rFonts w:ascii="Gadugi" w:eastAsia="Times New Roman" w:hAnsi="Gadugi" w:cs="Times New Roman"/>
          <w:i/>
          <w:szCs w:val="24"/>
          <w:lang w:val="es-ES" w:eastAsia="es-ES"/>
        </w:rPr>
        <w:t>(…) para los trabajadores públicos entr</w:t>
      </w:r>
      <w:r w:rsidR="002618EB" w:rsidRPr="00100B65">
        <w:rPr>
          <w:rFonts w:ascii="Gadugi" w:eastAsia="Times New Roman" w:hAnsi="Gadugi" w:cs="Times New Roman"/>
          <w:i/>
          <w:szCs w:val="24"/>
          <w:lang w:val="es-ES" w:eastAsia="es-ES"/>
        </w:rPr>
        <w:t>ó</w:t>
      </w:r>
      <w:r w:rsidR="00CE5255" w:rsidRPr="00100B65">
        <w:rPr>
          <w:rFonts w:ascii="Gadugi" w:eastAsia="Times New Roman" w:hAnsi="Gadugi" w:cs="Times New Roman"/>
          <w:i/>
          <w:szCs w:val="24"/>
          <w:lang w:val="es-ES" w:eastAsia="es-ES"/>
        </w:rPr>
        <w:t xml:space="preserve"> a regir el sistema general de pensiones a partir del 30 de junio de 1995</w:t>
      </w:r>
      <w:r w:rsidR="00CE5255" w:rsidRPr="00BB2289">
        <w:rPr>
          <w:rFonts w:ascii="Gadugi" w:eastAsia="Times New Roman" w:hAnsi="Gadugi" w:cs="Times New Roman"/>
          <w:i/>
          <w:sz w:val="24"/>
          <w:szCs w:val="24"/>
          <w:lang w:val="es-ES" w:eastAsia="es-ES"/>
        </w:rPr>
        <w:t>”</w:t>
      </w:r>
      <w:r w:rsidR="00480CB3" w:rsidRPr="00BB2289">
        <w:rPr>
          <w:rFonts w:ascii="Gadugi" w:eastAsia="Times New Roman" w:hAnsi="Gadugi" w:cs="Times New Roman"/>
          <w:i/>
          <w:sz w:val="24"/>
          <w:szCs w:val="24"/>
          <w:lang w:val="es-ES" w:eastAsia="es-ES"/>
        </w:rPr>
        <w:t>.</w:t>
      </w:r>
    </w:p>
    <w:p w14:paraId="2F76947B" w14:textId="77777777" w:rsidR="00BA2A7F" w:rsidRPr="00BB2289" w:rsidRDefault="00BA2A7F" w:rsidP="00BB2289">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78124839" w14:textId="6A2D7549" w:rsidR="00E07B28" w:rsidRPr="00BB2289" w:rsidRDefault="0056791D" w:rsidP="00BB2289">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BB2289">
        <w:rPr>
          <w:rFonts w:ascii="Gadugi" w:eastAsia="Times New Roman" w:hAnsi="Gadugi" w:cs="Times New Roman"/>
          <w:sz w:val="24"/>
          <w:szCs w:val="24"/>
          <w:lang w:val="es-ES" w:eastAsia="es-ES"/>
        </w:rPr>
        <w:tab/>
      </w:r>
      <w:r w:rsidRPr="00BB2289">
        <w:rPr>
          <w:rFonts w:ascii="Gadugi" w:eastAsia="Times New Roman" w:hAnsi="Gadugi" w:cs="Times New Roman"/>
          <w:sz w:val="24"/>
          <w:szCs w:val="24"/>
          <w:lang w:val="es-ES" w:eastAsia="es-ES"/>
        </w:rPr>
        <w:tab/>
      </w:r>
      <w:r w:rsidRPr="00BB2289">
        <w:rPr>
          <w:rFonts w:ascii="Gadugi" w:eastAsia="Times New Roman" w:hAnsi="Gadugi" w:cs="Times New Roman"/>
          <w:sz w:val="24"/>
          <w:szCs w:val="24"/>
          <w:lang w:val="es-ES" w:eastAsia="es-ES"/>
        </w:rPr>
        <w:tab/>
      </w:r>
      <w:r w:rsidRPr="00BB2289">
        <w:rPr>
          <w:rFonts w:ascii="Gadugi" w:eastAsia="Times New Roman" w:hAnsi="Gadugi" w:cs="Times New Roman"/>
          <w:sz w:val="24"/>
          <w:szCs w:val="24"/>
          <w:lang w:val="es-ES" w:eastAsia="es-ES"/>
        </w:rPr>
        <w:tab/>
        <w:t xml:space="preserve">La legitimación en la causa por activa se cumple, comoquiera que </w:t>
      </w:r>
      <w:r w:rsidR="003000FB" w:rsidRPr="00BB2289">
        <w:rPr>
          <w:rFonts w:ascii="Gadugi" w:eastAsia="Times New Roman" w:hAnsi="Gadugi" w:cs="Times New Roman"/>
          <w:sz w:val="24"/>
          <w:szCs w:val="24"/>
          <w:lang w:val="es-ES" w:eastAsia="es-ES"/>
        </w:rPr>
        <w:t xml:space="preserve">fue </w:t>
      </w:r>
      <w:r w:rsidR="00BA2A7F" w:rsidRPr="00BB2289">
        <w:rPr>
          <w:rFonts w:ascii="Gadugi" w:eastAsia="Times New Roman" w:hAnsi="Gadugi" w:cs="Times New Roman"/>
          <w:sz w:val="24"/>
          <w:szCs w:val="24"/>
          <w:lang w:val="es-ES" w:eastAsia="es-ES"/>
        </w:rPr>
        <w:t>la</w:t>
      </w:r>
      <w:r w:rsidRPr="00BB2289">
        <w:rPr>
          <w:rFonts w:ascii="Gadugi" w:eastAsia="Times New Roman" w:hAnsi="Gadugi" w:cs="Times New Roman"/>
          <w:sz w:val="24"/>
          <w:szCs w:val="24"/>
          <w:lang w:val="es-ES" w:eastAsia="es-ES"/>
        </w:rPr>
        <w:t xml:space="preserve"> </w:t>
      </w:r>
      <w:r w:rsidR="003000FB" w:rsidRPr="00BB2289">
        <w:rPr>
          <w:rFonts w:ascii="Gadugi" w:eastAsia="Times New Roman" w:hAnsi="Gadugi" w:cs="Times New Roman"/>
          <w:sz w:val="24"/>
          <w:szCs w:val="24"/>
          <w:lang w:val="es-ES" w:eastAsia="es-ES"/>
        </w:rPr>
        <w:t>señor</w:t>
      </w:r>
      <w:r w:rsidR="00BA2A7F" w:rsidRPr="00BB2289">
        <w:rPr>
          <w:rFonts w:ascii="Gadugi" w:eastAsia="Times New Roman" w:hAnsi="Gadugi" w:cs="Times New Roman"/>
          <w:sz w:val="24"/>
          <w:szCs w:val="24"/>
          <w:lang w:val="es-ES" w:eastAsia="es-ES"/>
        </w:rPr>
        <w:t>a</w:t>
      </w:r>
      <w:r w:rsidR="003000FB" w:rsidRPr="00BB2289">
        <w:rPr>
          <w:rFonts w:ascii="Gadugi" w:eastAsia="Times New Roman" w:hAnsi="Gadugi" w:cs="Times New Roman"/>
          <w:sz w:val="24"/>
          <w:szCs w:val="24"/>
          <w:lang w:val="es-ES" w:eastAsia="es-ES"/>
        </w:rPr>
        <w:t xml:space="preserve"> </w:t>
      </w:r>
      <w:r w:rsidR="00BA2A7F" w:rsidRPr="00BB2289">
        <w:rPr>
          <w:rFonts w:ascii="Gadugi" w:eastAsia="Times New Roman" w:hAnsi="Gadugi" w:cs="Times New Roman"/>
          <w:sz w:val="24"/>
          <w:szCs w:val="24"/>
          <w:lang w:val="es-ES" w:eastAsia="es-ES"/>
        </w:rPr>
        <w:t>Uribe Vinasco</w:t>
      </w:r>
      <w:r w:rsidR="00893F84" w:rsidRPr="00BB2289">
        <w:rPr>
          <w:rFonts w:ascii="Gadugi" w:eastAsia="Times New Roman" w:hAnsi="Gadugi" w:cs="Times New Roman"/>
          <w:sz w:val="24"/>
          <w:szCs w:val="24"/>
          <w:lang w:val="es-ES" w:eastAsia="es-ES"/>
        </w:rPr>
        <w:t>, afiliad</w:t>
      </w:r>
      <w:r w:rsidR="00BA2A7F" w:rsidRPr="00BB2289">
        <w:rPr>
          <w:rFonts w:ascii="Gadugi" w:eastAsia="Times New Roman" w:hAnsi="Gadugi" w:cs="Times New Roman"/>
          <w:sz w:val="24"/>
          <w:szCs w:val="24"/>
          <w:lang w:val="es-ES" w:eastAsia="es-ES"/>
        </w:rPr>
        <w:t>a</w:t>
      </w:r>
      <w:r w:rsidR="00893F84" w:rsidRPr="00BB2289">
        <w:rPr>
          <w:rFonts w:ascii="Gadugi" w:eastAsia="Times New Roman" w:hAnsi="Gadugi" w:cs="Times New Roman"/>
          <w:sz w:val="24"/>
          <w:szCs w:val="24"/>
          <w:lang w:val="es-ES" w:eastAsia="es-ES"/>
        </w:rPr>
        <w:t xml:space="preserve"> a Colpensiones,</w:t>
      </w:r>
      <w:r w:rsidRPr="00BB2289">
        <w:rPr>
          <w:rFonts w:ascii="Gadugi" w:eastAsia="Times New Roman" w:hAnsi="Gadugi" w:cs="Times New Roman"/>
          <w:sz w:val="24"/>
          <w:szCs w:val="24"/>
          <w:lang w:val="es-ES" w:eastAsia="es-ES"/>
        </w:rPr>
        <w:t xml:space="preserve"> </w:t>
      </w:r>
      <w:r w:rsidR="003000FB" w:rsidRPr="00BB2289">
        <w:rPr>
          <w:rFonts w:ascii="Gadugi" w:eastAsia="Times New Roman" w:hAnsi="Gadugi" w:cs="Times New Roman"/>
          <w:sz w:val="24"/>
          <w:szCs w:val="24"/>
          <w:lang w:val="es-ES" w:eastAsia="es-ES"/>
        </w:rPr>
        <w:t>quien</w:t>
      </w:r>
      <w:r w:rsidRPr="00BB2289">
        <w:rPr>
          <w:rFonts w:ascii="Gadugi" w:eastAsia="Times New Roman" w:hAnsi="Gadugi" w:cs="Times New Roman"/>
          <w:sz w:val="24"/>
          <w:szCs w:val="24"/>
          <w:lang w:val="es-ES" w:eastAsia="es-ES"/>
        </w:rPr>
        <w:t xml:space="preserve"> elevó la solicitud pensional </w:t>
      </w:r>
      <w:r w:rsidR="00E07B28" w:rsidRPr="00BB2289">
        <w:rPr>
          <w:rFonts w:ascii="Gadugi" w:eastAsia="Times New Roman" w:hAnsi="Gadugi" w:cs="Times New Roman"/>
          <w:sz w:val="24"/>
          <w:szCs w:val="24"/>
          <w:lang w:val="es-ES" w:eastAsia="es-ES"/>
        </w:rPr>
        <w:t xml:space="preserve">que </w:t>
      </w:r>
      <w:r w:rsidR="00BA2A7F" w:rsidRPr="00BB2289">
        <w:rPr>
          <w:rFonts w:ascii="Gadugi" w:eastAsia="Times New Roman" w:hAnsi="Gadugi" w:cs="Times New Roman"/>
          <w:sz w:val="24"/>
          <w:szCs w:val="24"/>
          <w:lang w:val="es-ES" w:eastAsia="es-ES"/>
        </w:rPr>
        <w:t xml:space="preserve">fue </w:t>
      </w:r>
      <w:r w:rsidRPr="00BB2289">
        <w:rPr>
          <w:rFonts w:ascii="Gadugi" w:eastAsia="Times New Roman" w:hAnsi="Gadugi" w:cs="Times New Roman"/>
          <w:sz w:val="24"/>
          <w:szCs w:val="24"/>
          <w:lang w:val="es-ES" w:eastAsia="es-ES"/>
        </w:rPr>
        <w:t>negada</w:t>
      </w:r>
      <w:r w:rsidR="00893F84" w:rsidRPr="00BB2289">
        <w:rPr>
          <w:rFonts w:ascii="Gadugi" w:eastAsia="Times New Roman" w:hAnsi="Gadugi" w:cs="Times New Roman"/>
          <w:sz w:val="24"/>
          <w:szCs w:val="24"/>
          <w:lang w:val="es-ES" w:eastAsia="es-ES"/>
        </w:rPr>
        <w:t xml:space="preserve">; </w:t>
      </w:r>
      <w:r w:rsidRPr="00BB2289">
        <w:rPr>
          <w:rFonts w:ascii="Gadugi" w:eastAsia="Times New Roman" w:hAnsi="Gadugi" w:cs="Times New Roman"/>
          <w:sz w:val="24"/>
          <w:szCs w:val="24"/>
          <w:lang w:val="es-ES" w:eastAsia="es-ES"/>
        </w:rPr>
        <w:t>y por pasiva también</w:t>
      </w:r>
      <w:r w:rsidR="00693B8A" w:rsidRPr="00BB2289">
        <w:rPr>
          <w:rFonts w:ascii="Gadugi" w:eastAsia="Times New Roman" w:hAnsi="Gadugi" w:cs="Times New Roman"/>
          <w:sz w:val="24"/>
          <w:szCs w:val="24"/>
          <w:lang w:val="es-ES" w:eastAsia="es-ES"/>
        </w:rPr>
        <w:t>,</w:t>
      </w:r>
      <w:r w:rsidRPr="00BB2289">
        <w:rPr>
          <w:rFonts w:ascii="Gadugi" w:eastAsia="Times New Roman" w:hAnsi="Gadugi" w:cs="Times New Roman"/>
          <w:sz w:val="24"/>
          <w:szCs w:val="24"/>
          <w:lang w:val="es-ES" w:eastAsia="es-ES"/>
        </w:rPr>
        <w:t xml:space="preserve"> </w:t>
      </w:r>
      <w:r w:rsidR="003000FB" w:rsidRPr="00BB2289">
        <w:rPr>
          <w:rFonts w:ascii="Gadugi" w:eastAsia="Times New Roman" w:hAnsi="Gadugi" w:cs="Times New Roman"/>
          <w:sz w:val="24"/>
          <w:szCs w:val="24"/>
          <w:lang w:val="es-ES" w:eastAsia="es-ES"/>
        </w:rPr>
        <w:t>toda vez que está</w:t>
      </w:r>
      <w:r w:rsidR="00E07B28" w:rsidRPr="00BB2289">
        <w:rPr>
          <w:rFonts w:ascii="Gadugi" w:eastAsia="Times New Roman" w:hAnsi="Gadugi" w:cs="Times New Roman"/>
          <w:sz w:val="24"/>
          <w:szCs w:val="24"/>
          <w:lang w:val="es-ES" w:eastAsia="es-ES"/>
        </w:rPr>
        <w:t>n</w:t>
      </w:r>
      <w:r w:rsidR="003000FB" w:rsidRPr="00BB2289">
        <w:rPr>
          <w:rFonts w:ascii="Gadugi" w:eastAsia="Times New Roman" w:hAnsi="Gadugi" w:cs="Times New Roman"/>
          <w:sz w:val="24"/>
          <w:szCs w:val="24"/>
          <w:lang w:val="es-ES" w:eastAsia="es-ES"/>
        </w:rPr>
        <w:t xml:space="preserve"> vinculad</w:t>
      </w:r>
      <w:r w:rsidR="00E07B28" w:rsidRPr="00BB2289">
        <w:rPr>
          <w:rFonts w:ascii="Gadugi" w:eastAsia="Times New Roman" w:hAnsi="Gadugi" w:cs="Times New Roman"/>
          <w:sz w:val="24"/>
          <w:szCs w:val="24"/>
          <w:lang w:val="es-ES" w:eastAsia="es-ES"/>
        </w:rPr>
        <w:t xml:space="preserve">as la Dirección de Prestaciones Económicas, que en segunda instancia negó la subvención, y también la Dirección de Historia Laboral, que es la encargada de </w:t>
      </w:r>
      <w:r w:rsidR="00E07B28" w:rsidRPr="00BB2289">
        <w:rPr>
          <w:rFonts w:ascii="Gadugi" w:eastAsia="Times New Roman" w:hAnsi="Gadugi" w:cs="Times New Roman"/>
          <w:i/>
          <w:sz w:val="24"/>
          <w:szCs w:val="24"/>
          <w:lang w:val="es-ES" w:eastAsia="es-ES"/>
        </w:rPr>
        <w:lastRenderedPageBreak/>
        <w:t>“</w:t>
      </w:r>
      <w:r w:rsidR="00E07B28" w:rsidRPr="00100B65">
        <w:rPr>
          <w:rFonts w:ascii="Gadugi" w:eastAsia="Times New Roman" w:hAnsi="Gadugi" w:cs="Times New Roman"/>
          <w:i/>
          <w:szCs w:val="24"/>
          <w:lang w:val="es-ES" w:eastAsia="es-ES"/>
        </w:rPr>
        <w:t>Actualizar la historia laboral de los afiliados a partir de los aportes que se efectúen y demás registros que generen un impacto en la misma</w:t>
      </w:r>
      <w:r w:rsidR="00E07B28" w:rsidRPr="00BB2289">
        <w:rPr>
          <w:rFonts w:ascii="Gadugi" w:eastAsia="Times New Roman" w:hAnsi="Gadugi" w:cs="Times New Roman"/>
          <w:i/>
          <w:sz w:val="24"/>
          <w:szCs w:val="24"/>
          <w:lang w:val="es-ES" w:eastAsia="es-ES"/>
        </w:rPr>
        <w:t>”</w:t>
      </w:r>
      <w:r w:rsidR="00E07B28" w:rsidRPr="00BB2289">
        <w:rPr>
          <w:rFonts w:ascii="Gadugi" w:eastAsia="Times New Roman" w:hAnsi="Gadugi" w:cs="Times New Roman"/>
          <w:sz w:val="24"/>
          <w:szCs w:val="24"/>
          <w:lang w:val="es-ES" w:eastAsia="es-ES"/>
        </w:rPr>
        <w:t xml:space="preserve"> </w:t>
      </w:r>
      <w:r w:rsidR="002618EB" w:rsidRPr="00BB2289">
        <w:rPr>
          <w:rFonts w:ascii="Gadugi" w:eastAsia="Times New Roman" w:hAnsi="Gadugi" w:cs="Times New Roman"/>
          <w:sz w:val="24"/>
          <w:szCs w:val="24"/>
          <w:lang w:val="es-ES" w:eastAsia="es-ES"/>
        </w:rPr>
        <w:t xml:space="preserve">y </w:t>
      </w:r>
      <w:r w:rsidR="00E07B28" w:rsidRPr="00BB2289">
        <w:rPr>
          <w:rFonts w:ascii="Gadugi" w:eastAsia="Times New Roman" w:hAnsi="Gadugi" w:cs="Times New Roman"/>
          <w:sz w:val="24"/>
          <w:szCs w:val="24"/>
          <w:lang w:val="es-ES" w:eastAsia="es-ES"/>
        </w:rPr>
        <w:t xml:space="preserve">de </w:t>
      </w:r>
      <w:r w:rsidR="00E07B28" w:rsidRPr="00BB2289">
        <w:rPr>
          <w:rFonts w:ascii="Gadugi" w:eastAsia="Times New Roman" w:hAnsi="Gadugi" w:cs="Times New Roman"/>
          <w:i/>
          <w:sz w:val="24"/>
          <w:szCs w:val="24"/>
          <w:lang w:val="es-ES" w:eastAsia="es-ES"/>
        </w:rPr>
        <w:t>“</w:t>
      </w:r>
      <w:r w:rsidR="00E07B28" w:rsidRPr="00100B65">
        <w:rPr>
          <w:rFonts w:ascii="Gadugi" w:eastAsia="Times New Roman" w:hAnsi="Gadugi" w:cs="Times New Roman"/>
          <w:i/>
          <w:szCs w:val="24"/>
          <w:lang w:val="es-ES" w:eastAsia="es-ES"/>
        </w:rPr>
        <w:t>Subsanar las inconsistencias encontradas en la historia laboral</w:t>
      </w:r>
      <w:r w:rsidR="00E07B28" w:rsidRPr="00BB2289">
        <w:rPr>
          <w:rFonts w:ascii="Gadugi" w:eastAsia="Times New Roman" w:hAnsi="Gadugi" w:cs="Times New Roman"/>
          <w:i/>
          <w:sz w:val="24"/>
          <w:szCs w:val="24"/>
          <w:lang w:val="es-ES" w:eastAsia="es-ES"/>
        </w:rPr>
        <w:t>.”</w:t>
      </w:r>
      <w:r w:rsidR="00E07B28" w:rsidRPr="00BB2289">
        <w:rPr>
          <w:rFonts w:ascii="Gadugi" w:eastAsia="Times New Roman" w:hAnsi="Gadugi" w:cs="Times New Roman"/>
          <w:sz w:val="24"/>
          <w:szCs w:val="24"/>
          <w:lang w:val="es-ES" w:eastAsia="es-ES"/>
        </w:rPr>
        <w:t xml:space="preserve"> (Arts. 4.1.2.1. y 4.1.2.3. Acuerdo 131/18 de Colpensiones)</w:t>
      </w:r>
      <w:r w:rsidR="00FF6FFC" w:rsidRPr="00BB2289">
        <w:rPr>
          <w:rFonts w:ascii="Gadugi" w:eastAsia="Times New Roman" w:hAnsi="Gadugi" w:cs="Times New Roman"/>
          <w:sz w:val="24"/>
          <w:szCs w:val="24"/>
          <w:lang w:val="es-ES" w:eastAsia="es-ES"/>
        </w:rPr>
        <w:t>.</w:t>
      </w:r>
    </w:p>
    <w:p w14:paraId="48E86FB5" w14:textId="77777777" w:rsidR="0056791D" w:rsidRPr="00BB2289" w:rsidRDefault="0056791D" w:rsidP="00BB2289">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181255D0" w14:textId="2064A75B" w:rsidR="0056791D" w:rsidRPr="00BB2289" w:rsidRDefault="0056791D" w:rsidP="00BB2289">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BB2289">
        <w:rPr>
          <w:rFonts w:ascii="Gadugi" w:eastAsia="Times New Roman" w:hAnsi="Gadugi" w:cs="Times New Roman"/>
          <w:sz w:val="24"/>
          <w:szCs w:val="24"/>
          <w:lang w:val="es-ES" w:eastAsia="es-ES"/>
        </w:rPr>
        <w:tab/>
      </w:r>
      <w:r w:rsidRPr="00BB2289">
        <w:rPr>
          <w:rFonts w:ascii="Gadugi" w:eastAsia="Times New Roman" w:hAnsi="Gadugi" w:cs="Times New Roman"/>
          <w:sz w:val="24"/>
          <w:szCs w:val="24"/>
          <w:lang w:val="es-ES" w:eastAsia="es-ES"/>
        </w:rPr>
        <w:tab/>
      </w:r>
      <w:r w:rsidRPr="00BB2289">
        <w:rPr>
          <w:rFonts w:ascii="Gadugi" w:eastAsia="Times New Roman" w:hAnsi="Gadugi" w:cs="Times New Roman"/>
          <w:sz w:val="24"/>
          <w:szCs w:val="24"/>
          <w:lang w:val="es-ES" w:eastAsia="es-ES"/>
        </w:rPr>
        <w:tab/>
      </w:r>
      <w:r w:rsidRPr="00BB2289">
        <w:rPr>
          <w:rFonts w:ascii="Gadugi" w:eastAsia="Times New Roman" w:hAnsi="Gadugi" w:cs="Times New Roman"/>
          <w:sz w:val="24"/>
          <w:szCs w:val="24"/>
          <w:lang w:val="es-ES" w:eastAsia="es-ES"/>
        </w:rPr>
        <w:tab/>
      </w:r>
      <w:r w:rsidR="006B1E9D" w:rsidRPr="00BB2289">
        <w:rPr>
          <w:rFonts w:ascii="Gadugi" w:eastAsia="Times New Roman" w:hAnsi="Gadugi" w:cs="Times New Roman"/>
          <w:sz w:val="24"/>
          <w:szCs w:val="24"/>
          <w:lang w:val="es-ES" w:eastAsia="es-ES"/>
        </w:rPr>
        <w:t xml:space="preserve">La inmediatez también se supera, pues la demanda se radicó el </w:t>
      </w:r>
      <w:r w:rsidR="00E07B28" w:rsidRPr="00BB2289">
        <w:rPr>
          <w:rFonts w:ascii="Gadugi" w:eastAsia="Times New Roman" w:hAnsi="Gadugi" w:cs="Times New Roman"/>
          <w:sz w:val="24"/>
          <w:szCs w:val="24"/>
          <w:lang w:val="es-ES" w:eastAsia="es-ES"/>
        </w:rPr>
        <w:t>11</w:t>
      </w:r>
      <w:r w:rsidR="006B1E9D" w:rsidRPr="00BB2289">
        <w:rPr>
          <w:rFonts w:ascii="Gadugi" w:eastAsia="Times New Roman" w:hAnsi="Gadugi" w:cs="Times New Roman"/>
          <w:sz w:val="24"/>
          <w:szCs w:val="24"/>
          <w:lang w:val="es-ES" w:eastAsia="es-ES"/>
        </w:rPr>
        <w:t xml:space="preserve"> de </w:t>
      </w:r>
      <w:r w:rsidR="00E07B28" w:rsidRPr="00BB2289">
        <w:rPr>
          <w:rFonts w:ascii="Gadugi" w:eastAsia="Times New Roman" w:hAnsi="Gadugi" w:cs="Times New Roman"/>
          <w:sz w:val="24"/>
          <w:szCs w:val="24"/>
          <w:lang w:val="es-ES" w:eastAsia="es-ES"/>
        </w:rPr>
        <w:t>noviembre</w:t>
      </w:r>
      <w:r w:rsidR="006B1E9D" w:rsidRPr="00BB2289">
        <w:rPr>
          <w:rFonts w:ascii="Gadugi" w:eastAsia="Times New Roman" w:hAnsi="Gadugi" w:cs="Times New Roman"/>
          <w:sz w:val="24"/>
          <w:szCs w:val="24"/>
          <w:lang w:val="es-ES" w:eastAsia="es-ES"/>
        </w:rPr>
        <w:t xml:space="preserve"> de 202</w:t>
      </w:r>
      <w:r w:rsidR="003E5376" w:rsidRPr="00BB2289">
        <w:rPr>
          <w:rFonts w:ascii="Gadugi" w:eastAsia="Times New Roman" w:hAnsi="Gadugi" w:cs="Times New Roman"/>
          <w:sz w:val="24"/>
          <w:szCs w:val="24"/>
          <w:lang w:val="es-ES" w:eastAsia="es-ES"/>
        </w:rPr>
        <w:t>1</w:t>
      </w:r>
      <w:r w:rsidR="006B1E9D" w:rsidRPr="00BB2289">
        <w:rPr>
          <w:rFonts w:ascii="Gadugi" w:eastAsia="Times New Roman" w:hAnsi="Gadugi" w:cs="Times New Roman"/>
          <w:sz w:val="24"/>
          <w:szCs w:val="24"/>
          <w:lang w:val="es-ES" w:eastAsia="es-ES"/>
        </w:rPr>
        <w:t xml:space="preserve"> y la resolución </w:t>
      </w:r>
      <w:r w:rsidR="003000FB" w:rsidRPr="00BB2289">
        <w:rPr>
          <w:rFonts w:ascii="Gadugi" w:eastAsia="Times New Roman" w:hAnsi="Gadugi" w:cs="Times New Roman"/>
          <w:sz w:val="24"/>
          <w:szCs w:val="24"/>
          <w:lang w:val="es-ES" w:eastAsia="es-ES"/>
        </w:rPr>
        <w:t xml:space="preserve">que se reprocha data del </w:t>
      </w:r>
      <w:r w:rsidR="00E07B28" w:rsidRPr="00BB2289">
        <w:rPr>
          <w:rFonts w:ascii="Gadugi" w:eastAsia="Times New Roman" w:hAnsi="Gadugi" w:cs="Times New Roman"/>
          <w:sz w:val="24"/>
          <w:szCs w:val="24"/>
          <w:lang w:val="es-ES" w:eastAsia="es-ES"/>
        </w:rPr>
        <w:t>22</w:t>
      </w:r>
      <w:r w:rsidR="003000FB" w:rsidRPr="00BB2289">
        <w:rPr>
          <w:rFonts w:ascii="Gadugi" w:eastAsia="Times New Roman" w:hAnsi="Gadugi" w:cs="Times New Roman"/>
          <w:sz w:val="24"/>
          <w:szCs w:val="24"/>
          <w:lang w:val="es-ES" w:eastAsia="es-ES"/>
        </w:rPr>
        <w:t xml:space="preserve"> de </w:t>
      </w:r>
      <w:r w:rsidR="00E07B28" w:rsidRPr="00BB2289">
        <w:rPr>
          <w:rFonts w:ascii="Gadugi" w:eastAsia="Times New Roman" w:hAnsi="Gadugi" w:cs="Times New Roman"/>
          <w:sz w:val="24"/>
          <w:szCs w:val="24"/>
          <w:lang w:val="es-ES" w:eastAsia="es-ES"/>
        </w:rPr>
        <w:t>septiembre</w:t>
      </w:r>
      <w:r w:rsidR="003000FB" w:rsidRPr="00BB2289">
        <w:rPr>
          <w:rFonts w:ascii="Gadugi" w:eastAsia="Times New Roman" w:hAnsi="Gadugi" w:cs="Times New Roman"/>
          <w:sz w:val="24"/>
          <w:szCs w:val="24"/>
          <w:lang w:val="es-ES" w:eastAsia="es-ES"/>
        </w:rPr>
        <w:t xml:space="preserve"> del mismo año</w:t>
      </w:r>
      <w:r w:rsidR="006B1E9D" w:rsidRPr="00BB2289">
        <w:rPr>
          <w:rFonts w:ascii="Gadugi" w:eastAsia="Times New Roman" w:hAnsi="Gadugi" w:cs="Times New Roman"/>
          <w:sz w:val="24"/>
          <w:szCs w:val="24"/>
          <w:lang w:val="es-ES" w:eastAsia="es-ES"/>
        </w:rPr>
        <w:t xml:space="preserve">; como se ve, </w:t>
      </w:r>
      <w:r w:rsidR="003E5376" w:rsidRPr="00BB2289">
        <w:rPr>
          <w:rFonts w:ascii="Gadugi" w:eastAsia="Times New Roman" w:hAnsi="Gadugi" w:cs="Times New Roman"/>
          <w:sz w:val="24"/>
          <w:szCs w:val="24"/>
          <w:lang w:val="es-ES" w:eastAsia="es-ES"/>
        </w:rPr>
        <w:t xml:space="preserve">entre una y otra calenda no transcurrieron más de 6 meses, es decir, </w:t>
      </w:r>
      <w:r w:rsidR="006B1E9D" w:rsidRPr="00BB2289">
        <w:rPr>
          <w:rFonts w:ascii="Gadugi" w:eastAsia="Times New Roman" w:hAnsi="Gadugi" w:cs="Times New Roman"/>
          <w:sz w:val="24"/>
          <w:szCs w:val="24"/>
          <w:lang w:val="es-ES" w:eastAsia="es-ES"/>
        </w:rPr>
        <w:t xml:space="preserve">al amparo se acudió con </w:t>
      </w:r>
      <w:r w:rsidR="003000FB" w:rsidRPr="00BB2289">
        <w:rPr>
          <w:rFonts w:ascii="Gadugi" w:eastAsia="Times New Roman" w:hAnsi="Gadugi" w:cs="Times New Roman"/>
          <w:sz w:val="24"/>
          <w:szCs w:val="24"/>
          <w:lang w:val="es-ES" w:eastAsia="es-ES"/>
        </w:rPr>
        <w:t>perentoriedad.</w:t>
      </w:r>
      <w:r w:rsidR="006B1E9D" w:rsidRPr="00BB2289">
        <w:rPr>
          <w:rFonts w:ascii="Gadugi" w:eastAsia="Times New Roman" w:hAnsi="Gadugi" w:cs="Times New Roman"/>
          <w:sz w:val="24"/>
          <w:szCs w:val="24"/>
          <w:lang w:val="es-ES" w:eastAsia="es-ES"/>
        </w:rPr>
        <w:t xml:space="preserve"> </w:t>
      </w:r>
    </w:p>
    <w:p w14:paraId="4B535703" w14:textId="67F5D0AC" w:rsidR="003E5376" w:rsidRPr="00BB2289" w:rsidRDefault="003E5376" w:rsidP="00BB2289">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43836E7B" w14:textId="19E25628" w:rsidR="00733269" w:rsidRPr="00BB2289" w:rsidRDefault="00E07B28" w:rsidP="00BB2289">
      <w:pPr>
        <w:spacing w:after="0" w:line="276" w:lineRule="auto"/>
        <w:jc w:val="both"/>
        <w:rPr>
          <w:rFonts w:ascii="Gadugi" w:hAnsi="Gadugi" w:cs="Arial"/>
          <w:sz w:val="24"/>
          <w:szCs w:val="24"/>
          <w:lang w:val="es-419"/>
        </w:rPr>
      </w:pPr>
      <w:r w:rsidRPr="00BB2289">
        <w:rPr>
          <w:rFonts w:ascii="Gadugi" w:eastAsia="Times New Roman" w:hAnsi="Gadugi" w:cs="Times New Roman"/>
          <w:sz w:val="24"/>
          <w:szCs w:val="24"/>
          <w:lang w:val="es-ES" w:eastAsia="es-ES"/>
        </w:rPr>
        <w:tab/>
      </w:r>
      <w:r w:rsidRPr="00BB2289">
        <w:rPr>
          <w:rFonts w:ascii="Gadugi" w:eastAsia="Times New Roman" w:hAnsi="Gadugi" w:cs="Times New Roman"/>
          <w:sz w:val="24"/>
          <w:szCs w:val="24"/>
          <w:lang w:val="es-ES" w:eastAsia="es-ES"/>
        </w:rPr>
        <w:tab/>
      </w:r>
      <w:r w:rsidRPr="00BB2289">
        <w:rPr>
          <w:rFonts w:ascii="Gadugi" w:eastAsia="Times New Roman" w:hAnsi="Gadugi" w:cs="Times New Roman"/>
          <w:sz w:val="24"/>
          <w:szCs w:val="24"/>
          <w:lang w:val="es-ES" w:eastAsia="es-ES"/>
        </w:rPr>
        <w:tab/>
      </w:r>
      <w:r w:rsidRPr="00BB2289">
        <w:rPr>
          <w:rFonts w:ascii="Gadugi" w:eastAsia="Times New Roman" w:hAnsi="Gadugi" w:cs="Times New Roman"/>
          <w:sz w:val="24"/>
          <w:szCs w:val="24"/>
          <w:lang w:val="es-ES" w:eastAsia="es-ES"/>
        </w:rPr>
        <w:tab/>
      </w:r>
      <w:r w:rsidR="00925B5C" w:rsidRPr="00BB2289">
        <w:rPr>
          <w:rFonts w:ascii="Gadugi" w:eastAsia="Times New Roman" w:hAnsi="Gadugi" w:cs="Times New Roman"/>
          <w:sz w:val="24"/>
          <w:szCs w:val="24"/>
          <w:lang w:val="es-ES" w:eastAsia="es-ES"/>
        </w:rPr>
        <w:t>N</w:t>
      </w:r>
      <w:r w:rsidR="00FF6FFC" w:rsidRPr="00BB2289">
        <w:rPr>
          <w:rFonts w:ascii="Gadugi" w:eastAsia="Times New Roman" w:hAnsi="Gadugi" w:cs="Times New Roman"/>
          <w:sz w:val="24"/>
          <w:szCs w:val="24"/>
          <w:lang w:val="es-ES" w:eastAsia="es-ES"/>
        </w:rPr>
        <w:t>o sucede lo mismo con la subsidiari</w:t>
      </w:r>
      <w:r w:rsidR="0045415B" w:rsidRPr="00BB2289">
        <w:rPr>
          <w:rFonts w:ascii="Gadugi" w:eastAsia="Times New Roman" w:hAnsi="Gadugi" w:cs="Times New Roman"/>
          <w:sz w:val="24"/>
          <w:szCs w:val="24"/>
          <w:lang w:val="es-ES" w:eastAsia="es-ES"/>
        </w:rPr>
        <w:t>e</w:t>
      </w:r>
      <w:r w:rsidR="00FF6FFC" w:rsidRPr="00BB2289">
        <w:rPr>
          <w:rFonts w:ascii="Gadugi" w:eastAsia="Times New Roman" w:hAnsi="Gadugi" w:cs="Times New Roman"/>
          <w:sz w:val="24"/>
          <w:szCs w:val="24"/>
          <w:lang w:val="es-ES" w:eastAsia="es-ES"/>
        </w:rPr>
        <w:t xml:space="preserve">dad porque, como se </w:t>
      </w:r>
      <w:r w:rsidR="00733269" w:rsidRPr="00BB2289">
        <w:rPr>
          <w:rFonts w:ascii="Gadugi" w:eastAsia="Times New Roman" w:hAnsi="Gadugi" w:cs="Times New Roman"/>
          <w:sz w:val="24"/>
          <w:szCs w:val="24"/>
          <w:lang w:val="es-ES" w:eastAsia="es-ES"/>
        </w:rPr>
        <w:t>explicó en primera instancia</w:t>
      </w:r>
      <w:r w:rsidR="00FF6FFC" w:rsidRPr="00BB2289">
        <w:rPr>
          <w:rFonts w:ascii="Gadugi" w:eastAsia="Times New Roman" w:hAnsi="Gadugi" w:cs="Times New Roman"/>
          <w:sz w:val="24"/>
          <w:szCs w:val="24"/>
          <w:lang w:val="es-ES" w:eastAsia="es-ES"/>
        </w:rPr>
        <w:t xml:space="preserve">, </w:t>
      </w:r>
      <w:r w:rsidR="00733269" w:rsidRPr="00BB2289">
        <w:rPr>
          <w:rFonts w:ascii="Gadugi" w:eastAsia="Times New Roman" w:hAnsi="Gadugi" w:cs="Times New Roman"/>
          <w:sz w:val="24"/>
          <w:szCs w:val="24"/>
          <w:lang w:val="es-ES" w:eastAsia="es-ES"/>
        </w:rPr>
        <w:t>tratándose</w:t>
      </w:r>
      <w:r w:rsidR="00733269" w:rsidRPr="00BB2289">
        <w:rPr>
          <w:rFonts w:ascii="Gadugi" w:hAnsi="Gadugi" w:cs="Arial"/>
          <w:sz w:val="24"/>
          <w:szCs w:val="24"/>
          <w:lang w:val="es-419"/>
        </w:rPr>
        <w:t xml:space="preserve"> de prestaciones laborales, incluida la pensión, la regla general es que es inviable acudir a esta especial acción para su reconocimiento, pues para ese efecto, debe acudirse a los jueces laborales, instituidos para dirimir ese tipo de controversias. Aunque también ha sido aclarado por la jurisprudencia que, en ciertos casos, particularmente cuando se trate de sujetos de especial protección, puede recurrirse directamente a la vía constitucional, en garantía de sus derechos fundamentales</w:t>
      </w:r>
      <w:r w:rsidR="00925B5C" w:rsidRPr="00BB2289">
        <w:rPr>
          <w:rFonts w:ascii="Gadugi" w:hAnsi="Gadugi" w:cs="Arial"/>
          <w:sz w:val="24"/>
          <w:szCs w:val="24"/>
          <w:lang w:val="es-419"/>
        </w:rPr>
        <w:t xml:space="preserve">, y que, de acreditarse un perjuicio irremediable, el amparo procedería de manera transitoria. </w:t>
      </w:r>
      <w:r w:rsidR="00733269" w:rsidRPr="00BB2289">
        <w:rPr>
          <w:rFonts w:ascii="Gadugi" w:hAnsi="Gadugi" w:cs="Arial"/>
          <w:sz w:val="24"/>
          <w:szCs w:val="24"/>
          <w:lang w:val="es-419"/>
        </w:rPr>
        <w:t xml:space="preserve">  </w:t>
      </w:r>
    </w:p>
    <w:p w14:paraId="5A102B50" w14:textId="695080A3" w:rsidR="00733269" w:rsidRPr="00BB2289" w:rsidRDefault="00733269" w:rsidP="00BB2289">
      <w:pPr>
        <w:spacing w:after="0" w:line="276" w:lineRule="auto"/>
        <w:jc w:val="both"/>
        <w:rPr>
          <w:rFonts w:ascii="Gadugi" w:hAnsi="Gadugi" w:cs="Arial"/>
          <w:sz w:val="24"/>
          <w:szCs w:val="24"/>
          <w:lang w:val="es-419"/>
        </w:rPr>
      </w:pPr>
    </w:p>
    <w:p w14:paraId="5063CB53" w14:textId="36E60AE4" w:rsidR="00925B5C" w:rsidRPr="00BB2289" w:rsidRDefault="00925B5C" w:rsidP="00BB2289">
      <w:pPr>
        <w:spacing w:after="0" w:line="276" w:lineRule="auto"/>
        <w:jc w:val="both"/>
        <w:rPr>
          <w:rFonts w:ascii="Gadugi" w:hAnsi="Gadugi" w:cs="Arial"/>
          <w:sz w:val="24"/>
          <w:szCs w:val="24"/>
          <w:lang w:val="es-419"/>
        </w:rPr>
      </w:pPr>
      <w:r w:rsidRPr="00BB2289">
        <w:rPr>
          <w:rFonts w:ascii="Gadugi" w:hAnsi="Gadugi" w:cs="Arial"/>
          <w:sz w:val="24"/>
          <w:szCs w:val="24"/>
          <w:lang w:val="es-419"/>
        </w:rPr>
        <w:tab/>
      </w:r>
      <w:r w:rsidRPr="00BB2289">
        <w:rPr>
          <w:rFonts w:ascii="Gadugi" w:hAnsi="Gadugi" w:cs="Arial"/>
          <w:sz w:val="24"/>
          <w:szCs w:val="24"/>
          <w:lang w:val="es-419"/>
        </w:rPr>
        <w:tab/>
      </w:r>
      <w:r w:rsidRPr="00BB2289">
        <w:rPr>
          <w:rFonts w:ascii="Gadugi" w:hAnsi="Gadugi" w:cs="Arial"/>
          <w:sz w:val="24"/>
          <w:szCs w:val="24"/>
          <w:lang w:val="es-419"/>
        </w:rPr>
        <w:tab/>
      </w:r>
      <w:r w:rsidRPr="00BB2289">
        <w:rPr>
          <w:rFonts w:ascii="Gadugi" w:hAnsi="Gadugi" w:cs="Arial"/>
          <w:sz w:val="24"/>
          <w:szCs w:val="24"/>
          <w:lang w:val="es-419"/>
        </w:rPr>
        <w:tab/>
        <w:t>Sin embargo, en el caso concreto, ni la falta de empleo, por s</w:t>
      </w:r>
      <w:r w:rsidR="002618EB" w:rsidRPr="00BB2289">
        <w:rPr>
          <w:rFonts w:ascii="Gadugi" w:hAnsi="Gadugi" w:cs="Arial"/>
          <w:sz w:val="24"/>
          <w:szCs w:val="24"/>
          <w:lang w:val="es-419"/>
        </w:rPr>
        <w:t>í</w:t>
      </w:r>
      <w:r w:rsidRPr="00BB2289">
        <w:rPr>
          <w:rFonts w:ascii="Gadugi" w:hAnsi="Gadugi" w:cs="Arial"/>
          <w:sz w:val="24"/>
          <w:szCs w:val="24"/>
          <w:lang w:val="es-419"/>
        </w:rPr>
        <w:t xml:space="preserve"> sola, constituye un perjuicio irremediable, ni la edad de la accionante, sin más, la hace una persona de especial protección constitucional. </w:t>
      </w:r>
    </w:p>
    <w:p w14:paraId="621314A7" w14:textId="110C3645" w:rsidR="00DD425F" w:rsidRPr="00BB2289" w:rsidRDefault="00DD425F" w:rsidP="00BB2289">
      <w:pPr>
        <w:spacing w:after="0" w:line="276" w:lineRule="auto"/>
        <w:jc w:val="both"/>
        <w:rPr>
          <w:rFonts w:ascii="Gadugi" w:hAnsi="Gadugi" w:cs="Arial"/>
          <w:sz w:val="24"/>
          <w:szCs w:val="24"/>
          <w:lang w:val="es-419"/>
        </w:rPr>
      </w:pPr>
    </w:p>
    <w:p w14:paraId="1C8AADB7" w14:textId="074AF276" w:rsidR="00DD425F" w:rsidRPr="00BB2289" w:rsidRDefault="00DD425F" w:rsidP="00BB2289">
      <w:pPr>
        <w:spacing w:after="0" w:line="276" w:lineRule="auto"/>
        <w:jc w:val="both"/>
        <w:rPr>
          <w:rFonts w:ascii="Gadugi" w:hAnsi="Gadugi" w:cs="Arial"/>
          <w:sz w:val="24"/>
          <w:szCs w:val="24"/>
          <w:lang w:val="es-419"/>
        </w:rPr>
      </w:pPr>
      <w:r w:rsidRPr="00BB2289">
        <w:rPr>
          <w:rFonts w:ascii="Gadugi" w:hAnsi="Gadugi" w:cs="Arial"/>
          <w:sz w:val="24"/>
          <w:szCs w:val="24"/>
          <w:lang w:val="es-419"/>
        </w:rPr>
        <w:tab/>
      </w:r>
      <w:r w:rsidRPr="00BB2289">
        <w:rPr>
          <w:rFonts w:ascii="Gadugi" w:hAnsi="Gadugi" w:cs="Arial"/>
          <w:sz w:val="24"/>
          <w:szCs w:val="24"/>
          <w:lang w:val="es-419"/>
        </w:rPr>
        <w:tab/>
      </w:r>
      <w:r w:rsidRPr="00BB2289">
        <w:rPr>
          <w:rFonts w:ascii="Gadugi" w:hAnsi="Gadugi" w:cs="Arial"/>
          <w:sz w:val="24"/>
          <w:szCs w:val="24"/>
          <w:lang w:val="es-419"/>
        </w:rPr>
        <w:tab/>
      </w:r>
      <w:r w:rsidRPr="00BB2289">
        <w:rPr>
          <w:rFonts w:ascii="Gadugi" w:hAnsi="Gadugi" w:cs="Arial"/>
          <w:sz w:val="24"/>
          <w:szCs w:val="24"/>
          <w:lang w:val="es-419"/>
        </w:rPr>
        <w:tab/>
        <w:t>Sobre lo primero, vale la pena destacar lo que otra Sala de Decisión de esta Corporación, en un asunto de similares matices, explicó sobre la procedencia de la acción de tutela</w:t>
      </w:r>
      <w:r w:rsidR="004A67F2" w:rsidRPr="00BB2289">
        <w:rPr>
          <w:rStyle w:val="Refdenotaalpie"/>
          <w:rFonts w:ascii="Gadugi" w:hAnsi="Gadugi"/>
          <w:sz w:val="24"/>
          <w:szCs w:val="24"/>
          <w:lang w:val="es-419"/>
        </w:rPr>
        <w:footnoteReference w:id="9"/>
      </w:r>
      <w:r w:rsidRPr="00BB2289">
        <w:rPr>
          <w:rFonts w:ascii="Gadugi" w:hAnsi="Gadugi" w:cs="Arial"/>
          <w:sz w:val="24"/>
          <w:szCs w:val="24"/>
          <w:lang w:val="es-419"/>
        </w:rPr>
        <w:t>:</w:t>
      </w:r>
    </w:p>
    <w:p w14:paraId="1A11477B" w14:textId="0E4C0E66" w:rsidR="00DD425F" w:rsidRPr="00BB2289" w:rsidRDefault="00DD425F" w:rsidP="00BB2289">
      <w:pPr>
        <w:spacing w:after="0" w:line="276" w:lineRule="auto"/>
        <w:jc w:val="both"/>
        <w:rPr>
          <w:rFonts w:ascii="Gadugi" w:hAnsi="Gadugi" w:cs="Arial"/>
          <w:sz w:val="24"/>
          <w:szCs w:val="24"/>
          <w:lang w:val="es-419"/>
        </w:rPr>
      </w:pPr>
      <w:r w:rsidRPr="00BB2289">
        <w:rPr>
          <w:rFonts w:ascii="Gadugi" w:hAnsi="Gadugi" w:cs="Arial"/>
          <w:sz w:val="24"/>
          <w:szCs w:val="24"/>
          <w:lang w:val="es-419"/>
        </w:rPr>
        <w:tab/>
      </w:r>
      <w:r w:rsidRPr="00BB2289">
        <w:rPr>
          <w:rFonts w:ascii="Gadugi" w:hAnsi="Gadugi" w:cs="Arial"/>
          <w:sz w:val="24"/>
          <w:szCs w:val="24"/>
          <w:lang w:val="es-419"/>
        </w:rPr>
        <w:tab/>
      </w:r>
      <w:r w:rsidRPr="00BB2289">
        <w:rPr>
          <w:rFonts w:ascii="Gadugi" w:hAnsi="Gadugi" w:cs="Arial"/>
          <w:sz w:val="24"/>
          <w:szCs w:val="24"/>
          <w:lang w:val="es-419"/>
        </w:rPr>
        <w:tab/>
      </w:r>
      <w:r w:rsidRPr="00BB2289">
        <w:rPr>
          <w:rFonts w:ascii="Gadugi" w:hAnsi="Gadugi" w:cs="Arial"/>
          <w:sz w:val="24"/>
          <w:szCs w:val="24"/>
          <w:lang w:val="es-419"/>
        </w:rPr>
        <w:tab/>
      </w:r>
    </w:p>
    <w:p w14:paraId="10DD5C19" w14:textId="16D124D1" w:rsidR="00DD425F" w:rsidRPr="00100B65" w:rsidRDefault="00DD425F" w:rsidP="00100B65">
      <w:pPr>
        <w:pStyle w:val="Sinespaciado"/>
        <w:ind w:left="426" w:right="420"/>
        <w:jc w:val="both"/>
        <w:rPr>
          <w:rFonts w:ascii="Gadugi" w:hAnsi="Gadugi"/>
          <w:szCs w:val="24"/>
        </w:rPr>
      </w:pPr>
      <w:r w:rsidRPr="00100B65">
        <w:rPr>
          <w:rFonts w:ascii="Gadugi" w:hAnsi="Gadugi" w:cs="Arial"/>
          <w:szCs w:val="24"/>
          <w:lang w:val="es-419"/>
        </w:rPr>
        <w:tab/>
      </w:r>
      <w:r w:rsidRPr="00100B65">
        <w:rPr>
          <w:rFonts w:ascii="Gadugi" w:hAnsi="Gadugi" w:cs="Arial"/>
          <w:szCs w:val="24"/>
          <w:lang w:val="es-419"/>
        </w:rPr>
        <w:tab/>
      </w:r>
      <w:r w:rsidRPr="00100B65">
        <w:rPr>
          <w:rFonts w:ascii="Gadugi" w:hAnsi="Gadugi" w:cs="Arial"/>
          <w:szCs w:val="24"/>
          <w:lang w:val="es-419"/>
        </w:rPr>
        <w:tab/>
      </w:r>
      <w:r w:rsidRPr="00100B65">
        <w:rPr>
          <w:rFonts w:ascii="Gadugi" w:hAnsi="Gadugi" w:cs="Arial"/>
          <w:szCs w:val="24"/>
          <w:lang w:val="es-419"/>
        </w:rPr>
        <w:tab/>
      </w:r>
      <w:r w:rsidRPr="00100B65">
        <w:rPr>
          <w:rFonts w:ascii="Gadugi" w:hAnsi="Gadugi"/>
          <w:szCs w:val="24"/>
        </w:rPr>
        <w:t>También procederá de manera transitoria para prevenir un perjuicio irremediable, cuando se demuestra por el actor que aun cuando el mecanismo ordinario es idóneo y eficaz, se enfrenta a un perjuicio grave e inminente, que hace impostergable la intervención del juez de tutela ante la urgencia de adoptar las medidas conducentes para su superación</w:t>
      </w:r>
      <w:r w:rsidRPr="00100B65">
        <w:rPr>
          <w:rFonts w:ascii="Gadugi" w:hAnsi="Gadugi" w:cs="Arial"/>
          <w:szCs w:val="24"/>
          <w:vertAlign w:val="superscript"/>
        </w:rPr>
        <w:footnoteReference w:id="10"/>
      </w:r>
      <w:r w:rsidRPr="00100B65">
        <w:rPr>
          <w:rFonts w:ascii="Gadugi" w:hAnsi="Gadugi"/>
          <w:szCs w:val="24"/>
        </w:rPr>
        <w:t xml:space="preserve">. </w:t>
      </w:r>
    </w:p>
    <w:p w14:paraId="707E1D85" w14:textId="313F6EFA" w:rsidR="00DD425F" w:rsidRPr="00100B65" w:rsidRDefault="00DD425F" w:rsidP="00100B65">
      <w:pPr>
        <w:pStyle w:val="Sinespaciado"/>
        <w:ind w:left="426" w:right="420"/>
        <w:jc w:val="both"/>
        <w:rPr>
          <w:rFonts w:ascii="Gadugi" w:hAnsi="Gadugi"/>
          <w:szCs w:val="24"/>
        </w:rPr>
      </w:pPr>
    </w:p>
    <w:p w14:paraId="2E50F62D" w14:textId="56762624" w:rsidR="00DD425F" w:rsidRPr="00100B65" w:rsidRDefault="00DD425F" w:rsidP="00100B65">
      <w:pPr>
        <w:pStyle w:val="Sinespaciado"/>
        <w:ind w:left="426" w:right="420"/>
        <w:jc w:val="both"/>
        <w:rPr>
          <w:rFonts w:ascii="Gadugi" w:hAnsi="Gadugi"/>
          <w:szCs w:val="24"/>
        </w:rPr>
      </w:pPr>
      <w:r w:rsidRPr="00100B65">
        <w:rPr>
          <w:rFonts w:ascii="Gadugi" w:hAnsi="Gadugi"/>
          <w:szCs w:val="24"/>
        </w:rPr>
        <w:tab/>
      </w:r>
      <w:r w:rsidRPr="00100B65">
        <w:rPr>
          <w:rFonts w:ascii="Gadugi" w:hAnsi="Gadugi"/>
          <w:szCs w:val="24"/>
        </w:rPr>
        <w:tab/>
      </w:r>
      <w:r w:rsidRPr="00100B65">
        <w:rPr>
          <w:rFonts w:ascii="Gadugi" w:hAnsi="Gadugi"/>
          <w:szCs w:val="24"/>
        </w:rPr>
        <w:tab/>
      </w:r>
      <w:r w:rsidRPr="00100B65">
        <w:rPr>
          <w:rFonts w:ascii="Gadugi" w:hAnsi="Gadugi"/>
          <w:szCs w:val="24"/>
        </w:rPr>
        <w:tab/>
      </w:r>
      <w:r w:rsidRPr="00100B65">
        <w:rPr>
          <w:rFonts w:ascii="Gadugi" w:hAnsi="Gadugi"/>
          <w:b/>
          <w:szCs w:val="24"/>
        </w:rPr>
        <w:t>Cuando lo que se alega como perjuicio irremediable es la afectación del mínimo vital, la jurisprudencia de la Corte Constitucional ha enseñado que si bien en casos excepcionales es posible presumir su afectación, en general quien alega una vulneración de este derecho como consecuencia de la falta de pago de alguna acreencia laboral o pensional, debe acompañar su afirmación de alguna prueba, al menos sumaria, pues la informalidad de la acción de tutela no exonera al actor de probar, aunque sea de manera sumaria, los hechos en los que basa sus pretensiones</w:t>
      </w:r>
      <w:r w:rsidRPr="00100B65">
        <w:rPr>
          <w:rFonts w:ascii="Gadugi" w:hAnsi="Gadugi"/>
          <w:szCs w:val="24"/>
        </w:rPr>
        <w:t xml:space="preserve">. </w:t>
      </w:r>
      <w:r w:rsidRPr="00100B65">
        <w:rPr>
          <w:rFonts w:ascii="Gadugi" w:hAnsi="Gadugi"/>
          <w:b/>
          <w:szCs w:val="24"/>
        </w:rPr>
        <w:t>(Sentencia T-007 de 2009).</w:t>
      </w:r>
      <w:r w:rsidRPr="00100B65">
        <w:rPr>
          <w:rFonts w:ascii="Gadugi" w:hAnsi="Gadugi"/>
          <w:szCs w:val="24"/>
        </w:rPr>
        <w:t xml:space="preserve"> (Destaca </w:t>
      </w:r>
      <w:r w:rsidRPr="00100B65">
        <w:rPr>
          <w:rFonts w:ascii="Gadugi" w:hAnsi="Gadugi"/>
          <w:szCs w:val="24"/>
        </w:rPr>
        <w:lastRenderedPageBreak/>
        <w:t>la Sala).</w:t>
      </w:r>
    </w:p>
    <w:p w14:paraId="45983902" w14:textId="37239DB4" w:rsidR="00DD425F" w:rsidRPr="00BB2289" w:rsidRDefault="00DD425F" w:rsidP="00BB2289">
      <w:pPr>
        <w:spacing w:after="0" w:line="276" w:lineRule="auto"/>
        <w:jc w:val="both"/>
        <w:rPr>
          <w:rFonts w:ascii="Gadugi" w:hAnsi="Gadugi" w:cs="Arial"/>
          <w:sz w:val="24"/>
          <w:szCs w:val="24"/>
          <w:lang w:val="es-419"/>
        </w:rPr>
      </w:pPr>
    </w:p>
    <w:p w14:paraId="6C65D4E2" w14:textId="3962C06A" w:rsidR="00DD425F" w:rsidRPr="00BB2289" w:rsidRDefault="00DD425F" w:rsidP="00BB2289">
      <w:pPr>
        <w:spacing w:after="0" w:line="276" w:lineRule="auto"/>
        <w:jc w:val="both"/>
        <w:rPr>
          <w:rFonts w:ascii="Gadugi" w:hAnsi="Gadugi" w:cs="Arial"/>
          <w:sz w:val="24"/>
          <w:szCs w:val="24"/>
          <w:lang w:val="es-419"/>
        </w:rPr>
      </w:pPr>
      <w:r w:rsidRPr="00BB2289">
        <w:rPr>
          <w:rFonts w:ascii="Gadugi" w:hAnsi="Gadugi" w:cs="Arial"/>
          <w:sz w:val="24"/>
          <w:szCs w:val="24"/>
          <w:lang w:val="es-419"/>
        </w:rPr>
        <w:tab/>
      </w:r>
      <w:r w:rsidRPr="00BB2289">
        <w:rPr>
          <w:rFonts w:ascii="Gadugi" w:hAnsi="Gadugi" w:cs="Arial"/>
          <w:sz w:val="24"/>
          <w:szCs w:val="24"/>
          <w:lang w:val="es-419"/>
        </w:rPr>
        <w:tab/>
      </w:r>
      <w:r w:rsidRPr="00BB2289">
        <w:rPr>
          <w:rFonts w:ascii="Gadugi" w:hAnsi="Gadugi" w:cs="Arial"/>
          <w:sz w:val="24"/>
          <w:szCs w:val="24"/>
          <w:lang w:val="es-419"/>
        </w:rPr>
        <w:tab/>
      </w:r>
      <w:r w:rsidRPr="00BB2289">
        <w:rPr>
          <w:rFonts w:ascii="Gadugi" w:hAnsi="Gadugi" w:cs="Arial"/>
          <w:sz w:val="24"/>
          <w:szCs w:val="24"/>
          <w:lang w:val="es-419"/>
        </w:rPr>
        <w:tab/>
        <w:t xml:space="preserve">Según lo que acaba de resaltarse, </w:t>
      </w:r>
      <w:r w:rsidR="00F63DC6" w:rsidRPr="00BB2289">
        <w:rPr>
          <w:rFonts w:ascii="Gadugi" w:hAnsi="Gadugi" w:cs="Arial"/>
          <w:sz w:val="24"/>
          <w:szCs w:val="24"/>
          <w:lang w:val="es-419"/>
        </w:rPr>
        <w:t xml:space="preserve">no basta con mencionar que se está ante un perjuicio irremediable, tal circunstancia debe explicarse y demostrarse para que sea posible valorar si </w:t>
      </w:r>
      <w:r w:rsidR="00F63DC6" w:rsidRPr="00BB2289">
        <w:rPr>
          <w:rFonts w:ascii="Gadugi" w:hAnsi="Gadugi" w:cs="Arial"/>
          <w:i/>
          <w:sz w:val="24"/>
          <w:szCs w:val="24"/>
          <w:lang w:val="es-419"/>
        </w:rPr>
        <w:t>“</w:t>
      </w:r>
      <w:r w:rsidR="00F63DC6" w:rsidRPr="00100B65">
        <w:rPr>
          <w:rFonts w:ascii="Gadugi" w:hAnsi="Gadugi" w:cs="Arial"/>
          <w:i/>
          <w:szCs w:val="24"/>
          <w:lang w:val="es-419"/>
        </w:rPr>
        <w:t>(…) el peligro que se cierne sobre el derecho fundamental es de tal magnitud que afecta con inminencia y de manera grave su subsistencia, requiriendo por tanto de medidas impostergables que lo neutralicen</w:t>
      </w:r>
      <w:r w:rsidR="00F63DC6" w:rsidRPr="00BB2289">
        <w:rPr>
          <w:rFonts w:ascii="Gadugi" w:hAnsi="Gadugi" w:cs="Arial"/>
          <w:i/>
          <w:sz w:val="24"/>
          <w:szCs w:val="24"/>
          <w:lang w:val="es-419"/>
        </w:rPr>
        <w:t>.”</w:t>
      </w:r>
      <w:r w:rsidR="00F63DC6" w:rsidRPr="00BB2289">
        <w:rPr>
          <w:rStyle w:val="Refdenotaalpie"/>
          <w:rFonts w:ascii="Gadugi" w:hAnsi="Gadugi"/>
          <w:i/>
          <w:sz w:val="24"/>
          <w:szCs w:val="24"/>
          <w:lang w:val="es-419"/>
        </w:rPr>
        <w:footnoteReference w:id="11"/>
      </w:r>
    </w:p>
    <w:p w14:paraId="381EDD3B" w14:textId="5177683E" w:rsidR="00925B5C" w:rsidRPr="00BB2289" w:rsidRDefault="00925B5C" w:rsidP="00BB2289">
      <w:pPr>
        <w:spacing w:after="0" w:line="276" w:lineRule="auto"/>
        <w:jc w:val="both"/>
        <w:rPr>
          <w:rFonts w:ascii="Gadugi" w:hAnsi="Gadugi" w:cs="Arial"/>
          <w:sz w:val="24"/>
          <w:szCs w:val="24"/>
          <w:lang w:val="es-419"/>
        </w:rPr>
      </w:pPr>
    </w:p>
    <w:p w14:paraId="1A2EF364" w14:textId="05059744" w:rsidR="00F63DC6" w:rsidRPr="00BB2289" w:rsidRDefault="005F6254" w:rsidP="00BB2289">
      <w:pPr>
        <w:pStyle w:val="Sinespaciado1"/>
        <w:spacing w:line="276" w:lineRule="auto"/>
        <w:ind w:firstLine="2835"/>
        <w:jc w:val="both"/>
        <w:rPr>
          <w:rFonts w:ascii="Gadugi" w:eastAsia="Calibri" w:hAnsi="Gadugi" w:cs="Arial"/>
          <w:sz w:val="24"/>
          <w:szCs w:val="24"/>
          <w:lang w:eastAsia="es-CO"/>
        </w:rPr>
      </w:pPr>
      <w:r w:rsidRPr="00BB2289">
        <w:rPr>
          <w:rFonts w:ascii="Gadugi" w:eastAsia="Calibri" w:hAnsi="Gadugi" w:cs="Arial"/>
          <w:sz w:val="24"/>
          <w:szCs w:val="24"/>
          <w:lang w:val="es-419" w:eastAsia="es-CO"/>
        </w:rPr>
        <w:t>Tampoco se</w:t>
      </w:r>
      <w:r w:rsidR="00F63DC6" w:rsidRPr="00BB2289">
        <w:rPr>
          <w:rFonts w:ascii="Gadugi" w:eastAsia="Calibri" w:hAnsi="Gadugi" w:cs="Arial"/>
          <w:sz w:val="24"/>
          <w:szCs w:val="24"/>
          <w:lang w:val="es-419" w:eastAsia="es-CO"/>
        </w:rPr>
        <w:t xml:space="preserve"> </w:t>
      </w:r>
      <w:r w:rsidRPr="00BB2289">
        <w:rPr>
          <w:rFonts w:ascii="Gadugi" w:eastAsia="Calibri" w:hAnsi="Gadugi" w:cs="Arial"/>
          <w:sz w:val="24"/>
          <w:szCs w:val="24"/>
          <w:lang w:val="es-419" w:eastAsia="es-CO"/>
        </w:rPr>
        <w:t>anunció</w:t>
      </w:r>
      <w:r w:rsidR="00F63DC6" w:rsidRPr="00BB2289">
        <w:rPr>
          <w:rFonts w:ascii="Gadugi" w:eastAsia="Calibri" w:hAnsi="Gadugi" w:cs="Arial"/>
          <w:sz w:val="24"/>
          <w:szCs w:val="24"/>
          <w:lang w:eastAsia="es-CO"/>
        </w:rPr>
        <w:t xml:space="preserve">, </w:t>
      </w:r>
      <w:r w:rsidRPr="00BB2289">
        <w:rPr>
          <w:rFonts w:ascii="Gadugi" w:eastAsia="Calibri" w:hAnsi="Gadugi" w:cs="Arial"/>
          <w:sz w:val="24"/>
          <w:szCs w:val="24"/>
          <w:lang w:val="es-419" w:eastAsia="es-CO"/>
        </w:rPr>
        <w:t>y menos se demostró</w:t>
      </w:r>
      <w:r w:rsidR="00F63DC6" w:rsidRPr="00BB2289">
        <w:rPr>
          <w:rFonts w:ascii="Gadugi" w:eastAsia="Calibri" w:hAnsi="Gadugi" w:cs="Arial"/>
          <w:sz w:val="24"/>
          <w:szCs w:val="24"/>
          <w:lang w:eastAsia="es-CO"/>
        </w:rPr>
        <w:t xml:space="preserve"> que </w:t>
      </w:r>
      <w:r w:rsidRPr="00BB2289">
        <w:rPr>
          <w:rFonts w:ascii="Gadugi" w:eastAsia="Calibri" w:hAnsi="Gadugi" w:cs="Arial"/>
          <w:sz w:val="24"/>
          <w:szCs w:val="24"/>
          <w:lang w:eastAsia="es-CO"/>
        </w:rPr>
        <w:t xml:space="preserve">la accionante </w:t>
      </w:r>
      <w:r w:rsidR="00F63DC6" w:rsidRPr="00BB2289">
        <w:rPr>
          <w:rFonts w:ascii="Gadugi" w:eastAsia="Calibri" w:hAnsi="Gadugi" w:cs="Arial"/>
          <w:sz w:val="24"/>
          <w:szCs w:val="24"/>
          <w:lang w:eastAsia="es-CO"/>
        </w:rPr>
        <w:t xml:space="preserve">atravesara </w:t>
      </w:r>
      <w:r w:rsidRPr="00BB2289">
        <w:rPr>
          <w:rFonts w:ascii="Gadugi" w:eastAsia="Calibri" w:hAnsi="Gadugi" w:cs="Arial"/>
          <w:sz w:val="24"/>
          <w:szCs w:val="24"/>
          <w:lang w:eastAsia="es-CO"/>
        </w:rPr>
        <w:t>dificultades</w:t>
      </w:r>
      <w:r w:rsidR="00F63DC6" w:rsidRPr="00BB2289">
        <w:rPr>
          <w:rFonts w:ascii="Gadugi" w:eastAsia="Calibri" w:hAnsi="Gadugi" w:cs="Arial"/>
          <w:sz w:val="24"/>
          <w:szCs w:val="24"/>
          <w:lang w:eastAsia="es-CO"/>
        </w:rPr>
        <w:t xml:space="preserve"> de salud, para obtener un rango de análisis que permitiera concluir que, en efecto, no </w:t>
      </w:r>
      <w:r w:rsidRPr="00BB2289">
        <w:rPr>
          <w:rFonts w:ascii="Gadugi" w:eastAsia="Calibri" w:hAnsi="Gadugi" w:cs="Arial"/>
          <w:sz w:val="24"/>
          <w:szCs w:val="24"/>
          <w:lang w:eastAsia="es-CO"/>
        </w:rPr>
        <w:t xml:space="preserve">hay margen de espera. </w:t>
      </w:r>
    </w:p>
    <w:p w14:paraId="0DE6271E" w14:textId="77777777" w:rsidR="00F63DC6" w:rsidRPr="00BB2289" w:rsidRDefault="00F63DC6" w:rsidP="00BB2289">
      <w:pPr>
        <w:spacing w:after="0" w:line="276" w:lineRule="auto"/>
        <w:jc w:val="both"/>
        <w:rPr>
          <w:rFonts w:ascii="Gadugi" w:hAnsi="Gadugi" w:cs="Arial"/>
          <w:sz w:val="24"/>
          <w:szCs w:val="24"/>
          <w:lang w:val="es-419"/>
        </w:rPr>
      </w:pPr>
    </w:p>
    <w:p w14:paraId="25E42143" w14:textId="2FCEDAAB" w:rsidR="00F63DC6" w:rsidRPr="00BB2289" w:rsidRDefault="00925B5C" w:rsidP="00BB2289">
      <w:pPr>
        <w:spacing w:after="0" w:line="276" w:lineRule="auto"/>
        <w:jc w:val="both"/>
        <w:rPr>
          <w:rFonts w:ascii="Gadugi" w:hAnsi="Gadugi" w:cs="Arial"/>
          <w:sz w:val="24"/>
          <w:szCs w:val="24"/>
        </w:rPr>
      </w:pPr>
      <w:r w:rsidRPr="00BB2289">
        <w:rPr>
          <w:rFonts w:ascii="Gadugi" w:hAnsi="Gadugi" w:cs="Arial"/>
          <w:sz w:val="24"/>
          <w:szCs w:val="24"/>
          <w:lang w:val="es-419"/>
        </w:rPr>
        <w:tab/>
      </w:r>
      <w:r w:rsidRPr="00BB2289">
        <w:rPr>
          <w:rFonts w:ascii="Gadugi" w:hAnsi="Gadugi" w:cs="Arial"/>
          <w:sz w:val="24"/>
          <w:szCs w:val="24"/>
          <w:lang w:val="es-419"/>
        </w:rPr>
        <w:tab/>
      </w:r>
      <w:r w:rsidRPr="00BB2289">
        <w:rPr>
          <w:rFonts w:ascii="Gadugi" w:hAnsi="Gadugi" w:cs="Arial"/>
          <w:sz w:val="24"/>
          <w:szCs w:val="24"/>
          <w:lang w:val="es-419"/>
        </w:rPr>
        <w:tab/>
      </w:r>
      <w:r w:rsidRPr="00BB2289">
        <w:rPr>
          <w:rFonts w:ascii="Gadugi" w:hAnsi="Gadugi" w:cs="Arial"/>
          <w:sz w:val="24"/>
          <w:szCs w:val="24"/>
          <w:lang w:val="es-419"/>
        </w:rPr>
        <w:tab/>
      </w:r>
      <w:r w:rsidR="005F6254" w:rsidRPr="00BB2289">
        <w:rPr>
          <w:rFonts w:ascii="Gadugi" w:hAnsi="Gadugi" w:cs="Arial"/>
          <w:sz w:val="24"/>
          <w:szCs w:val="24"/>
          <w:lang w:val="es-419"/>
        </w:rPr>
        <w:t>Por otra parte</w:t>
      </w:r>
      <w:r w:rsidR="00F63DC6" w:rsidRPr="00BB2289">
        <w:rPr>
          <w:rFonts w:ascii="Gadugi" w:hAnsi="Gadugi" w:cs="Arial"/>
          <w:sz w:val="24"/>
          <w:szCs w:val="24"/>
          <w:lang w:val="es-419"/>
        </w:rPr>
        <w:t xml:space="preserve">, sobre el segundo aspecto, la edad de la accionante, con base en la cual se atribuye la calidad de persona de especial protección constitucional, </w:t>
      </w:r>
      <w:r w:rsidR="00F63DC6" w:rsidRPr="00BB2289">
        <w:rPr>
          <w:rFonts w:ascii="Gadugi" w:hAnsi="Gadugi" w:cs="Arial"/>
          <w:sz w:val="24"/>
          <w:szCs w:val="24"/>
        </w:rPr>
        <w:t>debe decirse que si bien el ella es un adulto mayor</w:t>
      </w:r>
      <w:r w:rsidR="00F63DC6" w:rsidRPr="00BB2289">
        <w:rPr>
          <w:rStyle w:val="Refdenotaalpie"/>
          <w:rFonts w:ascii="Gadugi" w:hAnsi="Gadugi"/>
          <w:sz w:val="24"/>
          <w:szCs w:val="24"/>
        </w:rPr>
        <w:footnoteReference w:id="12"/>
      </w:r>
      <w:r w:rsidR="00F63DC6" w:rsidRPr="00BB2289">
        <w:rPr>
          <w:rFonts w:ascii="Gadugi" w:hAnsi="Gadugi" w:cs="Arial"/>
          <w:sz w:val="24"/>
          <w:szCs w:val="24"/>
        </w:rPr>
        <w:t xml:space="preserve">, pues cuenta con 66 años de edad, lo cierto es que no exhibe condiciones particulares de extrema vulnerabilidad que requieran una especial atención por parte del juez constitucional, solo recuérdese que la Corte Constitucional ha dicho </w:t>
      </w:r>
      <w:r w:rsidR="00F63DC6" w:rsidRPr="00BB2289">
        <w:rPr>
          <w:rFonts w:ascii="Gadugi" w:hAnsi="Gadugi" w:cs="Arial"/>
          <w:sz w:val="24"/>
          <w:szCs w:val="24"/>
        </w:rPr>
        <w:tab/>
        <w:t xml:space="preserve">que </w:t>
      </w:r>
      <w:r w:rsidR="00F63DC6" w:rsidRPr="00BB2289">
        <w:rPr>
          <w:rFonts w:ascii="Gadugi" w:hAnsi="Gadugi" w:cs="Arial"/>
          <w:i/>
          <w:sz w:val="24"/>
          <w:szCs w:val="24"/>
        </w:rPr>
        <w:t>“</w:t>
      </w:r>
      <w:r w:rsidR="00F63DC6" w:rsidRPr="00100B65">
        <w:rPr>
          <w:rFonts w:ascii="Gadugi" w:hAnsi="Gadugi" w:cs="Arial"/>
          <w:i/>
          <w:szCs w:val="24"/>
        </w:rPr>
        <w:t>(…) De considerarse que todos los adultos mayores requieren una especial protección constitucional y un análisis más flexible en relación con el principio de subsidiariedad, sería necesario concluir que todas las peticiones de vejez que ellos hagan a través de la acción de tutela son procedentes</w:t>
      </w:r>
      <w:r w:rsidR="00F63DC6" w:rsidRPr="00BB2289">
        <w:rPr>
          <w:rFonts w:ascii="Gadugi" w:hAnsi="Gadugi" w:cs="Arial"/>
          <w:i/>
          <w:sz w:val="24"/>
          <w:szCs w:val="24"/>
        </w:rPr>
        <w:t>”</w:t>
      </w:r>
      <w:r w:rsidR="00F63DC6" w:rsidRPr="00BB2289">
        <w:rPr>
          <w:rStyle w:val="Refdenotaalpie"/>
          <w:rFonts w:ascii="Gadugi" w:hAnsi="Gadugi"/>
          <w:i/>
          <w:sz w:val="24"/>
          <w:szCs w:val="24"/>
        </w:rPr>
        <w:footnoteReference w:id="13"/>
      </w:r>
      <w:r w:rsidR="00F63DC6" w:rsidRPr="00BB2289">
        <w:rPr>
          <w:rFonts w:ascii="Gadugi" w:hAnsi="Gadugi" w:cs="Arial"/>
          <w:sz w:val="24"/>
          <w:szCs w:val="24"/>
        </w:rPr>
        <w:t>; y en todo caso, vale la pena apuntar que no es una persona de la tercera edad</w:t>
      </w:r>
      <w:r w:rsidR="005F6254" w:rsidRPr="00BB2289">
        <w:rPr>
          <w:rStyle w:val="Refdenotaalpie"/>
          <w:rFonts w:ascii="Gadugi" w:hAnsi="Gadugi"/>
          <w:sz w:val="24"/>
          <w:szCs w:val="24"/>
        </w:rPr>
        <w:footnoteReference w:id="14"/>
      </w:r>
      <w:r w:rsidR="005F6254" w:rsidRPr="00BB2289">
        <w:rPr>
          <w:rFonts w:ascii="Gadugi" w:hAnsi="Gadugi" w:cs="Arial"/>
          <w:sz w:val="24"/>
          <w:szCs w:val="24"/>
        </w:rPr>
        <w:t>,</w:t>
      </w:r>
      <w:r w:rsidR="00F63DC6" w:rsidRPr="00BB2289">
        <w:rPr>
          <w:rFonts w:ascii="Gadugi" w:hAnsi="Gadugi" w:cs="Arial"/>
          <w:sz w:val="24"/>
          <w:szCs w:val="24"/>
        </w:rPr>
        <w:t xml:space="preserve"> evento en el cual, si tendría que dispensársele un trato diferenciado. </w:t>
      </w:r>
    </w:p>
    <w:p w14:paraId="5F28F39C" w14:textId="29AB365B" w:rsidR="00330331" w:rsidRPr="00BB2289" w:rsidRDefault="00330331" w:rsidP="00BB2289">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282BD2E1" w14:textId="3ED58BCA" w:rsidR="00330331" w:rsidRPr="00BB2289" w:rsidRDefault="00330331" w:rsidP="00BB2289">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BB2289">
        <w:rPr>
          <w:rFonts w:ascii="Gadugi" w:eastAsia="Times New Roman" w:hAnsi="Gadugi" w:cs="Times New Roman"/>
          <w:sz w:val="24"/>
          <w:szCs w:val="24"/>
          <w:lang w:val="es-ES" w:eastAsia="es-ES"/>
        </w:rPr>
        <w:tab/>
      </w:r>
      <w:r w:rsidRPr="00BB2289">
        <w:rPr>
          <w:rFonts w:ascii="Gadugi" w:eastAsia="Times New Roman" w:hAnsi="Gadugi" w:cs="Times New Roman"/>
          <w:sz w:val="24"/>
          <w:szCs w:val="24"/>
          <w:lang w:val="es-ES" w:eastAsia="es-ES"/>
        </w:rPr>
        <w:tab/>
      </w:r>
      <w:r w:rsidRPr="00BB2289">
        <w:rPr>
          <w:rFonts w:ascii="Gadugi" w:eastAsia="Times New Roman" w:hAnsi="Gadugi" w:cs="Times New Roman"/>
          <w:sz w:val="24"/>
          <w:szCs w:val="24"/>
          <w:lang w:val="es-ES" w:eastAsia="es-ES"/>
        </w:rPr>
        <w:tab/>
      </w:r>
      <w:r w:rsidRPr="00BB2289">
        <w:rPr>
          <w:rFonts w:ascii="Gadugi" w:eastAsia="Times New Roman" w:hAnsi="Gadugi" w:cs="Times New Roman"/>
          <w:sz w:val="24"/>
          <w:szCs w:val="24"/>
          <w:lang w:val="es-ES" w:eastAsia="es-ES"/>
        </w:rPr>
        <w:tab/>
        <w:t xml:space="preserve">Finalmente, hay que apuntar que también es improcedente la pretensión tendiente a que se le ordene a Colpensiones expedir una nueva historia laboral incluyendo los aportes realizados en los ciclos 200401 a 200506 y 200507 a 200606, dado que es inexistente en el expediente una petición radicada ante la entidad accionada para que proceda de ese modo. </w:t>
      </w:r>
    </w:p>
    <w:p w14:paraId="31F89CFC" w14:textId="77777777" w:rsidR="00330331" w:rsidRPr="00BB2289" w:rsidRDefault="00330331" w:rsidP="00BB2289">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1A989C8F" w14:textId="251FFE3B" w:rsidR="003900EF" w:rsidRPr="00BB2289" w:rsidRDefault="003900EF" w:rsidP="00BB2289">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BB2289">
        <w:rPr>
          <w:rFonts w:ascii="Gadugi" w:eastAsia="Times New Roman" w:hAnsi="Gadugi" w:cs="Times New Roman"/>
          <w:sz w:val="24"/>
          <w:szCs w:val="24"/>
          <w:lang w:val="es-ES" w:eastAsia="es-ES"/>
        </w:rPr>
        <w:tab/>
      </w:r>
      <w:r w:rsidRPr="00BB2289">
        <w:rPr>
          <w:rFonts w:ascii="Gadugi" w:eastAsia="Times New Roman" w:hAnsi="Gadugi" w:cs="Times New Roman"/>
          <w:sz w:val="24"/>
          <w:szCs w:val="24"/>
          <w:lang w:val="es-ES" w:eastAsia="es-ES"/>
        </w:rPr>
        <w:tab/>
      </w:r>
      <w:r w:rsidRPr="00BB2289">
        <w:rPr>
          <w:rFonts w:ascii="Gadugi" w:eastAsia="Times New Roman" w:hAnsi="Gadugi" w:cs="Times New Roman"/>
          <w:sz w:val="24"/>
          <w:szCs w:val="24"/>
          <w:lang w:val="es-ES" w:eastAsia="es-ES"/>
        </w:rPr>
        <w:tab/>
      </w:r>
      <w:r w:rsidRPr="00BB2289">
        <w:rPr>
          <w:rFonts w:ascii="Gadugi" w:eastAsia="Times New Roman" w:hAnsi="Gadugi" w:cs="Times New Roman"/>
          <w:sz w:val="24"/>
          <w:szCs w:val="24"/>
          <w:lang w:val="es-ES" w:eastAsia="es-ES"/>
        </w:rPr>
        <w:tab/>
        <w:t xml:space="preserve">En suma, </w:t>
      </w:r>
      <w:r w:rsidR="00330331" w:rsidRPr="00BB2289">
        <w:rPr>
          <w:rFonts w:ascii="Gadugi" w:eastAsia="Times New Roman" w:hAnsi="Gadugi" w:cs="Times New Roman"/>
          <w:sz w:val="24"/>
          <w:szCs w:val="24"/>
          <w:lang w:val="es-ES" w:eastAsia="es-ES"/>
        </w:rPr>
        <w:t xml:space="preserve">son inexistentes </w:t>
      </w:r>
      <w:r w:rsidR="002618EB" w:rsidRPr="00BB2289">
        <w:rPr>
          <w:rFonts w:ascii="Gadugi" w:eastAsia="Times New Roman" w:hAnsi="Gadugi" w:cs="Times New Roman"/>
          <w:sz w:val="24"/>
          <w:szCs w:val="24"/>
          <w:lang w:val="es-ES" w:eastAsia="es-ES"/>
        </w:rPr>
        <w:t xml:space="preserve">los </w:t>
      </w:r>
      <w:r w:rsidR="00330331" w:rsidRPr="00BB2289">
        <w:rPr>
          <w:rFonts w:ascii="Gadugi" w:eastAsia="Times New Roman" w:hAnsi="Gadugi" w:cs="Times New Roman"/>
          <w:sz w:val="24"/>
          <w:szCs w:val="24"/>
          <w:lang w:val="es-ES" w:eastAsia="es-ES"/>
        </w:rPr>
        <w:t>motivos para superar el umbral de la subsidiaridad, y entonces, sobran razones para confirmar la sentencia impugnada que declaró improcedente la protección.</w:t>
      </w:r>
    </w:p>
    <w:p w14:paraId="2DFAFBC6" w14:textId="2DA7AF1C" w:rsidR="000B213F" w:rsidRDefault="000B213F" w:rsidP="00BB2289">
      <w:pPr>
        <w:overflowPunct w:val="0"/>
        <w:autoSpaceDE w:val="0"/>
        <w:autoSpaceDN w:val="0"/>
        <w:adjustRightInd w:val="0"/>
        <w:spacing w:after="0" w:line="276" w:lineRule="auto"/>
        <w:ind w:firstLine="2835"/>
        <w:jc w:val="both"/>
        <w:textAlignment w:val="baseline"/>
        <w:rPr>
          <w:rFonts w:ascii="Gadugi" w:eastAsia="Times New Roman" w:hAnsi="Gadugi" w:cs="Times New Roman"/>
          <w:b/>
          <w:bCs/>
          <w:sz w:val="24"/>
          <w:szCs w:val="24"/>
          <w:lang w:val="es-ES" w:eastAsia="es-ES"/>
        </w:rPr>
      </w:pPr>
    </w:p>
    <w:p w14:paraId="14F5889C" w14:textId="77777777" w:rsidR="00100B65" w:rsidRPr="00BB2289" w:rsidRDefault="00100B65" w:rsidP="00BB2289">
      <w:pPr>
        <w:overflowPunct w:val="0"/>
        <w:autoSpaceDE w:val="0"/>
        <w:autoSpaceDN w:val="0"/>
        <w:adjustRightInd w:val="0"/>
        <w:spacing w:after="0" w:line="276" w:lineRule="auto"/>
        <w:ind w:firstLine="2835"/>
        <w:jc w:val="both"/>
        <w:textAlignment w:val="baseline"/>
        <w:rPr>
          <w:rFonts w:ascii="Gadugi" w:eastAsia="Times New Roman" w:hAnsi="Gadugi" w:cs="Times New Roman"/>
          <w:b/>
          <w:bCs/>
          <w:sz w:val="24"/>
          <w:szCs w:val="24"/>
          <w:lang w:val="es-ES" w:eastAsia="es-ES"/>
        </w:rPr>
      </w:pPr>
    </w:p>
    <w:p w14:paraId="0E2C8F00" w14:textId="10999E12" w:rsidR="00756044" w:rsidRPr="00BB2289" w:rsidRDefault="00756044" w:rsidP="00BB2289">
      <w:pPr>
        <w:overflowPunct w:val="0"/>
        <w:autoSpaceDE w:val="0"/>
        <w:autoSpaceDN w:val="0"/>
        <w:adjustRightInd w:val="0"/>
        <w:spacing w:after="0" w:line="276" w:lineRule="auto"/>
        <w:ind w:firstLine="2835"/>
        <w:jc w:val="both"/>
        <w:textAlignment w:val="baseline"/>
        <w:rPr>
          <w:rFonts w:ascii="Gadugi" w:eastAsia="Times New Roman" w:hAnsi="Gadugi" w:cs="Times New Roman"/>
          <w:b/>
          <w:bCs/>
          <w:sz w:val="24"/>
          <w:szCs w:val="24"/>
          <w:lang w:val="es-ES" w:eastAsia="es-ES"/>
        </w:rPr>
      </w:pPr>
      <w:r w:rsidRPr="00BB2289">
        <w:rPr>
          <w:rFonts w:ascii="Gadugi" w:eastAsia="Times New Roman" w:hAnsi="Gadugi" w:cs="Times New Roman"/>
          <w:b/>
          <w:bCs/>
          <w:sz w:val="24"/>
          <w:szCs w:val="24"/>
          <w:lang w:val="es-ES" w:eastAsia="es-ES"/>
        </w:rPr>
        <w:lastRenderedPageBreak/>
        <w:t>DECISIÓN</w:t>
      </w:r>
    </w:p>
    <w:p w14:paraId="5E76A8DF" w14:textId="77777777" w:rsidR="00756044" w:rsidRPr="00BB2289" w:rsidRDefault="00756044" w:rsidP="00BB2289">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093963DB" w14:textId="77777777" w:rsidR="00756044" w:rsidRPr="00BB2289" w:rsidRDefault="00756044" w:rsidP="00BB2289">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79B89129" w14:textId="1741ADAC" w:rsidR="00756044" w:rsidRPr="00BB2289" w:rsidRDefault="0061438F" w:rsidP="00BB2289">
      <w:pPr>
        <w:overflowPunct w:val="0"/>
        <w:autoSpaceDE w:val="0"/>
        <w:autoSpaceDN w:val="0"/>
        <w:adjustRightInd w:val="0"/>
        <w:spacing w:after="0" w:line="276" w:lineRule="auto"/>
        <w:jc w:val="both"/>
        <w:textAlignment w:val="baseline"/>
        <w:rPr>
          <w:rFonts w:ascii="Gadugi" w:eastAsia="Times New Roman" w:hAnsi="Gadugi" w:cs="Arial"/>
          <w:sz w:val="24"/>
          <w:szCs w:val="24"/>
          <w:lang w:val="es-CO" w:eastAsia="es-ES"/>
        </w:rPr>
      </w:pPr>
      <w:r w:rsidRPr="00BB2289">
        <w:rPr>
          <w:rFonts w:ascii="Gadugi" w:eastAsia="Times New Roman" w:hAnsi="Gadugi" w:cs="Times New Roman"/>
          <w:sz w:val="24"/>
          <w:szCs w:val="24"/>
          <w:lang w:val="es-ES" w:eastAsia="es-ES"/>
        </w:rPr>
        <w:tab/>
      </w:r>
      <w:r w:rsidRPr="00BB2289">
        <w:rPr>
          <w:rFonts w:ascii="Gadugi" w:eastAsia="Times New Roman" w:hAnsi="Gadugi" w:cs="Times New Roman"/>
          <w:sz w:val="24"/>
          <w:szCs w:val="24"/>
          <w:lang w:val="es-ES" w:eastAsia="es-ES"/>
        </w:rPr>
        <w:tab/>
      </w:r>
      <w:r w:rsidRPr="00BB2289">
        <w:rPr>
          <w:rFonts w:ascii="Gadugi" w:eastAsia="Times New Roman" w:hAnsi="Gadugi" w:cs="Times New Roman"/>
          <w:sz w:val="24"/>
          <w:szCs w:val="24"/>
          <w:lang w:val="es-ES" w:eastAsia="es-ES"/>
        </w:rPr>
        <w:tab/>
      </w:r>
      <w:r w:rsidRPr="00BB2289">
        <w:rPr>
          <w:rFonts w:ascii="Gadugi" w:eastAsia="Times New Roman" w:hAnsi="Gadugi" w:cs="Times New Roman"/>
          <w:sz w:val="24"/>
          <w:szCs w:val="24"/>
          <w:lang w:val="es-ES" w:eastAsia="es-ES"/>
        </w:rPr>
        <w:tab/>
      </w:r>
      <w:r w:rsidR="00F43CD2" w:rsidRPr="00BB2289">
        <w:rPr>
          <w:rFonts w:ascii="Gadugi" w:hAnsi="Gadugi" w:cs="Century Gothic"/>
          <w:sz w:val="24"/>
          <w:szCs w:val="24"/>
        </w:rPr>
        <w:t xml:space="preserve">Por lo expuesto, </w:t>
      </w:r>
      <w:r w:rsidR="00F43CD2" w:rsidRPr="00BB2289">
        <w:rPr>
          <w:rFonts w:ascii="Gadugi" w:hAnsi="Gadugi" w:cs="Century Gothic"/>
          <w:b/>
          <w:sz w:val="24"/>
          <w:szCs w:val="24"/>
        </w:rPr>
        <w:t xml:space="preserve">la Sala </w:t>
      </w:r>
      <w:r w:rsidR="009315E7" w:rsidRPr="00BB2289">
        <w:rPr>
          <w:rFonts w:ascii="Gadugi" w:hAnsi="Gadugi" w:cs="Century Gothic"/>
          <w:b/>
          <w:sz w:val="24"/>
          <w:szCs w:val="24"/>
        </w:rPr>
        <w:t xml:space="preserve">de Decisión Civil – Familia </w:t>
      </w:r>
      <w:r w:rsidR="00F43CD2" w:rsidRPr="00BB2289">
        <w:rPr>
          <w:rFonts w:ascii="Gadugi" w:hAnsi="Gadugi" w:cs="Century Gothic"/>
          <w:b/>
          <w:sz w:val="24"/>
          <w:szCs w:val="24"/>
        </w:rPr>
        <w:t>del Tribunal Superior de Pereira, Risaralda</w:t>
      </w:r>
      <w:r w:rsidR="00756044" w:rsidRPr="00BB2289">
        <w:rPr>
          <w:rFonts w:ascii="Gadugi" w:eastAsia="Times New Roman" w:hAnsi="Gadugi" w:cs="Times New Roman"/>
          <w:sz w:val="24"/>
          <w:szCs w:val="24"/>
          <w:lang w:val="es-ES" w:eastAsia="es-ES"/>
        </w:rPr>
        <w:t>, administrando justicia en nombre de la República y por autoridad de la ley, </w:t>
      </w:r>
      <w:r w:rsidR="009315E7" w:rsidRPr="00BB2289">
        <w:rPr>
          <w:rFonts w:ascii="Gadugi" w:eastAsia="Times New Roman" w:hAnsi="Gadugi" w:cs="Times New Roman"/>
          <w:sz w:val="24"/>
          <w:szCs w:val="24"/>
          <w:lang w:val="es-ES" w:eastAsia="es-ES"/>
        </w:rPr>
        <w:t xml:space="preserve">por las razones aquí expuesta, </w:t>
      </w:r>
      <w:r w:rsidR="000B213F" w:rsidRPr="00BB2289">
        <w:rPr>
          <w:rFonts w:ascii="Gadugi" w:eastAsia="Times New Roman" w:hAnsi="Gadugi" w:cs="Times New Roman"/>
          <w:b/>
          <w:bCs/>
          <w:sz w:val="24"/>
          <w:szCs w:val="24"/>
          <w:lang w:val="es-ES" w:eastAsia="es-ES"/>
        </w:rPr>
        <w:t xml:space="preserve">CONFIRMA </w:t>
      </w:r>
      <w:r w:rsidR="00756044" w:rsidRPr="00BB2289">
        <w:rPr>
          <w:rFonts w:ascii="Gadugi" w:eastAsia="Times New Roman" w:hAnsi="Gadugi" w:cs="Times New Roman"/>
          <w:sz w:val="24"/>
          <w:szCs w:val="24"/>
          <w:lang w:val="es-ES" w:eastAsia="es-ES"/>
        </w:rPr>
        <w:t xml:space="preserve">la sentencia </w:t>
      </w:r>
      <w:r w:rsidR="009315E7" w:rsidRPr="00BB2289">
        <w:rPr>
          <w:rFonts w:ascii="Gadugi" w:eastAsia="Times New Roman" w:hAnsi="Gadugi" w:cs="Times New Roman"/>
          <w:sz w:val="24"/>
          <w:szCs w:val="24"/>
          <w:lang w:val="es-ES" w:eastAsia="es-ES"/>
        </w:rPr>
        <w:t>impugnada</w:t>
      </w:r>
      <w:r w:rsidR="000B213F" w:rsidRPr="00BB2289">
        <w:rPr>
          <w:rFonts w:ascii="Gadugi" w:eastAsia="Times New Roman" w:hAnsi="Gadugi" w:cs="Times New Roman"/>
          <w:sz w:val="24"/>
          <w:szCs w:val="24"/>
          <w:lang w:val="es-ES" w:eastAsia="es-ES"/>
        </w:rPr>
        <w:t>.</w:t>
      </w:r>
      <w:r w:rsidR="00CA257C" w:rsidRPr="00BB2289">
        <w:rPr>
          <w:rFonts w:ascii="Gadugi" w:eastAsia="Times New Roman" w:hAnsi="Gadugi" w:cs="Times New Roman"/>
          <w:sz w:val="24"/>
          <w:szCs w:val="24"/>
          <w:lang w:val="es-ES" w:eastAsia="es-ES"/>
        </w:rPr>
        <w:t xml:space="preserve"> </w:t>
      </w:r>
    </w:p>
    <w:p w14:paraId="38A5D279" w14:textId="77777777" w:rsidR="009315E7" w:rsidRPr="00BB2289" w:rsidRDefault="009315E7" w:rsidP="00BB2289">
      <w:pPr>
        <w:shd w:val="clear" w:color="auto" w:fill="FFFFFF"/>
        <w:overflowPunct w:val="0"/>
        <w:autoSpaceDE w:val="0"/>
        <w:autoSpaceDN w:val="0"/>
        <w:adjustRightInd w:val="0"/>
        <w:spacing w:after="0" w:line="276" w:lineRule="auto"/>
        <w:jc w:val="both"/>
        <w:textAlignment w:val="baseline"/>
        <w:rPr>
          <w:rFonts w:ascii="Gadugi" w:eastAsia="Times New Roman" w:hAnsi="Gadugi" w:cs="Times New Roman"/>
          <w:sz w:val="24"/>
          <w:szCs w:val="24"/>
          <w:bdr w:val="none" w:sz="0" w:space="0" w:color="auto" w:frame="1"/>
          <w:lang w:val="es-CO" w:eastAsia="es-ES"/>
        </w:rPr>
      </w:pPr>
    </w:p>
    <w:p w14:paraId="1E14B882" w14:textId="77777777" w:rsidR="008B2F10" w:rsidRPr="00BB2289" w:rsidRDefault="00756044" w:rsidP="00BB2289">
      <w:pPr>
        <w:shd w:val="clear" w:color="auto" w:fill="FFFFFF"/>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BB2289">
        <w:rPr>
          <w:rFonts w:ascii="Gadugi" w:eastAsia="Times New Roman" w:hAnsi="Gadugi" w:cs="Times New Roman"/>
          <w:sz w:val="24"/>
          <w:szCs w:val="24"/>
          <w:bdr w:val="none" w:sz="0" w:space="0" w:color="auto" w:frame="1"/>
          <w:lang w:val="es-ES_tradnl" w:eastAsia="es-ES"/>
        </w:rPr>
        <w:t xml:space="preserve">  </w:t>
      </w:r>
      <w:r w:rsidR="006230BC" w:rsidRPr="00BB2289">
        <w:rPr>
          <w:rFonts w:ascii="Gadugi" w:eastAsia="Times New Roman" w:hAnsi="Gadugi" w:cs="Times New Roman"/>
          <w:sz w:val="24"/>
          <w:szCs w:val="24"/>
          <w:bdr w:val="none" w:sz="0" w:space="0" w:color="auto" w:frame="1"/>
          <w:lang w:val="es-419" w:eastAsia="es-ES"/>
        </w:rPr>
        <w:t xml:space="preserve">     </w:t>
      </w:r>
      <w:r w:rsidR="006230BC" w:rsidRPr="00BB2289">
        <w:rPr>
          <w:rFonts w:ascii="Gadugi" w:eastAsia="Times New Roman" w:hAnsi="Gadugi" w:cs="Times New Roman"/>
          <w:sz w:val="24"/>
          <w:szCs w:val="24"/>
          <w:bdr w:val="none" w:sz="0" w:space="0" w:color="auto" w:frame="1"/>
          <w:lang w:val="es-419" w:eastAsia="es-ES"/>
        </w:rPr>
        <w:tab/>
      </w:r>
      <w:r w:rsidR="006230BC" w:rsidRPr="00BB2289">
        <w:rPr>
          <w:rFonts w:ascii="Gadugi" w:eastAsia="Times New Roman" w:hAnsi="Gadugi" w:cs="Times New Roman"/>
          <w:sz w:val="24"/>
          <w:szCs w:val="24"/>
          <w:bdr w:val="none" w:sz="0" w:space="0" w:color="auto" w:frame="1"/>
          <w:lang w:val="es-419" w:eastAsia="es-ES"/>
        </w:rPr>
        <w:tab/>
      </w:r>
      <w:r w:rsidR="006230BC" w:rsidRPr="00BB2289">
        <w:rPr>
          <w:rFonts w:ascii="Gadugi" w:eastAsia="Times New Roman" w:hAnsi="Gadugi" w:cs="Times New Roman"/>
          <w:sz w:val="24"/>
          <w:szCs w:val="24"/>
          <w:bdr w:val="none" w:sz="0" w:space="0" w:color="auto" w:frame="1"/>
          <w:lang w:val="es-419" w:eastAsia="es-ES"/>
        </w:rPr>
        <w:tab/>
      </w:r>
      <w:r w:rsidR="006230BC" w:rsidRPr="00BB2289">
        <w:rPr>
          <w:rFonts w:ascii="Gadugi" w:eastAsia="Times New Roman" w:hAnsi="Gadugi" w:cs="Times New Roman"/>
          <w:sz w:val="24"/>
          <w:szCs w:val="24"/>
          <w:bdr w:val="none" w:sz="0" w:space="0" w:color="auto" w:frame="1"/>
          <w:lang w:val="es-419" w:eastAsia="es-ES"/>
        </w:rPr>
        <w:tab/>
      </w:r>
      <w:r w:rsidRPr="00BB2289">
        <w:rPr>
          <w:rFonts w:ascii="Gadugi" w:eastAsia="Times New Roman" w:hAnsi="Gadugi" w:cs="Times New Roman"/>
          <w:sz w:val="24"/>
          <w:szCs w:val="24"/>
          <w:lang w:val="es-ES" w:eastAsia="es-ES"/>
        </w:rPr>
        <w:t xml:space="preserve">Notifíquese esta decisión a las partes y demás interesados, en la forma prevista en el artículo 5º del Decreto 306 de 1992; oportunamente remítase el expediente a la Corte Constitucional para su eventual revisión. </w:t>
      </w:r>
    </w:p>
    <w:p w14:paraId="6A915D1A" w14:textId="65ADAE0C" w:rsidR="008B2F10" w:rsidRPr="00BB2289" w:rsidRDefault="008B2F10" w:rsidP="00BB2289">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600118F4" w14:textId="54125405" w:rsidR="00426DA0" w:rsidRPr="00BB2289" w:rsidRDefault="00F43CD2" w:rsidP="00BB2289">
      <w:pPr>
        <w:spacing w:after="0" w:line="276" w:lineRule="auto"/>
        <w:ind w:firstLine="2835"/>
        <w:jc w:val="both"/>
        <w:rPr>
          <w:rFonts w:ascii="Gadugi" w:hAnsi="Gadugi"/>
          <w:sz w:val="24"/>
          <w:szCs w:val="24"/>
        </w:rPr>
      </w:pPr>
      <w:r w:rsidRPr="00BB2289">
        <w:rPr>
          <w:rFonts w:ascii="Gadugi" w:hAnsi="Gadugi" w:cs="Century Gothic"/>
          <w:sz w:val="24"/>
          <w:szCs w:val="24"/>
        </w:rPr>
        <w:t>Los Magistrados,</w:t>
      </w:r>
    </w:p>
    <w:p w14:paraId="337E64B9" w14:textId="7CDF5D0E" w:rsidR="005F0977" w:rsidRPr="00BB2289" w:rsidRDefault="005F0977" w:rsidP="00BB2289">
      <w:pPr>
        <w:spacing w:after="0" w:line="276" w:lineRule="auto"/>
        <w:ind w:firstLine="2835"/>
        <w:jc w:val="both"/>
        <w:rPr>
          <w:rFonts w:ascii="Gadugi" w:hAnsi="Gadugi" w:cs="Century Gothic"/>
          <w:b/>
          <w:bCs/>
          <w:sz w:val="24"/>
          <w:szCs w:val="24"/>
        </w:rPr>
      </w:pPr>
    </w:p>
    <w:p w14:paraId="2001DFBE" w14:textId="77777777" w:rsidR="00330331" w:rsidRPr="00BB2289" w:rsidRDefault="00330331" w:rsidP="00BB2289">
      <w:pPr>
        <w:spacing w:after="0" w:line="276" w:lineRule="auto"/>
        <w:ind w:firstLine="2835"/>
        <w:jc w:val="both"/>
        <w:rPr>
          <w:rFonts w:ascii="Gadugi" w:hAnsi="Gadugi" w:cs="Century Gothic"/>
          <w:b/>
          <w:bCs/>
          <w:sz w:val="24"/>
          <w:szCs w:val="24"/>
        </w:rPr>
      </w:pPr>
    </w:p>
    <w:p w14:paraId="0D07A2CF" w14:textId="35D046F4" w:rsidR="00330331" w:rsidRPr="00BB2289" w:rsidRDefault="00F43CD2" w:rsidP="00BB2289">
      <w:pPr>
        <w:spacing w:after="0" w:line="276" w:lineRule="auto"/>
        <w:ind w:firstLine="2835"/>
        <w:jc w:val="both"/>
        <w:rPr>
          <w:rFonts w:ascii="Gadugi" w:hAnsi="Gadugi" w:cs="Century Gothic"/>
          <w:b/>
          <w:bCs/>
          <w:sz w:val="24"/>
          <w:szCs w:val="24"/>
        </w:rPr>
      </w:pPr>
      <w:r w:rsidRPr="00BB2289">
        <w:rPr>
          <w:rFonts w:ascii="Gadugi" w:hAnsi="Gadugi" w:cs="Century Gothic"/>
          <w:b/>
          <w:bCs/>
          <w:sz w:val="24"/>
          <w:szCs w:val="24"/>
        </w:rPr>
        <w:t>JAIME ALBERTO SARAZA NARANJ</w:t>
      </w:r>
      <w:r w:rsidR="00330331" w:rsidRPr="00BB2289">
        <w:rPr>
          <w:rFonts w:ascii="Gadugi" w:hAnsi="Gadugi" w:cs="Century Gothic"/>
          <w:b/>
          <w:bCs/>
          <w:sz w:val="24"/>
          <w:szCs w:val="24"/>
        </w:rPr>
        <w:t>O</w:t>
      </w:r>
    </w:p>
    <w:p w14:paraId="021A9359" w14:textId="7770B4D0" w:rsidR="00330331" w:rsidRDefault="00330331" w:rsidP="00BB2289">
      <w:pPr>
        <w:spacing w:after="0" w:line="276" w:lineRule="auto"/>
        <w:jc w:val="both"/>
        <w:rPr>
          <w:rFonts w:ascii="Gadugi" w:hAnsi="Gadugi" w:cs="Century Gothic"/>
          <w:b/>
          <w:bCs/>
          <w:sz w:val="24"/>
          <w:szCs w:val="24"/>
        </w:rPr>
      </w:pPr>
    </w:p>
    <w:p w14:paraId="39D5922A" w14:textId="77777777" w:rsidR="00BB2289" w:rsidRPr="00BB2289" w:rsidRDefault="00BB2289" w:rsidP="00BB2289">
      <w:pPr>
        <w:spacing w:after="0" w:line="276" w:lineRule="auto"/>
        <w:jc w:val="both"/>
        <w:rPr>
          <w:rFonts w:ascii="Gadugi" w:hAnsi="Gadugi" w:cs="Century Gothic"/>
          <w:b/>
          <w:bCs/>
          <w:sz w:val="24"/>
          <w:szCs w:val="24"/>
        </w:rPr>
      </w:pPr>
    </w:p>
    <w:p w14:paraId="0456F463" w14:textId="77777777" w:rsidR="00330331" w:rsidRPr="00BB2289" w:rsidRDefault="00330331" w:rsidP="00BB2289">
      <w:pPr>
        <w:spacing w:after="0" w:line="276" w:lineRule="auto"/>
        <w:jc w:val="both"/>
        <w:rPr>
          <w:rFonts w:ascii="Gadugi" w:hAnsi="Gadugi" w:cs="Century Gothic"/>
          <w:b/>
          <w:bCs/>
          <w:sz w:val="24"/>
          <w:szCs w:val="24"/>
          <w:lang w:val="es-419"/>
        </w:rPr>
      </w:pPr>
      <w:r w:rsidRPr="00BB2289">
        <w:rPr>
          <w:rFonts w:ascii="Gadugi" w:hAnsi="Gadugi" w:cs="Century Gothic"/>
          <w:b/>
          <w:bCs/>
          <w:sz w:val="24"/>
          <w:szCs w:val="24"/>
        </w:rPr>
        <w:tab/>
      </w:r>
      <w:r w:rsidRPr="00BB2289">
        <w:rPr>
          <w:rFonts w:ascii="Gadugi" w:hAnsi="Gadugi" w:cs="Century Gothic"/>
          <w:b/>
          <w:bCs/>
          <w:sz w:val="24"/>
          <w:szCs w:val="24"/>
        </w:rPr>
        <w:tab/>
      </w:r>
      <w:r w:rsidRPr="00BB2289">
        <w:rPr>
          <w:rFonts w:ascii="Gadugi" w:hAnsi="Gadugi" w:cs="Century Gothic"/>
          <w:b/>
          <w:bCs/>
          <w:sz w:val="24"/>
          <w:szCs w:val="24"/>
        </w:rPr>
        <w:tab/>
      </w:r>
      <w:r w:rsidRPr="00BB2289">
        <w:rPr>
          <w:rFonts w:ascii="Gadugi" w:hAnsi="Gadugi" w:cs="Century Gothic"/>
          <w:b/>
          <w:bCs/>
          <w:sz w:val="24"/>
          <w:szCs w:val="24"/>
        </w:rPr>
        <w:tab/>
      </w:r>
      <w:r w:rsidR="000B213F" w:rsidRPr="00BB2289">
        <w:rPr>
          <w:rFonts w:ascii="Gadugi" w:hAnsi="Gadugi" w:cs="Century Gothic"/>
          <w:b/>
          <w:bCs/>
          <w:sz w:val="24"/>
          <w:szCs w:val="24"/>
          <w:lang w:val="es-419"/>
        </w:rPr>
        <w:t>CARLOS MAURICIO GARCÍA BARAJAS</w:t>
      </w:r>
    </w:p>
    <w:p w14:paraId="2E2F18A2" w14:textId="0DD36248" w:rsidR="00330331" w:rsidRDefault="00330331" w:rsidP="00BB2289">
      <w:pPr>
        <w:spacing w:after="0" w:line="276" w:lineRule="auto"/>
        <w:jc w:val="both"/>
        <w:rPr>
          <w:rFonts w:ascii="Gadugi" w:hAnsi="Gadugi" w:cs="Century Gothic"/>
          <w:b/>
          <w:bCs/>
          <w:sz w:val="24"/>
          <w:szCs w:val="24"/>
        </w:rPr>
      </w:pPr>
    </w:p>
    <w:p w14:paraId="016E16E3" w14:textId="77777777" w:rsidR="00BB2289" w:rsidRPr="00BB2289" w:rsidRDefault="00BB2289" w:rsidP="00BB2289">
      <w:pPr>
        <w:spacing w:after="0" w:line="276" w:lineRule="auto"/>
        <w:jc w:val="both"/>
        <w:rPr>
          <w:rFonts w:ascii="Gadugi" w:hAnsi="Gadugi" w:cs="Century Gothic"/>
          <w:b/>
          <w:bCs/>
          <w:sz w:val="24"/>
          <w:szCs w:val="24"/>
        </w:rPr>
      </w:pPr>
    </w:p>
    <w:p w14:paraId="60B90F1C" w14:textId="6C477EAB" w:rsidR="005F6254" w:rsidRPr="00BB2289" w:rsidRDefault="00F43CD2" w:rsidP="00BB2289">
      <w:pPr>
        <w:spacing w:after="0" w:line="276" w:lineRule="auto"/>
        <w:ind w:left="2124" w:firstLine="708"/>
        <w:jc w:val="both"/>
        <w:rPr>
          <w:rFonts w:ascii="Gadugi" w:hAnsi="Gadugi" w:cs="Century Gothic"/>
          <w:b/>
          <w:bCs/>
          <w:sz w:val="24"/>
          <w:szCs w:val="24"/>
        </w:rPr>
      </w:pPr>
      <w:r w:rsidRPr="00BB2289">
        <w:rPr>
          <w:rFonts w:ascii="Gadugi" w:hAnsi="Gadugi" w:cs="Century Gothic"/>
          <w:b/>
          <w:bCs/>
          <w:sz w:val="24"/>
          <w:szCs w:val="24"/>
        </w:rPr>
        <w:t>DUBERNEY GRISALES HERRERA</w:t>
      </w:r>
    </w:p>
    <w:sectPr w:rsidR="005F6254" w:rsidRPr="00BB2289" w:rsidSect="00546512">
      <w:footerReference w:type="default" r:id="rId11"/>
      <w:pgSz w:w="12242" w:h="18722" w:code="258"/>
      <w:pgMar w:top="1985" w:right="1361" w:bottom="1418" w:left="1928"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49A3583" w16cex:dateUtc="2021-03-08T15:59:57Z"/>
  <w16cex:commentExtensible w16cex:durableId="05EDE0D8" w16cex:dateUtc="2021-03-09T13:11:00.494Z"/>
  <w16cex:commentExtensible w16cex:durableId="2BE662A3" w16cex:dateUtc="2021-05-03T19:11:43.074Z"/>
  <w16cex:commentExtensible w16cex:durableId="747D6E98" w16cex:dateUtc="2021-05-03T19:12:32.116Z"/>
  <w16cex:commentExtensible w16cex:durableId="6D3A5047" w16cex:dateUtc="2021-06-16T13:08:39.571Z"/>
  <w16cex:commentExtensible w16cex:durableId="04C1FFD0" w16cex:dateUtc="2021-06-16T13:10:46.234Z"/>
  <w16cex:commentExtensible w16cex:durableId="53ABFB8C" w16cex:dateUtc="2021-06-16T13:12:20.5Z"/>
  <w16cex:commentExtensible w16cex:durableId="1DA7CAF7" w16cex:dateUtc="2022-02-02T12:15:44.962Z"/>
  <w16cex:commentExtensible w16cex:durableId="2F206AD7" w16cex:dateUtc="2022-02-02T14:22:18.08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DA70F" w14:textId="77777777" w:rsidR="006B415A" w:rsidRDefault="006B415A" w:rsidP="00756044">
      <w:pPr>
        <w:spacing w:after="0" w:line="240" w:lineRule="auto"/>
      </w:pPr>
      <w:r>
        <w:separator/>
      </w:r>
    </w:p>
  </w:endnote>
  <w:endnote w:type="continuationSeparator" w:id="0">
    <w:p w14:paraId="35C099EA" w14:textId="77777777" w:rsidR="006B415A" w:rsidRDefault="006B415A" w:rsidP="0075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282619"/>
      <w:docPartObj>
        <w:docPartGallery w:val="Page Numbers (Bottom of Page)"/>
        <w:docPartUnique/>
      </w:docPartObj>
    </w:sdtPr>
    <w:sdtEndPr>
      <w:rPr>
        <w:rFonts w:ascii="Century" w:hAnsi="Century"/>
        <w:sz w:val="18"/>
      </w:rPr>
    </w:sdtEndPr>
    <w:sdtContent>
      <w:p w14:paraId="579BC6A0" w14:textId="48A9A396" w:rsidR="00467445" w:rsidRPr="00B813CC" w:rsidRDefault="00467445">
        <w:pPr>
          <w:pStyle w:val="Piedepgina"/>
          <w:jc w:val="right"/>
          <w:rPr>
            <w:rFonts w:ascii="Century" w:hAnsi="Century"/>
            <w:sz w:val="18"/>
          </w:rPr>
        </w:pPr>
        <w:r w:rsidRPr="00B813CC">
          <w:rPr>
            <w:rFonts w:ascii="Century" w:hAnsi="Century"/>
            <w:sz w:val="18"/>
          </w:rPr>
          <w:fldChar w:fldCharType="begin"/>
        </w:r>
        <w:r w:rsidRPr="00B813CC">
          <w:rPr>
            <w:rFonts w:ascii="Century" w:hAnsi="Century"/>
            <w:sz w:val="18"/>
          </w:rPr>
          <w:instrText>PAGE   \* MERGEFORMAT</w:instrText>
        </w:r>
        <w:r w:rsidRPr="00B813CC">
          <w:rPr>
            <w:rFonts w:ascii="Century" w:hAnsi="Century"/>
            <w:sz w:val="18"/>
          </w:rPr>
          <w:fldChar w:fldCharType="separate"/>
        </w:r>
        <w:r w:rsidR="00C92B7B" w:rsidRPr="00B813CC">
          <w:rPr>
            <w:rFonts w:ascii="Century" w:hAnsi="Century"/>
            <w:noProof/>
            <w:sz w:val="18"/>
            <w:lang w:val="es-ES"/>
          </w:rPr>
          <w:t>1</w:t>
        </w:r>
        <w:r w:rsidRPr="00B813CC">
          <w:rPr>
            <w:rFonts w:ascii="Century" w:hAnsi="Century"/>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DBFF2" w14:textId="77777777" w:rsidR="006B415A" w:rsidRDefault="006B415A" w:rsidP="00756044">
      <w:pPr>
        <w:spacing w:after="0" w:line="240" w:lineRule="auto"/>
      </w:pPr>
      <w:r>
        <w:separator/>
      </w:r>
    </w:p>
  </w:footnote>
  <w:footnote w:type="continuationSeparator" w:id="0">
    <w:p w14:paraId="51E6EAF6" w14:textId="77777777" w:rsidR="006B415A" w:rsidRDefault="006B415A" w:rsidP="00756044">
      <w:pPr>
        <w:spacing w:after="0" w:line="240" w:lineRule="auto"/>
      </w:pPr>
      <w:r>
        <w:continuationSeparator/>
      </w:r>
    </w:p>
  </w:footnote>
  <w:footnote w:id="1">
    <w:p w14:paraId="14E1EA92" w14:textId="49AB456C" w:rsidR="008579B8" w:rsidRPr="00B813CC" w:rsidRDefault="008579B8" w:rsidP="00B813CC">
      <w:pPr>
        <w:pStyle w:val="Textonotapie"/>
        <w:jc w:val="both"/>
        <w:rPr>
          <w:rFonts w:ascii="Century" w:hAnsi="Century"/>
          <w:sz w:val="18"/>
          <w:szCs w:val="24"/>
          <w:lang w:val="es-CO"/>
        </w:rPr>
      </w:pPr>
      <w:r w:rsidRPr="00B813CC">
        <w:rPr>
          <w:rStyle w:val="Refdenotaalpie"/>
          <w:rFonts w:ascii="Century" w:hAnsi="Century"/>
          <w:sz w:val="18"/>
          <w:szCs w:val="24"/>
        </w:rPr>
        <w:footnoteRef/>
      </w:r>
      <w:r w:rsidRPr="00B813CC">
        <w:rPr>
          <w:rFonts w:ascii="Century" w:hAnsi="Century"/>
          <w:sz w:val="18"/>
          <w:szCs w:val="24"/>
        </w:rPr>
        <w:t xml:space="preserve"> </w:t>
      </w:r>
      <w:r w:rsidRPr="00B813CC">
        <w:rPr>
          <w:rFonts w:ascii="Century" w:hAnsi="Century"/>
          <w:sz w:val="18"/>
          <w:szCs w:val="24"/>
          <w:lang w:val="es-CO"/>
        </w:rPr>
        <w:t>Documento 02. C. 1.</w:t>
      </w:r>
    </w:p>
  </w:footnote>
  <w:footnote w:id="2">
    <w:p w14:paraId="07118B73" w14:textId="5E73B75D" w:rsidR="008579B8" w:rsidRPr="00B813CC" w:rsidRDefault="008579B8" w:rsidP="00B813CC">
      <w:pPr>
        <w:pStyle w:val="Textonotapie"/>
        <w:jc w:val="both"/>
        <w:rPr>
          <w:rFonts w:ascii="Century" w:hAnsi="Century"/>
          <w:sz w:val="18"/>
          <w:szCs w:val="24"/>
          <w:lang w:val="es-CO"/>
        </w:rPr>
      </w:pPr>
      <w:r w:rsidRPr="00B813CC">
        <w:rPr>
          <w:rStyle w:val="Refdenotaalpie"/>
          <w:rFonts w:ascii="Century" w:hAnsi="Century"/>
          <w:sz w:val="18"/>
          <w:szCs w:val="24"/>
        </w:rPr>
        <w:footnoteRef/>
      </w:r>
      <w:r w:rsidRPr="00B813CC">
        <w:rPr>
          <w:rFonts w:ascii="Century" w:hAnsi="Century"/>
          <w:sz w:val="18"/>
          <w:szCs w:val="24"/>
        </w:rPr>
        <w:t xml:space="preserve"> </w:t>
      </w:r>
      <w:r w:rsidRPr="00B813CC">
        <w:rPr>
          <w:rFonts w:ascii="Century" w:hAnsi="Century"/>
          <w:sz w:val="18"/>
          <w:szCs w:val="24"/>
          <w:lang w:val="es-CO"/>
        </w:rPr>
        <w:t>Documento 04. C. 1.</w:t>
      </w:r>
    </w:p>
  </w:footnote>
  <w:footnote w:id="3">
    <w:p w14:paraId="0F88AA55" w14:textId="19CE5583" w:rsidR="008579B8" w:rsidRPr="00B813CC" w:rsidRDefault="008579B8" w:rsidP="00B813CC">
      <w:pPr>
        <w:pStyle w:val="Textonotapie"/>
        <w:jc w:val="both"/>
        <w:rPr>
          <w:rFonts w:ascii="Century" w:hAnsi="Century"/>
          <w:sz w:val="18"/>
          <w:szCs w:val="24"/>
          <w:lang w:val="es-CO"/>
        </w:rPr>
      </w:pPr>
      <w:r w:rsidRPr="00B813CC">
        <w:rPr>
          <w:rStyle w:val="Refdenotaalpie"/>
          <w:rFonts w:ascii="Century" w:hAnsi="Century"/>
          <w:sz w:val="18"/>
          <w:szCs w:val="24"/>
        </w:rPr>
        <w:footnoteRef/>
      </w:r>
      <w:r w:rsidRPr="00B813CC">
        <w:rPr>
          <w:rFonts w:ascii="Century" w:hAnsi="Century"/>
          <w:sz w:val="18"/>
          <w:szCs w:val="24"/>
        </w:rPr>
        <w:t xml:space="preserve"> </w:t>
      </w:r>
      <w:r w:rsidRPr="00B813CC">
        <w:rPr>
          <w:rFonts w:ascii="Century" w:hAnsi="Century"/>
          <w:sz w:val="18"/>
          <w:szCs w:val="24"/>
          <w:lang w:val="es-CO"/>
        </w:rPr>
        <w:t>Documento 06. C. 1.</w:t>
      </w:r>
    </w:p>
  </w:footnote>
  <w:footnote w:id="4">
    <w:p w14:paraId="4907EF7D" w14:textId="0EBF01C6" w:rsidR="008579B8" w:rsidRPr="00B813CC" w:rsidRDefault="008579B8" w:rsidP="00B813CC">
      <w:pPr>
        <w:pStyle w:val="Textonotapie"/>
        <w:jc w:val="both"/>
        <w:rPr>
          <w:rFonts w:ascii="Century" w:hAnsi="Century"/>
          <w:sz w:val="18"/>
          <w:szCs w:val="24"/>
          <w:lang w:val="es-CO"/>
        </w:rPr>
      </w:pPr>
      <w:r w:rsidRPr="00B813CC">
        <w:rPr>
          <w:rStyle w:val="Refdenotaalpie"/>
          <w:rFonts w:ascii="Century" w:hAnsi="Century"/>
          <w:sz w:val="18"/>
          <w:szCs w:val="24"/>
        </w:rPr>
        <w:footnoteRef/>
      </w:r>
      <w:r w:rsidRPr="00B813CC">
        <w:rPr>
          <w:rFonts w:ascii="Century" w:hAnsi="Century"/>
          <w:sz w:val="18"/>
          <w:szCs w:val="24"/>
        </w:rPr>
        <w:t xml:space="preserve"> </w:t>
      </w:r>
      <w:r w:rsidRPr="00B813CC">
        <w:rPr>
          <w:rFonts w:ascii="Century" w:hAnsi="Century"/>
          <w:sz w:val="18"/>
          <w:szCs w:val="24"/>
          <w:lang w:val="es-CO"/>
        </w:rPr>
        <w:t>Documento 15. C. 1.</w:t>
      </w:r>
    </w:p>
  </w:footnote>
  <w:footnote w:id="5">
    <w:p w14:paraId="1C5ADBEB" w14:textId="403F6C80" w:rsidR="008579B8" w:rsidRPr="00B813CC" w:rsidRDefault="008579B8" w:rsidP="00B813CC">
      <w:pPr>
        <w:pStyle w:val="Textonotapie"/>
        <w:jc w:val="both"/>
        <w:rPr>
          <w:rFonts w:ascii="Century" w:hAnsi="Century"/>
          <w:sz w:val="18"/>
          <w:szCs w:val="24"/>
          <w:lang w:val="es-CO"/>
        </w:rPr>
      </w:pPr>
      <w:r w:rsidRPr="00B813CC">
        <w:rPr>
          <w:rStyle w:val="Refdenotaalpie"/>
          <w:rFonts w:ascii="Century" w:hAnsi="Century"/>
          <w:sz w:val="18"/>
          <w:szCs w:val="24"/>
        </w:rPr>
        <w:footnoteRef/>
      </w:r>
      <w:r w:rsidRPr="00B813CC">
        <w:rPr>
          <w:rFonts w:ascii="Century" w:hAnsi="Century"/>
          <w:sz w:val="18"/>
          <w:szCs w:val="24"/>
        </w:rPr>
        <w:t xml:space="preserve"> </w:t>
      </w:r>
      <w:r w:rsidRPr="00B813CC">
        <w:rPr>
          <w:rFonts w:ascii="Century" w:hAnsi="Century"/>
          <w:sz w:val="18"/>
          <w:szCs w:val="24"/>
          <w:lang w:val="es-CO"/>
        </w:rPr>
        <w:t>Documento 22. C. 1.</w:t>
      </w:r>
    </w:p>
  </w:footnote>
  <w:footnote w:id="6">
    <w:p w14:paraId="0E88D9E3" w14:textId="28ECEFB8" w:rsidR="008579B8" w:rsidRPr="00B813CC" w:rsidRDefault="008579B8" w:rsidP="00B813CC">
      <w:pPr>
        <w:pStyle w:val="Textonotapie"/>
        <w:jc w:val="both"/>
        <w:rPr>
          <w:rFonts w:ascii="Century" w:hAnsi="Century"/>
          <w:sz w:val="18"/>
          <w:szCs w:val="24"/>
          <w:lang w:val="es-CO"/>
        </w:rPr>
      </w:pPr>
      <w:r w:rsidRPr="00B813CC">
        <w:rPr>
          <w:rStyle w:val="Refdenotaalpie"/>
          <w:rFonts w:ascii="Century" w:hAnsi="Century"/>
          <w:sz w:val="18"/>
          <w:szCs w:val="24"/>
        </w:rPr>
        <w:footnoteRef/>
      </w:r>
      <w:r w:rsidRPr="00B813CC">
        <w:rPr>
          <w:rFonts w:ascii="Century" w:hAnsi="Century"/>
          <w:sz w:val="18"/>
          <w:szCs w:val="24"/>
        </w:rPr>
        <w:t xml:space="preserve"> </w:t>
      </w:r>
      <w:r w:rsidRPr="00B813CC">
        <w:rPr>
          <w:rFonts w:ascii="Century" w:hAnsi="Century"/>
          <w:sz w:val="18"/>
          <w:szCs w:val="24"/>
          <w:lang w:val="es-CO"/>
        </w:rPr>
        <w:t xml:space="preserve">Documento </w:t>
      </w:r>
      <w:r w:rsidR="00D46175" w:rsidRPr="00B813CC">
        <w:rPr>
          <w:rFonts w:ascii="Century" w:hAnsi="Century"/>
          <w:sz w:val="18"/>
          <w:szCs w:val="24"/>
          <w:lang w:val="es-CO"/>
        </w:rPr>
        <w:t>11</w:t>
      </w:r>
      <w:r w:rsidRPr="00B813CC">
        <w:rPr>
          <w:rFonts w:ascii="Century" w:hAnsi="Century"/>
          <w:sz w:val="18"/>
          <w:szCs w:val="24"/>
          <w:lang w:val="es-CO"/>
        </w:rPr>
        <w:t>. C. 1.</w:t>
      </w:r>
    </w:p>
  </w:footnote>
  <w:footnote w:id="7">
    <w:p w14:paraId="5847AF05" w14:textId="346FF691" w:rsidR="00D46175" w:rsidRPr="00B813CC" w:rsidRDefault="00D46175" w:rsidP="00B813CC">
      <w:pPr>
        <w:pStyle w:val="Textonotapie"/>
        <w:jc w:val="both"/>
        <w:rPr>
          <w:rFonts w:ascii="Century" w:hAnsi="Century"/>
          <w:sz w:val="18"/>
          <w:szCs w:val="24"/>
          <w:lang w:val="es-CO"/>
        </w:rPr>
      </w:pPr>
      <w:r w:rsidRPr="00B813CC">
        <w:rPr>
          <w:rStyle w:val="Refdenotaalpie"/>
          <w:rFonts w:ascii="Century" w:hAnsi="Century"/>
          <w:sz w:val="18"/>
          <w:szCs w:val="24"/>
        </w:rPr>
        <w:footnoteRef/>
      </w:r>
      <w:r w:rsidRPr="00B813CC">
        <w:rPr>
          <w:rFonts w:ascii="Century" w:hAnsi="Century"/>
          <w:sz w:val="18"/>
          <w:szCs w:val="24"/>
        </w:rPr>
        <w:t xml:space="preserve"> </w:t>
      </w:r>
      <w:r w:rsidRPr="00B813CC">
        <w:rPr>
          <w:rFonts w:ascii="Century" w:hAnsi="Century"/>
          <w:sz w:val="18"/>
          <w:szCs w:val="24"/>
          <w:lang w:val="es-CO"/>
        </w:rPr>
        <w:t>Documento 18. C. 1.</w:t>
      </w:r>
    </w:p>
  </w:footnote>
  <w:footnote w:id="8">
    <w:p w14:paraId="776DC0C7" w14:textId="0A8DC1F3" w:rsidR="00D46175" w:rsidRPr="00B813CC" w:rsidRDefault="00D46175" w:rsidP="00B813CC">
      <w:pPr>
        <w:pStyle w:val="Textonotapie"/>
        <w:jc w:val="both"/>
        <w:rPr>
          <w:rFonts w:ascii="Century" w:hAnsi="Century"/>
          <w:sz w:val="18"/>
          <w:szCs w:val="24"/>
          <w:lang w:val="es-CO"/>
        </w:rPr>
      </w:pPr>
      <w:r w:rsidRPr="00B813CC">
        <w:rPr>
          <w:rStyle w:val="Refdenotaalpie"/>
          <w:rFonts w:ascii="Century" w:hAnsi="Century"/>
          <w:sz w:val="18"/>
          <w:szCs w:val="24"/>
        </w:rPr>
        <w:footnoteRef/>
      </w:r>
      <w:r w:rsidRPr="00B813CC">
        <w:rPr>
          <w:rFonts w:ascii="Century" w:hAnsi="Century"/>
          <w:sz w:val="18"/>
          <w:szCs w:val="24"/>
        </w:rPr>
        <w:t xml:space="preserve"> </w:t>
      </w:r>
      <w:r w:rsidRPr="00B813CC">
        <w:rPr>
          <w:rFonts w:ascii="Century" w:hAnsi="Century"/>
          <w:sz w:val="18"/>
          <w:szCs w:val="24"/>
          <w:lang w:val="es-CO"/>
        </w:rPr>
        <w:t>Documento 23. C. 1.</w:t>
      </w:r>
    </w:p>
  </w:footnote>
  <w:footnote w:id="9">
    <w:p w14:paraId="614453E9" w14:textId="4175B447" w:rsidR="004A67F2" w:rsidRPr="00B813CC" w:rsidRDefault="004A67F2" w:rsidP="00B813CC">
      <w:pPr>
        <w:pStyle w:val="Textonotapie"/>
        <w:jc w:val="both"/>
        <w:rPr>
          <w:rFonts w:ascii="Century" w:hAnsi="Century"/>
          <w:sz w:val="18"/>
          <w:szCs w:val="24"/>
          <w:lang w:val="es-CO"/>
        </w:rPr>
      </w:pPr>
      <w:r w:rsidRPr="00B813CC">
        <w:rPr>
          <w:rStyle w:val="Refdenotaalpie"/>
          <w:rFonts w:ascii="Century" w:hAnsi="Century"/>
          <w:sz w:val="18"/>
          <w:szCs w:val="24"/>
        </w:rPr>
        <w:footnoteRef/>
      </w:r>
      <w:r w:rsidRPr="00B813CC">
        <w:rPr>
          <w:rFonts w:ascii="Century" w:hAnsi="Century"/>
          <w:sz w:val="18"/>
          <w:szCs w:val="24"/>
        </w:rPr>
        <w:t xml:space="preserve"> Sentencia TSP. ST20447-2021 del 15 de diciembre de 2021, M.P. Carlos Mauricio garía Barajas. </w:t>
      </w:r>
    </w:p>
  </w:footnote>
  <w:footnote w:id="10">
    <w:p w14:paraId="7300EC25" w14:textId="77777777" w:rsidR="00DD425F" w:rsidRPr="00B813CC" w:rsidRDefault="00DD425F" w:rsidP="00B813CC">
      <w:pPr>
        <w:pStyle w:val="Textonotapie"/>
        <w:jc w:val="both"/>
        <w:rPr>
          <w:rFonts w:ascii="Century" w:hAnsi="Century" w:cs="Arial"/>
          <w:sz w:val="18"/>
          <w:szCs w:val="24"/>
          <w:lang w:val="fr-FR"/>
        </w:rPr>
      </w:pPr>
      <w:r w:rsidRPr="00B813CC">
        <w:rPr>
          <w:rFonts w:ascii="Century" w:hAnsi="Century" w:cs="Arial"/>
          <w:sz w:val="18"/>
          <w:szCs w:val="24"/>
          <w:vertAlign w:val="superscript"/>
        </w:rPr>
        <w:footnoteRef/>
      </w:r>
      <w:r w:rsidRPr="00B813CC">
        <w:rPr>
          <w:rFonts w:ascii="Century" w:hAnsi="Century" w:cs="Arial"/>
          <w:sz w:val="18"/>
          <w:szCs w:val="24"/>
          <w:lang w:val="fr-FR"/>
        </w:rPr>
        <w:t xml:space="preserve"> Sentencias T-225 de 1993, T-436 de 2007, T-016 de 2008, T-1238 de 2008, T-273 de 2009,  </w:t>
      </w:r>
      <w:hyperlink r:id="rId1" w:tooltip="Haga clic para abrir la Sentencia T-660 de 2010" w:history="1">
        <w:r w:rsidRPr="00B813CC">
          <w:rPr>
            <w:rStyle w:val="Hipervnculo"/>
            <w:rFonts w:ascii="Century" w:hAnsi="Century" w:cs="Arial"/>
            <w:color w:val="000000"/>
            <w:sz w:val="18"/>
            <w:szCs w:val="24"/>
            <w:lang w:val="fr-FR"/>
          </w:rPr>
          <w:t>T-660 de 2010</w:t>
        </w:r>
      </w:hyperlink>
      <w:r w:rsidRPr="00B813CC">
        <w:rPr>
          <w:rFonts w:ascii="Century" w:hAnsi="Century" w:cs="Arial"/>
          <w:bCs/>
          <w:color w:val="000000"/>
          <w:sz w:val="18"/>
          <w:szCs w:val="24"/>
          <w:lang w:val="fr-FR"/>
        </w:rPr>
        <w:t xml:space="preserve"> y </w:t>
      </w:r>
      <w:r w:rsidRPr="00B813CC">
        <w:rPr>
          <w:rFonts w:ascii="Century" w:hAnsi="Century" w:cs="Arial"/>
          <w:bCs/>
          <w:sz w:val="18"/>
          <w:szCs w:val="24"/>
          <w:lang w:val="fr-FR"/>
        </w:rPr>
        <w:t>T-082 de 2016</w:t>
      </w:r>
      <w:r w:rsidRPr="00B813CC">
        <w:rPr>
          <w:rFonts w:ascii="Century" w:hAnsi="Century" w:cs="Arial"/>
          <w:sz w:val="18"/>
          <w:szCs w:val="24"/>
          <w:lang w:val="fr-FR"/>
        </w:rPr>
        <w:t>, entre otras.</w:t>
      </w:r>
    </w:p>
  </w:footnote>
  <w:footnote w:id="11">
    <w:p w14:paraId="1C7C759B" w14:textId="21EC9298" w:rsidR="00F63DC6" w:rsidRPr="00B813CC" w:rsidRDefault="00F63DC6" w:rsidP="00B813CC">
      <w:pPr>
        <w:pStyle w:val="Textonotapie"/>
        <w:jc w:val="both"/>
        <w:rPr>
          <w:rFonts w:ascii="Century" w:hAnsi="Century"/>
          <w:sz w:val="18"/>
          <w:szCs w:val="24"/>
          <w:lang w:val="es-CO"/>
        </w:rPr>
      </w:pPr>
      <w:r w:rsidRPr="00B813CC">
        <w:rPr>
          <w:rStyle w:val="Refdenotaalpie"/>
          <w:rFonts w:ascii="Century" w:hAnsi="Century"/>
          <w:sz w:val="18"/>
          <w:szCs w:val="24"/>
        </w:rPr>
        <w:footnoteRef/>
      </w:r>
      <w:r w:rsidRPr="00B813CC">
        <w:rPr>
          <w:rFonts w:ascii="Century" w:hAnsi="Century"/>
          <w:sz w:val="18"/>
          <w:szCs w:val="24"/>
        </w:rPr>
        <w:t xml:space="preserve"> Sentencia T-451 de 2010, reiterada en la Sentencia T-318/17.</w:t>
      </w:r>
    </w:p>
  </w:footnote>
  <w:footnote w:id="12">
    <w:p w14:paraId="3BDCD125" w14:textId="77777777" w:rsidR="00F63DC6" w:rsidRPr="00B813CC" w:rsidRDefault="00F63DC6" w:rsidP="00B813CC">
      <w:pPr>
        <w:pStyle w:val="Textonotapie"/>
        <w:jc w:val="both"/>
        <w:rPr>
          <w:rFonts w:ascii="Century" w:hAnsi="Century" w:cstheme="majorHAnsi"/>
          <w:sz w:val="18"/>
          <w:szCs w:val="24"/>
          <w:lang w:val="es-CO"/>
        </w:rPr>
      </w:pPr>
      <w:r w:rsidRPr="00B813CC">
        <w:rPr>
          <w:rStyle w:val="Refdenotaalpie"/>
          <w:rFonts w:ascii="Century" w:hAnsi="Century" w:cstheme="majorHAnsi"/>
          <w:sz w:val="18"/>
          <w:szCs w:val="24"/>
        </w:rPr>
        <w:footnoteRef/>
      </w:r>
      <w:r w:rsidRPr="00B813CC">
        <w:rPr>
          <w:rFonts w:ascii="Century" w:hAnsi="Century" w:cstheme="majorHAnsi"/>
          <w:sz w:val="18"/>
          <w:szCs w:val="24"/>
        </w:rPr>
        <w:t xml:space="preserve"> (Sentencia T-013/20) El concepto “adulto mayor” fue definido en la Ley 1276 de 2009. En ella se apela a la noción de “vejez” propia del sistema de seguridad social en pensiones, con el fin de identificar la población destinataria de la atención integral en los centros vida. De cara a lo dispuesto por el Legislador en esa norma, será adulto mayor quien supere los 60 años o aquel que sin superar esa edad, pero con más de 55 años, tenga condiciones de “desgaste físico, vital y psicológico [que] así lo determinen”.</w:t>
      </w:r>
    </w:p>
  </w:footnote>
  <w:footnote w:id="13">
    <w:p w14:paraId="21504F10" w14:textId="77777777" w:rsidR="00F63DC6" w:rsidRPr="00B813CC" w:rsidRDefault="00F63DC6" w:rsidP="00B813CC">
      <w:pPr>
        <w:pStyle w:val="Textonotapie"/>
        <w:jc w:val="both"/>
        <w:rPr>
          <w:rFonts w:ascii="Century" w:hAnsi="Century" w:cstheme="majorHAnsi"/>
          <w:sz w:val="18"/>
          <w:szCs w:val="24"/>
          <w:lang w:val="es-CO"/>
        </w:rPr>
      </w:pPr>
      <w:r w:rsidRPr="00B813CC">
        <w:rPr>
          <w:rStyle w:val="Refdenotaalpie"/>
          <w:rFonts w:ascii="Century" w:hAnsi="Century" w:cstheme="majorHAnsi"/>
          <w:sz w:val="18"/>
          <w:szCs w:val="24"/>
        </w:rPr>
        <w:footnoteRef/>
      </w:r>
      <w:r w:rsidRPr="00B813CC">
        <w:rPr>
          <w:rFonts w:ascii="Century" w:hAnsi="Century" w:cstheme="majorHAnsi"/>
          <w:sz w:val="18"/>
          <w:szCs w:val="24"/>
        </w:rPr>
        <w:t xml:space="preserve"> Sentencia T-015/19.</w:t>
      </w:r>
    </w:p>
  </w:footnote>
  <w:footnote w:id="14">
    <w:p w14:paraId="2EAC140B" w14:textId="54AE4F05" w:rsidR="005F6254" w:rsidRPr="00B813CC" w:rsidRDefault="005F6254" w:rsidP="00B813CC">
      <w:pPr>
        <w:pStyle w:val="Textonotapie"/>
        <w:jc w:val="both"/>
        <w:rPr>
          <w:rFonts w:ascii="Century" w:hAnsi="Century"/>
          <w:sz w:val="18"/>
          <w:szCs w:val="24"/>
          <w:lang w:val="es-CO"/>
        </w:rPr>
      </w:pPr>
      <w:r w:rsidRPr="00B813CC">
        <w:rPr>
          <w:rStyle w:val="Refdenotaalpie"/>
          <w:rFonts w:ascii="Century" w:hAnsi="Century"/>
          <w:sz w:val="18"/>
          <w:szCs w:val="24"/>
        </w:rPr>
        <w:footnoteRef/>
      </w:r>
      <w:r w:rsidRPr="00B813CC">
        <w:rPr>
          <w:rFonts w:ascii="Century" w:hAnsi="Century"/>
          <w:sz w:val="18"/>
          <w:szCs w:val="24"/>
        </w:rPr>
        <w:t xml:space="preserve"> Según indicadores de vida certificado por el DANE, la tercera edad se alcanza a los </w:t>
      </w:r>
      <w:r w:rsidRPr="00B813CC">
        <w:rPr>
          <w:rFonts w:ascii="Century" w:hAnsi="Century"/>
          <w:b/>
          <w:sz w:val="18"/>
          <w:szCs w:val="24"/>
        </w:rPr>
        <w:t>76 años.</w:t>
      </w:r>
      <w:r w:rsidRPr="00B813CC">
        <w:rPr>
          <w:rFonts w:ascii="Century" w:hAnsi="Century"/>
          <w:sz w:val="18"/>
          <w:szCs w:val="24"/>
        </w:rPr>
        <w:t xml:space="preserve"> Consultado en (Proyecciones del cambio demográfico. Principales indicadores. Crecimiento demográfico a nivel nacional por área para el periodo 2018-2070) </w:t>
      </w:r>
      <w:r w:rsidRPr="00B813CC">
        <w:rPr>
          <w:rStyle w:val="Refdenotaalpie"/>
          <w:rFonts w:ascii="Century" w:hAnsi="Century"/>
          <w:sz w:val="18"/>
          <w:szCs w:val="24"/>
        </w:rPr>
        <w:t xml:space="preserve"> </w:t>
      </w:r>
      <w:hyperlink r:id="rId2" w:history="1">
        <w:r w:rsidRPr="00B813CC">
          <w:rPr>
            <w:rStyle w:val="Hipervnculo"/>
            <w:rFonts w:ascii="Century" w:hAnsi="Century"/>
            <w:sz w:val="18"/>
            <w:szCs w:val="24"/>
          </w:rPr>
          <w:t>https://www.dane.gov.co/index.php/estadisticas-por-tema/demografia-y-poblacion/estimaciones-del-cambio-demografico</w:t>
        </w:r>
      </w:hyperlink>
      <w:r w:rsidRPr="00B813CC">
        <w:rPr>
          <w:rStyle w:val="Hipervnculo"/>
          <w:rFonts w:ascii="Century" w:hAnsi="Century"/>
          <w:sz w:val="18"/>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70F2E"/>
    <w:multiLevelType w:val="hybridMultilevel"/>
    <w:tmpl w:val="BF549126"/>
    <w:lvl w:ilvl="0" w:tplc="F428439E">
      <w:start w:val="1"/>
      <w:numFmt w:val="decimal"/>
      <w:suff w:val="space"/>
      <w:lvlText w:val="%1."/>
      <w:lvlJc w:val="left"/>
      <w:rPr>
        <w:rFonts w:cs="Times New Roman" w:hint="default"/>
        <w:b w:val="0"/>
        <w:i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637D7D8F"/>
    <w:multiLevelType w:val="hybridMultilevel"/>
    <w:tmpl w:val="2EBC28D0"/>
    <w:lvl w:ilvl="0" w:tplc="2340D22A">
      <w:start w:val="1"/>
      <w:numFmt w:val="lowerRoman"/>
      <w:lvlText w:val="(%1)"/>
      <w:lvlJc w:val="left"/>
      <w:pPr>
        <w:ind w:left="3555" w:hanging="72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419" w:vendorID="64" w:dllVersion="4096" w:nlCheck="1" w:checkStyle="0"/>
  <w:activeWritingStyle w:appName="MSWord" w:lang="es-CO"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044"/>
    <w:rsid w:val="0000161A"/>
    <w:rsid w:val="00003BCD"/>
    <w:rsid w:val="00006D23"/>
    <w:rsid w:val="0002566B"/>
    <w:rsid w:val="000326A6"/>
    <w:rsid w:val="00033FD2"/>
    <w:rsid w:val="00034ED7"/>
    <w:rsid w:val="0004483B"/>
    <w:rsid w:val="00053F48"/>
    <w:rsid w:val="00055409"/>
    <w:rsid w:val="0007037C"/>
    <w:rsid w:val="00073F32"/>
    <w:rsid w:val="00074430"/>
    <w:rsid w:val="00077766"/>
    <w:rsid w:val="0009056E"/>
    <w:rsid w:val="000935E2"/>
    <w:rsid w:val="000A618F"/>
    <w:rsid w:val="000B213F"/>
    <w:rsid w:val="000D63B6"/>
    <w:rsid w:val="000E068E"/>
    <w:rsid w:val="000E67D8"/>
    <w:rsid w:val="000F3535"/>
    <w:rsid w:val="00100B65"/>
    <w:rsid w:val="0010181D"/>
    <w:rsid w:val="001228A7"/>
    <w:rsid w:val="00135B0F"/>
    <w:rsid w:val="00143651"/>
    <w:rsid w:val="0015705D"/>
    <w:rsid w:val="00170829"/>
    <w:rsid w:val="00181964"/>
    <w:rsid w:val="001824F8"/>
    <w:rsid w:val="001C615E"/>
    <w:rsid w:val="001E15F8"/>
    <w:rsid w:val="001E3579"/>
    <w:rsid w:val="001E3B15"/>
    <w:rsid w:val="001F0854"/>
    <w:rsid w:val="00216770"/>
    <w:rsid w:val="0022039C"/>
    <w:rsid w:val="00225A94"/>
    <w:rsid w:val="002618EB"/>
    <w:rsid w:val="00271256"/>
    <w:rsid w:val="00271C50"/>
    <w:rsid w:val="0027557E"/>
    <w:rsid w:val="00276F73"/>
    <w:rsid w:val="00281A52"/>
    <w:rsid w:val="00293295"/>
    <w:rsid w:val="002B111A"/>
    <w:rsid w:val="002C1162"/>
    <w:rsid w:val="002C2142"/>
    <w:rsid w:val="002C46EF"/>
    <w:rsid w:val="002D6937"/>
    <w:rsid w:val="002E0B28"/>
    <w:rsid w:val="002E3065"/>
    <w:rsid w:val="003000FB"/>
    <w:rsid w:val="00302A66"/>
    <w:rsid w:val="003069A3"/>
    <w:rsid w:val="003154B1"/>
    <w:rsid w:val="00315A48"/>
    <w:rsid w:val="00327ECC"/>
    <w:rsid w:val="00330331"/>
    <w:rsid w:val="003559F5"/>
    <w:rsid w:val="003900EF"/>
    <w:rsid w:val="003A0F8D"/>
    <w:rsid w:val="003A3639"/>
    <w:rsid w:val="003A74D6"/>
    <w:rsid w:val="003A7E25"/>
    <w:rsid w:val="003B6768"/>
    <w:rsid w:val="003C2BC4"/>
    <w:rsid w:val="003D3C9B"/>
    <w:rsid w:val="003D4EFC"/>
    <w:rsid w:val="003E5376"/>
    <w:rsid w:val="003E54BB"/>
    <w:rsid w:val="003F62FC"/>
    <w:rsid w:val="0040103B"/>
    <w:rsid w:val="00405E18"/>
    <w:rsid w:val="00422311"/>
    <w:rsid w:val="00426DA0"/>
    <w:rsid w:val="00430A05"/>
    <w:rsid w:val="0043250B"/>
    <w:rsid w:val="00435DC4"/>
    <w:rsid w:val="00447679"/>
    <w:rsid w:val="0045415B"/>
    <w:rsid w:val="00455968"/>
    <w:rsid w:val="00462FE7"/>
    <w:rsid w:val="00467445"/>
    <w:rsid w:val="00477CB4"/>
    <w:rsid w:val="004803AE"/>
    <w:rsid w:val="00480CB3"/>
    <w:rsid w:val="004A67F2"/>
    <w:rsid w:val="004B14D4"/>
    <w:rsid w:val="004D53C1"/>
    <w:rsid w:val="004E0C3B"/>
    <w:rsid w:val="004E4A9F"/>
    <w:rsid w:val="004F0D1F"/>
    <w:rsid w:val="004F7764"/>
    <w:rsid w:val="00513F83"/>
    <w:rsid w:val="00517F08"/>
    <w:rsid w:val="00531EB0"/>
    <w:rsid w:val="00534A58"/>
    <w:rsid w:val="005359F8"/>
    <w:rsid w:val="00546512"/>
    <w:rsid w:val="0056791D"/>
    <w:rsid w:val="00570DA5"/>
    <w:rsid w:val="005843A7"/>
    <w:rsid w:val="005B1D40"/>
    <w:rsid w:val="005B3805"/>
    <w:rsid w:val="005B7535"/>
    <w:rsid w:val="005C000E"/>
    <w:rsid w:val="005C314D"/>
    <w:rsid w:val="005C6149"/>
    <w:rsid w:val="005D653A"/>
    <w:rsid w:val="005E2374"/>
    <w:rsid w:val="005E666C"/>
    <w:rsid w:val="005F0977"/>
    <w:rsid w:val="005F306A"/>
    <w:rsid w:val="005F3E08"/>
    <w:rsid w:val="005F6254"/>
    <w:rsid w:val="005F7FDF"/>
    <w:rsid w:val="00607281"/>
    <w:rsid w:val="0061104F"/>
    <w:rsid w:val="0061438F"/>
    <w:rsid w:val="00616474"/>
    <w:rsid w:val="00620F63"/>
    <w:rsid w:val="006230BC"/>
    <w:rsid w:val="006278C7"/>
    <w:rsid w:val="006431F3"/>
    <w:rsid w:val="00657454"/>
    <w:rsid w:val="00657992"/>
    <w:rsid w:val="00665342"/>
    <w:rsid w:val="00674A22"/>
    <w:rsid w:val="00675899"/>
    <w:rsid w:val="0067794B"/>
    <w:rsid w:val="00680544"/>
    <w:rsid w:val="006849A6"/>
    <w:rsid w:val="00693B8A"/>
    <w:rsid w:val="00695D52"/>
    <w:rsid w:val="006B0A03"/>
    <w:rsid w:val="006B1E9D"/>
    <w:rsid w:val="006B415A"/>
    <w:rsid w:val="006D4518"/>
    <w:rsid w:val="006D5D3E"/>
    <w:rsid w:val="006D7F5E"/>
    <w:rsid w:val="006E2360"/>
    <w:rsid w:val="006E3819"/>
    <w:rsid w:val="006E4909"/>
    <w:rsid w:val="006E6D69"/>
    <w:rsid w:val="006F5C2C"/>
    <w:rsid w:val="0070049D"/>
    <w:rsid w:val="007023F3"/>
    <w:rsid w:val="007045BE"/>
    <w:rsid w:val="00706A77"/>
    <w:rsid w:val="00712825"/>
    <w:rsid w:val="00714B45"/>
    <w:rsid w:val="00733269"/>
    <w:rsid w:val="00740AC8"/>
    <w:rsid w:val="00742586"/>
    <w:rsid w:val="0074749B"/>
    <w:rsid w:val="00756044"/>
    <w:rsid w:val="00772BEE"/>
    <w:rsid w:val="00784E3A"/>
    <w:rsid w:val="00796976"/>
    <w:rsid w:val="007A519B"/>
    <w:rsid w:val="007B2791"/>
    <w:rsid w:val="007C069B"/>
    <w:rsid w:val="007D29D6"/>
    <w:rsid w:val="007D4C6D"/>
    <w:rsid w:val="007E0C24"/>
    <w:rsid w:val="007F060F"/>
    <w:rsid w:val="00816F27"/>
    <w:rsid w:val="00843149"/>
    <w:rsid w:val="0085282F"/>
    <w:rsid w:val="008579B8"/>
    <w:rsid w:val="0086500E"/>
    <w:rsid w:val="008741E0"/>
    <w:rsid w:val="00886C8C"/>
    <w:rsid w:val="0088709E"/>
    <w:rsid w:val="00891E39"/>
    <w:rsid w:val="0089363A"/>
    <w:rsid w:val="00893F84"/>
    <w:rsid w:val="00894320"/>
    <w:rsid w:val="00896C50"/>
    <w:rsid w:val="008A1CF9"/>
    <w:rsid w:val="008A42CD"/>
    <w:rsid w:val="008B2F10"/>
    <w:rsid w:val="008B4181"/>
    <w:rsid w:val="008D27F3"/>
    <w:rsid w:val="008E58CD"/>
    <w:rsid w:val="008F0C90"/>
    <w:rsid w:val="008F18E2"/>
    <w:rsid w:val="008F50E1"/>
    <w:rsid w:val="008F5463"/>
    <w:rsid w:val="008F6DE3"/>
    <w:rsid w:val="0090236C"/>
    <w:rsid w:val="009033CA"/>
    <w:rsid w:val="00907DCF"/>
    <w:rsid w:val="009106CF"/>
    <w:rsid w:val="009174B5"/>
    <w:rsid w:val="009202A9"/>
    <w:rsid w:val="00923230"/>
    <w:rsid w:val="00925B5C"/>
    <w:rsid w:val="009315E7"/>
    <w:rsid w:val="0093530C"/>
    <w:rsid w:val="009430BD"/>
    <w:rsid w:val="00944011"/>
    <w:rsid w:val="0096221B"/>
    <w:rsid w:val="009962F2"/>
    <w:rsid w:val="009A199B"/>
    <w:rsid w:val="009B11E3"/>
    <w:rsid w:val="009B1BF7"/>
    <w:rsid w:val="00A22B0F"/>
    <w:rsid w:val="00A24FC4"/>
    <w:rsid w:val="00A5524B"/>
    <w:rsid w:val="00A64ADF"/>
    <w:rsid w:val="00A77A8F"/>
    <w:rsid w:val="00A92999"/>
    <w:rsid w:val="00AA79A1"/>
    <w:rsid w:val="00AB0C0C"/>
    <w:rsid w:val="00AD6B4D"/>
    <w:rsid w:val="00AE0224"/>
    <w:rsid w:val="00AE2539"/>
    <w:rsid w:val="00AE3852"/>
    <w:rsid w:val="00B06F95"/>
    <w:rsid w:val="00B10C83"/>
    <w:rsid w:val="00B27688"/>
    <w:rsid w:val="00B3164C"/>
    <w:rsid w:val="00B700DF"/>
    <w:rsid w:val="00B71930"/>
    <w:rsid w:val="00B813CC"/>
    <w:rsid w:val="00B92F45"/>
    <w:rsid w:val="00B9556E"/>
    <w:rsid w:val="00BA2A7F"/>
    <w:rsid w:val="00BB2289"/>
    <w:rsid w:val="00BC5313"/>
    <w:rsid w:val="00BC6F09"/>
    <w:rsid w:val="00BD789F"/>
    <w:rsid w:val="00BE1517"/>
    <w:rsid w:val="00BF3C77"/>
    <w:rsid w:val="00BF3FCE"/>
    <w:rsid w:val="00C16D9E"/>
    <w:rsid w:val="00C21530"/>
    <w:rsid w:val="00C21E67"/>
    <w:rsid w:val="00C444FE"/>
    <w:rsid w:val="00C55955"/>
    <w:rsid w:val="00C5779F"/>
    <w:rsid w:val="00C70616"/>
    <w:rsid w:val="00C92B7B"/>
    <w:rsid w:val="00C96982"/>
    <w:rsid w:val="00CA08FA"/>
    <w:rsid w:val="00CA0A24"/>
    <w:rsid w:val="00CA257C"/>
    <w:rsid w:val="00CA573B"/>
    <w:rsid w:val="00CC5651"/>
    <w:rsid w:val="00CC619F"/>
    <w:rsid w:val="00CE05C3"/>
    <w:rsid w:val="00CE5255"/>
    <w:rsid w:val="00D11CCF"/>
    <w:rsid w:val="00D161D8"/>
    <w:rsid w:val="00D2344F"/>
    <w:rsid w:val="00D25908"/>
    <w:rsid w:val="00D33CE9"/>
    <w:rsid w:val="00D42F2B"/>
    <w:rsid w:val="00D44763"/>
    <w:rsid w:val="00D46175"/>
    <w:rsid w:val="00D8236D"/>
    <w:rsid w:val="00D97BAB"/>
    <w:rsid w:val="00DA53C5"/>
    <w:rsid w:val="00DA7561"/>
    <w:rsid w:val="00DB3375"/>
    <w:rsid w:val="00DC254F"/>
    <w:rsid w:val="00DD00B4"/>
    <w:rsid w:val="00DD4215"/>
    <w:rsid w:val="00DD425F"/>
    <w:rsid w:val="00DD6590"/>
    <w:rsid w:val="00DE2030"/>
    <w:rsid w:val="00E07B28"/>
    <w:rsid w:val="00E07CA6"/>
    <w:rsid w:val="00E24C1E"/>
    <w:rsid w:val="00E304F9"/>
    <w:rsid w:val="00E434E7"/>
    <w:rsid w:val="00E44B84"/>
    <w:rsid w:val="00E87CCB"/>
    <w:rsid w:val="00EA3E59"/>
    <w:rsid w:val="00EA3F8D"/>
    <w:rsid w:val="00EA6222"/>
    <w:rsid w:val="00EC38FC"/>
    <w:rsid w:val="00EC5E54"/>
    <w:rsid w:val="00EC7D79"/>
    <w:rsid w:val="00ED5877"/>
    <w:rsid w:val="00ED6D26"/>
    <w:rsid w:val="00F0575B"/>
    <w:rsid w:val="00F0648E"/>
    <w:rsid w:val="00F30EE8"/>
    <w:rsid w:val="00F3183F"/>
    <w:rsid w:val="00F43973"/>
    <w:rsid w:val="00F43CD2"/>
    <w:rsid w:val="00F46E71"/>
    <w:rsid w:val="00F63DC6"/>
    <w:rsid w:val="00F7004A"/>
    <w:rsid w:val="00F73FC2"/>
    <w:rsid w:val="00F777C7"/>
    <w:rsid w:val="00F84347"/>
    <w:rsid w:val="00FB69AE"/>
    <w:rsid w:val="00FD4DBD"/>
    <w:rsid w:val="00FE20DE"/>
    <w:rsid w:val="00FE5F8A"/>
    <w:rsid w:val="00FF1B17"/>
    <w:rsid w:val="00FF5B8E"/>
    <w:rsid w:val="00FF6728"/>
    <w:rsid w:val="00FF6FFC"/>
    <w:rsid w:val="00FF7991"/>
    <w:rsid w:val="014EAFE6"/>
    <w:rsid w:val="05EC5E9B"/>
    <w:rsid w:val="066F6A3C"/>
    <w:rsid w:val="10362108"/>
    <w:rsid w:val="16090E2A"/>
    <w:rsid w:val="1A78F8BC"/>
    <w:rsid w:val="24287888"/>
    <w:rsid w:val="2537E002"/>
    <w:rsid w:val="2989F849"/>
    <w:rsid w:val="3D76F797"/>
    <w:rsid w:val="41F6AFB9"/>
    <w:rsid w:val="475D00DF"/>
    <w:rsid w:val="47CB204F"/>
    <w:rsid w:val="4DAED45E"/>
    <w:rsid w:val="509CACFB"/>
    <w:rsid w:val="5164C615"/>
    <w:rsid w:val="56488C47"/>
    <w:rsid w:val="59A1AA03"/>
    <w:rsid w:val="5F282C3A"/>
    <w:rsid w:val="61041676"/>
    <w:rsid w:val="62CA6B0E"/>
    <w:rsid w:val="6A157A3B"/>
    <w:rsid w:val="6CD9D1F0"/>
    <w:rsid w:val="737F88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1958"/>
  <w15:chartTrackingRefBased/>
  <w15:docId w15:val="{4B850A1C-3ECE-4A31-A72B-773C7BB6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Texto nota al pie"/>
    <w:basedOn w:val="Normal"/>
    <w:link w:val="TextonotapieCar1"/>
    <w:uiPriority w:val="99"/>
    <w:qFormat/>
    <w:rsid w:val="007560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notapieCar">
    <w:name w:val="Texto nota pie Car"/>
    <w:aliases w:val="Ref. de nota al pie1 Car,Texto de nota al pie Car,Footnotes refss Car,Appel note de bas de page Car,Ref. de nota al pie 2 Car,referencia nota al pie Car,Nota de pie Car,Texto nota al pie Car,Footnote number Car,4_G Car,16 Point Car"/>
    <w:basedOn w:val="Fuentedeprrafopredeter"/>
    <w:uiPriority w:val="99"/>
    <w:qFormat/>
    <w:rsid w:val="00756044"/>
    <w:rPr>
      <w:sz w:val="20"/>
      <w:szCs w:val="20"/>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4_G,R,F"/>
    <w:link w:val="4GChar"/>
    <w:uiPriority w:val="99"/>
    <w:qFormat/>
    <w:rsid w:val="00756044"/>
    <w:rPr>
      <w:rFonts w:cs="Times New Roman"/>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756044"/>
    <w:rPr>
      <w:rFonts w:ascii="Times New Roman" w:eastAsia="Times New Roman" w:hAnsi="Times New Roman" w:cs="Times New Roman"/>
      <w:sz w:val="20"/>
      <w:szCs w:val="20"/>
      <w:lang w:val="es-ES" w:eastAsia="es-ES"/>
    </w:rPr>
  </w:style>
  <w:style w:type="paragraph" w:styleId="Prrafodelista">
    <w:name w:val="List Paragraph"/>
    <w:aliases w:val="Colorful List - Accent 11,Ha,List Paragraph1,lp1"/>
    <w:basedOn w:val="Normal"/>
    <w:link w:val="PrrafodelistaCar"/>
    <w:uiPriority w:val="34"/>
    <w:qFormat/>
    <w:rsid w:val="00DE2030"/>
    <w:pPr>
      <w:spacing w:after="0" w:line="240" w:lineRule="auto"/>
      <w:ind w:left="720"/>
    </w:pPr>
    <w:rPr>
      <w:rFonts w:ascii="Times New Roman" w:eastAsia="Times New Roman" w:hAnsi="Times New Roman" w:cs="Times New Roman"/>
      <w:sz w:val="28"/>
      <w:szCs w:val="20"/>
      <w:lang w:val="es-CO" w:eastAsia="es-ES"/>
    </w:rPr>
  </w:style>
  <w:style w:type="character" w:customStyle="1" w:styleId="PrrafodelistaCar">
    <w:name w:val="Párrafo de lista Car"/>
    <w:aliases w:val="Colorful List - Accent 11 Car,Ha Car,List Paragraph1 Car,lp1 Car"/>
    <w:link w:val="Prrafodelista"/>
    <w:uiPriority w:val="34"/>
    <w:locked/>
    <w:rsid w:val="00DE2030"/>
    <w:rPr>
      <w:rFonts w:ascii="Times New Roman" w:eastAsia="Times New Roman" w:hAnsi="Times New Roman" w:cs="Times New Roman"/>
      <w:sz w:val="28"/>
      <w:szCs w:val="20"/>
      <w:lang w:val="es-CO" w:eastAsia="es-ES"/>
    </w:rPr>
  </w:style>
  <w:style w:type="paragraph" w:styleId="Textodeglobo">
    <w:name w:val="Balloon Text"/>
    <w:basedOn w:val="Normal"/>
    <w:link w:val="TextodegloboCar"/>
    <w:uiPriority w:val="99"/>
    <w:semiHidden/>
    <w:unhideWhenUsed/>
    <w:rsid w:val="008F54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5463"/>
    <w:rPr>
      <w:rFonts w:ascii="Segoe UI" w:hAnsi="Segoe UI" w:cs="Segoe UI"/>
      <w:sz w:val="18"/>
      <w:szCs w:val="18"/>
    </w:rPr>
  </w:style>
  <w:style w:type="paragraph" w:styleId="Encabezado">
    <w:name w:val="header"/>
    <w:basedOn w:val="Normal"/>
    <w:link w:val="EncabezadoCar"/>
    <w:uiPriority w:val="99"/>
    <w:unhideWhenUsed/>
    <w:rsid w:val="001708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0829"/>
  </w:style>
  <w:style w:type="paragraph" w:styleId="Piedepgina">
    <w:name w:val="footer"/>
    <w:basedOn w:val="Normal"/>
    <w:link w:val="PiedepginaCar"/>
    <w:uiPriority w:val="99"/>
    <w:unhideWhenUsed/>
    <w:rsid w:val="001708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0829"/>
  </w:style>
  <w:style w:type="character" w:styleId="Hipervnculo">
    <w:name w:val="Hyperlink"/>
    <w:basedOn w:val="Fuentedeprrafopredeter"/>
    <w:uiPriority w:val="99"/>
    <w:semiHidden/>
    <w:unhideWhenUsed/>
    <w:rsid w:val="00F3183F"/>
    <w:rPr>
      <w:color w:val="0000FF"/>
      <w:u w:val="single"/>
    </w:rPr>
  </w:style>
  <w:style w:type="paragraph" w:styleId="Textoindependiente">
    <w:name w:val="Body Text"/>
    <w:aliases w:val="Car"/>
    <w:basedOn w:val="Normal"/>
    <w:link w:val="TextoindependienteCar"/>
    <w:uiPriority w:val="99"/>
    <w:rsid w:val="00AD6B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288" w:lineRule="atLeast"/>
      <w:jc w:val="both"/>
      <w:textAlignment w:val="baseline"/>
    </w:pPr>
    <w:rPr>
      <w:rFonts w:ascii="Verdana" w:eastAsia="Times New Roman" w:hAnsi="Verdana" w:cs="Times New Roman"/>
      <w:spacing w:val="-3"/>
      <w:sz w:val="20"/>
      <w:szCs w:val="20"/>
      <w:lang w:val="es-ES_tradnl" w:eastAsia="es-ES"/>
    </w:rPr>
  </w:style>
  <w:style w:type="character" w:customStyle="1" w:styleId="TextoindependienteCar">
    <w:name w:val="Texto independiente Car"/>
    <w:aliases w:val="Car Car"/>
    <w:basedOn w:val="Fuentedeprrafopredeter"/>
    <w:link w:val="Textoindependiente"/>
    <w:uiPriority w:val="99"/>
    <w:rsid w:val="00AD6B4D"/>
    <w:rPr>
      <w:rFonts w:ascii="Verdana" w:eastAsia="Times New Roman" w:hAnsi="Verdana" w:cs="Times New Roman"/>
      <w:spacing w:val="-3"/>
      <w:sz w:val="20"/>
      <w:szCs w:val="20"/>
      <w:lang w:val="es-ES_tradnl" w:eastAsia="es-ES"/>
    </w:rPr>
  </w:style>
  <w:style w:type="character" w:styleId="Nmerodepgina">
    <w:name w:val="page number"/>
    <w:uiPriority w:val="99"/>
    <w:rsid w:val="00665342"/>
    <w:rPr>
      <w:rFonts w:cs="Times New Roman"/>
    </w:rPr>
  </w:style>
  <w:style w:type="paragraph" w:customStyle="1" w:styleId="Body">
    <w:name w:val="Body"/>
    <w:rsid w:val="00665342"/>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Arial Unicode MS" w:hAnsi="Times New Roman" w:cs="Times New Roman"/>
      <w:color w:val="000000"/>
      <w:sz w:val="28"/>
      <w:szCs w:val="28"/>
      <w:u w:color="000000"/>
      <w:lang w:val="es-ES" w:eastAsia="es-ES"/>
    </w:rPr>
  </w:style>
  <w:style w:type="paragraph" w:styleId="NormalWeb">
    <w:name w:val="Normal (Web)"/>
    <w:basedOn w:val="Normal"/>
    <w:uiPriority w:val="99"/>
    <w:semiHidden/>
    <w:unhideWhenUsed/>
    <w:rsid w:val="00F84347"/>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customStyle="1" w:styleId="Sinespaciado1">
    <w:name w:val="Sin espaciado1"/>
    <w:link w:val="NoSpacingChar"/>
    <w:uiPriority w:val="99"/>
    <w:rsid w:val="00733269"/>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733269"/>
    <w:rPr>
      <w:rFonts w:ascii="Calibri" w:eastAsia="Times New Roman" w:hAnsi="Calibri" w:cs="Times New Roman"/>
      <w:lang w:val="es-CO"/>
    </w:rPr>
  </w:style>
  <w:style w:type="character" w:customStyle="1" w:styleId="SinespaciadoCar">
    <w:name w:val="Sin espaciado Car"/>
    <w:link w:val="Sinespaciado"/>
    <w:uiPriority w:val="1"/>
    <w:locked/>
    <w:rsid w:val="00DD425F"/>
    <w:rPr>
      <w:rFonts w:ascii="Courier New" w:eastAsia="Times New Roman" w:hAnsi="Courier New" w:cs="Times New Roman"/>
      <w:lang w:val="es-ES" w:eastAsia="es-ES"/>
    </w:rPr>
  </w:style>
  <w:style w:type="paragraph" w:styleId="Sinespaciado">
    <w:name w:val="No Spacing"/>
    <w:link w:val="SinespaciadoCar"/>
    <w:uiPriority w:val="1"/>
    <w:qFormat/>
    <w:rsid w:val="00DD425F"/>
    <w:pPr>
      <w:widowControl w:val="0"/>
      <w:autoSpaceDE w:val="0"/>
      <w:autoSpaceDN w:val="0"/>
      <w:adjustRightInd w:val="0"/>
      <w:spacing w:after="0" w:line="240" w:lineRule="auto"/>
    </w:pPr>
    <w:rPr>
      <w:rFonts w:ascii="Courier New" w:eastAsia="Times New Roman" w:hAnsi="Courier New" w:cs="Times New Roman"/>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F63DC6"/>
    <w:pPr>
      <w:spacing w:after="0" w:line="240" w:lineRule="auto"/>
      <w:jc w:val="both"/>
    </w:pPr>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29293">
      <w:bodyDiv w:val="1"/>
      <w:marLeft w:val="0"/>
      <w:marRight w:val="0"/>
      <w:marTop w:val="0"/>
      <w:marBottom w:val="0"/>
      <w:divBdr>
        <w:top w:val="none" w:sz="0" w:space="0" w:color="auto"/>
        <w:left w:val="none" w:sz="0" w:space="0" w:color="auto"/>
        <w:bottom w:val="none" w:sz="0" w:space="0" w:color="auto"/>
        <w:right w:val="none" w:sz="0" w:space="0" w:color="auto"/>
      </w:divBdr>
    </w:div>
    <w:div w:id="768738170">
      <w:bodyDiv w:val="1"/>
      <w:marLeft w:val="0"/>
      <w:marRight w:val="0"/>
      <w:marTop w:val="0"/>
      <w:marBottom w:val="0"/>
      <w:divBdr>
        <w:top w:val="none" w:sz="0" w:space="0" w:color="auto"/>
        <w:left w:val="none" w:sz="0" w:space="0" w:color="auto"/>
        <w:bottom w:val="none" w:sz="0" w:space="0" w:color="auto"/>
        <w:right w:val="none" w:sz="0" w:space="0" w:color="auto"/>
      </w:divBdr>
    </w:div>
    <w:div w:id="1541015333">
      <w:bodyDiv w:val="1"/>
      <w:marLeft w:val="0"/>
      <w:marRight w:val="0"/>
      <w:marTop w:val="0"/>
      <w:marBottom w:val="0"/>
      <w:divBdr>
        <w:top w:val="none" w:sz="0" w:space="0" w:color="auto"/>
        <w:left w:val="none" w:sz="0" w:space="0" w:color="auto"/>
        <w:bottom w:val="none" w:sz="0" w:space="0" w:color="auto"/>
        <w:right w:val="none" w:sz="0" w:space="0" w:color="auto"/>
      </w:divBdr>
    </w:div>
    <w:div w:id="211498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1635af6dc8b949e9"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s://www.dane.gov.co/index.php/estadisticas-por-tema/demografia-y-poblacion/estimaciones-del-cambio-demografico" TargetMode="External"/><Relationship Id="rId1" Type="http://schemas.openxmlformats.org/officeDocument/2006/relationships/hyperlink" Target="http://www.lexbase.biz/lexbase/jurisprudencia/tutelas/corte%20constitucional/2010/T0660de201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C082C-12BB-49F6-9BF3-0D62CDEE51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9A6980-D705-4E8A-A798-84BFFE1461A2}">
  <ds:schemaRefs>
    <ds:schemaRef ds:uri="http://schemas.microsoft.com/sharepoint/v3/contenttype/forms"/>
  </ds:schemaRefs>
</ds:datastoreItem>
</file>

<file path=customXml/itemProps3.xml><?xml version="1.0" encoding="utf-8"?>
<ds:datastoreItem xmlns:ds="http://schemas.openxmlformats.org/officeDocument/2006/customXml" ds:itemID="{D48CFA24-98EB-46FA-83B0-90806F39B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42752A-58EF-44AD-AD57-136425CCF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2354</Words>
  <Characters>12953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dc:description/>
  <cp:lastModifiedBy>Hermides Alonso Gaviria Ocampo</cp:lastModifiedBy>
  <cp:revision>5</cp:revision>
  <cp:lastPrinted>2019-04-25T12:29:00Z</cp:lastPrinted>
  <dcterms:created xsi:type="dcterms:W3CDTF">2022-02-02T19:10:00Z</dcterms:created>
  <dcterms:modified xsi:type="dcterms:W3CDTF">2022-04-07T20:47:00Z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