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CCCA0" w14:textId="77777777" w:rsidR="000D674A" w:rsidRPr="000D674A" w:rsidRDefault="000D674A" w:rsidP="000D674A">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bookmarkStart w:id="1" w:name="_Hlk94773787"/>
      <w:r w:rsidRPr="000D674A">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B2313A2" w14:textId="77777777" w:rsidR="000D674A" w:rsidRPr="000D674A" w:rsidRDefault="000D674A" w:rsidP="000D674A">
      <w:pPr>
        <w:spacing w:after="0" w:line="240" w:lineRule="auto"/>
        <w:jc w:val="both"/>
        <w:rPr>
          <w:rFonts w:ascii="Arial" w:eastAsia="Times New Roman" w:hAnsi="Arial" w:cs="Arial"/>
          <w:sz w:val="20"/>
          <w:szCs w:val="20"/>
          <w:lang w:val="es-419" w:eastAsia="es-ES"/>
        </w:rPr>
      </w:pPr>
    </w:p>
    <w:p w14:paraId="0440686E" w14:textId="77777777" w:rsidR="007F7CA6" w:rsidRPr="007F7CA6" w:rsidRDefault="007F7CA6" w:rsidP="007F7CA6">
      <w:pPr>
        <w:spacing w:after="0" w:line="240" w:lineRule="auto"/>
        <w:jc w:val="both"/>
        <w:rPr>
          <w:rFonts w:ascii="Arial" w:eastAsia="Times New Roman" w:hAnsi="Arial" w:cs="Arial"/>
          <w:sz w:val="20"/>
          <w:szCs w:val="20"/>
          <w:lang w:val="es-419" w:eastAsia="es-ES"/>
        </w:rPr>
      </w:pPr>
      <w:r w:rsidRPr="007F7CA6">
        <w:rPr>
          <w:rFonts w:ascii="Arial" w:eastAsia="Times New Roman" w:hAnsi="Arial" w:cs="Arial"/>
          <w:sz w:val="20"/>
          <w:szCs w:val="20"/>
          <w:lang w:val="es-419" w:eastAsia="es-ES"/>
        </w:rPr>
        <w:t xml:space="preserve">Expediente:  </w:t>
      </w:r>
      <w:r w:rsidRPr="007F7CA6">
        <w:rPr>
          <w:rFonts w:ascii="Arial" w:eastAsia="Times New Roman" w:hAnsi="Arial" w:cs="Arial"/>
          <w:sz w:val="20"/>
          <w:szCs w:val="20"/>
          <w:lang w:val="es-419" w:eastAsia="es-ES"/>
        </w:rPr>
        <w:tab/>
        <w:t>66001310300520130010703</w:t>
      </w:r>
    </w:p>
    <w:p w14:paraId="35F2FDCE" w14:textId="13545654" w:rsidR="007F7CA6" w:rsidRPr="007F7CA6" w:rsidRDefault="007F7CA6" w:rsidP="007F7CA6">
      <w:pPr>
        <w:spacing w:after="0" w:line="240" w:lineRule="auto"/>
        <w:jc w:val="both"/>
        <w:rPr>
          <w:rFonts w:ascii="Arial" w:eastAsia="Times New Roman" w:hAnsi="Arial" w:cs="Arial"/>
          <w:sz w:val="20"/>
          <w:szCs w:val="20"/>
          <w:lang w:val="es-419" w:eastAsia="es-ES"/>
        </w:rPr>
      </w:pPr>
      <w:r w:rsidRPr="007F7CA6">
        <w:rPr>
          <w:rFonts w:ascii="Arial" w:eastAsia="Times New Roman" w:hAnsi="Arial" w:cs="Arial"/>
          <w:sz w:val="20"/>
          <w:szCs w:val="20"/>
          <w:lang w:val="es-419" w:eastAsia="es-ES"/>
        </w:rPr>
        <w:t xml:space="preserve">Proceso: </w:t>
      </w:r>
      <w:r w:rsidRPr="007F7CA6">
        <w:rPr>
          <w:rFonts w:ascii="Arial" w:eastAsia="Times New Roman" w:hAnsi="Arial" w:cs="Arial"/>
          <w:sz w:val="20"/>
          <w:szCs w:val="20"/>
          <w:lang w:val="es-419" w:eastAsia="es-ES"/>
        </w:rPr>
        <w:tab/>
        <w:t>Responsabilidad Civil</w:t>
      </w:r>
    </w:p>
    <w:p w14:paraId="45FFAA5E" w14:textId="4E78123F" w:rsidR="007F7CA6" w:rsidRPr="007F7CA6" w:rsidRDefault="007F7CA6" w:rsidP="007F7CA6">
      <w:pPr>
        <w:spacing w:after="0" w:line="240" w:lineRule="auto"/>
        <w:jc w:val="both"/>
        <w:rPr>
          <w:rFonts w:ascii="Arial" w:eastAsia="Times New Roman" w:hAnsi="Arial" w:cs="Arial"/>
          <w:sz w:val="20"/>
          <w:szCs w:val="20"/>
          <w:lang w:val="es-419" w:eastAsia="es-ES"/>
        </w:rPr>
      </w:pPr>
      <w:r w:rsidRPr="007F7CA6">
        <w:rPr>
          <w:rFonts w:ascii="Arial" w:eastAsia="Times New Roman" w:hAnsi="Arial" w:cs="Arial"/>
          <w:sz w:val="20"/>
          <w:szCs w:val="20"/>
          <w:lang w:val="es-419" w:eastAsia="es-ES"/>
        </w:rPr>
        <w:t xml:space="preserve">Asunto: </w:t>
      </w:r>
      <w:r w:rsidRPr="007F7CA6">
        <w:rPr>
          <w:rFonts w:ascii="Arial" w:eastAsia="Times New Roman" w:hAnsi="Arial" w:cs="Arial"/>
          <w:sz w:val="20"/>
          <w:szCs w:val="20"/>
          <w:lang w:val="es-419" w:eastAsia="es-ES"/>
        </w:rPr>
        <w:tab/>
        <w:t>Objeción agencias en derecho</w:t>
      </w:r>
    </w:p>
    <w:p w14:paraId="7C37AC84" w14:textId="77777777" w:rsidR="007F7CA6" w:rsidRPr="007F7CA6" w:rsidRDefault="007F7CA6" w:rsidP="007F7CA6">
      <w:pPr>
        <w:spacing w:after="0" w:line="240" w:lineRule="auto"/>
        <w:jc w:val="both"/>
        <w:rPr>
          <w:rFonts w:ascii="Arial" w:eastAsia="Times New Roman" w:hAnsi="Arial" w:cs="Arial"/>
          <w:sz w:val="20"/>
          <w:szCs w:val="20"/>
          <w:lang w:val="es-419" w:eastAsia="es-ES"/>
        </w:rPr>
      </w:pPr>
      <w:r w:rsidRPr="007F7CA6">
        <w:rPr>
          <w:rFonts w:ascii="Arial" w:eastAsia="Times New Roman" w:hAnsi="Arial" w:cs="Arial"/>
          <w:sz w:val="20"/>
          <w:szCs w:val="20"/>
          <w:lang w:val="es-419" w:eastAsia="es-ES"/>
        </w:rPr>
        <w:t xml:space="preserve">Demandante:   </w:t>
      </w:r>
      <w:r w:rsidRPr="007F7CA6">
        <w:rPr>
          <w:rFonts w:ascii="Arial" w:eastAsia="Times New Roman" w:hAnsi="Arial" w:cs="Arial"/>
          <w:sz w:val="20"/>
          <w:szCs w:val="20"/>
          <w:lang w:val="es-419" w:eastAsia="es-ES"/>
        </w:rPr>
        <w:tab/>
        <w:t>Ferretería Colombia Ltda. y otro</w:t>
      </w:r>
    </w:p>
    <w:p w14:paraId="2BB4EAEB" w14:textId="72F54912" w:rsidR="000D674A" w:rsidRPr="000D674A" w:rsidRDefault="007F7CA6" w:rsidP="007F7CA6">
      <w:pPr>
        <w:spacing w:after="0" w:line="240" w:lineRule="auto"/>
        <w:jc w:val="both"/>
        <w:rPr>
          <w:rFonts w:ascii="Arial" w:eastAsia="Times New Roman" w:hAnsi="Arial" w:cs="Arial"/>
          <w:sz w:val="20"/>
          <w:szCs w:val="20"/>
          <w:lang w:val="es-419" w:eastAsia="es-ES"/>
        </w:rPr>
      </w:pPr>
      <w:r w:rsidRPr="007F7CA6">
        <w:rPr>
          <w:rFonts w:ascii="Arial" w:eastAsia="Times New Roman" w:hAnsi="Arial" w:cs="Arial"/>
          <w:sz w:val="20"/>
          <w:szCs w:val="20"/>
          <w:lang w:val="es-419" w:eastAsia="es-ES"/>
        </w:rPr>
        <w:t>Demandado:</w:t>
      </w:r>
      <w:r w:rsidRPr="007F7CA6">
        <w:rPr>
          <w:rFonts w:ascii="Arial" w:eastAsia="Times New Roman" w:hAnsi="Arial" w:cs="Arial"/>
          <w:sz w:val="20"/>
          <w:szCs w:val="20"/>
          <w:lang w:val="es-419" w:eastAsia="es-ES"/>
        </w:rPr>
        <w:tab/>
        <w:t>Inversiones y Construcciones La Aurora en liquidación y otro</w:t>
      </w:r>
    </w:p>
    <w:p w14:paraId="56A514A2" w14:textId="77777777" w:rsidR="000D674A" w:rsidRPr="000D674A" w:rsidRDefault="000D674A" w:rsidP="000D674A">
      <w:pPr>
        <w:spacing w:after="0" w:line="240" w:lineRule="auto"/>
        <w:jc w:val="both"/>
        <w:rPr>
          <w:rFonts w:ascii="Arial" w:eastAsia="Times New Roman" w:hAnsi="Arial" w:cs="Arial"/>
          <w:sz w:val="20"/>
          <w:szCs w:val="20"/>
          <w:lang w:val="es-419" w:eastAsia="es-ES"/>
        </w:rPr>
      </w:pPr>
    </w:p>
    <w:p w14:paraId="16156DD6" w14:textId="43FC17EF" w:rsidR="000D674A" w:rsidRPr="000D674A" w:rsidRDefault="000D674A" w:rsidP="000D674A">
      <w:pPr>
        <w:spacing w:after="0" w:line="240" w:lineRule="auto"/>
        <w:jc w:val="both"/>
        <w:rPr>
          <w:rFonts w:ascii="Arial" w:eastAsia="Times New Roman" w:hAnsi="Arial" w:cs="Arial"/>
          <w:b/>
          <w:bCs/>
          <w:iCs/>
          <w:sz w:val="20"/>
          <w:szCs w:val="20"/>
          <w:lang w:val="es-419" w:eastAsia="fr-FR"/>
        </w:rPr>
      </w:pPr>
      <w:r w:rsidRPr="000D674A">
        <w:rPr>
          <w:rFonts w:ascii="Arial" w:eastAsia="Times New Roman" w:hAnsi="Arial" w:cs="Arial"/>
          <w:b/>
          <w:bCs/>
          <w:iCs/>
          <w:sz w:val="20"/>
          <w:szCs w:val="20"/>
          <w:u w:val="single"/>
          <w:lang w:val="es-419" w:eastAsia="fr-FR"/>
        </w:rPr>
        <w:t>TEMAS:</w:t>
      </w:r>
      <w:r w:rsidRPr="000D674A">
        <w:rPr>
          <w:rFonts w:ascii="Arial" w:eastAsia="Times New Roman" w:hAnsi="Arial" w:cs="Arial"/>
          <w:b/>
          <w:bCs/>
          <w:iCs/>
          <w:sz w:val="20"/>
          <w:szCs w:val="20"/>
          <w:lang w:val="es-419" w:eastAsia="fr-FR"/>
        </w:rPr>
        <w:tab/>
      </w:r>
      <w:r w:rsidR="00A46F44">
        <w:rPr>
          <w:rFonts w:ascii="Arial" w:eastAsia="Times New Roman" w:hAnsi="Arial" w:cs="Arial"/>
          <w:b/>
          <w:bCs/>
          <w:iCs/>
          <w:sz w:val="20"/>
          <w:szCs w:val="20"/>
          <w:lang w:val="es-419" w:eastAsia="fr-FR"/>
        </w:rPr>
        <w:t xml:space="preserve">AGENCIAS EN DERECHO / </w:t>
      </w:r>
      <w:r w:rsidR="00120B3D">
        <w:rPr>
          <w:rFonts w:ascii="Arial" w:eastAsia="Times New Roman" w:hAnsi="Arial" w:cs="Arial"/>
          <w:b/>
          <w:bCs/>
          <w:iCs/>
          <w:sz w:val="20"/>
          <w:szCs w:val="20"/>
          <w:lang w:val="es-419" w:eastAsia="fr-FR"/>
        </w:rPr>
        <w:t>TRÁMITE QUE DEBE SEGUIRSE EN VIGENCIA DEL CÓDIGO GENERAL DEL PROCESO / LIQUIDACIÓN CONCENTRADA / INCLUYE FIJACIÓN DE TODAS LAS AGENCIAS EN DERECHO POR EL JUEZ DE PRIMERA INSTANCIA / ANÁÑISIS JURISPRUDENCIAL / ACUERDOS 1887 Y 2222 DE 2003.</w:t>
      </w:r>
    </w:p>
    <w:p w14:paraId="4F235C32" w14:textId="77777777" w:rsidR="000D674A" w:rsidRPr="000D674A" w:rsidRDefault="000D674A" w:rsidP="000D674A">
      <w:pPr>
        <w:spacing w:after="0" w:line="240" w:lineRule="auto"/>
        <w:jc w:val="both"/>
        <w:rPr>
          <w:rFonts w:ascii="Arial" w:eastAsia="Times New Roman" w:hAnsi="Arial" w:cs="Arial"/>
          <w:sz w:val="20"/>
          <w:szCs w:val="20"/>
          <w:lang w:val="es-419" w:eastAsia="es-ES"/>
        </w:rPr>
      </w:pPr>
    </w:p>
    <w:p w14:paraId="3F02F45D" w14:textId="4DF85D99" w:rsidR="00DF10BD" w:rsidRPr="00DF10BD" w:rsidRDefault="00DF10BD" w:rsidP="00DF10BD">
      <w:pPr>
        <w:spacing w:after="0" w:line="240" w:lineRule="auto"/>
        <w:jc w:val="both"/>
        <w:rPr>
          <w:rFonts w:ascii="Arial" w:eastAsia="Times New Roman" w:hAnsi="Arial" w:cs="Arial"/>
          <w:sz w:val="20"/>
          <w:szCs w:val="20"/>
          <w:lang w:val="es-419" w:eastAsia="es-ES"/>
        </w:rPr>
      </w:pPr>
      <w:r w:rsidRPr="00DF10BD">
        <w:rPr>
          <w:rFonts w:ascii="Arial" w:eastAsia="Times New Roman" w:hAnsi="Arial" w:cs="Arial"/>
          <w:sz w:val="20"/>
          <w:szCs w:val="20"/>
          <w:lang w:val="es-419" w:eastAsia="es-ES"/>
        </w:rPr>
        <w:t xml:space="preserve">La modificación que se introdujo a la liquidación de costas fue trascendental, porque el artículo 366 del CGP establece que se hará de manera concentrada en el juzgado que haya conocido del proceso en primera o única instancia. Esto implica que ese ejercicio se lleve a cabo solo una vez, cuando quede en firme la providencia que le ponga fin al proceso o el auto que ordene cumplir lo resuelto por el superior. </w:t>
      </w:r>
    </w:p>
    <w:p w14:paraId="6F6563BB" w14:textId="77777777" w:rsidR="00DF10BD" w:rsidRPr="00DF10BD" w:rsidRDefault="00DF10BD" w:rsidP="00DF10BD">
      <w:pPr>
        <w:spacing w:after="0" w:line="240" w:lineRule="auto"/>
        <w:jc w:val="both"/>
        <w:rPr>
          <w:rFonts w:ascii="Arial" w:eastAsia="Times New Roman" w:hAnsi="Arial" w:cs="Arial"/>
          <w:sz w:val="20"/>
          <w:szCs w:val="20"/>
          <w:lang w:val="es-419" w:eastAsia="es-ES"/>
        </w:rPr>
      </w:pPr>
    </w:p>
    <w:p w14:paraId="1A94BF83" w14:textId="7436B90B" w:rsidR="000D674A" w:rsidRPr="000D674A" w:rsidRDefault="00DF10BD" w:rsidP="00DF10BD">
      <w:pPr>
        <w:spacing w:after="0" w:line="240" w:lineRule="auto"/>
        <w:jc w:val="both"/>
        <w:rPr>
          <w:rFonts w:ascii="Arial" w:eastAsia="Times New Roman" w:hAnsi="Arial" w:cs="Arial"/>
          <w:sz w:val="20"/>
          <w:szCs w:val="20"/>
          <w:lang w:val="es-419" w:eastAsia="es-ES"/>
        </w:rPr>
      </w:pPr>
      <w:r w:rsidRPr="00DF10BD">
        <w:rPr>
          <w:rFonts w:ascii="Arial" w:eastAsia="Times New Roman" w:hAnsi="Arial" w:cs="Arial"/>
          <w:sz w:val="20"/>
          <w:szCs w:val="20"/>
          <w:lang w:val="es-419" w:eastAsia="es-ES"/>
        </w:rPr>
        <w:t>Quiere decir, que, en firme una de tales providencias, le corresponde al secretario asumir la liquidación de las costas de cada una de las instancias (primera y segunda) e incluso de las que se causaron en el recurso de casación</w:t>
      </w:r>
      <w:r>
        <w:rPr>
          <w:rFonts w:ascii="Arial" w:eastAsia="Times New Roman" w:hAnsi="Arial" w:cs="Arial"/>
          <w:sz w:val="20"/>
          <w:szCs w:val="20"/>
          <w:lang w:val="es-419" w:eastAsia="es-ES"/>
        </w:rPr>
        <w:t>…</w:t>
      </w:r>
    </w:p>
    <w:p w14:paraId="5783B3CB" w14:textId="77777777" w:rsidR="000D674A" w:rsidRPr="000D674A" w:rsidRDefault="000D674A" w:rsidP="000D674A">
      <w:pPr>
        <w:spacing w:after="0" w:line="240" w:lineRule="auto"/>
        <w:jc w:val="both"/>
        <w:rPr>
          <w:rFonts w:ascii="Arial" w:eastAsia="Times New Roman" w:hAnsi="Arial" w:cs="Arial"/>
          <w:sz w:val="20"/>
          <w:szCs w:val="20"/>
          <w:lang w:val="es-419" w:eastAsia="es-ES"/>
        </w:rPr>
      </w:pPr>
    </w:p>
    <w:p w14:paraId="72955D37" w14:textId="50D3309A" w:rsidR="000D674A" w:rsidRPr="000D674A" w:rsidRDefault="001B7A92" w:rsidP="000D674A">
      <w:pPr>
        <w:spacing w:after="0" w:line="240" w:lineRule="auto"/>
        <w:jc w:val="both"/>
        <w:rPr>
          <w:rFonts w:ascii="Arial" w:eastAsia="Times New Roman" w:hAnsi="Arial" w:cs="Arial"/>
          <w:sz w:val="20"/>
          <w:szCs w:val="20"/>
          <w:lang w:val="es-419" w:eastAsia="es-ES"/>
        </w:rPr>
      </w:pPr>
      <w:r w:rsidRPr="001B7A92">
        <w:rPr>
          <w:rFonts w:ascii="Arial" w:eastAsia="Times New Roman" w:hAnsi="Arial" w:cs="Arial"/>
          <w:sz w:val="20"/>
          <w:szCs w:val="20"/>
          <w:lang w:val="es-419" w:eastAsia="es-ES"/>
        </w:rPr>
        <w:t>Esto, que fue tan preciso en la norma, en criterio de esta Sala, generaba una discusión acerca de quién debe señalar las agencias en derecho, si cada uno de los funcionarios que conozca del proceso, esto es, el juez de circuito en primera instancia, el Tribunal en segunda instancia, y la Corte en casación, o si todas las agencias en derecho debe fijarlas el juez de primer grado o el de única instancia, pues allí se realizará de manera concentrada la liquidación.</w:t>
      </w:r>
      <w:r w:rsidR="0030733D">
        <w:rPr>
          <w:rFonts w:ascii="Arial" w:eastAsia="Times New Roman" w:hAnsi="Arial" w:cs="Arial"/>
          <w:sz w:val="20"/>
          <w:szCs w:val="20"/>
          <w:lang w:val="es-419" w:eastAsia="es-ES"/>
        </w:rPr>
        <w:t xml:space="preserve"> (…)</w:t>
      </w:r>
    </w:p>
    <w:p w14:paraId="67260B74" w14:textId="77777777" w:rsidR="000D674A" w:rsidRPr="000D674A" w:rsidRDefault="000D674A" w:rsidP="000D674A">
      <w:pPr>
        <w:spacing w:after="0" w:line="240" w:lineRule="auto"/>
        <w:jc w:val="both"/>
        <w:rPr>
          <w:rFonts w:ascii="Arial" w:eastAsia="Times New Roman" w:hAnsi="Arial" w:cs="Arial"/>
          <w:sz w:val="20"/>
          <w:szCs w:val="20"/>
          <w:lang w:val="es-419" w:eastAsia="es-ES"/>
        </w:rPr>
      </w:pPr>
    </w:p>
    <w:p w14:paraId="6BE899F7" w14:textId="77777777" w:rsidR="0030733D" w:rsidRPr="0030733D" w:rsidRDefault="0030733D" w:rsidP="0030733D">
      <w:pPr>
        <w:spacing w:after="0" w:line="240" w:lineRule="auto"/>
        <w:jc w:val="both"/>
        <w:rPr>
          <w:rFonts w:ascii="Arial" w:eastAsia="Times New Roman" w:hAnsi="Arial" w:cs="Arial"/>
          <w:sz w:val="20"/>
          <w:szCs w:val="20"/>
          <w:lang w:val="es-419" w:eastAsia="es-ES"/>
        </w:rPr>
      </w:pPr>
      <w:r w:rsidRPr="0030733D">
        <w:rPr>
          <w:rFonts w:ascii="Arial" w:eastAsia="Times New Roman" w:hAnsi="Arial" w:cs="Arial"/>
          <w:sz w:val="20"/>
          <w:szCs w:val="20"/>
          <w:lang w:val="es-419" w:eastAsia="es-ES"/>
        </w:rPr>
        <w:t xml:space="preserve">De la desprevenida lectura de esta regla se infiere que, en consecuencia, todo seguiría como antes en lo que a la fijación de las agencias en derecho se refiere. Es decir, que cada funcionario señalaría el monto de las que causaron en la primera instancia, en la segunda y en la eventual sentencia de casación o revisión. </w:t>
      </w:r>
    </w:p>
    <w:p w14:paraId="55679749" w14:textId="77777777" w:rsidR="0030733D" w:rsidRPr="0030733D" w:rsidRDefault="0030733D" w:rsidP="0030733D">
      <w:pPr>
        <w:spacing w:after="0" w:line="240" w:lineRule="auto"/>
        <w:jc w:val="both"/>
        <w:rPr>
          <w:rFonts w:ascii="Arial" w:eastAsia="Times New Roman" w:hAnsi="Arial" w:cs="Arial"/>
          <w:sz w:val="20"/>
          <w:szCs w:val="20"/>
          <w:lang w:val="es-419" w:eastAsia="es-ES"/>
        </w:rPr>
      </w:pPr>
    </w:p>
    <w:p w14:paraId="39924060" w14:textId="715A18A2" w:rsidR="000D674A" w:rsidRDefault="0030733D" w:rsidP="0030733D">
      <w:pPr>
        <w:spacing w:after="0" w:line="240" w:lineRule="auto"/>
        <w:jc w:val="both"/>
        <w:rPr>
          <w:rFonts w:ascii="Arial" w:eastAsia="Times New Roman" w:hAnsi="Arial" w:cs="Arial"/>
          <w:sz w:val="20"/>
          <w:szCs w:val="20"/>
          <w:lang w:val="es-419" w:eastAsia="es-ES"/>
        </w:rPr>
      </w:pPr>
      <w:r w:rsidRPr="0030733D">
        <w:rPr>
          <w:rFonts w:ascii="Arial" w:eastAsia="Times New Roman" w:hAnsi="Arial" w:cs="Arial"/>
          <w:sz w:val="20"/>
          <w:szCs w:val="20"/>
          <w:lang w:val="es-419" w:eastAsia="es-ES"/>
        </w:rPr>
        <w:t>Pero, un vistazo a los antecedentes del Código General del Proceso, permitiría ver que entre el segundo debate (en Cámara) y el tercero (primero en el Senado), hubo una modificación sustancial</w:t>
      </w:r>
      <w:r>
        <w:rPr>
          <w:rFonts w:ascii="Arial" w:eastAsia="Times New Roman" w:hAnsi="Arial" w:cs="Arial"/>
          <w:sz w:val="20"/>
          <w:szCs w:val="20"/>
          <w:lang w:val="es-419" w:eastAsia="es-ES"/>
        </w:rPr>
        <w:t>…</w:t>
      </w:r>
    </w:p>
    <w:p w14:paraId="576275B3" w14:textId="774A37E7" w:rsidR="0030733D" w:rsidRDefault="0030733D" w:rsidP="0030733D">
      <w:pPr>
        <w:spacing w:after="0" w:line="240" w:lineRule="auto"/>
        <w:jc w:val="both"/>
        <w:rPr>
          <w:rFonts w:ascii="Arial" w:eastAsia="Times New Roman" w:hAnsi="Arial" w:cs="Arial"/>
          <w:sz w:val="20"/>
          <w:szCs w:val="20"/>
          <w:lang w:val="es-419" w:eastAsia="es-ES"/>
        </w:rPr>
      </w:pPr>
    </w:p>
    <w:p w14:paraId="754F9DFD" w14:textId="3B1EE62D" w:rsidR="0030733D" w:rsidRDefault="00733B40" w:rsidP="0030733D">
      <w:pPr>
        <w:spacing w:after="0" w:line="240" w:lineRule="auto"/>
        <w:jc w:val="both"/>
        <w:rPr>
          <w:rFonts w:ascii="Arial" w:eastAsia="Times New Roman" w:hAnsi="Arial" w:cs="Arial"/>
          <w:sz w:val="20"/>
          <w:szCs w:val="20"/>
          <w:lang w:val="es-419" w:eastAsia="es-ES"/>
        </w:rPr>
      </w:pPr>
      <w:r w:rsidRPr="00733B40">
        <w:rPr>
          <w:rFonts w:ascii="Arial" w:eastAsia="Times New Roman" w:hAnsi="Arial" w:cs="Arial"/>
          <w:sz w:val="20"/>
          <w:szCs w:val="20"/>
          <w:lang w:val="es-419" w:eastAsia="es-ES"/>
        </w:rPr>
        <w:t>Como se ve, se suprimió expresamente la obligación de fijar el valor de las agencias en derecho, como venía ocurriendo, deslindando, como es claro, la condena en costas, que es una cosa, y su liquidación, que es otra</w:t>
      </w:r>
      <w:r>
        <w:rPr>
          <w:rFonts w:ascii="Arial" w:eastAsia="Times New Roman" w:hAnsi="Arial" w:cs="Arial"/>
          <w:sz w:val="20"/>
          <w:szCs w:val="20"/>
          <w:lang w:val="es-419" w:eastAsia="es-ES"/>
        </w:rPr>
        <w:t>…</w:t>
      </w:r>
    </w:p>
    <w:p w14:paraId="0E618C2F" w14:textId="4F4BAE41" w:rsidR="0030733D" w:rsidRDefault="0030733D" w:rsidP="0030733D">
      <w:pPr>
        <w:spacing w:after="0" w:line="240" w:lineRule="auto"/>
        <w:jc w:val="both"/>
        <w:rPr>
          <w:rFonts w:ascii="Arial" w:eastAsia="Times New Roman" w:hAnsi="Arial" w:cs="Arial"/>
          <w:sz w:val="20"/>
          <w:szCs w:val="20"/>
          <w:lang w:val="es-419" w:eastAsia="es-ES"/>
        </w:rPr>
      </w:pPr>
    </w:p>
    <w:p w14:paraId="2568E2E2" w14:textId="1C8CE71E" w:rsidR="0030733D" w:rsidRPr="000D674A" w:rsidRDefault="00A46F44" w:rsidP="0030733D">
      <w:pPr>
        <w:spacing w:after="0" w:line="240" w:lineRule="auto"/>
        <w:jc w:val="both"/>
        <w:rPr>
          <w:rFonts w:ascii="Arial" w:eastAsia="Times New Roman" w:hAnsi="Arial" w:cs="Arial"/>
          <w:sz w:val="20"/>
          <w:szCs w:val="20"/>
          <w:lang w:val="es-419" w:eastAsia="es-ES"/>
        </w:rPr>
      </w:pPr>
      <w:r w:rsidRPr="00A46F44">
        <w:rPr>
          <w:rFonts w:ascii="Arial" w:eastAsia="Times New Roman" w:hAnsi="Arial" w:cs="Arial"/>
          <w:sz w:val="20"/>
          <w:szCs w:val="20"/>
          <w:lang w:val="es-419" w:eastAsia="es-ES"/>
        </w:rPr>
        <w:t>Con vigencia de la Ley 794 de 2003, el numeral 3 del artículo 43 de esa normatividad señaló que para la fijación de agencias en derecho debían aplicarse las tarifas que estableciera el Consejo Superior de la Judicatura; y en desarrollo de esa norma, fue expedido el Acuerdo 1887 del 26 de junio de 2003 que se ocupó de esa materia, modificado por el acuerdo 2222 de diciembre 10 de 2003.</w:t>
      </w:r>
    </w:p>
    <w:p w14:paraId="3ABC778B" w14:textId="77777777" w:rsidR="000D674A" w:rsidRPr="000D674A" w:rsidRDefault="000D674A" w:rsidP="000D674A">
      <w:pPr>
        <w:spacing w:after="0" w:line="240" w:lineRule="auto"/>
        <w:jc w:val="both"/>
        <w:rPr>
          <w:rFonts w:ascii="Arial" w:eastAsia="Times New Roman" w:hAnsi="Arial" w:cs="Arial"/>
          <w:sz w:val="20"/>
          <w:szCs w:val="20"/>
          <w:lang w:val="es-ES" w:eastAsia="es-ES"/>
        </w:rPr>
      </w:pPr>
    </w:p>
    <w:p w14:paraId="6B42F313" w14:textId="77777777" w:rsidR="000D674A" w:rsidRPr="000D674A" w:rsidRDefault="000D674A" w:rsidP="000D674A">
      <w:pPr>
        <w:spacing w:after="0" w:line="240" w:lineRule="auto"/>
        <w:jc w:val="both"/>
        <w:rPr>
          <w:rFonts w:ascii="Arial" w:eastAsia="Times New Roman" w:hAnsi="Arial" w:cs="Arial"/>
          <w:sz w:val="20"/>
          <w:szCs w:val="20"/>
          <w:lang w:val="es-ES" w:eastAsia="es-ES"/>
        </w:rPr>
      </w:pPr>
    </w:p>
    <w:p w14:paraId="0274091B" w14:textId="77777777" w:rsidR="000D674A" w:rsidRPr="000D674A" w:rsidRDefault="000D674A" w:rsidP="000D674A">
      <w:pPr>
        <w:spacing w:after="0" w:line="240" w:lineRule="auto"/>
        <w:jc w:val="both"/>
        <w:rPr>
          <w:rFonts w:ascii="Arial" w:eastAsia="Times New Roman" w:hAnsi="Arial" w:cs="Arial"/>
          <w:sz w:val="20"/>
          <w:szCs w:val="20"/>
          <w:lang w:val="es-ES" w:eastAsia="es-ES"/>
        </w:rPr>
      </w:pPr>
    </w:p>
    <w:bookmarkEnd w:id="0"/>
    <w:bookmarkEnd w:id="1"/>
    <w:p w14:paraId="1C3BEE41" w14:textId="77777777" w:rsidR="00EA705B" w:rsidRPr="00136B0C" w:rsidRDefault="00EA705B" w:rsidP="00136B0C">
      <w:pPr>
        <w:keepNext/>
        <w:overflowPunct w:val="0"/>
        <w:autoSpaceDE w:val="0"/>
        <w:autoSpaceDN w:val="0"/>
        <w:adjustRightInd w:val="0"/>
        <w:spacing w:after="0" w:line="276" w:lineRule="auto"/>
        <w:ind w:left="1701"/>
        <w:contextualSpacing/>
        <w:jc w:val="both"/>
        <w:outlineLvl w:val="0"/>
        <w:rPr>
          <w:rFonts w:ascii="Gadugi" w:eastAsia="Malgun Gothic" w:hAnsi="Gadugi" w:cs="Arial Narrow"/>
          <w:b/>
          <w:bCs/>
          <w:sz w:val="24"/>
          <w:szCs w:val="24"/>
          <w:lang w:val="es-419" w:eastAsia="es-ES"/>
        </w:rPr>
      </w:pPr>
      <w:r w:rsidRPr="00136B0C">
        <w:rPr>
          <w:rFonts w:ascii="Gadugi" w:eastAsia="Malgun Gothic" w:hAnsi="Gadugi" w:cs="Arial Narrow"/>
          <w:b/>
          <w:bCs/>
          <w:sz w:val="24"/>
          <w:szCs w:val="24"/>
          <w:lang w:val="es-419" w:eastAsia="es-ES"/>
        </w:rPr>
        <w:t>TRIBUNAL SUPERIOR DEL DISTRITO JUDICIAL</w:t>
      </w:r>
    </w:p>
    <w:p w14:paraId="183CE53A" w14:textId="77777777" w:rsidR="00EA705B" w:rsidRPr="00136B0C" w:rsidRDefault="00EA705B" w:rsidP="00136B0C">
      <w:pPr>
        <w:spacing w:after="0" w:line="276" w:lineRule="auto"/>
        <w:ind w:left="1701"/>
        <w:contextualSpacing/>
        <w:jc w:val="both"/>
        <w:rPr>
          <w:rFonts w:ascii="Gadugi" w:eastAsia="Malgun Gothic" w:hAnsi="Gadugi" w:cs="Estrangelo Edessa"/>
          <w:b/>
          <w:bCs/>
          <w:sz w:val="24"/>
          <w:szCs w:val="24"/>
          <w:lang w:val="es-419"/>
        </w:rPr>
      </w:pPr>
      <w:r w:rsidRPr="00136B0C">
        <w:rPr>
          <w:rFonts w:ascii="Gadugi" w:eastAsia="Malgun Gothic" w:hAnsi="Gadugi" w:cs="Estrangelo Edessa"/>
          <w:b/>
          <w:bCs/>
          <w:sz w:val="24"/>
          <w:szCs w:val="24"/>
          <w:lang w:val="es-419"/>
        </w:rPr>
        <w:t xml:space="preserve">         SALA DE DECISIÓN CIVIL-FAMILIA</w:t>
      </w:r>
    </w:p>
    <w:p w14:paraId="672A6659" w14:textId="6E4CADF4" w:rsidR="00EA705B" w:rsidRPr="00136B0C" w:rsidRDefault="00EA705B" w:rsidP="00136B0C">
      <w:pPr>
        <w:spacing w:after="0" w:line="276" w:lineRule="auto"/>
        <w:ind w:left="1701"/>
        <w:contextualSpacing/>
        <w:jc w:val="both"/>
        <w:rPr>
          <w:rFonts w:ascii="Gadugi" w:eastAsia="Malgun Gothic" w:hAnsi="Gadugi" w:cs="Estrangelo Edessa"/>
          <w:sz w:val="24"/>
          <w:szCs w:val="24"/>
          <w:lang w:val="es-419"/>
        </w:rPr>
      </w:pPr>
    </w:p>
    <w:p w14:paraId="0EBA491A" w14:textId="77777777" w:rsidR="00A40B13" w:rsidRPr="00136B0C" w:rsidRDefault="00A40B13" w:rsidP="00136B0C">
      <w:pPr>
        <w:spacing w:after="0" w:line="276" w:lineRule="auto"/>
        <w:ind w:left="1701"/>
        <w:contextualSpacing/>
        <w:jc w:val="both"/>
        <w:rPr>
          <w:rFonts w:ascii="Gadugi" w:eastAsia="Malgun Gothic" w:hAnsi="Gadugi" w:cs="Estrangelo Edessa"/>
          <w:sz w:val="24"/>
          <w:szCs w:val="24"/>
          <w:lang w:val="es-419"/>
        </w:rPr>
      </w:pPr>
    </w:p>
    <w:p w14:paraId="79A18CBD" w14:textId="77777777" w:rsidR="00EA705B" w:rsidRPr="00136B0C" w:rsidRDefault="00EA705B" w:rsidP="00136B0C">
      <w:pPr>
        <w:tabs>
          <w:tab w:val="left" w:pos="3686"/>
        </w:tabs>
        <w:spacing w:after="0" w:line="276" w:lineRule="auto"/>
        <w:ind w:left="1701"/>
        <w:contextualSpacing/>
        <w:jc w:val="both"/>
        <w:rPr>
          <w:rFonts w:ascii="Gadugi" w:eastAsia="Malgun Gothic" w:hAnsi="Gadugi" w:cs="Estrangelo Edessa"/>
          <w:sz w:val="24"/>
          <w:szCs w:val="24"/>
          <w:lang w:val="es-419"/>
        </w:rPr>
      </w:pPr>
      <w:r w:rsidRPr="00136B0C">
        <w:rPr>
          <w:rFonts w:ascii="Gadugi" w:eastAsia="Malgun Gothic" w:hAnsi="Gadugi" w:cs="Estrangelo Edessa"/>
          <w:sz w:val="24"/>
          <w:szCs w:val="24"/>
          <w:lang w:val="es-419"/>
        </w:rPr>
        <w:t xml:space="preserve">Magistrado: </w:t>
      </w:r>
      <w:r w:rsidRPr="00136B0C">
        <w:rPr>
          <w:rFonts w:ascii="Gadugi" w:eastAsia="Malgun Gothic" w:hAnsi="Gadugi" w:cs="Estrangelo Edessa"/>
          <w:sz w:val="24"/>
          <w:szCs w:val="24"/>
          <w:lang w:val="es-419"/>
        </w:rPr>
        <w:tab/>
        <w:t>Jaime Alberto Saraza Naranjo</w:t>
      </w:r>
    </w:p>
    <w:p w14:paraId="2D2A620C" w14:textId="33F80903" w:rsidR="00BF0B2C" w:rsidRPr="00136B0C" w:rsidRDefault="00EA705B" w:rsidP="00136B0C">
      <w:pPr>
        <w:tabs>
          <w:tab w:val="left" w:pos="3686"/>
          <w:tab w:val="left" w:pos="4536"/>
        </w:tabs>
        <w:spacing w:after="0" w:line="276" w:lineRule="auto"/>
        <w:ind w:left="1701"/>
        <w:contextualSpacing/>
        <w:jc w:val="both"/>
        <w:rPr>
          <w:rFonts w:ascii="Gadugi" w:eastAsia="Malgun Gothic" w:hAnsi="Gadugi" w:cs="Estrangelo Edessa"/>
          <w:sz w:val="24"/>
          <w:szCs w:val="24"/>
          <w:lang w:val="es-419"/>
        </w:rPr>
      </w:pPr>
      <w:r w:rsidRPr="00136B0C">
        <w:rPr>
          <w:rFonts w:ascii="Gadugi" w:eastAsia="Malgun Gothic" w:hAnsi="Gadugi" w:cs="Estrangelo Edessa"/>
          <w:sz w:val="24"/>
          <w:szCs w:val="24"/>
          <w:lang w:val="es-419"/>
        </w:rPr>
        <w:t>Pereira,</w:t>
      </w:r>
      <w:r w:rsidR="007F7CA6" w:rsidRPr="00136B0C">
        <w:rPr>
          <w:rFonts w:ascii="Gadugi" w:eastAsia="Malgun Gothic" w:hAnsi="Gadugi" w:cs="Estrangelo Edessa"/>
          <w:sz w:val="24"/>
          <w:szCs w:val="24"/>
          <w:lang w:val="es-419"/>
        </w:rPr>
        <w:tab/>
      </w:r>
      <w:r w:rsidR="329A936D" w:rsidRPr="00136B0C">
        <w:rPr>
          <w:rFonts w:ascii="Gadugi" w:eastAsia="Malgun Gothic" w:hAnsi="Gadugi" w:cs="Estrangelo Edessa"/>
          <w:sz w:val="24"/>
          <w:szCs w:val="24"/>
          <w:lang w:val="es-419"/>
        </w:rPr>
        <w:t>Marzo siete de dos mil veintidós</w:t>
      </w:r>
    </w:p>
    <w:p w14:paraId="6E814D43" w14:textId="6A616A1B" w:rsidR="009D7460" w:rsidRPr="00136B0C" w:rsidRDefault="009D7460" w:rsidP="00136B0C">
      <w:pPr>
        <w:tabs>
          <w:tab w:val="left" w:pos="3686"/>
          <w:tab w:val="left" w:pos="4536"/>
        </w:tabs>
        <w:spacing w:after="0" w:line="276" w:lineRule="auto"/>
        <w:ind w:left="1701"/>
        <w:contextualSpacing/>
        <w:jc w:val="both"/>
        <w:rPr>
          <w:rFonts w:ascii="Gadugi" w:eastAsia="Malgun Gothic" w:hAnsi="Gadugi" w:cs="Estrangelo Edessa"/>
          <w:sz w:val="24"/>
          <w:szCs w:val="24"/>
        </w:rPr>
      </w:pPr>
      <w:r w:rsidRPr="00136B0C">
        <w:rPr>
          <w:rFonts w:ascii="Gadugi" w:eastAsia="Malgun Gothic" w:hAnsi="Gadugi" w:cs="Estrangelo Edessa"/>
          <w:sz w:val="24"/>
          <w:szCs w:val="24"/>
        </w:rPr>
        <w:t>Auto No.</w:t>
      </w:r>
      <w:r w:rsidR="0073680D" w:rsidRPr="00136B0C">
        <w:rPr>
          <w:rFonts w:ascii="Gadugi" w:eastAsia="Malgun Gothic" w:hAnsi="Gadugi" w:cs="Estrangelo Edessa"/>
          <w:sz w:val="24"/>
          <w:szCs w:val="24"/>
        </w:rPr>
        <w:tab/>
        <w:t>AC-0</w:t>
      </w:r>
      <w:r w:rsidR="00014F57">
        <w:rPr>
          <w:rFonts w:ascii="Gadugi" w:eastAsia="Malgun Gothic" w:hAnsi="Gadugi" w:cs="Estrangelo Edessa"/>
          <w:sz w:val="24"/>
          <w:szCs w:val="24"/>
        </w:rPr>
        <w:t>0</w:t>
      </w:r>
      <w:r w:rsidR="0073680D" w:rsidRPr="00136B0C">
        <w:rPr>
          <w:rFonts w:ascii="Gadugi" w:eastAsia="Malgun Gothic" w:hAnsi="Gadugi" w:cs="Estrangelo Edessa"/>
          <w:sz w:val="24"/>
          <w:szCs w:val="24"/>
        </w:rPr>
        <w:t>38-2022</w:t>
      </w:r>
    </w:p>
    <w:p w14:paraId="092A0AF5" w14:textId="77777777" w:rsidR="009D7460" w:rsidRPr="00136B0C" w:rsidRDefault="009D7460" w:rsidP="00136B0C">
      <w:pPr>
        <w:tabs>
          <w:tab w:val="left" w:pos="3686"/>
          <w:tab w:val="left" w:pos="4536"/>
        </w:tabs>
        <w:spacing w:after="0" w:line="276" w:lineRule="auto"/>
        <w:ind w:left="1701"/>
        <w:contextualSpacing/>
        <w:jc w:val="both"/>
        <w:rPr>
          <w:rFonts w:ascii="Gadugi" w:eastAsia="Malgun Gothic" w:hAnsi="Gadugi" w:cs="Estrangelo Edessa"/>
          <w:sz w:val="24"/>
          <w:szCs w:val="24"/>
        </w:rPr>
      </w:pPr>
    </w:p>
    <w:p w14:paraId="00A8F996" w14:textId="77777777" w:rsidR="009D7460" w:rsidRPr="00136B0C" w:rsidRDefault="009D7460" w:rsidP="00136B0C">
      <w:pPr>
        <w:tabs>
          <w:tab w:val="left" w:pos="3686"/>
          <w:tab w:val="left" w:pos="4536"/>
        </w:tabs>
        <w:spacing w:after="0" w:line="276" w:lineRule="auto"/>
        <w:ind w:left="1701"/>
        <w:contextualSpacing/>
        <w:jc w:val="both"/>
        <w:rPr>
          <w:rFonts w:ascii="Gadugi" w:eastAsia="Malgun Gothic" w:hAnsi="Gadugi" w:cs="Estrangelo Edessa"/>
          <w:sz w:val="24"/>
          <w:szCs w:val="24"/>
        </w:rPr>
      </w:pPr>
    </w:p>
    <w:p w14:paraId="47FCE003" w14:textId="71E60183" w:rsidR="00ED1A82" w:rsidRPr="00136B0C" w:rsidRDefault="00EA705B" w:rsidP="00136B0C">
      <w:pPr>
        <w:tabs>
          <w:tab w:val="left" w:pos="3686"/>
          <w:tab w:val="left" w:pos="4536"/>
        </w:tabs>
        <w:spacing w:after="0" w:line="276" w:lineRule="auto"/>
        <w:ind w:firstLine="1701"/>
        <w:contextualSpacing/>
        <w:jc w:val="both"/>
        <w:rPr>
          <w:rFonts w:ascii="Gadugi" w:eastAsia="Malgun Gothic" w:hAnsi="Gadugi" w:cs="Estrangelo Edessa"/>
          <w:sz w:val="24"/>
          <w:szCs w:val="24"/>
        </w:rPr>
      </w:pPr>
      <w:r w:rsidRPr="00136B0C">
        <w:rPr>
          <w:rFonts w:ascii="Gadugi" w:eastAsia="Malgun Gothic" w:hAnsi="Gadugi" w:cs="Estrangelo Edessa"/>
          <w:sz w:val="24"/>
          <w:szCs w:val="24"/>
        </w:rPr>
        <w:t xml:space="preserve">Resuelve la Sala el recurso de apelación interpuesto por </w:t>
      </w:r>
      <w:r w:rsidR="00F95D3A" w:rsidRPr="00136B0C">
        <w:rPr>
          <w:rFonts w:ascii="Gadugi" w:eastAsia="Malgun Gothic" w:hAnsi="Gadugi" w:cs="Estrangelo Edessa"/>
          <w:sz w:val="24"/>
          <w:szCs w:val="24"/>
        </w:rPr>
        <w:t xml:space="preserve">las demandadas </w:t>
      </w:r>
      <w:r w:rsidR="00F95D3A" w:rsidRPr="00136B0C">
        <w:rPr>
          <w:rFonts w:ascii="Gadugi" w:eastAsia="Malgun Gothic" w:hAnsi="Gadugi" w:cs="Estrangelo Edessa"/>
          <w:b/>
          <w:sz w:val="24"/>
          <w:szCs w:val="24"/>
        </w:rPr>
        <w:t>Inversiones y Construcciones La Aurora</w:t>
      </w:r>
      <w:r w:rsidR="00F95D3A" w:rsidRPr="00136B0C">
        <w:rPr>
          <w:rFonts w:ascii="Gadugi" w:eastAsia="Malgun Gothic" w:hAnsi="Gadugi" w:cs="Estrangelo Edessa"/>
          <w:sz w:val="24"/>
          <w:szCs w:val="24"/>
        </w:rPr>
        <w:t xml:space="preserve"> </w:t>
      </w:r>
      <w:r w:rsidR="00F95D3A" w:rsidRPr="00136B0C">
        <w:rPr>
          <w:rFonts w:ascii="Gadugi" w:eastAsia="Malgun Gothic" w:hAnsi="Gadugi" w:cs="Estrangelo Edessa"/>
          <w:b/>
          <w:sz w:val="24"/>
          <w:szCs w:val="24"/>
        </w:rPr>
        <w:t>en liquidación</w:t>
      </w:r>
      <w:r w:rsidR="00F95D3A" w:rsidRPr="00136B0C">
        <w:rPr>
          <w:rFonts w:ascii="Gadugi" w:eastAsia="Malgun Gothic" w:hAnsi="Gadugi" w:cs="Estrangelo Edessa"/>
          <w:sz w:val="24"/>
          <w:szCs w:val="24"/>
        </w:rPr>
        <w:t xml:space="preserve"> y </w:t>
      </w:r>
      <w:r w:rsidR="00F95D3A" w:rsidRPr="00136B0C">
        <w:rPr>
          <w:rFonts w:ascii="Gadugi" w:eastAsia="Malgun Gothic" w:hAnsi="Gadugi" w:cs="Estrangelo Edessa"/>
          <w:b/>
          <w:sz w:val="24"/>
          <w:szCs w:val="24"/>
        </w:rPr>
        <w:lastRenderedPageBreak/>
        <w:t>Constructora Nacional de Obras Civiles SAS</w:t>
      </w:r>
      <w:r w:rsidR="00F95D3A" w:rsidRPr="00136B0C">
        <w:rPr>
          <w:rFonts w:ascii="Gadugi" w:eastAsia="Malgun Gothic" w:hAnsi="Gadugi" w:cs="Estrangelo Edessa"/>
          <w:sz w:val="24"/>
          <w:szCs w:val="24"/>
        </w:rPr>
        <w:t xml:space="preserve"> </w:t>
      </w:r>
      <w:r w:rsidR="00815090" w:rsidRPr="00136B0C">
        <w:rPr>
          <w:rFonts w:ascii="Gadugi" w:eastAsia="Malgun Gothic" w:hAnsi="Gadugi" w:cs="Estrangelo Edessa"/>
          <w:sz w:val="24"/>
          <w:szCs w:val="24"/>
        </w:rPr>
        <w:t>cont</w:t>
      </w:r>
      <w:r w:rsidR="00BF0B2C" w:rsidRPr="00136B0C">
        <w:rPr>
          <w:rFonts w:ascii="Gadugi" w:eastAsia="Malgun Gothic" w:hAnsi="Gadugi" w:cs="Estrangelo Edessa"/>
          <w:sz w:val="24"/>
          <w:szCs w:val="24"/>
        </w:rPr>
        <w:t xml:space="preserve">ra </w:t>
      </w:r>
      <w:r w:rsidR="00F33C75" w:rsidRPr="00136B0C">
        <w:rPr>
          <w:rFonts w:ascii="Gadugi" w:eastAsia="Malgun Gothic" w:hAnsi="Gadugi" w:cs="Estrangelo Edessa"/>
          <w:sz w:val="24"/>
          <w:szCs w:val="24"/>
        </w:rPr>
        <w:t xml:space="preserve">el auto del </w:t>
      </w:r>
      <w:r w:rsidR="00ED1A82" w:rsidRPr="00136B0C">
        <w:rPr>
          <w:rFonts w:ascii="Gadugi" w:eastAsia="Malgun Gothic" w:hAnsi="Gadugi" w:cs="Estrangelo Edessa"/>
          <w:sz w:val="24"/>
          <w:szCs w:val="24"/>
        </w:rPr>
        <w:t xml:space="preserve">11 de febrero de 2020, </w:t>
      </w:r>
      <w:r w:rsidR="009A148E" w:rsidRPr="00136B0C">
        <w:rPr>
          <w:rFonts w:ascii="Gadugi" w:eastAsia="Malgun Gothic" w:hAnsi="Gadugi" w:cs="Estrangelo Edessa"/>
          <w:sz w:val="24"/>
          <w:szCs w:val="24"/>
        </w:rPr>
        <w:t xml:space="preserve">proferido por el Juzgado </w:t>
      </w:r>
      <w:r w:rsidR="00ED1A82" w:rsidRPr="00136B0C">
        <w:rPr>
          <w:rFonts w:ascii="Gadugi" w:eastAsia="Malgun Gothic" w:hAnsi="Gadugi" w:cs="Estrangelo Edessa"/>
          <w:sz w:val="24"/>
          <w:szCs w:val="24"/>
        </w:rPr>
        <w:t xml:space="preserve">Quinto Civil del Circuito de Pereira, en el proceso de responsabilidad contractual que </w:t>
      </w:r>
      <w:r w:rsidR="00ED1A82" w:rsidRPr="00136B0C">
        <w:rPr>
          <w:rFonts w:ascii="Gadugi" w:eastAsia="Malgun Gothic" w:hAnsi="Gadugi" w:cs="Estrangelo Edessa"/>
          <w:b/>
          <w:sz w:val="24"/>
          <w:szCs w:val="24"/>
        </w:rPr>
        <w:t>Ferretería Colombia Ltda.</w:t>
      </w:r>
      <w:r w:rsidR="00ED1A82" w:rsidRPr="00136B0C">
        <w:rPr>
          <w:rFonts w:ascii="Gadugi" w:eastAsia="Malgun Gothic" w:hAnsi="Gadugi" w:cs="Estrangelo Edessa"/>
          <w:sz w:val="24"/>
          <w:szCs w:val="24"/>
        </w:rPr>
        <w:t xml:space="preserve"> y </w:t>
      </w:r>
      <w:proofErr w:type="spellStart"/>
      <w:r w:rsidR="00ED1A82" w:rsidRPr="00136B0C">
        <w:rPr>
          <w:rFonts w:ascii="Gadugi" w:eastAsia="Malgun Gothic" w:hAnsi="Gadugi" w:cs="Estrangelo Edessa"/>
          <w:b/>
          <w:sz w:val="24"/>
          <w:szCs w:val="24"/>
        </w:rPr>
        <w:t>Estupranel</w:t>
      </w:r>
      <w:proofErr w:type="spellEnd"/>
      <w:r w:rsidR="00ED1A82" w:rsidRPr="00136B0C">
        <w:rPr>
          <w:rFonts w:ascii="Gadugi" w:eastAsia="Malgun Gothic" w:hAnsi="Gadugi" w:cs="Estrangelo Edessa"/>
          <w:b/>
          <w:sz w:val="24"/>
          <w:szCs w:val="24"/>
        </w:rPr>
        <w:t xml:space="preserve"> de Occidente S.A.</w:t>
      </w:r>
      <w:r w:rsidR="00ED1A82" w:rsidRPr="00136B0C">
        <w:rPr>
          <w:rFonts w:ascii="Gadugi" w:eastAsia="Malgun Gothic" w:hAnsi="Gadugi" w:cs="Estrangelo Edessa"/>
          <w:sz w:val="24"/>
          <w:szCs w:val="24"/>
        </w:rPr>
        <w:t xml:space="preserve"> adelantan frente a las impugnantes y la sociedad </w:t>
      </w:r>
      <w:r w:rsidR="00ED1A82" w:rsidRPr="00136B0C">
        <w:rPr>
          <w:rFonts w:ascii="Gadugi" w:eastAsia="Malgun Gothic" w:hAnsi="Gadugi" w:cs="Estrangelo Edessa"/>
          <w:b/>
          <w:sz w:val="24"/>
          <w:szCs w:val="24"/>
        </w:rPr>
        <w:t xml:space="preserve">Pedro Gómez y Cía. S.A. </w:t>
      </w:r>
    </w:p>
    <w:p w14:paraId="401C0DEB" w14:textId="2A1E5F46" w:rsidR="00ED1A82" w:rsidRPr="00136B0C" w:rsidRDefault="00ED1A82" w:rsidP="00136B0C">
      <w:pPr>
        <w:tabs>
          <w:tab w:val="left" w:pos="3686"/>
          <w:tab w:val="left" w:pos="4536"/>
        </w:tabs>
        <w:spacing w:after="0" w:line="276" w:lineRule="auto"/>
        <w:ind w:firstLine="1701"/>
        <w:contextualSpacing/>
        <w:jc w:val="both"/>
        <w:rPr>
          <w:rFonts w:ascii="Gadugi" w:eastAsia="Malgun Gothic" w:hAnsi="Gadugi" w:cs="Estrangelo Edessa"/>
          <w:sz w:val="24"/>
          <w:szCs w:val="24"/>
        </w:rPr>
      </w:pPr>
    </w:p>
    <w:p w14:paraId="32431F4A" w14:textId="77777777" w:rsidR="00ED1A82" w:rsidRPr="00136B0C" w:rsidRDefault="00ED1A82" w:rsidP="00136B0C">
      <w:pPr>
        <w:pStyle w:val="Prrafodelista"/>
        <w:spacing w:after="0" w:line="276" w:lineRule="auto"/>
        <w:ind w:left="1701"/>
        <w:jc w:val="both"/>
        <w:rPr>
          <w:rFonts w:ascii="Gadugi" w:eastAsia="Malgun Gothic" w:hAnsi="Gadugi" w:cs="Estrangelo Edessa"/>
          <w:b/>
          <w:sz w:val="24"/>
          <w:szCs w:val="24"/>
        </w:rPr>
      </w:pPr>
    </w:p>
    <w:p w14:paraId="0F10BAA5" w14:textId="450D820E" w:rsidR="00EA705B" w:rsidRPr="00136B0C" w:rsidRDefault="00EA705B" w:rsidP="00136B0C">
      <w:pPr>
        <w:pStyle w:val="Prrafodelista"/>
        <w:spacing w:after="0" w:line="276" w:lineRule="auto"/>
        <w:ind w:left="1701"/>
        <w:jc w:val="both"/>
        <w:rPr>
          <w:rFonts w:ascii="Gadugi" w:eastAsia="Malgun Gothic" w:hAnsi="Gadugi" w:cs="Estrangelo Edessa"/>
          <w:b/>
          <w:sz w:val="24"/>
          <w:szCs w:val="24"/>
        </w:rPr>
      </w:pPr>
      <w:r w:rsidRPr="00136B0C">
        <w:rPr>
          <w:rFonts w:ascii="Gadugi" w:eastAsia="Malgun Gothic" w:hAnsi="Gadugi" w:cs="Estrangelo Edessa"/>
          <w:b/>
          <w:sz w:val="24"/>
          <w:szCs w:val="24"/>
        </w:rPr>
        <w:t>ANTECEDENTES</w:t>
      </w:r>
    </w:p>
    <w:p w14:paraId="43288C89" w14:textId="05A4336C" w:rsidR="009A148E" w:rsidRPr="00136B0C" w:rsidRDefault="009A148E" w:rsidP="00136B0C">
      <w:pPr>
        <w:pStyle w:val="Prrafodelista"/>
        <w:spacing w:after="0" w:line="276" w:lineRule="auto"/>
        <w:ind w:left="1701"/>
        <w:jc w:val="both"/>
        <w:rPr>
          <w:rFonts w:ascii="Gadugi" w:eastAsia="Malgun Gothic" w:hAnsi="Gadugi" w:cs="Estrangelo Edessa"/>
          <w:b/>
          <w:sz w:val="24"/>
          <w:szCs w:val="24"/>
        </w:rPr>
      </w:pPr>
    </w:p>
    <w:p w14:paraId="07556CF0" w14:textId="7340D73A" w:rsidR="009A148E" w:rsidRPr="00136B0C" w:rsidRDefault="009A148E" w:rsidP="00136B0C">
      <w:pPr>
        <w:pStyle w:val="Prrafodelista"/>
        <w:spacing w:after="0" w:line="276" w:lineRule="auto"/>
        <w:ind w:left="1701"/>
        <w:jc w:val="both"/>
        <w:rPr>
          <w:rFonts w:ascii="Gadugi" w:eastAsia="Malgun Gothic" w:hAnsi="Gadugi" w:cs="Estrangelo Edessa"/>
          <w:b/>
          <w:sz w:val="24"/>
          <w:szCs w:val="24"/>
        </w:rPr>
      </w:pPr>
    </w:p>
    <w:p w14:paraId="117AFC01" w14:textId="4C43491A" w:rsidR="0078563B" w:rsidRPr="00136B0C" w:rsidRDefault="009A148E" w:rsidP="00136B0C">
      <w:pPr>
        <w:pStyle w:val="Prrafodelista"/>
        <w:spacing w:after="0" w:line="276" w:lineRule="auto"/>
        <w:ind w:left="0" w:firstLine="1701"/>
        <w:jc w:val="both"/>
        <w:rPr>
          <w:rFonts w:ascii="Gadugi" w:eastAsia="Malgun Gothic" w:hAnsi="Gadugi" w:cs="Estrangelo Edessa"/>
          <w:sz w:val="24"/>
          <w:szCs w:val="24"/>
        </w:rPr>
      </w:pPr>
      <w:r w:rsidRPr="00136B0C">
        <w:rPr>
          <w:rFonts w:ascii="Gadugi" w:eastAsia="Malgun Gothic" w:hAnsi="Gadugi" w:cs="Estrangelo Edessa"/>
          <w:sz w:val="24"/>
          <w:szCs w:val="24"/>
        </w:rPr>
        <w:t xml:space="preserve">En el aludido proceso, </w:t>
      </w:r>
      <w:r w:rsidR="00ED1A82" w:rsidRPr="00136B0C">
        <w:rPr>
          <w:rFonts w:ascii="Gadugi" w:eastAsia="Malgun Gothic" w:hAnsi="Gadugi" w:cs="Estrangelo Edessa"/>
          <w:sz w:val="24"/>
          <w:szCs w:val="24"/>
        </w:rPr>
        <w:t>se profirió sentencia el 24 de octubre de 2017, en la que se negaron las</w:t>
      </w:r>
      <w:r w:rsidR="0078563B" w:rsidRPr="00136B0C">
        <w:rPr>
          <w:rFonts w:ascii="Gadugi" w:eastAsia="Malgun Gothic" w:hAnsi="Gadugi" w:cs="Estrangelo Edessa"/>
          <w:sz w:val="24"/>
          <w:szCs w:val="24"/>
        </w:rPr>
        <w:t xml:space="preserve"> </w:t>
      </w:r>
      <w:r w:rsidR="00ED1A82" w:rsidRPr="00136B0C">
        <w:rPr>
          <w:rFonts w:ascii="Gadugi" w:eastAsia="Malgun Gothic" w:hAnsi="Gadugi" w:cs="Estrangelo Edessa"/>
          <w:sz w:val="24"/>
          <w:szCs w:val="24"/>
        </w:rPr>
        <w:t xml:space="preserve">pretensiones </w:t>
      </w:r>
      <w:r w:rsidR="0078563B" w:rsidRPr="00136B0C">
        <w:rPr>
          <w:rFonts w:ascii="Gadugi" w:eastAsia="Malgun Gothic" w:hAnsi="Gadugi" w:cs="Estrangelo Edessa"/>
          <w:sz w:val="24"/>
          <w:szCs w:val="24"/>
        </w:rPr>
        <w:t>en su totalidad y se condenó en costas a las demanda</w:t>
      </w:r>
      <w:r w:rsidR="00056753">
        <w:rPr>
          <w:rFonts w:ascii="Gadugi" w:eastAsia="Malgun Gothic" w:hAnsi="Gadugi" w:cs="Estrangelo Edessa"/>
          <w:sz w:val="24"/>
          <w:szCs w:val="24"/>
        </w:rPr>
        <w:t>ntes</w:t>
      </w:r>
      <w:r w:rsidR="0078563B" w:rsidRPr="00136B0C">
        <w:rPr>
          <w:rStyle w:val="Refdenotaalpie"/>
          <w:rFonts w:ascii="Gadugi" w:eastAsia="Malgun Gothic" w:hAnsi="Gadugi" w:cs="Estrangelo Edessa"/>
          <w:sz w:val="24"/>
          <w:szCs w:val="24"/>
        </w:rPr>
        <w:footnoteReference w:id="2"/>
      </w:r>
      <w:r w:rsidR="0078563B" w:rsidRPr="00136B0C">
        <w:rPr>
          <w:rFonts w:ascii="Gadugi" w:eastAsia="Malgun Gothic" w:hAnsi="Gadugi" w:cs="Estrangelo Edessa"/>
          <w:sz w:val="24"/>
          <w:szCs w:val="24"/>
        </w:rPr>
        <w:t>. Luego, con auto del 29 de septiembre de 2019</w:t>
      </w:r>
      <w:r w:rsidR="0078563B" w:rsidRPr="00136B0C">
        <w:rPr>
          <w:rStyle w:val="Refdenotaalpie"/>
          <w:rFonts w:ascii="Gadugi" w:eastAsia="Malgun Gothic" w:hAnsi="Gadugi" w:cs="Estrangelo Edessa"/>
          <w:sz w:val="24"/>
          <w:szCs w:val="24"/>
        </w:rPr>
        <w:footnoteReference w:id="3"/>
      </w:r>
      <w:r w:rsidR="0078563B" w:rsidRPr="00136B0C">
        <w:rPr>
          <w:rFonts w:ascii="Gadugi" w:eastAsia="Malgun Gothic" w:hAnsi="Gadugi" w:cs="Estrangelo Edessa"/>
          <w:sz w:val="24"/>
          <w:szCs w:val="24"/>
        </w:rPr>
        <w:t xml:space="preserve">, se dispuso estar a lo resuelto por esta Sala, que confirmó el fallo. </w:t>
      </w:r>
    </w:p>
    <w:p w14:paraId="335A9AF9" w14:textId="77777777" w:rsidR="00F261E4" w:rsidRPr="00136B0C" w:rsidRDefault="00F261E4" w:rsidP="00136B0C">
      <w:pPr>
        <w:pStyle w:val="Prrafodelista"/>
        <w:spacing w:after="0" w:line="276" w:lineRule="auto"/>
        <w:ind w:left="0" w:firstLine="1701"/>
        <w:jc w:val="both"/>
        <w:rPr>
          <w:rFonts w:ascii="Gadugi" w:eastAsia="Malgun Gothic" w:hAnsi="Gadugi" w:cs="Estrangelo Edessa"/>
          <w:sz w:val="24"/>
          <w:szCs w:val="24"/>
        </w:rPr>
      </w:pPr>
    </w:p>
    <w:p w14:paraId="7F3D2E49" w14:textId="35795F78" w:rsidR="0078563B" w:rsidRPr="00136B0C" w:rsidRDefault="0078563B" w:rsidP="00136B0C">
      <w:pPr>
        <w:pStyle w:val="Prrafodelista"/>
        <w:spacing w:after="0" w:line="276" w:lineRule="auto"/>
        <w:ind w:left="0" w:firstLine="1701"/>
        <w:jc w:val="both"/>
        <w:rPr>
          <w:rFonts w:ascii="Gadugi" w:eastAsia="Malgun Gothic" w:hAnsi="Gadugi" w:cs="Estrangelo Edessa"/>
          <w:sz w:val="24"/>
          <w:szCs w:val="24"/>
        </w:rPr>
      </w:pPr>
      <w:r w:rsidRPr="00136B0C">
        <w:rPr>
          <w:rFonts w:ascii="Gadugi" w:eastAsia="Malgun Gothic" w:hAnsi="Gadugi" w:cs="Estrangelo Edessa"/>
          <w:sz w:val="24"/>
          <w:szCs w:val="24"/>
        </w:rPr>
        <w:t>El 11 de febrero de 2020 se ordenó la liquidación de las costas y se fijaron las agencias en derecho, con fundamento en el Acuerdo 22</w:t>
      </w:r>
      <w:r w:rsidR="0017392E">
        <w:rPr>
          <w:rFonts w:ascii="Gadugi" w:eastAsia="Malgun Gothic" w:hAnsi="Gadugi" w:cs="Estrangelo Edessa"/>
          <w:sz w:val="24"/>
          <w:szCs w:val="24"/>
        </w:rPr>
        <w:t>2</w:t>
      </w:r>
      <w:r w:rsidRPr="00136B0C">
        <w:rPr>
          <w:rFonts w:ascii="Gadugi" w:eastAsia="Malgun Gothic" w:hAnsi="Gadugi" w:cs="Estrangelo Edessa"/>
          <w:sz w:val="24"/>
          <w:szCs w:val="24"/>
        </w:rPr>
        <w:t>2 de 2003, en cuantía de $5’400.000</w:t>
      </w:r>
      <w:r w:rsidR="00136B0C">
        <w:rPr>
          <w:rFonts w:ascii="Gadugi" w:eastAsia="Malgun Gothic" w:hAnsi="Gadugi" w:cs="Estrangelo Edessa"/>
          <w:sz w:val="24"/>
          <w:szCs w:val="24"/>
        </w:rPr>
        <w:t>,00</w:t>
      </w:r>
      <w:r w:rsidRPr="00136B0C">
        <w:rPr>
          <w:rFonts w:ascii="Gadugi" w:eastAsia="Malgun Gothic" w:hAnsi="Gadugi" w:cs="Estrangelo Edessa"/>
          <w:sz w:val="24"/>
          <w:szCs w:val="24"/>
        </w:rPr>
        <w:t xml:space="preserve"> para la primera instancia. Y ese mismo día se realizó la liquidación y se aprobó, incluyendo también la suma de $1’245.000</w:t>
      </w:r>
      <w:r w:rsidR="00136B0C">
        <w:rPr>
          <w:rFonts w:ascii="Gadugi" w:eastAsia="Malgun Gothic" w:hAnsi="Gadugi" w:cs="Estrangelo Edessa"/>
          <w:sz w:val="24"/>
          <w:szCs w:val="24"/>
        </w:rPr>
        <w:t>,00</w:t>
      </w:r>
      <w:r w:rsidRPr="00136B0C">
        <w:rPr>
          <w:rFonts w:ascii="Gadugi" w:eastAsia="Malgun Gothic" w:hAnsi="Gadugi" w:cs="Estrangelo Edessa"/>
          <w:sz w:val="24"/>
          <w:szCs w:val="24"/>
        </w:rPr>
        <w:t xml:space="preserve"> que se fijó en esta sede por concepto de agencias en derecho</w:t>
      </w:r>
      <w:r w:rsidR="008C1635" w:rsidRPr="00136B0C">
        <w:rPr>
          <w:rStyle w:val="Refdenotaalpie"/>
          <w:rFonts w:ascii="Gadugi" w:eastAsia="Malgun Gothic" w:hAnsi="Gadugi" w:cs="Estrangelo Edessa"/>
          <w:sz w:val="24"/>
          <w:szCs w:val="24"/>
        </w:rPr>
        <w:footnoteReference w:id="4"/>
      </w:r>
      <w:r w:rsidRPr="00136B0C">
        <w:rPr>
          <w:rFonts w:ascii="Gadugi" w:eastAsia="Malgun Gothic" w:hAnsi="Gadugi" w:cs="Estrangelo Edessa"/>
          <w:sz w:val="24"/>
          <w:szCs w:val="24"/>
        </w:rPr>
        <w:t xml:space="preserve">. </w:t>
      </w:r>
    </w:p>
    <w:p w14:paraId="65E408A8" w14:textId="77777777" w:rsidR="0078563B" w:rsidRPr="00136B0C" w:rsidRDefault="0078563B" w:rsidP="00136B0C">
      <w:pPr>
        <w:pStyle w:val="Prrafodelista"/>
        <w:spacing w:after="0" w:line="276" w:lineRule="auto"/>
        <w:ind w:left="0" w:firstLine="1701"/>
        <w:jc w:val="both"/>
        <w:rPr>
          <w:rFonts w:ascii="Gadugi" w:eastAsia="Malgun Gothic" w:hAnsi="Gadugi" w:cs="Estrangelo Edessa"/>
          <w:sz w:val="24"/>
          <w:szCs w:val="24"/>
        </w:rPr>
      </w:pPr>
    </w:p>
    <w:p w14:paraId="0A56B7F8" w14:textId="1138784E" w:rsidR="008C1635" w:rsidRPr="00136B0C" w:rsidRDefault="008C1635" w:rsidP="00136B0C">
      <w:pPr>
        <w:pStyle w:val="Prrafodelista"/>
        <w:spacing w:after="0" w:line="276" w:lineRule="auto"/>
        <w:ind w:left="0" w:firstLine="1701"/>
        <w:jc w:val="both"/>
        <w:rPr>
          <w:rFonts w:ascii="Gadugi" w:eastAsia="Malgun Gothic" w:hAnsi="Gadugi" w:cs="Estrangelo Edessa"/>
          <w:sz w:val="24"/>
          <w:szCs w:val="24"/>
        </w:rPr>
      </w:pPr>
      <w:r w:rsidRPr="00136B0C">
        <w:rPr>
          <w:rFonts w:ascii="Gadugi" w:eastAsia="Malgun Gothic" w:hAnsi="Gadugi" w:cs="Estrangelo Edessa"/>
          <w:sz w:val="24"/>
          <w:szCs w:val="24"/>
        </w:rPr>
        <w:t>Recurrieron en reposición y en subsidio apelación Inversiones y Construcciones La Aurora en liquidación y Constructora Nacional de Obras Civiles SAS, que replican por el exiguo monto de las agencias, tanto en primera como en segunda instancia, en consideración a la cuantía del proceso que supera los 2’700’000.000, su duración, la naturaleza del mismo y la participación activa de los apoderados</w:t>
      </w:r>
      <w:r w:rsidRPr="00136B0C">
        <w:rPr>
          <w:rStyle w:val="Refdenotaalpie"/>
          <w:rFonts w:ascii="Gadugi" w:eastAsia="Malgun Gothic" w:hAnsi="Gadugi" w:cs="Estrangelo Edessa"/>
          <w:sz w:val="24"/>
          <w:szCs w:val="24"/>
        </w:rPr>
        <w:footnoteReference w:id="5"/>
      </w:r>
      <w:r w:rsidRPr="00136B0C">
        <w:rPr>
          <w:rFonts w:ascii="Gadugi" w:eastAsia="Malgun Gothic" w:hAnsi="Gadugi" w:cs="Estrangelo Edessa"/>
          <w:sz w:val="24"/>
          <w:szCs w:val="24"/>
        </w:rPr>
        <w:t xml:space="preserve">. </w:t>
      </w:r>
    </w:p>
    <w:p w14:paraId="113E53B2" w14:textId="77777777" w:rsidR="008C1635" w:rsidRPr="00136B0C" w:rsidRDefault="008C1635" w:rsidP="00136B0C">
      <w:pPr>
        <w:pStyle w:val="Prrafodelista"/>
        <w:spacing w:after="0" w:line="276" w:lineRule="auto"/>
        <w:ind w:left="0" w:firstLine="1701"/>
        <w:jc w:val="both"/>
        <w:rPr>
          <w:rFonts w:ascii="Gadugi" w:eastAsia="Malgun Gothic" w:hAnsi="Gadugi" w:cs="Estrangelo Edessa"/>
          <w:sz w:val="24"/>
          <w:szCs w:val="24"/>
        </w:rPr>
      </w:pPr>
    </w:p>
    <w:p w14:paraId="0B281D74" w14:textId="35F81687" w:rsidR="00F97040" w:rsidRPr="00136B0C" w:rsidRDefault="008C1635" w:rsidP="00136B0C">
      <w:pPr>
        <w:pStyle w:val="Prrafodelista"/>
        <w:spacing w:after="0" w:line="276" w:lineRule="auto"/>
        <w:ind w:left="0" w:firstLine="1701"/>
        <w:jc w:val="both"/>
        <w:rPr>
          <w:rFonts w:ascii="Gadugi" w:eastAsia="Malgun Gothic" w:hAnsi="Gadugi" w:cs="Estrangelo Edessa"/>
          <w:sz w:val="24"/>
          <w:szCs w:val="24"/>
        </w:rPr>
      </w:pPr>
      <w:r w:rsidRPr="00136B0C">
        <w:rPr>
          <w:rFonts w:ascii="Gadugi" w:eastAsia="Malgun Gothic" w:hAnsi="Gadugi" w:cs="Estrangelo Edessa"/>
          <w:sz w:val="24"/>
          <w:szCs w:val="24"/>
        </w:rPr>
        <w:t>El Juzgado resolvió sobre la reposición propuesta por la primera sociedad, con auto del 23 de septiembre de 2021; mantuvo lo resuelto, pues en primera instancia se tuvo en cuenta un porcentaje del 2% y en segunda sede el 0.46%, que están dentro de los parámetros señalados por la norma, no obstante que reconoció que el proceso tuvo un buen grado de complejidad, que su trámite se prolongó por varios años y que la intervención del apoderado fue constante</w:t>
      </w:r>
      <w:r w:rsidRPr="00136B0C">
        <w:rPr>
          <w:rStyle w:val="Refdenotaalpie"/>
          <w:rFonts w:ascii="Gadugi" w:eastAsia="Malgun Gothic" w:hAnsi="Gadugi" w:cs="Estrangelo Edessa"/>
          <w:sz w:val="24"/>
          <w:szCs w:val="24"/>
        </w:rPr>
        <w:footnoteReference w:id="6"/>
      </w:r>
      <w:r w:rsidRPr="00136B0C">
        <w:rPr>
          <w:rFonts w:ascii="Gadugi" w:eastAsia="Malgun Gothic" w:hAnsi="Gadugi" w:cs="Estrangelo Edessa"/>
          <w:sz w:val="24"/>
          <w:szCs w:val="24"/>
        </w:rPr>
        <w:t>.</w:t>
      </w:r>
    </w:p>
    <w:p w14:paraId="26E5B8C3" w14:textId="55EDD998" w:rsidR="008C1635" w:rsidRPr="00136B0C" w:rsidRDefault="008C1635" w:rsidP="00136B0C">
      <w:pPr>
        <w:pStyle w:val="Prrafodelista"/>
        <w:spacing w:after="0" w:line="276" w:lineRule="auto"/>
        <w:ind w:left="0" w:firstLine="1701"/>
        <w:jc w:val="both"/>
        <w:rPr>
          <w:rFonts w:ascii="Gadugi" w:eastAsia="Malgun Gothic" w:hAnsi="Gadugi" w:cs="Estrangelo Edessa"/>
          <w:sz w:val="24"/>
          <w:szCs w:val="24"/>
        </w:rPr>
      </w:pPr>
    </w:p>
    <w:p w14:paraId="20C1845F" w14:textId="348D7F6D" w:rsidR="008C1635" w:rsidRPr="00136B0C" w:rsidRDefault="008C1635" w:rsidP="00136B0C">
      <w:pPr>
        <w:pStyle w:val="Prrafodelista"/>
        <w:spacing w:after="0" w:line="276" w:lineRule="auto"/>
        <w:ind w:left="0" w:firstLine="1701"/>
        <w:jc w:val="both"/>
        <w:rPr>
          <w:rFonts w:ascii="Gadugi" w:eastAsia="Malgun Gothic" w:hAnsi="Gadugi" w:cs="Estrangelo Edessa"/>
          <w:sz w:val="24"/>
          <w:szCs w:val="24"/>
        </w:rPr>
      </w:pPr>
      <w:r w:rsidRPr="00136B0C">
        <w:rPr>
          <w:rFonts w:ascii="Gadugi" w:eastAsia="Malgun Gothic" w:hAnsi="Gadugi" w:cs="Estrangelo Edessa"/>
          <w:sz w:val="24"/>
          <w:szCs w:val="24"/>
        </w:rPr>
        <w:lastRenderedPageBreak/>
        <w:t>La sociedad presentó en término, unos reparos adicionales, en particular, haciendo ver que el 2% aplicado sobre la cuantía es, en realidad, de $54.000.000</w:t>
      </w:r>
      <w:r w:rsidR="00136B0C">
        <w:rPr>
          <w:rFonts w:ascii="Gadugi" w:eastAsia="Malgun Gothic" w:hAnsi="Gadugi" w:cs="Estrangelo Edessa"/>
          <w:sz w:val="24"/>
          <w:szCs w:val="24"/>
        </w:rPr>
        <w:t>,00</w:t>
      </w:r>
      <w:r w:rsidRPr="00136B0C">
        <w:rPr>
          <w:rStyle w:val="Refdenotaalpie"/>
          <w:rFonts w:ascii="Gadugi" w:eastAsia="Malgun Gothic" w:hAnsi="Gadugi" w:cs="Estrangelo Edessa"/>
          <w:sz w:val="24"/>
          <w:szCs w:val="24"/>
        </w:rPr>
        <w:footnoteReference w:id="7"/>
      </w:r>
      <w:r w:rsidRPr="00136B0C">
        <w:rPr>
          <w:rFonts w:ascii="Gadugi" w:eastAsia="Malgun Gothic" w:hAnsi="Gadugi" w:cs="Estrangelo Edessa"/>
          <w:sz w:val="24"/>
          <w:szCs w:val="24"/>
        </w:rPr>
        <w:t xml:space="preserve">. </w:t>
      </w:r>
    </w:p>
    <w:p w14:paraId="0CD215A3" w14:textId="7294D04D" w:rsidR="008C1635" w:rsidRPr="00136B0C" w:rsidRDefault="008C1635" w:rsidP="00136B0C">
      <w:pPr>
        <w:pStyle w:val="Prrafodelista"/>
        <w:spacing w:after="0" w:line="276" w:lineRule="auto"/>
        <w:ind w:left="0" w:firstLine="1701"/>
        <w:jc w:val="both"/>
        <w:rPr>
          <w:rFonts w:ascii="Gadugi" w:eastAsia="Malgun Gothic" w:hAnsi="Gadugi" w:cs="Estrangelo Edessa"/>
          <w:sz w:val="24"/>
          <w:szCs w:val="24"/>
        </w:rPr>
      </w:pPr>
    </w:p>
    <w:p w14:paraId="5207FBC1" w14:textId="54CEF564" w:rsidR="008C1635" w:rsidRPr="00136B0C" w:rsidRDefault="008C1635" w:rsidP="00136B0C">
      <w:pPr>
        <w:pStyle w:val="Prrafodelista"/>
        <w:spacing w:after="0" w:line="276" w:lineRule="auto"/>
        <w:ind w:left="0" w:firstLine="1701"/>
        <w:jc w:val="both"/>
        <w:rPr>
          <w:rFonts w:ascii="Gadugi" w:eastAsia="Malgun Gothic" w:hAnsi="Gadugi" w:cs="Estrangelo Edessa"/>
          <w:sz w:val="24"/>
          <w:szCs w:val="24"/>
        </w:rPr>
      </w:pPr>
      <w:r w:rsidRPr="00136B0C">
        <w:rPr>
          <w:rFonts w:ascii="Gadugi" w:eastAsia="Malgun Gothic" w:hAnsi="Gadugi" w:cs="Estrangelo Edessa"/>
          <w:sz w:val="24"/>
          <w:szCs w:val="24"/>
        </w:rPr>
        <w:t xml:space="preserve">Decidió el juzgado, entonces, corregir el error aritmético en que incurrió, y precisó que el porcentaje tenido en cuenta fue del </w:t>
      </w:r>
      <w:r w:rsidR="00060F76" w:rsidRPr="00136B0C">
        <w:rPr>
          <w:rFonts w:ascii="Gadugi" w:eastAsia="Malgun Gothic" w:hAnsi="Gadugi" w:cs="Estrangelo Edessa"/>
          <w:sz w:val="24"/>
          <w:szCs w:val="24"/>
        </w:rPr>
        <w:t>0,2%, que también está dentro de los parámetros de la norma</w:t>
      </w:r>
      <w:r w:rsidR="00060F76" w:rsidRPr="00136B0C">
        <w:rPr>
          <w:rStyle w:val="Refdenotaalpie"/>
          <w:rFonts w:ascii="Gadugi" w:eastAsia="Malgun Gothic" w:hAnsi="Gadugi" w:cs="Estrangelo Edessa"/>
          <w:sz w:val="24"/>
          <w:szCs w:val="24"/>
        </w:rPr>
        <w:footnoteReference w:id="8"/>
      </w:r>
      <w:r w:rsidR="00060F76" w:rsidRPr="00136B0C">
        <w:rPr>
          <w:rFonts w:ascii="Gadugi" w:eastAsia="Malgun Gothic" w:hAnsi="Gadugi" w:cs="Estrangelo Edessa"/>
          <w:sz w:val="24"/>
          <w:szCs w:val="24"/>
        </w:rPr>
        <w:t>.</w:t>
      </w:r>
    </w:p>
    <w:p w14:paraId="500D06F7" w14:textId="77777777" w:rsidR="00F261E4" w:rsidRPr="00136B0C" w:rsidRDefault="00F261E4" w:rsidP="00136B0C">
      <w:pPr>
        <w:pStyle w:val="Prrafodelista"/>
        <w:spacing w:after="0" w:line="276" w:lineRule="auto"/>
        <w:ind w:left="0" w:firstLine="1701"/>
        <w:jc w:val="both"/>
        <w:rPr>
          <w:rFonts w:ascii="Gadugi" w:eastAsia="Malgun Gothic" w:hAnsi="Gadugi" w:cs="Estrangelo Edessa"/>
          <w:sz w:val="24"/>
          <w:szCs w:val="24"/>
        </w:rPr>
      </w:pPr>
    </w:p>
    <w:p w14:paraId="23B44944" w14:textId="09850B3E" w:rsidR="00060F76" w:rsidRPr="00136B0C" w:rsidRDefault="00060F76" w:rsidP="00136B0C">
      <w:pPr>
        <w:pStyle w:val="Prrafodelista"/>
        <w:spacing w:after="0" w:line="276" w:lineRule="auto"/>
        <w:ind w:left="0" w:firstLine="1701"/>
        <w:jc w:val="both"/>
        <w:rPr>
          <w:rFonts w:ascii="Gadugi" w:eastAsia="Malgun Gothic" w:hAnsi="Gadugi" w:cs="Estrangelo Edessa"/>
          <w:sz w:val="24"/>
          <w:szCs w:val="24"/>
        </w:rPr>
      </w:pPr>
      <w:r w:rsidRPr="00136B0C">
        <w:rPr>
          <w:rFonts w:ascii="Gadugi" w:eastAsia="Malgun Gothic" w:hAnsi="Gadugi" w:cs="Estrangelo Edessa"/>
          <w:sz w:val="24"/>
          <w:szCs w:val="24"/>
        </w:rPr>
        <w:t>Posteriormente, ante el requerimiento del apoderado de la Constructora Nacional de Obras Civiles</w:t>
      </w:r>
      <w:r w:rsidRPr="00136B0C">
        <w:rPr>
          <w:rStyle w:val="Refdenotaalpie"/>
          <w:rFonts w:ascii="Gadugi" w:eastAsia="Malgun Gothic" w:hAnsi="Gadugi" w:cs="Estrangelo Edessa"/>
          <w:sz w:val="24"/>
          <w:szCs w:val="24"/>
        </w:rPr>
        <w:footnoteReference w:id="9"/>
      </w:r>
      <w:r w:rsidRPr="00136B0C">
        <w:rPr>
          <w:rFonts w:ascii="Gadugi" w:eastAsia="Malgun Gothic" w:hAnsi="Gadugi" w:cs="Estrangelo Edessa"/>
          <w:sz w:val="24"/>
          <w:szCs w:val="24"/>
        </w:rPr>
        <w:t>, resolvió el juzgado la reposición que en sentido similar había elevado, pero, también en esta oportunidad mantuvo lo resuelto</w:t>
      </w:r>
      <w:r w:rsidRPr="00136B0C">
        <w:rPr>
          <w:rStyle w:val="Refdenotaalpie"/>
          <w:rFonts w:ascii="Gadugi" w:eastAsia="Malgun Gothic" w:hAnsi="Gadugi" w:cs="Estrangelo Edessa"/>
          <w:sz w:val="24"/>
          <w:szCs w:val="24"/>
        </w:rPr>
        <w:footnoteReference w:id="10"/>
      </w:r>
      <w:r w:rsidRPr="00136B0C">
        <w:rPr>
          <w:rFonts w:ascii="Gadugi" w:eastAsia="Malgun Gothic" w:hAnsi="Gadugi" w:cs="Estrangelo Edessa"/>
          <w:sz w:val="24"/>
          <w:szCs w:val="24"/>
        </w:rPr>
        <w:t xml:space="preserve">. </w:t>
      </w:r>
    </w:p>
    <w:p w14:paraId="36715F50" w14:textId="36625B8D" w:rsidR="00060F76" w:rsidRPr="00136B0C" w:rsidRDefault="00060F76" w:rsidP="00136B0C">
      <w:pPr>
        <w:pStyle w:val="Prrafodelista"/>
        <w:spacing w:after="0" w:line="276" w:lineRule="auto"/>
        <w:ind w:left="0" w:firstLine="1701"/>
        <w:jc w:val="both"/>
        <w:rPr>
          <w:rFonts w:ascii="Gadugi" w:eastAsia="Malgun Gothic" w:hAnsi="Gadugi" w:cs="Estrangelo Edessa"/>
          <w:sz w:val="24"/>
          <w:szCs w:val="24"/>
        </w:rPr>
      </w:pPr>
    </w:p>
    <w:p w14:paraId="724959A5" w14:textId="46C44026" w:rsidR="00060F76" w:rsidRPr="00136B0C" w:rsidRDefault="00060F76" w:rsidP="00136B0C">
      <w:pPr>
        <w:pStyle w:val="Prrafodelista"/>
        <w:spacing w:after="0" w:line="276" w:lineRule="auto"/>
        <w:ind w:left="0" w:firstLine="1701"/>
        <w:jc w:val="both"/>
        <w:rPr>
          <w:rFonts w:ascii="Gadugi" w:eastAsia="Malgun Gothic" w:hAnsi="Gadugi" w:cs="Estrangelo Edessa"/>
          <w:sz w:val="24"/>
          <w:szCs w:val="24"/>
        </w:rPr>
      </w:pPr>
      <w:r w:rsidRPr="00136B0C">
        <w:rPr>
          <w:rFonts w:ascii="Gadugi" w:eastAsia="Malgun Gothic" w:hAnsi="Gadugi" w:cs="Estrangelo Edessa"/>
          <w:sz w:val="24"/>
          <w:szCs w:val="24"/>
        </w:rPr>
        <w:t>Concedida la apelación y enviada la actuación a esta sede, sin que se hubiera dado traslado del recurso de apelación a los no recurrentes, se saneó la irregularidad.</w:t>
      </w:r>
    </w:p>
    <w:p w14:paraId="1AB19A30" w14:textId="2A74F470" w:rsidR="00060F76" w:rsidRPr="00136B0C" w:rsidRDefault="00060F76" w:rsidP="00136B0C">
      <w:pPr>
        <w:pStyle w:val="Prrafodelista"/>
        <w:spacing w:after="0" w:line="276" w:lineRule="auto"/>
        <w:ind w:left="0" w:firstLine="1701"/>
        <w:jc w:val="both"/>
        <w:rPr>
          <w:rFonts w:ascii="Gadugi" w:eastAsia="Malgun Gothic" w:hAnsi="Gadugi" w:cs="Estrangelo Edessa"/>
          <w:sz w:val="24"/>
          <w:szCs w:val="24"/>
        </w:rPr>
      </w:pPr>
    </w:p>
    <w:p w14:paraId="63D22DB9" w14:textId="11310586" w:rsidR="00060F76" w:rsidRPr="00136B0C" w:rsidRDefault="00060F76" w:rsidP="00136B0C">
      <w:pPr>
        <w:pStyle w:val="Prrafodelista"/>
        <w:spacing w:after="0" w:line="276" w:lineRule="auto"/>
        <w:ind w:left="0" w:firstLine="1701"/>
        <w:jc w:val="both"/>
        <w:rPr>
          <w:rFonts w:ascii="Gadugi" w:eastAsia="Malgun Gothic" w:hAnsi="Gadugi" w:cs="Estrangelo Edessa"/>
          <w:sz w:val="24"/>
          <w:szCs w:val="24"/>
        </w:rPr>
      </w:pPr>
    </w:p>
    <w:p w14:paraId="47106961" w14:textId="1E560B12" w:rsidR="00D01FB0" w:rsidRPr="00136B0C" w:rsidRDefault="00D01FB0" w:rsidP="00136B0C">
      <w:pPr>
        <w:pStyle w:val="Prrafodelista"/>
        <w:spacing w:after="0" w:line="276" w:lineRule="auto"/>
        <w:ind w:left="1701"/>
        <w:jc w:val="both"/>
        <w:rPr>
          <w:rFonts w:ascii="Gadugi" w:eastAsia="Calibri" w:hAnsi="Gadugi" w:cs="Times New Roman"/>
          <w:b/>
          <w:sz w:val="24"/>
          <w:szCs w:val="24"/>
        </w:rPr>
      </w:pPr>
      <w:r w:rsidRPr="00136B0C">
        <w:rPr>
          <w:rFonts w:ascii="Gadugi" w:eastAsia="Calibri" w:hAnsi="Gadugi" w:cs="Times New Roman"/>
          <w:b/>
          <w:sz w:val="24"/>
          <w:szCs w:val="24"/>
        </w:rPr>
        <w:t xml:space="preserve">CONSIDERACIONES   </w:t>
      </w:r>
    </w:p>
    <w:p w14:paraId="60FB2F5B" w14:textId="6B79A8CC" w:rsidR="00D01FB0" w:rsidRPr="00136B0C" w:rsidRDefault="00D01FB0" w:rsidP="00136B0C">
      <w:pPr>
        <w:spacing w:after="0" w:line="276" w:lineRule="auto"/>
        <w:contextualSpacing/>
        <w:jc w:val="both"/>
        <w:rPr>
          <w:rFonts w:ascii="Gadugi" w:eastAsia="Calibri" w:hAnsi="Gadugi" w:cs="Times New Roman"/>
          <w:b/>
          <w:sz w:val="24"/>
          <w:szCs w:val="24"/>
        </w:rPr>
      </w:pPr>
    </w:p>
    <w:p w14:paraId="354D95F8" w14:textId="77777777" w:rsidR="003966CE" w:rsidRPr="00136B0C" w:rsidRDefault="003966CE" w:rsidP="00136B0C">
      <w:pPr>
        <w:spacing w:after="0" w:line="276" w:lineRule="auto"/>
        <w:contextualSpacing/>
        <w:jc w:val="both"/>
        <w:rPr>
          <w:rFonts w:ascii="Gadugi" w:eastAsia="Calibri" w:hAnsi="Gadugi" w:cs="Times New Roman"/>
          <w:b/>
          <w:sz w:val="24"/>
          <w:szCs w:val="24"/>
        </w:rPr>
      </w:pPr>
    </w:p>
    <w:p w14:paraId="4F8A2C1F" w14:textId="1EAA71FA" w:rsidR="00ED6A2A" w:rsidRPr="00136B0C" w:rsidRDefault="00ED6A2A" w:rsidP="00136B0C">
      <w:pPr>
        <w:pStyle w:val="Prrafodelista"/>
        <w:numPr>
          <w:ilvl w:val="0"/>
          <w:numId w:val="8"/>
        </w:numPr>
        <w:tabs>
          <w:tab w:val="left" w:pos="1985"/>
        </w:tabs>
        <w:spacing w:after="0" w:line="276" w:lineRule="auto"/>
        <w:ind w:left="0" w:firstLine="1701"/>
        <w:jc w:val="both"/>
        <w:rPr>
          <w:rFonts w:ascii="Gadugi" w:eastAsia="Calibri" w:hAnsi="Gadugi" w:cs="Times New Roman"/>
          <w:b/>
          <w:sz w:val="24"/>
          <w:szCs w:val="24"/>
        </w:rPr>
      </w:pPr>
      <w:r w:rsidRPr="00136B0C">
        <w:rPr>
          <w:rFonts w:ascii="Gadugi" w:eastAsia="Calibri" w:hAnsi="Gadugi" w:cs="Times New Roman"/>
          <w:sz w:val="24"/>
          <w:szCs w:val="24"/>
        </w:rPr>
        <w:t>Esta Sala unitaria es competente para conocer de</w:t>
      </w:r>
      <w:r w:rsidR="00060F76" w:rsidRPr="00136B0C">
        <w:rPr>
          <w:rFonts w:ascii="Gadugi" w:eastAsia="Calibri" w:hAnsi="Gadugi" w:cs="Times New Roman"/>
          <w:sz w:val="24"/>
          <w:szCs w:val="24"/>
        </w:rPr>
        <w:t xml:space="preserve"> los </w:t>
      </w:r>
      <w:r w:rsidRPr="00136B0C">
        <w:rPr>
          <w:rFonts w:ascii="Gadugi" w:eastAsia="Calibri" w:hAnsi="Gadugi" w:cs="Times New Roman"/>
          <w:sz w:val="24"/>
          <w:szCs w:val="24"/>
        </w:rPr>
        <w:t>recurso</w:t>
      </w:r>
      <w:r w:rsidR="00060F76" w:rsidRPr="00136B0C">
        <w:rPr>
          <w:rFonts w:ascii="Gadugi" w:eastAsia="Calibri" w:hAnsi="Gadugi" w:cs="Times New Roman"/>
          <w:sz w:val="24"/>
          <w:szCs w:val="24"/>
        </w:rPr>
        <w:t>s</w:t>
      </w:r>
      <w:r w:rsidRPr="00136B0C">
        <w:rPr>
          <w:rFonts w:ascii="Gadugi" w:eastAsia="Calibri" w:hAnsi="Gadugi" w:cs="Times New Roman"/>
          <w:sz w:val="24"/>
          <w:szCs w:val="24"/>
        </w:rPr>
        <w:t xml:space="preserve">, de acuerdo con lo previsto en el artículo 35 del Código General del Proceso. </w:t>
      </w:r>
    </w:p>
    <w:p w14:paraId="63C9BCC6" w14:textId="77777777" w:rsidR="00060F76" w:rsidRPr="00136B0C" w:rsidRDefault="00060F76" w:rsidP="00136B0C">
      <w:pPr>
        <w:pStyle w:val="Prrafodelista"/>
        <w:tabs>
          <w:tab w:val="left" w:pos="1985"/>
        </w:tabs>
        <w:spacing w:after="0" w:line="276" w:lineRule="auto"/>
        <w:ind w:left="1701"/>
        <w:jc w:val="both"/>
        <w:rPr>
          <w:rFonts w:ascii="Gadugi" w:eastAsia="Calibri" w:hAnsi="Gadugi" w:cs="Times New Roman"/>
          <w:b/>
          <w:sz w:val="24"/>
          <w:szCs w:val="24"/>
        </w:rPr>
      </w:pPr>
    </w:p>
    <w:p w14:paraId="51544C34" w14:textId="3B92F49B" w:rsidR="00ED6A2A" w:rsidRPr="00136B0C" w:rsidRDefault="00ED6A2A" w:rsidP="00136B0C">
      <w:pPr>
        <w:pStyle w:val="Prrafodelista"/>
        <w:numPr>
          <w:ilvl w:val="0"/>
          <w:numId w:val="8"/>
        </w:numPr>
        <w:tabs>
          <w:tab w:val="left" w:pos="1985"/>
        </w:tabs>
        <w:spacing w:after="0" w:line="276" w:lineRule="auto"/>
        <w:ind w:left="0" w:firstLine="1701"/>
        <w:jc w:val="both"/>
        <w:rPr>
          <w:rFonts w:ascii="Gadugi" w:eastAsia="Calibri" w:hAnsi="Gadugi" w:cs="Times New Roman"/>
          <w:b/>
          <w:sz w:val="24"/>
          <w:szCs w:val="24"/>
        </w:rPr>
      </w:pPr>
      <w:r w:rsidRPr="00136B0C">
        <w:rPr>
          <w:rFonts w:ascii="Gadugi" w:eastAsia="Calibri" w:hAnsi="Gadugi" w:cs="Times New Roman"/>
          <w:sz w:val="24"/>
          <w:szCs w:val="24"/>
        </w:rPr>
        <w:t>La</w:t>
      </w:r>
      <w:r w:rsidR="00060F76" w:rsidRPr="00136B0C">
        <w:rPr>
          <w:rFonts w:ascii="Gadugi" w:eastAsia="Calibri" w:hAnsi="Gadugi" w:cs="Times New Roman"/>
          <w:sz w:val="24"/>
          <w:szCs w:val="24"/>
        </w:rPr>
        <w:t>s</w:t>
      </w:r>
      <w:r w:rsidRPr="00136B0C">
        <w:rPr>
          <w:rFonts w:ascii="Gadugi" w:eastAsia="Calibri" w:hAnsi="Gadugi" w:cs="Times New Roman"/>
          <w:sz w:val="24"/>
          <w:szCs w:val="24"/>
        </w:rPr>
        <w:t xml:space="preserve"> alzada</w:t>
      </w:r>
      <w:r w:rsidR="00060F76" w:rsidRPr="00136B0C">
        <w:rPr>
          <w:rFonts w:ascii="Gadugi" w:eastAsia="Calibri" w:hAnsi="Gadugi" w:cs="Times New Roman"/>
          <w:sz w:val="24"/>
          <w:szCs w:val="24"/>
        </w:rPr>
        <w:t>s</w:t>
      </w:r>
      <w:r w:rsidRPr="00136B0C">
        <w:rPr>
          <w:rFonts w:ascii="Gadugi" w:eastAsia="Calibri" w:hAnsi="Gadugi" w:cs="Times New Roman"/>
          <w:sz w:val="24"/>
          <w:szCs w:val="24"/>
        </w:rPr>
        <w:t xml:space="preserve">, por otro lado, </w:t>
      </w:r>
      <w:r w:rsidR="00060F76" w:rsidRPr="00136B0C">
        <w:rPr>
          <w:rFonts w:ascii="Gadugi" w:eastAsia="Calibri" w:hAnsi="Gadugi" w:cs="Times New Roman"/>
          <w:sz w:val="24"/>
          <w:szCs w:val="24"/>
        </w:rPr>
        <w:t>son</w:t>
      </w:r>
      <w:r w:rsidRPr="00136B0C">
        <w:rPr>
          <w:rFonts w:ascii="Gadugi" w:eastAsia="Calibri" w:hAnsi="Gadugi" w:cs="Times New Roman"/>
          <w:sz w:val="24"/>
          <w:szCs w:val="24"/>
        </w:rPr>
        <w:t xml:space="preserve"> procedente</w:t>
      </w:r>
      <w:r w:rsidR="00060F76" w:rsidRPr="00136B0C">
        <w:rPr>
          <w:rFonts w:ascii="Gadugi" w:eastAsia="Calibri" w:hAnsi="Gadugi" w:cs="Times New Roman"/>
          <w:sz w:val="24"/>
          <w:szCs w:val="24"/>
        </w:rPr>
        <w:t>s</w:t>
      </w:r>
      <w:r w:rsidRPr="00136B0C">
        <w:rPr>
          <w:rFonts w:ascii="Gadugi" w:eastAsia="Calibri" w:hAnsi="Gadugi" w:cs="Times New Roman"/>
          <w:sz w:val="24"/>
          <w:szCs w:val="24"/>
        </w:rPr>
        <w:t xml:space="preserve">, si se atiende lo dispuesto por </w:t>
      </w:r>
      <w:r w:rsidR="00060F76" w:rsidRPr="00136B0C">
        <w:rPr>
          <w:rFonts w:ascii="Gadugi" w:eastAsia="Calibri" w:hAnsi="Gadugi" w:cs="Times New Roman"/>
          <w:sz w:val="24"/>
          <w:szCs w:val="24"/>
        </w:rPr>
        <w:t xml:space="preserve">la regla 5 del artículo 366 del mismo estatuto, </w:t>
      </w:r>
      <w:r w:rsidRPr="00136B0C">
        <w:rPr>
          <w:rFonts w:ascii="Gadugi" w:eastAsia="Calibri" w:hAnsi="Gadugi" w:cs="Times New Roman"/>
          <w:sz w:val="24"/>
          <w:szCs w:val="24"/>
        </w:rPr>
        <w:t>fue</w:t>
      </w:r>
      <w:r w:rsidR="00060F76" w:rsidRPr="00136B0C">
        <w:rPr>
          <w:rFonts w:ascii="Gadugi" w:eastAsia="Calibri" w:hAnsi="Gadugi" w:cs="Times New Roman"/>
          <w:sz w:val="24"/>
          <w:szCs w:val="24"/>
        </w:rPr>
        <w:t>ron</w:t>
      </w:r>
      <w:r w:rsidRPr="00136B0C">
        <w:rPr>
          <w:rFonts w:ascii="Gadugi" w:eastAsia="Calibri" w:hAnsi="Gadugi" w:cs="Times New Roman"/>
          <w:sz w:val="24"/>
          <w:szCs w:val="24"/>
        </w:rPr>
        <w:t xml:space="preserve"> propuesta oportunamente, por quien</w:t>
      </w:r>
      <w:r w:rsidR="00060F76" w:rsidRPr="00136B0C">
        <w:rPr>
          <w:rFonts w:ascii="Gadugi" w:eastAsia="Calibri" w:hAnsi="Gadugi" w:cs="Times New Roman"/>
          <w:sz w:val="24"/>
          <w:szCs w:val="24"/>
        </w:rPr>
        <w:t>es</w:t>
      </w:r>
      <w:r w:rsidRPr="00136B0C">
        <w:rPr>
          <w:rFonts w:ascii="Gadugi" w:eastAsia="Calibri" w:hAnsi="Gadugi" w:cs="Times New Roman"/>
          <w:sz w:val="24"/>
          <w:szCs w:val="24"/>
        </w:rPr>
        <w:t xml:space="preserve"> estaba</w:t>
      </w:r>
      <w:r w:rsidR="00060F76" w:rsidRPr="00136B0C">
        <w:rPr>
          <w:rFonts w:ascii="Gadugi" w:eastAsia="Calibri" w:hAnsi="Gadugi" w:cs="Times New Roman"/>
          <w:sz w:val="24"/>
          <w:szCs w:val="24"/>
        </w:rPr>
        <w:t>n</w:t>
      </w:r>
      <w:r w:rsidRPr="00136B0C">
        <w:rPr>
          <w:rFonts w:ascii="Gadugi" w:eastAsia="Calibri" w:hAnsi="Gadugi" w:cs="Times New Roman"/>
          <w:sz w:val="24"/>
          <w:szCs w:val="24"/>
        </w:rPr>
        <w:t xml:space="preserve"> legitimado</w:t>
      </w:r>
      <w:r w:rsidR="00060F76" w:rsidRPr="00136B0C">
        <w:rPr>
          <w:rFonts w:ascii="Gadugi" w:eastAsia="Calibri" w:hAnsi="Gadugi" w:cs="Times New Roman"/>
          <w:sz w:val="24"/>
          <w:szCs w:val="24"/>
        </w:rPr>
        <w:t>s</w:t>
      </w:r>
      <w:r w:rsidRPr="00136B0C">
        <w:rPr>
          <w:rFonts w:ascii="Gadugi" w:eastAsia="Calibri" w:hAnsi="Gadugi" w:cs="Times New Roman"/>
          <w:sz w:val="24"/>
          <w:szCs w:val="24"/>
        </w:rPr>
        <w:t xml:space="preserve"> para ello y se sustent</w:t>
      </w:r>
      <w:r w:rsidR="00060F76" w:rsidRPr="00136B0C">
        <w:rPr>
          <w:rFonts w:ascii="Gadugi" w:eastAsia="Calibri" w:hAnsi="Gadugi" w:cs="Times New Roman"/>
          <w:sz w:val="24"/>
          <w:szCs w:val="24"/>
        </w:rPr>
        <w:t>aron</w:t>
      </w:r>
      <w:r w:rsidRPr="00136B0C">
        <w:rPr>
          <w:rFonts w:ascii="Gadugi" w:eastAsia="Calibri" w:hAnsi="Gadugi" w:cs="Times New Roman"/>
          <w:sz w:val="24"/>
          <w:szCs w:val="24"/>
        </w:rPr>
        <w:t xml:space="preserve"> adecuadamente. </w:t>
      </w:r>
    </w:p>
    <w:p w14:paraId="652AC3E0" w14:textId="77777777" w:rsidR="006D4F0E" w:rsidRPr="00136B0C" w:rsidRDefault="006D4F0E" w:rsidP="00136B0C">
      <w:pPr>
        <w:tabs>
          <w:tab w:val="left" w:pos="1985"/>
        </w:tabs>
        <w:spacing w:after="0" w:line="276" w:lineRule="auto"/>
        <w:ind w:firstLine="1701"/>
        <w:jc w:val="both"/>
        <w:rPr>
          <w:rFonts w:ascii="Gadugi" w:eastAsia="Calibri" w:hAnsi="Gadugi" w:cs="Times New Roman"/>
          <w:b/>
          <w:sz w:val="24"/>
          <w:szCs w:val="24"/>
        </w:rPr>
      </w:pPr>
    </w:p>
    <w:p w14:paraId="220F601C" w14:textId="27A582AA" w:rsidR="006D4F0E" w:rsidRPr="00136B0C" w:rsidRDefault="006D4F0E" w:rsidP="00136B0C">
      <w:pPr>
        <w:pStyle w:val="Prrafodelista"/>
        <w:numPr>
          <w:ilvl w:val="0"/>
          <w:numId w:val="8"/>
        </w:numPr>
        <w:tabs>
          <w:tab w:val="left" w:pos="1985"/>
        </w:tabs>
        <w:spacing w:after="0" w:line="276" w:lineRule="auto"/>
        <w:ind w:left="0" w:firstLine="1701"/>
        <w:jc w:val="both"/>
        <w:rPr>
          <w:rFonts w:ascii="Gadugi" w:eastAsia="Calibri" w:hAnsi="Gadugi" w:cs="Times New Roman"/>
          <w:b/>
          <w:sz w:val="24"/>
          <w:szCs w:val="24"/>
        </w:rPr>
      </w:pPr>
      <w:r w:rsidRPr="00136B0C">
        <w:rPr>
          <w:rFonts w:ascii="Gadugi" w:eastAsia="Calibri" w:hAnsi="Gadugi" w:cs="Times New Roman"/>
          <w:sz w:val="24"/>
          <w:szCs w:val="24"/>
        </w:rPr>
        <w:t>De entrada</w:t>
      </w:r>
      <w:r w:rsidR="001D599C" w:rsidRPr="00136B0C">
        <w:rPr>
          <w:rFonts w:ascii="Gadugi" w:eastAsia="Calibri" w:hAnsi="Gadugi" w:cs="Times New Roman"/>
          <w:sz w:val="24"/>
          <w:szCs w:val="24"/>
        </w:rPr>
        <w:t>,</w:t>
      </w:r>
      <w:r w:rsidRPr="00136B0C">
        <w:rPr>
          <w:rFonts w:ascii="Gadugi" w:eastAsia="Calibri" w:hAnsi="Gadugi" w:cs="Times New Roman"/>
          <w:sz w:val="24"/>
          <w:szCs w:val="24"/>
        </w:rPr>
        <w:t xml:space="preserve"> se advierte que la providencia será </w:t>
      </w:r>
      <w:r w:rsidR="00060F76" w:rsidRPr="00136B0C">
        <w:rPr>
          <w:rFonts w:ascii="Gadugi" w:eastAsia="Calibri" w:hAnsi="Gadugi" w:cs="Times New Roman"/>
          <w:sz w:val="24"/>
          <w:szCs w:val="24"/>
        </w:rPr>
        <w:t>modificada.</w:t>
      </w:r>
    </w:p>
    <w:p w14:paraId="04EA8F07" w14:textId="5A55BC96" w:rsidR="006D4F0E" w:rsidRPr="00136B0C" w:rsidRDefault="006D4F0E" w:rsidP="00136B0C">
      <w:pPr>
        <w:pStyle w:val="Prrafodelista"/>
        <w:spacing w:line="276" w:lineRule="auto"/>
        <w:ind w:left="0" w:firstLine="1701"/>
        <w:rPr>
          <w:rFonts w:ascii="Gadugi" w:eastAsia="Calibri" w:hAnsi="Gadugi" w:cs="Times New Roman"/>
          <w:b/>
          <w:sz w:val="24"/>
          <w:szCs w:val="24"/>
        </w:rPr>
      </w:pPr>
    </w:p>
    <w:p w14:paraId="16A05833" w14:textId="77777777" w:rsidR="00060F76" w:rsidRPr="00136B0C" w:rsidRDefault="00060F76" w:rsidP="00136B0C">
      <w:pPr>
        <w:pStyle w:val="Prrafodelista"/>
        <w:numPr>
          <w:ilvl w:val="0"/>
          <w:numId w:val="8"/>
        </w:numPr>
        <w:tabs>
          <w:tab w:val="left" w:pos="1985"/>
        </w:tabs>
        <w:spacing w:line="276" w:lineRule="auto"/>
        <w:ind w:left="0" w:firstLine="1701"/>
        <w:jc w:val="both"/>
        <w:rPr>
          <w:rFonts w:ascii="Gadugi" w:eastAsia="Calibri" w:hAnsi="Gadugi" w:cs="Times New Roman"/>
          <w:b/>
          <w:sz w:val="24"/>
          <w:szCs w:val="24"/>
        </w:rPr>
      </w:pPr>
      <w:r w:rsidRPr="00136B0C">
        <w:rPr>
          <w:rFonts w:ascii="Gadugi" w:eastAsia="Calibri" w:hAnsi="Gadugi" w:cs="Times New Roman"/>
          <w:sz w:val="24"/>
          <w:szCs w:val="24"/>
        </w:rPr>
        <w:t xml:space="preserve">Para arribar a esa conclusión, es menester para esta Sala hacer algunas precisiones en torno a la regulación de las costas en el Código General del Proceso, no solo para señalar su criterio en torno a la fijación de las agencias en derecho, sino para, enseguida, acoger la posición que sobre el particular ha expuesto nuestro órgano de cierre, lo cual es relevante por cuanto, como se puede advertir desde ya, a esta Colegiatura corresponde revisar su propia decisión de fijar agencias en derecho. </w:t>
      </w:r>
    </w:p>
    <w:p w14:paraId="20644750" w14:textId="77777777" w:rsidR="00060F76" w:rsidRPr="00136B0C" w:rsidRDefault="00060F76" w:rsidP="00136B0C">
      <w:pPr>
        <w:pStyle w:val="Prrafodelista"/>
        <w:spacing w:line="276" w:lineRule="auto"/>
        <w:rPr>
          <w:rFonts w:ascii="Gadugi" w:eastAsia="Calibri" w:hAnsi="Gadugi" w:cs="Times New Roman"/>
          <w:sz w:val="24"/>
          <w:szCs w:val="24"/>
        </w:rPr>
      </w:pPr>
    </w:p>
    <w:p w14:paraId="11503F27" w14:textId="77777777" w:rsidR="00657BD2" w:rsidRPr="00136B0C" w:rsidRDefault="00060F76" w:rsidP="00136B0C">
      <w:pPr>
        <w:pStyle w:val="Prrafodelista"/>
        <w:numPr>
          <w:ilvl w:val="0"/>
          <w:numId w:val="8"/>
        </w:numPr>
        <w:tabs>
          <w:tab w:val="left" w:pos="1985"/>
        </w:tabs>
        <w:spacing w:after="0" w:line="276" w:lineRule="auto"/>
        <w:ind w:left="0" w:firstLine="1701"/>
        <w:jc w:val="both"/>
        <w:rPr>
          <w:rFonts w:ascii="Gadugi" w:hAnsi="Gadugi"/>
          <w:color w:val="0070C0"/>
          <w:sz w:val="24"/>
          <w:szCs w:val="24"/>
        </w:rPr>
      </w:pPr>
      <w:r w:rsidRPr="00136B0C">
        <w:rPr>
          <w:rFonts w:ascii="Gadugi" w:eastAsia="Calibri" w:hAnsi="Gadugi" w:cs="Times New Roman"/>
          <w:sz w:val="24"/>
          <w:szCs w:val="24"/>
        </w:rPr>
        <w:t xml:space="preserve">Para dilucidar por qué se da esta circunstancia, primero se </w:t>
      </w:r>
      <w:r w:rsidR="00657BD2" w:rsidRPr="00136B0C">
        <w:rPr>
          <w:rFonts w:ascii="Gadugi" w:eastAsia="Calibri" w:hAnsi="Gadugi" w:cs="Times New Roman"/>
          <w:sz w:val="24"/>
          <w:szCs w:val="24"/>
        </w:rPr>
        <w:t xml:space="preserve">aludirá a la percepción que, al momento de empezar a regir el Código General del Proceso, en su última fase (art. 327), tuvo esta Sala respecto de la fijación de las agencias en derecho. </w:t>
      </w:r>
    </w:p>
    <w:p w14:paraId="4E9381C0" w14:textId="77777777" w:rsidR="00657BD2" w:rsidRPr="00136B0C" w:rsidRDefault="00657BD2" w:rsidP="00136B0C">
      <w:pPr>
        <w:pStyle w:val="Prrafodelista"/>
        <w:spacing w:line="276" w:lineRule="auto"/>
        <w:rPr>
          <w:rFonts w:ascii="Gadugi" w:hAnsi="Gadugi"/>
          <w:sz w:val="24"/>
          <w:szCs w:val="24"/>
        </w:rPr>
      </w:pPr>
    </w:p>
    <w:p w14:paraId="24AED6C9" w14:textId="52804741" w:rsidR="00657BD2" w:rsidRPr="00136B0C" w:rsidRDefault="00657BD2" w:rsidP="00136B0C">
      <w:pPr>
        <w:pStyle w:val="Prrafodelista"/>
        <w:numPr>
          <w:ilvl w:val="0"/>
          <w:numId w:val="8"/>
        </w:numPr>
        <w:tabs>
          <w:tab w:val="left" w:pos="1985"/>
        </w:tabs>
        <w:spacing w:after="0" w:line="276" w:lineRule="auto"/>
        <w:ind w:left="0" w:firstLine="1701"/>
        <w:jc w:val="both"/>
        <w:rPr>
          <w:rFonts w:ascii="Gadugi" w:hAnsi="Gadugi"/>
          <w:sz w:val="24"/>
          <w:szCs w:val="24"/>
        </w:rPr>
      </w:pPr>
      <w:bookmarkStart w:id="2" w:name="_Hlk101177021"/>
      <w:r w:rsidRPr="00136B0C">
        <w:rPr>
          <w:rFonts w:ascii="Gadugi" w:hAnsi="Gadugi"/>
          <w:sz w:val="24"/>
          <w:szCs w:val="24"/>
        </w:rPr>
        <w:t xml:space="preserve">La modificación que se introdujo a la liquidación de costas fue trascendental, porque el artículo 366 del CGP establece que se hará de manera concentrada en el juzgado que haya conocido del proceso en primera o única instancia. Esto implica que ese ejercicio se lleve a cabo solo una vez, cuando quede en firme la providencia que le ponga fin al proceso o el auto que ordene cumplir lo resuelto por el superior. </w:t>
      </w:r>
    </w:p>
    <w:p w14:paraId="6272AEC4" w14:textId="77777777" w:rsidR="00657BD2" w:rsidRPr="00136B0C" w:rsidRDefault="00657BD2" w:rsidP="00136B0C">
      <w:pPr>
        <w:spacing w:after="0" w:line="276" w:lineRule="auto"/>
        <w:jc w:val="both"/>
        <w:rPr>
          <w:rFonts w:ascii="Gadugi" w:hAnsi="Gadugi"/>
          <w:sz w:val="24"/>
          <w:szCs w:val="24"/>
        </w:rPr>
      </w:pPr>
    </w:p>
    <w:p w14:paraId="64A7758F" w14:textId="77777777" w:rsidR="00657BD2" w:rsidRPr="00136B0C" w:rsidRDefault="00657BD2" w:rsidP="00136B0C">
      <w:pPr>
        <w:spacing w:after="0" w:line="276" w:lineRule="auto"/>
        <w:ind w:firstLine="1701"/>
        <w:jc w:val="both"/>
        <w:rPr>
          <w:rFonts w:ascii="Gadugi" w:hAnsi="Gadugi"/>
          <w:sz w:val="24"/>
          <w:szCs w:val="24"/>
        </w:rPr>
      </w:pPr>
      <w:r w:rsidRPr="00136B0C">
        <w:rPr>
          <w:rFonts w:ascii="Gadugi" w:hAnsi="Gadugi"/>
          <w:sz w:val="24"/>
          <w:szCs w:val="24"/>
        </w:rPr>
        <w:t>Quiere decir, que, en firme una de tales providencias, le corresponde al secretario asumir la liquidación de las costas de cada una de las instancias (primera y segunda) e incluso de las que se causaron en el recurso de casación</w:t>
      </w:r>
      <w:bookmarkEnd w:id="2"/>
      <w:r w:rsidRPr="00136B0C">
        <w:rPr>
          <w:rFonts w:ascii="Gadugi" w:hAnsi="Gadugi"/>
          <w:sz w:val="24"/>
          <w:szCs w:val="24"/>
        </w:rPr>
        <w:t xml:space="preserve">; adicionalmente, las que se hubieran impuesto en el curso del proceso por resolución de recursos, incidentes o trámites que los sustituyan. </w:t>
      </w:r>
    </w:p>
    <w:p w14:paraId="0755DF6C" w14:textId="77777777" w:rsidR="00657BD2" w:rsidRPr="00136B0C" w:rsidRDefault="00657BD2" w:rsidP="00136B0C">
      <w:pPr>
        <w:spacing w:after="0" w:line="276" w:lineRule="auto"/>
        <w:ind w:firstLine="1701"/>
        <w:jc w:val="both"/>
        <w:rPr>
          <w:rFonts w:ascii="Gadugi" w:hAnsi="Gadugi"/>
          <w:sz w:val="24"/>
          <w:szCs w:val="24"/>
        </w:rPr>
      </w:pPr>
    </w:p>
    <w:p w14:paraId="0468D801" w14:textId="20117A38" w:rsidR="00657BD2" w:rsidRPr="00136B0C" w:rsidRDefault="00657BD2" w:rsidP="00136B0C">
      <w:pPr>
        <w:spacing w:after="0" w:line="276" w:lineRule="auto"/>
        <w:ind w:firstLine="1701"/>
        <w:jc w:val="both"/>
        <w:rPr>
          <w:rFonts w:ascii="Gadugi" w:hAnsi="Gadugi"/>
          <w:sz w:val="24"/>
          <w:szCs w:val="24"/>
        </w:rPr>
      </w:pPr>
      <w:r w:rsidRPr="00136B0C">
        <w:rPr>
          <w:rFonts w:ascii="Gadugi" w:hAnsi="Gadugi"/>
          <w:sz w:val="24"/>
          <w:szCs w:val="24"/>
        </w:rPr>
        <w:t xml:space="preserve">Más claro aún; ya no debería ocurrir, como en el pasado, que las costas a que se condene en la Corte se liquiden allí, las del Tribunal igual, y las del Juzgado de primera instancia, una vez se haya concluido el trabajo de las otras. Ahora, se hará un solo trabajo que se pondrá a consideración del juez para que las apruebe o las modifique. </w:t>
      </w:r>
    </w:p>
    <w:p w14:paraId="45334075" w14:textId="77777777" w:rsidR="00657BD2" w:rsidRPr="00136B0C" w:rsidRDefault="00657BD2" w:rsidP="00136B0C">
      <w:pPr>
        <w:spacing w:after="0" w:line="276" w:lineRule="auto"/>
        <w:ind w:firstLine="1701"/>
        <w:jc w:val="both"/>
        <w:rPr>
          <w:rFonts w:ascii="Gadugi" w:hAnsi="Gadugi"/>
          <w:sz w:val="24"/>
          <w:szCs w:val="24"/>
        </w:rPr>
      </w:pPr>
    </w:p>
    <w:p w14:paraId="5A3C94C8" w14:textId="6067A318" w:rsidR="00657BD2" w:rsidRPr="00136B0C" w:rsidRDefault="00657BD2" w:rsidP="00136B0C">
      <w:pPr>
        <w:spacing w:after="0" w:line="276" w:lineRule="auto"/>
        <w:ind w:firstLine="1701"/>
        <w:jc w:val="both"/>
        <w:rPr>
          <w:rFonts w:ascii="Gadugi" w:hAnsi="Gadugi"/>
          <w:sz w:val="24"/>
          <w:szCs w:val="24"/>
        </w:rPr>
      </w:pPr>
      <w:r w:rsidRPr="00136B0C">
        <w:rPr>
          <w:rFonts w:ascii="Gadugi" w:hAnsi="Gadugi"/>
          <w:sz w:val="24"/>
          <w:szCs w:val="24"/>
        </w:rPr>
        <w:t xml:space="preserve">Esto, que fue tan preciso en la norma, en criterio de esta Sala, generaba una discusión acerca de quién debe señalar las agencias en derecho, si cada uno de los funcionarios que conozca del proceso, esto es, el juez de circuito en primera instancia, el Tribunal en segunda instancia, y la Corte en casación, o si todas las agencias en derecho debe fijarlas el juez de primer grado o el de única instancia, pues allí se realizará de manera concentrada la liquidación. </w:t>
      </w:r>
    </w:p>
    <w:p w14:paraId="6124930C" w14:textId="77777777" w:rsidR="00657BD2" w:rsidRPr="00136B0C" w:rsidRDefault="00657BD2" w:rsidP="00136B0C">
      <w:pPr>
        <w:spacing w:after="0" w:line="276" w:lineRule="auto"/>
        <w:ind w:firstLine="1701"/>
        <w:jc w:val="both"/>
        <w:rPr>
          <w:rFonts w:ascii="Gadugi" w:hAnsi="Gadugi"/>
          <w:sz w:val="24"/>
          <w:szCs w:val="24"/>
        </w:rPr>
      </w:pPr>
    </w:p>
    <w:p w14:paraId="532A1DC2" w14:textId="6B677076" w:rsidR="00657BD2" w:rsidRPr="00136B0C" w:rsidRDefault="00657BD2" w:rsidP="00136B0C">
      <w:pPr>
        <w:spacing w:after="0" w:line="276" w:lineRule="auto"/>
        <w:ind w:firstLine="1701"/>
        <w:jc w:val="both"/>
        <w:rPr>
          <w:rFonts w:ascii="Gadugi" w:hAnsi="Gadugi"/>
          <w:sz w:val="24"/>
          <w:szCs w:val="24"/>
        </w:rPr>
      </w:pPr>
      <w:r w:rsidRPr="00136B0C">
        <w:rPr>
          <w:rFonts w:ascii="Gadugi" w:hAnsi="Gadugi"/>
          <w:sz w:val="24"/>
          <w:szCs w:val="24"/>
        </w:rPr>
        <w:t xml:space="preserve">Esto surge de la redacción de la regla 3ª del artículo 366 del CGP, que enseña que la liquidación incluirá el valor de los honorarios de auxiliares de la justicia, los demás gastos judiciales hechos por la parte beneficiada con la condena, siempre que aparezcan comprobados, hayan sido útiles y correspondan a actuaciones autorizadas por la ley, y las agencias en derecho que fije el magistrado sustanciador o el juez, aunque se litigue sin apoderado. </w:t>
      </w:r>
    </w:p>
    <w:p w14:paraId="11C4729F" w14:textId="77777777" w:rsidR="00657BD2" w:rsidRPr="00136B0C" w:rsidRDefault="00657BD2" w:rsidP="00136B0C">
      <w:pPr>
        <w:spacing w:after="0" w:line="276" w:lineRule="auto"/>
        <w:ind w:firstLine="1701"/>
        <w:jc w:val="both"/>
        <w:rPr>
          <w:rFonts w:ascii="Gadugi" w:hAnsi="Gadugi"/>
          <w:sz w:val="24"/>
          <w:szCs w:val="24"/>
        </w:rPr>
      </w:pPr>
    </w:p>
    <w:p w14:paraId="386DFAC1" w14:textId="7DAEBC84" w:rsidR="00657BD2" w:rsidRPr="00136B0C" w:rsidRDefault="00657BD2" w:rsidP="00136B0C">
      <w:pPr>
        <w:spacing w:after="0" w:line="276" w:lineRule="auto"/>
        <w:ind w:firstLine="1701"/>
        <w:jc w:val="both"/>
        <w:rPr>
          <w:rFonts w:ascii="Gadugi" w:hAnsi="Gadugi"/>
          <w:sz w:val="24"/>
          <w:szCs w:val="24"/>
        </w:rPr>
      </w:pPr>
      <w:r w:rsidRPr="00136B0C">
        <w:rPr>
          <w:rFonts w:ascii="Gadugi" w:hAnsi="Gadugi"/>
          <w:sz w:val="24"/>
          <w:szCs w:val="24"/>
        </w:rPr>
        <w:t xml:space="preserve">De la desprevenida lectura de esta regla se infiere que, en consecuencia, todo seguiría como antes en lo que a la fijación de las agencias en </w:t>
      </w:r>
      <w:r w:rsidRPr="00136B0C">
        <w:rPr>
          <w:rFonts w:ascii="Gadugi" w:hAnsi="Gadugi"/>
          <w:sz w:val="24"/>
          <w:szCs w:val="24"/>
        </w:rPr>
        <w:lastRenderedPageBreak/>
        <w:t xml:space="preserve">derecho se refiere. Es decir, que cada funcionario señalaría el monto de las que causaron en la primera instancia, en la segunda y en la eventual sentencia de casación o revisión. </w:t>
      </w:r>
    </w:p>
    <w:p w14:paraId="6E399268" w14:textId="77777777" w:rsidR="00657BD2" w:rsidRPr="00136B0C" w:rsidRDefault="00657BD2" w:rsidP="00136B0C">
      <w:pPr>
        <w:spacing w:after="0" w:line="276" w:lineRule="auto"/>
        <w:ind w:firstLine="1701"/>
        <w:jc w:val="both"/>
        <w:rPr>
          <w:rFonts w:ascii="Gadugi" w:hAnsi="Gadugi"/>
          <w:sz w:val="24"/>
          <w:szCs w:val="24"/>
        </w:rPr>
      </w:pPr>
    </w:p>
    <w:p w14:paraId="31B286E2" w14:textId="5172AA5E" w:rsidR="00657BD2" w:rsidRPr="00136B0C" w:rsidRDefault="00657BD2" w:rsidP="00136B0C">
      <w:pPr>
        <w:spacing w:after="0" w:line="276" w:lineRule="auto"/>
        <w:ind w:firstLine="1701"/>
        <w:jc w:val="both"/>
        <w:rPr>
          <w:rFonts w:ascii="Gadugi" w:hAnsi="Gadugi"/>
          <w:sz w:val="24"/>
          <w:szCs w:val="24"/>
        </w:rPr>
      </w:pPr>
      <w:r w:rsidRPr="00136B0C">
        <w:rPr>
          <w:rFonts w:ascii="Gadugi" w:hAnsi="Gadugi"/>
          <w:sz w:val="24"/>
          <w:szCs w:val="24"/>
        </w:rPr>
        <w:t xml:space="preserve">Pero, un vistazo a los antecedentes del Código General del Proceso, permitiría ver que entre el segundo debate (en Cámara) y el tercero (primero en el Senado), hubo una modificación sustancial. En efecto, en aquél, la norma propuesta, artículo 365, decía en sus primeros numerales: </w:t>
      </w:r>
    </w:p>
    <w:p w14:paraId="28ED638B" w14:textId="77777777" w:rsidR="00657BD2" w:rsidRPr="00136B0C" w:rsidRDefault="00657BD2" w:rsidP="00136B0C">
      <w:pPr>
        <w:spacing w:after="0" w:line="276" w:lineRule="auto"/>
        <w:ind w:firstLine="1701"/>
        <w:jc w:val="both"/>
        <w:rPr>
          <w:rFonts w:ascii="Gadugi" w:hAnsi="Gadugi"/>
          <w:sz w:val="24"/>
          <w:szCs w:val="24"/>
        </w:rPr>
      </w:pPr>
    </w:p>
    <w:p w14:paraId="3610A45D" w14:textId="77777777" w:rsidR="00657BD2" w:rsidRPr="008C32FF" w:rsidRDefault="00657BD2" w:rsidP="008C32FF">
      <w:pPr>
        <w:pStyle w:val="Default"/>
        <w:ind w:left="426" w:right="418" w:firstLine="1134"/>
        <w:jc w:val="both"/>
        <w:rPr>
          <w:rFonts w:ascii="Gadugi" w:hAnsi="Gadugi"/>
          <w:color w:val="auto"/>
          <w:sz w:val="22"/>
        </w:rPr>
      </w:pPr>
      <w:r w:rsidRPr="008C32FF">
        <w:rPr>
          <w:rFonts w:ascii="Gadugi" w:hAnsi="Gadugi"/>
          <w:b/>
          <w:bCs/>
          <w:color w:val="auto"/>
          <w:sz w:val="22"/>
        </w:rPr>
        <w:t xml:space="preserve">Artículo 365. </w:t>
      </w:r>
      <w:r w:rsidRPr="008C32FF">
        <w:rPr>
          <w:rFonts w:ascii="Gadugi" w:hAnsi="Gadugi"/>
          <w:b/>
          <w:bCs/>
          <w:i/>
          <w:iCs/>
          <w:color w:val="auto"/>
          <w:sz w:val="22"/>
        </w:rPr>
        <w:t xml:space="preserve">Condena en costas. </w:t>
      </w:r>
      <w:r w:rsidRPr="008C32FF">
        <w:rPr>
          <w:rFonts w:ascii="Gadugi" w:hAnsi="Gadugi"/>
          <w:color w:val="auto"/>
          <w:sz w:val="22"/>
        </w:rPr>
        <w:t xml:space="preserve">En los procesos y en las actuaciones posteriores a aquellos en que haya controversia la condena en costas se sujetará a las siguientes reglas: </w:t>
      </w:r>
    </w:p>
    <w:p w14:paraId="377E4799" w14:textId="77777777" w:rsidR="00657BD2" w:rsidRPr="008C32FF" w:rsidRDefault="00657BD2" w:rsidP="008C32FF">
      <w:pPr>
        <w:pStyle w:val="Default"/>
        <w:ind w:left="426" w:right="418" w:firstLine="1134"/>
        <w:jc w:val="both"/>
        <w:rPr>
          <w:rFonts w:ascii="Gadugi" w:hAnsi="Gadugi"/>
          <w:color w:val="auto"/>
          <w:sz w:val="22"/>
        </w:rPr>
      </w:pPr>
    </w:p>
    <w:p w14:paraId="028D7AD3" w14:textId="77777777" w:rsidR="00657BD2" w:rsidRPr="008C32FF" w:rsidRDefault="00657BD2" w:rsidP="008C32FF">
      <w:pPr>
        <w:pStyle w:val="Default"/>
        <w:ind w:left="426" w:right="418" w:firstLine="1134"/>
        <w:jc w:val="both"/>
        <w:rPr>
          <w:rFonts w:ascii="Gadugi" w:hAnsi="Gadugi"/>
          <w:color w:val="auto"/>
          <w:sz w:val="22"/>
        </w:rPr>
      </w:pPr>
      <w:r w:rsidRPr="008C32FF">
        <w:rPr>
          <w:rFonts w:ascii="Gadugi" w:hAnsi="Gadugi"/>
          <w:color w:val="auto"/>
          <w:sz w:val="22"/>
        </w:rPr>
        <w:t xml:space="preserve">1. Se condenará en costas a la parte vencida en el proceso, o a quien se le resuelva desfavorablemente el recurso de apelación, casación, queja, súplica, anulación o revisión que haya propuesto. Además, en los casos especiales previstos en este código. </w:t>
      </w:r>
    </w:p>
    <w:p w14:paraId="08AD93A6" w14:textId="77777777" w:rsidR="00657BD2" w:rsidRPr="008C32FF" w:rsidRDefault="00657BD2" w:rsidP="008C32FF">
      <w:pPr>
        <w:pStyle w:val="Default"/>
        <w:ind w:left="426" w:right="418" w:firstLine="1134"/>
        <w:jc w:val="both"/>
        <w:rPr>
          <w:rFonts w:ascii="Gadugi" w:hAnsi="Gadugi"/>
          <w:color w:val="auto"/>
          <w:sz w:val="22"/>
        </w:rPr>
      </w:pPr>
    </w:p>
    <w:p w14:paraId="0605F41E" w14:textId="77777777" w:rsidR="00657BD2" w:rsidRPr="008C32FF" w:rsidRDefault="00657BD2" w:rsidP="008C32FF">
      <w:pPr>
        <w:pStyle w:val="Default"/>
        <w:ind w:left="426" w:right="418" w:firstLine="1134"/>
        <w:jc w:val="both"/>
        <w:rPr>
          <w:rFonts w:ascii="Gadugi" w:hAnsi="Gadugi"/>
          <w:color w:val="auto"/>
          <w:sz w:val="22"/>
        </w:rPr>
      </w:pPr>
      <w:r w:rsidRPr="008C32FF">
        <w:rPr>
          <w:rFonts w:ascii="Gadugi" w:hAnsi="Gadugi"/>
          <w:color w:val="auto"/>
          <w:sz w:val="22"/>
        </w:rPr>
        <w:t xml:space="preserve">Además se condenará en costas a quien se le resuelva de manera desfavorable un incidente, la formulación de excepciones previas, una solicitud de nulidad o de amparo de pobreza, sin perjuicio de lo dispuesto en relación con la temeridad o mala fe. </w:t>
      </w:r>
    </w:p>
    <w:p w14:paraId="2D72DED5" w14:textId="77777777" w:rsidR="00657BD2" w:rsidRPr="008C32FF" w:rsidRDefault="00657BD2" w:rsidP="008C32FF">
      <w:pPr>
        <w:pStyle w:val="Default"/>
        <w:ind w:left="426" w:right="418" w:firstLine="1134"/>
        <w:jc w:val="both"/>
        <w:rPr>
          <w:rFonts w:ascii="Gadugi" w:hAnsi="Gadugi"/>
          <w:color w:val="auto"/>
          <w:sz w:val="22"/>
        </w:rPr>
      </w:pPr>
    </w:p>
    <w:p w14:paraId="2ADB67F3" w14:textId="77777777" w:rsidR="00657BD2" w:rsidRPr="008C32FF" w:rsidRDefault="00657BD2" w:rsidP="008C32FF">
      <w:pPr>
        <w:spacing w:after="0" w:line="240" w:lineRule="auto"/>
        <w:ind w:left="426" w:right="418" w:firstLine="1134"/>
        <w:jc w:val="both"/>
        <w:rPr>
          <w:rFonts w:ascii="Gadugi" w:hAnsi="Gadugi"/>
          <w:b/>
          <w:szCs w:val="24"/>
          <w:u w:val="single"/>
        </w:rPr>
      </w:pPr>
      <w:r w:rsidRPr="008C32FF">
        <w:rPr>
          <w:rFonts w:ascii="Gadugi" w:hAnsi="Gadugi"/>
          <w:szCs w:val="24"/>
        </w:rPr>
        <w:t xml:space="preserve">2. La condena se hará en sentencia o auto que resuelva la actuación que dio lugar a aquella. </w:t>
      </w:r>
      <w:r w:rsidRPr="008C32FF">
        <w:rPr>
          <w:rFonts w:ascii="Gadugi" w:hAnsi="Gadugi"/>
          <w:b/>
          <w:szCs w:val="24"/>
          <w:u w:val="single"/>
        </w:rPr>
        <w:t xml:space="preserve">En la misma providencia se fijará el valor de las agencias en derecho que deban ser incluidas en la respectiva liquidación. </w:t>
      </w:r>
      <w:r w:rsidRPr="008C32FF">
        <w:rPr>
          <w:rFonts w:ascii="Gadugi" w:hAnsi="Gadugi"/>
          <w:szCs w:val="24"/>
        </w:rPr>
        <w:t>(negrillas y subrayas propias)</w:t>
      </w:r>
    </w:p>
    <w:p w14:paraId="3E2FAEAB" w14:textId="77777777" w:rsidR="00657BD2" w:rsidRPr="00136B0C" w:rsidRDefault="00657BD2" w:rsidP="00136B0C">
      <w:pPr>
        <w:spacing w:after="0" w:line="276" w:lineRule="auto"/>
        <w:ind w:firstLine="1134"/>
        <w:jc w:val="both"/>
        <w:rPr>
          <w:rFonts w:ascii="Gadugi" w:hAnsi="Gadugi"/>
          <w:sz w:val="24"/>
          <w:szCs w:val="24"/>
        </w:rPr>
      </w:pPr>
    </w:p>
    <w:p w14:paraId="464CA459" w14:textId="71DDCF2A" w:rsidR="00657BD2" w:rsidRPr="00136B0C" w:rsidRDefault="00657BD2" w:rsidP="00136B0C">
      <w:pPr>
        <w:autoSpaceDE w:val="0"/>
        <w:autoSpaceDN w:val="0"/>
        <w:adjustRightInd w:val="0"/>
        <w:spacing w:after="0" w:line="276" w:lineRule="auto"/>
        <w:ind w:firstLine="1134"/>
        <w:rPr>
          <w:rFonts w:ascii="Gadugi" w:hAnsi="Gadugi" w:cs="Tahoma"/>
          <w:sz w:val="24"/>
          <w:szCs w:val="24"/>
        </w:rPr>
      </w:pPr>
      <w:r w:rsidRPr="00136B0C">
        <w:rPr>
          <w:rFonts w:ascii="Gadugi" w:hAnsi="Gadugi" w:cs="Tahoma"/>
          <w:sz w:val="24"/>
          <w:szCs w:val="24"/>
        </w:rPr>
        <w:t>En tanto que</w:t>
      </w:r>
      <w:r w:rsidR="0073680D" w:rsidRPr="00136B0C">
        <w:rPr>
          <w:rFonts w:ascii="Gadugi" w:hAnsi="Gadugi" w:cs="Tahoma"/>
          <w:sz w:val="24"/>
          <w:szCs w:val="24"/>
        </w:rPr>
        <w:t>,</w:t>
      </w:r>
      <w:r w:rsidRPr="00136B0C">
        <w:rPr>
          <w:rFonts w:ascii="Gadugi" w:hAnsi="Gadugi" w:cs="Tahoma"/>
          <w:sz w:val="24"/>
          <w:szCs w:val="24"/>
        </w:rPr>
        <w:t xml:space="preserve"> en el primer debate en el Senado, se aprobó esa norma, en sus iniciales reglas, así: </w:t>
      </w:r>
    </w:p>
    <w:p w14:paraId="0549B617" w14:textId="77777777" w:rsidR="00657BD2" w:rsidRPr="00136B0C" w:rsidRDefault="00657BD2" w:rsidP="00136B0C">
      <w:pPr>
        <w:autoSpaceDE w:val="0"/>
        <w:autoSpaceDN w:val="0"/>
        <w:adjustRightInd w:val="0"/>
        <w:spacing w:after="0" w:line="276" w:lineRule="auto"/>
        <w:ind w:firstLine="1134"/>
        <w:rPr>
          <w:rFonts w:ascii="Gadugi" w:hAnsi="Gadugi" w:cs="Tahoma"/>
          <w:sz w:val="24"/>
          <w:szCs w:val="24"/>
        </w:rPr>
      </w:pPr>
    </w:p>
    <w:p w14:paraId="77DB35F7" w14:textId="77777777" w:rsidR="00657BD2" w:rsidRPr="008C32FF" w:rsidRDefault="00657BD2" w:rsidP="008C32FF">
      <w:pPr>
        <w:adjustRightInd w:val="0"/>
        <w:spacing w:after="0" w:line="240" w:lineRule="auto"/>
        <w:ind w:left="426" w:right="418" w:firstLine="1134"/>
        <w:jc w:val="both"/>
        <w:textAlignment w:val="center"/>
        <w:rPr>
          <w:rFonts w:ascii="Gadugi" w:eastAsia="Calibri" w:hAnsi="Gadugi"/>
          <w:szCs w:val="24"/>
          <w:lang w:val="es-ES_tradnl"/>
        </w:rPr>
      </w:pPr>
      <w:r w:rsidRPr="008C32FF">
        <w:rPr>
          <w:rFonts w:ascii="Gadugi" w:eastAsia="Calibri" w:hAnsi="Gadugi"/>
          <w:b/>
          <w:bCs/>
          <w:szCs w:val="24"/>
          <w:lang w:val="es-ES_tradnl"/>
        </w:rPr>
        <w:t xml:space="preserve">Artículo 365. </w:t>
      </w:r>
      <w:r w:rsidRPr="008C32FF">
        <w:rPr>
          <w:rFonts w:ascii="Gadugi" w:eastAsia="Calibri" w:hAnsi="Gadugi"/>
          <w:b/>
          <w:bCs/>
          <w:i/>
          <w:iCs/>
          <w:szCs w:val="24"/>
          <w:lang w:val="es-ES_tradnl"/>
        </w:rPr>
        <w:t>Condena en costas.</w:t>
      </w:r>
      <w:r w:rsidRPr="008C32FF">
        <w:rPr>
          <w:rFonts w:ascii="Gadugi" w:eastAsia="Calibri" w:hAnsi="Gadugi"/>
          <w:i/>
          <w:iCs/>
          <w:szCs w:val="24"/>
          <w:lang w:val="es-ES_tradnl"/>
        </w:rPr>
        <w:t xml:space="preserve"> </w:t>
      </w:r>
      <w:r w:rsidRPr="008C32FF">
        <w:rPr>
          <w:rFonts w:ascii="Gadugi" w:eastAsia="Calibri" w:hAnsi="Gadugi"/>
          <w:szCs w:val="24"/>
          <w:lang w:val="es-ES_tradnl"/>
        </w:rPr>
        <w:t xml:space="preserve">En los procesos y en las actuaciones posteriores a aquellos en que haya controversia la condena en costas se sujetará a las siguientes reglas: </w:t>
      </w:r>
    </w:p>
    <w:p w14:paraId="2FB24BFA" w14:textId="77777777" w:rsidR="00657BD2" w:rsidRPr="008C32FF" w:rsidRDefault="00657BD2" w:rsidP="008C32FF">
      <w:pPr>
        <w:adjustRightInd w:val="0"/>
        <w:spacing w:after="0" w:line="240" w:lineRule="auto"/>
        <w:ind w:left="426" w:right="418" w:firstLine="1134"/>
        <w:jc w:val="both"/>
        <w:textAlignment w:val="center"/>
        <w:rPr>
          <w:rFonts w:ascii="Gadugi" w:eastAsia="Calibri" w:hAnsi="Gadugi"/>
          <w:szCs w:val="24"/>
          <w:lang w:val="es-ES_tradnl"/>
        </w:rPr>
      </w:pPr>
    </w:p>
    <w:p w14:paraId="66198A6A" w14:textId="77777777" w:rsidR="00657BD2" w:rsidRPr="008C32FF" w:rsidRDefault="00657BD2" w:rsidP="008C32FF">
      <w:pPr>
        <w:adjustRightInd w:val="0"/>
        <w:spacing w:after="0" w:line="240" w:lineRule="auto"/>
        <w:ind w:left="426" w:right="418" w:firstLine="1134"/>
        <w:jc w:val="both"/>
        <w:textAlignment w:val="center"/>
        <w:rPr>
          <w:rFonts w:ascii="Gadugi" w:eastAsia="Calibri" w:hAnsi="Gadugi"/>
          <w:szCs w:val="24"/>
          <w:lang w:val="es-ES_tradnl"/>
        </w:rPr>
      </w:pPr>
      <w:r w:rsidRPr="008C32FF">
        <w:rPr>
          <w:rFonts w:ascii="Gadugi" w:eastAsia="Calibri" w:hAnsi="Gadugi"/>
          <w:szCs w:val="24"/>
          <w:lang w:val="es-ES_tradnl"/>
        </w:rPr>
        <w:t xml:space="preserve">1. Se condenará en costas a la parte vencida en el proceso, o a quien se le resuelva desfavorablemente el recurso de apelación, casación, queja, suplica, anulación o revisión que haya propuesto. Además, en los casos especiales previstos en este código. </w:t>
      </w:r>
    </w:p>
    <w:p w14:paraId="7CDFE11E" w14:textId="77777777" w:rsidR="00657BD2" w:rsidRPr="008C32FF" w:rsidRDefault="00657BD2" w:rsidP="008C32FF">
      <w:pPr>
        <w:adjustRightInd w:val="0"/>
        <w:spacing w:after="0" w:line="240" w:lineRule="auto"/>
        <w:ind w:left="426" w:right="418" w:firstLine="1134"/>
        <w:jc w:val="both"/>
        <w:textAlignment w:val="center"/>
        <w:rPr>
          <w:rFonts w:ascii="Gadugi" w:eastAsia="Calibri" w:hAnsi="Gadugi"/>
          <w:szCs w:val="24"/>
          <w:lang w:val="es-ES_tradnl"/>
        </w:rPr>
      </w:pPr>
    </w:p>
    <w:p w14:paraId="33CC2938" w14:textId="65616488" w:rsidR="00657BD2" w:rsidRPr="008C32FF" w:rsidRDefault="00657BD2" w:rsidP="008C32FF">
      <w:pPr>
        <w:adjustRightInd w:val="0"/>
        <w:spacing w:after="0" w:line="240" w:lineRule="auto"/>
        <w:ind w:left="426" w:right="418" w:firstLine="1134"/>
        <w:jc w:val="both"/>
        <w:textAlignment w:val="center"/>
        <w:rPr>
          <w:rFonts w:ascii="Gadugi" w:eastAsia="Calibri" w:hAnsi="Gadugi"/>
          <w:szCs w:val="24"/>
          <w:lang w:val="es-ES_tradnl"/>
        </w:rPr>
      </w:pPr>
      <w:r w:rsidRPr="008C32FF">
        <w:rPr>
          <w:rFonts w:ascii="Gadugi" w:eastAsia="Calibri" w:hAnsi="Gadugi"/>
          <w:szCs w:val="24"/>
          <w:lang w:val="es-ES_tradnl"/>
        </w:rPr>
        <w:t>Además</w:t>
      </w:r>
      <w:r w:rsidR="0073680D" w:rsidRPr="008C32FF">
        <w:rPr>
          <w:rFonts w:ascii="Gadugi" w:eastAsia="Calibri" w:hAnsi="Gadugi"/>
          <w:szCs w:val="24"/>
          <w:lang w:val="es-ES_tradnl"/>
        </w:rPr>
        <w:t>,</w:t>
      </w:r>
      <w:r w:rsidRPr="008C32FF">
        <w:rPr>
          <w:rFonts w:ascii="Gadugi" w:eastAsia="Calibri" w:hAnsi="Gadugi"/>
          <w:szCs w:val="24"/>
          <w:lang w:val="es-ES_tradnl"/>
        </w:rPr>
        <w:t xml:space="preserve"> se condenará en costas a quien se le resuelva de manera desfavorable un incidente, la formulación de excepciones previas, una solicitud de nulidad o de amparo de pobreza, sin perjuicio de lo dispuesto en relación con la temeridad o mala fe. </w:t>
      </w:r>
    </w:p>
    <w:p w14:paraId="3A5623C8" w14:textId="77777777" w:rsidR="00657BD2" w:rsidRPr="008C32FF" w:rsidRDefault="00657BD2" w:rsidP="008C32FF">
      <w:pPr>
        <w:adjustRightInd w:val="0"/>
        <w:spacing w:after="0" w:line="240" w:lineRule="auto"/>
        <w:ind w:left="426" w:right="418" w:firstLine="1134"/>
        <w:jc w:val="both"/>
        <w:textAlignment w:val="center"/>
        <w:rPr>
          <w:rFonts w:ascii="Gadugi" w:eastAsia="Calibri" w:hAnsi="Gadugi"/>
          <w:szCs w:val="24"/>
          <w:lang w:val="es-ES_tradnl"/>
        </w:rPr>
      </w:pPr>
    </w:p>
    <w:p w14:paraId="15A792B7" w14:textId="77777777" w:rsidR="00657BD2" w:rsidRPr="008C32FF" w:rsidRDefault="00657BD2" w:rsidP="008C32FF">
      <w:pPr>
        <w:adjustRightInd w:val="0"/>
        <w:spacing w:after="0" w:line="240" w:lineRule="auto"/>
        <w:ind w:left="426" w:right="418" w:firstLine="1134"/>
        <w:jc w:val="both"/>
        <w:textAlignment w:val="center"/>
        <w:rPr>
          <w:rFonts w:ascii="Gadugi" w:eastAsia="Calibri" w:hAnsi="Gadugi"/>
          <w:b/>
          <w:szCs w:val="24"/>
        </w:rPr>
      </w:pPr>
      <w:r w:rsidRPr="008C32FF">
        <w:rPr>
          <w:rFonts w:ascii="Gadugi" w:eastAsia="Calibri" w:hAnsi="Gadugi"/>
          <w:b/>
          <w:szCs w:val="24"/>
          <w:u w:val="single"/>
          <w:lang w:val="es-ES_tradnl"/>
        </w:rPr>
        <w:t xml:space="preserve">2. La condena se hará en sentencia o auto que resuelva la actuación que dio lugar a aquella. </w:t>
      </w:r>
      <w:r w:rsidRPr="008C32FF">
        <w:rPr>
          <w:rFonts w:ascii="Gadugi" w:eastAsia="Calibri" w:hAnsi="Gadugi"/>
          <w:szCs w:val="24"/>
          <w:u w:val="single"/>
        </w:rPr>
        <w:t>(</w:t>
      </w:r>
      <w:r w:rsidRPr="008C32FF">
        <w:rPr>
          <w:rFonts w:ascii="Gadugi" w:eastAsia="Calibri" w:hAnsi="Gadugi"/>
          <w:szCs w:val="24"/>
        </w:rPr>
        <w:t xml:space="preserve">resaltado fuera de texto). </w:t>
      </w:r>
    </w:p>
    <w:p w14:paraId="58B42EE6" w14:textId="77777777" w:rsidR="00657BD2" w:rsidRPr="00136B0C" w:rsidRDefault="00657BD2" w:rsidP="00136B0C">
      <w:pPr>
        <w:spacing w:after="0" w:line="276" w:lineRule="auto"/>
        <w:ind w:firstLine="1134"/>
        <w:jc w:val="both"/>
        <w:rPr>
          <w:rFonts w:ascii="Gadugi" w:hAnsi="Gadugi" w:cs="Tahoma"/>
          <w:sz w:val="24"/>
          <w:szCs w:val="24"/>
          <w:lang w:val="es-ES"/>
        </w:rPr>
      </w:pPr>
    </w:p>
    <w:p w14:paraId="13782525" w14:textId="77777777" w:rsidR="00657BD2" w:rsidRPr="00136B0C" w:rsidRDefault="00657BD2" w:rsidP="00136B0C">
      <w:pPr>
        <w:spacing w:after="0" w:line="276" w:lineRule="auto"/>
        <w:ind w:firstLine="1701"/>
        <w:jc w:val="both"/>
        <w:rPr>
          <w:rFonts w:ascii="Gadugi" w:hAnsi="Gadugi" w:cs="Tahoma"/>
          <w:sz w:val="24"/>
          <w:szCs w:val="24"/>
        </w:rPr>
      </w:pPr>
      <w:bookmarkStart w:id="3" w:name="_Hlk101177519"/>
      <w:r w:rsidRPr="00136B0C">
        <w:rPr>
          <w:rFonts w:ascii="Gadugi" w:hAnsi="Gadugi" w:cs="Tahoma"/>
          <w:sz w:val="24"/>
          <w:szCs w:val="24"/>
        </w:rPr>
        <w:lastRenderedPageBreak/>
        <w:t>Como se ve, se suprimió expresamente la obligación de fijar el valor de las agencias en derecho, como venía ocurriendo, deslindando, como es claro, la condena en costas, que es una cosa, y su liquidación, que es otra</w:t>
      </w:r>
      <w:bookmarkEnd w:id="3"/>
      <w:r w:rsidRPr="00136B0C">
        <w:rPr>
          <w:rFonts w:ascii="Gadugi" w:hAnsi="Gadugi" w:cs="Tahoma"/>
          <w:sz w:val="24"/>
          <w:szCs w:val="24"/>
        </w:rPr>
        <w:t xml:space="preserve">. Para ello, se dio una explicación durante la presentación de la ponencia, en estos términos: </w:t>
      </w:r>
    </w:p>
    <w:p w14:paraId="0335AC06" w14:textId="77777777" w:rsidR="00657BD2" w:rsidRPr="00136B0C" w:rsidRDefault="00657BD2" w:rsidP="00136B0C">
      <w:pPr>
        <w:spacing w:after="0" w:line="276" w:lineRule="auto"/>
        <w:ind w:firstLine="1701"/>
        <w:jc w:val="both"/>
        <w:rPr>
          <w:rFonts w:ascii="Gadugi" w:hAnsi="Gadugi" w:cs="Tahoma"/>
          <w:sz w:val="24"/>
          <w:szCs w:val="24"/>
        </w:rPr>
      </w:pPr>
    </w:p>
    <w:p w14:paraId="3D1522C5" w14:textId="77777777" w:rsidR="00657BD2" w:rsidRPr="008C32FF" w:rsidRDefault="00657BD2" w:rsidP="008C32FF">
      <w:pPr>
        <w:adjustRightInd w:val="0"/>
        <w:spacing w:after="0" w:line="240" w:lineRule="auto"/>
        <w:ind w:left="426" w:right="418" w:firstLine="1134"/>
        <w:jc w:val="both"/>
        <w:textAlignment w:val="center"/>
        <w:rPr>
          <w:rFonts w:ascii="Gadugi" w:eastAsia="Calibri" w:hAnsi="Gadugi"/>
          <w:szCs w:val="24"/>
          <w:lang w:val="es-ES_tradnl"/>
        </w:rPr>
      </w:pPr>
      <w:r w:rsidRPr="008C32FF">
        <w:rPr>
          <w:rFonts w:ascii="Gadugi" w:eastAsia="Calibri" w:hAnsi="Gadugi"/>
          <w:b/>
          <w:bCs/>
          <w:szCs w:val="24"/>
          <w:lang w:val="es-ES_tradnl"/>
        </w:rPr>
        <w:t xml:space="preserve">Artículo 365. </w:t>
      </w:r>
      <w:r w:rsidRPr="008C32FF">
        <w:rPr>
          <w:rFonts w:ascii="Gadugi" w:eastAsia="Calibri" w:hAnsi="Gadugi"/>
          <w:b/>
          <w:bCs/>
          <w:i/>
          <w:iCs/>
          <w:szCs w:val="24"/>
          <w:lang w:val="es-ES_tradnl"/>
        </w:rPr>
        <w:t>Condena en costas</w:t>
      </w:r>
      <w:r w:rsidRPr="008C32FF">
        <w:rPr>
          <w:rFonts w:ascii="Gadugi" w:eastAsia="Calibri" w:hAnsi="Gadugi"/>
          <w:b/>
          <w:bCs/>
          <w:szCs w:val="24"/>
          <w:lang w:val="es-ES_tradnl"/>
        </w:rPr>
        <w:t xml:space="preserve">. </w:t>
      </w:r>
      <w:r w:rsidRPr="008C32FF">
        <w:rPr>
          <w:rFonts w:ascii="Gadugi" w:eastAsia="Calibri" w:hAnsi="Gadugi"/>
          <w:szCs w:val="24"/>
          <w:lang w:val="es-ES_tradnl"/>
        </w:rPr>
        <w:t>Al numeral segundo de la norma se le suprimió el deber del juez de la respectiva instancia fijar las agencias en derecho que se hayan causado en el trámite del que haya conocido. Lo anterior se debe a que, como se explicará en la modificación al artículo que sigue, se propone concentrar la liquidación de costas y agencias en derecho en un único momento, ante el juez de primera instancia.</w:t>
      </w:r>
    </w:p>
    <w:p w14:paraId="6EE3A912" w14:textId="77777777" w:rsidR="00657BD2" w:rsidRPr="00136B0C" w:rsidRDefault="00657BD2" w:rsidP="00136B0C">
      <w:pPr>
        <w:adjustRightInd w:val="0"/>
        <w:spacing w:after="0" w:line="276" w:lineRule="auto"/>
        <w:ind w:left="851" w:right="849" w:firstLine="1701"/>
        <w:jc w:val="both"/>
        <w:textAlignment w:val="center"/>
        <w:rPr>
          <w:rFonts w:ascii="Gadugi" w:eastAsia="Calibri" w:hAnsi="Gadugi"/>
          <w:sz w:val="24"/>
          <w:szCs w:val="24"/>
          <w:lang w:val="es-ES_tradnl"/>
        </w:rPr>
      </w:pPr>
    </w:p>
    <w:p w14:paraId="2EDA0FA7" w14:textId="6C586E42" w:rsidR="00657BD2" w:rsidRPr="00136B0C" w:rsidRDefault="00657BD2" w:rsidP="00136B0C">
      <w:pPr>
        <w:adjustRightInd w:val="0"/>
        <w:spacing w:after="0" w:line="276" w:lineRule="auto"/>
        <w:ind w:right="-1" w:firstLine="1701"/>
        <w:jc w:val="both"/>
        <w:textAlignment w:val="center"/>
        <w:rPr>
          <w:rFonts w:ascii="Gadugi" w:eastAsia="Calibri" w:hAnsi="Gadugi"/>
          <w:sz w:val="24"/>
          <w:szCs w:val="24"/>
        </w:rPr>
      </w:pPr>
      <w:r w:rsidRPr="00136B0C">
        <w:rPr>
          <w:rFonts w:ascii="Gadugi" w:eastAsia="Calibri" w:hAnsi="Gadugi"/>
          <w:sz w:val="24"/>
          <w:szCs w:val="24"/>
        </w:rPr>
        <w:t xml:space="preserve">De manera que, algún sentido debía dársele a esa modificación, que, en criterio de esta Sala, había sido, que las agencias en derecho se fijarían en primera instancia, también de manera concentrada.  </w:t>
      </w:r>
    </w:p>
    <w:p w14:paraId="7E9733BC" w14:textId="77777777" w:rsidR="00657BD2" w:rsidRPr="00136B0C" w:rsidRDefault="00657BD2" w:rsidP="00136B0C">
      <w:pPr>
        <w:adjustRightInd w:val="0"/>
        <w:spacing w:after="0" w:line="276" w:lineRule="auto"/>
        <w:ind w:right="-1" w:firstLine="1701"/>
        <w:jc w:val="both"/>
        <w:textAlignment w:val="center"/>
        <w:rPr>
          <w:rFonts w:ascii="Gadugi" w:eastAsia="Calibri" w:hAnsi="Gadugi"/>
          <w:sz w:val="24"/>
          <w:szCs w:val="24"/>
        </w:rPr>
      </w:pPr>
    </w:p>
    <w:p w14:paraId="09A8AABC" w14:textId="09531E8E" w:rsidR="00657BD2" w:rsidRPr="00136B0C" w:rsidRDefault="00657BD2" w:rsidP="00136B0C">
      <w:pPr>
        <w:adjustRightInd w:val="0"/>
        <w:spacing w:after="0" w:line="276" w:lineRule="auto"/>
        <w:ind w:right="-1" w:firstLine="1701"/>
        <w:jc w:val="both"/>
        <w:textAlignment w:val="center"/>
        <w:rPr>
          <w:rFonts w:ascii="Gadugi" w:eastAsia="Calibri" w:hAnsi="Gadugi"/>
          <w:sz w:val="24"/>
          <w:szCs w:val="24"/>
        </w:rPr>
      </w:pPr>
      <w:r w:rsidRPr="00136B0C">
        <w:rPr>
          <w:rFonts w:ascii="Gadugi" w:eastAsia="Calibri" w:hAnsi="Gadugi"/>
          <w:sz w:val="24"/>
          <w:szCs w:val="24"/>
        </w:rPr>
        <w:t xml:space="preserve">Es cierto que el artículo 366, en su numeral 3°, menciona las agencias que fije el magistrado sustanciador o el juez, pero ello obedece a que también, en algunos casos, la Corte (exequatur, revisión) y los Tribunales (revisión, anulación), deben fijar y liquidar las que les correspondan.  </w:t>
      </w:r>
    </w:p>
    <w:p w14:paraId="54C7E435" w14:textId="138AAF0E" w:rsidR="00811213" w:rsidRPr="00136B0C" w:rsidRDefault="00811213" w:rsidP="00136B0C">
      <w:pPr>
        <w:adjustRightInd w:val="0"/>
        <w:spacing w:after="0" w:line="276" w:lineRule="auto"/>
        <w:ind w:right="-1" w:firstLine="1701"/>
        <w:jc w:val="both"/>
        <w:textAlignment w:val="center"/>
        <w:rPr>
          <w:rFonts w:ascii="Gadugi" w:eastAsia="Calibri" w:hAnsi="Gadugi"/>
          <w:sz w:val="24"/>
          <w:szCs w:val="24"/>
        </w:rPr>
      </w:pPr>
    </w:p>
    <w:p w14:paraId="5A969DFD" w14:textId="77777777" w:rsidR="00811213" w:rsidRPr="00136B0C" w:rsidRDefault="00051953" w:rsidP="00136B0C">
      <w:pPr>
        <w:pStyle w:val="Prrafodelista"/>
        <w:numPr>
          <w:ilvl w:val="0"/>
          <w:numId w:val="8"/>
        </w:numPr>
        <w:adjustRightInd w:val="0"/>
        <w:spacing w:after="0" w:line="276" w:lineRule="auto"/>
        <w:ind w:left="0" w:right="-1" w:firstLine="1701"/>
        <w:jc w:val="both"/>
        <w:textAlignment w:val="center"/>
        <w:rPr>
          <w:rFonts w:ascii="Gadugi" w:eastAsia="Calibri" w:hAnsi="Gadugi"/>
          <w:sz w:val="24"/>
          <w:szCs w:val="24"/>
        </w:rPr>
      </w:pPr>
      <w:r w:rsidRPr="00136B0C">
        <w:rPr>
          <w:rFonts w:ascii="Gadugi" w:eastAsia="Calibri" w:hAnsi="Gadugi"/>
          <w:sz w:val="24"/>
          <w:szCs w:val="24"/>
        </w:rPr>
        <w:t>Sin embargo, diferente fue la percepción de la</w:t>
      </w:r>
      <w:r w:rsidR="00657BD2" w:rsidRPr="00136B0C">
        <w:rPr>
          <w:rFonts w:ascii="Gadugi" w:eastAsia="Calibri" w:hAnsi="Gadugi"/>
          <w:sz w:val="24"/>
          <w:szCs w:val="24"/>
        </w:rPr>
        <w:t xml:space="preserve"> Sala de Casación Civil en algunas acciones de tutela, en las que concluyó que se incurrió en un protuberante error por no incluir las agencias en derecho en la providencia, con el propósito de acatar las órdenes y las directrices del superior, como debe ser. </w:t>
      </w:r>
    </w:p>
    <w:p w14:paraId="258B5E64" w14:textId="77777777" w:rsidR="00811213" w:rsidRPr="00136B0C" w:rsidRDefault="00811213" w:rsidP="00136B0C">
      <w:pPr>
        <w:pStyle w:val="Prrafodelista"/>
        <w:adjustRightInd w:val="0"/>
        <w:spacing w:after="0" w:line="276" w:lineRule="auto"/>
        <w:ind w:left="1701" w:right="-1"/>
        <w:jc w:val="both"/>
        <w:textAlignment w:val="center"/>
        <w:rPr>
          <w:rFonts w:ascii="Gadugi" w:eastAsia="Calibri" w:hAnsi="Gadugi"/>
          <w:sz w:val="24"/>
          <w:szCs w:val="24"/>
        </w:rPr>
      </w:pPr>
    </w:p>
    <w:p w14:paraId="125D8C82" w14:textId="5643FD23" w:rsidR="00657BD2" w:rsidRPr="00136B0C" w:rsidRDefault="00657BD2" w:rsidP="00136B0C">
      <w:pPr>
        <w:adjustRightInd w:val="0"/>
        <w:spacing w:after="0" w:line="276" w:lineRule="auto"/>
        <w:ind w:right="49" w:firstLine="1701"/>
        <w:jc w:val="both"/>
        <w:textAlignment w:val="center"/>
        <w:rPr>
          <w:rFonts w:ascii="Gadugi" w:eastAsia="Calibri" w:hAnsi="Gadugi"/>
          <w:sz w:val="24"/>
          <w:szCs w:val="24"/>
        </w:rPr>
      </w:pPr>
      <w:r w:rsidRPr="00136B0C">
        <w:rPr>
          <w:rFonts w:ascii="Gadugi" w:eastAsia="Calibri" w:hAnsi="Gadugi"/>
          <w:sz w:val="24"/>
          <w:szCs w:val="24"/>
        </w:rPr>
        <w:t>Uno de los varios razonamientos respetables de la Corte</w:t>
      </w:r>
      <w:r w:rsidR="00811213" w:rsidRPr="00136B0C">
        <w:rPr>
          <w:rFonts w:ascii="Gadugi" w:eastAsia="Calibri" w:hAnsi="Gadugi"/>
          <w:sz w:val="24"/>
          <w:szCs w:val="24"/>
        </w:rPr>
        <w:t>, expuesto en la sentencia STC8528-2017</w:t>
      </w:r>
      <w:r w:rsidR="00811213" w:rsidRPr="00136B0C">
        <w:rPr>
          <w:rFonts w:ascii="Gadugi" w:eastAsia="Calibri" w:hAnsi="Gadugi"/>
          <w:b/>
          <w:sz w:val="24"/>
          <w:szCs w:val="24"/>
        </w:rPr>
        <w:t xml:space="preserve">, </w:t>
      </w:r>
      <w:r w:rsidRPr="00136B0C">
        <w:rPr>
          <w:rFonts w:ascii="Gadugi" w:eastAsia="Calibri" w:hAnsi="Gadugi"/>
          <w:sz w:val="24"/>
          <w:szCs w:val="24"/>
        </w:rPr>
        <w:t xml:space="preserve">se concreta en que: </w:t>
      </w:r>
    </w:p>
    <w:p w14:paraId="29E41D10" w14:textId="77777777" w:rsidR="00657BD2" w:rsidRPr="00136B0C" w:rsidRDefault="00657BD2" w:rsidP="00136B0C">
      <w:pPr>
        <w:adjustRightInd w:val="0"/>
        <w:spacing w:after="0" w:line="276" w:lineRule="auto"/>
        <w:ind w:right="849" w:firstLine="1701"/>
        <w:jc w:val="both"/>
        <w:textAlignment w:val="center"/>
        <w:rPr>
          <w:rFonts w:ascii="Gadugi" w:eastAsia="Calibri" w:hAnsi="Gadugi"/>
          <w:color w:val="0070C0"/>
          <w:sz w:val="24"/>
          <w:szCs w:val="24"/>
        </w:rPr>
      </w:pPr>
    </w:p>
    <w:p w14:paraId="78B9A71B" w14:textId="77777777" w:rsidR="005B1640" w:rsidRPr="008C32FF" w:rsidRDefault="005B1640" w:rsidP="008C32FF">
      <w:pPr>
        <w:spacing w:after="0" w:line="240" w:lineRule="auto"/>
        <w:ind w:left="426" w:right="418" w:firstLine="1134"/>
        <w:jc w:val="both"/>
        <w:rPr>
          <w:rFonts w:ascii="Gadugi" w:hAnsi="Gadugi"/>
          <w:szCs w:val="24"/>
        </w:rPr>
      </w:pPr>
      <w:r w:rsidRPr="008C32FF">
        <w:rPr>
          <w:rFonts w:ascii="Gadugi" w:hAnsi="Gadugi"/>
          <w:szCs w:val="24"/>
        </w:rPr>
        <w:t xml:space="preserve">Descendiendo al caso </w:t>
      </w:r>
      <w:r w:rsidRPr="008C32FF">
        <w:rPr>
          <w:rFonts w:ascii="Gadugi" w:hAnsi="Gadugi"/>
          <w:i/>
          <w:szCs w:val="24"/>
        </w:rPr>
        <w:t>sub examine</w:t>
      </w:r>
      <w:r w:rsidRPr="008C32FF">
        <w:rPr>
          <w:rFonts w:ascii="Gadugi" w:hAnsi="Gadugi"/>
          <w:szCs w:val="24"/>
        </w:rPr>
        <w:t xml:space="preserve"> advierte la Corte que el Tribunal enjuiciado cometió un desafuero que amerita la injerencia de esta jurisdicción, por cuanto la interpretación que efectuó del artículo 366 del Código General del Proceso no se ajusta al contenido literal de esa disposición, específicamente, en lo que atañe a la </w:t>
      </w:r>
      <w:r w:rsidRPr="008C32FF">
        <w:rPr>
          <w:rFonts w:ascii="Gadugi" w:hAnsi="Gadugi"/>
          <w:b/>
          <w:szCs w:val="24"/>
        </w:rPr>
        <w:t xml:space="preserve">fijación </w:t>
      </w:r>
      <w:r w:rsidRPr="008C32FF">
        <w:rPr>
          <w:rFonts w:ascii="Gadugi" w:hAnsi="Gadugi"/>
          <w:szCs w:val="24"/>
        </w:rPr>
        <w:t>de las agencias de derecho.</w:t>
      </w:r>
    </w:p>
    <w:p w14:paraId="054CBA76" w14:textId="77777777" w:rsidR="005B1640" w:rsidRPr="008C32FF" w:rsidRDefault="005B1640" w:rsidP="008C32FF">
      <w:pPr>
        <w:spacing w:after="0" w:line="240" w:lineRule="auto"/>
        <w:ind w:left="426" w:right="418" w:firstLine="1134"/>
        <w:jc w:val="both"/>
        <w:rPr>
          <w:rFonts w:ascii="Gadugi" w:hAnsi="Gadugi"/>
          <w:szCs w:val="24"/>
        </w:rPr>
      </w:pPr>
    </w:p>
    <w:p w14:paraId="11E431E6" w14:textId="2382E7F8" w:rsidR="005B1640" w:rsidRPr="008C32FF" w:rsidRDefault="00811213" w:rsidP="008C32FF">
      <w:pPr>
        <w:spacing w:after="0" w:line="240" w:lineRule="auto"/>
        <w:ind w:left="426" w:right="418" w:firstLine="1134"/>
        <w:jc w:val="both"/>
        <w:rPr>
          <w:rFonts w:ascii="Gadugi" w:hAnsi="Gadugi"/>
          <w:szCs w:val="24"/>
        </w:rPr>
      </w:pPr>
      <w:r w:rsidRPr="008C32FF">
        <w:rPr>
          <w:rFonts w:ascii="Gadugi" w:hAnsi="Gadugi"/>
          <w:szCs w:val="24"/>
        </w:rPr>
        <w:t>…</w:t>
      </w:r>
    </w:p>
    <w:p w14:paraId="7A5AF674" w14:textId="77777777" w:rsidR="005B1640" w:rsidRPr="008C32FF" w:rsidRDefault="005B1640" w:rsidP="008C32FF">
      <w:pPr>
        <w:spacing w:after="0" w:line="240" w:lineRule="auto"/>
        <w:ind w:left="426" w:right="418" w:firstLine="1134"/>
        <w:jc w:val="both"/>
        <w:rPr>
          <w:rFonts w:ascii="Gadugi" w:hAnsi="Gadugi"/>
          <w:szCs w:val="24"/>
        </w:rPr>
      </w:pPr>
    </w:p>
    <w:p w14:paraId="0EADBF4C" w14:textId="77777777" w:rsidR="005B1640" w:rsidRPr="008C32FF" w:rsidRDefault="005B1640" w:rsidP="008C32FF">
      <w:pPr>
        <w:spacing w:after="0" w:line="240" w:lineRule="auto"/>
        <w:ind w:left="426" w:right="418" w:firstLine="1134"/>
        <w:jc w:val="both"/>
        <w:rPr>
          <w:rFonts w:ascii="Gadugi" w:hAnsi="Gadugi"/>
          <w:szCs w:val="24"/>
        </w:rPr>
      </w:pPr>
      <w:r w:rsidRPr="008C32FF">
        <w:rPr>
          <w:rFonts w:ascii="Gadugi" w:hAnsi="Gadugi"/>
          <w:szCs w:val="24"/>
        </w:rPr>
        <w:t>Atendiendo el preciso tenor de la disposición bajo análisis, encuentra la Corte que, en ninguno de sus apartes, establece que el juez de primera instancia sea el llamado a fijar las agencias en derecho de ambas instancias, por el contrario, la norma diferencia de aquellas que habrá de señalar el juez de las que ha de cuantificar el «</w:t>
      </w:r>
      <w:r w:rsidRPr="008C32FF">
        <w:rPr>
          <w:rFonts w:ascii="Gadugi" w:hAnsi="Gadugi"/>
          <w:i/>
          <w:szCs w:val="24"/>
        </w:rPr>
        <w:t>magistrado sustanciador</w:t>
      </w:r>
      <w:r w:rsidRPr="008C32FF">
        <w:rPr>
          <w:rFonts w:ascii="Gadugi" w:hAnsi="Gadugi"/>
          <w:szCs w:val="24"/>
        </w:rPr>
        <w:t>», sin que limite tal posibilidad, como lo entendió erradamente el Tribunal, a aquellos eventos en los que los cuerpos colegiados conocen de asuntos en primera o única instancia.</w:t>
      </w:r>
    </w:p>
    <w:p w14:paraId="3A908387" w14:textId="77777777" w:rsidR="005B1640" w:rsidRPr="008C32FF" w:rsidRDefault="005B1640" w:rsidP="008C32FF">
      <w:pPr>
        <w:spacing w:after="0" w:line="240" w:lineRule="auto"/>
        <w:ind w:left="426" w:right="418" w:firstLine="1134"/>
        <w:jc w:val="both"/>
        <w:rPr>
          <w:rFonts w:ascii="Gadugi" w:hAnsi="Gadugi"/>
          <w:szCs w:val="24"/>
        </w:rPr>
      </w:pPr>
    </w:p>
    <w:p w14:paraId="55129F5E" w14:textId="77777777" w:rsidR="005B1640" w:rsidRPr="008C32FF" w:rsidRDefault="005B1640" w:rsidP="008C32FF">
      <w:pPr>
        <w:spacing w:after="0" w:line="240" w:lineRule="auto"/>
        <w:ind w:left="426" w:right="418" w:firstLine="1134"/>
        <w:jc w:val="both"/>
        <w:rPr>
          <w:rFonts w:ascii="Gadugi" w:hAnsi="Gadugi"/>
          <w:szCs w:val="24"/>
        </w:rPr>
      </w:pPr>
      <w:r w:rsidRPr="008C32FF">
        <w:rPr>
          <w:rFonts w:ascii="Gadugi" w:hAnsi="Gadugi"/>
          <w:szCs w:val="24"/>
        </w:rPr>
        <w:lastRenderedPageBreak/>
        <w:t>Memórese que «</w:t>
      </w:r>
      <w:r w:rsidRPr="008C32FF">
        <w:rPr>
          <w:rFonts w:ascii="Gadugi" w:hAnsi="Gadugi"/>
          <w:i/>
          <w:szCs w:val="24"/>
        </w:rPr>
        <w:t>[c]</w:t>
      </w:r>
      <w:proofErr w:type="spellStart"/>
      <w:r w:rsidRPr="008C32FF">
        <w:rPr>
          <w:rFonts w:ascii="Gadugi" w:hAnsi="Gadugi"/>
          <w:i/>
          <w:szCs w:val="24"/>
        </w:rPr>
        <w:t>uando</w:t>
      </w:r>
      <w:proofErr w:type="spellEnd"/>
      <w:r w:rsidRPr="008C32FF">
        <w:rPr>
          <w:rFonts w:ascii="Gadugi" w:hAnsi="Gadugi"/>
          <w:i/>
          <w:szCs w:val="24"/>
        </w:rPr>
        <w:t xml:space="preserve"> el sentido de la ley sea claro, no se desatenderá su tenor literal a pretexto de consultar su espíritu</w:t>
      </w:r>
      <w:r w:rsidRPr="008C32FF">
        <w:rPr>
          <w:rFonts w:ascii="Gadugi" w:hAnsi="Gadugi"/>
          <w:szCs w:val="24"/>
        </w:rPr>
        <w:t>» (artículo 27, Código Civil), motivo por el cual le estaba vedado al Tribunal enjuiciado hacer disquisiciones que desconocieran lo expresamente establecido en la prenotada regla de derecho.</w:t>
      </w:r>
    </w:p>
    <w:p w14:paraId="4678C45F" w14:textId="77777777" w:rsidR="005B1640" w:rsidRPr="008C32FF" w:rsidRDefault="005B1640" w:rsidP="008C32FF">
      <w:pPr>
        <w:spacing w:after="0" w:line="240" w:lineRule="auto"/>
        <w:ind w:left="426" w:right="418" w:firstLine="1134"/>
        <w:jc w:val="both"/>
        <w:rPr>
          <w:rFonts w:ascii="Gadugi" w:hAnsi="Gadugi"/>
          <w:szCs w:val="24"/>
        </w:rPr>
      </w:pPr>
    </w:p>
    <w:p w14:paraId="22124795" w14:textId="77777777" w:rsidR="005B1640" w:rsidRPr="008C32FF" w:rsidRDefault="005B1640" w:rsidP="008C32FF">
      <w:pPr>
        <w:spacing w:after="0" w:line="240" w:lineRule="auto"/>
        <w:ind w:left="426" w:right="418" w:firstLine="1134"/>
        <w:jc w:val="both"/>
        <w:rPr>
          <w:rFonts w:ascii="Gadugi" w:hAnsi="Gadugi"/>
          <w:szCs w:val="24"/>
        </w:rPr>
      </w:pPr>
      <w:r w:rsidRPr="008C32FF">
        <w:rPr>
          <w:rFonts w:ascii="Gadugi" w:hAnsi="Gadugi"/>
          <w:szCs w:val="24"/>
        </w:rPr>
        <w:t>4.3.</w:t>
      </w:r>
      <w:r w:rsidRPr="008C32FF">
        <w:rPr>
          <w:rFonts w:ascii="Gadugi" w:hAnsi="Gadugi"/>
          <w:szCs w:val="24"/>
        </w:rPr>
        <w:tab/>
        <w:t>No se desconoce que el referido artículo 366 dispone que sea el juez de primer grado (o de única instancia) el que liquide «</w:t>
      </w:r>
      <w:r w:rsidRPr="008C32FF">
        <w:rPr>
          <w:rFonts w:ascii="Gadugi" w:hAnsi="Gadugi"/>
          <w:i/>
          <w:szCs w:val="24"/>
        </w:rPr>
        <w:t>de manera concentrada</w:t>
      </w:r>
      <w:r w:rsidRPr="008C32FF">
        <w:rPr>
          <w:rFonts w:ascii="Gadugi" w:hAnsi="Gadugi"/>
          <w:szCs w:val="24"/>
        </w:rPr>
        <w:t>» las costas y agencias en derecho, más de ello no puede deducirse que a tal funcionario se le faculte para valorar la gestión del litigante en segunda instancia con miras a fijar las mentadas agencias.</w:t>
      </w:r>
    </w:p>
    <w:p w14:paraId="3250D527" w14:textId="77777777" w:rsidR="005B1640" w:rsidRPr="008C32FF" w:rsidRDefault="005B1640" w:rsidP="008C32FF">
      <w:pPr>
        <w:spacing w:after="0" w:line="240" w:lineRule="auto"/>
        <w:ind w:left="426" w:right="418" w:firstLine="1134"/>
        <w:jc w:val="both"/>
        <w:rPr>
          <w:rFonts w:ascii="Gadugi" w:hAnsi="Gadugi"/>
          <w:szCs w:val="24"/>
        </w:rPr>
      </w:pPr>
    </w:p>
    <w:p w14:paraId="620E1195" w14:textId="77777777" w:rsidR="005B1640" w:rsidRPr="008C32FF" w:rsidRDefault="005B1640" w:rsidP="008C32FF">
      <w:pPr>
        <w:spacing w:after="0" w:line="240" w:lineRule="auto"/>
        <w:ind w:left="426" w:right="418" w:firstLine="1134"/>
        <w:jc w:val="both"/>
        <w:rPr>
          <w:rFonts w:ascii="Gadugi" w:hAnsi="Gadugi"/>
          <w:szCs w:val="24"/>
        </w:rPr>
      </w:pPr>
      <w:r w:rsidRPr="008C32FF">
        <w:rPr>
          <w:rFonts w:ascii="Gadugi" w:hAnsi="Gadugi"/>
          <w:szCs w:val="24"/>
        </w:rPr>
        <w:t>No se olvide que para esa tarea (cuantificar las agencias en derecho), el «</w:t>
      </w:r>
      <w:r w:rsidRPr="008C32FF">
        <w:rPr>
          <w:rFonts w:ascii="Gadugi" w:hAnsi="Gadugi"/>
          <w:i/>
          <w:szCs w:val="24"/>
        </w:rPr>
        <w:t>funcionario judicial tendrá en cuenta (…) la naturaleza, la calidad y la duración de la gestión realizada por el apoderado o la parte que litigó personalmente, la cuantía del proceso y demás circunstancias especiales directamente relacionadas con dicha actividad, que permitan valorar la labor jurídica desarrollada</w:t>
      </w:r>
      <w:r w:rsidRPr="008C32FF">
        <w:rPr>
          <w:rFonts w:ascii="Gadugi" w:hAnsi="Gadugi"/>
          <w:szCs w:val="24"/>
        </w:rPr>
        <w:t>» (Acuerdo PSAA16-10554, Consejo Superior del Judicatura), ponderación que, en estricto sentido, sólo podrá hacerla el juzgador ante el cual se desplegó esa labor jurídica.</w:t>
      </w:r>
    </w:p>
    <w:p w14:paraId="50C567DB" w14:textId="77777777" w:rsidR="005B1640" w:rsidRPr="008C32FF" w:rsidRDefault="005B1640" w:rsidP="008C32FF">
      <w:pPr>
        <w:spacing w:after="0" w:line="240" w:lineRule="auto"/>
        <w:ind w:left="426" w:right="418" w:firstLine="1134"/>
        <w:jc w:val="both"/>
        <w:rPr>
          <w:rFonts w:ascii="Gadugi" w:hAnsi="Gadugi"/>
          <w:szCs w:val="24"/>
        </w:rPr>
      </w:pPr>
    </w:p>
    <w:p w14:paraId="402E1786" w14:textId="77777777" w:rsidR="005B1640" w:rsidRPr="008C32FF" w:rsidRDefault="005B1640" w:rsidP="008C32FF">
      <w:pPr>
        <w:spacing w:after="0" w:line="240" w:lineRule="auto"/>
        <w:ind w:left="426" w:right="418" w:firstLine="1134"/>
        <w:jc w:val="both"/>
        <w:rPr>
          <w:rFonts w:ascii="Gadugi" w:hAnsi="Gadugi"/>
          <w:szCs w:val="24"/>
        </w:rPr>
      </w:pPr>
      <w:r w:rsidRPr="008C32FF">
        <w:rPr>
          <w:rFonts w:ascii="Gadugi" w:hAnsi="Gadugi"/>
          <w:szCs w:val="24"/>
        </w:rPr>
        <w:t>Entonces, cuando de fijar las agencias en derecho de segundo grado se trata, sólo el fallador que resuelva esa instancia tendrá las herramientas necesarias para valorar la gestión realizada por la parte favorecida con la condena en costas, habida cuenta que fue ante ese funcionario que se desarrolló y sólo él podrá definir el impacto que la misma tuvo en la decisión que finalmente adoptó.</w:t>
      </w:r>
    </w:p>
    <w:p w14:paraId="434936C9" w14:textId="77777777" w:rsidR="005B1640" w:rsidRPr="008C32FF" w:rsidRDefault="005B1640" w:rsidP="008C32FF">
      <w:pPr>
        <w:spacing w:after="0" w:line="240" w:lineRule="auto"/>
        <w:ind w:left="426" w:right="418" w:firstLine="1134"/>
        <w:jc w:val="both"/>
        <w:rPr>
          <w:rFonts w:ascii="Gadugi" w:hAnsi="Gadugi"/>
          <w:szCs w:val="24"/>
        </w:rPr>
      </w:pPr>
    </w:p>
    <w:p w14:paraId="6AC7A551" w14:textId="77777777" w:rsidR="005B1640" w:rsidRPr="008C32FF" w:rsidRDefault="005B1640" w:rsidP="008C32FF">
      <w:pPr>
        <w:spacing w:after="0" w:line="240" w:lineRule="auto"/>
        <w:ind w:left="426" w:right="418" w:firstLine="1134"/>
        <w:jc w:val="both"/>
        <w:rPr>
          <w:rFonts w:ascii="Gadugi" w:hAnsi="Gadugi"/>
          <w:szCs w:val="24"/>
        </w:rPr>
      </w:pPr>
      <w:r w:rsidRPr="008C32FF">
        <w:rPr>
          <w:rFonts w:ascii="Gadugi" w:hAnsi="Gadugi"/>
          <w:szCs w:val="24"/>
        </w:rPr>
        <w:t>4.4.</w:t>
      </w:r>
      <w:r w:rsidRPr="008C32FF">
        <w:rPr>
          <w:rFonts w:ascii="Gadugi" w:hAnsi="Gadugi"/>
          <w:szCs w:val="24"/>
        </w:rPr>
        <w:tab/>
        <w:t>Ahora, no comparte esta Corporación lo expuesto por el estrado acusado en el sentido de afirmar que:</w:t>
      </w:r>
    </w:p>
    <w:p w14:paraId="081E0EA3" w14:textId="77777777" w:rsidR="005B1640" w:rsidRPr="008C32FF" w:rsidRDefault="005B1640" w:rsidP="008C32FF">
      <w:pPr>
        <w:spacing w:after="0" w:line="240" w:lineRule="auto"/>
        <w:ind w:left="426" w:right="418" w:firstLine="1134"/>
        <w:jc w:val="both"/>
        <w:rPr>
          <w:rFonts w:ascii="Gadugi" w:hAnsi="Gadugi"/>
          <w:szCs w:val="24"/>
        </w:rPr>
      </w:pPr>
    </w:p>
    <w:p w14:paraId="04244096" w14:textId="77777777" w:rsidR="005B1640" w:rsidRPr="008C32FF" w:rsidRDefault="005B1640" w:rsidP="008C32FF">
      <w:pPr>
        <w:spacing w:after="0" w:line="240" w:lineRule="auto"/>
        <w:ind w:left="426" w:right="418" w:firstLine="1134"/>
        <w:jc w:val="both"/>
        <w:rPr>
          <w:rFonts w:ascii="Gadugi" w:hAnsi="Gadugi"/>
          <w:i/>
          <w:szCs w:val="24"/>
        </w:rPr>
      </w:pPr>
      <w:r w:rsidRPr="008C32FF">
        <w:rPr>
          <w:rFonts w:ascii="Gadugi" w:hAnsi="Gadugi"/>
          <w:i/>
          <w:szCs w:val="24"/>
        </w:rPr>
        <w:t xml:space="preserve">… </w:t>
      </w:r>
      <w:proofErr w:type="spellStart"/>
      <w:r w:rsidRPr="008C32FF">
        <w:rPr>
          <w:rFonts w:ascii="Gadugi" w:hAnsi="Gadugi"/>
          <w:i/>
          <w:szCs w:val="24"/>
        </w:rPr>
        <w:t>llámase</w:t>
      </w:r>
      <w:proofErr w:type="spellEnd"/>
      <w:r w:rsidRPr="008C32FF">
        <w:rPr>
          <w:rFonts w:ascii="Gadugi" w:hAnsi="Gadugi"/>
          <w:i/>
          <w:szCs w:val="24"/>
        </w:rPr>
        <w:t xml:space="preserve"> la atención sobre el derecho de contradicción, como garantía para controvertir el auto aprobatorio. Aceptar la tesis de que la fijación la hace quien resuelve, y no únicamente el juez del conocimiento, elimina la apelación de esa providencia.</w:t>
      </w:r>
    </w:p>
    <w:p w14:paraId="7DCE64E6" w14:textId="77777777" w:rsidR="005B1640" w:rsidRPr="008C32FF" w:rsidRDefault="005B1640" w:rsidP="008C32FF">
      <w:pPr>
        <w:spacing w:after="0" w:line="240" w:lineRule="auto"/>
        <w:ind w:left="426" w:right="418" w:firstLine="1134"/>
        <w:jc w:val="both"/>
        <w:rPr>
          <w:rFonts w:ascii="Gadugi" w:hAnsi="Gadugi"/>
          <w:i/>
          <w:szCs w:val="24"/>
        </w:rPr>
      </w:pPr>
    </w:p>
    <w:p w14:paraId="7201C469" w14:textId="77777777" w:rsidR="005B1640" w:rsidRPr="008C32FF" w:rsidRDefault="005B1640" w:rsidP="008C32FF">
      <w:pPr>
        <w:spacing w:after="0" w:line="240" w:lineRule="auto"/>
        <w:ind w:left="426" w:right="418" w:firstLine="1134"/>
        <w:jc w:val="both"/>
        <w:rPr>
          <w:rFonts w:ascii="Gadugi" w:hAnsi="Gadugi"/>
          <w:i/>
          <w:szCs w:val="24"/>
        </w:rPr>
      </w:pPr>
      <w:r w:rsidRPr="008C32FF">
        <w:rPr>
          <w:rFonts w:ascii="Gadugi" w:hAnsi="Gadugi"/>
          <w:i/>
          <w:szCs w:val="24"/>
        </w:rPr>
        <w:t>Adviértase que si las agencias en derecho, producto de una condena en segunda grado, se fijaran por quien adoptó esa decisión, el juez de primera, luego de aprobar la liquidación, al resolver la reposición (Artículo 366-5º, CGP), inexorablemente tendría que escrutar una providencia de su superior funcional, lo que desde luego desquicia el diseño del sistema instrumental, acaso incurriría en una causal de nulidad (Artículo 133-2º, CGP); y si solo se trata de la apelación, el juez decidiría una alzada, que si bien ataca un auto del a quo, en el fondo es su propia determinación, que tasó las agencias.</w:t>
      </w:r>
    </w:p>
    <w:p w14:paraId="48D8EFE6" w14:textId="77777777" w:rsidR="005B1640" w:rsidRPr="008C32FF" w:rsidRDefault="005B1640" w:rsidP="008C32FF">
      <w:pPr>
        <w:spacing w:after="0" w:line="240" w:lineRule="auto"/>
        <w:ind w:left="426" w:right="418" w:firstLine="1134"/>
        <w:jc w:val="both"/>
        <w:rPr>
          <w:rFonts w:ascii="Gadugi" w:hAnsi="Gadugi"/>
          <w:i/>
          <w:szCs w:val="24"/>
        </w:rPr>
      </w:pPr>
    </w:p>
    <w:p w14:paraId="457818DB" w14:textId="77777777" w:rsidR="005B1640" w:rsidRPr="008C32FF" w:rsidRDefault="005B1640" w:rsidP="008C32FF">
      <w:pPr>
        <w:pStyle w:val="NormalWeb"/>
        <w:shd w:val="clear" w:color="auto" w:fill="FFFFFF"/>
        <w:spacing w:before="0" w:beforeAutospacing="0" w:after="0" w:afterAutospacing="0"/>
        <w:ind w:left="426" w:right="418" w:firstLine="1134"/>
        <w:jc w:val="both"/>
        <w:rPr>
          <w:rFonts w:ascii="Gadugi" w:hAnsi="Gadugi" w:cs="Arial"/>
          <w:b/>
          <w:color w:val="385623" w:themeColor="accent6" w:themeShade="80"/>
          <w:sz w:val="22"/>
        </w:rPr>
      </w:pPr>
      <w:r w:rsidRPr="008C32FF">
        <w:rPr>
          <w:rFonts w:ascii="Gadugi" w:hAnsi="Gadugi" w:cs="Arial"/>
          <w:sz w:val="22"/>
        </w:rPr>
        <w:t>Ello en la medida que es el propio artículo 366 el que faculta al juzgador de primer grado para analizar los reparos que se planteen en contra de la liquidación de costas, incluidos aquellos enfilados a cuestionar las agencias en derecho, por lo que mal podría entenderse que de llegar a modificar las fijadas por el fallador de segunda instancia, estaría incurriendo en causal de invalidez o que se estaría vulnerando el principio de la doble instancia, pues, por regla general y en aquellos asuntos que así se admita, el auto que apruebe la mencionada liquidación es susceptible de apelación (artículo 366, numeral 5°, Código General del Proceso</w:t>
      </w:r>
      <w:r w:rsidRPr="008C32FF">
        <w:rPr>
          <w:rFonts w:ascii="Gadugi" w:hAnsi="Gadugi" w:cs="Arial"/>
          <w:sz w:val="22"/>
          <w:lang w:val="es-CO"/>
        </w:rPr>
        <w:t>)</w:t>
      </w:r>
      <w:r w:rsidRPr="008C32FF">
        <w:rPr>
          <w:rFonts w:ascii="Gadugi" w:hAnsi="Gadugi" w:cs="Arial"/>
          <w:sz w:val="22"/>
        </w:rPr>
        <w:t>.</w:t>
      </w:r>
    </w:p>
    <w:p w14:paraId="6C8B5BA1" w14:textId="77777777" w:rsidR="00DC1933" w:rsidRPr="00136B0C" w:rsidRDefault="00DC1933" w:rsidP="00136B0C">
      <w:pPr>
        <w:adjustRightInd w:val="0"/>
        <w:spacing w:after="0" w:line="276" w:lineRule="auto"/>
        <w:ind w:left="567" w:right="616" w:firstLine="1134"/>
        <w:jc w:val="both"/>
        <w:textAlignment w:val="center"/>
        <w:rPr>
          <w:rFonts w:ascii="Gadugi" w:eastAsia="Calibri" w:hAnsi="Gadugi"/>
          <w:b/>
          <w:color w:val="385623" w:themeColor="accent6" w:themeShade="80"/>
          <w:sz w:val="24"/>
          <w:szCs w:val="24"/>
        </w:rPr>
      </w:pPr>
    </w:p>
    <w:p w14:paraId="48B75328" w14:textId="40DDDEA5" w:rsidR="004B71BF" w:rsidRPr="00136B0C" w:rsidRDefault="00811213" w:rsidP="00136B0C">
      <w:pPr>
        <w:pStyle w:val="Prrafodelista"/>
        <w:numPr>
          <w:ilvl w:val="0"/>
          <w:numId w:val="8"/>
        </w:numPr>
        <w:adjustRightInd w:val="0"/>
        <w:spacing w:after="0" w:line="276" w:lineRule="auto"/>
        <w:ind w:left="0" w:right="49" w:firstLine="1701"/>
        <w:jc w:val="both"/>
        <w:textAlignment w:val="center"/>
        <w:rPr>
          <w:rFonts w:ascii="Gadugi" w:eastAsia="Calibri" w:hAnsi="Gadugi"/>
          <w:b/>
          <w:sz w:val="24"/>
          <w:szCs w:val="24"/>
        </w:rPr>
      </w:pPr>
      <w:r w:rsidRPr="00136B0C">
        <w:rPr>
          <w:rFonts w:ascii="Gadugi" w:eastAsia="Calibri" w:hAnsi="Gadugi"/>
          <w:sz w:val="24"/>
          <w:szCs w:val="24"/>
        </w:rPr>
        <w:lastRenderedPageBreak/>
        <w:t>A esta intelección de la Corte, se oponen varias circunstancias. En primer lugar, que como la forma de controvertir las agencias en derecho es mediante el recurso de apelación, al juez de primera instancia, que es quien debe liquidar las costas, le resultaría inadecuado, cuando menos, dejar sin piso el criterio plasmado por su superior funcional, e incluso por la misma Corte, en la fijación de las agencias en derecho</w:t>
      </w:r>
      <w:r w:rsidR="006E6D58" w:rsidRPr="00136B0C">
        <w:rPr>
          <w:rFonts w:ascii="Gadugi" w:eastAsia="Calibri" w:hAnsi="Gadugi"/>
          <w:sz w:val="24"/>
          <w:szCs w:val="24"/>
        </w:rPr>
        <w:t>. La segunda, que se relaciona con la anterior, es que si, como dice la Corte, solo el juez de la instancia tiene las herramientas para señalar el monto de las agencias en derecho, no se vería cómo puede, entonces, el de primera instancia variar esos montos. La tercera, siguiendo esa misma línea, implicaría que las agencias en derecho fijadas por la Corte en casación serían inamovibles, en cuanto que, por vía de apelación, solo podría llegar la actuación a un tribunal superior, que, con la misma tesis de la alta Colegiatura, se vería compelido a mantener las sumas fijadas en el recurso extraordinario, dado que, se insiste en ello, según la Corporación, solo ella tendría los elementos suficientes para señalarlas.</w:t>
      </w:r>
      <w:r w:rsidR="00520122" w:rsidRPr="00136B0C">
        <w:rPr>
          <w:rFonts w:ascii="Gadugi" w:eastAsia="Calibri" w:hAnsi="Gadugi"/>
          <w:sz w:val="24"/>
          <w:szCs w:val="24"/>
        </w:rPr>
        <w:t xml:space="preserve"> Y la cuarta, que si el monto de las agencias en derecho se señala por la Sala de decisión del tribunal o de la Corte en su sentencia, no se comprendería cómo, por vía de reposición o de apelación, se pudiera controvertir esa cuantificación, en la medida en que esas decisiones colegiadas están por fuera del alcance de la reposición (inciso quinto, art. 318, CGP). </w:t>
      </w:r>
    </w:p>
    <w:p w14:paraId="72C39F41" w14:textId="1E341538" w:rsidR="004B71BF" w:rsidRPr="00136B0C" w:rsidRDefault="004B71BF" w:rsidP="00136B0C">
      <w:pPr>
        <w:pStyle w:val="Prrafodelista"/>
        <w:adjustRightInd w:val="0"/>
        <w:spacing w:after="0" w:line="276" w:lineRule="auto"/>
        <w:ind w:left="1701" w:right="49"/>
        <w:jc w:val="both"/>
        <w:textAlignment w:val="center"/>
        <w:rPr>
          <w:rFonts w:ascii="Gadugi" w:eastAsia="Calibri" w:hAnsi="Gadugi"/>
          <w:sz w:val="24"/>
          <w:szCs w:val="24"/>
        </w:rPr>
      </w:pPr>
    </w:p>
    <w:p w14:paraId="26473C48" w14:textId="23D9B6C0" w:rsidR="004B71BF" w:rsidRPr="00136B0C" w:rsidRDefault="004B71BF" w:rsidP="00136B0C">
      <w:pPr>
        <w:pStyle w:val="Prrafodelista"/>
        <w:numPr>
          <w:ilvl w:val="0"/>
          <w:numId w:val="8"/>
        </w:numPr>
        <w:tabs>
          <w:tab w:val="left" w:pos="1985"/>
        </w:tabs>
        <w:adjustRightInd w:val="0"/>
        <w:spacing w:after="0" w:line="276" w:lineRule="auto"/>
        <w:ind w:left="0" w:right="49" w:firstLine="1701"/>
        <w:jc w:val="both"/>
        <w:textAlignment w:val="center"/>
        <w:rPr>
          <w:rFonts w:ascii="Gadugi" w:eastAsia="Calibri" w:hAnsi="Gadugi"/>
          <w:sz w:val="24"/>
          <w:szCs w:val="24"/>
        </w:rPr>
      </w:pPr>
      <w:r w:rsidRPr="00136B0C">
        <w:rPr>
          <w:rFonts w:ascii="Gadugi" w:eastAsia="Calibri" w:hAnsi="Gadugi"/>
          <w:sz w:val="24"/>
          <w:szCs w:val="24"/>
        </w:rPr>
        <w:t xml:space="preserve">Posteriormente, la Corte fue más allá y señaló que las agencias en derecho deben ser fijadas en la misma sentencia o en la providencia en la que se impongan las costas, según se infiere del contenido del artículo 366. Así está dicho en la sentencia </w:t>
      </w:r>
      <w:r w:rsidRPr="00136B0C">
        <w:rPr>
          <w:rFonts w:ascii="Gadugi" w:hAnsi="Gadugi" w:cs="Arial"/>
          <w:bCs/>
          <w:sz w:val="24"/>
          <w:szCs w:val="24"/>
        </w:rPr>
        <w:t>STC1075-2021, posición de la que la Sala Civil-Familia de este Tribunal ha disentido, por cuanto, como ya quedó visto, desconoce lo que fue el sentido del cambio que se le introdujo al numeral 2 del artículo 365, a diferencia de lo que establecía la Ley 1395 de 2010, en la que sí se imponía fijar las agencia en derecho en la misma providencia.   Se comparte de esta providencia, como con toda claridad se dice, que respecto de la condena en costas hay dos momentos: la condena y su liquidación; la primera, indudablemente debe darse en la providencia que corresponda (auto o sentencia), porque se erige en uno de los extremos, incluso de oficio, que debe atender el juez. Pero la segunda, es una gestión posterior, que viene luego de que el funcionario fije el monto de la</w:t>
      </w:r>
      <w:r w:rsidR="0073680D" w:rsidRPr="00136B0C">
        <w:rPr>
          <w:rFonts w:ascii="Gadugi" w:hAnsi="Gadugi" w:cs="Arial"/>
          <w:bCs/>
          <w:sz w:val="24"/>
          <w:szCs w:val="24"/>
        </w:rPr>
        <w:t>s</w:t>
      </w:r>
      <w:r w:rsidRPr="00136B0C">
        <w:rPr>
          <w:rFonts w:ascii="Gadugi" w:hAnsi="Gadugi" w:cs="Arial"/>
          <w:bCs/>
          <w:sz w:val="24"/>
          <w:szCs w:val="24"/>
        </w:rPr>
        <w:t xml:space="preserve"> agencias en derecho, lo cual puede hacerse en un auto separado, como ocurría en pretéritas ocasiones, a la luz del C.P.C. </w:t>
      </w:r>
    </w:p>
    <w:p w14:paraId="5D7A6EF3" w14:textId="3A1BF252" w:rsidR="004B71BF" w:rsidRPr="00136B0C" w:rsidRDefault="004B71BF" w:rsidP="00136B0C">
      <w:pPr>
        <w:tabs>
          <w:tab w:val="left" w:pos="1985"/>
        </w:tabs>
        <w:adjustRightInd w:val="0"/>
        <w:spacing w:after="0" w:line="276" w:lineRule="auto"/>
        <w:ind w:right="49"/>
        <w:jc w:val="both"/>
        <w:textAlignment w:val="center"/>
        <w:rPr>
          <w:rFonts w:ascii="Gadugi" w:eastAsia="Calibri" w:hAnsi="Gadugi"/>
          <w:sz w:val="24"/>
          <w:szCs w:val="24"/>
        </w:rPr>
      </w:pPr>
    </w:p>
    <w:p w14:paraId="41405037" w14:textId="77777777" w:rsidR="00520122" w:rsidRPr="00136B0C" w:rsidRDefault="00520122" w:rsidP="00136B0C">
      <w:pPr>
        <w:pStyle w:val="Prrafodelista"/>
        <w:numPr>
          <w:ilvl w:val="0"/>
          <w:numId w:val="8"/>
        </w:numPr>
        <w:tabs>
          <w:tab w:val="left" w:pos="1701"/>
        </w:tabs>
        <w:adjustRightInd w:val="0"/>
        <w:spacing w:after="0" w:line="276" w:lineRule="auto"/>
        <w:ind w:left="0" w:right="49" w:firstLine="1701"/>
        <w:jc w:val="both"/>
        <w:textAlignment w:val="center"/>
        <w:rPr>
          <w:rFonts w:ascii="Gadugi" w:eastAsia="Calibri" w:hAnsi="Gadugi"/>
          <w:sz w:val="24"/>
          <w:szCs w:val="24"/>
        </w:rPr>
      </w:pPr>
      <w:r w:rsidRPr="00136B0C">
        <w:rPr>
          <w:rFonts w:ascii="Gadugi" w:eastAsia="Calibri" w:hAnsi="Gadugi"/>
          <w:sz w:val="24"/>
          <w:szCs w:val="24"/>
        </w:rPr>
        <w:t xml:space="preserve"> </w:t>
      </w:r>
      <w:r w:rsidR="004B71BF" w:rsidRPr="00136B0C">
        <w:rPr>
          <w:rFonts w:ascii="Gadugi" w:eastAsia="Calibri" w:hAnsi="Gadugi"/>
          <w:sz w:val="24"/>
          <w:szCs w:val="24"/>
        </w:rPr>
        <w:t>Sea de ello lo que fuere, la Sala</w:t>
      </w:r>
      <w:r w:rsidRPr="00136B0C">
        <w:rPr>
          <w:rFonts w:ascii="Gadugi" w:eastAsia="Calibri" w:hAnsi="Gadugi"/>
          <w:sz w:val="24"/>
          <w:szCs w:val="24"/>
        </w:rPr>
        <w:t xml:space="preserve"> Civil-Familia</w:t>
      </w:r>
      <w:r w:rsidR="004B71BF" w:rsidRPr="00136B0C">
        <w:rPr>
          <w:rFonts w:ascii="Gadugi" w:eastAsia="Calibri" w:hAnsi="Gadugi"/>
          <w:sz w:val="24"/>
          <w:szCs w:val="24"/>
        </w:rPr>
        <w:t xml:space="preserve">, por respeto a aquella primera decisión de la Corte, que además tuvo que ver con un trámite surtido en esta sede, acogió desde entonces </w:t>
      </w:r>
      <w:r w:rsidRPr="00136B0C">
        <w:rPr>
          <w:rFonts w:ascii="Gadugi" w:eastAsia="Calibri" w:hAnsi="Gadugi"/>
          <w:sz w:val="24"/>
          <w:szCs w:val="24"/>
        </w:rPr>
        <w:t xml:space="preserve">la tesis de que las agencias en derecho debían ser fijadas en cada instancia, con todo y lo que ello envuelve. Esa es la razón por la cual, aunque paradójico, resulte viable que en esta ocasión esta Sala unitaria deba ocuparse del recurso de apelación propuesto por las codemandadas, tanto en lo que </w:t>
      </w:r>
      <w:r w:rsidRPr="00136B0C">
        <w:rPr>
          <w:rFonts w:ascii="Gadugi" w:eastAsia="Calibri" w:hAnsi="Gadugi"/>
          <w:sz w:val="24"/>
          <w:szCs w:val="24"/>
        </w:rPr>
        <w:lastRenderedPageBreak/>
        <w:t xml:space="preserve">tiene que ver con las agencias en derecho fijadas en primera instancia, como las que se incluyeron en esta sede. En segunda instancia. </w:t>
      </w:r>
    </w:p>
    <w:p w14:paraId="5B5216F6" w14:textId="77777777" w:rsidR="00520122" w:rsidRPr="00136B0C" w:rsidRDefault="00520122" w:rsidP="00136B0C">
      <w:pPr>
        <w:pStyle w:val="Prrafodelista"/>
        <w:spacing w:line="276" w:lineRule="auto"/>
        <w:rPr>
          <w:rFonts w:ascii="Gadugi" w:eastAsia="Calibri" w:hAnsi="Gadugi"/>
          <w:sz w:val="24"/>
          <w:szCs w:val="24"/>
        </w:rPr>
      </w:pPr>
    </w:p>
    <w:p w14:paraId="3650EA12" w14:textId="4328F465" w:rsidR="00F0726D" w:rsidRPr="00136B0C" w:rsidRDefault="00520122" w:rsidP="00136B0C">
      <w:pPr>
        <w:pStyle w:val="Prrafodelista"/>
        <w:numPr>
          <w:ilvl w:val="0"/>
          <w:numId w:val="8"/>
        </w:numPr>
        <w:tabs>
          <w:tab w:val="left" w:pos="1701"/>
        </w:tabs>
        <w:adjustRightInd w:val="0"/>
        <w:spacing w:after="0" w:line="276" w:lineRule="auto"/>
        <w:ind w:left="0" w:right="49" w:firstLine="1701"/>
        <w:jc w:val="both"/>
        <w:textAlignment w:val="center"/>
        <w:rPr>
          <w:rFonts w:ascii="Gadugi" w:eastAsia="Calibri" w:hAnsi="Gadugi"/>
          <w:sz w:val="24"/>
          <w:szCs w:val="24"/>
        </w:rPr>
      </w:pPr>
      <w:r w:rsidRPr="00136B0C">
        <w:rPr>
          <w:rFonts w:ascii="Gadugi" w:eastAsia="Calibri" w:hAnsi="Gadugi"/>
          <w:sz w:val="24"/>
          <w:szCs w:val="24"/>
        </w:rPr>
        <w:t>Se señaló al comienzo que la providencia atacada será modificada, por cuanto, en realidad, hubo una percepción equivocada en ambas instancias sobre el monto a reconocer a favor de las demandadas, al momento de señalar las agencias en derecho, partiendo de una base indiscutible, que es la de que las pretensiones superaban con creces los $2.700’000.000</w:t>
      </w:r>
      <w:r w:rsidR="00136B0C">
        <w:rPr>
          <w:rFonts w:ascii="Gadugi" w:eastAsia="Calibri" w:hAnsi="Gadugi"/>
          <w:sz w:val="24"/>
          <w:szCs w:val="24"/>
        </w:rPr>
        <w:t>,00</w:t>
      </w:r>
      <w:r w:rsidRPr="00136B0C">
        <w:rPr>
          <w:rFonts w:ascii="Gadugi" w:eastAsia="Calibri" w:hAnsi="Gadugi"/>
          <w:sz w:val="24"/>
          <w:szCs w:val="24"/>
        </w:rPr>
        <w:t>, si bien no se trataba solo de perjuicios materiales, que fueron cuantifica</w:t>
      </w:r>
      <w:r w:rsidR="00F0726D" w:rsidRPr="00136B0C">
        <w:rPr>
          <w:rFonts w:ascii="Gadugi" w:eastAsia="Calibri" w:hAnsi="Gadugi"/>
          <w:sz w:val="24"/>
          <w:szCs w:val="24"/>
        </w:rPr>
        <w:t xml:space="preserve">dos en esa suma, sino de los extrapatrimoniales. Sin embargo, las impugnantes convienen en que aquella debió ser la cuantía a tener en cuenta para establecer las agencias en derecho. </w:t>
      </w:r>
    </w:p>
    <w:p w14:paraId="65935488" w14:textId="77777777" w:rsidR="00C5222C" w:rsidRPr="00136B0C" w:rsidRDefault="00C5222C" w:rsidP="00136B0C">
      <w:pPr>
        <w:pStyle w:val="Textoindependiente"/>
        <w:spacing w:line="276" w:lineRule="auto"/>
        <w:ind w:firstLine="2835"/>
        <w:rPr>
          <w:color w:val="FF0000"/>
          <w:sz w:val="24"/>
          <w:szCs w:val="24"/>
        </w:rPr>
      </w:pPr>
    </w:p>
    <w:p w14:paraId="16CCD551" w14:textId="77777777" w:rsidR="00F0726D" w:rsidRPr="00136B0C" w:rsidRDefault="00C5222C" w:rsidP="00136B0C">
      <w:pPr>
        <w:pStyle w:val="Textoindependiente"/>
        <w:tabs>
          <w:tab w:val="left" w:pos="2552"/>
        </w:tabs>
        <w:spacing w:line="276" w:lineRule="auto"/>
        <w:ind w:firstLine="1701"/>
        <w:jc w:val="both"/>
        <w:rPr>
          <w:sz w:val="24"/>
          <w:szCs w:val="24"/>
        </w:rPr>
      </w:pPr>
      <w:r w:rsidRPr="00136B0C">
        <w:rPr>
          <w:sz w:val="24"/>
          <w:szCs w:val="24"/>
        </w:rPr>
        <w:t>Con vigencia de la Ley 794 de 2003, el numeral 3 del artículo 43 de esa normatividad señaló que para la fijación de agencias en derecho deb</w:t>
      </w:r>
      <w:r w:rsidR="00F0726D" w:rsidRPr="00136B0C">
        <w:rPr>
          <w:sz w:val="24"/>
          <w:szCs w:val="24"/>
        </w:rPr>
        <w:t>ía</w:t>
      </w:r>
      <w:r w:rsidRPr="00136B0C">
        <w:rPr>
          <w:sz w:val="24"/>
          <w:szCs w:val="24"/>
        </w:rPr>
        <w:t xml:space="preserve">n aplicarse las tarifas </w:t>
      </w:r>
      <w:r w:rsidR="00F0726D" w:rsidRPr="00136B0C">
        <w:rPr>
          <w:sz w:val="24"/>
          <w:szCs w:val="24"/>
        </w:rPr>
        <w:t xml:space="preserve">que estableciera el </w:t>
      </w:r>
      <w:r w:rsidRPr="00136B0C">
        <w:rPr>
          <w:sz w:val="24"/>
          <w:szCs w:val="24"/>
        </w:rPr>
        <w:t>Consejo Superior de la Judicatura; y en desarrollo de esa norma, fue expedido el Acuerdo 1887 del 26 de junio de 2003 que se ocup</w:t>
      </w:r>
      <w:r w:rsidR="00F0726D" w:rsidRPr="00136B0C">
        <w:rPr>
          <w:sz w:val="24"/>
          <w:szCs w:val="24"/>
        </w:rPr>
        <w:t>ó</w:t>
      </w:r>
      <w:r w:rsidRPr="00136B0C">
        <w:rPr>
          <w:sz w:val="24"/>
          <w:szCs w:val="24"/>
        </w:rPr>
        <w:t xml:space="preserve"> de esa materia, modificado por el acuerdo 2222 de diciembre 10 de 2003</w:t>
      </w:r>
      <w:r w:rsidR="00F0726D" w:rsidRPr="00136B0C">
        <w:rPr>
          <w:sz w:val="24"/>
          <w:szCs w:val="24"/>
        </w:rPr>
        <w:t xml:space="preserve">. </w:t>
      </w:r>
    </w:p>
    <w:p w14:paraId="2D249511" w14:textId="77777777" w:rsidR="00F0726D" w:rsidRPr="00136B0C" w:rsidRDefault="00F0726D" w:rsidP="00136B0C">
      <w:pPr>
        <w:pStyle w:val="Textoindependiente"/>
        <w:tabs>
          <w:tab w:val="left" w:pos="2552"/>
        </w:tabs>
        <w:spacing w:line="276" w:lineRule="auto"/>
        <w:ind w:firstLine="1701"/>
        <w:jc w:val="both"/>
        <w:rPr>
          <w:sz w:val="24"/>
          <w:szCs w:val="24"/>
        </w:rPr>
      </w:pPr>
    </w:p>
    <w:p w14:paraId="65F27D65" w14:textId="2C95B173" w:rsidR="00F0726D" w:rsidRPr="00136B0C" w:rsidRDefault="00F0726D" w:rsidP="00136B0C">
      <w:pPr>
        <w:pStyle w:val="Textoindependiente"/>
        <w:tabs>
          <w:tab w:val="left" w:pos="2552"/>
        </w:tabs>
        <w:spacing w:line="276" w:lineRule="auto"/>
        <w:ind w:firstLine="1701"/>
        <w:jc w:val="both"/>
        <w:rPr>
          <w:sz w:val="24"/>
          <w:szCs w:val="24"/>
        </w:rPr>
      </w:pPr>
      <w:r w:rsidRPr="00136B0C">
        <w:rPr>
          <w:sz w:val="24"/>
          <w:szCs w:val="24"/>
        </w:rPr>
        <w:t>Esa</w:t>
      </w:r>
      <w:r w:rsidR="00A80EDE" w:rsidRPr="00136B0C">
        <w:rPr>
          <w:sz w:val="24"/>
          <w:szCs w:val="24"/>
        </w:rPr>
        <w:t>s</w:t>
      </w:r>
      <w:r w:rsidRPr="00136B0C">
        <w:rPr>
          <w:sz w:val="24"/>
          <w:szCs w:val="24"/>
        </w:rPr>
        <w:t xml:space="preserve"> </w:t>
      </w:r>
      <w:r w:rsidR="00A80EDE" w:rsidRPr="00136B0C">
        <w:rPr>
          <w:sz w:val="24"/>
          <w:szCs w:val="24"/>
        </w:rPr>
        <w:t xml:space="preserve">son las </w:t>
      </w:r>
      <w:r w:rsidRPr="00136B0C">
        <w:rPr>
          <w:sz w:val="24"/>
          <w:szCs w:val="24"/>
        </w:rPr>
        <w:t>norma</w:t>
      </w:r>
      <w:r w:rsidR="00A80EDE" w:rsidRPr="00136B0C">
        <w:rPr>
          <w:sz w:val="24"/>
          <w:szCs w:val="24"/>
        </w:rPr>
        <w:t>s</w:t>
      </w:r>
      <w:r w:rsidRPr="00136B0C">
        <w:rPr>
          <w:sz w:val="24"/>
          <w:szCs w:val="24"/>
        </w:rPr>
        <w:t xml:space="preserve"> que se ajusta al caso, como bien lo dijo el Juzgado, por cuanto el Acuerdo PSAA16-10554 del 5 de agosto de 2016, que modificó este régimen, fue claro en establecer en su artículo 7° que solo se aplicaría a los procesos iniciados a partir del 5 de agosto de 2016, y el presente comenzó en el año 2013. </w:t>
      </w:r>
    </w:p>
    <w:p w14:paraId="72778C05" w14:textId="77777777" w:rsidR="00F0726D" w:rsidRPr="00136B0C" w:rsidRDefault="00F0726D" w:rsidP="00136B0C">
      <w:pPr>
        <w:pStyle w:val="Textoindependiente"/>
        <w:tabs>
          <w:tab w:val="left" w:pos="2552"/>
        </w:tabs>
        <w:spacing w:line="276" w:lineRule="auto"/>
        <w:ind w:firstLine="1701"/>
        <w:jc w:val="both"/>
        <w:rPr>
          <w:sz w:val="24"/>
          <w:szCs w:val="24"/>
        </w:rPr>
      </w:pPr>
    </w:p>
    <w:p w14:paraId="519EEEE7" w14:textId="40A6377F" w:rsidR="00C5222C" w:rsidRPr="00136B0C" w:rsidRDefault="00F0726D" w:rsidP="00136B0C">
      <w:pPr>
        <w:pStyle w:val="Textoindependiente"/>
        <w:tabs>
          <w:tab w:val="left" w:pos="2552"/>
        </w:tabs>
        <w:spacing w:line="276" w:lineRule="auto"/>
        <w:ind w:firstLine="1701"/>
        <w:jc w:val="both"/>
        <w:rPr>
          <w:sz w:val="24"/>
          <w:szCs w:val="24"/>
        </w:rPr>
      </w:pPr>
      <w:r w:rsidRPr="00136B0C">
        <w:rPr>
          <w:sz w:val="24"/>
          <w:szCs w:val="24"/>
        </w:rPr>
        <w:t xml:space="preserve">El Acuerdo 2222 de 2003, en su artículo 1° modificó el 6° del Acuerdo 1887 de 2003 y estableció, en el numeral 1.1., que en los procesos ordinarios de primera instancia, las agencias en derecho serían hasta del 20% del valor de las pretensiones reconocidas o negadas en la sentencia. Y para la segunda instancia, </w:t>
      </w:r>
      <w:r w:rsidR="00A80EDE" w:rsidRPr="00136B0C">
        <w:rPr>
          <w:sz w:val="24"/>
          <w:szCs w:val="24"/>
        </w:rPr>
        <w:t xml:space="preserve">hasta el 5% del valor de las pretensiones confirmadas o revocadas. </w:t>
      </w:r>
    </w:p>
    <w:p w14:paraId="594006A2" w14:textId="77777777" w:rsidR="00C5222C" w:rsidRPr="00136B0C" w:rsidRDefault="00C5222C" w:rsidP="00136B0C">
      <w:pPr>
        <w:pStyle w:val="Textoindependiente"/>
        <w:tabs>
          <w:tab w:val="left" w:pos="2552"/>
        </w:tabs>
        <w:spacing w:line="276" w:lineRule="auto"/>
        <w:ind w:firstLine="1701"/>
        <w:jc w:val="both"/>
        <w:rPr>
          <w:sz w:val="24"/>
          <w:szCs w:val="24"/>
        </w:rPr>
      </w:pPr>
    </w:p>
    <w:p w14:paraId="084B5237" w14:textId="5C401D5C" w:rsidR="00C5222C" w:rsidRPr="00136B0C" w:rsidRDefault="00C5222C" w:rsidP="00136B0C">
      <w:pPr>
        <w:pStyle w:val="Textoindependiente"/>
        <w:tabs>
          <w:tab w:val="left" w:pos="2552"/>
        </w:tabs>
        <w:spacing w:line="276" w:lineRule="auto"/>
        <w:ind w:firstLine="1701"/>
        <w:jc w:val="both"/>
        <w:rPr>
          <w:i/>
          <w:sz w:val="24"/>
          <w:szCs w:val="24"/>
        </w:rPr>
      </w:pPr>
      <w:r w:rsidRPr="00136B0C">
        <w:rPr>
          <w:sz w:val="24"/>
          <w:szCs w:val="24"/>
        </w:rPr>
        <w:t xml:space="preserve">A este asunto, además, viene ajustado el artículo 3° del primero de tales acuerdos, </w:t>
      </w:r>
      <w:r w:rsidR="00ED09B1" w:rsidRPr="00136B0C">
        <w:rPr>
          <w:sz w:val="24"/>
          <w:szCs w:val="24"/>
        </w:rPr>
        <w:t xml:space="preserve">que se guía por lo dispuesto en el artículo 393 del CPC, y ahora por el </w:t>
      </w:r>
      <w:r w:rsidR="00911CD3" w:rsidRPr="00136B0C">
        <w:rPr>
          <w:sz w:val="24"/>
          <w:szCs w:val="24"/>
        </w:rPr>
        <w:t xml:space="preserve">366 del CGP, </w:t>
      </w:r>
      <w:r w:rsidRPr="00136B0C">
        <w:rPr>
          <w:sz w:val="24"/>
          <w:szCs w:val="24"/>
        </w:rPr>
        <w:t xml:space="preserve">según el cual, </w:t>
      </w:r>
      <w:r w:rsidRPr="00136B0C">
        <w:rPr>
          <w:i/>
          <w:sz w:val="24"/>
          <w:szCs w:val="24"/>
        </w:rPr>
        <w:t>“</w:t>
      </w:r>
      <w:r w:rsidRPr="008C32FF">
        <w:rPr>
          <w:i/>
          <w:sz w:val="22"/>
          <w:szCs w:val="24"/>
        </w:rPr>
        <w:t>El funcionario judicial, para aplicar gradualmente las tarifas establecidas hasta los máximos previstos en este Acuerdo, tendrá en cuenta la naturaleza, calidad y duración útil de la gestión ejecutada por el apoderado o la parte que litigó personalmente, autorizada por la ley, la cuantía de la pretensión y las demás circunstancias relevantes, de modo que sean equitativas y razonables. Las tarifas por porcentaje se aplicarán inversamente al valor de las pretensiones…</w:t>
      </w:r>
      <w:r w:rsidRPr="00136B0C">
        <w:rPr>
          <w:i/>
          <w:sz w:val="24"/>
          <w:szCs w:val="24"/>
        </w:rPr>
        <w:t>”</w:t>
      </w:r>
      <w:r w:rsidR="00955AB9" w:rsidRPr="00136B0C">
        <w:rPr>
          <w:i/>
          <w:sz w:val="24"/>
          <w:szCs w:val="24"/>
        </w:rPr>
        <w:t>.</w:t>
      </w:r>
    </w:p>
    <w:p w14:paraId="22B32E83" w14:textId="77777777" w:rsidR="00955AB9" w:rsidRPr="00136B0C" w:rsidRDefault="00955AB9" w:rsidP="00136B0C">
      <w:pPr>
        <w:pStyle w:val="Textoindependiente"/>
        <w:tabs>
          <w:tab w:val="left" w:pos="2552"/>
        </w:tabs>
        <w:spacing w:line="276" w:lineRule="auto"/>
        <w:ind w:firstLine="1701"/>
        <w:jc w:val="both"/>
        <w:rPr>
          <w:sz w:val="24"/>
          <w:szCs w:val="24"/>
        </w:rPr>
      </w:pPr>
    </w:p>
    <w:p w14:paraId="1805C697" w14:textId="63363A3A" w:rsidR="00C5222C" w:rsidRPr="00136B0C" w:rsidRDefault="00C5222C" w:rsidP="00136B0C">
      <w:pPr>
        <w:pStyle w:val="Textoindependiente"/>
        <w:numPr>
          <w:ilvl w:val="0"/>
          <w:numId w:val="8"/>
        </w:numPr>
        <w:tabs>
          <w:tab w:val="left" w:pos="2268"/>
        </w:tabs>
        <w:spacing w:line="276" w:lineRule="auto"/>
        <w:ind w:left="0" w:firstLine="1701"/>
        <w:jc w:val="both"/>
        <w:rPr>
          <w:sz w:val="24"/>
          <w:szCs w:val="24"/>
        </w:rPr>
      </w:pPr>
      <w:r w:rsidRPr="00136B0C">
        <w:rPr>
          <w:sz w:val="24"/>
          <w:szCs w:val="24"/>
        </w:rPr>
        <w:t xml:space="preserve">Se trata aquí de un proceso ordinario en el que la sentencia de </w:t>
      </w:r>
      <w:r w:rsidR="00A80EDE" w:rsidRPr="00136B0C">
        <w:rPr>
          <w:sz w:val="24"/>
          <w:szCs w:val="24"/>
        </w:rPr>
        <w:t xml:space="preserve">primera instancia negó todas las pretensiones a las demandantes y luego, en segunda instancia, se confirmó en </w:t>
      </w:r>
      <w:r w:rsidRPr="00136B0C">
        <w:rPr>
          <w:sz w:val="24"/>
          <w:szCs w:val="24"/>
        </w:rPr>
        <w:t xml:space="preserve">su totalidad </w:t>
      </w:r>
      <w:r w:rsidR="00A80EDE" w:rsidRPr="00136B0C">
        <w:rPr>
          <w:sz w:val="24"/>
          <w:szCs w:val="24"/>
        </w:rPr>
        <w:t xml:space="preserve">el fallo. En ambas instancias se condenó en </w:t>
      </w:r>
      <w:r w:rsidR="00A80EDE" w:rsidRPr="00136B0C">
        <w:rPr>
          <w:sz w:val="24"/>
          <w:szCs w:val="24"/>
        </w:rPr>
        <w:lastRenderedPageBreak/>
        <w:t xml:space="preserve">costas a las demandantes. </w:t>
      </w:r>
    </w:p>
    <w:p w14:paraId="5ABBD31B" w14:textId="77777777" w:rsidR="00A80EDE" w:rsidRPr="00136B0C" w:rsidRDefault="00A80EDE" w:rsidP="00136B0C">
      <w:pPr>
        <w:pStyle w:val="Textoindependiente"/>
        <w:tabs>
          <w:tab w:val="left" w:pos="2552"/>
        </w:tabs>
        <w:spacing w:line="276" w:lineRule="auto"/>
        <w:ind w:firstLine="1701"/>
        <w:jc w:val="both"/>
        <w:rPr>
          <w:sz w:val="24"/>
          <w:szCs w:val="24"/>
        </w:rPr>
      </w:pPr>
    </w:p>
    <w:p w14:paraId="30A04E8C" w14:textId="6DE54CE1" w:rsidR="00C5222C" w:rsidRPr="00136B0C" w:rsidRDefault="00C5222C" w:rsidP="00136B0C">
      <w:pPr>
        <w:pStyle w:val="Textoindependiente"/>
        <w:numPr>
          <w:ilvl w:val="0"/>
          <w:numId w:val="8"/>
        </w:numPr>
        <w:tabs>
          <w:tab w:val="left" w:pos="2268"/>
        </w:tabs>
        <w:spacing w:line="276" w:lineRule="auto"/>
        <w:ind w:left="0" w:firstLine="1701"/>
        <w:jc w:val="both"/>
        <w:rPr>
          <w:sz w:val="24"/>
          <w:szCs w:val="24"/>
        </w:rPr>
      </w:pPr>
      <w:r w:rsidRPr="00136B0C">
        <w:rPr>
          <w:sz w:val="24"/>
          <w:szCs w:val="24"/>
        </w:rPr>
        <w:t>Una pausada revisión del asunto, deja ver la razón que le</w:t>
      </w:r>
      <w:r w:rsidR="00A80EDE" w:rsidRPr="00136B0C">
        <w:rPr>
          <w:sz w:val="24"/>
          <w:szCs w:val="24"/>
        </w:rPr>
        <w:t>s</w:t>
      </w:r>
      <w:r w:rsidRPr="00136B0C">
        <w:rPr>
          <w:sz w:val="24"/>
          <w:szCs w:val="24"/>
        </w:rPr>
        <w:t xml:space="preserve"> asiste a</w:t>
      </w:r>
      <w:r w:rsidR="00A80EDE" w:rsidRPr="00136B0C">
        <w:rPr>
          <w:sz w:val="24"/>
          <w:szCs w:val="24"/>
        </w:rPr>
        <w:t xml:space="preserve"> las impugnantes, porque el Juzgado, al momento de fijar las agencias en derecho solo aplicó el 0,2% de un 20% posible; entre tanto, la Sala, </w:t>
      </w:r>
      <w:r w:rsidR="00682C43" w:rsidRPr="00136B0C">
        <w:rPr>
          <w:sz w:val="24"/>
          <w:szCs w:val="24"/>
        </w:rPr>
        <w:t xml:space="preserve">solo tuvo en cuenta un porcentaje cercano al 0,046%, del 5% permitido. </w:t>
      </w:r>
    </w:p>
    <w:p w14:paraId="10F21379" w14:textId="77777777" w:rsidR="00C5222C" w:rsidRPr="00136B0C" w:rsidRDefault="00C5222C" w:rsidP="00136B0C">
      <w:pPr>
        <w:pStyle w:val="Textoindependiente"/>
        <w:spacing w:line="276" w:lineRule="auto"/>
        <w:ind w:firstLine="2835"/>
        <w:rPr>
          <w:color w:val="FF0000"/>
          <w:sz w:val="24"/>
          <w:szCs w:val="24"/>
        </w:rPr>
      </w:pPr>
    </w:p>
    <w:p w14:paraId="31E1CECB" w14:textId="5D13DB51" w:rsidR="00C5222C" w:rsidRPr="00136B0C" w:rsidRDefault="00C5222C" w:rsidP="00136B0C">
      <w:pPr>
        <w:pStyle w:val="Textoindependiente"/>
        <w:spacing w:line="276" w:lineRule="auto"/>
        <w:ind w:firstLine="1701"/>
        <w:jc w:val="both"/>
        <w:rPr>
          <w:sz w:val="24"/>
          <w:szCs w:val="24"/>
        </w:rPr>
      </w:pPr>
      <w:r w:rsidRPr="00136B0C">
        <w:rPr>
          <w:sz w:val="24"/>
          <w:szCs w:val="24"/>
        </w:rPr>
        <w:t xml:space="preserve">Y es acertada la objeción </w:t>
      </w:r>
      <w:r w:rsidR="00682C43" w:rsidRPr="00136B0C">
        <w:rPr>
          <w:sz w:val="24"/>
          <w:szCs w:val="24"/>
        </w:rPr>
        <w:t>de las recurrentes, por estas razones primordiales:</w:t>
      </w:r>
      <w:r w:rsidRPr="00136B0C">
        <w:rPr>
          <w:sz w:val="24"/>
          <w:szCs w:val="24"/>
        </w:rPr>
        <w:t xml:space="preserve"> </w:t>
      </w:r>
    </w:p>
    <w:p w14:paraId="3EC70050" w14:textId="77777777" w:rsidR="00C5222C" w:rsidRPr="00136B0C" w:rsidRDefault="00C5222C" w:rsidP="00136B0C">
      <w:pPr>
        <w:pStyle w:val="Textoindependiente"/>
        <w:spacing w:line="276" w:lineRule="auto"/>
        <w:ind w:firstLine="1701"/>
        <w:jc w:val="both"/>
        <w:rPr>
          <w:sz w:val="24"/>
          <w:szCs w:val="24"/>
        </w:rPr>
      </w:pPr>
    </w:p>
    <w:p w14:paraId="2258A103" w14:textId="291EBD89" w:rsidR="00682C43" w:rsidRPr="00136B0C" w:rsidRDefault="00682C43" w:rsidP="00136B0C">
      <w:pPr>
        <w:pStyle w:val="Textoindependiente"/>
        <w:numPr>
          <w:ilvl w:val="1"/>
          <w:numId w:val="8"/>
        </w:numPr>
        <w:tabs>
          <w:tab w:val="left" w:pos="2410"/>
        </w:tabs>
        <w:spacing w:line="276" w:lineRule="auto"/>
        <w:ind w:left="0" w:firstLine="1701"/>
        <w:jc w:val="both"/>
        <w:rPr>
          <w:sz w:val="24"/>
          <w:szCs w:val="24"/>
        </w:rPr>
      </w:pPr>
      <w:r w:rsidRPr="00136B0C">
        <w:rPr>
          <w:sz w:val="24"/>
          <w:szCs w:val="24"/>
        </w:rPr>
        <w:t xml:space="preserve">Es cierto, como dice la funcionaria de primer grado, que los porcentajes están dentro del margen de la norma. Pero, en cambio, no lo es, que consulten los factores a tener en cuenta por el juez al momento de fijar las agencias en derecho. </w:t>
      </w:r>
    </w:p>
    <w:p w14:paraId="1B5A0B96" w14:textId="687B410C" w:rsidR="00682C43" w:rsidRPr="00136B0C" w:rsidRDefault="00682C43" w:rsidP="00136B0C">
      <w:pPr>
        <w:pStyle w:val="Textoindependiente"/>
        <w:spacing w:line="276" w:lineRule="auto"/>
        <w:ind w:firstLine="1701"/>
        <w:jc w:val="both"/>
        <w:rPr>
          <w:sz w:val="24"/>
          <w:szCs w:val="24"/>
        </w:rPr>
      </w:pPr>
    </w:p>
    <w:p w14:paraId="5B7B551B" w14:textId="6FD20A11" w:rsidR="00682C43" w:rsidRPr="00136B0C" w:rsidRDefault="00ED09B1" w:rsidP="00136B0C">
      <w:pPr>
        <w:pStyle w:val="Textoindependiente"/>
        <w:spacing w:line="276" w:lineRule="auto"/>
        <w:ind w:firstLine="1701"/>
        <w:jc w:val="both"/>
        <w:rPr>
          <w:sz w:val="24"/>
          <w:szCs w:val="24"/>
        </w:rPr>
      </w:pPr>
      <w:r w:rsidRPr="00136B0C">
        <w:rPr>
          <w:sz w:val="24"/>
          <w:szCs w:val="24"/>
        </w:rPr>
        <w:t xml:space="preserve">Es que, </w:t>
      </w:r>
      <w:r w:rsidR="00682C43" w:rsidRPr="00136B0C">
        <w:rPr>
          <w:sz w:val="24"/>
          <w:szCs w:val="24"/>
        </w:rPr>
        <w:t>la misma providencia que res</w:t>
      </w:r>
      <w:r w:rsidRPr="00136B0C">
        <w:rPr>
          <w:sz w:val="24"/>
          <w:szCs w:val="24"/>
        </w:rPr>
        <w:t xml:space="preserve">olvió </w:t>
      </w:r>
      <w:r w:rsidR="00682C43" w:rsidRPr="00136B0C">
        <w:rPr>
          <w:sz w:val="24"/>
          <w:szCs w:val="24"/>
        </w:rPr>
        <w:t>la reposición, reconoció</w:t>
      </w:r>
      <w:r w:rsidR="001168E7" w:rsidRPr="00136B0C">
        <w:rPr>
          <w:sz w:val="24"/>
          <w:szCs w:val="24"/>
        </w:rPr>
        <w:t xml:space="preserve"> que</w:t>
      </w:r>
      <w:r w:rsidR="00682C43" w:rsidRPr="00136B0C">
        <w:rPr>
          <w:sz w:val="24"/>
          <w:szCs w:val="24"/>
        </w:rPr>
        <w:t xml:space="preserve"> el proceso fue de una importante complejidad, su duración se extendió por varios años, durante los cuales los apoderados de las partes tuvieron que desplegar todos sus esfuerzos para convencer a los funcionarios de sus argumentos y, a la postre, fueron los que representaron a las demandadas, quienes lograron ese cometido, así que su participación fue de calidad y útil. </w:t>
      </w:r>
    </w:p>
    <w:p w14:paraId="60354C8D" w14:textId="77C6A512" w:rsidR="00682C43" w:rsidRPr="00136B0C" w:rsidRDefault="00682C43" w:rsidP="00136B0C">
      <w:pPr>
        <w:pStyle w:val="Textoindependiente"/>
        <w:spacing w:line="276" w:lineRule="auto"/>
        <w:ind w:firstLine="1701"/>
        <w:jc w:val="both"/>
        <w:rPr>
          <w:sz w:val="24"/>
          <w:szCs w:val="24"/>
        </w:rPr>
      </w:pPr>
    </w:p>
    <w:p w14:paraId="17B0285D" w14:textId="21FCB1B4" w:rsidR="00ED09B1" w:rsidRPr="00136B0C" w:rsidRDefault="00ED09B1" w:rsidP="00136B0C">
      <w:pPr>
        <w:spacing w:line="276" w:lineRule="auto"/>
        <w:ind w:firstLine="1701"/>
        <w:jc w:val="both"/>
        <w:rPr>
          <w:rFonts w:ascii="Gadugi" w:hAnsi="Gadugi"/>
          <w:sz w:val="24"/>
          <w:szCs w:val="24"/>
        </w:rPr>
      </w:pPr>
      <w:r w:rsidRPr="00136B0C">
        <w:rPr>
          <w:rFonts w:ascii="Gadugi" w:hAnsi="Gadugi"/>
          <w:sz w:val="24"/>
          <w:szCs w:val="24"/>
        </w:rPr>
        <w:t>De tiempo atrás tiene dicho la Corte Constitucional</w:t>
      </w:r>
      <w:r w:rsidRPr="00136B0C">
        <w:rPr>
          <w:rStyle w:val="Refdenotaalpie"/>
          <w:rFonts w:ascii="Gadugi" w:hAnsi="Gadugi"/>
          <w:sz w:val="24"/>
          <w:szCs w:val="24"/>
        </w:rPr>
        <w:footnoteReference w:id="11"/>
      </w:r>
      <w:r w:rsidRPr="00136B0C">
        <w:rPr>
          <w:rFonts w:ascii="Gadugi" w:hAnsi="Gadugi"/>
          <w:sz w:val="24"/>
          <w:szCs w:val="24"/>
        </w:rPr>
        <w:t xml:space="preserve"> que: </w:t>
      </w:r>
    </w:p>
    <w:p w14:paraId="0029186A" w14:textId="77777777" w:rsidR="001168E7" w:rsidRPr="00136B0C" w:rsidRDefault="001168E7" w:rsidP="00136B0C">
      <w:pPr>
        <w:pStyle w:val="Textoindependiente"/>
        <w:spacing w:line="276" w:lineRule="auto"/>
        <w:rPr>
          <w:sz w:val="24"/>
          <w:szCs w:val="24"/>
        </w:rPr>
      </w:pPr>
    </w:p>
    <w:p w14:paraId="439A50E8" w14:textId="77777777" w:rsidR="001168E7" w:rsidRPr="008C32FF" w:rsidRDefault="001168E7" w:rsidP="008C32FF">
      <w:pPr>
        <w:pStyle w:val="Sangradetindependiente"/>
        <w:ind w:left="426" w:right="418" w:firstLine="1134"/>
        <w:rPr>
          <w:rFonts w:ascii="Gadugi" w:hAnsi="Gadugi"/>
          <w:sz w:val="22"/>
          <w:szCs w:val="24"/>
        </w:rPr>
      </w:pPr>
      <w:r w:rsidRPr="008C32FF">
        <w:rPr>
          <w:rFonts w:ascii="Gadugi" w:hAnsi="Gadugi"/>
          <w:sz w:val="22"/>
          <w:szCs w:val="24"/>
        </w:rPr>
        <w:t xml:space="preserve">Las </w:t>
      </w:r>
      <w:r w:rsidRPr="008C32FF">
        <w:rPr>
          <w:rFonts w:ascii="Gadugi" w:hAnsi="Gadugi"/>
          <w:i/>
          <w:iCs/>
          <w:sz w:val="22"/>
          <w:szCs w:val="24"/>
        </w:rPr>
        <w:t>agencias en derecho</w:t>
      </w:r>
      <w:r w:rsidRPr="008C32FF">
        <w:rPr>
          <w:rFonts w:ascii="Gadugi" w:hAnsi="Gadugi"/>
          <w:sz w:val="22"/>
          <w:szCs w:val="24"/>
        </w:rPr>
        <w:t xml:space="preserve"> corresponden a los gastos por concepto de apoderamiento dentro del proceso, que el juez reconoce discrecionalmente a favor de la parte vencedora atendiendo a los criterios sentados en el artículo 366 del Código General del Proceso</w:t>
      </w:r>
      <w:r w:rsidRPr="008C32FF">
        <w:rPr>
          <w:rFonts w:ascii="Gadugi" w:hAnsi="Gadugi"/>
          <w:sz w:val="22"/>
          <w:szCs w:val="24"/>
          <w:vertAlign w:val="superscript"/>
        </w:rPr>
        <w:footnoteReference w:id="12"/>
      </w:r>
      <w:r w:rsidRPr="008C32FF">
        <w:rPr>
          <w:rFonts w:ascii="Gadugi" w:hAnsi="Gadugi"/>
          <w:sz w:val="22"/>
          <w:szCs w:val="24"/>
        </w:rPr>
        <w:t>, y que no necesariamente deben corresponder a los honorarios pagados por dicha parte a su abogado</w:t>
      </w:r>
      <w:r w:rsidRPr="008C32FF">
        <w:rPr>
          <w:rFonts w:ascii="Gadugi" w:hAnsi="Gadugi"/>
          <w:sz w:val="22"/>
          <w:szCs w:val="24"/>
          <w:vertAlign w:val="superscript"/>
        </w:rPr>
        <w:footnoteReference w:id="13"/>
      </w:r>
      <w:r w:rsidRPr="008C32FF">
        <w:rPr>
          <w:rFonts w:ascii="Gadugi" w:hAnsi="Gadugi"/>
          <w:sz w:val="22"/>
          <w:szCs w:val="24"/>
        </w:rPr>
        <w:t xml:space="preserve">.   </w:t>
      </w:r>
    </w:p>
    <w:p w14:paraId="121EA92E" w14:textId="77777777" w:rsidR="001168E7" w:rsidRPr="00136B0C" w:rsidRDefault="001168E7" w:rsidP="00136B0C">
      <w:pPr>
        <w:spacing w:line="276" w:lineRule="auto"/>
        <w:jc w:val="both"/>
        <w:rPr>
          <w:rFonts w:ascii="Gadugi" w:hAnsi="Gadugi"/>
          <w:sz w:val="24"/>
          <w:szCs w:val="24"/>
        </w:rPr>
      </w:pPr>
    </w:p>
    <w:p w14:paraId="3D4D03DB" w14:textId="557934BB" w:rsidR="001168E7" w:rsidRPr="00136B0C" w:rsidRDefault="00ED09B1" w:rsidP="00136B0C">
      <w:pPr>
        <w:pStyle w:val="Textoindependiente"/>
        <w:spacing w:line="276" w:lineRule="auto"/>
        <w:ind w:firstLine="1701"/>
        <w:rPr>
          <w:sz w:val="24"/>
          <w:szCs w:val="24"/>
        </w:rPr>
      </w:pPr>
      <w:r w:rsidRPr="00136B0C">
        <w:rPr>
          <w:sz w:val="24"/>
          <w:szCs w:val="24"/>
        </w:rPr>
        <w:t>En tanto que la Corte Suprema ha dicho</w:t>
      </w:r>
      <w:r w:rsidRPr="00136B0C">
        <w:rPr>
          <w:rStyle w:val="Refdenotaalpie"/>
          <w:sz w:val="24"/>
          <w:szCs w:val="24"/>
        </w:rPr>
        <w:footnoteReference w:id="14"/>
      </w:r>
      <w:r w:rsidRPr="00136B0C">
        <w:rPr>
          <w:sz w:val="24"/>
          <w:szCs w:val="24"/>
        </w:rPr>
        <w:t xml:space="preserve"> que: </w:t>
      </w:r>
    </w:p>
    <w:p w14:paraId="4E99C099" w14:textId="77777777" w:rsidR="001168E7" w:rsidRPr="00136B0C" w:rsidRDefault="001168E7" w:rsidP="00136B0C">
      <w:pPr>
        <w:pStyle w:val="Textoindependiente"/>
        <w:spacing w:line="276" w:lineRule="auto"/>
        <w:rPr>
          <w:sz w:val="24"/>
          <w:szCs w:val="24"/>
        </w:rPr>
      </w:pPr>
    </w:p>
    <w:p w14:paraId="19C1BCFD" w14:textId="77777777" w:rsidR="001168E7" w:rsidRPr="00136B0C" w:rsidRDefault="001168E7" w:rsidP="00136B0C">
      <w:pPr>
        <w:spacing w:after="0" w:line="276" w:lineRule="auto"/>
        <w:ind w:left="567" w:right="616" w:firstLine="1134"/>
        <w:jc w:val="both"/>
        <w:rPr>
          <w:rFonts w:ascii="Gadugi" w:hAnsi="Gadugi" w:cs="Arial"/>
          <w:sz w:val="24"/>
          <w:szCs w:val="24"/>
        </w:rPr>
      </w:pPr>
      <w:r w:rsidRPr="00136B0C">
        <w:rPr>
          <w:rFonts w:ascii="Gadugi" w:hAnsi="Gadugi" w:cs="Estrangelo Edessa"/>
          <w:sz w:val="24"/>
          <w:szCs w:val="24"/>
          <w:lang w:val="es-ES"/>
        </w:rPr>
        <w:t>No puede pasarse por alto, que l</w:t>
      </w:r>
      <w:r w:rsidRPr="00136B0C">
        <w:rPr>
          <w:rFonts w:ascii="Gadugi" w:hAnsi="Gadugi" w:cs="Arial"/>
          <w:sz w:val="24"/>
          <w:szCs w:val="24"/>
        </w:rPr>
        <w:t xml:space="preserve">as costas procesales </w:t>
      </w:r>
    </w:p>
    <w:p w14:paraId="387BF992" w14:textId="77777777" w:rsidR="001168E7" w:rsidRPr="00136B0C" w:rsidRDefault="001168E7" w:rsidP="00136B0C">
      <w:pPr>
        <w:spacing w:after="0" w:line="276" w:lineRule="auto"/>
        <w:ind w:left="567" w:right="616" w:firstLine="1134"/>
        <w:jc w:val="both"/>
        <w:rPr>
          <w:rFonts w:ascii="Gadugi" w:hAnsi="Gadugi" w:cs="Arial"/>
          <w:sz w:val="24"/>
          <w:szCs w:val="24"/>
        </w:rPr>
      </w:pPr>
    </w:p>
    <w:p w14:paraId="072230B5" w14:textId="77777777" w:rsidR="001168E7" w:rsidRPr="008C32FF" w:rsidRDefault="001168E7" w:rsidP="008C32FF">
      <w:pPr>
        <w:spacing w:after="0" w:line="240" w:lineRule="auto"/>
        <w:ind w:left="426" w:right="418" w:firstLine="1134"/>
        <w:jc w:val="both"/>
        <w:rPr>
          <w:rFonts w:ascii="Gadugi" w:eastAsia="Calibri" w:hAnsi="Gadugi"/>
          <w:szCs w:val="24"/>
        </w:rPr>
      </w:pPr>
      <w:r w:rsidRPr="008C32FF">
        <w:rPr>
          <w:rFonts w:ascii="Gadugi" w:hAnsi="Gadugi" w:cs="Arial"/>
          <w:i/>
          <w:szCs w:val="24"/>
        </w:rPr>
        <w:lastRenderedPageBreak/>
        <w:t xml:space="preserve">«(…) [s]e encuentran instituidas en favor de quien sale vencedor en el litigio, con el fin de </w:t>
      </w:r>
      <w:r w:rsidRPr="008C32FF">
        <w:rPr>
          <w:rFonts w:ascii="Gadugi" w:hAnsi="Gadugi" w:cs="Arial"/>
          <w:b/>
          <w:i/>
          <w:szCs w:val="24"/>
        </w:rPr>
        <w:t>compensar</w:t>
      </w:r>
      <w:r w:rsidRPr="008C32FF">
        <w:rPr>
          <w:rFonts w:ascii="Gadugi" w:hAnsi="Gadugi" w:cs="Arial"/>
          <w:i/>
          <w:szCs w:val="24"/>
        </w:rPr>
        <w:t xml:space="preserve"> los gastos en que éste incurrió para hacer valer sus reclamos, lo que amerita que se incorporen las agencias en derecho, como una partida </w:t>
      </w:r>
      <w:r w:rsidRPr="008C32FF">
        <w:rPr>
          <w:rFonts w:ascii="Gadugi" w:hAnsi="Gadugi" w:cs="Arial"/>
          <w:b/>
          <w:i/>
          <w:szCs w:val="24"/>
        </w:rPr>
        <w:t>representativa</w:t>
      </w:r>
      <w:r w:rsidRPr="008C32FF">
        <w:rPr>
          <w:rFonts w:ascii="Gadugi" w:hAnsi="Gadugi" w:cs="Arial"/>
          <w:i/>
          <w:szCs w:val="24"/>
        </w:rPr>
        <w:t xml:space="preserve"> del pago de honorarios al profesional que se contrató para ejercer vocería, en virtud del derecho de postulación (…)» </w:t>
      </w:r>
      <w:r w:rsidRPr="008C32FF">
        <w:rPr>
          <w:rFonts w:ascii="Gadugi" w:hAnsi="Gadugi" w:cs="Arial"/>
          <w:szCs w:val="24"/>
        </w:rPr>
        <w:t>(CSJ AC, 2 dic. 2013, rad 2007-00019-01, reiterado en AC5073-2015).</w:t>
      </w:r>
    </w:p>
    <w:p w14:paraId="45B33AFD" w14:textId="77777777" w:rsidR="001168E7" w:rsidRPr="00136B0C" w:rsidRDefault="001168E7" w:rsidP="00136B0C">
      <w:pPr>
        <w:pStyle w:val="Textoindependiente"/>
        <w:spacing w:line="276" w:lineRule="auto"/>
        <w:rPr>
          <w:sz w:val="24"/>
          <w:szCs w:val="24"/>
        </w:rPr>
      </w:pPr>
    </w:p>
    <w:p w14:paraId="3CEA96A2" w14:textId="03C9BA24" w:rsidR="001168E7" w:rsidRPr="00136B0C" w:rsidRDefault="001168E7" w:rsidP="00136B0C">
      <w:pPr>
        <w:pStyle w:val="Textoindependiente"/>
        <w:numPr>
          <w:ilvl w:val="1"/>
          <w:numId w:val="8"/>
        </w:numPr>
        <w:tabs>
          <w:tab w:val="left" w:pos="2410"/>
        </w:tabs>
        <w:spacing w:line="276" w:lineRule="auto"/>
        <w:ind w:left="0" w:right="49" w:firstLine="1701"/>
        <w:jc w:val="both"/>
        <w:rPr>
          <w:rFonts w:cs="Arial"/>
          <w:sz w:val="24"/>
          <w:szCs w:val="24"/>
        </w:rPr>
      </w:pPr>
      <w:r w:rsidRPr="00136B0C">
        <w:rPr>
          <w:sz w:val="24"/>
          <w:szCs w:val="24"/>
        </w:rPr>
        <w:t xml:space="preserve">En cuanto a la segunda instancia, también se tiene sentado que las costas se causan independientemente de la participación activa del no recurrente, pues en todo caso, se genera para él la obligación de estar atento al trámite desplegado por el superior, lo que se da en denominar la labor de vigilancia, sobre la que recordó la jurisprudencia que: </w:t>
      </w:r>
    </w:p>
    <w:p w14:paraId="5AA37AA0" w14:textId="77777777" w:rsidR="00911CD3" w:rsidRPr="00136B0C" w:rsidRDefault="00911CD3" w:rsidP="00136B0C">
      <w:pPr>
        <w:pStyle w:val="Textoindependiente"/>
        <w:tabs>
          <w:tab w:val="left" w:pos="2410"/>
        </w:tabs>
        <w:spacing w:line="276" w:lineRule="auto"/>
        <w:ind w:left="567" w:right="616" w:firstLine="1134"/>
        <w:jc w:val="both"/>
        <w:rPr>
          <w:sz w:val="24"/>
          <w:szCs w:val="24"/>
        </w:rPr>
      </w:pPr>
    </w:p>
    <w:p w14:paraId="6E7C6F8E" w14:textId="5DCE9E80" w:rsidR="001168E7" w:rsidRPr="008C32FF" w:rsidRDefault="001168E7" w:rsidP="008C32FF">
      <w:pPr>
        <w:pStyle w:val="Textoindependiente"/>
        <w:tabs>
          <w:tab w:val="left" w:pos="2410"/>
        </w:tabs>
        <w:ind w:left="426" w:right="418" w:firstLine="1134"/>
        <w:jc w:val="both"/>
        <w:rPr>
          <w:rFonts w:cs="Arial"/>
          <w:sz w:val="22"/>
          <w:szCs w:val="24"/>
        </w:rPr>
      </w:pPr>
      <w:r w:rsidRPr="008C32FF">
        <w:rPr>
          <w:sz w:val="22"/>
          <w:szCs w:val="24"/>
        </w:rPr>
        <w:t>“</w:t>
      </w:r>
      <w:r w:rsidRPr="008C32FF">
        <w:rPr>
          <w:rFonts w:cs="Arial"/>
          <w:sz w:val="22"/>
          <w:szCs w:val="24"/>
        </w:rPr>
        <w:t>La Corporación en asunto similar expuso que, en relación con las agencias en derecho, se tuvieron en cuenta</w:t>
      </w:r>
      <w:r w:rsidRPr="008C32FF">
        <w:rPr>
          <w:rFonts w:cs="Arial"/>
          <w:i/>
          <w:sz w:val="22"/>
          <w:szCs w:val="24"/>
        </w:rPr>
        <w:t xml:space="preserve"> “los lineamientos establecidos por la ley para determinar el monto de las mismas, como son la naturaleza, la calidad y el tiempo invertido por la parte beneficiada con la condena. Baste al efecto precisar, al menos, que la duración del trámite del recurso, el que se interpuso desde el 7 de julio de 2009 y se concluyó a través de proveído de 21 de octubre de 2010, lapso durante el cual los contradictores tuvieron que examinar y controlar sus incidencias, las que, tal como lo tiene definido la jurisprudencia de la Sala, auto 252 de 18 de noviembre de 2004, expediente 1219-01 que ‘la suma señalada en favor del actor por concepto de agencias en derecho, comporta para él una justa retribución por el lapso de tiempo en que hubo de estar pendiente de los resultados del recurso, labor esta que, </w:t>
      </w:r>
      <w:proofErr w:type="spellStart"/>
      <w:r w:rsidRPr="008C32FF">
        <w:rPr>
          <w:rFonts w:cs="Arial"/>
          <w:i/>
          <w:sz w:val="22"/>
          <w:szCs w:val="24"/>
        </w:rPr>
        <w:t>itérase</w:t>
      </w:r>
      <w:proofErr w:type="spellEnd"/>
      <w:r w:rsidRPr="008C32FF">
        <w:rPr>
          <w:rFonts w:cs="Arial"/>
          <w:i/>
          <w:sz w:val="22"/>
          <w:szCs w:val="24"/>
        </w:rPr>
        <w:t xml:space="preserve">, no se manifiesta en actos procesales concretos, pero sí justifica su remuneración (Autos de 19 de agosto de 1993, </w:t>
      </w:r>
      <w:proofErr w:type="spellStart"/>
      <w:r w:rsidRPr="008C32FF">
        <w:rPr>
          <w:rFonts w:cs="Arial"/>
          <w:i/>
          <w:sz w:val="22"/>
          <w:szCs w:val="24"/>
        </w:rPr>
        <w:t>exp</w:t>
      </w:r>
      <w:proofErr w:type="spellEnd"/>
      <w:r w:rsidRPr="008C32FF">
        <w:rPr>
          <w:rFonts w:cs="Arial"/>
          <w:i/>
          <w:sz w:val="22"/>
          <w:szCs w:val="24"/>
        </w:rPr>
        <w:t xml:space="preserve">. 4217 [G.J. t. CCXXV, pág. 362], 25 de agosto de 1998, </w:t>
      </w:r>
      <w:proofErr w:type="spellStart"/>
      <w:r w:rsidRPr="008C32FF">
        <w:rPr>
          <w:rFonts w:cs="Arial"/>
          <w:i/>
          <w:sz w:val="22"/>
          <w:szCs w:val="24"/>
        </w:rPr>
        <w:t>exp</w:t>
      </w:r>
      <w:proofErr w:type="spellEnd"/>
      <w:r w:rsidRPr="008C32FF">
        <w:rPr>
          <w:rFonts w:cs="Arial"/>
          <w:i/>
          <w:sz w:val="22"/>
          <w:szCs w:val="24"/>
        </w:rPr>
        <w:t>. 4724, y 29 de enero y 5 de diciembre de 2002, expedientes 7050-98 y 7538, entre otros)’, esto es, que se pone de manifiesto de modo no objetable que no solo las intervenciones específicas del abogado sino la simple gestión de cuidado y vigilancia durante más de un año como acá ocurrió sirve de basamento y apoyo a la remuneración que se ha reconocido</w:t>
      </w:r>
      <w:r w:rsidRPr="008C32FF">
        <w:rPr>
          <w:rFonts w:cs="Arial"/>
          <w:sz w:val="22"/>
          <w:szCs w:val="24"/>
        </w:rPr>
        <w:t xml:space="preserve"> </w:t>
      </w:r>
      <w:r w:rsidRPr="008C32FF">
        <w:rPr>
          <w:rFonts w:cs="Arial"/>
          <w:i/>
          <w:sz w:val="22"/>
          <w:szCs w:val="24"/>
        </w:rPr>
        <w:t>(…)</w:t>
      </w:r>
      <w:r w:rsidRPr="008C32FF">
        <w:rPr>
          <w:rStyle w:val="Refdenotaalpie"/>
          <w:rFonts w:cs="Arial"/>
          <w:sz w:val="22"/>
          <w:szCs w:val="24"/>
        </w:rPr>
        <w:footnoteReference w:id="15"/>
      </w:r>
    </w:p>
    <w:p w14:paraId="4F16BC5E" w14:textId="36454880" w:rsidR="00961038" w:rsidRPr="00136B0C" w:rsidRDefault="00961038" w:rsidP="00136B0C">
      <w:pPr>
        <w:pStyle w:val="Textoindependiente"/>
        <w:spacing w:line="276" w:lineRule="auto"/>
        <w:rPr>
          <w:color w:val="FF0000"/>
          <w:sz w:val="24"/>
          <w:szCs w:val="24"/>
        </w:rPr>
      </w:pPr>
    </w:p>
    <w:p w14:paraId="4DFF3255" w14:textId="47BAB742" w:rsidR="00C5222C" w:rsidRPr="00136B0C" w:rsidRDefault="00ED09B1" w:rsidP="00136B0C">
      <w:pPr>
        <w:pStyle w:val="Textoindependiente"/>
        <w:numPr>
          <w:ilvl w:val="1"/>
          <w:numId w:val="8"/>
        </w:numPr>
        <w:tabs>
          <w:tab w:val="left" w:pos="2410"/>
        </w:tabs>
        <w:spacing w:line="276" w:lineRule="auto"/>
        <w:ind w:left="0" w:firstLine="1701"/>
        <w:jc w:val="both"/>
        <w:rPr>
          <w:sz w:val="24"/>
          <w:szCs w:val="24"/>
        </w:rPr>
      </w:pPr>
      <w:r w:rsidRPr="00136B0C">
        <w:rPr>
          <w:sz w:val="24"/>
          <w:szCs w:val="24"/>
        </w:rPr>
        <w:t xml:space="preserve">No se cumple el cometido de la norma, entonces, con solo señalar que el porcentaje fijado está dentro de los parámetros de la norma, que no fija un tope mínimo, sino un máximo, porque, aunque la discreción del juez se impone, ella debe mirar, precisamente a que se cumpla ese cometido de retribuir justamente lo que el litigante favorecido con la condena en costas ha debido invertir en su defensa, atendiendo esos claros derroteros que, </w:t>
      </w:r>
      <w:r w:rsidR="00911CD3" w:rsidRPr="00136B0C">
        <w:rPr>
          <w:sz w:val="24"/>
          <w:szCs w:val="24"/>
        </w:rPr>
        <w:t xml:space="preserve">esto es, a fuerza de insistir, la naturaleza del proceso, la gestión desplegada, la duración del trámite. </w:t>
      </w:r>
    </w:p>
    <w:p w14:paraId="3A30A4AE" w14:textId="772A7176" w:rsidR="00911CD3" w:rsidRPr="00136B0C" w:rsidRDefault="00911CD3" w:rsidP="00136B0C">
      <w:pPr>
        <w:pStyle w:val="Textoindependiente"/>
        <w:spacing w:line="276" w:lineRule="auto"/>
        <w:jc w:val="both"/>
        <w:rPr>
          <w:sz w:val="24"/>
          <w:szCs w:val="24"/>
        </w:rPr>
      </w:pPr>
    </w:p>
    <w:p w14:paraId="69565678" w14:textId="77777777" w:rsidR="00911CD3" w:rsidRPr="00136B0C" w:rsidRDefault="00911CD3" w:rsidP="00136B0C">
      <w:pPr>
        <w:pStyle w:val="Textoindependiente"/>
        <w:spacing w:line="276" w:lineRule="auto"/>
        <w:ind w:firstLine="1701"/>
        <w:jc w:val="both"/>
        <w:rPr>
          <w:sz w:val="24"/>
          <w:szCs w:val="24"/>
        </w:rPr>
      </w:pPr>
      <w:r w:rsidRPr="00136B0C">
        <w:rPr>
          <w:sz w:val="24"/>
          <w:szCs w:val="24"/>
        </w:rPr>
        <w:t xml:space="preserve">Situaciones todas que convergen aquí. Como se señaló en primera instancia, se discutía una figura que causa polémica, como es la coligación de contratos, el incumplimiento del negocio jurídico por parte de las demandadas, que no logró acreditarse, todo lo cual requirió del análisis de un considerable acopio </w:t>
      </w:r>
      <w:r w:rsidRPr="00136B0C">
        <w:rPr>
          <w:sz w:val="24"/>
          <w:szCs w:val="24"/>
        </w:rPr>
        <w:lastRenderedPageBreak/>
        <w:t>probatorio; las instancias tardaron más de siete años; durante ese lapso la participación de los apoderados judiciales de las partes fue activa, en primera y segunda instancia; los alegatos de quienes representan a las demandadas, fueron útiles, en la medida en que salieron avante, prueba de lo cual es que se negaron todas las pretensiones enarboladas.</w:t>
      </w:r>
    </w:p>
    <w:p w14:paraId="2B497508" w14:textId="77777777" w:rsidR="00911CD3" w:rsidRPr="00136B0C" w:rsidRDefault="00911CD3" w:rsidP="00136B0C">
      <w:pPr>
        <w:pStyle w:val="Textoindependiente"/>
        <w:spacing w:line="276" w:lineRule="auto"/>
        <w:ind w:firstLine="1701"/>
        <w:jc w:val="both"/>
        <w:rPr>
          <w:sz w:val="24"/>
          <w:szCs w:val="24"/>
        </w:rPr>
      </w:pPr>
    </w:p>
    <w:p w14:paraId="0D02AADB" w14:textId="70337CF2" w:rsidR="00911CD3" w:rsidRPr="00136B0C" w:rsidRDefault="00911CD3" w:rsidP="00136B0C">
      <w:pPr>
        <w:pStyle w:val="Textoindependiente"/>
        <w:numPr>
          <w:ilvl w:val="1"/>
          <w:numId w:val="8"/>
        </w:numPr>
        <w:tabs>
          <w:tab w:val="left" w:pos="1985"/>
          <w:tab w:val="left" w:pos="2410"/>
        </w:tabs>
        <w:spacing w:line="276" w:lineRule="auto"/>
        <w:ind w:left="0" w:firstLine="1701"/>
        <w:jc w:val="both"/>
        <w:rPr>
          <w:sz w:val="24"/>
          <w:szCs w:val="24"/>
        </w:rPr>
      </w:pPr>
      <w:r w:rsidRPr="00136B0C">
        <w:rPr>
          <w:sz w:val="24"/>
          <w:szCs w:val="24"/>
        </w:rPr>
        <w:t>Ahora, es cierto que la norma prevé que la tarifa debe ser inversamente proporcional al valor de las pretensiones, pero ello no supone, bajo ninguna circunstancia, desconocer la finalidad última de las agencias en derecho, que es</w:t>
      </w:r>
      <w:r w:rsidR="00955AB9" w:rsidRPr="00136B0C">
        <w:rPr>
          <w:sz w:val="24"/>
          <w:szCs w:val="24"/>
        </w:rPr>
        <w:t xml:space="preserve">, como se señaló, </w:t>
      </w:r>
      <w:r w:rsidRPr="00136B0C">
        <w:rPr>
          <w:sz w:val="24"/>
          <w:szCs w:val="24"/>
        </w:rPr>
        <w:t xml:space="preserve">la de retribuirle a la parte misma -no a los apoderados como se insinúa en uno de los recursos- aquello que, a ojos del Estado, ha debido invertir en su defensa. </w:t>
      </w:r>
    </w:p>
    <w:p w14:paraId="18B268AA" w14:textId="4F0C1422" w:rsidR="00955AB9" w:rsidRPr="00136B0C" w:rsidRDefault="00955AB9" w:rsidP="00136B0C">
      <w:pPr>
        <w:pStyle w:val="Textoindependiente"/>
        <w:spacing w:line="276" w:lineRule="auto"/>
        <w:ind w:left="360"/>
        <w:jc w:val="both"/>
        <w:rPr>
          <w:sz w:val="24"/>
          <w:szCs w:val="24"/>
        </w:rPr>
      </w:pPr>
    </w:p>
    <w:p w14:paraId="1D6D2D34" w14:textId="20C57EA6" w:rsidR="00955AB9" w:rsidRPr="00136B0C" w:rsidRDefault="00955AB9" w:rsidP="00136B0C">
      <w:pPr>
        <w:pStyle w:val="Textoindependiente"/>
        <w:spacing w:line="276" w:lineRule="auto"/>
        <w:ind w:firstLine="1701"/>
        <w:jc w:val="both"/>
        <w:rPr>
          <w:sz w:val="24"/>
          <w:szCs w:val="24"/>
        </w:rPr>
      </w:pPr>
      <w:r w:rsidRPr="00136B0C">
        <w:rPr>
          <w:sz w:val="24"/>
          <w:szCs w:val="24"/>
        </w:rPr>
        <w:t>Nada justifica, en realidad, que de un porcentaje máximo permitido del 20% en primera instancia, solo se fije un 0,2 por ciento; ni siquiera el 1%; como tampoco, que al 5% de la segunda instancia, tan solo se llegue a un 0,046%, por más que la cuantía sobre la que edifican su protesta las demandadas, sea de $2.700’000.000</w:t>
      </w:r>
      <w:r w:rsidR="00136B0C">
        <w:rPr>
          <w:sz w:val="24"/>
          <w:szCs w:val="24"/>
        </w:rPr>
        <w:t>,00</w:t>
      </w:r>
      <w:r w:rsidRPr="00136B0C">
        <w:rPr>
          <w:sz w:val="24"/>
          <w:szCs w:val="24"/>
        </w:rPr>
        <w:t xml:space="preserve">. </w:t>
      </w:r>
    </w:p>
    <w:p w14:paraId="7146B9BC" w14:textId="415052F7" w:rsidR="00955AB9" w:rsidRPr="00136B0C" w:rsidRDefault="00955AB9" w:rsidP="00136B0C">
      <w:pPr>
        <w:pStyle w:val="Textoindependiente"/>
        <w:spacing w:line="276" w:lineRule="auto"/>
        <w:ind w:firstLine="1701"/>
        <w:jc w:val="both"/>
        <w:rPr>
          <w:sz w:val="24"/>
          <w:szCs w:val="24"/>
        </w:rPr>
      </w:pPr>
    </w:p>
    <w:p w14:paraId="020E4593" w14:textId="1640F3C1" w:rsidR="007634A9" w:rsidRPr="00136B0C" w:rsidRDefault="007634A9" w:rsidP="00136B0C">
      <w:pPr>
        <w:pStyle w:val="Textoindependiente"/>
        <w:numPr>
          <w:ilvl w:val="0"/>
          <w:numId w:val="8"/>
        </w:numPr>
        <w:spacing w:line="276" w:lineRule="auto"/>
        <w:ind w:left="0" w:firstLine="1701"/>
        <w:jc w:val="both"/>
        <w:rPr>
          <w:sz w:val="24"/>
          <w:szCs w:val="24"/>
        </w:rPr>
      </w:pPr>
      <w:r w:rsidRPr="00136B0C">
        <w:rPr>
          <w:sz w:val="24"/>
          <w:szCs w:val="24"/>
        </w:rPr>
        <w:t>No escapa a la Sala</w:t>
      </w:r>
      <w:r w:rsidR="004F3497" w:rsidRPr="00136B0C">
        <w:rPr>
          <w:sz w:val="24"/>
          <w:szCs w:val="24"/>
        </w:rPr>
        <w:t xml:space="preserve">, además, </w:t>
      </w:r>
      <w:r w:rsidRPr="00136B0C">
        <w:rPr>
          <w:sz w:val="24"/>
          <w:szCs w:val="24"/>
        </w:rPr>
        <w:t xml:space="preserve">la protesta elevada por la Constructora Nacional de Obras Civiles SAS, en el sentido de que el juzgado no definió específicamente las agencias en derecho para cada uno de los favorecidos. </w:t>
      </w:r>
    </w:p>
    <w:p w14:paraId="6C2496A4" w14:textId="77777777" w:rsidR="007634A9" w:rsidRPr="00136B0C" w:rsidRDefault="007634A9" w:rsidP="00136B0C">
      <w:pPr>
        <w:pStyle w:val="Textoindependiente"/>
        <w:spacing w:line="276" w:lineRule="auto"/>
        <w:ind w:firstLine="1701"/>
        <w:jc w:val="both"/>
        <w:rPr>
          <w:sz w:val="24"/>
          <w:szCs w:val="24"/>
        </w:rPr>
      </w:pPr>
    </w:p>
    <w:p w14:paraId="69210C2C" w14:textId="019D893D" w:rsidR="004F3497" w:rsidRPr="00136B0C" w:rsidRDefault="004F3497" w:rsidP="00136B0C">
      <w:pPr>
        <w:pStyle w:val="Textoindependiente"/>
        <w:spacing w:line="276" w:lineRule="auto"/>
        <w:ind w:firstLine="1701"/>
        <w:jc w:val="both"/>
        <w:rPr>
          <w:sz w:val="24"/>
          <w:szCs w:val="24"/>
        </w:rPr>
      </w:pPr>
      <w:r w:rsidRPr="00136B0C">
        <w:rPr>
          <w:sz w:val="24"/>
          <w:szCs w:val="24"/>
        </w:rPr>
        <w:t xml:space="preserve">En la sentencia se condenó en costas </w:t>
      </w:r>
      <w:r w:rsidRPr="00136B0C">
        <w:rPr>
          <w:i/>
          <w:sz w:val="24"/>
          <w:szCs w:val="24"/>
        </w:rPr>
        <w:t>“</w:t>
      </w:r>
      <w:r w:rsidRPr="00110CC5">
        <w:rPr>
          <w:i/>
          <w:sz w:val="22"/>
          <w:szCs w:val="24"/>
        </w:rPr>
        <w:t>…</w:t>
      </w:r>
      <w:r w:rsidR="008C32FF" w:rsidRPr="00110CC5">
        <w:rPr>
          <w:i/>
          <w:sz w:val="22"/>
          <w:szCs w:val="24"/>
        </w:rPr>
        <w:t xml:space="preserve"> </w:t>
      </w:r>
      <w:r w:rsidRPr="00110CC5">
        <w:rPr>
          <w:i/>
          <w:sz w:val="22"/>
          <w:szCs w:val="24"/>
        </w:rPr>
        <w:t xml:space="preserve"> las demandantes en favor de las demandadas</w:t>
      </w:r>
      <w:r w:rsidRPr="00136B0C">
        <w:rPr>
          <w:i/>
          <w:sz w:val="24"/>
          <w:szCs w:val="24"/>
        </w:rPr>
        <w:t>”</w:t>
      </w:r>
      <w:r w:rsidRPr="00136B0C">
        <w:rPr>
          <w:sz w:val="24"/>
          <w:szCs w:val="24"/>
        </w:rPr>
        <w:t xml:space="preserve">, sin más discriminación. </w:t>
      </w:r>
    </w:p>
    <w:p w14:paraId="27EBB472" w14:textId="187646E5" w:rsidR="004F3497" w:rsidRPr="00136B0C" w:rsidRDefault="004F3497" w:rsidP="00136B0C">
      <w:pPr>
        <w:pStyle w:val="Textoindependiente"/>
        <w:spacing w:line="276" w:lineRule="auto"/>
        <w:ind w:firstLine="1701"/>
        <w:jc w:val="both"/>
        <w:rPr>
          <w:sz w:val="24"/>
          <w:szCs w:val="24"/>
        </w:rPr>
      </w:pPr>
    </w:p>
    <w:p w14:paraId="0C8A6BA1" w14:textId="49C8E3B0" w:rsidR="004F3497" w:rsidRPr="00136B0C" w:rsidRDefault="004F3497" w:rsidP="00136B0C">
      <w:pPr>
        <w:pStyle w:val="Textoindependiente"/>
        <w:spacing w:line="276" w:lineRule="auto"/>
        <w:ind w:firstLine="1701"/>
        <w:jc w:val="both"/>
        <w:rPr>
          <w:sz w:val="24"/>
          <w:szCs w:val="24"/>
        </w:rPr>
      </w:pPr>
      <w:r w:rsidRPr="00136B0C">
        <w:rPr>
          <w:sz w:val="24"/>
          <w:szCs w:val="24"/>
        </w:rPr>
        <w:t xml:space="preserve">Como nada se dijo en torno a quienes deben pagar las costas, en los términos del numeral 6 del artículo 365 del CGP, la imposición que se haga debe entenderse distribuida por partes iguales. </w:t>
      </w:r>
    </w:p>
    <w:p w14:paraId="45C6394C" w14:textId="6090EEA0" w:rsidR="004F3497" w:rsidRPr="00136B0C" w:rsidRDefault="004F3497" w:rsidP="00136B0C">
      <w:pPr>
        <w:pStyle w:val="Textoindependiente"/>
        <w:spacing w:line="276" w:lineRule="auto"/>
        <w:ind w:firstLine="1701"/>
        <w:jc w:val="both"/>
        <w:rPr>
          <w:sz w:val="24"/>
          <w:szCs w:val="24"/>
        </w:rPr>
      </w:pPr>
    </w:p>
    <w:p w14:paraId="45EA2EE3" w14:textId="77777777" w:rsidR="008F3667" w:rsidRPr="00136B0C" w:rsidRDefault="008F3667" w:rsidP="00136B0C">
      <w:pPr>
        <w:pStyle w:val="Textoindependiente"/>
        <w:spacing w:line="276" w:lineRule="auto"/>
        <w:ind w:firstLine="1701"/>
        <w:jc w:val="both"/>
        <w:rPr>
          <w:sz w:val="24"/>
          <w:szCs w:val="24"/>
        </w:rPr>
      </w:pPr>
      <w:r w:rsidRPr="00136B0C">
        <w:rPr>
          <w:sz w:val="24"/>
          <w:szCs w:val="24"/>
        </w:rPr>
        <w:t xml:space="preserve">Y en cuanto a los favorecidos, también debe entenderse, ya que el juzgado no dispuso nada diferente, que la condena se ha de dividir por igual entre los beneficiados, dado que, como atrás quedó señalado, dos momentos distinguen el trámite de las costas: la imposición, que es propia de la sentencia (o del auto, según sea el caso), que debe ser atacada por vía de la aclaración o la complementación, si es que el proveído no fue claro en ese sentido, o si omitió indicar quién las pagaría, o bien por medio de los ordinarios recursos de reposición y apelación, si este último fuera pertinente, como en este caso. Y la otra fase es la de la liquidación, que es la que ahora ocupa la atención en el proceso, y en la cual solo puede discutirse el monto de las agencias en derecho. </w:t>
      </w:r>
    </w:p>
    <w:p w14:paraId="0A0CCFD7" w14:textId="77777777" w:rsidR="008F3667" w:rsidRPr="00136B0C" w:rsidRDefault="008F3667" w:rsidP="00136B0C">
      <w:pPr>
        <w:pStyle w:val="Textoindependiente"/>
        <w:spacing w:line="276" w:lineRule="auto"/>
        <w:ind w:firstLine="1701"/>
        <w:jc w:val="both"/>
        <w:rPr>
          <w:sz w:val="24"/>
          <w:szCs w:val="24"/>
        </w:rPr>
      </w:pPr>
    </w:p>
    <w:p w14:paraId="49415D4A" w14:textId="5CCF4E30" w:rsidR="004F3497" w:rsidRPr="00136B0C" w:rsidRDefault="008F3667" w:rsidP="00136B0C">
      <w:pPr>
        <w:pStyle w:val="Textoindependiente"/>
        <w:spacing w:line="276" w:lineRule="auto"/>
        <w:ind w:firstLine="1701"/>
        <w:jc w:val="both"/>
        <w:rPr>
          <w:sz w:val="24"/>
          <w:szCs w:val="24"/>
        </w:rPr>
      </w:pPr>
      <w:r w:rsidRPr="00136B0C">
        <w:rPr>
          <w:sz w:val="24"/>
          <w:szCs w:val="24"/>
        </w:rPr>
        <w:t xml:space="preserve">Como es fácil ver en el expediente, ninguna de las demandadas </w:t>
      </w:r>
      <w:r w:rsidRPr="00136B0C">
        <w:rPr>
          <w:sz w:val="24"/>
          <w:szCs w:val="24"/>
        </w:rPr>
        <w:lastRenderedPageBreak/>
        <w:t xml:space="preserve">protestó por la forma genérica en que el juzgado impuso las costas a cargo de las demandantes y a favor de las demandadas, sin otra discriminación, con lo cual, ese aspecto de la providencia debe entenderse clausurado. </w:t>
      </w:r>
    </w:p>
    <w:p w14:paraId="11C70C10" w14:textId="21119578" w:rsidR="00394134" w:rsidRPr="00136B0C" w:rsidRDefault="00394134" w:rsidP="00136B0C">
      <w:pPr>
        <w:pStyle w:val="Textoindependiente"/>
        <w:spacing w:line="276" w:lineRule="auto"/>
        <w:jc w:val="both"/>
        <w:rPr>
          <w:sz w:val="24"/>
          <w:szCs w:val="24"/>
        </w:rPr>
      </w:pPr>
      <w:bookmarkStart w:id="4" w:name="_GoBack"/>
      <w:bookmarkEnd w:id="4"/>
    </w:p>
    <w:p w14:paraId="35A9FD0F" w14:textId="4D5BB335" w:rsidR="00394134" w:rsidRPr="00136B0C" w:rsidRDefault="008F3667" w:rsidP="00136B0C">
      <w:pPr>
        <w:pStyle w:val="Textoindependiente"/>
        <w:spacing w:line="276" w:lineRule="auto"/>
        <w:ind w:firstLine="1701"/>
        <w:jc w:val="both"/>
        <w:rPr>
          <w:rFonts w:cs="Arial"/>
          <w:sz w:val="24"/>
          <w:szCs w:val="24"/>
        </w:rPr>
      </w:pPr>
      <w:r w:rsidRPr="00136B0C">
        <w:rPr>
          <w:sz w:val="24"/>
          <w:szCs w:val="24"/>
        </w:rPr>
        <w:t xml:space="preserve"> Esta situación no ha sido ajena a la </w:t>
      </w:r>
      <w:r w:rsidR="00902F13" w:rsidRPr="00136B0C">
        <w:rPr>
          <w:sz w:val="24"/>
          <w:szCs w:val="24"/>
        </w:rPr>
        <w:t xml:space="preserve">Sala de Casación Civil de la Corte, que en el auto AC2094-2017, a una objeción de costas, porque no se fijó por separado lo que a cada beneficiario correspondía, respondió que: </w:t>
      </w:r>
    </w:p>
    <w:p w14:paraId="62851E89" w14:textId="77777777" w:rsidR="00902F13" w:rsidRPr="00136B0C" w:rsidRDefault="00902F13" w:rsidP="00136B0C">
      <w:pPr>
        <w:spacing w:after="0" w:line="276" w:lineRule="auto"/>
        <w:ind w:left="567" w:right="616" w:firstLine="1134"/>
        <w:jc w:val="both"/>
        <w:rPr>
          <w:rFonts w:ascii="Gadugi" w:hAnsi="Gadugi" w:cs="Arial"/>
          <w:sz w:val="24"/>
          <w:szCs w:val="24"/>
        </w:rPr>
      </w:pPr>
    </w:p>
    <w:p w14:paraId="1076DA7C" w14:textId="1035C930" w:rsidR="00394134" w:rsidRPr="00110CC5" w:rsidRDefault="00394134" w:rsidP="00110CC5">
      <w:pPr>
        <w:spacing w:after="0" w:line="240" w:lineRule="auto"/>
        <w:ind w:left="426" w:right="418" w:firstLine="1134"/>
        <w:jc w:val="both"/>
        <w:rPr>
          <w:rFonts w:ascii="Gadugi" w:hAnsi="Gadugi" w:cs="Arial"/>
          <w:szCs w:val="24"/>
        </w:rPr>
      </w:pPr>
      <w:r w:rsidRPr="00110CC5">
        <w:rPr>
          <w:rFonts w:ascii="Gadugi" w:hAnsi="Gadugi" w:cs="Arial"/>
          <w:szCs w:val="24"/>
        </w:rPr>
        <w:t xml:space="preserve">3. La objeción de </w:t>
      </w:r>
      <w:r w:rsidR="00DB1323" w:rsidRPr="00110CC5">
        <w:rPr>
          <w:rFonts w:ascii="Gadugi" w:hAnsi="Gadugi" w:cs="Arial"/>
          <w:szCs w:val="24"/>
        </w:rPr>
        <w:t>…</w:t>
      </w:r>
      <w:r w:rsidRPr="00110CC5">
        <w:rPr>
          <w:rFonts w:ascii="Gadugi" w:hAnsi="Gadugi" w:cs="Arial"/>
          <w:szCs w:val="24"/>
        </w:rPr>
        <w:t xml:space="preserve"> a la liquidación de las costas tiene que ver con la manera como se practicó, en cuanto omitió distribuir las agencias en derecho fijadas en la sentencia de la Corte, por lo que le asiste la razón a la parte actora en cuanto pone de presente que su cuantía no es materia de reproche.</w:t>
      </w:r>
    </w:p>
    <w:p w14:paraId="3AA87534" w14:textId="77777777" w:rsidR="00394134" w:rsidRPr="00110CC5" w:rsidRDefault="00394134" w:rsidP="00110CC5">
      <w:pPr>
        <w:spacing w:after="0" w:line="240" w:lineRule="auto"/>
        <w:ind w:left="426" w:right="418" w:firstLine="1134"/>
        <w:jc w:val="both"/>
        <w:rPr>
          <w:rFonts w:ascii="Gadugi" w:hAnsi="Gadugi" w:cs="Arial"/>
          <w:szCs w:val="24"/>
        </w:rPr>
      </w:pPr>
    </w:p>
    <w:p w14:paraId="6BA52188" w14:textId="77777777" w:rsidR="00394134" w:rsidRPr="00110CC5" w:rsidRDefault="00394134" w:rsidP="00110CC5">
      <w:pPr>
        <w:spacing w:after="0" w:line="240" w:lineRule="auto"/>
        <w:ind w:left="426" w:right="418" w:firstLine="1134"/>
        <w:jc w:val="both"/>
        <w:rPr>
          <w:rFonts w:ascii="Gadugi" w:hAnsi="Gadugi" w:cs="Arial"/>
          <w:i/>
          <w:color w:val="4B4949"/>
          <w:szCs w:val="24"/>
        </w:rPr>
      </w:pPr>
      <w:r w:rsidRPr="00110CC5">
        <w:rPr>
          <w:rFonts w:ascii="Gadugi" w:hAnsi="Gadugi" w:cs="Arial"/>
          <w:szCs w:val="24"/>
        </w:rPr>
        <w:t xml:space="preserve">4. El artículo 392 </w:t>
      </w:r>
      <w:r w:rsidRPr="00110CC5">
        <w:rPr>
          <w:rFonts w:ascii="Gadugi" w:hAnsi="Gadugi" w:cs="Arial"/>
          <w:i/>
          <w:szCs w:val="24"/>
        </w:rPr>
        <w:t xml:space="preserve">ídem, </w:t>
      </w:r>
      <w:r w:rsidRPr="00110CC5">
        <w:rPr>
          <w:rFonts w:ascii="Gadugi" w:hAnsi="Gadugi" w:cs="Arial"/>
          <w:szCs w:val="24"/>
        </w:rPr>
        <w:t xml:space="preserve">que regula lo concerniente a la </w:t>
      </w:r>
      <w:r w:rsidRPr="00110CC5">
        <w:rPr>
          <w:rFonts w:ascii="Gadugi" w:hAnsi="Gadugi" w:cs="Arial"/>
          <w:i/>
          <w:szCs w:val="24"/>
        </w:rPr>
        <w:t>“condena en costas”,</w:t>
      </w:r>
      <w:r w:rsidRPr="00110CC5">
        <w:rPr>
          <w:rFonts w:ascii="Gadugi" w:hAnsi="Gadugi" w:cs="Arial"/>
          <w:szCs w:val="24"/>
        </w:rPr>
        <w:t xml:space="preserve"> dispone en su numeral 8°, que “[s]</w:t>
      </w:r>
      <w:r w:rsidRPr="00110CC5">
        <w:rPr>
          <w:rFonts w:ascii="Gadugi" w:hAnsi="Gadugi" w:cs="Arial"/>
          <w:i/>
          <w:szCs w:val="24"/>
        </w:rPr>
        <w:t>i fueren varios los litigantes favorecidos…, a cada uno de ellos se les reconocerán los gastos que hubiere sufragado y se harán por separado las liquidaciones”.</w:t>
      </w:r>
    </w:p>
    <w:p w14:paraId="39044FD9" w14:textId="77777777" w:rsidR="00394134" w:rsidRPr="00110CC5" w:rsidRDefault="00394134" w:rsidP="00110CC5">
      <w:pPr>
        <w:spacing w:after="0" w:line="240" w:lineRule="auto"/>
        <w:ind w:left="426" w:right="418" w:firstLine="1134"/>
        <w:jc w:val="both"/>
        <w:rPr>
          <w:rFonts w:ascii="Gadugi" w:hAnsi="Gadugi" w:cs="Arial"/>
          <w:szCs w:val="24"/>
        </w:rPr>
      </w:pPr>
      <w:r w:rsidRPr="00110CC5">
        <w:rPr>
          <w:rFonts w:ascii="Gadugi" w:hAnsi="Gadugi" w:cs="Arial"/>
          <w:szCs w:val="24"/>
        </w:rPr>
        <w:t xml:space="preserve"> </w:t>
      </w:r>
    </w:p>
    <w:p w14:paraId="757811F8" w14:textId="77777777" w:rsidR="00394134" w:rsidRPr="00110CC5" w:rsidRDefault="00394134" w:rsidP="00110CC5">
      <w:pPr>
        <w:spacing w:after="0" w:line="240" w:lineRule="auto"/>
        <w:ind w:left="426" w:right="418" w:firstLine="1134"/>
        <w:jc w:val="both"/>
        <w:rPr>
          <w:rFonts w:ascii="Gadugi" w:hAnsi="Gadugi" w:cs="Arial"/>
          <w:szCs w:val="24"/>
        </w:rPr>
      </w:pPr>
      <w:r w:rsidRPr="00110CC5">
        <w:rPr>
          <w:rFonts w:ascii="Gadugi" w:hAnsi="Gadugi" w:cs="Arial"/>
          <w:szCs w:val="24"/>
        </w:rPr>
        <w:t>Preceptiva que para el caso concreto, donde los tres convocados replicaron tempestivamente la demanda de casación, en lo que se fundó la condena a los recurrentes, la Secretaría debió efectuar la liquidación conforme la norma precitada, es decir, individualizada para cada uno de los litigantes favorecidos.</w:t>
      </w:r>
    </w:p>
    <w:p w14:paraId="1A5644A4" w14:textId="77777777" w:rsidR="00394134" w:rsidRPr="00110CC5" w:rsidRDefault="00394134" w:rsidP="00110CC5">
      <w:pPr>
        <w:spacing w:after="0" w:line="240" w:lineRule="auto"/>
        <w:ind w:left="426" w:right="418" w:firstLine="1134"/>
        <w:jc w:val="both"/>
        <w:rPr>
          <w:rFonts w:ascii="Gadugi" w:hAnsi="Gadugi" w:cs="Arial"/>
          <w:szCs w:val="24"/>
        </w:rPr>
      </w:pPr>
    </w:p>
    <w:p w14:paraId="7A9410A1" w14:textId="77777777" w:rsidR="00394134" w:rsidRPr="00110CC5" w:rsidRDefault="00394134" w:rsidP="00110CC5">
      <w:pPr>
        <w:spacing w:after="0" w:line="240" w:lineRule="auto"/>
        <w:ind w:left="426" w:right="418" w:firstLine="1134"/>
        <w:jc w:val="both"/>
        <w:rPr>
          <w:rFonts w:ascii="Gadugi" w:hAnsi="Gadugi" w:cs="Arial"/>
          <w:szCs w:val="24"/>
        </w:rPr>
      </w:pPr>
      <w:r w:rsidRPr="00110CC5">
        <w:rPr>
          <w:rFonts w:ascii="Gadugi" w:hAnsi="Gadugi" w:cs="Arial"/>
          <w:szCs w:val="24"/>
        </w:rPr>
        <w:t xml:space="preserve">Ahora bien, como el monto fijado por agencias en derecho fue global y todos los beneficiados se hallan en similar situación, lo pertinente habría sido distribuir proporcionalmente la cantidad establecida. </w:t>
      </w:r>
    </w:p>
    <w:p w14:paraId="1D4EF484" w14:textId="77777777" w:rsidR="00394134" w:rsidRPr="00136B0C" w:rsidRDefault="00394134" w:rsidP="00136B0C">
      <w:pPr>
        <w:spacing w:after="0" w:line="276" w:lineRule="auto"/>
        <w:ind w:left="567" w:right="616" w:firstLine="1134"/>
        <w:jc w:val="both"/>
        <w:rPr>
          <w:rFonts w:ascii="Gadugi" w:hAnsi="Gadugi" w:cs="Arial"/>
          <w:sz w:val="24"/>
          <w:szCs w:val="24"/>
        </w:rPr>
      </w:pPr>
    </w:p>
    <w:p w14:paraId="79072186" w14:textId="77777777" w:rsidR="00394134" w:rsidRPr="00136B0C" w:rsidRDefault="00394134" w:rsidP="00136B0C">
      <w:pPr>
        <w:spacing w:after="0" w:line="276" w:lineRule="auto"/>
        <w:ind w:left="567" w:right="616" w:firstLine="1134"/>
        <w:jc w:val="both"/>
        <w:rPr>
          <w:rFonts w:ascii="Gadugi" w:hAnsi="Gadugi" w:cs="Arial"/>
          <w:sz w:val="24"/>
          <w:szCs w:val="24"/>
        </w:rPr>
      </w:pPr>
      <w:r w:rsidRPr="00136B0C">
        <w:rPr>
          <w:rFonts w:ascii="Gadugi" w:hAnsi="Gadugi" w:cs="Arial"/>
          <w:sz w:val="24"/>
          <w:szCs w:val="24"/>
        </w:rPr>
        <w:t xml:space="preserve">Al respecto, la Sala ha dicho que </w:t>
      </w:r>
    </w:p>
    <w:p w14:paraId="219E0D04" w14:textId="77777777" w:rsidR="00394134" w:rsidRPr="00136B0C" w:rsidRDefault="00394134" w:rsidP="00136B0C">
      <w:pPr>
        <w:spacing w:after="0" w:line="276" w:lineRule="auto"/>
        <w:ind w:left="567" w:right="616" w:firstLine="1134"/>
        <w:jc w:val="both"/>
        <w:rPr>
          <w:rFonts w:ascii="Gadugi" w:hAnsi="Gadugi" w:cs="Arial"/>
          <w:sz w:val="24"/>
          <w:szCs w:val="24"/>
        </w:rPr>
      </w:pPr>
    </w:p>
    <w:p w14:paraId="47660554" w14:textId="77777777" w:rsidR="00394134" w:rsidRPr="00110CC5" w:rsidRDefault="00394134" w:rsidP="00110CC5">
      <w:pPr>
        <w:pStyle w:val="Textoindependiente2"/>
        <w:spacing w:after="0" w:line="240" w:lineRule="auto"/>
        <w:ind w:left="426" w:right="418" w:firstLine="1134"/>
        <w:contextualSpacing/>
        <w:jc w:val="both"/>
        <w:rPr>
          <w:rFonts w:ascii="Gadugi" w:hAnsi="Gadugi" w:cs="Arial"/>
          <w:i/>
          <w:sz w:val="22"/>
        </w:rPr>
      </w:pPr>
      <w:r w:rsidRPr="00110CC5">
        <w:rPr>
          <w:rFonts w:ascii="Gadugi" w:hAnsi="Gadugi" w:cs="Arial"/>
          <w:i/>
          <w:sz w:val="22"/>
        </w:rPr>
        <w:t xml:space="preserve">En relación con el punto de inconformidad planteado, en el inciso final de la parte resolutiva se consignó que “las agencias en derecho se estiman en seis millones de pesos ($6’000.000)”, correspondiendo a una suma fija que no admite discusión en cuanto a su enunciado, sin que exista contradicción entre lo citado en letras y números; además de que, como rubro que es de la condena en costas al tenor del numeral 2 artículo 393 ibídem, sería objeto de distribución por partes iguales entre los beneficiados en la liquidación que se realice por Secretaría en su debido momento, en cumplimiento del numeral 8 artículo 392 íd. (….) </w:t>
      </w:r>
    </w:p>
    <w:p w14:paraId="2FE74E2B" w14:textId="77777777" w:rsidR="00394134" w:rsidRPr="00136B0C" w:rsidRDefault="00394134" w:rsidP="00136B0C">
      <w:pPr>
        <w:pStyle w:val="Textoindependiente2"/>
        <w:spacing w:after="0" w:line="276" w:lineRule="auto"/>
        <w:ind w:left="567" w:right="616" w:firstLine="1134"/>
        <w:contextualSpacing/>
        <w:jc w:val="both"/>
        <w:rPr>
          <w:rFonts w:ascii="Gadugi" w:hAnsi="Gadugi" w:cs="Arial"/>
          <w:i/>
        </w:rPr>
      </w:pPr>
    </w:p>
    <w:p w14:paraId="57AE9B9D" w14:textId="77777777" w:rsidR="00394134" w:rsidRPr="00136B0C" w:rsidRDefault="00394134" w:rsidP="00136B0C">
      <w:pPr>
        <w:pStyle w:val="Textoindependiente2"/>
        <w:spacing w:after="0" w:line="276" w:lineRule="auto"/>
        <w:ind w:left="567" w:right="616" w:firstLine="1134"/>
        <w:contextualSpacing/>
        <w:jc w:val="both"/>
        <w:rPr>
          <w:rFonts w:ascii="Gadugi" w:hAnsi="Gadugi" w:cs="Arial"/>
        </w:rPr>
      </w:pPr>
      <w:r w:rsidRPr="00136B0C">
        <w:rPr>
          <w:rFonts w:ascii="Gadugi" w:hAnsi="Gadugi" w:cs="Arial"/>
        </w:rPr>
        <w:t xml:space="preserve">Y agregó, </w:t>
      </w:r>
    </w:p>
    <w:p w14:paraId="6094C7A0" w14:textId="77777777" w:rsidR="00394134" w:rsidRPr="00136B0C" w:rsidRDefault="00394134" w:rsidP="00136B0C">
      <w:pPr>
        <w:pStyle w:val="Textoindependiente2"/>
        <w:spacing w:after="0" w:line="276" w:lineRule="auto"/>
        <w:ind w:left="567" w:right="616" w:firstLine="1134"/>
        <w:contextualSpacing/>
        <w:jc w:val="both"/>
        <w:rPr>
          <w:rFonts w:ascii="Gadugi" w:hAnsi="Gadugi" w:cs="Arial"/>
        </w:rPr>
      </w:pPr>
    </w:p>
    <w:p w14:paraId="46BB2D0D" w14:textId="77777777" w:rsidR="00394134" w:rsidRPr="00110CC5" w:rsidRDefault="00394134" w:rsidP="00110CC5">
      <w:pPr>
        <w:pStyle w:val="Textoindependiente2"/>
        <w:spacing w:after="0" w:line="240" w:lineRule="auto"/>
        <w:ind w:left="426" w:right="418" w:firstLine="1134"/>
        <w:contextualSpacing/>
        <w:jc w:val="both"/>
        <w:rPr>
          <w:rFonts w:ascii="Gadugi" w:hAnsi="Gadugi" w:cs="Arial"/>
          <w:sz w:val="22"/>
        </w:rPr>
      </w:pPr>
      <w:r w:rsidRPr="00110CC5">
        <w:rPr>
          <w:rFonts w:ascii="Gadugi" w:hAnsi="Gadugi" w:cs="Arial"/>
          <w:i/>
          <w:sz w:val="22"/>
        </w:rPr>
        <w:t xml:space="preserve">En particular, ninguna duda se presenta en cuanto a la fijación de las agencias en derecho, tanto menos si se observa que la condena en costas se impuso a la parte demandante, en favor de los no recurrentes, de modo que si nada se dijo sobre las proporciones que corresponden a cada cual, debe entenderse que las referidas agencias se han de distribuir a prorrata entre los demandados. (…), </w:t>
      </w:r>
      <w:r w:rsidRPr="00110CC5">
        <w:rPr>
          <w:rFonts w:ascii="Gadugi" w:hAnsi="Gadugi" w:cs="Arial"/>
          <w:sz w:val="22"/>
        </w:rPr>
        <w:t xml:space="preserve">CSJ AC, 12 AG. 2011, </w:t>
      </w:r>
      <w:proofErr w:type="spellStart"/>
      <w:r w:rsidRPr="00110CC5">
        <w:rPr>
          <w:rFonts w:ascii="Gadugi" w:hAnsi="Gadugi" w:cs="Arial"/>
          <w:sz w:val="22"/>
        </w:rPr>
        <w:t>exp</w:t>
      </w:r>
      <w:proofErr w:type="spellEnd"/>
      <w:r w:rsidRPr="00110CC5">
        <w:rPr>
          <w:rFonts w:ascii="Gadugi" w:hAnsi="Gadugi" w:cs="Arial"/>
          <w:sz w:val="22"/>
        </w:rPr>
        <w:t>. 1999-02099, reiterado AC2586-2014, exp,2000-01098-01).</w:t>
      </w:r>
    </w:p>
    <w:p w14:paraId="15BC2318" w14:textId="77777777" w:rsidR="00394134" w:rsidRPr="00110CC5" w:rsidRDefault="00394134" w:rsidP="00110CC5">
      <w:pPr>
        <w:pStyle w:val="Textoindependiente2"/>
        <w:spacing w:after="0" w:line="240" w:lineRule="auto"/>
        <w:ind w:left="426" w:right="418" w:firstLine="1134"/>
        <w:contextualSpacing/>
        <w:jc w:val="both"/>
        <w:rPr>
          <w:rFonts w:ascii="Gadugi" w:hAnsi="Gadugi" w:cs="Arial"/>
          <w:sz w:val="22"/>
          <w:lang w:val="es-CO"/>
        </w:rPr>
      </w:pPr>
    </w:p>
    <w:p w14:paraId="6D9AFB40" w14:textId="77777777" w:rsidR="00394134" w:rsidRPr="00110CC5" w:rsidRDefault="00394134" w:rsidP="00110CC5">
      <w:pPr>
        <w:spacing w:after="0" w:line="240" w:lineRule="auto"/>
        <w:ind w:left="426" w:right="418" w:firstLine="1134"/>
        <w:jc w:val="both"/>
        <w:rPr>
          <w:rFonts w:ascii="Gadugi" w:hAnsi="Gadugi" w:cs="Arial"/>
          <w:szCs w:val="24"/>
        </w:rPr>
      </w:pPr>
      <w:r w:rsidRPr="00110CC5">
        <w:rPr>
          <w:rFonts w:ascii="Gadugi" w:hAnsi="Gadugi" w:cs="Arial"/>
          <w:szCs w:val="24"/>
        </w:rPr>
        <w:t xml:space="preserve">5. En consecuencia, se rehará la liquidación, distribuyendo equitativamente las agencias en derecho entre cada uno de los litigantes </w:t>
      </w:r>
      <w:r w:rsidRPr="00110CC5">
        <w:rPr>
          <w:rFonts w:ascii="Gadugi" w:hAnsi="Gadugi" w:cs="Arial"/>
          <w:szCs w:val="24"/>
        </w:rPr>
        <w:lastRenderedPageBreak/>
        <w:t>beneficiados, que son tres (3), toda vez que el llamado en garantía también replicó la demanda de casación</w:t>
      </w:r>
    </w:p>
    <w:p w14:paraId="698DEB22" w14:textId="77777777" w:rsidR="00394134" w:rsidRPr="00136B0C" w:rsidRDefault="00394134" w:rsidP="00136B0C">
      <w:pPr>
        <w:pStyle w:val="Textoindependiente"/>
        <w:spacing w:line="276" w:lineRule="auto"/>
        <w:ind w:firstLine="1701"/>
        <w:jc w:val="both"/>
        <w:rPr>
          <w:sz w:val="24"/>
          <w:szCs w:val="24"/>
        </w:rPr>
      </w:pPr>
    </w:p>
    <w:p w14:paraId="2B0DB781" w14:textId="77777777" w:rsidR="004F3497" w:rsidRPr="00136B0C" w:rsidRDefault="004F3497" w:rsidP="00136B0C">
      <w:pPr>
        <w:pStyle w:val="Textoindependiente"/>
        <w:numPr>
          <w:ilvl w:val="0"/>
          <w:numId w:val="8"/>
        </w:numPr>
        <w:spacing w:line="276" w:lineRule="auto"/>
        <w:ind w:left="0" w:firstLine="1701"/>
        <w:jc w:val="both"/>
        <w:rPr>
          <w:sz w:val="24"/>
          <w:szCs w:val="24"/>
        </w:rPr>
      </w:pPr>
      <w:r w:rsidRPr="00136B0C">
        <w:rPr>
          <w:sz w:val="24"/>
          <w:szCs w:val="24"/>
        </w:rPr>
        <w:t xml:space="preserve">Dicho lo anterior, estima la Sala que la protesta de las impugnantes es acertada y, por ello, teniendo como soporte las condiciones del proceso ya referidas, reformará el monto de las agencias en derecho en primera y en segunda instancia, considerando esa proporcionalidad que exige la ley frente a la cuantía del mismo. </w:t>
      </w:r>
    </w:p>
    <w:p w14:paraId="4845A2A9" w14:textId="77777777" w:rsidR="004F3497" w:rsidRPr="00136B0C" w:rsidRDefault="004F3497" w:rsidP="00136B0C">
      <w:pPr>
        <w:pStyle w:val="Textoindependiente"/>
        <w:spacing w:line="276" w:lineRule="auto"/>
        <w:ind w:firstLine="1701"/>
        <w:jc w:val="both"/>
        <w:rPr>
          <w:sz w:val="24"/>
          <w:szCs w:val="24"/>
        </w:rPr>
      </w:pPr>
    </w:p>
    <w:p w14:paraId="0D5A3453" w14:textId="7885BE20" w:rsidR="00865EA9" w:rsidRPr="00136B0C" w:rsidRDefault="004F3497" w:rsidP="00136B0C">
      <w:pPr>
        <w:pStyle w:val="Textoindependiente"/>
        <w:spacing w:line="276" w:lineRule="auto"/>
        <w:ind w:firstLine="1701"/>
        <w:jc w:val="both"/>
        <w:rPr>
          <w:sz w:val="24"/>
          <w:szCs w:val="24"/>
        </w:rPr>
      </w:pPr>
      <w:r w:rsidRPr="00136B0C">
        <w:rPr>
          <w:sz w:val="24"/>
          <w:szCs w:val="24"/>
        </w:rPr>
        <w:t xml:space="preserve">Por tanto, se fijará un </w:t>
      </w:r>
      <w:r w:rsidR="00865EA9" w:rsidRPr="00136B0C">
        <w:rPr>
          <w:sz w:val="24"/>
          <w:szCs w:val="24"/>
        </w:rPr>
        <w:t>5</w:t>
      </w:r>
      <w:r w:rsidRPr="00136B0C">
        <w:rPr>
          <w:sz w:val="24"/>
          <w:szCs w:val="24"/>
        </w:rPr>
        <w:t xml:space="preserve">% para la primera instancia, y </w:t>
      </w:r>
      <w:r w:rsidR="00865EA9" w:rsidRPr="00136B0C">
        <w:rPr>
          <w:sz w:val="24"/>
          <w:szCs w:val="24"/>
        </w:rPr>
        <w:t>el 1</w:t>
      </w:r>
      <w:r w:rsidRPr="00136B0C">
        <w:rPr>
          <w:sz w:val="24"/>
          <w:szCs w:val="24"/>
        </w:rPr>
        <w:t>% para la segunda instancia</w:t>
      </w:r>
      <w:r w:rsidR="00865EA9" w:rsidRPr="00136B0C">
        <w:rPr>
          <w:sz w:val="24"/>
          <w:szCs w:val="24"/>
        </w:rPr>
        <w:t xml:space="preserve">. </w:t>
      </w:r>
      <w:r w:rsidRPr="00136B0C">
        <w:rPr>
          <w:sz w:val="24"/>
          <w:szCs w:val="24"/>
        </w:rPr>
        <w:t>Traducido lo cual, significa que las agencias en derecho de primer grado se tasarán en $1</w:t>
      </w:r>
      <w:r w:rsidR="00865EA9" w:rsidRPr="00136B0C">
        <w:rPr>
          <w:sz w:val="24"/>
          <w:szCs w:val="24"/>
        </w:rPr>
        <w:t>35</w:t>
      </w:r>
      <w:r w:rsidRPr="00136B0C">
        <w:rPr>
          <w:sz w:val="24"/>
          <w:szCs w:val="24"/>
        </w:rPr>
        <w:t>’000.000</w:t>
      </w:r>
      <w:r w:rsidR="00136B0C">
        <w:rPr>
          <w:sz w:val="24"/>
          <w:szCs w:val="24"/>
        </w:rPr>
        <w:t>,00</w:t>
      </w:r>
      <w:r w:rsidRPr="00136B0C">
        <w:rPr>
          <w:sz w:val="24"/>
          <w:szCs w:val="24"/>
        </w:rPr>
        <w:t>, y las de segundo grado, en $</w:t>
      </w:r>
      <w:r w:rsidR="009D3A32" w:rsidRPr="00136B0C">
        <w:rPr>
          <w:sz w:val="24"/>
          <w:szCs w:val="24"/>
        </w:rPr>
        <w:t>27</w:t>
      </w:r>
      <w:r w:rsidRPr="00136B0C">
        <w:rPr>
          <w:sz w:val="24"/>
          <w:szCs w:val="24"/>
        </w:rPr>
        <w:t>’</w:t>
      </w:r>
      <w:r w:rsidR="009D3A32" w:rsidRPr="00136B0C">
        <w:rPr>
          <w:sz w:val="24"/>
          <w:szCs w:val="24"/>
        </w:rPr>
        <w:t>0</w:t>
      </w:r>
      <w:r w:rsidRPr="00136B0C">
        <w:rPr>
          <w:sz w:val="24"/>
          <w:szCs w:val="24"/>
        </w:rPr>
        <w:t>00.000</w:t>
      </w:r>
      <w:r w:rsidR="00136B0C">
        <w:rPr>
          <w:sz w:val="24"/>
          <w:szCs w:val="24"/>
        </w:rPr>
        <w:t>,00</w:t>
      </w:r>
      <w:r w:rsidR="00865EA9" w:rsidRPr="00136B0C">
        <w:rPr>
          <w:sz w:val="24"/>
          <w:szCs w:val="24"/>
        </w:rPr>
        <w:t xml:space="preserve">. </w:t>
      </w:r>
    </w:p>
    <w:p w14:paraId="10560A27" w14:textId="77777777" w:rsidR="00865EA9" w:rsidRPr="00136B0C" w:rsidRDefault="00865EA9" w:rsidP="00136B0C">
      <w:pPr>
        <w:pStyle w:val="Textoindependiente"/>
        <w:spacing w:line="276" w:lineRule="auto"/>
        <w:jc w:val="both"/>
        <w:rPr>
          <w:color w:val="FF0000"/>
          <w:sz w:val="24"/>
          <w:szCs w:val="24"/>
        </w:rPr>
      </w:pPr>
    </w:p>
    <w:p w14:paraId="7FA38FA3" w14:textId="569DB198" w:rsidR="009D3A32" w:rsidRPr="00136B0C" w:rsidRDefault="00865EA9" w:rsidP="00136B0C">
      <w:pPr>
        <w:pStyle w:val="Textoindependiente"/>
        <w:spacing w:line="276" w:lineRule="auto"/>
        <w:ind w:firstLine="1701"/>
        <w:jc w:val="both"/>
        <w:rPr>
          <w:sz w:val="24"/>
          <w:szCs w:val="24"/>
        </w:rPr>
      </w:pPr>
      <w:r w:rsidRPr="00136B0C">
        <w:rPr>
          <w:sz w:val="24"/>
          <w:szCs w:val="24"/>
        </w:rPr>
        <w:t>En este punto es preciso señalar que tales sumas debe</w:t>
      </w:r>
      <w:r w:rsidR="009D3A32" w:rsidRPr="00136B0C">
        <w:rPr>
          <w:sz w:val="24"/>
          <w:szCs w:val="24"/>
        </w:rPr>
        <w:t>rían</w:t>
      </w:r>
      <w:r w:rsidRPr="00136B0C">
        <w:rPr>
          <w:sz w:val="24"/>
          <w:szCs w:val="24"/>
        </w:rPr>
        <w:t xml:space="preserve"> distribuirse proporcionalmente entre las demanda</w:t>
      </w:r>
      <w:r w:rsidR="009D3A32" w:rsidRPr="00136B0C">
        <w:rPr>
          <w:sz w:val="24"/>
          <w:szCs w:val="24"/>
        </w:rPr>
        <w:t xml:space="preserve">das favorecidas con la condena, que lo fueron las tres sociedades vinculadas, al menos las de primera instancia. Sin embargo, de ellas, la sociedad Pedro Gómez y Cía. S.A. ninguna protesta adujo frente al auto que aprobó la liquidación de costas, con lo que el resultado de esta alzada no puede serle favorable, dado que se trata de un litisconsorte facultativo, con interés independiente, y, por tanto, los actos de las otras codemandadas no pueden redundar en provecho ni en perjuicio suyo, como enseña el artículo 60 del CGP (antes art. 50 del CPC). </w:t>
      </w:r>
    </w:p>
    <w:p w14:paraId="5EF68700" w14:textId="32A5E7B0" w:rsidR="009D3A32" w:rsidRPr="00136B0C" w:rsidRDefault="009D3A32" w:rsidP="00136B0C">
      <w:pPr>
        <w:pStyle w:val="Textoindependiente"/>
        <w:spacing w:line="276" w:lineRule="auto"/>
        <w:ind w:firstLine="1701"/>
        <w:jc w:val="both"/>
        <w:rPr>
          <w:sz w:val="24"/>
          <w:szCs w:val="24"/>
        </w:rPr>
      </w:pPr>
    </w:p>
    <w:p w14:paraId="21B618DD" w14:textId="4E312A0B" w:rsidR="009D3A32" w:rsidRPr="00136B0C" w:rsidRDefault="009D3A32" w:rsidP="00136B0C">
      <w:pPr>
        <w:pStyle w:val="Textoindependiente"/>
        <w:spacing w:line="276" w:lineRule="auto"/>
        <w:ind w:firstLine="1701"/>
        <w:jc w:val="both"/>
        <w:rPr>
          <w:sz w:val="24"/>
          <w:szCs w:val="24"/>
        </w:rPr>
      </w:pPr>
      <w:r w:rsidRPr="00136B0C">
        <w:rPr>
          <w:sz w:val="24"/>
          <w:szCs w:val="24"/>
        </w:rPr>
        <w:t>Como ello es así, la distribución de las agencias en derecho en primera instancia se hará en tres partes iguales, pero a la mentada sociedad, solo se le reconocerá el valor proporcional a los $5’400.000</w:t>
      </w:r>
      <w:r w:rsidR="00136B0C">
        <w:rPr>
          <w:sz w:val="24"/>
          <w:szCs w:val="24"/>
        </w:rPr>
        <w:t>,00</w:t>
      </w:r>
      <w:r w:rsidRPr="00136B0C">
        <w:rPr>
          <w:sz w:val="24"/>
          <w:szCs w:val="24"/>
        </w:rPr>
        <w:t xml:space="preserve"> fijados por el juzgado; en tanto que a las recurrentes, se les asignará la suma de $45’000.000</w:t>
      </w:r>
      <w:r w:rsidR="00136B0C">
        <w:rPr>
          <w:sz w:val="24"/>
          <w:szCs w:val="24"/>
        </w:rPr>
        <w:t>,00</w:t>
      </w:r>
      <w:r w:rsidRPr="00136B0C">
        <w:rPr>
          <w:sz w:val="24"/>
          <w:szCs w:val="24"/>
        </w:rPr>
        <w:t>, que es la proporción debida sobre los $135’000.000</w:t>
      </w:r>
      <w:r w:rsidR="00136B0C">
        <w:rPr>
          <w:sz w:val="24"/>
          <w:szCs w:val="24"/>
        </w:rPr>
        <w:t>,00</w:t>
      </w:r>
      <w:r w:rsidRPr="00136B0C">
        <w:rPr>
          <w:sz w:val="24"/>
          <w:szCs w:val="24"/>
        </w:rPr>
        <w:t>, en tanto que, por la segunda instancia, le corresponderá a cada una la suma de $13’500.000</w:t>
      </w:r>
      <w:r w:rsidR="00136B0C">
        <w:rPr>
          <w:sz w:val="24"/>
          <w:szCs w:val="24"/>
        </w:rPr>
        <w:t>,00</w:t>
      </w:r>
      <w:r w:rsidRPr="00136B0C">
        <w:rPr>
          <w:sz w:val="24"/>
          <w:szCs w:val="24"/>
        </w:rPr>
        <w:t xml:space="preserve">. </w:t>
      </w:r>
    </w:p>
    <w:p w14:paraId="3C027587" w14:textId="456396A2" w:rsidR="009D3A32" w:rsidRPr="00136B0C" w:rsidRDefault="009D3A32" w:rsidP="00136B0C">
      <w:pPr>
        <w:pStyle w:val="Textoindependiente"/>
        <w:spacing w:line="276" w:lineRule="auto"/>
        <w:ind w:firstLine="1701"/>
        <w:jc w:val="both"/>
        <w:rPr>
          <w:sz w:val="24"/>
          <w:szCs w:val="24"/>
        </w:rPr>
      </w:pPr>
    </w:p>
    <w:p w14:paraId="1922F465" w14:textId="77777777" w:rsidR="002C54CF" w:rsidRPr="00136B0C" w:rsidRDefault="009D3A32" w:rsidP="00136B0C">
      <w:pPr>
        <w:pStyle w:val="Textoindependiente"/>
        <w:numPr>
          <w:ilvl w:val="0"/>
          <w:numId w:val="8"/>
        </w:numPr>
        <w:spacing w:line="276" w:lineRule="auto"/>
        <w:ind w:left="0" w:firstLine="1701"/>
        <w:jc w:val="both"/>
        <w:rPr>
          <w:sz w:val="24"/>
          <w:szCs w:val="24"/>
        </w:rPr>
      </w:pPr>
      <w:r w:rsidRPr="00136B0C">
        <w:rPr>
          <w:sz w:val="24"/>
          <w:szCs w:val="24"/>
        </w:rPr>
        <w:t xml:space="preserve">Consecuentes con lo anterior, la liquidación de costas </w:t>
      </w:r>
      <w:r w:rsidR="002C54CF" w:rsidRPr="00136B0C">
        <w:rPr>
          <w:sz w:val="24"/>
          <w:szCs w:val="24"/>
        </w:rPr>
        <w:t xml:space="preserve">se reformará en la forma indicada y se le impartirá aprobación. </w:t>
      </w:r>
    </w:p>
    <w:p w14:paraId="7543E977" w14:textId="77777777" w:rsidR="002C54CF" w:rsidRPr="00136B0C" w:rsidRDefault="002C54CF" w:rsidP="00136B0C">
      <w:pPr>
        <w:pStyle w:val="Textoindependiente"/>
        <w:spacing w:line="276" w:lineRule="auto"/>
        <w:ind w:firstLine="1701"/>
        <w:jc w:val="both"/>
        <w:rPr>
          <w:sz w:val="24"/>
          <w:szCs w:val="24"/>
        </w:rPr>
      </w:pPr>
    </w:p>
    <w:p w14:paraId="18968F7C" w14:textId="53B920C9" w:rsidR="009D3A32" w:rsidRPr="00136B0C" w:rsidRDefault="00AC6307" w:rsidP="00136B0C">
      <w:pPr>
        <w:pStyle w:val="Textoindependiente"/>
        <w:spacing w:line="276" w:lineRule="auto"/>
        <w:ind w:firstLine="1701"/>
        <w:jc w:val="both"/>
        <w:rPr>
          <w:sz w:val="24"/>
          <w:szCs w:val="24"/>
        </w:rPr>
      </w:pPr>
      <w:r w:rsidRPr="00136B0C">
        <w:rPr>
          <w:sz w:val="24"/>
          <w:szCs w:val="24"/>
        </w:rPr>
        <w:t>Dado que</w:t>
      </w:r>
      <w:r w:rsidR="002C54CF" w:rsidRPr="00136B0C">
        <w:rPr>
          <w:sz w:val="24"/>
          <w:szCs w:val="24"/>
        </w:rPr>
        <w:t xml:space="preserve"> los recursos prosperarán y se trata de un auto, no habrá condena en costas en esta sede, pues ninguna de las circunstancias previstas en el artículo 365 del CGP tiene cabida.</w:t>
      </w:r>
      <w:r w:rsidR="009D3A32" w:rsidRPr="00136B0C">
        <w:rPr>
          <w:sz w:val="24"/>
          <w:szCs w:val="24"/>
        </w:rPr>
        <w:t xml:space="preserve"> </w:t>
      </w:r>
    </w:p>
    <w:p w14:paraId="36482B4D" w14:textId="09B1F4F4" w:rsidR="009D3A32" w:rsidRPr="00136B0C" w:rsidRDefault="009D3A32" w:rsidP="00136B0C">
      <w:pPr>
        <w:pStyle w:val="Textoindependiente"/>
        <w:spacing w:line="276" w:lineRule="auto"/>
        <w:ind w:firstLine="1701"/>
        <w:jc w:val="both"/>
        <w:rPr>
          <w:sz w:val="24"/>
          <w:szCs w:val="24"/>
        </w:rPr>
      </w:pPr>
    </w:p>
    <w:p w14:paraId="128D0F88" w14:textId="77777777" w:rsidR="002C54CF" w:rsidRPr="00136B0C" w:rsidRDefault="002C54CF" w:rsidP="00136B0C">
      <w:pPr>
        <w:pStyle w:val="Ttulo3"/>
        <w:spacing w:line="276" w:lineRule="auto"/>
        <w:ind w:firstLine="1701"/>
        <w:rPr>
          <w:rFonts w:ascii="Gadugi" w:hAnsi="Gadugi"/>
          <w:sz w:val="24"/>
          <w:szCs w:val="24"/>
        </w:rPr>
      </w:pPr>
    </w:p>
    <w:p w14:paraId="76B1E549" w14:textId="471F304F" w:rsidR="00C5222C" w:rsidRPr="00136B0C" w:rsidRDefault="00C5222C" w:rsidP="00136B0C">
      <w:pPr>
        <w:pStyle w:val="Ttulo3"/>
        <w:spacing w:line="276" w:lineRule="auto"/>
        <w:ind w:firstLine="1701"/>
        <w:rPr>
          <w:rFonts w:ascii="Gadugi" w:hAnsi="Gadugi"/>
          <w:sz w:val="24"/>
          <w:szCs w:val="24"/>
        </w:rPr>
      </w:pPr>
      <w:r w:rsidRPr="00136B0C">
        <w:rPr>
          <w:rFonts w:ascii="Gadugi" w:hAnsi="Gadugi"/>
          <w:sz w:val="24"/>
          <w:szCs w:val="24"/>
        </w:rPr>
        <w:t>DECISIÓN</w:t>
      </w:r>
    </w:p>
    <w:p w14:paraId="21B62B51" w14:textId="77777777" w:rsidR="00C5222C" w:rsidRPr="00136B0C" w:rsidRDefault="00C5222C" w:rsidP="00136B0C">
      <w:pPr>
        <w:spacing w:after="0" w:line="276" w:lineRule="auto"/>
        <w:ind w:firstLine="1701"/>
        <w:jc w:val="both"/>
        <w:rPr>
          <w:rFonts w:ascii="Gadugi" w:hAnsi="Gadugi" w:cs="Courier New"/>
          <w:sz w:val="24"/>
          <w:szCs w:val="24"/>
          <w:lang w:val="es-MX"/>
        </w:rPr>
      </w:pPr>
    </w:p>
    <w:p w14:paraId="64A87766" w14:textId="77777777" w:rsidR="00C5222C" w:rsidRPr="00136B0C" w:rsidRDefault="00C5222C" w:rsidP="00136B0C">
      <w:pPr>
        <w:spacing w:after="0" w:line="276" w:lineRule="auto"/>
        <w:ind w:firstLine="1701"/>
        <w:jc w:val="both"/>
        <w:rPr>
          <w:rFonts w:ascii="Gadugi" w:hAnsi="Gadugi" w:cs="Courier New"/>
          <w:sz w:val="24"/>
          <w:szCs w:val="24"/>
          <w:lang w:val="es-MX"/>
        </w:rPr>
      </w:pPr>
    </w:p>
    <w:p w14:paraId="5ACAC157" w14:textId="77777777" w:rsidR="002C54CF" w:rsidRPr="00136B0C" w:rsidRDefault="00C5222C" w:rsidP="00136B0C">
      <w:pPr>
        <w:pStyle w:val="Textoindependiente"/>
        <w:spacing w:line="276" w:lineRule="auto"/>
        <w:ind w:firstLine="1701"/>
        <w:rPr>
          <w:sz w:val="24"/>
          <w:szCs w:val="24"/>
        </w:rPr>
      </w:pPr>
      <w:r w:rsidRPr="00136B0C">
        <w:rPr>
          <w:sz w:val="24"/>
          <w:szCs w:val="24"/>
        </w:rPr>
        <w:t xml:space="preserve">En armonía con lo dicho, el Tribunal Superior del Distrito Judicial, Sala Unitaria Civil-Familia, </w:t>
      </w:r>
      <w:r w:rsidR="002C54CF" w:rsidRPr="00136B0C">
        <w:rPr>
          <w:b/>
          <w:bCs/>
          <w:sz w:val="24"/>
          <w:szCs w:val="24"/>
        </w:rPr>
        <w:t>REFORMA</w:t>
      </w:r>
      <w:r w:rsidR="002C54CF" w:rsidRPr="00136B0C">
        <w:rPr>
          <w:sz w:val="24"/>
          <w:szCs w:val="24"/>
        </w:rPr>
        <w:t xml:space="preserve"> </w:t>
      </w:r>
      <w:r w:rsidRPr="00136B0C">
        <w:rPr>
          <w:sz w:val="24"/>
          <w:szCs w:val="24"/>
        </w:rPr>
        <w:t xml:space="preserve">la liquidación de costas </w:t>
      </w:r>
      <w:r w:rsidR="002C54CF" w:rsidRPr="00136B0C">
        <w:rPr>
          <w:sz w:val="24"/>
          <w:szCs w:val="24"/>
        </w:rPr>
        <w:t xml:space="preserve">practicada en primera </w:t>
      </w:r>
      <w:r w:rsidR="002C54CF" w:rsidRPr="00136B0C">
        <w:rPr>
          <w:sz w:val="24"/>
          <w:szCs w:val="24"/>
        </w:rPr>
        <w:lastRenderedPageBreak/>
        <w:t xml:space="preserve">instancia, así: </w:t>
      </w:r>
    </w:p>
    <w:p w14:paraId="5463E0CB" w14:textId="10492AF7" w:rsidR="329A936D" w:rsidRPr="00136B0C" w:rsidRDefault="329A936D" w:rsidP="00136B0C">
      <w:pPr>
        <w:pStyle w:val="Textoindependiente"/>
        <w:spacing w:line="276" w:lineRule="auto"/>
        <w:ind w:firstLine="1701"/>
        <w:rPr>
          <w:sz w:val="24"/>
          <w:szCs w:val="24"/>
        </w:rPr>
      </w:pPr>
    </w:p>
    <w:p w14:paraId="31E594A0" w14:textId="77777777" w:rsidR="002C54CF" w:rsidRPr="00136B0C" w:rsidRDefault="002C54CF" w:rsidP="00136B0C">
      <w:pPr>
        <w:pStyle w:val="Textoindependiente"/>
        <w:numPr>
          <w:ilvl w:val="0"/>
          <w:numId w:val="27"/>
        </w:numPr>
        <w:spacing w:line="276" w:lineRule="auto"/>
        <w:ind w:left="0" w:firstLine="1701"/>
        <w:rPr>
          <w:sz w:val="24"/>
          <w:szCs w:val="24"/>
        </w:rPr>
      </w:pPr>
      <w:r w:rsidRPr="00136B0C">
        <w:rPr>
          <w:sz w:val="24"/>
          <w:szCs w:val="24"/>
        </w:rPr>
        <w:t xml:space="preserve">Costas a favor de </w:t>
      </w:r>
      <w:r w:rsidRPr="00136B0C">
        <w:rPr>
          <w:b/>
          <w:sz w:val="24"/>
          <w:szCs w:val="24"/>
        </w:rPr>
        <w:t>Pedro Gómez y Cía. S.A</w:t>
      </w:r>
      <w:r w:rsidRPr="00136B0C">
        <w:rPr>
          <w:sz w:val="24"/>
          <w:szCs w:val="24"/>
        </w:rPr>
        <w:t xml:space="preserve">.: </w:t>
      </w:r>
    </w:p>
    <w:p w14:paraId="0707C94B" w14:textId="77777777" w:rsidR="002C54CF" w:rsidRPr="00136B0C" w:rsidRDefault="002C54CF" w:rsidP="00136B0C">
      <w:pPr>
        <w:pStyle w:val="Textoindependiente"/>
        <w:spacing w:line="276" w:lineRule="auto"/>
        <w:ind w:firstLine="1701"/>
        <w:rPr>
          <w:sz w:val="24"/>
          <w:szCs w:val="24"/>
        </w:rPr>
      </w:pPr>
    </w:p>
    <w:p w14:paraId="2D73555D" w14:textId="1CE7006B" w:rsidR="002C54CF" w:rsidRPr="00136B0C" w:rsidRDefault="002C54CF" w:rsidP="00136B0C">
      <w:pPr>
        <w:pStyle w:val="Textoindependiente"/>
        <w:tabs>
          <w:tab w:val="left" w:pos="6804"/>
        </w:tabs>
        <w:spacing w:line="276" w:lineRule="auto"/>
        <w:ind w:firstLine="1701"/>
        <w:rPr>
          <w:sz w:val="24"/>
          <w:szCs w:val="24"/>
        </w:rPr>
      </w:pPr>
      <w:r w:rsidRPr="00136B0C">
        <w:rPr>
          <w:sz w:val="24"/>
          <w:szCs w:val="24"/>
        </w:rPr>
        <w:t>Agencias en derecho primera instancia…</w:t>
      </w:r>
      <w:r w:rsidR="007800CB" w:rsidRPr="00136B0C">
        <w:rPr>
          <w:sz w:val="24"/>
          <w:szCs w:val="24"/>
        </w:rPr>
        <w:tab/>
        <w:t>$</w:t>
      </w:r>
      <w:r w:rsidRPr="00136B0C">
        <w:rPr>
          <w:sz w:val="24"/>
          <w:szCs w:val="24"/>
        </w:rPr>
        <w:t>1’800.000</w:t>
      </w:r>
      <w:r w:rsidR="00136B0C">
        <w:rPr>
          <w:sz w:val="24"/>
          <w:szCs w:val="24"/>
        </w:rPr>
        <w:t>,00</w:t>
      </w:r>
      <w:r w:rsidRPr="00136B0C">
        <w:rPr>
          <w:sz w:val="24"/>
          <w:szCs w:val="24"/>
        </w:rPr>
        <w:t xml:space="preserve">. </w:t>
      </w:r>
    </w:p>
    <w:p w14:paraId="4E2DB8D6" w14:textId="2ABE4037" w:rsidR="002C54CF" w:rsidRPr="00136B0C" w:rsidRDefault="002C54CF" w:rsidP="00136B0C">
      <w:pPr>
        <w:pStyle w:val="Textoindependiente"/>
        <w:tabs>
          <w:tab w:val="left" w:pos="6804"/>
        </w:tabs>
        <w:spacing w:line="276" w:lineRule="auto"/>
        <w:ind w:firstLine="1701"/>
        <w:rPr>
          <w:sz w:val="24"/>
          <w:szCs w:val="24"/>
        </w:rPr>
      </w:pPr>
      <w:r w:rsidRPr="00136B0C">
        <w:rPr>
          <w:sz w:val="24"/>
          <w:szCs w:val="24"/>
        </w:rPr>
        <w:t xml:space="preserve">Gastos… </w:t>
      </w:r>
      <w:r w:rsidR="007800CB" w:rsidRPr="00136B0C">
        <w:rPr>
          <w:sz w:val="24"/>
          <w:szCs w:val="24"/>
        </w:rPr>
        <w:tab/>
        <w:t>$</w:t>
      </w:r>
      <w:r w:rsidRPr="00136B0C">
        <w:rPr>
          <w:sz w:val="24"/>
          <w:szCs w:val="24"/>
        </w:rPr>
        <w:t>0</w:t>
      </w:r>
    </w:p>
    <w:p w14:paraId="1E8F47E3" w14:textId="74C034C7" w:rsidR="002C54CF" w:rsidRPr="00136B0C" w:rsidRDefault="002C54CF" w:rsidP="00136B0C">
      <w:pPr>
        <w:pStyle w:val="Textoindependiente"/>
        <w:tabs>
          <w:tab w:val="left" w:pos="6804"/>
        </w:tabs>
        <w:spacing w:line="276" w:lineRule="auto"/>
        <w:ind w:firstLine="1701"/>
        <w:rPr>
          <w:sz w:val="24"/>
          <w:szCs w:val="24"/>
        </w:rPr>
      </w:pPr>
      <w:r w:rsidRPr="00136B0C">
        <w:rPr>
          <w:sz w:val="24"/>
          <w:szCs w:val="24"/>
        </w:rPr>
        <w:t>Total…</w:t>
      </w:r>
      <w:r w:rsidR="007800CB" w:rsidRPr="00136B0C">
        <w:rPr>
          <w:sz w:val="24"/>
          <w:szCs w:val="24"/>
        </w:rPr>
        <w:tab/>
      </w:r>
      <w:r w:rsidRPr="00136B0C">
        <w:rPr>
          <w:sz w:val="24"/>
          <w:szCs w:val="24"/>
        </w:rPr>
        <w:t>$1’800.000</w:t>
      </w:r>
      <w:r w:rsidR="00136B0C">
        <w:rPr>
          <w:sz w:val="24"/>
          <w:szCs w:val="24"/>
        </w:rPr>
        <w:t>,00</w:t>
      </w:r>
      <w:r w:rsidRPr="00136B0C">
        <w:rPr>
          <w:sz w:val="24"/>
          <w:szCs w:val="24"/>
        </w:rPr>
        <w:t>.</w:t>
      </w:r>
    </w:p>
    <w:p w14:paraId="1D67DCB2" w14:textId="77777777" w:rsidR="002C54CF" w:rsidRPr="00136B0C" w:rsidRDefault="002C54CF" w:rsidP="00136B0C">
      <w:pPr>
        <w:pStyle w:val="Textoindependiente"/>
        <w:tabs>
          <w:tab w:val="left" w:pos="6804"/>
        </w:tabs>
        <w:spacing w:line="276" w:lineRule="auto"/>
        <w:ind w:firstLine="1701"/>
        <w:rPr>
          <w:sz w:val="24"/>
          <w:szCs w:val="24"/>
        </w:rPr>
      </w:pPr>
    </w:p>
    <w:p w14:paraId="7171AE1D" w14:textId="094587D0" w:rsidR="002C54CF" w:rsidRPr="00136B0C" w:rsidRDefault="002C54CF" w:rsidP="00136B0C">
      <w:pPr>
        <w:pStyle w:val="Textoindependiente"/>
        <w:numPr>
          <w:ilvl w:val="0"/>
          <w:numId w:val="27"/>
        </w:numPr>
        <w:spacing w:line="276" w:lineRule="auto"/>
        <w:ind w:left="0" w:firstLine="1701"/>
        <w:jc w:val="both"/>
        <w:rPr>
          <w:b/>
          <w:sz w:val="24"/>
          <w:szCs w:val="24"/>
        </w:rPr>
      </w:pPr>
      <w:r w:rsidRPr="00136B0C">
        <w:rPr>
          <w:sz w:val="24"/>
          <w:szCs w:val="24"/>
        </w:rPr>
        <w:t xml:space="preserve">Costas a favor de </w:t>
      </w:r>
      <w:r w:rsidRPr="00136B0C">
        <w:rPr>
          <w:b/>
          <w:sz w:val="24"/>
          <w:szCs w:val="24"/>
        </w:rPr>
        <w:t xml:space="preserve">Inversiones y Construcciones la Aurora S.A. en Liquidación: </w:t>
      </w:r>
    </w:p>
    <w:p w14:paraId="313192B6" w14:textId="77777777" w:rsidR="002C54CF" w:rsidRPr="00136B0C" w:rsidRDefault="002C54CF" w:rsidP="00136B0C">
      <w:pPr>
        <w:pStyle w:val="Textoindependiente"/>
        <w:tabs>
          <w:tab w:val="left" w:pos="6804"/>
        </w:tabs>
        <w:spacing w:line="276" w:lineRule="auto"/>
        <w:ind w:firstLine="1701"/>
        <w:rPr>
          <w:sz w:val="24"/>
          <w:szCs w:val="24"/>
        </w:rPr>
      </w:pPr>
    </w:p>
    <w:p w14:paraId="7F1F3AE6" w14:textId="300A9033" w:rsidR="002C54CF" w:rsidRPr="00136B0C" w:rsidRDefault="002C54CF" w:rsidP="00136B0C">
      <w:pPr>
        <w:pStyle w:val="Textoindependiente"/>
        <w:tabs>
          <w:tab w:val="left" w:pos="6804"/>
        </w:tabs>
        <w:spacing w:line="276" w:lineRule="auto"/>
        <w:ind w:firstLine="1701"/>
        <w:rPr>
          <w:sz w:val="24"/>
          <w:szCs w:val="24"/>
        </w:rPr>
      </w:pPr>
      <w:r w:rsidRPr="00136B0C">
        <w:rPr>
          <w:sz w:val="24"/>
          <w:szCs w:val="24"/>
        </w:rPr>
        <w:t xml:space="preserve">Agencias en derecho primera instancia… </w:t>
      </w:r>
      <w:r w:rsidR="007800CB" w:rsidRPr="00136B0C">
        <w:rPr>
          <w:sz w:val="24"/>
          <w:szCs w:val="24"/>
        </w:rPr>
        <w:tab/>
      </w:r>
      <w:r w:rsidRPr="00136B0C">
        <w:rPr>
          <w:sz w:val="24"/>
          <w:szCs w:val="24"/>
        </w:rPr>
        <w:t>$45’000.000</w:t>
      </w:r>
      <w:r w:rsidR="00136B0C">
        <w:rPr>
          <w:sz w:val="24"/>
          <w:szCs w:val="24"/>
        </w:rPr>
        <w:t>,00</w:t>
      </w:r>
    </w:p>
    <w:p w14:paraId="28BC0F14" w14:textId="6D3587D9" w:rsidR="002C54CF" w:rsidRPr="00136B0C" w:rsidRDefault="002C54CF" w:rsidP="00136B0C">
      <w:pPr>
        <w:pStyle w:val="Textoindependiente"/>
        <w:tabs>
          <w:tab w:val="left" w:pos="6804"/>
        </w:tabs>
        <w:spacing w:line="276" w:lineRule="auto"/>
        <w:ind w:firstLine="1701"/>
        <w:rPr>
          <w:sz w:val="24"/>
          <w:szCs w:val="24"/>
        </w:rPr>
      </w:pPr>
      <w:r w:rsidRPr="00136B0C">
        <w:rPr>
          <w:sz w:val="24"/>
          <w:szCs w:val="24"/>
        </w:rPr>
        <w:t>Agencias en derecho segunda instancia…</w:t>
      </w:r>
      <w:r w:rsidR="007800CB" w:rsidRPr="00136B0C">
        <w:rPr>
          <w:sz w:val="24"/>
          <w:szCs w:val="24"/>
        </w:rPr>
        <w:tab/>
      </w:r>
      <w:r w:rsidRPr="00136B0C">
        <w:rPr>
          <w:sz w:val="24"/>
          <w:szCs w:val="24"/>
        </w:rPr>
        <w:t>$13’500.000</w:t>
      </w:r>
      <w:r w:rsidR="00136B0C">
        <w:rPr>
          <w:sz w:val="24"/>
          <w:szCs w:val="24"/>
        </w:rPr>
        <w:t>,00</w:t>
      </w:r>
    </w:p>
    <w:p w14:paraId="14D47807" w14:textId="2A7685C6" w:rsidR="007800CB" w:rsidRPr="00136B0C" w:rsidRDefault="002C54CF" w:rsidP="00136B0C">
      <w:pPr>
        <w:pStyle w:val="Textoindependiente"/>
        <w:tabs>
          <w:tab w:val="left" w:pos="6804"/>
        </w:tabs>
        <w:spacing w:line="276" w:lineRule="auto"/>
        <w:ind w:firstLine="1701"/>
        <w:rPr>
          <w:sz w:val="24"/>
          <w:szCs w:val="24"/>
        </w:rPr>
      </w:pPr>
      <w:r w:rsidRPr="00136B0C">
        <w:rPr>
          <w:sz w:val="24"/>
          <w:szCs w:val="24"/>
        </w:rPr>
        <w:t>Gastos</w:t>
      </w:r>
      <w:r w:rsidR="007800CB" w:rsidRPr="00136B0C">
        <w:rPr>
          <w:sz w:val="24"/>
          <w:szCs w:val="24"/>
        </w:rPr>
        <w:t>….</w:t>
      </w:r>
      <w:r w:rsidR="007800CB" w:rsidRPr="00136B0C">
        <w:rPr>
          <w:sz w:val="24"/>
          <w:szCs w:val="24"/>
        </w:rPr>
        <w:tab/>
        <w:t>$0</w:t>
      </w:r>
    </w:p>
    <w:p w14:paraId="0A3C3421" w14:textId="3874E18A" w:rsidR="007800CB" w:rsidRPr="00136B0C" w:rsidRDefault="007800CB" w:rsidP="00136B0C">
      <w:pPr>
        <w:pStyle w:val="Textoindependiente"/>
        <w:tabs>
          <w:tab w:val="left" w:pos="6804"/>
        </w:tabs>
        <w:spacing w:line="276" w:lineRule="auto"/>
        <w:ind w:firstLine="1701"/>
        <w:rPr>
          <w:sz w:val="24"/>
          <w:szCs w:val="24"/>
        </w:rPr>
      </w:pPr>
      <w:r w:rsidRPr="00136B0C">
        <w:rPr>
          <w:sz w:val="24"/>
          <w:szCs w:val="24"/>
        </w:rPr>
        <w:t>Total…</w:t>
      </w:r>
      <w:r w:rsidRPr="00136B0C">
        <w:rPr>
          <w:sz w:val="24"/>
          <w:szCs w:val="24"/>
        </w:rPr>
        <w:tab/>
        <w:t>$58’000.000</w:t>
      </w:r>
      <w:r w:rsidR="00136B0C">
        <w:rPr>
          <w:sz w:val="24"/>
          <w:szCs w:val="24"/>
        </w:rPr>
        <w:t>,00</w:t>
      </w:r>
      <w:r w:rsidRPr="00136B0C">
        <w:rPr>
          <w:sz w:val="24"/>
          <w:szCs w:val="24"/>
        </w:rPr>
        <w:t>.</w:t>
      </w:r>
    </w:p>
    <w:p w14:paraId="238BE6A3" w14:textId="491BB7AF" w:rsidR="007800CB" w:rsidRPr="00136B0C" w:rsidRDefault="007800CB" w:rsidP="00136B0C">
      <w:pPr>
        <w:pStyle w:val="Textoindependiente"/>
        <w:tabs>
          <w:tab w:val="left" w:pos="6946"/>
        </w:tabs>
        <w:spacing w:line="276" w:lineRule="auto"/>
        <w:ind w:firstLine="1701"/>
        <w:rPr>
          <w:sz w:val="24"/>
          <w:szCs w:val="24"/>
        </w:rPr>
      </w:pPr>
    </w:p>
    <w:p w14:paraId="289A05BA" w14:textId="5C16DB02" w:rsidR="007800CB" w:rsidRPr="00136B0C" w:rsidRDefault="007800CB" w:rsidP="00136B0C">
      <w:pPr>
        <w:pStyle w:val="Textoindependiente"/>
        <w:numPr>
          <w:ilvl w:val="0"/>
          <w:numId w:val="27"/>
        </w:numPr>
        <w:tabs>
          <w:tab w:val="left" w:pos="2127"/>
        </w:tabs>
        <w:spacing w:line="276" w:lineRule="auto"/>
        <w:ind w:left="0" w:firstLine="1701"/>
        <w:jc w:val="both"/>
        <w:rPr>
          <w:sz w:val="24"/>
          <w:szCs w:val="24"/>
        </w:rPr>
      </w:pPr>
      <w:r w:rsidRPr="00136B0C">
        <w:rPr>
          <w:sz w:val="24"/>
          <w:szCs w:val="24"/>
        </w:rPr>
        <w:t xml:space="preserve">Costas a favor de </w:t>
      </w:r>
      <w:r w:rsidR="008F46BB" w:rsidRPr="00136B0C">
        <w:rPr>
          <w:b/>
          <w:sz w:val="24"/>
          <w:szCs w:val="24"/>
        </w:rPr>
        <w:t>Constructora Nacional de Obras Civiles SAS</w:t>
      </w:r>
      <w:r w:rsidRPr="00136B0C">
        <w:rPr>
          <w:sz w:val="24"/>
          <w:szCs w:val="24"/>
        </w:rPr>
        <w:t xml:space="preserve">: </w:t>
      </w:r>
    </w:p>
    <w:p w14:paraId="37DA8564" w14:textId="77777777" w:rsidR="007800CB" w:rsidRPr="00136B0C" w:rsidRDefault="007800CB" w:rsidP="00136B0C">
      <w:pPr>
        <w:pStyle w:val="Textoindependiente"/>
        <w:tabs>
          <w:tab w:val="left" w:pos="6946"/>
        </w:tabs>
        <w:spacing w:line="276" w:lineRule="auto"/>
        <w:ind w:firstLine="1701"/>
        <w:rPr>
          <w:sz w:val="24"/>
          <w:szCs w:val="24"/>
        </w:rPr>
      </w:pPr>
    </w:p>
    <w:p w14:paraId="402CA390" w14:textId="6A3B196F" w:rsidR="008F46BB" w:rsidRPr="00136B0C" w:rsidRDefault="008F46BB" w:rsidP="00136B0C">
      <w:pPr>
        <w:pStyle w:val="Textoindependiente"/>
        <w:tabs>
          <w:tab w:val="left" w:pos="6804"/>
        </w:tabs>
        <w:spacing w:line="276" w:lineRule="auto"/>
        <w:ind w:firstLine="1701"/>
        <w:rPr>
          <w:sz w:val="24"/>
          <w:szCs w:val="24"/>
        </w:rPr>
      </w:pPr>
      <w:r w:rsidRPr="00136B0C">
        <w:rPr>
          <w:sz w:val="24"/>
          <w:szCs w:val="24"/>
        </w:rPr>
        <w:t xml:space="preserve">Agencias en derecho primera instancia… </w:t>
      </w:r>
      <w:r w:rsidRPr="00136B0C">
        <w:rPr>
          <w:sz w:val="24"/>
          <w:szCs w:val="24"/>
        </w:rPr>
        <w:tab/>
        <w:t>$45’000.000</w:t>
      </w:r>
      <w:r w:rsidR="00136B0C">
        <w:rPr>
          <w:sz w:val="24"/>
          <w:szCs w:val="24"/>
        </w:rPr>
        <w:t>,00</w:t>
      </w:r>
    </w:p>
    <w:p w14:paraId="0B8B91C0" w14:textId="07DE74FC" w:rsidR="008F46BB" w:rsidRPr="00136B0C" w:rsidRDefault="008F46BB" w:rsidP="00136B0C">
      <w:pPr>
        <w:pStyle w:val="Textoindependiente"/>
        <w:tabs>
          <w:tab w:val="left" w:pos="6804"/>
        </w:tabs>
        <w:spacing w:line="276" w:lineRule="auto"/>
        <w:ind w:firstLine="1701"/>
        <w:rPr>
          <w:sz w:val="24"/>
          <w:szCs w:val="24"/>
        </w:rPr>
      </w:pPr>
      <w:r w:rsidRPr="00136B0C">
        <w:rPr>
          <w:sz w:val="24"/>
          <w:szCs w:val="24"/>
        </w:rPr>
        <w:t>Agencias en derecho segunda instancia…</w:t>
      </w:r>
      <w:r w:rsidRPr="00136B0C">
        <w:rPr>
          <w:sz w:val="24"/>
          <w:szCs w:val="24"/>
        </w:rPr>
        <w:tab/>
        <w:t>$13’500.000</w:t>
      </w:r>
      <w:r w:rsidR="00136B0C">
        <w:rPr>
          <w:sz w:val="24"/>
          <w:szCs w:val="24"/>
        </w:rPr>
        <w:t>,00</w:t>
      </w:r>
    </w:p>
    <w:p w14:paraId="04631C57" w14:textId="77777777" w:rsidR="008F46BB" w:rsidRPr="00136B0C" w:rsidRDefault="008F46BB" w:rsidP="00136B0C">
      <w:pPr>
        <w:pStyle w:val="Textoindependiente"/>
        <w:tabs>
          <w:tab w:val="left" w:pos="6804"/>
        </w:tabs>
        <w:spacing w:line="276" w:lineRule="auto"/>
        <w:ind w:firstLine="1701"/>
        <w:rPr>
          <w:sz w:val="24"/>
          <w:szCs w:val="24"/>
        </w:rPr>
      </w:pPr>
      <w:r w:rsidRPr="00136B0C">
        <w:rPr>
          <w:sz w:val="24"/>
          <w:szCs w:val="24"/>
        </w:rPr>
        <w:t>Gastos….</w:t>
      </w:r>
      <w:r w:rsidRPr="00136B0C">
        <w:rPr>
          <w:sz w:val="24"/>
          <w:szCs w:val="24"/>
        </w:rPr>
        <w:tab/>
        <w:t>$0</w:t>
      </w:r>
    </w:p>
    <w:p w14:paraId="47627E74" w14:textId="6CF8A244" w:rsidR="007800CB" w:rsidRPr="00136B0C" w:rsidRDefault="008F46BB" w:rsidP="00136B0C">
      <w:pPr>
        <w:pStyle w:val="Textoindependiente"/>
        <w:tabs>
          <w:tab w:val="left" w:pos="6804"/>
        </w:tabs>
        <w:spacing w:line="276" w:lineRule="auto"/>
        <w:ind w:firstLine="1701"/>
        <w:rPr>
          <w:sz w:val="24"/>
          <w:szCs w:val="24"/>
        </w:rPr>
      </w:pPr>
      <w:r w:rsidRPr="00136B0C">
        <w:rPr>
          <w:sz w:val="24"/>
          <w:szCs w:val="24"/>
        </w:rPr>
        <w:t>Total…</w:t>
      </w:r>
      <w:r w:rsidRPr="00136B0C">
        <w:rPr>
          <w:sz w:val="24"/>
          <w:szCs w:val="24"/>
        </w:rPr>
        <w:tab/>
        <w:t>$58’000.000</w:t>
      </w:r>
      <w:r w:rsidR="00136B0C">
        <w:rPr>
          <w:sz w:val="24"/>
          <w:szCs w:val="24"/>
        </w:rPr>
        <w:t>,00</w:t>
      </w:r>
      <w:r w:rsidRPr="00136B0C">
        <w:rPr>
          <w:sz w:val="24"/>
          <w:szCs w:val="24"/>
        </w:rPr>
        <w:t>.</w:t>
      </w:r>
    </w:p>
    <w:p w14:paraId="686EEFF7" w14:textId="77777777" w:rsidR="008F46BB" w:rsidRPr="00136B0C" w:rsidRDefault="008F46BB" w:rsidP="00136B0C">
      <w:pPr>
        <w:pStyle w:val="Textoindependiente"/>
        <w:spacing w:line="276" w:lineRule="auto"/>
        <w:ind w:firstLine="1701"/>
        <w:rPr>
          <w:sz w:val="24"/>
          <w:szCs w:val="24"/>
        </w:rPr>
      </w:pPr>
    </w:p>
    <w:p w14:paraId="56BFAB20" w14:textId="45DDC8D8" w:rsidR="007800CB" w:rsidRPr="00136B0C" w:rsidRDefault="007800CB" w:rsidP="00136B0C">
      <w:pPr>
        <w:pStyle w:val="Textoindependiente"/>
        <w:spacing w:line="276" w:lineRule="auto"/>
        <w:ind w:firstLine="1701"/>
        <w:jc w:val="both"/>
        <w:rPr>
          <w:sz w:val="24"/>
          <w:szCs w:val="24"/>
        </w:rPr>
      </w:pPr>
      <w:r w:rsidRPr="00136B0C">
        <w:rPr>
          <w:sz w:val="24"/>
          <w:szCs w:val="24"/>
        </w:rPr>
        <w:t xml:space="preserve">Con estos valores, se le imparte aprobación a la liquidación. </w:t>
      </w:r>
    </w:p>
    <w:p w14:paraId="10B6147A" w14:textId="42A889EA" w:rsidR="002C54CF" w:rsidRPr="00136B0C" w:rsidRDefault="002C54CF" w:rsidP="00136B0C">
      <w:pPr>
        <w:pStyle w:val="Textoindependiente"/>
        <w:spacing w:line="276" w:lineRule="auto"/>
        <w:ind w:left="3195"/>
        <w:rPr>
          <w:sz w:val="24"/>
          <w:szCs w:val="24"/>
        </w:rPr>
      </w:pPr>
      <w:r w:rsidRPr="00136B0C">
        <w:rPr>
          <w:sz w:val="24"/>
          <w:szCs w:val="24"/>
        </w:rPr>
        <w:t xml:space="preserve"> </w:t>
      </w:r>
    </w:p>
    <w:p w14:paraId="52B43F0B" w14:textId="77777777" w:rsidR="00C5222C" w:rsidRPr="00136B0C" w:rsidRDefault="00C5222C" w:rsidP="00136B0C">
      <w:pPr>
        <w:pStyle w:val="Sangradetextonormal"/>
        <w:spacing w:after="0" w:line="276" w:lineRule="auto"/>
        <w:ind w:left="1276" w:firstLine="425"/>
        <w:rPr>
          <w:rFonts w:ascii="Gadugi" w:hAnsi="Gadugi" w:cs="Courier New"/>
          <w:sz w:val="24"/>
          <w:szCs w:val="24"/>
        </w:rPr>
      </w:pPr>
      <w:r w:rsidRPr="00136B0C">
        <w:rPr>
          <w:rFonts w:ascii="Gadugi" w:hAnsi="Gadugi" w:cs="Courier New"/>
          <w:sz w:val="24"/>
          <w:szCs w:val="24"/>
        </w:rPr>
        <w:t xml:space="preserve">Notifíquese </w:t>
      </w:r>
    </w:p>
    <w:p w14:paraId="67E3648E" w14:textId="77777777" w:rsidR="00C5222C" w:rsidRPr="00136B0C" w:rsidRDefault="00C5222C" w:rsidP="00136B0C">
      <w:pPr>
        <w:spacing w:after="0" w:line="276" w:lineRule="auto"/>
        <w:ind w:firstLine="2835"/>
        <w:jc w:val="both"/>
        <w:rPr>
          <w:rFonts w:ascii="Gadugi" w:hAnsi="Gadugi" w:cs="Courier New"/>
          <w:sz w:val="24"/>
          <w:szCs w:val="24"/>
        </w:rPr>
      </w:pPr>
    </w:p>
    <w:p w14:paraId="19959A71" w14:textId="77777777" w:rsidR="00C5222C" w:rsidRPr="00136B0C" w:rsidRDefault="00C5222C" w:rsidP="00136B0C">
      <w:pPr>
        <w:spacing w:after="0" w:line="276" w:lineRule="auto"/>
        <w:ind w:left="2124" w:firstLine="2832"/>
        <w:jc w:val="both"/>
        <w:rPr>
          <w:rFonts w:ascii="Gadugi" w:hAnsi="Gadugi" w:cs="Courier New"/>
          <w:b/>
          <w:sz w:val="24"/>
          <w:szCs w:val="24"/>
        </w:rPr>
      </w:pPr>
    </w:p>
    <w:p w14:paraId="1B52A863" w14:textId="77777777" w:rsidR="00C5222C" w:rsidRPr="00136B0C" w:rsidRDefault="00C5222C" w:rsidP="00136B0C">
      <w:pPr>
        <w:spacing w:after="0" w:line="276" w:lineRule="auto"/>
        <w:ind w:left="2124" w:firstLine="2832"/>
        <w:jc w:val="both"/>
        <w:rPr>
          <w:rFonts w:ascii="Gadugi" w:hAnsi="Gadugi" w:cs="Courier New"/>
          <w:b/>
          <w:sz w:val="24"/>
          <w:szCs w:val="24"/>
        </w:rPr>
      </w:pPr>
    </w:p>
    <w:p w14:paraId="4D128E71" w14:textId="77777777" w:rsidR="00C5222C" w:rsidRPr="00136B0C" w:rsidRDefault="00C5222C" w:rsidP="00136B0C">
      <w:pPr>
        <w:spacing w:after="0" w:line="276" w:lineRule="auto"/>
        <w:ind w:left="2124" w:firstLine="2832"/>
        <w:jc w:val="both"/>
        <w:rPr>
          <w:rFonts w:ascii="Gadugi" w:hAnsi="Gadugi" w:cs="Courier New"/>
          <w:b/>
          <w:sz w:val="24"/>
          <w:szCs w:val="24"/>
        </w:rPr>
      </w:pPr>
    </w:p>
    <w:p w14:paraId="5BEF72E5" w14:textId="77777777" w:rsidR="00C5222C" w:rsidRPr="00136B0C" w:rsidRDefault="00C5222C" w:rsidP="00136B0C">
      <w:pPr>
        <w:pStyle w:val="Ttulo1"/>
        <w:spacing w:line="276" w:lineRule="auto"/>
        <w:ind w:left="0" w:firstLine="1701"/>
        <w:rPr>
          <w:rFonts w:ascii="Gadugi" w:hAnsi="Gadugi"/>
          <w:szCs w:val="24"/>
        </w:rPr>
      </w:pPr>
      <w:r w:rsidRPr="00136B0C">
        <w:rPr>
          <w:rFonts w:ascii="Gadugi" w:hAnsi="Gadugi"/>
          <w:szCs w:val="24"/>
        </w:rPr>
        <w:t xml:space="preserve">JAIME ALBERTO SARAZA NARANJO              </w:t>
      </w:r>
    </w:p>
    <w:p w14:paraId="6877E2BD" w14:textId="4FF3D501" w:rsidR="00C5222C" w:rsidRPr="00136B0C" w:rsidRDefault="00C5222C" w:rsidP="00136B0C">
      <w:pPr>
        <w:spacing w:after="0" w:line="276" w:lineRule="auto"/>
        <w:ind w:firstLine="1701"/>
        <w:jc w:val="both"/>
        <w:rPr>
          <w:rFonts w:ascii="Gadugi" w:hAnsi="Gadugi"/>
          <w:sz w:val="24"/>
          <w:szCs w:val="24"/>
        </w:rPr>
      </w:pPr>
      <w:r w:rsidRPr="00136B0C">
        <w:rPr>
          <w:rFonts w:ascii="Gadugi" w:hAnsi="Gadugi" w:cs="Courier New"/>
          <w:sz w:val="24"/>
          <w:szCs w:val="24"/>
        </w:rPr>
        <w:t>Magistrado</w:t>
      </w:r>
    </w:p>
    <w:sectPr w:rsidR="00C5222C" w:rsidRPr="00136B0C" w:rsidSect="00120B3D">
      <w:footerReference w:type="default" r:id="rId11"/>
      <w:pgSz w:w="12240" w:h="18720" w:code="258"/>
      <w:pgMar w:top="1928" w:right="1361" w:bottom="1361" w:left="192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FDF08" w14:textId="77777777" w:rsidR="00AF234C" w:rsidRDefault="00AF234C" w:rsidP="00F659A4">
      <w:pPr>
        <w:spacing w:after="0" w:line="240" w:lineRule="auto"/>
      </w:pPr>
      <w:r>
        <w:separator/>
      </w:r>
    </w:p>
  </w:endnote>
  <w:endnote w:type="continuationSeparator" w:id="0">
    <w:p w14:paraId="09FE8CFC" w14:textId="77777777" w:rsidR="00AF234C" w:rsidRDefault="00AF234C" w:rsidP="00F659A4">
      <w:pPr>
        <w:spacing w:after="0" w:line="240" w:lineRule="auto"/>
      </w:pPr>
      <w:r>
        <w:continuationSeparator/>
      </w:r>
    </w:p>
  </w:endnote>
  <w:endnote w:type="continuationNotice" w:id="1">
    <w:p w14:paraId="36922457" w14:textId="77777777" w:rsidR="00AF234C" w:rsidRDefault="00AF23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MS ??">
    <w:altName w:val="MS Gothic"/>
    <w:panose1 w:val="00000000000000000000"/>
    <w:charset w:val="80"/>
    <w:family w:val="auto"/>
    <w:notTrueType/>
    <w:pitch w:val="variable"/>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Estrangelo Edessa">
    <w:panose1 w:val="00000000000000000000"/>
    <w:charset w:val="01"/>
    <w:family w:val="roman"/>
    <w:notTrueType/>
    <w:pitch w:val="variable"/>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189068"/>
      <w:docPartObj>
        <w:docPartGallery w:val="Page Numbers (Bottom of Page)"/>
        <w:docPartUnique/>
      </w:docPartObj>
    </w:sdtPr>
    <w:sdtEndPr>
      <w:rPr>
        <w:rFonts w:ascii="Arial" w:hAnsi="Arial" w:cs="Arial"/>
        <w:sz w:val="18"/>
      </w:rPr>
    </w:sdtEndPr>
    <w:sdtContent>
      <w:p w14:paraId="7F90D014" w14:textId="10933136" w:rsidR="00051953" w:rsidRPr="00136B0C" w:rsidRDefault="00051953" w:rsidP="00136B0C">
        <w:pPr>
          <w:pStyle w:val="Piedepgina"/>
          <w:jc w:val="right"/>
          <w:rPr>
            <w:rFonts w:ascii="Arial" w:hAnsi="Arial" w:cs="Arial"/>
            <w:sz w:val="18"/>
          </w:rPr>
        </w:pPr>
        <w:r w:rsidRPr="00136B0C">
          <w:rPr>
            <w:rFonts w:ascii="Arial" w:hAnsi="Arial" w:cs="Arial"/>
            <w:sz w:val="18"/>
          </w:rPr>
          <w:fldChar w:fldCharType="begin"/>
        </w:r>
        <w:r w:rsidRPr="00136B0C">
          <w:rPr>
            <w:rFonts w:ascii="Arial" w:hAnsi="Arial" w:cs="Arial"/>
            <w:sz w:val="18"/>
          </w:rPr>
          <w:instrText>PAGE   \* MERGEFORMAT</w:instrText>
        </w:r>
        <w:r w:rsidRPr="00136B0C">
          <w:rPr>
            <w:rFonts w:ascii="Arial" w:hAnsi="Arial" w:cs="Arial"/>
            <w:sz w:val="18"/>
          </w:rPr>
          <w:fldChar w:fldCharType="separate"/>
        </w:r>
        <w:r w:rsidRPr="00136B0C">
          <w:rPr>
            <w:rFonts w:ascii="Arial" w:hAnsi="Arial" w:cs="Arial"/>
            <w:sz w:val="18"/>
            <w:lang w:val="es-ES"/>
          </w:rPr>
          <w:t>2</w:t>
        </w:r>
        <w:r w:rsidRPr="00136B0C">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7B6BD" w14:textId="77777777" w:rsidR="00AF234C" w:rsidRDefault="00AF234C" w:rsidP="00F659A4">
      <w:pPr>
        <w:spacing w:after="0" w:line="240" w:lineRule="auto"/>
      </w:pPr>
      <w:r>
        <w:separator/>
      </w:r>
    </w:p>
  </w:footnote>
  <w:footnote w:type="continuationSeparator" w:id="0">
    <w:p w14:paraId="556B45AA" w14:textId="77777777" w:rsidR="00AF234C" w:rsidRDefault="00AF234C" w:rsidP="00F659A4">
      <w:pPr>
        <w:spacing w:after="0" w:line="240" w:lineRule="auto"/>
      </w:pPr>
      <w:r>
        <w:continuationSeparator/>
      </w:r>
    </w:p>
  </w:footnote>
  <w:footnote w:type="continuationNotice" w:id="1">
    <w:p w14:paraId="65E83AA0" w14:textId="77777777" w:rsidR="00AF234C" w:rsidRDefault="00AF234C">
      <w:pPr>
        <w:spacing w:after="0" w:line="240" w:lineRule="auto"/>
      </w:pPr>
    </w:p>
  </w:footnote>
  <w:footnote w:id="2">
    <w:p w14:paraId="7EA4C0D5" w14:textId="11B09E9B" w:rsidR="00051953" w:rsidRPr="00136B0C" w:rsidRDefault="00051953" w:rsidP="00136B0C">
      <w:pPr>
        <w:pStyle w:val="Textonotapie"/>
        <w:jc w:val="both"/>
        <w:rPr>
          <w:rFonts w:ascii="Century" w:hAnsi="Century"/>
          <w:sz w:val="18"/>
          <w:szCs w:val="24"/>
          <w:lang w:val="es-419"/>
        </w:rPr>
      </w:pPr>
      <w:r w:rsidRPr="00136B0C">
        <w:rPr>
          <w:rStyle w:val="Refdenotaalpie"/>
          <w:rFonts w:ascii="Century" w:hAnsi="Century"/>
          <w:sz w:val="18"/>
          <w:szCs w:val="24"/>
        </w:rPr>
        <w:footnoteRef/>
      </w:r>
      <w:r w:rsidRPr="00136B0C">
        <w:rPr>
          <w:rFonts w:ascii="Century" w:hAnsi="Century"/>
          <w:sz w:val="18"/>
          <w:szCs w:val="24"/>
        </w:rPr>
        <w:t xml:space="preserve"> </w:t>
      </w:r>
      <w:r w:rsidRPr="00136B0C">
        <w:rPr>
          <w:rFonts w:ascii="Century" w:hAnsi="Century"/>
          <w:sz w:val="18"/>
          <w:szCs w:val="24"/>
          <w:lang w:val="es-419"/>
        </w:rPr>
        <w:t xml:space="preserve">P. 36, c. ppal. Parte V. </w:t>
      </w:r>
    </w:p>
  </w:footnote>
  <w:footnote w:id="3">
    <w:p w14:paraId="7924FBC1" w14:textId="7A14F15D" w:rsidR="00051953" w:rsidRPr="00136B0C" w:rsidRDefault="00051953" w:rsidP="00136B0C">
      <w:pPr>
        <w:pStyle w:val="Textonotapie"/>
        <w:jc w:val="both"/>
        <w:rPr>
          <w:rFonts w:ascii="Century" w:hAnsi="Century"/>
          <w:sz w:val="18"/>
          <w:szCs w:val="24"/>
          <w:lang w:val="es-419"/>
        </w:rPr>
      </w:pPr>
      <w:r w:rsidRPr="00136B0C">
        <w:rPr>
          <w:rStyle w:val="Refdenotaalpie"/>
          <w:rFonts w:ascii="Century" w:hAnsi="Century"/>
          <w:sz w:val="18"/>
          <w:szCs w:val="24"/>
        </w:rPr>
        <w:footnoteRef/>
      </w:r>
      <w:r w:rsidRPr="00136B0C">
        <w:rPr>
          <w:rFonts w:ascii="Century" w:hAnsi="Century"/>
          <w:sz w:val="18"/>
          <w:szCs w:val="24"/>
        </w:rPr>
        <w:t xml:space="preserve"> </w:t>
      </w:r>
      <w:r w:rsidRPr="00136B0C">
        <w:rPr>
          <w:rFonts w:ascii="Century" w:hAnsi="Century"/>
          <w:sz w:val="18"/>
          <w:szCs w:val="24"/>
          <w:lang w:val="es-419"/>
        </w:rPr>
        <w:t xml:space="preserve">P. 49 ib. </w:t>
      </w:r>
    </w:p>
  </w:footnote>
  <w:footnote w:id="4">
    <w:p w14:paraId="4A12CA8B" w14:textId="3641B138" w:rsidR="00051953" w:rsidRPr="00136B0C" w:rsidRDefault="00051953" w:rsidP="00136B0C">
      <w:pPr>
        <w:pStyle w:val="Textonotapie"/>
        <w:jc w:val="both"/>
        <w:rPr>
          <w:rFonts w:ascii="Century" w:hAnsi="Century"/>
          <w:sz w:val="18"/>
          <w:szCs w:val="24"/>
          <w:lang w:val="es-419"/>
        </w:rPr>
      </w:pPr>
      <w:r w:rsidRPr="00136B0C">
        <w:rPr>
          <w:rStyle w:val="Refdenotaalpie"/>
          <w:rFonts w:ascii="Century" w:hAnsi="Century"/>
          <w:sz w:val="18"/>
          <w:szCs w:val="24"/>
        </w:rPr>
        <w:footnoteRef/>
      </w:r>
      <w:r w:rsidRPr="00136B0C">
        <w:rPr>
          <w:rFonts w:ascii="Century" w:hAnsi="Century"/>
          <w:sz w:val="18"/>
          <w:szCs w:val="24"/>
        </w:rPr>
        <w:t xml:space="preserve"> </w:t>
      </w:r>
      <w:r w:rsidRPr="00136B0C">
        <w:rPr>
          <w:rFonts w:ascii="Century" w:hAnsi="Century"/>
          <w:sz w:val="18"/>
          <w:szCs w:val="24"/>
          <w:lang w:val="es-419"/>
        </w:rPr>
        <w:t xml:space="preserve">P. 51 ib. </w:t>
      </w:r>
    </w:p>
  </w:footnote>
  <w:footnote w:id="5">
    <w:p w14:paraId="3E6BFC56" w14:textId="03DB5419" w:rsidR="00051953" w:rsidRPr="00136B0C" w:rsidRDefault="00051953" w:rsidP="00136B0C">
      <w:pPr>
        <w:pStyle w:val="Textonotapie"/>
        <w:jc w:val="both"/>
        <w:rPr>
          <w:rFonts w:ascii="Century" w:hAnsi="Century"/>
          <w:sz w:val="18"/>
          <w:szCs w:val="24"/>
          <w:lang w:val="es-419"/>
        </w:rPr>
      </w:pPr>
      <w:r w:rsidRPr="00136B0C">
        <w:rPr>
          <w:rStyle w:val="Refdenotaalpie"/>
          <w:rFonts w:ascii="Century" w:hAnsi="Century"/>
          <w:sz w:val="18"/>
          <w:szCs w:val="24"/>
        </w:rPr>
        <w:footnoteRef/>
      </w:r>
      <w:r w:rsidRPr="00136B0C">
        <w:rPr>
          <w:rFonts w:ascii="Century" w:hAnsi="Century"/>
          <w:sz w:val="18"/>
          <w:szCs w:val="24"/>
        </w:rPr>
        <w:t xml:space="preserve"> </w:t>
      </w:r>
      <w:r w:rsidRPr="00136B0C">
        <w:rPr>
          <w:rFonts w:ascii="Century" w:hAnsi="Century"/>
          <w:sz w:val="18"/>
          <w:szCs w:val="24"/>
          <w:lang w:val="es-419"/>
        </w:rPr>
        <w:t xml:space="preserve">P. 53 y 54 ib. </w:t>
      </w:r>
    </w:p>
  </w:footnote>
  <w:footnote w:id="6">
    <w:p w14:paraId="354A0AD2" w14:textId="0F739F8F" w:rsidR="00051953" w:rsidRPr="00136B0C" w:rsidRDefault="00051953" w:rsidP="00136B0C">
      <w:pPr>
        <w:pStyle w:val="Textonotapie"/>
        <w:jc w:val="both"/>
        <w:rPr>
          <w:rFonts w:ascii="Century" w:hAnsi="Century"/>
          <w:sz w:val="18"/>
          <w:szCs w:val="24"/>
          <w:lang w:val="es-419"/>
        </w:rPr>
      </w:pPr>
      <w:r w:rsidRPr="00136B0C">
        <w:rPr>
          <w:rStyle w:val="Refdenotaalpie"/>
          <w:rFonts w:ascii="Century" w:hAnsi="Century"/>
          <w:sz w:val="18"/>
          <w:szCs w:val="24"/>
        </w:rPr>
        <w:footnoteRef/>
      </w:r>
      <w:r w:rsidRPr="00136B0C">
        <w:rPr>
          <w:rFonts w:ascii="Century" w:hAnsi="Century"/>
          <w:sz w:val="18"/>
          <w:szCs w:val="24"/>
        </w:rPr>
        <w:t xml:space="preserve"> </w:t>
      </w:r>
      <w:proofErr w:type="spellStart"/>
      <w:r w:rsidRPr="00136B0C">
        <w:rPr>
          <w:rFonts w:ascii="Century" w:hAnsi="Century"/>
          <w:sz w:val="18"/>
          <w:szCs w:val="24"/>
          <w:lang w:val="es-419"/>
        </w:rPr>
        <w:t>Arch</w:t>
      </w:r>
      <w:proofErr w:type="spellEnd"/>
      <w:r w:rsidRPr="00136B0C">
        <w:rPr>
          <w:rFonts w:ascii="Century" w:hAnsi="Century"/>
          <w:sz w:val="18"/>
          <w:szCs w:val="24"/>
          <w:lang w:val="es-419"/>
        </w:rPr>
        <w:t>. 11</w:t>
      </w:r>
    </w:p>
  </w:footnote>
  <w:footnote w:id="7">
    <w:p w14:paraId="12EDC32E" w14:textId="4E71DE4C" w:rsidR="00051953" w:rsidRPr="00136B0C" w:rsidRDefault="00051953" w:rsidP="00136B0C">
      <w:pPr>
        <w:pStyle w:val="Textonotapie"/>
        <w:jc w:val="both"/>
        <w:rPr>
          <w:rFonts w:ascii="Century" w:hAnsi="Century"/>
          <w:sz w:val="18"/>
          <w:szCs w:val="24"/>
          <w:lang w:val="es-419"/>
        </w:rPr>
      </w:pPr>
      <w:r w:rsidRPr="00136B0C">
        <w:rPr>
          <w:rStyle w:val="Refdenotaalpie"/>
          <w:rFonts w:ascii="Century" w:hAnsi="Century"/>
          <w:sz w:val="18"/>
          <w:szCs w:val="24"/>
        </w:rPr>
        <w:footnoteRef/>
      </w:r>
      <w:r w:rsidRPr="00136B0C">
        <w:rPr>
          <w:rFonts w:ascii="Century" w:hAnsi="Century"/>
          <w:sz w:val="18"/>
          <w:szCs w:val="24"/>
        </w:rPr>
        <w:t xml:space="preserve"> </w:t>
      </w:r>
      <w:proofErr w:type="spellStart"/>
      <w:r w:rsidRPr="00136B0C">
        <w:rPr>
          <w:rFonts w:ascii="Century" w:hAnsi="Century"/>
          <w:sz w:val="18"/>
          <w:szCs w:val="24"/>
          <w:lang w:val="es-419"/>
        </w:rPr>
        <w:t>Arch</w:t>
      </w:r>
      <w:proofErr w:type="spellEnd"/>
      <w:r w:rsidRPr="00136B0C">
        <w:rPr>
          <w:rFonts w:ascii="Century" w:hAnsi="Century"/>
          <w:sz w:val="18"/>
          <w:szCs w:val="24"/>
          <w:lang w:val="es-419"/>
        </w:rPr>
        <w:t xml:space="preserve">. 12 </w:t>
      </w:r>
    </w:p>
  </w:footnote>
  <w:footnote w:id="8">
    <w:p w14:paraId="58686511" w14:textId="38C09070" w:rsidR="00051953" w:rsidRPr="00136B0C" w:rsidRDefault="00051953" w:rsidP="00136B0C">
      <w:pPr>
        <w:pStyle w:val="Textonotapie"/>
        <w:jc w:val="both"/>
        <w:rPr>
          <w:rFonts w:ascii="Century" w:hAnsi="Century"/>
          <w:sz w:val="18"/>
          <w:szCs w:val="24"/>
          <w:lang w:val="es-419"/>
        </w:rPr>
      </w:pPr>
      <w:r w:rsidRPr="00136B0C">
        <w:rPr>
          <w:rStyle w:val="Refdenotaalpie"/>
          <w:rFonts w:ascii="Century" w:hAnsi="Century"/>
          <w:sz w:val="18"/>
          <w:szCs w:val="24"/>
        </w:rPr>
        <w:footnoteRef/>
      </w:r>
      <w:r w:rsidRPr="00136B0C">
        <w:rPr>
          <w:rFonts w:ascii="Century" w:hAnsi="Century"/>
          <w:sz w:val="18"/>
          <w:szCs w:val="24"/>
        </w:rPr>
        <w:t xml:space="preserve"> </w:t>
      </w:r>
      <w:proofErr w:type="spellStart"/>
      <w:r w:rsidRPr="00136B0C">
        <w:rPr>
          <w:rFonts w:ascii="Century" w:hAnsi="Century"/>
          <w:sz w:val="18"/>
          <w:szCs w:val="24"/>
          <w:lang w:val="es-419"/>
        </w:rPr>
        <w:t>Arch</w:t>
      </w:r>
      <w:proofErr w:type="spellEnd"/>
      <w:r w:rsidRPr="00136B0C">
        <w:rPr>
          <w:rFonts w:ascii="Century" w:hAnsi="Century"/>
          <w:sz w:val="18"/>
          <w:szCs w:val="24"/>
          <w:lang w:val="es-419"/>
        </w:rPr>
        <w:t>. 15</w:t>
      </w:r>
    </w:p>
  </w:footnote>
  <w:footnote w:id="9">
    <w:p w14:paraId="075A6D23" w14:textId="4B4139FD" w:rsidR="00051953" w:rsidRPr="00136B0C" w:rsidRDefault="00051953" w:rsidP="00136B0C">
      <w:pPr>
        <w:pStyle w:val="Textonotapie"/>
        <w:jc w:val="both"/>
        <w:rPr>
          <w:rFonts w:ascii="Century" w:hAnsi="Century"/>
          <w:sz w:val="18"/>
          <w:szCs w:val="24"/>
          <w:lang w:val="es-419"/>
        </w:rPr>
      </w:pPr>
      <w:r w:rsidRPr="00136B0C">
        <w:rPr>
          <w:rStyle w:val="Refdenotaalpie"/>
          <w:rFonts w:ascii="Century" w:hAnsi="Century"/>
          <w:sz w:val="18"/>
          <w:szCs w:val="24"/>
        </w:rPr>
        <w:footnoteRef/>
      </w:r>
      <w:r w:rsidRPr="00136B0C">
        <w:rPr>
          <w:rFonts w:ascii="Century" w:hAnsi="Century"/>
          <w:sz w:val="18"/>
          <w:szCs w:val="24"/>
        </w:rPr>
        <w:t xml:space="preserve"> </w:t>
      </w:r>
      <w:proofErr w:type="spellStart"/>
      <w:r w:rsidRPr="00136B0C">
        <w:rPr>
          <w:rFonts w:ascii="Century" w:hAnsi="Century"/>
          <w:sz w:val="18"/>
          <w:szCs w:val="24"/>
          <w:lang w:val="es-419"/>
        </w:rPr>
        <w:t>Arch</w:t>
      </w:r>
      <w:proofErr w:type="spellEnd"/>
      <w:r w:rsidRPr="00136B0C">
        <w:rPr>
          <w:rFonts w:ascii="Century" w:hAnsi="Century"/>
          <w:sz w:val="18"/>
          <w:szCs w:val="24"/>
          <w:lang w:val="es-419"/>
        </w:rPr>
        <w:t>. 14</w:t>
      </w:r>
    </w:p>
  </w:footnote>
  <w:footnote w:id="10">
    <w:p w14:paraId="00DAD38C" w14:textId="4D45C3CA" w:rsidR="00051953" w:rsidRPr="00136B0C" w:rsidRDefault="00051953" w:rsidP="00136B0C">
      <w:pPr>
        <w:pStyle w:val="Textonotapie"/>
        <w:jc w:val="both"/>
        <w:rPr>
          <w:rFonts w:ascii="Century" w:hAnsi="Century"/>
          <w:sz w:val="18"/>
          <w:szCs w:val="24"/>
          <w:lang w:val="es-419"/>
        </w:rPr>
      </w:pPr>
      <w:r w:rsidRPr="00136B0C">
        <w:rPr>
          <w:rStyle w:val="Refdenotaalpie"/>
          <w:rFonts w:ascii="Century" w:hAnsi="Century"/>
          <w:sz w:val="18"/>
          <w:szCs w:val="24"/>
        </w:rPr>
        <w:footnoteRef/>
      </w:r>
      <w:r w:rsidRPr="00136B0C">
        <w:rPr>
          <w:rFonts w:ascii="Century" w:hAnsi="Century"/>
          <w:sz w:val="18"/>
          <w:szCs w:val="24"/>
        </w:rPr>
        <w:t xml:space="preserve"> </w:t>
      </w:r>
      <w:proofErr w:type="spellStart"/>
      <w:r w:rsidRPr="00136B0C">
        <w:rPr>
          <w:rFonts w:ascii="Century" w:hAnsi="Century"/>
          <w:sz w:val="18"/>
          <w:szCs w:val="24"/>
          <w:lang w:val="es-419"/>
        </w:rPr>
        <w:t>Arch</w:t>
      </w:r>
      <w:proofErr w:type="spellEnd"/>
      <w:r w:rsidRPr="00136B0C">
        <w:rPr>
          <w:rFonts w:ascii="Century" w:hAnsi="Century"/>
          <w:sz w:val="18"/>
          <w:szCs w:val="24"/>
          <w:lang w:val="es-419"/>
        </w:rPr>
        <w:t>. 16</w:t>
      </w:r>
    </w:p>
  </w:footnote>
  <w:footnote w:id="11">
    <w:p w14:paraId="6E6C1DA5" w14:textId="4AD029B0" w:rsidR="00ED09B1" w:rsidRPr="00136B0C" w:rsidRDefault="00ED09B1" w:rsidP="00136B0C">
      <w:pPr>
        <w:pStyle w:val="Textonotapie"/>
        <w:jc w:val="both"/>
        <w:rPr>
          <w:rFonts w:ascii="Century" w:hAnsi="Century"/>
          <w:sz w:val="18"/>
          <w:szCs w:val="24"/>
          <w:lang w:val="es-419"/>
        </w:rPr>
      </w:pPr>
      <w:r w:rsidRPr="00136B0C">
        <w:rPr>
          <w:rStyle w:val="Refdenotaalpie"/>
          <w:rFonts w:ascii="Century" w:hAnsi="Century"/>
          <w:sz w:val="18"/>
          <w:szCs w:val="24"/>
        </w:rPr>
        <w:footnoteRef/>
      </w:r>
      <w:r w:rsidRPr="00136B0C">
        <w:rPr>
          <w:rFonts w:ascii="Century" w:hAnsi="Century"/>
          <w:sz w:val="18"/>
          <w:szCs w:val="24"/>
        </w:rPr>
        <w:t xml:space="preserve"> </w:t>
      </w:r>
      <w:r w:rsidRPr="00136B0C">
        <w:rPr>
          <w:rFonts w:ascii="Century" w:hAnsi="Century"/>
          <w:b/>
          <w:sz w:val="18"/>
          <w:szCs w:val="24"/>
        </w:rPr>
        <w:t>Sentencia T-625/16</w:t>
      </w:r>
    </w:p>
  </w:footnote>
  <w:footnote w:id="12">
    <w:p w14:paraId="55FA6539" w14:textId="77777777" w:rsidR="001168E7" w:rsidRPr="00136B0C" w:rsidRDefault="001168E7" w:rsidP="00136B0C">
      <w:pPr>
        <w:pStyle w:val="Textonotapie"/>
        <w:jc w:val="both"/>
        <w:rPr>
          <w:rFonts w:ascii="Century" w:hAnsi="Century"/>
          <w:i/>
          <w:iCs/>
          <w:sz w:val="18"/>
          <w:szCs w:val="24"/>
        </w:rPr>
      </w:pPr>
      <w:r w:rsidRPr="00136B0C">
        <w:rPr>
          <w:rFonts w:ascii="Century" w:hAnsi="Century"/>
          <w:sz w:val="18"/>
          <w:szCs w:val="24"/>
          <w:vertAlign w:val="superscript"/>
        </w:rPr>
        <w:footnoteRef/>
      </w:r>
      <w:r w:rsidRPr="00136B0C">
        <w:rPr>
          <w:rFonts w:ascii="Century" w:hAnsi="Century"/>
          <w:sz w:val="18"/>
          <w:szCs w:val="24"/>
        </w:rPr>
        <w:t xml:space="preserve"> </w:t>
      </w:r>
      <w:r w:rsidRPr="00136B0C">
        <w:rPr>
          <w:rFonts w:ascii="Century" w:hAnsi="Century"/>
          <w:i/>
          <w:iCs/>
          <w:sz w:val="18"/>
          <w:szCs w:val="24"/>
        </w:rPr>
        <w:t>“C.P.C. Artículo 393. ...</w:t>
      </w:r>
    </w:p>
    <w:p w14:paraId="020A2D74" w14:textId="77777777" w:rsidR="001168E7" w:rsidRPr="00136B0C" w:rsidRDefault="001168E7" w:rsidP="00136B0C">
      <w:pPr>
        <w:pStyle w:val="Textonotapie"/>
        <w:jc w:val="both"/>
        <w:rPr>
          <w:rFonts w:ascii="Century" w:hAnsi="Century"/>
          <w:i/>
          <w:iCs/>
          <w:sz w:val="18"/>
          <w:szCs w:val="24"/>
        </w:rPr>
      </w:pPr>
      <w:r w:rsidRPr="00136B0C">
        <w:rPr>
          <w:rFonts w:ascii="Century" w:hAnsi="Century"/>
          <w:i/>
          <w:iCs/>
          <w:sz w:val="18"/>
          <w:szCs w:val="24"/>
        </w:rPr>
        <w:t>3. Para la fijación de agencias en derecho deberán aplicarse las tarifas que establezca el Consejo Superior de la Judicatura. Si aquéllas establecen solamente un mínimo, o éste y un máximo, el juez tendrá además en cuenta la naturaleza, calidad y duración de la gestión realizada por el apoderado o la parte que litigó personalmente, la cuantía del proceso y otras circunstancias especiales, sin que pueda exceder el máximo de dichas tarifas.</w:t>
      </w:r>
    </w:p>
    <w:p w14:paraId="5B7E6446" w14:textId="77777777" w:rsidR="001168E7" w:rsidRPr="00136B0C" w:rsidRDefault="001168E7" w:rsidP="00136B0C">
      <w:pPr>
        <w:pStyle w:val="Textonotapie"/>
        <w:jc w:val="both"/>
        <w:rPr>
          <w:rFonts w:ascii="Century" w:hAnsi="Century"/>
          <w:sz w:val="18"/>
          <w:szCs w:val="24"/>
        </w:rPr>
      </w:pPr>
      <w:r w:rsidRPr="00136B0C">
        <w:rPr>
          <w:rFonts w:ascii="Century" w:hAnsi="Century"/>
          <w:i/>
          <w:iCs/>
          <w:sz w:val="18"/>
          <w:szCs w:val="24"/>
        </w:rPr>
        <w:t>Sólo podrá reclamarse la fijación de agencias en derecho mediante objeción a la liquidación de costas.”</w:t>
      </w:r>
    </w:p>
  </w:footnote>
  <w:footnote w:id="13">
    <w:p w14:paraId="1AD9C6EC" w14:textId="77777777" w:rsidR="001168E7" w:rsidRPr="00136B0C" w:rsidRDefault="001168E7" w:rsidP="00136B0C">
      <w:pPr>
        <w:pStyle w:val="Textonotapie"/>
        <w:jc w:val="both"/>
        <w:rPr>
          <w:rFonts w:ascii="Century" w:hAnsi="Century"/>
          <w:sz w:val="18"/>
          <w:szCs w:val="24"/>
        </w:rPr>
      </w:pPr>
      <w:r w:rsidRPr="00136B0C">
        <w:rPr>
          <w:rFonts w:ascii="Century" w:hAnsi="Century"/>
          <w:sz w:val="18"/>
          <w:szCs w:val="24"/>
          <w:vertAlign w:val="superscript"/>
        </w:rPr>
        <w:footnoteRef/>
      </w:r>
      <w:r w:rsidRPr="00136B0C">
        <w:rPr>
          <w:rFonts w:ascii="Century" w:hAnsi="Century"/>
          <w:sz w:val="18"/>
          <w:szCs w:val="24"/>
        </w:rPr>
        <w:t xml:space="preserve"> Cf. Sentencia C-539 de 1999, M.P Eduardo Cifuentes Muñoz.</w:t>
      </w:r>
    </w:p>
  </w:footnote>
  <w:footnote w:id="14">
    <w:p w14:paraId="1B00C7AF" w14:textId="6E5C49E0" w:rsidR="00ED09B1" w:rsidRPr="00136B0C" w:rsidRDefault="00ED09B1" w:rsidP="00136B0C">
      <w:pPr>
        <w:pStyle w:val="Textonotapie"/>
        <w:jc w:val="both"/>
        <w:rPr>
          <w:rFonts w:ascii="Century" w:hAnsi="Century"/>
          <w:sz w:val="18"/>
          <w:szCs w:val="24"/>
          <w:lang w:val="es-419"/>
        </w:rPr>
      </w:pPr>
      <w:r w:rsidRPr="00136B0C">
        <w:rPr>
          <w:rStyle w:val="Refdenotaalpie"/>
          <w:rFonts w:ascii="Century" w:hAnsi="Century"/>
          <w:sz w:val="18"/>
          <w:szCs w:val="24"/>
        </w:rPr>
        <w:footnoteRef/>
      </w:r>
      <w:r w:rsidRPr="00136B0C">
        <w:rPr>
          <w:rFonts w:ascii="Century" w:hAnsi="Century"/>
          <w:sz w:val="18"/>
          <w:szCs w:val="24"/>
        </w:rPr>
        <w:t xml:space="preserve"> </w:t>
      </w:r>
      <w:r w:rsidRPr="00136B0C">
        <w:rPr>
          <w:rFonts w:ascii="Century" w:hAnsi="Century"/>
          <w:sz w:val="18"/>
          <w:szCs w:val="24"/>
          <w:lang w:val="es-419"/>
        </w:rPr>
        <w:t>Sala de Casación Civil, auto AC3407-2018</w:t>
      </w:r>
    </w:p>
  </w:footnote>
  <w:footnote w:id="15">
    <w:p w14:paraId="78D26B87" w14:textId="4D105D6E" w:rsidR="001168E7" w:rsidRPr="00136B0C" w:rsidRDefault="001168E7" w:rsidP="00136B0C">
      <w:pPr>
        <w:spacing w:after="0" w:line="240" w:lineRule="auto"/>
        <w:jc w:val="both"/>
        <w:rPr>
          <w:rFonts w:ascii="Century" w:hAnsi="Century" w:cs="Arial"/>
          <w:b/>
          <w:bCs/>
          <w:sz w:val="18"/>
          <w:szCs w:val="24"/>
        </w:rPr>
      </w:pPr>
      <w:r w:rsidRPr="00136B0C">
        <w:rPr>
          <w:rStyle w:val="Refdenotaalpie"/>
          <w:rFonts w:ascii="Century" w:hAnsi="Century"/>
          <w:sz w:val="18"/>
          <w:szCs w:val="24"/>
        </w:rPr>
        <w:footnoteRef/>
      </w:r>
      <w:r w:rsidRPr="00136B0C">
        <w:rPr>
          <w:rFonts w:ascii="Century" w:hAnsi="Century"/>
          <w:sz w:val="18"/>
          <w:szCs w:val="24"/>
        </w:rPr>
        <w:t xml:space="preserve"> Corte Suprema de Justicia, Sala de Casación Civil, 4 de abril de 2013, radicado </w:t>
      </w:r>
      <w:r w:rsidRPr="00136B0C">
        <w:rPr>
          <w:rFonts w:ascii="Century" w:hAnsi="Century" w:cs="Arial"/>
          <w:bCs/>
          <w:sz w:val="18"/>
          <w:szCs w:val="24"/>
        </w:rPr>
        <w:t>110010203000-2006-00492-00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A6A8E3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3C133D"/>
    <w:multiLevelType w:val="hybridMultilevel"/>
    <w:tmpl w:val="77182EF2"/>
    <w:lvl w:ilvl="0" w:tplc="BF5E2798">
      <w:start w:val="1"/>
      <w:numFmt w:val="low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15:restartNumberingAfterBreak="0">
    <w:nsid w:val="0F014799"/>
    <w:multiLevelType w:val="multilevel"/>
    <w:tmpl w:val="E4EAA5F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0FBC44B2"/>
    <w:multiLevelType w:val="multilevel"/>
    <w:tmpl w:val="2DC2BCBC"/>
    <w:lvl w:ilvl="0">
      <w:start w:val="2"/>
      <w:numFmt w:val="decimal"/>
      <w:lvlText w:val="%1"/>
      <w:lvlJc w:val="left"/>
      <w:pPr>
        <w:ind w:left="360" w:hanging="360"/>
      </w:pPr>
      <w:rPr>
        <w:rFonts w:hint="default"/>
      </w:rPr>
    </w:lvl>
    <w:lvl w:ilvl="1">
      <w:start w:val="8"/>
      <w:numFmt w:val="decimal"/>
      <w:lvlText w:val="%1.%2"/>
      <w:lvlJc w:val="left"/>
      <w:pPr>
        <w:ind w:left="2421" w:hanging="72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4" w15:restartNumberingAfterBreak="0">
    <w:nsid w:val="101B0602"/>
    <w:multiLevelType w:val="hybridMultilevel"/>
    <w:tmpl w:val="6B1209EA"/>
    <w:lvl w:ilvl="0" w:tplc="040A000F">
      <w:start w:val="1"/>
      <w:numFmt w:val="decimal"/>
      <w:lvlText w:val="%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5" w15:restartNumberingAfterBreak="0">
    <w:nsid w:val="115D453F"/>
    <w:multiLevelType w:val="hybridMultilevel"/>
    <w:tmpl w:val="C8C6ED1C"/>
    <w:lvl w:ilvl="0" w:tplc="F05C9294">
      <w:start w:val="1"/>
      <w:numFmt w:val="upperLetter"/>
      <w:lvlText w:val="%1."/>
      <w:lvlJc w:val="left"/>
      <w:pPr>
        <w:ind w:left="720" w:hanging="360"/>
      </w:pPr>
      <w:rPr>
        <w:rFonts w:cs="Times New Roman" w:hint="default"/>
        <w:i/>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15:restartNumberingAfterBreak="0">
    <w:nsid w:val="20AE6848"/>
    <w:multiLevelType w:val="hybridMultilevel"/>
    <w:tmpl w:val="937EBE38"/>
    <w:lvl w:ilvl="0" w:tplc="0FD239E0">
      <w:start w:val="1"/>
      <w:numFmt w:val="lowerRoman"/>
      <w:lvlText w:val="%1)"/>
      <w:lvlJc w:val="left"/>
      <w:pPr>
        <w:ind w:left="2781" w:hanging="720"/>
      </w:pPr>
      <w:rPr>
        <w:rFonts w:hint="default"/>
      </w:r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7" w15:restartNumberingAfterBreak="0">
    <w:nsid w:val="28F62319"/>
    <w:multiLevelType w:val="multilevel"/>
    <w:tmpl w:val="411C4AE6"/>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lowerLetter"/>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2C091584"/>
    <w:multiLevelType w:val="hybridMultilevel"/>
    <w:tmpl w:val="5FE2E52E"/>
    <w:lvl w:ilvl="0" w:tplc="3A86B5E4">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1CD3F96"/>
    <w:multiLevelType w:val="hybridMultilevel"/>
    <w:tmpl w:val="05F03BD4"/>
    <w:lvl w:ilvl="0" w:tplc="8BFE0392">
      <w:start w:val="1"/>
      <w:numFmt w:val="decimal"/>
      <w:lvlText w:val="%1."/>
      <w:lvlJc w:val="left"/>
      <w:pPr>
        <w:ind w:left="3195" w:hanging="360"/>
      </w:pPr>
      <w:rPr>
        <w:rFonts w:hint="default"/>
        <w:b w:val="0"/>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10" w15:restartNumberingAfterBreak="0">
    <w:nsid w:val="35664990"/>
    <w:multiLevelType w:val="hybridMultilevel"/>
    <w:tmpl w:val="935CA9B2"/>
    <w:lvl w:ilvl="0" w:tplc="3E34BEDC">
      <w:start w:val="3"/>
      <w:numFmt w:val="bullet"/>
      <w:lvlText w:val="-"/>
      <w:lvlJc w:val="left"/>
      <w:pPr>
        <w:ind w:left="2061" w:hanging="360"/>
      </w:pPr>
      <w:rPr>
        <w:rFonts w:ascii="Gadugi" w:eastAsia="Calibri" w:hAnsi="Gadugi" w:cs="Times New Roman" w:hint="default"/>
      </w:rPr>
    </w:lvl>
    <w:lvl w:ilvl="1" w:tplc="0C0A0003" w:tentative="1">
      <w:start w:val="1"/>
      <w:numFmt w:val="bullet"/>
      <w:lvlText w:val="o"/>
      <w:lvlJc w:val="left"/>
      <w:pPr>
        <w:ind w:left="2781" w:hanging="360"/>
      </w:pPr>
      <w:rPr>
        <w:rFonts w:ascii="Courier New" w:hAnsi="Courier New" w:cs="Courier New" w:hint="default"/>
      </w:rPr>
    </w:lvl>
    <w:lvl w:ilvl="2" w:tplc="0C0A0005" w:tentative="1">
      <w:start w:val="1"/>
      <w:numFmt w:val="bullet"/>
      <w:lvlText w:val=""/>
      <w:lvlJc w:val="left"/>
      <w:pPr>
        <w:ind w:left="3501" w:hanging="360"/>
      </w:pPr>
      <w:rPr>
        <w:rFonts w:ascii="Wingdings" w:hAnsi="Wingdings" w:hint="default"/>
      </w:rPr>
    </w:lvl>
    <w:lvl w:ilvl="3" w:tplc="0C0A0001" w:tentative="1">
      <w:start w:val="1"/>
      <w:numFmt w:val="bullet"/>
      <w:lvlText w:val=""/>
      <w:lvlJc w:val="left"/>
      <w:pPr>
        <w:ind w:left="4221" w:hanging="360"/>
      </w:pPr>
      <w:rPr>
        <w:rFonts w:ascii="Symbol" w:hAnsi="Symbol" w:hint="default"/>
      </w:rPr>
    </w:lvl>
    <w:lvl w:ilvl="4" w:tplc="0C0A0003" w:tentative="1">
      <w:start w:val="1"/>
      <w:numFmt w:val="bullet"/>
      <w:lvlText w:val="o"/>
      <w:lvlJc w:val="left"/>
      <w:pPr>
        <w:ind w:left="4941" w:hanging="360"/>
      </w:pPr>
      <w:rPr>
        <w:rFonts w:ascii="Courier New" w:hAnsi="Courier New" w:cs="Courier New" w:hint="default"/>
      </w:rPr>
    </w:lvl>
    <w:lvl w:ilvl="5" w:tplc="0C0A0005" w:tentative="1">
      <w:start w:val="1"/>
      <w:numFmt w:val="bullet"/>
      <w:lvlText w:val=""/>
      <w:lvlJc w:val="left"/>
      <w:pPr>
        <w:ind w:left="5661" w:hanging="360"/>
      </w:pPr>
      <w:rPr>
        <w:rFonts w:ascii="Wingdings" w:hAnsi="Wingdings" w:hint="default"/>
      </w:rPr>
    </w:lvl>
    <w:lvl w:ilvl="6" w:tplc="0C0A0001" w:tentative="1">
      <w:start w:val="1"/>
      <w:numFmt w:val="bullet"/>
      <w:lvlText w:val=""/>
      <w:lvlJc w:val="left"/>
      <w:pPr>
        <w:ind w:left="6381" w:hanging="360"/>
      </w:pPr>
      <w:rPr>
        <w:rFonts w:ascii="Symbol" w:hAnsi="Symbol" w:hint="default"/>
      </w:rPr>
    </w:lvl>
    <w:lvl w:ilvl="7" w:tplc="0C0A0003" w:tentative="1">
      <w:start w:val="1"/>
      <w:numFmt w:val="bullet"/>
      <w:lvlText w:val="o"/>
      <w:lvlJc w:val="left"/>
      <w:pPr>
        <w:ind w:left="7101" w:hanging="360"/>
      </w:pPr>
      <w:rPr>
        <w:rFonts w:ascii="Courier New" w:hAnsi="Courier New" w:cs="Courier New" w:hint="default"/>
      </w:rPr>
    </w:lvl>
    <w:lvl w:ilvl="8" w:tplc="0C0A0005" w:tentative="1">
      <w:start w:val="1"/>
      <w:numFmt w:val="bullet"/>
      <w:lvlText w:val=""/>
      <w:lvlJc w:val="left"/>
      <w:pPr>
        <w:ind w:left="7821" w:hanging="360"/>
      </w:pPr>
      <w:rPr>
        <w:rFonts w:ascii="Wingdings" w:hAnsi="Wingdings" w:hint="default"/>
      </w:rPr>
    </w:lvl>
  </w:abstractNum>
  <w:abstractNum w:abstractNumId="11" w15:restartNumberingAfterBreak="0">
    <w:nsid w:val="374E759B"/>
    <w:multiLevelType w:val="multilevel"/>
    <w:tmpl w:val="1A465A9C"/>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lowerLetter"/>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15:restartNumberingAfterBreak="0">
    <w:nsid w:val="3B1421F6"/>
    <w:multiLevelType w:val="multilevel"/>
    <w:tmpl w:val="0AF82F1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52010B"/>
    <w:multiLevelType w:val="multilevel"/>
    <w:tmpl w:val="55CCDAAE"/>
    <w:lvl w:ilvl="0">
      <w:start w:val="1"/>
      <w:numFmt w:val="decimal"/>
      <w:lvlText w:val="%1."/>
      <w:lvlJc w:val="left"/>
      <w:pPr>
        <w:ind w:left="3195" w:hanging="360"/>
      </w:pPr>
      <w:rPr>
        <w:rFonts w:hint="default"/>
      </w:rPr>
    </w:lvl>
    <w:lvl w:ilvl="1">
      <w:start w:val="1"/>
      <w:numFmt w:val="decimal"/>
      <w:isLgl/>
      <w:lvlText w:val="%1.%2."/>
      <w:lvlJc w:val="left"/>
      <w:pPr>
        <w:ind w:left="3555" w:hanging="720"/>
      </w:pPr>
      <w:rPr>
        <w:rFonts w:ascii="Gadugi" w:hAnsi="Gadugi" w:hint="default"/>
        <w:b/>
        <w:i w:val="0"/>
        <w:color w:val="auto"/>
        <w:sz w:val="28"/>
        <w:szCs w:val="28"/>
      </w:rPr>
    </w:lvl>
    <w:lvl w:ilvl="2">
      <w:start w:val="1"/>
      <w:numFmt w:val="decimal"/>
      <w:isLgl/>
      <w:lvlText w:val="%1.%2.%3."/>
      <w:lvlJc w:val="left"/>
      <w:pPr>
        <w:ind w:left="3555" w:hanging="720"/>
      </w:pPr>
      <w:rPr>
        <w:rFonts w:hint="default"/>
      </w:rPr>
    </w:lvl>
    <w:lvl w:ilvl="3">
      <w:start w:val="1"/>
      <w:numFmt w:val="decimal"/>
      <w:isLgl/>
      <w:lvlText w:val="%1.%2.%3.%4."/>
      <w:lvlJc w:val="left"/>
      <w:pPr>
        <w:ind w:left="3915" w:hanging="1080"/>
      </w:pPr>
      <w:rPr>
        <w:rFonts w:hint="default"/>
      </w:rPr>
    </w:lvl>
    <w:lvl w:ilvl="4">
      <w:start w:val="1"/>
      <w:numFmt w:val="decimal"/>
      <w:isLgl/>
      <w:lvlText w:val="%1.%2.%3.%4.%5."/>
      <w:lvlJc w:val="left"/>
      <w:pPr>
        <w:ind w:left="3915"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635" w:hanging="1800"/>
      </w:pPr>
      <w:rPr>
        <w:rFonts w:hint="default"/>
      </w:rPr>
    </w:lvl>
    <w:lvl w:ilvl="7">
      <w:start w:val="1"/>
      <w:numFmt w:val="decimal"/>
      <w:isLgl/>
      <w:lvlText w:val="%1.%2.%3.%4.%5.%6.%7.%8."/>
      <w:lvlJc w:val="left"/>
      <w:pPr>
        <w:ind w:left="4635" w:hanging="1800"/>
      </w:pPr>
      <w:rPr>
        <w:rFonts w:hint="default"/>
      </w:rPr>
    </w:lvl>
    <w:lvl w:ilvl="8">
      <w:start w:val="1"/>
      <w:numFmt w:val="decimal"/>
      <w:isLgl/>
      <w:lvlText w:val="%1.%2.%3.%4.%5.%6.%7.%8.%9."/>
      <w:lvlJc w:val="left"/>
      <w:pPr>
        <w:ind w:left="4995" w:hanging="2160"/>
      </w:pPr>
      <w:rPr>
        <w:rFonts w:hint="default"/>
      </w:rPr>
    </w:lvl>
  </w:abstractNum>
  <w:abstractNum w:abstractNumId="14" w15:restartNumberingAfterBreak="0">
    <w:nsid w:val="417A38FF"/>
    <w:multiLevelType w:val="multilevel"/>
    <w:tmpl w:val="3304A76A"/>
    <w:lvl w:ilvl="0">
      <w:start w:val="5"/>
      <w:numFmt w:val="decimal"/>
      <w:lvlText w:val="%1."/>
      <w:lvlJc w:val="left"/>
      <w:pPr>
        <w:tabs>
          <w:tab w:val="num" w:pos="720"/>
        </w:tabs>
        <w:ind w:left="720" w:hanging="360"/>
      </w:pPr>
      <w:rPr>
        <w:rFonts w:ascii="Gadugi" w:hAnsi="Gadug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2A13F3"/>
    <w:multiLevelType w:val="hybridMultilevel"/>
    <w:tmpl w:val="84565CB8"/>
    <w:lvl w:ilvl="0" w:tplc="54B40ED6">
      <w:start w:val="1"/>
      <w:numFmt w:val="lowerRoman"/>
      <w:lvlText w:val="%1."/>
      <w:lvlJc w:val="left"/>
      <w:pPr>
        <w:ind w:left="2421" w:hanging="72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16" w15:restartNumberingAfterBreak="0">
    <w:nsid w:val="43B66791"/>
    <w:multiLevelType w:val="hybridMultilevel"/>
    <w:tmpl w:val="B8704586"/>
    <w:lvl w:ilvl="0" w:tplc="C8480394">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57303F2"/>
    <w:multiLevelType w:val="multilevel"/>
    <w:tmpl w:val="35464AB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lowerLetter"/>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15:restartNumberingAfterBreak="0">
    <w:nsid w:val="4C2B5D1B"/>
    <w:multiLevelType w:val="hybridMultilevel"/>
    <w:tmpl w:val="FD78A768"/>
    <w:lvl w:ilvl="0" w:tplc="8880FC3A">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9" w15:restartNumberingAfterBreak="0">
    <w:nsid w:val="5297368F"/>
    <w:multiLevelType w:val="hybridMultilevel"/>
    <w:tmpl w:val="F5EC2A80"/>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4A87551"/>
    <w:multiLevelType w:val="hybridMultilevel"/>
    <w:tmpl w:val="369E9F1E"/>
    <w:lvl w:ilvl="0" w:tplc="FFFFFFFF">
      <w:start w:val="2"/>
      <w:numFmt w:val="lowerLetter"/>
      <w:lvlText w:val="%1."/>
      <w:lvlJc w:val="left"/>
      <w:pPr>
        <w:tabs>
          <w:tab w:val="num" w:pos="750"/>
        </w:tabs>
        <w:ind w:left="750" w:hanging="360"/>
      </w:pPr>
      <w:rPr>
        <w:rFonts w:cs="Times New Roman" w:hint="default"/>
      </w:rPr>
    </w:lvl>
    <w:lvl w:ilvl="1" w:tplc="FFFFFFFF">
      <w:start w:val="1"/>
      <w:numFmt w:val="lowerLetter"/>
      <w:lvlText w:val="%2."/>
      <w:lvlJc w:val="left"/>
      <w:pPr>
        <w:tabs>
          <w:tab w:val="num" w:pos="1470"/>
        </w:tabs>
        <w:ind w:left="1470" w:hanging="360"/>
      </w:pPr>
      <w:rPr>
        <w:rFonts w:cs="Times New Roman"/>
      </w:rPr>
    </w:lvl>
    <w:lvl w:ilvl="2" w:tplc="FFFFFFFF">
      <w:start w:val="1"/>
      <w:numFmt w:val="lowerRoman"/>
      <w:lvlText w:val="%3."/>
      <w:lvlJc w:val="right"/>
      <w:pPr>
        <w:tabs>
          <w:tab w:val="num" w:pos="2190"/>
        </w:tabs>
        <w:ind w:left="2190" w:hanging="180"/>
      </w:pPr>
      <w:rPr>
        <w:rFonts w:cs="Times New Roman"/>
      </w:rPr>
    </w:lvl>
    <w:lvl w:ilvl="3" w:tplc="FFFFFFFF">
      <w:start w:val="1"/>
      <w:numFmt w:val="decimal"/>
      <w:lvlText w:val="%4."/>
      <w:lvlJc w:val="left"/>
      <w:pPr>
        <w:tabs>
          <w:tab w:val="num" w:pos="2910"/>
        </w:tabs>
        <w:ind w:left="2910" w:hanging="360"/>
      </w:pPr>
      <w:rPr>
        <w:rFonts w:cs="Times New Roman"/>
      </w:rPr>
    </w:lvl>
    <w:lvl w:ilvl="4" w:tplc="FFFFFFFF">
      <w:start w:val="1"/>
      <w:numFmt w:val="lowerLetter"/>
      <w:lvlText w:val="%5."/>
      <w:lvlJc w:val="left"/>
      <w:pPr>
        <w:tabs>
          <w:tab w:val="num" w:pos="3630"/>
        </w:tabs>
        <w:ind w:left="3630" w:hanging="360"/>
      </w:pPr>
      <w:rPr>
        <w:rFonts w:cs="Times New Roman"/>
      </w:rPr>
    </w:lvl>
    <w:lvl w:ilvl="5" w:tplc="FFFFFFFF">
      <w:start w:val="1"/>
      <w:numFmt w:val="lowerRoman"/>
      <w:lvlText w:val="%6."/>
      <w:lvlJc w:val="right"/>
      <w:pPr>
        <w:tabs>
          <w:tab w:val="num" w:pos="4350"/>
        </w:tabs>
        <w:ind w:left="4350" w:hanging="180"/>
      </w:pPr>
      <w:rPr>
        <w:rFonts w:cs="Times New Roman"/>
      </w:rPr>
    </w:lvl>
    <w:lvl w:ilvl="6" w:tplc="FFFFFFFF">
      <w:start w:val="1"/>
      <w:numFmt w:val="decimal"/>
      <w:lvlText w:val="%7."/>
      <w:lvlJc w:val="left"/>
      <w:pPr>
        <w:tabs>
          <w:tab w:val="num" w:pos="5070"/>
        </w:tabs>
        <w:ind w:left="5070" w:hanging="360"/>
      </w:pPr>
      <w:rPr>
        <w:rFonts w:cs="Times New Roman"/>
      </w:rPr>
    </w:lvl>
    <w:lvl w:ilvl="7" w:tplc="FFFFFFFF">
      <w:start w:val="1"/>
      <w:numFmt w:val="lowerLetter"/>
      <w:lvlText w:val="%8."/>
      <w:lvlJc w:val="left"/>
      <w:pPr>
        <w:tabs>
          <w:tab w:val="num" w:pos="5790"/>
        </w:tabs>
        <w:ind w:left="5790" w:hanging="360"/>
      </w:pPr>
      <w:rPr>
        <w:rFonts w:cs="Times New Roman"/>
      </w:rPr>
    </w:lvl>
    <w:lvl w:ilvl="8" w:tplc="FFFFFFFF">
      <w:start w:val="1"/>
      <w:numFmt w:val="lowerRoman"/>
      <w:lvlText w:val="%9."/>
      <w:lvlJc w:val="right"/>
      <w:pPr>
        <w:tabs>
          <w:tab w:val="num" w:pos="6510"/>
        </w:tabs>
        <w:ind w:left="6510" w:hanging="180"/>
      </w:pPr>
      <w:rPr>
        <w:rFonts w:cs="Times New Roman"/>
      </w:rPr>
    </w:lvl>
  </w:abstractNum>
  <w:abstractNum w:abstractNumId="21" w15:restartNumberingAfterBreak="0">
    <w:nsid w:val="54C84D45"/>
    <w:multiLevelType w:val="multilevel"/>
    <w:tmpl w:val="105E2C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476BC2"/>
    <w:multiLevelType w:val="hybridMultilevel"/>
    <w:tmpl w:val="1CFA1DFC"/>
    <w:lvl w:ilvl="0" w:tplc="BF663DF4">
      <w:start w:val="1"/>
      <w:numFmt w:val="low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15:restartNumberingAfterBreak="0">
    <w:nsid w:val="604A4DEF"/>
    <w:multiLevelType w:val="hybridMultilevel"/>
    <w:tmpl w:val="A36CFFC8"/>
    <w:lvl w:ilvl="0" w:tplc="A87C0DC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24" w15:restartNumberingAfterBreak="0">
    <w:nsid w:val="62CD12DB"/>
    <w:multiLevelType w:val="multilevel"/>
    <w:tmpl w:val="EB189286"/>
    <w:lvl w:ilvl="0">
      <w:start w:val="1"/>
      <w:numFmt w:val="decimal"/>
      <w:lvlText w:val="%1."/>
      <w:lvlJc w:val="left"/>
      <w:pPr>
        <w:ind w:left="360" w:hanging="360"/>
      </w:pPr>
      <w:rPr>
        <w:rFonts w:ascii="Gadugi" w:hAnsi="Gadugi" w:hint="default"/>
        <w:b w:val="0"/>
        <w:color w:val="auto"/>
        <w:sz w:val="28"/>
        <w:szCs w:val="28"/>
      </w:rPr>
    </w:lvl>
    <w:lvl w:ilvl="1">
      <w:start w:val="1"/>
      <w:numFmt w:val="decimal"/>
      <w:lvlText w:val="%1.%2."/>
      <w:lvlJc w:val="left"/>
      <w:pPr>
        <w:ind w:left="792" w:hanging="432"/>
      </w:pPr>
      <w:rPr>
        <w:rFonts w:ascii="Gadugi" w:hAnsi="Gadugi"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25" w15:restartNumberingAfterBreak="0">
    <w:nsid w:val="6ABB52B8"/>
    <w:multiLevelType w:val="hybridMultilevel"/>
    <w:tmpl w:val="A080F408"/>
    <w:lvl w:ilvl="0" w:tplc="12C8EAB4">
      <w:start w:val="1"/>
      <w:numFmt w:val="decimal"/>
      <w:lvlText w:val="%1."/>
      <w:lvlJc w:val="left"/>
      <w:pPr>
        <w:ind w:left="2061" w:hanging="360"/>
      </w:pPr>
      <w:rPr>
        <w:rFonts w:hint="default"/>
        <w:b w:val="0"/>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26" w15:restartNumberingAfterBreak="0">
    <w:nsid w:val="7EC528DC"/>
    <w:multiLevelType w:val="hybridMultilevel"/>
    <w:tmpl w:val="D778903C"/>
    <w:lvl w:ilvl="0" w:tplc="CE483BC8">
      <w:start w:val="2"/>
      <w:numFmt w:val="bullet"/>
      <w:lvlText w:val="-"/>
      <w:lvlJc w:val="left"/>
      <w:pPr>
        <w:ind w:left="720" w:hanging="360"/>
      </w:pPr>
      <w:rPr>
        <w:rFonts w:ascii="Times New Roman" w:eastAsia="MS ??" w:hAnsi="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0"/>
  </w:num>
  <w:num w:numId="4">
    <w:abstractNumId w:val="23"/>
  </w:num>
  <w:num w:numId="5">
    <w:abstractNumId w:val="25"/>
  </w:num>
  <w:num w:numId="6">
    <w:abstractNumId w:val="6"/>
  </w:num>
  <w:num w:numId="7">
    <w:abstractNumId w:val="15"/>
  </w:num>
  <w:num w:numId="8">
    <w:abstractNumId w:val="24"/>
  </w:num>
  <w:num w:numId="9">
    <w:abstractNumId w:val="3"/>
  </w:num>
  <w:num w:numId="10">
    <w:abstractNumId w:val="16"/>
  </w:num>
  <w:num w:numId="11">
    <w:abstractNumId w:val="14"/>
  </w:num>
  <w:num w:numId="12">
    <w:abstractNumId w:val="21"/>
  </w:num>
  <w:num w:numId="13">
    <w:abstractNumId w:val="1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9"/>
  </w:num>
  <w:num w:numId="17">
    <w:abstractNumId w:val="1"/>
  </w:num>
  <w:num w:numId="18">
    <w:abstractNumId w:val="7"/>
  </w:num>
  <w:num w:numId="19">
    <w:abstractNumId w:val="11"/>
  </w:num>
  <w:num w:numId="20">
    <w:abstractNumId w:val="17"/>
  </w:num>
  <w:num w:numId="21">
    <w:abstractNumId w:val="22"/>
  </w:num>
  <w:num w:numId="22">
    <w:abstractNumId w:val="4"/>
  </w:num>
  <w:num w:numId="23">
    <w:abstractNumId w:val="26"/>
  </w:num>
  <w:num w:numId="24">
    <w:abstractNumId w:val="5"/>
  </w:num>
  <w:num w:numId="25">
    <w:abstractNumId w:val="20"/>
  </w:num>
  <w:num w:numId="26">
    <w:abstractNumId w:val="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BB7"/>
    <w:rsid w:val="00000F6D"/>
    <w:rsid w:val="00004B67"/>
    <w:rsid w:val="00005462"/>
    <w:rsid w:val="000076EB"/>
    <w:rsid w:val="00010BAC"/>
    <w:rsid w:val="00013CBC"/>
    <w:rsid w:val="00014F57"/>
    <w:rsid w:val="00022A43"/>
    <w:rsid w:val="000249D7"/>
    <w:rsid w:val="00030833"/>
    <w:rsid w:val="00030E65"/>
    <w:rsid w:val="00033183"/>
    <w:rsid w:val="00033412"/>
    <w:rsid w:val="0003485F"/>
    <w:rsid w:val="00035031"/>
    <w:rsid w:val="00036EEE"/>
    <w:rsid w:val="0004182C"/>
    <w:rsid w:val="00044955"/>
    <w:rsid w:val="00045161"/>
    <w:rsid w:val="00050C3D"/>
    <w:rsid w:val="00051953"/>
    <w:rsid w:val="00056753"/>
    <w:rsid w:val="000605C1"/>
    <w:rsid w:val="00060F76"/>
    <w:rsid w:val="0006205F"/>
    <w:rsid w:val="0007018A"/>
    <w:rsid w:val="000735FF"/>
    <w:rsid w:val="000801BF"/>
    <w:rsid w:val="00083BEA"/>
    <w:rsid w:val="000846D8"/>
    <w:rsid w:val="0008519E"/>
    <w:rsid w:val="00085869"/>
    <w:rsid w:val="000867A3"/>
    <w:rsid w:val="000867D0"/>
    <w:rsid w:val="000872BD"/>
    <w:rsid w:val="0009010F"/>
    <w:rsid w:val="00091557"/>
    <w:rsid w:val="000A0B2F"/>
    <w:rsid w:val="000A3E7B"/>
    <w:rsid w:val="000B11E3"/>
    <w:rsid w:val="000B7958"/>
    <w:rsid w:val="000C3470"/>
    <w:rsid w:val="000C5172"/>
    <w:rsid w:val="000C58DC"/>
    <w:rsid w:val="000C6D08"/>
    <w:rsid w:val="000D0435"/>
    <w:rsid w:val="000D5F40"/>
    <w:rsid w:val="000D674A"/>
    <w:rsid w:val="000D6A5D"/>
    <w:rsid w:val="000D7CBA"/>
    <w:rsid w:val="000E123C"/>
    <w:rsid w:val="000E1394"/>
    <w:rsid w:val="000E1A0D"/>
    <w:rsid w:val="000E6310"/>
    <w:rsid w:val="000F025E"/>
    <w:rsid w:val="000F0912"/>
    <w:rsid w:val="000F0C3E"/>
    <w:rsid w:val="000F118D"/>
    <w:rsid w:val="000F1837"/>
    <w:rsid w:val="000F6A11"/>
    <w:rsid w:val="00107E4A"/>
    <w:rsid w:val="00110A4A"/>
    <w:rsid w:val="00110CC5"/>
    <w:rsid w:val="00112D27"/>
    <w:rsid w:val="001148A1"/>
    <w:rsid w:val="001148D0"/>
    <w:rsid w:val="001168E7"/>
    <w:rsid w:val="00120B3D"/>
    <w:rsid w:val="00126E84"/>
    <w:rsid w:val="00127463"/>
    <w:rsid w:val="00132A00"/>
    <w:rsid w:val="00132BAD"/>
    <w:rsid w:val="00134976"/>
    <w:rsid w:val="00136B0C"/>
    <w:rsid w:val="00137DF1"/>
    <w:rsid w:val="001417B5"/>
    <w:rsid w:val="001445E1"/>
    <w:rsid w:val="00150F88"/>
    <w:rsid w:val="00152EDA"/>
    <w:rsid w:val="00154CC5"/>
    <w:rsid w:val="0015730C"/>
    <w:rsid w:val="00160701"/>
    <w:rsid w:val="001629AD"/>
    <w:rsid w:val="00163FF0"/>
    <w:rsid w:val="00166597"/>
    <w:rsid w:val="0017000B"/>
    <w:rsid w:val="001725B8"/>
    <w:rsid w:val="0017392E"/>
    <w:rsid w:val="00180A2B"/>
    <w:rsid w:val="00184B66"/>
    <w:rsid w:val="0018519A"/>
    <w:rsid w:val="00186999"/>
    <w:rsid w:val="001906E9"/>
    <w:rsid w:val="00197DA2"/>
    <w:rsid w:val="001A19DB"/>
    <w:rsid w:val="001A5246"/>
    <w:rsid w:val="001B066B"/>
    <w:rsid w:val="001B2BE9"/>
    <w:rsid w:val="001B330D"/>
    <w:rsid w:val="001B43D1"/>
    <w:rsid w:val="001B7A92"/>
    <w:rsid w:val="001C76D3"/>
    <w:rsid w:val="001D2985"/>
    <w:rsid w:val="001D599C"/>
    <w:rsid w:val="001D7FE2"/>
    <w:rsid w:val="001E4DDF"/>
    <w:rsid w:val="001E7D16"/>
    <w:rsid w:val="001F300D"/>
    <w:rsid w:val="001F7DDD"/>
    <w:rsid w:val="00200432"/>
    <w:rsid w:val="00206E08"/>
    <w:rsid w:val="002130BF"/>
    <w:rsid w:val="00222081"/>
    <w:rsid w:val="002224D3"/>
    <w:rsid w:val="0022286F"/>
    <w:rsid w:val="00223391"/>
    <w:rsid w:val="00224761"/>
    <w:rsid w:val="00225C39"/>
    <w:rsid w:val="00230E2B"/>
    <w:rsid w:val="00231800"/>
    <w:rsid w:val="00233F45"/>
    <w:rsid w:val="0024489E"/>
    <w:rsid w:val="00246C5A"/>
    <w:rsid w:val="002554C0"/>
    <w:rsid w:val="00257055"/>
    <w:rsid w:val="0026278C"/>
    <w:rsid w:val="00262F70"/>
    <w:rsid w:val="00265162"/>
    <w:rsid w:val="002713DB"/>
    <w:rsid w:val="0027327D"/>
    <w:rsid w:val="00274A34"/>
    <w:rsid w:val="002755F7"/>
    <w:rsid w:val="00284813"/>
    <w:rsid w:val="00285B0B"/>
    <w:rsid w:val="002869E8"/>
    <w:rsid w:val="00290D60"/>
    <w:rsid w:val="002963F2"/>
    <w:rsid w:val="00296A4F"/>
    <w:rsid w:val="00297658"/>
    <w:rsid w:val="002A14C7"/>
    <w:rsid w:val="002A36CB"/>
    <w:rsid w:val="002A3866"/>
    <w:rsid w:val="002B4D27"/>
    <w:rsid w:val="002B5BC1"/>
    <w:rsid w:val="002C02CA"/>
    <w:rsid w:val="002C0C17"/>
    <w:rsid w:val="002C54CF"/>
    <w:rsid w:val="002D1B64"/>
    <w:rsid w:val="002D1CED"/>
    <w:rsid w:val="002D2919"/>
    <w:rsid w:val="002D4A45"/>
    <w:rsid w:val="002E5192"/>
    <w:rsid w:val="002F30A2"/>
    <w:rsid w:val="00305B9A"/>
    <w:rsid w:val="003065CC"/>
    <w:rsid w:val="00307223"/>
    <w:rsid w:val="0030733D"/>
    <w:rsid w:val="003134EE"/>
    <w:rsid w:val="0031D703"/>
    <w:rsid w:val="003213E2"/>
    <w:rsid w:val="003305F4"/>
    <w:rsid w:val="00332392"/>
    <w:rsid w:val="00333667"/>
    <w:rsid w:val="003341EB"/>
    <w:rsid w:val="0033646D"/>
    <w:rsid w:val="003400E7"/>
    <w:rsid w:val="0034081A"/>
    <w:rsid w:val="0034367F"/>
    <w:rsid w:val="00346D78"/>
    <w:rsid w:val="003475E0"/>
    <w:rsid w:val="003500A9"/>
    <w:rsid w:val="00355BAC"/>
    <w:rsid w:val="00356104"/>
    <w:rsid w:val="00360D9A"/>
    <w:rsid w:val="00360E66"/>
    <w:rsid w:val="00361AAD"/>
    <w:rsid w:val="00361FDB"/>
    <w:rsid w:val="0036646D"/>
    <w:rsid w:val="00366ABC"/>
    <w:rsid w:val="00367C85"/>
    <w:rsid w:val="00371A5D"/>
    <w:rsid w:val="003739E5"/>
    <w:rsid w:val="003746D8"/>
    <w:rsid w:val="00377E3C"/>
    <w:rsid w:val="00380822"/>
    <w:rsid w:val="00380989"/>
    <w:rsid w:val="00380F0D"/>
    <w:rsid w:val="0038219A"/>
    <w:rsid w:val="00383AF7"/>
    <w:rsid w:val="00384381"/>
    <w:rsid w:val="00384C7A"/>
    <w:rsid w:val="003874F4"/>
    <w:rsid w:val="00391E55"/>
    <w:rsid w:val="003926DF"/>
    <w:rsid w:val="00394134"/>
    <w:rsid w:val="0039571E"/>
    <w:rsid w:val="003966CE"/>
    <w:rsid w:val="003A561A"/>
    <w:rsid w:val="003B3C3D"/>
    <w:rsid w:val="003B47E3"/>
    <w:rsid w:val="003C16C4"/>
    <w:rsid w:val="003C1C2A"/>
    <w:rsid w:val="003C23F6"/>
    <w:rsid w:val="003C5BA8"/>
    <w:rsid w:val="003C7BCE"/>
    <w:rsid w:val="003D01F7"/>
    <w:rsid w:val="003D204B"/>
    <w:rsid w:val="003D36F3"/>
    <w:rsid w:val="003D4F38"/>
    <w:rsid w:val="003D6C5F"/>
    <w:rsid w:val="003D7391"/>
    <w:rsid w:val="003E003C"/>
    <w:rsid w:val="003E1A8E"/>
    <w:rsid w:val="003E5D9B"/>
    <w:rsid w:val="003F29C8"/>
    <w:rsid w:val="003F5814"/>
    <w:rsid w:val="00400FBF"/>
    <w:rsid w:val="00403D87"/>
    <w:rsid w:val="004061AA"/>
    <w:rsid w:val="004144D6"/>
    <w:rsid w:val="00430547"/>
    <w:rsid w:val="00431A29"/>
    <w:rsid w:val="004328AB"/>
    <w:rsid w:val="00432A98"/>
    <w:rsid w:val="00433E26"/>
    <w:rsid w:val="004426F1"/>
    <w:rsid w:val="0044329A"/>
    <w:rsid w:val="00456BE0"/>
    <w:rsid w:val="00461DDC"/>
    <w:rsid w:val="00463D47"/>
    <w:rsid w:val="0046570C"/>
    <w:rsid w:val="00466569"/>
    <w:rsid w:val="00467A46"/>
    <w:rsid w:val="00473564"/>
    <w:rsid w:val="0047369A"/>
    <w:rsid w:val="00474760"/>
    <w:rsid w:val="004912FD"/>
    <w:rsid w:val="00491578"/>
    <w:rsid w:val="004A1B64"/>
    <w:rsid w:val="004A353F"/>
    <w:rsid w:val="004A428A"/>
    <w:rsid w:val="004A670E"/>
    <w:rsid w:val="004B001C"/>
    <w:rsid w:val="004B00EC"/>
    <w:rsid w:val="004B1336"/>
    <w:rsid w:val="004B23D2"/>
    <w:rsid w:val="004B27FC"/>
    <w:rsid w:val="004B2814"/>
    <w:rsid w:val="004B3095"/>
    <w:rsid w:val="004B71BF"/>
    <w:rsid w:val="004C0470"/>
    <w:rsid w:val="004C0BCD"/>
    <w:rsid w:val="004C5437"/>
    <w:rsid w:val="004C54A6"/>
    <w:rsid w:val="004D030E"/>
    <w:rsid w:val="004D1E8A"/>
    <w:rsid w:val="004D2490"/>
    <w:rsid w:val="004D33A2"/>
    <w:rsid w:val="004D487C"/>
    <w:rsid w:val="004E0AE0"/>
    <w:rsid w:val="004E3276"/>
    <w:rsid w:val="004E7E52"/>
    <w:rsid w:val="004F2B9F"/>
    <w:rsid w:val="004F3497"/>
    <w:rsid w:val="004F544A"/>
    <w:rsid w:val="004F5D87"/>
    <w:rsid w:val="004F6A97"/>
    <w:rsid w:val="005001C4"/>
    <w:rsid w:val="00500B72"/>
    <w:rsid w:val="00504D05"/>
    <w:rsid w:val="00506741"/>
    <w:rsid w:val="005107EF"/>
    <w:rsid w:val="00510903"/>
    <w:rsid w:val="00511F0B"/>
    <w:rsid w:val="00513C2C"/>
    <w:rsid w:val="0051480B"/>
    <w:rsid w:val="00515F01"/>
    <w:rsid w:val="00517E5D"/>
    <w:rsid w:val="00520122"/>
    <w:rsid w:val="00524E80"/>
    <w:rsid w:val="005267A8"/>
    <w:rsid w:val="00530A39"/>
    <w:rsid w:val="0054047B"/>
    <w:rsid w:val="00543635"/>
    <w:rsid w:val="005440E9"/>
    <w:rsid w:val="00546038"/>
    <w:rsid w:val="00546902"/>
    <w:rsid w:val="005545CF"/>
    <w:rsid w:val="00554933"/>
    <w:rsid w:val="00557357"/>
    <w:rsid w:val="00560DC9"/>
    <w:rsid w:val="00561A9B"/>
    <w:rsid w:val="005654A6"/>
    <w:rsid w:val="00566457"/>
    <w:rsid w:val="0056662B"/>
    <w:rsid w:val="00574855"/>
    <w:rsid w:val="005757D8"/>
    <w:rsid w:val="00576382"/>
    <w:rsid w:val="00577D15"/>
    <w:rsid w:val="005827EE"/>
    <w:rsid w:val="00584C97"/>
    <w:rsid w:val="005871E6"/>
    <w:rsid w:val="00587653"/>
    <w:rsid w:val="00590952"/>
    <w:rsid w:val="00594143"/>
    <w:rsid w:val="00594438"/>
    <w:rsid w:val="005A0F45"/>
    <w:rsid w:val="005A252B"/>
    <w:rsid w:val="005B097C"/>
    <w:rsid w:val="005B1640"/>
    <w:rsid w:val="005B4201"/>
    <w:rsid w:val="005C0BBA"/>
    <w:rsid w:val="005C1519"/>
    <w:rsid w:val="005C2E3B"/>
    <w:rsid w:val="005C3F0A"/>
    <w:rsid w:val="005D09CE"/>
    <w:rsid w:val="005D4E7F"/>
    <w:rsid w:val="005D5D1F"/>
    <w:rsid w:val="005D70B3"/>
    <w:rsid w:val="005E08C4"/>
    <w:rsid w:val="005E0C7C"/>
    <w:rsid w:val="005E11CC"/>
    <w:rsid w:val="005E1800"/>
    <w:rsid w:val="005E5C95"/>
    <w:rsid w:val="005F21D8"/>
    <w:rsid w:val="005F2737"/>
    <w:rsid w:val="005F2FEC"/>
    <w:rsid w:val="005F7E0C"/>
    <w:rsid w:val="005F7ECF"/>
    <w:rsid w:val="0060017A"/>
    <w:rsid w:val="006012D6"/>
    <w:rsid w:val="00603C3F"/>
    <w:rsid w:val="00614141"/>
    <w:rsid w:val="006148F5"/>
    <w:rsid w:val="00615AC9"/>
    <w:rsid w:val="006175CE"/>
    <w:rsid w:val="00617D3D"/>
    <w:rsid w:val="0062253F"/>
    <w:rsid w:val="0062417D"/>
    <w:rsid w:val="0062616B"/>
    <w:rsid w:val="0062770D"/>
    <w:rsid w:val="00633985"/>
    <w:rsid w:val="00635FED"/>
    <w:rsid w:val="00636C07"/>
    <w:rsid w:val="006407E4"/>
    <w:rsid w:val="006408C5"/>
    <w:rsid w:val="006411B1"/>
    <w:rsid w:val="00641D84"/>
    <w:rsid w:val="0064465F"/>
    <w:rsid w:val="00645652"/>
    <w:rsid w:val="00656D7E"/>
    <w:rsid w:val="00657BD2"/>
    <w:rsid w:val="00663523"/>
    <w:rsid w:val="00664E32"/>
    <w:rsid w:val="006724B6"/>
    <w:rsid w:val="00672520"/>
    <w:rsid w:val="00675B96"/>
    <w:rsid w:val="006801F3"/>
    <w:rsid w:val="00680B18"/>
    <w:rsid w:val="006817EA"/>
    <w:rsid w:val="00682C43"/>
    <w:rsid w:val="00684991"/>
    <w:rsid w:val="00687389"/>
    <w:rsid w:val="00687ABE"/>
    <w:rsid w:val="00690990"/>
    <w:rsid w:val="00693513"/>
    <w:rsid w:val="006948C0"/>
    <w:rsid w:val="006979E2"/>
    <w:rsid w:val="006A1744"/>
    <w:rsid w:val="006A6042"/>
    <w:rsid w:val="006B0769"/>
    <w:rsid w:val="006B2201"/>
    <w:rsid w:val="006B23ED"/>
    <w:rsid w:val="006B7468"/>
    <w:rsid w:val="006C0772"/>
    <w:rsid w:val="006C2019"/>
    <w:rsid w:val="006C30CA"/>
    <w:rsid w:val="006D17A1"/>
    <w:rsid w:val="006D3AE7"/>
    <w:rsid w:val="006D42AF"/>
    <w:rsid w:val="006D4DA2"/>
    <w:rsid w:val="006D4F0E"/>
    <w:rsid w:val="006D616F"/>
    <w:rsid w:val="006E4C30"/>
    <w:rsid w:val="006E6165"/>
    <w:rsid w:val="006E6886"/>
    <w:rsid w:val="006E6D58"/>
    <w:rsid w:val="006F29E8"/>
    <w:rsid w:val="006F404E"/>
    <w:rsid w:val="006F44AC"/>
    <w:rsid w:val="00702D6C"/>
    <w:rsid w:val="00704E29"/>
    <w:rsid w:val="0070509C"/>
    <w:rsid w:val="00705367"/>
    <w:rsid w:val="0070641C"/>
    <w:rsid w:val="00706447"/>
    <w:rsid w:val="00706748"/>
    <w:rsid w:val="0070718F"/>
    <w:rsid w:val="0071488D"/>
    <w:rsid w:val="00715729"/>
    <w:rsid w:val="00717A88"/>
    <w:rsid w:val="0072049E"/>
    <w:rsid w:val="00722800"/>
    <w:rsid w:val="00723E64"/>
    <w:rsid w:val="00726901"/>
    <w:rsid w:val="00726CD0"/>
    <w:rsid w:val="00733B40"/>
    <w:rsid w:val="00734371"/>
    <w:rsid w:val="0073680D"/>
    <w:rsid w:val="007405A8"/>
    <w:rsid w:val="00740AED"/>
    <w:rsid w:val="00744D5E"/>
    <w:rsid w:val="00744DB9"/>
    <w:rsid w:val="00746449"/>
    <w:rsid w:val="00747576"/>
    <w:rsid w:val="00751362"/>
    <w:rsid w:val="00751898"/>
    <w:rsid w:val="007634A9"/>
    <w:rsid w:val="00764D94"/>
    <w:rsid w:val="00766A45"/>
    <w:rsid w:val="00767563"/>
    <w:rsid w:val="00767AE8"/>
    <w:rsid w:val="007737EC"/>
    <w:rsid w:val="00775CB7"/>
    <w:rsid w:val="00776A91"/>
    <w:rsid w:val="00776F32"/>
    <w:rsid w:val="007800CB"/>
    <w:rsid w:val="007802DE"/>
    <w:rsid w:val="00782BFB"/>
    <w:rsid w:val="00782C27"/>
    <w:rsid w:val="007849C4"/>
    <w:rsid w:val="0078563B"/>
    <w:rsid w:val="00785976"/>
    <w:rsid w:val="007904BF"/>
    <w:rsid w:val="00795954"/>
    <w:rsid w:val="007A1756"/>
    <w:rsid w:val="007A43CC"/>
    <w:rsid w:val="007A7A41"/>
    <w:rsid w:val="007B03F8"/>
    <w:rsid w:val="007B3B03"/>
    <w:rsid w:val="007C6201"/>
    <w:rsid w:val="007D1063"/>
    <w:rsid w:val="007D14E6"/>
    <w:rsid w:val="007E081B"/>
    <w:rsid w:val="007E145B"/>
    <w:rsid w:val="007E5482"/>
    <w:rsid w:val="007E56AA"/>
    <w:rsid w:val="007E6717"/>
    <w:rsid w:val="007F6546"/>
    <w:rsid w:val="007F7CA6"/>
    <w:rsid w:val="007F7EAC"/>
    <w:rsid w:val="0080008C"/>
    <w:rsid w:val="00803B2A"/>
    <w:rsid w:val="0081113F"/>
    <w:rsid w:val="00811213"/>
    <w:rsid w:val="00815090"/>
    <w:rsid w:val="008176ED"/>
    <w:rsid w:val="00822A97"/>
    <w:rsid w:val="008260C5"/>
    <w:rsid w:val="00830297"/>
    <w:rsid w:val="008370A0"/>
    <w:rsid w:val="008378D9"/>
    <w:rsid w:val="00840CE5"/>
    <w:rsid w:val="008417D8"/>
    <w:rsid w:val="00842298"/>
    <w:rsid w:val="00843536"/>
    <w:rsid w:val="008477C5"/>
    <w:rsid w:val="0085006C"/>
    <w:rsid w:val="0085076A"/>
    <w:rsid w:val="0085121C"/>
    <w:rsid w:val="00852020"/>
    <w:rsid w:val="0085371B"/>
    <w:rsid w:val="00853D61"/>
    <w:rsid w:val="00853E5F"/>
    <w:rsid w:val="00856A85"/>
    <w:rsid w:val="00863F65"/>
    <w:rsid w:val="00864CB0"/>
    <w:rsid w:val="00865215"/>
    <w:rsid w:val="0086584B"/>
    <w:rsid w:val="00865A57"/>
    <w:rsid w:val="00865EA9"/>
    <w:rsid w:val="008741C2"/>
    <w:rsid w:val="0087599F"/>
    <w:rsid w:val="00880D02"/>
    <w:rsid w:val="00885BB7"/>
    <w:rsid w:val="00887445"/>
    <w:rsid w:val="00894EAC"/>
    <w:rsid w:val="0089501F"/>
    <w:rsid w:val="008A0BA4"/>
    <w:rsid w:val="008A410C"/>
    <w:rsid w:val="008A4495"/>
    <w:rsid w:val="008A46ED"/>
    <w:rsid w:val="008A60C6"/>
    <w:rsid w:val="008B0DBC"/>
    <w:rsid w:val="008B5C95"/>
    <w:rsid w:val="008B60D4"/>
    <w:rsid w:val="008C03C5"/>
    <w:rsid w:val="008C1635"/>
    <w:rsid w:val="008C32FF"/>
    <w:rsid w:val="008D3BB1"/>
    <w:rsid w:val="008D50D5"/>
    <w:rsid w:val="008D54F5"/>
    <w:rsid w:val="008E5ED6"/>
    <w:rsid w:val="008E70E6"/>
    <w:rsid w:val="008F3667"/>
    <w:rsid w:val="008F3951"/>
    <w:rsid w:val="008F46BB"/>
    <w:rsid w:val="008F4F47"/>
    <w:rsid w:val="008F62D3"/>
    <w:rsid w:val="00902F13"/>
    <w:rsid w:val="009031A2"/>
    <w:rsid w:val="00904795"/>
    <w:rsid w:val="00904DB7"/>
    <w:rsid w:val="0090558B"/>
    <w:rsid w:val="0090634B"/>
    <w:rsid w:val="009075B8"/>
    <w:rsid w:val="00911CD3"/>
    <w:rsid w:val="0091473B"/>
    <w:rsid w:val="00914EFF"/>
    <w:rsid w:val="009174E6"/>
    <w:rsid w:val="00920D7D"/>
    <w:rsid w:val="009227B1"/>
    <w:rsid w:val="009247D2"/>
    <w:rsid w:val="00924C8E"/>
    <w:rsid w:val="00925173"/>
    <w:rsid w:val="00925516"/>
    <w:rsid w:val="00932B1D"/>
    <w:rsid w:val="00940FC6"/>
    <w:rsid w:val="009508C4"/>
    <w:rsid w:val="00951C66"/>
    <w:rsid w:val="00954FD4"/>
    <w:rsid w:val="00955AB9"/>
    <w:rsid w:val="0096032C"/>
    <w:rsid w:val="00961038"/>
    <w:rsid w:val="00962E11"/>
    <w:rsid w:val="009657F5"/>
    <w:rsid w:val="00965ABD"/>
    <w:rsid w:val="00970433"/>
    <w:rsid w:val="00972519"/>
    <w:rsid w:val="00973B86"/>
    <w:rsid w:val="009748D7"/>
    <w:rsid w:val="0098069B"/>
    <w:rsid w:val="00980BF6"/>
    <w:rsid w:val="0098172F"/>
    <w:rsid w:val="00981CD8"/>
    <w:rsid w:val="00984124"/>
    <w:rsid w:val="0098544E"/>
    <w:rsid w:val="00993E4F"/>
    <w:rsid w:val="00995043"/>
    <w:rsid w:val="009A148E"/>
    <w:rsid w:val="009A6172"/>
    <w:rsid w:val="009A6B0E"/>
    <w:rsid w:val="009A7997"/>
    <w:rsid w:val="009B0953"/>
    <w:rsid w:val="009B48D2"/>
    <w:rsid w:val="009B7AE9"/>
    <w:rsid w:val="009C533E"/>
    <w:rsid w:val="009D366C"/>
    <w:rsid w:val="009D3A32"/>
    <w:rsid w:val="009D3B9C"/>
    <w:rsid w:val="009D7460"/>
    <w:rsid w:val="009E14A3"/>
    <w:rsid w:val="009E1F5F"/>
    <w:rsid w:val="009E2D6D"/>
    <w:rsid w:val="009E5890"/>
    <w:rsid w:val="009F2849"/>
    <w:rsid w:val="009F5E59"/>
    <w:rsid w:val="009F6B41"/>
    <w:rsid w:val="009F7383"/>
    <w:rsid w:val="00A01811"/>
    <w:rsid w:val="00A026B9"/>
    <w:rsid w:val="00A026EE"/>
    <w:rsid w:val="00A03473"/>
    <w:rsid w:val="00A045C9"/>
    <w:rsid w:val="00A05249"/>
    <w:rsid w:val="00A059F2"/>
    <w:rsid w:val="00A0684E"/>
    <w:rsid w:val="00A072CE"/>
    <w:rsid w:val="00A11EAA"/>
    <w:rsid w:val="00A12B05"/>
    <w:rsid w:val="00A15143"/>
    <w:rsid w:val="00A158E6"/>
    <w:rsid w:val="00A15B65"/>
    <w:rsid w:val="00A17854"/>
    <w:rsid w:val="00A217A6"/>
    <w:rsid w:val="00A22526"/>
    <w:rsid w:val="00A27718"/>
    <w:rsid w:val="00A3093A"/>
    <w:rsid w:val="00A32E33"/>
    <w:rsid w:val="00A3334B"/>
    <w:rsid w:val="00A40B13"/>
    <w:rsid w:val="00A41099"/>
    <w:rsid w:val="00A4125D"/>
    <w:rsid w:val="00A42615"/>
    <w:rsid w:val="00A43576"/>
    <w:rsid w:val="00A447DC"/>
    <w:rsid w:val="00A4509C"/>
    <w:rsid w:val="00A46F44"/>
    <w:rsid w:val="00A50142"/>
    <w:rsid w:val="00A552F7"/>
    <w:rsid w:val="00A555AA"/>
    <w:rsid w:val="00A611F9"/>
    <w:rsid w:val="00A62821"/>
    <w:rsid w:val="00A632EB"/>
    <w:rsid w:val="00A6337A"/>
    <w:rsid w:val="00A634E8"/>
    <w:rsid w:val="00A64774"/>
    <w:rsid w:val="00A65399"/>
    <w:rsid w:val="00A654D6"/>
    <w:rsid w:val="00A67C8E"/>
    <w:rsid w:val="00A72744"/>
    <w:rsid w:val="00A72D2B"/>
    <w:rsid w:val="00A734F4"/>
    <w:rsid w:val="00A76062"/>
    <w:rsid w:val="00A80EDE"/>
    <w:rsid w:val="00A82E2A"/>
    <w:rsid w:val="00A85221"/>
    <w:rsid w:val="00A8550F"/>
    <w:rsid w:val="00A85DD2"/>
    <w:rsid w:val="00A91164"/>
    <w:rsid w:val="00A94289"/>
    <w:rsid w:val="00A95200"/>
    <w:rsid w:val="00A95561"/>
    <w:rsid w:val="00A96A42"/>
    <w:rsid w:val="00A97257"/>
    <w:rsid w:val="00A97E7B"/>
    <w:rsid w:val="00AC6307"/>
    <w:rsid w:val="00AC7E74"/>
    <w:rsid w:val="00AE39D7"/>
    <w:rsid w:val="00AE781F"/>
    <w:rsid w:val="00AF099F"/>
    <w:rsid w:val="00AF0D55"/>
    <w:rsid w:val="00AF0DA4"/>
    <w:rsid w:val="00AF234C"/>
    <w:rsid w:val="00AF2C74"/>
    <w:rsid w:val="00AF2D30"/>
    <w:rsid w:val="00AF34EA"/>
    <w:rsid w:val="00AF5014"/>
    <w:rsid w:val="00B03FA4"/>
    <w:rsid w:val="00B06833"/>
    <w:rsid w:val="00B1025C"/>
    <w:rsid w:val="00B118B4"/>
    <w:rsid w:val="00B208BD"/>
    <w:rsid w:val="00B20DCF"/>
    <w:rsid w:val="00B21A06"/>
    <w:rsid w:val="00B255A2"/>
    <w:rsid w:val="00B3001F"/>
    <w:rsid w:val="00B31D9C"/>
    <w:rsid w:val="00B32570"/>
    <w:rsid w:val="00B371C7"/>
    <w:rsid w:val="00B3747E"/>
    <w:rsid w:val="00B408F5"/>
    <w:rsid w:val="00B40ADF"/>
    <w:rsid w:val="00B40E41"/>
    <w:rsid w:val="00B427A8"/>
    <w:rsid w:val="00B451A8"/>
    <w:rsid w:val="00B457D7"/>
    <w:rsid w:val="00B46F41"/>
    <w:rsid w:val="00B511CB"/>
    <w:rsid w:val="00B51B14"/>
    <w:rsid w:val="00B53138"/>
    <w:rsid w:val="00B57684"/>
    <w:rsid w:val="00B57BA3"/>
    <w:rsid w:val="00B57ED3"/>
    <w:rsid w:val="00B60551"/>
    <w:rsid w:val="00B61EFC"/>
    <w:rsid w:val="00B624B1"/>
    <w:rsid w:val="00B62846"/>
    <w:rsid w:val="00B63CA1"/>
    <w:rsid w:val="00B65F46"/>
    <w:rsid w:val="00B6642E"/>
    <w:rsid w:val="00B711DD"/>
    <w:rsid w:val="00B715C6"/>
    <w:rsid w:val="00B71DAE"/>
    <w:rsid w:val="00B76B60"/>
    <w:rsid w:val="00B77473"/>
    <w:rsid w:val="00B81E89"/>
    <w:rsid w:val="00B82669"/>
    <w:rsid w:val="00B8337D"/>
    <w:rsid w:val="00B84057"/>
    <w:rsid w:val="00B841E8"/>
    <w:rsid w:val="00B843D9"/>
    <w:rsid w:val="00B84602"/>
    <w:rsid w:val="00B91D7B"/>
    <w:rsid w:val="00B93F17"/>
    <w:rsid w:val="00B9484E"/>
    <w:rsid w:val="00BA303B"/>
    <w:rsid w:val="00BA56EB"/>
    <w:rsid w:val="00BB06E1"/>
    <w:rsid w:val="00BB2123"/>
    <w:rsid w:val="00BB73EE"/>
    <w:rsid w:val="00BC0CFD"/>
    <w:rsid w:val="00BC38C8"/>
    <w:rsid w:val="00BC5936"/>
    <w:rsid w:val="00BC5AC8"/>
    <w:rsid w:val="00BC612C"/>
    <w:rsid w:val="00BC7B69"/>
    <w:rsid w:val="00BD1589"/>
    <w:rsid w:val="00BD2B3E"/>
    <w:rsid w:val="00BD2B91"/>
    <w:rsid w:val="00BD56CE"/>
    <w:rsid w:val="00BD5E63"/>
    <w:rsid w:val="00BD7788"/>
    <w:rsid w:val="00BE24F3"/>
    <w:rsid w:val="00BE2879"/>
    <w:rsid w:val="00BE298D"/>
    <w:rsid w:val="00BE5B2B"/>
    <w:rsid w:val="00BF0B2C"/>
    <w:rsid w:val="00BF260F"/>
    <w:rsid w:val="00C0480E"/>
    <w:rsid w:val="00C07EA9"/>
    <w:rsid w:val="00C14D39"/>
    <w:rsid w:val="00C213A2"/>
    <w:rsid w:val="00C24563"/>
    <w:rsid w:val="00C25E30"/>
    <w:rsid w:val="00C32E2D"/>
    <w:rsid w:val="00C35E86"/>
    <w:rsid w:val="00C4033F"/>
    <w:rsid w:val="00C40C8B"/>
    <w:rsid w:val="00C41733"/>
    <w:rsid w:val="00C41B5D"/>
    <w:rsid w:val="00C44301"/>
    <w:rsid w:val="00C46DB7"/>
    <w:rsid w:val="00C47290"/>
    <w:rsid w:val="00C5222C"/>
    <w:rsid w:val="00C538E0"/>
    <w:rsid w:val="00C704C9"/>
    <w:rsid w:val="00C71D08"/>
    <w:rsid w:val="00C74025"/>
    <w:rsid w:val="00C801AE"/>
    <w:rsid w:val="00C8108C"/>
    <w:rsid w:val="00C8193C"/>
    <w:rsid w:val="00C85BE3"/>
    <w:rsid w:val="00CA61EF"/>
    <w:rsid w:val="00CA74F1"/>
    <w:rsid w:val="00CB5CF4"/>
    <w:rsid w:val="00CC0E82"/>
    <w:rsid w:val="00CC3FF2"/>
    <w:rsid w:val="00CC43F3"/>
    <w:rsid w:val="00CC582E"/>
    <w:rsid w:val="00CC7038"/>
    <w:rsid w:val="00CD06E1"/>
    <w:rsid w:val="00CD1BB2"/>
    <w:rsid w:val="00CD2D24"/>
    <w:rsid w:val="00CD546A"/>
    <w:rsid w:val="00CD60AB"/>
    <w:rsid w:val="00CD6B22"/>
    <w:rsid w:val="00CE1491"/>
    <w:rsid w:val="00CE271A"/>
    <w:rsid w:val="00CE57C8"/>
    <w:rsid w:val="00CF040E"/>
    <w:rsid w:val="00CF1FD0"/>
    <w:rsid w:val="00CF4952"/>
    <w:rsid w:val="00D007FD"/>
    <w:rsid w:val="00D01FB0"/>
    <w:rsid w:val="00D02097"/>
    <w:rsid w:val="00D030CE"/>
    <w:rsid w:val="00D03AC7"/>
    <w:rsid w:val="00D043E1"/>
    <w:rsid w:val="00D04B7D"/>
    <w:rsid w:val="00D057F5"/>
    <w:rsid w:val="00D05A19"/>
    <w:rsid w:val="00D10744"/>
    <w:rsid w:val="00D10939"/>
    <w:rsid w:val="00D12F65"/>
    <w:rsid w:val="00D1340E"/>
    <w:rsid w:val="00D14ECD"/>
    <w:rsid w:val="00D2179E"/>
    <w:rsid w:val="00D2230F"/>
    <w:rsid w:val="00D24399"/>
    <w:rsid w:val="00D306EF"/>
    <w:rsid w:val="00D30CBE"/>
    <w:rsid w:val="00D30F7C"/>
    <w:rsid w:val="00D31170"/>
    <w:rsid w:val="00D32C0E"/>
    <w:rsid w:val="00D34923"/>
    <w:rsid w:val="00D36144"/>
    <w:rsid w:val="00D364E9"/>
    <w:rsid w:val="00D44566"/>
    <w:rsid w:val="00D46A08"/>
    <w:rsid w:val="00D6348D"/>
    <w:rsid w:val="00D63809"/>
    <w:rsid w:val="00D64802"/>
    <w:rsid w:val="00D6754D"/>
    <w:rsid w:val="00D72997"/>
    <w:rsid w:val="00D73DB9"/>
    <w:rsid w:val="00D74A95"/>
    <w:rsid w:val="00D770F5"/>
    <w:rsid w:val="00D808F3"/>
    <w:rsid w:val="00D81CCA"/>
    <w:rsid w:val="00D82B76"/>
    <w:rsid w:val="00D8447A"/>
    <w:rsid w:val="00D84922"/>
    <w:rsid w:val="00D874E6"/>
    <w:rsid w:val="00D9483E"/>
    <w:rsid w:val="00D94F37"/>
    <w:rsid w:val="00D95356"/>
    <w:rsid w:val="00D955D6"/>
    <w:rsid w:val="00DA0683"/>
    <w:rsid w:val="00DA0F65"/>
    <w:rsid w:val="00DA2C2D"/>
    <w:rsid w:val="00DA31B3"/>
    <w:rsid w:val="00DB1323"/>
    <w:rsid w:val="00DB63B2"/>
    <w:rsid w:val="00DB73CD"/>
    <w:rsid w:val="00DC082F"/>
    <w:rsid w:val="00DC1933"/>
    <w:rsid w:val="00DC3228"/>
    <w:rsid w:val="00DC77F4"/>
    <w:rsid w:val="00DD0214"/>
    <w:rsid w:val="00DD4D3B"/>
    <w:rsid w:val="00DD7163"/>
    <w:rsid w:val="00DE09B5"/>
    <w:rsid w:val="00DE135F"/>
    <w:rsid w:val="00DE415C"/>
    <w:rsid w:val="00DE6A34"/>
    <w:rsid w:val="00DE7A07"/>
    <w:rsid w:val="00DF10BD"/>
    <w:rsid w:val="00DF15DA"/>
    <w:rsid w:val="00DF1732"/>
    <w:rsid w:val="00DF3099"/>
    <w:rsid w:val="00DF6A99"/>
    <w:rsid w:val="00DF6C8A"/>
    <w:rsid w:val="00E0078D"/>
    <w:rsid w:val="00E02AC6"/>
    <w:rsid w:val="00E07816"/>
    <w:rsid w:val="00E11CD1"/>
    <w:rsid w:val="00E138C3"/>
    <w:rsid w:val="00E14346"/>
    <w:rsid w:val="00E2161D"/>
    <w:rsid w:val="00E27DA8"/>
    <w:rsid w:val="00E31B48"/>
    <w:rsid w:val="00E32D66"/>
    <w:rsid w:val="00E33BC6"/>
    <w:rsid w:val="00E372C0"/>
    <w:rsid w:val="00E37C8A"/>
    <w:rsid w:val="00E40913"/>
    <w:rsid w:val="00E41BDB"/>
    <w:rsid w:val="00E44449"/>
    <w:rsid w:val="00E465E7"/>
    <w:rsid w:val="00E51D29"/>
    <w:rsid w:val="00E52173"/>
    <w:rsid w:val="00E55711"/>
    <w:rsid w:val="00E5613F"/>
    <w:rsid w:val="00E56665"/>
    <w:rsid w:val="00E607A1"/>
    <w:rsid w:val="00E619E8"/>
    <w:rsid w:val="00E633B8"/>
    <w:rsid w:val="00E6745A"/>
    <w:rsid w:val="00E7116C"/>
    <w:rsid w:val="00E7370A"/>
    <w:rsid w:val="00E73E7B"/>
    <w:rsid w:val="00E8196F"/>
    <w:rsid w:val="00E82989"/>
    <w:rsid w:val="00E833E6"/>
    <w:rsid w:val="00E84095"/>
    <w:rsid w:val="00E90BE3"/>
    <w:rsid w:val="00EA1CA3"/>
    <w:rsid w:val="00EA23B2"/>
    <w:rsid w:val="00EA705B"/>
    <w:rsid w:val="00EB1513"/>
    <w:rsid w:val="00EB2253"/>
    <w:rsid w:val="00EB51B6"/>
    <w:rsid w:val="00EB5B98"/>
    <w:rsid w:val="00EB5CD2"/>
    <w:rsid w:val="00EC3CE3"/>
    <w:rsid w:val="00EC453C"/>
    <w:rsid w:val="00EC7871"/>
    <w:rsid w:val="00ED09B1"/>
    <w:rsid w:val="00ED1A68"/>
    <w:rsid w:val="00ED1A82"/>
    <w:rsid w:val="00ED5BB3"/>
    <w:rsid w:val="00ED6A2A"/>
    <w:rsid w:val="00EF0DAD"/>
    <w:rsid w:val="00EF2A90"/>
    <w:rsid w:val="00EF3F99"/>
    <w:rsid w:val="00F008FE"/>
    <w:rsid w:val="00F064FC"/>
    <w:rsid w:val="00F07254"/>
    <w:rsid w:val="00F0726D"/>
    <w:rsid w:val="00F12A8C"/>
    <w:rsid w:val="00F146DD"/>
    <w:rsid w:val="00F22049"/>
    <w:rsid w:val="00F23C45"/>
    <w:rsid w:val="00F25B17"/>
    <w:rsid w:val="00F261E4"/>
    <w:rsid w:val="00F264A9"/>
    <w:rsid w:val="00F27DE6"/>
    <w:rsid w:val="00F301CC"/>
    <w:rsid w:val="00F30428"/>
    <w:rsid w:val="00F33C75"/>
    <w:rsid w:val="00F3519E"/>
    <w:rsid w:val="00F36E78"/>
    <w:rsid w:val="00F374CC"/>
    <w:rsid w:val="00F414FA"/>
    <w:rsid w:val="00F41E8B"/>
    <w:rsid w:val="00F45523"/>
    <w:rsid w:val="00F45785"/>
    <w:rsid w:val="00F458A9"/>
    <w:rsid w:val="00F4606B"/>
    <w:rsid w:val="00F46DA0"/>
    <w:rsid w:val="00F52495"/>
    <w:rsid w:val="00F52D70"/>
    <w:rsid w:val="00F53348"/>
    <w:rsid w:val="00F553A1"/>
    <w:rsid w:val="00F57925"/>
    <w:rsid w:val="00F60864"/>
    <w:rsid w:val="00F622BF"/>
    <w:rsid w:val="00F62820"/>
    <w:rsid w:val="00F636C4"/>
    <w:rsid w:val="00F659A4"/>
    <w:rsid w:val="00F66BE7"/>
    <w:rsid w:val="00F67BA4"/>
    <w:rsid w:val="00F70CF4"/>
    <w:rsid w:val="00F70FE7"/>
    <w:rsid w:val="00F71B04"/>
    <w:rsid w:val="00F72E17"/>
    <w:rsid w:val="00F768B9"/>
    <w:rsid w:val="00F7696C"/>
    <w:rsid w:val="00F80F2A"/>
    <w:rsid w:val="00F83AFA"/>
    <w:rsid w:val="00F844D7"/>
    <w:rsid w:val="00F862B8"/>
    <w:rsid w:val="00F87387"/>
    <w:rsid w:val="00F93544"/>
    <w:rsid w:val="00F942D7"/>
    <w:rsid w:val="00F95D3A"/>
    <w:rsid w:val="00F97040"/>
    <w:rsid w:val="00FA0046"/>
    <w:rsid w:val="00FA32CE"/>
    <w:rsid w:val="00FA398C"/>
    <w:rsid w:val="00FA569A"/>
    <w:rsid w:val="00FA5D15"/>
    <w:rsid w:val="00FB0DF0"/>
    <w:rsid w:val="00FB2109"/>
    <w:rsid w:val="00FB2C8C"/>
    <w:rsid w:val="00FB5E54"/>
    <w:rsid w:val="00FC0131"/>
    <w:rsid w:val="00FC197F"/>
    <w:rsid w:val="00FC3CC3"/>
    <w:rsid w:val="00FD658B"/>
    <w:rsid w:val="00FD7709"/>
    <w:rsid w:val="00FE1018"/>
    <w:rsid w:val="00FE33AA"/>
    <w:rsid w:val="00FF0514"/>
    <w:rsid w:val="00FF14A8"/>
    <w:rsid w:val="00FF2581"/>
    <w:rsid w:val="00FF2A0D"/>
    <w:rsid w:val="00FF56C9"/>
    <w:rsid w:val="0736BC2E"/>
    <w:rsid w:val="0F28A5B6"/>
    <w:rsid w:val="0FD8A0AA"/>
    <w:rsid w:val="26A25CD9"/>
    <w:rsid w:val="329A936D"/>
    <w:rsid w:val="4614CD46"/>
    <w:rsid w:val="4666A881"/>
    <w:rsid w:val="474375B0"/>
    <w:rsid w:val="56D299D7"/>
    <w:rsid w:val="67D9F64A"/>
    <w:rsid w:val="71CDA856"/>
    <w:rsid w:val="71F4817D"/>
    <w:rsid w:val="738EA406"/>
    <w:rsid w:val="750C7DA6"/>
    <w:rsid w:val="7985182B"/>
    <w:rsid w:val="7ACA5124"/>
    <w:rsid w:val="7C6957F6"/>
    <w:rsid w:val="7E3B1D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B9CA4"/>
  <w15:chartTrackingRefBased/>
  <w15:docId w15:val="{FBAFEC99-AE35-44F7-BBE2-ABB02D965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705B"/>
  </w:style>
  <w:style w:type="paragraph" w:styleId="Ttulo1">
    <w:name w:val="heading 1"/>
    <w:basedOn w:val="Normal"/>
    <w:next w:val="Normal"/>
    <w:link w:val="Ttulo1Car"/>
    <w:uiPriority w:val="9"/>
    <w:qFormat/>
    <w:rsid w:val="00C5222C"/>
    <w:pPr>
      <w:keepNext/>
      <w:spacing w:after="0" w:line="360" w:lineRule="auto"/>
      <w:ind w:left="2124" w:firstLine="711"/>
      <w:jc w:val="both"/>
      <w:outlineLvl w:val="0"/>
    </w:pPr>
    <w:rPr>
      <w:rFonts w:ascii="Arial Narrow" w:eastAsia="Times New Roman" w:hAnsi="Arial Narrow" w:cs="Courier New"/>
      <w:b/>
      <w:sz w:val="24"/>
      <w:szCs w:val="20"/>
      <w:lang w:val="es-ES" w:eastAsia="es-ES"/>
    </w:rPr>
  </w:style>
  <w:style w:type="paragraph" w:styleId="Ttulo3">
    <w:name w:val="heading 3"/>
    <w:basedOn w:val="Normal"/>
    <w:next w:val="Normal"/>
    <w:link w:val="Ttulo3Car"/>
    <w:qFormat/>
    <w:rsid w:val="00C5222C"/>
    <w:pPr>
      <w:keepNext/>
      <w:spacing w:after="0" w:line="312" w:lineRule="auto"/>
      <w:ind w:firstLine="2835"/>
      <w:jc w:val="both"/>
      <w:outlineLvl w:val="2"/>
    </w:pPr>
    <w:rPr>
      <w:rFonts w:ascii="Century Gothic" w:eastAsia="Times New Roman" w:hAnsi="Century Gothic" w:cs="Courier New"/>
      <w:b/>
      <w:bCs/>
      <w:szCs w:val="20"/>
      <w:lang w:val="es-MX" w:eastAsia="es-ES"/>
    </w:rPr>
  </w:style>
  <w:style w:type="paragraph" w:styleId="Ttulo5">
    <w:name w:val="heading 5"/>
    <w:basedOn w:val="Normal"/>
    <w:next w:val="Normal"/>
    <w:link w:val="Ttulo5Car"/>
    <w:uiPriority w:val="9"/>
    <w:qFormat/>
    <w:rsid w:val="00C5222C"/>
    <w:pPr>
      <w:keepNext/>
      <w:overflowPunct w:val="0"/>
      <w:autoSpaceDE w:val="0"/>
      <w:autoSpaceDN w:val="0"/>
      <w:adjustRightInd w:val="0"/>
      <w:spacing w:after="0" w:line="240" w:lineRule="auto"/>
      <w:ind w:left="3686" w:right="51"/>
      <w:jc w:val="both"/>
      <w:textAlignment w:val="baseline"/>
      <w:outlineLvl w:val="4"/>
    </w:pPr>
    <w:rPr>
      <w:rFonts w:ascii="Times New Roman" w:eastAsia="MS ??" w:hAnsi="Times New Roman" w:cs="Times New Roman"/>
      <w:b/>
      <w:sz w:val="2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5222C"/>
    <w:rPr>
      <w:rFonts w:ascii="Arial Narrow" w:eastAsia="Times New Roman" w:hAnsi="Arial Narrow" w:cs="Courier New"/>
      <w:b/>
      <w:sz w:val="24"/>
      <w:szCs w:val="20"/>
      <w:lang w:val="es-ES" w:eastAsia="es-ES"/>
    </w:rPr>
  </w:style>
  <w:style w:type="character" w:customStyle="1" w:styleId="Ttulo3Car">
    <w:name w:val="Título 3 Car"/>
    <w:basedOn w:val="Fuentedeprrafopredeter"/>
    <w:link w:val="Ttulo3"/>
    <w:rsid w:val="00C5222C"/>
    <w:rPr>
      <w:rFonts w:ascii="Century Gothic" w:eastAsia="Times New Roman" w:hAnsi="Century Gothic" w:cs="Courier New"/>
      <w:b/>
      <w:bCs/>
      <w:szCs w:val="20"/>
      <w:lang w:val="es-MX" w:eastAsia="es-ES"/>
    </w:rPr>
  </w:style>
  <w:style w:type="character" w:customStyle="1" w:styleId="Ttulo5Car">
    <w:name w:val="Título 5 Car"/>
    <w:basedOn w:val="Fuentedeprrafopredeter"/>
    <w:link w:val="Ttulo5"/>
    <w:uiPriority w:val="9"/>
    <w:rsid w:val="00C5222C"/>
    <w:rPr>
      <w:rFonts w:ascii="Times New Roman" w:eastAsia="MS ??" w:hAnsi="Times New Roman" w:cs="Times New Roman"/>
      <w:b/>
      <w:sz w:val="28"/>
      <w:szCs w:val="20"/>
      <w:lang w:eastAsia="es-ES"/>
    </w:rPr>
  </w:style>
  <w:style w:type="paragraph" w:styleId="Prrafodelista">
    <w:name w:val="List Paragraph"/>
    <w:basedOn w:val="Normal"/>
    <w:uiPriority w:val="34"/>
    <w:qFormat/>
    <w:rsid w:val="00EA705B"/>
    <w:pPr>
      <w:ind w:left="720"/>
      <w:contextualSpacing/>
    </w:pPr>
  </w:style>
  <w:style w:type="character" w:customStyle="1" w:styleId="normaltextrun">
    <w:name w:val="normaltextrun"/>
    <w:basedOn w:val="Fuentedeprrafopredeter"/>
    <w:rsid w:val="00EA705B"/>
  </w:style>
  <w:style w:type="paragraph" w:styleId="Textodeglobo">
    <w:name w:val="Balloon Text"/>
    <w:basedOn w:val="Normal"/>
    <w:link w:val="TextodegloboCar"/>
    <w:uiPriority w:val="99"/>
    <w:semiHidden/>
    <w:unhideWhenUsed/>
    <w:rsid w:val="00560DC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DC9"/>
    <w:rPr>
      <w:rFonts w:ascii="Segoe UI" w:hAnsi="Segoe UI" w:cs="Segoe UI"/>
      <w:sz w:val="18"/>
      <w:szCs w:val="18"/>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
    <w:basedOn w:val="Normal"/>
    <w:link w:val="TextonotapieCar"/>
    <w:uiPriority w:val="99"/>
    <w:unhideWhenUsed/>
    <w:qFormat/>
    <w:rsid w:val="00F659A4"/>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uiPriority w:val="99"/>
    <w:rsid w:val="00F659A4"/>
    <w:rPr>
      <w:sz w:val="20"/>
      <w:szCs w:val="20"/>
    </w:rPr>
  </w:style>
  <w:style w:type="character" w:styleId="Refdenotaalpie">
    <w:name w:val="footnote reference"/>
    <w:aliases w:val="Texto de nota al pie,FC,Footnotes refss,Appel note de bas de page,referencia nota al pie,Footnote number,BVI fnr,f,Ref. de nota al pie 2,Fago Fußnotenzeichen,4_G,16 Point,Superscript 6 Point,Ref,de nota al pie,Footnote symbol,Footnot"/>
    <w:basedOn w:val="Fuentedeprrafopredeter"/>
    <w:link w:val="4GChar"/>
    <w:unhideWhenUsed/>
    <w:qFormat/>
    <w:rsid w:val="00F659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C5222C"/>
    <w:pPr>
      <w:spacing w:after="0" w:line="240" w:lineRule="auto"/>
    </w:pPr>
    <w:rPr>
      <w:vertAlign w:val="superscript"/>
    </w:rPr>
  </w:style>
  <w:style w:type="character" w:customStyle="1" w:styleId="TextonotapieCar1">
    <w:name w:val="Texto nota pie Car1"/>
    <w:aliases w:val="Texto nota pie Car Car1,Footnote Text Char Char Char Char Char Car1,Footnote Text Char Char Char Char Car1,Footnote reference Car1,FA Fu Car1,Footnote Text Cha Car1,Footnote Text Char Char Char Car1,FA Fußnotentext Car1,f Car,Car Car"/>
    <w:uiPriority w:val="99"/>
    <w:rsid w:val="00110A4A"/>
    <w:rPr>
      <w:rFonts w:ascii="Times New Roman" w:eastAsia="Times New Roman" w:hAnsi="Times New Roman" w:cs="Times New Roman"/>
      <w:sz w:val="24"/>
      <w:szCs w:val="24"/>
      <w:lang w:val="es-ES_tradnl" w:eastAsia="es-ES"/>
    </w:rPr>
  </w:style>
  <w:style w:type="character" w:styleId="Refdecomentario">
    <w:name w:val="annotation reference"/>
    <w:basedOn w:val="Fuentedeprrafopredeter"/>
    <w:uiPriority w:val="99"/>
    <w:semiHidden/>
    <w:unhideWhenUsed/>
    <w:rsid w:val="006B2201"/>
    <w:rPr>
      <w:sz w:val="16"/>
      <w:szCs w:val="16"/>
    </w:rPr>
  </w:style>
  <w:style w:type="paragraph" w:styleId="Textocomentario">
    <w:name w:val="annotation text"/>
    <w:basedOn w:val="Normal"/>
    <w:link w:val="TextocomentarioCar"/>
    <w:uiPriority w:val="99"/>
    <w:semiHidden/>
    <w:unhideWhenUsed/>
    <w:rsid w:val="006B220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B2201"/>
    <w:rPr>
      <w:sz w:val="20"/>
      <w:szCs w:val="20"/>
    </w:rPr>
  </w:style>
  <w:style w:type="paragraph" w:styleId="Encabezado">
    <w:name w:val="header"/>
    <w:basedOn w:val="Normal"/>
    <w:link w:val="EncabezadoCar"/>
    <w:uiPriority w:val="99"/>
    <w:unhideWhenUsed/>
    <w:rsid w:val="00C85B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5BE3"/>
  </w:style>
  <w:style w:type="paragraph" w:styleId="Piedepgina">
    <w:name w:val="footer"/>
    <w:basedOn w:val="Normal"/>
    <w:link w:val="PiedepginaCar"/>
    <w:uiPriority w:val="99"/>
    <w:unhideWhenUsed/>
    <w:rsid w:val="00C85B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5BE3"/>
  </w:style>
  <w:style w:type="paragraph" w:styleId="Textoindependiente">
    <w:name w:val="Body Text"/>
    <w:basedOn w:val="Normal"/>
    <w:link w:val="TextoindependienteCar"/>
    <w:uiPriority w:val="99"/>
    <w:unhideWhenUsed/>
    <w:qFormat/>
    <w:rsid w:val="00A64774"/>
    <w:pPr>
      <w:widowControl w:val="0"/>
      <w:autoSpaceDE w:val="0"/>
      <w:autoSpaceDN w:val="0"/>
      <w:spacing w:after="0" w:line="240" w:lineRule="auto"/>
    </w:pPr>
    <w:rPr>
      <w:rFonts w:ascii="Gadugi" w:eastAsia="Gadugi" w:hAnsi="Gadugi" w:cs="Gadugi"/>
      <w:sz w:val="26"/>
      <w:szCs w:val="26"/>
      <w:lang w:val="es-ES"/>
    </w:rPr>
  </w:style>
  <w:style w:type="character" w:customStyle="1" w:styleId="TextoindependienteCar">
    <w:name w:val="Texto independiente Car"/>
    <w:basedOn w:val="Fuentedeprrafopredeter"/>
    <w:link w:val="Textoindependiente"/>
    <w:uiPriority w:val="99"/>
    <w:rsid w:val="00A64774"/>
    <w:rPr>
      <w:rFonts w:ascii="Gadugi" w:eastAsia="Gadugi" w:hAnsi="Gadugi" w:cs="Gadugi"/>
      <w:sz w:val="26"/>
      <w:szCs w:val="26"/>
      <w:lang w:val="es-ES"/>
    </w:rPr>
  </w:style>
  <w:style w:type="paragraph" w:styleId="Asuntodelcomentario">
    <w:name w:val="annotation subject"/>
    <w:basedOn w:val="Textocomentario"/>
    <w:next w:val="Textocomentario"/>
    <w:link w:val="AsuntodelcomentarioCar"/>
    <w:uiPriority w:val="99"/>
    <w:semiHidden/>
    <w:unhideWhenUsed/>
    <w:rsid w:val="00E607A1"/>
    <w:rPr>
      <w:b/>
      <w:bCs/>
    </w:rPr>
  </w:style>
  <w:style w:type="character" w:customStyle="1" w:styleId="AsuntodelcomentarioCar">
    <w:name w:val="Asunto del comentario Car"/>
    <w:basedOn w:val="TextocomentarioCar"/>
    <w:link w:val="Asuntodelcomentario"/>
    <w:uiPriority w:val="99"/>
    <w:semiHidden/>
    <w:rsid w:val="00E607A1"/>
    <w:rPr>
      <w:b/>
      <w:bCs/>
      <w:sz w:val="20"/>
      <w:szCs w:val="20"/>
    </w:rPr>
  </w:style>
  <w:style w:type="paragraph" w:customStyle="1" w:styleId="paragraph">
    <w:name w:val="paragraph"/>
    <w:basedOn w:val="Normal"/>
    <w:rsid w:val="005267A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eop">
    <w:name w:val="eop"/>
    <w:basedOn w:val="Fuentedeprrafopredeter"/>
    <w:rsid w:val="005267A8"/>
  </w:style>
  <w:style w:type="character" w:customStyle="1" w:styleId="superscript">
    <w:name w:val="superscript"/>
    <w:basedOn w:val="Fuentedeprrafopredeter"/>
    <w:rsid w:val="005267A8"/>
  </w:style>
  <w:style w:type="paragraph" w:styleId="Sangradetextonormal">
    <w:name w:val="Body Text Indent"/>
    <w:basedOn w:val="Normal"/>
    <w:link w:val="SangradetextonormalCar"/>
    <w:uiPriority w:val="99"/>
    <w:semiHidden/>
    <w:unhideWhenUsed/>
    <w:rsid w:val="00C5222C"/>
    <w:pPr>
      <w:spacing w:after="120"/>
      <w:ind w:left="283"/>
    </w:pPr>
  </w:style>
  <w:style w:type="character" w:customStyle="1" w:styleId="SangradetextonormalCar">
    <w:name w:val="Sangría de texto normal Car"/>
    <w:basedOn w:val="Fuentedeprrafopredeter"/>
    <w:link w:val="Sangradetextonormal"/>
    <w:uiPriority w:val="99"/>
    <w:semiHidden/>
    <w:rsid w:val="00C5222C"/>
  </w:style>
  <w:style w:type="paragraph" w:customStyle="1" w:styleId="Default">
    <w:name w:val="Default"/>
    <w:rsid w:val="00C5222C"/>
    <w:pPr>
      <w:autoSpaceDE w:val="0"/>
      <w:autoSpaceDN w:val="0"/>
      <w:adjustRightInd w:val="0"/>
      <w:spacing w:after="0" w:line="240" w:lineRule="auto"/>
    </w:pPr>
    <w:rPr>
      <w:rFonts w:ascii="Arial" w:hAnsi="Arial" w:cs="Arial"/>
      <w:color w:val="000000"/>
      <w:sz w:val="24"/>
      <w:szCs w:val="24"/>
      <w:lang w:val="es-ES"/>
    </w:rPr>
  </w:style>
  <w:style w:type="paragraph" w:customStyle="1" w:styleId="a">
    <w:basedOn w:val="Normal"/>
    <w:next w:val="Ttulo"/>
    <w:link w:val="PuestoCar"/>
    <w:qFormat/>
    <w:rsid w:val="00C5222C"/>
    <w:pPr>
      <w:overflowPunct w:val="0"/>
      <w:autoSpaceDE w:val="0"/>
      <w:autoSpaceDN w:val="0"/>
      <w:adjustRightInd w:val="0"/>
      <w:spacing w:before="240" w:after="60" w:line="240" w:lineRule="auto"/>
      <w:jc w:val="center"/>
      <w:textAlignment w:val="baseline"/>
      <w:outlineLvl w:val="0"/>
    </w:pPr>
    <w:rPr>
      <w:rFonts w:ascii="Arial" w:eastAsia="Times New Roman" w:hAnsi="Arial" w:cs="Arial"/>
      <w:b/>
      <w:bCs/>
      <w:kern w:val="28"/>
      <w:sz w:val="32"/>
      <w:szCs w:val="32"/>
      <w:lang w:val="es-ES_tradnl" w:eastAsia="es-ES"/>
    </w:rPr>
  </w:style>
  <w:style w:type="paragraph" w:styleId="Ttulo">
    <w:name w:val="Title"/>
    <w:basedOn w:val="Normal"/>
    <w:next w:val="Normal"/>
    <w:link w:val="TtuloCar"/>
    <w:uiPriority w:val="10"/>
    <w:qFormat/>
    <w:rsid w:val="00C522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5222C"/>
    <w:rPr>
      <w:rFonts w:asciiTheme="majorHAnsi" w:eastAsiaTheme="majorEastAsia" w:hAnsiTheme="majorHAnsi" w:cstheme="majorBidi"/>
      <w:spacing w:val="-10"/>
      <w:kern w:val="28"/>
      <w:sz w:val="56"/>
      <w:szCs w:val="56"/>
    </w:rPr>
  </w:style>
  <w:style w:type="character" w:customStyle="1" w:styleId="PuestoCar">
    <w:name w:val="Puesto Car"/>
    <w:link w:val="a"/>
    <w:rsid w:val="00C5222C"/>
    <w:rPr>
      <w:rFonts w:ascii="Arial" w:hAnsi="Arial" w:cs="Arial"/>
      <w:b/>
      <w:bCs/>
      <w:kern w:val="28"/>
      <w:sz w:val="32"/>
      <w:szCs w:val="32"/>
      <w:lang w:val="es-ES_tradnl" w:eastAsia="es-ES"/>
    </w:rPr>
  </w:style>
  <w:style w:type="paragraph" w:styleId="Sangra2detindependiente">
    <w:name w:val="Body Text Indent 2"/>
    <w:basedOn w:val="Normal"/>
    <w:link w:val="Sangra2detindependienteCar"/>
    <w:uiPriority w:val="99"/>
    <w:unhideWhenUsed/>
    <w:rsid w:val="00C5222C"/>
    <w:pPr>
      <w:spacing w:after="120" w:line="480" w:lineRule="auto"/>
      <w:ind w:left="283"/>
    </w:pPr>
    <w:rPr>
      <w:rFonts w:ascii="Calibri" w:eastAsia="Times New Roman" w:hAnsi="Calibri" w:cs="Times New Roman"/>
      <w:lang w:val="x-none" w:eastAsia="x-none"/>
    </w:rPr>
  </w:style>
  <w:style w:type="character" w:customStyle="1" w:styleId="Sangra2detindependienteCar">
    <w:name w:val="Sangría 2 de t. independiente Car"/>
    <w:basedOn w:val="Fuentedeprrafopredeter"/>
    <w:link w:val="Sangra2detindependiente"/>
    <w:uiPriority w:val="99"/>
    <w:rsid w:val="00C5222C"/>
    <w:rPr>
      <w:rFonts w:ascii="Calibri" w:eastAsia="Times New Roman" w:hAnsi="Calibri" w:cs="Times New Roman"/>
      <w:lang w:val="x-none" w:eastAsia="x-none"/>
    </w:rPr>
  </w:style>
  <w:style w:type="paragraph" w:customStyle="1" w:styleId="Textoindependiente21">
    <w:name w:val="Texto independiente 21"/>
    <w:basedOn w:val="Normal"/>
    <w:rsid w:val="00C5222C"/>
    <w:pPr>
      <w:tabs>
        <w:tab w:val="left" w:pos="-720"/>
      </w:tabs>
      <w:suppressAutoHyphens/>
      <w:spacing w:after="0" w:line="360" w:lineRule="auto"/>
      <w:jc w:val="both"/>
    </w:pPr>
    <w:rPr>
      <w:rFonts w:ascii="Arial" w:eastAsia="Times New Roman" w:hAnsi="Arial" w:cs="Times New Roman"/>
      <w:sz w:val="28"/>
      <w:szCs w:val="20"/>
      <w:lang w:val="es-ES_tradnl" w:eastAsia="es-ES"/>
    </w:rPr>
  </w:style>
  <w:style w:type="paragraph" w:styleId="Sinespaciado">
    <w:name w:val="No Spacing"/>
    <w:link w:val="SinespaciadoCar"/>
    <w:qFormat/>
    <w:rsid w:val="00C5222C"/>
    <w:pPr>
      <w:spacing w:after="0" w:line="240" w:lineRule="auto"/>
    </w:pPr>
    <w:rPr>
      <w:rFonts w:ascii="Calibri" w:eastAsia="Times New Roman" w:hAnsi="Calibri" w:cs="Times New Roman"/>
      <w:lang w:val="es-ES" w:eastAsia="es-ES"/>
    </w:rPr>
  </w:style>
  <w:style w:type="character" w:customStyle="1" w:styleId="SinespaciadoCar">
    <w:name w:val="Sin espaciado Car"/>
    <w:link w:val="Sinespaciado"/>
    <w:rsid w:val="00C5222C"/>
    <w:rPr>
      <w:rFonts w:ascii="Calibri" w:eastAsia="Times New Roman" w:hAnsi="Calibri" w:cs="Times New Roman"/>
      <w:lang w:val="es-ES" w:eastAsia="es-ES"/>
    </w:rPr>
  </w:style>
  <w:style w:type="paragraph" w:customStyle="1" w:styleId="Listavistosa-nfasis11">
    <w:name w:val="Lista vistosa - Énfasis 11"/>
    <w:basedOn w:val="Normal"/>
    <w:uiPriority w:val="34"/>
    <w:qFormat/>
    <w:rsid w:val="00C5222C"/>
    <w:pPr>
      <w:spacing w:after="0" w:line="240" w:lineRule="auto"/>
      <w:ind w:left="720"/>
      <w:contextualSpacing/>
    </w:pPr>
    <w:rPr>
      <w:rFonts w:ascii="Cambria" w:eastAsia="MS ??" w:hAnsi="Cambria" w:cs="Times New Roman"/>
      <w:sz w:val="24"/>
      <w:szCs w:val="24"/>
      <w:lang w:eastAsia="es-ES"/>
    </w:rPr>
  </w:style>
  <w:style w:type="character" w:styleId="Textoennegrita">
    <w:name w:val="Strong"/>
    <w:basedOn w:val="Fuentedeprrafopredeter"/>
    <w:uiPriority w:val="22"/>
    <w:qFormat/>
    <w:rsid w:val="00C5222C"/>
    <w:rPr>
      <w:b/>
    </w:rPr>
  </w:style>
  <w:style w:type="paragraph" w:customStyle="1" w:styleId="xmsonormal">
    <w:name w:val="x_msonormal"/>
    <w:basedOn w:val="Normal"/>
    <w:rsid w:val="00C5222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rsid w:val="00C5222C"/>
  </w:style>
  <w:style w:type="paragraph" w:styleId="Textoindependiente2">
    <w:name w:val="Body Text 2"/>
    <w:basedOn w:val="Normal"/>
    <w:link w:val="Textoindependiente2Car"/>
    <w:uiPriority w:val="99"/>
    <w:unhideWhenUsed/>
    <w:rsid w:val="00C5222C"/>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C5222C"/>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C5222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C5222C"/>
    <w:rPr>
      <w:color w:val="0000FF"/>
      <w:u w:val="single"/>
    </w:rPr>
  </w:style>
  <w:style w:type="character" w:customStyle="1" w:styleId="baj">
    <w:name w:val="b_aj"/>
    <w:rsid w:val="00C5222C"/>
  </w:style>
  <w:style w:type="character" w:customStyle="1" w:styleId="TextonotaalfinalCar">
    <w:name w:val="Texto nota al final Car"/>
    <w:basedOn w:val="Fuentedeprrafopredeter"/>
    <w:link w:val="Textonotaalfinal"/>
    <w:uiPriority w:val="99"/>
    <w:semiHidden/>
    <w:rsid w:val="00C5222C"/>
    <w:rPr>
      <w:rFonts w:ascii="Cambria" w:eastAsia="MS ??" w:hAnsi="Cambria" w:cs="Times New Roman"/>
      <w:sz w:val="20"/>
      <w:szCs w:val="20"/>
      <w:lang w:eastAsia="es-ES"/>
    </w:rPr>
  </w:style>
  <w:style w:type="paragraph" w:styleId="Textonotaalfinal">
    <w:name w:val="endnote text"/>
    <w:basedOn w:val="Normal"/>
    <w:link w:val="TextonotaalfinalCar"/>
    <w:uiPriority w:val="99"/>
    <w:semiHidden/>
    <w:unhideWhenUsed/>
    <w:rsid w:val="00C5222C"/>
    <w:pPr>
      <w:spacing w:after="0" w:line="240" w:lineRule="auto"/>
    </w:pPr>
    <w:rPr>
      <w:rFonts w:ascii="Cambria" w:eastAsia="MS ??" w:hAnsi="Cambria" w:cs="Times New Roman"/>
      <w:sz w:val="20"/>
      <w:szCs w:val="20"/>
      <w:lang w:eastAsia="es-ES"/>
    </w:rPr>
  </w:style>
  <w:style w:type="paragraph" w:customStyle="1" w:styleId="NormalJustificado">
    <w:name w:val="Normal + Justificado"/>
    <w:basedOn w:val="Normal"/>
    <w:rsid w:val="00C5222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8"/>
      <w:u w:val="single"/>
      <w:lang w:val="es-ES" w:eastAsia="es-ES"/>
    </w:rPr>
  </w:style>
  <w:style w:type="paragraph" w:customStyle="1" w:styleId="Car4">
    <w:name w:val="Car4"/>
    <w:basedOn w:val="Normal"/>
    <w:rsid w:val="00C5222C"/>
    <w:pPr>
      <w:spacing w:line="240" w:lineRule="exact"/>
      <w:jc w:val="both"/>
    </w:pPr>
    <w:rPr>
      <w:rFonts w:ascii="Tahoma" w:eastAsia="Times New Roman" w:hAnsi="Tahoma" w:cs="Times New Roman"/>
      <w:sz w:val="20"/>
      <w:szCs w:val="20"/>
      <w:lang w:val="en-US"/>
    </w:rPr>
  </w:style>
  <w:style w:type="character" w:customStyle="1" w:styleId="TextonotapieCar3">
    <w:name w:val="Texto nota pie Car3"/>
    <w:aliases w:val="Ref. de nota al pie1 Car,Texto de nota al pie Car1,referencia nota al pie Car1,Footnotes refss Car1,Appel note de bas de page Car1,Fago Fußnotenzeichen Car1,Ref. de nota al pie 2 Car1,Texto nota pie Car2 Car,Footnote number Car1"/>
    <w:uiPriority w:val="99"/>
    <w:locked/>
    <w:rsid w:val="00C5222C"/>
    <w:rPr>
      <w:rFonts w:ascii="SimSun" w:eastAsia="SimSun" w:hAnsi="SimSun"/>
      <w:color w:val="000000"/>
      <w:lang w:val="es-CO" w:eastAsia="es-ES"/>
    </w:rPr>
  </w:style>
  <w:style w:type="paragraph" w:customStyle="1" w:styleId="Sangradetindependiente">
    <w:name w:val="Sangría de t. independiente"/>
    <w:basedOn w:val="Normal"/>
    <w:uiPriority w:val="99"/>
    <w:rsid w:val="00C5222C"/>
    <w:pPr>
      <w:autoSpaceDE w:val="0"/>
      <w:autoSpaceDN w:val="0"/>
      <w:spacing w:after="0" w:line="240" w:lineRule="auto"/>
      <w:ind w:right="17"/>
      <w:jc w:val="both"/>
    </w:pPr>
    <w:rPr>
      <w:rFonts w:ascii="Times New Roman" w:eastAsia="Times New Roman" w:hAnsi="Times New Roman" w:cs="Times New Roman"/>
      <w:sz w:val="28"/>
      <w:szCs w:val="2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28488">
      <w:bodyDiv w:val="1"/>
      <w:marLeft w:val="0"/>
      <w:marRight w:val="0"/>
      <w:marTop w:val="0"/>
      <w:marBottom w:val="0"/>
      <w:divBdr>
        <w:top w:val="none" w:sz="0" w:space="0" w:color="auto"/>
        <w:left w:val="none" w:sz="0" w:space="0" w:color="auto"/>
        <w:bottom w:val="none" w:sz="0" w:space="0" w:color="auto"/>
        <w:right w:val="none" w:sz="0" w:space="0" w:color="auto"/>
      </w:divBdr>
      <w:divsChild>
        <w:div w:id="334722183">
          <w:marLeft w:val="0"/>
          <w:marRight w:val="0"/>
          <w:marTop w:val="0"/>
          <w:marBottom w:val="0"/>
          <w:divBdr>
            <w:top w:val="none" w:sz="0" w:space="0" w:color="auto"/>
            <w:left w:val="none" w:sz="0" w:space="0" w:color="auto"/>
            <w:bottom w:val="none" w:sz="0" w:space="0" w:color="auto"/>
            <w:right w:val="none" w:sz="0" w:space="0" w:color="auto"/>
          </w:divBdr>
        </w:div>
        <w:div w:id="288126589">
          <w:marLeft w:val="0"/>
          <w:marRight w:val="0"/>
          <w:marTop w:val="0"/>
          <w:marBottom w:val="0"/>
          <w:divBdr>
            <w:top w:val="none" w:sz="0" w:space="0" w:color="auto"/>
            <w:left w:val="none" w:sz="0" w:space="0" w:color="auto"/>
            <w:bottom w:val="none" w:sz="0" w:space="0" w:color="auto"/>
            <w:right w:val="none" w:sz="0" w:space="0" w:color="auto"/>
          </w:divBdr>
        </w:div>
        <w:div w:id="1152066416">
          <w:marLeft w:val="0"/>
          <w:marRight w:val="0"/>
          <w:marTop w:val="0"/>
          <w:marBottom w:val="0"/>
          <w:divBdr>
            <w:top w:val="none" w:sz="0" w:space="0" w:color="auto"/>
            <w:left w:val="none" w:sz="0" w:space="0" w:color="auto"/>
            <w:bottom w:val="none" w:sz="0" w:space="0" w:color="auto"/>
            <w:right w:val="none" w:sz="0" w:space="0" w:color="auto"/>
          </w:divBdr>
        </w:div>
        <w:div w:id="598173658">
          <w:marLeft w:val="0"/>
          <w:marRight w:val="0"/>
          <w:marTop w:val="0"/>
          <w:marBottom w:val="0"/>
          <w:divBdr>
            <w:top w:val="none" w:sz="0" w:space="0" w:color="auto"/>
            <w:left w:val="none" w:sz="0" w:space="0" w:color="auto"/>
            <w:bottom w:val="none" w:sz="0" w:space="0" w:color="auto"/>
            <w:right w:val="none" w:sz="0" w:space="0" w:color="auto"/>
          </w:divBdr>
        </w:div>
        <w:div w:id="720447067">
          <w:marLeft w:val="0"/>
          <w:marRight w:val="0"/>
          <w:marTop w:val="0"/>
          <w:marBottom w:val="0"/>
          <w:divBdr>
            <w:top w:val="none" w:sz="0" w:space="0" w:color="auto"/>
            <w:left w:val="none" w:sz="0" w:space="0" w:color="auto"/>
            <w:bottom w:val="none" w:sz="0" w:space="0" w:color="auto"/>
            <w:right w:val="none" w:sz="0" w:space="0" w:color="auto"/>
          </w:divBdr>
        </w:div>
        <w:div w:id="1986885562">
          <w:marLeft w:val="0"/>
          <w:marRight w:val="0"/>
          <w:marTop w:val="0"/>
          <w:marBottom w:val="0"/>
          <w:divBdr>
            <w:top w:val="none" w:sz="0" w:space="0" w:color="auto"/>
            <w:left w:val="none" w:sz="0" w:space="0" w:color="auto"/>
            <w:bottom w:val="none" w:sz="0" w:space="0" w:color="auto"/>
            <w:right w:val="none" w:sz="0" w:space="0" w:color="auto"/>
          </w:divBdr>
          <w:divsChild>
            <w:div w:id="58869069">
              <w:marLeft w:val="0"/>
              <w:marRight w:val="0"/>
              <w:marTop w:val="0"/>
              <w:marBottom w:val="0"/>
              <w:divBdr>
                <w:top w:val="none" w:sz="0" w:space="0" w:color="auto"/>
                <w:left w:val="none" w:sz="0" w:space="0" w:color="auto"/>
                <w:bottom w:val="none" w:sz="0" w:space="0" w:color="auto"/>
                <w:right w:val="none" w:sz="0" w:space="0" w:color="auto"/>
              </w:divBdr>
            </w:div>
            <w:div w:id="2065523079">
              <w:marLeft w:val="0"/>
              <w:marRight w:val="0"/>
              <w:marTop w:val="0"/>
              <w:marBottom w:val="0"/>
              <w:divBdr>
                <w:top w:val="none" w:sz="0" w:space="0" w:color="auto"/>
                <w:left w:val="none" w:sz="0" w:space="0" w:color="auto"/>
                <w:bottom w:val="none" w:sz="0" w:space="0" w:color="auto"/>
                <w:right w:val="none" w:sz="0" w:space="0" w:color="auto"/>
              </w:divBdr>
            </w:div>
            <w:div w:id="333345152">
              <w:marLeft w:val="0"/>
              <w:marRight w:val="0"/>
              <w:marTop w:val="0"/>
              <w:marBottom w:val="0"/>
              <w:divBdr>
                <w:top w:val="none" w:sz="0" w:space="0" w:color="auto"/>
                <w:left w:val="none" w:sz="0" w:space="0" w:color="auto"/>
                <w:bottom w:val="none" w:sz="0" w:space="0" w:color="auto"/>
                <w:right w:val="none" w:sz="0" w:space="0" w:color="auto"/>
              </w:divBdr>
            </w:div>
            <w:div w:id="1413510165">
              <w:marLeft w:val="0"/>
              <w:marRight w:val="0"/>
              <w:marTop w:val="0"/>
              <w:marBottom w:val="0"/>
              <w:divBdr>
                <w:top w:val="none" w:sz="0" w:space="0" w:color="auto"/>
                <w:left w:val="none" w:sz="0" w:space="0" w:color="auto"/>
                <w:bottom w:val="none" w:sz="0" w:space="0" w:color="auto"/>
                <w:right w:val="none" w:sz="0" w:space="0" w:color="auto"/>
              </w:divBdr>
            </w:div>
            <w:div w:id="1814443598">
              <w:marLeft w:val="0"/>
              <w:marRight w:val="0"/>
              <w:marTop w:val="0"/>
              <w:marBottom w:val="0"/>
              <w:divBdr>
                <w:top w:val="none" w:sz="0" w:space="0" w:color="auto"/>
                <w:left w:val="none" w:sz="0" w:space="0" w:color="auto"/>
                <w:bottom w:val="none" w:sz="0" w:space="0" w:color="auto"/>
                <w:right w:val="none" w:sz="0" w:space="0" w:color="auto"/>
              </w:divBdr>
            </w:div>
          </w:divsChild>
        </w:div>
        <w:div w:id="1473794846">
          <w:marLeft w:val="0"/>
          <w:marRight w:val="0"/>
          <w:marTop w:val="0"/>
          <w:marBottom w:val="0"/>
          <w:divBdr>
            <w:top w:val="none" w:sz="0" w:space="0" w:color="auto"/>
            <w:left w:val="none" w:sz="0" w:space="0" w:color="auto"/>
            <w:bottom w:val="none" w:sz="0" w:space="0" w:color="auto"/>
            <w:right w:val="none" w:sz="0" w:space="0" w:color="auto"/>
          </w:divBdr>
        </w:div>
        <w:div w:id="1316034301">
          <w:marLeft w:val="0"/>
          <w:marRight w:val="0"/>
          <w:marTop w:val="0"/>
          <w:marBottom w:val="0"/>
          <w:divBdr>
            <w:top w:val="none" w:sz="0" w:space="0" w:color="auto"/>
            <w:left w:val="none" w:sz="0" w:space="0" w:color="auto"/>
            <w:bottom w:val="none" w:sz="0" w:space="0" w:color="auto"/>
            <w:right w:val="none" w:sz="0" w:space="0" w:color="auto"/>
          </w:divBdr>
        </w:div>
        <w:div w:id="1991594131">
          <w:marLeft w:val="0"/>
          <w:marRight w:val="0"/>
          <w:marTop w:val="0"/>
          <w:marBottom w:val="0"/>
          <w:divBdr>
            <w:top w:val="none" w:sz="0" w:space="0" w:color="auto"/>
            <w:left w:val="none" w:sz="0" w:space="0" w:color="auto"/>
            <w:bottom w:val="none" w:sz="0" w:space="0" w:color="auto"/>
            <w:right w:val="none" w:sz="0" w:space="0" w:color="auto"/>
          </w:divBdr>
        </w:div>
        <w:div w:id="1120608545">
          <w:marLeft w:val="0"/>
          <w:marRight w:val="0"/>
          <w:marTop w:val="0"/>
          <w:marBottom w:val="0"/>
          <w:divBdr>
            <w:top w:val="none" w:sz="0" w:space="0" w:color="auto"/>
            <w:left w:val="none" w:sz="0" w:space="0" w:color="auto"/>
            <w:bottom w:val="none" w:sz="0" w:space="0" w:color="auto"/>
            <w:right w:val="none" w:sz="0" w:space="0" w:color="auto"/>
          </w:divBdr>
        </w:div>
        <w:div w:id="52437884">
          <w:marLeft w:val="0"/>
          <w:marRight w:val="0"/>
          <w:marTop w:val="0"/>
          <w:marBottom w:val="0"/>
          <w:divBdr>
            <w:top w:val="none" w:sz="0" w:space="0" w:color="auto"/>
            <w:left w:val="none" w:sz="0" w:space="0" w:color="auto"/>
            <w:bottom w:val="none" w:sz="0" w:space="0" w:color="auto"/>
            <w:right w:val="none" w:sz="0" w:space="0" w:color="auto"/>
          </w:divBdr>
        </w:div>
        <w:div w:id="1841310437">
          <w:marLeft w:val="0"/>
          <w:marRight w:val="0"/>
          <w:marTop w:val="0"/>
          <w:marBottom w:val="0"/>
          <w:divBdr>
            <w:top w:val="none" w:sz="0" w:space="0" w:color="auto"/>
            <w:left w:val="none" w:sz="0" w:space="0" w:color="auto"/>
            <w:bottom w:val="none" w:sz="0" w:space="0" w:color="auto"/>
            <w:right w:val="none" w:sz="0" w:space="0" w:color="auto"/>
          </w:divBdr>
        </w:div>
        <w:div w:id="855509181">
          <w:marLeft w:val="0"/>
          <w:marRight w:val="0"/>
          <w:marTop w:val="0"/>
          <w:marBottom w:val="0"/>
          <w:divBdr>
            <w:top w:val="none" w:sz="0" w:space="0" w:color="auto"/>
            <w:left w:val="none" w:sz="0" w:space="0" w:color="auto"/>
            <w:bottom w:val="none" w:sz="0" w:space="0" w:color="auto"/>
            <w:right w:val="none" w:sz="0" w:space="0" w:color="auto"/>
          </w:divBdr>
        </w:div>
        <w:div w:id="948508569">
          <w:marLeft w:val="0"/>
          <w:marRight w:val="0"/>
          <w:marTop w:val="0"/>
          <w:marBottom w:val="0"/>
          <w:divBdr>
            <w:top w:val="none" w:sz="0" w:space="0" w:color="auto"/>
            <w:left w:val="none" w:sz="0" w:space="0" w:color="auto"/>
            <w:bottom w:val="none" w:sz="0" w:space="0" w:color="auto"/>
            <w:right w:val="none" w:sz="0" w:space="0" w:color="auto"/>
          </w:divBdr>
        </w:div>
        <w:div w:id="1206403199">
          <w:marLeft w:val="0"/>
          <w:marRight w:val="0"/>
          <w:marTop w:val="0"/>
          <w:marBottom w:val="0"/>
          <w:divBdr>
            <w:top w:val="none" w:sz="0" w:space="0" w:color="auto"/>
            <w:left w:val="none" w:sz="0" w:space="0" w:color="auto"/>
            <w:bottom w:val="none" w:sz="0" w:space="0" w:color="auto"/>
            <w:right w:val="none" w:sz="0" w:space="0" w:color="auto"/>
          </w:divBdr>
        </w:div>
        <w:div w:id="1651443287">
          <w:marLeft w:val="0"/>
          <w:marRight w:val="0"/>
          <w:marTop w:val="0"/>
          <w:marBottom w:val="0"/>
          <w:divBdr>
            <w:top w:val="none" w:sz="0" w:space="0" w:color="auto"/>
            <w:left w:val="none" w:sz="0" w:space="0" w:color="auto"/>
            <w:bottom w:val="none" w:sz="0" w:space="0" w:color="auto"/>
            <w:right w:val="none" w:sz="0" w:space="0" w:color="auto"/>
          </w:divBdr>
        </w:div>
        <w:div w:id="1140228005">
          <w:marLeft w:val="0"/>
          <w:marRight w:val="0"/>
          <w:marTop w:val="0"/>
          <w:marBottom w:val="0"/>
          <w:divBdr>
            <w:top w:val="none" w:sz="0" w:space="0" w:color="auto"/>
            <w:left w:val="none" w:sz="0" w:space="0" w:color="auto"/>
            <w:bottom w:val="none" w:sz="0" w:space="0" w:color="auto"/>
            <w:right w:val="none" w:sz="0" w:space="0" w:color="auto"/>
          </w:divBdr>
        </w:div>
        <w:div w:id="115024270">
          <w:marLeft w:val="0"/>
          <w:marRight w:val="0"/>
          <w:marTop w:val="0"/>
          <w:marBottom w:val="0"/>
          <w:divBdr>
            <w:top w:val="none" w:sz="0" w:space="0" w:color="auto"/>
            <w:left w:val="none" w:sz="0" w:space="0" w:color="auto"/>
            <w:bottom w:val="none" w:sz="0" w:space="0" w:color="auto"/>
            <w:right w:val="none" w:sz="0" w:space="0" w:color="auto"/>
          </w:divBdr>
        </w:div>
        <w:div w:id="1210992719">
          <w:marLeft w:val="0"/>
          <w:marRight w:val="0"/>
          <w:marTop w:val="0"/>
          <w:marBottom w:val="0"/>
          <w:divBdr>
            <w:top w:val="none" w:sz="0" w:space="0" w:color="auto"/>
            <w:left w:val="none" w:sz="0" w:space="0" w:color="auto"/>
            <w:bottom w:val="none" w:sz="0" w:space="0" w:color="auto"/>
            <w:right w:val="none" w:sz="0" w:space="0" w:color="auto"/>
          </w:divBdr>
        </w:div>
        <w:div w:id="673607821">
          <w:marLeft w:val="0"/>
          <w:marRight w:val="0"/>
          <w:marTop w:val="0"/>
          <w:marBottom w:val="0"/>
          <w:divBdr>
            <w:top w:val="none" w:sz="0" w:space="0" w:color="auto"/>
            <w:left w:val="none" w:sz="0" w:space="0" w:color="auto"/>
            <w:bottom w:val="none" w:sz="0" w:space="0" w:color="auto"/>
            <w:right w:val="none" w:sz="0" w:space="0" w:color="auto"/>
          </w:divBdr>
        </w:div>
        <w:div w:id="134374705">
          <w:marLeft w:val="0"/>
          <w:marRight w:val="0"/>
          <w:marTop w:val="0"/>
          <w:marBottom w:val="0"/>
          <w:divBdr>
            <w:top w:val="none" w:sz="0" w:space="0" w:color="auto"/>
            <w:left w:val="none" w:sz="0" w:space="0" w:color="auto"/>
            <w:bottom w:val="none" w:sz="0" w:space="0" w:color="auto"/>
            <w:right w:val="none" w:sz="0" w:space="0" w:color="auto"/>
          </w:divBdr>
        </w:div>
        <w:div w:id="735543160">
          <w:marLeft w:val="0"/>
          <w:marRight w:val="0"/>
          <w:marTop w:val="0"/>
          <w:marBottom w:val="0"/>
          <w:divBdr>
            <w:top w:val="none" w:sz="0" w:space="0" w:color="auto"/>
            <w:left w:val="none" w:sz="0" w:space="0" w:color="auto"/>
            <w:bottom w:val="none" w:sz="0" w:space="0" w:color="auto"/>
            <w:right w:val="none" w:sz="0" w:space="0" w:color="auto"/>
          </w:divBdr>
        </w:div>
        <w:div w:id="1596747493">
          <w:marLeft w:val="0"/>
          <w:marRight w:val="0"/>
          <w:marTop w:val="0"/>
          <w:marBottom w:val="0"/>
          <w:divBdr>
            <w:top w:val="none" w:sz="0" w:space="0" w:color="auto"/>
            <w:left w:val="none" w:sz="0" w:space="0" w:color="auto"/>
            <w:bottom w:val="none" w:sz="0" w:space="0" w:color="auto"/>
            <w:right w:val="none" w:sz="0" w:space="0" w:color="auto"/>
          </w:divBdr>
        </w:div>
        <w:div w:id="10879330">
          <w:marLeft w:val="0"/>
          <w:marRight w:val="0"/>
          <w:marTop w:val="0"/>
          <w:marBottom w:val="0"/>
          <w:divBdr>
            <w:top w:val="none" w:sz="0" w:space="0" w:color="auto"/>
            <w:left w:val="none" w:sz="0" w:space="0" w:color="auto"/>
            <w:bottom w:val="none" w:sz="0" w:space="0" w:color="auto"/>
            <w:right w:val="none" w:sz="0" w:space="0" w:color="auto"/>
          </w:divBdr>
        </w:div>
        <w:div w:id="227498009">
          <w:marLeft w:val="0"/>
          <w:marRight w:val="0"/>
          <w:marTop w:val="0"/>
          <w:marBottom w:val="0"/>
          <w:divBdr>
            <w:top w:val="none" w:sz="0" w:space="0" w:color="auto"/>
            <w:left w:val="none" w:sz="0" w:space="0" w:color="auto"/>
            <w:bottom w:val="none" w:sz="0" w:space="0" w:color="auto"/>
            <w:right w:val="none" w:sz="0" w:space="0" w:color="auto"/>
          </w:divBdr>
        </w:div>
        <w:div w:id="1337608688">
          <w:marLeft w:val="0"/>
          <w:marRight w:val="0"/>
          <w:marTop w:val="0"/>
          <w:marBottom w:val="0"/>
          <w:divBdr>
            <w:top w:val="none" w:sz="0" w:space="0" w:color="auto"/>
            <w:left w:val="none" w:sz="0" w:space="0" w:color="auto"/>
            <w:bottom w:val="none" w:sz="0" w:space="0" w:color="auto"/>
            <w:right w:val="none" w:sz="0" w:space="0" w:color="auto"/>
          </w:divBdr>
        </w:div>
        <w:div w:id="624506900">
          <w:marLeft w:val="0"/>
          <w:marRight w:val="0"/>
          <w:marTop w:val="0"/>
          <w:marBottom w:val="0"/>
          <w:divBdr>
            <w:top w:val="none" w:sz="0" w:space="0" w:color="auto"/>
            <w:left w:val="none" w:sz="0" w:space="0" w:color="auto"/>
            <w:bottom w:val="none" w:sz="0" w:space="0" w:color="auto"/>
            <w:right w:val="none" w:sz="0" w:space="0" w:color="auto"/>
          </w:divBdr>
        </w:div>
        <w:div w:id="1789472133">
          <w:marLeft w:val="0"/>
          <w:marRight w:val="0"/>
          <w:marTop w:val="0"/>
          <w:marBottom w:val="0"/>
          <w:divBdr>
            <w:top w:val="none" w:sz="0" w:space="0" w:color="auto"/>
            <w:left w:val="none" w:sz="0" w:space="0" w:color="auto"/>
            <w:bottom w:val="none" w:sz="0" w:space="0" w:color="auto"/>
            <w:right w:val="none" w:sz="0" w:space="0" w:color="auto"/>
          </w:divBdr>
        </w:div>
        <w:div w:id="1853566955">
          <w:marLeft w:val="0"/>
          <w:marRight w:val="0"/>
          <w:marTop w:val="0"/>
          <w:marBottom w:val="0"/>
          <w:divBdr>
            <w:top w:val="none" w:sz="0" w:space="0" w:color="auto"/>
            <w:left w:val="none" w:sz="0" w:space="0" w:color="auto"/>
            <w:bottom w:val="none" w:sz="0" w:space="0" w:color="auto"/>
            <w:right w:val="none" w:sz="0" w:space="0" w:color="auto"/>
          </w:divBdr>
        </w:div>
        <w:div w:id="1304851882">
          <w:marLeft w:val="0"/>
          <w:marRight w:val="0"/>
          <w:marTop w:val="0"/>
          <w:marBottom w:val="0"/>
          <w:divBdr>
            <w:top w:val="none" w:sz="0" w:space="0" w:color="auto"/>
            <w:left w:val="none" w:sz="0" w:space="0" w:color="auto"/>
            <w:bottom w:val="none" w:sz="0" w:space="0" w:color="auto"/>
            <w:right w:val="none" w:sz="0" w:space="0" w:color="auto"/>
          </w:divBdr>
        </w:div>
        <w:div w:id="606012388">
          <w:marLeft w:val="0"/>
          <w:marRight w:val="0"/>
          <w:marTop w:val="0"/>
          <w:marBottom w:val="0"/>
          <w:divBdr>
            <w:top w:val="none" w:sz="0" w:space="0" w:color="auto"/>
            <w:left w:val="none" w:sz="0" w:space="0" w:color="auto"/>
            <w:bottom w:val="none" w:sz="0" w:space="0" w:color="auto"/>
            <w:right w:val="none" w:sz="0" w:space="0" w:color="auto"/>
          </w:divBdr>
        </w:div>
        <w:div w:id="1027827660">
          <w:marLeft w:val="0"/>
          <w:marRight w:val="0"/>
          <w:marTop w:val="0"/>
          <w:marBottom w:val="0"/>
          <w:divBdr>
            <w:top w:val="none" w:sz="0" w:space="0" w:color="auto"/>
            <w:left w:val="none" w:sz="0" w:space="0" w:color="auto"/>
            <w:bottom w:val="none" w:sz="0" w:space="0" w:color="auto"/>
            <w:right w:val="none" w:sz="0" w:space="0" w:color="auto"/>
          </w:divBdr>
        </w:div>
        <w:div w:id="759834928">
          <w:marLeft w:val="0"/>
          <w:marRight w:val="0"/>
          <w:marTop w:val="0"/>
          <w:marBottom w:val="0"/>
          <w:divBdr>
            <w:top w:val="none" w:sz="0" w:space="0" w:color="auto"/>
            <w:left w:val="none" w:sz="0" w:space="0" w:color="auto"/>
            <w:bottom w:val="none" w:sz="0" w:space="0" w:color="auto"/>
            <w:right w:val="none" w:sz="0" w:space="0" w:color="auto"/>
          </w:divBdr>
        </w:div>
        <w:div w:id="809708494">
          <w:marLeft w:val="0"/>
          <w:marRight w:val="0"/>
          <w:marTop w:val="0"/>
          <w:marBottom w:val="0"/>
          <w:divBdr>
            <w:top w:val="none" w:sz="0" w:space="0" w:color="auto"/>
            <w:left w:val="none" w:sz="0" w:space="0" w:color="auto"/>
            <w:bottom w:val="none" w:sz="0" w:space="0" w:color="auto"/>
            <w:right w:val="none" w:sz="0" w:space="0" w:color="auto"/>
          </w:divBdr>
        </w:div>
        <w:div w:id="380206535">
          <w:marLeft w:val="0"/>
          <w:marRight w:val="0"/>
          <w:marTop w:val="0"/>
          <w:marBottom w:val="0"/>
          <w:divBdr>
            <w:top w:val="none" w:sz="0" w:space="0" w:color="auto"/>
            <w:left w:val="none" w:sz="0" w:space="0" w:color="auto"/>
            <w:bottom w:val="none" w:sz="0" w:space="0" w:color="auto"/>
            <w:right w:val="none" w:sz="0" w:space="0" w:color="auto"/>
          </w:divBdr>
        </w:div>
        <w:div w:id="1947538924">
          <w:marLeft w:val="0"/>
          <w:marRight w:val="0"/>
          <w:marTop w:val="0"/>
          <w:marBottom w:val="0"/>
          <w:divBdr>
            <w:top w:val="none" w:sz="0" w:space="0" w:color="auto"/>
            <w:left w:val="none" w:sz="0" w:space="0" w:color="auto"/>
            <w:bottom w:val="none" w:sz="0" w:space="0" w:color="auto"/>
            <w:right w:val="none" w:sz="0" w:space="0" w:color="auto"/>
          </w:divBdr>
        </w:div>
        <w:div w:id="2110277761">
          <w:marLeft w:val="0"/>
          <w:marRight w:val="0"/>
          <w:marTop w:val="0"/>
          <w:marBottom w:val="0"/>
          <w:divBdr>
            <w:top w:val="none" w:sz="0" w:space="0" w:color="auto"/>
            <w:left w:val="none" w:sz="0" w:space="0" w:color="auto"/>
            <w:bottom w:val="none" w:sz="0" w:space="0" w:color="auto"/>
            <w:right w:val="none" w:sz="0" w:space="0" w:color="auto"/>
          </w:divBdr>
        </w:div>
        <w:div w:id="634873506">
          <w:marLeft w:val="0"/>
          <w:marRight w:val="0"/>
          <w:marTop w:val="0"/>
          <w:marBottom w:val="0"/>
          <w:divBdr>
            <w:top w:val="none" w:sz="0" w:space="0" w:color="auto"/>
            <w:left w:val="none" w:sz="0" w:space="0" w:color="auto"/>
            <w:bottom w:val="none" w:sz="0" w:space="0" w:color="auto"/>
            <w:right w:val="none" w:sz="0" w:space="0" w:color="auto"/>
          </w:divBdr>
        </w:div>
        <w:div w:id="1805544534">
          <w:marLeft w:val="0"/>
          <w:marRight w:val="0"/>
          <w:marTop w:val="0"/>
          <w:marBottom w:val="0"/>
          <w:divBdr>
            <w:top w:val="none" w:sz="0" w:space="0" w:color="auto"/>
            <w:left w:val="none" w:sz="0" w:space="0" w:color="auto"/>
            <w:bottom w:val="none" w:sz="0" w:space="0" w:color="auto"/>
            <w:right w:val="none" w:sz="0" w:space="0" w:color="auto"/>
          </w:divBdr>
        </w:div>
        <w:div w:id="1415855456">
          <w:marLeft w:val="0"/>
          <w:marRight w:val="0"/>
          <w:marTop w:val="0"/>
          <w:marBottom w:val="0"/>
          <w:divBdr>
            <w:top w:val="none" w:sz="0" w:space="0" w:color="auto"/>
            <w:left w:val="none" w:sz="0" w:space="0" w:color="auto"/>
            <w:bottom w:val="none" w:sz="0" w:space="0" w:color="auto"/>
            <w:right w:val="none" w:sz="0" w:space="0" w:color="auto"/>
          </w:divBdr>
        </w:div>
        <w:div w:id="787508055">
          <w:marLeft w:val="0"/>
          <w:marRight w:val="0"/>
          <w:marTop w:val="0"/>
          <w:marBottom w:val="0"/>
          <w:divBdr>
            <w:top w:val="none" w:sz="0" w:space="0" w:color="auto"/>
            <w:left w:val="none" w:sz="0" w:space="0" w:color="auto"/>
            <w:bottom w:val="none" w:sz="0" w:space="0" w:color="auto"/>
            <w:right w:val="none" w:sz="0" w:space="0" w:color="auto"/>
          </w:divBdr>
        </w:div>
        <w:div w:id="474640283">
          <w:marLeft w:val="0"/>
          <w:marRight w:val="0"/>
          <w:marTop w:val="0"/>
          <w:marBottom w:val="0"/>
          <w:divBdr>
            <w:top w:val="none" w:sz="0" w:space="0" w:color="auto"/>
            <w:left w:val="none" w:sz="0" w:space="0" w:color="auto"/>
            <w:bottom w:val="none" w:sz="0" w:space="0" w:color="auto"/>
            <w:right w:val="none" w:sz="0" w:space="0" w:color="auto"/>
          </w:divBdr>
        </w:div>
        <w:div w:id="719786449">
          <w:marLeft w:val="0"/>
          <w:marRight w:val="0"/>
          <w:marTop w:val="0"/>
          <w:marBottom w:val="0"/>
          <w:divBdr>
            <w:top w:val="none" w:sz="0" w:space="0" w:color="auto"/>
            <w:left w:val="none" w:sz="0" w:space="0" w:color="auto"/>
            <w:bottom w:val="none" w:sz="0" w:space="0" w:color="auto"/>
            <w:right w:val="none" w:sz="0" w:space="0" w:color="auto"/>
          </w:divBdr>
        </w:div>
        <w:div w:id="492112822">
          <w:marLeft w:val="0"/>
          <w:marRight w:val="0"/>
          <w:marTop w:val="0"/>
          <w:marBottom w:val="0"/>
          <w:divBdr>
            <w:top w:val="none" w:sz="0" w:space="0" w:color="auto"/>
            <w:left w:val="none" w:sz="0" w:space="0" w:color="auto"/>
            <w:bottom w:val="none" w:sz="0" w:space="0" w:color="auto"/>
            <w:right w:val="none" w:sz="0" w:space="0" w:color="auto"/>
          </w:divBdr>
        </w:div>
        <w:div w:id="1409495341">
          <w:marLeft w:val="0"/>
          <w:marRight w:val="0"/>
          <w:marTop w:val="0"/>
          <w:marBottom w:val="0"/>
          <w:divBdr>
            <w:top w:val="none" w:sz="0" w:space="0" w:color="auto"/>
            <w:left w:val="none" w:sz="0" w:space="0" w:color="auto"/>
            <w:bottom w:val="none" w:sz="0" w:space="0" w:color="auto"/>
            <w:right w:val="none" w:sz="0" w:space="0" w:color="auto"/>
          </w:divBdr>
        </w:div>
        <w:div w:id="572810380">
          <w:marLeft w:val="0"/>
          <w:marRight w:val="0"/>
          <w:marTop w:val="0"/>
          <w:marBottom w:val="0"/>
          <w:divBdr>
            <w:top w:val="none" w:sz="0" w:space="0" w:color="auto"/>
            <w:left w:val="none" w:sz="0" w:space="0" w:color="auto"/>
            <w:bottom w:val="none" w:sz="0" w:space="0" w:color="auto"/>
            <w:right w:val="none" w:sz="0" w:space="0" w:color="auto"/>
          </w:divBdr>
        </w:div>
        <w:div w:id="18091517">
          <w:marLeft w:val="0"/>
          <w:marRight w:val="0"/>
          <w:marTop w:val="0"/>
          <w:marBottom w:val="0"/>
          <w:divBdr>
            <w:top w:val="none" w:sz="0" w:space="0" w:color="auto"/>
            <w:left w:val="none" w:sz="0" w:space="0" w:color="auto"/>
            <w:bottom w:val="none" w:sz="0" w:space="0" w:color="auto"/>
            <w:right w:val="none" w:sz="0" w:space="0" w:color="auto"/>
          </w:divBdr>
        </w:div>
        <w:div w:id="775441948">
          <w:marLeft w:val="0"/>
          <w:marRight w:val="0"/>
          <w:marTop w:val="0"/>
          <w:marBottom w:val="0"/>
          <w:divBdr>
            <w:top w:val="none" w:sz="0" w:space="0" w:color="auto"/>
            <w:left w:val="none" w:sz="0" w:space="0" w:color="auto"/>
            <w:bottom w:val="none" w:sz="0" w:space="0" w:color="auto"/>
            <w:right w:val="none" w:sz="0" w:space="0" w:color="auto"/>
          </w:divBdr>
        </w:div>
        <w:div w:id="547181110">
          <w:marLeft w:val="0"/>
          <w:marRight w:val="0"/>
          <w:marTop w:val="0"/>
          <w:marBottom w:val="0"/>
          <w:divBdr>
            <w:top w:val="none" w:sz="0" w:space="0" w:color="auto"/>
            <w:left w:val="none" w:sz="0" w:space="0" w:color="auto"/>
            <w:bottom w:val="none" w:sz="0" w:space="0" w:color="auto"/>
            <w:right w:val="none" w:sz="0" w:space="0" w:color="auto"/>
          </w:divBdr>
        </w:div>
        <w:div w:id="130513763">
          <w:marLeft w:val="0"/>
          <w:marRight w:val="0"/>
          <w:marTop w:val="0"/>
          <w:marBottom w:val="0"/>
          <w:divBdr>
            <w:top w:val="none" w:sz="0" w:space="0" w:color="auto"/>
            <w:left w:val="none" w:sz="0" w:space="0" w:color="auto"/>
            <w:bottom w:val="none" w:sz="0" w:space="0" w:color="auto"/>
            <w:right w:val="none" w:sz="0" w:space="0" w:color="auto"/>
          </w:divBdr>
        </w:div>
        <w:div w:id="1016662629">
          <w:marLeft w:val="0"/>
          <w:marRight w:val="0"/>
          <w:marTop w:val="0"/>
          <w:marBottom w:val="0"/>
          <w:divBdr>
            <w:top w:val="none" w:sz="0" w:space="0" w:color="auto"/>
            <w:left w:val="none" w:sz="0" w:space="0" w:color="auto"/>
            <w:bottom w:val="none" w:sz="0" w:space="0" w:color="auto"/>
            <w:right w:val="none" w:sz="0" w:space="0" w:color="auto"/>
          </w:divBdr>
        </w:div>
        <w:div w:id="202862765">
          <w:marLeft w:val="0"/>
          <w:marRight w:val="0"/>
          <w:marTop w:val="0"/>
          <w:marBottom w:val="0"/>
          <w:divBdr>
            <w:top w:val="none" w:sz="0" w:space="0" w:color="auto"/>
            <w:left w:val="none" w:sz="0" w:space="0" w:color="auto"/>
            <w:bottom w:val="none" w:sz="0" w:space="0" w:color="auto"/>
            <w:right w:val="none" w:sz="0" w:space="0" w:color="auto"/>
          </w:divBdr>
          <w:divsChild>
            <w:div w:id="1501119174">
              <w:marLeft w:val="0"/>
              <w:marRight w:val="0"/>
              <w:marTop w:val="0"/>
              <w:marBottom w:val="0"/>
              <w:divBdr>
                <w:top w:val="none" w:sz="0" w:space="0" w:color="auto"/>
                <w:left w:val="none" w:sz="0" w:space="0" w:color="auto"/>
                <w:bottom w:val="none" w:sz="0" w:space="0" w:color="auto"/>
                <w:right w:val="none" w:sz="0" w:space="0" w:color="auto"/>
              </w:divBdr>
            </w:div>
            <w:div w:id="728965377">
              <w:marLeft w:val="0"/>
              <w:marRight w:val="0"/>
              <w:marTop w:val="0"/>
              <w:marBottom w:val="0"/>
              <w:divBdr>
                <w:top w:val="none" w:sz="0" w:space="0" w:color="auto"/>
                <w:left w:val="none" w:sz="0" w:space="0" w:color="auto"/>
                <w:bottom w:val="none" w:sz="0" w:space="0" w:color="auto"/>
                <w:right w:val="none" w:sz="0" w:space="0" w:color="auto"/>
              </w:divBdr>
            </w:div>
            <w:div w:id="963654163">
              <w:marLeft w:val="0"/>
              <w:marRight w:val="0"/>
              <w:marTop w:val="0"/>
              <w:marBottom w:val="0"/>
              <w:divBdr>
                <w:top w:val="none" w:sz="0" w:space="0" w:color="auto"/>
                <w:left w:val="none" w:sz="0" w:space="0" w:color="auto"/>
                <w:bottom w:val="none" w:sz="0" w:space="0" w:color="auto"/>
                <w:right w:val="none" w:sz="0" w:space="0" w:color="auto"/>
              </w:divBdr>
            </w:div>
            <w:div w:id="673722096">
              <w:marLeft w:val="0"/>
              <w:marRight w:val="0"/>
              <w:marTop w:val="0"/>
              <w:marBottom w:val="0"/>
              <w:divBdr>
                <w:top w:val="none" w:sz="0" w:space="0" w:color="auto"/>
                <w:left w:val="none" w:sz="0" w:space="0" w:color="auto"/>
                <w:bottom w:val="none" w:sz="0" w:space="0" w:color="auto"/>
                <w:right w:val="none" w:sz="0" w:space="0" w:color="auto"/>
              </w:divBdr>
            </w:div>
            <w:div w:id="1428892458">
              <w:marLeft w:val="0"/>
              <w:marRight w:val="0"/>
              <w:marTop w:val="0"/>
              <w:marBottom w:val="0"/>
              <w:divBdr>
                <w:top w:val="none" w:sz="0" w:space="0" w:color="auto"/>
                <w:left w:val="none" w:sz="0" w:space="0" w:color="auto"/>
                <w:bottom w:val="none" w:sz="0" w:space="0" w:color="auto"/>
                <w:right w:val="none" w:sz="0" w:space="0" w:color="auto"/>
              </w:divBdr>
            </w:div>
          </w:divsChild>
        </w:div>
        <w:div w:id="159124265">
          <w:marLeft w:val="0"/>
          <w:marRight w:val="0"/>
          <w:marTop w:val="0"/>
          <w:marBottom w:val="0"/>
          <w:divBdr>
            <w:top w:val="none" w:sz="0" w:space="0" w:color="auto"/>
            <w:left w:val="none" w:sz="0" w:space="0" w:color="auto"/>
            <w:bottom w:val="none" w:sz="0" w:space="0" w:color="auto"/>
            <w:right w:val="none" w:sz="0" w:space="0" w:color="auto"/>
          </w:divBdr>
          <w:divsChild>
            <w:div w:id="1811901280">
              <w:marLeft w:val="0"/>
              <w:marRight w:val="0"/>
              <w:marTop w:val="0"/>
              <w:marBottom w:val="0"/>
              <w:divBdr>
                <w:top w:val="none" w:sz="0" w:space="0" w:color="auto"/>
                <w:left w:val="none" w:sz="0" w:space="0" w:color="auto"/>
                <w:bottom w:val="none" w:sz="0" w:space="0" w:color="auto"/>
                <w:right w:val="none" w:sz="0" w:space="0" w:color="auto"/>
              </w:divBdr>
            </w:div>
            <w:div w:id="1710257965">
              <w:marLeft w:val="0"/>
              <w:marRight w:val="0"/>
              <w:marTop w:val="0"/>
              <w:marBottom w:val="0"/>
              <w:divBdr>
                <w:top w:val="none" w:sz="0" w:space="0" w:color="auto"/>
                <w:left w:val="none" w:sz="0" w:space="0" w:color="auto"/>
                <w:bottom w:val="none" w:sz="0" w:space="0" w:color="auto"/>
                <w:right w:val="none" w:sz="0" w:space="0" w:color="auto"/>
              </w:divBdr>
            </w:div>
            <w:div w:id="602998232">
              <w:marLeft w:val="0"/>
              <w:marRight w:val="0"/>
              <w:marTop w:val="0"/>
              <w:marBottom w:val="0"/>
              <w:divBdr>
                <w:top w:val="none" w:sz="0" w:space="0" w:color="auto"/>
                <w:left w:val="none" w:sz="0" w:space="0" w:color="auto"/>
                <w:bottom w:val="none" w:sz="0" w:space="0" w:color="auto"/>
                <w:right w:val="none" w:sz="0" w:space="0" w:color="auto"/>
              </w:divBdr>
            </w:div>
            <w:div w:id="1251769365">
              <w:marLeft w:val="0"/>
              <w:marRight w:val="0"/>
              <w:marTop w:val="0"/>
              <w:marBottom w:val="0"/>
              <w:divBdr>
                <w:top w:val="none" w:sz="0" w:space="0" w:color="auto"/>
                <w:left w:val="none" w:sz="0" w:space="0" w:color="auto"/>
                <w:bottom w:val="none" w:sz="0" w:space="0" w:color="auto"/>
                <w:right w:val="none" w:sz="0" w:space="0" w:color="auto"/>
              </w:divBdr>
            </w:div>
            <w:div w:id="1398439208">
              <w:marLeft w:val="0"/>
              <w:marRight w:val="0"/>
              <w:marTop w:val="0"/>
              <w:marBottom w:val="0"/>
              <w:divBdr>
                <w:top w:val="none" w:sz="0" w:space="0" w:color="auto"/>
                <w:left w:val="none" w:sz="0" w:space="0" w:color="auto"/>
                <w:bottom w:val="none" w:sz="0" w:space="0" w:color="auto"/>
                <w:right w:val="none" w:sz="0" w:space="0" w:color="auto"/>
              </w:divBdr>
            </w:div>
          </w:divsChild>
        </w:div>
        <w:div w:id="999431836">
          <w:marLeft w:val="0"/>
          <w:marRight w:val="0"/>
          <w:marTop w:val="0"/>
          <w:marBottom w:val="0"/>
          <w:divBdr>
            <w:top w:val="none" w:sz="0" w:space="0" w:color="auto"/>
            <w:left w:val="none" w:sz="0" w:space="0" w:color="auto"/>
            <w:bottom w:val="none" w:sz="0" w:space="0" w:color="auto"/>
            <w:right w:val="none" w:sz="0" w:space="0" w:color="auto"/>
          </w:divBdr>
        </w:div>
        <w:div w:id="1755273560">
          <w:marLeft w:val="0"/>
          <w:marRight w:val="0"/>
          <w:marTop w:val="0"/>
          <w:marBottom w:val="0"/>
          <w:divBdr>
            <w:top w:val="none" w:sz="0" w:space="0" w:color="auto"/>
            <w:left w:val="none" w:sz="0" w:space="0" w:color="auto"/>
            <w:bottom w:val="none" w:sz="0" w:space="0" w:color="auto"/>
            <w:right w:val="none" w:sz="0" w:space="0" w:color="auto"/>
          </w:divBdr>
        </w:div>
        <w:div w:id="747309145">
          <w:marLeft w:val="0"/>
          <w:marRight w:val="0"/>
          <w:marTop w:val="0"/>
          <w:marBottom w:val="0"/>
          <w:divBdr>
            <w:top w:val="none" w:sz="0" w:space="0" w:color="auto"/>
            <w:left w:val="none" w:sz="0" w:space="0" w:color="auto"/>
            <w:bottom w:val="none" w:sz="0" w:space="0" w:color="auto"/>
            <w:right w:val="none" w:sz="0" w:space="0" w:color="auto"/>
          </w:divBdr>
        </w:div>
        <w:div w:id="1435903812">
          <w:marLeft w:val="0"/>
          <w:marRight w:val="0"/>
          <w:marTop w:val="0"/>
          <w:marBottom w:val="0"/>
          <w:divBdr>
            <w:top w:val="none" w:sz="0" w:space="0" w:color="auto"/>
            <w:left w:val="none" w:sz="0" w:space="0" w:color="auto"/>
            <w:bottom w:val="none" w:sz="0" w:space="0" w:color="auto"/>
            <w:right w:val="none" w:sz="0" w:space="0" w:color="auto"/>
          </w:divBdr>
        </w:div>
        <w:div w:id="1968658672">
          <w:marLeft w:val="0"/>
          <w:marRight w:val="0"/>
          <w:marTop w:val="0"/>
          <w:marBottom w:val="0"/>
          <w:divBdr>
            <w:top w:val="none" w:sz="0" w:space="0" w:color="auto"/>
            <w:left w:val="none" w:sz="0" w:space="0" w:color="auto"/>
            <w:bottom w:val="none" w:sz="0" w:space="0" w:color="auto"/>
            <w:right w:val="none" w:sz="0" w:space="0" w:color="auto"/>
          </w:divBdr>
        </w:div>
        <w:div w:id="5065017">
          <w:marLeft w:val="0"/>
          <w:marRight w:val="0"/>
          <w:marTop w:val="0"/>
          <w:marBottom w:val="0"/>
          <w:divBdr>
            <w:top w:val="none" w:sz="0" w:space="0" w:color="auto"/>
            <w:left w:val="none" w:sz="0" w:space="0" w:color="auto"/>
            <w:bottom w:val="none" w:sz="0" w:space="0" w:color="auto"/>
            <w:right w:val="none" w:sz="0" w:space="0" w:color="auto"/>
          </w:divBdr>
        </w:div>
        <w:div w:id="824391219">
          <w:marLeft w:val="0"/>
          <w:marRight w:val="0"/>
          <w:marTop w:val="0"/>
          <w:marBottom w:val="0"/>
          <w:divBdr>
            <w:top w:val="none" w:sz="0" w:space="0" w:color="auto"/>
            <w:left w:val="none" w:sz="0" w:space="0" w:color="auto"/>
            <w:bottom w:val="none" w:sz="0" w:space="0" w:color="auto"/>
            <w:right w:val="none" w:sz="0" w:space="0" w:color="auto"/>
          </w:divBdr>
        </w:div>
        <w:div w:id="1199508938">
          <w:marLeft w:val="0"/>
          <w:marRight w:val="0"/>
          <w:marTop w:val="0"/>
          <w:marBottom w:val="0"/>
          <w:divBdr>
            <w:top w:val="none" w:sz="0" w:space="0" w:color="auto"/>
            <w:left w:val="none" w:sz="0" w:space="0" w:color="auto"/>
            <w:bottom w:val="none" w:sz="0" w:space="0" w:color="auto"/>
            <w:right w:val="none" w:sz="0" w:space="0" w:color="auto"/>
          </w:divBdr>
        </w:div>
        <w:div w:id="421952678">
          <w:marLeft w:val="0"/>
          <w:marRight w:val="0"/>
          <w:marTop w:val="0"/>
          <w:marBottom w:val="0"/>
          <w:divBdr>
            <w:top w:val="none" w:sz="0" w:space="0" w:color="auto"/>
            <w:left w:val="none" w:sz="0" w:space="0" w:color="auto"/>
            <w:bottom w:val="none" w:sz="0" w:space="0" w:color="auto"/>
            <w:right w:val="none" w:sz="0" w:space="0" w:color="auto"/>
          </w:divBdr>
        </w:div>
        <w:div w:id="705832349">
          <w:marLeft w:val="0"/>
          <w:marRight w:val="0"/>
          <w:marTop w:val="0"/>
          <w:marBottom w:val="0"/>
          <w:divBdr>
            <w:top w:val="none" w:sz="0" w:space="0" w:color="auto"/>
            <w:left w:val="none" w:sz="0" w:space="0" w:color="auto"/>
            <w:bottom w:val="none" w:sz="0" w:space="0" w:color="auto"/>
            <w:right w:val="none" w:sz="0" w:space="0" w:color="auto"/>
          </w:divBdr>
        </w:div>
        <w:div w:id="289283450">
          <w:marLeft w:val="0"/>
          <w:marRight w:val="0"/>
          <w:marTop w:val="0"/>
          <w:marBottom w:val="0"/>
          <w:divBdr>
            <w:top w:val="none" w:sz="0" w:space="0" w:color="auto"/>
            <w:left w:val="none" w:sz="0" w:space="0" w:color="auto"/>
            <w:bottom w:val="none" w:sz="0" w:space="0" w:color="auto"/>
            <w:right w:val="none" w:sz="0" w:space="0" w:color="auto"/>
          </w:divBdr>
        </w:div>
        <w:div w:id="1925649314">
          <w:marLeft w:val="0"/>
          <w:marRight w:val="0"/>
          <w:marTop w:val="0"/>
          <w:marBottom w:val="0"/>
          <w:divBdr>
            <w:top w:val="none" w:sz="0" w:space="0" w:color="auto"/>
            <w:left w:val="none" w:sz="0" w:space="0" w:color="auto"/>
            <w:bottom w:val="none" w:sz="0" w:space="0" w:color="auto"/>
            <w:right w:val="none" w:sz="0" w:space="0" w:color="auto"/>
          </w:divBdr>
        </w:div>
        <w:div w:id="832527947">
          <w:marLeft w:val="0"/>
          <w:marRight w:val="0"/>
          <w:marTop w:val="0"/>
          <w:marBottom w:val="0"/>
          <w:divBdr>
            <w:top w:val="none" w:sz="0" w:space="0" w:color="auto"/>
            <w:left w:val="none" w:sz="0" w:space="0" w:color="auto"/>
            <w:bottom w:val="none" w:sz="0" w:space="0" w:color="auto"/>
            <w:right w:val="none" w:sz="0" w:space="0" w:color="auto"/>
          </w:divBdr>
        </w:div>
        <w:div w:id="1953896180">
          <w:marLeft w:val="0"/>
          <w:marRight w:val="0"/>
          <w:marTop w:val="0"/>
          <w:marBottom w:val="0"/>
          <w:divBdr>
            <w:top w:val="none" w:sz="0" w:space="0" w:color="auto"/>
            <w:left w:val="none" w:sz="0" w:space="0" w:color="auto"/>
            <w:bottom w:val="none" w:sz="0" w:space="0" w:color="auto"/>
            <w:right w:val="none" w:sz="0" w:space="0" w:color="auto"/>
          </w:divBdr>
        </w:div>
      </w:divsChild>
    </w:div>
    <w:div w:id="517813977">
      <w:bodyDiv w:val="1"/>
      <w:marLeft w:val="0"/>
      <w:marRight w:val="0"/>
      <w:marTop w:val="0"/>
      <w:marBottom w:val="0"/>
      <w:divBdr>
        <w:top w:val="none" w:sz="0" w:space="0" w:color="auto"/>
        <w:left w:val="none" w:sz="0" w:space="0" w:color="auto"/>
        <w:bottom w:val="none" w:sz="0" w:space="0" w:color="auto"/>
        <w:right w:val="none" w:sz="0" w:space="0" w:color="auto"/>
      </w:divBdr>
    </w:div>
    <w:div w:id="1422750404">
      <w:bodyDiv w:val="1"/>
      <w:marLeft w:val="0"/>
      <w:marRight w:val="0"/>
      <w:marTop w:val="0"/>
      <w:marBottom w:val="0"/>
      <w:divBdr>
        <w:top w:val="none" w:sz="0" w:space="0" w:color="auto"/>
        <w:left w:val="none" w:sz="0" w:space="0" w:color="auto"/>
        <w:bottom w:val="none" w:sz="0" w:space="0" w:color="auto"/>
        <w:right w:val="none" w:sz="0" w:space="0" w:color="auto"/>
      </w:divBdr>
      <w:divsChild>
        <w:div w:id="264266989">
          <w:marLeft w:val="0"/>
          <w:marRight w:val="0"/>
          <w:marTop w:val="0"/>
          <w:marBottom w:val="0"/>
          <w:divBdr>
            <w:top w:val="none" w:sz="0" w:space="0" w:color="auto"/>
            <w:left w:val="none" w:sz="0" w:space="0" w:color="auto"/>
            <w:bottom w:val="none" w:sz="0" w:space="0" w:color="auto"/>
            <w:right w:val="none" w:sz="0" w:space="0" w:color="auto"/>
          </w:divBdr>
        </w:div>
        <w:div w:id="145823728">
          <w:marLeft w:val="0"/>
          <w:marRight w:val="0"/>
          <w:marTop w:val="0"/>
          <w:marBottom w:val="0"/>
          <w:divBdr>
            <w:top w:val="none" w:sz="0" w:space="0" w:color="auto"/>
            <w:left w:val="none" w:sz="0" w:space="0" w:color="auto"/>
            <w:bottom w:val="none" w:sz="0" w:space="0" w:color="auto"/>
            <w:right w:val="none" w:sz="0" w:space="0" w:color="auto"/>
          </w:divBdr>
        </w:div>
        <w:div w:id="1329096207">
          <w:marLeft w:val="0"/>
          <w:marRight w:val="0"/>
          <w:marTop w:val="0"/>
          <w:marBottom w:val="0"/>
          <w:divBdr>
            <w:top w:val="none" w:sz="0" w:space="0" w:color="auto"/>
            <w:left w:val="none" w:sz="0" w:space="0" w:color="auto"/>
            <w:bottom w:val="none" w:sz="0" w:space="0" w:color="auto"/>
            <w:right w:val="none" w:sz="0" w:space="0" w:color="auto"/>
          </w:divBdr>
        </w:div>
        <w:div w:id="2034652215">
          <w:marLeft w:val="0"/>
          <w:marRight w:val="0"/>
          <w:marTop w:val="0"/>
          <w:marBottom w:val="0"/>
          <w:divBdr>
            <w:top w:val="none" w:sz="0" w:space="0" w:color="auto"/>
            <w:left w:val="none" w:sz="0" w:space="0" w:color="auto"/>
            <w:bottom w:val="none" w:sz="0" w:space="0" w:color="auto"/>
            <w:right w:val="none" w:sz="0" w:space="0" w:color="auto"/>
          </w:divBdr>
        </w:div>
        <w:div w:id="1967226396">
          <w:marLeft w:val="0"/>
          <w:marRight w:val="0"/>
          <w:marTop w:val="0"/>
          <w:marBottom w:val="0"/>
          <w:divBdr>
            <w:top w:val="none" w:sz="0" w:space="0" w:color="auto"/>
            <w:left w:val="none" w:sz="0" w:space="0" w:color="auto"/>
            <w:bottom w:val="none" w:sz="0" w:space="0" w:color="auto"/>
            <w:right w:val="none" w:sz="0" w:space="0" w:color="auto"/>
          </w:divBdr>
        </w:div>
        <w:div w:id="663624441">
          <w:marLeft w:val="0"/>
          <w:marRight w:val="0"/>
          <w:marTop w:val="0"/>
          <w:marBottom w:val="0"/>
          <w:divBdr>
            <w:top w:val="none" w:sz="0" w:space="0" w:color="auto"/>
            <w:left w:val="none" w:sz="0" w:space="0" w:color="auto"/>
            <w:bottom w:val="none" w:sz="0" w:space="0" w:color="auto"/>
            <w:right w:val="none" w:sz="0" w:space="0" w:color="auto"/>
          </w:divBdr>
          <w:divsChild>
            <w:div w:id="532420930">
              <w:marLeft w:val="0"/>
              <w:marRight w:val="0"/>
              <w:marTop w:val="0"/>
              <w:marBottom w:val="0"/>
              <w:divBdr>
                <w:top w:val="none" w:sz="0" w:space="0" w:color="auto"/>
                <w:left w:val="none" w:sz="0" w:space="0" w:color="auto"/>
                <w:bottom w:val="none" w:sz="0" w:space="0" w:color="auto"/>
                <w:right w:val="none" w:sz="0" w:space="0" w:color="auto"/>
              </w:divBdr>
            </w:div>
            <w:div w:id="11415343">
              <w:marLeft w:val="0"/>
              <w:marRight w:val="0"/>
              <w:marTop w:val="0"/>
              <w:marBottom w:val="0"/>
              <w:divBdr>
                <w:top w:val="none" w:sz="0" w:space="0" w:color="auto"/>
                <w:left w:val="none" w:sz="0" w:space="0" w:color="auto"/>
                <w:bottom w:val="none" w:sz="0" w:space="0" w:color="auto"/>
                <w:right w:val="none" w:sz="0" w:space="0" w:color="auto"/>
              </w:divBdr>
            </w:div>
            <w:div w:id="825518091">
              <w:marLeft w:val="0"/>
              <w:marRight w:val="0"/>
              <w:marTop w:val="0"/>
              <w:marBottom w:val="0"/>
              <w:divBdr>
                <w:top w:val="none" w:sz="0" w:space="0" w:color="auto"/>
                <w:left w:val="none" w:sz="0" w:space="0" w:color="auto"/>
                <w:bottom w:val="none" w:sz="0" w:space="0" w:color="auto"/>
                <w:right w:val="none" w:sz="0" w:space="0" w:color="auto"/>
              </w:divBdr>
            </w:div>
            <w:div w:id="127475593">
              <w:marLeft w:val="0"/>
              <w:marRight w:val="0"/>
              <w:marTop w:val="0"/>
              <w:marBottom w:val="0"/>
              <w:divBdr>
                <w:top w:val="none" w:sz="0" w:space="0" w:color="auto"/>
                <w:left w:val="none" w:sz="0" w:space="0" w:color="auto"/>
                <w:bottom w:val="none" w:sz="0" w:space="0" w:color="auto"/>
                <w:right w:val="none" w:sz="0" w:space="0" w:color="auto"/>
              </w:divBdr>
            </w:div>
            <w:div w:id="1456631863">
              <w:marLeft w:val="0"/>
              <w:marRight w:val="0"/>
              <w:marTop w:val="0"/>
              <w:marBottom w:val="0"/>
              <w:divBdr>
                <w:top w:val="none" w:sz="0" w:space="0" w:color="auto"/>
                <w:left w:val="none" w:sz="0" w:space="0" w:color="auto"/>
                <w:bottom w:val="none" w:sz="0" w:space="0" w:color="auto"/>
                <w:right w:val="none" w:sz="0" w:space="0" w:color="auto"/>
              </w:divBdr>
            </w:div>
          </w:divsChild>
        </w:div>
        <w:div w:id="1302224732">
          <w:marLeft w:val="0"/>
          <w:marRight w:val="0"/>
          <w:marTop w:val="0"/>
          <w:marBottom w:val="0"/>
          <w:divBdr>
            <w:top w:val="none" w:sz="0" w:space="0" w:color="auto"/>
            <w:left w:val="none" w:sz="0" w:space="0" w:color="auto"/>
            <w:bottom w:val="none" w:sz="0" w:space="0" w:color="auto"/>
            <w:right w:val="none" w:sz="0" w:space="0" w:color="auto"/>
          </w:divBdr>
        </w:div>
        <w:div w:id="1891107912">
          <w:marLeft w:val="0"/>
          <w:marRight w:val="0"/>
          <w:marTop w:val="0"/>
          <w:marBottom w:val="0"/>
          <w:divBdr>
            <w:top w:val="none" w:sz="0" w:space="0" w:color="auto"/>
            <w:left w:val="none" w:sz="0" w:space="0" w:color="auto"/>
            <w:bottom w:val="none" w:sz="0" w:space="0" w:color="auto"/>
            <w:right w:val="none" w:sz="0" w:space="0" w:color="auto"/>
          </w:divBdr>
        </w:div>
        <w:div w:id="1387143314">
          <w:marLeft w:val="0"/>
          <w:marRight w:val="0"/>
          <w:marTop w:val="0"/>
          <w:marBottom w:val="0"/>
          <w:divBdr>
            <w:top w:val="none" w:sz="0" w:space="0" w:color="auto"/>
            <w:left w:val="none" w:sz="0" w:space="0" w:color="auto"/>
            <w:bottom w:val="none" w:sz="0" w:space="0" w:color="auto"/>
            <w:right w:val="none" w:sz="0" w:space="0" w:color="auto"/>
          </w:divBdr>
        </w:div>
        <w:div w:id="431052043">
          <w:marLeft w:val="0"/>
          <w:marRight w:val="0"/>
          <w:marTop w:val="0"/>
          <w:marBottom w:val="0"/>
          <w:divBdr>
            <w:top w:val="none" w:sz="0" w:space="0" w:color="auto"/>
            <w:left w:val="none" w:sz="0" w:space="0" w:color="auto"/>
            <w:bottom w:val="none" w:sz="0" w:space="0" w:color="auto"/>
            <w:right w:val="none" w:sz="0" w:space="0" w:color="auto"/>
          </w:divBdr>
        </w:div>
        <w:div w:id="405953582">
          <w:marLeft w:val="0"/>
          <w:marRight w:val="0"/>
          <w:marTop w:val="0"/>
          <w:marBottom w:val="0"/>
          <w:divBdr>
            <w:top w:val="none" w:sz="0" w:space="0" w:color="auto"/>
            <w:left w:val="none" w:sz="0" w:space="0" w:color="auto"/>
            <w:bottom w:val="none" w:sz="0" w:space="0" w:color="auto"/>
            <w:right w:val="none" w:sz="0" w:space="0" w:color="auto"/>
          </w:divBdr>
        </w:div>
        <w:div w:id="33509378">
          <w:marLeft w:val="0"/>
          <w:marRight w:val="0"/>
          <w:marTop w:val="0"/>
          <w:marBottom w:val="0"/>
          <w:divBdr>
            <w:top w:val="none" w:sz="0" w:space="0" w:color="auto"/>
            <w:left w:val="none" w:sz="0" w:space="0" w:color="auto"/>
            <w:bottom w:val="none" w:sz="0" w:space="0" w:color="auto"/>
            <w:right w:val="none" w:sz="0" w:space="0" w:color="auto"/>
          </w:divBdr>
        </w:div>
        <w:div w:id="2008440659">
          <w:marLeft w:val="0"/>
          <w:marRight w:val="0"/>
          <w:marTop w:val="0"/>
          <w:marBottom w:val="0"/>
          <w:divBdr>
            <w:top w:val="none" w:sz="0" w:space="0" w:color="auto"/>
            <w:left w:val="none" w:sz="0" w:space="0" w:color="auto"/>
            <w:bottom w:val="none" w:sz="0" w:space="0" w:color="auto"/>
            <w:right w:val="none" w:sz="0" w:space="0" w:color="auto"/>
          </w:divBdr>
        </w:div>
        <w:div w:id="253246053">
          <w:marLeft w:val="0"/>
          <w:marRight w:val="0"/>
          <w:marTop w:val="0"/>
          <w:marBottom w:val="0"/>
          <w:divBdr>
            <w:top w:val="none" w:sz="0" w:space="0" w:color="auto"/>
            <w:left w:val="none" w:sz="0" w:space="0" w:color="auto"/>
            <w:bottom w:val="none" w:sz="0" w:space="0" w:color="auto"/>
            <w:right w:val="none" w:sz="0" w:space="0" w:color="auto"/>
          </w:divBdr>
        </w:div>
        <w:div w:id="1307583715">
          <w:marLeft w:val="0"/>
          <w:marRight w:val="0"/>
          <w:marTop w:val="0"/>
          <w:marBottom w:val="0"/>
          <w:divBdr>
            <w:top w:val="none" w:sz="0" w:space="0" w:color="auto"/>
            <w:left w:val="none" w:sz="0" w:space="0" w:color="auto"/>
            <w:bottom w:val="none" w:sz="0" w:space="0" w:color="auto"/>
            <w:right w:val="none" w:sz="0" w:space="0" w:color="auto"/>
          </w:divBdr>
        </w:div>
        <w:div w:id="458037289">
          <w:marLeft w:val="0"/>
          <w:marRight w:val="0"/>
          <w:marTop w:val="0"/>
          <w:marBottom w:val="0"/>
          <w:divBdr>
            <w:top w:val="none" w:sz="0" w:space="0" w:color="auto"/>
            <w:left w:val="none" w:sz="0" w:space="0" w:color="auto"/>
            <w:bottom w:val="none" w:sz="0" w:space="0" w:color="auto"/>
            <w:right w:val="none" w:sz="0" w:space="0" w:color="auto"/>
          </w:divBdr>
        </w:div>
        <w:div w:id="1807694386">
          <w:marLeft w:val="0"/>
          <w:marRight w:val="0"/>
          <w:marTop w:val="0"/>
          <w:marBottom w:val="0"/>
          <w:divBdr>
            <w:top w:val="none" w:sz="0" w:space="0" w:color="auto"/>
            <w:left w:val="none" w:sz="0" w:space="0" w:color="auto"/>
            <w:bottom w:val="none" w:sz="0" w:space="0" w:color="auto"/>
            <w:right w:val="none" w:sz="0" w:space="0" w:color="auto"/>
          </w:divBdr>
        </w:div>
        <w:div w:id="996810475">
          <w:marLeft w:val="0"/>
          <w:marRight w:val="0"/>
          <w:marTop w:val="0"/>
          <w:marBottom w:val="0"/>
          <w:divBdr>
            <w:top w:val="none" w:sz="0" w:space="0" w:color="auto"/>
            <w:left w:val="none" w:sz="0" w:space="0" w:color="auto"/>
            <w:bottom w:val="none" w:sz="0" w:space="0" w:color="auto"/>
            <w:right w:val="none" w:sz="0" w:space="0" w:color="auto"/>
          </w:divBdr>
        </w:div>
        <w:div w:id="1039625340">
          <w:marLeft w:val="0"/>
          <w:marRight w:val="0"/>
          <w:marTop w:val="0"/>
          <w:marBottom w:val="0"/>
          <w:divBdr>
            <w:top w:val="none" w:sz="0" w:space="0" w:color="auto"/>
            <w:left w:val="none" w:sz="0" w:space="0" w:color="auto"/>
            <w:bottom w:val="none" w:sz="0" w:space="0" w:color="auto"/>
            <w:right w:val="none" w:sz="0" w:space="0" w:color="auto"/>
          </w:divBdr>
        </w:div>
        <w:div w:id="1829126238">
          <w:marLeft w:val="0"/>
          <w:marRight w:val="0"/>
          <w:marTop w:val="0"/>
          <w:marBottom w:val="0"/>
          <w:divBdr>
            <w:top w:val="none" w:sz="0" w:space="0" w:color="auto"/>
            <w:left w:val="none" w:sz="0" w:space="0" w:color="auto"/>
            <w:bottom w:val="none" w:sz="0" w:space="0" w:color="auto"/>
            <w:right w:val="none" w:sz="0" w:space="0" w:color="auto"/>
          </w:divBdr>
        </w:div>
        <w:div w:id="1793864819">
          <w:marLeft w:val="0"/>
          <w:marRight w:val="0"/>
          <w:marTop w:val="0"/>
          <w:marBottom w:val="0"/>
          <w:divBdr>
            <w:top w:val="none" w:sz="0" w:space="0" w:color="auto"/>
            <w:left w:val="none" w:sz="0" w:space="0" w:color="auto"/>
            <w:bottom w:val="none" w:sz="0" w:space="0" w:color="auto"/>
            <w:right w:val="none" w:sz="0" w:space="0" w:color="auto"/>
          </w:divBdr>
        </w:div>
        <w:div w:id="789395652">
          <w:marLeft w:val="0"/>
          <w:marRight w:val="0"/>
          <w:marTop w:val="0"/>
          <w:marBottom w:val="0"/>
          <w:divBdr>
            <w:top w:val="none" w:sz="0" w:space="0" w:color="auto"/>
            <w:left w:val="none" w:sz="0" w:space="0" w:color="auto"/>
            <w:bottom w:val="none" w:sz="0" w:space="0" w:color="auto"/>
            <w:right w:val="none" w:sz="0" w:space="0" w:color="auto"/>
          </w:divBdr>
        </w:div>
        <w:div w:id="1321614557">
          <w:marLeft w:val="0"/>
          <w:marRight w:val="0"/>
          <w:marTop w:val="0"/>
          <w:marBottom w:val="0"/>
          <w:divBdr>
            <w:top w:val="none" w:sz="0" w:space="0" w:color="auto"/>
            <w:left w:val="none" w:sz="0" w:space="0" w:color="auto"/>
            <w:bottom w:val="none" w:sz="0" w:space="0" w:color="auto"/>
            <w:right w:val="none" w:sz="0" w:space="0" w:color="auto"/>
          </w:divBdr>
        </w:div>
        <w:div w:id="276330110">
          <w:marLeft w:val="0"/>
          <w:marRight w:val="0"/>
          <w:marTop w:val="0"/>
          <w:marBottom w:val="0"/>
          <w:divBdr>
            <w:top w:val="none" w:sz="0" w:space="0" w:color="auto"/>
            <w:left w:val="none" w:sz="0" w:space="0" w:color="auto"/>
            <w:bottom w:val="none" w:sz="0" w:space="0" w:color="auto"/>
            <w:right w:val="none" w:sz="0" w:space="0" w:color="auto"/>
          </w:divBdr>
        </w:div>
        <w:div w:id="2047023256">
          <w:marLeft w:val="0"/>
          <w:marRight w:val="0"/>
          <w:marTop w:val="0"/>
          <w:marBottom w:val="0"/>
          <w:divBdr>
            <w:top w:val="none" w:sz="0" w:space="0" w:color="auto"/>
            <w:left w:val="none" w:sz="0" w:space="0" w:color="auto"/>
            <w:bottom w:val="none" w:sz="0" w:space="0" w:color="auto"/>
            <w:right w:val="none" w:sz="0" w:space="0" w:color="auto"/>
          </w:divBdr>
        </w:div>
        <w:div w:id="103965024">
          <w:marLeft w:val="0"/>
          <w:marRight w:val="0"/>
          <w:marTop w:val="0"/>
          <w:marBottom w:val="0"/>
          <w:divBdr>
            <w:top w:val="none" w:sz="0" w:space="0" w:color="auto"/>
            <w:left w:val="none" w:sz="0" w:space="0" w:color="auto"/>
            <w:bottom w:val="none" w:sz="0" w:space="0" w:color="auto"/>
            <w:right w:val="none" w:sz="0" w:space="0" w:color="auto"/>
          </w:divBdr>
        </w:div>
        <w:div w:id="1037389994">
          <w:marLeft w:val="0"/>
          <w:marRight w:val="0"/>
          <w:marTop w:val="0"/>
          <w:marBottom w:val="0"/>
          <w:divBdr>
            <w:top w:val="none" w:sz="0" w:space="0" w:color="auto"/>
            <w:left w:val="none" w:sz="0" w:space="0" w:color="auto"/>
            <w:bottom w:val="none" w:sz="0" w:space="0" w:color="auto"/>
            <w:right w:val="none" w:sz="0" w:space="0" w:color="auto"/>
          </w:divBdr>
        </w:div>
        <w:div w:id="924536278">
          <w:marLeft w:val="0"/>
          <w:marRight w:val="0"/>
          <w:marTop w:val="0"/>
          <w:marBottom w:val="0"/>
          <w:divBdr>
            <w:top w:val="none" w:sz="0" w:space="0" w:color="auto"/>
            <w:left w:val="none" w:sz="0" w:space="0" w:color="auto"/>
            <w:bottom w:val="none" w:sz="0" w:space="0" w:color="auto"/>
            <w:right w:val="none" w:sz="0" w:space="0" w:color="auto"/>
          </w:divBdr>
        </w:div>
        <w:div w:id="841430827">
          <w:marLeft w:val="0"/>
          <w:marRight w:val="0"/>
          <w:marTop w:val="0"/>
          <w:marBottom w:val="0"/>
          <w:divBdr>
            <w:top w:val="none" w:sz="0" w:space="0" w:color="auto"/>
            <w:left w:val="none" w:sz="0" w:space="0" w:color="auto"/>
            <w:bottom w:val="none" w:sz="0" w:space="0" w:color="auto"/>
            <w:right w:val="none" w:sz="0" w:space="0" w:color="auto"/>
          </w:divBdr>
        </w:div>
        <w:div w:id="383679265">
          <w:marLeft w:val="0"/>
          <w:marRight w:val="0"/>
          <w:marTop w:val="0"/>
          <w:marBottom w:val="0"/>
          <w:divBdr>
            <w:top w:val="none" w:sz="0" w:space="0" w:color="auto"/>
            <w:left w:val="none" w:sz="0" w:space="0" w:color="auto"/>
            <w:bottom w:val="none" w:sz="0" w:space="0" w:color="auto"/>
            <w:right w:val="none" w:sz="0" w:space="0" w:color="auto"/>
          </w:divBdr>
        </w:div>
        <w:div w:id="1597395634">
          <w:marLeft w:val="0"/>
          <w:marRight w:val="0"/>
          <w:marTop w:val="0"/>
          <w:marBottom w:val="0"/>
          <w:divBdr>
            <w:top w:val="none" w:sz="0" w:space="0" w:color="auto"/>
            <w:left w:val="none" w:sz="0" w:space="0" w:color="auto"/>
            <w:bottom w:val="none" w:sz="0" w:space="0" w:color="auto"/>
            <w:right w:val="none" w:sz="0" w:space="0" w:color="auto"/>
          </w:divBdr>
        </w:div>
        <w:div w:id="262036356">
          <w:marLeft w:val="0"/>
          <w:marRight w:val="0"/>
          <w:marTop w:val="0"/>
          <w:marBottom w:val="0"/>
          <w:divBdr>
            <w:top w:val="none" w:sz="0" w:space="0" w:color="auto"/>
            <w:left w:val="none" w:sz="0" w:space="0" w:color="auto"/>
            <w:bottom w:val="none" w:sz="0" w:space="0" w:color="auto"/>
            <w:right w:val="none" w:sz="0" w:space="0" w:color="auto"/>
          </w:divBdr>
        </w:div>
        <w:div w:id="186451766">
          <w:marLeft w:val="0"/>
          <w:marRight w:val="0"/>
          <w:marTop w:val="0"/>
          <w:marBottom w:val="0"/>
          <w:divBdr>
            <w:top w:val="none" w:sz="0" w:space="0" w:color="auto"/>
            <w:left w:val="none" w:sz="0" w:space="0" w:color="auto"/>
            <w:bottom w:val="none" w:sz="0" w:space="0" w:color="auto"/>
            <w:right w:val="none" w:sz="0" w:space="0" w:color="auto"/>
          </w:divBdr>
        </w:div>
        <w:div w:id="624045821">
          <w:marLeft w:val="0"/>
          <w:marRight w:val="0"/>
          <w:marTop w:val="0"/>
          <w:marBottom w:val="0"/>
          <w:divBdr>
            <w:top w:val="none" w:sz="0" w:space="0" w:color="auto"/>
            <w:left w:val="none" w:sz="0" w:space="0" w:color="auto"/>
            <w:bottom w:val="none" w:sz="0" w:space="0" w:color="auto"/>
            <w:right w:val="none" w:sz="0" w:space="0" w:color="auto"/>
          </w:divBdr>
        </w:div>
        <w:div w:id="631440606">
          <w:marLeft w:val="0"/>
          <w:marRight w:val="0"/>
          <w:marTop w:val="0"/>
          <w:marBottom w:val="0"/>
          <w:divBdr>
            <w:top w:val="none" w:sz="0" w:space="0" w:color="auto"/>
            <w:left w:val="none" w:sz="0" w:space="0" w:color="auto"/>
            <w:bottom w:val="none" w:sz="0" w:space="0" w:color="auto"/>
            <w:right w:val="none" w:sz="0" w:space="0" w:color="auto"/>
          </w:divBdr>
        </w:div>
        <w:div w:id="872885119">
          <w:marLeft w:val="0"/>
          <w:marRight w:val="0"/>
          <w:marTop w:val="0"/>
          <w:marBottom w:val="0"/>
          <w:divBdr>
            <w:top w:val="none" w:sz="0" w:space="0" w:color="auto"/>
            <w:left w:val="none" w:sz="0" w:space="0" w:color="auto"/>
            <w:bottom w:val="none" w:sz="0" w:space="0" w:color="auto"/>
            <w:right w:val="none" w:sz="0" w:space="0" w:color="auto"/>
          </w:divBdr>
        </w:div>
        <w:div w:id="1221477102">
          <w:marLeft w:val="0"/>
          <w:marRight w:val="0"/>
          <w:marTop w:val="0"/>
          <w:marBottom w:val="0"/>
          <w:divBdr>
            <w:top w:val="none" w:sz="0" w:space="0" w:color="auto"/>
            <w:left w:val="none" w:sz="0" w:space="0" w:color="auto"/>
            <w:bottom w:val="none" w:sz="0" w:space="0" w:color="auto"/>
            <w:right w:val="none" w:sz="0" w:space="0" w:color="auto"/>
          </w:divBdr>
        </w:div>
        <w:div w:id="850098230">
          <w:marLeft w:val="0"/>
          <w:marRight w:val="0"/>
          <w:marTop w:val="0"/>
          <w:marBottom w:val="0"/>
          <w:divBdr>
            <w:top w:val="none" w:sz="0" w:space="0" w:color="auto"/>
            <w:left w:val="none" w:sz="0" w:space="0" w:color="auto"/>
            <w:bottom w:val="none" w:sz="0" w:space="0" w:color="auto"/>
            <w:right w:val="none" w:sz="0" w:space="0" w:color="auto"/>
          </w:divBdr>
        </w:div>
        <w:div w:id="1222986633">
          <w:marLeft w:val="0"/>
          <w:marRight w:val="0"/>
          <w:marTop w:val="0"/>
          <w:marBottom w:val="0"/>
          <w:divBdr>
            <w:top w:val="none" w:sz="0" w:space="0" w:color="auto"/>
            <w:left w:val="none" w:sz="0" w:space="0" w:color="auto"/>
            <w:bottom w:val="none" w:sz="0" w:space="0" w:color="auto"/>
            <w:right w:val="none" w:sz="0" w:space="0" w:color="auto"/>
          </w:divBdr>
        </w:div>
        <w:div w:id="1385057460">
          <w:marLeft w:val="0"/>
          <w:marRight w:val="0"/>
          <w:marTop w:val="0"/>
          <w:marBottom w:val="0"/>
          <w:divBdr>
            <w:top w:val="none" w:sz="0" w:space="0" w:color="auto"/>
            <w:left w:val="none" w:sz="0" w:space="0" w:color="auto"/>
            <w:bottom w:val="none" w:sz="0" w:space="0" w:color="auto"/>
            <w:right w:val="none" w:sz="0" w:space="0" w:color="auto"/>
          </w:divBdr>
        </w:div>
        <w:div w:id="802963603">
          <w:marLeft w:val="0"/>
          <w:marRight w:val="0"/>
          <w:marTop w:val="0"/>
          <w:marBottom w:val="0"/>
          <w:divBdr>
            <w:top w:val="none" w:sz="0" w:space="0" w:color="auto"/>
            <w:left w:val="none" w:sz="0" w:space="0" w:color="auto"/>
            <w:bottom w:val="none" w:sz="0" w:space="0" w:color="auto"/>
            <w:right w:val="none" w:sz="0" w:space="0" w:color="auto"/>
          </w:divBdr>
        </w:div>
        <w:div w:id="1628776872">
          <w:marLeft w:val="0"/>
          <w:marRight w:val="0"/>
          <w:marTop w:val="0"/>
          <w:marBottom w:val="0"/>
          <w:divBdr>
            <w:top w:val="none" w:sz="0" w:space="0" w:color="auto"/>
            <w:left w:val="none" w:sz="0" w:space="0" w:color="auto"/>
            <w:bottom w:val="none" w:sz="0" w:space="0" w:color="auto"/>
            <w:right w:val="none" w:sz="0" w:space="0" w:color="auto"/>
          </w:divBdr>
        </w:div>
        <w:div w:id="488442136">
          <w:marLeft w:val="0"/>
          <w:marRight w:val="0"/>
          <w:marTop w:val="0"/>
          <w:marBottom w:val="0"/>
          <w:divBdr>
            <w:top w:val="none" w:sz="0" w:space="0" w:color="auto"/>
            <w:left w:val="none" w:sz="0" w:space="0" w:color="auto"/>
            <w:bottom w:val="none" w:sz="0" w:space="0" w:color="auto"/>
            <w:right w:val="none" w:sz="0" w:space="0" w:color="auto"/>
          </w:divBdr>
        </w:div>
        <w:div w:id="1893538922">
          <w:marLeft w:val="0"/>
          <w:marRight w:val="0"/>
          <w:marTop w:val="0"/>
          <w:marBottom w:val="0"/>
          <w:divBdr>
            <w:top w:val="none" w:sz="0" w:space="0" w:color="auto"/>
            <w:left w:val="none" w:sz="0" w:space="0" w:color="auto"/>
            <w:bottom w:val="none" w:sz="0" w:space="0" w:color="auto"/>
            <w:right w:val="none" w:sz="0" w:space="0" w:color="auto"/>
          </w:divBdr>
        </w:div>
        <w:div w:id="281765045">
          <w:marLeft w:val="0"/>
          <w:marRight w:val="0"/>
          <w:marTop w:val="0"/>
          <w:marBottom w:val="0"/>
          <w:divBdr>
            <w:top w:val="none" w:sz="0" w:space="0" w:color="auto"/>
            <w:left w:val="none" w:sz="0" w:space="0" w:color="auto"/>
            <w:bottom w:val="none" w:sz="0" w:space="0" w:color="auto"/>
            <w:right w:val="none" w:sz="0" w:space="0" w:color="auto"/>
          </w:divBdr>
        </w:div>
        <w:div w:id="278873104">
          <w:marLeft w:val="0"/>
          <w:marRight w:val="0"/>
          <w:marTop w:val="0"/>
          <w:marBottom w:val="0"/>
          <w:divBdr>
            <w:top w:val="none" w:sz="0" w:space="0" w:color="auto"/>
            <w:left w:val="none" w:sz="0" w:space="0" w:color="auto"/>
            <w:bottom w:val="none" w:sz="0" w:space="0" w:color="auto"/>
            <w:right w:val="none" w:sz="0" w:space="0" w:color="auto"/>
          </w:divBdr>
        </w:div>
        <w:div w:id="751005966">
          <w:marLeft w:val="0"/>
          <w:marRight w:val="0"/>
          <w:marTop w:val="0"/>
          <w:marBottom w:val="0"/>
          <w:divBdr>
            <w:top w:val="none" w:sz="0" w:space="0" w:color="auto"/>
            <w:left w:val="none" w:sz="0" w:space="0" w:color="auto"/>
            <w:bottom w:val="none" w:sz="0" w:space="0" w:color="auto"/>
            <w:right w:val="none" w:sz="0" w:space="0" w:color="auto"/>
          </w:divBdr>
        </w:div>
        <w:div w:id="1469279866">
          <w:marLeft w:val="0"/>
          <w:marRight w:val="0"/>
          <w:marTop w:val="0"/>
          <w:marBottom w:val="0"/>
          <w:divBdr>
            <w:top w:val="none" w:sz="0" w:space="0" w:color="auto"/>
            <w:left w:val="none" w:sz="0" w:space="0" w:color="auto"/>
            <w:bottom w:val="none" w:sz="0" w:space="0" w:color="auto"/>
            <w:right w:val="none" w:sz="0" w:space="0" w:color="auto"/>
          </w:divBdr>
        </w:div>
        <w:div w:id="2008046756">
          <w:marLeft w:val="0"/>
          <w:marRight w:val="0"/>
          <w:marTop w:val="0"/>
          <w:marBottom w:val="0"/>
          <w:divBdr>
            <w:top w:val="none" w:sz="0" w:space="0" w:color="auto"/>
            <w:left w:val="none" w:sz="0" w:space="0" w:color="auto"/>
            <w:bottom w:val="none" w:sz="0" w:space="0" w:color="auto"/>
            <w:right w:val="none" w:sz="0" w:space="0" w:color="auto"/>
          </w:divBdr>
        </w:div>
        <w:div w:id="478806229">
          <w:marLeft w:val="0"/>
          <w:marRight w:val="0"/>
          <w:marTop w:val="0"/>
          <w:marBottom w:val="0"/>
          <w:divBdr>
            <w:top w:val="none" w:sz="0" w:space="0" w:color="auto"/>
            <w:left w:val="none" w:sz="0" w:space="0" w:color="auto"/>
            <w:bottom w:val="none" w:sz="0" w:space="0" w:color="auto"/>
            <w:right w:val="none" w:sz="0" w:space="0" w:color="auto"/>
          </w:divBdr>
        </w:div>
        <w:div w:id="1661419929">
          <w:marLeft w:val="0"/>
          <w:marRight w:val="0"/>
          <w:marTop w:val="0"/>
          <w:marBottom w:val="0"/>
          <w:divBdr>
            <w:top w:val="none" w:sz="0" w:space="0" w:color="auto"/>
            <w:left w:val="none" w:sz="0" w:space="0" w:color="auto"/>
            <w:bottom w:val="none" w:sz="0" w:space="0" w:color="auto"/>
            <w:right w:val="none" w:sz="0" w:space="0" w:color="auto"/>
          </w:divBdr>
        </w:div>
        <w:div w:id="13190747">
          <w:marLeft w:val="0"/>
          <w:marRight w:val="0"/>
          <w:marTop w:val="0"/>
          <w:marBottom w:val="0"/>
          <w:divBdr>
            <w:top w:val="none" w:sz="0" w:space="0" w:color="auto"/>
            <w:left w:val="none" w:sz="0" w:space="0" w:color="auto"/>
            <w:bottom w:val="none" w:sz="0" w:space="0" w:color="auto"/>
            <w:right w:val="none" w:sz="0" w:space="0" w:color="auto"/>
          </w:divBdr>
          <w:divsChild>
            <w:div w:id="942566661">
              <w:marLeft w:val="0"/>
              <w:marRight w:val="0"/>
              <w:marTop w:val="0"/>
              <w:marBottom w:val="0"/>
              <w:divBdr>
                <w:top w:val="none" w:sz="0" w:space="0" w:color="auto"/>
                <w:left w:val="none" w:sz="0" w:space="0" w:color="auto"/>
                <w:bottom w:val="none" w:sz="0" w:space="0" w:color="auto"/>
                <w:right w:val="none" w:sz="0" w:space="0" w:color="auto"/>
              </w:divBdr>
            </w:div>
            <w:div w:id="902715359">
              <w:marLeft w:val="0"/>
              <w:marRight w:val="0"/>
              <w:marTop w:val="0"/>
              <w:marBottom w:val="0"/>
              <w:divBdr>
                <w:top w:val="none" w:sz="0" w:space="0" w:color="auto"/>
                <w:left w:val="none" w:sz="0" w:space="0" w:color="auto"/>
                <w:bottom w:val="none" w:sz="0" w:space="0" w:color="auto"/>
                <w:right w:val="none" w:sz="0" w:space="0" w:color="auto"/>
              </w:divBdr>
            </w:div>
            <w:div w:id="838929319">
              <w:marLeft w:val="0"/>
              <w:marRight w:val="0"/>
              <w:marTop w:val="0"/>
              <w:marBottom w:val="0"/>
              <w:divBdr>
                <w:top w:val="none" w:sz="0" w:space="0" w:color="auto"/>
                <w:left w:val="none" w:sz="0" w:space="0" w:color="auto"/>
                <w:bottom w:val="none" w:sz="0" w:space="0" w:color="auto"/>
                <w:right w:val="none" w:sz="0" w:space="0" w:color="auto"/>
              </w:divBdr>
            </w:div>
            <w:div w:id="240526494">
              <w:marLeft w:val="0"/>
              <w:marRight w:val="0"/>
              <w:marTop w:val="0"/>
              <w:marBottom w:val="0"/>
              <w:divBdr>
                <w:top w:val="none" w:sz="0" w:space="0" w:color="auto"/>
                <w:left w:val="none" w:sz="0" w:space="0" w:color="auto"/>
                <w:bottom w:val="none" w:sz="0" w:space="0" w:color="auto"/>
                <w:right w:val="none" w:sz="0" w:space="0" w:color="auto"/>
              </w:divBdr>
            </w:div>
            <w:div w:id="1655521168">
              <w:marLeft w:val="0"/>
              <w:marRight w:val="0"/>
              <w:marTop w:val="0"/>
              <w:marBottom w:val="0"/>
              <w:divBdr>
                <w:top w:val="none" w:sz="0" w:space="0" w:color="auto"/>
                <w:left w:val="none" w:sz="0" w:space="0" w:color="auto"/>
                <w:bottom w:val="none" w:sz="0" w:space="0" w:color="auto"/>
                <w:right w:val="none" w:sz="0" w:space="0" w:color="auto"/>
              </w:divBdr>
            </w:div>
          </w:divsChild>
        </w:div>
        <w:div w:id="2115636798">
          <w:marLeft w:val="0"/>
          <w:marRight w:val="0"/>
          <w:marTop w:val="0"/>
          <w:marBottom w:val="0"/>
          <w:divBdr>
            <w:top w:val="none" w:sz="0" w:space="0" w:color="auto"/>
            <w:left w:val="none" w:sz="0" w:space="0" w:color="auto"/>
            <w:bottom w:val="none" w:sz="0" w:space="0" w:color="auto"/>
            <w:right w:val="none" w:sz="0" w:space="0" w:color="auto"/>
          </w:divBdr>
          <w:divsChild>
            <w:div w:id="558789259">
              <w:marLeft w:val="0"/>
              <w:marRight w:val="0"/>
              <w:marTop w:val="0"/>
              <w:marBottom w:val="0"/>
              <w:divBdr>
                <w:top w:val="none" w:sz="0" w:space="0" w:color="auto"/>
                <w:left w:val="none" w:sz="0" w:space="0" w:color="auto"/>
                <w:bottom w:val="none" w:sz="0" w:space="0" w:color="auto"/>
                <w:right w:val="none" w:sz="0" w:space="0" w:color="auto"/>
              </w:divBdr>
            </w:div>
            <w:div w:id="1719432772">
              <w:marLeft w:val="0"/>
              <w:marRight w:val="0"/>
              <w:marTop w:val="0"/>
              <w:marBottom w:val="0"/>
              <w:divBdr>
                <w:top w:val="none" w:sz="0" w:space="0" w:color="auto"/>
                <w:left w:val="none" w:sz="0" w:space="0" w:color="auto"/>
                <w:bottom w:val="none" w:sz="0" w:space="0" w:color="auto"/>
                <w:right w:val="none" w:sz="0" w:space="0" w:color="auto"/>
              </w:divBdr>
            </w:div>
            <w:div w:id="758209051">
              <w:marLeft w:val="0"/>
              <w:marRight w:val="0"/>
              <w:marTop w:val="0"/>
              <w:marBottom w:val="0"/>
              <w:divBdr>
                <w:top w:val="none" w:sz="0" w:space="0" w:color="auto"/>
                <w:left w:val="none" w:sz="0" w:space="0" w:color="auto"/>
                <w:bottom w:val="none" w:sz="0" w:space="0" w:color="auto"/>
                <w:right w:val="none" w:sz="0" w:space="0" w:color="auto"/>
              </w:divBdr>
            </w:div>
            <w:div w:id="1311404911">
              <w:marLeft w:val="0"/>
              <w:marRight w:val="0"/>
              <w:marTop w:val="0"/>
              <w:marBottom w:val="0"/>
              <w:divBdr>
                <w:top w:val="none" w:sz="0" w:space="0" w:color="auto"/>
                <w:left w:val="none" w:sz="0" w:space="0" w:color="auto"/>
                <w:bottom w:val="none" w:sz="0" w:space="0" w:color="auto"/>
                <w:right w:val="none" w:sz="0" w:space="0" w:color="auto"/>
              </w:divBdr>
            </w:div>
            <w:div w:id="94596801">
              <w:marLeft w:val="0"/>
              <w:marRight w:val="0"/>
              <w:marTop w:val="0"/>
              <w:marBottom w:val="0"/>
              <w:divBdr>
                <w:top w:val="none" w:sz="0" w:space="0" w:color="auto"/>
                <w:left w:val="none" w:sz="0" w:space="0" w:color="auto"/>
                <w:bottom w:val="none" w:sz="0" w:space="0" w:color="auto"/>
                <w:right w:val="none" w:sz="0" w:space="0" w:color="auto"/>
              </w:divBdr>
            </w:div>
          </w:divsChild>
        </w:div>
        <w:div w:id="1926257863">
          <w:marLeft w:val="0"/>
          <w:marRight w:val="0"/>
          <w:marTop w:val="0"/>
          <w:marBottom w:val="0"/>
          <w:divBdr>
            <w:top w:val="none" w:sz="0" w:space="0" w:color="auto"/>
            <w:left w:val="none" w:sz="0" w:space="0" w:color="auto"/>
            <w:bottom w:val="none" w:sz="0" w:space="0" w:color="auto"/>
            <w:right w:val="none" w:sz="0" w:space="0" w:color="auto"/>
          </w:divBdr>
        </w:div>
        <w:div w:id="1520388649">
          <w:marLeft w:val="0"/>
          <w:marRight w:val="0"/>
          <w:marTop w:val="0"/>
          <w:marBottom w:val="0"/>
          <w:divBdr>
            <w:top w:val="none" w:sz="0" w:space="0" w:color="auto"/>
            <w:left w:val="none" w:sz="0" w:space="0" w:color="auto"/>
            <w:bottom w:val="none" w:sz="0" w:space="0" w:color="auto"/>
            <w:right w:val="none" w:sz="0" w:space="0" w:color="auto"/>
          </w:divBdr>
        </w:div>
        <w:div w:id="474370365">
          <w:marLeft w:val="0"/>
          <w:marRight w:val="0"/>
          <w:marTop w:val="0"/>
          <w:marBottom w:val="0"/>
          <w:divBdr>
            <w:top w:val="none" w:sz="0" w:space="0" w:color="auto"/>
            <w:left w:val="none" w:sz="0" w:space="0" w:color="auto"/>
            <w:bottom w:val="none" w:sz="0" w:space="0" w:color="auto"/>
            <w:right w:val="none" w:sz="0" w:space="0" w:color="auto"/>
          </w:divBdr>
        </w:div>
        <w:div w:id="1021081459">
          <w:marLeft w:val="0"/>
          <w:marRight w:val="0"/>
          <w:marTop w:val="0"/>
          <w:marBottom w:val="0"/>
          <w:divBdr>
            <w:top w:val="none" w:sz="0" w:space="0" w:color="auto"/>
            <w:left w:val="none" w:sz="0" w:space="0" w:color="auto"/>
            <w:bottom w:val="none" w:sz="0" w:space="0" w:color="auto"/>
            <w:right w:val="none" w:sz="0" w:space="0" w:color="auto"/>
          </w:divBdr>
        </w:div>
        <w:div w:id="504783884">
          <w:marLeft w:val="0"/>
          <w:marRight w:val="0"/>
          <w:marTop w:val="0"/>
          <w:marBottom w:val="0"/>
          <w:divBdr>
            <w:top w:val="none" w:sz="0" w:space="0" w:color="auto"/>
            <w:left w:val="none" w:sz="0" w:space="0" w:color="auto"/>
            <w:bottom w:val="none" w:sz="0" w:space="0" w:color="auto"/>
            <w:right w:val="none" w:sz="0" w:space="0" w:color="auto"/>
          </w:divBdr>
        </w:div>
        <w:div w:id="1096367301">
          <w:marLeft w:val="0"/>
          <w:marRight w:val="0"/>
          <w:marTop w:val="0"/>
          <w:marBottom w:val="0"/>
          <w:divBdr>
            <w:top w:val="none" w:sz="0" w:space="0" w:color="auto"/>
            <w:left w:val="none" w:sz="0" w:space="0" w:color="auto"/>
            <w:bottom w:val="none" w:sz="0" w:space="0" w:color="auto"/>
            <w:right w:val="none" w:sz="0" w:space="0" w:color="auto"/>
          </w:divBdr>
        </w:div>
        <w:div w:id="1750156367">
          <w:marLeft w:val="0"/>
          <w:marRight w:val="0"/>
          <w:marTop w:val="0"/>
          <w:marBottom w:val="0"/>
          <w:divBdr>
            <w:top w:val="none" w:sz="0" w:space="0" w:color="auto"/>
            <w:left w:val="none" w:sz="0" w:space="0" w:color="auto"/>
            <w:bottom w:val="none" w:sz="0" w:space="0" w:color="auto"/>
            <w:right w:val="none" w:sz="0" w:space="0" w:color="auto"/>
          </w:divBdr>
        </w:div>
        <w:div w:id="489716384">
          <w:marLeft w:val="0"/>
          <w:marRight w:val="0"/>
          <w:marTop w:val="0"/>
          <w:marBottom w:val="0"/>
          <w:divBdr>
            <w:top w:val="none" w:sz="0" w:space="0" w:color="auto"/>
            <w:left w:val="none" w:sz="0" w:space="0" w:color="auto"/>
            <w:bottom w:val="none" w:sz="0" w:space="0" w:color="auto"/>
            <w:right w:val="none" w:sz="0" w:space="0" w:color="auto"/>
          </w:divBdr>
        </w:div>
        <w:div w:id="33165371">
          <w:marLeft w:val="0"/>
          <w:marRight w:val="0"/>
          <w:marTop w:val="0"/>
          <w:marBottom w:val="0"/>
          <w:divBdr>
            <w:top w:val="none" w:sz="0" w:space="0" w:color="auto"/>
            <w:left w:val="none" w:sz="0" w:space="0" w:color="auto"/>
            <w:bottom w:val="none" w:sz="0" w:space="0" w:color="auto"/>
            <w:right w:val="none" w:sz="0" w:space="0" w:color="auto"/>
          </w:divBdr>
        </w:div>
        <w:div w:id="590090554">
          <w:marLeft w:val="0"/>
          <w:marRight w:val="0"/>
          <w:marTop w:val="0"/>
          <w:marBottom w:val="0"/>
          <w:divBdr>
            <w:top w:val="none" w:sz="0" w:space="0" w:color="auto"/>
            <w:left w:val="none" w:sz="0" w:space="0" w:color="auto"/>
            <w:bottom w:val="none" w:sz="0" w:space="0" w:color="auto"/>
            <w:right w:val="none" w:sz="0" w:space="0" w:color="auto"/>
          </w:divBdr>
        </w:div>
        <w:div w:id="1480464707">
          <w:marLeft w:val="0"/>
          <w:marRight w:val="0"/>
          <w:marTop w:val="0"/>
          <w:marBottom w:val="0"/>
          <w:divBdr>
            <w:top w:val="none" w:sz="0" w:space="0" w:color="auto"/>
            <w:left w:val="none" w:sz="0" w:space="0" w:color="auto"/>
            <w:bottom w:val="none" w:sz="0" w:space="0" w:color="auto"/>
            <w:right w:val="none" w:sz="0" w:space="0" w:color="auto"/>
          </w:divBdr>
        </w:div>
        <w:div w:id="1063260926">
          <w:marLeft w:val="0"/>
          <w:marRight w:val="0"/>
          <w:marTop w:val="0"/>
          <w:marBottom w:val="0"/>
          <w:divBdr>
            <w:top w:val="none" w:sz="0" w:space="0" w:color="auto"/>
            <w:left w:val="none" w:sz="0" w:space="0" w:color="auto"/>
            <w:bottom w:val="none" w:sz="0" w:space="0" w:color="auto"/>
            <w:right w:val="none" w:sz="0" w:space="0" w:color="auto"/>
          </w:divBdr>
        </w:div>
        <w:div w:id="405764512">
          <w:marLeft w:val="0"/>
          <w:marRight w:val="0"/>
          <w:marTop w:val="0"/>
          <w:marBottom w:val="0"/>
          <w:divBdr>
            <w:top w:val="none" w:sz="0" w:space="0" w:color="auto"/>
            <w:left w:val="none" w:sz="0" w:space="0" w:color="auto"/>
            <w:bottom w:val="none" w:sz="0" w:space="0" w:color="auto"/>
            <w:right w:val="none" w:sz="0" w:space="0" w:color="auto"/>
          </w:divBdr>
        </w:div>
        <w:div w:id="364214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0D3CA8A8F104B46A609B35E2806C01D" ma:contentTypeVersion="11" ma:contentTypeDescription="Crear nuevo documento." ma:contentTypeScope="" ma:versionID="c721996b405742483327067c3656c707">
  <xsd:schema xmlns:xsd="http://www.w3.org/2001/XMLSchema" xmlns:xs="http://www.w3.org/2001/XMLSchema" xmlns:p="http://schemas.microsoft.com/office/2006/metadata/properties" xmlns:ns2="930c81f1-e9ca-4bc6-a442-7e43bfe25841" xmlns:ns3="9845f4ef-a5bd-4dbd-ab8f-e69291a39b0c" targetNamespace="http://schemas.microsoft.com/office/2006/metadata/properties" ma:root="true" ma:fieldsID="17b575e4ce7bab19662f5dbb26cace48" ns2:_="" ns3:_="">
    <xsd:import namespace="930c81f1-e9ca-4bc6-a442-7e43bfe25841"/>
    <xsd:import namespace="9845f4ef-a5bd-4dbd-ab8f-e69291a39b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c81f1-e9ca-4bc6-a442-7e43bfe25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45f4ef-a5bd-4dbd-ab8f-e69291a39b0c"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3C635-2A77-4CA1-99DE-2F7B80313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c81f1-e9ca-4bc6-a442-7e43bfe25841"/>
    <ds:schemaRef ds:uri="9845f4ef-a5bd-4dbd-ab8f-e69291a39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E4D711-C9EE-4DEA-9FC9-CD19AEE460AD}">
  <ds:schemaRefs>
    <ds:schemaRef ds:uri="http://schemas.microsoft.com/sharepoint/v3/contenttype/forms"/>
  </ds:schemaRefs>
</ds:datastoreItem>
</file>

<file path=customXml/itemProps3.xml><?xml version="1.0" encoding="utf-8"?>
<ds:datastoreItem xmlns:ds="http://schemas.openxmlformats.org/officeDocument/2006/customXml" ds:itemID="{8BD84467-ACA2-4171-A50B-01B9B3A2C3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DEA1F3-232C-4577-9488-A7B0DCD4A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5579</Words>
  <Characters>30686</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JEISON</dc:creator>
  <cp:keywords/>
  <dc:description/>
  <cp:lastModifiedBy>Hermides Alonso Gaviria Ocampo</cp:lastModifiedBy>
  <cp:revision>7</cp:revision>
  <dcterms:created xsi:type="dcterms:W3CDTF">2022-03-07T16:47:00Z</dcterms:created>
  <dcterms:modified xsi:type="dcterms:W3CDTF">2022-04-18T17:37:00Z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0x01010050D3CA8A8F104B46A609B35E2806C01D</vt:lpwstr>
  </property>
</Properties>
</file>