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94AEA" w14:textId="77777777" w:rsidR="001602C2" w:rsidRPr="001602C2" w:rsidRDefault="001602C2" w:rsidP="001602C2">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76320119"/>
      <w:bookmarkStart w:id="1" w:name="_Hlk94773787"/>
      <w:bookmarkStart w:id="2" w:name="_GoBack"/>
      <w:bookmarkEnd w:id="2"/>
      <w:r w:rsidRPr="001602C2">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DBBD4F1" w14:textId="77777777" w:rsidR="001602C2" w:rsidRPr="001602C2" w:rsidRDefault="001602C2" w:rsidP="001602C2">
      <w:pPr>
        <w:spacing w:after="0" w:line="240" w:lineRule="auto"/>
        <w:jc w:val="both"/>
        <w:rPr>
          <w:rFonts w:ascii="Arial" w:eastAsia="Times New Roman" w:hAnsi="Arial" w:cs="Arial"/>
          <w:sz w:val="20"/>
          <w:szCs w:val="20"/>
          <w:lang w:val="es-419" w:eastAsia="es-ES"/>
        </w:rPr>
      </w:pPr>
    </w:p>
    <w:p w14:paraId="13472EA4" w14:textId="6AA644CB" w:rsidR="00774112" w:rsidRPr="00774112" w:rsidRDefault="00774112" w:rsidP="00774112">
      <w:pPr>
        <w:spacing w:after="0" w:line="240" w:lineRule="auto"/>
        <w:jc w:val="both"/>
        <w:rPr>
          <w:rFonts w:ascii="Arial" w:eastAsia="Times New Roman" w:hAnsi="Arial" w:cs="Arial"/>
          <w:sz w:val="20"/>
          <w:szCs w:val="20"/>
          <w:lang w:val="es-419" w:eastAsia="es-ES"/>
        </w:rPr>
      </w:pPr>
      <w:r w:rsidRPr="00774112">
        <w:rPr>
          <w:rFonts w:ascii="Arial" w:eastAsia="Times New Roman" w:hAnsi="Arial" w:cs="Arial"/>
          <w:sz w:val="20"/>
          <w:szCs w:val="20"/>
          <w:lang w:val="es-419" w:eastAsia="es-ES"/>
        </w:rPr>
        <w:t>Expediente:</w:t>
      </w:r>
      <w:r w:rsidRPr="00774112">
        <w:rPr>
          <w:rFonts w:ascii="Arial" w:eastAsia="Times New Roman" w:hAnsi="Arial" w:cs="Arial"/>
          <w:sz w:val="20"/>
          <w:szCs w:val="20"/>
          <w:lang w:val="es-419" w:eastAsia="es-ES"/>
        </w:rPr>
        <w:tab/>
        <w:t>66001310300420190044101</w:t>
      </w:r>
    </w:p>
    <w:p w14:paraId="2CD4F88F" w14:textId="77777777" w:rsidR="00774112" w:rsidRPr="00774112" w:rsidRDefault="00774112" w:rsidP="00774112">
      <w:pPr>
        <w:spacing w:after="0" w:line="240" w:lineRule="auto"/>
        <w:jc w:val="both"/>
        <w:rPr>
          <w:rFonts w:ascii="Arial" w:eastAsia="Times New Roman" w:hAnsi="Arial" w:cs="Arial"/>
          <w:sz w:val="20"/>
          <w:szCs w:val="20"/>
          <w:lang w:val="es-419" w:eastAsia="es-ES"/>
        </w:rPr>
      </w:pPr>
      <w:r w:rsidRPr="00774112">
        <w:rPr>
          <w:rFonts w:ascii="Arial" w:eastAsia="Times New Roman" w:hAnsi="Arial" w:cs="Arial"/>
          <w:sz w:val="20"/>
          <w:szCs w:val="20"/>
          <w:lang w:val="es-419" w:eastAsia="es-ES"/>
        </w:rPr>
        <w:t xml:space="preserve">Proceso: </w:t>
      </w:r>
      <w:r w:rsidRPr="00774112">
        <w:rPr>
          <w:rFonts w:ascii="Arial" w:eastAsia="Times New Roman" w:hAnsi="Arial" w:cs="Arial"/>
          <w:sz w:val="20"/>
          <w:szCs w:val="20"/>
          <w:lang w:val="es-419" w:eastAsia="es-ES"/>
        </w:rPr>
        <w:tab/>
        <w:t xml:space="preserve">Ejecutivo </w:t>
      </w:r>
    </w:p>
    <w:p w14:paraId="01505B85" w14:textId="77777777" w:rsidR="00774112" w:rsidRPr="00774112" w:rsidRDefault="00774112" w:rsidP="00774112">
      <w:pPr>
        <w:spacing w:after="0" w:line="240" w:lineRule="auto"/>
        <w:jc w:val="both"/>
        <w:rPr>
          <w:rFonts w:ascii="Arial" w:eastAsia="Times New Roman" w:hAnsi="Arial" w:cs="Arial"/>
          <w:sz w:val="20"/>
          <w:szCs w:val="20"/>
          <w:lang w:val="es-419" w:eastAsia="es-ES"/>
        </w:rPr>
      </w:pPr>
      <w:r w:rsidRPr="00774112">
        <w:rPr>
          <w:rFonts w:ascii="Arial" w:eastAsia="Times New Roman" w:hAnsi="Arial" w:cs="Arial"/>
          <w:sz w:val="20"/>
          <w:szCs w:val="20"/>
          <w:lang w:val="es-419" w:eastAsia="es-ES"/>
        </w:rPr>
        <w:t xml:space="preserve">Asunto: </w:t>
      </w:r>
      <w:r w:rsidRPr="00774112">
        <w:rPr>
          <w:rFonts w:ascii="Arial" w:eastAsia="Times New Roman" w:hAnsi="Arial" w:cs="Arial"/>
          <w:sz w:val="20"/>
          <w:szCs w:val="20"/>
          <w:lang w:val="es-419" w:eastAsia="es-ES"/>
        </w:rPr>
        <w:tab/>
        <w:t>Rechazo demanda de reconvención</w:t>
      </w:r>
    </w:p>
    <w:p w14:paraId="02D3C16E" w14:textId="5FA5F9B9" w:rsidR="00774112" w:rsidRPr="00774112" w:rsidRDefault="00774112" w:rsidP="00774112">
      <w:pPr>
        <w:spacing w:after="0" w:line="240" w:lineRule="auto"/>
        <w:jc w:val="both"/>
        <w:rPr>
          <w:rFonts w:ascii="Arial" w:eastAsia="Times New Roman" w:hAnsi="Arial" w:cs="Arial"/>
          <w:sz w:val="20"/>
          <w:szCs w:val="20"/>
          <w:lang w:val="es-419" w:eastAsia="es-ES"/>
        </w:rPr>
      </w:pPr>
      <w:r w:rsidRPr="00774112">
        <w:rPr>
          <w:rFonts w:ascii="Arial" w:eastAsia="Times New Roman" w:hAnsi="Arial" w:cs="Arial"/>
          <w:sz w:val="20"/>
          <w:szCs w:val="20"/>
          <w:lang w:val="es-419" w:eastAsia="es-ES"/>
        </w:rPr>
        <w:t xml:space="preserve">Demandante: </w:t>
      </w:r>
      <w:r w:rsidRPr="00774112">
        <w:rPr>
          <w:rFonts w:ascii="Arial" w:eastAsia="Times New Roman" w:hAnsi="Arial" w:cs="Arial"/>
          <w:sz w:val="20"/>
          <w:szCs w:val="20"/>
          <w:lang w:val="es-419" w:eastAsia="es-ES"/>
        </w:rPr>
        <w:tab/>
        <w:t xml:space="preserve">Miguel Andrés Giraldo </w:t>
      </w:r>
      <w:proofErr w:type="spellStart"/>
      <w:r w:rsidRPr="00774112">
        <w:rPr>
          <w:rFonts w:ascii="Arial" w:eastAsia="Times New Roman" w:hAnsi="Arial" w:cs="Arial"/>
          <w:sz w:val="20"/>
          <w:szCs w:val="20"/>
          <w:lang w:val="es-419" w:eastAsia="es-ES"/>
        </w:rPr>
        <w:t>Giraldo</w:t>
      </w:r>
      <w:proofErr w:type="spellEnd"/>
    </w:p>
    <w:p w14:paraId="49E4E489" w14:textId="10B050B6" w:rsidR="001602C2" w:rsidRPr="001602C2" w:rsidRDefault="00774112" w:rsidP="00774112">
      <w:pPr>
        <w:spacing w:after="0" w:line="240" w:lineRule="auto"/>
        <w:jc w:val="both"/>
        <w:rPr>
          <w:rFonts w:ascii="Arial" w:eastAsia="Times New Roman" w:hAnsi="Arial" w:cs="Arial"/>
          <w:sz w:val="20"/>
          <w:szCs w:val="20"/>
          <w:lang w:val="es-419" w:eastAsia="es-ES"/>
        </w:rPr>
      </w:pPr>
      <w:r w:rsidRPr="00774112">
        <w:rPr>
          <w:rFonts w:ascii="Arial" w:eastAsia="Times New Roman" w:hAnsi="Arial" w:cs="Arial"/>
          <w:sz w:val="20"/>
          <w:szCs w:val="20"/>
          <w:lang w:val="es-419" w:eastAsia="es-ES"/>
        </w:rPr>
        <w:t>Demandado:</w:t>
      </w:r>
      <w:r w:rsidRPr="00774112">
        <w:rPr>
          <w:rFonts w:ascii="Arial" w:eastAsia="Times New Roman" w:hAnsi="Arial" w:cs="Arial"/>
          <w:sz w:val="20"/>
          <w:szCs w:val="20"/>
          <w:lang w:val="es-419" w:eastAsia="es-ES"/>
        </w:rPr>
        <w:tab/>
        <w:t>Héctor Jaime Giraldo Duque</w:t>
      </w:r>
    </w:p>
    <w:p w14:paraId="6D204471" w14:textId="77777777" w:rsidR="001602C2" w:rsidRPr="001602C2" w:rsidRDefault="001602C2" w:rsidP="001602C2">
      <w:pPr>
        <w:spacing w:after="0" w:line="240" w:lineRule="auto"/>
        <w:jc w:val="both"/>
        <w:rPr>
          <w:rFonts w:ascii="Arial" w:eastAsia="Times New Roman" w:hAnsi="Arial" w:cs="Arial"/>
          <w:sz w:val="20"/>
          <w:szCs w:val="20"/>
          <w:lang w:val="es-419" w:eastAsia="es-ES"/>
        </w:rPr>
      </w:pPr>
    </w:p>
    <w:p w14:paraId="09EE99BE" w14:textId="04FDCB94" w:rsidR="001602C2" w:rsidRPr="001602C2" w:rsidRDefault="00E52A1B" w:rsidP="001602C2">
      <w:pPr>
        <w:spacing w:after="0" w:line="240" w:lineRule="auto"/>
        <w:jc w:val="both"/>
        <w:rPr>
          <w:rFonts w:ascii="Arial" w:eastAsia="Times New Roman" w:hAnsi="Arial" w:cs="Arial"/>
          <w:b/>
          <w:bCs/>
          <w:iCs/>
          <w:sz w:val="20"/>
          <w:szCs w:val="20"/>
          <w:lang w:val="es-419" w:eastAsia="fr-FR"/>
        </w:rPr>
      </w:pPr>
      <w:r w:rsidRPr="001602C2">
        <w:rPr>
          <w:rFonts w:ascii="Arial" w:eastAsia="Times New Roman" w:hAnsi="Arial" w:cs="Arial"/>
          <w:b/>
          <w:bCs/>
          <w:iCs/>
          <w:sz w:val="20"/>
          <w:szCs w:val="20"/>
          <w:u w:val="single"/>
          <w:lang w:val="es-419" w:eastAsia="fr-FR"/>
        </w:rPr>
        <w:t>TEMAS:</w:t>
      </w:r>
      <w:r w:rsidRPr="001602C2">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PROCESO EJECUTIVO / MECANISMOS DE DEFENSA DEL DEMANDADO / PROPOSICIÓN DE EXCEPCIONES / NO INCLUYE LA DEMANDA DE RECONVENCIÓN / ANÁLISIS LEGAL.</w:t>
      </w:r>
    </w:p>
    <w:p w14:paraId="218CB6B6" w14:textId="77777777" w:rsidR="001602C2" w:rsidRPr="001602C2" w:rsidRDefault="001602C2" w:rsidP="001602C2">
      <w:pPr>
        <w:spacing w:after="0" w:line="240" w:lineRule="auto"/>
        <w:jc w:val="both"/>
        <w:rPr>
          <w:rFonts w:ascii="Arial" w:eastAsia="Times New Roman" w:hAnsi="Arial" w:cs="Arial"/>
          <w:sz w:val="20"/>
          <w:szCs w:val="20"/>
          <w:lang w:val="es-419" w:eastAsia="es-ES"/>
        </w:rPr>
      </w:pPr>
    </w:p>
    <w:p w14:paraId="2E4A2FCC" w14:textId="46AA6C22" w:rsidR="001602C2" w:rsidRPr="001602C2" w:rsidRDefault="00EA7053" w:rsidP="001602C2">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EA7053">
        <w:rPr>
          <w:rFonts w:ascii="Arial" w:eastAsia="Times New Roman" w:hAnsi="Arial" w:cs="Arial"/>
          <w:sz w:val="20"/>
          <w:szCs w:val="20"/>
          <w:lang w:val="es-419" w:eastAsia="es-ES"/>
        </w:rPr>
        <w:t>dijo en las consideraciones del auto del 29 de julio de 2021 que la demanda de reconvención es improcedente en los procesos ejecutivos, porque (i) está prevista solo para procesos declarativos; (ii) el CGP tiene establecido que la audiencia del artículo 372 o del 392, según el caso, ocurre en el evento de que el demandado haya propuesto excepciones; y (iii) la oportunidad para reconvenir es durante el traslado al demandado para contestar la demanda, etapa que, en estricto sentido, no se da en el proceso ejecutivo</w:t>
      </w:r>
      <w:r>
        <w:rPr>
          <w:rFonts w:ascii="Arial" w:eastAsia="Times New Roman" w:hAnsi="Arial" w:cs="Arial"/>
          <w:sz w:val="20"/>
          <w:szCs w:val="20"/>
          <w:lang w:val="es-419" w:eastAsia="es-ES"/>
        </w:rPr>
        <w:t>…</w:t>
      </w:r>
    </w:p>
    <w:p w14:paraId="6F186A1E" w14:textId="77777777" w:rsidR="001602C2" w:rsidRPr="001602C2" w:rsidRDefault="001602C2" w:rsidP="001602C2">
      <w:pPr>
        <w:spacing w:after="0" w:line="240" w:lineRule="auto"/>
        <w:jc w:val="both"/>
        <w:rPr>
          <w:rFonts w:ascii="Arial" w:eastAsia="Times New Roman" w:hAnsi="Arial" w:cs="Arial"/>
          <w:sz w:val="20"/>
          <w:szCs w:val="20"/>
          <w:lang w:val="es-419" w:eastAsia="es-ES"/>
        </w:rPr>
      </w:pPr>
    </w:p>
    <w:p w14:paraId="0A6EC914" w14:textId="6ED701CD" w:rsidR="00EE529B" w:rsidRPr="00EE529B" w:rsidRDefault="00EE529B" w:rsidP="00EE529B">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EE529B">
        <w:rPr>
          <w:rFonts w:ascii="Arial" w:eastAsia="Times New Roman" w:hAnsi="Arial" w:cs="Arial"/>
          <w:sz w:val="20"/>
          <w:szCs w:val="20"/>
          <w:lang w:val="es-419" w:eastAsia="es-ES"/>
        </w:rPr>
        <w:t>de entrada se advierte que la providencia será confirmada.</w:t>
      </w:r>
    </w:p>
    <w:p w14:paraId="5724ABAD" w14:textId="77777777" w:rsidR="00EE529B" w:rsidRPr="00EE529B" w:rsidRDefault="00EE529B" w:rsidP="00EE529B">
      <w:pPr>
        <w:spacing w:after="0" w:line="240" w:lineRule="auto"/>
        <w:jc w:val="both"/>
        <w:rPr>
          <w:rFonts w:ascii="Arial" w:eastAsia="Times New Roman" w:hAnsi="Arial" w:cs="Arial"/>
          <w:sz w:val="20"/>
          <w:szCs w:val="20"/>
          <w:lang w:val="es-419" w:eastAsia="es-ES"/>
        </w:rPr>
      </w:pPr>
    </w:p>
    <w:p w14:paraId="16ABE5E8" w14:textId="34DAFA85" w:rsidR="001602C2" w:rsidRPr="001602C2" w:rsidRDefault="00EE529B" w:rsidP="00EE529B">
      <w:pPr>
        <w:spacing w:after="0" w:line="240" w:lineRule="auto"/>
        <w:jc w:val="both"/>
        <w:rPr>
          <w:rFonts w:ascii="Arial" w:eastAsia="Times New Roman" w:hAnsi="Arial" w:cs="Arial"/>
          <w:sz w:val="20"/>
          <w:szCs w:val="20"/>
          <w:lang w:val="es-419" w:eastAsia="es-ES"/>
        </w:rPr>
      </w:pPr>
      <w:r w:rsidRPr="00EE529B">
        <w:rPr>
          <w:rFonts w:ascii="Arial" w:eastAsia="Times New Roman" w:hAnsi="Arial" w:cs="Arial"/>
          <w:sz w:val="20"/>
          <w:szCs w:val="20"/>
          <w:lang w:val="es-419" w:eastAsia="es-ES"/>
        </w:rPr>
        <w:t>El proceso ejecutivo, a diferencia de los declarativos, los de liquidación y los de jurisdicción voluntaria, goza de una estructura diferente, en la medida en que, como señaló la funcionaria de primer grado, no hay lugar, propiamente, a un término de traslado dentro del cual se deba proceder a contestar la demanda. Es un trámite fundado en la preeminencia de un derecho, claro, cierto y exigible, respecto del cual las opciones que se abren para el demandado son específicas: (i) pedir la regulación o pérdida de intereses, la reducción de la pena, la hipoteca o la prenda, y la fijación de la tasa de cambio (art. 425); (ii) en las obligaciones de dar o hacer, objetar la estimación de perjuicios (art. 439); (ii) cumplir la obligación dentro del término que se le señale (art. 440); o  proponer excepciones (art. 442).</w:t>
      </w:r>
    </w:p>
    <w:p w14:paraId="5B9FA310" w14:textId="77777777" w:rsidR="001602C2" w:rsidRPr="001602C2" w:rsidRDefault="001602C2" w:rsidP="001602C2">
      <w:pPr>
        <w:spacing w:after="0" w:line="240" w:lineRule="auto"/>
        <w:jc w:val="both"/>
        <w:rPr>
          <w:rFonts w:ascii="Arial" w:eastAsia="Times New Roman" w:hAnsi="Arial" w:cs="Arial"/>
          <w:sz w:val="20"/>
          <w:szCs w:val="20"/>
          <w:lang w:val="es-419" w:eastAsia="es-ES"/>
        </w:rPr>
      </w:pPr>
    </w:p>
    <w:p w14:paraId="163F75FB" w14:textId="25F171C7" w:rsidR="001602C2" w:rsidRPr="001602C2" w:rsidRDefault="00EE529B" w:rsidP="001602C2">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EE529B">
        <w:rPr>
          <w:rFonts w:ascii="Arial" w:eastAsia="Times New Roman" w:hAnsi="Arial" w:cs="Arial"/>
          <w:sz w:val="20"/>
          <w:szCs w:val="20"/>
          <w:lang w:val="es-419" w:eastAsia="es-ES"/>
        </w:rPr>
        <w:t>distinto a los procesos declarativos, ninguna regla advierte de la posibilidad de presentar demanda de reconvención, que está restringida a aquellos, si se atiende el tenor del artículo 371 del CGP y su ubicación en el mismo estatuto. Y es que ello parece lógico, en la medida en que, allegado un documento que cumpla aquellas condiciones vertidas en el 422 del Código, al demandado incumbe enervar lo pretendido mediante el uso de defensas (excepciones) que den al traste con lo pretendido</w:t>
      </w:r>
      <w:r>
        <w:rPr>
          <w:rFonts w:ascii="Arial" w:eastAsia="Times New Roman" w:hAnsi="Arial" w:cs="Arial"/>
          <w:sz w:val="20"/>
          <w:szCs w:val="20"/>
          <w:lang w:val="es-419" w:eastAsia="es-ES"/>
        </w:rPr>
        <w:t>…</w:t>
      </w:r>
    </w:p>
    <w:p w14:paraId="1B9DD782" w14:textId="77777777" w:rsidR="001602C2" w:rsidRPr="001602C2" w:rsidRDefault="001602C2" w:rsidP="001602C2">
      <w:pPr>
        <w:spacing w:after="0" w:line="240" w:lineRule="auto"/>
        <w:jc w:val="both"/>
        <w:rPr>
          <w:rFonts w:ascii="Arial" w:eastAsia="Times New Roman" w:hAnsi="Arial" w:cs="Arial"/>
          <w:sz w:val="20"/>
          <w:szCs w:val="20"/>
          <w:lang w:val="es-ES" w:eastAsia="es-ES"/>
        </w:rPr>
      </w:pPr>
    </w:p>
    <w:p w14:paraId="5C133309" w14:textId="77777777" w:rsidR="001602C2" w:rsidRPr="001602C2" w:rsidRDefault="001602C2" w:rsidP="001602C2">
      <w:pPr>
        <w:spacing w:after="0" w:line="240" w:lineRule="auto"/>
        <w:jc w:val="both"/>
        <w:rPr>
          <w:rFonts w:ascii="Arial" w:eastAsia="Times New Roman" w:hAnsi="Arial" w:cs="Arial"/>
          <w:sz w:val="20"/>
          <w:szCs w:val="20"/>
          <w:lang w:val="es-ES" w:eastAsia="es-ES"/>
        </w:rPr>
      </w:pPr>
    </w:p>
    <w:bookmarkEnd w:id="0"/>
    <w:p w14:paraId="6799CBB7" w14:textId="77777777" w:rsidR="001602C2" w:rsidRPr="001602C2" w:rsidRDefault="001602C2" w:rsidP="001602C2">
      <w:pPr>
        <w:spacing w:after="0" w:line="240" w:lineRule="auto"/>
        <w:jc w:val="both"/>
        <w:rPr>
          <w:rFonts w:ascii="Arial" w:eastAsia="Times New Roman" w:hAnsi="Arial" w:cs="Arial"/>
          <w:sz w:val="20"/>
          <w:szCs w:val="20"/>
          <w:lang w:val="es-ES" w:eastAsia="es-ES"/>
        </w:rPr>
      </w:pPr>
    </w:p>
    <w:bookmarkEnd w:id="1"/>
    <w:p w14:paraId="1C3BEE41" w14:textId="77777777" w:rsidR="00EA705B" w:rsidRPr="00F825B6" w:rsidRDefault="00EA705B" w:rsidP="00774112">
      <w:pPr>
        <w:keepNext/>
        <w:overflowPunct w:val="0"/>
        <w:autoSpaceDE w:val="0"/>
        <w:autoSpaceDN w:val="0"/>
        <w:adjustRightInd w:val="0"/>
        <w:spacing w:after="0" w:line="276" w:lineRule="auto"/>
        <w:ind w:left="1701"/>
        <w:contextualSpacing/>
        <w:jc w:val="both"/>
        <w:outlineLvl w:val="0"/>
        <w:rPr>
          <w:rFonts w:ascii="Gadugi" w:eastAsia="Malgun Gothic" w:hAnsi="Gadugi" w:cs="Arial Narrow"/>
          <w:b/>
          <w:bCs/>
          <w:sz w:val="24"/>
          <w:szCs w:val="24"/>
          <w:lang w:val="es-419" w:eastAsia="es-ES"/>
        </w:rPr>
      </w:pPr>
      <w:r w:rsidRPr="00F825B6">
        <w:rPr>
          <w:rFonts w:ascii="Gadugi" w:eastAsia="Malgun Gothic" w:hAnsi="Gadugi" w:cs="Arial Narrow"/>
          <w:b/>
          <w:bCs/>
          <w:sz w:val="24"/>
          <w:szCs w:val="24"/>
          <w:lang w:val="es-419" w:eastAsia="es-ES"/>
        </w:rPr>
        <w:t>TRIBUNAL SUPERIOR DEL DISTRITO JUDICIAL</w:t>
      </w:r>
    </w:p>
    <w:p w14:paraId="183CE53A" w14:textId="77777777" w:rsidR="00EA705B" w:rsidRPr="00F825B6" w:rsidRDefault="00EA705B" w:rsidP="00774112">
      <w:pPr>
        <w:spacing w:after="0" w:line="276" w:lineRule="auto"/>
        <w:ind w:left="1701"/>
        <w:contextualSpacing/>
        <w:jc w:val="both"/>
        <w:rPr>
          <w:rFonts w:ascii="Gadugi" w:eastAsia="Malgun Gothic" w:hAnsi="Gadugi" w:cs="Estrangelo Edessa"/>
          <w:b/>
          <w:bCs/>
          <w:sz w:val="24"/>
          <w:szCs w:val="24"/>
          <w:lang w:val="es-419"/>
        </w:rPr>
      </w:pPr>
      <w:r w:rsidRPr="00F825B6">
        <w:rPr>
          <w:rFonts w:ascii="Gadugi" w:eastAsia="Malgun Gothic" w:hAnsi="Gadugi" w:cs="Estrangelo Edessa"/>
          <w:b/>
          <w:bCs/>
          <w:sz w:val="24"/>
          <w:szCs w:val="24"/>
          <w:lang w:val="es-419"/>
        </w:rPr>
        <w:t xml:space="preserve">         SALA DE DECISIÓN CIVIL-FAMILIA</w:t>
      </w:r>
    </w:p>
    <w:p w14:paraId="672A6659" w14:textId="6E4CADF4" w:rsidR="00EA705B" w:rsidRPr="00F825B6" w:rsidRDefault="00EA705B" w:rsidP="00774112">
      <w:pPr>
        <w:spacing w:after="0" w:line="276" w:lineRule="auto"/>
        <w:ind w:left="1701"/>
        <w:contextualSpacing/>
        <w:jc w:val="both"/>
        <w:rPr>
          <w:rFonts w:ascii="Gadugi" w:eastAsia="Malgun Gothic" w:hAnsi="Gadugi" w:cs="Estrangelo Edessa"/>
          <w:sz w:val="24"/>
          <w:szCs w:val="24"/>
          <w:lang w:val="es-419"/>
        </w:rPr>
      </w:pPr>
    </w:p>
    <w:p w14:paraId="79A18CBD" w14:textId="77777777" w:rsidR="00EA705B" w:rsidRPr="00F825B6" w:rsidRDefault="00EA705B" w:rsidP="00774112">
      <w:pPr>
        <w:tabs>
          <w:tab w:val="left" w:pos="3686"/>
        </w:tabs>
        <w:spacing w:after="0" w:line="276" w:lineRule="auto"/>
        <w:ind w:left="1701"/>
        <w:contextualSpacing/>
        <w:jc w:val="both"/>
        <w:rPr>
          <w:rFonts w:ascii="Gadugi" w:eastAsia="Malgun Gothic" w:hAnsi="Gadugi" w:cs="Estrangelo Edessa"/>
          <w:sz w:val="24"/>
          <w:szCs w:val="24"/>
          <w:lang w:val="es-419"/>
        </w:rPr>
      </w:pPr>
      <w:r w:rsidRPr="00F825B6">
        <w:rPr>
          <w:rFonts w:ascii="Gadugi" w:eastAsia="Malgun Gothic" w:hAnsi="Gadugi" w:cs="Estrangelo Edessa"/>
          <w:sz w:val="24"/>
          <w:szCs w:val="24"/>
          <w:lang w:val="es-419"/>
        </w:rPr>
        <w:t xml:space="preserve">Magistrado: </w:t>
      </w:r>
      <w:r w:rsidRPr="00F825B6">
        <w:rPr>
          <w:rFonts w:ascii="Gadugi" w:eastAsia="Malgun Gothic" w:hAnsi="Gadugi" w:cs="Estrangelo Edessa"/>
          <w:sz w:val="24"/>
          <w:szCs w:val="24"/>
          <w:lang w:val="es-419"/>
        </w:rPr>
        <w:tab/>
        <w:t>Jaime Alberto Saraza Naranjo</w:t>
      </w:r>
    </w:p>
    <w:p w14:paraId="2D2A620C" w14:textId="53A3DDEC" w:rsidR="00BF0B2C" w:rsidRPr="00F825B6" w:rsidRDefault="00EA705B" w:rsidP="00774112">
      <w:pPr>
        <w:tabs>
          <w:tab w:val="left" w:pos="3686"/>
          <w:tab w:val="left" w:pos="4536"/>
        </w:tabs>
        <w:spacing w:after="0" w:line="276" w:lineRule="auto"/>
        <w:ind w:left="1701"/>
        <w:contextualSpacing/>
        <w:jc w:val="both"/>
        <w:rPr>
          <w:rFonts w:ascii="Gadugi" w:eastAsia="Malgun Gothic" w:hAnsi="Gadugi" w:cs="Estrangelo Edessa"/>
          <w:sz w:val="24"/>
          <w:szCs w:val="24"/>
          <w:lang w:val="es-419"/>
        </w:rPr>
      </w:pPr>
      <w:r w:rsidRPr="00F825B6">
        <w:rPr>
          <w:rFonts w:ascii="Gadugi" w:eastAsia="Malgun Gothic" w:hAnsi="Gadugi" w:cs="Estrangelo Edessa"/>
          <w:sz w:val="24"/>
          <w:szCs w:val="24"/>
          <w:lang w:val="es-419"/>
        </w:rPr>
        <w:t>Pereira,</w:t>
      </w:r>
      <w:r w:rsidR="00774112" w:rsidRPr="00F825B6">
        <w:rPr>
          <w:rFonts w:ascii="Gadugi" w:eastAsia="Malgun Gothic" w:hAnsi="Gadugi" w:cs="Estrangelo Edessa"/>
          <w:sz w:val="24"/>
          <w:szCs w:val="24"/>
          <w:lang w:val="es-419"/>
        </w:rPr>
        <w:tab/>
      </w:r>
      <w:r w:rsidR="003A3D3E" w:rsidRPr="00F825B6">
        <w:rPr>
          <w:rFonts w:ascii="Gadugi" w:eastAsia="Malgun Gothic" w:hAnsi="Gadugi" w:cs="Estrangelo Edessa"/>
          <w:sz w:val="24"/>
          <w:szCs w:val="24"/>
          <w:lang w:val="es-419"/>
        </w:rPr>
        <w:t>marzo siete de dos mil veintidós</w:t>
      </w:r>
      <w:r w:rsidR="004B2814" w:rsidRPr="00F825B6">
        <w:rPr>
          <w:rFonts w:ascii="Gadugi" w:eastAsia="Malgun Gothic" w:hAnsi="Gadugi" w:cs="Estrangelo Edessa"/>
          <w:sz w:val="24"/>
          <w:szCs w:val="24"/>
          <w:lang w:val="es-419"/>
        </w:rPr>
        <w:t xml:space="preserve"> </w:t>
      </w:r>
    </w:p>
    <w:p w14:paraId="6E814D43" w14:textId="026329B6" w:rsidR="009D7460" w:rsidRPr="00F825B6" w:rsidRDefault="009D7460" w:rsidP="00774112">
      <w:pPr>
        <w:tabs>
          <w:tab w:val="left" w:pos="3686"/>
          <w:tab w:val="left" w:pos="4536"/>
        </w:tabs>
        <w:spacing w:after="0" w:line="276" w:lineRule="auto"/>
        <w:ind w:left="1701"/>
        <w:contextualSpacing/>
        <w:jc w:val="both"/>
        <w:rPr>
          <w:rFonts w:ascii="Gadugi" w:eastAsia="Malgun Gothic" w:hAnsi="Gadugi" w:cs="Estrangelo Edessa"/>
          <w:sz w:val="24"/>
          <w:szCs w:val="24"/>
        </w:rPr>
      </w:pPr>
      <w:r w:rsidRPr="00F825B6">
        <w:rPr>
          <w:rFonts w:ascii="Gadugi" w:eastAsia="Malgun Gothic" w:hAnsi="Gadugi" w:cs="Estrangelo Edessa"/>
          <w:sz w:val="24"/>
          <w:szCs w:val="24"/>
        </w:rPr>
        <w:t>Auto No.</w:t>
      </w:r>
      <w:r w:rsidR="007C042B" w:rsidRPr="00F825B6">
        <w:rPr>
          <w:rFonts w:ascii="Gadugi" w:eastAsia="Malgun Gothic" w:hAnsi="Gadugi" w:cs="Estrangelo Edessa"/>
          <w:sz w:val="24"/>
          <w:szCs w:val="24"/>
        </w:rPr>
        <w:tab/>
        <w:t>AC-</w:t>
      </w:r>
      <w:r w:rsidR="000816AB" w:rsidRPr="00F825B6">
        <w:rPr>
          <w:rFonts w:ascii="Gadugi" w:eastAsia="Malgun Gothic" w:hAnsi="Gadugi" w:cs="Estrangelo Edessa"/>
          <w:sz w:val="24"/>
          <w:szCs w:val="24"/>
        </w:rPr>
        <w:t>00</w:t>
      </w:r>
      <w:r w:rsidR="007C042B" w:rsidRPr="00F825B6">
        <w:rPr>
          <w:rFonts w:ascii="Gadugi" w:eastAsia="Malgun Gothic" w:hAnsi="Gadugi" w:cs="Estrangelo Edessa"/>
          <w:sz w:val="24"/>
          <w:szCs w:val="24"/>
        </w:rPr>
        <w:t>37-2022</w:t>
      </w:r>
    </w:p>
    <w:p w14:paraId="00A8F996" w14:textId="77777777" w:rsidR="009D7460" w:rsidRPr="00F825B6" w:rsidRDefault="009D7460" w:rsidP="00774112">
      <w:pPr>
        <w:tabs>
          <w:tab w:val="left" w:pos="3686"/>
          <w:tab w:val="left" w:pos="4536"/>
        </w:tabs>
        <w:spacing w:after="0" w:line="276" w:lineRule="auto"/>
        <w:ind w:left="1701"/>
        <w:contextualSpacing/>
        <w:jc w:val="both"/>
        <w:rPr>
          <w:rFonts w:ascii="Gadugi" w:eastAsia="Malgun Gothic" w:hAnsi="Gadugi" w:cs="Estrangelo Edessa"/>
          <w:sz w:val="24"/>
          <w:szCs w:val="24"/>
        </w:rPr>
      </w:pPr>
    </w:p>
    <w:p w14:paraId="32CE6297" w14:textId="216E1A31" w:rsidR="00F33C75" w:rsidRPr="00F825B6" w:rsidRDefault="00EA705B" w:rsidP="00774112">
      <w:pPr>
        <w:tabs>
          <w:tab w:val="left" w:pos="3686"/>
          <w:tab w:val="left" w:pos="4536"/>
        </w:tabs>
        <w:spacing w:after="0" w:line="276" w:lineRule="auto"/>
        <w:ind w:firstLine="1701"/>
        <w:contextualSpacing/>
        <w:jc w:val="both"/>
        <w:rPr>
          <w:rFonts w:ascii="Gadugi" w:eastAsia="Malgun Gothic" w:hAnsi="Gadugi" w:cs="Estrangelo Edessa"/>
          <w:b/>
          <w:sz w:val="24"/>
          <w:szCs w:val="24"/>
          <w:lang w:val="es-419"/>
        </w:rPr>
      </w:pPr>
      <w:r w:rsidRPr="00F825B6">
        <w:rPr>
          <w:rFonts w:ascii="Gadugi" w:eastAsia="Malgun Gothic" w:hAnsi="Gadugi" w:cs="Estrangelo Edessa"/>
          <w:sz w:val="24"/>
          <w:szCs w:val="24"/>
        </w:rPr>
        <w:t xml:space="preserve">Resuelve la Sala el recurso de apelación interpuesto por </w:t>
      </w:r>
      <w:r w:rsidR="003A3D3E" w:rsidRPr="00F825B6">
        <w:rPr>
          <w:rFonts w:ascii="Gadugi" w:eastAsia="Malgun Gothic" w:hAnsi="Gadugi" w:cs="Estrangelo Edessa"/>
          <w:sz w:val="24"/>
          <w:szCs w:val="24"/>
        </w:rPr>
        <w:t xml:space="preserve">el ejecutado, contra el auto del 29 de julio de 2021, </w:t>
      </w:r>
      <w:r w:rsidR="00F33C75" w:rsidRPr="00F825B6">
        <w:rPr>
          <w:rFonts w:ascii="Gadugi" w:eastAsia="Malgun Gothic" w:hAnsi="Gadugi" w:cs="Estrangelo Edessa"/>
          <w:sz w:val="24"/>
          <w:szCs w:val="24"/>
        </w:rPr>
        <w:t xml:space="preserve">proferido por el Juzgado </w:t>
      </w:r>
      <w:r w:rsidR="003A3D3E" w:rsidRPr="00F825B6">
        <w:rPr>
          <w:rFonts w:ascii="Gadugi" w:eastAsia="Malgun Gothic" w:hAnsi="Gadugi" w:cs="Estrangelo Edessa"/>
          <w:sz w:val="24"/>
          <w:szCs w:val="24"/>
        </w:rPr>
        <w:t xml:space="preserve">Cuarto </w:t>
      </w:r>
      <w:r w:rsidR="00F33C75" w:rsidRPr="00F825B6">
        <w:rPr>
          <w:rFonts w:ascii="Gadugi" w:eastAsia="Malgun Gothic" w:hAnsi="Gadugi" w:cs="Estrangelo Edessa"/>
          <w:sz w:val="24"/>
          <w:szCs w:val="24"/>
        </w:rPr>
        <w:t xml:space="preserve">Civil del Circuito de </w:t>
      </w:r>
      <w:r w:rsidR="003A3D3E" w:rsidRPr="00F825B6">
        <w:rPr>
          <w:rFonts w:ascii="Gadugi" w:eastAsia="Malgun Gothic" w:hAnsi="Gadugi" w:cs="Estrangelo Edessa"/>
          <w:sz w:val="24"/>
          <w:szCs w:val="24"/>
        </w:rPr>
        <w:t xml:space="preserve">Pereira, en este </w:t>
      </w:r>
      <w:r w:rsidR="00F33C75" w:rsidRPr="00F825B6">
        <w:rPr>
          <w:rFonts w:ascii="Gadugi" w:eastAsia="Malgun Gothic" w:hAnsi="Gadugi" w:cs="Estrangelo Edessa"/>
          <w:sz w:val="24"/>
          <w:szCs w:val="24"/>
        </w:rPr>
        <w:t xml:space="preserve">en este proceso </w:t>
      </w:r>
      <w:r w:rsidR="003A3D3E" w:rsidRPr="00F825B6">
        <w:rPr>
          <w:rFonts w:ascii="Gadugi" w:eastAsia="Malgun Gothic" w:hAnsi="Gadugi" w:cs="Estrangelo Edessa"/>
          <w:sz w:val="24"/>
          <w:szCs w:val="24"/>
        </w:rPr>
        <w:t xml:space="preserve">ejecutivo iniciado por </w:t>
      </w:r>
      <w:r w:rsidR="003A3D3E" w:rsidRPr="00F825B6">
        <w:rPr>
          <w:rFonts w:ascii="Gadugi" w:eastAsia="Malgun Gothic" w:hAnsi="Gadugi" w:cs="Estrangelo Edessa"/>
          <w:b/>
          <w:sz w:val="24"/>
          <w:szCs w:val="24"/>
        </w:rPr>
        <w:t>Mig</w:t>
      </w:r>
      <w:r w:rsidR="007C042B" w:rsidRPr="00F825B6">
        <w:rPr>
          <w:rFonts w:ascii="Gadugi" w:eastAsia="Malgun Gothic" w:hAnsi="Gadugi" w:cs="Estrangelo Edessa"/>
          <w:b/>
          <w:sz w:val="24"/>
          <w:szCs w:val="24"/>
        </w:rPr>
        <w:t>u</w:t>
      </w:r>
      <w:r w:rsidR="003A3D3E" w:rsidRPr="00F825B6">
        <w:rPr>
          <w:rFonts w:ascii="Gadugi" w:eastAsia="Malgun Gothic" w:hAnsi="Gadugi" w:cs="Estrangelo Edessa"/>
          <w:b/>
          <w:sz w:val="24"/>
          <w:szCs w:val="24"/>
        </w:rPr>
        <w:t xml:space="preserve">el Ángel Giraldo </w:t>
      </w:r>
      <w:proofErr w:type="spellStart"/>
      <w:r w:rsidR="003A3D3E" w:rsidRPr="00F825B6">
        <w:rPr>
          <w:rFonts w:ascii="Gadugi" w:eastAsia="Malgun Gothic" w:hAnsi="Gadugi" w:cs="Estrangelo Edessa"/>
          <w:b/>
          <w:sz w:val="24"/>
          <w:szCs w:val="24"/>
        </w:rPr>
        <w:t>Giraldo</w:t>
      </w:r>
      <w:proofErr w:type="spellEnd"/>
      <w:r w:rsidR="003A3D3E" w:rsidRPr="00F825B6">
        <w:rPr>
          <w:rFonts w:ascii="Gadugi" w:eastAsia="Malgun Gothic" w:hAnsi="Gadugi" w:cs="Estrangelo Edessa"/>
          <w:sz w:val="24"/>
          <w:szCs w:val="24"/>
        </w:rPr>
        <w:t xml:space="preserve"> frente a </w:t>
      </w:r>
      <w:r w:rsidR="003A3D3E" w:rsidRPr="00F825B6">
        <w:rPr>
          <w:rFonts w:ascii="Gadugi" w:eastAsia="Malgun Gothic" w:hAnsi="Gadugi" w:cs="Estrangelo Edessa"/>
          <w:b/>
          <w:sz w:val="24"/>
          <w:szCs w:val="24"/>
        </w:rPr>
        <w:t>Héctor Jaime Giraldo Duque</w:t>
      </w:r>
      <w:r w:rsidR="003A3D3E" w:rsidRPr="00F825B6">
        <w:rPr>
          <w:rFonts w:ascii="Gadugi" w:eastAsia="Malgun Gothic" w:hAnsi="Gadugi" w:cs="Estrangelo Edessa"/>
          <w:sz w:val="24"/>
          <w:szCs w:val="24"/>
        </w:rPr>
        <w:t>.</w:t>
      </w:r>
    </w:p>
    <w:p w14:paraId="5A93E2A6" w14:textId="766AF170" w:rsidR="00F33C75" w:rsidRPr="00F825B6" w:rsidRDefault="00F33C75" w:rsidP="00774112">
      <w:pPr>
        <w:tabs>
          <w:tab w:val="left" w:pos="3686"/>
          <w:tab w:val="left" w:pos="4536"/>
        </w:tabs>
        <w:spacing w:after="0" w:line="276" w:lineRule="auto"/>
        <w:ind w:left="1701"/>
        <w:contextualSpacing/>
        <w:jc w:val="both"/>
        <w:rPr>
          <w:rFonts w:ascii="Gadugi" w:eastAsia="Malgun Gothic" w:hAnsi="Gadugi" w:cs="Estrangelo Edessa"/>
          <w:sz w:val="24"/>
          <w:szCs w:val="24"/>
          <w:lang w:val="es-419"/>
        </w:rPr>
      </w:pPr>
    </w:p>
    <w:p w14:paraId="0F10BAA5" w14:textId="77777777" w:rsidR="00EA705B" w:rsidRPr="00F825B6" w:rsidRDefault="00EA705B" w:rsidP="00774112">
      <w:pPr>
        <w:pStyle w:val="Prrafodelista"/>
        <w:spacing w:after="0" w:line="276" w:lineRule="auto"/>
        <w:ind w:left="1701"/>
        <w:jc w:val="both"/>
        <w:rPr>
          <w:rFonts w:ascii="Gadugi" w:eastAsia="Malgun Gothic" w:hAnsi="Gadugi" w:cs="Estrangelo Edessa"/>
          <w:b/>
          <w:sz w:val="24"/>
          <w:szCs w:val="24"/>
        </w:rPr>
      </w:pPr>
      <w:r w:rsidRPr="00F825B6">
        <w:rPr>
          <w:rFonts w:ascii="Gadugi" w:eastAsia="Malgun Gothic" w:hAnsi="Gadugi" w:cs="Estrangelo Edessa"/>
          <w:b/>
          <w:sz w:val="24"/>
          <w:szCs w:val="24"/>
        </w:rPr>
        <w:t>ANTECEDENTES</w:t>
      </w:r>
    </w:p>
    <w:p w14:paraId="427773D3" w14:textId="77777777" w:rsidR="00F33C75" w:rsidRPr="00F825B6" w:rsidRDefault="00F33C75" w:rsidP="00774112">
      <w:pPr>
        <w:spacing w:after="0" w:line="276" w:lineRule="auto"/>
        <w:ind w:firstLine="1701"/>
        <w:contextualSpacing/>
        <w:jc w:val="both"/>
        <w:rPr>
          <w:rFonts w:ascii="Gadugi" w:eastAsia="Malgun Gothic" w:hAnsi="Gadugi" w:cs="Estrangelo Edessa"/>
          <w:sz w:val="24"/>
          <w:szCs w:val="24"/>
        </w:rPr>
      </w:pPr>
    </w:p>
    <w:p w14:paraId="011BE5C8" w14:textId="17EF7D5B" w:rsidR="003A3D3E" w:rsidRPr="00F825B6" w:rsidRDefault="00F33C75" w:rsidP="00774112">
      <w:pPr>
        <w:tabs>
          <w:tab w:val="left" w:pos="3686"/>
          <w:tab w:val="left" w:pos="4536"/>
        </w:tabs>
        <w:spacing w:after="0" w:line="276" w:lineRule="auto"/>
        <w:ind w:firstLine="1701"/>
        <w:contextualSpacing/>
        <w:jc w:val="both"/>
        <w:rPr>
          <w:rFonts w:ascii="Gadugi" w:eastAsia="Malgun Gothic" w:hAnsi="Gadugi" w:cs="Estrangelo Edessa"/>
          <w:sz w:val="24"/>
          <w:szCs w:val="24"/>
        </w:rPr>
      </w:pPr>
      <w:r w:rsidRPr="00F825B6">
        <w:rPr>
          <w:rFonts w:ascii="Gadugi" w:eastAsia="Malgun Gothic" w:hAnsi="Gadugi" w:cs="Estrangelo Edessa"/>
          <w:sz w:val="24"/>
          <w:szCs w:val="24"/>
        </w:rPr>
        <w:t xml:space="preserve">En el referido </w:t>
      </w:r>
      <w:r w:rsidR="003A3D3E" w:rsidRPr="00F825B6">
        <w:rPr>
          <w:rFonts w:ascii="Gadugi" w:eastAsia="Malgun Gothic" w:hAnsi="Gadugi" w:cs="Estrangelo Edessa"/>
          <w:sz w:val="24"/>
          <w:szCs w:val="24"/>
        </w:rPr>
        <w:t>proceso, Mig</w:t>
      </w:r>
      <w:r w:rsidR="007C042B" w:rsidRPr="00F825B6">
        <w:rPr>
          <w:rFonts w:ascii="Gadugi" w:eastAsia="Malgun Gothic" w:hAnsi="Gadugi" w:cs="Estrangelo Edessa"/>
          <w:sz w:val="24"/>
          <w:szCs w:val="24"/>
        </w:rPr>
        <w:t>u</w:t>
      </w:r>
      <w:r w:rsidR="003A3D3E" w:rsidRPr="00F825B6">
        <w:rPr>
          <w:rFonts w:ascii="Gadugi" w:eastAsia="Malgun Gothic" w:hAnsi="Gadugi" w:cs="Estrangelo Edessa"/>
          <w:sz w:val="24"/>
          <w:szCs w:val="24"/>
        </w:rPr>
        <w:t xml:space="preserve">el Ángel Giraldo </w:t>
      </w:r>
      <w:proofErr w:type="spellStart"/>
      <w:r w:rsidR="003A3D3E" w:rsidRPr="00F825B6">
        <w:rPr>
          <w:rFonts w:ascii="Gadugi" w:eastAsia="Malgun Gothic" w:hAnsi="Gadugi" w:cs="Estrangelo Edessa"/>
          <w:sz w:val="24"/>
          <w:szCs w:val="24"/>
        </w:rPr>
        <w:t>Giraldo</w:t>
      </w:r>
      <w:proofErr w:type="spellEnd"/>
      <w:r w:rsidR="003A3D3E" w:rsidRPr="00F825B6">
        <w:rPr>
          <w:rFonts w:ascii="Gadugi" w:eastAsia="Malgun Gothic" w:hAnsi="Gadugi" w:cs="Estrangelo Edessa"/>
          <w:sz w:val="24"/>
          <w:szCs w:val="24"/>
        </w:rPr>
        <w:t xml:space="preserve"> demandó a Héctor Jaime Giraldo Duque, con el fin de obtener por la vía coercitiva el pago de unas sumas de dinero. </w:t>
      </w:r>
    </w:p>
    <w:p w14:paraId="24AF19B8" w14:textId="6C7A5FF6" w:rsidR="003A3D3E" w:rsidRPr="00F825B6" w:rsidRDefault="003A3D3E" w:rsidP="00774112">
      <w:pPr>
        <w:tabs>
          <w:tab w:val="left" w:pos="3686"/>
          <w:tab w:val="left" w:pos="4536"/>
        </w:tabs>
        <w:spacing w:after="0" w:line="276" w:lineRule="auto"/>
        <w:ind w:firstLine="1701"/>
        <w:contextualSpacing/>
        <w:jc w:val="both"/>
        <w:rPr>
          <w:rFonts w:ascii="Gadugi" w:eastAsia="Malgun Gothic" w:hAnsi="Gadugi" w:cs="Estrangelo Edessa"/>
          <w:sz w:val="24"/>
          <w:szCs w:val="24"/>
          <w:lang w:val="es-419"/>
        </w:rPr>
      </w:pPr>
    </w:p>
    <w:p w14:paraId="0B598B1C" w14:textId="698163C4" w:rsidR="003A3D3E" w:rsidRPr="00F825B6" w:rsidRDefault="003A3D3E" w:rsidP="00774112">
      <w:pPr>
        <w:tabs>
          <w:tab w:val="left" w:pos="3686"/>
          <w:tab w:val="left" w:pos="4536"/>
        </w:tabs>
        <w:spacing w:after="0" w:line="276" w:lineRule="auto"/>
        <w:ind w:firstLine="1701"/>
        <w:contextualSpacing/>
        <w:jc w:val="both"/>
        <w:rPr>
          <w:rFonts w:ascii="Gadugi" w:eastAsia="Malgun Gothic" w:hAnsi="Gadugi" w:cs="Estrangelo Edessa"/>
          <w:sz w:val="24"/>
          <w:szCs w:val="24"/>
          <w:lang w:val="es-419"/>
        </w:rPr>
      </w:pPr>
      <w:r w:rsidRPr="00F825B6">
        <w:rPr>
          <w:rFonts w:ascii="Gadugi" w:eastAsia="Malgun Gothic" w:hAnsi="Gadugi" w:cs="Estrangelo Edessa"/>
          <w:sz w:val="24"/>
          <w:szCs w:val="24"/>
          <w:lang w:val="es-419"/>
        </w:rPr>
        <w:lastRenderedPageBreak/>
        <w:t>Enterado del mandamiento ejecutivo, durante el término para proponer excepciones, el ejecutado presentó demanda de reconvención</w:t>
      </w:r>
      <w:r w:rsidR="00FC33F9" w:rsidRPr="00F825B6">
        <w:rPr>
          <w:rStyle w:val="Refdenotaalpie"/>
          <w:rFonts w:ascii="Gadugi" w:eastAsia="Malgun Gothic" w:hAnsi="Gadugi" w:cs="Estrangelo Edessa"/>
          <w:sz w:val="24"/>
          <w:szCs w:val="24"/>
          <w:lang w:val="es-419"/>
        </w:rPr>
        <w:footnoteReference w:id="2"/>
      </w:r>
      <w:r w:rsidRPr="00F825B6">
        <w:rPr>
          <w:rFonts w:ascii="Gadugi" w:eastAsia="Malgun Gothic" w:hAnsi="Gadugi" w:cs="Estrangelo Edessa"/>
          <w:sz w:val="24"/>
          <w:szCs w:val="24"/>
          <w:lang w:val="es-419"/>
        </w:rPr>
        <w:t xml:space="preserve">, también con el propósito de su ejecutante le pagara unas cantidades de dinero. </w:t>
      </w:r>
    </w:p>
    <w:p w14:paraId="23DD5150" w14:textId="54A52AE0" w:rsidR="00FC33F9" w:rsidRPr="00F825B6" w:rsidRDefault="00FC33F9" w:rsidP="00774112">
      <w:pPr>
        <w:tabs>
          <w:tab w:val="left" w:pos="3686"/>
          <w:tab w:val="left" w:pos="4536"/>
        </w:tabs>
        <w:spacing w:after="0" w:line="276" w:lineRule="auto"/>
        <w:ind w:firstLine="1701"/>
        <w:contextualSpacing/>
        <w:jc w:val="both"/>
        <w:rPr>
          <w:rFonts w:ascii="Gadugi" w:eastAsia="Malgun Gothic" w:hAnsi="Gadugi" w:cs="Estrangelo Edessa"/>
          <w:sz w:val="24"/>
          <w:szCs w:val="24"/>
          <w:lang w:val="es-419"/>
        </w:rPr>
      </w:pPr>
    </w:p>
    <w:p w14:paraId="7FFA7C5C" w14:textId="59A8BE56" w:rsidR="00D171F0" w:rsidRPr="00F825B6" w:rsidRDefault="00FC33F9" w:rsidP="00774112">
      <w:pPr>
        <w:tabs>
          <w:tab w:val="left" w:pos="3686"/>
          <w:tab w:val="left" w:pos="4536"/>
        </w:tabs>
        <w:spacing w:after="0" w:line="276" w:lineRule="auto"/>
        <w:ind w:firstLine="1701"/>
        <w:contextualSpacing/>
        <w:jc w:val="both"/>
        <w:rPr>
          <w:rFonts w:ascii="Gadugi" w:eastAsia="Malgun Gothic" w:hAnsi="Gadugi" w:cs="Estrangelo Edessa"/>
          <w:sz w:val="24"/>
          <w:szCs w:val="24"/>
          <w:lang w:val="es-419"/>
        </w:rPr>
      </w:pPr>
      <w:r w:rsidRPr="00F825B6">
        <w:rPr>
          <w:rFonts w:ascii="Gadugi" w:eastAsia="Malgun Gothic" w:hAnsi="Gadugi" w:cs="Estrangelo Edessa"/>
          <w:sz w:val="24"/>
          <w:szCs w:val="24"/>
          <w:lang w:val="es-419"/>
        </w:rPr>
        <w:t>Como quiera que el Juzgado no advirtió que se envió dicha demanda, con auto del 20 de mayo de 2021</w:t>
      </w:r>
      <w:r w:rsidRPr="00F825B6">
        <w:rPr>
          <w:rStyle w:val="Refdenotaalpie"/>
          <w:rFonts w:ascii="Gadugi" w:eastAsia="Malgun Gothic" w:hAnsi="Gadugi" w:cs="Estrangelo Edessa"/>
          <w:sz w:val="24"/>
          <w:szCs w:val="24"/>
          <w:lang w:val="es-419"/>
        </w:rPr>
        <w:footnoteReference w:id="3"/>
      </w:r>
      <w:r w:rsidRPr="00F825B6">
        <w:rPr>
          <w:rFonts w:ascii="Gadugi" w:eastAsia="Malgun Gothic" w:hAnsi="Gadugi" w:cs="Estrangelo Edessa"/>
          <w:sz w:val="24"/>
          <w:szCs w:val="24"/>
          <w:lang w:val="es-419"/>
        </w:rPr>
        <w:t xml:space="preserve"> señaló fecha para llevar a cabo la audiencia de que trata el art</w:t>
      </w:r>
      <w:r w:rsidR="00C21E69" w:rsidRPr="00F825B6">
        <w:rPr>
          <w:rFonts w:ascii="Gadugi" w:eastAsia="Malgun Gothic" w:hAnsi="Gadugi" w:cs="Estrangelo Edessa"/>
          <w:sz w:val="24"/>
          <w:szCs w:val="24"/>
          <w:lang w:val="es-419"/>
        </w:rPr>
        <w:t>í</w:t>
      </w:r>
      <w:r w:rsidRPr="00F825B6">
        <w:rPr>
          <w:rFonts w:ascii="Gadugi" w:eastAsia="Malgun Gothic" w:hAnsi="Gadugi" w:cs="Estrangelo Edessa"/>
          <w:sz w:val="24"/>
          <w:szCs w:val="24"/>
          <w:lang w:val="es-419"/>
        </w:rPr>
        <w:t>culo 372 del CGP; providencia recurrida por el demandado</w:t>
      </w:r>
      <w:r w:rsidRPr="00F825B6">
        <w:rPr>
          <w:rStyle w:val="Refdenotaalpie"/>
          <w:rFonts w:ascii="Gadugi" w:eastAsia="Malgun Gothic" w:hAnsi="Gadugi" w:cs="Estrangelo Edessa"/>
          <w:sz w:val="24"/>
          <w:szCs w:val="24"/>
          <w:lang w:val="es-419"/>
        </w:rPr>
        <w:footnoteReference w:id="4"/>
      </w:r>
      <w:r w:rsidRPr="00F825B6">
        <w:rPr>
          <w:rFonts w:ascii="Gadugi" w:eastAsia="Malgun Gothic" w:hAnsi="Gadugi" w:cs="Estrangelo Edessa"/>
          <w:sz w:val="24"/>
          <w:szCs w:val="24"/>
          <w:lang w:val="es-419"/>
        </w:rPr>
        <w:t xml:space="preserve"> en reposición</w:t>
      </w:r>
      <w:r w:rsidR="00C21E69" w:rsidRPr="00F825B6">
        <w:rPr>
          <w:rFonts w:ascii="Gadugi" w:eastAsia="Malgun Gothic" w:hAnsi="Gadugi" w:cs="Estrangelo Edessa"/>
          <w:sz w:val="24"/>
          <w:szCs w:val="24"/>
          <w:lang w:val="es-419"/>
        </w:rPr>
        <w:t>, que fue resuelta</w:t>
      </w:r>
      <w:r w:rsidRPr="00F825B6">
        <w:rPr>
          <w:rFonts w:ascii="Gadugi" w:eastAsia="Malgun Gothic" w:hAnsi="Gadugi" w:cs="Estrangelo Edessa"/>
          <w:sz w:val="24"/>
          <w:szCs w:val="24"/>
          <w:lang w:val="es-419"/>
        </w:rPr>
        <w:t xml:space="preserve"> desfavorablemente</w:t>
      </w:r>
      <w:r w:rsidRPr="00F825B6">
        <w:rPr>
          <w:rStyle w:val="Refdenotaalpie"/>
          <w:rFonts w:ascii="Gadugi" w:eastAsia="Malgun Gothic" w:hAnsi="Gadugi" w:cs="Estrangelo Edessa"/>
          <w:sz w:val="24"/>
          <w:szCs w:val="24"/>
          <w:lang w:val="es-419"/>
        </w:rPr>
        <w:footnoteReference w:id="5"/>
      </w:r>
      <w:r w:rsidR="00C21E69" w:rsidRPr="00F825B6">
        <w:rPr>
          <w:rFonts w:ascii="Gadugi" w:eastAsia="Malgun Gothic" w:hAnsi="Gadugi" w:cs="Estrangelo Edessa"/>
          <w:sz w:val="24"/>
          <w:szCs w:val="24"/>
          <w:lang w:val="es-419"/>
        </w:rPr>
        <w:t>, en atención a que, para el juzga</w:t>
      </w:r>
      <w:r w:rsidR="00D171F0" w:rsidRPr="00F825B6">
        <w:rPr>
          <w:rFonts w:ascii="Gadugi" w:eastAsia="Malgun Gothic" w:hAnsi="Gadugi" w:cs="Estrangelo Edessa"/>
          <w:sz w:val="24"/>
          <w:szCs w:val="24"/>
          <w:lang w:val="es-419"/>
        </w:rPr>
        <w:t>do</w:t>
      </w:r>
      <w:r w:rsidR="00C21E69" w:rsidRPr="00F825B6">
        <w:rPr>
          <w:rFonts w:ascii="Gadugi" w:eastAsia="Malgun Gothic" w:hAnsi="Gadugi" w:cs="Estrangelo Edessa"/>
          <w:sz w:val="24"/>
          <w:szCs w:val="24"/>
          <w:lang w:val="es-419"/>
        </w:rPr>
        <w:t xml:space="preserve">, </w:t>
      </w:r>
      <w:r w:rsidR="00D171F0" w:rsidRPr="00F825B6">
        <w:rPr>
          <w:rFonts w:ascii="Gadugi" w:eastAsia="Malgun Gothic" w:hAnsi="Gadugi" w:cs="Estrangelo Edessa"/>
          <w:sz w:val="24"/>
          <w:szCs w:val="24"/>
          <w:lang w:val="es-419"/>
        </w:rPr>
        <w:t xml:space="preserve">la reconvención es improcedente en los procesos </w:t>
      </w:r>
      <w:r w:rsidR="00C21E69" w:rsidRPr="00F825B6">
        <w:rPr>
          <w:rFonts w:ascii="Gadugi" w:eastAsia="Malgun Gothic" w:hAnsi="Gadugi" w:cs="Estrangelo Edessa"/>
          <w:sz w:val="24"/>
          <w:szCs w:val="24"/>
          <w:lang w:val="es-419"/>
        </w:rPr>
        <w:t>ejecutivo</w:t>
      </w:r>
      <w:r w:rsidR="00D171F0" w:rsidRPr="00F825B6">
        <w:rPr>
          <w:rFonts w:ascii="Gadugi" w:eastAsia="Malgun Gothic" w:hAnsi="Gadugi" w:cs="Estrangelo Edessa"/>
          <w:sz w:val="24"/>
          <w:szCs w:val="24"/>
          <w:lang w:val="es-419"/>
        </w:rPr>
        <w:t xml:space="preserve">s. </w:t>
      </w:r>
    </w:p>
    <w:p w14:paraId="5CD01725" w14:textId="77777777" w:rsidR="00D171F0" w:rsidRPr="00F825B6" w:rsidRDefault="00D171F0" w:rsidP="00774112">
      <w:pPr>
        <w:tabs>
          <w:tab w:val="left" w:pos="3686"/>
          <w:tab w:val="left" w:pos="4536"/>
        </w:tabs>
        <w:spacing w:after="0" w:line="276" w:lineRule="auto"/>
        <w:ind w:firstLine="1701"/>
        <w:contextualSpacing/>
        <w:jc w:val="both"/>
        <w:rPr>
          <w:rFonts w:ascii="Gadugi" w:eastAsia="Malgun Gothic" w:hAnsi="Gadugi" w:cs="Estrangelo Edessa"/>
          <w:sz w:val="24"/>
          <w:szCs w:val="24"/>
          <w:lang w:val="es-419"/>
        </w:rPr>
      </w:pPr>
    </w:p>
    <w:p w14:paraId="0F9CE5C5" w14:textId="399ABE83" w:rsidR="00FC33F9" w:rsidRPr="00F825B6" w:rsidRDefault="00D171F0" w:rsidP="00774112">
      <w:pPr>
        <w:tabs>
          <w:tab w:val="left" w:pos="3686"/>
          <w:tab w:val="left" w:pos="4536"/>
        </w:tabs>
        <w:spacing w:after="0" w:line="276" w:lineRule="auto"/>
        <w:ind w:firstLine="1701"/>
        <w:contextualSpacing/>
        <w:jc w:val="both"/>
        <w:rPr>
          <w:rFonts w:ascii="Gadugi" w:eastAsia="Malgun Gothic" w:hAnsi="Gadugi" w:cs="Estrangelo Edessa"/>
          <w:sz w:val="24"/>
          <w:szCs w:val="24"/>
          <w:lang w:val="es-419"/>
        </w:rPr>
      </w:pPr>
      <w:r w:rsidRPr="00F825B6">
        <w:rPr>
          <w:rFonts w:ascii="Gadugi" w:eastAsia="Malgun Gothic" w:hAnsi="Gadugi" w:cs="Estrangelo Edessa"/>
          <w:sz w:val="24"/>
          <w:szCs w:val="24"/>
          <w:lang w:val="es-419"/>
        </w:rPr>
        <w:t>Nuevamente recurrió el afectado, esta vez en reposición y, en subsidio, apelación</w:t>
      </w:r>
      <w:r w:rsidRPr="00F825B6">
        <w:rPr>
          <w:rStyle w:val="Refdenotaalpie"/>
          <w:rFonts w:ascii="Gadugi" w:eastAsia="Malgun Gothic" w:hAnsi="Gadugi" w:cs="Estrangelo Edessa"/>
          <w:sz w:val="24"/>
          <w:szCs w:val="24"/>
          <w:lang w:val="es-419"/>
        </w:rPr>
        <w:footnoteReference w:id="6"/>
      </w:r>
      <w:r w:rsidRPr="00F825B6">
        <w:rPr>
          <w:rFonts w:ascii="Gadugi" w:eastAsia="Malgun Gothic" w:hAnsi="Gadugi" w:cs="Estrangelo Edessa"/>
          <w:sz w:val="24"/>
          <w:szCs w:val="24"/>
          <w:lang w:val="es-419"/>
        </w:rPr>
        <w:t>. Se mantuvo</w:t>
      </w:r>
      <w:r w:rsidR="00FC33F9" w:rsidRPr="00F825B6">
        <w:rPr>
          <w:rFonts w:ascii="Gadugi" w:eastAsia="Malgun Gothic" w:hAnsi="Gadugi" w:cs="Estrangelo Edessa"/>
          <w:sz w:val="24"/>
          <w:szCs w:val="24"/>
          <w:lang w:val="es-419"/>
        </w:rPr>
        <w:t xml:space="preserve"> </w:t>
      </w:r>
      <w:r w:rsidRPr="00F825B6">
        <w:rPr>
          <w:rFonts w:ascii="Gadugi" w:eastAsia="Malgun Gothic" w:hAnsi="Gadugi" w:cs="Estrangelo Edessa"/>
          <w:sz w:val="24"/>
          <w:szCs w:val="24"/>
          <w:lang w:val="es-419"/>
        </w:rPr>
        <w:t>lo resuelto y se concedió la alzada</w:t>
      </w:r>
      <w:r w:rsidRPr="00F825B6">
        <w:rPr>
          <w:rStyle w:val="Refdenotaalpie"/>
          <w:rFonts w:ascii="Gadugi" w:eastAsia="Malgun Gothic" w:hAnsi="Gadugi" w:cs="Estrangelo Edessa"/>
          <w:sz w:val="24"/>
          <w:szCs w:val="24"/>
          <w:lang w:val="es-419"/>
        </w:rPr>
        <w:footnoteReference w:id="7"/>
      </w:r>
      <w:r w:rsidR="00FC33F9" w:rsidRPr="00F825B6">
        <w:rPr>
          <w:rFonts w:ascii="Gadugi" w:eastAsia="Malgun Gothic" w:hAnsi="Gadugi" w:cs="Estrangelo Edessa"/>
          <w:sz w:val="24"/>
          <w:szCs w:val="24"/>
          <w:lang w:val="es-419"/>
        </w:rPr>
        <w:t>, que ahora, luego de saneada una irregularidad</w:t>
      </w:r>
      <w:r w:rsidR="00FC33F9" w:rsidRPr="00F825B6">
        <w:rPr>
          <w:rStyle w:val="Refdenotaalpie"/>
          <w:rFonts w:ascii="Gadugi" w:eastAsia="Malgun Gothic" w:hAnsi="Gadugi" w:cs="Estrangelo Edessa"/>
          <w:sz w:val="24"/>
          <w:szCs w:val="24"/>
          <w:lang w:val="es-419"/>
        </w:rPr>
        <w:footnoteReference w:id="8"/>
      </w:r>
      <w:r w:rsidR="00FC33F9" w:rsidRPr="00F825B6">
        <w:rPr>
          <w:rFonts w:ascii="Gadugi" w:eastAsia="Malgun Gothic" w:hAnsi="Gadugi" w:cs="Estrangelo Edessa"/>
          <w:sz w:val="24"/>
          <w:szCs w:val="24"/>
          <w:lang w:val="es-419"/>
        </w:rPr>
        <w:t xml:space="preserve">, se resuelve. </w:t>
      </w:r>
    </w:p>
    <w:p w14:paraId="716BF6AF" w14:textId="77777777" w:rsidR="00ED6A2A" w:rsidRPr="00F825B6" w:rsidRDefault="00ED6A2A" w:rsidP="00774112">
      <w:pPr>
        <w:spacing w:after="0" w:line="276" w:lineRule="auto"/>
        <w:ind w:firstLine="1701"/>
        <w:contextualSpacing/>
        <w:jc w:val="both"/>
        <w:rPr>
          <w:rFonts w:ascii="Gadugi" w:eastAsia="Calibri" w:hAnsi="Gadugi" w:cs="Times New Roman"/>
          <w:sz w:val="24"/>
          <w:szCs w:val="24"/>
        </w:rPr>
      </w:pPr>
    </w:p>
    <w:p w14:paraId="47106961" w14:textId="77777777" w:rsidR="00D01FB0" w:rsidRPr="00F825B6" w:rsidRDefault="00D01FB0" w:rsidP="00774112">
      <w:pPr>
        <w:pStyle w:val="Prrafodelista"/>
        <w:spacing w:after="0" w:line="276" w:lineRule="auto"/>
        <w:ind w:left="1701"/>
        <w:jc w:val="both"/>
        <w:rPr>
          <w:rFonts w:ascii="Gadugi" w:eastAsia="Calibri" w:hAnsi="Gadugi" w:cs="Times New Roman"/>
          <w:b/>
          <w:sz w:val="24"/>
          <w:szCs w:val="24"/>
        </w:rPr>
      </w:pPr>
      <w:r w:rsidRPr="00F825B6">
        <w:rPr>
          <w:rFonts w:ascii="Gadugi" w:eastAsia="Calibri" w:hAnsi="Gadugi" w:cs="Times New Roman"/>
          <w:b/>
          <w:sz w:val="24"/>
          <w:szCs w:val="24"/>
        </w:rPr>
        <w:t xml:space="preserve">CONSIDERACIONES   </w:t>
      </w:r>
    </w:p>
    <w:p w14:paraId="1F54AA46" w14:textId="77777777" w:rsidR="00D01FB0" w:rsidRPr="00F825B6" w:rsidRDefault="00D01FB0" w:rsidP="00774112">
      <w:pPr>
        <w:spacing w:after="0" w:line="276" w:lineRule="auto"/>
        <w:contextualSpacing/>
        <w:jc w:val="both"/>
        <w:rPr>
          <w:rFonts w:ascii="Gadugi" w:eastAsia="Calibri" w:hAnsi="Gadugi" w:cs="Times New Roman"/>
          <w:b/>
          <w:sz w:val="24"/>
          <w:szCs w:val="24"/>
        </w:rPr>
      </w:pPr>
    </w:p>
    <w:p w14:paraId="4F8A2C1F" w14:textId="29FC4FDF" w:rsidR="00ED6A2A" w:rsidRPr="00F825B6" w:rsidRDefault="00ED6A2A" w:rsidP="00774112">
      <w:pPr>
        <w:pStyle w:val="Prrafodelista"/>
        <w:numPr>
          <w:ilvl w:val="0"/>
          <w:numId w:val="8"/>
        </w:numPr>
        <w:tabs>
          <w:tab w:val="left" w:pos="1985"/>
        </w:tabs>
        <w:spacing w:after="0" w:line="276" w:lineRule="auto"/>
        <w:ind w:left="0" w:firstLine="1701"/>
        <w:jc w:val="both"/>
        <w:rPr>
          <w:rFonts w:ascii="Gadugi" w:eastAsia="Calibri" w:hAnsi="Gadugi" w:cs="Times New Roman"/>
          <w:b/>
          <w:sz w:val="24"/>
          <w:szCs w:val="24"/>
        </w:rPr>
      </w:pPr>
      <w:r w:rsidRPr="00F825B6">
        <w:rPr>
          <w:rFonts w:ascii="Gadugi" w:eastAsia="Calibri" w:hAnsi="Gadugi" w:cs="Times New Roman"/>
          <w:sz w:val="24"/>
          <w:szCs w:val="24"/>
        </w:rPr>
        <w:t xml:space="preserve">Esta Sala unitaria es competente para conocer del recurso, de acuerdo con lo previsto en el artículo 35 del Código General del Proceso. </w:t>
      </w:r>
    </w:p>
    <w:p w14:paraId="4F90D47C" w14:textId="77777777" w:rsidR="00ED6A2A" w:rsidRPr="00F825B6" w:rsidRDefault="00ED6A2A" w:rsidP="00774112">
      <w:pPr>
        <w:pStyle w:val="Prrafodelista"/>
        <w:tabs>
          <w:tab w:val="left" w:pos="1985"/>
        </w:tabs>
        <w:spacing w:after="0" w:line="276" w:lineRule="auto"/>
        <w:ind w:left="0" w:firstLine="1701"/>
        <w:jc w:val="both"/>
        <w:rPr>
          <w:rFonts w:ascii="Gadugi" w:eastAsia="Calibri" w:hAnsi="Gadugi" w:cs="Times New Roman"/>
          <w:b/>
          <w:sz w:val="24"/>
          <w:szCs w:val="24"/>
        </w:rPr>
      </w:pPr>
    </w:p>
    <w:p w14:paraId="3347157A" w14:textId="7F879798" w:rsidR="004F5796" w:rsidRPr="00F825B6" w:rsidRDefault="00ED6A2A" w:rsidP="00774112">
      <w:pPr>
        <w:pStyle w:val="Prrafodelista"/>
        <w:numPr>
          <w:ilvl w:val="0"/>
          <w:numId w:val="8"/>
        </w:numPr>
        <w:tabs>
          <w:tab w:val="left" w:pos="1985"/>
        </w:tabs>
        <w:spacing w:after="0" w:line="276" w:lineRule="auto"/>
        <w:ind w:left="0" w:firstLine="1701"/>
        <w:jc w:val="both"/>
        <w:rPr>
          <w:rFonts w:ascii="Gadugi" w:eastAsia="Calibri" w:hAnsi="Gadugi" w:cs="Times New Roman"/>
          <w:b/>
          <w:sz w:val="24"/>
          <w:szCs w:val="24"/>
        </w:rPr>
      </w:pPr>
      <w:r w:rsidRPr="00F825B6">
        <w:rPr>
          <w:rFonts w:ascii="Gadugi" w:eastAsia="Calibri" w:hAnsi="Gadugi" w:cs="Times New Roman"/>
          <w:sz w:val="24"/>
          <w:szCs w:val="24"/>
        </w:rPr>
        <w:t xml:space="preserve">La </w:t>
      </w:r>
      <w:r w:rsidR="00D171F0" w:rsidRPr="00F825B6">
        <w:rPr>
          <w:rFonts w:ascii="Gadugi" w:eastAsia="Calibri" w:hAnsi="Gadugi" w:cs="Times New Roman"/>
          <w:sz w:val="24"/>
          <w:szCs w:val="24"/>
        </w:rPr>
        <w:t xml:space="preserve">impugnación, </w:t>
      </w:r>
      <w:r w:rsidRPr="00F825B6">
        <w:rPr>
          <w:rFonts w:ascii="Gadugi" w:eastAsia="Calibri" w:hAnsi="Gadugi" w:cs="Times New Roman"/>
          <w:sz w:val="24"/>
          <w:szCs w:val="24"/>
        </w:rPr>
        <w:t>por otro lado, e</w:t>
      </w:r>
      <w:r w:rsidR="004F5796" w:rsidRPr="00F825B6">
        <w:rPr>
          <w:rFonts w:ascii="Gadugi" w:eastAsia="Calibri" w:hAnsi="Gadugi" w:cs="Times New Roman"/>
          <w:sz w:val="24"/>
          <w:szCs w:val="24"/>
        </w:rPr>
        <w:t>s</w:t>
      </w:r>
      <w:r w:rsidRPr="00F825B6">
        <w:rPr>
          <w:rFonts w:ascii="Gadugi" w:eastAsia="Calibri" w:hAnsi="Gadugi" w:cs="Times New Roman"/>
          <w:sz w:val="24"/>
          <w:szCs w:val="24"/>
        </w:rPr>
        <w:t xml:space="preserve"> procedente</w:t>
      </w:r>
      <w:r w:rsidR="004F5796" w:rsidRPr="00F825B6">
        <w:rPr>
          <w:rFonts w:ascii="Gadugi" w:eastAsia="Calibri" w:hAnsi="Gadugi" w:cs="Times New Roman"/>
          <w:sz w:val="24"/>
          <w:szCs w:val="24"/>
        </w:rPr>
        <w:t>. Para arribar a esta conclusión, sea del caso decir que</w:t>
      </w:r>
      <w:r w:rsidRPr="00F825B6">
        <w:rPr>
          <w:rFonts w:ascii="Gadugi" w:eastAsia="Calibri" w:hAnsi="Gadugi" w:cs="Times New Roman"/>
          <w:sz w:val="24"/>
          <w:szCs w:val="24"/>
        </w:rPr>
        <w:t xml:space="preserve">, </w:t>
      </w:r>
      <w:r w:rsidR="004F5796" w:rsidRPr="00F825B6">
        <w:rPr>
          <w:rFonts w:ascii="Gadugi" w:eastAsia="Calibri" w:hAnsi="Gadugi" w:cs="Times New Roman"/>
          <w:sz w:val="24"/>
          <w:szCs w:val="24"/>
        </w:rPr>
        <w:t xml:space="preserve">en estricto sentido, el juzgado nunca se pronunció sobre la </w:t>
      </w:r>
      <w:r w:rsidR="00C6124C" w:rsidRPr="00F825B6">
        <w:rPr>
          <w:rFonts w:ascii="Gadugi" w:eastAsia="Calibri" w:hAnsi="Gadugi" w:cs="Times New Roman"/>
          <w:sz w:val="24"/>
          <w:szCs w:val="24"/>
        </w:rPr>
        <w:t xml:space="preserve">orden de ejecución invocada en </w:t>
      </w:r>
      <w:r w:rsidR="004F5796" w:rsidRPr="00F825B6">
        <w:rPr>
          <w:rFonts w:ascii="Gadugi" w:eastAsia="Calibri" w:hAnsi="Gadugi" w:cs="Times New Roman"/>
          <w:sz w:val="24"/>
          <w:szCs w:val="24"/>
        </w:rPr>
        <w:t xml:space="preserve">la demanda de mutua petición presentada por el demandado. Más bien, cuando señaló fecha para la audiencia inicial, </w:t>
      </w:r>
      <w:r w:rsidR="00C12EB9" w:rsidRPr="00F825B6">
        <w:rPr>
          <w:rFonts w:ascii="Gadugi" w:eastAsia="Calibri" w:hAnsi="Gadugi" w:cs="Times New Roman"/>
          <w:sz w:val="24"/>
          <w:szCs w:val="24"/>
        </w:rPr>
        <w:t>este</w:t>
      </w:r>
      <w:r w:rsidR="004F5796" w:rsidRPr="00F825B6">
        <w:rPr>
          <w:rFonts w:ascii="Gadugi" w:eastAsia="Calibri" w:hAnsi="Gadugi" w:cs="Times New Roman"/>
          <w:sz w:val="24"/>
          <w:szCs w:val="24"/>
        </w:rPr>
        <w:t xml:space="preserve"> le hizo ver, con la proposición de recursos, que había omitido considerarla. </w:t>
      </w:r>
    </w:p>
    <w:p w14:paraId="490FACAE" w14:textId="77777777" w:rsidR="004F5796" w:rsidRPr="00F825B6" w:rsidRDefault="004F5796" w:rsidP="00774112">
      <w:pPr>
        <w:pStyle w:val="Prrafodelista"/>
        <w:spacing w:line="276" w:lineRule="auto"/>
        <w:rPr>
          <w:rFonts w:ascii="Gadugi" w:eastAsia="Calibri" w:hAnsi="Gadugi" w:cs="Times New Roman"/>
          <w:sz w:val="24"/>
          <w:szCs w:val="24"/>
        </w:rPr>
      </w:pPr>
    </w:p>
    <w:p w14:paraId="6B370934" w14:textId="3F452205" w:rsidR="004F5796" w:rsidRPr="00F825B6" w:rsidRDefault="004F5796" w:rsidP="00774112">
      <w:pPr>
        <w:pStyle w:val="Prrafodelista"/>
        <w:tabs>
          <w:tab w:val="left" w:pos="1985"/>
        </w:tabs>
        <w:spacing w:after="0" w:line="276" w:lineRule="auto"/>
        <w:ind w:left="0" w:firstLine="1701"/>
        <w:jc w:val="both"/>
        <w:rPr>
          <w:rFonts w:ascii="Gadugi" w:eastAsia="Calibri" w:hAnsi="Gadugi" w:cs="Times New Roman"/>
          <w:sz w:val="24"/>
          <w:szCs w:val="24"/>
        </w:rPr>
      </w:pPr>
      <w:r w:rsidRPr="00F825B6">
        <w:rPr>
          <w:rFonts w:ascii="Gadugi" w:eastAsia="Calibri" w:hAnsi="Gadugi" w:cs="Times New Roman"/>
          <w:sz w:val="24"/>
          <w:szCs w:val="24"/>
        </w:rPr>
        <w:t>Y al resolver el de reposición, en su parte resolutiva se limitó a decir que no reponía el auto del 20 de mayo de 2021, que señaló aquella fecha. Sin embargo, más allá de esta decisión, dijo en las consideraciones del auto del 29 de julio de 2021 que</w:t>
      </w:r>
      <w:r w:rsidR="00021E4B" w:rsidRPr="00F825B6">
        <w:rPr>
          <w:rFonts w:ascii="Gadugi" w:eastAsia="Calibri" w:hAnsi="Gadugi" w:cs="Times New Roman"/>
          <w:sz w:val="24"/>
          <w:szCs w:val="24"/>
        </w:rPr>
        <w:t xml:space="preserve"> la demanda de reconvención es improcedente en los procesos ejecutivos, porque (i) está prevista solo para procesos declarativos; (ii) el CGP tiene establecido que la audiencia del artículo 372 o del 392, según el caso, ocurre en el evento de que el demandado haya propuesto excepciones; y (iii) la oportunidad para reconvenir es durante el traslado al demandado para contestar la demanda, etapa que, en estricto sentido, no se da en el proceso ejecutivo, en el que el demandado tiene dos opciones, pagar o proponer excepciones de mérito, como en este caso ocurrió. </w:t>
      </w:r>
    </w:p>
    <w:p w14:paraId="5A0E33CF" w14:textId="6DE66BA8" w:rsidR="00021E4B" w:rsidRPr="00F825B6" w:rsidRDefault="00021E4B" w:rsidP="00774112">
      <w:pPr>
        <w:pStyle w:val="Prrafodelista"/>
        <w:tabs>
          <w:tab w:val="left" w:pos="1985"/>
        </w:tabs>
        <w:spacing w:after="0" w:line="276" w:lineRule="auto"/>
        <w:ind w:left="0" w:firstLine="1701"/>
        <w:jc w:val="both"/>
        <w:rPr>
          <w:rFonts w:ascii="Gadugi" w:eastAsia="Calibri" w:hAnsi="Gadugi" w:cs="Times New Roman"/>
          <w:sz w:val="24"/>
          <w:szCs w:val="24"/>
        </w:rPr>
      </w:pPr>
    </w:p>
    <w:p w14:paraId="148160D5" w14:textId="555AB365" w:rsidR="00021E4B" w:rsidRPr="00F825B6" w:rsidRDefault="00021E4B" w:rsidP="00774112">
      <w:pPr>
        <w:tabs>
          <w:tab w:val="left" w:pos="1701"/>
        </w:tabs>
        <w:spacing w:after="0" w:line="276" w:lineRule="auto"/>
        <w:jc w:val="both"/>
        <w:rPr>
          <w:rFonts w:ascii="Gadugi" w:eastAsia="Calibri" w:hAnsi="Gadugi" w:cs="Times New Roman"/>
          <w:sz w:val="24"/>
          <w:szCs w:val="24"/>
        </w:rPr>
      </w:pPr>
      <w:r w:rsidRPr="00F825B6">
        <w:rPr>
          <w:rFonts w:ascii="Gadugi" w:eastAsia="Calibri" w:hAnsi="Gadugi" w:cs="Times New Roman"/>
          <w:sz w:val="24"/>
          <w:szCs w:val="24"/>
        </w:rPr>
        <w:lastRenderedPageBreak/>
        <w:t xml:space="preserve"> </w:t>
      </w:r>
      <w:r w:rsidRPr="00F825B6">
        <w:rPr>
          <w:rFonts w:ascii="Gadugi" w:eastAsia="Calibri" w:hAnsi="Gadugi" w:cs="Times New Roman"/>
          <w:sz w:val="24"/>
          <w:szCs w:val="24"/>
        </w:rPr>
        <w:tab/>
        <w:t xml:space="preserve">Quiere ello </w:t>
      </w:r>
      <w:r w:rsidR="00D171F0" w:rsidRPr="00F825B6">
        <w:rPr>
          <w:rFonts w:ascii="Gadugi" w:eastAsia="Calibri" w:hAnsi="Gadugi" w:cs="Times New Roman"/>
          <w:sz w:val="24"/>
          <w:szCs w:val="24"/>
        </w:rPr>
        <w:t>significar que</w:t>
      </w:r>
      <w:r w:rsidRPr="00F825B6">
        <w:rPr>
          <w:rFonts w:ascii="Gadugi" w:eastAsia="Calibri" w:hAnsi="Gadugi" w:cs="Times New Roman"/>
          <w:sz w:val="24"/>
          <w:szCs w:val="24"/>
        </w:rPr>
        <w:t xml:space="preserve"> la funcionaria, </w:t>
      </w:r>
      <w:r w:rsidR="00C12EB9" w:rsidRPr="00F825B6">
        <w:rPr>
          <w:rFonts w:ascii="Gadugi" w:eastAsia="Calibri" w:hAnsi="Gadugi" w:cs="Times New Roman"/>
          <w:sz w:val="24"/>
          <w:szCs w:val="24"/>
        </w:rPr>
        <w:t xml:space="preserve">aunque no lo dijera en la </w:t>
      </w:r>
      <w:r w:rsidRPr="00F825B6">
        <w:rPr>
          <w:rFonts w:ascii="Gadugi" w:eastAsia="Calibri" w:hAnsi="Gadugi" w:cs="Times New Roman"/>
          <w:sz w:val="24"/>
          <w:szCs w:val="24"/>
        </w:rPr>
        <w:t xml:space="preserve">resolutiva, rechazó de plano la demanda de reconvención, o bien, negó librar la orden ejecutiva impetrada, pues a nada distinto equivale decir que se continuará con el trámite de las excepciones por la improcedencia de dicho trámite en los procesos ejecutivos. </w:t>
      </w:r>
    </w:p>
    <w:p w14:paraId="58485DD9" w14:textId="77777777" w:rsidR="00021E4B" w:rsidRPr="00F825B6" w:rsidRDefault="00021E4B" w:rsidP="00774112">
      <w:pPr>
        <w:tabs>
          <w:tab w:val="left" w:pos="1701"/>
        </w:tabs>
        <w:spacing w:after="0" w:line="276" w:lineRule="auto"/>
        <w:jc w:val="both"/>
        <w:rPr>
          <w:rFonts w:ascii="Gadugi" w:eastAsia="Calibri" w:hAnsi="Gadugi" w:cs="Times New Roman"/>
          <w:sz w:val="24"/>
          <w:szCs w:val="24"/>
        </w:rPr>
      </w:pPr>
    </w:p>
    <w:p w14:paraId="72C6D13B" w14:textId="77777777" w:rsidR="00C6124C" w:rsidRPr="00F825B6" w:rsidRDefault="00021E4B" w:rsidP="00774112">
      <w:pPr>
        <w:tabs>
          <w:tab w:val="left" w:pos="1985"/>
        </w:tabs>
        <w:spacing w:after="0" w:line="276" w:lineRule="auto"/>
        <w:ind w:firstLine="1701"/>
        <w:jc w:val="both"/>
        <w:rPr>
          <w:rFonts w:ascii="Gadugi" w:eastAsia="Calibri" w:hAnsi="Gadugi" w:cs="Times New Roman"/>
          <w:sz w:val="24"/>
          <w:szCs w:val="24"/>
        </w:rPr>
      </w:pPr>
      <w:r w:rsidRPr="00F825B6">
        <w:rPr>
          <w:rFonts w:ascii="Gadugi" w:eastAsia="Calibri" w:hAnsi="Gadugi" w:cs="Times New Roman"/>
          <w:sz w:val="24"/>
          <w:szCs w:val="24"/>
        </w:rPr>
        <w:t xml:space="preserve">De suerte que, ya por el numeral 1, ora por el 4, ambos del artículo 321 del CGP, la providencia era susceptible de apelación, si se tiene en cuenta, adicionalmente, que aunque el artículo 318 ib., </w:t>
      </w:r>
      <w:r w:rsidR="00C6124C" w:rsidRPr="00F825B6">
        <w:rPr>
          <w:rFonts w:ascii="Gadugi" w:eastAsia="Calibri" w:hAnsi="Gadugi" w:cs="Times New Roman"/>
          <w:sz w:val="24"/>
          <w:szCs w:val="24"/>
        </w:rPr>
        <w:t xml:space="preserve">señala que el auto que resuelve una reposición no es pasible de ningún recurso, aquí ocurre la salvedad que la misma norma contempla, en cuanto, en esta providencia, se incluyó un punto nuevo, no decidido en el anterior, que es la negativa del trámite de la reconvención. </w:t>
      </w:r>
    </w:p>
    <w:p w14:paraId="652AC3E0" w14:textId="5B2698F5" w:rsidR="006D4F0E" w:rsidRPr="00F825B6" w:rsidRDefault="00021E4B" w:rsidP="00774112">
      <w:pPr>
        <w:tabs>
          <w:tab w:val="left" w:pos="1985"/>
        </w:tabs>
        <w:spacing w:after="0" w:line="276" w:lineRule="auto"/>
        <w:ind w:firstLine="1701"/>
        <w:jc w:val="both"/>
        <w:rPr>
          <w:rFonts w:ascii="Gadugi" w:eastAsia="Calibri" w:hAnsi="Gadugi" w:cs="Times New Roman"/>
          <w:sz w:val="24"/>
          <w:szCs w:val="24"/>
        </w:rPr>
      </w:pPr>
      <w:r w:rsidRPr="00F825B6">
        <w:rPr>
          <w:rFonts w:ascii="Gadugi" w:eastAsia="Calibri" w:hAnsi="Gadugi" w:cs="Times New Roman"/>
          <w:sz w:val="24"/>
          <w:szCs w:val="24"/>
        </w:rPr>
        <w:t xml:space="preserve"> </w:t>
      </w:r>
    </w:p>
    <w:p w14:paraId="220F601C" w14:textId="56200991" w:rsidR="006D4F0E" w:rsidRPr="00F825B6" w:rsidRDefault="00D171F0" w:rsidP="00774112">
      <w:pPr>
        <w:pStyle w:val="Prrafodelista"/>
        <w:numPr>
          <w:ilvl w:val="0"/>
          <w:numId w:val="8"/>
        </w:numPr>
        <w:tabs>
          <w:tab w:val="left" w:pos="1985"/>
        </w:tabs>
        <w:spacing w:after="0" w:line="276" w:lineRule="auto"/>
        <w:ind w:left="0" w:firstLine="1701"/>
        <w:jc w:val="both"/>
        <w:rPr>
          <w:rFonts w:ascii="Gadugi" w:eastAsia="Calibri" w:hAnsi="Gadugi" w:cs="Times New Roman"/>
          <w:b/>
          <w:sz w:val="24"/>
          <w:szCs w:val="24"/>
        </w:rPr>
      </w:pPr>
      <w:r w:rsidRPr="00F825B6">
        <w:rPr>
          <w:rFonts w:ascii="Gadugi" w:eastAsia="Calibri" w:hAnsi="Gadugi" w:cs="Times New Roman"/>
          <w:sz w:val="24"/>
          <w:szCs w:val="24"/>
        </w:rPr>
        <w:t>Dicho esto, d</w:t>
      </w:r>
      <w:r w:rsidR="006D4F0E" w:rsidRPr="00F825B6">
        <w:rPr>
          <w:rFonts w:ascii="Gadugi" w:eastAsia="Calibri" w:hAnsi="Gadugi" w:cs="Times New Roman"/>
          <w:sz w:val="24"/>
          <w:szCs w:val="24"/>
        </w:rPr>
        <w:t>e entrada se advierte que la providencia será confirmada.</w:t>
      </w:r>
    </w:p>
    <w:p w14:paraId="04EA8F07" w14:textId="4B13FDF5" w:rsidR="006D4F0E" w:rsidRPr="00F825B6" w:rsidRDefault="006D4F0E" w:rsidP="00774112">
      <w:pPr>
        <w:pStyle w:val="Prrafodelista"/>
        <w:spacing w:line="276" w:lineRule="auto"/>
        <w:ind w:left="0" w:firstLine="1701"/>
        <w:rPr>
          <w:rFonts w:ascii="Gadugi" w:eastAsia="Calibri" w:hAnsi="Gadugi" w:cs="Times New Roman"/>
          <w:b/>
          <w:sz w:val="24"/>
          <w:szCs w:val="24"/>
        </w:rPr>
      </w:pPr>
    </w:p>
    <w:p w14:paraId="1BF6A17F" w14:textId="4F827C5E" w:rsidR="00773637" w:rsidRPr="00F825B6" w:rsidRDefault="00746851" w:rsidP="00774112">
      <w:pPr>
        <w:spacing w:after="0" w:line="276" w:lineRule="auto"/>
        <w:ind w:firstLine="1701"/>
        <w:jc w:val="both"/>
        <w:rPr>
          <w:rFonts w:ascii="Gadugi" w:hAnsi="Gadugi"/>
          <w:sz w:val="24"/>
          <w:szCs w:val="24"/>
        </w:rPr>
      </w:pPr>
      <w:r w:rsidRPr="00F825B6">
        <w:rPr>
          <w:rFonts w:ascii="Gadugi" w:hAnsi="Gadugi"/>
          <w:sz w:val="24"/>
          <w:szCs w:val="24"/>
        </w:rPr>
        <w:t>El proceso ejecutivo, a diferencia de los declarativos, los de liquidación y lo</w:t>
      </w:r>
      <w:r w:rsidR="00773637" w:rsidRPr="00F825B6">
        <w:rPr>
          <w:rFonts w:ascii="Gadugi" w:hAnsi="Gadugi"/>
          <w:sz w:val="24"/>
          <w:szCs w:val="24"/>
        </w:rPr>
        <w:t>s</w:t>
      </w:r>
      <w:r w:rsidRPr="00F825B6">
        <w:rPr>
          <w:rFonts w:ascii="Gadugi" w:hAnsi="Gadugi"/>
          <w:sz w:val="24"/>
          <w:szCs w:val="24"/>
        </w:rPr>
        <w:t xml:space="preserve"> de jurisdicción voluntaria, goza de una estructura diferente, en la medida en que, como señaló la funcionaria de primer grado, no hay lugar, propiamente</w:t>
      </w:r>
      <w:r w:rsidR="006D7EC9" w:rsidRPr="00F825B6">
        <w:rPr>
          <w:rFonts w:ascii="Gadugi" w:hAnsi="Gadugi"/>
          <w:sz w:val="24"/>
          <w:szCs w:val="24"/>
        </w:rPr>
        <w:t>, a</w:t>
      </w:r>
      <w:r w:rsidR="00773637" w:rsidRPr="00F825B6">
        <w:rPr>
          <w:rFonts w:ascii="Gadugi" w:hAnsi="Gadugi"/>
          <w:sz w:val="24"/>
          <w:szCs w:val="24"/>
        </w:rPr>
        <w:t xml:space="preserve"> un término de traslado dentro del cual se deba proceder a </w:t>
      </w:r>
      <w:r w:rsidRPr="00F825B6">
        <w:rPr>
          <w:rFonts w:ascii="Gadugi" w:hAnsi="Gadugi"/>
          <w:sz w:val="24"/>
          <w:szCs w:val="24"/>
        </w:rPr>
        <w:t>contestar la demanda. Es un trámite fundado en la preeminencia de un derecho, claro, cierto y exigible, respecto del cual las opciones que se abren para el demandado son específicas: (i) pedir la regulación o pérdida de intereses, la reducción de la pena, la hipoteca o la prenda, y la fijación de la tasa de cambio</w:t>
      </w:r>
      <w:r w:rsidR="00773637" w:rsidRPr="00F825B6">
        <w:rPr>
          <w:rFonts w:ascii="Gadugi" w:hAnsi="Gadugi"/>
          <w:sz w:val="24"/>
          <w:szCs w:val="24"/>
        </w:rPr>
        <w:t xml:space="preserve"> (art. 425)</w:t>
      </w:r>
      <w:r w:rsidRPr="00F825B6">
        <w:rPr>
          <w:rFonts w:ascii="Gadugi" w:hAnsi="Gadugi"/>
          <w:sz w:val="24"/>
          <w:szCs w:val="24"/>
        </w:rPr>
        <w:t>; (ii) en las obligaciones de dar o hacer, objetar la estimación de perjuicios (art. 439); (ii) cumplir la obligación dentro del término que se le señale (art. 440);</w:t>
      </w:r>
      <w:r w:rsidR="00773637" w:rsidRPr="00F825B6">
        <w:rPr>
          <w:rFonts w:ascii="Gadugi" w:hAnsi="Gadugi"/>
          <w:sz w:val="24"/>
          <w:szCs w:val="24"/>
        </w:rPr>
        <w:t xml:space="preserve"> o </w:t>
      </w:r>
      <w:r w:rsidRPr="00F825B6">
        <w:rPr>
          <w:rFonts w:ascii="Gadugi" w:hAnsi="Gadugi"/>
          <w:sz w:val="24"/>
          <w:szCs w:val="24"/>
        </w:rPr>
        <w:t xml:space="preserve"> proponer excepciones (art. 442). </w:t>
      </w:r>
    </w:p>
    <w:p w14:paraId="57754819" w14:textId="77777777" w:rsidR="00773637" w:rsidRPr="00F825B6" w:rsidRDefault="00773637" w:rsidP="00774112">
      <w:pPr>
        <w:spacing w:after="0" w:line="276" w:lineRule="auto"/>
        <w:ind w:firstLine="1701"/>
        <w:jc w:val="both"/>
        <w:rPr>
          <w:rFonts w:ascii="Gadugi" w:hAnsi="Gadugi"/>
          <w:sz w:val="24"/>
          <w:szCs w:val="24"/>
        </w:rPr>
      </w:pPr>
    </w:p>
    <w:p w14:paraId="6C7049D2" w14:textId="5F9E5023" w:rsidR="00746851" w:rsidRPr="00F825B6" w:rsidRDefault="00746851" w:rsidP="00774112">
      <w:pPr>
        <w:spacing w:after="0" w:line="276" w:lineRule="auto"/>
        <w:ind w:firstLine="1701"/>
        <w:jc w:val="both"/>
        <w:rPr>
          <w:rFonts w:ascii="Gadugi" w:hAnsi="Gadugi"/>
          <w:sz w:val="24"/>
          <w:szCs w:val="24"/>
          <w:vertAlign w:val="subscript"/>
        </w:rPr>
      </w:pPr>
      <w:r w:rsidRPr="00F825B6">
        <w:rPr>
          <w:rFonts w:ascii="Gadugi" w:hAnsi="Gadugi"/>
          <w:sz w:val="24"/>
          <w:szCs w:val="24"/>
        </w:rPr>
        <w:t>De hecho, la misma Corte ha aleccionado sobre esta situación, al señalar que “</w:t>
      </w:r>
      <w:r w:rsidRPr="00F825B6">
        <w:rPr>
          <w:rFonts w:ascii="Gadugi" w:hAnsi="Gadugi" w:cs="Arial"/>
          <w:i/>
          <w:szCs w:val="24"/>
        </w:rPr>
        <w:t>la defensa de los ejecutados se circunscribe a la proposición de excepciones</w:t>
      </w:r>
      <w:r w:rsidRPr="00F825B6">
        <w:rPr>
          <w:rFonts w:ascii="Gadugi" w:hAnsi="Gadugi" w:cs="Arial"/>
          <w:i/>
          <w:sz w:val="24"/>
          <w:szCs w:val="24"/>
        </w:rPr>
        <w:t>”</w:t>
      </w:r>
      <w:r w:rsidRPr="00F825B6">
        <w:rPr>
          <w:rStyle w:val="Refdenotaalpie"/>
          <w:rFonts w:ascii="Gadugi" w:hAnsi="Gadugi"/>
          <w:sz w:val="24"/>
          <w:szCs w:val="24"/>
        </w:rPr>
        <w:t xml:space="preserve"> </w:t>
      </w:r>
      <w:r w:rsidRPr="00F825B6">
        <w:rPr>
          <w:rStyle w:val="Refdenotaalpie"/>
          <w:rFonts w:ascii="Gadugi" w:hAnsi="Gadugi"/>
          <w:sz w:val="24"/>
          <w:szCs w:val="24"/>
        </w:rPr>
        <w:footnoteReference w:id="9"/>
      </w:r>
      <w:r w:rsidRPr="00F825B6">
        <w:rPr>
          <w:rFonts w:ascii="Gadugi" w:hAnsi="Gadugi"/>
          <w:sz w:val="24"/>
          <w:szCs w:val="24"/>
          <w:vertAlign w:val="subscript"/>
        </w:rPr>
        <w:t>.</w:t>
      </w:r>
    </w:p>
    <w:p w14:paraId="2ACCE644" w14:textId="77777777" w:rsidR="00746851" w:rsidRPr="00F825B6" w:rsidRDefault="00746851" w:rsidP="00774112">
      <w:pPr>
        <w:spacing w:after="0" w:line="276" w:lineRule="auto"/>
        <w:ind w:firstLine="1701"/>
        <w:jc w:val="both"/>
        <w:rPr>
          <w:rFonts w:ascii="Gadugi" w:hAnsi="Gadugi"/>
          <w:sz w:val="24"/>
          <w:szCs w:val="24"/>
          <w:vertAlign w:val="subscript"/>
        </w:rPr>
      </w:pPr>
    </w:p>
    <w:p w14:paraId="11AA849D" w14:textId="5E5A114A" w:rsidR="00746851" w:rsidRPr="00F825B6" w:rsidRDefault="00746851" w:rsidP="00774112">
      <w:pPr>
        <w:spacing w:after="0" w:line="276" w:lineRule="auto"/>
        <w:ind w:firstLine="1701"/>
        <w:jc w:val="both"/>
        <w:rPr>
          <w:rFonts w:ascii="Gadugi" w:hAnsi="Gadugi"/>
          <w:sz w:val="24"/>
          <w:szCs w:val="24"/>
        </w:rPr>
      </w:pPr>
      <w:r w:rsidRPr="00F825B6">
        <w:rPr>
          <w:rFonts w:ascii="Gadugi" w:hAnsi="Gadugi"/>
          <w:sz w:val="24"/>
          <w:szCs w:val="24"/>
        </w:rPr>
        <w:t xml:space="preserve">Así que, distinto a los procesos declarativos, ninguna regla advierte de la posibilidad de presentar demanda de reconvención, que está restringida a </w:t>
      </w:r>
      <w:r w:rsidR="00773637" w:rsidRPr="00F825B6">
        <w:rPr>
          <w:rFonts w:ascii="Gadugi" w:hAnsi="Gadugi"/>
          <w:sz w:val="24"/>
          <w:szCs w:val="24"/>
        </w:rPr>
        <w:t>aquellos</w:t>
      </w:r>
      <w:r w:rsidRPr="00F825B6">
        <w:rPr>
          <w:rFonts w:ascii="Gadugi" w:hAnsi="Gadugi"/>
          <w:sz w:val="24"/>
          <w:szCs w:val="24"/>
        </w:rPr>
        <w:t xml:space="preserve">, si se atiende el </w:t>
      </w:r>
      <w:r w:rsidR="00773637" w:rsidRPr="00F825B6">
        <w:rPr>
          <w:rFonts w:ascii="Gadugi" w:hAnsi="Gadugi"/>
          <w:sz w:val="24"/>
          <w:szCs w:val="24"/>
        </w:rPr>
        <w:t xml:space="preserve">tenor </w:t>
      </w:r>
      <w:r w:rsidRPr="00F825B6">
        <w:rPr>
          <w:rFonts w:ascii="Gadugi" w:hAnsi="Gadugi"/>
          <w:sz w:val="24"/>
          <w:szCs w:val="24"/>
        </w:rPr>
        <w:t>del artículo 371 del CGP y su ubicación en el mismo estatuto. Y es que ello parece lógico, en la medida en que, allegado un documento que cumpla aquellas condiciones</w:t>
      </w:r>
      <w:r w:rsidR="00773637" w:rsidRPr="00F825B6">
        <w:rPr>
          <w:rFonts w:ascii="Gadugi" w:hAnsi="Gadugi"/>
          <w:sz w:val="24"/>
          <w:szCs w:val="24"/>
        </w:rPr>
        <w:t xml:space="preserve"> vertidas en el </w:t>
      </w:r>
      <w:r w:rsidRPr="00F825B6">
        <w:rPr>
          <w:rFonts w:ascii="Gadugi" w:hAnsi="Gadugi"/>
          <w:sz w:val="24"/>
          <w:szCs w:val="24"/>
        </w:rPr>
        <w:t xml:space="preserve">422 del Código, al demandado incumbe enervar lo pretendido mediante el uso de defensas (excepciones) que den al traste con </w:t>
      </w:r>
      <w:r w:rsidR="006D7EC9" w:rsidRPr="00F825B6">
        <w:rPr>
          <w:rFonts w:ascii="Gadugi" w:hAnsi="Gadugi"/>
          <w:sz w:val="24"/>
          <w:szCs w:val="24"/>
        </w:rPr>
        <w:t xml:space="preserve">lo pretendido, </w:t>
      </w:r>
      <w:r w:rsidRPr="00F825B6">
        <w:rPr>
          <w:rFonts w:ascii="Gadugi" w:hAnsi="Gadugi"/>
          <w:sz w:val="24"/>
          <w:szCs w:val="24"/>
        </w:rPr>
        <w:t>por ejemplo, el pago, la confusión, la novación, la prescripción, para citar solo un</w:t>
      </w:r>
      <w:r w:rsidR="00773637" w:rsidRPr="00F825B6">
        <w:rPr>
          <w:rFonts w:ascii="Gadugi" w:hAnsi="Gadugi"/>
          <w:sz w:val="24"/>
          <w:szCs w:val="24"/>
        </w:rPr>
        <w:t>a</w:t>
      </w:r>
      <w:r w:rsidRPr="00F825B6">
        <w:rPr>
          <w:rFonts w:ascii="Gadugi" w:hAnsi="Gadugi"/>
          <w:sz w:val="24"/>
          <w:szCs w:val="24"/>
        </w:rPr>
        <w:t>s</w:t>
      </w:r>
      <w:r w:rsidR="00773637" w:rsidRPr="00F825B6">
        <w:rPr>
          <w:rFonts w:ascii="Gadugi" w:hAnsi="Gadugi"/>
          <w:sz w:val="24"/>
          <w:szCs w:val="24"/>
        </w:rPr>
        <w:t>;</w:t>
      </w:r>
      <w:r w:rsidRPr="00F825B6">
        <w:rPr>
          <w:rFonts w:ascii="Gadugi" w:hAnsi="Gadugi"/>
          <w:sz w:val="24"/>
          <w:szCs w:val="24"/>
        </w:rPr>
        <w:t xml:space="preserve"> y entre much</w:t>
      </w:r>
      <w:r w:rsidR="00773637" w:rsidRPr="00F825B6">
        <w:rPr>
          <w:rFonts w:ascii="Gadugi" w:hAnsi="Gadugi"/>
          <w:sz w:val="24"/>
          <w:szCs w:val="24"/>
        </w:rPr>
        <w:t>a</w:t>
      </w:r>
      <w:r w:rsidRPr="00F825B6">
        <w:rPr>
          <w:rFonts w:ascii="Gadugi" w:hAnsi="Gadugi"/>
          <w:sz w:val="24"/>
          <w:szCs w:val="24"/>
        </w:rPr>
        <w:t>s más</w:t>
      </w:r>
      <w:r w:rsidR="00773637" w:rsidRPr="00F825B6">
        <w:rPr>
          <w:rFonts w:ascii="Gadugi" w:hAnsi="Gadugi"/>
          <w:sz w:val="24"/>
          <w:szCs w:val="24"/>
        </w:rPr>
        <w:t>,</w:t>
      </w:r>
      <w:r w:rsidRPr="00F825B6">
        <w:rPr>
          <w:rFonts w:ascii="Gadugi" w:hAnsi="Gadugi"/>
          <w:sz w:val="24"/>
          <w:szCs w:val="24"/>
        </w:rPr>
        <w:t xml:space="preserve"> la compensación. Ese es el remedio: si a una obligación clara, expresa y exigible, se le puede oponer otra de las mismas características, dadas las exigencias del artículo 1715 del C. Civil., es por vía de la compensación que se ha de discutir la cuestión y no por medio de una demanda de reconvención. </w:t>
      </w:r>
    </w:p>
    <w:p w14:paraId="55AE4091" w14:textId="77777777" w:rsidR="00746851" w:rsidRPr="00F825B6" w:rsidRDefault="00746851" w:rsidP="00774112">
      <w:pPr>
        <w:spacing w:line="276" w:lineRule="auto"/>
        <w:ind w:firstLine="1701"/>
        <w:jc w:val="both"/>
        <w:rPr>
          <w:rFonts w:ascii="Gadugi" w:hAnsi="Gadugi"/>
          <w:sz w:val="24"/>
          <w:szCs w:val="24"/>
        </w:rPr>
      </w:pPr>
    </w:p>
    <w:p w14:paraId="18EFEA19" w14:textId="008B7632" w:rsidR="00746851" w:rsidRPr="00F825B6" w:rsidRDefault="00746851" w:rsidP="00774112">
      <w:pPr>
        <w:tabs>
          <w:tab w:val="left" w:pos="5670"/>
        </w:tabs>
        <w:spacing w:after="0" w:line="276" w:lineRule="auto"/>
        <w:ind w:firstLine="1701"/>
        <w:jc w:val="both"/>
        <w:rPr>
          <w:rFonts w:ascii="Gadugi" w:hAnsi="Gadugi"/>
          <w:sz w:val="24"/>
          <w:szCs w:val="24"/>
        </w:rPr>
      </w:pPr>
      <w:r w:rsidRPr="00F825B6">
        <w:rPr>
          <w:rFonts w:ascii="Gadugi" w:hAnsi="Gadugi"/>
          <w:sz w:val="24"/>
          <w:szCs w:val="24"/>
        </w:rPr>
        <w:t>La doctrina, sin mucho ahondar en la cuestión, advierte la restricción de la demanda de mutua petición a los proceso</w:t>
      </w:r>
      <w:r w:rsidR="007C042B" w:rsidRPr="00F825B6">
        <w:rPr>
          <w:rFonts w:ascii="Gadugi" w:hAnsi="Gadugi"/>
          <w:sz w:val="24"/>
          <w:szCs w:val="24"/>
        </w:rPr>
        <w:t>s</w:t>
      </w:r>
      <w:r w:rsidRPr="00F825B6">
        <w:rPr>
          <w:rFonts w:ascii="Gadugi" w:hAnsi="Gadugi"/>
          <w:sz w:val="24"/>
          <w:szCs w:val="24"/>
        </w:rPr>
        <w:t xml:space="preserve"> declarativos</w:t>
      </w:r>
      <w:r w:rsidRPr="00F825B6">
        <w:rPr>
          <w:rStyle w:val="Refdenotaalpie"/>
          <w:rFonts w:ascii="Gadugi" w:hAnsi="Gadugi"/>
          <w:sz w:val="24"/>
          <w:szCs w:val="24"/>
        </w:rPr>
        <w:footnoteReference w:id="10"/>
      </w:r>
      <w:r w:rsidRPr="00F825B6">
        <w:rPr>
          <w:rFonts w:ascii="Gadugi" w:hAnsi="Gadugi"/>
          <w:sz w:val="24"/>
          <w:szCs w:val="24"/>
          <w:vertAlign w:val="superscript"/>
        </w:rPr>
        <w:t>-</w:t>
      </w:r>
      <w:r w:rsidRPr="00F825B6">
        <w:rPr>
          <w:rStyle w:val="Refdenotaalpie"/>
          <w:rFonts w:ascii="Gadugi" w:hAnsi="Gadugi"/>
          <w:sz w:val="24"/>
          <w:szCs w:val="24"/>
        </w:rPr>
        <w:footnoteReference w:id="11"/>
      </w:r>
      <w:r w:rsidRPr="00F825B6">
        <w:rPr>
          <w:rFonts w:ascii="Gadugi" w:hAnsi="Gadugi"/>
          <w:sz w:val="24"/>
          <w:szCs w:val="24"/>
        </w:rPr>
        <w:t>, y cuando lo hace, coincide con la percepción de esta Sala acerca de la posibilidad de acudir a la excepción. Dice al respecto Gómez Rojas</w:t>
      </w:r>
      <w:r w:rsidRPr="00F825B6">
        <w:rPr>
          <w:rStyle w:val="Refdenotaalpie"/>
          <w:rFonts w:ascii="Gadugi" w:hAnsi="Gadugi"/>
          <w:sz w:val="24"/>
          <w:szCs w:val="24"/>
        </w:rPr>
        <w:footnoteReference w:id="12"/>
      </w:r>
    </w:p>
    <w:p w14:paraId="46F47861" w14:textId="77777777" w:rsidR="00746851" w:rsidRPr="00F825B6" w:rsidRDefault="00746851" w:rsidP="00774112">
      <w:pPr>
        <w:spacing w:after="0" w:line="276" w:lineRule="auto"/>
        <w:ind w:firstLine="1701"/>
        <w:jc w:val="both"/>
        <w:rPr>
          <w:rFonts w:ascii="Gadugi" w:hAnsi="Gadugi"/>
          <w:sz w:val="24"/>
          <w:szCs w:val="24"/>
        </w:rPr>
      </w:pPr>
    </w:p>
    <w:p w14:paraId="2BBAFD07" w14:textId="75566265" w:rsidR="00746851" w:rsidRPr="00F825B6" w:rsidRDefault="00746851" w:rsidP="00CC3C27">
      <w:pPr>
        <w:spacing w:after="0" w:line="240" w:lineRule="auto"/>
        <w:ind w:left="426" w:right="418" w:firstLine="1134"/>
        <w:jc w:val="both"/>
        <w:rPr>
          <w:rFonts w:ascii="Gadugi" w:hAnsi="Gadugi"/>
          <w:szCs w:val="24"/>
        </w:rPr>
      </w:pPr>
      <w:r w:rsidRPr="00F825B6">
        <w:rPr>
          <w:rFonts w:ascii="Gadugi" w:hAnsi="Gadugi"/>
          <w:szCs w:val="24"/>
        </w:rPr>
        <w:t>Parece obvio que en el proceso de ejecución esté descartada la posibilidad de formular demanda de reconvención. Aunque el ejecutado tenga pretensiones de la misma naturaleza contra el ejecutante, no puede formular contrademanda, pues la estructura de la ejecución no está diseñada para ventilar demandas recíprocas. De ahí que la única opción a su disposición sea proponerlas como excepción de compensación para atajar el éxito de la ejecución (CGP, arts. 282-1 y 442).</w:t>
      </w:r>
    </w:p>
    <w:p w14:paraId="3F89BC93" w14:textId="77777777" w:rsidR="00746851" w:rsidRPr="00F825B6" w:rsidRDefault="00746851" w:rsidP="00774112">
      <w:pPr>
        <w:spacing w:line="276" w:lineRule="auto"/>
        <w:ind w:firstLine="1701"/>
        <w:rPr>
          <w:rFonts w:ascii="Gadugi" w:hAnsi="Gadugi"/>
          <w:sz w:val="24"/>
          <w:szCs w:val="24"/>
        </w:rPr>
      </w:pPr>
    </w:p>
    <w:p w14:paraId="221434BD" w14:textId="49A9F64C" w:rsidR="00746851" w:rsidRPr="00F825B6" w:rsidRDefault="00746851" w:rsidP="00774112">
      <w:pPr>
        <w:spacing w:after="0" w:line="276" w:lineRule="auto"/>
        <w:ind w:right="49" w:firstLine="1701"/>
        <w:jc w:val="both"/>
        <w:rPr>
          <w:rFonts w:ascii="Gadugi" w:hAnsi="Gadugi"/>
          <w:sz w:val="24"/>
          <w:szCs w:val="24"/>
        </w:rPr>
      </w:pPr>
      <w:r w:rsidRPr="00F825B6">
        <w:rPr>
          <w:rFonts w:ascii="Gadugi" w:hAnsi="Gadugi"/>
          <w:sz w:val="24"/>
          <w:szCs w:val="24"/>
        </w:rPr>
        <w:t xml:space="preserve">Así que ningún desafuero se advierte en la posición asumida por el juzgado, aunque no la plasmara en la parte resolutiva del auto que resolvió aquella reposición. </w:t>
      </w:r>
      <w:r w:rsidR="00773637" w:rsidRPr="00F825B6">
        <w:rPr>
          <w:rFonts w:ascii="Gadugi" w:hAnsi="Gadugi"/>
          <w:sz w:val="24"/>
          <w:szCs w:val="24"/>
        </w:rPr>
        <w:t xml:space="preserve">Por tanto, </w:t>
      </w:r>
      <w:r w:rsidR="008749FC" w:rsidRPr="00F825B6">
        <w:rPr>
          <w:rFonts w:ascii="Gadugi" w:hAnsi="Gadugi"/>
          <w:sz w:val="24"/>
          <w:szCs w:val="24"/>
        </w:rPr>
        <w:t xml:space="preserve">se confirmará. </w:t>
      </w:r>
    </w:p>
    <w:p w14:paraId="0FB25D6A" w14:textId="3A7BE98E" w:rsidR="001445E1" w:rsidRPr="00F825B6" w:rsidRDefault="008749FC" w:rsidP="00774112">
      <w:pPr>
        <w:spacing w:after="0" w:line="276" w:lineRule="auto"/>
        <w:ind w:right="49" w:firstLine="1701"/>
        <w:jc w:val="both"/>
        <w:rPr>
          <w:rFonts w:ascii="Gadugi" w:eastAsia="Calibri" w:hAnsi="Gadugi" w:cs="Times New Roman"/>
          <w:sz w:val="24"/>
          <w:szCs w:val="24"/>
        </w:rPr>
      </w:pPr>
      <w:r w:rsidRPr="00F825B6">
        <w:rPr>
          <w:rFonts w:ascii="Gadugi" w:hAnsi="Gadugi"/>
          <w:sz w:val="24"/>
          <w:szCs w:val="24"/>
        </w:rPr>
        <w:t xml:space="preserve"> </w:t>
      </w:r>
    </w:p>
    <w:p w14:paraId="6645FF59" w14:textId="77777777" w:rsidR="001445E1" w:rsidRPr="00F825B6" w:rsidRDefault="001445E1" w:rsidP="00774112">
      <w:pPr>
        <w:tabs>
          <w:tab w:val="left" w:pos="2268"/>
        </w:tabs>
        <w:spacing w:after="0" w:line="276" w:lineRule="auto"/>
        <w:ind w:firstLine="1701"/>
        <w:jc w:val="both"/>
        <w:rPr>
          <w:rFonts w:ascii="Gadugi" w:eastAsia="Calibri" w:hAnsi="Gadugi" w:cs="Times New Roman"/>
          <w:sz w:val="24"/>
          <w:szCs w:val="24"/>
        </w:rPr>
      </w:pPr>
      <w:r w:rsidRPr="00F825B6">
        <w:rPr>
          <w:rFonts w:ascii="Gadugi" w:eastAsia="Calibri" w:hAnsi="Gadugi" w:cs="Times New Roman"/>
          <w:sz w:val="24"/>
          <w:szCs w:val="24"/>
        </w:rPr>
        <w:t xml:space="preserve">Como el resultado del recurso es desfavorable, se condenará al recurrente en las costas causadas en esta sede, en los términos del artículo 365-1 del CGP. Ellas se liquidarán de manera concentrada ante el juez de primera instancia, siguiendo las pautas del artículo 366 ibidem. Para ese fin, en auto separado se fijarán las agencias en derecho. </w:t>
      </w:r>
    </w:p>
    <w:p w14:paraId="1680FC06" w14:textId="6D512FEB" w:rsidR="001445E1" w:rsidRPr="00F825B6" w:rsidRDefault="001445E1" w:rsidP="00774112">
      <w:pPr>
        <w:tabs>
          <w:tab w:val="left" w:pos="2268"/>
        </w:tabs>
        <w:spacing w:after="0" w:line="276" w:lineRule="auto"/>
        <w:jc w:val="both"/>
        <w:rPr>
          <w:rFonts w:ascii="Gadugi" w:eastAsia="Calibri" w:hAnsi="Gadugi" w:cs="Times New Roman"/>
          <w:sz w:val="24"/>
          <w:szCs w:val="24"/>
        </w:rPr>
      </w:pPr>
    </w:p>
    <w:p w14:paraId="41824301" w14:textId="1B0A2CEB" w:rsidR="007737EC" w:rsidRPr="00F825B6" w:rsidRDefault="007737EC" w:rsidP="00774112">
      <w:pPr>
        <w:pStyle w:val="Prrafodelista"/>
        <w:tabs>
          <w:tab w:val="left" w:pos="0"/>
          <w:tab w:val="left" w:pos="426"/>
        </w:tabs>
        <w:spacing w:after="0" w:line="276" w:lineRule="auto"/>
        <w:ind w:left="1701"/>
        <w:jc w:val="both"/>
        <w:rPr>
          <w:rFonts w:ascii="Gadugi" w:hAnsi="Gadugi"/>
          <w:b/>
          <w:sz w:val="24"/>
          <w:szCs w:val="24"/>
        </w:rPr>
      </w:pPr>
      <w:r w:rsidRPr="00F825B6">
        <w:rPr>
          <w:rFonts w:ascii="Gadugi" w:hAnsi="Gadugi"/>
          <w:b/>
          <w:sz w:val="24"/>
          <w:szCs w:val="24"/>
        </w:rPr>
        <w:t>DECISIÓN</w:t>
      </w:r>
    </w:p>
    <w:p w14:paraId="7069E81E" w14:textId="3F7C5D4E" w:rsidR="007737EC" w:rsidRPr="00F825B6" w:rsidRDefault="007737EC" w:rsidP="00774112">
      <w:pPr>
        <w:tabs>
          <w:tab w:val="left" w:pos="0"/>
          <w:tab w:val="left" w:pos="426"/>
        </w:tabs>
        <w:spacing w:after="0" w:line="276" w:lineRule="auto"/>
        <w:jc w:val="both"/>
        <w:rPr>
          <w:rFonts w:ascii="Gadugi" w:hAnsi="Gadugi"/>
          <w:b/>
          <w:sz w:val="24"/>
          <w:szCs w:val="24"/>
        </w:rPr>
      </w:pPr>
    </w:p>
    <w:p w14:paraId="52D2A1BD" w14:textId="77777777" w:rsidR="008749FC" w:rsidRPr="00F825B6" w:rsidRDefault="007737EC" w:rsidP="00774112">
      <w:pPr>
        <w:tabs>
          <w:tab w:val="left" w:pos="3686"/>
          <w:tab w:val="left" w:pos="4536"/>
        </w:tabs>
        <w:spacing w:after="0" w:line="276" w:lineRule="auto"/>
        <w:ind w:firstLine="1701"/>
        <w:contextualSpacing/>
        <w:jc w:val="both"/>
        <w:rPr>
          <w:rFonts w:ascii="Gadugi" w:eastAsia="Malgun Gothic" w:hAnsi="Gadugi" w:cs="Estrangelo Edessa"/>
          <w:b/>
          <w:sz w:val="24"/>
          <w:szCs w:val="24"/>
          <w:lang w:val="es-419"/>
        </w:rPr>
      </w:pPr>
      <w:r w:rsidRPr="00F825B6">
        <w:rPr>
          <w:rFonts w:ascii="Gadugi" w:hAnsi="Gadugi"/>
          <w:sz w:val="24"/>
          <w:szCs w:val="24"/>
        </w:rPr>
        <w:t xml:space="preserve">En armonía con lo dicho, </w:t>
      </w:r>
      <w:r w:rsidR="001445E1" w:rsidRPr="00F825B6">
        <w:rPr>
          <w:rFonts w:ascii="Gadugi" w:hAnsi="Gadugi"/>
          <w:sz w:val="24"/>
          <w:szCs w:val="24"/>
        </w:rPr>
        <w:t xml:space="preserve">esta Sala Unitaria Civil-Familia del </w:t>
      </w:r>
      <w:r w:rsidRPr="00F825B6">
        <w:rPr>
          <w:rFonts w:ascii="Gadugi" w:hAnsi="Gadugi"/>
          <w:sz w:val="24"/>
          <w:szCs w:val="24"/>
        </w:rPr>
        <w:t xml:space="preserve">Tribunal Superior de Pereira, </w:t>
      </w:r>
      <w:r w:rsidRPr="00F825B6">
        <w:rPr>
          <w:rFonts w:ascii="Gadugi" w:hAnsi="Gadugi"/>
          <w:b/>
          <w:sz w:val="24"/>
          <w:szCs w:val="24"/>
        </w:rPr>
        <w:t>CONFIRMA</w:t>
      </w:r>
      <w:r w:rsidRPr="00F825B6">
        <w:rPr>
          <w:rFonts w:ascii="Gadugi" w:hAnsi="Gadugi"/>
          <w:sz w:val="24"/>
          <w:szCs w:val="24"/>
        </w:rPr>
        <w:t xml:space="preserve"> </w:t>
      </w:r>
      <w:r w:rsidR="008749FC" w:rsidRPr="00F825B6">
        <w:rPr>
          <w:rFonts w:ascii="Gadugi" w:eastAsia="Malgun Gothic" w:hAnsi="Gadugi" w:cs="Estrangelo Edessa"/>
          <w:sz w:val="24"/>
          <w:szCs w:val="24"/>
        </w:rPr>
        <w:t xml:space="preserve">el auto del 29 de julio de 2021, proferido por el Juzgado Cuarto Civil del Circuito de Pereira, en este en este proceso ejecutivo iniciado por </w:t>
      </w:r>
      <w:proofErr w:type="spellStart"/>
      <w:r w:rsidR="008749FC" w:rsidRPr="00F825B6">
        <w:rPr>
          <w:rFonts w:ascii="Gadugi" w:eastAsia="Malgun Gothic" w:hAnsi="Gadugi" w:cs="Estrangelo Edessa"/>
          <w:b/>
          <w:sz w:val="24"/>
          <w:szCs w:val="24"/>
        </w:rPr>
        <w:t>Migel</w:t>
      </w:r>
      <w:proofErr w:type="spellEnd"/>
      <w:r w:rsidR="008749FC" w:rsidRPr="00F825B6">
        <w:rPr>
          <w:rFonts w:ascii="Gadugi" w:eastAsia="Malgun Gothic" w:hAnsi="Gadugi" w:cs="Estrangelo Edessa"/>
          <w:b/>
          <w:sz w:val="24"/>
          <w:szCs w:val="24"/>
        </w:rPr>
        <w:t xml:space="preserve"> Ángel Giraldo </w:t>
      </w:r>
      <w:proofErr w:type="spellStart"/>
      <w:r w:rsidR="008749FC" w:rsidRPr="00F825B6">
        <w:rPr>
          <w:rFonts w:ascii="Gadugi" w:eastAsia="Malgun Gothic" w:hAnsi="Gadugi" w:cs="Estrangelo Edessa"/>
          <w:b/>
          <w:sz w:val="24"/>
          <w:szCs w:val="24"/>
        </w:rPr>
        <w:t>Giraldo</w:t>
      </w:r>
      <w:proofErr w:type="spellEnd"/>
      <w:r w:rsidR="008749FC" w:rsidRPr="00F825B6">
        <w:rPr>
          <w:rFonts w:ascii="Gadugi" w:eastAsia="Malgun Gothic" w:hAnsi="Gadugi" w:cs="Estrangelo Edessa"/>
          <w:sz w:val="24"/>
          <w:szCs w:val="24"/>
        </w:rPr>
        <w:t xml:space="preserve"> frente a </w:t>
      </w:r>
      <w:r w:rsidR="008749FC" w:rsidRPr="00F825B6">
        <w:rPr>
          <w:rFonts w:ascii="Gadugi" w:eastAsia="Malgun Gothic" w:hAnsi="Gadugi" w:cs="Estrangelo Edessa"/>
          <w:b/>
          <w:sz w:val="24"/>
          <w:szCs w:val="24"/>
        </w:rPr>
        <w:t>Héctor Jaime Giraldo Duque</w:t>
      </w:r>
      <w:r w:rsidR="008749FC" w:rsidRPr="00F825B6">
        <w:rPr>
          <w:rFonts w:ascii="Gadugi" w:eastAsia="Malgun Gothic" w:hAnsi="Gadugi" w:cs="Estrangelo Edessa"/>
          <w:sz w:val="24"/>
          <w:szCs w:val="24"/>
        </w:rPr>
        <w:t>.</w:t>
      </w:r>
    </w:p>
    <w:p w14:paraId="1092B834" w14:textId="25CA0947" w:rsidR="00AF0DA4" w:rsidRPr="00F825B6" w:rsidRDefault="00AF0DA4" w:rsidP="00774112">
      <w:pPr>
        <w:tabs>
          <w:tab w:val="left" w:pos="3686"/>
          <w:tab w:val="left" w:pos="4536"/>
        </w:tabs>
        <w:spacing w:after="0" w:line="276" w:lineRule="auto"/>
        <w:ind w:firstLine="1701"/>
        <w:contextualSpacing/>
        <w:jc w:val="both"/>
        <w:rPr>
          <w:rFonts w:ascii="Gadugi" w:eastAsia="Malgun Gothic" w:hAnsi="Gadugi" w:cs="Estrangelo Edessa"/>
          <w:b/>
          <w:sz w:val="24"/>
          <w:szCs w:val="24"/>
        </w:rPr>
      </w:pPr>
    </w:p>
    <w:p w14:paraId="126DA30A" w14:textId="25198076" w:rsidR="00AF0DA4" w:rsidRPr="00F825B6" w:rsidRDefault="001445E1" w:rsidP="00774112">
      <w:pPr>
        <w:tabs>
          <w:tab w:val="left" w:pos="0"/>
          <w:tab w:val="left" w:pos="426"/>
        </w:tabs>
        <w:spacing w:after="0" w:line="276" w:lineRule="auto"/>
        <w:ind w:firstLine="1701"/>
        <w:contextualSpacing/>
        <w:jc w:val="both"/>
        <w:rPr>
          <w:rFonts w:ascii="Gadugi" w:hAnsi="Gadugi"/>
          <w:sz w:val="24"/>
          <w:szCs w:val="24"/>
        </w:rPr>
      </w:pPr>
      <w:r w:rsidRPr="00F825B6">
        <w:rPr>
          <w:rFonts w:ascii="Gadugi" w:hAnsi="Gadugi"/>
          <w:sz w:val="24"/>
          <w:szCs w:val="24"/>
        </w:rPr>
        <w:t xml:space="preserve">Costas </w:t>
      </w:r>
      <w:r w:rsidR="00AF0DA4" w:rsidRPr="00F825B6">
        <w:rPr>
          <w:rFonts w:ascii="Gadugi" w:hAnsi="Gadugi"/>
          <w:sz w:val="24"/>
          <w:szCs w:val="24"/>
        </w:rPr>
        <w:t>a cargo de</w:t>
      </w:r>
      <w:r w:rsidRPr="00F825B6">
        <w:rPr>
          <w:rFonts w:ascii="Gadugi" w:hAnsi="Gadugi"/>
          <w:sz w:val="24"/>
          <w:szCs w:val="24"/>
        </w:rPr>
        <w:t xml:space="preserve">l recurrente y a favor de la demandada. </w:t>
      </w:r>
    </w:p>
    <w:p w14:paraId="46F57F3D" w14:textId="531F1D40" w:rsidR="00AF0DA4" w:rsidRPr="00F825B6" w:rsidRDefault="00AF0DA4" w:rsidP="00774112">
      <w:pPr>
        <w:tabs>
          <w:tab w:val="left" w:pos="0"/>
          <w:tab w:val="left" w:pos="426"/>
        </w:tabs>
        <w:spacing w:after="0" w:line="276" w:lineRule="auto"/>
        <w:ind w:firstLine="1701"/>
        <w:contextualSpacing/>
        <w:jc w:val="both"/>
        <w:rPr>
          <w:rFonts w:ascii="Gadugi" w:hAnsi="Gadugi"/>
          <w:sz w:val="24"/>
          <w:szCs w:val="24"/>
        </w:rPr>
      </w:pPr>
    </w:p>
    <w:p w14:paraId="6BB21523" w14:textId="45565C7B" w:rsidR="00AF0DA4" w:rsidRPr="00F825B6" w:rsidRDefault="00AF0DA4" w:rsidP="00774112">
      <w:pPr>
        <w:tabs>
          <w:tab w:val="left" w:pos="0"/>
          <w:tab w:val="left" w:pos="426"/>
        </w:tabs>
        <w:spacing w:after="0" w:line="276" w:lineRule="auto"/>
        <w:ind w:firstLine="1701"/>
        <w:contextualSpacing/>
        <w:jc w:val="both"/>
        <w:rPr>
          <w:rFonts w:ascii="Gadugi" w:hAnsi="Gadugi"/>
          <w:sz w:val="24"/>
          <w:szCs w:val="24"/>
        </w:rPr>
      </w:pPr>
      <w:r w:rsidRPr="00F825B6">
        <w:rPr>
          <w:rFonts w:ascii="Gadugi" w:hAnsi="Gadugi"/>
          <w:sz w:val="24"/>
          <w:szCs w:val="24"/>
        </w:rPr>
        <w:t>Notifíquese</w:t>
      </w:r>
    </w:p>
    <w:p w14:paraId="1D26A1A5" w14:textId="21203D95" w:rsidR="00AF0DA4" w:rsidRPr="00F825B6" w:rsidRDefault="00AF0DA4" w:rsidP="00774112">
      <w:pPr>
        <w:tabs>
          <w:tab w:val="left" w:pos="0"/>
          <w:tab w:val="left" w:pos="426"/>
        </w:tabs>
        <w:spacing w:after="0" w:line="276" w:lineRule="auto"/>
        <w:ind w:firstLine="1701"/>
        <w:contextualSpacing/>
        <w:jc w:val="both"/>
        <w:rPr>
          <w:rFonts w:ascii="Gadugi" w:hAnsi="Gadugi"/>
          <w:sz w:val="24"/>
          <w:szCs w:val="24"/>
        </w:rPr>
      </w:pPr>
    </w:p>
    <w:p w14:paraId="110EF4E9" w14:textId="00486D8F" w:rsidR="00AF0DA4" w:rsidRPr="00F825B6" w:rsidRDefault="00AF0DA4" w:rsidP="00774112">
      <w:pPr>
        <w:tabs>
          <w:tab w:val="left" w:pos="0"/>
          <w:tab w:val="left" w:pos="426"/>
        </w:tabs>
        <w:spacing w:after="0" w:line="276" w:lineRule="auto"/>
        <w:ind w:firstLine="1701"/>
        <w:contextualSpacing/>
        <w:jc w:val="both"/>
        <w:rPr>
          <w:rFonts w:ascii="Gadugi" w:hAnsi="Gadugi"/>
          <w:sz w:val="24"/>
          <w:szCs w:val="24"/>
        </w:rPr>
      </w:pPr>
    </w:p>
    <w:p w14:paraId="759FA465" w14:textId="77777777" w:rsidR="006F44AC" w:rsidRPr="00F825B6" w:rsidRDefault="006F44AC" w:rsidP="00774112">
      <w:pPr>
        <w:tabs>
          <w:tab w:val="left" w:pos="0"/>
          <w:tab w:val="left" w:pos="426"/>
        </w:tabs>
        <w:spacing w:after="0" w:line="276" w:lineRule="auto"/>
        <w:ind w:firstLine="1701"/>
        <w:contextualSpacing/>
        <w:jc w:val="both"/>
        <w:rPr>
          <w:rFonts w:ascii="Gadugi" w:hAnsi="Gadugi"/>
          <w:sz w:val="24"/>
          <w:szCs w:val="24"/>
        </w:rPr>
      </w:pPr>
    </w:p>
    <w:p w14:paraId="0ACCCD3E" w14:textId="452C3FFA" w:rsidR="00AF0DA4" w:rsidRPr="00F825B6" w:rsidRDefault="00AF0DA4" w:rsidP="00774112">
      <w:pPr>
        <w:tabs>
          <w:tab w:val="left" w:pos="0"/>
          <w:tab w:val="left" w:pos="426"/>
        </w:tabs>
        <w:spacing w:after="0" w:line="276" w:lineRule="auto"/>
        <w:ind w:firstLine="1701"/>
        <w:contextualSpacing/>
        <w:jc w:val="both"/>
        <w:rPr>
          <w:rFonts w:ascii="Gadugi" w:hAnsi="Gadugi"/>
          <w:b/>
          <w:bCs/>
          <w:sz w:val="24"/>
          <w:szCs w:val="24"/>
        </w:rPr>
      </w:pPr>
      <w:r w:rsidRPr="00F825B6">
        <w:rPr>
          <w:rFonts w:ascii="Gadugi" w:hAnsi="Gadugi"/>
          <w:b/>
          <w:bCs/>
          <w:sz w:val="24"/>
          <w:szCs w:val="24"/>
        </w:rPr>
        <w:t>JAIME ALBERTO SARAZA NARANJO</w:t>
      </w:r>
    </w:p>
    <w:p w14:paraId="205D8518" w14:textId="13D59B8B" w:rsidR="0062770D" w:rsidRPr="00F825B6" w:rsidRDefault="003C45BC" w:rsidP="00CC3C27">
      <w:pPr>
        <w:tabs>
          <w:tab w:val="left" w:pos="0"/>
          <w:tab w:val="left" w:pos="426"/>
        </w:tabs>
        <w:spacing w:after="0" w:line="276" w:lineRule="auto"/>
        <w:ind w:firstLine="1701"/>
        <w:contextualSpacing/>
        <w:jc w:val="both"/>
        <w:rPr>
          <w:rFonts w:ascii="Gadugi" w:hAnsi="Gadugi"/>
          <w:sz w:val="24"/>
          <w:szCs w:val="24"/>
        </w:rPr>
      </w:pPr>
      <w:r w:rsidRPr="00F825B6">
        <w:rPr>
          <w:rFonts w:ascii="Gadugi" w:hAnsi="Gadugi"/>
          <w:bCs/>
          <w:sz w:val="24"/>
          <w:szCs w:val="24"/>
        </w:rPr>
        <w:t>Magistrado</w:t>
      </w:r>
    </w:p>
    <w:sectPr w:rsidR="0062770D" w:rsidRPr="00F825B6" w:rsidSect="00E52A1B">
      <w:footerReference w:type="default" r:id="rId11"/>
      <w:pgSz w:w="12240" w:h="18720" w:code="258"/>
      <w:pgMar w:top="1814" w:right="1247" w:bottom="1247" w:left="1814"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A3291AB" w16cex:dateUtc="2021-12-15T16:03:22.04Z"/>
  <w16cex:commentExtensible w16cex:durableId="42FAD593" w16cex:dateUtc="2021-12-15T16:06:12.965Z"/>
  <w16cex:commentExtensible w16cex:durableId="05243659" w16cex:dateUtc="2021-12-15T16:09:11.845Z"/>
  <w16cex:commentExtensible w16cex:durableId="59D718B0" w16cex:dateUtc="2021-12-15T16:10:33.8Z"/>
  <w16cex:commentExtensible w16cex:durableId="4091E984" w16cex:dateUtc="2021-12-15T16:12:36.446Z"/>
  <w16cex:commentExtensible w16cex:durableId="402A42DC" w16cex:dateUtc="2021-12-16T12:10:40.29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1BD65" w14:textId="77777777" w:rsidR="005F19D8" w:rsidRDefault="005F19D8" w:rsidP="00F659A4">
      <w:pPr>
        <w:spacing w:after="0" w:line="240" w:lineRule="auto"/>
      </w:pPr>
      <w:r>
        <w:separator/>
      </w:r>
    </w:p>
  </w:endnote>
  <w:endnote w:type="continuationSeparator" w:id="0">
    <w:p w14:paraId="08EDDB9A" w14:textId="77777777" w:rsidR="005F19D8" w:rsidRDefault="005F19D8" w:rsidP="00F659A4">
      <w:pPr>
        <w:spacing w:after="0" w:line="240" w:lineRule="auto"/>
      </w:pPr>
      <w:r>
        <w:continuationSeparator/>
      </w:r>
    </w:p>
  </w:endnote>
  <w:endnote w:type="continuationNotice" w:id="1">
    <w:p w14:paraId="4B2FD239" w14:textId="77777777" w:rsidR="005F19D8" w:rsidRDefault="005F19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dugi">
    <w:panose1 w:val="020B0502040204020203"/>
    <w:charset w:val="00"/>
    <w:family w:val="swiss"/>
    <w:pitch w:val="variable"/>
    <w:sig w:usb0="80000003" w:usb1="02000000" w:usb2="00003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Estrangelo Edessa">
    <w:panose1 w:val="00000000000000000000"/>
    <w:charset w:val="01"/>
    <w:family w:val="roman"/>
    <w:notTrueType/>
    <w:pitch w:val="variable"/>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189068"/>
      <w:docPartObj>
        <w:docPartGallery w:val="Page Numbers (Bottom of Page)"/>
        <w:docPartUnique/>
      </w:docPartObj>
    </w:sdtPr>
    <w:sdtEndPr>
      <w:rPr>
        <w:rFonts w:ascii="Arial" w:hAnsi="Arial" w:cs="Arial"/>
        <w:sz w:val="18"/>
      </w:rPr>
    </w:sdtEndPr>
    <w:sdtContent>
      <w:p w14:paraId="7F90D014" w14:textId="10933136" w:rsidR="00C85BE3" w:rsidRPr="00CC3C27" w:rsidRDefault="00C85BE3">
        <w:pPr>
          <w:pStyle w:val="Piedepgina"/>
          <w:jc w:val="right"/>
          <w:rPr>
            <w:rFonts w:ascii="Arial" w:hAnsi="Arial" w:cs="Arial"/>
            <w:sz w:val="18"/>
          </w:rPr>
        </w:pPr>
        <w:r w:rsidRPr="00CC3C27">
          <w:rPr>
            <w:rFonts w:ascii="Arial" w:hAnsi="Arial" w:cs="Arial"/>
            <w:sz w:val="18"/>
          </w:rPr>
          <w:fldChar w:fldCharType="begin"/>
        </w:r>
        <w:r w:rsidRPr="00CC3C27">
          <w:rPr>
            <w:rFonts w:ascii="Arial" w:hAnsi="Arial" w:cs="Arial"/>
            <w:sz w:val="18"/>
          </w:rPr>
          <w:instrText>PAGE   \* MERGEFORMAT</w:instrText>
        </w:r>
        <w:r w:rsidRPr="00CC3C27">
          <w:rPr>
            <w:rFonts w:ascii="Arial" w:hAnsi="Arial" w:cs="Arial"/>
            <w:sz w:val="18"/>
          </w:rPr>
          <w:fldChar w:fldCharType="separate"/>
        </w:r>
        <w:r w:rsidRPr="00CC3C27">
          <w:rPr>
            <w:rFonts w:ascii="Arial" w:hAnsi="Arial" w:cs="Arial"/>
            <w:sz w:val="18"/>
            <w:lang w:val="es-ES"/>
          </w:rPr>
          <w:t>2</w:t>
        </w:r>
        <w:r w:rsidRPr="00CC3C27">
          <w:rPr>
            <w:rFonts w:ascii="Arial" w:hAnsi="Arial" w:cs="Arial"/>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11353" w14:textId="77777777" w:rsidR="005F19D8" w:rsidRDefault="005F19D8" w:rsidP="00F659A4">
      <w:pPr>
        <w:spacing w:after="0" w:line="240" w:lineRule="auto"/>
      </w:pPr>
      <w:r>
        <w:separator/>
      </w:r>
    </w:p>
  </w:footnote>
  <w:footnote w:type="continuationSeparator" w:id="0">
    <w:p w14:paraId="7A70CB1B" w14:textId="77777777" w:rsidR="005F19D8" w:rsidRDefault="005F19D8" w:rsidP="00F659A4">
      <w:pPr>
        <w:spacing w:after="0" w:line="240" w:lineRule="auto"/>
      </w:pPr>
      <w:r>
        <w:continuationSeparator/>
      </w:r>
    </w:p>
  </w:footnote>
  <w:footnote w:type="continuationNotice" w:id="1">
    <w:p w14:paraId="52672703" w14:textId="77777777" w:rsidR="005F19D8" w:rsidRDefault="005F19D8">
      <w:pPr>
        <w:spacing w:after="0" w:line="240" w:lineRule="auto"/>
      </w:pPr>
    </w:p>
  </w:footnote>
  <w:footnote w:id="2">
    <w:p w14:paraId="3398D9D9" w14:textId="702C2B2D" w:rsidR="00FC33F9" w:rsidRPr="00774112" w:rsidRDefault="00FC33F9" w:rsidP="00774112">
      <w:pPr>
        <w:pStyle w:val="Textonotapie"/>
        <w:jc w:val="both"/>
        <w:rPr>
          <w:rFonts w:ascii="Century" w:hAnsi="Century"/>
          <w:sz w:val="18"/>
          <w:szCs w:val="26"/>
          <w:lang w:val="es-419"/>
        </w:rPr>
      </w:pPr>
      <w:r w:rsidRPr="00774112">
        <w:rPr>
          <w:rStyle w:val="Refdenotaalpie"/>
          <w:rFonts w:ascii="Century" w:hAnsi="Century"/>
          <w:sz w:val="18"/>
          <w:szCs w:val="26"/>
        </w:rPr>
        <w:footnoteRef/>
      </w:r>
      <w:r w:rsidRPr="00774112">
        <w:rPr>
          <w:rFonts w:ascii="Century" w:hAnsi="Century"/>
          <w:sz w:val="18"/>
          <w:szCs w:val="26"/>
        </w:rPr>
        <w:t xml:space="preserve"> A</w:t>
      </w:r>
      <w:proofErr w:type="spellStart"/>
      <w:r w:rsidRPr="00774112">
        <w:rPr>
          <w:rFonts w:ascii="Century" w:hAnsi="Century"/>
          <w:sz w:val="18"/>
          <w:szCs w:val="26"/>
          <w:lang w:val="es-419"/>
        </w:rPr>
        <w:t>rch</w:t>
      </w:r>
      <w:proofErr w:type="spellEnd"/>
      <w:r w:rsidRPr="00774112">
        <w:rPr>
          <w:rFonts w:ascii="Century" w:hAnsi="Century"/>
          <w:sz w:val="18"/>
          <w:szCs w:val="26"/>
          <w:lang w:val="es-419"/>
        </w:rPr>
        <w:t>. 20 y 32, 01Primera instancia, 01Cuaderno Principal</w:t>
      </w:r>
    </w:p>
  </w:footnote>
  <w:footnote w:id="3">
    <w:p w14:paraId="03F3C886" w14:textId="42488D9F" w:rsidR="00FC33F9" w:rsidRPr="00774112" w:rsidRDefault="00FC33F9" w:rsidP="00774112">
      <w:pPr>
        <w:pStyle w:val="Textonotapie"/>
        <w:jc w:val="both"/>
        <w:rPr>
          <w:rFonts w:ascii="Century" w:hAnsi="Century"/>
          <w:sz w:val="18"/>
          <w:szCs w:val="26"/>
          <w:lang w:val="es-419"/>
        </w:rPr>
      </w:pPr>
      <w:r w:rsidRPr="00774112">
        <w:rPr>
          <w:rStyle w:val="Refdenotaalpie"/>
          <w:rFonts w:ascii="Century" w:hAnsi="Century"/>
          <w:sz w:val="18"/>
          <w:szCs w:val="26"/>
        </w:rPr>
        <w:footnoteRef/>
      </w:r>
      <w:r w:rsidRPr="00774112">
        <w:rPr>
          <w:rFonts w:ascii="Century" w:hAnsi="Century"/>
          <w:sz w:val="18"/>
          <w:szCs w:val="26"/>
        </w:rPr>
        <w:t xml:space="preserve"> </w:t>
      </w:r>
      <w:proofErr w:type="spellStart"/>
      <w:r w:rsidRPr="00774112">
        <w:rPr>
          <w:rFonts w:ascii="Century" w:hAnsi="Century"/>
          <w:sz w:val="18"/>
          <w:szCs w:val="26"/>
          <w:lang w:val="es-419"/>
        </w:rPr>
        <w:t>Arch</w:t>
      </w:r>
      <w:proofErr w:type="spellEnd"/>
      <w:r w:rsidRPr="00774112">
        <w:rPr>
          <w:rFonts w:ascii="Century" w:hAnsi="Century"/>
          <w:sz w:val="18"/>
          <w:szCs w:val="26"/>
          <w:lang w:val="es-419"/>
        </w:rPr>
        <w:t xml:space="preserve">. 19 ib. </w:t>
      </w:r>
    </w:p>
  </w:footnote>
  <w:footnote w:id="4">
    <w:p w14:paraId="4E299950" w14:textId="50F725F9" w:rsidR="00FC33F9" w:rsidRPr="00774112" w:rsidRDefault="00FC33F9" w:rsidP="00774112">
      <w:pPr>
        <w:pStyle w:val="Textonotapie"/>
        <w:jc w:val="both"/>
        <w:rPr>
          <w:rFonts w:ascii="Century" w:hAnsi="Century"/>
          <w:sz w:val="18"/>
          <w:szCs w:val="26"/>
          <w:lang w:val="es-419"/>
        </w:rPr>
      </w:pPr>
      <w:r w:rsidRPr="00774112">
        <w:rPr>
          <w:rStyle w:val="Refdenotaalpie"/>
          <w:rFonts w:ascii="Century" w:hAnsi="Century"/>
          <w:sz w:val="18"/>
          <w:szCs w:val="26"/>
        </w:rPr>
        <w:footnoteRef/>
      </w:r>
      <w:r w:rsidRPr="00774112">
        <w:rPr>
          <w:rFonts w:ascii="Century" w:hAnsi="Century"/>
          <w:sz w:val="18"/>
          <w:szCs w:val="26"/>
        </w:rPr>
        <w:t xml:space="preserve"> </w:t>
      </w:r>
      <w:proofErr w:type="spellStart"/>
      <w:r w:rsidRPr="00774112">
        <w:rPr>
          <w:rFonts w:ascii="Century" w:hAnsi="Century"/>
          <w:sz w:val="18"/>
          <w:szCs w:val="26"/>
          <w:lang w:val="es-419"/>
        </w:rPr>
        <w:t>Arch</w:t>
      </w:r>
      <w:proofErr w:type="spellEnd"/>
      <w:r w:rsidRPr="00774112">
        <w:rPr>
          <w:rFonts w:ascii="Century" w:hAnsi="Century"/>
          <w:sz w:val="18"/>
          <w:szCs w:val="26"/>
          <w:lang w:val="es-419"/>
        </w:rPr>
        <w:t xml:space="preserve">. 20 ib. </w:t>
      </w:r>
    </w:p>
  </w:footnote>
  <w:footnote w:id="5">
    <w:p w14:paraId="19A216CD" w14:textId="267DE26E" w:rsidR="00FC33F9" w:rsidRPr="00774112" w:rsidRDefault="00FC33F9" w:rsidP="00774112">
      <w:pPr>
        <w:pStyle w:val="Textonotapie"/>
        <w:jc w:val="both"/>
        <w:rPr>
          <w:rFonts w:ascii="Century" w:hAnsi="Century"/>
          <w:sz w:val="18"/>
          <w:szCs w:val="26"/>
          <w:lang w:val="es-419"/>
        </w:rPr>
      </w:pPr>
      <w:r w:rsidRPr="00774112">
        <w:rPr>
          <w:rStyle w:val="Refdenotaalpie"/>
          <w:rFonts w:ascii="Century" w:hAnsi="Century"/>
          <w:sz w:val="18"/>
          <w:szCs w:val="26"/>
        </w:rPr>
        <w:footnoteRef/>
      </w:r>
      <w:r w:rsidRPr="00774112">
        <w:rPr>
          <w:rFonts w:ascii="Century" w:hAnsi="Century"/>
          <w:sz w:val="18"/>
          <w:szCs w:val="26"/>
        </w:rPr>
        <w:t xml:space="preserve"> </w:t>
      </w:r>
      <w:proofErr w:type="spellStart"/>
      <w:r w:rsidR="004F5796" w:rsidRPr="00774112">
        <w:rPr>
          <w:rFonts w:ascii="Century" w:hAnsi="Century"/>
          <w:sz w:val="18"/>
          <w:szCs w:val="26"/>
          <w:lang w:val="es-419"/>
        </w:rPr>
        <w:t>Arch</w:t>
      </w:r>
      <w:proofErr w:type="spellEnd"/>
      <w:r w:rsidR="004F5796" w:rsidRPr="00774112">
        <w:rPr>
          <w:rFonts w:ascii="Century" w:hAnsi="Century"/>
          <w:sz w:val="18"/>
          <w:szCs w:val="26"/>
          <w:lang w:val="es-419"/>
        </w:rPr>
        <w:t xml:space="preserve">. 35 ib. </w:t>
      </w:r>
    </w:p>
  </w:footnote>
  <w:footnote w:id="6">
    <w:p w14:paraId="5F476E5C" w14:textId="5F83659F" w:rsidR="00D171F0" w:rsidRPr="00774112" w:rsidRDefault="00D171F0" w:rsidP="00774112">
      <w:pPr>
        <w:pStyle w:val="Textonotapie"/>
        <w:jc w:val="both"/>
        <w:rPr>
          <w:rFonts w:ascii="Century" w:hAnsi="Century"/>
          <w:sz w:val="18"/>
          <w:szCs w:val="26"/>
          <w:lang w:val="es-419"/>
        </w:rPr>
      </w:pPr>
      <w:r w:rsidRPr="00774112">
        <w:rPr>
          <w:rStyle w:val="Refdenotaalpie"/>
          <w:rFonts w:ascii="Century" w:hAnsi="Century"/>
          <w:sz w:val="18"/>
          <w:szCs w:val="26"/>
        </w:rPr>
        <w:footnoteRef/>
      </w:r>
      <w:r w:rsidRPr="00774112">
        <w:rPr>
          <w:rFonts w:ascii="Century" w:hAnsi="Century"/>
          <w:sz w:val="18"/>
          <w:szCs w:val="26"/>
        </w:rPr>
        <w:t xml:space="preserve"> </w:t>
      </w:r>
      <w:proofErr w:type="spellStart"/>
      <w:r w:rsidRPr="00774112">
        <w:rPr>
          <w:rFonts w:ascii="Century" w:hAnsi="Century"/>
          <w:sz w:val="18"/>
          <w:szCs w:val="26"/>
          <w:lang w:val="es-419"/>
        </w:rPr>
        <w:t>Arch</w:t>
      </w:r>
      <w:proofErr w:type="spellEnd"/>
      <w:r w:rsidRPr="00774112">
        <w:rPr>
          <w:rFonts w:ascii="Century" w:hAnsi="Century"/>
          <w:sz w:val="18"/>
          <w:szCs w:val="26"/>
          <w:lang w:val="es-419"/>
        </w:rPr>
        <w:t>. 37 ib.</w:t>
      </w:r>
    </w:p>
  </w:footnote>
  <w:footnote w:id="7">
    <w:p w14:paraId="08D3CFCE" w14:textId="52C27C87" w:rsidR="00D171F0" w:rsidRPr="00774112" w:rsidRDefault="00D171F0" w:rsidP="00774112">
      <w:pPr>
        <w:pStyle w:val="Textonotapie"/>
        <w:jc w:val="both"/>
        <w:rPr>
          <w:rFonts w:ascii="Century" w:hAnsi="Century"/>
          <w:sz w:val="18"/>
          <w:szCs w:val="26"/>
          <w:lang w:val="es-419"/>
        </w:rPr>
      </w:pPr>
      <w:r w:rsidRPr="00774112">
        <w:rPr>
          <w:rStyle w:val="Refdenotaalpie"/>
          <w:rFonts w:ascii="Century" w:hAnsi="Century"/>
          <w:sz w:val="18"/>
          <w:szCs w:val="26"/>
        </w:rPr>
        <w:footnoteRef/>
      </w:r>
      <w:r w:rsidRPr="00774112">
        <w:rPr>
          <w:rFonts w:ascii="Century" w:hAnsi="Century"/>
          <w:sz w:val="18"/>
          <w:szCs w:val="26"/>
        </w:rPr>
        <w:t xml:space="preserve"> </w:t>
      </w:r>
      <w:proofErr w:type="spellStart"/>
      <w:r w:rsidRPr="00774112">
        <w:rPr>
          <w:rFonts w:ascii="Century" w:hAnsi="Century"/>
          <w:sz w:val="18"/>
          <w:szCs w:val="26"/>
          <w:lang w:val="es-419"/>
        </w:rPr>
        <w:t>Arch</w:t>
      </w:r>
      <w:proofErr w:type="spellEnd"/>
      <w:r w:rsidRPr="00774112">
        <w:rPr>
          <w:rFonts w:ascii="Century" w:hAnsi="Century"/>
          <w:sz w:val="18"/>
          <w:szCs w:val="26"/>
          <w:lang w:val="es-419"/>
        </w:rPr>
        <w:t>. 39 ib.</w:t>
      </w:r>
    </w:p>
  </w:footnote>
  <w:footnote w:id="8">
    <w:p w14:paraId="74678269" w14:textId="10009D84" w:rsidR="00FC33F9" w:rsidRPr="00774112" w:rsidRDefault="00FC33F9" w:rsidP="00774112">
      <w:pPr>
        <w:pStyle w:val="Textonotapie"/>
        <w:jc w:val="both"/>
        <w:rPr>
          <w:rFonts w:ascii="Century" w:hAnsi="Century"/>
          <w:sz w:val="18"/>
          <w:szCs w:val="26"/>
          <w:lang w:val="es-419"/>
        </w:rPr>
      </w:pPr>
      <w:r w:rsidRPr="00774112">
        <w:rPr>
          <w:rStyle w:val="Refdenotaalpie"/>
          <w:rFonts w:ascii="Century" w:hAnsi="Century"/>
          <w:sz w:val="18"/>
          <w:szCs w:val="26"/>
        </w:rPr>
        <w:footnoteRef/>
      </w:r>
      <w:r w:rsidRPr="00774112">
        <w:rPr>
          <w:rFonts w:ascii="Century" w:hAnsi="Century"/>
          <w:sz w:val="18"/>
          <w:szCs w:val="26"/>
        </w:rPr>
        <w:t xml:space="preserve"> A</w:t>
      </w:r>
      <w:proofErr w:type="spellStart"/>
      <w:r w:rsidRPr="00774112">
        <w:rPr>
          <w:rFonts w:ascii="Century" w:hAnsi="Century"/>
          <w:sz w:val="18"/>
          <w:szCs w:val="26"/>
          <w:lang w:val="es-419"/>
        </w:rPr>
        <w:t>rch</w:t>
      </w:r>
      <w:proofErr w:type="spellEnd"/>
      <w:r w:rsidRPr="00774112">
        <w:rPr>
          <w:rFonts w:ascii="Century" w:hAnsi="Century"/>
          <w:sz w:val="18"/>
          <w:szCs w:val="26"/>
          <w:lang w:val="es-419"/>
        </w:rPr>
        <w:t>. 6, 01SegundaInstancia</w:t>
      </w:r>
    </w:p>
    <w:p w14:paraId="02A79272" w14:textId="77777777" w:rsidR="00FC33F9" w:rsidRPr="00774112" w:rsidRDefault="00FC33F9" w:rsidP="00774112">
      <w:pPr>
        <w:pStyle w:val="Textonotapie"/>
        <w:jc w:val="both"/>
        <w:rPr>
          <w:rFonts w:ascii="Century" w:hAnsi="Century"/>
          <w:sz w:val="18"/>
          <w:szCs w:val="26"/>
          <w:lang w:val="es-419"/>
        </w:rPr>
      </w:pPr>
    </w:p>
  </w:footnote>
  <w:footnote w:id="9">
    <w:p w14:paraId="3E983116" w14:textId="405621D8" w:rsidR="00746851" w:rsidRPr="00774112" w:rsidRDefault="00746851" w:rsidP="00774112">
      <w:pPr>
        <w:pStyle w:val="Ttulo1"/>
        <w:spacing w:line="240" w:lineRule="auto"/>
        <w:jc w:val="both"/>
        <w:rPr>
          <w:rFonts w:ascii="Century" w:hAnsi="Century"/>
          <w:sz w:val="18"/>
          <w:szCs w:val="26"/>
        </w:rPr>
      </w:pPr>
      <w:r w:rsidRPr="00774112">
        <w:rPr>
          <w:rStyle w:val="Refdenotaalpie"/>
          <w:rFonts w:ascii="Century" w:hAnsi="Century"/>
          <w:b w:val="0"/>
          <w:sz w:val="18"/>
          <w:szCs w:val="26"/>
        </w:rPr>
        <w:footnoteRef/>
      </w:r>
      <w:r w:rsidRPr="00774112">
        <w:rPr>
          <w:rFonts w:ascii="Century" w:hAnsi="Century"/>
          <w:b w:val="0"/>
          <w:sz w:val="18"/>
          <w:szCs w:val="26"/>
        </w:rPr>
        <w:t xml:space="preserve"> STC11097-2019</w:t>
      </w:r>
    </w:p>
  </w:footnote>
  <w:footnote w:id="10">
    <w:p w14:paraId="6F9FEBEF" w14:textId="77777777" w:rsidR="00746851" w:rsidRPr="00774112" w:rsidRDefault="00746851" w:rsidP="00774112">
      <w:pPr>
        <w:spacing w:after="0" w:line="240" w:lineRule="auto"/>
        <w:jc w:val="both"/>
        <w:rPr>
          <w:rFonts w:ascii="Century" w:hAnsi="Century"/>
          <w:sz w:val="18"/>
          <w:szCs w:val="26"/>
        </w:rPr>
      </w:pPr>
      <w:r w:rsidRPr="00774112">
        <w:rPr>
          <w:rStyle w:val="Refdenotaalpie"/>
          <w:rFonts w:ascii="Century" w:hAnsi="Century"/>
          <w:sz w:val="18"/>
          <w:szCs w:val="26"/>
        </w:rPr>
        <w:footnoteRef/>
      </w:r>
      <w:r w:rsidRPr="00774112">
        <w:rPr>
          <w:rFonts w:ascii="Century" w:hAnsi="Century"/>
          <w:sz w:val="18"/>
          <w:szCs w:val="26"/>
        </w:rPr>
        <w:t xml:space="preserve"> </w:t>
      </w:r>
      <w:proofErr w:type="spellStart"/>
      <w:r w:rsidRPr="00774112">
        <w:rPr>
          <w:rFonts w:ascii="Century" w:hAnsi="Century"/>
          <w:sz w:val="18"/>
          <w:szCs w:val="26"/>
        </w:rPr>
        <w:t>Lopez</w:t>
      </w:r>
      <w:proofErr w:type="spellEnd"/>
      <w:r w:rsidRPr="00774112">
        <w:rPr>
          <w:rFonts w:ascii="Century" w:hAnsi="Century"/>
          <w:sz w:val="18"/>
          <w:szCs w:val="26"/>
        </w:rPr>
        <w:t xml:space="preserve"> Blanco, Hernán Fabio, Código General del Proceso, parte general, p. 594, Dupre, Bogotá,</w:t>
      </w:r>
    </w:p>
  </w:footnote>
  <w:footnote w:id="11">
    <w:p w14:paraId="652B32F2" w14:textId="77777777" w:rsidR="00746851" w:rsidRPr="00774112" w:rsidRDefault="00746851" w:rsidP="00774112">
      <w:pPr>
        <w:spacing w:after="0" w:line="240" w:lineRule="auto"/>
        <w:jc w:val="both"/>
        <w:rPr>
          <w:rFonts w:ascii="Century" w:hAnsi="Century"/>
          <w:sz w:val="18"/>
          <w:szCs w:val="26"/>
        </w:rPr>
      </w:pPr>
      <w:r w:rsidRPr="00774112">
        <w:rPr>
          <w:rStyle w:val="Refdenotaalpie"/>
          <w:rFonts w:ascii="Century" w:hAnsi="Century"/>
          <w:sz w:val="18"/>
          <w:szCs w:val="26"/>
        </w:rPr>
        <w:footnoteRef/>
      </w:r>
      <w:r w:rsidRPr="00774112">
        <w:rPr>
          <w:rFonts w:ascii="Century" w:hAnsi="Century"/>
          <w:sz w:val="18"/>
          <w:szCs w:val="26"/>
        </w:rPr>
        <w:t xml:space="preserve"> P528, Sanabria Santos, Henry, Derecho Procesal Civil General, Universidad Externado de Colombia, 2021.</w:t>
      </w:r>
    </w:p>
  </w:footnote>
  <w:footnote w:id="12">
    <w:p w14:paraId="454E6952" w14:textId="77777777" w:rsidR="00746851" w:rsidRPr="00774112" w:rsidRDefault="00746851" w:rsidP="00774112">
      <w:pPr>
        <w:spacing w:after="0" w:line="240" w:lineRule="auto"/>
        <w:jc w:val="both"/>
        <w:rPr>
          <w:rFonts w:ascii="Century" w:hAnsi="Century"/>
          <w:sz w:val="18"/>
          <w:szCs w:val="26"/>
        </w:rPr>
      </w:pPr>
      <w:r w:rsidRPr="00774112">
        <w:rPr>
          <w:rStyle w:val="Refdenotaalpie"/>
          <w:rFonts w:ascii="Century" w:hAnsi="Century"/>
          <w:sz w:val="18"/>
          <w:szCs w:val="26"/>
        </w:rPr>
        <w:footnoteRef/>
      </w:r>
      <w:r w:rsidRPr="00774112">
        <w:rPr>
          <w:rFonts w:ascii="Century" w:hAnsi="Century"/>
          <w:sz w:val="18"/>
          <w:szCs w:val="26"/>
        </w:rPr>
        <w:t xml:space="preserve"> Rojas Gómez, Miguel Enrique, Lecciones de derecho procesal, tomo 4, </w:t>
      </w:r>
      <w:proofErr w:type="spellStart"/>
      <w:r w:rsidRPr="00774112">
        <w:rPr>
          <w:rFonts w:ascii="Century" w:hAnsi="Century"/>
          <w:sz w:val="18"/>
          <w:szCs w:val="26"/>
        </w:rPr>
        <w:t>Esaju</w:t>
      </w:r>
      <w:proofErr w:type="spellEnd"/>
      <w:r w:rsidRPr="00774112">
        <w:rPr>
          <w:rFonts w:ascii="Century" w:hAnsi="Century"/>
          <w:sz w:val="18"/>
          <w:szCs w:val="26"/>
        </w:rPr>
        <w:t>, Bogotá, 2016, p. 73</w:t>
      </w:r>
    </w:p>
    <w:p w14:paraId="6C2B4ED8" w14:textId="77777777" w:rsidR="00746851" w:rsidRDefault="00746851" w:rsidP="00746851">
      <w:pPr>
        <w:pStyle w:val="Textonotapi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C44B2"/>
    <w:multiLevelType w:val="multilevel"/>
    <w:tmpl w:val="2DC2BCBC"/>
    <w:lvl w:ilvl="0">
      <w:start w:val="2"/>
      <w:numFmt w:val="decimal"/>
      <w:lvlText w:val="%1"/>
      <w:lvlJc w:val="left"/>
      <w:pPr>
        <w:ind w:left="360" w:hanging="360"/>
      </w:pPr>
      <w:rPr>
        <w:rFonts w:hint="default"/>
      </w:rPr>
    </w:lvl>
    <w:lvl w:ilvl="1">
      <w:start w:val="8"/>
      <w:numFmt w:val="decimal"/>
      <w:lvlText w:val="%1.%2"/>
      <w:lvlJc w:val="left"/>
      <w:pPr>
        <w:ind w:left="2421" w:hanging="72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1" w15:restartNumberingAfterBreak="0">
    <w:nsid w:val="20AE6848"/>
    <w:multiLevelType w:val="hybridMultilevel"/>
    <w:tmpl w:val="937EBE38"/>
    <w:lvl w:ilvl="0" w:tplc="0FD239E0">
      <w:start w:val="1"/>
      <w:numFmt w:val="lowerRoman"/>
      <w:lvlText w:val="%1)"/>
      <w:lvlJc w:val="left"/>
      <w:pPr>
        <w:ind w:left="2781" w:hanging="720"/>
      </w:pPr>
      <w:rPr>
        <w:rFonts w:hint="default"/>
      </w:rPr>
    </w:lvl>
    <w:lvl w:ilvl="1" w:tplc="0C0A0019" w:tentative="1">
      <w:start w:val="1"/>
      <w:numFmt w:val="lowerLetter"/>
      <w:lvlText w:val="%2."/>
      <w:lvlJc w:val="left"/>
      <w:pPr>
        <w:ind w:left="3141" w:hanging="360"/>
      </w:pPr>
    </w:lvl>
    <w:lvl w:ilvl="2" w:tplc="0C0A001B" w:tentative="1">
      <w:start w:val="1"/>
      <w:numFmt w:val="lowerRoman"/>
      <w:lvlText w:val="%3."/>
      <w:lvlJc w:val="right"/>
      <w:pPr>
        <w:ind w:left="3861" w:hanging="180"/>
      </w:pPr>
    </w:lvl>
    <w:lvl w:ilvl="3" w:tplc="0C0A000F" w:tentative="1">
      <w:start w:val="1"/>
      <w:numFmt w:val="decimal"/>
      <w:lvlText w:val="%4."/>
      <w:lvlJc w:val="left"/>
      <w:pPr>
        <w:ind w:left="4581" w:hanging="360"/>
      </w:pPr>
    </w:lvl>
    <w:lvl w:ilvl="4" w:tplc="0C0A0019" w:tentative="1">
      <w:start w:val="1"/>
      <w:numFmt w:val="lowerLetter"/>
      <w:lvlText w:val="%5."/>
      <w:lvlJc w:val="left"/>
      <w:pPr>
        <w:ind w:left="5301" w:hanging="360"/>
      </w:pPr>
    </w:lvl>
    <w:lvl w:ilvl="5" w:tplc="0C0A001B" w:tentative="1">
      <w:start w:val="1"/>
      <w:numFmt w:val="lowerRoman"/>
      <w:lvlText w:val="%6."/>
      <w:lvlJc w:val="right"/>
      <w:pPr>
        <w:ind w:left="6021" w:hanging="180"/>
      </w:pPr>
    </w:lvl>
    <w:lvl w:ilvl="6" w:tplc="0C0A000F" w:tentative="1">
      <w:start w:val="1"/>
      <w:numFmt w:val="decimal"/>
      <w:lvlText w:val="%7."/>
      <w:lvlJc w:val="left"/>
      <w:pPr>
        <w:ind w:left="6741" w:hanging="360"/>
      </w:pPr>
    </w:lvl>
    <w:lvl w:ilvl="7" w:tplc="0C0A0019" w:tentative="1">
      <w:start w:val="1"/>
      <w:numFmt w:val="lowerLetter"/>
      <w:lvlText w:val="%8."/>
      <w:lvlJc w:val="left"/>
      <w:pPr>
        <w:ind w:left="7461" w:hanging="360"/>
      </w:pPr>
    </w:lvl>
    <w:lvl w:ilvl="8" w:tplc="0C0A001B" w:tentative="1">
      <w:start w:val="1"/>
      <w:numFmt w:val="lowerRoman"/>
      <w:lvlText w:val="%9."/>
      <w:lvlJc w:val="right"/>
      <w:pPr>
        <w:ind w:left="8181" w:hanging="180"/>
      </w:pPr>
    </w:lvl>
  </w:abstractNum>
  <w:abstractNum w:abstractNumId="2" w15:restartNumberingAfterBreak="0">
    <w:nsid w:val="2C091584"/>
    <w:multiLevelType w:val="hybridMultilevel"/>
    <w:tmpl w:val="5FE2E52E"/>
    <w:lvl w:ilvl="0" w:tplc="3A86B5E4">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5664990"/>
    <w:multiLevelType w:val="hybridMultilevel"/>
    <w:tmpl w:val="935CA9B2"/>
    <w:lvl w:ilvl="0" w:tplc="3E34BEDC">
      <w:start w:val="3"/>
      <w:numFmt w:val="bullet"/>
      <w:lvlText w:val="-"/>
      <w:lvlJc w:val="left"/>
      <w:pPr>
        <w:ind w:left="2061" w:hanging="360"/>
      </w:pPr>
      <w:rPr>
        <w:rFonts w:ascii="Gadugi" w:eastAsia="Calibri" w:hAnsi="Gadugi" w:cs="Times New Roman" w:hint="default"/>
      </w:rPr>
    </w:lvl>
    <w:lvl w:ilvl="1" w:tplc="0C0A0003" w:tentative="1">
      <w:start w:val="1"/>
      <w:numFmt w:val="bullet"/>
      <w:lvlText w:val="o"/>
      <w:lvlJc w:val="left"/>
      <w:pPr>
        <w:ind w:left="2781" w:hanging="360"/>
      </w:pPr>
      <w:rPr>
        <w:rFonts w:ascii="Courier New" w:hAnsi="Courier New" w:cs="Courier New" w:hint="default"/>
      </w:rPr>
    </w:lvl>
    <w:lvl w:ilvl="2" w:tplc="0C0A0005" w:tentative="1">
      <w:start w:val="1"/>
      <w:numFmt w:val="bullet"/>
      <w:lvlText w:val=""/>
      <w:lvlJc w:val="left"/>
      <w:pPr>
        <w:ind w:left="3501" w:hanging="360"/>
      </w:pPr>
      <w:rPr>
        <w:rFonts w:ascii="Wingdings" w:hAnsi="Wingdings" w:hint="default"/>
      </w:rPr>
    </w:lvl>
    <w:lvl w:ilvl="3" w:tplc="0C0A0001" w:tentative="1">
      <w:start w:val="1"/>
      <w:numFmt w:val="bullet"/>
      <w:lvlText w:val=""/>
      <w:lvlJc w:val="left"/>
      <w:pPr>
        <w:ind w:left="4221" w:hanging="360"/>
      </w:pPr>
      <w:rPr>
        <w:rFonts w:ascii="Symbol" w:hAnsi="Symbol" w:hint="default"/>
      </w:rPr>
    </w:lvl>
    <w:lvl w:ilvl="4" w:tplc="0C0A0003" w:tentative="1">
      <w:start w:val="1"/>
      <w:numFmt w:val="bullet"/>
      <w:lvlText w:val="o"/>
      <w:lvlJc w:val="left"/>
      <w:pPr>
        <w:ind w:left="4941" w:hanging="360"/>
      </w:pPr>
      <w:rPr>
        <w:rFonts w:ascii="Courier New" w:hAnsi="Courier New" w:cs="Courier New" w:hint="default"/>
      </w:rPr>
    </w:lvl>
    <w:lvl w:ilvl="5" w:tplc="0C0A0005" w:tentative="1">
      <w:start w:val="1"/>
      <w:numFmt w:val="bullet"/>
      <w:lvlText w:val=""/>
      <w:lvlJc w:val="left"/>
      <w:pPr>
        <w:ind w:left="5661" w:hanging="360"/>
      </w:pPr>
      <w:rPr>
        <w:rFonts w:ascii="Wingdings" w:hAnsi="Wingdings" w:hint="default"/>
      </w:rPr>
    </w:lvl>
    <w:lvl w:ilvl="6" w:tplc="0C0A0001" w:tentative="1">
      <w:start w:val="1"/>
      <w:numFmt w:val="bullet"/>
      <w:lvlText w:val=""/>
      <w:lvlJc w:val="left"/>
      <w:pPr>
        <w:ind w:left="6381" w:hanging="360"/>
      </w:pPr>
      <w:rPr>
        <w:rFonts w:ascii="Symbol" w:hAnsi="Symbol" w:hint="default"/>
      </w:rPr>
    </w:lvl>
    <w:lvl w:ilvl="7" w:tplc="0C0A0003" w:tentative="1">
      <w:start w:val="1"/>
      <w:numFmt w:val="bullet"/>
      <w:lvlText w:val="o"/>
      <w:lvlJc w:val="left"/>
      <w:pPr>
        <w:ind w:left="7101" w:hanging="360"/>
      </w:pPr>
      <w:rPr>
        <w:rFonts w:ascii="Courier New" w:hAnsi="Courier New" w:cs="Courier New" w:hint="default"/>
      </w:rPr>
    </w:lvl>
    <w:lvl w:ilvl="8" w:tplc="0C0A0005" w:tentative="1">
      <w:start w:val="1"/>
      <w:numFmt w:val="bullet"/>
      <w:lvlText w:val=""/>
      <w:lvlJc w:val="left"/>
      <w:pPr>
        <w:ind w:left="7821" w:hanging="360"/>
      </w:pPr>
      <w:rPr>
        <w:rFonts w:ascii="Wingdings" w:hAnsi="Wingdings" w:hint="default"/>
      </w:rPr>
    </w:lvl>
  </w:abstractNum>
  <w:abstractNum w:abstractNumId="4" w15:restartNumberingAfterBreak="0">
    <w:nsid w:val="3B52010B"/>
    <w:multiLevelType w:val="multilevel"/>
    <w:tmpl w:val="55CCDAAE"/>
    <w:lvl w:ilvl="0">
      <w:start w:val="1"/>
      <w:numFmt w:val="decimal"/>
      <w:lvlText w:val="%1."/>
      <w:lvlJc w:val="left"/>
      <w:pPr>
        <w:ind w:left="3195" w:hanging="360"/>
      </w:pPr>
      <w:rPr>
        <w:rFonts w:hint="default"/>
      </w:rPr>
    </w:lvl>
    <w:lvl w:ilvl="1">
      <w:start w:val="1"/>
      <w:numFmt w:val="decimal"/>
      <w:isLgl/>
      <w:lvlText w:val="%1.%2."/>
      <w:lvlJc w:val="left"/>
      <w:pPr>
        <w:ind w:left="3555" w:hanging="720"/>
      </w:pPr>
      <w:rPr>
        <w:rFonts w:ascii="Gadugi" w:hAnsi="Gadugi" w:hint="default"/>
        <w:b/>
        <w:i w:val="0"/>
        <w:color w:val="auto"/>
        <w:sz w:val="28"/>
        <w:szCs w:val="28"/>
      </w:rPr>
    </w:lvl>
    <w:lvl w:ilvl="2">
      <w:start w:val="1"/>
      <w:numFmt w:val="decimal"/>
      <w:isLgl/>
      <w:lvlText w:val="%1.%2.%3."/>
      <w:lvlJc w:val="left"/>
      <w:pPr>
        <w:ind w:left="3555" w:hanging="720"/>
      </w:pPr>
      <w:rPr>
        <w:rFonts w:hint="default"/>
      </w:rPr>
    </w:lvl>
    <w:lvl w:ilvl="3">
      <w:start w:val="1"/>
      <w:numFmt w:val="decimal"/>
      <w:isLgl/>
      <w:lvlText w:val="%1.%2.%3.%4."/>
      <w:lvlJc w:val="left"/>
      <w:pPr>
        <w:ind w:left="3915" w:hanging="1080"/>
      </w:pPr>
      <w:rPr>
        <w:rFonts w:hint="default"/>
      </w:rPr>
    </w:lvl>
    <w:lvl w:ilvl="4">
      <w:start w:val="1"/>
      <w:numFmt w:val="decimal"/>
      <w:isLgl/>
      <w:lvlText w:val="%1.%2.%3.%4.%5."/>
      <w:lvlJc w:val="left"/>
      <w:pPr>
        <w:ind w:left="3915"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4635" w:hanging="1800"/>
      </w:pPr>
      <w:rPr>
        <w:rFonts w:hint="default"/>
      </w:rPr>
    </w:lvl>
    <w:lvl w:ilvl="7">
      <w:start w:val="1"/>
      <w:numFmt w:val="decimal"/>
      <w:isLgl/>
      <w:lvlText w:val="%1.%2.%3.%4.%5.%6.%7.%8."/>
      <w:lvlJc w:val="left"/>
      <w:pPr>
        <w:ind w:left="4635" w:hanging="1800"/>
      </w:pPr>
      <w:rPr>
        <w:rFonts w:hint="default"/>
      </w:rPr>
    </w:lvl>
    <w:lvl w:ilvl="8">
      <w:start w:val="1"/>
      <w:numFmt w:val="decimal"/>
      <w:isLgl/>
      <w:lvlText w:val="%1.%2.%3.%4.%5.%6.%7.%8.%9."/>
      <w:lvlJc w:val="left"/>
      <w:pPr>
        <w:ind w:left="4995" w:hanging="2160"/>
      </w:pPr>
      <w:rPr>
        <w:rFonts w:hint="default"/>
      </w:rPr>
    </w:lvl>
  </w:abstractNum>
  <w:abstractNum w:abstractNumId="5" w15:restartNumberingAfterBreak="0">
    <w:nsid w:val="422A13F3"/>
    <w:multiLevelType w:val="hybridMultilevel"/>
    <w:tmpl w:val="84565CB8"/>
    <w:lvl w:ilvl="0" w:tplc="54B40ED6">
      <w:start w:val="1"/>
      <w:numFmt w:val="lowerRoman"/>
      <w:lvlText w:val="%1."/>
      <w:lvlJc w:val="left"/>
      <w:pPr>
        <w:ind w:left="2421" w:hanging="72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6" w15:restartNumberingAfterBreak="0">
    <w:nsid w:val="604A4DEF"/>
    <w:multiLevelType w:val="hybridMultilevel"/>
    <w:tmpl w:val="A36CFFC8"/>
    <w:lvl w:ilvl="0" w:tplc="A87C0DC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7" w15:restartNumberingAfterBreak="0">
    <w:nsid w:val="62CD12DB"/>
    <w:multiLevelType w:val="multilevel"/>
    <w:tmpl w:val="240A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8" w15:restartNumberingAfterBreak="0">
    <w:nsid w:val="6ABB52B8"/>
    <w:multiLevelType w:val="hybridMultilevel"/>
    <w:tmpl w:val="A080F408"/>
    <w:lvl w:ilvl="0" w:tplc="12C8EAB4">
      <w:start w:val="1"/>
      <w:numFmt w:val="decimal"/>
      <w:lvlText w:val="%1."/>
      <w:lvlJc w:val="left"/>
      <w:pPr>
        <w:ind w:left="2061" w:hanging="360"/>
      </w:pPr>
      <w:rPr>
        <w:rFonts w:hint="default"/>
        <w:b w:val="0"/>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num w:numId="1">
    <w:abstractNumId w:val="4"/>
  </w:num>
  <w:num w:numId="2">
    <w:abstractNumId w:val="2"/>
  </w:num>
  <w:num w:numId="3">
    <w:abstractNumId w:val="3"/>
  </w:num>
  <w:num w:numId="4">
    <w:abstractNumId w:val="6"/>
  </w:num>
  <w:num w:numId="5">
    <w:abstractNumId w:val="8"/>
  </w:num>
  <w:num w:numId="6">
    <w:abstractNumId w:val="1"/>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BB7"/>
    <w:rsid w:val="00000F6D"/>
    <w:rsid w:val="00004B67"/>
    <w:rsid w:val="00005462"/>
    <w:rsid w:val="000076EB"/>
    <w:rsid w:val="00010BAC"/>
    <w:rsid w:val="00013CBC"/>
    <w:rsid w:val="00021E4B"/>
    <w:rsid w:val="00022A43"/>
    <w:rsid w:val="000249D7"/>
    <w:rsid w:val="00030833"/>
    <w:rsid w:val="00030E65"/>
    <w:rsid w:val="00033183"/>
    <w:rsid w:val="00033412"/>
    <w:rsid w:val="0003485F"/>
    <w:rsid w:val="00035031"/>
    <w:rsid w:val="00036EEE"/>
    <w:rsid w:val="0004182C"/>
    <w:rsid w:val="00044955"/>
    <w:rsid w:val="00045161"/>
    <w:rsid w:val="00050C3D"/>
    <w:rsid w:val="000605C1"/>
    <w:rsid w:val="0006205F"/>
    <w:rsid w:val="0007018A"/>
    <w:rsid w:val="000735FF"/>
    <w:rsid w:val="000801BF"/>
    <w:rsid w:val="000816AB"/>
    <w:rsid w:val="00083BEA"/>
    <w:rsid w:val="000846D8"/>
    <w:rsid w:val="0008519E"/>
    <w:rsid w:val="00085869"/>
    <w:rsid w:val="000867A3"/>
    <w:rsid w:val="000867D0"/>
    <w:rsid w:val="0009010F"/>
    <w:rsid w:val="00091557"/>
    <w:rsid w:val="000A0B2F"/>
    <w:rsid w:val="000A3E7B"/>
    <w:rsid w:val="000B11E3"/>
    <w:rsid w:val="000B7958"/>
    <w:rsid w:val="000C3470"/>
    <w:rsid w:val="000C5172"/>
    <w:rsid w:val="000C58DC"/>
    <w:rsid w:val="000C6D08"/>
    <w:rsid w:val="000D0435"/>
    <w:rsid w:val="000D5F40"/>
    <w:rsid w:val="000D6A5D"/>
    <w:rsid w:val="000D7CBA"/>
    <w:rsid w:val="000E123C"/>
    <w:rsid w:val="000E1394"/>
    <w:rsid w:val="000E1A0D"/>
    <w:rsid w:val="000E6310"/>
    <w:rsid w:val="000F025E"/>
    <w:rsid w:val="000F0912"/>
    <w:rsid w:val="000F0C3E"/>
    <w:rsid w:val="000F118D"/>
    <w:rsid w:val="000F1837"/>
    <w:rsid w:val="000F6A11"/>
    <w:rsid w:val="00107E4A"/>
    <w:rsid w:val="00110A4A"/>
    <w:rsid w:val="00112D27"/>
    <w:rsid w:val="001148A1"/>
    <w:rsid w:val="001148D0"/>
    <w:rsid w:val="00126E84"/>
    <w:rsid w:val="00127463"/>
    <w:rsid w:val="00132BAD"/>
    <w:rsid w:val="00134976"/>
    <w:rsid w:val="00137DF1"/>
    <w:rsid w:val="001417B5"/>
    <w:rsid w:val="001445E1"/>
    <w:rsid w:val="00150F88"/>
    <w:rsid w:val="00152EDA"/>
    <w:rsid w:val="00154CC5"/>
    <w:rsid w:val="0015730C"/>
    <w:rsid w:val="001602C2"/>
    <w:rsid w:val="00160701"/>
    <w:rsid w:val="001629AD"/>
    <w:rsid w:val="00163FF0"/>
    <w:rsid w:val="00166597"/>
    <w:rsid w:val="0017000B"/>
    <w:rsid w:val="00180A2B"/>
    <w:rsid w:val="00184B66"/>
    <w:rsid w:val="00186999"/>
    <w:rsid w:val="001906E9"/>
    <w:rsid w:val="00197DA2"/>
    <w:rsid w:val="001A19DB"/>
    <w:rsid w:val="001A5246"/>
    <w:rsid w:val="001B066B"/>
    <w:rsid w:val="001B2BE9"/>
    <w:rsid w:val="001B330D"/>
    <w:rsid w:val="001B43D1"/>
    <w:rsid w:val="001C76D3"/>
    <w:rsid w:val="001D2985"/>
    <w:rsid w:val="001D7FE2"/>
    <w:rsid w:val="001E4DDF"/>
    <w:rsid w:val="001E7D16"/>
    <w:rsid w:val="001F300D"/>
    <w:rsid w:val="001F3BD0"/>
    <w:rsid w:val="001F7DDD"/>
    <w:rsid w:val="00200432"/>
    <w:rsid w:val="00206E08"/>
    <w:rsid w:val="002130BF"/>
    <w:rsid w:val="00222081"/>
    <w:rsid w:val="002224D3"/>
    <w:rsid w:val="00223391"/>
    <w:rsid w:val="00224761"/>
    <w:rsid w:val="00225C39"/>
    <w:rsid w:val="00230E2B"/>
    <w:rsid w:val="00231800"/>
    <w:rsid w:val="00233F45"/>
    <w:rsid w:val="0024489E"/>
    <w:rsid w:val="00246C5A"/>
    <w:rsid w:val="002554C0"/>
    <w:rsid w:val="00257055"/>
    <w:rsid w:val="0026278C"/>
    <w:rsid w:val="00262F70"/>
    <w:rsid w:val="00265162"/>
    <w:rsid w:val="002713DB"/>
    <w:rsid w:val="0027327D"/>
    <w:rsid w:val="00274A34"/>
    <w:rsid w:val="002755F7"/>
    <w:rsid w:val="00284813"/>
    <w:rsid w:val="00285B0B"/>
    <w:rsid w:val="002869E8"/>
    <w:rsid w:val="00290D60"/>
    <w:rsid w:val="002963F2"/>
    <w:rsid w:val="00297658"/>
    <w:rsid w:val="002A14C7"/>
    <w:rsid w:val="002A36CB"/>
    <w:rsid w:val="002A3866"/>
    <w:rsid w:val="002B4D27"/>
    <w:rsid w:val="002B5BC1"/>
    <w:rsid w:val="002B75A2"/>
    <w:rsid w:val="002C02CA"/>
    <w:rsid w:val="002C0C17"/>
    <w:rsid w:val="002D1B64"/>
    <w:rsid w:val="002D1CED"/>
    <w:rsid w:val="002D2919"/>
    <w:rsid w:val="002D4A45"/>
    <w:rsid w:val="002E5192"/>
    <w:rsid w:val="002F0D8D"/>
    <w:rsid w:val="002F30A2"/>
    <w:rsid w:val="00305B9A"/>
    <w:rsid w:val="003065CC"/>
    <w:rsid w:val="00307223"/>
    <w:rsid w:val="003134EE"/>
    <w:rsid w:val="0031D703"/>
    <w:rsid w:val="003305F4"/>
    <w:rsid w:val="00332392"/>
    <w:rsid w:val="00333667"/>
    <w:rsid w:val="003341EB"/>
    <w:rsid w:val="003400E7"/>
    <w:rsid w:val="0034081A"/>
    <w:rsid w:val="0034367F"/>
    <w:rsid w:val="00346D78"/>
    <w:rsid w:val="003475E0"/>
    <w:rsid w:val="003500A9"/>
    <w:rsid w:val="00355BAC"/>
    <w:rsid w:val="00356104"/>
    <w:rsid w:val="00360D9A"/>
    <w:rsid w:val="00360E66"/>
    <w:rsid w:val="00361AAD"/>
    <w:rsid w:val="00361FDB"/>
    <w:rsid w:val="0036646D"/>
    <w:rsid w:val="00366ABC"/>
    <w:rsid w:val="00367C85"/>
    <w:rsid w:val="00371A5D"/>
    <w:rsid w:val="003739E5"/>
    <w:rsid w:val="003746D8"/>
    <w:rsid w:val="00377E3C"/>
    <w:rsid w:val="00380822"/>
    <w:rsid w:val="00380989"/>
    <w:rsid w:val="00380F0D"/>
    <w:rsid w:val="0038219A"/>
    <w:rsid w:val="00383AF7"/>
    <w:rsid w:val="00384381"/>
    <w:rsid w:val="00384C7A"/>
    <w:rsid w:val="00391E55"/>
    <w:rsid w:val="003926DF"/>
    <w:rsid w:val="0039571E"/>
    <w:rsid w:val="003A3D3E"/>
    <w:rsid w:val="003A561A"/>
    <w:rsid w:val="003B3C3D"/>
    <w:rsid w:val="003B47E3"/>
    <w:rsid w:val="003C16C4"/>
    <w:rsid w:val="003C1C2A"/>
    <w:rsid w:val="003C23F6"/>
    <w:rsid w:val="003C45BC"/>
    <w:rsid w:val="003C5BA8"/>
    <w:rsid w:val="003C7BCE"/>
    <w:rsid w:val="003D01F7"/>
    <w:rsid w:val="003D204B"/>
    <w:rsid w:val="003D36F3"/>
    <w:rsid w:val="003D4F38"/>
    <w:rsid w:val="003D6C5F"/>
    <w:rsid w:val="003D7391"/>
    <w:rsid w:val="003E003C"/>
    <w:rsid w:val="003E1A8E"/>
    <w:rsid w:val="003E5D9B"/>
    <w:rsid w:val="003F29C8"/>
    <w:rsid w:val="003F5814"/>
    <w:rsid w:val="00400FBF"/>
    <w:rsid w:val="00403D87"/>
    <w:rsid w:val="004061AA"/>
    <w:rsid w:val="004144D6"/>
    <w:rsid w:val="00430547"/>
    <w:rsid w:val="00431A29"/>
    <w:rsid w:val="004328AB"/>
    <w:rsid w:val="00432A98"/>
    <w:rsid w:val="00433E26"/>
    <w:rsid w:val="004426F1"/>
    <w:rsid w:val="0044329A"/>
    <w:rsid w:val="00456BE0"/>
    <w:rsid w:val="00461DDC"/>
    <w:rsid w:val="00463D47"/>
    <w:rsid w:val="0046570C"/>
    <w:rsid w:val="00466569"/>
    <w:rsid w:val="00467A46"/>
    <w:rsid w:val="00473564"/>
    <w:rsid w:val="0047369A"/>
    <w:rsid w:val="00474760"/>
    <w:rsid w:val="00474AE7"/>
    <w:rsid w:val="004912FD"/>
    <w:rsid w:val="00491578"/>
    <w:rsid w:val="004A1B64"/>
    <w:rsid w:val="004A353F"/>
    <w:rsid w:val="004A428A"/>
    <w:rsid w:val="004A670E"/>
    <w:rsid w:val="004B001C"/>
    <w:rsid w:val="004B00EC"/>
    <w:rsid w:val="004B1336"/>
    <w:rsid w:val="004B23D2"/>
    <w:rsid w:val="004B27FC"/>
    <w:rsid w:val="004B2814"/>
    <w:rsid w:val="004C0470"/>
    <w:rsid w:val="004C0BCD"/>
    <w:rsid w:val="004C5437"/>
    <w:rsid w:val="004C54A6"/>
    <w:rsid w:val="004D1E8A"/>
    <w:rsid w:val="004D2490"/>
    <w:rsid w:val="004D33A2"/>
    <w:rsid w:val="004D487C"/>
    <w:rsid w:val="004E0AE0"/>
    <w:rsid w:val="004E3276"/>
    <w:rsid w:val="004E7E52"/>
    <w:rsid w:val="004F2B9F"/>
    <w:rsid w:val="004F544A"/>
    <w:rsid w:val="004F5796"/>
    <w:rsid w:val="004F5D87"/>
    <w:rsid w:val="004F6A97"/>
    <w:rsid w:val="005001C4"/>
    <w:rsid w:val="00500B72"/>
    <w:rsid w:val="00504D05"/>
    <w:rsid w:val="00506741"/>
    <w:rsid w:val="005107EF"/>
    <w:rsid w:val="00510903"/>
    <w:rsid w:val="00511F0B"/>
    <w:rsid w:val="00513C2C"/>
    <w:rsid w:val="0051480B"/>
    <w:rsid w:val="00515F01"/>
    <w:rsid w:val="00517E5D"/>
    <w:rsid w:val="00524E80"/>
    <w:rsid w:val="00530A39"/>
    <w:rsid w:val="0054047B"/>
    <w:rsid w:val="00543635"/>
    <w:rsid w:val="005440E9"/>
    <w:rsid w:val="00546038"/>
    <w:rsid w:val="00546902"/>
    <w:rsid w:val="005545CF"/>
    <w:rsid w:val="00554933"/>
    <w:rsid w:val="00557357"/>
    <w:rsid w:val="00560DC9"/>
    <w:rsid w:val="00561A9B"/>
    <w:rsid w:val="005654A6"/>
    <w:rsid w:val="00566457"/>
    <w:rsid w:val="0056662B"/>
    <w:rsid w:val="00574855"/>
    <w:rsid w:val="005757D8"/>
    <w:rsid w:val="00576382"/>
    <w:rsid w:val="00577D15"/>
    <w:rsid w:val="005827EE"/>
    <w:rsid w:val="00584C97"/>
    <w:rsid w:val="005871E6"/>
    <w:rsid w:val="00587653"/>
    <w:rsid w:val="00590952"/>
    <w:rsid w:val="00594143"/>
    <w:rsid w:val="00594438"/>
    <w:rsid w:val="005A0F45"/>
    <w:rsid w:val="005A252B"/>
    <w:rsid w:val="005B097C"/>
    <w:rsid w:val="005B4201"/>
    <w:rsid w:val="005C0BBA"/>
    <w:rsid w:val="005C1519"/>
    <w:rsid w:val="005C2E3B"/>
    <w:rsid w:val="005D09CE"/>
    <w:rsid w:val="005D4E7F"/>
    <w:rsid w:val="005D5D1F"/>
    <w:rsid w:val="005D70B3"/>
    <w:rsid w:val="005E08C4"/>
    <w:rsid w:val="005E0C7C"/>
    <w:rsid w:val="005E11CC"/>
    <w:rsid w:val="005E1800"/>
    <w:rsid w:val="005E5C95"/>
    <w:rsid w:val="005F19D8"/>
    <w:rsid w:val="005F21D8"/>
    <w:rsid w:val="005F2737"/>
    <w:rsid w:val="005F2FEC"/>
    <w:rsid w:val="005F7E0C"/>
    <w:rsid w:val="005F7ECF"/>
    <w:rsid w:val="0060017A"/>
    <w:rsid w:val="006012D6"/>
    <w:rsid w:val="00603C3F"/>
    <w:rsid w:val="006148F5"/>
    <w:rsid w:val="00615AC9"/>
    <w:rsid w:val="006175CE"/>
    <w:rsid w:val="00617D3D"/>
    <w:rsid w:val="0062253F"/>
    <w:rsid w:val="0062417D"/>
    <w:rsid w:val="0062616B"/>
    <w:rsid w:val="0062770D"/>
    <w:rsid w:val="00633985"/>
    <w:rsid w:val="00635FED"/>
    <w:rsid w:val="00636C07"/>
    <w:rsid w:val="006407E4"/>
    <w:rsid w:val="006408C5"/>
    <w:rsid w:val="006411B1"/>
    <w:rsid w:val="00641D84"/>
    <w:rsid w:val="0064465F"/>
    <w:rsid w:val="00645652"/>
    <w:rsid w:val="00663523"/>
    <w:rsid w:val="00664E32"/>
    <w:rsid w:val="006724B6"/>
    <w:rsid w:val="00675B96"/>
    <w:rsid w:val="006801F3"/>
    <w:rsid w:val="00680B18"/>
    <w:rsid w:val="006817EA"/>
    <w:rsid w:val="00684991"/>
    <w:rsid w:val="00687389"/>
    <w:rsid w:val="00690990"/>
    <w:rsid w:val="00693513"/>
    <w:rsid w:val="006948C0"/>
    <w:rsid w:val="006979E2"/>
    <w:rsid w:val="006A6042"/>
    <w:rsid w:val="006B0769"/>
    <w:rsid w:val="006B2201"/>
    <w:rsid w:val="006B23ED"/>
    <w:rsid w:val="006B7468"/>
    <w:rsid w:val="006C0772"/>
    <w:rsid w:val="006C2019"/>
    <w:rsid w:val="006C30CA"/>
    <w:rsid w:val="006D17A1"/>
    <w:rsid w:val="006D3AE7"/>
    <w:rsid w:val="006D42AF"/>
    <w:rsid w:val="006D4DA2"/>
    <w:rsid w:val="006D4F0E"/>
    <w:rsid w:val="006D616F"/>
    <w:rsid w:val="006D7EC9"/>
    <w:rsid w:val="006E4C30"/>
    <w:rsid w:val="006E6165"/>
    <w:rsid w:val="006E6886"/>
    <w:rsid w:val="006F29E8"/>
    <w:rsid w:val="006F404E"/>
    <w:rsid w:val="006F44AC"/>
    <w:rsid w:val="00702D6C"/>
    <w:rsid w:val="00704E29"/>
    <w:rsid w:val="0070509C"/>
    <w:rsid w:val="00705367"/>
    <w:rsid w:val="0070641C"/>
    <w:rsid w:val="00706447"/>
    <w:rsid w:val="00706748"/>
    <w:rsid w:val="0070718F"/>
    <w:rsid w:val="0071488D"/>
    <w:rsid w:val="00715729"/>
    <w:rsid w:val="00717A88"/>
    <w:rsid w:val="0072049E"/>
    <w:rsid w:val="00722800"/>
    <w:rsid w:val="00723E64"/>
    <w:rsid w:val="00726901"/>
    <w:rsid w:val="00726CD0"/>
    <w:rsid w:val="00734371"/>
    <w:rsid w:val="007405A8"/>
    <w:rsid w:val="00740AED"/>
    <w:rsid w:val="00744D5E"/>
    <w:rsid w:val="00744DB9"/>
    <w:rsid w:val="00746449"/>
    <w:rsid w:val="00746851"/>
    <w:rsid w:val="00747576"/>
    <w:rsid w:val="00751362"/>
    <w:rsid w:val="00751898"/>
    <w:rsid w:val="00764D94"/>
    <w:rsid w:val="00766A45"/>
    <w:rsid w:val="00767563"/>
    <w:rsid w:val="00767AE8"/>
    <w:rsid w:val="00773637"/>
    <w:rsid w:val="007737EC"/>
    <w:rsid w:val="00774112"/>
    <w:rsid w:val="00775CB7"/>
    <w:rsid w:val="00776A91"/>
    <w:rsid w:val="00776F32"/>
    <w:rsid w:val="007802DE"/>
    <w:rsid w:val="00782BFB"/>
    <w:rsid w:val="00782C27"/>
    <w:rsid w:val="007849C4"/>
    <w:rsid w:val="00785976"/>
    <w:rsid w:val="007904BF"/>
    <w:rsid w:val="00795954"/>
    <w:rsid w:val="007A1756"/>
    <w:rsid w:val="007A43CC"/>
    <w:rsid w:val="007A7A41"/>
    <w:rsid w:val="007B03F8"/>
    <w:rsid w:val="007B3B03"/>
    <w:rsid w:val="007C042B"/>
    <w:rsid w:val="007C6201"/>
    <w:rsid w:val="007D1063"/>
    <w:rsid w:val="007D14E6"/>
    <w:rsid w:val="007E081B"/>
    <w:rsid w:val="007E145B"/>
    <w:rsid w:val="007E56AA"/>
    <w:rsid w:val="007E6717"/>
    <w:rsid w:val="007F6546"/>
    <w:rsid w:val="007F7EAC"/>
    <w:rsid w:val="0080008C"/>
    <w:rsid w:val="00803B2A"/>
    <w:rsid w:val="0081113F"/>
    <w:rsid w:val="00815090"/>
    <w:rsid w:val="008176ED"/>
    <w:rsid w:val="00822A97"/>
    <w:rsid w:val="00830297"/>
    <w:rsid w:val="008370A0"/>
    <w:rsid w:val="008378D9"/>
    <w:rsid w:val="00840CE5"/>
    <w:rsid w:val="00842298"/>
    <w:rsid w:val="00843536"/>
    <w:rsid w:val="008477C5"/>
    <w:rsid w:val="0085006C"/>
    <w:rsid w:val="0085076A"/>
    <w:rsid w:val="0085121C"/>
    <w:rsid w:val="00852020"/>
    <w:rsid w:val="0085371B"/>
    <w:rsid w:val="00853D61"/>
    <w:rsid w:val="00853E5F"/>
    <w:rsid w:val="00856A85"/>
    <w:rsid w:val="00863F65"/>
    <w:rsid w:val="00864CB0"/>
    <w:rsid w:val="00865215"/>
    <w:rsid w:val="0086584B"/>
    <w:rsid w:val="00865A57"/>
    <w:rsid w:val="008741C2"/>
    <w:rsid w:val="008749FC"/>
    <w:rsid w:val="0087599F"/>
    <w:rsid w:val="00880D02"/>
    <w:rsid w:val="00885BB7"/>
    <w:rsid w:val="00887445"/>
    <w:rsid w:val="00894EAC"/>
    <w:rsid w:val="0089501F"/>
    <w:rsid w:val="008A0BA4"/>
    <w:rsid w:val="008A410C"/>
    <w:rsid w:val="008A4495"/>
    <w:rsid w:val="008A46ED"/>
    <w:rsid w:val="008A60C6"/>
    <w:rsid w:val="008B0DBC"/>
    <w:rsid w:val="008B5C95"/>
    <w:rsid w:val="008B60D4"/>
    <w:rsid w:val="008C03C5"/>
    <w:rsid w:val="008D3BB1"/>
    <w:rsid w:val="008D50D5"/>
    <w:rsid w:val="008D54F5"/>
    <w:rsid w:val="008E5ED6"/>
    <w:rsid w:val="008E70E6"/>
    <w:rsid w:val="008F0445"/>
    <w:rsid w:val="008F3951"/>
    <w:rsid w:val="008F4F47"/>
    <w:rsid w:val="008F62D3"/>
    <w:rsid w:val="009031A2"/>
    <w:rsid w:val="00904795"/>
    <w:rsid w:val="00904DB7"/>
    <w:rsid w:val="0090558B"/>
    <w:rsid w:val="0090634B"/>
    <w:rsid w:val="009075B8"/>
    <w:rsid w:val="0091473B"/>
    <w:rsid w:val="00914EFF"/>
    <w:rsid w:val="009174E6"/>
    <w:rsid w:val="00920D7D"/>
    <w:rsid w:val="00924C8E"/>
    <w:rsid w:val="00925173"/>
    <w:rsid w:val="00925516"/>
    <w:rsid w:val="00932B1D"/>
    <w:rsid w:val="00940FC6"/>
    <w:rsid w:val="009508C4"/>
    <w:rsid w:val="00951C66"/>
    <w:rsid w:val="00954FD4"/>
    <w:rsid w:val="00962E11"/>
    <w:rsid w:val="009657F5"/>
    <w:rsid w:val="00965ABD"/>
    <w:rsid w:val="00970433"/>
    <w:rsid w:val="00972519"/>
    <w:rsid w:val="00973B86"/>
    <w:rsid w:val="009748D7"/>
    <w:rsid w:val="0098069B"/>
    <w:rsid w:val="00980BF6"/>
    <w:rsid w:val="0098172F"/>
    <w:rsid w:val="00981CD8"/>
    <w:rsid w:val="00984124"/>
    <w:rsid w:val="0098544E"/>
    <w:rsid w:val="00993E4F"/>
    <w:rsid w:val="00995043"/>
    <w:rsid w:val="009A6172"/>
    <w:rsid w:val="009A6B0E"/>
    <w:rsid w:val="009A7997"/>
    <w:rsid w:val="009B0953"/>
    <w:rsid w:val="009B48D2"/>
    <w:rsid w:val="009B7AE9"/>
    <w:rsid w:val="009C533E"/>
    <w:rsid w:val="009D366C"/>
    <w:rsid w:val="009D3B9C"/>
    <w:rsid w:val="009D7460"/>
    <w:rsid w:val="009E14A3"/>
    <w:rsid w:val="009E1F5F"/>
    <w:rsid w:val="009E2D6D"/>
    <w:rsid w:val="009E5890"/>
    <w:rsid w:val="009F2849"/>
    <w:rsid w:val="009F5E59"/>
    <w:rsid w:val="009F6B41"/>
    <w:rsid w:val="009F7383"/>
    <w:rsid w:val="00A01811"/>
    <w:rsid w:val="00A026B9"/>
    <w:rsid w:val="00A026EE"/>
    <w:rsid w:val="00A03473"/>
    <w:rsid w:val="00A045C9"/>
    <w:rsid w:val="00A05249"/>
    <w:rsid w:val="00A059F2"/>
    <w:rsid w:val="00A0684E"/>
    <w:rsid w:val="00A072CE"/>
    <w:rsid w:val="00A11EAA"/>
    <w:rsid w:val="00A12B05"/>
    <w:rsid w:val="00A15143"/>
    <w:rsid w:val="00A158E6"/>
    <w:rsid w:val="00A15B65"/>
    <w:rsid w:val="00A17854"/>
    <w:rsid w:val="00A20275"/>
    <w:rsid w:val="00A217A6"/>
    <w:rsid w:val="00A27718"/>
    <w:rsid w:val="00A3093A"/>
    <w:rsid w:val="00A32E33"/>
    <w:rsid w:val="00A3334B"/>
    <w:rsid w:val="00A40B13"/>
    <w:rsid w:val="00A41099"/>
    <w:rsid w:val="00A4125D"/>
    <w:rsid w:val="00A42615"/>
    <w:rsid w:val="00A43576"/>
    <w:rsid w:val="00A447DC"/>
    <w:rsid w:val="00A4509C"/>
    <w:rsid w:val="00A50142"/>
    <w:rsid w:val="00A552F7"/>
    <w:rsid w:val="00A555AA"/>
    <w:rsid w:val="00A611F9"/>
    <w:rsid w:val="00A62821"/>
    <w:rsid w:val="00A632EB"/>
    <w:rsid w:val="00A6337A"/>
    <w:rsid w:val="00A634E8"/>
    <w:rsid w:val="00A64774"/>
    <w:rsid w:val="00A65399"/>
    <w:rsid w:val="00A654D6"/>
    <w:rsid w:val="00A67C8E"/>
    <w:rsid w:val="00A72744"/>
    <w:rsid w:val="00A72D2B"/>
    <w:rsid w:val="00A734F4"/>
    <w:rsid w:val="00A76062"/>
    <w:rsid w:val="00A82E2A"/>
    <w:rsid w:val="00A85221"/>
    <w:rsid w:val="00A8550F"/>
    <w:rsid w:val="00A85DD2"/>
    <w:rsid w:val="00A91164"/>
    <w:rsid w:val="00A94289"/>
    <w:rsid w:val="00A95561"/>
    <w:rsid w:val="00A96A42"/>
    <w:rsid w:val="00A97257"/>
    <w:rsid w:val="00A97E7B"/>
    <w:rsid w:val="00AC7E74"/>
    <w:rsid w:val="00AE39D7"/>
    <w:rsid w:val="00AE781F"/>
    <w:rsid w:val="00AF0DA4"/>
    <w:rsid w:val="00AF2C74"/>
    <w:rsid w:val="00AF2D30"/>
    <w:rsid w:val="00AF34EA"/>
    <w:rsid w:val="00AF5014"/>
    <w:rsid w:val="00B03FA4"/>
    <w:rsid w:val="00B06833"/>
    <w:rsid w:val="00B1025C"/>
    <w:rsid w:val="00B118B4"/>
    <w:rsid w:val="00B208BD"/>
    <w:rsid w:val="00B20DCF"/>
    <w:rsid w:val="00B21A06"/>
    <w:rsid w:val="00B255A2"/>
    <w:rsid w:val="00B3001F"/>
    <w:rsid w:val="00B31D9C"/>
    <w:rsid w:val="00B32570"/>
    <w:rsid w:val="00B371C7"/>
    <w:rsid w:val="00B3747E"/>
    <w:rsid w:val="00B408F5"/>
    <w:rsid w:val="00B40ADF"/>
    <w:rsid w:val="00B40E41"/>
    <w:rsid w:val="00B427A8"/>
    <w:rsid w:val="00B451A8"/>
    <w:rsid w:val="00B457D7"/>
    <w:rsid w:val="00B46F41"/>
    <w:rsid w:val="00B511CB"/>
    <w:rsid w:val="00B51B14"/>
    <w:rsid w:val="00B53138"/>
    <w:rsid w:val="00B57684"/>
    <w:rsid w:val="00B57BA3"/>
    <w:rsid w:val="00B60551"/>
    <w:rsid w:val="00B61EFC"/>
    <w:rsid w:val="00B624B1"/>
    <w:rsid w:val="00B62846"/>
    <w:rsid w:val="00B63CA1"/>
    <w:rsid w:val="00B65F46"/>
    <w:rsid w:val="00B6642E"/>
    <w:rsid w:val="00B711DD"/>
    <w:rsid w:val="00B715C6"/>
    <w:rsid w:val="00B71DAE"/>
    <w:rsid w:val="00B77473"/>
    <w:rsid w:val="00B81E89"/>
    <w:rsid w:val="00B82669"/>
    <w:rsid w:val="00B8337D"/>
    <w:rsid w:val="00B84057"/>
    <w:rsid w:val="00B841E8"/>
    <w:rsid w:val="00B843D9"/>
    <w:rsid w:val="00B84602"/>
    <w:rsid w:val="00B91D7B"/>
    <w:rsid w:val="00B93F17"/>
    <w:rsid w:val="00B9484E"/>
    <w:rsid w:val="00BA303B"/>
    <w:rsid w:val="00BA56EB"/>
    <w:rsid w:val="00BB06E1"/>
    <w:rsid w:val="00BB2123"/>
    <w:rsid w:val="00BB73EE"/>
    <w:rsid w:val="00BC0CFD"/>
    <w:rsid w:val="00BC38C8"/>
    <w:rsid w:val="00BC5936"/>
    <w:rsid w:val="00BC5AC8"/>
    <w:rsid w:val="00BC612C"/>
    <w:rsid w:val="00BC7B69"/>
    <w:rsid w:val="00BD1589"/>
    <w:rsid w:val="00BD2B3E"/>
    <w:rsid w:val="00BD2B91"/>
    <w:rsid w:val="00BD56CE"/>
    <w:rsid w:val="00BD5E63"/>
    <w:rsid w:val="00BD7788"/>
    <w:rsid w:val="00BE24F3"/>
    <w:rsid w:val="00BE2879"/>
    <w:rsid w:val="00BE298D"/>
    <w:rsid w:val="00BF0B2C"/>
    <w:rsid w:val="00BF260F"/>
    <w:rsid w:val="00C0480E"/>
    <w:rsid w:val="00C07EA9"/>
    <w:rsid w:val="00C12EB9"/>
    <w:rsid w:val="00C14D39"/>
    <w:rsid w:val="00C213A2"/>
    <w:rsid w:val="00C21E69"/>
    <w:rsid w:val="00C24563"/>
    <w:rsid w:val="00C25E30"/>
    <w:rsid w:val="00C32E2D"/>
    <w:rsid w:val="00C35E86"/>
    <w:rsid w:val="00C4033F"/>
    <w:rsid w:val="00C40C8B"/>
    <w:rsid w:val="00C41733"/>
    <w:rsid w:val="00C41B5D"/>
    <w:rsid w:val="00C44301"/>
    <w:rsid w:val="00C46DB7"/>
    <w:rsid w:val="00C47290"/>
    <w:rsid w:val="00C538E0"/>
    <w:rsid w:val="00C6124C"/>
    <w:rsid w:val="00C66313"/>
    <w:rsid w:val="00C704C9"/>
    <w:rsid w:val="00C71D08"/>
    <w:rsid w:val="00C74025"/>
    <w:rsid w:val="00C801AE"/>
    <w:rsid w:val="00C8108C"/>
    <w:rsid w:val="00C8193C"/>
    <w:rsid w:val="00C85BE3"/>
    <w:rsid w:val="00CA61EF"/>
    <w:rsid w:val="00CA74F1"/>
    <w:rsid w:val="00CB5CF4"/>
    <w:rsid w:val="00CC0E82"/>
    <w:rsid w:val="00CC3C27"/>
    <w:rsid w:val="00CC3FF2"/>
    <w:rsid w:val="00CC43F3"/>
    <w:rsid w:val="00CC582E"/>
    <w:rsid w:val="00CC7038"/>
    <w:rsid w:val="00CD06E1"/>
    <w:rsid w:val="00CD1BB2"/>
    <w:rsid w:val="00CD2D24"/>
    <w:rsid w:val="00CD546A"/>
    <w:rsid w:val="00CD60AB"/>
    <w:rsid w:val="00CD6B22"/>
    <w:rsid w:val="00CE1491"/>
    <w:rsid w:val="00CE271A"/>
    <w:rsid w:val="00CE57C8"/>
    <w:rsid w:val="00CF040E"/>
    <w:rsid w:val="00CF1FD0"/>
    <w:rsid w:val="00CF4952"/>
    <w:rsid w:val="00D007FD"/>
    <w:rsid w:val="00D01FB0"/>
    <w:rsid w:val="00D02097"/>
    <w:rsid w:val="00D030CE"/>
    <w:rsid w:val="00D03AC7"/>
    <w:rsid w:val="00D043E1"/>
    <w:rsid w:val="00D04B7D"/>
    <w:rsid w:val="00D057F5"/>
    <w:rsid w:val="00D05A19"/>
    <w:rsid w:val="00D10744"/>
    <w:rsid w:val="00D10939"/>
    <w:rsid w:val="00D12F65"/>
    <w:rsid w:val="00D1340E"/>
    <w:rsid w:val="00D14ECD"/>
    <w:rsid w:val="00D171F0"/>
    <w:rsid w:val="00D2179E"/>
    <w:rsid w:val="00D2230F"/>
    <w:rsid w:val="00D24399"/>
    <w:rsid w:val="00D306EF"/>
    <w:rsid w:val="00D30CBE"/>
    <w:rsid w:val="00D30F7C"/>
    <w:rsid w:val="00D31170"/>
    <w:rsid w:val="00D32C0E"/>
    <w:rsid w:val="00D34923"/>
    <w:rsid w:val="00D36144"/>
    <w:rsid w:val="00D364E9"/>
    <w:rsid w:val="00D44566"/>
    <w:rsid w:val="00D46A08"/>
    <w:rsid w:val="00D6348D"/>
    <w:rsid w:val="00D63809"/>
    <w:rsid w:val="00D64802"/>
    <w:rsid w:val="00D6754D"/>
    <w:rsid w:val="00D72997"/>
    <w:rsid w:val="00D73DB9"/>
    <w:rsid w:val="00D74A95"/>
    <w:rsid w:val="00D770F5"/>
    <w:rsid w:val="00D808F3"/>
    <w:rsid w:val="00D81CCA"/>
    <w:rsid w:val="00D82B76"/>
    <w:rsid w:val="00D8447A"/>
    <w:rsid w:val="00D84922"/>
    <w:rsid w:val="00D874E6"/>
    <w:rsid w:val="00D9483E"/>
    <w:rsid w:val="00D94F37"/>
    <w:rsid w:val="00D95356"/>
    <w:rsid w:val="00D955D6"/>
    <w:rsid w:val="00DA0683"/>
    <w:rsid w:val="00DA0F65"/>
    <w:rsid w:val="00DA2C2D"/>
    <w:rsid w:val="00DA31B3"/>
    <w:rsid w:val="00DB63B2"/>
    <w:rsid w:val="00DB73CD"/>
    <w:rsid w:val="00DC082F"/>
    <w:rsid w:val="00DC3228"/>
    <w:rsid w:val="00DC77F4"/>
    <w:rsid w:val="00DD0214"/>
    <w:rsid w:val="00DD4D3B"/>
    <w:rsid w:val="00DD7163"/>
    <w:rsid w:val="00DE135F"/>
    <w:rsid w:val="00DE415C"/>
    <w:rsid w:val="00DE4AEA"/>
    <w:rsid w:val="00DE6A34"/>
    <w:rsid w:val="00DF15DA"/>
    <w:rsid w:val="00DF1732"/>
    <w:rsid w:val="00DF3099"/>
    <w:rsid w:val="00DF6A99"/>
    <w:rsid w:val="00DF6C8A"/>
    <w:rsid w:val="00E0078D"/>
    <w:rsid w:val="00E02AC6"/>
    <w:rsid w:val="00E07816"/>
    <w:rsid w:val="00E11CD1"/>
    <w:rsid w:val="00E138C3"/>
    <w:rsid w:val="00E14346"/>
    <w:rsid w:val="00E2161D"/>
    <w:rsid w:val="00E27DA8"/>
    <w:rsid w:val="00E31B48"/>
    <w:rsid w:val="00E32D66"/>
    <w:rsid w:val="00E372C0"/>
    <w:rsid w:val="00E37C8A"/>
    <w:rsid w:val="00E40913"/>
    <w:rsid w:val="00E41BDB"/>
    <w:rsid w:val="00E44449"/>
    <w:rsid w:val="00E465E7"/>
    <w:rsid w:val="00E51D29"/>
    <w:rsid w:val="00E52173"/>
    <w:rsid w:val="00E52A1B"/>
    <w:rsid w:val="00E55711"/>
    <w:rsid w:val="00E5613F"/>
    <w:rsid w:val="00E56665"/>
    <w:rsid w:val="00E607A1"/>
    <w:rsid w:val="00E619E8"/>
    <w:rsid w:val="00E633B8"/>
    <w:rsid w:val="00E6745A"/>
    <w:rsid w:val="00E7116C"/>
    <w:rsid w:val="00E7370A"/>
    <w:rsid w:val="00E73E7B"/>
    <w:rsid w:val="00E8196F"/>
    <w:rsid w:val="00E82989"/>
    <w:rsid w:val="00E833E6"/>
    <w:rsid w:val="00E84095"/>
    <w:rsid w:val="00E90BE3"/>
    <w:rsid w:val="00EA1CA3"/>
    <w:rsid w:val="00EA23B2"/>
    <w:rsid w:val="00EA7053"/>
    <w:rsid w:val="00EA705B"/>
    <w:rsid w:val="00EB1513"/>
    <w:rsid w:val="00EB2253"/>
    <w:rsid w:val="00EB51B6"/>
    <w:rsid w:val="00EB5B98"/>
    <w:rsid w:val="00EB5CD2"/>
    <w:rsid w:val="00EC3CE3"/>
    <w:rsid w:val="00EC453C"/>
    <w:rsid w:val="00EC7871"/>
    <w:rsid w:val="00ED1A68"/>
    <w:rsid w:val="00ED5BB3"/>
    <w:rsid w:val="00ED6A2A"/>
    <w:rsid w:val="00EE529B"/>
    <w:rsid w:val="00EF0DAD"/>
    <w:rsid w:val="00EF2A90"/>
    <w:rsid w:val="00EF3F99"/>
    <w:rsid w:val="00F008FE"/>
    <w:rsid w:val="00F064FC"/>
    <w:rsid w:val="00F07254"/>
    <w:rsid w:val="00F12A8C"/>
    <w:rsid w:val="00F146DD"/>
    <w:rsid w:val="00F22049"/>
    <w:rsid w:val="00F23C45"/>
    <w:rsid w:val="00F25B17"/>
    <w:rsid w:val="00F264A9"/>
    <w:rsid w:val="00F27DE6"/>
    <w:rsid w:val="00F301CC"/>
    <w:rsid w:val="00F33C75"/>
    <w:rsid w:val="00F3519E"/>
    <w:rsid w:val="00F36E78"/>
    <w:rsid w:val="00F374CC"/>
    <w:rsid w:val="00F414FA"/>
    <w:rsid w:val="00F41E8B"/>
    <w:rsid w:val="00F45523"/>
    <w:rsid w:val="00F45785"/>
    <w:rsid w:val="00F458A9"/>
    <w:rsid w:val="00F4606B"/>
    <w:rsid w:val="00F46DA0"/>
    <w:rsid w:val="00F52495"/>
    <w:rsid w:val="00F52D70"/>
    <w:rsid w:val="00F53348"/>
    <w:rsid w:val="00F553A1"/>
    <w:rsid w:val="00F57925"/>
    <w:rsid w:val="00F60864"/>
    <w:rsid w:val="00F622BF"/>
    <w:rsid w:val="00F62820"/>
    <w:rsid w:val="00F636C4"/>
    <w:rsid w:val="00F659A4"/>
    <w:rsid w:val="00F66BE7"/>
    <w:rsid w:val="00F67BA4"/>
    <w:rsid w:val="00F70CF4"/>
    <w:rsid w:val="00F71B04"/>
    <w:rsid w:val="00F72E17"/>
    <w:rsid w:val="00F768B9"/>
    <w:rsid w:val="00F7696C"/>
    <w:rsid w:val="00F80F2A"/>
    <w:rsid w:val="00F825B6"/>
    <w:rsid w:val="00F83AFA"/>
    <w:rsid w:val="00F844D7"/>
    <w:rsid w:val="00F862B8"/>
    <w:rsid w:val="00F87387"/>
    <w:rsid w:val="00F93544"/>
    <w:rsid w:val="00F942D7"/>
    <w:rsid w:val="00FA0046"/>
    <w:rsid w:val="00FA32CE"/>
    <w:rsid w:val="00FA398C"/>
    <w:rsid w:val="00FA569A"/>
    <w:rsid w:val="00FA5D15"/>
    <w:rsid w:val="00FB0DF0"/>
    <w:rsid w:val="00FB2109"/>
    <w:rsid w:val="00FB2C8C"/>
    <w:rsid w:val="00FB5E54"/>
    <w:rsid w:val="00FC0131"/>
    <w:rsid w:val="00FC197F"/>
    <w:rsid w:val="00FC33F9"/>
    <w:rsid w:val="00FC3CC3"/>
    <w:rsid w:val="00FD658B"/>
    <w:rsid w:val="00FD7709"/>
    <w:rsid w:val="00FE1018"/>
    <w:rsid w:val="00FE33AA"/>
    <w:rsid w:val="00FF0514"/>
    <w:rsid w:val="00FF14A8"/>
    <w:rsid w:val="00FF2581"/>
    <w:rsid w:val="00FF56C9"/>
    <w:rsid w:val="0736BC2E"/>
    <w:rsid w:val="0F28A5B6"/>
    <w:rsid w:val="0FD8A0AA"/>
    <w:rsid w:val="26A25CD9"/>
    <w:rsid w:val="288C3E98"/>
    <w:rsid w:val="4614CD46"/>
    <w:rsid w:val="4666A881"/>
    <w:rsid w:val="474375B0"/>
    <w:rsid w:val="56D299D7"/>
    <w:rsid w:val="67D9F64A"/>
    <w:rsid w:val="71F4817D"/>
    <w:rsid w:val="738EA406"/>
    <w:rsid w:val="750C7DA6"/>
    <w:rsid w:val="7C6957F6"/>
    <w:rsid w:val="7E3B1D6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B9CA4"/>
  <w15:chartTrackingRefBased/>
  <w15:docId w15:val="{FBAFEC99-AE35-44F7-BBE2-ABB02D965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705B"/>
  </w:style>
  <w:style w:type="paragraph" w:styleId="Ttulo1">
    <w:name w:val="heading 1"/>
    <w:basedOn w:val="Normal"/>
    <w:next w:val="Normal"/>
    <w:link w:val="Ttulo1Car"/>
    <w:qFormat/>
    <w:rsid w:val="00746851"/>
    <w:pPr>
      <w:keepNext/>
      <w:spacing w:after="0" w:line="360" w:lineRule="auto"/>
      <w:jc w:val="center"/>
      <w:outlineLvl w:val="0"/>
    </w:pPr>
    <w:rPr>
      <w:rFonts w:ascii="Arial" w:eastAsia="Times New Roman" w:hAnsi="Arial" w:cs="Times New Roman"/>
      <w:b/>
      <w:sz w:val="2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A705B"/>
    <w:pPr>
      <w:ind w:left="720"/>
      <w:contextualSpacing/>
    </w:pPr>
  </w:style>
  <w:style w:type="character" w:customStyle="1" w:styleId="normaltextrun">
    <w:name w:val="normaltextrun"/>
    <w:basedOn w:val="Fuentedeprrafopredeter"/>
    <w:rsid w:val="00EA705B"/>
  </w:style>
  <w:style w:type="paragraph" w:styleId="Textodeglobo">
    <w:name w:val="Balloon Text"/>
    <w:basedOn w:val="Normal"/>
    <w:link w:val="TextodegloboCar"/>
    <w:uiPriority w:val="99"/>
    <w:semiHidden/>
    <w:unhideWhenUsed/>
    <w:rsid w:val="00560DC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0DC9"/>
    <w:rPr>
      <w:rFonts w:ascii="Segoe UI" w:hAnsi="Segoe UI" w:cs="Segoe UI"/>
      <w:sz w:val="18"/>
      <w:szCs w:val="18"/>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
    <w:basedOn w:val="Normal"/>
    <w:link w:val="TextonotapieCar"/>
    <w:uiPriority w:val="99"/>
    <w:unhideWhenUsed/>
    <w:qFormat/>
    <w:rsid w:val="00F659A4"/>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texto de nota al p Car"/>
    <w:basedOn w:val="Fuentedeprrafopredeter"/>
    <w:link w:val="Textonotapie"/>
    <w:uiPriority w:val="99"/>
    <w:semiHidden/>
    <w:rsid w:val="00F659A4"/>
    <w:rPr>
      <w:sz w:val="20"/>
      <w:szCs w:val="20"/>
    </w:rPr>
  </w:style>
  <w:style w:type="character" w:styleId="Refdenotaalpie">
    <w:name w:val="footnote reference"/>
    <w:aliases w:val="Texto de nota al pie,FC,Footnotes refss,Appel note de bas de page,referencia nota al pie,Footnote number,BVI fnr,f,Ref. de nota al pie 2,Fago Fußnotenzeichen,4_G,16 Point,Superscript 6 Point,Ref,de nota al pie,Footnote symbol,Footnot"/>
    <w:basedOn w:val="Fuentedeprrafopredeter"/>
    <w:uiPriority w:val="99"/>
    <w:unhideWhenUsed/>
    <w:qFormat/>
    <w:rsid w:val="00F659A4"/>
    <w:rPr>
      <w:vertAlign w:val="superscript"/>
    </w:rPr>
  </w:style>
  <w:style w:type="character" w:customStyle="1" w:styleId="TextonotapieCar1">
    <w:name w:val="Texto nota pie Car1"/>
    <w:aliases w:val="Texto nota pie Car Car1,Footnote Text Char Char Char Char Char Car1,Footnote Text Char Char Char Char Car1,Footnote reference Car1,FA Fu Car1,Footnote Text Cha Car1,Footnote Text Char Char Char Car1,FA Fußnotentext Car1"/>
    <w:rsid w:val="00110A4A"/>
    <w:rPr>
      <w:rFonts w:ascii="Times New Roman" w:eastAsia="Times New Roman" w:hAnsi="Times New Roman" w:cs="Times New Roman"/>
      <w:sz w:val="24"/>
      <w:szCs w:val="24"/>
      <w:lang w:val="es-ES_tradnl" w:eastAsia="es-ES"/>
    </w:rPr>
  </w:style>
  <w:style w:type="character" w:styleId="Refdecomentario">
    <w:name w:val="annotation reference"/>
    <w:basedOn w:val="Fuentedeprrafopredeter"/>
    <w:uiPriority w:val="99"/>
    <w:semiHidden/>
    <w:unhideWhenUsed/>
    <w:rsid w:val="006B2201"/>
    <w:rPr>
      <w:sz w:val="16"/>
      <w:szCs w:val="16"/>
    </w:rPr>
  </w:style>
  <w:style w:type="paragraph" w:styleId="Textocomentario">
    <w:name w:val="annotation text"/>
    <w:basedOn w:val="Normal"/>
    <w:link w:val="TextocomentarioCar"/>
    <w:uiPriority w:val="99"/>
    <w:semiHidden/>
    <w:unhideWhenUsed/>
    <w:rsid w:val="006B220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B2201"/>
    <w:rPr>
      <w:sz w:val="20"/>
      <w:szCs w:val="20"/>
    </w:rPr>
  </w:style>
  <w:style w:type="paragraph" w:styleId="Encabezado">
    <w:name w:val="header"/>
    <w:basedOn w:val="Normal"/>
    <w:link w:val="EncabezadoCar"/>
    <w:uiPriority w:val="99"/>
    <w:unhideWhenUsed/>
    <w:rsid w:val="00C85B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85BE3"/>
  </w:style>
  <w:style w:type="paragraph" w:styleId="Piedepgina">
    <w:name w:val="footer"/>
    <w:basedOn w:val="Normal"/>
    <w:link w:val="PiedepginaCar"/>
    <w:uiPriority w:val="99"/>
    <w:unhideWhenUsed/>
    <w:rsid w:val="00C85B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85BE3"/>
  </w:style>
  <w:style w:type="paragraph" w:styleId="Textoindependiente">
    <w:name w:val="Body Text"/>
    <w:basedOn w:val="Normal"/>
    <w:link w:val="TextoindependienteCar"/>
    <w:uiPriority w:val="1"/>
    <w:semiHidden/>
    <w:unhideWhenUsed/>
    <w:qFormat/>
    <w:rsid w:val="00A64774"/>
    <w:pPr>
      <w:widowControl w:val="0"/>
      <w:autoSpaceDE w:val="0"/>
      <w:autoSpaceDN w:val="0"/>
      <w:spacing w:after="0" w:line="240" w:lineRule="auto"/>
    </w:pPr>
    <w:rPr>
      <w:rFonts w:ascii="Gadugi" w:eastAsia="Gadugi" w:hAnsi="Gadugi" w:cs="Gadugi"/>
      <w:sz w:val="26"/>
      <w:szCs w:val="26"/>
      <w:lang w:val="es-ES"/>
    </w:rPr>
  </w:style>
  <w:style w:type="character" w:customStyle="1" w:styleId="TextoindependienteCar">
    <w:name w:val="Texto independiente Car"/>
    <w:basedOn w:val="Fuentedeprrafopredeter"/>
    <w:link w:val="Textoindependiente"/>
    <w:uiPriority w:val="1"/>
    <w:semiHidden/>
    <w:rsid w:val="00A64774"/>
    <w:rPr>
      <w:rFonts w:ascii="Gadugi" w:eastAsia="Gadugi" w:hAnsi="Gadugi" w:cs="Gadugi"/>
      <w:sz w:val="26"/>
      <w:szCs w:val="26"/>
      <w:lang w:val="es-ES"/>
    </w:rPr>
  </w:style>
  <w:style w:type="paragraph" w:styleId="Asuntodelcomentario">
    <w:name w:val="annotation subject"/>
    <w:basedOn w:val="Textocomentario"/>
    <w:next w:val="Textocomentario"/>
    <w:link w:val="AsuntodelcomentarioCar"/>
    <w:uiPriority w:val="99"/>
    <w:semiHidden/>
    <w:unhideWhenUsed/>
    <w:rsid w:val="00E607A1"/>
    <w:rPr>
      <w:b/>
      <w:bCs/>
    </w:rPr>
  </w:style>
  <w:style w:type="character" w:customStyle="1" w:styleId="AsuntodelcomentarioCar">
    <w:name w:val="Asunto del comentario Car"/>
    <w:basedOn w:val="TextocomentarioCar"/>
    <w:link w:val="Asuntodelcomentario"/>
    <w:uiPriority w:val="99"/>
    <w:semiHidden/>
    <w:rsid w:val="00E607A1"/>
    <w:rPr>
      <w:b/>
      <w:bCs/>
      <w:sz w:val="20"/>
      <w:szCs w:val="20"/>
    </w:rPr>
  </w:style>
  <w:style w:type="character" w:customStyle="1" w:styleId="Ttulo1Car">
    <w:name w:val="Título 1 Car"/>
    <w:basedOn w:val="Fuentedeprrafopredeter"/>
    <w:link w:val="Ttulo1"/>
    <w:rsid w:val="00746851"/>
    <w:rPr>
      <w:rFonts w:ascii="Arial" w:eastAsia="Times New Roman" w:hAnsi="Arial" w:cs="Times New Roman"/>
      <w:b/>
      <w:sz w:val="28"/>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813977">
      <w:bodyDiv w:val="1"/>
      <w:marLeft w:val="0"/>
      <w:marRight w:val="0"/>
      <w:marTop w:val="0"/>
      <w:marBottom w:val="0"/>
      <w:divBdr>
        <w:top w:val="none" w:sz="0" w:space="0" w:color="auto"/>
        <w:left w:val="none" w:sz="0" w:space="0" w:color="auto"/>
        <w:bottom w:val="none" w:sz="0" w:space="0" w:color="auto"/>
        <w:right w:val="none" w:sz="0" w:space="0" w:color="auto"/>
      </w:divBdr>
    </w:div>
    <w:div w:id="1164976937">
      <w:bodyDiv w:val="1"/>
      <w:marLeft w:val="0"/>
      <w:marRight w:val="0"/>
      <w:marTop w:val="0"/>
      <w:marBottom w:val="0"/>
      <w:divBdr>
        <w:top w:val="none" w:sz="0" w:space="0" w:color="auto"/>
        <w:left w:val="none" w:sz="0" w:space="0" w:color="auto"/>
        <w:bottom w:val="none" w:sz="0" w:space="0" w:color="auto"/>
        <w:right w:val="none" w:sz="0" w:space="0" w:color="auto"/>
      </w:divBdr>
      <w:divsChild>
        <w:div w:id="961420616">
          <w:marLeft w:val="0"/>
          <w:marRight w:val="0"/>
          <w:marTop w:val="0"/>
          <w:marBottom w:val="120"/>
          <w:divBdr>
            <w:top w:val="none" w:sz="0" w:space="0" w:color="auto"/>
            <w:left w:val="none" w:sz="0" w:space="0" w:color="auto"/>
            <w:bottom w:val="none" w:sz="0" w:space="0" w:color="auto"/>
            <w:right w:val="none" w:sz="0" w:space="0" w:color="auto"/>
          </w:divBdr>
          <w:divsChild>
            <w:div w:id="1229532021">
              <w:marLeft w:val="0"/>
              <w:marRight w:val="0"/>
              <w:marTop w:val="0"/>
              <w:marBottom w:val="0"/>
              <w:divBdr>
                <w:top w:val="none" w:sz="0" w:space="0" w:color="auto"/>
                <w:left w:val="none" w:sz="0" w:space="0" w:color="auto"/>
                <w:bottom w:val="none" w:sz="0" w:space="0" w:color="auto"/>
                <w:right w:val="none" w:sz="0" w:space="0" w:color="auto"/>
              </w:divBdr>
            </w:div>
          </w:divsChild>
        </w:div>
        <w:div w:id="1104115468">
          <w:marLeft w:val="0"/>
          <w:marRight w:val="0"/>
          <w:marTop w:val="0"/>
          <w:marBottom w:val="120"/>
          <w:divBdr>
            <w:top w:val="none" w:sz="0" w:space="0" w:color="auto"/>
            <w:left w:val="none" w:sz="0" w:space="0" w:color="auto"/>
            <w:bottom w:val="none" w:sz="0" w:space="0" w:color="auto"/>
            <w:right w:val="none" w:sz="0" w:space="0" w:color="auto"/>
          </w:divBdr>
          <w:divsChild>
            <w:div w:id="174903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65936e60de95436e"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0D3CA8A8F104B46A609B35E2806C01D" ma:contentTypeVersion="11" ma:contentTypeDescription="Crear nuevo documento." ma:contentTypeScope="" ma:versionID="c721996b405742483327067c3656c707">
  <xsd:schema xmlns:xsd="http://www.w3.org/2001/XMLSchema" xmlns:xs="http://www.w3.org/2001/XMLSchema" xmlns:p="http://schemas.microsoft.com/office/2006/metadata/properties" xmlns:ns2="930c81f1-e9ca-4bc6-a442-7e43bfe25841" xmlns:ns3="9845f4ef-a5bd-4dbd-ab8f-e69291a39b0c" targetNamespace="http://schemas.microsoft.com/office/2006/metadata/properties" ma:root="true" ma:fieldsID="17b575e4ce7bab19662f5dbb26cace48" ns2:_="" ns3:_="">
    <xsd:import namespace="930c81f1-e9ca-4bc6-a442-7e43bfe25841"/>
    <xsd:import namespace="9845f4ef-a5bd-4dbd-ab8f-e69291a39b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0c81f1-e9ca-4bc6-a442-7e43bfe25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45f4ef-a5bd-4dbd-ab8f-e69291a39b0c"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84467-ACA2-4171-A50B-01B9B3A2C3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E4D711-C9EE-4DEA-9FC9-CD19AEE460AD}">
  <ds:schemaRefs>
    <ds:schemaRef ds:uri="http://schemas.microsoft.com/sharepoint/v3/contenttype/forms"/>
  </ds:schemaRefs>
</ds:datastoreItem>
</file>

<file path=customXml/itemProps3.xml><?xml version="1.0" encoding="utf-8"?>
<ds:datastoreItem xmlns:ds="http://schemas.openxmlformats.org/officeDocument/2006/customXml" ds:itemID="{D145FF19-037A-40CF-AC5D-04E7CE96CC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0c81f1-e9ca-4bc6-a442-7e43bfe25841"/>
    <ds:schemaRef ds:uri="9845f4ef-a5bd-4dbd-ab8f-e69291a39b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DF9D6E-6911-4226-8BF8-BEB4B895C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1504</Words>
  <Characters>8274</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JEISON</dc:creator>
  <cp:keywords/>
  <dc:description/>
  <cp:lastModifiedBy>Hermides Alonso Gaviria Ocampo</cp:lastModifiedBy>
  <cp:revision>6</cp:revision>
  <dcterms:created xsi:type="dcterms:W3CDTF">2022-03-07T16:31:00Z</dcterms:created>
  <dcterms:modified xsi:type="dcterms:W3CDTF">2022-04-18T20:10:00Z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0x01010050D3CA8A8F104B46A609B35E2806C01D</vt:lpwstr>
  </property>
</Properties>
</file>