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28FA" w14:textId="77777777" w:rsidR="00504428" w:rsidRPr="008A290B" w:rsidRDefault="00504428" w:rsidP="0050442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44BF55B" w14:textId="77777777" w:rsidR="00504428" w:rsidRDefault="00504428" w:rsidP="00504428">
      <w:pPr>
        <w:jc w:val="both"/>
        <w:rPr>
          <w:rFonts w:ascii="Arial" w:hAnsi="Arial" w:cs="Arial"/>
          <w:lang w:val="es-419"/>
        </w:rPr>
      </w:pPr>
    </w:p>
    <w:p w14:paraId="21108B89" w14:textId="21F3EE65" w:rsidR="00504428" w:rsidRPr="00E32969" w:rsidRDefault="000E4C6A" w:rsidP="00504428">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 GENERALES Y ESPECÍFICOS DE PROCEDIBILIDAD / DEFECTO FÁCTICO / DEFINICIÓN / COSA JUZGADA.</w:t>
      </w:r>
    </w:p>
    <w:p w14:paraId="12C5DAC4" w14:textId="3AD80ED5" w:rsidR="00504428" w:rsidRDefault="00504428" w:rsidP="00504428">
      <w:pPr>
        <w:jc w:val="both"/>
        <w:rPr>
          <w:rFonts w:ascii="Arial" w:hAnsi="Arial" w:cs="Arial"/>
          <w:lang w:val="es-419"/>
        </w:rPr>
      </w:pPr>
    </w:p>
    <w:p w14:paraId="0DBDD347" w14:textId="6570EEB9" w:rsidR="00504428" w:rsidRDefault="00D111B7" w:rsidP="00504428">
      <w:pPr>
        <w:jc w:val="both"/>
        <w:rPr>
          <w:rFonts w:ascii="Arial" w:hAnsi="Arial" w:cs="Arial"/>
          <w:lang w:val="es-419"/>
        </w:rPr>
      </w:pPr>
      <w:r w:rsidRPr="00D111B7">
        <w:rPr>
          <w:rFonts w:ascii="Arial" w:hAnsi="Arial" w:cs="Arial"/>
          <w:lang w:val="es-419"/>
        </w:rPr>
        <w:t>Acude en esta oportunidad el señor Jasón la Rosa, en procura de la protección de su derecho fundamental al debido proceso, presuntamente en la ejecución que trajo a colación, en la que, de manera equivocada, no se declaró la prescripción extintiva.</w:t>
      </w:r>
    </w:p>
    <w:p w14:paraId="485E2B6F" w14:textId="5FB50E33" w:rsidR="00504428" w:rsidRDefault="00504428" w:rsidP="00504428">
      <w:pPr>
        <w:jc w:val="both"/>
        <w:rPr>
          <w:rFonts w:ascii="Arial" w:hAnsi="Arial" w:cs="Arial"/>
          <w:lang w:val="es-419"/>
        </w:rPr>
      </w:pPr>
    </w:p>
    <w:p w14:paraId="3FEEA24E" w14:textId="4491D8BD" w:rsidR="00504428" w:rsidRDefault="00AA1F33" w:rsidP="00504428">
      <w:pPr>
        <w:jc w:val="both"/>
        <w:rPr>
          <w:rFonts w:ascii="Arial" w:hAnsi="Arial" w:cs="Arial"/>
          <w:lang w:val="es-419"/>
        </w:rPr>
      </w:pPr>
      <w:r>
        <w:rPr>
          <w:rFonts w:ascii="Arial" w:hAnsi="Arial" w:cs="Arial"/>
          <w:lang w:val="es-419"/>
        </w:rPr>
        <w:t xml:space="preserve">… </w:t>
      </w:r>
      <w:r w:rsidRPr="00AA1F33">
        <w:rPr>
          <w:rFonts w:ascii="Arial" w:hAnsi="Arial" w:cs="Arial"/>
          <w:lang w:val="es-419"/>
        </w:rPr>
        <w:t>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w:t>
      </w:r>
      <w:r>
        <w:rPr>
          <w:rFonts w:ascii="Arial" w:hAnsi="Arial" w:cs="Arial"/>
          <w:lang w:val="es-419"/>
        </w:rPr>
        <w:t>…</w:t>
      </w:r>
    </w:p>
    <w:p w14:paraId="52FB6057" w14:textId="528412D9" w:rsidR="00504428" w:rsidRDefault="00504428" w:rsidP="00504428">
      <w:pPr>
        <w:jc w:val="both"/>
        <w:rPr>
          <w:rFonts w:ascii="Arial" w:hAnsi="Arial" w:cs="Arial"/>
          <w:lang w:val="es-419"/>
        </w:rPr>
      </w:pPr>
    </w:p>
    <w:p w14:paraId="6377A9CF" w14:textId="1F359909" w:rsidR="00AA1F33" w:rsidRPr="00AA1F33" w:rsidRDefault="00AA1F33" w:rsidP="00AA1F33">
      <w:pPr>
        <w:jc w:val="both"/>
        <w:rPr>
          <w:rFonts w:ascii="Arial" w:hAnsi="Arial" w:cs="Arial"/>
          <w:lang w:val="es-419"/>
        </w:rPr>
      </w:pPr>
      <w:r w:rsidRPr="00AA1F33">
        <w:rPr>
          <w:rFonts w:ascii="Arial" w:hAnsi="Arial" w:cs="Arial"/>
          <w:lang w:val="es-419"/>
        </w:rPr>
        <w:t>Defecto fáctico:</w:t>
      </w:r>
    </w:p>
    <w:p w14:paraId="5FA30557" w14:textId="77777777" w:rsidR="00AA1F33" w:rsidRPr="00AA1F33" w:rsidRDefault="00AA1F33" w:rsidP="00AA1F33">
      <w:pPr>
        <w:jc w:val="both"/>
        <w:rPr>
          <w:rFonts w:ascii="Arial" w:hAnsi="Arial" w:cs="Arial"/>
          <w:lang w:val="es-419"/>
        </w:rPr>
      </w:pPr>
    </w:p>
    <w:p w14:paraId="2FD40226" w14:textId="2CE318A7" w:rsidR="00AA1F33" w:rsidRDefault="00AA1F33" w:rsidP="00AA1F33">
      <w:pPr>
        <w:jc w:val="both"/>
        <w:rPr>
          <w:rFonts w:ascii="Arial" w:hAnsi="Arial" w:cs="Arial"/>
          <w:lang w:val="es-419"/>
        </w:rPr>
      </w:pPr>
      <w:r>
        <w:rPr>
          <w:rFonts w:ascii="Arial" w:hAnsi="Arial" w:cs="Arial"/>
          <w:lang w:val="es-419"/>
        </w:rPr>
        <w:t>“</w:t>
      </w:r>
      <w:r w:rsidRPr="00AA1F33">
        <w:rPr>
          <w:rFonts w:ascii="Arial" w:hAnsi="Arial" w:cs="Arial"/>
          <w:lang w:val="es-419"/>
        </w:rPr>
        <w:t>Se erige sobre la malinterpretación de los hechos expuestos en un proceso, la cual deviene de una inapropiada valoración probatoria, bien porque el juez no contaba con pruebas para sustentar sus afirmaciones, ora porque al estimar su valor demostrativo fue arbitrario</w:t>
      </w:r>
      <w:r>
        <w:rPr>
          <w:rFonts w:ascii="Arial" w:hAnsi="Arial" w:cs="Arial"/>
          <w:lang w:val="es-419"/>
        </w:rPr>
        <w:t>…”</w:t>
      </w:r>
    </w:p>
    <w:p w14:paraId="3FD5DABF" w14:textId="0A35ABFB" w:rsidR="00AA1F33" w:rsidRDefault="00AA1F33" w:rsidP="00504428">
      <w:pPr>
        <w:jc w:val="both"/>
        <w:rPr>
          <w:rFonts w:ascii="Arial" w:hAnsi="Arial" w:cs="Arial"/>
          <w:lang w:val="es-419"/>
        </w:rPr>
      </w:pPr>
    </w:p>
    <w:p w14:paraId="1170FCA2" w14:textId="5ED1CD88" w:rsidR="00304ED5" w:rsidRPr="00304ED5" w:rsidRDefault="00304ED5" w:rsidP="00304ED5">
      <w:pPr>
        <w:jc w:val="both"/>
        <w:rPr>
          <w:rFonts w:ascii="Arial" w:hAnsi="Arial" w:cs="Arial"/>
          <w:lang w:val="es-419"/>
        </w:rPr>
      </w:pPr>
      <w:r>
        <w:rPr>
          <w:rFonts w:ascii="Arial" w:hAnsi="Arial" w:cs="Arial"/>
          <w:lang w:val="es-419"/>
        </w:rPr>
        <w:t xml:space="preserve">… </w:t>
      </w:r>
      <w:r w:rsidRPr="00304ED5">
        <w:rPr>
          <w:rFonts w:ascii="Arial" w:hAnsi="Arial" w:cs="Arial"/>
          <w:lang w:val="es-419"/>
        </w:rPr>
        <w:t>está de por medio el principio de cosa juzgada</w:t>
      </w:r>
      <w:r>
        <w:rPr>
          <w:rFonts w:ascii="Arial" w:hAnsi="Arial" w:cs="Arial"/>
          <w:lang w:val="es-419"/>
        </w:rPr>
        <w:t>…</w:t>
      </w:r>
      <w:r w:rsidRPr="00304ED5">
        <w:rPr>
          <w:rFonts w:ascii="Arial" w:hAnsi="Arial" w:cs="Arial"/>
          <w:lang w:val="es-419"/>
        </w:rPr>
        <w:t>:</w:t>
      </w:r>
    </w:p>
    <w:p w14:paraId="36989F81" w14:textId="77777777" w:rsidR="00304ED5" w:rsidRPr="00304ED5" w:rsidRDefault="00304ED5" w:rsidP="00304ED5">
      <w:pPr>
        <w:jc w:val="both"/>
        <w:rPr>
          <w:rFonts w:ascii="Arial" w:hAnsi="Arial" w:cs="Arial"/>
          <w:lang w:val="es-419"/>
        </w:rPr>
      </w:pPr>
      <w:r w:rsidRPr="00304ED5">
        <w:rPr>
          <w:rFonts w:ascii="Arial" w:hAnsi="Arial" w:cs="Arial"/>
          <w:lang w:val="es-419"/>
        </w:rPr>
        <w:tab/>
      </w:r>
    </w:p>
    <w:p w14:paraId="48136073" w14:textId="4C233707" w:rsidR="00AA1F33" w:rsidRDefault="00304ED5" w:rsidP="00304ED5">
      <w:pPr>
        <w:jc w:val="both"/>
        <w:rPr>
          <w:rFonts w:ascii="Arial" w:hAnsi="Arial" w:cs="Arial"/>
          <w:lang w:val="es-419"/>
        </w:rPr>
      </w:pPr>
      <w:r>
        <w:rPr>
          <w:rFonts w:ascii="Arial" w:hAnsi="Arial" w:cs="Arial"/>
          <w:lang w:val="es-419"/>
        </w:rPr>
        <w:t xml:space="preserve">“… </w:t>
      </w:r>
      <w:r w:rsidRPr="00304ED5">
        <w:rPr>
          <w:rFonts w:ascii="Arial" w:hAnsi="Arial" w:cs="Arial"/>
          <w:lang w:val="es-419"/>
        </w:rPr>
        <w:t>es una institución jurídico procesal mediante la cual se otorga a las decisiones plasmadas en una sentencia y en algunas otras providencias, el carácter de inmutables, vinculantes y definitivas</w:t>
      </w:r>
      <w:r>
        <w:rPr>
          <w:rFonts w:ascii="Arial" w:hAnsi="Arial" w:cs="Arial"/>
          <w:lang w:val="es-419"/>
        </w:rPr>
        <w:t>…”</w:t>
      </w:r>
    </w:p>
    <w:p w14:paraId="70C805C2" w14:textId="77777777" w:rsidR="00AA1F33" w:rsidRDefault="00AA1F33" w:rsidP="00504428">
      <w:pPr>
        <w:jc w:val="both"/>
        <w:rPr>
          <w:rFonts w:ascii="Arial" w:hAnsi="Arial" w:cs="Arial"/>
          <w:lang w:val="es-419"/>
        </w:rPr>
      </w:pPr>
    </w:p>
    <w:p w14:paraId="57224DDB" w14:textId="29C1AC1D" w:rsidR="005632A1" w:rsidRPr="005632A1" w:rsidRDefault="005632A1" w:rsidP="005632A1">
      <w:pPr>
        <w:jc w:val="both"/>
        <w:rPr>
          <w:rFonts w:ascii="Arial" w:hAnsi="Arial" w:cs="Arial"/>
          <w:lang w:val="es-419"/>
        </w:rPr>
      </w:pPr>
      <w:r>
        <w:rPr>
          <w:rFonts w:ascii="Arial" w:hAnsi="Arial" w:cs="Arial"/>
          <w:lang w:val="es-419"/>
        </w:rPr>
        <w:t xml:space="preserve">… </w:t>
      </w:r>
      <w:r w:rsidRPr="005632A1">
        <w:rPr>
          <w:rFonts w:ascii="Arial" w:hAnsi="Arial" w:cs="Arial"/>
          <w:lang w:val="es-419"/>
        </w:rPr>
        <w:t xml:space="preserve">es verdad, como se dice en la acción de tutela, que los juzgados accionados, al resolver la nulidad en ambas instancias, habían deducido que ella era atribuible al demandante, sin embargo, en la sentencia del 22 de febrero de 2021, se dijo lo contrario, y ello con fundamento en que la afirmación del demandante, sobre que el demandado había abandonado el país y desconocía su paradero, estaba amparada por el principio de buena fe. </w:t>
      </w:r>
    </w:p>
    <w:p w14:paraId="5A11C105" w14:textId="77777777" w:rsidR="005632A1" w:rsidRPr="005632A1" w:rsidRDefault="005632A1" w:rsidP="005632A1">
      <w:pPr>
        <w:jc w:val="both"/>
        <w:rPr>
          <w:rFonts w:ascii="Arial" w:hAnsi="Arial" w:cs="Arial"/>
          <w:lang w:val="es-419"/>
        </w:rPr>
      </w:pPr>
    </w:p>
    <w:p w14:paraId="2B69BC13" w14:textId="7522E7A1" w:rsidR="00504428" w:rsidRDefault="005632A1" w:rsidP="005632A1">
      <w:pPr>
        <w:jc w:val="both"/>
        <w:rPr>
          <w:rFonts w:ascii="Arial" w:hAnsi="Arial" w:cs="Arial"/>
          <w:lang w:val="es-419"/>
        </w:rPr>
      </w:pPr>
      <w:r w:rsidRPr="005632A1">
        <w:rPr>
          <w:rFonts w:ascii="Arial" w:hAnsi="Arial" w:cs="Arial"/>
          <w:lang w:val="es-419"/>
        </w:rPr>
        <w:t>Y</w:t>
      </w:r>
      <w:r>
        <w:rPr>
          <w:rFonts w:ascii="Arial" w:hAnsi="Arial" w:cs="Arial"/>
          <w:lang w:val="es-419"/>
        </w:rPr>
        <w:t>…</w:t>
      </w:r>
      <w:r w:rsidRPr="005632A1">
        <w:rPr>
          <w:rFonts w:ascii="Arial" w:hAnsi="Arial" w:cs="Arial"/>
          <w:lang w:val="es-419"/>
        </w:rPr>
        <w:t>, si bien es cierto el demandante está amparado por el principio de buena fe, también lo es que sus dichos deben estar respaldados con acciones que evidencien su voluntad de notificar al demandado, y comoquiera que en el expediente eran inexistentes pruebas sobre tales diligencias, se declaró la nulidad, que entonces, le es atribuible</w:t>
      </w:r>
      <w:r>
        <w:rPr>
          <w:rFonts w:ascii="Arial" w:hAnsi="Arial" w:cs="Arial"/>
          <w:lang w:val="es-419"/>
        </w:rPr>
        <w:t>…</w:t>
      </w:r>
    </w:p>
    <w:p w14:paraId="089ACC25" w14:textId="35965872" w:rsidR="005632A1" w:rsidRDefault="005632A1" w:rsidP="005632A1">
      <w:pPr>
        <w:jc w:val="both"/>
        <w:rPr>
          <w:rFonts w:ascii="Arial" w:hAnsi="Arial" w:cs="Arial"/>
          <w:lang w:val="es-419"/>
        </w:rPr>
      </w:pPr>
    </w:p>
    <w:p w14:paraId="63CBDF4F" w14:textId="33281DE4" w:rsidR="005632A1" w:rsidRDefault="00AE715B" w:rsidP="005632A1">
      <w:pPr>
        <w:jc w:val="both"/>
        <w:rPr>
          <w:rFonts w:ascii="Arial" w:hAnsi="Arial" w:cs="Arial"/>
          <w:lang w:val="es-419"/>
        </w:rPr>
      </w:pPr>
      <w:r w:rsidRPr="00AE715B">
        <w:rPr>
          <w:rFonts w:ascii="Arial" w:hAnsi="Arial" w:cs="Arial"/>
          <w:lang w:val="es-419"/>
        </w:rPr>
        <w:t>En suma, reluce un defecto fáctico porque se omitió valorar lo que está debidamente probado en el proceso, esto es, que por culpa del demandante, el demandando fue indebidamente notificado. A todo lo cual se suma que la decisión sobre la referida nulidad no puede ser desatendida, porque así se contraría el principio de cosa juzgada, pilar fundamental de la seguridad jurídica.</w:t>
      </w:r>
    </w:p>
    <w:p w14:paraId="5FFF437F" w14:textId="77777777" w:rsidR="005632A1" w:rsidRDefault="005632A1" w:rsidP="005632A1">
      <w:pPr>
        <w:jc w:val="both"/>
        <w:rPr>
          <w:rFonts w:ascii="Arial" w:hAnsi="Arial" w:cs="Arial"/>
          <w:lang w:val="es-419"/>
        </w:rPr>
      </w:pPr>
    </w:p>
    <w:p w14:paraId="2C958228" w14:textId="7EAEFECF" w:rsidR="00504428" w:rsidRDefault="00504428" w:rsidP="00504428">
      <w:pPr>
        <w:jc w:val="both"/>
        <w:rPr>
          <w:rFonts w:ascii="Arial" w:hAnsi="Arial" w:cs="Arial"/>
          <w:lang w:val="es-419"/>
        </w:rPr>
      </w:pPr>
    </w:p>
    <w:p w14:paraId="1A7259F1" w14:textId="2FF12714" w:rsidR="00504428" w:rsidRDefault="00504428" w:rsidP="00504428">
      <w:pPr>
        <w:jc w:val="both"/>
        <w:rPr>
          <w:rFonts w:ascii="Arial" w:hAnsi="Arial" w:cs="Arial"/>
          <w:lang w:val="es-419"/>
        </w:rPr>
      </w:pPr>
      <w:bookmarkStart w:id="0" w:name="_GoBack"/>
      <w:bookmarkEnd w:id="0"/>
    </w:p>
    <w:p w14:paraId="4B14FE4C" w14:textId="1EA43160" w:rsidR="00622EA3" w:rsidRPr="00471048" w:rsidRDefault="00622EA3" w:rsidP="00471048">
      <w:pPr>
        <w:spacing w:line="276" w:lineRule="auto"/>
        <w:ind w:firstLine="2835"/>
        <w:jc w:val="both"/>
        <w:rPr>
          <w:rFonts w:ascii="Gadugi" w:hAnsi="Gadugi"/>
          <w:b/>
          <w:bCs/>
          <w:sz w:val="24"/>
          <w:szCs w:val="24"/>
        </w:rPr>
      </w:pPr>
      <w:r w:rsidRPr="00471048">
        <w:rPr>
          <w:rFonts w:ascii="Gadugi" w:hAnsi="Gadugi"/>
          <w:b/>
          <w:bCs/>
          <w:sz w:val="24"/>
          <w:szCs w:val="24"/>
        </w:rPr>
        <w:t xml:space="preserve">TRIBUNAL SUPERIOR DEL DISTRITO JUDICIAL </w:t>
      </w:r>
    </w:p>
    <w:p w14:paraId="7F6C7CB4" w14:textId="77777777" w:rsidR="00622EA3" w:rsidRPr="00471048" w:rsidRDefault="00622EA3" w:rsidP="00471048">
      <w:pPr>
        <w:spacing w:line="276" w:lineRule="auto"/>
        <w:ind w:firstLine="2835"/>
        <w:jc w:val="both"/>
        <w:rPr>
          <w:rFonts w:ascii="Gadugi" w:hAnsi="Gadugi"/>
          <w:b/>
          <w:sz w:val="24"/>
          <w:szCs w:val="24"/>
        </w:rPr>
      </w:pPr>
      <w:r w:rsidRPr="00471048">
        <w:rPr>
          <w:rFonts w:ascii="Gadugi" w:hAnsi="Gadugi"/>
          <w:b/>
          <w:sz w:val="24"/>
          <w:szCs w:val="24"/>
        </w:rPr>
        <w:t xml:space="preserve">          SALA DE DECISIÓN CIVIL FAMILIA </w:t>
      </w:r>
    </w:p>
    <w:p w14:paraId="7FF8F016" w14:textId="77777777" w:rsidR="00622EA3" w:rsidRPr="00471048" w:rsidRDefault="00622EA3" w:rsidP="00471048">
      <w:pPr>
        <w:spacing w:line="276" w:lineRule="auto"/>
        <w:ind w:firstLine="2835"/>
        <w:jc w:val="both"/>
        <w:rPr>
          <w:rFonts w:ascii="Gadugi" w:hAnsi="Gadugi"/>
          <w:sz w:val="24"/>
          <w:szCs w:val="24"/>
        </w:rPr>
      </w:pPr>
    </w:p>
    <w:p w14:paraId="0C1F6F03" w14:textId="77777777" w:rsidR="00622EA3" w:rsidRPr="00471048" w:rsidRDefault="00622EA3" w:rsidP="00471048">
      <w:pPr>
        <w:spacing w:line="276" w:lineRule="auto"/>
        <w:ind w:firstLine="2835"/>
        <w:jc w:val="both"/>
        <w:rPr>
          <w:rFonts w:ascii="Gadugi" w:hAnsi="Gadugi"/>
          <w:sz w:val="24"/>
          <w:szCs w:val="24"/>
        </w:rPr>
      </w:pPr>
    </w:p>
    <w:p w14:paraId="2CF272AC" w14:textId="77777777" w:rsidR="00622EA3" w:rsidRPr="00471048" w:rsidRDefault="00622EA3" w:rsidP="00471048">
      <w:pPr>
        <w:spacing w:line="276" w:lineRule="auto"/>
        <w:ind w:firstLine="2835"/>
        <w:jc w:val="both"/>
        <w:rPr>
          <w:rFonts w:ascii="Gadugi" w:hAnsi="Gadugi"/>
          <w:sz w:val="24"/>
          <w:szCs w:val="24"/>
        </w:rPr>
      </w:pPr>
      <w:r w:rsidRPr="00471048">
        <w:rPr>
          <w:rFonts w:ascii="Gadugi" w:hAnsi="Gadugi"/>
          <w:sz w:val="24"/>
          <w:szCs w:val="24"/>
        </w:rPr>
        <w:t>Magistrado: Jaime Alberto Saraza Naranjo</w:t>
      </w:r>
    </w:p>
    <w:p w14:paraId="6C260D3E" w14:textId="6B059CC4" w:rsidR="00622EA3" w:rsidRPr="00471048" w:rsidRDefault="00622EA3" w:rsidP="00471048">
      <w:pPr>
        <w:spacing w:line="276" w:lineRule="auto"/>
        <w:ind w:firstLine="2835"/>
        <w:jc w:val="both"/>
        <w:rPr>
          <w:rFonts w:ascii="Gadugi" w:hAnsi="Gadugi"/>
          <w:sz w:val="24"/>
          <w:szCs w:val="24"/>
          <w:lang w:val="es-419"/>
        </w:rPr>
      </w:pPr>
      <w:r w:rsidRPr="00471048">
        <w:rPr>
          <w:rFonts w:ascii="Gadugi" w:hAnsi="Gadugi"/>
          <w:sz w:val="24"/>
          <w:szCs w:val="24"/>
        </w:rPr>
        <w:t>Pereira,</w:t>
      </w:r>
      <w:r w:rsidR="008B1C3E" w:rsidRPr="00471048">
        <w:rPr>
          <w:rFonts w:ascii="Gadugi" w:hAnsi="Gadugi"/>
          <w:sz w:val="24"/>
          <w:szCs w:val="24"/>
        </w:rPr>
        <w:t xml:space="preserve"> </w:t>
      </w:r>
      <w:r w:rsidR="00366A42" w:rsidRPr="00471048">
        <w:rPr>
          <w:rFonts w:ascii="Gadugi" w:hAnsi="Gadugi"/>
          <w:sz w:val="24"/>
          <w:szCs w:val="24"/>
        </w:rPr>
        <w:t>mayo dieciocho de dos mil veintidós</w:t>
      </w:r>
    </w:p>
    <w:p w14:paraId="2BA06011" w14:textId="77777777" w:rsidR="00471048" w:rsidRDefault="00622EA3" w:rsidP="00471048">
      <w:pPr>
        <w:spacing w:line="276" w:lineRule="auto"/>
        <w:ind w:firstLine="2835"/>
        <w:jc w:val="both"/>
        <w:rPr>
          <w:rFonts w:ascii="Gadugi" w:hAnsi="Gadugi"/>
          <w:sz w:val="24"/>
          <w:szCs w:val="24"/>
        </w:rPr>
      </w:pPr>
      <w:r w:rsidRPr="00471048">
        <w:rPr>
          <w:rFonts w:ascii="Gadugi" w:hAnsi="Gadugi"/>
          <w:sz w:val="24"/>
          <w:szCs w:val="24"/>
        </w:rPr>
        <w:t>Expediente: 660012213000202</w:t>
      </w:r>
      <w:r w:rsidR="008E3460" w:rsidRPr="00471048">
        <w:rPr>
          <w:rFonts w:ascii="Gadugi" w:hAnsi="Gadugi"/>
          <w:sz w:val="24"/>
          <w:szCs w:val="24"/>
        </w:rPr>
        <w:t>2</w:t>
      </w:r>
      <w:r w:rsidRPr="00471048">
        <w:rPr>
          <w:rFonts w:ascii="Gadugi" w:hAnsi="Gadugi"/>
          <w:sz w:val="24"/>
          <w:szCs w:val="24"/>
        </w:rPr>
        <w:t>00</w:t>
      </w:r>
      <w:r w:rsidR="008E3460" w:rsidRPr="00471048">
        <w:rPr>
          <w:rFonts w:ascii="Gadugi" w:hAnsi="Gadugi"/>
          <w:sz w:val="24"/>
          <w:szCs w:val="24"/>
        </w:rPr>
        <w:t>0</w:t>
      </w:r>
      <w:r w:rsidR="00E23235" w:rsidRPr="00471048">
        <w:rPr>
          <w:rFonts w:ascii="Gadugi" w:hAnsi="Gadugi"/>
          <w:sz w:val="24"/>
          <w:szCs w:val="24"/>
        </w:rPr>
        <w:t>9</w:t>
      </w:r>
      <w:r w:rsidR="00B04026" w:rsidRPr="00471048">
        <w:rPr>
          <w:rFonts w:ascii="Gadugi" w:hAnsi="Gadugi"/>
          <w:sz w:val="24"/>
          <w:szCs w:val="24"/>
        </w:rPr>
        <w:t>9</w:t>
      </w:r>
      <w:r w:rsidRPr="00471048">
        <w:rPr>
          <w:rFonts w:ascii="Gadugi" w:hAnsi="Gadugi"/>
          <w:sz w:val="24"/>
          <w:szCs w:val="24"/>
        </w:rPr>
        <w:t>00</w:t>
      </w:r>
    </w:p>
    <w:p w14:paraId="57AC3A9F" w14:textId="77777777" w:rsidR="00471048" w:rsidRDefault="00622EA3" w:rsidP="00471048">
      <w:pPr>
        <w:spacing w:line="276" w:lineRule="auto"/>
        <w:ind w:firstLine="2835"/>
        <w:jc w:val="both"/>
        <w:rPr>
          <w:rFonts w:ascii="Gadugi" w:hAnsi="Gadugi"/>
          <w:sz w:val="24"/>
          <w:szCs w:val="24"/>
        </w:rPr>
      </w:pPr>
      <w:r w:rsidRPr="00471048">
        <w:rPr>
          <w:rFonts w:ascii="Gadugi" w:hAnsi="Gadugi"/>
          <w:sz w:val="24"/>
          <w:szCs w:val="24"/>
        </w:rPr>
        <w:t>Acta:</w:t>
      </w:r>
      <w:r w:rsidR="001A7E58" w:rsidRPr="00471048">
        <w:rPr>
          <w:rFonts w:ascii="Gadugi" w:hAnsi="Gadugi"/>
          <w:sz w:val="24"/>
          <w:szCs w:val="24"/>
        </w:rPr>
        <w:t xml:space="preserve"> </w:t>
      </w:r>
      <w:r w:rsidR="00366A42" w:rsidRPr="00471048">
        <w:rPr>
          <w:rFonts w:ascii="Gadugi" w:hAnsi="Gadugi"/>
          <w:sz w:val="24"/>
          <w:szCs w:val="24"/>
        </w:rPr>
        <w:t>204 del 18 de mayo de 2022</w:t>
      </w:r>
    </w:p>
    <w:p w14:paraId="12085F01" w14:textId="473F51D6" w:rsidR="00622EA3" w:rsidRPr="00471048" w:rsidRDefault="00622EA3" w:rsidP="00471048">
      <w:pPr>
        <w:spacing w:line="276" w:lineRule="auto"/>
        <w:ind w:firstLine="2835"/>
        <w:jc w:val="both"/>
        <w:rPr>
          <w:rFonts w:ascii="Gadugi" w:hAnsi="Gadugi"/>
          <w:sz w:val="24"/>
          <w:szCs w:val="24"/>
        </w:rPr>
      </w:pPr>
      <w:r w:rsidRPr="00471048">
        <w:rPr>
          <w:rFonts w:ascii="Gadugi" w:hAnsi="Gadugi"/>
          <w:sz w:val="24"/>
          <w:szCs w:val="24"/>
        </w:rPr>
        <w:t>Sentencia</w:t>
      </w:r>
      <w:r w:rsidR="00366A42" w:rsidRPr="00471048">
        <w:rPr>
          <w:rFonts w:ascii="Gadugi" w:hAnsi="Gadugi"/>
          <w:sz w:val="24"/>
          <w:szCs w:val="24"/>
        </w:rPr>
        <w:t>: ST1-</w:t>
      </w:r>
      <w:r w:rsidR="00DF2204">
        <w:rPr>
          <w:rFonts w:ascii="Gadugi" w:hAnsi="Gadugi"/>
          <w:sz w:val="24"/>
          <w:szCs w:val="24"/>
        </w:rPr>
        <w:t>0</w:t>
      </w:r>
      <w:r w:rsidR="00366A42" w:rsidRPr="00471048">
        <w:rPr>
          <w:rFonts w:ascii="Gadugi" w:hAnsi="Gadugi"/>
          <w:sz w:val="24"/>
          <w:szCs w:val="24"/>
        </w:rPr>
        <w:t>083-2022</w:t>
      </w:r>
      <w:r w:rsidR="008B1C3E" w:rsidRPr="00471048">
        <w:rPr>
          <w:rFonts w:ascii="Gadugi" w:hAnsi="Gadugi"/>
          <w:sz w:val="24"/>
          <w:szCs w:val="24"/>
        </w:rPr>
        <w:t xml:space="preserve"> </w:t>
      </w:r>
      <w:r w:rsidR="00E23235" w:rsidRPr="00471048">
        <w:rPr>
          <w:rFonts w:ascii="Gadugi" w:hAnsi="Gadugi"/>
          <w:sz w:val="24"/>
          <w:szCs w:val="24"/>
        </w:rPr>
        <w:t xml:space="preserve"> </w:t>
      </w:r>
    </w:p>
    <w:p w14:paraId="66315ABD" w14:textId="77777777" w:rsidR="00622EA3" w:rsidRPr="00471048" w:rsidRDefault="00622EA3" w:rsidP="00471048">
      <w:pPr>
        <w:spacing w:line="276" w:lineRule="auto"/>
        <w:ind w:firstLine="2835"/>
        <w:jc w:val="both"/>
        <w:rPr>
          <w:rFonts w:ascii="Gadugi" w:hAnsi="Gadugi"/>
          <w:sz w:val="24"/>
          <w:szCs w:val="24"/>
        </w:rPr>
      </w:pPr>
    </w:p>
    <w:p w14:paraId="0E72F967" w14:textId="4C1E39C0" w:rsidR="00622EA3" w:rsidRPr="00471048" w:rsidRDefault="00622EA3" w:rsidP="00471048">
      <w:pPr>
        <w:spacing w:line="276" w:lineRule="auto"/>
        <w:ind w:firstLine="2835"/>
        <w:jc w:val="both"/>
        <w:rPr>
          <w:rFonts w:ascii="Gadugi" w:hAnsi="Gadugi"/>
          <w:sz w:val="24"/>
          <w:szCs w:val="24"/>
        </w:rPr>
      </w:pPr>
    </w:p>
    <w:p w14:paraId="3F691103" w14:textId="62DDCE7F" w:rsidR="00E23235" w:rsidRPr="00471048" w:rsidRDefault="00622EA3" w:rsidP="00471048">
      <w:pPr>
        <w:spacing w:line="276" w:lineRule="auto"/>
        <w:ind w:firstLine="2835"/>
        <w:jc w:val="both"/>
        <w:rPr>
          <w:rFonts w:ascii="Gadugi" w:hAnsi="Gadugi" w:cs="Century Gothic"/>
          <w:sz w:val="24"/>
          <w:szCs w:val="24"/>
        </w:rPr>
      </w:pPr>
      <w:r w:rsidRPr="00471048">
        <w:rPr>
          <w:rFonts w:ascii="Gadugi" w:hAnsi="Gadugi" w:cs="Century Gothic"/>
          <w:sz w:val="24"/>
          <w:szCs w:val="24"/>
        </w:rPr>
        <w:t>Decide la Sala la acción de tutela promovida</w:t>
      </w:r>
      <w:r w:rsidR="00E23235" w:rsidRPr="00471048">
        <w:rPr>
          <w:rFonts w:ascii="Gadugi" w:hAnsi="Gadugi" w:cs="Century Gothic"/>
          <w:sz w:val="24"/>
          <w:szCs w:val="24"/>
        </w:rPr>
        <w:t>, mediante apoderada judicial,</w:t>
      </w:r>
      <w:r w:rsidR="00667A1A" w:rsidRPr="00471048">
        <w:rPr>
          <w:rFonts w:ascii="Gadugi" w:hAnsi="Gadugi" w:cs="Century Gothic"/>
          <w:sz w:val="24"/>
          <w:szCs w:val="24"/>
        </w:rPr>
        <w:t xml:space="preserve"> </w:t>
      </w:r>
      <w:r w:rsidRPr="00471048">
        <w:rPr>
          <w:rFonts w:ascii="Gadugi" w:hAnsi="Gadugi" w:cs="Century Gothic"/>
          <w:sz w:val="24"/>
          <w:szCs w:val="24"/>
        </w:rPr>
        <w:t xml:space="preserve">por </w:t>
      </w:r>
      <w:r w:rsidR="00E23235" w:rsidRPr="00471048">
        <w:rPr>
          <w:rFonts w:ascii="Gadugi" w:hAnsi="Gadugi" w:cs="Century Gothic"/>
          <w:b/>
          <w:sz w:val="24"/>
          <w:szCs w:val="24"/>
        </w:rPr>
        <w:t>Jas</w:t>
      </w:r>
      <w:r w:rsidR="00E55BF1" w:rsidRPr="00471048">
        <w:rPr>
          <w:rFonts w:ascii="Gadugi" w:hAnsi="Gadugi" w:cs="Century Gothic"/>
          <w:b/>
          <w:sz w:val="24"/>
          <w:szCs w:val="24"/>
        </w:rPr>
        <w:t>o</w:t>
      </w:r>
      <w:r w:rsidR="00E23235" w:rsidRPr="00471048">
        <w:rPr>
          <w:rFonts w:ascii="Gadugi" w:hAnsi="Gadugi" w:cs="Century Gothic"/>
          <w:b/>
          <w:sz w:val="24"/>
          <w:szCs w:val="24"/>
        </w:rPr>
        <w:t xml:space="preserve">n </w:t>
      </w:r>
      <w:r w:rsidR="00E55BF1" w:rsidRPr="00471048">
        <w:rPr>
          <w:rFonts w:ascii="Gadugi" w:hAnsi="Gadugi" w:cs="Century Gothic"/>
          <w:b/>
          <w:sz w:val="24"/>
          <w:szCs w:val="24"/>
        </w:rPr>
        <w:t>L</w:t>
      </w:r>
      <w:r w:rsidR="00E23235" w:rsidRPr="00471048">
        <w:rPr>
          <w:rFonts w:ascii="Gadugi" w:hAnsi="Gadugi" w:cs="Century Gothic"/>
          <w:b/>
          <w:sz w:val="24"/>
          <w:szCs w:val="24"/>
        </w:rPr>
        <w:t>a Rosa</w:t>
      </w:r>
      <w:r w:rsidR="00601FE4" w:rsidRPr="00471048">
        <w:rPr>
          <w:rFonts w:ascii="Gadugi" w:hAnsi="Gadugi" w:cs="Century Gothic"/>
          <w:sz w:val="24"/>
          <w:szCs w:val="24"/>
        </w:rPr>
        <w:t xml:space="preserve"> contra el</w:t>
      </w:r>
      <w:r w:rsidR="00E23235" w:rsidRPr="00471048">
        <w:rPr>
          <w:rFonts w:ascii="Gadugi" w:hAnsi="Gadugi" w:cs="Century Gothic"/>
          <w:sz w:val="24"/>
          <w:szCs w:val="24"/>
        </w:rPr>
        <w:t xml:space="preserve"> </w:t>
      </w:r>
      <w:r w:rsidR="00E23235" w:rsidRPr="00471048">
        <w:rPr>
          <w:rFonts w:ascii="Gadugi" w:hAnsi="Gadugi" w:cs="Century Gothic"/>
          <w:b/>
          <w:sz w:val="24"/>
          <w:szCs w:val="24"/>
        </w:rPr>
        <w:t>Juzgado Promiscuo del Circuito</w:t>
      </w:r>
      <w:r w:rsidR="00E23235" w:rsidRPr="00471048">
        <w:rPr>
          <w:rFonts w:ascii="Gadugi" w:hAnsi="Gadugi" w:cs="Century Gothic"/>
          <w:sz w:val="24"/>
          <w:szCs w:val="24"/>
        </w:rPr>
        <w:t xml:space="preserve"> y el </w:t>
      </w:r>
      <w:r w:rsidR="00E23235" w:rsidRPr="00471048">
        <w:rPr>
          <w:rFonts w:ascii="Gadugi" w:hAnsi="Gadugi" w:cs="Century Gothic"/>
          <w:b/>
          <w:sz w:val="24"/>
          <w:szCs w:val="24"/>
        </w:rPr>
        <w:lastRenderedPageBreak/>
        <w:t>Juzgado Segundo Promiscuo Municipal de Belén Umbría</w:t>
      </w:r>
      <w:r w:rsidR="00E23235" w:rsidRPr="00471048">
        <w:rPr>
          <w:rFonts w:ascii="Gadugi" w:hAnsi="Gadugi" w:cs="Century Gothic"/>
          <w:sz w:val="24"/>
          <w:szCs w:val="24"/>
        </w:rPr>
        <w:t>,</w:t>
      </w:r>
      <w:r w:rsidR="00E23235" w:rsidRPr="00471048">
        <w:rPr>
          <w:rFonts w:ascii="Gadugi" w:hAnsi="Gadugi" w:cs="Century Gothic"/>
          <w:b/>
          <w:sz w:val="24"/>
          <w:szCs w:val="24"/>
        </w:rPr>
        <w:t xml:space="preserve"> </w:t>
      </w:r>
      <w:r w:rsidR="00E23235" w:rsidRPr="00471048">
        <w:rPr>
          <w:rFonts w:ascii="Gadugi" w:hAnsi="Gadugi" w:cs="Century Gothic"/>
          <w:sz w:val="24"/>
          <w:szCs w:val="24"/>
        </w:rPr>
        <w:t xml:space="preserve">y a la que fue citado </w:t>
      </w:r>
      <w:r w:rsidR="00E23235" w:rsidRPr="00471048">
        <w:rPr>
          <w:rFonts w:ascii="Gadugi" w:hAnsi="Gadugi" w:cs="Century Gothic"/>
          <w:b/>
          <w:sz w:val="24"/>
          <w:szCs w:val="24"/>
        </w:rPr>
        <w:t xml:space="preserve">Luis Darío Idárraga. </w:t>
      </w:r>
    </w:p>
    <w:p w14:paraId="46C6DED3" w14:textId="77777777" w:rsidR="00575838" w:rsidRPr="00471048" w:rsidRDefault="00575838" w:rsidP="00471048">
      <w:pPr>
        <w:spacing w:line="276" w:lineRule="auto"/>
        <w:ind w:firstLine="2835"/>
        <w:jc w:val="both"/>
        <w:rPr>
          <w:rFonts w:ascii="Gadugi" w:hAnsi="Gadugi" w:cs="Century Gothic"/>
          <w:b/>
          <w:bCs/>
          <w:sz w:val="24"/>
          <w:szCs w:val="24"/>
        </w:rPr>
      </w:pPr>
    </w:p>
    <w:p w14:paraId="4A19C3EA" w14:textId="03C0D246" w:rsidR="00DE2D75" w:rsidRPr="00471048" w:rsidRDefault="00334BA2" w:rsidP="00471048">
      <w:pPr>
        <w:spacing w:line="276" w:lineRule="auto"/>
        <w:rPr>
          <w:rFonts w:ascii="Gadugi" w:hAnsi="Gadugi"/>
          <w:sz w:val="24"/>
          <w:szCs w:val="24"/>
          <w:lang w:val="es-MX"/>
        </w:rPr>
      </w:pPr>
      <w:r w:rsidRPr="00471048">
        <w:rPr>
          <w:rFonts w:ascii="Gadugi" w:hAnsi="Gadugi"/>
          <w:sz w:val="24"/>
          <w:szCs w:val="24"/>
          <w:lang w:val="es-MX"/>
        </w:rPr>
        <w:tab/>
      </w:r>
      <w:r w:rsidRPr="00471048">
        <w:rPr>
          <w:rFonts w:ascii="Gadugi" w:hAnsi="Gadugi"/>
          <w:sz w:val="24"/>
          <w:szCs w:val="24"/>
          <w:lang w:val="es-MX"/>
        </w:rPr>
        <w:tab/>
      </w:r>
      <w:r w:rsidRPr="00471048">
        <w:rPr>
          <w:rFonts w:ascii="Gadugi" w:hAnsi="Gadugi"/>
          <w:sz w:val="24"/>
          <w:szCs w:val="24"/>
          <w:lang w:val="es-MX"/>
        </w:rPr>
        <w:tab/>
      </w:r>
      <w:r w:rsidRPr="00471048">
        <w:rPr>
          <w:rFonts w:ascii="Gadugi" w:hAnsi="Gadugi"/>
          <w:sz w:val="24"/>
          <w:szCs w:val="24"/>
          <w:lang w:val="es-MX"/>
        </w:rPr>
        <w:tab/>
      </w:r>
    </w:p>
    <w:p w14:paraId="5FC40CE4" w14:textId="70171DEC" w:rsidR="00622EA3" w:rsidRPr="00471048" w:rsidRDefault="002B4078" w:rsidP="00471048">
      <w:pPr>
        <w:pStyle w:val="Ttulo4"/>
        <w:spacing w:line="276" w:lineRule="auto"/>
        <w:rPr>
          <w:rFonts w:ascii="Gadugi" w:hAnsi="Gadugi"/>
          <w:b/>
          <w:sz w:val="24"/>
          <w:szCs w:val="24"/>
        </w:rPr>
      </w:pPr>
      <w:r w:rsidRPr="00471048">
        <w:rPr>
          <w:rFonts w:ascii="Gadugi" w:hAnsi="Gadugi"/>
          <w:b/>
          <w:sz w:val="24"/>
          <w:szCs w:val="24"/>
        </w:rPr>
        <w:t xml:space="preserve">1. </w:t>
      </w:r>
      <w:r w:rsidR="00622EA3" w:rsidRPr="00471048">
        <w:rPr>
          <w:rFonts w:ascii="Gadugi" w:hAnsi="Gadugi"/>
          <w:b/>
          <w:sz w:val="24"/>
          <w:szCs w:val="24"/>
        </w:rPr>
        <w:t>ANTECEDENTES</w:t>
      </w:r>
    </w:p>
    <w:p w14:paraId="7F2F7AAA" w14:textId="77777777" w:rsidR="00622EA3" w:rsidRPr="00471048" w:rsidRDefault="00622EA3" w:rsidP="00471048">
      <w:pPr>
        <w:spacing w:line="276" w:lineRule="auto"/>
        <w:jc w:val="both"/>
        <w:rPr>
          <w:rFonts w:ascii="Gadugi" w:hAnsi="Gadugi" w:cs="Century Gothic"/>
          <w:sz w:val="24"/>
          <w:szCs w:val="24"/>
        </w:rPr>
      </w:pPr>
      <w:r w:rsidRPr="00471048">
        <w:rPr>
          <w:rFonts w:ascii="Gadugi" w:hAnsi="Gadugi" w:cs="Century Gothic"/>
          <w:sz w:val="24"/>
          <w:szCs w:val="24"/>
        </w:rPr>
        <w:tab/>
      </w:r>
      <w:r w:rsidRPr="00471048">
        <w:rPr>
          <w:rFonts w:ascii="Gadugi" w:hAnsi="Gadugi" w:cs="Century Gothic"/>
          <w:sz w:val="24"/>
          <w:szCs w:val="24"/>
        </w:rPr>
        <w:tab/>
      </w:r>
      <w:r w:rsidRPr="00471048">
        <w:rPr>
          <w:rFonts w:ascii="Gadugi" w:hAnsi="Gadugi" w:cs="Century Gothic"/>
          <w:sz w:val="24"/>
          <w:szCs w:val="24"/>
        </w:rPr>
        <w:tab/>
      </w:r>
      <w:r w:rsidRPr="00471048">
        <w:rPr>
          <w:rFonts w:ascii="Gadugi" w:hAnsi="Gadugi" w:cs="Century Gothic"/>
          <w:sz w:val="24"/>
          <w:szCs w:val="24"/>
        </w:rPr>
        <w:tab/>
      </w:r>
    </w:p>
    <w:p w14:paraId="5B81C4EA" w14:textId="77777777" w:rsidR="00622EA3" w:rsidRPr="00471048" w:rsidRDefault="00622EA3"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p>
    <w:p w14:paraId="13BEB7F9" w14:textId="0A6A3CB0" w:rsidR="00E23235" w:rsidRPr="00471048" w:rsidRDefault="00622EA3"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 xml:space="preserve">  </w:t>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002B4078" w:rsidRPr="00471048">
        <w:rPr>
          <w:rFonts w:ascii="Gadugi" w:hAnsi="Gadugi" w:cs="Century Gothic"/>
          <w:sz w:val="24"/>
          <w:szCs w:val="24"/>
          <w:lang w:val="es-CO"/>
        </w:rPr>
        <w:t xml:space="preserve">1.1. </w:t>
      </w:r>
      <w:r w:rsidR="00E23235" w:rsidRPr="00471048">
        <w:rPr>
          <w:rFonts w:ascii="Gadugi" w:hAnsi="Gadugi" w:cs="Century Gothic"/>
          <w:sz w:val="24"/>
          <w:szCs w:val="24"/>
          <w:lang w:val="es-CO"/>
        </w:rPr>
        <w:t xml:space="preserve">Narró el accionante que, </w:t>
      </w:r>
      <w:r w:rsidR="00467BD1" w:rsidRPr="00471048">
        <w:rPr>
          <w:rFonts w:ascii="Gadugi" w:hAnsi="Gadugi" w:cs="Century Gothic"/>
          <w:sz w:val="24"/>
          <w:szCs w:val="24"/>
          <w:lang w:val="es-CO"/>
        </w:rPr>
        <w:t>en el proceso ejecutivo con radicado 2013-00153-00, en el que actúa como demandad</w:t>
      </w:r>
      <w:r w:rsidR="00725DBD" w:rsidRPr="00471048">
        <w:rPr>
          <w:rFonts w:ascii="Gadugi" w:hAnsi="Gadugi" w:cs="Century Gothic"/>
          <w:sz w:val="24"/>
          <w:szCs w:val="24"/>
          <w:lang w:val="es-CO"/>
        </w:rPr>
        <w:t xml:space="preserve">o, con auto del 27 de octubre de 2020, confirmado en segunda instancia el 20 de noviembre de ese mismo año, se declaró la nulidad de lo actuado, desde la notificación del mandamiento de pago. </w:t>
      </w:r>
    </w:p>
    <w:p w14:paraId="19D0220E" w14:textId="053D306E" w:rsidR="00725DBD" w:rsidRPr="00471048" w:rsidRDefault="00AA10C1"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p>
    <w:p w14:paraId="6EC7C30A" w14:textId="6225E1BA" w:rsidR="00725DBD" w:rsidRPr="00471048" w:rsidRDefault="00725DBD"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t>Después, él propuso las excepciones de “</w:t>
      </w:r>
      <w:r w:rsidRPr="00DE51F4">
        <w:rPr>
          <w:rFonts w:ascii="Gadugi" w:hAnsi="Gadugi" w:cs="Century Gothic"/>
          <w:sz w:val="22"/>
          <w:szCs w:val="24"/>
          <w:lang w:val="es-CO"/>
        </w:rPr>
        <w:t>prescripción extintiva e inexistencia o ineficacia de la obligación</w:t>
      </w:r>
      <w:r w:rsidRPr="00471048">
        <w:rPr>
          <w:rFonts w:ascii="Gadugi" w:hAnsi="Gadugi" w:cs="Century Gothic"/>
          <w:sz w:val="24"/>
          <w:szCs w:val="24"/>
          <w:lang w:val="es-CO"/>
        </w:rPr>
        <w:t xml:space="preserve">”, pero fueron desestimadas con sendas sentencias del 12 y el 29 de abril de 2021, providencias contra las que se alzó, pero que fueron confirmadas, de manera conjunta, con fallo del 27 de agosto de 2021, </w:t>
      </w:r>
      <w:r w:rsidR="00791357" w:rsidRPr="00471048">
        <w:rPr>
          <w:rFonts w:ascii="Gadugi" w:hAnsi="Gadugi" w:cs="Century Gothic"/>
          <w:sz w:val="24"/>
          <w:szCs w:val="24"/>
          <w:lang w:val="es-CO"/>
        </w:rPr>
        <w:t>sin estudiar los reparos formulados en la apelación.</w:t>
      </w:r>
    </w:p>
    <w:p w14:paraId="625174D6" w14:textId="01E4B2B1" w:rsidR="00791357" w:rsidRPr="00471048" w:rsidRDefault="00AA10C1"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p>
    <w:p w14:paraId="05C65A9D" w14:textId="10B8D30F" w:rsidR="00791357" w:rsidRPr="00471048" w:rsidRDefault="00791357"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t xml:space="preserve">Contra ese fallo se formuló una acción de tutela, que este Tribunal concedió, ordenándole al Juzgado Promiscuo del Circuito de Belén de Umbría, proferir nuevo fallo de segunda instancia </w:t>
      </w:r>
      <w:r w:rsidR="001F4D33" w:rsidRPr="00471048">
        <w:rPr>
          <w:rFonts w:ascii="Gadugi" w:hAnsi="Gadugi" w:cs="Century Gothic"/>
          <w:sz w:val="24"/>
          <w:szCs w:val="24"/>
          <w:lang w:val="es-CO"/>
        </w:rPr>
        <w:t xml:space="preserve">en el que </w:t>
      </w:r>
      <w:r w:rsidR="00640A25" w:rsidRPr="00471048">
        <w:rPr>
          <w:rFonts w:ascii="Gadugi" w:hAnsi="Gadugi" w:cs="Century Gothic"/>
          <w:sz w:val="24"/>
          <w:szCs w:val="24"/>
          <w:lang w:val="es-CO"/>
        </w:rPr>
        <w:t xml:space="preserve">analizara </w:t>
      </w:r>
      <w:r w:rsidRPr="00471048">
        <w:rPr>
          <w:rFonts w:ascii="Gadugi" w:hAnsi="Gadugi" w:cs="Century Gothic"/>
          <w:sz w:val="24"/>
          <w:szCs w:val="24"/>
          <w:lang w:val="es-CO"/>
        </w:rPr>
        <w:t>la responsabilidad del demandante en la nulidad y le diera el efecto que correspondiera.</w:t>
      </w:r>
    </w:p>
    <w:p w14:paraId="5EED6D56" w14:textId="66B9A958" w:rsidR="00791357" w:rsidRPr="00471048" w:rsidRDefault="00AA10C1"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p>
    <w:p w14:paraId="6D2F94B5" w14:textId="7E8CA69D" w:rsidR="00791357" w:rsidRPr="00471048" w:rsidRDefault="00791357"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t>En consecuencia, ese despacho judicial, emitió una nueva sentencia el 1° de febrero de 2022, pero allí no tuvo en cuenta las órdenes dadas en el fallo de tutela, por lo cual, él incoó un incidente de desacato, que derivó en que el juzgado profiriera un nuevo fallo el 22 de febrero de 2022</w:t>
      </w:r>
      <w:r w:rsidRPr="00471048">
        <w:rPr>
          <w:rFonts w:ascii="Gadugi" w:hAnsi="Gadugi" w:cs="Century Gothic"/>
          <w:i/>
          <w:sz w:val="24"/>
          <w:szCs w:val="24"/>
          <w:lang w:val="es-CO"/>
        </w:rPr>
        <w:t>, “</w:t>
      </w:r>
      <w:r w:rsidRPr="00DE51F4">
        <w:rPr>
          <w:rFonts w:ascii="Gadugi" w:hAnsi="Gadugi" w:cs="Century Gothic"/>
          <w:i/>
          <w:sz w:val="22"/>
          <w:szCs w:val="24"/>
          <w:lang w:val="es-CO"/>
        </w:rPr>
        <w:t>en el que confirma la decisión nuevamente, indicando que el demandante no tuvo culpa alguna en la nulidad procesa decretada y que por ello la interrupción de la prescripción operó legalmente</w:t>
      </w:r>
      <w:r w:rsidRPr="00471048">
        <w:rPr>
          <w:rFonts w:ascii="Gadugi" w:hAnsi="Gadugi" w:cs="Century Gothic"/>
          <w:i/>
          <w:sz w:val="24"/>
          <w:szCs w:val="24"/>
          <w:lang w:val="es-CO"/>
        </w:rPr>
        <w:t>.”</w:t>
      </w:r>
    </w:p>
    <w:p w14:paraId="07F0C6C1" w14:textId="5B6CF831" w:rsidR="00791357" w:rsidRPr="00471048" w:rsidRDefault="00AA10C1"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p>
    <w:p w14:paraId="700B1AC9" w14:textId="132B8AA2" w:rsidR="00791357" w:rsidRPr="00471048" w:rsidRDefault="00791357"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006F6507" w:rsidRPr="00471048">
        <w:rPr>
          <w:rFonts w:ascii="Gadugi" w:hAnsi="Gadugi" w:cs="Century Gothic"/>
          <w:sz w:val="24"/>
          <w:szCs w:val="24"/>
          <w:lang w:val="es-CO"/>
        </w:rPr>
        <w:tab/>
        <w:t>Explica</w:t>
      </w:r>
      <w:r w:rsidRPr="00471048">
        <w:rPr>
          <w:rFonts w:ascii="Gadugi" w:hAnsi="Gadugi" w:cs="Century Gothic"/>
          <w:sz w:val="24"/>
          <w:szCs w:val="24"/>
          <w:lang w:val="es-CO"/>
        </w:rPr>
        <w:t xml:space="preserve"> que, no haber declarado probada la excepción de prescripción extintiva, </w:t>
      </w:r>
      <w:r w:rsidRPr="00471048">
        <w:rPr>
          <w:rFonts w:ascii="Gadugi" w:hAnsi="Gadugi" w:cs="Century Gothic"/>
          <w:i/>
          <w:sz w:val="24"/>
          <w:szCs w:val="24"/>
          <w:lang w:val="es-CO"/>
        </w:rPr>
        <w:t>“</w:t>
      </w:r>
      <w:r w:rsidRPr="00DE51F4">
        <w:rPr>
          <w:rFonts w:ascii="Gadugi" w:hAnsi="Gadugi" w:cs="Century Gothic"/>
          <w:i/>
          <w:sz w:val="22"/>
          <w:szCs w:val="24"/>
          <w:lang w:val="es-CO"/>
        </w:rPr>
        <w:t>es un defecto procedimental y fáctico</w:t>
      </w:r>
      <w:r w:rsidRPr="00471048">
        <w:rPr>
          <w:rFonts w:ascii="Gadugi" w:hAnsi="Gadugi" w:cs="Century Gothic"/>
          <w:i/>
          <w:sz w:val="24"/>
          <w:szCs w:val="24"/>
          <w:lang w:val="es-CO"/>
        </w:rPr>
        <w:t>”</w:t>
      </w:r>
      <w:r w:rsidR="002B4078" w:rsidRPr="00471048">
        <w:rPr>
          <w:rFonts w:ascii="Gadugi" w:hAnsi="Gadugi" w:cs="Century Gothic"/>
          <w:i/>
          <w:sz w:val="24"/>
          <w:szCs w:val="24"/>
          <w:lang w:val="es-CO"/>
        </w:rPr>
        <w:t xml:space="preserve">, </w:t>
      </w:r>
      <w:r w:rsidR="002B4078" w:rsidRPr="00471048">
        <w:rPr>
          <w:rFonts w:ascii="Gadugi" w:hAnsi="Gadugi" w:cs="Century Gothic"/>
          <w:sz w:val="24"/>
          <w:szCs w:val="24"/>
          <w:lang w:val="es-CO"/>
        </w:rPr>
        <w:t xml:space="preserve">lo cual sustentó, y será analizado en líneas siguientes. </w:t>
      </w:r>
    </w:p>
    <w:p w14:paraId="3D7BB88C" w14:textId="2ECBD9ED" w:rsidR="00725DBD" w:rsidRPr="00471048" w:rsidRDefault="00AA10C1"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p>
    <w:p w14:paraId="215EA097" w14:textId="262AA73D" w:rsidR="006F6507" w:rsidRPr="00471048" w:rsidRDefault="006F6507"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t xml:space="preserve">Pidió, entonces, ordenarles a los despachos encausados proferir </w:t>
      </w:r>
      <w:r w:rsidRPr="00471048">
        <w:rPr>
          <w:rFonts w:ascii="Gadugi" w:hAnsi="Gadugi" w:cs="Century Gothic"/>
          <w:i/>
          <w:sz w:val="24"/>
          <w:szCs w:val="24"/>
          <w:lang w:val="es-CO"/>
        </w:rPr>
        <w:t>“</w:t>
      </w:r>
      <w:r w:rsidRPr="00DE51F4">
        <w:rPr>
          <w:rFonts w:ascii="Gadugi" w:hAnsi="Gadugi" w:cs="Century Gothic"/>
          <w:i/>
          <w:sz w:val="22"/>
          <w:szCs w:val="24"/>
          <w:lang w:val="es-CO"/>
        </w:rPr>
        <w:t>(…) nuevas decisiones en relación con la excepción de prescripción extintiva, sin incurrir en los defectos procedimentales y fácticos mencionados en la tutela</w:t>
      </w:r>
      <w:r w:rsidRPr="00471048">
        <w:rPr>
          <w:rFonts w:ascii="Gadugi" w:hAnsi="Gadugi" w:cs="Century Gothic"/>
          <w:i/>
          <w:sz w:val="24"/>
          <w:szCs w:val="24"/>
          <w:lang w:val="es-CO"/>
        </w:rPr>
        <w:t>.”</w:t>
      </w:r>
      <w:r w:rsidR="002B4078" w:rsidRPr="00471048">
        <w:rPr>
          <w:rStyle w:val="Refdenotaalpie"/>
          <w:rFonts w:ascii="Gadugi" w:hAnsi="Gadugi"/>
          <w:sz w:val="24"/>
          <w:szCs w:val="24"/>
          <w:lang w:val="es-CO"/>
        </w:rPr>
        <w:t xml:space="preserve"> </w:t>
      </w:r>
      <w:r w:rsidR="002B4078" w:rsidRPr="00471048">
        <w:rPr>
          <w:rStyle w:val="Refdenotaalpie"/>
          <w:rFonts w:ascii="Gadugi" w:hAnsi="Gadugi"/>
          <w:sz w:val="24"/>
          <w:szCs w:val="24"/>
          <w:lang w:val="es-CO"/>
        </w:rPr>
        <w:footnoteReference w:id="1"/>
      </w:r>
    </w:p>
    <w:p w14:paraId="6B38F1DC" w14:textId="58E47628" w:rsidR="006F6507" w:rsidRPr="00471048" w:rsidRDefault="006F6507"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p>
    <w:p w14:paraId="560BC58F" w14:textId="227303B9" w:rsidR="00FF608F" w:rsidRPr="00471048" w:rsidRDefault="006F6507"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lastRenderedPageBreak/>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00575E80" w:rsidRPr="00471048">
        <w:rPr>
          <w:rFonts w:ascii="Gadugi" w:hAnsi="Gadugi" w:cs="Century Gothic"/>
          <w:sz w:val="24"/>
          <w:szCs w:val="24"/>
          <w:lang w:val="es-CO"/>
        </w:rPr>
        <w:t xml:space="preserve">1.2. </w:t>
      </w:r>
      <w:r w:rsidRPr="00471048">
        <w:rPr>
          <w:rFonts w:ascii="Gadugi" w:hAnsi="Gadugi" w:cs="Century Gothic"/>
          <w:sz w:val="24"/>
          <w:szCs w:val="24"/>
          <w:lang w:val="es-CO"/>
        </w:rPr>
        <w:t>En esta sede s</w:t>
      </w:r>
      <w:r w:rsidR="00FF608F" w:rsidRPr="00471048">
        <w:rPr>
          <w:rFonts w:ascii="Gadugi" w:hAnsi="Gadugi" w:cs="Century Gothic"/>
          <w:sz w:val="24"/>
          <w:szCs w:val="24"/>
          <w:lang w:val="es-CO"/>
        </w:rPr>
        <w:t xml:space="preserve">e le dio impulso </w:t>
      </w:r>
      <w:r w:rsidRPr="00471048">
        <w:rPr>
          <w:rFonts w:ascii="Gadugi" w:hAnsi="Gadugi" w:cs="Century Gothic"/>
          <w:sz w:val="24"/>
          <w:szCs w:val="24"/>
          <w:lang w:val="es-CO"/>
        </w:rPr>
        <w:t>al</w:t>
      </w:r>
      <w:r w:rsidR="009A60E5" w:rsidRPr="00471048">
        <w:rPr>
          <w:rFonts w:ascii="Gadugi" w:hAnsi="Gadugi" w:cs="Century Gothic"/>
          <w:sz w:val="24"/>
          <w:szCs w:val="24"/>
          <w:lang w:val="es-CO"/>
        </w:rPr>
        <w:t xml:space="preserve"> trámite</w:t>
      </w:r>
      <w:r w:rsidR="00FF608F" w:rsidRPr="00471048">
        <w:rPr>
          <w:rFonts w:ascii="Gadugi" w:hAnsi="Gadugi" w:cs="Century Gothic"/>
          <w:sz w:val="24"/>
          <w:szCs w:val="24"/>
          <w:lang w:val="es-CO"/>
        </w:rPr>
        <w:t xml:space="preserve"> con auto del </w:t>
      </w:r>
      <w:r w:rsidRPr="00471048">
        <w:rPr>
          <w:rFonts w:ascii="Gadugi" w:hAnsi="Gadugi" w:cs="Century Gothic"/>
          <w:sz w:val="24"/>
          <w:szCs w:val="24"/>
          <w:lang w:val="es-CO"/>
        </w:rPr>
        <w:t xml:space="preserve">5 </w:t>
      </w:r>
      <w:r w:rsidR="00FF608F" w:rsidRPr="00471048">
        <w:rPr>
          <w:rFonts w:ascii="Gadugi" w:hAnsi="Gadugi" w:cs="Century Gothic"/>
          <w:sz w:val="24"/>
          <w:szCs w:val="24"/>
          <w:lang w:val="es-CO"/>
        </w:rPr>
        <w:t xml:space="preserve">de </w:t>
      </w:r>
      <w:r w:rsidRPr="00471048">
        <w:rPr>
          <w:rFonts w:ascii="Gadugi" w:hAnsi="Gadugi" w:cs="Century Gothic"/>
          <w:sz w:val="24"/>
          <w:szCs w:val="24"/>
          <w:lang w:val="es-CO"/>
        </w:rPr>
        <w:t>mayo de 2022</w:t>
      </w:r>
      <w:r w:rsidR="00FF608F" w:rsidRPr="00471048">
        <w:rPr>
          <w:rFonts w:ascii="Gadugi" w:hAnsi="Gadugi" w:cs="Century Gothic"/>
          <w:sz w:val="24"/>
          <w:szCs w:val="24"/>
          <w:lang w:val="es-CO"/>
        </w:rPr>
        <w:t>, con la vinculaci</w:t>
      </w:r>
      <w:r w:rsidRPr="00471048">
        <w:rPr>
          <w:rFonts w:ascii="Gadugi" w:hAnsi="Gadugi" w:cs="Century Gothic"/>
          <w:sz w:val="24"/>
          <w:szCs w:val="24"/>
          <w:lang w:val="es-CO"/>
        </w:rPr>
        <w:t>ón</w:t>
      </w:r>
      <w:r w:rsidR="00FF608F" w:rsidRPr="00471048">
        <w:rPr>
          <w:rFonts w:ascii="Gadugi" w:hAnsi="Gadugi" w:cs="Century Gothic"/>
          <w:sz w:val="24"/>
          <w:szCs w:val="24"/>
          <w:lang w:val="es-CO"/>
        </w:rPr>
        <w:t xml:space="preserve"> arriba señalada</w:t>
      </w:r>
      <w:r w:rsidR="00175C27" w:rsidRPr="00471048">
        <w:rPr>
          <w:rFonts w:ascii="Gadugi" w:hAnsi="Gadugi" w:cs="Century Gothic"/>
          <w:sz w:val="24"/>
          <w:szCs w:val="24"/>
          <w:lang w:val="es-CO"/>
        </w:rPr>
        <w:t>.</w:t>
      </w:r>
      <w:r w:rsidR="002B4078" w:rsidRPr="00471048">
        <w:rPr>
          <w:rStyle w:val="Refdenotaalpie"/>
          <w:rFonts w:ascii="Gadugi" w:hAnsi="Gadugi"/>
          <w:sz w:val="24"/>
          <w:szCs w:val="24"/>
          <w:lang w:val="es-CO"/>
        </w:rPr>
        <w:footnoteReference w:id="2"/>
      </w:r>
      <w:r w:rsidR="00175C27" w:rsidRPr="00471048">
        <w:rPr>
          <w:rFonts w:ascii="Gadugi" w:hAnsi="Gadugi" w:cs="Century Gothic"/>
          <w:sz w:val="24"/>
          <w:szCs w:val="24"/>
          <w:lang w:val="es-CO"/>
        </w:rPr>
        <w:t xml:space="preserve"> </w:t>
      </w:r>
    </w:p>
    <w:p w14:paraId="6208E861" w14:textId="3FF12AF2" w:rsidR="00752F21" w:rsidRPr="00471048" w:rsidRDefault="00752F21" w:rsidP="00471048">
      <w:pPr>
        <w:spacing w:line="276" w:lineRule="auto"/>
        <w:jc w:val="both"/>
        <w:rPr>
          <w:rFonts w:ascii="Gadugi" w:hAnsi="Gadugi" w:cs="Century Gothic"/>
          <w:sz w:val="24"/>
          <w:szCs w:val="24"/>
          <w:lang w:val="es-CO"/>
        </w:rPr>
      </w:pPr>
    </w:p>
    <w:p w14:paraId="5253C5AA" w14:textId="5D4B1A59" w:rsidR="006F6507" w:rsidRPr="00471048" w:rsidRDefault="006F6507"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00575E80" w:rsidRPr="00471048">
        <w:rPr>
          <w:rFonts w:ascii="Gadugi" w:hAnsi="Gadugi" w:cs="Century Gothic"/>
          <w:sz w:val="24"/>
          <w:szCs w:val="24"/>
          <w:lang w:val="es-CO"/>
        </w:rPr>
        <w:t xml:space="preserve">1.3. </w:t>
      </w:r>
      <w:r w:rsidRPr="00471048">
        <w:rPr>
          <w:rFonts w:ascii="Gadugi" w:hAnsi="Gadugi" w:cs="Century Gothic"/>
          <w:sz w:val="24"/>
          <w:szCs w:val="24"/>
          <w:lang w:val="es-CO"/>
        </w:rPr>
        <w:t xml:space="preserve">Juzgado Segundo Promiscuo Municipal de Belén Umbría, adujo que </w:t>
      </w:r>
      <w:r w:rsidRPr="00471048">
        <w:rPr>
          <w:rFonts w:ascii="Gadugi" w:hAnsi="Gadugi" w:cs="Century Gothic"/>
          <w:i/>
          <w:sz w:val="24"/>
          <w:szCs w:val="24"/>
          <w:lang w:val="es-CO"/>
        </w:rPr>
        <w:t>“</w:t>
      </w:r>
      <w:r w:rsidRPr="00DE51F4">
        <w:rPr>
          <w:rFonts w:ascii="Gadugi" w:hAnsi="Gadugi" w:cs="Century Gothic"/>
          <w:i/>
          <w:sz w:val="22"/>
          <w:szCs w:val="24"/>
          <w:lang w:val="es-CO"/>
        </w:rPr>
        <w:t>(…) no se ha vulnerado derecho fundamental alguno del accionante y lo que se pretende mediante esta acción constitucional, es que el tutelante tenga una cuarta instancia en donde se acceda a las pretensiones que le fueron negadas por la vía ordinaria</w:t>
      </w:r>
      <w:r w:rsidRPr="00471048">
        <w:rPr>
          <w:rFonts w:ascii="Gadugi" w:hAnsi="Gadugi" w:cs="Century Gothic"/>
          <w:i/>
          <w:sz w:val="24"/>
          <w:szCs w:val="24"/>
          <w:lang w:val="es-CO"/>
        </w:rPr>
        <w:t xml:space="preserve">”; </w:t>
      </w:r>
      <w:r w:rsidRPr="00471048">
        <w:rPr>
          <w:rFonts w:ascii="Gadugi" w:hAnsi="Gadugi" w:cs="Century Gothic"/>
          <w:sz w:val="24"/>
          <w:szCs w:val="24"/>
          <w:lang w:val="es-CO"/>
        </w:rPr>
        <w:t>pidió negar la protección invocada.</w:t>
      </w:r>
      <w:r w:rsidR="002B4078" w:rsidRPr="00471048">
        <w:rPr>
          <w:rStyle w:val="Refdenotaalpie"/>
          <w:rFonts w:ascii="Gadugi" w:hAnsi="Gadugi"/>
          <w:sz w:val="24"/>
          <w:szCs w:val="24"/>
          <w:lang w:val="es-CO"/>
        </w:rPr>
        <w:footnoteReference w:id="3"/>
      </w:r>
      <w:r w:rsidRPr="00471048">
        <w:rPr>
          <w:rFonts w:ascii="Gadugi" w:hAnsi="Gadugi" w:cs="Century Gothic"/>
          <w:sz w:val="24"/>
          <w:szCs w:val="24"/>
          <w:lang w:val="es-CO"/>
        </w:rPr>
        <w:t xml:space="preserve"> </w:t>
      </w:r>
    </w:p>
    <w:p w14:paraId="1B519082" w14:textId="6969FF11" w:rsidR="006F6507" w:rsidRPr="00471048" w:rsidRDefault="006F6507" w:rsidP="00471048">
      <w:pPr>
        <w:spacing w:line="276" w:lineRule="auto"/>
        <w:jc w:val="both"/>
        <w:rPr>
          <w:rFonts w:ascii="Gadugi" w:hAnsi="Gadugi" w:cs="Century Gothic"/>
          <w:sz w:val="24"/>
          <w:szCs w:val="24"/>
          <w:lang w:val="es-CO"/>
        </w:rPr>
      </w:pPr>
    </w:p>
    <w:p w14:paraId="1CA752B1" w14:textId="6A53F478" w:rsidR="006F6507" w:rsidRPr="00471048" w:rsidRDefault="006F6507" w:rsidP="00471048">
      <w:pPr>
        <w:spacing w:line="276" w:lineRule="auto"/>
        <w:jc w:val="both"/>
        <w:rPr>
          <w:rFonts w:ascii="Gadugi" w:hAnsi="Gadugi" w:cs="Century Gothic"/>
          <w:sz w:val="24"/>
          <w:szCs w:val="24"/>
          <w:lang w:val="es-CO"/>
        </w:rPr>
      </w:pP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00575E80" w:rsidRPr="00471048">
        <w:rPr>
          <w:rFonts w:ascii="Gadugi" w:hAnsi="Gadugi" w:cs="Century Gothic"/>
          <w:sz w:val="24"/>
          <w:szCs w:val="24"/>
          <w:lang w:val="es-CO"/>
        </w:rPr>
        <w:t xml:space="preserve">1.4. </w:t>
      </w:r>
      <w:r w:rsidRPr="00471048">
        <w:rPr>
          <w:rFonts w:ascii="Gadugi" w:hAnsi="Gadugi" w:cs="Century Gothic"/>
          <w:sz w:val="24"/>
          <w:szCs w:val="24"/>
          <w:lang w:val="es-CO"/>
        </w:rPr>
        <w:t>El Juzgado Promiscuo del Circuito de Belén de Umbría,</w:t>
      </w:r>
      <w:r w:rsidR="00DC5EF7" w:rsidRPr="00471048">
        <w:rPr>
          <w:rFonts w:ascii="Gadugi" w:hAnsi="Gadugi" w:cs="Century Gothic"/>
          <w:sz w:val="24"/>
          <w:szCs w:val="24"/>
          <w:lang w:val="es-CO"/>
        </w:rPr>
        <w:t xml:space="preserve"> adujo que la parte actora</w:t>
      </w:r>
      <w:r w:rsidRPr="00471048">
        <w:rPr>
          <w:rFonts w:ascii="Gadugi" w:hAnsi="Gadugi" w:cs="Century Gothic"/>
          <w:sz w:val="24"/>
          <w:szCs w:val="24"/>
          <w:lang w:val="es-CO"/>
        </w:rPr>
        <w:t xml:space="preserve"> </w:t>
      </w:r>
      <w:r w:rsidR="00DC5EF7" w:rsidRPr="00471048">
        <w:rPr>
          <w:rFonts w:ascii="Gadugi" w:hAnsi="Gadugi" w:cs="Century Gothic"/>
          <w:i/>
          <w:sz w:val="24"/>
          <w:szCs w:val="24"/>
          <w:lang w:val="es-CO"/>
        </w:rPr>
        <w:t>“</w:t>
      </w:r>
      <w:r w:rsidR="00DC5EF7" w:rsidRPr="00DE51F4">
        <w:rPr>
          <w:rFonts w:ascii="Gadugi" w:hAnsi="Gadugi" w:cs="Century Gothic"/>
          <w:i/>
          <w:sz w:val="22"/>
          <w:szCs w:val="24"/>
          <w:lang w:val="es-CO"/>
        </w:rPr>
        <w:t>(…) en un desesperado intento por obtener una decisión acorde con sus aspiraciones, pretende que las decisiones sean nuevamente revisadas por esta vía constitucional</w:t>
      </w:r>
      <w:r w:rsidR="00DC5EF7" w:rsidRPr="00471048">
        <w:rPr>
          <w:rFonts w:ascii="Gadugi" w:hAnsi="Gadugi" w:cs="Century Gothic"/>
          <w:i/>
          <w:sz w:val="24"/>
          <w:szCs w:val="24"/>
          <w:lang w:val="es-CO"/>
        </w:rPr>
        <w:t xml:space="preserve">”; </w:t>
      </w:r>
      <w:r w:rsidR="00DC5EF7" w:rsidRPr="00471048">
        <w:rPr>
          <w:rFonts w:ascii="Gadugi" w:hAnsi="Gadugi" w:cs="Century Gothic"/>
          <w:sz w:val="24"/>
          <w:szCs w:val="24"/>
          <w:lang w:val="es-CO"/>
        </w:rPr>
        <w:t>se atuvo a las decisiones que reposan en el expediente.</w:t>
      </w:r>
      <w:r w:rsidR="002B4078" w:rsidRPr="00471048">
        <w:rPr>
          <w:rStyle w:val="Refdenotaalpie"/>
          <w:rFonts w:ascii="Gadugi" w:hAnsi="Gadugi"/>
          <w:sz w:val="24"/>
          <w:szCs w:val="24"/>
          <w:lang w:val="es-CO"/>
        </w:rPr>
        <w:footnoteReference w:id="4"/>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r w:rsidRPr="00471048">
        <w:rPr>
          <w:rFonts w:ascii="Gadugi" w:hAnsi="Gadugi" w:cs="Century Gothic"/>
          <w:sz w:val="24"/>
          <w:szCs w:val="24"/>
          <w:lang w:val="es-CO"/>
        </w:rPr>
        <w:tab/>
      </w:r>
    </w:p>
    <w:p w14:paraId="5BCC3A19" w14:textId="44DDB7BC" w:rsidR="006F6507" w:rsidRPr="00471048" w:rsidRDefault="006F6507" w:rsidP="00471048">
      <w:pPr>
        <w:spacing w:line="276" w:lineRule="auto"/>
        <w:jc w:val="both"/>
        <w:rPr>
          <w:rFonts w:ascii="Gadugi" w:hAnsi="Gadugi" w:cs="Century Gothic"/>
          <w:sz w:val="24"/>
          <w:szCs w:val="24"/>
          <w:lang w:val="es-CO"/>
        </w:rPr>
      </w:pPr>
    </w:p>
    <w:p w14:paraId="44416D29" w14:textId="054DC94C" w:rsidR="00622EA3" w:rsidRPr="00471048" w:rsidRDefault="00622EA3" w:rsidP="00471048">
      <w:pPr>
        <w:pStyle w:val="Textoindependiente22"/>
        <w:spacing w:line="276" w:lineRule="auto"/>
        <w:ind w:firstLine="0"/>
        <w:rPr>
          <w:rFonts w:ascii="Gadugi" w:hAnsi="Gadugi" w:cs="Arial"/>
          <w:b/>
          <w:szCs w:val="24"/>
        </w:rPr>
      </w:pPr>
      <w:r w:rsidRPr="00471048">
        <w:rPr>
          <w:rFonts w:ascii="Gadugi" w:hAnsi="Gadugi" w:cs="Arial"/>
          <w:b/>
          <w:szCs w:val="24"/>
        </w:rPr>
        <w:t xml:space="preserve">  </w:t>
      </w:r>
      <w:r w:rsidRPr="00471048">
        <w:rPr>
          <w:rFonts w:ascii="Gadugi" w:hAnsi="Gadugi" w:cs="Arial"/>
          <w:b/>
          <w:szCs w:val="24"/>
        </w:rPr>
        <w:tab/>
      </w:r>
      <w:r w:rsidRPr="00471048">
        <w:rPr>
          <w:rFonts w:ascii="Gadugi" w:hAnsi="Gadugi" w:cs="Arial"/>
          <w:b/>
          <w:szCs w:val="24"/>
        </w:rPr>
        <w:tab/>
      </w:r>
      <w:r w:rsidRPr="00471048">
        <w:rPr>
          <w:rFonts w:ascii="Gadugi" w:hAnsi="Gadugi" w:cs="Arial"/>
          <w:b/>
          <w:szCs w:val="24"/>
        </w:rPr>
        <w:tab/>
      </w:r>
      <w:r w:rsidRPr="00471048">
        <w:rPr>
          <w:rFonts w:ascii="Gadugi" w:hAnsi="Gadugi" w:cs="Arial"/>
          <w:b/>
          <w:szCs w:val="24"/>
        </w:rPr>
        <w:tab/>
      </w:r>
      <w:r w:rsidR="00575E80" w:rsidRPr="00471048">
        <w:rPr>
          <w:rFonts w:ascii="Gadugi" w:hAnsi="Gadugi" w:cs="Arial"/>
          <w:b/>
          <w:szCs w:val="24"/>
        </w:rPr>
        <w:t xml:space="preserve">2. </w:t>
      </w:r>
      <w:r w:rsidRPr="00471048">
        <w:rPr>
          <w:rFonts w:ascii="Gadugi" w:hAnsi="Gadugi" w:cs="Arial"/>
          <w:b/>
          <w:szCs w:val="24"/>
        </w:rPr>
        <w:t>CONSIDERACIONES</w:t>
      </w:r>
    </w:p>
    <w:p w14:paraId="1D058EF8" w14:textId="77777777" w:rsidR="00622EA3" w:rsidRPr="00471048" w:rsidRDefault="00622EA3" w:rsidP="00471048">
      <w:pPr>
        <w:pStyle w:val="Textoindependiente22"/>
        <w:spacing w:line="276" w:lineRule="auto"/>
        <w:ind w:firstLine="0"/>
        <w:rPr>
          <w:rFonts w:ascii="Gadugi" w:hAnsi="Gadugi"/>
          <w:szCs w:val="24"/>
        </w:rPr>
      </w:pPr>
      <w:r w:rsidRPr="00471048">
        <w:rPr>
          <w:rFonts w:ascii="Gadugi" w:hAnsi="Gadugi"/>
          <w:szCs w:val="24"/>
        </w:rPr>
        <w:tab/>
      </w:r>
      <w:r w:rsidRPr="00471048">
        <w:rPr>
          <w:rFonts w:ascii="Gadugi" w:hAnsi="Gadugi"/>
          <w:szCs w:val="24"/>
        </w:rPr>
        <w:tab/>
      </w:r>
      <w:r w:rsidRPr="00471048">
        <w:rPr>
          <w:rFonts w:ascii="Gadugi" w:hAnsi="Gadugi"/>
          <w:szCs w:val="24"/>
        </w:rPr>
        <w:tab/>
      </w:r>
      <w:r w:rsidRPr="00471048">
        <w:rPr>
          <w:rFonts w:ascii="Gadugi" w:hAnsi="Gadugi"/>
          <w:szCs w:val="24"/>
        </w:rPr>
        <w:tab/>
      </w:r>
    </w:p>
    <w:p w14:paraId="794A8819" w14:textId="77777777" w:rsidR="00622EA3" w:rsidRPr="00471048" w:rsidRDefault="00622EA3" w:rsidP="00471048">
      <w:pPr>
        <w:pStyle w:val="Textoindependiente22"/>
        <w:spacing w:line="276" w:lineRule="auto"/>
        <w:rPr>
          <w:rFonts w:ascii="Gadugi" w:hAnsi="Gadugi"/>
          <w:szCs w:val="24"/>
        </w:rPr>
      </w:pPr>
    </w:p>
    <w:p w14:paraId="3B541647" w14:textId="2DFD0707" w:rsidR="00622EA3" w:rsidRPr="00471048" w:rsidRDefault="00575E80" w:rsidP="00471048">
      <w:pPr>
        <w:pStyle w:val="Textoindependiente22"/>
        <w:spacing w:line="276" w:lineRule="auto"/>
        <w:rPr>
          <w:rFonts w:ascii="Gadugi" w:hAnsi="Gadugi"/>
          <w:szCs w:val="24"/>
        </w:rPr>
      </w:pPr>
      <w:r w:rsidRPr="00471048">
        <w:rPr>
          <w:rFonts w:ascii="Gadugi" w:hAnsi="Gadugi"/>
          <w:szCs w:val="24"/>
        </w:rPr>
        <w:t xml:space="preserve">2.1. </w:t>
      </w:r>
      <w:r w:rsidR="00622EA3" w:rsidRPr="00471048">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1B756C73" w14:textId="77777777" w:rsidR="0092590C" w:rsidRPr="00471048" w:rsidRDefault="0092590C" w:rsidP="00471048">
      <w:pPr>
        <w:pStyle w:val="Textoindependiente22"/>
        <w:spacing w:line="276" w:lineRule="auto"/>
        <w:rPr>
          <w:rFonts w:ascii="Gadugi" w:hAnsi="Gadugi"/>
          <w:szCs w:val="24"/>
        </w:rPr>
      </w:pPr>
    </w:p>
    <w:p w14:paraId="67794F5C" w14:textId="47AF3545" w:rsidR="00DC5EF7" w:rsidRPr="00471048" w:rsidRDefault="00622EA3" w:rsidP="00471048">
      <w:pPr>
        <w:spacing w:line="276" w:lineRule="auto"/>
        <w:ind w:firstLine="2835"/>
        <w:jc w:val="both"/>
        <w:rPr>
          <w:rFonts w:ascii="Gadugi" w:hAnsi="Gadugi"/>
          <w:sz w:val="24"/>
          <w:szCs w:val="24"/>
        </w:rPr>
      </w:pPr>
      <w:r w:rsidRPr="00471048">
        <w:rPr>
          <w:rFonts w:ascii="Gadugi" w:hAnsi="Gadugi"/>
          <w:sz w:val="24"/>
          <w:szCs w:val="24"/>
        </w:rPr>
        <w:t xml:space="preserve">Acude en esta oportunidad el </w:t>
      </w:r>
      <w:r w:rsidR="00AC524D" w:rsidRPr="00471048">
        <w:rPr>
          <w:rFonts w:ascii="Gadugi" w:hAnsi="Gadugi"/>
          <w:sz w:val="24"/>
          <w:szCs w:val="24"/>
        </w:rPr>
        <w:t xml:space="preserve">señor </w:t>
      </w:r>
      <w:r w:rsidR="00DC5EF7" w:rsidRPr="00471048">
        <w:rPr>
          <w:rFonts w:ascii="Gadugi" w:hAnsi="Gadugi"/>
          <w:sz w:val="24"/>
          <w:szCs w:val="24"/>
        </w:rPr>
        <w:t>Jasón la Rosa</w:t>
      </w:r>
      <w:r w:rsidRPr="00471048">
        <w:rPr>
          <w:rFonts w:ascii="Gadugi" w:hAnsi="Gadugi"/>
          <w:sz w:val="24"/>
          <w:szCs w:val="24"/>
        </w:rPr>
        <w:t>, en procura de la protección de su derecho fundamental al debido proceso</w:t>
      </w:r>
      <w:r w:rsidR="00254315" w:rsidRPr="00471048">
        <w:rPr>
          <w:rFonts w:ascii="Gadugi" w:hAnsi="Gadugi"/>
          <w:sz w:val="24"/>
          <w:szCs w:val="24"/>
        </w:rPr>
        <w:t>,</w:t>
      </w:r>
      <w:r w:rsidR="00233DDD" w:rsidRPr="00471048">
        <w:rPr>
          <w:rFonts w:ascii="Gadugi" w:hAnsi="Gadugi"/>
          <w:sz w:val="24"/>
          <w:szCs w:val="24"/>
        </w:rPr>
        <w:t xml:space="preserve"> </w:t>
      </w:r>
      <w:r w:rsidR="00DC5EF7" w:rsidRPr="00471048">
        <w:rPr>
          <w:rFonts w:ascii="Gadugi" w:hAnsi="Gadugi"/>
          <w:sz w:val="24"/>
          <w:szCs w:val="24"/>
        </w:rPr>
        <w:t xml:space="preserve">presuntamente en la ejecución que trajo a colación, en </w:t>
      </w:r>
      <w:r w:rsidR="002B4078" w:rsidRPr="00471048">
        <w:rPr>
          <w:rFonts w:ascii="Gadugi" w:hAnsi="Gadugi"/>
          <w:sz w:val="24"/>
          <w:szCs w:val="24"/>
        </w:rPr>
        <w:t>la</w:t>
      </w:r>
      <w:r w:rsidR="00DC5EF7" w:rsidRPr="00471048">
        <w:rPr>
          <w:rFonts w:ascii="Gadugi" w:hAnsi="Gadugi"/>
          <w:sz w:val="24"/>
          <w:szCs w:val="24"/>
        </w:rPr>
        <w:t xml:space="preserve"> que</w:t>
      </w:r>
      <w:r w:rsidR="002B4078" w:rsidRPr="00471048">
        <w:rPr>
          <w:rFonts w:ascii="Gadugi" w:hAnsi="Gadugi"/>
          <w:sz w:val="24"/>
          <w:szCs w:val="24"/>
        </w:rPr>
        <w:t>, de manera equivocada,</w:t>
      </w:r>
      <w:r w:rsidR="00DC5EF7" w:rsidRPr="00471048">
        <w:rPr>
          <w:rFonts w:ascii="Gadugi" w:hAnsi="Gadugi"/>
          <w:sz w:val="24"/>
          <w:szCs w:val="24"/>
        </w:rPr>
        <w:t xml:space="preserve"> no se declaró la prescripción extintiva.</w:t>
      </w:r>
    </w:p>
    <w:p w14:paraId="6C0FECB2" w14:textId="671C1C2D" w:rsidR="00924001" w:rsidRPr="00471048" w:rsidRDefault="00924001" w:rsidP="00471048">
      <w:pPr>
        <w:spacing w:line="276" w:lineRule="auto"/>
        <w:jc w:val="both"/>
        <w:rPr>
          <w:rFonts w:ascii="Gadugi" w:hAnsi="Gadugi"/>
          <w:sz w:val="24"/>
          <w:szCs w:val="24"/>
        </w:rPr>
      </w:pPr>
    </w:p>
    <w:p w14:paraId="548E0329" w14:textId="31D6A232" w:rsidR="00406988" w:rsidRPr="00471048" w:rsidRDefault="00406988" w:rsidP="00471048">
      <w:pPr>
        <w:spacing w:line="276" w:lineRule="auto"/>
        <w:jc w:val="both"/>
        <w:rPr>
          <w:rFonts w:ascii="Gadugi" w:hAnsi="Gadugi" w:cs="Arial"/>
          <w:iCs/>
          <w:sz w:val="24"/>
          <w:szCs w:val="24"/>
        </w:rPr>
      </w:pP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r>
      <w:r w:rsidR="00575E80" w:rsidRPr="00471048">
        <w:rPr>
          <w:rFonts w:ascii="Gadugi" w:hAnsi="Gadugi"/>
          <w:sz w:val="24"/>
          <w:szCs w:val="24"/>
        </w:rPr>
        <w:t xml:space="preserve">2.2. </w:t>
      </w:r>
      <w:r w:rsidRPr="00471048">
        <w:rPr>
          <w:rFonts w:ascii="Gadugi" w:hAnsi="Gadugi"/>
          <w:sz w:val="24"/>
          <w:szCs w:val="24"/>
        </w:rPr>
        <w:t xml:space="preserve">Primero que todo, la Sala descarta un actuar temerario del accionante, o la eventual transgresión al principio de buena fe, con ocasión de lo decidido en la acción de tutela y el incidente de desacato tramitado con el radicado 66001-22-13-000-2021-00412-00, porque allí lo que se dispuso fue que el </w:t>
      </w:r>
      <w:r w:rsidRPr="00471048">
        <w:rPr>
          <w:rFonts w:ascii="Gadugi" w:hAnsi="Gadugi" w:cs="Arial"/>
          <w:sz w:val="24"/>
          <w:szCs w:val="24"/>
        </w:rPr>
        <w:t xml:space="preserve">Juzgado Promiscuo del Circuito de Belén de Umbría debía </w:t>
      </w:r>
      <w:r w:rsidRPr="00471048">
        <w:rPr>
          <w:rFonts w:ascii="Gadugi" w:hAnsi="Gadugi" w:cs="Arial"/>
          <w:i/>
          <w:iCs/>
          <w:sz w:val="24"/>
          <w:szCs w:val="24"/>
        </w:rPr>
        <w:t>“</w:t>
      </w:r>
      <w:r w:rsidRPr="00DE51F4">
        <w:rPr>
          <w:rFonts w:ascii="Gadugi" w:hAnsi="Gadugi" w:cs="Arial"/>
          <w:i/>
          <w:iCs/>
          <w:sz w:val="22"/>
          <w:szCs w:val="24"/>
        </w:rPr>
        <w:t xml:space="preserve">(…) resolver nuevamente el asunto sometido a su consideración, teniendo en cuenta los criterios plasmados en este fallo, para que </w:t>
      </w:r>
      <w:r w:rsidRPr="00DE51F4">
        <w:rPr>
          <w:rFonts w:ascii="Gadugi" w:hAnsi="Gadugi" w:cs="Arial"/>
          <w:i/>
          <w:iCs/>
          <w:sz w:val="22"/>
          <w:szCs w:val="24"/>
          <w:u w:val="single"/>
        </w:rPr>
        <w:t>analice la responsabilidad del demandante en la nulidad y se le dé el efecto que corresponda</w:t>
      </w:r>
      <w:r w:rsidRPr="00471048">
        <w:rPr>
          <w:rFonts w:ascii="Gadugi" w:hAnsi="Gadugi" w:cs="Arial"/>
          <w:i/>
          <w:iCs/>
          <w:sz w:val="24"/>
          <w:szCs w:val="24"/>
        </w:rPr>
        <w:t>”</w:t>
      </w:r>
      <w:r w:rsidR="002B4078" w:rsidRPr="00471048">
        <w:rPr>
          <w:rStyle w:val="Refdenotaalpie"/>
          <w:rFonts w:ascii="Gadugi" w:hAnsi="Gadugi"/>
          <w:i/>
          <w:iCs/>
          <w:sz w:val="24"/>
          <w:szCs w:val="24"/>
        </w:rPr>
        <w:footnoteReference w:id="5"/>
      </w:r>
      <w:r w:rsidRPr="00471048">
        <w:rPr>
          <w:rFonts w:ascii="Gadugi" w:hAnsi="Gadugi" w:cs="Arial"/>
          <w:i/>
          <w:iCs/>
          <w:sz w:val="24"/>
          <w:szCs w:val="24"/>
        </w:rPr>
        <w:t xml:space="preserve">; </w:t>
      </w:r>
      <w:r w:rsidRPr="00471048">
        <w:rPr>
          <w:rFonts w:ascii="Gadugi" w:hAnsi="Gadugi" w:cs="Arial"/>
          <w:sz w:val="24"/>
          <w:szCs w:val="24"/>
        </w:rPr>
        <w:t>y ello ya sucedió</w:t>
      </w:r>
      <w:r w:rsidR="006D0F33" w:rsidRPr="00471048">
        <w:rPr>
          <w:rFonts w:ascii="Gadugi" w:hAnsi="Gadugi" w:cs="Arial"/>
          <w:sz w:val="24"/>
          <w:szCs w:val="24"/>
        </w:rPr>
        <w:t>;</w:t>
      </w:r>
      <w:r w:rsidRPr="00471048">
        <w:rPr>
          <w:rFonts w:ascii="Gadugi" w:hAnsi="Gadugi" w:cs="Arial"/>
          <w:sz w:val="24"/>
          <w:szCs w:val="24"/>
        </w:rPr>
        <w:t xml:space="preserve"> </w:t>
      </w:r>
      <w:r w:rsidR="006D0F33" w:rsidRPr="00471048">
        <w:rPr>
          <w:rFonts w:ascii="Gadugi" w:hAnsi="Gadugi" w:cs="Arial"/>
          <w:sz w:val="24"/>
          <w:szCs w:val="24"/>
        </w:rPr>
        <w:t xml:space="preserve">en efecto, así se verificó cuando esta Corporación dispuso abstenerse de iniciar el incidente de desacato, en el entendido de que en la nueva sentencia </w:t>
      </w:r>
      <w:r w:rsidRPr="00471048">
        <w:rPr>
          <w:rFonts w:ascii="Gadugi" w:hAnsi="Gadugi" w:cs="Arial"/>
          <w:sz w:val="24"/>
          <w:szCs w:val="24"/>
        </w:rPr>
        <w:t xml:space="preserve">ese despacho </w:t>
      </w:r>
      <w:r w:rsidRPr="00471048">
        <w:rPr>
          <w:rFonts w:ascii="Gadugi" w:hAnsi="Gadugi" w:cs="Arial"/>
          <w:i/>
          <w:iCs/>
          <w:sz w:val="24"/>
          <w:szCs w:val="24"/>
        </w:rPr>
        <w:t>“</w:t>
      </w:r>
      <w:r w:rsidRPr="00504428">
        <w:rPr>
          <w:rFonts w:ascii="Gadugi" w:hAnsi="Gadugi" w:cs="Arial"/>
          <w:i/>
          <w:iCs/>
          <w:sz w:val="22"/>
          <w:szCs w:val="24"/>
        </w:rPr>
        <w:t xml:space="preserve">(…) argumentó que </w:t>
      </w:r>
      <w:r w:rsidRPr="00504428">
        <w:rPr>
          <w:rFonts w:ascii="Gadugi" w:hAnsi="Gadugi" w:cs="Arial"/>
          <w:i/>
          <w:iCs/>
          <w:sz w:val="22"/>
          <w:szCs w:val="24"/>
          <w:u w:val="single"/>
        </w:rPr>
        <w:t xml:space="preserve">el ejecutante no tuvo responsabilidad </w:t>
      </w:r>
      <w:r w:rsidRPr="00504428">
        <w:rPr>
          <w:rFonts w:ascii="Gadugi" w:hAnsi="Gadugi" w:cs="Arial"/>
          <w:i/>
          <w:iCs/>
          <w:sz w:val="22"/>
          <w:szCs w:val="24"/>
          <w:u w:val="single"/>
        </w:rPr>
        <w:lastRenderedPageBreak/>
        <w:t>en la nulidad declara</w:t>
      </w:r>
      <w:r w:rsidR="006D0F33" w:rsidRPr="00504428">
        <w:rPr>
          <w:rFonts w:ascii="Gadugi" w:hAnsi="Gadugi" w:cs="Arial"/>
          <w:i/>
          <w:iCs/>
          <w:sz w:val="22"/>
          <w:szCs w:val="24"/>
          <w:u w:val="single"/>
        </w:rPr>
        <w:t>da</w:t>
      </w:r>
      <w:r w:rsidRPr="00504428">
        <w:rPr>
          <w:rFonts w:ascii="Gadugi" w:hAnsi="Gadugi" w:cs="Arial"/>
          <w:i/>
          <w:iCs/>
          <w:sz w:val="22"/>
          <w:szCs w:val="24"/>
        </w:rPr>
        <w:t>, en razón a que de buena fe pidió nombrar curador ad litem, sin que su contraparte rebatiera ni probara en contrario, por ende, es inviable aplicar la consecuencia del artículo 95-5º, CGP.</w:t>
      </w:r>
      <w:r w:rsidRPr="00471048">
        <w:rPr>
          <w:rFonts w:ascii="Gadugi" w:hAnsi="Gadugi" w:cs="Arial"/>
          <w:i/>
          <w:iCs/>
          <w:sz w:val="24"/>
          <w:szCs w:val="24"/>
        </w:rPr>
        <w:t>”</w:t>
      </w:r>
      <w:r w:rsidR="00575E80" w:rsidRPr="00471048">
        <w:rPr>
          <w:rStyle w:val="Refdenotaalpie"/>
          <w:rFonts w:ascii="Gadugi" w:hAnsi="Gadugi"/>
          <w:i/>
          <w:iCs/>
          <w:sz w:val="24"/>
          <w:szCs w:val="24"/>
        </w:rPr>
        <w:footnoteReference w:id="6"/>
      </w:r>
      <w:r w:rsidR="006D0F33" w:rsidRPr="00471048">
        <w:rPr>
          <w:rFonts w:ascii="Gadugi" w:hAnsi="Gadugi" w:cs="Arial"/>
          <w:i/>
          <w:iCs/>
          <w:sz w:val="24"/>
          <w:szCs w:val="24"/>
        </w:rPr>
        <w:t xml:space="preserve">; </w:t>
      </w:r>
    </w:p>
    <w:p w14:paraId="34360156" w14:textId="6EFE53F8" w:rsidR="00406988" w:rsidRPr="00471048" w:rsidRDefault="00406988" w:rsidP="00471048">
      <w:pPr>
        <w:spacing w:line="276" w:lineRule="auto"/>
        <w:ind w:firstLine="2835"/>
        <w:jc w:val="both"/>
        <w:rPr>
          <w:rFonts w:ascii="Gadugi" w:hAnsi="Gadugi"/>
          <w:sz w:val="24"/>
          <w:szCs w:val="24"/>
        </w:rPr>
      </w:pPr>
    </w:p>
    <w:p w14:paraId="2DE8399F" w14:textId="19E0F132" w:rsidR="00406988" w:rsidRPr="00471048" w:rsidRDefault="00406988" w:rsidP="00471048">
      <w:pPr>
        <w:spacing w:line="276" w:lineRule="auto"/>
        <w:ind w:firstLine="2835"/>
        <w:jc w:val="both"/>
        <w:rPr>
          <w:rFonts w:ascii="Gadugi" w:hAnsi="Gadugi"/>
          <w:sz w:val="24"/>
          <w:szCs w:val="24"/>
        </w:rPr>
      </w:pPr>
      <w:r w:rsidRPr="00471048">
        <w:rPr>
          <w:rFonts w:ascii="Gadugi" w:hAnsi="Gadugi"/>
          <w:sz w:val="24"/>
          <w:szCs w:val="24"/>
        </w:rPr>
        <w:t>En cambio, aquí se reprocha, en específico, esa sentencia del 22 de febrero de 2022,</w:t>
      </w:r>
      <w:r w:rsidR="006741FD" w:rsidRPr="00471048">
        <w:rPr>
          <w:rFonts w:ascii="Gadugi" w:hAnsi="Gadugi"/>
          <w:sz w:val="24"/>
          <w:szCs w:val="24"/>
        </w:rPr>
        <w:t xml:space="preserve"> que confirmó la proferida el</w:t>
      </w:r>
      <w:r w:rsidRPr="00471048">
        <w:rPr>
          <w:rFonts w:ascii="Gadugi" w:hAnsi="Gadugi"/>
          <w:sz w:val="24"/>
          <w:szCs w:val="24"/>
        </w:rPr>
        <w:t xml:space="preserve"> </w:t>
      </w:r>
      <w:r w:rsidR="006741FD" w:rsidRPr="00471048">
        <w:rPr>
          <w:rFonts w:ascii="Gadugi" w:hAnsi="Gadugi"/>
          <w:sz w:val="24"/>
          <w:szCs w:val="24"/>
        </w:rPr>
        <w:t xml:space="preserve">29 de abril de 2021, </w:t>
      </w:r>
      <w:r w:rsidRPr="00471048">
        <w:rPr>
          <w:rFonts w:ascii="Gadugi" w:hAnsi="Gadugi"/>
          <w:sz w:val="24"/>
          <w:szCs w:val="24"/>
        </w:rPr>
        <w:t>a la</w:t>
      </w:r>
      <w:r w:rsidR="00575E80" w:rsidRPr="00471048">
        <w:rPr>
          <w:rFonts w:ascii="Gadugi" w:hAnsi="Gadugi"/>
          <w:sz w:val="24"/>
          <w:szCs w:val="24"/>
        </w:rPr>
        <w:t>s</w:t>
      </w:r>
      <w:r w:rsidRPr="00471048">
        <w:rPr>
          <w:rFonts w:ascii="Gadugi" w:hAnsi="Gadugi"/>
          <w:sz w:val="24"/>
          <w:szCs w:val="24"/>
        </w:rPr>
        <w:t xml:space="preserve"> que se le endilgan </w:t>
      </w:r>
      <w:r w:rsidR="00AF3F66" w:rsidRPr="00471048">
        <w:rPr>
          <w:rFonts w:ascii="Gadugi" w:hAnsi="Gadugi"/>
          <w:sz w:val="24"/>
          <w:szCs w:val="24"/>
        </w:rPr>
        <w:t xml:space="preserve">los </w:t>
      </w:r>
      <w:r w:rsidRPr="00471048">
        <w:rPr>
          <w:rFonts w:ascii="Gadugi" w:hAnsi="Gadugi"/>
          <w:sz w:val="24"/>
          <w:szCs w:val="24"/>
        </w:rPr>
        <w:t>errores</w:t>
      </w:r>
      <w:r w:rsidR="00AF3F66" w:rsidRPr="00471048">
        <w:rPr>
          <w:rFonts w:ascii="Gadugi" w:hAnsi="Gadugi"/>
          <w:sz w:val="24"/>
          <w:szCs w:val="24"/>
        </w:rPr>
        <w:t>,</w:t>
      </w:r>
      <w:r w:rsidRPr="00471048">
        <w:rPr>
          <w:rFonts w:ascii="Gadugi" w:hAnsi="Gadugi"/>
          <w:sz w:val="24"/>
          <w:szCs w:val="24"/>
        </w:rPr>
        <w:t xml:space="preserve"> procedimental y fáctico</w:t>
      </w:r>
      <w:r w:rsidR="006741FD" w:rsidRPr="00471048">
        <w:rPr>
          <w:rFonts w:ascii="Gadugi" w:hAnsi="Gadugi"/>
          <w:sz w:val="24"/>
          <w:szCs w:val="24"/>
        </w:rPr>
        <w:t>.</w:t>
      </w:r>
      <w:r w:rsidR="00C04B65" w:rsidRPr="00471048">
        <w:rPr>
          <w:rFonts w:ascii="Gadugi" w:hAnsi="Gadugi"/>
          <w:sz w:val="24"/>
          <w:szCs w:val="24"/>
        </w:rPr>
        <w:t xml:space="preserve"> </w:t>
      </w:r>
    </w:p>
    <w:p w14:paraId="752D896F" w14:textId="77777777" w:rsidR="00406988" w:rsidRPr="00471048" w:rsidRDefault="00406988" w:rsidP="00471048">
      <w:pPr>
        <w:spacing w:line="276" w:lineRule="auto"/>
        <w:ind w:firstLine="2835"/>
        <w:jc w:val="both"/>
        <w:rPr>
          <w:rFonts w:ascii="Gadugi" w:hAnsi="Gadugi"/>
          <w:sz w:val="24"/>
          <w:szCs w:val="24"/>
        </w:rPr>
      </w:pPr>
    </w:p>
    <w:p w14:paraId="0939C4D6" w14:textId="41821972" w:rsidR="00575E80" w:rsidRPr="00471048" w:rsidRDefault="00AC524D" w:rsidP="00471048">
      <w:pPr>
        <w:spacing w:line="276" w:lineRule="auto"/>
        <w:jc w:val="both"/>
        <w:rPr>
          <w:rFonts w:ascii="Gadugi" w:hAnsi="Gadugi" w:cs="Arial"/>
          <w:sz w:val="24"/>
          <w:szCs w:val="24"/>
        </w:rPr>
      </w:pP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r>
      <w:r w:rsidR="00575E80" w:rsidRPr="00471048">
        <w:rPr>
          <w:rFonts w:ascii="Gadugi" w:hAnsi="Gadugi"/>
          <w:sz w:val="24"/>
          <w:szCs w:val="24"/>
        </w:rPr>
        <w:t xml:space="preserve">2.3. </w:t>
      </w:r>
      <w:r w:rsidRPr="00471048">
        <w:rPr>
          <w:rFonts w:ascii="Gadugi" w:hAnsi="Gadugi"/>
          <w:sz w:val="24"/>
          <w:szCs w:val="24"/>
        </w:rPr>
        <w:t>R</w:t>
      </w:r>
      <w:r w:rsidR="003B57C8" w:rsidRPr="00471048">
        <w:rPr>
          <w:rFonts w:ascii="Gadugi" w:hAnsi="Gadugi" w:cs="Arial"/>
          <w:sz w:val="24"/>
          <w:szCs w:val="24"/>
        </w:rPr>
        <w:t>eiteradamente</w:t>
      </w:r>
      <w:r w:rsidR="00254315" w:rsidRPr="00471048">
        <w:rPr>
          <w:rFonts w:ascii="Gadugi" w:hAnsi="Gadugi" w:cs="Arial"/>
          <w:sz w:val="24"/>
          <w:szCs w:val="24"/>
        </w:rPr>
        <w:t xml:space="preserve"> se ha expuesto que </w:t>
      </w:r>
      <w:bookmarkStart w:id="1" w:name="_Hlk109381892"/>
      <w:r w:rsidR="00254315" w:rsidRPr="00471048">
        <w:rPr>
          <w:rFonts w:ascii="Gadugi" w:hAnsi="Gadugi"/>
          <w:sz w:val="24"/>
          <w:szCs w:val="24"/>
        </w:rPr>
        <w:t>a pesar de la inexequibilidad de las normas que en el Decreto 2591 de 1991 preveían la acción de tutela contra providencias judiciales</w:t>
      </w:r>
      <w:r w:rsidR="00254315" w:rsidRPr="00471048">
        <w:rPr>
          <w:rStyle w:val="Refdenotaalpie"/>
          <w:rFonts w:ascii="Gadugi" w:hAnsi="Gadugi"/>
          <w:sz w:val="24"/>
          <w:szCs w:val="24"/>
        </w:rPr>
        <w:footnoteReference w:id="7"/>
      </w:r>
      <w:r w:rsidR="00254315" w:rsidRPr="00471048">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w:t>
      </w:r>
      <w:bookmarkEnd w:id="1"/>
      <w:r w:rsidR="00254315" w:rsidRPr="00471048">
        <w:rPr>
          <w:rFonts w:ascii="Gadugi" w:hAnsi="Gadugi"/>
          <w:sz w:val="24"/>
          <w:szCs w:val="24"/>
        </w:rPr>
        <w:t>, delineadas por la Corte Constitucional</w:t>
      </w:r>
      <w:r w:rsidR="00254315" w:rsidRPr="00471048">
        <w:rPr>
          <w:rFonts w:ascii="Gadugi" w:hAnsi="Gadugi" w:cs="Arial"/>
          <w:sz w:val="24"/>
          <w:szCs w:val="24"/>
        </w:rPr>
        <w:t xml:space="preserve"> en múltiples ocasiones. </w:t>
      </w:r>
    </w:p>
    <w:p w14:paraId="41FB901E" w14:textId="6AD49B19" w:rsidR="00575E80" w:rsidRPr="00471048" w:rsidRDefault="00575E80" w:rsidP="00471048">
      <w:pPr>
        <w:spacing w:line="276" w:lineRule="auto"/>
        <w:jc w:val="both"/>
        <w:rPr>
          <w:rFonts w:ascii="Gadugi" w:hAnsi="Gadugi" w:cs="Arial"/>
          <w:sz w:val="24"/>
          <w:szCs w:val="24"/>
        </w:rPr>
      </w:pPr>
    </w:p>
    <w:p w14:paraId="75C948C0" w14:textId="2C6DC6CC" w:rsidR="00254315" w:rsidRPr="00471048" w:rsidRDefault="00575E80" w:rsidP="00471048">
      <w:pPr>
        <w:spacing w:line="276" w:lineRule="auto"/>
        <w:jc w:val="both"/>
        <w:rPr>
          <w:rFonts w:ascii="Gadugi" w:hAnsi="Gadugi"/>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00254315" w:rsidRPr="00471048">
        <w:rPr>
          <w:rFonts w:ascii="Gadugi" w:hAnsi="Gadugi" w:cs="Arial"/>
          <w:sz w:val="24"/>
          <w:szCs w:val="24"/>
        </w:rPr>
        <w:t xml:space="preserve">Sobre ellas, en las sentencias SU-222 de 2016, SU573 de 2017 y SU004 de 2018, </w:t>
      </w:r>
      <w:r w:rsidR="00254315" w:rsidRPr="00471048">
        <w:rPr>
          <w:rFonts w:ascii="Gadugi" w:hAnsi="Gadugi" w:cs="Arial"/>
          <w:sz w:val="24"/>
          <w:szCs w:val="24"/>
          <w:lang w:val="es-419"/>
        </w:rPr>
        <w:t xml:space="preserve">reiteradas en las sentencias T-004-19, T-042-19, T-049-19 y T-075-19, </w:t>
      </w:r>
      <w:r w:rsidR="00254315" w:rsidRPr="00471048">
        <w:rPr>
          <w:rFonts w:ascii="Gadugi" w:hAnsi="Gadugi" w:cs="Arial"/>
          <w:sz w:val="24"/>
          <w:szCs w:val="24"/>
        </w:rPr>
        <w:t xml:space="preserve">T-008-20, T-053-20, y más recientemente en la SU128-21, todas aludiendo a la C-590 de 2005, recordó que las primeras obedecen a </w:t>
      </w:r>
      <w:r w:rsidR="00254315" w:rsidRPr="00471048">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254315" w:rsidRPr="00471048">
        <w:rPr>
          <w:rFonts w:ascii="Gadugi" w:hAnsi="Gadugi"/>
          <w:sz w:val="24"/>
          <w:szCs w:val="24"/>
        </w:rPr>
        <w:t xml:space="preserve"> </w:t>
      </w:r>
      <w:r w:rsidR="00254315" w:rsidRPr="00471048">
        <w:rPr>
          <w:rFonts w:ascii="Gadugi" w:hAnsi="Gadugi" w:cs="Arial"/>
          <w:sz w:val="24"/>
          <w:szCs w:val="24"/>
        </w:rPr>
        <w:t>Y en cuanto a las segundas, es decir, las causales específicas, se compendian en los defectos</w:t>
      </w:r>
      <w:r w:rsidR="00254315" w:rsidRPr="00471048">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w:t>
      </w:r>
      <w:r w:rsidR="00DC5EF7" w:rsidRPr="00471048">
        <w:rPr>
          <w:rFonts w:ascii="Gadugi" w:hAnsi="Gadugi"/>
          <w:sz w:val="24"/>
          <w:szCs w:val="24"/>
          <w:bdr w:val="none" w:sz="0" w:space="0" w:color="auto" w:frame="1"/>
          <w:lang w:val="es-CO"/>
        </w:rPr>
        <w:t xml:space="preserve"> </w:t>
      </w:r>
      <w:r w:rsidR="00254315" w:rsidRPr="00471048">
        <w:rPr>
          <w:rFonts w:ascii="Gadugi" w:hAnsi="Gadugi"/>
          <w:sz w:val="24"/>
          <w:szCs w:val="24"/>
          <w:bdr w:val="none" w:sz="0" w:space="0" w:color="auto" w:frame="1"/>
          <w:lang w:val="es-CO"/>
        </w:rPr>
        <w:t>(vii) violación directa a la constitución.</w:t>
      </w:r>
      <w:r w:rsidR="00254315" w:rsidRPr="00471048">
        <w:rPr>
          <w:rFonts w:ascii="Gadugi" w:hAnsi="Gadugi"/>
          <w:sz w:val="24"/>
          <w:szCs w:val="24"/>
        </w:rPr>
        <w:t xml:space="preserve"> </w:t>
      </w:r>
    </w:p>
    <w:p w14:paraId="719BE1C0" w14:textId="77777777" w:rsidR="00406988" w:rsidRPr="00471048" w:rsidRDefault="00406988" w:rsidP="00471048">
      <w:pPr>
        <w:spacing w:line="276" w:lineRule="auto"/>
        <w:jc w:val="both"/>
        <w:rPr>
          <w:rFonts w:ascii="Gadugi" w:hAnsi="Gadugi"/>
          <w:sz w:val="24"/>
          <w:szCs w:val="24"/>
        </w:rPr>
      </w:pPr>
    </w:p>
    <w:p w14:paraId="09636B6B" w14:textId="27E8F7BB" w:rsidR="00DC5EF7" w:rsidRPr="00471048" w:rsidRDefault="00DC5EF7" w:rsidP="00471048">
      <w:pPr>
        <w:spacing w:line="276" w:lineRule="auto"/>
        <w:jc w:val="both"/>
        <w:rPr>
          <w:rFonts w:ascii="Gadugi" w:hAnsi="Gadugi"/>
          <w:sz w:val="24"/>
          <w:szCs w:val="24"/>
        </w:rPr>
      </w:pP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r>
      <w:r w:rsidR="00575E80" w:rsidRPr="00471048">
        <w:rPr>
          <w:rFonts w:ascii="Gadugi" w:hAnsi="Gadugi"/>
          <w:sz w:val="24"/>
          <w:szCs w:val="24"/>
        </w:rPr>
        <w:t xml:space="preserve">2.4. </w:t>
      </w:r>
      <w:r w:rsidRPr="00471048">
        <w:rPr>
          <w:rFonts w:ascii="Gadugi" w:hAnsi="Gadugi"/>
          <w:sz w:val="24"/>
          <w:szCs w:val="24"/>
        </w:rPr>
        <w:t>Sobre los requisitos generales de procedencia de la acción de tutela se tiene lo siguiente.</w:t>
      </w:r>
    </w:p>
    <w:p w14:paraId="5173A3FA" w14:textId="5C6687A8" w:rsidR="00DC5EF7" w:rsidRPr="00471048" w:rsidRDefault="00DC5EF7" w:rsidP="00471048">
      <w:pPr>
        <w:spacing w:line="276" w:lineRule="auto"/>
        <w:jc w:val="both"/>
        <w:rPr>
          <w:rFonts w:ascii="Gadugi" w:hAnsi="Gadugi"/>
          <w:sz w:val="24"/>
          <w:szCs w:val="24"/>
        </w:rPr>
      </w:pPr>
    </w:p>
    <w:p w14:paraId="20DE1322" w14:textId="6591BC51" w:rsidR="00883511" w:rsidRPr="00471048" w:rsidRDefault="00DC5EF7" w:rsidP="00471048">
      <w:pPr>
        <w:spacing w:line="276" w:lineRule="auto"/>
        <w:jc w:val="both"/>
        <w:rPr>
          <w:rFonts w:ascii="Gadugi" w:hAnsi="Gadugi"/>
          <w:sz w:val="24"/>
          <w:szCs w:val="24"/>
        </w:rPr>
      </w:pP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t>S</w:t>
      </w:r>
      <w:r w:rsidR="00883511" w:rsidRPr="00471048">
        <w:rPr>
          <w:rFonts w:ascii="Gadugi" w:hAnsi="Gadugi"/>
          <w:sz w:val="24"/>
          <w:szCs w:val="24"/>
        </w:rPr>
        <w:t>e cumple con la legitimación en la causa por a</w:t>
      </w:r>
      <w:r w:rsidR="00AC524D" w:rsidRPr="00471048">
        <w:rPr>
          <w:rFonts w:ascii="Gadugi" w:hAnsi="Gadugi"/>
          <w:sz w:val="24"/>
          <w:szCs w:val="24"/>
        </w:rPr>
        <w:t>ctiva, pues el accionante</w:t>
      </w:r>
      <w:r w:rsidRPr="00471048">
        <w:rPr>
          <w:rFonts w:ascii="Gadugi" w:hAnsi="Gadugi"/>
          <w:sz w:val="24"/>
          <w:szCs w:val="24"/>
        </w:rPr>
        <w:t>, quien actúa mediante apoderada judicial debidamente facultada</w:t>
      </w:r>
      <w:r w:rsidR="00575E80" w:rsidRPr="00471048">
        <w:rPr>
          <w:rStyle w:val="Refdenotaalpie"/>
          <w:rFonts w:ascii="Gadugi" w:hAnsi="Gadugi"/>
          <w:sz w:val="24"/>
          <w:szCs w:val="24"/>
        </w:rPr>
        <w:footnoteReference w:id="8"/>
      </w:r>
      <w:r w:rsidRPr="00471048">
        <w:rPr>
          <w:rFonts w:ascii="Gadugi" w:hAnsi="Gadugi"/>
          <w:sz w:val="24"/>
          <w:szCs w:val="24"/>
        </w:rPr>
        <w:t>,</w:t>
      </w:r>
      <w:r w:rsidR="00AC524D" w:rsidRPr="00471048">
        <w:rPr>
          <w:rFonts w:ascii="Gadugi" w:hAnsi="Gadugi"/>
          <w:sz w:val="24"/>
          <w:szCs w:val="24"/>
        </w:rPr>
        <w:t xml:space="preserve"> </w:t>
      </w:r>
      <w:r w:rsidRPr="00471048">
        <w:rPr>
          <w:rFonts w:ascii="Gadugi" w:hAnsi="Gadugi"/>
          <w:sz w:val="24"/>
          <w:szCs w:val="24"/>
        </w:rPr>
        <w:t>es</w:t>
      </w:r>
      <w:r w:rsidR="00AC524D" w:rsidRPr="00471048">
        <w:rPr>
          <w:rFonts w:ascii="Gadugi" w:hAnsi="Gadugi"/>
          <w:sz w:val="24"/>
          <w:szCs w:val="24"/>
        </w:rPr>
        <w:t xml:space="preserve"> </w:t>
      </w:r>
      <w:r w:rsidRPr="00471048">
        <w:rPr>
          <w:rFonts w:ascii="Gadugi" w:hAnsi="Gadugi"/>
          <w:sz w:val="24"/>
          <w:szCs w:val="24"/>
        </w:rPr>
        <w:t>demandado</w:t>
      </w:r>
      <w:r w:rsidR="00883511" w:rsidRPr="00471048">
        <w:rPr>
          <w:rFonts w:ascii="Gadugi" w:hAnsi="Gadugi"/>
          <w:sz w:val="24"/>
          <w:szCs w:val="24"/>
        </w:rPr>
        <w:t xml:space="preserve"> en la </w:t>
      </w:r>
      <w:r w:rsidRPr="00471048">
        <w:rPr>
          <w:rFonts w:ascii="Gadugi" w:hAnsi="Gadugi"/>
          <w:sz w:val="24"/>
          <w:szCs w:val="24"/>
        </w:rPr>
        <w:t>ejecución cuestionada</w:t>
      </w:r>
      <w:r w:rsidR="00AC524D" w:rsidRPr="00471048">
        <w:rPr>
          <w:rFonts w:ascii="Gadugi" w:hAnsi="Gadugi"/>
          <w:sz w:val="24"/>
          <w:szCs w:val="24"/>
        </w:rPr>
        <w:t xml:space="preserve">; también se supera por pasiva, ya que </w:t>
      </w:r>
      <w:r w:rsidRPr="00471048">
        <w:rPr>
          <w:rFonts w:ascii="Gadugi" w:hAnsi="Gadugi"/>
          <w:sz w:val="24"/>
          <w:szCs w:val="24"/>
        </w:rPr>
        <w:t>los</w:t>
      </w:r>
      <w:r w:rsidR="00AC524D" w:rsidRPr="00471048">
        <w:rPr>
          <w:rFonts w:ascii="Gadugi" w:hAnsi="Gadugi"/>
          <w:sz w:val="24"/>
          <w:szCs w:val="24"/>
        </w:rPr>
        <w:t xml:space="preserve"> </w:t>
      </w:r>
      <w:r w:rsidR="00AC524D" w:rsidRPr="00471048">
        <w:rPr>
          <w:rFonts w:ascii="Gadugi" w:hAnsi="Gadugi"/>
          <w:sz w:val="24"/>
          <w:szCs w:val="24"/>
        </w:rPr>
        <w:lastRenderedPageBreak/>
        <w:t>juzgado</w:t>
      </w:r>
      <w:r w:rsidRPr="00471048">
        <w:rPr>
          <w:rFonts w:ascii="Gadugi" w:hAnsi="Gadugi"/>
          <w:sz w:val="24"/>
          <w:szCs w:val="24"/>
        </w:rPr>
        <w:t>s</w:t>
      </w:r>
      <w:r w:rsidR="00AC524D" w:rsidRPr="00471048">
        <w:rPr>
          <w:rFonts w:ascii="Gadugi" w:hAnsi="Gadugi"/>
          <w:sz w:val="24"/>
          <w:szCs w:val="24"/>
        </w:rPr>
        <w:t xml:space="preserve"> accionado</w:t>
      </w:r>
      <w:r w:rsidRPr="00471048">
        <w:rPr>
          <w:rFonts w:ascii="Gadugi" w:hAnsi="Gadugi"/>
          <w:sz w:val="24"/>
          <w:szCs w:val="24"/>
        </w:rPr>
        <w:t>s</w:t>
      </w:r>
      <w:r w:rsidR="00AC524D" w:rsidRPr="00471048">
        <w:rPr>
          <w:rFonts w:ascii="Gadugi" w:hAnsi="Gadugi"/>
          <w:sz w:val="24"/>
          <w:szCs w:val="24"/>
        </w:rPr>
        <w:t xml:space="preserve"> </w:t>
      </w:r>
      <w:r w:rsidRPr="00471048">
        <w:rPr>
          <w:rFonts w:ascii="Gadugi" w:hAnsi="Gadugi"/>
          <w:sz w:val="24"/>
          <w:szCs w:val="24"/>
        </w:rPr>
        <w:t>tramitaron</w:t>
      </w:r>
      <w:r w:rsidR="00AC524D" w:rsidRPr="00471048">
        <w:rPr>
          <w:rFonts w:ascii="Gadugi" w:hAnsi="Gadugi"/>
          <w:sz w:val="24"/>
          <w:szCs w:val="24"/>
        </w:rPr>
        <w:t xml:space="preserve"> ese juicio. Además</w:t>
      </w:r>
      <w:r w:rsidRPr="00471048">
        <w:rPr>
          <w:rFonts w:ascii="Gadugi" w:hAnsi="Gadugi"/>
          <w:sz w:val="24"/>
          <w:szCs w:val="24"/>
        </w:rPr>
        <w:t>,</w:t>
      </w:r>
      <w:r w:rsidR="00924001" w:rsidRPr="00471048">
        <w:rPr>
          <w:rFonts w:ascii="Gadugi" w:hAnsi="Gadugi"/>
          <w:sz w:val="24"/>
          <w:szCs w:val="24"/>
        </w:rPr>
        <w:t xml:space="preserve"> puede comparecer </w:t>
      </w:r>
      <w:r w:rsidRPr="00471048">
        <w:rPr>
          <w:rFonts w:ascii="Gadugi" w:hAnsi="Gadugi"/>
          <w:sz w:val="24"/>
          <w:szCs w:val="24"/>
        </w:rPr>
        <w:t xml:space="preserve">Luis Darío Idárraga, pues es el demandante en ese proceso. </w:t>
      </w:r>
    </w:p>
    <w:p w14:paraId="15D7F8DA" w14:textId="77777777" w:rsidR="00DC5EF7" w:rsidRPr="00471048" w:rsidRDefault="00DC5EF7" w:rsidP="00471048">
      <w:pPr>
        <w:spacing w:line="276" w:lineRule="auto"/>
        <w:jc w:val="both"/>
        <w:rPr>
          <w:rFonts w:ascii="Gadugi" w:hAnsi="Gadugi" w:cs="Arial"/>
          <w:sz w:val="24"/>
          <w:szCs w:val="24"/>
        </w:rPr>
      </w:pPr>
    </w:p>
    <w:p w14:paraId="5678E156" w14:textId="13F781D5" w:rsidR="00093699" w:rsidRPr="00471048" w:rsidRDefault="006F55EB"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00DC5EF7" w:rsidRPr="00471048">
        <w:rPr>
          <w:rFonts w:ascii="Gadugi" w:hAnsi="Gadugi" w:cs="Arial"/>
          <w:sz w:val="24"/>
          <w:szCs w:val="24"/>
        </w:rPr>
        <w:t>L</w:t>
      </w:r>
      <w:r w:rsidRPr="00471048">
        <w:rPr>
          <w:rFonts w:ascii="Gadugi" w:hAnsi="Gadugi" w:cs="Arial"/>
          <w:sz w:val="24"/>
          <w:szCs w:val="24"/>
        </w:rPr>
        <w:t>a inmediatez está satisfecha</w:t>
      </w:r>
      <w:r w:rsidR="00CA5BD1" w:rsidRPr="00471048">
        <w:rPr>
          <w:rFonts w:ascii="Gadugi" w:hAnsi="Gadugi" w:cs="Arial"/>
          <w:sz w:val="24"/>
          <w:szCs w:val="24"/>
        </w:rPr>
        <w:t>,</w:t>
      </w:r>
      <w:r w:rsidRPr="00471048">
        <w:rPr>
          <w:rFonts w:ascii="Gadugi" w:hAnsi="Gadugi" w:cs="Arial"/>
          <w:sz w:val="24"/>
          <w:szCs w:val="24"/>
        </w:rPr>
        <w:t xml:space="preserve"> comoquiera que </w:t>
      </w:r>
      <w:r w:rsidR="00DC5EF7" w:rsidRPr="00471048">
        <w:rPr>
          <w:rFonts w:ascii="Gadugi" w:hAnsi="Gadugi" w:cs="Arial"/>
          <w:sz w:val="24"/>
          <w:szCs w:val="24"/>
        </w:rPr>
        <w:t>sentencia que se ataca</w:t>
      </w:r>
      <w:r w:rsidR="00EC6B21" w:rsidRPr="00471048">
        <w:rPr>
          <w:rFonts w:ascii="Gadugi" w:hAnsi="Gadugi" w:cs="Arial"/>
          <w:sz w:val="24"/>
          <w:szCs w:val="24"/>
        </w:rPr>
        <w:t xml:space="preserve"> </w:t>
      </w:r>
      <w:r w:rsidR="00DC5EF7" w:rsidRPr="00471048">
        <w:rPr>
          <w:rFonts w:ascii="Gadugi" w:hAnsi="Gadugi" w:cs="Arial"/>
          <w:sz w:val="24"/>
          <w:szCs w:val="24"/>
        </w:rPr>
        <w:t>data del 22 de febrero de 2022</w:t>
      </w:r>
      <w:r w:rsidR="00575E80" w:rsidRPr="00471048">
        <w:rPr>
          <w:rStyle w:val="Refdenotaalpie"/>
          <w:rFonts w:ascii="Gadugi" w:hAnsi="Gadugi"/>
          <w:sz w:val="24"/>
          <w:szCs w:val="24"/>
        </w:rPr>
        <w:footnoteReference w:id="9"/>
      </w:r>
      <w:r w:rsidR="00DC5EF7" w:rsidRPr="00471048">
        <w:rPr>
          <w:rFonts w:ascii="Gadugi" w:hAnsi="Gadugi" w:cs="Arial"/>
          <w:sz w:val="24"/>
          <w:szCs w:val="24"/>
        </w:rPr>
        <w:t xml:space="preserve">, y esta demanda se radicó, de manera perentoria, el </w:t>
      </w:r>
      <w:r w:rsidR="00921289" w:rsidRPr="00471048">
        <w:rPr>
          <w:rFonts w:ascii="Gadugi" w:hAnsi="Gadugi" w:cs="Arial"/>
          <w:sz w:val="24"/>
          <w:szCs w:val="24"/>
        </w:rPr>
        <w:t>4</w:t>
      </w:r>
      <w:r w:rsidR="00DC5EF7" w:rsidRPr="00471048">
        <w:rPr>
          <w:rFonts w:ascii="Gadugi" w:hAnsi="Gadugi" w:cs="Arial"/>
          <w:sz w:val="24"/>
          <w:szCs w:val="24"/>
        </w:rPr>
        <w:t xml:space="preserve"> de </w:t>
      </w:r>
      <w:r w:rsidR="00921289" w:rsidRPr="00471048">
        <w:rPr>
          <w:rFonts w:ascii="Gadugi" w:hAnsi="Gadugi" w:cs="Arial"/>
          <w:sz w:val="24"/>
          <w:szCs w:val="24"/>
        </w:rPr>
        <w:t>mayo</w:t>
      </w:r>
      <w:r w:rsidR="00DC5EF7" w:rsidRPr="00471048">
        <w:rPr>
          <w:rFonts w:ascii="Gadugi" w:hAnsi="Gadugi" w:cs="Arial"/>
          <w:sz w:val="24"/>
          <w:szCs w:val="24"/>
        </w:rPr>
        <w:t xml:space="preserve"> de 2022</w:t>
      </w:r>
      <w:r w:rsidR="00575E80" w:rsidRPr="00471048">
        <w:rPr>
          <w:rStyle w:val="Refdenotaalpie"/>
          <w:rFonts w:ascii="Gadugi" w:hAnsi="Gadugi"/>
          <w:sz w:val="24"/>
          <w:szCs w:val="24"/>
        </w:rPr>
        <w:footnoteReference w:id="10"/>
      </w:r>
      <w:r w:rsidR="00DC5EF7" w:rsidRPr="00471048">
        <w:rPr>
          <w:rFonts w:ascii="Gadugi" w:hAnsi="Gadugi" w:cs="Arial"/>
          <w:sz w:val="24"/>
          <w:szCs w:val="24"/>
        </w:rPr>
        <w:t xml:space="preserve">. </w:t>
      </w:r>
    </w:p>
    <w:p w14:paraId="5E8F922D" w14:textId="788BEFB1" w:rsidR="00EC6B21" w:rsidRPr="00471048" w:rsidRDefault="00EC6B21" w:rsidP="00471048">
      <w:pPr>
        <w:spacing w:line="276" w:lineRule="auto"/>
        <w:jc w:val="both"/>
        <w:rPr>
          <w:rFonts w:ascii="Gadugi" w:hAnsi="Gadugi" w:cs="Arial"/>
          <w:sz w:val="24"/>
          <w:szCs w:val="24"/>
        </w:rPr>
      </w:pPr>
    </w:p>
    <w:p w14:paraId="2B775FA6" w14:textId="56642D58" w:rsidR="005024CB" w:rsidRPr="00471048" w:rsidRDefault="005024CB"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t xml:space="preserve">Y la subsidiariedad se supera porque contra la sentencia de segunda instancia, que se reprocha, no procede ningún recurso. </w:t>
      </w:r>
    </w:p>
    <w:p w14:paraId="5C2C62A8" w14:textId="2DD1B122" w:rsidR="005024CB" w:rsidRPr="00471048" w:rsidRDefault="005024CB" w:rsidP="00471048">
      <w:pPr>
        <w:spacing w:line="276" w:lineRule="auto"/>
        <w:jc w:val="both"/>
        <w:rPr>
          <w:rFonts w:ascii="Gadugi" w:hAnsi="Gadugi" w:cs="Arial"/>
          <w:sz w:val="24"/>
          <w:szCs w:val="24"/>
        </w:rPr>
      </w:pPr>
    </w:p>
    <w:p w14:paraId="2B936332" w14:textId="61BA3999" w:rsidR="00CB36F4" w:rsidRPr="00471048" w:rsidRDefault="005024CB"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00575E80" w:rsidRPr="00471048">
        <w:rPr>
          <w:rFonts w:ascii="Gadugi" w:hAnsi="Gadugi" w:cs="Arial"/>
          <w:sz w:val="24"/>
          <w:szCs w:val="24"/>
        </w:rPr>
        <w:t xml:space="preserve">2.5. </w:t>
      </w:r>
      <w:r w:rsidR="00911BFF" w:rsidRPr="00471048">
        <w:rPr>
          <w:rFonts w:ascii="Gadugi" w:hAnsi="Gadugi" w:cs="Arial"/>
          <w:sz w:val="24"/>
          <w:szCs w:val="24"/>
        </w:rPr>
        <w:t xml:space="preserve">Superado el test de procedencia, sigue </w:t>
      </w:r>
      <w:r w:rsidR="006741FD" w:rsidRPr="00471048">
        <w:rPr>
          <w:rFonts w:ascii="Gadugi" w:hAnsi="Gadugi" w:cs="Arial"/>
          <w:sz w:val="24"/>
          <w:szCs w:val="24"/>
        </w:rPr>
        <w:t>el análisis de los defectos que se le achacan a las decisiones cuestionadas</w:t>
      </w:r>
      <w:r w:rsidR="006D0F33" w:rsidRPr="00471048">
        <w:rPr>
          <w:rFonts w:ascii="Gadugi" w:hAnsi="Gadugi" w:cs="Arial"/>
          <w:sz w:val="24"/>
          <w:szCs w:val="24"/>
        </w:rPr>
        <w:t xml:space="preserve">, siendo importante resaltar que, </w:t>
      </w:r>
      <w:r w:rsidR="00D90BAC" w:rsidRPr="00471048">
        <w:rPr>
          <w:rFonts w:ascii="Gadugi" w:hAnsi="Gadugi" w:cs="Arial"/>
          <w:sz w:val="24"/>
          <w:szCs w:val="24"/>
        </w:rPr>
        <w:t xml:space="preserve">en efecto, como se planteó en la demanda se erigió un defecto fáctico, pero no uno procedimental, tal como se confirmará en el análisis sucesivo. </w:t>
      </w:r>
    </w:p>
    <w:p w14:paraId="2B86CBBD" w14:textId="10FE71B1" w:rsidR="006741FD" w:rsidRPr="00471048" w:rsidRDefault="006741FD" w:rsidP="00471048">
      <w:pPr>
        <w:spacing w:line="276" w:lineRule="auto"/>
        <w:jc w:val="both"/>
        <w:rPr>
          <w:rFonts w:ascii="Gadugi" w:hAnsi="Gadugi" w:cs="Arial"/>
          <w:sz w:val="24"/>
          <w:szCs w:val="24"/>
        </w:rPr>
      </w:pPr>
    </w:p>
    <w:p w14:paraId="3FE445DC" w14:textId="21C1294A" w:rsidR="00911BFF" w:rsidRPr="00014E31" w:rsidRDefault="00CB36F4" w:rsidP="00014E31">
      <w:pPr>
        <w:ind w:left="426" w:right="420"/>
        <w:jc w:val="both"/>
        <w:rPr>
          <w:rFonts w:ascii="Gadugi" w:hAnsi="Gadugi"/>
          <w:sz w:val="22"/>
          <w:szCs w:val="24"/>
          <w:lang w:val="es-419"/>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bookmarkStart w:id="2" w:name="_Hlk109381985"/>
      <w:r w:rsidR="00D90BAC" w:rsidRPr="00014E31">
        <w:rPr>
          <w:rFonts w:ascii="Gadugi" w:hAnsi="Gadugi" w:cs="Arial"/>
          <w:sz w:val="22"/>
          <w:szCs w:val="24"/>
        </w:rPr>
        <w:t>D</w:t>
      </w:r>
      <w:r w:rsidR="00911BFF" w:rsidRPr="00014E31">
        <w:rPr>
          <w:rFonts w:ascii="Gadugi" w:hAnsi="Gadugi" w:cs="Arial"/>
          <w:sz w:val="22"/>
          <w:szCs w:val="24"/>
        </w:rPr>
        <w:t>efecto fáctico:</w:t>
      </w:r>
      <w:r w:rsidR="00911BFF" w:rsidRPr="00014E31">
        <w:rPr>
          <w:rStyle w:val="Refdenotaalpie"/>
          <w:rFonts w:ascii="Gadugi" w:hAnsi="Gadugi"/>
          <w:sz w:val="22"/>
          <w:szCs w:val="24"/>
          <w:lang w:val="es-419"/>
        </w:rPr>
        <w:footnoteReference w:id="11"/>
      </w:r>
    </w:p>
    <w:p w14:paraId="3358E7A2" w14:textId="77777777" w:rsidR="00911BFF" w:rsidRPr="00014E31" w:rsidRDefault="00911BFF" w:rsidP="00014E31">
      <w:pPr>
        <w:ind w:left="426" w:right="420"/>
        <w:jc w:val="both"/>
        <w:rPr>
          <w:rFonts w:ascii="Gadugi" w:hAnsi="Gadugi"/>
          <w:sz w:val="22"/>
          <w:szCs w:val="24"/>
          <w:lang w:val="es-419"/>
        </w:rPr>
      </w:pPr>
    </w:p>
    <w:p w14:paraId="74BAFC1A" w14:textId="77777777" w:rsidR="00911BFF" w:rsidRPr="00014E31" w:rsidRDefault="00911BFF" w:rsidP="00014E31">
      <w:pPr>
        <w:ind w:left="426" w:right="420"/>
        <w:jc w:val="both"/>
        <w:rPr>
          <w:rFonts w:ascii="Gadugi" w:hAnsi="Gadugi"/>
          <w:sz w:val="22"/>
          <w:szCs w:val="24"/>
          <w:lang w:val="es-CO" w:eastAsia="es-CO"/>
        </w:rPr>
      </w:pPr>
      <w:r w:rsidRPr="00014E31">
        <w:rPr>
          <w:rFonts w:ascii="Gadugi" w:hAnsi="Gadugi"/>
          <w:sz w:val="22"/>
          <w:szCs w:val="24"/>
          <w:lang w:val="es-419"/>
        </w:rPr>
        <w:tab/>
      </w:r>
      <w:r w:rsidRPr="00014E31">
        <w:rPr>
          <w:rFonts w:ascii="Gadugi" w:hAnsi="Gadugi"/>
          <w:sz w:val="22"/>
          <w:szCs w:val="24"/>
          <w:lang w:val="es-419"/>
        </w:rPr>
        <w:tab/>
      </w:r>
      <w:r w:rsidRPr="00014E31">
        <w:rPr>
          <w:rFonts w:ascii="Gadugi" w:hAnsi="Gadugi"/>
          <w:sz w:val="22"/>
          <w:szCs w:val="24"/>
          <w:lang w:val="es-419"/>
        </w:rPr>
        <w:tab/>
      </w:r>
      <w:r w:rsidRPr="00014E31">
        <w:rPr>
          <w:rFonts w:ascii="Gadugi" w:hAnsi="Gadugi"/>
          <w:sz w:val="22"/>
          <w:szCs w:val="24"/>
          <w:lang w:val="es-419"/>
        </w:rPr>
        <w:tab/>
      </w:r>
      <w:r w:rsidRPr="00014E31">
        <w:rPr>
          <w:rFonts w:ascii="Gadugi" w:hAnsi="Gadugi"/>
          <w:sz w:val="22"/>
          <w:szCs w:val="24"/>
          <w:lang w:val="es-CO" w:eastAsia="es-CO"/>
        </w:rPr>
        <w:t>(…) </w:t>
      </w:r>
    </w:p>
    <w:p w14:paraId="446671DF" w14:textId="77777777" w:rsidR="00911BFF" w:rsidRPr="00014E31" w:rsidRDefault="00911BFF" w:rsidP="00014E31">
      <w:pPr>
        <w:ind w:left="426" w:right="420"/>
        <w:jc w:val="both"/>
        <w:rPr>
          <w:rFonts w:ascii="Gadugi" w:hAnsi="Gadugi"/>
          <w:sz w:val="22"/>
          <w:szCs w:val="24"/>
          <w:lang w:val="es-CO" w:eastAsia="es-CO"/>
        </w:rPr>
      </w:pPr>
    </w:p>
    <w:p w14:paraId="292B5EBD" w14:textId="77777777" w:rsidR="00911BFF" w:rsidRPr="00014E31" w:rsidRDefault="00911BFF" w:rsidP="00014E31">
      <w:pPr>
        <w:ind w:left="426" w:right="420"/>
        <w:jc w:val="both"/>
        <w:rPr>
          <w:rFonts w:ascii="Gadugi" w:hAnsi="Gadugi"/>
          <w:sz w:val="22"/>
          <w:szCs w:val="24"/>
          <w:lang w:val="es-CO" w:eastAsia="es-CO"/>
        </w:rPr>
      </w:pPr>
      <w:r w:rsidRPr="00014E31">
        <w:rPr>
          <w:rFonts w:ascii="Gadugi" w:hAnsi="Gadugi"/>
          <w:sz w:val="22"/>
          <w:szCs w:val="24"/>
          <w:lang w:val="es-CO" w:eastAsia="es-CO"/>
        </w:rPr>
        <w:tab/>
      </w:r>
      <w:r w:rsidRPr="00014E31">
        <w:rPr>
          <w:rFonts w:ascii="Gadugi" w:hAnsi="Gadugi"/>
          <w:sz w:val="22"/>
          <w:szCs w:val="24"/>
          <w:lang w:val="es-CO" w:eastAsia="es-CO"/>
        </w:rPr>
        <w:tab/>
      </w:r>
      <w:r w:rsidRPr="00014E31">
        <w:rPr>
          <w:rFonts w:ascii="Gadugi" w:hAnsi="Gadugi"/>
          <w:sz w:val="22"/>
          <w:szCs w:val="24"/>
          <w:lang w:val="es-CO" w:eastAsia="es-CO"/>
        </w:rPr>
        <w:tab/>
      </w:r>
      <w:r w:rsidRPr="00014E31">
        <w:rPr>
          <w:rFonts w:ascii="Gadugi" w:hAnsi="Gadugi"/>
          <w:sz w:val="22"/>
          <w:szCs w:val="24"/>
          <w:lang w:val="es-CO" w:eastAsia="es-CO"/>
        </w:rPr>
        <w:tab/>
      </w:r>
      <w:r w:rsidRPr="00014E31">
        <w:rPr>
          <w:rFonts w:ascii="Gadugi" w:hAnsi="Gadugi"/>
          <w:b/>
          <w:sz w:val="22"/>
          <w:szCs w:val="24"/>
          <w:lang w:val="es-CO" w:eastAsia="es-CO"/>
        </w:rPr>
        <w:t>Se erige sobre la malinterpretación de los hechos expuestos en un proceso, la cual deviene de una inapropiada valoración probatoria, bien porque el juez no contaba con pruebas para sustentar sus afirmaciones, ora porque al estimar su valor demostrativo fue arbitrario</w:t>
      </w:r>
      <w:bookmarkEnd w:id="2"/>
      <w:r w:rsidRPr="00014E31">
        <w:rPr>
          <w:rStyle w:val="Refdenotaalpie"/>
          <w:rFonts w:ascii="Gadugi" w:hAnsi="Gadugi"/>
          <w:sz w:val="22"/>
          <w:szCs w:val="24"/>
          <w:lang w:val="es-CO" w:eastAsia="es-CO"/>
        </w:rPr>
        <w:footnoteReference w:id="12"/>
      </w:r>
      <w:r w:rsidRPr="00014E31">
        <w:rPr>
          <w:rFonts w:ascii="Gadugi" w:hAnsi="Gadugi"/>
          <w:sz w:val="22"/>
          <w:szCs w:val="24"/>
          <w:lang w:val="es-CO" w:eastAsia="es-CO"/>
        </w:rPr>
        <w:t>. La Corte ha dicho que tal arbitrariedad debe ser “</w:t>
      </w:r>
      <w:r w:rsidRPr="00014E31">
        <w:rPr>
          <w:rFonts w:ascii="Gadugi" w:hAnsi="Gadugi"/>
          <w:i/>
          <w:iCs/>
          <w:sz w:val="22"/>
          <w:szCs w:val="24"/>
          <w:shd w:val="clear" w:color="auto" w:fill="FFFFFF"/>
          <w:lang w:val="es-CO" w:eastAsia="es-CO"/>
        </w:rPr>
        <w:t>de tal magnitud que pueda advertirse de manera evidente y flagrante, sin que quepa margen de objetividad alguno que permita explicar razonablemente la conclusión a la cual llegó el juez</w:t>
      </w:r>
      <w:r w:rsidRPr="00014E31">
        <w:rPr>
          <w:rStyle w:val="Refdenotaalpie"/>
          <w:rFonts w:ascii="Gadugi" w:hAnsi="Gadugi"/>
          <w:i/>
          <w:iCs/>
          <w:sz w:val="22"/>
          <w:szCs w:val="24"/>
          <w:shd w:val="clear" w:color="auto" w:fill="FFFFFF"/>
          <w:lang w:val="es-CO" w:eastAsia="es-CO"/>
        </w:rPr>
        <w:footnoteReference w:id="13"/>
      </w:r>
      <w:r w:rsidRPr="00014E31">
        <w:rPr>
          <w:rFonts w:ascii="Gadugi" w:hAnsi="Gadugi"/>
          <w:i/>
          <w:iCs/>
          <w:sz w:val="22"/>
          <w:szCs w:val="24"/>
          <w:shd w:val="clear" w:color="auto" w:fill="FFFFFF"/>
          <w:lang w:val="es-CO" w:eastAsia="es-CO"/>
        </w:rPr>
        <w:t>.</w:t>
      </w:r>
      <w:r w:rsidRPr="00014E31">
        <w:rPr>
          <w:rFonts w:ascii="Gadugi" w:hAnsi="Gadugi"/>
          <w:i/>
          <w:iCs/>
          <w:sz w:val="22"/>
          <w:szCs w:val="24"/>
          <w:lang w:val="es-CO" w:eastAsia="es-CO"/>
        </w:rPr>
        <w:t> </w:t>
      </w:r>
      <w:r w:rsidRPr="00014E31">
        <w:rPr>
          <w:rFonts w:ascii="Gadugi" w:hAnsi="Gadugi"/>
          <w:i/>
          <w:iCs/>
          <w:sz w:val="22"/>
          <w:szCs w:val="24"/>
          <w:shd w:val="clear" w:color="auto" w:fill="FFFFFF"/>
          <w:lang w:val="es-CO" w:eastAsia="es-CO"/>
        </w:rPr>
        <w:t>En igual sentido, es imprescindible que tal yerro tenga una trascendencia fundamental en el sentido del fallo, de manera que si no se hubiera incurrido en él, el funcionario judicial hubiera adoptado una decisión completamente opuesta</w:t>
      </w:r>
      <w:r w:rsidRPr="00014E31">
        <w:rPr>
          <w:rStyle w:val="Refdenotaalpie"/>
          <w:rFonts w:ascii="Gadugi" w:hAnsi="Gadugi"/>
          <w:i/>
          <w:iCs/>
          <w:sz w:val="22"/>
          <w:szCs w:val="24"/>
          <w:shd w:val="clear" w:color="auto" w:fill="FFFFFF"/>
          <w:lang w:val="es-CO" w:eastAsia="es-CO"/>
        </w:rPr>
        <w:footnoteReference w:id="14"/>
      </w:r>
      <w:r w:rsidRPr="00014E31">
        <w:rPr>
          <w:rFonts w:ascii="Gadugi" w:hAnsi="Gadugi"/>
          <w:i/>
          <w:iCs/>
          <w:sz w:val="22"/>
          <w:szCs w:val="24"/>
          <w:shd w:val="clear" w:color="auto" w:fill="FFFFFF"/>
          <w:lang w:val="es-CO" w:eastAsia="es-CO"/>
        </w:rPr>
        <w:t>”</w:t>
      </w:r>
      <w:r w:rsidRPr="00014E31">
        <w:rPr>
          <w:rFonts w:ascii="Gadugi" w:hAnsi="Gadugi"/>
          <w:sz w:val="22"/>
          <w:szCs w:val="24"/>
          <w:lang w:val="es-CO" w:eastAsia="es-CO"/>
        </w:rPr>
        <w:t>.  </w:t>
      </w:r>
    </w:p>
    <w:p w14:paraId="7FDE539F" w14:textId="77777777" w:rsidR="00911BFF" w:rsidRPr="00014E31" w:rsidRDefault="00911BFF" w:rsidP="00014E31">
      <w:pPr>
        <w:shd w:val="clear" w:color="auto" w:fill="FFFFFF"/>
        <w:overflowPunct/>
        <w:autoSpaceDE/>
        <w:autoSpaceDN/>
        <w:adjustRightInd/>
        <w:ind w:left="426" w:right="420"/>
        <w:jc w:val="both"/>
        <w:textAlignment w:val="auto"/>
        <w:rPr>
          <w:rFonts w:ascii="Gadugi" w:hAnsi="Gadugi"/>
          <w:sz w:val="22"/>
          <w:szCs w:val="24"/>
          <w:lang w:val="es-CO" w:eastAsia="es-CO"/>
        </w:rPr>
      </w:pPr>
    </w:p>
    <w:p w14:paraId="0F3AE83C" w14:textId="77777777" w:rsidR="00911BFF" w:rsidRPr="00014E31" w:rsidRDefault="00911BFF" w:rsidP="00014E31">
      <w:pPr>
        <w:shd w:val="clear" w:color="auto" w:fill="FFFFFF"/>
        <w:overflowPunct/>
        <w:autoSpaceDE/>
        <w:autoSpaceDN/>
        <w:adjustRightInd/>
        <w:ind w:left="426" w:right="420"/>
        <w:jc w:val="both"/>
        <w:textAlignment w:val="auto"/>
        <w:rPr>
          <w:rFonts w:ascii="Gadugi" w:hAnsi="Gadugi"/>
          <w:sz w:val="22"/>
          <w:szCs w:val="24"/>
          <w:lang w:val="es-CO" w:eastAsia="es-CO"/>
        </w:rPr>
      </w:pPr>
      <w:r w:rsidRPr="00014E31">
        <w:rPr>
          <w:rFonts w:ascii="Gadugi" w:hAnsi="Gadugi" w:cs="Calibri"/>
          <w:sz w:val="22"/>
          <w:szCs w:val="24"/>
          <w:lang w:val="es-CO" w:eastAsia="es-CO"/>
        </w:rPr>
        <w:tab/>
      </w:r>
      <w:r w:rsidRPr="00014E31">
        <w:rPr>
          <w:rFonts w:ascii="Gadugi" w:hAnsi="Gadugi" w:cs="Calibri"/>
          <w:sz w:val="22"/>
          <w:szCs w:val="24"/>
          <w:lang w:val="es-CO" w:eastAsia="es-CO"/>
        </w:rPr>
        <w:tab/>
      </w:r>
      <w:r w:rsidRPr="00014E31">
        <w:rPr>
          <w:rFonts w:ascii="Gadugi" w:hAnsi="Gadugi" w:cs="Calibri"/>
          <w:sz w:val="22"/>
          <w:szCs w:val="24"/>
          <w:lang w:val="es-CO" w:eastAsia="es-CO"/>
        </w:rPr>
        <w:tab/>
      </w:r>
      <w:r w:rsidRPr="00014E31">
        <w:rPr>
          <w:rFonts w:ascii="Gadugi" w:hAnsi="Gadugi" w:cs="Calibri"/>
          <w:sz w:val="22"/>
          <w:szCs w:val="24"/>
          <w:lang w:val="es-CO" w:eastAsia="es-CO"/>
        </w:rPr>
        <w:tab/>
      </w:r>
      <w:r w:rsidRPr="00014E31">
        <w:rPr>
          <w:rFonts w:ascii="Gadugi" w:hAnsi="Gadugi"/>
          <w:sz w:val="22"/>
          <w:szCs w:val="24"/>
          <w:lang w:val="es-CO" w:eastAsia="es-CO"/>
        </w:rPr>
        <w:t>(…)</w:t>
      </w:r>
    </w:p>
    <w:p w14:paraId="525F68FA" w14:textId="59F6FDBE" w:rsidR="00911BFF" w:rsidRPr="00471048" w:rsidRDefault="002B4078"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p>
    <w:p w14:paraId="7226BCD6" w14:textId="515FADDC" w:rsidR="002B4078" w:rsidRPr="00471048" w:rsidRDefault="002B4078"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t xml:space="preserve">Adicionalmente, como más adelante se verá, </w:t>
      </w:r>
      <w:bookmarkStart w:id="3" w:name="_Hlk109382041"/>
      <w:r w:rsidRPr="00471048">
        <w:rPr>
          <w:rFonts w:ascii="Gadugi" w:hAnsi="Gadugi" w:cs="Arial"/>
          <w:sz w:val="24"/>
          <w:szCs w:val="24"/>
        </w:rPr>
        <w:t>está de por medio el principio de cosa juzgada, es bueno recordar que</w:t>
      </w:r>
      <w:r w:rsidRPr="00471048">
        <w:rPr>
          <w:rStyle w:val="Refdenotaalpie"/>
          <w:rFonts w:ascii="Gadugi" w:hAnsi="Gadugi"/>
          <w:sz w:val="24"/>
          <w:szCs w:val="24"/>
        </w:rPr>
        <w:footnoteReference w:id="15"/>
      </w:r>
      <w:r w:rsidRPr="00471048">
        <w:rPr>
          <w:rFonts w:ascii="Gadugi" w:hAnsi="Gadugi" w:cs="Arial"/>
          <w:sz w:val="24"/>
          <w:szCs w:val="24"/>
        </w:rPr>
        <w:t>:</w:t>
      </w:r>
    </w:p>
    <w:p w14:paraId="5327558D" w14:textId="1021E1A6" w:rsidR="002B4078" w:rsidRPr="00471048" w:rsidRDefault="00D90BAC" w:rsidP="00471048">
      <w:pPr>
        <w:spacing w:line="276" w:lineRule="auto"/>
        <w:jc w:val="both"/>
        <w:rPr>
          <w:rFonts w:ascii="Gadugi" w:hAnsi="Gadugi" w:cs="Arial"/>
          <w:sz w:val="24"/>
          <w:szCs w:val="24"/>
        </w:rPr>
      </w:pPr>
      <w:r w:rsidRPr="00471048">
        <w:rPr>
          <w:rFonts w:ascii="Gadugi" w:hAnsi="Gadugi" w:cs="Arial"/>
          <w:sz w:val="24"/>
          <w:szCs w:val="24"/>
        </w:rPr>
        <w:tab/>
      </w:r>
    </w:p>
    <w:p w14:paraId="2709ED26" w14:textId="77777777" w:rsidR="002B4078" w:rsidRPr="00DE51F4" w:rsidRDefault="002B4078" w:rsidP="00DE51F4">
      <w:pPr>
        <w:ind w:left="426" w:right="420"/>
        <w:jc w:val="both"/>
        <w:rPr>
          <w:rFonts w:ascii="Gadugi" w:hAnsi="Gadugi" w:cs="Arial"/>
          <w:b/>
          <w:sz w:val="22"/>
          <w:szCs w:val="24"/>
        </w:rPr>
      </w:pP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t xml:space="preserve">2.3. </w:t>
      </w:r>
      <w:r w:rsidRPr="00DE51F4">
        <w:rPr>
          <w:rFonts w:ascii="Gadugi" w:hAnsi="Gadugi" w:cs="Arial"/>
          <w:b/>
          <w:sz w:val="22"/>
          <w:szCs w:val="24"/>
        </w:rPr>
        <w:t>La cosa juzgada es una institución jurídico procesal mediante la cual se otorga a las decisiones plasmadas en una sentencia y en algunas otras providencias, el carácter de inmutables, vinculantes y definitivas</w:t>
      </w:r>
      <w:bookmarkEnd w:id="3"/>
      <w:r w:rsidRPr="00DE51F4">
        <w:rPr>
          <w:rFonts w:ascii="Gadugi" w:hAnsi="Gadugi" w:cs="Arial"/>
          <w:b/>
          <w:sz w:val="22"/>
          <w:szCs w:val="24"/>
        </w:rPr>
        <w:t>. Los citados efectos se conciben por disposición expresa del ordenamiento jurídico para lograr la terminación definitiva de controversias y alcanzar un estado de seguridad jurídica.</w:t>
      </w:r>
    </w:p>
    <w:p w14:paraId="42DB8600" w14:textId="77777777" w:rsidR="002B4078" w:rsidRPr="00DE51F4" w:rsidRDefault="002B4078" w:rsidP="00DE51F4">
      <w:pPr>
        <w:ind w:left="426" w:right="420"/>
        <w:jc w:val="both"/>
        <w:rPr>
          <w:rFonts w:ascii="Gadugi" w:hAnsi="Gadugi" w:cs="Arial"/>
          <w:sz w:val="22"/>
          <w:szCs w:val="24"/>
        </w:rPr>
      </w:pPr>
    </w:p>
    <w:p w14:paraId="7AB07481" w14:textId="77777777" w:rsidR="002B4078" w:rsidRPr="00DE51F4" w:rsidRDefault="002B4078" w:rsidP="00DE51F4">
      <w:pPr>
        <w:ind w:left="426" w:right="420"/>
        <w:jc w:val="both"/>
        <w:rPr>
          <w:rFonts w:ascii="Gadugi" w:hAnsi="Gadugi" w:cs="Arial"/>
          <w:sz w:val="22"/>
          <w:szCs w:val="24"/>
        </w:rPr>
      </w:pP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t xml:space="preserve">2.4. De esta definición se derivan dos consecuencias importantes. En primer lugar, los efectos de la cosa juzgada se imponen por mandamiento constitucional o legal derivado de la voluntad del Estado, impidiendo al juez su libre determinación y, en segundo lugar, el objeto de la cosa juzgada consiste en dotar de un valor definitivo e inmutable a las providencias que determine el ordenamiento jurídico. </w:t>
      </w:r>
      <w:r w:rsidRPr="00DE51F4">
        <w:rPr>
          <w:rFonts w:ascii="Gadugi" w:hAnsi="Gadugi" w:cs="Arial"/>
          <w:b/>
          <w:sz w:val="22"/>
          <w:szCs w:val="24"/>
        </w:rPr>
        <w:t>Es decir, se prohíbe a los funcionarios judiciales, a las partes y eventualmente a la comunidad, volver a entablar el mismo litigio.</w:t>
      </w:r>
    </w:p>
    <w:p w14:paraId="5E727624" w14:textId="77777777" w:rsidR="002B4078" w:rsidRPr="00DE51F4" w:rsidRDefault="002B4078" w:rsidP="00DE51F4">
      <w:pPr>
        <w:ind w:left="426" w:right="420"/>
        <w:jc w:val="both"/>
        <w:rPr>
          <w:rFonts w:ascii="Gadugi" w:hAnsi="Gadugi" w:cs="Arial"/>
          <w:sz w:val="22"/>
          <w:szCs w:val="24"/>
        </w:rPr>
      </w:pPr>
    </w:p>
    <w:p w14:paraId="682B37E4" w14:textId="77777777" w:rsidR="002B4078" w:rsidRPr="00DE51F4" w:rsidRDefault="002B4078" w:rsidP="00DE51F4">
      <w:pPr>
        <w:ind w:left="426" w:right="420"/>
        <w:jc w:val="both"/>
        <w:rPr>
          <w:rFonts w:ascii="Gadugi" w:hAnsi="Gadugi" w:cs="Arial"/>
          <w:sz w:val="22"/>
          <w:szCs w:val="24"/>
        </w:rPr>
      </w:pP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t xml:space="preserve">2.5. De esta manera se puede sostener que la cosa juzgada tiene como función negativa, </w:t>
      </w:r>
      <w:r w:rsidRPr="00DE51F4">
        <w:rPr>
          <w:rFonts w:ascii="Gadugi" w:hAnsi="Gadugi" w:cs="Arial"/>
          <w:b/>
          <w:sz w:val="22"/>
          <w:szCs w:val="24"/>
        </w:rPr>
        <w:t>prohibir a los funcionarios judiciales conocer, tramitar y fallar sobre lo resuelto</w:t>
      </w:r>
      <w:r w:rsidRPr="00DE51F4">
        <w:rPr>
          <w:rFonts w:ascii="Gadugi" w:hAnsi="Gadugi" w:cs="Arial"/>
          <w:sz w:val="22"/>
          <w:szCs w:val="24"/>
        </w:rPr>
        <w:t xml:space="preserve">, </w:t>
      </w:r>
      <w:r w:rsidRPr="00DE51F4">
        <w:rPr>
          <w:rFonts w:ascii="Gadugi" w:hAnsi="Gadugi" w:cs="Arial"/>
          <w:b/>
          <w:sz w:val="22"/>
          <w:szCs w:val="24"/>
        </w:rPr>
        <w:t xml:space="preserve">y como función positiva, dotar de seguridad a las relaciones jurídicas y al ordenamiento jurídico. </w:t>
      </w:r>
      <w:r w:rsidRPr="00DE51F4">
        <w:rPr>
          <w:rFonts w:ascii="Gadugi" w:hAnsi="Gadugi" w:cs="Arial"/>
          <w:sz w:val="22"/>
          <w:szCs w:val="24"/>
        </w:rPr>
        <w:t>(Destaca la Sala)</w:t>
      </w:r>
    </w:p>
    <w:p w14:paraId="4E3F6C33" w14:textId="77777777" w:rsidR="002B4078" w:rsidRPr="00471048" w:rsidRDefault="002B4078" w:rsidP="00471048">
      <w:pPr>
        <w:spacing w:line="276" w:lineRule="auto"/>
        <w:jc w:val="both"/>
        <w:rPr>
          <w:rFonts w:ascii="Gadugi" w:hAnsi="Gadugi" w:cs="Arial"/>
          <w:sz w:val="24"/>
          <w:szCs w:val="24"/>
        </w:rPr>
      </w:pPr>
    </w:p>
    <w:p w14:paraId="13488F72" w14:textId="7FBA8506" w:rsidR="00933140" w:rsidRPr="00471048" w:rsidRDefault="00933140"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t>En el caso concreto sucede lo siguiente:</w:t>
      </w:r>
    </w:p>
    <w:p w14:paraId="4BC1AAFD" w14:textId="442DBCFA" w:rsidR="00933140" w:rsidRPr="00471048" w:rsidRDefault="00933140" w:rsidP="00471048">
      <w:pPr>
        <w:spacing w:line="276" w:lineRule="auto"/>
        <w:jc w:val="both"/>
        <w:rPr>
          <w:rFonts w:ascii="Gadugi" w:hAnsi="Gadugi" w:cs="Arial"/>
          <w:sz w:val="24"/>
          <w:szCs w:val="24"/>
        </w:rPr>
      </w:pPr>
    </w:p>
    <w:p w14:paraId="384A0D7F" w14:textId="77777777" w:rsidR="00575E80" w:rsidRPr="00471048" w:rsidRDefault="00977397" w:rsidP="00471048">
      <w:pPr>
        <w:spacing w:line="276" w:lineRule="auto"/>
        <w:jc w:val="both"/>
        <w:rPr>
          <w:rFonts w:ascii="Gadugi" w:hAnsi="Gadugi" w:cs="Arial"/>
          <w:i/>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t>(i) El vencimiento de la letra de cambio que se cobra fue el 30 de octubre de 2013</w:t>
      </w:r>
      <w:r w:rsidR="00575E80" w:rsidRPr="00471048">
        <w:rPr>
          <w:rStyle w:val="Refdenotaalpie"/>
          <w:rFonts w:ascii="Gadugi" w:hAnsi="Gadugi"/>
          <w:sz w:val="24"/>
          <w:szCs w:val="24"/>
        </w:rPr>
        <w:footnoteReference w:id="16"/>
      </w:r>
      <w:r w:rsidRPr="00471048">
        <w:rPr>
          <w:rFonts w:ascii="Gadugi" w:hAnsi="Gadugi" w:cs="Arial"/>
          <w:sz w:val="24"/>
          <w:szCs w:val="24"/>
        </w:rPr>
        <w:t>, la demanda se presentó el 6 de diciembre de 2013</w:t>
      </w:r>
      <w:r w:rsidR="00575E80" w:rsidRPr="00471048">
        <w:rPr>
          <w:rStyle w:val="Refdenotaalpie"/>
          <w:rFonts w:ascii="Gadugi" w:hAnsi="Gadugi"/>
          <w:sz w:val="24"/>
          <w:szCs w:val="24"/>
        </w:rPr>
        <w:footnoteReference w:id="17"/>
      </w:r>
      <w:r w:rsidRPr="00471048">
        <w:rPr>
          <w:rFonts w:ascii="Gadugi" w:hAnsi="Gadugi" w:cs="Arial"/>
          <w:sz w:val="24"/>
          <w:szCs w:val="24"/>
        </w:rPr>
        <w:t>, se libró mandamiento de pago el 9 de diciembre de 2013</w:t>
      </w:r>
      <w:r w:rsidR="00575E80" w:rsidRPr="00471048">
        <w:rPr>
          <w:rStyle w:val="Refdenotaalpie"/>
          <w:rFonts w:ascii="Gadugi" w:hAnsi="Gadugi"/>
          <w:sz w:val="24"/>
          <w:szCs w:val="24"/>
        </w:rPr>
        <w:footnoteReference w:id="18"/>
      </w:r>
      <w:r w:rsidRPr="00471048">
        <w:rPr>
          <w:rFonts w:ascii="Gadugi" w:hAnsi="Gadugi" w:cs="Arial"/>
          <w:sz w:val="24"/>
          <w:szCs w:val="24"/>
        </w:rPr>
        <w:t xml:space="preserve">, el 5 de marzo de 2014, </w:t>
      </w:r>
      <w:r w:rsidR="00575E80" w:rsidRPr="00471048">
        <w:rPr>
          <w:rFonts w:ascii="Gadugi" w:hAnsi="Gadugi" w:cs="Arial"/>
          <w:sz w:val="24"/>
          <w:szCs w:val="24"/>
        </w:rPr>
        <w:t xml:space="preserve">sin ninguna evidencia sobre diligencias tendientes a notificar al demandado, </w:t>
      </w:r>
      <w:r w:rsidRPr="00471048">
        <w:rPr>
          <w:rFonts w:ascii="Gadugi" w:hAnsi="Gadugi" w:cs="Arial"/>
          <w:sz w:val="24"/>
          <w:szCs w:val="24"/>
        </w:rPr>
        <w:t xml:space="preserve">se solicitó realizar el emplazamiento del demandado, comoquiera que </w:t>
      </w:r>
      <w:r w:rsidRPr="00471048">
        <w:rPr>
          <w:rFonts w:ascii="Gadugi" w:hAnsi="Gadugi" w:cs="Arial"/>
          <w:i/>
          <w:sz w:val="24"/>
          <w:szCs w:val="24"/>
        </w:rPr>
        <w:t>“</w:t>
      </w:r>
      <w:r w:rsidRPr="00504428">
        <w:rPr>
          <w:rFonts w:ascii="Gadugi" w:hAnsi="Gadugi" w:cs="Arial"/>
          <w:i/>
          <w:sz w:val="22"/>
          <w:szCs w:val="24"/>
        </w:rPr>
        <w:t>(…) al parecer el señor Jason La Rosa había salido del país</w:t>
      </w:r>
      <w:r w:rsidRPr="00471048">
        <w:rPr>
          <w:rFonts w:ascii="Gadugi" w:hAnsi="Gadugi" w:cs="Arial"/>
          <w:i/>
          <w:sz w:val="24"/>
          <w:szCs w:val="24"/>
        </w:rPr>
        <w:t>”</w:t>
      </w:r>
      <w:r w:rsidR="00575E80" w:rsidRPr="00471048">
        <w:rPr>
          <w:rStyle w:val="Refdenotaalpie"/>
          <w:rFonts w:ascii="Gadugi" w:hAnsi="Gadugi"/>
          <w:i/>
          <w:sz w:val="24"/>
          <w:szCs w:val="24"/>
        </w:rPr>
        <w:footnoteReference w:id="19"/>
      </w:r>
      <w:r w:rsidR="00575E80" w:rsidRPr="00471048">
        <w:rPr>
          <w:rFonts w:ascii="Gadugi" w:hAnsi="Gadugi" w:cs="Arial"/>
          <w:i/>
          <w:sz w:val="24"/>
          <w:szCs w:val="24"/>
        </w:rPr>
        <w:t>.</w:t>
      </w:r>
    </w:p>
    <w:p w14:paraId="74FC53BE" w14:textId="0F258D46" w:rsidR="00575E80" w:rsidRPr="00471048" w:rsidRDefault="00575E80" w:rsidP="00471048">
      <w:pPr>
        <w:spacing w:line="276" w:lineRule="auto"/>
        <w:jc w:val="both"/>
        <w:rPr>
          <w:rFonts w:ascii="Gadugi" w:hAnsi="Gadugi" w:cs="Arial"/>
          <w:i/>
          <w:sz w:val="24"/>
          <w:szCs w:val="24"/>
        </w:rPr>
      </w:pPr>
    </w:p>
    <w:p w14:paraId="4EC51CF8" w14:textId="2161FD03" w:rsidR="00977397" w:rsidRPr="00471048" w:rsidRDefault="00575E80" w:rsidP="00471048">
      <w:pPr>
        <w:spacing w:line="276" w:lineRule="auto"/>
        <w:jc w:val="both"/>
        <w:rPr>
          <w:rFonts w:ascii="Gadugi" w:hAnsi="Gadugi" w:cs="Arial"/>
          <w:sz w:val="24"/>
          <w:szCs w:val="24"/>
        </w:rPr>
      </w:pPr>
      <w:r w:rsidRPr="00471048">
        <w:rPr>
          <w:rFonts w:ascii="Gadugi" w:hAnsi="Gadugi" w:cs="Arial"/>
          <w:i/>
          <w:sz w:val="24"/>
          <w:szCs w:val="24"/>
        </w:rPr>
        <w:tab/>
      </w:r>
      <w:r w:rsidRPr="00471048">
        <w:rPr>
          <w:rFonts w:ascii="Gadugi" w:hAnsi="Gadugi" w:cs="Arial"/>
          <w:i/>
          <w:sz w:val="24"/>
          <w:szCs w:val="24"/>
        </w:rPr>
        <w:tab/>
      </w:r>
      <w:r w:rsidRPr="00471048">
        <w:rPr>
          <w:rFonts w:ascii="Gadugi" w:hAnsi="Gadugi" w:cs="Arial"/>
          <w:i/>
          <w:sz w:val="24"/>
          <w:szCs w:val="24"/>
        </w:rPr>
        <w:tab/>
      </w:r>
      <w:r w:rsidRPr="00471048">
        <w:rPr>
          <w:rFonts w:ascii="Gadugi" w:hAnsi="Gadugi" w:cs="Arial"/>
          <w:i/>
          <w:sz w:val="24"/>
          <w:szCs w:val="24"/>
        </w:rPr>
        <w:tab/>
      </w:r>
      <w:r w:rsidRPr="00471048">
        <w:rPr>
          <w:rFonts w:ascii="Gadugi" w:hAnsi="Gadugi" w:cs="Arial"/>
          <w:sz w:val="24"/>
          <w:szCs w:val="24"/>
        </w:rPr>
        <w:t>El</w:t>
      </w:r>
      <w:r w:rsidR="00977397" w:rsidRPr="00471048">
        <w:rPr>
          <w:rFonts w:ascii="Gadugi" w:hAnsi="Gadugi" w:cs="Arial"/>
          <w:sz w:val="24"/>
          <w:szCs w:val="24"/>
        </w:rPr>
        <w:t xml:space="preserve"> 6 de marzo de 2014 se ordenó el emplazamiento</w:t>
      </w:r>
      <w:r w:rsidRPr="00471048">
        <w:rPr>
          <w:rStyle w:val="Refdenotaalpie"/>
          <w:rFonts w:ascii="Gadugi" w:hAnsi="Gadugi"/>
          <w:sz w:val="24"/>
          <w:szCs w:val="24"/>
        </w:rPr>
        <w:footnoteReference w:id="20"/>
      </w:r>
      <w:r w:rsidR="00977397" w:rsidRPr="00471048">
        <w:rPr>
          <w:rFonts w:ascii="Gadugi" w:hAnsi="Gadugi" w:cs="Arial"/>
          <w:sz w:val="24"/>
          <w:szCs w:val="24"/>
        </w:rPr>
        <w:t>, el 3 de junio de 2014 se designaron los curadores</w:t>
      </w:r>
      <w:r w:rsidRPr="00471048">
        <w:rPr>
          <w:rStyle w:val="Refdenotaalpie"/>
          <w:rFonts w:ascii="Gadugi" w:hAnsi="Gadugi"/>
          <w:sz w:val="24"/>
          <w:szCs w:val="24"/>
        </w:rPr>
        <w:footnoteReference w:id="21"/>
      </w:r>
      <w:r w:rsidR="00977397" w:rsidRPr="00471048">
        <w:rPr>
          <w:rFonts w:ascii="Gadugi" w:hAnsi="Gadugi" w:cs="Arial"/>
          <w:sz w:val="24"/>
          <w:szCs w:val="24"/>
        </w:rPr>
        <w:t>, el 11 de junio de 2014 aceptó el curador</w:t>
      </w:r>
      <w:r w:rsidRPr="00471048">
        <w:rPr>
          <w:rStyle w:val="Refdenotaalpie"/>
          <w:rFonts w:ascii="Gadugi" w:hAnsi="Gadugi"/>
          <w:sz w:val="24"/>
          <w:szCs w:val="24"/>
        </w:rPr>
        <w:footnoteReference w:id="22"/>
      </w:r>
      <w:r w:rsidR="00977397" w:rsidRPr="00471048">
        <w:rPr>
          <w:rFonts w:ascii="Gadugi" w:hAnsi="Gadugi" w:cs="Arial"/>
          <w:sz w:val="24"/>
          <w:szCs w:val="24"/>
        </w:rPr>
        <w:t>, el 25 junio el curador contestó la demanda</w:t>
      </w:r>
      <w:r w:rsidRPr="00471048">
        <w:rPr>
          <w:rStyle w:val="Refdenotaalpie"/>
          <w:rFonts w:ascii="Gadugi" w:hAnsi="Gadugi"/>
          <w:sz w:val="24"/>
          <w:szCs w:val="24"/>
        </w:rPr>
        <w:footnoteReference w:id="23"/>
      </w:r>
      <w:r w:rsidR="00977397" w:rsidRPr="00471048">
        <w:rPr>
          <w:rFonts w:ascii="Gadugi" w:hAnsi="Gadugi" w:cs="Arial"/>
          <w:sz w:val="24"/>
          <w:szCs w:val="24"/>
        </w:rPr>
        <w:t>, el 7 de julio de 2014 se ordenó seguir adelante con la ejecución</w:t>
      </w:r>
      <w:r w:rsidRPr="00471048">
        <w:rPr>
          <w:rStyle w:val="Refdenotaalpie"/>
          <w:rFonts w:ascii="Gadugi" w:hAnsi="Gadugi"/>
          <w:sz w:val="24"/>
          <w:szCs w:val="24"/>
        </w:rPr>
        <w:footnoteReference w:id="24"/>
      </w:r>
      <w:r w:rsidR="00977397" w:rsidRPr="00471048">
        <w:rPr>
          <w:rFonts w:ascii="Gadugi" w:hAnsi="Gadugi" w:cs="Arial"/>
          <w:sz w:val="24"/>
          <w:szCs w:val="24"/>
        </w:rPr>
        <w:t>, el 13 de noviembre de 2019 el ejecutado compareció al proceso</w:t>
      </w:r>
      <w:r w:rsidR="002D2ADB" w:rsidRPr="00471048">
        <w:rPr>
          <w:rStyle w:val="Refdenotaalpie"/>
          <w:rFonts w:ascii="Gadugi" w:hAnsi="Gadugi"/>
          <w:sz w:val="24"/>
          <w:szCs w:val="24"/>
        </w:rPr>
        <w:footnoteReference w:id="25"/>
      </w:r>
      <w:r w:rsidR="00977397" w:rsidRPr="00471048">
        <w:rPr>
          <w:rFonts w:ascii="Gadugi" w:hAnsi="Gadugi" w:cs="Arial"/>
          <w:sz w:val="24"/>
          <w:szCs w:val="24"/>
        </w:rPr>
        <w:t>, y el 28 de noviembre invocó la nulidad</w:t>
      </w:r>
      <w:r w:rsidR="002D2ADB" w:rsidRPr="00471048">
        <w:rPr>
          <w:rStyle w:val="Refdenotaalpie"/>
          <w:rFonts w:ascii="Gadugi" w:hAnsi="Gadugi"/>
          <w:sz w:val="24"/>
          <w:szCs w:val="24"/>
        </w:rPr>
        <w:footnoteReference w:id="26"/>
      </w:r>
      <w:r w:rsidR="00977397" w:rsidRPr="00471048">
        <w:rPr>
          <w:rFonts w:ascii="Gadugi" w:hAnsi="Gadugi" w:cs="Arial"/>
          <w:sz w:val="24"/>
          <w:szCs w:val="24"/>
        </w:rPr>
        <w:t xml:space="preserve">. </w:t>
      </w:r>
    </w:p>
    <w:p w14:paraId="3A0DF2F0" w14:textId="0BFC2BF0" w:rsidR="00977397" w:rsidRPr="00471048" w:rsidRDefault="00977397" w:rsidP="00471048">
      <w:pPr>
        <w:spacing w:line="276" w:lineRule="auto"/>
        <w:jc w:val="both"/>
        <w:rPr>
          <w:rFonts w:ascii="Gadugi" w:hAnsi="Gadugi" w:cs="Arial"/>
          <w:sz w:val="24"/>
          <w:szCs w:val="24"/>
        </w:rPr>
      </w:pPr>
    </w:p>
    <w:p w14:paraId="642E3BD6" w14:textId="4CBBBAA9" w:rsidR="00793657" w:rsidRPr="00471048" w:rsidRDefault="00793657"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t>De esa nulidad se corrió traslado al demandante, quien indicó que había intentado entregarle la citación al demandado en los predios en los que supuestamente residía, pero allí le informaron que él se había ido a vivir a Estados Unidos y que no sabían su dirección</w:t>
      </w:r>
      <w:r w:rsidRPr="00471048">
        <w:rPr>
          <w:rStyle w:val="Refdenotaalpie"/>
          <w:rFonts w:ascii="Gadugi" w:hAnsi="Gadugi"/>
          <w:sz w:val="24"/>
          <w:szCs w:val="24"/>
        </w:rPr>
        <w:footnoteReference w:id="27"/>
      </w:r>
      <w:r w:rsidRPr="00471048">
        <w:rPr>
          <w:rFonts w:ascii="Gadugi" w:hAnsi="Gadugi" w:cs="Arial"/>
          <w:sz w:val="24"/>
          <w:szCs w:val="24"/>
        </w:rPr>
        <w:t xml:space="preserve">; sin embargo, </w:t>
      </w:r>
      <w:r w:rsidRPr="00471048">
        <w:rPr>
          <w:rFonts w:ascii="Gadugi" w:hAnsi="Gadugi" w:cs="Arial"/>
          <w:sz w:val="24"/>
          <w:szCs w:val="24"/>
          <w:u w:val="single"/>
        </w:rPr>
        <w:t>de esa gestión no hay constancia en el expediente.</w:t>
      </w:r>
      <w:r w:rsidRPr="00471048">
        <w:rPr>
          <w:rFonts w:ascii="Gadugi" w:hAnsi="Gadugi" w:cs="Arial"/>
          <w:sz w:val="24"/>
          <w:szCs w:val="24"/>
        </w:rPr>
        <w:t xml:space="preserve">  </w:t>
      </w:r>
    </w:p>
    <w:p w14:paraId="297BC332" w14:textId="77777777" w:rsidR="00793657" w:rsidRPr="00471048" w:rsidRDefault="00793657" w:rsidP="00471048">
      <w:pPr>
        <w:spacing w:line="276" w:lineRule="auto"/>
        <w:jc w:val="both"/>
        <w:rPr>
          <w:rFonts w:ascii="Gadugi" w:hAnsi="Gadugi" w:cs="Arial"/>
          <w:sz w:val="24"/>
          <w:szCs w:val="24"/>
        </w:rPr>
      </w:pPr>
    </w:p>
    <w:p w14:paraId="0328F65F" w14:textId="5AE07503" w:rsidR="005C130D" w:rsidRPr="00471048" w:rsidRDefault="00D07D98" w:rsidP="00471048">
      <w:pPr>
        <w:pStyle w:val="Sinespaciado2"/>
        <w:spacing w:line="276" w:lineRule="auto"/>
        <w:ind w:firstLine="2835"/>
        <w:jc w:val="both"/>
        <w:rPr>
          <w:rFonts w:ascii="Gadugi" w:hAnsi="Gadugi" w:cs="Arial"/>
        </w:rPr>
      </w:pPr>
      <w:r w:rsidRPr="00471048">
        <w:rPr>
          <w:rFonts w:ascii="Gadugi" w:hAnsi="Gadugi" w:cs="Arial"/>
        </w:rPr>
        <w:lastRenderedPageBreak/>
        <w:t>(</w:t>
      </w:r>
      <w:r w:rsidR="00977397" w:rsidRPr="00471048">
        <w:rPr>
          <w:rFonts w:ascii="Gadugi" w:hAnsi="Gadugi" w:cs="Arial"/>
        </w:rPr>
        <w:t>i</w:t>
      </w:r>
      <w:r w:rsidRPr="00471048">
        <w:rPr>
          <w:rFonts w:ascii="Gadugi" w:hAnsi="Gadugi" w:cs="Arial"/>
        </w:rPr>
        <w:t>i) El juez de primera instancia, con proveído del 27</w:t>
      </w:r>
      <w:r w:rsidR="005C130D" w:rsidRPr="00471048">
        <w:rPr>
          <w:rFonts w:ascii="Gadugi" w:hAnsi="Gadugi" w:cs="Arial"/>
        </w:rPr>
        <w:t xml:space="preserve"> de octubre de </w:t>
      </w:r>
      <w:r w:rsidRPr="00471048">
        <w:rPr>
          <w:rFonts w:ascii="Gadugi" w:hAnsi="Gadugi" w:cs="Arial"/>
        </w:rPr>
        <w:t xml:space="preserve">2020, </w:t>
      </w:r>
      <w:r w:rsidR="005C130D" w:rsidRPr="00471048">
        <w:rPr>
          <w:rFonts w:ascii="Gadugi" w:hAnsi="Gadugi" w:cs="Arial"/>
        </w:rPr>
        <w:t>declaró la nulidad de lo actuado, a partir del 6 de marzo de 2014, esto es, desde el auto mediante el cual se ordenó el emplazamiento del señor Jason La Rosa</w:t>
      </w:r>
      <w:r w:rsidR="00BB7890" w:rsidRPr="00471048">
        <w:rPr>
          <w:rFonts w:ascii="Gadugi" w:hAnsi="Gadugi" w:cs="Arial"/>
        </w:rPr>
        <w:t>.</w:t>
      </w:r>
    </w:p>
    <w:p w14:paraId="06CE8F48" w14:textId="79A77096" w:rsidR="00BB7890" w:rsidRPr="00471048" w:rsidRDefault="00BB7890" w:rsidP="00471048">
      <w:pPr>
        <w:pStyle w:val="Sinespaciado2"/>
        <w:spacing w:line="276" w:lineRule="auto"/>
        <w:ind w:firstLine="2835"/>
        <w:jc w:val="both"/>
        <w:rPr>
          <w:rFonts w:ascii="Gadugi" w:hAnsi="Gadugi" w:cs="Arial"/>
        </w:rPr>
      </w:pPr>
    </w:p>
    <w:p w14:paraId="27971305" w14:textId="6FF5D0C6" w:rsidR="00BB7890" w:rsidRPr="00471048" w:rsidRDefault="00977397" w:rsidP="00471048">
      <w:pPr>
        <w:pStyle w:val="Sinespaciado2"/>
        <w:spacing w:line="276" w:lineRule="auto"/>
        <w:ind w:firstLine="2835"/>
        <w:jc w:val="both"/>
        <w:rPr>
          <w:rFonts w:ascii="Gadugi" w:hAnsi="Gadugi" w:cs="Arial"/>
        </w:rPr>
      </w:pPr>
      <w:r w:rsidRPr="00471048">
        <w:rPr>
          <w:rFonts w:ascii="Gadugi" w:hAnsi="Gadugi" w:cs="Arial"/>
        </w:rPr>
        <w:t>De lo explicado por el juez en esa audiencia, se</w:t>
      </w:r>
      <w:r w:rsidR="00BB7890" w:rsidRPr="00471048">
        <w:rPr>
          <w:rFonts w:ascii="Gadugi" w:hAnsi="Gadugi" w:cs="Arial"/>
        </w:rPr>
        <w:t xml:space="preserve"> destaca lo siguiente</w:t>
      </w:r>
      <w:r w:rsidR="002D2ADB" w:rsidRPr="00471048">
        <w:rPr>
          <w:rStyle w:val="Refdenotaalpie"/>
          <w:rFonts w:ascii="Gadugi" w:hAnsi="Gadugi"/>
        </w:rPr>
        <w:footnoteReference w:id="28"/>
      </w:r>
      <w:r w:rsidR="00BB7890" w:rsidRPr="00471048">
        <w:rPr>
          <w:rFonts w:ascii="Gadugi" w:hAnsi="Gadugi" w:cs="Arial"/>
        </w:rPr>
        <w:t>:</w:t>
      </w:r>
    </w:p>
    <w:p w14:paraId="1917009D" w14:textId="227F374B" w:rsidR="00BB7890" w:rsidRPr="00471048" w:rsidRDefault="00BB7890" w:rsidP="00471048">
      <w:pPr>
        <w:pStyle w:val="Sinespaciado2"/>
        <w:spacing w:line="276" w:lineRule="auto"/>
        <w:ind w:firstLine="2835"/>
        <w:jc w:val="both"/>
        <w:rPr>
          <w:rFonts w:ascii="Gadugi" w:hAnsi="Gadugi" w:cs="Arial"/>
        </w:rPr>
      </w:pPr>
    </w:p>
    <w:p w14:paraId="0578EAD4" w14:textId="0CAA247B" w:rsidR="00BB7890" w:rsidRPr="00471048" w:rsidRDefault="00BB7890" w:rsidP="00471048">
      <w:pPr>
        <w:pStyle w:val="Sinespaciado2"/>
        <w:spacing w:line="276" w:lineRule="auto"/>
        <w:ind w:firstLine="2835"/>
        <w:jc w:val="both"/>
        <w:rPr>
          <w:rFonts w:ascii="Gadugi" w:hAnsi="Gadugi" w:cs="Arial"/>
        </w:rPr>
      </w:pPr>
      <w:r w:rsidRPr="00471048">
        <w:rPr>
          <w:rFonts w:ascii="Gadugi" w:hAnsi="Gadugi" w:cs="Arial"/>
        </w:rPr>
        <w:t>a. Se estableció que el precepto aplicable, para cuando se debió realizar la notificación del demandante</w:t>
      </w:r>
      <w:r w:rsidR="00977397" w:rsidRPr="00471048">
        <w:rPr>
          <w:rFonts w:ascii="Gadugi" w:hAnsi="Gadugi" w:cs="Arial"/>
        </w:rPr>
        <w:t>,</w:t>
      </w:r>
      <w:r w:rsidRPr="00471048">
        <w:rPr>
          <w:rFonts w:ascii="Gadugi" w:hAnsi="Gadugi" w:cs="Arial"/>
        </w:rPr>
        <w:t xml:space="preserve"> en ese caso, era el artículo 315 del CPC.</w:t>
      </w:r>
    </w:p>
    <w:p w14:paraId="42B7C84D" w14:textId="12E171F4" w:rsidR="00BB7890" w:rsidRPr="00471048" w:rsidRDefault="00BB7890" w:rsidP="00471048">
      <w:pPr>
        <w:pStyle w:val="Sinespaciado2"/>
        <w:spacing w:line="276" w:lineRule="auto"/>
        <w:ind w:firstLine="2835"/>
        <w:jc w:val="both"/>
        <w:rPr>
          <w:rFonts w:ascii="Gadugi" w:hAnsi="Gadugi" w:cs="Arial"/>
        </w:rPr>
      </w:pPr>
    </w:p>
    <w:p w14:paraId="6DDD59CE" w14:textId="17EEBAE7" w:rsidR="00BB7890" w:rsidRPr="00471048" w:rsidRDefault="00BB7890" w:rsidP="00471048">
      <w:pPr>
        <w:pStyle w:val="Sinespaciado2"/>
        <w:spacing w:line="276" w:lineRule="auto"/>
        <w:ind w:firstLine="2835"/>
        <w:jc w:val="both"/>
        <w:rPr>
          <w:rFonts w:ascii="Gadugi" w:hAnsi="Gadugi" w:cs="Arial"/>
        </w:rPr>
      </w:pPr>
      <w:r w:rsidRPr="00471048">
        <w:rPr>
          <w:rFonts w:ascii="Gadugi" w:hAnsi="Gadugi" w:cs="Arial"/>
        </w:rPr>
        <w:t xml:space="preserve">b. El demandante al momento de presentar el libelo introductorio dio una dirección para notificar al señor Jasón la Rosa, esto es, una finca de su propiedad ubicada en la vereda Baldelomar de este municipio, </w:t>
      </w:r>
      <w:r w:rsidR="002D2ADB" w:rsidRPr="00471048">
        <w:rPr>
          <w:rFonts w:ascii="Gadugi" w:hAnsi="Gadugi" w:cs="Arial"/>
        </w:rPr>
        <w:t xml:space="preserve">y no solicitó al momento en que se </w:t>
      </w:r>
      <w:r w:rsidRPr="00471048">
        <w:rPr>
          <w:rFonts w:ascii="Gadugi" w:hAnsi="Gadugi" w:cs="Arial"/>
        </w:rPr>
        <w:t xml:space="preserve">inició </w:t>
      </w:r>
      <w:r w:rsidR="002D2ADB" w:rsidRPr="00471048">
        <w:rPr>
          <w:rFonts w:ascii="Gadugi" w:hAnsi="Gadugi" w:cs="Arial"/>
        </w:rPr>
        <w:t>el juicio</w:t>
      </w:r>
      <w:r w:rsidRPr="00471048">
        <w:rPr>
          <w:rFonts w:ascii="Gadugi" w:hAnsi="Gadugi" w:cs="Arial"/>
        </w:rPr>
        <w:t>, que el ejecutado fuera emplazado.</w:t>
      </w:r>
    </w:p>
    <w:p w14:paraId="4618286E" w14:textId="27D3EB5D" w:rsidR="00BB7890" w:rsidRPr="00471048" w:rsidRDefault="00BB7890" w:rsidP="00471048">
      <w:pPr>
        <w:pStyle w:val="Sinespaciado2"/>
        <w:spacing w:line="276" w:lineRule="auto"/>
        <w:ind w:firstLine="2835"/>
        <w:jc w:val="both"/>
        <w:rPr>
          <w:rFonts w:ascii="Gadugi" w:hAnsi="Gadugi" w:cs="Arial"/>
        </w:rPr>
      </w:pPr>
    </w:p>
    <w:p w14:paraId="07F91BBE" w14:textId="3A0C4300" w:rsidR="00BB7890" w:rsidRPr="00471048" w:rsidRDefault="00BB7890" w:rsidP="00471048">
      <w:pPr>
        <w:pStyle w:val="Sinespaciado2"/>
        <w:spacing w:line="276" w:lineRule="auto"/>
        <w:ind w:firstLine="2835"/>
        <w:jc w:val="both"/>
        <w:rPr>
          <w:rFonts w:ascii="Gadugi" w:hAnsi="Gadugi" w:cs="Arial"/>
        </w:rPr>
      </w:pPr>
      <w:r w:rsidRPr="00471048">
        <w:rPr>
          <w:rFonts w:ascii="Gadugi" w:hAnsi="Gadugi" w:cs="Arial"/>
        </w:rPr>
        <w:t xml:space="preserve">c. En aplicación del artículo 315 citado, debió haber enviado directamente, o por intermedio de la Secretaría </w:t>
      </w:r>
      <w:r w:rsidR="002D2ADB" w:rsidRPr="00471048">
        <w:rPr>
          <w:rFonts w:ascii="Gadugi" w:hAnsi="Gadugi" w:cs="Arial"/>
        </w:rPr>
        <w:t>del</w:t>
      </w:r>
      <w:r w:rsidRPr="00471048">
        <w:rPr>
          <w:rFonts w:ascii="Gadugi" w:hAnsi="Gadugi" w:cs="Arial"/>
        </w:rPr>
        <w:t xml:space="preserve"> despacho, una comunicación por medio de servicio postal autorizado por el Ministerio de Comunicaciones a </w:t>
      </w:r>
      <w:r w:rsidR="002D2ADB" w:rsidRPr="00471048">
        <w:rPr>
          <w:rFonts w:ascii="Gadugi" w:hAnsi="Gadugi" w:cs="Arial"/>
        </w:rPr>
        <w:t>esa</w:t>
      </w:r>
      <w:r w:rsidRPr="00471048">
        <w:rPr>
          <w:rFonts w:ascii="Gadugi" w:hAnsi="Gadugi" w:cs="Arial"/>
        </w:rPr>
        <w:t xml:space="preserve"> finca, en la que le informara al demandado sobre la existencia del proceso, ello porque el demandado residía, según la demanda, en </w:t>
      </w:r>
      <w:r w:rsidR="002D2ADB" w:rsidRPr="00471048">
        <w:rPr>
          <w:rFonts w:ascii="Gadugi" w:hAnsi="Gadugi" w:cs="Arial"/>
        </w:rPr>
        <w:t>ese</w:t>
      </w:r>
      <w:r w:rsidRPr="00471048">
        <w:rPr>
          <w:rFonts w:ascii="Gadugi" w:hAnsi="Gadugi" w:cs="Arial"/>
        </w:rPr>
        <w:t xml:space="preserve"> municipio. </w:t>
      </w:r>
    </w:p>
    <w:p w14:paraId="5B01587C" w14:textId="77777777" w:rsidR="00BB7890" w:rsidRPr="00471048" w:rsidRDefault="00BB7890" w:rsidP="00471048">
      <w:pPr>
        <w:pStyle w:val="Sinespaciado2"/>
        <w:spacing w:line="276" w:lineRule="auto"/>
        <w:ind w:firstLine="2835"/>
        <w:jc w:val="both"/>
        <w:rPr>
          <w:rFonts w:ascii="Gadugi" w:hAnsi="Gadugi" w:cs="Arial"/>
        </w:rPr>
      </w:pPr>
    </w:p>
    <w:p w14:paraId="0495C1E5" w14:textId="54C6DF5A" w:rsidR="00BB7890" w:rsidRPr="00471048" w:rsidRDefault="00BB7890" w:rsidP="00471048">
      <w:pPr>
        <w:pStyle w:val="Sinespaciado2"/>
        <w:spacing w:line="276" w:lineRule="auto"/>
        <w:ind w:firstLine="2835"/>
        <w:jc w:val="both"/>
        <w:rPr>
          <w:rFonts w:ascii="Gadugi" w:hAnsi="Gadugi" w:cs="Arial"/>
        </w:rPr>
      </w:pPr>
      <w:r w:rsidRPr="00471048">
        <w:rPr>
          <w:rFonts w:ascii="Gadugi" w:hAnsi="Gadugi" w:cs="Arial"/>
        </w:rPr>
        <w:t xml:space="preserve">d. </w:t>
      </w:r>
      <w:r w:rsidR="002D2ADB" w:rsidRPr="00471048">
        <w:rPr>
          <w:rFonts w:ascii="Gadugi" w:hAnsi="Gadugi" w:cs="Arial"/>
        </w:rPr>
        <w:t>Dio</w:t>
      </w:r>
      <w:r w:rsidRPr="00471048">
        <w:rPr>
          <w:rFonts w:ascii="Gadugi" w:hAnsi="Gadugi" w:cs="Arial"/>
        </w:rPr>
        <w:t xml:space="preserve"> a entender la parte </w:t>
      </w:r>
      <w:r w:rsidR="00204D6E" w:rsidRPr="00471048">
        <w:rPr>
          <w:rFonts w:ascii="Gadugi" w:hAnsi="Gadugi" w:cs="Arial"/>
        </w:rPr>
        <w:t xml:space="preserve">ejecutante que pidió el emplazamiento del señor Jason la Rosa, porque una de las arrendatarias que vivía en el predio del demandado, informó que él no residía en la finca, pues se encontraba en su país de origen, es decir, en Estados Unidos, sin embargo, no </w:t>
      </w:r>
      <w:r w:rsidR="002D2ADB" w:rsidRPr="00471048">
        <w:rPr>
          <w:rFonts w:ascii="Gadugi" w:hAnsi="Gadugi" w:cs="Arial"/>
        </w:rPr>
        <w:t>comulgó el juez con esa actuación,</w:t>
      </w:r>
      <w:r w:rsidR="00204D6E" w:rsidRPr="00471048">
        <w:rPr>
          <w:rFonts w:ascii="Gadugi" w:hAnsi="Gadugi" w:cs="Arial"/>
        </w:rPr>
        <w:t xml:space="preserve"> pues no podía ser el mismo demandante quien hiciera esa manifestación, </w:t>
      </w:r>
      <w:r w:rsidR="002D2ADB" w:rsidRPr="00471048">
        <w:rPr>
          <w:rFonts w:ascii="Gadugi" w:hAnsi="Gadugi" w:cs="Arial"/>
        </w:rPr>
        <w:t>dándose</w:t>
      </w:r>
      <w:r w:rsidR="00204D6E" w:rsidRPr="00471048">
        <w:rPr>
          <w:rFonts w:ascii="Gadugi" w:hAnsi="Gadugi" w:cs="Arial"/>
        </w:rPr>
        <w:t xml:space="preserve"> su propia prueba, sino que debía ser la empresa de correspondencia, la que luego de procurar entregar la comunicación en esa finca, indicara las razones por las cuales no pudo hacerlo. </w:t>
      </w:r>
    </w:p>
    <w:p w14:paraId="1CDF46E3" w14:textId="3CAF2617" w:rsidR="00204D6E" w:rsidRPr="00471048" w:rsidRDefault="00204D6E" w:rsidP="00471048">
      <w:pPr>
        <w:pStyle w:val="Sinespaciado2"/>
        <w:spacing w:line="276" w:lineRule="auto"/>
        <w:ind w:firstLine="2835"/>
        <w:jc w:val="both"/>
        <w:rPr>
          <w:rFonts w:ascii="Gadugi" w:hAnsi="Gadugi" w:cs="Arial"/>
        </w:rPr>
      </w:pPr>
    </w:p>
    <w:p w14:paraId="26551FF7" w14:textId="54ABE0B7" w:rsidR="00204D6E" w:rsidRPr="00471048" w:rsidRDefault="00204D6E" w:rsidP="00471048">
      <w:pPr>
        <w:pStyle w:val="Sinespaciado2"/>
        <w:spacing w:line="276" w:lineRule="auto"/>
        <w:ind w:firstLine="2835"/>
        <w:jc w:val="both"/>
        <w:rPr>
          <w:rFonts w:ascii="Gadugi" w:hAnsi="Gadugi" w:cs="Arial"/>
        </w:rPr>
      </w:pPr>
      <w:r w:rsidRPr="00471048">
        <w:rPr>
          <w:rFonts w:ascii="Gadugi" w:hAnsi="Gadugi" w:cs="Arial"/>
        </w:rPr>
        <w:t xml:space="preserve">e. Por otra parte, si para cuando se procuró la notificación, el demandante descubrió que el demandado vivía en Estados Unidos, debió </w:t>
      </w:r>
      <w:r w:rsidR="002D2ADB" w:rsidRPr="00471048">
        <w:rPr>
          <w:rFonts w:ascii="Gadugi" w:hAnsi="Gadugi" w:cs="Arial"/>
        </w:rPr>
        <w:t xml:space="preserve">intentar </w:t>
      </w:r>
      <w:r w:rsidRPr="00471048">
        <w:rPr>
          <w:rFonts w:ascii="Gadugi" w:hAnsi="Gadugi" w:cs="Arial"/>
        </w:rPr>
        <w:t>encontrar su dirección en el lugar que se encontraba</w:t>
      </w:r>
      <w:r w:rsidR="00A567A9" w:rsidRPr="00471048">
        <w:rPr>
          <w:rFonts w:ascii="Gadugi" w:hAnsi="Gadugi" w:cs="Arial"/>
        </w:rPr>
        <w:t xml:space="preserve">, dándole </w:t>
      </w:r>
      <w:r w:rsidRPr="00471048">
        <w:rPr>
          <w:rFonts w:ascii="Gadugi" w:hAnsi="Gadugi" w:cs="Arial"/>
        </w:rPr>
        <w:t xml:space="preserve">cumplimiento </w:t>
      </w:r>
      <w:r w:rsidR="00A567A9" w:rsidRPr="00471048">
        <w:rPr>
          <w:rFonts w:ascii="Gadugi" w:hAnsi="Gadugi" w:cs="Arial"/>
        </w:rPr>
        <w:t>a</w:t>
      </w:r>
      <w:r w:rsidRPr="00471048">
        <w:rPr>
          <w:rFonts w:ascii="Gadugi" w:hAnsi="Gadugi" w:cs="Arial"/>
        </w:rPr>
        <w:t>l numeral 1° del artículo 315 del CPC</w:t>
      </w:r>
      <w:r w:rsidR="00A567A9" w:rsidRPr="00471048">
        <w:rPr>
          <w:rFonts w:ascii="Gadugi" w:hAnsi="Gadugi" w:cs="Arial"/>
        </w:rPr>
        <w:t xml:space="preserve">, en </w:t>
      </w:r>
      <w:r w:rsidR="002D2ADB" w:rsidRPr="00471048">
        <w:rPr>
          <w:rFonts w:ascii="Gadugi" w:hAnsi="Gadugi" w:cs="Arial"/>
        </w:rPr>
        <w:t xml:space="preserve">el </w:t>
      </w:r>
      <w:r w:rsidR="00A567A9" w:rsidRPr="00471048">
        <w:rPr>
          <w:rFonts w:ascii="Gadugi" w:hAnsi="Gadugi" w:cs="Arial"/>
        </w:rPr>
        <w:t>sentido de indicarle que debía comparecer al proceso en el lapso de 30 días por encontrarse en el exterior</w:t>
      </w:r>
      <w:r w:rsidR="00C076A0" w:rsidRPr="00471048">
        <w:rPr>
          <w:rFonts w:ascii="Gadugi" w:hAnsi="Gadugi" w:cs="Arial"/>
        </w:rPr>
        <w:t xml:space="preserve">; y en el expediente no obra memorial en el que se indique que el demandante procuró conseguir la dirección del demandado en el extranjero; quiere decir que la parte actora no cumplió con la práctica de la notificación personal establecida en esa norma, vigente, para cuando se imploró el emplazamiento. </w:t>
      </w:r>
    </w:p>
    <w:p w14:paraId="0DE58C3B" w14:textId="28759080" w:rsidR="00C076A0" w:rsidRPr="00471048" w:rsidRDefault="00C076A0" w:rsidP="00471048">
      <w:pPr>
        <w:pStyle w:val="Sinespaciado2"/>
        <w:spacing w:line="276" w:lineRule="auto"/>
        <w:ind w:firstLine="2835"/>
        <w:jc w:val="both"/>
        <w:rPr>
          <w:rFonts w:ascii="Gadugi" w:hAnsi="Gadugi" w:cs="Arial"/>
        </w:rPr>
      </w:pPr>
    </w:p>
    <w:p w14:paraId="78BF6779" w14:textId="719D787D" w:rsidR="004006B3" w:rsidRPr="00471048" w:rsidRDefault="00C076A0" w:rsidP="00471048">
      <w:pPr>
        <w:pStyle w:val="Sinespaciado2"/>
        <w:spacing w:line="276" w:lineRule="auto"/>
        <w:ind w:firstLine="2835"/>
        <w:jc w:val="both"/>
        <w:rPr>
          <w:rFonts w:ascii="Gadugi" w:hAnsi="Gadugi" w:cs="Arial"/>
        </w:rPr>
      </w:pPr>
      <w:r w:rsidRPr="00471048">
        <w:rPr>
          <w:rFonts w:ascii="Gadugi" w:hAnsi="Gadugi" w:cs="Arial"/>
        </w:rPr>
        <w:lastRenderedPageBreak/>
        <w:t xml:space="preserve">f. </w:t>
      </w:r>
      <w:r w:rsidR="002D2ADB" w:rsidRPr="00471048">
        <w:rPr>
          <w:rFonts w:ascii="Gadugi" w:hAnsi="Gadugi" w:cs="Arial"/>
        </w:rPr>
        <w:t>Encontró probada la nulidad consagrada en el</w:t>
      </w:r>
      <w:r w:rsidRPr="00471048">
        <w:rPr>
          <w:rFonts w:ascii="Gadugi" w:hAnsi="Gadugi" w:cs="Arial"/>
        </w:rPr>
        <w:t xml:space="preserve"> numeral 8° del artículo 140 del CPC</w:t>
      </w:r>
      <w:r w:rsidR="002D2ADB" w:rsidRPr="00471048">
        <w:rPr>
          <w:rFonts w:ascii="Gadugi" w:hAnsi="Gadugi" w:cs="Arial"/>
        </w:rPr>
        <w:t>,</w:t>
      </w:r>
      <w:r w:rsidR="004006B3" w:rsidRPr="00471048">
        <w:rPr>
          <w:rFonts w:ascii="Gadugi" w:hAnsi="Gadugi" w:cs="Arial"/>
        </w:rPr>
        <w:t xml:space="preserve"> por cuanto se debió procurar la notificación al demandado </w:t>
      </w:r>
      <w:r w:rsidR="00291947" w:rsidRPr="00471048">
        <w:rPr>
          <w:rFonts w:ascii="Gadugi" w:hAnsi="Gadugi" w:cs="Arial"/>
        </w:rPr>
        <w:t xml:space="preserve">del auto </w:t>
      </w:r>
      <w:r w:rsidR="004006B3" w:rsidRPr="00471048">
        <w:rPr>
          <w:rFonts w:ascii="Gadugi" w:hAnsi="Gadugi" w:cs="Arial"/>
        </w:rPr>
        <w:t>que libró mandamiento de pago en el lugar indicado inicialmente en la demanda,</w:t>
      </w:r>
      <w:r w:rsidR="007E61E3" w:rsidRPr="00471048">
        <w:rPr>
          <w:rFonts w:ascii="Gadugi" w:hAnsi="Gadugi" w:cs="Arial"/>
        </w:rPr>
        <w:t xml:space="preserve"> sin</w:t>
      </w:r>
      <w:r w:rsidR="004006B3" w:rsidRPr="00471048">
        <w:rPr>
          <w:rFonts w:ascii="Gadugi" w:hAnsi="Gadugi" w:cs="Arial"/>
        </w:rPr>
        <w:t xml:space="preserve"> </w:t>
      </w:r>
      <w:r w:rsidR="002D2ADB" w:rsidRPr="00471048">
        <w:rPr>
          <w:rFonts w:ascii="Gadugi" w:hAnsi="Gadugi" w:cs="Arial"/>
        </w:rPr>
        <w:t>lugar al emplazamiento impetrado por el demandante; en consecuencia</w:t>
      </w:r>
      <w:r w:rsidR="007E61E3" w:rsidRPr="00471048">
        <w:rPr>
          <w:rFonts w:ascii="Gadugi" w:hAnsi="Gadugi" w:cs="Arial"/>
        </w:rPr>
        <w:t>,</w:t>
      </w:r>
      <w:r w:rsidR="002D2ADB" w:rsidRPr="00471048">
        <w:rPr>
          <w:rFonts w:ascii="Gadugi" w:hAnsi="Gadugi" w:cs="Arial"/>
        </w:rPr>
        <w:t xml:space="preserve"> se declaró la nulidad del trámite</w:t>
      </w:r>
      <w:r w:rsidR="004006B3" w:rsidRPr="00471048">
        <w:rPr>
          <w:rFonts w:ascii="Gadugi" w:hAnsi="Gadugi" w:cs="Arial"/>
        </w:rPr>
        <w:t>, a partir</w:t>
      </w:r>
      <w:r w:rsidR="002D2ADB" w:rsidRPr="00471048">
        <w:rPr>
          <w:rFonts w:ascii="Gadugi" w:hAnsi="Gadugi" w:cs="Arial"/>
        </w:rPr>
        <w:t>,</w:t>
      </w:r>
      <w:r w:rsidR="004006B3" w:rsidRPr="00471048">
        <w:rPr>
          <w:rFonts w:ascii="Gadugi" w:hAnsi="Gadugi" w:cs="Arial"/>
        </w:rPr>
        <w:t xml:space="preserve"> inclusive</w:t>
      </w:r>
      <w:r w:rsidR="002D2ADB" w:rsidRPr="00471048">
        <w:rPr>
          <w:rFonts w:ascii="Gadugi" w:hAnsi="Gadugi" w:cs="Arial"/>
        </w:rPr>
        <w:t>,</w:t>
      </w:r>
      <w:r w:rsidR="004006B3" w:rsidRPr="00471048">
        <w:rPr>
          <w:rFonts w:ascii="Gadugi" w:hAnsi="Gadugi" w:cs="Arial"/>
        </w:rPr>
        <w:t xml:space="preserve"> del auto </w:t>
      </w:r>
      <w:r w:rsidR="002D2ADB" w:rsidRPr="00471048">
        <w:rPr>
          <w:rFonts w:ascii="Gadugi" w:hAnsi="Gadugi" w:cs="Arial"/>
        </w:rPr>
        <w:t>del</w:t>
      </w:r>
      <w:r w:rsidR="004006B3" w:rsidRPr="00471048">
        <w:rPr>
          <w:rFonts w:ascii="Gadugi" w:hAnsi="Gadugi" w:cs="Arial"/>
        </w:rPr>
        <w:t xml:space="preserve"> 6 de marzo de 2014, por medio del cual se ordenó el aplazamiento del demandado, </w:t>
      </w:r>
      <w:r w:rsidR="002D2ADB" w:rsidRPr="00471048">
        <w:rPr>
          <w:rFonts w:ascii="Gadugi" w:hAnsi="Gadugi" w:cs="Arial"/>
        </w:rPr>
        <w:t>y entonces</w:t>
      </w:r>
      <w:r w:rsidR="004006B3" w:rsidRPr="00471048">
        <w:rPr>
          <w:rFonts w:ascii="Gadugi" w:hAnsi="Gadugi" w:cs="Arial"/>
        </w:rPr>
        <w:t>, se ordenó que la notificación del mandamiento de pago</w:t>
      </w:r>
      <w:r w:rsidR="002D2ADB" w:rsidRPr="00471048">
        <w:rPr>
          <w:rFonts w:ascii="Gadugi" w:hAnsi="Gadugi" w:cs="Arial"/>
        </w:rPr>
        <w:t>,</w:t>
      </w:r>
      <w:r w:rsidR="004006B3" w:rsidRPr="00471048">
        <w:rPr>
          <w:rFonts w:ascii="Gadugi" w:hAnsi="Gadugi" w:cs="Arial"/>
        </w:rPr>
        <w:t xml:space="preserve"> surtiera efectos desde </w:t>
      </w:r>
      <w:r w:rsidR="002D2ADB" w:rsidRPr="00471048">
        <w:rPr>
          <w:rFonts w:ascii="Gadugi" w:hAnsi="Gadugi" w:cs="Arial"/>
        </w:rPr>
        <w:t>el día 28 de octubre de 20</w:t>
      </w:r>
      <w:r w:rsidR="00793657" w:rsidRPr="00471048">
        <w:rPr>
          <w:rFonts w:ascii="Gadugi" w:hAnsi="Gadugi" w:cs="Arial"/>
        </w:rPr>
        <w:t>20</w:t>
      </w:r>
      <w:r w:rsidR="002D2ADB" w:rsidRPr="00471048">
        <w:rPr>
          <w:rFonts w:ascii="Gadugi" w:hAnsi="Gadugi" w:cs="Arial"/>
        </w:rPr>
        <w:t>.</w:t>
      </w:r>
      <w:r w:rsidR="004006B3" w:rsidRPr="00471048">
        <w:rPr>
          <w:rFonts w:ascii="Gadugi" w:hAnsi="Gadugi" w:cs="Arial"/>
        </w:rPr>
        <w:t xml:space="preserve"> </w:t>
      </w:r>
    </w:p>
    <w:p w14:paraId="579C0739" w14:textId="17CE05E1" w:rsidR="004006B3" w:rsidRPr="00471048" w:rsidRDefault="004006B3" w:rsidP="00471048">
      <w:pPr>
        <w:pStyle w:val="Sinespaciado2"/>
        <w:spacing w:line="276" w:lineRule="auto"/>
        <w:ind w:firstLine="2835"/>
        <w:jc w:val="both"/>
        <w:rPr>
          <w:rFonts w:ascii="Gadugi" w:hAnsi="Gadugi" w:cs="Arial"/>
        </w:rPr>
      </w:pPr>
    </w:p>
    <w:p w14:paraId="55C438FE" w14:textId="4E89A8CA" w:rsidR="004006B3" w:rsidRPr="00471048" w:rsidRDefault="004006B3" w:rsidP="00471048">
      <w:pPr>
        <w:pStyle w:val="Sinespaciado2"/>
        <w:spacing w:line="276" w:lineRule="auto"/>
        <w:ind w:firstLine="2835"/>
        <w:jc w:val="both"/>
        <w:rPr>
          <w:rFonts w:ascii="Gadugi" w:hAnsi="Gadugi" w:cs="Arial"/>
        </w:rPr>
      </w:pPr>
      <w:r w:rsidRPr="00471048">
        <w:rPr>
          <w:rFonts w:ascii="Gadugi" w:hAnsi="Gadugi" w:cs="Arial"/>
        </w:rPr>
        <w:t xml:space="preserve">e. Se consideró así mismo que las pruebas practicadas, por orden del superior, eran innecesarias para resolver la nulidad, pues se trataba de resolver un punto objetivo, esto es, determinar si el demandante le había dado o no cumplimiento al artículo 315 del CPC, es así que, </w:t>
      </w:r>
      <w:r w:rsidRPr="00471048">
        <w:rPr>
          <w:rFonts w:ascii="Gadugi" w:hAnsi="Gadugi" w:cs="Arial"/>
          <w:i/>
        </w:rPr>
        <w:t>“</w:t>
      </w:r>
      <w:r w:rsidRPr="00504428">
        <w:rPr>
          <w:rFonts w:ascii="Gadugi" w:hAnsi="Gadugi" w:cs="Arial"/>
          <w:i/>
          <w:sz w:val="22"/>
        </w:rPr>
        <w:t xml:space="preserve">Los testimonios enfocados a determinar si el demandado si tenía o no su residencia en la finca, o de que el demandante si entregó la citación por escrito a alguna persona en ese lugar, o que procuró conseguir la dirección en el exterior para notificarlo, son aspectos de los cuales, más allá de ser ciertos o no, </w:t>
      </w:r>
      <w:r w:rsidR="00B901AB" w:rsidRPr="00504428">
        <w:rPr>
          <w:rFonts w:ascii="Gadugi" w:hAnsi="Gadugi" w:cs="Arial"/>
          <w:i/>
          <w:sz w:val="22"/>
        </w:rPr>
        <w:t xml:space="preserve">lo importante es que no existe prueba en expediente de esas diligencias, y que, como se resalara en esta decisión no se dio cumplimiento por parte del actor al artículo 315 del CPC, y como consecuencia, tampoco era aplicable el precepto 318 </w:t>
      </w:r>
      <w:r w:rsidR="00A20D52" w:rsidRPr="00504428">
        <w:rPr>
          <w:rFonts w:ascii="Gadugi" w:hAnsi="Gadugi" w:cs="Arial"/>
          <w:i/>
          <w:sz w:val="22"/>
        </w:rPr>
        <w:t>ibidem</w:t>
      </w:r>
      <w:r w:rsidR="00B901AB" w:rsidRPr="00471048">
        <w:rPr>
          <w:rFonts w:ascii="Gadugi" w:hAnsi="Gadugi" w:cs="Arial"/>
          <w:i/>
        </w:rPr>
        <w:t>.”</w:t>
      </w:r>
    </w:p>
    <w:p w14:paraId="530BFD7A" w14:textId="37C15D37" w:rsidR="005C130D" w:rsidRPr="00471048" w:rsidRDefault="004006B3" w:rsidP="00471048">
      <w:pPr>
        <w:pStyle w:val="Sinespaciado2"/>
        <w:spacing w:line="276" w:lineRule="auto"/>
        <w:ind w:firstLine="2835"/>
        <w:jc w:val="both"/>
        <w:rPr>
          <w:rFonts w:ascii="Gadugi" w:hAnsi="Gadugi" w:cs="Arial"/>
        </w:rPr>
      </w:pPr>
      <w:r w:rsidRPr="00471048">
        <w:rPr>
          <w:rFonts w:ascii="Gadugi" w:hAnsi="Gadugi" w:cs="Arial"/>
        </w:rPr>
        <w:t xml:space="preserve"> </w:t>
      </w:r>
    </w:p>
    <w:p w14:paraId="407C03CA" w14:textId="10A34F91" w:rsidR="00B45CD9" w:rsidRPr="00471048" w:rsidRDefault="00D07D98" w:rsidP="00471048">
      <w:pPr>
        <w:pStyle w:val="Sinespaciado1"/>
        <w:spacing w:line="276" w:lineRule="auto"/>
        <w:ind w:firstLine="2832"/>
        <w:jc w:val="both"/>
        <w:rPr>
          <w:rFonts w:ascii="Gadugi" w:hAnsi="Gadugi" w:cs="Arial"/>
        </w:rPr>
      </w:pPr>
      <w:r w:rsidRPr="00471048">
        <w:rPr>
          <w:rFonts w:ascii="Gadugi" w:hAnsi="Gadugi" w:cs="Arial"/>
        </w:rPr>
        <w:t>(i</w:t>
      </w:r>
      <w:r w:rsidR="00977397" w:rsidRPr="00471048">
        <w:rPr>
          <w:rFonts w:ascii="Gadugi" w:hAnsi="Gadugi" w:cs="Arial"/>
        </w:rPr>
        <w:t>i</w:t>
      </w:r>
      <w:r w:rsidRPr="00471048">
        <w:rPr>
          <w:rFonts w:ascii="Gadugi" w:hAnsi="Gadugi" w:cs="Arial"/>
        </w:rPr>
        <w:t xml:space="preserve">i) </w:t>
      </w:r>
      <w:r w:rsidR="00A20D52" w:rsidRPr="00471048">
        <w:rPr>
          <w:rFonts w:ascii="Gadugi" w:hAnsi="Gadugi" w:cs="Arial"/>
        </w:rPr>
        <w:t>Esa decisión fue apelada por las parte</w:t>
      </w:r>
      <w:r w:rsidR="00422172" w:rsidRPr="00471048">
        <w:rPr>
          <w:rFonts w:ascii="Gadugi" w:hAnsi="Gadugi" w:cs="Arial"/>
        </w:rPr>
        <w:t>s,</w:t>
      </w:r>
      <w:r w:rsidR="00A20D52" w:rsidRPr="00471048">
        <w:rPr>
          <w:rFonts w:ascii="Gadugi" w:hAnsi="Gadugi" w:cs="Arial"/>
        </w:rPr>
        <w:t xml:space="preserve"> pero confirmada íntegramente con auto del 20 de noviembre de 2020</w:t>
      </w:r>
      <w:r w:rsidR="00422172" w:rsidRPr="00471048">
        <w:rPr>
          <w:rFonts w:ascii="Gadugi" w:hAnsi="Gadugi" w:cs="Arial"/>
        </w:rPr>
        <w:t xml:space="preserve">, de ese proveído debe </w:t>
      </w:r>
      <w:r w:rsidR="00B45CD9" w:rsidRPr="00471048">
        <w:rPr>
          <w:rFonts w:ascii="Gadugi" w:hAnsi="Gadugi" w:cs="Arial"/>
        </w:rPr>
        <w:t>resaltarse lo siguiente</w:t>
      </w:r>
      <w:r w:rsidR="00793657" w:rsidRPr="00471048">
        <w:rPr>
          <w:rStyle w:val="Refdenotaalpie"/>
          <w:rFonts w:ascii="Gadugi" w:hAnsi="Gadugi"/>
        </w:rPr>
        <w:footnoteReference w:id="29"/>
      </w:r>
      <w:r w:rsidR="00B45CD9" w:rsidRPr="00471048">
        <w:rPr>
          <w:rFonts w:ascii="Gadugi" w:hAnsi="Gadugi" w:cs="Arial"/>
        </w:rPr>
        <w:t xml:space="preserve">: </w:t>
      </w:r>
    </w:p>
    <w:p w14:paraId="4A2BDA31" w14:textId="77777777" w:rsidR="00B45CD9" w:rsidRPr="00471048" w:rsidRDefault="00B45CD9" w:rsidP="00471048">
      <w:pPr>
        <w:pStyle w:val="Sinespaciado1"/>
        <w:spacing w:line="276" w:lineRule="auto"/>
        <w:ind w:firstLine="2832"/>
        <w:jc w:val="both"/>
        <w:rPr>
          <w:rFonts w:ascii="Gadugi" w:hAnsi="Gadugi" w:cs="Arial"/>
        </w:rPr>
      </w:pPr>
    </w:p>
    <w:p w14:paraId="0443C0B3" w14:textId="3C02BDCA" w:rsidR="00B45CD9" w:rsidRPr="00DE51F4" w:rsidRDefault="00B45CD9" w:rsidP="00DE51F4">
      <w:pPr>
        <w:pStyle w:val="Sinespaciado1"/>
        <w:ind w:left="426" w:right="420" w:firstLine="2268"/>
        <w:jc w:val="both"/>
        <w:rPr>
          <w:rFonts w:ascii="Gadugi" w:hAnsi="Gadugi" w:cs="Arial"/>
          <w:b/>
          <w:sz w:val="22"/>
        </w:rPr>
      </w:pPr>
      <w:r w:rsidRPr="00DE51F4">
        <w:rPr>
          <w:rFonts w:ascii="Gadugi" w:hAnsi="Gadugi" w:cs="Arial"/>
          <w:sz w:val="22"/>
        </w:rPr>
        <w:t xml:space="preserve">“No es caprichosa la ritualidad que trae la norma de la notificación personal, pues tanto en la codificación anterior como en la actual </w:t>
      </w:r>
      <w:r w:rsidRPr="00DE51F4">
        <w:rPr>
          <w:rFonts w:ascii="Gadugi" w:hAnsi="Gadugi" w:cs="Arial"/>
          <w:b/>
          <w:sz w:val="22"/>
        </w:rPr>
        <w:t>se dispone ciertas reglas a fin de obtener la comparecencia del demandado.</w:t>
      </w:r>
    </w:p>
    <w:p w14:paraId="757FF215" w14:textId="4876F981" w:rsidR="00B45CD9" w:rsidRPr="00DE51F4" w:rsidRDefault="00B45CD9" w:rsidP="00DE51F4">
      <w:pPr>
        <w:pStyle w:val="Sinespaciado1"/>
        <w:ind w:left="426" w:right="420" w:firstLine="2268"/>
        <w:jc w:val="both"/>
        <w:rPr>
          <w:rFonts w:ascii="Gadugi" w:hAnsi="Gadugi" w:cs="Arial"/>
          <w:sz w:val="22"/>
        </w:rPr>
      </w:pPr>
    </w:p>
    <w:p w14:paraId="6FD7C6D0" w14:textId="3CF3AA88" w:rsidR="00B45CD9" w:rsidRPr="00DE51F4" w:rsidRDefault="00B45CD9" w:rsidP="00DE51F4">
      <w:pPr>
        <w:pStyle w:val="Sinespaciado1"/>
        <w:ind w:left="426" w:right="420" w:firstLine="2268"/>
        <w:jc w:val="both"/>
        <w:rPr>
          <w:rFonts w:ascii="Gadugi" w:hAnsi="Gadugi" w:cs="Arial"/>
          <w:sz w:val="22"/>
        </w:rPr>
      </w:pPr>
      <w:r w:rsidRPr="00DE51F4">
        <w:rPr>
          <w:rFonts w:ascii="Gadugi" w:hAnsi="Gadugi" w:cs="Arial"/>
          <w:sz w:val="22"/>
        </w:rPr>
        <w:t>No es como el recurrente dice, que el juzgado está exigiendo requisitos que la norma no dice, por el contrario el legislador ha indicado como debe surtirse la notificación, incluso en el parágrafo 2 del numeral 6 del artículo 291 del C.G.P., dispone que el interesado podrá solicitar al juez que se oficie a determinadas entidades públicas o privadas que cuenten con bases de datos para que suministren la información que sirva para localizar al demandado.</w:t>
      </w:r>
    </w:p>
    <w:p w14:paraId="6AE1F6E0" w14:textId="77777777" w:rsidR="00B45CD9" w:rsidRPr="00DE51F4" w:rsidRDefault="00B45CD9" w:rsidP="00DE51F4">
      <w:pPr>
        <w:pStyle w:val="Sinespaciado1"/>
        <w:ind w:left="426" w:right="420" w:firstLine="2268"/>
        <w:jc w:val="both"/>
        <w:rPr>
          <w:rFonts w:ascii="Gadugi" w:hAnsi="Gadugi" w:cs="Arial"/>
          <w:sz w:val="22"/>
        </w:rPr>
      </w:pPr>
    </w:p>
    <w:p w14:paraId="5C5C1220" w14:textId="1109A48B" w:rsidR="00B45CD9" w:rsidRPr="00DE51F4" w:rsidRDefault="00B45CD9" w:rsidP="00DE51F4">
      <w:pPr>
        <w:pStyle w:val="Sinespaciado1"/>
        <w:ind w:left="426" w:right="420" w:firstLine="2268"/>
        <w:jc w:val="both"/>
        <w:rPr>
          <w:rFonts w:ascii="Gadugi" w:hAnsi="Gadugi" w:cs="Arial"/>
          <w:b/>
          <w:sz w:val="22"/>
        </w:rPr>
      </w:pPr>
      <w:r w:rsidRPr="00DE51F4">
        <w:rPr>
          <w:rFonts w:ascii="Gadugi" w:hAnsi="Gadugi" w:cs="Arial"/>
          <w:b/>
          <w:sz w:val="22"/>
        </w:rPr>
        <w:t>Con lo aquí dicho, considera esta célula judicial, que la norma consagra una garantía procesal tendiente a proteger el derecho de defensa.</w:t>
      </w:r>
    </w:p>
    <w:p w14:paraId="39FA2F87" w14:textId="77777777" w:rsidR="00B45CD9" w:rsidRPr="00DE51F4" w:rsidRDefault="00B45CD9" w:rsidP="00DE51F4">
      <w:pPr>
        <w:pStyle w:val="Sinespaciado1"/>
        <w:ind w:left="426" w:right="420" w:firstLine="2268"/>
        <w:jc w:val="both"/>
        <w:rPr>
          <w:rFonts w:ascii="Gadugi" w:hAnsi="Gadugi" w:cs="Arial"/>
          <w:sz w:val="22"/>
        </w:rPr>
      </w:pPr>
    </w:p>
    <w:p w14:paraId="5E937E1E" w14:textId="518C1A86" w:rsidR="00D07D98" w:rsidRPr="00DE51F4" w:rsidRDefault="00B45CD9" w:rsidP="00DE51F4">
      <w:pPr>
        <w:pStyle w:val="Sinespaciado1"/>
        <w:ind w:left="426" w:right="420" w:firstLine="2268"/>
        <w:jc w:val="both"/>
        <w:rPr>
          <w:rFonts w:ascii="Gadugi" w:hAnsi="Gadugi" w:cs="Arial"/>
          <w:sz w:val="22"/>
        </w:rPr>
      </w:pPr>
      <w:r w:rsidRPr="00DE51F4">
        <w:rPr>
          <w:rFonts w:ascii="Gadugi" w:hAnsi="Gadugi" w:cs="Arial"/>
          <w:b/>
          <w:sz w:val="22"/>
        </w:rPr>
        <w:t>Por lo tanto el incumplimiento de algunos de los requisitos o etapas hace, irregular el trámite</w:t>
      </w:r>
      <w:r w:rsidRPr="00DE51F4">
        <w:rPr>
          <w:rFonts w:ascii="Gadugi" w:hAnsi="Gadugi" w:cs="Arial"/>
          <w:sz w:val="22"/>
        </w:rPr>
        <w:t>, con mayor razón cuando el sujeto es emplazado y no comparece al procesos, siendo notificado a través de curador ad-litem.”</w:t>
      </w:r>
      <w:r w:rsidR="00793657" w:rsidRPr="00DE51F4">
        <w:rPr>
          <w:rFonts w:ascii="Gadugi" w:hAnsi="Gadugi" w:cs="Arial"/>
          <w:sz w:val="22"/>
        </w:rPr>
        <w:t xml:space="preserve"> (Destaca la Sala).</w:t>
      </w:r>
    </w:p>
    <w:p w14:paraId="14594750" w14:textId="77777777" w:rsidR="00422172" w:rsidRPr="00471048" w:rsidRDefault="00422172" w:rsidP="00471048">
      <w:pPr>
        <w:pStyle w:val="Sinespaciado1"/>
        <w:spacing w:line="276" w:lineRule="auto"/>
        <w:ind w:firstLine="2832"/>
        <w:jc w:val="both"/>
        <w:rPr>
          <w:rFonts w:ascii="Gadugi" w:hAnsi="Gadugi" w:cs="Arial"/>
        </w:rPr>
      </w:pPr>
    </w:p>
    <w:p w14:paraId="2D81F181" w14:textId="03E62D54" w:rsidR="00D07D98" w:rsidRPr="00471048" w:rsidRDefault="00D07D98" w:rsidP="00471048">
      <w:pPr>
        <w:pStyle w:val="Sinespaciado1"/>
        <w:spacing w:line="276" w:lineRule="auto"/>
        <w:ind w:firstLine="2832"/>
        <w:jc w:val="both"/>
        <w:rPr>
          <w:rFonts w:ascii="Gadugi" w:hAnsi="Gadugi" w:cs="Arial"/>
        </w:rPr>
      </w:pPr>
      <w:r w:rsidRPr="00471048">
        <w:rPr>
          <w:rFonts w:ascii="Gadugi" w:hAnsi="Gadugi" w:cs="Arial"/>
        </w:rPr>
        <w:lastRenderedPageBreak/>
        <w:t>(</w:t>
      </w:r>
      <w:r w:rsidR="00977397" w:rsidRPr="00471048">
        <w:rPr>
          <w:rFonts w:ascii="Gadugi" w:hAnsi="Gadugi" w:cs="Arial"/>
        </w:rPr>
        <w:t>iv</w:t>
      </w:r>
      <w:r w:rsidRPr="00471048">
        <w:rPr>
          <w:rFonts w:ascii="Gadugi" w:hAnsi="Gadugi" w:cs="Arial"/>
        </w:rPr>
        <w:t xml:space="preserve">) </w:t>
      </w:r>
      <w:r w:rsidR="00422172" w:rsidRPr="00471048">
        <w:rPr>
          <w:rFonts w:ascii="Gadugi" w:hAnsi="Gadugi" w:cs="Arial"/>
        </w:rPr>
        <w:t>Cuando el</w:t>
      </w:r>
      <w:r w:rsidRPr="00471048">
        <w:rPr>
          <w:rFonts w:ascii="Gadugi" w:hAnsi="Gadugi" w:cs="Arial"/>
        </w:rPr>
        <w:t xml:space="preserve"> ejecutado contestó la demanda</w:t>
      </w:r>
      <w:r w:rsidR="00422172" w:rsidRPr="00471048">
        <w:rPr>
          <w:rFonts w:ascii="Gadugi" w:hAnsi="Gadugi" w:cs="Arial"/>
        </w:rPr>
        <w:t>,</w:t>
      </w:r>
      <w:r w:rsidRPr="00471048">
        <w:rPr>
          <w:rFonts w:ascii="Gadugi" w:hAnsi="Gadugi" w:cs="Arial"/>
        </w:rPr>
        <w:t xml:space="preserve"> propuso como excepción principal “</w:t>
      </w:r>
      <w:r w:rsidRPr="00504428">
        <w:rPr>
          <w:rFonts w:ascii="Gadugi" w:hAnsi="Gadugi" w:cs="Arial"/>
          <w:sz w:val="22"/>
        </w:rPr>
        <w:t>PRESCRIPCIÓN EXTINTIVA</w:t>
      </w:r>
      <w:r w:rsidRPr="00471048">
        <w:rPr>
          <w:rFonts w:ascii="Gadugi" w:hAnsi="Gadugi" w:cs="Arial"/>
        </w:rPr>
        <w:t>”, exponiendo “</w:t>
      </w:r>
      <w:r w:rsidRPr="00504428">
        <w:rPr>
          <w:rFonts w:ascii="Gadugi" w:hAnsi="Gadugi" w:cs="Arial"/>
          <w:i/>
          <w:iCs/>
          <w:sz w:val="22"/>
        </w:rPr>
        <w:t xml:space="preserve">Entonces, </w:t>
      </w:r>
      <w:r w:rsidRPr="00504428">
        <w:rPr>
          <w:rFonts w:ascii="Gadugi" w:hAnsi="Gadugi" w:cs="Arial"/>
          <w:bCs/>
          <w:i/>
          <w:iCs/>
          <w:sz w:val="22"/>
        </w:rPr>
        <w:t>como la declaratoria de nulidad fue por hechos atribuibles a la culpa del propio demandante</w:t>
      </w:r>
      <w:r w:rsidRPr="00504428">
        <w:rPr>
          <w:rFonts w:ascii="Gadugi" w:hAnsi="Gadugi" w:cs="Arial"/>
          <w:i/>
          <w:iCs/>
          <w:sz w:val="22"/>
        </w:rPr>
        <w:t xml:space="preserve">, la interrupción de la prescripción </w:t>
      </w:r>
      <w:r w:rsidRPr="00504428">
        <w:rPr>
          <w:rFonts w:ascii="Gadugi" w:hAnsi="Gadugi" w:cs="Arial"/>
          <w:bCs/>
          <w:i/>
          <w:iCs/>
          <w:sz w:val="22"/>
        </w:rPr>
        <w:t>es ineficaz</w:t>
      </w:r>
      <w:r w:rsidRPr="00504428">
        <w:rPr>
          <w:rFonts w:ascii="Gadugi" w:hAnsi="Gadugi" w:cs="Arial"/>
          <w:i/>
          <w:iCs/>
          <w:sz w:val="22"/>
        </w:rPr>
        <w:t xml:space="preserve"> en virtud de lo dispuesto en el numeral 5º del artículo 91 del Código de Procedimiento Civil hoy numeral 5 del art 95 del Código General del Proceso</w:t>
      </w:r>
      <w:r w:rsidRPr="00471048">
        <w:rPr>
          <w:rFonts w:ascii="Gadugi" w:hAnsi="Gadugi" w:cs="Arial"/>
        </w:rPr>
        <w:t>”. Como excepción subsidiaria propuso “</w:t>
      </w:r>
      <w:r w:rsidRPr="00504428">
        <w:rPr>
          <w:rFonts w:ascii="Gadugi" w:hAnsi="Gadugi" w:cs="Arial"/>
          <w:sz w:val="22"/>
        </w:rPr>
        <w:t>INEXISTENCIA O INEFICACIA DE LA OBLIGACIÓN</w:t>
      </w:r>
      <w:r w:rsidRPr="00471048">
        <w:rPr>
          <w:rFonts w:ascii="Gadugi" w:hAnsi="Gadugi" w:cs="Arial"/>
        </w:rPr>
        <w:t>”.</w:t>
      </w:r>
      <w:r w:rsidR="00793657" w:rsidRPr="00471048">
        <w:rPr>
          <w:rStyle w:val="Refdenotaalpie"/>
          <w:rFonts w:ascii="Gadugi" w:hAnsi="Gadugi"/>
        </w:rPr>
        <w:footnoteReference w:id="30"/>
      </w:r>
      <w:r w:rsidRPr="00471048">
        <w:rPr>
          <w:rFonts w:ascii="Gadugi" w:hAnsi="Gadugi" w:cs="Arial"/>
        </w:rPr>
        <w:t xml:space="preserve"> </w:t>
      </w:r>
    </w:p>
    <w:p w14:paraId="5E06F8D8" w14:textId="77777777" w:rsidR="00D07D98" w:rsidRPr="00471048" w:rsidRDefault="00D07D98" w:rsidP="00471048">
      <w:pPr>
        <w:pStyle w:val="Sinespaciado1"/>
        <w:spacing w:line="276" w:lineRule="auto"/>
        <w:ind w:firstLine="2832"/>
        <w:jc w:val="both"/>
        <w:rPr>
          <w:rFonts w:ascii="Gadugi" w:hAnsi="Gadugi" w:cs="Arial"/>
        </w:rPr>
      </w:pPr>
    </w:p>
    <w:p w14:paraId="345AB65C" w14:textId="7CD68BF1" w:rsidR="00D07D98" w:rsidRPr="00471048" w:rsidRDefault="00D07D98" w:rsidP="00471048">
      <w:pPr>
        <w:pStyle w:val="Sinespaciado1"/>
        <w:spacing w:line="276" w:lineRule="auto"/>
        <w:ind w:firstLine="2832"/>
        <w:jc w:val="both"/>
        <w:rPr>
          <w:rFonts w:ascii="Gadugi" w:hAnsi="Gadugi" w:cs="Arial"/>
        </w:rPr>
      </w:pPr>
      <w:r w:rsidRPr="00471048">
        <w:rPr>
          <w:rFonts w:ascii="Gadugi" w:hAnsi="Gadugi" w:cs="Arial"/>
        </w:rPr>
        <w:t xml:space="preserve">(v) El </w:t>
      </w:r>
      <w:r w:rsidR="00793657" w:rsidRPr="00471048">
        <w:rPr>
          <w:rFonts w:ascii="Gadugi" w:hAnsi="Gadugi" w:cs="Arial"/>
        </w:rPr>
        <w:t>12 de abril de 2021</w:t>
      </w:r>
      <w:r w:rsidRPr="00471048">
        <w:rPr>
          <w:rFonts w:ascii="Gadugi" w:hAnsi="Gadugi" w:cs="Arial"/>
        </w:rPr>
        <w:t>, el Juzgado Segundo Promiscuo Municipal de Belén de Umbría, profirió sentencia parcial en la que declaró infundada la excepción de mérito propuesta por el demandado,</w:t>
      </w:r>
      <w:r w:rsidR="000F37CA" w:rsidRPr="00471048">
        <w:rPr>
          <w:rFonts w:ascii="Gadugi" w:hAnsi="Gadugi" w:cs="Arial"/>
        </w:rPr>
        <w:t xml:space="preserve"> </w:t>
      </w:r>
      <w:r w:rsidRPr="00471048">
        <w:rPr>
          <w:rFonts w:ascii="Gadugi" w:hAnsi="Gadugi" w:cs="Arial"/>
        </w:rPr>
        <w:t>denominada</w:t>
      </w:r>
      <w:r w:rsidR="000F37CA" w:rsidRPr="00471048">
        <w:rPr>
          <w:rFonts w:ascii="Gadugi" w:hAnsi="Gadugi" w:cs="Arial"/>
        </w:rPr>
        <w:t xml:space="preserve"> prescripción extintiva</w:t>
      </w:r>
      <w:r w:rsidRPr="00471048">
        <w:rPr>
          <w:rFonts w:ascii="Gadugi" w:hAnsi="Gadugi" w:cs="Arial"/>
        </w:rPr>
        <w:t xml:space="preserve">. </w:t>
      </w:r>
      <w:r w:rsidR="00422172" w:rsidRPr="00471048">
        <w:rPr>
          <w:rFonts w:ascii="Gadugi" w:hAnsi="Gadugi" w:cs="Arial"/>
        </w:rPr>
        <w:t xml:space="preserve">Allí se concluyó </w:t>
      </w:r>
      <w:r w:rsidR="00422172" w:rsidRPr="00471048">
        <w:rPr>
          <w:rFonts w:ascii="Gadugi" w:hAnsi="Gadugi" w:cs="Arial"/>
          <w:i/>
        </w:rPr>
        <w:t>“</w:t>
      </w:r>
      <w:r w:rsidR="00422172" w:rsidRPr="00504428">
        <w:rPr>
          <w:rFonts w:ascii="Gadugi" w:hAnsi="Gadugi" w:cs="Arial"/>
          <w:i/>
          <w:sz w:val="22"/>
        </w:rPr>
        <w:t xml:space="preserve">Finalmente y, </w:t>
      </w:r>
      <w:r w:rsidR="00422172" w:rsidRPr="00504428">
        <w:rPr>
          <w:rFonts w:ascii="Gadugi" w:hAnsi="Gadugi" w:cs="Arial"/>
          <w:i/>
          <w:sz w:val="22"/>
          <w:u w:val="single"/>
        </w:rPr>
        <w:t>a pesar de que la nulidad decretada en el auto adiado 27-10-2020 fue atribuible a la parte demandante</w:t>
      </w:r>
      <w:r w:rsidR="00422172" w:rsidRPr="00504428">
        <w:rPr>
          <w:rFonts w:ascii="Gadugi" w:hAnsi="Gadugi" w:cs="Arial"/>
          <w:i/>
          <w:sz w:val="22"/>
        </w:rPr>
        <w:t>, la misma no abarcó el auto que libró el mandamiento de pago por lo que, de igual manera, en los términos del numeral 50 del artículo 95 del CGP, operó la interrupción de la prescripción, en la forma como lo destacara la parte actora al pronunciarse en relación con esta excepción</w:t>
      </w:r>
      <w:r w:rsidR="00422172" w:rsidRPr="00471048">
        <w:rPr>
          <w:rFonts w:ascii="Gadugi" w:hAnsi="Gadugi" w:cs="Arial"/>
          <w:i/>
        </w:rPr>
        <w:t>.”</w:t>
      </w:r>
      <w:r w:rsidR="00793657" w:rsidRPr="00471048">
        <w:rPr>
          <w:rStyle w:val="Refdenotaalpie"/>
          <w:rFonts w:ascii="Gadugi" w:hAnsi="Gadugi"/>
          <w:i/>
        </w:rPr>
        <w:footnoteReference w:id="31"/>
      </w:r>
      <w:r w:rsidR="00422172" w:rsidRPr="00471048">
        <w:rPr>
          <w:rFonts w:ascii="Gadugi" w:hAnsi="Gadugi" w:cs="Arial"/>
          <w:i/>
        </w:rPr>
        <w:t xml:space="preserve"> </w:t>
      </w:r>
      <w:r w:rsidR="00422172" w:rsidRPr="00471048">
        <w:rPr>
          <w:rFonts w:ascii="Gadugi" w:hAnsi="Gadugi" w:cs="Arial"/>
          <w:i/>
        </w:rPr>
        <w:cr/>
      </w:r>
    </w:p>
    <w:p w14:paraId="1712B726" w14:textId="0FDAC5C3" w:rsidR="00D07D98" w:rsidRPr="00471048" w:rsidRDefault="00D07D98" w:rsidP="00471048">
      <w:pPr>
        <w:pStyle w:val="Sinespaciado1"/>
        <w:spacing w:line="276" w:lineRule="auto"/>
        <w:ind w:firstLine="2832"/>
        <w:jc w:val="both"/>
        <w:rPr>
          <w:rFonts w:ascii="Gadugi" w:hAnsi="Gadugi" w:cs="Arial"/>
        </w:rPr>
      </w:pPr>
      <w:r w:rsidRPr="00471048">
        <w:rPr>
          <w:rFonts w:ascii="Gadugi" w:hAnsi="Gadugi" w:cs="Arial"/>
        </w:rPr>
        <w:t xml:space="preserve">(vi) El </w:t>
      </w:r>
      <w:r w:rsidR="00793657" w:rsidRPr="00471048">
        <w:rPr>
          <w:rFonts w:ascii="Gadugi" w:hAnsi="Gadugi" w:cs="Arial"/>
        </w:rPr>
        <w:t>29 de abril de 2021</w:t>
      </w:r>
      <w:r w:rsidRPr="00471048">
        <w:rPr>
          <w:rFonts w:ascii="Gadugi" w:hAnsi="Gadugi" w:cs="Arial"/>
        </w:rPr>
        <w:t>, el Juzgado Segundo Promiscuo Municipal de Belén de Umbría, profirió sentencia en la que declaró infundada la excepción de mérito propuesta por el demandado, denominada INEXISTENCIA O INEFICACIA DE LA OBLIGACIÓN y ordenó seguir adelante con la ejecución.</w:t>
      </w:r>
      <w:r w:rsidR="00793657" w:rsidRPr="00471048">
        <w:rPr>
          <w:rStyle w:val="Refdenotaalpie"/>
          <w:rFonts w:ascii="Gadugi" w:hAnsi="Gadugi"/>
        </w:rPr>
        <w:footnoteReference w:id="32"/>
      </w:r>
      <w:r w:rsidRPr="00471048">
        <w:rPr>
          <w:rFonts w:ascii="Gadugi" w:hAnsi="Gadugi" w:cs="Arial"/>
        </w:rPr>
        <w:t xml:space="preserve"> </w:t>
      </w:r>
    </w:p>
    <w:p w14:paraId="4408EA79" w14:textId="77777777" w:rsidR="00D07D98" w:rsidRPr="00471048" w:rsidRDefault="00D07D98" w:rsidP="00471048">
      <w:pPr>
        <w:pStyle w:val="Sinespaciado1"/>
        <w:spacing w:line="276" w:lineRule="auto"/>
        <w:ind w:firstLine="2832"/>
        <w:jc w:val="both"/>
        <w:rPr>
          <w:rFonts w:ascii="Gadugi" w:hAnsi="Gadugi" w:cs="Arial"/>
        </w:rPr>
      </w:pPr>
    </w:p>
    <w:p w14:paraId="68BD1619" w14:textId="54A1ECDB" w:rsidR="00BB743F" w:rsidRPr="00471048" w:rsidRDefault="00D07D98" w:rsidP="00471048">
      <w:pPr>
        <w:pStyle w:val="Sinespaciado1"/>
        <w:spacing w:line="276" w:lineRule="auto"/>
        <w:ind w:firstLine="2832"/>
        <w:jc w:val="both"/>
        <w:rPr>
          <w:rFonts w:ascii="Gadugi" w:hAnsi="Gadugi" w:cs="Arial"/>
        </w:rPr>
      </w:pPr>
      <w:r w:rsidRPr="00471048">
        <w:rPr>
          <w:rFonts w:ascii="Gadugi" w:hAnsi="Gadugi" w:cs="Arial"/>
        </w:rPr>
        <w:t>(vii) Contra esas decisiones el ejecutado</w:t>
      </w:r>
      <w:r w:rsidR="00B45CD9" w:rsidRPr="00471048">
        <w:rPr>
          <w:rFonts w:ascii="Gadugi" w:hAnsi="Gadugi" w:cs="Arial"/>
        </w:rPr>
        <w:t xml:space="preserve"> </w:t>
      </w:r>
      <w:r w:rsidRPr="00471048">
        <w:rPr>
          <w:rFonts w:ascii="Gadugi" w:hAnsi="Gadugi" w:cs="Arial"/>
        </w:rPr>
        <w:t>formuló recurso de apelación</w:t>
      </w:r>
      <w:r w:rsidR="00A53809" w:rsidRPr="00471048">
        <w:rPr>
          <w:rFonts w:ascii="Gadugi" w:hAnsi="Gadugi" w:cs="Arial"/>
        </w:rPr>
        <w:t>, por lo cual, e</w:t>
      </w:r>
      <w:r w:rsidRPr="00471048">
        <w:rPr>
          <w:rFonts w:ascii="Gadugi" w:hAnsi="Gadugi" w:cs="Arial"/>
        </w:rPr>
        <w:t>l Juzgado Promiscuo del Circuito de Belén de Umbría,</w:t>
      </w:r>
      <w:r w:rsidR="00BB743F" w:rsidRPr="00471048">
        <w:rPr>
          <w:rFonts w:ascii="Gadugi" w:hAnsi="Gadugi" w:cs="Arial"/>
        </w:rPr>
        <w:t xml:space="preserve"> profirió sentencia de segunda instancia el 27 de agosto de 2021, pero esa providencia quedó sin efectos por lo decidió en la acción de tutela </w:t>
      </w:r>
      <w:r w:rsidR="00BB743F" w:rsidRPr="00471048">
        <w:rPr>
          <w:rFonts w:ascii="Gadugi" w:hAnsi="Gadugi"/>
        </w:rPr>
        <w:t>66001-22-13-000-2021-00412-00, en la que se le ordenó a ese despacho</w:t>
      </w:r>
      <w:r w:rsidR="00BB743F" w:rsidRPr="00471048">
        <w:rPr>
          <w:rFonts w:ascii="Gadugi" w:hAnsi="Gadugi" w:cs="Arial"/>
        </w:rPr>
        <w:t xml:space="preserve"> </w:t>
      </w:r>
      <w:r w:rsidR="00BB743F" w:rsidRPr="00471048">
        <w:rPr>
          <w:rFonts w:ascii="Gadugi" w:hAnsi="Gadugi" w:cs="Arial"/>
          <w:i/>
        </w:rPr>
        <w:t>“</w:t>
      </w:r>
      <w:r w:rsidR="00BB743F" w:rsidRPr="00504428">
        <w:rPr>
          <w:rFonts w:ascii="Gadugi" w:hAnsi="Gadugi" w:cs="Arial"/>
          <w:i/>
          <w:sz w:val="22"/>
        </w:rPr>
        <w:t xml:space="preserve">(…) resolver nuevamente el asunto sometido a su consideración, teniendo en cuenta los criterios plasmados en este fallo, para que </w:t>
      </w:r>
      <w:r w:rsidR="00BB743F" w:rsidRPr="00504428">
        <w:rPr>
          <w:rFonts w:ascii="Gadugi" w:hAnsi="Gadugi" w:cs="Arial"/>
          <w:i/>
          <w:sz w:val="22"/>
          <w:u w:val="single"/>
        </w:rPr>
        <w:t>analice la responsabilidad del demandante en la nulidad y se le dé el efecto que corresponda</w:t>
      </w:r>
      <w:r w:rsidR="00BB743F" w:rsidRPr="00471048">
        <w:rPr>
          <w:rFonts w:ascii="Gadugi" w:hAnsi="Gadugi" w:cs="Arial"/>
          <w:i/>
        </w:rPr>
        <w:t>.”</w:t>
      </w:r>
      <w:r w:rsidR="00793657" w:rsidRPr="00471048">
        <w:rPr>
          <w:rStyle w:val="Refdenotaalpie"/>
          <w:rFonts w:ascii="Gadugi" w:hAnsi="Gadugi"/>
          <w:i/>
        </w:rPr>
        <w:footnoteReference w:id="33"/>
      </w:r>
      <w:r w:rsidR="00793657" w:rsidRPr="00471048">
        <w:rPr>
          <w:rFonts w:ascii="Gadugi" w:hAnsi="Gadugi" w:cs="Arial"/>
          <w:i/>
        </w:rPr>
        <w:t>.</w:t>
      </w:r>
    </w:p>
    <w:p w14:paraId="59E75D74" w14:textId="77777777" w:rsidR="00BB743F" w:rsidRPr="00471048" w:rsidRDefault="00BB743F" w:rsidP="00471048">
      <w:pPr>
        <w:spacing w:line="276" w:lineRule="auto"/>
        <w:jc w:val="both"/>
        <w:rPr>
          <w:rFonts w:ascii="Gadugi" w:hAnsi="Gadugi" w:cs="Arial"/>
          <w:sz w:val="24"/>
          <w:szCs w:val="24"/>
        </w:rPr>
      </w:pPr>
    </w:p>
    <w:p w14:paraId="48525486" w14:textId="6383CF4C" w:rsidR="00D07D98" w:rsidRPr="00471048" w:rsidRDefault="00D07D98"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t>(</w:t>
      </w:r>
      <w:r w:rsidR="00977397" w:rsidRPr="00471048">
        <w:rPr>
          <w:rFonts w:ascii="Gadugi" w:hAnsi="Gadugi" w:cs="Arial"/>
          <w:sz w:val="24"/>
          <w:szCs w:val="24"/>
        </w:rPr>
        <w:t>viii</w:t>
      </w:r>
      <w:r w:rsidRPr="00471048">
        <w:rPr>
          <w:rFonts w:ascii="Gadugi" w:hAnsi="Gadugi" w:cs="Arial"/>
          <w:sz w:val="24"/>
          <w:szCs w:val="24"/>
        </w:rPr>
        <w:t xml:space="preserve">) </w:t>
      </w:r>
      <w:r w:rsidR="00BB743F" w:rsidRPr="00471048">
        <w:rPr>
          <w:rFonts w:ascii="Gadugi" w:hAnsi="Gadugi" w:cs="Arial"/>
          <w:sz w:val="24"/>
          <w:szCs w:val="24"/>
        </w:rPr>
        <w:t>E</w:t>
      </w:r>
      <w:r w:rsidRPr="00471048">
        <w:rPr>
          <w:rFonts w:ascii="Gadugi" w:hAnsi="Gadugi" w:cs="Arial"/>
          <w:sz w:val="24"/>
          <w:szCs w:val="24"/>
        </w:rPr>
        <w:t xml:space="preserve">ntonces, </w:t>
      </w:r>
      <w:r w:rsidR="00BB743F" w:rsidRPr="00471048">
        <w:rPr>
          <w:rFonts w:ascii="Gadugi" w:hAnsi="Gadugi" w:cs="Arial"/>
          <w:sz w:val="24"/>
          <w:szCs w:val="24"/>
        </w:rPr>
        <w:t>se</w:t>
      </w:r>
      <w:r w:rsidRPr="00471048">
        <w:rPr>
          <w:rFonts w:ascii="Gadugi" w:hAnsi="Gadugi" w:cs="Arial"/>
          <w:sz w:val="24"/>
          <w:szCs w:val="24"/>
        </w:rPr>
        <w:t xml:space="preserve"> volvió a proferir sentencia el 22 de febrero de 2022, </w:t>
      </w:r>
      <w:r w:rsidR="00CF47C0" w:rsidRPr="00471048">
        <w:rPr>
          <w:rFonts w:ascii="Gadugi" w:hAnsi="Gadugi" w:cs="Arial"/>
          <w:sz w:val="24"/>
          <w:szCs w:val="24"/>
        </w:rPr>
        <w:t>en los siguientes términos</w:t>
      </w:r>
      <w:r w:rsidR="00793657" w:rsidRPr="00471048">
        <w:rPr>
          <w:rStyle w:val="Refdenotaalpie"/>
          <w:rFonts w:ascii="Gadugi" w:hAnsi="Gadugi"/>
          <w:sz w:val="24"/>
          <w:szCs w:val="24"/>
        </w:rPr>
        <w:footnoteReference w:id="34"/>
      </w:r>
      <w:r w:rsidR="0008216C" w:rsidRPr="00471048">
        <w:rPr>
          <w:rFonts w:ascii="Gadugi" w:hAnsi="Gadugi" w:cs="Arial"/>
          <w:sz w:val="24"/>
          <w:szCs w:val="24"/>
        </w:rPr>
        <w:t>:</w:t>
      </w:r>
    </w:p>
    <w:p w14:paraId="07BFD23A" w14:textId="17DB57B4" w:rsidR="0008216C" w:rsidRPr="00471048" w:rsidRDefault="0008216C" w:rsidP="00471048">
      <w:pPr>
        <w:spacing w:line="276" w:lineRule="auto"/>
        <w:jc w:val="both"/>
        <w:rPr>
          <w:rFonts w:ascii="Gadugi" w:hAnsi="Gadugi" w:cs="Arial"/>
          <w:sz w:val="24"/>
          <w:szCs w:val="24"/>
        </w:rPr>
      </w:pPr>
    </w:p>
    <w:p w14:paraId="54C051FB" w14:textId="4ED0DA83" w:rsidR="00B45CD9" w:rsidRPr="00DE51F4" w:rsidRDefault="00B45CD9" w:rsidP="00DE51F4">
      <w:pPr>
        <w:ind w:left="426" w:right="420"/>
        <w:jc w:val="both"/>
        <w:rPr>
          <w:rFonts w:ascii="Gadugi" w:hAnsi="Gadugi" w:cs="Arial"/>
          <w:sz w:val="22"/>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DE51F4">
        <w:rPr>
          <w:rFonts w:ascii="Gadugi" w:hAnsi="Gadugi" w:cs="Arial"/>
          <w:sz w:val="22"/>
          <w:szCs w:val="24"/>
        </w:rPr>
        <w:t xml:space="preserve">Para ganar terreno en el cumplimiento del requerimiento tutelar en termino angustioso, que demanda hacer el análisis omitido en esta que se profiere, diremos que este despacho observa, que sin mediar prueba en contrario sobre la justeza y realidad de lo afirmado por el apoderado demandante en presunción de buena fe, “que había sido informado de la salida del país del señalado deudor, motivo atrás señalado para solicitar el curador ad-litem, no podrá predicarse alguna mala fe o </w:t>
      </w:r>
      <w:proofErr w:type="spellStart"/>
      <w:r w:rsidRPr="00DE51F4">
        <w:rPr>
          <w:rFonts w:ascii="Gadugi" w:hAnsi="Gadugi" w:cs="Arial"/>
          <w:sz w:val="22"/>
          <w:szCs w:val="24"/>
        </w:rPr>
        <w:t>espuriedad</w:t>
      </w:r>
      <w:proofErr w:type="spellEnd"/>
      <w:r w:rsidRPr="00DE51F4">
        <w:rPr>
          <w:rFonts w:ascii="Gadugi" w:hAnsi="Gadugi" w:cs="Arial"/>
          <w:sz w:val="22"/>
          <w:szCs w:val="24"/>
        </w:rPr>
        <w:t xml:space="preserve"> en su conducta, y más cuando, sin presumir mala fe en el demandado tampoco, es sabido por la regla de la experiencia, que es usual que los </w:t>
      </w:r>
      <w:r w:rsidRPr="00DE51F4">
        <w:rPr>
          <w:rFonts w:ascii="Gadugi" w:hAnsi="Gadugi" w:cs="Arial"/>
          <w:sz w:val="22"/>
          <w:szCs w:val="24"/>
        </w:rPr>
        <w:lastRenderedPageBreak/>
        <w:t>deudores se oculten o despisten notificadores de mandamientos de pago, por ello la parte demandada debió aducir o probar con elementos que esta era una mañosa actitud del demandante.</w:t>
      </w:r>
    </w:p>
    <w:p w14:paraId="2A9B0353" w14:textId="65E433F5" w:rsidR="00B45CD9" w:rsidRPr="00DE51F4" w:rsidRDefault="00B45CD9" w:rsidP="00DE51F4">
      <w:pPr>
        <w:ind w:left="426" w:right="420"/>
        <w:jc w:val="both"/>
        <w:rPr>
          <w:rFonts w:ascii="Gadugi" w:hAnsi="Gadugi" w:cs="Arial"/>
          <w:sz w:val="22"/>
          <w:szCs w:val="24"/>
        </w:rPr>
      </w:pPr>
    </w:p>
    <w:p w14:paraId="7EAA28EC" w14:textId="742D7343" w:rsidR="00B45CD9" w:rsidRPr="00DE51F4" w:rsidRDefault="00B45CD9" w:rsidP="00DE51F4">
      <w:pPr>
        <w:ind w:left="426" w:right="420"/>
        <w:jc w:val="both"/>
        <w:rPr>
          <w:rFonts w:ascii="Gadugi" w:hAnsi="Gadugi" w:cs="Arial"/>
          <w:sz w:val="22"/>
          <w:szCs w:val="24"/>
        </w:rPr>
      </w:pP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t>(…)</w:t>
      </w:r>
    </w:p>
    <w:p w14:paraId="7B256D6F" w14:textId="77777777" w:rsidR="00B45CD9" w:rsidRPr="00DE51F4" w:rsidRDefault="00B45CD9" w:rsidP="00DE51F4">
      <w:pPr>
        <w:ind w:left="426" w:right="420"/>
        <w:jc w:val="both"/>
        <w:rPr>
          <w:rFonts w:ascii="Gadugi" w:hAnsi="Gadugi" w:cs="Arial"/>
          <w:sz w:val="22"/>
          <w:szCs w:val="24"/>
        </w:rPr>
      </w:pPr>
    </w:p>
    <w:p w14:paraId="50F77A95" w14:textId="41AD070A" w:rsidR="0008216C" w:rsidRPr="00DE51F4" w:rsidRDefault="0008216C" w:rsidP="00DE51F4">
      <w:pPr>
        <w:ind w:left="426" w:right="420"/>
        <w:jc w:val="both"/>
        <w:rPr>
          <w:rFonts w:ascii="Gadugi" w:hAnsi="Gadugi" w:cs="Arial"/>
          <w:b/>
          <w:sz w:val="22"/>
          <w:szCs w:val="24"/>
        </w:rPr>
      </w:pP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t xml:space="preserve">Toda esa postrer actividad, luego de librado un mandamiento de pago y frente a la notificación del mismo fue declarada nula el 27 de octubre de 2.020 en lo que refería a la designación de curador y su notificación y demás, </w:t>
      </w:r>
      <w:r w:rsidRPr="00DE51F4">
        <w:rPr>
          <w:rFonts w:ascii="Gadugi" w:hAnsi="Gadugi" w:cs="Arial"/>
          <w:b/>
          <w:sz w:val="22"/>
          <w:szCs w:val="24"/>
        </w:rPr>
        <w:t>entonces frente a la nulidad escuetamente proferida y confirmada, debemos aquí decir, que el numeral 5 dispone que no se considerará interrumpida la prescripción y operara la caducidad, cuando se produzca la nulidad de la notificación del apremio, SIEMPRE QUE tal nulidad sea atribuible al demandante</w:t>
      </w:r>
      <w:r w:rsidRPr="00DE51F4">
        <w:rPr>
          <w:rFonts w:ascii="Gadugi" w:hAnsi="Gadugi" w:cs="Arial"/>
          <w:sz w:val="22"/>
          <w:szCs w:val="24"/>
        </w:rPr>
        <w:t xml:space="preserve">. Como el requerimiento manda, la consecuencia de haberse determinado más arriba, que, sin mediar prueba en contrario, más la regla de experiencia comentada, la presunción de buena fe que constitucionalmente ampara la actividad de los particulares continua incólume, </w:t>
      </w:r>
      <w:r w:rsidRPr="00DE51F4">
        <w:rPr>
          <w:rFonts w:ascii="Gadugi" w:hAnsi="Gadugi" w:cs="Arial"/>
          <w:b/>
          <w:sz w:val="22"/>
          <w:szCs w:val="24"/>
        </w:rPr>
        <w:t>no podemos atribuir la causa de la nulidad a un demandante en estas condiciones, por ello la regla excepcional no aplica y el efecto es que continua la “interrupción de la prescripción” y la “inoperancia” de la caducidad al tenor del articulo 94 procesal.</w:t>
      </w:r>
    </w:p>
    <w:p w14:paraId="412690AD" w14:textId="77777777" w:rsidR="0008216C" w:rsidRPr="00DE51F4" w:rsidRDefault="0008216C" w:rsidP="00DE51F4">
      <w:pPr>
        <w:ind w:left="426" w:right="420"/>
        <w:jc w:val="both"/>
        <w:rPr>
          <w:rFonts w:ascii="Gadugi" w:hAnsi="Gadugi" w:cs="Arial"/>
          <w:sz w:val="22"/>
          <w:szCs w:val="24"/>
        </w:rPr>
      </w:pPr>
    </w:p>
    <w:p w14:paraId="7F8921EC" w14:textId="77777777" w:rsidR="0008216C" w:rsidRPr="00DE51F4" w:rsidRDefault="0008216C" w:rsidP="00DE51F4">
      <w:pPr>
        <w:ind w:left="426" w:right="420"/>
        <w:jc w:val="both"/>
        <w:rPr>
          <w:rFonts w:ascii="Gadugi" w:hAnsi="Gadugi" w:cs="Arial"/>
          <w:b/>
          <w:sz w:val="22"/>
          <w:szCs w:val="24"/>
        </w:rPr>
      </w:pP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b/>
          <w:sz w:val="22"/>
          <w:szCs w:val="24"/>
        </w:rPr>
        <w:t>En dicha providencia no se atribuyó claramente la causa de nulidad al demandante</w:t>
      </w:r>
      <w:r w:rsidRPr="00DE51F4">
        <w:rPr>
          <w:rFonts w:ascii="Gadugi" w:hAnsi="Gadugi" w:cs="Arial"/>
          <w:sz w:val="22"/>
          <w:szCs w:val="24"/>
        </w:rPr>
        <w:t xml:space="preserve">; y amparo y requerimiento mandaron a este operador hacerlo en esta, la que se hizo declarándolo libre de malos procederes y partiendo del principio de la buena fe, </w:t>
      </w:r>
      <w:r w:rsidRPr="00DE51F4">
        <w:rPr>
          <w:rFonts w:ascii="Gadugi" w:hAnsi="Gadugi" w:cs="Arial"/>
          <w:b/>
          <w:sz w:val="22"/>
          <w:szCs w:val="24"/>
        </w:rPr>
        <w:t>manifestó la razón por la cual no se había surtido la notificación del mandamiento de pago al demandado en su lugar de residencia, pues fue informado de la partida al exterior del señor Jason La Rosa.</w:t>
      </w:r>
    </w:p>
    <w:p w14:paraId="4AE75C36" w14:textId="77777777" w:rsidR="0008216C" w:rsidRPr="00DE51F4" w:rsidRDefault="0008216C" w:rsidP="00DE51F4">
      <w:pPr>
        <w:ind w:left="426" w:right="420"/>
        <w:jc w:val="both"/>
        <w:rPr>
          <w:rFonts w:ascii="Gadugi" w:hAnsi="Gadugi" w:cs="Arial"/>
          <w:sz w:val="22"/>
          <w:szCs w:val="24"/>
        </w:rPr>
      </w:pPr>
    </w:p>
    <w:p w14:paraId="28C958AA" w14:textId="77777777" w:rsidR="0008216C" w:rsidRPr="00DE51F4" w:rsidRDefault="0008216C" w:rsidP="00DE51F4">
      <w:pPr>
        <w:ind w:left="426" w:right="420"/>
        <w:jc w:val="both"/>
        <w:rPr>
          <w:rFonts w:ascii="Gadugi" w:hAnsi="Gadugi" w:cs="Arial"/>
          <w:sz w:val="22"/>
          <w:szCs w:val="24"/>
        </w:rPr>
      </w:pP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r>
      <w:r w:rsidRPr="00DE51F4">
        <w:rPr>
          <w:rFonts w:ascii="Gadugi" w:hAnsi="Gadugi" w:cs="Arial"/>
          <w:sz w:val="22"/>
          <w:szCs w:val="24"/>
        </w:rPr>
        <w:tab/>
        <w:t>Así las cosas y verificado el actuar de la parte ejecutante y por ende la del Despacho se observa que la EXCEPCION DE PRESCRIPCIÓN EXTINTIVA. no está llamada a prosperar pues al omitir las providencias de nulidad de primera y segunda instancias, en esta se allegaron argumentos suficientes para suplirlas. (Destaca la Sala)</w:t>
      </w:r>
    </w:p>
    <w:p w14:paraId="68D9D4A6" w14:textId="77777777" w:rsidR="0008216C" w:rsidRPr="00471048" w:rsidRDefault="0008216C" w:rsidP="00471048">
      <w:pPr>
        <w:spacing w:line="276" w:lineRule="auto"/>
        <w:jc w:val="both"/>
        <w:rPr>
          <w:rFonts w:ascii="Gadugi" w:hAnsi="Gadugi" w:cs="Arial"/>
          <w:sz w:val="24"/>
          <w:szCs w:val="24"/>
        </w:rPr>
      </w:pPr>
    </w:p>
    <w:p w14:paraId="0E43FC80" w14:textId="789EE50D" w:rsidR="00CB36F4" w:rsidRPr="00471048" w:rsidRDefault="005C130D"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t>(</w:t>
      </w:r>
      <w:r w:rsidR="00977397" w:rsidRPr="00471048">
        <w:rPr>
          <w:rFonts w:ascii="Gadugi" w:hAnsi="Gadugi" w:cs="Arial"/>
          <w:sz w:val="24"/>
          <w:szCs w:val="24"/>
        </w:rPr>
        <w:t>i</w:t>
      </w:r>
      <w:r w:rsidRPr="00471048">
        <w:rPr>
          <w:rFonts w:ascii="Gadugi" w:hAnsi="Gadugi" w:cs="Arial"/>
          <w:sz w:val="24"/>
          <w:szCs w:val="24"/>
        </w:rPr>
        <w:t xml:space="preserve">x) </w:t>
      </w:r>
      <w:r w:rsidR="00CB36F4" w:rsidRPr="00471048">
        <w:rPr>
          <w:rFonts w:ascii="Gadugi" w:hAnsi="Gadugi" w:cs="Arial"/>
          <w:sz w:val="24"/>
          <w:szCs w:val="24"/>
        </w:rPr>
        <w:t xml:space="preserve">Sobre las falencias en la valoración probatoria, el accionante afirma que, cuando se resolvió la nulidad por indebida notificación, los juzgados accionados </w:t>
      </w:r>
      <w:r w:rsidR="00CB36F4" w:rsidRPr="00471048">
        <w:rPr>
          <w:rFonts w:ascii="Gadugi" w:hAnsi="Gadugi" w:cs="Arial"/>
          <w:i/>
          <w:sz w:val="24"/>
          <w:szCs w:val="24"/>
        </w:rPr>
        <w:t>“</w:t>
      </w:r>
      <w:r w:rsidR="00CB36F4" w:rsidRPr="00504428">
        <w:rPr>
          <w:rFonts w:ascii="Gadugi" w:hAnsi="Gadugi" w:cs="Arial"/>
          <w:i/>
          <w:sz w:val="22"/>
          <w:szCs w:val="24"/>
        </w:rPr>
        <w:t>dejan ver los errores y omisiones en que incurrió la parte demandante en su deber procesal de notificarle al demandado el mandamiento de pago</w:t>
      </w:r>
      <w:r w:rsidR="00CB36F4" w:rsidRPr="00471048">
        <w:rPr>
          <w:rFonts w:ascii="Gadugi" w:hAnsi="Gadugi" w:cs="Arial"/>
          <w:i/>
          <w:sz w:val="24"/>
          <w:szCs w:val="24"/>
        </w:rPr>
        <w:t xml:space="preserve">”, </w:t>
      </w:r>
      <w:r w:rsidR="00CB36F4" w:rsidRPr="00471048">
        <w:rPr>
          <w:rFonts w:ascii="Gadugi" w:hAnsi="Gadugi" w:cs="Arial"/>
          <w:sz w:val="24"/>
          <w:szCs w:val="24"/>
        </w:rPr>
        <w:t xml:space="preserve">y entonces, es un contra sentido que, en el fallo del 22 de febrero de 2022, el Juzgado Promiscuo del Circuito de Belén de Umbría, </w:t>
      </w:r>
      <w:r w:rsidR="00CB36F4" w:rsidRPr="00471048">
        <w:rPr>
          <w:rFonts w:ascii="Gadugi" w:hAnsi="Gadugi" w:cs="Arial"/>
          <w:i/>
          <w:sz w:val="24"/>
          <w:szCs w:val="24"/>
        </w:rPr>
        <w:t>“</w:t>
      </w:r>
      <w:r w:rsidR="00CB36F4" w:rsidRPr="00504428">
        <w:rPr>
          <w:rFonts w:ascii="Gadugi" w:hAnsi="Gadugi" w:cs="Arial"/>
          <w:i/>
          <w:sz w:val="22"/>
          <w:szCs w:val="24"/>
        </w:rPr>
        <w:t>(…) exprese que no es culpa del demandante la causal de nulidad porque ha de tenerse en cuenta su buena fe y una regla de la experiencia según la cual los demandados se ocultan para impedir notificaciones</w:t>
      </w:r>
      <w:r w:rsidR="00CB36F4" w:rsidRPr="00471048">
        <w:rPr>
          <w:rFonts w:ascii="Gadugi" w:hAnsi="Gadugi" w:cs="Arial"/>
          <w:i/>
          <w:sz w:val="24"/>
          <w:szCs w:val="24"/>
        </w:rPr>
        <w:t>.”</w:t>
      </w:r>
    </w:p>
    <w:p w14:paraId="613A7518" w14:textId="77777777" w:rsidR="00CB36F4" w:rsidRPr="00471048" w:rsidRDefault="00CB36F4"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p>
    <w:p w14:paraId="1AAAF535" w14:textId="1653EEDB" w:rsidR="00CB36F4" w:rsidRPr="00471048" w:rsidRDefault="00CB36F4"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t xml:space="preserve">Reprocha que </w:t>
      </w:r>
      <w:r w:rsidRPr="00471048">
        <w:rPr>
          <w:rFonts w:ascii="Gadugi" w:hAnsi="Gadugi" w:cs="Arial"/>
          <w:i/>
          <w:sz w:val="24"/>
          <w:szCs w:val="24"/>
        </w:rPr>
        <w:t>“</w:t>
      </w:r>
      <w:r w:rsidRPr="00504428">
        <w:rPr>
          <w:rFonts w:ascii="Gadugi" w:hAnsi="Gadugi" w:cs="Arial"/>
          <w:i/>
          <w:sz w:val="22"/>
          <w:szCs w:val="24"/>
        </w:rPr>
        <w:t>Una decisión judicial no puede tomarse con suposiciones sino con el material probatorio existente. En el expediente aparece prueba documental en la que se advierten las omisiones e irregularidades en que incurrió la parte demandante para la labor de notificación</w:t>
      </w:r>
      <w:r w:rsidRPr="00471048">
        <w:rPr>
          <w:rFonts w:ascii="Gadugi" w:hAnsi="Gadugi" w:cs="Arial"/>
          <w:i/>
          <w:sz w:val="24"/>
          <w:szCs w:val="24"/>
        </w:rPr>
        <w:t xml:space="preserve">.” </w:t>
      </w:r>
      <w:r w:rsidRPr="00471048">
        <w:rPr>
          <w:rFonts w:ascii="Gadugi" w:hAnsi="Gadugi" w:cs="Arial"/>
          <w:sz w:val="24"/>
          <w:szCs w:val="24"/>
        </w:rPr>
        <w:t xml:space="preserve">Y entonces concluye </w:t>
      </w:r>
      <w:r w:rsidRPr="00471048">
        <w:rPr>
          <w:rFonts w:ascii="Gadugi" w:hAnsi="Gadugi" w:cs="Arial"/>
          <w:i/>
          <w:sz w:val="24"/>
          <w:szCs w:val="24"/>
        </w:rPr>
        <w:t>“</w:t>
      </w:r>
      <w:r w:rsidRPr="00504428">
        <w:rPr>
          <w:rFonts w:ascii="Gadugi" w:hAnsi="Gadugi" w:cs="Arial"/>
          <w:i/>
          <w:sz w:val="22"/>
          <w:szCs w:val="24"/>
        </w:rPr>
        <w:t xml:space="preserve">Por eso la decisión incurre en defecto fáctico en sus dos dimensiones, positiva y negativa, porque no se tiene en cuenta prueba documental existente en el proceso que indica que la causa de la nulidad decretada es </w:t>
      </w:r>
      <w:r w:rsidRPr="00504428">
        <w:rPr>
          <w:rFonts w:ascii="Gadugi" w:hAnsi="Gadugi" w:cs="Arial"/>
          <w:i/>
          <w:sz w:val="22"/>
          <w:szCs w:val="24"/>
        </w:rPr>
        <w:lastRenderedPageBreak/>
        <w:t xml:space="preserve">atribuible al demandante y la decisión </w:t>
      </w:r>
      <w:proofErr w:type="spellStart"/>
      <w:r w:rsidRPr="00504428">
        <w:rPr>
          <w:rFonts w:ascii="Gadugi" w:hAnsi="Gadugi" w:cs="Arial"/>
          <w:i/>
          <w:sz w:val="22"/>
          <w:szCs w:val="24"/>
        </w:rPr>
        <w:t>exculpativa</w:t>
      </w:r>
      <w:proofErr w:type="spellEnd"/>
      <w:r w:rsidRPr="00504428">
        <w:rPr>
          <w:rFonts w:ascii="Gadugi" w:hAnsi="Gadugi" w:cs="Arial"/>
          <w:i/>
          <w:sz w:val="22"/>
          <w:szCs w:val="24"/>
        </w:rPr>
        <w:t xml:space="preserve"> se fundamenta en la no buena fe del demandado que siempre trata de ocultarse e impedir una notificación</w:t>
      </w:r>
      <w:r w:rsidRPr="00471048">
        <w:rPr>
          <w:rFonts w:ascii="Gadugi" w:hAnsi="Gadugi" w:cs="Arial"/>
          <w:i/>
          <w:sz w:val="24"/>
          <w:szCs w:val="24"/>
        </w:rPr>
        <w:t>.”</w:t>
      </w:r>
      <w:r w:rsidRPr="00471048">
        <w:rPr>
          <w:rFonts w:ascii="Gadugi" w:hAnsi="Gadugi" w:cs="Arial"/>
          <w:sz w:val="24"/>
          <w:szCs w:val="24"/>
        </w:rPr>
        <w:tab/>
      </w:r>
    </w:p>
    <w:p w14:paraId="2B8DC3C7" w14:textId="77777777" w:rsidR="00CB36F4" w:rsidRPr="00471048" w:rsidRDefault="00CB36F4"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p>
    <w:p w14:paraId="789C74BE" w14:textId="4C660D29" w:rsidR="00CB36F4" w:rsidRPr="00471048" w:rsidRDefault="00CB36F4"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t>Y en ese sentido, asegura que hay un error procedimental, dado que, si la nulidad es atribuible al demandante, debió aplicarse el numeral 5° del artículo 95 del CGP, y entonces, disponer que era ineficaz la interrupción de la prescripción, y</w:t>
      </w:r>
      <w:r w:rsidR="00BB743F" w:rsidRPr="00471048">
        <w:rPr>
          <w:rFonts w:ascii="Gadugi" w:hAnsi="Gadugi" w:cs="Arial"/>
          <w:sz w:val="24"/>
          <w:szCs w:val="24"/>
        </w:rPr>
        <w:t>,</w:t>
      </w:r>
      <w:r w:rsidRPr="00471048">
        <w:rPr>
          <w:rFonts w:ascii="Gadugi" w:hAnsi="Gadugi" w:cs="Arial"/>
          <w:sz w:val="24"/>
          <w:szCs w:val="24"/>
        </w:rPr>
        <w:t xml:space="preserve"> en consecuencia, debió declararse probada la excepción de prescripción que él formuló.   </w:t>
      </w:r>
    </w:p>
    <w:p w14:paraId="64178BD3" w14:textId="0EAFA56A" w:rsidR="00CB36F4" w:rsidRPr="00471048" w:rsidRDefault="00CB36F4" w:rsidP="00471048">
      <w:pPr>
        <w:spacing w:line="276" w:lineRule="auto"/>
        <w:jc w:val="both"/>
        <w:rPr>
          <w:rFonts w:ascii="Gadugi" w:hAnsi="Gadugi" w:cs="Arial"/>
          <w:sz w:val="24"/>
          <w:szCs w:val="24"/>
        </w:rPr>
      </w:pPr>
    </w:p>
    <w:p w14:paraId="7D10DD99" w14:textId="134FBA1E" w:rsidR="00A1638C" w:rsidRPr="00471048" w:rsidRDefault="005C130D"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t xml:space="preserve"> </w:t>
      </w:r>
      <w:r w:rsidR="00BB743F" w:rsidRPr="00471048">
        <w:rPr>
          <w:rFonts w:ascii="Gadugi" w:hAnsi="Gadugi" w:cs="Arial"/>
          <w:sz w:val="24"/>
          <w:szCs w:val="24"/>
        </w:rPr>
        <w:tab/>
      </w:r>
      <w:r w:rsidR="00575E80" w:rsidRPr="00471048">
        <w:rPr>
          <w:rFonts w:ascii="Gadugi" w:hAnsi="Gadugi" w:cs="Arial"/>
          <w:sz w:val="24"/>
          <w:szCs w:val="24"/>
        </w:rPr>
        <w:t xml:space="preserve">2.7. </w:t>
      </w:r>
      <w:r w:rsidR="00BB743F" w:rsidRPr="00471048">
        <w:rPr>
          <w:rFonts w:ascii="Gadugi" w:hAnsi="Gadugi" w:cs="Arial"/>
          <w:sz w:val="24"/>
          <w:szCs w:val="24"/>
        </w:rPr>
        <w:t>Con lo estudiado hasta este punto</w:t>
      </w:r>
      <w:r w:rsidR="00A1638C" w:rsidRPr="00471048">
        <w:rPr>
          <w:rFonts w:ascii="Gadugi" w:hAnsi="Gadugi" w:cs="Arial"/>
          <w:sz w:val="24"/>
          <w:szCs w:val="24"/>
        </w:rPr>
        <w:t xml:space="preserve"> es posible llegar </w:t>
      </w:r>
      <w:r w:rsidR="001746F2" w:rsidRPr="00471048">
        <w:rPr>
          <w:rFonts w:ascii="Gadugi" w:hAnsi="Gadugi" w:cs="Arial"/>
          <w:sz w:val="24"/>
          <w:szCs w:val="24"/>
        </w:rPr>
        <w:t xml:space="preserve">a </w:t>
      </w:r>
      <w:r w:rsidR="00FF4E5F" w:rsidRPr="00471048">
        <w:rPr>
          <w:rFonts w:ascii="Gadugi" w:hAnsi="Gadugi" w:cs="Arial"/>
          <w:sz w:val="24"/>
          <w:szCs w:val="24"/>
        </w:rPr>
        <w:t>un par de</w:t>
      </w:r>
      <w:r w:rsidR="00A1638C" w:rsidRPr="00471048">
        <w:rPr>
          <w:rFonts w:ascii="Gadugi" w:hAnsi="Gadugi" w:cs="Arial"/>
          <w:sz w:val="24"/>
          <w:szCs w:val="24"/>
        </w:rPr>
        <w:t xml:space="preserve"> conclusiones:</w:t>
      </w:r>
    </w:p>
    <w:p w14:paraId="528508F2" w14:textId="77777777" w:rsidR="00A1638C" w:rsidRPr="00471048" w:rsidRDefault="00A1638C" w:rsidP="00471048">
      <w:pPr>
        <w:spacing w:line="276" w:lineRule="auto"/>
        <w:jc w:val="both"/>
        <w:rPr>
          <w:rFonts w:ascii="Gadugi" w:hAnsi="Gadugi" w:cs="Arial"/>
          <w:sz w:val="24"/>
          <w:szCs w:val="24"/>
        </w:rPr>
      </w:pPr>
    </w:p>
    <w:p w14:paraId="693EDC2A" w14:textId="37E52D8A" w:rsidR="005C130D" w:rsidRPr="00471048" w:rsidRDefault="00A1638C"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003B54C5" w:rsidRPr="00471048">
        <w:rPr>
          <w:rFonts w:ascii="Gadugi" w:hAnsi="Gadugi" w:cs="Arial"/>
          <w:sz w:val="24"/>
          <w:szCs w:val="24"/>
        </w:rPr>
        <w:t>La primera que</w:t>
      </w:r>
      <w:r w:rsidR="00B45CD9" w:rsidRPr="00471048">
        <w:rPr>
          <w:rFonts w:ascii="Gadugi" w:hAnsi="Gadugi" w:cs="Arial"/>
          <w:sz w:val="24"/>
          <w:szCs w:val="24"/>
        </w:rPr>
        <w:t xml:space="preserve"> </w:t>
      </w:r>
      <w:r w:rsidR="003B54C5" w:rsidRPr="00471048">
        <w:rPr>
          <w:rFonts w:ascii="Gadugi" w:hAnsi="Gadugi" w:cs="Arial"/>
          <w:sz w:val="24"/>
          <w:szCs w:val="24"/>
        </w:rPr>
        <w:t>e</w:t>
      </w:r>
      <w:r w:rsidR="00EF0DCA" w:rsidRPr="00471048">
        <w:rPr>
          <w:rFonts w:ascii="Gadugi" w:hAnsi="Gadugi" w:cs="Arial"/>
          <w:sz w:val="24"/>
          <w:szCs w:val="24"/>
        </w:rPr>
        <w:t>s verdad</w:t>
      </w:r>
      <w:r w:rsidR="00DA71B4" w:rsidRPr="00471048">
        <w:rPr>
          <w:rFonts w:ascii="Gadugi" w:hAnsi="Gadugi" w:cs="Arial"/>
          <w:sz w:val="24"/>
          <w:szCs w:val="24"/>
        </w:rPr>
        <w:t xml:space="preserve">, como </w:t>
      </w:r>
      <w:r w:rsidR="00EF0DCA" w:rsidRPr="00471048">
        <w:rPr>
          <w:rFonts w:ascii="Gadugi" w:hAnsi="Gadugi" w:cs="Arial"/>
          <w:sz w:val="24"/>
          <w:szCs w:val="24"/>
        </w:rPr>
        <w:t>se dice en la acción de tutela</w:t>
      </w:r>
      <w:r w:rsidR="00DA71B4" w:rsidRPr="00471048">
        <w:rPr>
          <w:rFonts w:ascii="Gadugi" w:hAnsi="Gadugi" w:cs="Arial"/>
          <w:sz w:val="24"/>
          <w:szCs w:val="24"/>
        </w:rPr>
        <w:t>, que los juzgados accionados, al resolver la nulidad en ambas instancias, habían deducido que ella era atribuible al demandante</w:t>
      </w:r>
      <w:r w:rsidR="00E55BF1" w:rsidRPr="00471048">
        <w:rPr>
          <w:rFonts w:ascii="Gadugi" w:hAnsi="Gadugi" w:cs="Arial"/>
          <w:sz w:val="24"/>
          <w:szCs w:val="24"/>
        </w:rPr>
        <w:t xml:space="preserve">, </w:t>
      </w:r>
      <w:r w:rsidR="00EF0DCA" w:rsidRPr="00471048">
        <w:rPr>
          <w:rFonts w:ascii="Gadugi" w:hAnsi="Gadugi" w:cs="Arial"/>
          <w:sz w:val="24"/>
          <w:szCs w:val="24"/>
        </w:rPr>
        <w:t>sin embargo</w:t>
      </w:r>
      <w:r w:rsidR="00E55BF1" w:rsidRPr="00471048">
        <w:rPr>
          <w:rFonts w:ascii="Gadugi" w:hAnsi="Gadugi" w:cs="Arial"/>
          <w:sz w:val="24"/>
          <w:szCs w:val="24"/>
        </w:rPr>
        <w:t>,</w:t>
      </w:r>
      <w:r w:rsidR="00EF0DCA" w:rsidRPr="00471048">
        <w:rPr>
          <w:rFonts w:ascii="Gadugi" w:hAnsi="Gadugi" w:cs="Arial"/>
          <w:sz w:val="24"/>
          <w:szCs w:val="24"/>
        </w:rPr>
        <w:t xml:space="preserve"> en la sentencia</w:t>
      </w:r>
      <w:r w:rsidR="00E55BF1" w:rsidRPr="00471048">
        <w:rPr>
          <w:rFonts w:ascii="Gadugi" w:hAnsi="Gadugi" w:cs="Arial"/>
          <w:sz w:val="24"/>
          <w:szCs w:val="24"/>
        </w:rPr>
        <w:t xml:space="preserve"> del 22 de febrero de 2021, se </w:t>
      </w:r>
      <w:r w:rsidR="00EF0DCA" w:rsidRPr="00471048">
        <w:rPr>
          <w:rFonts w:ascii="Gadugi" w:hAnsi="Gadugi" w:cs="Arial"/>
          <w:sz w:val="24"/>
          <w:szCs w:val="24"/>
        </w:rPr>
        <w:t xml:space="preserve">dijo lo contrario, y ello con fundamento en que la afirmación del demandante, sobre que el demandado había abandonado el país y desconocía su paradero, estaba amparada por el principio de buena fe. </w:t>
      </w:r>
    </w:p>
    <w:p w14:paraId="61A75DD1" w14:textId="20010C2E" w:rsidR="00DA71B4" w:rsidRPr="00471048" w:rsidRDefault="00DA71B4" w:rsidP="00471048">
      <w:pPr>
        <w:spacing w:line="276" w:lineRule="auto"/>
        <w:jc w:val="both"/>
        <w:rPr>
          <w:rFonts w:ascii="Gadugi" w:hAnsi="Gadugi" w:cs="Arial"/>
          <w:sz w:val="24"/>
          <w:szCs w:val="24"/>
        </w:rPr>
      </w:pPr>
    </w:p>
    <w:p w14:paraId="108F9E54" w14:textId="6D9D6C04" w:rsidR="00636F50" w:rsidRPr="00471048" w:rsidRDefault="00DA71B4" w:rsidP="00471048">
      <w:pPr>
        <w:spacing w:line="276" w:lineRule="auto"/>
        <w:jc w:val="both"/>
        <w:rPr>
          <w:rFonts w:ascii="Gadugi" w:hAnsi="Gadugi" w:cs="Tahoma"/>
          <w:color w:val="FF0000"/>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003B54C5" w:rsidRPr="00471048">
        <w:rPr>
          <w:rFonts w:ascii="Gadugi" w:hAnsi="Gadugi" w:cs="Arial"/>
          <w:sz w:val="24"/>
          <w:szCs w:val="24"/>
        </w:rPr>
        <w:t>Y la segunda que,</w:t>
      </w:r>
      <w:r w:rsidR="00EE411D" w:rsidRPr="00471048">
        <w:rPr>
          <w:rFonts w:ascii="Gadugi" w:hAnsi="Gadugi" w:cs="Arial"/>
          <w:sz w:val="24"/>
          <w:szCs w:val="24"/>
        </w:rPr>
        <w:t xml:space="preserve"> </w:t>
      </w:r>
      <w:r w:rsidR="003B54C5" w:rsidRPr="00471048">
        <w:rPr>
          <w:rFonts w:ascii="Gadugi" w:hAnsi="Gadugi" w:cs="Arial"/>
          <w:sz w:val="24"/>
          <w:szCs w:val="24"/>
        </w:rPr>
        <w:t>s</w:t>
      </w:r>
      <w:r w:rsidR="00EF0DCA" w:rsidRPr="00471048">
        <w:rPr>
          <w:rFonts w:ascii="Gadugi" w:hAnsi="Gadugi" w:cs="Arial"/>
          <w:sz w:val="24"/>
          <w:szCs w:val="24"/>
        </w:rPr>
        <w:t xml:space="preserve">i bien </w:t>
      </w:r>
      <w:r w:rsidR="00FF4E5F" w:rsidRPr="00471048">
        <w:rPr>
          <w:rFonts w:ascii="Gadugi" w:hAnsi="Gadugi" w:cs="Arial"/>
          <w:sz w:val="24"/>
          <w:szCs w:val="24"/>
        </w:rPr>
        <w:t xml:space="preserve">es cierto el demandante está amparado por el principio de buena fe, también lo es que </w:t>
      </w:r>
      <w:r w:rsidR="00E55BF1" w:rsidRPr="00471048">
        <w:rPr>
          <w:rFonts w:ascii="Gadugi" w:hAnsi="Gadugi" w:cs="Arial"/>
          <w:sz w:val="24"/>
          <w:szCs w:val="24"/>
        </w:rPr>
        <w:t>sus dichos deben estar respaldados</w:t>
      </w:r>
      <w:r w:rsidR="00FF4E5F" w:rsidRPr="00471048">
        <w:rPr>
          <w:rFonts w:ascii="Gadugi" w:hAnsi="Gadugi" w:cs="Arial"/>
          <w:sz w:val="24"/>
          <w:szCs w:val="24"/>
        </w:rPr>
        <w:t xml:space="preserve"> con acciones que evidencien su </w:t>
      </w:r>
      <w:r w:rsidR="003B54C5" w:rsidRPr="00471048">
        <w:rPr>
          <w:rFonts w:ascii="Gadugi" w:hAnsi="Gadugi" w:cs="Arial"/>
          <w:sz w:val="24"/>
          <w:szCs w:val="24"/>
        </w:rPr>
        <w:t>voluntad</w:t>
      </w:r>
      <w:r w:rsidR="00FF4E5F" w:rsidRPr="00471048">
        <w:rPr>
          <w:rFonts w:ascii="Gadugi" w:hAnsi="Gadugi" w:cs="Arial"/>
          <w:sz w:val="24"/>
          <w:szCs w:val="24"/>
        </w:rPr>
        <w:t xml:space="preserve"> de notificar al demandado</w:t>
      </w:r>
      <w:r w:rsidR="00E55BF1" w:rsidRPr="00471048">
        <w:rPr>
          <w:rFonts w:ascii="Gadugi" w:hAnsi="Gadugi" w:cs="Arial"/>
          <w:sz w:val="24"/>
          <w:szCs w:val="24"/>
        </w:rPr>
        <w:t xml:space="preserve">, </w:t>
      </w:r>
      <w:r w:rsidR="00EE411D" w:rsidRPr="00471048">
        <w:rPr>
          <w:rFonts w:ascii="Gadugi" w:hAnsi="Gadugi" w:cs="Arial"/>
          <w:sz w:val="24"/>
          <w:szCs w:val="24"/>
        </w:rPr>
        <w:t>y comoquiera que en el expediente eran inexistentes pruebas sobre tales diligencias, se declaró la nulidad</w:t>
      </w:r>
      <w:r w:rsidR="002B7FA1" w:rsidRPr="00471048">
        <w:rPr>
          <w:rFonts w:ascii="Gadugi" w:hAnsi="Gadugi" w:cs="Arial"/>
          <w:sz w:val="24"/>
          <w:szCs w:val="24"/>
        </w:rPr>
        <w:t xml:space="preserve">, que entonces, </w:t>
      </w:r>
      <w:r w:rsidR="002B7FA1" w:rsidRPr="00471048">
        <w:rPr>
          <w:rFonts w:ascii="Gadugi" w:hAnsi="Gadugi" w:cs="Arial"/>
          <w:sz w:val="24"/>
          <w:szCs w:val="24"/>
          <w:u w:val="single"/>
        </w:rPr>
        <w:t>le es atribuible</w:t>
      </w:r>
      <w:r w:rsidR="00636F50" w:rsidRPr="00471048">
        <w:rPr>
          <w:rFonts w:ascii="Gadugi" w:hAnsi="Gadugi" w:cs="Arial"/>
          <w:sz w:val="24"/>
          <w:szCs w:val="24"/>
        </w:rPr>
        <w:t xml:space="preserve">; </w:t>
      </w:r>
      <w:r w:rsidR="00636F50" w:rsidRPr="00471048">
        <w:rPr>
          <w:rFonts w:ascii="Gadugi" w:hAnsi="Gadugi" w:cs="Arial"/>
          <w:i/>
          <w:iCs/>
          <w:sz w:val="24"/>
          <w:szCs w:val="24"/>
        </w:rPr>
        <w:t>“</w:t>
      </w:r>
      <w:r w:rsidR="00636F50" w:rsidRPr="00504428">
        <w:rPr>
          <w:rFonts w:ascii="Gadugi" w:hAnsi="Gadugi" w:cs="Arial"/>
          <w:i/>
          <w:iCs/>
          <w:sz w:val="22"/>
          <w:szCs w:val="24"/>
        </w:rPr>
        <w:t xml:space="preserve">(…) </w:t>
      </w:r>
      <w:r w:rsidR="00636F50" w:rsidRPr="00504428">
        <w:rPr>
          <w:rFonts w:ascii="Gadugi" w:hAnsi="Gadugi" w:cs="Tahoma"/>
          <w:i/>
          <w:iCs/>
          <w:sz w:val="22"/>
          <w:szCs w:val="24"/>
        </w:rPr>
        <w:t xml:space="preserve">Ha de recalcarse que la ética del proceso impone deberes de conducta más allá de la simple liturgia de los actos procesales; por ende, si el demandante estaba en capacidad de superar el estado de ignorancia sobre la ubicación </w:t>
      </w:r>
      <w:r w:rsidR="00636F50" w:rsidRPr="00504428">
        <w:rPr>
          <w:rFonts w:ascii="Gadugi" w:hAnsi="Gadugi" w:cs="Tahoma"/>
          <w:sz w:val="22"/>
          <w:szCs w:val="24"/>
        </w:rPr>
        <w:t>[del demandado]</w:t>
      </w:r>
      <w:r w:rsidR="00636F50" w:rsidRPr="00504428">
        <w:rPr>
          <w:rFonts w:ascii="Gadugi" w:hAnsi="Gadugi" w:cs="Tahoma"/>
          <w:i/>
          <w:iCs/>
          <w:sz w:val="22"/>
          <w:szCs w:val="24"/>
        </w:rPr>
        <w:t>, debía haber agotado todos los esfuerzos para evitar un proceso clandestino, con obvia lesión del derecho de defensa de la parte demandada</w:t>
      </w:r>
      <w:r w:rsidR="00636F50" w:rsidRPr="00471048">
        <w:rPr>
          <w:rFonts w:ascii="Gadugi" w:hAnsi="Gadugi" w:cs="Tahoma"/>
          <w:i/>
          <w:iCs/>
          <w:sz w:val="24"/>
          <w:szCs w:val="24"/>
        </w:rPr>
        <w:t>.”</w:t>
      </w:r>
      <w:r w:rsidR="003B54C5" w:rsidRPr="00471048">
        <w:rPr>
          <w:rStyle w:val="Refdenotaalpie"/>
          <w:rFonts w:ascii="Gadugi" w:hAnsi="Gadugi"/>
          <w:i/>
          <w:iCs/>
          <w:sz w:val="24"/>
          <w:szCs w:val="24"/>
        </w:rPr>
        <w:footnoteReference w:id="35"/>
      </w:r>
    </w:p>
    <w:p w14:paraId="0F273035" w14:textId="6A34FE97" w:rsidR="00636F50" w:rsidRPr="00471048" w:rsidRDefault="00636F50" w:rsidP="00471048">
      <w:pPr>
        <w:spacing w:line="276" w:lineRule="auto"/>
        <w:jc w:val="both"/>
        <w:rPr>
          <w:rFonts w:ascii="Gadugi" w:hAnsi="Gadugi" w:cs="Arial"/>
          <w:sz w:val="24"/>
          <w:szCs w:val="24"/>
        </w:rPr>
      </w:pPr>
    </w:p>
    <w:p w14:paraId="6E2B69C8" w14:textId="08919397" w:rsidR="002B7FA1" w:rsidRPr="00471048" w:rsidRDefault="006B75DE"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t xml:space="preserve">En suma, </w:t>
      </w:r>
      <w:r w:rsidR="00D90BAC" w:rsidRPr="00471048">
        <w:rPr>
          <w:rFonts w:ascii="Gadugi" w:hAnsi="Gadugi" w:cs="Arial"/>
          <w:sz w:val="24"/>
          <w:szCs w:val="24"/>
        </w:rPr>
        <w:t>reluce</w:t>
      </w:r>
      <w:r w:rsidRPr="00471048">
        <w:rPr>
          <w:rFonts w:ascii="Gadugi" w:hAnsi="Gadugi" w:cs="Arial"/>
          <w:sz w:val="24"/>
          <w:szCs w:val="24"/>
        </w:rPr>
        <w:t xml:space="preserve"> un defecto fáctico porque se omitió valorar lo que está debidamente probado en el proceso, </w:t>
      </w:r>
      <w:r w:rsidR="009261DF" w:rsidRPr="00471048">
        <w:rPr>
          <w:rFonts w:ascii="Gadugi" w:hAnsi="Gadugi" w:cs="Arial"/>
          <w:sz w:val="24"/>
          <w:szCs w:val="24"/>
        </w:rPr>
        <w:t>esto es</w:t>
      </w:r>
      <w:r w:rsidR="00D111B7">
        <w:rPr>
          <w:rFonts w:ascii="Gadugi" w:hAnsi="Gadugi" w:cs="Arial"/>
          <w:sz w:val="24"/>
          <w:szCs w:val="24"/>
        </w:rPr>
        <w:t>,</w:t>
      </w:r>
      <w:r w:rsidR="009261DF" w:rsidRPr="00471048">
        <w:rPr>
          <w:rFonts w:ascii="Gadugi" w:hAnsi="Gadugi" w:cs="Arial"/>
          <w:sz w:val="24"/>
          <w:szCs w:val="24"/>
        </w:rPr>
        <w:t xml:space="preserve"> </w:t>
      </w:r>
      <w:r w:rsidRPr="00471048">
        <w:rPr>
          <w:rFonts w:ascii="Gadugi" w:hAnsi="Gadugi" w:cs="Arial"/>
          <w:sz w:val="24"/>
          <w:szCs w:val="24"/>
        </w:rPr>
        <w:t>que por culpa del demandante</w:t>
      </w:r>
      <w:r w:rsidR="002B4078" w:rsidRPr="00471048">
        <w:rPr>
          <w:rFonts w:ascii="Gadugi" w:hAnsi="Gadugi" w:cs="Arial"/>
          <w:sz w:val="24"/>
          <w:szCs w:val="24"/>
        </w:rPr>
        <w:t>,</w:t>
      </w:r>
      <w:r w:rsidRPr="00471048">
        <w:rPr>
          <w:rFonts w:ascii="Gadugi" w:hAnsi="Gadugi" w:cs="Arial"/>
          <w:sz w:val="24"/>
          <w:szCs w:val="24"/>
        </w:rPr>
        <w:t xml:space="preserve"> el demandando fue indebidamente notificado. A</w:t>
      </w:r>
      <w:r w:rsidR="00636F50" w:rsidRPr="00471048">
        <w:rPr>
          <w:rFonts w:ascii="Gadugi" w:hAnsi="Gadugi" w:cs="Arial"/>
          <w:sz w:val="24"/>
          <w:szCs w:val="24"/>
        </w:rPr>
        <w:t xml:space="preserve"> todo lo cual se suma que la </w:t>
      </w:r>
      <w:r w:rsidR="002B7FA1" w:rsidRPr="00471048">
        <w:rPr>
          <w:rFonts w:ascii="Gadugi" w:hAnsi="Gadugi" w:cs="Arial"/>
          <w:sz w:val="24"/>
          <w:szCs w:val="24"/>
        </w:rPr>
        <w:t xml:space="preserve">decisión sobre </w:t>
      </w:r>
      <w:r w:rsidR="00636F50" w:rsidRPr="00471048">
        <w:rPr>
          <w:rFonts w:ascii="Gadugi" w:hAnsi="Gadugi" w:cs="Arial"/>
          <w:sz w:val="24"/>
          <w:szCs w:val="24"/>
        </w:rPr>
        <w:t>la referida</w:t>
      </w:r>
      <w:r w:rsidR="002B7FA1" w:rsidRPr="00471048">
        <w:rPr>
          <w:rFonts w:ascii="Gadugi" w:hAnsi="Gadugi" w:cs="Arial"/>
          <w:sz w:val="24"/>
          <w:szCs w:val="24"/>
        </w:rPr>
        <w:t xml:space="preserve"> nulidad no puede ser </w:t>
      </w:r>
      <w:r w:rsidRPr="00471048">
        <w:rPr>
          <w:rFonts w:ascii="Gadugi" w:hAnsi="Gadugi" w:cs="Arial"/>
          <w:sz w:val="24"/>
          <w:szCs w:val="24"/>
        </w:rPr>
        <w:t>desatendida, porque así se contraría el principio de cosa juzgada</w:t>
      </w:r>
      <w:r w:rsidR="003B54C5" w:rsidRPr="00471048">
        <w:rPr>
          <w:rFonts w:ascii="Gadugi" w:hAnsi="Gadugi" w:cs="Arial"/>
          <w:sz w:val="24"/>
          <w:szCs w:val="24"/>
        </w:rPr>
        <w:t xml:space="preserve">, pilar fundamental de la seguridad jurídica. </w:t>
      </w:r>
    </w:p>
    <w:p w14:paraId="3B2C3596" w14:textId="41730BD3" w:rsidR="002B7FA1" w:rsidRPr="00471048" w:rsidRDefault="002B7FA1" w:rsidP="00471048">
      <w:pPr>
        <w:spacing w:line="276" w:lineRule="auto"/>
        <w:jc w:val="both"/>
        <w:rPr>
          <w:rFonts w:ascii="Gadugi" w:hAnsi="Gadugi" w:cs="Arial"/>
          <w:sz w:val="24"/>
          <w:szCs w:val="24"/>
        </w:rPr>
      </w:pPr>
    </w:p>
    <w:p w14:paraId="75996462" w14:textId="19FD570F" w:rsidR="006B75DE" w:rsidRPr="00471048" w:rsidRDefault="006B75DE" w:rsidP="00471048">
      <w:pPr>
        <w:spacing w:line="276" w:lineRule="auto"/>
        <w:jc w:val="both"/>
        <w:rPr>
          <w:rFonts w:ascii="Gadugi" w:hAnsi="Gadugi" w:cs="Arial"/>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t xml:space="preserve">Por lo expuesto, se concederá la protección invocada, dejando sin efectos el fallo proferido el pasado 22 de febrero de 2022, y ordenándole al Juzgado Promiscuo del Circuito de Belén de Umbría, proferir nuevamente fallo de segunda instancia en ese juicio, atendiendo las directrices establecidas en esta providencia. </w:t>
      </w:r>
    </w:p>
    <w:p w14:paraId="059F05F2" w14:textId="6A2E78AD" w:rsidR="00F667D6" w:rsidRPr="00471048" w:rsidRDefault="00636F50" w:rsidP="00471048">
      <w:pPr>
        <w:spacing w:line="276" w:lineRule="auto"/>
        <w:jc w:val="both"/>
        <w:rPr>
          <w:rFonts w:ascii="Gadugi" w:hAnsi="Gadugi"/>
          <w:sz w:val="24"/>
          <w:szCs w:val="24"/>
        </w:rPr>
      </w:pP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003B57C8" w:rsidRPr="00471048">
        <w:rPr>
          <w:rFonts w:ascii="Gadugi" w:hAnsi="Gadugi"/>
          <w:sz w:val="24"/>
          <w:szCs w:val="24"/>
        </w:rPr>
        <w:tab/>
      </w:r>
    </w:p>
    <w:p w14:paraId="7EDAB549" w14:textId="77777777" w:rsidR="00043798" w:rsidRPr="00471048" w:rsidRDefault="00043798" w:rsidP="00471048">
      <w:pPr>
        <w:spacing w:line="276" w:lineRule="auto"/>
        <w:jc w:val="both"/>
        <w:rPr>
          <w:rFonts w:ascii="Gadugi" w:hAnsi="Gadugi"/>
          <w:sz w:val="24"/>
          <w:szCs w:val="24"/>
        </w:rPr>
      </w:pPr>
    </w:p>
    <w:p w14:paraId="0EF677F5" w14:textId="17FFF6CC" w:rsidR="00622EA3" w:rsidRPr="00471048" w:rsidRDefault="003B57C8" w:rsidP="00471048">
      <w:pPr>
        <w:spacing w:line="276" w:lineRule="auto"/>
        <w:jc w:val="both"/>
        <w:rPr>
          <w:rFonts w:ascii="Gadugi" w:hAnsi="Gadugi" w:cs="Arial"/>
          <w:b/>
          <w:sz w:val="24"/>
          <w:szCs w:val="24"/>
        </w:rPr>
      </w:pP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r>
      <w:r w:rsidR="00575E80" w:rsidRPr="00471048">
        <w:rPr>
          <w:rFonts w:ascii="Gadugi" w:hAnsi="Gadugi"/>
          <w:b/>
          <w:sz w:val="24"/>
          <w:szCs w:val="24"/>
        </w:rPr>
        <w:t xml:space="preserve">3. </w:t>
      </w:r>
      <w:r w:rsidR="00622EA3" w:rsidRPr="00471048">
        <w:rPr>
          <w:rFonts w:ascii="Gadugi" w:hAnsi="Gadugi" w:cs="Arial"/>
          <w:b/>
          <w:sz w:val="24"/>
          <w:szCs w:val="24"/>
        </w:rPr>
        <w:t>DECISIÓN</w:t>
      </w:r>
    </w:p>
    <w:p w14:paraId="20649FF0" w14:textId="77777777" w:rsidR="00622EA3" w:rsidRPr="00471048" w:rsidRDefault="00622EA3" w:rsidP="00471048">
      <w:pPr>
        <w:spacing w:line="276" w:lineRule="auto"/>
        <w:jc w:val="both"/>
        <w:rPr>
          <w:rFonts w:ascii="Gadugi" w:hAnsi="Gadugi"/>
          <w:sz w:val="24"/>
          <w:szCs w:val="24"/>
        </w:rPr>
      </w:pPr>
      <w:r w:rsidRPr="00471048">
        <w:rPr>
          <w:rFonts w:ascii="Gadugi" w:hAnsi="Gadugi"/>
          <w:sz w:val="24"/>
          <w:szCs w:val="24"/>
        </w:rPr>
        <w:t xml:space="preserve">  </w:t>
      </w: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r>
    </w:p>
    <w:p w14:paraId="4F587AED" w14:textId="77777777" w:rsidR="00622EA3" w:rsidRPr="00471048" w:rsidRDefault="00622EA3" w:rsidP="00471048">
      <w:pPr>
        <w:spacing w:line="276" w:lineRule="auto"/>
        <w:jc w:val="both"/>
        <w:rPr>
          <w:rFonts w:ascii="Gadugi" w:hAnsi="Gadugi"/>
          <w:sz w:val="24"/>
          <w:szCs w:val="24"/>
        </w:rPr>
      </w:pP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r>
      <w:r w:rsidRPr="00471048">
        <w:rPr>
          <w:rFonts w:ascii="Gadugi" w:hAnsi="Gadugi"/>
          <w:sz w:val="24"/>
          <w:szCs w:val="24"/>
        </w:rPr>
        <w:tab/>
      </w:r>
    </w:p>
    <w:p w14:paraId="1070AD8B" w14:textId="4E48C825" w:rsidR="00622EA3" w:rsidRPr="00471048" w:rsidRDefault="00622EA3" w:rsidP="00471048">
      <w:pPr>
        <w:spacing w:line="276" w:lineRule="auto"/>
        <w:ind w:firstLine="2835"/>
        <w:jc w:val="both"/>
        <w:rPr>
          <w:rFonts w:ascii="Gadugi" w:hAnsi="Gadugi" w:cs="Arial"/>
          <w:sz w:val="24"/>
          <w:szCs w:val="24"/>
          <w:lang w:val="es-CO"/>
        </w:rPr>
      </w:pPr>
      <w:r w:rsidRPr="00471048">
        <w:rPr>
          <w:rFonts w:ascii="Gadugi" w:hAnsi="Gadugi" w:cs="Arial"/>
          <w:sz w:val="24"/>
          <w:szCs w:val="24"/>
        </w:rPr>
        <w:t>En armonía con lo dicho, la Sala Civil Familia del Tribunal Superior de Pereira, administrando justicia en nombre de la República y por autoridad de la Ley,</w:t>
      </w:r>
      <w:r w:rsidRPr="00471048">
        <w:rPr>
          <w:rFonts w:ascii="Gadugi" w:hAnsi="Gadugi" w:cs="Arial"/>
          <w:sz w:val="24"/>
          <w:szCs w:val="24"/>
          <w:lang w:val="es-419"/>
        </w:rPr>
        <w:t xml:space="preserve"> </w:t>
      </w:r>
      <w:r w:rsidR="006B75DE" w:rsidRPr="00471048">
        <w:rPr>
          <w:rFonts w:ascii="Gadugi" w:hAnsi="Gadugi" w:cs="Arial"/>
          <w:b/>
          <w:sz w:val="24"/>
          <w:szCs w:val="24"/>
          <w:lang w:val="es-CO"/>
        </w:rPr>
        <w:t>CONCEDE</w:t>
      </w:r>
      <w:r w:rsidRPr="00471048">
        <w:rPr>
          <w:rFonts w:ascii="Gadugi" w:hAnsi="Gadugi" w:cs="Arial"/>
          <w:b/>
          <w:sz w:val="24"/>
          <w:szCs w:val="24"/>
          <w:lang w:val="es-CO"/>
        </w:rPr>
        <w:t xml:space="preserve"> </w:t>
      </w:r>
      <w:r w:rsidRPr="00471048">
        <w:rPr>
          <w:rFonts w:ascii="Gadugi" w:hAnsi="Gadugi" w:cs="Arial"/>
          <w:sz w:val="24"/>
          <w:szCs w:val="24"/>
          <w:lang w:val="es-CO"/>
        </w:rPr>
        <w:t>la presente acción de tutela</w:t>
      </w:r>
      <w:r w:rsidR="006B75DE" w:rsidRPr="00471048">
        <w:rPr>
          <w:rFonts w:ascii="Gadugi" w:hAnsi="Gadugi" w:cs="Arial"/>
          <w:sz w:val="24"/>
          <w:szCs w:val="24"/>
          <w:lang w:val="es-CO"/>
        </w:rPr>
        <w:t>, y, en consecuencia</w:t>
      </w:r>
      <w:r w:rsidR="002B4078" w:rsidRPr="00471048">
        <w:rPr>
          <w:rFonts w:ascii="Gadugi" w:hAnsi="Gadugi" w:cs="Arial"/>
          <w:sz w:val="24"/>
          <w:szCs w:val="24"/>
          <w:lang w:val="es-CO"/>
        </w:rPr>
        <w:t xml:space="preserve">, se </w:t>
      </w:r>
      <w:r w:rsidR="002B4078" w:rsidRPr="00471048">
        <w:rPr>
          <w:rFonts w:ascii="Gadugi" w:hAnsi="Gadugi" w:cs="Arial"/>
          <w:b/>
          <w:sz w:val="24"/>
          <w:szCs w:val="24"/>
          <w:lang w:val="es-CO"/>
        </w:rPr>
        <w:t>deja sin efecto</w:t>
      </w:r>
      <w:r w:rsidR="002B4078" w:rsidRPr="00471048">
        <w:rPr>
          <w:rFonts w:ascii="Gadugi" w:hAnsi="Gadugi" w:cs="Arial"/>
          <w:sz w:val="24"/>
          <w:szCs w:val="24"/>
          <w:lang w:val="es-CO"/>
        </w:rPr>
        <w:t xml:space="preserve"> el fallo del 22 de febrero de 2022, proferido dentro del proceso con radicado 660884089002201300153</w:t>
      </w:r>
      <w:r w:rsidR="0010550B" w:rsidRPr="00471048">
        <w:rPr>
          <w:rFonts w:ascii="Gadugi" w:hAnsi="Gadugi" w:cs="Arial"/>
          <w:sz w:val="24"/>
          <w:szCs w:val="24"/>
          <w:lang w:val="es-CO"/>
        </w:rPr>
        <w:t>00</w:t>
      </w:r>
      <w:r w:rsidR="002B4078" w:rsidRPr="00471048">
        <w:rPr>
          <w:rFonts w:ascii="Gadugi" w:hAnsi="Gadugi" w:cs="Arial"/>
          <w:sz w:val="24"/>
          <w:szCs w:val="24"/>
          <w:lang w:val="es-CO"/>
        </w:rPr>
        <w:t xml:space="preserve">. </w:t>
      </w:r>
    </w:p>
    <w:p w14:paraId="47A62556" w14:textId="77777777" w:rsidR="0010550B" w:rsidRPr="00471048" w:rsidRDefault="0010550B" w:rsidP="00471048">
      <w:pPr>
        <w:spacing w:line="276" w:lineRule="auto"/>
        <w:jc w:val="both"/>
        <w:rPr>
          <w:rFonts w:ascii="Gadugi" w:hAnsi="Gadugi" w:cs="Arial"/>
          <w:sz w:val="24"/>
          <w:szCs w:val="24"/>
          <w:lang w:val="es-CO"/>
        </w:rPr>
      </w:pPr>
    </w:p>
    <w:p w14:paraId="4F43A7A7" w14:textId="18B47519" w:rsidR="002B4078" w:rsidRPr="00471048" w:rsidRDefault="002B4078" w:rsidP="00471048">
      <w:pPr>
        <w:spacing w:line="276" w:lineRule="auto"/>
        <w:jc w:val="both"/>
        <w:rPr>
          <w:rFonts w:ascii="Gadugi" w:hAnsi="Gadugi" w:cs="Arial"/>
          <w:sz w:val="24"/>
          <w:szCs w:val="24"/>
        </w:rPr>
      </w:pPr>
      <w:r w:rsidRPr="00471048">
        <w:rPr>
          <w:rFonts w:ascii="Gadugi" w:hAnsi="Gadugi" w:cs="Arial"/>
          <w:sz w:val="24"/>
          <w:szCs w:val="24"/>
          <w:lang w:val="es-CO"/>
        </w:rPr>
        <w:tab/>
      </w:r>
      <w:r w:rsidRPr="00471048">
        <w:rPr>
          <w:rFonts w:ascii="Gadugi" w:hAnsi="Gadugi" w:cs="Arial"/>
          <w:sz w:val="24"/>
          <w:szCs w:val="24"/>
          <w:lang w:val="es-CO"/>
        </w:rPr>
        <w:tab/>
      </w:r>
      <w:r w:rsidRPr="00471048">
        <w:rPr>
          <w:rFonts w:ascii="Gadugi" w:hAnsi="Gadugi" w:cs="Arial"/>
          <w:sz w:val="24"/>
          <w:szCs w:val="24"/>
          <w:lang w:val="es-CO"/>
        </w:rPr>
        <w:tab/>
      </w:r>
      <w:r w:rsidRPr="00471048">
        <w:rPr>
          <w:rFonts w:ascii="Gadugi" w:hAnsi="Gadugi" w:cs="Arial"/>
          <w:sz w:val="24"/>
          <w:szCs w:val="24"/>
          <w:lang w:val="es-CO"/>
        </w:rPr>
        <w:tab/>
      </w:r>
      <w:r w:rsidR="006B75DE" w:rsidRPr="00471048">
        <w:rPr>
          <w:rFonts w:ascii="Gadugi" w:hAnsi="Gadugi" w:cs="Arial"/>
          <w:sz w:val="24"/>
          <w:szCs w:val="24"/>
          <w:lang w:val="es-CO"/>
        </w:rPr>
        <w:t xml:space="preserve">Se le </w:t>
      </w:r>
      <w:r w:rsidR="006B75DE" w:rsidRPr="00471048">
        <w:rPr>
          <w:rFonts w:ascii="Gadugi" w:hAnsi="Gadugi" w:cs="Arial"/>
          <w:b/>
          <w:sz w:val="24"/>
          <w:szCs w:val="24"/>
          <w:lang w:val="es-CO"/>
        </w:rPr>
        <w:t>ORDENA</w:t>
      </w:r>
      <w:r w:rsidR="006B75DE" w:rsidRPr="00471048">
        <w:rPr>
          <w:rFonts w:ascii="Gadugi" w:hAnsi="Gadugi" w:cs="Arial"/>
          <w:sz w:val="24"/>
          <w:szCs w:val="24"/>
          <w:lang w:val="es-CO"/>
        </w:rPr>
        <w:t xml:space="preserve"> </w:t>
      </w:r>
      <w:r w:rsidRPr="00471048">
        <w:rPr>
          <w:rFonts w:ascii="Gadugi" w:hAnsi="Gadugi" w:cs="Arial"/>
          <w:sz w:val="24"/>
          <w:szCs w:val="24"/>
          <w:lang w:val="es-CO"/>
        </w:rPr>
        <w:t xml:space="preserve">al </w:t>
      </w:r>
      <w:r w:rsidRPr="00471048">
        <w:rPr>
          <w:rFonts w:ascii="Gadugi" w:hAnsi="Gadugi" w:cs="Arial"/>
          <w:b/>
          <w:sz w:val="24"/>
          <w:szCs w:val="24"/>
        </w:rPr>
        <w:t>Juzgado Promiscuo del Circuito de Belén de Umbría</w:t>
      </w:r>
      <w:r w:rsidRPr="00471048">
        <w:rPr>
          <w:rFonts w:ascii="Gadugi" w:hAnsi="Gadugi" w:cs="Arial"/>
          <w:sz w:val="24"/>
          <w:szCs w:val="24"/>
        </w:rPr>
        <w:t xml:space="preserve">, por medio de su titular, que, en el término de 48 horas contadas a partir de esta providencia, profiera nuevamente fallo de segunda instancia en la aludida ejecución, atendiendo las directrices establecidas en esta providencia. </w:t>
      </w:r>
    </w:p>
    <w:p w14:paraId="4DBE5FFF" w14:textId="77777777" w:rsidR="00622EA3" w:rsidRPr="00471048" w:rsidRDefault="00622EA3" w:rsidP="00471048">
      <w:pPr>
        <w:spacing w:line="276" w:lineRule="auto"/>
        <w:ind w:firstLine="2835"/>
        <w:jc w:val="both"/>
        <w:rPr>
          <w:rFonts w:ascii="Gadugi" w:hAnsi="Gadugi" w:cs="Arial"/>
          <w:sz w:val="24"/>
          <w:szCs w:val="24"/>
          <w:lang w:val="es-CO"/>
        </w:rPr>
      </w:pPr>
    </w:p>
    <w:p w14:paraId="1B75A3D0" w14:textId="1983BAAE" w:rsidR="00622EA3" w:rsidRPr="00471048" w:rsidRDefault="00622EA3" w:rsidP="00471048">
      <w:pPr>
        <w:spacing w:line="276" w:lineRule="auto"/>
        <w:ind w:right="51"/>
        <w:jc w:val="both"/>
        <w:rPr>
          <w:rFonts w:ascii="Gadugi" w:hAnsi="Gadugi" w:cs="Arial"/>
          <w:sz w:val="24"/>
          <w:szCs w:val="24"/>
          <w:lang w:val="es-CO"/>
        </w:rPr>
      </w:pPr>
      <w:r w:rsidRPr="00471048">
        <w:rPr>
          <w:rFonts w:ascii="Gadugi" w:hAnsi="Gadugi" w:cs="Arial"/>
          <w:sz w:val="24"/>
          <w:szCs w:val="24"/>
        </w:rPr>
        <w:t xml:space="preserve">  </w:t>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r>
      <w:r w:rsidRPr="00471048">
        <w:rPr>
          <w:rFonts w:ascii="Gadugi" w:hAnsi="Gadugi" w:cs="Arial"/>
          <w:sz w:val="24"/>
          <w:szCs w:val="24"/>
        </w:rPr>
        <w:tab/>
        <w:t>Notifíquese la decisión a las partes en la forma prevista en el artículo 5º del Decreto 306 de 1992</w:t>
      </w:r>
      <w:r w:rsidRPr="00471048">
        <w:rPr>
          <w:rFonts w:ascii="Gadugi" w:hAnsi="Gadugi" w:cs="Arial"/>
          <w:sz w:val="24"/>
          <w:szCs w:val="24"/>
          <w:lang w:val="es-419"/>
        </w:rPr>
        <w:t>, y si no es impugnada</w:t>
      </w:r>
      <w:r w:rsidR="00D111B7">
        <w:rPr>
          <w:rFonts w:ascii="Gadugi" w:hAnsi="Gadugi" w:cs="Arial"/>
          <w:sz w:val="24"/>
          <w:szCs w:val="24"/>
          <w:lang w:val="es-419"/>
        </w:rPr>
        <w:t xml:space="preserve"> remítase</w:t>
      </w:r>
      <w:r w:rsidRPr="00471048">
        <w:rPr>
          <w:rFonts w:ascii="Gadugi" w:hAnsi="Gadugi" w:cs="Arial"/>
          <w:sz w:val="24"/>
          <w:szCs w:val="24"/>
          <w:lang w:val="es-CO"/>
        </w:rPr>
        <w:t xml:space="preserve"> a la Corte Constitucional para su eventual revisión.</w:t>
      </w:r>
    </w:p>
    <w:p w14:paraId="0B1A24CD" w14:textId="77777777" w:rsidR="00622EA3" w:rsidRPr="00471048" w:rsidRDefault="00622EA3" w:rsidP="00471048">
      <w:pPr>
        <w:spacing w:line="276" w:lineRule="auto"/>
        <w:ind w:right="51"/>
        <w:jc w:val="both"/>
        <w:rPr>
          <w:rFonts w:ascii="Gadugi" w:hAnsi="Gadugi" w:cs="Arial"/>
          <w:sz w:val="24"/>
          <w:szCs w:val="24"/>
          <w:lang w:val="es-CO"/>
        </w:rPr>
      </w:pPr>
    </w:p>
    <w:p w14:paraId="050295D5" w14:textId="69623954" w:rsidR="00622EA3" w:rsidRPr="00471048" w:rsidRDefault="00622EA3" w:rsidP="00471048">
      <w:pPr>
        <w:spacing w:line="276" w:lineRule="auto"/>
        <w:ind w:firstLine="2835"/>
        <w:jc w:val="both"/>
        <w:rPr>
          <w:rFonts w:ascii="Gadugi" w:hAnsi="Gadugi" w:cs="Arial"/>
          <w:sz w:val="24"/>
          <w:szCs w:val="24"/>
          <w:lang w:val="es-CO"/>
        </w:rPr>
      </w:pPr>
      <w:r w:rsidRPr="00471048">
        <w:rPr>
          <w:rFonts w:ascii="Gadugi" w:hAnsi="Gadugi" w:cs="Arial"/>
          <w:sz w:val="24"/>
          <w:szCs w:val="24"/>
          <w:lang w:val="es-CO"/>
        </w:rPr>
        <w:t>A su regreso, archívese el expediente</w:t>
      </w:r>
      <w:r w:rsidRPr="00471048">
        <w:rPr>
          <w:rFonts w:ascii="Gadugi" w:hAnsi="Gadugi" w:cs="Arial"/>
          <w:sz w:val="24"/>
          <w:szCs w:val="24"/>
          <w:lang w:val="es-419"/>
        </w:rPr>
        <w:t>.</w:t>
      </w:r>
      <w:r w:rsidRPr="00471048">
        <w:rPr>
          <w:rFonts w:ascii="Gadugi" w:hAnsi="Gadugi" w:cs="Arial"/>
          <w:sz w:val="24"/>
          <w:szCs w:val="24"/>
          <w:lang w:val="es-CO"/>
        </w:rPr>
        <w:t xml:space="preserve"> </w:t>
      </w:r>
    </w:p>
    <w:p w14:paraId="046AEFCE" w14:textId="77777777" w:rsidR="00CA22AE" w:rsidRPr="00471048" w:rsidRDefault="00CA22AE" w:rsidP="00471048">
      <w:pPr>
        <w:spacing w:line="276" w:lineRule="auto"/>
        <w:ind w:firstLine="2835"/>
        <w:jc w:val="both"/>
        <w:rPr>
          <w:rFonts w:ascii="Gadugi" w:hAnsi="Gadugi" w:cs="Arial"/>
          <w:sz w:val="24"/>
          <w:szCs w:val="24"/>
          <w:lang w:val="es-CO"/>
        </w:rPr>
      </w:pPr>
    </w:p>
    <w:p w14:paraId="1ADF31BE" w14:textId="77777777" w:rsidR="00622EA3" w:rsidRPr="00471048" w:rsidRDefault="00622EA3" w:rsidP="00471048">
      <w:pPr>
        <w:spacing w:line="276" w:lineRule="auto"/>
        <w:ind w:firstLine="2835"/>
        <w:jc w:val="both"/>
        <w:rPr>
          <w:rFonts w:ascii="Gadugi" w:hAnsi="Gadugi" w:cs="Arial"/>
          <w:bCs/>
          <w:sz w:val="24"/>
          <w:szCs w:val="24"/>
        </w:rPr>
      </w:pPr>
      <w:r w:rsidRPr="00471048">
        <w:rPr>
          <w:rFonts w:ascii="Gadugi" w:hAnsi="Gadugi" w:cs="Arial"/>
          <w:bCs/>
          <w:sz w:val="24"/>
          <w:szCs w:val="24"/>
        </w:rPr>
        <w:t>Los Magistrados,</w:t>
      </w:r>
    </w:p>
    <w:p w14:paraId="0D71DB09" w14:textId="609A14EF" w:rsidR="002C1510" w:rsidRDefault="002C1510" w:rsidP="00471048">
      <w:pPr>
        <w:spacing w:line="276" w:lineRule="auto"/>
        <w:ind w:firstLine="2835"/>
        <w:jc w:val="both"/>
        <w:rPr>
          <w:rFonts w:ascii="Gadugi" w:hAnsi="Gadugi" w:cs="Arial"/>
          <w:b/>
          <w:sz w:val="24"/>
          <w:szCs w:val="24"/>
        </w:rPr>
      </w:pPr>
    </w:p>
    <w:p w14:paraId="1221F9D5" w14:textId="77777777" w:rsidR="00AA3880" w:rsidRPr="00471048" w:rsidRDefault="00AA3880" w:rsidP="00471048">
      <w:pPr>
        <w:spacing w:line="276" w:lineRule="auto"/>
        <w:ind w:firstLine="2835"/>
        <w:jc w:val="both"/>
        <w:rPr>
          <w:rFonts w:ascii="Gadugi" w:hAnsi="Gadugi" w:cs="Arial"/>
          <w:b/>
          <w:sz w:val="24"/>
          <w:szCs w:val="24"/>
        </w:rPr>
      </w:pPr>
    </w:p>
    <w:p w14:paraId="082F30D6" w14:textId="6F0EFE8A" w:rsidR="00622EA3" w:rsidRPr="00471048" w:rsidRDefault="00622EA3" w:rsidP="00471048">
      <w:pPr>
        <w:spacing w:line="276" w:lineRule="auto"/>
        <w:ind w:firstLine="2835"/>
        <w:jc w:val="both"/>
        <w:rPr>
          <w:rFonts w:ascii="Gadugi" w:hAnsi="Gadugi" w:cs="Arial"/>
          <w:b/>
          <w:sz w:val="24"/>
          <w:szCs w:val="24"/>
        </w:rPr>
      </w:pPr>
      <w:r w:rsidRPr="00471048">
        <w:rPr>
          <w:rFonts w:ascii="Gadugi" w:hAnsi="Gadugi" w:cs="Arial"/>
          <w:b/>
          <w:sz w:val="24"/>
          <w:szCs w:val="24"/>
        </w:rPr>
        <w:t>JAIME ALBERTO SARAZA NARANJO</w:t>
      </w:r>
    </w:p>
    <w:p w14:paraId="5D00A67C" w14:textId="3C7A0E29" w:rsidR="003A347D" w:rsidRDefault="003A347D" w:rsidP="00471048">
      <w:pPr>
        <w:spacing w:line="276" w:lineRule="auto"/>
        <w:jc w:val="both"/>
        <w:rPr>
          <w:rFonts w:ascii="Gadugi" w:hAnsi="Gadugi" w:cs="Arial"/>
          <w:b/>
          <w:sz w:val="24"/>
          <w:szCs w:val="24"/>
        </w:rPr>
      </w:pPr>
    </w:p>
    <w:p w14:paraId="317E140F" w14:textId="77777777" w:rsidR="00AA3880" w:rsidRPr="00471048" w:rsidRDefault="00AA3880" w:rsidP="00471048">
      <w:pPr>
        <w:spacing w:line="276" w:lineRule="auto"/>
        <w:jc w:val="both"/>
        <w:rPr>
          <w:rFonts w:ascii="Gadugi" w:hAnsi="Gadugi" w:cs="Arial"/>
          <w:b/>
          <w:sz w:val="24"/>
          <w:szCs w:val="24"/>
        </w:rPr>
      </w:pPr>
    </w:p>
    <w:p w14:paraId="0C673954" w14:textId="7632E2F1" w:rsidR="00AE58D7" w:rsidRPr="00AA3880" w:rsidRDefault="00622EA3" w:rsidP="00AA3880">
      <w:pPr>
        <w:spacing w:line="276" w:lineRule="auto"/>
        <w:ind w:firstLine="2835"/>
        <w:jc w:val="both"/>
        <w:rPr>
          <w:rFonts w:ascii="Gadugi" w:hAnsi="Gadugi" w:cs="Arial"/>
          <w:b/>
          <w:sz w:val="24"/>
          <w:szCs w:val="24"/>
        </w:rPr>
      </w:pPr>
      <w:r w:rsidRPr="00AA3880">
        <w:rPr>
          <w:rFonts w:ascii="Gadugi" w:hAnsi="Gadugi" w:cs="Arial"/>
          <w:b/>
          <w:sz w:val="24"/>
          <w:szCs w:val="24"/>
        </w:rPr>
        <w:t>CARLOS MAURICIO GARCÍA BARAJAS</w:t>
      </w:r>
    </w:p>
    <w:p w14:paraId="7A09A19E" w14:textId="171BB173" w:rsidR="003A347D" w:rsidRDefault="003A347D" w:rsidP="00471048">
      <w:pPr>
        <w:spacing w:line="276" w:lineRule="auto"/>
        <w:jc w:val="both"/>
        <w:rPr>
          <w:rFonts w:ascii="Gadugi" w:hAnsi="Gadugi" w:cs="Arial"/>
          <w:b/>
          <w:bCs/>
          <w:sz w:val="24"/>
          <w:szCs w:val="24"/>
        </w:rPr>
      </w:pPr>
    </w:p>
    <w:p w14:paraId="1C734DDD" w14:textId="77777777" w:rsidR="00AA3880" w:rsidRPr="00471048" w:rsidRDefault="00AA3880" w:rsidP="00471048">
      <w:pPr>
        <w:spacing w:line="276" w:lineRule="auto"/>
        <w:jc w:val="both"/>
        <w:rPr>
          <w:rFonts w:ascii="Gadugi" w:hAnsi="Gadugi" w:cs="Arial"/>
          <w:b/>
          <w:bCs/>
          <w:sz w:val="24"/>
          <w:szCs w:val="24"/>
        </w:rPr>
      </w:pPr>
    </w:p>
    <w:p w14:paraId="01D8714B" w14:textId="29790C23" w:rsidR="00175C27" w:rsidRPr="00AA3880" w:rsidRDefault="00622EA3" w:rsidP="00AA3880">
      <w:pPr>
        <w:spacing w:line="276" w:lineRule="auto"/>
        <w:ind w:firstLine="2835"/>
        <w:jc w:val="both"/>
        <w:rPr>
          <w:rFonts w:ascii="Gadugi" w:hAnsi="Gadugi" w:cs="Arial"/>
          <w:b/>
          <w:sz w:val="24"/>
          <w:szCs w:val="24"/>
        </w:rPr>
      </w:pPr>
      <w:r w:rsidRPr="00AA3880">
        <w:rPr>
          <w:rFonts w:ascii="Gadugi" w:hAnsi="Gadugi" w:cs="Arial"/>
          <w:b/>
          <w:sz w:val="24"/>
          <w:szCs w:val="24"/>
        </w:rPr>
        <w:t>DUBERNEY GRISALES HERRERA</w:t>
      </w:r>
    </w:p>
    <w:sectPr w:rsidR="00175C27" w:rsidRPr="00AA3880" w:rsidSect="00471048">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8B2F51" w16cex:dateUtc="2022-05-17T19:12:53.604Z"/>
  <w16cex:commentExtensible w16cex:durableId="228DC13A" w16cex:dateUtc="2022-05-17T19:30:18.648Z"/>
  <w16cex:commentExtensible w16cex:durableId="718F7549" w16cex:dateUtc="2022-05-17T19:32:03.815Z"/>
  <w16cex:commentExtensible w16cex:durableId="71E07E0D" w16cex:dateUtc="2022-05-17T19:33:17.378Z"/>
  <w16cex:commentExtensible w16cex:durableId="0FE98576" w16cex:dateUtc="2022-05-17T19:33:46.53Z"/>
  <w16cex:commentExtensible w16cex:durableId="1B227786" w16cex:dateUtc="2022-05-17T21:05:55.487Z"/>
  <w16cex:commentExtensible w16cex:durableId="6DE6E2E3" w16cex:dateUtc="2022-05-17T21:07:49.6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0E9E6" w14:textId="77777777" w:rsidR="00A30EFC" w:rsidRDefault="00A30EFC" w:rsidP="00CD73E5">
      <w:r>
        <w:separator/>
      </w:r>
    </w:p>
  </w:endnote>
  <w:endnote w:type="continuationSeparator" w:id="0">
    <w:p w14:paraId="54E96C2C" w14:textId="77777777" w:rsidR="00A30EFC" w:rsidRDefault="00A30EFC"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D07D98" w:rsidRPr="00AA3880" w:rsidRDefault="00D07D98">
    <w:pPr>
      <w:pStyle w:val="Piedepgina"/>
      <w:framePr w:wrap="auto" w:vAnchor="text" w:hAnchor="margin" w:xAlign="right" w:y="1"/>
      <w:rPr>
        <w:rStyle w:val="Nmerodepgina"/>
        <w:rFonts w:ascii="Agency FB" w:hAnsi="Agency FB"/>
      </w:rPr>
    </w:pPr>
    <w:r w:rsidRPr="00AA3880">
      <w:rPr>
        <w:rStyle w:val="Nmerodepgina"/>
        <w:rFonts w:ascii="Agency FB" w:hAnsi="Agency FB"/>
      </w:rPr>
      <w:fldChar w:fldCharType="begin"/>
    </w:r>
    <w:r w:rsidRPr="00AA3880">
      <w:rPr>
        <w:rStyle w:val="Nmerodepgina"/>
        <w:rFonts w:ascii="Agency FB" w:hAnsi="Agency FB"/>
      </w:rPr>
      <w:instrText xml:space="preserve">PAGE  </w:instrText>
    </w:r>
    <w:r w:rsidRPr="00AA3880">
      <w:rPr>
        <w:rStyle w:val="Nmerodepgina"/>
        <w:rFonts w:ascii="Agency FB" w:hAnsi="Agency FB"/>
      </w:rPr>
      <w:fldChar w:fldCharType="separate"/>
    </w:r>
    <w:r w:rsidRPr="00AA3880">
      <w:rPr>
        <w:rStyle w:val="Nmerodepgina"/>
        <w:rFonts w:ascii="Agency FB" w:hAnsi="Agency FB"/>
        <w:noProof/>
      </w:rPr>
      <w:t>5</w:t>
    </w:r>
    <w:r w:rsidRPr="00AA3880">
      <w:rPr>
        <w:rStyle w:val="Nmerodepgina"/>
        <w:rFonts w:ascii="Agency FB" w:hAnsi="Agency FB"/>
      </w:rPr>
      <w:fldChar w:fldCharType="end"/>
    </w:r>
  </w:p>
  <w:p w14:paraId="51C0B288" w14:textId="77777777" w:rsidR="00D07D98" w:rsidRDefault="00D07D9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92536" w14:textId="77777777" w:rsidR="00A30EFC" w:rsidRDefault="00A30EFC" w:rsidP="00CD73E5">
      <w:r>
        <w:separator/>
      </w:r>
    </w:p>
  </w:footnote>
  <w:footnote w:type="continuationSeparator" w:id="0">
    <w:p w14:paraId="3EA824F9" w14:textId="77777777" w:rsidR="00A30EFC" w:rsidRDefault="00A30EFC" w:rsidP="00CD73E5">
      <w:r>
        <w:continuationSeparator/>
      </w:r>
    </w:p>
  </w:footnote>
  <w:footnote w:id="1">
    <w:p w14:paraId="1DE6467B" w14:textId="77777777" w:rsidR="002B4078" w:rsidRPr="00AA3880" w:rsidRDefault="002B4078"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 xml:space="preserve">Documento 02. </w:t>
      </w:r>
    </w:p>
  </w:footnote>
  <w:footnote w:id="2">
    <w:p w14:paraId="41FC6864" w14:textId="432A31C8" w:rsidR="002B4078" w:rsidRPr="00AA3880" w:rsidRDefault="002B4078"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Documento 10.</w:t>
      </w:r>
    </w:p>
  </w:footnote>
  <w:footnote w:id="3">
    <w:p w14:paraId="2ADC9FB8" w14:textId="4BE3B0CC" w:rsidR="002B4078" w:rsidRPr="00AA3880" w:rsidRDefault="002B4078"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Documento 13.</w:t>
      </w:r>
    </w:p>
  </w:footnote>
  <w:footnote w:id="4">
    <w:p w14:paraId="69383A56" w14:textId="20FDF7F8" w:rsidR="002B4078" w:rsidRPr="00AA3880" w:rsidRDefault="002B4078"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Documento 16.</w:t>
      </w:r>
    </w:p>
  </w:footnote>
  <w:footnote w:id="5">
    <w:p w14:paraId="2E5952EF" w14:textId="40134EE1" w:rsidR="002B4078" w:rsidRPr="00AA3880" w:rsidRDefault="002B4078"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 xml:space="preserve">Pág. 88, Documento 04. </w:t>
      </w:r>
    </w:p>
  </w:footnote>
  <w:footnote w:id="6">
    <w:p w14:paraId="014625B4" w14:textId="0DC89B8F" w:rsidR="00575E80" w:rsidRPr="00AA3880" w:rsidRDefault="00575E80"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120, Documento 04.</w:t>
      </w:r>
    </w:p>
  </w:footnote>
  <w:footnote w:id="7">
    <w:p w14:paraId="45F8E7CF" w14:textId="77777777" w:rsidR="00D07D98" w:rsidRPr="00AA3880" w:rsidRDefault="00D07D98" w:rsidP="003B54C5">
      <w:pPr>
        <w:pStyle w:val="Textonotapie"/>
        <w:tabs>
          <w:tab w:val="left" w:pos="426"/>
        </w:tabs>
        <w:jc w:val="both"/>
        <w:rPr>
          <w:rFonts w:ascii="Agency FB" w:hAnsi="Agency FB" w:cstheme="majorHAnsi"/>
          <w:szCs w:val="24"/>
          <w:lang w:val="es-CO"/>
        </w:rPr>
      </w:pPr>
      <w:r w:rsidRPr="00AA3880">
        <w:rPr>
          <w:rStyle w:val="Refdenotaalpie"/>
          <w:rFonts w:ascii="Agency FB" w:hAnsi="Agency FB" w:cstheme="majorHAnsi"/>
          <w:szCs w:val="24"/>
        </w:rPr>
        <w:footnoteRef/>
      </w:r>
      <w:r w:rsidRPr="00AA3880">
        <w:rPr>
          <w:rFonts w:ascii="Agency FB" w:hAnsi="Agency FB" w:cstheme="majorHAnsi"/>
          <w:szCs w:val="24"/>
          <w:vertAlign w:val="superscript"/>
        </w:rPr>
        <w:t xml:space="preserve"> </w:t>
      </w:r>
      <w:r w:rsidRPr="00AA3880">
        <w:rPr>
          <w:rFonts w:ascii="Agency FB" w:hAnsi="Agency FB" w:cstheme="majorHAnsi"/>
          <w:szCs w:val="24"/>
        </w:rPr>
        <w:t>Sentencia C-543-92</w:t>
      </w:r>
    </w:p>
  </w:footnote>
  <w:footnote w:id="8">
    <w:p w14:paraId="22F24F43" w14:textId="5178E574" w:rsidR="00575E80" w:rsidRPr="00AA3880" w:rsidRDefault="00575E80"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Documento 03.</w:t>
      </w:r>
    </w:p>
  </w:footnote>
  <w:footnote w:id="9">
    <w:p w14:paraId="446CB819" w14:textId="043F85AA" w:rsidR="00575E80" w:rsidRPr="00AA3880" w:rsidRDefault="00575E80"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109, Documento 04.</w:t>
      </w:r>
    </w:p>
  </w:footnote>
  <w:footnote w:id="10">
    <w:p w14:paraId="193C8F44" w14:textId="2A2278A3" w:rsidR="00575E80" w:rsidRPr="00AA3880" w:rsidRDefault="00575E80"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Documento 08.</w:t>
      </w:r>
    </w:p>
  </w:footnote>
  <w:footnote w:id="11">
    <w:p w14:paraId="61EC07CF" w14:textId="77777777" w:rsidR="00D07D98" w:rsidRPr="00AA3880" w:rsidRDefault="00D07D98" w:rsidP="003B54C5">
      <w:pPr>
        <w:pStyle w:val="Textonotapie"/>
        <w:jc w:val="both"/>
        <w:rPr>
          <w:rFonts w:ascii="Agency FB" w:hAnsi="Agency FB" w:cstheme="majorHAnsi"/>
          <w:szCs w:val="24"/>
          <w:lang w:val="es-CO"/>
        </w:rPr>
      </w:pPr>
      <w:r w:rsidRPr="00AA3880">
        <w:rPr>
          <w:rStyle w:val="Refdenotaalpie"/>
          <w:rFonts w:ascii="Agency FB" w:hAnsi="Agency FB" w:cstheme="majorHAnsi"/>
          <w:szCs w:val="24"/>
        </w:rPr>
        <w:footnoteRef/>
      </w:r>
      <w:r w:rsidRPr="00AA3880">
        <w:rPr>
          <w:rFonts w:ascii="Agency FB" w:hAnsi="Agency FB" w:cstheme="majorHAnsi"/>
          <w:szCs w:val="24"/>
        </w:rPr>
        <w:t xml:space="preserve"> Sentencia SU-072/18</w:t>
      </w:r>
    </w:p>
  </w:footnote>
  <w:footnote w:id="12">
    <w:p w14:paraId="36F46B03" w14:textId="77777777" w:rsidR="00D07D98" w:rsidRPr="00AA3880" w:rsidRDefault="00D07D98" w:rsidP="003B54C5">
      <w:pPr>
        <w:pStyle w:val="Textonotapie"/>
        <w:jc w:val="both"/>
        <w:rPr>
          <w:rFonts w:ascii="Agency FB" w:hAnsi="Agency FB" w:cstheme="majorHAnsi"/>
          <w:szCs w:val="24"/>
          <w:lang w:val="es-CO"/>
        </w:rPr>
      </w:pPr>
      <w:r w:rsidRPr="00AA3880">
        <w:rPr>
          <w:rStyle w:val="Refdenotaalpie"/>
          <w:rFonts w:ascii="Agency FB" w:hAnsi="Agency FB" w:cstheme="majorHAnsi"/>
          <w:szCs w:val="24"/>
        </w:rPr>
        <w:footnoteRef/>
      </w:r>
      <w:r w:rsidRPr="00AA3880">
        <w:rPr>
          <w:rFonts w:ascii="Agency FB" w:hAnsi="Agency FB" w:cstheme="majorHAnsi"/>
          <w:szCs w:val="24"/>
        </w:rPr>
        <w:t xml:space="preserve"> SU-632 de 2017 basándose en las SU-195 de 2012, T-143 de 2011, T-456 de 2010 y T-567 de 1998.</w:t>
      </w:r>
    </w:p>
  </w:footnote>
  <w:footnote w:id="13">
    <w:p w14:paraId="59BA319F" w14:textId="77777777" w:rsidR="00D07D98" w:rsidRPr="00AA3880" w:rsidRDefault="00D07D98" w:rsidP="003B54C5">
      <w:pPr>
        <w:pStyle w:val="Textonotapie"/>
        <w:jc w:val="both"/>
        <w:rPr>
          <w:rFonts w:ascii="Agency FB" w:hAnsi="Agency FB" w:cstheme="majorHAnsi"/>
          <w:szCs w:val="24"/>
          <w:lang w:val="es-CO"/>
        </w:rPr>
      </w:pPr>
      <w:r w:rsidRPr="00AA3880">
        <w:rPr>
          <w:rStyle w:val="Refdenotaalpie"/>
          <w:rFonts w:ascii="Agency FB" w:hAnsi="Agency FB" w:cstheme="majorHAnsi"/>
          <w:szCs w:val="24"/>
        </w:rPr>
        <w:footnoteRef/>
      </w:r>
      <w:r w:rsidRPr="00AA3880">
        <w:rPr>
          <w:rFonts w:ascii="Agency FB" w:hAnsi="Agency FB" w:cstheme="majorHAnsi"/>
          <w:szCs w:val="24"/>
        </w:rPr>
        <w:t xml:space="preserve"> Sentencia T-456 de 2010. Recapitulada en la SU-632 de 2017.</w:t>
      </w:r>
    </w:p>
  </w:footnote>
  <w:footnote w:id="14">
    <w:p w14:paraId="570E914E" w14:textId="77777777" w:rsidR="00D07D98" w:rsidRPr="00AA3880" w:rsidRDefault="00D07D98" w:rsidP="003B54C5">
      <w:pPr>
        <w:pStyle w:val="Textonotapie"/>
        <w:jc w:val="both"/>
        <w:rPr>
          <w:rFonts w:ascii="Agency FB" w:hAnsi="Agency FB" w:cstheme="majorHAnsi"/>
          <w:szCs w:val="24"/>
          <w:lang w:val="es-CO"/>
        </w:rPr>
      </w:pPr>
      <w:r w:rsidRPr="00AA3880">
        <w:rPr>
          <w:rStyle w:val="Refdenotaalpie"/>
          <w:rFonts w:ascii="Agency FB" w:hAnsi="Agency FB" w:cstheme="majorHAnsi"/>
          <w:szCs w:val="24"/>
        </w:rPr>
        <w:footnoteRef/>
      </w:r>
      <w:r w:rsidRPr="00AA3880">
        <w:rPr>
          <w:rFonts w:ascii="Agency FB" w:hAnsi="Agency FB" w:cstheme="majorHAnsi"/>
          <w:szCs w:val="24"/>
        </w:rPr>
        <w:t xml:space="preserve"> Sentencia T-311 de 2009. Recapitulada en la SU-632 de 2017.</w:t>
      </w:r>
    </w:p>
  </w:footnote>
  <w:footnote w:id="15">
    <w:p w14:paraId="3161A907" w14:textId="77777777" w:rsidR="002B4078" w:rsidRPr="00AA3880" w:rsidRDefault="002B4078"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Sentencia C-100/19</w:t>
      </w:r>
    </w:p>
  </w:footnote>
  <w:footnote w:id="16">
    <w:p w14:paraId="0FB4EECC" w14:textId="48F28B43" w:rsidR="00575E80" w:rsidRPr="00AA3880" w:rsidRDefault="00575E80"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4, Documento 01. C. 1ra Instancia, Expediente Ejecutivo (enlace, Documento 12)</w:t>
      </w:r>
    </w:p>
  </w:footnote>
  <w:footnote w:id="17">
    <w:p w14:paraId="6A1F72F1" w14:textId="154BE812" w:rsidR="00575E80" w:rsidRPr="00AA3880" w:rsidRDefault="00575E80"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 xml:space="preserve">Pág. 10 ibidem. </w:t>
      </w:r>
    </w:p>
  </w:footnote>
  <w:footnote w:id="18">
    <w:p w14:paraId="183EC0ED" w14:textId="072F9335" w:rsidR="00575E80" w:rsidRPr="00AA3880" w:rsidRDefault="00575E80"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11 ibidem.</w:t>
      </w:r>
    </w:p>
  </w:footnote>
  <w:footnote w:id="19">
    <w:p w14:paraId="72AB390F" w14:textId="5F7164AF" w:rsidR="00575E80" w:rsidRPr="00AA3880" w:rsidRDefault="00575E80"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17 ibidem.</w:t>
      </w:r>
    </w:p>
  </w:footnote>
  <w:footnote w:id="20">
    <w:p w14:paraId="1F77F29D" w14:textId="0719FF85" w:rsidR="00575E80" w:rsidRPr="00AA3880" w:rsidRDefault="00575E80"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19 ibidem.</w:t>
      </w:r>
    </w:p>
  </w:footnote>
  <w:footnote w:id="21">
    <w:p w14:paraId="50F74FAE" w14:textId="31D64367" w:rsidR="00575E80" w:rsidRPr="00AA3880" w:rsidRDefault="00575E80"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30 ibidem.</w:t>
      </w:r>
    </w:p>
  </w:footnote>
  <w:footnote w:id="22">
    <w:p w14:paraId="71F3B787" w14:textId="565051CE" w:rsidR="00575E80" w:rsidRPr="00AA3880" w:rsidRDefault="00575E80"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34 ibidem.</w:t>
      </w:r>
    </w:p>
  </w:footnote>
  <w:footnote w:id="23">
    <w:p w14:paraId="7B3A4138" w14:textId="7A200CC0" w:rsidR="00575E80" w:rsidRPr="00AA3880" w:rsidRDefault="00575E80"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38 ibidem.</w:t>
      </w:r>
    </w:p>
  </w:footnote>
  <w:footnote w:id="24">
    <w:p w14:paraId="2D031AFE" w14:textId="5AF7084C" w:rsidR="00575E80" w:rsidRPr="00AA3880" w:rsidRDefault="00575E80"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42 ibidem.</w:t>
      </w:r>
    </w:p>
  </w:footnote>
  <w:footnote w:id="25">
    <w:p w14:paraId="4C217527" w14:textId="775B64F2" w:rsidR="002D2ADB" w:rsidRPr="00AA3880" w:rsidRDefault="002D2ADB"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87 ibidem.</w:t>
      </w:r>
    </w:p>
  </w:footnote>
  <w:footnote w:id="26">
    <w:p w14:paraId="47343208" w14:textId="11F735B2" w:rsidR="002D2ADB" w:rsidRPr="00AA3880" w:rsidRDefault="002D2ADB"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97 ibidem.</w:t>
      </w:r>
    </w:p>
  </w:footnote>
  <w:footnote w:id="27">
    <w:p w14:paraId="58F4B62B" w14:textId="12EC5C72" w:rsidR="00793657" w:rsidRPr="00AA3880" w:rsidRDefault="00793657"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103 ibidem.</w:t>
      </w:r>
    </w:p>
  </w:footnote>
  <w:footnote w:id="28">
    <w:p w14:paraId="44573038" w14:textId="5600BA5F" w:rsidR="002D2ADB" w:rsidRPr="00AA3880" w:rsidRDefault="002D2ADB"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 xml:space="preserve">Min 20:00 al 37:42 Audiencia, archivo 20 ídem. </w:t>
      </w:r>
    </w:p>
  </w:footnote>
  <w:footnote w:id="29">
    <w:p w14:paraId="64303275" w14:textId="3FEA2814" w:rsidR="00793657" w:rsidRPr="00AA3880" w:rsidRDefault="00793657"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 xml:space="preserve">Pág. 24, Documento 04. </w:t>
      </w:r>
    </w:p>
  </w:footnote>
  <w:footnote w:id="30">
    <w:p w14:paraId="37020FF4" w14:textId="2E322689" w:rsidR="00793657" w:rsidRPr="00AA3880" w:rsidRDefault="00793657"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Documento 25, C. 1ra Instancia, Expediente Ejecutivo (enlace, Documento 12)</w:t>
      </w:r>
    </w:p>
  </w:footnote>
  <w:footnote w:id="31">
    <w:p w14:paraId="71E61807" w14:textId="40ADA0B1" w:rsidR="00793657" w:rsidRPr="00AA3880" w:rsidRDefault="00793657"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 xml:space="preserve">Pág. 54, Documento 04. </w:t>
      </w:r>
    </w:p>
  </w:footnote>
  <w:footnote w:id="32">
    <w:p w14:paraId="3860E5AB" w14:textId="408BCBDD" w:rsidR="00793657" w:rsidRPr="00AA3880" w:rsidRDefault="00793657"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56, Documento 04.</w:t>
      </w:r>
    </w:p>
  </w:footnote>
  <w:footnote w:id="33">
    <w:p w14:paraId="63087BC7" w14:textId="5B30DDDB" w:rsidR="00793657" w:rsidRPr="00AA3880" w:rsidRDefault="00793657"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78, Documento 04.</w:t>
      </w:r>
    </w:p>
  </w:footnote>
  <w:footnote w:id="34">
    <w:p w14:paraId="5408A2CB" w14:textId="77BD84E7" w:rsidR="00793657" w:rsidRPr="00AA3880" w:rsidRDefault="00793657"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w:t>
      </w:r>
      <w:r w:rsidRPr="00AA3880">
        <w:rPr>
          <w:rFonts w:ascii="Agency FB" w:hAnsi="Agency FB"/>
          <w:szCs w:val="24"/>
          <w:lang w:val="es-CO"/>
        </w:rPr>
        <w:t>Pág. 109, Documento 04.</w:t>
      </w:r>
    </w:p>
  </w:footnote>
  <w:footnote w:id="35">
    <w:p w14:paraId="58F4D0C6" w14:textId="7E53D05D" w:rsidR="003B54C5" w:rsidRPr="00AA3880" w:rsidRDefault="003B54C5" w:rsidP="003B54C5">
      <w:pPr>
        <w:pStyle w:val="Textonotapie"/>
        <w:jc w:val="both"/>
        <w:rPr>
          <w:rFonts w:ascii="Agency FB" w:hAnsi="Agency FB"/>
          <w:szCs w:val="24"/>
          <w:lang w:val="es-CO"/>
        </w:rPr>
      </w:pPr>
      <w:r w:rsidRPr="00AA3880">
        <w:rPr>
          <w:rStyle w:val="Refdenotaalpie"/>
          <w:rFonts w:ascii="Agency FB" w:hAnsi="Agency FB"/>
          <w:szCs w:val="24"/>
        </w:rPr>
        <w:footnoteRef/>
      </w:r>
      <w:r w:rsidRPr="00AA3880">
        <w:rPr>
          <w:rFonts w:ascii="Agency FB" w:hAnsi="Agency FB"/>
          <w:szCs w:val="24"/>
        </w:rPr>
        <w:t xml:space="preserve"> SCC.CSJ. Exp. No. 11001-02-03-000-2009-01281-00. Sent. 15 de abril de 2011. M.P. Edgardo Villamil Portilla.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D07D98" w:rsidRDefault="00D07D98"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519A"/>
    <w:multiLevelType w:val="hybridMultilevel"/>
    <w:tmpl w:val="863A01A2"/>
    <w:lvl w:ilvl="0" w:tplc="12EAE78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30833EFA"/>
    <w:multiLevelType w:val="hybridMultilevel"/>
    <w:tmpl w:val="68C6E986"/>
    <w:lvl w:ilvl="0" w:tplc="57B8B74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14E31"/>
    <w:rsid w:val="00023DCD"/>
    <w:rsid w:val="00026720"/>
    <w:rsid w:val="000412C9"/>
    <w:rsid w:val="00041D47"/>
    <w:rsid w:val="00042088"/>
    <w:rsid w:val="00042BFD"/>
    <w:rsid w:val="00043798"/>
    <w:rsid w:val="000568A3"/>
    <w:rsid w:val="00061E67"/>
    <w:rsid w:val="000628B7"/>
    <w:rsid w:val="00064E9E"/>
    <w:rsid w:val="00066D3E"/>
    <w:rsid w:val="00071B57"/>
    <w:rsid w:val="00082123"/>
    <w:rsid w:val="0008216C"/>
    <w:rsid w:val="00091497"/>
    <w:rsid w:val="00093699"/>
    <w:rsid w:val="00094044"/>
    <w:rsid w:val="00095C04"/>
    <w:rsid w:val="000A02B8"/>
    <w:rsid w:val="000A46E9"/>
    <w:rsid w:val="000A6C3A"/>
    <w:rsid w:val="000A70CF"/>
    <w:rsid w:val="000C0169"/>
    <w:rsid w:val="000C1EAF"/>
    <w:rsid w:val="000D07BF"/>
    <w:rsid w:val="000D165B"/>
    <w:rsid w:val="000D1EAA"/>
    <w:rsid w:val="000D72C6"/>
    <w:rsid w:val="000E177B"/>
    <w:rsid w:val="000E4189"/>
    <w:rsid w:val="000E4C6A"/>
    <w:rsid w:val="000E4D42"/>
    <w:rsid w:val="000E4F08"/>
    <w:rsid w:val="000F189F"/>
    <w:rsid w:val="000F37CA"/>
    <w:rsid w:val="000F4F93"/>
    <w:rsid w:val="00104F3A"/>
    <w:rsid w:val="0010550B"/>
    <w:rsid w:val="0010676D"/>
    <w:rsid w:val="001106C1"/>
    <w:rsid w:val="00111646"/>
    <w:rsid w:val="00112AC6"/>
    <w:rsid w:val="001200C9"/>
    <w:rsid w:val="001215F1"/>
    <w:rsid w:val="001217B9"/>
    <w:rsid w:val="00123442"/>
    <w:rsid w:val="001242AD"/>
    <w:rsid w:val="001247B9"/>
    <w:rsid w:val="001312D4"/>
    <w:rsid w:val="00132C6C"/>
    <w:rsid w:val="001355B9"/>
    <w:rsid w:val="0013748A"/>
    <w:rsid w:val="00144607"/>
    <w:rsid w:val="00153968"/>
    <w:rsid w:val="001644BC"/>
    <w:rsid w:val="00167C1B"/>
    <w:rsid w:val="0017328F"/>
    <w:rsid w:val="001746F2"/>
    <w:rsid w:val="00175C27"/>
    <w:rsid w:val="00176E35"/>
    <w:rsid w:val="00183236"/>
    <w:rsid w:val="001860F8"/>
    <w:rsid w:val="00186126"/>
    <w:rsid w:val="001870A4"/>
    <w:rsid w:val="001920FD"/>
    <w:rsid w:val="001924A5"/>
    <w:rsid w:val="00193310"/>
    <w:rsid w:val="00194800"/>
    <w:rsid w:val="00197B6A"/>
    <w:rsid w:val="001A134E"/>
    <w:rsid w:val="001A1E05"/>
    <w:rsid w:val="001A46A3"/>
    <w:rsid w:val="001A6C2E"/>
    <w:rsid w:val="001A6E73"/>
    <w:rsid w:val="001A7E58"/>
    <w:rsid w:val="001C1144"/>
    <w:rsid w:val="001C1543"/>
    <w:rsid w:val="001C21AB"/>
    <w:rsid w:val="001C401E"/>
    <w:rsid w:val="001C4FAC"/>
    <w:rsid w:val="001C62C3"/>
    <w:rsid w:val="001D7EF0"/>
    <w:rsid w:val="001E0739"/>
    <w:rsid w:val="001E4638"/>
    <w:rsid w:val="001F4D33"/>
    <w:rsid w:val="001F6C80"/>
    <w:rsid w:val="0020061A"/>
    <w:rsid w:val="00201343"/>
    <w:rsid w:val="002030E2"/>
    <w:rsid w:val="0020386E"/>
    <w:rsid w:val="00204D6E"/>
    <w:rsid w:val="00224ED5"/>
    <w:rsid w:val="00224F77"/>
    <w:rsid w:val="00227E21"/>
    <w:rsid w:val="00232F65"/>
    <w:rsid w:val="00233DDD"/>
    <w:rsid w:val="00235AF5"/>
    <w:rsid w:val="00240A24"/>
    <w:rsid w:val="00244086"/>
    <w:rsid w:val="00244FA9"/>
    <w:rsid w:val="002452B5"/>
    <w:rsid w:val="00245B9F"/>
    <w:rsid w:val="00253C0F"/>
    <w:rsid w:val="00254040"/>
    <w:rsid w:val="00254315"/>
    <w:rsid w:val="00254CA3"/>
    <w:rsid w:val="00254ECB"/>
    <w:rsid w:val="00260FD5"/>
    <w:rsid w:val="002722F9"/>
    <w:rsid w:val="00285265"/>
    <w:rsid w:val="00287908"/>
    <w:rsid w:val="002916DB"/>
    <w:rsid w:val="00291947"/>
    <w:rsid w:val="00293B7C"/>
    <w:rsid w:val="002A13BB"/>
    <w:rsid w:val="002A2B38"/>
    <w:rsid w:val="002A3BCA"/>
    <w:rsid w:val="002A6D92"/>
    <w:rsid w:val="002A79BC"/>
    <w:rsid w:val="002B2D36"/>
    <w:rsid w:val="002B3DEE"/>
    <w:rsid w:val="002B4078"/>
    <w:rsid w:val="002B7FA1"/>
    <w:rsid w:val="002C1510"/>
    <w:rsid w:val="002C168E"/>
    <w:rsid w:val="002C2AD5"/>
    <w:rsid w:val="002C2D8D"/>
    <w:rsid w:val="002C4C8A"/>
    <w:rsid w:val="002C6530"/>
    <w:rsid w:val="002D0D02"/>
    <w:rsid w:val="002D1942"/>
    <w:rsid w:val="002D2ADB"/>
    <w:rsid w:val="002D2DB6"/>
    <w:rsid w:val="002E0B7F"/>
    <w:rsid w:val="002E0E95"/>
    <w:rsid w:val="002E52AA"/>
    <w:rsid w:val="002F4460"/>
    <w:rsid w:val="00300E4C"/>
    <w:rsid w:val="0030149B"/>
    <w:rsid w:val="0030320A"/>
    <w:rsid w:val="003049BB"/>
    <w:rsid w:val="00304D7B"/>
    <w:rsid w:val="00304ED5"/>
    <w:rsid w:val="00306C9C"/>
    <w:rsid w:val="00307092"/>
    <w:rsid w:val="0031224F"/>
    <w:rsid w:val="003127B8"/>
    <w:rsid w:val="00312B3F"/>
    <w:rsid w:val="00312F65"/>
    <w:rsid w:val="00322A90"/>
    <w:rsid w:val="00323452"/>
    <w:rsid w:val="00334BA2"/>
    <w:rsid w:val="0034685F"/>
    <w:rsid w:val="00352AEF"/>
    <w:rsid w:val="003538FF"/>
    <w:rsid w:val="0036170A"/>
    <w:rsid w:val="003664F0"/>
    <w:rsid w:val="00366A42"/>
    <w:rsid w:val="00367871"/>
    <w:rsid w:val="00372B17"/>
    <w:rsid w:val="003774F9"/>
    <w:rsid w:val="00380C84"/>
    <w:rsid w:val="00384216"/>
    <w:rsid w:val="00387AE2"/>
    <w:rsid w:val="003916BF"/>
    <w:rsid w:val="00392809"/>
    <w:rsid w:val="003969EA"/>
    <w:rsid w:val="003A22C9"/>
    <w:rsid w:val="003A2345"/>
    <w:rsid w:val="003A3389"/>
    <w:rsid w:val="003A347D"/>
    <w:rsid w:val="003A4E57"/>
    <w:rsid w:val="003A75E1"/>
    <w:rsid w:val="003B06D3"/>
    <w:rsid w:val="003B3B92"/>
    <w:rsid w:val="003B54C5"/>
    <w:rsid w:val="003B57C8"/>
    <w:rsid w:val="003C1950"/>
    <w:rsid w:val="003C228C"/>
    <w:rsid w:val="003C422B"/>
    <w:rsid w:val="003D0477"/>
    <w:rsid w:val="003D65C3"/>
    <w:rsid w:val="003E5B22"/>
    <w:rsid w:val="003E5C4B"/>
    <w:rsid w:val="003E7384"/>
    <w:rsid w:val="003F0EBB"/>
    <w:rsid w:val="003F45D8"/>
    <w:rsid w:val="003F5B8E"/>
    <w:rsid w:val="004006B3"/>
    <w:rsid w:val="004041EC"/>
    <w:rsid w:val="00405635"/>
    <w:rsid w:val="00406988"/>
    <w:rsid w:val="0041227C"/>
    <w:rsid w:val="00412DDB"/>
    <w:rsid w:val="00413AD2"/>
    <w:rsid w:val="004159C6"/>
    <w:rsid w:val="00420900"/>
    <w:rsid w:val="00421D19"/>
    <w:rsid w:val="00422172"/>
    <w:rsid w:val="00424BF8"/>
    <w:rsid w:val="00426B0C"/>
    <w:rsid w:val="004322F0"/>
    <w:rsid w:val="0043509E"/>
    <w:rsid w:val="00436A51"/>
    <w:rsid w:val="0044045C"/>
    <w:rsid w:val="00444E53"/>
    <w:rsid w:val="00451F7F"/>
    <w:rsid w:val="004526DA"/>
    <w:rsid w:val="00460E1E"/>
    <w:rsid w:val="00464776"/>
    <w:rsid w:val="004659D1"/>
    <w:rsid w:val="00467BD1"/>
    <w:rsid w:val="0047092A"/>
    <w:rsid w:val="00471048"/>
    <w:rsid w:val="0047610A"/>
    <w:rsid w:val="0048217E"/>
    <w:rsid w:val="00491B5E"/>
    <w:rsid w:val="00491C8D"/>
    <w:rsid w:val="00496CF1"/>
    <w:rsid w:val="004A161D"/>
    <w:rsid w:val="004A1CCE"/>
    <w:rsid w:val="004A6B4E"/>
    <w:rsid w:val="004A6EA8"/>
    <w:rsid w:val="004B708A"/>
    <w:rsid w:val="004B75F7"/>
    <w:rsid w:val="004D0DB1"/>
    <w:rsid w:val="004D5085"/>
    <w:rsid w:val="004E25CC"/>
    <w:rsid w:val="004E35A9"/>
    <w:rsid w:val="004E4BF5"/>
    <w:rsid w:val="004E6AE1"/>
    <w:rsid w:val="004E7E04"/>
    <w:rsid w:val="004F1F88"/>
    <w:rsid w:val="004F22BB"/>
    <w:rsid w:val="004F56B7"/>
    <w:rsid w:val="005020D8"/>
    <w:rsid w:val="005024CB"/>
    <w:rsid w:val="00504428"/>
    <w:rsid w:val="00511613"/>
    <w:rsid w:val="00511D1E"/>
    <w:rsid w:val="00516544"/>
    <w:rsid w:val="00526F23"/>
    <w:rsid w:val="00527100"/>
    <w:rsid w:val="00540152"/>
    <w:rsid w:val="00543A5E"/>
    <w:rsid w:val="00552BB7"/>
    <w:rsid w:val="005559ED"/>
    <w:rsid w:val="00560147"/>
    <w:rsid w:val="00562E9C"/>
    <w:rsid w:val="005632A1"/>
    <w:rsid w:val="00564DDB"/>
    <w:rsid w:val="00570FFC"/>
    <w:rsid w:val="005729AD"/>
    <w:rsid w:val="00574A34"/>
    <w:rsid w:val="00575838"/>
    <w:rsid w:val="00575E80"/>
    <w:rsid w:val="005768F7"/>
    <w:rsid w:val="00584980"/>
    <w:rsid w:val="00585313"/>
    <w:rsid w:val="0058779C"/>
    <w:rsid w:val="0059222F"/>
    <w:rsid w:val="005930DD"/>
    <w:rsid w:val="005A044B"/>
    <w:rsid w:val="005A1133"/>
    <w:rsid w:val="005A7048"/>
    <w:rsid w:val="005A793D"/>
    <w:rsid w:val="005B0752"/>
    <w:rsid w:val="005B227F"/>
    <w:rsid w:val="005B4AFA"/>
    <w:rsid w:val="005B55D5"/>
    <w:rsid w:val="005B5C51"/>
    <w:rsid w:val="005C130D"/>
    <w:rsid w:val="005C668F"/>
    <w:rsid w:val="005D2439"/>
    <w:rsid w:val="005D5FC7"/>
    <w:rsid w:val="005D6060"/>
    <w:rsid w:val="005E7EEC"/>
    <w:rsid w:val="005F02D6"/>
    <w:rsid w:val="005F271D"/>
    <w:rsid w:val="005F7531"/>
    <w:rsid w:val="00601FE4"/>
    <w:rsid w:val="006039FA"/>
    <w:rsid w:val="00603CCC"/>
    <w:rsid w:val="00606AF6"/>
    <w:rsid w:val="0060733E"/>
    <w:rsid w:val="00614042"/>
    <w:rsid w:val="006143D6"/>
    <w:rsid w:val="0061791A"/>
    <w:rsid w:val="006207BC"/>
    <w:rsid w:val="006210D7"/>
    <w:rsid w:val="00622276"/>
    <w:rsid w:val="00622EA3"/>
    <w:rsid w:val="006258CE"/>
    <w:rsid w:val="006264E5"/>
    <w:rsid w:val="00632258"/>
    <w:rsid w:val="00634223"/>
    <w:rsid w:val="00635E0B"/>
    <w:rsid w:val="00636F50"/>
    <w:rsid w:val="00640A25"/>
    <w:rsid w:val="006417A9"/>
    <w:rsid w:val="00643785"/>
    <w:rsid w:val="00645BC9"/>
    <w:rsid w:val="0065277D"/>
    <w:rsid w:val="006577D7"/>
    <w:rsid w:val="0066132B"/>
    <w:rsid w:val="00667A1A"/>
    <w:rsid w:val="00667B2C"/>
    <w:rsid w:val="00671EB7"/>
    <w:rsid w:val="006733C8"/>
    <w:rsid w:val="006741FD"/>
    <w:rsid w:val="0068071E"/>
    <w:rsid w:val="00682FC9"/>
    <w:rsid w:val="00685931"/>
    <w:rsid w:val="00693B29"/>
    <w:rsid w:val="006A212D"/>
    <w:rsid w:val="006A73A1"/>
    <w:rsid w:val="006B16B9"/>
    <w:rsid w:val="006B3724"/>
    <w:rsid w:val="006B3A15"/>
    <w:rsid w:val="006B732F"/>
    <w:rsid w:val="006B75DE"/>
    <w:rsid w:val="006D0F33"/>
    <w:rsid w:val="006D2FF0"/>
    <w:rsid w:val="006D7206"/>
    <w:rsid w:val="006E416D"/>
    <w:rsid w:val="006F2100"/>
    <w:rsid w:val="006F55EB"/>
    <w:rsid w:val="006F6507"/>
    <w:rsid w:val="006F7900"/>
    <w:rsid w:val="00713293"/>
    <w:rsid w:val="00713CBA"/>
    <w:rsid w:val="007227F4"/>
    <w:rsid w:val="00725DBD"/>
    <w:rsid w:val="00726A23"/>
    <w:rsid w:val="0073025A"/>
    <w:rsid w:val="0073799D"/>
    <w:rsid w:val="00737EA8"/>
    <w:rsid w:val="007462C9"/>
    <w:rsid w:val="0075284A"/>
    <w:rsid w:val="00752F21"/>
    <w:rsid w:val="0075606B"/>
    <w:rsid w:val="00761049"/>
    <w:rsid w:val="00763241"/>
    <w:rsid w:val="0076766B"/>
    <w:rsid w:val="007679BD"/>
    <w:rsid w:val="00772119"/>
    <w:rsid w:val="00772C38"/>
    <w:rsid w:val="00776793"/>
    <w:rsid w:val="00780B0B"/>
    <w:rsid w:val="00781014"/>
    <w:rsid w:val="00781027"/>
    <w:rsid w:val="007857F8"/>
    <w:rsid w:val="00785A72"/>
    <w:rsid w:val="00791357"/>
    <w:rsid w:val="0079179A"/>
    <w:rsid w:val="007926E7"/>
    <w:rsid w:val="00793657"/>
    <w:rsid w:val="00795F6C"/>
    <w:rsid w:val="00797787"/>
    <w:rsid w:val="007A1BFF"/>
    <w:rsid w:val="007A4F97"/>
    <w:rsid w:val="007A6015"/>
    <w:rsid w:val="007A6CD6"/>
    <w:rsid w:val="007A7C07"/>
    <w:rsid w:val="007B1F52"/>
    <w:rsid w:val="007B2477"/>
    <w:rsid w:val="007C2B9B"/>
    <w:rsid w:val="007C7130"/>
    <w:rsid w:val="007D0DB4"/>
    <w:rsid w:val="007E5244"/>
    <w:rsid w:val="007E61E3"/>
    <w:rsid w:val="007F21BE"/>
    <w:rsid w:val="007F5494"/>
    <w:rsid w:val="00801030"/>
    <w:rsid w:val="008133EF"/>
    <w:rsid w:val="0083127D"/>
    <w:rsid w:val="0083178D"/>
    <w:rsid w:val="00831DA5"/>
    <w:rsid w:val="00833381"/>
    <w:rsid w:val="00842920"/>
    <w:rsid w:val="0084695B"/>
    <w:rsid w:val="00850350"/>
    <w:rsid w:val="00850B1A"/>
    <w:rsid w:val="0085355E"/>
    <w:rsid w:val="00864C42"/>
    <w:rsid w:val="00865CC7"/>
    <w:rsid w:val="008718AA"/>
    <w:rsid w:val="008762E3"/>
    <w:rsid w:val="00883511"/>
    <w:rsid w:val="00885088"/>
    <w:rsid w:val="00886098"/>
    <w:rsid w:val="0088614D"/>
    <w:rsid w:val="008905AF"/>
    <w:rsid w:val="0089318E"/>
    <w:rsid w:val="008933BA"/>
    <w:rsid w:val="0089515D"/>
    <w:rsid w:val="0089683B"/>
    <w:rsid w:val="00896CBB"/>
    <w:rsid w:val="008A0096"/>
    <w:rsid w:val="008A1E04"/>
    <w:rsid w:val="008A700A"/>
    <w:rsid w:val="008B1C3E"/>
    <w:rsid w:val="008B237F"/>
    <w:rsid w:val="008C0977"/>
    <w:rsid w:val="008C2D90"/>
    <w:rsid w:val="008C590D"/>
    <w:rsid w:val="008C64E4"/>
    <w:rsid w:val="008C7B94"/>
    <w:rsid w:val="008D25E4"/>
    <w:rsid w:val="008D38B4"/>
    <w:rsid w:val="008E1E32"/>
    <w:rsid w:val="008E3460"/>
    <w:rsid w:val="008E507B"/>
    <w:rsid w:val="008E5B10"/>
    <w:rsid w:val="008F1BED"/>
    <w:rsid w:val="008F1F32"/>
    <w:rsid w:val="008F3AA0"/>
    <w:rsid w:val="008F5A0D"/>
    <w:rsid w:val="008F60B4"/>
    <w:rsid w:val="009022F5"/>
    <w:rsid w:val="00904820"/>
    <w:rsid w:val="00911BFF"/>
    <w:rsid w:val="009170CD"/>
    <w:rsid w:val="00921289"/>
    <w:rsid w:val="00924001"/>
    <w:rsid w:val="0092590C"/>
    <w:rsid w:val="009261DF"/>
    <w:rsid w:val="00933140"/>
    <w:rsid w:val="009426D1"/>
    <w:rsid w:val="00943FF1"/>
    <w:rsid w:val="009529A8"/>
    <w:rsid w:val="00957E47"/>
    <w:rsid w:val="00965768"/>
    <w:rsid w:val="00966586"/>
    <w:rsid w:val="00970A5F"/>
    <w:rsid w:val="00972F33"/>
    <w:rsid w:val="00974547"/>
    <w:rsid w:val="00977397"/>
    <w:rsid w:val="00980F0E"/>
    <w:rsid w:val="00987327"/>
    <w:rsid w:val="009878F9"/>
    <w:rsid w:val="00994430"/>
    <w:rsid w:val="00994E40"/>
    <w:rsid w:val="009A0AFD"/>
    <w:rsid w:val="009A2618"/>
    <w:rsid w:val="009A30A9"/>
    <w:rsid w:val="009A60E5"/>
    <w:rsid w:val="009A633D"/>
    <w:rsid w:val="009B2FBD"/>
    <w:rsid w:val="009C3244"/>
    <w:rsid w:val="009C4207"/>
    <w:rsid w:val="009C6854"/>
    <w:rsid w:val="009C6B54"/>
    <w:rsid w:val="009D0F3B"/>
    <w:rsid w:val="009D2D46"/>
    <w:rsid w:val="009D4C7B"/>
    <w:rsid w:val="009D4F57"/>
    <w:rsid w:val="009D5349"/>
    <w:rsid w:val="009D67D9"/>
    <w:rsid w:val="009D6EA3"/>
    <w:rsid w:val="009E0FD8"/>
    <w:rsid w:val="009E4741"/>
    <w:rsid w:val="009E7C38"/>
    <w:rsid w:val="009F21F9"/>
    <w:rsid w:val="009F3E84"/>
    <w:rsid w:val="009F65B9"/>
    <w:rsid w:val="00A006BB"/>
    <w:rsid w:val="00A0360C"/>
    <w:rsid w:val="00A11B7B"/>
    <w:rsid w:val="00A12F74"/>
    <w:rsid w:val="00A133A5"/>
    <w:rsid w:val="00A135D1"/>
    <w:rsid w:val="00A14E52"/>
    <w:rsid w:val="00A1540A"/>
    <w:rsid w:val="00A16252"/>
    <w:rsid w:val="00A1638C"/>
    <w:rsid w:val="00A20D52"/>
    <w:rsid w:val="00A22663"/>
    <w:rsid w:val="00A27193"/>
    <w:rsid w:val="00A30EFC"/>
    <w:rsid w:val="00A322C1"/>
    <w:rsid w:val="00A34B2C"/>
    <w:rsid w:val="00A35114"/>
    <w:rsid w:val="00A37894"/>
    <w:rsid w:val="00A4037B"/>
    <w:rsid w:val="00A42D85"/>
    <w:rsid w:val="00A43E9F"/>
    <w:rsid w:val="00A53809"/>
    <w:rsid w:val="00A54986"/>
    <w:rsid w:val="00A567A9"/>
    <w:rsid w:val="00A6223C"/>
    <w:rsid w:val="00A633EE"/>
    <w:rsid w:val="00A659BB"/>
    <w:rsid w:val="00A66628"/>
    <w:rsid w:val="00A745F1"/>
    <w:rsid w:val="00A74732"/>
    <w:rsid w:val="00A75E18"/>
    <w:rsid w:val="00A777DB"/>
    <w:rsid w:val="00A80E17"/>
    <w:rsid w:val="00A80E46"/>
    <w:rsid w:val="00A81FE7"/>
    <w:rsid w:val="00A8218F"/>
    <w:rsid w:val="00A96FE0"/>
    <w:rsid w:val="00A97ED4"/>
    <w:rsid w:val="00AA1030"/>
    <w:rsid w:val="00AA10C1"/>
    <w:rsid w:val="00AA1F33"/>
    <w:rsid w:val="00AA2FEF"/>
    <w:rsid w:val="00AA3880"/>
    <w:rsid w:val="00AA7448"/>
    <w:rsid w:val="00AC3596"/>
    <w:rsid w:val="00AC524D"/>
    <w:rsid w:val="00AC5562"/>
    <w:rsid w:val="00AC7344"/>
    <w:rsid w:val="00AD08D8"/>
    <w:rsid w:val="00AD0DB1"/>
    <w:rsid w:val="00AD4788"/>
    <w:rsid w:val="00AD5A79"/>
    <w:rsid w:val="00AD6088"/>
    <w:rsid w:val="00AE58D7"/>
    <w:rsid w:val="00AE6090"/>
    <w:rsid w:val="00AE715B"/>
    <w:rsid w:val="00AE7954"/>
    <w:rsid w:val="00AF3B8C"/>
    <w:rsid w:val="00AF3F66"/>
    <w:rsid w:val="00AF434C"/>
    <w:rsid w:val="00AF4AD3"/>
    <w:rsid w:val="00AF578D"/>
    <w:rsid w:val="00AF5B39"/>
    <w:rsid w:val="00AF711D"/>
    <w:rsid w:val="00B02BE9"/>
    <w:rsid w:val="00B04026"/>
    <w:rsid w:val="00B109D3"/>
    <w:rsid w:val="00B1186B"/>
    <w:rsid w:val="00B11C7F"/>
    <w:rsid w:val="00B12327"/>
    <w:rsid w:val="00B226B8"/>
    <w:rsid w:val="00B251A8"/>
    <w:rsid w:val="00B34201"/>
    <w:rsid w:val="00B34553"/>
    <w:rsid w:val="00B36C88"/>
    <w:rsid w:val="00B40BCA"/>
    <w:rsid w:val="00B45CD9"/>
    <w:rsid w:val="00B470C8"/>
    <w:rsid w:val="00B50E85"/>
    <w:rsid w:val="00B519AC"/>
    <w:rsid w:val="00B702C3"/>
    <w:rsid w:val="00B754D2"/>
    <w:rsid w:val="00B84F11"/>
    <w:rsid w:val="00B85916"/>
    <w:rsid w:val="00B87A7E"/>
    <w:rsid w:val="00B901AB"/>
    <w:rsid w:val="00B93B44"/>
    <w:rsid w:val="00B94A29"/>
    <w:rsid w:val="00BB225A"/>
    <w:rsid w:val="00BB743F"/>
    <w:rsid w:val="00BB7890"/>
    <w:rsid w:val="00BC4222"/>
    <w:rsid w:val="00BD450A"/>
    <w:rsid w:val="00BD49B7"/>
    <w:rsid w:val="00BD6634"/>
    <w:rsid w:val="00BE3D4C"/>
    <w:rsid w:val="00BF18C1"/>
    <w:rsid w:val="00BF426C"/>
    <w:rsid w:val="00C04B65"/>
    <w:rsid w:val="00C062D1"/>
    <w:rsid w:val="00C076A0"/>
    <w:rsid w:val="00C124BB"/>
    <w:rsid w:val="00C269C8"/>
    <w:rsid w:val="00C325B0"/>
    <w:rsid w:val="00C36F68"/>
    <w:rsid w:val="00C4363F"/>
    <w:rsid w:val="00C47BB2"/>
    <w:rsid w:val="00C5364D"/>
    <w:rsid w:val="00C545D0"/>
    <w:rsid w:val="00C54BA0"/>
    <w:rsid w:val="00C56087"/>
    <w:rsid w:val="00C60402"/>
    <w:rsid w:val="00C60AAB"/>
    <w:rsid w:val="00C611C3"/>
    <w:rsid w:val="00C62B4F"/>
    <w:rsid w:val="00C67C66"/>
    <w:rsid w:val="00C71F28"/>
    <w:rsid w:val="00C805F6"/>
    <w:rsid w:val="00C806F1"/>
    <w:rsid w:val="00C82097"/>
    <w:rsid w:val="00C83E82"/>
    <w:rsid w:val="00C8489D"/>
    <w:rsid w:val="00C9231A"/>
    <w:rsid w:val="00C938BB"/>
    <w:rsid w:val="00C9743B"/>
    <w:rsid w:val="00CA22AE"/>
    <w:rsid w:val="00CA5BD1"/>
    <w:rsid w:val="00CB1463"/>
    <w:rsid w:val="00CB36F4"/>
    <w:rsid w:val="00CB4023"/>
    <w:rsid w:val="00CB678B"/>
    <w:rsid w:val="00CB75FF"/>
    <w:rsid w:val="00CB761D"/>
    <w:rsid w:val="00CB7F71"/>
    <w:rsid w:val="00CD0F98"/>
    <w:rsid w:val="00CD34E9"/>
    <w:rsid w:val="00CD5094"/>
    <w:rsid w:val="00CD73E5"/>
    <w:rsid w:val="00CE21AC"/>
    <w:rsid w:val="00CE400D"/>
    <w:rsid w:val="00CE7353"/>
    <w:rsid w:val="00CF47C0"/>
    <w:rsid w:val="00D07D98"/>
    <w:rsid w:val="00D111B7"/>
    <w:rsid w:val="00D17EE1"/>
    <w:rsid w:val="00D20A4B"/>
    <w:rsid w:val="00D22A74"/>
    <w:rsid w:val="00D242B2"/>
    <w:rsid w:val="00D33B86"/>
    <w:rsid w:val="00D33F47"/>
    <w:rsid w:val="00D412F5"/>
    <w:rsid w:val="00D45A2C"/>
    <w:rsid w:val="00D46456"/>
    <w:rsid w:val="00D475CE"/>
    <w:rsid w:val="00D51969"/>
    <w:rsid w:val="00D52BD4"/>
    <w:rsid w:val="00D618AE"/>
    <w:rsid w:val="00D7085A"/>
    <w:rsid w:val="00D728FC"/>
    <w:rsid w:val="00D758BF"/>
    <w:rsid w:val="00D75EE4"/>
    <w:rsid w:val="00D8186A"/>
    <w:rsid w:val="00D90BAC"/>
    <w:rsid w:val="00DA007F"/>
    <w:rsid w:val="00DA1066"/>
    <w:rsid w:val="00DA4626"/>
    <w:rsid w:val="00DA5B0C"/>
    <w:rsid w:val="00DA713C"/>
    <w:rsid w:val="00DA71B4"/>
    <w:rsid w:val="00DB2B97"/>
    <w:rsid w:val="00DB37D6"/>
    <w:rsid w:val="00DB68A5"/>
    <w:rsid w:val="00DC5EF7"/>
    <w:rsid w:val="00DD16CD"/>
    <w:rsid w:val="00DD2A2A"/>
    <w:rsid w:val="00DD2FE9"/>
    <w:rsid w:val="00DD7802"/>
    <w:rsid w:val="00DE031B"/>
    <w:rsid w:val="00DE03C8"/>
    <w:rsid w:val="00DE0A5B"/>
    <w:rsid w:val="00DE292D"/>
    <w:rsid w:val="00DE2D75"/>
    <w:rsid w:val="00DE44C7"/>
    <w:rsid w:val="00DE51F4"/>
    <w:rsid w:val="00DE700F"/>
    <w:rsid w:val="00DF2204"/>
    <w:rsid w:val="00DF5E59"/>
    <w:rsid w:val="00E00E45"/>
    <w:rsid w:val="00E019D7"/>
    <w:rsid w:val="00E01A9F"/>
    <w:rsid w:val="00E03443"/>
    <w:rsid w:val="00E040C3"/>
    <w:rsid w:val="00E04900"/>
    <w:rsid w:val="00E23235"/>
    <w:rsid w:val="00E264C2"/>
    <w:rsid w:val="00E31BED"/>
    <w:rsid w:val="00E32527"/>
    <w:rsid w:val="00E37491"/>
    <w:rsid w:val="00E37E1F"/>
    <w:rsid w:val="00E43D64"/>
    <w:rsid w:val="00E45B97"/>
    <w:rsid w:val="00E50826"/>
    <w:rsid w:val="00E51237"/>
    <w:rsid w:val="00E523B1"/>
    <w:rsid w:val="00E54632"/>
    <w:rsid w:val="00E55BF1"/>
    <w:rsid w:val="00E56441"/>
    <w:rsid w:val="00E6002C"/>
    <w:rsid w:val="00E60F1F"/>
    <w:rsid w:val="00E610DE"/>
    <w:rsid w:val="00E64FFE"/>
    <w:rsid w:val="00E8047F"/>
    <w:rsid w:val="00E84C0B"/>
    <w:rsid w:val="00EA359C"/>
    <w:rsid w:val="00EB66AC"/>
    <w:rsid w:val="00EC12BC"/>
    <w:rsid w:val="00EC30A4"/>
    <w:rsid w:val="00EC3881"/>
    <w:rsid w:val="00EC3BA3"/>
    <w:rsid w:val="00EC47CA"/>
    <w:rsid w:val="00EC5E42"/>
    <w:rsid w:val="00EC6B21"/>
    <w:rsid w:val="00EC7D99"/>
    <w:rsid w:val="00ED3C77"/>
    <w:rsid w:val="00ED3FEF"/>
    <w:rsid w:val="00ED4685"/>
    <w:rsid w:val="00ED58C0"/>
    <w:rsid w:val="00ED7C4B"/>
    <w:rsid w:val="00EE411D"/>
    <w:rsid w:val="00EE4976"/>
    <w:rsid w:val="00EF0DCA"/>
    <w:rsid w:val="00F03166"/>
    <w:rsid w:val="00F05BE1"/>
    <w:rsid w:val="00F111E5"/>
    <w:rsid w:val="00F139AB"/>
    <w:rsid w:val="00F1637D"/>
    <w:rsid w:val="00F20A47"/>
    <w:rsid w:val="00F20F4E"/>
    <w:rsid w:val="00F23445"/>
    <w:rsid w:val="00F23829"/>
    <w:rsid w:val="00F25E25"/>
    <w:rsid w:val="00F34452"/>
    <w:rsid w:val="00F44875"/>
    <w:rsid w:val="00F52C02"/>
    <w:rsid w:val="00F56DE1"/>
    <w:rsid w:val="00F575BF"/>
    <w:rsid w:val="00F611DC"/>
    <w:rsid w:val="00F621CD"/>
    <w:rsid w:val="00F63AAA"/>
    <w:rsid w:val="00F65078"/>
    <w:rsid w:val="00F66464"/>
    <w:rsid w:val="00F667D6"/>
    <w:rsid w:val="00F70803"/>
    <w:rsid w:val="00F70A56"/>
    <w:rsid w:val="00F8047B"/>
    <w:rsid w:val="00F90CD5"/>
    <w:rsid w:val="00FA037D"/>
    <w:rsid w:val="00FA0411"/>
    <w:rsid w:val="00FB0D6F"/>
    <w:rsid w:val="00FB0E44"/>
    <w:rsid w:val="00FB2968"/>
    <w:rsid w:val="00FB4917"/>
    <w:rsid w:val="00FB7F2B"/>
    <w:rsid w:val="00FC513B"/>
    <w:rsid w:val="00FD6F14"/>
    <w:rsid w:val="00FF0520"/>
    <w:rsid w:val="00FF2B3F"/>
    <w:rsid w:val="00FF4225"/>
    <w:rsid w:val="00FF4E5F"/>
    <w:rsid w:val="00FF608F"/>
    <w:rsid w:val="00FF6842"/>
    <w:rsid w:val="01B75FB3"/>
    <w:rsid w:val="02322B1C"/>
    <w:rsid w:val="045CDFCA"/>
    <w:rsid w:val="09A874F6"/>
    <w:rsid w:val="0AB818B9"/>
    <w:rsid w:val="0B4747FE"/>
    <w:rsid w:val="0B67BFD3"/>
    <w:rsid w:val="0CFAE481"/>
    <w:rsid w:val="0DAE133F"/>
    <w:rsid w:val="0E2DA76F"/>
    <w:rsid w:val="0E332C80"/>
    <w:rsid w:val="1124B92E"/>
    <w:rsid w:val="1246EE33"/>
    <w:rsid w:val="12E0FD8B"/>
    <w:rsid w:val="1329A653"/>
    <w:rsid w:val="137C1B61"/>
    <w:rsid w:val="14819A2D"/>
    <w:rsid w:val="16B6D183"/>
    <w:rsid w:val="18989E57"/>
    <w:rsid w:val="1A34FF29"/>
    <w:rsid w:val="1AAE48AD"/>
    <w:rsid w:val="1C2AD919"/>
    <w:rsid w:val="1C72B9CD"/>
    <w:rsid w:val="1F9D6034"/>
    <w:rsid w:val="2174FB0A"/>
    <w:rsid w:val="21E40371"/>
    <w:rsid w:val="252413DD"/>
    <w:rsid w:val="255D9782"/>
    <w:rsid w:val="266E4100"/>
    <w:rsid w:val="2B173D59"/>
    <w:rsid w:val="2B923032"/>
    <w:rsid w:val="2DA8E53F"/>
    <w:rsid w:val="34FA0FA9"/>
    <w:rsid w:val="37BD044B"/>
    <w:rsid w:val="39361892"/>
    <w:rsid w:val="396B83AC"/>
    <w:rsid w:val="3B1CFE81"/>
    <w:rsid w:val="3BD5E920"/>
    <w:rsid w:val="3DC0565C"/>
    <w:rsid w:val="41EB90F0"/>
    <w:rsid w:val="45E4F599"/>
    <w:rsid w:val="496DBB5D"/>
    <w:rsid w:val="4A70EEAC"/>
    <w:rsid w:val="4A894C17"/>
    <w:rsid w:val="4C0235DA"/>
    <w:rsid w:val="4DAF636A"/>
    <w:rsid w:val="4E88E081"/>
    <w:rsid w:val="4EFD54B4"/>
    <w:rsid w:val="4F13C903"/>
    <w:rsid w:val="4FAE9B9B"/>
    <w:rsid w:val="50850B74"/>
    <w:rsid w:val="514AFF82"/>
    <w:rsid w:val="54AE2057"/>
    <w:rsid w:val="56EFAFE2"/>
    <w:rsid w:val="590FC3D7"/>
    <w:rsid w:val="5A324E74"/>
    <w:rsid w:val="5D4AF67D"/>
    <w:rsid w:val="5FEDD0B3"/>
    <w:rsid w:val="607A5F2D"/>
    <w:rsid w:val="65BF2E58"/>
    <w:rsid w:val="66E34B09"/>
    <w:rsid w:val="67DDC3D5"/>
    <w:rsid w:val="6A1C3832"/>
    <w:rsid w:val="6B7D838D"/>
    <w:rsid w:val="6C8237AE"/>
    <w:rsid w:val="6E3C1272"/>
    <w:rsid w:val="70F44441"/>
    <w:rsid w:val="7223C854"/>
    <w:rsid w:val="72A4B8BD"/>
    <w:rsid w:val="73CCD7C0"/>
    <w:rsid w:val="74CC70EB"/>
    <w:rsid w:val="76574D64"/>
    <w:rsid w:val="78936255"/>
    <w:rsid w:val="793FA05F"/>
    <w:rsid w:val="7B75C39E"/>
    <w:rsid w:val="7B790E8A"/>
    <w:rsid w:val="7BD48A10"/>
    <w:rsid w:val="7CD7028F"/>
    <w:rsid w:val="7FA9F6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link w:val="NoSpacingChar"/>
    <w:qFormat/>
    <w:rsid w:val="00CD73E5"/>
    <w:rPr>
      <w:rFonts w:ascii="Times New Roman" w:eastAsia="Times New Roman" w:hAnsi="Times New Roman"/>
      <w:sz w:val="24"/>
      <w:szCs w:val="24"/>
      <w:lang w:val="es-ES" w:eastAsia="es-ES"/>
    </w:rPr>
  </w:style>
  <w:style w:type="paragraph" w:customStyle="1" w:styleId="Sinespaciado2">
    <w:name w:val="Sin espaciado2"/>
    <w:uiPriority w:val="99"/>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254315"/>
    <w:pPr>
      <w:overflowPunct/>
      <w:autoSpaceDE/>
      <w:autoSpaceDN/>
      <w:adjustRightInd/>
      <w:jc w:val="both"/>
      <w:textAlignment w:val="auto"/>
    </w:pPr>
    <w:rPr>
      <w:rFonts w:ascii="Calibri" w:eastAsia="Calibri" w:hAnsi="Calibri"/>
      <w:vertAlign w:val="superscript"/>
      <w:lang w:val="es-CO" w:eastAsia="es-CO"/>
    </w:rPr>
  </w:style>
  <w:style w:type="character" w:styleId="Hipervnculo">
    <w:name w:val="Hyperlink"/>
    <w:basedOn w:val="Fuentedeprrafopredeter"/>
    <w:uiPriority w:val="99"/>
    <w:unhideWhenUsed/>
    <w:rsid w:val="00244FA9"/>
    <w:rPr>
      <w:color w:val="0563C1" w:themeColor="hyperlink"/>
      <w:u w:val="single"/>
    </w:rPr>
  </w:style>
  <w:style w:type="character" w:styleId="Mencinsinresolver">
    <w:name w:val="Unresolved Mention"/>
    <w:basedOn w:val="Fuentedeprrafopredeter"/>
    <w:uiPriority w:val="99"/>
    <w:semiHidden/>
    <w:unhideWhenUsed/>
    <w:rsid w:val="00244FA9"/>
    <w:rPr>
      <w:color w:val="605E5C"/>
      <w:shd w:val="clear" w:color="auto" w:fill="E1DFDD"/>
    </w:rPr>
  </w:style>
  <w:style w:type="character" w:customStyle="1" w:styleId="NoSpacingChar">
    <w:name w:val="No Spacing Char"/>
    <w:link w:val="Sinespaciado1"/>
    <w:locked/>
    <w:rsid w:val="00D07D98"/>
    <w:rPr>
      <w:rFonts w:ascii="Times New Roman" w:eastAsia="Times New Roman" w:hAnsi="Times New Roman"/>
      <w:sz w:val="24"/>
      <w:szCs w:val="24"/>
      <w:lang w:val="es-ES" w:eastAsia="es-ES"/>
    </w:rPr>
  </w:style>
  <w:style w:type="paragraph" w:styleId="Sinespaciado">
    <w:name w:val="No Spacing"/>
    <w:link w:val="SinespaciadoCar"/>
    <w:uiPriority w:val="1"/>
    <w:qFormat/>
    <w:rsid w:val="00504428"/>
    <w:rPr>
      <w:rFonts w:eastAsia="Times New Roman"/>
      <w:sz w:val="22"/>
      <w:szCs w:val="22"/>
      <w:lang w:val="es-ES" w:eastAsia="es-ES"/>
    </w:rPr>
  </w:style>
  <w:style w:type="character" w:customStyle="1" w:styleId="SinespaciadoCar">
    <w:name w:val="Sin espaciado Car"/>
    <w:link w:val="Sinespaciado"/>
    <w:uiPriority w:val="1"/>
    <w:locked/>
    <w:rsid w:val="00504428"/>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0956">
      <w:bodyDiv w:val="1"/>
      <w:marLeft w:val="0"/>
      <w:marRight w:val="0"/>
      <w:marTop w:val="0"/>
      <w:marBottom w:val="0"/>
      <w:divBdr>
        <w:top w:val="none" w:sz="0" w:space="0" w:color="auto"/>
        <w:left w:val="none" w:sz="0" w:space="0" w:color="auto"/>
        <w:bottom w:val="none" w:sz="0" w:space="0" w:color="auto"/>
        <w:right w:val="none" w:sz="0" w:space="0" w:color="auto"/>
      </w:divBdr>
    </w:div>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293319400">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ba1cba9bbc7346c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2.xml><?xml version="1.0" encoding="utf-8"?>
<ds:datastoreItem xmlns:ds="http://schemas.openxmlformats.org/officeDocument/2006/customXml" ds:itemID="{58A946A7-0A39-4514-91EE-9FFE31EED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10B69C23-2CE9-49B3-8662-20B8B626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4412</Words>
  <Characters>24270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5</cp:revision>
  <cp:lastPrinted>2019-08-13T19:36:00Z</cp:lastPrinted>
  <dcterms:created xsi:type="dcterms:W3CDTF">2022-05-18T14:45:00Z</dcterms:created>
  <dcterms:modified xsi:type="dcterms:W3CDTF">2022-07-22T16:42:00Z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