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3605D" w14:textId="77777777" w:rsidR="00EE10E3" w:rsidRPr="00EE10E3" w:rsidRDefault="00EE10E3" w:rsidP="00EE10E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r w:rsidRPr="00EE10E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309D374" w14:textId="77777777" w:rsidR="00EE10E3" w:rsidRPr="00EE10E3" w:rsidRDefault="00EE10E3" w:rsidP="00EE10E3">
      <w:pPr>
        <w:spacing w:after="0" w:line="240" w:lineRule="auto"/>
        <w:jc w:val="both"/>
        <w:rPr>
          <w:rFonts w:ascii="Arial" w:eastAsia="Times New Roman" w:hAnsi="Arial" w:cs="Arial"/>
          <w:sz w:val="20"/>
          <w:szCs w:val="20"/>
          <w:lang w:val="es-419" w:eastAsia="es-ES"/>
        </w:rPr>
      </w:pPr>
    </w:p>
    <w:p w14:paraId="66E59562" w14:textId="0A82F317" w:rsidR="00EE10E3" w:rsidRPr="00EE10E3" w:rsidRDefault="00337852" w:rsidP="00EE10E3">
      <w:pPr>
        <w:spacing w:after="0" w:line="240" w:lineRule="auto"/>
        <w:jc w:val="both"/>
        <w:rPr>
          <w:rFonts w:ascii="Arial" w:eastAsia="Times New Roman" w:hAnsi="Arial" w:cs="Arial"/>
          <w:b/>
          <w:bCs/>
          <w:iCs/>
          <w:sz w:val="20"/>
          <w:szCs w:val="20"/>
          <w:lang w:val="es-419" w:eastAsia="fr-FR"/>
        </w:rPr>
      </w:pPr>
      <w:r w:rsidRPr="00EE10E3">
        <w:rPr>
          <w:rFonts w:ascii="Arial" w:eastAsia="Times New Roman" w:hAnsi="Arial" w:cs="Arial"/>
          <w:b/>
          <w:bCs/>
          <w:iCs/>
          <w:sz w:val="20"/>
          <w:szCs w:val="20"/>
          <w:u w:val="single"/>
          <w:lang w:val="es-419" w:eastAsia="fr-FR"/>
        </w:rPr>
        <w:t>TEMAS:</w:t>
      </w:r>
      <w:r w:rsidRPr="00EE10E3">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ACCIÓN DE TUTELA / CONFLICTO DE COMPETENCIA </w:t>
      </w:r>
      <w:r w:rsidRPr="00EE10E3">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ACCIONADA, LA POLICÍA NACIONAL / ORGANISMO DEL ORDEN NACIONAL / ES COMPETENCIA DE LOS JUZGADOS DE CIRCUITO / AUNQUE SE DEMANDE A UN FUNCIONARIO LOCAL.</w:t>
      </w:r>
    </w:p>
    <w:p w14:paraId="10A0B36F" w14:textId="77777777" w:rsidR="00EE10E3" w:rsidRPr="00EE10E3" w:rsidRDefault="00EE10E3" w:rsidP="00EE10E3">
      <w:pPr>
        <w:spacing w:after="0" w:line="240" w:lineRule="auto"/>
        <w:jc w:val="both"/>
        <w:rPr>
          <w:rFonts w:ascii="Arial" w:eastAsia="Times New Roman" w:hAnsi="Arial" w:cs="Arial"/>
          <w:sz w:val="20"/>
          <w:szCs w:val="20"/>
          <w:lang w:val="es-419" w:eastAsia="es-ES"/>
        </w:rPr>
      </w:pPr>
    </w:p>
    <w:p w14:paraId="00107335" w14:textId="2A6F985B" w:rsidR="00EE10E3" w:rsidRPr="00EE10E3" w:rsidRDefault="00D50F57" w:rsidP="00EE10E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4A7B87" w:rsidRPr="004A7B87">
        <w:rPr>
          <w:rFonts w:ascii="Arial" w:eastAsia="Times New Roman" w:hAnsi="Arial" w:cs="Arial"/>
          <w:sz w:val="20"/>
          <w:szCs w:val="20"/>
          <w:lang w:val="es-419" w:eastAsia="es-ES"/>
        </w:rPr>
        <w:t>la razón está de parte del juzgado penal, toda vez que, “(…) la Policía Nacional es un solo organismo del orden nacional, (Ley 62 de 1993, artículo 1°), que depende del Ministerio de Defensa (artículo 10 de la Ley 62 de 1993), lo que permite concluir que independientemente del nivel territorial en que actué siempre integrará la Rama Ejecutiva en el orden nacional al tenor de lo dispuesto en el artículo 38 de la Ley 489 de 1998.”</w:t>
      </w:r>
    </w:p>
    <w:p w14:paraId="12206F7B" w14:textId="77777777" w:rsidR="00EE10E3" w:rsidRPr="00EE10E3" w:rsidRDefault="00EE10E3" w:rsidP="00EE10E3">
      <w:pPr>
        <w:spacing w:after="0" w:line="240" w:lineRule="auto"/>
        <w:jc w:val="both"/>
        <w:rPr>
          <w:rFonts w:ascii="Arial" w:eastAsia="Times New Roman" w:hAnsi="Arial" w:cs="Arial"/>
          <w:sz w:val="20"/>
          <w:szCs w:val="20"/>
          <w:lang w:val="es-419" w:eastAsia="es-ES"/>
        </w:rPr>
      </w:pPr>
    </w:p>
    <w:p w14:paraId="7A21B743" w14:textId="6CB2B3D4" w:rsidR="00D50F57" w:rsidRPr="00D50F57" w:rsidRDefault="00D50F57" w:rsidP="00D50F5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50F57">
        <w:rPr>
          <w:rFonts w:ascii="Arial" w:eastAsia="Times New Roman" w:hAnsi="Arial" w:cs="Arial"/>
          <w:sz w:val="20"/>
          <w:szCs w:val="20"/>
          <w:lang w:val="es-419" w:eastAsia="es-ES"/>
        </w:rPr>
        <w:t>comoquiera que en la acción de tutela se formulan quejas contra la Policía Metropolitana de Pereira, que es una autoridad del orden nacional, la regla de reparto aplicable aquí es el numeral 2° del artículo 1° del Decreto 333 de 2021, que establece:</w:t>
      </w:r>
    </w:p>
    <w:p w14:paraId="7A806BFD" w14:textId="77777777" w:rsidR="00D50F57" w:rsidRPr="00D50F57" w:rsidRDefault="00D50F57" w:rsidP="00D50F57">
      <w:pPr>
        <w:spacing w:after="0" w:line="240" w:lineRule="auto"/>
        <w:jc w:val="both"/>
        <w:rPr>
          <w:rFonts w:ascii="Arial" w:eastAsia="Times New Roman" w:hAnsi="Arial" w:cs="Arial"/>
          <w:sz w:val="20"/>
          <w:szCs w:val="20"/>
          <w:lang w:val="es-419" w:eastAsia="es-ES"/>
        </w:rPr>
      </w:pPr>
    </w:p>
    <w:p w14:paraId="01617025" w14:textId="6A53F180" w:rsidR="00EE10E3" w:rsidRPr="00EE10E3" w:rsidRDefault="00D50F57" w:rsidP="00D50F5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D50F57">
        <w:rPr>
          <w:rFonts w:ascii="Arial" w:eastAsia="Times New Roman" w:hAnsi="Arial" w:cs="Arial"/>
          <w:sz w:val="20"/>
          <w:szCs w:val="20"/>
          <w:lang w:val="es-419" w:eastAsia="es-ES"/>
        </w:rPr>
        <w:t>2. Las acciones de tutela que se interpongan contra cualquier autoridad, organismo o entidad pública del orden nacional serán repartidas, para su conocimiento en primera instancia, a los Jueces del Circuito o con igual categoría</w:t>
      </w:r>
      <w:r>
        <w:rPr>
          <w:rFonts w:ascii="Arial" w:eastAsia="Times New Roman" w:hAnsi="Arial" w:cs="Arial"/>
          <w:sz w:val="20"/>
          <w:szCs w:val="20"/>
          <w:lang w:val="es-419" w:eastAsia="es-ES"/>
        </w:rPr>
        <w:t>”</w:t>
      </w:r>
      <w:r w:rsidRPr="00D50F57">
        <w:rPr>
          <w:rFonts w:ascii="Arial" w:eastAsia="Times New Roman" w:hAnsi="Arial" w:cs="Arial"/>
          <w:sz w:val="20"/>
          <w:szCs w:val="20"/>
          <w:lang w:val="es-419" w:eastAsia="es-ES"/>
        </w:rPr>
        <w:t>.</w:t>
      </w:r>
    </w:p>
    <w:p w14:paraId="475D6B92" w14:textId="77777777" w:rsidR="00EE10E3" w:rsidRPr="00EE10E3" w:rsidRDefault="00EE10E3" w:rsidP="00EE10E3">
      <w:pPr>
        <w:spacing w:after="0" w:line="240" w:lineRule="auto"/>
        <w:jc w:val="both"/>
        <w:rPr>
          <w:rFonts w:ascii="Arial" w:eastAsia="Times New Roman" w:hAnsi="Arial" w:cs="Arial"/>
          <w:sz w:val="20"/>
          <w:szCs w:val="20"/>
          <w:lang w:eastAsia="es-ES"/>
        </w:rPr>
      </w:pPr>
    </w:p>
    <w:p w14:paraId="65F48E69" w14:textId="77777777" w:rsidR="00EE10E3" w:rsidRPr="00EE10E3" w:rsidRDefault="00EE10E3" w:rsidP="00EE10E3">
      <w:pPr>
        <w:spacing w:after="0" w:line="240" w:lineRule="auto"/>
        <w:jc w:val="both"/>
        <w:rPr>
          <w:rFonts w:ascii="Arial" w:eastAsia="Times New Roman" w:hAnsi="Arial" w:cs="Arial"/>
          <w:sz w:val="20"/>
          <w:szCs w:val="20"/>
          <w:lang w:eastAsia="es-ES"/>
        </w:rPr>
      </w:pPr>
    </w:p>
    <w:bookmarkEnd w:id="0"/>
    <w:p w14:paraId="72085232" w14:textId="77777777" w:rsidR="00EE10E3" w:rsidRPr="00EE10E3" w:rsidRDefault="00EE10E3" w:rsidP="00EE10E3">
      <w:pPr>
        <w:spacing w:after="0" w:line="240" w:lineRule="auto"/>
        <w:jc w:val="both"/>
        <w:rPr>
          <w:rFonts w:ascii="Arial" w:eastAsia="Times New Roman" w:hAnsi="Arial" w:cs="Arial"/>
          <w:sz w:val="20"/>
          <w:szCs w:val="20"/>
          <w:lang w:eastAsia="es-ES"/>
        </w:rPr>
      </w:pPr>
    </w:p>
    <w:bookmarkEnd w:id="1"/>
    <w:p w14:paraId="2867E364" w14:textId="44463243" w:rsidR="00E158BB" w:rsidRPr="00EE10E3" w:rsidRDefault="00E158BB" w:rsidP="00EE10E3">
      <w:pPr>
        <w:tabs>
          <w:tab w:val="left" w:pos="3060"/>
        </w:tabs>
        <w:spacing w:after="0" w:line="276" w:lineRule="auto"/>
        <w:ind w:firstLine="2835"/>
        <w:contextualSpacing/>
        <w:jc w:val="both"/>
        <w:rPr>
          <w:rFonts w:ascii="Gadugi" w:eastAsia="Times New Roman" w:hAnsi="Gadugi" w:cs="Arial"/>
          <w:b/>
          <w:sz w:val="24"/>
          <w:szCs w:val="24"/>
          <w:lang w:eastAsia="es-ES"/>
        </w:rPr>
      </w:pPr>
      <w:r w:rsidRPr="00EE10E3">
        <w:rPr>
          <w:rFonts w:ascii="Gadugi" w:eastAsia="Times New Roman" w:hAnsi="Gadugi" w:cs="Arial"/>
          <w:b/>
          <w:sz w:val="24"/>
          <w:szCs w:val="24"/>
          <w:lang w:eastAsia="es-ES"/>
        </w:rPr>
        <w:t>TRIBUNAL SUPERIOR DEL DISTRITO JUDICIAL</w:t>
      </w:r>
    </w:p>
    <w:p w14:paraId="348B4B5F" w14:textId="08735920" w:rsidR="005545BE" w:rsidRPr="00EE10E3" w:rsidRDefault="00EE10E3" w:rsidP="00EE10E3">
      <w:pPr>
        <w:keepNext/>
        <w:spacing w:after="0" w:line="276" w:lineRule="auto"/>
        <w:jc w:val="both"/>
        <w:outlineLvl w:val="2"/>
        <w:rPr>
          <w:rFonts w:ascii="Gadugi" w:eastAsia="Times New Roman" w:hAnsi="Gadugi" w:cs="Arial"/>
          <w:sz w:val="24"/>
          <w:szCs w:val="24"/>
          <w:lang w:eastAsia="es-ES"/>
        </w:rPr>
      </w:pPr>
      <w:r w:rsidRPr="00EE10E3">
        <w:rPr>
          <w:rFonts w:ascii="Gadugi" w:eastAsia="Times New Roman" w:hAnsi="Gadugi" w:cs="Arial"/>
          <w:b/>
          <w:bCs/>
          <w:sz w:val="24"/>
          <w:szCs w:val="24"/>
          <w:lang w:eastAsia="es-ES"/>
        </w:rPr>
        <w:t xml:space="preserve"> </w:t>
      </w:r>
      <w:r w:rsidRPr="00EE10E3">
        <w:rPr>
          <w:rFonts w:ascii="Gadugi" w:eastAsia="Times New Roman" w:hAnsi="Gadugi" w:cs="Arial"/>
          <w:b/>
          <w:bCs/>
          <w:sz w:val="24"/>
          <w:szCs w:val="24"/>
          <w:lang w:val="es-419" w:eastAsia="es-ES"/>
        </w:rPr>
        <w:t xml:space="preserve">  </w:t>
      </w:r>
      <w:r w:rsidRPr="00EE10E3">
        <w:rPr>
          <w:rFonts w:ascii="Gadugi" w:eastAsia="Times New Roman" w:hAnsi="Gadugi" w:cs="Arial"/>
          <w:b/>
          <w:bCs/>
          <w:sz w:val="24"/>
          <w:szCs w:val="24"/>
          <w:lang w:eastAsia="es-ES"/>
        </w:rPr>
        <w:t xml:space="preserve">         </w:t>
      </w:r>
      <w:r w:rsidRPr="00EE10E3">
        <w:rPr>
          <w:rFonts w:ascii="Gadugi" w:eastAsia="Times New Roman" w:hAnsi="Gadugi"/>
          <w:b/>
          <w:sz w:val="24"/>
          <w:szCs w:val="24"/>
          <w:lang w:val="es-MX" w:eastAsia="es-ES"/>
        </w:rPr>
        <w:t xml:space="preserve">  </w:t>
      </w:r>
      <w:r w:rsidRPr="00EE10E3">
        <w:rPr>
          <w:rFonts w:ascii="Gadugi" w:eastAsia="Times New Roman" w:hAnsi="Gadugi"/>
          <w:b/>
          <w:sz w:val="24"/>
          <w:szCs w:val="24"/>
          <w:lang w:val="es-419" w:eastAsia="es-ES"/>
        </w:rPr>
        <w:t xml:space="preserve">         </w:t>
      </w:r>
      <w:r w:rsidRPr="00EE10E3">
        <w:rPr>
          <w:rFonts w:ascii="Gadugi" w:eastAsia="Times New Roman" w:hAnsi="Gadugi"/>
          <w:b/>
          <w:sz w:val="24"/>
          <w:szCs w:val="24"/>
          <w:lang w:val="es-419" w:eastAsia="es-ES"/>
        </w:rPr>
        <w:tab/>
      </w:r>
      <w:r w:rsidRPr="00EE10E3">
        <w:rPr>
          <w:rFonts w:ascii="Gadugi" w:eastAsia="Times New Roman" w:hAnsi="Gadugi"/>
          <w:b/>
          <w:sz w:val="24"/>
          <w:szCs w:val="24"/>
          <w:lang w:val="es-419" w:eastAsia="es-ES"/>
        </w:rPr>
        <w:tab/>
      </w:r>
      <w:r w:rsidRPr="00EE10E3">
        <w:rPr>
          <w:rFonts w:ascii="Gadugi" w:eastAsia="Times New Roman" w:hAnsi="Gadugi"/>
          <w:b/>
          <w:sz w:val="24"/>
          <w:szCs w:val="24"/>
          <w:lang w:val="es-419" w:eastAsia="es-ES"/>
        </w:rPr>
        <w:tab/>
        <w:t xml:space="preserve">           </w:t>
      </w:r>
      <w:r w:rsidRPr="00EE10E3">
        <w:rPr>
          <w:rFonts w:ascii="Gadugi" w:eastAsia="Times New Roman" w:hAnsi="Gadugi"/>
          <w:b/>
          <w:sz w:val="24"/>
          <w:szCs w:val="24"/>
          <w:lang w:val="es-MX" w:eastAsia="es-ES"/>
        </w:rPr>
        <w:t>SALA MIXTA NRO. 10</w:t>
      </w:r>
    </w:p>
    <w:p w14:paraId="5ED73F65" w14:textId="77777777" w:rsidR="00E158BB" w:rsidRPr="00EE10E3" w:rsidRDefault="00E158BB" w:rsidP="00EE10E3">
      <w:pPr>
        <w:keepNext/>
        <w:spacing w:after="0" w:line="276" w:lineRule="auto"/>
        <w:ind w:firstLine="2835"/>
        <w:contextualSpacing/>
        <w:jc w:val="both"/>
        <w:outlineLvl w:val="0"/>
        <w:rPr>
          <w:rFonts w:ascii="Gadugi" w:eastAsia="Times New Roman" w:hAnsi="Gadugi" w:cs="Arial"/>
          <w:sz w:val="24"/>
          <w:szCs w:val="24"/>
          <w:lang w:eastAsia="es-ES"/>
        </w:rPr>
      </w:pPr>
    </w:p>
    <w:p w14:paraId="02A7F544" w14:textId="77777777" w:rsidR="00E158BB" w:rsidRPr="00EE10E3" w:rsidRDefault="00E158BB" w:rsidP="00EE10E3">
      <w:pPr>
        <w:spacing w:after="0" w:line="276" w:lineRule="auto"/>
        <w:ind w:firstLine="2835"/>
        <w:contextualSpacing/>
        <w:jc w:val="both"/>
        <w:rPr>
          <w:rFonts w:ascii="Gadugi" w:eastAsia="Times New Roman" w:hAnsi="Gadugi" w:cs="Arial"/>
          <w:sz w:val="24"/>
          <w:szCs w:val="24"/>
          <w:lang w:eastAsia="es-ES"/>
        </w:rPr>
      </w:pPr>
    </w:p>
    <w:p w14:paraId="0078D094" w14:textId="77777777" w:rsidR="00E158BB" w:rsidRPr="00EE10E3" w:rsidRDefault="00E158BB" w:rsidP="00EE10E3">
      <w:pPr>
        <w:spacing w:after="0" w:line="276" w:lineRule="auto"/>
        <w:ind w:firstLine="2835"/>
        <w:contextualSpacing/>
        <w:jc w:val="both"/>
        <w:rPr>
          <w:rFonts w:ascii="Gadugi" w:eastAsia="Times New Roman" w:hAnsi="Gadugi" w:cs="Arial"/>
          <w:sz w:val="24"/>
          <w:szCs w:val="24"/>
          <w:lang w:eastAsia="es-ES"/>
        </w:rPr>
      </w:pPr>
      <w:r w:rsidRPr="00EE10E3">
        <w:rPr>
          <w:rFonts w:ascii="Gadugi" w:eastAsia="Times New Roman" w:hAnsi="Gadugi" w:cs="Arial"/>
          <w:sz w:val="24"/>
          <w:szCs w:val="24"/>
          <w:lang w:eastAsia="es-ES"/>
        </w:rPr>
        <w:t>Magistrado: Jaime Alberto Saraza Naranjo</w:t>
      </w:r>
    </w:p>
    <w:p w14:paraId="35E66AF3" w14:textId="09BEE258" w:rsidR="00E158BB" w:rsidRPr="00EE10E3" w:rsidRDefault="00E158BB" w:rsidP="00EE10E3">
      <w:pPr>
        <w:spacing w:after="0" w:line="276" w:lineRule="auto"/>
        <w:ind w:firstLine="2835"/>
        <w:contextualSpacing/>
        <w:jc w:val="both"/>
        <w:rPr>
          <w:rFonts w:ascii="Gadugi" w:eastAsia="Times New Roman" w:hAnsi="Gadugi" w:cs="Arial"/>
          <w:sz w:val="24"/>
          <w:szCs w:val="24"/>
          <w:lang w:val="es-CO" w:eastAsia="es-ES"/>
        </w:rPr>
      </w:pPr>
      <w:r w:rsidRPr="00EE10E3">
        <w:rPr>
          <w:rFonts w:ascii="Gadugi" w:eastAsia="Times New Roman" w:hAnsi="Gadugi" w:cs="Arial"/>
          <w:sz w:val="24"/>
          <w:szCs w:val="24"/>
          <w:lang w:eastAsia="es-ES"/>
        </w:rPr>
        <w:t xml:space="preserve">Pereira, </w:t>
      </w:r>
      <w:r w:rsidR="00E84F0D" w:rsidRPr="00EE10E3">
        <w:rPr>
          <w:rFonts w:ascii="Gadugi" w:eastAsia="Times New Roman" w:hAnsi="Gadugi" w:cs="Arial"/>
          <w:sz w:val="24"/>
          <w:szCs w:val="24"/>
          <w:lang w:eastAsia="es-ES"/>
        </w:rPr>
        <w:t xml:space="preserve">junio diez de dos mil veintidós </w:t>
      </w:r>
      <w:r w:rsidR="00C44585" w:rsidRPr="00EE10E3">
        <w:rPr>
          <w:rFonts w:ascii="Gadugi" w:eastAsia="Times New Roman" w:hAnsi="Gadugi" w:cs="Arial"/>
          <w:sz w:val="24"/>
          <w:szCs w:val="24"/>
          <w:lang w:eastAsia="es-ES"/>
        </w:rPr>
        <w:t xml:space="preserve"> </w:t>
      </w:r>
      <w:r w:rsidR="008D6A9A" w:rsidRPr="00EE10E3">
        <w:rPr>
          <w:rFonts w:ascii="Gadugi" w:eastAsia="Times New Roman" w:hAnsi="Gadugi" w:cs="Arial"/>
          <w:sz w:val="24"/>
          <w:szCs w:val="24"/>
          <w:lang w:eastAsia="es-ES"/>
        </w:rPr>
        <w:t xml:space="preserve"> </w:t>
      </w:r>
      <w:r w:rsidR="005545BE" w:rsidRPr="00EE10E3">
        <w:rPr>
          <w:rFonts w:ascii="Gadugi" w:eastAsia="Times New Roman" w:hAnsi="Gadugi" w:cs="Arial"/>
          <w:sz w:val="24"/>
          <w:szCs w:val="24"/>
          <w:lang w:eastAsia="es-ES"/>
        </w:rPr>
        <w:t xml:space="preserve"> </w:t>
      </w:r>
      <w:r w:rsidR="00473B4A" w:rsidRPr="00EE10E3">
        <w:rPr>
          <w:rFonts w:ascii="Gadugi" w:eastAsia="Times New Roman" w:hAnsi="Gadugi" w:cs="Arial"/>
          <w:sz w:val="24"/>
          <w:szCs w:val="24"/>
          <w:lang w:val="es-CO" w:eastAsia="es-ES"/>
        </w:rPr>
        <w:t xml:space="preserve"> </w:t>
      </w:r>
    </w:p>
    <w:p w14:paraId="63A1CB0E" w14:textId="07A4FA5E" w:rsidR="00E158BB" w:rsidRPr="00EE10E3" w:rsidRDefault="00473B4A" w:rsidP="00EE10E3">
      <w:pPr>
        <w:tabs>
          <w:tab w:val="left" w:pos="2880"/>
        </w:tabs>
        <w:spacing w:after="0" w:line="276" w:lineRule="auto"/>
        <w:ind w:firstLine="2835"/>
        <w:contextualSpacing/>
        <w:jc w:val="both"/>
        <w:rPr>
          <w:rFonts w:ascii="Gadugi" w:eastAsia="Times New Roman" w:hAnsi="Gadugi" w:cs="Arial"/>
          <w:iCs/>
          <w:sz w:val="24"/>
          <w:szCs w:val="24"/>
          <w:lang w:eastAsia="es-ES"/>
        </w:rPr>
      </w:pPr>
      <w:r w:rsidRPr="00EE10E3">
        <w:rPr>
          <w:rFonts w:ascii="Gadugi" w:eastAsia="Times New Roman" w:hAnsi="Gadugi" w:cs="Arial"/>
          <w:iCs/>
          <w:sz w:val="24"/>
          <w:szCs w:val="24"/>
          <w:lang w:eastAsia="es-ES"/>
        </w:rPr>
        <w:t xml:space="preserve">Expediente: </w:t>
      </w:r>
      <w:r w:rsidR="008D6A9A" w:rsidRPr="00EE10E3">
        <w:rPr>
          <w:rFonts w:ascii="Gadugi" w:eastAsia="Times New Roman" w:hAnsi="Gadugi" w:cs="Arial"/>
          <w:iCs/>
          <w:sz w:val="24"/>
          <w:szCs w:val="24"/>
          <w:lang w:eastAsia="es-ES"/>
        </w:rPr>
        <w:t>66001221800020220000</w:t>
      </w:r>
      <w:r w:rsidR="00374908" w:rsidRPr="00EE10E3">
        <w:rPr>
          <w:rFonts w:ascii="Gadugi" w:eastAsia="Times New Roman" w:hAnsi="Gadugi" w:cs="Arial"/>
          <w:iCs/>
          <w:sz w:val="24"/>
          <w:szCs w:val="24"/>
          <w:lang w:eastAsia="es-ES"/>
        </w:rPr>
        <w:t>6</w:t>
      </w:r>
      <w:r w:rsidR="008D6A9A" w:rsidRPr="00EE10E3">
        <w:rPr>
          <w:rFonts w:ascii="Gadugi" w:eastAsia="Times New Roman" w:hAnsi="Gadugi" w:cs="Arial"/>
          <w:iCs/>
          <w:sz w:val="24"/>
          <w:szCs w:val="24"/>
          <w:lang w:eastAsia="es-ES"/>
        </w:rPr>
        <w:t>00</w:t>
      </w:r>
    </w:p>
    <w:p w14:paraId="17F9DF05" w14:textId="15C928B4" w:rsidR="00C81034" w:rsidRPr="00EE10E3" w:rsidRDefault="00C81034" w:rsidP="00EE10E3">
      <w:pPr>
        <w:tabs>
          <w:tab w:val="left" w:pos="2880"/>
        </w:tabs>
        <w:spacing w:after="0" w:line="276" w:lineRule="auto"/>
        <w:ind w:firstLine="2835"/>
        <w:contextualSpacing/>
        <w:jc w:val="both"/>
        <w:rPr>
          <w:rFonts w:ascii="Gadugi" w:eastAsia="Times New Roman" w:hAnsi="Gadugi" w:cs="Arial"/>
          <w:iCs/>
          <w:sz w:val="24"/>
          <w:szCs w:val="24"/>
          <w:lang w:eastAsia="es-ES"/>
        </w:rPr>
      </w:pPr>
      <w:r w:rsidRPr="00EE10E3">
        <w:rPr>
          <w:rFonts w:ascii="Gadugi" w:eastAsia="Times New Roman" w:hAnsi="Gadugi" w:cs="Arial"/>
          <w:iCs/>
          <w:sz w:val="24"/>
          <w:szCs w:val="24"/>
          <w:lang w:eastAsia="es-ES"/>
        </w:rPr>
        <w:t>Act</w:t>
      </w:r>
      <w:r w:rsidR="00E84F0D" w:rsidRPr="00EE10E3">
        <w:rPr>
          <w:rFonts w:ascii="Gadugi" w:eastAsia="Times New Roman" w:hAnsi="Gadugi" w:cs="Arial"/>
          <w:iCs/>
          <w:sz w:val="24"/>
          <w:szCs w:val="24"/>
          <w:lang w:eastAsia="es-ES"/>
        </w:rPr>
        <w:t xml:space="preserve">a 255 del 10 de junio de 2022 </w:t>
      </w:r>
      <w:r w:rsidRPr="00EE10E3">
        <w:rPr>
          <w:rFonts w:ascii="Gadugi" w:eastAsia="Times New Roman" w:hAnsi="Gadugi" w:cs="Arial"/>
          <w:iCs/>
          <w:sz w:val="24"/>
          <w:szCs w:val="24"/>
          <w:lang w:eastAsia="es-ES"/>
        </w:rPr>
        <w:t xml:space="preserve"> </w:t>
      </w:r>
      <w:r w:rsidR="00C44585" w:rsidRPr="00EE10E3">
        <w:rPr>
          <w:rFonts w:ascii="Gadugi" w:eastAsia="Times New Roman" w:hAnsi="Gadugi" w:cs="Arial"/>
          <w:iCs/>
          <w:sz w:val="24"/>
          <w:szCs w:val="24"/>
          <w:lang w:eastAsia="es-ES"/>
        </w:rPr>
        <w:t xml:space="preserve"> </w:t>
      </w:r>
    </w:p>
    <w:p w14:paraId="4B09D068" w14:textId="612B4845" w:rsidR="005545BE" w:rsidRPr="00EE10E3" w:rsidRDefault="00410420" w:rsidP="00EE10E3">
      <w:pPr>
        <w:spacing w:after="0" w:line="276" w:lineRule="auto"/>
        <w:contextualSpacing/>
        <w:jc w:val="both"/>
        <w:rPr>
          <w:rFonts w:ascii="Gadugi" w:eastAsia="Times New Roman" w:hAnsi="Gadugi" w:cs="Arial"/>
          <w:bCs/>
          <w:iCs/>
          <w:kern w:val="28"/>
          <w:sz w:val="24"/>
          <w:szCs w:val="24"/>
          <w:lang w:val="es-MX" w:eastAsia="es-ES"/>
        </w:rPr>
      </w:pPr>
      <w:r w:rsidRPr="00EE10E3">
        <w:rPr>
          <w:rFonts w:ascii="Gadugi" w:eastAsia="Times New Roman" w:hAnsi="Gadugi" w:cs="Arial"/>
          <w:b/>
          <w:bCs/>
          <w:i/>
          <w:iCs/>
          <w:kern w:val="28"/>
          <w:sz w:val="24"/>
          <w:szCs w:val="24"/>
          <w:lang w:val="es-MX" w:eastAsia="es-ES"/>
        </w:rPr>
        <w:tab/>
      </w:r>
      <w:r w:rsidRPr="00EE10E3">
        <w:rPr>
          <w:rFonts w:ascii="Gadugi" w:eastAsia="Times New Roman" w:hAnsi="Gadugi" w:cs="Arial"/>
          <w:b/>
          <w:bCs/>
          <w:i/>
          <w:iCs/>
          <w:kern w:val="28"/>
          <w:sz w:val="24"/>
          <w:szCs w:val="24"/>
          <w:lang w:val="es-MX" w:eastAsia="es-ES"/>
        </w:rPr>
        <w:tab/>
      </w:r>
      <w:r w:rsidRPr="00EE10E3">
        <w:rPr>
          <w:rFonts w:ascii="Gadugi" w:eastAsia="Times New Roman" w:hAnsi="Gadugi" w:cs="Arial"/>
          <w:b/>
          <w:bCs/>
          <w:i/>
          <w:iCs/>
          <w:kern w:val="28"/>
          <w:sz w:val="24"/>
          <w:szCs w:val="24"/>
          <w:lang w:val="es-MX" w:eastAsia="es-ES"/>
        </w:rPr>
        <w:tab/>
      </w:r>
      <w:r w:rsidRPr="00EE10E3">
        <w:rPr>
          <w:rFonts w:ascii="Gadugi" w:eastAsia="Times New Roman" w:hAnsi="Gadugi" w:cs="Arial"/>
          <w:b/>
          <w:bCs/>
          <w:i/>
          <w:iCs/>
          <w:kern w:val="28"/>
          <w:sz w:val="24"/>
          <w:szCs w:val="24"/>
          <w:lang w:val="es-MX" w:eastAsia="es-ES"/>
        </w:rPr>
        <w:tab/>
      </w:r>
      <w:r w:rsidR="005545BE" w:rsidRPr="00EE10E3">
        <w:rPr>
          <w:rFonts w:ascii="Gadugi" w:eastAsia="Times New Roman" w:hAnsi="Gadugi" w:cs="Arial"/>
          <w:bCs/>
          <w:iCs/>
          <w:kern w:val="28"/>
          <w:sz w:val="24"/>
          <w:szCs w:val="24"/>
          <w:lang w:val="es-MX" w:eastAsia="es-ES"/>
        </w:rPr>
        <w:t>Aut</w:t>
      </w:r>
      <w:r w:rsidR="00E84F0D" w:rsidRPr="00EE10E3">
        <w:rPr>
          <w:rFonts w:ascii="Gadugi" w:eastAsia="Times New Roman" w:hAnsi="Gadugi" w:cs="Arial"/>
          <w:bCs/>
          <w:iCs/>
          <w:kern w:val="28"/>
          <w:sz w:val="24"/>
          <w:szCs w:val="24"/>
          <w:lang w:val="es-MX" w:eastAsia="es-ES"/>
        </w:rPr>
        <w:t>o</w:t>
      </w:r>
      <w:bookmarkStart w:id="2" w:name="_GoBack"/>
      <w:bookmarkEnd w:id="2"/>
      <w:r w:rsidR="00324E5A" w:rsidRPr="00EE10E3">
        <w:rPr>
          <w:rFonts w:ascii="Gadugi" w:eastAsia="Times New Roman" w:hAnsi="Gadugi" w:cs="Arial"/>
          <w:bCs/>
          <w:iCs/>
          <w:kern w:val="28"/>
          <w:sz w:val="24"/>
          <w:szCs w:val="24"/>
          <w:lang w:val="es-MX" w:eastAsia="es-ES"/>
        </w:rPr>
        <w:t xml:space="preserve"> </w:t>
      </w:r>
      <w:r w:rsidR="00E84F0D" w:rsidRPr="00EE10E3">
        <w:rPr>
          <w:rFonts w:ascii="Gadugi" w:eastAsia="Times New Roman" w:hAnsi="Gadugi" w:cs="Arial"/>
          <w:bCs/>
          <w:iCs/>
          <w:kern w:val="28"/>
          <w:sz w:val="24"/>
          <w:szCs w:val="24"/>
          <w:lang w:val="es-MX" w:eastAsia="es-ES"/>
        </w:rPr>
        <w:t>AT1-0019-2022</w:t>
      </w:r>
      <w:r w:rsidR="00C44585" w:rsidRPr="00EE10E3">
        <w:rPr>
          <w:rFonts w:ascii="Gadugi" w:eastAsia="Times New Roman" w:hAnsi="Gadugi" w:cs="Arial"/>
          <w:bCs/>
          <w:iCs/>
          <w:kern w:val="28"/>
          <w:sz w:val="24"/>
          <w:szCs w:val="24"/>
          <w:lang w:val="es-MX" w:eastAsia="es-ES"/>
        </w:rPr>
        <w:t xml:space="preserve"> </w:t>
      </w:r>
    </w:p>
    <w:p w14:paraId="528CF56E" w14:textId="77777777" w:rsidR="00E158BB" w:rsidRPr="00EE10E3" w:rsidRDefault="00E158BB" w:rsidP="00EE10E3">
      <w:pPr>
        <w:spacing w:after="0" w:line="276" w:lineRule="auto"/>
        <w:contextualSpacing/>
        <w:jc w:val="both"/>
        <w:rPr>
          <w:rFonts w:ascii="Gadugi" w:eastAsia="Times New Roman" w:hAnsi="Gadugi" w:cs="Arial"/>
          <w:b/>
          <w:bCs/>
          <w:i/>
          <w:iCs/>
          <w:kern w:val="28"/>
          <w:sz w:val="24"/>
          <w:szCs w:val="24"/>
          <w:u w:val="single"/>
          <w:lang w:val="es-MX" w:eastAsia="es-ES"/>
        </w:rPr>
      </w:pPr>
    </w:p>
    <w:p w14:paraId="04B05A07" w14:textId="77777777" w:rsidR="00410420" w:rsidRPr="00EE10E3" w:rsidRDefault="00410420" w:rsidP="00EE10E3">
      <w:pPr>
        <w:spacing w:after="0" w:line="276" w:lineRule="auto"/>
        <w:contextualSpacing/>
        <w:jc w:val="both"/>
        <w:rPr>
          <w:rFonts w:ascii="Gadugi" w:eastAsia="Times New Roman" w:hAnsi="Gadugi" w:cs="Arial"/>
          <w:b/>
          <w:bCs/>
          <w:iCs/>
          <w:kern w:val="28"/>
          <w:sz w:val="24"/>
          <w:szCs w:val="24"/>
          <w:u w:val="single"/>
          <w:lang w:val="es-MX" w:eastAsia="es-ES"/>
        </w:rPr>
      </w:pPr>
    </w:p>
    <w:p w14:paraId="629615BD" w14:textId="596AAF28" w:rsidR="00C44585" w:rsidRPr="00EE10E3" w:rsidRDefault="00E158BB" w:rsidP="00EE10E3">
      <w:pPr>
        <w:spacing w:after="0" w:line="276" w:lineRule="auto"/>
        <w:ind w:firstLine="2835"/>
        <w:contextualSpacing/>
        <w:jc w:val="both"/>
        <w:rPr>
          <w:rFonts w:ascii="Gadugi" w:eastAsia="Times New Roman" w:hAnsi="Gadugi" w:cs="Arial"/>
          <w:b/>
          <w:sz w:val="24"/>
          <w:szCs w:val="24"/>
          <w:lang w:eastAsia="es-ES"/>
        </w:rPr>
      </w:pPr>
      <w:r w:rsidRPr="00EE10E3">
        <w:rPr>
          <w:rFonts w:ascii="Gadugi" w:eastAsia="Times New Roman" w:hAnsi="Gadugi" w:cs="Arial"/>
          <w:sz w:val="24"/>
          <w:szCs w:val="24"/>
          <w:lang w:eastAsia="es-ES"/>
        </w:rPr>
        <w:t xml:space="preserve">Decide la Sala el conflicto de competencia suscitado por </w:t>
      </w:r>
      <w:r w:rsidR="00BC1C42" w:rsidRPr="00EE10E3">
        <w:rPr>
          <w:rFonts w:ascii="Gadugi" w:eastAsia="Times New Roman" w:hAnsi="Gadugi" w:cs="Arial"/>
          <w:sz w:val="24"/>
          <w:szCs w:val="24"/>
          <w:lang w:eastAsia="es-ES"/>
        </w:rPr>
        <w:t xml:space="preserve">el </w:t>
      </w:r>
      <w:r w:rsidR="00C44585" w:rsidRPr="00EE10E3">
        <w:rPr>
          <w:rFonts w:ascii="Gadugi" w:eastAsia="Times New Roman" w:hAnsi="Gadugi" w:cs="Arial"/>
          <w:b/>
          <w:sz w:val="24"/>
          <w:szCs w:val="24"/>
          <w:lang w:eastAsia="es-ES"/>
        </w:rPr>
        <w:t xml:space="preserve">Juzgado Tercero Penal Municipal </w:t>
      </w:r>
      <w:r w:rsidR="00C44585" w:rsidRPr="00EE10E3">
        <w:rPr>
          <w:rFonts w:ascii="Gadugi" w:eastAsia="Times New Roman" w:hAnsi="Gadugi" w:cs="Arial"/>
          <w:sz w:val="24"/>
          <w:szCs w:val="24"/>
          <w:lang w:eastAsia="es-ES"/>
        </w:rPr>
        <w:t>con funciones de control de garantías de Pereira</w:t>
      </w:r>
      <w:r w:rsidR="008D6A9A" w:rsidRPr="00EE10E3">
        <w:rPr>
          <w:rFonts w:ascii="Gadugi" w:eastAsia="Times New Roman" w:hAnsi="Gadugi" w:cs="Arial"/>
          <w:b/>
          <w:sz w:val="24"/>
          <w:szCs w:val="24"/>
          <w:lang w:eastAsia="es-ES"/>
        </w:rPr>
        <w:t xml:space="preserve"> </w:t>
      </w:r>
      <w:r w:rsidRPr="00EE10E3">
        <w:rPr>
          <w:rFonts w:ascii="Gadugi" w:eastAsia="Times New Roman" w:hAnsi="Gadugi" w:cs="Arial"/>
          <w:sz w:val="24"/>
          <w:szCs w:val="24"/>
          <w:lang w:eastAsia="es-ES"/>
        </w:rPr>
        <w:t>frente al</w:t>
      </w:r>
      <w:r w:rsidR="008D6A9A" w:rsidRPr="00EE10E3">
        <w:rPr>
          <w:rFonts w:ascii="Gadugi" w:eastAsia="Times New Roman" w:hAnsi="Gadugi" w:cs="Arial"/>
          <w:sz w:val="24"/>
          <w:szCs w:val="24"/>
          <w:lang w:eastAsia="es-ES"/>
        </w:rPr>
        <w:t xml:space="preserve"> </w:t>
      </w:r>
      <w:r w:rsidR="008D6A9A" w:rsidRPr="00EE10E3">
        <w:rPr>
          <w:rFonts w:ascii="Gadugi" w:eastAsia="Times New Roman" w:hAnsi="Gadugi" w:cs="Arial"/>
          <w:b/>
          <w:sz w:val="24"/>
          <w:szCs w:val="24"/>
          <w:lang w:eastAsia="es-ES"/>
        </w:rPr>
        <w:t xml:space="preserve">Juzgado </w:t>
      </w:r>
      <w:r w:rsidR="00C44585" w:rsidRPr="00EE10E3">
        <w:rPr>
          <w:rFonts w:ascii="Gadugi" w:eastAsia="Times New Roman" w:hAnsi="Gadugi" w:cs="Arial"/>
          <w:b/>
          <w:sz w:val="24"/>
          <w:szCs w:val="24"/>
          <w:lang w:eastAsia="es-ES"/>
        </w:rPr>
        <w:t xml:space="preserve">Tercero de </w:t>
      </w:r>
      <w:r w:rsidR="00AC499A" w:rsidRPr="00EE10E3">
        <w:rPr>
          <w:rFonts w:ascii="Gadugi" w:eastAsia="Times New Roman" w:hAnsi="Gadugi" w:cs="Arial"/>
          <w:b/>
          <w:sz w:val="24"/>
          <w:szCs w:val="24"/>
          <w:lang w:eastAsia="es-ES"/>
        </w:rPr>
        <w:t>F</w:t>
      </w:r>
      <w:r w:rsidR="00C44585" w:rsidRPr="00EE10E3">
        <w:rPr>
          <w:rFonts w:ascii="Gadugi" w:eastAsia="Times New Roman" w:hAnsi="Gadugi" w:cs="Arial"/>
          <w:b/>
          <w:sz w:val="24"/>
          <w:szCs w:val="24"/>
          <w:lang w:eastAsia="es-ES"/>
        </w:rPr>
        <w:t xml:space="preserve">amilia </w:t>
      </w:r>
      <w:r w:rsidR="00C44585" w:rsidRPr="00EE10E3">
        <w:rPr>
          <w:rFonts w:ascii="Gadugi" w:eastAsia="Times New Roman" w:hAnsi="Gadugi" w:cs="Arial"/>
          <w:sz w:val="24"/>
          <w:szCs w:val="24"/>
          <w:lang w:eastAsia="es-ES"/>
        </w:rPr>
        <w:t>local</w:t>
      </w:r>
      <w:r w:rsidRPr="00EE10E3">
        <w:rPr>
          <w:rFonts w:ascii="Gadugi" w:eastAsia="Times New Roman" w:hAnsi="Gadugi" w:cs="Arial"/>
          <w:sz w:val="24"/>
          <w:szCs w:val="24"/>
          <w:lang w:eastAsia="es-ES"/>
        </w:rPr>
        <w:t xml:space="preserve">, en la presente </w:t>
      </w:r>
      <w:r w:rsidRPr="008320E4">
        <w:rPr>
          <w:rFonts w:ascii="Gadugi" w:eastAsia="Times New Roman" w:hAnsi="Gadugi" w:cs="Arial"/>
          <w:b/>
          <w:sz w:val="24"/>
          <w:szCs w:val="24"/>
          <w:lang w:eastAsia="es-ES"/>
        </w:rPr>
        <w:t>acción de tutela</w:t>
      </w:r>
      <w:r w:rsidRPr="00EE10E3">
        <w:rPr>
          <w:rFonts w:ascii="Gadugi" w:eastAsia="Times New Roman" w:hAnsi="Gadugi" w:cs="Arial"/>
          <w:sz w:val="24"/>
          <w:szCs w:val="24"/>
          <w:lang w:eastAsia="es-ES"/>
        </w:rPr>
        <w:t xml:space="preserve"> promovida por</w:t>
      </w:r>
      <w:r w:rsidR="00B7304D" w:rsidRPr="00EE10E3">
        <w:rPr>
          <w:rFonts w:ascii="Gadugi" w:eastAsia="Times New Roman" w:hAnsi="Gadugi" w:cs="Arial"/>
          <w:sz w:val="24"/>
          <w:szCs w:val="24"/>
          <w:lang w:eastAsia="es-ES"/>
        </w:rPr>
        <w:t xml:space="preserve"> </w:t>
      </w:r>
      <w:r w:rsidR="00C44585" w:rsidRPr="00EE10E3">
        <w:rPr>
          <w:rFonts w:ascii="Gadugi" w:eastAsia="Times New Roman" w:hAnsi="Gadugi" w:cs="Arial"/>
          <w:b/>
          <w:sz w:val="24"/>
          <w:szCs w:val="24"/>
          <w:lang w:eastAsia="es-ES"/>
        </w:rPr>
        <w:t>Yamid Fabian Cabeza Ríos</w:t>
      </w:r>
      <w:r w:rsidR="00C44585" w:rsidRPr="00EE10E3">
        <w:rPr>
          <w:rFonts w:ascii="Gadugi" w:eastAsia="Times New Roman" w:hAnsi="Gadugi" w:cs="Arial"/>
          <w:sz w:val="24"/>
          <w:szCs w:val="24"/>
          <w:lang w:eastAsia="es-ES"/>
        </w:rPr>
        <w:t xml:space="preserve"> y </w:t>
      </w:r>
      <w:r w:rsidR="00C44585" w:rsidRPr="00EE10E3">
        <w:rPr>
          <w:rFonts w:ascii="Gadugi" w:eastAsia="Times New Roman" w:hAnsi="Gadugi" w:cs="Arial"/>
          <w:b/>
          <w:sz w:val="24"/>
          <w:szCs w:val="24"/>
          <w:lang w:eastAsia="es-ES"/>
        </w:rPr>
        <w:t>Lorena Andrea Ordoñez Bravo</w:t>
      </w:r>
      <w:r w:rsidR="00C44585" w:rsidRPr="00EE10E3">
        <w:rPr>
          <w:rFonts w:ascii="Gadugi" w:eastAsia="Times New Roman" w:hAnsi="Gadugi" w:cs="Arial"/>
          <w:sz w:val="24"/>
          <w:szCs w:val="24"/>
          <w:lang w:eastAsia="es-ES"/>
        </w:rPr>
        <w:t xml:space="preserve"> en contra de la </w:t>
      </w:r>
      <w:r w:rsidR="00C44585" w:rsidRPr="00EE10E3">
        <w:rPr>
          <w:rFonts w:ascii="Gadugi" w:eastAsia="Times New Roman" w:hAnsi="Gadugi" w:cs="Arial"/>
          <w:b/>
          <w:sz w:val="24"/>
          <w:szCs w:val="24"/>
          <w:lang w:eastAsia="es-ES"/>
        </w:rPr>
        <w:t xml:space="preserve">Alcaldía Municipal de Pereira – Secretaría </w:t>
      </w:r>
      <w:r w:rsidR="00AC499A" w:rsidRPr="00EE10E3">
        <w:rPr>
          <w:rFonts w:ascii="Gadugi" w:eastAsia="Times New Roman" w:hAnsi="Gadugi" w:cs="Arial"/>
          <w:b/>
          <w:sz w:val="24"/>
          <w:szCs w:val="24"/>
          <w:lang w:eastAsia="es-ES"/>
        </w:rPr>
        <w:t>d</w:t>
      </w:r>
      <w:r w:rsidR="00C44585" w:rsidRPr="00EE10E3">
        <w:rPr>
          <w:rFonts w:ascii="Gadugi" w:eastAsia="Times New Roman" w:hAnsi="Gadugi" w:cs="Arial"/>
          <w:b/>
          <w:sz w:val="24"/>
          <w:szCs w:val="24"/>
          <w:lang w:eastAsia="es-ES"/>
        </w:rPr>
        <w:t>e Gobierno – Dirección de Control Físico</w:t>
      </w:r>
      <w:r w:rsidR="00C44585" w:rsidRPr="00EE10E3">
        <w:rPr>
          <w:rFonts w:ascii="Gadugi" w:eastAsia="Times New Roman" w:hAnsi="Gadugi" w:cs="Arial"/>
          <w:sz w:val="24"/>
          <w:szCs w:val="24"/>
          <w:lang w:eastAsia="es-ES"/>
        </w:rPr>
        <w:t xml:space="preserve"> y la </w:t>
      </w:r>
      <w:r w:rsidR="00C44585" w:rsidRPr="00EE10E3">
        <w:rPr>
          <w:rFonts w:ascii="Gadugi" w:eastAsia="Times New Roman" w:hAnsi="Gadugi" w:cs="Arial"/>
          <w:b/>
          <w:sz w:val="24"/>
          <w:szCs w:val="24"/>
          <w:lang w:eastAsia="es-ES"/>
        </w:rPr>
        <w:t>Policía Metropolitana de Pereira – Cuadrante de San Joaquín</w:t>
      </w:r>
      <w:r w:rsidR="00C44585" w:rsidRPr="00404E45">
        <w:rPr>
          <w:rFonts w:ascii="Gadugi" w:eastAsia="Times New Roman" w:hAnsi="Gadugi" w:cs="Arial"/>
          <w:sz w:val="24"/>
          <w:szCs w:val="24"/>
          <w:lang w:eastAsia="es-ES"/>
        </w:rPr>
        <w:t>.</w:t>
      </w:r>
    </w:p>
    <w:p w14:paraId="7E24D620" w14:textId="77777777" w:rsidR="00E158BB" w:rsidRPr="00EE10E3" w:rsidRDefault="00E158BB" w:rsidP="00EE10E3">
      <w:pPr>
        <w:spacing w:after="0" w:line="276" w:lineRule="auto"/>
        <w:ind w:firstLine="2880"/>
        <w:contextualSpacing/>
        <w:jc w:val="both"/>
        <w:rPr>
          <w:rFonts w:ascii="Gadugi" w:eastAsia="Times New Roman" w:hAnsi="Gadugi" w:cs="Arial"/>
          <w:b/>
          <w:bCs/>
          <w:iCs/>
          <w:sz w:val="24"/>
          <w:szCs w:val="24"/>
          <w:u w:val="single"/>
          <w:lang w:eastAsia="es-ES"/>
        </w:rPr>
      </w:pPr>
    </w:p>
    <w:p w14:paraId="66378E52" w14:textId="77777777" w:rsidR="00E158BB" w:rsidRPr="00EE10E3" w:rsidRDefault="00E158BB" w:rsidP="00EE10E3">
      <w:pPr>
        <w:spacing w:after="0" w:line="276" w:lineRule="auto"/>
        <w:ind w:left="612" w:firstLine="2268"/>
        <w:contextualSpacing/>
        <w:jc w:val="both"/>
        <w:rPr>
          <w:rFonts w:ascii="Gadugi" w:eastAsia="Times New Roman" w:hAnsi="Gadugi" w:cs="Arial"/>
          <w:b/>
          <w:bCs/>
          <w:iCs/>
          <w:sz w:val="24"/>
          <w:szCs w:val="24"/>
          <w:lang w:eastAsia="es-ES"/>
        </w:rPr>
      </w:pPr>
    </w:p>
    <w:p w14:paraId="7C5BD400" w14:textId="77777777" w:rsidR="00E158BB" w:rsidRPr="00EE10E3" w:rsidRDefault="00E158BB" w:rsidP="00EE10E3">
      <w:pPr>
        <w:spacing w:after="0" w:line="276" w:lineRule="auto"/>
        <w:ind w:left="612" w:firstLine="2223"/>
        <w:contextualSpacing/>
        <w:jc w:val="both"/>
        <w:rPr>
          <w:rFonts w:ascii="Gadugi" w:eastAsia="Times New Roman" w:hAnsi="Gadugi" w:cs="Arial"/>
          <w:b/>
          <w:bCs/>
          <w:iCs/>
          <w:sz w:val="24"/>
          <w:szCs w:val="24"/>
          <w:lang w:eastAsia="es-ES"/>
        </w:rPr>
      </w:pPr>
      <w:r w:rsidRPr="00EE10E3">
        <w:rPr>
          <w:rFonts w:ascii="Gadugi" w:eastAsia="Times New Roman" w:hAnsi="Gadugi" w:cs="Arial"/>
          <w:b/>
          <w:bCs/>
          <w:iCs/>
          <w:sz w:val="24"/>
          <w:szCs w:val="24"/>
          <w:lang w:eastAsia="es-ES"/>
        </w:rPr>
        <w:t>ANTECEDENTES</w:t>
      </w:r>
    </w:p>
    <w:p w14:paraId="69E0F9A3" w14:textId="77777777" w:rsidR="00E158BB" w:rsidRPr="00EE10E3" w:rsidRDefault="00E158BB" w:rsidP="00EE10E3">
      <w:pPr>
        <w:spacing w:after="0" w:line="276" w:lineRule="auto"/>
        <w:ind w:firstLine="2880"/>
        <w:contextualSpacing/>
        <w:jc w:val="both"/>
        <w:rPr>
          <w:rFonts w:ascii="Gadugi" w:eastAsia="Times New Roman" w:hAnsi="Gadugi" w:cs="Arial"/>
          <w:snapToGrid w:val="0"/>
          <w:sz w:val="24"/>
          <w:szCs w:val="24"/>
          <w:lang w:eastAsia="es-ES"/>
        </w:rPr>
      </w:pPr>
    </w:p>
    <w:p w14:paraId="76D5C2F2" w14:textId="374BB6EA" w:rsidR="005545BE" w:rsidRPr="00EE10E3" w:rsidRDefault="005545BE" w:rsidP="00EE10E3">
      <w:pPr>
        <w:spacing w:after="0" w:line="276" w:lineRule="auto"/>
        <w:ind w:firstLine="2880"/>
        <w:contextualSpacing/>
        <w:jc w:val="both"/>
        <w:rPr>
          <w:rFonts w:ascii="Gadugi" w:eastAsia="Times New Roman" w:hAnsi="Gadugi" w:cs="Arial"/>
          <w:snapToGrid w:val="0"/>
          <w:sz w:val="24"/>
          <w:szCs w:val="24"/>
          <w:lang w:eastAsia="es-ES"/>
        </w:rPr>
      </w:pPr>
    </w:p>
    <w:p w14:paraId="37792531" w14:textId="41D18573" w:rsidR="00C44585" w:rsidRPr="00EE10E3" w:rsidRDefault="00DC4E70" w:rsidP="00EE10E3">
      <w:pPr>
        <w:spacing w:after="0" w:line="276" w:lineRule="auto"/>
        <w:ind w:firstLine="2880"/>
        <w:contextualSpacing/>
        <w:jc w:val="both"/>
        <w:rPr>
          <w:rFonts w:ascii="Gadugi" w:eastAsia="Times New Roman" w:hAnsi="Gadugi" w:cs="Arial"/>
          <w:snapToGrid w:val="0"/>
          <w:sz w:val="24"/>
          <w:szCs w:val="24"/>
          <w:lang w:eastAsia="es-ES"/>
        </w:rPr>
      </w:pPr>
      <w:r w:rsidRPr="00EE10E3">
        <w:rPr>
          <w:rFonts w:ascii="Gadugi" w:eastAsia="Times New Roman" w:hAnsi="Gadugi" w:cs="Arial"/>
          <w:snapToGrid w:val="0"/>
          <w:sz w:val="24"/>
          <w:szCs w:val="24"/>
          <w:lang w:eastAsia="es-ES"/>
        </w:rPr>
        <w:t>Narraron los demandantes que fueron víctimas de a</w:t>
      </w:r>
      <w:r w:rsidR="008F62C1" w:rsidRPr="00EE10E3">
        <w:rPr>
          <w:rFonts w:ascii="Gadugi" w:eastAsia="Times New Roman" w:hAnsi="Gadugi" w:cs="Arial"/>
          <w:snapToGrid w:val="0"/>
          <w:sz w:val="24"/>
          <w:szCs w:val="24"/>
          <w:lang w:eastAsia="es-ES"/>
        </w:rPr>
        <w:t xml:space="preserve">buso de autoridad por parte de funcionarios de la Alcaldía de Pereira y la Policía Nacional del cuadrante de San Joaquín, quienes destruyeron con violencia su vivienda </w:t>
      </w:r>
      <w:r w:rsidR="008F62C1" w:rsidRPr="00EE10E3">
        <w:rPr>
          <w:rFonts w:ascii="Gadugi" w:eastAsia="Times New Roman" w:hAnsi="Gadugi" w:cs="Arial"/>
          <w:snapToGrid w:val="0"/>
          <w:sz w:val="24"/>
          <w:szCs w:val="24"/>
          <w:lang w:eastAsia="es-ES"/>
        </w:rPr>
        <w:lastRenderedPageBreak/>
        <w:t xml:space="preserve">construida en la invasión </w:t>
      </w:r>
      <w:r w:rsidR="00AC499A" w:rsidRPr="00EE10E3">
        <w:rPr>
          <w:rFonts w:ascii="Gadugi" w:eastAsia="Times New Roman" w:hAnsi="Gadugi" w:cs="Arial"/>
          <w:snapToGrid w:val="0"/>
          <w:sz w:val="24"/>
          <w:szCs w:val="24"/>
          <w:lang w:eastAsia="es-ES"/>
        </w:rPr>
        <w:t>P</w:t>
      </w:r>
      <w:r w:rsidR="008F62C1" w:rsidRPr="00EE10E3">
        <w:rPr>
          <w:rFonts w:ascii="Gadugi" w:eastAsia="Times New Roman" w:hAnsi="Gadugi" w:cs="Arial"/>
          <w:snapToGrid w:val="0"/>
          <w:sz w:val="24"/>
          <w:szCs w:val="24"/>
          <w:lang w:eastAsia="es-ES"/>
        </w:rPr>
        <w:t xml:space="preserve">alo de </w:t>
      </w:r>
      <w:r w:rsidR="00AC499A" w:rsidRPr="00EE10E3">
        <w:rPr>
          <w:rFonts w:ascii="Gadugi" w:eastAsia="Times New Roman" w:hAnsi="Gadugi" w:cs="Arial"/>
          <w:snapToGrid w:val="0"/>
          <w:sz w:val="24"/>
          <w:szCs w:val="24"/>
          <w:lang w:eastAsia="es-ES"/>
        </w:rPr>
        <w:t>A</w:t>
      </w:r>
      <w:r w:rsidR="008F62C1" w:rsidRPr="00EE10E3">
        <w:rPr>
          <w:rFonts w:ascii="Gadugi" w:eastAsia="Times New Roman" w:hAnsi="Gadugi" w:cs="Arial"/>
          <w:snapToGrid w:val="0"/>
          <w:sz w:val="24"/>
          <w:szCs w:val="24"/>
          <w:lang w:eastAsia="es-ES"/>
        </w:rPr>
        <w:t>gua, y solicitaron, entonces, que la administración municipal les de una solución de vivienda.</w:t>
      </w:r>
      <w:r w:rsidR="00A2700C" w:rsidRPr="00EE10E3">
        <w:rPr>
          <w:rStyle w:val="Refdenotaalpie"/>
          <w:rFonts w:ascii="Gadugi" w:eastAsia="Times New Roman" w:hAnsi="Gadugi" w:cs="Arial"/>
          <w:snapToGrid w:val="0"/>
          <w:sz w:val="24"/>
          <w:szCs w:val="24"/>
          <w:lang w:eastAsia="es-ES"/>
        </w:rPr>
        <w:footnoteReference w:id="1"/>
      </w:r>
      <w:r w:rsidR="008F62C1" w:rsidRPr="00EE10E3">
        <w:rPr>
          <w:rFonts w:ascii="Gadugi" w:eastAsia="Times New Roman" w:hAnsi="Gadugi" w:cs="Arial"/>
          <w:snapToGrid w:val="0"/>
          <w:sz w:val="24"/>
          <w:szCs w:val="24"/>
          <w:lang w:eastAsia="es-ES"/>
        </w:rPr>
        <w:t xml:space="preserve"> </w:t>
      </w:r>
    </w:p>
    <w:p w14:paraId="7DA3984B" w14:textId="08167E85" w:rsidR="00A92908" w:rsidRPr="00EE10E3" w:rsidRDefault="00A92908" w:rsidP="00EE10E3">
      <w:pPr>
        <w:spacing w:after="0" w:line="276" w:lineRule="auto"/>
        <w:ind w:firstLine="2880"/>
        <w:contextualSpacing/>
        <w:jc w:val="both"/>
        <w:rPr>
          <w:rFonts w:ascii="Gadugi" w:eastAsia="Times New Roman" w:hAnsi="Gadugi" w:cs="Arial"/>
          <w:snapToGrid w:val="0"/>
          <w:sz w:val="24"/>
          <w:szCs w:val="24"/>
          <w:lang w:eastAsia="es-ES"/>
        </w:rPr>
      </w:pPr>
    </w:p>
    <w:p w14:paraId="5CC01B20" w14:textId="1FDB201D" w:rsidR="008F62C1" w:rsidRPr="00EE10E3" w:rsidRDefault="00A92908" w:rsidP="00EE10E3">
      <w:pPr>
        <w:spacing w:after="0" w:line="276" w:lineRule="auto"/>
        <w:ind w:firstLine="2880"/>
        <w:contextualSpacing/>
        <w:jc w:val="both"/>
        <w:rPr>
          <w:rFonts w:ascii="Gadugi" w:eastAsia="Times New Roman" w:hAnsi="Gadugi" w:cs="Arial"/>
          <w:snapToGrid w:val="0"/>
          <w:sz w:val="24"/>
          <w:szCs w:val="24"/>
          <w:lang w:eastAsia="es-ES"/>
        </w:rPr>
      </w:pPr>
      <w:r w:rsidRPr="00EE10E3">
        <w:rPr>
          <w:rFonts w:ascii="Gadugi" w:eastAsia="Times New Roman" w:hAnsi="Gadugi" w:cs="Arial"/>
          <w:snapToGrid w:val="0"/>
          <w:sz w:val="24"/>
          <w:szCs w:val="24"/>
          <w:lang w:eastAsia="es-ES"/>
        </w:rPr>
        <w:t>Inicialmente el caso le correspondió al</w:t>
      </w:r>
      <w:r w:rsidR="008F62C1" w:rsidRPr="00EE10E3">
        <w:rPr>
          <w:rFonts w:ascii="Gadugi" w:eastAsia="Times New Roman" w:hAnsi="Gadugi" w:cs="Arial"/>
          <w:snapToGrid w:val="0"/>
          <w:sz w:val="24"/>
          <w:szCs w:val="24"/>
          <w:lang w:eastAsia="es-ES"/>
        </w:rPr>
        <w:t xml:space="preserve"> Juzgado Tercero de Familia de Pereira, </w:t>
      </w:r>
      <w:r w:rsidRPr="00EE10E3">
        <w:rPr>
          <w:rFonts w:ascii="Gadugi" w:eastAsia="Times New Roman" w:hAnsi="Gadugi" w:cs="Arial"/>
          <w:snapToGrid w:val="0"/>
          <w:sz w:val="24"/>
          <w:szCs w:val="24"/>
          <w:lang w:eastAsia="es-ES"/>
        </w:rPr>
        <w:t>que lo repelió, toda vez que</w:t>
      </w:r>
      <w:r w:rsidR="008F62C1" w:rsidRPr="00EE10E3">
        <w:rPr>
          <w:rFonts w:ascii="Gadugi" w:eastAsia="Times New Roman" w:hAnsi="Gadugi" w:cs="Arial"/>
          <w:snapToGrid w:val="0"/>
          <w:sz w:val="24"/>
          <w:szCs w:val="24"/>
          <w:lang w:eastAsia="es-ES"/>
        </w:rPr>
        <w:t xml:space="preserve"> la demanda está dirigida contra autoridades del orden municipal, y, en consecuencia, lo </w:t>
      </w:r>
      <w:r w:rsidR="00A2700C" w:rsidRPr="00EE10E3">
        <w:rPr>
          <w:rFonts w:ascii="Gadugi" w:eastAsia="Times New Roman" w:hAnsi="Gadugi" w:cs="Arial"/>
          <w:snapToGrid w:val="0"/>
          <w:sz w:val="24"/>
          <w:szCs w:val="24"/>
          <w:lang w:eastAsia="es-ES"/>
        </w:rPr>
        <w:t>remitió</w:t>
      </w:r>
      <w:r w:rsidR="008F62C1" w:rsidRPr="00EE10E3">
        <w:rPr>
          <w:rFonts w:ascii="Gadugi" w:eastAsia="Times New Roman" w:hAnsi="Gadugi" w:cs="Arial"/>
          <w:snapToGrid w:val="0"/>
          <w:sz w:val="24"/>
          <w:szCs w:val="24"/>
          <w:lang w:eastAsia="es-ES"/>
        </w:rPr>
        <w:t xml:space="preserve"> a los juzgados de categoría municipal de esta ciudad.</w:t>
      </w:r>
      <w:r w:rsidR="00A2700C" w:rsidRPr="00EE10E3">
        <w:rPr>
          <w:rStyle w:val="Refdenotaalpie"/>
          <w:rFonts w:ascii="Gadugi" w:eastAsia="Times New Roman" w:hAnsi="Gadugi" w:cs="Arial"/>
          <w:snapToGrid w:val="0"/>
          <w:sz w:val="24"/>
          <w:szCs w:val="24"/>
          <w:lang w:eastAsia="es-ES"/>
        </w:rPr>
        <w:footnoteReference w:id="2"/>
      </w:r>
      <w:r w:rsidR="008F62C1" w:rsidRPr="00EE10E3">
        <w:rPr>
          <w:rFonts w:ascii="Gadugi" w:eastAsia="Times New Roman" w:hAnsi="Gadugi" w:cs="Arial"/>
          <w:snapToGrid w:val="0"/>
          <w:sz w:val="24"/>
          <w:szCs w:val="24"/>
          <w:lang w:eastAsia="es-ES"/>
        </w:rPr>
        <w:t xml:space="preserve"> </w:t>
      </w:r>
    </w:p>
    <w:p w14:paraId="59B03229" w14:textId="578141AF" w:rsidR="008F62C1" w:rsidRPr="00EE10E3" w:rsidRDefault="008F62C1" w:rsidP="00EE10E3">
      <w:pPr>
        <w:spacing w:after="0" w:line="276" w:lineRule="auto"/>
        <w:ind w:firstLine="2880"/>
        <w:contextualSpacing/>
        <w:jc w:val="both"/>
        <w:rPr>
          <w:rFonts w:ascii="Gadugi" w:eastAsia="Times New Roman" w:hAnsi="Gadugi" w:cs="Arial"/>
          <w:snapToGrid w:val="0"/>
          <w:sz w:val="24"/>
          <w:szCs w:val="24"/>
          <w:lang w:eastAsia="es-ES"/>
        </w:rPr>
      </w:pPr>
    </w:p>
    <w:p w14:paraId="5D284F9D" w14:textId="1630D137" w:rsidR="008F62C1" w:rsidRPr="00EE10E3" w:rsidRDefault="008F62C1" w:rsidP="00EE10E3">
      <w:pPr>
        <w:spacing w:after="0" w:line="276" w:lineRule="auto"/>
        <w:ind w:firstLine="2880"/>
        <w:contextualSpacing/>
        <w:jc w:val="both"/>
        <w:rPr>
          <w:rFonts w:ascii="Gadugi" w:eastAsia="Times New Roman" w:hAnsi="Gadugi" w:cs="Arial"/>
          <w:snapToGrid w:val="0"/>
          <w:sz w:val="24"/>
          <w:szCs w:val="24"/>
          <w:lang w:eastAsia="es-ES"/>
        </w:rPr>
      </w:pPr>
      <w:r w:rsidRPr="00EE10E3">
        <w:rPr>
          <w:rFonts w:ascii="Gadugi" w:eastAsia="Times New Roman" w:hAnsi="Gadugi" w:cs="Arial"/>
          <w:snapToGrid w:val="0"/>
          <w:sz w:val="24"/>
          <w:szCs w:val="24"/>
          <w:lang w:eastAsia="es-ES"/>
        </w:rPr>
        <w:t xml:space="preserve">Llegó el expediente al Juzgado Tercero Penal Municipal con funciones de control de garantías de Pereira, que generó el conflicto negativo de competencia, dado que está comprometida la actuación de la Policía Metropolitana de Pereira – Cuadrante San Joaquín, y esa </w:t>
      </w:r>
      <w:r w:rsidRPr="00EE10E3">
        <w:rPr>
          <w:rFonts w:ascii="Gadugi" w:eastAsia="Times New Roman" w:hAnsi="Gadugi" w:cs="Arial"/>
          <w:i/>
          <w:snapToGrid w:val="0"/>
          <w:sz w:val="24"/>
          <w:szCs w:val="24"/>
          <w:lang w:eastAsia="es-ES"/>
        </w:rPr>
        <w:t>“</w:t>
      </w:r>
      <w:r w:rsidRPr="008320E4">
        <w:rPr>
          <w:rFonts w:ascii="Gadugi" w:eastAsia="Times New Roman" w:hAnsi="Gadugi" w:cs="Arial"/>
          <w:i/>
          <w:snapToGrid w:val="0"/>
          <w:szCs w:val="24"/>
          <w:lang w:eastAsia="es-ES"/>
        </w:rPr>
        <w:t>(…) es una entidad de carácter nacional, pues de acuerdo a su naturaleza jurídica, que no por ser un comando metropolitano se puede escindir del nivel central de la Policía Nacional para efectos de competencia en acciones de tutela, ya que esta entidad es un solo organismo del orden nacional, tal como lo ha considerado la jurisprudencia de la Corte Constitucional</w:t>
      </w:r>
      <w:r w:rsidRPr="008320E4">
        <w:rPr>
          <w:rStyle w:val="Refdenotaalpie"/>
          <w:rFonts w:ascii="Gadugi" w:eastAsia="Times New Roman" w:hAnsi="Gadugi" w:cs="Arial"/>
          <w:i/>
          <w:snapToGrid w:val="0"/>
          <w:szCs w:val="24"/>
          <w:lang w:eastAsia="es-ES"/>
        </w:rPr>
        <w:footnoteReference w:id="3"/>
      </w:r>
      <w:r w:rsidRPr="008320E4">
        <w:rPr>
          <w:rFonts w:ascii="Gadugi" w:eastAsia="Times New Roman" w:hAnsi="Gadugi" w:cs="Arial"/>
          <w:i/>
          <w:snapToGrid w:val="0"/>
          <w:szCs w:val="24"/>
          <w:lang w:eastAsia="es-ES"/>
        </w:rPr>
        <w:t>-</w:t>
      </w:r>
      <w:r w:rsidRPr="008320E4">
        <w:rPr>
          <w:rStyle w:val="Refdenotaalpie"/>
          <w:rFonts w:ascii="Gadugi" w:eastAsia="Times New Roman" w:hAnsi="Gadugi" w:cs="Arial"/>
          <w:i/>
          <w:snapToGrid w:val="0"/>
          <w:szCs w:val="24"/>
          <w:lang w:eastAsia="es-ES"/>
        </w:rPr>
        <w:footnoteReference w:id="4"/>
      </w:r>
      <w:r w:rsidRPr="008320E4">
        <w:rPr>
          <w:rFonts w:ascii="Gadugi" w:eastAsia="Times New Roman" w:hAnsi="Gadugi" w:cs="Arial"/>
          <w:i/>
          <w:snapToGrid w:val="0"/>
          <w:szCs w:val="24"/>
          <w:lang w:eastAsia="es-ES"/>
        </w:rPr>
        <w:t>.</w:t>
      </w:r>
      <w:r w:rsidRPr="00EE10E3">
        <w:rPr>
          <w:rFonts w:ascii="Gadugi" w:eastAsia="Times New Roman" w:hAnsi="Gadugi" w:cs="Arial"/>
          <w:i/>
          <w:snapToGrid w:val="0"/>
          <w:sz w:val="24"/>
          <w:szCs w:val="24"/>
          <w:lang w:eastAsia="es-ES"/>
        </w:rPr>
        <w:t>”.</w:t>
      </w:r>
      <w:r w:rsidR="00A2700C" w:rsidRPr="00EE10E3">
        <w:rPr>
          <w:rStyle w:val="Refdenotaalpie"/>
          <w:rFonts w:ascii="Gadugi" w:eastAsia="Times New Roman" w:hAnsi="Gadugi" w:cs="Arial"/>
          <w:i/>
          <w:snapToGrid w:val="0"/>
          <w:sz w:val="24"/>
          <w:szCs w:val="24"/>
          <w:lang w:eastAsia="es-ES"/>
        </w:rPr>
        <w:footnoteReference w:id="5"/>
      </w:r>
    </w:p>
    <w:p w14:paraId="7E97D29D" w14:textId="77777777" w:rsidR="00083A0A" w:rsidRPr="00EE10E3" w:rsidRDefault="00083A0A" w:rsidP="00EE10E3">
      <w:pPr>
        <w:spacing w:after="0" w:line="276" w:lineRule="auto"/>
        <w:ind w:firstLine="2835"/>
        <w:contextualSpacing/>
        <w:jc w:val="both"/>
        <w:rPr>
          <w:rFonts w:ascii="Gadugi" w:eastAsia="Times New Roman" w:hAnsi="Gadugi" w:cs="Arial"/>
          <w:sz w:val="24"/>
          <w:szCs w:val="24"/>
          <w:lang w:eastAsia="es-ES"/>
        </w:rPr>
      </w:pPr>
    </w:p>
    <w:p w14:paraId="3D9B4D41" w14:textId="57F30768" w:rsidR="00E158BB" w:rsidRPr="00EE10E3" w:rsidRDefault="00083A0A" w:rsidP="00EE10E3">
      <w:pPr>
        <w:spacing w:after="0" w:line="276" w:lineRule="auto"/>
        <w:ind w:firstLine="2835"/>
        <w:contextualSpacing/>
        <w:jc w:val="both"/>
        <w:rPr>
          <w:rFonts w:ascii="Gadugi" w:eastAsia="Times New Roman" w:hAnsi="Gadugi" w:cs="Arial"/>
          <w:sz w:val="24"/>
          <w:szCs w:val="24"/>
          <w:lang w:eastAsia="es-ES"/>
        </w:rPr>
      </w:pPr>
      <w:r w:rsidRPr="00EE10E3">
        <w:rPr>
          <w:rFonts w:ascii="Gadugi" w:eastAsia="Times New Roman" w:hAnsi="Gadugi" w:cs="Arial"/>
          <w:sz w:val="24"/>
          <w:szCs w:val="24"/>
          <w:lang w:eastAsia="es-ES"/>
        </w:rPr>
        <w:t xml:space="preserve">Con esos prolegómenos, </w:t>
      </w:r>
      <w:r w:rsidR="00E158BB" w:rsidRPr="00EE10E3">
        <w:rPr>
          <w:rFonts w:ascii="Gadugi" w:eastAsia="Times New Roman" w:hAnsi="Gadugi" w:cs="Arial"/>
          <w:sz w:val="24"/>
          <w:szCs w:val="24"/>
          <w:lang w:eastAsia="es-ES"/>
        </w:rPr>
        <w:t xml:space="preserve">arribó a esta sede </w:t>
      </w:r>
      <w:r w:rsidR="008F62C1" w:rsidRPr="00EE10E3">
        <w:rPr>
          <w:rFonts w:ascii="Gadugi" w:eastAsia="Times New Roman" w:hAnsi="Gadugi" w:cs="Arial"/>
          <w:sz w:val="24"/>
          <w:szCs w:val="24"/>
          <w:lang w:eastAsia="es-ES"/>
        </w:rPr>
        <w:t xml:space="preserve">el expediente. </w:t>
      </w:r>
    </w:p>
    <w:p w14:paraId="09EF8A63" w14:textId="77777777" w:rsidR="00410420" w:rsidRPr="00EE10E3" w:rsidRDefault="00410420" w:rsidP="00EE10E3">
      <w:pPr>
        <w:spacing w:after="0" w:line="276" w:lineRule="auto"/>
        <w:ind w:firstLine="2835"/>
        <w:contextualSpacing/>
        <w:jc w:val="both"/>
        <w:rPr>
          <w:rFonts w:ascii="Gadugi" w:eastAsia="Times New Roman" w:hAnsi="Gadugi" w:cs="Arial"/>
          <w:sz w:val="24"/>
          <w:szCs w:val="24"/>
          <w:lang w:eastAsia="es-ES"/>
        </w:rPr>
      </w:pPr>
    </w:p>
    <w:p w14:paraId="252C4D72" w14:textId="77777777" w:rsidR="00410420" w:rsidRPr="00EE10E3" w:rsidRDefault="00410420" w:rsidP="00EE10E3">
      <w:pPr>
        <w:spacing w:after="0" w:line="276" w:lineRule="auto"/>
        <w:ind w:firstLine="2835"/>
        <w:contextualSpacing/>
        <w:jc w:val="both"/>
        <w:rPr>
          <w:rFonts w:ascii="Gadugi" w:eastAsia="Times New Roman" w:hAnsi="Gadugi" w:cs="Arial"/>
          <w:sz w:val="24"/>
          <w:szCs w:val="24"/>
          <w:lang w:eastAsia="es-ES"/>
        </w:rPr>
      </w:pPr>
    </w:p>
    <w:p w14:paraId="2FA3C483" w14:textId="77777777" w:rsidR="00E158BB" w:rsidRPr="00EE10E3" w:rsidRDefault="00E158BB" w:rsidP="00EE10E3">
      <w:pPr>
        <w:spacing w:after="0" w:line="276" w:lineRule="auto"/>
        <w:ind w:firstLine="2835"/>
        <w:contextualSpacing/>
        <w:jc w:val="both"/>
        <w:rPr>
          <w:rFonts w:ascii="Gadugi" w:eastAsia="Times New Roman" w:hAnsi="Gadugi" w:cs="Arial"/>
          <w:sz w:val="24"/>
          <w:szCs w:val="24"/>
          <w:lang w:eastAsia="es-ES"/>
        </w:rPr>
      </w:pPr>
      <w:r w:rsidRPr="00EE10E3">
        <w:rPr>
          <w:rFonts w:ascii="Gadugi" w:eastAsia="Times New Roman" w:hAnsi="Gadugi" w:cs="Arial"/>
          <w:b/>
          <w:bCs/>
          <w:iCs/>
          <w:sz w:val="24"/>
          <w:szCs w:val="24"/>
          <w:lang w:eastAsia="es-ES"/>
        </w:rPr>
        <w:t>CONSIDERACIONES</w:t>
      </w:r>
      <w:r w:rsidRPr="00EE10E3">
        <w:rPr>
          <w:rFonts w:ascii="Gadugi" w:eastAsia="Times New Roman" w:hAnsi="Gadugi" w:cs="Arial"/>
          <w:b/>
          <w:bCs/>
          <w:sz w:val="24"/>
          <w:szCs w:val="24"/>
          <w:lang w:eastAsia="es-ES"/>
        </w:rPr>
        <w:t>:</w:t>
      </w:r>
    </w:p>
    <w:p w14:paraId="38B6B4F9" w14:textId="77777777" w:rsidR="00E158BB" w:rsidRPr="00EE10E3" w:rsidRDefault="00060DE8" w:rsidP="00EE10E3">
      <w:pPr>
        <w:spacing w:after="0" w:line="276" w:lineRule="auto"/>
        <w:contextualSpacing/>
        <w:jc w:val="both"/>
        <w:rPr>
          <w:rFonts w:ascii="Gadugi" w:eastAsia="Times New Roman" w:hAnsi="Gadugi" w:cs="Arial"/>
          <w:snapToGrid w:val="0"/>
          <w:sz w:val="24"/>
          <w:szCs w:val="24"/>
          <w:lang w:eastAsia="es-ES"/>
        </w:rPr>
      </w:pPr>
      <w:r w:rsidRPr="00EE10E3">
        <w:rPr>
          <w:rFonts w:ascii="Gadugi" w:eastAsia="Times New Roman" w:hAnsi="Gadugi" w:cs="Arial"/>
          <w:snapToGrid w:val="0"/>
          <w:sz w:val="24"/>
          <w:szCs w:val="24"/>
          <w:lang w:eastAsia="es-ES"/>
        </w:rPr>
        <w:tab/>
      </w:r>
      <w:r w:rsidRPr="00EE10E3">
        <w:rPr>
          <w:rFonts w:ascii="Gadugi" w:eastAsia="Times New Roman" w:hAnsi="Gadugi" w:cs="Arial"/>
          <w:snapToGrid w:val="0"/>
          <w:sz w:val="24"/>
          <w:szCs w:val="24"/>
          <w:lang w:eastAsia="es-ES"/>
        </w:rPr>
        <w:tab/>
      </w:r>
      <w:r w:rsidRPr="00EE10E3">
        <w:rPr>
          <w:rFonts w:ascii="Gadugi" w:eastAsia="Times New Roman" w:hAnsi="Gadugi" w:cs="Arial"/>
          <w:snapToGrid w:val="0"/>
          <w:sz w:val="24"/>
          <w:szCs w:val="24"/>
          <w:lang w:eastAsia="es-ES"/>
        </w:rPr>
        <w:tab/>
      </w:r>
      <w:r w:rsidRPr="00EE10E3">
        <w:rPr>
          <w:rFonts w:ascii="Gadugi" w:eastAsia="Times New Roman" w:hAnsi="Gadugi" w:cs="Arial"/>
          <w:snapToGrid w:val="0"/>
          <w:sz w:val="24"/>
          <w:szCs w:val="24"/>
          <w:lang w:eastAsia="es-ES"/>
        </w:rPr>
        <w:tab/>
      </w:r>
    </w:p>
    <w:p w14:paraId="54499710" w14:textId="77777777" w:rsidR="00E158BB" w:rsidRPr="00EE10E3" w:rsidRDefault="00060DE8" w:rsidP="00EE10E3">
      <w:pPr>
        <w:spacing w:after="0" w:line="276" w:lineRule="auto"/>
        <w:contextualSpacing/>
        <w:jc w:val="both"/>
        <w:rPr>
          <w:rFonts w:ascii="Gadugi" w:eastAsia="Times New Roman" w:hAnsi="Gadugi" w:cs="Arial"/>
          <w:snapToGrid w:val="0"/>
          <w:sz w:val="24"/>
          <w:szCs w:val="24"/>
          <w:lang w:eastAsia="es-ES"/>
        </w:rPr>
      </w:pPr>
      <w:r w:rsidRPr="00EE10E3">
        <w:rPr>
          <w:rFonts w:ascii="Gadugi" w:eastAsia="Times New Roman" w:hAnsi="Gadugi" w:cs="Arial"/>
          <w:snapToGrid w:val="0"/>
          <w:sz w:val="24"/>
          <w:szCs w:val="24"/>
          <w:lang w:eastAsia="es-ES"/>
        </w:rPr>
        <w:tab/>
      </w:r>
      <w:r w:rsidRPr="00EE10E3">
        <w:rPr>
          <w:rFonts w:ascii="Gadugi" w:eastAsia="Times New Roman" w:hAnsi="Gadugi" w:cs="Arial"/>
          <w:snapToGrid w:val="0"/>
          <w:sz w:val="24"/>
          <w:szCs w:val="24"/>
          <w:lang w:eastAsia="es-ES"/>
        </w:rPr>
        <w:tab/>
      </w:r>
      <w:r w:rsidRPr="00EE10E3">
        <w:rPr>
          <w:rFonts w:ascii="Gadugi" w:eastAsia="Times New Roman" w:hAnsi="Gadugi" w:cs="Arial"/>
          <w:snapToGrid w:val="0"/>
          <w:sz w:val="24"/>
          <w:szCs w:val="24"/>
          <w:lang w:eastAsia="es-ES"/>
        </w:rPr>
        <w:tab/>
      </w:r>
      <w:r w:rsidRPr="00EE10E3">
        <w:rPr>
          <w:rFonts w:ascii="Gadugi" w:eastAsia="Times New Roman" w:hAnsi="Gadugi" w:cs="Arial"/>
          <w:snapToGrid w:val="0"/>
          <w:sz w:val="24"/>
          <w:szCs w:val="24"/>
          <w:lang w:eastAsia="es-ES"/>
        </w:rPr>
        <w:tab/>
      </w:r>
    </w:p>
    <w:p w14:paraId="26351C27" w14:textId="28231E58" w:rsidR="005545BE" w:rsidRPr="00EE10E3" w:rsidRDefault="005545BE" w:rsidP="00EE10E3">
      <w:pPr>
        <w:spacing w:after="0" w:line="276" w:lineRule="auto"/>
        <w:contextualSpacing/>
        <w:jc w:val="both"/>
        <w:rPr>
          <w:rFonts w:ascii="Gadugi" w:eastAsia="Times New Roman" w:hAnsi="Gadugi" w:cs="Arial"/>
          <w:snapToGrid w:val="0"/>
          <w:sz w:val="24"/>
          <w:szCs w:val="24"/>
          <w:lang w:val="es-419" w:eastAsia="es-ES"/>
        </w:rPr>
      </w:pPr>
      <w:r w:rsidRPr="00EE10E3">
        <w:rPr>
          <w:rFonts w:ascii="Gadugi" w:eastAsia="Times New Roman" w:hAnsi="Gadugi" w:cs="Arial"/>
          <w:snapToGrid w:val="0"/>
          <w:sz w:val="24"/>
          <w:szCs w:val="24"/>
          <w:lang w:eastAsia="es-ES"/>
        </w:rPr>
        <w:tab/>
      </w:r>
      <w:r w:rsidRPr="00EE10E3">
        <w:rPr>
          <w:rFonts w:ascii="Gadugi" w:eastAsia="Times New Roman" w:hAnsi="Gadugi" w:cs="Arial"/>
          <w:snapToGrid w:val="0"/>
          <w:sz w:val="24"/>
          <w:szCs w:val="24"/>
          <w:lang w:eastAsia="es-ES"/>
        </w:rPr>
        <w:tab/>
      </w:r>
      <w:r w:rsidRPr="00EE10E3">
        <w:rPr>
          <w:rFonts w:ascii="Gadugi" w:eastAsia="Times New Roman" w:hAnsi="Gadugi" w:cs="Arial"/>
          <w:snapToGrid w:val="0"/>
          <w:sz w:val="24"/>
          <w:szCs w:val="24"/>
          <w:lang w:eastAsia="es-ES"/>
        </w:rPr>
        <w:tab/>
      </w:r>
      <w:r w:rsidRPr="00EE10E3">
        <w:rPr>
          <w:rFonts w:ascii="Gadugi" w:eastAsia="Times New Roman" w:hAnsi="Gadugi" w:cs="Arial"/>
          <w:snapToGrid w:val="0"/>
          <w:sz w:val="24"/>
          <w:szCs w:val="24"/>
          <w:lang w:eastAsia="es-ES"/>
        </w:rPr>
        <w:tab/>
        <w:t xml:space="preserve">Es del resorte de esta Corporación decidir el conflicto que se suscita entre los Juzgados en contienda, en virtud de lo prevenido por el artículo </w:t>
      </w:r>
      <w:r w:rsidR="000664C8" w:rsidRPr="00EE10E3">
        <w:rPr>
          <w:rFonts w:ascii="Gadugi" w:eastAsia="Times New Roman" w:hAnsi="Gadugi" w:cs="Arial"/>
          <w:snapToGrid w:val="0"/>
          <w:sz w:val="24"/>
          <w:szCs w:val="24"/>
          <w:lang w:val="es-419" w:eastAsia="es-ES"/>
        </w:rPr>
        <w:t>18 de la Ley 270 de 1996.</w:t>
      </w:r>
    </w:p>
    <w:p w14:paraId="5E85C7C0" w14:textId="77777777" w:rsidR="00E158BB" w:rsidRPr="00EE10E3" w:rsidRDefault="00A47D81" w:rsidP="00EE10E3">
      <w:pPr>
        <w:spacing w:after="0" w:line="276" w:lineRule="auto"/>
        <w:contextualSpacing/>
        <w:jc w:val="both"/>
        <w:rPr>
          <w:rFonts w:ascii="Gadugi" w:eastAsia="Times New Roman" w:hAnsi="Gadugi" w:cs="Arial"/>
          <w:snapToGrid w:val="0"/>
          <w:sz w:val="24"/>
          <w:szCs w:val="24"/>
          <w:lang w:val="es-419" w:eastAsia="es-ES"/>
        </w:rPr>
      </w:pPr>
      <w:r w:rsidRPr="00EE10E3">
        <w:rPr>
          <w:rFonts w:ascii="Gadugi" w:eastAsia="Times New Roman" w:hAnsi="Gadugi" w:cs="Arial"/>
          <w:snapToGrid w:val="0"/>
          <w:sz w:val="24"/>
          <w:szCs w:val="24"/>
          <w:lang w:val="es-419" w:eastAsia="es-ES"/>
        </w:rPr>
        <w:tab/>
      </w:r>
      <w:r w:rsidRPr="00EE10E3">
        <w:rPr>
          <w:rFonts w:ascii="Gadugi" w:eastAsia="Times New Roman" w:hAnsi="Gadugi" w:cs="Arial"/>
          <w:snapToGrid w:val="0"/>
          <w:sz w:val="24"/>
          <w:szCs w:val="24"/>
          <w:lang w:val="es-419" w:eastAsia="es-ES"/>
        </w:rPr>
        <w:tab/>
      </w:r>
      <w:r w:rsidRPr="00EE10E3">
        <w:rPr>
          <w:rFonts w:ascii="Gadugi" w:eastAsia="Times New Roman" w:hAnsi="Gadugi" w:cs="Arial"/>
          <w:snapToGrid w:val="0"/>
          <w:sz w:val="24"/>
          <w:szCs w:val="24"/>
          <w:lang w:val="es-419" w:eastAsia="es-ES"/>
        </w:rPr>
        <w:tab/>
      </w:r>
      <w:r w:rsidRPr="00EE10E3">
        <w:rPr>
          <w:rFonts w:ascii="Gadugi" w:eastAsia="Times New Roman" w:hAnsi="Gadugi" w:cs="Arial"/>
          <w:snapToGrid w:val="0"/>
          <w:sz w:val="24"/>
          <w:szCs w:val="24"/>
          <w:lang w:val="es-419" w:eastAsia="es-ES"/>
        </w:rPr>
        <w:tab/>
      </w:r>
    </w:p>
    <w:p w14:paraId="7C7D9E49" w14:textId="5E205631" w:rsidR="00595A80" w:rsidRPr="00EE10E3" w:rsidRDefault="00E158BB" w:rsidP="00EE10E3">
      <w:pPr>
        <w:spacing w:after="0" w:line="276" w:lineRule="auto"/>
        <w:contextualSpacing/>
        <w:jc w:val="both"/>
        <w:rPr>
          <w:rFonts w:ascii="Gadugi" w:eastAsia="Times New Roman" w:hAnsi="Gadugi" w:cs="Arial"/>
          <w:bCs/>
          <w:iCs/>
          <w:sz w:val="24"/>
          <w:szCs w:val="24"/>
          <w:lang w:eastAsia="es-ES"/>
        </w:rPr>
      </w:pPr>
      <w:r w:rsidRPr="00EE10E3">
        <w:rPr>
          <w:rFonts w:ascii="Gadugi" w:eastAsia="Times New Roman" w:hAnsi="Gadugi" w:cs="Arial"/>
          <w:bCs/>
          <w:iCs/>
          <w:sz w:val="24"/>
          <w:szCs w:val="24"/>
          <w:lang w:eastAsia="es-ES"/>
        </w:rPr>
        <w:tab/>
      </w:r>
      <w:r w:rsidRPr="00EE10E3">
        <w:rPr>
          <w:rFonts w:ascii="Gadugi" w:eastAsia="Times New Roman" w:hAnsi="Gadugi" w:cs="Arial"/>
          <w:bCs/>
          <w:iCs/>
          <w:sz w:val="24"/>
          <w:szCs w:val="24"/>
          <w:lang w:eastAsia="es-ES"/>
        </w:rPr>
        <w:tab/>
      </w:r>
      <w:r w:rsidRPr="00EE10E3">
        <w:rPr>
          <w:rFonts w:ascii="Gadugi" w:eastAsia="Times New Roman" w:hAnsi="Gadugi" w:cs="Arial"/>
          <w:bCs/>
          <w:iCs/>
          <w:sz w:val="24"/>
          <w:szCs w:val="24"/>
          <w:lang w:eastAsia="es-ES"/>
        </w:rPr>
        <w:tab/>
      </w:r>
      <w:r w:rsidRPr="00EE10E3">
        <w:rPr>
          <w:rFonts w:ascii="Gadugi" w:eastAsia="Times New Roman" w:hAnsi="Gadugi" w:cs="Arial"/>
          <w:bCs/>
          <w:iCs/>
          <w:sz w:val="24"/>
          <w:szCs w:val="24"/>
          <w:lang w:eastAsia="es-ES"/>
        </w:rPr>
        <w:tab/>
      </w:r>
      <w:bookmarkStart w:id="3" w:name="_Hlk117500935"/>
      <w:r w:rsidR="004E047F" w:rsidRPr="00EE10E3">
        <w:rPr>
          <w:rFonts w:ascii="Gadugi" w:eastAsia="Times New Roman" w:hAnsi="Gadugi" w:cs="Arial"/>
          <w:bCs/>
          <w:iCs/>
          <w:sz w:val="24"/>
          <w:szCs w:val="24"/>
          <w:lang w:eastAsia="es-ES"/>
        </w:rPr>
        <w:t>Sigue</w:t>
      </w:r>
      <w:r w:rsidRPr="00EE10E3">
        <w:rPr>
          <w:rFonts w:ascii="Gadugi" w:eastAsia="Times New Roman" w:hAnsi="Gadugi" w:cs="Arial"/>
          <w:bCs/>
          <w:iCs/>
          <w:sz w:val="24"/>
          <w:szCs w:val="24"/>
          <w:lang w:eastAsia="es-ES"/>
        </w:rPr>
        <w:t xml:space="preserve"> </w:t>
      </w:r>
      <w:r w:rsidR="00874053" w:rsidRPr="00EE10E3">
        <w:rPr>
          <w:rFonts w:ascii="Gadugi" w:eastAsia="Times New Roman" w:hAnsi="Gadugi" w:cs="Arial"/>
          <w:bCs/>
          <w:iCs/>
          <w:sz w:val="24"/>
          <w:szCs w:val="24"/>
          <w:lang w:eastAsia="es-ES"/>
        </w:rPr>
        <w:t>determinar</w:t>
      </w:r>
      <w:r w:rsidRPr="00EE10E3">
        <w:rPr>
          <w:rFonts w:ascii="Gadugi" w:eastAsia="Times New Roman" w:hAnsi="Gadugi" w:cs="Arial"/>
          <w:bCs/>
          <w:iCs/>
          <w:sz w:val="24"/>
          <w:szCs w:val="24"/>
          <w:lang w:eastAsia="es-ES"/>
        </w:rPr>
        <w:t xml:space="preserve">, </w:t>
      </w:r>
      <w:r w:rsidR="004E047F" w:rsidRPr="00EE10E3">
        <w:rPr>
          <w:rFonts w:ascii="Gadugi" w:eastAsia="Times New Roman" w:hAnsi="Gadugi" w:cs="Arial"/>
          <w:bCs/>
          <w:iCs/>
          <w:sz w:val="24"/>
          <w:szCs w:val="24"/>
          <w:lang w:eastAsia="es-ES"/>
        </w:rPr>
        <w:t>entonces</w:t>
      </w:r>
      <w:r w:rsidRPr="00EE10E3">
        <w:rPr>
          <w:rFonts w:ascii="Gadugi" w:eastAsia="Times New Roman" w:hAnsi="Gadugi" w:cs="Arial"/>
          <w:bCs/>
          <w:iCs/>
          <w:sz w:val="24"/>
          <w:szCs w:val="24"/>
          <w:lang w:eastAsia="es-ES"/>
        </w:rPr>
        <w:t>, a cuál de los funcionarios involucrados en el conflicto competencia le corresponde adelantar el trámite</w:t>
      </w:r>
      <w:r w:rsidR="00FF3C4D" w:rsidRPr="00EE10E3">
        <w:rPr>
          <w:rFonts w:ascii="Gadugi" w:eastAsia="Times New Roman" w:hAnsi="Gadugi" w:cs="Arial"/>
          <w:bCs/>
          <w:iCs/>
          <w:sz w:val="24"/>
          <w:szCs w:val="24"/>
          <w:lang w:eastAsia="es-ES"/>
        </w:rPr>
        <w:t>, frente a lo cual, rápido se advierte que la razón está de parte</w:t>
      </w:r>
      <w:r w:rsidR="00595A80" w:rsidRPr="00EE10E3">
        <w:rPr>
          <w:rFonts w:ascii="Gadugi" w:eastAsia="Times New Roman" w:hAnsi="Gadugi" w:cs="Arial"/>
          <w:bCs/>
          <w:iCs/>
          <w:sz w:val="24"/>
          <w:szCs w:val="24"/>
          <w:lang w:eastAsia="es-ES"/>
        </w:rPr>
        <w:t xml:space="preserve"> del juzgado penal, </w:t>
      </w:r>
      <w:r w:rsidR="00E84F0D" w:rsidRPr="00EE10E3">
        <w:rPr>
          <w:rFonts w:ascii="Gadugi" w:eastAsia="Times New Roman" w:hAnsi="Gadugi" w:cs="Arial"/>
          <w:bCs/>
          <w:iCs/>
          <w:sz w:val="24"/>
          <w:szCs w:val="24"/>
          <w:lang w:eastAsia="es-ES"/>
        </w:rPr>
        <w:t>toda vez que</w:t>
      </w:r>
      <w:r w:rsidR="00595A80" w:rsidRPr="00EE10E3">
        <w:rPr>
          <w:rFonts w:ascii="Gadugi" w:eastAsia="Times New Roman" w:hAnsi="Gadugi" w:cs="Arial"/>
          <w:bCs/>
          <w:iCs/>
          <w:sz w:val="24"/>
          <w:szCs w:val="24"/>
          <w:lang w:eastAsia="es-ES"/>
        </w:rPr>
        <w:t xml:space="preserve">, </w:t>
      </w:r>
      <w:r w:rsidR="00595A80" w:rsidRPr="00EE10E3">
        <w:rPr>
          <w:rFonts w:ascii="Gadugi" w:eastAsia="Times New Roman" w:hAnsi="Gadugi" w:cs="Arial"/>
          <w:bCs/>
          <w:i/>
          <w:iCs/>
          <w:sz w:val="24"/>
          <w:szCs w:val="24"/>
          <w:lang w:eastAsia="es-ES"/>
        </w:rPr>
        <w:t>“</w:t>
      </w:r>
      <w:r w:rsidR="00595A80" w:rsidRPr="007D0DBE">
        <w:rPr>
          <w:rFonts w:ascii="Gadugi" w:eastAsia="Times New Roman" w:hAnsi="Gadugi" w:cs="Arial"/>
          <w:bCs/>
          <w:i/>
          <w:iCs/>
          <w:szCs w:val="24"/>
          <w:lang w:eastAsia="es-ES"/>
        </w:rPr>
        <w:t xml:space="preserve">(…) la Policía Nacional es un solo organismo del orden nacional, (Ley 62 de 1993, artículo 1°), que depende del Ministerio de Defensa (artículo 10 de la Ley 62 de 1993), lo que permite concluir que </w:t>
      </w:r>
      <w:r w:rsidR="00595A80" w:rsidRPr="007D0DBE">
        <w:rPr>
          <w:rFonts w:ascii="Gadugi" w:eastAsia="Times New Roman" w:hAnsi="Gadugi" w:cs="Arial"/>
          <w:bCs/>
          <w:i/>
          <w:iCs/>
          <w:szCs w:val="24"/>
          <w:u w:val="single"/>
          <w:lang w:eastAsia="es-ES"/>
        </w:rPr>
        <w:t xml:space="preserve">independientemente del nivel territorial en que actué siempre integrará la Rama </w:t>
      </w:r>
      <w:r w:rsidR="00595A80" w:rsidRPr="007D0DBE">
        <w:rPr>
          <w:rFonts w:ascii="Gadugi" w:eastAsia="Times New Roman" w:hAnsi="Gadugi" w:cs="Arial"/>
          <w:bCs/>
          <w:i/>
          <w:iCs/>
          <w:szCs w:val="24"/>
          <w:u w:val="single"/>
          <w:lang w:eastAsia="es-ES"/>
        </w:rPr>
        <w:lastRenderedPageBreak/>
        <w:t>Ejecutiva en el orden nacional</w:t>
      </w:r>
      <w:r w:rsidR="00595A80" w:rsidRPr="007D0DBE">
        <w:rPr>
          <w:rFonts w:ascii="Gadugi" w:eastAsia="Times New Roman" w:hAnsi="Gadugi" w:cs="Arial"/>
          <w:bCs/>
          <w:i/>
          <w:iCs/>
          <w:szCs w:val="24"/>
          <w:lang w:eastAsia="es-ES"/>
        </w:rPr>
        <w:t xml:space="preserve"> al tenor de lo dispuesto en el artículo 38 de la Ley 489 de 1998.</w:t>
      </w:r>
      <w:r w:rsidR="00595A80" w:rsidRPr="00EE10E3">
        <w:rPr>
          <w:rFonts w:ascii="Gadugi" w:eastAsia="Times New Roman" w:hAnsi="Gadugi" w:cs="Arial"/>
          <w:bCs/>
          <w:i/>
          <w:iCs/>
          <w:sz w:val="24"/>
          <w:szCs w:val="24"/>
          <w:lang w:eastAsia="es-ES"/>
        </w:rPr>
        <w:t>”</w:t>
      </w:r>
      <w:bookmarkEnd w:id="3"/>
      <w:r w:rsidR="00A2700C" w:rsidRPr="00EE10E3">
        <w:rPr>
          <w:rStyle w:val="Refdenotaalpie"/>
          <w:rFonts w:ascii="Gadugi" w:eastAsia="Times New Roman" w:hAnsi="Gadugi" w:cs="Arial"/>
          <w:bCs/>
          <w:i/>
          <w:iCs/>
          <w:sz w:val="24"/>
          <w:szCs w:val="24"/>
          <w:lang w:eastAsia="es-ES"/>
        </w:rPr>
        <w:footnoteReference w:id="6"/>
      </w:r>
      <w:r w:rsidR="00595A80" w:rsidRPr="00EE10E3">
        <w:rPr>
          <w:rFonts w:ascii="Gadugi" w:eastAsia="Times New Roman" w:hAnsi="Gadugi" w:cs="Arial"/>
          <w:bCs/>
          <w:i/>
          <w:iCs/>
          <w:sz w:val="24"/>
          <w:szCs w:val="24"/>
          <w:lang w:eastAsia="es-ES"/>
        </w:rPr>
        <w:t xml:space="preserve"> </w:t>
      </w:r>
      <w:r w:rsidR="00595A80" w:rsidRPr="00EE10E3">
        <w:rPr>
          <w:rFonts w:ascii="Gadugi" w:eastAsia="Times New Roman" w:hAnsi="Gadugi" w:cs="Arial"/>
          <w:bCs/>
          <w:iCs/>
          <w:sz w:val="24"/>
          <w:szCs w:val="24"/>
          <w:lang w:eastAsia="es-ES"/>
        </w:rPr>
        <w:t xml:space="preserve">(Subraya la Sala). </w:t>
      </w:r>
    </w:p>
    <w:p w14:paraId="5B032441" w14:textId="376C2DB1" w:rsidR="008F225F" w:rsidRPr="00EE10E3" w:rsidRDefault="008F225F" w:rsidP="00EE10E3">
      <w:pPr>
        <w:tabs>
          <w:tab w:val="left" w:pos="1701"/>
        </w:tabs>
        <w:spacing w:after="0" w:line="276" w:lineRule="auto"/>
        <w:ind w:right="51"/>
        <w:contextualSpacing/>
        <w:jc w:val="both"/>
        <w:rPr>
          <w:rFonts w:ascii="Gadugi" w:eastAsia="Times New Roman" w:hAnsi="Gadugi" w:cs="Arial"/>
          <w:bCs/>
          <w:iCs/>
          <w:sz w:val="24"/>
          <w:szCs w:val="24"/>
          <w:lang w:eastAsia="es-ES"/>
        </w:rPr>
      </w:pPr>
    </w:p>
    <w:p w14:paraId="3732DC69" w14:textId="38A632A0" w:rsidR="008F225F" w:rsidRPr="00EE10E3" w:rsidRDefault="00595A80" w:rsidP="00EE10E3">
      <w:pPr>
        <w:tabs>
          <w:tab w:val="left" w:pos="1701"/>
        </w:tabs>
        <w:spacing w:after="0" w:line="276" w:lineRule="auto"/>
        <w:ind w:right="51"/>
        <w:contextualSpacing/>
        <w:jc w:val="both"/>
        <w:rPr>
          <w:rFonts w:ascii="Gadugi" w:eastAsia="Times New Roman" w:hAnsi="Gadugi" w:cs="Arial"/>
          <w:bCs/>
          <w:iCs/>
          <w:sz w:val="24"/>
          <w:szCs w:val="24"/>
          <w:lang w:eastAsia="es-ES"/>
        </w:rPr>
      </w:pPr>
      <w:r w:rsidRPr="00EE10E3">
        <w:rPr>
          <w:rFonts w:ascii="Gadugi" w:eastAsia="Times New Roman" w:hAnsi="Gadugi" w:cs="Arial"/>
          <w:bCs/>
          <w:iCs/>
          <w:sz w:val="24"/>
          <w:szCs w:val="24"/>
          <w:lang w:eastAsia="es-ES"/>
        </w:rPr>
        <w:tab/>
      </w:r>
      <w:r w:rsidRPr="00EE10E3">
        <w:rPr>
          <w:rFonts w:ascii="Gadugi" w:eastAsia="Times New Roman" w:hAnsi="Gadugi" w:cs="Arial"/>
          <w:bCs/>
          <w:iCs/>
          <w:sz w:val="24"/>
          <w:szCs w:val="24"/>
          <w:lang w:eastAsia="es-ES"/>
        </w:rPr>
        <w:tab/>
      </w:r>
      <w:r w:rsidRPr="00EE10E3">
        <w:rPr>
          <w:rFonts w:ascii="Gadugi" w:eastAsia="Times New Roman" w:hAnsi="Gadugi" w:cs="Arial"/>
          <w:bCs/>
          <w:iCs/>
          <w:sz w:val="24"/>
          <w:szCs w:val="24"/>
          <w:lang w:eastAsia="es-ES"/>
        </w:rPr>
        <w:tab/>
        <w:t xml:space="preserve">En ese entendido, y comoquiera que en la acción de tutela se formulan quejas contra la Policía Metropolitana de Pereira, </w:t>
      </w:r>
      <w:r w:rsidR="00A2700C" w:rsidRPr="00EE10E3">
        <w:rPr>
          <w:rFonts w:ascii="Gadugi" w:eastAsia="Times New Roman" w:hAnsi="Gadugi" w:cs="Arial"/>
          <w:bCs/>
          <w:iCs/>
          <w:sz w:val="24"/>
          <w:szCs w:val="24"/>
          <w:lang w:eastAsia="es-ES"/>
        </w:rPr>
        <w:t>que es una autoridad del orden nacional, la regla de reparto aplicable aquí es el numeral 2° del artículo 1° del Decreto 333 de 2021,</w:t>
      </w:r>
      <w:r w:rsidR="008F225F" w:rsidRPr="00EE10E3">
        <w:rPr>
          <w:rFonts w:ascii="Gadugi" w:eastAsia="Times New Roman" w:hAnsi="Gadugi" w:cs="Arial"/>
          <w:bCs/>
          <w:iCs/>
          <w:sz w:val="24"/>
          <w:szCs w:val="24"/>
          <w:lang w:eastAsia="es-ES"/>
        </w:rPr>
        <w:t xml:space="preserve"> que establece:</w:t>
      </w:r>
    </w:p>
    <w:p w14:paraId="58FB9A69" w14:textId="475F910D" w:rsidR="00AA5CCF" w:rsidRPr="00EE10E3" w:rsidRDefault="00AA5CCF" w:rsidP="00EE10E3">
      <w:pPr>
        <w:tabs>
          <w:tab w:val="left" w:pos="1701"/>
        </w:tabs>
        <w:spacing w:after="0" w:line="276" w:lineRule="auto"/>
        <w:ind w:right="51"/>
        <w:contextualSpacing/>
        <w:jc w:val="both"/>
        <w:rPr>
          <w:rFonts w:ascii="Gadugi" w:eastAsia="Times New Roman" w:hAnsi="Gadugi" w:cs="Arial"/>
          <w:bCs/>
          <w:iCs/>
          <w:sz w:val="24"/>
          <w:szCs w:val="24"/>
          <w:lang w:eastAsia="es-ES"/>
        </w:rPr>
      </w:pPr>
    </w:p>
    <w:p w14:paraId="74D3D1F7" w14:textId="1E7DC331" w:rsidR="00313079" w:rsidRPr="008320E4" w:rsidRDefault="00AA5CCF" w:rsidP="008320E4">
      <w:pPr>
        <w:tabs>
          <w:tab w:val="left" w:pos="1701"/>
        </w:tabs>
        <w:spacing w:after="0" w:line="240" w:lineRule="auto"/>
        <w:ind w:left="426" w:right="420"/>
        <w:contextualSpacing/>
        <w:jc w:val="both"/>
        <w:rPr>
          <w:rFonts w:ascii="Gadugi" w:eastAsia="Times New Roman" w:hAnsi="Gadugi" w:cs="Arial"/>
          <w:bCs/>
          <w:iCs/>
          <w:szCs w:val="24"/>
          <w:lang w:eastAsia="es-ES"/>
        </w:rPr>
      </w:pPr>
      <w:r w:rsidRPr="008320E4">
        <w:rPr>
          <w:rFonts w:ascii="Gadugi" w:eastAsia="Times New Roman" w:hAnsi="Gadugi" w:cs="Arial"/>
          <w:bCs/>
          <w:iCs/>
          <w:szCs w:val="24"/>
          <w:lang w:eastAsia="es-ES"/>
        </w:rPr>
        <w:tab/>
      </w:r>
      <w:r w:rsidRPr="008320E4">
        <w:rPr>
          <w:rFonts w:ascii="Gadugi" w:eastAsia="Times New Roman" w:hAnsi="Gadugi" w:cs="Arial"/>
          <w:bCs/>
          <w:iCs/>
          <w:szCs w:val="24"/>
          <w:lang w:eastAsia="es-ES"/>
        </w:rPr>
        <w:tab/>
      </w:r>
      <w:r w:rsidRPr="008320E4">
        <w:rPr>
          <w:rFonts w:ascii="Gadugi" w:eastAsia="Times New Roman" w:hAnsi="Gadugi" w:cs="Arial"/>
          <w:bCs/>
          <w:iCs/>
          <w:szCs w:val="24"/>
          <w:lang w:eastAsia="es-ES"/>
        </w:rPr>
        <w:tab/>
      </w:r>
      <w:r w:rsidR="008F225F" w:rsidRPr="008320E4">
        <w:rPr>
          <w:rFonts w:ascii="Gadugi" w:eastAsia="Times New Roman" w:hAnsi="Gadugi" w:cs="Arial"/>
          <w:bCs/>
          <w:iCs/>
          <w:szCs w:val="24"/>
          <w:lang w:eastAsia="es-ES"/>
        </w:rPr>
        <w:t>2. Las acciones de tutela que se interpongan contra</w:t>
      </w:r>
      <w:r w:rsidRPr="008320E4">
        <w:rPr>
          <w:rFonts w:ascii="Gadugi" w:eastAsia="Times New Roman" w:hAnsi="Gadugi" w:cs="Arial"/>
          <w:bCs/>
          <w:iCs/>
          <w:szCs w:val="24"/>
          <w:lang w:eastAsia="es-ES"/>
        </w:rPr>
        <w:t xml:space="preserve"> </w:t>
      </w:r>
      <w:r w:rsidR="008F225F" w:rsidRPr="008320E4">
        <w:rPr>
          <w:rFonts w:ascii="Gadugi" w:eastAsia="Times New Roman" w:hAnsi="Gadugi" w:cs="Arial"/>
          <w:bCs/>
          <w:iCs/>
          <w:szCs w:val="24"/>
          <w:lang w:eastAsia="es-ES"/>
        </w:rPr>
        <w:t>cualquier autoridad, organismo o entidad pública del orden nacional</w:t>
      </w:r>
      <w:r w:rsidRPr="008320E4">
        <w:rPr>
          <w:rFonts w:ascii="Gadugi" w:eastAsia="Times New Roman" w:hAnsi="Gadugi" w:cs="Arial"/>
          <w:bCs/>
          <w:iCs/>
          <w:szCs w:val="24"/>
          <w:lang w:eastAsia="es-ES"/>
        </w:rPr>
        <w:t xml:space="preserve"> </w:t>
      </w:r>
      <w:r w:rsidR="008F225F" w:rsidRPr="008320E4">
        <w:rPr>
          <w:rFonts w:ascii="Gadugi" w:eastAsia="Times New Roman" w:hAnsi="Gadugi" w:cs="Arial"/>
          <w:bCs/>
          <w:iCs/>
          <w:szCs w:val="24"/>
          <w:lang w:eastAsia="es-ES"/>
        </w:rPr>
        <w:t>serán repartidas, para su conocimiento en primera instancia, a los Jueces</w:t>
      </w:r>
      <w:r w:rsidRPr="008320E4">
        <w:rPr>
          <w:rFonts w:ascii="Gadugi" w:eastAsia="Times New Roman" w:hAnsi="Gadugi" w:cs="Arial"/>
          <w:bCs/>
          <w:iCs/>
          <w:szCs w:val="24"/>
          <w:lang w:eastAsia="es-ES"/>
        </w:rPr>
        <w:t xml:space="preserve"> </w:t>
      </w:r>
      <w:r w:rsidR="008F225F" w:rsidRPr="008320E4">
        <w:rPr>
          <w:rFonts w:ascii="Gadugi" w:eastAsia="Times New Roman" w:hAnsi="Gadugi" w:cs="Arial"/>
          <w:bCs/>
          <w:iCs/>
          <w:szCs w:val="24"/>
          <w:lang w:eastAsia="es-ES"/>
        </w:rPr>
        <w:t>del Circuito o con igual categoría.</w:t>
      </w:r>
    </w:p>
    <w:p w14:paraId="59B6027F" w14:textId="39440967" w:rsidR="00AA5CCF" w:rsidRPr="00EE10E3" w:rsidRDefault="00AA5CCF" w:rsidP="00EE10E3">
      <w:pPr>
        <w:tabs>
          <w:tab w:val="left" w:pos="1701"/>
        </w:tabs>
        <w:spacing w:after="0" w:line="276" w:lineRule="auto"/>
        <w:ind w:right="51"/>
        <w:contextualSpacing/>
        <w:jc w:val="both"/>
        <w:rPr>
          <w:rFonts w:ascii="Gadugi" w:eastAsia="Times New Roman" w:hAnsi="Gadugi" w:cs="Arial"/>
          <w:bCs/>
          <w:iCs/>
          <w:sz w:val="24"/>
          <w:szCs w:val="24"/>
          <w:lang w:eastAsia="es-ES"/>
        </w:rPr>
      </w:pPr>
    </w:p>
    <w:p w14:paraId="612E8F1E" w14:textId="7DA28A49" w:rsidR="00E158BB" w:rsidRPr="00EE10E3" w:rsidRDefault="00AA5CCF" w:rsidP="00EE10E3">
      <w:pPr>
        <w:tabs>
          <w:tab w:val="left" w:pos="1701"/>
        </w:tabs>
        <w:spacing w:after="0" w:line="276" w:lineRule="auto"/>
        <w:ind w:right="51"/>
        <w:contextualSpacing/>
        <w:jc w:val="both"/>
        <w:rPr>
          <w:rFonts w:ascii="Gadugi" w:eastAsia="Segoe UI" w:hAnsi="Gadugi" w:cs="Segoe UI"/>
          <w:sz w:val="24"/>
          <w:szCs w:val="24"/>
        </w:rPr>
      </w:pPr>
      <w:r w:rsidRPr="00EE10E3">
        <w:rPr>
          <w:rFonts w:ascii="Gadugi" w:eastAsia="Times New Roman" w:hAnsi="Gadugi" w:cs="Arial"/>
          <w:bCs/>
          <w:iCs/>
          <w:sz w:val="24"/>
          <w:szCs w:val="24"/>
          <w:lang w:eastAsia="es-ES"/>
        </w:rPr>
        <w:tab/>
      </w:r>
      <w:r w:rsidRPr="00EE10E3">
        <w:rPr>
          <w:rFonts w:ascii="Gadugi" w:eastAsia="Times New Roman" w:hAnsi="Gadugi" w:cs="Arial"/>
          <w:bCs/>
          <w:iCs/>
          <w:sz w:val="24"/>
          <w:szCs w:val="24"/>
          <w:lang w:eastAsia="es-ES"/>
        </w:rPr>
        <w:tab/>
      </w:r>
      <w:r w:rsidR="00A2700C" w:rsidRPr="00EE10E3">
        <w:rPr>
          <w:rFonts w:ascii="Gadugi" w:eastAsia="Times New Roman" w:hAnsi="Gadugi" w:cs="Arial"/>
          <w:bCs/>
          <w:iCs/>
          <w:sz w:val="24"/>
          <w:szCs w:val="24"/>
          <w:lang w:eastAsia="es-ES"/>
        </w:rPr>
        <w:tab/>
        <w:t xml:space="preserve">Por lo expuesto, el competente para conocer del amparo, en primera instancia, es el Juzgado Tercero de Familia local, </w:t>
      </w:r>
      <w:r w:rsidR="00E158BB" w:rsidRPr="00EE10E3">
        <w:rPr>
          <w:rFonts w:ascii="Gadugi" w:eastAsia="Segoe UI" w:hAnsi="Gadugi" w:cs="Segoe UI"/>
          <w:sz w:val="24"/>
          <w:szCs w:val="24"/>
        </w:rPr>
        <w:t>y allí se remitirá el expediente</w:t>
      </w:r>
      <w:r w:rsidR="009D668C" w:rsidRPr="00EE10E3">
        <w:rPr>
          <w:rFonts w:ascii="Gadugi" w:eastAsia="Segoe UI" w:hAnsi="Gadugi" w:cs="Segoe UI"/>
          <w:sz w:val="24"/>
          <w:szCs w:val="24"/>
        </w:rPr>
        <w:t>. A</w:t>
      </w:r>
      <w:r w:rsidR="00E158BB" w:rsidRPr="00EE10E3">
        <w:rPr>
          <w:rFonts w:ascii="Gadugi" w:eastAsia="Segoe UI" w:hAnsi="Gadugi" w:cs="Segoe UI"/>
          <w:sz w:val="24"/>
          <w:szCs w:val="24"/>
        </w:rPr>
        <w:t>l</w:t>
      </w:r>
      <w:r w:rsidR="005F5093" w:rsidRPr="00EE10E3">
        <w:rPr>
          <w:rFonts w:ascii="Gadugi" w:eastAsia="Segoe UI" w:hAnsi="Gadugi" w:cs="Segoe UI"/>
          <w:sz w:val="24"/>
          <w:szCs w:val="24"/>
        </w:rPr>
        <w:t xml:space="preserve"> </w:t>
      </w:r>
      <w:r w:rsidR="00A2700C" w:rsidRPr="00EE10E3">
        <w:rPr>
          <w:rFonts w:ascii="Gadugi" w:eastAsia="Segoe UI" w:hAnsi="Gadugi" w:cs="Segoe UI"/>
          <w:sz w:val="24"/>
          <w:szCs w:val="24"/>
        </w:rPr>
        <w:t xml:space="preserve">Juzgado Tercero Penal Municipal con funciones de control de garantías de Pereira </w:t>
      </w:r>
      <w:r w:rsidR="00E158BB" w:rsidRPr="00EE10E3">
        <w:rPr>
          <w:rFonts w:ascii="Gadugi" w:eastAsia="Segoe UI" w:hAnsi="Gadugi" w:cs="Segoe UI"/>
          <w:sz w:val="24"/>
          <w:szCs w:val="24"/>
        </w:rPr>
        <w:t>se le informará lo pertinente.</w:t>
      </w:r>
      <w:r w:rsidR="00566677" w:rsidRPr="00EE10E3">
        <w:rPr>
          <w:rFonts w:ascii="Gadugi" w:eastAsia="Segoe UI" w:hAnsi="Gadugi" w:cs="Segoe UI"/>
          <w:sz w:val="24"/>
          <w:szCs w:val="24"/>
        </w:rPr>
        <w:t xml:space="preserve"> </w:t>
      </w:r>
    </w:p>
    <w:p w14:paraId="72514E9C" w14:textId="3441A4F8" w:rsidR="00ED6CF3" w:rsidRPr="00EE10E3" w:rsidRDefault="00ED6CF3" w:rsidP="00EE10E3">
      <w:pPr>
        <w:spacing w:after="0" w:line="276" w:lineRule="auto"/>
        <w:contextualSpacing/>
        <w:jc w:val="both"/>
        <w:rPr>
          <w:rFonts w:ascii="Gadugi" w:eastAsia="Segoe UI" w:hAnsi="Gadugi" w:cs="Segoe UI"/>
          <w:sz w:val="24"/>
          <w:szCs w:val="24"/>
        </w:rPr>
      </w:pPr>
    </w:p>
    <w:p w14:paraId="55627FF4" w14:textId="77777777" w:rsidR="00ED6CF3" w:rsidRPr="00EE10E3" w:rsidRDefault="00ED6CF3" w:rsidP="00EE10E3">
      <w:pPr>
        <w:spacing w:after="0" w:line="276" w:lineRule="auto"/>
        <w:contextualSpacing/>
        <w:jc w:val="both"/>
        <w:rPr>
          <w:rFonts w:ascii="Gadugi" w:eastAsia="Segoe UI" w:hAnsi="Gadugi" w:cs="Segoe UI"/>
          <w:sz w:val="24"/>
          <w:szCs w:val="24"/>
        </w:rPr>
      </w:pPr>
    </w:p>
    <w:p w14:paraId="55EE10C1" w14:textId="77777777" w:rsidR="00E158BB" w:rsidRPr="00EE10E3" w:rsidRDefault="00E158BB" w:rsidP="00EE10E3">
      <w:pPr>
        <w:widowControl w:val="0"/>
        <w:spacing w:after="0" w:line="276" w:lineRule="auto"/>
        <w:ind w:firstLine="2835"/>
        <w:jc w:val="both"/>
        <w:rPr>
          <w:rFonts w:ascii="Gadugi" w:eastAsia="Tahoma" w:hAnsi="Gadugi" w:cs="Tahoma"/>
          <w:b/>
          <w:bCs/>
          <w:sz w:val="24"/>
          <w:szCs w:val="24"/>
        </w:rPr>
      </w:pPr>
      <w:r w:rsidRPr="00EE10E3">
        <w:rPr>
          <w:rFonts w:ascii="Gadugi" w:eastAsia="Tahoma" w:hAnsi="Gadugi" w:cs="Tahoma"/>
          <w:b/>
          <w:bCs/>
          <w:color w:val="000000"/>
          <w:sz w:val="24"/>
          <w:szCs w:val="24"/>
        </w:rPr>
        <w:t>DECISIÓN</w:t>
      </w:r>
    </w:p>
    <w:p w14:paraId="290592F5" w14:textId="77777777" w:rsidR="00E158BB" w:rsidRPr="00EE10E3" w:rsidRDefault="00E158BB" w:rsidP="00EE10E3">
      <w:pPr>
        <w:widowControl w:val="0"/>
        <w:spacing w:after="0" w:line="276" w:lineRule="auto"/>
        <w:ind w:firstLine="2835"/>
        <w:jc w:val="both"/>
        <w:rPr>
          <w:rFonts w:ascii="Gadugi" w:eastAsia="Courier New" w:hAnsi="Gadugi" w:cs="Courier New"/>
          <w:color w:val="000000"/>
          <w:sz w:val="24"/>
          <w:szCs w:val="24"/>
          <w:lang w:eastAsia="es-ES"/>
        </w:rPr>
      </w:pPr>
    </w:p>
    <w:p w14:paraId="55E3887C" w14:textId="77777777" w:rsidR="00E158BB" w:rsidRPr="00EE10E3" w:rsidRDefault="00E158BB" w:rsidP="00EE10E3">
      <w:pPr>
        <w:widowControl w:val="0"/>
        <w:spacing w:after="0" w:line="276" w:lineRule="auto"/>
        <w:ind w:right="20" w:firstLine="2835"/>
        <w:jc w:val="both"/>
        <w:rPr>
          <w:rFonts w:ascii="Gadugi" w:eastAsia="Tahoma" w:hAnsi="Gadugi" w:cs="Tahoma"/>
          <w:color w:val="000000"/>
          <w:sz w:val="24"/>
          <w:szCs w:val="24"/>
          <w:lang w:val="es-419"/>
        </w:rPr>
      </w:pPr>
    </w:p>
    <w:p w14:paraId="29976EA1" w14:textId="3331D6B6" w:rsidR="00CA6B48" w:rsidRPr="00EE10E3" w:rsidRDefault="00E158BB" w:rsidP="00EE10E3">
      <w:pPr>
        <w:spacing w:after="0" w:line="276" w:lineRule="auto"/>
        <w:ind w:firstLine="2835"/>
        <w:contextualSpacing/>
        <w:jc w:val="both"/>
        <w:rPr>
          <w:rFonts w:ascii="Gadugi" w:eastAsia="Tahoma" w:hAnsi="Gadugi" w:cs="Tahoma"/>
          <w:color w:val="000000"/>
          <w:sz w:val="24"/>
          <w:szCs w:val="24"/>
        </w:rPr>
      </w:pPr>
      <w:r w:rsidRPr="00EE10E3">
        <w:rPr>
          <w:rFonts w:ascii="Gadugi" w:eastAsia="Tahoma" w:hAnsi="Gadugi" w:cs="Tahoma"/>
          <w:color w:val="000000"/>
          <w:sz w:val="24"/>
          <w:szCs w:val="24"/>
          <w:lang w:val="es-419"/>
        </w:rPr>
        <w:t>E</w:t>
      </w:r>
      <w:r w:rsidRPr="00EE10E3">
        <w:rPr>
          <w:rFonts w:ascii="Gadugi" w:eastAsia="Tahoma" w:hAnsi="Gadugi" w:cs="Tahoma"/>
          <w:color w:val="000000"/>
          <w:sz w:val="24"/>
          <w:szCs w:val="24"/>
        </w:rPr>
        <w:t xml:space="preserve">n mérito de lo expuesto, esta </w:t>
      </w:r>
      <w:r w:rsidRPr="00EE10E3">
        <w:rPr>
          <w:rFonts w:ascii="Gadugi" w:eastAsia="Segoe UI" w:hAnsi="Gadugi" w:cs="Segoe UI"/>
          <w:sz w:val="24"/>
          <w:szCs w:val="24"/>
        </w:rPr>
        <w:t xml:space="preserve">Sala </w:t>
      </w:r>
      <w:r w:rsidR="00935E64" w:rsidRPr="00EE10E3">
        <w:rPr>
          <w:rFonts w:ascii="Gadugi" w:eastAsia="Segoe UI" w:hAnsi="Gadugi" w:cs="Segoe UI"/>
          <w:sz w:val="24"/>
          <w:szCs w:val="24"/>
        </w:rPr>
        <w:t>Mixta Nro. 10</w:t>
      </w:r>
      <w:r w:rsidRPr="00EE10E3">
        <w:rPr>
          <w:rFonts w:ascii="Gadugi" w:eastAsia="Segoe UI" w:hAnsi="Gadugi" w:cs="Segoe UI"/>
          <w:sz w:val="24"/>
          <w:szCs w:val="24"/>
        </w:rPr>
        <w:t xml:space="preserve"> del Tribunal Superior de Pereira, </w:t>
      </w:r>
      <w:r w:rsidRPr="00EE10E3">
        <w:rPr>
          <w:rFonts w:ascii="Gadugi" w:eastAsia="Segoe UI" w:hAnsi="Gadugi" w:cs="Segoe UI"/>
          <w:b/>
          <w:sz w:val="24"/>
          <w:szCs w:val="24"/>
        </w:rPr>
        <w:t>DECLARA</w:t>
      </w:r>
      <w:r w:rsidRPr="00EE10E3">
        <w:rPr>
          <w:rFonts w:ascii="Gadugi" w:eastAsia="Segoe UI" w:hAnsi="Gadugi" w:cs="Segoe UI"/>
          <w:sz w:val="24"/>
          <w:szCs w:val="24"/>
        </w:rPr>
        <w:t xml:space="preserve"> </w:t>
      </w:r>
      <w:r w:rsidRPr="00EE10E3">
        <w:rPr>
          <w:rFonts w:ascii="Gadugi" w:eastAsia="Tahoma" w:hAnsi="Gadugi" w:cs="Tahoma"/>
          <w:color w:val="000000"/>
          <w:sz w:val="24"/>
          <w:szCs w:val="24"/>
        </w:rPr>
        <w:t xml:space="preserve">que el conocimiento de la </w:t>
      </w:r>
      <w:r w:rsidR="00CA6B48" w:rsidRPr="00EE10E3">
        <w:rPr>
          <w:rFonts w:ascii="Gadugi" w:eastAsia="Tahoma" w:hAnsi="Gadugi" w:cs="Tahoma"/>
          <w:color w:val="000000"/>
          <w:sz w:val="24"/>
          <w:szCs w:val="24"/>
        </w:rPr>
        <w:t xml:space="preserve">presente acción de tutela le corresponde al </w:t>
      </w:r>
      <w:r w:rsidR="00CA6B48" w:rsidRPr="00EE10E3">
        <w:rPr>
          <w:rFonts w:ascii="Gadugi" w:eastAsia="Segoe UI" w:hAnsi="Gadugi" w:cs="Segoe UI"/>
          <w:sz w:val="24"/>
          <w:szCs w:val="24"/>
          <w:u w:val="single"/>
        </w:rPr>
        <w:t xml:space="preserve">Juzgado Tercero </w:t>
      </w:r>
      <w:r w:rsidR="00A2700C" w:rsidRPr="00EE10E3">
        <w:rPr>
          <w:rFonts w:ascii="Gadugi" w:eastAsia="Segoe UI" w:hAnsi="Gadugi" w:cs="Segoe UI"/>
          <w:sz w:val="24"/>
          <w:szCs w:val="24"/>
          <w:u w:val="single"/>
        </w:rPr>
        <w:t>de Familia</w:t>
      </w:r>
      <w:r w:rsidR="00CA6B48" w:rsidRPr="00EE10E3">
        <w:rPr>
          <w:rFonts w:ascii="Gadugi" w:eastAsia="Segoe UI" w:hAnsi="Gadugi" w:cs="Segoe UI"/>
          <w:sz w:val="24"/>
          <w:szCs w:val="24"/>
          <w:u w:val="single"/>
        </w:rPr>
        <w:t xml:space="preserve"> de Pereira</w:t>
      </w:r>
      <w:r w:rsidR="00CA6B48" w:rsidRPr="00EE10E3">
        <w:rPr>
          <w:rFonts w:ascii="Gadugi" w:eastAsia="Segoe UI" w:hAnsi="Gadugi" w:cs="Segoe UI"/>
          <w:sz w:val="24"/>
          <w:szCs w:val="24"/>
        </w:rPr>
        <w:t xml:space="preserve">, </w:t>
      </w:r>
      <w:r w:rsidR="00CA6B48" w:rsidRPr="00EE10E3">
        <w:rPr>
          <w:rFonts w:ascii="Gadugi" w:eastAsia="Tahoma" w:hAnsi="Gadugi" w:cs="Tahoma"/>
          <w:color w:val="000000"/>
          <w:sz w:val="24"/>
          <w:szCs w:val="24"/>
        </w:rPr>
        <w:t>y allí se dispone remitir el expediente.</w:t>
      </w:r>
    </w:p>
    <w:p w14:paraId="75BAB1FE" w14:textId="77777777" w:rsidR="00CA6B48" w:rsidRPr="00EE10E3" w:rsidRDefault="00CA6B48" w:rsidP="00EE10E3">
      <w:pPr>
        <w:spacing w:after="0" w:line="276" w:lineRule="auto"/>
        <w:ind w:firstLine="2835"/>
        <w:contextualSpacing/>
        <w:jc w:val="both"/>
        <w:rPr>
          <w:rFonts w:ascii="Gadugi" w:eastAsia="Tahoma" w:hAnsi="Gadugi" w:cs="Tahoma"/>
          <w:color w:val="000000"/>
          <w:sz w:val="24"/>
          <w:szCs w:val="24"/>
        </w:rPr>
      </w:pPr>
    </w:p>
    <w:p w14:paraId="53BAE70B" w14:textId="56E4A972" w:rsidR="00E158BB" w:rsidRPr="00EE10E3" w:rsidRDefault="00E158BB" w:rsidP="00EE10E3">
      <w:pPr>
        <w:widowControl w:val="0"/>
        <w:spacing w:after="0" w:line="276" w:lineRule="auto"/>
        <w:ind w:right="20" w:firstLine="2835"/>
        <w:jc w:val="both"/>
        <w:rPr>
          <w:rFonts w:ascii="Gadugi" w:eastAsia="Times New Roman" w:hAnsi="Gadugi" w:cs="Arial"/>
          <w:bCs/>
          <w:iCs/>
          <w:sz w:val="24"/>
          <w:szCs w:val="24"/>
          <w:lang w:eastAsia="es-ES"/>
        </w:rPr>
      </w:pPr>
      <w:r w:rsidRPr="00EE10E3">
        <w:rPr>
          <w:rFonts w:ascii="Gadugi" w:eastAsia="Segoe UI" w:hAnsi="Gadugi" w:cs="Segoe UI"/>
          <w:bCs/>
          <w:sz w:val="24"/>
          <w:szCs w:val="24"/>
        </w:rPr>
        <w:t xml:space="preserve">De esta decisión, infórmese </w:t>
      </w:r>
      <w:r w:rsidR="00CA6B48" w:rsidRPr="00EE10E3">
        <w:rPr>
          <w:rFonts w:ascii="Gadugi" w:eastAsia="Segoe UI" w:hAnsi="Gadugi" w:cs="Segoe UI"/>
          <w:bCs/>
          <w:sz w:val="24"/>
          <w:szCs w:val="24"/>
        </w:rPr>
        <w:t xml:space="preserve">al </w:t>
      </w:r>
      <w:r w:rsidR="00A2700C" w:rsidRPr="00EE10E3">
        <w:rPr>
          <w:rFonts w:ascii="Gadugi" w:eastAsia="Segoe UI" w:hAnsi="Gadugi" w:cs="Segoe UI"/>
          <w:bCs/>
          <w:sz w:val="24"/>
          <w:szCs w:val="24"/>
        </w:rPr>
        <w:t>Juzgado Tercero Penal Municipal con funciones de control de garantías de Pereira</w:t>
      </w:r>
      <w:r w:rsidR="00220060" w:rsidRPr="00EE10E3">
        <w:rPr>
          <w:rFonts w:ascii="Gadugi" w:eastAsia="Segoe UI" w:hAnsi="Gadugi" w:cs="Segoe UI"/>
          <w:bCs/>
          <w:sz w:val="24"/>
          <w:szCs w:val="24"/>
        </w:rPr>
        <w:t>.</w:t>
      </w:r>
      <w:r w:rsidR="00617F9A" w:rsidRPr="00EE10E3">
        <w:rPr>
          <w:rFonts w:ascii="Gadugi" w:eastAsia="Segoe UI" w:hAnsi="Gadugi" w:cs="Segoe UI"/>
          <w:bCs/>
          <w:sz w:val="24"/>
          <w:szCs w:val="24"/>
        </w:rPr>
        <w:t xml:space="preserve"> </w:t>
      </w:r>
      <w:r w:rsidRPr="00EE10E3">
        <w:rPr>
          <w:rFonts w:ascii="Gadugi" w:eastAsia="Times New Roman" w:hAnsi="Gadugi" w:cs="Arial"/>
          <w:bCs/>
          <w:iCs/>
          <w:sz w:val="24"/>
          <w:szCs w:val="24"/>
          <w:lang w:eastAsia="es-ES"/>
        </w:rPr>
        <w:t>Notifíquese la decisión a las partes en la forma prevista en el artículo 5º del Decreto 306 de 1992.</w:t>
      </w:r>
    </w:p>
    <w:p w14:paraId="443E813D" w14:textId="77777777" w:rsidR="00E158BB" w:rsidRPr="00EE10E3" w:rsidRDefault="00E158BB" w:rsidP="00EE10E3">
      <w:pPr>
        <w:spacing w:after="0" w:line="276" w:lineRule="auto"/>
        <w:contextualSpacing/>
        <w:jc w:val="both"/>
        <w:rPr>
          <w:rFonts w:ascii="Gadugi" w:eastAsia="Times New Roman" w:hAnsi="Gadugi" w:cs="Arial"/>
          <w:bCs/>
          <w:iCs/>
          <w:sz w:val="24"/>
          <w:szCs w:val="24"/>
          <w:lang w:eastAsia="es-ES"/>
        </w:rPr>
      </w:pPr>
    </w:p>
    <w:p w14:paraId="3155E66B" w14:textId="773ACB18" w:rsidR="00473B4A" w:rsidRPr="00EE10E3" w:rsidRDefault="00935E64" w:rsidP="00EE10E3">
      <w:pPr>
        <w:spacing w:after="0" w:line="276" w:lineRule="auto"/>
        <w:ind w:firstLine="2880"/>
        <w:contextualSpacing/>
        <w:jc w:val="both"/>
        <w:rPr>
          <w:rFonts w:ascii="Gadugi" w:eastAsia="Times New Roman" w:hAnsi="Gadugi" w:cs="Arial"/>
          <w:iCs/>
          <w:sz w:val="24"/>
          <w:szCs w:val="24"/>
          <w:lang w:eastAsia="es-ES"/>
        </w:rPr>
      </w:pPr>
      <w:r w:rsidRPr="00EE10E3">
        <w:rPr>
          <w:rFonts w:ascii="Gadugi" w:eastAsia="Times New Roman" w:hAnsi="Gadugi" w:cs="Arial"/>
          <w:iCs/>
          <w:sz w:val="24"/>
          <w:szCs w:val="24"/>
          <w:lang w:eastAsia="es-ES"/>
        </w:rPr>
        <w:t>Los</w:t>
      </w:r>
      <w:r w:rsidR="005545BE" w:rsidRPr="00EE10E3">
        <w:rPr>
          <w:rFonts w:ascii="Gadugi" w:eastAsia="Times New Roman" w:hAnsi="Gadugi" w:cs="Arial"/>
          <w:iCs/>
          <w:sz w:val="24"/>
          <w:szCs w:val="24"/>
          <w:lang w:eastAsia="es-ES"/>
        </w:rPr>
        <w:t xml:space="preserve"> </w:t>
      </w:r>
      <w:r w:rsidR="00473B4A" w:rsidRPr="00EE10E3">
        <w:rPr>
          <w:rFonts w:ascii="Gadugi" w:eastAsia="Times New Roman" w:hAnsi="Gadugi" w:cs="Arial"/>
          <w:iCs/>
          <w:sz w:val="24"/>
          <w:szCs w:val="24"/>
          <w:lang w:eastAsia="es-ES"/>
        </w:rPr>
        <w:t>Magistrado</w:t>
      </w:r>
      <w:r w:rsidRPr="00EE10E3">
        <w:rPr>
          <w:rFonts w:ascii="Gadugi" w:eastAsia="Times New Roman" w:hAnsi="Gadugi" w:cs="Arial"/>
          <w:iCs/>
          <w:sz w:val="24"/>
          <w:szCs w:val="24"/>
          <w:lang w:eastAsia="es-ES"/>
        </w:rPr>
        <w:t>s</w:t>
      </w:r>
      <w:r w:rsidR="00473B4A" w:rsidRPr="00EE10E3">
        <w:rPr>
          <w:rFonts w:ascii="Gadugi" w:eastAsia="Times New Roman" w:hAnsi="Gadugi" w:cs="Arial"/>
          <w:iCs/>
          <w:sz w:val="24"/>
          <w:szCs w:val="24"/>
          <w:lang w:eastAsia="es-ES"/>
        </w:rPr>
        <w:t>,</w:t>
      </w:r>
    </w:p>
    <w:p w14:paraId="007D1BC4" w14:textId="428616BE" w:rsidR="00473B4A" w:rsidRDefault="00473B4A" w:rsidP="00EE10E3">
      <w:pPr>
        <w:spacing w:after="0" w:line="276" w:lineRule="auto"/>
        <w:ind w:firstLine="2880"/>
        <w:contextualSpacing/>
        <w:jc w:val="both"/>
        <w:rPr>
          <w:rFonts w:ascii="Gadugi" w:eastAsia="Times New Roman" w:hAnsi="Gadugi" w:cs="Arial"/>
          <w:b/>
          <w:bCs/>
          <w:sz w:val="24"/>
          <w:szCs w:val="24"/>
          <w:lang w:eastAsia="es-ES"/>
        </w:rPr>
      </w:pPr>
    </w:p>
    <w:p w14:paraId="2D23409B" w14:textId="77777777" w:rsidR="00EE10E3" w:rsidRPr="00EE10E3" w:rsidRDefault="00EE10E3" w:rsidP="00EE10E3">
      <w:pPr>
        <w:spacing w:after="0" w:line="276" w:lineRule="auto"/>
        <w:ind w:firstLine="2880"/>
        <w:contextualSpacing/>
        <w:jc w:val="both"/>
        <w:rPr>
          <w:rFonts w:ascii="Gadugi" w:eastAsia="Times New Roman" w:hAnsi="Gadugi" w:cs="Arial"/>
          <w:b/>
          <w:bCs/>
          <w:sz w:val="24"/>
          <w:szCs w:val="24"/>
          <w:lang w:eastAsia="es-ES"/>
        </w:rPr>
      </w:pPr>
    </w:p>
    <w:p w14:paraId="21BCD611" w14:textId="4097C690" w:rsidR="00566677" w:rsidRPr="00EE10E3" w:rsidRDefault="00473B4A" w:rsidP="00EE10E3">
      <w:pPr>
        <w:spacing w:after="0" w:line="276" w:lineRule="auto"/>
        <w:ind w:firstLine="2880"/>
        <w:contextualSpacing/>
        <w:jc w:val="both"/>
        <w:rPr>
          <w:rFonts w:ascii="Gadugi" w:eastAsia="Times New Roman" w:hAnsi="Gadugi" w:cs="Arial"/>
          <w:b/>
          <w:bCs/>
          <w:iCs/>
          <w:sz w:val="24"/>
          <w:szCs w:val="24"/>
          <w:lang w:eastAsia="es-ES"/>
        </w:rPr>
      </w:pPr>
      <w:r w:rsidRPr="00EE10E3">
        <w:rPr>
          <w:rFonts w:ascii="Gadugi" w:eastAsia="Times New Roman" w:hAnsi="Gadugi" w:cs="Arial"/>
          <w:b/>
          <w:bCs/>
          <w:iCs/>
          <w:sz w:val="24"/>
          <w:szCs w:val="24"/>
          <w:lang w:eastAsia="es-ES"/>
        </w:rPr>
        <w:t>JAIME ALBERTO SARAZA NARANJO</w:t>
      </w:r>
    </w:p>
    <w:p w14:paraId="5D0FB5AD" w14:textId="77777777" w:rsidR="00EE10E3" w:rsidRDefault="00EE10E3" w:rsidP="00EE10E3">
      <w:pPr>
        <w:spacing w:after="0" w:line="276" w:lineRule="auto"/>
        <w:ind w:firstLine="2880"/>
        <w:contextualSpacing/>
        <w:jc w:val="both"/>
        <w:rPr>
          <w:rFonts w:ascii="Gadugi" w:eastAsia="Times New Roman" w:hAnsi="Gadugi" w:cs="Arial"/>
          <w:b/>
          <w:bCs/>
          <w:sz w:val="24"/>
          <w:szCs w:val="24"/>
          <w:lang w:eastAsia="es-ES"/>
        </w:rPr>
      </w:pPr>
    </w:p>
    <w:p w14:paraId="6EDF1960" w14:textId="77777777" w:rsidR="00EE10E3" w:rsidRDefault="00EE10E3" w:rsidP="00EE10E3">
      <w:pPr>
        <w:spacing w:after="0" w:line="276" w:lineRule="auto"/>
        <w:ind w:firstLine="2880"/>
        <w:contextualSpacing/>
        <w:jc w:val="both"/>
        <w:rPr>
          <w:rFonts w:ascii="Gadugi" w:eastAsia="Times New Roman" w:hAnsi="Gadugi" w:cs="Arial"/>
          <w:b/>
          <w:bCs/>
          <w:sz w:val="24"/>
          <w:szCs w:val="24"/>
          <w:lang w:eastAsia="es-ES"/>
        </w:rPr>
      </w:pPr>
    </w:p>
    <w:p w14:paraId="73685441" w14:textId="3EB9898F" w:rsidR="00935E64" w:rsidRPr="00EE10E3" w:rsidRDefault="00935E64" w:rsidP="00EE10E3">
      <w:pPr>
        <w:spacing w:after="0" w:line="276" w:lineRule="auto"/>
        <w:ind w:firstLine="2880"/>
        <w:contextualSpacing/>
        <w:jc w:val="both"/>
        <w:rPr>
          <w:rFonts w:ascii="Gadugi" w:eastAsia="Times New Roman" w:hAnsi="Gadugi" w:cs="Arial"/>
          <w:b/>
          <w:bCs/>
          <w:sz w:val="24"/>
          <w:szCs w:val="24"/>
          <w:lang w:eastAsia="es-ES"/>
        </w:rPr>
      </w:pPr>
      <w:r w:rsidRPr="00EE10E3">
        <w:rPr>
          <w:rFonts w:ascii="Gadugi" w:eastAsia="Times New Roman" w:hAnsi="Gadugi" w:cs="Arial"/>
          <w:b/>
          <w:bCs/>
          <w:sz w:val="24"/>
          <w:szCs w:val="24"/>
          <w:lang w:eastAsia="es-ES"/>
        </w:rPr>
        <w:t>JULIO CÉSAR SALAZAR MUÑOZ</w:t>
      </w:r>
    </w:p>
    <w:p w14:paraId="6A523741" w14:textId="77777777" w:rsidR="00EE10E3" w:rsidRDefault="00EE10E3" w:rsidP="00EE10E3">
      <w:pPr>
        <w:spacing w:after="0" w:line="276" w:lineRule="auto"/>
        <w:ind w:firstLine="2880"/>
        <w:contextualSpacing/>
        <w:jc w:val="both"/>
        <w:rPr>
          <w:rFonts w:ascii="Gadugi" w:eastAsia="Times New Roman" w:hAnsi="Gadugi" w:cs="Arial"/>
          <w:b/>
          <w:bCs/>
          <w:iCs/>
          <w:sz w:val="24"/>
          <w:szCs w:val="24"/>
          <w:lang w:eastAsia="es-ES"/>
        </w:rPr>
      </w:pPr>
    </w:p>
    <w:p w14:paraId="06F00F42" w14:textId="77777777" w:rsidR="00EE10E3" w:rsidRDefault="00EE10E3" w:rsidP="00EE10E3">
      <w:pPr>
        <w:spacing w:after="0" w:line="276" w:lineRule="auto"/>
        <w:ind w:firstLine="2880"/>
        <w:contextualSpacing/>
        <w:jc w:val="both"/>
        <w:rPr>
          <w:rFonts w:ascii="Gadugi" w:eastAsia="Times New Roman" w:hAnsi="Gadugi" w:cs="Arial"/>
          <w:b/>
          <w:bCs/>
          <w:iCs/>
          <w:sz w:val="24"/>
          <w:szCs w:val="24"/>
          <w:lang w:eastAsia="es-ES"/>
        </w:rPr>
      </w:pPr>
    </w:p>
    <w:p w14:paraId="4DC0299F" w14:textId="6F1EAD6D" w:rsidR="00935E64" w:rsidRPr="00EE10E3" w:rsidRDefault="001B77AE" w:rsidP="00EE10E3">
      <w:pPr>
        <w:spacing w:after="0" w:line="276" w:lineRule="auto"/>
        <w:ind w:firstLine="2880"/>
        <w:contextualSpacing/>
        <w:jc w:val="both"/>
        <w:rPr>
          <w:rFonts w:ascii="Gadugi" w:eastAsia="Times New Roman" w:hAnsi="Gadugi" w:cs="Arial"/>
          <w:b/>
          <w:bCs/>
          <w:iCs/>
          <w:sz w:val="24"/>
          <w:szCs w:val="24"/>
          <w:lang w:eastAsia="es-ES"/>
        </w:rPr>
      </w:pPr>
      <w:r w:rsidRPr="00EE10E3">
        <w:rPr>
          <w:rFonts w:ascii="Gadugi" w:eastAsia="Times New Roman" w:hAnsi="Gadugi" w:cs="Arial"/>
          <w:b/>
          <w:bCs/>
          <w:iCs/>
          <w:sz w:val="24"/>
          <w:szCs w:val="24"/>
          <w:lang w:eastAsia="es-ES"/>
        </w:rPr>
        <w:t>MANUEL YARZAGARAY BANDERA</w:t>
      </w:r>
    </w:p>
    <w:sectPr w:rsidR="00935E64" w:rsidRPr="00EE10E3" w:rsidSect="00EE10E3">
      <w:headerReference w:type="default" r:id="rId10"/>
      <w:footerReference w:type="default" r:id="rId11"/>
      <w:pgSz w:w="12242" w:h="18722" w:code="258"/>
      <w:pgMar w:top="1871" w:right="1304" w:bottom="1304" w:left="1871" w:header="567" w:footer="567"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8304" w16cex:dateUtc="2022-06-10T13:44:00Z"/>
  <w16cex:commentExtensible w16cex:durableId="264D83C2" w16cex:dateUtc="2022-06-10T13: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E169C" w14:textId="77777777" w:rsidR="00882953" w:rsidRDefault="00882953" w:rsidP="00E158BB">
      <w:pPr>
        <w:spacing w:after="0" w:line="240" w:lineRule="auto"/>
      </w:pPr>
      <w:r>
        <w:separator/>
      </w:r>
    </w:p>
  </w:endnote>
  <w:endnote w:type="continuationSeparator" w:id="0">
    <w:p w14:paraId="4C26CF66" w14:textId="77777777" w:rsidR="00882953" w:rsidRDefault="00882953" w:rsidP="00E15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B1D4A" w14:textId="0F7120AE" w:rsidR="00D13A5B" w:rsidRPr="008320E4" w:rsidRDefault="00E80CAC" w:rsidP="00D13A5B">
    <w:pPr>
      <w:pStyle w:val="Piedepgina"/>
      <w:framePr w:wrap="auto" w:vAnchor="text" w:hAnchor="margin" w:xAlign="right" w:y="1"/>
      <w:rPr>
        <w:rStyle w:val="Nmerodepgina"/>
        <w:rFonts w:ascii="Calibri" w:hAnsi="Calibri" w:cs="Calibri"/>
        <w:sz w:val="20"/>
      </w:rPr>
    </w:pPr>
    <w:r w:rsidRPr="008320E4">
      <w:rPr>
        <w:rStyle w:val="Nmerodepgina"/>
        <w:rFonts w:ascii="Calibri" w:hAnsi="Calibri" w:cs="Calibri"/>
        <w:sz w:val="20"/>
      </w:rPr>
      <w:fldChar w:fldCharType="begin"/>
    </w:r>
    <w:r w:rsidRPr="008320E4">
      <w:rPr>
        <w:rStyle w:val="Nmerodepgina"/>
        <w:rFonts w:ascii="Calibri" w:hAnsi="Calibri" w:cs="Calibri"/>
        <w:sz w:val="20"/>
      </w:rPr>
      <w:instrText xml:space="preserve">PAGE  </w:instrText>
    </w:r>
    <w:r w:rsidRPr="008320E4">
      <w:rPr>
        <w:rStyle w:val="Nmerodepgina"/>
        <w:rFonts w:ascii="Calibri" w:hAnsi="Calibri" w:cs="Calibri"/>
        <w:sz w:val="20"/>
      </w:rPr>
      <w:fldChar w:fldCharType="separate"/>
    </w:r>
    <w:r w:rsidR="005779D2" w:rsidRPr="008320E4">
      <w:rPr>
        <w:rStyle w:val="Nmerodepgina"/>
        <w:rFonts w:ascii="Calibri" w:hAnsi="Calibri" w:cs="Calibri"/>
        <w:noProof/>
        <w:sz w:val="20"/>
      </w:rPr>
      <w:t>2</w:t>
    </w:r>
    <w:r w:rsidRPr="008320E4">
      <w:rPr>
        <w:rStyle w:val="Nmerodepgina"/>
        <w:rFonts w:ascii="Calibri" w:hAnsi="Calibri" w:cs="Calibri"/>
        <w:sz w:val="20"/>
      </w:rPr>
      <w:fldChar w:fldCharType="end"/>
    </w:r>
  </w:p>
  <w:p w14:paraId="10BF6CB0" w14:textId="77777777" w:rsidR="00D13A5B" w:rsidRDefault="00D13A5B" w:rsidP="00D13A5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7F8B4" w14:textId="77777777" w:rsidR="00882953" w:rsidRDefault="00882953" w:rsidP="00E158BB">
      <w:pPr>
        <w:spacing w:after="0" w:line="240" w:lineRule="auto"/>
      </w:pPr>
      <w:r>
        <w:separator/>
      </w:r>
    </w:p>
  </w:footnote>
  <w:footnote w:type="continuationSeparator" w:id="0">
    <w:p w14:paraId="6904D434" w14:textId="77777777" w:rsidR="00882953" w:rsidRDefault="00882953" w:rsidP="00E158BB">
      <w:pPr>
        <w:spacing w:after="0" w:line="240" w:lineRule="auto"/>
      </w:pPr>
      <w:r>
        <w:continuationSeparator/>
      </w:r>
    </w:p>
  </w:footnote>
  <w:footnote w:id="1">
    <w:p w14:paraId="3C85A75A" w14:textId="709712EE" w:rsidR="00A2700C" w:rsidRPr="00A2700C" w:rsidRDefault="00A2700C" w:rsidP="008320E4">
      <w:pPr>
        <w:pStyle w:val="Textonotapie"/>
        <w:jc w:val="both"/>
        <w:rPr>
          <w:lang w:val="es-CO"/>
        </w:rPr>
      </w:pPr>
      <w:r>
        <w:rPr>
          <w:rStyle w:val="Refdenotaalpie"/>
        </w:rPr>
        <w:footnoteRef/>
      </w:r>
      <w:r>
        <w:t xml:space="preserve"> </w:t>
      </w:r>
      <w:r>
        <w:rPr>
          <w:lang w:val="es-CO"/>
        </w:rPr>
        <w:t>Documento 01</w:t>
      </w:r>
    </w:p>
  </w:footnote>
  <w:footnote w:id="2">
    <w:p w14:paraId="346BC39D" w14:textId="7A3674EE" w:rsidR="00A2700C" w:rsidRPr="00A2700C" w:rsidRDefault="00A2700C" w:rsidP="008320E4">
      <w:pPr>
        <w:pStyle w:val="Textonotapie"/>
        <w:jc w:val="both"/>
        <w:rPr>
          <w:lang w:val="es-CO"/>
        </w:rPr>
      </w:pPr>
      <w:r>
        <w:rPr>
          <w:rStyle w:val="Refdenotaalpie"/>
        </w:rPr>
        <w:footnoteRef/>
      </w:r>
      <w:r>
        <w:t xml:space="preserve"> </w:t>
      </w:r>
      <w:r>
        <w:rPr>
          <w:lang w:val="es-CO"/>
        </w:rPr>
        <w:t>Documento 04.</w:t>
      </w:r>
    </w:p>
  </w:footnote>
  <w:footnote w:id="3">
    <w:p w14:paraId="6CFCBBAC" w14:textId="4D2D51E6" w:rsidR="008F62C1" w:rsidRPr="008F62C1" w:rsidRDefault="008F62C1" w:rsidP="008320E4">
      <w:pPr>
        <w:pStyle w:val="Textonotapie"/>
        <w:jc w:val="both"/>
        <w:rPr>
          <w:lang w:val="es-CO"/>
        </w:rPr>
      </w:pPr>
      <w:r>
        <w:rPr>
          <w:rStyle w:val="Refdenotaalpie"/>
        </w:rPr>
        <w:footnoteRef/>
      </w:r>
      <w:r>
        <w:t xml:space="preserve"> 1 Auto 159 de 2014 “Así las cosas, en el presente asunto la Corte advierte que fue poco afortunada la decisión del Tribunal Administrativo de Cundinamarca, agencia judicial que concluyó que la demandada es una entidad del orden distrital, por lo que quien debía asumir en principio serían los jueces municipales, sin advertir, que la Policía Nacional es un solo organismo del orden nacional, (Ley 62 de 1993, artículo 1°), que depende del Ministerio de Defensa (artículo 10 de la Ley 62 de 1993), lo que permite concluir que independientemente del nivel territorial en que actué siempre integrará la Rama Ejecutiva en el orden nacional al tenor de lo dispuesto en el artículo 38 de la Ley 489 de 1998.”</w:t>
      </w:r>
    </w:p>
  </w:footnote>
  <w:footnote w:id="4">
    <w:p w14:paraId="711025AF" w14:textId="4796F63E" w:rsidR="008F62C1" w:rsidRPr="008F62C1" w:rsidRDefault="008F62C1" w:rsidP="008320E4">
      <w:pPr>
        <w:pStyle w:val="Textonotapie"/>
        <w:jc w:val="both"/>
        <w:rPr>
          <w:lang w:val="es-CO"/>
        </w:rPr>
      </w:pPr>
      <w:r>
        <w:rPr>
          <w:rStyle w:val="Refdenotaalpie"/>
        </w:rPr>
        <w:footnoteRef/>
      </w:r>
      <w:r>
        <w:t xml:space="preserve"> De igual manera, la Corte Suprema de Justicia ha resuelto en segunda instancia sentencias de tutela dirigidas contra Comandos Metropolitanos de la Policía Nacional. Así por ejemplo se pueden citar las siguientes sentencia STL12783-2017 del 16 de agosto de 2017 y sentencia STC2488-2017 del 24 de febrero de 2017</w:t>
      </w:r>
    </w:p>
  </w:footnote>
  <w:footnote w:id="5">
    <w:p w14:paraId="69D6DD1B" w14:textId="644188E5" w:rsidR="00A2700C" w:rsidRPr="00A2700C" w:rsidRDefault="00A2700C" w:rsidP="008320E4">
      <w:pPr>
        <w:pStyle w:val="Textonotapie"/>
        <w:jc w:val="both"/>
        <w:rPr>
          <w:lang w:val="es-CO"/>
        </w:rPr>
      </w:pPr>
      <w:r>
        <w:rPr>
          <w:rStyle w:val="Refdenotaalpie"/>
        </w:rPr>
        <w:footnoteRef/>
      </w:r>
      <w:r>
        <w:t xml:space="preserve"> </w:t>
      </w:r>
      <w:r>
        <w:rPr>
          <w:lang w:val="es-CO"/>
        </w:rPr>
        <w:t>Documento 04.</w:t>
      </w:r>
    </w:p>
  </w:footnote>
  <w:footnote w:id="6">
    <w:p w14:paraId="16CBAD78" w14:textId="3AC4537F" w:rsidR="00A2700C" w:rsidRPr="00A2700C" w:rsidRDefault="00A2700C" w:rsidP="008320E4">
      <w:pPr>
        <w:pStyle w:val="Textonotapie"/>
        <w:jc w:val="both"/>
        <w:rPr>
          <w:lang w:val="es-CO"/>
        </w:rPr>
      </w:pPr>
      <w:r>
        <w:rPr>
          <w:rStyle w:val="Refdenotaalpie"/>
        </w:rPr>
        <w:footnoteRef/>
      </w:r>
      <w:r>
        <w:t xml:space="preserve"> Corte Constitucional, </w:t>
      </w:r>
      <w:r w:rsidRPr="00A2700C">
        <w:t>Auto 159/14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59E7F" w14:textId="77777777" w:rsidR="00D13A5B" w:rsidRDefault="00D13A5B">
    <w:pPr>
      <w:pStyle w:val="Encabezado"/>
    </w:pPr>
  </w:p>
  <w:p w14:paraId="127E4652" w14:textId="77777777" w:rsidR="00D13A5B" w:rsidRDefault="00D13A5B">
    <w:pPr>
      <w:pStyle w:val="Encabezado"/>
      <w:framePr w:wrap="auto" w:vAnchor="text" w:hAnchor="page" w:x="6481" w:y="67"/>
      <w:rPr>
        <w:rStyle w:val="Nmerodepgina"/>
      </w:rPr>
    </w:pPr>
  </w:p>
  <w:p w14:paraId="115C7A54" w14:textId="77777777" w:rsidR="00D13A5B" w:rsidRPr="00FB6324" w:rsidRDefault="00D13A5B" w:rsidP="00D13A5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8BB"/>
    <w:rsid w:val="00030A45"/>
    <w:rsid w:val="000424EC"/>
    <w:rsid w:val="00060DE8"/>
    <w:rsid w:val="000664C8"/>
    <w:rsid w:val="00071A5F"/>
    <w:rsid w:val="00083A0A"/>
    <w:rsid w:val="000C7775"/>
    <w:rsid w:val="00120960"/>
    <w:rsid w:val="001B77AE"/>
    <w:rsid w:val="001C4EDB"/>
    <w:rsid w:val="00220060"/>
    <w:rsid w:val="00232A65"/>
    <w:rsid w:val="00242EA3"/>
    <w:rsid w:val="002675E0"/>
    <w:rsid w:val="002B216D"/>
    <w:rsid w:val="002C045F"/>
    <w:rsid w:val="002D5C68"/>
    <w:rsid w:val="00313079"/>
    <w:rsid w:val="00315E60"/>
    <w:rsid w:val="00316FA0"/>
    <w:rsid w:val="00324E5A"/>
    <w:rsid w:val="00337852"/>
    <w:rsid w:val="00374908"/>
    <w:rsid w:val="00386387"/>
    <w:rsid w:val="003A23A0"/>
    <w:rsid w:val="00404E45"/>
    <w:rsid w:val="00410420"/>
    <w:rsid w:val="00422852"/>
    <w:rsid w:val="00453BBE"/>
    <w:rsid w:val="00473B4A"/>
    <w:rsid w:val="00480E3C"/>
    <w:rsid w:val="004A5B7B"/>
    <w:rsid w:val="004A7B87"/>
    <w:rsid w:val="004E047F"/>
    <w:rsid w:val="0052195F"/>
    <w:rsid w:val="005545BE"/>
    <w:rsid w:val="00566677"/>
    <w:rsid w:val="005779D2"/>
    <w:rsid w:val="00595A80"/>
    <w:rsid w:val="005A65A4"/>
    <w:rsid w:val="005B3457"/>
    <w:rsid w:val="005B43C2"/>
    <w:rsid w:val="005F5093"/>
    <w:rsid w:val="00617F9A"/>
    <w:rsid w:val="006404C6"/>
    <w:rsid w:val="006B3815"/>
    <w:rsid w:val="006D2EE1"/>
    <w:rsid w:val="006E46FF"/>
    <w:rsid w:val="0071300C"/>
    <w:rsid w:val="00715874"/>
    <w:rsid w:val="007A6C48"/>
    <w:rsid w:val="007D0DBE"/>
    <w:rsid w:val="0080354C"/>
    <w:rsid w:val="008320E4"/>
    <w:rsid w:val="00850ABB"/>
    <w:rsid w:val="00874053"/>
    <w:rsid w:val="00882953"/>
    <w:rsid w:val="008A3B71"/>
    <w:rsid w:val="008A7529"/>
    <w:rsid w:val="008D6A9A"/>
    <w:rsid w:val="008F1D5E"/>
    <w:rsid w:val="008F225F"/>
    <w:rsid w:val="008F3DCA"/>
    <w:rsid w:val="008F62C1"/>
    <w:rsid w:val="0093139E"/>
    <w:rsid w:val="00935E64"/>
    <w:rsid w:val="009D668C"/>
    <w:rsid w:val="009E261A"/>
    <w:rsid w:val="00A2700C"/>
    <w:rsid w:val="00A30946"/>
    <w:rsid w:val="00A47D81"/>
    <w:rsid w:val="00A92908"/>
    <w:rsid w:val="00AA5CCF"/>
    <w:rsid w:val="00AB22D2"/>
    <w:rsid w:val="00AC499A"/>
    <w:rsid w:val="00B72261"/>
    <w:rsid w:val="00B7304D"/>
    <w:rsid w:val="00B90625"/>
    <w:rsid w:val="00BC1C42"/>
    <w:rsid w:val="00BD795D"/>
    <w:rsid w:val="00BE6DBB"/>
    <w:rsid w:val="00C2135B"/>
    <w:rsid w:val="00C35A57"/>
    <w:rsid w:val="00C44585"/>
    <w:rsid w:val="00C51E83"/>
    <w:rsid w:val="00C81034"/>
    <w:rsid w:val="00C85F7B"/>
    <w:rsid w:val="00CA6B48"/>
    <w:rsid w:val="00CD171F"/>
    <w:rsid w:val="00CE3CF7"/>
    <w:rsid w:val="00D06F57"/>
    <w:rsid w:val="00D13A5B"/>
    <w:rsid w:val="00D1562D"/>
    <w:rsid w:val="00D35234"/>
    <w:rsid w:val="00D50F57"/>
    <w:rsid w:val="00D73F8E"/>
    <w:rsid w:val="00DC4E70"/>
    <w:rsid w:val="00DC637D"/>
    <w:rsid w:val="00DE4875"/>
    <w:rsid w:val="00E13C33"/>
    <w:rsid w:val="00E158BB"/>
    <w:rsid w:val="00E32A0A"/>
    <w:rsid w:val="00E77239"/>
    <w:rsid w:val="00E80CAC"/>
    <w:rsid w:val="00E84F0D"/>
    <w:rsid w:val="00E85B58"/>
    <w:rsid w:val="00E9711A"/>
    <w:rsid w:val="00EB620E"/>
    <w:rsid w:val="00EC797A"/>
    <w:rsid w:val="00ED6CF3"/>
    <w:rsid w:val="00EE10E3"/>
    <w:rsid w:val="00F016BA"/>
    <w:rsid w:val="00F37A66"/>
    <w:rsid w:val="00F8538D"/>
    <w:rsid w:val="00FB6A8D"/>
    <w:rsid w:val="00FC6C05"/>
    <w:rsid w:val="00FF3C4D"/>
    <w:rsid w:val="05656DDF"/>
    <w:rsid w:val="056BD099"/>
    <w:rsid w:val="1392DDCE"/>
    <w:rsid w:val="3DEA35DA"/>
    <w:rsid w:val="50A78A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118E"/>
  <w15:chartTrackingRefBased/>
  <w15:docId w15:val="{1D190642-EA88-4046-834B-E8A40E34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8BB"/>
    <w:pPr>
      <w:spacing w:after="160" w:line="259" w:lineRule="auto"/>
    </w:pPr>
    <w:rPr>
      <w:rFonts w:cs="Times New Roman"/>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58BB"/>
    <w:pPr>
      <w:tabs>
        <w:tab w:val="center" w:pos="4252"/>
        <w:tab w:val="right" w:pos="8504"/>
      </w:tabs>
      <w:spacing w:after="0" w:line="240" w:lineRule="auto"/>
    </w:pPr>
  </w:style>
  <w:style w:type="character" w:customStyle="1" w:styleId="EncabezadoCar">
    <w:name w:val="Encabezado Car"/>
    <w:link w:val="Encabezado"/>
    <w:uiPriority w:val="99"/>
    <w:rsid w:val="00E158BB"/>
    <w:rPr>
      <w:rFonts w:ascii="Calibri" w:eastAsia="Calibri" w:hAnsi="Calibri" w:cs="Times New Roman"/>
    </w:rPr>
  </w:style>
  <w:style w:type="paragraph" w:styleId="Textonotapie">
    <w:name w:val="footnote text"/>
    <w:basedOn w:val="Normal"/>
    <w:link w:val="TextonotapieCar"/>
    <w:uiPriority w:val="99"/>
    <w:unhideWhenUsed/>
    <w:rsid w:val="00E158BB"/>
    <w:pPr>
      <w:spacing w:after="0" w:line="240" w:lineRule="auto"/>
    </w:pPr>
    <w:rPr>
      <w:sz w:val="20"/>
      <w:szCs w:val="20"/>
    </w:rPr>
  </w:style>
  <w:style w:type="character" w:customStyle="1" w:styleId="TextonotapieCar">
    <w:name w:val="Texto nota pie Car"/>
    <w:link w:val="Textonotapie"/>
    <w:uiPriority w:val="99"/>
    <w:rsid w:val="00E158BB"/>
    <w:rPr>
      <w:rFonts w:ascii="Calibri" w:eastAsia="Calibri" w:hAnsi="Calibri" w:cs="Times New Roman"/>
      <w:sz w:val="20"/>
      <w:szCs w:val="20"/>
    </w:rPr>
  </w:style>
  <w:style w:type="character" w:styleId="Nmerodepgina">
    <w:name w:val="page number"/>
    <w:rsid w:val="00E158BB"/>
  </w:style>
  <w:style w:type="paragraph" w:styleId="Piedepgina">
    <w:name w:val="footer"/>
    <w:basedOn w:val="Normal"/>
    <w:link w:val="PiedepginaCar"/>
    <w:rsid w:val="00E158BB"/>
    <w:pPr>
      <w:tabs>
        <w:tab w:val="center" w:pos="4252"/>
        <w:tab w:val="right" w:pos="8504"/>
      </w:tabs>
      <w:spacing w:after="0" w:line="240" w:lineRule="auto"/>
    </w:pPr>
    <w:rPr>
      <w:rFonts w:ascii="Arial" w:eastAsia="Times New Roman" w:hAnsi="Arial" w:cs="Arial"/>
      <w:color w:val="000000"/>
      <w:lang w:eastAsia="es-ES"/>
    </w:rPr>
  </w:style>
  <w:style w:type="character" w:customStyle="1" w:styleId="PiedepginaCar">
    <w:name w:val="Pie de página Car"/>
    <w:link w:val="Piedepgina"/>
    <w:rsid w:val="00E158BB"/>
    <w:rPr>
      <w:rFonts w:ascii="Arial" w:eastAsia="Times New Roman" w:hAnsi="Arial" w:cs="Arial"/>
      <w:color w:val="000000"/>
      <w:lang w:eastAsia="es-ES"/>
    </w:rPr>
  </w:style>
  <w:style w:type="character" w:styleId="Refdenotaalpie">
    <w:name w:val="footnote reference"/>
    <w:semiHidden/>
    <w:rsid w:val="00E158BB"/>
    <w:rPr>
      <w:vertAlign w:val="superscript"/>
    </w:rPr>
  </w:style>
  <w:style w:type="paragraph" w:styleId="Textodeglobo">
    <w:name w:val="Balloon Text"/>
    <w:basedOn w:val="Normal"/>
    <w:link w:val="TextodegloboCar"/>
    <w:uiPriority w:val="99"/>
    <w:semiHidden/>
    <w:unhideWhenUsed/>
    <w:rsid w:val="00071A5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71A5F"/>
    <w:rPr>
      <w:rFonts w:ascii="Segoe UI" w:hAnsi="Segoe UI" w:cs="Segoe UI"/>
      <w:sz w:val="18"/>
      <w:szCs w:val="18"/>
      <w:lang w:val="es-ES" w:eastAsia="en-US"/>
    </w:rPr>
  </w:style>
  <w:style w:type="paragraph" w:styleId="Prrafodelista">
    <w:name w:val="List Paragraph"/>
    <w:basedOn w:val="Normal"/>
    <w:uiPriority w:val="34"/>
    <w:qFormat/>
    <w:rsid w:val="00C2135B"/>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cs="Times New Roman"/>
      <w:lang w:val="es-ES" w:eastAsia="en-U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8A3B71"/>
    <w:rPr>
      <w:b/>
      <w:bCs/>
    </w:rPr>
  </w:style>
  <w:style w:type="character" w:customStyle="1" w:styleId="AsuntodelcomentarioCar">
    <w:name w:val="Asunto del comentario Car"/>
    <w:basedOn w:val="TextocomentarioCar"/>
    <w:link w:val="Asuntodelcomentario"/>
    <w:uiPriority w:val="99"/>
    <w:semiHidden/>
    <w:rsid w:val="008A3B71"/>
    <w:rPr>
      <w:rFonts w:cs="Times New Roman"/>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20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7D88F860BA6F644A3C5B6863981EF44" ma:contentTypeVersion="2" ma:contentTypeDescription="Crear nuevo documento." ma:contentTypeScope="" ma:versionID="e9666c176048f2d691f7cdea6e5a9591">
  <xsd:schema xmlns:xsd="http://www.w3.org/2001/XMLSchema" xmlns:xs="http://www.w3.org/2001/XMLSchema" xmlns:p="http://schemas.microsoft.com/office/2006/metadata/properties" xmlns:ns2="b71082db-7a97-41b5-86a0-bd07b965da7d" targetNamespace="http://schemas.microsoft.com/office/2006/metadata/properties" ma:root="true" ma:fieldsID="530517c58ec82a6c155310c24e68c54d" ns2:_="">
    <xsd:import namespace="b71082db-7a97-41b5-86a0-bd07b965da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082db-7a97-41b5-86a0-bd07b965d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FAB15-BFCD-43C8-8811-576DFF73F0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EE55CA-A647-475A-8CFF-FB98A09AAA9A}">
  <ds:schemaRefs>
    <ds:schemaRef ds:uri="http://schemas.microsoft.com/sharepoint/v3/contenttype/forms"/>
  </ds:schemaRefs>
</ds:datastoreItem>
</file>

<file path=customXml/itemProps3.xml><?xml version="1.0" encoding="utf-8"?>
<ds:datastoreItem xmlns:ds="http://schemas.openxmlformats.org/officeDocument/2006/customXml" ds:itemID="{5AC1A5A8-613C-414B-BA85-B284F2B50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082db-7a97-41b5-86a0-bd07b965d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4A2FBE-B0E9-4643-AAC3-C81D136F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864</Words>
  <Characters>4758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 9</dc:creator>
  <cp:keywords/>
  <dc:description/>
  <cp:lastModifiedBy>Hermides Alonso Gaviria Ocampo</cp:lastModifiedBy>
  <cp:revision>7</cp:revision>
  <cp:lastPrinted>2019-03-14T18:10:00Z</cp:lastPrinted>
  <dcterms:created xsi:type="dcterms:W3CDTF">2022-06-10T14:56:00Z</dcterms:created>
  <dcterms:modified xsi:type="dcterms:W3CDTF">2022-10-24T16:31:00Z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0x01010027D88F860BA6F644A3C5B6863981EF44</vt:lpwstr>
  </property>
  <property fmtid="{D5CDD505-2E9C-101B-9397-08002B2CF9AE}" pid="3" name="MediaServiceImageTags">
    <vt:lpwstr/>
  </property>
</Properties>
</file>