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C1DB" w14:textId="77777777" w:rsidR="007C0C88" w:rsidRPr="007C0C88" w:rsidRDefault="007C0C88" w:rsidP="007C0C8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bookmarkStart w:id="0" w:name="_Hlk76320119"/>
      <w:bookmarkStart w:id="1" w:name="_Hlk94773787"/>
      <w:r w:rsidRPr="007C0C8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07EE0F9" w14:textId="77777777" w:rsidR="007C0C88" w:rsidRPr="007C0C88" w:rsidRDefault="007C0C88" w:rsidP="007C0C88">
      <w:pPr>
        <w:overflowPunct/>
        <w:autoSpaceDE/>
        <w:autoSpaceDN/>
        <w:adjustRightInd/>
        <w:jc w:val="both"/>
        <w:textAlignment w:val="auto"/>
        <w:rPr>
          <w:rFonts w:ascii="Arial" w:hAnsi="Arial" w:cs="Arial"/>
          <w:lang w:val="es-419"/>
        </w:rPr>
      </w:pPr>
    </w:p>
    <w:p w14:paraId="730F982C" w14:textId="2B12F41D" w:rsidR="007C0C88" w:rsidRPr="007C0C88" w:rsidRDefault="00B934DD" w:rsidP="007C0C88">
      <w:pPr>
        <w:overflowPunct/>
        <w:autoSpaceDE/>
        <w:autoSpaceDN/>
        <w:adjustRightInd/>
        <w:jc w:val="both"/>
        <w:textAlignment w:val="auto"/>
        <w:rPr>
          <w:rFonts w:ascii="Arial" w:hAnsi="Arial" w:cs="Arial"/>
          <w:b/>
          <w:bCs/>
          <w:iCs/>
          <w:lang w:val="es-419" w:eastAsia="fr-FR"/>
        </w:rPr>
      </w:pPr>
      <w:r w:rsidRPr="007C0C88">
        <w:rPr>
          <w:rFonts w:ascii="Arial" w:hAnsi="Arial" w:cs="Arial"/>
          <w:b/>
          <w:bCs/>
          <w:iCs/>
          <w:u w:val="single"/>
          <w:lang w:val="es-419" w:eastAsia="fr-FR"/>
        </w:rPr>
        <w:t>TEMAS:</w:t>
      </w:r>
      <w:r w:rsidRPr="007C0C88">
        <w:rPr>
          <w:rFonts w:ascii="Arial" w:hAnsi="Arial" w:cs="Arial"/>
          <w:b/>
          <w:bCs/>
          <w:iCs/>
          <w:lang w:val="es-419" w:eastAsia="fr-FR"/>
        </w:rPr>
        <w:tab/>
      </w:r>
      <w:r>
        <w:rPr>
          <w:rFonts w:ascii="Arial" w:hAnsi="Arial" w:cs="Arial"/>
          <w:b/>
          <w:bCs/>
          <w:iCs/>
          <w:lang w:val="es-419" w:eastAsia="fr-FR"/>
        </w:rPr>
        <w:t>VIVIENDA DIGNA / DEBIDO PROCESO / DESALOJO POR DESASTRE NATURAL / DEBERES DE LAS AUTORIDADES MUNICIPALES / PROTEGER LOS DERECHOS DE LOS AFECTADOS / DISPONER MEDIDAS PARA GARANTIZAR DERECHO A LA VIVIENDA / ACTOS ADMINISTRATIVOS DEBIDAMENTE MOTIVADOS.</w:t>
      </w:r>
    </w:p>
    <w:p w14:paraId="384DC4F3" w14:textId="77777777" w:rsidR="007C0C88" w:rsidRPr="007C0C88" w:rsidRDefault="007C0C88" w:rsidP="007C0C88">
      <w:pPr>
        <w:overflowPunct/>
        <w:autoSpaceDE/>
        <w:autoSpaceDN/>
        <w:adjustRightInd/>
        <w:jc w:val="both"/>
        <w:textAlignment w:val="auto"/>
        <w:rPr>
          <w:rFonts w:ascii="Arial" w:hAnsi="Arial" w:cs="Arial"/>
          <w:lang w:val="es-419"/>
        </w:rPr>
      </w:pPr>
    </w:p>
    <w:p w14:paraId="1A896696" w14:textId="790CFF24" w:rsidR="007C0C88" w:rsidRPr="007C0C88" w:rsidRDefault="005E0710" w:rsidP="007C0C88">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E0710">
        <w:rPr>
          <w:rFonts w:ascii="Arial" w:hAnsi="Arial" w:cs="Arial"/>
          <w:lang w:val="es-419"/>
        </w:rPr>
        <w:t>sobre los derechos fundamentales al debido proceso, la vivienda digna, y el principio de confianza legítima, la Sala presenta los siguientes breves extractos jurisprudenciales que guían la decisión</w:t>
      </w:r>
      <w:r>
        <w:rPr>
          <w:rFonts w:ascii="Arial" w:hAnsi="Arial" w:cs="Arial"/>
          <w:lang w:val="es-419"/>
        </w:rPr>
        <w:t>…</w:t>
      </w:r>
    </w:p>
    <w:p w14:paraId="243146D6" w14:textId="77777777" w:rsidR="007C0C88" w:rsidRPr="007C0C88" w:rsidRDefault="007C0C88" w:rsidP="007C0C88">
      <w:pPr>
        <w:overflowPunct/>
        <w:autoSpaceDE/>
        <w:autoSpaceDN/>
        <w:adjustRightInd/>
        <w:jc w:val="both"/>
        <w:textAlignment w:val="auto"/>
        <w:rPr>
          <w:rFonts w:ascii="Arial" w:hAnsi="Arial" w:cs="Arial"/>
          <w:lang w:val="es-419"/>
        </w:rPr>
      </w:pPr>
    </w:p>
    <w:p w14:paraId="11773804" w14:textId="25DACEF0" w:rsidR="007C0C88" w:rsidRPr="007C0C88" w:rsidRDefault="009E02DB" w:rsidP="007C0C88">
      <w:pPr>
        <w:overflowPunct/>
        <w:autoSpaceDE/>
        <w:autoSpaceDN/>
        <w:adjustRightInd/>
        <w:jc w:val="both"/>
        <w:textAlignment w:val="auto"/>
        <w:rPr>
          <w:rFonts w:ascii="Arial" w:hAnsi="Arial" w:cs="Arial"/>
          <w:lang w:val="es-419"/>
        </w:rPr>
      </w:pPr>
      <w:r w:rsidRPr="009E02DB">
        <w:rPr>
          <w:rFonts w:ascii="Arial" w:hAnsi="Arial" w:cs="Arial"/>
          <w:lang w:val="es-419"/>
        </w:rPr>
        <w:t>“(…) las autoridades encargadas de dar aplicación a las políticas de preservación del interés general, deben velar por minimizar el detrimento que eventualmente se cause a las personas afectadas con las órdenes de desalojo, para lo cual se desarrollarán programas especiales de atención a la población que sufra desplazamiento masivo, pobreza o indigencia, entre otros factores</w:t>
      </w:r>
      <w:r>
        <w:rPr>
          <w:rFonts w:ascii="Arial" w:hAnsi="Arial" w:cs="Arial"/>
          <w:lang w:val="es-419"/>
        </w:rPr>
        <w:t>…”</w:t>
      </w:r>
    </w:p>
    <w:p w14:paraId="25ACB4BE" w14:textId="77777777" w:rsidR="007C0C88" w:rsidRPr="007C0C88" w:rsidRDefault="007C0C88" w:rsidP="007C0C88">
      <w:pPr>
        <w:overflowPunct/>
        <w:autoSpaceDE/>
        <w:autoSpaceDN/>
        <w:adjustRightInd/>
        <w:jc w:val="both"/>
        <w:textAlignment w:val="auto"/>
        <w:rPr>
          <w:rFonts w:ascii="Arial" w:hAnsi="Arial" w:cs="Arial"/>
          <w:lang w:val="es-419"/>
        </w:rPr>
      </w:pPr>
    </w:p>
    <w:p w14:paraId="6FDC7AF5" w14:textId="71A17E20" w:rsidR="009E02DB" w:rsidRPr="009E02DB" w:rsidRDefault="009E02DB" w:rsidP="009E02DB">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9E02DB">
        <w:rPr>
          <w:rFonts w:ascii="Arial" w:hAnsi="Arial" w:cs="Arial"/>
          <w:lang w:val="es-419"/>
        </w:rPr>
        <w:t xml:space="preserve">más recientemente, específicamente en relación con el derecho al debido proceso y a la garantía a la vivienda digna que deben regir los procedimientos de desocupación puntualizó:  </w:t>
      </w:r>
    </w:p>
    <w:p w14:paraId="7865E96F" w14:textId="77777777" w:rsidR="009E02DB" w:rsidRPr="009E02DB" w:rsidRDefault="009E02DB" w:rsidP="009E02DB">
      <w:pPr>
        <w:overflowPunct/>
        <w:autoSpaceDE/>
        <w:autoSpaceDN/>
        <w:adjustRightInd/>
        <w:jc w:val="both"/>
        <w:textAlignment w:val="auto"/>
        <w:rPr>
          <w:rFonts w:ascii="Arial" w:hAnsi="Arial" w:cs="Arial"/>
          <w:lang w:val="es-419"/>
        </w:rPr>
      </w:pPr>
    </w:p>
    <w:p w14:paraId="6D9E94D8" w14:textId="35EF2987" w:rsidR="007C0C88" w:rsidRPr="007C0C88" w:rsidRDefault="009E02DB" w:rsidP="009E02DB">
      <w:pPr>
        <w:overflowPunct/>
        <w:autoSpaceDE/>
        <w:autoSpaceDN/>
        <w:adjustRightInd/>
        <w:jc w:val="both"/>
        <w:textAlignment w:val="auto"/>
        <w:rPr>
          <w:rFonts w:ascii="Arial" w:hAnsi="Arial" w:cs="Arial"/>
          <w:lang w:val="es-419"/>
        </w:rPr>
      </w:pPr>
      <w:r>
        <w:rPr>
          <w:rFonts w:ascii="Arial" w:hAnsi="Arial" w:cs="Arial"/>
          <w:lang w:val="es-419"/>
        </w:rPr>
        <w:t>“</w:t>
      </w:r>
      <w:r w:rsidRPr="009E02DB">
        <w:rPr>
          <w:rFonts w:ascii="Arial" w:hAnsi="Arial" w:cs="Arial"/>
          <w:lang w:val="es-419"/>
        </w:rPr>
        <w:t>Por su parte, las decisiones que tome la administración en el marco de las actuaciones administrativas deben estar consignadas en actos administrativos debidamente motivados</w:t>
      </w:r>
      <w:r>
        <w:rPr>
          <w:rFonts w:ascii="Arial" w:hAnsi="Arial" w:cs="Arial"/>
          <w:lang w:val="es-419"/>
        </w:rPr>
        <w:t>…”</w:t>
      </w:r>
    </w:p>
    <w:p w14:paraId="77C108AB" w14:textId="77777777" w:rsidR="007C0C88" w:rsidRPr="007C0C88" w:rsidRDefault="007C0C88" w:rsidP="007C0C88">
      <w:pPr>
        <w:overflowPunct/>
        <w:autoSpaceDE/>
        <w:autoSpaceDN/>
        <w:adjustRightInd/>
        <w:jc w:val="both"/>
        <w:textAlignment w:val="auto"/>
        <w:rPr>
          <w:rFonts w:ascii="Arial" w:hAnsi="Arial" w:cs="Arial"/>
        </w:rPr>
      </w:pPr>
    </w:p>
    <w:p w14:paraId="43767F08" w14:textId="045EC72B" w:rsidR="007C0C88" w:rsidRPr="007C0C88" w:rsidRDefault="00804F8E" w:rsidP="007C0C88">
      <w:pPr>
        <w:overflowPunct/>
        <w:autoSpaceDE/>
        <w:autoSpaceDN/>
        <w:adjustRightInd/>
        <w:jc w:val="both"/>
        <w:textAlignment w:val="auto"/>
        <w:rPr>
          <w:rFonts w:ascii="Arial" w:hAnsi="Arial" w:cs="Arial"/>
        </w:rPr>
      </w:pPr>
      <w:r>
        <w:rPr>
          <w:rFonts w:ascii="Arial" w:hAnsi="Arial" w:cs="Arial"/>
        </w:rPr>
        <w:t xml:space="preserve">… </w:t>
      </w:r>
      <w:r w:rsidRPr="00804F8E">
        <w:rPr>
          <w:rFonts w:ascii="Arial" w:hAnsi="Arial" w:cs="Arial"/>
        </w:rPr>
        <w:t>se expidió el Decreto 841 del 24 de junio de 2022, mediante el cual la Alcaldía de Pereira ordenó “(…) la medida de DESOCUPACIÓN de los inmuebles ubicados en la Avenida del Rio#34 A-76 hasta la #33 A-76 margen del rio Otún, con el fin de proteger a las personas residentes la comuna del Río Otún en el municipio de Pereira y evitar perjuicios anteriores</w:t>
      </w:r>
      <w:r>
        <w:rPr>
          <w:rFonts w:ascii="Arial" w:hAnsi="Arial" w:cs="Arial"/>
        </w:rPr>
        <w:t>…”</w:t>
      </w:r>
    </w:p>
    <w:p w14:paraId="33F439F0" w14:textId="430B79B0" w:rsidR="007C0C88" w:rsidRDefault="007C0C88" w:rsidP="007C0C88">
      <w:pPr>
        <w:overflowPunct/>
        <w:autoSpaceDE/>
        <w:autoSpaceDN/>
        <w:adjustRightInd/>
        <w:jc w:val="both"/>
        <w:textAlignment w:val="auto"/>
        <w:rPr>
          <w:rFonts w:ascii="Arial" w:hAnsi="Arial" w:cs="Arial"/>
        </w:rPr>
      </w:pPr>
    </w:p>
    <w:p w14:paraId="2A483034" w14:textId="397A5C1B" w:rsidR="00804F8E" w:rsidRDefault="00804F8E" w:rsidP="007C0C88">
      <w:pPr>
        <w:overflowPunct/>
        <w:autoSpaceDE/>
        <w:autoSpaceDN/>
        <w:adjustRightInd/>
        <w:jc w:val="both"/>
        <w:textAlignment w:val="auto"/>
        <w:rPr>
          <w:rFonts w:ascii="Arial" w:hAnsi="Arial" w:cs="Arial"/>
        </w:rPr>
      </w:pPr>
      <w:r w:rsidRPr="00804F8E">
        <w:rPr>
          <w:rFonts w:ascii="Arial" w:hAnsi="Arial" w:cs="Arial"/>
        </w:rPr>
        <w:t>Sin embargo, no quedó establecido nada relacionado con el acceso a una vivienda definitiva para los afectados en caso de que no puedan volver a sus residencias, ni nada respecto al posible retorno a sus hogares si eventualmente cesa la amenaza de desastre natural</w:t>
      </w:r>
      <w:r>
        <w:rPr>
          <w:rFonts w:ascii="Arial" w:hAnsi="Arial" w:cs="Arial"/>
        </w:rPr>
        <w:t>.</w:t>
      </w:r>
    </w:p>
    <w:p w14:paraId="12648C2D" w14:textId="6CF54244" w:rsidR="00804F8E" w:rsidRDefault="00804F8E" w:rsidP="007C0C88">
      <w:pPr>
        <w:overflowPunct/>
        <w:autoSpaceDE/>
        <w:autoSpaceDN/>
        <w:adjustRightInd/>
        <w:jc w:val="both"/>
        <w:textAlignment w:val="auto"/>
        <w:rPr>
          <w:rFonts w:ascii="Arial" w:hAnsi="Arial" w:cs="Arial"/>
        </w:rPr>
      </w:pPr>
    </w:p>
    <w:p w14:paraId="4D06DFA1" w14:textId="212D1B23" w:rsidR="00693789" w:rsidRPr="00693789" w:rsidRDefault="00084E97" w:rsidP="00693789">
      <w:pPr>
        <w:overflowPunct/>
        <w:autoSpaceDE/>
        <w:autoSpaceDN/>
        <w:adjustRightInd/>
        <w:jc w:val="both"/>
        <w:textAlignment w:val="auto"/>
        <w:rPr>
          <w:rFonts w:ascii="Arial" w:hAnsi="Arial" w:cs="Arial"/>
        </w:rPr>
      </w:pPr>
      <w:r>
        <w:rPr>
          <w:rFonts w:ascii="Arial" w:hAnsi="Arial" w:cs="Arial"/>
        </w:rPr>
        <w:t>…</w:t>
      </w:r>
      <w:r w:rsidR="00693789" w:rsidRPr="00693789">
        <w:rPr>
          <w:rFonts w:ascii="Arial" w:hAnsi="Arial" w:cs="Arial"/>
        </w:rPr>
        <w:t xml:space="preserve"> era indispensable que el alcalde hiciera uso de sus facultades legales y de policía para propiciar con prontitud la desocupación, pero innegable también que era forzoso que estableciera, con total precisión, cuáles iban a ser las medidas transitorias y definitivas que se tomarían para garantizar el derecho a la vivienda de quienes, con el aval del Estado, han tenido su residencia en ese lugar, y ahora, de manera intempestiva, son obligados a abandonarlo.  </w:t>
      </w:r>
    </w:p>
    <w:p w14:paraId="1BBDF2C4" w14:textId="77777777" w:rsidR="00693789" w:rsidRPr="00693789" w:rsidRDefault="00693789" w:rsidP="00693789">
      <w:pPr>
        <w:overflowPunct/>
        <w:autoSpaceDE/>
        <w:autoSpaceDN/>
        <w:adjustRightInd/>
        <w:jc w:val="both"/>
        <w:textAlignment w:val="auto"/>
        <w:rPr>
          <w:rFonts w:ascii="Arial" w:hAnsi="Arial" w:cs="Arial"/>
        </w:rPr>
      </w:pPr>
    </w:p>
    <w:p w14:paraId="17FC25D0" w14:textId="2FBD9A74" w:rsidR="00804F8E" w:rsidRDefault="00693789" w:rsidP="00693789">
      <w:pPr>
        <w:overflowPunct/>
        <w:autoSpaceDE/>
        <w:autoSpaceDN/>
        <w:adjustRightInd/>
        <w:jc w:val="both"/>
        <w:textAlignment w:val="auto"/>
        <w:rPr>
          <w:rFonts w:ascii="Arial" w:hAnsi="Arial" w:cs="Arial"/>
        </w:rPr>
      </w:pPr>
      <w:r w:rsidRPr="00693789">
        <w:rPr>
          <w:rFonts w:ascii="Arial" w:hAnsi="Arial" w:cs="Arial"/>
        </w:rPr>
        <w:t>En suma, la última omisión que acaba de apuntarse si trastoca las garantías fundamentales de los accionantes</w:t>
      </w:r>
      <w:r w:rsidR="00084E97" w:rsidRPr="00084E97">
        <w:rPr>
          <w:rFonts w:ascii="Arial" w:hAnsi="Arial" w:cs="Arial"/>
        </w:rPr>
        <w:t>, y es menester la intervención del juez constitucional para impartir los correctivos de rigor.</w:t>
      </w:r>
    </w:p>
    <w:p w14:paraId="7C09C936" w14:textId="49CAFBB1" w:rsidR="00804F8E" w:rsidRDefault="00804F8E" w:rsidP="007C0C88">
      <w:pPr>
        <w:overflowPunct/>
        <w:autoSpaceDE/>
        <w:autoSpaceDN/>
        <w:adjustRightInd/>
        <w:jc w:val="both"/>
        <w:textAlignment w:val="auto"/>
        <w:rPr>
          <w:rFonts w:ascii="Arial" w:hAnsi="Arial" w:cs="Arial"/>
        </w:rPr>
      </w:pPr>
    </w:p>
    <w:p w14:paraId="4E0D6A05" w14:textId="77777777" w:rsidR="00804F8E" w:rsidRPr="007C0C88" w:rsidRDefault="00804F8E" w:rsidP="007C0C88">
      <w:pPr>
        <w:overflowPunct/>
        <w:autoSpaceDE/>
        <w:autoSpaceDN/>
        <w:adjustRightInd/>
        <w:jc w:val="both"/>
        <w:textAlignment w:val="auto"/>
        <w:rPr>
          <w:rFonts w:ascii="Arial" w:hAnsi="Arial" w:cs="Arial"/>
        </w:rPr>
      </w:pPr>
    </w:p>
    <w:bookmarkEnd w:id="0"/>
    <w:p w14:paraId="3B5F7279" w14:textId="77777777" w:rsidR="007C0C88" w:rsidRPr="007C0C88" w:rsidRDefault="007C0C88" w:rsidP="007C0C88">
      <w:pPr>
        <w:overflowPunct/>
        <w:autoSpaceDE/>
        <w:autoSpaceDN/>
        <w:adjustRightInd/>
        <w:jc w:val="both"/>
        <w:textAlignment w:val="auto"/>
        <w:rPr>
          <w:rFonts w:ascii="Arial" w:hAnsi="Arial" w:cs="Arial"/>
        </w:rPr>
      </w:pPr>
    </w:p>
    <w:bookmarkEnd w:id="1"/>
    <w:p w14:paraId="182D8CCD" w14:textId="0B0CB5CC" w:rsidR="008E5781" w:rsidRPr="007C0C88" w:rsidRDefault="008E5781" w:rsidP="007C0C88">
      <w:pPr>
        <w:keepNext/>
        <w:overflowPunct/>
        <w:spacing w:line="276" w:lineRule="auto"/>
        <w:ind w:firstLine="1701"/>
        <w:jc w:val="both"/>
        <w:textAlignment w:val="auto"/>
        <w:rPr>
          <w:rFonts w:ascii="Gadugi" w:hAnsi="Gadugi"/>
          <w:b/>
          <w:sz w:val="24"/>
          <w:szCs w:val="24"/>
        </w:rPr>
      </w:pPr>
      <w:r w:rsidRPr="007C0C88">
        <w:rPr>
          <w:rFonts w:ascii="Gadugi" w:hAnsi="Gadugi"/>
          <w:b/>
          <w:sz w:val="24"/>
          <w:szCs w:val="24"/>
        </w:rPr>
        <w:t xml:space="preserve">TRIBUNAL SUPERIOR DEL DISTRITO JUDICIAL </w:t>
      </w:r>
    </w:p>
    <w:p w14:paraId="267F5D28" w14:textId="41B01969" w:rsidR="008E5781" w:rsidRPr="007C0C88" w:rsidRDefault="008E5781" w:rsidP="007C0C88">
      <w:pPr>
        <w:pStyle w:val="Ttulo1"/>
        <w:spacing w:line="276" w:lineRule="auto"/>
        <w:ind w:firstLine="0"/>
        <w:rPr>
          <w:rFonts w:ascii="Gadugi" w:hAnsi="Gadugi"/>
          <w:szCs w:val="24"/>
        </w:rPr>
      </w:pPr>
      <w:r w:rsidRPr="007C0C88">
        <w:rPr>
          <w:rFonts w:ascii="Gadugi" w:hAnsi="Gadugi"/>
          <w:szCs w:val="24"/>
        </w:rPr>
        <w:t xml:space="preserve">   </w:t>
      </w:r>
      <w:r w:rsidR="005A6DF3" w:rsidRPr="007C0C88">
        <w:rPr>
          <w:rFonts w:ascii="Gadugi" w:hAnsi="Gadugi"/>
          <w:szCs w:val="24"/>
          <w:lang w:val="es-419"/>
        </w:rPr>
        <w:t xml:space="preserve"> </w:t>
      </w:r>
      <w:r w:rsidR="004A0CE9" w:rsidRPr="007C0C88">
        <w:rPr>
          <w:rFonts w:ascii="Gadugi" w:hAnsi="Gadugi"/>
          <w:szCs w:val="24"/>
          <w:lang w:val="es-419"/>
        </w:rPr>
        <w:t xml:space="preserve"> </w:t>
      </w:r>
      <w:r w:rsidRPr="007C0C88">
        <w:rPr>
          <w:rFonts w:ascii="Gadugi" w:hAnsi="Gadugi"/>
          <w:szCs w:val="24"/>
        </w:rPr>
        <w:t xml:space="preserve">SALA DE DECISIÓN CIVIL FAMILIA </w:t>
      </w:r>
    </w:p>
    <w:p w14:paraId="7F258259" w14:textId="77777777" w:rsidR="008E5781" w:rsidRPr="007C0C88" w:rsidRDefault="008E5781" w:rsidP="007C0C88">
      <w:pPr>
        <w:spacing w:line="276" w:lineRule="auto"/>
        <w:ind w:firstLine="1701"/>
        <w:rPr>
          <w:rFonts w:ascii="Gadugi" w:hAnsi="Gadugi"/>
          <w:sz w:val="24"/>
          <w:szCs w:val="24"/>
        </w:rPr>
      </w:pPr>
    </w:p>
    <w:p w14:paraId="5D0680B9" w14:textId="77777777" w:rsidR="00735E35" w:rsidRPr="007C0C88" w:rsidRDefault="00735E35" w:rsidP="007C0C88">
      <w:pPr>
        <w:spacing w:line="276" w:lineRule="auto"/>
        <w:ind w:firstLine="1701"/>
        <w:rPr>
          <w:rFonts w:ascii="Gadugi" w:hAnsi="Gadugi"/>
          <w:sz w:val="24"/>
          <w:szCs w:val="24"/>
        </w:rPr>
      </w:pPr>
      <w:bookmarkStart w:id="2" w:name="_GoBack"/>
      <w:bookmarkEnd w:id="2"/>
    </w:p>
    <w:p w14:paraId="5D8524BA" w14:textId="77777777" w:rsidR="008E5781" w:rsidRPr="007C0C88" w:rsidRDefault="008E5781" w:rsidP="007C0C88">
      <w:pPr>
        <w:spacing w:line="276" w:lineRule="auto"/>
        <w:ind w:firstLine="1701"/>
        <w:rPr>
          <w:rFonts w:ascii="Gadugi" w:hAnsi="Gadugi"/>
          <w:sz w:val="24"/>
          <w:szCs w:val="24"/>
        </w:rPr>
      </w:pPr>
      <w:r w:rsidRPr="007C0C88">
        <w:rPr>
          <w:rFonts w:ascii="Gadugi" w:hAnsi="Gadugi"/>
          <w:sz w:val="24"/>
          <w:szCs w:val="24"/>
        </w:rPr>
        <w:t>Magistrado: Jaime Alberto Saraza Naranjo</w:t>
      </w:r>
    </w:p>
    <w:p w14:paraId="57DEE682" w14:textId="6E93C621" w:rsidR="008E5781" w:rsidRPr="007C0C88" w:rsidRDefault="008E5781" w:rsidP="007C0C88">
      <w:pPr>
        <w:spacing w:line="276" w:lineRule="auto"/>
        <w:ind w:firstLine="1701"/>
        <w:rPr>
          <w:rFonts w:ascii="Gadugi" w:hAnsi="Gadugi"/>
          <w:sz w:val="24"/>
          <w:szCs w:val="24"/>
          <w:lang w:val="es-419"/>
        </w:rPr>
      </w:pPr>
      <w:r w:rsidRPr="007C0C88">
        <w:rPr>
          <w:rFonts w:ascii="Gadugi" w:hAnsi="Gadugi"/>
          <w:sz w:val="24"/>
          <w:szCs w:val="24"/>
        </w:rPr>
        <w:t>Pereira,</w:t>
      </w:r>
      <w:r w:rsidR="00747909" w:rsidRPr="007C0C88">
        <w:rPr>
          <w:rFonts w:ascii="Gadugi" w:hAnsi="Gadugi"/>
          <w:sz w:val="24"/>
          <w:szCs w:val="24"/>
        </w:rPr>
        <w:t xml:space="preserve"> </w:t>
      </w:r>
      <w:r w:rsidR="00524265" w:rsidRPr="007C0C88">
        <w:rPr>
          <w:rFonts w:ascii="Gadugi" w:hAnsi="Gadugi"/>
          <w:sz w:val="24"/>
          <w:szCs w:val="24"/>
        </w:rPr>
        <w:t>agosto veinticinco de dos mil veintidós</w:t>
      </w:r>
      <w:r w:rsidR="008D242B" w:rsidRPr="007C0C88">
        <w:rPr>
          <w:rFonts w:ascii="Gadugi" w:hAnsi="Gadugi"/>
          <w:sz w:val="24"/>
          <w:szCs w:val="24"/>
        </w:rPr>
        <w:t xml:space="preserve"> </w:t>
      </w:r>
      <w:r w:rsidRPr="007C0C88">
        <w:rPr>
          <w:rFonts w:ascii="Gadugi" w:hAnsi="Gadugi"/>
          <w:sz w:val="24"/>
          <w:szCs w:val="24"/>
        </w:rPr>
        <w:t xml:space="preserve"> </w:t>
      </w:r>
      <w:r w:rsidR="005315B3" w:rsidRPr="007C0C88">
        <w:rPr>
          <w:rFonts w:ascii="Gadugi" w:hAnsi="Gadugi"/>
          <w:sz w:val="24"/>
          <w:szCs w:val="24"/>
        </w:rPr>
        <w:t xml:space="preserve"> </w:t>
      </w:r>
      <w:r w:rsidR="0097147D" w:rsidRPr="007C0C88">
        <w:rPr>
          <w:rFonts w:ascii="Gadugi" w:hAnsi="Gadugi"/>
          <w:sz w:val="24"/>
          <w:szCs w:val="24"/>
        </w:rPr>
        <w:t xml:space="preserve"> </w:t>
      </w:r>
      <w:r w:rsidR="00375C63" w:rsidRPr="007C0C88">
        <w:rPr>
          <w:rFonts w:ascii="Gadugi" w:hAnsi="Gadugi"/>
          <w:sz w:val="24"/>
          <w:szCs w:val="24"/>
        </w:rPr>
        <w:t xml:space="preserve"> </w:t>
      </w:r>
    </w:p>
    <w:p w14:paraId="1D3DFB7F" w14:textId="3BBB03C7" w:rsidR="008E5781" w:rsidRPr="007C0C88" w:rsidRDefault="007F305F" w:rsidP="007C0C88">
      <w:pPr>
        <w:pStyle w:val="Encabezado"/>
        <w:tabs>
          <w:tab w:val="clear" w:pos="4419"/>
          <w:tab w:val="clear" w:pos="8838"/>
        </w:tabs>
        <w:spacing w:line="276" w:lineRule="auto"/>
        <w:ind w:firstLine="1701"/>
        <w:rPr>
          <w:rFonts w:ascii="Gadugi" w:hAnsi="Gadugi"/>
          <w:sz w:val="24"/>
          <w:szCs w:val="24"/>
        </w:rPr>
      </w:pPr>
      <w:r w:rsidRPr="007C0C88">
        <w:rPr>
          <w:rFonts w:ascii="Gadugi" w:hAnsi="Gadugi"/>
          <w:sz w:val="24"/>
          <w:szCs w:val="24"/>
        </w:rPr>
        <w:t>Expediente</w:t>
      </w:r>
      <w:r w:rsidR="003745EA" w:rsidRPr="007C0C88">
        <w:rPr>
          <w:rFonts w:ascii="Gadugi" w:hAnsi="Gadugi"/>
          <w:sz w:val="24"/>
          <w:szCs w:val="24"/>
        </w:rPr>
        <w:t>s</w:t>
      </w:r>
      <w:r w:rsidR="005315B3" w:rsidRPr="007C0C88">
        <w:rPr>
          <w:rFonts w:ascii="Gadugi" w:hAnsi="Gadugi"/>
          <w:sz w:val="24"/>
          <w:szCs w:val="24"/>
        </w:rPr>
        <w:t xml:space="preserve">: </w:t>
      </w:r>
      <w:r w:rsidR="003745EA" w:rsidRPr="007C0C88">
        <w:rPr>
          <w:rFonts w:ascii="Gadugi" w:hAnsi="Gadugi"/>
          <w:sz w:val="24"/>
          <w:szCs w:val="24"/>
        </w:rPr>
        <w:t>66001310300320220025701</w:t>
      </w:r>
    </w:p>
    <w:p w14:paraId="5C2A289F" w14:textId="3C366412" w:rsidR="003745EA" w:rsidRPr="007C0C88" w:rsidRDefault="003745EA" w:rsidP="007C0C88">
      <w:pPr>
        <w:pStyle w:val="Encabezado"/>
        <w:tabs>
          <w:tab w:val="clear" w:pos="4419"/>
          <w:tab w:val="clear" w:pos="8838"/>
        </w:tabs>
        <w:spacing w:line="276" w:lineRule="auto"/>
        <w:ind w:firstLine="1701"/>
        <w:rPr>
          <w:rFonts w:ascii="Gadugi" w:hAnsi="Gadugi"/>
          <w:sz w:val="24"/>
          <w:szCs w:val="24"/>
        </w:rPr>
      </w:pPr>
      <w:r w:rsidRPr="007C0C88">
        <w:rPr>
          <w:rFonts w:ascii="Gadugi" w:hAnsi="Gadugi"/>
          <w:sz w:val="24"/>
          <w:szCs w:val="24"/>
        </w:rPr>
        <w:tab/>
      </w:r>
      <w:r w:rsidRPr="007C0C88">
        <w:rPr>
          <w:rFonts w:ascii="Gadugi" w:hAnsi="Gadugi"/>
          <w:sz w:val="24"/>
          <w:szCs w:val="24"/>
        </w:rPr>
        <w:tab/>
        <w:t xml:space="preserve"> </w:t>
      </w:r>
      <w:r w:rsidR="00A30744" w:rsidRPr="007C0C88">
        <w:rPr>
          <w:rFonts w:ascii="Gadugi" w:hAnsi="Gadugi"/>
          <w:sz w:val="24"/>
          <w:szCs w:val="24"/>
        </w:rPr>
        <w:t xml:space="preserve">  </w:t>
      </w:r>
      <w:r w:rsidR="00524265" w:rsidRPr="007C0C88">
        <w:rPr>
          <w:rFonts w:ascii="Gadugi" w:hAnsi="Gadugi"/>
          <w:sz w:val="24"/>
          <w:szCs w:val="24"/>
        </w:rPr>
        <w:t xml:space="preserve"> </w:t>
      </w:r>
      <w:r w:rsidRPr="007C0C88">
        <w:rPr>
          <w:rFonts w:ascii="Gadugi" w:hAnsi="Gadugi"/>
          <w:sz w:val="24"/>
          <w:szCs w:val="24"/>
        </w:rPr>
        <w:t>66001410500120220031400</w:t>
      </w:r>
    </w:p>
    <w:p w14:paraId="6DE5EAAF" w14:textId="1D2F04AC" w:rsidR="008E5781" w:rsidRPr="007C0C88" w:rsidRDefault="008E5781" w:rsidP="007C0C88">
      <w:pPr>
        <w:spacing w:line="276" w:lineRule="auto"/>
        <w:ind w:firstLine="1701"/>
        <w:jc w:val="both"/>
        <w:rPr>
          <w:rFonts w:ascii="Gadugi" w:hAnsi="Gadugi"/>
          <w:sz w:val="24"/>
          <w:szCs w:val="24"/>
          <w:lang w:val="es-419"/>
        </w:rPr>
      </w:pPr>
      <w:r w:rsidRPr="007C0C88">
        <w:rPr>
          <w:rFonts w:ascii="Gadugi" w:hAnsi="Gadugi"/>
          <w:sz w:val="24"/>
          <w:szCs w:val="24"/>
        </w:rPr>
        <w:t>Acta</w:t>
      </w:r>
      <w:r w:rsidR="005315B3" w:rsidRPr="007C0C88">
        <w:rPr>
          <w:rFonts w:ascii="Gadugi" w:hAnsi="Gadugi"/>
          <w:sz w:val="24"/>
          <w:szCs w:val="24"/>
        </w:rPr>
        <w:t>:</w:t>
      </w:r>
      <w:r w:rsidR="00524265" w:rsidRPr="007C0C88">
        <w:rPr>
          <w:rFonts w:ascii="Gadugi" w:hAnsi="Gadugi"/>
          <w:sz w:val="24"/>
          <w:szCs w:val="24"/>
        </w:rPr>
        <w:t xml:space="preserve"> 405 del 25 de agosto de 2022</w:t>
      </w:r>
      <w:r w:rsidR="005315B3" w:rsidRPr="007C0C88">
        <w:rPr>
          <w:rFonts w:ascii="Gadugi" w:hAnsi="Gadugi"/>
          <w:sz w:val="24"/>
          <w:szCs w:val="24"/>
        </w:rPr>
        <w:t xml:space="preserve"> </w:t>
      </w:r>
      <w:r w:rsidR="008D242B" w:rsidRPr="007C0C88">
        <w:rPr>
          <w:rFonts w:ascii="Gadugi" w:hAnsi="Gadugi"/>
          <w:sz w:val="24"/>
          <w:szCs w:val="24"/>
        </w:rPr>
        <w:t xml:space="preserve"> </w:t>
      </w:r>
      <w:r w:rsidR="00524265" w:rsidRPr="007C0C88">
        <w:rPr>
          <w:rFonts w:ascii="Gadugi" w:hAnsi="Gadugi"/>
          <w:sz w:val="24"/>
          <w:szCs w:val="24"/>
        </w:rPr>
        <w:tab/>
      </w:r>
      <w:r w:rsidR="00524265" w:rsidRPr="007C0C88">
        <w:rPr>
          <w:rFonts w:ascii="Gadugi" w:hAnsi="Gadugi"/>
          <w:sz w:val="24"/>
          <w:szCs w:val="24"/>
        </w:rPr>
        <w:tab/>
      </w:r>
    </w:p>
    <w:p w14:paraId="67F9151B" w14:textId="2AB08431" w:rsidR="005315B3" w:rsidRPr="007C0C88" w:rsidRDefault="005315B3" w:rsidP="007C0C88">
      <w:pPr>
        <w:spacing w:line="276" w:lineRule="auto"/>
        <w:ind w:firstLine="1701"/>
        <w:jc w:val="both"/>
        <w:rPr>
          <w:rFonts w:ascii="Gadugi" w:hAnsi="Gadugi"/>
          <w:sz w:val="24"/>
          <w:szCs w:val="24"/>
        </w:rPr>
      </w:pPr>
      <w:r w:rsidRPr="007C0C88">
        <w:rPr>
          <w:rFonts w:ascii="Gadugi" w:hAnsi="Gadugi"/>
          <w:sz w:val="24"/>
          <w:szCs w:val="24"/>
        </w:rPr>
        <w:t>Sentencia:</w:t>
      </w:r>
      <w:r w:rsidR="00747909" w:rsidRPr="007C0C88">
        <w:rPr>
          <w:rFonts w:ascii="Gadugi" w:hAnsi="Gadugi"/>
          <w:sz w:val="24"/>
          <w:szCs w:val="24"/>
        </w:rPr>
        <w:t xml:space="preserve"> </w:t>
      </w:r>
      <w:r w:rsidR="00524265" w:rsidRPr="007C0C88">
        <w:rPr>
          <w:rFonts w:ascii="Gadugi" w:hAnsi="Gadugi"/>
          <w:sz w:val="24"/>
          <w:szCs w:val="24"/>
        </w:rPr>
        <w:t>ST2-0288-2022</w:t>
      </w:r>
      <w:r w:rsidR="008D242B" w:rsidRPr="007C0C88">
        <w:rPr>
          <w:rFonts w:ascii="Gadugi" w:hAnsi="Gadugi"/>
          <w:sz w:val="24"/>
          <w:szCs w:val="24"/>
        </w:rPr>
        <w:t xml:space="preserve"> </w:t>
      </w:r>
    </w:p>
    <w:p w14:paraId="59ABA8BD" w14:textId="4322470E" w:rsidR="005A6DF3" w:rsidRPr="007C0C88" w:rsidRDefault="005A6DF3" w:rsidP="007C0C88">
      <w:pPr>
        <w:spacing w:line="276" w:lineRule="auto"/>
        <w:ind w:firstLine="1701"/>
        <w:jc w:val="both"/>
        <w:rPr>
          <w:rFonts w:ascii="Gadugi" w:hAnsi="Gadugi"/>
          <w:sz w:val="24"/>
          <w:szCs w:val="24"/>
        </w:rPr>
      </w:pPr>
    </w:p>
    <w:p w14:paraId="150CB4DD" w14:textId="77777777" w:rsidR="00747909" w:rsidRPr="007C0C88" w:rsidRDefault="00747909" w:rsidP="007C0C88">
      <w:pPr>
        <w:spacing w:line="276" w:lineRule="auto"/>
        <w:ind w:firstLine="1701"/>
        <w:jc w:val="both"/>
        <w:rPr>
          <w:rFonts w:ascii="Gadugi" w:hAnsi="Gadugi"/>
          <w:sz w:val="24"/>
          <w:szCs w:val="24"/>
        </w:rPr>
      </w:pPr>
    </w:p>
    <w:p w14:paraId="7445E682" w14:textId="49680193" w:rsidR="00551324" w:rsidRPr="007C0C88" w:rsidRDefault="008E5781" w:rsidP="007C0C88">
      <w:pPr>
        <w:spacing w:line="276" w:lineRule="auto"/>
        <w:ind w:firstLine="1701"/>
        <w:jc w:val="both"/>
        <w:rPr>
          <w:rFonts w:ascii="Gadugi" w:hAnsi="Gadugi"/>
          <w:sz w:val="24"/>
          <w:szCs w:val="24"/>
        </w:rPr>
      </w:pPr>
      <w:r w:rsidRPr="007C0C88">
        <w:rPr>
          <w:rFonts w:ascii="Gadugi" w:hAnsi="Gadugi"/>
          <w:sz w:val="24"/>
          <w:szCs w:val="24"/>
        </w:rPr>
        <w:t xml:space="preserve">Decide la Sala </w:t>
      </w:r>
      <w:r w:rsidR="00731DDA" w:rsidRPr="007C0C88">
        <w:rPr>
          <w:rFonts w:ascii="Gadugi" w:hAnsi="Gadugi"/>
          <w:sz w:val="24"/>
          <w:szCs w:val="24"/>
        </w:rPr>
        <w:t xml:space="preserve">la impugnación </w:t>
      </w:r>
      <w:r w:rsidR="00747909" w:rsidRPr="007C0C88">
        <w:rPr>
          <w:rFonts w:ascii="Gadugi" w:hAnsi="Gadugi"/>
          <w:sz w:val="24"/>
          <w:szCs w:val="24"/>
        </w:rPr>
        <w:t>elevada</w:t>
      </w:r>
      <w:r w:rsidR="005315B3" w:rsidRPr="007C0C88">
        <w:rPr>
          <w:rFonts w:ascii="Gadugi" w:hAnsi="Gadugi"/>
          <w:sz w:val="24"/>
          <w:szCs w:val="24"/>
        </w:rPr>
        <w:t xml:space="preserve"> por l</w:t>
      </w:r>
      <w:r w:rsidR="008F37E4" w:rsidRPr="007C0C88">
        <w:rPr>
          <w:rFonts w:ascii="Gadugi" w:hAnsi="Gadugi"/>
          <w:sz w:val="24"/>
          <w:szCs w:val="24"/>
        </w:rPr>
        <w:t>os</w:t>
      </w:r>
      <w:r w:rsidR="005315B3" w:rsidRPr="007C0C88">
        <w:rPr>
          <w:rFonts w:ascii="Gadugi" w:hAnsi="Gadugi"/>
          <w:sz w:val="24"/>
          <w:szCs w:val="24"/>
        </w:rPr>
        <w:t xml:space="preserve"> </w:t>
      </w:r>
      <w:r w:rsidR="008D242B" w:rsidRPr="007C0C88">
        <w:rPr>
          <w:rFonts w:ascii="Gadugi" w:hAnsi="Gadugi"/>
          <w:sz w:val="24"/>
          <w:szCs w:val="24"/>
        </w:rPr>
        <w:t>accionante</w:t>
      </w:r>
      <w:r w:rsidR="008F37E4" w:rsidRPr="007C0C88">
        <w:rPr>
          <w:rFonts w:ascii="Gadugi" w:hAnsi="Gadugi"/>
          <w:sz w:val="24"/>
          <w:szCs w:val="24"/>
        </w:rPr>
        <w:t>s</w:t>
      </w:r>
      <w:r w:rsidR="005315B3" w:rsidRPr="007C0C88">
        <w:rPr>
          <w:rFonts w:ascii="Gadugi" w:hAnsi="Gadugi"/>
          <w:sz w:val="24"/>
          <w:szCs w:val="24"/>
        </w:rPr>
        <w:t xml:space="preserve">, </w:t>
      </w:r>
      <w:r w:rsidR="00747909" w:rsidRPr="007C0C88">
        <w:rPr>
          <w:rFonts w:ascii="Gadugi" w:hAnsi="Gadugi"/>
          <w:sz w:val="24"/>
          <w:szCs w:val="24"/>
        </w:rPr>
        <w:t>frente a</w:t>
      </w:r>
      <w:r w:rsidR="005315B3" w:rsidRPr="007C0C88">
        <w:rPr>
          <w:rFonts w:ascii="Gadugi" w:hAnsi="Gadugi"/>
          <w:sz w:val="24"/>
          <w:szCs w:val="24"/>
        </w:rPr>
        <w:t xml:space="preserve"> la sentencia del </w:t>
      </w:r>
      <w:r w:rsidR="003745EA" w:rsidRPr="007C0C88">
        <w:rPr>
          <w:rFonts w:ascii="Gadugi" w:hAnsi="Gadugi"/>
          <w:sz w:val="24"/>
          <w:szCs w:val="24"/>
        </w:rPr>
        <w:t>14 de julio de 2022</w:t>
      </w:r>
      <w:r w:rsidR="00C73B8F" w:rsidRPr="007C0C88">
        <w:rPr>
          <w:rFonts w:ascii="Gadugi" w:hAnsi="Gadugi"/>
          <w:sz w:val="24"/>
          <w:szCs w:val="24"/>
        </w:rPr>
        <w:t>,</w:t>
      </w:r>
      <w:r w:rsidR="00747909" w:rsidRPr="007C0C88">
        <w:rPr>
          <w:rFonts w:ascii="Gadugi" w:hAnsi="Gadugi"/>
          <w:sz w:val="24"/>
          <w:szCs w:val="24"/>
        </w:rPr>
        <w:t xml:space="preserve"> proferida por el Juzgado </w:t>
      </w:r>
      <w:r w:rsidR="003745EA" w:rsidRPr="007C0C88">
        <w:rPr>
          <w:rFonts w:ascii="Gadugi" w:hAnsi="Gadugi"/>
          <w:sz w:val="24"/>
          <w:szCs w:val="24"/>
        </w:rPr>
        <w:t>Tercero de Familia de Pereira</w:t>
      </w:r>
      <w:r w:rsidR="005315B3" w:rsidRPr="007C0C88">
        <w:rPr>
          <w:rFonts w:ascii="Gadugi" w:hAnsi="Gadugi"/>
          <w:sz w:val="24"/>
          <w:szCs w:val="24"/>
        </w:rPr>
        <w:t xml:space="preserve">, </w:t>
      </w:r>
      <w:r w:rsidR="00731DDA" w:rsidRPr="007C0C88">
        <w:rPr>
          <w:rFonts w:ascii="Gadugi" w:hAnsi="Gadugi"/>
          <w:sz w:val="24"/>
          <w:szCs w:val="24"/>
        </w:rPr>
        <w:t>en esta</w:t>
      </w:r>
      <w:r w:rsidR="00332D49" w:rsidRPr="007C0C88">
        <w:rPr>
          <w:rFonts w:ascii="Gadugi" w:hAnsi="Gadugi"/>
          <w:sz w:val="24"/>
          <w:szCs w:val="24"/>
        </w:rPr>
        <w:t>s</w:t>
      </w:r>
      <w:r w:rsidR="00731DDA" w:rsidRPr="007C0C88">
        <w:rPr>
          <w:rFonts w:ascii="Gadugi" w:hAnsi="Gadugi"/>
          <w:sz w:val="24"/>
          <w:szCs w:val="24"/>
        </w:rPr>
        <w:t xml:space="preserve"> </w:t>
      </w:r>
      <w:r w:rsidR="00731DDA" w:rsidRPr="00F47177">
        <w:rPr>
          <w:rFonts w:ascii="Gadugi" w:hAnsi="Gadugi"/>
          <w:b/>
          <w:sz w:val="24"/>
          <w:szCs w:val="24"/>
        </w:rPr>
        <w:t>acci</w:t>
      </w:r>
      <w:r w:rsidR="00332D49" w:rsidRPr="00F47177">
        <w:rPr>
          <w:rFonts w:ascii="Gadugi" w:hAnsi="Gadugi"/>
          <w:b/>
          <w:sz w:val="24"/>
          <w:szCs w:val="24"/>
        </w:rPr>
        <w:t>ones</w:t>
      </w:r>
      <w:r w:rsidR="00731DDA" w:rsidRPr="00F47177">
        <w:rPr>
          <w:rFonts w:ascii="Gadugi" w:hAnsi="Gadugi"/>
          <w:b/>
          <w:sz w:val="24"/>
          <w:szCs w:val="24"/>
        </w:rPr>
        <w:t xml:space="preserve"> de tutela</w:t>
      </w:r>
      <w:r w:rsidR="00731DDA" w:rsidRPr="007C0C88">
        <w:rPr>
          <w:rFonts w:ascii="Gadugi" w:hAnsi="Gadugi"/>
          <w:sz w:val="24"/>
          <w:szCs w:val="24"/>
        </w:rPr>
        <w:t xml:space="preserve"> </w:t>
      </w:r>
      <w:r w:rsidR="00CC6835" w:rsidRPr="007C0C88">
        <w:rPr>
          <w:rFonts w:ascii="Gadugi" w:hAnsi="Gadugi"/>
          <w:sz w:val="24"/>
          <w:szCs w:val="24"/>
        </w:rPr>
        <w:t>formulada</w:t>
      </w:r>
      <w:r w:rsidR="00332D49" w:rsidRPr="007C0C88">
        <w:rPr>
          <w:rFonts w:ascii="Gadugi" w:hAnsi="Gadugi"/>
          <w:sz w:val="24"/>
          <w:szCs w:val="24"/>
        </w:rPr>
        <w:t>s</w:t>
      </w:r>
      <w:r w:rsidR="001B0D9A" w:rsidRPr="007C0C88">
        <w:rPr>
          <w:rFonts w:ascii="Gadugi" w:hAnsi="Gadugi"/>
          <w:sz w:val="24"/>
          <w:szCs w:val="24"/>
        </w:rPr>
        <w:t>, mediante apoderado judicial,</w:t>
      </w:r>
      <w:r w:rsidR="00CC6835" w:rsidRPr="007C0C88">
        <w:rPr>
          <w:rFonts w:ascii="Gadugi" w:hAnsi="Gadugi"/>
          <w:sz w:val="24"/>
          <w:szCs w:val="24"/>
        </w:rPr>
        <w:t xml:space="preserve"> por</w:t>
      </w:r>
      <w:r w:rsidR="005315B3" w:rsidRPr="007C0C88">
        <w:rPr>
          <w:rFonts w:ascii="Gadugi" w:hAnsi="Gadugi"/>
          <w:sz w:val="24"/>
          <w:szCs w:val="24"/>
        </w:rPr>
        <w:t xml:space="preserve"> </w:t>
      </w:r>
      <w:r w:rsidR="00A9731D" w:rsidRPr="007C0C88">
        <w:rPr>
          <w:rFonts w:ascii="Gadugi" w:hAnsi="Gadugi"/>
          <w:sz w:val="24"/>
          <w:szCs w:val="24"/>
        </w:rPr>
        <w:t xml:space="preserve">las </w:t>
      </w:r>
      <w:r w:rsidR="00A9731D" w:rsidRPr="007C0C88">
        <w:rPr>
          <w:rFonts w:ascii="Gadugi" w:hAnsi="Gadugi"/>
          <w:sz w:val="24"/>
          <w:szCs w:val="24"/>
        </w:rPr>
        <w:lastRenderedPageBreak/>
        <w:t>personas que abajo se enlistarán</w:t>
      </w:r>
      <w:r w:rsidR="00AC51D8" w:rsidRPr="007C0C88">
        <w:rPr>
          <w:rFonts w:ascii="Gadugi" w:hAnsi="Gadugi"/>
          <w:sz w:val="24"/>
          <w:szCs w:val="24"/>
        </w:rPr>
        <w:t xml:space="preserve"> </w:t>
      </w:r>
      <w:r w:rsidR="003745EA" w:rsidRPr="007C0C88">
        <w:rPr>
          <w:rFonts w:ascii="Gadugi" w:hAnsi="Gadugi"/>
          <w:sz w:val="24"/>
          <w:szCs w:val="24"/>
        </w:rPr>
        <w:t xml:space="preserve">contra el </w:t>
      </w:r>
      <w:r w:rsidR="003745EA" w:rsidRPr="007C0C88">
        <w:rPr>
          <w:rFonts w:ascii="Gadugi" w:hAnsi="Gadugi"/>
          <w:b/>
          <w:bCs/>
          <w:sz w:val="24"/>
          <w:szCs w:val="24"/>
        </w:rPr>
        <w:t>Municipio de Pereira</w:t>
      </w:r>
      <w:r w:rsidR="003745EA" w:rsidRPr="007C0C88">
        <w:rPr>
          <w:rFonts w:ascii="Gadugi" w:hAnsi="Gadugi"/>
          <w:sz w:val="24"/>
          <w:szCs w:val="24"/>
        </w:rPr>
        <w:t xml:space="preserve">, la </w:t>
      </w:r>
      <w:r w:rsidR="003745EA" w:rsidRPr="007C0C88">
        <w:rPr>
          <w:rFonts w:ascii="Gadugi" w:hAnsi="Gadugi"/>
          <w:b/>
          <w:bCs/>
          <w:sz w:val="24"/>
          <w:szCs w:val="24"/>
        </w:rPr>
        <w:t>Inspección Primera Municipal de Policía</w:t>
      </w:r>
      <w:r w:rsidR="003745EA" w:rsidRPr="007C0C88">
        <w:rPr>
          <w:rFonts w:ascii="Gadugi" w:hAnsi="Gadugi"/>
          <w:sz w:val="24"/>
          <w:szCs w:val="24"/>
        </w:rPr>
        <w:t xml:space="preserve">, la </w:t>
      </w:r>
      <w:r w:rsidR="003745EA" w:rsidRPr="007C0C88">
        <w:rPr>
          <w:rFonts w:ascii="Gadugi" w:hAnsi="Gadugi"/>
          <w:b/>
          <w:bCs/>
          <w:sz w:val="24"/>
          <w:szCs w:val="24"/>
        </w:rPr>
        <w:t>DIGER</w:t>
      </w:r>
      <w:r w:rsidR="003745EA" w:rsidRPr="007C0C88">
        <w:rPr>
          <w:rFonts w:ascii="Gadugi" w:hAnsi="Gadugi"/>
          <w:sz w:val="24"/>
          <w:szCs w:val="24"/>
        </w:rPr>
        <w:t xml:space="preserve">, la </w:t>
      </w:r>
      <w:r w:rsidR="003745EA" w:rsidRPr="007C0C88">
        <w:rPr>
          <w:rFonts w:ascii="Gadugi" w:hAnsi="Gadugi"/>
          <w:b/>
          <w:bCs/>
          <w:sz w:val="24"/>
          <w:szCs w:val="24"/>
        </w:rPr>
        <w:t>CARDER</w:t>
      </w:r>
      <w:r w:rsidR="003745EA" w:rsidRPr="007C0C88">
        <w:rPr>
          <w:rFonts w:ascii="Gadugi" w:hAnsi="Gadugi"/>
          <w:sz w:val="24"/>
          <w:szCs w:val="24"/>
        </w:rPr>
        <w:t xml:space="preserve">, el </w:t>
      </w:r>
      <w:r w:rsidR="003745EA" w:rsidRPr="007C0C88">
        <w:rPr>
          <w:rFonts w:ascii="Gadugi" w:hAnsi="Gadugi"/>
          <w:b/>
          <w:bCs/>
          <w:sz w:val="24"/>
          <w:szCs w:val="24"/>
        </w:rPr>
        <w:t>Departamento de Risaralda</w:t>
      </w:r>
      <w:r w:rsidR="003745EA" w:rsidRPr="007C0C88">
        <w:rPr>
          <w:rFonts w:ascii="Gadugi" w:hAnsi="Gadugi"/>
          <w:sz w:val="24"/>
          <w:szCs w:val="24"/>
        </w:rPr>
        <w:t xml:space="preserve">, el </w:t>
      </w:r>
      <w:r w:rsidR="003745EA" w:rsidRPr="007C0C88">
        <w:rPr>
          <w:rFonts w:ascii="Gadugi" w:hAnsi="Gadugi"/>
          <w:b/>
          <w:bCs/>
          <w:sz w:val="24"/>
          <w:szCs w:val="24"/>
        </w:rPr>
        <w:t>Ministerio de Vivienda</w:t>
      </w:r>
      <w:r w:rsidR="003745EA" w:rsidRPr="007C0C88">
        <w:rPr>
          <w:rFonts w:ascii="Gadugi" w:hAnsi="Gadugi"/>
          <w:sz w:val="24"/>
          <w:szCs w:val="24"/>
        </w:rPr>
        <w:t xml:space="preserve"> y el </w:t>
      </w:r>
      <w:r w:rsidR="003745EA" w:rsidRPr="007C0C88">
        <w:rPr>
          <w:rFonts w:ascii="Gadugi" w:hAnsi="Gadugi"/>
          <w:b/>
          <w:bCs/>
          <w:sz w:val="24"/>
          <w:szCs w:val="24"/>
        </w:rPr>
        <w:t>Ministerio del Medio Ambiente</w:t>
      </w:r>
      <w:r w:rsidR="003745EA" w:rsidRPr="007C0C88">
        <w:rPr>
          <w:rFonts w:ascii="Gadugi" w:hAnsi="Gadugi"/>
          <w:sz w:val="24"/>
          <w:szCs w:val="24"/>
        </w:rPr>
        <w:t xml:space="preserve">, y a la que fueron vinculados </w:t>
      </w:r>
      <w:r w:rsidR="00524265" w:rsidRPr="007C0C88">
        <w:rPr>
          <w:rFonts w:ascii="Gadugi" w:hAnsi="Gadugi"/>
          <w:sz w:val="24"/>
          <w:szCs w:val="24"/>
        </w:rPr>
        <w:t>l</w:t>
      </w:r>
      <w:r w:rsidR="003745EA" w:rsidRPr="007C0C88">
        <w:rPr>
          <w:rFonts w:ascii="Gadugi" w:hAnsi="Gadugi"/>
          <w:sz w:val="24"/>
          <w:szCs w:val="24"/>
        </w:rPr>
        <w:t xml:space="preserve">a </w:t>
      </w:r>
      <w:r w:rsidR="003745EA" w:rsidRPr="00F47177">
        <w:rPr>
          <w:rFonts w:ascii="Gadugi" w:hAnsi="Gadugi"/>
          <w:b/>
          <w:sz w:val="24"/>
          <w:szCs w:val="24"/>
        </w:rPr>
        <w:t>Inspección Catorce de Policía</w:t>
      </w:r>
      <w:r w:rsidR="003745EA" w:rsidRPr="007C0C88">
        <w:rPr>
          <w:rFonts w:ascii="Gadugi" w:hAnsi="Gadugi"/>
          <w:sz w:val="24"/>
          <w:szCs w:val="24"/>
        </w:rPr>
        <w:t xml:space="preserve">, la </w:t>
      </w:r>
      <w:r w:rsidR="003745EA" w:rsidRPr="00F47177">
        <w:rPr>
          <w:rFonts w:ascii="Gadugi" w:hAnsi="Gadugi"/>
          <w:b/>
          <w:sz w:val="24"/>
          <w:szCs w:val="24"/>
        </w:rPr>
        <w:t>Defensoría de Pueblo</w:t>
      </w:r>
      <w:r w:rsidR="003745EA" w:rsidRPr="007C0C88">
        <w:rPr>
          <w:rFonts w:ascii="Gadugi" w:hAnsi="Gadugi"/>
          <w:sz w:val="24"/>
          <w:szCs w:val="24"/>
        </w:rPr>
        <w:t xml:space="preserve"> y la </w:t>
      </w:r>
      <w:r w:rsidR="003745EA" w:rsidRPr="00F47177">
        <w:rPr>
          <w:rFonts w:ascii="Gadugi" w:hAnsi="Gadugi"/>
          <w:b/>
          <w:sz w:val="24"/>
          <w:szCs w:val="24"/>
        </w:rPr>
        <w:t>Personería Municipal de Pereira</w:t>
      </w:r>
      <w:r w:rsidR="008F37E4" w:rsidRPr="007C0C88">
        <w:rPr>
          <w:rFonts w:ascii="Gadugi" w:hAnsi="Gadugi"/>
          <w:sz w:val="24"/>
          <w:szCs w:val="24"/>
        </w:rPr>
        <w:t xml:space="preserve">. Los </w:t>
      </w:r>
      <w:r w:rsidR="00A9731D" w:rsidRPr="007C0C88">
        <w:rPr>
          <w:rFonts w:ascii="Gadugi" w:hAnsi="Gadugi"/>
          <w:sz w:val="24"/>
          <w:szCs w:val="24"/>
        </w:rPr>
        <w:t xml:space="preserve">accionantes </w:t>
      </w:r>
      <w:r w:rsidR="004F62EE" w:rsidRPr="007C0C88">
        <w:rPr>
          <w:rFonts w:ascii="Gadugi" w:hAnsi="Gadugi"/>
          <w:sz w:val="24"/>
          <w:szCs w:val="24"/>
        </w:rPr>
        <w:t xml:space="preserve">son: </w:t>
      </w:r>
    </w:p>
    <w:p w14:paraId="2953DB8C" w14:textId="77777777" w:rsidR="00A30744" w:rsidRPr="007C0C88" w:rsidRDefault="00A30744" w:rsidP="007C0C88">
      <w:pPr>
        <w:spacing w:line="276" w:lineRule="auto"/>
        <w:ind w:firstLine="1701"/>
        <w:jc w:val="both"/>
        <w:rPr>
          <w:rFonts w:ascii="Gadugi" w:hAnsi="Gadugi"/>
          <w:b/>
          <w:sz w:val="24"/>
          <w:szCs w:val="24"/>
        </w:rPr>
      </w:pPr>
    </w:p>
    <w:tbl>
      <w:tblPr>
        <w:tblStyle w:val="Tablaconcuadrcula"/>
        <w:tblW w:w="0" w:type="auto"/>
        <w:tblLook w:val="04A0" w:firstRow="1" w:lastRow="0" w:firstColumn="1" w:lastColumn="0" w:noHBand="0" w:noVBand="1"/>
      </w:tblPr>
      <w:tblGrid>
        <w:gridCol w:w="4415"/>
        <w:gridCol w:w="4415"/>
      </w:tblGrid>
      <w:tr w:rsidR="00551324" w:rsidRPr="007C0C88" w14:paraId="390F9110" w14:textId="77777777" w:rsidTr="00551324">
        <w:tc>
          <w:tcPr>
            <w:tcW w:w="4415" w:type="dxa"/>
          </w:tcPr>
          <w:p w14:paraId="4884CEFE" w14:textId="4289FC9C"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 Nancy Vinasco Mejía</w:t>
            </w:r>
          </w:p>
        </w:tc>
        <w:tc>
          <w:tcPr>
            <w:tcW w:w="4415" w:type="dxa"/>
          </w:tcPr>
          <w:p w14:paraId="2A05BC25" w14:textId="10B5DDD1"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14. Wilmar López Castañeda</w:t>
            </w:r>
          </w:p>
        </w:tc>
      </w:tr>
      <w:tr w:rsidR="00551324" w:rsidRPr="007C0C88" w14:paraId="2A253AD2" w14:textId="77777777" w:rsidTr="00551324">
        <w:tc>
          <w:tcPr>
            <w:tcW w:w="4415" w:type="dxa"/>
          </w:tcPr>
          <w:p w14:paraId="253CE071" w14:textId="14D27341"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 Blanca Marina Jaramillo Arango</w:t>
            </w:r>
          </w:p>
        </w:tc>
        <w:tc>
          <w:tcPr>
            <w:tcW w:w="4415" w:type="dxa"/>
          </w:tcPr>
          <w:p w14:paraId="2B7B096C" w14:textId="02F831CB"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15. Uriel Bonilla Tejada</w:t>
            </w:r>
          </w:p>
        </w:tc>
      </w:tr>
      <w:tr w:rsidR="00551324" w:rsidRPr="007C0C88" w14:paraId="3BF315DC" w14:textId="77777777" w:rsidTr="00551324">
        <w:tc>
          <w:tcPr>
            <w:tcW w:w="4415" w:type="dxa"/>
          </w:tcPr>
          <w:p w14:paraId="714E41CF" w14:textId="3FD06FED"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3. Carlos Alberto Villada</w:t>
            </w:r>
          </w:p>
        </w:tc>
        <w:tc>
          <w:tcPr>
            <w:tcW w:w="4415" w:type="dxa"/>
          </w:tcPr>
          <w:p w14:paraId="623F92E4" w14:textId="3C599144"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16. Jhon Fredy Silva García</w:t>
            </w:r>
          </w:p>
        </w:tc>
      </w:tr>
      <w:tr w:rsidR="00551324" w:rsidRPr="007C0C88" w14:paraId="3CF1307B" w14:textId="77777777" w:rsidTr="00551324">
        <w:tc>
          <w:tcPr>
            <w:tcW w:w="4415" w:type="dxa"/>
          </w:tcPr>
          <w:p w14:paraId="779A7B60" w14:textId="393D4895"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 xml:space="preserve">4. </w:t>
            </w:r>
            <w:proofErr w:type="spellStart"/>
            <w:r w:rsidRPr="007C0C88">
              <w:rPr>
                <w:rFonts w:ascii="Gadugi" w:hAnsi="Gadugi"/>
                <w:sz w:val="24"/>
                <w:szCs w:val="24"/>
              </w:rPr>
              <w:t>Yenica</w:t>
            </w:r>
            <w:proofErr w:type="spellEnd"/>
            <w:r w:rsidRPr="007C0C88">
              <w:rPr>
                <w:rFonts w:ascii="Gadugi" w:hAnsi="Gadugi"/>
                <w:sz w:val="24"/>
                <w:szCs w:val="24"/>
              </w:rPr>
              <w:t xml:space="preserve"> Astrid Franco Diaz</w:t>
            </w:r>
          </w:p>
        </w:tc>
        <w:tc>
          <w:tcPr>
            <w:tcW w:w="4415" w:type="dxa"/>
          </w:tcPr>
          <w:p w14:paraId="7C7C05A3" w14:textId="159C379D"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17. Ana Tulia Montoya Villa</w:t>
            </w:r>
          </w:p>
        </w:tc>
      </w:tr>
      <w:tr w:rsidR="00551324" w:rsidRPr="007C0C88" w14:paraId="7EAC2FDD" w14:textId="77777777" w:rsidTr="00551324">
        <w:tc>
          <w:tcPr>
            <w:tcW w:w="4415" w:type="dxa"/>
          </w:tcPr>
          <w:p w14:paraId="0BDDB8AD" w14:textId="1FAE8049"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5. Nancy Bibiana Orozco García</w:t>
            </w:r>
          </w:p>
        </w:tc>
        <w:tc>
          <w:tcPr>
            <w:tcW w:w="4415" w:type="dxa"/>
          </w:tcPr>
          <w:p w14:paraId="54027E18" w14:textId="47160A46"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18. Luis Ángel Espinosa Jaramillo</w:t>
            </w:r>
          </w:p>
        </w:tc>
      </w:tr>
      <w:tr w:rsidR="00551324" w:rsidRPr="007C0C88" w14:paraId="2F08769D" w14:textId="77777777" w:rsidTr="00551324">
        <w:tc>
          <w:tcPr>
            <w:tcW w:w="4415" w:type="dxa"/>
          </w:tcPr>
          <w:p w14:paraId="2EB526A0" w14:textId="420E37C3"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 xml:space="preserve">6. </w:t>
            </w:r>
            <w:proofErr w:type="spellStart"/>
            <w:r w:rsidRPr="007C0C88">
              <w:rPr>
                <w:rFonts w:ascii="Gadugi" w:hAnsi="Gadugi"/>
                <w:sz w:val="24"/>
                <w:szCs w:val="24"/>
              </w:rPr>
              <w:t>Ataniel</w:t>
            </w:r>
            <w:proofErr w:type="spellEnd"/>
            <w:r w:rsidRPr="007C0C88">
              <w:rPr>
                <w:rFonts w:ascii="Gadugi" w:hAnsi="Gadugi"/>
                <w:sz w:val="24"/>
                <w:szCs w:val="24"/>
              </w:rPr>
              <w:t xml:space="preserve"> López</w:t>
            </w:r>
          </w:p>
        </w:tc>
        <w:tc>
          <w:tcPr>
            <w:tcW w:w="4415" w:type="dxa"/>
          </w:tcPr>
          <w:p w14:paraId="76978CFB" w14:textId="3E440AA0"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19. Luis Fernando Velásquez Franco</w:t>
            </w:r>
          </w:p>
        </w:tc>
      </w:tr>
      <w:tr w:rsidR="00551324" w:rsidRPr="007C0C88" w14:paraId="734B2EF6" w14:textId="77777777" w:rsidTr="00551324">
        <w:tc>
          <w:tcPr>
            <w:tcW w:w="4415" w:type="dxa"/>
          </w:tcPr>
          <w:p w14:paraId="72BB4192" w14:textId="5EE420E4"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7. Luz Elena Rivera Higuita</w:t>
            </w:r>
          </w:p>
        </w:tc>
        <w:tc>
          <w:tcPr>
            <w:tcW w:w="4415" w:type="dxa"/>
          </w:tcPr>
          <w:p w14:paraId="14CF6465" w14:textId="792C9390"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20. Elizabeth Muñoz Duarte</w:t>
            </w:r>
          </w:p>
        </w:tc>
      </w:tr>
      <w:tr w:rsidR="00551324" w:rsidRPr="007C0C88" w14:paraId="68217328" w14:textId="77777777" w:rsidTr="00551324">
        <w:tc>
          <w:tcPr>
            <w:tcW w:w="4415" w:type="dxa"/>
          </w:tcPr>
          <w:p w14:paraId="26557D05" w14:textId="30524286"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8. Jhon Alexander Giraldo Aguirre</w:t>
            </w:r>
          </w:p>
        </w:tc>
        <w:tc>
          <w:tcPr>
            <w:tcW w:w="4415" w:type="dxa"/>
          </w:tcPr>
          <w:p w14:paraId="38A9E0CA" w14:textId="70BF82DC"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21. José Omar Jaramillo</w:t>
            </w:r>
          </w:p>
        </w:tc>
      </w:tr>
      <w:tr w:rsidR="00551324" w:rsidRPr="007C0C88" w14:paraId="473A9060" w14:textId="77777777" w:rsidTr="00551324">
        <w:tc>
          <w:tcPr>
            <w:tcW w:w="4415" w:type="dxa"/>
          </w:tcPr>
          <w:p w14:paraId="7F35CF11" w14:textId="406226D6"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 xml:space="preserve">9. </w:t>
            </w:r>
            <w:proofErr w:type="spellStart"/>
            <w:r w:rsidRPr="007C0C88">
              <w:rPr>
                <w:rFonts w:ascii="Gadugi" w:hAnsi="Gadugi"/>
                <w:sz w:val="24"/>
                <w:szCs w:val="24"/>
              </w:rPr>
              <w:t>Jhon</w:t>
            </w:r>
            <w:proofErr w:type="spellEnd"/>
            <w:r w:rsidRPr="007C0C88">
              <w:rPr>
                <w:rFonts w:ascii="Gadugi" w:hAnsi="Gadugi"/>
                <w:sz w:val="24"/>
                <w:szCs w:val="24"/>
              </w:rPr>
              <w:t xml:space="preserve"> </w:t>
            </w:r>
            <w:proofErr w:type="spellStart"/>
            <w:r w:rsidRPr="007C0C88">
              <w:rPr>
                <w:rFonts w:ascii="Gadugi" w:hAnsi="Gadugi"/>
                <w:sz w:val="24"/>
                <w:szCs w:val="24"/>
              </w:rPr>
              <w:t>Chaguendo</w:t>
            </w:r>
            <w:proofErr w:type="spellEnd"/>
            <w:r w:rsidRPr="007C0C88">
              <w:rPr>
                <w:rFonts w:ascii="Gadugi" w:hAnsi="Gadugi"/>
                <w:sz w:val="24"/>
                <w:szCs w:val="24"/>
              </w:rPr>
              <w:t xml:space="preserve"> </w:t>
            </w:r>
            <w:proofErr w:type="spellStart"/>
            <w:r w:rsidRPr="007C0C88">
              <w:rPr>
                <w:rFonts w:ascii="Gadugi" w:hAnsi="Gadugi"/>
                <w:sz w:val="24"/>
                <w:szCs w:val="24"/>
              </w:rPr>
              <w:t>Quira</w:t>
            </w:r>
            <w:proofErr w:type="spellEnd"/>
          </w:p>
        </w:tc>
        <w:tc>
          <w:tcPr>
            <w:tcW w:w="4415" w:type="dxa"/>
          </w:tcPr>
          <w:p w14:paraId="4E55A8D3" w14:textId="4FE10E92"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22. Hugo Nelson Monsalve López</w:t>
            </w:r>
          </w:p>
        </w:tc>
      </w:tr>
      <w:tr w:rsidR="00551324" w:rsidRPr="007C0C88" w14:paraId="79C0990B" w14:textId="77777777" w:rsidTr="00551324">
        <w:tc>
          <w:tcPr>
            <w:tcW w:w="4415" w:type="dxa"/>
          </w:tcPr>
          <w:p w14:paraId="2CC19808" w14:textId="1D288D4F"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10. Jaime Andrés Morales Escobar</w:t>
            </w:r>
          </w:p>
        </w:tc>
        <w:tc>
          <w:tcPr>
            <w:tcW w:w="4415" w:type="dxa"/>
          </w:tcPr>
          <w:p w14:paraId="19F226A0" w14:textId="1258380A"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23. Ana Gabriela Silva Franco</w:t>
            </w:r>
          </w:p>
        </w:tc>
      </w:tr>
      <w:tr w:rsidR="00551324" w:rsidRPr="007C0C88" w14:paraId="3F97F53E" w14:textId="77777777" w:rsidTr="00551324">
        <w:tc>
          <w:tcPr>
            <w:tcW w:w="4415" w:type="dxa"/>
          </w:tcPr>
          <w:p w14:paraId="6CBC41CA" w14:textId="18C769A5"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11. Alba Mery Lancheros Franco</w:t>
            </w:r>
          </w:p>
        </w:tc>
        <w:tc>
          <w:tcPr>
            <w:tcW w:w="4415" w:type="dxa"/>
          </w:tcPr>
          <w:p w14:paraId="0D34D9E6" w14:textId="7847C8DF"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24. Katherine Silva García</w:t>
            </w:r>
          </w:p>
        </w:tc>
      </w:tr>
      <w:tr w:rsidR="00551324" w:rsidRPr="007C0C88" w14:paraId="5FD65E8E" w14:textId="77777777" w:rsidTr="00551324">
        <w:tc>
          <w:tcPr>
            <w:tcW w:w="4415" w:type="dxa"/>
          </w:tcPr>
          <w:p w14:paraId="43A81733" w14:textId="5EA8AA68"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12. María Helena Monsalve López</w:t>
            </w:r>
          </w:p>
        </w:tc>
        <w:tc>
          <w:tcPr>
            <w:tcW w:w="4415" w:type="dxa"/>
          </w:tcPr>
          <w:p w14:paraId="228EEAE7" w14:textId="5813AAD0"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25.  María Rubiela Higuita de Rivera</w:t>
            </w:r>
          </w:p>
        </w:tc>
      </w:tr>
      <w:tr w:rsidR="00551324" w:rsidRPr="007C0C88" w14:paraId="0A2D72CA" w14:textId="77777777" w:rsidTr="00551324">
        <w:tc>
          <w:tcPr>
            <w:tcW w:w="4415" w:type="dxa"/>
          </w:tcPr>
          <w:p w14:paraId="3DF66818" w14:textId="45AF6FBD" w:rsidR="00551324" w:rsidRPr="007C0C88" w:rsidRDefault="00551324" w:rsidP="007C0C88">
            <w:pPr>
              <w:spacing w:line="276" w:lineRule="auto"/>
              <w:ind w:firstLine="22"/>
              <w:jc w:val="both"/>
              <w:rPr>
                <w:rFonts w:ascii="Gadugi" w:hAnsi="Gadugi"/>
                <w:b/>
                <w:sz w:val="24"/>
                <w:szCs w:val="24"/>
              </w:rPr>
            </w:pPr>
            <w:r w:rsidRPr="007C0C88">
              <w:rPr>
                <w:rFonts w:ascii="Gadugi" w:hAnsi="Gadugi"/>
                <w:sz w:val="24"/>
                <w:szCs w:val="24"/>
              </w:rPr>
              <w:t>13. José Aníbal Gallego Gómez</w:t>
            </w:r>
          </w:p>
        </w:tc>
        <w:tc>
          <w:tcPr>
            <w:tcW w:w="4415" w:type="dxa"/>
          </w:tcPr>
          <w:p w14:paraId="310439E2" w14:textId="77777777" w:rsidR="00551324" w:rsidRPr="007C0C88" w:rsidRDefault="00551324" w:rsidP="007C0C88">
            <w:pPr>
              <w:spacing w:line="276" w:lineRule="auto"/>
              <w:ind w:firstLine="22"/>
              <w:jc w:val="both"/>
              <w:rPr>
                <w:rFonts w:ascii="Gadugi" w:hAnsi="Gadugi"/>
                <w:b/>
                <w:sz w:val="24"/>
                <w:szCs w:val="24"/>
              </w:rPr>
            </w:pPr>
          </w:p>
        </w:tc>
      </w:tr>
    </w:tbl>
    <w:p w14:paraId="3F80923A" w14:textId="77777777" w:rsidR="00F47177" w:rsidRPr="00F47177" w:rsidRDefault="00F47177" w:rsidP="007C0C88">
      <w:pPr>
        <w:spacing w:line="276" w:lineRule="auto"/>
        <w:ind w:firstLine="1701"/>
        <w:jc w:val="both"/>
        <w:rPr>
          <w:rFonts w:ascii="Gadugi" w:hAnsi="Gadugi"/>
          <w:sz w:val="24"/>
          <w:szCs w:val="24"/>
        </w:rPr>
      </w:pPr>
    </w:p>
    <w:p w14:paraId="58E84F93" w14:textId="77777777" w:rsidR="00F47177" w:rsidRPr="00F47177" w:rsidRDefault="00F47177" w:rsidP="007C0C88">
      <w:pPr>
        <w:spacing w:line="276" w:lineRule="auto"/>
        <w:ind w:firstLine="1701"/>
        <w:jc w:val="both"/>
        <w:rPr>
          <w:rFonts w:ascii="Gadugi" w:hAnsi="Gadugi"/>
          <w:sz w:val="24"/>
          <w:szCs w:val="24"/>
        </w:rPr>
      </w:pPr>
    </w:p>
    <w:p w14:paraId="5828CF1D" w14:textId="42768C11" w:rsidR="008E5781" w:rsidRPr="007C0C88" w:rsidRDefault="00483C03" w:rsidP="007C0C88">
      <w:pPr>
        <w:spacing w:line="276" w:lineRule="auto"/>
        <w:ind w:firstLine="1701"/>
        <w:jc w:val="both"/>
        <w:rPr>
          <w:rFonts w:ascii="Gadugi" w:hAnsi="Gadugi"/>
          <w:b/>
          <w:bCs/>
          <w:sz w:val="24"/>
          <w:szCs w:val="24"/>
        </w:rPr>
      </w:pPr>
      <w:r w:rsidRPr="007C0C88">
        <w:rPr>
          <w:rFonts w:ascii="Gadugi" w:hAnsi="Gadugi"/>
          <w:b/>
          <w:sz w:val="24"/>
          <w:szCs w:val="24"/>
        </w:rPr>
        <w:t xml:space="preserve">1. </w:t>
      </w:r>
      <w:r w:rsidR="008E5781" w:rsidRPr="007C0C88">
        <w:rPr>
          <w:rFonts w:ascii="Gadugi" w:hAnsi="Gadugi"/>
          <w:b/>
          <w:sz w:val="24"/>
          <w:szCs w:val="24"/>
        </w:rPr>
        <w:t>ANTECEDENTES</w:t>
      </w:r>
    </w:p>
    <w:p w14:paraId="309E6F1E" w14:textId="77777777" w:rsidR="008E5781" w:rsidRPr="007C0C88" w:rsidRDefault="00051D51" w:rsidP="007C0C88">
      <w:pPr>
        <w:spacing w:line="276" w:lineRule="auto"/>
        <w:ind w:firstLine="1701"/>
        <w:jc w:val="both"/>
        <w:rPr>
          <w:rFonts w:ascii="Gadugi" w:hAnsi="Gadugi"/>
          <w:b/>
          <w:sz w:val="24"/>
          <w:szCs w:val="24"/>
        </w:rPr>
      </w:pPr>
      <w:r w:rsidRPr="007C0C88">
        <w:rPr>
          <w:rFonts w:ascii="Gadugi" w:hAnsi="Gadugi"/>
          <w:b/>
          <w:sz w:val="24"/>
          <w:szCs w:val="24"/>
        </w:rPr>
        <w:tab/>
      </w:r>
      <w:r w:rsidRPr="007C0C88">
        <w:rPr>
          <w:rFonts w:ascii="Gadugi" w:hAnsi="Gadugi"/>
          <w:b/>
          <w:sz w:val="24"/>
          <w:szCs w:val="24"/>
        </w:rPr>
        <w:tab/>
      </w:r>
      <w:r w:rsidRPr="007C0C88">
        <w:rPr>
          <w:rFonts w:ascii="Gadugi" w:hAnsi="Gadugi"/>
          <w:b/>
          <w:sz w:val="24"/>
          <w:szCs w:val="24"/>
        </w:rPr>
        <w:tab/>
      </w:r>
      <w:r w:rsidRPr="007C0C88">
        <w:rPr>
          <w:rFonts w:ascii="Gadugi" w:hAnsi="Gadugi"/>
          <w:b/>
          <w:sz w:val="24"/>
          <w:szCs w:val="24"/>
        </w:rPr>
        <w:tab/>
      </w:r>
    </w:p>
    <w:p w14:paraId="491994BC" w14:textId="2233669C" w:rsidR="007D7AEB" w:rsidRPr="007C0C88" w:rsidRDefault="006E6D71" w:rsidP="007C0C88">
      <w:pPr>
        <w:spacing w:line="276" w:lineRule="auto"/>
        <w:ind w:firstLine="1701"/>
        <w:jc w:val="both"/>
        <w:rPr>
          <w:rFonts w:ascii="Gadugi" w:hAnsi="Gadugi"/>
          <w:b/>
          <w:sz w:val="24"/>
          <w:szCs w:val="24"/>
        </w:rPr>
      </w:pPr>
      <w:r w:rsidRPr="007C0C88">
        <w:rPr>
          <w:rFonts w:ascii="Gadugi" w:hAnsi="Gadugi"/>
          <w:b/>
          <w:sz w:val="24"/>
          <w:szCs w:val="24"/>
        </w:rPr>
        <w:tab/>
      </w:r>
      <w:r w:rsidRPr="007C0C88">
        <w:rPr>
          <w:rFonts w:ascii="Gadugi" w:hAnsi="Gadugi"/>
          <w:b/>
          <w:sz w:val="24"/>
          <w:szCs w:val="24"/>
        </w:rPr>
        <w:tab/>
      </w:r>
      <w:r w:rsidRPr="007C0C88">
        <w:rPr>
          <w:rFonts w:ascii="Gadugi" w:hAnsi="Gadugi"/>
          <w:b/>
          <w:sz w:val="24"/>
          <w:szCs w:val="24"/>
        </w:rPr>
        <w:tab/>
      </w:r>
      <w:r w:rsidRPr="007C0C88">
        <w:rPr>
          <w:rFonts w:ascii="Gadugi" w:hAnsi="Gadugi"/>
          <w:b/>
          <w:sz w:val="24"/>
          <w:szCs w:val="24"/>
        </w:rPr>
        <w:tab/>
      </w:r>
    </w:p>
    <w:p w14:paraId="3DA7F00B" w14:textId="28070C89" w:rsidR="004F62EE" w:rsidRPr="007C0C88" w:rsidRDefault="00483C03" w:rsidP="007C0C88">
      <w:pPr>
        <w:spacing w:line="276" w:lineRule="auto"/>
        <w:ind w:firstLine="1701"/>
        <w:jc w:val="both"/>
        <w:rPr>
          <w:rFonts w:ascii="Gadugi" w:hAnsi="Gadugi"/>
          <w:sz w:val="24"/>
          <w:szCs w:val="24"/>
        </w:rPr>
      </w:pPr>
      <w:r w:rsidRPr="007C0C88">
        <w:rPr>
          <w:rFonts w:ascii="Gadugi" w:hAnsi="Gadugi"/>
          <w:sz w:val="24"/>
          <w:szCs w:val="24"/>
        </w:rPr>
        <w:t xml:space="preserve">1.1. </w:t>
      </w:r>
      <w:r w:rsidR="001A319C" w:rsidRPr="007C0C88">
        <w:rPr>
          <w:rFonts w:ascii="Gadugi" w:hAnsi="Gadugi"/>
          <w:sz w:val="24"/>
          <w:szCs w:val="24"/>
        </w:rPr>
        <w:t>Cont</w:t>
      </w:r>
      <w:r w:rsidR="003745EA" w:rsidRPr="007C0C88">
        <w:rPr>
          <w:rFonts w:ascii="Gadugi" w:hAnsi="Gadugi"/>
          <w:sz w:val="24"/>
          <w:szCs w:val="24"/>
        </w:rPr>
        <w:t xml:space="preserve">aron los demandantes que </w:t>
      </w:r>
      <w:r w:rsidR="0089765F" w:rsidRPr="007C0C88">
        <w:rPr>
          <w:rFonts w:ascii="Gadugi" w:hAnsi="Gadugi"/>
          <w:sz w:val="24"/>
          <w:szCs w:val="24"/>
        </w:rPr>
        <w:t>sus residencias están ubicadas al margen de la Avenida del Río</w:t>
      </w:r>
      <w:r w:rsidR="00A30744" w:rsidRPr="007C0C88">
        <w:rPr>
          <w:rFonts w:ascii="Gadugi" w:hAnsi="Gadugi"/>
          <w:sz w:val="24"/>
          <w:szCs w:val="24"/>
        </w:rPr>
        <w:t xml:space="preserve">; </w:t>
      </w:r>
      <w:r w:rsidR="00711868" w:rsidRPr="007C0C88">
        <w:rPr>
          <w:rFonts w:ascii="Gadugi" w:hAnsi="Gadugi"/>
          <w:sz w:val="24"/>
          <w:szCs w:val="24"/>
        </w:rPr>
        <w:t>por el riesgo de desastre,</w:t>
      </w:r>
      <w:r w:rsidR="0089765F" w:rsidRPr="007C0C88">
        <w:rPr>
          <w:rFonts w:ascii="Gadugi" w:hAnsi="Gadugi"/>
          <w:sz w:val="24"/>
          <w:szCs w:val="24"/>
        </w:rPr>
        <w:t xml:space="preserve"> mediante </w:t>
      </w:r>
      <w:r w:rsidR="00E97E5D" w:rsidRPr="007C0C88">
        <w:rPr>
          <w:rFonts w:ascii="Gadugi" w:hAnsi="Gadugi"/>
          <w:sz w:val="24"/>
          <w:szCs w:val="24"/>
        </w:rPr>
        <w:t xml:space="preserve">el Decreto 0841 del 24 de junio de 2022 la Alcaldía de Pereira ordenó el desalojo de sus viviendas, con ocasión de lo cual, </w:t>
      </w:r>
      <w:r w:rsidR="004F62EE" w:rsidRPr="007C0C88">
        <w:rPr>
          <w:rFonts w:ascii="Gadugi" w:hAnsi="Gadugi"/>
          <w:sz w:val="24"/>
          <w:szCs w:val="24"/>
        </w:rPr>
        <w:t xml:space="preserve">y sin ninguna concertación con la comunidad, </w:t>
      </w:r>
      <w:r w:rsidR="00E97E5D" w:rsidRPr="007C0C88">
        <w:rPr>
          <w:rFonts w:ascii="Gadugi" w:hAnsi="Gadugi"/>
          <w:sz w:val="24"/>
          <w:szCs w:val="24"/>
        </w:rPr>
        <w:t xml:space="preserve">el Inspector Primero de Policía de la ciudad fijó </w:t>
      </w:r>
      <w:r w:rsidR="00711868" w:rsidRPr="007C0C88">
        <w:rPr>
          <w:rFonts w:ascii="Gadugi" w:hAnsi="Gadugi"/>
          <w:sz w:val="24"/>
          <w:szCs w:val="24"/>
        </w:rPr>
        <w:t xml:space="preserve">como </w:t>
      </w:r>
      <w:r w:rsidR="00E97E5D" w:rsidRPr="007C0C88">
        <w:rPr>
          <w:rFonts w:ascii="Gadugi" w:hAnsi="Gadugi"/>
          <w:sz w:val="24"/>
          <w:szCs w:val="24"/>
        </w:rPr>
        <w:t xml:space="preserve">fecha </w:t>
      </w:r>
      <w:r w:rsidR="00711868" w:rsidRPr="007C0C88">
        <w:rPr>
          <w:rFonts w:ascii="Gadugi" w:hAnsi="Gadugi"/>
          <w:sz w:val="24"/>
          <w:szCs w:val="24"/>
        </w:rPr>
        <w:t xml:space="preserve">y hora </w:t>
      </w:r>
      <w:r w:rsidR="00E97E5D" w:rsidRPr="007C0C88">
        <w:rPr>
          <w:rFonts w:ascii="Gadugi" w:hAnsi="Gadugi"/>
          <w:sz w:val="24"/>
          <w:szCs w:val="24"/>
        </w:rPr>
        <w:t>para la desocupación, el 1° de julio a las 8:00 a.m.</w:t>
      </w:r>
    </w:p>
    <w:p w14:paraId="1A50024D" w14:textId="0A74FEB8" w:rsidR="004F62EE" w:rsidRPr="007C0C88" w:rsidRDefault="004F62EE" w:rsidP="007C0C88">
      <w:pPr>
        <w:spacing w:line="276" w:lineRule="auto"/>
        <w:ind w:firstLine="1701"/>
        <w:jc w:val="both"/>
        <w:rPr>
          <w:rFonts w:ascii="Gadugi" w:hAnsi="Gadugi"/>
          <w:sz w:val="24"/>
          <w:szCs w:val="24"/>
        </w:rPr>
      </w:pPr>
    </w:p>
    <w:p w14:paraId="0C7AC5FA" w14:textId="7ABA15C0" w:rsidR="00711868" w:rsidRPr="007C0C88" w:rsidRDefault="004F62EE" w:rsidP="007C0C88">
      <w:pPr>
        <w:spacing w:line="276" w:lineRule="auto"/>
        <w:ind w:firstLine="1701"/>
        <w:jc w:val="both"/>
        <w:rPr>
          <w:rFonts w:ascii="Gadugi" w:hAnsi="Gadugi"/>
          <w:sz w:val="24"/>
          <w:szCs w:val="24"/>
        </w:rPr>
      </w:pPr>
      <w:r w:rsidRPr="007C0C88">
        <w:rPr>
          <w:rFonts w:ascii="Gadugi" w:hAnsi="Gadugi"/>
          <w:sz w:val="24"/>
          <w:szCs w:val="24"/>
        </w:rPr>
        <w:t>P</w:t>
      </w:r>
      <w:r w:rsidR="00711868" w:rsidRPr="007C0C88">
        <w:rPr>
          <w:rFonts w:ascii="Gadugi" w:hAnsi="Gadugi"/>
          <w:sz w:val="24"/>
          <w:szCs w:val="24"/>
        </w:rPr>
        <w:t>or otra parte, reprocharon el subsidio de arrendamiento que les ofrecen por $320.000,</w:t>
      </w:r>
      <w:r w:rsidR="00F47177">
        <w:rPr>
          <w:rFonts w:ascii="Gadugi" w:hAnsi="Gadugi"/>
          <w:sz w:val="24"/>
          <w:szCs w:val="24"/>
        </w:rPr>
        <w:t>00</w:t>
      </w:r>
      <w:r w:rsidR="00711868" w:rsidRPr="007C0C88">
        <w:rPr>
          <w:rFonts w:ascii="Gadugi" w:hAnsi="Gadugi"/>
          <w:sz w:val="24"/>
          <w:szCs w:val="24"/>
        </w:rPr>
        <w:t xml:space="preserve">, el cual califican de insuficiente. </w:t>
      </w:r>
      <w:r w:rsidR="00C53C65" w:rsidRPr="007C0C88">
        <w:rPr>
          <w:rFonts w:ascii="Gadugi" w:hAnsi="Gadugi"/>
          <w:sz w:val="24"/>
          <w:szCs w:val="24"/>
        </w:rPr>
        <w:t xml:space="preserve">También aseguraron que la Alcaldía de Pereira está incumpliendo lo ordenado en la sentencia </w:t>
      </w:r>
      <w:r w:rsidR="00972D10" w:rsidRPr="007C0C88">
        <w:rPr>
          <w:rFonts w:ascii="Gadugi" w:hAnsi="Gadugi"/>
          <w:sz w:val="24"/>
          <w:szCs w:val="24"/>
        </w:rPr>
        <w:t xml:space="preserve">T-631/13 de la Corte Constitucional en la que se le </w:t>
      </w:r>
      <w:r w:rsidR="00A30744" w:rsidRPr="007C0C88">
        <w:rPr>
          <w:rFonts w:ascii="Gadugi" w:hAnsi="Gadugi"/>
          <w:sz w:val="24"/>
          <w:szCs w:val="24"/>
        </w:rPr>
        <w:t>impuso</w:t>
      </w:r>
      <w:r w:rsidR="00972D10" w:rsidRPr="007C0C88">
        <w:rPr>
          <w:rFonts w:ascii="Gadugi" w:hAnsi="Gadugi"/>
          <w:sz w:val="24"/>
          <w:szCs w:val="24"/>
        </w:rPr>
        <w:t xml:space="preserve"> a esa autoridad reubicar en una vivienda digna a los vecinos de ese sector. </w:t>
      </w:r>
    </w:p>
    <w:p w14:paraId="16435E71" w14:textId="318ADC9C" w:rsidR="00711868" w:rsidRPr="007C0C88" w:rsidRDefault="00711868" w:rsidP="007C0C88">
      <w:pPr>
        <w:spacing w:line="276" w:lineRule="auto"/>
        <w:ind w:firstLine="1701"/>
        <w:jc w:val="both"/>
        <w:rPr>
          <w:rFonts w:ascii="Gadugi" w:hAnsi="Gadugi"/>
          <w:sz w:val="24"/>
          <w:szCs w:val="24"/>
        </w:rPr>
      </w:pPr>
    </w:p>
    <w:p w14:paraId="09610039" w14:textId="4FE150C6" w:rsidR="00711868" w:rsidRDefault="00711868" w:rsidP="007C0C88">
      <w:pPr>
        <w:spacing w:line="276" w:lineRule="auto"/>
        <w:ind w:firstLine="1701"/>
        <w:jc w:val="both"/>
        <w:rPr>
          <w:rFonts w:ascii="Gadugi" w:hAnsi="Gadugi"/>
          <w:i/>
          <w:sz w:val="24"/>
          <w:szCs w:val="24"/>
        </w:rPr>
      </w:pPr>
      <w:r w:rsidRPr="007C0C88">
        <w:rPr>
          <w:rFonts w:ascii="Gadugi" w:hAnsi="Gadugi"/>
          <w:sz w:val="24"/>
          <w:szCs w:val="24"/>
        </w:rPr>
        <w:t xml:space="preserve">Pidieron, entonces, </w:t>
      </w:r>
      <w:r w:rsidR="003F4BFB" w:rsidRPr="007C0C88">
        <w:rPr>
          <w:rFonts w:ascii="Gadugi" w:hAnsi="Gadugi"/>
          <w:sz w:val="24"/>
          <w:szCs w:val="24"/>
        </w:rPr>
        <w:t xml:space="preserve">que se </w:t>
      </w:r>
      <w:r w:rsidRPr="007C0C88">
        <w:rPr>
          <w:rFonts w:ascii="Gadugi" w:hAnsi="Gadugi"/>
          <w:sz w:val="24"/>
          <w:szCs w:val="24"/>
        </w:rPr>
        <w:t>ordenar</w:t>
      </w:r>
      <w:r w:rsidR="003F4BFB" w:rsidRPr="007C0C88">
        <w:rPr>
          <w:rFonts w:ascii="Gadugi" w:hAnsi="Gadugi"/>
          <w:sz w:val="24"/>
          <w:szCs w:val="24"/>
        </w:rPr>
        <w:t>a</w:t>
      </w:r>
      <w:r w:rsidRPr="007C0C88">
        <w:rPr>
          <w:rFonts w:ascii="Gadugi" w:hAnsi="Gadugi"/>
          <w:sz w:val="24"/>
          <w:szCs w:val="24"/>
        </w:rPr>
        <w:t xml:space="preserve"> a las autoridades accionadas (i) </w:t>
      </w:r>
      <w:r w:rsidRPr="007C0C88">
        <w:rPr>
          <w:rFonts w:ascii="Gadugi" w:hAnsi="Gadugi"/>
          <w:i/>
          <w:sz w:val="24"/>
          <w:szCs w:val="24"/>
        </w:rPr>
        <w:t>“</w:t>
      </w:r>
      <w:r w:rsidRPr="00E02B21">
        <w:rPr>
          <w:rFonts w:ascii="Gadugi" w:hAnsi="Gadugi"/>
          <w:i/>
          <w:sz w:val="22"/>
          <w:szCs w:val="24"/>
        </w:rPr>
        <w:t>(…) mirar otras soluciones alternativas, diferentes a una decisión extrema de erradicación de personas que durante décadas han vivido en este sector</w:t>
      </w:r>
      <w:r w:rsidRPr="007C0C88">
        <w:rPr>
          <w:rFonts w:ascii="Gadugi" w:hAnsi="Gadugi"/>
          <w:i/>
          <w:sz w:val="24"/>
          <w:szCs w:val="24"/>
        </w:rPr>
        <w:t xml:space="preserve">.” </w:t>
      </w:r>
      <w:r w:rsidRPr="007C0C88">
        <w:rPr>
          <w:rFonts w:ascii="Gadugi" w:hAnsi="Gadugi"/>
          <w:sz w:val="24"/>
          <w:szCs w:val="24"/>
        </w:rPr>
        <w:t xml:space="preserve">(ii) Establecer una mesa de concertación, citando a la Gobernación de Risaralda y al Ministerio de Medio </w:t>
      </w:r>
      <w:r w:rsidRPr="007C0C88">
        <w:rPr>
          <w:rFonts w:ascii="Gadugi" w:hAnsi="Gadugi"/>
          <w:sz w:val="24"/>
          <w:szCs w:val="24"/>
        </w:rPr>
        <w:lastRenderedPageBreak/>
        <w:t>Ambiente; (iii)</w:t>
      </w:r>
      <w:r w:rsidR="001B0D9A" w:rsidRPr="007C0C88">
        <w:rPr>
          <w:rFonts w:ascii="Gadugi" w:hAnsi="Gadugi"/>
          <w:sz w:val="24"/>
          <w:szCs w:val="24"/>
        </w:rPr>
        <w:t xml:space="preserve"> Y</w:t>
      </w:r>
      <w:r w:rsidRPr="007C0C88">
        <w:rPr>
          <w:rFonts w:ascii="Gadugi" w:hAnsi="Gadugi"/>
          <w:sz w:val="24"/>
          <w:szCs w:val="24"/>
        </w:rPr>
        <w:t xml:space="preserve"> </w:t>
      </w:r>
      <w:r w:rsidR="001B0D9A" w:rsidRPr="007C0C88">
        <w:rPr>
          <w:rFonts w:ascii="Gadugi" w:hAnsi="Gadugi"/>
          <w:sz w:val="24"/>
          <w:szCs w:val="24"/>
        </w:rPr>
        <w:t>c</w:t>
      </w:r>
      <w:r w:rsidRPr="007C0C88">
        <w:rPr>
          <w:rFonts w:ascii="Gadugi" w:hAnsi="Gadugi"/>
          <w:sz w:val="24"/>
          <w:szCs w:val="24"/>
        </w:rPr>
        <w:t>oncertar las medidas de desocupación con planes reales de contingencia y garantizar una vivienda digna a los accionantes.</w:t>
      </w:r>
      <w:r w:rsidR="00483C03" w:rsidRPr="007C0C88">
        <w:rPr>
          <w:rFonts w:ascii="Gadugi" w:hAnsi="Gadugi"/>
          <w:sz w:val="24"/>
          <w:szCs w:val="24"/>
        </w:rPr>
        <w:t xml:space="preserve"> Como medida provisional solicitaron la suspensión de la diligencia programada para el 1° de julio y </w:t>
      </w:r>
      <w:r w:rsidR="00483C03" w:rsidRPr="007C0C88">
        <w:rPr>
          <w:rFonts w:ascii="Gadugi" w:hAnsi="Gadugi"/>
          <w:i/>
          <w:sz w:val="24"/>
          <w:szCs w:val="24"/>
        </w:rPr>
        <w:t>“</w:t>
      </w:r>
      <w:r w:rsidR="00483C03" w:rsidRPr="00E02B21">
        <w:rPr>
          <w:rFonts w:ascii="Gadugi" w:hAnsi="Gadugi"/>
          <w:i/>
          <w:sz w:val="22"/>
          <w:szCs w:val="24"/>
        </w:rPr>
        <w:t>(…) establecer una mesa de concertación (…) para su efectiva reubicación, con un plan real de contingencia, entre tanto se arriba a una solución definitiva, respetándoseles el debido proceso. Tal reubicación deberá tener una debida partida presupuestal designada, que no implique un mero subsidio de arrendamiento de $320.000 que a todas luces es insuficiente (…)</w:t>
      </w:r>
      <w:r w:rsidR="00483C03" w:rsidRPr="007C0C88">
        <w:rPr>
          <w:rFonts w:ascii="Gadugi" w:hAnsi="Gadugi"/>
          <w:i/>
          <w:sz w:val="24"/>
          <w:szCs w:val="24"/>
        </w:rPr>
        <w:t>”.</w:t>
      </w:r>
      <w:r w:rsidR="001B0D9A" w:rsidRPr="007C0C88">
        <w:rPr>
          <w:rStyle w:val="Refdenotaalpie"/>
          <w:rFonts w:ascii="Gadugi" w:hAnsi="Gadugi"/>
          <w:i/>
          <w:sz w:val="24"/>
          <w:szCs w:val="24"/>
        </w:rPr>
        <w:footnoteReference w:id="1"/>
      </w:r>
      <w:r w:rsidR="00483C03" w:rsidRPr="007C0C88">
        <w:rPr>
          <w:rFonts w:ascii="Gadugi" w:hAnsi="Gadugi"/>
          <w:i/>
          <w:sz w:val="24"/>
          <w:szCs w:val="24"/>
        </w:rPr>
        <w:t xml:space="preserve"> </w:t>
      </w:r>
    </w:p>
    <w:p w14:paraId="11E496AC" w14:textId="77777777" w:rsidR="00F47177" w:rsidRPr="007C0C88" w:rsidRDefault="00F47177" w:rsidP="007C0C88">
      <w:pPr>
        <w:spacing w:line="276" w:lineRule="auto"/>
        <w:ind w:firstLine="1701"/>
        <w:jc w:val="both"/>
        <w:rPr>
          <w:rFonts w:ascii="Gadugi" w:hAnsi="Gadugi"/>
          <w:sz w:val="24"/>
          <w:szCs w:val="24"/>
        </w:rPr>
      </w:pPr>
    </w:p>
    <w:p w14:paraId="259BC962" w14:textId="39D4710B" w:rsidR="00483C03" w:rsidRPr="007C0C88" w:rsidRDefault="00483C03" w:rsidP="007C0C88">
      <w:pPr>
        <w:spacing w:line="276" w:lineRule="auto"/>
        <w:ind w:firstLine="1701"/>
        <w:jc w:val="both"/>
        <w:rPr>
          <w:rFonts w:ascii="Gadugi" w:hAnsi="Gadugi"/>
          <w:sz w:val="24"/>
          <w:szCs w:val="24"/>
        </w:rPr>
      </w:pPr>
      <w:r w:rsidRPr="007C0C88">
        <w:rPr>
          <w:rFonts w:ascii="Gadugi" w:hAnsi="Gadugi"/>
          <w:sz w:val="24"/>
          <w:szCs w:val="24"/>
        </w:rPr>
        <w:t>1.2. En primera instancia se dio impulso al trámite con auto del 30 de junio de 2022, como medida provisional se decretó la suspensión del desalojo</w:t>
      </w:r>
      <w:r w:rsidR="001B0D9A" w:rsidRPr="007C0C88">
        <w:rPr>
          <w:rStyle w:val="Refdenotaalpie"/>
          <w:rFonts w:ascii="Gadugi" w:hAnsi="Gadugi"/>
          <w:sz w:val="24"/>
          <w:szCs w:val="24"/>
        </w:rPr>
        <w:footnoteReference w:id="2"/>
      </w:r>
      <w:r w:rsidRPr="007C0C88">
        <w:rPr>
          <w:rFonts w:ascii="Gadugi" w:hAnsi="Gadugi"/>
          <w:sz w:val="24"/>
          <w:szCs w:val="24"/>
        </w:rPr>
        <w:t xml:space="preserve">; mediante proveído del 11 de julio se acumuló a este juicio la acción de tutela con radicado 66001410500120220031400, procedente del Juzgado Primero de Pequeñas Causas Laborales de la ciudad, iniciada por María Rubiela Higuita de Rivera contra  la </w:t>
      </w:r>
      <w:r w:rsidR="006D0CCE" w:rsidRPr="007C0C88">
        <w:rPr>
          <w:rFonts w:ascii="Gadugi" w:hAnsi="Gadugi"/>
          <w:sz w:val="24"/>
          <w:szCs w:val="24"/>
        </w:rPr>
        <w:t>Secretaría de Vivienda Social del Municipio</w:t>
      </w:r>
      <w:r w:rsidRPr="007C0C88">
        <w:rPr>
          <w:rFonts w:ascii="Gadugi" w:hAnsi="Gadugi"/>
          <w:sz w:val="24"/>
          <w:szCs w:val="24"/>
        </w:rPr>
        <w:t xml:space="preserve">, las </w:t>
      </w:r>
      <w:r w:rsidR="006D0CCE" w:rsidRPr="007C0C88">
        <w:rPr>
          <w:rFonts w:ascii="Gadugi" w:hAnsi="Gadugi"/>
          <w:sz w:val="24"/>
          <w:szCs w:val="24"/>
        </w:rPr>
        <w:t>Inspecciones</w:t>
      </w:r>
      <w:r w:rsidRPr="007C0C88">
        <w:rPr>
          <w:rFonts w:ascii="Gadugi" w:hAnsi="Gadugi"/>
          <w:sz w:val="24"/>
          <w:szCs w:val="24"/>
        </w:rPr>
        <w:t xml:space="preserve"> </w:t>
      </w:r>
      <w:r w:rsidR="006D0CCE" w:rsidRPr="007C0C88">
        <w:rPr>
          <w:rFonts w:ascii="Gadugi" w:hAnsi="Gadugi"/>
          <w:sz w:val="24"/>
          <w:szCs w:val="24"/>
        </w:rPr>
        <w:t>de</w:t>
      </w:r>
      <w:r w:rsidRPr="007C0C88">
        <w:rPr>
          <w:rFonts w:ascii="Gadugi" w:hAnsi="Gadugi"/>
          <w:sz w:val="24"/>
          <w:szCs w:val="24"/>
        </w:rPr>
        <w:t xml:space="preserve"> </w:t>
      </w:r>
      <w:r w:rsidR="006D0CCE" w:rsidRPr="007C0C88">
        <w:rPr>
          <w:rFonts w:ascii="Gadugi" w:hAnsi="Gadugi"/>
          <w:sz w:val="24"/>
          <w:szCs w:val="24"/>
        </w:rPr>
        <w:t>Policía Primera y</w:t>
      </w:r>
      <w:r w:rsidRPr="007C0C88">
        <w:rPr>
          <w:rFonts w:ascii="Gadugi" w:hAnsi="Gadugi"/>
          <w:sz w:val="24"/>
          <w:szCs w:val="24"/>
        </w:rPr>
        <w:t xml:space="preserve"> </w:t>
      </w:r>
      <w:r w:rsidR="006D0CCE" w:rsidRPr="007C0C88">
        <w:rPr>
          <w:rFonts w:ascii="Gadugi" w:hAnsi="Gadugi"/>
          <w:sz w:val="24"/>
          <w:szCs w:val="24"/>
        </w:rPr>
        <w:t>Catorce</w:t>
      </w:r>
      <w:r w:rsidRPr="007C0C88">
        <w:rPr>
          <w:rFonts w:ascii="Gadugi" w:hAnsi="Gadugi"/>
          <w:sz w:val="24"/>
          <w:szCs w:val="24"/>
        </w:rPr>
        <w:t xml:space="preserve"> </w:t>
      </w:r>
      <w:r w:rsidR="006D0CCE" w:rsidRPr="007C0C88">
        <w:rPr>
          <w:rFonts w:ascii="Gadugi" w:hAnsi="Gadugi"/>
          <w:sz w:val="24"/>
          <w:szCs w:val="24"/>
        </w:rPr>
        <w:t>de</w:t>
      </w:r>
      <w:r w:rsidRPr="007C0C88">
        <w:rPr>
          <w:rFonts w:ascii="Gadugi" w:hAnsi="Gadugi"/>
          <w:sz w:val="24"/>
          <w:szCs w:val="24"/>
        </w:rPr>
        <w:t xml:space="preserve"> </w:t>
      </w:r>
      <w:r w:rsidR="006D0CCE" w:rsidRPr="007C0C88">
        <w:rPr>
          <w:rFonts w:ascii="Gadugi" w:hAnsi="Gadugi"/>
          <w:sz w:val="24"/>
          <w:szCs w:val="24"/>
        </w:rPr>
        <w:t>Pereira</w:t>
      </w:r>
      <w:r w:rsidRPr="007C0C88">
        <w:rPr>
          <w:rFonts w:ascii="Gadugi" w:hAnsi="Gadugi"/>
          <w:sz w:val="24"/>
          <w:szCs w:val="24"/>
        </w:rPr>
        <w:t>,</w:t>
      </w:r>
      <w:r w:rsidR="006D0CCE" w:rsidRPr="007C0C88">
        <w:rPr>
          <w:rFonts w:ascii="Gadugi" w:hAnsi="Gadugi"/>
          <w:sz w:val="24"/>
          <w:szCs w:val="24"/>
        </w:rPr>
        <w:t xml:space="preserve"> la</w:t>
      </w:r>
      <w:r w:rsidRPr="007C0C88">
        <w:rPr>
          <w:rFonts w:ascii="Gadugi" w:hAnsi="Gadugi"/>
          <w:sz w:val="24"/>
          <w:szCs w:val="24"/>
        </w:rPr>
        <w:t xml:space="preserve"> </w:t>
      </w:r>
      <w:r w:rsidR="006D0CCE" w:rsidRPr="007C0C88">
        <w:rPr>
          <w:rFonts w:ascii="Gadugi" w:hAnsi="Gadugi"/>
          <w:sz w:val="24"/>
          <w:szCs w:val="24"/>
        </w:rPr>
        <w:t>Personería</w:t>
      </w:r>
      <w:r w:rsidRPr="007C0C88">
        <w:rPr>
          <w:rFonts w:ascii="Gadugi" w:hAnsi="Gadugi"/>
          <w:sz w:val="24"/>
          <w:szCs w:val="24"/>
        </w:rPr>
        <w:t xml:space="preserve"> </w:t>
      </w:r>
      <w:r w:rsidR="006D0CCE" w:rsidRPr="007C0C88">
        <w:rPr>
          <w:rFonts w:ascii="Gadugi" w:hAnsi="Gadugi"/>
          <w:sz w:val="24"/>
          <w:szCs w:val="24"/>
        </w:rPr>
        <w:t>de este municipio</w:t>
      </w:r>
      <w:r w:rsidRPr="007C0C88">
        <w:rPr>
          <w:rFonts w:ascii="Gadugi" w:hAnsi="Gadugi"/>
          <w:sz w:val="24"/>
          <w:szCs w:val="24"/>
        </w:rPr>
        <w:t xml:space="preserve">, </w:t>
      </w:r>
      <w:r w:rsidR="006D0CCE" w:rsidRPr="007C0C88">
        <w:rPr>
          <w:rFonts w:ascii="Gadugi" w:hAnsi="Gadugi"/>
          <w:sz w:val="24"/>
          <w:szCs w:val="24"/>
        </w:rPr>
        <w:t xml:space="preserve">la </w:t>
      </w:r>
      <w:r w:rsidRPr="007C0C88">
        <w:rPr>
          <w:rFonts w:ascii="Gadugi" w:hAnsi="Gadugi"/>
          <w:sz w:val="24"/>
          <w:szCs w:val="24"/>
        </w:rPr>
        <w:t xml:space="preserve">DIGER, y </w:t>
      </w:r>
      <w:r w:rsidR="006D0CCE" w:rsidRPr="007C0C88">
        <w:rPr>
          <w:rFonts w:ascii="Gadugi" w:hAnsi="Gadugi"/>
          <w:sz w:val="24"/>
          <w:szCs w:val="24"/>
        </w:rPr>
        <w:t xml:space="preserve">la </w:t>
      </w:r>
      <w:r w:rsidRPr="007C0C88">
        <w:rPr>
          <w:rFonts w:ascii="Gadugi" w:hAnsi="Gadugi"/>
          <w:sz w:val="24"/>
          <w:szCs w:val="24"/>
        </w:rPr>
        <w:t>CARDER</w:t>
      </w:r>
      <w:r w:rsidR="006D0CCE" w:rsidRPr="007C0C88">
        <w:rPr>
          <w:rFonts w:ascii="Gadugi" w:hAnsi="Gadugi"/>
          <w:sz w:val="24"/>
          <w:szCs w:val="24"/>
        </w:rPr>
        <w:t>.</w:t>
      </w:r>
      <w:r w:rsidR="001B0D9A" w:rsidRPr="007C0C88">
        <w:rPr>
          <w:rStyle w:val="Refdenotaalpie"/>
          <w:rFonts w:ascii="Gadugi" w:hAnsi="Gadugi"/>
          <w:sz w:val="24"/>
          <w:szCs w:val="24"/>
        </w:rPr>
        <w:footnoteReference w:id="3"/>
      </w:r>
    </w:p>
    <w:p w14:paraId="118433D8" w14:textId="77777777" w:rsidR="006D0CCE" w:rsidRPr="007C0C88" w:rsidRDefault="006D0CCE" w:rsidP="007C0C88">
      <w:pPr>
        <w:spacing w:line="276" w:lineRule="auto"/>
        <w:ind w:firstLine="1701"/>
        <w:jc w:val="both"/>
        <w:rPr>
          <w:rFonts w:ascii="Gadugi" w:hAnsi="Gadugi"/>
          <w:sz w:val="24"/>
          <w:szCs w:val="24"/>
        </w:rPr>
      </w:pPr>
    </w:p>
    <w:p w14:paraId="25AB8B59" w14:textId="1998D2E2" w:rsidR="00B64C9E" w:rsidRPr="007C0C88" w:rsidRDefault="006D0CCE" w:rsidP="007C0C88">
      <w:pPr>
        <w:spacing w:line="276" w:lineRule="auto"/>
        <w:ind w:firstLine="1701"/>
        <w:jc w:val="both"/>
        <w:rPr>
          <w:rFonts w:ascii="Gadugi" w:hAnsi="Gadugi"/>
          <w:sz w:val="24"/>
          <w:szCs w:val="24"/>
        </w:rPr>
      </w:pPr>
      <w:r w:rsidRPr="007C0C88">
        <w:rPr>
          <w:rFonts w:ascii="Gadugi" w:hAnsi="Gadugi"/>
          <w:sz w:val="24"/>
          <w:szCs w:val="24"/>
        </w:rPr>
        <w:t>1.3. La</w:t>
      </w:r>
      <w:r w:rsidR="00EA7DC5" w:rsidRPr="007C0C88">
        <w:rPr>
          <w:rFonts w:ascii="Gadugi" w:hAnsi="Gadugi"/>
          <w:sz w:val="24"/>
          <w:szCs w:val="24"/>
        </w:rPr>
        <w:t>s</w:t>
      </w:r>
      <w:r w:rsidRPr="007C0C88">
        <w:rPr>
          <w:rFonts w:ascii="Gadugi" w:hAnsi="Gadugi"/>
          <w:sz w:val="24"/>
          <w:szCs w:val="24"/>
        </w:rPr>
        <w:t xml:space="preserve"> Inspecci</w:t>
      </w:r>
      <w:r w:rsidR="00EA7DC5" w:rsidRPr="007C0C88">
        <w:rPr>
          <w:rFonts w:ascii="Gadugi" w:hAnsi="Gadugi"/>
          <w:sz w:val="24"/>
          <w:szCs w:val="24"/>
        </w:rPr>
        <w:t>ones Primera</w:t>
      </w:r>
      <w:r w:rsidR="001B0D9A" w:rsidRPr="007C0C88">
        <w:rPr>
          <w:rStyle w:val="Refdenotaalpie"/>
          <w:rFonts w:ascii="Gadugi" w:hAnsi="Gadugi"/>
          <w:sz w:val="24"/>
          <w:szCs w:val="24"/>
        </w:rPr>
        <w:footnoteReference w:id="4"/>
      </w:r>
      <w:r w:rsidR="00EA7DC5" w:rsidRPr="007C0C88">
        <w:rPr>
          <w:rFonts w:ascii="Gadugi" w:hAnsi="Gadugi"/>
          <w:sz w:val="24"/>
          <w:szCs w:val="24"/>
        </w:rPr>
        <w:t xml:space="preserve"> y Catorce</w:t>
      </w:r>
      <w:r w:rsidR="001B0D9A" w:rsidRPr="007C0C88">
        <w:rPr>
          <w:rStyle w:val="Refdenotaalpie"/>
          <w:rFonts w:ascii="Gadugi" w:hAnsi="Gadugi"/>
          <w:sz w:val="24"/>
          <w:szCs w:val="24"/>
        </w:rPr>
        <w:footnoteReference w:id="5"/>
      </w:r>
      <w:r w:rsidRPr="007C0C88">
        <w:rPr>
          <w:rFonts w:ascii="Gadugi" w:hAnsi="Gadugi"/>
          <w:sz w:val="24"/>
          <w:szCs w:val="24"/>
        </w:rPr>
        <w:t xml:space="preserve"> de Policía de Pereira, </w:t>
      </w:r>
      <w:r w:rsidR="00B64C9E" w:rsidRPr="007C0C88">
        <w:rPr>
          <w:rFonts w:ascii="Gadugi" w:hAnsi="Gadugi"/>
          <w:sz w:val="24"/>
          <w:szCs w:val="24"/>
        </w:rPr>
        <w:t>indic</w:t>
      </w:r>
      <w:r w:rsidR="00972D10" w:rsidRPr="007C0C88">
        <w:rPr>
          <w:rFonts w:ascii="Gadugi" w:hAnsi="Gadugi"/>
          <w:sz w:val="24"/>
          <w:szCs w:val="24"/>
        </w:rPr>
        <w:t>aron</w:t>
      </w:r>
      <w:r w:rsidR="00B64C9E" w:rsidRPr="007C0C88">
        <w:rPr>
          <w:rFonts w:ascii="Gadugi" w:hAnsi="Gadugi"/>
          <w:sz w:val="24"/>
          <w:szCs w:val="24"/>
        </w:rPr>
        <w:t xml:space="preserve"> que sus actuaciones están dir</w:t>
      </w:r>
      <w:r w:rsidR="003F4BFB" w:rsidRPr="007C0C88">
        <w:rPr>
          <w:rFonts w:ascii="Gadugi" w:hAnsi="Gadugi"/>
          <w:sz w:val="24"/>
          <w:szCs w:val="24"/>
        </w:rPr>
        <w:t>igidas</w:t>
      </w:r>
      <w:r w:rsidR="00B64C9E" w:rsidRPr="007C0C88">
        <w:rPr>
          <w:rFonts w:ascii="Gadugi" w:hAnsi="Gadugi"/>
          <w:sz w:val="24"/>
          <w:szCs w:val="24"/>
        </w:rPr>
        <w:t xml:space="preserve"> por la Alcaldía, que es la primera autoridad del Municipio, la que, a su turno</w:t>
      </w:r>
      <w:r w:rsidR="003F4BFB" w:rsidRPr="007C0C88">
        <w:rPr>
          <w:rFonts w:ascii="Gadugi" w:hAnsi="Gadugi"/>
          <w:sz w:val="24"/>
          <w:szCs w:val="24"/>
        </w:rPr>
        <w:t>,</w:t>
      </w:r>
      <w:r w:rsidRPr="007C0C88">
        <w:rPr>
          <w:rFonts w:ascii="Gadugi" w:hAnsi="Gadugi"/>
          <w:sz w:val="24"/>
          <w:szCs w:val="24"/>
        </w:rPr>
        <w:t xml:space="preserve"> </w:t>
      </w:r>
      <w:r w:rsidR="00B64C9E" w:rsidRPr="007C0C88">
        <w:rPr>
          <w:rFonts w:ascii="Gadugi" w:hAnsi="Gadugi"/>
          <w:sz w:val="24"/>
          <w:szCs w:val="24"/>
        </w:rPr>
        <w:t xml:space="preserve">emitió la decisión de desalojo </w:t>
      </w:r>
      <w:r w:rsidR="00B64C9E" w:rsidRPr="007C0C88">
        <w:rPr>
          <w:rFonts w:ascii="Gadugi" w:hAnsi="Gadugi"/>
          <w:i/>
          <w:sz w:val="24"/>
          <w:szCs w:val="24"/>
        </w:rPr>
        <w:t>“</w:t>
      </w:r>
      <w:r w:rsidR="00B64C9E" w:rsidRPr="00E02B21">
        <w:rPr>
          <w:rFonts w:ascii="Gadugi" w:hAnsi="Gadugi"/>
          <w:i/>
          <w:sz w:val="22"/>
          <w:szCs w:val="24"/>
        </w:rPr>
        <w:t>(…) con el fin de salvaguardar el derecho fundamental de todos los ciudadanos afectados con ocasión del deslizamiento de tipo traslacional superficial ocurrido el día 23 de junio de 2022 en la ladera norte del Rio Otún (…)</w:t>
      </w:r>
      <w:r w:rsidR="00B64C9E" w:rsidRPr="007C0C88">
        <w:rPr>
          <w:rFonts w:ascii="Gadugi" w:hAnsi="Gadugi"/>
          <w:i/>
          <w:sz w:val="24"/>
          <w:szCs w:val="24"/>
        </w:rPr>
        <w:t>”.</w:t>
      </w:r>
      <w:r w:rsidR="00F47177">
        <w:rPr>
          <w:rFonts w:ascii="Gadugi" w:hAnsi="Gadugi"/>
          <w:i/>
          <w:sz w:val="24"/>
          <w:szCs w:val="24"/>
        </w:rPr>
        <w:t xml:space="preserve">  </w:t>
      </w:r>
      <w:r w:rsidR="00B64C9E" w:rsidRPr="007C0C88">
        <w:rPr>
          <w:rFonts w:ascii="Gadugi" w:hAnsi="Gadugi"/>
          <w:sz w:val="24"/>
          <w:szCs w:val="24"/>
        </w:rPr>
        <w:t>Agregó que</w:t>
      </w:r>
      <w:r w:rsidR="003F4BFB" w:rsidRPr="007C0C88">
        <w:rPr>
          <w:rFonts w:ascii="Gadugi" w:hAnsi="Gadugi"/>
          <w:sz w:val="24"/>
          <w:szCs w:val="24"/>
        </w:rPr>
        <w:t xml:space="preserve"> el 25 de junio </w:t>
      </w:r>
      <w:r w:rsidR="00B64C9E" w:rsidRPr="007C0C88">
        <w:rPr>
          <w:rFonts w:ascii="Gadugi" w:hAnsi="Gadugi"/>
          <w:sz w:val="24"/>
          <w:szCs w:val="24"/>
        </w:rPr>
        <w:t>la Subsecretaría de Seguridad y Convivencia Ciudadana</w:t>
      </w:r>
      <w:r w:rsidR="003F4BFB" w:rsidRPr="007C0C88">
        <w:rPr>
          <w:rFonts w:ascii="Gadugi" w:hAnsi="Gadugi"/>
          <w:sz w:val="24"/>
          <w:szCs w:val="24"/>
        </w:rPr>
        <w:t xml:space="preserve"> </w:t>
      </w:r>
      <w:r w:rsidR="00B64C9E" w:rsidRPr="007C0C88">
        <w:rPr>
          <w:rFonts w:ascii="Gadugi" w:hAnsi="Gadugi"/>
          <w:sz w:val="24"/>
          <w:szCs w:val="24"/>
        </w:rPr>
        <w:t xml:space="preserve">procuró la comunicación de la orden de desalojo, pero los residentes del sector se negaron a recibir y firmar la notificación. </w:t>
      </w:r>
    </w:p>
    <w:p w14:paraId="3FA7FA79" w14:textId="77777777" w:rsidR="00B64C9E" w:rsidRPr="007C0C88" w:rsidRDefault="00B64C9E" w:rsidP="007C0C88">
      <w:pPr>
        <w:spacing w:line="276" w:lineRule="auto"/>
        <w:ind w:firstLine="1701"/>
        <w:jc w:val="both"/>
        <w:rPr>
          <w:rFonts w:ascii="Gadugi" w:hAnsi="Gadugi"/>
          <w:sz w:val="24"/>
          <w:szCs w:val="24"/>
        </w:rPr>
      </w:pPr>
    </w:p>
    <w:p w14:paraId="51540CF9" w14:textId="74C8A273" w:rsidR="007449F6" w:rsidRPr="007C0C88" w:rsidRDefault="00B64C9E" w:rsidP="007C0C88">
      <w:pPr>
        <w:spacing w:line="276" w:lineRule="auto"/>
        <w:ind w:firstLine="1701"/>
        <w:jc w:val="both"/>
        <w:rPr>
          <w:rFonts w:ascii="Gadugi" w:hAnsi="Gadugi"/>
          <w:sz w:val="24"/>
          <w:szCs w:val="24"/>
        </w:rPr>
      </w:pPr>
      <w:r w:rsidRPr="007C0C88">
        <w:rPr>
          <w:rFonts w:ascii="Gadugi" w:hAnsi="Gadugi"/>
          <w:sz w:val="24"/>
          <w:szCs w:val="24"/>
        </w:rPr>
        <w:t xml:space="preserve">1.4. </w:t>
      </w:r>
      <w:r w:rsidR="007449F6" w:rsidRPr="007C0C88">
        <w:rPr>
          <w:rFonts w:ascii="Gadugi" w:hAnsi="Gadugi"/>
          <w:sz w:val="24"/>
          <w:szCs w:val="24"/>
        </w:rPr>
        <w:t>La Gobernación de Risaralda</w:t>
      </w:r>
      <w:r w:rsidR="001B0D9A" w:rsidRPr="007C0C88">
        <w:rPr>
          <w:rStyle w:val="Refdenotaalpie"/>
          <w:rFonts w:ascii="Gadugi" w:hAnsi="Gadugi"/>
          <w:sz w:val="24"/>
          <w:szCs w:val="24"/>
        </w:rPr>
        <w:footnoteReference w:id="6"/>
      </w:r>
      <w:r w:rsidR="00E372B3" w:rsidRPr="007C0C88">
        <w:rPr>
          <w:rFonts w:ascii="Gadugi" w:hAnsi="Gadugi"/>
          <w:sz w:val="24"/>
          <w:szCs w:val="24"/>
        </w:rPr>
        <w:t>, la CARDER</w:t>
      </w:r>
      <w:r w:rsidR="001B0D9A" w:rsidRPr="007C0C88">
        <w:rPr>
          <w:rStyle w:val="Refdenotaalpie"/>
          <w:rFonts w:ascii="Gadugi" w:hAnsi="Gadugi"/>
          <w:sz w:val="24"/>
          <w:szCs w:val="24"/>
        </w:rPr>
        <w:footnoteReference w:id="7"/>
      </w:r>
      <w:r w:rsidR="00E372B3" w:rsidRPr="007C0C88">
        <w:rPr>
          <w:rFonts w:ascii="Gadugi" w:hAnsi="Gadugi"/>
          <w:sz w:val="24"/>
          <w:szCs w:val="24"/>
        </w:rPr>
        <w:t>,</w:t>
      </w:r>
      <w:r w:rsidR="007449F6" w:rsidRPr="007C0C88">
        <w:rPr>
          <w:rFonts w:ascii="Gadugi" w:hAnsi="Gadugi"/>
          <w:sz w:val="24"/>
          <w:szCs w:val="24"/>
        </w:rPr>
        <w:t xml:space="preserve"> </w:t>
      </w:r>
      <w:r w:rsidR="00E372B3" w:rsidRPr="007C0C88">
        <w:rPr>
          <w:rFonts w:ascii="Gadugi" w:hAnsi="Gadugi"/>
          <w:sz w:val="24"/>
          <w:szCs w:val="24"/>
        </w:rPr>
        <w:t>y la Personería de Pereira</w:t>
      </w:r>
      <w:r w:rsidR="001B0D9A" w:rsidRPr="007C0C88">
        <w:rPr>
          <w:rStyle w:val="Refdenotaalpie"/>
          <w:rFonts w:ascii="Gadugi" w:hAnsi="Gadugi"/>
          <w:sz w:val="24"/>
          <w:szCs w:val="24"/>
        </w:rPr>
        <w:footnoteReference w:id="8"/>
      </w:r>
      <w:r w:rsidR="00E372B3" w:rsidRPr="007C0C88">
        <w:rPr>
          <w:rFonts w:ascii="Gadugi" w:hAnsi="Gadugi"/>
          <w:sz w:val="24"/>
          <w:szCs w:val="24"/>
        </w:rPr>
        <w:t xml:space="preserve">, </w:t>
      </w:r>
      <w:r w:rsidR="007449F6" w:rsidRPr="007C0C88">
        <w:rPr>
          <w:rFonts w:ascii="Gadugi" w:hAnsi="Gadugi"/>
          <w:sz w:val="24"/>
          <w:szCs w:val="24"/>
        </w:rPr>
        <w:t>adu</w:t>
      </w:r>
      <w:r w:rsidR="00E372B3" w:rsidRPr="007C0C88">
        <w:rPr>
          <w:rFonts w:ascii="Gadugi" w:hAnsi="Gadugi"/>
          <w:sz w:val="24"/>
          <w:szCs w:val="24"/>
        </w:rPr>
        <w:t>jeron</w:t>
      </w:r>
      <w:r w:rsidR="007449F6" w:rsidRPr="007C0C88">
        <w:rPr>
          <w:rFonts w:ascii="Gadugi" w:hAnsi="Gadugi"/>
          <w:sz w:val="24"/>
          <w:szCs w:val="24"/>
        </w:rPr>
        <w:t xml:space="preserve"> su falta de legitimación en la causa por pasiva.</w:t>
      </w:r>
    </w:p>
    <w:p w14:paraId="4CE0B6BA" w14:textId="77777777" w:rsidR="007449F6" w:rsidRPr="007C0C88" w:rsidRDefault="007449F6" w:rsidP="007C0C88">
      <w:pPr>
        <w:spacing w:line="276" w:lineRule="auto"/>
        <w:ind w:firstLine="1701"/>
        <w:jc w:val="both"/>
        <w:rPr>
          <w:rFonts w:ascii="Gadugi" w:hAnsi="Gadugi"/>
          <w:sz w:val="24"/>
          <w:szCs w:val="24"/>
        </w:rPr>
      </w:pPr>
    </w:p>
    <w:p w14:paraId="14DA9099" w14:textId="544607E6" w:rsidR="00E97E5D" w:rsidRPr="007C0C88" w:rsidRDefault="007449F6" w:rsidP="007C0C88">
      <w:pPr>
        <w:spacing w:line="276" w:lineRule="auto"/>
        <w:ind w:firstLine="1701"/>
        <w:jc w:val="both"/>
        <w:rPr>
          <w:rFonts w:ascii="Gadugi" w:hAnsi="Gadugi"/>
          <w:i/>
          <w:sz w:val="24"/>
          <w:szCs w:val="24"/>
        </w:rPr>
      </w:pPr>
      <w:r w:rsidRPr="007C0C88">
        <w:rPr>
          <w:rFonts w:ascii="Gadugi" w:hAnsi="Gadugi"/>
          <w:sz w:val="24"/>
          <w:szCs w:val="24"/>
        </w:rPr>
        <w:t>1.5. La Alcaldía de Pereira explicó que</w:t>
      </w:r>
      <w:r w:rsidR="00D86A00" w:rsidRPr="007C0C88">
        <w:rPr>
          <w:rFonts w:ascii="Gadugi" w:hAnsi="Gadugi"/>
          <w:sz w:val="24"/>
          <w:szCs w:val="24"/>
        </w:rPr>
        <w:t>,</w:t>
      </w:r>
      <w:r w:rsidRPr="007C0C88">
        <w:rPr>
          <w:rFonts w:ascii="Gadugi" w:hAnsi="Gadugi"/>
          <w:sz w:val="24"/>
          <w:szCs w:val="24"/>
        </w:rPr>
        <w:t xml:space="preserve"> con ocasión al deslizamiento de tierra del pasado </w:t>
      </w:r>
      <w:r w:rsidR="00D86A00" w:rsidRPr="007C0C88">
        <w:rPr>
          <w:rFonts w:ascii="Gadugi" w:hAnsi="Gadugi"/>
          <w:sz w:val="24"/>
          <w:szCs w:val="24"/>
        </w:rPr>
        <w:t xml:space="preserve">23 de junio de 2022, se ordenó la desocupación de los inmuebles que se encuentran en riesgo en el sector de la Avenida del Río. Agregó que </w:t>
      </w:r>
      <w:r w:rsidR="00D86A00" w:rsidRPr="007C0C88">
        <w:rPr>
          <w:rFonts w:ascii="Gadugi" w:hAnsi="Gadugi"/>
          <w:i/>
          <w:sz w:val="24"/>
          <w:szCs w:val="24"/>
        </w:rPr>
        <w:t>“</w:t>
      </w:r>
      <w:r w:rsidR="00D86A00" w:rsidRPr="00E02B21">
        <w:rPr>
          <w:rFonts w:ascii="Gadugi" w:hAnsi="Gadugi"/>
          <w:i/>
          <w:sz w:val="22"/>
          <w:szCs w:val="24"/>
        </w:rPr>
        <w:t>(…) el artículo 202 de la Ley 1801 de 2016, establece la competencia extraordinaria de policía de los alcaldes, ante situaciones de emergencia y calamidad, para ordenar medidas, con el único fin de proteger y auxiliar a las personas y evitar perjuicios mayores, entre las que están ordenar la desocupación inmediata, sin perjuicio del consentimiento del propietario</w:t>
      </w:r>
      <w:r w:rsidR="00D86A00" w:rsidRPr="007C0C88">
        <w:rPr>
          <w:rFonts w:ascii="Gadugi" w:hAnsi="Gadugi"/>
          <w:i/>
          <w:sz w:val="24"/>
          <w:szCs w:val="24"/>
        </w:rPr>
        <w:t>.”</w:t>
      </w:r>
      <w:r w:rsidR="00E97E5D" w:rsidRPr="007C0C88">
        <w:rPr>
          <w:rFonts w:ascii="Gadugi" w:hAnsi="Gadugi"/>
          <w:i/>
          <w:sz w:val="24"/>
          <w:szCs w:val="24"/>
        </w:rPr>
        <w:tab/>
      </w:r>
      <w:r w:rsidR="00E97E5D" w:rsidRPr="007C0C88">
        <w:rPr>
          <w:rFonts w:ascii="Gadugi" w:hAnsi="Gadugi"/>
          <w:i/>
          <w:sz w:val="24"/>
          <w:szCs w:val="24"/>
        </w:rPr>
        <w:tab/>
      </w:r>
    </w:p>
    <w:p w14:paraId="1722DD57" w14:textId="3C8B934A" w:rsidR="006D0CCE" w:rsidRPr="007C0C88" w:rsidRDefault="006D0CCE" w:rsidP="007C0C88">
      <w:pPr>
        <w:spacing w:line="276" w:lineRule="auto"/>
        <w:ind w:firstLine="1701"/>
        <w:jc w:val="both"/>
        <w:rPr>
          <w:rFonts w:ascii="Gadugi" w:hAnsi="Gadugi"/>
          <w:sz w:val="24"/>
          <w:szCs w:val="24"/>
        </w:rPr>
      </w:pPr>
    </w:p>
    <w:p w14:paraId="519E4AFC" w14:textId="2B7A5FCA" w:rsidR="00D86A00" w:rsidRPr="007C0C88" w:rsidRDefault="00D86A00" w:rsidP="007C0C88">
      <w:pPr>
        <w:spacing w:line="276" w:lineRule="auto"/>
        <w:ind w:firstLine="1701"/>
        <w:jc w:val="both"/>
        <w:rPr>
          <w:rFonts w:ascii="Gadugi" w:hAnsi="Gadugi"/>
          <w:sz w:val="24"/>
          <w:szCs w:val="24"/>
        </w:rPr>
      </w:pPr>
      <w:r w:rsidRPr="007C0C88">
        <w:rPr>
          <w:rFonts w:ascii="Gadugi" w:hAnsi="Gadugi"/>
          <w:sz w:val="24"/>
          <w:szCs w:val="24"/>
        </w:rPr>
        <w:t xml:space="preserve">También </w:t>
      </w:r>
      <w:r w:rsidR="007D3F97" w:rsidRPr="007C0C88">
        <w:rPr>
          <w:rFonts w:ascii="Gadugi" w:hAnsi="Gadugi"/>
          <w:sz w:val="24"/>
          <w:szCs w:val="24"/>
        </w:rPr>
        <w:t>señaló</w:t>
      </w:r>
      <w:r w:rsidRPr="007C0C88">
        <w:rPr>
          <w:rFonts w:ascii="Gadugi" w:hAnsi="Gadugi"/>
          <w:sz w:val="24"/>
          <w:szCs w:val="24"/>
        </w:rPr>
        <w:t xml:space="preserve"> que </w:t>
      </w:r>
      <w:r w:rsidR="00E372B3" w:rsidRPr="007C0C88">
        <w:rPr>
          <w:rFonts w:ascii="Gadugi" w:hAnsi="Gadugi"/>
          <w:sz w:val="24"/>
          <w:szCs w:val="24"/>
        </w:rPr>
        <w:t xml:space="preserve">el monto de los subsidios para el arrendamiento está reglamentado por el Decreto Municipal 432 del 2019, y que pueden ser reclamados en la sede de la Cruz Roja por las personas afectadas, quienes han sido reiteradamente informadas sobre el procedimiento que deben seguir para ello. </w:t>
      </w:r>
    </w:p>
    <w:p w14:paraId="14EE33D5" w14:textId="2A09C4BD" w:rsidR="003745EA" w:rsidRPr="007C0C88" w:rsidRDefault="003745EA" w:rsidP="007C0C88">
      <w:pPr>
        <w:spacing w:line="276" w:lineRule="auto"/>
        <w:ind w:firstLine="1701"/>
        <w:jc w:val="both"/>
        <w:rPr>
          <w:rFonts w:ascii="Gadugi" w:hAnsi="Gadugi"/>
          <w:sz w:val="24"/>
          <w:szCs w:val="24"/>
        </w:rPr>
      </w:pPr>
    </w:p>
    <w:p w14:paraId="53CD4BF8" w14:textId="54F9E376" w:rsidR="00E372B3" w:rsidRPr="007C0C88" w:rsidRDefault="00E372B3" w:rsidP="007C0C88">
      <w:pPr>
        <w:spacing w:line="276" w:lineRule="auto"/>
        <w:ind w:firstLine="1701"/>
        <w:jc w:val="both"/>
        <w:rPr>
          <w:rFonts w:ascii="Gadugi" w:hAnsi="Gadugi"/>
          <w:sz w:val="24"/>
          <w:szCs w:val="24"/>
        </w:rPr>
      </w:pPr>
      <w:r w:rsidRPr="007C0C88">
        <w:rPr>
          <w:rFonts w:ascii="Gadugi" w:hAnsi="Gadugi"/>
          <w:sz w:val="24"/>
          <w:szCs w:val="24"/>
        </w:rPr>
        <w:t xml:space="preserve">Cuestionó que, por la medida previa que fue decretada en este juicio, no se pudo llevar a cabo el desalojo programado para el 1° de julio con lo cual se </w:t>
      </w:r>
      <w:r w:rsidR="007D3F97" w:rsidRPr="007C0C88">
        <w:rPr>
          <w:rFonts w:ascii="Gadugi" w:hAnsi="Gadugi"/>
          <w:sz w:val="24"/>
          <w:szCs w:val="24"/>
        </w:rPr>
        <w:t>deja</w:t>
      </w:r>
      <w:r w:rsidRPr="007C0C88">
        <w:rPr>
          <w:rFonts w:ascii="Gadugi" w:hAnsi="Gadugi"/>
          <w:sz w:val="24"/>
          <w:szCs w:val="24"/>
        </w:rPr>
        <w:t xml:space="preserve"> en riesgo la vida de las personas que viven en esa zona. </w:t>
      </w:r>
    </w:p>
    <w:p w14:paraId="4953B056" w14:textId="46D54CC5" w:rsidR="00EA7DC5" w:rsidRPr="007C0C88" w:rsidRDefault="00EA7DC5" w:rsidP="007C0C88">
      <w:pPr>
        <w:spacing w:line="276" w:lineRule="auto"/>
        <w:ind w:firstLine="1701"/>
        <w:jc w:val="both"/>
        <w:rPr>
          <w:rFonts w:ascii="Gadugi" w:hAnsi="Gadugi"/>
          <w:sz w:val="24"/>
          <w:szCs w:val="24"/>
        </w:rPr>
      </w:pPr>
    </w:p>
    <w:p w14:paraId="7FEEF110" w14:textId="557E691B" w:rsidR="00EA7DC5" w:rsidRPr="007C0C88" w:rsidRDefault="00EA7DC5" w:rsidP="007C0C88">
      <w:pPr>
        <w:spacing w:line="276" w:lineRule="auto"/>
        <w:ind w:firstLine="1701"/>
        <w:jc w:val="both"/>
        <w:rPr>
          <w:rFonts w:ascii="Gadugi" w:hAnsi="Gadugi"/>
          <w:sz w:val="24"/>
          <w:szCs w:val="24"/>
        </w:rPr>
      </w:pPr>
      <w:r w:rsidRPr="007C0C88">
        <w:rPr>
          <w:rFonts w:ascii="Gadugi" w:hAnsi="Gadugi"/>
          <w:sz w:val="24"/>
          <w:szCs w:val="24"/>
        </w:rPr>
        <w:t>Finalmente denunció que una de las accionantes, la señora Alba Mery Lancheros Franco, inició otra acción de tutela cuyo propósito es el mismo que el de esta, y de la que conoce el Juzgado Cuarto Civil Municipal de Pereira bajo el radicado 2022-00569-00.</w:t>
      </w:r>
      <w:r w:rsidR="001B0D9A" w:rsidRPr="007C0C88">
        <w:rPr>
          <w:rStyle w:val="Refdenotaalpie"/>
          <w:rFonts w:ascii="Gadugi" w:hAnsi="Gadugi"/>
          <w:sz w:val="24"/>
          <w:szCs w:val="24"/>
        </w:rPr>
        <w:footnoteReference w:id="9"/>
      </w:r>
      <w:r w:rsidRPr="007C0C88">
        <w:rPr>
          <w:rFonts w:ascii="Gadugi" w:hAnsi="Gadugi"/>
          <w:sz w:val="24"/>
          <w:szCs w:val="24"/>
        </w:rPr>
        <w:t xml:space="preserve"> </w:t>
      </w:r>
    </w:p>
    <w:p w14:paraId="237B28B4" w14:textId="77777777" w:rsidR="00EA7DC5" w:rsidRPr="007C0C88" w:rsidRDefault="00EA7DC5" w:rsidP="007C0C88">
      <w:pPr>
        <w:spacing w:line="276" w:lineRule="auto"/>
        <w:ind w:firstLine="1701"/>
        <w:jc w:val="both"/>
        <w:rPr>
          <w:rFonts w:ascii="Gadugi" w:hAnsi="Gadugi"/>
          <w:sz w:val="24"/>
          <w:szCs w:val="24"/>
        </w:rPr>
      </w:pPr>
    </w:p>
    <w:p w14:paraId="6F090839" w14:textId="66BF3840" w:rsidR="00EA7DC5" w:rsidRPr="007C0C88" w:rsidRDefault="00EA7DC5" w:rsidP="007C0C88">
      <w:pPr>
        <w:spacing w:line="276" w:lineRule="auto"/>
        <w:ind w:firstLine="1701"/>
        <w:jc w:val="both"/>
        <w:rPr>
          <w:rFonts w:ascii="Gadugi" w:hAnsi="Gadugi"/>
          <w:sz w:val="24"/>
          <w:szCs w:val="24"/>
        </w:rPr>
      </w:pPr>
      <w:r w:rsidRPr="007C0C88">
        <w:rPr>
          <w:rFonts w:ascii="Gadugi" w:hAnsi="Gadugi"/>
          <w:sz w:val="24"/>
          <w:szCs w:val="24"/>
        </w:rPr>
        <w:t>1.6. El Juzgado Cuarto Civil Municipal de Pereira, arrimó un auto del 6 de julio de 2022, mediante el cual se acepta el desistimiento de la accionante en la tutela 2022-00569-00.</w:t>
      </w:r>
      <w:r w:rsidR="00A70A41" w:rsidRPr="007C0C88">
        <w:rPr>
          <w:rStyle w:val="Refdenotaalpie"/>
          <w:rFonts w:ascii="Gadugi" w:hAnsi="Gadugi"/>
          <w:sz w:val="24"/>
          <w:szCs w:val="24"/>
        </w:rPr>
        <w:footnoteReference w:id="10"/>
      </w:r>
    </w:p>
    <w:p w14:paraId="69A6407B" w14:textId="5389902B" w:rsidR="0089765F" w:rsidRPr="007C0C88" w:rsidRDefault="0089765F" w:rsidP="007C0C88">
      <w:pPr>
        <w:spacing w:line="276" w:lineRule="auto"/>
        <w:ind w:firstLine="1701"/>
        <w:jc w:val="both"/>
        <w:rPr>
          <w:rFonts w:ascii="Gadugi" w:hAnsi="Gadugi"/>
          <w:sz w:val="24"/>
          <w:szCs w:val="24"/>
        </w:rPr>
      </w:pPr>
    </w:p>
    <w:p w14:paraId="5F6CA74C" w14:textId="6FA7E78E" w:rsidR="00EA7DC5" w:rsidRPr="007C0C88" w:rsidRDefault="00EA7DC5" w:rsidP="007C0C88">
      <w:pPr>
        <w:spacing w:line="276" w:lineRule="auto"/>
        <w:ind w:firstLine="1701"/>
        <w:jc w:val="both"/>
        <w:rPr>
          <w:rFonts w:ascii="Gadugi" w:hAnsi="Gadugi"/>
          <w:sz w:val="24"/>
          <w:szCs w:val="24"/>
        </w:rPr>
      </w:pPr>
      <w:r w:rsidRPr="007C0C88">
        <w:rPr>
          <w:rFonts w:ascii="Gadugi" w:hAnsi="Gadugi"/>
          <w:sz w:val="24"/>
          <w:szCs w:val="24"/>
        </w:rPr>
        <w:t>1.7. Con decisión del 6 de julio de 2022, el despacho de primera instancia levantó la medida provisional que decretó en la admisión del juicio</w:t>
      </w:r>
      <w:r w:rsidR="002266FC" w:rsidRPr="007C0C88">
        <w:rPr>
          <w:rFonts w:ascii="Gadugi" w:hAnsi="Gadugi"/>
          <w:sz w:val="24"/>
          <w:szCs w:val="24"/>
        </w:rPr>
        <w:t xml:space="preserve"> </w:t>
      </w:r>
      <w:r w:rsidR="002266FC" w:rsidRPr="007C0C88">
        <w:rPr>
          <w:rFonts w:ascii="Gadugi" w:hAnsi="Gadugi"/>
          <w:i/>
          <w:sz w:val="24"/>
          <w:szCs w:val="24"/>
        </w:rPr>
        <w:t>“</w:t>
      </w:r>
      <w:r w:rsidR="002266FC" w:rsidRPr="00E02B21">
        <w:rPr>
          <w:rFonts w:ascii="Gadugi" w:hAnsi="Gadugi"/>
          <w:i/>
          <w:sz w:val="22"/>
          <w:szCs w:val="24"/>
        </w:rPr>
        <w:t>(…) para que se proceda a programar nuevamente la diligencia de desocupación ordenada en Decreto 0841 del 24 de junio de 2022</w:t>
      </w:r>
      <w:r w:rsidR="002266FC" w:rsidRPr="007C0C88">
        <w:rPr>
          <w:rFonts w:ascii="Gadugi" w:hAnsi="Gadugi"/>
          <w:i/>
          <w:sz w:val="24"/>
          <w:szCs w:val="24"/>
        </w:rPr>
        <w:t xml:space="preserve">.”.; </w:t>
      </w:r>
      <w:r w:rsidR="002266FC" w:rsidRPr="007C0C88">
        <w:rPr>
          <w:rFonts w:ascii="Gadugi" w:hAnsi="Gadugi"/>
          <w:sz w:val="24"/>
          <w:szCs w:val="24"/>
        </w:rPr>
        <w:t xml:space="preserve">pero en todo caso, se decretó otra medida para que el Alcalde de Pereira, ofrezca a los accionantes, </w:t>
      </w:r>
      <w:r w:rsidR="002266FC" w:rsidRPr="007C0C88">
        <w:rPr>
          <w:rFonts w:ascii="Gadugi" w:hAnsi="Gadugi"/>
          <w:i/>
          <w:sz w:val="24"/>
          <w:szCs w:val="24"/>
        </w:rPr>
        <w:t>“</w:t>
      </w:r>
      <w:r w:rsidR="002266FC" w:rsidRPr="00E02B21">
        <w:rPr>
          <w:rFonts w:ascii="Gadugi" w:hAnsi="Gadugi"/>
          <w:i/>
          <w:sz w:val="22"/>
          <w:szCs w:val="24"/>
        </w:rPr>
        <w:t>(…) un albergue o residencia temporal o la asignación efectiva del subsidio de arrendamiento, así como cualquier otra medida contenida en la normatividad, o recomendada por las dependencias de la Alcaldía Municipal de la ciudad, para atender a la población afectada por situaciones de calamidad pública, como es este caso, mientras se tramita la presente acción constitucional, y se dicta sentencia que resuelva de fondo el asunto (…)</w:t>
      </w:r>
      <w:r w:rsidR="002266FC" w:rsidRPr="007C0C88">
        <w:rPr>
          <w:rFonts w:ascii="Gadugi" w:hAnsi="Gadugi"/>
          <w:i/>
          <w:sz w:val="24"/>
          <w:szCs w:val="24"/>
        </w:rPr>
        <w:t>.”</w:t>
      </w:r>
      <w:r w:rsidR="00A70A41" w:rsidRPr="007C0C88">
        <w:rPr>
          <w:rStyle w:val="Refdenotaalpie"/>
          <w:rFonts w:ascii="Gadugi" w:hAnsi="Gadugi"/>
          <w:i/>
          <w:sz w:val="24"/>
          <w:szCs w:val="24"/>
        </w:rPr>
        <w:footnoteReference w:id="11"/>
      </w:r>
    </w:p>
    <w:p w14:paraId="22C9AE23" w14:textId="575C0A23" w:rsidR="0089765F" w:rsidRPr="007C0C88" w:rsidRDefault="0089765F" w:rsidP="007C0C88">
      <w:pPr>
        <w:spacing w:line="276" w:lineRule="auto"/>
        <w:ind w:firstLine="1701"/>
        <w:jc w:val="both"/>
        <w:rPr>
          <w:rFonts w:ascii="Gadugi" w:hAnsi="Gadugi"/>
          <w:sz w:val="24"/>
          <w:szCs w:val="24"/>
        </w:rPr>
      </w:pPr>
    </w:p>
    <w:p w14:paraId="00FDD48F" w14:textId="1008938B" w:rsidR="002266FC" w:rsidRPr="007C0C88" w:rsidRDefault="00B8582B" w:rsidP="007C0C88">
      <w:pPr>
        <w:spacing w:line="276" w:lineRule="auto"/>
        <w:ind w:firstLine="1701"/>
        <w:jc w:val="both"/>
        <w:rPr>
          <w:rFonts w:ascii="Gadugi" w:hAnsi="Gadugi"/>
          <w:sz w:val="24"/>
          <w:szCs w:val="24"/>
        </w:rPr>
      </w:pPr>
      <w:r w:rsidRPr="007C0C88">
        <w:rPr>
          <w:rFonts w:ascii="Gadugi" w:hAnsi="Gadugi"/>
          <w:sz w:val="24"/>
          <w:szCs w:val="24"/>
        </w:rPr>
        <w:t xml:space="preserve">1.8. </w:t>
      </w:r>
      <w:r w:rsidR="002266FC" w:rsidRPr="007C0C88">
        <w:rPr>
          <w:rFonts w:ascii="Gadugi" w:hAnsi="Gadugi"/>
          <w:sz w:val="24"/>
          <w:szCs w:val="24"/>
        </w:rPr>
        <w:t xml:space="preserve">Sobrevino la sentencia de primera instancia en la que se concedió la protección, </w:t>
      </w:r>
      <w:r w:rsidR="0060119A" w:rsidRPr="007C0C88">
        <w:rPr>
          <w:rFonts w:ascii="Gadugi" w:hAnsi="Gadugi"/>
          <w:sz w:val="24"/>
          <w:szCs w:val="24"/>
        </w:rPr>
        <w:t>dado que</w:t>
      </w:r>
      <w:r w:rsidR="00D57B6B" w:rsidRPr="007C0C88">
        <w:rPr>
          <w:rFonts w:ascii="Gadugi" w:hAnsi="Gadugi"/>
          <w:sz w:val="24"/>
          <w:szCs w:val="24"/>
        </w:rPr>
        <w:t xml:space="preserve"> </w:t>
      </w:r>
      <w:r w:rsidRPr="007C0C88">
        <w:rPr>
          <w:rFonts w:ascii="Gadugi" w:hAnsi="Gadugi"/>
          <w:sz w:val="24"/>
          <w:szCs w:val="24"/>
        </w:rPr>
        <w:t xml:space="preserve">la alcaldía de Pereira a </w:t>
      </w:r>
      <w:r w:rsidRPr="007C0C88">
        <w:rPr>
          <w:rFonts w:ascii="Gadugi" w:hAnsi="Gadugi"/>
          <w:i/>
          <w:sz w:val="24"/>
          <w:szCs w:val="24"/>
        </w:rPr>
        <w:t>“</w:t>
      </w:r>
      <w:r w:rsidRPr="00E02B21">
        <w:rPr>
          <w:rFonts w:ascii="Gadugi" w:hAnsi="Gadugi"/>
          <w:i/>
          <w:sz w:val="22"/>
          <w:szCs w:val="24"/>
        </w:rPr>
        <w:t>(…) tiene el deber de realizar todas las actuaciones administrativas para que los accionantes puedan acceder ya sea a la medida de albergue o residencia transitoria o al pago efectivo e inmediato del subsidio de arrendamiento, previo el cumplimiento de los requisitos definidos en la ley, mientras la administración municipal adelanta las acciones tendientes a garantizar el acceso a una vivienda en forma definitiva o cuando la autoridad competente les autorice regresar a su inmueble luego de verificarse que el riesgo ha desparecido (…)</w:t>
      </w:r>
      <w:r w:rsidRPr="007C0C88">
        <w:rPr>
          <w:rFonts w:ascii="Gadugi" w:hAnsi="Gadugi"/>
          <w:i/>
          <w:sz w:val="24"/>
          <w:szCs w:val="24"/>
        </w:rPr>
        <w:t>”.</w:t>
      </w:r>
      <w:r w:rsidRPr="007C0C88">
        <w:rPr>
          <w:rFonts w:ascii="Gadugi" w:hAnsi="Gadugi"/>
          <w:sz w:val="24"/>
          <w:szCs w:val="24"/>
        </w:rPr>
        <w:t xml:space="preserve"> En esos términos fue la orden que se le impartió al alcalde de Pereira; a la Personería se le ordenó brindar </w:t>
      </w:r>
      <w:r w:rsidRPr="007C0C88">
        <w:rPr>
          <w:rFonts w:ascii="Gadugi" w:hAnsi="Gadugi"/>
          <w:sz w:val="24"/>
          <w:szCs w:val="24"/>
        </w:rPr>
        <w:lastRenderedPageBreak/>
        <w:t>acompañamiento en el desalojo; respecto de las demás autoridades la tutela fue declarada improcedente.</w:t>
      </w:r>
      <w:r w:rsidR="00A70A41" w:rsidRPr="007C0C88">
        <w:rPr>
          <w:rStyle w:val="Refdenotaalpie"/>
          <w:rFonts w:ascii="Gadugi" w:hAnsi="Gadugi"/>
          <w:sz w:val="24"/>
          <w:szCs w:val="24"/>
        </w:rPr>
        <w:footnoteReference w:id="12"/>
      </w:r>
      <w:r w:rsidRPr="007C0C88">
        <w:rPr>
          <w:rFonts w:ascii="Gadugi" w:hAnsi="Gadugi"/>
          <w:sz w:val="24"/>
          <w:szCs w:val="24"/>
        </w:rPr>
        <w:t xml:space="preserve"> </w:t>
      </w:r>
    </w:p>
    <w:p w14:paraId="49192EE3" w14:textId="66288DAC" w:rsidR="00B8582B" w:rsidRPr="007C0C88" w:rsidRDefault="00B8582B" w:rsidP="007C0C88">
      <w:pPr>
        <w:spacing w:line="276" w:lineRule="auto"/>
        <w:ind w:firstLine="1701"/>
        <w:jc w:val="both"/>
        <w:rPr>
          <w:rFonts w:ascii="Gadugi" w:hAnsi="Gadugi"/>
          <w:sz w:val="24"/>
          <w:szCs w:val="24"/>
        </w:rPr>
      </w:pPr>
    </w:p>
    <w:p w14:paraId="3CCFE17E" w14:textId="24C7AF6D" w:rsidR="00B8582B" w:rsidRPr="007C0C88" w:rsidRDefault="00972D10" w:rsidP="007C0C88">
      <w:pPr>
        <w:spacing w:line="276" w:lineRule="auto"/>
        <w:ind w:firstLine="1701"/>
        <w:jc w:val="both"/>
        <w:rPr>
          <w:rFonts w:ascii="Gadugi" w:hAnsi="Gadugi"/>
          <w:sz w:val="24"/>
          <w:szCs w:val="24"/>
        </w:rPr>
      </w:pPr>
      <w:r w:rsidRPr="007C0C88">
        <w:rPr>
          <w:rFonts w:ascii="Gadugi" w:hAnsi="Gadugi"/>
          <w:sz w:val="24"/>
          <w:szCs w:val="24"/>
        </w:rPr>
        <w:t xml:space="preserve">1.9. </w:t>
      </w:r>
      <w:r w:rsidR="00B8582B" w:rsidRPr="007C0C88">
        <w:rPr>
          <w:rFonts w:ascii="Gadugi" w:hAnsi="Gadugi"/>
          <w:sz w:val="24"/>
          <w:szCs w:val="24"/>
        </w:rPr>
        <w:t>Impugnaron los accionantes quienes quedaron inconformes porque resultaron exonerados la Nación, el Departamento de Risaralda, la CARDER, la Defensoría del Pueblo y los Ministerios del Medio Ambiente y de Vivienda, pues a su juicio, son autoridades que deben estar involucradas en la presente problemática.</w:t>
      </w:r>
      <w:r w:rsidR="00A70A41" w:rsidRPr="007C0C88">
        <w:rPr>
          <w:rStyle w:val="Refdenotaalpie"/>
          <w:rFonts w:ascii="Gadugi" w:hAnsi="Gadugi"/>
          <w:sz w:val="24"/>
          <w:szCs w:val="24"/>
        </w:rPr>
        <w:footnoteReference w:id="13"/>
      </w:r>
      <w:r w:rsidR="00B8582B" w:rsidRPr="007C0C88">
        <w:rPr>
          <w:rFonts w:ascii="Gadugi" w:hAnsi="Gadugi"/>
          <w:sz w:val="24"/>
          <w:szCs w:val="24"/>
        </w:rPr>
        <w:t xml:space="preserve"> </w:t>
      </w:r>
    </w:p>
    <w:p w14:paraId="3AEE00F9" w14:textId="57A8111E" w:rsidR="00B8582B" w:rsidRPr="007C0C88" w:rsidRDefault="00B8582B" w:rsidP="007C0C88">
      <w:pPr>
        <w:spacing w:line="276" w:lineRule="auto"/>
        <w:ind w:firstLine="1701"/>
        <w:jc w:val="both"/>
        <w:rPr>
          <w:rFonts w:ascii="Gadugi" w:hAnsi="Gadugi"/>
          <w:sz w:val="24"/>
          <w:szCs w:val="24"/>
        </w:rPr>
      </w:pPr>
    </w:p>
    <w:p w14:paraId="2C14C1B9" w14:textId="1E6C8FAD" w:rsidR="004149E6" w:rsidRPr="007C0C88" w:rsidRDefault="00972D10" w:rsidP="007C0C88">
      <w:pPr>
        <w:spacing w:line="276" w:lineRule="auto"/>
        <w:ind w:firstLine="1701"/>
        <w:jc w:val="both"/>
        <w:rPr>
          <w:rFonts w:ascii="Gadugi" w:hAnsi="Gadugi"/>
          <w:sz w:val="24"/>
          <w:szCs w:val="24"/>
        </w:rPr>
      </w:pPr>
      <w:r w:rsidRPr="007C0C88">
        <w:rPr>
          <w:rFonts w:ascii="Gadugi" w:hAnsi="Gadugi"/>
          <w:sz w:val="24"/>
          <w:szCs w:val="24"/>
        </w:rPr>
        <w:t xml:space="preserve">1.10. </w:t>
      </w:r>
      <w:r w:rsidR="00B8582B" w:rsidRPr="007C0C88">
        <w:rPr>
          <w:rFonts w:ascii="Gadugi" w:hAnsi="Gadugi"/>
          <w:sz w:val="24"/>
          <w:szCs w:val="24"/>
        </w:rPr>
        <w:t>También impugnó la Alcaldía de Pereira,</w:t>
      </w:r>
      <w:r w:rsidR="004149E6" w:rsidRPr="007C0C88">
        <w:rPr>
          <w:rFonts w:ascii="Gadugi" w:hAnsi="Gadugi"/>
          <w:sz w:val="24"/>
          <w:szCs w:val="24"/>
        </w:rPr>
        <w:t xml:space="preserve"> aduciendo que,</w:t>
      </w:r>
      <w:r w:rsidR="00B8582B" w:rsidRPr="007C0C88">
        <w:rPr>
          <w:rFonts w:ascii="Gadugi" w:hAnsi="Gadugi"/>
          <w:sz w:val="24"/>
          <w:szCs w:val="24"/>
        </w:rPr>
        <w:t xml:space="preserve"> </w:t>
      </w:r>
      <w:r w:rsidR="004149E6" w:rsidRPr="007C0C88">
        <w:rPr>
          <w:rFonts w:ascii="Gadugi" w:hAnsi="Gadugi"/>
          <w:sz w:val="24"/>
          <w:szCs w:val="24"/>
        </w:rPr>
        <w:t xml:space="preserve">está claro que los tutelantes tienen </w:t>
      </w:r>
      <w:r w:rsidR="00524265" w:rsidRPr="007C0C88">
        <w:rPr>
          <w:rFonts w:ascii="Gadugi" w:hAnsi="Gadugi"/>
          <w:sz w:val="24"/>
          <w:szCs w:val="24"/>
        </w:rPr>
        <w:t>claro</w:t>
      </w:r>
      <w:r w:rsidR="004149E6" w:rsidRPr="007C0C88">
        <w:rPr>
          <w:rFonts w:ascii="Gadugi" w:hAnsi="Gadugi"/>
          <w:sz w:val="24"/>
          <w:szCs w:val="24"/>
        </w:rPr>
        <w:t xml:space="preserve"> los trámites para el otorgamiento del subsidio de arrendamiento temporal, lo que pasa es que, están inconformes con su monto, por lo cual, la mayoría de ellos, </w:t>
      </w:r>
      <w:r w:rsidR="2AD77B7B" w:rsidRPr="007C0C88">
        <w:rPr>
          <w:rFonts w:ascii="Gadugi" w:hAnsi="Gadugi"/>
          <w:sz w:val="24"/>
          <w:szCs w:val="24"/>
        </w:rPr>
        <w:t>no</w:t>
      </w:r>
      <w:r w:rsidR="004149E6" w:rsidRPr="007C0C88">
        <w:rPr>
          <w:rFonts w:ascii="Gadugi" w:hAnsi="Gadugi"/>
          <w:sz w:val="24"/>
          <w:szCs w:val="24"/>
        </w:rPr>
        <w:t xml:space="preserve"> se han acercado a reclamarlo; agregó que Nancy Vinasco Mejía, </w:t>
      </w:r>
      <w:proofErr w:type="spellStart"/>
      <w:r w:rsidR="004149E6" w:rsidRPr="007C0C88">
        <w:rPr>
          <w:rFonts w:ascii="Gadugi" w:hAnsi="Gadugi"/>
          <w:sz w:val="24"/>
          <w:szCs w:val="24"/>
        </w:rPr>
        <w:t>Ataniel</w:t>
      </w:r>
      <w:proofErr w:type="spellEnd"/>
      <w:r w:rsidR="004149E6" w:rsidRPr="007C0C88">
        <w:rPr>
          <w:rFonts w:ascii="Gadugi" w:hAnsi="Gadugi"/>
          <w:sz w:val="24"/>
          <w:szCs w:val="24"/>
        </w:rPr>
        <w:t xml:space="preserve"> López, </w:t>
      </w:r>
      <w:proofErr w:type="spellStart"/>
      <w:r w:rsidR="004149E6" w:rsidRPr="007C0C88">
        <w:rPr>
          <w:rFonts w:ascii="Gadugi" w:hAnsi="Gadugi"/>
          <w:sz w:val="24"/>
          <w:szCs w:val="24"/>
        </w:rPr>
        <w:t>Jhon</w:t>
      </w:r>
      <w:proofErr w:type="spellEnd"/>
      <w:r w:rsidR="004149E6" w:rsidRPr="007C0C88">
        <w:rPr>
          <w:rFonts w:ascii="Gadugi" w:hAnsi="Gadugi"/>
          <w:sz w:val="24"/>
          <w:szCs w:val="24"/>
        </w:rPr>
        <w:t xml:space="preserve"> Fredy Silva, Elizabeth Muñoz y Jhon Alexander Giraldo, </w:t>
      </w:r>
      <w:r w:rsidR="50AC6D72" w:rsidRPr="007C0C88">
        <w:rPr>
          <w:rFonts w:ascii="Gadugi" w:hAnsi="Gadugi"/>
          <w:sz w:val="24"/>
          <w:szCs w:val="24"/>
        </w:rPr>
        <w:t xml:space="preserve">no </w:t>
      </w:r>
      <w:r w:rsidR="004149E6" w:rsidRPr="007C0C88">
        <w:rPr>
          <w:rFonts w:ascii="Gadugi" w:hAnsi="Gadugi"/>
          <w:sz w:val="24"/>
          <w:szCs w:val="24"/>
        </w:rPr>
        <w:t xml:space="preserve">se encuentran dentro del censo de caracterización realizado el día de la emergencia, es decir, carecen de legitimación en la causa por activa. Y por último pidió que se revoque la sentencia negando las pretensiones de la demanda, </w:t>
      </w:r>
      <w:r w:rsidR="004149E6" w:rsidRPr="007C0C88">
        <w:rPr>
          <w:rFonts w:ascii="Gadugi" w:hAnsi="Gadugi"/>
          <w:i/>
          <w:iCs/>
          <w:sz w:val="24"/>
          <w:szCs w:val="24"/>
        </w:rPr>
        <w:t>“</w:t>
      </w:r>
      <w:r w:rsidR="004149E6" w:rsidRPr="00E02B21">
        <w:rPr>
          <w:rFonts w:ascii="Gadugi" w:hAnsi="Gadugi"/>
          <w:i/>
          <w:iCs/>
          <w:sz w:val="22"/>
          <w:szCs w:val="24"/>
        </w:rPr>
        <w:t>(…) en vista de que no existe un hecho que constituya una vulneración a derechos fundamentales; y en su lugar se inste a los tutelantes, a recibir el Subsidio de Arrendamiento, el cual se encuentra para reclamar en la sede de la cruz Roja (…)</w:t>
      </w:r>
      <w:r w:rsidR="004149E6" w:rsidRPr="007C0C88">
        <w:rPr>
          <w:rFonts w:ascii="Gadugi" w:hAnsi="Gadugi"/>
          <w:i/>
          <w:iCs/>
          <w:sz w:val="24"/>
          <w:szCs w:val="24"/>
        </w:rPr>
        <w:t>”</w:t>
      </w:r>
      <w:r w:rsidRPr="007C0C88">
        <w:rPr>
          <w:rFonts w:ascii="Gadugi" w:hAnsi="Gadugi"/>
          <w:i/>
          <w:iCs/>
          <w:sz w:val="24"/>
          <w:szCs w:val="24"/>
        </w:rPr>
        <w:t>.</w:t>
      </w:r>
      <w:r w:rsidR="00A70A41" w:rsidRPr="007C0C88">
        <w:rPr>
          <w:rStyle w:val="Refdenotaalpie"/>
          <w:rFonts w:ascii="Gadugi" w:hAnsi="Gadugi"/>
          <w:i/>
          <w:iCs/>
          <w:sz w:val="24"/>
          <w:szCs w:val="24"/>
        </w:rPr>
        <w:footnoteReference w:id="14"/>
      </w:r>
    </w:p>
    <w:p w14:paraId="6E2ABFF0" w14:textId="77777777" w:rsidR="004149E6" w:rsidRPr="007C0C88" w:rsidRDefault="004149E6" w:rsidP="007C0C88">
      <w:pPr>
        <w:spacing w:line="276" w:lineRule="auto"/>
        <w:ind w:left="2124" w:firstLine="1701"/>
        <w:jc w:val="both"/>
        <w:rPr>
          <w:rFonts w:ascii="Gadugi" w:hAnsi="Gadugi" w:cs="Arial"/>
          <w:b/>
          <w:sz w:val="24"/>
          <w:szCs w:val="24"/>
        </w:rPr>
      </w:pPr>
    </w:p>
    <w:p w14:paraId="6FCA3E9B" w14:textId="77777777" w:rsidR="00090DA3" w:rsidRPr="007C0C88" w:rsidRDefault="00090DA3" w:rsidP="007C0C88">
      <w:pPr>
        <w:spacing w:line="276" w:lineRule="auto"/>
        <w:jc w:val="both"/>
        <w:rPr>
          <w:rFonts w:ascii="Gadugi" w:hAnsi="Gadugi" w:cs="Arial"/>
          <w:b/>
          <w:sz w:val="24"/>
          <w:szCs w:val="24"/>
        </w:rPr>
      </w:pPr>
    </w:p>
    <w:p w14:paraId="407EE71E" w14:textId="3D05B1D2" w:rsidR="00E000AF" w:rsidRPr="007C0C88" w:rsidRDefault="00972D10" w:rsidP="007C0C88">
      <w:pPr>
        <w:spacing w:line="276" w:lineRule="auto"/>
        <w:ind w:firstLine="1701"/>
        <w:jc w:val="both"/>
        <w:rPr>
          <w:rFonts w:ascii="Gadugi" w:hAnsi="Gadugi" w:cs="Arial"/>
          <w:b/>
          <w:sz w:val="24"/>
          <w:szCs w:val="24"/>
        </w:rPr>
      </w:pPr>
      <w:r w:rsidRPr="007C0C88">
        <w:rPr>
          <w:rFonts w:ascii="Gadugi" w:hAnsi="Gadugi" w:cs="Arial"/>
          <w:b/>
          <w:sz w:val="24"/>
          <w:szCs w:val="24"/>
        </w:rPr>
        <w:t xml:space="preserve">2. </w:t>
      </w:r>
      <w:r w:rsidR="00E000AF" w:rsidRPr="007C0C88">
        <w:rPr>
          <w:rFonts w:ascii="Gadugi" w:hAnsi="Gadugi" w:cs="Arial"/>
          <w:b/>
          <w:sz w:val="24"/>
          <w:szCs w:val="24"/>
        </w:rPr>
        <w:t>CONSIDERACIONES</w:t>
      </w:r>
    </w:p>
    <w:p w14:paraId="5F7539C5" w14:textId="77777777" w:rsidR="00E000AF" w:rsidRPr="007C0C88" w:rsidRDefault="00F86E7D" w:rsidP="007C0C88">
      <w:pPr>
        <w:pStyle w:val="Textoindependiente"/>
        <w:spacing w:line="276" w:lineRule="auto"/>
        <w:ind w:firstLine="1701"/>
        <w:rPr>
          <w:rFonts w:ascii="Gadugi" w:hAnsi="Gadugi" w:cs="Century Gothic"/>
          <w:szCs w:val="24"/>
        </w:rPr>
      </w:pPr>
      <w:r w:rsidRPr="007C0C88">
        <w:rPr>
          <w:rFonts w:ascii="Gadugi" w:hAnsi="Gadugi" w:cs="Century Gothic"/>
          <w:szCs w:val="24"/>
        </w:rPr>
        <w:tab/>
      </w:r>
      <w:r w:rsidRPr="007C0C88">
        <w:rPr>
          <w:rFonts w:ascii="Gadugi" w:hAnsi="Gadugi" w:cs="Century Gothic"/>
          <w:szCs w:val="24"/>
        </w:rPr>
        <w:tab/>
      </w:r>
      <w:r w:rsidRPr="007C0C88">
        <w:rPr>
          <w:rFonts w:ascii="Gadugi" w:hAnsi="Gadugi" w:cs="Century Gothic"/>
          <w:szCs w:val="24"/>
        </w:rPr>
        <w:tab/>
      </w:r>
      <w:r w:rsidRPr="007C0C88">
        <w:rPr>
          <w:rFonts w:ascii="Gadugi" w:hAnsi="Gadugi" w:cs="Century Gothic"/>
          <w:szCs w:val="24"/>
        </w:rPr>
        <w:tab/>
      </w:r>
    </w:p>
    <w:p w14:paraId="2F362C89" w14:textId="77777777" w:rsidR="00E000AF" w:rsidRPr="007C0C88" w:rsidRDefault="00F86E7D" w:rsidP="007C0C88">
      <w:pPr>
        <w:pStyle w:val="Textoindependiente"/>
        <w:spacing w:line="276" w:lineRule="auto"/>
        <w:ind w:firstLine="1701"/>
        <w:rPr>
          <w:rFonts w:ascii="Gadugi" w:hAnsi="Gadugi" w:cs="Century Gothic"/>
          <w:szCs w:val="24"/>
        </w:rPr>
      </w:pPr>
      <w:r w:rsidRPr="007C0C88">
        <w:rPr>
          <w:rFonts w:ascii="Gadugi" w:hAnsi="Gadugi" w:cs="Century Gothic"/>
          <w:szCs w:val="24"/>
        </w:rPr>
        <w:tab/>
      </w:r>
      <w:r w:rsidRPr="007C0C88">
        <w:rPr>
          <w:rFonts w:ascii="Gadugi" w:hAnsi="Gadugi" w:cs="Century Gothic"/>
          <w:szCs w:val="24"/>
        </w:rPr>
        <w:tab/>
      </w:r>
      <w:r w:rsidRPr="007C0C88">
        <w:rPr>
          <w:rFonts w:ascii="Gadugi" w:hAnsi="Gadugi" w:cs="Century Gothic"/>
          <w:szCs w:val="24"/>
        </w:rPr>
        <w:tab/>
      </w:r>
      <w:r w:rsidRPr="007C0C88">
        <w:rPr>
          <w:rFonts w:ascii="Gadugi" w:hAnsi="Gadugi" w:cs="Century Gothic"/>
          <w:szCs w:val="24"/>
        </w:rPr>
        <w:tab/>
      </w:r>
    </w:p>
    <w:p w14:paraId="4C5741CF" w14:textId="17A8EE98" w:rsidR="00E000AF" w:rsidRPr="007C0C88" w:rsidRDefault="00972D10" w:rsidP="007C0C88">
      <w:pPr>
        <w:pStyle w:val="Textoindependiente21"/>
        <w:spacing w:line="276" w:lineRule="auto"/>
        <w:ind w:firstLine="1701"/>
        <w:rPr>
          <w:rFonts w:ascii="Gadugi" w:hAnsi="Gadugi"/>
          <w:szCs w:val="24"/>
        </w:rPr>
      </w:pPr>
      <w:r w:rsidRPr="007C0C88">
        <w:rPr>
          <w:rFonts w:ascii="Gadugi" w:hAnsi="Gadugi"/>
          <w:szCs w:val="24"/>
        </w:rPr>
        <w:t xml:space="preserve">2.1. </w:t>
      </w:r>
      <w:r w:rsidR="00E000AF" w:rsidRPr="007C0C88">
        <w:rPr>
          <w:rFonts w:ascii="Gadugi" w:hAnsi="Gadugi"/>
          <w:szCs w:val="24"/>
        </w:rPr>
        <w:t>El constituyente colombiano introdujo desde 1991 en la Carta Política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4A848B53" w14:textId="77777777" w:rsidR="00E947A9" w:rsidRPr="007C0C88" w:rsidRDefault="00E947A9" w:rsidP="007C0C88">
      <w:pPr>
        <w:spacing w:line="276" w:lineRule="auto"/>
        <w:ind w:firstLine="1701"/>
        <w:jc w:val="both"/>
        <w:rPr>
          <w:rFonts w:ascii="Gadugi" w:hAnsi="Gadugi"/>
          <w:sz w:val="24"/>
          <w:szCs w:val="24"/>
        </w:rPr>
      </w:pPr>
    </w:p>
    <w:p w14:paraId="54F012DB" w14:textId="16DEEFF6" w:rsidR="00C53C65" w:rsidRDefault="00E947A9" w:rsidP="007C0C88">
      <w:pPr>
        <w:spacing w:line="276" w:lineRule="auto"/>
        <w:ind w:firstLine="1701"/>
        <w:jc w:val="both"/>
        <w:rPr>
          <w:rFonts w:ascii="Gadugi" w:hAnsi="Gadugi" w:cs="Arial"/>
          <w:sz w:val="24"/>
          <w:szCs w:val="24"/>
        </w:rPr>
      </w:pPr>
      <w:r w:rsidRPr="007C0C88">
        <w:rPr>
          <w:rFonts w:ascii="Gadugi" w:hAnsi="Gadugi"/>
          <w:sz w:val="24"/>
          <w:szCs w:val="24"/>
        </w:rPr>
        <w:t>En el caso que hoy ocupa la atención de la Sala, está</w:t>
      </w:r>
      <w:r w:rsidR="004149E6" w:rsidRPr="007C0C88">
        <w:rPr>
          <w:rFonts w:ascii="Gadugi" w:hAnsi="Gadugi"/>
          <w:sz w:val="24"/>
          <w:szCs w:val="24"/>
        </w:rPr>
        <w:t>n</w:t>
      </w:r>
      <w:r w:rsidRPr="007C0C88">
        <w:rPr>
          <w:rFonts w:ascii="Gadugi" w:hAnsi="Gadugi"/>
          <w:sz w:val="24"/>
          <w:szCs w:val="24"/>
        </w:rPr>
        <w:t xml:space="preserve"> </w:t>
      </w:r>
      <w:r w:rsidR="004149E6" w:rsidRPr="007C0C88">
        <w:rPr>
          <w:rFonts w:ascii="Gadugi" w:hAnsi="Gadugi"/>
          <w:sz w:val="24"/>
          <w:szCs w:val="24"/>
        </w:rPr>
        <w:t>los accionantes</w:t>
      </w:r>
      <w:r w:rsidR="003011E0" w:rsidRPr="007C0C88">
        <w:rPr>
          <w:rFonts w:ascii="Gadugi" w:hAnsi="Gadugi"/>
          <w:sz w:val="24"/>
          <w:szCs w:val="24"/>
        </w:rPr>
        <w:t xml:space="preserve"> </w:t>
      </w:r>
      <w:r w:rsidRPr="007C0C88">
        <w:rPr>
          <w:rFonts w:ascii="Gadugi" w:hAnsi="Gadugi" w:cs="Arial"/>
          <w:sz w:val="24"/>
          <w:szCs w:val="24"/>
        </w:rPr>
        <w:t xml:space="preserve">demandando a </w:t>
      </w:r>
      <w:r w:rsidR="001F329D" w:rsidRPr="007C0C88">
        <w:rPr>
          <w:rFonts w:ascii="Gadugi" w:hAnsi="Gadugi" w:cs="Arial"/>
          <w:sz w:val="24"/>
          <w:szCs w:val="24"/>
        </w:rPr>
        <w:t>varias autoridades locales, departamentales y nacionales</w:t>
      </w:r>
      <w:r w:rsidR="004149E6" w:rsidRPr="007C0C88">
        <w:rPr>
          <w:rFonts w:ascii="Gadugi" w:hAnsi="Gadugi" w:cs="Arial"/>
          <w:sz w:val="24"/>
          <w:szCs w:val="24"/>
        </w:rPr>
        <w:t xml:space="preserve">, a </w:t>
      </w:r>
      <w:r w:rsidR="001F329D" w:rsidRPr="007C0C88">
        <w:rPr>
          <w:rFonts w:ascii="Gadugi" w:hAnsi="Gadugi" w:cs="Arial"/>
          <w:sz w:val="24"/>
          <w:szCs w:val="24"/>
        </w:rPr>
        <w:t>las que</w:t>
      </w:r>
      <w:r w:rsidR="004149E6" w:rsidRPr="007C0C88">
        <w:rPr>
          <w:rFonts w:ascii="Gadugi" w:hAnsi="Gadugi" w:cs="Arial"/>
          <w:sz w:val="24"/>
          <w:szCs w:val="24"/>
        </w:rPr>
        <w:t xml:space="preserve"> les atribuyen el menoscabo de sus prerrogativas fundamentales, toda vez que</w:t>
      </w:r>
      <w:r w:rsidR="009D3BCF" w:rsidRPr="007C0C88">
        <w:rPr>
          <w:rFonts w:ascii="Gadugi" w:hAnsi="Gadugi" w:cs="Arial"/>
          <w:sz w:val="24"/>
          <w:szCs w:val="24"/>
        </w:rPr>
        <w:t>, por riesgo de desastre natural,</w:t>
      </w:r>
      <w:r w:rsidR="004149E6" w:rsidRPr="007C0C88">
        <w:rPr>
          <w:rFonts w:ascii="Gadugi" w:hAnsi="Gadugi" w:cs="Arial"/>
          <w:sz w:val="24"/>
          <w:szCs w:val="24"/>
        </w:rPr>
        <w:t xml:space="preserve"> </w:t>
      </w:r>
      <w:r w:rsidR="001F329D" w:rsidRPr="007C0C88">
        <w:rPr>
          <w:rFonts w:ascii="Gadugi" w:hAnsi="Gadugi" w:cs="Arial"/>
          <w:sz w:val="24"/>
          <w:szCs w:val="24"/>
        </w:rPr>
        <w:t xml:space="preserve">se </w:t>
      </w:r>
      <w:r w:rsidR="009B2B56" w:rsidRPr="007C0C88">
        <w:rPr>
          <w:rFonts w:ascii="Gadugi" w:hAnsi="Gadugi" w:cs="Arial"/>
          <w:sz w:val="24"/>
          <w:szCs w:val="24"/>
        </w:rPr>
        <w:t>les ordenó</w:t>
      </w:r>
      <w:r w:rsidR="001F329D" w:rsidRPr="007C0C88">
        <w:rPr>
          <w:rFonts w:ascii="Gadugi" w:hAnsi="Gadugi" w:cs="Arial"/>
          <w:sz w:val="24"/>
          <w:szCs w:val="24"/>
        </w:rPr>
        <w:t xml:space="preserve"> desalojar </w:t>
      </w:r>
      <w:r w:rsidR="009D3BCF" w:rsidRPr="007C0C88">
        <w:rPr>
          <w:rFonts w:ascii="Gadugi" w:hAnsi="Gadugi" w:cs="Arial"/>
          <w:sz w:val="24"/>
          <w:szCs w:val="24"/>
        </w:rPr>
        <w:t>perentoriamente las</w:t>
      </w:r>
      <w:r w:rsidR="001F329D" w:rsidRPr="007C0C88">
        <w:rPr>
          <w:rFonts w:ascii="Gadugi" w:hAnsi="Gadugi" w:cs="Arial"/>
          <w:sz w:val="24"/>
          <w:szCs w:val="24"/>
        </w:rPr>
        <w:t xml:space="preserve"> viviendas</w:t>
      </w:r>
      <w:r w:rsidR="009D3BCF" w:rsidRPr="007C0C88">
        <w:rPr>
          <w:rFonts w:ascii="Gadugi" w:hAnsi="Gadugi" w:cs="Arial"/>
          <w:sz w:val="24"/>
          <w:szCs w:val="24"/>
        </w:rPr>
        <w:t xml:space="preserve"> en las que residen, ubicadas </w:t>
      </w:r>
      <w:r w:rsidR="007D3F97" w:rsidRPr="007C0C88">
        <w:rPr>
          <w:rFonts w:ascii="Gadugi" w:hAnsi="Gadugi" w:cs="Arial"/>
          <w:sz w:val="24"/>
          <w:szCs w:val="24"/>
        </w:rPr>
        <w:t>en</w:t>
      </w:r>
      <w:r w:rsidR="009D3BCF" w:rsidRPr="007C0C88">
        <w:rPr>
          <w:rFonts w:ascii="Gadugi" w:hAnsi="Gadugi" w:cs="Arial"/>
          <w:sz w:val="24"/>
          <w:szCs w:val="24"/>
        </w:rPr>
        <w:t xml:space="preserve"> la Avenida del Río en la ciudad de Pereira, </w:t>
      </w:r>
      <w:r w:rsidR="007D3F97" w:rsidRPr="007C0C88">
        <w:rPr>
          <w:rFonts w:ascii="Gadugi" w:hAnsi="Gadugi" w:cs="Arial"/>
          <w:sz w:val="24"/>
          <w:szCs w:val="24"/>
        </w:rPr>
        <w:t>sin que antes se les hubiera concedido</w:t>
      </w:r>
      <w:r w:rsidR="009D3BCF" w:rsidRPr="007C0C88">
        <w:rPr>
          <w:rFonts w:ascii="Gadugi" w:hAnsi="Gadugi" w:cs="Arial"/>
          <w:sz w:val="24"/>
          <w:szCs w:val="24"/>
        </w:rPr>
        <w:t xml:space="preserve"> </w:t>
      </w:r>
      <w:r w:rsidR="00C53C65" w:rsidRPr="007C0C88">
        <w:rPr>
          <w:rFonts w:ascii="Gadugi" w:hAnsi="Gadugi" w:cs="Arial"/>
          <w:sz w:val="24"/>
          <w:szCs w:val="24"/>
        </w:rPr>
        <w:t xml:space="preserve">la alternativa de acceder a una vivienda digna. </w:t>
      </w:r>
    </w:p>
    <w:p w14:paraId="01A86B44" w14:textId="77777777" w:rsidR="00F47177" w:rsidRPr="007C0C88" w:rsidRDefault="00F47177" w:rsidP="007C0C88">
      <w:pPr>
        <w:spacing w:line="276" w:lineRule="auto"/>
        <w:ind w:firstLine="1701"/>
        <w:jc w:val="both"/>
        <w:rPr>
          <w:rFonts w:ascii="Gadugi" w:hAnsi="Gadugi" w:cs="Arial"/>
          <w:sz w:val="24"/>
          <w:szCs w:val="24"/>
        </w:rPr>
      </w:pPr>
    </w:p>
    <w:p w14:paraId="3D345078" w14:textId="702235D1" w:rsidR="00654B2C" w:rsidRPr="007C0C88" w:rsidRDefault="00863C6A"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2.2. </w:t>
      </w:r>
      <w:r w:rsidR="00654B2C" w:rsidRPr="007C0C88">
        <w:rPr>
          <w:rFonts w:ascii="Gadugi" w:hAnsi="Gadugi" w:cs="Arial"/>
          <w:sz w:val="24"/>
          <w:szCs w:val="24"/>
        </w:rPr>
        <w:t xml:space="preserve">Antes de </w:t>
      </w:r>
      <w:r w:rsidR="00B5128A" w:rsidRPr="007C0C88">
        <w:rPr>
          <w:rFonts w:ascii="Gadugi" w:hAnsi="Gadugi" w:cs="Arial"/>
          <w:sz w:val="24"/>
          <w:szCs w:val="24"/>
        </w:rPr>
        <w:t>adentrarse en la</w:t>
      </w:r>
      <w:r w:rsidR="00654B2C" w:rsidRPr="007C0C88">
        <w:rPr>
          <w:rFonts w:ascii="Gadugi" w:hAnsi="Gadugi" w:cs="Arial"/>
          <w:sz w:val="24"/>
          <w:szCs w:val="24"/>
        </w:rPr>
        <w:t xml:space="preserve"> controversia de esta acción de tutela, es me</w:t>
      </w:r>
      <w:r w:rsidR="00B5128A" w:rsidRPr="007C0C88">
        <w:rPr>
          <w:rFonts w:ascii="Gadugi" w:hAnsi="Gadugi" w:cs="Arial"/>
          <w:sz w:val="24"/>
          <w:szCs w:val="24"/>
        </w:rPr>
        <w:t>nester aclarar tres circunstancias.</w:t>
      </w:r>
    </w:p>
    <w:p w14:paraId="11C5FFCB" w14:textId="73F2BEC6" w:rsidR="00B5128A" w:rsidRPr="007C0C88" w:rsidRDefault="00B5128A" w:rsidP="007C0C88">
      <w:pPr>
        <w:spacing w:line="276" w:lineRule="auto"/>
        <w:ind w:firstLine="1701"/>
        <w:jc w:val="both"/>
        <w:rPr>
          <w:rFonts w:ascii="Gadugi" w:hAnsi="Gadugi" w:cs="Arial"/>
          <w:sz w:val="24"/>
          <w:szCs w:val="24"/>
        </w:rPr>
      </w:pPr>
    </w:p>
    <w:p w14:paraId="4E5B3747" w14:textId="210039CE" w:rsidR="00B5128A" w:rsidRPr="007C0C88" w:rsidRDefault="00B5128A" w:rsidP="007C0C88">
      <w:pPr>
        <w:spacing w:line="276" w:lineRule="auto"/>
        <w:ind w:firstLine="1701"/>
        <w:jc w:val="both"/>
        <w:rPr>
          <w:rFonts w:ascii="Gadugi" w:hAnsi="Gadugi" w:cs="Arial"/>
          <w:sz w:val="24"/>
          <w:szCs w:val="24"/>
        </w:rPr>
      </w:pPr>
      <w:r w:rsidRPr="007C0C88">
        <w:rPr>
          <w:rFonts w:ascii="Gadugi" w:hAnsi="Gadugi" w:cs="Arial"/>
          <w:sz w:val="24"/>
          <w:szCs w:val="24"/>
        </w:rPr>
        <w:t>La primera, que no hay cosa juzgada derivada de lo decidido en la sentencia T-631/13</w:t>
      </w:r>
      <w:r w:rsidR="00A70A41" w:rsidRPr="007C0C88">
        <w:rPr>
          <w:rStyle w:val="Refdenotaalpie"/>
          <w:rFonts w:ascii="Gadugi" w:hAnsi="Gadugi" w:cs="Arial"/>
          <w:sz w:val="24"/>
          <w:szCs w:val="24"/>
        </w:rPr>
        <w:footnoteReference w:id="15"/>
      </w:r>
      <w:r w:rsidRPr="007C0C88">
        <w:rPr>
          <w:rFonts w:ascii="Gadugi" w:hAnsi="Gadugi" w:cs="Arial"/>
          <w:sz w:val="24"/>
          <w:szCs w:val="24"/>
        </w:rPr>
        <w:t xml:space="preserve">, dado que allí, de manera general, en el numeral sexto de la parte resolutiva, solo se previno a la Alcaldía de Pereira para que gradualmente tomara medidas conducentes para proteger a las personas que residen en el sector de la Avenida del Río de esta ciudad, y que pudieran estar en riesgo por aludes, riadas, etc., distinto a lo que aquí ocurre, donde un grupo de personas, debidamente individualizadas, confutan un acto administrativo mediante el cual se ordenó su </w:t>
      </w:r>
      <w:r w:rsidR="00A70A41" w:rsidRPr="007C0C88">
        <w:rPr>
          <w:rFonts w:ascii="Gadugi" w:hAnsi="Gadugi" w:cs="Arial"/>
          <w:sz w:val="24"/>
          <w:szCs w:val="24"/>
        </w:rPr>
        <w:t>pronto</w:t>
      </w:r>
      <w:r w:rsidR="0060549B" w:rsidRPr="007C0C88">
        <w:rPr>
          <w:rFonts w:ascii="Gadugi" w:hAnsi="Gadugi" w:cs="Arial"/>
          <w:sz w:val="24"/>
          <w:szCs w:val="24"/>
        </w:rPr>
        <w:t xml:space="preserve"> </w:t>
      </w:r>
      <w:r w:rsidRPr="007C0C88">
        <w:rPr>
          <w:rFonts w:ascii="Gadugi" w:hAnsi="Gadugi" w:cs="Arial"/>
          <w:sz w:val="24"/>
          <w:szCs w:val="24"/>
        </w:rPr>
        <w:t xml:space="preserve">desalojo. Además, en el caso de aquella sentencia, no estuvo involucrado ninguno de los que aquí </w:t>
      </w:r>
      <w:r w:rsidR="00090DA3" w:rsidRPr="007C0C88">
        <w:rPr>
          <w:rFonts w:ascii="Gadugi" w:hAnsi="Gadugi" w:cs="Arial"/>
          <w:sz w:val="24"/>
          <w:szCs w:val="24"/>
        </w:rPr>
        <w:t>son demandantes</w:t>
      </w:r>
      <w:r w:rsidRPr="007C0C88">
        <w:rPr>
          <w:rFonts w:ascii="Gadugi" w:hAnsi="Gadugi" w:cs="Arial"/>
          <w:sz w:val="24"/>
          <w:szCs w:val="24"/>
        </w:rPr>
        <w:t xml:space="preserve">. </w:t>
      </w:r>
    </w:p>
    <w:p w14:paraId="58A22BEC" w14:textId="0D44D027" w:rsidR="00B5128A" w:rsidRPr="007C0C88" w:rsidRDefault="00B5128A" w:rsidP="007C0C88">
      <w:pPr>
        <w:spacing w:line="276" w:lineRule="auto"/>
        <w:ind w:firstLine="1701"/>
        <w:jc w:val="both"/>
        <w:rPr>
          <w:rFonts w:ascii="Gadugi" w:hAnsi="Gadugi" w:cs="Arial"/>
          <w:sz w:val="24"/>
          <w:szCs w:val="24"/>
        </w:rPr>
      </w:pPr>
    </w:p>
    <w:p w14:paraId="150EAF0F" w14:textId="109B9145" w:rsidR="0060549B" w:rsidRPr="007C0C88" w:rsidRDefault="00B5128A" w:rsidP="007C0C88">
      <w:pPr>
        <w:spacing w:line="276" w:lineRule="auto"/>
        <w:ind w:firstLine="1701"/>
        <w:jc w:val="both"/>
        <w:rPr>
          <w:rFonts w:ascii="Gadugi" w:hAnsi="Gadugi" w:cs="Arial"/>
          <w:sz w:val="24"/>
          <w:szCs w:val="24"/>
        </w:rPr>
      </w:pPr>
      <w:r w:rsidRPr="007C0C88">
        <w:rPr>
          <w:rFonts w:ascii="Gadugi" w:hAnsi="Gadugi" w:cs="Arial"/>
          <w:sz w:val="24"/>
          <w:szCs w:val="24"/>
        </w:rPr>
        <w:t>La segunda, que si bien la señora Alba Mery Lancheros Franco</w:t>
      </w:r>
      <w:r w:rsidR="0060549B" w:rsidRPr="007C0C88">
        <w:rPr>
          <w:rFonts w:ascii="Gadugi" w:hAnsi="Gadugi" w:cs="Arial"/>
          <w:sz w:val="24"/>
          <w:szCs w:val="24"/>
        </w:rPr>
        <w:t xml:space="preserve"> (11)</w:t>
      </w:r>
      <w:r w:rsidRPr="007C0C88">
        <w:rPr>
          <w:rFonts w:ascii="Gadugi" w:hAnsi="Gadugi" w:cs="Arial"/>
          <w:sz w:val="24"/>
          <w:szCs w:val="24"/>
        </w:rPr>
        <w:t xml:space="preserve">, había iniciado otra acción de tutela con hechos y pretensiones similares a la presente, lo cierto es que ella </w:t>
      </w:r>
      <w:r w:rsidR="0060549B" w:rsidRPr="007C0C88">
        <w:rPr>
          <w:rFonts w:ascii="Gadugi" w:hAnsi="Gadugi" w:cs="Arial"/>
          <w:sz w:val="24"/>
          <w:szCs w:val="24"/>
        </w:rPr>
        <w:t>desistió de aquella antes de que se profiriera sentencia de primera instancia, lo cual evitó que se tomaran decisiones judiciales paralelas sobre una misma cuestión, y más bien propició que se unificaran sus alegatos con los de sus demás vecinos; en ese entendido, no considera la Sala que su actitud sea temeraria y sancionable</w:t>
      </w:r>
      <w:r w:rsidR="00A70A41" w:rsidRPr="007C0C88">
        <w:rPr>
          <w:rStyle w:val="Refdenotaalpie"/>
          <w:rFonts w:ascii="Gadugi" w:hAnsi="Gadugi" w:cs="Arial"/>
          <w:sz w:val="24"/>
          <w:szCs w:val="24"/>
        </w:rPr>
        <w:footnoteReference w:id="16"/>
      </w:r>
      <w:r w:rsidR="00090DA3" w:rsidRPr="007C0C88">
        <w:rPr>
          <w:rFonts w:ascii="Gadugi" w:hAnsi="Gadugi" w:cs="Arial"/>
          <w:sz w:val="24"/>
          <w:szCs w:val="24"/>
        </w:rPr>
        <w:t>.</w:t>
      </w:r>
    </w:p>
    <w:p w14:paraId="1938FBC8" w14:textId="77777777" w:rsidR="0060549B" w:rsidRPr="007C0C88" w:rsidRDefault="0060549B" w:rsidP="007C0C88">
      <w:pPr>
        <w:spacing w:line="276" w:lineRule="auto"/>
        <w:ind w:firstLine="1701"/>
        <w:jc w:val="both"/>
        <w:rPr>
          <w:rFonts w:ascii="Gadugi" w:hAnsi="Gadugi" w:cs="Arial"/>
          <w:sz w:val="24"/>
          <w:szCs w:val="24"/>
        </w:rPr>
      </w:pPr>
    </w:p>
    <w:p w14:paraId="23F20E62" w14:textId="50245CA5" w:rsidR="00B5128A" w:rsidRPr="007C0C88" w:rsidRDefault="0060549B"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Y la última, que </w:t>
      </w:r>
      <w:r w:rsidR="00F47177" w:rsidRPr="007C0C88">
        <w:rPr>
          <w:rFonts w:ascii="Gadugi" w:hAnsi="Gadugi" w:cs="Arial"/>
          <w:sz w:val="24"/>
          <w:szCs w:val="24"/>
        </w:rPr>
        <w:t>aun</w:t>
      </w:r>
      <w:r w:rsidRPr="007C0C88">
        <w:rPr>
          <w:rFonts w:ascii="Gadugi" w:hAnsi="Gadugi" w:cs="Arial"/>
          <w:sz w:val="24"/>
          <w:szCs w:val="24"/>
        </w:rPr>
        <w:t xml:space="preserve"> cuando Nancy Vinasco Mejía (1), </w:t>
      </w:r>
      <w:proofErr w:type="spellStart"/>
      <w:r w:rsidRPr="007C0C88">
        <w:rPr>
          <w:rFonts w:ascii="Gadugi" w:hAnsi="Gadugi" w:cs="Arial"/>
          <w:sz w:val="24"/>
          <w:szCs w:val="24"/>
        </w:rPr>
        <w:t>Ataniel</w:t>
      </w:r>
      <w:proofErr w:type="spellEnd"/>
      <w:r w:rsidRPr="007C0C88">
        <w:rPr>
          <w:rFonts w:ascii="Gadugi" w:hAnsi="Gadugi" w:cs="Arial"/>
          <w:sz w:val="24"/>
          <w:szCs w:val="24"/>
        </w:rPr>
        <w:t xml:space="preserve"> López (6), </w:t>
      </w:r>
      <w:proofErr w:type="spellStart"/>
      <w:r w:rsidRPr="007C0C88">
        <w:rPr>
          <w:rFonts w:ascii="Gadugi" w:hAnsi="Gadugi" w:cs="Arial"/>
          <w:sz w:val="24"/>
          <w:szCs w:val="24"/>
        </w:rPr>
        <w:t>Jhon</w:t>
      </w:r>
      <w:proofErr w:type="spellEnd"/>
      <w:r w:rsidRPr="007C0C88">
        <w:rPr>
          <w:rFonts w:ascii="Gadugi" w:hAnsi="Gadugi" w:cs="Arial"/>
          <w:sz w:val="24"/>
          <w:szCs w:val="24"/>
        </w:rPr>
        <w:t xml:space="preserve"> Fredy Silva (16), Elizabeth Muñoz (20) y Jhon Alexander Giraldo (8),  </w:t>
      </w:r>
      <w:r w:rsidR="00863C6A" w:rsidRPr="007C0C88">
        <w:rPr>
          <w:rFonts w:ascii="Gadugi" w:hAnsi="Gadugi" w:cs="Arial"/>
          <w:sz w:val="24"/>
          <w:szCs w:val="24"/>
        </w:rPr>
        <w:t>no estén dentro del censo de caracterización realizado el día de la emergencia, contrario a lo que aduce la Alcaldía, están legitimados por activa para reclamar la protección de sus derechos fundamentales, si advierten que ellos están en riesgo con ocasión del acto administrativo que aquí es motivo de controversia</w:t>
      </w:r>
      <w:r w:rsidR="00A70A41" w:rsidRPr="007C0C88">
        <w:rPr>
          <w:rFonts w:ascii="Gadugi" w:hAnsi="Gadugi" w:cs="Arial"/>
          <w:sz w:val="24"/>
          <w:szCs w:val="24"/>
        </w:rPr>
        <w:t xml:space="preserve">; que estén o no en ese documento, será algo que podrán cuestionar ellos luego ante la autoridad competente. </w:t>
      </w:r>
    </w:p>
    <w:p w14:paraId="428D9C54" w14:textId="35EED36C" w:rsidR="00B5128A" w:rsidRPr="007C0C88" w:rsidRDefault="00B5128A" w:rsidP="007C0C88">
      <w:pPr>
        <w:spacing w:line="276" w:lineRule="auto"/>
        <w:ind w:firstLine="1701"/>
        <w:jc w:val="both"/>
        <w:rPr>
          <w:rFonts w:ascii="Gadugi" w:hAnsi="Gadugi" w:cs="Arial"/>
          <w:sz w:val="24"/>
          <w:szCs w:val="24"/>
        </w:rPr>
      </w:pPr>
    </w:p>
    <w:p w14:paraId="532E7C1A" w14:textId="761A71D1" w:rsidR="00654B2C" w:rsidRPr="007C0C88" w:rsidRDefault="00863C6A"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2.3. Con lo anterior dilucidado, sigue la Sala con el examen de los requisitos generales de procedencia de la acción de tutela. </w:t>
      </w:r>
    </w:p>
    <w:p w14:paraId="2001B322" w14:textId="7C41F55E" w:rsidR="00863C6A" w:rsidRPr="007C0C88" w:rsidRDefault="00863C6A" w:rsidP="007C0C88">
      <w:pPr>
        <w:spacing w:line="276" w:lineRule="auto"/>
        <w:ind w:firstLine="1701"/>
        <w:jc w:val="both"/>
        <w:rPr>
          <w:rFonts w:ascii="Gadugi" w:hAnsi="Gadugi" w:cs="Arial"/>
          <w:sz w:val="24"/>
          <w:szCs w:val="24"/>
        </w:rPr>
      </w:pPr>
    </w:p>
    <w:p w14:paraId="2AEBD23E" w14:textId="0DB4F2E1" w:rsidR="00063529" w:rsidRPr="007C0C88" w:rsidRDefault="008C1ED7"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2.3.1. </w:t>
      </w:r>
      <w:r w:rsidR="00863C6A" w:rsidRPr="007C0C88">
        <w:rPr>
          <w:rFonts w:ascii="Gadugi" w:hAnsi="Gadugi" w:cs="Arial"/>
          <w:sz w:val="24"/>
          <w:szCs w:val="24"/>
        </w:rPr>
        <w:t>Se cumple con la legitimación por activa pues los accionantes,</w:t>
      </w:r>
      <w:r w:rsidR="00453C9A" w:rsidRPr="007C0C88">
        <w:rPr>
          <w:rFonts w:ascii="Gadugi" w:hAnsi="Gadugi" w:cs="Arial"/>
          <w:sz w:val="24"/>
          <w:szCs w:val="24"/>
        </w:rPr>
        <w:t xml:space="preserve"> quienes actúan mediante abogado debidamente facultado</w:t>
      </w:r>
      <w:r w:rsidR="00453C9A" w:rsidRPr="007C0C88">
        <w:rPr>
          <w:rStyle w:val="Refdenotaalpie"/>
          <w:rFonts w:ascii="Gadugi" w:hAnsi="Gadugi" w:cs="Arial"/>
          <w:sz w:val="24"/>
          <w:szCs w:val="24"/>
        </w:rPr>
        <w:footnoteReference w:id="17"/>
      </w:r>
      <w:r w:rsidR="00453C9A" w:rsidRPr="007C0C88">
        <w:rPr>
          <w:rFonts w:ascii="Gadugi" w:hAnsi="Gadugi" w:cs="Arial"/>
          <w:sz w:val="24"/>
          <w:szCs w:val="24"/>
        </w:rPr>
        <w:t xml:space="preserve">, </w:t>
      </w:r>
      <w:r w:rsidR="00863C6A" w:rsidRPr="007C0C88">
        <w:rPr>
          <w:rFonts w:ascii="Gadugi" w:hAnsi="Gadugi" w:cs="Arial"/>
          <w:sz w:val="24"/>
          <w:szCs w:val="24"/>
        </w:rPr>
        <w:t xml:space="preserve">se reputan vecinos del sector donde se programó el desalojo, son los afectados con la medida administrativa tomada por la Alcaldía de </w:t>
      </w:r>
      <w:r w:rsidR="00284A1A" w:rsidRPr="007C0C88">
        <w:rPr>
          <w:rFonts w:ascii="Gadugi" w:hAnsi="Gadugi" w:cs="Arial"/>
          <w:sz w:val="24"/>
          <w:szCs w:val="24"/>
        </w:rPr>
        <w:t>Pereira, en ese sentido, solo esta autoridad está legitimada por pasiva dado que fue la que profirió la decisión que desencadenó el descontento de los demandantes</w:t>
      </w:r>
      <w:r w:rsidR="00063529" w:rsidRPr="007C0C88">
        <w:rPr>
          <w:rFonts w:ascii="Gadugi" w:hAnsi="Gadugi" w:cs="Arial"/>
          <w:sz w:val="24"/>
          <w:szCs w:val="24"/>
        </w:rPr>
        <w:t>.</w:t>
      </w:r>
    </w:p>
    <w:p w14:paraId="3359FDDE" w14:textId="77777777" w:rsidR="00063529" w:rsidRPr="007C0C88" w:rsidRDefault="00063529" w:rsidP="007C0C88">
      <w:pPr>
        <w:spacing w:line="276" w:lineRule="auto"/>
        <w:ind w:firstLine="1701"/>
        <w:jc w:val="both"/>
        <w:rPr>
          <w:rFonts w:ascii="Gadugi" w:hAnsi="Gadugi" w:cs="Arial"/>
          <w:sz w:val="24"/>
          <w:szCs w:val="24"/>
        </w:rPr>
      </w:pPr>
    </w:p>
    <w:p w14:paraId="415A205B" w14:textId="4317745E" w:rsidR="00284A1A" w:rsidRPr="007C0C88" w:rsidRDefault="00063529" w:rsidP="007C0C88">
      <w:pPr>
        <w:spacing w:line="276" w:lineRule="auto"/>
        <w:ind w:firstLine="1701"/>
        <w:jc w:val="both"/>
        <w:rPr>
          <w:rFonts w:ascii="Gadugi" w:hAnsi="Gadugi" w:cs="Arial"/>
          <w:sz w:val="24"/>
          <w:szCs w:val="24"/>
        </w:rPr>
      </w:pPr>
      <w:r w:rsidRPr="007C0C88">
        <w:rPr>
          <w:rFonts w:ascii="Gadugi" w:hAnsi="Gadugi" w:cs="Arial"/>
          <w:sz w:val="24"/>
          <w:szCs w:val="24"/>
        </w:rPr>
        <w:lastRenderedPageBreak/>
        <w:t>P</w:t>
      </w:r>
      <w:r w:rsidR="00284A1A" w:rsidRPr="007C0C88">
        <w:rPr>
          <w:rFonts w:ascii="Gadugi" w:hAnsi="Gadugi" w:cs="Arial"/>
          <w:sz w:val="24"/>
          <w:szCs w:val="24"/>
        </w:rPr>
        <w:t xml:space="preserve">ero no </w:t>
      </w:r>
      <w:r w:rsidR="006B36C3" w:rsidRPr="007C0C88">
        <w:rPr>
          <w:rFonts w:ascii="Gadugi" w:hAnsi="Gadugi" w:cs="Arial"/>
          <w:sz w:val="24"/>
          <w:szCs w:val="24"/>
        </w:rPr>
        <w:t xml:space="preserve">solo </w:t>
      </w:r>
      <w:r w:rsidR="00284A1A" w:rsidRPr="007C0C88">
        <w:rPr>
          <w:rFonts w:ascii="Gadugi" w:hAnsi="Gadugi" w:cs="Arial"/>
          <w:sz w:val="24"/>
          <w:szCs w:val="24"/>
        </w:rPr>
        <w:t>por eso</w:t>
      </w:r>
      <w:r w:rsidR="006B36C3" w:rsidRPr="007C0C88">
        <w:rPr>
          <w:rFonts w:ascii="Gadugi" w:hAnsi="Gadugi" w:cs="Arial"/>
          <w:sz w:val="24"/>
          <w:szCs w:val="24"/>
        </w:rPr>
        <w:t>;</w:t>
      </w:r>
      <w:r w:rsidR="00284A1A" w:rsidRPr="007C0C88">
        <w:rPr>
          <w:rFonts w:ascii="Gadugi" w:hAnsi="Gadugi" w:cs="Arial"/>
          <w:sz w:val="24"/>
          <w:szCs w:val="24"/>
        </w:rPr>
        <w:t xml:space="preserve"> también </w:t>
      </w:r>
      <w:r w:rsidRPr="007C0C88">
        <w:rPr>
          <w:rFonts w:ascii="Gadugi" w:hAnsi="Gadugi" w:cs="Arial"/>
          <w:sz w:val="24"/>
          <w:szCs w:val="24"/>
        </w:rPr>
        <w:t>como se menciona en el Decreto 841 del 24 de junio de 2022</w:t>
      </w:r>
      <w:r w:rsidR="001455D1" w:rsidRPr="007C0C88">
        <w:rPr>
          <w:rStyle w:val="Refdenotaalpie"/>
          <w:rFonts w:ascii="Gadugi" w:hAnsi="Gadugi" w:cs="Arial"/>
          <w:sz w:val="24"/>
          <w:szCs w:val="24"/>
        </w:rPr>
        <w:footnoteReference w:id="18"/>
      </w:r>
      <w:r w:rsidRPr="007C0C88">
        <w:rPr>
          <w:rFonts w:ascii="Gadugi" w:hAnsi="Gadugi" w:cs="Arial"/>
          <w:sz w:val="24"/>
          <w:szCs w:val="24"/>
        </w:rPr>
        <w:t xml:space="preserve">, los alcaldes municipales </w:t>
      </w:r>
      <w:r w:rsidRPr="007C0C88">
        <w:rPr>
          <w:rFonts w:ascii="Gadugi" w:hAnsi="Gadugi" w:cs="Arial"/>
          <w:i/>
          <w:sz w:val="24"/>
          <w:szCs w:val="24"/>
        </w:rPr>
        <w:t>“</w:t>
      </w:r>
      <w:r w:rsidRPr="00E02B21">
        <w:rPr>
          <w:rFonts w:ascii="Gadugi" w:hAnsi="Gadugi" w:cs="Arial"/>
          <w:i/>
          <w:sz w:val="22"/>
          <w:szCs w:val="24"/>
        </w:rPr>
        <w:t>como jefes de la administración local representan al Sistema Nacional en el Distrito y el municipio. El alcalde, como conductor del desarrollo local, es el responsable directo de la implementación de los procesos de gestión del riesgo en el distrito o municipio, incluyendo el conocimiento y la reducción del riesgo y el manejo de desastres en el área de su jurisdicción</w:t>
      </w:r>
      <w:r w:rsidRPr="007C0C88">
        <w:rPr>
          <w:rFonts w:ascii="Gadugi" w:hAnsi="Gadugi" w:cs="Arial"/>
          <w:i/>
          <w:sz w:val="24"/>
          <w:szCs w:val="24"/>
        </w:rPr>
        <w:t>”</w:t>
      </w:r>
      <w:r w:rsidRPr="007C0C88">
        <w:rPr>
          <w:rStyle w:val="Refdenotaalpie"/>
          <w:rFonts w:ascii="Gadugi" w:hAnsi="Gadugi" w:cs="Arial"/>
          <w:i/>
          <w:sz w:val="24"/>
          <w:szCs w:val="24"/>
        </w:rPr>
        <w:footnoteReference w:id="19"/>
      </w:r>
      <w:r w:rsidRPr="007C0C88">
        <w:rPr>
          <w:rFonts w:ascii="Gadugi" w:hAnsi="Gadugi" w:cs="Arial"/>
          <w:i/>
          <w:sz w:val="24"/>
          <w:szCs w:val="24"/>
        </w:rPr>
        <w:t xml:space="preserve">; </w:t>
      </w:r>
      <w:r w:rsidRPr="007C0C88">
        <w:rPr>
          <w:rFonts w:ascii="Gadugi" w:hAnsi="Gadugi" w:cs="Arial"/>
          <w:sz w:val="24"/>
          <w:szCs w:val="24"/>
        </w:rPr>
        <w:t>además tienen competencias extraordinarias de policía, “</w:t>
      </w:r>
      <w:r w:rsidRPr="00E02B21">
        <w:rPr>
          <w:rFonts w:ascii="Gadugi" w:hAnsi="Gadugi" w:cs="Arial"/>
          <w:i/>
          <w:sz w:val="22"/>
          <w:szCs w:val="24"/>
        </w:rPr>
        <w:t>Ante situaciones extraordinarias que amenacen o afecten gravemente a la población y con el propósito de prevenir el riesgo o mitigar los efectos de desastres (…)</w:t>
      </w:r>
      <w:r w:rsidRPr="007C0C88">
        <w:rPr>
          <w:rFonts w:ascii="Gadugi" w:hAnsi="Gadugi" w:cs="Arial"/>
          <w:i/>
          <w:sz w:val="24"/>
          <w:szCs w:val="24"/>
        </w:rPr>
        <w:t>”</w:t>
      </w:r>
      <w:r w:rsidRPr="007C0C88">
        <w:rPr>
          <w:rFonts w:ascii="Gadugi" w:hAnsi="Gadugi" w:cs="Arial"/>
          <w:sz w:val="24"/>
          <w:szCs w:val="24"/>
        </w:rPr>
        <w:t xml:space="preserve">, por lo cual, por ejemplo, pueden </w:t>
      </w:r>
      <w:r w:rsidRPr="007C0C88">
        <w:rPr>
          <w:rFonts w:ascii="Gadugi" w:hAnsi="Gadugi" w:cs="Arial"/>
          <w:i/>
          <w:sz w:val="24"/>
          <w:szCs w:val="24"/>
        </w:rPr>
        <w:t>“</w:t>
      </w:r>
      <w:r w:rsidRPr="00E02B21">
        <w:rPr>
          <w:rFonts w:ascii="Gadugi" w:hAnsi="Gadugi" w:cs="Arial"/>
          <w:i/>
          <w:sz w:val="22"/>
          <w:szCs w:val="24"/>
        </w:rPr>
        <w:t xml:space="preserve">Ordenar el inmediato derribo, </w:t>
      </w:r>
      <w:r w:rsidRPr="00E02B21">
        <w:rPr>
          <w:rFonts w:ascii="Gadugi" w:hAnsi="Gadugi" w:cs="Arial"/>
          <w:i/>
          <w:sz w:val="22"/>
          <w:szCs w:val="24"/>
          <w:u w:val="single"/>
        </w:rPr>
        <w:t>desocupación</w:t>
      </w:r>
      <w:r w:rsidRPr="00E02B21">
        <w:rPr>
          <w:rFonts w:ascii="Gadugi" w:hAnsi="Gadugi" w:cs="Arial"/>
          <w:i/>
          <w:sz w:val="22"/>
          <w:szCs w:val="24"/>
        </w:rPr>
        <w:t xml:space="preserve"> o sellamiento de inmuebles, sin perjuicio del consentimiento del propietario o tenedor</w:t>
      </w:r>
      <w:r w:rsidRPr="007C0C88">
        <w:rPr>
          <w:rFonts w:ascii="Gadugi" w:hAnsi="Gadugi" w:cs="Arial"/>
          <w:i/>
          <w:sz w:val="24"/>
          <w:szCs w:val="24"/>
        </w:rPr>
        <w:t>.”</w:t>
      </w:r>
      <w:r w:rsidRPr="007C0C88">
        <w:rPr>
          <w:rStyle w:val="Refdenotaalpie"/>
          <w:rFonts w:ascii="Gadugi" w:hAnsi="Gadugi" w:cs="Arial"/>
          <w:i/>
          <w:sz w:val="24"/>
          <w:szCs w:val="24"/>
        </w:rPr>
        <w:footnoteReference w:id="20"/>
      </w:r>
    </w:p>
    <w:p w14:paraId="1D769FC3" w14:textId="73AD53C8" w:rsidR="00284A1A" w:rsidRPr="007C0C88" w:rsidRDefault="00284A1A" w:rsidP="007C0C88">
      <w:pPr>
        <w:spacing w:line="276" w:lineRule="auto"/>
        <w:ind w:firstLine="1701"/>
        <w:jc w:val="both"/>
        <w:rPr>
          <w:rFonts w:ascii="Gadugi" w:hAnsi="Gadugi" w:cs="Arial"/>
          <w:sz w:val="24"/>
          <w:szCs w:val="24"/>
        </w:rPr>
      </w:pPr>
    </w:p>
    <w:p w14:paraId="62BD5C24" w14:textId="4F5FE2DD" w:rsidR="00A70A41" w:rsidRPr="007C0C88" w:rsidRDefault="00063529"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En ese entendido, </w:t>
      </w:r>
      <w:r w:rsidR="00A70A41" w:rsidRPr="007C0C88">
        <w:rPr>
          <w:rFonts w:ascii="Gadugi" w:hAnsi="Gadugi" w:cs="Arial"/>
          <w:sz w:val="24"/>
          <w:szCs w:val="24"/>
        </w:rPr>
        <w:t>lo acertado era declarar improcedente la demanda respecto de las demás autoridades convocadas al juicio, incluso en relación con la Personería Municipal de Pereira</w:t>
      </w:r>
      <w:r w:rsidR="002B1FD9" w:rsidRPr="007C0C88">
        <w:rPr>
          <w:rFonts w:ascii="Gadugi" w:hAnsi="Gadugi" w:cs="Arial"/>
          <w:sz w:val="24"/>
          <w:szCs w:val="24"/>
        </w:rPr>
        <w:t>. Así se procederá en esta sede.</w:t>
      </w:r>
      <w:r w:rsidR="002B01C1" w:rsidRPr="007C0C88">
        <w:rPr>
          <w:rFonts w:ascii="Gadugi" w:hAnsi="Gadugi" w:cs="Arial"/>
          <w:sz w:val="24"/>
          <w:szCs w:val="24"/>
        </w:rPr>
        <w:t xml:space="preserve"> </w:t>
      </w:r>
    </w:p>
    <w:p w14:paraId="7CAC522F" w14:textId="05E88DDF" w:rsidR="008C1ED7" w:rsidRPr="007C0C88" w:rsidRDefault="008C1ED7" w:rsidP="007C0C88">
      <w:pPr>
        <w:spacing w:line="276" w:lineRule="auto"/>
        <w:ind w:firstLine="1701"/>
        <w:jc w:val="both"/>
        <w:rPr>
          <w:rFonts w:ascii="Gadugi" w:hAnsi="Gadugi" w:cs="Arial"/>
          <w:sz w:val="24"/>
          <w:szCs w:val="24"/>
        </w:rPr>
      </w:pPr>
    </w:p>
    <w:p w14:paraId="4597626D" w14:textId="10557477" w:rsidR="002B01C1" w:rsidRPr="007C0C88" w:rsidRDefault="002B01C1"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Vale apuntar que con lo último que se explicó se resuelve, desfavorablemente, lo que es motivo de impugnación de los accionantes. </w:t>
      </w:r>
    </w:p>
    <w:p w14:paraId="71FCAF93" w14:textId="77777777" w:rsidR="002B01C1" w:rsidRPr="007C0C88" w:rsidRDefault="002B01C1" w:rsidP="007C0C88">
      <w:pPr>
        <w:spacing w:line="276" w:lineRule="auto"/>
        <w:ind w:firstLine="1701"/>
        <w:jc w:val="both"/>
        <w:rPr>
          <w:rFonts w:ascii="Gadugi" w:hAnsi="Gadugi" w:cs="Arial"/>
          <w:sz w:val="24"/>
          <w:szCs w:val="24"/>
        </w:rPr>
      </w:pPr>
    </w:p>
    <w:p w14:paraId="5B742541" w14:textId="39D7D6CF" w:rsidR="00063529" w:rsidRPr="007C0C88" w:rsidRDefault="008C1ED7" w:rsidP="007C0C88">
      <w:pPr>
        <w:spacing w:line="276" w:lineRule="auto"/>
        <w:ind w:firstLine="1701"/>
        <w:jc w:val="both"/>
        <w:rPr>
          <w:rFonts w:ascii="Gadugi" w:hAnsi="Gadugi" w:cs="Arial"/>
          <w:sz w:val="24"/>
          <w:szCs w:val="24"/>
        </w:rPr>
      </w:pPr>
      <w:r w:rsidRPr="007C0C88">
        <w:rPr>
          <w:rFonts w:ascii="Gadugi" w:hAnsi="Gadugi" w:cs="Arial"/>
          <w:sz w:val="24"/>
          <w:szCs w:val="24"/>
        </w:rPr>
        <w:t>2.3.2. Se satisface la inmediatez pues ante la orden de desalojo, programada para el 1° de julio de 2022</w:t>
      </w:r>
      <w:r w:rsidR="002B01C1" w:rsidRPr="007C0C88">
        <w:rPr>
          <w:rStyle w:val="Refdenotaalpie"/>
          <w:rFonts w:ascii="Gadugi" w:hAnsi="Gadugi" w:cs="Arial"/>
          <w:sz w:val="24"/>
          <w:szCs w:val="24"/>
        </w:rPr>
        <w:footnoteReference w:id="21"/>
      </w:r>
      <w:r w:rsidRPr="007C0C88">
        <w:rPr>
          <w:rFonts w:ascii="Gadugi" w:hAnsi="Gadugi" w:cs="Arial"/>
          <w:sz w:val="24"/>
          <w:szCs w:val="24"/>
        </w:rPr>
        <w:t>, los accionantes activaron el amparo constitucional con prontitud, el 29 de junio de 2022</w:t>
      </w:r>
      <w:r w:rsidR="002B01C1" w:rsidRPr="007C0C88">
        <w:rPr>
          <w:rStyle w:val="Refdenotaalpie"/>
          <w:rFonts w:ascii="Gadugi" w:hAnsi="Gadugi" w:cs="Arial"/>
          <w:sz w:val="24"/>
          <w:szCs w:val="24"/>
        </w:rPr>
        <w:footnoteReference w:id="22"/>
      </w:r>
      <w:r w:rsidRPr="007C0C88">
        <w:rPr>
          <w:rFonts w:ascii="Gadugi" w:hAnsi="Gadugi" w:cs="Arial"/>
          <w:sz w:val="24"/>
          <w:szCs w:val="24"/>
        </w:rPr>
        <w:t>.</w:t>
      </w:r>
    </w:p>
    <w:p w14:paraId="32A8606B" w14:textId="0087B9B9" w:rsidR="008C1ED7" w:rsidRPr="007C0C88" w:rsidRDefault="008C1ED7" w:rsidP="007C0C88">
      <w:pPr>
        <w:spacing w:line="276" w:lineRule="auto"/>
        <w:ind w:firstLine="1701"/>
        <w:jc w:val="both"/>
        <w:rPr>
          <w:rFonts w:ascii="Gadugi" w:hAnsi="Gadugi" w:cs="Arial"/>
          <w:sz w:val="24"/>
          <w:szCs w:val="24"/>
        </w:rPr>
      </w:pPr>
    </w:p>
    <w:p w14:paraId="237CC9B7" w14:textId="70163776" w:rsidR="002B01C1" w:rsidRPr="007C0C88" w:rsidRDefault="008C1ED7"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2.3.3. </w:t>
      </w:r>
      <w:r w:rsidR="00B42FE5" w:rsidRPr="007C0C88">
        <w:rPr>
          <w:rFonts w:ascii="Gadugi" w:hAnsi="Gadugi" w:cs="Arial"/>
          <w:sz w:val="24"/>
          <w:szCs w:val="24"/>
        </w:rPr>
        <w:t xml:space="preserve">Y la subsidiariedad se supera porque si bien existe el medio de control de nulidad </w:t>
      </w:r>
      <w:r w:rsidR="000B5716" w:rsidRPr="007C0C88">
        <w:rPr>
          <w:rFonts w:ascii="Gadugi" w:hAnsi="Gadugi" w:cs="Arial"/>
          <w:sz w:val="24"/>
          <w:szCs w:val="24"/>
        </w:rPr>
        <w:t>y restablecimiento del derecho</w:t>
      </w:r>
      <w:r w:rsidR="00117429" w:rsidRPr="007C0C88">
        <w:rPr>
          <w:rFonts w:ascii="Gadugi" w:hAnsi="Gadugi" w:cs="Arial"/>
          <w:sz w:val="24"/>
          <w:szCs w:val="24"/>
        </w:rPr>
        <w:t>,</w:t>
      </w:r>
      <w:r w:rsidR="000B5716" w:rsidRPr="007C0C88">
        <w:rPr>
          <w:rFonts w:ascii="Gadugi" w:hAnsi="Gadugi" w:cs="Arial"/>
          <w:sz w:val="24"/>
          <w:szCs w:val="24"/>
        </w:rPr>
        <w:t xml:space="preserve"> diseñado para </w:t>
      </w:r>
      <w:r w:rsidR="00117429" w:rsidRPr="007C0C88">
        <w:rPr>
          <w:rFonts w:ascii="Gadugi" w:hAnsi="Gadugi" w:cs="Arial"/>
          <w:sz w:val="24"/>
          <w:szCs w:val="24"/>
        </w:rPr>
        <w:t>controvertir decisiones de la administración pública, la verdad es que</w:t>
      </w:r>
      <w:r w:rsidR="002B01C1" w:rsidRPr="007C0C88">
        <w:rPr>
          <w:rFonts w:ascii="Gadugi" w:hAnsi="Gadugi" w:cs="Arial"/>
          <w:sz w:val="24"/>
          <w:szCs w:val="24"/>
        </w:rPr>
        <w:t>,</w:t>
      </w:r>
      <w:r w:rsidR="00117429" w:rsidRPr="007C0C88">
        <w:rPr>
          <w:rFonts w:ascii="Gadugi" w:hAnsi="Gadugi" w:cs="Arial"/>
          <w:sz w:val="24"/>
          <w:szCs w:val="24"/>
        </w:rPr>
        <w:t xml:space="preserve"> en este </w:t>
      </w:r>
      <w:r w:rsidR="002B01C1" w:rsidRPr="007C0C88">
        <w:rPr>
          <w:rFonts w:ascii="Gadugi" w:hAnsi="Gadugi" w:cs="Arial"/>
          <w:sz w:val="24"/>
          <w:szCs w:val="24"/>
        </w:rPr>
        <w:t xml:space="preserve">muy particular </w:t>
      </w:r>
      <w:r w:rsidR="00117429" w:rsidRPr="007C0C88">
        <w:rPr>
          <w:rFonts w:ascii="Gadugi" w:hAnsi="Gadugi" w:cs="Arial"/>
          <w:sz w:val="24"/>
          <w:szCs w:val="24"/>
        </w:rPr>
        <w:t>caso</w:t>
      </w:r>
      <w:r w:rsidR="002B01C1" w:rsidRPr="007C0C88">
        <w:rPr>
          <w:rFonts w:ascii="Gadugi" w:hAnsi="Gadugi" w:cs="Arial"/>
          <w:sz w:val="24"/>
          <w:szCs w:val="24"/>
        </w:rPr>
        <w:t>,</w:t>
      </w:r>
      <w:r w:rsidR="00117429" w:rsidRPr="007C0C88">
        <w:rPr>
          <w:rFonts w:ascii="Gadugi" w:hAnsi="Gadugi" w:cs="Arial"/>
          <w:sz w:val="24"/>
          <w:szCs w:val="24"/>
        </w:rPr>
        <w:t xml:space="preserve"> no luce idóneo dada la inminencia del desalojo y la </w:t>
      </w:r>
      <w:r w:rsidR="002B01C1" w:rsidRPr="007C0C88">
        <w:rPr>
          <w:rFonts w:ascii="Gadugi" w:hAnsi="Gadugi" w:cs="Arial"/>
          <w:sz w:val="24"/>
          <w:szCs w:val="24"/>
        </w:rPr>
        <w:t xml:space="preserve">evidente condición de vulnerabilidad de los accionantes quienes, como más adelante se confirmará, se encuentran en situación de riesgo. </w:t>
      </w:r>
    </w:p>
    <w:p w14:paraId="34D4BCED" w14:textId="1E7F01C0" w:rsidR="00117429" w:rsidRPr="007C0C88" w:rsidRDefault="00117429" w:rsidP="007C0C88">
      <w:pPr>
        <w:spacing w:line="276" w:lineRule="auto"/>
        <w:ind w:firstLine="1701"/>
        <w:jc w:val="both"/>
        <w:rPr>
          <w:rFonts w:ascii="Gadugi" w:hAnsi="Gadugi" w:cs="Arial"/>
          <w:sz w:val="24"/>
          <w:szCs w:val="24"/>
        </w:rPr>
      </w:pPr>
    </w:p>
    <w:p w14:paraId="4EDDCF12" w14:textId="10ECE92F" w:rsidR="00EE1A9D" w:rsidRPr="007C0C88" w:rsidRDefault="00F218DE"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2.4. </w:t>
      </w:r>
      <w:r w:rsidR="002B01C1" w:rsidRPr="007C0C88">
        <w:rPr>
          <w:rFonts w:ascii="Gadugi" w:hAnsi="Gadugi" w:cs="Arial"/>
          <w:sz w:val="24"/>
          <w:szCs w:val="24"/>
        </w:rPr>
        <w:t>Pues bien, s</w:t>
      </w:r>
      <w:r w:rsidRPr="007C0C88">
        <w:rPr>
          <w:rFonts w:ascii="Gadugi" w:hAnsi="Gadugi" w:cs="Arial"/>
          <w:sz w:val="24"/>
          <w:szCs w:val="24"/>
        </w:rPr>
        <w:t xml:space="preserve">obre los derechos fundamentales al debido proceso, la vivienda digna, y el principio de confianza legítima, la Sala presenta los siguientes breves extractos jurisprudenciales que guían la decisión. </w:t>
      </w:r>
      <w:r w:rsidR="002B01C1" w:rsidRPr="007C0C88">
        <w:rPr>
          <w:rFonts w:ascii="Gadugi" w:hAnsi="Gadugi" w:cs="Arial"/>
          <w:sz w:val="24"/>
          <w:szCs w:val="24"/>
        </w:rPr>
        <w:t>P</w:t>
      </w:r>
      <w:r w:rsidRPr="007C0C88">
        <w:rPr>
          <w:rFonts w:ascii="Gadugi" w:hAnsi="Gadugi" w:cs="Arial"/>
          <w:sz w:val="24"/>
          <w:szCs w:val="24"/>
        </w:rPr>
        <w:t xml:space="preserve">or una </w:t>
      </w:r>
      <w:r w:rsidR="00EE1A9D" w:rsidRPr="007C0C88">
        <w:rPr>
          <w:rFonts w:ascii="Gadugi" w:hAnsi="Gadugi" w:cs="Arial"/>
          <w:sz w:val="24"/>
          <w:szCs w:val="24"/>
        </w:rPr>
        <w:t>problemática</w:t>
      </w:r>
      <w:r w:rsidRPr="007C0C88">
        <w:rPr>
          <w:rFonts w:ascii="Gadugi" w:hAnsi="Gadugi" w:cs="Arial"/>
          <w:sz w:val="24"/>
          <w:szCs w:val="24"/>
        </w:rPr>
        <w:t xml:space="preserve"> afín</w:t>
      </w:r>
      <w:r w:rsidR="00EE1A9D" w:rsidRPr="007C0C88">
        <w:rPr>
          <w:rFonts w:ascii="Gadugi" w:hAnsi="Gadugi" w:cs="Arial"/>
          <w:sz w:val="24"/>
          <w:szCs w:val="24"/>
        </w:rPr>
        <w:t xml:space="preserve"> con la que aquí es motivo de estudio, relacionada con el inminente desalojo de personas que habitan zonas de riesgo de desastres naturales, y que casualmente ocurrió en este municipio,</w:t>
      </w:r>
      <w:r w:rsidRPr="007C0C88">
        <w:rPr>
          <w:rFonts w:ascii="Gadugi" w:hAnsi="Gadugi" w:cs="Arial"/>
          <w:sz w:val="24"/>
          <w:szCs w:val="24"/>
        </w:rPr>
        <w:t xml:space="preserve"> la Corte Constitucional</w:t>
      </w:r>
      <w:r w:rsidR="00EE1A9D" w:rsidRPr="007C0C88">
        <w:rPr>
          <w:rFonts w:ascii="Gadugi" w:hAnsi="Gadugi" w:cs="Arial"/>
          <w:sz w:val="24"/>
          <w:szCs w:val="24"/>
        </w:rPr>
        <w:t>, hace tiempo</w:t>
      </w:r>
      <w:r w:rsidRPr="007C0C88">
        <w:rPr>
          <w:rFonts w:ascii="Gadugi" w:hAnsi="Gadugi" w:cs="Arial"/>
          <w:sz w:val="24"/>
          <w:szCs w:val="24"/>
        </w:rPr>
        <w:t xml:space="preserve"> ya</w:t>
      </w:r>
      <w:r w:rsidR="00EE1A9D" w:rsidRPr="007C0C88">
        <w:rPr>
          <w:rFonts w:ascii="Gadugi" w:hAnsi="Gadugi" w:cs="Arial"/>
          <w:sz w:val="24"/>
          <w:szCs w:val="24"/>
        </w:rPr>
        <w:t>,</w:t>
      </w:r>
      <w:r w:rsidRPr="007C0C88">
        <w:rPr>
          <w:rFonts w:ascii="Gadugi" w:hAnsi="Gadugi" w:cs="Arial"/>
          <w:sz w:val="24"/>
          <w:szCs w:val="24"/>
        </w:rPr>
        <w:t xml:space="preserve"> tuvo la oportunidad de explicar que</w:t>
      </w:r>
      <w:r w:rsidR="00EE1A9D" w:rsidRPr="007C0C88">
        <w:rPr>
          <w:rStyle w:val="Refdenotaalpie"/>
          <w:rFonts w:ascii="Gadugi" w:hAnsi="Gadugi" w:cs="Arial"/>
          <w:sz w:val="24"/>
          <w:szCs w:val="24"/>
        </w:rPr>
        <w:footnoteReference w:id="23"/>
      </w:r>
      <w:r w:rsidR="00EE1A9D" w:rsidRPr="007C0C88">
        <w:rPr>
          <w:rFonts w:ascii="Gadugi" w:hAnsi="Gadugi" w:cs="Arial"/>
          <w:sz w:val="24"/>
          <w:szCs w:val="24"/>
        </w:rPr>
        <w:t>:</w:t>
      </w:r>
    </w:p>
    <w:p w14:paraId="60A899B2" w14:textId="77777777" w:rsidR="00EE1A9D" w:rsidRPr="007C0C88" w:rsidRDefault="00EE1A9D" w:rsidP="007C0C88">
      <w:pPr>
        <w:spacing w:line="276" w:lineRule="auto"/>
        <w:ind w:firstLine="1701"/>
        <w:jc w:val="both"/>
        <w:rPr>
          <w:rFonts w:ascii="Gadugi" w:hAnsi="Gadugi" w:cs="Arial"/>
          <w:sz w:val="24"/>
          <w:szCs w:val="24"/>
        </w:rPr>
      </w:pPr>
    </w:p>
    <w:p w14:paraId="0706D5D9" w14:textId="2640C1F2" w:rsidR="00EE1A9D" w:rsidRPr="00F47177" w:rsidRDefault="00EE1A9D" w:rsidP="00F47177">
      <w:pPr>
        <w:ind w:left="426" w:right="420" w:firstLine="1134"/>
        <w:jc w:val="both"/>
        <w:rPr>
          <w:rFonts w:ascii="Gadugi" w:hAnsi="Gadugi" w:cs="Arial"/>
          <w:sz w:val="22"/>
          <w:szCs w:val="24"/>
        </w:rPr>
      </w:pPr>
      <w:r w:rsidRPr="00F47177">
        <w:rPr>
          <w:rFonts w:ascii="Gadugi" w:hAnsi="Gadugi" w:cs="Arial"/>
          <w:sz w:val="22"/>
          <w:szCs w:val="24"/>
        </w:rPr>
        <w:t>“(…)</w:t>
      </w:r>
      <w:r w:rsidR="00F218DE" w:rsidRPr="00F47177">
        <w:rPr>
          <w:rFonts w:ascii="Gadugi" w:hAnsi="Gadugi" w:cs="Arial"/>
          <w:sz w:val="22"/>
          <w:szCs w:val="24"/>
        </w:rPr>
        <w:t xml:space="preserve"> </w:t>
      </w:r>
      <w:r w:rsidR="00F218DE" w:rsidRPr="00F47177">
        <w:rPr>
          <w:rFonts w:ascii="Gadugi" w:hAnsi="Gadugi" w:cs="Arial"/>
          <w:b/>
          <w:sz w:val="22"/>
          <w:szCs w:val="24"/>
        </w:rPr>
        <w:t>las autoridades encargadas de dar aplicación a las políticas de preservación del interés general, deben velar por minimizar el detrimento que eventualmente se cause a las personas afectadas con las órdenes de desalojo</w:t>
      </w:r>
      <w:r w:rsidR="00F218DE" w:rsidRPr="00F47177">
        <w:rPr>
          <w:rFonts w:ascii="Gadugi" w:hAnsi="Gadugi" w:cs="Arial"/>
          <w:sz w:val="22"/>
          <w:szCs w:val="24"/>
        </w:rPr>
        <w:t xml:space="preserve">, para lo cual se desarrollarán programas especiales de atención a la población que sufra desplazamiento masivo, pobreza o indigencia, entre otros factores, que se ve obligada a utilizar el espacio público, a falta de alternativa distinta, </w:t>
      </w:r>
      <w:r w:rsidR="00F218DE" w:rsidRPr="00F47177">
        <w:rPr>
          <w:rFonts w:ascii="Gadugi" w:hAnsi="Gadugi" w:cs="Arial"/>
          <w:b/>
          <w:sz w:val="22"/>
          <w:szCs w:val="24"/>
        </w:rPr>
        <w:t xml:space="preserve">ya sea para desarrollar actividades comerciales o </w:t>
      </w:r>
      <w:r w:rsidR="00F218DE" w:rsidRPr="00F47177">
        <w:rPr>
          <w:rFonts w:ascii="Gadugi" w:hAnsi="Gadugi" w:cs="Arial"/>
          <w:b/>
          <w:sz w:val="22"/>
          <w:szCs w:val="24"/>
          <w:u w:val="single"/>
        </w:rPr>
        <w:t>para establecer su vivienda</w:t>
      </w:r>
      <w:r w:rsidR="00F218DE" w:rsidRPr="00F47177">
        <w:rPr>
          <w:rFonts w:ascii="Gadugi" w:hAnsi="Gadugi" w:cs="Arial"/>
          <w:sz w:val="22"/>
          <w:szCs w:val="24"/>
        </w:rPr>
        <w:t>.</w:t>
      </w:r>
      <w:r w:rsidRPr="00F47177">
        <w:rPr>
          <w:rFonts w:ascii="Gadugi" w:hAnsi="Gadugi" w:cs="Arial"/>
          <w:sz w:val="22"/>
          <w:szCs w:val="24"/>
        </w:rPr>
        <w:t>”</w:t>
      </w:r>
      <w:r w:rsidR="00A15CD6" w:rsidRPr="00F47177">
        <w:rPr>
          <w:rFonts w:ascii="Gadugi" w:hAnsi="Gadugi" w:cs="Arial"/>
          <w:sz w:val="22"/>
          <w:szCs w:val="24"/>
        </w:rPr>
        <w:t xml:space="preserve"> (Destaca la Sala)</w:t>
      </w:r>
    </w:p>
    <w:p w14:paraId="29469676" w14:textId="1407001E" w:rsidR="00EE1A9D" w:rsidRPr="007C0C88" w:rsidRDefault="00EE1A9D" w:rsidP="007C0C88">
      <w:pPr>
        <w:spacing w:line="276" w:lineRule="auto"/>
        <w:ind w:firstLine="1701"/>
        <w:jc w:val="both"/>
        <w:rPr>
          <w:rFonts w:ascii="Gadugi" w:hAnsi="Gadugi" w:cs="Arial"/>
          <w:sz w:val="24"/>
          <w:szCs w:val="24"/>
        </w:rPr>
      </w:pPr>
    </w:p>
    <w:p w14:paraId="6B9C2ACE" w14:textId="1C82F8F5" w:rsidR="00EE1A9D" w:rsidRPr="007C0C88" w:rsidRDefault="00EE1A9D" w:rsidP="007C0C88">
      <w:pPr>
        <w:spacing w:line="276" w:lineRule="auto"/>
        <w:ind w:firstLine="1701"/>
        <w:jc w:val="both"/>
        <w:rPr>
          <w:rFonts w:ascii="Gadugi" w:hAnsi="Gadugi" w:cs="Arial"/>
          <w:sz w:val="24"/>
          <w:szCs w:val="24"/>
        </w:rPr>
      </w:pPr>
      <w:r w:rsidRPr="007C0C88">
        <w:rPr>
          <w:rFonts w:ascii="Gadugi" w:hAnsi="Gadugi" w:cs="Arial"/>
          <w:sz w:val="24"/>
          <w:szCs w:val="24"/>
        </w:rPr>
        <w:t>Y que:</w:t>
      </w:r>
    </w:p>
    <w:p w14:paraId="6795895F" w14:textId="77777777" w:rsidR="00EE1A9D" w:rsidRPr="007C0C88" w:rsidRDefault="00EE1A9D" w:rsidP="007C0C88">
      <w:pPr>
        <w:spacing w:line="276" w:lineRule="auto"/>
        <w:ind w:firstLine="1701"/>
        <w:jc w:val="both"/>
        <w:rPr>
          <w:rFonts w:ascii="Gadugi" w:hAnsi="Gadugi" w:cs="Arial"/>
          <w:sz w:val="24"/>
          <w:szCs w:val="24"/>
        </w:rPr>
      </w:pPr>
    </w:p>
    <w:p w14:paraId="7330E231" w14:textId="39491043" w:rsidR="00F218DE" w:rsidRPr="00F47177" w:rsidRDefault="00EE1A9D" w:rsidP="00F47177">
      <w:pPr>
        <w:ind w:left="426" w:right="420" w:firstLine="1134"/>
        <w:jc w:val="both"/>
        <w:rPr>
          <w:rFonts w:ascii="Gadugi" w:hAnsi="Gadugi" w:cs="Arial"/>
          <w:sz w:val="22"/>
          <w:szCs w:val="24"/>
        </w:rPr>
      </w:pPr>
      <w:r w:rsidRPr="00F47177">
        <w:rPr>
          <w:rFonts w:ascii="Gadugi" w:hAnsi="Gadugi" w:cs="Arial"/>
          <w:sz w:val="22"/>
          <w:szCs w:val="24"/>
        </w:rPr>
        <w:t xml:space="preserve">“(…) es deber de la administración actuar en sus relaciones jurídicas con los particulares de manera consecuente con sus conductas precedentes, de manera que los administrados no se vean sorprendidos con procederes que resulten contrarios a sus expectativas legítimamente fundadas, </w:t>
      </w:r>
      <w:r w:rsidRPr="00F47177">
        <w:rPr>
          <w:rFonts w:ascii="Gadugi" w:hAnsi="Gadugi" w:cs="Arial"/>
          <w:b/>
          <w:sz w:val="22"/>
          <w:szCs w:val="24"/>
        </w:rPr>
        <w:t>basado como está el principio de confianza legítima en que las autoridades públicas no pueden alterar, en forma inopinada, las reglas que gobiernan las relaciones del Estado con los asociados</w:t>
      </w:r>
      <w:r w:rsidRPr="00F47177">
        <w:rPr>
          <w:rFonts w:ascii="Gadugi" w:hAnsi="Gadugi" w:cs="Arial"/>
          <w:sz w:val="22"/>
          <w:szCs w:val="24"/>
        </w:rPr>
        <w:t>.”</w:t>
      </w:r>
      <w:r w:rsidR="00A15CD6" w:rsidRPr="00F47177">
        <w:rPr>
          <w:rFonts w:ascii="Gadugi" w:hAnsi="Gadugi" w:cs="Arial"/>
          <w:sz w:val="22"/>
          <w:szCs w:val="24"/>
        </w:rPr>
        <w:t xml:space="preserve"> (Destaca la Sala)</w:t>
      </w:r>
    </w:p>
    <w:p w14:paraId="5B03A247" w14:textId="3CAB03D9" w:rsidR="00F218DE" w:rsidRPr="007C0C88" w:rsidRDefault="00F218DE" w:rsidP="007C0C88">
      <w:pPr>
        <w:spacing w:line="276" w:lineRule="auto"/>
        <w:ind w:firstLine="1701"/>
        <w:jc w:val="both"/>
        <w:rPr>
          <w:rFonts w:ascii="Gadugi" w:hAnsi="Gadugi" w:cs="Arial"/>
          <w:sz w:val="24"/>
          <w:szCs w:val="24"/>
        </w:rPr>
      </w:pPr>
    </w:p>
    <w:p w14:paraId="07BF7B12" w14:textId="4492A440" w:rsidR="00EE1A9D" w:rsidRPr="007C0C88" w:rsidRDefault="00EE1A9D"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Y más recientemente, específicamente en relación con el derecho al debido proceso y a la garantía a la vivienda digna que deben regir los procedimientos de </w:t>
      </w:r>
      <w:r w:rsidR="002B01C1" w:rsidRPr="007C0C88">
        <w:rPr>
          <w:rFonts w:ascii="Gadugi" w:hAnsi="Gadugi" w:cs="Arial"/>
          <w:sz w:val="24"/>
          <w:szCs w:val="24"/>
        </w:rPr>
        <w:t>desocupación</w:t>
      </w:r>
      <w:r w:rsidRPr="007C0C88">
        <w:rPr>
          <w:rFonts w:ascii="Gadugi" w:hAnsi="Gadugi" w:cs="Arial"/>
          <w:sz w:val="24"/>
          <w:szCs w:val="24"/>
        </w:rPr>
        <w:t xml:space="preserve"> puntualizó</w:t>
      </w:r>
      <w:r w:rsidRPr="007C0C88">
        <w:rPr>
          <w:rStyle w:val="Refdenotaalpie"/>
          <w:rFonts w:ascii="Gadugi" w:hAnsi="Gadugi" w:cs="Arial"/>
          <w:sz w:val="24"/>
          <w:szCs w:val="24"/>
        </w:rPr>
        <w:footnoteReference w:id="24"/>
      </w:r>
      <w:r w:rsidRPr="007C0C88">
        <w:rPr>
          <w:rFonts w:ascii="Gadugi" w:hAnsi="Gadugi" w:cs="Arial"/>
          <w:sz w:val="24"/>
          <w:szCs w:val="24"/>
        </w:rPr>
        <w:t xml:space="preserve">:  </w:t>
      </w:r>
    </w:p>
    <w:p w14:paraId="250B46E2" w14:textId="28423046" w:rsidR="00EE1A9D" w:rsidRPr="007C0C88" w:rsidRDefault="00EE1A9D" w:rsidP="007C0C88">
      <w:pPr>
        <w:spacing w:line="276" w:lineRule="auto"/>
        <w:ind w:firstLine="1701"/>
        <w:jc w:val="both"/>
        <w:rPr>
          <w:rFonts w:ascii="Gadugi" w:hAnsi="Gadugi" w:cs="Arial"/>
          <w:sz w:val="24"/>
          <w:szCs w:val="24"/>
        </w:rPr>
      </w:pPr>
    </w:p>
    <w:p w14:paraId="468BEC3E" w14:textId="677D72B3" w:rsidR="00EE1A9D" w:rsidRPr="00F47177" w:rsidRDefault="00EE1A9D" w:rsidP="00F47177">
      <w:pPr>
        <w:ind w:left="426" w:right="420" w:firstLine="1134"/>
        <w:jc w:val="both"/>
        <w:rPr>
          <w:rFonts w:ascii="Gadugi" w:hAnsi="Gadugi"/>
          <w:sz w:val="22"/>
          <w:szCs w:val="24"/>
          <w:lang w:val="es-CO" w:eastAsia="es-CO"/>
        </w:rPr>
      </w:pPr>
      <w:r w:rsidRPr="00F47177">
        <w:rPr>
          <w:rFonts w:ascii="Gadugi" w:hAnsi="Gadugi"/>
          <w:sz w:val="22"/>
          <w:szCs w:val="24"/>
          <w:lang w:val="es-CO" w:eastAsia="es-CO"/>
        </w:rPr>
        <w:t>5.5.  </w:t>
      </w:r>
      <w:r w:rsidRPr="00F47177">
        <w:rPr>
          <w:rFonts w:ascii="Gadugi" w:hAnsi="Gadugi"/>
          <w:b/>
          <w:sz w:val="22"/>
          <w:szCs w:val="24"/>
          <w:lang w:val="es-CO" w:eastAsia="es-CO"/>
        </w:rPr>
        <w:t>Por su parte, las decisiones que tome la administración en el marco de las actuaciones administrativas deben estar consignadas en actos administrativos debidamente motivados</w:t>
      </w:r>
      <w:r w:rsidRPr="00F47177">
        <w:rPr>
          <w:rFonts w:ascii="Gadugi" w:hAnsi="Gadugi"/>
          <w:sz w:val="22"/>
          <w:szCs w:val="24"/>
          <w:lang w:val="es-CO" w:eastAsia="es-CO"/>
        </w:rPr>
        <w:t>.</w:t>
      </w:r>
    </w:p>
    <w:p w14:paraId="00F2DAD2" w14:textId="2D4036D3" w:rsidR="00EE1A9D" w:rsidRPr="00F47177" w:rsidRDefault="00EE1A9D" w:rsidP="00F47177">
      <w:pPr>
        <w:shd w:val="clear" w:color="auto" w:fill="FFFFFF"/>
        <w:overflowPunct/>
        <w:autoSpaceDE/>
        <w:autoSpaceDN/>
        <w:adjustRightInd/>
        <w:ind w:left="426" w:right="420" w:firstLine="1701"/>
        <w:jc w:val="both"/>
        <w:textAlignment w:val="auto"/>
        <w:rPr>
          <w:rFonts w:ascii="Gadugi" w:hAnsi="Gadugi"/>
          <w:sz w:val="22"/>
          <w:szCs w:val="24"/>
          <w:lang w:val="es-CO" w:eastAsia="es-CO"/>
        </w:rPr>
      </w:pPr>
    </w:p>
    <w:p w14:paraId="7FC16B06" w14:textId="0FDA2EFE" w:rsidR="00EE1A9D" w:rsidRPr="00F47177" w:rsidRDefault="00EE1A9D" w:rsidP="00F47177">
      <w:pPr>
        <w:shd w:val="clear" w:color="auto" w:fill="FFFFFF"/>
        <w:overflowPunct/>
        <w:autoSpaceDE/>
        <w:autoSpaceDN/>
        <w:adjustRightInd/>
        <w:ind w:left="426" w:right="420" w:firstLine="1134"/>
        <w:jc w:val="both"/>
        <w:textAlignment w:val="auto"/>
        <w:rPr>
          <w:rFonts w:ascii="Gadugi" w:hAnsi="Gadugi"/>
          <w:sz w:val="22"/>
          <w:szCs w:val="24"/>
          <w:lang w:val="es-CO" w:eastAsia="es-CO"/>
        </w:rPr>
      </w:pPr>
      <w:r w:rsidRPr="00F47177">
        <w:rPr>
          <w:rFonts w:ascii="Gadugi" w:hAnsi="Gadugi"/>
          <w:sz w:val="22"/>
          <w:szCs w:val="24"/>
          <w:shd w:val="clear" w:color="auto" w:fill="FFFFFF"/>
          <w:lang w:val="es-CO" w:eastAsia="es-CO"/>
        </w:rPr>
        <w:t>La motivación del acto administrativo es parte del derecho al debido proceso administrativo, porque permite que el ciudadano conozca con certeza las razones de la decisión de la administración y se garantice la seguridad jurídica. De esta forma, las personas pueden verificar que aquellas se ajustan a la regulación y criterios previamente dispuestos en la ley para encausar al funcionario público encargado de tomar la decisión que impacta sus derechos y obligaciones</w:t>
      </w:r>
      <w:r w:rsidRPr="00F47177">
        <w:rPr>
          <w:rStyle w:val="Refdenotaalpie"/>
          <w:rFonts w:ascii="Gadugi" w:hAnsi="Gadugi"/>
          <w:sz w:val="22"/>
          <w:szCs w:val="24"/>
          <w:shd w:val="clear" w:color="auto" w:fill="FFFFFF"/>
          <w:lang w:val="es-CO" w:eastAsia="es-CO"/>
        </w:rPr>
        <w:footnoteReference w:id="25"/>
      </w:r>
      <w:r w:rsidRPr="00F47177">
        <w:rPr>
          <w:rFonts w:ascii="Gadugi" w:hAnsi="Gadugi"/>
          <w:sz w:val="22"/>
          <w:szCs w:val="24"/>
          <w:shd w:val="clear" w:color="auto" w:fill="FFFFFF"/>
          <w:lang w:val="es-CO" w:eastAsia="es-CO"/>
        </w:rPr>
        <w:t>”.</w:t>
      </w:r>
      <w:r w:rsidRPr="00F47177">
        <w:rPr>
          <w:rStyle w:val="Refdenotaalpie"/>
          <w:rFonts w:ascii="Gadugi" w:hAnsi="Gadugi"/>
          <w:sz w:val="22"/>
          <w:szCs w:val="24"/>
          <w:shd w:val="clear" w:color="auto" w:fill="FFFFFF"/>
          <w:lang w:val="es-CO" w:eastAsia="es-CO"/>
        </w:rPr>
        <w:footnoteReference w:id="26"/>
      </w:r>
      <w:r w:rsidRPr="00F47177">
        <w:rPr>
          <w:rFonts w:ascii="Gadugi" w:hAnsi="Gadugi"/>
          <w:sz w:val="22"/>
          <w:szCs w:val="24"/>
          <w:shd w:val="clear" w:color="auto" w:fill="FFFFFF"/>
          <w:lang w:val="es-CO" w:eastAsia="es-CO"/>
        </w:rPr>
        <w:t>  </w:t>
      </w:r>
    </w:p>
    <w:p w14:paraId="3A33C2FC" w14:textId="7C997A6B" w:rsidR="00EE1A9D" w:rsidRPr="00F47177" w:rsidRDefault="00EE1A9D" w:rsidP="00F47177">
      <w:pPr>
        <w:shd w:val="clear" w:color="auto" w:fill="FFFFFF"/>
        <w:overflowPunct/>
        <w:autoSpaceDE/>
        <w:autoSpaceDN/>
        <w:adjustRightInd/>
        <w:ind w:left="426" w:right="420" w:firstLine="1701"/>
        <w:jc w:val="both"/>
        <w:textAlignment w:val="auto"/>
        <w:rPr>
          <w:rFonts w:ascii="Gadugi" w:hAnsi="Gadugi"/>
          <w:sz w:val="22"/>
          <w:szCs w:val="24"/>
          <w:shd w:val="clear" w:color="auto" w:fill="FFFFFF"/>
          <w:lang w:val="es-CO" w:eastAsia="es-CO"/>
        </w:rPr>
      </w:pPr>
      <w:r w:rsidRPr="00F47177">
        <w:rPr>
          <w:rFonts w:ascii="Gadugi" w:hAnsi="Gadugi"/>
          <w:sz w:val="22"/>
          <w:szCs w:val="24"/>
          <w:shd w:val="clear" w:color="auto" w:fill="FFFFFF"/>
          <w:lang w:val="es-CO" w:eastAsia="es-CO"/>
        </w:rPr>
        <w:t> </w:t>
      </w:r>
    </w:p>
    <w:p w14:paraId="6ECC2206" w14:textId="4A067638" w:rsidR="00EE1A9D" w:rsidRPr="00F47177" w:rsidRDefault="00EE1A9D" w:rsidP="00F47177">
      <w:pPr>
        <w:shd w:val="clear" w:color="auto" w:fill="FFFFFF"/>
        <w:tabs>
          <w:tab w:val="left" w:pos="1701"/>
        </w:tabs>
        <w:overflowPunct/>
        <w:autoSpaceDE/>
        <w:autoSpaceDN/>
        <w:adjustRightInd/>
        <w:ind w:left="426" w:right="420" w:firstLine="1134"/>
        <w:jc w:val="both"/>
        <w:textAlignment w:val="auto"/>
        <w:rPr>
          <w:rFonts w:ascii="Gadugi" w:hAnsi="Gadugi"/>
          <w:sz w:val="22"/>
          <w:szCs w:val="24"/>
          <w:lang w:val="es-CO" w:eastAsia="es-CO"/>
        </w:rPr>
      </w:pPr>
      <w:r w:rsidRPr="00F47177">
        <w:rPr>
          <w:rFonts w:ascii="Gadugi" w:hAnsi="Gadugi"/>
          <w:sz w:val="22"/>
          <w:szCs w:val="24"/>
          <w:lang w:val="es-CO" w:eastAsia="es-CO"/>
        </w:rPr>
        <w:t>5.6. Ahora bien,</w:t>
      </w:r>
      <w:r w:rsidRPr="00F47177">
        <w:rPr>
          <w:rFonts w:ascii="Gadugi" w:hAnsi="Gadugi"/>
          <w:b/>
          <w:bCs/>
          <w:sz w:val="22"/>
          <w:szCs w:val="24"/>
          <w:lang w:val="es-CO" w:eastAsia="es-CO"/>
        </w:rPr>
        <w:t> </w:t>
      </w:r>
      <w:r w:rsidRPr="00F47177">
        <w:rPr>
          <w:rFonts w:ascii="Gadugi" w:hAnsi="Gadugi"/>
          <w:sz w:val="22"/>
          <w:szCs w:val="24"/>
          <w:lang w:val="es-CO" w:eastAsia="es-CO"/>
        </w:rPr>
        <w:t>con relación al debido proceso en los procesos de desalojo, este Tribunal ha establecido que debe adelantarse con el pleno respeto de los derechos fundamentales y debido proceso de las personas desalojadas, de modo que </w:t>
      </w:r>
      <w:r w:rsidRPr="00F47177">
        <w:rPr>
          <w:rFonts w:ascii="Gadugi" w:hAnsi="Gadugi"/>
          <w:b/>
          <w:i/>
          <w:iCs/>
          <w:sz w:val="22"/>
          <w:szCs w:val="24"/>
          <w:u w:val="single"/>
          <w:lang w:val="es-CO" w:eastAsia="es-CO"/>
        </w:rPr>
        <w:t>“debe articularse con la protección del derecho a la vivienda digna, máxime cuando se dirige contra grupos vulnerables”</w:t>
      </w:r>
      <w:r w:rsidRPr="00F47177">
        <w:rPr>
          <w:rFonts w:ascii="Gadugi" w:hAnsi="Gadugi"/>
          <w:i/>
          <w:iCs/>
          <w:sz w:val="22"/>
          <w:szCs w:val="24"/>
          <w:lang w:val="es-CO" w:eastAsia="es-CO"/>
        </w:rPr>
        <w:t>.</w:t>
      </w:r>
      <w:r w:rsidRPr="00F47177">
        <w:rPr>
          <w:rStyle w:val="Refdenotaalpie"/>
          <w:rFonts w:ascii="Gadugi" w:hAnsi="Gadugi"/>
          <w:i/>
          <w:iCs/>
          <w:sz w:val="22"/>
          <w:szCs w:val="24"/>
          <w:lang w:val="es-CO" w:eastAsia="es-CO"/>
        </w:rPr>
        <w:footnoteReference w:id="27"/>
      </w:r>
      <w:r w:rsidRPr="00F47177">
        <w:rPr>
          <w:rFonts w:ascii="Gadugi" w:hAnsi="Gadugi"/>
          <w:sz w:val="22"/>
          <w:szCs w:val="24"/>
          <w:lang w:val="es-CO" w:eastAsia="es-CO"/>
        </w:rPr>
        <w:t xml:space="preserve"> </w:t>
      </w:r>
    </w:p>
    <w:p w14:paraId="4854E1A3" w14:textId="77777777" w:rsidR="00EE1A9D" w:rsidRPr="007C0C88" w:rsidRDefault="00EE1A9D" w:rsidP="007C0C88">
      <w:pPr>
        <w:spacing w:line="276" w:lineRule="auto"/>
        <w:ind w:firstLine="1701"/>
        <w:jc w:val="both"/>
        <w:rPr>
          <w:rFonts w:ascii="Gadugi" w:hAnsi="Gadugi" w:cs="Arial"/>
          <w:sz w:val="24"/>
          <w:szCs w:val="24"/>
        </w:rPr>
      </w:pPr>
    </w:p>
    <w:p w14:paraId="755BE544" w14:textId="156F86B5" w:rsidR="00117429" w:rsidRPr="007C0C88" w:rsidRDefault="00117429"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2.4. </w:t>
      </w:r>
      <w:r w:rsidR="00EE1A9D" w:rsidRPr="007C0C88">
        <w:rPr>
          <w:rFonts w:ascii="Gadugi" w:hAnsi="Gadugi" w:cs="Arial"/>
          <w:sz w:val="24"/>
          <w:szCs w:val="24"/>
        </w:rPr>
        <w:t xml:space="preserve">Las enseñanzas que acaban de </w:t>
      </w:r>
      <w:r w:rsidR="00A15CD6" w:rsidRPr="007C0C88">
        <w:rPr>
          <w:rFonts w:ascii="Gadugi" w:hAnsi="Gadugi" w:cs="Arial"/>
          <w:sz w:val="24"/>
          <w:szCs w:val="24"/>
        </w:rPr>
        <w:t>repararse</w:t>
      </w:r>
      <w:r w:rsidR="00EE1A9D" w:rsidRPr="007C0C88">
        <w:rPr>
          <w:rFonts w:ascii="Gadugi" w:hAnsi="Gadugi" w:cs="Arial"/>
          <w:sz w:val="24"/>
          <w:szCs w:val="24"/>
        </w:rPr>
        <w:t xml:space="preserve"> son suficientes para continuar con la solución del caso concreto </w:t>
      </w:r>
      <w:r w:rsidR="00A15CD6" w:rsidRPr="007C0C88">
        <w:rPr>
          <w:rFonts w:ascii="Gadugi" w:hAnsi="Gadugi" w:cs="Arial"/>
          <w:sz w:val="24"/>
          <w:szCs w:val="24"/>
        </w:rPr>
        <w:t>en el que se tiene lo siguiente:</w:t>
      </w:r>
    </w:p>
    <w:p w14:paraId="1A7F9A84" w14:textId="2C57834F" w:rsidR="00117429" w:rsidRPr="007C0C88" w:rsidRDefault="00117429" w:rsidP="007C0C88">
      <w:pPr>
        <w:spacing w:line="276" w:lineRule="auto"/>
        <w:ind w:firstLine="1701"/>
        <w:jc w:val="both"/>
        <w:rPr>
          <w:rFonts w:ascii="Gadugi" w:hAnsi="Gadugi" w:cs="Arial"/>
          <w:sz w:val="24"/>
          <w:szCs w:val="24"/>
        </w:rPr>
      </w:pPr>
    </w:p>
    <w:p w14:paraId="345540DF" w14:textId="2A2DD5F1" w:rsidR="00117429" w:rsidRPr="007C0C88" w:rsidRDefault="00117429" w:rsidP="007C0C88">
      <w:pPr>
        <w:spacing w:line="276" w:lineRule="auto"/>
        <w:ind w:firstLine="1701"/>
        <w:jc w:val="both"/>
        <w:rPr>
          <w:rFonts w:ascii="Gadugi" w:hAnsi="Gadugi" w:cs="Arial"/>
          <w:sz w:val="24"/>
          <w:szCs w:val="24"/>
        </w:rPr>
      </w:pPr>
      <w:r w:rsidRPr="007C0C88">
        <w:rPr>
          <w:rFonts w:ascii="Gadugi" w:hAnsi="Gadugi" w:cs="Arial"/>
          <w:sz w:val="24"/>
          <w:szCs w:val="24"/>
        </w:rPr>
        <w:lastRenderedPageBreak/>
        <w:t>(i)</w:t>
      </w:r>
      <w:r w:rsidR="002F1E62" w:rsidRPr="007C0C88">
        <w:rPr>
          <w:rFonts w:ascii="Gadugi" w:hAnsi="Gadugi" w:cs="Arial"/>
          <w:sz w:val="24"/>
          <w:szCs w:val="24"/>
        </w:rPr>
        <w:t xml:space="preserve"> </w:t>
      </w:r>
      <w:r w:rsidR="00A05F6F" w:rsidRPr="007C0C88">
        <w:rPr>
          <w:rFonts w:ascii="Gadugi" w:hAnsi="Gadugi" w:cs="Arial"/>
          <w:sz w:val="24"/>
          <w:szCs w:val="24"/>
        </w:rPr>
        <w:t>Según un detallado informe que reposa en el expediente, e</w:t>
      </w:r>
      <w:r w:rsidR="002F1E62" w:rsidRPr="007C0C88">
        <w:rPr>
          <w:rFonts w:ascii="Gadugi" w:hAnsi="Gadugi" w:cs="Arial"/>
          <w:sz w:val="24"/>
          <w:szCs w:val="24"/>
        </w:rPr>
        <w:t xml:space="preserve">l 23 de junio de 2022 ocurrió un deslizamiento </w:t>
      </w:r>
      <w:r w:rsidR="00A05F6F" w:rsidRPr="007C0C88">
        <w:rPr>
          <w:rFonts w:ascii="Gadugi" w:hAnsi="Gadugi" w:cs="Arial"/>
          <w:sz w:val="24"/>
          <w:szCs w:val="24"/>
        </w:rPr>
        <w:t xml:space="preserve">en Pereira </w:t>
      </w:r>
      <w:r w:rsidR="00A05F6F" w:rsidRPr="007C0C88">
        <w:rPr>
          <w:rFonts w:ascii="Gadugi" w:hAnsi="Gadugi" w:cs="Arial"/>
          <w:i/>
          <w:sz w:val="24"/>
          <w:szCs w:val="24"/>
        </w:rPr>
        <w:t>“</w:t>
      </w:r>
      <w:r w:rsidR="00A05F6F" w:rsidRPr="00D63E45">
        <w:rPr>
          <w:rFonts w:ascii="Gadugi" w:hAnsi="Gadugi" w:cs="Arial"/>
          <w:i/>
          <w:sz w:val="22"/>
          <w:szCs w:val="24"/>
        </w:rPr>
        <w:t>(…)</w:t>
      </w:r>
      <w:r w:rsidR="002F1E62" w:rsidRPr="00D63E45">
        <w:rPr>
          <w:rFonts w:ascii="Gadugi" w:hAnsi="Gadugi" w:cs="Arial"/>
          <w:i/>
          <w:sz w:val="22"/>
          <w:szCs w:val="24"/>
        </w:rPr>
        <w:t xml:space="preserve"> </w:t>
      </w:r>
      <w:r w:rsidR="00A05F6F" w:rsidRPr="00D63E45">
        <w:rPr>
          <w:rFonts w:ascii="Gadugi" w:hAnsi="Gadugi" w:cs="Arial"/>
          <w:i/>
          <w:sz w:val="22"/>
          <w:szCs w:val="24"/>
        </w:rPr>
        <w:t>el cual dejo; 19 viviendas afectadas, 23 familias, y en el cual se otorgaron 23 conceptos de evacuación totales a las viviendas que se encontraban entre las calles 33A y 34A, con avenida del Río</w:t>
      </w:r>
      <w:r w:rsidR="00A05F6F" w:rsidRPr="007C0C88">
        <w:rPr>
          <w:rFonts w:ascii="Gadugi" w:hAnsi="Gadugi" w:cs="Arial"/>
          <w:i/>
          <w:sz w:val="24"/>
          <w:szCs w:val="24"/>
        </w:rPr>
        <w:t>”</w:t>
      </w:r>
      <w:r w:rsidR="00A05F6F" w:rsidRPr="007C0C88">
        <w:rPr>
          <w:rFonts w:ascii="Gadugi" w:hAnsi="Gadugi" w:cs="Arial"/>
          <w:sz w:val="24"/>
          <w:szCs w:val="24"/>
        </w:rPr>
        <w:t xml:space="preserve">; motivo por el cual, los profesionales especializados en </w:t>
      </w:r>
      <w:r w:rsidR="00F92CE7" w:rsidRPr="007C0C88">
        <w:rPr>
          <w:rFonts w:ascii="Gadugi" w:hAnsi="Gadugi" w:cs="Arial"/>
          <w:sz w:val="24"/>
          <w:szCs w:val="24"/>
        </w:rPr>
        <w:t>p</w:t>
      </w:r>
      <w:r w:rsidR="00A05F6F" w:rsidRPr="007C0C88">
        <w:rPr>
          <w:rFonts w:ascii="Gadugi" w:hAnsi="Gadugi" w:cs="Arial"/>
          <w:sz w:val="24"/>
          <w:szCs w:val="24"/>
        </w:rPr>
        <w:t xml:space="preserve">revención, atención y reducción de desastres recomendaron, </w:t>
      </w:r>
      <w:r w:rsidR="00A05F6F" w:rsidRPr="007C0C88">
        <w:rPr>
          <w:rFonts w:ascii="Gadugi" w:hAnsi="Gadugi" w:cs="Arial"/>
          <w:i/>
          <w:sz w:val="24"/>
          <w:szCs w:val="24"/>
        </w:rPr>
        <w:t>“</w:t>
      </w:r>
      <w:r w:rsidR="00A05F6F" w:rsidRPr="00D63E45">
        <w:rPr>
          <w:rFonts w:ascii="Gadugi" w:hAnsi="Gadugi" w:cs="Arial"/>
          <w:i/>
          <w:sz w:val="22"/>
          <w:szCs w:val="24"/>
          <w:u w:val="single"/>
        </w:rPr>
        <w:t>como medida de atención inmediata</w:t>
      </w:r>
      <w:r w:rsidR="00A05F6F" w:rsidRPr="007C0C88">
        <w:rPr>
          <w:rFonts w:ascii="Gadugi" w:hAnsi="Gadugi" w:cs="Arial"/>
          <w:i/>
          <w:sz w:val="24"/>
          <w:szCs w:val="24"/>
        </w:rPr>
        <w:t>”</w:t>
      </w:r>
      <w:r w:rsidR="00A05F6F" w:rsidRPr="007C0C88">
        <w:rPr>
          <w:rFonts w:ascii="Gadugi" w:hAnsi="Gadugi" w:cs="Arial"/>
          <w:sz w:val="24"/>
          <w:szCs w:val="24"/>
        </w:rPr>
        <w:t>, la evacuación de esas 23 familias.</w:t>
      </w:r>
      <w:r w:rsidR="002B01C1" w:rsidRPr="007C0C88">
        <w:rPr>
          <w:rStyle w:val="Refdenotaalpie"/>
          <w:rFonts w:ascii="Gadugi" w:hAnsi="Gadugi" w:cs="Arial"/>
          <w:sz w:val="24"/>
          <w:szCs w:val="24"/>
        </w:rPr>
        <w:footnoteReference w:id="28"/>
      </w:r>
      <w:r w:rsidR="00A05F6F" w:rsidRPr="007C0C88">
        <w:rPr>
          <w:rFonts w:ascii="Gadugi" w:hAnsi="Gadugi" w:cs="Arial"/>
          <w:sz w:val="24"/>
          <w:szCs w:val="24"/>
        </w:rPr>
        <w:t xml:space="preserve"> </w:t>
      </w:r>
    </w:p>
    <w:p w14:paraId="741291F9" w14:textId="0777060E" w:rsidR="00117429" w:rsidRPr="007C0C88" w:rsidRDefault="00117429" w:rsidP="007C0C88">
      <w:pPr>
        <w:spacing w:line="276" w:lineRule="auto"/>
        <w:ind w:firstLine="1701"/>
        <w:jc w:val="both"/>
        <w:rPr>
          <w:rFonts w:ascii="Gadugi" w:hAnsi="Gadugi" w:cs="Arial"/>
          <w:sz w:val="24"/>
          <w:szCs w:val="24"/>
        </w:rPr>
      </w:pPr>
    </w:p>
    <w:p w14:paraId="012B7878" w14:textId="3B754A61" w:rsidR="00A05F6F" w:rsidRPr="007C0C88" w:rsidRDefault="00A05F6F"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(ii) Como consecuencia de lo anterior, </w:t>
      </w:r>
      <w:bookmarkStart w:id="3" w:name="_Hlk117594262"/>
      <w:r w:rsidRPr="007C0C88">
        <w:rPr>
          <w:rFonts w:ascii="Gadugi" w:hAnsi="Gadugi" w:cs="Arial"/>
          <w:sz w:val="24"/>
          <w:szCs w:val="24"/>
        </w:rPr>
        <w:t xml:space="preserve">se expidió el Decreto 841 del 24 de junio de 2022, mediante el cual la Alcaldía de Pereira ordenó </w:t>
      </w:r>
      <w:r w:rsidRPr="007C0C88">
        <w:rPr>
          <w:rFonts w:ascii="Gadugi" w:hAnsi="Gadugi" w:cs="Arial"/>
          <w:i/>
          <w:sz w:val="24"/>
          <w:szCs w:val="24"/>
        </w:rPr>
        <w:t>“</w:t>
      </w:r>
      <w:r w:rsidRPr="00D63E45">
        <w:rPr>
          <w:rFonts w:ascii="Gadugi" w:hAnsi="Gadugi" w:cs="Arial"/>
          <w:i/>
          <w:sz w:val="22"/>
          <w:szCs w:val="24"/>
        </w:rPr>
        <w:t xml:space="preserve">(…) la medida de DESOCUPACIÓN de los inmuebles ubicados en la Avenida del Rio#34 A-76 hasta la #33 A-76 margen del rio Otún, con el fin de proteger a las personas residentes la comuna del Río Otún en el municipio de Pereira y evitar perjuicios anteriores </w:t>
      </w:r>
      <w:bookmarkEnd w:id="3"/>
      <w:r w:rsidRPr="00D63E45">
        <w:rPr>
          <w:rFonts w:ascii="Gadugi" w:hAnsi="Gadugi" w:cs="Arial"/>
          <w:i/>
          <w:sz w:val="22"/>
          <w:szCs w:val="24"/>
        </w:rPr>
        <w:t>según el Censo elaborado por la Dirección de Gestión del Riesgo del municipio de Pereira – DIGER</w:t>
      </w:r>
      <w:r w:rsidRPr="007C0C88">
        <w:rPr>
          <w:rFonts w:ascii="Gadugi" w:hAnsi="Gadugi" w:cs="Arial"/>
          <w:i/>
          <w:sz w:val="24"/>
          <w:szCs w:val="24"/>
        </w:rPr>
        <w:t>”</w:t>
      </w:r>
      <w:r w:rsidRPr="007C0C88">
        <w:rPr>
          <w:rFonts w:ascii="Gadugi" w:hAnsi="Gadugi" w:cs="Arial"/>
          <w:sz w:val="24"/>
          <w:szCs w:val="24"/>
        </w:rPr>
        <w:t>.</w:t>
      </w:r>
    </w:p>
    <w:p w14:paraId="0C2223A6" w14:textId="77777777" w:rsidR="00A05F6F" w:rsidRPr="007C0C88" w:rsidRDefault="00A05F6F" w:rsidP="007C0C88">
      <w:pPr>
        <w:spacing w:line="276" w:lineRule="auto"/>
        <w:ind w:firstLine="1701"/>
        <w:jc w:val="both"/>
        <w:rPr>
          <w:rFonts w:ascii="Gadugi" w:hAnsi="Gadugi" w:cs="Arial"/>
          <w:sz w:val="24"/>
          <w:szCs w:val="24"/>
        </w:rPr>
      </w:pPr>
    </w:p>
    <w:p w14:paraId="3F624D6F" w14:textId="1DB33E30" w:rsidR="00F218DE" w:rsidRPr="007C0C88" w:rsidRDefault="00A05F6F"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En ese mismo acto administrativo se comisionó a la Inspección de Policía </w:t>
      </w:r>
      <w:r w:rsidR="00CE038B" w:rsidRPr="007C0C88">
        <w:rPr>
          <w:rFonts w:ascii="Gadugi" w:hAnsi="Gadugi" w:cs="Arial"/>
          <w:sz w:val="24"/>
          <w:szCs w:val="24"/>
        </w:rPr>
        <w:t xml:space="preserve">que estuviera de turno </w:t>
      </w:r>
      <w:r w:rsidRPr="007C0C88">
        <w:rPr>
          <w:rFonts w:ascii="Gadugi" w:hAnsi="Gadugi" w:cs="Arial"/>
          <w:sz w:val="24"/>
          <w:szCs w:val="24"/>
        </w:rPr>
        <w:t xml:space="preserve">para llevar a cabo la diligencia, a la que se le advirtió que debía ejecutarla </w:t>
      </w:r>
      <w:r w:rsidRPr="007C0C88">
        <w:rPr>
          <w:rFonts w:ascii="Gadugi" w:hAnsi="Gadugi" w:cs="Arial"/>
          <w:i/>
          <w:sz w:val="24"/>
          <w:szCs w:val="24"/>
        </w:rPr>
        <w:t>“</w:t>
      </w:r>
      <w:r w:rsidRPr="00D63E45">
        <w:rPr>
          <w:rFonts w:ascii="Gadugi" w:hAnsi="Gadugi" w:cs="Arial"/>
          <w:i/>
          <w:sz w:val="22"/>
          <w:szCs w:val="24"/>
        </w:rPr>
        <w:t>(…) con la observancia del debido proceso, así como de los principios constitucionales y demás garantías fundamentales</w:t>
      </w:r>
      <w:r w:rsidRPr="007C0C88">
        <w:rPr>
          <w:rFonts w:ascii="Gadugi" w:hAnsi="Gadugi" w:cs="Arial"/>
          <w:i/>
          <w:sz w:val="24"/>
          <w:szCs w:val="24"/>
        </w:rPr>
        <w:t xml:space="preserve">”; </w:t>
      </w:r>
      <w:r w:rsidRPr="007C0C88">
        <w:rPr>
          <w:rFonts w:ascii="Gadugi" w:hAnsi="Gadugi" w:cs="Arial"/>
          <w:sz w:val="24"/>
          <w:szCs w:val="24"/>
        </w:rPr>
        <w:t>y también se instó a los residentes que iban a ser desalojados, adelantar los trámites necesarios para obtener los subsidios de arrendamiento de los que son beneficiarios</w:t>
      </w:r>
      <w:r w:rsidR="00F218DE" w:rsidRPr="007C0C88">
        <w:rPr>
          <w:rFonts w:ascii="Gadugi" w:hAnsi="Gadugi" w:cs="Arial"/>
          <w:sz w:val="24"/>
          <w:szCs w:val="24"/>
        </w:rPr>
        <w:t>.</w:t>
      </w:r>
      <w:r w:rsidR="001E1242" w:rsidRPr="007C0C88">
        <w:rPr>
          <w:rFonts w:ascii="Gadugi" w:hAnsi="Gadugi" w:cs="Arial"/>
          <w:sz w:val="24"/>
          <w:szCs w:val="24"/>
        </w:rPr>
        <w:t xml:space="preserve"> </w:t>
      </w:r>
    </w:p>
    <w:p w14:paraId="1E022BE6" w14:textId="77777777" w:rsidR="00F218DE" w:rsidRPr="007C0C88" w:rsidRDefault="00F218DE" w:rsidP="007C0C88">
      <w:pPr>
        <w:spacing w:line="276" w:lineRule="auto"/>
        <w:ind w:firstLine="1701"/>
        <w:jc w:val="both"/>
        <w:rPr>
          <w:rFonts w:ascii="Gadugi" w:hAnsi="Gadugi" w:cs="Arial"/>
          <w:sz w:val="24"/>
          <w:szCs w:val="24"/>
        </w:rPr>
      </w:pPr>
    </w:p>
    <w:p w14:paraId="7C2FFFA7" w14:textId="51F69787" w:rsidR="00117429" w:rsidRPr="007C0C88" w:rsidRDefault="00F218DE" w:rsidP="007C0C88">
      <w:pPr>
        <w:spacing w:line="276" w:lineRule="auto"/>
        <w:ind w:firstLine="1701"/>
        <w:jc w:val="both"/>
        <w:rPr>
          <w:rFonts w:ascii="Gadugi" w:hAnsi="Gadugi" w:cs="Arial"/>
          <w:sz w:val="24"/>
          <w:szCs w:val="24"/>
        </w:rPr>
      </w:pPr>
      <w:r w:rsidRPr="007C0C88">
        <w:rPr>
          <w:rFonts w:ascii="Gadugi" w:hAnsi="Gadugi" w:cs="Arial"/>
          <w:sz w:val="24"/>
          <w:szCs w:val="24"/>
        </w:rPr>
        <w:t>S</w:t>
      </w:r>
      <w:r w:rsidR="001E1242" w:rsidRPr="007C0C88">
        <w:rPr>
          <w:rFonts w:ascii="Gadugi" w:hAnsi="Gadugi" w:cs="Arial"/>
          <w:sz w:val="24"/>
          <w:szCs w:val="24"/>
        </w:rPr>
        <w:t xml:space="preserve">in embargo, </w:t>
      </w:r>
      <w:r w:rsidR="001E1242" w:rsidRPr="007C0C88">
        <w:rPr>
          <w:rFonts w:ascii="Gadugi" w:hAnsi="Gadugi" w:cs="Arial"/>
          <w:sz w:val="24"/>
          <w:szCs w:val="24"/>
          <w:u w:val="single"/>
        </w:rPr>
        <w:t>no quedó establecido</w:t>
      </w:r>
      <w:r w:rsidR="001E1242" w:rsidRPr="007C0C88">
        <w:rPr>
          <w:rFonts w:ascii="Gadugi" w:hAnsi="Gadugi" w:cs="Arial"/>
          <w:sz w:val="24"/>
          <w:szCs w:val="24"/>
        </w:rPr>
        <w:t xml:space="preserve"> nada relacionado con </w:t>
      </w:r>
      <w:r w:rsidR="0029066C" w:rsidRPr="007C0C88">
        <w:rPr>
          <w:rFonts w:ascii="Gadugi" w:hAnsi="Gadugi" w:cs="Arial"/>
          <w:sz w:val="24"/>
          <w:szCs w:val="24"/>
        </w:rPr>
        <w:t xml:space="preserve">el acceso a una vivienda definitiva </w:t>
      </w:r>
      <w:r w:rsidR="00CE038B" w:rsidRPr="007C0C88">
        <w:rPr>
          <w:rFonts w:ascii="Gadugi" w:hAnsi="Gadugi" w:cs="Arial"/>
          <w:sz w:val="24"/>
          <w:szCs w:val="24"/>
        </w:rPr>
        <w:t>para</w:t>
      </w:r>
      <w:r w:rsidR="0029066C" w:rsidRPr="007C0C88">
        <w:rPr>
          <w:rFonts w:ascii="Gadugi" w:hAnsi="Gadugi" w:cs="Arial"/>
          <w:sz w:val="24"/>
          <w:szCs w:val="24"/>
        </w:rPr>
        <w:t xml:space="preserve"> los </w:t>
      </w:r>
      <w:r w:rsidR="00CE038B" w:rsidRPr="007C0C88">
        <w:rPr>
          <w:rFonts w:ascii="Gadugi" w:hAnsi="Gadugi" w:cs="Arial"/>
          <w:sz w:val="24"/>
          <w:szCs w:val="24"/>
        </w:rPr>
        <w:t>afectados en caso de que no puedan volver a sus residencias</w:t>
      </w:r>
      <w:r w:rsidRPr="007C0C88">
        <w:rPr>
          <w:rFonts w:ascii="Gadugi" w:hAnsi="Gadugi" w:cs="Arial"/>
          <w:sz w:val="24"/>
          <w:szCs w:val="24"/>
        </w:rPr>
        <w:t xml:space="preserve">, </w:t>
      </w:r>
      <w:r w:rsidR="00CE038B" w:rsidRPr="007C0C88">
        <w:rPr>
          <w:rFonts w:ascii="Gadugi" w:hAnsi="Gadugi" w:cs="Arial"/>
          <w:sz w:val="24"/>
          <w:szCs w:val="24"/>
        </w:rPr>
        <w:t>ni nada respecto</w:t>
      </w:r>
      <w:r w:rsidRPr="007C0C88">
        <w:rPr>
          <w:rFonts w:ascii="Gadugi" w:hAnsi="Gadugi" w:cs="Arial"/>
          <w:sz w:val="24"/>
          <w:szCs w:val="24"/>
        </w:rPr>
        <w:t xml:space="preserve"> </w:t>
      </w:r>
      <w:r w:rsidR="00CE038B" w:rsidRPr="007C0C88">
        <w:rPr>
          <w:rFonts w:ascii="Gadugi" w:hAnsi="Gadugi" w:cs="Arial"/>
          <w:sz w:val="24"/>
          <w:szCs w:val="24"/>
        </w:rPr>
        <w:t>a</w:t>
      </w:r>
      <w:r w:rsidRPr="007C0C88">
        <w:rPr>
          <w:rFonts w:ascii="Gadugi" w:hAnsi="Gadugi" w:cs="Arial"/>
          <w:sz w:val="24"/>
          <w:szCs w:val="24"/>
        </w:rPr>
        <w:t xml:space="preserve">l posible retorno a sus hogares si eventualmente cesa la amenaza </w:t>
      </w:r>
      <w:r w:rsidR="00CE038B" w:rsidRPr="007C0C88">
        <w:rPr>
          <w:rFonts w:ascii="Gadugi" w:hAnsi="Gadugi" w:cs="Arial"/>
          <w:sz w:val="24"/>
          <w:szCs w:val="24"/>
        </w:rPr>
        <w:t>de desastre natural</w:t>
      </w:r>
      <w:r w:rsidR="002B01C1" w:rsidRPr="007C0C88">
        <w:rPr>
          <w:rFonts w:ascii="Gadugi" w:hAnsi="Gadugi" w:cs="Arial"/>
          <w:sz w:val="24"/>
          <w:szCs w:val="24"/>
        </w:rPr>
        <w:t>.</w:t>
      </w:r>
      <w:r w:rsidR="002B01C1" w:rsidRPr="007C0C88">
        <w:rPr>
          <w:rStyle w:val="Refdenotaalpie"/>
          <w:rFonts w:ascii="Gadugi" w:hAnsi="Gadugi" w:cs="Arial"/>
          <w:sz w:val="24"/>
          <w:szCs w:val="24"/>
        </w:rPr>
        <w:footnoteReference w:id="29"/>
      </w:r>
      <w:r w:rsidRPr="007C0C88">
        <w:rPr>
          <w:rFonts w:ascii="Gadugi" w:hAnsi="Gadugi" w:cs="Arial"/>
          <w:sz w:val="24"/>
          <w:szCs w:val="24"/>
        </w:rPr>
        <w:t xml:space="preserve"> </w:t>
      </w:r>
      <w:r w:rsidR="0029066C" w:rsidRPr="007C0C88">
        <w:rPr>
          <w:rFonts w:ascii="Gadugi" w:hAnsi="Gadugi" w:cs="Arial"/>
          <w:sz w:val="24"/>
          <w:szCs w:val="24"/>
        </w:rPr>
        <w:t xml:space="preserve"> </w:t>
      </w:r>
    </w:p>
    <w:p w14:paraId="4FA0B8A7" w14:textId="64C8DAFF" w:rsidR="00117429" w:rsidRPr="007C0C88" w:rsidRDefault="00117429" w:rsidP="007C0C88">
      <w:pPr>
        <w:spacing w:line="276" w:lineRule="auto"/>
        <w:ind w:firstLine="1701"/>
        <w:jc w:val="both"/>
        <w:rPr>
          <w:rFonts w:ascii="Gadugi" w:hAnsi="Gadugi" w:cs="Arial"/>
          <w:sz w:val="24"/>
          <w:szCs w:val="24"/>
        </w:rPr>
      </w:pPr>
    </w:p>
    <w:p w14:paraId="08865942" w14:textId="63931481" w:rsidR="00A05F6F" w:rsidRPr="007C0C88" w:rsidRDefault="00A05F6F"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(iii) </w:t>
      </w:r>
      <w:r w:rsidR="00A93B74" w:rsidRPr="007C0C88">
        <w:rPr>
          <w:rFonts w:ascii="Gadugi" w:hAnsi="Gadugi" w:cs="Arial"/>
          <w:sz w:val="24"/>
          <w:szCs w:val="24"/>
        </w:rPr>
        <w:t>A las Inspecciones Primera y Catorce de Policía de Pereira les fue asignada la diligencia, y entonces, fijaron como fecha y hora de la diligencia, el 1° de julio a las 8 a.m., y ordenaron la notificación personal a cada uno de los residentes afectados.</w:t>
      </w:r>
      <w:r w:rsidR="002B01C1" w:rsidRPr="007C0C88">
        <w:rPr>
          <w:rStyle w:val="Refdenotaalpie"/>
          <w:rFonts w:ascii="Gadugi" w:hAnsi="Gadugi" w:cs="Arial"/>
          <w:sz w:val="24"/>
          <w:szCs w:val="24"/>
        </w:rPr>
        <w:footnoteReference w:id="30"/>
      </w:r>
      <w:r w:rsidR="00A93B74" w:rsidRPr="007C0C88">
        <w:rPr>
          <w:rFonts w:ascii="Gadugi" w:hAnsi="Gadugi" w:cs="Arial"/>
          <w:sz w:val="24"/>
          <w:szCs w:val="24"/>
        </w:rPr>
        <w:t xml:space="preserve"> </w:t>
      </w:r>
    </w:p>
    <w:p w14:paraId="28358F76" w14:textId="29CD57F8" w:rsidR="00B42FE5" w:rsidRPr="007C0C88" w:rsidRDefault="00B42FE5" w:rsidP="007C0C88">
      <w:pPr>
        <w:spacing w:line="276" w:lineRule="auto"/>
        <w:ind w:firstLine="1701"/>
        <w:jc w:val="both"/>
        <w:rPr>
          <w:rFonts w:ascii="Gadugi" w:hAnsi="Gadugi" w:cs="Arial"/>
          <w:sz w:val="24"/>
          <w:szCs w:val="24"/>
        </w:rPr>
      </w:pPr>
    </w:p>
    <w:p w14:paraId="45B47E1D" w14:textId="411703C5" w:rsidR="00B42FE5" w:rsidRPr="007C0C88" w:rsidRDefault="00A93B74"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(iv) </w:t>
      </w:r>
      <w:r w:rsidR="002B01C1" w:rsidRPr="007C0C88">
        <w:rPr>
          <w:rFonts w:ascii="Gadugi" w:hAnsi="Gadugi" w:cs="Arial"/>
          <w:sz w:val="24"/>
          <w:szCs w:val="24"/>
        </w:rPr>
        <w:t>Con presencia de la alcaldesa encargada, e</w:t>
      </w:r>
      <w:r w:rsidRPr="007C0C88">
        <w:rPr>
          <w:rFonts w:ascii="Gadugi" w:hAnsi="Gadugi" w:cs="Arial"/>
          <w:sz w:val="24"/>
          <w:szCs w:val="24"/>
        </w:rPr>
        <w:t>l 28 de junio de 2022, se llevó a cabo una reunión previa entre varias autoridades del municipio para coordinar la desocupación</w:t>
      </w:r>
      <w:r w:rsidR="00CE038B" w:rsidRPr="007C0C88">
        <w:rPr>
          <w:rFonts w:ascii="Gadugi" w:hAnsi="Gadugi" w:cs="Arial"/>
          <w:sz w:val="24"/>
          <w:szCs w:val="24"/>
        </w:rPr>
        <w:t>;</w:t>
      </w:r>
      <w:r w:rsidR="00F218DE" w:rsidRPr="007C0C88">
        <w:rPr>
          <w:rFonts w:ascii="Gadugi" w:hAnsi="Gadugi" w:cs="Arial"/>
          <w:sz w:val="24"/>
          <w:szCs w:val="24"/>
        </w:rPr>
        <w:t xml:space="preserve"> de la deliberación la Sala destaca que las intervenciones de los participantes, apunta</w:t>
      </w:r>
      <w:r w:rsidR="00CE038B" w:rsidRPr="007C0C88">
        <w:rPr>
          <w:rFonts w:ascii="Gadugi" w:hAnsi="Gadugi" w:cs="Arial"/>
          <w:sz w:val="24"/>
          <w:szCs w:val="24"/>
        </w:rPr>
        <w:t>ron</w:t>
      </w:r>
      <w:r w:rsidR="00F218DE" w:rsidRPr="007C0C88">
        <w:rPr>
          <w:rFonts w:ascii="Gadugi" w:hAnsi="Gadugi" w:cs="Arial"/>
          <w:sz w:val="24"/>
          <w:szCs w:val="24"/>
        </w:rPr>
        <w:t xml:space="preserve"> a la necesidad de</w:t>
      </w:r>
      <w:r w:rsidR="00E031DF" w:rsidRPr="007C0C88">
        <w:rPr>
          <w:rFonts w:ascii="Gadugi" w:hAnsi="Gadugi" w:cs="Arial"/>
          <w:sz w:val="24"/>
          <w:szCs w:val="24"/>
        </w:rPr>
        <w:t xml:space="preserve"> realizar el desalojo con rapidez dado el alto riesgo de deslizamientos, de</w:t>
      </w:r>
      <w:r w:rsidR="00F218DE" w:rsidRPr="007C0C88">
        <w:rPr>
          <w:rFonts w:ascii="Gadugi" w:hAnsi="Gadugi" w:cs="Arial"/>
          <w:sz w:val="24"/>
          <w:szCs w:val="24"/>
        </w:rPr>
        <w:t xml:space="preserve"> concertar con la comunidad la desocupación, </w:t>
      </w:r>
      <w:r w:rsidR="00F218DE" w:rsidRPr="007C0C88">
        <w:rPr>
          <w:rFonts w:ascii="Gadugi" w:hAnsi="Gadugi" w:cs="Arial"/>
          <w:sz w:val="24"/>
          <w:szCs w:val="24"/>
        </w:rPr>
        <w:lastRenderedPageBreak/>
        <w:t xml:space="preserve">antes que hacer uso de la fuerza, y, además, </w:t>
      </w:r>
      <w:r w:rsidR="00E031DF" w:rsidRPr="007C0C88">
        <w:rPr>
          <w:rFonts w:ascii="Gadugi" w:hAnsi="Gadugi" w:cs="Arial"/>
          <w:sz w:val="24"/>
          <w:szCs w:val="24"/>
        </w:rPr>
        <w:t>de informarle a los afectados</w:t>
      </w:r>
      <w:r w:rsidR="00F218DE" w:rsidRPr="007C0C88">
        <w:rPr>
          <w:rFonts w:ascii="Gadugi" w:hAnsi="Gadugi" w:cs="Arial"/>
          <w:sz w:val="24"/>
          <w:szCs w:val="24"/>
        </w:rPr>
        <w:t xml:space="preserve"> las alternativas de vivienda temporal que se les podía brindar.</w:t>
      </w:r>
      <w:r w:rsidR="002B01C1" w:rsidRPr="007C0C88">
        <w:rPr>
          <w:rStyle w:val="Refdenotaalpie"/>
          <w:rFonts w:ascii="Gadugi" w:hAnsi="Gadugi" w:cs="Arial"/>
          <w:sz w:val="24"/>
          <w:szCs w:val="24"/>
        </w:rPr>
        <w:footnoteReference w:id="31"/>
      </w:r>
      <w:r w:rsidR="00F218DE" w:rsidRPr="007C0C88">
        <w:rPr>
          <w:rFonts w:ascii="Gadugi" w:hAnsi="Gadugi" w:cs="Arial"/>
          <w:sz w:val="24"/>
          <w:szCs w:val="24"/>
        </w:rPr>
        <w:t xml:space="preserve"> </w:t>
      </w:r>
    </w:p>
    <w:p w14:paraId="4BF74B3C" w14:textId="690E2997" w:rsidR="00475552" w:rsidRPr="007C0C88" w:rsidRDefault="00475552" w:rsidP="007C0C88">
      <w:pPr>
        <w:spacing w:line="276" w:lineRule="auto"/>
        <w:ind w:firstLine="1701"/>
        <w:jc w:val="both"/>
        <w:rPr>
          <w:rFonts w:ascii="Gadugi" w:hAnsi="Gadugi" w:cs="Arial"/>
          <w:sz w:val="24"/>
          <w:szCs w:val="24"/>
        </w:rPr>
      </w:pPr>
    </w:p>
    <w:p w14:paraId="5F5E7C2A" w14:textId="07B25E8D" w:rsidR="00475552" w:rsidRPr="007C0C88" w:rsidRDefault="00475552" w:rsidP="007C0C88">
      <w:pPr>
        <w:spacing w:line="276" w:lineRule="auto"/>
        <w:ind w:firstLine="1701"/>
        <w:jc w:val="both"/>
        <w:rPr>
          <w:rFonts w:ascii="Gadugi" w:hAnsi="Gadugi" w:cs="Arial"/>
          <w:sz w:val="24"/>
          <w:szCs w:val="24"/>
        </w:rPr>
      </w:pPr>
      <w:r w:rsidRPr="007C0C88">
        <w:rPr>
          <w:rFonts w:ascii="Gadugi" w:hAnsi="Gadugi" w:cs="Arial"/>
          <w:sz w:val="24"/>
          <w:szCs w:val="24"/>
        </w:rPr>
        <w:t>(v) Con auto del 30 de junio, el Juzgado Tercero de Familia de Pereira, como medida provisional decretada dentro de esta acción de tutela, ordenó la suspensión de la aludida diligencia</w:t>
      </w:r>
      <w:r w:rsidR="00E031DF" w:rsidRPr="007C0C88">
        <w:rPr>
          <w:rStyle w:val="Refdenotaalpie"/>
          <w:rFonts w:ascii="Gadugi" w:hAnsi="Gadugi" w:cs="Arial"/>
          <w:sz w:val="24"/>
          <w:szCs w:val="24"/>
        </w:rPr>
        <w:footnoteReference w:id="32"/>
      </w:r>
      <w:r w:rsidR="005626CB" w:rsidRPr="007C0C88">
        <w:rPr>
          <w:rFonts w:ascii="Gadugi" w:hAnsi="Gadugi" w:cs="Arial"/>
          <w:sz w:val="24"/>
          <w:szCs w:val="24"/>
        </w:rPr>
        <w:t>; con proveído del 6 de julio el despacho levantó esa cautela, pero decretó una nueva en el sentido de que la Alcaldía, al momento del desalojo, debía ofrecerles a los afectados un albergue o residencia temporal o la asignación efectiva del subsidio de arrendamiento.</w:t>
      </w:r>
      <w:r w:rsidR="00E031DF" w:rsidRPr="007C0C88">
        <w:rPr>
          <w:rStyle w:val="Refdenotaalpie"/>
          <w:rFonts w:ascii="Gadugi" w:hAnsi="Gadugi" w:cs="Arial"/>
          <w:sz w:val="24"/>
          <w:szCs w:val="24"/>
        </w:rPr>
        <w:footnoteReference w:id="33"/>
      </w:r>
      <w:r w:rsidR="005626CB" w:rsidRPr="007C0C88">
        <w:rPr>
          <w:rFonts w:ascii="Gadugi" w:hAnsi="Gadugi" w:cs="Arial"/>
          <w:sz w:val="24"/>
          <w:szCs w:val="24"/>
        </w:rPr>
        <w:t xml:space="preserve"> </w:t>
      </w:r>
    </w:p>
    <w:p w14:paraId="1303EE9E" w14:textId="18E5F021" w:rsidR="00475552" w:rsidRPr="007C0C88" w:rsidRDefault="00475552" w:rsidP="007C0C88">
      <w:pPr>
        <w:spacing w:line="276" w:lineRule="auto"/>
        <w:ind w:firstLine="1701"/>
        <w:jc w:val="both"/>
        <w:rPr>
          <w:rFonts w:ascii="Gadugi" w:hAnsi="Gadugi" w:cs="Arial"/>
          <w:sz w:val="24"/>
          <w:szCs w:val="24"/>
        </w:rPr>
      </w:pPr>
    </w:p>
    <w:p w14:paraId="284FFB4E" w14:textId="2B38FB57" w:rsidR="00E031DF" w:rsidRPr="007C0C88" w:rsidRDefault="00475552" w:rsidP="007C0C88">
      <w:pPr>
        <w:spacing w:line="276" w:lineRule="auto"/>
        <w:ind w:firstLine="1701"/>
        <w:jc w:val="both"/>
        <w:rPr>
          <w:rFonts w:ascii="Gadugi" w:hAnsi="Gadugi" w:cs="Arial"/>
          <w:sz w:val="24"/>
          <w:szCs w:val="24"/>
        </w:rPr>
      </w:pPr>
      <w:r w:rsidRPr="007C0C88">
        <w:rPr>
          <w:rFonts w:ascii="Gadugi" w:hAnsi="Gadugi" w:cs="Arial"/>
          <w:sz w:val="24"/>
          <w:szCs w:val="24"/>
        </w:rPr>
        <w:t>(vi)</w:t>
      </w:r>
      <w:r w:rsidR="005626CB" w:rsidRPr="007C0C88">
        <w:rPr>
          <w:rFonts w:ascii="Gadugi" w:hAnsi="Gadugi" w:cs="Arial"/>
          <w:sz w:val="24"/>
          <w:szCs w:val="24"/>
        </w:rPr>
        <w:t xml:space="preserve"> Por lo anterior, la Inspección Primera Municipal de Pereira, en colaboración con múltiples autoridades locales y departamentales, emprendieron la </w:t>
      </w:r>
      <w:r w:rsidR="00E031DF" w:rsidRPr="007C0C88">
        <w:rPr>
          <w:rFonts w:ascii="Gadugi" w:hAnsi="Gadugi" w:cs="Arial"/>
          <w:sz w:val="24"/>
          <w:szCs w:val="24"/>
        </w:rPr>
        <w:t>diligencia</w:t>
      </w:r>
      <w:r w:rsidR="005626CB" w:rsidRPr="007C0C88">
        <w:rPr>
          <w:rFonts w:ascii="Gadugi" w:hAnsi="Gadugi" w:cs="Arial"/>
          <w:sz w:val="24"/>
          <w:szCs w:val="24"/>
        </w:rPr>
        <w:t xml:space="preserve"> el 11 de julio a las 7 a.m., pero ante la resistencia de la comunidad</w:t>
      </w:r>
      <w:r w:rsidR="00CE038B" w:rsidRPr="007C0C88">
        <w:rPr>
          <w:rFonts w:ascii="Gadugi" w:hAnsi="Gadugi" w:cs="Arial"/>
          <w:sz w:val="24"/>
          <w:szCs w:val="24"/>
        </w:rPr>
        <w:t xml:space="preserve"> que se aglomeró para impedirla</w:t>
      </w:r>
      <w:r w:rsidR="005626CB" w:rsidRPr="007C0C88">
        <w:rPr>
          <w:rFonts w:ascii="Gadugi" w:hAnsi="Gadugi" w:cs="Arial"/>
          <w:sz w:val="24"/>
          <w:szCs w:val="24"/>
        </w:rPr>
        <w:t>,</w:t>
      </w:r>
      <w:r w:rsidR="0026596E" w:rsidRPr="007C0C88">
        <w:rPr>
          <w:rFonts w:ascii="Gadugi" w:hAnsi="Gadugi" w:cs="Arial"/>
          <w:sz w:val="24"/>
          <w:szCs w:val="24"/>
        </w:rPr>
        <w:t xml:space="preserve"> se convocó a una reunión extraordinari</w:t>
      </w:r>
      <w:r w:rsidR="00F92CE7" w:rsidRPr="007C0C88">
        <w:rPr>
          <w:rFonts w:ascii="Gadugi" w:hAnsi="Gadugi" w:cs="Arial"/>
          <w:sz w:val="24"/>
          <w:szCs w:val="24"/>
        </w:rPr>
        <w:t>a</w:t>
      </w:r>
      <w:r w:rsidR="0026596E" w:rsidRPr="007C0C88">
        <w:rPr>
          <w:rFonts w:ascii="Gadugi" w:hAnsi="Gadugi" w:cs="Arial"/>
          <w:sz w:val="24"/>
          <w:szCs w:val="24"/>
        </w:rPr>
        <w:t xml:space="preserve">, </w:t>
      </w:r>
      <w:r w:rsidR="0026596E" w:rsidRPr="007C0C88">
        <w:rPr>
          <w:rFonts w:ascii="Gadugi" w:hAnsi="Gadugi" w:cs="Arial"/>
          <w:sz w:val="24"/>
          <w:szCs w:val="24"/>
          <w:u w:val="single"/>
        </w:rPr>
        <w:t>con presencia de voceros de la comunidad</w:t>
      </w:r>
      <w:r w:rsidR="0026596E" w:rsidRPr="007C0C88">
        <w:rPr>
          <w:rFonts w:ascii="Gadugi" w:hAnsi="Gadugi" w:cs="Arial"/>
          <w:sz w:val="24"/>
          <w:szCs w:val="24"/>
        </w:rPr>
        <w:t xml:space="preserve">, </w:t>
      </w:r>
      <w:r w:rsidR="00E031DF" w:rsidRPr="007C0C88">
        <w:rPr>
          <w:rFonts w:ascii="Gadugi" w:hAnsi="Gadugi" w:cs="Arial"/>
          <w:sz w:val="24"/>
          <w:szCs w:val="24"/>
        </w:rPr>
        <w:t xml:space="preserve">en la que se socializaron de nuevo las medias de subsidios de arrendamiento temporal e inclusive hotel. </w:t>
      </w:r>
    </w:p>
    <w:p w14:paraId="093EE72B" w14:textId="4D370E5F" w:rsidR="00E031DF" w:rsidRPr="007C0C88" w:rsidRDefault="00E031DF" w:rsidP="007C0C88">
      <w:pPr>
        <w:spacing w:line="276" w:lineRule="auto"/>
        <w:ind w:firstLine="1701"/>
        <w:jc w:val="both"/>
        <w:rPr>
          <w:rFonts w:ascii="Gadugi" w:hAnsi="Gadugi" w:cs="Arial"/>
          <w:sz w:val="24"/>
          <w:szCs w:val="24"/>
        </w:rPr>
      </w:pPr>
    </w:p>
    <w:p w14:paraId="049FF632" w14:textId="21C0405A" w:rsidR="005626CB" w:rsidRPr="007C0C88" w:rsidRDefault="00E031DF" w:rsidP="007C0C88">
      <w:pPr>
        <w:spacing w:line="276" w:lineRule="auto"/>
        <w:ind w:firstLine="1701"/>
        <w:jc w:val="both"/>
        <w:rPr>
          <w:rFonts w:ascii="Gadugi" w:hAnsi="Gadugi" w:cs="Arial"/>
          <w:sz w:val="24"/>
          <w:szCs w:val="24"/>
        </w:rPr>
      </w:pPr>
      <w:r w:rsidRPr="007C0C88">
        <w:rPr>
          <w:rFonts w:ascii="Gadugi" w:hAnsi="Gadugi" w:cs="Arial"/>
          <w:sz w:val="24"/>
          <w:szCs w:val="24"/>
        </w:rPr>
        <w:t>Todo ello fue en vano, dada la resistencia de la comunidad, y entonces, se suspendió el acto</w:t>
      </w:r>
      <w:r w:rsidR="005626CB" w:rsidRPr="007C0C88">
        <w:rPr>
          <w:rFonts w:ascii="Gadugi" w:hAnsi="Gadugi" w:cs="Arial"/>
          <w:sz w:val="24"/>
          <w:szCs w:val="24"/>
        </w:rPr>
        <w:t xml:space="preserve"> hasta que el Juzgado Tercero de Familia local aclarara si con el mero ofrecimiento del subsidio </w:t>
      </w:r>
      <w:r w:rsidR="003A6801" w:rsidRPr="007C0C88">
        <w:rPr>
          <w:rFonts w:ascii="Gadugi" w:hAnsi="Gadugi" w:cs="Arial"/>
          <w:sz w:val="24"/>
          <w:szCs w:val="24"/>
        </w:rPr>
        <w:t>podría considerarse cumplida la decisión con la que se levantó la cautela, y</w:t>
      </w:r>
      <w:r w:rsidR="00CE038B" w:rsidRPr="007C0C88">
        <w:rPr>
          <w:rFonts w:ascii="Gadugi" w:hAnsi="Gadugi" w:cs="Arial"/>
          <w:sz w:val="24"/>
          <w:szCs w:val="24"/>
        </w:rPr>
        <w:t xml:space="preserve"> también,</w:t>
      </w:r>
      <w:r w:rsidR="003A6801" w:rsidRPr="007C0C88">
        <w:rPr>
          <w:rFonts w:ascii="Gadugi" w:hAnsi="Gadugi" w:cs="Arial"/>
          <w:sz w:val="24"/>
          <w:szCs w:val="24"/>
        </w:rPr>
        <w:t xml:space="preserve"> hasta que la DIGER informara cuál era el albergue temporal que estaba a disposición de las personas evacuadas.</w:t>
      </w:r>
      <w:r w:rsidRPr="007C0C88">
        <w:rPr>
          <w:rStyle w:val="Refdenotaalpie"/>
          <w:rFonts w:ascii="Gadugi" w:hAnsi="Gadugi" w:cs="Arial"/>
          <w:sz w:val="24"/>
          <w:szCs w:val="24"/>
        </w:rPr>
        <w:footnoteReference w:id="34"/>
      </w:r>
      <w:r w:rsidR="003A6801" w:rsidRPr="007C0C88">
        <w:rPr>
          <w:rFonts w:ascii="Gadugi" w:hAnsi="Gadugi" w:cs="Arial"/>
          <w:sz w:val="24"/>
          <w:szCs w:val="24"/>
        </w:rPr>
        <w:t xml:space="preserve"> </w:t>
      </w:r>
      <w:r w:rsidR="00CE038B" w:rsidRPr="007C0C88">
        <w:rPr>
          <w:rFonts w:ascii="Gadugi" w:hAnsi="Gadugi" w:cs="Arial"/>
          <w:sz w:val="24"/>
          <w:szCs w:val="24"/>
        </w:rPr>
        <w:t xml:space="preserve">Nada más está probado en el juicio. </w:t>
      </w:r>
    </w:p>
    <w:p w14:paraId="65137E4C" w14:textId="77777777" w:rsidR="0026596E" w:rsidRPr="007C0C88" w:rsidRDefault="0026596E" w:rsidP="007C0C88">
      <w:pPr>
        <w:spacing w:line="276" w:lineRule="auto"/>
        <w:ind w:firstLine="1701"/>
        <w:jc w:val="both"/>
        <w:rPr>
          <w:rFonts w:ascii="Gadugi" w:hAnsi="Gadugi" w:cs="Arial"/>
          <w:sz w:val="24"/>
          <w:szCs w:val="24"/>
        </w:rPr>
      </w:pPr>
    </w:p>
    <w:p w14:paraId="2C4C9CE2" w14:textId="4E6FC53C" w:rsidR="0026596E" w:rsidRPr="007C0C88" w:rsidRDefault="003A6801"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De frente a ese derrotero, </w:t>
      </w:r>
      <w:r w:rsidR="0029066C" w:rsidRPr="007C0C88">
        <w:rPr>
          <w:rFonts w:ascii="Gadugi" w:hAnsi="Gadugi" w:cs="Arial"/>
          <w:sz w:val="24"/>
          <w:szCs w:val="24"/>
        </w:rPr>
        <w:t xml:space="preserve">en principio, </w:t>
      </w:r>
      <w:r w:rsidRPr="007C0C88">
        <w:rPr>
          <w:rFonts w:ascii="Gadugi" w:hAnsi="Gadugi" w:cs="Arial"/>
          <w:sz w:val="24"/>
          <w:szCs w:val="24"/>
        </w:rPr>
        <w:t>el Tribunal inadvierte alguna</w:t>
      </w:r>
      <w:r w:rsidR="00C96D28" w:rsidRPr="007C0C88">
        <w:rPr>
          <w:rFonts w:ascii="Gadugi" w:hAnsi="Gadugi" w:cs="Arial"/>
          <w:sz w:val="24"/>
          <w:szCs w:val="24"/>
        </w:rPr>
        <w:t xml:space="preserve"> transgresión producida por la administración municipal,</w:t>
      </w:r>
      <w:r w:rsidR="00CE038B" w:rsidRPr="007C0C88">
        <w:rPr>
          <w:rFonts w:ascii="Gadugi" w:hAnsi="Gadugi" w:cs="Arial"/>
          <w:sz w:val="24"/>
          <w:szCs w:val="24"/>
        </w:rPr>
        <w:t xml:space="preserve"> </w:t>
      </w:r>
      <w:r w:rsidR="0026596E" w:rsidRPr="007C0C88">
        <w:rPr>
          <w:rFonts w:ascii="Gadugi" w:hAnsi="Gadugi" w:cs="Arial"/>
          <w:sz w:val="24"/>
          <w:szCs w:val="24"/>
        </w:rPr>
        <w:t>porque</w:t>
      </w:r>
      <w:r w:rsidR="00CE038B" w:rsidRPr="007C0C88">
        <w:rPr>
          <w:rFonts w:ascii="Gadugi" w:hAnsi="Gadugi" w:cs="Arial"/>
          <w:sz w:val="24"/>
          <w:szCs w:val="24"/>
        </w:rPr>
        <w:t xml:space="preserve">, </w:t>
      </w:r>
      <w:r w:rsidR="0026596E" w:rsidRPr="007C0C88">
        <w:rPr>
          <w:rFonts w:ascii="Gadugi" w:hAnsi="Gadugi" w:cs="Arial"/>
          <w:sz w:val="24"/>
          <w:szCs w:val="24"/>
        </w:rPr>
        <w:t xml:space="preserve">por una parte, es notable la diligencia con que las distintas autoridades han actuado para evitar la afectación de los derechos a la vida y seguridad personal de las personas que residen en una zona </w:t>
      </w:r>
      <w:r w:rsidR="00A85F20" w:rsidRPr="007C0C88">
        <w:rPr>
          <w:rFonts w:ascii="Gadugi" w:hAnsi="Gadugi" w:cs="Arial"/>
          <w:sz w:val="24"/>
          <w:szCs w:val="24"/>
          <w:u w:val="single"/>
        </w:rPr>
        <w:t xml:space="preserve">que ya fue declarada en </w:t>
      </w:r>
      <w:r w:rsidR="0026596E" w:rsidRPr="007C0C88">
        <w:rPr>
          <w:rFonts w:ascii="Gadugi" w:hAnsi="Gadugi" w:cs="Arial"/>
          <w:sz w:val="24"/>
          <w:szCs w:val="24"/>
          <w:u w:val="single"/>
        </w:rPr>
        <w:t>riesgo de desastre natural</w:t>
      </w:r>
      <w:r w:rsidR="0026596E" w:rsidRPr="007C0C88">
        <w:rPr>
          <w:rFonts w:ascii="Gadugi" w:hAnsi="Gadugi" w:cs="Arial"/>
          <w:sz w:val="24"/>
          <w:szCs w:val="24"/>
        </w:rPr>
        <w:t xml:space="preserve">. Y, por otra parte, se advierte que no han actuado de manera arbitraria o haciendo un uso desmedido de la fuerza, al contrario, en las diligencias que han adelantado ha sido predominante el consenso con la comunidad y la garantía de sus derechos fundamentales. </w:t>
      </w:r>
    </w:p>
    <w:p w14:paraId="11145315" w14:textId="77777777" w:rsidR="005C5594" w:rsidRPr="007C0C88" w:rsidRDefault="005C5594" w:rsidP="007C0C88">
      <w:pPr>
        <w:spacing w:line="276" w:lineRule="auto"/>
        <w:ind w:firstLine="1701"/>
        <w:jc w:val="both"/>
        <w:rPr>
          <w:rFonts w:ascii="Gadugi" w:hAnsi="Gadugi" w:cs="Arial"/>
          <w:sz w:val="24"/>
          <w:szCs w:val="24"/>
        </w:rPr>
      </w:pPr>
    </w:p>
    <w:p w14:paraId="22642FD4" w14:textId="791D3253" w:rsidR="0029066C" w:rsidRPr="007C0C88" w:rsidRDefault="0029066C" w:rsidP="007C0C88">
      <w:pPr>
        <w:spacing w:line="276" w:lineRule="auto"/>
        <w:ind w:firstLine="1701"/>
        <w:jc w:val="both"/>
        <w:rPr>
          <w:rFonts w:ascii="Gadugi" w:hAnsi="Gadugi" w:cs="Arial"/>
          <w:sz w:val="24"/>
          <w:szCs w:val="24"/>
        </w:rPr>
      </w:pPr>
      <w:r w:rsidRPr="007C0C88">
        <w:rPr>
          <w:rFonts w:ascii="Gadugi" w:hAnsi="Gadugi" w:cs="Arial"/>
          <w:sz w:val="24"/>
          <w:szCs w:val="24"/>
        </w:rPr>
        <w:t>Entonces, hasta ese punto, nada reprochable le encuentra la Sala al proceso que ha adelantado el municipio para propiciar la desocupación de quienes están en riesgo, al contrario,</w:t>
      </w:r>
      <w:r w:rsidR="005C5594" w:rsidRPr="007C0C88">
        <w:rPr>
          <w:rFonts w:ascii="Gadugi" w:hAnsi="Gadugi" w:cs="Arial"/>
          <w:sz w:val="24"/>
          <w:szCs w:val="24"/>
        </w:rPr>
        <w:t xml:space="preserve"> reconoce que</w:t>
      </w:r>
      <w:r w:rsidRPr="007C0C88">
        <w:rPr>
          <w:rFonts w:ascii="Gadugi" w:hAnsi="Gadugi" w:cs="Arial"/>
          <w:sz w:val="24"/>
          <w:szCs w:val="24"/>
        </w:rPr>
        <w:t xml:space="preserve"> ha actuado al tenor de sus competencias legales y en acato al debido proceso.</w:t>
      </w:r>
    </w:p>
    <w:p w14:paraId="3373CFC8" w14:textId="6431B155" w:rsidR="0029066C" w:rsidRPr="007C0C88" w:rsidRDefault="0029066C" w:rsidP="007C0C88">
      <w:pPr>
        <w:spacing w:line="276" w:lineRule="auto"/>
        <w:ind w:firstLine="1701"/>
        <w:jc w:val="both"/>
        <w:rPr>
          <w:rFonts w:ascii="Gadugi" w:hAnsi="Gadugi" w:cs="Arial"/>
          <w:sz w:val="24"/>
          <w:szCs w:val="24"/>
        </w:rPr>
      </w:pPr>
    </w:p>
    <w:p w14:paraId="2E35E227" w14:textId="45D09E56" w:rsidR="005C5594" w:rsidRPr="007C0C88" w:rsidRDefault="005C5594" w:rsidP="007C0C88">
      <w:pPr>
        <w:spacing w:line="276" w:lineRule="auto"/>
        <w:ind w:firstLine="1701"/>
        <w:jc w:val="both"/>
        <w:rPr>
          <w:rFonts w:ascii="Gadugi" w:hAnsi="Gadugi" w:cs="Arial"/>
          <w:sz w:val="24"/>
          <w:szCs w:val="24"/>
        </w:rPr>
      </w:pPr>
      <w:r w:rsidRPr="007C0C88">
        <w:rPr>
          <w:rFonts w:ascii="Gadugi" w:hAnsi="Gadugi" w:cs="Arial"/>
          <w:sz w:val="24"/>
          <w:szCs w:val="24"/>
        </w:rPr>
        <w:lastRenderedPageBreak/>
        <w:t>Ahora bien, a primera vista, tampoco se ve irregularidad alguna en el Decreto 841 del 24 de junio de 2022, mediante el cual la alcaldía ordenó la desocupación de esas residencias, y así es, porque el mismo está fundado en conceptos técnicos emitidos por las autoridades competentes, y está precedido de una razonable motivación</w:t>
      </w:r>
      <w:r w:rsidR="00F92CE7" w:rsidRPr="007C0C88">
        <w:rPr>
          <w:rFonts w:ascii="Gadugi" w:hAnsi="Gadugi" w:cs="Arial"/>
          <w:sz w:val="24"/>
          <w:szCs w:val="24"/>
        </w:rPr>
        <w:t>. S</w:t>
      </w:r>
      <w:r w:rsidRPr="007C0C88">
        <w:rPr>
          <w:rFonts w:ascii="Gadugi" w:hAnsi="Gadugi" w:cs="Arial"/>
          <w:sz w:val="24"/>
          <w:szCs w:val="24"/>
        </w:rPr>
        <w:t>in embargo, como también se echó de menos en primera instancia, la Sala extraña que</w:t>
      </w:r>
      <w:r w:rsidR="00524265" w:rsidRPr="007C0C88">
        <w:rPr>
          <w:rFonts w:ascii="Gadugi" w:hAnsi="Gadugi" w:cs="Arial"/>
          <w:sz w:val="24"/>
          <w:szCs w:val="24"/>
        </w:rPr>
        <w:t>,</w:t>
      </w:r>
      <w:r w:rsidRPr="007C0C88">
        <w:rPr>
          <w:rFonts w:ascii="Gadugi" w:hAnsi="Gadugi" w:cs="Arial"/>
          <w:sz w:val="24"/>
          <w:szCs w:val="24"/>
        </w:rPr>
        <w:t xml:space="preserve"> en ese acto administrativo, se hubiera omitido </w:t>
      </w:r>
      <w:r w:rsidR="00A85F20" w:rsidRPr="007C0C88">
        <w:rPr>
          <w:rFonts w:ascii="Gadugi" w:hAnsi="Gadugi" w:cs="Arial"/>
          <w:sz w:val="24"/>
          <w:szCs w:val="24"/>
        </w:rPr>
        <w:t xml:space="preserve">acatar las enseñanzas de la Corte Constitucional e </w:t>
      </w:r>
      <w:r w:rsidRPr="007C0C88">
        <w:rPr>
          <w:rFonts w:ascii="Gadugi" w:hAnsi="Gadugi" w:cs="Arial"/>
          <w:sz w:val="24"/>
          <w:szCs w:val="24"/>
        </w:rPr>
        <w:t>incluir dentro de las consideraciones, y en la parte resolutiva, lo referente a la necesidad de garantizarles a los accionantes, o una vivienda digna de manera permanente, o la posibilidad de retornar a sus viviendas si acaso sucede que el riesgo cesa.</w:t>
      </w:r>
    </w:p>
    <w:p w14:paraId="612F7980" w14:textId="755509D9" w:rsidR="005C5594" w:rsidRPr="007C0C88" w:rsidRDefault="005C5594" w:rsidP="007C0C88">
      <w:pPr>
        <w:spacing w:line="276" w:lineRule="auto"/>
        <w:ind w:firstLine="1701"/>
        <w:jc w:val="both"/>
        <w:rPr>
          <w:rFonts w:ascii="Gadugi" w:hAnsi="Gadugi" w:cs="Arial"/>
          <w:sz w:val="24"/>
          <w:szCs w:val="24"/>
        </w:rPr>
      </w:pPr>
    </w:p>
    <w:p w14:paraId="3508447F" w14:textId="727D7311" w:rsidR="005C5594" w:rsidRPr="007C0C88" w:rsidRDefault="00A85F20" w:rsidP="007C0C88">
      <w:pPr>
        <w:spacing w:line="276" w:lineRule="auto"/>
        <w:ind w:firstLine="1701"/>
        <w:jc w:val="both"/>
        <w:rPr>
          <w:rFonts w:ascii="Gadugi" w:hAnsi="Gadugi" w:cs="Arial"/>
          <w:sz w:val="24"/>
          <w:szCs w:val="24"/>
        </w:rPr>
      </w:pPr>
      <w:bookmarkStart w:id="4" w:name="_Hlk117594441"/>
      <w:r w:rsidRPr="007C0C88">
        <w:rPr>
          <w:rFonts w:ascii="Gadugi" w:hAnsi="Gadugi" w:cs="Arial"/>
          <w:sz w:val="24"/>
          <w:szCs w:val="24"/>
        </w:rPr>
        <w:t>C</w:t>
      </w:r>
      <w:r w:rsidR="005C5594" w:rsidRPr="007C0C88">
        <w:rPr>
          <w:rFonts w:ascii="Gadugi" w:hAnsi="Gadugi" w:cs="Arial"/>
          <w:sz w:val="24"/>
          <w:szCs w:val="24"/>
        </w:rPr>
        <w:t xml:space="preserve">ierto </w:t>
      </w:r>
      <w:r w:rsidRPr="007C0C88">
        <w:rPr>
          <w:rFonts w:ascii="Gadugi" w:hAnsi="Gadugi" w:cs="Arial"/>
          <w:sz w:val="24"/>
          <w:szCs w:val="24"/>
        </w:rPr>
        <w:t xml:space="preserve">es que </w:t>
      </w:r>
      <w:r w:rsidR="005C5594" w:rsidRPr="007C0C88">
        <w:rPr>
          <w:rFonts w:ascii="Gadugi" w:hAnsi="Gadugi" w:cs="Arial"/>
          <w:sz w:val="24"/>
          <w:szCs w:val="24"/>
        </w:rPr>
        <w:t xml:space="preserve">era indispensable que el alcalde hiciera uso de sus facultades legales y de policía para propiciar con prontitud la desocupación, </w:t>
      </w:r>
      <w:r w:rsidRPr="007C0C88">
        <w:rPr>
          <w:rFonts w:ascii="Gadugi" w:hAnsi="Gadugi" w:cs="Arial"/>
          <w:sz w:val="24"/>
          <w:szCs w:val="24"/>
        </w:rPr>
        <w:t>pero innegable también que</w:t>
      </w:r>
      <w:r w:rsidR="005C5594" w:rsidRPr="007C0C88">
        <w:rPr>
          <w:rFonts w:ascii="Gadugi" w:hAnsi="Gadugi" w:cs="Arial"/>
          <w:sz w:val="24"/>
          <w:szCs w:val="24"/>
        </w:rPr>
        <w:t xml:space="preserve"> era forzoso que estableciera, con </w:t>
      </w:r>
      <w:r w:rsidRPr="007C0C88">
        <w:rPr>
          <w:rFonts w:ascii="Gadugi" w:hAnsi="Gadugi" w:cs="Arial"/>
          <w:sz w:val="24"/>
          <w:szCs w:val="24"/>
        </w:rPr>
        <w:t>total</w:t>
      </w:r>
      <w:r w:rsidR="005C5594" w:rsidRPr="007C0C88">
        <w:rPr>
          <w:rFonts w:ascii="Gadugi" w:hAnsi="Gadugi" w:cs="Arial"/>
          <w:sz w:val="24"/>
          <w:szCs w:val="24"/>
        </w:rPr>
        <w:t xml:space="preserve"> precisión, cuáles iban a ser las medidas transitorias y definitivas que se tomarían para garantizar el derecho a la vivienda de quienes</w:t>
      </w:r>
      <w:r w:rsidRPr="007C0C88">
        <w:rPr>
          <w:rFonts w:ascii="Gadugi" w:hAnsi="Gadugi" w:cs="Arial"/>
          <w:sz w:val="24"/>
          <w:szCs w:val="24"/>
        </w:rPr>
        <w:t>, con el aval del Estado,</w:t>
      </w:r>
      <w:r w:rsidR="005C5594" w:rsidRPr="007C0C88">
        <w:rPr>
          <w:rFonts w:ascii="Gadugi" w:hAnsi="Gadugi" w:cs="Arial"/>
          <w:sz w:val="24"/>
          <w:szCs w:val="24"/>
        </w:rPr>
        <w:t xml:space="preserve"> han tenido su residencia en ese lugar, y ahora, de manera intempestiva,</w:t>
      </w:r>
      <w:r w:rsidRPr="007C0C88">
        <w:rPr>
          <w:rFonts w:ascii="Gadugi" w:hAnsi="Gadugi" w:cs="Arial"/>
          <w:sz w:val="24"/>
          <w:szCs w:val="24"/>
        </w:rPr>
        <w:t xml:space="preserve"> son obligados a abandonarlo. </w:t>
      </w:r>
      <w:r w:rsidR="00332D49" w:rsidRPr="007C0C88">
        <w:rPr>
          <w:rFonts w:ascii="Gadugi" w:hAnsi="Gadugi" w:cs="Arial"/>
          <w:sz w:val="24"/>
          <w:szCs w:val="24"/>
        </w:rPr>
        <w:t xml:space="preserve"> </w:t>
      </w:r>
    </w:p>
    <w:p w14:paraId="13B83B69" w14:textId="14E8D5FA" w:rsidR="0029066C" w:rsidRPr="007C0C88" w:rsidRDefault="0029066C" w:rsidP="007C0C88">
      <w:pPr>
        <w:spacing w:line="276" w:lineRule="auto"/>
        <w:ind w:firstLine="1701"/>
        <w:jc w:val="both"/>
        <w:rPr>
          <w:rFonts w:ascii="Gadugi" w:hAnsi="Gadugi" w:cs="Arial"/>
          <w:sz w:val="24"/>
          <w:szCs w:val="24"/>
        </w:rPr>
      </w:pPr>
    </w:p>
    <w:p w14:paraId="436593FD" w14:textId="48BE905A" w:rsidR="00A85F20" w:rsidRPr="007C0C88" w:rsidRDefault="00A85F20" w:rsidP="007C0C88">
      <w:pPr>
        <w:spacing w:line="276" w:lineRule="auto"/>
        <w:ind w:firstLine="1701"/>
        <w:jc w:val="both"/>
        <w:rPr>
          <w:rFonts w:ascii="Gadugi" w:hAnsi="Gadugi" w:cs="Arial"/>
          <w:sz w:val="24"/>
          <w:szCs w:val="24"/>
        </w:rPr>
      </w:pPr>
      <w:r w:rsidRPr="007C0C88">
        <w:rPr>
          <w:rFonts w:ascii="Gadugi" w:hAnsi="Gadugi" w:cs="Arial"/>
          <w:sz w:val="24"/>
          <w:szCs w:val="24"/>
        </w:rPr>
        <w:t>En suma, la última omisión que acaba de apuntarse si trastoca las garantías fundamentales de los accionantes</w:t>
      </w:r>
      <w:bookmarkEnd w:id="4"/>
      <w:r w:rsidRPr="007C0C88">
        <w:rPr>
          <w:rFonts w:ascii="Gadugi" w:hAnsi="Gadugi" w:cs="Arial"/>
          <w:sz w:val="24"/>
          <w:szCs w:val="24"/>
        </w:rPr>
        <w:t xml:space="preserve">, y es menester la intervención del juez constitucional para impartir los correctivos de rigor. </w:t>
      </w:r>
    </w:p>
    <w:p w14:paraId="0FF06895" w14:textId="77777777" w:rsidR="00A85F20" w:rsidRPr="007C0C88" w:rsidRDefault="00A85F20" w:rsidP="007C0C88">
      <w:pPr>
        <w:spacing w:line="276" w:lineRule="auto"/>
        <w:ind w:firstLine="1701"/>
        <w:jc w:val="both"/>
        <w:rPr>
          <w:rFonts w:ascii="Gadugi" w:hAnsi="Gadugi" w:cs="Arial"/>
          <w:sz w:val="24"/>
          <w:szCs w:val="24"/>
        </w:rPr>
      </w:pPr>
    </w:p>
    <w:p w14:paraId="50C61C27" w14:textId="63CB6D07" w:rsidR="00A85F20" w:rsidRPr="007C0C88" w:rsidRDefault="0029066C"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Por ello, </w:t>
      </w:r>
      <w:r w:rsidR="001455D1" w:rsidRPr="007C0C88">
        <w:rPr>
          <w:rFonts w:ascii="Gadugi" w:hAnsi="Gadugi" w:cs="Arial"/>
          <w:sz w:val="24"/>
          <w:szCs w:val="24"/>
        </w:rPr>
        <w:t>es correcto</w:t>
      </w:r>
      <w:r w:rsidR="00A30D9F" w:rsidRPr="007C0C88">
        <w:rPr>
          <w:rFonts w:ascii="Gadugi" w:hAnsi="Gadugi" w:cs="Arial"/>
          <w:sz w:val="24"/>
          <w:szCs w:val="24"/>
        </w:rPr>
        <w:t xml:space="preserve"> confirmar el fallo impugnado </w:t>
      </w:r>
      <w:r w:rsidR="00A85F20" w:rsidRPr="007C0C88">
        <w:rPr>
          <w:rFonts w:ascii="Gadugi" w:hAnsi="Gadugi" w:cs="Arial"/>
          <w:sz w:val="24"/>
          <w:szCs w:val="24"/>
        </w:rPr>
        <w:t xml:space="preserve">en el que </w:t>
      </w:r>
      <w:r w:rsidR="00A30D9F" w:rsidRPr="007C0C88">
        <w:rPr>
          <w:rFonts w:ascii="Gadugi" w:hAnsi="Gadugi" w:cs="Arial"/>
          <w:sz w:val="24"/>
          <w:szCs w:val="24"/>
        </w:rPr>
        <w:t xml:space="preserve">se ordenó (i) </w:t>
      </w:r>
      <w:r w:rsidR="00A85F20" w:rsidRPr="007C0C88">
        <w:rPr>
          <w:rFonts w:ascii="Gadugi" w:hAnsi="Gadugi" w:cs="Arial"/>
          <w:sz w:val="24"/>
          <w:szCs w:val="24"/>
        </w:rPr>
        <w:t>L</w:t>
      </w:r>
      <w:r w:rsidR="00A30D9F" w:rsidRPr="007C0C88">
        <w:rPr>
          <w:rFonts w:ascii="Gadugi" w:hAnsi="Gadugi" w:cs="Arial"/>
          <w:sz w:val="24"/>
          <w:szCs w:val="24"/>
        </w:rPr>
        <w:t xml:space="preserve">a desocupación de </w:t>
      </w:r>
      <w:r w:rsidR="009E21B0" w:rsidRPr="007C0C88">
        <w:rPr>
          <w:rFonts w:ascii="Gadugi" w:hAnsi="Gadugi" w:cs="Arial"/>
          <w:sz w:val="24"/>
          <w:szCs w:val="24"/>
        </w:rPr>
        <w:t>las personas que residen en</w:t>
      </w:r>
      <w:r w:rsidR="00A30D9F" w:rsidRPr="007C0C88">
        <w:rPr>
          <w:rFonts w:ascii="Gadugi" w:hAnsi="Gadugi" w:cs="Arial"/>
          <w:sz w:val="24"/>
          <w:szCs w:val="24"/>
        </w:rPr>
        <w:t xml:space="preserve"> las viviendas que están en riesgo</w:t>
      </w:r>
      <w:r w:rsidR="00A85F20" w:rsidRPr="007C0C88">
        <w:rPr>
          <w:rFonts w:ascii="Gadugi" w:hAnsi="Gadugi" w:cs="Arial"/>
          <w:sz w:val="24"/>
          <w:szCs w:val="24"/>
        </w:rPr>
        <w:t xml:space="preserve"> lo cual se vio truncado por la cautela decretada inicialmente en este juicio</w:t>
      </w:r>
      <w:r w:rsidR="00A30D9F" w:rsidRPr="007C0C88">
        <w:rPr>
          <w:rFonts w:ascii="Gadugi" w:hAnsi="Gadugi" w:cs="Arial"/>
          <w:sz w:val="24"/>
          <w:szCs w:val="24"/>
        </w:rPr>
        <w:t xml:space="preserve">; (ii) </w:t>
      </w:r>
      <w:r w:rsidR="001455D1" w:rsidRPr="007C0C88">
        <w:rPr>
          <w:rFonts w:ascii="Gadugi" w:hAnsi="Gadugi" w:cs="Arial"/>
          <w:sz w:val="24"/>
          <w:szCs w:val="24"/>
        </w:rPr>
        <w:t>E</w:t>
      </w:r>
      <w:r w:rsidR="00A30D9F" w:rsidRPr="007C0C88">
        <w:rPr>
          <w:rFonts w:ascii="Gadugi" w:hAnsi="Gadugi" w:cs="Arial"/>
          <w:sz w:val="24"/>
          <w:szCs w:val="24"/>
        </w:rPr>
        <w:t>l pago</w:t>
      </w:r>
      <w:r w:rsidR="004F342D" w:rsidRPr="007C0C88">
        <w:rPr>
          <w:rFonts w:ascii="Gadugi" w:hAnsi="Gadugi" w:cs="Arial"/>
          <w:sz w:val="24"/>
          <w:szCs w:val="24"/>
        </w:rPr>
        <w:t xml:space="preserve"> a los accionantes</w:t>
      </w:r>
      <w:r w:rsidR="00A30D9F" w:rsidRPr="007C0C88">
        <w:rPr>
          <w:rFonts w:ascii="Gadugi" w:hAnsi="Gadugi" w:cs="Arial"/>
          <w:sz w:val="24"/>
          <w:szCs w:val="24"/>
        </w:rPr>
        <w:t xml:space="preserve"> del subsidio de arrendamiento transitorio o el acceso a albergues temporales; y también (iii) </w:t>
      </w:r>
      <w:r w:rsidR="001455D1" w:rsidRPr="007C0C88">
        <w:rPr>
          <w:rFonts w:ascii="Gadugi" w:hAnsi="Gadugi" w:cs="Arial"/>
          <w:sz w:val="24"/>
          <w:szCs w:val="24"/>
        </w:rPr>
        <w:t>Q</w:t>
      </w:r>
      <w:r w:rsidR="00A30D9F" w:rsidRPr="007C0C88">
        <w:rPr>
          <w:rFonts w:ascii="Gadugi" w:hAnsi="Gadugi" w:cs="Arial"/>
          <w:sz w:val="24"/>
          <w:szCs w:val="24"/>
        </w:rPr>
        <w:t>ue esas medidas transitorias se mantengan, hasta que se les conceda una vivienda de manera definitiva o puedan retornar a sus residencias</w:t>
      </w:r>
      <w:r w:rsidR="004F342D" w:rsidRPr="007C0C88">
        <w:rPr>
          <w:rFonts w:ascii="Gadugi" w:hAnsi="Gadugi" w:cs="Arial"/>
          <w:sz w:val="24"/>
          <w:szCs w:val="24"/>
        </w:rPr>
        <w:t>, previo concepto técnico especializado</w:t>
      </w:r>
      <w:r w:rsidR="00A30D9F" w:rsidRPr="007C0C88">
        <w:rPr>
          <w:rFonts w:ascii="Gadugi" w:hAnsi="Gadugi" w:cs="Arial"/>
          <w:sz w:val="24"/>
          <w:szCs w:val="24"/>
        </w:rPr>
        <w:t xml:space="preserve">. </w:t>
      </w:r>
    </w:p>
    <w:p w14:paraId="4BE8A877" w14:textId="77777777" w:rsidR="00A85F20" w:rsidRPr="007C0C88" w:rsidRDefault="00A85F20" w:rsidP="007C0C88">
      <w:pPr>
        <w:spacing w:line="276" w:lineRule="auto"/>
        <w:ind w:firstLine="1701"/>
        <w:jc w:val="both"/>
        <w:rPr>
          <w:rFonts w:ascii="Gadugi" w:hAnsi="Gadugi" w:cs="Arial"/>
          <w:sz w:val="24"/>
          <w:szCs w:val="24"/>
        </w:rPr>
      </w:pPr>
    </w:p>
    <w:p w14:paraId="185F982B" w14:textId="34C34900" w:rsidR="00A30D9F" w:rsidRPr="007C0C88" w:rsidRDefault="00A30D9F" w:rsidP="007C0C88">
      <w:pPr>
        <w:spacing w:line="276" w:lineRule="auto"/>
        <w:ind w:firstLine="1701"/>
        <w:jc w:val="both"/>
        <w:rPr>
          <w:rFonts w:ascii="Gadugi" w:hAnsi="Gadugi" w:cs="Arial"/>
          <w:sz w:val="24"/>
          <w:szCs w:val="24"/>
        </w:rPr>
      </w:pPr>
      <w:r w:rsidRPr="007C0C88">
        <w:rPr>
          <w:rFonts w:ascii="Gadugi" w:hAnsi="Gadugi" w:cs="Arial"/>
          <w:sz w:val="24"/>
          <w:szCs w:val="24"/>
        </w:rPr>
        <w:t xml:space="preserve">Y finalmente, </w:t>
      </w:r>
      <w:r w:rsidR="001455D1" w:rsidRPr="007C0C88">
        <w:rPr>
          <w:rFonts w:ascii="Gadugi" w:hAnsi="Gadugi" w:cs="Arial"/>
          <w:sz w:val="24"/>
          <w:szCs w:val="24"/>
        </w:rPr>
        <w:t>f</w:t>
      </w:r>
      <w:r w:rsidRPr="007C0C88">
        <w:rPr>
          <w:rFonts w:ascii="Gadugi" w:hAnsi="Gadugi" w:cs="Arial"/>
          <w:sz w:val="24"/>
          <w:szCs w:val="24"/>
        </w:rPr>
        <w:t>ue acer</w:t>
      </w:r>
      <w:r w:rsidR="00CA3AC1" w:rsidRPr="007C0C88">
        <w:rPr>
          <w:rFonts w:ascii="Gadugi" w:hAnsi="Gadugi" w:cs="Arial"/>
          <w:sz w:val="24"/>
          <w:szCs w:val="24"/>
        </w:rPr>
        <w:t>t</w:t>
      </w:r>
      <w:r w:rsidRPr="007C0C88">
        <w:rPr>
          <w:rFonts w:ascii="Gadugi" w:hAnsi="Gadugi" w:cs="Arial"/>
          <w:sz w:val="24"/>
          <w:szCs w:val="24"/>
        </w:rPr>
        <w:t xml:space="preserve">ado ordenarle a la Alcaldía mantener informado al despacho de primera instancia sobre </w:t>
      </w:r>
      <w:r w:rsidR="009E21B0" w:rsidRPr="007C0C88">
        <w:rPr>
          <w:rFonts w:ascii="Gadugi" w:hAnsi="Gadugi" w:cs="Arial"/>
          <w:sz w:val="24"/>
          <w:szCs w:val="24"/>
        </w:rPr>
        <w:t>las personas</w:t>
      </w:r>
      <w:r w:rsidRPr="007C0C88">
        <w:rPr>
          <w:rFonts w:ascii="Gadugi" w:hAnsi="Gadugi" w:cs="Arial"/>
          <w:sz w:val="24"/>
          <w:szCs w:val="24"/>
        </w:rPr>
        <w:t xml:space="preserve"> que se muestren renuentes a recibir el subsidio de arrendamiento temporal, o cualquier otro auxilio transitorio que pueda ofrecer la administración municipal</w:t>
      </w:r>
      <w:r w:rsidR="009E21B0" w:rsidRPr="007C0C88">
        <w:rPr>
          <w:rFonts w:ascii="Gadugi" w:hAnsi="Gadugi" w:cs="Arial"/>
          <w:sz w:val="24"/>
          <w:szCs w:val="24"/>
        </w:rPr>
        <w:t>, y que garantice su dignidad humana</w:t>
      </w:r>
      <w:r w:rsidRPr="007C0C88">
        <w:rPr>
          <w:rFonts w:ascii="Gadugi" w:hAnsi="Gadugi" w:cs="Arial"/>
          <w:sz w:val="24"/>
          <w:szCs w:val="24"/>
        </w:rPr>
        <w:t xml:space="preserve"> mientras se soluciona la contingencia</w:t>
      </w:r>
      <w:r w:rsidR="009E21B0" w:rsidRPr="007C0C88">
        <w:rPr>
          <w:rFonts w:ascii="Gadugi" w:hAnsi="Gadugi" w:cs="Arial"/>
          <w:sz w:val="24"/>
          <w:szCs w:val="24"/>
        </w:rPr>
        <w:t xml:space="preserve">, </w:t>
      </w:r>
      <w:r w:rsidR="001455D1" w:rsidRPr="007C0C88">
        <w:rPr>
          <w:rFonts w:ascii="Gadugi" w:hAnsi="Gadugi" w:cs="Arial"/>
          <w:sz w:val="24"/>
          <w:szCs w:val="24"/>
        </w:rPr>
        <w:t xml:space="preserve">porque ello puede impedir el normal cumplimiento a lo aquí decidido, lo cual no sería imputable a la administración municipal.  </w:t>
      </w:r>
      <w:r w:rsidR="00A85F20" w:rsidRPr="007C0C88">
        <w:rPr>
          <w:rFonts w:ascii="Gadugi" w:hAnsi="Gadugi" w:cs="Arial"/>
          <w:sz w:val="24"/>
          <w:szCs w:val="24"/>
        </w:rPr>
        <w:t xml:space="preserve"> </w:t>
      </w:r>
    </w:p>
    <w:p w14:paraId="68FCC067" w14:textId="18469BFE" w:rsidR="00A30D9F" w:rsidRPr="007C0C88" w:rsidRDefault="00A30D9F" w:rsidP="007C0C88">
      <w:pPr>
        <w:spacing w:line="276" w:lineRule="auto"/>
        <w:ind w:firstLine="1701"/>
        <w:jc w:val="both"/>
        <w:rPr>
          <w:rFonts w:ascii="Gadugi" w:hAnsi="Gadugi" w:cs="Arial"/>
          <w:sz w:val="24"/>
          <w:szCs w:val="24"/>
        </w:rPr>
      </w:pPr>
    </w:p>
    <w:p w14:paraId="67DB15BF" w14:textId="1FB2E309" w:rsidR="009E21B0" w:rsidRPr="007C0C88" w:rsidRDefault="001455D1" w:rsidP="007C0C88">
      <w:pPr>
        <w:spacing w:line="276" w:lineRule="auto"/>
        <w:ind w:firstLine="1701"/>
        <w:jc w:val="both"/>
        <w:rPr>
          <w:rFonts w:ascii="Gadugi" w:hAnsi="Gadugi" w:cs="Arial"/>
          <w:sz w:val="24"/>
          <w:szCs w:val="24"/>
        </w:rPr>
      </w:pPr>
      <w:r w:rsidRPr="007C0C88">
        <w:rPr>
          <w:rFonts w:ascii="Gadugi" w:hAnsi="Gadugi" w:cs="Arial"/>
          <w:sz w:val="24"/>
          <w:szCs w:val="24"/>
        </w:rPr>
        <w:t>Así las cosas</w:t>
      </w:r>
      <w:r w:rsidR="00332D49" w:rsidRPr="007C0C88">
        <w:rPr>
          <w:rFonts w:ascii="Gadugi" w:hAnsi="Gadugi" w:cs="Arial"/>
          <w:sz w:val="24"/>
          <w:szCs w:val="24"/>
        </w:rPr>
        <w:t xml:space="preserve">, se confirmará el fallo impugnado, excepto el numeral séptimo, mediante el cual se le ordenó a la Personería Municipal brindar acompañamiento en la desocupación, dado que, por un lado, de esa autoridad no </w:t>
      </w:r>
      <w:r w:rsidR="00332D49" w:rsidRPr="007C0C88">
        <w:rPr>
          <w:rFonts w:ascii="Gadugi" w:hAnsi="Gadugi" w:cs="Arial"/>
          <w:sz w:val="24"/>
          <w:szCs w:val="24"/>
        </w:rPr>
        <w:lastRenderedPageBreak/>
        <w:t xml:space="preserve">provino ninguna transgresión, y por otra, luce impertinente ordenarle </w:t>
      </w:r>
      <w:r w:rsidRPr="007C0C88">
        <w:rPr>
          <w:rFonts w:ascii="Gadugi" w:hAnsi="Gadugi" w:cs="Arial"/>
          <w:sz w:val="24"/>
          <w:szCs w:val="24"/>
        </w:rPr>
        <w:t xml:space="preserve">hacer </w:t>
      </w:r>
      <w:r w:rsidR="00332D49" w:rsidRPr="007C0C88">
        <w:rPr>
          <w:rFonts w:ascii="Gadugi" w:hAnsi="Gadugi" w:cs="Arial"/>
          <w:sz w:val="24"/>
          <w:szCs w:val="24"/>
        </w:rPr>
        <w:t xml:space="preserve">mediante sentencia judicial lo que ya le ha </w:t>
      </w:r>
      <w:r w:rsidRPr="007C0C88">
        <w:rPr>
          <w:rFonts w:ascii="Gadugi" w:hAnsi="Gadugi" w:cs="Arial"/>
          <w:sz w:val="24"/>
          <w:szCs w:val="24"/>
        </w:rPr>
        <w:t>estipulado ejecutar</w:t>
      </w:r>
      <w:r w:rsidR="00332D49" w:rsidRPr="007C0C88">
        <w:rPr>
          <w:rFonts w:ascii="Gadugi" w:hAnsi="Gadugi" w:cs="Arial"/>
          <w:sz w:val="24"/>
          <w:szCs w:val="24"/>
        </w:rPr>
        <w:t xml:space="preserve"> la ley.  </w:t>
      </w:r>
    </w:p>
    <w:p w14:paraId="21D78553" w14:textId="77777777" w:rsidR="00885F99" w:rsidRPr="007C0C88" w:rsidRDefault="00870D9E" w:rsidP="007C0C88">
      <w:pPr>
        <w:spacing w:line="276" w:lineRule="auto"/>
        <w:ind w:firstLine="1701"/>
        <w:jc w:val="both"/>
        <w:rPr>
          <w:rFonts w:ascii="Gadugi" w:hAnsi="Gadugi"/>
          <w:sz w:val="24"/>
          <w:szCs w:val="24"/>
          <w:lang w:val="es-419"/>
        </w:rPr>
      </w:pPr>
      <w:r w:rsidRPr="007C0C88">
        <w:rPr>
          <w:rFonts w:ascii="Gadugi" w:hAnsi="Gadugi"/>
          <w:sz w:val="24"/>
          <w:szCs w:val="24"/>
          <w:lang w:val="es-419"/>
        </w:rPr>
        <w:tab/>
      </w:r>
      <w:r w:rsidRPr="007C0C88">
        <w:rPr>
          <w:rFonts w:ascii="Gadugi" w:hAnsi="Gadugi"/>
          <w:sz w:val="24"/>
          <w:szCs w:val="24"/>
          <w:lang w:val="es-419"/>
        </w:rPr>
        <w:tab/>
      </w:r>
    </w:p>
    <w:p w14:paraId="64227A2C" w14:textId="77777777" w:rsidR="00430102" w:rsidRPr="007C0C88" w:rsidRDefault="00430102" w:rsidP="007C0C88">
      <w:pPr>
        <w:spacing w:line="276" w:lineRule="auto"/>
        <w:ind w:firstLine="1701"/>
        <w:jc w:val="both"/>
        <w:rPr>
          <w:rFonts w:ascii="Gadugi" w:hAnsi="Gadugi"/>
          <w:sz w:val="24"/>
          <w:szCs w:val="24"/>
          <w:lang w:val="es-MX"/>
        </w:rPr>
      </w:pPr>
    </w:p>
    <w:p w14:paraId="19B5CC98" w14:textId="77777777" w:rsidR="00E000AF" w:rsidRPr="007C0C88" w:rsidRDefault="00E000AF" w:rsidP="007C0C88">
      <w:pPr>
        <w:pStyle w:val="Ttulo4"/>
        <w:spacing w:line="276" w:lineRule="auto"/>
        <w:ind w:firstLine="1701"/>
        <w:rPr>
          <w:rFonts w:ascii="Gadugi" w:hAnsi="Gadugi"/>
          <w:b/>
          <w:sz w:val="24"/>
          <w:szCs w:val="24"/>
        </w:rPr>
      </w:pPr>
      <w:r w:rsidRPr="007C0C88">
        <w:rPr>
          <w:rFonts w:ascii="Gadugi" w:hAnsi="Gadugi"/>
          <w:b/>
          <w:sz w:val="24"/>
          <w:szCs w:val="24"/>
        </w:rPr>
        <w:t>DECISIÓN</w:t>
      </w:r>
    </w:p>
    <w:p w14:paraId="6E769831" w14:textId="77777777" w:rsidR="00D12B68" w:rsidRPr="007C0C88" w:rsidRDefault="00D12B68" w:rsidP="007C0C88">
      <w:pPr>
        <w:spacing w:line="276" w:lineRule="auto"/>
        <w:ind w:firstLine="1701"/>
        <w:jc w:val="both"/>
        <w:rPr>
          <w:rFonts w:ascii="Gadugi" w:hAnsi="Gadugi" w:cs="Century Gothic"/>
          <w:sz w:val="24"/>
          <w:szCs w:val="24"/>
        </w:rPr>
      </w:pPr>
    </w:p>
    <w:p w14:paraId="56B979C0" w14:textId="77777777" w:rsidR="00885F99" w:rsidRPr="007C0C88" w:rsidRDefault="00885F99" w:rsidP="007C0C88">
      <w:pPr>
        <w:spacing w:line="276" w:lineRule="auto"/>
        <w:ind w:firstLine="1701"/>
        <w:jc w:val="both"/>
        <w:rPr>
          <w:rFonts w:ascii="Gadugi" w:hAnsi="Gadugi" w:cs="Century Gothic"/>
          <w:sz w:val="24"/>
          <w:szCs w:val="24"/>
        </w:rPr>
      </w:pPr>
    </w:p>
    <w:p w14:paraId="3E45D696" w14:textId="04A9C02A" w:rsidR="00332D49" w:rsidRPr="007C0C88" w:rsidRDefault="00E000AF" w:rsidP="007C0C88">
      <w:pPr>
        <w:spacing w:line="276" w:lineRule="auto"/>
        <w:ind w:firstLine="1701"/>
        <w:jc w:val="both"/>
        <w:rPr>
          <w:rFonts w:ascii="Gadugi" w:hAnsi="Gadugi"/>
          <w:sz w:val="24"/>
          <w:szCs w:val="24"/>
          <w:lang w:val="es-419"/>
        </w:rPr>
      </w:pPr>
      <w:r w:rsidRPr="007C0C88">
        <w:rPr>
          <w:rFonts w:ascii="Gadugi" w:hAnsi="Gadugi" w:cs="Century Gothic"/>
          <w:sz w:val="24"/>
          <w:szCs w:val="24"/>
        </w:rPr>
        <w:t xml:space="preserve">En mérito de lo expuesto la </w:t>
      </w:r>
      <w:r w:rsidRPr="007C0C88">
        <w:rPr>
          <w:rFonts w:ascii="Gadugi" w:hAnsi="Gadugi" w:cs="Century Gothic"/>
          <w:b/>
          <w:bCs/>
          <w:sz w:val="24"/>
          <w:szCs w:val="24"/>
        </w:rPr>
        <w:t>Sala de Decisión Civil Familia del Tribunal Superior del Distrito Judicial de Pereira</w:t>
      </w:r>
      <w:r w:rsidRPr="007C0C88">
        <w:rPr>
          <w:rFonts w:ascii="Gadugi" w:hAnsi="Gadugi" w:cs="Century Gothic"/>
          <w:sz w:val="24"/>
          <w:szCs w:val="24"/>
        </w:rPr>
        <w:t xml:space="preserve">, administrando justicia en nombre de la República y por autoridad de la Ley </w:t>
      </w:r>
      <w:r w:rsidR="00332D49" w:rsidRPr="007C0C88">
        <w:rPr>
          <w:rFonts w:ascii="Gadugi" w:hAnsi="Gadugi" w:cs="Century Gothic"/>
          <w:b/>
          <w:sz w:val="24"/>
          <w:szCs w:val="24"/>
        </w:rPr>
        <w:t xml:space="preserve">CONFIRMA </w:t>
      </w:r>
      <w:r w:rsidR="00885F99" w:rsidRPr="007C0C88">
        <w:rPr>
          <w:rFonts w:ascii="Gadugi" w:hAnsi="Gadugi" w:cs="Century Gothic"/>
          <w:bCs/>
          <w:sz w:val="24"/>
          <w:szCs w:val="24"/>
        </w:rPr>
        <w:t xml:space="preserve">la sentencia </w:t>
      </w:r>
      <w:r w:rsidR="00D2371B" w:rsidRPr="007C0C88">
        <w:rPr>
          <w:rFonts w:ascii="Gadugi" w:hAnsi="Gadugi" w:cs="Century Gothic"/>
          <w:bCs/>
          <w:sz w:val="24"/>
          <w:szCs w:val="24"/>
        </w:rPr>
        <w:t>impugnada</w:t>
      </w:r>
      <w:r w:rsidR="00CA3AC1" w:rsidRPr="007C0C88">
        <w:rPr>
          <w:rFonts w:ascii="Gadugi" w:hAnsi="Gadugi" w:cs="Century Gothic"/>
          <w:bCs/>
          <w:sz w:val="24"/>
          <w:szCs w:val="24"/>
        </w:rPr>
        <w:t xml:space="preserve">, con excepción del ordinal séptimo de la parte resolutiva que </w:t>
      </w:r>
      <w:r w:rsidR="00CA3AC1" w:rsidRPr="007C0C88">
        <w:rPr>
          <w:rFonts w:ascii="Gadugi" w:hAnsi="Gadugi" w:cs="Century Gothic"/>
          <w:b/>
          <w:bCs/>
          <w:sz w:val="24"/>
          <w:szCs w:val="24"/>
        </w:rPr>
        <w:t>SE</w:t>
      </w:r>
      <w:r w:rsidR="00332D49" w:rsidRPr="007C0C88">
        <w:rPr>
          <w:rFonts w:ascii="Gadugi" w:hAnsi="Gadugi"/>
          <w:sz w:val="24"/>
          <w:szCs w:val="24"/>
          <w:lang w:val="es-419"/>
        </w:rPr>
        <w:t xml:space="preserve"> </w:t>
      </w:r>
      <w:r w:rsidR="00332D49" w:rsidRPr="007C0C88">
        <w:rPr>
          <w:rFonts w:ascii="Gadugi" w:hAnsi="Gadugi"/>
          <w:b/>
          <w:sz w:val="24"/>
          <w:szCs w:val="24"/>
          <w:lang w:val="es-419"/>
        </w:rPr>
        <w:t>REVOCA</w:t>
      </w:r>
      <w:r w:rsidR="00CA3AC1" w:rsidRPr="007C0C88">
        <w:rPr>
          <w:rFonts w:ascii="Gadugi" w:hAnsi="Gadugi"/>
          <w:b/>
          <w:sz w:val="24"/>
          <w:szCs w:val="24"/>
          <w:lang w:val="es-419"/>
        </w:rPr>
        <w:t>.</w:t>
      </w:r>
    </w:p>
    <w:p w14:paraId="4C7834B4" w14:textId="77777777" w:rsidR="007C0C88" w:rsidRDefault="007C0C88" w:rsidP="007C0C88">
      <w:pPr>
        <w:pStyle w:val="Textoindependiente2"/>
        <w:spacing w:after="0" w:line="276" w:lineRule="auto"/>
        <w:ind w:firstLine="1701"/>
        <w:jc w:val="both"/>
        <w:rPr>
          <w:rFonts w:ascii="Gadugi" w:hAnsi="Gadugi"/>
          <w:sz w:val="24"/>
          <w:szCs w:val="24"/>
        </w:rPr>
      </w:pPr>
    </w:p>
    <w:p w14:paraId="46249B2E" w14:textId="331BCC45" w:rsidR="002620DF" w:rsidRPr="007C0C88" w:rsidRDefault="002620DF" w:rsidP="007C0C88">
      <w:pPr>
        <w:pStyle w:val="Textoindependiente2"/>
        <w:spacing w:after="0" w:line="276" w:lineRule="auto"/>
        <w:ind w:firstLine="1701"/>
        <w:jc w:val="both"/>
        <w:rPr>
          <w:rFonts w:ascii="Gadugi" w:hAnsi="Gadugi"/>
          <w:sz w:val="24"/>
          <w:szCs w:val="24"/>
          <w:lang w:val="es-419"/>
        </w:rPr>
      </w:pPr>
      <w:r w:rsidRPr="007C0C88">
        <w:rPr>
          <w:rFonts w:ascii="Gadugi" w:hAnsi="Gadugi"/>
          <w:sz w:val="24"/>
          <w:szCs w:val="24"/>
        </w:rPr>
        <w:t>Notifíquese esta decisión a las partes en la forma prevista en el artículo 5º del Decreto 306 de 1992</w:t>
      </w:r>
      <w:r w:rsidRPr="007C0C88">
        <w:rPr>
          <w:rFonts w:ascii="Gadugi" w:hAnsi="Gadugi"/>
          <w:sz w:val="24"/>
          <w:szCs w:val="24"/>
          <w:lang w:val="es-419"/>
        </w:rPr>
        <w:t xml:space="preserve">. </w:t>
      </w:r>
    </w:p>
    <w:p w14:paraId="05620A68" w14:textId="77777777" w:rsidR="00F940E0" w:rsidRPr="007C0C88" w:rsidRDefault="00F940E0" w:rsidP="007C0C88">
      <w:pPr>
        <w:pStyle w:val="Textoindependiente2"/>
        <w:spacing w:after="0" w:line="276" w:lineRule="auto"/>
        <w:ind w:firstLine="1701"/>
        <w:jc w:val="both"/>
        <w:rPr>
          <w:rFonts w:ascii="Gadugi" w:hAnsi="Gadugi"/>
          <w:sz w:val="24"/>
          <w:szCs w:val="24"/>
          <w:lang w:val="es-419"/>
        </w:rPr>
      </w:pPr>
    </w:p>
    <w:p w14:paraId="1D35F154" w14:textId="5BA78DBD" w:rsidR="009B3738" w:rsidRPr="007C0C88" w:rsidRDefault="007C0C88" w:rsidP="007C0C88">
      <w:pPr>
        <w:pStyle w:val="Textoindependiente2"/>
        <w:spacing w:after="0" w:line="276" w:lineRule="auto"/>
        <w:ind w:firstLine="1701"/>
        <w:jc w:val="both"/>
        <w:rPr>
          <w:rFonts w:ascii="Gadugi" w:hAnsi="Gadugi" w:cs="Century Gothic"/>
          <w:sz w:val="24"/>
          <w:szCs w:val="24"/>
          <w:lang w:val="es-419"/>
        </w:rPr>
      </w:pPr>
      <w:r>
        <w:rPr>
          <w:rFonts w:ascii="Gadugi" w:hAnsi="Gadugi"/>
          <w:sz w:val="24"/>
          <w:szCs w:val="24"/>
        </w:rPr>
        <w:t>Opor</w:t>
      </w:r>
      <w:r w:rsidR="002620DF" w:rsidRPr="007C0C88">
        <w:rPr>
          <w:rFonts w:ascii="Gadugi" w:hAnsi="Gadugi"/>
          <w:sz w:val="24"/>
          <w:szCs w:val="24"/>
        </w:rPr>
        <w:t>tunamente remítase el expediente a la Corte Constitucional para su eventual revisión.</w:t>
      </w:r>
      <w:r w:rsidR="00B84DBF" w:rsidRPr="007C0C88">
        <w:rPr>
          <w:rFonts w:ascii="Gadugi" w:hAnsi="Gadugi"/>
          <w:sz w:val="24"/>
          <w:szCs w:val="24"/>
          <w:lang w:val="es-419"/>
        </w:rPr>
        <w:t xml:space="preserve"> A</w:t>
      </w:r>
      <w:r w:rsidR="009B3738" w:rsidRPr="007C0C88">
        <w:rPr>
          <w:rFonts w:ascii="Gadugi" w:hAnsi="Gadugi" w:cs="Century Gothic"/>
          <w:sz w:val="24"/>
          <w:szCs w:val="24"/>
          <w:lang w:val="es-419"/>
        </w:rPr>
        <w:t xml:space="preserve"> su regreso archívese la actuación. </w:t>
      </w:r>
    </w:p>
    <w:p w14:paraId="3977EA2C" w14:textId="77777777" w:rsidR="009B3738" w:rsidRPr="007C0C88" w:rsidRDefault="009B3738" w:rsidP="007C0C88">
      <w:pPr>
        <w:spacing w:line="276" w:lineRule="auto"/>
        <w:ind w:firstLine="1701"/>
        <w:jc w:val="both"/>
        <w:rPr>
          <w:rFonts w:ascii="Gadugi" w:hAnsi="Gadugi" w:cs="Century Gothic"/>
          <w:sz w:val="24"/>
          <w:szCs w:val="24"/>
          <w:lang w:val="es-419"/>
        </w:rPr>
      </w:pPr>
    </w:p>
    <w:p w14:paraId="485F7ED6" w14:textId="77777777" w:rsidR="00A9599C" w:rsidRPr="007C0C88" w:rsidRDefault="00A9599C" w:rsidP="007C0C88">
      <w:pPr>
        <w:spacing w:line="276" w:lineRule="auto"/>
        <w:ind w:firstLine="1701"/>
        <w:jc w:val="both"/>
        <w:rPr>
          <w:rFonts w:ascii="Gadugi" w:hAnsi="Gadugi" w:cs="Century Gothic"/>
          <w:sz w:val="24"/>
          <w:szCs w:val="24"/>
        </w:rPr>
      </w:pPr>
      <w:r w:rsidRPr="007C0C88">
        <w:rPr>
          <w:rFonts w:ascii="Gadugi" w:hAnsi="Gadugi" w:cs="Century Gothic"/>
          <w:sz w:val="24"/>
          <w:szCs w:val="24"/>
        </w:rPr>
        <w:t>Los Magistrados,</w:t>
      </w:r>
    </w:p>
    <w:p w14:paraId="1291C451" w14:textId="77777777" w:rsidR="00D12B68" w:rsidRPr="007C0C88" w:rsidRDefault="00D12B68" w:rsidP="007C0C88">
      <w:pPr>
        <w:spacing w:line="276" w:lineRule="auto"/>
        <w:ind w:firstLine="1701"/>
        <w:jc w:val="both"/>
        <w:rPr>
          <w:rFonts w:ascii="Gadugi" w:hAnsi="Gadugi" w:cs="Century Gothic"/>
          <w:b/>
          <w:bCs/>
          <w:sz w:val="24"/>
          <w:szCs w:val="24"/>
        </w:rPr>
      </w:pPr>
    </w:p>
    <w:p w14:paraId="7D251277" w14:textId="77777777" w:rsidR="00205B8B" w:rsidRPr="007C0C88" w:rsidRDefault="00205B8B" w:rsidP="007C0C88">
      <w:pPr>
        <w:spacing w:line="276" w:lineRule="auto"/>
        <w:ind w:firstLine="1701"/>
        <w:jc w:val="both"/>
        <w:rPr>
          <w:rFonts w:ascii="Gadugi" w:hAnsi="Gadugi" w:cs="Century Gothic"/>
          <w:b/>
          <w:bCs/>
          <w:sz w:val="24"/>
          <w:szCs w:val="24"/>
        </w:rPr>
      </w:pPr>
    </w:p>
    <w:p w14:paraId="12426488" w14:textId="77777777" w:rsidR="00E000AF" w:rsidRPr="007C0C88" w:rsidRDefault="00E000AF" w:rsidP="007C0C88">
      <w:pPr>
        <w:spacing w:line="276" w:lineRule="auto"/>
        <w:ind w:firstLine="1701"/>
        <w:jc w:val="both"/>
        <w:rPr>
          <w:rFonts w:ascii="Gadugi" w:hAnsi="Gadugi" w:cs="Century Gothic"/>
          <w:b/>
          <w:bCs/>
          <w:sz w:val="24"/>
          <w:szCs w:val="24"/>
        </w:rPr>
      </w:pPr>
      <w:r w:rsidRPr="007C0C88">
        <w:rPr>
          <w:rFonts w:ascii="Gadugi" w:hAnsi="Gadugi" w:cs="Century Gothic"/>
          <w:b/>
          <w:bCs/>
          <w:sz w:val="24"/>
          <w:szCs w:val="24"/>
        </w:rPr>
        <w:t>JAIME ALBERTO SARAZA NARANJO</w:t>
      </w:r>
    </w:p>
    <w:p w14:paraId="18176E48" w14:textId="698CB3FE" w:rsidR="00205B8B" w:rsidRDefault="00205B8B" w:rsidP="007C0C88">
      <w:pPr>
        <w:spacing w:line="276" w:lineRule="auto"/>
        <w:ind w:firstLine="1701"/>
        <w:jc w:val="both"/>
        <w:rPr>
          <w:rFonts w:ascii="Gadugi" w:hAnsi="Gadugi" w:cs="Century Gothic"/>
          <w:b/>
          <w:bCs/>
          <w:sz w:val="24"/>
          <w:szCs w:val="24"/>
        </w:rPr>
      </w:pPr>
    </w:p>
    <w:p w14:paraId="55E1FCE0" w14:textId="77777777" w:rsidR="007C0C88" w:rsidRPr="007C0C88" w:rsidRDefault="007C0C88" w:rsidP="007C0C88">
      <w:pPr>
        <w:spacing w:line="276" w:lineRule="auto"/>
        <w:ind w:firstLine="1701"/>
        <w:jc w:val="both"/>
        <w:rPr>
          <w:rFonts w:ascii="Gadugi" w:hAnsi="Gadugi" w:cs="Century Gothic"/>
          <w:b/>
          <w:bCs/>
          <w:sz w:val="24"/>
          <w:szCs w:val="24"/>
        </w:rPr>
      </w:pPr>
    </w:p>
    <w:p w14:paraId="55EE6E76" w14:textId="77777777" w:rsidR="00205B8B" w:rsidRPr="007C0C88" w:rsidRDefault="00205B8B" w:rsidP="007C0C88">
      <w:pPr>
        <w:spacing w:line="276" w:lineRule="auto"/>
        <w:ind w:firstLine="1701"/>
        <w:jc w:val="both"/>
        <w:rPr>
          <w:rFonts w:ascii="Gadugi" w:hAnsi="Gadugi" w:cs="Century Gothic"/>
          <w:b/>
          <w:bCs/>
          <w:sz w:val="24"/>
          <w:szCs w:val="24"/>
        </w:rPr>
      </w:pPr>
      <w:r w:rsidRPr="007C0C88">
        <w:rPr>
          <w:rFonts w:ascii="Gadugi" w:hAnsi="Gadugi" w:cs="Century Gothic"/>
          <w:b/>
          <w:bCs/>
          <w:sz w:val="24"/>
          <w:szCs w:val="24"/>
        </w:rPr>
        <w:t>CARLOS MAURICIO GARCÍA BARAJAS</w:t>
      </w:r>
    </w:p>
    <w:p w14:paraId="37108873" w14:textId="77509C58" w:rsidR="00205B8B" w:rsidRDefault="00205B8B" w:rsidP="007C0C88">
      <w:pPr>
        <w:spacing w:line="276" w:lineRule="auto"/>
        <w:ind w:firstLine="1701"/>
        <w:jc w:val="both"/>
        <w:rPr>
          <w:rFonts w:ascii="Gadugi" w:hAnsi="Gadugi" w:cs="Century Gothic"/>
          <w:b/>
          <w:bCs/>
          <w:sz w:val="24"/>
          <w:szCs w:val="24"/>
        </w:rPr>
      </w:pPr>
    </w:p>
    <w:p w14:paraId="6A8ACAA3" w14:textId="77777777" w:rsidR="007C0C88" w:rsidRPr="007C0C88" w:rsidRDefault="007C0C88" w:rsidP="007C0C88">
      <w:pPr>
        <w:spacing w:line="276" w:lineRule="auto"/>
        <w:ind w:firstLine="1701"/>
        <w:jc w:val="both"/>
        <w:rPr>
          <w:rFonts w:ascii="Gadugi" w:hAnsi="Gadugi" w:cs="Century Gothic"/>
          <w:b/>
          <w:bCs/>
          <w:sz w:val="24"/>
          <w:szCs w:val="24"/>
        </w:rPr>
      </w:pPr>
    </w:p>
    <w:p w14:paraId="3A3E72A8" w14:textId="3A8ABBBA" w:rsidR="00A9731D" w:rsidRPr="007C0C88" w:rsidRDefault="00E000AF" w:rsidP="007C0C88">
      <w:pPr>
        <w:spacing w:line="276" w:lineRule="auto"/>
        <w:ind w:firstLine="1701"/>
        <w:jc w:val="both"/>
        <w:rPr>
          <w:rFonts w:ascii="Gadugi" w:hAnsi="Gadugi" w:cs="Century Gothic"/>
          <w:b/>
          <w:bCs/>
          <w:sz w:val="24"/>
          <w:szCs w:val="24"/>
        </w:rPr>
      </w:pPr>
      <w:r w:rsidRPr="007C0C88">
        <w:rPr>
          <w:rFonts w:ascii="Gadugi" w:hAnsi="Gadugi" w:cs="Century Gothic"/>
          <w:b/>
          <w:bCs/>
          <w:sz w:val="24"/>
          <w:szCs w:val="24"/>
        </w:rPr>
        <w:t>DUBERNEY GRISALES HERRERA</w:t>
      </w:r>
    </w:p>
    <w:sectPr w:rsidR="00A9731D" w:rsidRPr="007C0C88" w:rsidSect="00CB184B">
      <w:headerReference w:type="default" r:id="rId11"/>
      <w:footerReference w:type="default" r:id="rId12"/>
      <w:type w:val="nextColumn"/>
      <w:pgSz w:w="12242" w:h="18722" w:code="258"/>
      <w:pgMar w:top="1985" w:right="1361" w:bottom="1418"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19242C" w16cex:dateUtc="2021-11-19T13:12:07.918Z"/>
  <w16cex:commentExtensible w16cex:durableId="20CC6AA2" w16cex:dateUtc="2021-11-19T13:13:16.915Z"/>
  <w16cex:commentExtensible w16cex:durableId="57B2C136" w16cex:dateUtc="2021-11-19T20:06:30.425Z"/>
  <w16cex:commentExtensible w16cex:durableId="6D3E2540" w16cex:dateUtc="2021-11-19T20:28:15.777Z"/>
  <w16cex:commentExtensible w16cex:durableId="3950D57E" w16cex:dateUtc="2021-11-19T20:30:31.059Z"/>
  <w16cex:commentExtensible w16cex:durableId="2A3E80D6" w16cex:dateUtc="2021-11-19T20:30:48.814Z"/>
  <w16cex:commentExtensible w16cex:durableId="3B35CA21" w16cex:dateUtc="2022-08-25T00:58:14.631Z"/>
  <w16cex:commentExtensible w16cex:durableId="2D12849B" w16cex:dateUtc="2022-08-25T13:24:03.7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4F521" w14:textId="77777777" w:rsidR="00CD6832" w:rsidRDefault="00CD6832">
      <w:r>
        <w:separator/>
      </w:r>
    </w:p>
  </w:endnote>
  <w:endnote w:type="continuationSeparator" w:id="0">
    <w:p w14:paraId="47CE80EA" w14:textId="77777777" w:rsidR="00CD6832" w:rsidRDefault="00CD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0C01" w14:textId="77777777" w:rsidR="002C2C01" w:rsidRPr="007C0C88" w:rsidRDefault="002C2C01">
    <w:pPr>
      <w:pStyle w:val="Piedepgina"/>
      <w:jc w:val="right"/>
      <w:rPr>
        <w:rFonts w:ascii="Agency FB" w:hAnsi="Agency FB"/>
      </w:rPr>
    </w:pPr>
    <w:r w:rsidRPr="007C0C88">
      <w:rPr>
        <w:rFonts w:ascii="Agency FB" w:hAnsi="Agency FB"/>
      </w:rPr>
      <w:fldChar w:fldCharType="begin"/>
    </w:r>
    <w:r w:rsidRPr="007C0C88">
      <w:rPr>
        <w:rFonts w:ascii="Agency FB" w:hAnsi="Agency FB"/>
      </w:rPr>
      <w:instrText>PAGE   \* MERGEFORMAT</w:instrText>
    </w:r>
    <w:r w:rsidRPr="007C0C88">
      <w:rPr>
        <w:rFonts w:ascii="Agency FB" w:hAnsi="Agency FB"/>
      </w:rPr>
      <w:fldChar w:fldCharType="separate"/>
    </w:r>
    <w:r w:rsidR="00551DC2" w:rsidRPr="007C0C88">
      <w:rPr>
        <w:rFonts w:ascii="Agency FB" w:hAnsi="Agency FB"/>
        <w:noProof/>
      </w:rPr>
      <w:t>6</w:t>
    </w:r>
    <w:r w:rsidRPr="007C0C88">
      <w:rPr>
        <w:rFonts w:ascii="Agency FB" w:hAnsi="Agency F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A573" w14:textId="77777777" w:rsidR="00CD6832" w:rsidRDefault="00CD6832">
      <w:r>
        <w:separator/>
      </w:r>
    </w:p>
  </w:footnote>
  <w:footnote w:type="continuationSeparator" w:id="0">
    <w:p w14:paraId="0C971082" w14:textId="77777777" w:rsidR="00CD6832" w:rsidRDefault="00CD6832">
      <w:r>
        <w:continuationSeparator/>
      </w:r>
    </w:p>
  </w:footnote>
  <w:footnote w:id="1">
    <w:p w14:paraId="29437656" w14:textId="2A5665DB"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Págs. 106 a 111., Documento 01., C. 1.</w:t>
      </w:r>
    </w:p>
  </w:footnote>
  <w:footnote w:id="2">
    <w:p w14:paraId="179DB6F5" w14:textId="25C1849E"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04., C. 1.</w:t>
      </w:r>
    </w:p>
  </w:footnote>
  <w:footnote w:id="3">
    <w:p w14:paraId="452EDA51" w14:textId="36C8E85C"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81., C. 1.</w:t>
      </w:r>
    </w:p>
  </w:footnote>
  <w:footnote w:id="4">
    <w:p w14:paraId="57A8B340" w14:textId="0E2F31E2"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71., C. 1.</w:t>
      </w:r>
    </w:p>
  </w:footnote>
  <w:footnote w:id="5">
    <w:p w14:paraId="618DB6FB" w14:textId="210637F5"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08., C. 1.</w:t>
      </w:r>
    </w:p>
  </w:footnote>
  <w:footnote w:id="6">
    <w:p w14:paraId="6CE82FC8" w14:textId="4064FC7A"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12., C. 1.</w:t>
      </w:r>
    </w:p>
  </w:footnote>
  <w:footnote w:id="7">
    <w:p w14:paraId="3448BDA3" w14:textId="39E7C714"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60., C. 1.</w:t>
      </w:r>
    </w:p>
  </w:footnote>
  <w:footnote w:id="8">
    <w:p w14:paraId="5445E71B" w14:textId="07406271"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66., C. 1.</w:t>
      </w:r>
    </w:p>
  </w:footnote>
  <w:footnote w:id="9">
    <w:p w14:paraId="33B24EE3" w14:textId="6A97AD51" w:rsidR="001B0D9A" w:rsidRPr="00F47177" w:rsidRDefault="001B0D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14., C. 1.</w:t>
      </w:r>
    </w:p>
  </w:footnote>
  <w:footnote w:id="10">
    <w:p w14:paraId="7DBC7C70" w14:textId="6EF978DB"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Documentos 76 y 77., C. 1.</w:t>
      </w:r>
    </w:p>
  </w:footnote>
  <w:footnote w:id="11">
    <w:p w14:paraId="1E3DFBBF" w14:textId="03BADC26"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78., C. 1.</w:t>
      </w:r>
    </w:p>
  </w:footnote>
  <w:footnote w:id="12">
    <w:p w14:paraId="2F26C884" w14:textId="56AF8D9B"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83., C. 1.</w:t>
      </w:r>
    </w:p>
  </w:footnote>
  <w:footnote w:id="13">
    <w:p w14:paraId="31988B05" w14:textId="31A4F1EC"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86., C. 1.</w:t>
      </w:r>
    </w:p>
  </w:footnote>
  <w:footnote w:id="14">
    <w:p w14:paraId="30DAC89F" w14:textId="1624365F"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89., C. 1.</w:t>
      </w:r>
    </w:p>
  </w:footnote>
  <w:footnote w:id="15">
    <w:p w14:paraId="5F45AC1A" w14:textId="31F05627"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Una copia de esa fallo está en las págs. 77 a 105 del Documento 04., C. 1.</w:t>
      </w:r>
    </w:p>
  </w:footnote>
  <w:footnote w:id="16">
    <w:p w14:paraId="610FCC92" w14:textId="77777777" w:rsidR="00A70A41" w:rsidRPr="00F47177" w:rsidRDefault="00A70A4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Documentos 76 y 77., C. 1.; también documento 02, Carpeta “ANEXOS PRUEBAS” y “6. TUTELA 2022-569”</w:t>
      </w:r>
    </w:p>
  </w:footnote>
  <w:footnote w:id="17">
    <w:p w14:paraId="71D65D61" w14:textId="64491F3C" w:rsidR="00453C9A" w:rsidRPr="00F47177" w:rsidRDefault="00453C9A"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Págs. 1 a 17, Documento 01., C. 1.</w:t>
      </w:r>
    </w:p>
  </w:footnote>
  <w:footnote w:id="18">
    <w:p w14:paraId="3681A976" w14:textId="194FFDBE" w:rsidR="001455D1" w:rsidRPr="00F47177" w:rsidRDefault="001455D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14. Carpeta “ANEXOS Y PRUEBAS”, C. 1.</w:t>
      </w:r>
    </w:p>
  </w:footnote>
  <w:footnote w:id="19">
    <w:p w14:paraId="422159AC" w14:textId="0F986D9E" w:rsidR="00063529" w:rsidRPr="00F47177" w:rsidRDefault="00063529"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Art. 14, Ley 1523/12 “por la cual se adopta la política nacional de gestión del riesgo de desastres y se establece el Sistema Nacional de Gestión del Riesgo de Desastres y se dictan otras disposiciones”</w:t>
      </w:r>
    </w:p>
  </w:footnote>
  <w:footnote w:id="20">
    <w:p w14:paraId="7A1BFD67" w14:textId="5B33F791" w:rsidR="00063529" w:rsidRPr="00F47177" w:rsidRDefault="00063529"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Arts. 14 y 202, Ley 1801/16, “Por la cual se expide el Código Nacional de Seguridad y Convivencia Ciudadana.”</w:t>
      </w:r>
    </w:p>
  </w:footnote>
  <w:footnote w:id="21">
    <w:p w14:paraId="727EF52F" w14:textId="37D55E41" w:rsidR="002B01C1" w:rsidRPr="00F47177" w:rsidRDefault="002B01C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Pág. 48, Documento 01, C. 1.</w:t>
      </w:r>
    </w:p>
  </w:footnote>
  <w:footnote w:id="22">
    <w:p w14:paraId="2858A4AF" w14:textId="07837B69" w:rsidR="002B01C1" w:rsidRPr="00F47177" w:rsidRDefault="002B01C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Documento 02, C. 1.</w:t>
      </w:r>
    </w:p>
  </w:footnote>
  <w:footnote w:id="23">
    <w:p w14:paraId="131B2A39" w14:textId="41E1FC63" w:rsidR="00EE1A9D" w:rsidRPr="00F47177" w:rsidRDefault="00EE1A9D"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Sentencia T-631-13</w:t>
      </w:r>
    </w:p>
  </w:footnote>
  <w:footnote w:id="24">
    <w:p w14:paraId="6DDC5C37" w14:textId="4E1A9F6B" w:rsidR="00EE1A9D" w:rsidRPr="00F47177" w:rsidRDefault="00EE1A9D"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Sentencia T-548-19</w:t>
      </w:r>
    </w:p>
  </w:footnote>
  <w:footnote w:id="25">
    <w:p w14:paraId="4866ABD8" w14:textId="4E20916C" w:rsidR="00EE1A9D" w:rsidRPr="00F47177" w:rsidRDefault="00EE1A9D"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Corte Constitucional, sentencias T-347 de 1993, MP Vladimiro Naranjo Mesa y T-404 de 1993 MP. Jorge Arango Mejía, en las que se estableció que el derecho al debido proceso asegura la seguridad jurídica.</w:t>
      </w:r>
    </w:p>
  </w:footnote>
  <w:footnote w:id="26">
    <w:p w14:paraId="1CF02CE6" w14:textId="35A40E13" w:rsidR="00EE1A9D" w:rsidRPr="00F47177" w:rsidRDefault="00EE1A9D"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Corte Constitucional. Sentencia T-171 de 2019, MP. Cristina Pardo Schlesinger.</w:t>
      </w:r>
    </w:p>
  </w:footnote>
  <w:footnote w:id="27">
    <w:p w14:paraId="055A314F" w14:textId="2AF0923C" w:rsidR="00EE1A9D" w:rsidRPr="00F47177" w:rsidRDefault="00EE1A9D"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Corte Constitucional. Sentencia T-163 de 2016, MP. Luis Guillermo Guerrero Pérez.</w:t>
      </w:r>
    </w:p>
  </w:footnote>
  <w:footnote w:id="28">
    <w:p w14:paraId="3C651E57" w14:textId="3396D720" w:rsidR="002B01C1" w:rsidRPr="00F47177" w:rsidRDefault="002B01C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1. Carpeta “ANEXOS Y PRUEBAS”, C. 1.</w:t>
      </w:r>
    </w:p>
  </w:footnote>
  <w:footnote w:id="29">
    <w:p w14:paraId="7C1FFE6A" w14:textId="612F0300" w:rsidR="002B01C1" w:rsidRPr="00F47177" w:rsidRDefault="002B01C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14. Carpeta “ANEXOS Y PRUEBAS”, C. 1.</w:t>
      </w:r>
    </w:p>
  </w:footnote>
  <w:footnote w:id="30">
    <w:p w14:paraId="1C867C38" w14:textId="51B67C11" w:rsidR="002B01C1" w:rsidRPr="00F47177" w:rsidRDefault="002B01C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Págs. 46 a 49, Documento 01. C. 1.</w:t>
      </w:r>
    </w:p>
  </w:footnote>
  <w:footnote w:id="31">
    <w:p w14:paraId="1CFEE7C0" w14:textId="31D20D9D" w:rsidR="002B01C1" w:rsidRPr="00F47177" w:rsidRDefault="002B01C1"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62., C. 1.</w:t>
      </w:r>
    </w:p>
  </w:footnote>
  <w:footnote w:id="32">
    <w:p w14:paraId="19DD5A34" w14:textId="2FAFD606" w:rsidR="00E031DF" w:rsidRPr="00F47177" w:rsidRDefault="00E031DF"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04., C. 1.</w:t>
      </w:r>
    </w:p>
  </w:footnote>
  <w:footnote w:id="33">
    <w:p w14:paraId="60E20DCE" w14:textId="51F43A7B" w:rsidR="00E031DF" w:rsidRPr="00F47177" w:rsidRDefault="00E031DF" w:rsidP="00F47177">
      <w:pPr>
        <w:pStyle w:val="Textonotapie"/>
        <w:jc w:val="both"/>
        <w:rPr>
          <w:rFonts w:ascii="Agency FB" w:hAnsi="Agency FB"/>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78., C. 1.</w:t>
      </w:r>
    </w:p>
  </w:footnote>
  <w:footnote w:id="34">
    <w:p w14:paraId="0831B350" w14:textId="04C0ED32" w:rsidR="00E031DF" w:rsidRPr="001455D1" w:rsidRDefault="00E031DF" w:rsidP="00F47177">
      <w:pPr>
        <w:pStyle w:val="Textonotapie"/>
        <w:jc w:val="both"/>
        <w:rPr>
          <w:rFonts w:ascii="Bahnschrift Light Condensed" w:hAnsi="Bahnschrift Light Condensed"/>
          <w:sz w:val="24"/>
          <w:szCs w:val="24"/>
          <w:lang w:val="es-CO"/>
        </w:rPr>
      </w:pPr>
      <w:r w:rsidRPr="00F47177">
        <w:rPr>
          <w:rStyle w:val="Refdenotaalpie"/>
          <w:rFonts w:ascii="Agency FB" w:hAnsi="Agency FB"/>
        </w:rPr>
        <w:footnoteRef/>
      </w:r>
      <w:r w:rsidRPr="00F47177">
        <w:rPr>
          <w:rFonts w:ascii="Agency FB" w:hAnsi="Agency FB"/>
        </w:rPr>
        <w:t xml:space="preserve"> </w:t>
      </w:r>
      <w:r w:rsidRPr="00F47177">
        <w:rPr>
          <w:rFonts w:ascii="Agency FB" w:hAnsi="Agency FB"/>
          <w:lang w:val="es-CO"/>
        </w:rPr>
        <w:t>Documento 81.1.,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77E" w14:textId="77777777" w:rsidR="00E5518B" w:rsidRDefault="00E5518B" w:rsidP="00C11097">
    <w:pPr>
      <w:spacing w:line="360" w:lineRule="auto"/>
      <w:ind w:left="-1418"/>
      <w:rPr>
        <w:rFonts w:ascii="Arial Narrow" w:hAnsi="Arial Narrow"/>
        <w:sz w:val="18"/>
        <w:szCs w:val="18"/>
      </w:rPr>
    </w:pP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lgerian" w:hAnsi="Algerian"/>
        <w:b/>
        <w:spacing w:val="-3"/>
      </w:rPr>
      <w:tab/>
    </w:r>
    <w:r>
      <w:rPr>
        <w:rFonts w:ascii="Arial Narrow" w:hAnsi="Arial Narrow"/>
        <w:b/>
        <w:spacing w:val="-3"/>
        <w:sz w:val="18"/>
        <w:szCs w:val="18"/>
      </w:rPr>
      <w:t xml:space="preserve">              </w:t>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r>
    <w:r>
      <w:rPr>
        <w:rFonts w:ascii="Arial Narrow" w:hAnsi="Arial Narrow"/>
        <w:b/>
        <w:spacing w:val="-3"/>
        <w:sz w:val="18"/>
        <w:szCs w:val="18"/>
      </w:rPr>
      <w:tab/>
      <w:t xml:space="preserve">                     </w:t>
    </w:r>
  </w:p>
  <w:p w14:paraId="3E93F170" w14:textId="77777777" w:rsidR="00E5518B" w:rsidRDefault="00E5518B">
    <w:pPr>
      <w:tabs>
        <w:tab w:val="left" w:pos="-720"/>
      </w:tabs>
      <w:suppressAutoHyphens/>
      <w:ind w:left="-1418"/>
      <w:rPr>
        <w:rFonts w:ascii="Algerian" w:hAnsi="Algerian"/>
        <w:b/>
      </w:rPr>
    </w:pPr>
    <w:r>
      <w:rPr>
        <w:rFonts w:ascii="Algerian" w:hAnsi="Algeri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89FC0B7C"/>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iCs w:val="0"/>
        <w:color w:val="3333FF"/>
        <w:sz w:val="28"/>
        <w:szCs w:val="22"/>
      </w:rPr>
    </w:lvl>
    <w:lvl w:ilvl="2">
      <w:start w:val="1"/>
      <w:numFmt w:val="decimal"/>
      <w:lvlText w:val="%1.%2.%3."/>
      <w:lvlJc w:val="left"/>
      <w:pPr>
        <w:ind w:left="720" w:hanging="720"/>
      </w:pPr>
      <w:rPr>
        <w:rFonts w:cs="Times New Roman"/>
        <w:i/>
        <w:color w:val="3333FF"/>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50923910"/>
    <w:multiLevelType w:val="hybridMultilevel"/>
    <w:tmpl w:val="CA687674"/>
    <w:lvl w:ilvl="0" w:tplc="226045B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82"/>
    <w:rsid w:val="00000E8F"/>
    <w:rsid w:val="00001977"/>
    <w:rsid w:val="00001B94"/>
    <w:rsid w:val="0000293D"/>
    <w:rsid w:val="0000386A"/>
    <w:rsid w:val="00003A0A"/>
    <w:rsid w:val="00004176"/>
    <w:rsid w:val="000059C4"/>
    <w:rsid w:val="00005AC5"/>
    <w:rsid w:val="0000794D"/>
    <w:rsid w:val="00010B0F"/>
    <w:rsid w:val="00012798"/>
    <w:rsid w:val="0001650D"/>
    <w:rsid w:val="00016830"/>
    <w:rsid w:val="000175EA"/>
    <w:rsid w:val="00022465"/>
    <w:rsid w:val="000228F3"/>
    <w:rsid w:val="00023C20"/>
    <w:rsid w:val="00023F72"/>
    <w:rsid w:val="0002639C"/>
    <w:rsid w:val="000271F6"/>
    <w:rsid w:val="00030048"/>
    <w:rsid w:val="000313DE"/>
    <w:rsid w:val="00031513"/>
    <w:rsid w:val="00032E47"/>
    <w:rsid w:val="000335D7"/>
    <w:rsid w:val="00034469"/>
    <w:rsid w:val="00035060"/>
    <w:rsid w:val="00035F59"/>
    <w:rsid w:val="00037E42"/>
    <w:rsid w:val="00041008"/>
    <w:rsid w:val="00042078"/>
    <w:rsid w:val="000424E3"/>
    <w:rsid w:val="00042530"/>
    <w:rsid w:val="00045324"/>
    <w:rsid w:val="00045511"/>
    <w:rsid w:val="00045BA9"/>
    <w:rsid w:val="00047072"/>
    <w:rsid w:val="00051399"/>
    <w:rsid w:val="00051D51"/>
    <w:rsid w:val="00053AAD"/>
    <w:rsid w:val="0005461A"/>
    <w:rsid w:val="00055BC7"/>
    <w:rsid w:val="00056F20"/>
    <w:rsid w:val="00057722"/>
    <w:rsid w:val="00057F3D"/>
    <w:rsid w:val="00057FCC"/>
    <w:rsid w:val="00061051"/>
    <w:rsid w:val="000620DB"/>
    <w:rsid w:val="00063529"/>
    <w:rsid w:val="00064DB8"/>
    <w:rsid w:val="00066F9F"/>
    <w:rsid w:val="00067B68"/>
    <w:rsid w:val="00070085"/>
    <w:rsid w:val="0007352E"/>
    <w:rsid w:val="000737E9"/>
    <w:rsid w:val="000805B9"/>
    <w:rsid w:val="00080E20"/>
    <w:rsid w:val="00081455"/>
    <w:rsid w:val="00083EE6"/>
    <w:rsid w:val="00084E97"/>
    <w:rsid w:val="00085203"/>
    <w:rsid w:val="00085E48"/>
    <w:rsid w:val="00086626"/>
    <w:rsid w:val="0008696F"/>
    <w:rsid w:val="00087089"/>
    <w:rsid w:val="000875B2"/>
    <w:rsid w:val="000876B7"/>
    <w:rsid w:val="00090DA3"/>
    <w:rsid w:val="00094007"/>
    <w:rsid w:val="000940F6"/>
    <w:rsid w:val="000951E3"/>
    <w:rsid w:val="000952E6"/>
    <w:rsid w:val="00095E3D"/>
    <w:rsid w:val="000960EE"/>
    <w:rsid w:val="000961AE"/>
    <w:rsid w:val="000A13B4"/>
    <w:rsid w:val="000A1EEC"/>
    <w:rsid w:val="000A44B6"/>
    <w:rsid w:val="000A5AFF"/>
    <w:rsid w:val="000A6382"/>
    <w:rsid w:val="000A6967"/>
    <w:rsid w:val="000B23B6"/>
    <w:rsid w:val="000B2918"/>
    <w:rsid w:val="000B2AE5"/>
    <w:rsid w:val="000B3128"/>
    <w:rsid w:val="000B35B1"/>
    <w:rsid w:val="000B4877"/>
    <w:rsid w:val="000B5716"/>
    <w:rsid w:val="000B5EA2"/>
    <w:rsid w:val="000B639A"/>
    <w:rsid w:val="000B6CC0"/>
    <w:rsid w:val="000C1581"/>
    <w:rsid w:val="000C2210"/>
    <w:rsid w:val="000C28C8"/>
    <w:rsid w:val="000C2F25"/>
    <w:rsid w:val="000C75AE"/>
    <w:rsid w:val="000C7FE4"/>
    <w:rsid w:val="000D0733"/>
    <w:rsid w:val="000D1C04"/>
    <w:rsid w:val="000D24BE"/>
    <w:rsid w:val="000D39D1"/>
    <w:rsid w:val="000D3FFD"/>
    <w:rsid w:val="000D43A7"/>
    <w:rsid w:val="000D4537"/>
    <w:rsid w:val="000D7C35"/>
    <w:rsid w:val="000E0D91"/>
    <w:rsid w:val="000E4AC4"/>
    <w:rsid w:val="000E4E7F"/>
    <w:rsid w:val="000E54A8"/>
    <w:rsid w:val="000E6576"/>
    <w:rsid w:val="000E6F69"/>
    <w:rsid w:val="000E78F8"/>
    <w:rsid w:val="000F0D8F"/>
    <w:rsid w:val="000F1917"/>
    <w:rsid w:val="000F206D"/>
    <w:rsid w:val="000F45ED"/>
    <w:rsid w:val="000F68B5"/>
    <w:rsid w:val="000F6E0C"/>
    <w:rsid w:val="000F73E1"/>
    <w:rsid w:val="00103DB6"/>
    <w:rsid w:val="0010468A"/>
    <w:rsid w:val="00104EFB"/>
    <w:rsid w:val="001053AF"/>
    <w:rsid w:val="0010648B"/>
    <w:rsid w:val="001065FC"/>
    <w:rsid w:val="00106DC6"/>
    <w:rsid w:val="001076D4"/>
    <w:rsid w:val="001117F7"/>
    <w:rsid w:val="00112C53"/>
    <w:rsid w:val="001136A4"/>
    <w:rsid w:val="0011429E"/>
    <w:rsid w:val="00114617"/>
    <w:rsid w:val="0011641B"/>
    <w:rsid w:val="00117429"/>
    <w:rsid w:val="001222E3"/>
    <w:rsid w:val="00125C65"/>
    <w:rsid w:val="00125EA3"/>
    <w:rsid w:val="00126C9C"/>
    <w:rsid w:val="001309B8"/>
    <w:rsid w:val="00130DC7"/>
    <w:rsid w:val="0013100A"/>
    <w:rsid w:val="001341C5"/>
    <w:rsid w:val="001361AA"/>
    <w:rsid w:val="00136ECB"/>
    <w:rsid w:val="0014382A"/>
    <w:rsid w:val="001455D1"/>
    <w:rsid w:val="001458A0"/>
    <w:rsid w:val="00151645"/>
    <w:rsid w:val="00151D2D"/>
    <w:rsid w:val="0015378A"/>
    <w:rsid w:val="001553F8"/>
    <w:rsid w:val="001559BD"/>
    <w:rsid w:val="00155A96"/>
    <w:rsid w:val="001577F1"/>
    <w:rsid w:val="001615E2"/>
    <w:rsid w:val="0016207F"/>
    <w:rsid w:val="0016334F"/>
    <w:rsid w:val="00164F89"/>
    <w:rsid w:val="00172164"/>
    <w:rsid w:val="001730FB"/>
    <w:rsid w:val="001758B6"/>
    <w:rsid w:val="0017623E"/>
    <w:rsid w:val="00176918"/>
    <w:rsid w:val="00176C3A"/>
    <w:rsid w:val="001800C8"/>
    <w:rsid w:val="001818D4"/>
    <w:rsid w:val="001848E1"/>
    <w:rsid w:val="00185973"/>
    <w:rsid w:val="00186537"/>
    <w:rsid w:val="00186F40"/>
    <w:rsid w:val="001870BD"/>
    <w:rsid w:val="00187A80"/>
    <w:rsid w:val="001902EC"/>
    <w:rsid w:val="00190E9A"/>
    <w:rsid w:val="00191A0D"/>
    <w:rsid w:val="00192C7E"/>
    <w:rsid w:val="00192E42"/>
    <w:rsid w:val="0019346D"/>
    <w:rsid w:val="00194148"/>
    <w:rsid w:val="00194AD7"/>
    <w:rsid w:val="00195E71"/>
    <w:rsid w:val="001A1BE3"/>
    <w:rsid w:val="001A319C"/>
    <w:rsid w:val="001A3595"/>
    <w:rsid w:val="001A3DAE"/>
    <w:rsid w:val="001A3EAA"/>
    <w:rsid w:val="001A4E3C"/>
    <w:rsid w:val="001A53C4"/>
    <w:rsid w:val="001A565A"/>
    <w:rsid w:val="001A5D2A"/>
    <w:rsid w:val="001A6E59"/>
    <w:rsid w:val="001A76A1"/>
    <w:rsid w:val="001A7E46"/>
    <w:rsid w:val="001B0D8F"/>
    <w:rsid w:val="001B0D9A"/>
    <w:rsid w:val="001B2A48"/>
    <w:rsid w:val="001B3DF9"/>
    <w:rsid w:val="001B4BB5"/>
    <w:rsid w:val="001B5577"/>
    <w:rsid w:val="001B63C1"/>
    <w:rsid w:val="001B645B"/>
    <w:rsid w:val="001B7418"/>
    <w:rsid w:val="001B75B8"/>
    <w:rsid w:val="001B7D80"/>
    <w:rsid w:val="001C001A"/>
    <w:rsid w:val="001C1AB4"/>
    <w:rsid w:val="001C2BB7"/>
    <w:rsid w:val="001C3F37"/>
    <w:rsid w:val="001C4C6D"/>
    <w:rsid w:val="001C5603"/>
    <w:rsid w:val="001C6BBA"/>
    <w:rsid w:val="001D06F8"/>
    <w:rsid w:val="001D19EC"/>
    <w:rsid w:val="001D2A0B"/>
    <w:rsid w:val="001D4003"/>
    <w:rsid w:val="001D434D"/>
    <w:rsid w:val="001D592D"/>
    <w:rsid w:val="001D71FB"/>
    <w:rsid w:val="001D77AC"/>
    <w:rsid w:val="001D794E"/>
    <w:rsid w:val="001E1242"/>
    <w:rsid w:val="001E1FCB"/>
    <w:rsid w:val="001E2397"/>
    <w:rsid w:val="001E4B8E"/>
    <w:rsid w:val="001E5DD9"/>
    <w:rsid w:val="001E6401"/>
    <w:rsid w:val="001E7E62"/>
    <w:rsid w:val="001F3183"/>
    <w:rsid w:val="001F329D"/>
    <w:rsid w:val="001F36FB"/>
    <w:rsid w:val="001F5E9E"/>
    <w:rsid w:val="0020120C"/>
    <w:rsid w:val="00201E32"/>
    <w:rsid w:val="00203E8E"/>
    <w:rsid w:val="00204592"/>
    <w:rsid w:val="0020539D"/>
    <w:rsid w:val="00205B8B"/>
    <w:rsid w:val="0021164D"/>
    <w:rsid w:val="0021223E"/>
    <w:rsid w:val="002126FF"/>
    <w:rsid w:val="00214705"/>
    <w:rsid w:val="00214F45"/>
    <w:rsid w:val="00215088"/>
    <w:rsid w:val="00215B0A"/>
    <w:rsid w:val="00215F0A"/>
    <w:rsid w:val="00217067"/>
    <w:rsid w:val="002170CD"/>
    <w:rsid w:val="00222519"/>
    <w:rsid w:val="002231B4"/>
    <w:rsid w:val="0022383E"/>
    <w:rsid w:val="00223940"/>
    <w:rsid w:val="00224357"/>
    <w:rsid w:val="00225761"/>
    <w:rsid w:val="00226693"/>
    <w:rsid w:val="002266FC"/>
    <w:rsid w:val="00227F6E"/>
    <w:rsid w:val="0023007A"/>
    <w:rsid w:val="002300A0"/>
    <w:rsid w:val="0023021A"/>
    <w:rsid w:val="00231080"/>
    <w:rsid w:val="00232686"/>
    <w:rsid w:val="002349A0"/>
    <w:rsid w:val="002375DC"/>
    <w:rsid w:val="0023799E"/>
    <w:rsid w:val="00242412"/>
    <w:rsid w:val="00244269"/>
    <w:rsid w:val="0024655D"/>
    <w:rsid w:val="0024659A"/>
    <w:rsid w:val="00246C1B"/>
    <w:rsid w:val="00247101"/>
    <w:rsid w:val="00247A2B"/>
    <w:rsid w:val="00253A31"/>
    <w:rsid w:val="00255F75"/>
    <w:rsid w:val="00260829"/>
    <w:rsid w:val="002620DF"/>
    <w:rsid w:val="00262B2B"/>
    <w:rsid w:val="0026345D"/>
    <w:rsid w:val="00265289"/>
    <w:rsid w:val="00265408"/>
    <w:rsid w:val="0026596E"/>
    <w:rsid w:val="00265A09"/>
    <w:rsid w:val="00266ABE"/>
    <w:rsid w:val="00266DDB"/>
    <w:rsid w:val="0027045D"/>
    <w:rsid w:val="00271537"/>
    <w:rsid w:val="00272509"/>
    <w:rsid w:val="00276352"/>
    <w:rsid w:val="0027722A"/>
    <w:rsid w:val="00277CB2"/>
    <w:rsid w:val="00277EE7"/>
    <w:rsid w:val="00280D45"/>
    <w:rsid w:val="00281ADC"/>
    <w:rsid w:val="0028395B"/>
    <w:rsid w:val="00284485"/>
    <w:rsid w:val="00284A1A"/>
    <w:rsid w:val="002856DC"/>
    <w:rsid w:val="00286D17"/>
    <w:rsid w:val="00286E02"/>
    <w:rsid w:val="0029001F"/>
    <w:rsid w:val="0029066C"/>
    <w:rsid w:val="00290B20"/>
    <w:rsid w:val="00291141"/>
    <w:rsid w:val="002912B8"/>
    <w:rsid w:val="00292771"/>
    <w:rsid w:val="002929F4"/>
    <w:rsid w:val="002937A9"/>
    <w:rsid w:val="002948CB"/>
    <w:rsid w:val="00295D89"/>
    <w:rsid w:val="002965D5"/>
    <w:rsid w:val="00297367"/>
    <w:rsid w:val="002A0D4D"/>
    <w:rsid w:val="002A2D80"/>
    <w:rsid w:val="002A32D6"/>
    <w:rsid w:val="002A4388"/>
    <w:rsid w:val="002A4D4E"/>
    <w:rsid w:val="002A5320"/>
    <w:rsid w:val="002A5696"/>
    <w:rsid w:val="002B01C1"/>
    <w:rsid w:val="002B0449"/>
    <w:rsid w:val="002B1FD9"/>
    <w:rsid w:val="002B2FF9"/>
    <w:rsid w:val="002B5983"/>
    <w:rsid w:val="002B73CB"/>
    <w:rsid w:val="002B74B5"/>
    <w:rsid w:val="002B7DA9"/>
    <w:rsid w:val="002C079F"/>
    <w:rsid w:val="002C1575"/>
    <w:rsid w:val="002C2C01"/>
    <w:rsid w:val="002C46DD"/>
    <w:rsid w:val="002C46EA"/>
    <w:rsid w:val="002C4E3F"/>
    <w:rsid w:val="002C510E"/>
    <w:rsid w:val="002C5752"/>
    <w:rsid w:val="002C77D9"/>
    <w:rsid w:val="002D0D42"/>
    <w:rsid w:val="002D0FD7"/>
    <w:rsid w:val="002D1010"/>
    <w:rsid w:val="002D2967"/>
    <w:rsid w:val="002D2D38"/>
    <w:rsid w:val="002D2FDD"/>
    <w:rsid w:val="002D3B4C"/>
    <w:rsid w:val="002D459B"/>
    <w:rsid w:val="002D47F3"/>
    <w:rsid w:val="002D56FD"/>
    <w:rsid w:val="002D57BF"/>
    <w:rsid w:val="002D70B2"/>
    <w:rsid w:val="002E13F1"/>
    <w:rsid w:val="002E22DB"/>
    <w:rsid w:val="002E235E"/>
    <w:rsid w:val="002E2D1A"/>
    <w:rsid w:val="002E46E8"/>
    <w:rsid w:val="002E5F12"/>
    <w:rsid w:val="002E5F62"/>
    <w:rsid w:val="002E6E26"/>
    <w:rsid w:val="002E7F55"/>
    <w:rsid w:val="002F03B6"/>
    <w:rsid w:val="002F0D91"/>
    <w:rsid w:val="002F1B05"/>
    <w:rsid w:val="002F1E62"/>
    <w:rsid w:val="002F28A7"/>
    <w:rsid w:val="002F291B"/>
    <w:rsid w:val="002F5E64"/>
    <w:rsid w:val="002F6764"/>
    <w:rsid w:val="002F6CEA"/>
    <w:rsid w:val="003011E0"/>
    <w:rsid w:val="003013AA"/>
    <w:rsid w:val="0030399E"/>
    <w:rsid w:val="00303C7A"/>
    <w:rsid w:val="003042D7"/>
    <w:rsid w:val="0030492C"/>
    <w:rsid w:val="00306AE0"/>
    <w:rsid w:val="003103AD"/>
    <w:rsid w:val="00312E6A"/>
    <w:rsid w:val="00314E32"/>
    <w:rsid w:val="00316475"/>
    <w:rsid w:val="00316CCA"/>
    <w:rsid w:val="0032141C"/>
    <w:rsid w:val="0032226A"/>
    <w:rsid w:val="0032251F"/>
    <w:rsid w:val="00322814"/>
    <w:rsid w:val="003239F6"/>
    <w:rsid w:val="003254B6"/>
    <w:rsid w:val="00326099"/>
    <w:rsid w:val="00330A9A"/>
    <w:rsid w:val="00330AFB"/>
    <w:rsid w:val="00330C07"/>
    <w:rsid w:val="00330E9F"/>
    <w:rsid w:val="003326C4"/>
    <w:rsid w:val="00332D49"/>
    <w:rsid w:val="003348FD"/>
    <w:rsid w:val="003352D5"/>
    <w:rsid w:val="00335508"/>
    <w:rsid w:val="00335890"/>
    <w:rsid w:val="003358C2"/>
    <w:rsid w:val="00337B32"/>
    <w:rsid w:val="0034034F"/>
    <w:rsid w:val="0034478D"/>
    <w:rsid w:val="00345292"/>
    <w:rsid w:val="0034716A"/>
    <w:rsid w:val="003505C1"/>
    <w:rsid w:val="003509E6"/>
    <w:rsid w:val="003509EC"/>
    <w:rsid w:val="0035294A"/>
    <w:rsid w:val="00352DAC"/>
    <w:rsid w:val="00353F0E"/>
    <w:rsid w:val="00354C26"/>
    <w:rsid w:val="0035591D"/>
    <w:rsid w:val="00360F86"/>
    <w:rsid w:val="003634A6"/>
    <w:rsid w:val="0036375A"/>
    <w:rsid w:val="003653DA"/>
    <w:rsid w:val="00366C5E"/>
    <w:rsid w:val="00371815"/>
    <w:rsid w:val="00371B54"/>
    <w:rsid w:val="003724A1"/>
    <w:rsid w:val="00373556"/>
    <w:rsid w:val="003738DB"/>
    <w:rsid w:val="003745EA"/>
    <w:rsid w:val="00375C63"/>
    <w:rsid w:val="0037624F"/>
    <w:rsid w:val="00376266"/>
    <w:rsid w:val="00376708"/>
    <w:rsid w:val="00377B70"/>
    <w:rsid w:val="00380C17"/>
    <w:rsid w:val="00380FC7"/>
    <w:rsid w:val="003819C7"/>
    <w:rsid w:val="00382230"/>
    <w:rsid w:val="00386D2A"/>
    <w:rsid w:val="003910CB"/>
    <w:rsid w:val="00392F21"/>
    <w:rsid w:val="00396373"/>
    <w:rsid w:val="0039698F"/>
    <w:rsid w:val="003A1FC1"/>
    <w:rsid w:val="003A2E57"/>
    <w:rsid w:val="003A3725"/>
    <w:rsid w:val="003A50BC"/>
    <w:rsid w:val="003A6801"/>
    <w:rsid w:val="003B04DF"/>
    <w:rsid w:val="003B23B4"/>
    <w:rsid w:val="003B28AA"/>
    <w:rsid w:val="003B3164"/>
    <w:rsid w:val="003B35B6"/>
    <w:rsid w:val="003B3BF2"/>
    <w:rsid w:val="003B4DC5"/>
    <w:rsid w:val="003B6385"/>
    <w:rsid w:val="003B6F58"/>
    <w:rsid w:val="003C01FA"/>
    <w:rsid w:val="003C0402"/>
    <w:rsid w:val="003C0CFA"/>
    <w:rsid w:val="003C4072"/>
    <w:rsid w:val="003C4479"/>
    <w:rsid w:val="003C523C"/>
    <w:rsid w:val="003C574D"/>
    <w:rsid w:val="003C6DD2"/>
    <w:rsid w:val="003C78DC"/>
    <w:rsid w:val="003C79E7"/>
    <w:rsid w:val="003C7FE0"/>
    <w:rsid w:val="003D1661"/>
    <w:rsid w:val="003D1907"/>
    <w:rsid w:val="003D3003"/>
    <w:rsid w:val="003D5EAD"/>
    <w:rsid w:val="003D7711"/>
    <w:rsid w:val="003D7E2E"/>
    <w:rsid w:val="003D7EA9"/>
    <w:rsid w:val="003E0536"/>
    <w:rsid w:val="003E2D39"/>
    <w:rsid w:val="003E4112"/>
    <w:rsid w:val="003E48C3"/>
    <w:rsid w:val="003E5518"/>
    <w:rsid w:val="003E67A6"/>
    <w:rsid w:val="003F0957"/>
    <w:rsid w:val="003F2A44"/>
    <w:rsid w:val="003F2FDB"/>
    <w:rsid w:val="003F30A1"/>
    <w:rsid w:val="003F4BFB"/>
    <w:rsid w:val="003F55F6"/>
    <w:rsid w:val="003F61AF"/>
    <w:rsid w:val="003F70CB"/>
    <w:rsid w:val="003F7172"/>
    <w:rsid w:val="004000C2"/>
    <w:rsid w:val="00402C6D"/>
    <w:rsid w:val="00402CE4"/>
    <w:rsid w:val="00404220"/>
    <w:rsid w:val="00404E55"/>
    <w:rsid w:val="00405AE5"/>
    <w:rsid w:val="00406C4C"/>
    <w:rsid w:val="00410C93"/>
    <w:rsid w:val="00413984"/>
    <w:rsid w:val="00414513"/>
    <w:rsid w:val="004147A1"/>
    <w:rsid w:val="004149E6"/>
    <w:rsid w:val="00415890"/>
    <w:rsid w:val="00415A5B"/>
    <w:rsid w:val="00420650"/>
    <w:rsid w:val="00421D60"/>
    <w:rsid w:val="00424AB4"/>
    <w:rsid w:val="00425E8D"/>
    <w:rsid w:val="00426879"/>
    <w:rsid w:val="00430102"/>
    <w:rsid w:val="00433976"/>
    <w:rsid w:val="0043456B"/>
    <w:rsid w:val="00435FC8"/>
    <w:rsid w:val="0043693D"/>
    <w:rsid w:val="00436F89"/>
    <w:rsid w:val="004413CF"/>
    <w:rsid w:val="00442A90"/>
    <w:rsid w:val="00443020"/>
    <w:rsid w:val="00443456"/>
    <w:rsid w:val="0044383A"/>
    <w:rsid w:val="00445045"/>
    <w:rsid w:val="004458F6"/>
    <w:rsid w:val="00445C19"/>
    <w:rsid w:val="004470BD"/>
    <w:rsid w:val="004472AF"/>
    <w:rsid w:val="004472C5"/>
    <w:rsid w:val="00447947"/>
    <w:rsid w:val="0044797C"/>
    <w:rsid w:val="00452BAB"/>
    <w:rsid w:val="00453C9A"/>
    <w:rsid w:val="004604BA"/>
    <w:rsid w:val="004606ED"/>
    <w:rsid w:val="00460F35"/>
    <w:rsid w:val="00462B4F"/>
    <w:rsid w:val="00463E6B"/>
    <w:rsid w:val="0046501A"/>
    <w:rsid w:val="00466E91"/>
    <w:rsid w:val="0047079F"/>
    <w:rsid w:val="004748A8"/>
    <w:rsid w:val="00475552"/>
    <w:rsid w:val="00475650"/>
    <w:rsid w:val="00481C35"/>
    <w:rsid w:val="00483B43"/>
    <w:rsid w:val="00483C03"/>
    <w:rsid w:val="00483CD3"/>
    <w:rsid w:val="00486F80"/>
    <w:rsid w:val="00487733"/>
    <w:rsid w:val="00487C03"/>
    <w:rsid w:val="00491319"/>
    <w:rsid w:val="0049165E"/>
    <w:rsid w:val="0049282E"/>
    <w:rsid w:val="00492924"/>
    <w:rsid w:val="004942AB"/>
    <w:rsid w:val="00495040"/>
    <w:rsid w:val="004A0070"/>
    <w:rsid w:val="004A082F"/>
    <w:rsid w:val="004A0CE9"/>
    <w:rsid w:val="004A11EB"/>
    <w:rsid w:val="004A1FF2"/>
    <w:rsid w:val="004A236C"/>
    <w:rsid w:val="004A2847"/>
    <w:rsid w:val="004A3018"/>
    <w:rsid w:val="004A3E03"/>
    <w:rsid w:val="004A6315"/>
    <w:rsid w:val="004B0E04"/>
    <w:rsid w:val="004B1793"/>
    <w:rsid w:val="004B1868"/>
    <w:rsid w:val="004B2664"/>
    <w:rsid w:val="004B3000"/>
    <w:rsid w:val="004B314F"/>
    <w:rsid w:val="004B3397"/>
    <w:rsid w:val="004B3B44"/>
    <w:rsid w:val="004B45C0"/>
    <w:rsid w:val="004B4E8F"/>
    <w:rsid w:val="004B6BFD"/>
    <w:rsid w:val="004B7E2E"/>
    <w:rsid w:val="004C1697"/>
    <w:rsid w:val="004C16F3"/>
    <w:rsid w:val="004C2079"/>
    <w:rsid w:val="004C2BE7"/>
    <w:rsid w:val="004C375C"/>
    <w:rsid w:val="004C3F18"/>
    <w:rsid w:val="004C65C1"/>
    <w:rsid w:val="004D0E92"/>
    <w:rsid w:val="004D198E"/>
    <w:rsid w:val="004D275D"/>
    <w:rsid w:val="004D321A"/>
    <w:rsid w:val="004D5899"/>
    <w:rsid w:val="004D5E04"/>
    <w:rsid w:val="004D730D"/>
    <w:rsid w:val="004D73C4"/>
    <w:rsid w:val="004E2257"/>
    <w:rsid w:val="004E225A"/>
    <w:rsid w:val="004E2944"/>
    <w:rsid w:val="004E339B"/>
    <w:rsid w:val="004E3407"/>
    <w:rsid w:val="004E38FB"/>
    <w:rsid w:val="004E39E2"/>
    <w:rsid w:val="004E5991"/>
    <w:rsid w:val="004E615A"/>
    <w:rsid w:val="004E6AD2"/>
    <w:rsid w:val="004E7A9A"/>
    <w:rsid w:val="004F18EB"/>
    <w:rsid w:val="004F20CA"/>
    <w:rsid w:val="004F342D"/>
    <w:rsid w:val="004F5A21"/>
    <w:rsid w:val="004F62EE"/>
    <w:rsid w:val="004F7087"/>
    <w:rsid w:val="004F756A"/>
    <w:rsid w:val="004F7F48"/>
    <w:rsid w:val="0050079C"/>
    <w:rsid w:val="00502E3D"/>
    <w:rsid w:val="005042AD"/>
    <w:rsid w:val="005045AD"/>
    <w:rsid w:val="00506BE5"/>
    <w:rsid w:val="0051082D"/>
    <w:rsid w:val="00511F92"/>
    <w:rsid w:val="00512347"/>
    <w:rsid w:val="00512B0B"/>
    <w:rsid w:val="00513494"/>
    <w:rsid w:val="0051412A"/>
    <w:rsid w:val="005141CD"/>
    <w:rsid w:val="005149D4"/>
    <w:rsid w:val="00516595"/>
    <w:rsid w:val="00516F7F"/>
    <w:rsid w:val="0051713B"/>
    <w:rsid w:val="00520564"/>
    <w:rsid w:val="00520C3C"/>
    <w:rsid w:val="00522B8D"/>
    <w:rsid w:val="00523F06"/>
    <w:rsid w:val="00524265"/>
    <w:rsid w:val="005256E2"/>
    <w:rsid w:val="00525FB6"/>
    <w:rsid w:val="00527EC9"/>
    <w:rsid w:val="00530FF9"/>
    <w:rsid w:val="00531336"/>
    <w:rsid w:val="005315B3"/>
    <w:rsid w:val="005328EB"/>
    <w:rsid w:val="00533A32"/>
    <w:rsid w:val="0053405F"/>
    <w:rsid w:val="00535BB9"/>
    <w:rsid w:val="005406B9"/>
    <w:rsid w:val="0054083B"/>
    <w:rsid w:val="0054614A"/>
    <w:rsid w:val="0054780C"/>
    <w:rsid w:val="00551324"/>
    <w:rsid w:val="00551C10"/>
    <w:rsid w:val="00551D56"/>
    <w:rsid w:val="00551DC2"/>
    <w:rsid w:val="00554270"/>
    <w:rsid w:val="00556A9F"/>
    <w:rsid w:val="00557967"/>
    <w:rsid w:val="00560CD4"/>
    <w:rsid w:val="005626CB"/>
    <w:rsid w:val="00564627"/>
    <w:rsid w:val="005679FC"/>
    <w:rsid w:val="00570D5A"/>
    <w:rsid w:val="00570EB4"/>
    <w:rsid w:val="00572185"/>
    <w:rsid w:val="00573085"/>
    <w:rsid w:val="00573944"/>
    <w:rsid w:val="00573FA7"/>
    <w:rsid w:val="00575454"/>
    <w:rsid w:val="00577FAE"/>
    <w:rsid w:val="0058067D"/>
    <w:rsid w:val="00581AFF"/>
    <w:rsid w:val="00581C28"/>
    <w:rsid w:val="005835B8"/>
    <w:rsid w:val="005846A1"/>
    <w:rsid w:val="005856B4"/>
    <w:rsid w:val="00585BB2"/>
    <w:rsid w:val="00585EB8"/>
    <w:rsid w:val="0058775E"/>
    <w:rsid w:val="0059031C"/>
    <w:rsid w:val="00592523"/>
    <w:rsid w:val="0059395E"/>
    <w:rsid w:val="00593989"/>
    <w:rsid w:val="00593E27"/>
    <w:rsid w:val="0059467C"/>
    <w:rsid w:val="0059693F"/>
    <w:rsid w:val="005971FC"/>
    <w:rsid w:val="005A0A0A"/>
    <w:rsid w:val="005A2516"/>
    <w:rsid w:val="005A2953"/>
    <w:rsid w:val="005A58BD"/>
    <w:rsid w:val="005A5A51"/>
    <w:rsid w:val="005A6DF3"/>
    <w:rsid w:val="005A72A2"/>
    <w:rsid w:val="005B121F"/>
    <w:rsid w:val="005B1866"/>
    <w:rsid w:val="005B38A7"/>
    <w:rsid w:val="005B538F"/>
    <w:rsid w:val="005B600E"/>
    <w:rsid w:val="005B6F32"/>
    <w:rsid w:val="005C16BC"/>
    <w:rsid w:val="005C1AD2"/>
    <w:rsid w:val="005C1F40"/>
    <w:rsid w:val="005C2A41"/>
    <w:rsid w:val="005C2A86"/>
    <w:rsid w:val="005C3FDF"/>
    <w:rsid w:val="005C5594"/>
    <w:rsid w:val="005C595F"/>
    <w:rsid w:val="005C77C2"/>
    <w:rsid w:val="005D077B"/>
    <w:rsid w:val="005D1475"/>
    <w:rsid w:val="005D27D5"/>
    <w:rsid w:val="005D321F"/>
    <w:rsid w:val="005D48B7"/>
    <w:rsid w:val="005D55C8"/>
    <w:rsid w:val="005D630A"/>
    <w:rsid w:val="005D69EA"/>
    <w:rsid w:val="005D6D34"/>
    <w:rsid w:val="005E0710"/>
    <w:rsid w:val="005E0BAF"/>
    <w:rsid w:val="005E1980"/>
    <w:rsid w:val="005E2059"/>
    <w:rsid w:val="005E2073"/>
    <w:rsid w:val="005E35AB"/>
    <w:rsid w:val="005E3FD3"/>
    <w:rsid w:val="005E4D09"/>
    <w:rsid w:val="005E4E42"/>
    <w:rsid w:val="005E7C22"/>
    <w:rsid w:val="005F1C40"/>
    <w:rsid w:val="005F2E67"/>
    <w:rsid w:val="005F331D"/>
    <w:rsid w:val="005F362F"/>
    <w:rsid w:val="005F5203"/>
    <w:rsid w:val="0060000F"/>
    <w:rsid w:val="006010D5"/>
    <w:rsid w:val="0060119A"/>
    <w:rsid w:val="00603BEB"/>
    <w:rsid w:val="0060549B"/>
    <w:rsid w:val="00606CCC"/>
    <w:rsid w:val="00607DE6"/>
    <w:rsid w:val="00611B04"/>
    <w:rsid w:val="00613E6F"/>
    <w:rsid w:val="00616D37"/>
    <w:rsid w:val="00617883"/>
    <w:rsid w:val="00617D56"/>
    <w:rsid w:val="00617D9D"/>
    <w:rsid w:val="00620C35"/>
    <w:rsid w:val="00620E9A"/>
    <w:rsid w:val="00624B7D"/>
    <w:rsid w:val="00626D44"/>
    <w:rsid w:val="006279B6"/>
    <w:rsid w:val="00627A10"/>
    <w:rsid w:val="006309E2"/>
    <w:rsid w:val="006319D5"/>
    <w:rsid w:val="00631AD9"/>
    <w:rsid w:val="00631FF5"/>
    <w:rsid w:val="0063223D"/>
    <w:rsid w:val="00644206"/>
    <w:rsid w:val="00644935"/>
    <w:rsid w:val="00645516"/>
    <w:rsid w:val="00650219"/>
    <w:rsid w:val="0065103D"/>
    <w:rsid w:val="006518A4"/>
    <w:rsid w:val="00651902"/>
    <w:rsid w:val="00651DB1"/>
    <w:rsid w:val="00654B2C"/>
    <w:rsid w:val="00654F14"/>
    <w:rsid w:val="00656972"/>
    <w:rsid w:val="00656C82"/>
    <w:rsid w:val="0065707E"/>
    <w:rsid w:val="006616D4"/>
    <w:rsid w:val="00663837"/>
    <w:rsid w:val="006639E8"/>
    <w:rsid w:val="00670EE7"/>
    <w:rsid w:val="00671240"/>
    <w:rsid w:val="00674023"/>
    <w:rsid w:val="00675229"/>
    <w:rsid w:val="006774AA"/>
    <w:rsid w:val="00681CC5"/>
    <w:rsid w:val="00681F9D"/>
    <w:rsid w:val="0068207B"/>
    <w:rsid w:val="00682C02"/>
    <w:rsid w:val="00684F9E"/>
    <w:rsid w:val="0068595F"/>
    <w:rsid w:val="00685BA6"/>
    <w:rsid w:val="00685EFA"/>
    <w:rsid w:val="006864BE"/>
    <w:rsid w:val="00686B46"/>
    <w:rsid w:val="00690CA7"/>
    <w:rsid w:val="006919B4"/>
    <w:rsid w:val="00693789"/>
    <w:rsid w:val="00694B36"/>
    <w:rsid w:val="006952FD"/>
    <w:rsid w:val="00696DB3"/>
    <w:rsid w:val="00697B52"/>
    <w:rsid w:val="006A200A"/>
    <w:rsid w:val="006A4BFB"/>
    <w:rsid w:val="006A6DC6"/>
    <w:rsid w:val="006A7CA4"/>
    <w:rsid w:val="006A7FC0"/>
    <w:rsid w:val="006B1D2C"/>
    <w:rsid w:val="006B1F0B"/>
    <w:rsid w:val="006B36C3"/>
    <w:rsid w:val="006B38A4"/>
    <w:rsid w:val="006B6D07"/>
    <w:rsid w:val="006B7832"/>
    <w:rsid w:val="006C0ABD"/>
    <w:rsid w:val="006C12E6"/>
    <w:rsid w:val="006C19CC"/>
    <w:rsid w:val="006C1F4F"/>
    <w:rsid w:val="006C72F9"/>
    <w:rsid w:val="006C75E8"/>
    <w:rsid w:val="006C7E74"/>
    <w:rsid w:val="006D0CCE"/>
    <w:rsid w:val="006D2AE0"/>
    <w:rsid w:val="006D37DF"/>
    <w:rsid w:val="006D4778"/>
    <w:rsid w:val="006D56A3"/>
    <w:rsid w:val="006E0548"/>
    <w:rsid w:val="006E0A5E"/>
    <w:rsid w:val="006E193C"/>
    <w:rsid w:val="006E1FA2"/>
    <w:rsid w:val="006E2150"/>
    <w:rsid w:val="006E21BF"/>
    <w:rsid w:val="006E37AB"/>
    <w:rsid w:val="006E6D71"/>
    <w:rsid w:val="006E6F88"/>
    <w:rsid w:val="006F088C"/>
    <w:rsid w:val="006F08CD"/>
    <w:rsid w:val="006F0B04"/>
    <w:rsid w:val="006F0E6B"/>
    <w:rsid w:val="006F2652"/>
    <w:rsid w:val="006F34C5"/>
    <w:rsid w:val="006F38EB"/>
    <w:rsid w:val="006F3912"/>
    <w:rsid w:val="006F3F9C"/>
    <w:rsid w:val="006F53FD"/>
    <w:rsid w:val="00700217"/>
    <w:rsid w:val="00700F5F"/>
    <w:rsid w:val="00701B88"/>
    <w:rsid w:val="00701FCB"/>
    <w:rsid w:val="00703E33"/>
    <w:rsid w:val="00704645"/>
    <w:rsid w:val="00704AA6"/>
    <w:rsid w:val="007054A6"/>
    <w:rsid w:val="00706607"/>
    <w:rsid w:val="00706CA1"/>
    <w:rsid w:val="00707D23"/>
    <w:rsid w:val="00707E56"/>
    <w:rsid w:val="00711868"/>
    <w:rsid w:val="007144FA"/>
    <w:rsid w:val="00714E73"/>
    <w:rsid w:val="00715377"/>
    <w:rsid w:val="00716877"/>
    <w:rsid w:val="007169B9"/>
    <w:rsid w:val="007170AF"/>
    <w:rsid w:val="00720082"/>
    <w:rsid w:val="00723FB1"/>
    <w:rsid w:val="00723FE0"/>
    <w:rsid w:val="0072427E"/>
    <w:rsid w:val="00725D3B"/>
    <w:rsid w:val="00730B21"/>
    <w:rsid w:val="00731725"/>
    <w:rsid w:val="00731DDA"/>
    <w:rsid w:val="00732501"/>
    <w:rsid w:val="0073287E"/>
    <w:rsid w:val="00734A75"/>
    <w:rsid w:val="00734B59"/>
    <w:rsid w:val="0073523D"/>
    <w:rsid w:val="0073590D"/>
    <w:rsid w:val="00735E35"/>
    <w:rsid w:val="00737393"/>
    <w:rsid w:val="007415DE"/>
    <w:rsid w:val="0074201F"/>
    <w:rsid w:val="007449F6"/>
    <w:rsid w:val="00746BA5"/>
    <w:rsid w:val="00747909"/>
    <w:rsid w:val="00750446"/>
    <w:rsid w:val="00750A9E"/>
    <w:rsid w:val="00750CF5"/>
    <w:rsid w:val="007525B2"/>
    <w:rsid w:val="00753EB8"/>
    <w:rsid w:val="0075666C"/>
    <w:rsid w:val="0075769A"/>
    <w:rsid w:val="007606CF"/>
    <w:rsid w:val="00760F1C"/>
    <w:rsid w:val="00761C5C"/>
    <w:rsid w:val="00762833"/>
    <w:rsid w:val="00763F8B"/>
    <w:rsid w:val="00763FB0"/>
    <w:rsid w:val="0076431A"/>
    <w:rsid w:val="00764CDB"/>
    <w:rsid w:val="007659D5"/>
    <w:rsid w:val="00765BF9"/>
    <w:rsid w:val="0077004C"/>
    <w:rsid w:val="00770121"/>
    <w:rsid w:val="007705C7"/>
    <w:rsid w:val="00772DF0"/>
    <w:rsid w:val="0077415C"/>
    <w:rsid w:val="00774B18"/>
    <w:rsid w:val="00775685"/>
    <w:rsid w:val="0077574F"/>
    <w:rsid w:val="0077684E"/>
    <w:rsid w:val="00777C3A"/>
    <w:rsid w:val="007817E6"/>
    <w:rsid w:val="00781E88"/>
    <w:rsid w:val="00782827"/>
    <w:rsid w:val="00783B95"/>
    <w:rsid w:val="00783F5F"/>
    <w:rsid w:val="007840FE"/>
    <w:rsid w:val="007853A2"/>
    <w:rsid w:val="007856DD"/>
    <w:rsid w:val="00785C94"/>
    <w:rsid w:val="00790685"/>
    <w:rsid w:val="00794093"/>
    <w:rsid w:val="00795F05"/>
    <w:rsid w:val="0079650B"/>
    <w:rsid w:val="007A214A"/>
    <w:rsid w:val="007A229A"/>
    <w:rsid w:val="007A2470"/>
    <w:rsid w:val="007A404A"/>
    <w:rsid w:val="007A4D7D"/>
    <w:rsid w:val="007A4F26"/>
    <w:rsid w:val="007A74DD"/>
    <w:rsid w:val="007B0905"/>
    <w:rsid w:val="007B0AB8"/>
    <w:rsid w:val="007B1BB4"/>
    <w:rsid w:val="007B2758"/>
    <w:rsid w:val="007B2991"/>
    <w:rsid w:val="007B364E"/>
    <w:rsid w:val="007B6AD0"/>
    <w:rsid w:val="007B6E37"/>
    <w:rsid w:val="007B78A0"/>
    <w:rsid w:val="007C0218"/>
    <w:rsid w:val="007C0C88"/>
    <w:rsid w:val="007D1E0C"/>
    <w:rsid w:val="007D2273"/>
    <w:rsid w:val="007D2524"/>
    <w:rsid w:val="007D3F97"/>
    <w:rsid w:val="007D55DE"/>
    <w:rsid w:val="007D692D"/>
    <w:rsid w:val="007D6EA1"/>
    <w:rsid w:val="007D7AEB"/>
    <w:rsid w:val="007E332E"/>
    <w:rsid w:val="007E3BA4"/>
    <w:rsid w:val="007E4CAF"/>
    <w:rsid w:val="007E5C1C"/>
    <w:rsid w:val="007E79DF"/>
    <w:rsid w:val="007E7FE7"/>
    <w:rsid w:val="007F102F"/>
    <w:rsid w:val="007F305F"/>
    <w:rsid w:val="007F7B8C"/>
    <w:rsid w:val="00800FEC"/>
    <w:rsid w:val="0080142D"/>
    <w:rsid w:val="008018A4"/>
    <w:rsid w:val="008037C5"/>
    <w:rsid w:val="00804F8E"/>
    <w:rsid w:val="00805246"/>
    <w:rsid w:val="00807F5F"/>
    <w:rsid w:val="00811D87"/>
    <w:rsid w:val="00811FC3"/>
    <w:rsid w:val="008128EC"/>
    <w:rsid w:val="00813E84"/>
    <w:rsid w:val="00814A8B"/>
    <w:rsid w:val="008220FA"/>
    <w:rsid w:val="008228FC"/>
    <w:rsid w:val="00827C0C"/>
    <w:rsid w:val="00827F38"/>
    <w:rsid w:val="00830616"/>
    <w:rsid w:val="008309BE"/>
    <w:rsid w:val="008336D5"/>
    <w:rsid w:val="00834CC8"/>
    <w:rsid w:val="00835F1A"/>
    <w:rsid w:val="0083651F"/>
    <w:rsid w:val="00836913"/>
    <w:rsid w:val="008370A8"/>
    <w:rsid w:val="008403D6"/>
    <w:rsid w:val="008422DD"/>
    <w:rsid w:val="00842A79"/>
    <w:rsid w:val="00843BFC"/>
    <w:rsid w:val="0084412D"/>
    <w:rsid w:val="00844A44"/>
    <w:rsid w:val="00844E4E"/>
    <w:rsid w:val="00844F3C"/>
    <w:rsid w:val="00845591"/>
    <w:rsid w:val="00847324"/>
    <w:rsid w:val="00847801"/>
    <w:rsid w:val="0084794D"/>
    <w:rsid w:val="00847AD0"/>
    <w:rsid w:val="00850CA1"/>
    <w:rsid w:val="00852B8E"/>
    <w:rsid w:val="008534FD"/>
    <w:rsid w:val="0085648D"/>
    <w:rsid w:val="00856DAE"/>
    <w:rsid w:val="00860716"/>
    <w:rsid w:val="00860B66"/>
    <w:rsid w:val="008615E2"/>
    <w:rsid w:val="00863C6A"/>
    <w:rsid w:val="00863EB2"/>
    <w:rsid w:val="00864DA2"/>
    <w:rsid w:val="00866E84"/>
    <w:rsid w:val="0086726D"/>
    <w:rsid w:val="00867620"/>
    <w:rsid w:val="00870564"/>
    <w:rsid w:val="00870626"/>
    <w:rsid w:val="00870769"/>
    <w:rsid w:val="00870846"/>
    <w:rsid w:val="00870D9E"/>
    <w:rsid w:val="00870F8A"/>
    <w:rsid w:val="0087102A"/>
    <w:rsid w:val="008713B0"/>
    <w:rsid w:val="008713E9"/>
    <w:rsid w:val="00874164"/>
    <w:rsid w:val="00876FA8"/>
    <w:rsid w:val="008775D4"/>
    <w:rsid w:val="00877AB1"/>
    <w:rsid w:val="008811F6"/>
    <w:rsid w:val="00881A47"/>
    <w:rsid w:val="00881D78"/>
    <w:rsid w:val="008820B3"/>
    <w:rsid w:val="008820E5"/>
    <w:rsid w:val="0088395B"/>
    <w:rsid w:val="00884750"/>
    <w:rsid w:val="00884ACC"/>
    <w:rsid w:val="00885F99"/>
    <w:rsid w:val="00886F67"/>
    <w:rsid w:val="00887A55"/>
    <w:rsid w:val="00891991"/>
    <w:rsid w:val="00891CEE"/>
    <w:rsid w:val="0089269E"/>
    <w:rsid w:val="00893F39"/>
    <w:rsid w:val="008943D9"/>
    <w:rsid w:val="008944FD"/>
    <w:rsid w:val="00894F2D"/>
    <w:rsid w:val="0089765F"/>
    <w:rsid w:val="008978A3"/>
    <w:rsid w:val="008A0124"/>
    <w:rsid w:val="008A017B"/>
    <w:rsid w:val="008A16B8"/>
    <w:rsid w:val="008A178F"/>
    <w:rsid w:val="008A2202"/>
    <w:rsid w:val="008A301C"/>
    <w:rsid w:val="008A3A4B"/>
    <w:rsid w:val="008A67FD"/>
    <w:rsid w:val="008A6A94"/>
    <w:rsid w:val="008A7689"/>
    <w:rsid w:val="008B26F5"/>
    <w:rsid w:val="008B4B0B"/>
    <w:rsid w:val="008B5E24"/>
    <w:rsid w:val="008B6D24"/>
    <w:rsid w:val="008B730F"/>
    <w:rsid w:val="008C0D64"/>
    <w:rsid w:val="008C1674"/>
    <w:rsid w:val="008C1ED7"/>
    <w:rsid w:val="008C2E79"/>
    <w:rsid w:val="008C464A"/>
    <w:rsid w:val="008C4C5A"/>
    <w:rsid w:val="008C56FA"/>
    <w:rsid w:val="008C622C"/>
    <w:rsid w:val="008D2032"/>
    <w:rsid w:val="008D216B"/>
    <w:rsid w:val="008D21E9"/>
    <w:rsid w:val="008D242B"/>
    <w:rsid w:val="008D35F1"/>
    <w:rsid w:val="008D3BEA"/>
    <w:rsid w:val="008D78E1"/>
    <w:rsid w:val="008E19DF"/>
    <w:rsid w:val="008E26FC"/>
    <w:rsid w:val="008E4CC5"/>
    <w:rsid w:val="008E5781"/>
    <w:rsid w:val="008E6ECE"/>
    <w:rsid w:val="008F1A2F"/>
    <w:rsid w:val="008F37E4"/>
    <w:rsid w:val="008F3924"/>
    <w:rsid w:val="008F3D90"/>
    <w:rsid w:val="008F5466"/>
    <w:rsid w:val="008F653A"/>
    <w:rsid w:val="008F79DE"/>
    <w:rsid w:val="009006FD"/>
    <w:rsid w:val="0090298C"/>
    <w:rsid w:val="00903F50"/>
    <w:rsid w:val="0090535F"/>
    <w:rsid w:val="00905689"/>
    <w:rsid w:val="00905A5F"/>
    <w:rsid w:val="00906604"/>
    <w:rsid w:val="00906DD4"/>
    <w:rsid w:val="00907B62"/>
    <w:rsid w:val="00910253"/>
    <w:rsid w:val="00910A1A"/>
    <w:rsid w:val="009137DB"/>
    <w:rsid w:val="00913ED4"/>
    <w:rsid w:val="00914539"/>
    <w:rsid w:val="00914DCF"/>
    <w:rsid w:val="009155F5"/>
    <w:rsid w:val="00916828"/>
    <w:rsid w:val="00916837"/>
    <w:rsid w:val="009219B6"/>
    <w:rsid w:val="00922965"/>
    <w:rsid w:val="00922C6E"/>
    <w:rsid w:val="00922DDB"/>
    <w:rsid w:val="009238EC"/>
    <w:rsid w:val="00925521"/>
    <w:rsid w:val="009255A7"/>
    <w:rsid w:val="00925D50"/>
    <w:rsid w:val="009272A4"/>
    <w:rsid w:val="00927C20"/>
    <w:rsid w:val="009320B2"/>
    <w:rsid w:val="0093254D"/>
    <w:rsid w:val="00933A09"/>
    <w:rsid w:val="00934CC6"/>
    <w:rsid w:val="00936303"/>
    <w:rsid w:val="00937134"/>
    <w:rsid w:val="009426EA"/>
    <w:rsid w:val="00942D84"/>
    <w:rsid w:val="00943672"/>
    <w:rsid w:val="00943C31"/>
    <w:rsid w:val="00943CDE"/>
    <w:rsid w:val="009457C6"/>
    <w:rsid w:val="0094792C"/>
    <w:rsid w:val="00951C7A"/>
    <w:rsid w:val="00952033"/>
    <w:rsid w:val="009540AC"/>
    <w:rsid w:val="00956B84"/>
    <w:rsid w:val="00956D58"/>
    <w:rsid w:val="009619C2"/>
    <w:rsid w:val="0096254F"/>
    <w:rsid w:val="00963132"/>
    <w:rsid w:val="00964105"/>
    <w:rsid w:val="0096466A"/>
    <w:rsid w:val="00970172"/>
    <w:rsid w:val="00971265"/>
    <w:rsid w:val="0097147D"/>
    <w:rsid w:val="00972D10"/>
    <w:rsid w:val="00973826"/>
    <w:rsid w:val="00973B7B"/>
    <w:rsid w:val="00974157"/>
    <w:rsid w:val="0097639B"/>
    <w:rsid w:val="0097700A"/>
    <w:rsid w:val="00981717"/>
    <w:rsid w:val="00981E0A"/>
    <w:rsid w:val="00982561"/>
    <w:rsid w:val="009834EB"/>
    <w:rsid w:val="0098357A"/>
    <w:rsid w:val="00983C25"/>
    <w:rsid w:val="009860B1"/>
    <w:rsid w:val="009865FA"/>
    <w:rsid w:val="00987C52"/>
    <w:rsid w:val="0099127D"/>
    <w:rsid w:val="009918F3"/>
    <w:rsid w:val="009925E8"/>
    <w:rsid w:val="00993AC0"/>
    <w:rsid w:val="00993F9D"/>
    <w:rsid w:val="0099466E"/>
    <w:rsid w:val="00994E9E"/>
    <w:rsid w:val="009969A1"/>
    <w:rsid w:val="00996C8C"/>
    <w:rsid w:val="009A3BF3"/>
    <w:rsid w:val="009A3D00"/>
    <w:rsid w:val="009A675F"/>
    <w:rsid w:val="009B17A2"/>
    <w:rsid w:val="009B22CA"/>
    <w:rsid w:val="009B2B56"/>
    <w:rsid w:val="009B3738"/>
    <w:rsid w:val="009B3ABE"/>
    <w:rsid w:val="009B4DEF"/>
    <w:rsid w:val="009B5A2F"/>
    <w:rsid w:val="009B5B25"/>
    <w:rsid w:val="009B5C12"/>
    <w:rsid w:val="009B67C6"/>
    <w:rsid w:val="009B68D1"/>
    <w:rsid w:val="009C625C"/>
    <w:rsid w:val="009C6812"/>
    <w:rsid w:val="009D15D8"/>
    <w:rsid w:val="009D195F"/>
    <w:rsid w:val="009D1C14"/>
    <w:rsid w:val="009D311C"/>
    <w:rsid w:val="009D3BCF"/>
    <w:rsid w:val="009D3C53"/>
    <w:rsid w:val="009E02DB"/>
    <w:rsid w:val="009E1B78"/>
    <w:rsid w:val="009E21B0"/>
    <w:rsid w:val="009E525E"/>
    <w:rsid w:val="009E7D2F"/>
    <w:rsid w:val="009E7F90"/>
    <w:rsid w:val="009F002A"/>
    <w:rsid w:val="009F30DD"/>
    <w:rsid w:val="009F33D9"/>
    <w:rsid w:val="009F36F1"/>
    <w:rsid w:val="009F3D5B"/>
    <w:rsid w:val="009F424B"/>
    <w:rsid w:val="009F451A"/>
    <w:rsid w:val="009F4CC4"/>
    <w:rsid w:val="009F59CB"/>
    <w:rsid w:val="009F5B73"/>
    <w:rsid w:val="009F78C2"/>
    <w:rsid w:val="00A03095"/>
    <w:rsid w:val="00A03DFD"/>
    <w:rsid w:val="00A04C74"/>
    <w:rsid w:val="00A04D75"/>
    <w:rsid w:val="00A05F6F"/>
    <w:rsid w:val="00A07489"/>
    <w:rsid w:val="00A07577"/>
    <w:rsid w:val="00A109E2"/>
    <w:rsid w:val="00A134A1"/>
    <w:rsid w:val="00A1370D"/>
    <w:rsid w:val="00A15CD6"/>
    <w:rsid w:val="00A16FA3"/>
    <w:rsid w:val="00A17351"/>
    <w:rsid w:val="00A20684"/>
    <w:rsid w:val="00A20BA9"/>
    <w:rsid w:val="00A21443"/>
    <w:rsid w:val="00A219F1"/>
    <w:rsid w:val="00A21CBB"/>
    <w:rsid w:val="00A22A21"/>
    <w:rsid w:val="00A23386"/>
    <w:rsid w:val="00A2388E"/>
    <w:rsid w:val="00A24ED4"/>
    <w:rsid w:val="00A2664C"/>
    <w:rsid w:val="00A27DAB"/>
    <w:rsid w:val="00A30744"/>
    <w:rsid w:val="00A30B8D"/>
    <w:rsid w:val="00A30D9F"/>
    <w:rsid w:val="00A32725"/>
    <w:rsid w:val="00A3455B"/>
    <w:rsid w:val="00A409D0"/>
    <w:rsid w:val="00A419E0"/>
    <w:rsid w:val="00A41F80"/>
    <w:rsid w:val="00A44000"/>
    <w:rsid w:val="00A442A0"/>
    <w:rsid w:val="00A45685"/>
    <w:rsid w:val="00A45D6A"/>
    <w:rsid w:val="00A46103"/>
    <w:rsid w:val="00A4779B"/>
    <w:rsid w:val="00A54A26"/>
    <w:rsid w:val="00A55927"/>
    <w:rsid w:val="00A565E5"/>
    <w:rsid w:val="00A5755F"/>
    <w:rsid w:val="00A605C8"/>
    <w:rsid w:val="00A62181"/>
    <w:rsid w:val="00A64426"/>
    <w:rsid w:val="00A64880"/>
    <w:rsid w:val="00A657C3"/>
    <w:rsid w:val="00A65D13"/>
    <w:rsid w:val="00A67FAA"/>
    <w:rsid w:val="00A70A41"/>
    <w:rsid w:val="00A70F2C"/>
    <w:rsid w:val="00A712F1"/>
    <w:rsid w:val="00A719E9"/>
    <w:rsid w:val="00A7204E"/>
    <w:rsid w:val="00A757A7"/>
    <w:rsid w:val="00A75F35"/>
    <w:rsid w:val="00A7732A"/>
    <w:rsid w:val="00A779AB"/>
    <w:rsid w:val="00A80081"/>
    <w:rsid w:val="00A81390"/>
    <w:rsid w:val="00A81DF2"/>
    <w:rsid w:val="00A82DC1"/>
    <w:rsid w:val="00A833F1"/>
    <w:rsid w:val="00A84900"/>
    <w:rsid w:val="00A84E43"/>
    <w:rsid w:val="00A85F20"/>
    <w:rsid w:val="00A91F35"/>
    <w:rsid w:val="00A93B74"/>
    <w:rsid w:val="00A9469C"/>
    <w:rsid w:val="00A9599C"/>
    <w:rsid w:val="00A9731D"/>
    <w:rsid w:val="00A97BF7"/>
    <w:rsid w:val="00AA08AD"/>
    <w:rsid w:val="00AA1F6B"/>
    <w:rsid w:val="00AA3C21"/>
    <w:rsid w:val="00AA6F83"/>
    <w:rsid w:val="00AA7DA8"/>
    <w:rsid w:val="00AB1408"/>
    <w:rsid w:val="00AB2EB9"/>
    <w:rsid w:val="00AB38CC"/>
    <w:rsid w:val="00AB42AB"/>
    <w:rsid w:val="00AB48FC"/>
    <w:rsid w:val="00AB4D2B"/>
    <w:rsid w:val="00AB538F"/>
    <w:rsid w:val="00AB63C8"/>
    <w:rsid w:val="00AB6898"/>
    <w:rsid w:val="00AB7159"/>
    <w:rsid w:val="00AC0268"/>
    <w:rsid w:val="00AC0316"/>
    <w:rsid w:val="00AC0474"/>
    <w:rsid w:val="00AC0654"/>
    <w:rsid w:val="00AC18E3"/>
    <w:rsid w:val="00AC3AA0"/>
    <w:rsid w:val="00AC4106"/>
    <w:rsid w:val="00AC51D8"/>
    <w:rsid w:val="00AC5A07"/>
    <w:rsid w:val="00AC68A4"/>
    <w:rsid w:val="00AC7DC7"/>
    <w:rsid w:val="00AC7F90"/>
    <w:rsid w:val="00AD0543"/>
    <w:rsid w:val="00AD22B2"/>
    <w:rsid w:val="00AD3149"/>
    <w:rsid w:val="00AD3699"/>
    <w:rsid w:val="00AD7E8E"/>
    <w:rsid w:val="00AE1395"/>
    <w:rsid w:val="00AE21E4"/>
    <w:rsid w:val="00AE2772"/>
    <w:rsid w:val="00AE3D27"/>
    <w:rsid w:val="00AE510B"/>
    <w:rsid w:val="00AE6D20"/>
    <w:rsid w:val="00AE7181"/>
    <w:rsid w:val="00AE7404"/>
    <w:rsid w:val="00AF2B70"/>
    <w:rsid w:val="00AF3A2D"/>
    <w:rsid w:val="00AF5284"/>
    <w:rsid w:val="00AF5B80"/>
    <w:rsid w:val="00AF7811"/>
    <w:rsid w:val="00AF7D74"/>
    <w:rsid w:val="00B02703"/>
    <w:rsid w:val="00B02CF3"/>
    <w:rsid w:val="00B03718"/>
    <w:rsid w:val="00B0401B"/>
    <w:rsid w:val="00B05D1C"/>
    <w:rsid w:val="00B06A06"/>
    <w:rsid w:val="00B06CC9"/>
    <w:rsid w:val="00B07021"/>
    <w:rsid w:val="00B135B4"/>
    <w:rsid w:val="00B204BB"/>
    <w:rsid w:val="00B21AE2"/>
    <w:rsid w:val="00B21BB2"/>
    <w:rsid w:val="00B228A9"/>
    <w:rsid w:val="00B22B3A"/>
    <w:rsid w:val="00B22CB6"/>
    <w:rsid w:val="00B2680A"/>
    <w:rsid w:val="00B27206"/>
    <w:rsid w:val="00B329FC"/>
    <w:rsid w:val="00B337E0"/>
    <w:rsid w:val="00B34B8B"/>
    <w:rsid w:val="00B404B1"/>
    <w:rsid w:val="00B41103"/>
    <w:rsid w:val="00B42DA0"/>
    <w:rsid w:val="00B42FE5"/>
    <w:rsid w:val="00B44042"/>
    <w:rsid w:val="00B463DA"/>
    <w:rsid w:val="00B47E93"/>
    <w:rsid w:val="00B50171"/>
    <w:rsid w:val="00B5094F"/>
    <w:rsid w:val="00B5128A"/>
    <w:rsid w:val="00B52467"/>
    <w:rsid w:val="00B54789"/>
    <w:rsid w:val="00B5482B"/>
    <w:rsid w:val="00B57E73"/>
    <w:rsid w:val="00B602F9"/>
    <w:rsid w:val="00B61FDD"/>
    <w:rsid w:val="00B626D0"/>
    <w:rsid w:val="00B64C9E"/>
    <w:rsid w:val="00B6684B"/>
    <w:rsid w:val="00B670CC"/>
    <w:rsid w:val="00B6729A"/>
    <w:rsid w:val="00B7007A"/>
    <w:rsid w:val="00B706E6"/>
    <w:rsid w:val="00B70F51"/>
    <w:rsid w:val="00B810CB"/>
    <w:rsid w:val="00B8151A"/>
    <w:rsid w:val="00B83A62"/>
    <w:rsid w:val="00B84DBF"/>
    <w:rsid w:val="00B8582B"/>
    <w:rsid w:val="00B85BA1"/>
    <w:rsid w:val="00B85C70"/>
    <w:rsid w:val="00B90169"/>
    <w:rsid w:val="00B90FB3"/>
    <w:rsid w:val="00B923B7"/>
    <w:rsid w:val="00B934DD"/>
    <w:rsid w:val="00B94FA8"/>
    <w:rsid w:val="00BA004C"/>
    <w:rsid w:val="00BA21CC"/>
    <w:rsid w:val="00BA28A7"/>
    <w:rsid w:val="00BA387C"/>
    <w:rsid w:val="00BA6A75"/>
    <w:rsid w:val="00BA7157"/>
    <w:rsid w:val="00BB01B7"/>
    <w:rsid w:val="00BB0492"/>
    <w:rsid w:val="00BB1926"/>
    <w:rsid w:val="00BB45AD"/>
    <w:rsid w:val="00BB497D"/>
    <w:rsid w:val="00BB5811"/>
    <w:rsid w:val="00BB62AA"/>
    <w:rsid w:val="00BB7C70"/>
    <w:rsid w:val="00BC084A"/>
    <w:rsid w:val="00BC11F2"/>
    <w:rsid w:val="00BC2027"/>
    <w:rsid w:val="00BC38D2"/>
    <w:rsid w:val="00BC5F48"/>
    <w:rsid w:val="00BC6B54"/>
    <w:rsid w:val="00BC73DF"/>
    <w:rsid w:val="00BC7E68"/>
    <w:rsid w:val="00BC7F0B"/>
    <w:rsid w:val="00BE142B"/>
    <w:rsid w:val="00BE3600"/>
    <w:rsid w:val="00BE79E8"/>
    <w:rsid w:val="00BF0ECD"/>
    <w:rsid w:val="00BF1A8E"/>
    <w:rsid w:val="00BF1ED1"/>
    <w:rsid w:val="00BF2ADA"/>
    <w:rsid w:val="00BF34E2"/>
    <w:rsid w:val="00BF39DF"/>
    <w:rsid w:val="00BF4632"/>
    <w:rsid w:val="00BF4D4B"/>
    <w:rsid w:val="00BF639E"/>
    <w:rsid w:val="00BF724D"/>
    <w:rsid w:val="00BF75CA"/>
    <w:rsid w:val="00C00810"/>
    <w:rsid w:val="00C00BBE"/>
    <w:rsid w:val="00C01123"/>
    <w:rsid w:val="00C01E5D"/>
    <w:rsid w:val="00C02F7C"/>
    <w:rsid w:val="00C04A8C"/>
    <w:rsid w:val="00C04DCF"/>
    <w:rsid w:val="00C050E2"/>
    <w:rsid w:val="00C06359"/>
    <w:rsid w:val="00C06F9F"/>
    <w:rsid w:val="00C11097"/>
    <w:rsid w:val="00C11396"/>
    <w:rsid w:val="00C13744"/>
    <w:rsid w:val="00C16CFE"/>
    <w:rsid w:val="00C16E95"/>
    <w:rsid w:val="00C17333"/>
    <w:rsid w:val="00C215DB"/>
    <w:rsid w:val="00C21AA2"/>
    <w:rsid w:val="00C2482B"/>
    <w:rsid w:val="00C26918"/>
    <w:rsid w:val="00C26DE8"/>
    <w:rsid w:val="00C27DDB"/>
    <w:rsid w:val="00C32355"/>
    <w:rsid w:val="00C40C4E"/>
    <w:rsid w:val="00C44ED5"/>
    <w:rsid w:val="00C456A9"/>
    <w:rsid w:val="00C45BBA"/>
    <w:rsid w:val="00C47907"/>
    <w:rsid w:val="00C508D3"/>
    <w:rsid w:val="00C50C66"/>
    <w:rsid w:val="00C52E55"/>
    <w:rsid w:val="00C52F4B"/>
    <w:rsid w:val="00C53C65"/>
    <w:rsid w:val="00C54352"/>
    <w:rsid w:val="00C55491"/>
    <w:rsid w:val="00C57AEB"/>
    <w:rsid w:val="00C620E6"/>
    <w:rsid w:val="00C62882"/>
    <w:rsid w:val="00C63DBF"/>
    <w:rsid w:val="00C6407C"/>
    <w:rsid w:val="00C64E73"/>
    <w:rsid w:val="00C73B8F"/>
    <w:rsid w:val="00C751AC"/>
    <w:rsid w:val="00C812E4"/>
    <w:rsid w:val="00C82CCA"/>
    <w:rsid w:val="00C83046"/>
    <w:rsid w:val="00C83152"/>
    <w:rsid w:val="00C866B4"/>
    <w:rsid w:val="00C87A8B"/>
    <w:rsid w:val="00C902B3"/>
    <w:rsid w:val="00C918CE"/>
    <w:rsid w:val="00C93459"/>
    <w:rsid w:val="00C93468"/>
    <w:rsid w:val="00C93799"/>
    <w:rsid w:val="00C95833"/>
    <w:rsid w:val="00C96D28"/>
    <w:rsid w:val="00C97017"/>
    <w:rsid w:val="00C97991"/>
    <w:rsid w:val="00CA12DD"/>
    <w:rsid w:val="00CA142A"/>
    <w:rsid w:val="00CA3AC1"/>
    <w:rsid w:val="00CA45A0"/>
    <w:rsid w:val="00CA52A1"/>
    <w:rsid w:val="00CB0132"/>
    <w:rsid w:val="00CB17BD"/>
    <w:rsid w:val="00CB184B"/>
    <w:rsid w:val="00CB1FDB"/>
    <w:rsid w:val="00CB36C4"/>
    <w:rsid w:val="00CB5BE0"/>
    <w:rsid w:val="00CB6C2E"/>
    <w:rsid w:val="00CB6EF4"/>
    <w:rsid w:val="00CC0FED"/>
    <w:rsid w:val="00CC220F"/>
    <w:rsid w:val="00CC37E0"/>
    <w:rsid w:val="00CC3EAD"/>
    <w:rsid w:val="00CC6835"/>
    <w:rsid w:val="00CC71BD"/>
    <w:rsid w:val="00CC7240"/>
    <w:rsid w:val="00CD05E8"/>
    <w:rsid w:val="00CD5245"/>
    <w:rsid w:val="00CD6832"/>
    <w:rsid w:val="00CD7F7B"/>
    <w:rsid w:val="00CE038B"/>
    <w:rsid w:val="00CE1D58"/>
    <w:rsid w:val="00CE4369"/>
    <w:rsid w:val="00CE5638"/>
    <w:rsid w:val="00CE72C5"/>
    <w:rsid w:val="00CF3DC8"/>
    <w:rsid w:val="00CF4ED1"/>
    <w:rsid w:val="00CF54C2"/>
    <w:rsid w:val="00CF5FB9"/>
    <w:rsid w:val="00CF7C41"/>
    <w:rsid w:val="00D0030F"/>
    <w:rsid w:val="00D036E3"/>
    <w:rsid w:val="00D05117"/>
    <w:rsid w:val="00D05147"/>
    <w:rsid w:val="00D05D88"/>
    <w:rsid w:val="00D06241"/>
    <w:rsid w:val="00D06243"/>
    <w:rsid w:val="00D066DC"/>
    <w:rsid w:val="00D069D1"/>
    <w:rsid w:val="00D10426"/>
    <w:rsid w:val="00D118EC"/>
    <w:rsid w:val="00D12B68"/>
    <w:rsid w:val="00D13456"/>
    <w:rsid w:val="00D148C7"/>
    <w:rsid w:val="00D228C8"/>
    <w:rsid w:val="00D2371B"/>
    <w:rsid w:val="00D248D6"/>
    <w:rsid w:val="00D27D69"/>
    <w:rsid w:val="00D310BA"/>
    <w:rsid w:val="00D3188B"/>
    <w:rsid w:val="00D33ADE"/>
    <w:rsid w:val="00D35037"/>
    <w:rsid w:val="00D35A06"/>
    <w:rsid w:val="00D35E11"/>
    <w:rsid w:val="00D36595"/>
    <w:rsid w:val="00D37C73"/>
    <w:rsid w:val="00D406D6"/>
    <w:rsid w:val="00D40C38"/>
    <w:rsid w:val="00D41069"/>
    <w:rsid w:val="00D42024"/>
    <w:rsid w:val="00D431D0"/>
    <w:rsid w:val="00D446CB"/>
    <w:rsid w:val="00D476DD"/>
    <w:rsid w:val="00D47B9A"/>
    <w:rsid w:val="00D507BE"/>
    <w:rsid w:val="00D5101A"/>
    <w:rsid w:val="00D5266C"/>
    <w:rsid w:val="00D578CC"/>
    <w:rsid w:val="00D57AE2"/>
    <w:rsid w:val="00D57B6B"/>
    <w:rsid w:val="00D60791"/>
    <w:rsid w:val="00D62BA4"/>
    <w:rsid w:val="00D63E45"/>
    <w:rsid w:val="00D706AB"/>
    <w:rsid w:val="00D7407A"/>
    <w:rsid w:val="00D85306"/>
    <w:rsid w:val="00D86A00"/>
    <w:rsid w:val="00D8718A"/>
    <w:rsid w:val="00D878DB"/>
    <w:rsid w:val="00D87F7E"/>
    <w:rsid w:val="00D90ACC"/>
    <w:rsid w:val="00D939F2"/>
    <w:rsid w:val="00D941E8"/>
    <w:rsid w:val="00D9459B"/>
    <w:rsid w:val="00D962CB"/>
    <w:rsid w:val="00D96583"/>
    <w:rsid w:val="00DA0C60"/>
    <w:rsid w:val="00DA227E"/>
    <w:rsid w:val="00DA3178"/>
    <w:rsid w:val="00DA789B"/>
    <w:rsid w:val="00DB331F"/>
    <w:rsid w:val="00DB38CD"/>
    <w:rsid w:val="00DB4C9A"/>
    <w:rsid w:val="00DB624C"/>
    <w:rsid w:val="00DC1FDE"/>
    <w:rsid w:val="00DC5C3D"/>
    <w:rsid w:val="00DC74F8"/>
    <w:rsid w:val="00DC7698"/>
    <w:rsid w:val="00DC7744"/>
    <w:rsid w:val="00DD0C01"/>
    <w:rsid w:val="00DD29DC"/>
    <w:rsid w:val="00DD546D"/>
    <w:rsid w:val="00DD6097"/>
    <w:rsid w:val="00DD7FCE"/>
    <w:rsid w:val="00DE2CE7"/>
    <w:rsid w:val="00DE360C"/>
    <w:rsid w:val="00DE3F9F"/>
    <w:rsid w:val="00DE3FA0"/>
    <w:rsid w:val="00DE4114"/>
    <w:rsid w:val="00DE4346"/>
    <w:rsid w:val="00DE43FD"/>
    <w:rsid w:val="00DE4439"/>
    <w:rsid w:val="00DE4D00"/>
    <w:rsid w:val="00DE5664"/>
    <w:rsid w:val="00DE57BD"/>
    <w:rsid w:val="00DE610D"/>
    <w:rsid w:val="00DE6611"/>
    <w:rsid w:val="00DE6C3F"/>
    <w:rsid w:val="00DF0195"/>
    <w:rsid w:val="00DF08BD"/>
    <w:rsid w:val="00DF1D79"/>
    <w:rsid w:val="00DF2E75"/>
    <w:rsid w:val="00DF3346"/>
    <w:rsid w:val="00DF4130"/>
    <w:rsid w:val="00DF5564"/>
    <w:rsid w:val="00DF72F9"/>
    <w:rsid w:val="00E000AF"/>
    <w:rsid w:val="00E004F1"/>
    <w:rsid w:val="00E01D4A"/>
    <w:rsid w:val="00E02B21"/>
    <w:rsid w:val="00E02C56"/>
    <w:rsid w:val="00E031DF"/>
    <w:rsid w:val="00E033EC"/>
    <w:rsid w:val="00E034CB"/>
    <w:rsid w:val="00E03E0B"/>
    <w:rsid w:val="00E05919"/>
    <w:rsid w:val="00E06DC5"/>
    <w:rsid w:val="00E0739F"/>
    <w:rsid w:val="00E111BD"/>
    <w:rsid w:val="00E11886"/>
    <w:rsid w:val="00E15052"/>
    <w:rsid w:val="00E16AC0"/>
    <w:rsid w:val="00E16FAC"/>
    <w:rsid w:val="00E17EDA"/>
    <w:rsid w:val="00E21715"/>
    <w:rsid w:val="00E21A10"/>
    <w:rsid w:val="00E232BF"/>
    <w:rsid w:val="00E24896"/>
    <w:rsid w:val="00E26C28"/>
    <w:rsid w:val="00E27018"/>
    <w:rsid w:val="00E30781"/>
    <w:rsid w:val="00E31F37"/>
    <w:rsid w:val="00E32177"/>
    <w:rsid w:val="00E321E5"/>
    <w:rsid w:val="00E32C63"/>
    <w:rsid w:val="00E32ECF"/>
    <w:rsid w:val="00E34E37"/>
    <w:rsid w:val="00E35BE2"/>
    <w:rsid w:val="00E372B3"/>
    <w:rsid w:val="00E37F07"/>
    <w:rsid w:val="00E40788"/>
    <w:rsid w:val="00E4162A"/>
    <w:rsid w:val="00E43160"/>
    <w:rsid w:val="00E43D9B"/>
    <w:rsid w:val="00E4438A"/>
    <w:rsid w:val="00E5139C"/>
    <w:rsid w:val="00E516B7"/>
    <w:rsid w:val="00E52F54"/>
    <w:rsid w:val="00E54DDC"/>
    <w:rsid w:val="00E5518B"/>
    <w:rsid w:val="00E56C85"/>
    <w:rsid w:val="00E56DEE"/>
    <w:rsid w:val="00E57641"/>
    <w:rsid w:val="00E626EA"/>
    <w:rsid w:val="00E6425A"/>
    <w:rsid w:val="00E65BF1"/>
    <w:rsid w:val="00E66CF0"/>
    <w:rsid w:val="00E66DBE"/>
    <w:rsid w:val="00E6721D"/>
    <w:rsid w:val="00E673D1"/>
    <w:rsid w:val="00E70AA6"/>
    <w:rsid w:val="00E75949"/>
    <w:rsid w:val="00E76837"/>
    <w:rsid w:val="00E76D1C"/>
    <w:rsid w:val="00E81DBE"/>
    <w:rsid w:val="00E839F5"/>
    <w:rsid w:val="00E84D7A"/>
    <w:rsid w:val="00E85858"/>
    <w:rsid w:val="00E91284"/>
    <w:rsid w:val="00E912C8"/>
    <w:rsid w:val="00E91AC2"/>
    <w:rsid w:val="00E947A9"/>
    <w:rsid w:val="00E95865"/>
    <w:rsid w:val="00E966BC"/>
    <w:rsid w:val="00E97E5D"/>
    <w:rsid w:val="00EA146A"/>
    <w:rsid w:val="00EA18C5"/>
    <w:rsid w:val="00EA22B0"/>
    <w:rsid w:val="00EA2CD1"/>
    <w:rsid w:val="00EA3165"/>
    <w:rsid w:val="00EA3424"/>
    <w:rsid w:val="00EA4E72"/>
    <w:rsid w:val="00EA5004"/>
    <w:rsid w:val="00EA7DC5"/>
    <w:rsid w:val="00EB012C"/>
    <w:rsid w:val="00EB01DF"/>
    <w:rsid w:val="00EB02D2"/>
    <w:rsid w:val="00EB15C9"/>
    <w:rsid w:val="00EB1774"/>
    <w:rsid w:val="00EB2245"/>
    <w:rsid w:val="00EB2D2E"/>
    <w:rsid w:val="00EB4608"/>
    <w:rsid w:val="00EB51A4"/>
    <w:rsid w:val="00EB637D"/>
    <w:rsid w:val="00EC0459"/>
    <w:rsid w:val="00EC22ED"/>
    <w:rsid w:val="00EC2361"/>
    <w:rsid w:val="00EC2B83"/>
    <w:rsid w:val="00EC307C"/>
    <w:rsid w:val="00EC358E"/>
    <w:rsid w:val="00EC4061"/>
    <w:rsid w:val="00EC43F1"/>
    <w:rsid w:val="00ED276B"/>
    <w:rsid w:val="00ED2E9B"/>
    <w:rsid w:val="00EE096C"/>
    <w:rsid w:val="00EE1A9D"/>
    <w:rsid w:val="00EE36AC"/>
    <w:rsid w:val="00EE5A99"/>
    <w:rsid w:val="00EE62E5"/>
    <w:rsid w:val="00EE75DE"/>
    <w:rsid w:val="00EE7EA4"/>
    <w:rsid w:val="00EF0516"/>
    <w:rsid w:val="00EF09BA"/>
    <w:rsid w:val="00EF1070"/>
    <w:rsid w:val="00EF4965"/>
    <w:rsid w:val="00EF51C3"/>
    <w:rsid w:val="00EF5319"/>
    <w:rsid w:val="00EF562A"/>
    <w:rsid w:val="00EF57FC"/>
    <w:rsid w:val="00EF5FAA"/>
    <w:rsid w:val="00F0058D"/>
    <w:rsid w:val="00F01922"/>
    <w:rsid w:val="00F02EB0"/>
    <w:rsid w:val="00F050A4"/>
    <w:rsid w:val="00F11280"/>
    <w:rsid w:val="00F11550"/>
    <w:rsid w:val="00F12070"/>
    <w:rsid w:val="00F12780"/>
    <w:rsid w:val="00F132E0"/>
    <w:rsid w:val="00F15377"/>
    <w:rsid w:val="00F16587"/>
    <w:rsid w:val="00F17E6C"/>
    <w:rsid w:val="00F204D9"/>
    <w:rsid w:val="00F205F4"/>
    <w:rsid w:val="00F218DE"/>
    <w:rsid w:val="00F225C6"/>
    <w:rsid w:val="00F2705A"/>
    <w:rsid w:val="00F27669"/>
    <w:rsid w:val="00F31B6A"/>
    <w:rsid w:val="00F32B11"/>
    <w:rsid w:val="00F32B41"/>
    <w:rsid w:val="00F33E1A"/>
    <w:rsid w:val="00F35B8A"/>
    <w:rsid w:val="00F37059"/>
    <w:rsid w:val="00F40DD1"/>
    <w:rsid w:val="00F41351"/>
    <w:rsid w:val="00F43E5F"/>
    <w:rsid w:val="00F4405B"/>
    <w:rsid w:val="00F4411D"/>
    <w:rsid w:val="00F47177"/>
    <w:rsid w:val="00F5184A"/>
    <w:rsid w:val="00F546CB"/>
    <w:rsid w:val="00F5489A"/>
    <w:rsid w:val="00F55909"/>
    <w:rsid w:val="00F56ED4"/>
    <w:rsid w:val="00F60121"/>
    <w:rsid w:val="00F6069E"/>
    <w:rsid w:val="00F60D3C"/>
    <w:rsid w:val="00F60E01"/>
    <w:rsid w:val="00F61DFB"/>
    <w:rsid w:val="00F63C01"/>
    <w:rsid w:val="00F63D86"/>
    <w:rsid w:val="00F63E32"/>
    <w:rsid w:val="00F64A06"/>
    <w:rsid w:val="00F66898"/>
    <w:rsid w:val="00F70DF4"/>
    <w:rsid w:val="00F711A4"/>
    <w:rsid w:val="00F71724"/>
    <w:rsid w:val="00F71E14"/>
    <w:rsid w:val="00F72096"/>
    <w:rsid w:val="00F746CB"/>
    <w:rsid w:val="00F77B59"/>
    <w:rsid w:val="00F8328E"/>
    <w:rsid w:val="00F86E7D"/>
    <w:rsid w:val="00F8739D"/>
    <w:rsid w:val="00F87C26"/>
    <w:rsid w:val="00F918F1"/>
    <w:rsid w:val="00F91A56"/>
    <w:rsid w:val="00F91D1B"/>
    <w:rsid w:val="00F92CE7"/>
    <w:rsid w:val="00F940E0"/>
    <w:rsid w:val="00F9411F"/>
    <w:rsid w:val="00FA1B16"/>
    <w:rsid w:val="00FA4466"/>
    <w:rsid w:val="00FA6042"/>
    <w:rsid w:val="00FA6CDB"/>
    <w:rsid w:val="00FA76CF"/>
    <w:rsid w:val="00FB1616"/>
    <w:rsid w:val="00FB4392"/>
    <w:rsid w:val="00FB48E4"/>
    <w:rsid w:val="00FB57FE"/>
    <w:rsid w:val="00FB5C2F"/>
    <w:rsid w:val="00FB65E4"/>
    <w:rsid w:val="00FB77C1"/>
    <w:rsid w:val="00FC0FD9"/>
    <w:rsid w:val="00FC231A"/>
    <w:rsid w:val="00FC60F8"/>
    <w:rsid w:val="00FC688F"/>
    <w:rsid w:val="00FC6EC8"/>
    <w:rsid w:val="00FC7714"/>
    <w:rsid w:val="00FD1D56"/>
    <w:rsid w:val="00FD223C"/>
    <w:rsid w:val="00FD2473"/>
    <w:rsid w:val="00FD4777"/>
    <w:rsid w:val="00FD5415"/>
    <w:rsid w:val="00FD6BDD"/>
    <w:rsid w:val="00FE09F9"/>
    <w:rsid w:val="00FE0E66"/>
    <w:rsid w:val="00FE2572"/>
    <w:rsid w:val="00FE2DE3"/>
    <w:rsid w:val="00FE3191"/>
    <w:rsid w:val="00FE3E81"/>
    <w:rsid w:val="00FE4B90"/>
    <w:rsid w:val="00FE691E"/>
    <w:rsid w:val="00FF1B21"/>
    <w:rsid w:val="00FF30D0"/>
    <w:rsid w:val="00FF3EE5"/>
    <w:rsid w:val="00FF44E8"/>
    <w:rsid w:val="00FF522A"/>
    <w:rsid w:val="00FF69D2"/>
    <w:rsid w:val="00FF6CEF"/>
    <w:rsid w:val="11AE4F54"/>
    <w:rsid w:val="11EBE9EE"/>
    <w:rsid w:val="17EC7A7B"/>
    <w:rsid w:val="1922753E"/>
    <w:rsid w:val="1A4E6CE9"/>
    <w:rsid w:val="1C0AEF07"/>
    <w:rsid w:val="229DDE45"/>
    <w:rsid w:val="23F388C7"/>
    <w:rsid w:val="2405ECC6"/>
    <w:rsid w:val="2AD77B7B"/>
    <w:rsid w:val="2D66CB9B"/>
    <w:rsid w:val="320BF4A1"/>
    <w:rsid w:val="322C0EE6"/>
    <w:rsid w:val="338567D8"/>
    <w:rsid w:val="3D18062A"/>
    <w:rsid w:val="42B07908"/>
    <w:rsid w:val="49A1A501"/>
    <w:rsid w:val="50AC6D72"/>
    <w:rsid w:val="5DF6ADCF"/>
    <w:rsid w:val="6C283590"/>
    <w:rsid w:val="70C062B7"/>
    <w:rsid w:val="775535F9"/>
    <w:rsid w:val="7D58F2B1"/>
    <w:rsid w:val="7F987C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D04A8"/>
  <w15:chartTrackingRefBased/>
  <w15:docId w15:val="{3E33EAC4-DA08-461C-A01E-A4DD0A52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link w:val="Ttulo2Car"/>
    <w:qFormat/>
    <w:pPr>
      <w:keepNext/>
      <w:spacing w:line="360" w:lineRule="auto"/>
      <w:jc w:val="both"/>
      <w:outlineLvl w:val="1"/>
    </w:pPr>
    <w:rPr>
      <w:rFonts w:ascii="Arial Narrow" w:hAnsi="Arial Narrow"/>
      <w:b/>
      <w:sz w:val="24"/>
    </w:rPr>
  </w:style>
  <w:style w:type="paragraph" w:styleId="Ttulo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link w:val="Ttulo5Car"/>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link w:val="Ttulo6Car"/>
    <w:qFormat/>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locked/>
    <w:rsid w:val="00AC0268"/>
    <w:rPr>
      <w:rFonts w:ascii="Arial Narrow" w:hAnsi="Arial Narrow"/>
      <w:b/>
      <w:sz w:val="24"/>
      <w:lang w:val="es-ES" w:eastAsia="es-ES" w:bidi="ar-SA"/>
    </w:rPr>
  </w:style>
  <w:style w:type="character" w:customStyle="1" w:styleId="Ttulo5Car">
    <w:name w:val="Título 5 Car"/>
    <w:link w:val="Ttulo5"/>
    <w:locked/>
    <w:rsid w:val="00AC0268"/>
    <w:rPr>
      <w:rFonts w:ascii="Perpetua" w:hAnsi="Perpetua"/>
      <w:b/>
      <w:sz w:val="26"/>
      <w:lang w:val="es-MX" w:eastAsia="es-ES" w:bidi="ar-SA"/>
    </w:rPr>
  </w:style>
  <w:style w:type="character" w:customStyle="1" w:styleId="Ttulo6Car">
    <w:name w:val="Título 6 Car"/>
    <w:link w:val="Ttulo6"/>
    <w:locked/>
    <w:rsid w:val="00AC0268"/>
    <w:rPr>
      <w:b/>
      <w:bCs/>
      <w:sz w:val="22"/>
      <w:szCs w:val="22"/>
      <w:lang w:val="es-ES" w:eastAsia="es-ES" w:bidi="ar-SA"/>
    </w:rPr>
  </w:style>
  <w:style w:type="paragraph" w:customStyle="1" w:styleId="Car">
    <w:name w:val="Car"/>
    <w:basedOn w:val="Normal"/>
    <w:rsid w:val="00E05919"/>
    <w:pPr>
      <w:overflowPunct/>
      <w:autoSpaceDE/>
      <w:autoSpaceDN/>
      <w:adjustRightInd/>
      <w:spacing w:after="160" w:line="240" w:lineRule="exact"/>
      <w:textAlignment w:val="auto"/>
    </w:pPr>
    <w:rPr>
      <w:noProof/>
      <w:color w:val="000000"/>
    </w:rPr>
  </w:style>
  <w:style w:type="paragraph" w:customStyle="1" w:styleId="Textoindependiente21">
    <w:name w:val="Texto independiente 21"/>
    <w:basedOn w:val="Normal"/>
    <w:pPr>
      <w:spacing w:line="360" w:lineRule="auto"/>
      <w:ind w:firstLine="2835"/>
      <w:jc w:val="both"/>
    </w:pPr>
    <w:rPr>
      <w:rFonts w:ascii="Verdana" w:hAnsi="Verdana"/>
      <w:sz w:val="24"/>
    </w:rPr>
  </w:style>
  <w:style w:type="paragraph" w:styleId="Textoindependiente">
    <w:name w:val="Body Text"/>
    <w:basedOn w:val="Normal"/>
    <w:link w:val="TextoindependienteCar1"/>
    <w:pPr>
      <w:spacing w:line="360" w:lineRule="auto"/>
      <w:jc w:val="both"/>
    </w:pPr>
    <w:rPr>
      <w:rFonts w:ascii="Courier New" w:hAnsi="Courier New"/>
      <w:sz w:val="24"/>
      <w:lang w:val="es-MX"/>
    </w:rPr>
  </w:style>
  <w:style w:type="character" w:customStyle="1" w:styleId="TextoindependienteCar1">
    <w:name w:val="Texto independiente Car1"/>
    <w:link w:val="Textoindependiente"/>
    <w:locked/>
    <w:rsid w:val="00AC0268"/>
    <w:rPr>
      <w:rFonts w:ascii="Courier New" w:hAnsi="Courier New"/>
      <w:sz w:val="24"/>
      <w:lang w:val="es-MX" w:eastAsia="es-ES" w:bidi="ar-SA"/>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locked/>
    <w:rsid w:val="00AC0268"/>
    <w:rPr>
      <w:lang w:val="es-ES" w:eastAsia="es-ES" w:bidi="ar-SA"/>
    </w:rPr>
  </w:style>
  <w:style w:type="paragraph" w:styleId="Piedepgina">
    <w:name w:val="footer"/>
    <w:basedOn w:val="Normal"/>
    <w:link w:val="PiedepginaCar1"/>
    <w:uiPriority w:val="99"/>
    <w:pPr>
      <w:tabs>
        <w:tab w:val="center" w:pos="4419"/>
        <w:tab w:val="right" w:pos="8838"/>
      </w:tabs>
    </w:pPr>
  </w:style>
  <w:style w:type="character" w:customStyle="1" w:styleId="PiedepginaCar1">
    <w:name w:val="Pie de página Car1"/>
    <w:link w:val="Piedepgina"/>
    <w:locked/>
    <w:rsid w:val="00AC0268"/>
    <w:rPr>
      <w:lang w:val="es-ES" w:eastAsia="es-ES" w:bidi="ar-SA"/>
    </w:rPr>
  </w:style>
  <w:style w:type="character" w:styleId="Nmerodepgina">
    <w:name w:val="page number"/>
    <w:basedOn w:val="Fuentedeprrafopredeter"/>
  </w:style>
  <w:style w:type="paragraph" w:customStyle="1" w:styleId="Textodebloque1">
    <w:name w:val="Texto de bloque1"/>
    <w:basedOn w:val="Normal"/>
    <w:pPr>
      <w:ind w:left="1134" w:right="1418" w:firstLine="1701"/>
      <w:jc w:val="both"/>
    </w:pPr>
    <w:rPr>
      <w:rFonts w:ascii="Arial" w:hAnsi="Arial"/>
      <w:i/>
    </w:rPr>
  </w:style>
  <w:style w:type="paragraph" w:styleId="Textonotapie">
    <w:name w:val="footnote text"/>
    <w:aliases w:val="Texto nota pie Car,Footnote Text Char,Footnote Text Char Char Char Char,Footnote Text Char Char Char Char Char Char Char Char,Footnote Text Char Char Char Char Char Char1,Footnote Text Char Char Char Char Char Char Char1,Footnote referenc"/>
    <w:basedOn w:val="Normal"/>
    <w:link w:val="TextonotapieCar1"/>
    <w:uiPriority w:val="99"/>
    <w:qFormat/>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
    <w:link w:val="Textonotapie"/>
    <w:uiPriority w:val="99"/>
    <w:qFormat/>
    <w:locked/>
    <w:rsid w:val="004B6BFD"/>
    <w:rPr>
      <w:lang w:val="es-ES" w:eastAsia="es-ES" w:bidi="ar-SA"/>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Footnote,Nota de pie"/>
    <w:link w:val="4GChar"/>
    <w:uiPriority w:val="99"/>
    <w:qFormat/>
    <w:rPr>
      <w:vertAlign w:val="superscript"/>
    </w:rPr>
  </w:style>
  <w:style w:type="paragraph" w:styleId="Sangradetextonormal">
    <w:name w:val="Body Text Indent"/>
    <w:basedOn w:val="Normal"/>
    <w:link w:val="SangradetextonormalCar"/>
    <w:pPr>
      <w:spacing w:after="120"/>
      <w:ind w:left="283"/>
    </w:pPr>
  </w:style>
  <w:style w:type="character" w:customStyle="1" w:styleId="SangradetextonormalCar">
    <w:name w:val="Sangría de texto normal Car"/>
    <w:link w:val="Sangradetextonormal"/>
    <w:locked/>
    <w:rsid w:val="00AC0268"/>
    <w:rPr>
      <w:lang w:val="es-ES" w:eastAsia="es-ES" w:bidi="ar-SA"/>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Sangra2detindependiente">
    <w:name w:val="Body Text Indent 2"/>
    <w:basedOn w:val="Normal"/>
    <w:link w:val="Sangra2detindependienteCar"/>
    <w:pPr>
      <w:spacing w:after="120" w:line="480" w:lineRule="auto"/>
      <w:ind w:left="283"/>
    </w:pPr>
  </w:style>
  <w:style w:type="character" w:customStyle="1" w:styleId="Sangra2detindependienteCar">
    <w:name w:val="Sangría 2 de t. independiente Car"/>
    <w:link w:val="Sangra2detindependiente"/>
    <w:locked/>
    <w:rsid w:val="00AC0268"/>
    <w:rPr>
      <w:lang w:val="es-ES" w:eastAsia="es-ES" w:bidi="ar-SA"/>
    </w:rPr>
  </w:style>
  <w:style w:type="paragraph" w:styleId="Textoindependiente2">
    <w:name w:val="Body Text 2"/>
    <w:basedOn w:val="Normal"/>
    <w:link w:val="Textoindependiente2Car"/>
    <w:pPr>
      <w:spacing w:after="120" w:line="480" w:lineRule="auto"/>
    </w:pPr>
  </w:style>
  <w:style w:type="character" w:customStyle="1" w:styleId="Textoindependiente2Car">
    <w:name w:val="Texto independiente 2 Car"/>
    <w:link w:val="Textoindependiente2"/>
    <w:locked/>
    <w:rsid w:val="00AC0268"/>
    <w:rPr>
      <w:lang w:val="es-ES" w:eastAsia="es-ES" w:bidi="ar-SA"/>
    </w:rPr>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locked/>
    <w:rsid w:val="00AC0268"/>
    <w:rPr>
      <w:sz w:val="16"/>
      <w:szCs w:val="16"/>
      <w:lang w:val="es-ES" w:eastAsia="es-ES" w:bidi="ar-SA"/>
    </w:rPr>
  </w:style>
  <w:style w:type="paragraph" w:customStyle="1" w:styleId="Textoindependiente31">
    <w:name w:val="Texto independiente 31"/>
    <w:basedOn w:val="Normal"/>
    <w:pPr>
      <w:spacing w:line="360" w:lineRule="auto"/>
      <w:jc w:val="both"/>
    </w:pPr>
    <w:rPr>
      <w:sz w:val="28"/>
    </w:rPr>
  </w:style>
  <w:style w:type="paragraph" w:styleId="Sangra3detindependiente">
    <w:name w:val="Body Text Indent 3"/>
    <w:basedOn w:val="Normal"/>
    <w:link w:val="Sangra3detindependienteCar"/>
    <w:pPr>
      <w:spacing w:after="120"/>
      <w:ind w:left="283"/>
    </w:pPr>
    <w:rPr>
      <w:sz w:val="16"/>
      <w:szCs w:val="16"/>
    </w:rPr>
  </w:style>
  <w:style w:type="character" w:customStyle="1" w:styleId="Sangra3detindependienteCar">
    <w:name w:val="Sangría 3 de t. independiente Car"/>
    <w:link w:val="Sangra3detindependiente"/>
    <w:locked/>
    <w:rsid w:val="00AC0268"/>
    <w:rPr>
      <w:sz w:val="16"/>
      <w:szCs w:val="16"/>
      <w:lang w:val="es-ES" w:eastAsia="es-ES" w:bidi="ar-SA"/>
    </w:rPr>
  </w:style>
  <w:style w:type="paragraph" w:styleId="NormalWeb">
    <w:name w:val="Normal (Web)"/>
    <w:basedOn w:val="Normal"/>
    <w:rsid w:val="00AC68A4"/>
    <w:pPr>
      <w:widowControl w:val="0"/>
      <w:overflowPunct/>
      <w:spacing w:before="100" w:after="100"/>
      <w:textAlignment w:val="auto"/>
    </w:pPr>
    <w:rPr>
      <w:rFonts w:eastAsia="SimSun"/>
      <w:color w:val="0000FF"/>
      <w:sz w:val="24"/>
      <w:szCs w:val="24"/>
      <w:lang w:val="es-ES_tradnl" w:eastAsia="zh-CN"/>
    </w:rPr>
  </w:style>
  <w:style w:type="character" w:styleId="nfasis">
    <w:name w:val="Emphasis"/>
    <w:qFormat/>
    <w:rsid w:val="00AC68A4"/>
    <w:rPr>
      <w:i/>
      <w:iCs/>
    </w:rPr>
  </w:style>
  <w:style w:type="paragraph" w:styleId="Cita">
    <w:name w:val="Quote"/>
    <w:basedOn w:val="Normal"/>
    <w:next w:val="Normal"/>
    <w:qFormat/>
    <w:rsid w:val="00AC68A4"/>
    <w:pPr>
      <w:widowControl w:val="0"/>
      <w:overflowPunct/>
      <w:textAlignment w:val="auto"/>
    </w:pPr>
    <w:rPr>
      <w:rFonts w:eastAsia="SimSun"/>
      <w:i/>
      <w:iCs/>
      <w:color w:val="000000"/>
      <w:sz w:val="24"/>
      <w:szCs w:val="24"/>
      <w:lang w:val="es-ES_tradnl" w:eastAsia="zh-CN"/>
    </w:rPr>
  </w:style>
  <w:style w:type="paragraph" w:customStyle="1" w:styleId="Textoindependiente211">
    <w:name w:val="Texto independiente 211"/>
    <w:basedOn w:val="Normal"/>
    <w:rsid w:val="00E05919"/>
    <w:pPr>
      <w:spacing w:line="360" w:lineRule="auto"/>
      <w:ind w:firstLine="2835"/>
      <w:jc w:val="both"/>
    </w:pPr>
    <w:rPr>
      <w:rFonts w:ascii="Verdana" w:hAnsi="Verdana" w:cs="Verdana"/>
      <w:sz w:val="24"/>
      <w:szCs w:val="24"/>
    </w:rPr>
  </w:style>
  <w:style w:type="paragraph" w:customStyle="1" w:styleId="Puesto">
    <w:name w:val="Puesto"/>
    <w:basedOn w:val="Normal"/>
    <w:link w:val="PuestoCar"/>
    <w:qFormat/>
    <w:rsid w:val="00AC0268"/>
    <w:pPr>
      <w:widowControl w:val="0"/>
      <w:overflowPunct/>
      <w:autoSpaceDE/>
      <w:autoSpaceDN/>
      <w:adjustRightInd/>
      <w:ind w:right="51"/>
      <w:jc w:val="center"/>
      <w:textAlignment w:val="auto"/>
    </w:pPr>
    <w:rPr>
      <w:b/>
      <w:lang w:val="es-ES_tradnl"/>
    </w:rPr>
  </w:style>
  <w:style w:type="character" w:customStyle="1" w:styleId="PuestoCar">
    <w:name w:val="Puesto Car"/>
    <w:link w:val="Puesto"/>
    <w:locked/>
    <w:rsid w:val="00AC0268"/>
    <w:rPr>
      <w:b/>
      <w:lang w:val="es-ES_tradnl" w:eastAsia="es-ES" w:bidi="ar-SA"/>
    </w:rPr>
  </w:style>
  <w:style w:type="paragraph" w:styleId="Descripcin">
    <w:name w:val="caption"/>
    <w:basedOn w:val="Normal"/>
    <w:next w:val="Normal"/>
    <w:qFormat/>
    <w:rsid w:val="00AC0268"/>
    <w:pPr>
      <w:widowControl w:val="0"/>
      <w:overflowPunct/>
      <w:autoSpaceDE/>
      <w:autoSpaceDN/>
      <w:adjustRightInd/>
      <w:jc w:val="center"/>
      <w:textAlignment w:val="auto"/>
    </w:pPr>
    <w:rPr>
      <w:rFonts w:eastAsia="Calibri"/>
      <w:b/>
      <w:sz w:val="28"/>
      <w:lang w:val="es-ES_tradnl"/>
    </w:rPr>
  </w:style>
  <w:style w:type="character" w:customStyle="1" w:styleId="TextoindependienteCar">
    <w:name w:val="Texto independiente Car"/>
    <w:locked/>
    <w:rsid w:val="00AC0268"/>
    <w:rPr>
      <w:rFonts w:ascii="Times New Roman" w:hAnsi="Times New Roman"/>
      <w:sz w:val="20"/>
      <w:lang w:val="x-none" w:eastAsia="es-ES"/>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FA Fu Car"/>
    <w:locked/>
    <w:rsid w:val="00AC0268"/>
    <w:rPr>
      <w:rFonts w:ascii="Times New Roman" w:hAnsi="Times New Roman"/>
      <w:sz w:val="20"/>
      <w:lang w:val="x-none" w:eastAsia="es-ES"/>
    </w:r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AC0268"/>
    <w:rPr>
      <w:rFonts w:ascii="Times New Roman" w:hAnsi="Times New Roman"/>
      <w:sz w:val="20"/>
      <w:lang w:val="x-none" w:eastAsia="es-ES"/>
    </w:rPr>
  </w:style>
  <w:style w:type="paragraph" w:customStyle="1" w:styleId="BlockText2">
    <w:name w:val="Block Text2"/>
    <w:basedOn w:val="Normal"/>
    <w:rsid w:val="00AC0268"/>
    <w:pPr>
      <w:ind w:left="567" w:right="-232" w:hanging="567"/>
      <w:jc w:val="both"/>
    </w:pPr>
    <w:rPr>
      <w:rFonts w:ascii="Arial" w:eastAsia="Calibri" w:hAnsi="Arial"/>
      <w:spacing w:val="5"/>
      <w:sz w:val="28"/>
    </w:rPr>
  </w:style>
  <w:style w:type="paragraph" w:styleId="Textodebloque">
    <w:name w:val="Block Text"/>
    <w:basedOn w:val="Normal"/>
    <w:rsid w:val="00AC0268"/>
    <w:pPr>
      <w:ind w:left="545" w:right="766"/>
      <w:jc w:val="both"/>
    </w:pPr>
    <w:rPr>
      <w:rFonts w:eastAsia="Calibri"/>
      <w:i/>
      <w:sz w:val="28"/>
    </w:rPr>
  </w:style>
  <w:style w:type="paragraph" w:customStyle="1" w:styleId="BodyText31">
    <w:name w:val="Body Text 31"/>
    <w:basedOn w:val="Normal"/>
    <w:rsid w:val="00AC0268"/>
    <w:pPr>
      <w:widowControl w:val="0"/>
      <w:jc w:val="both"/>
    </w:pPr>
    <w:rPr>
      <w:rFonts w:eastAsia="Calibri"/>
      <w:sz w:val="28"/>
      <w:lang w:val="es-CO"/>
    </w:rPr>
  </w:style>
  <w:style w:type="paragraph" w:customStyle="1" w:styleId="Prrafodelista1">
    <w:name w:val="Párrafo de lista1"/>
    <w:basedOn w:val="Normal"/>
    <w:rsid w:val="00AC0268"/>
    <w:pPr>
      <w:overflowPunct/>
      <w:autoSpaceDE/>
      <w:autoSpaceDN/>
      <w:adjustRightInd/>
      <w:ind w:left="720"/>
      <w:textAlignment w:val="auto"/>
    </w:pPr>
    <w:rPr>
      <w:rFonts w:eastAsia="Calibri"/>
      <w:sz w:val="28"/>
    </w:rPr>
  </w:style>
  <w:style w:type="paragraph" w:customStyle="1" w:styleId="Sangradetindependiente">
    <w:name w:val="Sangría de t. independiente"/>
    <w:basedOn w:val="Normal"/>
    <w:rsid w:val="00AC0268"/>
    <w:pPr>
      <w:overflowPunct/>
      <w:autoSpaceDE/>
      <w:autoSpaceDN/>
      <w:adjustRightInd/>
      <w:ind w:left="705"/>
      <w:jc w:val="both"/>
      <w:textAlignment w:val="auto"/>
    </w:pPr>
    <w:rPr>
      <w:rFonts w:eastAsia="Calibri"/>
      <w:i/>
      <w:iCs/>
      <w:sz w:val="28"/>
      <w:szCs w:val="28"/>
    </w:rPr>
  </w:style>
  <w:style w:type="character" w:styleId="Hipervnculo">
    <w:name w:val="Hyperlink"/>
    <w:rsid w:val="00AC0268"/>
    <w:rPr>
      <w:color w:val="0000FF"/>
      <w:u w:val="none"/>
      <w:effect w:val="none"/>
    </w:rPr>
  </w:style>
  <w:style w:type="character" w:styleId="Textoennegrita">
    <w:name w:val="Strong"/>
    <w:qFormat/>
    <w:rsid w:val="00AC0268"/>
    <w:rPr>
      <w:b/>
    </w:rPr>
  </w:style>
  <w:style w:type="paragraph" w:customStyle="1" w:styleId="cita0">
    <w:name w:val="cita"/>
    <w:basedOn w:val="Normal"/>
    <w:rsid w:val="00AC0268"/>
    <w:pPr>
      <w:widowControl w:val="0"/>
      <w:overflowPunct/>
      <w:autoSpaceDE/>
      <w:autoSpaceDN/>
      <w:adjustRightInd/>
      <w:ind w:left="851" w:right="623"/>
      <w:jc w:val="both"/>
      <w:textAlignment w:val="auto"/>
    </w:pPr>
    <w:rPr>
      <w:sz w:val="26"/>
      <w:szCs w:val="26"/>
      <w:lang w:val="es-CO"/>
    </w:rPr>
  </w:style>
  <w:style w:type="character" w:customStyle="1" w:styleId="Ref">
    <w:name w:val="Ref"/>
    <w:aliases w:val="de nota al pie"/>
    <w:rsid w:val="00AC0268"/>
    <w:rPr>
      <w:vertAlign w:val="superscript"/>
    </w:rPr>
  </w:style>
  <w:style w:type="paragraph" w:styleId="Textonotaalfinal">
    <w:name w:val="endnote text"/>
    <w:basedOn w:val="Normal"/>
    <w:link w:val="TextonotaalfinalCar"/>
    <w:semiHidden/>
    <w:rsid w:val="00AC0268"/>
    <w:pPr>
      <w:overflowPunct/>
      <w:autoSpaceDE/>
      <w:autoSpaceDN/>
      <w:adjustRightInd/>
      <w:textAlignment w:val="auto"/>
    </w:pPr>
  </w:style>
  <w:style w:type="character" w:customStyle="1" w:styleId="TextonotaalfinalCar">
    <w:name w:val="Texto nota al final Car"/>
    <w:link w:val="Textonotaalfinal"/>
    <w:semiHidden/>
    <w:locked/>
    <w:rsid w:val="00AC0268"/>
    <w:rPr>
      <w:lang w:val="es-ES" w:eastAsia="es-ES" w:bidi="ar-SA"/>
    </w:rPr>
  </w:style>
  <w:style w:type="character" w:customStyle="1" w:styleId="BodyTextChar1">
    <w:name w:val="Body Text Char1"/>
    <w:locked/>
    <w:rsid w:val="00AC0268"/>
    <w:rPr>
      <w:rFonts w:ascii="Times New Roman" w:hAnsi="Times New Roman"/>
      <w:sz w:val="20"/>
      <w:lang w:val="x-none" w:eastAsia="es-ES"/>
    </w:rPr>
  </w:style>
  <w:style w:type="paragraph" w:styleId="Lista">
    <w:name w:val="List"/>
    <w:basedOn w:val="Normal"/>
    <w:rsid w:val="00AC0268"/>
    <w:pPr>
      <w:overflowPunct/>
      <w:adjustRightInd/>
      <w:ind w:left="360" w:hanging="360"/>
      <w:textAlignment w:val="auto"/>
    </w:pPr>
    <w:rPr>
      <w:rFonts w:eastAsia="Calibri"/>
      <w:sz w:val="28"/>
      <w:szCs w:val="28"/>
      <w:lang w:val="es-ES_tradnl"/>
    </w:rPr>
  </w:style>
  <w:style w:type="paragraph" w:customStyle="1" w:styleId="ListParagraph1">
    <w:name w:val="List Paragraph1"/>
    <w:basedOn w:val="Normal"/>
    <w:rsid w:val="00AC0268"/>
    <w:pPr>
      <w:overflowPunct/>
      <w:autoSpaceDE/>
      <w:autoSpaceDN/>
      <w:adjustRightInd/>
      <w:ind w:left="708"/>
      <w:textAlignment w:val="auto"/>
    </w:pPr>
    <w:rPr>
      <w:rFonts w:eastAsia="Calibri"/>
      <w:sz w:val="28"/>
    </w:rPr>
  </w:style>
  <w:style w:type="character" w:customStyle="1" w:styleId="FootnoteTextCharCharCharCharCharChar">
    <w:name w:val="Footnote Text Char Char Char Char Char Char"/>
    <w:aliases w:val="Footnote Text Char Char Char Char Char1,Footnote reference Char,FA Fu Char,Footnote Text Char Char Char Char1,texto de nota al pie Char,texto de nota al pi Char,Footnote Text Char1,Footnote Text Char Char"/>
    <w:locked/>
    <w:rsid w:val="00AC0268"/>
    <w:rPr>
      <w:rFonts w:ascii="Times New Roman" w:hAnsi="Times New Roman"/>
      <w:sz w:val="20"/>
      <w:lang w:val="x-none" w:eastAsia="es-ES"/>
    </w:rPr>
  </w:style>
  <w:style w:type="character" w:customStyle="1" w:styleId="textonavy1">
    <w:name w:val="texto_navy1"/>
    <w:rsid w:val="00AC0268"/>
    <w:rPr>
      <w:color w:val="000080"/>
    </w:rPr>
  </w:style>
  <w:style w:type="paragraph" w:customStyle="1" w:styleId="Sinespaciado1">
    <w:name w:val="Sin espaciado1"/>
    <w:rsid w:val="00AC0268"/>
    <w:pPr>
      <w:overflowPunct w:val="0"/>
      <w:autoSpaceDE w:val="0"/>
      <w:autoSpaceDN w:val="0"/>
      <w:adjustRightInd w:val="0"/>
      <w:textAlignment w:val="baseline"/>
    </w:pPr>
    <w:rPr>
      <w:rFonts w:eastAsia="Calibri"/>
      <w:sz w:val="28"/>
      <w:szCs w:val="28"/>
      <w:lang w:eastAsia="es-ES"/>
    </w:rPr>
  </w:style>
  <w:style w:type="character" w:customStyle="1" w:styleId="PiedepginaCar">
    <w:name w:val="Pie de página Car"/>
    <w:uiPriority w:val="99"/>
    <w:locked/>
    <w:rsid w:val="00AC0268"/>
    <w:rPr>
      <w:sz w:val="28"/>
    </w:rPr>
  </w:style>
  <w:style w:type="paragraph" w:customStyle="1" w:styleId="TextonotapieTextonotapieCar">
    <w:name w:val="Texto nota pie.Texto nota pie Car"/>
    <w:basedOn w:val="Normal"/>
    <w:rsid w:val="00AC0268"/>
    <w:rPr>
      <w:rFonts w:eastAsia="Calibri"/>
    </w:rPr>
  </w:style>
  <w:style w:type="paragraph" w:customStyle="1" w:styleId="Refdenotaalfinal1">
    <w:name w:val="Ref. de nota al final1"/>
    <w:basedOn w:val="Normal"/>
    <w:next w:val="Normal"/>
    <w:rsid w:val="00AC0268"/>
    <w:pPr>
      <w:widowControl w:val="0"/>
      <w:overflowPunct/>
      <w:adjustRightInd/>
      <w:textAlignment w:val="auto"/>
    </w:pPr>
    <w:rPr>
      <w:rFonts w:eastAsia="Calibri"/>
      <w:lang w:val="es-CO"/>
    </w:rPr>
  </w:style>
  <w:style w:type="paragraph" w:customStyle="1" w:styleId="Car4">
    <w:name w:val="Car4"/>
    <w:basedOn w:val="Normal"/>
    <w:rsid w:val="00AC0268"/>
    <w:pPr>
      <w:overflowPunct/>
      <w:autoSpaceDE/>
      <w:autoSpaceDN/>
      <w:adjustRightInd/>
      <w:spacing w:after="160" w:line="240" w:lineRule="exact"/>
      <w:jc w:val="both"/>
      <w:textAlignment w:val="auto"/>
    </w:pPr>
    <w:rPr>
      <w:rFonts w:ascii="Tahoma" w:eastAsia="Calibri" w:hAnsi="Tahoma"/>
      <w:lang w:val="en-US" w:eastAsia="en-US"/>
    </w:rPr>
  </w:style>
  <w:style w:type="paragraph" w:customStyle="1" w:styleId="unico">
    <w:name w:val="unico"/>
    <w:basedOn w:val="Normal"/>
    <w:rsid w:val="00AC0268"/>
    <w:pPr>
      <w:overflowPunct/>
      <w:autoSpaceDE/>
      <w:autoSpaceDN/>
      <w:adjustRightInd/>
      <w:spacing w:before="100" w:beforeAutospacing="1" w:after="100" w:afterAutospacing="1"/>
      <w:textAlignment w:val="auto"/>
    </w:pPr>
    <w:rPr>
      <w:rFonts w:eastAsia="Calibri"/>
      <w:sz w:val="24"/>
      <w:szCs w:val="24"/>
    </w:rPr>
  </w:style>
  <w:style w:type="paragraph" w:customStyle="1" w:styleId="Cita1">
    <w:name w:val="Cita1"/>
    <w:basedOn w:val="Normal"/>
    <w:next w:val="Normal"/>
    <w:link w:val="CitaCar"/>
    <w:autoRedefine/>
    <w:rsid w:val="00AC0268"/>
    <w:pPr>
      <w:overflowPunct/>
      <w:autoSpaceDE/>
      <w:autoSpaceDN/>
      <w:adjustRightInd/>
      <w:ind w:left="708"/>
      <w:jc w:val="both"/>
      <w:textAlignment w:val="auto"/>
    </w:pPr>
    <w:rPr>
      <w:rFonts w:ascii="Calibri" w:hAnsi="Calibri"/>
      <w:i/>
      <w:iCs/>
      <w:color w:val="000000"/>
      <w:sz w:val="24"/>
      <w:szCs w:val="24"/>
      <w:lang w:val="es-CO"/>
    </w:rPr>
  </w:style>
  <w:style w:type="character" w:customStyle="1" w:styleId="CitaCar">
    <w:name w:val="Cita Car"/>
    <w:link w:val="Cita1"/>
    <w:locked/>
    <w:rsid w:val="00AC0268"/>
    <w:rPr>
      <w:rFonts w:ascii="Calibri" w:hAnsi="Calibri"/>
      <w:i/>
      <w:iCs/>
      <w:color w:val="000000"/>
      <w:sz w:val="24"/>
      <w:szCs w:val="24"/>
      <w:lang w:val="es-CO" w:eastAsia="es-ES" w:bidi="ar-SA"/>
    </w:rPr>
  </w:style>
  <w:style w:type="character" w:customStyle="1" w:styleId="textonavy">
    <w:name w:val="texto_navy"/>
    <w:rsid w:val="00AC0268"/>
    <w:rPr>
      <w:rFonts w:cs="Times New Roman"/>
    </w:rPr>
  </w:style>
  <w:style w:type="character" w:customStyle="1" w:styleId="apple-converted-space">
    <w:name w:val="apple-converted-space"/>
    <w:rsid w:val="00AC0268"/>
    <w:rPr>
      <w:rFonts w:cs="Times New Roman"/>
    </w:rPr>
  </w:style>
  <w:style w:type="character" w:customStyle="1" w:styleId="CarCar4">
    <w:name w:val="Car Car4"/>
    <w:rsid w:val="00DF1D79"/>
    <w:rPr>
      <w:rFonts w:ascii="Courier New" w:hAnsi="Courier New"/>
      <w:sz w:val="24"/>
      <w:lang w:val="es-MX" w:eastAsia="es-ES" w:bidi="ar-SA"/>
    </w:rPr>
  </w:style>
  <w:style w:type="character" w:customStyle="1" w:styleId="st1">
    <w:name w:val="st1"/>
    <w:basedOn w:val="Fuentedeprrafopredeter"/>
    <w:rsid w:val="008370A8"/>
  </w:style>
  <w:style w:type="paragraph" w:styleId="Sinespaciado">
    <w:name w:val="No Spacing"/>
    <w:basedOn w:val="Normal"/>
    <w:uiPriority w:val="1"/>
    <w:qFormat/>
    <w:rsid w:val="000B2918"/>
    <w:pPr>
      <w:overflowPunct/>
      <w:autoSpaceDE/>
      <w:autoSpaceDN/>
      <w:adjustRightInd/>
      <w:spacing w:before="100" w:beforeAutospacing="1" w:after="100" w:afterAutospacing="1"/>
      <w:textAlignment w:val="auto"/>
    </w:pPr>
    <w:rPr>
      <w:sz w:val="24"/>
      <w:szCs w:val="24"/>
      <w:lang w:val="es-CO" w:eastAsia="es-CO"/>
    </w:rPr>
  </w:style>
  <w:style w:type="character" w:customStyle="1" w:styleId="apple-style-span">
    <w:name w:val="apple-style-span"/>
    <w:rsid w:val="000B2918"/>
  </w:style>
  <w:style w:type="paragraph" w:customStyle="1" w:styleId="CUERPOTEXTO">
    <w:name w:val="CUERPO TEXTO"/>
    <w:rsid w:val="00A07489"/>
    <w:pPr>
      <w:widowControl w:val="0"/>
      <w:tabs>
        <w:tab w:val="center" w:pos="510"/>
        <w:tab w:val="left" w:pos="1134"/>
      </w:tabs>
      <w:overflowPunct w:val="0"/>
      <w:autoSpaceDE w:val="0"/>
      <w:autoSpaceDN w:val="0"/>
      <w:adjustRightInd w:val="0"/>
      <w:spacing w:before="28" w:after="28" w:line="210" w:lineRule="atLeast"/>
      <w:ind w:firstLine="283"/>
      <w:jc w:val="both"/>
      <w:textAlignment w:val="baseline"/>
    </w:pPr>
    <w:rPr>
      <w:color w:val="000000"/>
      <w:sz w:val="19"/>
      <w:szCs w:val="19"/>
      <w:lang w:val="es-ES" w:eastAsia="es-ES"/>
    </w:rPr>
  </w:style>
  <w:style w:type="paragraph" w:customStyle="1" w:styleId="Sinespaciado11">
    <w:name w:val="Sin espaciado11"/>
    <w:rsid w:val="00C06F9F"/>
    <w:rPr>
      <w:rFonts w:ascii="Calibri" w:hAnsi="Calibri"/>
      <w:sz w:val="22"/>
      <w:szCs w:val="22"/>
      <w:lang w:eastAsia="en-US"/>
    </w:rPr>
  </w:style>
  <w:style w:type="paragraph" w:customStyle="1" w:styleId="Sinespaciado2">
    <w:name w:val="Sin espaciado2"/>
    <w:rsid w:val="00C06F9F"/>
    <w:rPr>
      <w:lang w:val="es-ES" w:eastAsia="es-ES"/>
    </w:rPr>
  </w:style>
  <w:style w:type="character" w:customStyle="1" w:styleId="TitleChar">
    <w:name w:val="Title Char"/>
    <w:locked/>
    <w:rsid w:val="00C06F9F"/>
    <w:rPr>
      <w:sz w:val="24"/>
      <w:lang w:val="en-US" w:eastAsia="es-ES" w:bidi="ar-SA"/>
    </w:rPr>
  </w:style>
  <w:style w:type="paragraph" w:styleId="Textodeglobo">
    <w:name w:val="Balloon Text"/>
    <w:basedOn w:val="Normal"/>
    <w:link w:val="TextodegloboCar"/>
    <w:rsid w:val="007B364E"/>
    <w:rPr>
      <w:rFonts w:ascii="Segoe UI" w:hAnsi="Segoe UI" w:cs="Segoe UI"/>
      <w:sz w:val="18"/>
      <w:szCs w:val="18"/>
    </w:rPr>
  </w:style>
  <w:style w:type="character" w:customStyle="1" w:styleId="TextodegloboCar">
    <w:name w:val="Texto de globo Car"/>
    <w:link w:val="Textodeglobo"/>
    <w:rsid w:val="007B364E"/>
    <w:rPr>
      <w:rFonts w:ascii="Segoe UI" w:hAnsi="Segoe UI" w:cs="Segoe UI"/>
      <w:sz w:val="18"/>
      <w:szCs w:val="18"/>
    </w:rPr>
  </w:style>
  <w:style w:type="paragraph" w:customStyle="1" w:styleId="pa8">
    <w:name w:val="pa8"/>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a0">
    <w:name w:val="a0"/>
    <w:rsid w:val="00492924"/>
  </w:style>
  <w:style w:type="paragraph" w:customStyle="1" w:styleId="default">
    <w:name w:val="default"/>
    <w:basedOn w:val="Normal"/>
    <w:rsid w:val="00492924"/>
    <w:pPr>
      <w:overflowPunct/>
      <w:autoSpaceDE/>
      <w:autoSpaceDN/>
      <w:adjustRightInd/>
      <w:spacing w:before="100" w:beforeAutospacing="1" w:after="100" w:afterAutospacing="1"/>
      <w:textAlignment w:val="auto"/>
    </w:pPr>
    <w:rPr>
      <w:sz w:val="24"/>
      <w:szCs w:val="24"/>
    </w:rPr>
  </w:style>
  <w:style w:type="character" w:customStyle="1" w:styleId="Ttulo1Car">
    <w:name w:val="Título 1 Car"/>
    <w:link w:val="Ttulo1"/>
    <w:rsid w:val="008E5781"/>
    <w:rPr>
      <w:rFonts w:ascii="Arial Narrow" w:hAnsi="Arial Narrow"/>
      <w:b/>
      <w:sz w:val="24"/>
    </w:rPr>
  </w:style>
  <w:style w:type="character" w:customStyle="1" w:styleId="Ttulo4Car">
    <w:name w:val="Título 4 Car"/>
    <w:link w:val="Ttulo4"/>
    <w:rsid w:val="008E5781"/>
    <w:rPr>
      <w:rFonts w:ascii="Perpetua" w:hAnsi="Perpetua"/>
      <w:sz w:val="28"/>
      <w:lang w:val="es-MX"/>
    </w:rPr>
  </w:style>
  <w:style w:type="paragraph" w:styleId="Prrafodelista">
    <w:name w:val="List Paragraph"/>
    <w:aliases w:val="Colorful List - Accent 11,Ha,lp1"/>
    <w:basedOn w:val="Normal"/>
    <w:link w:val="PrrafodelistaCar"/>
    <w:uiPriority w:val="34"/>
    <w:qFormat/>
    <w:rsid w:val="00495040"/>
    <w:pPr>
      <w:ind w:left="708"/>
    </w:pPr>
  </w:style>
  <w:style w:type="paragraph" w:customStyle="1" w:styleId="sinespaciado110">
    <w:name w:val="sinespaciado11"/>
    <w:basedOn w:val="Normal"/>
    <w:rsid w:val="00C508D3"/>
    <w:pPr>
      <w:overflowPunct/>
      <w:autoSpaceDE/>
      <w:autoSpaceDN/>
      <w:adjustRightInd/>
      <w:spacing w:before="100" w:beforeAutospacing="1" w:after="100" w:afterAutospacing="1"/>
      <w:textAlignment w:val="auto"/>
    </w:pPr>
    <w:rPr>
      <w:sz w:val="24"/>
      <w:szCs w:val="24"/>
      <w:lang w:val="es-CO" w:eastAsia="es-CO"/>
    </w:rPr>
  </w:style>
  <w:style w:type="character" w:customStyle="1" w:styleId="ref2">
    <w:name w:val="ref2"/>
    <w:basedOn w:val="Fuentedeprrafopredeter"/>
    <w:rsid w:val="00C508D3"/>
  </w:style>
  <w:style w:type="character" w:customStyle="1" w:styleId="PrrafodelistaCar">
    <w:name w:val="Párrafo de lista Car"/>
    <w:aliases w:val="Colorful List - Accent 11 Car,Ha Car,lp1 Car"/>
    <w:link w:val="Prrafodelista"/>
    <w:uiPriority w:val="34"/>
    <w:locked/>
    <w:rsid w:val="004E38FB"/>
    <w:rPr>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E38FB"/>
    <w:pPr>
      <w:overflowPunct/>
      <w:autoSpaceDE/>
      <w:autoSpaceDN/>
      <w:adjustRightInd/>
      <w:jc w:val="both"/>
      <w:textAlignment w:val="auto"/>
    </w:pPr>
    <w:rPr>
      <w:vertAlign w:val="superscript"/>
      <w:lang w:val="es-CO" w:eastAsia="es-CO"/>
    </w:rPr>
  </w:style>
  <w:style w:type="paragraph" w:styleId="Textocomentario">
    <w:name w:val="annotation text"/>
    <w:basedOn w:val="Normal"/>
    <w:link w:val="TextocomentarioCa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table" w:styleId="Tablaconcuadrcula">
    <w:name w:val="Table Grid"/>
    <w:basedOn w:val="Tablanormal"/>
    <w:rsid w:val="00A97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23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868072">
          <w:marLeft w:val="0"/>
          <w:marRight w:val="0"/>
          <w:marTop w:val="0"/>
          <w:marBottom w:val="0"/>
          <w:divBdr>
            <w:top w:val="none" w:sz="0" w:space="0" w:color="auto"/>
            <w:left w:val="none" w:sz="0" w:space="0" w:color="auto"/>
            <w:bottom w:val="none" w:sz="0" w:space="0" w:color="auto"/>
            <w:right w:val="none" w:sz="0" w:space="0" w:color="auto"/>
          </w:divBdr>
        </w:div>
        <w:div w:id="647172798">
          <w:marLeft w:val="0"/>
          <w:marRight w:val="0"/>
          <w:marTop w:val="0"/>
          <w:marBottom w:val="0"/>
          <w:divBdr>
            <w:top w:val="none" w:sz="0" w:space="0" w:color="auto"/>
            <w:left w:val="none" w:sz="0" w:space="0" w:color="auto"/>
            <w:bottom w:val="none" w:sz="0" w:space="0" w:color="auto"/>
            <w:right w:val="none" w:sz="0" w:space="0" w:color="auto"/>
          </w:divBdr>
        </w:div>
        <w:div w:id="2100129447">
          <w:marLeft w:val="0"/>
          <w:marRight w:val="0"/>
          <w:marTop w:val="0"/>
          <w:marBottom w:val="0"/>
          <w:divBdr>
            <w:top w:val="none" w:sz="0" w:space="0" w:color="auto"/>
            <w:left w:val="none" w:sz="0" w:space="0" w:color="auto"/>
            <w:bottom w:val="none" w:sz="0" w:space="0" w:color="auto"/>
            <w:right w:val="none" w:sz="0" w:space="0" w:color="auto"/>
          </w:divBdr>
        </w:div>
      </w:divsChild>
    </w:div>
    <w:div w:id="207031762">
      <w:bodyDiv w:val="1"/>
      <w:marLeft w:val="0"/>
      <w:marRight w:val="0"/>
      <w:marTop w:val="0"/>
      <w:marBottom w:val="0"/>
      <w:divBdr>
        <w:top w:val="none" w:sz="0" w:space="0" w:color="auto"/>
        <w:left w:val="none" w:sz="0" w:space="0" w:color="auto"/>
        <w:bottom w:val="none" w:sz="0" w:space="0" w:color="auto"/>
        <w:right w:val="none" w:sz="0" w:space="0" w:color="auto"/>
      </w:divBdr>
    </w:div>
    <w:div w:id="723791479">
      <w:bodyDiv w:val="1"/>
      <w:marLeft w:val="0"/>
      <w:marRight w:val="0"/>
      <w:marTop w:val="0"/>
      <w:marBottom w:val="0"/>
      <w:divBdr>
        <w:top w:val="none" w:sz="0" w:space="0" w:color="auto"/>
        <w:left w:val="none" w:sz="0" w:space="0" w:color="auto"/>
        <w:bottom w:val="none" w:sz="0" w:space="0" w:color="auto"/>
        <w:right w:val="none" w:sz="0" w:space="0" w:color="auto"/>
      </w:divBdr>
    </w:div>
    <w:div w:id="739140512">
      <w:bodyDiv w:val="1"/>
      <w:marLeft w:val="0"/>
      <w:marRight w:val="0"/>
      <w:marTop w:val="0"/>
      <w:marBottom w:val="0"/>
      <w:divBdr>
        <w:top w:val="none" w:sz="0" w:space="0" w:color="auto"/>
        <w:left w:val="none" w:sz="0" w:space="0" w:color="auto"/>
        <w:bottom w:val="none" w:sz="0" w:space="0" w:color="auto"/>
        <w:right w:val="none" w:sz="0" w:space="0" w:color="auto"/>
      </w:divBdr>
    </w:div>
    <w:div w:id="743380511">
      <w:bodyDiv w:val="1"/>
      <w:marLeft w:val="0"/>
      <w:marRight w:val="0"/>
      <w:marTop w:val="0"/>
      <w:marBottom w:val="0"/>
      <w:divBdr>
        <w:top w:val="none" w:sz="0" w:space="0" w:color="auto"/>
        <w:left w:val="none" w:sz="0" w:space="0" w:color="auto"/>
        <w:bottom w:val="none" w:sz="0" w:space="0" w:color="auto"/>
        <w:right w:val="none" w:sz="0" w:space="0" w:color="auto"/>
      </w:divBdr>
    </w:div>
    <w:div w:id="864975471">
      <w:bodyDiv w:val="1"/>
      <w:marLeft w:val="0"/>
      <w:marRight w:val="0"/>
      <w:marTop w:val="0"/>
      <w:marBottom w:val="0"/>
      <w:divBdr>
        <w:top w:val="none" w:sz="0" w:space="0" w:color="auto"/>
        <w:left w:val="none" w:sz="0" w:space="0" w:color="auto"/>
        <w:bottom w:val="none" w:sz="0" w:space="0" w:color="auto"/>
        <w:right w:val="none" w:sz="0" w:space="0" w:color="auto"/>
      </w:divBdr>
    </w:div>
    <w:div w:id="1022896515">
      <w:bodyDiv w:val="1"/>
      <w:marLeft w:val="0"/>
      <w:marRight w:val="0"/>
      <w:marTop w:val="0"/>
      <w:marBottom w:val="0"/>
      <w:divBdr>
        <w:top w:val="none" w:sz="0" w:space="0" w:color="auto"/>
        <w:left w:val="none" w:sz="0" w:space="0" w:color="auto"/>
        <w:bottom w:val="none" w:sz="0" w:space="0" w:color="auto"/>
        <w:right w:val="none" w:sz="0" w:space="0" w:color="auto"/>
      </w:divBdr>
      <w:divsChild>
        <w:div w:id="422841927">
          <w:marLeft w:val="0"/>
          <w:marRight w:val="0"/>
          <w:marTop w:val="0"/>
          <w:marBottom w:val="0"/>
          <w:divBdr>
            <w:top w:val="none" w:sz="0" w:space="0" w:color="auto"/>
            <w:left w:val="none" w:sz="0" w:space="0" w:color="auto"/>
            <w:bottom w:val="none" w:sz="0" w:space="0" w:color="auto"/>
            <w:right w:val="none" w:sz="0" w:space="0" w:color="auto"/>
          </w:divBdr>
          <w:divsChild>
            <w:div w:id="914557583">
              <w:marLeft w:val="0"/>
              <w:marRight w:val="0"/>
              <w:marTop w:val="0"/>
              <w:marBottom w:val="0"/>
              <w:divBdr>
                <w:top w:val="none" w:sz="0" w:space="0" w:color="auto"/>
                <w:left w:val="none" w:sz="0" w:space="0" w:color="auto"/>
                <w:bottom w:val="none" w:sz="0" w:space="0" w:color="auto"/>
                <w:right w:val="none" w:sz="0" w:space="0" w:color="auto"/>
              </w:divBdr>
              <w:divsChild>
                <w:div w:id="10261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92434">
      <w:bodyDiv w:val="1"/>
      <w:marLeft w:val="0"/>
      <w:marRight w:val="0"/>
      <w:marTop w:val="0"/>
      <w:marBottom w:val="0"/>
      <w:divBdr>
        <w:top w:val="none" w:sz="0" w:space="0" w:color="auto"/>
        <w:left w:val="none" w:sz="0" w:space="0" w:color="auto"/>
        <w:bottom w:val="none" w:sz="0" w:space="0" w:color="auto"/>
        <w:right w:val="none" w:sz="0" w:space="0" w:color="auto"/>
      </w:divBdr>
    </w:div>
    <w:div w:id="1187333728">
      <w:bodyDiv w:val="1"/>
      <w:marLeft w:val="0"/>
      <w:marRight w:val="0"/>
      <w:marTop w:val="0"/>
      <w:marBottom w:val="0"/>
      <w:divBdr>
        <w:top w:val="none" w:sz="0" w:space="0" w:color="auto"/>
        <w:left w:val="none" w:sz="0" w:space="0" w:color="auto"/>
        <w:bottom w:val="none" w:sz="0" w:space="0" w:color="auto"/>
        <w:right w:val="none" w:sz="0" w:space="0" w:color="auto"/>
      </w:divBdr>
    </w:div>
    <w:div w:id="1285693263">
      <w:bodyDiv w:val="1"/>
      <w:marLeft w:val="0"/>
      <w:marRight w:val="0"/>
      <w:marTop w:val="0"/>
      <w:marBottom w:val="0"/>
      <w:divBdr>
        <w:top w:val="none" w:sz="0" w:space="0" w:color="auto"/>
        <w:left w:val="none" w:sz="0" w:space="0" w:color="auto"/>
        <w:bottom w:val="none" w:sz="0" w:space="0" w:color="auto"/>
        <w:right w:val="none" w:sz="0" w:space="0" w:color="auto"/>
      </w:divBdr>
    </w:div>
    <w:div w:id="1430737078">
      <w:bodyDiv w:val="1"/>
      <w:marLeft w:val="0"/>
      <w:marRight w:val="0"/>
      <w:marTop w:val="0"/>
      <w:marBottom w:val="0"/>
      <w:divBdr>
        <w:top w:val="none" w:sz="0" w:space="0" w:color="auto"/>
        <w:left w:val="none" w:sz="0" w:space="0" w:color="auto"/>
        <w:bottom w:val="none" w:sz="0" w:space="0" w:color="auto"/>
        <w:right w:val="none" w:sz="0" w:space="0" w:color="auto"/>
      </w:divBdr>
    </w:div>
    <w:div w:id="1442602777">
      <w:bodyDiv w:val="1"/>
      <w:marLeft w:val="0"/>
      <w:marRight w:val="0"/>
      <w:marTop w:val="0"/>
      <w:marBottom w:val="0"/>
      <w:divBdr>
        <w:top w:val="none" w:sz="0" w:space="0" w:color="auto"/>
        <w:left w:val="none" w:sz="0" w:space="0" w:color="auto"/>
        <w:bottom w:val="none" w:sz="0" w:space="0" w:color="auto"/>
        <w:right w:val="none" w:sz="0" w:space="0" w:color="auto"/>
      </w:divBdr>
    </w:div>
    <w:div w:id="1647658911">
      <w:bodyDiv w:val="1"/>
      <w:marLeft w:val="0"/>
      <w:marRight w:val="0"/>
      <w:marTop w:val="0"/>
      <w:marBottom w:val="0"/>
      <w:divBdr>
        <w:top w:val="none" w:sz="0" w:space="0" w:color="auto"/>
        <w:left w:val="none" w:sz="0" w:space="0" w:color="auto"/>
        <w:bottom w:val="none" w:sz="0" w:space="0" w:color="auto"/>
        <w:right w:val="none" w:sz="0" w:space="0" w:color="auto"/>
      </w:divBdr>
    </w:div>
    <w:div w:id="1667827523">
      <w:bodyDiv w:val="1"/>
      <w:marLeft w:val="0"/>
      <w:marRight w:val="0"/>
      <w:marTop w:val="0"/>
      <w:marBottom w:val="0"/>
      <w:divBdr>
        <w:top w:val="none" w:sz="0" w:space="0" w:color="auto"/>
        <w:left w:val="none" w:sz="0" w:space="0" w:color="auto"/>
        <w:bottom w:val="none" w:sz="0" w:space="0" w:color="auto"/>
        <w:right w:val="none" w:sz="0" w:space="0" w:color="auto"/>
      </w:divBdr>
    </w:div>
    <w:div w:id="2099591608">
      <w:bodyDiv w:val="1"/>
      <w:marLeft w:val="0"/>
      <w:marRight w:val="0"/>
      <w:marTop w:val="0"/>
      <w:marBottom w:val="0"/>
      <w:divBdr>
        <w:top w:val="none" w:sz="0" w:space="0" w:color="auto"/>
        <w:left w:val="none" w:sz="0" w:space="0" w:color="auto"/>
        <w:bottom w:val="none" w:sz="0" w:space="0" w:color="auto"/>
        <w:right w:val="none" w:sz="0" w:space="0" w:color="auto"/>
      </w:divBdr>
    </w:div>
    <w:div w:id="21176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466c260d0e834f1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41C1-A2DA-4629-9F05-FE4BEC685B93}">
  <ds:schemaRefs>
    <ds:schemaRef ds:uri="http://schemas.microsoft.com/sharepoint/v3/contenttype/forms"/>
  </ds:schemaRefs>
</ds:datastoreItem>
</file>

<file path=customXml/itemProps2.xml><?xml version="1.0" encoding="utf-8"?>
<ds:datastoreItem xmlns:ds="http://schemas.openxmlformats.org/officeDocument/2006/customXml" ds:itemID="{92909AB9-38F3-4734-810B-F0AE27089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E680A-492A-4AC2-858C-A3B788C5F98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49C3A881-5603-41F6-B448-2602A5A8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4357</Words>
  <Characters>23966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7</cp:revision>
  <cp:lastPrinted>2019-11-08T18:36:00Z</cp:lastPrinted>
  <dcterms:created xsi:type="dcterms:W3CDTF">2022-08-25T16:53:00Z</dcterms:created>
  <dcterms:modified xsi:type="dcterms:W3CDTF">2022-10-25T18:31:00Z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