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5F31" w14:textId="77777777" w:rsidR="00B25802" w:rsidRPr="00B25802" w:rsidRDefault="00B25802" w:rsidP="00B2580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B258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2CBB89" w14:textId="77777777" w:rsidR="00B25802" w:rsidRPr="00B25802" w:rsidRDefault="00B25802" w:rsidP="00B25802">
      <w:pPr>
        <w:spacing w:after="0" w:line="240" w:lineRule="auto"/>
        <w:jc w:val="both"/>
        <w:rPr>
          <w:rFonts w:ascii="Arial" w:eastAsia="Times New Roman" w:hAnsi="Arial" w:cs="Arial"/>
          <w:sz w:val="20"/>
          <w:szCs w:val="20"/>
          <w:lang w:val="es-419" w:eastAsia="es-ES"/>
        </w:rPr>
      </w:pPr>
    </w:p>
    <w:p w14:paraId="096C94DF" w14:textId="77777777" w:rsidR="009525D6" w:rsidRPr="00B25802" w:rsidRDefault="009525D6" w:rsidP="009525D6">
      <w:pPr>
        <w:spacing w:after="0" w:line="240" w:lineRule="auto"/>
        <w:jc w:val="both"/>
        <w:rPr>
          <w:rFonts w:ascii="Arial" w:eastAsia="Times New Roman" w:hAnsi="Arial" w:cs="Arial"/>
          <w:sz w:val="20"/>
          <w:szCs w:val="20"/>
          <w:lang w:val="es-419" w:eastAsia="es-ES"/>
        </w:rPr>
      </w:pPr>
      <w:r w:rsidRPr="00B25802">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w:t>
      </w:r>
      <w:r w:rsidRPr="00B25802">
        <w:rPr>
          <w:rFonts w:ascii="Arial" w:eastAsia="Times New Roman" w:hAnsi="Arial" w:cs="Arial"/>
          <w:sz w:val="20"/>
          <w:szCs w:val="20"/>
          <w:lang w:val="es-419" w:eastAsia="es-ES"/>
        </w:rPr>
        <w:tab/>
        <w:t xml:space="preserve">66170310300120200003701 </w:t>
      </w:r>
    </w:p>
    <w:p w14:paraId="7E42336D" w14:textId="3CB4699E" w:rsidR="00B25802" w:rsidRPr="00B25802" w:rsidRDefault="00B25802" w:rsidP="00B25802">
      <w:pPr>
        <w:spacing w:after="0" w:line="240" w:lineRule="auto"/>
        <w:jc w:val="both"/>
        <w:rPr>
          <w:rFonts w:ascii="Arial" w:eastAsia="Times New Roman" w:hAnsi="Arial" w:cs="Arial"/>
          <w:sz w:val="20"/>
          <w:szCs w:val="20"/>
          <w:lang w:val="es-419" w:eastAsia="es-ES"/>
        </w:rPr>
      </w:pPr>
      <w:r w:rsidRPr="00B25802">
        <w:rPr>
          <w:rFonts w:ascii="Arial" w:eastAsia="Times New Roman" w:hAnsi="Arial" w:cs="Arial"/>
          <w:sz w:val="20"/>
          <w:szCs w:val="20"/>
          <w:lang w:val="es-419" w:eastAsia="es-ES"/>
        </w:rPr>
        <w:t>Asunto</w:t>
      </w:r>
      <w:r w:rsidR="00E3522B">
        <w:rPr>
          <w:rFonts w:ascii="Arial" w:eastAsia="Times New Roman" w:hAnsi="Arial" w:cs="Arial"/>
          <w:sz w:val="20"/>
          <w:szCs w:val="20"/>
          <w:lang w:val="es-419" w:eastAsia="es-ES"/>
        </w:rPr>
        <w:t>:</w:t>
      </w:r>
      <w:r w:rsidR="00E3522B">
        <w:rPr>
          <w:rFonts w:ascii="Arial" w:eastAsia="Times New Roman" w:hAnsi="Arial" w:cs="Arial"/>
          <w:sz w:val="20"/>
          <w:szCs w:val="20"/>
          <w:lang w:val="es-419" w:eastAsia="es-ES"/>
        </w:rPr>
        <w:tab/>
      </w:r>
      <w:r w:rsidRPr="00B25802">
        <w:rPr>
          <w:rFonts w:ascii="Arial" w:eastAsia="Times New Roman" w:hAnsi="Arial" w:cs="Arial"/>
          <w:sz w:val="20"/>
          <w:szCs w:val="20"/>
          <w:lang w:val="es-419" w:eastAsia="es-ES"/>
        </w:rPr>
        <w:tab/>
      </w:r>
      <w:bookmarkStart w:id="2" w:name="_Hlk118100373"/>
      <w:r w:rsidRPr="00B25802">
        <w:rPr>
          <w:rFonts w:ascii="Arial" w:eastAsia="Times New Roman" w:hAnsi="Arial" w:cs="Arial"/>
          <w:sz w:val="20"/>
          <w:szCs w:val="20"/>
          <w:lang w:val="es-419" w:eastAsia="es-ES"/>
        </w:rPr>
        <w:t xml:space="preserve">Accidente de tránsito – </w:t>
      </w:r>
      <w:r w:rsidR="00E3522B" w:rsidRPr="00B25802">
        <w:rPr>
          <w:rFonts w:ascii="Arial" w:eastAsia="Times New Roman" w:hAnsi="Arial" w:cs="Arial"/>
          <w:sz w:val="20"/>
          <w:szCs w:val="20"/>
          <w:lang w:val="es-419" w:eastAsia="es-ES"/>
        </w:rPr>
        <w:t xml:space="preserve">Hecho </w:t>
      </w:r>
      <w:r w:rsidRPr="00B25802">
        <w:rPr>
          <w:rFonts w:ascii="Arial" w:eastAsia="Times New Roman" w:hAnsi="Arial" w:cs="Arial"/>
          <w:sz w:val="20"/>
          <w:szCs w:val="20"/>
          <w:lang w:val="es-419" w:eastAsia="es-ES"/>
        </w:rPr>
        <w:t xml:space="preserve">de la víctima </w:t>
      </w:r>
      <w:r w:rsidR="00E3522B">
        <w:rPr>
          <w:rFonts w:ascii="Arial" w:eastAsia="Times New Roman" w:hAnsi="Arial" w:cs="Arial"/>
          <w:sz w:val="20"/>
          <w:szCs w:val="20"/>
          <w:lang w:val="es-419" w:eastAsia="es-ES"/>
        </w:rPr>
        <w:t>–</w:t>
      </w:r>
      <w:r w:rsidRPr="00B25802">
        <w:rPr>
          <w:rFonts w:ascii="Arial" w:eastAsia="Times New Roman" w:hAnsi="Arial" w:cs="Arial"/>
          <w:sz w:val="20"/>
          <w:szCs w:val="20"/>
          <w:lang w:val="es-419" w:eastAsia="es-ES"/>
        </w:rPr>
        <w:t xml:space="preserve"> </w:t>
      </w:r>
      <w:r w:rsidR="00E3522B" w:rsidRPr="00B25802">
        <w:rPr>
          <w:rFonts w:ascii="Arial" w:eastAsia="Times New Roman" w:hAnsi="Arial" w:cs="Arial"/>
          <w:sz w:val="20"/>
          <w:szCs w:val="20"/>
          <w:lang w:val="es-419" w:eastAsia="es-ES"/>
        </w:rPr>
        <w:t>Bicicleta</w:t>
      </w:r>
    </w:p>
    <w:bookmarkEnd w:id="2"/>
    <w:p w14:paraId="18F832BB" w14:textId="01E3EA9F" w:rsidR="00B25802" w:rsidRPr="00B25802" w:rsidRDefault="00B25802" w:rsidP="00B25802">
      <w:pPr>
        <w:spacing w:after="0" w:line="240" w:lineRule="auto"/>
        <w:jc w:val="both"/>
        <w:rPr>
          <w:rFonts w:ascii="Arial" w:eastAsia="Times New Roman" w:hAnsi="Arial" w:cs="Arial"/>
          <w:sz w:val="20"/>
          <w:szCs w:val="20"/>
          <w:lang w:val="es-419" w:eastAsia="es-ES"/>
        </w:rPr>
      </w:pPr>
      <w:r w:rsidRPr="00B25802">
        <w:rPr>
          <w:rFonts w:ascii="Arial" w:eastAsia="Times New Roman" w:hAnsi="Arial" w:cs="Arial"/>
          <w:sz w:val="20"/>
          <w:szCs w:val="20"/>
          <w:lang w:val="es-419" w:eastAsia="es-ES"/>
        </w:rPr>
        <w:t>Proceso</w:t>
      </w:r>
      <w:r w:rsidR="00E3522B">
        <w:rPr>
          <w:rFonts w:ascii="Arial" w:eastAsia="Times New Roman" w:hAnsi="Arial" w:cs="Arial"/>
          <w:sz w:val="20"/>
          <w:szCs w:val="20"/>
          <w:lang w:val="es-419" w:eastAsia="es-ES"/>
        </w:rPr>
        <w:t>:</w:t>
      </w:r>
      <w:r w:rsidRPr="00B25802">
        <w:rPr>
          <w:rFonts w:ascii="Arial" w:eastAsia="Times New Roman" w:hAnsi="Arial" w:cs="Arial"/>
          <w:sz w:val="20"/>
          <w:szCs w:val="20"/>
          <w:lang w:val="es-419" w:eastAsia="es-ES"/>
        </w:rPr>
        <w:tab/>
        <w:t xml:space="preserve">Responsabilidad civil </w:t>
      </w:r>
    </w:p>
    <w:p w14:paraId="04BEE270" w14:textId="7FDEF69F" w:rsidR="00B25802" w:rsidRPr="00B25802" w:rsidRDefault="00B25802" w:rsidP="00B25802">
      <w:pPr>
        <w:spacing w:after="0" w:line="240" w:lineRule="auto"/>
        <w:jc w:val="both"/>
        <w:rPr>
          <w:rFonts w:ascii="Arial" w:eastAsia="Times New Roman" w:hAnsi="Arial" w:cs="Arial"/>
          <w:sz w:val="20"/>
          <w:szCs w:val="20"/>
          <w:lang w:val="es-419" w:eastAsia="es-ES"/>
        </w:rPr>
      </w:pPr>
      <w:r w:rsidRPr="00B25802">
        <w:rPr>
          <w:rFonts w:ascii="Arial" w:eastAsia="Times New Roman" w:hAnsi="Arial" w:cs="Arial"/>
          <w:sz w:val="20"/>
          <w:szCs w:val="20"/>
          <w:lang w:val="es-419" w:eastAsia="es-ES"/>
        </w:rPr>
        <w:t>Demandante</w:t>
      </w:r>
      <w:r w:rsidR="00E3522B">
        <w:rPr>
          <w:rFonts w:ascii="Arial" w:eastAsia="Times New Roman" w:hAnsi="Arial" w:cs="Arial"/>
          <w:sz w:val="20"/>
          <w:szCs w:val="20"/>
          <w:lang w:val="es-419" w:eastAsia="es-ES"/>
        </w:rPr>
        <w:t>:</w:t>
      </w:r>
      <w:r w:rsidRPr="00B25802">
        <w:rPr>
          <w:rFonts w:ascii="Arial" w:eastAsia="Times New Roman" w:hAnsi="Arial" w:cs="Arial"/>
          <w:sz w:val="20"/>
          <w:szCs w:val="20"/>
          <w:lang w:val="es-419" w:eastAsia="es-ES"/>
        </w:rPr>
        <w:tab/>
        <w:t>Ma. Alejandra Ramírez Giraldo y otros</w:t>
      </w:r>
    </w:p>
    <w:p w14:paraId="2A01A680" w14:textId="3805C740" w:rsidR="00B25802" w:rsidRPr="00B25802" w:rsidRDefault="00B25802" w:rsidP="00B25802">
      <w:pPr>
        <w:spacing w:after="0" w:line="240" w:lineRule="auto"/>
        <w:jc w:val="both"/>
        <w:rPr>
          <w:rFonts w:ascii="Arial" w:eastAsia="Times New Roman" w:hAnsi="Arial" w:cs="Arial"/>
          <w:sz w:val="20"/>
          <w:szCs w:val="20"/>
          <w:lang w:val="es-419" w:eastAsia="es-ES"/>
        </w:rPr>
      </w:pPr>
      <w:r w:rsidRPr="00B25802">
        <w:rPr>
          <w:rFonts w:ascii="Arial" w:eastAsia="Times New Roman" w:hAnsi="Arial" w:cs="Arial"/>
          <w:sz w:val="20"/>
          <w:szCs w:val="20"/>
          <w:lang w:val="es-419" w:eastAsia="es-ES"/>
        </w:rPr>
        <w:t>Demandado</w:t>
      </w:r>
      <w:r w:rsidR="00E3522B">
        <w:rPr>
          <w:rFonts w:ascii="Arial" w:eastAsia="Times New Roman" w:hAnsi="Arial" w:cs="Arial"/>
          <w:sz w:val="20"/>
          <w:szCs w:val="20"/>
          <w:lang w:val="es-419" w:eastAsia="es-ES"/>
        </w:rPr>
        <w:t>:</w:t>
      </w:r>
      <w:r w:rsidRPr="00B25802">
        <w:rPr>
          <w:rFonts w:ascii="Arial" w:eastAsia="Times New Roman" w:hAnsi="Arial" w:cs="Arial"/>
          <w:sz w:val="20"/>
          <w:szCs w:val="20"/>
          <w:lang w:val="es-419" w:eastAsia="es-ES"/>
        </w:rPr>
        <w:tab/>
        <w:t>Luis Fernando Giraldo Salazar y otros</w:t>
      </w:r>
    </w:p>
    <w:p w14:paraId="4A9FAC3A" w14:textId="77777777" w:rsidR="00B25802" w:rsidRPr="00B25802" w:rsidRDefault="00B25802" w:rsidP="00B25802">
      <w:pPr>
        <w:spacing w:after="0" w:line="240" w:lineRule="auto"/>
        <w:jc w:val="both"/>
        <w:rPr>
          <w:rFonts w:ascii="Arial" w:eastAsia="Times New Roman" w:hAnsi="Arial" w:cs="Arial"/>
          <w:sz w:val="20"/>
          <w:szCs w:val="20"/>
          <w:lang w:val="es-419" w:eastAsia="es-ES"/>
        </w:rPr>
      </w:pPr>
    </w:p>
    <w:p w14:paraId="5D6A157D" w14:textId="7F7F7A9B" w:rsidR="00EF2994" w:rsidRPr="00FA1518" w:rsidRDefault="00EF2994" w:rsidP="00EF2994">
      <w:pPr>
        <w:jc w:val="both"/>
        <w:rPr>
          <w:rFonts w:ascii="Arial" w:eastAsia="Times New Roman" w:hAnsi="Arial" w:cs="Arial"/>
          <w:b/>
          <w:bCs/>
          <w:iCs/>
          <w:sz w:val="20"/>
          <w:szCs w:val="20"/>
          <w:lang w:val="es-419" w:eastAsia="fr-FR"/>
        </w:rPr>
      </w:pPr>
      <w:r w:rsidRPr="00FA1518">
        <w:rPr>
          <w:rFonts w:ascii="Arial" w:eastAsia="Times New Roman" w:hAnsi="Arial" w:cs="Arial"/>
          <w:b/>
          <w:bCs/>
          <w:iCs/>
          <w:sz w:val="20"/>
          <w:szCs w:val="20"/>
          <w:u w:val="single"/>
          <w:lang w:val="es-419" w:eastAsia="fr-FR"/>
        </w:rPr>
        <w:t>TEMAS:</w:t>
      </w:r>
      <w:r w:rsidRPr="00FA1518">
        <w:rPr>
          <w:rFonts w:ascii="Arial" w:eastAsia="Times New Roman" w:hAnsi="Arial" w:cs="Arial"/>
          <w:b/>
          <w:bCs/>
          <w:iCs/>
          <w:sz w:val="20"/>
          <w:szCs w:val="20"/>
          <w:lang w:val="es-419" w:eastAsia="fr-FR"/>
        </w:rPr>
        <w:tab/>
      </w:r>
      <w:r w:rsidRPr="00FA1518">
        <w:rPr>
          <w:rFonts w:ascii="Arial" w:eastAsia="Times New Roman" w:hAnsi="Arial" w:cs="Arial"/>
          <w:b/>
          <w:sz w:val="20"/>
          <w:szCs w:val="20"/>
          <w:lang w:val="es-419" w:eastAsia="es-ES"/>
        </w:rPr>
        <w:t xml:space="preserve">RESPONSABILIDAD CIVIL EXTRACONTRACTUAL / </w:t>
      </w:r>
      <w:r>
        <w:rPr>
          <w:rFonts w:ascii="Arial" w:eastAsia="Times New Roman" w:hAnsi="Arial" w:cs="Arial"/>
          <w:b/>
          <w:sz w:val="20"/>
          <w:szCs w:val="20"/>
          <w:lang w:val="es-419" w:eastAsia="es-ES"/>
        </w:rPr>
        <w:t xml:space="preserve">EJERCICIO DE ACTIVIDADES PELIGROSAS </w:t>
      </w:r>
      <w:r w:rsidRPr="00FA1518">
        <w:rPr>
          <w:rFonts w:ascii="Arial" w:eastAsia="Times New Roman" w:hAnsi="Arial" w:cs="Arial"/>
          <w:b/>
          <w:sz w:val="20"/>
          <w:szCs w:val="20"/>
          <w:lang w:val="es-419" w:eastAsia="es-ES"/>
        </w:rPr>
        <w:t xml:space="preserve">/ </w:t>
      </w:r>
      <w:r>
        <w:rPr>
          <w:rFonts w:ascii="Arial" w:eastAsia="Times New Roman" w:hAnsi="Arial" w:cs="Arial"/>
          <w:b/>
          <w:sz w:val="20"/>
          <w:szCs w:val="20"/>
          <w:lang w:val="es-419" w:eastAsia="es-ES"/>
        </w:rPr>
        <w:t xml:space="preserve">SE PRESUME LA CULPA / CONDUCCIÓN DE VEHÍCULOS / CONCURRENCIA DE CAUSAS / </w:t>
      </w:r>
      <w:r w:rsidRPr="00FA1518">
        <w:rPr>
          <w:rFonts w:ascii="Arial" w:eastAsia="Times New Roman" w:hAnsi="Arial" w:cs="Arial"/>
          <w:b/>
          <w:sz w:val="20"/>
          <w:szCs w:val="20"/>
          <w:lang w:val="es-419" w:eastAsia="es-ES"/>
        </w:rPr>
        <w:t xml:space="preserve">EXONERACIÓN DE LA CULPA / HECHO EXCLUSIVO DE LA VÍCTIMA / </w:t>
      </w:r>
      <w:r>
        <w:rPr>
          <w:rFonts w:ascii="Arial" w:eastAsia="Times New Roman" w:hAnsi="Arial" w:cs="Arial"/>
          <w:b/>
          <w:sz w:val="20"/>
          <w:szCs w:val="20"/>
          <w:lang w:val="es-419" w:eastAsia="es-ES"/>
        </w:rPr>
        <w:t>VALORACIÓN PROBATORIA.</w:t>
      </w:r>
    </w:p>
    <w:p w14:paraId="048628C0" w14:textId="5F01910A" w:rsidR="00B25802" w:rsidRPr="00B25802" w:rsidRDefault="00581E56" w:rsidP="00B25802">
      <w:pPr>
        <w:spacing w:after="0" w:line="240" w:lineRule="auto"/>
        <w:jc w:val="both"/>
        <w:rPr>
          <w:rFonts w:ascii="Arial" w:eastAsia="Times New Roman" w:hAnsi="Arial" w:cs="Arial"/>
          <w:sz w:val="20"/>
          <w:szCs w:val="20"/>
          <w:lang w:val="es-ES" w:eastAsia="es-ES"/>
        </w:rPr>
      </w:pPr>
      <w:r w:rsidRPr="00581E56">
        <w:rPr>
          <w:rFonts w:ascii="Arial" w:eastAsia="Times New Roman" w:hAnsi="Arial" w:cs="Arial"/>
          <w:sz w:val="20"/>
          <w:szCs w:val="20"/>
          <w:lang w:val="es-ES" w:eastAsia="es-ES"/>
        </w:rPr>
        <w:t>Incumbe a la Sala resolver si confirma el fallo que negó las pretensiones por cuanto se demostró la incidencia directa de la víctima en el accidente, o si la revoca, como pretenden los recurrentes, en la medida en que se encuentran demostrados los elementos de la responsabilidad, sin eximente alguna.</w:t>
      </w:r>
    </w:p>
    <w:p w14:paraId="29D604F9" w14:textId="77777777" w:rsidR="00B25802" w:rsidRPr="00B25802" w:rsidRDefault="00B25802" w:rsidP="00B25802">
      <w:pPr>
        <w:spacing w:after="0" w:line="240" w:lineRule="auto"/>
        <w:jc w:val="both"/>
        <w:rPr>
          <w:rFonts w:ascii="Arial" w:eastAsia="Times New Roman" w:hAnsi="Arial" w:cs="Arial"/>
          <w:sz w:val="20"/>
          <w:szCs w:val="20"/>
          <w:lang w:val="es-ES" w:eastAsia="es-ES"/>
        </w:rPr>
      </w:pPr>
    </w:p>
    <w:p w14:paraId="12899947" w14:textId="0A22089B" w:rsidR="00B25802" w:rsidRPr="00B25802" w:rsidRDefault="002C66C3" w:rsidP="00B2580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C66C3">
        <w:rPr>
          <w:rFonts w:ascii="Arial" w:eastAsia="Times New Roman" w:hAnsi="Arial" w:cs="Arial"/>
          <w:sz w:val="20"/>
          <w:szCs w:val="20"/>
          <w:lang w:val="es-ES" w:eastAsia="es-ES"/>
        </w:rPr>
        <w:t>quien causa un daño a otro debe resarcirlo, como enseña el artículo 2341 del Código Civil, siempre que se demuestre, y esa es carga de quien la invoca, que hubo el hecho, que medió culpa del agente, que hubo un daño y que entre este y el hecho existió un nexo causal.</w:t>
      </w:r>
    </w:p>
    <w:p w14:paraId="43CA03F2" w14:textId="56B0E585" w:rsidR="00B25802" w:rsidRDefault="00B25802" w:rsidP="00B25802">
      <w:pPr>
        <w:spacing w:after="0" w:line="240" w:lineRule="auto"/>
        <w:jc w:val="both"/>
        <w:rPr>
          <w:rFonts w:ascii="Arial" w:eastAsia="Times New Roman" w:hAnsi="Arial" w:cs="Arial"/>
          <w:sz w:val="20"/>
          <w:szCs w:val="20"/>
          <w:lang w:val="es-ES" w:eastAsia="es-ES"/>
        </w:rPr>
      </w:pPr>
    </w:p>
    <w:p w14:paraId="5B61F688" w14:textId="1EB718BA" w:rsidR="002C66C3" w:rsidRDefault="002C66C3" w:rsidP="00B25802">
      <w:pPr>
        <w:spacing w:after="0" w:line="240" w:lineRule="auto"/>
        <w:jc w:val="both"/>
        <w:rPr>
          <w:rFonts w:ascii="Arial" w:eastAsia="Times New Roman" w:hAnsi="Arial" w:cs="Arial"/>
          <w:sz w:val="20"/>
          <w:szCs w:val="20"/>
          <w:lang w:val="es-ES" w:eastAsia="es-ES"/>
        </w:rPr>
      </w:pPr>
      <w:r w:rsidRPr="002C66C3">
        <w:rPr>
          <w:rFonts w:ascii="Arial" w:eastAsia="Times New Roman" w:hAnsi="Arial" w:cs="Arial"/>
          <w:sz w:val="20"/>
          <w:szCs w:val="20"/>
          <w:lang w:val="es-ES" w:eastAsia="es-ES"/>
        </w:rPr>
        <w:t>Y si se trata del ejercicio de una actividad peligrosa, de aquellas que enuncia el artículo 2356 del mismo estatuto,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w:t>
      </w:r>
      <w:r>
        <w:rPr>
          <w:rFonts w:ascii="Arial" w:eastAsia="Times New Roman" w:hAnsi="Arial" w:cs="Arial"/>
          <w:sz w:val="20"/>
          <w:szCs w:val="20"/>
          <w:lang w:val="es-ES" w:eastAsia="es-ES"/>
        </w:rPr>
        <w:t>…</w:t>
      </w:r>
    </w:p>
    <w:p w14:paraId="03EB3B1C" w14:textId="72476248" w:rsidR="002C66C3" w:rsidRDefault="002C66C3" w:rsidP="00B25802">
      <w:pPr>
        <w:spacing w:after="0" w:line="240" w:lineRule="auto"/>
        <w:jc w:val="both"/>
        <w:rPr>
          <w:rFonts w:ascii="Arial" w:eastAsia="Times New Roman" w:hAnsi="Arial" w:cs="Arial"/>
          <w:sz w:val="20"/>
          <w:szCs w:val="20"/>
          <w:lang w:val="es-ES" w:eastAsia="es-ES"/>
        </w:rPr>
      </w:pPr>
    </w:p>
    <w:p w14:paraId="37925E71" w14:textId="112FDB96" w:rsidR="002C66C3" w:rsidRDefault="00626F69" w:rsidP="00B25802">
      <w:pPr>
        <w:spacing w:after="0" w:line="240" w:lineRule="auto"/>
        <w:jc w:val="both"/>
        <w:rPr>
          <w:rFonts w:ascii="Arial" w:eastAsia="Times New Roman" w:hAnsi="Arial" w:cs="Arial"/>
          <w:sz w:val="20"/>
          <w:szCs w:val="20"/>
          <w:lang w:val="es-ES" w:eastAsia="es-ES"/>
        </w:rPr>
      </w:pPr>
      <w:r w:rsidRPr="00626F69">
        <w:rPr>
          <w:rFonts w:ascii="Arial" w:eastAsia="Times New Roman" w:hAnsi="Arial" w:cs="Arial"/>
          <w:sz w:val="20"/>
          <w:szCs w:val="20"/>
          <w:lang w:val="es-ES" w:eastAsia="es-ES"/>
        </w:rPr>
        <w:t>En todo caso, 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w:t>
      </w:r>
      <w:r w:rsidR="00D87EF8">
        <w:rPr>
          <w:rFonts w:ascii="Arial" w:eastAsia="Times New Roman" w:hAnsi="Arial" w:cs="Arial"/>
          <w:sz w:val="20"/>
          <w:szCs w:val="20"/>
          <w:lang w:val="es-ES" w:eastAsia="es-ES"/>
        </w:rPr>
        <w:t>…</w:t>
      </w:r>
    </w:p>
    <w:p w14:paraId="7407BE77" w14:textId="6822C52D" w:rsidR="00D87EF8" w:rsidRDefault="00D87EF8" w:rsidP="00B25802">
      <w:pPr>
        <w:spacing w:after="0" w:line="240" w:lineRule="auto"/>
        <w:jc w:val="both"/>
        <w:rPr>
          <w:rFonts w:ascii="Arial" w:eastAsia="Times New Roman" w:hAnsi="Arial" w:cs="Arial"/>
          <w:sz w:val="20"/>
          <w:szCs w:val="20"/>
          <w:lang w:val="es-ES" w:eastAsia="es-ES"/>
        </w:rPr>
      </w:pPr>
    </w:p>
    <w:p w14:paraId="18F3498F" w14:textId="61A72D17" w:rsidR="00D87EF8" w:rsidRDefault="00D87EF8" w:rsidP="00B25802">
      <w:pPr>
        <w:spacing w:after="0" w:line="240" w:lineRule="auto"/>
        <w:jc w:val="both"/>
        <w:rPr>
          <w:rFonts w:ascii="Arial" w:eastAsia="Times New Roman" w:hAnsi="Arial" w:cs="Arial"/>
          <w:sz w:val="20"/>
          <w:szCs w:val="20"/>
          <w:lang w:val="es-ES" w:eastAsia="es-ES"/>
        </w:rPr>
      </w:pPr>
      <w:r w:rsidRPr="00D87EF8">
        <w:rPr>
          <w:rFonts w:ascii="Arial" w:eastAsia="Times New Roman" w:hAnsi="Arial" w:cs="Arial"/>
          <w:sz w:val="20"/>
          <w:szCs w:val="20"/>
          <w:lang w:val="es-ES" w:eastAsia="es-ES"/>
        </w:rPr>
        <w:t>En tales eventos, no se aniquila la presunción, ni se neutraliza, tampoco se debilita el régimen de culpa presunta, que subsiste en ambos agentes, así que lo que incumbe es demostrarle al juez cuál de tales comportamientos tuvo incidencia causal en la producción del daño, que si solo fue el del demandado, advendrá la condena total, si lo fue por ambos extremos, podrá haber lugar a la reducción de la indemnización, y si el hecho de la víctima fue exclusivo, sobrevendrá la absolución.</w:t>
      </w:r>
    </w:p>
    <w:p w14:paraId="33CB0454" w14:textId="77777777" w:rsidR="00D87EF8" w:rsidRDefault="00D87EF8" w:rsidP="00B25802">
      <w:pPr>
        <w:spacing w:after="0" w:line="240" w:lineRule="auto"/>
        <w:jc w:val="both"/>
        <w:rPr>
          <w:rFonts w:ascii="Arial" w:eastAsia="Times New Roman" w:hAnsi="Arial" w:cs="Arial"/>
          <w:sz w:val="20"/>
          <w:szCs w:val="20"/>
          <w:lang w:val="es-ES" w:eastAsia="es-ES"/>
        </w:rPr>
      </w:pPr>
    </w:p>
    <w:p w14:paraId="30C697BF" w14:textId="77777777" w:rsidR="002C66C3" w:rsidRPr="00B25802" w:rsidRDefault="002C66C3" w:rsidP="00B25802">
      <w:pPr>
        <w:spacing w:after="0" w:line="240" w:lineRule="auto"/>
        <w:jc w:val="both"/>
        <w:rPr>
          <w:rFonts w:ascii="Arial" w:eastAsia="Times New Roman" w:hAnsi="Arial" w:cs="Arial"/>
          <w:sz w:val="20"/>
          <w:szCs w:val="20"/>
          <w:lang w:val="es-ES" w:eastAsia="es-ES"/>
        </w:rPr>
      </w:pPr>
    </w:p>
    <w:bookmarkEnd w:id="0"/>
    <w:p w14:paraId="74C6C105" w14:textId="77777777" w:rsidR="00B25802" w:rsidRPr="00B25802" w:rsidRDefault="00B25802" w:rsidP="00B25802">
      <w:pPr>
        <w:spacing w:after="0" w:line="240" w:lineRule="auto"/>
        <w:jc w:val="both"/>
        <w:rPr>
          <w:rFonts w:ascii="Arial" w:eastAsia="Times New Roman" w:hAnsi="Arial" w:cs="Arial"/>
          <w:sz w:val="20"/>
          <w:szCs w:val="20"/>
          <w:lang w:val="es-ES" w:eastAsia="es-ES"/>
        </w:rPr>
      </w:pPr>
    </w:p>
    <w:bookmarkEnd w:id="1"/>
    <w:p w14:paraId="07E7CEA3" w14:textId="77777777" w:rsidR="00B25802" w:rsidRPr="00B25802" w:rsidRDefault="00B25802" w:rsidP="009A6D7D">
      <w:pPr>
        <w:widowControl w:val="0"/>
        <w:autoSpaceDE w:val="0"/>
        <w:autoSpaceDN w:val="0"/>
        <w:spacing w:after="0" w:line="276" w:lineRule="auto"/>
        <w:ind w:right="1213" w:firstLine="1701"/>
        <w:outlineLvl w:val="1"/>
        <w:rPr>
          <w:rFonts w:ascii="Gadugi" w:eastAsia="Gadugi" w:hAnsi="Gadugi" w:cs="Gadugi"/>
          <w:b/>
          <w:bCs/>
          <w:sz w:val="24"/>
          <w:szCs w:val="24"/>
          <w:lang w:val="es-ES" w:eastAsia="en-US"/>
        </w:rPr>
      </w:pPr>
      <w:r w:rsidRPr="00B25802">
        <w:rPr>
          <w:rFonts w:ascii="Gadugi" w:eastAsia="Gadugi" w:hAnsi="Gadugi" w:cs="Gadugi"/>
          <w:b/>
          <w:bCs/>
          <w:sz w:val="24"/>
          <w:szCs w:val="24"/>
          <w:lang w:val="es-ES" w:eastAsia="en-US"/>
        </w:rPr>
        <w:t>TRIBUNAL SUPERIOR DEL DISTRITO JUDICIAL</w:t>
      </w:r>
    </w:p>
    <w:p w14:paraId="62EEF364" w14:textId="6CF37204" w:rsidR="00B25802" w:rsidRPr="00B25802" w:rsidRDefault="00B25802" w:rsidP="009A6D7D">
      <w:pPr>
        <w:widowControl w:val="0"/>
        <w:autoSpaceDE w:val="0"/>
        <w:autoSpaceDN w:val="0"/>
        <w:spacing w:after="0" w:line="276" w:lineRule="auto"/>
        <w:ind w:left="981" w:right="1213" w:firstLine="720"/>
        <w:outlineLvl w:val="1"/>
        <w:rPr>
          <w:rFonts w:ascii="Gadugi" w:eastAsia="Gadugi" w:hAnsi="Gadugi" w:cs="Gadugi"/>
          <w:b/>
          <w:bCs/>
          <w:sz w:val="24"/>
          <w:szCs w:val="24"/>
          <w:lang w:val="es-ES" w:eastAsia="en-US"/>
        </w:rPr>
      </w:pPr>
      <w:r w:rsidRPr="00B25802">
        <w:rPr>
          <w:rFonts w:ascii="Gadugi" w:hAnsi="Gadugi" w:cs="Times New Roman"/>
          <w:b/>
          <w:sz w:val="24"/>
          <w:szCs w:val="24"/>
          <w:lang w:val="es-ES" w:eastAsia="en-US"/>
        </w:rPr>
        <w:t xml:space="preserve">SALA DE DECISIÓN CIVIL FAMILIA </w:t>
      </w:r>
    </w:p>
    <w:p w14:paraId="03FC3BAB" w14:textId="77777777" w:rsidR="00B25802" w:rsidRPr="00B25802" w:rsidRDefault="00B25802" w:rsidP="009A6D7D">
      <w:pPr>
        <w:spacing w:after="0" w:line="276" w:lineRule="auto"/>
        <w:ind w:firstLine="993"/>
        <w:jc w:val="both"/>
        <w:rPr>
          <w:rFonts w:ascii="Gadugi" w:hAnsi="Gadugi" w:cs="Times New Roman"/>
          <w:sz w:val="24"/>
          <w:szCs w:val="24"/>
          <w:lang w:val="es-ES" w:eastAsia="en-US"/>
        </w:rPr>
      </w:pPr>
    </w:p>
    <w:p w14:paraId="7E89B7A7" w14:textId="77777777" w:rsidR="00B25802" w:rsidRPr="00B25802" w:rsidRDefault="00B25802" w:rsidP="009A6D7D">
      <w:pPr>
        <w:spacing w:after="0" w:line="276" w:lineRule="auto"/>
        <w:ind w:firstLine="993"/>
        <w:jc w:val="both"/>
        <w:rPr>
          <w:rFonts w:ascii="Gadugi" w:hAnsi="Gadugi" w:cs="Times New Roman"/>
          <w:sz w:val="24"/>
          <w:szCs w:val="24"/>
          <w:lang w:val="es-ES" w:eastAsia="en-US"/>
        </w:rPr>
      </w:pPr>
    </w:p>
    <w:p w14:paraId="04578C24" w14:textId="77777777" w:rsidR="00B25802" w:rsidRPr="00B25802" w:rsidRDefault="00B25802" w:rsidP="009A6D7D">
      <w:pPr>
        <w:widowControl w:val="0"/>
        <w:autoSpaceDE w:val="0"/>
        <w:autoSpaceDN w:val="0"/>
        <w:spacing w:after="0" w:line="276" w:lineRule="auto"/>
        <w:ind w:right="1213" w:firstLine="1701"/>
        <w:jc w:val="both"/>
        <w:outlineLvl w:val="1"/>
        <w:rPr>
          <w:rFonts w:ascii="Gadugi" w:eastAsia="Gadugi" w:hAnsi="Gadugi" w:cs="Gadugi"/>
          <w:bCs/>
          <w:sz w:val="24"/>
          <w:szCs w:val="24"/>
          <w:lang w:val="es-ES" w:eastAsia="en-US"/>
        </w:rPr>
      </w:pPr>
      <w:r w:rsidRPr="00B25802">
        <w:rPr>
          <w:rFonts w:ascii="Gadugi" w:eastAsia="Gadugi" w:hAnsi="Gadugi" w:cs="Gadugi"/>
          <w:bCs/>
          <w:sz w:val="24"/>
          <w:szCs w:val="24"/>
          <w:lang w:val="es-ES" w:eastAsia="en-US"/>
        </w:rPr>
        <w:t>Magistrado:</w:t>
      </w:r>
      <w:r w:rsidRPr="00B25802">
        <w:rPr>
          <w:rFonts w:ascii="Gadugi" w:eastAsia="Gadugi" w:hAnsi="Gadugi" w:cs="Gadugi"/>
          <w:bCs/>
          <w:sz w:val="24"/>
          <w:szCs w:val="24"/>
          <w:lang w:val="es-ES" w:eastAsia="en-US"/>
        </w:rPr>
        <w:tab/>
        <w:t>Jaime Alberto Saraza Naranjo</w:t>
      </w:r>
    </w:p>
    <w:p w14:paraId="126899EF" w14:textId="54CCA65D" w:rsidR="006E4639" w:rsidRPr="009A6D7D" w:rsidRDefault="00B25802" w:rsidP="009A6D7D">
      <w:pPr>
        <w:widowControl w:val="0"/>
        <w:autoSpaceDE w:val="0"/>
        <w:autoSpaceDN w:val="0"/>
        <w:spacing w:after="0" w:line="276" w:lineRule="auto"/>
        <w:ind w:right="1213" w:firstLine="1701"/>
        <w:jc w:val="both"/>
        <w:outlineLvl w:val="1"/>
        <w:rPr>
          <w:rFonts w:ascii="Gadugi" w:eastAsia="Gadugi" w:hAnsi="Gadugi" w:cs="Gadugi"/>
          <w:bCs/>
          <w:sz w:val="24"/>
          <w:szCs w:val="24"/>
          <w:lang w:val="es-ES" w:eastAsia="en-US"/>
        </w:rPr>
      </w:pPr>
      <w:r w:rsidRPr="009A6D7D">
        <w:rPr>
          <w:rFonts w:ascii="Gadugi" w:eastAsia="Gadugi" w:hAnsi="Gadugi" w:cs="Gadugi"/>
          <w:bCs/>
          <w:sz w:val="24"/>
          <w:szCs w:val="24"/>
          <w:lang w:val="es-ES" w:eastAsia="en-US"/>
        </w:rPr>
        <w:t>Pereira</w:t>
      </w:r>
      <w:r w:rsidR="00E3522B" w:rsidRPr="009A6D7D">
        <w:rPr>
          <w:rFonts w:ascii="Gadugi" w:eastAsia="Gadugi" w:hAnsi="Gadugi" w:cs="Gadugi"/>
          <w:bCs/>
          <w:sz w:val="24"/>
          <w:szCs w:val="24"/>
          <w:lang w:val="es-ES" w:eastAsia="en-US"/>
        </w:rPr>
        <w:t>:</w:t>
      </w:r>
      <w:r w:rsidR="00E3522B" w:rsidRPr="009A6D7D">
        <w:rPr>
          <w:rFonts w:ascii="Gadugi" w:eastAsia="Gadugi" w:hAnsi="Gadugi" w:cs="Gadugi"/>
          <w:bCs/>
          <w:sz w:val="24"/>
          <w:szCs w:val="24"/>
          <w:lang w:val="es-ES" w:eastAsia="en-US"/>
        </w:rPr>
        <w:tab/>
      </w:r>
      <w:r w:rsidRPr="009A6D7D">
        <w:rPr>
          <w:rFonts w:ascii="Gadugi" w:eastAsia="Gadugi" w:hAnsi="Gadugi" w:cs="Gadugi"/>
          <w:bCs/>
          <w:sz w:val="24"/>
          <w:szCs w:val="24"/>
          <w:lang w:val="es-ES" w:eastAsia="en-US"/>
        </w:rPr>
        <w:tab/>
        <w:t>Septiembre cinco de dos mil veintidós</w:t>
      </w:r>
    </w:p>
    <w:p w14:paraId="65EFA951" w14:textId="506FE359" w:rsidR="00B25802" w:rsidRPr="009A6D7D" w:rsidRDefault="00B25802" w:rsidP="009A6D7D">
      <w:pPr>
        <w:widowControl w:val="0"/>
        <w:autoSpaceDE w:val="0"/>
        <w:autoSpaceDN w:val="0"/>
        <w:spacing w:after="0" w:line="276" w:lineRule="auto"/>
        <w:ind w:right="1213" w:firstLine="1701"/>
        <w:jc w:val="both"/>
        <w:outlineLvl w:val="1"/>
        <w:rPr>
          <w:rFonts w:ascii="Gadugi" w:eastAsia="Gadugi" w:hAnsi="Gadugi" w:cs="Gadugi"/>
          <w:bCs/>
          <w:sz w:val="24"/>
          <w:szCs w:val="24"/>
          <w:lang w:val="es-ES" w:eastAsia="en-US"/>
        </w:rPr>
      </w:pPr>
      <w:r w:rsidRPr="009A6D7D">
        <w:rPr>
          <w:rFonts w:ascii="Gadugi" w:eastAsia="Gadugi" w:hAnsi="Gadugi" w:cs="Gadugi"/>
          <w:bCs/>
          <w:sz w:val="24"/>
          <w:szCs w:val="24"/>
          <w:lang w:val="es-ES" w:eastAsia="en-US"/>
        </w:rPr>
        <w:t>Acta</w:t>
      </w:r>
      <w:r w:rsidR="00E3522B" w:rsidRPr="009A6D7D">
        <w:rPr>
          <w:rFonts w:ascii="Gadugi" w:eastAsia="Gadugi" w:hAnsi="Gadugi" w:cs="Gadugi"/>
          <w:bCs/>
          <w:sz w:val="24"/>
          <w:szCs w:val="24"/>
          <w:lang w:val="es-ES" w:eastAsia="en-US"/>
        </w:rPr>
        <w:t>:</w:t>
      </w:r>
      <w:r w:rsidRPr="009A6D7D">
        <w:rPr>
          <w:rFonts w:ascii="Gadugi" w:eastAsia="Gadugi" w:hAnsi="Gadugi" w:cs="Gadugi"/>
          <w:bCs/>
          <w:sz w:val="24"/>
          <w:szCs w:val="24"/>
          <w:lang w:val="es-ES" w:eastAsia="en-US"/>
        </w:rPr>
        <w:tab/>
      </w:r>
      <w:r w:rsidR="00E3522B" w:rsidRPr="009A6D7D">
        <w:rPr>
          <w:rFonts w:ascii="Gadugi" w:eastAsia="Gadugi" w:hAnsi="Gadugi" w:cs="Gadugi"/>
          <w:bCs/>
          <w:sz w:val="24"/>
          <w:szCs w:val="24"/>
          <w:lang w:val="es-ES" w:eastAsia="en-US"/>
        </w:rPr>
        <w:tab/>
      </w:r>
      <w:r w:rsidRPr="009A6D7D">
        <w:rPr>
          <w:rFonts w:ascii="Gadugi" w:eastAsia="Gadugi" w:hAnsi="Gadugi" w:cs="Gadugi"/>
          <w:bCs/>
          <w:sz w:val="24"/>
          <w:szCs w:val="24"/>
          <w:lang w:val="es-ES" w:eastAsia="en-US"/>
        </w:rPr>
        <w:t>424 del 5 de septiembre de 2022</w:t>
      </w:r>
    </w:p>
    <w:p w14:paraId="43D8F996" w14:textId="6F71B375" w:rsidR="00B25802" w:rsidRPr="009A6D7D" w:rsidRDefault="00B25802" w:rsidP="009A6D7D">
      <w:pPr>
        <w:widowControl w:val="0"/>
        <w:autoSpaceDE w:val="0"/>
        <w:autoSpaceDN w:val="0"/>
        <w:spacing w:after="0" w:line="276" w:lineRule="auto"/>
        <w:ind w:right="1213" w:firstLine="1701"/>
        <w:jc w:val="both"/>
        <w:outlineLvl w:val="1"/>
        <w:rPr>
          <w:rFonts w:ascii="Gadugi" w:eastAsia="Gadugi" w:hAnsi="Gadugi" w:cs="Gadugi"/>
          <w:bCs/>
          <w:sz w:val="24"/>
          <w:szCs w:val="24"/>
          <w:lang w:val="es-ES" w:eastAsia="en-US"/>
        </w:rPr>
      </w:pPr>
      <w:r w:rsidRPr="009A6D7D">
        <w:rPr>
          <w:rFonts w:ascii="Gadugi" w:eastAsia="Gadugi" w:hAnsi="Gadugi" w:cs="Gadugi"/>
          <w:bCs/>
          <w:sz w:val="24"/>
          <w:szCs w:val="24"/>
          <w:lang w:val="es-ES" w:eastAsia="en-US"/>
        </w:rPr>
        <w:t>Sentencia</w:t>
      </w:r>
      <w:r w:rsidR="00E3522B" w:rsidRPr="009A6D7D">
        <w:rPr>
          <w:rFonts w:ascii="Gadugi" w:eastAsia="Gadugi" w:hAnsi="Gadugi" w:cs="Gadugi"/>
          <w:bCs/>
          <w:sz w:val="24"/>
          <w:szCs w:val="24"/>
          <w:lang w:val="es-ES" w:eastAsia="en-US"/>
        </w:rPr>
        <w:t>:</w:t>
      </w:r>
      <w:r w:rsidR="00E3522B" w:rsidRPr="009A6D7D">
        <w:rPr>
          <w:rFonts w:ascii="Gadugi" w:eastAsia="Gadugi" w:hAnsi="Gadugi" w:cs="Gadugi"/>
          <w:bCs/>
          <w:sz w:val="24"/>
          <w:szCs w:val="24"/>
          <w:lang w:val="es-ES" w:eastAsia="en-US"/>
        </w:rPr>
        <w:tab/>
      </w:r>
      <w:r w:rsidR="00E3522B" w:rsidRPr="009A6D7D">
        <w:rPr>
          <w:rFonts w:ascii="Gadugi" w:eastAsia="Gadugi" w:hAnsi="Gadugi" w:cs="Gadugi"/>
          <w:bCs/>
          <w:sz w:val="24"/>
          <w:szCs w:val="24"/>
          <w:lang w:val="es-ES" w:eastAsia="en-US"/>
        </w:rPr>
        <w:tab/>
      </w:r>
      <w:bookmarkStart w:id="3" w:name="_GoBack"/>
      <w:r w:rsidRPr="009A6D7D">
        <w:rPr>
          <w:rFonts w:ascii="Gadugi" w:eastAsia="Gadugi" w:hAnsi="Gadugi" w:cs="Gadugi"/>
          <w:bCs/>
          <w:sz w:val="24"/>
          <w:szCs w:val="24"/>
          <w:lang w:val="es-ES" w:eastAsia="en-US"/>
        </w:rPr>
        <w:t>SC-0045-2022</w:t>
      </w:r>
      <w:bookmarkEnd w:id="3"/>
    </w:p>
    <w:p w14:paraId="7310229B" w14:textId="77777777" w:rsidR="00B25802" w:rsidRPr="009A6D7D" w:rsidRDefault="00B25802" w:rsidP="009A6D7D">
      <w:pPr>
        <w:widowControl w:val="0"/>
        <w:autoSpaceDE w:val="0"/>
        <w:autoSpaceDN w:val="0"/>
        <w:spacing w:after="0" w:line="276" w:lineRule="auto"/>
        <w:ind w:right="1213" w:firstLine="1701"/>
        <w:jc w:val="both"/>
        <w:outlineLvl w:val="1"/>
        <w:rPr>
          <w:rFonts w:ascii="Gadugi" w:eastAsia="Gadugi" w:hAnsi="Gadugi" w:cs="Gadugi"/>
          <w:bCs/>
          <w:sz w:val="24"/>
          <w:szCs w:val="24"/>
          <w:lang w:val="es-ES" w:eastAsia="en-US"/>
        </w:rPr>
      </w:pPr>
    </w:p>
    <w:p w14:paraId="1C22C08F" w14:textId="62B7B6A2" w:rsidR="00AD4ACE" w:rsidRPr="009A6D7D" w:rsidRDefault="00A85F10" w:rsidP="009A6D7D">
      <w:pPr>
        <w:tabs>
          <w:tab w:val="left" w:pos="4536"/>
        </w:tabs>
        <w:spacing w:after="0" w:line="276" w:lineRule="auto"/>
        <w:ind w:firstLine="1701"/>
        <w:jc w:val="both"/>
        <w:rPr>
          <w:rFonts w:ascii="Gadugi" w:eastAsia="Gadugi" w:hAnsi="Gadugi" w:cs="Gadugi"/>
          <w:b/>
          <w:bCs/>
          <w:sz w:val="24"/>
          <w:szCs w:val="24"/>
        </w:rPr>
      </w:pPr>
      <w:r w:rsidRPr="009A6D7D">
        <w:rPr>
          <w:rFonts w:ascii="Gadugi" w:eastAsia="Gadugi" w:hAnsi="Gadugi" w:cs="Gadugi"/>
          <w:sz w:val="24"/>
          <w:szCs w:val="24"/>
        </w:rPr>
        <w:t xml:space="preserve">Resuelve la Sala </w:t>
      </w:r>
      <w:r w:rsidR="00FE1C7E" w:rsidRPr="009A6D7D">
        <w:rPr>
          <w:rFonts w:ascii="Gadugi" w:eastAsia="Gadugi" w:hAnsi="Gadugi" w:cs="Gadugi"/>
          <w:sz w:val="24"/>
          <w:szCs w:val="24"/>
        </w:rPr>
        <w:t xml:space="preserve">el </w:t>
      </w:r>
      <w:r w:rsidRPr="009A6D7D">
        <w:rPr>
          <w:rFonts w:ascii="Gadugi" w:eastAsia="Gadugi" w:hAnsi="Gadugi" w:cs="Gadugi"/>
          <w:sz w:val="24"/>
          <w:szCs w:val="24"/>
        </w:rPr>
        <w:t xml:space="preserve">recurso de apelación interpuesto contra la sentencia del 13 de agosto del 2021, proferida por el Juzgado Civil del Circuito de Dosquebradas -Risaralda, en este proceso sobre </w:t>
      </w:r>
      <w:r w:rsidRPr="009A6D7D">
        <w:rPr>
          <w:rFonts w:ascii="Gadugi" w:eastAsia="Gadugi" w:hAnsi="Gadugi" w:cs="Gadugi"/>
          <w:b/>
          <w:sz w:val="24"/>
          <w:szCs w:val="24"/>
        </w:rPr>
        <w:t>Responsabilidad Civil Extracontractual</w:t>
      </w:r>
      <w:r w:rsidRPr="009A6D7D">
        <w:rPr>
          <w:rFonts w:ascii="Gadugi" w:eastAsia="Gadugi" w:hAnsi="Gadugi" w:cs="Gadugi"/>
          <w:sz w:val="24"/>
          <w:szCs w:val="24"/>
        </w:rPr>
        <w:t xml:space="preserve"> que iniciaron</w:t>
      </w:r>
      <w:r w:rsidRPr="009A6D7D">
        <w:rPr>
          <w:rFonts w:ascii="Gadugi" w:hAnsi="Gadugi"/>
          <w:b/>
          <w:bCs/>
          <w:sz w:val="24"/>
          <w:szCs w:val="24"/>
        </w:rPr>
        <w:t xml:space="preserve"> </w:t>
      </w:r>
      <w:r w:rsidR="002A68B8" w:rsidRPr="009A6D7D">
        <w:rPr>
          <w:rFonts w:ascii="Gadugi" w:eastAsia="Gadugi" w:hAnsi="Gadugi" w:cs="Gadugi"/>
          <w:b/>
          <w:bCs/>
          <w:sz w:val="24"/>
          <w:szCs w:val="24"/>
        </w:rPr>
        <w:t xml:space="preserve">Martha Lucia Giraldo Montes, </w:t>
      </w:r>
      <w:r w:rsidRPr="009A6D7D">
        <w:rPr>
          <w:rFonts w:ascii="Gadugi" w:eastAsia="Gadugi" w:hAnsi="Gadugi" w:cs="Gadugi"/>
          <w:b/>
          <w:bCs/>
          <w:sz w:val="24"/>
          <w:szCs w:val="24"/>
        </w:rPr>
        <w:t xml:space="preserve">María Alejandra, Laura Viviana, Francy Elena, Juan Pablo y Misael Mauricio Ramírez Giraldo </w:t>
      </w:r>
      <w:r w:rsidRPr="009A6D7D">
        <w:rPr>
          <w:rFonts w:ascii="Gadugi" w:eastAsia="Gadugi" w:hAnsi="Gadugi" w:cs="Gadugi"/>
          <w:sz w:val="24"/>
          <w:szCs w:val="24"/>
        </w:rPr>
        <w:t>frente</w:t>
      </w:r>
      <w:r w:rsidRPr="009A6D7D">
        <w:rPr>
          <w:rFonts w:ascii="Gadugi" w:eastAsia="Gadugi" w:hAnsi="Gadugi" w:cs="Gadugi"/>
          <w:b/>
          <w:bCs/>
          <w:sz w:val="24"/>
          <w:szCs w:val="24"/>
        </w:rPr>
        <w:t xml:space="preserve"> </w:t>
      </w:r>
      <w:r w:rsidRPr="009A6D7D">
        <w:rPr>
          <w:rFonts w:ascii="Gadugi" w:eastAsia="Gadugi" w:hAnsi="Gadugi" w:cs="Gadugi"/>
          <w:sz w:val="24"/>
          <w:szCs w:val="24"/>
        </w:rPr>
        <w:t>a</w:t>
      </w:r>
      <w:r w:rsidRPr="009A6D7D">
        <w:rPr>
          <w:rFonts w:ascii="Gadugi" w:hAnsi="Gadugi"/>
          <w:sz w:val="24"/>
          <w:szCs w:val="24"/>
        </w:rPr>
        <w:t xml:space="preserve"> </w:t>
      </w:r>
      <w:r w:rsidRPr="009A6D7D">
        <w:rPr>
          <w:rFonts w:ascii="Gadugi" w:eastAsia="Gadugi" w:hAnsi="Gadugi" w:cs="Gadugi"/>
          <w:b/>
          <w:bCs/>
          <w:sz w:val="24"/>
          <w:szCs w:val="24"/>
        </w:rPr>
        <w:t xml:space="preserve">Luis Fernando Giraldo Salazar, Octavio Marín Hincapié, Banco Finandina S.A, </w:t>
      </w:r>
      <w:r w:rsidR="00230F59" w:rsidRPr="009A6D7D">
        <w:rPr>
          <w:rFonts w:ascii="Gadugi" w:eastAsia="Gadugi" w:hAnsi="Gadugi" w:cs="Gadugi"/>
          <w:sz w:val="24"/>
          <w:szCs w:val="24"/>
        </w:rPr>
        <w:t xml:space="preserve">y </w:t>
      </w:r>
      <w:r w:rsidRPr="009A6D7D">
        <w:rPr>
          <w:rFonts w:ascii="Gadugi" w:eastAsia="Gadugi" w:hAnsi="Gadugi" w:cs="Gadugi"/>
          <w:b/>
          <w:bCs/>
          <w:sz w:val="24"/>
          <w:szCs w:val="24"/>
        </w:rPr>
        <w:t xml:space="preserve">Allianz Seguros </w:t>
      </w:r>
      <w:r w:rsidRPr="009A6D7D">
        <w:rPr>
          <w:rFonts w:ascii="Gadugi" w:eastAsia="Gadugi" w:hAnsi="Gadugi" w:cs="Gadugi"/>
          <w:b/>
          <w:bCs/>
          <w:sz w:val="24"/>
          <w:szCs w:val="24"/>
        </w:rPr>
        <w:lastRenderedPageBreak/>
        <w:t>S.A.</w:t>
      </w:r>
      <w:r w:rsidR="00230F59" w:rsidRPr="009A6D7D">
        <w:rPr>
          <w:rFonts w:ascii="Gadugi" w:eastAsia="Gadugi" w:hAnsi="Gadugi" w:cs="Gadugi"/>
          <w:b/>
          <w:bCs/>
          <w:sz w:val="24"/>
          <w:szCs w:val="24"/>
        </w:rPr>
        <w:t xml:space="preserve">, </w:t>
      </w:r>
      <w:r w:rsidR="00230F59" w:rsidRPr="009A6D7D">
        <w:rPr>
          <w:rFonts w:ascii="Gadugi" w:eastAsia="Gadugi" w:hAnsi="Gadugi" w:cs="Gadugi"/>
          <w:sz w:val="24"/>
          <w:szCs w:val="24"/>
        </w:rPr>
        <w:t xml:space="preserve">al que fueron </w:t>
      </w:r>
      <w:r w:rsidRPr="009A6D7D">
        <w:rPr>
          <w:rFonts w:ascii="Gadugi" w:eastAsia="Gadugi" w:hAnsi="Gadugi" w:cs="Gadugi"/>
          <w:sz w:val="24"/>
          <w:szCs w:val="24"/>
        </w:rPr>
        <w:t xml:space="preserve">llamados en garantía, </w:t>
      </w:r>
      <w:r w:rsidRPr="009A6D7D">
        <w:rPr>
          <w:rFonts w:ascii="Gadugi" w:eastAsia="Gadugi" w:hAnsi="Gadugi" w:cs="Gadugi"/>
          <w:b/>
          <w:bCs/>
          <w:sz w:val="24"/>
          <w:szCs w:val="24"/>
        </w:rPr>
        <w:t xml:space="preserve">Allianz Seguros S.A. y Octavio Marín Hincapié. </w:t>
      </w:r>
    </w:p>
    <w:p w14:paraId="1C22C090" w14:textId="77777777" w:rsidR="003476BB" w:rsidRPr="009A6D7D" w:rsidRDefault="003476BB" w:rsidP="009A6D7D">
      <w:pPr>
        <w:tabs>
          <w:tab w:val="left" w:pos="4536"/>
        </w:tabs>
        <w:spacing w:after="0" w:line="276" w:lineRule="auto"/>
        <w:ind w:firstLine="1701"/>
        <w:jc w:val="both"/>
        <w:rPr>
          <w:rFonts w:ascii="Gadugi" w:eastAsia="Gadugi" w:hAnsi="Gadugi" w:cs="Gadugi"/>
          <w:b/>
          <w:sz w:val="24"/>
          <w:szCs w:val="24"/>
        </w:rPr>
      </w:pPr>
    </w:p>
    <w:p w14:paraId="1C22C091" w14:textId="77777777" w:rsidR="00AD4ACE" w:rsidRPr="009A6D7D" w:rsidRDefault="00AD4ACE" w:rsidP="009A6D7D">
      <w:pPr>
        <w:tabs>
          <w:tab w:val="left" w:pos="4536"/>
        </w:tabs>
        <w:spacing w:after="0" w:line="276" w:lineRule="auto"/>
        <w:ind w:firstLine="1701"/>
        <w:jc w:val="both"/>
        <w:rPr>
          <w:rFonts w:ascii="Gadugi" w:eastAsia="Gadugi" w:hAnsi="Gadugi" w:cs="Gadugi"/>
          <w:sz w:val="24"/>
          <w:szCs w:val="24"/>
        </w:rPr>
      </w:pPr>
    </w:p>
    <w:p w14:paraId="1C22C092" w14:textId="77777777" w:rsidR="00AD4ACE" w:rsidRPr="009A6D7D" w:rsidRDefault="00A85F10" w:rsidP="009A6D7D">
      <w:pPr>
        <w:numPr>
          <w:ilvl w:val="0"/>
          <w:numId w:val="2"/>
        </w:numPr>
        <w:pBdr>
          <w:top w:val="nil"/>
          <w:left w:val="nil"/>
          <w:bottom w:val="nil"/>
          <w:right w:val="nil"/>
          <w:between w:val="nil"/>
        </w:pBdr>
        <w:tabs>
          <w:tab w:val="left" w:pos="2268"/>
        </w:tabs>
        <w:spacing w:after="0" w:line="276" w:lineRule="auto"/>
        <w:ind w:left="0" w:firstLine="1701"/>
        <w:jc w:val="both"/>
        <w:rPr>
          <w:rFonts w:ascii="Gadugi" w:eastAsia="Gadugi" w:hAnsi="Gadugi" w:cs="Gadugi"/>
          <w:b/>
          <w:color w:val="000000"/>
          <w:sz w:val="24"/>
          <w:szCs w:val="24"/>
        </w:rPr>
      </w:pPr>
      <w:r w:rsidRPr="009A6D7D">
        <w:rPr>
          <w:rFonts w:ascii="Gadugi" w:eastAsia="Gadugi" w:hAnsi="Gadugi" w:cs="Gadugi"/>
          <w:b/>
          <w:color w:val="000000"/>
          <w:sz w:val="24"/>
          <w:szCs w:val="24"/>
        </w:rPr>
        <w:t>ANTECEDENTES</w:t>
      </w:r>
    </w:p>
    <w:p w14:paraId="1C22C093" w14:textId="77777777" w:rsidR="003476BB" w:rsidRPr="009A6D7D" w:rsidRDefault="003476BB" w:rsidP="009A6D7D">
      <w:pPr>
        <w:pBdr>
          <w:top w:val="nil"/>
          <w:left w:val="nil"/>
          <w:bottom w:val="nil"/>
          <w:right w:val="nil"/>
          <w:between w:val="nil"/>
        </w:pBdr>
        <w:tabs>
          <w:tab w:val="left" w:pos="2268"/>
        </w:tabs>
        <w:spacing w:after="0" w:line="276" w:lineRule="auto"/>
        <w:ind w:left="1701"/>
        <w:jc w:val="both"/>
        <w:rPr>
          <w:rFonts w:ascii="Gadugi" w:eastAsia="Gadugi" w:hAnsi="Gadugi" w:cs="Gadugi"/>
          <w:b/>
          <w:color w:val="000000"/>
          <w:sz w:val="24"/>
          <w:szCs w:val="24"/>
        </w:rPr>
      </w:pPr>
    </w:p>
    <w:p w14:paraId="1C22C094" w14:textId="4F4CCA96" w:rsidR="00AD4ACE" w:rsidRPr="009A6D7D" w:rsidRDefault="00A85F10" w:rsidP="009A6D7D">
      <w:pPr>
        <w:numPr>
          <w:ilvl w:val="1"/>
          <w:numId w:val="2"/>
        </w:numPr>
        <w:pBdr>
          <w:top w:val="nil"/>
          <w:left w:val="nil"/>
          <w:bottom w:val="nil"/>
          <w:right w:val="nil"/>
          <w:between w:val="nil"/>
        </w:pBdr>
        <w:tabs>
          <w:tab w:val="left" w:pos="2268"/>
          <w:tab w:val="left" w:pos="3402"/>
        </w:tabs>
        <w:spacing w:after="0" w:line="276" w:lineRule="auto"/>
        <w:ind w:left="0" w:firstLine="1701"/>
        <w:jc w:val="both"/>
        <w:rPr>
          <w:rFonts w:ascii="Gadugi" w:hAnsi="Gadugi"/>
          <w:b/>
          <w:color w:val="000000"/>
          <w:sz w:val="24"/>
          <w:szCs w:val="24"/>
        </w:rPr>
      </w:pPr>
      <w:r w:rsidRPr="009A6D7D">
        <w:rPr>
          <w:rFonts w:ascii="Gadugi" w:eastAsia="Gadugi" w:hAnsi="Gadugi" w:cs="Gadugi"/>
          <w:b/>
          <w:color w:val="000000"/>
          <w:sz w:val="24"/>
          <w:szCs w:val="24"/>
        </w:rPr>
        <w:t>Hechos</w:t>
      </w:r>
    </w:p>
    <w:p w14:paraId="4B5C7B8A" w14:textId="77777777" w:rsidR="00120895" w:rsidRPr="009A6D7D" w:rsidRDefault="00120895" w:rsidP="009A6D7D">
      <w:pPr>
        <w:pBdr>
          <w:top w:val="nil"/>
          <w:left w:val="nil"/>
          <w:bottom w:val="nil"/>
          <w:right w:val="nil"/>
          <w:between w:val="nil"/>
        </w:pBdr>
        <w:tabs>
          <w:tab w:val="left" w:pos="2268"/>
          <w:tab w:val="left" w:pos="3402"/>
        </w:tabs>
        <w:spacing w:after="0" w:line="276" w:lineRule="auto"/>
        <w:ind w:left="1701"/>
        <w:jc w:val="both"/>
        <w:rPr>
          <w:rFonts w:ascii="Gadugi" w:hAnsi="Gadugi"/>
          <w:b/>
          <w:color w:val="000000"/>
          <w:sz w:val="24"/>
          <w:szCs w:val="24"/>
        </w:rPr>
      </w:pPr>
    </w:p>
    <w:p w14:paraId="1C22C096" w14:textId="5F4D3B51" w:rsidR="00AD4ACE" w:rsidRPr="009A6D7D" w:rsidRDefault="00A85F10" w:rsidP="009A6D7D">
      <w:pPr>
        <w:pBdr>
          <w:top w:val="nil"/>
          <w:left w:val="nil"/>
          <w:bottom w:val="nil"/>
          <w:right w:val="nil"/>
          <w:between w:val="nil"/>
        </w:pBdr>
        <w:tabs>
          <w:tab w:val="left" w:pos="2268"/>
          <w:tab w:val="left" w:pos="3402"/>
        </w:tabs>
        <w:spacing w:after="0" w:line="276" w:lineRule="auto"/>
        <w:ind w:firstLine="1701"/>
        <w:jc w:val="both"/>
        <w:rPr>
          <w:rFonts w:ascii="Gadugi" w:eastAsia="Gadugi" w:hAnsi="Gadugi" w:cs="Gadugi"/>
          <w:color w:val="000000"/>
          <w:sz w:val="24"/>
          <w:szCs w:val="24"/>
        </w:rPr>
      </w:pPr>
      <w:r w:rsidRPr="009A6D7D">
        <w:rPr>
          <w:rFonts w:ascii="Gadugi" w:eastAsia="Gadugi" w:hAnsi="Gadugi" w:cs="Gadugi"/>
          <w:color w:val="000000"/>
          <w:sz w:val="24"/>
          <w:szCs w:val="24"/>
        </w:rPr>
        <w:t>Manifiestan los demandantes</w:t>
      </w:r>
      <w:r w:rsidR="00120895" w:rsidRPr="009A6D7D">
        <w:rPr>
          <w:rFonts w:ascii="Gadugi" w:eastAsia="Gadugi" w:hAnsi="Gadugi" w:cs="Gadugi"/>
          <w:color w:val="000000"/>
          <w:sz w:val="24"/>
          <w:szCs w:val="24"/>
          <w:vertAlign w:val="superscript"/>
        </w:rPr>
        <w:footnoteReference w:id="2"/>
      </w:r>
      <w:r w:rsidRPr="009A6D7D">
        <w:rPr>
          <w:rFonts w:ascii="Gadugi" w:eastAsia="Gadugi" w:hAnsi="Gadugi" w:cs="Gadugi"/>
          <w:color w:val="000000"/>
          <w:sz w:val="24"/>
          <w:szCs w:val="24"/>
        </w:rPr>
        <w:t xml:space="preserve"> que el 13 de febrero de 2015 se presentó un accidente de tránsito en la carrera 16 con calle 60 de Dosquebradas, Risaralda, </w:t>
      </w:r>
      <w:r w:rsidR="00D91DFF" w:rsidRPr="009A6D7D">
        <w:rPr>
          <w:rFonts w:ascii="Gadugi" w:eastAsia="Gadugi" w:hAnsi="Gadugi" w:cs="Gadugi"/>
          <w:color w:val="000000"/>
          <w:sz w:val="24"/>
          <w:szCs w:val="24"/>
        </w:rPr>
        <w:t xml:space="preserve">en el que se vieron involucrados </w:t>
      </w:r>
      <w:r w:rsidRPr="009A6D7D">
        <w:rPr>
          <w:rFonts w:ascii="Gadugi" w:eastAsia="Gadugi" w:hAnsi="Gadugi" w:cs="Gadugi"/>
          <w:color w:val="000000"/>
          <w:sz w:val="24"/>
          <w:szCs w:val="24"/>
        </w:rPr>
        <w:t>el vehículo de placa SXE587, conducido por Luis Fernando Giraldo</w:t>
      </w:r>
      <w:r w:rsidR="00D91DFF" w:rsidRPr="009A6D7D">
        <w:rPr>
          <w:rFonts w:ascii="Gadugi" w:eastAsia="Gadugi" w:hAnsi="Gadugi" w:cs="Gadugi"/>
          <w:color w:val="000000"/>
          <w:sz w:val="24"/>
          <w:szCs w:val="24"/>
        </w:rPr>
        <w:t xml:space="preserve"> </w:t>
      </w:r>
      <w:r w:rsidRPr="009A6D7D">
        <w:rPr>
          <w:rFonts w:ascii="Gadugi" w:eastAsia="Gadugi" w:hAnsi="Gadugi" w:cs="Gadugi"/>
          <w:color w:val="000000"/>
          <w:sz w:val="24"/>
          <w:szCs w:val="24"/>
        </w:rPr>
        <w:t>y el ciclista Misael Ramírez Restrepo, quien murió en el lugar de los hechos.</w:t>
      </w:r>
      <w:r w:rsidR="00D91DFF" w:rsidRPr="009A6D7D">
        <w:rPr>
          <w:rFonts w:ascii="Gadugi" w:eastAsia="Gadugi" w:hAnsi="Gadugi" w:cs="Gadugi"/>
          <w:color w:val="000000"/>
          <w:sz w:val="24"/>
          <w:szCs w:val="24"/>
        </w:rPr>
        <w:t xml:space="preserve"> </w:t>
      </w:r>
    </w:p>
    <w:p w14:paraId="1C22C097" w14:textId="77777777" w:rsidR="00AD4ACE" w:rsidRPr="009A6D7D" w:rsidRDefault="00AD4ACE" w:rsidP="009A6D7D">
      <w:pPr>
        <w:pBdr>
          <w:top w:val="nil"/>
          <w:left w:val="nil"/>
          <w:bottom w:val="nil"/>
          <w:right w:val="nil"/>
          <w:between w:val="nil"/>
        </w:pBdr>
        <w:tabs>
          <w:tab w:val="left" w:pos="2268"/>
          <w:tab w:val="left" w:pos="3402"/>
        </w:tabs>
        <w:spacing w:after="0" w:line="276" w:lineRule="auto"/>
        <w:ind w:firstLine="2835"/>
        <w:jc w:val="both"/>
        <w:rPr>
          <w:rFonts w:ascii="Gadugi" w:eastAsia="Gadugi" w:hAnsi="Gadugi" w:cs="Gadugi"/>
          <w:color w:val="000000"/>
          <w:sz w:val="24"/>
          <w:szCs w:val="24"/>
        </w:rPr>
      </w:pPr>
    </w:p>
    <w:p w14:paraId="1C22C098" w14:textId="5BA3E18D" w:rsidR="00AD4ACE" w:rsidRDefault="00A85F10" w:rsidP="009A6D7D">
      <w:pPr>
        <w:pBdr>
          <w:top w:val="nil"/>
          <w:left w:val="nil"/>
          <w:bottom w:val="nil"/>
          <w:right w:val="nil"/>
          <w:between w:val="nil"/>
        </w:pBdr>
        <w:tabs>
          <w:tab w:val="left" w:pos="2268"/>
          <w:tab w:val="left" w:pos="3402"/>
        </w:tabs>
        <w:spacing w:after="0" w:line="276" w:lineRule="auto"/>
        <w:ind w:firstLine="1701"/>
        <w:jc w:val="both"/>
        <w:rPr>
          <w:rFonts w:ascii="Gadugi" w:eastAsia="Gadugi" w:hAnsi="Gadugi" w:cs="Gadugi"/>
          <w:color w:val="000000"/>
          <w:sz w:val="24"/>
          <w:szCs w:val="24"/>
        </w:rPr>
      </w:pPr>
      <w:r w:rsidRPr="009A6D7D">
        <w:rPr>
          <w:rFonts w:ascii="Gadugi" w:eastAsia="Gadugi" w:hAnsi="Gadugi" w:cs="Gadugi"/>
          <w:color w:val="000000"/>
          <w:sz w:val="24"/>
          <w:szCs w:val="24"/>
        </w:rPr>
        <w:t xml:space="preserve">El automóvil contaba para la época con póliza de responsabilidad civil extracontractual con la Compañía Allianz Seguros S.A. </w:t>
      </w:r>
    </w:p>
    <w:p w14:paraId="3910D2F6" w14:textId="77777777" w:rsidR="00027324" w:rsidRPr="009A6D7D" w:rsidRDefault="00027324" w:rsidP="009A6D7D">
      <w:pPr>
        <w:pBdr>
          <w:top w:val="nil"/>
          <w:left w:val="nil"/>
          <w:bottom w:val="nil"/>
          <w:right w:val="nil"/>
          <w:between w:val="nil"/>
        </w:pBdr>
        <w:tabs>
          <w:tab w:val="left" w:pos="2268"/>
          <w:tab w:val="left" w:pos="3402"/>
        </w:tabs>
        <w:spacing w:after="0" w:line="276" w:lineRule="auto"/>
        <w:ind w:firstLine="1701"/>
        <w:jc w:val="both"/>
        <w:rPr>
          <w:rFonts w:ascii="Gadugi" w:eastAsia="Gadugi" w:hAnsi="Gadugi" w:cs="Gadugi"/>
          <w:color w:val="000000"/>
          <w:sz w:val="24"/>
          <w:szCs w:val="24"/>
        </w:rPr>
      </w:pPr>
    </w:p>
    <w:p w14:paraId="1C22C09A" w14:textId="6D3C046E" w:rsidR="00AD4ACE" w:rsidRPr="009A6D7D" w:rsidRDefault="00221003" w:rsidP="009A6D7D">
      <w:pPr>
        <w:pBdr>
          <w:top w:val="nil"/>
          <w:left w:val="nil"/>
          <w:bottom w:val="nil"/>
          <w:right w:val="nil"/>
          <w:between w:val="nil"/>
        </w:pBdr>
        <w:tabs>
          <w:tab w:val="left" w:pos="2268"/>
          <w:tab w:val="left" w:pos="3402"/>
        </w:tabs>
        <w:spacing w:after="0" w:line="276" w:lineRule="auto"/>
        <w:ind w:firstLine="1701"/>
        <w:jc w:val="both"/>
        <w:rPr>
          <w:rFonts w:ascii="Gadugi" w:eastAsia="Gadugi" w:hAnsi="Gadugi" w:cs="Gadugi"/>
          <w:color w:val="000000"/>
          <w:sz w:val="24"/>
          <w:szCs w:val="24"/>
        </w:rPr>
      </w:pPr>
      <w:r w:rsidRPr="009A6D7D">
        <w:rPr>
          <w:rFonts w:ascii="Gadugi" w:eastAsia="Gadugi" w:hAnsi="Gadugi" w:cs="Gadugi"/>
          <w:color w:val="000000"/>
          <w:sz w:val="24"/>
          <w:szCs w:val="24"/>
        </w:rPr>
        <w:t>Al referirse al nexo causal, argumentan que</w:t>
      </w:r>
      <w:r w:rsidR="00A85F10" w:rsidRPr="009A6D7D">
        <w:rPr>
          <w:rFonts w:ascii="Gadugi" w:eastAsia="Gadugi" w:hAnsi="Gadugi" w:cs="Gadugi"/>
          <w:color w:val="000000"/>
          <w:sz w:val="24"/>
          <w:szCs w:val="24"/>
        </w:rPr>
        <w:t xml:space="preserve"> el accidente se produjo producto de la impericia e imprudencia del conductor, porque se movilizaba por el carril de</w:t>
      </w:r>
      <w:r w:rsidRPr="009A6D7D">
        <w:rPr>
          <w:rFonts w:ascii="Gadugi" w:eastAsia="Gadugi" w:hAnsi="Gadugi" w:cs="Gadugi"/>
          <w:color w:val="000000"/>
          <w:sz w:val="24"/>
          <w:szCs w:val="24"/>
        </w:rPr>
        <w:t>stinado</w:t>
      </w:r>
      <w:r w:rsidR="00A85F10" w:rsidRPr="009A6D7D">
        <w:rPr>
          <w:rFonts w:ascii="Gadugi" w:eastAsia="Gadugi" w:hAnsi="Gadugi" w:cs="Gadugi"/>
          <w:color w:val="000000"/>
          <w:sz w:val="24"/>
          <w:szCs w:val="24"/>
        </w:rPr>
        <w:t xml:space="preserve"> para adelantar, </w:t>
      </w:r>
      <w:r w:rsidRPr="009A6D7D">
        <w:rPr>
          <w:rFonts w:ascii="Gadugi" w:eastAsia="Gadugi" w:hAnsi="Gadugi" w:cs="Gadugi"/>
          <w:color w:val="000000"/>
          <w:sz w:val="24"/>
          <w:szCs w:val="24"/>
        </w:rPr>
        <w:t>con exceso de velocidad</w:t>
      </w:r>
      <w:r w:rsidR="00A85F10" w:rsidRPr="009A6D7D">
        <w:rPr>
          <w:rFonts w:ascii="Gadugi" w:eastAsia="Gadugi" w:hAnsi="Gadugi" w:cs="Gadugi"/>
          <w:color w:val="000000"/>
          <w:sz w:val="24"/>
          <w:szCs w:val="24"/>
        </w:rPr>
        <w:t xml:space="preserve">, </w:t>
      </w:r>
      <w:r w:rsidRPr="009A6D7D">
        <w:rPr>
          <w:rFonts w:ascii="Gadugi" w:eastAsia="Gadugi" w:hAnsi="Gadugi" w:cs="Gadugi"/>
          <w:color w:val="000000"/>
          <w:sz w:val="24"/>
          <w:szCs w:val="24"/>
        </w:rPr>
        <w:t xml:space="preserve">sin </w:t>
      </w:r>
      <w:r w:rsidR="00A85F10" w:rsidRPr="009A6D7D">
        <w:rPr>
          <w:rFonts w:ascii="Gadugi" w:eastAsia="Gadugi" w:hAnsi="Gadugi" w:cs="Gadugi"/>
          <w:color w:val="000000"/>
          <w:sz w:val="24"/>
          <w:szCs w:val="24"/>
        </w:rPr>
        <w:t>disminu</w:t>
      </w:r>
      <w:r w:rsidRPr="009A6D7D">
        <w:rPr>
          <w:rFonts w:ascii="Gadugi" w:eastAsia="Gadugi" w:hAnsi="Gadugi" w:cs="Gadugi"/>
          <w:color w:val="000000"/>
          <w:sz w:val="24"/>
          <w:szCs w:val="24"/>
        </w:rPr>
        <w:t>ir</w:t>
      </w:r>
      <w:r w:rsidR="00A85F10" w:rsidRPr="009A6D7D">
        <w:rPr>
          <w:rFonts w:ascii="Gadugi" w:eastAsia="Gadugi" w:hAnsi="Gadugi" w:cs="Gadugi"/>
          <w:color w:val="000000"/>
          <w:sz w:val="24"/>
          <w:szCs w:val="24"/>
        </w:rPr>
        <w:t xml:space="preserve"> la aceleración </w:t>
      </w:r>
      <w:r w:rsidRPr="009A6D7D">
        <w:rPr>
          <w:rFonts w:ascii="Gadugi" w:eastAsia="Gadugi" w:hAnsi="Gadugi" w:cs="Gadugi"/>
          <w:color w:val="000000"/>
          <w:sz w:val="24"/>
          <w:szCs w:val="24"/>
        </w:rPr>
        <w:t xml:space="preserve">a pesar de que se </w:t>
      </w:r>
      <w:r w:rsidR="00A85F10" w:rsidRPr="009A6D7D">
        <w:rPr>
          <w:rFonts w:ascii="Gadugi" w:eastAsia="Gadugi" w:hAnsi="Gadugi" w:cs="Gadugi"/>
          <w:color w:val="000000"/>
          <w:sz w:val="24"/>
          <w:szCs w:val="24"/>
        </w:rPr>
        <w:t>acercaba a la cebra peatonal y</w:t>
      </w:r>
      <w:r w:rsidRPr="009A6D7D">
        <w:rPr>
          <w:rFonts w:ascii="Gadugi" w:eastAsia="Gadugi" w:hAnsi="Gadugi" w:cs="Gadugi"/>
          <w:color w:val="000000"/>
          <w:sz w:val="24"/>
          <w:szCs w:val="24"/>
        </w:rPr>
        <w:t xml:space="preserve">, además, </w:t>
      </w:r>
      <w:r w:rsidR="00A85F10" w:rsidRPr="009A6D7D">
        <w:rPr>
          <w:rFonts w:ascii="Gadugi" w:eastAsia="Gadugi" w:hAnsi="Gadugi" w:cs="Gadugi"/>
          <w:color w:val="000000"/>
          <w:sz w:val="24"/>
          <w:szCs w:val="24"/>
        </w:rPr>
        <w:t xml:space="preserve">el pedal del freno presentaba baja tensión.  </w:t>
      </w:r>
    </w:p>
    <w:p w14:paraId="1C22C09B" w14:textId="77777777" w:rsidR="00AD4ACE" w:rsidRPr="009A6D7D" w:rsidRDefault="00AD4ACE" w:rsidP="009A6D7D">
      <w:pPr>
        <w:pBdr>
          <w:top w:val="nil"/>
          <w:left w:val="nil"/>
          <w:bottom w:val="nil"/>
          <w:right w:val="nil"/>
          <w:between w:val="nil"/>
        </w:pBdr>
        <w:tabs>
          <w:tab w:val="left" w:pos="2268"/>
          <w:tab w:val="left" w:pos="3402"/>
        </w:tabs>
        <w:spacing w:after="0" w:line="276" w:lineRule="auto"/>
        <w:ind w:firstLine="1701"/>
        <w:jc w:val="both"/>
        <w:rPr>
          <w:rFonts w:ascii="Gadugi" w:eastAsia="Gadugi" w:hAnsi="Gadugi" w:cs="Gadugi"/>
          <w:color w:val="000000"/>
          <w:sz w:val="24"/>
          <w:szCs w:val="24"/>
        </w:rPr>
      </w:pPr>
    </w:p>
    <w:p w14:paraId="1C22C09C" w14:textId="47471728" w:rsidR="00AD4ACE" w:rsidRPr="009A6D7D" w:rsidRDefault="00A85F10" w:rsidP="009A6D7D">
      <w:pPr>
        <w:pBdr>
          <w:top w:val="nil"/>
          <w:left w:val="nil"/>
          <w:bottom w:val="nil"/>
          <w:right w:val="nil"/>
          <w:between w:val="nil"/>
        </w:pBdr>
        <w:tabs>
          <w:tab w:val="left" w:pos="2268"/>
          <w:tab w:val="left" w:pos="3402"/>
        </w:tabs>
        <w:spacing w:after="0" w:line="276" w:lineRule="auto"/>
        <w:ind w:firstLine="1701"/>
        <w:jc w:val="both"/>
        <w:rPr>
          <w:rFonts w:ascii="Gadugi" w:eastAsia="Gadugi" w:hAnsi="Gadugi" w:cs="Gadugi"/>
          <w:color w:val="000000"/>
          <w:sz w:val="24"/>
          <w:szCs w:val="24"/>
        </w:rPr>
      </w:pPr>
      <w:r w:rsidRPr="009A6D7D">
        <w:rPr>
          <w:rFonts w:ascii="Gadugi" w:eastAsia="Gadugi" w:hAnsi="Gadugi" w:cs="Gadugi"/>
          <w:color w:val="000000"/>
          <w:sz w:val="24"/>
          <w:szCs w:val="24"/>
        </w:rPr>
        <w:t>Indica</w:t>
      </w:r>
      <w:r w:rsidR="00221003" w:rsidRPr="009A6D7D">
        <w:rPr>
          <w:rFonts w:ascii="Gadugi" w:eastAsia="Gadugi" w:hAnsi="Gadugi" w:cs="Gadugi"/>
          <w:color w:val="000000"/>
          <w:sz w:val="24"/>
          <w:szCs w:val="24"/>
        </w:rPr>
        <w:t>ron que</w:t>
      </w:r>
      <w:r w:rsidRPr="009A6D7D">
        <w:rPr>
          <w:rFonts w:ascii="Gadugi" w:eastAsia="Gadugi" w:hAnsi="Gadugi" w:cs="Gadugi"/>
          <w:color w:val="000000"/>
          <w:sz w:val="24"/>
          <w:szCs w:val="24"/>
        </w:rPr>
        <w:t xml:space="preserve"> han experimentado diferentes </w:t>
      </w:r>
      <w:r w:rsidR="00221003" w:rsidRPr="009A6D7D">
        <w:rPr>
          <w:rFonts w:ascii="Gadugi" w:eastAsia="Gadugi" w:hAnsi="Gadugi" w:cs="Gadugi"/>
          <w:color w:val="000000"/>
          <w:sz w:val="24"/>
          <w:szCs w:val="24"/>
        </w:rPr>
        <w:t xml:space="preserve">sentimientos de dolor, congoja, tristeza, sufrimiento, derivados de la muerte </w:t>
      </w:r>
      <w:r w:rsidRPr="009A6D7D">
        <w:rPr>
          <w:rFonts w:ascii="Gadugi" w:eastAsia="Gadugi" w:hAnsi="Gadugi" w:cs="Gadugi"/>
          <w:color w:val="000000"/>
          <w:sz w:val="24"/>
          <w:szCs w:val="24"/>
        </w:rPr>
        <w:t>violenta</w:t>
      </w:r>
      <w:r w:rsidR="00221003" w:rsidRPr="009A6D7D">
        <w:rPr>
          <w:rFonts w:ascii="Gadugi" w:eastAsia="Gadugi" w:hAnsi="Gadugi" w:cs="Gadugi"/>
          <w:color w:val="000000"/>
          <w:sz w:val="24"/>
          <w:szCs w:val="24"/>
        </w:rPr>
        <w:t xml:space="preserve"> del esposo y padre</w:t>
      </w:r>
      <w:r w:rsidRPr="009A6D7D">
        <w:rPr>
          <w:rFonts w:ascii="Gadugi" w:eastAsia="Gadugi" w:hAnsi="Gadugi" w:cs="Gadugi"/>
          <w:color w:val="000000"/>
          <w:sz w:val="24"/>
          <w:szCs w:val="24"/>
        </w:rPr>
        <w:t xml:space="preserve">, profesional de la economía y administrador de un negocio familiar de venta de una marca de refrescos congelados en barra.   </w:t>
      </w:r>
    </w:p>
    <w:p w14:paraId="1C22C09D" w14:textId="77777777" w:rsidR="00AD4ACE" w:rsidRPr="009A6D7D" w:rsidRDefault="00A85F10" w:rsidP="009A6D7D">
      <w:pPr>
        <w:pBdr>
          <w:top w:val="nil"/>
          <w:left w:val="nil"/>
          <w:bottom w:val="nil"/>
          <w:right w:val="nil"/>
          <w:between w:val="nil"/>
        </w:pBdr>
        <w:tabs>
          <w:tab w:val="left" w:pos="2268"/>
          <w:tab w:val="left" w:pos="3402"/>
        </w:tabs>
        <w:spacing w:after="0" w:line="276" w:lineRule="auto"/>
        <w:ind w:firstLine="1701"/>
        <w:jc w:val="both"/>
        <w:rPr>
          <w:rFonts w:ascii="Gadugi" w:eastAsia="Gadugi" w:hAnsi="Gadugi" w:cs="Gadugi"/>
          <w:color w:val="000000"/>
          <w:sz w:val="24"/>
          <w:szCs w:val="24"/>
        </w:rPr>
      </w:pPr>
      <w:r w:rsidRPr="009A6D7D">
        <w:rPr>
          <w:rFonts w:ascii="Gadugi" w:eastAsia="Gadugi" w:hAnsi="Gadugi" w:cs="Gadugi"/>
          <w:color w:val="000000"/>
          <w:sz w:val="24"/>
          <w:szCs w:val="24"/>
        </w:rPr>
        <w:t xml:space="preserve"> </w:t>
      </w:r>
    </w:p>
    <w:p w14:paraId="1C22C09E" w14:textId="431A3BBD" w:rsidR="00AD4ACE" w:rsidRPr="009A6D7D" w:rsidRDefault="00A85F10" w:rsidP="009A6D7D">
      <w:pPr>
        <w:numPr>
          <w:ilvl w:val="1"/>
          <w:numId w:val="2"/>
        </w:numPr>
        <w:pBdr>
          <w:top w:val="nil"/>
          <w:left w:val="nil"/>
          <w:bottom w:val="nil"/>
          <w:right w:val="nil"/>
          <w:between w:val="nil"/>
        </w:pBdr>
        <w:tabs>
          <w:tab w:val="left" w:pos="2268"/>
          <w:tab w:val="left" w:pos="3402"/>
        </w:tabs>
        <w:spacing w:after="0" w:line="276" w:lineRule="auto"/>
        <w:ind w:left="2694" w:hanging="993"/>
        <w:jc w:val="both"/>
        <w:rPr>
          <w:rFonts w:ascii="Gadugi" w:hAnsi="Gadugi"/>
          <w:b/>
          <w:color w:val="000000"/>
          <w:sz w:val="24"/>
          <w:szCs w:val="24"/>
        </w:rPr>
      </w:pPr>
      <w:r w:rsidRPr="009A6D7D">
        <w:rPr>
          <w:rFonts w:ascii="Gadugi" w:eastAsia="Gadugi" w:hAnsi="Gadugi" w:cs="Gadugi"/>
          <w:b/>
          <w:color w:val="000000"/>
          <w:sz w:val="24"/>
          <w:szCs w:val="24"/>
        </w:rPr>
        <w:t>Pretensiones.</w:t>
      </w:r>
      <w:r w:rsidRPr="009A6D7D">
        <w:rPr>
          <w:rFonts w:ascii="Gadugi" w:eastAsia="Gadugi" w:hAnsi="Gadugi" w:cs="Gadugi"/>
          <w:color w:val="000000"/>
          <w:sz w:val="24"/>
          <w:szCs w:val="24"/>
          <w:vertAlign w:val="superscript"/>
        </w:rPr>
        <w:t xml:space="preserve"> </w:t>
      </w:r>
    </w:p>
    <w:p w14:paraId="1C22C09F" w14:textId="77777777" w:rsidR="00AD4ACE" w:rsidRPr="009A6D7D" w:rsidRDefault="00AD4ACE" w:rsidP="009A6D7D">
      <w:pPr>
        <w:pBdr>
          <w:top w:val="nil"/>
          <w:left w:val="nil"/>
          <w:bottom w:val="nil"/>
          <w:right w:val="nil"/>
          <w:between w:val="nil"/>
        </w:pBdr>
        <w:tabs>
          <w:tab w:val="left" w:pos="2268"/>
          <w:tab w:val="left" w:pos="3402"/>
        </w:tabs>
        <w:spacing w:after="0" w:line="276" w:lineRule="auto"/>
        <w:ind w:left="2835" w:firstLine="1701"/>
        <w:jc w:val="both"/>
        <w:rPr>
          <w:rFonts w:ascii="Gadugi" w:hAnsi="Gadugi"/>
          <w:color w:val="000000"/>
          <w:sz w:val="24"/>
          <w:szCs w:val="24"/>
        </w:rPr>
      </w:pPr>
    </w:p>
    <w:p w14:paraId="1C22C0A5" w14:textId="7AAAF7F8" w:rsidR="00AD4ACE" w:rsidRPr="009A6D7D" w:rsidRDefault="00A85F10" w:rsidP="009A6D7D">
      <w:pPr>
        <w:pBdr>
          <w:top w:val="nil"/>
          <w:left w:val="nil"/>
          <w:bottom w:val="nil"/>
          <w:right w:val="nil"/>
          <w:between w:val="nil"/>
        </w:pBdr>
        <w:tabs>
          <w:tab w:val="left" w:pos="2268"/>
          <w:tab w:val="left" w:pos="2835"/>
        </w:tabs>
        <w:spacing w:after="0" w:line="276" w:lineRule="auto"/>
        <w:ind w:firstLine="1701"/>
        <w:jc w:val="both"/>
        <w:rPr>
          <w:rFonts w:ascii="Gadugi" w:hAnsi="Gadugi" w:cs="Times New Roman"/>
          <w:sz w:val="24"/>
          <w:szCs w:val="24"/>
          <w:lang w:eastAsia="en-US"/>
        </w:rPr>
      </w:pPr>
      <w:r w:rsidRPr="009A6D7D">
        <w:rPr>
          <w:rFonts w:ascii="Gadugi" w:eastAsia="Gadugi" w:hAnsi="Gadugi" w:cs="Gadugi"/>
          <w:color w:val="000000"/>
          <w:sz w:val="24"/>
          <w:szCs w:val="24"/>
        </w:rPr>
        <w:t>Pidieron</w:t>
      </w:r>
      <w:r w:rsidR="000B49DC" w:rsidRPr="00673B86">
        <w:rPr>
          <w:rFonts w:ascii="Gadugi" w:eastAsia="Gadugi" w:hAnsi="Gadugi" w:cs="Gadugi"/>
          <w:color w:val="000000"/>
          <w:sz w:val="24"/>
          <w:szCs w:val="24"/>
          <w:vertAlign w:val="superscript"/>
        </w:rPr>
        <w:footnoteReference w:id="3"/>
      </w:r>
      <w:r w:rsidR="000B49DC" w:rsidRPr="009A6D7D">
        <w:rPr>
          <w:rFonts w:ascii="Gadugi" w:eastAsia="Gadugi" w:hAnsi="Gadugi" w:cs="Gadugi"/>
          <w:color w:val="000000"/>
          <w:sz w:val="24"/>
          <w:szCs w:val="24"/>
        </w:rPr>
        <w:t xml:space="preserve"> (i) q</w:t>
      </w:r>
      <w:r w:rsidRPr="009A6D7D">
        <w:rPr>
          <w:rFonts w:ascii="Gadugi" w:eastAsia="Gadugi" w:hAnsi="Gadugi" w:cs="Gadugi"/>
          <w:color w:val="000000"/>
          <w:sz w:val="24"/>
          <w:szCs w:val="24"/>
        </w:rPr>
        <w:t>ue se declarara civil y solidariamente responsables a los demandados por los daños materiales e inmateriales causados por la muerte de Misael Ramírez Restrepo</w:t>
      </w:r>
      <w:r w:rsidR="000B49DC" w:rsidRPr="009A6D7D">
        <w:rPr>
          <w:rFonts w:ascii="Gadugi" w:eastAsia="Gadugi" w:hAnsi="Gadugi" w:cs="Gadugi"/>
          <w:color w:val="000000"/>
          <w:sz w:val="24"/>
          <w:szCs w:val="24"/>
        </w:rPr>
        <w:t>; (ii) que Allianz Seguros era también responsable en forma directa por el pago de los valores a que se condenara al asegurado; (iii) que, c</w:t>
      </w:r>
      <w:r w:rsidRPr="009A6D7D">
        <w:rPr>
          <w:rFonts w:ascii="Gadugi" w:eastAsia="Gadugi" w:hAnsi="Gadugi" w:cs="Gadugi"/>
          <w:color w:val="000000"/>
          <w:sz w:val="24"/>
          <w:szCs w:val="24"/>
        </w:rPr>
        <w:t xml:space="preserve">omo consecuencia </w:t>
      </w:r>
      <w:r w:rsidR="000B49DC" w:rsidRPr="009A6D7D">
        <w:rPr>
          <w:rFonts w:ascii="Gadugi" w:eastAsia="Gadugi" w:hAnsi="Gadugi" w:cs="Gadugi"/>
          <w:color w:val="000000"/>
          <w:sz w:val="24"/>
          <w:szCs w:val="24"/>
        </w:rPr>
        <w:t>d</w:t>
      </w:r>
      <w:r w:rsidRPr="009A6D7D">
        <w:rPr>
          <w:rFonts w:ascii="Gadugi" w:eastAsia="Gadugi" w:hAnsi="Gadugi" w:cs="Gadugi"/>
          <w:color w:val="000000"/>
          <w:sz w:val="24"/>
          <w:szCs w:val="24"/>
        </w:rPr>
        <w:t>e ello, se les condenara a pagarles los perjuicios materiales (lucro cesante) y extrapatrimoniales (daño moral) que se causaron y que fueron tasados</w:t>
      </w:r>
      <w:r w:rsidR="006A29DF" w:rsidRPr="009A6D7D">
        <w:rPr>
          <w:rFonts w:ascii="Gadugi" w:eastAsia="Gadugi" w:hAnsi="Gadugi" w:cs="Gadugi"/>
          <w:color w:val="000000"/>
          <w:sz w:val="24"/>
          <w:szCs w:val="24"/>
        </w:rPr>
        <w:t xml:space="preserve"> en </w:t>
      </w:r>
      <w:r w:rsidR="000B49DC" w:rsidRPr="009A6D7D">
        <w:rPr>
          <w:rFonts w:ascii="Gadugi" w:eastAsia="Gadugi" w:hAnsi="Gadugi" w:cs="Gadugi"/>
          <w:color w:val="000000"/>
          <w:sz w:val="24"/>
          <w:szCs w:val="24"/>
        </w:rPr>
        <w:t xml:space="preserve">la suma de </w:t>
      </w:r>
      <w:r w:rsidR="006A29DF" w:rsidRPr="009A6D7D">
        <w:rPr>
          <w:rFonts w:ascii="Gadugi" w:eastAsia="Gadugi" w:hAnsi="Gadugi" w:cs="Gadugi"/>
          <w:color w:val="000000"/>
          <w:sz w:val="24"/>
          <w:szCs w:val="24"/>
        </w:rPr>
        <w:t>$</w:t>
      </w:r>
      <w:r w:rsidR="006A29DF" w:rsidRPr="009A6D7D">
        <w:rPr>
          <w:rFonts w:ascii="Gadugi" w:hAnsi="Gadugi" w:cs="Times New Roman"/>
          <w:sz w:val="24"/>
          <w:szCs w:val="24"/>
          <w:lang w:eastAsia="en-US"/>
        </w:rPr>
        <w:t>527.749.359</w:t>
      </w:r>
      <w:r w:rsidR="000B49DC" w:rsidRPr="009A6D7D">
        <w:rPr>
          <w:rFonts w:ascii="Gadugi" w:hAnsi="Gadugi" w:cs="Times New Roman"/>
          <w:sz w:val="24"/>
          <w:szCs w:val="24"/>
          <w:lang w:eastAsia="en-US"/>
        </w:rPr>
        <w:t xml:space="preserve">. </w:t>
      </w:r>
    </w:p>
    <w:p w14:paraId="1C22C0A6" w14:textId="77777777" w:rsidR="00AD4ACE" w:rsidRPr="009A6D7D" w:rsidRDefault="00AD4ACE" w:rsidP="009A6D7D">
      <w:pPr>
        <w:pBdr>
          <w:top w:val="nil"/>
          <w:left w:val="nil"/>
          <w:bottom w:val="nil"/>
          <w:right w:val="nil"/>
          <w:between w:val="nil"/>
        </w:pBdr>
        <w:tabs>
          <w:tab w:val="left" w:pos="2268"/>
          <w:tab w:val="left" w:pos="3402"/>
        </w:tabs>
        <w:spacing w:after="0" w:line="276" w:lineRule="auto"/>
        <w:ind w:firstLine="1701"/>
        <w:jc w:val="both"/>
        <w:rPr>
          <w:rFonts w:ascii="Gadugi" w:eastAsia="Gadugi" w:hAnsi="Gadugi" w:cs="Gadugi"/>
          <w:color w:val="000000"/>
          <w:sz w:val="24"/>
          <w:szCs w:val="24"/>
        </w:rPr>
      </w:pPr>
    </w:p>
    <w:p w14:paraId="1C22C0A7" w14:textId="77777777" w:rsidR="00AD4ACE" w:rsidRPr="009A6D7D" w:rsidRDefault="00A85F10" w:rsidP="009A6D7D">
      <w:pPr>
        <w:numPr>
          <w:ilvl w:val="1"/>
          <w:numId w:val="2"/>
        </w:numPr>
        <w:pBdr>
          <w:top w:val="nil"/>
          <w:left w:val="nil"/>
          <w:bottom w:val="nil"/>
          <w:right w:val="nil"/>
          <w:between w:val="nil"/>
        </w:pBdr>
        <w:tabs>
          <w:tab w:val="left" w:pos="2268"/>
          <w:tab w:val="left" w:pos="3402"/>
        </w:tabs>
        <w:spacing w:after="0" w:line="276" w:lineRule="auto"/>
        <w:ind w:left="2552" w:hanging="851"/>
        <w:jc w:val="both"/>
        <w:rPr>
          <w:rFonts w:ascii="Gadugi" w:eastAsia="Gadugi" w:hAnsi="Gadugi" w:cs="Gadugi"/>
          <w:b/>
          <w:color w:val="000000"/>
          <w:sz w:val="24"/>
          <w:szCs w:val="24"/>
        </w:rPr>
      </w:pPr>
      <w:r w:rsidRPr="009A6D7D">
        <w:rPr>
          <w:rFonts w:ascii="Gadugi" w:eastAsia="Gadugi" w:hAnsi="Gadugi" w:cs="Gadugi"/>
          <w:b/>
          <w:color w:val="000000"/>
          <w:sz w:val="24"/>
          <w:szCs w:val="24"/>
        </w:rPr>
        <w:t>Trámite.</w:t>
      </w:r>
    </w:p>
    <w:p w14:paraId="1C22C0A8" w14:textId="77777777" w:rsidR="00AD4ACE" w:rsidRPr="009A6D7D" w:rsidRDefault="00AD4ACE" w:rsidP="009A6D7D">
      <w:pPr>
        <w:tabs>
          <w:tab w:val="left" w:pos="2268"/>
        </w:tabs>
        <w:spacing w:after="0" w:line="276" w:lineRule="auto"/>
        <w:ind w:firstLine="1701"/>
        <w:jc w:val="both"/>
        <w:rPr>
          <w:rFonts w:ascii="Gadugi" w:eastAsia="Gadugi" w:hAnsi="Gadugi" w:cs="Gadugi"/>
          <w:sz w:val="24"/>
          <w:szCs w:val="24"/>
        </w:rPr>
      </w:pPr>
    </w:p>
    <w:p w14:paraId="2DEA021D" w14:textId="4697093B" w:rsidR="00B32CAA" w:rsidRPr="009A6D7D" w:rsidRDefault="000B49DC"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Inadmitida la demanda</w:t>
      </w:r>
      <w:r w:rsidR="004F0DC9" w:rsidRPr="009A6D7D">
        <w:rPr>
          <w:rStyle w:val="Refdenotaalpie"/>
          <w:rFonts w:ascii="Gadugi" w:eastAsia="Gadugi" w:hAnsi="Gadugi" w:cs="Gadugi"/>
          <w:sz w:val="24"/>
          <w:szCs w:val="24"/>
        </w:rPr>
        <w:footnoteReference w:id="4"/>
      </w:r>
      <w:r w:rsidR="004F0DC9" w:rsidRPr="009A6D7D">
        <w:rPr>
          <w:rFonts w:ascii="Gadugi" w:eastAsia="Gadugi" w:hAnsi="Gadugi" w:cs="Gadugi"/>
          <w:sz w:val="24"/>
          <w:szCs w:val="24"/>
        </w:rPr>
        <w:t xml:space="preserve"> se hizo claridad respecto de las pretensiones</w:t>
      </w:r>
      <w:r w:rsidR="00B32CAA" w:rsidRPr="009A6D7D">
        <w:rPr>
          <w:rStyle w:val="Refdenotaalpie"/>
          <w:rFonts w:ascii="Gadugi" w:eastAsia="Gadugi" w:hAnsi="Gadugi" w:cs="Gadugi"/>
          <w:sz w:val="24"/>
          <w:szCs w:val="24"/>
        </w:rPr>
        <w:footnoteReference w:id="5"/>
      </w:r>
      <w:r w:rsidR="004F0DC9" w:rsidRPr="009A6D7D">
        <w:rPr>
          <w:rFonts w:ascii="Gadugi" w:eastAsia="Gadugi" w:hAnsi="Gadugi" w:cs="Gadugi"/>
          <w:sz w:val="24"/>
          <w:szCs w:val="24"/>
        </w:rPr>
        <w:t>, que se redujeron al daño moral, en cuantía de $432’000.000,</w:t>
      </w:r>
      <w:r w:rsidR="00027324">
        <w:rPr>
          <w:rFonts w:ascii="Gadugi" w:eastAsia="Gadugi" w:hAnsi="Gadugi" w:cs="Gadugi"/>
          <w:sz w:val="24"/>
          <w:szCs w:val="24"/>
        </w:rPr>
        <w:t>00</w:t>
      </w:r>
      <w:r w:rsidR="004F0DC9" w:rsidRPr="009A6D7D">
        <w:rPr>
          <w:rFonts w:ascii="Gadugi" w:eastAsia="Gadugi" w:hAnsi="Gadugi" w:cs="Gadugi"/>
          <w:sz w:val="24"/>
          <w:szCs w:val="24"/>
        </w:rPr>
        <w:t xml:space="preserve">, junto con los </w:t>
      </w:r>
      <w:r w:rsidR="00B32CAA" w:rsidRPr="009A6D7D">
        <w:rPr>
          <w:rFonts w:ascii="Gadugi" w:eastAsia="Gadugi" w:hAnsi="Gadugi" w:cs="Gadugi"/>
          <w:sz w:val="24"/>
          <w:szCs w:val="24"/>
        </w:rPr>
        <w:t xml:space="preserve">intereses a cargo de la aseguradora, en los términos del artículo 1080 del C. Co., así como las costas del proceso. </w:t>
      </w:r>
    </w:p>
    <w:p w14:paraId="4C7A6ADB" w14:textId="77777777" w:rsidR="00B32CAA" w:rsidRPr="009A6D7D" w:rsidRDefault="00B32CAA" w:rsidP="009A6D7D">
      <w:pPr>
        <w:spacing w:after="0" w:line="276" w:lineRule="auto"/>
        <w:ind w:firstLine="1701"/>
        <w:jc w:val="both"/>
        <w:rPr>
          <w:rFonts w:ascii="Gadugi" w:eastAsia="Gadugi" w:hAnsi="Gadugi" w:cs="Gadugi"/>
          <w:sz w:val="24"/>
          <w:szCs w:val="24"/>
        </w:rPr>
      </w:pPr>
    </w:p>
    <w:p w14:paraId="1C22C0A9" w14:textId="51380A9D" w:rsidR="00AD4ACE" w:rsidRDefault="00B32CAA"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Se admitió el libelo</w:t>
      </w:r>
      <w:r w:rsidR="00A85F10" w:rsidRPr="009A6D7D">
        <w:rPr>
          <w:rFonts w:ascii="Gadugi" w:eastAsia="Gadugi" w:hAnsi="Gadugi" w:cs="Gadugi"/>
          <w:sz w:val="24"/>
          <w:szCs w:val="24"/>
          <w:vertAlign w:val="superscript"/>
        </w:rPr>
        <w:footnoteReference w:id="6"/>
      </w:r>
      <w:r w:rsidR="00A85F10" w:rsidRPr="009A6D7D">
        <w:rPr>
          <w:rFonts w:ascii="Gadugi" w:eastAsia="Gadugi" w:hAnsi="Gadugi" w:cs="Gadugi"/>
          <w:sz w:val="24"/>
          <w:szCs w:val="24"/>
        </w:rPr>
        <w:t xml:space="preserve">, </w:t>
      </w:r>
      <w:r w:rsidRPr="009A6D7D">
        <w:rPr>
          <w:rFonts w:ascii="Gadugi" w:eastAsia="Gadugi" w:hAnsi="Gadugi" w:cs="Gadugi"/>
          <w:sz w:val="24"/>
          <w:szCs w:val="24"/>
        </w:rPr>
        <w:t xml:space="preserve">y posteriormente se </w:t>
      </w:r>
      <w:r w:rsidR="00A85F10" w:rsidRPr="009A6D7D">
        <w:rPr>
          <w:rFonts w:ascii="Gadugi" w:eastAsia="Gadugi" w:hAnsi="Gadugi" w:cs="Gadugi"/>
          <w:sz w:val="24"/>
          <w:szCs w:val="24"/>
        </w:rPr>
        <w:t xml:space="preserve">adicionó </w:t>
      </w:r>
      <w:r w:rsidRPr="009A6D7D">
        <w:rPr>
          <w:rFonts w:ascii="Gadugi" w:eastAsia="Gadugi" w:hAnsi="Gadugi" w:cs="Gadugi"/>
          <w:sz w:val="24"/>
          <w:szCs w:val="24"/>
        </w:rPr>
        <w:t xml:space="preserve">el auto </w:t>
      </w:r>
      <w:r w:rsidR="00A85F10" w:rsidRPr="009A6D7D">
        <w:rPr>
          <w:rFonts w:ascii="Gadugi" w:eastAsia="Gadugi" w:hAnsi="Gadugi" w:cs="Gadugi"/>
          <w:sz w:val="24"/>
          <w:szCs w:val="24"/>
        </w:rPr>
        <w:t>para incluir un demandado sobre el qu</w:t>
      </w:r>
      <w:r w:rsidRPr="009A6D7D">
        <w:rPr>
          <w:rFonts w:ascii="Gadugi" w:eastAsia="Gadugi" w:hAnsi="Gadugi" w:cs="Gadugi"/>
          <w:sz w:val="24"/>
          <w:szCs w:val="24"/>
        </w:rPr>
        <w:t xml:space="preserve">e </w:t>
      </w:r>
      <w:r w:rsidR="00A85F10" w:rsidRPr="009A6D7D">
        <w:rPr>
          <w:rFonts w:ascii="Gadugi" w:eastAsia="Gadugi" w:hAnsi="Gadugi" w:cs="Gadugi"/>
          <w:sz w:val="24"/>
          <w:szCs w:val="24"/>
        </w:rPr>
        <w:t>no se había pronunciado el Despacho</w:t>
      </w:r>
      <w:r w:rsidR="00A85F10" w:rsidRPr="009A6D7D">
        <w:rPr>
          <w:rFonts w:ascii="Gadugi" w:eastAsia="Gadugi" w:hAnsi="Gadugi" w:cs="Gadugi"/>
          <w:sz w:val="24"/>
          <w:szCs w:val="24"/>
          <w:vertAlign w:val="superscript"/>
        </w:rPr>
        <w:footnoteReference w:id="7"/>
      </w:r>
      <w:r w:rsidR="00A85F10" w:rsidRPr="009A6D7D">
        <w:rPr>
          <w:rFonts w:ascii="Gadugi" w:eastAsia="Gadugi" w:hAnsi="Gadugi" w:cs="Gadugi"/>
          <w:sz w:val="24"/>
          <w:szCs w:val="24"/>
        </w:rPr>
        <w:t>.</w:t>
      </w:r>
    </w:p>
    <w:p w14:paraId="6DFC04E5" w14:textId="77777777" w:rsidR="00E95EBD" w:rsidRPr="009A6D7D" w:rsidRDefault="00E95EBD" w:rsidP="009A6D7D">
      <w:pPr>
        <w:spacing w:after="0" w:line="276" w:lineRule="auto"/>
        <w:ind w:firstLine="1701"/>
        <w:jc w:val="both"/>
        <w:rPr>
          <w:rFonts w:ascii="Gadugi" w:eastAsia="Gadugi" w:hAnsi="Gadugi" w:cs="Gadugi"/>
          <w:sz w:val="24"/>
          <w:szCs w:val="24"/>
        </w:rPr>
      </w:pPr>
    </w:p>
    <w:p w14:paraId="0A6726BE" w14:textId="31548A44" w:rsidR="00B32CAA" w:rsidRPr="009A6D7D" w:rsidRDefault="00B32CAA"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Notificados los demandados, comparecieron así: </w:t>
      </w:r>
    </w:p>
    <w:p w14:paraId="4276C8DC" w14:textId="77777777" w:rsidR="00B32CAA" w:rsidRPr="009A6D7D" w:rsidRDefault="00B32CAA" w:rsidP="009A6D7D">
      <w:pPr>
        <w:spacing w:after="0" w:line="276" w:lineRule="auto"/>
        <w:ind w:firstLine="1701"/>
        <w:jc w:val="both"/>
        <w:rPr>
          <w:rFonts w:ascii="Gadugi" w:eastAsia="Gadugi" w:hAnsi="Gadugi" w:cs="Gadugi"/>
          <w:sz w:val="24"/>
          <w:szCs w:val="24"/>
        </w:rPr>
      </w:pPr>
    </w:p>
    <w:p w14:paraId="1C22C0AF" w14:textId="2F42BBDD" w:rsidR="00AD4ACE" w:rsidRPr="009A6D7D" w:rsidRDefault="00B32CAA"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Banco Finandina S.A., </w:t>
      </w:r>
      <w:r w:rsidR="009A64A9" w:rsidRPr="009A6D7D">
        <w:rPr>
          <w:rFonts w:ascii="Gadugi" w:eastAsia="Gadugi" w:hAnsi="Gadugi" w:cs="Gadugi"/>
          <w:sz w:val="24"/>
          <w:szCs w:val="24"/>
        </w:rPr>
        <w:t>en su respuesta</w:t>
      </w:r>
      <w:r w:rsidR="009A64A9" w:rsidRPr="009A6D7D">
        <w:rPr>
          <w:rFonts w:ascii="Gadugi" w:eastAsia="Gadugi" w:hAnsi="Gadugi" w:cs="Gadugi"/>
          <w:sz w:val="24"/>
          <w:szCs w:val="24"/>
          <w:vertAlign w:val="superscript"/>
        </w:rPr>
        <w:footnoteReference w:id="8"/>
      </w:r>
      <w:r w:rsidR="009A64A9" w:rsidRPr="009A6D7D">
        <w:rPr>
          <w:rFonts w:ascii="Gadugi" w:eastAsia="Gadugi" w:hAnsi="Gadugi" w:cs="Gadugi"/>
          <w:sz w:val="24"/>
          <w:szCs w:val="24"/>
        </w:rPr>
        <w:t xml:space="preserve">, </w:t>
      </w:r>
      <w:r w:rsidR="00A85F10" w:rsidRPr="009A6D7D">
        <w:rPr>
          <w:rFonts w:ascii="Gadugi" w:eastAsia="Gadugi" w:hAnsi="Gadugi" w:cs="Gadugi"/>
          <w:sz w:val="24"/>
          <w:szCs w:val="24"/>
        </w:rPr>
        <w:t xml:space="preserve">S.A., </w:t>
      </w:r>
      <w:r w:rsidR="009A64A9" w:rsidRPr="009A6D7D">
        <w:rPr>
          <w:rFonts w:ascii="Gadugi" w:eastAsia="Gadugi" w:hAnsi="Gadugi" w:cs="Gadugi"/>
          <w:sz w:val="24"/>
          <w:szCs w:val="24"/>
        </w:rPr>
        <w:t xml:space="preserve">se refirió a los hechos que, en su mayoría, no le constaban; </w:t>
      </w:r>
      <w:r w:rsidR="00A85F10" w:rsidRPr="009A6D7D">
        <w:rPr>
          <w:rFonts w:ascii="Gadugi" w:eastAsia="Gadugi" w:hAnsi="Gadugi" w:cs="Gadugi"/>
          <w:sz w:val="24"/>
          <w:szCs w:val="24"/>
        </w:rPr>
        <w:t>se opuso a las pretensiones</w:t>
      </w:r>
      <w:r w:rsidR="009A64A9" w:rsidRPr="009A6D7D">
        <w:rPr>
          <w:rFonts w:ascii="Gadugi" w:eastAsia="Gadugi" w:hAnsi="Gadugi" w:cs="Gadugi"/>
          <w:sz w:val="24"/>
          <w:szCs w:val="24"/>
        </w:rPr>
        <w:t xml:space="preserve"> y propuso como excepciones las de </w:t>
      </w:r>
      <w:r w:rsidR="00A85F10" w:rsidRPr="009A6D7D">
        <w:rPr>
          <w:rFonts w:ascii="Gadugi" w:eastAsia="Gadugi" w:hAnsi="Gadugi" w:cs="Gadugi"/>
          <w:sz w:val="24"/>
          <w:szCs w:val="24"/>
        </w:rPr>
        <w:t>(i) Inexistencia de obligación del Banco Finandina S.A. por haber tra</w:t>
      </w:r>
      <w:r w:rsidR="00772582" w:rsidRPr="009A6D7D">
        <w:rPr>
          <w:rFonts w:ascii="Gadugi" w:eastAsia="Gadugi" w:hAnsi="Gadugi" w:cs="Gadugi"/>
          <w:sz w:val="24"/>
          <w:szCs w:val="24"/>
        </w:rPr>
        <w:t>n</w:t>
      </w:r>
      <w:r w:rsidR="00A85F10" w:rsidRPr="009A6D7D">
        <w:rPr>
          <w:rFonts w:ascii="Gadugi" w:eastAsia="Gadugi" w:hAnsi="Gadugi" w:cs="Gadugi"/>
          <w:sz w:val="24"/>
          <w:szCs w:val="24"/>
        </w:rPr>
        <w:t>sferido el vehículo mediante arrendamiento financiero –leasing</w:t>
      </w:r>
      <w:r w:rsidR="00E95EBD">
        <w:rPr>
          <w:rFonts w:ascii="Gadugi" w:eastAsia="Gadugi" w:hAnsi="Gadugi" w:cs="Gadugi"/>
          <w:sz w:val="24"/>
          <w:szCs w:val="24"/>
        </w:rPr>
        <w:t>–</w:t>
      </w:r>
      <w:r w:rsidR="00A85F10" w:rsidRPr="009A6D7D">
        <w:rPr>
          <w:rFonts w:ascii="Gadugi" w:eastAsia="Gadugi" w:hAnsi="Gadugi" w:cs="Gadugi"/>
          <w:sz w:val="24"/>
          <w:szCs w:val="24"/>
        </w:rPr>
        <w:t xml:space="preserve"> al señor Octavio Marín Hincapié</w:t>
      </w:r>
      <w:r w:rsidR="009A64A9" w:rsidRPr="009A6D7D">
        <w:rPr>
          <w:rFonts w:ascii="Gadugi" w:eastAsia="Gadugi" w:hAnsi="Gadugi" w:cs="Gadugi"/>
          <w:sz w:val="24"/>
          <w:szCs w:val="24"/>
        </w:rPr>
        <w:t xml:space="preserve">; </w:t>
      </w:r>
      <w:r w:rsidR="00A85F10" w:rsidRPr="009A6D7D">
        <w:rPr>
          <w:rFonts w:ascii="Gadugi" w:eastAsia="Gadugi" w:hAnsi="Gadugi" w:cs="Gadugi"/>
          <w:sz w:val="24"/>
          <w:szCs w:val="24"/>
        </w:rPr>
        <w:t>(ii) Ausencia de responsabilidad del Banco Finandina respecto de la guarda, custodia, dirección y manejo del bien arrendado</w:t>
      </w:r>
      <w:r w:rsidR="009A64A9" w:rsidRPr="009A6D7D">
        <w:rPr>
          <w:rFonts w:ascii="Gadugi" w:eastAsia="Gadugi" w:hAnsi="Gadugi" w:cs="Gadugi"/>
          <w:sz w:val="24"/>
          <w:szCs w:val="24"/>
        </w:rPr>
        <w:t xml:space="preserve">; </w:t>
      </w:r>
      <w:r w:rsidR="00A85F10" w:rsidRPr="009A6D7D">
        <w:rPr>
          <w:rFonts w:ascii="Gadugi" w:eastAsia="Gadugi" w:hAnsi="Gadugi" w:cs="Gadugi"/>
          <w:sz w:val="24"/>
          <w:szCs w:val="24"/>
        </w:rPr>
        <w:t>(iii) Ausencia de responsabilidad del Banco Finandina por disposición expresa contenida en el contrato de leasing</w:t>
      </w:r>
      <w:r w:rsidR="009A64A9" w:rsidRPr="009A6D7D">
        <w:rPr>
          <w:rFonts w:ascii="Gadugi" w:eastAsia="Gadugi" w:hAnsi="Gadugi" w:cs="Gadugi"/>
          <w:sz w:val="24"/>
          <w:szCs w:val="24"/>
        </w:rPr>
        <w:t xml:space="preserve">; y </w:t>
      </w:r>
      <w:r w:rsidR="00A85F10" w:rsidRPr="009A6D7D">
        <w:rPr>
          <w:rFonts w:ascii="Gadugi" w:eastAsia="Gadugi" w:hAnsi="Gadugi" w:cs="Gadugi"/>
          <w:sz w:val="24"/>
          <w:szCs w:val="24"/>
        </w:rPr>
        <w:t xml:space="preserve">(iv) indebida cuantificación de perjuicios. </w:t>
      </w:r>
    </w:p>
    <w:p w14:paraId="1C22C0B0" w14:textId="77777777" w:rsidR="00AD4ACE" w:rsidRPr="009A6D7D" w:rsidRDefault="00AD4ACE" w:rsidP="009A6D7D">
      <w:pPr>
        <w:spacing w:after="0" w:line="276" w:lineRule="auto"/>
        <w:jc w:val="both"/>
        <w:rPr>
          <w:rFonts w:ascii="Gadugi" w:eastAsia="Gadugi" w:hAnsi="Gadugi" w:cs="Gadugi"/>
          <w:sz w:val="24"/>
          <w:szCs w:val="24"/>
        </w:rPr>
      </w:pPr>
    </w:p>
    <w:p w14:paraId="1EBA9247" w14:textId="77777777" w:rsidR="00DA61DB"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Igualmente, llamó en garantía a Allianz Seguros S.A.,</w:t>
      </w:r>
      <w:r w:rsidRPr="009A6D7D">
        <w:rPr>
          <w:rFonts w:ascii="Gadugi" w:eastAsia="Gadugi" w:hAnsi="Gadugi" w:cs="Gadugi"/>
          <w:sz w:val="24"/>
          <w:szCs w:val="24"/>
          <w:vertAlign w:val="superscript"/>
        </w:rPr>
        <w:footnoteReference w:id="9"/>
      </w:r>
      <w:r w:rsidRPr="009A6D7D">
        <w:rPr>
          <w:rFonts w:ascii="Gadugi" w:eastAsia="Gadugi" w:hAnsi="Gadugi" w:cs="Gadugi"/>
          <w:sz w:val="24"/>
          <w:szCs w:val="24"/>
        </w:rPr>
        <w:t xml:space="preserve"> </w:t>
      </w:r>
      <w:r w:rsidR="009A64A9" w:rsidRPr="009A6D7D">
        <w:rPr>
          <w:rFonts w:ascii="Gadugi" w:eastAsia="Gadugi" w:hAnsi="Gadugi" w:cs="Gadugi"/>
          <w:sz w:val="24"/>
          <w:szCs w:val="24"/>
        </w:rPr>
        <w:t xml:space="preserve">a </w:t>
      </w:r>
      <w:r w:rsidRPr="009A6D7D">
        <w:rPr>
          <w:rFonts w:ascii="Gadugi" w:eastAsia="Gadugi" w:hAnsi="Gadugi" w:cs="Gadugi"/>
          <w:sz w:val="24"/>
          <w:szCs w:val="24"/>
        </w:rPr>
        <w:t>Octavio Marín Hincapié</w:t>
      </w:r>
      <w:r w:rsidRPr="009A6D7D">
        <w:rPr>
          <w:rFonts w:ascii="Gadugi" w:eastAsia="Gadugi" w:hAnsi="Gadugi" w:cs="Gadugi"/>
          <w:sz w:val="24"/>
          <w:szCs w:val="24"/>
          <w:vertAlign w:val="superscript"/>
        </w:rPr>
        <w:footnoteReference w:id="10"/>
      </w:r>
      <w:r w:rsidRPr="009A6D7D">
        <w:rPr>
          <w:rFonts w:ascii="Gadugi" w:eastAsia="Gadugi" w:hAnsi="Gadugi" w:cs="Gadugi"/>
          <w:sz w:val="24"/>
          <w:szCs w:val="24"/>
        </w:rPr>
        <w:t xml:space="preserve"> y a Luis Fernando Giraldo Salazar</w:t>
      </w:r>
      <w:r w:rsidRPr="009A6D7D">
        <w:rPr>
          <w:rFonts w:ascii="Gadugi" w:eastAsia="Gadugi" w:hAnsi="Gadugi" w:cs="Gadugi"/>
          <w:sz w:val="24"/>
          <w:szCs w:val="24"/>
          <w:vertAlign w:val="superscript"/>
        </w:rPr>
        <w:footnoteReference w:id="11"/>
      </w:r>
      <w:r w:rsidR="00DA61DB" w:rsidRPr="009A6D7D">
        <w:rPr>
          <w:rFonts w:ascii="Gadugi" w:eastAsia="Gadugi" w:hAnsi="Gadugi" w:cs="Gadugi"/>
          <w:sz w:val="24"/>
          <w:szCs w:val="24"/>
        </w:rPr>
        <w:t>.</w:t>
      </w:r>
      <w:r w:rsidRPr="009A6D7D">
        <w:rPr>
          <w:rFonts w:ascii="Gadugi" w:eastAsia="Gadugi" w:hAnsi="Gadugi" w:cs="Gadugi"/>
          <w:sz w:val="24"/>
          <w:szCs w:val="24"/>
        </w:rPr>
        <w:t xml:space="preserve"> </w:t>
      </w:r>
    </w:p>
    <w:p w14:paraId="39F8553E" w14:textId="77777777" w:rsidR="00DA61DB" w:rsidRPr="009A6D7D" w:rsidRDefault="00DA61DB" w:rsidP="009A6D7D">
      <w:pPr>
        <w:spacing w:after="0" w:line="276" w:lineRule="auto"/>
        <w:ind w:firstLine="1701"/>
        <w:jc w:val="both"/>
        <w:rPr>
          <w:rFonts w:ascii="Gadugi" w:eastAsia="Gadugi" w:hAnsi="Gadugi" w:cs="Gadugi"/>
          <w:sz w:val="24"/>
          <w:szCs w:val="24"/>
        </w:rPr>
      </w:pPr>
    </w:p>
    <w:p w14:paraId="0208A1CB" w14:textId="409960B7" w:rsidR="009A64A9" w:rsidRPr="009A6D7D" w:rsidRDefault="009A64A9"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Allianz Seguros S.A., presentó nulidad por indebida notificación</w:t>
      </w:r>
      <w:r w:rsidRPr="009A6D7D">
        <w:rPr>
          <w:rFonts w:ascii="Gadugi" w:eastAsia="Gadugi" w:hAnsi="Gadugi" w:cs="Gadugi"/>
          <w:sz w:val="24"/>
          <w:szCs w:val="24"/>
          <w:vertAlign w:val="superscript"/>
        </w:rPr>
        <w:footnoteReference w:id="12"/>
      </w:r>
      <w:r w:rsidR="00DA61DB" w:rsidRPr="009A6D7D">
        <w:rPr>
          <w:rFonts w:ascii="Gadugi" w:eastAsia="Gadugi" w:hAnsi="Gadugi" w:cs="Gadugi"/>
          <w:sz w:val="24"/>
          <w:szCs w:val="24"/>
        </w:rPr>
        <w:t xml:space="preserve"> que </w:t>
      </w:r>
      <w:r w:rsidRPr="009A6D7D">
        <w:rPr>
          <w:rFonts w:ascii="Gadugi" w:eastAsia="Gadugi" w:hAnsi="Gadugi" w:cs="Gadugi"/>
          <w:sz w:val="24"/>
          <w:szCs w:val="24"/>
        </w:rPr>
        <w:t>se negó en auto del 18 de noviembre de 2020</w:t>
      </w:r>
      <w:r w:rsidRPr="009A6D7D">
        <w:rPr>
          <w:rFonts w:ascii="Gadugi" w:eastAsia="Gadugi" w:hAnsi="Gadugi" w:cs="Gadugi"/>
          <w:sz w:val="24"/>
          <w:szCs w:val="24"/>
          <w:vertAlign w:val="superscript"/>
        </w:rPr>
        <w:footnoteReference w:id="13"/>
      </w:r>
      <w:r w:rsidRPr="009A6D7D">
        <w:rPr>
          <w:rFonts w:ascii="Gadugi" w:eastAsia="Gadugi" w:hAnsi="Gadugi" w:cs="Gadugi"/>
          <w:sz w:val="24"/>
          <w:szCs w:val="24"/>
        </w:rPr>
        <w:t xml:space="preserve">. </w:t>
      </w:r>
    </w:p>
    <w:p w14:paraId="1C22C0B1" w14:textId="77777777" w:rsidR="00AD4ACE" w:rsidRPr="009A6D7D" w:rsidRDefault="00AD4ACE" w:rsidP="009A6D7D">
      <w:pPr>
        <w:spacing w:after="0" w:line="276" w:lineRule="auto"/>
        <w:ind w:firstLine="1701"/>
        <w:jc w:val="both"/>
        <w:rPr>
          <w:rFonts w:ascii="Gadugi" w:eastAsia="Gadugi" w:hAnsi="Gadugi" w:cs="Gadugi"/>
          <w:sz w:val="24"/>
          <w:szCs w:val="24"/>
        </w:rPr>
      </w:pPr>
    </w:p>
    <w:p w14:paraId="395D6F4A" w14:textId="77777777" w:rsidR="00996ECA" w:rsidRPr="009A6D7D" w:rsidRDefault="00B32CAA"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Posteriormente, contestó la demanda</w:t>
      </w:r>
      <w:r w:rsidR="00DA61DB" w:rsidRPr="009A6D7D">
        <w:rPr>
          <w:rFonts w:ascii="Gadugi" w:eastAsia="Gadugi" w:hAnsi="Gadugi" w:cs="Gadugi"/>
          <w:sz w:val="24"/>
          <w:szCs w:val="24"/>
          <w:vertAlign w:val="superscript"/>
        </w:rPr>
        <w:footnoteReference w:id="14"/>
      </w:r>
      <w:r w:rsidR="00DA61DB" w:rsidRPr="009A6D7D">
        <w:rPr>
          <w:rFonts w:ascii="Gadugi" w:eastAsia="Gadugi" w:hAnsi="Gadugi" w:cs="Gadugi"/>
          <w:sz w:val="24"/>
          <w:szCs w:val="24"/>
        </w:rPr>
        <w:t xml:space="preserve"> y solicitó que se dictara sentencia </w:t>
      </w:r>
      <w:r w:rsidRPr="009A6D7D">
        <w:rPr>
          <w:rFonts w:ascii="Gadugi" w:eastAsia="Gadugi" w:hAnsi="Gadugi" w:cs="Gadugi"/>
          <w:sz w:val="24"/>
          <w:szCs w:val="24"/>
        </w:rPr>
        <w:t>anticipada ante la configuración de la prescripci</w:t>
      </w:r>
      <w:r w:rsidR="00DA61DB" w:rsidRPr="009A6D7D">
        <w:rPr>
          <w:rFonts w:ascii="Gadugi" w:eastAsia="Gadugi" w:hAnsi="Gadugi" w:cs="Gadugi"/>
          <w:sz w:val="24"/>
          <w:szCs w:val="24"/>
        </w:rPr>
        <w:t xml:space="preserve">ón ordinaria y </w:t>
      </w:r>
      <w:r w:rsidRPr="009A6D7D">
        <w:rPr>
          <w:rFonts w:ascii="Gadugi" w:eastAsia="Gadugi" w:hAnsi="Gadugi" w:cs="Gadugi"/>
          <w:sz w:val="24"/>
          <w:szCs w:val="24"/>
        </w:rPr>
        <w:t xml:space="preserve">extraordinaria; se </w:t>
      </w:r>
      <w:r w:rsidR="00996ECA" w:rsidRPr="009A6D7D">
        <w:rPr>
          <w:rFonts w:ascii="Gadugi" w:eastAsia="Gadugi" w:hAnsi="Gadugi" w:cs="Gadugi"/>
          <w:sz w:val="24"/>
          <w:szCs w:val="24"/>
        </w:rPr>
        <w:t xml:space="preserve">pronunció sobre los hechos, opugnó las </w:t>
      </w:r>
      <w:r w:rsidRPr="009A6D7D">
        <w:rPr>
          <w:rFonts w:ascii="Gadugi" w:eastAsia="Gadugi" w:hAnsi="Gadugi" w:cs="Gadugi"/>
          <w:sz w:val="24"/>
          <w:szCs w:val="24"/>
        </w:rPr>
        <w:t xml:space="preserve">pretensiones y </w:t>
      </w:r>
      <w:r w:rsidR="00996ECA" w:rsidRPr="009A6D7D">
        <w:rPr>
          <w:rFonts w:ascii="Gadugi" w:eastAsia="Gadugi" w:hAnsi="Gadugi" w:cs="Gadugi"/>
          <w:sz w:val="24"/>
          <w:szCs w:val="24"/>
        </w:rPr>
        <w:t xml:space="preserve">planteó como excepciones las que llamó: </w:t>
      </w:r>
      <w:r w:rsidRPr="009A6D7D">
        <w:rPr>
          <w:rFonts w:ascii="Gadugi" w:eastAsia="Gadugi" w:hAnsi="Gadugi" w:cs="Gadugi"/>
          <w:sz w:val="24"/>
          <w:szCs w:val="24"/>
        </w:rPr>
        <w:t>(i) Prescripción de las acciones derivadas del contrato de seguro contenido en la póliza no. 021589471/0 suscrita con Allianz Seguros S.A.</w:t>
      </w:r>
      <w:r w:rsidR="00996ECA" w:rsidRPr="009A6D7D">
        <w:rPr>
          <w:rFonts w:ascii="Gadugi" w:eastAsia="Gadugi" w:hAnsi="Gadugi" w:cs="Gadugi"/>
          <w:sz w:val="24"/>
          <w:szCs w:val="24"/>
        </w:rPr>
        <w:t>;</w:t>
      </w:r>
      <w:r w:rsidRPr="009A6D7D">
        <w:rPr>
          <w:rFonts w:ascii="Gadugi" w:eastAsia="Gadugi" w:hAnsi="Gadugi" w:cs="Gadugi"/>
          <w:sz w:val="24"/>
          <w:szCs w:val="24"/>
        </w:rPr>
        <w:t xml:space="preserve"> (ii) Configuración del hecho de la víctima como eximente de la responsabilidad</w:t>
      </w:r>
      <w:r w:rsidR="00996ECA" w:rsidRPr="009A6D7D">
        <w:rPr>
          <w:rFonts w:ascii="Gadugi" w:eastAsia="Gadugi" w:hAnsi="Gadugi" w:cs="Gadugi"/>
          <w:sz w:val="24"/>
          <w:szCs w:val="24"/>
        </w:rPr>
        <w:t>;</w:t>
      </w:r>
      <w:r w:rsidRPr="009A6D7D">
        <w:rPr>
          <w:rFonts w:ascii="Gadugi" w:eastAsia="Gadugi" w:hAnsi="Gadugi" w:cs="Gadugi"/>
          <w:sz w:val="24"/>
          <w:szCs w:val="24"/>
        </w:rPr>
        <w:t xml:space="preserve"> (iii) </w:t>
      </w:r>
      <w:r w:rsidR="00996ECA" w:rsidRPr="009A6D7D">
        <w:rPr>
          <w:rFonts w:ascii="Gadugi" w:eastAsia="Gadugi" w:hAnsi="Gadugi" w:cs="Gadugi"/>
          <w:sz w:val="24"/>
          <w:szCs w:val="24"/>
        </w:rPr>
        <w:t xml:space="preserve"> </w:t>
      </w:r>
      <w:r w:rsidRPr="009A6D7D">
        <w:rPr>
          <w:rFonts w:ascii="Gadugi" w:eastAsia="Gadugi" w:hAnsi="Gadugi" w:cs="Gadugi"/>
          <w:sz w:val="24"/>
          <w:szCs w:val="24"/>
        </w:rPr>
        <w:t xml:space="preserve">Inexistencia de responsabilidad atribuible al conductor del vehículo SXE587, en </w:t>
      </w:r>
      <w:r w:rsidRPr="009A6D7D">
        <w:rPr>
          <w:rFonts w:ascii="Gadugi" w:eastAsia="Gadugi" w:hAnsi="Gadugi" w:cs="Gadugi"/>
          <w:sz w:val="24"/>
          <w:szCs w:val="24"/>
        </w:rPr>
        <w:lastRenderedPageBreak/>
        <w:t>consecuencia, ausencia de responsabilidad atribuible a la parte pasiva</w:t>
      </w:r>
      <w:r w:rsidR="00996ECA" w:rsidRPr="009A6D7D">
        <w:rPr>
          <w:rFonts w:ascii="Gadugi" w:eastAsia="Gadugi" w:hAnsi="Gadugi" w:cs="Gadugi"/>
          <w:sz w:val="24"/>
          <w:szCs w:val="24"/>
        </w:rPr>
        <w:t xml:space="preserve">; y (iv) Nadie puede alegar a su favor su propia culpa. </w:t>
      </w:r>
    </w:p>
    <w:p w14:paraId="50834D63" w14:textId="77777777" w:rsidR="00996ECA" w:rsidRPr="009A6D7D" w:rsidRDefault="00996ECA" w:rsidP="009A6D7D">
      <w:pPr>
        <w:spacing w:after="0" w:line="276" w:lineRule="auto"/>
        <w:ind w:firstLine="1701"/>
        <w:jc w:val="both"/>
        <w:rPr>
          <w:rFonts w:ascii="Gadugi" w:eastAsia="Gadugi" w:hAnsi="Gadugi" w:cs="Gadugi"/>
          <w:sz w:val="24"/>
          <w:szCs w:val="24"/>
        </w:rPr>
      </w:pPr>
    </w:p>
    <w:p w14:paraId="2189B7A6" w14:textId="3F0B1D7C" w:rsidR="00B32CAA" w:rsidRPr="009A6D7D" w:rsidRDefault="00B32CAA"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 </w:t>
      </w:r>
      <w:r w:rsidR="00996ECA" w:rsidRPr="009A6D7D">
        <w:rPr>
          <w:rFonts w:ascii="Gadugi" w:eastAsia="Gadugi" w:hAnsi="Gadugi" w:cs="Gadugi"/>
          <w:sz w:val="24"/>
          <w:szCs w:val="24"/>
        </w:rPr>
        <w:t xml:space="preserve">Y en cuanto al contrato de seguro, las de </w:t>
      </w:r>
      <w:r w:rsidRPr="009A6D7D">
        <w:rPr>
          <w:rFonts w:ascii="Gadugi" w:eastAsia="Gadugi" w:hAnsi="Gadugi" w:cs="Gadugi"/>
          <w:sz w:val="24"/>
          <w:szCs w:val="24"/>
        </w:rPr>
        <w:t xml:space="preserve">(iv) Inexistencia de obligación indemnizatoria a cargo de Allianz Seguros S.A., por la no realización del riesgo asegurado a través de la póliza de auto </w:t>
      </w:r>
      <w:r w:rsidR="00996ECA" w:rsidRPr="009A6D7D">
        <w:rPr>
          <w:rFonts w:ascii="Gadugi" w:eastAsia="Gadugi" w:hAnsi="Gadugi" w:cs="Gadugi"/>
          <w:sz w:val="24"/>
          <w:szCs w:val="24"/>
        </w:rPr>
        <w:t>N</w:t>
      </w:r>
      <w:r w:rsidRPr="009A6D7D">
        <w:rPr>
          <w:rFonts w:ascii="Gadugi" w:eastAsia="Gadugi" w:hAnsi="Gadugi" w:cs="Gadugi"/>
          <w:sz w:val="24"/>
          <w:szCs w:val="24"/>
        </w:rPr>
        <w:t>o. 021589471/0, toda vez que no se estructura la responsabilidad que se le pretende atribuir a la pasiva de esta acción</w:t>
      </w:r>
      <w:r w:rsidR="00993C5E" w:rsidRPr="009A6D7D">
        <w:rPr>
          <w:rFonts w:ascii="Gadugi" w:eastAsia="Gadugi" w:hAnsi="Gadugi" w:cs="Gadugi"/>
          <w:sz w:val="24"/>
          <w:szCs w:val="24"/>
        </w:rPr>
        <w:t>; (ii)</w:t>
      </w:r>
      <w:r w:rsidRPr="009A6D7D">
        <w:rPr>
          <w:rFonts w:ascii="Gadugi" w:eastAsia="Gadugi" w:hAnsi="Gadugi" w:cs="Gadugi"/>
          <w:sz w:val="24"/>
          <w:szCs w:val="24"/>
        </w:rPr>
        <w:t xml:space="preserve"> Límites y sublímites máximos de la eventual responsabilidad o de la eventual obligación indemnizatoria, condiciones especiales y deducible pactado en la póliza no. 021589471/0</w:t>
      </w:r>
      <w:r w:rsidR="00993C5E" w:rsidRPr="009A6D7D">
        <w:rPr>
          <w:rFonts w:ascii="Gadugi" w:eastAsia="Gadugi" w:hAnsi="Gadugi" w:cs="Gadugi"/>
          <w:sz w:val="24"/>
          <w:szCs w:val="24"/>
        </w:rPr>
        <w:t xml:space="preserve">; </w:t>
      </w:r>
      <w:r w:rsidRPr="009A6D7D">
        <w:rPr>
          <w:rFonts w:ascii="Gadugi" w:eastAsia="Gadugi" w:hAnsi="Gadugi" w:cs="Gadugi"/>
          <w:sz w:val="24"/>
          <w:szCs w:val="24"/>
        </w:rPr>
        <w:t>(</w:t>
      </w:r>
      <w:r w:rsidR="00993C5E" w:rsidRPr="009A6D7D">
        <w:rPr>
          <w:rFonts w:ascii="Gadugi" w:eastAsia="Gadugi" w:hAnsi="Gadugi" w:cs="Gadugi"/>
          <w:sz w:val="24"/>
          <w:szCs w:val="24"/>
        </w:rPr>
        <w:t>iii)</w:t>
      </w:r>
      <w:r w:rsidRPr="009A6D7D">
        <w:rPr>
          <w:rFonts w:ascii="Gadugi" w:eastAsia="Gadugi" w:hAnsi="Gadugi" w:cs="Gadugi"/>
          <w:sz w:val="24"/>
          <w:szCs w:val="24"/>
        </w:rPr>
        <w:t xml:space="preserve"> Imposibilidad de atribuir responsabilidad civil en cabeza de Allianz Seguros S.A.</w:t>
      </w:r>
      <w:r w:rsidR="00993C5E" w:rsidRPr="009A6D7D">
        <w:rPr>
          <w:rFonts w:ascii="Gadugi" w:eastAsia="Gadugi" w:hAnsi="Gadugi" w:cs="Gadugi"/>
          <w:sz w:val="24"/>
          <w:szCs w:val="24"/>
        </w:rPr>
        <w:t xml:space="preserve">; (iv) </w:t>
      </w:r>
      <w:r w:rsidRPr="009A6D7D">
        <w:rPr>
          <w:rFonts w:ascii="Gadugi" w:eastAsia="Gadugi" w:hAnsi="Gadugi" w:cs="Gadugi"/>
          <w:sz w:val="24"/>
          <w:szCs w:val="24"/>
        </w:rPr>
        <w:t>Inexistencia de solidaridad entre Allianz Seguros S.A. y los demandados</w:t>
      </w:r>
      <w:r w:rsidR="00993C5E" w:rsidRPr="009A6D7D">
        <w:rPr>
          <w:rFonts w:ascii="Gadugi" w:eastAsia="Gadugi" w:hAnsi="Gadugi" w:cs="Gadugi"/>
          <w:sz w:val="24"/>
          <w:szCs w:val="24"/>
        </w:rPr>
        <w:t>; (v)</w:t>
      </w:r>
      <w:r w:rsidRPr="009A6D7D">
        <w:rPr>
          <w:rFonts w:ascii="Gadugi" w:eastAsia="Gadugi" w:hAnsi="Gadugi" w:cs="Gadugi"/>
          <w:sz w:val="24"/>
          <w:szCs w:val="24"/>
        </w:rPr>
        <w:t xml:space="preserve"> El contrato es ley para las partes</w:t>
      </w:r>
      <w:r w:rsidR="00993C5E" w:rsidRPr="009A6D7D">
        <w:rPr>
          <w:rFonts w:ascii="Gadugi" w:eastAsia="Gadugi" w:hAnsi="Gadugi" w:cs="Gadugi"/>
          <w:sz w:val="24"/>
          <w:szCs w:val="24"/>
        </w:rPr>
        <w:t>; y</w:t>
      </w:r>
      <w:r w:rsidRPr="009A6D7D">
        <w:rPr>
          <w:rFonts w:ascii="Gadugi" w:eastAsia="Gadugi" w:hAnsi="Gadugi" w:cs="Gadugi"/>
          <w:sz w:val="24"/>
          <w:szCs w:val="24"/>
        </w:rPr>
        <w:t>, (</w:t>
      </w:r>
      <w:r w:rsidR="00993C5E" w:rsidRPr="009A6D7D">
        <w:rPr>
          <w:rFonts w:ascii="Gadugi" w:eastAsia="Gadugi" w:hAnsi="Gadugi" w:cs="Gadugi"/>
          <w:sz w:val="24"/>
          <w:szCs w:val="24"/>
        </w:rPr>
        <w:t>vi)</w:t>
      </w:r>
      <w:r w:rsidRPr="009A6D7D">
        <w:rPr>
          <w:rFonts w:ascii="Gadugi" w:eastAsia="Gadugi" w:hAnsi="Gadugi" w:cs="Gadugi"/>
          <w:sz w:val="24"/>
          <w:szCs w:val="24"/>
        </w:rPr>
        <w:t xml:space="preserve"> Enriquecimiento sin causa.</w:t>
      </w:r>
    </w:p>
    <w:p w14:paraId="1C22C0B2" w14:textId="77777777" w:rsidR="00AD4ACE" w:rsidRPr="009A6D7D" w:rsidRDefault="00AD4ACE" w:rsidP="009A6D7D">
      <w:pPr>
        <w:spacing w:after="0" w:line="276" w:lineRule="auto"/>
        <w:jc w:val="both"/>
        <w:rPr>
          <w:rFonts w:ascii="Gadugi" w:eastAsia="Gadugi" w:hAnsi="Gadugi" w:cs="Gadugi"/>
          <w:sz w:val="24"/>
          <w:szCs w:val="24"/>
        </w:rPr>
      </w:pPr>
    </w:p>
    <w:p w14:paraId="797D8773" w14:textId="77777777" w:rsidR="000E065D"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Octavio Marín Hincapié, se pronunció</w:t>
      </w:r>
      <w:r w:rsidR="00993C5E" w:rsidRPr="009A6D7D">
        <w:rPr>
          <w:rFonts w:ascii="Gadugi" w:eastAsia="Gadugi" w:hAnsi="Gadugi" w:cs="Gadugi"/>
          <w:sz w:val="24"/>
          <w:szCs w:val="24"/>
          <w:vertAlign w:val="superscript"/>
        </w:rPr>
        <w:footnoteReference w:id="15"/>
      </w:r>
      <w:r w:rsidR="00993C5E" w:rsidRPr="009A6D7D">
        <w:rPr>
          <w:rFonts w:ascii="Gadugi" w:eastAsia="Gadugi" w:hAnsi="Gadugi" w:cs="Gadugi"/>
          <w:sz w:val="24"/>
          <w:szCs w:val="24"/>
        </w:rPr>
        <w:t xml:space="preserve"> aludió a </w:t>
      </w:r>
      <w:r w:rsidRPr="009A6D7D">
        <w:rPr>
          <w:rFonts w:ascii="Gadugi" w:eastAsia="Gadugi" w:hAnsi="Gadugi" w:cs="Gadugi"/>
          <w:sz w:val="24"/>
          <w:szCs w:val="24"/>
        </w:rPr>
        <w:t xml:space="preserve">los hechos; se </w:t>
      </w:r>
      <w:r w:rsidR="00993C5E" w:rsidRPr="009A6D7D">
        <w:rPr>
          <w:rFonts w:ascii="Gadugi" w:eastAsia="Gadugi" w:hAnsi="Gadugi" w:cs="Gadugi"/>
          <w:sz w:val="24"/>
          <w:szCs w:val="24"/>
        </w:rPr>
        <w:t xml:space="preserve">resistió </w:t>
      </w:r>
      <w:r w:rsidRPr="009A6D7D">
        <w:rPr>
          <w:rFonts w:ascii="Gadugi" w:eastAsia="Gadugi" w:hAnsi="Gadugi" w:cs="Gadugi"/>
          <w:sz w:val="24"/>
          <w:szCs w:val="24"/>
        </w:rPr>
        <w:t>a las pretensiones y</w:t>
      </w:r>
      <w:r w:rsidR="000E065D" w:rsidRPr="009A6D7D">
        <w:rPr>
          <w:rFonts w:ascii="Gadugi" w:eastAsia="Gadugi" w:hAnsi="Gadugi" w:cs="Gadugi"/>
          <w:sz w:val="24"/>
          <w:szCs w:val="24"/>
        </w:rPr>
        <w:t xml:space="preserve"> adujo como excepciones las de </w:t>
      </w:r>
      <w:r w:rsidRPr="009A6D7D">
        <w:rPr>
          <w:rFonts w:ascii="Gadugi" w:eastAsia="Gadugi" w:hAnsi="Gadugi" w:cs="Gadugi"/>
          <w:sz w:val="24"/>
          <w:szCs w:val="24"/>
        </w:rPr>
        <w:t>(i) Culpa exclusiva de la víctima</w:t>
      </w:r>
      <w:r w:rsidR="000E065D" w:rsidRPr="009A6D7D">
        <w:rPr>
          <w:rFonts w:ascii="Gadugi" w:eastAsia="Gadugi" w:hAnsi="Gadugi" w:cs="Gadugi"/>
          <w:sz w:val="24"/>
          <w:szCs w:val="24"/>
        </w:rPr>
        <w:t>; y (ii)</w:t>
      </w:r>
      <w:r w:rsidRPr="009A6D7D">
        <w:rPr>
          <w:rFonts w:ascii="Gadugi" w:eastAsia="Gadugi" w:hAnsi="Gadugi" w:cs="Gadugi"/>
          <w:sz w:val="24"/>
          <w:szCs w:val="24"/>
        </w:rPr>
        <w:t xml:space="preserve"> Inexistencia de requisitos para que se declare la responsabilidad civil. </w:t>
      </w:r>
    </w:p>
    <w:p w14:paraId="38ABB9A4" w14:textId="77777777" w:rsidR="000E065D" w:rsidRPr="009A6D7D" w:rsidRDefault="000E065D" w:rsidP="009A6D7D">
      <w:pPr>
        <w:spacing w:after="0" w:line="276" w:lineRule="auto"/>
        <w:ind w:firstLine="1701"/>
        <w:jc w:val="both"/>
        <w:rPr>
          <w:rFonts w:ascii="Gadugi" w:eastAsia="Gadugi" w:hAnsi="Gadugi" w:cs="Gadugi"/>
          <w:sz w:val="24"/>
          <w:szCs w:val="24"/>
        </w:rPr>
      </w:pPr>
    </w:p>
    <w:p w14:paraId="1C22C0B3" w14:textId="69259FEA" w:rsidR="00AD4ACE" w:rsidRPr="009A6D7D" w:rsidRDefault="000E065D"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Llamó en garantía a</w:t>
      </w:r>
      <w:r w:rsidR="00A85F10" w:rsidRPr="009A6D7D">
        <w:rPr>
          <w:rFonts w:ascii="Gadugi" w:eastAsia="Gadugi" w:hAnsi="Gadugi" w:cs="Gadugi"/>
          <w:sz w:val="24"/>
          <w:szCs w:val="24"/>
        </w:rPr>
        <w:t xml:space="preserve"> Allianz Seguros S.A.</w:t>
      </w:r>
      <w:r w:rsidR="00993C5E" w:rsidRPr="009A6D7D">
        <w:rPr>
          <w:rFonts w:ascii="Gadugi" w:eastAsia="Gadugi" w:hAnsi="Gadugi" w:cs="Gadugi"/>
          <w:sz w:val="24"/>
          <w:szCs w:val="24"/>
          <w:vertAlign w:val="superscript"/>
        </w:rPr>
        <w:footnoteReference w:id="16"/>
      </w:r>
      <w:r w:rsidRPr="009A6D7D">
        <w:rPr>
          <w:rFonts w:ascii="Gadugi" w:eastAsia="Gadugi" w:hAnsi="Gadugi" w:cs="Gadugi"/>
          <w:sz w:val="24"/>
          <w:szCs w:val="24"/>
        </w:rPr>
        <w:t>.</w:t>
      </w:r>
    </w:p>
    <w:p w14:paraId="1C22C0B4" w14:textId="77777777" w:rsidR="00AD4ACE" w:rsidRPr="009A6D7D" w:rsidRDefault="00AD4ACE" w:rsidP="009A6D7D">
      <w:pPr>
        <w:spacing w:after="0" w:line="276" w:lineRule="auto"/>
        <w:jc w:val="both"/>
        <w:rPr>
          <w:rFonts w:ascii="Gadugi" w:eastAsia="Gadugi" w:hAnsi="Gadugi" w:cs="Gadugi"/>
          <w:sz w:val="24"/>
          <w:szCs w:val="24"/>
        </w:rPr>
      </w:pPr>
    </w:p>
    <w:p w14:paraId="1C22C0B5" w14:textId="77777777" w:rsidR="00AD4ACE" w:rsidRPr="009A6D7D" w:rsidRDefault="00A85F10" w:rsidP="009A6D7D">
      <w:pPr>
        <w:tabs>
          <w:tab w:val="left" w:pos="2268"/>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El curador ad litem del señor Luis Fernando Giraldo Salazar no contestó la demanda.</w:t>
      </w:r>
    </w:p>
    <w:p w14:paraId="1C22C0B6"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0B9" w14:textId="5B28C146"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Surtido el traslado de las excepciones, </w:t>
      </w:r>
      <w:r w:rsidR="00B70EF7" w:rsidRPr="009A6D7D">
        <w:rPr>
          <w:rFonts w:ascii="Gadugi" w:eastAsia="Gadugi" w:hAnsi="Gadugi" w:cs="Gadugi"/>
          <w:sz w:val="24"/>
          <w:szCs w:val="24"/>
        </w:rPr>
        <w:t xml:space="preserve">decretadas y practicadas las pruebas, </w:t>
      </w:r>
      <w:r w:rsidRPr="009A6D7D">
        <w:rPr>
          <w:rFonts w:ascii="Gadugi" w:eastAsia="Gadugi" w:hAnsi="Gadugi" w:cs="Gadugi"/>
          <w:sz w:val="24"/>
          <w:szCs w:val="24"/>
        </w:rPr>
        <w:t xml:space="preserve">se celebró la audiencia de instrucción y juzgamiento </w:t>
      </w:r>
      <w:r w:rsidR="00B27582" w:rsidRPr="009A6D7D">
        <w:rPr>
          <w:rFonts w:ascii="Gadugi" w:eastAsia="Gadugi" w:hAnsi="Gadugi" w:cs="Gadugi"/>
          <w:sz w:val="24"/>
          <w:szCs w:val="24"/>
        </w:rPr>
        <w:t xml:space="preserve">y el 13 de </w:t>
      </w:r>
      <w:r w:rsidRPr="009A6D7D">
        <w:rPr>
          <w:rFonts w:ascii="Gadugi" w:eastAsia="Gadugi" w:hAnsi="Gadugi" w:cs="Gadugi"/>
          <w:sz w:val="24"/>
          <w:szCs w:val="24"/>
        </w:rPr>
        <w:t>agosto de 2021</w:t>
      </w:r>
      <w:r w:rsidR="00B27582" w:rsidRPr="009A6D7D">
        <w:rPr>
          <w:rFonts w:ascii="Gadugi" w:eastAsia="Gadugi" w:hAnsi="Gadugi" w:cs="Gadugi"/>
          <w:sz w:val="24"/>
          <w:szCs w:val="24"/>
        </w:rPr>
        <w:t xml:space="preserve"> se dictó </w:t>
      </w:r>
      <w:r w:rsidRPr="009A6D7D">
        <w:rPr>
          <w:rFonts w:ascii="Gadugi" w:eastAsia="Gadugi" w:hAnsi="Gadugi" w:cs="Gadugi"/>
          <w:sz w:val="24"/>
          <w:szCs w:val="24"/>
        </w:rPr>
        <w:t>sentencia oral, contra la que se alzó la parte demandante.</w:t>
      </w:r>
    </w:p>
    <w:p w14:paraId="1C22C0BA"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0BB" w14:textId="29B2AA68" w:rsidR="00AD4ACE" w:rsidRPr="009A6D7D" w:rsidRDefault="00B27582" w:rsidP="009A6D7D">
      <w:pPr>
        <w:numPr>
          <w:ilvl w:val="1"/>
          <w:numId w:val="2"/>
        </w:numPr>
        <w:pBdr>
          <w:top w:val="nil"/>
          <w:left w:val="nil"/>
          <w:bottom w:val="nil"/>
          <w:right w:val="nil"/>
          <w:between w:val="nil"/>
        </w:pBdr>
        <w:tabs>
          <w:tab w:val="left" w:pos="2127"/>
        </w:tabs>
        <w:spacing w:after="0" w:line="276" w:lineRule="auto"/>
        <w:ind w:left="0" w:firstLine="1701"/>
        <w:jc w:val="both"/>
        <w:rPr>
          <w:rFonts w:ascii="Gadugi" w:eastAsia="Gadugi" w:hAnsi="Gadugi" w:cs="Gadugi"/>
          <w:b/>
          <w:color w:val="000000"/>
          <w:sz w:val="24"/>
          <w:szCs w:val="24"/>
        </w:rPr>
      </w:pPr>
      <w:r w:rsidRPr="009A6D7D">
        <w:rPr>
          <w:rFonts w:ascii="Gadugi" w:eastAsia="Gadugi" w:hAnsi="Gadugi" w:cs="Gadugi"/>
          <w:b/>
          <w:color w:val="000000"/>
          <w:sz w:val="24"/>
          <w:szCs w:val="24"/>
        </w:rPr>
        <w:t xml:space="preserve"> </w:t>
      </w:r>
      <w:r w:rsidR="00A85F10" w:rsidRPr="009A6D7D">
        <w:rPr>
          <w:rFonts w:ascii="Gadugi" w:eastAsia="Gadugi" w:hAnsi="Gadugi" w:cs="Gadugi"/>
          <w:b/>
          <w:color w:val="000000"/>
          <w:sz w:val="24"/>
          <w:szCs w:val="24"/>
        </w:rPr>
        <w:t>La sentencia de primera instancia</w:t>
      </w:r>
    </w:p>
    <w:p w14:paraId="1C22C0BC" w14:textId="77777777" w:rsidR="00AD4ACE" w:rsidRPr="009A6D7D" w:rsidRDefault="00AD4ACE" w:rsidP="009A6D7D">
      <w:pPr>
        <w:pBdr>
          <w:top w:val="nil"/>
          <w:left w:val="nil"/>
          <w:bottom w:val="nil"/>
          <w:right w:val="nil"/>
          <w:between w:val="nil"/>
        </w:pBdr>
        <w:spacing w:after="0" w:line="276" w:lineRule="auto"/>
        <w:ind w:left="2835"/>
        <w:jc w:val="both"/>
        <w:rPr>
          <w:rFonts w:ascii="Gadugi" w:eastAsia="Gadugi" w:hAnsi="Gadugi" w:cs="Gadugi"/>
          <w:color w:val="000000"/>
          <w:sz w:val="24"/>
          <w:szCs w:val="24"/>
        </w:rPr>
      </w:pPr>
    </w:p>
    <w:p w14:paraId="1C22C0BD" w14:textId="629F530F"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El Juzgado de primer nivel encontró probada la excepción </w:t>
      </w:r>
      <w:r w:rsidR="00027324" w:rsidRPr="009A6D7D">
        <w:rPr>
          <w:rFonts w:ascii="Gadugi" w:eastAsia="Gadugi" w:hAnsi="Gadugi" w:cs="Gadugi"/>
          <w:sz w:val="24"/>
          <w:szCs w:val="24"/>
        </w:rPr>
        <w:t xml:space="preserve">de </w:t>
      </w:r>
      <w:r w:rsidR="00027324">
        <w:rPr>
          <w:rFonts w:ascii="Gadugi" w:eastAsia="Gadugi" w:hAnsi="Gadugi" w:cs="Gadugi"/>
          <w:sz w:val="24"/>
          <w:szCs w:val="24"/>
        </w:rPr>
        <w:t>“c</w:t>
      </w:r>
      <w:r w:rsidR="00027324" w:rsidRPr="009A6D7D">
        <w:rPr>
          <w:rFonts w:ascii="Gadugi" w:eastAsia="Gadugi" w:hAnsi="Gadugi" w:cs="Gadugi"/>
          <w:sz w:val="24"/>
          <w:szCs w:val="24"/>
        </w:rPr>
        <w:t>ulpa</w:t>
      </w:r>
      <w:r w:rsidRPr="009A6D7D">
        <w:rPr>
          <w:rFonts w:ascii="Gadugi" w:eastAsia="Gadugi" w:hAnsi="Gadugi" w:cs="Gadugi"/>
          <w:i/>
          <w:sz w:val="24"/>
          <w:szCs w:val="24"/>
        </w:rPr>
        <w:t xml:space="preserve"> exclusiva de la víctima</w:t>
      </w:r>
      <w:r w:rsidR="00B70EF7" w:rsidRPr="009A6D7D">
        <w:rPr>
          <w:rFonts w:ascii="Gadugi" w:eastAsia="Gadugi" w:hAnsi="Gadugi" w:cs="Gadugi"/>
          <w:i/>
          <w:sz w:val="24"/>
          <w:szCs w:val="24"/>
        </w:rPr>
        <w:t>”</w:t>
      </w:r>
      <w:r w:rsidRPr="009A6D7D">
        <w:rPr>
          <w:rFonts w:ascii="Gadugi" w:eastAsia="Gadugi" w:hAnsi="Gadugi" w:cs="Gadugi"/>
          <w:sz w:val="24"/>
          <w:szCs w:val="24"/>
        </w:rPr>
        <w:t>, suficiente para desestimar las pretensiones de la demanda y absolver a los demandados</w:t>
      </w:r>
      <w:r w:rsidR="00B70EF7" w:rsidRPr="009A6D7D">
        <w:rPr>
          <w:rFonts w:ascii="Gadugi" w:eastAsia="Gadugi" w:hAnsi="Gadugi" w:cs="Gadugi"/>
          <w:color w:val="000000"/>
          <w:sz w:val="24"/>
          <w:szCs w:val="24"/>
          <w:vertAlign w:val="superscript"/>
        </w:rPr>
        <w:footnoteReference w:id="17"/>
      </w:r>
      <w:r w:rsidR="00B70EF7" w:rsidRPr="009A6D7D">
        <w:rPr>
          <w:rFonts w:ascii="Gadugi" w:eastAsia="Gadugi" w:hAnsi="Gadugi" w:cs="Gadugi"/>
          <w:sz w:val="24"/>
          <w:szCs w:val="24"/>
        </w:rPr>
        <w:t xml:space="preserve">. </w:t>
      </w:r>
    </w:p>
    <w:p w14:paraId="1C22C0BE"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0C1" w14:textId="0859EFDE" w:rsidR="00AD4ACE" w:rsidRPr="009A6D7D" w:rsidRDefault="00A85F10" w:rsidP="009A6D7D">
      <w:pPr>
        <w:numPr>
          <w:ilvl w:val="1"/>
          <w:numId w:val="2"/>
        </w:numPr>
        <w:pBdr>
          <w:top w:val="nil"/>
          <w:left w:val="nil"/>
          <w:bottom w:val="nil"/>
          <w:right w:val="nil"/>
          <w:between w:val="nil"/>
        </w:pBdr>
        <w:tabs>
          <w:tab w:val="left" w:pos="2268"/>
        </w:tabs>
        <w:spacing w:after="0" w:line="276" w:lineRule="auto"/>
        <w:ind w:left="0" w:firstLine="1701"/>
        <w:jc w:val="both"/>
        <w:rPr>
          <w:rFonts w:ascii="Gadugi" w:eastAsia="Gadugi" w:hAnsi="Gadugi" w:cs="Gadugi"/>
          <w:b/>
          <w:color w:val="000000"/>
          <w:sz w:val="24"/>
          <w:szCs w:val="24"/>
        </w:rPr>
      </w:pPr>
      <w:r w:rsidRPr="009A6D7D">
        <w:rPr>
          <w:rFonts w:ascii="Gadugi" w:eastAsia="Gadugi" w:hAnsi="Gadugi" w:cs="Gadugi"/>
          <w:b/>
          <w:color w:val="000000"/>
          <w:sz w:val="24"/>
          <w:szCs w:val="24"/>
        </w:rPr>
        <w:t xml:space="preserve">Apelación </w:t>
      </w:r>
    </w:p>
    <w:p w14:paraId="1C22C0C2" w14:textId="77777777" w:rsidR="00AD4ACE" w:rsidRPr="009A6D7D" w:rsidRDefault="00AD4ACE" w:rsidP="009A6D7D">
      <w:pPr>
        <w:spacing w:after="0" w:line="276" w:lineRule="auto"/>
        <w:ind w:left="2835"/>
        <w:jc w:val="both"/>
        <w:rPr>
          <w:rFonts w:ascii="Gadugi" w:eastAsia="Gadugi" w:hAnsi="Gadugi" w:cs="Gadugi"/>
          <w:sz w:val="24"/>
          <w:szCs w:val="24"/>
        </w:rPr>
      </w:pPr>
    </w:p>
    <w:p w14:paraId="1C22C0C3" w14:textId="1117E504"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Recurrió la parte demandante</w:t>
      </w:r>
      <w:r w:rsidR="00DC2127" w:rsidRPr="009A6D7D">
        <w:rPr>
          <w:rFonts w:ascii="Gadugi" w:eastAsia="Gadugi" w:hAnsi="Gadugi" w:cs="Gadugi"/>
          <w:color w:val="000000"/>
          <w:sz w:val="24"/>
          <w:szCs w:val="24"/>
          <w:vertAlign w:val="superscript"/>
        </w:rPr>
        <w:footnoteReference w:id="18"/>
      </w:r>
      <w:r w:rsidR="00DC2127" w:rsidRPr="009A6D7D">
        <w:rPr>
          <w:rFonts w:ascii="Gadugi" w:eastAsia="Gadugi" w:hAnsi="Gadugi" w:cs="Gadugi"/>
          <w:color w:val="000000"/>
          <w:sz w:val="24"/>
          <w:szCs w:val="24"/>
          <w:vertAlign w:val="superscript"/>
        </w:rPr>
        <w:t>-</w:t>
      </w:r>
      <w:r w:rsidR="00DC2127" w:rsidRPr="009A6D7D">
        <w:rPr>
          <w:rFonts w:ascii="Gadugi" w:eastAsia="Gadugi" w:hAnsi="Gadugi" w:cs="Gadugi"/>
          <w:color w:val="000000"/>
          <w:sz w:val="24"/>
          <w:szCs w:val="24"/>
          <w:vertAlign w:val="superscript"/>
        </w:rPr>
        <w:footnoteReference w:id="19"/>
      </w:r>
      <w:r w:rsidRPr="009A6D7D">
        <w:rPr>
          <w:rFonts w:ascii="Gadugi" w:eastAsia="Gadugi" w:hAnsi="Gadugi" w:cs="Gadugi"/>
          <w:sz w:val="24"/>
          <w:szCs w:val="24"/>
        </w:rPr>
        <w:t xml:space="preserve"> y de sus </w:t>
      </w:r>
      <w:r w:rsidR="00DC2127" w:rsidRPr="009A6D7D">
        <w:rPr>
          <w:rFonts w:ascii="Gadugi" w:eastAsia="Gadugi" w:hAnsi="Gadugi" w:cs="Gadugi"/>
          <w:sz w:val="24"/>
          <w:szCs w:val="24"/>
        </w:rPr>
        <w:t xml:space="preserve">varios </w:t>
      </w:r>
      <w:r w:rsidRPr="009A6D7D">
        <w:rPr>
          <w:rFonts w:ascii="Gadugi" w:eastAsia="Gadugi" w:hAnsi="Gadugi" w:cs="Gadugi"/>
          <w:sz w:val="24"/>
          <w:szCs w:val="24"/>
        </w:rPr>
        <w:t xml:space="preserve">reparos concretos se puede extraer que su inconformismo está relacionado con la valoración de la prueba y </w:t>
      </w:r>
      <w:r w:rsidRPr="009A6D7D">
        <w:rPr>
          <w:rFonts w:ascii="Gadugi" w:eastAsia="Gadugi" w:hAnsi="Gadugi" w:cs="Gadugi"/>
          <w:sz w:val="24"/>
          <w:szCs w:val="24"/>
        </w:rPr>
        <w:lastRenderedPageBreak/>
        <w:t>el régimen que se adoptó para estudiar la responsabilidad. Esos reparos fueron sustentados en esta instancia</w:t>
      </w:r>
      <w:r w:rsidRPr="009A6D7D">
        <w:rPr>
          <w:rFonts w:ascii="Gadugi" w:eastAsia="Gadugi" w:hAnsi="Gadugi" w:cs="Gadugi"/>
          <w:sz w:val="24"/>
          <w:szCs w:val="24"/>
          <w:vertAlign w:val="superscript"/>
        </w:rPr>
        <w:footnoteReference w:id="20"/>
      </w:r>
      <w:r w:rsidR="00DC2127" w:rsidRPr="009A6D7D">
        <w:rPr>
          <w:rFonts w:ascii="Gadugi" w:eastAsia="Gadugi" w:hAnsi="Gadugi" w:cs="Gadugi"/>
          <w:sz w:val="24"/>
          <w:szCs w:val="24"/>
        </w:rPr>
        <w:t>.</w:t>
      </w:r>
    </w:p>
    <w:p w14:paraId="1C22C0C4" w14:textId="77777777" w:rsidR="00B4511A" w:rsidRPr="009A6D7D" w:rsidRDefault="00B4511A" w:rsidP="009A6D7D">
      <w:pPr>
        <w:spacing w:after="0" w:line="276" w:lineRule="auto"/>
        <w:ind w:firstLine="1701"/>
        <w:jc w:val="both"/>
        <w:rPr>
          <w:rFonts w:ascii="Gadugi" w:eastAsia="Gadugi" w:hAnsi="Gadugi" w:cs="Gadugi"/>
          <w:sz w:val="24"/>
          <w:szCs w:val="24"/>
        </w:rPr>
      </w:pPr>
    </w:p>
    <w:p w14:paraId="1C22C0C5"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0C6" w14:textId="77777777" w:rsidR="00AD4ACE" w:rsidRPr="009A6D7D" w:rsidRDefault="00B4511A" w:rsidP="009A6D7D">
      <w:pPr>
        <w:numPr>
          <w:ilvl w:val="0"/>
          <w:numId w:val="2"/>
        </w:numPr>
        <w:pBdr>
          <w:top w:val="nil"/>
          <w:left w:val="nil"/>
          <w:bottom w:val="nil"/>
          <w:right w:val="nil"/>
          <w:between w:val="nil"/>
        </w:pBdr>
        <w:spacing w:after="0" w:line="276" w:lineRule="auto"/>
        <w:ind w:left="2410" w:hanging="709"/>
        <w:jc w:val="both"/>
        <w:rPr>
          <w:rFonts w:ascii="Gadugi" w:eastAsia="Gadugi" w:hAnsi="Gadugi" w:cs="Gadugi"/>
          <w:b/>
          <w:color w:val="000000"/>
          <w:sz w:val="24"/>
          <w:szCs w:val="24"/>
        </w:rPr>
      </w:pPr>
      <w:r w:rsidRPr="009A6D7D">
        <w:rPr>
          <w:rFonts w:ascii="Gadugi" w:eastAsia="Gadugi" w:hAnsi="Gadugi" w:cs="Gadugi"/>
          <w:b/>
          <w:color w:val="000000"/>
          <w:sz w:val="24"/>
          <w:szCs w:val="24"/>
        </w:rPr>
        <w:t>CONSIDERACIONES</w:t>
      </w:r>
    </w:p>
    <w:p w14:paraId="1C22C0C7" w14:textId="5C583F03" w:rsidR="00B4511A" w:rsidRPr="009A6D7D" w:rsidRDefault="00B4511A" w:rsidP="009A6D7D">
      <w:pPr>
        <w:pBdr>
          <w:top w:val="nil"/>
          <w:left w:val="nil"/>
          <w:bottom w:val="nil"/>
          <w:right w:val="nil"/>
          <w:between w:val="nil"/>
        </w:pBdr>
        <w:spacing w:after="0" w:line="276" w:lineRule="auto"/>
        <w:ind w:left="2410"/>
        <w:jc w:val="both"/>
        <w:rPr>
          <w:rFonts w:ascii="Gadugi" w:eastAsia="Gadugi" w:hAnsi="Gadugi" w:cs="Gadugi"/>
          <w:b/>
          <w:color w:val="000000"/>
          <w:sz w:val="24"/>
          <w:szCs w:val="24"/>
        </w:rPr>
      </w:pPr>
    </w:p>
    <w:p w14:paraId="40762C68" w14:textId="77777777" w:rsidR="00AD4EB1" w:rsidRPr="009A6D7D" w:rsidRDefault="00AD4EB1" w:rsidP="009A6D7D">
      <w:pPr>
        <w:pBdr>
          <w:top w:val="nil"/>
          <w:left w:val="nil"/>
          <w:bottom w:val="nil"/>
          <w:right w:val="nil"/>
          <w:between w:val="nil"/>
        </w:pBdr>
        <w:spacing w:after="0" w:line="276" w:lineRule="auto"/>
        <w:ind w:left="2410"/>
        <w:jc w:val="both"/>
        <w:rPr>
          <w:rFonts w:ascii="Gadugi" w:eastAsia="Gadugi" w:hAnsi="Gadugi" w:cs="Gadugi"/>
          <w:b/>
          <w:color w:val="000000"/>
          <w:sz w:val="24"/>
          <w:szCs w:val="24"/>
        </w:rPr>
      </w:pPr>
    </w:p>
    <w:p w14:paraId="1C22C0C9" w14:textId="77777777"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2.1. Los presupuestos procesales se cumplen a cabalidad y no se advierte nulidad que pueda dar al traste con lo actuado. </w:t>
      </w:r>
    </w:p>
    <w:p w14:paraId="1C22C0CA"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52BA8818" w14:textId="38E77528" w:rsidR="0075436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2.2. La legitimación en la causa</w:t>
      </w:r>
      <w:r w:rsidR="00BB61FA" w:rsidRPr="009A6D7D">
        <w:rPr>
          <w:rFonts w:ascii="Gadugi" w:eastAsia="Gadugi" w:hAnsi="Gadugi" w:cs="Gadugi"/>
          <w:sz w:val="24"/>
          <w:szCs w:val="24"/>
        </w:rPr>
        <w:t>, sigue insistiendo en ello la jurisprudencia,</w:t>
      </w:r>
      <w:r w:rsidRPr="009A6D7D">
        <w:rPr>
          <w:rFonts w:ascii="Gadugi" w:eastAsia="Gadugi" w:hAnsi="Gadugi" w:cs="Gadugi"/>
          <w:sz w:val="24"/>
          <w:szCs w:val="24"/>
        </w:rPr>
        <w:t xml:space="preserve"> </w:t>
      </w:r>
      <w:r w:rsidR="00BB61FA" w:rsidRPr="009A6D7D">
        <w:rPr>
          <w:rFonts w:ascii="Gadugi" w:eastAsia="Gadugi" w:hAnsi="Gadugi" w:cs="Gadugi"/>
          <w:sz w:val="24"/>
          <w:szCs w:val="24"/>
        </w:rPr>
        <w:t>por ser un elemento material de la pretensión requiere ser estudiada de oficio, incluso por el juez de segunda instancia</w:t>
      </w:r>
      <w:r w:rsidR="0075436E" w:rsidRPr="009A6D7D">
        <w:rPr>
          <w:rFonts w:ascii="Gadugi" w:eastAsia="Gadugi" w:hAnsi="Gadugi" w:cs="Gadugi"/>
          <w:sz w:val="24"/>
          <w:szCs w:val="24"/>
        </w:rPr>
        <w:t>; así fue reiterado recientemente</w:t>
      </w:r>
      <w:r w:rsidR="0075436E" w:rsidRPr="009A6D7D">
        <w:rPr>
          <w:rStyle w:val="Refdenotaalpie"/>
          <w:rFonts w:ascii="Gadugi" w:eastAsia="Gadugi" w:hAnsi="Gadugi" w:cs="Gadugi"/>
          <w:sz w:val="24"/>
          <w:szCs w:val="24"/>
        </w:rPr>
        <w:footnoteReference w:id="21"/>
      </w:r>
      <w:r w:rsidR="00BB61FA" w:rsidRPr="009A6D7D">
        <w:rPr>
          <w:rFonts w:ascii="Gadugi" w:eastAsia="Gadugi" w:hAnsi="Gadugi" w:cs="Gadugi"/>
          <w:sz w:val="24"/>
          <w:szCs w:val="24"/>
        </w:rPr>
        <w:t xml:space="preserve">. </w:t>
      </w:r>
    </w:p>
    <w:p w14:paraId="028001A9" w14:textId="77777777" w:rsidR="0075436E" w:rsidRPr="009A6D7D" w:rsidRDefault="0075436E" w:rsidP="009A6D7D">
      <w:pPr>
        <w:spacing w:after="0" w:line="276" w:lineRule="auto"/>
        <w:ind w:firstLine="1701"/>
        <w:jc w:val="both"/>
        <w:rPr>
          <w:rFonts w:ascii="Gadugi" w:eastAsia="Gadugi" w:hAnsi="Gadugi" w:cs="Gadugi"/>
          <w:sz w:val="24"/>
          <w:szCs w:val="24"/>
        </w:rPr>
      </w:pPr>
    </w:p>
    <w:p w14:paraId="5E26283B" w14:textId="049B8C99" w:rsidR="00FE4574" w:rsidRPr="009A6D7D" w:rsidRDefault="0075436E"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Lo cual debe recalcarse, porque en el fallo de primer grado se abordó ese aspecto y se concluyó que estaba acreditada por activa y por pasiva, sin parar mientes en que la situación del Banco Finandina tenía que ser analizada en perspectiva de su calidad de guardiana de la actividad </w:t>
      </w:r>
      <w:r w:rsidR="00FE4574" w:rsidRPr="009A6D7D">
        <w:rPr>
          <w:rFonts w:ascii="Gadugi" w:eastAsia="Gadugi" w:hAnsi="Gadugi" w:cs="Gadugi"/>
          <w:sz w:val="24"/>
          <w:szCs w:val="24"/>
        </w:rPr>
        <w:t>peligrosa que se discute en este caso.</w:t>
      </w:r>
    </w:p>
    <w:p w14:paraId="1D67F9D0" w14:textId="77777777" w:rsidR="00FE4574" w:rsidRPr="009A6D7D" w:rsidRDefault="00FE4574" w:rsidP="009A6D7D">
      <w:pPr>
        <w:spacing w:after="0" w:line="276" w:lineRule="auto"/>
        <w:ind w:firstLine="1701"/>
        <w:jc w:val="both"/>
        <w:rPr>
          <w:rFonts w:ascii="Gadugi" w:eastAsia="Gadugi" w:hAnsi="Gadugi" w:cs="Gadugi"/>
          <w:sz w:val="24"/>
          <w:szCs w:val="24"/>
        </w:rPr>
      </w:pPr>
    </w:p>
    <w:p w14:paraId="54DD030B" w14:textId="72D275F1" w:rsidR="00224D84" w:rsidRPr="009A6D7D" w:rsidRDefault="005F2459"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En situación similar, señaló esta Sala</w:t>
      </w:r>
      <w:r w:rsidRPr="009A6D7D">
        <w:rPr>
          <w:rStyle w:val="Refdenotaalpie"/>
          <w:rFonts w:ascii="Gadugi" w:eastAsia="Gadugi" w:hAnsi="Gadugi" w:cs="Gadugi"/>
          <w:sz w:val="24"/>
          <w:szCs w:val="24"/>
        </w:rPr>
        <w:footnoteReference w:id="22"/>
      </w:r>
      <w:r w:rsidRPr="009A6D7D">
        <w:rPr>
          <w:rFonts w:ascii="Gadugi" w:eastAsia="Gadugi" w:hAnsi="Gadugi" w:cs="Gadugi"/>
          <w:sz w:val="24"/>
          <w:szCs w:val="24"/>
        </w:rPr>
        <w:t xml:space="preserve"> que </w:t>
      </w:r>
      <w:r w:rsidR="00606973" w:rsidRPr="009A6D7D">
        <w:rPr>
          <w:rFonts w:ascii="Gadugi" w:eastAsia="Gadugi" w:hAnsi="Gadugi" w:cs="Gadugi"/>
          <w:sz w:val="24"/>
          <w:szCs w:val="24"/>
        </w:rPr>
        <w:t xml:space="preserve">frente a una responsabilidad civil extracontractual que deriva del ejercicio de una actividad peligrosa, que ella: </w:t>
      </w:r>
    </w:p>
    <w:p w14:paraId="0F039AC9" w14:textId="1855CACB" w:rsidR="00606973" w:rsidRPr="009A6D7D" w:rsidRDefault="00606973" w:rsidP="009A6D7D">
      <w:pPr>
        <w:spacing w:after="0" w:line="276" w:lineRule="auto"/>
        <w:ind w:firstLine="1701"/>
        <w:jc w:val="both"/>
        <w:rPr>
          <w:rFonts w:ascii="Gadugi" w:eastAsia="Gadugi" w:hAnsi="Gadugi" w:cs="Gadugi"/>
          <w:sz w:val="24"/>
          <w:szCs w:val="24"/>
        </w:rPr>
      </w:pPr>
    </w:p>
    <w:p w14:paraId="648F7E60" w14:textId="2E2DE0FB" w:rsidR="00606973" w:rsidRPr="009A6D7D" w:rsidRDefault="00AD4EB1" w:rsidP="009A6D7D">
      <w:pPr>
        <w:spacing w:after="0" w:line="276" w:lineRule="auto"/>
        <w:ind w:firstLine="1701"/>
        <w:jc w:val="both"/>
        <w:rPr>
          <w:rFonts w:ascii="Gadugi" w:hAnsi="Gadugi"/>
          <w:sz w:val="24"/>
          <w:szCs w:val="24"/>
        </w:rPr>
      </w:pPr>
      <w:r w:rsidRPr="009A6D7D">
        <w:rPr>
          <w:rFonts w:ascii="Gadugi" w:hAnsi="Gadugi"/>
          <w:sz w:val="24"/>
          <w:szCs w:val="24"/>
        </w:rPr>
        <w:t>…</w:t>
      </w:r>
      <w:r w:rsidR="00E95EBD">
        <w:rPr>
          <w:rFonts w:ascii="Gadugi" w:hAnsi="Gadugi"/>
          <w:sz w:val="24"/>
          <w:szCs w:val="24"/>
        </w:rPr>
        <w:t xml:space="preserve"> </w:t>
      </w:r>
      <w:r w:rsidR="00224D84" w:rsidRPr="009A6D7D">
        <w:rPr>
          <w:rFonts w:ascii="Gadugi" w:hAnsi="Gadugi"/>
          <w:sz w:val="24"/>
          <w:szCs w:val="24"/>
        </w:rPr>
        <w:t xml:space="preserve">debe recaer, realmente, en el guardián de la cosa, material o jurídico, bien porque esté ejercitando directamente la actividad, ora porque tenga sobre ella un adecuado control. Así que, en principio, quien figura como propietario de la cosa con la que se causa daño, hace presumir en esa calidad su responsabilidad; pero esa es una presunción legal, que admite prueba en contrario, porque puede ocurrir que materialmente se haya despojado de ella y que su poder de dirección radique en una persona distinta que, para el caso, sería el guardián, llamado por ello a reparar los daños que pueda causar. </w:t>
      </w:r>
    </w:p>
    <w:p w14:paraId="68A4759F" w14:textId="77777777" w:rsidR="00606973" w:rsidRPr="009A6D7D" w:rsidRDefault="00606973" w:rsidP="009A6D7D">
      <w:pPr>
        <w:spacing w:after="0" w:line="276" w:lineRule="auto"/>
        <w:ind w:firstLine="1701"/>
        <w:jc w:val="both"/>
        <w:rPr>
          <w:rFonts w:ascii="Gadugi" w:hAnsi="Gadugi"/>
          <w:sz w:val="24"/>
          <w:szCs w:val="24"/>
        </w:rPr>
      </w:pPr>
    </w:p>
    <w:p w14:paraId="19EABD8B" w14:textId="77777777" w:rsidR="004672C1" w:rsidRPr="009A6D7D" w:rsidRDefault="00224D84" w:rsidP="009A6D7D">
      <w:pPr>
        <w:spacing w:after="0" w:line="276" w:lineRule="auto"/>
        <w:ind w:firstLine="1701"/>
        <w:jc w:val="both"/>
        <w:rPr>
          <w:rFonts w:ascii="Gadugi" w:hAnsi="Gadugi"/>
          <w:sz w:val="24"/>
          <w:szCs w:val="24"/>
        </w:rPr>
      </w:pPr>
      <w:r w:rsidRPr="009A6D7D">
        <w:rPr>
          <w:rFonts w:ascii="Gadugi" w:hAnsi="Gadugi"/>
          <w:sz w:val="24"/>
          <w:szCs w:val="24"/>
        </w:rPr>
        <w:t>Sobre ese particular, se ha pronunciado esta Colegiatura</w:t>
      </w:r>
      <w:r w:rsidR="00606973" w:rsidRPr="009A6D7D">
        <w:rPr>
          <w:rStyle w:val="Refdenotaalpie"/>
          <w:rFonts w:ascii="Gadugi" w:hAnsi="Gadugi"/>
          <w:sz w:val="24"/>
          <w:szCs w:val="24"/>
        </w:rPr>
        <w:footnoteReference w:id="23"/>
      </w:r>
      <w:r w:rsidR="00606973" w:rsidRPr="009A6D7D">
        <w:rPr>
          <w:rFonts w:ascii="Gadugi" w:hAnsi="Gadugi"/>
          <w:sz w:val="24"/>
          <w:szCs w:val="24"/>
        </w:rPr>
        <w:t xml:space="preserve"> </w:t>
      </w:r>
      <w:r w:rsidRPr="009A6D7D">
        <w:rPr>
          <w:rFonts w:ascii="Gadugi" w:hAnsi="Gadugi"/>
          <w:sz w:val="24"/>
          <w:szCs w:val="24"/>
        </w:rPr>
        <w:t>y se memoró recientemente en la jurisprudencia nacional</w:t>
      </w:r>
      <w:r w:rsidR="004672C1" w:rsidRPr="009A6D7D">
        <w:rPr>
          <w:rFonts w:ascii="Gadugi" w:hAnsi="Gadugi"/>
          <w:sz w:val="24"/>
          <w:szCs w:val="24"/>
        </w:rPr>
        <w:t>…</w:t>
      </w:r>
      <w:r w:rsidR="00606973" w:rsidRPr="009A6D7D">
        <w:rPr>
          <w:rStyle w:val="Refdenotaalpie"/>
          <w:rFonts w:ascii="Gadugi" w:hAnsi="Gadugi"/>
          <w:sz w:val="24"/>
          <w:szCs w:val="24"/>
        </w:rPr>
        <w:footnoteReference w:id="24"/>
      </w:r>
      <w:r w:rsidR="004672C1" w:rsidRPr="009A6D7D">
        <w:rPr>
          <w:rFonts w:ascii="Gadugi" w:hAnsi="Gadugi"/>
          <w:sz w:val="24"/>
          <w:szCs w:val="24"/>
        </w:rPr>
        <w:t>.</w:t>
      </w:r>
    </w:p>
    <w:p w14:paraId="1BAEA1B5" w14:textId="77777777" w:rsidR="004672C1" w:rsidRPr="009A6D7D" w:rsidRDefault="004672C1" w:rsidP="009A6D7D">
      <w:pPr>
        <w:spacing w:after="0" w:line="276" w:lineRule="auto"/>
        <w:ind w:firstLine="1701"/>
        <w:jc w:val="both"/>
        <w:rPr>
          <w:rFonts w:ascii="Gadugi" w:hAnsi="Gadugi"/>
          <w:sz w:val="24"/>
          <w:szCs w:val="24"/>
        </w:rPr>
      </w:pPr>
    </w:p>
    <w:p w14:paraId="0C5BF34A" w14:textId="3C76C929" w:rsidR="00455761" w:rsidRPr="009A6D7D" w:rsidRDefault="004672C1" w:rsidP="009A6D7D">
      <w:pPr>
        <w:spacing w:after="0" w:line="276" w:lineRule="auto"/>
        <w:ind w:firstLine="1701"/>
        <w:jc w:val="both"/>
        <w:rPr>
          <w:rFonts w:ascii="Gadugi" w:hAnsi="Gadugi"/>
          <w:sz w:val="24"/>
          <w:szCs w:val="24"/>
        </w:rPr>
      </w:pPr>
      <w:r w:rsidRPr="009A6D7D">
        <w:rPr>
          <w:rFonts w:ascii="Gadugi" w:hAnsi="Gadugi"/>
          <w:sz w:val="24"/>
          <w:szCs w:val="24"/>
        </w:rPr>
        <w:t xml:space="preserve">Aquí, </w:t>
      </w:r>
      <w:r w:rsidR="00AD4EB1" w:rsidRPr="009A6D7D">
        <w:rPr>
          <w:rFonts w:ascii="Gadugi" w:hAnsi="Gadugi"/>
          <w:sz w:val="24"/>
          <w:szCs w:val="24"/>
        </w:rPr>
        <w:t xml:space="preserve">se aportó el contrato de arrendamiento financiero – leasing </w:t>
      </w:r>
      <w:r w:rsidR="00397104" w:rsidRPr="009A6D7D">
        <w:rPr>
          <w:rFonts w:ascii="Gadugi" w:hAnsi="Gadugi"/>
          <w:sz w:val="24"/>
          <w:szCs w:val="24"/>
        </w:rPr>
        <w:t xml:space="preserve">número 2330004130 del 13 de julio de 2012, mediante el cual </w:t>
      </w:r>
      <w:r w:rsidR="00AD4EB1" w:rsidRPr="009A6D7D">
        <w:rPr>
          <w:rFonts w:ascii="Gadugi" w:hAnsi="Gadugi"/>
          <w:sz w:val="24"/>
          <w:szCs w:val="24"/>
        </w:rPr>
        <w:t xml:space="preserve">el Banco Finandina S.A. </w:t>
      </w:r>
      <w:r w:rsidR="00397104" w:rsidRPr="009A6D7D">
        <w:rPr>
          <w:rFonts w:ascii="Gadugi" w:hAnsi="Gadugi"/>
          <w:sz w:val="24"/>
          <w:szCs w:val="24"/>
        </w:rPr>
        <w:lastRenderedPageBreak/>
        <w:t>entregó a Octavio Marín Hincapié</w:t>
      </w:r>
      <w:r w:rsidR="00397104" w:rsidRPr="009A6D7D">
        <w:rPr>
          <w:rStyle w:val="Refdenotaalpie"/>
          <w:rFonts w:ascii="Gadugi" w:hAnsi="Gadugi"/>
          <w:sz w:val="24"/>
          <w:szCs w:val="24"/>
        </w:rPr>
        <w:footnoteReference w:id="25"/>
      </w:r>
      <w:r w:rsidR="00397104" w:rsidRPr="009A6D7D">
        <w:rPr>
          <w:rFonts w:ascii="Gadugi" w:hAnsi="Gadugi"/>
          <w:sz w:val="24"/>
          <w:szCs w:val="24"/>
        </w:rPr>
        <w:t xml:space="preserve">, como locatario, el automotor Chevrolet NPR, de placas SXE587, a título de tenencia, para su explotación económica por parte del este, quien lo utilizaría por su cuenta directamente o por medio del personal a su servicio, haciéndose responsables de su utilización, conservación y mantenimiento; además, el locatario quedó obligado a adquirir el seguro contra todo riesgo; y se pactó que serían de cargo suyo todos los gastos de funcionamiento y mantenimiento del bien, en especial los repuestos y su instalación, la revisión técnico-mecánica y el costo de las multas y sanciones impuestas por el incumplimiento. </w:t>
      </w:r>
    </w:p>
    <w:p w14:paraId="5EC3E30C" w14:textId="77777777" w:rsidR="00455761" w:rsidRPr="009A6D7D" w:rsidRDefault="00455761" w:rsidP="009A6D7D">
      <w:pPr>
        <w:spacing w:after="0" w:line="276" w:lineRule="auto"/>
        <w:ind w:firstLine="1701"/>
        <w:jc w:val="both"/>
        <w:rPr>
          <w:rFonts w:ascii="Gadugi" w:hAnsi="Gadugi"/>
          <w:sz w:val="24"/>
          <w:szCs w:val="24"/>
        </w:rPr>
      </w:pPr>
    </w:p>
    <w:p w14:paraId="4BB2C904" w14:textId="2D68E932" w:rsidR="00BC66A9" w:rsidRPr="009A6D7D" w:rsidRDefault="00397104" w:rsidP="009A6D7D">
      <w:pPr>
        <w:spacing w:after="0" w:line="276" w:lineRule="auto"/>
        <w:ind w:firstLine="1701"/>
        <w:jc w:val="both"/>
        <w:rPr>
          <w:rFonts w:ascii="Gadugi" w:hAnsi="Gadugi"/>
          <w:sz w:val="24"/>
          <w:szCs w:val="24"/>
        </w:rPr>
      </w:pPr>
      <w:r w:rsidRPr="009A6D7D">
        <w:rPr>
          <w:rFonts w:ascii="Gadugi" w:hAnsi="Gadugi"/>
          <w:sz w:val="24"/>
          <w:szCs w:val="24"/>
        </w:rPr>
        <w:t>Esta condición</w:t>
      </w:r>
      <w:r w:rsidR="00425F27" w:rsidRPr="009A6D7D">
        <w:rPr>
          <w:rFonts w:ascii="Gadugi" w:hAnsi="Gadugi"/>
          <w:sz w:val="24"/>
          <w:szCs w:val="24"/>
        </w:rPr>
        <w:t xml:space="preserve">, señalada en el </w:t>
      </w:r>
      <w:r w:rsidR="00455761" w:rsidRPr="009A6D7D">
        <w:rPr>
          <w:rFonts w:ascii="Gadugi" w:hAnsi="Gadugi"/>
          <w:sz w:val="24"/>
          <w:szCs w:val="24"/>
        </w:rPr>
        <w:t xml:space="preserve">llamamiento en garantía que le hizo </w:t>
      </w:r>
      <w:r w:rsidRPr="009A6D7D">
        <w:rPr>
          <w:rFonts w:ascii="Gadugi" w:hAnsi="Gadugi"/>
          <w:sz w:val="24"/>
          <w:szCs w:val="24"/>
        </w:rPr>
        <w:t xml:space="preserve">el Banco al señor </w:t>
      </w:r>
      <w:r w:rsidR="00455761" w:rsidRPr="009A6D7D">
        <w:rPr>
          <w:rFonts w:ascii="Gadugi" w:hAnsi="Gadugi"/>
          <w:sz w:val="24"/>
          <w:szCs w:val="24"/>
        </w:rPr>
        <w:t>Marín H</w:t>
      </w:r>
      <w:r w:rsidR="00425F27" w:rsidRPr="009A6D7D">
        <w:rPr>
          <w:rFonts w:ascii="Gadugi" w:hAnsi="Gadugi"/>
          <w:sz w:val="24"/>
          <w:szCs w:val="24"/>
        </w:rPr>
        <w:t>i</w:t>
      </w:r>
      <w:r w:rsidR="00455761" w:rsidRPr="009A6D7D">
        <w:rPr>
          <w:rFonts w:ascii="Gadugi" w:hAnsi="Gadugi"/>
          <w:sz w:val="24"/>
          <w:szCs w:val="24"/>
        </w:rPr>
        <w:t>ncapié</w:t>
      </w:r>
      <w:r w:rsidR="00425F27" w:rsidRPr="009A6D7D">
        <w:rPr>
          <w:rStyle w:val="Refdenotaalpie"/>
          <w:rFonts w:ascii="Gadugi" w:hAnsi="Gadugi"/>
          <w:sz w:val="24"/>
          <w:szCs w:val="24"/>
        </w:rPr>
        <w:footnoteReference w:id="26"/>
      </w:r>
      <w:r w:rsidR="00455761" w:rsidRPr="009A6D7D">
        <w:rPr>
          <w:rFonts w:ascii="Gadugi" w:hAnsi="Gadugi"/>
          <w:sz w:val="24"/>
          <w:szCs w:val="24"/>
        </w:rPr>
        <w:t xml:space="preserve">, se </w:t>
      </w:r>
      <w:r w:rsidR="00BC66A9" w:rsidRPr="009A6D7D">
        <w:rPr>
          <w:rFonts w:ascii="Gadugi" w:hAnsi="Gadugi"/>
          <w:sz w:val="24"/>
          <w:szCs w:val="24"/>
        </w:rPr>
        <w:t xml:space="preserve">aceptó </w:t>
      </w:r>
      <w:r w:rsidR="00425F27" w:rsidRPr="009A6D7D">
        <w:rPr>
          <w:rFonts w:ascii="Gadugi" w:hAnsi="Gadugi"/>
          <w:sz w:val="24"/>
          <w:szCs w:val="24"/>
        </w:rPr>
        <w:t>al contestar la demanda</w:t>
      </w:r>
      <w:r w:rsidR="00425F27" w:rsidRPr="009A6D7D">
        <w:rPr>
          <w:rStyle w:val="Refdenotaalpie"/>
          <w:rFonts w:ascii="Gadugi" w:hAnsi="Gadugi"/>
          <w:sz w:val="24"/>
          <w:szCs w:val="24"/>
        </w:rPr>
        <w:footnoteReference w:id="27"/>
      </w:r>
      <w:r w:rsidR="00BC66A9" w:rsidRPr="009A6D7D">
        <w:rPr>
          <w:rFonts w:ascii="Gadugi" w:hAnsi="Gadugi"/>
          <w:sz w:val="24"/>
          <w:szCs w:val="24"/>
        </w:rPr>
        <w:t xml:space="preserve"> y se ratificó cuando él mismo llamó en garantía a Allianz Seguros S.A.</w:t>
      </w:r>
      <w:r w:rsidR="00BC66A9" w:rsidRPr="009A6D7D">
        <w:rPr>
          <w:rStyle w:val="Refdenotaalpie"/>
          <w:rFonts w:ascii="Gadugi" w:hAnsi="Gadugi"/>
          <w:sz w:val="24"/>
          <w:szCs w:val="24"/>
        </w:rPr>
        <w:footnoteReference w:id="28"/>
      </w:r>
      <w:r w:rsidR="00425F27" w:rsidRPr="009A6D7D">
        <w:rPr>
          <w:rFonts w:ascii="Gadugi" w:hAnsi="Gadugi"/>
          <w:sz w:val="24"/>
          <w:szCs w:val="24"/>
        </w:rPr>
        <w:t>.</w:t>
      </w:r>
    </w:p>
    <w:p w14:paraId="520B4FD7" w14:textId="77777777" w:rsidR="00BC66A9" w:rsidRPr="009A6D7D" w:rsidRDefault="00BC66A9" w:rsidP="009A6D7D">
      <w:pPr>
        <w:spacing w:after="0" w:line="276" w:lineRule="auto"/>
        <w:ind w:firstLine="1701"/>
        <w:jc w:val="both"/>
        <w:rPr>
          <w:rFonts w:ascii="Gadugi" w:hAnsi="Gadugi"/>
          <w:sz w:val="24"/>
          <w:szCs w:val="24"/>
        </w:rPr>
      </w:pPr>
    </w:p>
    <w:p w14:paraId="2C4CE8A6" w14:textId="77777777" w:rsidR="00F80DF5" w:rsidRPr="009A6D7D" w:rsidRDefault="00BC66A9" w:rsidP="009A6D7D">
      <w:pPr>
        <w:spacing w:after="0" w:line="276" w:lineRule="auto"/>
        <w:ind w:firstLine="1701"/>
        <w:jc w:val="both"/>
        <w:rPr>
          <w:rFonts w:ascii="Gadugi" w:hAnsi="Gadugi"/>
          <w:sz w:val="24"/>
          <w:szCs w:val="24"/>
        </w:rPr>
      </w:pPr>
      <w:r w:rsidRPr="009A6D7D">
        <w:rPr>
          <w:rFonts w:ascii="Gadugi" w:hAnsi="Gadugi"/>
          <w:sz w:val="24"/>
          <w:szCs w:val="24"/>
        </w:rPr>
        <w:t xml:space="preserve">Así que la presunción </w:t>
      </w:r>
      <w:r w:rsidR="00F80DF5" w:rsidRPr="009A6D7D">
        <w:rPr>
          <w:rFonts w:ascii="Gadugi" w:hAnsi="Gadugi"/>
          <w:sz w:val="24"/>
          <w:szCs w:val="24"/>
        </w:rPr>
        <w:t xml:space="preserve">de responsabilidad </w:t>
      </w:r>
      <w:r w:rsidRPr="009A6D7D">
        <w:rPr>
          <w:rFonts w:ascii="Gadugi" w:hAnsi="Gadugi"/>
          <w:sz w:val="24"/>
          <w:szCs w:val="24"/>
        </w:rPr>
        <w:t>que como guard</w:t>
      </w:r>
      <w:r w:rsidR="00F80DF5" w:rsidRPr="009A6D7D">
        <w:rPr>
          <w:rFonts w:ascii="Gadugi" w:hAnsi="Gadugi"/>
          <w:sz w:val="24"/>
          <w:szCs w:val="24"/>
        </w:rPr>
        <w:t xml:space="preserve">ián </w:t>
      </w:r>
      <w:r w:rsidRPr="009A6D7D">
        <w:rPr>
          <w:rFonts w:ascii="Gadugi" w:hAnsi="Gadugi"/>
          <w:sz w:val="24"/>
          <w:szCs w:val="24"/>
        </w:rPr>
        <w:t>de</w:t>
      </w:r>
      <w:r w:rsidR="00F80DF5" w:rsidRPr="009A6D7D">
        <w:rPr>
          <w:rFonts w:ascii="Gadugi" w:hAnsi="Gadugi"/>
          <w:sz w:val="24"/>
          <w:szCs w:val="24"/>
        </w:rPr>
        <w:t>l automotor involucrado en el accidente cabía contra el Banco Finandina S.A., por su calidad de propietario</w:t>
      </w:r>
      <w:r w:rsidR="00F80DF5" w:rsidRPr="009A6D7D">
        <w:rPr>
          <w:rStyle w:val="Refdenotaalpie"/>
          <w:rFonts w:ascii="Gadugi" w:hAnsi="Gadugi"/>
          <w:sz w:val="24"/>
          <w:szCs w:val="24"/>
        </w:rPr>
        <w:footnoteReference w:id="29"/>
      </w:r>
      <w:r w:rsidR="00F80DF5" w:rsidRPr="009A6D7D">
        <w:rPr>
          <w:rFonts w:ascii="Gadugi" w:hAnsi="Gadugi"/>
          <w:sz w:val="24"/>
          <w:szCs w:val="24"/>
        </w:rPr>
        <w:t xml:space="preserve">, quedó aquí desvirtuada en cuanto, para ese momento, y desde el año 2012, se había desprendido del control material y de cualquier explotación económica del bien, por lo que salta a la vista su falta de legitimación en la causa por pasiva. </w:t>
      </w:r>
    </w:p>
    <w:p w14:paraId="398011F1" w14:textId="77777777" w:rsidR="00F80DF5" w:rsidRPr="009A6D7D" w:rsidRDefault="00F80DF5" w:rsidP="009A6D7D">
      <w:pPr>
        <w:spacing w:after="0" w:line="276" w:lineRule="auto"/>
        <w:ind w:firstLine="1701"/>
        <w:jc w:val="both"/>
        <w:rPr>
          <w:rFonts w:ascii="Gadugi" w:hAnsi="Gadugi"/>
          <w:sz w:val="24"/>
          <w:szCs w:val="24"/>
        </w:rPr>
      </w:pPr>
    </w:p>
    <w:p w14:paraId="65949089" w14:textId="789A12EF" w:rsidR="004672C1" w:rsidRPr="009A6D7D" w:rsidRDefault="00F80DF5" w:rsidP="009A6D7D">
      <w:pPr>
        <w:spacing w:after="0" w:line="276" w:lineRule="auto"/>
        <w:ind w:firstLine="1701"/>
        <w:jc w:val="both"/>
        <w:rPr>
          <w:rFonts w:ascii="Gadugi" w:hAnsi="Gadugi"/>
          <w:sz w:val="24"/>
          <w:szCs w:val="24"/>
        </w:rPr>
      </w:pPr>
      <w:r w:rsidRPr="009A6D7D">
        <w:rPr>
          <w:rFonts w:ascii="Gadugi" w:hAnsi="Gadugi"/>
          <w:sz w:val="24"/>
          <w:szCs w:val="24"/>
        </w:rPr>
        <w:t xml:space="preserve">Por esta razón, y no por otra, ha debido ser absuelta la entidad bancaria; así que la sentencia se confirmará en lo que a ella atañe, pero por </w:t>
      </w:r>
      <w:r w:rsidR="00425F27" w:rsidRPr="009A6D7D">
        <w:rPr>
          <w:rFonts w:ascii="Gadugi" w:hAnsi="Gadugi"/>
          <w:sz w:val="24"/>
          <w:szCs w:val="24"/>
        </w:rPr>
        <w:t xml:space="preserve">con esta salvedad. </w:t>
      </w:r>
    </w:p>
    <w:p w14:paraId="49D5412D" w14:textId="153239FC" w:rsidR="00425F27" w:rsidRPr="009A6D7D" w:rsidRDefault="00425F27" w:rsidP="009A6D7D">
      <w:pPr>
        <w:spacing w:after="0" w:line="276" w:lineRule="auto"/>
        <w:ind w:firstLine="1701"/>
        <w:jc w:val="both"/>
        <w:rPr>
          <w:rFonts w:ascii="Gadugi" w:hAnsi="Gadugi"/>
          <w:sz w:val="24"/>
          <w:szCs w:val="24"/>
        </w:rPr>
      </w:pPr>
    </w:p>
    <w:p w14:paraId="781ACFC7" w14:textId="77777777" w:rsidR="00D068B1" w:rsidRPr="009A6D7D" w:rsidRDefault="00425F27" w:rsidP="009A6D7D">
      <w:pPr>
        <w:spacing w:after="0" w:line="276" w:lineRule="auto"/>
        <w:ind w:firstLine="1701"/>
        <w:jc w:val="both"/>
        <w:rPr>
          <w:rFonts w:ascii="Gadugi" w:hAnsi="Gadugi"/>
          <w:sz w:val="24"/>
          <w:szCs w:val="24"/>
        </w:rPr>
      </w:pPr>
      <w:r w:rsidRPr="009A6D7D">
        <w:rPr>
          <w:rFonts w:ascii="Gadugi" w:hAnsi="Gadugi"/>
          <w:sz w:val="24"/>
          <w:szCs w:val="24"/>
        </w:rPr>
        <w:t>Ahora bien, en lo que respecta a los demás intervin</w:t>
      </w:r>
      <w:r w:rsidR="00D068B1" w:rsidRPr="009A6D7D">
        <w:rPr>
          <w:rFonts w:ascii="Gadugi" w:hAnsi="Gadugi"/>
          <w:sz w:val="24"/>
          <w:szCs w:val="24"/>
        </w:rPr>
        <w:t>ientes</w:t>
      </w:r>
      <w:r w:rsidRPr="009A6D7D">
        <w:rPr>
          <w:rFonts w:ascii="Gadugi" w:hAnsi="Gadugi"/>
          <w:sz w:val="24"/>
          <w:szCs w:val="24"/>
        </w:rPr>
        <w:t xml:space="preserve">, la legitimación </w:t>
      </w:r>
      <w:r w:rsidR="00D068B1" w:rsidRPr="009A6D7D">
        <w:rPr>
          <w:rFonts w:ascii="Gadugi" w:hAnsi="Gadugi"/>
          <w:sz w:val="24"/>
          <w:szCs w:val="24"/>
        </w:rPr>
        <w:t xml:space="preserve">es indiscutible. </w:t>
      </w:r>
    </w:p>
    <w:p w14:paraId="5D498FDA" w14:textId="77777777" w:rsidR="00D068B1" w:rsidRPr="009A6D7D" w:rsidRDefault="00D068B1" w:rsidP="009A6D7D">
      <w:pPr>
        <w:spacing w:after="0" w:line="276" w:lineRule="auto"/>
        <w:ind w:firstLine="1701"/>
        <w:jc w:val="both"/>
        <w:rPr>
          <w:rFonts w:ascii="Gadugi" w:hAnsi="Gadugi"/>
          <w:sz w:val="24"/>
          <w:szCs w:val="24"/>
        </w:rPr>
      </w:pPr>
    </w:p>
    <w:p w14:paraId="1C22C0CB" w14:textId="31409988" w:rsidR="00AD4ACE" w:rsidRPr="009A6D7D" w:rsidRDefault="00D068B1" w:rsidP="009A6D7D">
      <w:pPr>
        <w:spacing w:after="0" w:line="276" w:lineRule="auto"/>
        <w:ind w:firstLine="1701"/>
        <w:jc w:val="both"/>
        <w:rPr>
          <w:rFonts w:ascii="Gadugi" w:eastAsia="Gadugi" w:hAnsi="Gadugi" w:cs="Gadugi"/>
          <w:sz w:val="24"/>
          <w:szCs w:val="24"/>
        </w:rPr>
      </w:pPr>
      <w:r w:rsidRPr="009A6D7D">
        <w:rPr>
          <w:rFonts w:ascii="Gadugi" w:hAnsi="Gadugi"/>
          <w:sz w:val="24"/>
          <w:szCs w:val="24"/>
        </w:rPr>
        <w:t xml:space="preserve">Por </w:t>
      </w:r>
      <w:r w:rsidR="00425F27" w:rsidRPr="009A6D7D">
        <w:rPr>
          <w:rFonts w:ascii="Gadugi" w:hAnsi="Gadugi"/>
          <w:sz w:val="24"/>
          <w:szCs w:val="24"/>
        </w:rPr>
        <w:t>activa</w:t>
      </w:r>
      <w:r w:rsidR="00A85F10" w:rsidRPr="009A6D7D">
        <w:rPr>
          <w:rFonts w:ascii="Gadugi" w:eastAsia="Gadugi" w:hAnsi="Gadugi" w:cs="Gadugi"/>
          <w:sz w:val="24"/>
          <w:szCs w:val="24"/>
        </w:rPr>
        <w:t xml:space="preserve"> la tienen Martha Lucia Giraldo Montes, </w:t>
      </w:r>
      <w:r w:rsidRPr="009A6D7D">
        <w:rPr>
          <w:rFonts w:ascii="Gadugi" w:eastAsia="Gadugi" w:hAnsi="Gadugi" w:cs="Gadugi"/>
          <w:sz w:val="24"/>
          <w:szCs w:val="24"/>
        </w:rPr>
        <w:t>cónyuge</w:t>
      </w:r>
      <w:r w:rsidR="00A85F10" w:rsidRPr="009A6D7D">
        <w:rPr>
          <w:rFonts w:ascii="Gadugi" w:eastAsia="Gadugi" w:hAnsi="Gadugi" w:cs="Gadugi"/>
          <w:sz w:val="24"/>
          <w:szCs w:val="24"/>
        </w:rPr>
        <w:t xml:space="preserve"> </w:t>
      </w:r>
      <w:r w:rsidRPr="009A6D7D">
        <w:rPr>
          <w:rFonts w:ascii="Gadugi" w:eastAsia="Gadugi" w:hAnsi="Gadugi" w:cs="Gadugi"/>
          <w:sz w:val="24"/>
          <w:szCs w:val="24"/>
        </w:rPr>
        <w:t xml:space="preserve">de </w:t>
      </w:r>
      <w:r w:rsidR="00A85F10" w:rsidRPr="009A6D7D">
        <w:rPr>
          <w:rFonts w:ascii="Gadugi" w:eastAsia="Gadugi" w:hAnsi="Gadugi" w:cs="Gadugi"/>
          <w:sz w:val="24"/>
          <w:szCs w:val="24"/>
        </w:rPr>
        <w:t>José Misael Ramírez Restrepo</w:t>
      </w:r>
      <w:r w:rsidR="00A85F10" w:rsidRPr="009A6D7D">
        <w:rPr>
          <w:rFonts w:ascii="Gadugi" w:eastAsia="Gadugi" w:hAnsi="Gadugi" w:cs="Gadugi"/>
          <w:sz w:val="24"/>
          <w:szCs w:val="24"/>
          <w:vertAlign w:val="superscript"/>
        </w:rPr>
        <w:footnoteReference w:id="30"/>
      </w:r>
      <w:r w:rsidR="00A85F10" w:rsidRPr="009A6D7D">
        <w:rPr>
          <w:rFonts w:ascii="Gadugi" w:eastAsia="Gadugi" w:hAnsi="Gadugi" w:cs="Gadugi"/>
          <w:sz w:val="24"/>
          <w:szCs w:val="24"/>
        </w:rPr>
        <w:t xml:space="preserve">, </w:t>
      </w:r>
      <w:r w:rsidR="001C3208" w:rsidRPr="009A6D7D">
        <w:rPr>
          <w:rFonts w:ascii="Gadugi" w:eastAsia="Gadugi" w:hAnsi="Gadugi" w:cs="Gadugi"/>
          <w:sz w:val="24"/>
          <w:szCs w:val="24"/>
        </w:rPr>
        <w:t xml:space="preserve">quien </w:t>
      </w:r>
      <w:r w:rsidR="00A85F10" w:rsidRPr="009A6D7D">
        <w:rPr>
          <w:rFonts w:ascii="Gadugi" w:eastAsia="Gadugi" w:hAnsi="Gadugi" w:cs="Gadugi"/>
          <w:sz w:val="24"/>
          <w:szCs w:val="24"/>
        </w:rPr>
        <w:t>falleció el 13 de febrero de 2015</w:t>
      </w:r>
      <w:r w:rsidR="00A85F10" w:rsidRPr="009A6D7D">
        <w:rPr>
          <w:rFonts w:ascii="Gadugi" w:eastAsia="Gadugi" w:hAnsi="Gadugi" w:cs="Gadugi"/>
          <w:sz w:val="24"/>
          <w:szCs w:val="24"/>
          <w:vertAlign w:val="superscript"/>
        </w:rPr>
        <w:footnoteReference w:id="31"/>
      </w:r>
      <w:r w:rsidR="00A85F10" w:rsidRPr="009A6D7D">
        <w:rPr>
          <w:rFonts w:ascii="Gadugi" w:eastAsia="Gadugi" w:hAnsi="Gadugi" w:cs="Gadugi"/>
          <w:sz w:val="24"/>
          <w:szCs w:val="24"/>
        </w:rPr>
        <w:t xml:space="preserve">, y Francy Elena, Laura Viviana, María Alejandra, Misael Mauricio y Juan Pablo Ramírez Giraldo, </w:t>
      </w:r>
      <w:r w:rsidR="001C3208" w:rsidRPr="009A6D7D">
        <w:rPr>
          <w:rFonts w:ascii="Gadugi" w:eastAsia="Gadugi" w:hAnsi="Gadugi" w:cs="Gadugi"/>
          <w:sz w:val="24"/>
          <w:szCs w:val="24"/>
        </w:rPr>
        <w:t xml:space="preserve">como hijos, </w:t>
      </w:r>
      <w:r w:rsidR="00A85F10" w:rsidRPr="009A6D7D">
        <w:rPr>
          <w:rFonts w:ascii="Gadugi" w:eastAsia="Gadugi" w:hAnsi="Gadugi" w:cs="Gadugi"/>
          <w:sz w:val="24"/>
          <w:szCs w:val="24"/>
        </w:rPr>
        <w:t>según documentos notariales arrimados con el libelo</w:t>
      </w:r>
      <w:r w:rsidR="00A85F10" w:rsidRPr="009A6D7D">
        <w:rPr>
          <w:rFonts w:ascii="Gadugi" w:eastAsia="Gadugi" w:hAnsi="Gadugi" w:cs="Gadugi"/>
          <w:sz w:val="24"/>
          <w:szCs w:val="24"/>
          <w:vertAlign w:val="superscript"/>
        </w:rPr>
        <w:footnoteReference w:id="32"/>
      </w:r>
      <w:r w:rsidR="001C3208" w:rsidRPr="009A6D7D">
        <w:rPr>
          <w:rFonts w:ascii="Gadugi" w:eastAsia="Gadugi" w:hAnsi="Gadugi" w:cs="Gadugi"/>
          <w:sz w:val="24"/>
          <w:szCs w:val="24"/>
        </w:rPr>
        <w:t>.</w:t>
      </w:r>
      <w:r w:rsidRPr="009A6D7D">
        <w:rPr>
          <w:rFonts w:ascii="Gadugi" w:eastAsia="Gadugi" w:hAnsi="Gadugi" w:cs="Gadugi"/>
          <w:sz w:val="24"/>
          <w:szCs w:val="24"/>
        </w:rPr>
        <w:t xml:space="preserve"> Intervienen como víctimas de rebote, para que se resarzan los perjuicios que se les causaron con la el deceso de del consorte y padre. </w:t>
      </w:r>
    </w:p>
    <w:p w14:paraId="1C22C0CC"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0CD" w14:textId="1A4C0781" w:rsidR="00AD4ACE" w:rsidRPr="009A6D7D" w:rsidRDefault="001D7FF6"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lastRenderedPageBreak/>
        <w:t>Por</w:t>
      </w:r>
      <w:r w:rsidR="00A85F10" w:rsidRPr="009A6D7D">
        <w:rPr>
          <w:rFonts w:ascii="Gadugi" w:eastAsia="Gadugi" w:hAnsi="Gadugi" w:cs="Gadugi"/>
          <w:sz w:val="24"/>
          <w:szCs w:val="24"/>
        </w:rPr>
        <w:t xml:space="preserve"> pasiva </w:t>
      </w:r>
      <w:r w:rsidR="00D068B1" w:rsidRPr="009A6D7D">
        <w:rPr>
          <w:rFonts w:ascii="Gadugi" w:eastAsia="Gadugi" w:hAnsi="Gadugi" w:cs="Gadugi"/>
          <w:sz w:val="24"/>
          <w:szCs w:val="24"/>
        </w:rPr>
        <w:t xml:space="preserve">lo </w:t>
      </w:r>
      <w:r w:rsidR="00A85F10" w:rsidRPr="009A6D7D">
        <w:rPr>
          <w:rFonts w:ascii="Gadugi" w:eastAsia="Gadugi" w:hAnsi="Gadugi" w:cs="Gadugi"/>
          <w:sz w:val="24"/>
          <w:szCs w:val="24"/>
        </w:rPr>
        <w:t>están Luis Fernando Giraldo Salazar, conductor del vehículo involucrado en el accidente de tránsito</w:t>
      </w:r>
      <w:r w:rsidR="00A85F10" w:rsidRPr="009A6D7D">
        <w:rPr>
          <w:rFonts w:ascii="Gadugi" w:eastAsia="Gadugi" w:hAnsi="Gadugi" w:cs="Gadugi"/>
          <w:sz w:val="24"/>
          <w:szCs w:val="24"/>
          <w:vertAlign w:val="superscript"/>
        </w:rPr>
        <w:footnoteReference w:id="33"/>
      </w:r>
      <w:r w:rsidR="00D068B1" w:rsidRPr="009A6D7D">
        <w:rPr>
          <w:rFonts w:ascii="Gadugi" w:eastAsia="Gadugi" w:hAnsi="Gadugi" w:cs="Gadugi"/>
          <w:sz w:val="24"/>
          <w:szCs w:val="24"/>
        </w:rPr>
        <w:t>;</w:t>
      </w:r>
      <w:r w:rsidR="00A85F10" w:rsidRPr="009A6D7D">
        <w:rPr>
          <w:rFonts w:ascii="Gadugi" w:eastAsia="Gadugi" w:hAnsi="Gadugi" w:cs="Gadugi"/>
          <w:sz w:val="24"/>
          <w:szCs w:val="24"/>
        </w:rPr>
        <w:t xml:space="preserve"> Octavio Marín Hincapié, locatario del automotor</w:t>
      </w:r>
      <w:r w:rsidR="00D068B1" w:rsidRPr="009A6D7D">
        <w:rPr>
          <w:rFonts w:ascii="Gadugi" w:eastAsia="Gadugi" w:hAnsi="Gadugi" w:cs="Gadugi"/>
          <w:sz w:val="24"/>
          <w:szCs w:val="24"/>
        </w:rPr>
        <w:t xml:space="preserve"> en calidad de guardián de la actividad, que no se discutió</w:t>
      </w:r>
      <w:r w:rsidR="00D068B1" w:rsidRPr="009A6D7D">
        <w:rPr>
          <w:rFonts w:ascii="Gadugi" w:eastAsia="Gadugi" w:hAnsi="Gadugi" w:cs="Gadugi"/>
          <w:sz w:val="24"/>
          <w:szCs w:val="24"/>
          <w:vertAlign w:val="superscript"/>
        </w:rPr>
        <w:t xml:space="preserve"> </w:t>
      </w:r>
      <w:r w:rsidR="00A85F10" w:rsidRPr="009A6D7D">
        <w:rPr>
          <w:rFonts w:ascii="Gadugi" w:eastAsia="Gadugi" w:hAnsi="Gadugi" w:cs="Gadugi"/>
          <w:sz w:val="24"/>
          <w:szCs w:val="24"/>
          <w:vertAlign w:val="superscript"/>
        </w:rPr>
        <w:footnoteReference w:id="34"/>
      </w:r>
      <w:r w:rsidR="00A85F10" w:rsidRPr="009A6D7D">
        <w:rPr>
          <w:rFonts w:ascii="Gadugi" w:eastAsia="Gadugi" w:hAnsi="Gadugi" w:cs="Gadugi"/>
          <w:sz w:val="24"/>
          <w:szCs w:val="24"/>
        </w:rPr>
        <w:t>;</w:t>
      </w:r>
      <w:r w:rsidR="00D068B1" w:rsidRPr="009A6D7D">
        <w:rPr>
          <w:rFonts w:ascii="Gadugi" w:eastAsia="Gadugi" w:hAnsi="Gadugi" w:cs="Gadugi"/>
          <w:sz w:val="24"/>
          <w:szCs w:val="24"/>
        </w:rPr>
        <w:t xml:space="preserve"> y </w:t>
      </w:r>
      <w:r w:rsidR="00A85F10" w:rsidRPr="009A6D7D">
        <w:rPr>
          <w:rFonts w:ascii="Gadugi" w:eastAsia="Gadugi" w:hAnsi="Gadugi" w:cs="Gadugi"/>
          <w:sz w:val="24"/>
          <w:szCs w:val="24"/>
        </w:rPr>
        <w:t xml:space="preserve">Allianz Seguros S.A., </w:t>
      </w:r>
      <w:r w:rsidR="00D068B1" w:rsidRPr="009A6D7D">
        <w:rPr>
          <w:rFonts w:ascii="Gadugi" w:eastAsia="Gadugi" w:hAnsi="Gadugi" w:cs="Gadugi"/>
          <w:sz w:val="24"/>
          <w:szCs w:val="24"/>
        </w:rPr>
        <w:t xml:space="preserve">en acción directa, permitida por el artículo 1133 del C. de Co., </w:t>
      </w:r>
      <w:r w:rsidR="00A85F10" w:rsidRPr="009A6D7D">
        <w:rPr>
          <w:rFonts w:ascii="Gadugi" w:eastAsia="Gadugi" w:hAnsi="Gadugi" w:cs="Gadugi"/>
          <w:sz w:val="24"/>
          <w:szCs w:val="24"/>
        </w:rPr>
        <w:t xml:space="preserve">por ser la entidad </w:t>
      </w:r>
      <w:r w:rsidR="00D068B1" w:rsidRPr="009A6D7D">
        <w:rPr>
          <w:rFonts w:ascii="Gadugi" w:eastAsia="Gadugi" w:hAnsi="Gadugi" w:cs="Gadugi"/>
          <w:sz w:val="24"/>
          <w:szCs w:val="24"/>
        </w:rPr>
        <w:t xml:space="preserve">a la </w:t>
      </w:r>
      <w:r w:rsidR="00A85F10" w:rsidRPr="009A6D7D">
        <w:rPr>
          <w:rFonts w:ascii="Gadugi" w:eastAsia="Gadugi" w:hAnsi="Gadugi" w:cs="Gadugi"/>
          <w:sz w:val="24"/>
          <w:szCs w:val="24"/>
        </w:rPr>
        <w:t xml:space="preserve">que el camión se encontraba asegurado, </w:t>
      </w:r>
      <w:r w:rsidR="00D068B1" w:rsidRPr="009A6D7D">
        <w:rPr>
          <w:rFonts w:ascii="Gadugi" w:eastAsia="Gadugi" w:hAnsi="Gadugi" w:cs="Gadugi"/>
          <w:sz w:val="24"/>
          <w:szCs w:val="24"/>
        </w:rPr>
        <w:t xml:space="preserve">con una póliza </w:t>
      </w:r>
      <w:r w:rsidR="00A85F10" w:rsidRPr="009A6D7D">
        <w:rPr>
          <w:rFonts w:ascii="Gadugi" w:eastAsia="Gadugi" w:hAnsi="Gadugi" w:cs="Gadugi"/>
          <w:sz w:val="24"/>
          <w:szCs w:val="24"/>
        </w:rPr>
        <w:t>que cubría los sucesos de responsabilidad civil extracontractual hasta el 31 de julio de 2013, pero con renovación automática hasta la cancelación del crédito</w:t>
      </w:r>
      <w:r w:rsidR="00A85F10" w:rsidRPr="009A6D7D">
        <w:rPr>
          <w:rFonts w:ascii="Gadugi" w:eastAsia="Gadugi" w:hAnsi="Gadugi" w:cs="Gadugi"/>
          <w:sz w:val="24"/>
          <w:szCs w:val="24"/>
          <w:vertAlign w:val="superscript"/>
        </w:rPr>
        <w:footnoteReference w:id="35"/>
      </w:r>
      <w:r w:rsidR="00A85F10" w:rsidRPr="009A6D7D">
        <w:rPr>
          <w:rFonts w:ascii="Gadugi" w:eastAsia="Gadugi" w:hAnsi="Gadugi" w:cs="Gadugi"/>
          <w:sz w:val="24"/>
          <w:szCs w:val="24"/>
        </w:rPr>
        <w:t>, es decir, hasta el 06 de agosto de 2015</w:t>
      </w:r>
      <w:r w:rsidR="00A85F10" w:rsidRPr="009A6D7D">
        <w:rPr>
          <w:rFonts w:ascii="Gadugi" w:eastAsia="Gadugi" w:hAnsi="Gadugi" w:cs="Gadugi"/>
          <w:sz w:val="24"/>
          <w:szCs w:val="24"/>
          <w:vertAlign w:val="superscript"/>
        </w:rPr>
        <w:footnoteReference w:id="36"/>
      </w:r>
      <w:r w:rsidR="00A85F10" w:rsidRPr="009A6D7D">
        <w:rPr>
          <w:rFonts w:ascii="Gadugi" w:eastAsia="Gadugi" w:hAnsi="Gadugi" w:cs="Gadugi"/>
          <w:sz w:val="24"/>
          <w:szCs w:val="24"/>
        </w:rPr>
        <w:t>, vigente para el tiempo en que se produjo el siniestro</w:t>
      </w:r>
    </w:p>
    <w:p w14:paraId="1C22C0CE"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0CF" w14:textId="059D26DC"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2.3. </w:t>
      </w:r>
      <w:r w:rsidR="00737F3C" w:rsidRPr="009A6D7D">
        <w:rPr>
          <w:rFonts w:ascii="Gadugi" w:eastAsia="Gadugi" w:hAnsi="Gadugi" w:cs="Gadugi"/>
          <w:sz w:val="24"/>
          <w:szCs w:val="24"/>
        </w:rPr>
        <w:t xml:space="preserve">Trata este asunto de una </w:t>
      </w:r>
      <w:r w:rsidRPr="009A6D7D">
        <w:rPr>
          <w:rFonts w:ascii="Gadugi" w:eastAsia="Gadugi" w:hAnsi="Gadugi" w:cs="Gadugi"/>
          <w:sz w:val="24"/>
          <w:szCs w:val="24"/>
        </w:rPr>
        <w:t xml:space="preserve">demanda tendiente a que se reconozca la responsabilidad civil de los demandados, por el deceso de José Misael Ramírez Restrepo, producido </w:t>
      </w:r>
      <w:r w:rsidR="00737F3C" w:rsidRPr="009A6D7D">
        <w:rPr>
          <w:rFonts w:ascii="Gadugi" w:eastAsia="Gadugi" w:hAnsi="Gadugi" w:cs="Gadugi"/>
          <w:sz w:val="24"/>
          <w:szCs w:val="24"/>
        </w:rPr>
        <w:t>en</w:t>
      </w:r>
      <w:r w:rsidRPr="009A6D7D">
        <w:rPr>
          <w:rFonts w:ascii="Gadugi" w:eastAsia="Gadugi" w:hAnsi="Gadugi" w:cs="Gadugi"/>
          <w:sz w:val="24"/>
          <w:szCs w:val="24"/>
        </w:rPr>
        <w:t xml:space="preserve"> un accidente de tránsito</w:t>
      </w:r>
      <w:r w:rsidR="00737F3C" w:rsidRPr="009A6D7D">
        <w:rPr>
          <w:rFonts w:ascii="Gadugi" w:eastAsia="Gadugi" w:hAnsi="Gadugi" w:cs="Gadugi"/>
          <w:sz w:val="24"/>
          <w:szCs w:val="24"/>
        </w:rPr>
        <w:t xml:space="preserve"> en el que, </w:t>
      </w:r>
      <w:r w:rsidRPr="009A6D7D">
        <w:rPr>
          <w:rFonts w:ascii="Gadugi" w:eastAsia="Gadugi" w:hAnsi="Gadugi" w:cs="Gadugi"/>
          <w:sz w:val="24"/>
          <w:szCs w:val="24"/>
        </w:rPr>
        <w:t xml:space="preserve">afirman los accionantes, </w:t>
      </w:r>
      <w:r w:rsidR="00737F3C" w:rsidRPr="009A6D7D">
        <w:rPr>
          <w:rFonts w:ascii="Gadugi" w:eastAsia="Gadugi" w:hAnsi="Gadugi" w:cs="Gadugi"/>
          <w:sz w:val="24"/>
          <w:szCs w:val="24"/>
        </w:rPr>
        <w:t xml:space="preserve">hubo </w:t>
      </w:r>
      <w:r w:rsidRPr="009A6D7D">
        <w:rPr>
          <w:rFonts w:ascii="Gadugi" w:eastAsia="Gadugi" w:hAnsi="Gadugi" w:cs="Gadugi"/>
          <w:sz w:val="24"/>
          <w:szCs w:val="24"/>
        </w:rPr>
        <w:t xml:space="preserve">imprudencia de Luis Fernando Giraldo Salazar, quien conducía el camión que colisionó con la bicicleta en la que se transportaba la víctima. </w:t>
      </w:r>
    </w:p>
    <w:p w14:paraId="78E883A9" w14:textId="77777777" w:rsidR="007B374F" w:rsidRPr="009A6D7D" w:rsidRDefault="007B374F" w:rsidP="009A6D7D">
      <w:pPr>
        <w:spacing w:after="0" w:line="276" w:lineRule="auto"/>
        <w:ind w:firstLine="1701"/>
        <w:jc w:val="both"/>
        <w:rPr>
          <w:rFonts w:ascii="Gadugi" w:eastAsia="Gadugi" w:hAnsi="Gadugi" w:cs="Gadugi"/>
          <w:sz w:val="24"/>
          <w:szCs w:val="24"/>
        </w:rPr>
      </w:pPr>
    </w:p>
    <w:p w14:paraId="1C22C0D1" w14:textId="7B7F9E8F" w:rsidR="00AD4ACE" w:rsidRPr="009A6D7D" w:rsidRDefault="00737F3C"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2.4. </w:t>
      </w:r>
      <w:r w:rsidR="00A85F10" w:rsidRPr="009A6D7D">
        <w:rPr>
          <w:rFonts w:ascii="Gadugi" w:eastAsia="Gadugi" w:hAnsi="Gadugi" w:cs="Gadugi"/>
          <w:sz w:val="24"/>
          <w:szCs w:val="24"/>
        </w:rPr>
        <w:t>Incumbe a la Sala resolver si confirma el fallo que negó las pretensiones por cuanto se demostró la incidencia directa de la víctima en el accidente, o si la revoca, como pretenden los recurrentes, en la medida en que se encuentran demostrados los elementos de la responsabilidad</w:t>
      </w:r>
      <w:r w:rsidRPr="009A6D7D">
        <w:rPr>
          <w:rFonts w:ascii="Gadugi" w:eastAsia="Gadugi" w:hAnsi="Gadugi" w:cs="Gadugi"/>
          <w:sz w:val="24"/>
          <w:szCs w:val="24"/>
        </w:rPr>
        <w:t xml:space="preserve">, sin eximente alguna. </w:t>
      </w:r>
    </w:p>
    <w:p w14:paraId="1C22C0D2"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0C560C2A" w14:textId="77777777" w:rsidR="00737F3C" w:rsidRPr="009A6D7D" w:rsidRDefault="00737F3C"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2.5. </w:t>
      </w:r>
      <w:r w:rsidR="00A85F10" w:rsidRPr="009A6D7D">
        <w:rPr>
          <w:rFonts w:ascii="Gadugi" w:eastAsia="Gadugi" w:hAnsi="Gadugi" w:cs="Gadugi"/>
          <w:sz w:val="24"/>
          <w:szCs w:val="24"/>
        </w:rPr>
        <w:t xml:space="preserve">En primera instancia, </w:t>
      </w:r>
      <w:r w:rsidRPr="009A6D7D">
        <w:rPr>
          <w:rFonts w:ascii="Gadugi" w:eastAsia="Gadugi" w:hAnsi="Gadugi" w:cs="Gadugi"/>
          <w:sz w:val="24"/>
          <w:szCs w:val="24"/>
        </w:rPr>
        <w:t xml:space="preserve">se absolvió a los demandados, </w:t>
      </w:r>
      <w:r w:rsidR="00A85F10" w:rsidRPr="009A6D7D">
        <w:rPr>
          <w:rFonts w:ascii="Gadugi" w:eastAsia="Gadugi" w:hAnsi="Gadugi" w:cs="Gadugi"/>
          <w:sz w:val="24"/>
          <w:szCs w:val="24"/>
        </w:rPr>
        <w:t xml:space="preserve">porque las pruebas apuntaron </w:t>
      </w:r>
      <w:r w:rsidRPr="009A6D7D">
        <w:rPr>
          <w:rFonts w:ascii="Gadugi" w:eastAsia="Gadugi" w:hAnsi="Gadugi" w:cs="Gadugi"/>
          <w:sz w:val="24"/>
          <w:szCs w:val="24"/>
        </w:rPr>
        <w:t xml:space="preserve">a que hubo hecho </w:t>
      </w:r>
      <w:r w:rsidR="00A85F10" w:rsidRPr="009A6D7D">
        <w:rPr>
          <w:rFonts w:ascii="Gadugi" w:eastAsia="Gadugi" w:hAnsi="Gadugi" w:cs="Gadugi"/>
          <w:sz w:val="24"/>
          <w:szCs w:val="24"/>
        </w:rPr>
        <w:t>exclusiv</w:t>
      </w:r>
      <w:r w:rsidRPr="009A6D7D">
        <w:rPr>
          <w:rFonts w:ascii="Gadugi" w:eastAsia="Gadugi" w:hAnsi="Gadugi" w:cs="Gadugi"/>
          <w:sz w:val="24"/>
          <w:szCs w:val="24"/>
        </w:rPr>
        <w:t>o</w:t>
      </w:r>
      <w:r w:rsidR="00A85F10" w:rsidRPr="009A6D7D">
        <w:rPr>
          <w:rFonts w:ascii="Gadugi" w:eastAsia="Gadugi" w:hAnsi="Gadugi" w:cs="Gadugi"/>
          <w:sz w:val="24"/>
          <w:szCs w:val="24"/>
        </w:rPr>
        <w:t xml:space="preserve"> de la víctima</w:t>
      </w:r>
      <w:r w:rsidRPr="009A6D7D">
        <w:rPr>
          <w:rFonts w:ascii="Gadugi" w:eastAsia="Gadugi" w:hAnsi="Gadugi" w:cs="Gadugi"/>
          <w:sz w:val="24"/>
          <w:szCs w:val="24"/>
        </w:rPr>
        <w:t xml:space="preserve">. </w:t>
      </w:r>
    </w:p>
    <w:p w14:paraId="6C79981D" w14:textId="77777777" w:rsidR="00737F3C" w:rsidRPr="009A6D7D" w:rsidRDefault="00737F3C" w:rsidP="009A6D7D">
      <w:pPr>
        <w:spacing w:after="0" w:line="276" w:lineRule="auto"/>
        <w:ind w:firstLine="1701"/>
        <w:jc w:val="both"/>
        <w:rPr>
          <w:rFonts w:ascii="Gadugi" w:eastAsia="Gadugi" w:hAnsi="Gadugi" w:cs="Gadugi"/>
          <w:sz w:val="24"/>
          <w:szCs w:val="24"/>
        </w:rPr>
      </w:pPr>
    </w:p>
    <w:p w14:paraId="1C22C0D3" w14:textId="70C0FBEF" w:rsidR="00AD4ACE" w:rsidRPr="009A6D7D" w:rsidRDefault="00737F3C"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I</w:t>
      </w:r>
      <w:r w:rsidR="00A85F10" w:rsidRPr="009A6D7D">
        <w:rPr>
          <w:rFonts w:ascii="Gadugi" w:eastAsia="Gadugi" w:hAnsi="Gadugi" w:cs="Gadugi"/>
          <w:sz w:val="24"/>
          <w:szCs w:val="24"/>
        </w:rPr>
        <w:t>nconformes, recurrieron el fallo para insistir</w:t>
      </w:r>
      <w:r w:rsidR="007B374F" w:rsidRPr="009A6D7D">
        <w:rPr>
          <w:rFonts w:ascii="Gadugi" w:eastAsia="Gadugi" w:hAnsi="Gadugi" w:cs="Gadugi"/>
          <w:sz w:val="24"/>
          <w:szCs w:val="24"/>
        </w:rPr>
        <w:t xml:space="preserve"> en </w:t>
      </w:r>
      <w:r w:rsidR="00BD37D9" w:rsidRPr="009A6D7D">
        <w:rPr>
          <w:rFonts w:ascii="Gadugi" w:eastAsia="Gadugi" w:hAnsi="Gadugi" w:cs="Gadugi"/>
          <w:sz w:val="24"/>
          <w:szCs w:val="24"/>
        </w:rPr>
        <w:t xml:space="preserve">el régimen de responsabilidad aplicado y en la indebida valoración de las pruebas. </w:t>
      </w:r>
    </w:p>
    <w:p w14:paraId="1C22C0D4" w14:textId="77777777" w:rsidR="00AD4ACE" w:rsidRPr="009A6D7D" w:rsidRDefault="00A85F10" w:rsidP="009A6D7D">
      <w:pPr>
        <w:spacing w:after="0" w:line="276" w:lineRule="auto"/>
        <w:ind w:firstLine="2835"/>
        <w:jc w:val="both"/>
        <w:rPr>
          <w:rFonts w:ascii="Gadugi" w:eastAsia="Gadugi" w:hAnsi="Gadugi" w:cs="Gadugi"/>
          <w:sz w:val="24"/>
          <w:szCs w:val="24"/>
        </w:rPr>
      </w:pPr>
      <w:r w:rsidRPr="009A6D7D">
        <w:rPr>
          <w:rFonts w:ascii="Gadugi" w:eastAsia="Gadugi" w:hAnsi="Gadugi" w:cs="Gadugi"/>
          <w:sz w:val="24"/>
          <w:szCs w:val="24"/>
        </w:rPr>
        <w:t xml:space="preserve"> </w:t>
      </w:r>
    </w:p>
    <w:p w14:paraId="007E4C0A" w14:textId="77777777" w:rsidR="00B36B80" w:rsidRPr="009A6D7D" w:rsidRDefault="001972DD" w:rsidP="009A6D7D">
      <w:pPr>
        <w:tabs>
          <w:tab w:val="left" w:pos="2127"/>
        </w:tabs>
        <w:spacing w:after="0" w:line="276" w:lineRule="auto"/>
        <w:ind w:firstLine="1701"/>
        <w:jc w:val="both"/>
        <w:rPr>
          <w:rFonts w:ascii="Gadugi" w:hAnsi="Gadugi" w:cs="Times New Roman"/>
          <w:sz w:val="24"/>
          <w:szCs w:val="24"/>
        </w:rPr>
      </w:pPr>
      <w:r w:rsidRPr="009A6D7D">
        <w:rPr>
          <w:rFonts w:ascii="Gadugi" w:eastAsia="Gadugi" w:hAnsi="Gadugi" w:cs="Gadugi"/>
          <w:sz w:val="24"/>
          <w:szCs w:val="24"/>
        </w:rPr>
        <w:t>2.6. A estos aspectos contraerá la Sala su decisión, si se recuerda que,</w:t>
      </w:r>
      <w:r w:rsidR="00A85F10" w:rsidRPr="009A6D7D">
        <w:rPr>
          <w:rFonts w:ascii="Gadugi" w:eastAsia="Gadugi" w:hAnsi="Gadugi" w:cs="Gadugi"/>
          <w:sz w:val="24"/>
          <w:szCs w:val="24"/>
        </w:rPr>
        <w:t xml:space="preserve"> producto de la redacción del artículo 328 del CGP, el sendero que traza la competencia del Superior está dado por aquellos aspectos que fueron objeto de impugnación, sin perjuicio de algunas situaciones que permiten decidir de oficio (legitimación en la causa</w:t>
      </w:r>
      <w:r w:rsidRPr="009A6D7D">
        <w:rPr>
          <w:rFonts w:ascii="Gadugi" w:eastAsia="Gadugi" w:hAnsi="Gadugi" w:cs="Gadugi"/>
          <w:sz w:val="24"/>
          <w:szCs w:val="24"/>
        </w:rPr>
        <w:t xml:space="preserve"> -como aquí ocurrió-</w:t>
      </w:r>
      <w:r w:rsidR="00A85F10" w:rsidRPr="009A6D7D">
        <w:rPr>
          <w:rFonts w:ascii="Gadugi" w:eastAsia="Gadugi" w:hAnsi="Gadugi" w:cs="Gadugi"/>
          <w:sz w:val="24"/>
          <w:szCs w:val="24"/>
        </w:rPr>
        <w:t xml:space="preserve">, prestaciones mutuas, asuntos relacionados con la familia, las costas procesales, por ejemplo). Es lo que se ha dado en denominar la pretensión impugnaticia, </w:t>
      </w:r>
      <w:r w:rsidR="00B36B80" w:rsidRPr="009A6D7D">
        <w:rPr>
          <w:rFonts w:ascii="Gadugi" w:hAnsi="Gadugi" w:cs="Times New Roman"/>
          <w:sz w:val="24"/>
          <w:szCs w:val="24"/>
        </w:rPr>
        <w:t>como ha sido reconocido por esta Sala de tiempo atrás</w:t>
      </w:r>
      <w:r w:rsidR="00B36B80" w:rsidRPr="009A6D7D">
        <w:rPr>
          <w:rStyle w:val="Refdenotaalpie"/>
          <w:rFonts w:ascii="Gadugi" w:hAnsi="Gadugi" w:cs="Times New Roman"/>
          <w:sz w:val="24"/>
          <w:szCs w:val="24"/>
        </w:rPr>
        <w:footnoteReference w:id="37"/>
      </w:r>
      <w:r w:rsidR="00B36B80" w:rsidRPr="009A6D7D">
        <w:rPr>
          <w:rFonts w:ascii="Gadugi" w:hAnsi="Gadugi" w:cs="Times New Roman"/>
          <w:sz w:val="24"/>
          <w:szCs w:val="24"/>
        </w:rPr>
        <w:t xml:space="preserve"> y lo han reiterado otras</w:t>
      </w:r>
      <w:r w:rsidR="00B36B80" w:rsidRPr="009A6D7D">
        <w:rPr>
          <w:rStyle w:val="Refdenotaalpie"/>
          <w:rFonts w:ascii="Gadugi" w:hAnsi="Gadugi" w:cs="Times New Roman"/>
          <w:sz w:val="24"/>
          <w:szCs w:val="24"/>
        </w:rPr>
        <w:footnoteReference w:id="38"/>
      </w:r>
      <w:r w:rsidR="00B36B80" w:rsidRPr="009A6D7D">
        <w:rPr>
          <w:rFonts w:ascii="Gadugi" w:hAnsi="Gadugi" w:cs="Times New Roman"/>
          <w:sz w:val="24"/>
          <w:szCs w:val="24"/>
        </w:rPr>
        <w:t>, con soporte en decisiones de la Corte, unas de tutela</w:t>
      </w:r>
      <w:r w:rsidR="00B36B80" w:rsidRPr="009A6D7D">
        <w:rPr>
          <w:rStyle w:val="Refdenotaalpie"/>
          <w:rFonts w:ascii="Gadugi" w:hAnsi="Gadugi" w:cs="Times New Roman"/>
          <w:sz w:val="24"/>
          <w:szCs w:val="24"/>
        </w:rPr>
        <w:footnoteReference w:id="39"/>
      </w:r>
      <w:r w:rsidR="00B36B80" w:rsidRPr="009A6D7D">
        <w:rPr>
          <w:rFonts w:ascii="Gadugi" w:hAnsi="Gadugi" w:cs="Times New Roman"/>
          <w:sz w:val="24"/>
          <w:szCs w:val="24"/>
        </w:rPr>
        <w:t>, que se acogen como criterio auxiliar, y otras de casación</w:t>
      </w:r>
      <w:r w:rsidR="00B36B80" w:rsidRPr="009A6D7D">
        <w:rPr>
          <w:rStyle w:val="Refdenotaalpie"/>
          <w:rFonts w:ascii="Gadugi" w:hAnsi="Gadugi" w:cs="Times New Roman"/>
          <w:sz w:val="24"/>
          <w:szCs w:val="24"/>
        </w:rPr>
        <w:footnoteReference w:id="40"/>
      </w:r>
      <w:r w:rsidR="00B36B80" w:rsidRPr="009A6D7D">
        <w:rPr>
          <w:rFonts w:ascii="Gadugi" w:hAnsi="Gadugi" w:cs="Times New Roman"/>
          <w:sz w:val="24"/>
          <w:szCs w:val="24"/>
        </w:rPr>
        <w:t xml:space="preserve">. </w:t>
      </w:r>
    </w:p>
    <w:p w14:paraId="1C22C0D6" w14:textId="25EFEDB0" w:rsidR="00AD4ACE" w:rsidRPr="009A6D7D" w:rsidRDefault="00AD4ACE" w:rsidP="009A6D7D">
      <w:pPr>
        <w:spacing w:after="0" w:line="276" w:lineRule="auto"/>
        <w:ind w:firstLine="1701"/>
        <w:jc w:val="both"/>
        <w:rPr>
          <w:rFonts w:ascii="Gadugi" w:eastAsia="Gadugi" w:hAnsi="Gadugi" w:cs="Gadugi"/>
          <w:sz w:val="24"/>
          <w:szCs w:val="24"/>
        </w:rPr>
      </w:pPr>
    </w:p>
    <w:p w14:paraId="59C7D259" w14:textId="77777777" w:rsidR="00A21841"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2.4. </w:t>
      </w:r>
      <w:r w:rsidR="008C51E6" w:rsidRPr="009A6D7D">
        <w:rPr>
          <w:rFonts w:ascii="Gadugi" w:eastAsia="Gadugi" w:hAnsi="Gadugi" w:cs="Gadugi"/>
          <w:sz w:val="24"/>
          <w:szCs w:val="24"/>
        </w:rPr>
        <w:t xml:space="preserve">Se anticipa que la decisión de primer grado será confirmada. </w:t>
      </w:r>
    </w:p>
    <w:p w14:paraId="0C0314DD" w14:textId="77777777" w:rsidR="00A21841" w:rsidRPr="009A6D7D" w:rsidRDefault="00A21841" w:rsidP="009A6D7D">
      <w:pPr>
        <w:spacing w:after="0" w:line="276" w:lineRule="auto"/>
        <w:ind w:firstLine="1701"/>
        <w:jc w:val="both"/>
        <w:rPr>
          <w:rFonts w:ascii="Gadugi" w:eastAsia="Gadugi" w:hAnsi="Gadugi" w:cs="Gadugi"/>
          <w:sz w:val="24"/>
          <w:szCs w:val="24"/>
        </w:rPr>
      </w:pPr>
    </w:p>
    <w:p w14:paraId="319A7C4A" w14:textId="61DD90A6" w:rsidR="00152C0A" w:rsidRPr="009A6D7D" w:rsidRDefault="008C51E6" w:rsidP="009A6D7D">
      <w:pPr>
        <w:spacing w:after="0" w:line="276" w:lineRule="auto"/>
        <w:ind w:firstLine="1701"/>
        <w:jc w:val="both"/>
        <w:rPr>
          <w:rFonts w:ascii="Gadugi" w:hAnsi="Gadugi" w:cs="Times New Roman"/>
          <w:sz w:val="24"/>
          <w:szCs w:val="24"/>
          <w:lang w:val="es-ES"/>
        </w:rPr>
      </w:pPr>
      <w:r w:rsidRPr="009A6D7D">
        <w:rPr>
          <w:rFonts w:ascii="Gadugi" w:eastAsia="Gadugi" w:hAnsi="Gadugi" w:cs="Gadugi"/>
          <w:sz w:val="24"/>
          <w:szCs w:val="24"/>
        </w:rPr>
        <w:t>Pero, a</w:t>
      </w:r>
      <w:r w:rsidR="00152C0A" w:rsidRPr="009A6D7D">
        <w:rPr>
          <w:rFonts w:ascii="Gadugi" w:eastAsia="Gadugi" w:hAnsi="Gadugi" w:cs="Gadugi"/>
          <w:sz w:val="24"/>
          <w:szCs w:val="24"/>
        </w:rPr>
        <w:t>ntes de acometer el análisis de los reparos y dado que, según se anunció, e</w:t>
      </w:r>
      <w:r w:rsidR="00152C0A" w:rsidRPr="009A6D7D">
        <w:rPr>
          <w:rFonts w:ascii="Gadugi" w:hAnsi="Gadugi" w:cs="Times New Roman"/>
          <w:sz w:val="24"/>
          <w:szCs w:val="24"/>
          <w:lang w:val="es-ES"/>
        </w:rPr>
        <w:t>l asunto tiene que ver con una responsabilidad civil extracontractual, es bueno memorar, según lo viene haciendo esta Sala</w:t>
      </w:r>
      <w:r w:rsidR="00152C0A" w:rsidRPr="009A6D7D">
        <w:rPr>
          <w:rFonts w:ascii="Gadugi" w:hAnsi="Gadugi" w:cs="Times New Roman"/>
          <w:sz w:val="24"/>
          <w:szCs w:val="24"/>
          <w:vertAlign w:val="superscript"/>
          <w:lang w:val="es-ES"/>
        </w:rPr>
        <w:footnoteReference w:id="41"/>
      </w:r>
      <w:r w:rsidR="00152C0A" w:rsidRPr="009A6D7D">
        <w:rPr>
          <w:rFonts w:ascii="Gadugi" w:hAnsi="Gadugi" w:cs="Times New Roman"/>
          <w:sz w:val="24"/>
          <w:szCs w:val="24"/>
          <w:lang w:val="es-ES"/>
        </w:rPr>
        <w:t>, que quien causa un daño a otro debe resarcirlo, como enseña el artículo 2341 del Código Civil, siempre que se demuestre, y esa es carga de quien la invoca, que hubo el hecho, que medió culpa del agente, que hubo un daño y que entre este y el hecho existió un nexo causal.</w:t>
      </w:r>
    </w:p>
    <w:p w14:paraId="0E9EFCA6" w14:textId="77777777" w:rsidR="00152C0A" w:rsidRPr="009A6D7D" w:rsidRDefault="00152C0A" w:rsidP="009A6D7D">
      <w:pPr>
        <w:spacing w:after="0" w:line="276" w:lineRule="auto"/>
        <w:ind w:firstLine="1701"/>
        <w:jc w:val="both"/>
        <w:rPr>
          <w:rFonts w:ascii="Gadugi" w:hAnsi="Gadugi" w:cs="Times New Roman"/>
          <w:sz w:val="24"/>
          <w:szCs w:val="24"/>
          <w:lang w:val="es-ES"/>
        </w:rPr>
      </w:pPr>
    </w:p>
    <w:p w14:paraId="044F3703" w14:textId="77777777" w:rsidR="00152C0A" w:rsidRPr="009A6D7D" w:rsidRDefault="00152C0A" w:rsidP="009A6D7D">
      <w:pPr>
        <w:spacing w:after="0" w:line="276" w:lineRule="auto"/>
        <w:ind w:firstLine="1701"/>
        <w:jc w:val="both"/>
        <w:rPr>
          <w:rFonts w:ascii="Gadugi" w:hAnsi="Gadugi"/>
          <w:sz w:val="24"/>
          <w:szCs w:val="24"/>
        </w:rPr>
      </w:pPr>
      <w:r w:rsidRPr="009A6D7D">
        <w:rPr>
          <w:rFonts w:ascii="Gadugi" w:hAnsi="Gadugi"/>
          <w:sz w:val="24"/>
          <w:szCs w:val="24"/>
        </w:rPr>
        <w:t xml:space="preserve">Y si se trata del ejercicio de una actividad peligrosa, de aquellas que enuncia el artículo 2356 del mismo estatuto,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 </w:t>
      </w:r>
    </w:p>
    <w:p w14:paraId="6DFE253C" w14:textId="77777777" w:rsidR="00152C0A" w:rsidRPr="009A6D7D" w:rsidRDefault="00152C0A" w:rsidP="009A6D7D">
      <w:pPr>
        <w:spacing w:after="0" w:line="276" w:lineRule="auto"/>
        <w:ind w:firstLine="1701"/>
        <w:jc w:val="both"/>
        <w:rPr>
          <w:rFonts w:ascii="Gadugi" w:hAnsi="Gadugi"/>
          <w:sz w:val="24"/>
          <w:szCs w:val="24"/>
        </w:rPr>
      </w:pPr>
    </w:p>
    <w:p w14:paraId="49E76303" w14:textId="7C2EB1B4" w:rsidR="00152C0A" w:rsidRPr="009A6D7D" w:rsidRDefault="00152C0A" w:rsidP="009A6D7D">
      <w:pPr>
        <w:spacing w:after="0" w:line="276" w:lineRule="auto"/>
        <w:ind w:firstLine="1701"/>
        <w:jc w:val="both"/>
        <w:rPr>
          <w:rFonts w:ascii="Gadugi" w:hAnsi="Gadugi"/>
          <w:sz w:val="24"/>
          <w:szCs w:val="24"/>
        </w:rPr>
      </w:pPr>
      <w:r w:rsidRPr="009A6D7D">
        <w:rPr>
          <w:rFonts w:ascii="Gadugi" w:hAnsi="Gadugi"/>
          <w:sz w:val="24"/>
          <w:szCs w:val="24"/>
        </w:rPr>
        <w:t>Por supuesto que esta percepción se soporta en la jurisprudencia nacional que, a pesar de los intentos para variarla</w:t>
      </w:r>
      <w:r w:rsidRPr="009A6D7D">
        <w:rPr>
          <w:rStyle w:val="Refdenotaalpie"/>
          <w:rFonts w:ascii="Gadugi" w:hAnsi="Gadugi"/>
          <w:sz w:val="24"/>
          <w:szCs w:val="24"/>
        </w:rPr>
        <w:footnoteReference w:id="42"/>
      </w:r>
      <w:r w:rsidRPr="009A6D7D">
        <w:rPr>
          <w:rFonts w:ascii="Gadugi" w:hAnsi="Gadugi"/>
          <w:sz w:val="24"/>
          <w:szCs w:val="24"/>
        </w:rPr>
        <w:t xml:space="preserve">, en el discurrir de los tiempos sobre el tema así lo ha adoctrinado, por ejemplo, en la sentencia SC665-2019, en la que enfatizó que: </w:t>
      </w:r>
    </w:p>
    <w:p w14:paraId="4CCE3970" w14:textId="77777777" w:rsidR="00152C0A" w:rsidRPr="009A6D7D" w:rsidRDefault="00152C0A" w:rsidP="009A6D7D">
      <w:pPr>
        <w:spacing w:after="0" w:line="276" w:lineRule="auto"/>
        <w:ind w:firstLine="1701"/>
        <w:jc w:val="both"/>
        <w:rPr>
          <w:rFonts w:ascii="Gadugi" w:hAnsi="Gadugi"/>
          <w:sz w:val="24"/>
          <w:szCs w:val="24"/>
        </w:rPr>
      </w:pPr>
    </w:p>
    <w:p w14:paraId="1E7E653E" w14:textId="77777777" w:rsidR="00152C0A" w:rsidRPr="00AA057F" w:rsidRDefault="00152C0A" w:rsidP="00AA057F">
      <w:pPr>
        <w:spacing w:after="0" w:line="240" w:lineRule="auto"/>
        <w:ind w:left="426" w:right="420" w:firstLine="1134"/>
        <w:jc w:val="both"/>
        <w:rPr>
          <w:rFonts w:ascii="Gadugi" w:hAnsi="Gadugi"/>
          <w:szCs w:val="24"/>
        </w:rPr>
      </w:pPr>
      <w:r w:rsidRPr="00AA057F">
        <w:rPr>
          <w:rFonts w:ascii="Gadugi" w:hAnsi="Gadugi"/>
          <w:szCs w:val="24"/>
        </w:rPr>
        <w:t xml:space="preserve">De otra parte, el artículo 2356 del Código Civil, dispone que «[p]or regla general todo daño que pueda imputarse a malicia o negligencia de otra persona, debe ser reparado por ésta», norma a partir de la cual se ha edificado el régimen de responsabilidad por el ejercicio de actividades peligrosas con culpa presunta, ampliamente desarrollado por la Corte en su Jurisprudencia, a partir de la emblemática SC de 14 mar. 1938, reiterada en SC 31 may. 1938 y en CSJ SNG 17 jun. 1938. </w:t>
      </w:r>
    </w:p>
    <w:p w14:paraId="71FEB00C" w14:textId="77777777" w:rsidR="00152C0A" w:rsidRPr="009A6D7D" w:rsidRDefault="00152C0A" w:rsidP="009A6D7D">
      <w:pPr>
        <w:spacing w:after="0" w:line="276" w:lineRule="auto"/>
        <w:ind w:firstLine="1701"/>
        <w:jc w:val="both"/>
        <w:rPr>
          <w:rFonts w:ascii="Gadugi" w:hAnsi="Gadugi"/>
          <w:sz w:val="24"/>
          <w:szCs w:val="24"/>
        </w:rPr>
      </w:pPr>
    </w:p>
    <w:p w14:paraId="52B4A2DC" w14:textId="45E01567" w:rsidR="00152C0A" w:rsidRPr="009A6D7D" w:rsidRDefault="00152C0A" w:rsidP="009A6D7D">
      <w:pPr>
        <w:spacing w:after="0" w:line="276" w:lineRule="auto"/>
        <w:ind w:firstLine="1701"/>
        <w:jc w:val="both"/>
        <w:rPr>
          <w:rFonts w:ascii="Gadugi" w:hAnsi="Gadugi" w:cs="Times New Roman"/>
          <w:sz w:val="24"/>
          <w:szCs w:val="24"/>
        </w:rPr>
      </w:pPr>
      <w:r w:rsidRPr="009A6D7D">
        <w:rPr>
          <w:rFonts w:ascii="Gadugi" w:hAnsi="Gadugi"/>
          <w:sz w:val="24"/>
          <w:szCs w:val="24"/>
        </w:rPr>
        <w:t xml:space="preserve">En esa sentencia se trajeron al recuerdo otras varias que apuntan en el mismo sentido, como la SC9788-2015, la SC del 27 de febrero de 2009, radicado 2001-00013-01, y la SC del 26 de agosto de 2010, radicado 2005-00611-01. </w:t>
      </w:r>
      <w:r w:rsidRPr="009A6D7D">
        <w:rPr>
          <w:rFonts w:ascii="Gadugi" w:hAnsi="Gadugi" w:cs="Times New Roman"/>
          <w:sz w:val="24"/>
          <w:szCs w:val="24"/>
        </w:rPr>
        <w:t xml:space="preserve"> </w:t>
      </w:r>
    </w:p>
    <w:p w14:paraId="5E5D20FB" w14:textId="7F698FAC" w:rsidR="00F27DA0" w:rsidRPr="009A6D7D" w:rsidRDefault="00F27DA0" w:rsidP="009A6D7D">
      <w:pPr>
        <w:spacing w:after="0" w:line="276" w:lineRule="auto"/>
        <w:ind w:firstLine="1701"/>
        <w:jc w:val="both"/>
        <w:rPr>
          <w:rFonts w:ascii="Gadugi" w:hAnsi="Gadugi" w:cs="Times New Roman"/>
          <w:sz w:val="24"/>
          <w:szCs w:val="24"/>
        </w:rPr>
      </w:pPr>
    </w:p>
    <w:p w14:paraId="60FEBEBD" w14:textId="59F6D992" w:rsidR="00F27DA0" w:rsidRPr="009A6D7D" w:rsidRDefault="00F27DA0" w:rsidP="009A6D7D">
      <w:pPr>
        <w:spacing w:after="0" w:line="276" w:lineRule="auto"/>
        <w:ind w:firstLine="1701"/>
        <w:jc w:val="both"/>
        <w:rPr>
          <w:rFonts w:ascii="Gadugi" w:eastAsia="Gadugi" w:hAnsi="Gadugi" w:cs="Gadugi"/>
          <w:sz w:val="24"/>
          <w:szCs w:val="24"/>
        </w:rPr>
      </w:pPr>
      <w:bookmarkStart w:id="4" w:name="_Hlk118270791"/>
      <w:r w:rsidRPr="009A6D7D">
        <w:rPr>
          <w:rFonts w:ascii="Gadugi" w:eastAsia="Gadugi" w:hAnsi="Gadugi" w:cs="Gadugi"/>
          <w:sz w:val="24"/>
          <w:szCs w:val="24"/>
        </w:rPr>
        <w:lastRenderedPageBreak/>
        <w:t>En todo caso, 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w:t>
      </w:r>
      <w:bookmarkEnd w:id="4"/>
      <w:r w:rsidRPr="009A6D7D">
        <w:rPr>
          <w:rFonts w:ascii="Gadugi" w:eastAsia="Gadugi" w:hAnsi="Gadugi" w:cs="Gadugi"/>
          <w:sz w:val="24"/>
          <w:szCs w:val="24"/>
        </w:rPr>
        <w:t>, según ha sido señalado por esta Colegiatura en pretéritas ocasiones</w:t>
      </w:r>
      <w:r w:rsidRPr="009A6D7D">
        <w:rPr>
          <w:rFonts w:ascii="Gadugi" w:eastAsia="Gadugi" w:hAnsi="Gadugi" w:cs="Gadugi"/>
          <w:sz w:val="24"/>
          <w:szCs w:val="24"/>
          <w:vertAlign w:val="superscript"/>
        </w:rPr>
        <w:footnoteReference w:id="43"/>
      </w:r>
      <w:r w:rsidRPr="009A6D7D">
        <w:rPr>
          <w:rFonts w:ascii="Gadugi" w:eastAsia="Gadugi" w:hAnsi="Gadugi" w:cs="Gadugi"/>
          <w:sz w:val="24"/>
          <w:szCs w:val="24"/>
        </w:rPr>
        <w:t xml:space="preserve"> y lo explica la Corte. </w:t>
      </w:r>
    </w:p>
    <w:p w14:paraId="27E83845" w14:textId="77777777" w:rsidR="00F27DA0" w:rsidRPr="009A6D7D" w:rsidRDefault="00F27DA0" w:rsidP="009A6D7D">
      <w:pPr>
        <w:spacing w:after="0" w:line="276" w:lineRule="auto"/>
        <w:jc w:val="both"/>
        <w:rPr>
          <w:rFonts w:ascii="Gadugi" w:eastAsia="Gadugi" w:hAnsi="Gadugi" w:cs="Gadugi"/>
          <w:sz w:val="24"/>
          <w:szCs w:val="24"/>
        </w:rPr>
      </w:pPr>
    </w:p>
    <w:p w14:paraId="12C38038" w14:textId="0F521B71" w:rsidR="00F27DA0" w:rsidRPr="009A6D7D" w:rsidRDefault="00F27DA0" w:rsidP="009A6D7D">
      <w:pPr>
        <w:spacing w:after="0" w:line="276" w:lineRule="auto"/>
        <w:ind w:firstLine="1701"/>
        <w:jc w:val="both"/>
        <w:rPr>
          <w:rFonts w:ascii="Gadugi" w:eastAsia="Gadugi" w:hAnsi="Gadugi" w:cs="Gadugi"/>
          <w:sz w:val="24"/>
          <w:szCs w:val="24"/>
        </w:rPr>
      </w:pPr>
      <w:bookmarkStart w:id="5" w:name="_Hlk118270854"/>
      <w:r w:rsidRPr="009A6D7D">
        <w:rPr>
          <w:rFonts w:ascii="Gadugi" w:eastAsia="Gadugi" w:hAnsi="Gadugi" w:cs="Gadugi"/>
          <w:sz w:val="24"/>
          <w:szCs w:val="24"/>
        </w:rPr>
        <w:t xml:space="preserve">En tales eventos, no se aniquila la presunción, ni se neutraliza, tampoco se debilita el régimen de culpa presunta, que subsiste en ambos agentes, así que lo que incumbe es demostrarle al juez cuál de tales comportamientos tuvo incidencia causal en la producción del daño, que si solo fue el del demandado, advendrá la condena total, si lo fue por ambos extremos, podrá haber lugar a la reducción de la indemnización, y si el hecho de la víctima fue exclusivo, sobrevendrá la absolución. </w:t>
      </w:r>
    </w:p>
    <w:bookmarkEnd w:id="5"/>
    <w:p w14:paraId="711A8CF4" w14:textId="77777777" w:rsidR="00F27DA0" w:rsidRPr="009A6D7D" w:rsidRDefault="00F27DA0" w:rsidP="009A6D7D">
      <w:pPr>
        <w:spacing w:after="0" w:line="276" w:lineRule="auto"/>
        <w:ind w:firstLine="2835"/>
        <w:jc w:val="both"/>
        <w:rPr>
          <w:rFonts w:ascii="Gadugi" w:eastAsia="Gadugi" w:hAnsi="Gadugi" w:cs="Gadugi"/>
          <w:sz w:val="24"/>
          <w:szCs w:val="24"/>
        </w:rPr>
      </w:pPr>
    </w:p>
    <w:p w14:paraId="229E57B7" w14:textId="5BF36E3A" w:rsidR="00F27DA0" w:rsidRPr="009A6D7D" w:rsidRDefault="00F27DA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Así está dicho en las SC2111-2021 (que conviene con el régimen objetivo) y en la SC12994-2016 (al abrigo de la presunción de culpa). En esta última, se señaló que: </w:t>
      </w:r>
    </w:p>
    <w:p w14:paraId="2F97D0B0" w14:textId="77777777" w:rsidR="00F27DA0" w:rsidRPr="009A6D7D" w:rsidRDefault="00F27DA0" w:rsidP="009A6D7D">
      <w:pPr>
        <w:spacing w:after="0" w:line="276" w:lineRule="auto"/>
        <w:ind w:firstLine="2835"/>
        <w:jc w:val="both"/>
        <w:rPr>
          <w:rFonts w:ascii="Gadugi" w:eastAsia="Gadugi" w:hAnsi="Gadugi" w:cs="Gadugi"/>
          <w:b/>
          <w:sz w:val="24"/>
          <w:szCs w:val="24"/>
        </w:rPr>
      </w:pPr>
      <w:r w:rsidRPr="009A6D7D">
        <w:rPr>
          <w:rFonts w:ascii="Gadugi" w:eastAsia="Gadugi" w:hAnsi="Gadugi" w:cs="Gadugi"/>
          <w:sz w:val="24"/>
          <w:szCs w:val="24"/>
        </w:rPr>
        <w:t xml:space="preserve"> </w:t>
      </w:r>
    </w:p>
    <w:p w14:paraId="6E2DB52B" w14:textId="77777777" w:rsidR="00F27DA0" w:rsidRPr="00AA057F" w:rsidRDefault="00F27DA0" w:rsidP="00AA057F">
      <w:pPr>
        <w:spacing w:after="0" w:line="240" w:lineRule="auto"/>
        <w:ind w:left="426" w:right="420" w:firstLine="1275"/>
        <w:jc w:val="both"/>
        <w:rPr>
          <w:rFonts w:ascii="Gadugi" w:eastAsia="Gadugi" w:hAnsi="Gadugi" w:cs="Gadugi"/>
          <w:szCs w:val="24"/>
        </w:rPr>
      </w:pPr>
      <w:r w:rsidRPr="00AA057F">
        <w:rPr>
          <w:rFonts w:ascii="Gadugi" w:eastAsia="Gadugi" w:hAnsi="Gadugi" w:cs="Gadugi"/>
          <w:szCs w:val="24"/>
        </w:rPr>
        <w:t xml:space="preserve">Al demandarse a quien causó una lesión como resultado de desarrollar una actividad calificada como peligrosa y, al tiempo, el opositor aduce culpa de la víctima, es menester estudiar cuál se excluye, acontecimiento en el que, ha precisado la Corporación: </w:t>
      </w:r>
    </w:p>
    <w:p w14:paraId="6A8C2C87" w14:textId="77777777" w:rsidR="00F27DA0" w:rsidRPr="00AA057F" w:rsidRDefault="00F27DA0" w:rsidP="00AA057F">
      <w:pPr>
        <w:spacing w:after="0" w:line="240" w:lineRule="auto"/>
        <w:ind w:left="426" w:right="420" w:firstLine="2409"/>
        <w:jc w:val="both"/>
        <w:rPr>
          <w:rFonts w:ascii="Gadugi" w:eastAsia="Gadugi" w:hAnsi="Gadugi" w:cs="Gadugi"/>
          <w:szCs w:val="24"/>
        </w:rPr>
      </w:pPr>
    </w:p>
    <w:p w14:paraId="1E952544" w14:textId="77777777" w:rsidR="00F27DA0" w:rsidRPr="00AA057F" w:rsidRDefault="00F27DA0" w:rsidP="00AA057F">
      <w:pPr>
        <w:spacing w:after="0" w:line="240" w:lineRule="auto"/>
        <w:ind w:left="851" w:right="845" w:firstLine="1275"/>
        <w:jc w:val="both"/>
        <w:rPr>
          <w:rFonts w:ascii="Gadugi" w:eastAsia="Gadugi" w:hAnsi="Gadugi" w:cs="Gadugi"/>
          <w:szCs w:val="24"/>
        </w:rPr>
      </w:pPr>
      <w:r w:rsidRPr="00AA057F">
        <w:rPr>
          <w:rFonts w:ascii="Gadugi" w:eastAsia="Gadugi" w:hAnsi="Gadugi" w:cs="Gadugi"/>
          <w:szCs w:val="24"/>
        </w:rPr>
        <w:t xml:space="preserve">“en la ejecución de esa tarea evaluativa no se puede inadvertir ‘que para que se configure la culpa de la víctima, como hecho exonerativo de responsabilidad civil, debe aparecer de manera clara su influencia en la ocurrencia del daño, tanto como para que, no obstante la naturaleza y entidad de la actividad peligrosa, ésta deba considerarse irrelevante o apenas concurrente dentro del conjunto de sucesos que constituyen la cadena causal antecedente del resultado dañoso’. Lo anterior es así por cuanto, en tratándose ‘de la concurrencia de causas que se produce cuando en el origen del perjuicio confluyen el hecho ilícito del ofensor y el obrar reprochable de la víctima, deviene fundamental establecer con exactitud la injerencia de este segundo factor en la producción del daño, habida cuenta que una investigación de esta índole viene impuesta por dos principios elementales de lógica jurídica que dominan esta materia, a saber: que cada quien debe soportar el daño en la medida en que ha contribuido a provocarlo, y que nadie debe cargar con la responsabilidad y el perjuicio ocasionado por otro (G. J. Tomos LXI, pág. 60, LXXVII, pág. 699, y CLXXXVIII, pág. 186, Primer Semestre, (…) Reiterado en CSJ CS Jul. 25 de 2014, radiación n. 2006-00315). </w:t>
      </w:r>
    </w:p>
    <w:p w14:paraId="76D8BE57" w14:textId="77777777" w:rsidR="00152C0A" w:rsidRPr="009A6D7D" w:rsidRDefault="00152C0A" w:rsidP="009A6D7D">
      <w:pPr>
        <w:spacing w:after="0" w:line="276" w:lineRule="auto"/>
        <w:ind w:firstLine="1701"/>
        <w:jc w:val="both"/>
        <w:rPr>
          <w:rFonts w:ascii="Gadugi" w:hAnsi="Gadugi" w:cs="Times New Roman"/>
          <w:sz w:val="24"/>
          <w:szCs w:val="24"/>
        </w:rPr>
      </w:pPr>
    </w:p>
    <w:p w14:paraId="189C0548" w14:textId="7455A764" w:rsidR="005853ED" w:rsidRPr="009A6D7D" w:rsidRDefault="00152C0A" w:rsidP="009A6D7D">
      <w:pPr>
        <w:spacing w:after="0" w:line="276" w:lineRule="auto"/>
        <w:ind w:firstLine="1701"/>
        <w:jc w:val="both"/>
        <w:rPr>
          <w:rFonts w:ascii="Gadugi" w:hAnsi="Gadugi" w:cs="Times New Roman"/>
          <w:sz w:val="24"/>
          <w:szCs w:val="24"/>
        </w:rPr>
      </w:pPr>
      <w:r w:rsidRPr="009A6D7D">
        <w:rPr>
          <w:rFonts w:ascii="Gadugi" w:hAnsi="Gadugi" w:cs="Times New Roman"/>
          <w:sz w:val="24"/>
          <w:szCs w:val="24"/>
        </w:rPr>
        <w:t xml:space="preserve">2.8. Dicho esto, al descender al caso concreto, se recuerda que el Juzgado declaró probada </w:t>
      </w:r>
      <w:r w:rsidR="001F0CE3" w:rsidRPr="009A6D7D">
        <w:rPr>
          <w:rFonts w:ascii="Gadugi" w:hAnsi="Gadugi" w:cs="Times New Roman"/>
          <w:sz w:val="24"/>
          <w:szCs w:val="24"/>
        </w:rPr>
        <w:t xml:space="preserve">la excepción </w:t>
      </w:r>
      <w:r w:rsidR="00077F76" w:rsidRPr="009A6D7D">
        <w:rPr>
          <w:rFonts w:ascii="Gadugi" w:hAnsi="Gadugi" w:cs="Times New Roman"/>
          <w:sz w:val="24"/>
          <w:szCs w:val="24"/>
        </w:rPr>
        <w:t xml:space="preserve">que se fundó en el hecho exclusivo de la víctima, </w:t>
      </w:r>
      <w:r w:rsidR="00077F76" w:rsidRPr="009A6D7D">
        <w:rPr>
          <w:rFonts w:ascii="Gadugi" w:hAnsi="Gadugi" w:cs="Times New Roman"/>
          <w:sz w:val="24"/>
          <w:szCs w:val="24"/>
        </w:rPr>
        <w:lastRenderedPageBreak/>
        <w:t xml:space="preserve">pues al repasar el recaudo probatorio, halló que </w:t>
      </w:r>
      <w:r w:rsidR="001F0CE3" w:rsidRPr="009A6D7D">
        <w:rPr>
          <w:rFonts w:ascii="Gadugi" w:hAnsi="Gadugi" w:cs="Times New Roman"/>
          <w:sz w:val="24"/>
          <w:szCs w:val="24"/>
        </w:rPr>
        <w:t xml:space="preserve">el señor </w:t>
      </w:r>
      <w:r w:rsidR="005853ED" w:rsidRPr="009A6D7D">
        <w:rPr>
          <w:rFonts w:ascii="Gadugi" w:hAnsi="Gadugi" w:cs="Times New Roman"/>
          <w:sz w:val="24"/>
          <w:szCs w:val="24"/>
        </w:rPr>
        <w:t xml:space="preserve">Misael Ramírez </w:t>
      </w:r>
      <w:r w:rsidRPr="009A6D7D">
        <w:rPr>
          <w:rFonts w:ascii="Gadugi" w:hAnsi="Gadugi" w:cs="Times New Roman"/>
          <w:sz w:val="24"/>
          <w:szCs w:val="24"/>
        </w:rPr>
        <w:t>s</w:t>
      </w:r>
      <w:r w:rsidR="005853ED" w:rsidRPr="009A6D7D">
        <w:rPr>
          <w:rFonts w:ascii="Gadugi" w:hAnsi="Gadugi" w:cs="Times New Roman"/>
          <w:sz w:val="24"/>
          <w:szCs w:val="24"/>
        </w:rPr>
        <w:t xml:space="preserve">e aproximó al automotor en contravía y en el impacto que recibió ninguna injerencia tuvo el comportamiento </w:t>
      </w:r>
      <w:proofErr w:type="gramStart"/>
      <w:r w:rsidR="005853ED" w:rsidRPr="009A6D7D">
        <w:rPr>
          <w:rFonts w:ascii="Gadugi" w:hAnsi="Gadugi" w:cs="Times New Roman"/>
          <w:sz w:val="24"/>
          <w:szCs w:val="24"/>
        </w:rPr>
        <w:t>del  conductor</w:t>
      </w:r>
      <w:proofErr w:type="gramEnd"/>
      <w:r w:rsidR="005853ED" w:rsidRPr="009A6D7D">
        <w:rPr>
          <w:rFonts w:ascii="Gadugi" w:hAnsi="Gadugi" w:cs="Times New Roman"/>
          <w:sz w:val="24"/>
          <w:szCs w:val="24"/>
        </w:rPr>
        <w:t xml:space="preserve"> del camión. </w:t>
      </w:r>
    </w:p>
    <w:p w14:paraId="2D63A367" w14:textId="77777777" w:rsidR="005853ED" w:rsidRPr="009A6D7D" w:rsidRDefault="005853ED" w:rsidP="009A6D7D">
      <w:pPr>
        <w:spacing w:after="0" w:line="276" w:lineRule="auto"/>
        <w:ind w:firstLine="1701"/>
        <w:jc w:val="both"/>
        <w:rPr>
          <w:rFonts w:ascii="Gadugi" w:hAnsi="Gadugi" w:cs="Times New Roman"/>
          <w:sz w:val="24"/>
          <w:szCs w:val="24"/>
        </w:rPr>
      </w:pPr>
    </w:p>
    <w:p w14:paraId="2364BD75" w14:textId="26644685" w:rsidR="008922BE" w:rsidRPr="009A6D7D" w:rsidRDefault="00152C0A" w:rsidP="009A6D7D">
      <w:pPr>
        <w:spacing w:after="0" w:line="276" w:lineRule="auto"/>
        <w:ind w:firstLine="1701"/>
        <w:jc w:val="both"/>
        <w:rPr>
          <w:rFonts w:ascii="Gadugi" w:hAnsi="Gadugi" w:cs="Times New Roman"/>
          <w:bCs/>
          <w:sz w:val="24"/>
          <w:szCs w:val="24"/>
        </w:rPr>
      </w:pPr>
      <w:r w:rsidRPr="009A6D7D">
        <w:rPr>
          <w:rFonts w:ascii="Gadugi" w:hAnsi="Gadugi" w:cs="Times New Roman"/>
          <w:bCs/>
          <w:sz w:val="24"/>
          <w:szCs w:val="24"/>
        </w:rPr>
        <w:t>2.9.</w:t>
      </w:r>
      <w:r w:rsidRPr="009A6D7D">
        <w:rPr>
          <w:rFonts w:ascii="Gadugi" w:hAnsi="Gadugi" w:cs="Times New Roman"/>
          <w:b/>
          <w:bCs/>
          <w:sz w:val="24"/>
          <w:szCs w:val="24"/>
        </w:rPr>
        <w:t xml:space="preserve"> </w:t>
      </w:r>
      <w:r w:rsidRPr="009A6D7D">
        <w:rPr>
          <w:rFonts w:ascii="Gadugi" w:hAnsi="Gadugi" w:cs="Times New Roman"/>
          <w:bCs/>
          <w:sz w:val="24"/>
          <w:szCs w:val="24"/>
        </w:rPr>
        <w:t>El</w:t>
      </w:r>
      <w:r w:rsidRPr="009A6D7D">
        <w:rPr>
          <w:rFonts w:ascii="Gadugi" w:hAnsi="Gadugi" w:cs="Times New Roman"/>
          <w:b/>
          <w:bCs/>
          <w:sz w:val="24"/>
          <w:szCs w:val="24"/>
        </w:rPr>
        <w:t xml:space="preserve"> </w:t>
      </w:r>
      <w:r w:rsidRPr="009A6D7D">
        <w:rPr>
          <w:rFonts w:ascii="Gadugi" w:hAnsi="Gadugi" w:cs="Times New Roman"/>
          <w:bCs/>
          <w:sz w:val="24"/>
          <w:szCs w:val="24"/>
        </w:rPr>
        <w:t xml:space="preserve">disenso de </w:t>
      </w:r>
      <w:r w:rsidR="005853ED" w:rsidRPr="009A6D7D">
        <w:rPr>
          <w:rFonts w:ascii="Gadugi" w:hAnsi="Gadugi" w:cs="Times New Roman"/>
          <w:bCs/>
          <w:sz w:val="24"/>
          <w:szCs w:val="24"/>
        </w:rPr>
        <w:t xml:space="preserve">los demandantes, </w:t>
      </w:r>
      <w:r w:rsidR="008922BE" w:rsidRPr="009A6D7D">
        <w:rPr>
          <w:rFonts w:ascii="Gadugi" w:hAnsi="Gadugi" w:cs="Times New Roman"/>
          <w:bCs/>
          <w:sz w:val="24"/>
          <w:szCs w:val="24"/>
        </w:rPr>
        <w:t xml:space="preserve">se concentra en aspectos relacionados con (i) el régimen de responsabilidad aplicable; y (ii) la valoración de las pruebas. En ese orden será desarrollado el asunto por esta Colegiatura. </w:t>
      </w:r>
    </w:p>
    <w:p w14:paraId="23CCC697" w14:textId="77777777" w:rsidR="008922BE" w:rsidRPr="009A6D7D" w:rsidRDefault="008922BE" w:rsidP="009A6D7D">
      <w:pPr>
        <w:spacing w:after="0" w:line="276" w:lineRule="auto"/>
        <w:ind w:firstLine="1701"/>
        <w:jc w:val="both"/>
        <w:rPr>
          <w:rFonts w:ascii="Gadugi" w:hAnsi="Gadugi" w:cs="Times New Roman"/>
          <w:bCs/>
          <w:sz w:val="24"/>
          <w:szCs w:val="24"/>
        </w:rPr>
      </w:pPr>
    </w:p>
    <w:p w14:paraId="493DE2FD" w14:textId="77777777" w:rsidR="008922BE" w:rsidRPr="009A6D7D" w:rsidRDefault="008922BE" w:rsidP="009A6D7D">
      <w:pPr>
        <w:spacing w:after="0" w:line="276" w:lineRule="auto"/>
        <w:ind w:firstLine="1701"/>
        <w:jc w:val="both"/>
        <w:rPr>
          <w:rFonts w:ascii="Gadugi" w:hAnsi="Gadugi" w:cs="Times New Roman"/>
          <w:bCs/>
          <w:sz w:val="24"/>
          <w:szCs w:val="24"/>
        </w:rPr>
      </w:pPr>
      <w:r w:rsidRPr="009A6D7D">
        <w:rPr>
          <w:rFonts w:ascii="Gadugi" w:hAnsi="Gadugi" w:cs="Times New Roman"/>
          <w:bCs/>
          <w:sz w:val="24"/>
          <w:szCs w:val="24"/>
        </w:rPr>
        <w:t xml:space="preserve">2.9.1. En lo que respecta al régimen de responsabilidad, como viene de decirse, y tienen razón en afirmarlo así los recurrentes, es el de culpa presunta, en la medida en que, estando de por medio una actividad peligrosa, a la víctima le incumbe demostrar el hecho, el daño y el nexo causal, en tanto que el elemento subjetivo se presume, esto es, la culpa. </w:t>
      </w:r>
    </w:p>
    <w:p w14:paraId="5627D2F9" w14:textId="51B7E72E" w:rsidR="008922BE" w:rsidRPr="009A6D7D" w:rsidRDefault="008922BE" w:rsidP="009A6D7D">
      <w:pPr>
        <w:spacing w:after="0" w:line="276" w:lineRule="auto"/>
        <w:ind w:firstLine="1701"/>
        <w:jc w:val="both"/>
        <w:rPr>
          <w:rFonts w:ascii="Gadugi" w:hAnsi="Gadugi" w:cs="Times New Roman"/>
          <w:bCs/>
          <w:sz w:val="24"/>
          <w:szCs w:val="24"/>
        </w:rPr>
      </w:pPr>
    </w:p>
    <w:p w14:paraId="63D86121" w14:textId="3EF99217" w:rsidR="001722A9" w:rsidRPr="009A6D7D" w:rsidRDefault="001722A9" w:rsidP="009A6D7D">
      <w:pPr>
        <w:spacing w:after="0" w:line="276" w:lineRule="auto"/>
        <w:ind w:firstLine="1701"/>
        <w:jc w:val="both"/>
        <w:rPr>
          <w:rFonts w:ascii="Gadugi" w:eastAsia="Malgun Gothic" w:hAnsi="Gadugi" w:cs="Estrangelo Edessa"/>
          <w:bCs/>
          <w:sz w:val="24"/>
          <w:szCs w:val="24"/>
          <w:lang w:eastAsia="en-US"/>
        </w:rPr>
      </w:pPr>
      <w:r w:rsidRPr="009A6D7D">
        <w:rPr>
          <w:rFonts w:ascii="Gadugi" w:hAnsi="Gadugi" w:cs="Times New Roman"/>
          <w:bCs/>
          <w:sz w:val="24"/>
          <w:szCs w:val="24"/>
        </w:rPr>
        <w:t>Eso mismo dijo el juzgado en varios pasajes del fallo; en uno de ellos concretamente señaló</w:t>
      </w:r>
      <w:r w:rsidR="002D0DDE" w:rsidRPr="009A6D7D">
        <w:rPr>
          <w:rFonts w:ascii="Gadugi" w:hAnsi="Gadugi" w:cs="Times New Roman"/>
          <w:bCs/>
          <w:sz w:val="24"/>
          <w:szCs w:val="24"/>
        </w:rPr>
        <w:t xml:space="preserve">, al citar jurisprudencia, </w:t>
      </w:r>
      <w:r w:rsidRPr="009A6D7D">
        <w:rPr>
          <w:rFonts w:ascii="Gadugi" w:hAnsi="Gadugi" w:cs="Times New Roman"/>
          <w:bCs/>
          <w:sz w:val="24"/>
          <w:szCs w:val="24"/>
        </w:rPr>
        <w:t xml:space="preserve">que </w:t>
      </w:r>
      <w:r w:rsidR="002D0DDE" w:rsidRPr="009A6D7D">
        <w:rPr>
          <w:rFonts w:ascii="Gadugi" w:hAnsi="Gadugi" w:cs="Times New Roman"/>
          <w:bCs/>
          <w:sz w:val="24"/>
          <w:szCs w:val="24"/>
        </w:rPr>
        <w:t>“</w:t>
      </w:r>
      <w:r w:rsidRPr="00D14DE3">
        <w:rPr>
          <w:rFonts w:ascii="Gadugi" w:eastAsia="Malgun Gothic" w:hAnsi="Gadugi" w:cs="Estrangelo Edessa"/>
          <w:bCs/>
          <w:i/>
          <w:szCs w:val="24"/>
          <w:lang w:eastAsia="en-US"/>
        </w:rPr>
        <w:t>cuando el daño se origina en una de las actividades llamadas peligrosas, la jurisprudencia soportada en el art. 2356 del código civil ha adoctrinado un régimen conceptual y probatorio especial o propio en el cual la culpa se presume en cabeza del demandado bastándole a la víctima demostrar el hecho culposo atribuible a este, el perjuicio padecido y la relación de causalidad entre este y aquel, la presunción bajo este criterio no puede ceder si no ante la demostración de una conducta resultante de un caso fortuito, fuerza mayor o de la ocurrencia de un hecho extraño como la culpa exclusiva de la víctima o culpa de un tercero</w:t>
      </w:r>
      <w:r w:rsidR="002D0DDE" w:rsidRPr="00D14DE3">
        <w:rPr>
          <w:rFonts w:ascii="Gadugi" w:eastAsia="Malgun Gothic" w:hAnsi="Gadugi" w:cs="Estrangelo Edessa"/>
          <w:bCs/>
          <w:i/>
          <w:szCs w:val="24"/>
          <w:lang w:eastAsia="en-US"/>
        </w:rPr>
        <w:t>,</w:t>
      </w:r>
      <w:r w:rsidRPr="00D14DE3">
        <w:rPr>
          <w:rFonts w:ascii="Gadugi" w:eastAsia="Malgun Gothic" w:hAnsi="Gadugi" w:cs="Estrangelo Edessa"/>
          <w:bCs/>
          <w:i/>
          <w:szCs w:val="24"/>
          <w:lang w:eastAsia="en-US"/>
        </w:rPr>
        <w:t xml:space="preserve"> con el propósito de favorecer a las víctimas de accidentes en donde el hombre utilizando en sus labores fuerzas de las que no siempre puede ejercer control absoluto</w:t>
      </w:r>
      <w:r w:rsidR="002D0DDE" w:rsidRPr="00D14DE3">
        <w:rPr>
          <w:rFonts w:ascii="Gadugi" w:eastAsia="Malgun Gothic" w:hAnsi="Gadugi" w:cs="Estrangelo Edessa"/>
          <w:bCs/>
          <w:i/>
          <w:szCs w:val="24"/>
          <w:lang w:eastAsia="en-US"/>
        </w:rPr>
        <w:t>,</w:t>
      </w:r>
      <w:r w:rsidRPr="00D14DE3">
        <w:rPr>
          <w:rFonts w:ascii="Gadugi" w:eastAsia="Malgun Gothic" w:hAnsi="Gadugi" w:cs="Estrangelo Edessa"/>
          <w:bCs/>
          <w:i/>
          <w:szCs w:val="24"/>
          <w:lang w:eastAsia="en-US"/>
        </w:rPr>
        <w:t xml:space="preserve"> son capaces de romper el equilibro existente y como secuela colocan a las personas o asociados bajo el riesgo inminente de recibir lesión</w:t>
      </w:r>
      <w:r w:rsidR="002D0DDE" w:rsidRPr="00D14DE3">
        <w:rPr>
          <w:rFonts w:ascii="Gadugi" w:eastAsia="Malgun Gothic" w:hAnsi="Gadugi" w:cs="Estrangelo Edessa"/>
          <w:bCs/>
          <w:i/>
          <w:szCs w:val="24"/>
          <w:lang w:eastAsia="en-US"/>
        </w:rPr>
        <w:t>. T</w:t>
      </w:r>
      <w:r w:rsidRPr="00D14DE3">
        <w:rPr>
          <w:rFonts w:ascii="Gadugi" w:eastAsia="Malgun Gothic" w:hAnsi="Gadugi" w:cs="Estrangelo Edessa"/>
          <w:bCs/>
          <w:i/>
          <w:szCs w:val="24"/>
          <w:lang w:eastAsia="en-US"/>
        </w:rPr>
        <w:t>ratándose de una accidente de tránsito por colisión de dos automotores en el caso cuando concurra a la realización del daño la jurisprudencia a postulado que estando ambos en movimiento estarían mediados bajo la órbita de presunción de culpas</w:t>
      </w:r>
      <w:r w:rsidR="002D0DDE" w:rsidRPr="00D14DE3">
        <w:rPr>
          <w:rFonts w:ascii="Gadugi" w:eastAsia="Malgun Gothic" w:hAnsi="Gadugi" w:cs="Estrangelo Edessa"/>
          <w:bCs/>
          <w:i/>
          <w:szCs w:val="24"/>
          <w:lang w:eastAsia="en-US"/>
        </w:rPr>
        <w:t xml:space="preserve">. </w:t>
      </w:r>
      <w:r w:rsidR="002D0DDE" w:rsidRPr="00D14DE3">
        <w:rPr>
          <w:rFonts w:ascii="Gadugi" w:eastAsia="Malgun Gothic" w:hAnsi="Gadugi" w:cs="Estrangelo Edessa"/>
          <w:bCs/>
          <w:szCs w:val="24"/>
          <w:lang w:eastAsia="en-US"/>
        </w:rPr>
        <w:t xml:space="preserve">Y agregó, con apoyo en el mismo precedente, que </w:t>
      </w:r>
      <w:r w:rsidR="002D0DDE" w:rsidRPr="00D14DE3">
        <w:rPr>
          <w:rFonts w:ascii="Gadugi" w:eastAsia="Malgun Gothic" w:hAnsi="Gadugi" w:cs="Estrangelo Edessa"/>
          <w:bCs/>
          <w:i/>
          <w:szCs w:val="24"/>
          <w:lang w:eastAsia="en-US"/>
        </w:rPr>
        <w:t>“</w:t>
      </w:r>
      <w:r w:rsidRPr="00D14DE3">
        <w:rPr>
          <w:rFonts w:ascii="Gadugi" w:eastAsia="Malgun Gothic" w:hAnsi="Gadugi" w:cs="Estrangelo Edessa"/>
          <w:bCs/>
          <w:i/>
          <w:szCs w:val="24"/>
          <w:lang w:eastAsia="en-US"/>
        </w:rPr>
        <w:t xml:space="preserve">La concurrencia de las dos actividades peligrosas en la producción del daño  y el perjuicio en nada obsta para que la parte demandante acudiendo a las reglas generales previstas en el art. 2341 del código civil pruebe la culpa del demandado como aquí ocurrió, hago referencia a las sentencia de la corte suprema de justicia sala de casación civil, magistrado ponente Luis Armando Tolosa sentencia </w:t>
      </w:r>
      <w:r w:rsidR="002D0DDE" w:rsidRPr="00D14DE3">
        <w:rPr>
          <w:rFonts w:ascii="Gadugi" w:eastAsia="Malgun Gothic" w:hAnsi="Gadugi" w:cs="Estrangelo Edessa"/>
          <w:bCs/>
          <w:i/>
          <w:szCs w:val="24"/>
          <w:lang w:eastAsia="en-US"/>
        </w:rPr>
        <w:t>S</w:t>
      </w:r>
      <w:r w:rsidRPr="00D14DE3">
        <w:rPr>
          <w:rFonts w:ascii="Gadugi" w:eastAsia="Malgun Gothic" w:hAnsi="Gadugi" w:cs="Estrangelo Edessa"/>
          <w:bCs/>
          <w:i/>
          <w:szCs w:val="24"/>
          <w:lang w:eastAsia="en-US"/>
        </w:rPr>
        <w:t>C 5885-2016 radicado 54001-30-03-004-2004-00032-</w:t>
      </w:r>
      <w:r w:rsidR="002D0DDE" w:rsidRPr="00D14DE3">
        <w:rPr>
          <w:rFonts w:ascii="Gadugi" w:eastAsia="Malgun Gothic" w:hAnsi="Gadugi" w:cs="Estrangelo Edessa"/>
          <w:bCs/>
          <w:i/>
          <w:szCs w:val="24"/>
          <w:lang w:eastAsia="en-US"/>
        </w:rPr>
        <w:t>0</w:t>
      </w:r>
      <w:r w:rsidRPr="00D14DE3">
        <w:rPr>
          <w:rFonts w:ascii="Gadugi" w:eastAsia="Malgun Gothic" w:hAnsi="Gadugi" w:cs="Estrangelo Edessa"/>
          <w:bCs/>
          <w:i/>
          <w:szCs w:val="24"/>
          <w:lang w:eastAsia="en-US"/>
        </w:rPr>
        <w:t>1</w:t>
      </w:r>
      <w:r w:rsidR="002D0DDE" w:rsidRPr="009A6D7D">
        <w:rPr>
          <w:rFonts w:ascii="Gadugi" w:eastAsia="Malgun Gothic" w:hAnsi="Gadugi" w:cs="Estrangelo Edessa"/>
          <w:bCs/>
          <w:i/>
          <w:sz w:val="24"/>
          <w:szCs w:val="24"/>
          <w:lang w:eastAsia="en-US"/>
        </w:rPr>
        <w:t xml:space="preserve">”. </w:t>
      </w:r>
    </w:p>
    <w:p w14:paraId="6D4A15E6" w14:textId="77777777" w:rsidR="00503915" w:rsidRPr="009A6D7D" w:rsidRDefault="00503915" w:rsidP="009A6D7D">
      <w:pPr>
        <w:spacing w:after="0" w:line="276" w:lineRule="auto"/>
        <w:ind w:firstLine="1701"/>
        <w:jc w:val="both"/>
        <w:rPr>
          <w:rFonts w:ascii="Gadugi" w:hAnsi="Gadugi" w:cs="Times New Roman"/>
          <w:bCs/>
          <w:sz w:val="24"/>
          <w:szCs w:val="24"/>
        </w:rPr>
      </w:pPr>
    </w:p>
    <w:p w14:paraId="1F34F908" w14:textId="3888A5B6" w:rsidR="002D0DDE" w:rsidRPr="009A6D7D" w:rsidRDefault="002D0DDE" w:rsidP="009A6D7D">
      <w:pPr>
        <w:spacing w:after="0" w:line="276" w:lineRule="auto"/>
        <w:ind w:firstLine="1701"/>
        <w:jc w:val="both"/>
        <w:rPr>
          <w:rFonts w:ascii="Gadugi" w:hAnsi="Gadugi" w:cs="Times New Roman"/>
          <w:bCs/>
          <w:sz w:val="24"/>
          <w:szCs w:val="24"/>
        </w:rPr>
      </w:pPr>
      <w:r w:rsidRPr="009A6D7D">
        <w:rPr>
          <w:rFonts w:ascii="Gadugi" w:hAnsi="Gadugi" w:cs="Times New Roman"/>
          <w:bCs/>
          <w:sz w:val="24"/>
          <w:szCs w:val="24"/>
        </w:rPr>
        <w:t xml:space="preserve">Es decir, que adoptó la senda que proponen los impugnantes, por lo </w:t>
      </w:r>
      <w:r w:rsidR="00EF173C" w:rsidRPr="009A6D7D">
        <w:rPr>
          <w:rFonts w:ascii="Gadugi" w:hAnsi="Gadugi" w:cs="Times New Roman"/>
          <w:bCs/>
          <w:sz w:val="24"/>
          <w:szCs w:val="24"/>
        </w:rPr>
        <w:t xml:space="preserve">que ningún dislate aflora allí, como quiera que, seguido a ello, con fundamento en esa teoría, le correspondía escudriñar, frente a la actividad desplegada por ambos agentes, cuál comportamiento tuvo incidencia directa en el resultado final, con el fin de establecer si podía absolver por un hecho exclusivo de la víctima; e incluso, verificar si ambos pudieron tener injerencia para, entonces, darle cabida a la reducción de que trata el artículo 2357 del C. Civil. </w:t>
      </w:r>
    </w:p>
    <w:p w14:paraId="5A6216CD" w14:textId="77777777" w:rsidR="00615315" w:rsidRPr="009A6D7D" w:rsidRDefault="00615315" w:rsidP="009A6D7D">
      <w:pPr>
        <w:spacing w:after="0" w:line="276" w:lineRule="auto"/>
        <w:ind w:firstLine="1701"/>
        <w:jc w:val="both"/>
        <w:rPr>
          <w:rFonts w:ascii="Gadugi" w:hAnsi="Gadugi" w:cs="Times New Roman"/>
          <w:bCs/>
          <w:sz w:val="24"/>
          <w:szCs w:val="24"/>
        </w:rPr>
      </w:pPr>
    </w:p>
    <w:p w14:paraId="00118B4C" w14:textId="3E293C5C" w:rsidR="00615315" w:rsidRPr="009A6D7D" w:rsidRDefault="00615315" w:rsidP="009A6D7D">
      <w:pPr>
        <w:spacing w:after="0" w:line="276" w:lineRule="auto"/>
        <w:ind w:firstLine="1701"/>
        <w:jc w:val="both"/>
        <w:rPr>
          <w:rFonts w:ascii="Gadugi" w:hAnsi="Gadugi" w:cs="Times New Roman"/>
          <w:bCs/>
          <w:sz w:val="24"/>
          <w:szCs w:val="24"/>
        </w:rPr>
      </w:pPr>
      <w:r w:rsidRPr="009A6D7D">
        <w:rPr>
          <w:rFonts w:ascii="Gadugi" w:hAnsi="Gadugi" w:cs="Times New Roman"/>
          <w:bCs/>
          <w:sz w:val="24"/>
          <w:szCs w:val="24"/>
        </w:rPr>
        <w:lastRenderedPageBreak/>
        <w:t xml:space="preserve">De manera que, por este aspecto, el fallo ningún reproche merece, con lo cual se responden los puntos </w:t>
      </w:r>
      <w:r w:rsidR="00DE15E0" w:rsidRPr="009A6D7D">
        <w:rPr>
          <w:rFonts w:ascii="Gadugi" w:hAnsi="Gadugi" w:cs="Times New Roman"/>
          <w:bCs/>
          <w:sz w:val="24"/>
          <w:szCs w:val="24"/>
        </w:rPr>
        <w:t>8</w:t>
      </w:r>
      <w:r w:rsidRPr="009A6D7D">
        <w:rPr>
          <w:rFonts w:ascii="Gadugi" w:hAnsi="Gadugi" w:cs="Times New Roman"/>
          <w:bCs/>
          <w:sz w:val="24"/>
          <w:szCs w:val="24"/>
        </w:rPr>
        <w:t xml:space="preserve"> y 9 del escrito de apelación</w:t>
      </w:r>
      <w:r w:rsidR="00BD37D9" w:rsidRPr="009A6D7D">
        <w:rPr>
          <w:rFonts w:ascii="Gadugi" w:hAnsi="Gadugi" w:cs="Times New Roman"/>
          <w:bCs/>
          <w:sz w:val="24"/>
          <w:szCs w:val="24"/>
        </w:rPr>
        <w:t>.</w:t>
      </w:r>
      <w:r w:rsidRPr="009A6D7D">
        <w:rPr>
          <w:rFonts w:ascii="Gadugi" w:hAnsi="Gadugi" w:cs="Times New Roman"/>
          <w:bCs/>
          <w:sz w:val="24"/>
          <w:szCs w:val="24"/>
        </w:rPr>
        <w:t xml:space="preserve"> </w:t>
      </w:r>
    </w:p>
    <w:p w14:paraId="5E250745" w14:textId="4D94BF20" w:rsidR="002D0DDE" w:rsidRPr="009A6D7D" w:rsidRDefault="002D0DDE" w:rsidP="009A6D7D">
      <w:pPr>
        <w:spacing w:after="0" w:line="276" w:lineRule="auto"/>
        <w:ind w:firstLine="1701"/>
        <w:jc w:val="both"/>
        <w:rPr>
          <w:rFonts w:ascii="Gadugi" w:hAnsi="Gadugi" w:cs="Times New Roman"/>
          <w:bCs/>
          <w:sz w:val="24"/>
          <w:szCs w:val="24"/>
        </w:rPr>
      </w:pPr>
    </w:p>
    <w:p w14:paraId="3F816389" w14:textId="0D5BACFD" w:rsidR="00152C0A" w:rsidRPr="009A6D7D" w:rsidRDefault="003359E4" w:rsidP="009A6D7D">
      <w:pPr>
        <w:spacing w:after="0" w:line="276" w:lineRule="auto"/>
        <w:ind w:firstLine="1701"/>
        <w:jc w:val="both"/>
        <w:rPr>
          <w:rFonts w:ascii="Gadugi" w:hAnsi="Gadugi" w:cs="Times New Roman"/>
          <w:sz w:val="24"/>
          <w:szCs w:val="24"/>
        </w:rPr>
      </w:pPr>
      <w:r w:rsidRPr="009A6D7D">
        <w:rPr>
          <w:rFonts w:ascii="Gadugi" w:hAnsi="Gadugi" w:cs="Times New Roman"/>
          <w:sz w:val="24"/>
          <w:szCs w:val="24"/>
        </w:rPr>
        <w:t xml:space="preserve">2.9.2. Los </w:t>
      </w:r>
      <w:r w:rsidR="00615315" w:rsidRPr="009A6D7D">
        <w:rPr>
          <w:rFonts w:ascii="Gadugi" w:hAnsi="Gadugi" w:cs="Times New Roman"/>
          <w:sz w:val="24"/>
          <w:szCs w:val="24"/>
        </w:rPr>
        <w:t xml:space="preserve">restantes 14 señalamientos tienen que ver con la valoración de las pruebas, y a cada uno de ellos se hará alusión. </w:t>
      </w:r>
    </w:p>
    <w:p w14:paraId="1108169E" w14:textId="7E58616B" w:rsidR="00086806" w:rsidRPr="009A6D7D" w:rsidRDefault="00086806" w:rsidP="009A6D7D">
      <w:pPr>
        <w:spacing w:after="0" w:line="276" w:lineRule="auto"/>
        <w:ind w:firstLine="1701"/>
        <w:jc w:val="both"/>
        <w:rPr>
          <w:rFonts w:ascii="Gadugi" w:hAnsi="Gadugi" w:cs="Times New Roman"/>
          <w:sz w:val="24"/>
          <w:szCs w:val="24"/>
        </w:rPr>
      </w:pPr>
    </w:p>
    <w:p w14:paraId="63847C73" w14:textId="62492351" w:rsidR="003E52A8" w:rsidRPr="009A6D7D" w:rsidRDefault="00086806" w:rsidP="009A6D7D">
      <w:pPr>
        <w:spacing w:after="0" w:line="276" w:lineRule="auto"/>
        <w:ind w:firstLine="1701"/>
        <w:jc w:val="both"/>
        <w:rPr>
          <w:rFonts w:ascii="Gadugi" w:hAnsi="Gadugi" w:cs="Times New Roman"/>
          <w:sz w:val="24"/>
          <w:szCs w:val="24"/>
        </w:rPr>
      </w:pPr>
      <w:r w:rsidRPr="009A6D7D">
        <w:rPr>
          <w:rFonts w:ascii="Gadugi" w:hAnsi="Gadugi" w:cs="Times New Roman"/>
          <w:sz w:val="24"/>
          <w:szCs w:val="24"/>
        </w:rPr>
        <w:t>Con ese propósito, cree la Sala pertinente recordar que las conductas que se le atribuyeron al conductor del camión involucrado, fueron las de desplazar</w:t>
      </w:r>
      <w:r w:rsidR="00A21841" w:rsidRPr="009A6D7D">
        <w:rPr>
          <w:rFonts w:ascii="Gadugi" w:hAnsi="Gadugi" w:cs="Times New Roman"/>
          <w:sz w:val="24"/>
          <w:szCs w:val="24"/>
        </w:rPr>
        <w:t>se</w:t>
      </w:r>
      <w:r w:rsidRPr="009A6D7D">
        <w:rPr>
          <w:rFonts w:ascii="Gadugi" w:hAnsi="Gadugi" w:cs="Times New Roman"/>
          <w:sz w:val="24"/>
          <w:szCs w:val="24"/>
        </w:rPr>
        <w:t xml:space="preserve"> con exceso de velocidad, no reducirla a pesar de que había una cebra, circular por el carril izquierdo</w:t>
      </w:r>
      <w:r w:rsidR="003E52A8" w:rsidRPr="009A6D7D">
        <w:rPr>
          <w:rFonts w:ascii="Gadugi" w:hAnsi="Gadugi" w:cs="Times New Roman"/>
          <w:sz w:val="24"/>
          <w:szCs w:val="24"/>
        </w:rPr>
        <w:t xml:space="preserve"> que está destinado solo para adelantar y conducir con el freno del pedal bajo de tensión. </w:t>
      </w:r>
    </w:p>
    <w:p w14:paraId="6522E0A7" w14:textId="77777777" w:rsidR="001722A9" w:rsidRPr="009A6D7D" w:rsidRDefault="001722A9" w:rsidP="009A6D7D">
      <w:pPr>
        <w:spacing w:after="0" w:line="276" w:lineRule="auto"/>
        <w:ind w:firstLine="1701"/>
        <w:jc w:val="both"/>
        <w:rPr>
          <w:rFonts w:ascii="Gadugi" w:hAnsi="Gadugi" w:cs="Times New Roman"/>
          <w:sz w:val="24"/>
          <w:szCs w:val="24"/>
        </w:rPr>
      </w:pPr>
    </w:p>
    <w:p w14:paraId="40D49956" w14:textId="4D90C10B" w:rsidR="003E52A8" w:rsidRPr="009A6D7D" w:rsidRDefault="00152C0A" w:rsidP="009A6D7D">
      <w:pPr>
        <w:spacing w:after="0" w:line="276" w:lineRule="auto"/>
        <w:ind w:firstLine="1701"/>
        <w:jc w:val="both"/>
        <w:rPr>
          <w:rFonts w:ascii="Gadugi" w:hAnsi="Gadugi" w:cs="Times New Roman"/>
          <w:sz w:val="24"/>
          <w:szCs w:val="24"/>
        </w:rPr>
      </w:pPr>
      <w:r w:rsidRPr="009A6D7D">
        <w:rPr>
          <w:rFonts w:ascii="Gadugi" w:hAnsi="Gadugi" w:cs="Times New Roman"/>
          <w:sz w:val="24"/>
          <w:szCs w:val="24"/>
        </w:rPr>
        <w:t>2.9.</w:t>
      </w:r>
      <w:r w:rsidR="00615315" w:rsidRPr="009A6D7D">
        <w:rPr>
          <w:rFonts w:ascii="Gadugi" w:hAnsi="Gadugi" w:cs="Times New Roman"/>
          <w:sz w:val="24"/>
          <w:szCs w:val="24"/>
        </w:rPr>
        <w:t>2.</w:t>
      </w:r>
      <w:r w:rsidRPr="009A6D7D">
        <w:rPr>
          <w:rFonts w:ascii="Gadugi" w:hAnsi="Gadugi" w:cs="Times New Roman"/>
          <w:sz w:val="24"/>
          <w:szCs w:val="24"/>
        </w:rPr>
        <w:t xml:space="preserve">1. Para empezar con </w:t>
      </w:r>
      <w:r w:rsidR="00615315" w:rsidRPr="009A6D7D">
        <w:rPr>
          <w:rFonts w:ascii="Gadugi" w:hAnsi="Gadugi" w:cs="Times New Roman"/>
          <w:sz w:val="24"/>
          <w:szCs w:val="24"/>
        </w:rPr>
        <w:t>los dictámenes periciales (puntos 1, 2, 13 y 14)</w:t>
      </w:r>
      <w:r w:rsidR="003E52A8" w:rsidRPr="009A6D7D">
        <w:rPr>
          <w:rFonts w:ascii="Gadugi" w:hAnsi="Gadugi" w:cs="Times New Roman"/>
          <w:sz w:val="24"/>
          <w:szCs w:val="24"/>
        </w:rPr>
        <w:t>,</w:t>
      </w:r>
      <w:r w:rsidRPr="009A6D7D">
        <w:rPr>
          <w:rFonts w:ascii="Gadugi" w:hAnsi="Gadugi" w:cs="Times New Roman"/>
          <w:sz w:val="24"/>
          <w:szCs w:val="24"/>
        </w:rPr>
        <w:t xml:space="preserve"> el que allegó la parte demanda</w:t>
      </w:r>
      <w:r w:rsidR="00A21841" w:rsidRPr="009A6D7D">
        <w:rPr>
          <w:rFonts w:ascii="Gadugi" w:hAnsi="Gadugi" w:cs="Times New Roman"/>
          <w:sz w:val="24"/>
          <w:szCs w:val="24"/>
        </w:rPr>
        <w:t>da</w:t>
      </w:r>
      <w:r w:rsidRPr="009A6D7D">
        <w:rPr>
          <w:rFonts w:ascii="Gadugi" w:hAnsi="Gadugi" w:cs="Times New Roman"/>
          <w:sz w:val="24"/>
          <w:szCs w:val="24"/>
        </w:rPr>
        <w:t xml:space="preserve"> y del que se </w:t>
      </w:r>
      <w:r w:rsidR="00A21841" w:rsidRPr="009A6D7D">
        <w:rPr>
          <w:rFonts w:ascii="Gadugi" w:hAnsi="Gadugi" w:cs="Times New Roman"/>
          <w:sz w:val="24"/>
          <w:szCs w:val="24"/>
        </w:rPr>
        <w:t>valieron</w:t>
      </w:r>
      <w:r w:rsidRPr="009A6D7D">
        <w:rPr>
          <w:rFonts w:ascii="Gadugi" w:hAnsi="Gadugi" w:cs="Times New Roman"/>
          <w:sz w:val="24"/>
          <w:szCs w:val="24"/>
        </w:rPr>
        <w:t xml:space="preserve"> los </w:t>
      </w:r>
      <w:r w:rsidR="00A21841" w:rsidRPr="009A6D7D">
        <w:rPr>
          <w:rFonts w:ascii="Gadugi" w:hAnsi="Gadugi" w:cs="Times New Roman"/>
          <w:sz w:val="24"/>
          <w:szCs w:val="24"/>
        </w:rPr>
        <w:t xml:space="preserve">demandantes </w:t>
      </w:r>
      <w:r w:rsidR="001A1E9C" w:rsidRPr="009A6D7D">
        <w:rPr>
          <w:rFonts w:ascii="Gadugi" w:hAnsi="Gadugi" w:cs="Times New Roman"/>
          <w:sz w:val="24"/>
          <w:szCs w:val="24"/>
        </w:rPr>
        <w:t>para controvertirlo, salta</w:t>
      </w:r>
      <w:r w:rsidRPr="009A6D7D">
        <w:rPr>
          <w:rFonts w:ascii="Gadugi" w:hAnsi="Gadugi" w:cs="Times New Roman"/>
          <w:sz w:val="24"/>
          <w:szCs w:val="24"/>
        </w:rPr>
        <w:t xml:space="preserve"> a la vista </w:t>
      </w:r>
      <w:r w:rsidR="001A1E9C" w:rsidRPr="009A6D7D">
        <w:rPr>
          <w:rFonts w:ascii="Gadugi" w:hAnsi="Gadugi" w:cs="Times New Roman"/>
          <w:sz w:val="24"/>
          <w:szCs w:val="24"/>
        </w:rPr>
        <w:t xml:space="preserve">que en el primer aspecto tienen razón los impugnantes. </w:t>
      </w:r>
    </w:p>
    <w:p w14:paraId="480844EC" w14:textId="77777777" w:rsidR="003E52A8" w:rsidRPr="009A6D7D" w:rsidRDefault="003E52A8" w:rsidP="009A6D7D">
      <w:pPr>
        <w:spacing w:after="0" w:line="276" w:lineRule="auto"/>
        <w:ind w:firstLine="1701"/>
        <w:jc w:val="both"/>
        <w:rPr>
          <w:rFonts w:ascii="Gadugi" w:hAnsi="Gadugi" w:cs="Times New Roman"/>
          <w:sz w:val="24"/>
          <w:szCs w:val="24"/>
        </w:rPr>
      </w:pPr>
    </w:p>
    <w:p w14:paraId="48A92ACB" w14:textId="29AF21A8" w:rsidR="00152C0A" w:rsidRPr="009A6D7D" w:rsidRDefault="003E52A8" w:rsidP="009A6D7D">
      <w:pPr>
        <w:spacing w:after="0" w:line="276" w:lineRule="auto"/>
        <w:ind w:firstLine="1701"/>
        <w:jc w:val="both"/>
        <w:rPr>
          <w:rFonts w:ascii="Gadugi" w:hAnsi="Gadugi" w:cs="Times New Roman"/>
          <w:sz w:val="24"/>
          <w:szCs w:val="24"/>
        </w:rPr>
      </w:pPr>
      <w:r w:rsidRPr="009A6D7D">
        <w:rPr>
          <w:rFonts w:ascii="Gadugi" w:hAnsi="Gadugi" w:cs="Times New Roman"/>
          <w:sz w:val="24"/>
          <w:szCs w:val="24"/>
        </w:rPr>
        <w:t>Esto, porque</w:t>
      </w:r>
      <w:r w:rsidR="00152C0A" w:rsidRPr="009A6D7D">
        <w:rPr>
          <w:rFonts w:ascii="Gadugi" w:hAnsi="Gadugi" w:cs="Times New Roman"/>
          <w:sz w:val="24"/>
          <w:szCs w:val="24"/>
        </w:rPr>
        <w:t xml:space="preserve"> a la luz del artículo 226 del CGP, en la actualidad el dictamen de parte debe someterse a unas reglas allí enlistadas de manera precisa, entre ellas, que el mismo venga acompañado de los documentos idóneos que habiliten al perito para su ejercicio, los títulos académicos y los documentos que certifiquen la respectiva experiencia profesional, técnica o artística. </w:t>
      </w:r>
    </w:p>
    <w:p w14:paraId="1CDB88DD" w14:textId="77777777" w:rsidR="00152C0A" w:rsidRPr="009A6D7D" w:rsidRDefault="00152C0A" w:rsidP="009A6D7D">
      <w:pPr>
        <w:spacing w:after="0" w:line="276" w:lineRule="auto"/>
        <w:ind w:firstLine="1701"/>
        <w:jc w:val="both"/>
        <w:rPr>
          <w:rFonts w:ascii="Gadugi" w:hAnsi="Gadugi" w:cs="Times New Roman"/>
          <w:sz w:val="24"/>
          <w:szCs w:val="24"/>
        </w:rPr>
      </w:pPr>
    </w:p>
    <w:p w14:paraId="2D1E34F8" w14:textId="743EE82E" w:rsidR="00152C0A" w:rsidRPr="009A6D7D" w:rsidRDefault="00365947" w:rsidP="009A6D7D">
      <w:pPr>
        <w:spacing w:after="0" w:line="276" w:lineRule="auto"/>
        <w:ind w:firstLine="1701"/>
        <w:jc w:val="both"/>
        <w:rPr>
          <w:rFonts w:ascii="Gadugi" w:hAnsi="Gadugi"/>
          <w:i/>
          <w:sz w:val="24"/>
          <w:szCs w:val="24"/>
        </w:rPr>
      </w:pPr>
      <w:r w:rsidRPr="009A6D7D">
        <w:rPr>
          <w:rFonts w:ascii="Gadugi" w:hAnsi="Gadugi" w:cs="Times New Roman"/>
          <w:sz w:val="24"/>
          <w:szCs w:val="24"/>
        </w:rPr>
        <w:t>De desconocer tales</w:t>
      </w:r>
      <w:r w:rsidR="00152C0A" w:rsidRPr="009A6D7D">
        <w:rPr>
          <w:rFonts w:ascii="Gadugi" w:hAnsi="Gadugi" w:cs="Times New Roman"/>
          <w:sz w:val="24"/>
          <w:szCs w:val="24"/>
        </w:rPr>
        <w:t xml:space="preserve"> directrices, como ha sostenido esta Sala</w:t>
      </w:r>
      <w:r w:rsidR="00152C0A" w:rsidRPr="009A6D7D">
        <w:rPr>
          <w:rStyle w:val="Refdenotaalpie"/>
          <w:rFonts w:ascii="Gadugi" w:hAnsi="Gadugi" w:cs="Times New Roman"/>
          <w:sz w:val="24"/>
          <w:szCs w:val="24"/>
        </w:rPr>
        <w:footnoteReference w:id="44"/>
      </w:r>
      <w:r w:rsidR="00152C0A" w:rsidRPr="009A6D7D">
        <w:rPr>
          <w:rFonts w:ascii="Gadugi" w:hAnsi="Gadugi" w:cs="Times New Roman"/>
          <w:sz w:val="24"/>
          <w:szCs w:val="24"/>
        </w:rPr>
        <w:t>, aunque ello hubiera podido controlarse desde el momento de su aducción, superada esa etapa, al momento de valorarse ese medio probatorio, perderá toda eficacia. No está por demás recordar, sin embargo, lo dicho en la misma providencia en cita, en el sentido de que</w:t>
      </w:r>
      <w:r w:rsidR="00152C0A" w:rsidRPr="009A6D7D">
        <w:rPr>
          <w:rFonts w:ascii="Gadugi" w:hAnsi="Gadugi"/>
          <w:sz w:val="24"/>
          <w:szCs w:val="24"/>
        </w:rPr>
        <w:t xml:space="preserve"> </w:t>
      </w:r>
      <w:r w:rsidR="00152C0A" w:rsidRPr="009A6D7D">
        <w:rPr>
          <w:rFonts w:ascii="Gadugi" w:hAnsi="Gadugi"/>
          <w:i/>
          <w:sz w:val="24"/>
          <w:szCs w:val="24"/>
        </w:rPr>
        <w:t>“</w:t>
      </w:r>
      <w:r w:rsidR="00152C0A" w:rsidRPr="00D14DE3">
        <w:rPr>
          <w:rFonts w:ascii="Gadugi" w:hAnsi="Gadugi"/>
          <w:i/>
          <w:szCs w:val="24"/>
        </w:rPr>
        <w:t>en reciente decisión de este Tribunal</w:t>
      </w:r>
      <w:r w:rsidR="00152C0A" w:rsidRPr="009A6D7D">
        <w:rPr>
          <w:rStyle w:val="Refdenotaalpie"/>
          <w:rFonts w:ascii="Gadugi" w:hAnsi="Gadugi"/>
          <w:i/>
          <w:sz w:val="24"/>
          <w:szCs w:val="24"/>
        </w:rPr>
        <w:footnoteReference w:id="45"/>
      </w:r>
      <w:r w:rsidR="00152C0A" w:rsidRPr="009A6D7D">
        <w:rPr>
          <w:rFonts w:ascii="Gadugi" w:hAnsi="Gadugi"/>
          <w:i/>
          <w:sz w:val="24"/>
          <w:szCs w:val="24"/>
        </w:rPr>
        <w:t xml:space="preserve"> quedaron compendiadas las posiciones que se ciernen, al indicarse en otro asunto en el que el dictamen incumplía tales exigencias legales, que “</w:t>
      </w:r>
      <w:r w:rsidR="00152C0A" w:rsidRPr="00D14DE3">
        <w:rPr>
          <w:rFonts w:ascii="Gadugi" w:hAnsi="Gadugi"/>
          <w:i/>
          <w:szCs w:val="24"/>
        </w:rPr>
        <w:t>Esa experticia evidencia un reproche que compromete su eficacia, consistente en la falta de las exigencias del artículo 226, ib., bien se admita la tesis de la CSJ (2021)</w:t>
      </w:r>
      <w:r w:rsidR="00152C0A" w:rsidRPr="00D14DE3">
        <w:rPr>
          <w:rStyle w:val="Refdenotaalpie"/>
          <w:rFonts w:ascii="Gadugi" w:hAnsi="Gadugi"/>
          <w:i/>
          <w:szCs w:val="24"/>
        </w:rPr>
        <w:footnoteReference w:id="46"/>
      </w:r>
      <w:r w:rsidR="00152C0A" w:rsidRPr="00D14DE3">
        <w:rPr>
          <w:rFonts w:ascii="Gadugi" w:hAnsi="Gadugi"/>
          <w:i/>
          <w:szCs w:val="24"/>
        </w:rPr>
        <w:t xml:space="preserve"> en sede de tutela o la que ha sostenido esta Sala en decisiones anteriores (2018, 2019 y 2021)</w:t>
      </w:r>
      <w:r w:rsidR="00152C0A" w:rsidRPr="00D14DE3">
        <w:rPr>
          <w:rStyle w:val="Refdenotaalpie"/>
          <w:rFonts w:ascii="Gadugi" w:hAnsi="Gadugi"/>
          <w:i/>
          <w:szCs w:val="24"/>
        </w:rPr>
        <w:footnoteReference w:id="47"/>
      </w:r>
      <w:r w:rsidR="00152C0A" w:rsidRPr="00D14DE3">
        <w:rPr>
          <w:rFonts w:ascii="Gadugi" w:hAnsi="Gadugi"/>
          <w:i/>
          <w:szCs w:val="24"/>
        </w:rPr>
        <w:t>; esta última predica que, conforme al artículo 173, inciso 2º, ib., al pronunciarse sobre su admisibilidad debe el juzgador verificarlas, mientras la CSJ sostiene que es juicio restringido solo a la sentencia</w:t>
      </w:r>
      <w:r w:rsidR="00152C0A" w:rsidRPr="009A6D7D">
        <w:rPr>
          <w:rFonts w:ascii="Gadugi" w:hAnsi="Gadugi"/>
          <w:i/>
          <w:sz w:val="24"/>
          <w:szCs w:val="24"/>
        </w:rPr>
        <w:t>”</w:t>
      </w:r>
      <w:r w:rsidR="00056AB2" w:rsidRPr="009A6D7D">
        <w:rPr>
          <w:rStyle w:val="Refdenotaalpie"/>
          <w:rFonts w:ascii="Gadugi" w:hAnsi="Gadugi"/>
          <w:i/>
          <w:sz w:val="24"/>
          <w:szCs w:val="24"/>
        </w:rPr>
        <w:footnoteReference w:id="48"/>
      </w:r>
      <w:r w:rsidR="00152C0A" w:rsidRPr="009A6D7D">
        <w:rPr>
          <w:rFonts w:ascii="Gadugi" w:hAnsi="Gadugi"/>
          <w:i/>
          <w:sz w:val="24"/>
          <w:szCs w:val="24"/>
        </w:rPr>
        <w:t xml:space="preserve">. </w:t>
      </w:r>
    </w:p>
    <w:p w14:paraId="7AE2C7C9" w14:textId="77777777" w:rsidR="00152C0A" w:rsidRPr="009A6D7D" w:rsidRDefault="00152C0A" w:rsidP="009A6D7D">
      <w:pPr>
        <w:spacing w:after="0" w:line="276" w:lineRule="auto"/>
        <w:ind w:firstLine="1701"/>
        <w:jc w:val="both"/>
        <w:rPr>
          <w:rFonts w:ascii="Gadugi" w:hAnsi="Gadugi"/>
          <w:sz w:val="24"/>
          <w:szCs w:val="24"/>
        </w:rPr>
      </w:pPr>
    </w:p>
    <w:p w14:paraId="5B69A429" w14:textId="77777777" w:rsidR="001A1E9C" w:rsidRPr="009A6D7D" w:rsidRDefault="00152C0A" w:rsidP="009A6D7D">
      <w:pPr>
        <w:spacing w:after="0" w:line="276" w:lineRule="auto"/>
        <w:ind w:firstLine="1701"/>
        <w:jc w:val="both"/>
        <w:rPr>
          <w:rFonts w:ascii="Gadugi" w:hAnsi="Gadugi"/>
          <w:sz w:val="24"/>
          <w:szCs w:val="24"/>
        </w:rPr>
      </w:pPr>
      <w:r w:rsidRPr="009A6D7D">
        <w:rPr>
          <w:rFonts w:ascii="Gadugi" w:hAnsi="Gadugi"/>
          <w:sz w:val="24"/>
          <w:szCs w:val="24"/>
        </w:rPr>
        <w:t xml:space="preserve">En todo caso, como ocurrió en los eventos ya citados, cualquiera que sea la tesis que se acoja, la conclusión sería la misma, es decir, que se torna imposible apreciar la experticia, que es lo que aquí debe acontecer, habida cuenta de que, al </w:t>
      </w:r>
      <w:r w:rsidRPr="009A6D7D">
        <w:rPr>
          <w:rFonts w:ascii="Gadugi" w:hAnsi="Gadugi"/>
          <w:sz w:val="24"/>
          <w:szCs w:val="24"/>
        </w:rPr>
        <w:lastRenderedPageBreak/>
        <w:t xml:space="preserve">acudir al expediente digital, en el archivo </w:t>
      </w:r>
      <w:r w:rsidR="001B097E" w:rsidRPr="009A6D7D">
        <w:rPr>
          <w:rFonts w:ascii="Gadugi" w:hAnsi="Gadugi"/>
          <w:sz w:val="24"/>
          <w:szCs w:val="24"/>
        </w:rPr>
        <w:t>41</w:t>
      </w:r>
      <w:r w:rsidRPr="009A6D7D">
        <w:rPr>
          <w:rFonts w:ascii="Gadugi" w:hAnsi="Gadugi"/>
          <w:sz w:val="24"/>
          <w:szCs w:val="24"/>
        </w:rPr>
        <w:t xml:space="preserve"> del cuaderno principal aparece un informe técnico</w:t>
      </w:r>
      <w:r w:rsidR="001B097E" w:rsidRPr="009A6D7D">
        <w:rPr>
          <w:rFonts w:ascii="Gadugi" w:hAnsi="Gadugi"/>
          <w:sz w:val="24"/>
          <w:szCs w:val="24"/>
        </w:rPr>
        <w:t xml:space="preserve"> de investigación y reconstrucción de accidente de tránsito </w:t>
      </w:r>
      <w:r w:rsidRPr="009A6D7D">
        <w:rPr>
          <w:rFonts w:ascii="Gadugi" w:hAnsi="Gadugi"/>
          <w:sz w:val="24"/>
          <w:szCs w:val="24"/>
        </w:rPr>
        <w:t xml:space="preserve">emitido por </w:t>
      </w:r>
      <w:r w:rsidR="00F7789A" w:rsidRPr="009A6D7D">
        <w:rPr>
          <w:rFonts w:ascii="Gadugi" w:hAnsi="Gadugi"/>
          <w:sz w:val="24"/>
          <w:szCs w:val="24"/>
        </w:rPr>
        <w:t xml:space="preserve">José Alexánder Caicedo Alomia, </w:t>
      </w:r>
      <w:r w:rsidRPr="009A6D7D">
        <w:rPr>
          <w:rFonts w:ascii="Gadugi" w:hAnsi="Gadugi"/>
          <w:sz w:val="24"/>
          <w:szCs w:val="24"/>
        </w:rPr>
        <w:t>que carece del citado respaldo, en cuanto ningún documento idóneo se trajo que habilite a</w:t>
      </w:r>
      <w:r w:rsidR="00F7789A" w:rsidRPr="009A6D7D">
        <w:rPr>
          <w:rFonts w:ascii="Gadugi" w:hAnsi="Gadugi"/>
          <w:sz w:val="24"/>
          <w:szCs w:val="24"/>
        </w:rPr>
        <w:t>l</w:t>
      </w:r>
      <w:r w:rsidRPr="009A6D7D">
        <w:rPr>
          <w:rFonts w:ascii="Gadugi" w:hAnsi="Gadugi"/>
          <w:sz w:val="24"/>
          <w:szCs w:val="24"/>
        </w:rPr>
        <w:t xml:space="preserve"> perito para su trabajo, ni copias de sus títulos académicos o de documentos que sirvan para certificar su experiencia como </w:t>
      </w:r>
      <w:r w:rsidR="00F7789A" w:rsidRPr="009A6D7D">
        <w:rPr>
          <w:rFonts w:ascii="Gadugi" w:hAnsi="Gadugi"/>
          <w:sz w:val="24"/>
          <w:szCs w:val="24"/>
        </w:rPr>
        <w:t xml:space="preserve">tecnólogo en investigación de accidentes de tránsito. </w:t>
      </w:r>
    </w:p>
    <w:p w14:paraId="667ABD6B" w14:textId="77777777" w:rsidR="001A1E9C" w:rsidRPr="009A6D7D" w:rsidRDefault="001A1E9C" w:rsidP="009A6D7D">
      <w:pPr>
        <w:spacing w:after="0" w:line="276" w:lineRule="auto"/>
        <w:ind w:firstLine="1701"/>
        <w:jc w:val="both"/>
        <w:rPr>
          <w:rFonts w:ascii="Gadugi" w:hAnsi="Gadugi"/>
          <w:sz w:val="24"/>
          <w:szCs w:val="24"/>
        </w:rPr>
      </w:pPr>
    </w:p>
    <w:p w14:paraId="00474C1E" w14:textId="4348CE7E" w:rsidR="00F7789A" w:rsidRPr="009A6D7D" w:rsidRDefault="00152C0A" w:rsidP="009A6D7D">
      <w:pPr>
        <w:spacing w:after="0" w:line="276" w:lineRule="auto"/>
        <w:ind w:firstLine="1701"/>
        <w:jc w:val="both"/>
        <w:rPr>
          <w:rFonts w:ascii="Gadugi" w:hAnsi="Gadugi"/>
          <w:sz w:val="24"/>
          <w:szCs w:val="24"/>
        </w:rPr>
      </w:pPr>
      <w:r w:rsidRPr="009A6D7D">
        <w:rPr>
          <w:rFonts w:ascii="Gadugi" w:hAnsi="Gadugi"/>
          <w:sz w:val="24"/>
          <w:szCs w:val="24"/>
        </w:rPr>
        <w:t>En consecuencia, n</w:t>
      </w:r>
      <w:r w:rsidR="00F7789A" w:rsidRPr="009A6D7D">
        <w:rPr>
          <w:rFonts w:ascii="Gadugi" w:hAnsi="Gadugi"/>
          <w:sz w:val="24"/>
          <w:szCs w:val="24"/>
        </w:rPr>
        <w:t>ingún valor podía dársele.</w:t>
      </w:r>
      <w:r w:rsidR="00CF4736" w:rsidRPr="009A6D7D">
        <w:rPr>
          <w:rFonts w:ascii="Gadugi" w:hAnsi="Gadugi"/>
          <w:sz w:val="24"/>
          <w:szCs w:val="24"/>
        </w:rPr>
        <w:t xml:space="preserve"> De ahí lo acertado de las críticas 1 y 2. </w:t>
      </w:r>
      <w:r w:rsidR="00F7789A" w:rsidRPr="009A6D7D">
        <w:rPr>
          <w:rFonts w:ascii="Gadugi" w:hAnsi="Gadugi"/>
          <w:sz w:val="24"/>
          <w:szCs w:val="24"/>
        </w:rPr>
        <w:t xml:space="preserve"> </w:t>
      </w:r>
    </w:p>
    <w:p w14:paraId="0DB1C0FB" w14:textId="77777777" w:rsidR="00F7789A" w:rsidRPr="009A6D7D" w:rsidRDefault="00F7789A" w:rsidP="009A6D7D">
      <w:pPr>
        <w:spacing w:after="0" w:line="276" w:lineRule="auto"/>
        <w:ind w:firstLine="1701"/>
        <w:jc w:val="both"/>
        <w:rPr>
          <w:rFonts w:ascii="Gadugi" w:hAnsi="Gadugi"/>
          <w:sz w:val="24"/>
          <w:szCs w:val="24"/>
        </w:rPr>
      </w:pPr>
    </w:p>
    <w:p w14:paraId="6331C4D0" w14:textId="6B37D554" w:rsidR="001C7454" w:rsidRPr="009A6D7D" w:rsidRDefault="00B40D71" w:rsidP="009A6D7D">
      <w:pPr>
        <w:spacing w:after="0" w:line="276" w:lineRule="auto"/>
        <w:ind w:firstLine="1701"/>
        <w:jc w:val="both"/>
        <w:rPr>
          <w:rFonts w:ascii="Gadugi" w:hAnsi="Gadugi"/>
          <w:sz w:val="24"/>
          <w:szCs w:val="24"/>
        </w:rPr>
      </w:pPr>
      <w:r w:rsidRPr="009A6D7D">
        <w:rPr>
          <w:rFonts w:ascii="Gadugi" w:hAnsi="Gadugi"/>
          <w:sz w:val="24"/>
          <w:szCs w:val="24"/>
        </w:rPr>
        <w:t xml:space="preserve">Ahora bien, </w:t>
      </w:r>
      <w:r w:rsidR="009837FB" w:rsidRPr="009A6D7D">
        <w:rPr>
          <w:rFonts w:ascii="Gadugi" w:hAnsi="Gadugi"/>
          <w:sz w:val="24"/>
          <w:szCs w:val="24"/>
        </w:rPr>
        <w:t xml:space="preserve">esa </w:t>
      </w:r>
      <w:r w:rsidRPr="009A6D7D">
        <w:rPr>
          <w:rFonts w:ascii="Gadugi" w:hAnsi="Gadugi"/>
          <w:sz w:val="24"/>
          <w:szCs w:val="24"/>
        </w:rPr>
        <w:t xml:space="preserve">la parte demandante, al contestar </w:t>
      </w:r>
      <w:r w:rsidR="001C7454" w:rsidRPr="009A6D7D">
        <w:rPr>
          <w:rFonts w:ascii="Gadugi" w:hAnsi="Gadugi"/>
          <w:sz w:val="24"/>
          <w:szCs w:val="24"/>
        </w:rPr>
        <w:t xml:space="preserve">las excepciones propuestas por Octavio Marín Hincapié, solicitó que se incluyera como prueba un dictamen que tenía como propósito </w:t>
      </w:r>
      <w:r w:rsidR="001C7454" w:rsidRPr="009A6D7D">
        <w:rPr>
          <w:rFonts w:ascii="Gadugi" w:hAnsi="Gadugi"/>
          <w:i/>
          <w:sz w:val="24"/>
          <w:szCs w:val="24"/>
        </w:rPr>
        <w:t>“</w:t>
      </w:r>
      <w:r w:rsidR="001C7454" w:rsidRPr="00D14DE3">
        <w:rPr>
          <w:rFonts w:ascii="Gadugi" w:hAnsi="Gadugi"/>
          <w:i/>
          <w:szCs w:val="24"/>
        </w:rPr>
        <w:t>controvertir las conclusiones y afirmaciones a las que llega la parte demandada con el dictamen aportado</w:t>
      </w:r>
      <w:r w:rsidR="001C7454" w:rsidRPr="009A6D7D">
        <w:rPr>
          <w:rFonts w:ascii="Gadugi" w:hAnsi="Gadugi"/>
          <w:i/>
          <w:sz w:val="24"/>
          <w:szCs w:val="24"/>
        </w:rPr>
        <w:t>”</w:t>
      </w:r>
      <w:r w:rsidR="001C7454" w:rsidRPr="009A6D7D">
        <w:rPr>
          <w:rStyle w:val="Refdenotaalpie"/>
          <w:rFonts w:ascii="Gadugi" w:hAnsi="Gadugi"/>
          <w:i/>
          <w:sz w:val="24"/>
          <w:szCs w:val="24"/>
        </w:rPr>
        <w:footnoteReference w:id="49"/>
      </w:r>
      <w:r w:rsidR="001C7454" w:rsidRPr="009A6D7D">
        <w:rPr>
          <w:rFonts w:ascii="Gadugi" w:hAnsi="Gadugi"/>
          <w:i/>
          <w:sz w:val="24"/>
          <w:szCs w:val="24"/>
        </w:rPr>
        <w:t xml:space="preserve">. </w:t>
      </w:r>
    </w:p>
    <w:p w14:paraId="621A0DFF" w14:textId="77777777" w:rsidR="001C7454" w:rsidRPr="009A6D7D" w:rsidRDefault="001C7454" w:rsidP="009A6D7D">
      <w:pPr>
        <w:spacing w:after="0" w:line="276" w:lineRule="auto"/>
        <w:ind w:firstLine="1701"/>
        <w:jc w:val="both"/>
        <w:rPr>
          <w:rFonts w:ascii="Gadugi" w:hAnsi="Gadugi"/>
          <w:sz w:val="24"/>
          <w:szCs w:val="24"/>
        </w:rPr>
      </w:pPr>
    </w:p>
    <w:p w14:paraId="4B353422" w14:textId="5535B75A" w:rsidR="00A13B62" w:rsidRPr="009A6D7D" w:rsidRDefault="00AE05DA" w:rsidP="009A6D7D">
      <w:pPr>
        <w:spacing w:after="0" w:line="276" w:lineRule="auto"/>
        <w:ind w:firstLine="1701"/>
        <w:jc w:val="both"/>
        <w:rPr>
          <w:rFonts w:ascii="Gadugi" w:hAnsi="Gadugi"/>
          <w:sz w:val="24"/>
          <w:szCs w:val="24"/>
        </w:rPr>
      </w:pPr>
      <w:r w:rsidRPr="009A6D7D">
        <w:rPr>
          <w:rFonts w:ascii="Gadugi" w:hAnsi="Gadugi"/>
          <w:sz w:val="24"/>
          <w:szCs w:val="24"/>
        </w:rPr>
        <w:t>Precisamente, el perito se</w:t>
      </w:r>
      <w:r w:rsidR="00ED3828" w:rsidRPr="009A6D7D">
        <w:rPr>
          <w:rFonts w:ascii="Gadugi" w:hAnsi="Gadugi"/>
          <w:sz w:val="24"/>
          <w:szCs w:val="24"/>
        </w:rPr>
        <w:t xml:space="preserve">ñaló que el objetivo del trabajo era estudiar y verificar lo planteado en el informe técnico de investigación y reconstrucción virtual de accidente de tránsito realizado por José Alexánder Caicedo Alomia. Y, en efecto, </w:t>
      </w:r>
      <w:r w:rsidR="00B46ACF" w:rsidRPr="009A6D7D">
        <w:rPr>
          <w:rFonts w:ascii="Gadugi" w:hAnsi="Gadugi"/>
          <w:sz w:val="24"/>
          <w:szCs w:val="24"/>
        </w:rPr>
        <w:t>confrontó cada aspecto de es</w:t>
      </w:r>
      <w:r w:rsidR="00A13B62" w:rsidRPr="009A6D7D">
        <w:rPr>
          <w:rFonts w:ascii="Gadugi" w:hAnsi="Gadugi"/>
          <w:sz w:val="24"/>
          <w:szCs w:val="24"/>
        </w:rPr>
        <w:t xml:space="preserve">e informe con su propio criterio, para concluir que no es viable establecer, en ese caso, la velocidad del camión, el punto de impacto, ni el estado óptimo de los rodantes implicados. </w:t>
      </w:r>
      <w:r w:rsidR="00CC6CBB" w:rsidRPr="009A6D7D">
        <w:rPr>
          <w:rFonts w:ascii="Gadugi" w:hAnsi="Gadugi"/>
          <w:sz w:val="24"/>
          <w:szCs w:val="24"/>
        </w:rPr>
        <w:t>Eso reiteró durante la audiencia en la que se le interrogó</w:t>
      </w:r>
      <w:r w:rsidR="0097141A" w:rsidRPr="009A6D7D">
        <w:rPr>
          <w:rStyle w:val="Refdenotaalpie"/>
          <w:rFonts w:ascii="Gadugi" w:hAnsi="Gadugi"/>
          <w:sz w:val="24"/>
          <w:szCs w:val="24"/>
        </w:rPr>
        <w:footnoteReference w:id="50"/>
      </w:r>
      <w:r w:rsidR="00CC6CBB" w:rsidRPr="009A6D7D">
        <w:rPr>
          <w:rFonts w:ascii="Gadugi" w:hAnsi="Gadugi"/>
          <w:sz w:val="24"/>
          <w:szCs w:val="24"/>
        </w:rPr>
        <w:t xml:space="preserve">. </w:t>
      </w:r>
    </w:p>
    <w:p w14:paraId="58D3EBDA" w14:textId="550BF079" w:rsidR="001A1E9C" w:rsidRPr="009A6D7D" w:rsidRDefault="001A1E9C" w:rsidP="009A6D7D">
      <w:pPr>
        <w:spacing w:after="0" w:line="276" w:lineRule="auto"/>
        <w:ind w:firstLine="1701"/>
        <w:jc w:val="both"/>
        <w:rPr>
          <w:rFonts w:ascii="Gadugi" w:hAnsi="Gadugi"/>
          <w:sz w:val="24"/>
          <w:szCs w:val="24"/>
        </w:rPr>
      </w:pPr>
    </w:p>
    <w:p w14:paraId="1376E45B" w14:textId="1D14A90C" w:rsidR="00FE73FE" w:rsidRPr="009A6D7D" w:rsidRDefault="00FE73FE" w:rsidP="009A6D7D">
      <w:pPr>
        <w:spacing w:after="0" w:line="276" w:lineRule="auto"/>
        <w:ind w:firstLine="1701"/>
        <w:jc w:val="both"/>
        <w:rPr>
          <w:rFonts w:ascii="Gadugi" w:hAnsi="Gadugi"/>
          <w:sz w:val="24"/>
          <w:szCs w:val="24"/>
        </w:rPr>
      </w:pPr>
      <w:r w:rsidRPr="009A6D7D">
        <w:rPr>
          <w:rFonts w:ascii="Gadugi" w:hAnsi="Gadugi"/>
          <w:sz w:val="24"/>
          <w:szCs w:val="24"/>
        </w:rPr>
        <w:t>Este trabajo sí se amoldó a todas las exigencias del artículo 226, y aunque su propósito, se reitera, fue derruir las conclusiones del otro dictamen, del mismo salen a relucir algunas situaciones que poco favorecen los intereses de</w:t>
      </w:r>
      <w:r w:rsidR="00150C80" w:rsidRPr="009A6D7D">
        <w:rPr>
          <w:rFonts w:ascii="Gadugi" w:hAnsi="Gadugi"/>
          <w:sz w:val="24"/>
          <w:szCs w:val="24"/>
        </w:rPr>
        <w:t xml:space="preserve"> </w:t>
      </w:r>
      <w:r w:rsidRPr="009A6D7D">
        <w:rPr>
          <w:rFonts w:ascii="Gadugi" w:hAnsi="Gadugi"/>
          <w:sz w:val="24"/>
          <w:szCs w:val="24"/>
        </w:rPr>
        <w:t xml:space="preserve">los recurrentes. </w:t>
      </w:r>
    </w:p>
    <w:p w14:paraId="0800F17D" w14:textId="77777777" w:rsidR="00FE73FE" w:rsidRPr="009A6D7D" w:rsidRDefault="00FE73FE" w:rsidP="009A6D7D">
      <w:pPr>
        <w:spacing w:after="0" w:line="276" w:lineRule="auto"/>
        <w:ind w:firstLine="1701"/>
        <w:jc w:val="both"/>
        <w:rPr>
          <w:rFonts w:ascii="Gadugi" w:hAnsi="Gadugi"/>
          <w:sz w:val="24"/>
          <w:szCs w:val="24"/>
        </w:rPr>
      </w:pPr>
    </w:p>
    <w:p w14:paraId="315E4F6E" w14:textId="44FFCD5C" w:rsidR="001A1E9C" w:rsidRPr="009A6D7D" w:rsidRDefault="00FE73FE" w:rsidP="009A6D7D">
      <w:pPr>
        <w:spacing w:after="0" w:line="276" w:lineRule="auto"/>
        <w:ind w:firstLine="1701"/>
        <w:jc w:val="both"/>
        <w:rPr>
          <w:rFonts w:ascii="Gadugi" w:hAnsi="Gadugi"/>
          <w:i/>
          <w:sz w:val="24"/>
          <w:szCs w:val="24"/>
        </w:rPr>
      </w:pPr>
      <w:r w:rsidRPr="009A6D7D">
        <w:rPr>
          <w:rFonts w:ascii="Gadugi" w:hAnsi="Gadugi"/>
          <w:sz w:val="24"/>
          <w:szCs w:val="24"/>
        </w:rPr>
        <w:t xml:space="preserve">En primer lugar, aunque sostenga el perito que no se pudo establecer con exactitud el punto de impacto, </w:t>
      </w:r>
      <w:r w:rsidR="00150C80" w:rsidRPr="009A6D7D">
        <w:rPr>
          <w:rFonts w:ascii="Gadugi" w:hAnsi="Gadugi"/>
          <w:sz w:val="24"/>
          <w:szCs w:val="24"/>
        </w:rPr>
        <w:t>o la velocidad de los implicados,</w:t>
      </w:r>
      <w:r w:rsidR="001A1E9C" w:rsidRPr="009A6D7D">
        <w:rPr>
          <w:rFonts w:ascii="Gadugi" w:hAnsi="Gadugi"/>
          <w:sz w:val="24"/>
          <w:szCs w:val="24"/>
        </w:rPr>
        <w:t xml:space="preserve"> que es la conclusión a la que finalmente llegó el juzgado </w:t>
      </w:r>
      <w:r w:rsidR="00CF4736" w:rsidRPr="009A6D7D">
        <w:rPr>
          <w:rFonts w:ascii="Gadugi" w:hAnsi="Gadugi"/>
          <w:sz w:val="24"/>
          <w:szCs w:val="24"/>
        </w:rPr>
        <w:t>-</w:t>
      </w:r>
      <w:r w:rsidR="001A1E9C" w:rsidRPr="009A6D7D">
        <w:rPr>
          <w:rFonts w:ascii="Gadugi" w:hAnsi="Gadugi"/>
          <w:sz w:val="24"/>
          <w:szCs w:val="24"/>
        </w:rPr>
        <w:t>con lo que la crítica del numeral 14 se cae por su propio peso</w:t>
      </w:r>
      <w:r w:rsidR="00CF4736" w:rsidRPr="009A6D7D">
        <w:rPr>
          <w:rFonts w:ascii="Gadugi" w:hAnsi="Gadugi"/>
          <w:sz w:val="24"/>
          <w:szCs w:val="24"/>
        </w:rPr>
        <w:t>-</w:t>
      </w:r>
      <w:r w:rsidR="001A1E9C" w:rsidRPr="009A6D7D">
        <w:rPr>
          <w:rFonts w:ascii="Gadugi" w:hAnsi="Gadugi"/>
          <w:sz w:val="24"/>
          <w:szCs w:val="24"/>
        </w:rPr>
        <w:t xml:space="preserve">, </w:t>
      </w:r>
      <w:r w:rsidR="00150C80" w:rsidRPr="009A6D7D">
        <w:rPr>
          <w:rFonts w:ascii="Gadugi" w:hAnsi="Gadugi"/>
          <w:sz w:val="24"/>
          <w:szCs w:val="24"/>
        </w:rPr>
        <w:t xml:space="preserve">en la página 27 del dictamen, se señaló que </w:t>
      </w:r>
      <w:r w:rsidR="00150C80" w:rsidRPr="009A6D7D">
        <w:rPr>
          <w:rFonts w:ascii="Gadugi" w:hAnsi="Gadugi"/>
          <w:i/>
          <w:sz w:val="24"/>
          <w:szCs w:val="24"/>
        </w:rPr>
        <w:t>“</w:t>
      </w:r>
      <w:r w:rsidR="00150C80" w:rsidRPr="00D14DE3">
        <w:rPr>
          <w:rFonts w:ascii="Gadugi" w:hAnsi="Gadugi"/>
          <w:i/>
          <w:szCs w:val="24"/>
        </w:rPr>
        <w:t>para el caso en estudio, el movimiento de la bicicleta posterior a su colisión se dio de la siguiente manera</w:t>
      </w:r>
      <w:r w:rsidR="00324B9C" w:rsidRPr="00D14DE3">
        <w:rPr>
          <w:rFonts w:ascii="Gadugi" w:hAnsi="Gadugi"/>
          <w:i/>
          <w:szCs w:val="24"/>
        </w:rPr>
        <w:t>, teniendo en cuenta que el impacto se produjo sobre su costado derecho en la llanta trasera, lo que corresponde a lo analizado cuando se impacta por detrás del centro de la masa</w:t>
      </w:r>
      <w:r w:rsidR="00324B9C" w:rsidRPr="009A6D7D">
        <w:rPr>
          <w:rFonts w:ascii="Gadugi" w:hAnsi="Gadugi"/>
          <w:i/>
          <w:sz w:val="24"/>
          <w:szCs w:val="24"/>
        </w:rPr>
        <w:t xml:space="preserve">”. </w:t>
      </w:r>
    </w:p>
    <w:p w14:paraId="1FB4617B" w14:textId="77777777" w:rsidR="001A1E9C" w:rsidRPr="009A6D7D" w:rsidRDefault="001A1E9C" w:rsidP="009A6D7D">
      <w:pPr>
        <w:spacing w:after="0" w:line="276" w:lineRule="auto"/>
        <w:ind w:firstLine="1701"/>
        <w:jc w:val="both"/>
        <w:rPr>
          <w:rFonts w:ascii="Gadugi" w:hAnsi="Gadugi"/>
          <w:sz w:val="24"/>
          <w:szCs w:val="24"/>
        </w:rPr>
      </w:pPr>
    </w:p>
    <w:p w14:paraId="4BC160ED" w14:textId="6D5F02C5" w:rsidR="00BE6A82" w:rsidRPr="009A6D7D" w:rsidRDefault="00324B9C" w:rsidP="009A6D7D">
      <w:pPr>
        <w:spacing w:after="0" w:line="276" w:lineRule="auto"/>
        <w:ind w:firstLine="1701"/>
        <w:jc w:val="both"/>
        <w:rPr>
          <w:rFonts w:ascii="Gadugi" w:hAnsi="Gadugi"/>
          <w:sz w:val="24"/>
          <w:szCs w:val="24"/>
        </w:rPr>
      </w:pPr>
      <w:r w:rsidRPr="009A6D7D">
        <w:rPr>
          <w:rFonts w:ascii="Gadugi" w:hAnsi="Gadugi"/>
          <w:sz w:val="24"/>
          <w:szCs w:val="24"/>
        </w:rPr>
        <w:t xml:space="preserve">Es decir, que para el </w:t>
      </w:r>
      <w:r w:rsidR="001A1E9C" w:rsidRPr="009A6D7D">
        <w:rPr>
          <w:rFonts w:ascii="Gadugi" w:hAnsi="Gadugi"/>
          <w:sz w:val="24"/>
          <w:szCs w:val="24"/>
        </w:rPr>
        <w:t>técnico</w:t>
      </w:r>
      <w:r w:rsidRPr="009A6D7D">
        <w:rPr>
          <w:rFonts w:ascii="Gadugi" w:hAnsi="Gadugi"/>
          <w:sz w:val="24"/>
          <w:szCs w:val="24"/>
        </w:rPr>
        <w:t xml:space="preserve"> estuvo claro que la bicicleta se movía en la dirección que muestra el informe de tránsito, lo que implica, sin discusión alguna, </w:t>
      </w:r>
      <w:r w:rsidRPr="009A6D7D">
        <w:rPr>
          <w:rFonts w:ascii="Gadugi" w:hAnsi="Gadugi"/>
          <w:sz w:val="24"/>
          <w:szCs w:val="24"/>
        </w:rPr>
        <w:lastRenderedPageBreak/>
        <w:t>que el desplazamiento venía dándose en contravía, pues s</w:t>
      </w:r>
      <w:r w:rsidR="00BE6A82" w:rsidRPr="009A6D7D">
        <w:rPr>
          <w:rFonts w:ascii="Gadugi" w:hAnsi="Gadugi"/>
          <w:sz w:val="24"/>
          <w:szCs w:val="24"/>
        </w:rPr>
        <w:t>alía de</w:t>
      </w:r>
      <w:r w:rsidRPr="009A6D7D">
        <w:rPr>
          <w:rFonts w:ascii="Gadugi" w:hAnsi="Gadugi"/>
          <w:sz w:val="24"/>
          <w:szCs w:val="24"/>
        </w:rPr>
        <w:t xml:space="preserve"> la calle </w:t>
      </w:r>
      <w:r w:rsidR="0049615E" w:rsidRPr="009A6D7D">
        <w:rPr>
          <w:rFonts w:ascii="Gadugi" w:hAnsi="Gadugi"/>
          <w:sz w:val="24"/>
          <w:szCs w:val="24"/>
        </w:rPr>
        <w:t>60</w:t>
      </w:r>
      <w:r w:rsidRPr="009A6D7D">
        <w:rPr>
          <w:rFonts w:ascii="Gadugi" w:hAnsi="Gadugi"/>
          <w:sz w:val="24"/>
          <w:szCs w:val="24"/>
        </w:rPr>
        <w:t xml:space="preserve"> que </w:t>
      </w:r>
      <w:r w:rsidR="008A7752" w:rsidRPr="009A6D7D">
        <w:rPr>
          <w:rFonts w:ascii="Gadugi" w:hAnsi="Gadugi"/>
          <w:sz w:val="24"/>
          <w:szCs w:val="24"/>
        </w:rPr>
        <w:t xml:space="preserve">va en </w:t>
      </w:r>
      <w:r w:rsidRPr="009A6D7D">
        <w:rPr>
          <w:rFonts w:ascii="Gadugi" w:hAnsi="Gadugi"/>
          <w:sz w:val="24"/>
          <w:szCs w:val="24"/>
        </w:rPr>
        <w:t xml:space="preserve">sentido contrario. </w:t>
      </w:r>
    </w:p>
    <w:p w14:paraId="066D8713" w14:textId="77777777" w:rsidR="00BE6A82" w:rsidRPr="009A6D7D" w:rsidRDefault="00BE6A82" w:rsidP="009A6D7D">
      <w:pPr>
        <w:spacing w:after="0" w:line="276" w:lineRule="auto"/>
        <w:ind w:firstLine="1701"/>
        <w:jc w:val="both"/>
        <w:rPr>
          <w:rFonts w:ascii="Gadugi" w:hAnsi="Gadugi"/>
          <w:sz w:val="24"/>
          <w:szCs w:val="24"/>
        </w:rPr>
      </w:pPr>
    </w:p>
    <w:p w14:paraId="489097DA" w14:textId="0607E0A9" w:rsidR="00FE73FE" w:rsidRPr="009A6D7D" w:rsidRDefault="006C44AD" w:rsidP="009A6D7D">
      <w:pPr>
        <w:spacing w:after="0" w:line="276" w:lineRule="auto"/>
        <w:ind w:firstLine="1701"/>
        <w:jc w:val="both"/>
        <w:rPr>
          <w:rFonts w:ascii="Gadugi" w:hAnsi="Gadugi"/>
          <w:sz w:val="24"/>
          <w:szCs w:val="24"/>
        </w:rPr>
      </w:pPr>
      <w:r w:rsidRPr="009A6D7D">
        <w:rPr>
          <w:rFonts w:ascii="Gadugi" w:hAnsi="Gadugi"/>
          <w:sz w:val="24"/>
          <w:szCs w:val="24"/>
        </w:rPr>
        <w:t xml:space="preserve">En segundo término, </w:t>
      </w:r>
      <w:r w:rsidR="0047194C" w:rsidRPr="009A6D7D">
        <w:rPr>
          <w:rFonts w:ascii="Gadugi" w:hAnsi="Gadugi"/>
          <w:sz w:val="24"/>
          <w:szCs w:val="24"/>
        </w:rPr>
        <w:t>aun si se dijera que no existe una prueba clara de ese desplazamiento desde la calle 6</w:t>
      </w:r>
      <w:r w:rsidR="00BF007C" w:rsidRPr="009A6D7D">
        <w:rPr>
          <w:rFonts w:ascii="Gadugi" w:hAnsi="Gadugi"/>
          <w:sz w:val="24"/>
          <w:szCs w:val="24"/>
        </w:rPr>
        <w:t>0</w:t>
      </w:r>
      <w:r w:rsidR="0047194C" w:rsidRPr="009A6D7D">
        <w:rPr>
          <w:rFonts w:ascii="Gadugi" w:hAnsi="Gadugi"/>
          <w:sz w:val="24"/>
          <w:szCs w:val="24"/>
        </w:rPr>
        <w:t xml:space="preserve">, es lo cierto que </w:t>
      </w:r>
      <w:r w:rsidR="00BE6A82" w:rsidRPr="009A6D7D">
        <w:rPr>
          <w:rFonts w:ascii="Gadugi" w:hAnsi="Gadugi"/>
          <w:sz w:val="24"/>
          <w:szCs w:val="24"/>
        </w:rPr>
        <w:t xml:space="preserve">la otra hipótesis que podría proponerse, es que se </w:t>
      </w:r>
      <w:r w:rsidR="00BF007C" w:rsidRPr="009A6D7D">
        <w:rPr>
          <w:rFonts w:ascii="Gadugi" w:hAnsi="Gadugi"/>
          <w:sz w:val="24"/>
          <w:szCs w:val="24"/>
        </w:rPr>
        <w:t>dirigía</w:t>
      </w:r>
      <w:r w:rsidR="00BE6A82" w:rsidRPr="009A6D7D">
        <w:rPr>
          <w:rFonts w:ascii="Gadugi" w:hAnsi="Gadugi"/>
          <w:sz w:val="24"/>
          <w:szCs w:val="24"/>
        </w:rPr>
        <w:t xml:space="preserve"> en sentido Santa Rosa-Dosquebradas y </w:t>
      </w:r>
      <w:r w:rsidR="00BF007C" w:rsidRPr="009A6D7D">
        <w:rPr>
          <w:rFonts w:ascii="Gadugi" w:hAnsi="Gadugi"/>
          <w:sz w:val="24"/>
          <w:szCs w:val="24"/>
        </w:rPr>
        <w:t xml:space="preserve">al llegar a esa intersección </w:t>
      </w:r>
      <w:r w:rsidR="00BE6A82" w:rsidRPr="009A6D7D">
        <w:rPr>
          <w:rFonts w:ascii="Gadugi" w:hAnsi="Gadugi"/>
          <w:sz w:val="24"/>
          <w:szCs w:val="24"/>
        </w:rPr>
        <w:t>dio la vuelta sobre la avenida</w:t>
      </w:r>
      <w:r w:rsidR="00BF007C" w:rsidRPr="009A6D7D">
        <w:rPr>
          <w:rFonts w:ascii="Gadugi" w:hAnsi="Gadugi"/>
          <w:sz w:val="24"/>
          <w:szCs w:val="24"/>
        </w:rPr>
        <w:t>, a posicionarse sobre la carrera 16,</w:t>
      </w:r>
      <w:r w:rsidR="0047194C" w:rsidRPr="009A6D7D">
        <w:rPr>
          <w:rFonts w:ascii="Gadugi" w:hAnsi="Gadugi"/>
          <w:sz w:val="24"/>
          <w:szCs w:val="24"/>
        </w:rPr>
        <w:t xml:space="preserve"> </w:t>
      </w:r>
      <w:r w:rsidR="00BF007C" w:rsidRPr="009A6D7D">
        <w:rPr>
          <w:rFonts w:ascii="Gadugi" w:hAnsi="Gadugi"/>
          <w:sz w:val="24"/>
          <w:szCs w:val="24"/>
        </w:rPr>
        <w:t xml:space="preserve">esto es, a la calzada </w:t>
      </w:r>
      <w:r w:rsidR="0047194C" w:rsidRPr="009A6D7D">
        <w:rPr>
          <w:rFonts w:ascii="Gadugi" w:hAnsi="Gadugi"/>
          <w:sz w:val="24"/>
          <w:szCs w:val="24"/>
        </w:rPr>
        <w:t xml:space="preserve">contraria, de Santa Rosa de Cabal a Dosquebradas, </w:t>
      </w:r>
      <w:r w:rsidR="00AB5DD9" w:rsidRPr="009A6D7D">
        <w:rPr>
          <w:rFonts w:ascii="Gadugi" w:hAnsi="Gadugi"/>
          <w:sz w:val="24"/>
          <w:szCs w:val="24"/>
        </w:rPr>
        <w:t xml:space="preserve">con el fin de atravesarla, </w:t>
      </w:r>
      <w:r w:rsidR="0047194C" w:rsidRPr="009A6D7D">
        <w:rPr>
          <w:rFonts w:ascii="Gadugi" w:hAnsi="Gadugi"/>
          <w:sz w:val="24"/>
          <w:szCs w:val="24"/>
        </w:rPr>
        <w:t>giro</w:t>
      </w:r>
      <w:r w:rsidR="00BF007C" w:rsidRPr="009A6D7D">
        <w:rPr>
          <w:rFonts w:ascii="Gadugi" w:hAnsi="Gadugi"/>
          <w:sz w:val="24"/>
          <w:szCs w:val="24"/>
        </w:rPr>
        <w:t xml:space="preserve"> que,</w:t>
      </w:r>
      <w:r w:rsidR="0047194C" w:rsidRPr="009A6D7D">
        <w:rPr>
          <w:rFonts w:ascii="Gadugi" w:hAnsi="Gadugi"/>
          <w:sz w:val="24"/>
          <w:szCs w:val="24"/>
        </w:rPr>
        <w:t xml:space="preserve"> por supuesto</w:t>
      </w:r>
      <w:r w:rsidR="00BF007C" w:rsidRPr="009A6D7D">
        <w:rPr>
          <w:rFonts w:ascii="Gadugi" w:hAnsi="Gadugi"/>
          <w:sz w:val="24"/>
          <w:szCs w:val="24"/>
        </w:rPr>
        <w:t>,</w:t>
      </w:r>
      <w:r w:rsidR="0047194C" w:rsidRPr="009A6D7D">
        <w:rPr>
          <w:rFonts w:ascii="Gadugi" w:hAnsi="Gadugi"/>
          <w:sz w:val="24"/>
          <w:szCs w:val="24"/>
        </w:rPr>
        <w:t xml:space="preserve"> no </w:t>
      </w:r>
      <w:r w:rsidR="00BF007C" w:rsidRPr="009A6D7D">
        <w:rPr>
          <w:rFonts w:ascii="Gadugi" w:hAnsi="Gadugi"/>
          <w:sz w:val="24"/>
          <w:szCs w:val="24"/>
        </w:rPr>
        <w:t>esta</w:t>
      </w:r>
      <w:r w:rsidR="007C6274" w:rsidRPr="009A6D7D">
        <w:rPr>
          <w:rFonts w:ascii="Gadugi" w:hAnsi="Gadugi"/>
          <w:sz w:val="24"/>
          <w:szCs w:val="24"/>
        </w:rPr>
        <w:t>ría</w:t>
      </w:r>
      <w:r w:rsidR="00BF007C" w:rsidRPr="009A6D7D">
        <w:rPr>
          <w:rFonts w:ascii="Gadugi" w:hAnsi="Gadugi"/>
          <w:sz w:val="24"/>
          <w:szCs w:val="24"/>
        </w:rPr>
        <w:t xml:space="preserve"> permitido</w:t>
      </w:r>
      <w:r w:rsidR="0047194C" w:rsidRPr="009A6D7D">
        <w:rPr>
          <w:rFonts w:ascii="Gadugi" w:hAnsi="Gadugi"/>
          <w:sz w:val="24"/>
          <w:szCs w:val="24"/>
        </w:rPr>
        <w:t xml:space="preserve">, </w:t>
      </w:r>
      <w:r w:rsidR="00BF007C" w:rsidRPr="009A6D7D">
        <w:rPr>
          <w:rFonts w:ascii="Gadugi" w:hAnsi="Gadugi"/>
          <w:sz w:val="24"/>
          <w:szCs w:val="24"/>
        </w:rPr>
        <w:t xml:space="preserve">justamente por el </w:t>
      </w:r>
      <w:r w:rsidR="0047194C" w:rsidRPr="009A6D7D">
        <w:rPr>
          <w:rFonts w:ascii="Gadugi" w:hAnsi="Gadugi"/>
          <w:sz w:val="24"/>
          <w:szCs w:val="24"/>
        </w:rPr>
        <w:t xml:space="preserve">sentido de la vía hacia la </w:t>
      </w:r>
      <w:r w:rsidR="00BF007C" w:rsidRPr="009A6D7D">
        <w:rPr>
          <w:rFonts w:ascii="Gadugi" w:hAnsi="Gadugi"/>
          <w:sz w:val="24"/>
          <w:szCs w:val="24"/>
        </w:rPr>
        <w:t xml:space="preserve">calle </w:t>
      </w:r>
      <w:r w:rsidR="0047194C" w:rsidRPr="009A6D7D">
        <w:rPr>
          <w:rFonts w:ascii="Gadugi" w:hAnsi="Gadugi"/>
          <w:sz w:val="24"/>
          <w:szCs w:val="24"/>
        </w:rPr>
        <w:t xml:space="preserve">60, para adentrarse en la que de Dosquebradas lleva a Santa Rosa de Cabal. </w:t>
      </w:r>
      <w:r w:rsidR="006E51C4" w:rsidRPr="009A6D7D">
        <w:rPr>
          <w:rFonts w:ascii="Gadugi" w:hAnsi="Gadugi"/>
          <w:sz w:val="24"/>
          <w:szCs w:val="24"/>
        </w:rPr>
        <w:t xml:space="preserve">O bien podría pensarse, como lo señaló el funcionario de primer grado, con apoyo en el dicho de los familiares de la víctima, que el ciclista estaba desplazándose en el sentido Dosquebradas </w:t>
      </w:r>
      <w:r w:rsidR="0074646B">
        <w:rPr>
          <w:rFonts w:ascii="Gadugi" w:hAnsi="Gadugi"/>
          <w:sz w:val="24"/>
          <w:szCs w:val="24"/>
        </w:rPr>
        <w:t xml:space="preserve">– </w:t>
      </w:r>
      <w:r w:rsidR="006E51C4" w:rsidRPr="009A6D7D">
        <w:rPr>
          <w:rFonts w:ascii="Gadugi" w:hAnsi="Gadugi"/>
          <w:sz w:val="24"/>
          <w:szCs w:val="24"/>
        </w:rPr>
        <w:t xml:space="preserve">Santa Rosa, </w:t>
      </w:r>
      <w:r w:rsidR="00C13818" w:rsidRPr="009A6D7D">
        <w:rPr>
          <w:rFonts w:ascii="Gadugi" w:hAnsi="Gadugi"/>
          <w:sz w:val="24"/>
          <w:szCs w:val="24"/>
        </w:rPr>
        <w:t xml:space="preserve">solo que </w:t>
      </w:r>
      <w:r w:rsidR="006E51C4" w:rsidRPr="009A6D7D">
        <w:rPr>
          <w:rFonts w:ascii="Gadugi" w:hAnsi="Gadugi"/>
          <w:sz w:val="24"/>
          <w:szCs w:val="24"/>
        </w:rPr>
        <w:t xml:space="preserve">lo hacía en contravía, pues circulaba por la calzada Santa Rosa </w:t>
      </w:r>
      <w:r w:rsidR="00C13818" w:rsidRPr="009A6D7D">
        <w:rPr>
          <w:rFonts w:ascii="Gadugi" w:hAnsi="Gadugi"/>
          <w:sz w:val="24"/>
          <w:szCs w:val="24"/>
        </w:rPr>
        <w:t xml:space="preserve">– </w:t>
      </w:r>
      <w:r w:rsidR="006E51C4" w:rsidRPr="009A6D7D">
        <w:rPr>
          <w:rFonts w:ascii="Gadugi" w:hAnsi="Gadugi"/>
          <w:sz w:val="24"/>
          <w:szCs w:val="24"/>
        </w:rPr>
        <w:t>Dosquebradas</w:t>
      </w:r>
      <w:r w:rsidR="00C13818" w:rsidRPr="009A6D7D">
        <w:rPr>
          <w:rFonts w:ascii="Gadugi" w:hAnsi="Gadugi"/>
          <w:sz w:val="24"/>
          <w:szCs w:val="24"/>
        </w:rPr>
        <w:t>,</w:t>
      </w:r>
      <w:r w:rsidR="006E51C4" w:rsidRPr="009A6D7D">
        <w:rPr>
          <w:rFonts w:ascii="Gadugi" w:hAnsi="Gadugi"/>
          <w:sz w:val="24"/>
          <w:szCs w:val="24"/>
        </w:rPr>
        <w:t xml:space="preserve"> y al llegar a la intersección giró hacia la calzada respectiva, pero con el fin de atravesarla, como indica el auxiliar de la justicia. </w:t>
      </w:r>
    </w:p>
    <w:p w14:paraId="60DC7AD9" w14:textId="0561AE81" w:rsidR="008B2D0D" w:rsidRPr="009A6D7D" w:rsidRDefault="008B2D0D" w:rsidP="009A6D7D">
      <w:pPr>
        <w:spacing w:after="0" w:line="276" w:lineRule="auto"/>
        <w:ind w:firstLine="1701"/>
        <w:jc w:val="both"/>
        <w:rPr>
          <w:rFonts w:ascii="Gadugi" w:hAnsi="Gadugi"/>
          <w:sz w:val="24"/>
          <w:szCs w:val="24"/>
        </w:rPr>
      </w:pPr>
    </w:p>
    <w:p w14:paraId="5FF3A15C" w14:textId="0E2F322C" w:rsidR="00CF4736" w:rsidRPr="009A6D7D" w:rsidRDefault="008B2D0D" w:rsidP="009A6D7D">
      <w:pPr>
        <w:spacing w:after="0" w:line="276" w:lineRule="auto"/>
        <w:ind w:firstLine="1701"/>
        <w:jc w:val="both"/>
        <w:rPr>
          <w:rFonts w:ascii="Gadugi" w:hAnsi="Gadugi"/>
          <w:sz w:val="24"/>
          <w:szCs w:val="24"/>
        </w:rPr>
      </w:pPr>
      <w:r w:rsidRPr="009A6D7D">
        <w:rPr>
          <w:rFonts w:ascii="Gadugi" w:hAnsi="Gadugi"/>
          <w:sz w:val="24"/>
          <w:szCs w:val="24"/>
        </w:rPr>
        <w:t>Ahora bien, ese ingreso a la avenida principal no ocurrió, por el paso peatonal, o la cebra</w:t>
      </w:r>
      <w:r w:rsidR="00CF4736" w:rsidRPr="009A6D7D">
        <w:rPr>
          <w:rFonts w:ascii="Gadugi" w:hAnsi="Gadugi"/>
          <w:sz w:val="24"/>
          <w:szCs w:val="24"/>
        </w:rPr>
        <w:t xml:space="preserve">, destinada, además, para el </w:t>
      </w:r>
      <w:r w:rsidR="00DB1ADE" w:rsidRPr="009A6D7D">
        <w:rPr>
          <w:rFonts w:ascii="Gadugi" w:hAnsi="Gadugi"/>
          <w:sz w:val="24"/>
          <w:szCs w:val="24"/>
        </w:rPr>
        <w:t xml:space="preserve">tránsito </w:t>
      </w:r>
      <w:r w:rsidR="00CF4736" w:rsidRPr="009A6D7D">
        <w:rPr>
          <w:rFonts w:ascii="Gadugi" w:hAnsi="Gadugi"/>
          <w:sz w:val="24"/>
          <w:szCs w:val="24"/>
        </w:rPr>
        <w:t>de personas</w:t>
      </w:r>
      <w:r w:rsidR="00C94258" w:rsidRPr="009A6D7D">
        <w:rPr>
          <w:rFonts w:ascii="Gadugi" w:hAnsi="Gadugi"/>
          <w:sz w:val="24"/>
          <w:szCs w:val="24"/>
        </w:rPr>
        <w:t>. E</w:t>
      </w:r>
      <w:r w:rsidRPr="009A6D7D">
        <w:rPr>
          <w:rFonts w:ascii="Gadugi" w:hAnsi="Gadugi"/>
          <w:sz w:val="24"/>
          <w:szCs w:val="24"/>
        </w:rPr>
        <w:t xml:space="preserve">s claro, por la prueba documental allegada, a la que los demandantes quieren que se le reste todo mérito, que el suceso ocurrió más delante de esa zona. Basta para ello ver las fotografías tomadas por </w:t>
      </w:r>
      <w:r w:rsidR="00C13818" w:rsidRPr="009A6D7D">
        <w:rPr>
          <w:rFonts w:ascii="Gadugi" w:hAnsi="Gadugi"/>
          <w:sz w:val="24"/>
          <w:szCs w:val="24"/>
        </w:rPr>
        <w:t>e</w:t>
      </w:r>
      <w:r w:rsidRPr="009A6D7D">
        <w:rPr>
          <w:rFonts w:ascii="Gadugi" w:hAnsi="Gadugi"/>
          <w:sz w:val="24"/>
          <w:szCs w:val="24"/>
        </w:rPr>
        <w:t>l investigador de campo de la Fiscalía, que el mismo auxiliar tuvo en cuenta para elaborar su informe</w:t>
      </w:r>
      <w:r w:rsidR="00C94258" w:rsidRPr="009A6D7D">
        <w:rPr>
          <w:rStyle w:val="Refdenotaalpie"/>
          <w:rFonts w:ascii="Gadugi" w:hAnsi="Gadugi"/>
          <w:sz w:val="24"/>
          <w:szCs w:val="24"/>
        </w:rPr>
        <w:footnoteReference w:id="51"/>
      </w:r>
      <w:r w:rsidR="00C94258" w:rsidRPr="009A6D7D">
        <w:rPr>
          <w:rFonts w:ascii="Gadugi" w:hAnsi="Gadugi"/>
          <w:sz w:val="24"/>
          <w:szCs w:val="24"/>
        </w:rPr>
        <w:t xml:space="preserve">. </w:t>
      </w:r>
    </w:p>
    <w:p w14:paraId="493FC8BF" w14:textId="77777777" w:rsidR="00900ADB" w:rsidRPr="009A6D7D" w:rsidRDefault="00900ADB" w:rsidP="009A6D7D">
      <w:pPr>
        <w:spacing w:after="0" w:line="276" w:lineRule="auto"/>
        <w:ind w:firstLine="1701"/>
        <w:jc w:val="both"/>
        <w:rPr>
          <w:rFonts w:ascii="Gadugi" w:hAnsi="Gadugi"/>
          <w:sz w:val="24"/>
          <w:szCs w:val="24"/>
        </w:rPr>
      </w:pPr>
    </w:p>
    <w:p w14:paraId="1B95614D" w14:textId="760C199E" w:rsidR="006C44AD" w:rsidRPr="009A6D7D" w:rsidRDefault="006C44AD" w:rsidP="009A6D7D">
      <w:pPr>
        <w:spacing w:after="0" w:line="276" w:lineRule="auto"/>
        <w:ind w:firstLine="1701"/>
        <w:jc w:val="both"/>
        <w:rPr>
          <w:rFonts w:ascii="Gadugi" w:hAnsi="Gadugi"/>
          <w:sz w:val="24"/>
          <w:szCs w:val="24"/>
        </w:rPr>
      </w:pPr>
      <w:r w:rsidRPr="009A6D7D">
        <w:rPr>
          <w:rFonts w:ascii="Gadugi" w:hAnsi="Gadugi"/>
          <w:sz w:val="24"/>
          <w:szCs w:val="24"/>
        </w:rPr>
        <w:t>E</w:t>
      </w:r>
      <w:r w:rsidR="00245AF9" w:rsidRPr="009A6D7D">
        <w:rPr>
          <w:rFonts w:ascii="Gadugi" w:hAnsi="Gadugi"/>
          <w:sz w:val="24"/>
          <w:szCs w:val="24"/>
        </w:rPr>
        <w:t xml:space="preserve">l dictamen, entonces, </w:t>
      </w:r>
      <w:r w:rsidRPr="009A6D7D">
        <w:rPr>
          <w:rFonts w:ascii="Gadugi" w:hAnsi="Gadugi"/>
          <w:sz w:val="24"/>
          <w:szCs w:val="24"/>
        </w:rPr>
        <w:t xml:space="preserve">no fue desconocido por el funcionario, como se aduce; al contrario, con vista en él y en el que trajo el demandado, señaló que ninguno de los expertos pudo señalar la velocidad, que para el caso, dijo, no fue determinante. Por ello, tampoco tienen razón en su embate 13; el trabajo, igual que los demás medios de prueba, se valoró en conjunto con ellos. </w:t>
      </w:r>
    </w:p>
    <w:p w14:paraId="4DB3CAFF" w14:textId="057F7374" w:rsidR="006C44AD" w:rsidRPr="009A6D7D" w:rsidRDefault="006C44AD" w:rsidP="009A6D7D">
      <w:pPr>
        <w:spacing w:after="0" w:line="276" w:lineRule="auto"/>
        <w:ind w:firstLine="1701"/>
        <w:jc w:val="both"/>
        <w:rPr>
          <w:rFonts w:ascii="Gadugi" w:hAnsi="Gadugi"/>
          <w:sz w:val="24"/>
          <w:szCs w:val="24"/>
        </w:rPr>
      </w:pPr>
    </w:p>
    <w:p w14:paraId="4E973BD2" w14:textId="30369EB6" w:rsidR="00056AB2" w:rsidRPr="009A6D7D" w:rsidRDefault="00245AF9" w:rsidP="009A6D7D">
      <w:pPr>
        <w:spacing w:after="0" w:line="276" w:lineRule="auto"/>
        <w:ind w:firstLine="1701"/>
        <w:jc w:val="both"/>
        <w:rPr>
          <w:rFonts w:ascii="Gadugi" w:hAnsi="Gadugi"/>
          <w:sz w:val="24"/>
          <w:szCs w:val="24"/>
        </w:rPr>
      </w:pPr>
      <w:r w:rsidRPr="009A6D7D">
        <w:rPr>
          <w:rFonts w:ascii="Gadugi" w:hAnsi="Gadugi"/>
          <w:sz w:val="24"/>
          <w:szCs w:val="24"/>
        </w:rPr>
        <w:t xml:space="preserve">2.9.2.2. Para reforzar lo dicho de las </w:t>
      </w:r>
      <w:r w:rsidR="008B353C" w:rsidRPr="009A6D7D">
        <w:rPr>
          <w:rFonts w:ascii="Gadugi" w:hAnsi="Gadugi"/>
          <w:sz w:val="24"/>
          <w:szCs w:val="24"/>
        </w:rPr>
        <w:t xml:space="preserve">fotografías, </w:t>
      </w:r>
      <w:r w:rsidRPr="009A6D7D">
        <w:rPr>
          <w:rFonts w:ascii="Gadugi" w:hAnsi="Gadugi"/>
          <w:sz w:val="24"/>
          <w:szCs w:val="24"/>
        </w:rPr>
        <w:t>es válido decir que</w:t>
      </w:r>
      <w:r w:rsidR="00C13818" w:rsidRPr="009A6D7D">
        <w:rPr>
          <w:rFonts w:ascii="Gadugi" w:hAnsi="Gadugi"/>
          <w:sz w:val="24"/>
          <w:szCs w:val="24"/>
        </w:rPr>
        <w:t>,</w:t>
      </w:r>
      <w:r w:rsidRPr="009A6D7D">
        <w:rPr>
          <w:rFonts w:ascii="Gadugi" w:hAnsi="Gadugi"/>
          <w:sz w:val="24"/>
          <w:szCs w:val="24"/>
        </w:rPr>
        <w:t xml:space="preserve"> </w:t>
      </w:r>
      <w:r w:rsidR="008B353C" w:rsidRPr="009A6D7D">
        <w:rPr>
          <w:rFonts w:ascii="Gadugi" w:hAnsi="Gadugi"/>
          <w:sz w:val="24"/>
          <w:szCs w:val="24"/>
        </w:rPr>
        <w:t>por sí solas</w:t>
      </w:r>
      <w:r w:rsidR="00C13818" w:rsidRPr="009A6D7D">
        <w:rPr>
          <w:rFonts w:ascii="Gadugi" w:hAnsi="Gadugi"/>
          <w:sz w:val="24"/>
          <w:szCs w:val="24"/>
        </w:rPr>
        <w:t>,</w:t>
      </w:r>
      <w:r w:rsidR="008B353C" w:rsidRPr="009A6D7D">
        <w:rPr>
          <w:rFonts w:ascii="Gadugi" w:hAnsi="Gadugi"/>
          <w:sz w:val="24"/>
          <w:szCs w:val="24"/>
        </w:rPr>
        <w:t xml:space="preserve"> no son indicativas de la eximente derivada del hecho exclusivo de la víctima</w:t>
      </w:r>
      <w:r w:rsidRPr="009A6D7D">
        <w:rPr>
          <w:rFonts w:ascii="Gadugi" w:hAnsi="Gadugi"/>
          <w:sz w:val="24"/>
          <w:szCs w:val="24"/>
        </w:rPr>
        <w:t>;</w:t>
      </w:r>
      <w:r w:rsidR="008B353C" w:rsidRPr="009A6D7D">
        <w:rPr>
          <w:rFonts w:ascii="Gadugi" w:hAnsi="Gadugi"/>
          <w:sz w:val="24"/>
          <w:szCs w:val="24"/>
        </w:rPr>
        <w:t xml:space="preserve"> no podrían serlo</w:t>
      </w:r>
      <w:r w:rsidRPr="009A6D7D">
        <w:rPr>
          <w:rFonts w:ascii="Gadugi" w:hAnsi="Gadugi"/>
          <w:sz w:val="24"/>
          <w:szCs w:val="24"/>
        </w:rPr>
        <w:t xml:space="preserve"> a menos que vinieran en una secuencia exacta de todo lo acontecido, que no es lo que aquí sucede. </w:t>
      </w:r>
      <w:r w:rsidR="008B353C" w:rsidRPr="009A6D7D">
        <w:rPr>
          <w:rFonts w:ascii="Gadugi" w:hAnsi="Gadugi"/>
          <w:sz w:val="24"/>
          <w:szCs w:val="24"/>
        </w:rPr>
        <w:t xml:space="preserve">Pero sirven, en cambio, para corroborar lo dicho por el mismo perito sobre la ubicación del automotor y la bicicleta al momento del impacto, y la descripción que del suceso se hizo en el informe de policía, al que adelante se aludirá. No podía el juez simplemente descartarlas, sino valorarlas en conjunto, como manda el artículo 176 del CGP. </w:t>
      </w:r>
    </w:p>
    <w:p w14:paraId="6E816236" w14:textId="77777777" w:rsidR="00056AB2" w:rsidRPr="009A6D7D" w:rsidRDefault="00056AB2" w:rsidP="009A6D7D">
      <w:pPr>
        <w:spacing w:after="0" w:line="276" w:lineRule="auto"/>
        <w:ind w:firstLine="1701"/>
        <w:jc w:val="both"/>
        <w:rPr>
          <w:rFonts w:ascii="Gadugi" w:hAnsi="Gadugi"/>
          <w:sz w:val="24"/>
          <w:szCs w:val="24"/>
        </w:rPr>
      </w:pPr>
    </w:p>
    <w:p w14:paraId="25B4195F" w14:textId="1ADEC03B" w:rsidR="00CF4736" w:rsidRPr="009A6D7D" w:rsidRDefault="00CA1585" w:rsidP="009A6D7D">
      <w:pPr>
        <w:spacing w:after="0" w:line="276" w:lineRule="auto"/>
        <w:ind w:firstLine="1701"/>
        <w:jc w:val="both"/>
        <w:rPr>
          <w:rFonts w:ascii="Gadugi" w:hAnsi="Gadugi"/>
          <w:sz w:val="24"/>
          <w:szCs w:val="24"/>
        </w:rPr>
      </w:pPr>
      <w:r w:rsidRPr="009A6D7D">
        <w:rPr>
          <w:rFonts w:ascii="Gadugi" w:hAnsi="Gadugi"/>
          <w:sz w:val="24"/>
          <w:szCs w:val="24"/>
        </w:rPr>
        <w:t xml:space="preserve">Por ello, tampoco el reparo 10 se puede abrir paso. </w:t>
      </w:r>
    </w:p>
    <w:p w14:paraId="63447D6B" w14:textId="77777777" w:rsidR="0050539A" w:rsidRPr="009A6D7D" w:rsidRDefault="0050539A" w:rsidP="009A6D7D">
      <w:pPr>
        <w:spacing w:after="0" w:line="276" w:lineRule="auto"/>
        <w:ind w:firstLine="1701"/>
        <w:jc w:val="both"/>
        <w:rPr>
          <w:rFonts w:ascii="Gadugi" w:hAnsi="Gadugi"/>
          <w:sz w:val="24"/>
          <w:szCs w:val="24"/>
        </w:rPr>
      </w:pPr>
    </w:p>
    <w:p w14:paraId="1C22C150" w14:textId="53E205DD" w:rsidR="00AD4ACE" w:rsidRPr="009A6D7D" w:rsidRDefault="00245AF9" w:rsidP="009A6D7D">
      <w:pPr>
        <w:spacing w:after="0" w:line="276" w:lineRule="auto"/>
        <w:ind w:firstLine="1701"/>
        <w:jc w:val="both"/>
        <w:rPr>
          <w:rFonts w:ascii="Gadugi" w:eastAsia="Gadugi" w:hAnsi="Gadugi" w:cs="Gadugi"/>
          <w:sz w:val="24"/>
          <w:szCs w:val="24"/>
        </w:rPr>
      </w:pPr>
      <w:r w:rsidRPr="009A6D7D">
        <w:rPr>
          <w:rFonts w:ascii="Gadugi" w:hAnsi="Gadugi"/>
          <w:sz w:val="24"/>
          <w:szCs w:val="24"/>
        </w:rPr>
        <w:lastRenderedPageBreak/>
        <w:t xml:space="preserve">2.9.2.3. Se acusa la sentencia de haberse valido </w:t>
      </w:r>
      <w:r w:rsidR="00D75422" w:rsidRPr="009A6D7D">
        <w:rPr>
          <w:rFonts w:ascii="Gadugi" w:hAnsi="Gadugi"/>
          <w:sz w:val="24"/>
          <w:szCs w:val="24"/>
        </w:rPr>
        <w:t>d</w:t>
      </w:r>
      <w:r w:rsidRPr="009A6D7D">
        <w:rPr>
          <w:rFonts w:ascii="Gadugi" w:hAnsi="Gadugi"/>
          <w:sz w:val="24"/>
          <w:szCs w:val="24"/>
        </w:rPr>
        <w:t xml:space="preserve">el Informe Policial de Accidentes de Tránsito. Los puntos </w:t>
      </w:r>
      <w:r w:rsidR="00A85F10" w:rsidRPr="009A6D7D">
        <w:rPr>
          <w:rFonts w:ascii="Gadugi" w:eastAsia="Gadugi" w:hAnsi="Gadugi" w:cs="Gadugi"/>
          <w:sz w:val="24"/>
          <w:szCs w:val="24"/>
        </w:rPr>
        <w:t>3, 4, 5, 6 y 7</w:t>
      </w:r>
      <w:r w:rsidRPr="009A6D7D">
        <w:rPr>
          <w:rFonts w:ascii="Gadugi" w:eastAsia="Gadugi" w:hAnsi="Gadugi" w:cs="Gadugi"/>
          <w:sz w:val="24"/>
          <w:szCs w:val="24"/>
        </w:rPr>
        <w:t xml:space="preserve"> de la sustentación se refieren a ello. </w:t>
      </w:r>
    </w:p>
    <w:p w14:paraId="7B6A347B" w14:textId="77777777" w:rsidR="00245AF9" w:rsidRPr="009A6D7D" w:rsidRDefault="00245AF9" w:rsidP="009A6D7D">
      <w:pPr>
        <w:spacing w:after="0" w:line="276" w:lineRule="auto"/>
        <w:ind w:firstLine="1701"/>
        <w:jc w:val="both"/>
        <w:rPr>
          <w:rFonts w:ascii="Gadugi" w:eastAsia="Gadugi" w:hAnsi="Gadugi" w:cs="Gadugi"/>
          <w:sz w:val="24"/>
          <w:szCs w:val="24"/>
        </w:rPr>
      </w:pPr>
    </w:p>
    <w:p w14:paraId="53605053" w14:textId="431D8B92" w:rsidR="00313553" w:rsidRPr="009A6D7D" w:rsidRDefault="00A85F10"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Sobre el informe policial, </w:t>
      </w:r>
      <w:r w:rsidR="00313553" w:rsidRPr="009A6D7D">
        <w:rPr>
          <w:rFonts w:ascii="Gadugi" w:eastAsia="Gadugi" w:hAnsi="Gadugi" w:cs="Gadugi"/>
          <w:sz w:val="24"/>
          <w:szCs w:val="24"/>
        </w:rPr>
        <w:t>dijo recientemente esta Colegiatura</w:t>
      </w:r>
      <w:r w:rsidR="00624221" w:rsidRPr="009A6D7D">
        <w:rPr>
          <w:rStyle w:val="Refdenotaalpie"/>
          <w:rFonts w:ascii="Gadugi" w:eastAsia="Gadugi" w:hAnsi="Gadugi" w:cs="Gadugi"/>
          <w:sz w:val="24"/>
          <w:szCs w:val="24"/>
        </w:rPr>
        <w:footnoteReference w:id="52"/>
      </w:r>
      <w:r w:rsidR="00313553" w:rsidRPr="009A6D7D">
        <w:rPr>
          <w:rFonts w:ascii="Gadugi" w:eastAsia="Gadugi" w:hAnsi="Gadugi" w:cs="Gadugi"/>
          <w:sz w:val="24"/>
          <w:szCs w:val="24"/>
        </w:rPr>
        <w:t xml:space="preserve"> que: </w:t>
      </w:r>
    </w:p>
    <w:p w14:paraId="76882FB3" w14:textId="77777777" w:rsidR="00313553" w:rsidRPr="009A6D7D" w:rsidRDefault="00313553" w:rsidP="009A6D7D">
      <w:pPr>
        <w:tabs>
          <w:tab w:val="left" w:pos="2268"/>
          <w:tab w:val="left" w:pos="2835"/>
        </w:tabs>
        <w:spacing w:after="0" w:line="276" w:lineRule="auto"/>
        <w:ind w:firstLine="1701"/>
        <w:jc w:val="both"/>
        <w:rPr>
          <w:rFonts w:ascii="Gadugi" w:eastAsia="Gadugi" w:hAnsi="Gadugi" w:cs="Gadugi"/>
          <w:sz w:val="24"/>
          <w:szCs w:val="24"/>
        </w:rPr>
      </w:pPr>
    </w:p>
    <w:p w14:paraId="209BB166" w14:textId="391530AD" w:rsidR="003233C4" w:rsidRPr="00D14DE3" w:rsidRDefault="003233C4" w:rsidP="00D14DE3">
      <w:pPr>
        <w:tabs>
          <w:tab w:val="left" w:pos="2268"/>
          <w:tab w:val="left" w:pos="2835"/>
        </w:tabs>
        <w:spacing w:after="0" w:line="240" w:lineRule="auto"/>
        <w:ind w:left="426" w:right="420" w:firstLine="1134"/>
        <w:jc w:val="both"/>
        <w:rPr>
          <w:rFonts w:ascii="Gadugi" w:hAnsi="Gadugi" w:cs="Arial"/>
          <w:szCs w:val="24"/>
          <w:shd w:val="clear" w:color="auto" w:fill="FAF9F8"/>
        </w:rPr>
      </w:pPr>
      <w:r w:rsidRPr="00D14DE3">
        <w:rPr>
          <w:rFonts w:ascii="Gadugi" w:hAnsi="Gadugi" w:cs="Arial"/>
          <w:szCs w:val="24"/>
        </w:rPr>
        <w:t>“…</w:t>
      </w:r>
      <w:r w:rsidR="00D14DE3" w:rsidRPr="00D14DE3">
        <w:rPr>
          <w:rFonts w:ascii="Gadugi" w:hAnsi="Gadugi" w:cs="Arial"/>
          <w:szCs w:val="24"/>
        </w:rPr>
        <w:t xml:space="preserve"> </w:t>
      </w:r>
      <w:r w:rsidRPr="00D14DE3">
        <w:rPr>
          <w:rFonts w:ascii="Gadugi" w:hAnsi="Gadugi" w:cs="Arial"/>
          <w:szCs w:val="24"/>
        </w:rPr>
        <w:t xml:space="preserve">su </w:t>
      </w:r>
      <w:r w:rsidR="00AA057F" w:rsidRPr="00D14DE3">
        <w:rPr>
          <w:rFonts w:ascii="Gadugi" w:hAnsi="Gadugi" w:cs="Arial"/>
          <w:szCs w:val="24"/>
        </w:rPr>
        <w:t>diligenciamiento se regula por la</w:t>
      </w:r>
      <w:r w:rsidRPr="00D14DE3">
        <w:rPr>
          <w:rFonts w:ascii="Gadugi" w:hAnsi="Gadugi" w:cs="Arial"/>
          <w:szCs w:val="24"/>
        </w:rPr>
        <w:t xml:space="preserve"> Resolución 0011268 de diciembre 6 de 2012 del Ministerio de Transporte, que adopta el manual para ello. Según este manual (página 49,</w:t>
      </w:r>
      <w:r w:rsidR="00B60B99" w:rsidRPr="00D14DE3">
        <w:rPr>
          <w:rFonts w:ascii="Gadugi" w:hAnsi="Gadugi" w:cs="Arial"/>
          <w:szCs w:val="24"/>
        </w:rPr>
        <w:t xml:space="preserve"> </w:t>
      </w:r>
      <w:r w:rsidRPr="00D14DE3">
        <w:rPr>
          <w:rFonts w:ascii="Gadugi" w:hAnsi="Gadugi" w:cs="Arial"/>
          <w:szCs w:val="24"/>
        </w:rPr>
        <w:t>capítulo V), la autoridad debe determinar al</w:t>
      </w:r>
      <w:r w:rsidRPr="00D14DE3">
        <w:rPr>
          <w:rFonts w:ascii="Gadugi" w:hAnsi="Gadugi" w:cs="Arial"/>
          <w:szCs w:val="24"/>
          <w:shd w:val="clear" w:color="auto" w:fill="FAF9F8"/>
        </w:rPr>
        <w:t xml:space="preserve"> menos una hipótesis, cuyo propósito es “</w:t>
      </w:r>
      <w:r w:rsidRPr="00D14DE3">
        <w:rPr>
          <w:rFonts w:ascii="Gadugi" w:hAnsi="Gadugi" w:cs="Arial"/>
          <w:i/>
          <w:szCs w:val="24"/>
          <w:shd w:val="clear" w:color="auto" w:fill="FAF9F8"/>
        </w:rPr>
        <w:t>generar estadísticas que lleven a determinar cuál es el factor repetitivo que más incide en los accidentes, tramos o puntos de mayor accidentalidad, entre otros</w:t>
      </w:r>
      <w:r w:rsidRPr="00D14DE3">
        <w:rPr>
          <w:rFonts w:ascii="Gadugi" w:hAnsi="Gadugi" w:cs="Arial"/>
          <w:szCs w:val="24"/>
          <w:shd w:val="clear" w:color="auto" w:fill="FAF9F8"/>
        </w:rPr>
        <w:t xml:space="preserve">”. Se señala que la hipótesis señalada no implica responsabilidades para los conductores, sino que expresan las acciones generadoras o intervinientes en la evolución física de un accidente, debidamente fundamentadas mediante la objetividad y el análisis técnico científico de los </w:t>
      </w:r>
      <w:r w:rsidR="00AA057F" w:rsidRPr="00D14DE3">
        <w:rPr>
          <w:rFonts w:ascii="Gadugi" w:hAnsi="Gadugi" w:cs="Arial"/>
          <w:szCs w:val="24"/>
          <w:shd w:val="clear" w:color="auto" w:fill="FAF9F8"/>
        </w:rPr>
        <w:t>elementos materiales de prueba y</w:t>
      </w:r>
      <w:r w:rsidRPr="00D14DE3">
        <w:rPr>
          <w:rFonts w:ascii="Gadugi" w:hAnsi="Gadugi" w:cs="Arial"/>
          <w:szCs w:val="24"/>
          <w:shd w:val="clear" w:color="auto" w:fill="FAF9F8"/>
        </w:rPr>
        <w:t xml:space="preserve"> evidencia física encontrada en el lugar de los hechos. </w:t>
      </w:r>
    </w:p>
    <w:p w14:paraId="37AD02ED" w14:textId="77777777" w:rsidR="003233C4" w:rsidRPr="00D14DE3" w:rsidRDefault="003233C4" w:rsidP="00D14DE3">
      <w:pPr>
        <w:tabs>
          <w:tab w:val="left" w:pos="2268"/>
          <w:tab w:val="left" w:pos="2835"/>
        </w:tabs>
        <w:spacing w:after="0" w:line="240" w:lineRule="auto"/>
        <w:ind w:left="426" w:right="420" w:firstLine="1134"/>
        <w:jc w:val="both"/>
        <w:rPr>
          <w:rFonts w:ascii="Gadugi" w:hAnsi="Gadugi" w:cs="Arial"/>
          <w:szCs w:val="24"/>
          <w:shd w:val="clear" w:color="auto" w:fill="FAF9F8"/>
        </w:rPr>
      </w:pPr>
    </w:p>
    <w:p w14:paraId="1A4FA672" w14:textId="044C88DC" w:rsidR="003233C4" w:rsidRPr="00D14DE3" w:rsidRDefault="003233C4" w:rsidP="00D14DE3">
      <w:pPr>
        <w:tabs>
          <w:tab w:val="left" w:pos="2268"/>
          <w:tab w:val="left" w:pos="2835"/>
        </w:tabs>
        <w:spacing w:after="0" w:line="240" w:lineRule="auto"/>
        <w:ind w:left="426" w:right="420" w:firstLine="1134"/>
        <w:jc w:val="both"/>
        <w:rPr>
          <w:rFonts w:ascii="Gadugi" w:hAnsi="Gadugi" w:cs="Arial"/>
          <w:szCs w:val="24"/>
          <w:shd w:val="clear" w:color="auto" w:fill="FAF9F8"/>
        </w:rPr>
      </w:pPr>
      <w:r w:rsidRPr="00D14DE3">
        <w:rPr>
          <w:rFonts w:ascii="Gadugi" w:hAnsi="Gadugi" w:cs="Arial"/>
          <w:szCs w:val="24"/>
          <w:shd w:val="clear" w:color="auto" w:fill="FAF9F8"/>
        </w:rPr>
        <w:t xml:space="preserve">Se aspira </w:t>
      </w:r>
      <w:r w:rsidR="00AA057F" w:rsidRPr="00D14DE3">
        <w:rPr>
          <w:rFonts w:ascii="Gadugi" w:hAnsi="Gadugi" w:cs="Arial"/>
          <w:szCs w:val="24"/>
          <w:shd w:val="clear" w:color="auto" w:fill="FAF9F8"/>
        </w:rPr>
        <w:t>que, una vez agotadas las siguientes diligencias, la autoridad esté en capacidad</w:t>
      </w:r>
      <w:r w:rsidRPr="00D14DE3">
        <w:rPr>
          <w:rFonts w:ascii="Gadugi" w:hAnsi="Gadugi" w:cs="Arial"/>
          <w:szCs w:val="24"/>
          <w:shd w:val="clear" w:color="auto" w:fill="FAF9F8"/>
        </w:rPr>
        <w:t xml:space="preserve"> de determinar por lo menos una hipótesis:</w:t>
      </w:r>
    </w:p>
    <w:p w14:paraId="331DDF9A" w14:textId="77777777" w:rsidR="00AD4ACE" w:rsidRPr="00D14DE3" w:rsidRDefault="00AD4ACE" w:rsidP="00D14DE3">
      <w:pPr>
        <w:tabs>
          <w:tab w:val="left" w:pos="2268"/>
          <w:tab w:val="left" w:pos="2835"/>
        </w:tabs>
        <w:spacing w:after="0" w:line="240" w:lineRule="auto"/>
        <w:ind w:left="426" w:right="420" w:firstLine="1134"/>
        <w:jc w:val="both"/>
        <w:rPr>
          <w:rFonts w:ascii="Gadugi" w:hAnsi="Gadugi" w:cs="Arial"/>
          <w:szCs w:val="24"/>
          <w:shd w:val="clear" w:color="auto" w:fill="FAF9F8"/>
        </w:rPr>
      </w:pPr>
    </w:p>
    <w:p w14:paraId="7588EEE1" w14:textId="77777777" w:rsidR="00AD4ACE" w:rsidRPr="00D14DE3" w:rsidRDefault="00A85F10" w:rsidP="00D14DE3">
      <w:pPr>
        <w:numPr>
          <w:ilvl w:val="0"/>
          <w:numId w:val="3"/>
        </w:numPr>
        <w:pBdr>
          <w:top w:val="nil"/>
          <w:left w:val="nil"/>
          <w:bottom w:val="nil"/>
          <w:right w:val="nil"/>
          <w:between w:val="nil"/>
        </w:pBdr>
        <w:tabs>
          <w:tab w:val="left" w:pos="1985"/>
        </w:tabs>
        <w:spacing w:after="0" w:line="240" w:lineRule="auto"/>
        <w:ind w:left="426" w:right="420" w:firstLine="1134"/>
        <w:jc w:val="both"/>
        <w:rPr>
          <w:rFonts w:ascii="Gadugi" w:eastAsia="Gadugi" w:hAnsi="Gadugi" w:cs="Gadugi"/>
          <w:i/>
          <w:color w:val="000000"/>
          <w:szCs w:val="24"/>
        </w:rPr>
      </w:pPr>
      <w:r w:rsidRPr="00D14DE3">
        <w:rPr>
          <w:rFonts w:ascii="Gadugi" w:eastAsia="Gadugi" w:hAnsi="Gadugi" w:cs="Gadugi"/>
          <w:color w:val="000000"/>
          <w:szCs w:val="24"/>
        </w:rPr>
        <w:t xml:space="preserve">Las indagaciones y el análisis de los elementos materiales de prueba. </w:t>
      </w:r>
    </w:p>
    <w:p w14:paraId="21413390" w14:textId="77777777" w:rsidR="00AD4ACE" w:rsidRPr="00D14DE3" w:rsidRDefault="00A85F10" w:rsidP="00D14DE3">
      <w:pPr>
        <w:numPr>
          <w:ilvl w:val="0"/>
          <w:numId w:val="3"/>
        </w:numPr>
        <w:pBdr>
          <w:top w:val="nil"/>
          <w:left w:val="nil"/>
          <w:bottom w:val="nil"/>
          <w:right w:val="nil"/>
          <w:between w:val="nil"/>
        </w:pBdr>
        <w:tabs>
          <w:tab w:val="left" w:pos="1985"/>
        </w:tabs>
        <w:spacing w:after="0" w:line="240" w:lineRule="auto"/>
        <w:ind w:left="426" w:right="420" w:firstLine="1134"/>
        <w:jc w:val="both"/>
        <w:rPr>
          <w:rFonts w:ascii="Gadugi" w:eastAsia="Gadugi" w:hAnsi="Gadugi" w:cs="Gadugi"/>
          <w:i/>
          <w:color w:val="000000"/>
          <w:szCs w:val="24"/>
        </w:rPr>
      </w:pPr>
      <w:r w:rsidRPr="00D14DE3">
        <w:rPr>
          <w:rFonts w:ascii="Gadugi" w:eastAsia="Gadugi" w:hAnsi="Gadugi" w:cs="Gadugi"/>
          <w:color w:val="000000"/>
          <w:szCs w:val="24"/>
        </w:rPr>
        <w:t xml:space="preserve">Evidencia física. </w:t>
      </w:r>
    </w:p>
    <w:p w14:paraId="5D63DEAC" w14:textId="77777777" w:rsidR="00AD4ACE" w:rsidRPr="00D14DE3" w:rsidRDefault="00A85F10" w:rsidP="00D14DE3">
      <w:pPr>
        <w:numPr>
          <w:ilvl w:val="0"/>
          <w:numId w:val="3"/>
        </w:numPr>
        <w:pBdr>
          <w:top w:val="nil"/>
          <w:left w:val="nil"/>
          <w:bottom w:val="nil"/>
          <w:right w:val="nil"/>
          <w:between w:val="nil"/>
        </w:pBdr>
        <w:tabs>
          <w:tab w:val="left" w:pos="1985"/>
        </w:tabs>
        <w:spacing w:after="0" w:line="240" w:lineRule="auto"/>
        <w:ind w:left="426" w:right="420" w:firstLine="1134"/>
        <w:jc w:val="both"/>
        <w:rPr>
          <w:rFonts w:ascii="Gadugi" w:eastAsia="Gadugi" w:hAnsi="Gadugi" w:cs="Gadugi"/>
          <w:i/>
          <w:color w:val="000000"/>
          <w:szCs w:val="24"/>
        </w:rPr>
      </w:pPr>
      <w:r w:rsidRPr="00D14DE3">
        <w:rPr>
          <w:rFonts w:ascii="Gadugi" w:eastAsia="Gadugi" w:hAnsi="Gadugi" w:cs="Gadugi"/>
          <w:color w:val="000000"/>
          <w:szCs w:val="24"/>
        </w:rPr>
        <w:t xml:space="preserve">Determinación de ruta de los participantes. </w:t>
      </w:r>
    </w:p>
    <w:p w14:paraId="5B6251A3" w14:textId="77777777" w:rsidR="00AD4ACE" w:rsidRPr="00D14DE3" w:rsidRDefault="00A85F10" w:rsidP="00D14DE3">
      <w:pPr>
        <w:numPr>
          <w:ilvl w:val="0"/>
          <w:numId w:val="3"/>
        </w:numPr>
        <w:pBdr>
          <w:top w:val="nil"/>
          <w:left w:val="nil"/>
          <w:bottom w:val="nil"/>
          <w:right w:val="nil"/>
          <w:between w:val="nil"/>
        </w:pBdr>
        <w:tabs>
          <w:tab w:val="left" w:pos="1985"/>
        </w:tabs>
        <w:spacing w:after="0" w:line="240" w:lineRule="auto"/>
        <w:ind w:left="426" w:right="420" w:firstLine="1134"/>
        <w:jc w:val="both"/>
        <w:rPr>
          <w:rFonts w:ascii="Gadugi" w:eastAsia="Gadugi" w:hAnsi="Gadugi" w:cs="Gadugi"/>
          <w:i/>
          <w:color w:val="000000"/>
          <w:szCs w:val="24"/>
        </w:rPr>
      </w:pPr>
      <w:r w:rsidRPr="00D14DE3">
        <w:rPr>
          <w:rFonts w:ascii="Gadugi" w:eastAsia="Gadugi" w:hAnsi="Gadugi" w:cs="Gadugi"/>
          <w:color w:val="000000"/>
          <w:szCs w:val="24"/>
        </w:rPr>
        <w:t xml:space="preserve">Punto y lugar de impacto. </w:t>
      </w:r>
    </w:p>
    <w:p w14:paraId="65E2BC4B" w14:textId="77777777" w:rsidR="00AD4ACE" w:rsidRPr="00D14DE3" w:rsidRDefault="00A85F10" w:rsidP="00D14DE3">
      <w:pPr>
        <w:numPr>
          <w:ilvl w:val="0"/>
          <w:numId w:val="3"/>
        </w:numPr>
        <w:pBdr>
          <w:top w:val="nil"/>
          <w:left w:val="nil"/>
          <w:bottom w:val="nil"/>
          <w:right w:val="nil"/>
          <w:between w:val="nil"/>
        </w:pBdr>
        <w:tabs>
          <w:tab w:val="left" w:pos="1985"/>
        </w:tabs>
        <w:spacing w:after="0" w:line="240" w:lineRule="auto"/>
        <w:ind w:left="426" w:right="420" w:firstLine="1134"/>
        <w:jc w:val="both"/>
        <w:rPr>
          <w:rFonts w:ascii="Gadugi" w:eastAsia="Gadugi" w:hAnsi="Gadugi" w:cs="Gadugi"/>
          <w:i/>
          <w:color w:val="000000"/>
          <w:szCs w:val="24"/>
        </w:rPr>
      </w:pPr>
      <w:r w:rsidRPr="00D14DE3">
        <w:rPr>
          <w:rFonts w:ascii="Gadugi" w:eastAsia="Gadugi" w:hAnsi="Gadugi" w:cs="Gadugi"/>
          <w:color w:val="000000"/>
          <w:szCs w:val="24"/>
        </w:rPr>
        <w:t xml:space="preserve">Análisis preliminar de la dinámica del accidente (antes, durante y después) de acuerdo con los impactos y posición final de los vehículos y las víctimas y demás elementos. </w:t>
      </w:r>
    </w:p>
    <w:p w14:paraId="465E8088" w14:textId="77777777" w:rsidR="00AD4ACE" w:rsidRPr="00D14DE3" w:rsidRDefault="00A85F10" w:rsidP="00D14DE3">
      <w:pPr>
        <w:numPr>
          <w:ilvl w:val="0"/>
          <w:numId w:val="3"/>
        </w:numPr>
        <w:pBdr>
          <w:top w:val="nil"/>
          <w:left w:val="nil"/>
          <w:bottom w:val="nil"/>
          <w:right w:val="nil"/>
          <w:between w:val="nil"/>
        </w:pBdr>
        <w:tabs>
          <w:tab w:val="left" w:pos="1985"/>
        </w:tabs>
        <w:spacing w:after="0" w:line="240" w:lineRule="auto"/>
        <w:ind w:left="426" w:right="420" w:firstLine="1134"/>
        <w:jc w:val="both"/>
        <w:rPr>
          <w:rFonts w:ascii="Gadugi" w:eastAsia="Gadugi" w:hAnsi="Gadugi" w:cs="Gadugi"/>
          <w:i/>
          <w:color w:val="000000"/>
          <w:szCs w:val="24"/>
        </w:rPr>
      </w:pPr>
      <w:r w:rsidRPr="00D14DE3">
        <w:rPr>
          <w:rFonts w:ascii="Gadugi" w:eastAsia="Gadugi" w:hAnsi="Gadugi" w:cs="Gadugi"/>
          <w:color w:val="000000"/>
          <w:szCs w:val="24"/>
        </w:rPr>
        <w:t>Análisis de velocidades (en lo posible).</w:t>
      </w:r>
    </w:p>
    <w:p w14:paraId="3275C1D7" w14:textId="36D8202F" w:rsidR="00AD4ACE" w:rsidRPr="00D14DE3" w:rsidRDefault="00A85F10" w:rsidP="00D14DE3">
      <w:pPr>
        <w:numPr>
          <w:ilvl w:val="0"/>
          <w:numId w:val="3"/>
        </w:numPr>
        <w:pBdr>
          <w:top w:val="nil"/>
          <w:left w:val="nil"/>
          <w:bottom w:val="nil"/>
          <w:right w:val="nil"/>
          <w:between w:val="nil"/>
        </w:pBdr>
        <w:tabs>
          <w:tab w:val="left" w:pos="1985"/>
        </w:tabs>
        <w:spacing w:after="0" w:line="240" w:lineRule="auto"/>
        <w:ind w:left="426" w:right="420" w:firstLine="1134"/>
        <w:jc w:val="both"/>
        <w:rPr>
          <w:rFonts w:ascii="Gadugi" w:eastAsia="Gadugi" w:hAnsi="Gadugi" w:cs="Gadugi"/>
          <w:i/>
          <w:color w:val="000000"/>
          <w:szCs w:val="24"/>
        </w:rPr>
      </w:pPr>
      <w:r w:rsidRPr="00D14DE3">
        <w:rPr>
          <w:rFonts w:ascii="Gadugi" w:eastAsia="Gadugi" w:hAnsi="Gadugi" w:cs="Gadugi"/>
          <w:color w:val="000000"/>
          <w:szCs w:val="24"/>
        </w:rPr>
        <w:t xml:space="preserve">Posible violación a las normas de tránsito. </w:t>
      </w:r>
    </w:p>
    <w:p w14:paraId="1C577DCC" w14:textId="77777777" w:rsidR="00AD0E9D" w:rsidRPr="00D14DE3" w:rsidRDefault="00AD0E9D" w:rsidP="00D14DE3">
      <w:pPr>
        <w:pBdr>
          <w:top w:val="nil"/>
          <w:left w:val="nil"/>
          <w:bottom w:val="nil"/>
          <w:right w:val="nil"/>
          <w:between w:val="nil"/>
        </w:pBdr>
        <w:tabs>
          <w:tab w:val="left" w:pos="1985"/>
        </w:tabs>
        <w:spacing w:after="0" w:line="240" w:lineRule="auto"/>
        <w:ind w:left="426" w:right="420"/>
        <w:jc w:val="both"/>
        <w:rPr>
          <w:rFonts w:ascii="Gadugi" w:eastAsia="Gadugi" w:hAnsi="Gadugi" w:cs="Gadugi"/>
          <w:i/>
          <w:color w:val="000000"/>
          <w:szCs w:val="24"/>
        </w:rPr>
      </w:pPr>
    </w:p>
    <w:p w14:paraId="74250E72" w14:textId="04215EFE" w:rsidR="00AD0E9D" w:rsidRPr="00D14DE3" w:rsidRDefault="003233C4" w:rsidP="00D14DE3">
      <w:pPr>
        <w:tabs>
          <w:tab w:val="left" w:pos="2268"/>
          <w:tab w:val="left" w:pos="2835"/>
        </w:tabs>
        <w:spacing w:after="0" w:line="240" w:lineRule="auto"/>
        <w:ind w:left="426" w:right="420" w:firstLine="1134"/>
        <w:jc w:val="both"/>
        <w:rPr>
          <w:rFonts w:ascii="Gadugi" w:hAnsi="Gadugi" w:cs="Arial"/>
          <w:szCs w:val="24"/>
          <w:shd w:val="clear" w:color="auto" w:fill="FAF9F8"/>
        </w:rPr>
      </w:pPr>
      <w:r w:rsidRPr="00D14DE3">
        <w:rPr>
          <w:rFonts w:ascii="Gadugi" w:hAnsi="Gadugi" w:cs="Arial"/>
          <w:szCs w:val="24"/>
        </w:rPr>
        <w:t xml:space="preserve">Es cierto que la autoridad que diligencia el informe, en regla de principio, arriba al sitio después de ocurridos los hechos, lo que </w:t>
      </w:r>
      <w:r w:rsidRPr="00D14DE3">
        <w:rPr>
          <w:rFonts w:ascii="Gadugi" w:hAnsi="Gadugi" w:cs="Arial"/>
          <w:i/>
          <w:szCs w:val="24"/>
        </w:rPr>
        <w:t>per se</w:t>
      </w:r>
      <w:r w:rsidR="00AD0E9D" w:rsidRPr="00D14DE3">
        <w:rPr>
          <w:rFonts w:ascii="Gadugi" w:hAnsi="Gadugi" w:cs="Arial"/>
          <w:i/>
          <w:szCs w:val="24"/>
        </w:rPr>
        <w:t xml:space="preserve"> </w:t>
      </w:r>
      <w:r w:rsidRPr="00D14DE3">
        <w:rPr>
          <w:rFonts w:ascii="Gadugi" w:hAnsi="Gadugi" w:cs="Arial"/>
          <w:szCs w:val="24"/>
        </w:rPr>
        <w:t>no le resta poder probatorio a todo su contenido.</w:t>
      </w:r>
      <w:r w:rsidR="00AD0E9D" w:rsidRPr="00D14DE3">
        <w:rPr>
          <w:rFonts w:ascii="Gadugi" w:hAnsi="Gadugi" w:cs="Arial"/>
          <w:szCs w:val="24"/>
        </w:rPr>
        <w:t xml:space="preserve"> </w:t>
      </w:r>
      <w:r w:rsidRPr="00D14DE3">
        <w:rPr>
          <w:rFonts w:ascii="Gadugi" w:hAnsi="Gadugi" w:cs="Arial"/>
          <w:szCs w:val="24"/>
        </w:rPr>
        <w:t>Pero, en cuanto tiene que ver con las anotaciones sobre la causa probable del accidente, tal y como la ha considerado esta Sala</w:t>
      </w:r>
      <w:r w:rsidR="00AD0E9D" w:rsidRPr="00D14DE3">
        <w:rPr>
          <w:rStyle w:val="Refdenotaalpie"/>
          <w:rFonts w:ascii="Gadugi" w:hAnsi="Gadugi" w:cs="Arial"/>
          <w:szCs w:val="24"/>
        </w:rPr>
        <w:footnoteReference w:id="53"/>
      </w:r>
      <w:r w:rsidRPr="00D14DE3">
        <w:rPr>
          <w:rFonts w:ascii="Gadugi" w:hAnsi="Gadugi" w:cs="Arial"/>
          <w:szCs w:val="24"/>
        </w:rPr>
        <w:t>, no son más que una hipótesis que</w:t>
      </w:r>
      <w:r w:rsidR="00AD0E9D" w:rsidRPr="00D14DE3">
        <w:rPr>
          <w:rFonts w:ascii="Gadugi" w:hAnsi="Gadugi" w:cs="Arial"/>
          <w:szCs w:val="24"/>
        </w:rPr>
        <w:t xml:space="preserve"> </w:t>
      </w:r>
      <w:r w:rsidRPr="00D14DE3">
        <w:rPr>
          <w:rFonts w:ascii="Gadugi" w:hAnsi="Gadugi" w:cs="Arial"/>
          <w:szCs w:val="24"/>
        </w:rPr>
        <w:t>responde a una percepción indirecta y posterior de los acontecimientos, confeccionada de acuerdo con el análisis que su autor haga de los elementos que acaban de señalarse</w:t>
      </w:r>
      <w:r w:rsidRPr="00D14DE3">
        <w:rPr>
          <w:rFonts w:ascii="Gadugi" w:hAnsi="Gadugi" w:cs="Arial"/>
          <w:szCs w:val="24"/>
          <w:shd w:val="clear" w:color="auto" w:fill="FAF9F8"/>
        </w:rPr>
        <w:t>.</w:t>
      </w:r>
    </w:p>
    <w:p w14:paraId="69D4E732" w14:textId="77777777" w:rsidR="00AD0E9D" w:rsidRPr="00D14DE3" w:rsidRDefault="00AD0E9D" w:rsidP="00D14DE3">
      <w:pPr>
        <w:tabs>
          <w:tab w:val="left" w:pos="2268"/>
          <w:tab w:val="left" w:pos="2835"/>
        </w:tabs>
        <w:spacing w:after="0" w:line="240" w:lineRule="auto"/>
        <w:ind w:left="426" w:right="420" w:firstLine="1134"/>
        <w:jc w:val="both"/>
        <w:rPr>
          <w:rFonts w:ascii="Gadugi" w:hAnsi="Gadugi" w:cs="Arial"/>
          <w:szCs w:val="24"/>
          <w:shd w:val="clear" w:color="auto" w:fill="FAF9F8"/>
        </w:rPr>
      </w:pPr>
    </w:p>
    <w:p w14:paraId="4DF99BC7" w14:textId="4C89108B" w:rsidR="003233C4" w:rsidRPr="00D14DE3" w:rsidRDefault="00D14DE3" w:rsidP="00D14DE3">
      <w:pPr>
        <w:tabs>
          <w:tab w:val="left" w:pos="2268"/>
          <w:tab w:val="left" w:pos="2835"/>
        </w:tabs>
        <w:spacing w:after="0" w:line="240" w:lineRule="auto"/>
        <w:ind w:left="426" w:right="420" w:firstLine="1134"/>
        <w:jc w:val="both"/>
        <w:rPr>
          <w:rFonts w:ascii="Gadugi" w:eastAsia="Gadugi" w:hAnsi="Gadugi" w:cs="Gadugi"/>
          <w:szCs w:val="24"/>
        </w:rPr>
      </w:pPr>
      <w:r w:rsidRPr="00D14DE3">
        <w:rPr>
          <w:rFonts w:ascii="Gadugi" w:hAnsi="Gadugi" w:cs="Arial"/>
          <w:szCs w:val="24"/>
          <w:shd w:val="clear" w:color="auto" w:fill="FAF9F8"/>
        </w:rPr>
        <w:t>El informe</w:t>
      </w:r>
      <w:r w:rsidR="003233C4" w:rsidRPr="00D14DE3">
        <w:rPr>
          <w:rFonts w:ascii="Gadugi" w:hAnsi="Gadugi" w:cs="Arial"/>
          <w:szCs w:val="24"/>
          <w:shd w:val="clear" w:color="auto" w:fill="FAF9F8"/>
        </w:rPr>
        <w:t xml:space="preserve"> del caso, para decirlo de una vez, incluye una probable hipótesis que no se soporta en ninguna de la información que recaudó, o al menos de ella no dejó rastró en el documento. Por eso mismo,</w:t>
      </w:r>
      <w:r w:rsidR="00AD0E9D" w:rsidRPr="00D14DE3">
        <w:rPr>
          <w:rFonts w:ascii="Gadugi" w:hAnsi="Gadugi" w:cs="Arial"/>
          <w:szCs w:val="24"/>
          <w:shd w:val="clear" w:color="auto" w:fill="FAF9F8"/>
        </w:rPr>
        <w:t xml:space="preserve"> </w:t>
      </w:r>
      <w:r w:rsidR="003233C4" w:rsidRPr="00D14DE3">
        <w:rPr>
          <w:rFonts w:ascii="Gadugi" w:hAnsi="Gadugi" w:cs="Arial"/>
          <w:szCs w:val="24"/>
          <w:shd w:val="clear" w:color="auto" w:fill="FAF9F8"/>
        </w:rPr>
        <w:t>debido a su carácter incompleto, no podía servir sin más</w:t>
      </w:r>
      <w:r w:rsidR="00AD0E9D" w:rsidRPr="00D14DE3">
        <w:rPr>
          <w:rFonts w:ascii="Gadugi" w:hAnsi="Gadugi" w:cs="Arial"/>
          <w:szCs w:val="24"/>
          <w:shd w:val="clear" w:color="auto" w:fill="FAF9F8"/>
        </w:rPr>
        <w:t xml:space="preserve"> </w:t>
      </w:r>
      <w:r w:rsidR="003233C4" w:rsidRPr="00D14DE3">
        <w:rPr>
          <w:rFonts w:ascii="Gadugi" w:hAnsi="Gadugi" w:cs="Arial"/>
          <w:szCs w:val="24"/>
          <w:shd w:val="clear" w:color="auto" w:fill="FAF9F8"/>
        </w:rPr>
        <w:t>de bastión para una reconstrucción del accidente como la planteada por el informe pericial.</w:t>
      </w:r>
    </w:p>
    <w:p w14:paraId="74BD966F" w14:textId="2C4C87FE" w:rsidR="003233C4" w:rsidRPr="009A6D7D" w:rsidRDefault="003233C4" w:rsidP="009A6D7D">
      <w:pPr>
        <w:tabs>
          <w:tab w:val="left" w:pos="2268"/>
          <w:tab w:val="left" w:pos="2835"/>
        </w:tabs>
        <w:spacing w:after="0" w:line="276" w:lineRule="auto"/>
        <w:ind w:left="567" w:right="618" w:firstLine="1134"/>
        <w:jc w:val="both"/>
        <w:rPr>
          <w:rFonts w:ascii="Gadugi" w:eastAsia="Gadugi" w:hAnsi="Gadugi" w:cs="Gadugi"/>
          <w:sz w:val="24"/>
          <w:szCs w:val="24"/>
        </w:rPr>
      </w:pPr>
    </w:p>
    <w:p w14:paraId="0F09D5CC" w14:textId="5CA01755" w:rsidR="003233C4" w:rsidRPr="009A6D7D" w:rsidRDefault="00AD0E9D"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Otro tanto ocurre en el presente asunto, pues la hipótesis viene soportada en la información que, dicen sus autores, brindaron vecinos del sector, pero a ninguno de ellos se le identificó. </w:t>
      </w:r>
      <w:r w:rsidR="002C02EC" w:rsidRPr="009A6D7D">
        <w:rPr>
          <w:rFonts w:ascii="Gadugi" w:eastAsia="Gadugi" w:hAnsi="Gadugi" w:cs="Gadugi"/>
          <w:sz w:val="24"/>
          <w:szCs w:val="24"/>
        </w:rPr>
        <w:t xml:space="preserve">Sin embargo, que así sea, no sugiere que deba ser descartado, porque, contrario a lo que se sostiene en la alegación, el juez lo valoró </w:t>
      </w:r>
      <w:r w:rsidR="002C02EC" w:rsidRPr="009A6D7D">
        <w:rPr>
          <w:rFonts w:ascii="Gadugi" w:eastAsia="Gadugi" w:hAnsi="Gadugi" w:cs="Gadugi"/>
          <w:sz w:val="24"/>
          <w:szCs w:val="24"/>
        </w:rPr>
        <w:lastRenderedPageBreak/>
        <w:t xml:space="preserve">también de manera conjunta con otras pruebas, para formar con todas ellas su convencimiento. </w:t>
      </w:r>
    </w:p>
    <w:p w14:paraId="47BF70F6" w14:textId="77777777" w:rsidR="00900ADB" w:rsidRPr="009A6D7D" w:rsidRDefault="00900ADB" w:rsidP="009A6D7D">
      <w:pPr>
        <w:tabs>
          <w:tab w:val="left" w:pos="2268"/>
          <w:tab w:val="left" w:pos="2835"/>
        </w:tabs>
        <w:spacing w:after="0" w:line="276" w:lineRule="auto"/>
        <w:ind w:firstLine="1701"/>
        <w:jc w:val="both"/>
        <w:rPr>
          <w:rFonts w:ascii="Gadugi" w:eastAsia="Gadugi" w:hAnsi="Gadugi" w:cs="Gadugi"/>
          <w:sz w:val="24"/>
          <w:szCs w:val="24"/>
        </w:rPr>
      </w:pPr>
    </w:p>
    <w:p w14:paraId="61D77FB3" w14:textId="2E1A7320" w:rsidR="002C02EC" w:rsidRPr="009A6D7D" w:rsidRDefault="002C02EC"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Y, a decir verdad, el esquema allí plasmado coincide con las fotografías ya mencionadas en lo que a la ubicación del camión, la bicicleta y la víctima se refiere, por un lado. Y por el otro, avala las referencias del perito traído por los demandantes en cuanto a la forma en que, en el momento del accidente, se desplazaban el automotor y el ciclista, con lo que, se cumple el cometido de establecer la hipótesis valiéndose de los rasgos hallados, el impacto, la posición, y otros elementos. </w:t>
      </w:r>
    </w:p>
    <w:p w14:paraId="2FAEBF23" w14:textId="5DE761DA" w:rsidR="002C02EC" w:rsidRPr="009A6D7D" w:rsidRDefault="002C02EC" w:rsidP="009A6D7D">
      <w:pPr>
        <w:tabs>
          <w:tab w:val="left" w:pos="2268"/>
          <w:tab w:val="left" w:pos="2835"/>
        </w:tabs>
        <w:spacing w:after="0" w:line="276" w:lineRule="auto"/>
        <w:ind w:firstLine="1701"/>
        <w:jc w:val="both"/>
        <w:rPr>
          <w:rFonts w:ascii="Gadugi" w:eastAsia="Gadugi" w:hAnsi="Gadugi" w:cs="Gadugi"/>
          <w:sz w:val="24"/>
          <w:szCs w:val="24"/>
        </w:rPr>
      </w:pPr>
    </w:p>
    <w:p w14:paraId="10A1D49F" w14:textId="3DD71D8A" w:rsidR="002C02EC" w:rsidRPr="009A6D7D" w:rsidRDefault="002C02EC"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Como se ve en el informe, apenas se aventura a señalar que pudo ser la imprudencia del conductor de la bicicleta, quien se adentró en la vía que llevaba el pesado veh</w:t>
      </w:r>
      <w:r w:rsidR="009C3B59" w:rsidRPr="009A6D7D">
        <w:rPr>
          <w:rFonts w:ascii="Gadugi" w:eastAsia="Gadugi" w:hAnsi="Gadugi" w:cs="Gadugi"/>
          <w:sz w:val="24"/>
          <w:szCs w:val="24"/>
        </w:rPr>
        <w:t>í</w:t>
      </w:r>
      <w:r w:rsidRPr="009A6D7D">
        <w:rPr>
          <w:rFonts w:ascii="Gadugi" w:eastAsia="Gadugi" w:hAnsi="Gadugi" w:cs="Gadugi"/>
          <w:sz w:val="24"/>
          <w:szCs w:val="24"/>
        </w:rPr>
        <w:t>culo sin precaución alguna, sin mirar</w:t>
      </w:r>
      <w:r w:rsidR="009C3B59" w:rsidRPr="009A6D7D">
        <w:rPr>
          <w:rFonts w:ascii="Gadugi" w:eastAsia="Gadugi" w:hAnsi="Gadugi" w:cs="Gadugi"/>
          <w:sz w:val="24"/>
          <w:szCs w:val="24"/>
        </w:rPr>
        <w:t xml:space="preserve">, y con total desprecio por las normas de tránsito, en particular la que le impedía transitar en contravía, o la de atravesar una vía principal sin percatarse de la circulación por allí de tráfico que ponía en riesgo su integridad. </w:t>
      </w:r>
    </w:p>
    <w:p w14:paraId="61468358" w14:textId="4DDE2900" w:rsidR="003233C4" w:rsidRPr="009A6D7D" w:rsidRDefault="003233C4" w:rsidP="009A6D7D">
      <w:pPr>
        <w:tabs>
          <w:tab w:val="left" w:pos="2268"/>
          <w:tab w:val="left" w:pos="2835"/>
        </w:tabs>
        <w:spacing w:after="0" w:line="276" w:lineRule="auto"/>
        <w:ind w:firstLine="1701"/>
        <w:jc w:val="both"/>
        <w:rPr>
          <w:rFonts w:ascii="Gadugi" w:eastAsia="Gadugi" w:hAnsi="Gadugi" w:cs="Gadugi"/>
          <w:sz w:val="24"/>
          <w:szCs w:val="24"/>
        </w:rPr>
      </w:pPr>
    </w:p>
    <w:p w14:paraId="67AF492B" w14:textId="6A58BBFD" w:rsidR="00233D36" w:rsidRPr="009A6D7D" w:rsidRDefault="00A91E12"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Dicho esto, es cierto, como se </w:t>
      </w:r>
      <w:r w:rsidR="00DB1ADE" w:rsidRPr="009A6D7D">
        <w:rPr>
          <w:rFonts w:ascii="Gadugi" w:eastAsia="Gadugi" w:hAnsi="Gadugi" w:cs="Gadugi"/>
          <w:sz w:val="24"/>
          <w:szCs w:val="24"/>
        </w:rPr>
        <w:t>menciona</w:t>
      </w:r>
      <w:r w:rsidRPr="009A6D7D">
        <w:rPr>
          <w:rFonts w:ascii="Gadugi" w:eastAsia="Gadugi" w:hAnsi="Gadugi" w:cs="Gadugi"/>
          <w:sz w:val="24"/>
          <w:szCs w:val="24"/>
        </w:rPr>
        <w:t xml:space="preserve"> en el reparo </w:t>
      </w:r>
      <w:r w:rsidR="00315A28" w:rsidRPr="009A6D7D">
        <w:rPr>
          <w:rFonts w:ascii="Gadugi" w:eastAsia="Gadugi" w:hAnsi="Gadugi" w:cs="Gadugi"/>
          <w:sz w:val="24"/>
          <w:szCs w:val="24"/>
        </w:rPr>
        <w:t>tercero</w:t>
      </w:r>
      <w:r w:rsidR="00F54C3C" w:rsidRPr="009A6D7D">
        <w:rPr>
          <w:rFonts w:ascii="Gadugi" w:eastAsia="Gadugi" w:hAnsi="Gadugi" w:cs="Gadugi"/>
          <w:sz w:val="24"/>
          <w:szCs w:val="24"/>
        </w:rPr>
        <w:t>,</w:t>
      </w:r>
      <w:r w:rsidR="00315A28" w:rsidRPr="009A6D7D">
        <w:rPr>
          <w:rFonts w:ascii="Gadugi" w:eastAsia="Gadugi" w:hAnsi="Gadugi" w:cs="Gadugi"/>
          <w:sz w:val="24"/>
          <w:szCs w:val="24"/>
        </w:rPr>
        <w:t xml:space="preserve"> que el informe no es plena prueba; </w:t>
      </w:r>
      <w:r w:rsidR="00233D36" w:rsidRPr="009A6D7D">
        <w:rPr>
          <w:rFonts w:ascii="Gadugi" w:eastAsia="Gadugi" w:hAnsi="Gadugi" w:cs="Gadugi"/>
          <w:sz w:val="24"/>
          <w:szCs w:val="24"/>
        </w:rPr>
        <w:t xml:space="preserve">y en verdad el juez no </w:t>
      </w:r>
      <w:r w:rsidR="00623794" w:rsidRPr="009A6D7D">
        <w:rPr>
          <w:rFonts w:ascii="Gadugi" w:eastAsia="Gadugi" w:hAnsi="Gadugi" w:cs="Gadugi"/>
          <w:sz w:val="24"/>
          <w:szCs w:val="24"/>
        </w:rPr>
        <w:t xml:space="preserve">lo </w:t>
      </w:r>
      <w:r w:rsidR="00233D36" w:rsidRPr="009A6D7D">
        <w:rPr>
          <w:rFonts w:ascii="Gadugi" w:eastAsia="Gadugi" w:hAnsi="Gadugi" w:cs="Gadugi"/>
          <w:sz w:val="24"/>
          <w:szCs w:val="24"/>
        </w:rPr>
        <w:t xml:space="preserve">valoró como tal; más bien lo hizo en conjunto con el material fotográfico, los trabajos de los expertos que fueron aportados por las partes, incluido el de los demandantes y, además, el documento fue sustentado en audiencia por sus autores, con lo cual le dio la valoración que le correspondía. </w:t>
      </w:r>
    </w:p>
    <w:p w14:paraId="4DA8FE4F" w14:textId="77777777" w:rsidR="00233D36" w:rsidRPr="009A6D7D" w:rsidRDefault="00233D36" w:rsidP="009A6D7D">
      <w:pPr>
        <w:tabs>
          <w:tab w:val="left" w:pos="2268"/>
          <w:tab w:val="left" w:pos="2835"/>
        </w:tabs>
        <w:spacing w:after="0" w:line="276" w:lineRule="auto"/>
        <w:ind w:firstLine="1701"/>
        <w:jc w:val="both"/>
        <w:rPr>
          <w:rFonts w:ascii="Gadugi" w:eastAsia="Gadugi" w:hAnsi="Gadugi" w:cs="Gadugi"/>
          <w:sz w:val="24"/>
          <w:szCs w:val="24"/>
        </w:rPr>
      </w:pPr>
    </w:p>
    <w:p w14:paraId="4CD5AF07" w14:textId="77777777" w:rsidR="00623794" w:rsidRPr="009A6D7D" w:rsidRDefault="00315A28"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También </w:t>
      </w:r>
      <w:r w:rsidR="00233D36" w:rsidRPr="009A6D7D">
        <w:rPr>
          <w:rFonts w:ascii="Gadugi" w:eastAsia="Gadugi" w:hAnsi="Gadugi" w:cs="Gadugi"/>
          <w:sz w:val="24"/>
          <w:szCs w:val="24"/>
        </w:rPr>
        <w:t xml:space="preserve">es cierto el </w:t>
      </w:r>
      <w:r w:rsidRPr="009A6D7D">
        <w:rPr>
          <w:rFonts w:ascii="Gadugi" w:eastAsia="Gadugi" w:hAnsi="Gadugi" w:cs="Gadugi"/>
          <w:sz w:val="24"/>
          <w:szCs w:val="24"/>
        </w:rPr>
        <w:t xml:space="preserve">cuarto, según se explicó, pero de allí no se sigue el desacierto del juez, pues la hipótesis fue desgajada de otros elementos de prueba. </w:t>
      </w:r>
    </w:p>
    <w:p w14:paraId="26149879" w14:textId="77777777" w:rsidR="00623794" w:rsidRPr="009A6D7D" w:rsidRDefault="00623794" w:rsidP="009A6D7D">
      <w:pPr>
        <w:tabs>
          <w:tab w:val="left" w:pos="2268"/>
          <w:tab w:val="left" w:pos="2835"/>
        </w:tabs>
        <w:spacing w:after="0" w:line="276" w:lineRule="auto"/>
        <w:ind w:firstLine="1701"/>
        <w:jc w:val="both"/>
        <w:rPr>
          <w:rFonts w:ascii="Gadugi" w:eastAsia="Gadugi" w:hAnsi="Gadugi" w:cs="Gadugi"/>
          <w:sz w:val="24"/>
          <w:szCs w:val="24"/>
        </w:rPr>
      </w:pPr>
    </w:p>
    <w:p w14:paraId="74F828E0" w14:textId="73CB439F" w:rsidR="00623794" w:rsidRPr="009A6D7D" w:rsidRDefault="00315A28"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Sobre el quinto</w:t>
      </w:r>
      <w:r w:rsidR="00623794" w:rsidRPr="009A6D7D">
        <w:rPr>
          <w:rFonts w:ascii="Gadugi" w:eastAsia="Gadugi" w:hAnsi="Gadugi" w:cs="Gadugi"/>
          <w:sz w:val="24"/>
          <w:szCs w:val="24"/>
        </w:rPr>
        <w:t xml:space="preserve"> y el sexto</w:t>
      </w:r>
      <w:r w:rsidRPr="009A6D7D">
        <w:rPr>
          <w:rFonts w:ascii="Gadugi" w:eastAsia="Gadugi" w:hAnsi="Gadugi" w:cs="Gadugi"/>
          <w:sz w:val="24"/>
          <w:szCs w:val="24"/>
        </w:rPr>
        <w:t>, ya se dijo que así fue, que no se incluyó el nombre d</w:t>
      </w:r>
      <w:r w:rsidR="00623794" w:rsidRPr="009A6D7D">
        <w:rPr>
          <w:rFonts w:ascii="Gadugi" w:eastAsia="Gadugi" w:hAnsi="Gadugi" w:cs="Gadugi"/>
          <w:sz w:val="24"/>
          <w:szCs w:val="24"/>
        </w:rPr>
        <w:t xml:space="preserve">e </w:t>
      </w:r>
      <w:r w:rsidRPr="009A6D7D">
        <w:rPr>
          <w:rFonts w:ascii="Gadugi" w:eastAsia="Gadugi" w:hAnsi="Gadugi" w:cs="Gadugi"/>
          <w:sz w:val="24"/>
          <w:szCs w:val="24"/>
        </w:rPr>
        <w:t xml:space="preserve">los informantes, pero también se señaló que, mirado el conjunto con lo que muestran las fotografías y enseña el dictamen valorado, </w:t>
      </w:r>
      <w:r w:rsidR="00623794" w:rsidRPr="009A6D7D">
        <w:rPr>
          <w:rFonts w:ascii="Gadugi" w:eastAsia="Gadugi" w:hAnsi="Gadugi" w:cs="Gadugi"/>
          <w:sz w:val="24"/>
          <w:szCs w:val="24"/>
        </w:rPr>
        <w:t xml:space="preserve">surge </w:t>
      </w:r>
      <w:r w:rsidRPr="009A6D7D">
        <w:rPr>
          <w:rFonts w:ascii="Gadugi" w:eastAsia="Gadugi" w:hAnsi="Gadugi" w:cs="Gadugi"/>
          <w:sz w:val="24"/>
          <w:szCs w:val="24"/>
        </w:rPr>
        <w:t xml:space="preserve">esa tesis como la más probable. </w:t>
      </w:r>
    </w:p>
    <w:p w14:paraId="167E62C0" w14:textId="77777777" w:rsidR="00900ADB" w:rsidRPr="009A6D7D" w:rsidRDefault="00900ADB" w:rsidP="009A6D7D">
      <w:pPr>
        <w:tabs>
          <w:tab w:val="left" w:pos="2268"/>
          <w:tab w:val="left" w:pos="2835"/>
        </w:tabs>
        <w:spacing w:after="0" w:line="276" w:lineRule="auto"/>
        <w:ind w:firstLine="1701"/>
        <w:jc w:val="both"/>
        <w:rPr>
          <w:rFonts w:ascii="Gadugi" w:eastAsia="Gadugi" w:hAnsi="Gadugi" w:cs="Gadugi"/>
          <w:sz w:val="24"/>
          <w:szCs w:val="24"/>
        </w:rPr>
      </w:pPr>
    </w:p>
    <w:p w14:paraId="56A355AA" w14:textId="165D5B25" w:rsidR="00624221" w:rsidRPr="009A6D7D" w:rsidRDefault="00315A28"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Y el 7, que similar a los demás, no pasa de ser una reiteración de lo que dice la norma, es cierto en la medida en que los agentes no fueron testigos directos de lo ocurrido, solo que, en ejercicio de su función, y a pesar de la falencia en la recolección de la información sobre quiénes percibieron lo ocurrido, no por su desinterés, sino porque nadie quiso suministrarles </w:t>
      </w:r>
      <w:r w:rsidR="0043738B" w:rsidRPr="009A6D7D">
        <w:rPr>
          <w:rFonts w:ascii="Gadugi" w:eastAsia="Gadugi" w:hAnsi="Gadugi" w:cs="Gadugi"/>
          <w:sz w:val="24"/>
          <w:szCs w:val="24"/>
        </w:rPr>
        <w:t>sus datos personales</w:t>
      </w:r>
      <w:r w:rsidRPr="009A6D7D">
        <w:rPr>
          <w:rFonts w:ascii="Gadugi" w:eastAsia="Gadugi" w:hAnsi="Gadugi" w:cs="Gadugi"/>
          <w:sz w:val="24"/>
          <w:szCs w:val="24"/>
        </w:rPr>
        <w:t xml:space="preserve">, </w:t>
      </w:r>
      <w:r w:rsidR="00624221" w:rsidRPr="009A6D7D">
        <w:rPr>
          <w:rFonts w:ascii="Gadugi" w:eastAsia="Gadugi" w:hAnsi="Gadugi" w:cs="Gadugi"/>
          <w:sz w:val="24"/>
          <w:szCs w:val="24"/>
        </w:rPr>
        <w:t xml:space="preserve">dejaron sentada su teoría valiéndose de otros residuos que dejó el accidente, se repite: la posición de los vehículos, los daños por estos sufridos, las pesquisas realizadas. </w:t>
      </w:r>
    </w:p>
    <w:p w14:paraId="2F3E3332" w14:textId="6923E784" w:rsidR="00624221" w:rsidRPr="009A6D7D" w:rsidRDefault="00624221" w:rsidP="009A6D7D">
      <w:pPr>
        <w:tabs>
          <w:tab w:val="left" w:pos="2268"/>
          <w:tab w:val="left" w:pos="2835"/>
        </w:tabs>
        <w:spacing w:after="0" w:line="276" w:lineRule="auto"/>
        <w:ind w:firstLine="1701"/>
        <w:jc w:val="both"/>
        <w:rPr>
          <w:rFonts w:ascii="Gadugi" w:eastAsia="Gadugi" w:hAnsi="Gadugi" w:cs="Gadugi"/>
          <w:sz w:val="24"/>
          <w:szCs w:val="24"/>
        </w:rPr>
      </w:pPr>
    </w:p>
    <w:p w14:paraId="1C22C185" w14:textId="22458199" w:rsidR="00AD4ACE" w:rsidRPr="009A6D7D" w:rsidRDefault="00AF2187"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No se olvide que la Ley 769 de 2022, describe en su artículo 144 el informe como descriptivo, y así lo concibe también la citada Resolución </w:t>
      </w:r>
      <w:r w:rsidR="00A85F10" w:rsidRPr="009A6D7D">
        <w:rPr>
          <w:rFonts w:ascii="Gadugi" w:eastAsia="Gadugi" w:hAnsi="Gadugi" w:cs="Gadugi"/>
          <w:sz w:val="24"/>
          <w:szCs w:val="24"/>
        </w:rPr>
        <w:t xml:space="preserve">11268 de </w:t>
      </w:r>
      <w:r w:rsidR="00A85F10" w:rsidRPr="009A6D7D">
        <w:rPr>
          <w:rFonts w:ascii="Gadugi" w:eastAsia="Gadugi" w:hAnsi="Gadugi" w:cs="Gadugi"/>
          <w:sz w:val="24"/>
          <w:szCs w:val="24"/>
        </w:rPr>
        <w:lastRenderedPageBreak/>
        <w:t>2012</w:t>
      </w:r>
      <w:r w:rsidR="00A85F10" w:rsidRPr="009A6D7D">
        <w:rPr>
          <w:rFonts w:ascii="Gadugi" w:eastAsia="Gadugi" w:hAnsi="Gadugi" w:cs="Gadugi"/>
          <w:sz w:val="24"/>
          <w:szCs w:val="24"/>
          <w:vertAlign w:val="superscript"/>
        </w:rPr>
        <w:footnoteReference w:id="54"/>
      </w:r>
      <w:r w:rsidRPr="009A6D7D">
        <w:rPr>
          <w:rFonts w:ascii="Gadugi" w:eastAsia="Gadugi" w:hAnsi="Gadugi" w:cs="Gadugi"/>
          <w:sz w:val="24"/>
          <w:szCs w:val="24"/>
        </w:rPr>
        <w:t xml:space="preserve">, que es elaborado por </w:t>
      </w:r>
      <w:r w:rsidR="00A85F10" w:rsidRPr="009A6D7D">
        <w:rPr>
          <w:rFonts w:ascii="Gadugi" w:eastAsia="Gadugi" w:hAnsi="Gadugi" w:cs="Gadugi"/>
          <w:sz w:val="24"/>
          <w:szCs w:val="24"/>
        </w:rPr>
        <w:t xml:space="preserve">un funcionario público, </w:t>
      </w:r>
      <w:r w:rsidRPr="009A6D7D">
        <w:rPr>
          <w:rFonts w:ascii="Gadugi" w:eastAsia="Gadugi" w:hAnsi="Gadugi" w:cs="Gadugi"/>
          <w:sz w:val="24"/>
          <w:szCs w:val="24"/>
        </w:rPr>
        <w:t xml:space="preserve">así que su </w:t>
      </w:r>
      <w:r w:rsidR="00A85F10" w:rsidRPr="009A6D7D">
        <w:rPr>
          <w:rFonts w:ascii="Gadugi" w:eastAsia="Gadugi" w:hAnsi="Gadugi" w:cs="Gadugi"/>
          <w:sz w:val="24"/>
          <w:szCs w:val="24"/>
        </w:rPr>
        <w:t>información está dotada de autenticidad</w:t>
      </w:r>
      <w:r w:rsidRPr="009A6D7D">
        <w:rPr>
          <w:rFonts w:ascii="Gadugi" w:eastAsia="Gadugi" w:hAnsi="Gadugi" w:cs="Gadugi"/>
          <w:sz w:val="24"/>
          <w:szCs w:val="24"/>
        </w:rPr>
        <w:t xml:space="preserve">, con lo que nada impide que sea </w:t>
      </w:r>
      <w:r w:rsidR="00D75CF5" w:rsidRPr="009A6D7D">
        <w:rPr>
          <w:rFonts w:ascii="Gadugi" w:eastAsia="Gadugi" w:hAnsi="Gadugi" w:cs="Gadugi"/>
          <w:sz w:val="24"/>
          <w:szCs w:val="24"/>
        </w:rPr>
        <w:t>considerado su contenido en un proceso</w:t>
      </w:r>
      <w:r w:rsidR="00B82FF2" w:rsidRPr="009A6D7D">
        <w:rPr>
          <w:rStyle w:val="Refdenotaalpie"/>
          <w:rFonts w:ascii="Gadugi" w:eastAsia="Gadugi" w:hAnsi="Gadugi" w:cs="Gadugi"/>
          <w:sz w:val="24"/>
          <w:szCs w:val="24"/>
        </w:rPr>
        <w:footnoteReference w:id="55"/>
      </w:r>
      <w:r w:rsidR="00A85F10" w:rsidRPr="009A6D7D">
        <w:rPr>
          <w:rFonts w:ascii="Gadugi" w:eastAsia="Gadugi" w:hAnsi="Gadugi" w:cs="Gadugi"/>
          <w:sz w:val="24"/>
          <w:szCs w:val="24"/>
        </w:rPr>
        <w:t xml:space="preserve">. </w:t>
      </w:r>
      <w:r w:rsidR="00D75CF5" w:rsidRPr="009A6D7D">
        <w:rPr>
          <w:rFonts w:ascii="Gadugi" w:eastAsia="Gadugi" w:hAnsi="Gadugi" w:cs="Gadugi"/>
          <w:sz w:val="24"/>
          <w:szCs w:val="24"/>
        </w:rPr>
        <w:t>Así lo ha reconocido la jurisprudencia de tiempo atrás</w:t>
      </w:r>
      <w:r w:rsidR="00D75CF5" w:rsidRPr="009A6D7D">
        <w:rPr>
          <w:rStyle w:val="Refdenotaalpie"/>
          <w:rFonts w:ascii="Gadugi" w:eastAsia="Gadugi" w:hAnsi="Gadugi" w:cs="Gadugi"/>
          <w:sz w:val="24"/>
          <w:szCs w:val="24"/>
        </w:rPr>
        <w:footnoteReference w:id="56"/>
      </w:r>
      <w:r w:rsidR="00D75CF5" w:rsidRPr="009A6D7D">
        <w:rPr>
          <w:rFonts w:ascii="Gadugi" w:eastAsia="Gadugi" w:hAnsi="Gadugi" w:cs="Gadugi"/>
          <w:sz w:val="24"/>
          <w:szCs w:val="24"/>
        </w:rPr>
        <w:t>.</w:t>
      </w:r>
    </w:p>
    <w:p w14:paraId="1C22C186" w14:textId="77777777" w:rsidR="00AD4ACE" w:rsidRPr="009A6D7D" w:rsidRDefault="00AD4ACE" w:rsidP="009A6D7D">
      <w:pPr>
        <w:tabs>
          <w:tab w:val="left" w:pos="2268"/>
          <w:tab w:val="left" w:pos="2835"/>
        </w:tabs>
        <w:spacing w:after="0" w:line="276" w:lineRule="auto"/>
        <w:jc w:val="both"/>
        <w:rPr>
          <w:rFonts w:ascii="Gadugi" w:eastAsia="Gadugi" w:hAnsi="Gadugi" w:cs="Gadugi"/>
          <w:sz w:val="24"/>
          <w:szCs w:val="24"/>
        </w:rPr>
      </w:pPr>
    </w:p>
    <w:p w14:paraId="1C22C1A5" w14:textId="587ED0AB" w:rsidR="00AD4ACE" w:rsidRPr="009A6D7D" w:rsidRDefault="002739C2"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hAnsi="Gadugi"/>
          <w:sz w:val="24"/>
          <w:szCs w:val="24"/>
        </w:rPr>
        <w:t xml:space="preserve">2.9.2.4. Un disenso más, tiene que ver con </w:t>
      </w:r>
      <w:r w:rsidR="00A85F10" w:rsidRPr="009A6D7D">
        <w:rPr>
          <w:rFonts w:ascii="Gadugi" w:eastAsia="Gadugi" w:hAnsi="Gadugi" w:cs="Gadugi"/>
          <w:sz w:val="24"/>
          <w:szCs w:val="24"/>
        </w:rPr>
        <w:t>el testimonio que rindió el señor Urbano de Jesús Toro</w:t>
      </w:r>
      <w:r w:rsidR="004E5EE9" w:rsidRPr="009A6D7D">
        <w:rPr>
          <w:rStyle w:val="Refdenotaalpie"/>
          <w:rFonts w:ascii="Gadugi" w:eastAsia="Gadugi" w:hAnsi="Gadugi" w:cs="Gadugi"/>
          <w:sz w:val="24"/>
          <w:szCs w:val="24"/>
        </w:rPr>
        <w:footnoteReference w:id="57"/>
      </w:r>
      <w:r w:rsidR="00A85F10" w:rsidRPr="009A6D7D">
        <w:rPr>
          <w:rFonts w:ascii="Gadugi" w:eastAsia="Gadugi" w:hAnsi="Gadugi" w:cs="Gadugi"/>
          <w:sz w:val="24"/>
          <w:szCs w:val="24"/>
        </w:rPr>
        <w:t xml:space="preserve">, </w:t>
      </w:r>
      <w:r w:rsidRPr="009A6D7D">
        <w:rPr>
          <w:rFonts w:ascii="Gadugi" w:eastAsia="Gadugi" w:hAnsi="Gadugi" w:cs="Gadugi"/>
          <w:sz w:val="24"/>
          <w:szCs w:val="24"/>
        </w:rPr>
        <w:t xml:space="preserve">pues, </w:t>
      </w:r>
      <w:r w:rsidR="00A85F10" w:rsidRPr="009A6D7D">
        <w:rPr>
          <w:rFonts w:ascii="Gadugi" w:eastAsia="Gadugi" w:hAnsi="Gadugi" w:cs="Gadugi"/>
          <w:sz w:val="24"/>
          <w:szCs w:val="24"/>
        </w:rPr>
        <w:t>señala</w:t>
      </w:r>
      <w:r w:rsidRPr="009A6D7D">
        <w:rPr>
          <w:rFonts w:ascii="Gadugi" w:eastAsia="Gadugi" w:hAnsi="Gadugi" w:cs="Gadugi"/>
          <w:sz w:val="24"/>
          <w:szCs w:val="24"/>
        </w:rPr>
        <w:t xml:space="preserve">n los recurrentes que </w:t>
      </w:r>
      <w:r w:rsidR="00A85F10" w:rsidRPr="009A6D7D">
        <w:rPr>
          <w:rFonts w:ascii="Gadugi" w:eastAsia="Gadugi" w:hAnsi="Gadugi" w:cs="Gadugi"/>
          <w:sz w:val="24"/>
          <w:szCs w:val="24"/>
        </w:rPr>
        <w:t xml:space="preserve">no se tuvo en cuenta su manifestación sobre la velocidad en que se movilizaba el camión, que excedía los límites establecidos para la altura de la vía en la que ocurrió el siniestro, es decir, aproximadamente a unos 35 o 40 kilómetros por hora. </w:t>
      </w:r>
    </w:p>
    <w:p w14:paraId="1C22C1A6" w14:textId="77777777" w:rsidR="00AD4ACE" w:rsidRPr="009A6D7D" w:rsidRDefault="00AD4ACE" w:rsidP="009A6D7D">
      <w:pPr>
        <w:tabs>
          <w:tab w:val="left" w:pos="2268"/>
          <w:tab w:val="left" w:pos="2835"/>
        </w:tabs>
        <w:spacing w:after="0" w:line="276" w:lineRule="auto"/>
        <w:jc w:val="both"/>
        <w:rPr>
          <w:rFonts w:ascii="Gadugi" w:eastAsia="Gadugi" w:hAnsi="Gadugi" w:cs="Gadugi"/>
          <w:sz w:val="24"/>
          <w:szCs w:val="24"/>
        </w:rPr>
      </w:pPr>
    </w:p>
    <w:p w14:paraId="1C22C1A7" w14:textId="718DAAB1" w:rsidR="00AD4ACE" w:rsidRPr="009A6D7D" w:rsidRDefault="00A85F10"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Esta censura</w:t>
      </w:r>
      <w:r w:rsidR="00503915" w:rsidRPr="009A6D7D">
        <w:rPr>
          <w:rFonts w:ascii="Gadugi" w:eastAsia="Gadugi" w:hAnsi="Gadugi" w:cs="Gadugi"/>
          <w:sz w:val="24"/>
          <w:szCs w:val="24"/>
        </w:rPr>
        <w:t xml:space="preserve">, la 12, </w:t>
      </w:r>
      <w:r w:rsidRPr="009A6D7D">
        <w:rPr>
          <w:rFonts w:ascii="Gadugi" w:eastAsia="Gadugi" w:hAnsi="Gadugi" w:cs="Gadugi"/>
          <w:sz w:val="24"/>
          <w:szCs w:val="24"/>
        </w:rPr>
        <w:t xml:space="preserve">tampoco tiene vocación de prosperidad. </w:t>
      </w:r>
    </w:p>
    <w:p w14:paraId="1C22C1A8" w14:textId="77777777" w:rsidR="00AD4ACE" w:rsidRPr="009A6D7D" w:rsidRDefault="00AD4ACE" w:rsidP="009A6D7D">
      <w:pPr>
        <w:tabs>
          <w:tab w:val="left" w:pos="2268"/>
          <w:tab w:val="left" w:pos="2835"/>
        </w:tabs>
        <w:spacing w:after="0" w:line="276" w:lineRule="auto"/>
        <w:jc w:val="both"/>
        <w:rPr>
          <w:rFonts w:ascii="Gadugi" w:eastAsia="Gadugi" w:hAnsi="Gadugi" w:cs="Gadugi"/>
          <w:sz w:val="24"/>
          <w:szCs w:val="24"/>
        </w:rPr>
      </w:pPr>
    </w:p>
    <w:p w14:paraId="1C22C1AB" w14:textId="10552C99" w:rsidR="00AD4ACE" w:rsidRPr="009A6D7D" w:rsidRDefault="00A724FE"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El mismo informe pericial que adujo la parte demandada, concluye la imposibilidad de </w:t>
      </w:r>
      <w:r w:rsidR="00A85F10" w:rsidRPr="009A6D7D">
        <w:rPr>
          <w:rFonts w:ascii="Gadugi" w:eastAsia="Gadugi" w:hAnsi="Gadugi" w:cs="Gadugi"/>
          <w:sz w:val="24"/>
          <w:szCs w:val="24"/>
        </w:rPr>
        <w:t xml:space="preserve">determinar la velocidad aproximada en que se movilizaban los rodantes, </w:t>
      </w:r>
      <w:r w:rsidRPr="009A6D7D">
        <w:rPr>
          <w:rFonts w:ascii="Gadugi" w:eastAsia="Gadugi" w:hAnsi="Gadugi" w:cs="Gadugi"/>
          <w:sz w:val="24"/>
          <w:szCs w:val="24"/>
        </w:rPr>
        <w:t>pero dejó claro que ninguno de los dos lo hacía en exceso</w:t>
      </w:r>
      <w:r w:rsidR="00A85F10" w:rsidRPr="009A6D7D">
        <w:rPr>
          <w:rFonts w:ascii="Gadugi" w:eastAsia="Gadugi" w:hAnsi="Gadugi" w:cs="Gadugi"/>
          <w:sz w:val="24"/>
          <w:szCs w:val="24"/>
        </w:rPr>
        <w:t xml:space="preserve">. </w:t>
      </w:r>
    </w:p>
    <w:p w14:paraId="1C22C1AC" w14:textId="77777777" w:rsidR="00AD4ACE" w:rsidRPr="009A6D7D" w:rsidRDefault="00AD4ACE" w:rsidP="009A6D7D">
      <w:pPr>
        <w:tabs>
          <w:tab w:val="left" w:pos="2268"/>
          <w:tab w:val="left" w:pos="2835"/>
        </w:tabs>
        <w:spacing w:after="0" w:line="276" w:lineRule="auto"/>
        <w:jc w:val="both"/>
        <w:rPr>
          <w:rFonts w:ascii="Gadugi" w:eastAsia="Gadugi" w:hAnsi="Gadugi" w:cs="Gadugi"/>
          <w:sz w:val="24"/>
          <w:szCs w:val="24"/>
        </w:rPr>
      </w:pPr>
    </w:p>
    <w:p w14:paraId="5C9A114F" w14:textId="15F0B5A2" w:rsidR="007A6C73" w:rsidRPr="009A6D7D" w:rsidRDefault="00A75020"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El dicho del testigo </w:t>
      </w:r>
      <w:r w:rsidR="007A6C73" w:rsidRPr="009A6D7D">
        <w:rPr>
          <w:rFonts w:ascii="Gadugi" w:eastAsia="Gadugi" w:hAnsi="Gadugi" w:cs="Gadugi"/>
          <w:sz w:val="24"/>
          <w:szCs w:val="24"/>
        </w:rPr>
        <w:t xml:space="preserve">se queda en una mera </w:t>
      </w:r>
      <w:r w:rsidRPr="009A6D7D">
        <w:rPr>
          <w:rFonts w:ascii="Gadugi" w:eastAsia="Gadugi" w:hAnsi="Gadugi" w:cs="Gadugi"/>
          <w:sz w:val="24"/>
          <w:szCs w:val="24"/>
        </w:rPr>
        <w:t xml:space="preserve">apreciación sin un soporte técnico claro; el deponente señaló que la velocidad mencionada era aproximada, solo porque ha estado en el medio desde hace un tiempo, pero no porque la hubiera podido verificar por algún medio. </w:t>
      </w:r>
    </w:p>
    <w:p w14:paraId="40506236" w14:textId="77777777" w:rsidR="007A6C73" w:rsidRPr="009A6D7D" w:rsidRDefault="007A6C73" w:rsidP="009A6D7D">
      <w:pPr>
        <w:tabs>
          <w:tab w:val="left" w:pos="2268"/>
          <w:tab w:val="left" w:pos="2835"/>
        </w:tabs>
        <w:spacing w:after="0" w:line="276" w:lineRule="auto"/>
        <w:ind w:firstLine="1701"/>
        <w:jc w:val="both"/>
        <w:rPr>
          <w:rFonts w:ascii="Gadugi" w:eastAsia="Gadugi" w:hAnsi="Gadugi" w:cs="Gadugi"/>
          <w:sz w:val="24"/>
          <w:szCs w:val="24"/>
        </w:rPr>
      </w:pPr>
    </w:p>
    <w:p w14:paraId="21616AB8" w14:textId="739BC605" w:rsidR="00A75020" w:rsidRPr="009A6D7D" w:rsidRDefault="007A6C73" w:rsidP="009A6D7D">
      <w:pPr>
        <w:tabs>
          <w:tab w:val="left" w:pos="2268"/>
          <w:tab w:val="left" w:pos="2835"/>
        </w:tabs>
        <w:spacing w:after="0" w:line="276" w:lineRule="auto"/>
        <w:ind w:firstLine="1701"/>
        <w:jc w:val="both"/>
        <w:rPr>
          <w:rFonts w:ascii="Gadugi" w:eastAsia="Gadugi" w:hAnsi="Gadugi" w:cs="Gadugi"/>
          <w:color w:val="FF0000"/>
          <w:sz w:val="24"/>
          <w:szCs w:val="24"/>
        </w:rPr>
      </w:pPr>
      <w:r w:rsidRPr="009A6D7D">
        <w:rPr>
          <w:rFonts w:ascii="Gadugi" w:eastAsia="Gadugi" w:hAnsi="Gadugi" w:cs="Gadugi"/>
          <w:sz w:val="24"/>
          <w:szCs w:val="24"/>
        </w:rPr>
        <w:t xml:space="preserve">Con lo que, huérfano de prueba quedó ese hecho que, además, y a diferencia de lo que sostienen los recurrentes, podría haber sido relevante en esta ocasión, pues descubierto como está que el juzgado acertó al endilgarle a la víctima un hecho que lamentablemente le costó la vida, era necesario establecer si del lado del conductor del pesado automotor se pudo haber presentado </w:t>
      </w:r>
      <w:r w:rsidR="009613CD" w:rsidRPr="009A6D7D">
        <w:rPr>
          <w:rFonts w:ascii="Gadugi" w:eastAsia="Gadugi" w:hAnsi="Gadugi" w:cs="Gadugi"/>
          <w:sz w:val="24"/>
          <w:szCs w:val="24"/>
        </w:rPr>
        <w:t xml:space="preserve">algún comportamiento que incidiera en el resultado fatal, pero ello no aconteció. </w:t>
      </w:r>
    </w:p>
    <w:p w14:paraId="79CCE5FA" w14:textId="77777777" w:rsidR="00772582" w:rsidRPr="009A6D7D" w:rsidRDefault="00772582" w:rsidP="009A6D7D">
      <w:pPr>
        <w:tabs>
          <w:tab w:val="left" w:pos="2268"/>
          <w:tab w:val="left" w:pos="2835"/>
        </w:tabs>
        <w:spacing w:after="0" w:line="276" w:lineRule="auto"/>
        <w:ind w:firstLine="1701"/>
        <w:jc w:val="both"/>
        <w:rPr>
          <w:rFonts w:ascii="Gadugi" w:eastAsia="Gadugi" w:hAnsi="Gadugi" w:cs="Gadugi"/>
          <w:sz w:val="24"/>
          <w:szCs w:val="24"/>
        </w:rPr>
      </w:pPr>
    </w:p>
    <w:p w14:paraId="17F9D4E0" w14:textId="190BEE97" w:rsidR="00C84845" w:rsidRPr="009A6D7D" w:rsidRDefault="009613CD" w:rsidP="009A6D7D">
      <w:pPr>
        <w:tabs>
          <w:tab w:val="left" w:pos="2268"/>
          <w:tab w:val="left" w:pos="2835"/>
        </w:tabs>
        <w:spacing w:after="0" w:line="276" w:lineRule="auto"/>
        <w:ind w:firstLine="1701"/>
        <w:jc w:val="both"/>
        <w:rPr>
          <w:rFonts w:ascii="Gadugi" w:eastAsia="Times New Roman" w:hAnsi="Gadugi" w:cs="Arial"/>
          <w:sz w:val="24"/>
          <w:szCs w:val="24"/>
        </w:rPr>
      </w:pPr>
      <w:r w:rsidRPr="009A6D7D">
        <w:rPr>
          <w:rFonts w:ascii="Gadugi" w:eastAsia="Gadugi" w:hAnsi="Gadugi" w:cs="Gadugi"/>
          <w:sz w:val="24"/>
          <w:szCs w:val="24"/>
        </w:rPr>
        <w:t>Ahora, si de valorar los testimonios se tratara, esta Colegiatura ha insistido</w:t>
      </w:r>
      <w:r w:rsidRPr="009A6D7D">
        <w:rPr>
          <w:rStyle w:val="Refdenotaalpie"/>
          <w:rFonts w:ascii="Gadugi" w:eastAsia="Gadugi" w:hAnsi="Gadugi" w:cs="Gadugi"/>
          <w:sz w:val="24"/>
          <w:szCs w:val="24"/>
        </w:rPr>
        <w:footnoteReference w:id="58"/>
      </w:r>
      <w:r w:rsidRPr="009A6D7D">
        <w:rPr>
          <w:rFonts w:ascii="Gadugi" w:eastAsia="Gadugi" w:hAnsi="Gadugi" w:cs="Gadugi"/>
          <w:sz w:val="24"/>
          <w:szCs w:val="24"/>
        </w:rPr>
        <w:t xml:space="preserve"> en que</w:t>
      </w:r>
      <w:r w:rsidR="00D61138" w:rsidRPr="009A6D7D">
        <w:rPr>
          <w:rFonts w:ascii="Gadugi" w:eastAsia="Gadugi" w:hAnsi="Gadugi" w:cs="Gadugi"/>
          <w:sz w:val="24"/>
          <w:szCs w:val="24"/>
        </w:rPr>
        <w:t xml:space="preserve">, a la luz del artículo 221 del CGP, </w:t>
      </w:r>
      <w:r w:rsidRPr="009A6D7D">
        <w:rPr>
          <w:rFonts w:ascii="Gadugi" w:eastAsia="Times New Roman" w:hAnsi="Gadugi" w:cs="Arial"/>
          <w:sz w:val="24"/>
          <w:szCs w:val="24"/>
        </w:rPr>
        <w:t xml:space="preserve">hay  una técnica para </w:t>
      </w:r>
      <w:r w:rsidR="002C242C" w:rsidRPr="009A6D7D">
        <w:rPr>
          <w:rFonts w:ascii="Gadugi" w:eastAsia="Times New Roman" w:hAnsi="Gadugi" w:cs="Arial"/>
          <w:sz w:val="24"/>
          <w:szCs w:val="24"/>
        </w:rPr>
        <w:t>ello</w:t>
      </w:r>
      <w:r w:rsidRPr="009A6D7D">
        <w:rPr>
          <w:rFonts w:ascii="Gadugi" w:eastAsia="Times New Roman" w:hAnsi="Gadugi" w:cs="Arial"/>
          <w:sz w:val="24"/>
          <w:szCs w:val="24"/>
        </w:rPr>
        <w:t xml:space="preserve">, si bien </w:t>
      </w:r>
      <w:r w:rsidR="00673FB3" w:rsidRPr="009A6D7D">
        <w:rPr>
          <w:rFonts w:ascii="Gadugi" w:eastAsia="Times New Roman" w:hAnsi="Gadugi" w:cs="Arial"/>
          <w:sz w:val="24"/>
          <w:szCs w:val="24"/>
        </w:rPr>
        <w:t xml:space="preserve">se le exige al juez </w:t>
      </w:r>
      <w:r w:rsidR="00020585" w:rsidRPr="009A6D7D">
        <w:rPr>
          <w:rFonts w:ascii="Gadugi" w:eastAsia="Times New Roman" w:hAnsi="Gadugi" w:cs="Arial"/>
          <w:sz w:val="24"/>
          <w:szCs w:val="24"/>
        </w:rPr>
        <w:t>explorar sobre el conocimiento que el testigo pueda tener sobre los hechos, con la finalidad de que su versión sea exacta, completa y explicativa de las circunstancias de tiempo, modo y lugar en que acaecieron y cómo las conoció</w:t>
      </w:r>
      <w:r w:rsidR="00020585" w:rsidRPr="009A6D7D">
        <w:rPr>
          <w:rStyle w:val="Refdenotaalpie"/>
          <w:rFonts w:ascii="Gadugi" w:eastAsia="Times New Roman" w:hAnsi="Gadugi" w:cs="Arial"/>
          <w:sz w:val="24"/>
          <w:szCs w:val="24"/>
        </w:rPr>
        <w:footnoteReference w:id="59"/>
      </w:r>
      <w:r w:rsidR="00020585" w:rsidRPr="009A6D7D">
        <w:rPr>
          <w:rFonts w:ascii="Gadugi" w:eastAsia="Times New Roman" w:hAnsi="Gadugi" w:cs="Arial"/>
          <w:sz w:val="24"/>
          <w:szCs w:val="24"/>
        </w:rPr>
        <w:t>, es decir, concretar la razón de la ciencia de su dicho</w:t>
      </w:r>
      <w:r w:rsidR="00C84845" w:rsidRPr="009A6D7D">
        <w:rPr>
          <w:rFonts w:ascii="Gadugi" w:eastAsia="Times New Roman" w:hAnsi="Gadugi" w:cs="Arial"/>
          <w:sz w:val="24"/>
          <w:szCs w:val="24"/>
        </w:rPr>
        <w:t>, a</w:t>
      </w:r>
      <w:r w:rsidR="00772582" w:rsidRPr="009A6D7D">
        <w:rPr>
          <w:rFonts w:ascii="Gadugi" w:eastAsia="Times New Roman" w:hAnsi="Gadugi" w:cs="Arial"/>
          <w:sz w:val="24"/>
          <w:szCs w:val="24"/>
        </w:rPr>
        <w:t xml:space="preserve"> </w:t>
      </w:r>
      <w:r w:rsidR="00C84845" w:rsidRPr="009A6D7D">
        <w:rPr>
          <w:rFonts w:ascii="Gadugi" w:eastAsia="Times New Roman" w:hAnsi="Gadugi" w:cs="Arial"/>
          <w:sz w:val="24"/>
          <w:szCs w:val="24"/>
        </w:rPr>
        <w:t>lo que se suma la concordancia y coherencia de la exposición y su armonía con otros medios de prueba</w:t>
      </w:r>
      <w:r w:rsidR="00C84845" w:rsidRPr="009A6D7D">
        <w:rPr>
          <w:rStyle w:val="Refdenotaalpie"/>
          <w:rFonts w:ascii="Gadugi" w:eastAsia="Times New Roman" w:hAnsi="Gadugi" w:cs="Arial"/>
          <w:sz w:val="24"/>
          <w:szCs w:val="24"/>
        </w:rPr>
        <w:footnoteReference w:id="60"/>
      </w:r>
      <w:r w:rsidR="00C84845" w:rsidRPr="009A6D7D">
        <w:rPr>
          <w:rFonts w:ascii="Gadugi" w:eastAsia="Times New Roman" w:hAnsi="Gadugi" w:cs="Arial"/>
          <w:sz w:val="24"/>
          <w:szCs w:val="24"/>
        </w:rPr>
        <w:t xml:space="preserve">. </w:t>
      </w:r>
    </w:p>
    <w:p w14:paraId="4C4C2782" w14:textId="77777777" w:rsidR="00C84845" w:rsidRPr="009A6D7D" w:rsidRDefault="00C84845" w:rsidP="009A6D7D">
      <w:pPr>
        <w:tabs>
          <w:tab w:val="left" w:pos="2268"/>
          <w:tab w:val="left" w:pos="2835"/>
        </w:tabs>
        <w:spacing w:after="0" w:line="276" w:lineRule="auto"/>
        <w:ind w:firstLine="1701"/>
        <w:jc w:val="both"/>
        <w:rPr>
          <w:rFonts w:ascii="Gadugi" w:hAnsi="Gadugi" w:cs="Arial"/>
          <w:sz w:val="24"/>
          <w:szCs w:val="24"/>
          <w:shd w:val="clear" w:color="auto" w:fill="FAF9F8"/>
        </w:rPr>
      </w:pPr>
    </w:p>
    <w:p w14:paraId="59C195D9" w14:textId="06C6FE2D" w:rsidR="004E5EE9" w:rsidRPr="009A6D7D" w:rsidRDefault="00C84845"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Tal tarea ha debido asumir el juzgado de primer grado, pues omitió referirse en concreto a las versiones, no solo del señor Urbano de Jesús Toro, que es el que la parte demandante quiere que se tenga en cuenta y de manera parcial</w:t>
      </w:r>
      <w:r w:rsidR="00A67296" w:rsidRPr="009A6D7D">
        <w:rPr>
          <w:rFonts w:ascii="Gadugi" w:eastAsia="Gadugi" w:hAnsi="Gadugi" w:cs="Gadugi"/>
          <w:sz w:val="24"/>
          <w:szCs w:val="24"/>
        </w:rPr>
        <w:t>,</w:t>
      </w:r>
      <w:r w:rsidRPr="009A6D7D">
        <w:rPr>
          <w:rFonts w:ascii="Gadugi" w:eastAsia="Gadugi" w:hAnsi="Gadugi" w:cs="Gadugi"/>
          <w:sz w:val="24"/>
          <w:szCs w:val="24"/>
        </w:rPr>
        <w:t xml:space="preserve"> sino al de </w:t>
      </w:r>
      <w:r w:rsidR="00772582" w:rsidRPr="009A6D7D">
        <w:rPr>
          <w:rFonts w:ascii="Gadugi" w:eastAsia="Gadugi" w:hAnsi="Gadugi" w:cs="Gadugi"/>
          <w:sz w:val="24"/>
          <w:szCs w:val="24"/>
        </w:rPr>
        <w:t>Jair</w:t>
      </w:r>
      <w:r w:rsidR="004E5EE9" w:rsidRPr="009A6D7D">
        <w:rPr>
          <w:rFonts w:ascii="Gadugi" w:eastAsia="Gadugi" w:hAnsi="Gadugi" w:cs="Gadugi"/>
          <w:sz w:val="24"/>
          <w:szCs w:val="24"/>
        </w:rPr>
        <w:t xml:space="preserve"> Carvajal Muñoz</w:t>
      </w:r>
      <w:r w:rsidR="004E5EE9" w:rsidRPr="009A6D7D">
        <w:rPr>
          <w:rStyle w:val="Refdenotaalpie"/>
          <w:rFonts w:ascii="Gadugi" w:eastAsia="Gadugi" w:hAnsi="Gadugi" w:cs="Gadugi"/>
          <w:sz w:val="24"/>
          <w:szCs w:val="24"/>
        </w:rPr>
        <w:footnoteReference w:id="61"/>
      </w:r>
      <w:r w:rsidR="004E5EE9" w:rsidRPr="009A6D7D">
        <w:rPr>
          <w:rFonts w:ascii="Gadugi" w:eastAsia="Gadugi" w:hAnsi="Gadugi" w:cs="Gadugi"/>
          <w:sz w:val="24"/>
          <w:szCs w:val="24"/>
        </w:rPr>
        <w:t xml:space="preserve">, pues ambos afirmaron que iban acompañando a Luis Fernando Giraldo en el momento del accidente, en la cabina del camión, por razón de su trabajo. </w:t>
      </w:r>
      <w:r w:rsidR="00FE03A7" w:rsidRPr="009A6D7D">
        <w:rPr>
          <w:rFonts w:ascii="Gadugi" w:eastAsia="Gadugi" w:hAnsi="Gadugi" w:cs="Gadugi"/>
          <w:sz w:val="24"/>
          <w:szCs w:val="24"/>
        </w:rPr>
        <w:t xml:space="preserve">Ellos coincidieron en las circunstancias de tiempo, modo y lugar en que ocurrió el accidente.  </w:t>
      </w:r>
    </w:p>
    <w:p w14:paraId="4715E9D4" w14:textId="77777777" w:rsidR="004E5EE9" w:rsidRPr="009A6D7D" w:rsidRDefault="004E5EE9" w:rsidP="009A6D7D">
      <w:pPr>
        <w:tabs>
          <w:tab w:val="left" w:pos="2268"/>
          <w:tab w:val="left" w:pos="2835"/>
        </w:tabs>
        <w:spacing w:after="0" w:line="276" w:lineRule="auto"/>
        <w:ind w:firstLine="1701"/>
        <w:jc w:val="both"/>
        <w:rPr>
          <w:rFonts w:ascii="Gadugi" w:eastAsia="Gadugi" w:hAnsi="Gadugi" w:cs="Gadugi"/>
          <w:color w:val="FF0000"/>
          <w:sz w:val="24"/>
          <w:szCs w:val="24"/>
        </w:rPr>
      </w:pPr>
    </w:p>
    <w:p w14:paraId="79D0428E" w14:textId="3BE45E54" w:rsidR="00A75020" w:rsidRPr="009A6D7D" w:rsidRDefault="00FE03A7"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Sin embargo, </w:t>
      </w:r>
      <w:r w:rsidR="004E5EE9" w:rsidRPr="009A6D7D">
        <w:rPr>
          <w:rFonts w:ascii="Gadugi" w:eastAsia="Gadugi" w:hAnsi="Gadugi" w:cs="Gadugi"/>
          <w:sz w:val="24"/>
          <w:szCs w:val="24"/>
        </w:rPr>
        <w:t xml:space="preserve">para empezar por allí, </w:t>
      </w:r>
      <w:r w:rsidRPr="009A6D7D">
        <w:rPr>
          <w:rFonts w:ascii="Gadugi" w:eastAsia="Gadugi" w:hAnsi="Gadugi" w:cs="Gadugi"/>
          <w:sz w:val="24"/>
          <w:szCs w:val="24"/>
        </w:rPr>
        <w:t xml:space="preserve">el segundo deponente dijo que la velocidad que llevaban en ese momento no superaba los 30 kilómetros por hora. A pesar de ello, la parte demandante quiere que solo se crea la versión de Toro y se deseche esta, para acreditar que el conductor del camión tuvo una incidencia directa en el desenlace, mas, como se ha mencionado, también en el caso de este testigo es una sola apreciación sin un respaldo técnico o de otro tipo que pueda corroborar esa circunstancia. </w:t>
      </w:r>
    </w:p>
    <w:p w14:paraId="43038B7E" w14:textId="7A0B3C7C" w:rsidR="00FE03A7" w:rsidRPr="009A6D7D" w:rsidRDefault="00FE03A7" w:rsidP="009A6D7D">
      <w:pPr>
        <w:tabs>
          <w:tab w:val="left" w:pos="2268"/>
          <w:tab w:val="left" w:pos="2835"/>
        </w:tabs>
        <w:spacing w:after="0" w:line="276" w:lineRule="auto"/>
        <w:ind w:firstLine="1701"/>
        <w:jc w:val="both"/>
        <w:rPr>
          <w:rFonts w:ascii="Gadugi" w:eastAsia="Gadugi" w:hAnsi="Gadugi" w:cs="Gadugi"/>
          <w:sz w:val="24"/>
          <w:szCs w:val="24"/>
        </w:rPr>
      </w:pPr>
    </w:p>
    <w:p w14:paraId="072AE24A" w14:textId="77777777" w:rsidR="0031084E" w:rsidRPr="009A6D7D" w:rsidRDefault="00FE03A7"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En todo caso, ambos coincidieron en que el ciclista apareció de repente sobre la vía, sin darle tiempo al conductor a maniobrar, </w:t>
      </w:r>
      <w:r w:rsidR="0031084E" w:rsidRPr="009A6D7D">
        <w:rPr>
          <w:rFonts w:ascii="Gadugi" w:eastAsia="Gadugi" w:hAnsi="Gadugi" w:cs="Gadugi"/>
          <w:sz w:val="24"/>
          <w:szCs w:val="24"/>
        </w:rPr>
        <w:t xml:space="preserve">en una dirección contraria a la que debía llevar, pasó por delante del camión, fue alcanzado con el retrovisor derecho y cayó. </w:t>
      </w:r>
    </w:p>
    <w:p w14:paraId="62B369EB" w14:textId="77777777" w:rsidR="0031084E" w:rsidRPr="009A6D7D" w:rsidRDefault="0031084E" w:rsidP="009A6D7D">
      <w:pPr>
        <w:tabs>
          <w:tab w:val="left" w:pos="2268"/>
          <w:tab w:val="left" w:pos="2835"/>
        </w:tabs>
        <w:spacing w:after="0" w:line="276" w:lineRule="auto"/>
        <w:ind w:firstLine="1701"/>
        <w:jc w:val="both"/>
        <w:rPr>
          <w:rFonts w:ascii="Gadugi" w:eastAsia="Gadugi" w:hAnsi="Gadugi" w:cs="Gadugi"/>
          <w:sz w:val="24"/>
          <w:szCs w:val="24"/>
        </w:rPr>
      </w:pPr>
    </w:p>
    <w:p w14:paraId="7644B49B" w14:textId="1B11BB0C" w:rsidR="004E5EE9" w:rsidRPr="009A6D7D" w:rsidRDefault="0031084E"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No revelan estos deponentes, que han debido ser citados por la autoridad de policía al momento de levantar el informe, que de parte del conductor se hubiera dado una maniobra adicional que pusiera en riesgo a los ocupantes del camión o a quienes se desplazaban por la vía. En contra de sus versiones no cabalga ninguna prueba que desvirtúe sus narraciones.  </w:t>
      </w:r>
    </w:p>
    <w:p w14:paraId="3A2AC8C9" w14:textId="77777777" w:rsidR="004E5EE9" w:rsidRPr="009A6D7D" w:rsidRDefault="004E5EE9" w:rsidP="009A6D7D">
      <w:pPr>
        <w:tabs>
          <w:tab w:val="left" w:pos="2268"/>
          <w:tab w:val="left" w:pos="2835"/>
        </w:tabs>
        <w:spacing w:after="0" w:line="276" w:lineRule="auto"/>
        <w:ind w:firstLine="1701"/>
        <w:jc w:val="both"/>
        <w:rPr>
          <w:rFonts w:ascii="Gadugi" w:eastAsia="Gadugi" w:hAnsi="Gadugi" w:cs="Gadugi"/>
          <w:sz w:val="24"/>
          <w:szCs w:val="24"/>
        </w:rPr>
      </w:pPr>
    </w:p>
    <w:p w14:paraId="5328DE4D" w14:textId="1423B025" w:rsidR="00503915" w:rsidRPr="009A6D7D" w:rsidRDefault="00503915"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Así que, si de valorar la prueba testimonial se tratara, ella antes que favorecer los intereses de los demandantes, </w:t>
      </w:r>
      <w:proofErr w:type="gramStart"/>
      <w:r w:rsidRPr="009A6D7D">
        <w:rPr>
          <w:rFonts w:ascii="Gadugi" w:eastAsia="Gadugi" w:hAnsi="Gadugi" w:cs="Gadugi"/>
          <w:sz w:val="24"/>
          <w:szCs w:val="24"/>
        </w:rPr>
        <w:t>le</w:t>
      </w:r>
      <w:proofErr w:type="gramEnd"/>
      <w:r w:rsidRPr="009A6D7D">
        <w:rPr>
          <w:rFonts w:ascii="Gadugi" w:eastAsia="Gadugi" w:hAnsi="Gadugi" w:cs="Gadugi"/>
          <w:sz w:val="24"/>
          <w:szCs w:val="24"/>
        </w:rPr>
        <w:t xml:space="preserve"> da la razón a los demandados, en el sentido de que la causa</w:t>
      </w:r>
      <w:r w:rsidR="00900ADB" w:rsidRPr="009A6D7D">
        <w:rPr>
          <w:rFonts w:ascii="Gadugi" w:eastAsia="Gadugi" w:hAnsi="Gadugi" w:cs="Gadugi"/>
          <w:sz w:val="24"/>
          <w:szCs w:val="24"/>
        </w:rPr>
        <w:t xml:space="preserve"> adecuada</w:t>
      </w:r>
      <w:r w:rsidRPr="009A6D7D">
        <w:rPr>
          <w:rFonts w:ascii="Gadugi" w:eastAsia="Gadugi" w:hAnsi="Gadugi" w:cs="Gadugi"/>
          <w:sz w:val="24"/>
          <w:szCs w:val="24"/>
        </w:rPr>
        <w:t xml:space="preserve"> del suceso fue el comportamiento irregular del ciclista, no el del conductor del automotor. </w:t>
      </w:r>
    </w:p>
    <w:p w14:paraId="1C22C1AE" w14:textId="77109B75" w:rsidR="00AD4ACE" w:rsidRPr="009A6D7D" w:rsidRDefault="00503915"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 </w:t>
      </w:r>
    </w:p>
    <w:p w14:paraId="1C22C1B4" w14:textId="093BD7CE" w:rsidR="00AD4ACE" w:rsidRPr="009A6D7D" w:rsidRDefault="009B1C2C"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2.9.2.5. Otro aspecto que llama la atención de los recurrentes es que el camión se desplazaba por el carril izquierdo y no por el del centro como lo señala el juzgado, porque esa vía es de solo dos carriles y el ensanchamiento termina en el punto de la cebra. Así se menciona en el numeral 11. </w:t>
      </w:r>
    </w:p>
    <w:p w14:paraId="57D2A4C5" w14:textId="4707F67A" w:rsidR="009B1C2C" w:rsidRPr="009A6D7D" w:rsidRDefault="009B1C2C" w:rsidP="009A6D7D">
      <w:pPr>
        <w:tabs>
          <w:tab w:val="left" w:pos="2268"/>
          <w:tab w:val="left" w:pos="2835"/>
        </w:tabs>
        <w:spacing w:after="0" w:line="276" w:lineRule="auto"/>
        <w:ind w:firstLine="1701"/>
        <w:jc w:val="both"/>
        <w:rPr>
          <w:rFonts w:ascii="Gadugi" w:eastAsia="Gadugi" w:hAnsi="Gadugi" w:cs="Gadugi"/>
          <w:sz w:val="24"/>
          <w:szCs w:val="24"/>
        </w:rPr>
      </w:pPr>
    </w:p>
    <w:p w14:paraId="1C22C1B5" w14:textId="4AB040D6" w:rsidR="00AD4ACE" w:rsidRPr="009A6D7D" w:rsidRDefault="009B1C2C"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Otra vez debe decirse que eso mismo fue lo que dijo el juzgado, </w:t>
      </w:r>
      <w:r w:rsidR="00324FFE" w:rsidRPr="009A6D7D">
        <w:rPr>
          <w:rFonts w:ascii="Gadugi" w:eastAsia="Gadugi" w:hAnsi="Gadugi" w:cs="Gadugi"/>
          <w:sz w:val="24"/>
          <w:szCs w:val="24"/>
        </w:rPr>
        <w:t xml:space="preserve">y </w:t>
      </w:r>
      <w:r w:rsidR="00A85F10" w:rsidRPr="009A6D7D">
        <w:rPr>
          <w:rFonts w:ascii="Gadugi" w:eastAsia="Gadugi" w:hAnsi="Gadugi" w:cs="Gadugi"/>
          <w:sz w:val="24"/>
          <w:szCs w:val="24"/>
        </w:rPr>
        <w:t xml:space="preserve">como se ve en el informe policial de accidente de tránsito y </w:t>
      </w:r>
      <w:r w:rsidR="00324FFE" w:rsidRPr="009A6D7D">
        <w:rPr>
          <w:rFonts w:ascii="Gadugi" w:eastAsia="Gadugi" w:hAnsi="Gadugi" w:cs="Gadugi"/>
          <w:sz w:val="24"/>
          <w:szCs w:val="24"/>
        </w:rPr>
        <w:t xml:space="preserve">las </w:t>
      </w:r>
      <w:r w:rsidR="00A85F10" w:rsidRPr="009A6D7D">
        <w:rPr>
          <w:rFonts w:ascii="Gadugi" w:eastAsia="Gadugi" w:hAnsi="Gadugi" w:cs="Gadugi"/>
          <w:sz w:val="24"/>
          <w:szCs w:val="24"/>
        </w:rPr>
        <w:t xml:space="preserve">fotografías, justo en esa </w:t>
      </w:r>
      <w:r w:rsidR="00A85F10" w:rsidRPr="009A6D7D">
        <w:rPr>
          <w:rFonts w:ascii="Gadugi" w:eastAsia="Gadugi" w:hAnsi="Gadugi" w:cs="Gadugi"/>
          <w:sz w:val="24"/>
          <w:szCs w:val="24"/>
        </w:rPr>
        <w:lastRenderedPageBreak/>
        <w:t xml:space="preserve">intersección de la carrera 16 con calle 60, la vía se abre a tres carriles, por el ensanche que da ingreso al barrio Santa Teresita, pero que ligeramente, una vez termina la cebra, la vía retoma los dos carriles. </w:t>
      </w:r>
    </w:p>
    <w:p w14:paraId="1C22C1B6" w14:textId="77777777" w:rsidR="00AD4ACE" w:rsidRPr="009A6D7D" w:rsidRDefault="00AD4ACE" w:rsidP="009A6D7D">
      <w:pPr>
        <w:tabs>
          <w:tab w:val="left" w:pos="2268"/>
          <w:tab w:val="left" w:pos="2835"/>
        </w:tabs>
        <w:spacing w:after="0" w:line="276" w:lineRule="auto"/>
        <w:jc w:val="both"/>
        <w:rPr>
          <w:rFonts w:ascii="Gadugi" w:eastAsia="Gadugi" w:hAnsi="Gadugi" w:cs="Gadugi"/>
          <w:sz w:val="24"/>
          <w:szCs w:val="24"/>
        </w:rPr>
      </w:pPr>
    </w:p>
    <w:p w14:paraId="574B0DF0" w14:textId="4F7CE2D5" w:rsidR="00324FFE" w:rsidRPr="009A6D7D" w:rsidRDefault="00324FFE"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Así que ningún dislate se advierte cuando el funcionario afirma que en ese preciso momento el camión se desplazaba por el centro. </w:t>
      </w:r>
    </w:p>
    <w:p w14:paraId="60F1393B" w14:textId="77777777" w:rsidR="00324FFE" w:rsidRPr="009A6D7D" w:rsidRDefault="00324FFE" w:rsidP="009A6D7D">
      <w:pPr>
        <w:tabs>
          <w:tab w:val="left" w:pos="2268"/>
          <w:tab w:val="left" w:pos="2835"/>
        </w:tabs>
        <w:spacing w:after="0" w:line="276" w:lineRule="auto"/>
        <w:ind w:firstLine="1701"/>
        <w:jc w:val="both"/>
        <w:rPr>
          <w:rFonts w:ascii="Gadugi" w:eastAsia="Gadugi" w:hAnsi="Gadugi" w:cs="Gadugi"/>
          <w:sz w:val="24"/>
          <w:szCs w:val="24"/>
        </w:rPr>
      </w:pPr>
    </w:p>
    <w:p w14:paraId="5FEB6ECB" w14:textId="1EF2C416" w:rsidR="00D43572" w:rsidRPr="009A6D7D" w:rsidRDefault="00324FFE"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En cualquier caso, aunque es cierto que la regla es que el carril izquierdo debe usarse para maniobras de adelantamiento, es lo cierto que existiendo los dos carriles, no puede de buenas a primeras decirse que el camión infringía reglas de tránsito, menos cuando, según señalaron los dos testigos escuchados, percibieron al momento de bajarse del vehículo que había otros automotores </w:t>
      </w:r>
      <w:r w:rsidR="00D43572" w:rsidRPr="009A6D7D">
        <w:rPr>
          <w:rFonts w:ascii="Gadugi" w:eastAsia="Gadugi" w:hAnsi="Gadugi" w:cs="Gadugi"/>
          <w:sz w:val="24"/>
          <w:szCs w:val="24"/>
        </w:rPr>
        <w:t xml:space="preserve">sobre el carril derecho, lo que explica que circularan ellos por el izquierdo. </w:t>
      </w:r>
    </w:p>
    <w:p w14:paraId="1B87145E" w14:textId="77777777" w:rsidR="00D43572" w:rsidRPr="009A6D7D" w:rsidRDefault="00D43572" w:rsidP="009A6D7D">
      <w:pPr>
        <w:tabs>
          <w:tab w:val="left" w:pos="2268"/>
          <w:tab w:val="left" w:pos="2835"/>
        </w:tabs>
        <w:spacing w:after="0" w:line="276" w:lineRule="auto"/>
        <w:ind w:firstLine="1701"/>
        <w:jc w:val="both"/>
        <w:rPr>
          <w:rFonts w:ascii="Gadugi" w:eastAsia="Gadugi" w:hAnsi="Gadugi" w:cs="Gadugi"/>
          <w:sz w:val="24"/>
          <w:szCs w:val="24"/>
        </w:rPr>
      </w:pPr>
    </w:p>
    <w:p w14:paraId="4EB5AC5E" w14:textId="77777777" w:rsidR="00D43572" w:rsidRPr="009A6D7D" w:rsidRDefault="00D43572"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Yendo más allá, se repite, esa sola circunstancia de que el camión tomara el carril izquierdo, no fue determinante para la ocurrencia del accidente; lo fue la intempestiva maniobra de la víctima que, montado en su bicicleta, decidió cruzar la vía en un sentido que no estaba permitido. </w:t>
      </w:r>
    </w:p>
    <w:p w14:paraId="3509EF97" w14:textId="77777777" w:rsidR="00D43572" w:rsidRPr="009A6D7D" w:rsidRDefault="00D43572" w:rsidP="009A6D7D">
      <w:pPr>
        <w:tabs>
          <w:tab w:val="left" w:pos="2268"/>
          <w:tab w:val="left" w:pos="2835"/>
        </w:tabs>
        <w:spacing w:after="0" w:line="276" w:lineRule="auto"/>
        <w:ind w:firstLine="1701"/>
        <w:jc w:val="both"/>
        <w:rPr>
          <w:rFonts w:ascii="Gadugi" w:eastAsia="Gadugi" w:hAnsi="Gadugi" w:cs="Gadugi"/>
          <w:sz w:val="24"/>
          <w:szCs w:val="24"/>
        </w:rPr>
      </w:pPr>
    </w:p>
    <w:p w14:paraId="1C22C1B8" w14:textId="140BD0E0" w:rsidR="00AD4ACE" w:rsidRPr="009A6D7D" w:rsidRDefault="00D43572"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Por tanto, este disenso también fracasa. </w:t>
      </w:r>
    </w:p>
    <w:p w14:paraId="2458E6C3" w14:textId="019981F6" w:rsidR="00D43572" w:rsidRPr="009A6D7D" w:rsidRDefault="00D43572" w:rsidP="009A6D7D">
      <w:pPr>
        <w:tabs>
          <w:tab w:val="left" w:pos="2268"/>
          <w:tab w:val="left" w:pos="2835"/>
        </w:tabs>
        <w:spacing w:after="0" w:line="276" w:lineRule="auto"/>
        <w:ind w:firstLine="1701"/>
        <w:jc w:val="both"/>
        <w:rPr>
          <w:rFonts w:ascii="Gadugi" w:eastAsia="Gadugi" w:hAnsi="Gadugi" w:cs="Gadugi"/>
          <w:sz w:val="24"/>
          <w:szCs w:val="24"/>
        </w:rPr>
      </w:pPr>
    </w:p>
    <w:p w14:paraId="02E693CF" w14:textId="66817D07" w:rsidR="00D43572" w:rsidRPr="009A6D7D" w:rsidRDefault="00A85F10"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2.</w:t>
      </w:r>
      <w:r w:rsidR="00D43572" w:rsidRPr="009A6D7D">
        <w:rPr>
          <w:rFonts w:ascii="Gadugi" w:eastAsia="Gadugi" w:hAnsi="Gadugi" w:cs="Gadugi"/>
          <w:sz w:val="24"/>
          <w:szCs w:val="24"/>
        </w:rPr>
        <w:t xml:space="preserve">9.2.6.  </w:t>
      </w:r>
      <w:r w:rsidR="0004258F" w:rsidRPr="009A6D7D">
        <w:rPr>
          <w:rFonts w:ascii="Gadugi" w:eastAsia="Gadugi" w:hAnsi="Gadugi" w:cs="Gadugi"/>
          <w:sz w:val="24"/>
          <w:szCs w:val="24"/>
        </w:rPr>
        <w:t xml:space="preserve">Los </w:t>
      </w:r>
      <w:r w:rsidR="00D43572" w:rsidRPr="009A6D7D">
        <w:rPr>
          <w:rFonts w:ascii="Gadugi" w:eastAsia="Gadugi" w:hAnsi="Gadugi" w:cs="Gadugi"/>
          <w:sz w:val="24"/>
          <w:szCs w:val="24"/>
        </w:rPr>
        <w:t xml:space="preserve">dos finales -numerales 15 y 16-, también. </w:t>
      </w:r>
    </w:p>
    <w:p w14:paraId="416C708B" w14:textId="782660A8" w:rsidR="00D43572" w:rsidRPr="009A6D7D" w:rsidRDefault="00D43572" w:rsidP="009A6D7D">
      <w:pPr>
        <w:tabs>
          <w:tab w:val="left" w:pos="2268"/>
          <w:tab w:val="left" w:pos="2835"/>
        </w:tabs>
        <w:spacing w:after="0" w:line="276" w:lineRule="auto"/>
        <w:ind w:firstLine="1701"/>
        <w:jc w:val="both"/>
        <w:rPr>
          <w:rFonts w:ascii="Gadugi" w:eastAsia="Gadugi" w:hAnsi="Gadugi" w:cs="Gadugi"/>
          <w:sz w:val="24"/>
          <w:szCs w:val="24"/>
        </w:rPr>
      </w:pPr>
    </w:p>
    <w:p w14:paraId="7356F6E7" w14:textId="3648BDCC" w:rsidR="00D43572" w:rsidRPr="009A6D7D" w:rsidRDefault="00D43572"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Dice el primero </w:t>
      </w:r>
      <w:r w:rsidR="0004258F" w:rsidRPr="009A6D7D">
        <w:rPr>
          <w:rFonts w:ascii="Gadugi" w:eastAsia="Gadugi" w:hAnsi="Gadugi" w:cs="Gadugi"/>
          <w:sz w:val="24"/>
          <w:szCs w:val="24"/>
        </w:rPr>
        <w:t xml:space="preserve">(15) </w:t>
      </w:r>
      <w:r w:rsidRPr="009A6D7D">
        <w:rPr>
          <w:rFonts w:ascii="Gadugi" w:eastAsia="Gadugi" w:hAnsi="Gadugi" w:cs="Gadugi"/>
          <w:sz w:val="24"/>
          <w:szCs w:val="24"/>
        </w:rPr>
        <w:t>que los demandantes no estaban obligados a probar la velocidad de los rodantes, pues los elementos de la responsabilidad que les incumbía demostrar lo estaban. Eso es cier</w:t>
      </w:r>
      <w:r w:rsidR="00AF1540" w:rsidRPr="009A6D7D">
        <w:rPr>
          <w:rFonts w:ascii="Gadugi" w:eastAsia="Gadugi" w:hAnsi="Gadugi" w:cs="Gadugi"/>
          <w:sz w:val="24"/>
          <w:szCs w:val="24"/>
        </w:rPr>
        <w:t>to, en la medida en que, frente al régimen de culpa presunta, les bastaba acreditar el hecho, el daño y el nexo causal.</w:t>
      </w:r>
    </w:p>
    <w:p w14:paraId="45FE0E83" w14:textId="3E7F84B1" w:rsidR="00AF1540" w:rsidRPr="009A6D7D" w:rsidRDefault="00AF1540" w:rsidP="009A6D7D">
      <w:pPr>
        <w:tabs>
          <w:tab w:val="left" w:pos="2268"/>
          <w:tab w:val="left" w:pos="2835"/>
        </w:tabs>
        <w:spacing w:after="0" w:line="276" w:lineRule="auto"/>
        <w:ind w:firstLine="1701"/>
        <w:jc w:val="both"/>
        <w:rPr>
          <w:rFonts w:ascii="Gadugi" w:eastAsia="Gadugi" w:hAnsi="Gadugi" w:cs="Gadugi"/>
          <w:sz w:val="24"/>
          <w:szCs w:val="24"/>
        </w:rPr>
      </w:pPr>
    </w:p>
    <w:p w14:paraId="3D125C15" w14:textId="02078560" w:rsidR="00AF1540" w:rsidRPr="009A6D7D" w:rsidRDefault="00AF1540"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No obstante, se ha insistido en las precedentes consideraciones en que el asunto pasa por una de las eximentes de esa responsabilidad, que fue el hecho exclusivo de la víctima. Dado que no se logró probar un comportamiento del conductor del vehículo, más allá de la simple actividad peligrosa, que propiciara la muerte del ciclista, y en cambio sí se ha podido concluir que fue este quien invadió sorpresivamente el carril que ocupaba el camión, en una maniobra absolutamente irregular, en la que </w:t>
      </w:r>
      <w:r w:rsidR="004A256F" w:rsidRPr="009A6D7D">
        <w:rPr>
          <w:rFonts w:ascii="Gadugi" w:eastAsia="Gadugi" w:hAnsi="Gadugi" w:cs="Gadugi"/>
          <w:sz w:val="24"/>
          <w:szCs w:val="24"/>
        </w:rPr>
        <w:t xml:space="preserve">en </w:t>
      </w:r>
      <w:r w:rsidRPr="009A6D7D">
        <w:rPr>
          <w:rFonts w:ascii="Gadugi" w:eastAsia="Gadugi" w:hAnsi="Gadugi" w:cs="Gadugi"/>
          <w:sz w:val="24"/>
          <w:szCs w:val="24"/>
        </w:rPr>
        <w:t xml:space="preserve">nada incidió la velocidad de uno u otro, o al menos no se </w:t>
      </w:r>
      <w:r w:rsidR="004A256F" w:rsidRPr="009A6D7D">
        <w:rPr>
          <w:rFonts w:ascii="Gadugi" w:eastAsia="Gadugi" w:hAnsi="Gadugi" w:cs="Gadugi"/>
          <w:sz w:val="24"/>
          <w:szCs w:val="24"/>
        </w:rPr>
        <w:t>probó que así fuera, la conclusión del juzgado fue acertada.</w:t>
      </w:r>
    </w:p>
    <w:p w14:paraId="255F07BB" w14:textId="77777777" w:rsidR="00D43572" w:rsidRPr="009A6D7D" w:rsidRDefault="00D43572" w:rsidP="009A6D7D">
      <w:pPr>
        <w:tabs>
          <w:tab w:val="left" w:pos="2268"/>
          <w:tab w:val="left" w:pos="2835"/>
        </w:tabs>
        <w:spacing w:after="0" w:line="276" w:lineRule="auto"/>
        <w:ind w:firstLine="1701"/>
        <w:jc w:val="both"/>
        <w:rPr>
          <w:rFonts w:ascii="Gadugi" w:eastAsia="Gadugi" w:hAnsi="Gadugi" w:cs="Gadugi"/>
          <w:sz w:val="24"/>
          <w:szCs w:val="24"/>
        </w:rPr>
      </w:pPr>
    </w:p>
    <w:p w14:paraId="19E638A3" w14:textId="082A4141" w:rsidR="001D3BFA" w:rsidRPr="009A6D7D" w:rsidRDefault="004A256F"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Y el segundo</w:t>
      </w:r>
      <w:r w:rsidR="0004258F" w:rsidRPr="009A6D7D">
        <w:rPr>
          <w:rFonts w:ascii="Gadugi" w:eastAsia="Gadugi" w:hAnsi="Gadugi" w:cs="Gadugi"/>
          <w:sz w:val="24"/>
          <w:szCs w:val="24"/>
        </w:rPr>
        <w:t xml:space="preserve"> (16)</w:t>
      </w:r>
      <w:r w:rsidRPr="009A6D7D">
        <w:rPr>
          <w:rFonts w:ascii="Gadugi" w:eastAsia="Gadugi" w:hAnsi="Gadugi" w:cs="Gadugi"/>
          <w:sz w:val="24"/>
          <w:szCs w:val="24"/>
        </w:rPr>
        <w:t xml:space="preserve">, que el hecho exclusivo de la víctima debe </w:t>
      </w:r>
      <w:r w:rsidR="001D3BFA" w:rsidRPr="009A6D7D">
        <w:rPr>
          <w:rFonts w:ascii="Gadugi" w:eastAsia="Gadugi" w:hAnsi="Gadugi" w:cs="Gadugi"/>
          <w:sz w:val="24"/>
          <w:szCs w:val="24"/>
        </w:rPr>
        <w:t xml:space="preserve">cumplir unas características: irresistibilidad, </w:t>
      </w:r>
      <w:r w:rsidRPr="009A6D7D">
        <w:rPr>
          <w:rFonts w:ascii="Gadugi" w:eastAsia="Gadugi" w:hAnsi="Gadugi" w:cs="Gadugi"/>
          <w:sz w:val="24"/>
          <w:szCs w:val="24"/>
        </w:rPr>
        <w:t>imprevisib</w:t>
      </w:r>
      <w:r w:rsidR="001D3BFA" w:rsidRPr="009A6D7D">
        <w:rPr>
          <w:rFonts w:ascii="Gadugi" w:eastAsia="Gadugi" w:hAnsi="Gadugi" w:cs="Gadugi"/>
          <w:sz w:val="24"/>
          <w:szCs w:val="24"/>
        </w:rPr>
        <w:t>ilidad</w:t>
      </w:r>
      <w:r w:rsidRPr="009A6D7D">
        <w:rPr>
          <w:rFonts w:ascii="Gadugi" w:eastAsia="Gadugi" w:hAnsi="Gadugi" w:cs="Gadugi"/>
          <w:sz w:val="24"/>
          <w:szCs w:val="24"/>
        </w:rPr>
        <w:t xml:space="preserve"> y exteriori</w:t>
      </w:r>
      <w:r w:rsidR="001D3BFA" w:rsidRPr="009A6D7D">
        <w:rPr>
          <w:rFonts w:ascii="Gadugi" w:eastAsia="Gadugi" w:hAnsi="Gadugi" w:cs="Gadugi"/>
          <w:sz w:val="24"/>
          <w:szCs w:val="24"/>
        </w:rPr>
        <w:t xml:space="preserve">dad. </w:t>
      </w:r>
    </w:p>
    <w:p w14:paraId="13BC7F17" w14:textId="77777777" w:rsidR="001D3BFA" w:rsidRPr="009A6D7D" w:rsidRDefault="001D3BFA" w:rsidP="009A6D7D">
      <w:pPr>
        <w:tabs>
          <w:tab w:val="left" w:pos="2268"/>
          <w:tab w:val="left" w:pos="2835"/>
        </w:tabs>
        <w:spacing w:after="0" w:line="276" w:lineRule="auto"/>
        <w:ind w:firstLine="1701"/>
        <w:jc w:val="both"/>
        <w:rPr>
          <w:rFonts w:ascii="Gadugi" w:eastAsia="Gadugi" w:hAnsi="Gadugi" w:cs="Gadugi"/>
          <w:sz w:val="24"/>
          <w:szCs w:val="24"/>
        </w:rPr>
      </w:pPr>
    </w:p>
    <w:p w14:paraId="03F9FE73" w14:textId="2489642C" w:rsidR="008B0650" w:rsidRPr="009A6D7D" w:rsidRDefault="001D3BFA"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En este caso, dijo, el juzgado omitió el análisis del primer aspecto, porque nada dijo de las maniobras realizadas para evitar el daño y del hecho de que </w:t>
      </w:r>
      <w:r w:rsidRPr="009A6D7D">
        <w:rPr>
          <w:rFonts w:ascii="Gadugi" w:eastAsia="Gadugi" w:hAnsi="Gadugi" w:cs="Gadugi"/>
          <w:sz w:val="24"/>
          <w:szCs w:val="24"/>
        </w:rPr>
        <w:lastRenderedPageBreak/>
        <w:t>se desplazara por el carril izquierdo y no por el derecho como era su obligación. Tampoco</w:t>
      </w:r>
      <w:r w:rsidR="008B0650" w:rsidRPr="009A6D7D">
        <w:rPr>
          <w:rFonts w:ascii="Gadugi" w:eastAsia="Gadugi" w:hAnsi="Gadugi" w:cs="Gadugi"/>
          <w:sz w:val="24"/>
          <w:szCs w:val="24"/>
        </w:rPr>
        <w:t xml:space="preserve"> advirtió que la situación no fue imprevisible, porque al decir del testigo Urbano Toro, al ciclista se le vio desde cuando empezó el cruce de la vía; además, ya estaba terminando de cruzar cuando ocurrió el accidente, por lo que es claro que el conductor del camión no iba pendiente de la vía para evitar el trágico suceso. Y </w:t>
      </w:r>
      <w:r w:rsidR="006D3DCD" w:rsidRPr="009A6D7D">
        <w:rPr>
          <w:rFonts w:ascii="Gadugi" w:eastAsia="Gadugi" w:hAnsi="Gadugi" w:cs="Gadugi"/>
          <w:sz w:val="24"/>
          <w:szCs w:val="24"/>
        </w:rPr>
        <w:t xml:space="preserve">la exterioridad </w:t>
      </w:r>
      <w:r w:rsidR="0004258F" w:rsidRPr="009A6D7D">
        <w:rPr>
          <w:rFonts w:ascii="Gadugi" w:eastAsia="Gadugi" w:hAnsi="Gadugi" w:cs="Gadugi"/>
          <w:sz w:val="24"/>
          <w:szCs w:val="24"/>
        </w:rPr>
        <w:t xml:space="preserve">la </w:t>
      </w:r>
      <w:r w:rsidR="006D3DCD" w:rsidRPr="009A6D7D">
        <w:rPr>
          <w:rFonts w:ascii="Gadugi" w:eastAsia="Gadugi" w:hAnsi="Gadugi" w:cs="Gadugi"/>
          <w:sz w:val="24"/>
          <w:szCs w:val="24"/>
        </w:rPr>
        <w:t xml:space="preserve">explica desde la causa </w:t>
      </w:r>
      <w:r w:rsidR="00900ADB" w:rsidRPr="009A6D7D">
        <w:rPr>
          <w:rFonts w:ascii="Gadugi" w:eastAsia="Gadugi" w:hAnsi="Gadugi" w:cs="Gadugi"/>
          <w:sz w:val="24"/>
          <w:szCs w:val="24"/>
        </w:rPr>
        <w:t>adecuada</w:t>
      </w:r>
      <w:r w:rsidR="006D3DCD" w:rsidRPr="009A6D7D">
        <w:rPr>
          <w:rFonts w:ascii="Gadugi" w:eastAsia="Gadugi" w:hAnsi="Gadugi" w:cs="Gadugi"/>
          <w:sz w:val="24"/>
          <w:szCs w:val="24"/>
        </w:rPr>
        <w:t xml:space="preserve">, en cuanto la conducta de la víctima tiene que ser la raíz determinante del daño. </w:t>
      </w:r>
    </w:p>
    <w:p w14:paraId="44D84A2A" w14:textId="38A1FF88" w:rsidR="006D3DCD" w:rsidRPr="009A6D7D" w:rsidRDefault="006D3DCD" w:rsidP="009A6D7D">
      <w:pPr>
        <w:tabs>
          <w:tab w:val="left" w:pos="2268"/>
          <w:tab w:val="left" w:pos="2835"/>
        </w:tabs>
        <w:spacing w:after="0" w:line="276" w:lineRule="auto"/>
        <w:ind w:firstLine="1701"/>
        <w:jc w:val="both"/>
        <w:rPr>
          <w:rFonts w:ascii="Gadugi" w:eastAsia="Gadugi" w:hAnsi="Gadugi" w:cs="Gadugi"/>
          <w:sz w:val="24"/>
          <w:szCs w:val="24"/>
        </w:rPr>
      </w:pPr>
    </w:p>
    <w:p w14:paraId="07C05016" w14:textId="63A11481" w:rsidR="005F4005" w:rsidRPr="009A6D7D" w:rsidRDefault="0004258F"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Mas, d</w:t>
      </w:r>
      <w:r w:rsidR="006D3DCD" w:rsidRPr="009A6D7D">
        <w:rPr>
          <w:rFonts w:ascii="Gadugi" w:eastAsia="Gadugi" w:hAnsi="Gadugi" w:cs="Gadugi"/>
          <w:sz w:val="24"/>
          <w:szCs w:val="24"/>
        </w:rPr>
        <w:t>e acuerdo con lo que se ha sostenido hasta ahora, y se repite, la prueba apunta a que el conductor del camión se desplazaba dentro de los cauces normales que implica esa actividad; cuando más, se le podrá tachar por circular en el carril izquierdo, situación que, a más de justificable, porque había</w:t>
      </w:r>
      <w:r w:rsidR="00E77B8C" w:rsidRPr="009A6D7D">
        <w:rPr>
          <w:rFonts w:ascii="Gadugi" w:eastAsia="Gadugi" w:hAnsi="Gadugi" w:cs="Gadugi"/>
          <w:sz w:val="24"/>
          <w:szCs w:val="24"/>
        </w:rPr>
        <w:t>,</w:t>
      </w:r>
      <w:r w:rsidR="006D3DCD" w:rsidRPr="009A6D7D">
        <w:rPr>
          <w:rFonts w:ascii="Gadugi" w:eastAsia="Gadugi" w:hAnsi="Gadugi" w:cs="Gadugi"/>
          <w:sz w:val="24"/>
          <w:szCs w:val="24"/>
        </w:rPr>
        <w:t xml:space="preserve"> al decir de los testigos</w:t>
      </w:r>
      <w:r w:rsidR="00E77B8C" w:rsidRPr="009A6D7D">
        <w:rPr>
          <w:rFonts w:ascii="Gadugi" w:eastAsia="Gadugi" w:hAnsi="Gadugi" w:cs="Gadugi"/>
          <w:sz w:val="24"/>
          <w:szCs w:val="24"/>
        </w:rPr>
        <w:t>,</w:t>
      </w:r>
      <w:r w:rsidR="006D3DCD" w:rsidRPr="009A6D7D">
        <w:rPr>
          <w:rFonts w:ascii="Gadugi" w:eastAsia="Gadugi" w:hAnsi="Gadugi" w:cs="Gadugi"/>
          <w:sz w:val="24"/>
          <w:szCs w:val="24"/>
        </w:rPr>
        <w:t xml:space="preserve"> otros vehículos en la vía, </w:t>
      </w:r>
      <w:r w:rsidR="005F4005" w:rsidRPr="009A6D7D">
        <w:rPr>
          <w:rFonts w:ascii="Gadugi" w:eastAsia="Gadugi" w:hAnsi="Gadugi" w:cs="Gadugi"/>
          <w:sz w:val="24"/>
          <w:szCs w:val="24"/>
        </w:rPr>
        <w:t xml:space="preserve">no implicaba que otra persona, en este caso la víctima, sin el más mínimo cuidado, decidiera penetrar en la vía de alto flujo, con el propósito de atravesar la calzada, ni siquiera por la cebra o paso peatonal, que no es para la circulación de bicicletas, pues está visto que el contacto fue más adelante, precedido, además, de la circulación en contravía, como se explicó al comienzo, dada la dirección que llevaba. </w:t>
      </w:r>
    </w:p>
    <w:p w14:paraId="06E1419B" w14:textId="0A9E93A1" w:rsidR="005F4005" w:rsidRPr="009A6D7D" w:rsidRDefault="005F4005" w:rsidP="009A6D7D">
      <w:pPr>
        <w:tabs>
          <w:tab w:val="left" w:pos="2268"/>
          <w:tab w:val="left" w:pos="2835"/>
        </w:tabs>
        <w:spacing w:after="0" w:line="276" w:lineRule="auto"/>
        <w:ind w:firstLine="1701"/>
        <w:jc w:val="both"/>
        <w:rPr>
          <w:rFonts w:ascii="Gadugi" w:eastAsia="Gadugi" w:hAnsi="Gadugi" w:cs="Gadugi"/>
          <w:sz w:val="24"/>
          <w:szCs w:val="24"/>
        </w:rPr>
      </w:pPr>
    </w:p>
    <w:p w14:paraId="106CE50E" w14:textId="41C494C5" w:rsidR="005F4005" w:rsidRPr="009A6D7D" w:rsidRDefault="005F4005"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No se espera, en condiciones normales, que un ciclista realice semejante maniobra, en sentido contrario al de la calle 60, sin implementos de protección, en un sitio que no era de prelación, porque, se insiste, ya el camión había superado la cebra. La reacción del conductor no debía ser otra, para este caso, a la de frenar, pero alcanzó a golpear la bicicleta, cambió la dirección de la misma, y ello produjo que </w:t>
      </w:r>
      <w:r w:rsidR="005E3EE8" w:rsidRPr="009A6D7D">
        <w:rPr>
          <w:rFonts w:ascii="Gadugi" w:eastAsia="Gadugi" w:hAnsi="Gadugi" w:cs="Gadugi"/>
          <w:sz w:val="24"/>
          <w:szCs w:val="24"/>
        </w:rPr>
        <w:t xml:space="preserve">la víctima se golpeara con el retrovisor y cayera al suelo. </w:t>
      </w:r>
    </w:p>
    <w:p w14:paraId="2D8C256E" w14:textId="7484BAF5" w:rsidR="005E3EE8" w:rsidRPr="009A6D7D" w:rsidRDefault="005E3EE8" w:rsidP="009A6D7D">
      <w:pPr>
        <w:tabs>
          <w:tab w:val="left" w:pos="2268"/>
          <w:tab w:val="left" w:pos="2835"/>
        </w:tabs>
        <w:spacing w:after="0" w:line="276" w:lineRule="auto"/>
        <w:ind w:firstLine="1701"/>
        <w:jc w:val="both"/>
        <w:rPr>
          <w:rFonts w:ascii="Gadugi" w:eastAsia="Gadugi" w:hAnsi="Gadugi" w:cs="Gadugi"/>
          <w:sz w:val="24"/>
          <w:szCs w:val="24"/>
        </w:rPr>
      </w:pPr>
    </w:p>
    <w:p w14:paraId="23054C94" w14:textId="411DD73D" w:rsidR="005E3EE8" w:rsidRPr="009A6D7D" w:rsidRDefault="005E3EE8"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La situación se presentó de manera intempestiva, como relataron los deponentes, por tanto irresistible, y fue la causa </w:t>
      </w:r>
      <w:r w:rsidR="00E77B8C" w:rsidRPr="009A6D7D">
        <w:rPr>
          <w:rFonts w:ascii="Gadugi" w:eastAsia="Gadugi" w:hAnsi="Gadugi" w:cs="Gadugi"/>
          <w:sz w:val="24"/>
          <w:szCs w:val="24"/>
        </w:rPr>
        <w:t>adecuada</w:t>
      </w:r>
      <w:r w:rsidRPr="009A6D7D">
        <w:rPr>
          <w:rFonts w:ascii="Gadugi" w:eastAsia="Gadugi" w:hAnsi="Gadugi" w:cs="Gadugi"/>
          <w:sz w:val="24"/>
          <w:szCs w:val="24"/>
        </w:rPr>
        <w:t xml:space="preserve"> del daño. Por ello, este reparo es inadmisible.</w:t>
      </w:r>
    </w:p>
    <w:p w14:paraId="2A468FE8" w14:textId="77777777" w:rsidR="007B374F" w:rsidRPr="009A6D7D" w:rsidRDefault="007B374F" w:rsidP="009A6D7D">
      <w:pPr>
        <w:tabs>
          <w:tab w:val="left" w:pos="2268"/>
          <w:tab w:val="left" w:pos="2835"/>
        </w:tabs>
        <w:spacing w:after="0" w:line="276" w:lineRule="auto"/>
        <w:ind w:firstLine="1701"/>
        <w:jc w:val="both"/>
        <w:rPr>
          <w:rFonts w:ascii="Gadugi" w:eastAsia="Gadugi" w:hAnsi="Gadugi" w:cs="Gadugi"/>
          <w:sz w:val="24"/>
          <w:szCs w:val="24"/>
        </w:rPr>
      </w:pPr>
    </w:p>
    <w:p w14:paraId="4FCF71BC" w14:textId="42A7FADE" w:rsidR="005E3EE8" w:rsidRPr="009A6D7D" w:rsidRDefault="005E3EE8"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2.10. </w:t>
      </w:r>
      <w:r w:rsidR="00A85F10" w:rsidRPr="009A6D7D">
        <w:rPr>
          <w:rFonts w:ascii="Gadugi" w:eastAsia="Gadugi" w:hAnsi="Gadugi" w:cs="Gadugi"/>
          <w:sz w:val="24"/>
          <w:szCs w:val="24"/>
        </w:rPr>
        <w:t xml:space="preserve">Recapitulando, se confirmará la sentencia de primera instancia, </w:t>
      </w:r>
      <w:r w:rsidRPr="009A6D7D">
        <w:rPr>
          <w:rFonts w:ascii="Gadugi" w:eastAsia="Gadugi" w:hAnsi="Gadugi" w:cs="Gadugi"/>
          <w:sz w:val="24"/>
          <w:szCs w:val="24"/>
        </w:rPr>
        <w:t xml:space="preserve">dado que se logró acreditar la eximente de </w:t>
      </w:r>
      <w:r w:rsidR="00AA057F" w:rsidRPr="009A6D7D">
        <w:rPr>
          <w:rFonts w:ascii="Gadugi" w:eastAsia="Gadugi" w:hAnsi="Gadugi" w:cs="Gadugi"/>
          <w:sz w:val="24"/>
          <w:szCs w:val="24"/>
        </w:rPr>
        <w:t>responsabilidad derivada</w:t>
      </w:r>
      <w:r w:rsidRPr="009A6D7D">
        <w:rPr>
          <w:rFonts w:ascii="Gadugi" w:eastAsia="Gadugi" w:hAnsi="Gadugi" w:cs="Gadugi"/>
          <w:sz w:val="24"/>
          <w:szCs w:val="24"/>
        </w:rPr>
        <w:t xml:space="preserve"> del hecho exclusivo de la víctima.</w:t>
      </w:r>
      <w:r w:rsidR="007B374F" w:rsidRPr="009A6D7D">
        <w:rPr>
          <w:rFonts w:ascii="Gadugi" w:eastAsia="Gadugi" w:hAnsi="Gadugi" w:cs="Gadugi"/>
          <w:sz w:val="24"/>
          <w:szCs w:val="24"/>
        </w:rPr>
        <w:t xml:space="preserve"> Y en el caso del Banco Finandina S</w:t>
      </w:r>
      <w:r w:rsidR="00AA057F">
        <w:rPr>
          <w:rFonts w:ascii="Gadugi" w:eastAsia="Gadugi" w:hAnsi="Gadugi" w:cs="Gadugi"/>
          <w:sz w:val="24"/>
          <w:szCs w:val="24"/>
        </w:rPr>
        <w:t>.</w:t>
      </w:r>
      <w:r w:rsidR="007B374F" w:rsidRPr="009A6D7D">
        <w:rPr>
          <w:rFonts w:ascii="Gadugi" w:eastAsia="Gadugi" w:hAnsi="Gadugi" w:cs="Gadugi"/>
          <w:sz w:val="24"/>
          <w:szCs w:val="24"/>
        </w:rPr>
        <w:t xml:space="preserve">A., por su falta de legitimación en la causa por pasiva. </w:t>
      </w:r>
    </w:p>
    <w:p w14:paraId="317CFC9E" w14:textId="77777777" w:rsidR="005E3EE8" w:rsidRPr="009A6D7D" w:rsidRDefault="005E3EE8" w:rsidP="009A6D7D">
      <w:pPr>
        <w:tabs>
          <w:tab w:val="left" w:pos="2268"/>
          <w:tab w:val="left" w:pos="2835"/>
        </w:tabs>
        <w:spacing w:after="0" w:line="276" w:lineRule="auto"/>
        <w:ind w:firstLine="1701"/>
        <w:jc w:val="both"/>
        <w:rPr>
          <w:rFonts w:ascii="Gadugi" w:eastAsia="Gadugi" w:hAnsi="Gadugi" w:cs="Gadugi"/>
          <w:sz w:val="24"/>
          <w:szCs w:val="24"/>
        </w:rPr>
      </w:pPr>
    </w:p>
    <w:p w14:paraId="1C22C1BB" w14:textId="6843901B" w:rsidR="00AD4ACE" w:rsidRPr="009A6D7D" w:rsidRDefault="005E3EE8" w:rsidP="009A6D7D">
      <w:pPr>
        <w:tabs>
          <w:tab w:val="left" w:pos="2268"/>
          <w:tab w:val="left" w:pos="2835"/>
        </w:tabs>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Como el recurso fracasa, se </w:t>
      </w:r>
      <w:r w:rsidR="00A85F10" w:rsidRPr="009A6D7D">
        <w:rPr>
          <w:rFonts w:ascii="Gadugi" w:eastAsia="Gadugi" w:hAnsi="Gadugi" w:cs="Gadugi"/>
          <w:sz w:val="24"/>
          <w:szCs w:val="24"/>
        </w:rPr>
        <w:t xml:space="preserve">condenará en costas en esta instancia a la parte </w:t>
      </w:r>
      <w:r w:rsidRPr="009A6D7D">
        <w:rPr>
          <w:rFonts w:ascii="Gadugi" w:eastAsia="Gadugi" w:hAnsi="Gadugi" w:cs="Gadugi"/>
          <w:sz w:val="24"/>
          <w:szCs w:val="24"/>
        </w:rPr>
        <w:t xml:space="preserve">recurrente a favor de los demandados, </w:t>
      </w:r>
      <w:r w:rsidR="00A85F10" w:rsidRPr="009A6D7D">
        <w:rPr>
          <w:rFonts w:ascii="Gadugi" w:eastAsia="Gadugi" w:hAnsi="Gadugi" w:cs="Gadugi"/>
          <w:sz w:val="24"/>
          <w:szCs w:val="24"/>
        </w:rPr>
        <w:t xml:space="preserve">de acuerdo con lo previsto en el numeral </w:t>
      </w:r>
      <w:r w:rsidRPr="009A6D7D">
        <w:rPr>
          <w:rFonts w:ascii="Gadugi" w:eastAsia="Gadugi" w:hAnsi="Gadugi" w:cs="Gadugi"/>
          <w:sz w:val="24"/>
          <w:szCs w:val="24"/>
        </w:rPr>
        <w:t>1</w:t>
      </w:r>
      <w:r w:rsidR="00A85F10" w:rsidRPr="009A6D7D">
        <w:rPr>
          <w:rFonts w:ascii="Gadugi" w:eastAsia="Gadugi" w:hAnsi="Gadugi" w:cs="Gadugi"/>
          <w:sz w:val="24"/>
          <w:szCs w:val="24"/>
        </w:rPr>
        <w:t xml:space="preserve"> del artículo 365 del CGP</w:t>
      </w:r>
      <w:r w:rsidRPr="009A6D7D">
        <w:rPr>
          <w:rFonts w:ascii="Gadugi" w:eastAsia="Gadugi" w:hAnsi="Gadugi" w:cs="Gadugi"/>
          <w:sz w:val="24"/>
          <w:szCs w:val="24"/>
        </w:rPr>
        <w:t>. S</w:t>
      </w:r>
      <w:r w:rsidR="00A85F10" w:rsidRPr="009A6D7D">
        <w:rPr>
          <w:rFonts w:ascii="Gadugi" w:eastAsia="Gadugi" w:hAnsi="Gadugi" w:cs="Gadugi"/>
          <w:sz w:val="24"/>
          <w:szCs w:val="24"/>
        </w:rPr>
        <w:t xml:space="preserve">e </w:t>
      </w:r>
      <w:r w:rsidR="007B3F12" w:rsidRPr="009A6D7D">
        <w:rPr>
          <w:rFonts w:ascii="Gadugi" w:eastAsia="Gadugi" w:hAnsi="Gadugi" w:cs="Gadugi"/>
          <w:sz w:val="24"/>
          <w:szCs w:val="24"/>
        </w:rPr>
        <w:t xml:space="preserve">liquidarán </w:t>
      </w:r>
      <w:r w:rsidR="00A85F10" w:rsidRPr="009A6D7D">
        <w:rPr>
          <w:rFonts w:ascii="Gadugi" w:eastAsia="Gadugi" w:hAnsi="Gadugi" w:cs="Gadugi"/>
          <w:sz w:val="24"/>
          <w:szCs w:val="24"/>
        </w:rPr>
        <w:t xml:space="preserve">en </w:t>
      </w:r>
      <w:r w:rsidR="007B3F12" w:rsidRPr="009A6D7D">
        <w:rPr>
          <w:rFonts w:ascii="Gadugi" w:eastAsia="Gadugi" w:hAnsi="Gadugi" w:cs="Gadugi"/>
          <w:sz w:val="24"/>
          <w:szCs w:val="24"/>
        </w:rPr>
        <w:t xml:space="preserve">primera </w:t>
      </w:r>
      <w:r w:rsidR="00A85F10" w:rsidRPr="009A6D7D">
        <w:rPr>
          <w:rFonts w:ascii="Gadugi" w:eastAsia="Gadugi" w:hAnsi="Gadugi" w:cs="Gadugi"/>
          <w:sz w:val="24"/>
          <w:szCs w:val="24"/>
        </w:rPr>
        <w:t xml:space="preserve">instancia </w:t>
      </w:r>
      <w:r w:rsidRPr="009A6D7D">
        <w:rPr>
          <w:rFonts w:ascii="Gadugi" w:eastAsia="Gadugi" w:hAnsi="Gadugi" w:cs="Gadugi"/>
          <w:sz w:val="24"/>
          <w:szCs w:val="24"/>
        </w:rPr>
        <w:t>siguiendo las pautas del artículo 366 del mismo estatuto, efecto para el cual, las</w:t>
      </w:r>
      <w:r w:rsidR="00A85F10" w:rsidRPr="009A6D7D">
        <w:rPr>
          <w:rFonts w:ascii="Gadugi" w:eastAsia="Gadugi" w:hAnsi="Gadugi" w:cs="Gadugi"/>
          <w:sz w:val="24"/>
          <w:szCs w:val="24"/>
        </w:rPr>
        <w:t xml:space="preserve"> agencias en derecho </w:t>
      </w:r>
      <w:r w:rsidR="007B3F12" w:rsidRPr="009A6D7D">
        <w:rPr>
          <w:rFonts w:ascii="Gadugi" w:eastAsia="Gadugi" w:hAnsi="Gadugi" w:cs="Gadugi"/>
          <w:sz w:val="24"/>
          <w:szCs w:val="24"/>
        </w:rPr>
        <w:t xml:space="preserve">se fijarán </w:t>
      </w:r>
      <w:r w:rsidR="00A85F10" w:rsidRPr="009A6D7D">
        <w:rPr>
          <w:rFonts w:ascii="Gadugi" w:eastAsia="Gadugi" w:hAnsi="Gadugi" w:cs="Gadugi"/>
          <w:sz w:val="24"/>
          <w:szCs w:val="24"/>
        </w:rPr>
        <w:t>en providencia posterior a esta</w:t>
      </w:r>
      <w:r w:rsidRPr="009A6D7D">
        <w:rPr>
          <w:rFonts w:ascii="Gadugi" w:eastAsia="Gadugi" w:hAnsi="Gadugi" w:cs="Gadugi"/>
          <w:sz w:val="24"/>
          <w:szCs w:val="24"/>
        </w:rPr>
        <w:t xml:space="preserve">, por el magistrado sustanciador. </w:t>
      </w:r>
      <w:r w:rsidR="00A85F10" w:rsidRPr="009A6D7D">
        <w:rPr>
          <w:rFonts w:ascii="Gadugi" w:eastAsia="Gadugi" w:hAnsi="Gadugi" w:cs="Gadugi"/>
          <w:sz w:val="24"/>
          <w:szCs w:val="24"/>
        </w:rPr>
        <w:t xml:space="preserve"> </w:t>
      </w:r>
    </w:p>
    <w:p w14:paraId="1C22C1BC" w14:textId="77777777" w:rsidR="007B3F12" w:rsidRPr="009A6D7D" w:rsidRDefault="007B3F12" w:rsidP="009A6D7D">
      <w:pPr>
        <w:tabs>
          <w:tab w:val="left" w:pos="2268"/>
          <w:tab w:val="left" w:pos="2835"/>
        </w:tabs>
        <w:spacing w:after="0" w:line="276" w:lineRule="auto"/>
        <w:ind w:firstLine="1701"/>
        <w:jc w:val="both"/>
        <w:rPr>
          <w:rFonts w:ascii="Gadugi" w:eastAsia="Gadugi" w:hAnsi="Gadugi" w:cs="Gadugi"/>
          <w:sz w:val="24"/>
          <w:szCs w:val="24"/>
        </w:rPr>
      </w:pPr>
    </w:p>
    <w:p w14:paraId="1C22C1BD"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1BE" w14:textId="77777777"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b/>
          <w:sz w:val="24"/>
          <w:szCs w:val="24"/>
        </w:rPr>
        <w:lastRenderedPageBreak/>
        <w:t>3.</w:t>
      </w:r>
      <w:r w:rsidRPr="009A6D7D">
        <w:rPr>
          <w:rFonts w:ascii="Gadugi" w:eastAsia="Gadugi" w:hAnsi="Gadugi" w:cs="Gadugi"/>
          <w:b/>
          <w:sz w:val="24"/>
          <w:szCs w:val="24"/>
        </w:rPr>
        <w:tab/>
        <w:t>DECISIÓN</w:t>
      </w:r>
      <w:r w:rsidRPr="009A6D7D">
        <w:rPr>
          <w:rFonts w:ascii="Gadugi" w:eastAsia="Gadugi" w:hAnsi="Gadugi" w:cs="Gadugi"/>
          <w:sz w:val="24"/>
          <w:szCs w:val="24"/>
        </w:rPr>
        <w:t>.</w:t>
      </w:r>
    </w:p>
    <w:p w14:paraId="1C22C1BF"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1C0"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1C1" w14:textId="7CB218BE" w:rsidR="00AD4ACE" w:rsidRPr="009A6D7D" w:rsidRDefault="007B3F12" w:rsidP="009A6D7D">
      <w:pPr>
        <w:tabs>
          <w:tab w:val="left" w:pos="4536"/>
        </w:tabs>
        <w:spacing w:after="0" w:line="276" w:lineRule="auto"/>
        <w:ind w:firstLine="1701"/>
        <w:jc w:val="both"/>
        <w:rPr>
          <w:rFonts w:ascii="Gadugi" w:eastAsia="Gadugi" w:hAnsi="Gadugi" w:cs="Gadugi"/>
          <w:b/>
          <w:bCs/>
          <w:sz w:val="24"/>
          <w:szCs w:val="24"/>
        </w:rPr>
      </w:pPr>
      <w:r w:rsidRPr="009A6D7D">
        <w:rPr>
          <w:rFonts w:ascii="Gadugi" w:eastAsia="Gadugi" w:hAnsi="Gadugi" w:cs="Gadugi"/>
          <w:sz w:val="24"/>
          <w:szCs w:val="24"/>
        </w:rPr>
        <w:t>E</w:t>
      </w:r>
      <w:r w:rsidR="00A85F10" w:rsidRPr="009A6D7D">
        <w:rPr>
          <w:rFonts w:ascii="Gadugi" w:eastAsia="Gadugi" w:hAnsi="Gadugi" w:cs="Gadugi"/>
          <w:sz w:val="24"/>
          <w:szCs w:val="24"/>
        </w:rPr>
        <w:t xml:space="preserve">n armonía con lo dicho, esta Sala de Decisión Civil-Familia del Tribunal Superior de Pereira, administrando justicia en nombre de la República y por autoridad de la Ley, </w:t>
      </w:r>
      <w:r w:rsidR="00A85F10" w:rsidRPr="009A6D7D">
        <w:rPr>
          <w:rFonts w:ascii="Gadugi" w:eastAsia="Gadugi" w:hAnsi="Gadugi" w:cs="Gadugi"/>
          <w:b/>
          <w:sz w:val="24"/>
          <w:szCs w:val="24"/>
        </w:rPr>
        <w:t>CONFIRMA</w:t>
      </w:r>
      <w:r w:rsidR="00A85F10" w:rsidRPr="009A6D7D">
        <w:rPr>
          <w:rFonts w:ascii="Gadugi" w:eastAsia="Gadugi" w:hAnsi="Gadugi" w:cs="Gadugi"/>
          <w:sz w:val="24"/>
          <w:szCs w:val="24"/>
        </w:rPr>
        <w:t xml:space="preserve"> la sentencia </w:t>
      </w:r>
      <w:r w:rsidR="00E77B8C" w:rsidRPr="009A6D7D">
        <w:rPr>
          <w:rFonts w:ascii="Gadugi" w:eastAsia="Gadugi" w:hAnsi="Gadugi" w:cs="Gadugi"/>
          <w:sz w:val="24"/>
          <w:szCs w:val="24"/>
        </w:rPr>
        <w:t xml:space="preserve">absolutoria </w:t>
      </w:r>
      <w:r w:rsidR="00A85F10" w:rsidRPr="009A6D7D">
        <w:rPr>
          <w:rFonts w:ascii="Gadugi" w:eastAsia="Gadugi" w:hAnsi="Gadugi" w:cs="Gadugi"/>
          <w:sz w:val="24"/>
          <w:szCs w:val="24"/>
        </w:rPr>
        <w:t>proferida el 13 de agosto de 2021, por el Juzgado Civil del Circuito de Dosquebradas, Risaralda, en este proceso que iniciaron</w:t>
      </w:r>
      <w:r w:rsidR="00A85F10" w:rsidRPr="009A6D7D">
        <w:rPr>
          <w:rFonts w:ascii="Gadugi" w:hAnsi="Gadugi"/>
          <w:b/>
          <w:bCs/>
          <w:sz w:val="24"/>
          <w:szCs w:val="24"/>
        </w:rPr>
        <w:t xml:space="preserve"> </w:t>
      </w:r>
      <w:r w:rsidR="00A85F10" w:rsidRPr="009A6D7D">
        <w:rPr>
          <w:rFonts w:ascii="Gadugi" w:eastAsia="Gadugi" w:hAnsi="Gadugi" w:cs="Gadugi"/>
          <w:b/>
          <w:bCs/>
          <w:sz w:val="24"/>
          <w:szCs w:val="24"/>
        </w:rPr>
        <w:t xml:space="preserve">María Alejandra Ramírez Giraldo, Laura Viviana Ramírez Giraldo, Francy Elena Ramírez Giraldo, Martha Lucia Giraldo Montes, Juan Pablo Ramírez Giraldo y Misael Mauricio Ramírez Giraldo </w:t>
      </w:r>
      <w:r w:rsidR="00A85F10" w:rsidRPr="009A6D7D">
        <w:rPr>
          <w:rFonts w:ascii="Gadugi" w:eastAsia="Gadugi" w:hAnsi="Gadugi" w:cs="Gadugi"/>
          <w:sz w:val="24"/>
          <w:szCs w:val="24"/>
        </w:rPr>
        <w:t>frente</w:t>
      </w:r>
      <w:r w:rsidR="00A85F10" w:rsidRPr="009A6D7D">
        <w:rPr>
          <w:rFonts w:ascii="Gadugi" w:eastAsia="Gadugi" w:hAnsi="Gadugi" w:cs="Gadugi"/>
          <w:b/>
          <w:bCs/>
          <w:sz w:val="24"/>
          <w:szCs w:val="24"/>
        </w:rPr>
        <w:t xml:space="preserve"> </w:t>
      </w:r>
      <w:r w:rsidR="00A85F10" w:rsidRPr="009A6D7D">
        <w:rPr>
          <w:rFonts w:ascii="Gadugi" w:eastAsia="Gadugi" w:hAnsi="Gadugi" w:cs="Gadugi"/>
          <w:sz w:val="24"/>
          <w:szCs w:val="24"/>
        </w:rPr>
        <w:t>a</w:t>
      </w:r>
      <w:r w:rsidR="00A85F10" w:rsidRPr="009A6D7D">
        <w:rPr>
          <w:rFonts w:ascii="Gadugi" w:hAnsi="Gadugi"/>
          <w:sz w:val="24"/>
          <w:szCs w:val="24"/>
        </w:rPr>
        <w:t xml:space="preserve"> </w:t>
      </w:r>
      <w:r w:rsidR="00A85F10" w:rsidRPr="009A6D7D">
        <w:rPr>
          <w:rFonts w:ascii="Gadugi" w:eastAsia="Gadugi" w:hAnsi="Gadugi" w:cs="Gadugi"/>
          <w:b/>
          <w:bCs/>
          <w:sz w:val="24"/>
          <w:szCs w:val="24"/>
        </w:rPr>
        <w:t>Luis Fernando Giraldo Salazar, Octavio Marín Hincapié, Banco Finandina S.A, Allianz Seguros S.A.</w:t>
      </w:r>
      <w:r w:rsidR="00E77B8C" w:rsidRPr="009A6D7D">
        <w:rPr>
          <w:rFonts w:ascii="Gadugi" w:eastAsia="Gadugi" w:hAnsi="Gadugi" w:cs="Gadugi"/>
          <w:sz w:val="24"/>
          <w:szCs w:val="24"/>
        </w:rPr>
        <w:t xml:space="preserve">, aunque en el caso del Banco, por su falta de legitimación en la causa por pasiva. </w:t>
      </w:r>
    </w:p>
    <w:p w14:paraId="1C22C1C2" w14:textId="77777777" w:rsidR="00AD4ACE" w:rsidRPr="009A6D7D" w:rsidRDefault="00A85F10" w:rsidP="009A6D7D">
      <w:pPr>
        <w:spacing w:after="0" w:line="276" w:lineRule="auto"/>
        <w:ind w:firstLine="2835"/>
        <w:jc w:val="both"/>
        <w:rPr>
          <w:rFonts w:ascii="Gadugi" w:eastAsia="Gadugi" w:hAnsi="Gadugi" w:cs="Gadugi"/>
          <w:sz w:val="24"/>
          <w:szCs w:val="24"/>
        </w:rPr>
      </w:pPr>
      <w:r w:rsidRPr="009A6D7D">
        <w:rPr>
          <w:rFonts w:ascii="Gadugi" w:eastAsia="Gadugi" w:hAnsi="Gadugi" w:cs="Gadugi"/>
          <w:sz w:val="24"/>
          <w:szCs w:val="24"/>
        </w:rPr>
        <w:t xml:space="preserve"> </w:t>
      </w:r>
    </w:p>
    <w:p w14:paraId="1C22C1C3" w14:textId="1C16775E"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Se condena en costas a l</w:t>
      </w:r>
      <w:r w:rsidR="006E4639" w:rsidRPr="009A6D7D">
        <w:rPr>
          <w:rFonts w:ascii="Gadugi" w:eastAsia="Gadugi" w:hAnsi="Gadugi" w:cs="Gadugi"/>
          <w:sz w:val="24"/>
          <w:szCs w:val="24"/>
        </w:rPr>
        <w:t xml:space="preserve">os recurrentes </w:t>
      </w:r>
      <w:r w:rsidRPr="009A6D7D">
        <w:rPr>
          <w:rFonts w:ascii="Gadugi" w:eastAsia="Gadugi" w:hAnsi="Gadugi" w:cs="Gadugi"/>
          <w:sz w:val="24"/>
          <w:szCs w:val="24"/>
        </w:rPr>
        <w:t xml:space="preserve">en favor de los demandados. Se liquidarán en primera instancia y las agencias en derecho se fijarán en auto posterior. </w:t>
      </w:r>
    </w:p>
    <w:p w14:paraId="1C22C1C4"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1C5" w14:textId="6A88A313" w:rsidR="00AD4ACE" w:rsidRPr="009A6D7D" w:rsidRDefault="006E4639"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En firme esta providencia d</w:t>
      </w:r>
      <w:r w:rsidR="00A85F10" w:rsidRPr="009A6D7D">
        <w:rPr>
          <w:rFonts w:ascii="Gadugi" w:eastAsia="Gadugi" w:hAnsi="Gadugi" w:cs="Gadugi"/>
          <w:sz w:val="24"/>
          <w:szCs w:val="24"/>
        </w:rPr>
        <w:t>ev</w:t>
      </w:r>
      <w:r w:rsidRPr="009A6D7D">
        <w:rPr>
          <w:rFonts w:ascii="Gadugi" w:eastAsia="Gadugi" w:hAnsi="Gadugi" w:cs="Gadugi"/>
          <w:sz w:val="24"/>
          <w:szCs w:val="24"/>
        </w:rPr>
        <w:t xml:space="preserve">uélvase </w:t>
      </w:r>
      <w:r w:rsidR="00A85F10" w:rsidRPr="009A6D7D">
        <w:rPr>
          <w:rFonts w:ascii="Gadugi" w:eastAsia="Gadugi" w:hAnsi="Gadugi" w:cs="Gadugi"/>
          <w:sz w:val="24"/>
          <w:szCs w:val="24"/>
        </w:rPr>
        <w:t xml:space="preserve">el expediente al Despacho de instancia. </w:t>
      </w:r>
    </w:p>
    <w:p w14:paraId="1C22C1C6"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1C7" w14:textId="77777777"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Notifíquese,</w:t>
      </w:r>
    </w:p>
    <w:p w14:paraId="1C22C1C8"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1C9" w14:textId="77777777" w:rsidR="00AD4ACE" w:rsidRPr="009A6D7D" w:rsidRDefault="00A85F10" w:rsidP="009A6D7D">
      <w:pPr>
        <w:spacing w:after="0" w:line="276" w:lineRule="auto"/>
        <w:ind w:firstLine="1701"/>
        <w:jc w:val="both"/>
        <w:rPr>
          <w:rFonts w:ascii="Gadugi" w:eastAsia="Gadugi" w:hAnsi="Gadugi" w:cs="Gadugi"/>
          <w:sz w:val="24"/>
          <w:szCs w:val="24"/>
        </w:rPr>
      </w:pPr>
      <w:r w:rsidRPr="009A6D7D">
        <w:rPr>
          <w:rFonts w:ascii="Gadugi" w:eastAsia="Gadugi" w:hAnsi="Gadugi" w:cs="Gadugi"/>
          <w:sz w:val="24"/>
          <w:szCs w:val="24"/>
        </w:rPr>
        <w:t xml:space="preserve">Los Magistrados, </w:t>
      </w:r>
    </w:p>
    <w:p w14:paraId="1C22C1CA" w14:textId="77777777" w:rsidR="00AD4ACE" w:rsidRPr="009A6D7D" w:rsidRDefault="00AD4ACE" w:rsidP="009A6D7D">
      <w:pPr>
        <w:spacing w:after="0" w:line="276" w:lineRule="auto"/>
        <w:ind w:firstLine="2835"/>
        <w:jc w:val="both"/>
        <w:rPr>
          <w:rFonts w:ascii="Gadugi" w:eastAsia="Gadugi" w:hAnsi="Gadugi" w:cs="Gadugi"/>
          <w:sz w:val="24"/>
          <w:szCs w:val="24"/>
        </w:rPr>
      </w:pPr>
    </w:p>
    <w:p w14:paraId="1C22C1CB" w14:textId="77777777" w:rsidR="00AD4ACE" w:rsidRPr="009A6D7D" w:rsidRDefault="00AD4ACE" w:rsidP="009A6D7D">
      <w:pPr>
        <w:spacing w:after="0" w:line="276" w:lineRule="auto"/>
        <w:ind w:firstLine="2835"/>
        <w:jc w:val="both"/>
        <w:rPr>
          <w:rFonts w:ascii="Gadugi" w:eastAsia="Gadugi" w:hAnsi="Gadugi" w:cs="Gadugi"/>
          <w:b/>
          <w:sz w:val="24"/>
          <w:szCs w:val="24"/>
        </w:rPr>
      </w:pPr>
    </w:p>
    <w:p w14:paraId="1C22C1CC" w14:textId="77777777" w:rsidR="00AD4ACE" w:rsidRPr="009A6D7D" w:rsidRDefault="00A85F10" w:rsidP="009A6D7D">
      <w:pPr>
        <w:spacing w:after="0" w:line="276" w:lineRule="auto"/>
        <w:ind w:firstLine="1701"/>
        <w:jc w:val="both"/>
        <w:rPr>
          <w:rFonts w:ascii="Gadugi" w:eastAsia="Gadugi" w:hAnsi="Gadugi" w:cs="Gadugi"/>
          <w:b/>
          <w:sz w:val="24"/>
          <w:szCs w:val="24"/>
        </w:rPr>
      </w:pPr>
      <w:r w:rsidRPr="009A6D7D">
        <w:rPr>
          <w:rFonts w:ascii="Gadugi" w:eastAsia="Gadugi" w:hAnsi="Gadugi" w:cs="Gadugi"/>
          <w:b/>
          <w:sz w:val="24"/>
          <w:szCs w:val="24"/>
        </w:rPr>
        <w:t>JAIME ALBERTO SARAZA NARANJO</w:t>
      </w:r>
    </w:p>
    <w:p w14:paraId="1C22C1CD" w14:textId="77777777" w:rsidR="00AD4ACE" w:rsidRPr="009A6D7D" w:rsidRDefault="00AD4ACE" w:rsidP="009A6D7D">
      <w:pPr>
        <w:spacing w:after="0" w:line="276" w:lineRule="auto"/>
        <w:ind w:firstLine="2835"/>
        <w:jc w:val="both"/>
        <w:rPr>
          <w:rFonts w:ascii="Gadugi" w:eastAsia="Gadugi" w:hAnsi="Gadugi" w:cs="Gadugi"/>
          <w:b/>
          <w:sz w:val="24"/>
          <w:szCs w:val="24"/>
        </w:rPr>
      </w:pPr>
    </w:p>
    <w:p w14:paraId="1C22C1CE" w14:textId="77777777" w:rsidR="00AD4ACE" w:rsidRPr="009A6D7D" w:rsidRDefault="00AD4ACE" w:rsidP="009A6D7D">
      <w:pPr>
        <w:spacing w:after="0" w:line="276" w:lineRule="auto"/>
        <w:ind w:firstLine="2835"/>
        <w:jc w:val="both"/>
        <w:rPr>
          <w:rFonts w:ascii="Gadugi" w:eastAsia="Gadugi" w:hAnsi="Gadugi" w:cs="Gadugi"/>
          <w:b/>
          <w:sz w:val="24"/>
          <w:szCs w:val="24"/>
        </w:rPr>
      </w:pPr>
    </w:p>
    <w:p w14:paraId="1C22C1CF" w14:textId="77777777" w:rsidR="00AD4ACE" w:rsidRPr="009A6D7D" w:rsidRDefault="00A85F10" w:rsidP="009A6D7D">
      <w:pPr>
        <w:spacing w:after="0" w:line="276" w:lineRule="auto"/>
        <w:ind w:firstLine="1701"/>
        <w:jc w:val="both"/>
        <w:rPr>
          <w:rFonts w:ascii="Gadugi" w:eastAsia="Gadugi" w:hAnsi="Gadugi" w:cs="Gadugi"/>
          <w:b/>
          <w:bCs/>
          <w:sz w:val="24"/>
          <w:szCs w:val="24"/>
        </w:rPr>
      </w:pPr>
      <w:r w:rsidRPr="009A6D7D">
        <w:rPr>
          <w:rFonts w:ascii="Gadugi" w:eastAsia="Gadugi" w:hAnsi="Gadugi" w:cs="Gadugi"/>
          <w:b/>
          <w:bCs/>
          <w:sz w:val="24"/>
          <w:szCs w:val="24"/>
        </w:rPr>
        <w:t>CARLOS MAURICIO GARCÍA BARAJAS</w:t>
      </w:r>
    </w:p>
    <w:p w14:paraId="1C22C1D0" w14:textId="77777777" w:rsidR="00AD4ACE" w:rsidRPr="009A6D7D" w:rsidRDefault="00AD4ACE" w:rsidP="009A6D7D">
      <w:pPr>
        <w:spacing w:after="0" w:line="276" w:lineRule="auto"/>
        <w:ind w:firstLine="2835"/>
        <w:jc w:val="both"/>
        <w:rPr>
          <w:rFonts w:ascii="Gadugi" w:eastAsia="Gadugi" w:hAnsi="Gadugi" w:cs="Gadugi"/>
          <w:b/>
          <w:sz w:val="24"/>
          <w:szCs w:val="24"/>
        </w:rPr>
      </w:pPr>
    </w:p>
    <w:p w14:paraId="1C22C1D1" w14:textId="77777777" w:rsidR="00AD4ACE" w:rsidRPr="009A6D7D" w:rsidRDefault="00AD4ACE" w:rsidP="009A6D7D">
      <w:pPr>
        <w:spacing w:after="0" w:line="276" w:lineRule="auto"/>
        <w:ind w:firstLine="2835"/>
        <w:jc w:val="both"/>
        <w:rPr>
          <w:rFonts w:ascii="Gadugi" w:eastAsia="Gadugi" w:hAnsi="Gadugi" w:cs="Gadugi"/>
          <w:b/>
          <w:sz w:val="24"/>
          <w:szCs w:val="24"/>
        </w:rPr>
      </w:pPr>
    </w:p>
    <w:p w14:paraId="1C22C1D5" w14:textId="4FEA1F6B" w:rsidR="00AD4ACE" w:rsidRPr="009A6D7D" w:rsidRDefault="00A85F10" w:rsidP="009A6D7D">
      <w:pPr>
        <w:spacing w:after="0" w:line="276" w:lineRule="auto"/>
        <w:ind w:firstLine="1701"/>
        <w:jc w:val="both"/>
        <w:rPr>
          <w:rFonts w:ascii="Gadugi" w:eastAsia="Gadugi" w:hAnsi="Gadugi" w:cs="Gadugi"/>
          <w:b/>
          <w:bCs/>
          <w:sz w:val="24"/>
          <w:szCs w:val="24"/>
        </w:rPr>
      </w:pPr>
      <w:r w:rsidRPr="009A6D7D">
        <w:rPr>
          <w:rFonts w:ascii="Gadugi" w:eastAsia="Gadugi" w:hAnsi="Gadugi" w:cs="Gadugi"/>
          <w:b/>
          <w:bCs/>
          <w:sz w:val="24"/>
          <w:szCs w:val="24"/>
        </w:rPr>
        <w:t>DUBERNEY GRISALES HERRERA</w:t>
      </w:r>
    </w:p>
    <w:sectPr w:rsidR="00AD4ACE" w:rsidRPr="009A6D7D" w:rsidSect="00E4084C">
      <w:pgSz w:w="12242" w:h="18722" w:code="258"/>
      <w:pgMar w:top="1871" w:right="1304" w:bottom="1304" w:left="1871" w:header="567" w:footer="567" w:gutter="0"/>
      <w:pgNumType w:start="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45991B" w16cex:dateUtc="2022-08-30T19:24:23.702Z"/>
  <w16cex:commentExtensible w16cex:durableId="31BC765F" w16cex:dateUtc="2022-08-30T19:25:22.167Z"/>
  <w16cex:commentExtensible w16cex:durableId="5FE39C9D" w16cex:dateUtc="2022-08-30T19:26:14.946Z"/>
  <w16cex:commentExtensible w16cex:durableId="33CC7D3D" w16cex:dateUtc="2022-08-30T19:26:39.96Z"/>
  <w16cex:commentExtensible w16cex:durableId="2042F6E0" w16cex:dateUtc="2022-08-30T19:27:15.868Z"/>
  <w16cex:commentExtensible w16cex:durableId="1E5C9804" w16cex:dateUtc="2022-08-30T19:27:54.636Z"/>
  <w16cex:commentExtensible w16cex:durableId="4DAB7B7E" w16cex:dateUtc="2022-08-31T15:41:55.435Z"/>
  <w16cex:commentExtensible w16cex:durableId="5E8826A9" w16cex:dateUtc="2022-08-31T15:44:44.983Z"/>
  <w16cex:commentExtensible w16cex:durableId="35F7E58C" w16cex:dateUtc="2022-09-05T12:42:51.721Z"/>
  <w16cex:commentExtensible w16cex:durableId="67E011E1" w16cex:dateUtc="2022-09-05T12:43:36.074Z"/>
  <w16cex:commentExtensible w16cex:durableId="26718E85" w16cex:dateUtc="2022-09-05T15:13:23.4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3C0E" w14:textId="77777777" w:rsidR="00703DBC" w:rsidRDefault="00703DBC">
      <w:pPr>
        <w:spacing w:after="0" w:line="240" w:lineRule="auto"/>
      </w:pPr>
      <w:r>
        <w:separator/>
      </w:r>
    </w:p>
  </w:endnote>
  <w:endnote w:type="continuationSeparator" w:id="0">
    <w:p w14:paraId="50D93699" w14:textId="77777777" w:rsidR="00703DBC" w:rsidRDefault="00703DBC">
      <w:pPr>
        <w:spacing w:after="0" w:line="240" w:lineRule="auto"/>
      </w:pPr>
      <w:r>
        <w:continuationSeparator/>
      </w:r>
    </w:p>
  </w:endnote>
  <w:endnote w:type="continuationNotice" w:id="1">
    <w:p w14:paraId="6965C284" w14:textId="77777777" w:rsidR="00703DBC" w:rsidRDefault="00703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Cuerpo en alf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1BE2" w14:textId="77777777" w:rsidR="00703DBC" w:rsidRDefault="00703DBC">
      <w:pPr>
        <w:spacing w:after="0" w:line="240" w:lineRule="auto"/>
      </w:pPr>
      <w:r>
        <w:separator/>
      </w:r>
    </w:p>
  </w:footnote>
  <w:footnote w:type="continuationSeparator" w:id="0">
    <w:p w14:paraId="2ED9C69C" w14:textId="77777777" w:rsidR="00703DBC" w:rsidRDefault="00703DBC">
      <w:pPr>
        <w:spacing w:after="0" w:line="240" w:lineRule="auto"/>
      </w:pPr>
      <w:r>
        <w:continuationSeparator/>
      </w:r>
    </w:p>
  </w:footnote>
  <w:footnote w:type="continuationNotice" w:id="1">
    <w:p w14:paraId="1E66E56D" w14:textId="77777777" w:rsidR="00703DBC" w:rsidRDefault="00703DBC">
      <w:pPr>
        <w:spacing w:after="0" w:line="240" w:lineRule="auto"/>
      </w:pPr>
    </w:p>
  </w:footnote>
  <w:footnote w:id="2">
    <w:p w14:paraId="5F18D4F5" w14:textId="54BA8D3E"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w:t>
      </w:r>
      <w:r w:rsidRPr="00027324">
        <w:rPr>
          <w:rFonts w:ascii="Agency FB" w:eastAsia="Century" w:hAnsi="Agency FB" w:cs="Century"/>
          <w:color w:val="000000"/>
          <w:sz w:val="20"/>
          <w:szCs w:val="20"/>
          <w:lang w:val="en-US"/>
        </w:rPr>
        <w:t xml:space="preserve">01PrimeraInstancia, arch. 04, p. </w:t>
      </w:r>
      <w:r w:rsidRPr="00027324">
        <w:rPr>
          <w:rFonts w:ascii="Agency FB" w:hAnsi="Agency FB"/>
          <w:color w:val="000000"/>
          <w:sz w:val="20"/>
          <w:szCs w:val="20"/>
          <w:lang w:val="en-US"/>
        </w:rPr>
        <w:t xml:space="preserve">6 </w:t>
      </w:r>
      <w:proofErr w:type="gramStart"/>
      <w:r w:rsidRPr="00027324">
        <w:rPr>
          <w:rFonts w:ascii="Agency FB" w:hAnsi="Agency FB"/>
          <w:color w:val="000000"/>
          <w:sz w:val="20"/>
          <w:szCs w:val="20"/>
          <w:lang w:val="en-US"/>
        </w:rPr>
        <w:t>a</w:t>
      </w:r>
      <w:proofErr w:type="gramEnd"/>
      <w:r w:rsidRPr="00027324">
        <w:rPr>
          <w:rFonts w:ascii="Agency FB" w:hAnsi="Agency FB"/>
          <w:color w:val="000000"/>
          <w:sz w:val="20"/>
          <w:szCs w:val="20"/>
          <w:lang w:val="en-US"/>
        </w:rPr>
        <w:t xml:space="preserve"> 8.</w:t>
      </w:r>
    </w:p>
  </w:footnote>
  <w:footnote w:id="3">
    <w:p w14:paraId="251B0DD3" w14:textId="5C6F7A6B"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lang w:val="en-US"/>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lang w:val="en-US"/>
        </w:rPr>
        <w:t xml:space="preserve"> Ib., p. 3-6</w:t>
      </w:r>
    </w:p>
  </w:footnote>
  <w:footnote w:id="4">
    <w:p w14:paraId="0D39AF10" w14:textId="4BA8CBF0" w:rsidR="001C3208" w:rsidRPr="00027324" w:rsidRDefault="001C3208" w:rsidP="00027324">
      <w:pPr>
        <w:pStyle w:val="Textonotapie"/>
        <w:jc w:val="both"/>
        <w:rPr>
          <w:rFonts w:ascii="Agency FB" w:hAnsi="Agency FB"/>
          <w:lang w:val="en-US"/>
        </w:rPr>
      </w:pPr>
      <w:r w:rsidRPr="00027324">
        <w:rPr>
          <w:rStyle w:val="Refdenotaalpie"/>
          <w:rFonts w:ascii="Agency FB" w:hAnsi="Agency FB"/>
        </w:rPr>
        <w:footnoteRef/>
      </w:r>
      <w:r w:rsidRPr="00027324">
        <w:rPr>
          <w:rFonts w:ascii="Agency FB" w:hAnsi="Agency FB"/>
          <w:lang w:val="en-US"/>
        </w:rPr>
        <w:t xml:space="preserve"> Ib., arch. 06</w:t>
      </w:r>
    </w:p>
  </w:footnote>
  <w:footnote w:id="5">
    <w:p w14:paraId="45F5A266" w14:textId="53833E30" w:rsidR="001C3208" w:rsidRPr="00027324" w:rsidRDefault="001C3208" w:rsidP="00027324">
      <w:pPr>
        <w:pStyle w:val="Textonotapie"/>
        <w:jc w:val="both"/>
        <w:rPr>
          <w:rFonts w:ascii="Agency FB" w:hAnsi="Agency FB"/>
          <w:lang w:val="en-US"/>
        </w:rPr>
      </w:pPr>
      <w:r w:rsidRPr="00027324">
        <w:rPr>
          <w:rStyle w:val="Refdenotaalpie"/>
          <w:rFonts w:ascii="Agency FB" w:hAnsi="Agency FB"/>
        </w:rPr>
        <w:footnoteRef/>
      </w:r>
      <w:r w:rsidRPr="00027324">
        <w:rPr>
          <w:rFonts w:ascii="Agency FB" w:hAnsi="Agency FB"/>
          <w:lang w:val="en-US"/>
        </w:rPr>
        <w:t xml:space="preserve"> Ib., arch. 07</w:t>
      </w:r>
    </w:p>
  </w:footnote>
  <w:footnote w:id="6">
    <w:p w14:paraId="1C22C6E7" w14:textId="091DBBCA"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Ib., </w:t>
      </w:r>
      <w:r w:rsidRPr="00027324">
        <w:rPr>
          <w:rFonts w:ascii="Agency FB" w:eastAsia="Century" w:hAnsi="Agency FB" w:cs="Century"/>
          <w:color w:val="000000"/>
          <w:sz w:val="20"/>
          <w:szCs w:val="20"/>
          <w:lang w:val="en-US"/>
        </w:rPr>
        <w:t>arch.08</w:t>
      </w:r>
    </w:p>
  </w:footnote>
  <w:footnote w:id="7">
    <w:p w14:paraId="1C22C6E8" w14:textId="2A87996D"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Ib.,</w:t>
      </w:r>
      <w:r w:rsidRPr="00027324">
        <w:rPr>
          <w:rFonts w:ascii="Agency FB" w:eastAsia="Century" w:hAnsi="Agency FB" w:cs="Century"/>
          <w:color w:val="000000"/>
          <w:sz w:val="20"/>
          <w:szCs w:val="20"/>
          <w:lang w:val="en-US"/>
        </w:rPr>
        <w:t xml:space="preserve"> archivo 10.</w:t>
      </w:r>
    </w:p>
  </w:footnote>
  <w:footnote w:id="8">
    <w:p w14:paraId="2C90E50B" w14:textId="41B57C20"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lang w:val="en-US"/>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lang w:val="en-US"/>
        </w:rPr>
        <w:t xml:space="preserve"> Ib., arch. 27  </w:t>
      </w:r>
    </w:p>
  </w:footnote>
  <w:footnote w:id="9">
    <w:p w14:paraId="1C22C6ED" w14:textId="6A67BA4E"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lang w:val="en-US"/>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lang w:val="en-US"/>
        </w:rPr>
        <w:t xml:space="preserve"> Ib., arch. 21 </w:t>
      </w:r>
    </w:p>
  </w:footnote>
  <w:footnote w:id="10">
    <w:p w14:paraId="1C22C6EE" w14:textId="286324A5"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Ib. Arc. 23</w:t>
      </w:r>
      <w:r w:rsidRPr="00027324">
        <w:rPr>
          <w:rFonts w:ascii="Agency FB" w:eastAsia="Century" w:hAnsi="Agency FB" w:cs="Century"/>
          <w:color w:val="000000"/>
          <w:sz w:val="20"/>
          <w:szCs w:val="20"/>
          <w:lang w:val="en-US"/>
        </w:rPr>
        <w:t xml:space="preserve"> </w:t>
      </w:r>
    </w:p>
  </w:footnote>
  <w:footnote w:id="11">
    <w:p w14:paraId="1C22C6EF" w14:textId="0ED5F8C6"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Ib., a</w:t>
      </w:r>
      <w:r w:rsidRPr="00027324">
        <w:rPr>
          <w:rFonts w:ascii="Agency FB" w:eastAsia="Century" w:hAnsi="Agency FB" w:cs="Century"/>
          <w:color w:val="000000"/>
          <w:sz w:val="20"/>
          <w:szCs w:val="20"/>
          <w:lang w:val="en-US"/>
        </w:rPr>
        <w:t xml:space="preserve">rch. 25 </w:t>
      </w:r>
    </w:p>
  </w:footnote>
  <w:footnote w:id="12">
    <w:p w14:paraId="2033A537" w14:textId="6B054ED1"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lang w:val="en-US"/>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lang w:val="en-US"/>
        </w:rPr>
        <w:t xml:space="preserve"> Ib., arch. 18 </w:t>
      </w:r>
    </w:p>
  </w:footnote>
  <w:footnote w:id="13">
    <w:p w14:paraId="7855F8DC" w14:textId="61E58159"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Ib., arch. 44</w:t>
      </w:r>
    </w:p>
  </w:footnote>
  <w:footnote w:id="14">
    <w:p w14:paraId="2811332D" w14:textId="1737B88C"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Ib., arch. </w:t>
      </w:r>
      <w:r w:rsidRPr="00027324">
        <w:rPr>
          <w:rFonts w:ascii="Agency FB" w:eastAsia="Century" w:hAnsi="Agency FB" w:cs="Century"/>
          <w:color w:val="000000"/>
          <w:sz w:val="20"/>
          <w:szCs w:val="20"/>
          <w:lang w:val="en-US"/>
        </w:rPr>
        <w:t>32</w:t>
      </w:r>
    </w:p>
  </w:footnote>
  <w:footnote w:id="15">
    <w:p w14:paraId="0528884E" w14:textId="5741D16D"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Ib., arch. </w:t>
      </w:r>
      <w:r w:rsidRPr="00027324">
        <w:rPr>
          <w:rFonts w:ascii="Agency FB" w:eastAsia="Century" w:hAnsi="Agency FB" w:cs="Century"/>
          <w:color w:val="000000"/>
          <w:sz w:val="20"/>
          <w:szCs w:val="20"/>
          <w:lang w:val="en-US"/>
        </w:rPr>
        <w:t>3</w:t>
      </w:r>
      <w:r w:rsidR="00615783" w:rsidRPr="00027324">
        <w:rPr>
          <w:rFonts w:ascii="Agency FB" w:eastAsia="Century" w:hAnsi="Agency FB" w:cs="Century"/>
          <w:color w:val="000000"/>
          <w:sz w:val="20"/>
          <w:szCs w:val="20"/>
          <w:lang w:val="en-US"/>
        </w:rPr>
        <w:t>7</w:t>
      </w:r>
    </w:p>
  </w:footnote>
  <w:footnote w:id="16">
    <w:p w14:paraId="724D8933" w14:textId="1C48AC51"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lang w:val="en-US"/>
        </w:rPr>
      </w:pPr>
      <w:r w:rsidRPr="00027324">
        <w:rPr>
          <w:rFonts w:ascii="Agency FB" w:hAnsi="Agency FB"/>
          <w:sz w:val="20"/>
          <w:szCs w:val="20"/>
          <w:vertAlign w:val="superscript"/>
        </w:rPr>
        <w:footnoteRef/>
      </w:r>
      <w:r w:rsidRPr="00027324">
        <w:rPr>
          <w:rFonts w:ascii="Agency FB" w:hAnsi="Agency FB"/>
          <w:color w:val="000000"/>
          <w:sz w:val="20"/>
          <w:szCs w:val="20"/>
          <w:lang w:val="en-US"/>
        </w:rPr>
        <w:t xml:space="preserve"> Ib., arch. </w:t>
      </w:r>
      <w:r w:rsidRPr="00027324">
        <w:rPr>
          <w:rFonts w:ascii="Agency FB" w:eastAsia="Century" w:hAnsi="Agency FB" w:cs="Century"/>
          <w:color w:val="000000"/>
          <w:sz w:val="20"/>
          <w:szCs w:val="20"/>
          <w:lang w:val="en-US"/>
        </w:rPr>
        <w:t xml:space="preserve">38 </w:t>
      </w:r>
    </w:p>
  </w:footnote>
  <w:footnote w:id="17">
    <w:p w14:paraId="577B2120" w14:textId="77777777"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lang w:val="en-US"/>
        </w:rPr>
        <w:t xml:space="preserve"> </w:t>
      </w:r>
      <w:r w:rsidRPr="00027324">
        <w:rPr>
          <w:rFonts w:ascii="Agency FB" w:hAnsi="Agency FB"/>
          <w:color w:val="000000"/>
          <w:sz w:val="20"/>
          <w:szCs w:val="20"/>
          <w:lang w:val="en-US"/>
        </w:rPr>
        <w:t xml:space="preserve">Ib., arch. </w:t>
      </w:r>
      <w:r w:rsidRPr="00027324">
        <w:rPr>
          <w:rFonts w:ascii="Agency FB" w:eastAsia="Century" w:hAnsi="Agency FB" w:cs="Century"/>
          <w:color w:val="000000"/>
          <w:sz w:val="20"/>
          <w:szCs w:val="20"/>
        </w:rPr>
        <w:t xml:space="preserve">81 y 82 </w:t>
      </w:r>
    </w:p>
  </w:footnote>
  <w:footnote w:id="18">
    <w:p w14:paraId="15957A6B" w14:textId="39D0C880"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rPr>
        <w:t xml:space="preserve"> Ib., arch. 82 </w:t>
      </w:r>
    </w:p>
  </w:footnote>
  <w:footnote w:id="19">
    <w:p w14:paraId="2286085B" w14:textId="2B20C9A5"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r w:rsidRPr="00027324">
        <w:rPr>
          <w:rFonts w:ascii="Agency FB" w:hAnsi="Agency FB"/>
          <w:sz w:val="20"/>
          <w:szCs w:val="20"/>
          <w:vertAlign w:val="superscript"/>
        </w:rPr>
        <w:footnoteRef/>
      </w:r>
      <w:r w:rsidRPr="00027324">
        <w:rPr>
          <w:rFonts w:ascii="Agency FB" w:hAnsi="Agency FB"/>
          <w:color w:val="000000"/>
          <w:sz w:val="20"/>
          <w:szCs w:val="20"/>
        </w:rPr>
        <w:t xml:space="preserve"> </w:t>
      </w:r>
      <w:r w:rsidRPr="00027324">
        <w:rPr>
          <w:rFonts w:ascii="Agency FB" w:eastAsia="Century" w:hAnsi="Agency FB" w:cs="Century"/>
          <w:color w:val="000000"/>
          <w:sz w:val="20"/>
          <w:szCs w:val="20"/>
        </w:rPr>
        <w:t>Ib., arch. 84</w:t>
      </w:r>
    </w:p>
  </w:footnote>
  <w:footnote w:id="20">
    <w:p w14:paraId="1C22C6F6" w14:textId="3B85E623"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r w:rsidRPr="00027324">
        <w:rPr>
          <w:rFonts w:ascii="Agency FB" w:hAnsi="Agency FB"/>
          <w:sz w:val="20"/>
          <w:szCs w:val="20"/>
          <w:vertAlign w:val="superscript"/>
        </w:rPr>
        <w:footnoteRef/>
      </w:r>
      <w:r w:rsidRPr="00027324">
        <w:rPr>
          <w:rFonts w:ascii="Agency FB" w:hAnsi="Agency FB"/>
          <w:color w:val="000000"/>
          <w:sz w:val="20"/>
          <w:szCs w:val="20"/>
        </w:rPr>
        <w:t xml:space="preserve"> </w:t>
      </w:r>
      <w:r w:rsidRPr="00027324">
        <w:rPr>
          <w:rFonts w:ascii="Agency FB" w:eastAsia="Century" w:hAnsi="Agency FB" w:cs="Century"/>
          <w:color w:val="000000"/>
          <w:sz w:val="20"/>
          <w:szCs w:val="20"/>
        </w:rPr>
        <w:t xml:space="preserve">02SegundaInstancia, arch. 07 </w:t>
      </w:r>
    </w:p>
  </w:footnote>
  <w:footnote w:id="21">
    <w:p w14:paraId="750D53AF" w14:textId="0C097ECA" w:rsidR="0075436E" w:rsidRPr="00027324" w:rsidRDefault="0075436E"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lang w:val="es-419"/>
        </w:rPr>
        <w:t>Corte Suprema de Justicia, Sala de Casación Civil, sentencia SC592-2022</w:t>
      </w:r>
    </w:p>
  </w:footnote>
  <w:footnote w:id="22">
    <w:p w14:paraId="122DFDF8" w14:textId="4C8C19BF" w:rsidR="005F2459" w:rsidRPr="00027324" w:rsidRDefault="005F2459"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lang w:val="es-419"/>
        </w:rPr>
        <w:t>TSP.SC-</w:t>
      </w:r>
      <w:r w:rsidR="00606973" w:rsidRPr="00027324">
        <w:rPr>
          <w:rFonts w:ascii="Agency FB" w:hAnsi="Agency FB"/>
          <w:lang w:val="es-419"/>
        </w:rPr>
        <w:t>0078-2021</w:t>
      </w:r>
    </w:p>
  </w:footnote>
  <w:footnote w:id="23">
    <w:p w14:paraId="496BC72F" w14:textId="7B65C897" w:rsidR="00606973" w:rsidRPr="00027324" w:rsidRDefault="00606973"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Tribunal Superior de Pereira, Sala Civil Familia, sentencias del 18 de noviembre de 2020, radicado 2014-00203 y del 14 de junio de 2017, radicado 2010-00184, M.P. Duberney Grisales Herrera</w:t>
      </w:r>
    </w:p>
  </w:footnote>
  <w:footnote w:id="24">
    <w:p w14:paraId="2FBC2D59" w14:textId="0C3ECA85" w:rsidR="00606973" w:rsidRPr="00027324" w:rsidRDefault="00606973"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Corte Suprema de Justicia, Sala de casación Civil, sentencia SC1084-2021</w:t>
      </w:r>
    </w:p>
  </w:footnote>
  <w:footnote w:id="25">
    <w:p w14:paraId="0399720D" w14:textId="4E735A5F" w:rsidR="00397104" w:rsidRPr="00027324" w:rsidRDefault="00397104" w:rsidP="00027324">
      <w:pPr>
        <w:pStyle w:val="Textonotapie"/>
        <w:jc w:val="both"/>
        <w:rPr>
          <w:rFonts w:ascii="Agency FB" w:hAnsi="Agency FB"/>
          <w:lang w:val="en-US"/>
        </w:rPr>
      </w:pPr>
      <w:r w:rsidRPr="00027324">
        <w:rPr>
          <w:rStyle w:val="Refdenotaalpie"/>
          <w:rFonts w:ascii="Agency FB" w:hAnsi="Agency FB"/>
        </w:rPr>
        <w:footnoteRef/>
      </w:r>
      <w:r w:rsidRPr="00027324">
        <w:rPr>
          <w:rFonts w:ascii="Agency FB" w:hAnsi="Agency FB"/>
          <w:lang w:val="en-US"/>
        </w:rPr>
        <w:t xml:space="preserve"> 01PrimeraInstancia, arch. 27, p. 25</w:t>
      </w:r>
    </w:p>
  </w:footnote>
  <w:footnote w:id="26">
    <w:p w14:paraId="6ED8F230" w14:textId="60A6B77D" w:rsidR="00425F27" w:rsidRPr="00027324" w:rsidRDefault="00425F27" w:rsidP="00027324">
      <w:pPr>
        <w:pStyle w:val="Textonotapie"/>
        <w:jc w:val="both"/>
        <w:rPr>
          <w:rFonts w:ascii="Agency FB" w:hAnsi="Agency FB"/>
          <w:lang w:val="en-US"/>
        </w:rPr>
      </w:pPr>
      <w:r w:rsidRPr="00027324">
        <w:rPr>
          <w:rStyle w:val="Refdenotaalpie"/>
          <w:rFonts w:ascii="Agency FB" w:hAnsi="Agency FB"/>
        </w:rPr>
        <w:footnoteRef/>
      </w:r>
      <w:r w:rsidRPr="00027324">
        <w:rPr>
          <w:rFonts w:ascii="Agency FB" w:hAnsi="Agency FB"/>
          <w:lang w:val="en-US"/>
        </w:rPr>
        <w:t xml:space="preserve"> Ib., arch. 23</w:t>
      </w:r>
    </w:p>
  </w:footnote>
  <w:footnote w:id="27">
    <w:p w14:paraId="3C5CA581" w14:textId="4B52A452" w:rsidR="00425F27" w:rsidRPr="00027324" w:rsidRDefault="00425F27" w:rsidP="00027324">
      <w:pPr>
        <w:pStyle w:val="Textonotapie"/>
        <w:jc w:val="both"/>
        <w:rPr>
          <w:rFonts w:ascii="Agency FB" w:hAnsi="Agency FB"/>
          <w:lang w:val="en-US"/>
        </w:rPr>
      </w:pPr>
      <w:r w:rsidRPr="00027324">
        <w:rPr>
          <w:rStyle w:val="Refdenotaalpie"/>
          <w:rFonts w:ascii="Agency FB" w:hAnsi="Agency FB"/>
        </w:rPr>
        <w:footnoteRef/>
      </w:r>
      <w:r w:rsidRPr="00027324">
        <w:rPr>
          <w:rFonts w:ascii="Agency FB" w:hAnsi="Agency FB"/>
          <w:lang w:val="en-US"/>
        </w:rPr>
        <w:t xml:space="preserve"> Ib., arch. 37</w:t>
      </w:r>
    </w:p>
  </w:footnote>
  <w:footnote w:id="28">
    <w:p w14:paraId="1C4E0970" w14:textId="6C685680" w:rsidR="00BC66A9" w:rsidRPr="00027324" w:rsidRDefault="00BC66A9" w:rsidP="00027324">
      <w:pPr>
        <w:pStyle w:val="Textonotapie"/>
        <w:jc w:val="both"/>
        <w:rPr>
          <w:rFonts w:ascii="Agency FB" w:hAnsi="Agency FB"/>
          <w:lang w:val="en-US"/>
        </w:rPr>
      </w:pPr>
      <w:r w:rsidRPr="00027324">
        <w:rPr>
          <w:rStyle w:val="Refdenotaalpie"/>
          <w:rFonts w:ascii="Agency FB" w:hAnsi="Agency FB"/>
        </w:rPr>
        <w:footnoteRef/>
      </w:r>
      <w:r w:rsidRPr="00027324">
        <w:rPr>
          <w:rFonts w:ascii="Agency FB" w:hAnsi="Agency FB"/>
          <w:lang w:val="en-US"/>
        </w:rPr>
        <w:t xml:space="preserve"> </w:t>
      </w:r>
      <w:r w:rsidR="00397104" w:rsidRPr="00027324">
        <w:rPr>
          <w:rFonts w:ascii="Agency FB" w:hAnsi="Agency FB"/>
          <w:lang w:val="en-US"/>
        </w:rPr>
        <w:t xml:space="preserve">Ib., arch, </w:t>
      </w:r>
      <w:r w:rsidR="00425F27" w:rsidRPr="00027324">
        <w:rPr>
          <w:rFonts w:ascii="Agency FB" w:hAnsi="Agency FB"/>
          <w:lang w:val="en-US"/>
        </w:rPr>
        <w:t>38</w:t>
      </w:r>
    </w:p>
  </w:footnote>
  <w:footnote w:id="29">
    <w:p w14:paraId="4EE06585" w14:textId="499CEC37" w:rsidR="00F80DF5" w:rsidRPr="00027324" w:rsidRDefault="00F80DF5" w:rsidP="00027324">
      <w:pPr>
        <w:pStyle w:val="Textonotapie"/>
        <w:jc w:val="both"/>
        <w:rPr>
          <w:rFonts w:ascii="Agency FB" w:hAnsi="Agency FB"/>
          <w:lang w:val="en-US"/>
        </w:rPr>
      </w:pPr>
      <w:r w:rsidRPr="00027324">
        <w:rPr>
          <w:rStyle w:val="Refdenotaalpie"/>
          <w:rFonts w:ascii="Agency FB" w:hAnsi="Agency FB"/>
        </w:rPr>
        <w:footnoteRef/>
      </w:r>
      <w:r w:rsidRPr="00027324">
        <w:rPr>
          <w:rFonts w:ascii="Agency FB" w:hAnsi="Agency FB"/>
          <w:lang w:val="en-US"/>
        </w:rPr>
        <w:t xml:space="preserve"> 01PrimeraInstancia, arch. 02, p. 31</w:t>
      </w:r>
    </w:p>
  </w:footnote>
  <w:footnote w:id="30">
    <w:p w14:paraId="1C22C6F7" w14:textId="607FFEB7"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rPr>
        <w:t xml:space="preserve"> 01PrimeraInstancia, arch. 02, p. 6 y 8 </w:t>
      </w:r>
    </w:p>
  </w:footnote>
  <w:footnote w:id="31">
    <w:p w14:paraId="1C22C6F8" w14:textId="17B1E143" w:rsidR="001C3208" w:rsidRPr="00027324" w:rsidRDefault="001C3208"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rPr>
        <w:t xml:space="preserve"> Ib., p. 23 </w:t>
      </w:r>
    </w:p>
  </w:footnote>
  <w:footnote w:id="32">
    <w:p w14:paraId="1C22C6F9" w14:textId="13A5F3A0"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rPr>
      </w:pPr>
      <w:r w:rsidRPr="00027324">
        <w:rPr>
          <w:rFonts w:ascii="Agency FB" w:hAnsi="Agency FB"/>
          <w:sz w:val="20"/>
          <w:szCs w:val="20"/>
          <w:vertAlign w:val="superscript"/>
        </w:rPr>
        <w:footnoteRef/>
      </w:r>
      <w:r w:rsidRPr="00027324">
        <w:rPr>
          <w:rFonts w:ascii="Agency FB" w:hAnsi="Agency FB"/>
          <w:color w:val="000000"/>
          <w:sz w:val="20"/>
          <w:szCs w:val="20"/>
        </w:rPr>
        <w:t xml:space="preserve"> </w:t>
      </w:r>
      <w:r w:rsidR="001D7FF6" w:rsidRPr="00027324">
        <w:rPr>
          <w:rFonts w:ascii="Agency FB" w:hAnsi="Agency FB"/>
          <w:color w:val="000000"/>
          <w:sz w:val="20"/>
          <w:szCs w:val="20"/>
        </w:rPr>
        <w:t xml:space="preserve">Ib., p. </w:t>
      </w:r>
      <w:r w:rsidRPr="00027324">
        <w:rPr>
          <w:rFonts w:ascii="Agency FB" w:eastAsia="Century" w:hAnsi="Agency FB" w:cs="Century"/>
          <w:color w:val="000000"/>
          <w:sz w:val="20"/>
          <w:szCs w:val="20"/>
        </w:rPr>
        <w:t>9, 10, 12, 13, 15, 18 y 20</w:t>
      </w:r>
    </w:p>
  </w:footnote>
  <w:footnote w:id="33">
    <w:p w14:paraId="1C22C6FA" w14:textId="1750771F"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rPr>
      </w:pPr>
      <w:r w:rsidRPr="00027324">
        <w:rPr>
          <w:rFonts w:ascii="Agency FB" w:hAnsi="Agency FB"/>
          <w:sz w:val="20"/>
          <w:szCs w:val="20"/>
          <w:vertAlign w:val="superscript"/>
        </w:rPr>
        <w:footnoteRef/>
      </w:r>
      <w:r w:rsidRPr="00027324">
        <w:rPr>
          <w:rFonts w:ascii="Agency FB" w:hAnsi="Agency FB"/>
          <w:color w:val="000000"/>
          <w:sz w:val="20"/>
          <w:szCs w:val="20"/>
        </w:rPr>
        <w:t xml:space="preserve"> </w:t>
      </w:r>
      <w:r w:rsidR="00737F3C" w:rsidRPr="00027324">
        <w:rPr>
          <w:rFonts w:ascii="Agency FB" w:eastAsia="Century" w:hAnsi="Agency FB" w:cs="Century"/>
          <w:color w:val="000000"/>
          <w:sz w:val="20"/>
          <w:szCs w:val="20"/>
        </w:rPr>
        <w:t>Ib., p. 25</w:t>
      </w:r>
      <w:r w:rsidRPr="00027324">
        <w:rPr>
          <w:rFonts w:ascii="Agency FB" w:eastAsia="Century" w:hAnsi="Agency FB" w:cs="Century"/>
          <w:color w:val="000000"/>
          <w:sz w:val="20"/>
          <w:szCs w:val="20"/>
        </w:rPr>
        <w:t xml:space="preserve"> </w:t>
      </w:r>
    </w:p>
  </w:footnote>
  <w:footnote w:id="34">
    <w:p w14:paraId="1C22C6FB" w14:textId="6696EF60"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rPr>
      </w:pPr>
      <w:r w:rsidRPr="00027324">
        <w:rPr>
          <w:rFonts w:ascii="Agency FB" w:hAnsi="Agency FB"/>
          <w:sz w:val="20"/>
          <w:szCs w:val="20"/>
          <w:vertAlign w:val="superscript"/>
        </w:rPr>
        <w:footnoteRef/>
      </w:r>
      <w:r w:rsidRPr="00027324">
        <w:rPr>
          <w:rFonts w:ascii="Agency FB" w:hAnsi="Agency FB"/>
          <w:color w:val="000000"/>
          <w:sz w:val="20"/>
          <w:szCs w:val="20"/>
        </w:rPr>
        <w:t xml:space="preserve"> </w:t>
      </w:r>
      <w:r w:rsidR="00737F3C" w:rsidRPr="00027324">
        <w:rPr>
          <w:rFonts w:ascii="Agency FB" w:eastAsia="Century" w:hAnsi="Agency FB" w:cs="Century"/>
          <w:color w:val="000000"/>
          <w:sz w:val="20"/>
          <w:szCs w:val="20"/>
        </w:rPr>
        <w:t>Ib., arch. 27, p. 20</w:t>
      </w:r>
      <w:r w:rsidRPr="00027324">
        <w:rPr>
          <w:rFonts w:ascii="Agency FB" w:eastAsia="Century" w:hAnsi="Agency FB" w:cs="Century"/>
          <w:color w:val="000000"/>
          <w:sz w:val="20"/>
          <w:szCs w:val="20"/>
        </w:rPr>
        <w:t xml:space="preserve"> </w:t>
      </w:r>
    </w:p>
  </w:footnote>
  <w:footnote w:id="35">
    <w:p w14:paraId="1C22C6FD" w14:textId="04F6A008"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rPr>
      </w:pPr>
      <w:r w:rsidRPr="00027324">
        <w:rPr>
          <w:rFonts w:ascii="Agency FB" w:hAnsi="Agency FB"/>
          <w:sz w:val="20"/>
          <w:szCs w:val="20"/>
          <w:vertAlign w:val="superscript"/>
        </w:rPr>
        <w:footnoteRef/>
      </w:r>
      <w:r w:rsidRPr="00027324">
        <w:rPr>
          <w:rFonts w:ascii="Agency FB" w:hAnsi="Agency FB"/>
          <w:color w:val="000000"/>
          <w:sz w:val="20"/>
          <w:szCs w:val="20"/>
        </w:rPr>
        <w:t xml:space="preserve"> </w:t>
      </w:r>
      <w:r w:rsidR="00737F3C" w:rsidRPr="00027324">
        <w:rPr>
          <w:rFonts w:ascii="Agency FB" w:hAnsi="Agency FB"/>
          <w:color w:val="000000"/>
          <w:sz w:val="20"/>
          <w:szCs w:val="20"/>
        </w:rPr>
        <w:t xml:space="preserve">Ib., p. </w:t>
      </w:r>
      <w:r w:rsidRPr="00027324">
        <w:rPr>
          <w:rFonts w:ascii="Agency FB" w:eastAsia="Century" w:hAnsi="Agency FB" w:cs="Century"/>
          <w:color w:val="000000"/>
          <w:sz w:val="20"/>
          <w:szCs w:val="20"/>
        </w:rPr>
        <w:t>55 a 57</w:t>
      </w:r>
    </w:p>
  </w:footnote>
  <w:footnote w:id="36">
    <w:p w14:paraId="1C22C6FE" w14:textId="0B9CBECD" w:rsidR="001C3208" w:rsidRPr="00027324" w:rsidRDefault="001C3208" w:rsidP="00027324">
      <w:pPr>
        <w:pBdr>
          <w:top w:val="nil"/>
          <w:left w:val="nil"/>
          <w:bottom w:val="nil"/>
          <w:right w:val="nil"/>
          <w:between w:val="nil"/>
        </w:pBdr>
        <w:spacing w:after="0" w:line="240" w:lineRule="auto"/>
        <w:jc w:val="both"/>
        <w:rPr>
          <w:rFonts w:ascii="Agency FB" w:hAnsi="Agency FB"/>
          <w:color w:val="000000"/>
          <w:sz w:val="20"/>
          <w:szCs w:val="20"/>
        </w:rPr>
      </w:pPr>
      <w:r w:rsidRPr="00027324">
        <w:rPr>
          <w:rFonts w:ascii="Agency FB" w:hAnsi="Agency FB"/>
          <w:sz w:val="20"/>
          <w:szCs w:val="20"/>
          <w:vertAlign w:val="superscript"/>
        </w:rPr>
        <w:footnoteRef/>
      </w:r>
      <w:r w:rsidRPr="00027324">
        <w:rPr>
          <w:rFonts w:ascii="Agency FB" w:hAnsi="Agency FB"/>
          <w:color w:val="000000"/>
          <w:sz w:val="20"/>
          <w:szCs w:val="20"/>
        </w:rPr>
        <w:t xml:space="preserve"> </w:t>
      </w:r>
      <w:r w:rsidR="00737F3C" w:rsidRPr="00027324">
        <w:rPr>
          <w:rFonts w:ascii="Agency FB" w:hAnsi="Agency FB"/>
          <w:color w:val="000000"/>
          <w:sz w:val="20"/>
          <w:szCs w:val="20"/>
        </w:rPr>
        <w:t>Ib., p. 42</w:t>
      </w:r>
    </w:p>
  </w:footnote>
  <w:footnote w:id="37">
    <w:p w14:paraId="0837B99C" w14:textId="77777777" w:rsidR="00B36B80" w:rsidRPr="00027324" w:rsidRDefault="00B36B80" w:rsidP="00027324">
      <w:pPr>
        <w:pStyle w:val="Textonotapie"/>
        <w:jc w:val="both"/>
        <w:rPr>
          <w:rFonts w:ascii="Agency FB" w:hAnsi="Agency FB"/>
        </w:rPr>
      </w:pPr>
      <w:r w:rsidRPr="00027324">
        <w:rPr>
          <w:rStyle w:val="Refdenotaalpie"/>
          <w:rFonts w:ascii="Agency FB" w:hAnsi="Agency FB"/>
        </w:rPr>
        <w:footnoteRef/>
      </w:r>
      <w:r w:rsidRPr="00027324">
        <w:rPr>
          <w:rFonts w:ascii="Agency FB" w:hAnsi="Agency FB"/>
        </w:rPr>
        <w:t xml:space="preserve"> Sentencia del 19 de junio de 2018, radicado 2011-00193-01,</w:t>
      </w:r>
    </w:p>
  </w:footnote>
  <w:footnote w:id="38">
    <w:p w14:paraId="5CD83BF6" w14:textId="77777777" w:rsidR="00B36B80" w:rsidRPr="00027324" w:rsidRDefault="00B36B80" w:rsidP="00027324">
      <w:pPr>
        <w:pStyle w:val="Textonotapie"/>
        <w:jc w:val="both"/>
        <w:rPr>
          <w:rFonts w:ascii="Agency FB" w:hAnsi="Agency FB"/>
        </w:rPr>
      </w:pPr>
      <w:r w:rsidRPr="00027324">
        <w:rPr>
          <w:rStyle w:val="Refdenotaalpie"/>
          <w:rFonts w:ascii="Agency FB" w:hAnsi="Agency FB"/>
        </w:rPr>
        <w:footnoteRef/>
      </w:r>
      <w:r w:rsidRPr="00027324">
        <w:rPr>
          <w:rFonts w:ascii="Agency FB" w:hAnsi="Agency FB"/>
        </w:rPr>
        <w:t xml:space="preserve"> Sentencia del 19 de junio de 2020, radicado 2019-00046-01, M.P. Duberney Grisales Herrera.</w:t>
      </w:r>
    </w:p>
  </w:footnote>
  <w:footnote w:id="39">
    <w:p w14:paraId="6E812ABD" w14:textId="77777777" w:rsidR="00B36B80" w:rsidRPr="00027324" w:rsidRDefault="00B36B80" w:rsidP="00027324">
      <w:pPr>
        <w:pStyle w:val="Textonotapie"/>
        <w:jc w:val="both"/>
        <w:rPr>
          <w:rFonts w:ascii="Agency FB" w:hAnsi="Agency FB"/>
        </w:rPr>
      </w:pPr>
      <w:r w:rsidRPr="00027324">
        <w:rPr>
          <w:rStyle w:val="Refdenotaalpie"/>
          <w:rFonts w:ascii="Agency FB" w:hAnsi="Agency FB"/>
        </w:rPr>
        <w:footnoteRef/>
      </w:r>
      <w:r w:rsidRPr="00027324">
        <w:rPr>
          <w:rFonts w:ascii="Agency FB" w:hAnsi="Agency FB"/>
        </w:rPr>
        <w:t xml:space="preserve"> STC9587-2017, STC15273-2019, STC11328-2019 y STC100-2019</w:t>
      </w:r>
    </w:p>
  </w:footnote>
  <w:footnote w:id="40">
    <w:p w14:paraId="6C517910" w14:textId="77777777" w:rsidR="00B36B80" w:rsidRPr="00027324" w:rsidRDefault="00B36B80" w:rsidP="00027324">
      <w:pPr>
        <w:pStyle w:val="Textonotapie"/>
        <w:jc w:val="both"/>
        <w:rPr>
          <w:rFonts w:ascii="Agency FB" w:hAnsi="Agency FB"/>
        </w:rPr>
      </w:pPr>
      <w:r w:rsidRPr="00027324">
        <w:rPr>
          <w:rStyle w:val="Refdenotaalpie"/>
          <w:rFonts w:ascii="Agency FB" w:hAnsi="Agency FB"/>
        </w:rPr>
        <w:footnoteRef/>
      </w:r>
      <w:r w:rsidRPr="00027324">
        <w:rPr>
          <w:rFonts w:ascii="Agency FB" w:hAnsi="Agency FB"/>
        </w:rPr>
        <w:t xml:space="preserve"> SC2351-2019.</w:t>
      </w:r>
    </w:p>
  </w:footnote>
  <w:footnote w:id="41">
    <w:p w14:paraId="6F025268" w14:textId="77777777" w:rsidR="00152C0A" w:rsidRPr="00027324" w:rsidRDefault="00152C0A" w:rsidP="00027324">
      <w:pPr>
        <w:pStyle w:val="Textonotapie"/>
        <w:tabs>
          <w:tab w:val="left" w:pos="142"/>
          <w:tab w:val="left" w:pos="284"/>
        </w:tabs>
        <w:jc w:val="both"/>
        <w:rPr>
          <w:rFonts w:ascii="Agency FB" w:hAnsi="Agency FB"/>
        </w:rPr>
      </w:pPr>
      <w:r w:rsidRPr="00027324">
        <w:rPr>
          <w:rFonts w:ascii="Agency FB" w:hAnsi="Agency FB"/>
          <w:vertAlign w:val="superscript"/>
        </w:rPr>
        <w:footnoteRef/>
      </w:r>
      <w:r w:rsidRPr="00027324">
        <w:rPr>
          <w:rFonts w:ascii="Agency FB" w:hAnsi="Agency FB"/>
        </w:rPr>
        <w:t xml:space="preserve"> Por ejemplo, en la sentencia del 21-08-2020, radicado 66001310300320170035301 y recientemente en las sentencias SC-0023-2022 y SC-0024-2022.</w:t>
      </w:r>
    </w:p>
  </w:footnote>
  <w:footnote w:id="42">
    <w:p w14:paraId="4720629B" w14:textId="77777777" w:rsidR="00152C0A" w:rsidRPr="00027324" w:rsidRDefault="00152C0A"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Para comprenderlo se puede ver la sentencia SC2111-2021, con ponencia del Magistrado Luis Armando Tolosa Villabona, que hace énfasis en una presunción de responsabilidad y no de culpa. Sin embargo, para el momento en que se adoptó, participaron solo seis magistrados, de los cuales cuatro aclararon voto, uno de ellos, para adherirse a la teoría de la presunción de responsabilidad, pero los otros tres para dejar sentado que el régimen es de culpa presunta, igual que ocurrió con la sentencia SC4420-2020, lo que indica que esa tesis no alcanza aún en la Corte una mayoría.</w:t>
      </w:r>
    </w:p>
  </w:footnote>
  <w:footnote w:id="43">
    <w:p w14:paraId="5AC35C98" w14:textId="77777777" w:rsidR="00F27DA0" w:rsidRPr="00027324" w:rsidRDefault="00F27DA0"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rPr>
        <w:t xml:space="preserve"> Tribunal Superior del Distrito Judicial de Pereira, Sala Civil-Familia; sentencias de febrero 16 de 2018, radicado 2012-00240-01, 14 de junio de 2017, radicado 2010-00184-01 y del 27 de septiembre de 2017, radicado 2015,00107-01, M.P. Duberney Grisales Herrera; sentencia TSP.SC-0071-2021.</w:t>
      </w:r>
    </w:p>
    <w:p w14:paraId="13C42A95" w14:textId="77777777" w:rsidR="00F27DA0" w:rsidRPr="00027324" w:rsidRDefault="00F27DA0"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p>
  </w:footnote>
  <w:footnote w:id="44">
    <w:p w14:paraId="31C72FA6" w14:textId="77777777" w:rsidR="00152C0A" w:rsidRPr="00027324" w:rsidRDefault="00152C0A"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lang w:val="es-419"/>
        </w:rPr>
        <w:t>TSP-SC-0083-2021</w:t>
      </w:r>
    </w:p>
  </w:footnote>
  <w:footnote w:id="45">
    <w:p w14:paraId="417BC667" w14:textId="77777777" w:rsidR="00152C0A" w:rsidRPr="00027324" w:rsidRDefault="00152C0A"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TSP. SC-0080-2021</w:t>
      </w:r>
    </w:p>
  </w:footnote>
  <w:footnote w:id="46">
    <w:p w14:paraId="447721C1" w14:textId="77777777" w:rsidR="00152C0A" w:rsidRPr="00027324" w:rsidRDefault="00152C0A"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CSJ. STC-2066-2021 y STC-7722-2021</w:t>
      </w:r>
    </w:p>
  </w:footnote>
  <w:footnote w:id="47">
    <w:p w14:paraId="2956B5C4" w14:textId="77777777" w:rsidR="00152C0A" w:rsidRPr="00027324" w:rsidRDefault="00152C0A"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TS, Civil-Familia. Sentencias (1) 20-09-2019, No.2016-01465-01; MP: Grisales H. y, Autos (1) 03-02- 2021, No.2015-00262-01; y (2) 17-04-2018, No. 2016-00279, ambos del MS: Grisales H.</w:t>
      </w:r>
    </w:p>
  </w:footnote>
  <w:footnote w:id="48">
    <w:p w14:paraId="2C5E22F3" w14:textId="0F7BCD6E" w:rsidR="00056AB2" w:rsidRPr="00027324" w:rsidRDefault="00056AB2"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lang w:val="es-419"/>
        </w:rPr>
        <w:t>En igual sentido la sentencia TSP-SC-0035-2022</w:t>
      </w:r>
    </w:p>
  </w:footnote>
  <w:footnote w:id="49">
    <w:p w14:paraId="0A0CF179" w14:textId="439BDA33" w:rsidR="00D75422" w:rsidRPr="00027324" w:rsidRDefault="00D75422"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lang w:val="es-419"/>
        </w:rPr>
        <w:t>01PrimeraInstancia, arch. 65, p. 6</w:t>
      </w:r>
    </w:p>
  </w:footnote>
  <w:footnote w:id="50">
    <w:p w14:paraId="08C7CC11" w14:textId="1C2452C9" w:rsidR="0097141A" w:rsidRPr="00027324" w:rsidRDefault="0097141A" w:rsidP="00027324">
      <w:pPr>
        <w:spacing w:after="0" w:line="240" w:lineRule="auto"/>
        <w:jc w:val="both"/>
        <w:rPr>
          <w:rFonts w:ascii="Agency FB" w:hAnsi="Agency FB"/>
          <w:sz w:val="20"/>
          <w:szCs w:val="20"/>
        </w:rPr>
      </w:pPr>
      <w:r w:rsidRPr="00027324">
        <w:rPr>
          <w:rStyle w:val="Refdenotaalpie"/>
          <w:rFonts w:ascii="Agency FB" w:hAnsi="Agency FB"/>
          <w:sz w:val="20"/>
          <w:szCs w:val="20"/>
        </w:rPr>
        <w:footnoteRef/>
      </w:r>
      <w:r w:rsidRPr="00027324">
        <w:rPr>
          <w:rFonts w:ascii="Agency FB" w:hAnsi="Agency FB"/>
          <w:sz w:val="20"/>
          <w:szCs w:val="20"/>
        </w:rPr>
        <w:t xml:space="preserve"> 01PrimeraINstancia, arch. </w:t>
      </w:r>
      <w:r w:rsidRPr="00027324">
        <w:rPr>
          <w:rFonts w:ascii="Agency FB" w:eastAsia="Malgun Gothic" w:hAnsi="Agency FB" w:cs="Estrangelo Edessa"/>
          <w:sz w:val="20"/>
          <w:szCs w:val="20"/>
          <w:lang w:eastAsia="en-US"/>
        </w:rPr>
        <w:t>79Aud373Segunda,</w:t>
      </w:r>
      <w:r w:rsidR="00503915" w:rsidRPr="00027324">
        <w:rPr>
          <w:rFonts w:ascii="Agency FB" w:eastAsia="Malgun Gothic" w:hAnsi="Agency FB" w:cs="Estrangelo Edessa"/>
          <w:sz w:val="20"/>
          <w:szCs w:val="20"/>
          <w:lang w:eastAsia="en-US"/>
        </w:rPr>
        <w:t xml:space="preserve"> 1:06:49</w:t>
      </w:r>
    </w:p>
    <w:p w14:paraId="2F361FD2" w14:textId="73EC6FE1" w:rsidR="0097141A" w:rsidRPr="00027324" w:rsidRDefault="0097141A" w:rsidP="00027324">
      <w:pPr>
        <w:pStyle w:val="Textonotapie"/>
        <w:jc w:val="both"/>
        <w:rPr>
          <w:rFonts w:ascii="Agency FB" w:hAnsi="Agency FB"/>
        </w:rPr>
      </w:pPr>
    </w:p>
  </w:footnote>
  <w:footnote w:id="51">
    <w:p w14:paraId="20664132" w14:textId="38C34398" w:rsidR="00D75422" w:rsidRPr="00027324" w:rsidRDefault="00D75422"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lang w:val="es-419"/>
        </w:rPr>
        <w:t>01PrimeraInstancia, arch. 66, p. 111</w:t>
      </w:r>
    </w:p>
  </w:footnote>
  <w:footnote w:id="52">
    <w:p w14:paraId="146E835D" w14:textId="0C1BB17E" w:rsidR="00624221" w:rsidRPr="00027324" w:rsidRDefault="00624221" w:rsidP="00027324">
      <w:pPr>
        <w:tabs>
          <w:tab w:val="left" w:pos="2268"/>
          <w:tab w:val="left" w:pos="2835"/>
        </w:tabs>
        <w:spacing w:after="0" w:line="240" w:lineRule="auto"/>
        <w:jc w:val="both"/>
        <w:rPr>
          <w:rFonts w:ascii="Agency FB" w:eastAsia="Gadugi" w:hAnsi="Agency FB" w:cs="Gadugi"/>
          <w:sz w:val="20"/>
          <w:szCs w:val="20"/>
        </w:rPr>
      </w:pPr>
      <w:r w:rsidRPr="00027324">
        <w:rPr>
          <w:rStyle w:val="Refdenotaalpie"/>
          <w:rFonts w:ascii="Agency FB" w:hAnsi="Agency FB"/>
          <w:sz w:val="20"/>
          <w:szCs w:val="20"/>
        </w:rPr>
        <w:footnoteRef/>
      </w:r>
      <w:r w:rsidRPr="00027324">
        <w:rPr>
          <w:rFonts w:ascii="Agency FB" w:hAnsi="Agency FB"/>
          <w:sz w:val="20"/>
          <w:szCs w:val="20"/>
        </w:rPr>
        <w:t xml:space="preserve"> TSP-</w:t>
      </w:r>
      <w:r w:rsidRPr="00027324">
        <w:rPr>
          <w:rFonts w:ascii="Agency FB" w:hAnsi="Agency FB" w:cs="Arial"/>
          <w:sz w:val="20"/>
          <w:szCs w:val="20"/>
          <w:shd w:val="clear" w:color="auto" w:fill="FAF9F8"/>
        </w:rPr>
        <w:t>SC-0012-2022</w:t>
      </w:r>
    </w:p>
    <w:p w14:paraId="5F804437" w14:textId="02113073" w:rsidR="00624221" w:rsidRPr="00027324" w:rsidRDefault="00624221" w:rsidP="00027324">
      <w:pPr>
        <w:pStyle w:val="Textonotapie"/>
        <w:jc w:val="both"/>
        <w:rPr>
          <w:rFonts w:ascii="Agency FB" w:hAnsi="Agency FB"/>
          <w:lang w:val="es-419"/>
        </w:rPr>
      </w:pPr>
    </w:p>
  </w:footnote>
  <w:footnote w:id="53">
    <w:p w14:paraId="5064DB30" w14:textId="549AB27C" w:rsidR="00AD0E9D" w:rsidRPr="00027324" w:rsidRDefault="00AD0E9D"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cs="Arial"/>
          <w:shd w:val="clear" w:color="auto" w:fill="FAF9F8"/>
        </w:rPr>
        <w:t>Por ejemplo, sentencia TSP.SC-0071-2021.</w:t>
      </w:r>
    </w:p>
  </w:footnote>
  <w:footnote w:id="54">
    <w:p w14:paraId="1C22C705" w14:textId="77777777" w:rsidR="00D75422" w:rsidRPr="00027324" w:rsidRDefault="00D75422" w:rsidP="00027324">
      <w:pPr>
        <w:pBdr>
          <w:top w:val="nil"/>
          <w:left w:val="nil"/>
          <w:bottom w:val="nil"/>
          <w:right w:val="nil"/>
          <w:between w:val="nil"/>
        </w:pBdr>
        <w:spacing w:after="0" w:line="240" w:lineRule="auto"/>
        <w:jc w:val="both"/>
        <w:rPr>
          <w:rFonts w:ascii="Agency FB" w:eastAsia="Century" w:hAnsi="Agency FB" w:cs="Century"/>
          <w:color w:val="000000"/>
          <w:sz w:val="20"/>
          <w:szCs w:val="20"/>
        </w:rPr>
      </w:pPr>
      <w:r w:rsidRPr="00027324">
        <w:rPr>
          <w:rFonts w:ascii="Agency FB" w:hAnsi="Agency FB"/>
          <w:sz w:val="20"/>
          <w:szCs w:val="20"/>
          <w:vertAlign w:val="superscript"/>
        </w:rPr>
        <w:footnoteRef/>
      </w:r>
      <w:r w:rsidRPr="00027324">
        <w:rPr>
          <w:rFonts w:ascii="Agency FB" w:eastAsia="Century" w:hAnsi="Agency FB" w:cs="Century"/>
          <w:color w:val="000000"/>
          <w:sz w:val="20"/>
          <w:szCs w:val="20"/>
        </w:rPr>
        <w:t xml:space="preserve"> Por la cual se adopta el nuevo Informe Policial de Accidentes de Tránsito (IPAT), su Manual de Diligenciamiento y se dictan otras disposiciones</w:t>
      </w:r>
    </w:p>
  </w:footnote>
  <w:footnote w:id="55">
    <w:p w14:paraId="7598B2F3" w14:textId="77777777" w:rsidR="00D75422" w:rsidRPr="00027324" w:rsidRDefault="00D75422" w:rsidP="00027324">
      <w:pPr>
        <w:pStyle w:val="Textonotapie"/>
        <w:jc w:val="both"/>
        <w:rPr>
          <w:rFonts w:ascii="Agency FB" w:hAnsi="Agency FB"/>
        </w:rPr>
      </w:pPr>
      <w:r w:rsidRPr="00027324">
        <w:rPr>
          <w:rStyle w:val="Refdenotaalpie"/>
          <w:rFonts w:ascii="Agency FB" w:hAnsi="Agency FB"/>
        </w:rPr>
        <w:footnoteRef/>
      </w:r>
      <w:r w:rsidRPr="00027324">
        <w:rPr>
          <w:rFonts w:ascii="Agency FB" w:hAnsi="Agency FB"/>
        </w:rPr>
        <w:t xml:space="preserve"> Artículo 257 CGP</w:t>
      </w:r>
    </w:p>
  </w:footnote>
  <w:footnote w:id="56">
    <w:p w14:paraId="1F1AD481" w14:textId="1F96523E" w:rsidR="00D75CF5" w:rsidRPr="00027324" w:rsidRDefault="00D75CF5"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Corte Suprema de Justicia, Sala de Casación Civil, sentencia del 26 de octubre de 2000, expediente 5462; también en la sentencia </w:t>
      </w:r>
      <w:r w:rsidRPr="00027324">
        <w:rPr>
          <w:rFonts w:ascii="Agency FB" w:eastAsia="Century" w:hAnsi="Agency FB" w:cs="Century"/>
          <w:color w:val="000000"/>
        </w:rPr>
        <w:t>SC7978-2015</w:t>
      </w:r>
      <w:r w:rsidRPr="00027324">
        <w:rPr>
          <w:rFonts w:ascii="Agency FB" w:hAnsi="Agency FB"/>
        </w:rPr>
        <w:t xml:space="preserve">. </w:t>
      </w:r>
    </w:p>
  </w:footnote>
  <w:footnote w:id="57">
    <w:p w14:paraId="14181DE5" w14:textId="68E41B6E" w:rsidR="004E5EE9" w:rsidRPr="00027324" w:rsidRDefault="004E5EE9"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lang w:val="es-419"/>
        </w:rPr>
        <w:t>01PrimeraInstancia, arch, 78Aud372Segunda, 2:30:47</w:t>
      </w:r>
    </w:p>
  </w:footnote>
  <w:footnote w:id="58">
    <w:p w14:paraId="783F3D64" w14:textId="4EBE0A8F" w:rsidR="009613CD" w:rsidRPr="00027324" w:rsidRDefault="009613CD"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00D61138" w:rsidRPr="00027324">
        <w:rPr>
          <w:rFonts w:ascii="Agency FB" w:hAnsi="Agency FB"/>
        </w:rPr>
        <w:t xml:space="preserve">TSP-SF-0005-2022; </w:t>
      </w:r>
      <w:r w:rsidRPr="00027324">
        <w:rPr>
          <w:rFonts w:ascii="Agency FB" w:hAnsi="Agency FB"/>
          <w:lang w:val="es-419"/>
        </w:rPr>
        <w:t>TSP-SC-0035-2022</w:t>
      </w:r>
    </w:p>
  </w:footnote>
  <w:footnote w:id="59">
    <w:p w14:paraId="73E454AA" w14:textId="61E41065" w:rsidR="00020585" w:rsidRPr="00027324" w:rsidRDefault="00020585"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Corte Suprema de Justicia, </w:t>
      </w:r>
      <w:r w:rsidRPr="00027324">
        <w:rPr>
          <w:rFonts w:ascii="Agency FB" w:hAnsi="Agency FB"/>
          <w:lang w:val="es-419"/>
        </w:rPr>
        <w:t xml:space="preserve">Sala de Casación Civil, sentencia SC-795-2021.  </w:t>
      </w:r>
    </w:p>
  </w:footnote>
  <w:footnote w:id="60">
    <w:p w14:paraId="3DA802A4" w14:textId="3C0F31F3" w:rsidR="00C84845" w:rsidRPr="00027324" w:rsidRDefault="00C84845"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cs="Arial"/>
          <w:shd w:val="clear" w:color="auto" w:fill="FAF9F8"/>
        </w:rPr>
        <w:t>Sentencia de marzo 11 de 2020, radicado 66001311000120160005403, M.P. Duberney Grisales Herrera</w:t>
      </w:r>
    </w:p>
  </w:footnote>
  <w:footnote w:id="61">
    <w:p w14:paraId="2157EA79" w14:textId="26BFCAE4" w:rsidR="004E5EE9" w:rsidRPr="00027324" w:rsidRDefault="004E5EE9" w:rsidP="00027324">
      <w:pPr>
        <w:pStyle w:val="Textonotapie"/>
        <w:jc w:val="both"/>
        <w:rPr>
          <w:rFonts w:ascii="Agency FB" w:hAnsi="Agency FB"/>
          <w:lang w:val="es-419"/>
        </w:rPr>
      </w:pPr>
      <w:r w:rsidRPr="00027324">
        <w:rPr>
          <w:rStyle w:val="Refdenotaalpie"/>
          <w:rFonts w:ascii="Agency FB" w:hAnsi="Agency FB"/>
        </w:rPr>
        <w:footnoteRef/>
      </w:r>
      <w:r w:rsidRPr="00027324">
        <w:rPr>
          <w:rFonts w:ascii="Agency FB" w:hAnsi="Agency FB"/>
        </w:rPr>
        <w:t xml:space="preserve"> </w:t>
      </w:r>
      <w:r w:rsidRPr="00027324">
        <w:rPr>
          <w:rFonts w:ascii="Agency FB" w:hAnsi="Agency FB"/>
          <w:lang w:val="es-419"/>
        </w:rPr>
        <w:t>01PrimeraInstancia, arch, 78Aud372Segunda, 3:03:28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8D5C82"/>
    <w:multiLevelType w:val="multilevel"/>
    <w:tmpl w:val="60F89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52010B"/>
    <w:multiLevelType w:val="multilevel"/>
    <w:tmpl w:val="1C88CC50"/>
    <w:lvl w:ilvl="0">
      <w:start w:val="1"/>
      <w:numFmt w:val="decimal"/>
      <w:lvlText w:val="%1."/>
      <w:lvlJc w:val="left"/>
      <w:pPr>
        <w:ind w:left="3195" w:hanging="360"/>
      </w:p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6"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056C7"/>
    <w:multiLevelType w:val="multilevel"/>
    <w:tmpl w:val="925E9B3E"/>
    <w:lvl w:ilvl="0">
      <w:start w:val="1"/>
      <w:numFmt w:val="decimal"/>
      <w:lvlText w:val="%1."/>
      <w:lvlJc w:val="left"/>
      <w:pPr>
        <w:ind w:left="3195" w:hanging="360"/>
      </w:pPr>
    </w:lvl>
    <w:lvl w:ilvl="1">
      <w:start w:val="1"/>
      <w:numFmt w:val="decimal"/>
      <w:lvlText w:val="%1.%2."/>
      <w:lvlJc w:val="left"/>
      <w:pPr>
        <w:ind w:left="3555" w:hanging="720"/>
      </w:pPr>
      <w:rPr>
        <w:rFonts w:ascii="Gadugi" w:eastAsia="Gadugi" w:hAnsi="Gadugi" w:cs="Gadugi"/>
        <w:i w:val="0"/>
        <w:color w:val="000000"/>
        <w:sz w:val="26"/>
        <w:szCs w:val="26"/>
      </w:rPr>
    </w:lvl>
    <w:lvl w:ilvl="2">
      <w:start w:val="1"/>
      <w:numFmt w:val="decimal"/>
      <w:lvlText w:val="%1.%2.%3."/>
      <w:lvlJc w:val="left"/>
      <w:pPr>
        <w:ind w:left="3555" w:hanging="720"/>
      </w:pPr>
    </w:lvl>
    <w:lvl w:ilvl="3">
      <w:start w:val="1"/>
      <w:numFmt w:val="decimal"/>
      <w:lvlText w:val="%1.%2.%3.%4."/>
      <w:lvlJc w:val="left"/>
      <w:pPr>
        <w:ind w:left="3915" w:hanging="1080"/>
      </w:pPr>
    </w:lvl>
    <w:lvl w:ilvl="4">
      <w:start w:val="1"/>
      <w:numFmt w:val="decimal"/>
      <w:lvlText w:val="%1.%2.%3.%4.%5."/>
      <w:lvlJc w:val="left"/>
      <w:pPr>
        <w:ind w:left="3915" w:hanging="1080"/>
      </w:pPr>
    </w:lvl>
    <w:lvl w:ilvl="5">
      <w:start w:val="1"/>
      <w:numFmt w:val="decimal"/>
      <w:lvlText w:val="%1.%2.%3.%4.%5.%6."/>
      <w:lvlJc w:val="left"/>
      <w:pPr>
        <w:ind w:left="4275" w:hanging="1440"/>
      </w:pPr>
    </w:lvl>
    <w:lvl w:ilvl="6">
      <w:start w:val="1"/>
      <w:numFmt w:val="decimal"/>
      <w:lvlText w:val="%1.%2.%3.%4.%5.%6.%7."/>
      <w:lvlJc w:val="left"/>
      <w:pPr>
        <w:ind w:left="4635" w:hanging="1800"/>
      </w:pPr>
    </w:lvl>
    <w:lvl w:ilvl="7">
      <w:start w:val="1"/>
      <w:numFmt w:val="decimal"/>
      <w:lvlText w:val="%1.%2.%3.%4.%5.%6.%7.%8."/>
      <w:lvlJc w:val="left"/>
      <w:pPr>
        <w:ind w:left="4635" w:hanging="1800"/>
      </w:pPr>
    </w:lvl>
    <w:lvl w:ilvl="8">
      <w:start w:val="1"/>
      <w:numFmt w:val="decimal"/>
      <w:lvlText w:val="%1.%2.%3.%4.%5.%6.%7.%8.%9."/>
      <w:lvlJc w:val="left"/>
      <w:pPr>
        <w:ind w:left="4995" w:hanging="2160"/>
      </w:pPr>
    </w:lvl>
  </w:abstractNum>
  <w:abstractNum w:abstractNumId="8"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10"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2"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68196048"/>
    <w:multiLevelType w:val="multilevel"/>
    <w:tmpl w:val="DDDCC5AA"/>
    <w:lvl w:ilvl="0">
      <w:start w:val="2"/>
      <w:numFmt w:val="decimal"/>
      <w:lvlText w:val="%1."/>
      <w:lvlJc w:val="left"/>
      <w:pPr>
        <w:ind w:left="420" w:hanging="420"/>
      </w:pPr>
    </w:lvl>
    <w:lvl w:ilvl="1">
      <w:start w:val="5"/>
      <w:numFmt w:val="decimal"/>
      <w:lvlText w:val="%1.%2."/>
      <w:lvlJc w:val="left"/>
      <w:pPr>
        <w:ind w:left="2988" w:hanging="720"/>
      </w:pPr>
    </w:lvl>
    <w:lvl w:ilvl="2">
      <w:start w:val="1"/>
      <w:numFmt w:val="decimal"/>
      <w:lvlText w:val="%1.%2.%3."/>
      <w:lvlJc w:val="left"/>
      <w:pPr>
        <w:ind w:left="5256" w:hanging="720"/>
      </w:pPr>
    </w:lvl>
    <w:lvl w:ilvl="3">
      <w:start w:val="1"/>
      <w:numFmt w:val="decimal"/>
      <w:lvlText w:val="%1.%2.%3.%4."/>
      <w:lvlJc w:val="left"/>
      <w:pPr>
        <w:ind w:left="7884" w:hanging="1080"/>
      </w:pPr>
    </w:lvl>
    <w:lvl w:ilvl="4">
      <w:start w:val="1"/>
      <w:numFmt w:val="decimal"/>
      <w:lvlText w:val="%1.%2.%3.%4.%5."/>
      <w:lvlJc w:val="left"/>
      <w:pPr>
        <w:ind w:left="10512" w:hanging="1440"/>
      </w:pPr>
    </w:lvl>
    <w:lvl w:ilvl="5">
      <w:start w:val="1"/>
      <w:numFmt w:val="decimal"/>
      <w:lvlText w:val="%1.%2.%3.%4.%5.%6."/>
      <w:lvlJc w:val="left"/>
      <w:pPr>
        <w:ind w:left="12780" w:hanging="1440"/>
      </w:pPr>
    </w:lvl>
    <w:lvl w:ilvl="6">
      <w:start w:val="1"/>
      <w:numFmt w:val="decimal"/>
      <w:lvlText w:val="%1.%2.%3.%4.%5.%6.%7."/>
      <w:lvlJc w:val="left"/>
      <w:pPr>
        <w:ind w:left="15408" w:hanging="1800"/>
      </w:pPr>
    </w:lvl>
    <w:lvl w:ilvl="7">
      <w:start w:val="1"/>
      <w:numFmt w:val="decimal"/>
      <w:lvlText w:val="%1.%2.%3.%4.%5.%6.%7.%8."/>
      <w:lvlJc w:val="left"/>
      <w:pPr>
        <w:ind w:left="18036" w:hanging="2160"/>
      </w:pPr>
    </w:lvl>
    <w:lvl w:ilvl="8">
      <w:start w:val="1"/>
      <w:numFmt w:val="decimal"/>
      <w:lvlText w:val="%1.%2.%3.%4.%5.%6.%7.%8.%9."/>
      <w:lvlJc w:val="left"/>
      <w:pPr>
        <w:ind w:left="20304" w:hanging="2160"/>
      </w:pPr>
    </w:lvl>
  </w:abstractNum>
  <w:abstractNum w:abstractNumId="14"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1"/>
  </w:num>
  <w:num w:numId="8">
    <w:abstractNumId w:val="6"/>
  </w:num>
  <w:num w:numId="9">
    <w:abstractNumId w:val="2"/>
  </w:num>
  <w:num w:numId="10">
    <w:abstractNumId w:val="3"/>
  </w:num>
  <w:num w:numId="11">
    <w:abstractNumId w:val="8"/>
  </w:num>
  <w:num w:numId="12">
    <w:abstractNumId w:val="14"/>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CE"/>
    <w:rsid w:val="00020585"/>
    <w:rsid w:val="0002412E"/>
    <w:rsid w:val="00027324"/>
    <w:rsid w:val="0004258F"/>
    <w:rsid w:val="00056AB2"/>
    <w:rsid w:val="00077F76"/>
    <w:rsid w:val="00084B42"/>
    <w:rsid w:val="00086806"/>
    <w:rsid w:val="000A1513"/>
    <w:rsid w:val="000B3A2A"/>
    <w:rsid w:val="000B49DC"/>
    <w:rsid w:val="000E065D"/>
    <w:rsid w:val="001043DC"/>
    <w:rsid w:val="0011714C"/>
    <w:rsid w:val="00120895"/>
    <w:rsid w:val="00150C80"/>
    <w:rsid w:val="00152C0A"/>
    <w:rsid w:val="001722A9"/>
    <w:rsid w:val="001972DD"/>
    <w:rsid w:val="001A1E9C"/>
    <w:rsid w:val="001A45B9"/>
    <w:rsid w:val="001B097E"/>
    <w:rsid w:val="001B5D14"/>
    <w:rsid w:val="001C3208"/>
    <w:rsid w:val="001C7454"/>
    <w:rsid w:val="001D3BFA"/>
    <w:rsid w:val="001D417A"/>
    <w:rsid w:val="001D7FF6"/>
    <w:rsid w:val="001F0CE3"/>
    <w:rsid w:val="00221003"/>
    <w:rsid w:val="00224D84"/>
    <w:rsid w:val="00230F59"/>
    <w:rsid w:val="00233D36"/>
    <w:rsid w:val="00245AF9"/>
    <w:rsid w:val="002739C2"/>
    <w:rsid w:val="002A68B8"/>
    <w:rsid w:val="002C02EC"/>
    <w:rsid w:val="002C242C"/>
    <w:rsid w:val="002C66C3"/>
    <w:rsid w:val="002D0DDE"/>
    <w:rsid w:val="0031084E"/>
    <w:rsid w:val="00313553"/>
    <w:rsid w:val="00313835"/>
    <w:rsid w:val="00314C9E"/>
    <w:rsid w:val="00315A28"/>
    <w:rsid w:val="003233C4"/>
    <w:rsid w:val="00324B9C"/>
    <w:rsid w:val="00324FFE"/>
    <w:rsid w:val="003359E4"/>
    <w:rsid w:val="003476BB"/>
    <w:rsid w:val="00365947"/>
    <w:rsid w:val="00385CE1"/>
    <w:rsid w:val="00391DDE"/>
    <w:rsid w:val="00393F80"/>
    <w:rsid w:val="00397104"/>
    <w:rsid w:val="003A6755"/>
    <w:rsid w:val="003C25D6"/>
    <w:rsid w:val="003E1A06"/>
    <w:rsid w:val="003E52A8"/>
    <w:rsid w:val="00400434"/>
    <w:rsid w:val="00410C7C"/>
    <w:rsid w:val="00425F27"/>
    <w:rsid w:val="0043738B"/>
    <w:rsid w:val="00455761"/>
    <w:rsid w:val="004672C1"/>
    <w:rsid w:val="0047194C"/>
    <w:rsid w:val="004766C7"/>
    <w:rsid w:val="00483AD8"/>
    <w:rsid w:val="0049615E"/>
    <w:rsid w:val="004A256F"/>
    <w:rsid w:val="004C738A"/>
    <w:rsid w:val="004D31A4"/>
    <w:rsid w:val="004E5EE9"/>
    <w:rsid w:val="004F0DC9"/>
    <w:rsid w:val="00503915"/>
    <w:rsid w:val="0050539A"/>
    <w:rsid w:val="00511781"/>
    <w:rsid w:val="0054590D"/>
    <w:rsid w:val="005514A4"/>
    <w:rsid w:val="00581E56"/>
    <w:rsid w:val="005853ED"/>
    <w:rsid w:val="005E3EE8"/>
    <w:rsid w:val="005F2459"/>
    <w:rsid w:val="005F4005"/>
    <w:rsid w:val="00606973"/>
    <w:rsid w:val="00615315"/>
    <w:rsid w:val="00615783"/>
    <w:rsid w:val="00623794"/>
    <w:rsid w:val="00623FB5"/>
    <w:rsid w:val="00624221"/>
    <w:rsid w:val="00626F69"/>
    <w:rsid w:val="00673B86"/>
    <w:rsid w:val="00673FB3"/>
    <w:rsid w:val="00686655"/>
    <w:rsid w:val="0069498A"/>
    <w:rsid w:val="006A29DF"/>
    <w:rsid w:val="006C44AD"/>
    <w:rsid w:val="006D1820"/>
    <w:rsid w:val="006D3DCD"/>
    <w:rsid w:val="006D629F"/>
    <w:rsid w:val="006D630A"/>
    <w:rsid w:val="006E3DE1"/>
    <w:rsid w:val="006E4639"/>
    <w:rsid w:val="006E51C4"/>
    <w:rsid w:val="00703DBC"/>
    <w:rsid w:val="00715EA8"/>
    <w:rsid w:val="00737F3C"/>
    <w:rsid w:val="0074646B"/>
    <w:rsid w:val="0075436E"/>
    <w:rsid w:val="007650AD"/>
    <w:rsid w:val="00772582"/>
    <w:rsid w:val="007A6C73"/>
    <w:rsid w:val="007B374F"/>
    <w:rsid w:val="007B3F12"/>
    <w:rsid w:val="007C6274"/>
    <w:rsid w:val="007E214B"/>
    <w:rsid w:val="0086061D"/>
    <w:rsid w:val="008922BE"/>
    <w:rsid w:val="008A060B"/>
    <w:rsid w:val="008A7752"/>
    <w:rsid w:val="008B0650"/>
    <w:rsid w:val="008B2D0D"/>
    <w:rsid w:val="008B353C"/>
    <w:rsid w:val="008C51E6"/>
    <w:rsid w:val="008D5588"/>
    <w:rsid w:val="008E191B"/>
    <w:rsid w:val="00900ADB"/>
    <w:rsid w:val="00903156"/>
    <w:rsid w:val="00935160"/>
    <w:rsid w:val="009447D8"/>
    <w:rsid w:val="009525D6"/>
    <w:rsid w:val="009613CD"/>
    <w:rsid w:val="0096336E"/>
    <w:rsid w:val="0097141A"/>
    <w:rsid w:val="009837FB"/>
    <w:rsid w:val="00993C5E"/>
    <w:rsid w:val="00996ECA"/>
    <w:rsid w:val="009A64A9"/>
    <w:rsid w:val="009A6D7D"/>
    <w:rsid w:val="009B1C2C"/>
    <w:rsid w:val="009C3B59"/>
    <w:rsid w:val="009D04A4"/>
    <w:rsid w:val="00A13B62"/>
    <w:rsid w:val="00A21841"/>
    <w:rsid w:val="00A51DD9"/>
    <w:rsid w:val="00A6308E"/>
    <w:rsid w:val="00A67296"/>
    <w:rsid w:val="00A67FC8"/>
    <w:rsid w:val="00A724FE"/>
    <w:rsid w:val="00A75020"/>
    <w:rsid w:val="00A75A8F"/>
    <w:rsid w:val="00A85F10"/>
    <w:rsid w:val="00A91E12"/>
    <w:rsid w:val="00AA057F"/>
    <w:rsid w:val="00AB5DD9"/>
    <w:rsid w:val="00AD0E9D"/>
    <w:rsid w:val="00AD4ACE"/>
    <w:rsid w:val="00AD4EB1"/>
    <w:rsid w:val="00AE05DA"/>
    <w:rsid w:val="00AF1540"/>
    <w:rsid w:val="00AF2187"/>
    <w:rsid w:val="00B20F7E"/>
    <w:rsid w:val="00B25802"/>
    <w:rsid w:val="00B27582"/>
    <w:rsid w:val="00B32CAA"/>
    <w:rsid w:val="00B36B80"/>
    <w:rsid w:val="00B40D71"/>
    <w:rsid w:val="00B4511A"/>
    <w:rsid w:val="00B46ACF"/>
    <w:rsid w:val="00B60B99"/>
    <w:rsid w:val="00B66584"/>
    <w:rsid w:val="00B70EF7"/>
    <w:rsid w:val="00B82FF2"/>
    <w:rsid w:val="00B9127B"/>
    <w:rsid w:val="00BB4BA1"/>
    <w:rsid w:val="00BB61FA"/>
    <w:rsid w:val="00BC44C7"/>
    <w:rsid w:val="00BC66A9"/>
    <w:rsid w:val="00BD2106"/>
    <w:rsid w:val="00BD37D9"/>
    <w:rsid w:val="00BE6A82"/>
    <w:rsid w:val="00BF007C"/>
    <w:rsid w:val="00BF1650"/>
    <w:rsid w:val="00BF6702"/>
    <w:rsid w:val="00C05883"/>
    <w:rsid w:val="00C1237A"/>
    <w:rsid w:val="00C13818"/>
    <w:rsid w:val="00C35523"/>
    <w:rsid w:val="00C84845"/>
    <w:rsid w:val="00C94258"/>
    <w:rsid w:val="00CA003A"/>
    <w:rsid w:val="00CA1585"/>
    <w:rsid w:val="00CC6CBB"/>
    <w:rsid w:val="00CF4736"/>
    <w:rsid w:val="00D068B1"/>
    <w:rsid w:val="00D14DE3"/>
    <w:rsid w:val="00D150C6"/>
    <w:rsid w:val="00D40C04"/>
    <w:rsid w:val="00D43572"/>
    <w:rsid w:val="00D61138"/>
    <w:rsid w:val="00D75422"/>
    <w:rsid w:val="00D75CF5"/>
    <w:rsid w:val="00D81C3B"/>
    <w:rsid w:val="00D82528"/>
    <w:rsid w:val="00D87EF8"/>
    <w:rsid w:val="00D91DFF"/>
    <w:rsid w:val="00D91F13"/>
    <w:rsid w:val="00D9440E"/>
    <w:rsid w:val="00DA16AA"/>
    <w:rsid w:val="00DA61DB"/>
    <w:rsid w:val="00DB1ADE"/>
    <w:rsid w:val="00DC2127"/>
    <w:rsid w:val="00DE15E0"/>
    <w:rsid w:val="00E3522B"/>
    <w:rsid w:val="00E4084C"/>
    <w:rsid w:val="00E512C7"/>
    <w:rsid w:val="00E77B8C"/>
    <w:rsid w:val="00E83C22"/>
    <w:rsid w:val="00E95EBD"/>
    <w:rsid w:val="00ED3828"/>
    <w:rsid w:val="00EF173C"/>
    <w:rsid w:val="00EF2994"/>
    <w:rsid w:val="00F2290D"/>
    <w:rsid w:val="00F27DA0"/>
    <w:rsid w:val="00F463BB"/>
    <w:rsid w:val="00F475A2"/>
    <w:rsid w:val="00F54C3C"/>
    <w:rsid w:val="00F7789A"/>
    <w:rsid w:val="00F80DF5"/>
    <w:rsid w:val="00FE03A7"/>
    <w:rsid w:val="00FE0692"/>
    <w:rsid w:val="00FE1C7E"/>
    <w:rsid w:val="00FE4574"/>
    <w:rsid w:val="00FE73FE"/>
    <w:rsid w:val="15D7180A"/>
    <w:rsid w:val="1AEDE403"/>
    <w:rsid w:val="24E83E0A"/>
    <w:rsid w:val="2B0558A5"/>
    <w:rsid w:val="2F4DFE5D"/>
    <w:rsid w:val="3A7328EC"/>
    <w:rsid w:val="43D9D37E"/>
    <w:rsid w:val="4478EFC0"/>
    <w:rsid w:val="4D5224AB"/>
    <w:rsid w:val="5B39D362"/>
    <w:rsid w:val="5E717424"/>
    <w:rsid w:val="62B3FAFA"/>
    <w:rsid w:val="776287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C076"/>
  <w15:docId w15:val="{4D2921E2-6C8C-44D9-B2F4-542EDD6F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F3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Prrafodelista">
    <w:name w:val="List Paragraph"/>
    <w:basedOn w:val="Normal"/>
    <w:uiPriority w:val="34"/>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iPriority w:val="99"/>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EB2DA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qFormat/>
    <w:rsid w:val="00EB2DA9"/>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iPriority w:val="99"/>
    <w:unhideWhenUsed/>
    <w:qFormat/>
    <w:rsid w:val="00EB2DA9"/>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38157C"/>
    <w:rPr>
      <w:color w:val="0563C1" w:themeColor="hyperlink"/>
      <w:u w:val="single"/>
    </w:rPr>
  </w:style>
  <w:style w:type="character" w:customStyle="1" w:styleId="Mencinsinresolver1">
    <w:name w:val="Mención sin resolver1"/>
    <w:basedOn w:val="Fuentedeprrafopredeter"/>
    <w:uiPriority w:val="99"/>
    <w:semiHidden/>
    <w:unhideWhenUsed/>
    <w:rsid w:val="0038157C"/>
    <w:rPr>
      <w:color w:val="605E5C"/>
      <w:shd w:val="clear" w:color="auto" w:fill="E1DFDD"/>
    </w:rPr>
  </w:style>
  <w:style w:type="numbering" w:customStyle="1" w:styleId="Sinlista1">
    <w:name w:val="Sin lista1"/>
    <w:next w:val="Sinlista"/>
    <w:uiPriority w:val="99"/>
    <w:semiHidden/>
    <w:unhideWhenUsed/>
    <w:rsid w:val="006A29DF"/>
  </w:style>
  <w:style w:type="table" w:styleId="Tablaconcuadrcula">
    <w:name w:val="Table Grid"/>
    <w:basedOn w:val="Tablanormal"/>
    <w:uiPriority w:val="39"/>
    <w:rsid w:val="000B3A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denotaalpie2">
    <w:name w:val="Ref. de nota al pie2"/>
    <w:aliases w:val="Nota de pie,Pie de pagina"/>
    <w:basedOn w:val="Normal"/>
    <w:link w:val="Refdenotaalpie"/>
    <w:uiPriority w:val="99"/>
    <w:rsid w:val="00B36B80"/>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90005">
      <w:bodyDiv w:val="1"/>
      <w:marLeft w:val="0"/>
      <w:marRight w:val="0"/>
      <w:marTop w:val="0"/>
      <w:marBottom w:val="0"/>
      <w:divBdr>
        <w:top w:val="none" w:sz="0" w:space="0" w:color="auto"/>
        <w:left w:val="none" w:sz="0" w:space="0" w:color="auto"/>
        <w:bottom w:val="none" w:sz="0" w:space="0" w:color="auto"/>
        <w:right w:val="none" w:sz="0" w:space="0" w:color="auto"/>
      </w:divBdr>
      <w:divsChild>
        <w:div w:id="862129606">
          <w:marLeft w:val="0"/>
          <w:marRight w:val="0"/>
          <w:marTop w:val="0"/>
          <w:marBottom w:val="120"/>
          <w:divBdr>
            <w:top w:val="none" w:sz="0" w:space="0" w:color="auto"/>
            <w:left w:val="none" w:sz="0" w:space="0" w:color="auto"/>
            <w:bottom w:val="none" w:sz="0" w:space="0" w:color="auto"/>
            <w:right w:val="none" w:sz="0" w:space="0" w:color="auto"/>
          </w:divBdr>
          <w:divsChild>
            <w:div w:id="209610117">
              <w:marLeft w:val="0"/>
              <w:marRight w:val="0"/>
              <w:marTop w:val="0"/>
              <w:marBottom w:val="0"/>
              <w:divBdr>
                <w:top w:val="none" w:sz="0" w:space="0" w:color="auto"/>
                <w:left w:val="none" w:sz="0" w:space="0" w:color="auto"/>
                <w:bottom w:val="none" w:sz="0" w:space="0" w:color="auto"/>
                <w:right w:val="none" w:sz="0" w:space="0" w:color="auto"/>
              </w:divBdr>
            </w:div>
          </w:divsChild>
        </w:div>
        <w:div w:id="411512058">
          <w:marLeft w:val="0"/>
          <w:marRight w:val="0"/>
          <w:marTop w:val="0"/>
          <w:marBottom w:val="120"/>
          <w:divBdr>
            <w:top w:val="none" w:sz="0" w:space="0" w:color="auto"/>
            <w:left w:val="none" w:sz="0" w:space="0" w:color="auto"/>
            <w:bottom w:val="none" w:sz="0" w:space="0" w:color="auto"/>
            <w:right w:val="none" w:sz="0" w:space="0" w:color="auto"/>
          </w:divBdr>
          <w:divsChild>
            <w:div w:id="3900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97d7c19af0a94db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32Sd+kvVK1N7ZovnGvVE0ktvDzQ==">AMUW2mUHcyViydvWVfE102BpID8XaYkRjpJAVJHNvXHj624xCzfDJSWrQIDPdiQEjaZQyTNCk3KHE+BD15+bxBE8hHcgI1cJlWrrrNnGy0FUPUoqM6zks6kPzuqNx+LzBEk+gDHcUAdD</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2F8E-FB5D-4F53-8A02-6C2FEB97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2AC9E01-CC88-4B8C-9019-80750292D845}">
  <ds:schemaRefs>
    <ds:schemaRef ds:uri="http://schemas.microsoft.com/sharepoint/v3/contenttype/forms"/>
  </ds:schemaRefs>
</ds:datastoreItem>
</file>

<file path=customXml/itemProps4.xml><?xml version="1.0" encoding="utf-8"?>
<ds:datastoreItem xmlns:ds="http://schemas.openxmlformats.org/officeDocument/2006/customXml" ds:itemID="{FF7BDF64-6616-4D26-B45C-BA807FF4FF00}">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5.xml><?xml version="1.0" encoding="utf-8"?>
<ds:datastoreItem xmlns:ds="http://schemas.openxmlformats.org/officeDocument/2006/customXml" ds:itemID="{EF35A880-35AC-42C9-B8B1-86FFB5ED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7164</Words>
  <Characters>39407</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Giraldo Mejia</dc:creator>
  <cp:lastModifiedBy>Hermides Alonso Gaviria Ocampo</cp:lastModifiedBy>
  <cp:revision>5</cp:revision>
  <dcterms:created xsi:type="dcterms:W3CDTF">2022-09-05T16:53:00Z</dcterms:created>
  <dcterms:modified xsi:type="dcterms:W3CDTF">2022-11-02T13:55:00Z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