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805C" w14:textId="77777777" w:rsidR="00E82BAD" w:rsidRPr="00E82BAD" w:rsidRDefault="00E82BAD" w:rsidP="00E82BAD">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bookmarkStart w:id="0" w:name="_Hlk122333129"/>
      <w:r w:rsidRPr="00E82BA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0E29A1" w14:textId="77777777" w:rsidR="00E82BAD" w:rsidRPr="00E82BAD" w:rsidRDefault="00E82BAD" w:rsidP="00E82BAD">
      <w:pPr>
        <w:widowControl w:val="0"/>
        <w:autoSpaceDE w:val="0"/>
        <w:autoSpaceDN w:val="0"/>
        <w:spacing w:after="0" w:line="240" w:lineRule="auto"/>
        <w:jc w:val="both"/>
        <w:rPr>
          <w:rFonts w:ascii="Arial" w:eastAsia="Times New Roman" w:hAnsi="Arial" w:cs="Arial"/>
          <w:sz w:val="20"/>
          <w:szCs w:val="20"/>
          <w:lang w:val="es-419" w:eastAsia="es-ES"/>
        </w:rPr>
      </w:pPr>
    </w:p>
    <w:p w14:paraId="2F4FF329" w14:textId="1A557ABA" w:rsidR="00056FDA" w:rsidRPr="00056FDA" w:rsidRDefault="00056FDA" w:rsidP="00056FDA">
      <w:pPr>
        <w:widowControl w:val="0"/>
        <w:autoSpaceDE w:val="0"/>
        <w:autoSpaceDN w:val="0"/>
        <w:spacing w:after="0" w:line="240" w:lineRule="auto"/>
        <w:jc w:val="both"/>
        <w:rPr>
          <w:rFonts w:ascii="Arial" w:eastAsia="Times New Roman" w:hAnsi="Arial" w:cs="Arial"/>
          <w:sz w:val="20"/>
          <w:szCs w:val="20"/>
          <w:lang w:val="es-419" w:eastAsia="es-ES"/>
        </w:rPr>
      </w:pPr>
      <w:r w:rsidRPr="00056FDA">
        <w:rPr>
          <w:rFonts w:ascii="Arial" w:eastAsia="Times New Roman" w:hAnsi="Arial" w:cs="Arial"/>
          <w:sz w:val="20"/>
          <w:szCs w:val="20"/>
          <w:lang w:val="es-419" w:eastAsia="es-ES"/>
        </w:rPr>
        <w:t>Expediente:</w:t>
      </w:r>
      <w:r w:rsidRPr="00056FDA">
        <w:rPr>
          <w:rFonts w:ascii="Arial" w:eastAsia="Times New Roman" w:hAnsi="Arial" w:cs="Arial"/>
          <w:sz w:val="20"/>
          <w:szCs w:val="20"/>
          <w:lang w:val="es-419" w:eastAsia="es-ES"/>
        </w:rPr>
        <w:tab/>
        <w:t>66001310300220180002601</w:t>
      </w:r>
    </w:p>
    <w:p w14:paraId="293026DD" w14:textId="5C520257" w:rsidR="00056FDA" w:rsidRPr="00056FDA" w:rsidRDefault="00056FDA" w:rsidP="00056FDA">
      <w:pPr>
        <w:widowControl w:val="0"/>
        <w:autoSpaceDE w:val="0"/>
        <w:autoSpaceDN w:val="0"/>
        <w:spacing w:after="0" w:line="240" w:lineRule="auto"/>
        <w:jc w:val="both"/>
        <w:rPr>
          <w:rFonts w:ascii="Arial" w:eastAsia="Times New Roman" w:hAnsi="Arial" w:cs="Arial"/>
          <w:sz w:val="20"/>
          <w:szCs w:val="20"/>
          <w:lang w:val="es-419" w:eastAsia="es-ES"/>
        </w:rPr>
      </w:pPr>
      <w:r w:rsidRPr="00056FDA">
        <w:rPr>
          <w:rFonts w:ascii="Arial" w:eastAsia="Times New Roman" w:hAnsi="Arial" w:cs="Arial"/>
          <w:sz w:val="20"/>
          <w:szCs w:val="20"/>
          <w:lang w:val="es-419" w:eastAsia="es-ES"/>
        </w:rPr>
        <w:t>Proceso:</w:t>
      </w:r>
      <w:r w:rsidRPr="00056FDA">
        <w:rPr>
          <w:rFonts w:ascii="Arial" w:eastAsia="Times New Roman" w:hAnsi="Arial" w:cs="Arial"/>
          <w:sz w:val="20"/>
          <w:szCs w:val="20"/>
          <w:lang w:val="es-419" w:eastAsia="es-ES"/>
        </w:rPr>
        <w:tab/>
        <w:t>Ejecutivo.</w:t>
      </w:r>
    </w:p>
    <w:p w14:paraId="374FC440" w14:textId="77777777" w:rsidR="00056FDA" w:rsidRPr="00056FDA" w:rsidRDefault="00056FDA" w:rsidP="00056FDA">
      <w:pPr>
        <w:widowControl w:val="0"/>
        <w:autoSpaceDE w:val="0"/>
        <w:autoSpaceDN w:val="0"/>
        <w:spacing w:after="0" w:line="240" w:lineRule="auto"/>
        <w:jc w:val="both"/>
        <w:rPr>
          <w:rFonts w:ascii="Arial" w:eastAsia="Times New Roman" w:hAnsi="Arial" w:cs="Arial"/>
          <w:sz w:val="20"/>
          <w:szCs w:val="20"/>
          <w:lang w:val="es-419" w:eastAsia="es-ES"/>
        </w:rPr>
      </w:pPr>
      <w:r w:rsidRPr="00056FDA">
        <w:rPr>
          <w:rFonts w:ascii="Arial" w:eastAsia="Times New Roman" w:hAnsi="Arial" w:cs="Arial"/>
          <w:sz w:val="20"/>
          <w:szCs w:val="20"/>
          <w:lang w:val="es-419" w:eastAsia="es-ES"/>
        </w:rPr>
        <w:t>Demandante:</w:t>
      </w:r>
      <w:r w:rsidRPr="00056FDA">
        <w:rPr>
          <w:rFonts w:ascii="Arial" w:eastAsia="Times New Roman" w:hAnsi="Arial" w:cs="Arial"/>
          <w:sz w:val="20"/>
          <w:szCs w:val="20"/>
          <w:lang w:val="es-419" w:eastAsia="es-ES"/>
        </w:rPr>
        <w:tab/>
        <w:t>Cesar Augusto Quiroga Londoño.</w:t>
      </w:r>
    </w:p>
    <w:p w14:paraId="4DD60514" w14:textId="5DF1A50B" w:rsidR="00E82BAD" w:rsidRDefault="00056FDA" w:rsidP="00056FDA">
      <w:pPr>
        <w:widowControl w:val="0"/>
        <w:autoSpaceDE w:val="0"/>
        <w:autoSpaceDN w:val="0"/>
        <w:spacing w:after="0" w:line="240" w:lineRule="auto"/>
        <w:jc w:val="both"/>
        <w:rPr>
          <w:rFonts w:ascii="Arial" w:eastAsia="Times New Roman" w:hAnsi="Arial" w:cs="Arial"/>
          <w:sz w:val="20"/>
          <w:szCs w:val="20"/>
          <w:lang w:val="es-419" w:eastAsia="es-ES"/>
        </w:rPr>
      </w:pPr>
      <w:r w:rsidRPr="00056FDA">
        <w:rPr>
          <w:rFonts w:ascii="Arial" w:eastAsia="Times New Roman" w:hAnsi="Arial" w:cs="Arial"/>
          <w:sz w:val="20"/>
          <w:szCs w:val="20"/>
          <w:lang w:val="es-419" w:eastAsia="es-ES"/>
        </w:rPr>
        <w:t>Demandado:</w:t>
      </w:r>
      <w:r w:rsidRPr="00056FDA">
        <w:rPr>
          <w:rFonts w:ascii="Arial" w:eastAsia="Times New Roman" w:hAnsi="Arial" w:cs="Arial"/>
          <w:sz w:val="20"/>
          <w:szCs w:val="20"/>
          <w:lang w:val="es-419" w:eastAsia="es-ES"/>
        </w:rPr>
        <w:tab/>
        <w:t>Darío Alexander Herrera Perico</w:t>
      </w:r>
      <w:r>
        <w:rPr>
          <w:rFonts w:ascii="Arial" w:eastAsia="Times New Roman" w:hAnsi="Arial" w:cs="Arial"/>
          <w:sz w:val="20"/>
          <w:szCs w:val="20"/>
          <w:lang w:val="es-419" w:eastAsia="es-ES"/>
        </w:rPr>
        <w:t xml:space="preserve"> y </w:t>
      </w:r>
      <w:r w:rsidRPr="00056FDA">
        <w:rPr>
          <w:rFonts w:ascii="Arial" w:eastAsia="Times New Roman" w:hAnsi="Arial" w:cs="Arial"/>
          <w:sz w:val="20"/>
          <w:szCs w:val="20"/>
          <w:lang w:val="es-419" w:eastAsia="es-ES"/>
        </w:rPr>
        <w:t>Martha Inés Castaño Marín</w:t>
      </w:r>
    </w:p>
    <w:p w14:paraId="5F7957F8" w14:textId="77777777" w:rsidR="00056FDA" w:rsidRPr="00E82BAD" w:rsidRDefault="00056FDA" w:rsidP="00056FDA">
      <w:pPr>
        <w:widowControl w:val="0"/>
        <w:autoSpaceDE w:val="0"/>
        <w:autoSpaceDN w:val="0"/>
        <w:spacing w:after="0" w:line="240" w:lineRule="auto"/>
        <w:jc w:val="both"/>
        <w:rPr>
          <w:rFonts w:ascii="Arial" w:eastAsia="Times New Roman" w:hAnsi="Arial" w:cs="Arial"/>
          <w:sz w:val="20"/>
          <w:szCs w:val="20"/>
          <w:lang w:val="es-419" w:eastAsia="es-ES"/>
        </w:rPr>
      </w:pPr>
    </w:p>
    <w:p w14:paraId="268DB6EC" w14:textId="226EF631" w:rsidR="00E82BAD" w:rsidRPr="00E82BAD" w:rsidRDefault="004B1BE3" w:rsidP="00E82BAD">
      <w:pPr>
        <w:widowControl w:val="0"/>
        <w:autoSpaceDE w:val="0"/>
        <w:autoSpaceDN w:val="0"/>
        <w:spacing w:after="0" w:line="240" w:lineRule="auto"/>
        <w:jc w:val="both"/>
        <w:rPr>
          <w:rFonts w:ascii="Arial" w:eastAsia="Times New Roman" w:hAnsi="Arial" w:cs="Arial"/>
          <w:sz w:val="20"/>
          <w:szCs w:val="20"/>
          <w:lang w:val="es-419" w:eastAsia="es-ES"/>
        </w:rPr>
      </w:pPr>
      <w:r w:rsidRPr="00E82BAD">
        <w:rPr>
          <w:rFonts w:ascii="Arial" w:eastAsia="Times New Roman" w:hAnsi="Arial" w:cs="Arial"/>
          <w:b/>
          <w:bCs/>
          <w:iCs/>
          <w:sz w:val="20"/>
          <w:szCs w:val="20"/>
          <w:u w:val="single"/>
          <w:lang w:val="es-419" w:eastAsia="fr-FR"/>
        </w:rPr>
        <w:t>TEMAS:</w:t>
      </w:r>
      <w:r w:rsidRPr="00E82BA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PROCESO EJECUTIVO / CON GARANTÍA PRENDARIA / FALLECIMIENTO DE UN LITIGANTE YA NOTIFICADO Y QUE GUARDÓ SILENCIO / REVISIÓN OFICIOSA DE LOS REQUISITOS DEL TÍTULO EJECUTIVO / NULIDAD DEL CONTRATO DE PRENDA / VALORACIÓN PROBATORIA.</w:t>
      </w:r>
    </w:p>
    <w:p w14:paraId="25AF405F" w14:textId="77777777" w:rsidR="00E82BAD" w:rsidRPr="00E82BAD" w:rsidRDefault="00E82BAD" w:rsidP="00E82BAD">
      <w:pPr>
        <w:widowControl w:val="0"/>
        <w:autoSpaceDE w:val="0"/>
        <w:autoSpaceDN w:val="0"/>
        <w:spacing w:after="0" w:line="240" w:lineRule="auto"/>
        <w:jc w:val="both"/>
        <w:rPr>
          <w:rFonts w:ascii="Arial" w:eastAsia="Times New Roman" w:hAnsi="Arial" w:cs="Arial"/>
          <w:sz w:val="20"/>
          <w:szCs w:val="20"/>
          <w:lang w:val="es-ES" w:eastAsia="es-ES"/>
        </w:rPr>
      </w:pPr>
    </w:p>
    <w:p w14:paraId="4F453EAC" w14:textId="4EE61DBD" w:rsidR="00E82BAD" w:rsidRPr="00E82BAD" w:rsidRDefault="00C95573" w:rsidP="00E82BAD">
      <w:pPr>
        <w:widowControl w:val="0"/>
        <w:autoSpaceDE w:val="0"/>
        <w:autoSpaceDN w:val="0"/>
        <w:spacing w:after="0" w:line="240" w:lineRule="auto"/>
        <w:jc w:val="both"/>
        <w:rPr>
          <w:rFonts w:ascii="Arial" w:eastAsia="Times New Roman" w:hAnsi="Arial" w:cs="Arial"/>
          <w:sz w:val="20"/>
          <w:szCs w:val="20"/>
          <w:lang w:val="es-ES" w:eastAsia="es-ES"/>
        </w:rPr>
      </w:pPr>
      <w:r w:rsidRPr="00C95573">
        <w:rPr>
          <w:rFonts w:ascii="Arial" w:eastAsia="Times New Roman" w:hAnsi="Arial" w:cs="Arial"/>
          <w:sz w:val="20"/>
          <w:szCs w:val="20"/>
          <w:lang w:val="es-ES" w:eastAsia="es-ES"/>
        </w:rPr>
        <w:t>Muerto un litigante que carece de apoderado judicial, pero que ya ha sido notificado, lo pertinente es convocar a los continuadores de su voluntad, simplemente para que se apersonen del proceso, si lo quieren hacer. Y puede ocurrir, como aquí, que, ante el desconocimiento de esas personas, se emplace a los herederos indeterminados y se les designe curador. Mas eso no supone que, si el demandado ya estaba notificado y había dejado vencer el término para su defensa en silencio, se abra una nueva oportunidad para que ese curador proponga excepciones</w:t>
      </w:r>
      <w:r>
        <w:rPr>
          <w:rFonts w:ascii="Arial" w:eastAsia="Times New Roman" w:hAnsi="Arial" w:cs="Arial"/>
          <w:sz w:val="20"/>
          <w:szCs w:val="20"/>
          <w:lang w:val="es-ES" w:eastAsia="es-ES"/>
        </w:rPr>
        <w:t>…</w:t>
      </w:r>
    </w:p>
    <w:p w14:paraId="2E82353C" w14:textId="77777777" w:rsidR="00E82BAD" w:rsidRPr="00E82BAD" w:rsidRDefault="00E82BAD" w:rsidP="00E82BAD">
      <w:pPr>
        <w:widowControl w:val="0"/>
        <w:autoSpaceDE w:val="0"/>
        <w:autoSpaceDN w:val="0"/>
        <w:spacing w:after="0" w:line="240" w:lineRule="auto"/>
        <w:jc w:val="both"/>
        <w:rPr>
          <w:rFonts w:ascii="Arial" w:eastAsia="Times New Roman" w:hAnsi="Arial" w:cs="Arial"/>
          <w:sz w:val="20"/>
          <w:szCs w:val="20"/>
          <w:lang w:val="es-ES" w:eastAsia="es-ES"/>
        </w:rPr>
      </w:pPr>
    </w:p>
    <w:p w14:paraId="4F90A846" w14:textId="1FCAB23E" w:rsidR="00C57AAD" w:rsidRPr="00C57AAD" w:rsidRDefault="00C57AAD" w:rsidP="00C57AAD">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C57AAD">
        <w:rPr>
          <w:rFonts w:ascii="Arial" w:eastAsia="Times New Roman" w:hAnsi="Arial" w:cs="Arial"/>
          <w:sz w:val="20"/>
          <w:szCs w:val="20"/>
          <w:lang w:val="es-ES" w:eastAsia="es-ES"/>
        </w:rPr>
        <w:t>también la jurisprudencia tiene dicho que al juez le incumbe revisar de oficio los requisitos del título ejecutivo, al momento de dictar sentencia</w:t>
      </w:r>
      <w:r>
        <w:rPr>
          <w:rFonts w:ascii="Arial" w:eastAsia="Times New Roman" w:hAnsi="Arial" w:cs="Arial"/>
          <w:sz w:val="20"/>
          <w:szCs w:val="20"/>
          <w:lang w:val="es-ES" w:eastAsia="es-ES"/>
        </w:rPr>
        <w:t>…</w:t>
      </w:r>
      <w:r w:rsidRPr="00C57AAD">
        <w:rPr>
          <w:rFonts w:ascii="Arial" w:eastAsia="Times New Roman" w:hAnsi="Arial" w:cs="Arial"/>
          <w:sz w:val="20"/>
          <w:szCs w:val="20"/>
          <w:lang w:val="es-ES" w:eastAsia="es-ES"/>
        </w:rPr>
        <w:t xml:space="preserve"> en la SC1303-2022, recordó la Corte que: </w:t>
      </w:r>
    </w:p>
    <w:p w14:paraId="7B9464CF" w14:textId="77777777" w:rsidR="00C57AAD" w:rsidRPr="00C57AAD" w:rsidRDefault="00C57AAD" w:rsidP="00C57AAD">
      <w:pPr>
        <w:widowControl w:val="0"/>
        <w:autoSpaceDE w:val="0"/>
        <w:autoSpaceDN w:val="0"/>
        <w:spacing w:after="0" w:line="240" w:lineRule="auto"/>
        <w:jc w:val="both"/>
        <w:rPr>
          <w:rFonts w:ascii="Arial" w:eastAsia="Times New Roman" w:hAnsi="Arial" w:cs="Arial"/>
          <w:sz w:val="20"/>
          <w:szCs w:val="20"/>
          <w:lang w:val="es-ES" w:eastAsia="es-ES"/>
        </w:rPr>
      </w:pPr>
    </w:p>
    <w:p w14:paraId="54411616" w14:textId="31F7A144" w:rsidR="00E82BAD" w:rsidRPr="00E82BAD" w:rsidRDefault="00C57AAD" w:rsidP="00C57AAD">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C57AAD">
        <w:rPr>
          <w:rFonts w:ascii="Arial" w:eastAsia="Times New Roman" w:hAnsi="Arial" w:cs="Arial"/>
          <w:sz w:val="20"/>
          <w:szCs w:val="20"/>
          <w:lang w:val="es-ES" w:eastAsia="es-ES"/>
        </w:rPr>
        <w:t>… como regla de principio, la decisión del superior está restringida a los argumentos expuestos por el apelante, lo que no obsta para que sentencie sobre temáticas respecto de las cuales el ordenamiento le impone pronunciarse motu proprio, por estar íntimamente relacionadas con el asunto sometido a su conocimiento</w:t>
      </w:r>
      <w:r>
        <w:rPr>
          <w:rFonts w:ascii="Arial" w:eastAsia="Times New Roman" w:hAnsi="Arial" w:cs="Arial"/>
          <w:sz w:val="20"/>
          <w:szCs w:val="20"/>
          <w:lang w:val="es-ES" w:eastAsia="es-ES"/>
        </w:rPr>
        <w:t>…”</w:t>
      </w:r>
    </w:p>
    <w:p w14:paraId="5FF93B48" w14:textId="77777777" w:rsidR="00E82BAD" w:rsidRPr="00E82BAD" w:rsidRDefault="00E82BAD" w:rsidP="00E82BAD">
      <w:pPr>
        <w:widowControl w:val="0"/>
        <w:autoSpaceDE w:val="0"/>
        <w:autoSpaceDN w:val="0"/>
        <w:spacing w:after="0" w:line="240" w:lineRule="auto"/>
        <w:jc w:val="both"/>
        <w:rPr>
          <w:rFonts w:ascii="Arial" w:eastAsia="Times New Roman" w:hAnsi="Arial" w:cs="Arial"/>
          <w:sz w:val="20"/>
          <w:szCs w:val="20"/>
          <w:lang w:val="es-ES" w:eastAsia="es-ES"/>
        </w:rPr>
      </w:pPr>
    </w:p>
    <w:p w14:paraId="77642B92" w14:textId="3B543335" w:rsidR="00E82BAD" w:rsidRPr="00E82BAD" w:rsidRDefault="004B6CAC" w:rsidP="00E82BAD">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4B6CAC">
        <w:rPr>
          <w:rFonts w:ascii="Arial" w:eastAsia="Times New Roman" w:hAnsi="Arial" w:cs="Arial"/>
          <w:sz w:val="20"/>
          <w:szCs w:val="20"/>
          <w:lang w:val="es-ES" w:eastAsia="es-ES"/>
        </w:rPr>
        <w:t>lo que corresponde definir a la Sala es si confirma el fallo en cuanto declaró la nulidad de la prenda y se abstuvo de seguir adelante la ejecución contra la señora Castaño Marín, o la revoca en esos dos apartes, como pretende el recurrente</w:t>
      </w:r>
      <w:r>
        <w:rPr>
          <w:rFonts w:ascii="Arial" w:eastAsia="Times New Roman" w:hAnsi="Arial" w:cs="Arial"/>
          <w:sz w:val="20"/>
          <w:szCs w:val="20"/>
          <w:lang w:val="es-ES" w:eastAsia="es-ES"/>
        </w:rPr>
        <w:t>…</w:t>
      </w:r>
    </w:p>
    <w:p w14:paraId="58E867E3" w14:textId="283D443C" w:rsidR="00E82BAD" w:rsidRDefault="00E82BAD" w:rsidP="00E82BAD">
      <w:pPr>
        <w:widowControl w:val="0"/>
        <w:autoSpaceDE w:val="0"/>
        <w:autoSpaceDN w:val="0"/>
        <w:spacing w:after="0" w:line="240" w:lineRule="auto"/>
        <w:jc w:val="both"/>
        <w:rPr>
          <w:rFonts w:ascii="Arial" w:eastAsia="Times New Roman" w:hAnsi="Arial" w:cs="Arial"/>
          <w:sz w:val="20"/>
          <w:szCs w:val="20"/>
          <w:lang w:val="es-ES" w:eastAsia="es-ES"/>
        </w:rPr>
      </w:pPr>
    </w:p>
    <w:p w14:paraId="38D43BAF" w14:textId="2F4D7A2F" w:rsidR="004B6CAC" w:rsidRDefault="004B1BE3" w:rsidP="00E82BAD">
      <w:pPr>
        <w:widowControl w:val="0"/>
        <w:autoSpaceDE w:val="0"/>
        <w:autoSpaceDN w:val="0"/>
        <w:spacing w:after="0" w:line="240" w:lineRule="auto"/>
        <w:jc w:val="both"/>
        <w:rPr>
          <w:rFonts w:ascii="Arial" w:eastAsia="Times New Roman" w:hAnsi="Arial" w:cs="Arial"/>
          <w:sz w:val="20"/>
          <w:szCs w:val="20"/>
          <w:lang w:val="es-ES" w:eastAsia="es-ES"/>
        </w:rPr>
      </w:pPr>
      <w:r w:rsidRPr="004B1BE3">
        <w:rPr>
          <w:rFonts w:ascii="Arial" w:eastAsia="Times New Roman" w:hAnsi="Arial" w:cs="Arial"/>
          <w:sz w:val="20"/>
          <w:szCs w:val="20"/>
          <w:lang w:val="es-ES" w:eastAsia="es-ES"/>
        </w:rPr>
        <w:t>bien por la ausencia de los requisitos que echó de menos el Juzgado para declarar la nulidad, cuestión que, se repite, no fue discutida, o bien porque, en todo caso, nunca se ajustó el acreedor al mandato de la ley de garantías mobiliarias, el mandamiento ejecutivo contra la codemandada estaba llamado al fracaso.</w:t>
      </w:r>
    </w:p>
    <w:p w14:paraId="15890E41" w14:textId="77777777" w:rsidR="004B6CAC" w:rsidRPr="00E82BAD" w:rsidRDefault="004B6CAC" w:rsidP="00E82BAD">
      <w:pPr>
        <w:widowControl w:val="0"/>
        <w:autoSpaceDE w:val="0"/>
        <w:autoSpaceDN w:val="0"/>
        <w:spacing w:after="0" w:line="240" w:lineRule="auto"/>
        <w:jc w:val="both"/>
        <w:rPr>
          <w:rFonts w:ascii="Arial" w:eastAsia="Times New Roman" w:hAnsi="Arial" w:cs="Arial"/>
          <w:sz w:val="20"/>
          <w:szCs w:val="20"/>
          <w:lang w:val="es-ES" w:eastAsia="es-ES"/>
        </w:rPr>
      </w:pPr>
    </w:p>
    <w:p w14:paraId="66E66660" w14:textId="77777777" w:rsidR="00E82BAD" w:rsidRPr="00E82BAD" w:rsidRDefault="00E82BAD" w:rsidP="00E82BAD">
      <w:pPr>
        <w:widowControl w:val="0"/>
        <w:autoSpaceDE w:val="0"/>
        <w:autoSpaceDN w:val="0"/>
        <w:spacing w:after="0" w:line="240" w:lineRule="auto"/>
        <w:jc w:val="both"/>
        <w:rPr>
          <w:rFonts w:ascii="Arial" w:eastAsia="Times New Roman" w:hAnsi="Arial" w:cs="Arial"/>
          <w:sz w:val="20"/>
          <w:szCs w:val="20"/>
          <w:lang w:val="es-ES" w:eastAsia="es-ES"/>
        </w:rPr>
      </w:pPr>
    </w:p>
    <w:p w14:paraId="2FF254D5" w14:textId="77777777" w:rsidR="00E82BAD" w:rsidRPr="00E82BAD" w:rsidRDefault="00E82BAD" w:rsidP="00E82BAD">
      <w:pPr>
        <w:widowControl w:val="0"/>
        <w:autoSpaceDE w:val="0"/>
        <w:autoSpaceDN w:val="0"/>
        <w:spacing w:after="0" w:line="240" w:lineRule="auto"/>
        <w:jc w:val="both"/>
        <w:rPr>
          <w:rFonts w:ascii="Arial" w:eastAsia="Times New Roman" w:hAnsi="Arial" w:cs="Arial"/>
          <w:sz w:val="20"/>
          <w:szCs w:val="20"/>
          <w:lang w:val="es-ES" w:eastAsia="es-ES"/>
        </w:rPr>
      </w:pPr>
    </w:p>
    <w:p w14:paraId="7EAD2EB1" w14:textId="77777777" w:rsidR="00E82BAD" w:rsidRPr="00E82BAD" w:rsidRDefault="00E82BAD" w:rsidP="00E82BAD">
      <w:pPr>
        <w:widowControl w:val="0"/>
        <w:autoSpaceDE w:val="0"/>
        <w:autoSpaceDN w:val="0"/>
        <w:spacing w:after="0" w:line="276" w:lineRule="auto"/>
        <w:ind w:right="1213" w:firstLine="1701"/>
        <w:outlineLvl w:val="1"/>
        <w:rPr>
          <w:rFonts w:ascii="Gadugi" w:eastAsia="Gadugi" w:hAnsi="Gadugi" w:cs="Gadugi"/>
          <w:b/>
          <w:bCs/>
          <w:sz w:val="24"/>
          <w:szCs w:val="24"/>
          <w:lang w:val="es-ES"/>
        </w:rPr>
      </w:pPr>
      <w:r w:rsidRPr="00E82BAD">
        <w:rPr>
          <w:rFonts w:ascii="Gadugi" w:eastAsia="Gadugi" w:hAnsi="Gadugi" w:cs="Gadugi"/>
          <w:b/>
          <w:bCs/>
          <w:sz w:val="24"/>
          <w:szCs w:val="24"/>
          <w:lang w:val="es-ES"/>
        </w:rPr>
        <w:t>TRIBUNAL SUPERIOR DEL DISTRITO JUDICIAL</w:t>
      </w:r>
    </w:p>
    <w:p w14:paraId="54E528CC" w14:textId="77777777" w:rsidR="00E82BAD" w:rsidRPr="00E82BAD" w:rsidRDefault="00E82BAD" w:rsidP="00E82BAD">
      <w:pPr>
        <w:widowControl w:val="0"/>
        <w:autoSpaceDE w:val="0"/>
        <w:autoSpaceDN w:val="0"/>
        <w:spacing w:after="0" w:line="276" w:lineRule="auto"/>
        <w:ind w:left="423" w:right="1213" w:firstLine="1701"/>
        <w:outlineLvl w:val="1"/>
        <w:rPr>
          <w:rFonts w:ascii="Gadugi" w:eastAsia="Gadugi" w:hAnsi="Gadugi" w:cs="Gadugi"/>
          <w:b/>
          <w:bCs/>
          <w:sz w:val="24"/>
          <w:szCs w:val="24"/>
          <w:lang w:val="es-ES"/>
        </w:rPr>
      </w:pPr>
      <w:r w:rsidRPr="00E82BAD">
        <w:rPr>
          <w:rFonts w:ascii="Gadugi" w:eastAsia="Calibri" w:hAnsi="Gadugi" w:cs="Times New Roman"/>
          <w:b/>
          <w:sz w:val="24"/>
          <w:szCs w:val="24"/>
          <w:lang w:val="es-ES"/>
        </w:rPr>
        <w:t xml:space="preserve">     SALA DE DECISIÓN CIVIL FAMILIA </w:t>
      </w:r>
    </w:p>
    <w:p w14:paraId="765AF48B" w14:textId="77777777" w:rsidR="00E82BAD" w:rsidRPr="00E82BAD" w:rsidRDefault="00E82BAD" w:rsidP="00E82BAD">
      <w:pPr>
        <w:widowControl w:val="0"/>
        <w:autoSpaceDE w:val="0"/>
        <w:autoSpaceDN w:val="0"/>
        <w:spacing w:after="0" w:line="276" w:lineRule="auto"/>
        <w:ind w:firstLine="993"/>
        <w:jc w:val="both"/>
        <w:rPr>
          <w:rFonts w:ascii="Gadugi" w:eastAsia="Calibri" w:hAnsi="Gadugi" w:cs="Times New Roman"/>
          <w:sz w:val="24"/>
          <w:szCs w:val="24"/>
          <w:lang w:val="es-ES"/>
        </w:rPr>
      </w:pPr>
    </w:p>
    <w:p w14:paraId="1A6481EB" w14:textId="55BAFA8B" w:rsidR="00E82BAD" w:rsidRPr="00E82BAD" w:rsidRDefault="00E82BAD" w:rsidP="00056FDA">
      <w:pPr>
        <w:widowControl w:val="0"/>
        <w:autoSpaceDE w:val="0"/>
        <w:autoSpaceDN w:val="0"/>
        <w:spacing w:after="0" w:line="276" w:lineRule="auto"/>
        <w:ind w:left="1701" w:right="51"/>
        <w:rPr>
          <w:rFonts w:ascii="Gadugi" w:eastAsia="Arial MT" w:hAnsi="Gadugi" w:cs="Arial MT"/>
          <w:sz w:val="24"/>
          <w:szCs w:val="24"/>
          <w:lang w:val="es-ES"/>
        </w:rPr>
      </w:pPr>
      <w:r w:rsidRPr="00E82BAD">
        <w:rPr>
          <w:rFonts w:ascii="Gadugi" w:eastAsia="Arial MT" w:hAnsi="Gadugi" w:cs="Arial MT"/>
          <w:sz w:val="24"/>
          <w:szCs w:val="24"/>
          <w:lang w:val="es-ES"/>
        </w:rPr>
        <w:t>Magistrado:</w:t>
      </w:r>
      <w:r w:rsidR="00056FDA">
        <w:rPr>
          <w:rFonts w:ascii="Gadugi" w:eastAsia="Arial MT" w:hAnsi="Gadugi" w:cs="Arial MT"/>
          <w:sz w:val="24"/>
          <w:szCs w:val="24"/>
          <w:lang w:val="es-ES"/>
        </w:rPr>
        <w:tab/>
      </w:r>
      <w:r w:rsidRPr="00E82BAD">
        <w:rPr>
          <w:rFonts w:ascii="Gadugi" w:eastAsia="Arial MT" w:hAnsi="Gadugi" w:cs="Arial MT"/>
          <w:sz w:val="24"/>
          <w:szCs w:val="24"/>
          <w:lang w:val="es-ES"/>
        </w:rPr>
        <w:t>Jaime Alberto Saraza Naranjo</w:t>
      </w:r>
    </w:p>
    <w:bookmarkEnd w:id="0"/>
    <w:p w14:paraId="4189FAA2" w14:textId="47BA0189" w:rsidR="002271F1" w:rsidRPr="00056FDA" w:rsidRDefault="002271F1" w:rsidP="00056FDA">
      <w:pPr>
        <w:widowControl w:val="0"/>
        <w:autoSpaceDE w:val="0"/>
        <w:autoSpaceDN w:val="0"/>
        <w:spacing w:after="0" w:line="276" w:lineRule="auto"/>
        <w:ind w:left="1701" w:right="51"/>
        <w:rPr>
          <w:rFonts w:ascii="Gadugi" w:eastAsia="Arial MT" w:hAnsi="Gadugi" w:cs="Arial MT"/>
          <w:sz w:val="24"/>
          <w:szCs w:val="24"/>
          <w:lang w:val="es-ES"/>
        </w:rPr>
      </w:pPr>
      <w:r w:rsidRPr="00056FDA">
        <w:rPr>
          <w:rFonts w:ascii="Gadugi" w:eastAsia="Arial MT" w:hAnsi="Gadugi" w:cs="Arial MT"/>
          <w:sz w:val="24"/>
          <w:szCs w:val="24"/>
          <w:lang w:val="es-ES"/>
        </w:rPr>
        <w:t>Pereira,</w:t>
      </w:r>
      <w:r w:rsidR="000C3CB3" w:rsidRPr="00056FDA">
        <w:rPr>
          <w:rFonts w:ascii="Gadugi" w:eastAsia="Arial MT" w:hAnsi="Gadugi" w:cs="Arial MT"/>
          <w:sz w:val="24"/>
          <w:szCs w:val="24"/>
          <w:lang w:val="es-ES"/>
        </w:rPr>
        <w:tab/>
      </w:r>
      <w:r w:rsidR="00056FDA">
        <w:rPr>
          <w:rFonts w:ascii="Gadugi" w:eastAsia="Arial MT" w:hAnsi="Gadugi" w:cs="Arial MT"/>
          <w:sz w:val="24"/>
          <w:szCs w:val="24"/>
          <w:lang w:val="es-ES"/>
        </w:rPr>
        <w:tab/>
      </w:r>
      <w:r w:rsidR="000C3CB3" w:rsidRPr="00056FDA">
        <w:rPr>
          <w:rFonts w:ascii="Gadugi" w:eastAsia="Arial MT" w:hAnsi="Gadugi" w:cs="Arial MT"/>
          <w:sz w:val="24"/>
          <w:szCs w:val="24"/>
          <w:lang w:val="es-ES"/>
        </w:rPr>
        <w:t xml:space="preserve">Octubre cuatro de dos mil veintidós </w:t>
      </w:r>
    </w:p>
    <w:p w14:paraId="2B2C7DF0" w14:textId="45D9AE46" w:rsidR="002271F1" w:rsidRPr="00056FDA" w:rsidRDefault="002271F1" w:rsidP="00056FDA">
      <w:pPr>
        <w:widowControl w:val="0"/>
        <w:autoSpaceDE w:val="0"/>
        <w:autoSpaceDN w:val="0"/>
        <w:spacing w:after="0" w:line="276" w:lineRule="auto"/>
        <w:ind w:left="1701" w:right="51"/>
        <w:rPr>
          <w:rFonts w:ascii="Gadugi" w:eastAsia="Arial MT" w:hAnsi="Gadugi" w:cs="Arial MT"/>
          <w:sz w:val="24"/>
          <w:szCs w:val="24"/>
          <w:lang w:val="es-ES"/>
        </w:rPr>
      </w:pPr>
      <w:r w:rsidRPr="00056FDA">
        <w:rPr>
          <w:rFonts w:ascii="Gadugi" w:eastAsia="Arial MT" w:hAnsi="Gadugi" w:cs="Arial MT"/>
          <w:sz w:val="24"/>
          <w:szCs w:val="24"/>
          <w:lang w:val="es-ES"/>
        </w:rPr>
        <w:t xml:space="preserve">Acta No. </w:t>
      </w:r>
      <w:r w:rsidR="00056FDA">
        <w:rPr>
          <w:rFonts w:ascii="Gadugi" w:eastAsia="Arial MT" w:hAnsi="Gadugi" w:cs="Arial MT"/>
          <w:sz w:val="24"/>
          <w:szCs w:val="24"/>
          <w:lang w:val="es-ES"/>
        </w:rPr>
        <w:tab/>
      </w:r>
      <w:r w:rsidR="000C3CB3" w:rsidRPr="00056FDA">
        <w:rPr>
          <w:rFonts w:ascii="Gadugi" w:eastAsia="Arial MT" w:hAnsi="Gadugi" w:cs="Arial MT"/>
          <w:sz w:val="24"/>
          <w:szCs w:val="24"/>
          <w:lang w:val="es-ES"/>
        </w:rPr>
        <w:tab/>
        <w:t>492 del 4 de octubre de 2022</w:t>
      </w:r>
      <w:r w:rsidRPr="00056FDA">
        <w:rPr>
          <w:rFonts w:ascii="Gadugi" w:eastAsia="Arial MT" w:hAnsi="Gadugi" w:cs="Arial MT"/>
          <w:sz w:val="24"/>
          <w:szCs w:val="24"/>
          <w:lang w:val="es-ES"/>
        </w:rPr>
        <w:tab/>
        <w:t xml:space="preserve"> </w:t>
      </w:r>
    </w:p>
    <w:p w14:paraId="64E82D96" w14:textId="79EFDDF1" w:rsidR="002271F1" w:rsidRPr="00056FDA" w:rsidRDefault="004C215D" w:rsidP="00056FDA">
      <w:pPr>
        <w:widowControl w:val="0"/>
        <w:autoSpaceDE w:val="0"/>
        <w:autoSpaceDN w:val="0"/>
        <w:spacing w:after="0" w:line="276" w:lineRule="auto"/>
        <w:ind w:left="1701" w:right="51"/>
        <w:rPr>
          <w:rFonts w:ascii="Gadugi" w:eastAsia="Arial MT" w:hAnsi="Gadugi" w:cs="Arial MT"/>
          <w:sz w:val="24"/>
          <w:szCs w:val="24"/>
          <w:lang w:val="es-ES"/>
        </w:rPr>
      </w:pPr>
      <w:r w:rsidRPr="00056FDA">
        <w:rPr>
          <w:rFonts w:ascii="Gadugi" w:eastAsia="Arial MT" w:hAnsi="Gadugi" w:cs="Arial MT"/>
          <w:sz w:val="24"/>
          <w:szCs w:val="24"/>
          <w:lang w:val="es-ES"/>
        </w:rPr>
        <w:t xml:space="preserve">Sentencia: </w:t>
      </w:r>
      <w:r w:rsidRPr="00056FDA">
        <w:rPr>
          <w:rFonts w:ascii="Gadugi" w:eastAsia="Arial MT" w:hAnsi="Gadugi" w:cs="Arial MT"/>
          <w:sz w:val="24"/>
          <w:szCs w:val="24"/>
          <w:lang w:val="es-ES"/>
        </w:rPr>
        <w:tab/>
      </w:r>
      <w:bookmarkStart w:id="1" w:name="_GoBack"/>
      <w:r w:rsidR="000C3CB3" w:rsidRPr="00056FDA">
        <w:rPr>
          <w:rFonts w:ascii="Gadugi" w:eastAsia="Arial MT" w:hAnsi="Gadugi" w:cs="Arial MT"/>
          <w:sz w:val="24"/>
          <w:szCs w:val="24"/>
          <w:lang w:val="es-ES"/>
        </w:rPr>
        <w:t>SC-0054-2022</w:t>
      </w:r>
      <w:bookmarkEnd w:id="1"/>
    </w:p>
    <w:p w14:paraId="3A29C5AF" w14:textId="77777777" w:rsidR="002271F1" w:rsidRPr="00E82BAD" w:rsidRDefault="002271F1" w:rsidP="00E82BAD">
      <w:pPr>
        <w:tabs>
          <w:tab w:val="left" w:pos="4536"/>
        </w:tabs>
        <w:spacing w:after="0" w:line="276" w:lineRule="auto"/>
        <w:jc w:val="both"/>
        <w:rPr>
          <w:rFonts w:ascii="Gadugi" w:eastAsia="Malgun Gothic" w:hAnsi="Gadugi" w:cs="Estrangelo Edessa"/>
          <w:sz w:val="24"/>
          <w:szCs w:val="24"/>
        </w:rPr>
      </w:pPr>
    </w:p>
    <w:p w14:paraId="19EBB586" w14:textId="77777777" w:rsidR="004C215D" w:rsidRPr="00E82BAD" w:rsidRDefault="004C215D" w:rsidP="00E82BAD">
      <w:pPr>
        <w:tabs>
          <w:tab w:val="left" w:pos="4536"/>
        </w:tabs>
        <w:spacing w:after="0" w:line="276" w:lineRule="auto"/>
        <w:jc w:val="both"/>
        <w:rPr>
          <w:rFonts w:ascii="Gadugi" w:eastAsia="Malgun Gothic" w:hAnsi="Gadugi" w:cs="Estrangelo Edessa"/>
          <w:sz w:val="24"/>
          <w:szCs w:val="24"/>
        </w:rPr>
      </w:pPr>
    </w:p>
    <w:p w14:paraId="4750D59E" w14:textId="08821352" w:rsidR="0043513D" w:rsidRPr="00E82BAD" w:rsidRDefault="00F54530" w:rsidP="00E82BAD">
      <w:pPr>
        <w:tabs>
          <w:tab w:val="left" w:pos="2835"/>
        </w:tabs>
        <w:spacing w:after="0" w:line="276" w:lineRule="auto"/>
        <w:jc w:val="both"/>
        <w:rPr>
          <w:rFonts w:ascii="Gadugi" w:eastAsia="Malgun Gothic" w:hAnsi="Gadugi" w:cs="Estrangelo Edessa"/>
          <w:b/>
          <w:bCs/>
          <w:sz w:val="24"/>
          <w:szCs w:val="24"/>
        </w:rPr>
      </w:pPr>
      <w:r w:rsidRPr="00E82BAD">
        <w:rPr>
          <w:rFonts w:ascii="Gadugi" w:eastAsia="Malgun Gothic" w:hAnsi="Gadugi" w:cs="Estrangelo Edessa"/>
          <w:sz w:val="24"/>
          <w:szCs w:val="24"/>
        </w:rPr>
        <w:t>Resuelve la Sala el recurso de apelación interpuesto</w:t>
      </w:r>
      <w:r w:rsidR="002271F1" w:rsidRPr="00E82BAD">
        <w:rPr>
          <w:rFonts w:ascii="Gadugi" w:eastAsia="Malgun Gothic" w:hAnsi="Gadugi" w:cs="Estrangelo Edessa"/>
          <w:sz w:val="24"/>
          <w:szCs w:val="24"/>
        </w:rPr>
        <w:t xml:space="preserve"> contra la sentencia del </w:t>
      </w:r>
      <w:r w:rsidR="009B5888" w:rsidRPr="00E82BAD">
        <w:rPr>
          <w:rFonts w:ascii="Gadugi" w:eastAsia="Malgun Gothic" w:hAnsi="Gadugi" w:cs="Estrangelo Edessa"/>
          <w:sz w:val="24"/>
          <w:szCs w:val="24"/>
        </w:rPr>
        <w:t xml:space="preserve">28 de julio </w:t>
      </w:r>
      <w:r w:rsidR="002271F1" w:rsidRPr="00E82BAD">
        <w:rPr>
          <w:rFonts w:ascii="Gadugi" w:eastAsia="Malgun Gothic" w:hAnsi="Gadugi" w:cs="Estrangelo Edessa"/>
          <w:sz w:val="24"/>
          <w:szCs w:val="24"/>
        </w:rPr>
        <w:t>de</w:t>
      </w:r>
      <w:r w:rsidR="00196F44" w:rsidRPr="00E82BAD">
        <w:rPr>
          <w:rFonts w:ascii="Gadugi" w:eastAsia="Malgun Gothic" w:hAnsi="Gadugi" w:cs="Estrangelo Edessa"/>
          <w:sz w:val="24"/>
          <w:szCs w:val="24"/>
        </w:rPr>
        <w:t>l</w:t>
      </w:r>
      <w:r w:rsidR="002271F1" w:rsidRPr="00E82BAD">
        <w:rPr>
          <w:rFonts w:ascii="Gadugi" w:eastAsia="Malgun Gothic" w:hAnsi="Gadugi" w:cs="Estrangelo Edessa"/>
          <w:sz w:val="24"/>
          <w:szCs w:val="24"/>
        </w:rPr>
        <w:t xml:space="preserve"> 202</w:t>
      </w:r>
      <w:r w:rsidR="00196F44" w:rsidRPr="00E82BAD">
        <w:rPr>
          <w:rFonts w:ascii="Gadugi" w:eastAsia="Malgun Gothic" w:hAnsi="Gadugi" w:cs="Estrangelo Edessa"/>
          <w:sz w:val="24"/>
          <w:szCs w:val="24"/>
        </w:rPr>
        <w:t>1</w:t>
      </w:r>
      <w:r w:rsidR="002271F1" w:rsidRPr="00E82BAD">
        <w:rPr>
          <w:rFonts w:ascii="Gadugi" w:eastAsia="Malgun Gothic" w:hAnsi="Gadugi" w:cs="Estrangelo Edessa"/>
          <w:sz w:val="24"/>
          <w:szCs w:val="24"/>
        </w:rPr>
        <w:t xml:space="preserve">, proferida por el </w:t>
      </w:r>
      <w:r w:rsidR="009B5888" w:rsidRPr="00E82BAD">
        <w:rPr>
          <w:rFonts w:ascii="Gadugi" w:eastAsia="Malgun Gothic" w:hAnsi="Gadugi" w:cs="Estrangelo Edessa"/>
          <w:sz w:val="24"/>
          <w:szCs w:val="24"/>
        </w:rPr>
        <w:t xml:space="preserve">Juzgado Segundo Civil Del Circuito </w:t>
      </w:r>
      <w:r w:rsidR="0043513D" w:rsidRPr="00E82BAD">
        <w:rPr>
          <w:rFonts w:ascii="Gadugi" w:eastAsia="Malgun Gothic" w:hAnsi="Gadugi" w:cs="Estrangelo Edessa"/>
          <w:sz w:val="24"/>
          <w:szCs w:val="24"/>
        </w:rPr>
        <w:t>Pereira</w:t>
      </w:r>
      <w:r w:rsidR="00917870" w:rsidRPr="00E82BAD">
        <w:rPr>
          <w:rFonts w:ascii="Gadugi" w:eastAsia="Malgun Gothic" w:hAnsi="Gadugi" w:cs="Estrangelo Edessa"/>
          <w:sz w:val="24"/>
          <w:szCs w:val="24"/>
        </w:rPr>
        <w:t>-Risaralda,</w:t>
      </w:r>
      <w:r w:rsidR="002271F1" w:rsidRPr="00E82BAD">
        <w:rPr>
          <w:rFonts w:ascii="Gadugi" w:eastAsia="Malgun Gothic" w:hAnsi="Gadugi" w:cs="Estrangelo Edessa"/>
          <w:sz w:val="24"/>
          <w:szCs w:val="24"/>
        </w:rPr>
        <w:t xml:space="preserve"> en este proceso </w:t>
      </w:r>
      <w:r w:rsidR="009B5888" w:rsidRPr="001967D4">
        <w:rPr>
          <w:rFonts w:ascii="Gadugi" w:eastAsia="Malgun Gothic" w:hAnsi="Gadugi" w:cs="Estrangelo Edessa"/>
          <w:b/>
          <w:sz w:val="24"/>
          <w:szCs w:val="24"/>
        </w:rPr>
        <w:t>ejecutivo</w:t>
      </w:r>
      <w:r w:rsidR="009B5888" w:rsidRPr="00E82BAD">
        <w:rPr>
          <w:rFonts w:ascii="Gadugi" w:eastAsia="Malgun Gothic" w:hAnsi="Gadugi" w:cs="Estrangelo Edessa"/>
          <w:sz w:val="24"/>
          <w:szCs w:val="24"/>
        </w:rPr>
        <w:t xml:space="preserve"> </w:t>
      </w:r>
      <w:r w:rsidR="002271F1" w:rsidRPr="00E82BAD">
        <w:rPr>
          <w:rFonts w:ascii="Gadugi" w:eastAsia="Malgun Gothic" w:hAnsi="Gadugi" w:cs="Estrangelo Edessa"/>
          <w:sz w:val="24"/>
          <w:szCs w:val="24"/>
        </w:rPr>
        <w:t>que inici</w:t>
      </w:r>
      <w:r w:rsidR="00AF083D" w:rsidRPr="00E82BAD">
        <w:rPr>
          <w:rFonts w:ascii="Gadugi" w:eastAsia="Malgun Gothic" w:hAnsi="Gadugi" w:cs="Estrangelo Edessa"/>
          <w:sz w:val="24"/>
          <w:szCs w:val="24"/>
        </w:rPr>
        <w:t>o</w:t>
      </w:r>
      <w:r w:rsidR="002271F1" w:rsidRPr="00E82BAD">
        <w:rPr>
          <w:rFonts w:ascii="Gadugi" w:eastAsia="Malgun Gothic" w:hAnsi="Gadugi" w:cs="Estrangelo Edessa"/>
          <w:sz w:val="24"/>
          <w:szCs w:val="24"/>
        </w:rPr>
        <w:t xml:space="preserve"> </w:t>
      </w:r>
      <w:r w:rsidR="009B5888" w:rsidRPr="00E82BAD">
        <w:rPr>
          <w:rFonts w:ascii="Gadugi" w:eastAsia="Malgun Gothic" w:hAnsi="Gadugi" w:cs="Estrangelo Edessa"/>
          <w:b/>
          <w:bCs/>
          <w:sz w:val="24"/>
          <w:szCs w:val="24"/>
        </w:rPr>
        <w:t>C</w:t>
      </w:r>
      <w:r w:rsidR="00CC48DA" w:rsidRPr="00E82BAD">
        <w:rPr>
          <w:rFonts w:ascii="Gadugi" w:eastAsia="Malgun Gothic" w:hAnsi="Gadugi" w:cs="Estrangelo Edessa"/>
          <w:b/>
          <w:bCs/>
          <w:sz w:val="24"/>
          <w:szCs w:val="24"/>
        </w:rPr>
        <w:t>é</w:t>
      </w:r>
      <w:r w:rsidR="009B5888" w:rsidRPr="00E82BAD">
        <w:rPr>
          <w:rFonts w:ascii="Gadugi" w:eastAsia="Malgun Gothic" w:hAnsi="Gadugi" w:cs="Estrangelo Edessa"/>
          <w:b/>
          <w:bCs/>
          <w:sz w:val="24"/>
          <w:szCs w:val="24"/>
        </w:rPr>
        <w:t>sar Augusto Quiroga Londoño</w:t>
      </w:r>
      <w:r w:rsidR="00AF1B8A" w:rsidRPr="00E82BAD">
        <w:rPr>
          <w:rFonts w:ascii="Gadugi" w:eastAsia="Malgun Gothic" w:hAnsi="Gadugi" w:cs="Estrangelo Edessa"/>
          <w:b/>
          <w:bCs/>
          <w:sz w:val="24"/>
          <w:szCs w:val="24"/>
        </w:rPr>
        <w:t xml:space="preserve"> </w:t>
      </w:r>
      <w:r w:rsidR="002271F1" w:rsidRPr="00E82BAD">
        <w:rPr>
          <w:rFonts w:ascii="Gadugi" w:eastAsia="Malgun Gothic" w:hAnsi="Gadugi" w:cs="Estrangelo Edessa"/>
          <w:sz w:val="24"/>
          <w:szCs w:val="24"/>
        </w:rPr>
        <w:t>frente</w:t>
      </w:r>
      <w:r w:rsidR="002271F1" w:rsidRPr="00E82BAD">
        <w:rPr>
          <w:rFonts w:ascii="Gadugi" w:eastAsia="Malgun Gothic" w:hAnsi="Gadugi" w:cs="Estrangelo Edessa"/>
          <w:b/>
          <w:bCs/>
          <w:sz w:val="24"/>
          <w:szCs w:val="24"/>
        </w:rPr>
        <w:t xml:space="preserve"> </w:t>
      </w:r>
      <w:r w:rsidR="00AF1B8A" w:rsidRPr="00E82BAD">
        <w:rPr>
          <w:rFonts w:ascii="Gadugi" w:eastAsia="Malgun Gothic" w:hAnsi="Gadugi" w:cs="Estrangelo Edessa"/>
          <w:sz w:val="24"/>
          <w:szCs w:val="24"/>
        </w:rPr>
        <w:t>a</w:t>
      </w:r>
      <w:r w:rsidR="00AF1B8A" w:rsidRPr="00E82BAD">
        <w:rPr>
          <w:rFonts w:ascii="Gadugi" w:hAnsi="Gadugi"/>
          <w:sz w:val="24"/>
          <w:szCs w:val="24"/>
        </w:rPr>
        <w:t xml:space="preserve"> </w:t>
      </w:r>
      <w:r w:rsidR="009B5888" w:rsidRPr="00E82BAD">
        <w:rPr>
          <w:rFonts w:ascii="Gadugi" w:eastAsia="Malgun Gothic" w:hAnsi="Gadugi" w:cs="Estrangelo Edessa"/>
          <w:b/>
          <w:bCs/>
          <w:sz w:val="24"/>
          <w:szCs w:val="24"/>
        </w:rPr>
        <w:t>Martha Inés Castaño Marín</w:t>
      </w:r>
      <w:r w:rsidR="006C045D" w:rsidRPr="00E82BAD">
        <w:rPr>
          <w:rFonts w:ascii="Gadugi" w:eastAsia="Malgun Gothic" w:hAnsi="Gadugi" w:cs="Estrangelo Edessa"/>
          <w:b/>
          <w:bCs/>
          <w:sz w:val="24"/>
          <w:szCs w:val="24"/>
        </w:rPr>
        <w:t xml:space="preserve"> </w:t>
      </w:r>
      <w:r w:rsidR="006C045D" w:rsidRPr="00E82BAD">
        <w:rPr>
          <w:rFonts w:ascii="Gadugi" w:eastAsia="Malgun Gothic" w:hAnsi="Gadugi" w:cs="Estrangelo Edessa"/>
          <w:sz w:val="24"/>
          <w:szCs w:val="24"/>
        </w:rPr>
        <w:t>y</w:t>
      </w:r>
      <w:r w:rsidR="009B5888" w:rsidRPr="00E82BAD">
        <w:rPr>
          <w:rFonts w:ascii="Gadugi" w:eastAsia="Malgun Gothic" w:hAnsi="Gadugi" w:cs="Estrangelo Edessa"/>
          <w:b/>
          <w:bCs/>
          <w:sz w:val="24"/>
          <w:szCs w:val="24"/>
        </w:rPr>
        <w:t xml:space="preserve"> Darío Alex</w:t>
      </w:r>
      <w:r w:rsidR="00CC48DA" w:rsidRPr="00E82BAD">
        <w:rPr>
          <w:rFonts w:ascii="Gadugi" w:eastAsia="Malgun Gothic" w:hAnsi="Gadugi" w:cs="Estrangelo Edessa"/>
          <w:b/>
          <w:bCs/>
          <w:sz w:val="24"/>
          <w:szCs w:val="24"/>
        </w:rPr>
        <w:t>án</w:t>
      </w:r>
      <w:r w:rsidR="009B5888" w:rsidRPr="00E82BAD">
        <w:rPr>
          <w:rFonts w:ascii="Gadugi" w:eastAsia="Malgun Gothic" w:hAnsi="Gadugi" w:cs="Estrangelo Edessa"/>
          <w:b/>
          <w:bCs/>
          <w:sz w:val="24"/>
          <w:szCs w:val="24"/>
        </w:rPr>
        <w:t xml:space="preserve">der Herrera Perico </w:t>
      </w:r>
      <w:r w:rsidR="009B5888" w:rsidRPr="00E82BAD">
        <w:rPr>
          <w:rFonts w:ascii="Gadugi" w:eastAsia="Malgun Gothic" w:hAnsi="Gadugi" w:cs="Estrangelo Edessa"/>
          <w:sz w:val="24"/>
          <w:szCs w:val="24"/>
        </w:rPr>
        <w:t>(q.e.p.d.)</w:t>
      </w:r>
      <w:r w:rsidR="006C045D" w:rsidRPr="00E82BAD">
        <w:rPr>
          <w:rFonts w:ascii="Gadugi" w:eastAsia="Malgun Gothic" w:hAnsi="Gadugi" w:cs="Estrangelo Edessa"/>
          <w:b/>
          <w:bCs/>
          <w:sz w:val="24"/>
          <w:szCs w:val="24"/>
        </w:rPr>
        <w:t xml:space="preserve">, </w:t>
      </w:r>
      <w:r w:rsidR="006C045D" w:rsidRPr="00E82BAD">
        <w:rPr>
          <w:rFonts w:ascii="Gadugi" w:eastAsia="Malgun Gothic" w:hAnsi="Gadugi" w:cs="Estrangelo Edessa"/>
          <w:sz w:val="24"/>
          <w:szCs w:val="24"/>
        </w:rPr>
        <w:t>en el que fueron emplazados los herederos indeterminados de este.</w:t>
      </w:r>
    </w:p>
    <w:p w14:paraId="6F919D84" w14:textId="157A5384" w:rsidR="002271F1" w:rsidRPr="00E82BAD" w:rsidRDefault="002271F1" w:rsidP="00E82BAD">
      <w:pPr>
        <w:tabs>
          <w:tab w:val="left" w:pos="4536"/>
        </w:tabs>
        <w:spacing w:after="0" w:line="276" w:lineRule="auto"/>
        <w:jc w:val="both"/>
        <w:rPr>
          <w:rFonts w:ascii="Gadugi" w:eastAsia="Malgun Gothic" w:hAnsi="Gadugi" w:cs="Estrangelo Edessa"/>
          <w:b/>
          <w:sz w:val="24"/>
          <w:szCs w:val="24"/>
        </w:rPr>
      </w:pPr>
    </w:p>
    <w:p w14:paraId="47D39826" w14:textId="33CB3391" w:rsidR="002271F1" w:rsidRPr="00E82BAD" w:rsidRDefault="002271F1" w:rsidP="00E82BAD">
      <w:pPr>
        <w:pStyle w:val="Prrafodelista"/>
        <w:numPr>
          <w:ilvl w:val="0"/>
          <w:numId w:val="1"/>
        </w:numPr>
        <w:tabs>
          <w:tab w:val="left" w:pos="426"/>
        </w:tabs>
        <w:spacing w:after="0" w:line="276" w:lineRule="auto"/>
        <w:ind w:left="0" w:firstLine="0"/>
        <w:jc w:val="both"/>
        <w:rPr>
          <w:rFonts w:ascii="Gadugi" w:eastAsia="Malgun Gothic" w:hAnsi="Gadugi" w:cs="Estrangelo Edessa"/>
          <w:b/>
          <w:sz w:val="24"/>
          <w:szCs w:val="24"/>
        </w:rPr>
      </w:pPr>
      <w:r w:rsidRPr="00E82BAD">
        <w:rPr>
          <w:rFonts w:ascii="Gadugi" w:eastAsia="Malgun Gothic" w:hAnsi="Gadugi" w:cs="Estrangelo Edessa"/>
          <w:b/>
          <w:sz w:val="24"/>
          <w:szCs w:val="24"/>
        </w:rPr>
        <w:t>ANTECEDENTES</w:t>
      </w:r>
    </w:p>
    <w:p w14:paraId="15860CD5" w14:textId="52A701F9" w:rsidR="004C215D" w:rsidRPr="00E82BAD" w:rsidRDefault="004C215D" w:rsidP="00E82BAD">
      <w:pPr>
        <w:pStyle w:val="Prrafodelista"/>
        <w:tabs>
          <w:tab w:val="left" w:pos="426"/>
          <w:tab w:val="left" w:pos="4536"/>
        </w:tabs>
        <w:spacing w:after="0" w:line="276" w:lineRule="auto"/>
        <w:ind w:left="0"/>
        <w:jc w:val="both"/>
        <w:rPr>
          <w:rFonts w:ascii="Gadugi" w:eastAsia="Malgun Gothic" w:hAnsi="Gadugi" w:cs="Estrangelo Edessa"/>
          <w:b/>
          <w:sz w:val="24"/>
          <w:szCs w:val="24"/>
        </w:rPr>
      </w:pPr>
    </w:p>
    <w:p w14:paraId="1B80D721" w14:textId="571C06CB" w:rsidR="002271F1" w:rsidRPr="00E82BAD" w:rsidRDefault="001019AB" w:rsidP="00E82BAD">
      <w:pPr>
        <w:pStyle w:val="Prrafodelista"/>
        <w:numPr>
          <w:ilvl w:val="1"/>
          <w:numId w:val="1"/>
        </w:numPr>
        <w:tabs>
          <w:tab w:val="left" w:pos="426"/>
          <w:tab w:val="left" w:pos="2268"/>
        </w:tabs>
        <w:spacing w:after="0" w:line="276" w:lineRule="auto"/>
        <w:ind w:left="0" w:firstLine="0"/>
        <w:jc w:val="both"/>
        <w:rPr>
          <w:rStyle w:val="normaltextrun"/>
          <w:rFonts w:ascii="Gadugi" w:hAnsi="Gadugi"/>
          <w:sz w:val="24"/>
          <w:szCs w:val="24"/>
        </w:rPr>
      </w:pPr>
      <w:r w:rsidRPr="00E82BAD">
        <w:rPr>
          <w:rFonts w:ascii="Gadugi" w:eastAsia="Malgun Gothic" w:hAnsi="Gadugi" w:cs="Estrangelo Edessa"/>
          <w:b/>
          <w:sz w:val="24"/>
          <w:szCs w:val="24"/>
        </w:rPr>
        <w:lastRenderedPageBreak/>
        <w:t xml:space="preserve"> </w:t>
      </w:r>
      <w:r w:rsidR="002271F1" w:rsidRPr="00E82BAD">
        <w:rPr>
          <w:rFonts w:ascii="Gadugi" w:eastAsia="Malgun Gothic" w:hAnsi="Gadugi" w:cs="Estrangelo Edessa"/>
          <w:b/>
          <w:sz w:val="24"/>
          <w:szCs w:val="24"/>
        </w:rPr>
        <w:t>Hechos</w:t>
      </w:r>
      <w:r w:rsidR="006C045D" w:rsidRPr="00E82BAD">
        <w:rPr>
          <w:rStyle w:val="Refdenotaalpie"/>
          <w:rFonts w:ascii="Gadugi" w:eastAsia="Malgun Gothic" w:hAnsi="Gadugi" w:cs="Estrangelo Edessa"/>
          <w:bCs/>
          <w:sz w:val="24"/>
          <w:szCs w:val="24"/>
        </w:rPr>
        <w:footnoteReference w:id="1"/>
      </w:r>
      <w:r w:rsidR="0043513D" w:rsidRPr="00E82BAD">
        <w:rPr>
          <w:rStyle w:val="normaltextrun"/>
          <w:rFonts w:ascii="Gadugi" w:hAnsi="Gadugi"/>
          <w:bCs/>
          <w:color w:val="000000"/>
          <w:sz w:val="24"/>
          <w:szCs w:val="24"/>
          <w:shd w:val="clear" w:color="auto" w:fill="FFFFFF"/>
        </w:rPr>
        <w:t xml:space="preserve"> </w:t>
      </w:r>
    </w:p>
    <w:p w14:paraId="38C9C0FD" w14:textId="77777777" w:rsidR="002271F1" w:rsidRPr="00E82BAD" w:rsidRDefault="002271F1" w:rsidP="00E82BAD">
      <w:pPr>
        <w:pStyle w:val="Prrafodelista"/>
        <w:tabs>
          <w:tab w:val="left" w:pos="3402"/>
        </w:tabs>
        <w:spacing w:after="0" w:line="276" w:lineRule="auto"/>
        <w:ind w:left="0"/>
        <w:jc w:val="both"/>
        <w:rPr>
          <w:rStyle w:val="normaltextrun"/>
          <w:rFonts w:ascii="Gadugi" w:eastAsia="Malgun Gothic" w:hAnsi="Gadugi" w:cs="Estrangelo Edessa"/>
          <w:b/>
          <w:sz w:val="24"/>
          <w:szCs w:val="24"/>
        </w:rPr>
      </w:pPr>
    </w:p>
    <w:p w14:paraId="42BB9EDC" w14:textId="013BE4E4" w:rsidR="00164000" w:rsidRPr="00E82BAD" w:rsidRDefault="006C045D" w:rsidP="00E82BAD">
      <w:pPr>
        <w:tabs>
          <w:tab w:val="left" w:pos="4536"/>
        </w:tabs>
        <w:spacing w:after="0" w:line="276" w:lineRule="auto"/>
        <w:jc w:val="both"/>
        <w:rPr>
          <w:rFonts w:ascii="Gadugi" w:eastAsia="Malgun Gothic" w:hAnsi="Gadugi" w:cs="Estrangelo Edessa"/>
          <w:sz w:val="24"/>
          <w:szCs w:val="24"/>
        </w:rPr>
      </w:pPr>
      <w:r w:rsidRPr="00E82BAD">
        <w:rPr>
          <w:rFonts w:ascii="Gadugi" w:eastAsia="Malgun Gothic" w:hAnsi="Gadugi" w:cs="Estrangelo Edessa"/>
          <w:sz w:val="24"/>
          <w:szCs w:val="24"/>
        </w:rPr>
        <w:t xml:space="preserve">Señala la demanda que </w:t>
      </w:r>
      <w:r w:rsidR="00DE1F75" w:rsidRPr="00E82BAD">
        <w:rPr>
          <w:rFonts w:ascii="Gadugi" w:eastAsia="Malgun Gothic" w:hAnsi="Gadugi" w:cs="Estrangelo Edessa"/>
          <w:sz w:val="24"/>
          <w:szCs w:val="24"/>
        </w:rPr>
        <w:t>Darío Alex</w:t>
      </w:r>
      <w:r w:rsidR="00CC48DA" w:rsidRPr="00E82BAD">
        <w:rPr>
          <w:rFonts w:ascii="Gadugi" w:eastAsia="Malgun Gothic" w:hAnsi="Gadugi" w:cs="Estrangelo Edessa"/>
          <w:sz w:val="24"/>
          <w:szCs w:val="24"/>
        </w:rPr>
        <w:t>á</w:t>
      </w:r>
      <w:r w:rsidR="00DE1F75" w:rsidRPr="00E82BAD">
        <w:rPr>
          <w:rFonts w:ascii="Gadugi" w:eastAsia="Malgun Gothic" w:hAnsi="Gadugi" w:cs="Estrangelo Edessa"/>
          <w:sz w:val="24"/>
          <w:szCs w:val="24"/>
        </w:rPr>
        <w:t xml:space="preserve">nder Herrera Perico </w:t>
      </w:r>
      <w:r w:rsidRPr="00E82BAD">
        <w:rPr>
          <w:rFonts w:ascii="Gadugi" w:eastAsia="Malgun Gothic" w:hAnsi="Gadugi" w:cs="Estrangelo Edessa"/>
          <w:sz w:val="24"/>
          <w:szCs w:val="24"/>
        </w:rPr>
        <w:t xml:space="preserve">solicitó un préstamo </w:t>
      </w:r>
      <w:r w:rsidR="00DE1F75" w:rsidRPr="00E82BAD">
        <w:rPr>
          <w:rFonts w:ascii="Gadugi" w:eastAsia="Malgun Gothic" w:hAnsi="Gadugi" w:cs="Estrangelo Edessa"/>
          <w:sz w:val="24"/>
          <w:szCs w:val="24"/>
        </w:rPr>
        <w:t>el 8 de noviembre de 2012</w:t>
      </w:r>
      <w:r w:rsidRPr="00E82BAD">
        <w:rPr>
          <w:rFonts w:ascii="Gadugi" w:eastAsia="Malgun Gothic" w:hAnsi="Gadugi" w:cs="Estrangelo Edessa"/>
          <w:sz w:val="24"/>
          <w:szCs w:val="24"/>
        </w:rPr>
        <w:t xml:space="preserve"> al ejecutante César Augusto </w:t>
      </w:r>
      <w:r w:rsidR="00164000" w:rsidRPr="00E82BAD">
        <w:rPr>
          <w:rFonts w:ascii="Gadugi" w:eastAsia="Malgun Gothic" w:hAnsi="Gadugi" w:cs="Estrangelo Edessa"/>
          <w:sz w:val="24"/>
          <w:szCs w:val="24"/>
        </w:rPr>
        <w:t>Quiroga Londoño, por la suma de $65’000.000,</w:t>
      </w:r>
      <w:r w:rsidR="00056FDA">
        <w:rPr>
          <w:rFonts w:ascii="Gadugi" w:eastAsia="Malgun Gothic" w:hAnsi="Gadugi" w:cs="Estrangelo Edessa"/>
          <w:sz w:val="24"/>
          <w:szCs w:val="24"/>
        </w:rPr>
        <w:t>00</w:t>
      </w:r>
      <w:r w:rsidR="00164000" w:rsidRPr="00E82BAD">
        <w:rPr>
          <w:rFonts w:ascii="Gadugi" w:eastAsia="Malgun Gothic" w:hAnsi="Gadugi" w:cs="Estrangelo Edessa"/>
          <w:sz w:val="24"/>
          <w:szCs w:val="24"/>
        </w:rPr>
        <w:t xml:space="preserve">, que garantizaría con prenda sobre el vehículo de placas WHN 106; se suscribió para el efecto una letra de cambio, en compañía de Martha Inés Castaño Marín. </w:t>
      </w:r>
    </w:p>
    <w:p w14:paraId="127C6902" w14:textId="77777777" w:rsidR="00164000" w:rsidRPr="00E82BAD" w:rsidRDefault="00164000" w:rsidP="00E82BAD">
      <w:pPr>
        <w:tabs>
          <w:tab w:val="left" w:pos="4536"/>
        </w:tabs>
        <w:spacing w:after="0" w:line="276" w:lineRule="auto"/>
        <w:jc w:val="both"/>
        <w:rPr>
          <w:rFonts w:ascii="Gadugi" w:eastAsia="Malgun Gothic" w:hAnsi="Gadugi" w:cs="Estrangelo Edessa"/>
          <w:sz w:val="24"/>
          <w:szCs w:val="24"/>
        </w:rPr>
      </w:pPr>
    </w:p>
    <w:p w14:paraId="01F8C6BA" w14:textId="106E2D59" w:rsidR="00303E02" w:rsidRPr="00E82BAD" w:rsidRDefault="00164000" w:rsidP="00E82BAD">
      <w:pPr>
        <w:tabs>
          <w:tab w:val="left" w:pos="4536"/>
        </w:tabs>
        <w:spacing w:after="0" w:line="276" w:lineRule="auto"/>
        <w:jc w:val="both"/>
        <w:rPr>
          <w:rFonts w:ascii="Gadugi" w:hAnsi="Gadugi"/>
          <w:sz w:val="24"/>
          <w:szCs w:val="24"/>
        </w:rPr>
      </w:pPr>
      <w:r w:rsidRPr="00E82BAD">
        <w:rPr>
          <w:rFonts w:ascii="Gadugi" w:eastAsia="Malgun Gothic" w:hAnsi="Gadugi" w:cs="Estrangelo Edessa"/>
          <w:sz w:val="24"/>
          <w:szCs w:val="24"/>
        </w:rPr>
        <w:t>Luego, el señor Herrera Perico solicitó un nuevo préstamo, por valor de $35’000.000,</w:t>
      </w:r>
      <w:r w:rsidR="00056FDA">
        <w:rPr>
          <w:rFonts w:ascii="Gadugi" w:eastAsia="Malgun Gothic" w:hAnsi="Gadugi" w:cs="Estrangelo Edessa"/>
          <w:sz w:val="24"/>
          <w:szCs w:val="24"/>
        </w:rPr>
        <w:t>00</w:t>
      </w:r>
      <w:r w:rsidRPr="00E82BAD">
        <w:rPr>
          <w:rFonts w:ascii="Gadugi" w:eastAsia="Malgun Gothic" w:hAnsi="Gadugi" w:cs="Estrangelo Edessa"/>
          <w:sz w:val="24"/>
          <w:szCs w:val="24"/>
        </w:rPr>
        <w:t xml:space="preserve"> y suscribió otra letra el 5 de diciembre de 2012. </w:t>
      </w:r>
      <w:r w:rsidR="008A5449" w:rsidRPr="00E82BAD">
        <w:rPr>
          <w:rFonts w:ascii="Gadugi" w:eastAsia="Malgun Gothic" w:hAnsi="Gadugi" w:cs="Estrangelo Edessa"/>
          <w:sz w:val="24"/>
          <w:szCs w:val="24"/>
        </w:rPr>
        <w:t>También</w:t>
      </w:r>
      <w:r w:rsidR="00831E1D" w:rsidRPr="00E82BAD">
        <w:rPr>
          <w:rFonts w:ascii="Gadugi" w:hAnsi="Gadugi"/>
          <w:sz w:val="24"/>
          <w:szCs w:val="24"/>
        </w:rPr>
        <w:t xml:space="preserve"> </w:t>
      </w:r>
      <w:r w:rsidRPr="00E82BAD">
        <w:rPr>
          <w:rFonts w:ascii="Gadugi" w:hAnsi="Gadugi"/>
          <w:sz w:val="24"/>
          <w:szCs w:val="24"/>
        </w:rPr>
        <w:t>le solicitó autorización al acreedor para vender el vehículo sin levanta</w:t>
      </w:r>
      <w:r w:rsidR="008A5449" w:rsidRPr="00E82BAD">
        <w:rPr>
          <w:rFonts w:ascii="Gadugi" w:hAnsi="Gadugi"/>
          <w:sz w:val="24"/>
          <w:szCs w:val="24"/>
        </w:rPr>
        <w:t>r</w:t>
      </w:r>
      <w:r w:rsidRPr="00E82BAD">
        <w:rPr>
          <w:rFonts w:ascii="Gadugi" w:hAnsi="Gadugi"/>
          <w:sz w:val="24"/>
          <w:szCs w:val="24"/>
        </w:rPr>
        <w:t xml:space="preserve"> la prenda, de acuerdo con el poder que le otorgó Martha Inés Castaño Marín</w:t>
      </w:r>
      <w:r w:rsidR="00303E02" w:rsidRPr="00E82BAD">
        <w:rPr>
          <w:rFonts w:ascii="Gadugi" w:hAnsi="Gadugi"/>
          <w:sz w:val="24"/>
          <w:szCs w:val="24"/>
        </w:rPr>
        <w:t xml:space="preserve">, por lo que se convirtieron en deudores solidarios. </w:t>
      </w:r>
    </w:p>
    <w:p w14:paraId="714D21F1" w14:textId="77777777" w:rsidR="00303E02" w:rsidRPr="00E82BAD" w:rsidRDefault="00303E02" w:rsidP="00E82BAD">
      <w:pPr>
        <w:pStyle w:val="Prrafodelista"/>
        <w:tabs>
          <w:tab w:val="left" w:pos="3402"/>
        </w:tabs>
        <w:spacing w:after="0" w:line="276" w:lineRule="auto"/>
        <w:ind w:left="0"/>
        <w:jc w:val="both"/>
        <w:rPr>
          <w:rFonts w:ascii="Gadugi" w:hAnsi="Gadugi"/>
          <w:sz w:val="24"/>
          <w:szCs w:val="24"/>
        </w:rPr>
      </w:pPr>
    </w:p>
    <w:p w14:paraId="3D495BC0" w14:textId="0B393922" w:rsidR="00607638" w:rsidRPr="00E82BAD" w:rsidRDefault="00303E02" w:rsidP="00E82BAD">
      <w:pPr>
        <w:pStyle w:val="Prrafodelista"/>
        <w:tabs>
          <w:tab w:val="left" w:pos="3402"/>
        </w:tabs>
        <w:spacing w:after="0" w:line="276" w:lineRule="auto"/>
        <w:ind w:left="0"/>
        <w:jc w:val="both"/>
        <w:rPr>
          <w:rFonts w:ascii="Gadugi" w:hAnsi="Gadugi"/>
          <w:sz w:val="24"/>
          <w:szCs w:val="24"/>
        </w:rPr>
      </w:pPr>
      <w:r w:rsidRPr="00E82BAD">
        <w:rPr>
          <w:rFonts w:ascii="Gadugi" w:hAnsi="Gadugi"/>
          <w:sz w:val="24"/>
          <w:szCs w:val="24"/>
        </w:rPr>
        <w:t xml:space="preserve">Los </w:t>
      </w:r>
      <w:r w:rsidR="0037267B" w:rsidRPr="00E82BAD">
        <w:rPr>
          <w:rFonts w:ascii="Gadugi" w:hAnsi="Gadugi"/>
          <w:sz w:val="24"/>
          <w:szCs w:val="24"/>
        </w:rPr>
        <w:t>intereses se establecieron</w:t>
      </w:r>
      <w:r w:rsidRPr="00E82BAD">
        <w:rPr>
          <w:rFonts w:ascii="Gadugi" w:hAnsi="Gadugi"/>
          <w:sz w:val="24"/>
          <w:szCs w:val="24"/>
        </w:rPr>
        <w:t>,</w:t>
      </w:r>
      <w:r w:rsidR="0037267B" w:rsidRPr="00E82BAD">
        <w:rPr>
          <w:rFonts w:ascii="Gadugi" w:hAnsi="Gadugi"/>
          <w:sz w:val="24"/>
          <w:szCs w:val="24"/>
        </w:rPr>
        <w:t xml:space="preserve"> conforme a la cláusula sexta del contrato</w:t>
      </w:r>
      <w:r w:rsidRPr="00E82BAD">
        <w:rPr>
          <w:rFonts w:ascii="Gadugi" w:hAnsi="Gadugi"/>
          <w:sz w:val="24"/>
          <w:szCs w:val="24"/>
        </w:rPr>
        <w:t xml:space="preserve">, a la tasa máxima </w:t>
      </w:r>
      <w:r w:rsidR="00FC75D3" w:rsidRPr="00E82BAD">
        <w:rPr>
          <w:rFonts w:ascii="Gadugi" w:hAnsi="Gadugi"/>
          <w:sz w:val="24"/>
          <w:szCs w:val="24"/>
        </w:rPr>
        <w:t>permitida</w:t>
      </w:r>
      <w:r w:rsidRPr="00E82BAD">
        <w:rPr>
          <w:rFonts w:ascii="Gadugi" w:hAnsi="Gadugi"/>
          <w:sz w:val="24"/>
          <w:szCs w:val="24"/>
        </w:rPr>
        <w:t xml:space="preserve"> por la ley y se acordó que la prenda tendría por </w:t>
      </w:r>
      <w:r w:rsidR="00607638" w:rsidRPr="00E82BAD">
        <w:rPr>
          <w:rFonts w:ascii="Gadugi" w:hAnsi="Gadugi"/>
          <w:sz w:val="24"/>
          <w:szCs w:val="24"/>
        </w:rPr>
        <w:t xml:space="preserve">objeto garantizar obligaciones presentes y futuras a cargo del deudor, </w:t>
      </w:r>
      <w:r w:rsidR="00FC75D3" w:rsidRPr="00E82BAD">
        <w:rPr>
          <w:rFonts w:ascii="Gadugi" w:hAnsi="Gadugi"/>
          <w:sz w:val="24"/>
          <w:szCs w:val="24"/>
        </w:rPr>
        <w:t>contenidas en</w:t>
      </w:r>
      <w:r w:rsidRPr="00E82BAD">
        <w:rPr>
          <w:rFonts w:ascii="Gadugi" w:hAnsi="Gadugi"/>
          <w:sz w:val="24"/>
          <w:szCs w:val="24"/>
        </w:rPr>
        <w:t xml:space="preserve"> </w:t>
      </w:r>
      <w:r w:rsidR="00607638" w:rsidRPr="00E82BAD">
        <w:rPr>
          <w:rFonts w:ascii="Gadugi" w:hAnsi="Gadugi"/>
          <w:sz w:val="24"/>
          <w:szCs w:val="24"/>
        </w:rPr>
        <w:t>pagar</w:t>
      </w:r>
      <w:r w:rsidRPr="00E82BAD">
        <w:rPr>
          <w:rFonts w:ascii="Gadugi" w:hAnsi="Gadugi"/>
          <w:sz w:val="24"/>
          <w:szCs w:val="24"/>
        </w:rPr>
        <w:t>é</w:t>
      </w:r>
      <w:r w:rsidR="00607638" w:rsidRPr="00E82BAD">
        <w:rPr>
          <w:rFonts w:ascii="Gadugi" w:hAnsi="Gadugi"/>
          <w:sz w:val="24"/>
          <w:szCs w:val="24"/>
        </w:rPr>
        <w:t>s, letras de cambio o cualquier otro título, y hasta la cuantía indicada.</w:t>
      </w:r>
    </w:p>
    <w:p w14:paraId="6F66F13D" w14:textId="77777777" w:rsidR="00607638" w:rsidRPr="00E82BAD" w:rsidRDefault="00607638" w:rsidP="00E82BAD">
      <w:pPr>
        <w:pStyle w:val="Prrafodelista"/>
        <w:tabs>
          <w:tab w:val="left" w:pos="3402"/>
        </w:tabs>
        <w:spacing w:after="0" w:line="276" w:lineRule="auto"/>
        <w:ind w:left="0"/>
        <w:jc w:val="both"/>
        <w:rPr>
          <w:rFonts w:ascii="Gadugi" w:hAnsi="Gadugi"/>
          <w:sz w:val="24"/>
          <w:szCs w:val="24"/>
        </w:rPr>
      </w:pPr>
    </w:p>
    <w:p w14:paraId="0338FB98" w14:textId="36DD004A" w:rsidR="005E1524" w:rsidRPr="00E82BAD" w:rsidRDefault="00303E02" w:rsidP="00E82BAD">
      <w:pPr>
        <w:pStyle w:val="Prrafodelista"/>
        <w:tabs>
          <w:tab w:val="left" w:pos="3402"/>
        </w:tabs>
        <w:spacing w:after="0" w:line="276" w:lineRule="auto"/>
        <w:ind w:left="0"/>
        <w:jc w:val="both"/>
        <w:rPr>
          <w:rFonts w:ascii="Gadugi" w:eastAsia="Malgun Gothic" w:hAnsi="Gadugi" w:cs="Estrangelo Edessa"/>
          <w:sz w:val="24"/>
          <w:szCs w:val="24"/>
        </w:rPr>
      </w:pPr>
      <w:r w:rsidRPr="00E82BAD">
        <w:rPr>
          <w:rFonts w:ascii="Gadugi" w:hAnsi="Gadugi"/>
          <w:sz w:val="24"/>
          <w:szCs w:val="24"/>
        </w:rPr>
        <w:t>Los demandados pagaron intereses hasta el 16 de mayo de 2016</w:t>
      </w:r>
      <w:r w:rsidR="00FC75D3" w:rsidRPr="00E82BAD">
        <w:rPr>
          <w:rFonts w:ascii="Gadugi" w:hAnsi="Gadugi"/>
          <w:sz w:val="24"/>
          <w:szCs w:val="24"/>
        </w:rPr>
        <w:t xml:space="preserve">. </w:t>
      </w:r>
    </w:p>
    <w:p w14:paraId="472E4B8F" w14:textId="77777777" w:rsidR="0001427B" w:rsidRPr="00E82BAD" w:rsidRDefault="0001427B" w:rsidP="00E82BAD">
      <w:pPr>
        <w:tabs>
          <w:tab w:val="left" w:pos="3402"/>
        </w:tabs>
        <w:spacing w:after="0" w:line="276" w:lineRule="auto"/>
        <w:jc w:val="both"/>
        <w:rPr>
          <w:rFonts w:ascii="Gadugi" w:eastAsia="Malgun Gothic" w:hAnsi="Gadugi" w:cs="Estrangelo Edessa"/>
          <w:sz w:val="24"/>
          <w:szCs w:val="24"/>
        </w:rPr>
      </w:pPr>
    </w:p>
    <w:p w14:paraId="7B787D5F" w14:textId="693D8784" w:rsidR="00D43685" w:rsidRPr="00E82BAD" w:rsidRDefault="001019AB" w:rsidP="00E82BAD">
      <w:pPr>
        <w:pStyle w:val="Prrafodelista"/>
        <w:numPr>
          <w:ilvl w:val="1"/>
          <w:numId w:val="1"/>
        </w:numPr>
        <w:tabs>
          <w:tab w:val="left" w:pos="426"/>
        </w:tabs>
        <w:spacing w:after="0" w:line="276" w:lineRule="auto"/>
        <w:ind w:left="0" w:firstLine="0"/>
        <w:jc w:val="both"/>
        <w:rPr>
          <w:rStyle w:val="normaltextrun"/>
          <w:rFonts w:ascii="Gadugi" w:eastAsia="Calibri" w:hAnsi="Gadugi" w:cs="Times New Roman"/>
          <w:sz w:val="24"/>
          <w:szCs w:val="24"/>
        </w:rPr>
      </w:pPr>
      <w:r w:rsidRPr="00E82BAD">
        <w:rPr>
          <w:rFonts w:ascii="Gadugi" w:eastAsia="Calibri" w:hAnsi="Gadugi" w:cs="Times New Roman"/>
          <w:b/>
          <w:sz w:val="24"/>
          <w:szCs w:val="24"/>
        </w:rPr>
        <w:t xml:space="preserve"> </w:t>
      </w:r>
      <w:r w:rsidR="002271F1" w:rsidRPr="00E82BAD">
        <w:rPr>
          <w:rFonts w:ascii="Gadugi" w:eastAsia="Calibri" w:hAnsi="Gadugi" w:cs="Times New Roman"/>
          <w:b/>
          <w:sz w:val="24"/>
          <w:szCs w:val="24"/>
        </w:rPr>
        <w:t>Pretensiones</w:t>
      </w:r>
      <w:r w:rsidR="00D43685" w:rsidRPr="00E82BAD">
        <w:rPr>
          <w:rStyle w:val="Refdenotaalpie"/>
          <w:rFonts w:ascii="Gadugi" w:eastAsia="Calibri" w:hAnsi="Gadugi" w:cs="Times New Roman"/>
          <w:b/>
          <w:sz w:val="24"/>
          <w:szCs w:val="24"/>
        </w:rPr>
        <w:footnoteReference w:id="2"/>
      </w:r>
      <w:r w:rsidR="002271F1" w:rsidRPr="00E82BAD">
        <w:rPr>
          <w:rFonts w:ascii="Gadugi" w:eastAsia="Calibri" w:hAnsi="Gadugi" w:cs="Times New Roman"/>
          <w:b/>
          <w:sz w:val="24"/>
          <w:szCs w:val="24"/>
        </w:rPr>
        <w:t xml:space="preserve">. </w:t>
      </w:r>
    </w:p>
    <w:p w14:paraId="6C61C7CE" w14:textId="77777777" w:rsidR="00D43685" w:rsidRPr="00E82BAD" w:rsidRDefault="00D43685" w:rsidP="00E82BAD">
      <w:pPr>
        <w:tabs>
          <w:tab w:val="left" w:pos="3402"/>
        </w:tabs>
        <w:spacing w:after="0" w:line="276" w:lineRule="auto"/>
        <w:jc w:val="both"/>
        <w:rPr>
          <w:rFonts w:ascii="Gadugi" w:eastAsia="Calibri" w:hAnsi="Gadugi" w:cs="Times New Roman"/>
          <w:sz w:val="24"/>
          <w:szCs w:val="24"/>
        </w:rPr>
      </w:pPr>
    </w:p>
    <w:p w14:paraId="04C86F1F" w14:textId="5760EBC7" w:rsidR="00D43685" w:rsidRPr="00E82BAD" w:rsidRDefault="00D43685" w:rsidP="00E82BAD">
      <w:pPr>
        <w:tabs>
          <w:tab w:val="left" w:pos="3402"/>
        </w:tabs>
        <w:spacing w:after="0" w:line="276" w:lineRule="auto"/>
        <w:jc w:val="both"/>
        <w:rPr>
          <w:rFonts w:ascii="Gadugi" w:eastAsia="Calibri" w:hAnsi="Gadugi" w:cs="Times New Roman"/>
          <w:sz w:val="24"/>
          <w:szCs w:val="24"/>
        </w:rPr>
      </w:pPr>
      <w:r w:rsidRPr="00E82BAD">
        <w:rPr>
          <w:rFonts w:ascii="Gadugi" w:eastAsia="Calibri" w:hAnsi="Gadugi" w:cs="Times New Roman"/>
          <w:sz w:val="24"/>
          <w:szCs w:val="24"/>
        </w:rPr>
        <w:t xml:space="preserve">Pidió que se librara mandamiento ejecutivo contra los demandados por las sumas indicadas, una en contra de ambos, y la otra, solo a cargo de Darío Alexánder Herrera Perico, más los intereses de mora. Además, que se impusieran las costas del proceso a los ejecutados.  </w:t>
      </w:r>
    </w:p>
    <w:p w14:paraId="0D20A2A2" w14:textId="77777777" w:rsidR="00D43685" w:rsidRPr="00E82BAD" w:rsidRDefault="00D43685" w:rsidP="00E82BAD">
      <w:pPr>
        <w:tabs>
          <w:tab w:val="left" w:pos="3402"/>
        </w:tabs>
        <w:spacing w:after="0" w:line="276" w:lineRule="auto"/>
        <w:jc w:val="both"/>
        <w:rPr>
          <w:rFonts w:ascii="Gadugi" w:eastAsia="Calibri" w:hAnsi="Gadugi" w:cs="Times New Roman"/>
          <w:sz w:val="24"/>
          <w:szCs w:val="24"/>
        </w:rPr>
      </w:pPr>
    </w:p>
    <w:p w14:paraId="4021259E" w14:textId="3251DDC1" w:rsidR="002271F1" w:rsidRPr="00E82BAD" w:rsidRDefault="002271F1" w:rsidP="00E82BAD">
      <w:pPr>
        <w:pStyle w:val="Prrafodelista"/>
        <w:numPr>
          <w:ilvl w:val="1"/>
          <w:numId w:val="1"/>
        </w:numPr>
        <w:tabs>
          <w:tab w:val="left" w:pos="567"/>
        </w:tabs>
        <w:spacing w:after="0" w:line="276" w:lineRule="auto"/>
        <w:ind w:left="0" w:firstLine="0"/>
        <w:jc w:val="both"/>
        <w:rPr>
          <w:rFonts w:ascii="Gadugi" w:eastAsia="Calibri" w:hAnsi="Gadugi" w:cs="Times New Roman"/>
          <w:b/>
          <w:sz w:val="24"/>
          <w:szCs w:val="24"/>
        </w:rPr>
      </w:pPr>
      <w:r w:rsidRPr="00E82BAD">
        <w:rPr>
          <w:rFonts w:ascii="Gadugi" w:eastAsia="Calibri" w:hAnsi="Gadugi" w:cs="Times New Roman"/>
          <w:b/>
          <w:sz w:val="24"/>
          <w:szCs w:val="24"/>
        </w:rPr>
        <w:t>Trámite.</w:t>
      </w:r>
    </w:p>
    <w:p w14:paraId="52AD075F" w14:textId="77777777" w:rsidR="002271F1" w:rsidRPr="00E82BAD" w:rsidRDefault="002271F1" w:rsidP="00E82BAD">
      <w:pPr>
        <w:spacing w:after="0" w:line="276" w:lineRule="auto"/>
        <w:jc w:val="both"/>
        <w:rPr>
          <w:rFonts w:ascii="Gadugi" w:eastAsia="Calibri" w:hAnsi="Gadugi" w:cs="Times New Roman"/>
          <w:sz w:val="24"/>
          <w:szCs w:val="24"/>
        </w:rPr>
      </w:pPr>
    </w:p>
    <w:p w14:paraId="0B1A56B5" w14:textId="27E19B93" w:rsidR="00F46481" w:rsidRPr="00E82BAD" w:rsidRDefault="00B1585B" w:rsidP="00E82BAD">
      <w:pPr>
        <w:spacing w:after="0" w:line="276" w:lineRule="auto"/>
        <w:jc w:val="both"/>
        <w:rPr>
          <w:rFonts w:ascii="Gadugi" w:eastAsia="Calibri" w:hAnsi="Gadugi" w:cs="Times New Roman"/>
          <w:sz w:val="24"/>
          <w:szCs w:val="24"/>
        </w:rPr>
      </w:pPr>
      <w:r w:rsidRPr="00E82BAD">
        <w:rPr>
          <w:rFonts w:ascii="Gadugi" w:eastAsia="Calibri" w:hAnsi="Gadugi" w:cs="Times New Roman"/>
          <w:sz w:val="24"/>
          <w:szCs w:val="24"/>
        </w:rPr>
        <w:t xml:space="preserve">Se libró mandamiento ejecutivo el 2 de abril de </w:t>
      </w:r>
      <w:r w:rsidR="00A03C04" w:rsidRPr="00E82BAD">
        <w:rPr>
          <w:rFonts w:ascii="Gadugi" w:eastAsia="Calibri" w:hAnsi="Gadugi" w:cs="Times New Roman"/>
          <w:sz w:val="24"/>
          <w:szCs w:val="24"/>
        </w:rPr>
        <w:t>2018</w:t>
      </w:r>
      <w:r w:rsidRPr="00E82BAD">
        <w:rPr>
          <w:rStyle w:val="Refdenotaalpie"/>
          <w:rFonts w:ascii="Gadugi" w:eastAsia="Calibri" w:hAnsi="Gadugi" w:cs="Times New Roman"/>
          <w:sz w:val="24"/>
          <w:szCs w:val="24"/>
        </w:rPr>
        <w:footnoteReference w:id="3"/>
      </w:r>
      <w:r w:rsidRPr="00E82BAD">
        <w:rPr>
          <w:rFonts w:ascii="Gadugi" w:eastAsia="Calibri" w:hAnsi="Gadugi" w:cs="Times New Roman"/>
          <w:sz w:val="24"/>
          <w:szCs w:val="24"/>
        </w:rPr>
        <w:t xml:space="preserve">. La codemandada </w:t>
      </w:r>
      <w:r w:rsidR="004D7AB9" w:rsidRPr="00E82BAD">
        <w:rPr>
          <w:rFonts w:ascii="Gadugi" w:eastAsia="Calibri" w:hAnsi="Gadugi" w:cs="Times New Roman"/>
          <w:sz w:val="24"/>
          <w:szCs w:val="24"/>
        </w:rPr>
        <w:t>Martha Inés Castaño Marín</w:t>
      </w:r>
      <w:r w:rsidRPr="00E82BAD">
        <w:rPr>
          <w:rFonts w:ascii="Gadugi" w:eastAsia="Calibri" w:hAnsi="Gadugi" w:cs="Times New Roman"/>
          <w:sz w:val="24"/>
          <w:szCs w:val="24"/>
        </w:rPr>
        <w:t>, por medio de apoderado judicial, recurrió ese auto</w:t>
      </w:r>
      <w:r w:rsidRPr="00E82BAD">
        <w:rPr>
          <w:rStyle w:val="Refdenotaalpie"/>
          <w:rFonts w:ascii="Gadugi" w:eastAsia="Calibri" w:hAnsi="Gadugi" w:cs="Times New Roman"/>
          <w:sz w:val="24"/>
          <w:szCs w:val="24"/>
        </w:rPr>
        <w:footnoteReference w:id="4"/>
      </w:r>
      <w:r w:rsidR="00683E7C" w:rsidRPr="00E82BAD">
        <w:rPr>
          <w:rFonts w:ascii="Gadugi" w:eastAsia="Calibri" w:hAnsi="Gadugi" w:cs="Times New Roman"/>
          <w:sz w:val="24"/>
          <w:szCs w:val="24"/>
        </w:rPr>
        <w:t xml:space="preserve">, pero se resolvió desfavorablemente con auto del </w:t>
      </w:r>
      <w:r w:rsidR="00F46481" w:rsidRPr="00E82BAD">
        <w:rPr>
          <w:rFonts w:ascii="Gadugi" w:eastAsia="Calibri" w:hAnsi="Gadugi" w:cs="Times New Roman"/>
          <w:sz w:val="24"/>
          <w:szCs w:val="24"/>
        </w:rPr>
        <w:t xml:space="preserve">14 </w:t>
      </w:r>
      <w:r w:rsidR="00FC12A9" w:rsidRPr="00E82BAD">
        <w:rPr>
          <w:rFonts w:ascii="Gadugi" w:eastAsia="Calibri" w:hAnsi="Gadugi" w:cs="Times New Roman"/>
          <w:sz w:val="24"/>
          <w:szCs w:val="24"/>
        </w:rPr>
        <w:t>de mayo del 2019</w:t>
      </w:r>
      <w:r w:rsidR="00F46481" w:rsidRPr="00E82BAD">
        <w:rPr>
          <w:rStyle w:val="Refdenotaalpie"/>
          <w:rFonts w:ascii="Gadugi" w:eastAsia="Calibri" w:hAnsi="Gadugi" w:cs="Times New Roman"/>
          <w:sz w:val="24"/>
          <w:szCs w:val="24"/>
        </w:rPr>
        <w:footnoteReference w:id="5"/>
      </w:r>
      <w:r w:rsidR="00F46481" w:rsidRPr="00E82BAD">
        <w:rPr>
          <w:rFonts w:ascii="Gadugi" w:eastAsia="Calibri" w:hAnsi="Gadugi" w:cs="Times New Roman"/>
          <w:sz w:val="24"/>
          <w:szCs w:val="24"/>
        </w:rPr>
        <w:t xml:space="preserve">. </w:t>
      </w:r>
    </w:p>
    <w:p w14:paraId="151A0F5A" w14:textId="77777777" w:rsidR="00493A8F" w:rsidRPr="00E82BAD" w:rsidRDefault="00493A8F" w:rsidP="00E82BAD">
      <w:pPr>
        <w:spacing w:after="0" w:line="276" w:lineRule="auto"/>
        <w:jc w:val="both"/>
        <w:rPr>
          <w:rFonts w:ascii="Gadugi" w:eastAsia="Calibri" w:hAnsi="Gadugi" w:cs="Times New Roman"/>
          <w:sz w:val="24"/>
          <w:szCs w:val="24"/>
        </w:rPr>
      </w:pPr>
    </w:p>
    <w:p w14:paraId="23BAE4F7" w14:textId="2F101DEF" w:rsidR="00FC12A9" w:rsidRPr="00E82BAD" w:rsidRDefault="004D0F51" w:rsidP="00E82BAD">
      <w:pPr>
        <w:spacing w:after="0" w:line="276" w:lineRule="auto"/>
        <w:jc w:val="both"/>
        <w:rPr>
          <w:rFonts w:ascii="Gadugi" w:eastAsia="Calibri" w:hAnsi="Gadugi" w:cs="Times New Roman"/>
          <w:sz w:val="24"/>
          <w:szCs w:val="24"/>
        </w:rPr>
      </w:pPr>
      <w:r w:rsidRPr="00E82BAD">
        <w:rPr>
          <w:rFonts w:ascii="Gadugi" w:eastAsia="Calibri" w:hAnsi="Gadugi" w:cs="Times New Roman"/>
          <w:sz w:val="24"/>
          <w:szCs w:val="24"/>
        </w:rPr>
        <w:t>L</w:t>
      </w:r>
      <w:r w:rsidR="00F46481" w:rsidRPr="00E82BAD">
        <w:rPr>
          <w:rFonts w:ascii="Gadugi" w:eastAsia="Calibri" w:hAnsi="Gadugi" w:cs="Times New Roman"/>
          <w:sz w:val="24"/>
          <w:szCs w:val="24"/>
        </w:rPr>
        <w:t>a misma ejecutada propuso excepciones</w:t>
      </w:r>
      <w:r w:rsidR="00F46481" w:rsidRPr="00E82BAD">
        <w:rPr>
          <w:rStyle w:val="Refdenotaalpie"/>
          <w:rFonts w:ascii="Gadugi" w:eastAsia="Calibri" w:hAnsi="Gadugi" w:cs="Times New Roman"/>
          <w:sz w:val="24"/>
          <w:szCs w:val="24"/>
        </w:rPr>
        <w:footnoteReference w:id="6"/>
      </w:r>
      <w:r w:rsidR="00F46481" w:rsidRPr="00E82BAD">
        <w:rPr>
          <w:rFonts w:ascii="Gadugi" w:eastAsia="Calibri" w:hAnsi="Gadugi" w:cs="Times New Roman"/>
          <w:sz w:val="24"/>
          <w:szCs w:val="24"/>
        </w:rPr>
        <w:t xml:space="preserve"> que nominó: (i) falsedad de la letra de cambio LC-2110875538, esgrimida en su contra, por valor de </w:t>
      </w:r>
      <w:r w:rsidR="00621806" w:rsidRPr="00E82BAD">
        <w:rPr>
          <w:rFonts w:ascii="Gadugi" w:eastAsia="Calibri" w:hAnsi="Gadugi" w:cs="Times New Roman"/>
          <w:sz w:val="24"/>
          <w:szCs w:val="24"/>
        </w:rPr>
        <w:t>$65’000.000</w:t>
      </w:r>
      <w:r w:rsidR="00C50BA5">
        <w:rPr>
          <w:rFonts w:ascii="Gadugi" w:eastAsia="Calibri" w:hAnsi="Gadugi" w:cs="Times New Roman"/>
          <w:sz w:val="24"/>
          <w:szCs w:val="24"/>
        </w:rPr>
        <w:t>,00</w:t>
      </w:r>
      <w:r w:rsidR="00621806" w:rsidRPr="00E82BAD">
        <w:rPr>
          <w:rFonts w:ascii="Gadugi" w:eastAsia="Calibri" w:hAnsi="Gadugi" w:cs="Times New Roman"/>
          <w:sz w:val="24"/>
          <w:szCs w:val="24"/>
        </w:rPr>
        <w:t xml:space="preserve">; (ii) la letra de cambio LC-2110875538 no contiene una </w:t>
      </w:r>
      <w:r w:rsidR="005F5914" w:rsidRPr="00E82BAD">
        <w:rPr>
          <w:rFonts w:ascii="Gadugi" w:eastAsia="Calibri" w:hAnsi="Gadugi" w:cs="Times New Roman"/>
          <w:sz w:val="24"/>
          <w:szCs w:val="24"/>
        </w:rPr>
        <w:t>obligación expresa, clara y exigible</w:t>
      </w:r>
      <w:r w:rsidR="00621806" w:rsidRPr="00E82BAD">
        <w:rPr>
          <w:rFonts w:ascii="Gadugi" w:eastAsia="Calibri" w:hAnsi="Gadugi" w:cs="Times New Roman"/>
          <w:sz w:val="24"/>
          <w:szCs w:val="24"/>
        </w:rPr>
        <w:t>,</w:t>
      </w:r>
      <w:r w:rsidR="005F5914" w:rsidRPr="00E82BAD">
        <w:rPr>
          <w:rFonts w:ascii="Gadugi" w:eastAsia="Calibri" w:hAnsi="Gadugi" w:cs="Times New Roman"/>
          <w:sz w:val="24"/>
          <w:szCs w:val="24"/>
        </w:rPr>
        <w:t xml:space="preserve"> por cuanto ella no firm</w:t>
      </w:r>
      <w:r w:rsidR="00621806" w:rsidRPr="00E82BAD">
        <w:rPr>
          <w:rFonts w:ascii="Gadugi" w:eastAsia="Calibri" w:hAnsi="Gadugi" w:cs="Times New Roman"/>
          <w:sz w:val="24"/>
          <w:szCs w:val="24"/>
        </w:rPr>
        <w:t>ó</w:t>
      </w:r>
      <w:r w:rsidR="005F5914" w:rsidRPr="00E82BAD">
        <w:rPr>
          <w:rFonts w:ascii="Gadugi" w:eastAsia="Calibri" w:hAnsi="Gadugi" w:cs="Times New Roman"/>
          <w:sz w:val="24"/>
          <w:szCs w:val="24"/>
        </w:rPr>
        <w:t xml:space="preserve"> </w:t>
      </w:r>
      <w:r w:rsidR="00621806" w:rsidRPr="00E82BAD">
        <w:rPr>
          <w:rFonts w:ascii="Gadugi" w:eastAsia="Calibri" w:hAnsi="Gadugi" w:cs="Times New Roman"/>
          <w:sz w:val="24"/>
          <w:szCs w:val="24"/>
        </w:rPr>
        <w:t xml:space="preserve">la </w:t>
      </w:r>
      <w:r w:rsidR="005F5914" w:rsidRPr="00E82BAD">
        <w:rPr>
          <w:rFonts w:ascii="Gadugi" w:eastAsia="Calibri" w:hAnsi="Gadugi" w:cs="Times New Roman"/>
          <w:sz w:val="24"/>
          <w:szCs w:val="24"/>
        </w:rPr>
        <w:t>autorización fechada el 14 de diciembre del 2012 para llenar los espacios en blanco de dicho título</w:t>
      </w:r>
      <w:r w:rsidR="00621806" w:rsidRPr="00E82BAD">
        <w:rPr>
          <w:rFonts w:ascii="Gadugi" w:eastAsia="Calibri" w:hAnsi="Gadugi" w:cs="Times New Roman"/>
          <w:sz w:val="24"/>
          <w:szCs w:val="24"/>
        </w:rPr>
        <w:t xml:space="preserve">; (iii) ineficacia legal del contrato de prenda, porque </w:t>
      </w:r>
      <w:r w:rsidR="00621806" w:rsidRPr="00E82BAD">
        <w:rPr>
          <w:rFonts w:ascii="Gadugi" w:eastAsia="Calibri" w:hAnsi="Gadugi" w:cs="Times New Roman"/>
          <w:sz w:val="24"/>
          <w:szCs w:val="24"/>
        </w:rPr>
        <w:lastRenderedPageBreak/>
        <w:t>no se cumplieron los requisitos, para entonces vigentes, señalados en los artículos 1208, 1209 y 1210 del C. Co.</w:t>
      </w:r>
      <w:r w:rsidR="00724518" w:rsidRPr="00E82BAD">
        <w:rPr>
          <w:rFonts w:ascii="Gadugi" w:eastAsia="Calibri" w:hAnsi="Gadugi" w:cs="Times New Roman"/>
          <w:sz w:val="24"/>
          <w:szCs w:val="24"/>
        </w:rPr>
        <w:t>; (iv)</w:t>
      </w:r>
      <w:r w:rsidR="005F5914" w:rsidRPr="00E82BAD">
        <w:rPr>
          <w:rFonts w:ascii="Gadugi" w:eastAsia="Calibri" w:hAnsi="Gadugi" w:cs="Times New Roman"/>
          <w:sz w:val="24"/>
          <w:szCs w:val="24"/>
        </w:rPr>
        <w:t xml:space="preserve"> inconexión con la pren</w:t>
      </w:r>
      <w:r w:rsidR="00724518" w:rsidRPr="00E82BAD">
        <w:rPr>
          <w:rFonts w:ascii="Gadugi" w:eastAsia="Calibri" w:hAnsi="Gadugi" w:cs="Times New Roman"/>
          <w:sz w:val="24"/>
          <w:szCs w:val="24"/>
        </w:rPr>
        <w:t>da</w:t>
      </w:r>
      <w:r w:rsidR="005F5914" w:rsidRPr="00E82BAD">
        <w:rPr>
          <w:rFonts w:ascii="Gadugi" w:eastAsia="Calibri" w:hAnsi="Gadugi" w:cs="Times New Roman"/>
          <w:sz w:val="24"/>
          <w:szCs w:val="24"/>
        </w:rPr>
        <w:t xml:space="preserve"> esgrimida, del poder suscrito el 5 de diciembre del 2012 por la demandada,</w:t>
      </w:r>
      <w:r w:rsidR="00724518" w:rsidRPr="00E82BAD">
        <w:rPr>
          <w:rFonts w:ascii="Gadugi" w:eastAsia="Calibri" w:hAnsi="Gadugi" w:cs="Times New Roman"/>
          <w:sz w:val="24"/>
          <w:szCs w:val="24"/>
        </w:rPr>
        <w:t xml:space="preserve"> </w:t>
      </w:r>
      <w:r w:rsidR="00E34485" w:rsidRPr="00E82BAD">
        <w:rPr>
          <w:rFonts w:ascii="Gadugi" w:eastAsia="Calibri" w:hAnsi="Gadugi" w:cs="Times New Roman"/>
          <w:sz w:val="24"/>
          <w:szCs w:val="24"/>
        </w:rPr>
        <w:t xml:space="preserve">pues las facultades no están claramente determinadas; </w:t>
      </w:r>
      <w:r w:rsidR="000F66EC" w:rsidRPr="00E82BAD">
        <w:rPr>
          <w:rFonts w:ascii="Gadugi" w:eastAsia="Calibri" w:hAnsi="Gadugi" w:cs="Times New Roman"/>
          <w:sz w:val="24"/>
          <w:szCs w:val="24"/>
        </w:rPr>
        <w:t xml:space="preserve">(v) inscripción ineficaz del contrato de prenda hace parte de una estafa urdida por Darío </w:t>
      </w:r>
      <w:r w:rsidR="005F5914" w:rsidRPr="00E82BAD">
        <w:rPr>
          <w:rFonts w:ascii="Gadugi" w:eastAsia="Calibri" w:hAnsi="Gadugi" w:cs="Times New Roman"/>
          <w:sz w:val="24"/>
          <w:szCs w:val="24"/>
        </w:rPr>
        <w:t>Alexander Herrera Perico</w:t>
      </w:r>
      <w:r w:rsidR="000F66EC" w:rsidRPr="00E82BAD">
        <w:rPr>
          <w:rFonts w:ascii="Gadugi" w:eastAsia="Calibri" w:hAnsi="Gadugi" w:cs="Times New Roman"/>
          <w:sz w:val="24"/>
          <w:szCs w:val="24"/>
        </w:rPr>
        <w:t xml:space="preserve">. </w:t>
      </w:r>
    </w:p>
    <w:p w14:paraId="408B1F7B" w14:textId="77777777" w:rsidR="00C362F7" w:rsidRPr="00E82BAD" w:rsidRDefault="00C362F7" w:rsidP="00E82BAD">
      <w:pPr>
        <w:spacing w:after="0" w:line="276" w:lineRule="auto"/>
        <w:jc w:val="both"/>
        <w:rPr>
          <w:rFonts w:ascii="Gadugi" w:eastAsia="Calibri" w:hAnsi="Gadugi" w:cs="Times New Roman"/>
          <w:sz w:val="24"/>
          <w:szCs w:val="24"/>
        </w:rPr>
      </w:pPr>
    </w:p>
    <w:p w14:paraId="62139AE0" w14:textId="4E0FDC48" w:rsidR="00CA13AC" w:rsidRDefault="00FC75D3" w:rsidP="00E82BAD">
      <w:pPr>
        <w:spacing w:after="0" w:line="276" w:lineRule="auto"/>
        <w:jc w:val="both"/>
        <w:rPr>
          <w:rFonts w:ascii="Gadugi" w:eastAsia="Calibri" w:hAnsi="Gadugi" w:cs="Times New Roman"/>
          <w:sz w:val="24"/>
          <w:szCs w:val="24"/>
        </w:rPr>
      </w:pPr>
      <w:r w:rsidRPr="00E82BAD">
        <w:rPr>
          <w:rFonts w:ascii="Gadugi" w:eastAsia="Calibri" w:hAnsi="Gadugi" w:cs="Times New Roman"/>
          <w:sz w:val="24"/>
          <w:szCs w:val="24"/>
        </w:rPr>
        <w:t>El codemandado Herrera P</w:t>
      </w:r>
      <w:r w:rsidR="008A5449" w:rsidRPr="00E82BAD">
        <w:rPr>
          <w:rFonts w:ascii="Gadugi" w:eastAsia="Calibri" w:hAnsi="Gadugi" w:cs="Times New Roman"/>
          <w:sz w:val="24"/>
          <w:szCs w:val="24"/>
        </w:rPr>
        <w:t>er</w:t>
      </w:r>
      <w:r w:rsidRPr="00E82BAD">
        <w:rPr>
          <w:rFonts w:ascii="Gadugi" w:eastAsia="Calibri" w:hAnsi="Gadugi" w:cs="Times New Roman"/>
          <w:sz w:val="24"/>
          <w:szCs w:val="24"/>
        </w:rPr>
        <w:t xml:space="preserve">ico fue notificado por aviso el </w:t>
      </w:r>
      <w:r w:rsidR="00073954" w:rsidRPr="00E82BAD">
        <w:rPr>
          <w:rFonts w:ascii="Gadugi" w:eastAsia="Calibri" w:hAnsi="Gadugi" w:cs="Times New Roman"/>
          <w:sz w:val="24"/>
          <w:szCs w:val="24"/>
        </w:rPr>
        <w:t>16 de enero de 2019 y guardó silencio</w:t>
      </w:r>
      <w:r w:rsidR="00073954" w:rsidRPr="00E82BAD">
        <w:rPr>
          <w:rStyle w:val="Refdenotaalpie"/>
          <w:rFonts w:ascii="Gadugi" w:eastAsia="Calibri" w:hAnsi="Gadugi" w:cs="Times New Roman"/>
          <w:sz w:val="24"/>
          <w:szCs w:val="24"/>
        </w:rPr>
        <w:footnoteReference w:id="7"/>
      </w:r>
      <w:r w:rsidR="00073954" w:rsidRPr="00E82BAD">
        <w:rPr>
          <w:rFonts w:ascii="Gadugi" w:eastAsia="Calibri" w:hAnsi="Gadugi" w:cs="Times New Roman"/>
          <w:sz w:val="24"/>
          <w:szCs w:val="24"/>
        </w:rPr>
        <w:t xml:space="preserve">. </w:t>
      </w:r>
      <w:r w:rsidR="0054419A" w:rsidRPr="00E82BAD">
        <w:rPr>
          <w:rFonts w:ascii="Gadugi" w:eastAsia="Calibri" w:hAnsi="Gadugi" w:cs="Times New Roman"/>
          <w:sz w:val="24"/>
          <w:szCs w:val="24"/>
        </w:rPr>
        <w:t>Con posterioridad, el 28 de agosto de 2020, el asesor judicial de la otra demandada le informó al juzgado que Darío Alexánder falleció; por tanto, en audiencia</w:t>
      </w:r>
      <w:r w:rsidR="0054419A" w:rsidRPr="00E82BAD">
        <w:rPr>
          <w:rStyle w:val="Refdenotaalpie"/>
          <w:rFonts w:ascii="Gadugi" w:eastAsia="Calibri" w:hAnsi="Gadugi" w:cs="Times New Roman"/>
          <w:sz w:val="24"/>
          <w:szCs w:val="24"/>
        </w:rPr>
        <w:footnoteReference w:id="8"/>
      </w:r>
      <w:r w:rsidR="0054419A" w:rsidRPr="00E82BAD">
        <w:rPr>
          <w:rFonts w:ascii="Gadugi" w:eastAsia="Calibri" w:hAnsi="Gadugi" w:cs="Times New Roman"/>
          <w:sz w:val="24"/>
          <w:szCs w:val="24"/>
        </w:rPr>
        <w:t xml:space="preserve"> se </w:t>
      </w:r>
      <w:r w:rsidR="00841980" w:rsidRPr="00E82BAD">
        <w:rPr>
          <w:rFonts w:ascii="Gadugi" w:eastAsia="Calibri" w:hAnsi="Gadugi" w:cs="Times New Roman"/>
          <w:sz w:val="24"/>
          <w:szCs w:val="24"/>
        </w:rPr>
        <w:t xml:space="preserve">reconocieron los efectos de la </w:t>
      </w:r>
      <w:r w:rsidR="00841980" w:rsidRPr="00E82BAD">
        <w:rPr>
          <w:rFonts w:ascii="Gadugi" w:eastAsia="Calibri" w:hAnsi="Gadugi" w:cs="Times New Roman"/>
          <w:i/>
          <w:sz w:val="24"/>
          <w:szCs w:val="24"/>
        </w:rPr>
        <w:t>“suspensión”</w:t>
      </w:r>
      <w:r w:rsidR="009E58C7" w:rsidRPr="00E82BAD">
        <w:rPr>
          <w:rFonts w:ascii="Gadugi" w:eastAsia="Calibri" w:hAnsi="Gadugi" w:cs="Times New Roman"/>
          <w:i/>
          <w:sz w:val="24"/>
          <w:szCs w:val="24"/>
        </w:rPr>
        <w:t xml:space="preserve">, </w:t>
      </w:r>
      <w:r w:rsidR="00841980" w:rsidRPr="00E82BAD">
        <w:rPr>
          <w:rFonts w:ascii="Gadugi" w:eastAsia="Calibri" w:hAnsi="Gadugi" w:cs="Times New Roman"/>
          <w:sz w:val="24"/>
          <w:szCs w:val="24"/>
        </w:rPr>
        <w:t>se procuró la obtención del registro de defunción y el emplazamiento de los herederos indeterminados. Una vez recibido</w:t>
      </w:r>
      <w:r w:rsidR="009E58C7" w:rsidRPr="00E82BAD">
        <w:rPr>
          <w:rFonts w:ascii="Gadugi" w:eastAsia="Calibri" w:hAnsi="Gadugi" w:cs="Times New Roman"/>
          <w:sz w:val="24"/>
          <w:szCs w:val="24"/>
        </w:rPr>
        <w:t xml:space="preserve"> el registro</w:t>
      </w:r>
      <w:r w:rsidR="00841980" w:rsidRPr="00E82BAD">
        <w:rPr>
          <w:rStyle w:val="Refdenotaalpie"/>
          <w:rFonts w:ascii="Gadugi" w:eastAsia="Calibri" w:hAnsi="Gadugi" w:cs="Times New Roman"/>
          <w:sz w:val="24"/>
          <w:szCs w:val="24"/>
        </w:rPr>
        <w:footnoteReference w:id="9"/>
      </w:r>
      <w:r w:rsidR="00841980" w:rsidRPr="00E82BAD">
        <w:rPr>
          <w:rFonts w:ascii="Gadugi" w:eastAsia="Calibri" w:hAnsi="Gadugi" w:cs="Times New Roman"/>
          <w:sz w:val="24"/>
          <w:szCs w:val="24"/>
        </w:rPr>
        <w:t xml:space="preserve">, </w:t>
      </w:r>
      <w:r w:rsidR="00E25936" w:rsidRPr="00E82BAD">
        <w:rPr>
          <w:rFonts w:ascii="Gadugi" w:eastAsia="Calibri" w:hAnsi="Gadugi" w:cs="Times New Roman"/>
          <w:sz w:val="24"/>
          <w:szCs w:val="24"/>
        </w:rPr>
        <w:t xml:space="preserve">se constató que el hecho ocurrió el 9 de marzo de 2020 </w:t>
      </w:r>
      <w:r w:rsidR="00841980" w:rsidRPr="00E82BAD">
        <w:rPr>
          <w:rFonts w:ascii="Gadugi" w:eastAsia="Calibri" w:hAnsi="Gadugi" w:cs="Times New Roman"/>
          <w:sz w:val="24"/>
          <w:szCs w:val="24"/>
        </w:rPr>
        <w:t xml:space="preserve">y ante la falta de información de la existencia de proceso de sucesión o de herederos determinados, </w:t>
      </w:r>
      <w:r w:rsidR="00F34A09" w:rsidRPr="00E82BAD">
        <w:rPr>
          <w:rFonts w:ascii="Gadugi" w:eastAsia="Calibri" w:hAnsi="Gadugi" w:cs="Times New Roman"/>
          <w:sz w:val="24"/>
          <w:szCs w:val="24"/>
        </w:rPr>
        <w:t xml:space="preserve">fue llevada </w:t>
      </w:r>
      <w:r w:rsidR="00841980" w:rsidRPr="00E82BAD">
        <w:rPr>
          <w:rFonts w:ascii="Gadugi" w:eastAsia="Calibri" w:hAnsi="Gadugi" w:cs="Times New Roman"/>
          <w:sz w:val="24"/>
          <w:szCs w:val="24"/>
        </w:rPr>
        <w:t>la información al Registro Nacional de Personas Emplazadas</w:t>
      </w:r>
      <w:r w:rsidR="00F34A09" w:rsidRPr="00E82BAD">
        <w:rPr>
          <w:rStyle w:val="Refdenotaalpie"/>
          <w:rFonts w:ascii="Gadugi" w:eastAsia="Calibri" w:hAnsi="Gadugi" w:cs="Times New Roman"/>
          <w:sz w:val="24"/>
          <w:szCs w:val="24"/>
        </w:rPr>
        <w:footnoteReference w:id="10"/>
      </w:r>
      <w:r w:rsidR="00841980" w:rsidRPr="00E82BAD">
        <w:rPr>
          <w:rFonts w:ascii="Gadugi" w:eastAsia="Calibri" w:hAnsi="Gadugi" w:cs="Times New Roman"/>
          <w:sz w:val="24"/>
          <w:szCs w:val="24"/>
        </w:rPr>
        <w:t xml:space="preserve">, </w:t>
      </w:r>
      <w:r w:rsidR="00F34A09" w:rsidRPr="00E82BAD">
        <w:rPr>
          <w:rFonts w:ascii="Gadugi" w:eastAsia="Calibri" w:hAnsi="Gadugi" w:cs="Times New Roman"/>
          <w:sz w:val="24"/>
          <w:szCs w:val="24"/>
        </w:rPr>
        <w:t>y se designó curador ad litem</w:t>
      </w:r>
      <w:r w:rsidR="00F34A09" w:rsidRPr="00E82BAD">
        <w:rPr>
          <w:rStyle w:val="Refdenotaalpie"/>
          <w:rFonts w:ascii="Gadugi" w:eastAsia="Calibri" w:hAnsi="Gadugi" w:cs="Times New Roman"/>
          <w:sz w:val="24"/>
          <w:szCs w:val="24"/>
        </w:rPr>
        <w:footnoteReference w:id="11"/>
      </w:r>
      <w:r w:rsidR="00F34A09" w:rsidRPr="00E82BAD">
        <w:rPr>
          <w:rFonts w:ascii="Gadugi" w:eastAsia="Calibri" w:hAnsi="Gadugi" w:cs="Times New Roman"/>
          <w:sz w:val="24"/>
          <w:szCs w:val="24"/>
        </w:rPr>
        <w:t>, quien recibió, otra vez, notificación del mandamiento ejecutivo</w:t>
      </w:r>
      <w:r w:rsidR="00F34A09" w:rsidRPr="00E82BAD">
        <w:rPr>
          <w:rStyle w:val="Refdenotaalpie"/>
          <w:rFonts w:ascii="Gadugi" w:eastAsia="Calibri" w:hAnsi="Gadugi" w:cs="Times New Roman"/>
          <w:sz w:val="24"/>
          <w:szCs w:val="24"/>
        </w:rPr>
        <w:footnoteReference w:id="12"/>
      </w:r>
      <w:r w:rsidR="00F34A09" w:rsidRPr="00E82BAD">
        <w:rPr>
          <w:rFonts w:ascii="Gadugi" w:eastAsia="Calibri" w:hAnsi="Gadugi" w:cs="Times New Roman"/>
          <w:sz w:val="24"/>
          <w:szCs w:val="24"/>
        </w:rPr>
        <w:t xml:space="preserve"> y dentro del término que se le conce</w:t>
      </w:r>
      <w:r w:rsidR="00E25936" w:rsidRPr="00E82BAD">
        <w:rPr>
          <w:rFonts w:ascii="Gadugi" w:eastAsia="Calibri" w:hAnsi="Gadugi" w:cs="Times New Roman"/>
          <w:sz w:val="24"/>
          <w:szCs w:val="24"/>
        </w:rPr>
        <w:t>d</w:t>
      </w:r>
      <w:r w:rsidR="00F34A09" w:rsidRPr="00E82BAD">
        <w:rPr>
          <w:rFonts w:ascii="Gadugi" w:eastAsia="Calibri" w:hAnsi="Gadugi" w:cs="Times New Roman"/>
          <w:sz w:val="24"/>
          <w:szCs w:val="24"/>
        </w:rPr>
        <w:t>ió</w:t>
      </w:r>
      <w:r w:rsidR="00E25936" w:rsidRPr="00E82BAD">
        <w:rPr>
          <w:rFonts w:ascii="Gadugi" w:eastAsia="Calibri" w:hAnsi="Gadugi" w:cs="Times New Roman"/>
          <w:sz w:val="24"/>
          <w:szCs w:val="24"/>
        </w:rPr>
        <w:t>, propuso la excepción de prescripción</w:t>
      </w:r>
      <w:r w:rsidR="00E25936" w:rsidRPr="00E82BAD">
        <w:rPr>
          <w:rStyle w:val="Refdenotaalpie"/>
          <w:rFonts w:ascii="Gadugi" w:eastAsia="Calibri" w:hAnsi="Gadugi" w:cs="Times New Roman"/>
          <w:sz w:val="24"/>
          <w:szCs w:val="24"/>
        </w:rPr>
        <w:footnoteReference w:id="13"/>
      </w:r>
      <w:r w:rsidR="00E25936" w:rsidRPr="00E82BAD">
        <w:rPr>
          <w:rFonts w:ascii="Gadugi" w:eastAsia="Calibri" w:hAnsi="Gadugi" w:cs="Times New Roman"/>
          <w:sz w:val="24"/>
          <w:szCs w:val="24"/>
        </w:rPr>
        <w:t>.</w:t>
      </w:r>
    </w:p>
    <w:p w14:paraId="5182849B" w14:textId="77777777" w:rsidR="002A32F6" w:rsidRPr="00E82BAD" w:rsidRDefault="002A32F6" w:rsidP="00E82BAD">
      <w:pPr>
        <w:spacing w:after="0" w:line="276" w:lineRule="auto"/>
        <w:jc w:val="both"/>
        <w:rPr>
          <w:rFonts w:ascii="Gadugi" w:eastAsia="Calibri" w:hAnsi="Gadugi" w:cs="Times New Roman"/>
          <w:sz w:val="24"/>
          <w:szCs w:val="24"/>
        </w:rPr>
      </w:pPr>
    </w:p>
    <w:p w14:paraId="561A4FE0" w14:textId="389D13CC" w:rsidR="00FB7024" w:rsidRPr="00E82BAD" w:rsidRDefault="006C09F1" w:rsidP="00E82BAD">
      <w:pPr>
        <w:spacing w:after="0" w:line="276" w:lineRule="auto"/>
        <w:jc w:val="both"/>
        <w:rPr>
          <w:rFonts w:ascii="Gadugi" w:eastAsia="Calibri" w:hAnsi="Gadugi" w:cs="Times New Roman"/>
          <w:sz w:val="24"/>
          <w:szCs w:val="24"/>
        </w:rPr>
      </w:pPr>
      <w:r w:rsidRPr="00E82BAD">
        <w:rPr>
          <w:rFonts w:ascii="Gadugi" w:eastAsia="Calibri" w:hAnsi="Gadugi" w:cs="Times New Roman"/>
          <w:sz w:val="24"/>
          <w:szCs w:val="24"/>
        </w:rPr>
        <w:t>Se retomó la actuación desde la audiencia concentrada y se surtió el trámite hasta dictar sentencia</w:t>
      </w:r>
      <w:r w:rsidR="00FB7024" w:rsidRPr="00E82BAD">
        <w:rPr>
          <w:rFonts w:ascii="Gadugi" w:eastAsia="Calibri" w:hAnsi="Gadugi" w:cs="Times New Roman"/>
          <w:sz w:val="24"/>
          <w:szCs w:val="24"/>
        </w:rPr>
        <w:t>.</w:t>
      </w:r>
    </w:p>
    <w:p w14:paraId="5702B353" w14:textId="77777777" w:rsidR="00FB7024" w:rsidRPr="00E82BAD" w:rsidRDefault="00FB7024" w:rsidP="00E82BAD">
      <w:pPr>
        <w:spacing w:after="0" w:line="276" w:lineRule="auto"/>
        <w:jc w:val="both"/>
        <w:rPr>
          <w:rFonts w:ascii="Gadugi" w:eastAsia="Calibri" w:hAnsi="Gadugi" w:cs="Times New Roman"/>
          <w:sz w:val="24"/>
          <w:szCs w:val="24"/>
        </w:rPr>
      </w:pPr>
    </w:p>
    <w:p w14:paraId="0E34076C" w14:textId="0D1F9C99" w:rsidR="00BD6A47" w:rsidRPr="00E82BAD" w:rsidRDefault="00380199" w:rsidP="00E82BAD">
      <w:pPr>
        <w:pStyle w:val="Prrafodelista"/>
        <w:numPr>
          <w:ilvl w:val="1"/>
          <w:numId w:val="1"/>
        </w:numPr>
        <w:tabs>
          <w:tab w:val="left" w:pos="567"/>
          <w:tab w:val="left" w:pos="3402"/>
        </w:tabs>
        <w:spacing w:after="0" w:line="276" w:lineRule="auto"/>
        <w:ind w:left="0" w:firstLine="0"/>
        <w:jc w:val="both"/>
        <w:rPr>
          <w:rFonts w:ascii="Gadugi" w:eastAsia="Calibri" w:hAnsi="Gadugi" w:cs="Times New Roman"/>
          <w:b/>
          <w:sz w:val="24"/>
          <w:szCs w:val="24"/>
        </w:rPr>
      </w:pPr>
      <w:r w:rsidRPr="00E82BAD">
        <w:rPr>
          <w:rFonts w:ascii="Gadugi" w:eastAsia="Calibri" w:hAnsi="Gadugi" w:cs="Times New Roman"/>
          <w:b/>
          <w:sz w:val="24"/>
          <w:szCs w:val="24"/>
        </w:rPr>
        <w:t>La sentencia de primer grado.</w:t>
      </w:r>
    </w:p>
    <w:p w14:paraId="7D0D6F21" w14:textId="78D563E0" w:rsidR="00BD6A47" w:rsidRPr="00E82BAD" w:rsidRDefault="00BD6A47" w:rsidP="00E82BAD">
      <w:pPr>
        <w:spacing w:after="0" w:line="276" w:lineRule="auto"/>
        <w:jc w:val="both"/>
        <w:rPr>
          <w:rFonts w:ascii="Gadugi" w:eastAsia="Calibri" w:hAnsi="Gadugi" w:cs="Times New Roman"/>
          <w:sz w:val="24"/>
          <w:szCs w:val="24"/>
        </w:rPr>
      </w:pPr>
      <w:r w:rsidRPr="00E82BAD">
        <w:rPr>
          <w:rFonts w:ascii="Gadugi" w:eastAsia="Calibri" w:hAnsi="Gadugi" w:cs="Times New Roman"/>
          <w:sz w:val="24"/>
          <w:szCs w:val="24"/>
        </w:rPr>
        <w:tab/>
      </w:r>
      <w:r w:rsidRPr="00E82BAD">
        <w:rPr>
          <w:rFonts w:ascii="Gadugi" w:eastAsia="Calibri" w:hAnsi="Gadugi" w:cs="Times New Roman"/>
          <w:sz w:val="24"/>
          <w:szCs w:val="24"/>
        </w:rPr>
        <w:tab/>
      </w:r>
      <w:r w:rsidRPr="00E82BAD">
        <w:rPr>
          <w:rFonts w:ascii="Gadugi" w:eastAsia="Calibri" w:hAnsi="Gadugi" w:cs="Times New Roman"/>
          <w:sz w:val="24"/>
          <w:szCs w:val="24"/>
        </w:rPr>
        <w:tab/>
      </w:r>
    </w:p>
    <w:p w14:paraId="71E01EAC" w14:textId="77777777" w:rsidR="00064B08" w:rsidRPr="00E82BAD" w:rsidRDefault="00987D54" w:rsidP="00E82BAD">
      <w:pPr>
        <w:spacing w:after="0" w:line="276" w:lineRule="auto"/>
        <w:jc w:val="both"/>
        <w:rPr>
          <w:rFonts w:ascii="Gadugi" w:eastAsia="Calibri" w:hAnsi="Gadugi" w:cs="Times New Roman"/>
          <w:sz w:val="24"/>
          <w:szCs w:val="24"/>
        </w:rPr>
      </w:pPr>
      <w:r w:rsidRPr="00E82BAD">
        <w:rPr>
          <w:rFonts w:ascii="Gadugi" w:eastAsia="Calibri" w:hAnsi="Gadugi" w:cs="Times New Roman"/>
          <w:sz w:val="24"/>
          <w:szCs w:val="24"/>
        </w:rPr>
        <w:t xml:space="preserve">Se profirió el </w:t>
      </w:r>
      <w:r w:rsidR="004B79A5" w:rsidRPr="00E82BAD">
        <w:rPr>
          <w:rFonts w:ascii="Gadugi" w:eastAsia="Calibri" w:hAnsi="Gadugi" w:cs="Times New Roman"/>
          <w:sz w:val="24"/>
          <w:szCs w:val="24"/>
        </w:rPr>
        <w:t>28 de julio de 2021</w:t>
      </w:r>
      <w:r w:rsidR="00B4076B" w:rsidRPr="00E82BAD">
        <w:rPr>
          <w:rStyle w:val="Refdenotaalpie"/>
          <w:rFonts w:ascii="Gadugi" w:eastAsia="Calibri" w:hAnsi="Gadugi" w:cs="Times New Roman"/>
          <w:sz w:val="24"/>
          <w:szCs w:val="24"/>
        </w:rPr>
        <w:footnoteReference w:id="14"/>
      </w:r>
      <w:r w:rsidR="00B4076B" w:rsidRPr="00E82BAD">
        <w:rPr>
          <w:rFonts w:ascii="Gadugi" w:eastAsia="Calibri" w:hAnsi="Gadugi" w:cs="Times New Roman"/>
          <w:sz w:val="24"/>
          <w:szCs w:val="24"/>
        </w:rPr>
        <w:t xml:space="preserve">. En ella, encontró el Juzgado que: </w:t>
      </w:r>
    </w:p>
    <w:p w14:paraId="76D93A7B" w14:textId="77777777" w:rsidR="00064B08" w:rsidRPr="00E82BAD" w:rsidRDefault="00064B08" w:rsidP="00E82BAD">
      <w:pPr>
        <w:spacing w:after="0" w:line="276" w:lineRule="auto"/>
        <w:jc w:val="both"/>
        <w:rPr>
          <w:rFonts w:ascii="Gadugi" w:eastAsia="Calibri" w:hAnsi="Gadugi" w:cs="Times New Roman"/>
          <w:sz w:val="24"/>
          <w:szCs w:val="24"/>
        </w:rPr>
      </w:pPr>
    </w:p>
    <w:p w14:paraId="50FC6C75" w14:textId="1B636C79" w:rsidR="00AD57B6" w:rsidRPr="00E82BAD" w:rsidRDefault="00B4076B" w:rsidP="00E82BAD">
      <w:pPr>
        <w:spacing w:after="0" w:line="276" w:lineRule="auto"/>
        <w:jc w:val="both"/>
        <w:rPr>
          <w:rFonts w:ascii="Gadugi" w:eastAsia="Malgun Gothic" w:hAnsi="Gadugi" w:cs="Estrangelo Edessa"/>
          <w:bCs/>
          <w:sz w:val="24"/>
          <w:szCs w:val="24"/>
        </w:rPr>
      </w:pPr>
      <w:r w:rsidRPr="00E82BAD">
        <w:rPr>
          <w:rFonts w:ascii="Gadugi" w:eastAsia="Calibri" w:hAnsi="Gadugi" w:cs="Times New Roman"/>
          <w:sz w:val="24"/>
          <w:szCs w:val="24"/>
        </w:rPr>
        <w:t xml:space="preserve">(i) </w:t>
      </w:r>
      <w:r w:rsidR="00F647F9" w:rsidRPr="00E82BAD">
        <w:rPr>
          <w:rFonts w:ascii="Gadugi" w:eastAsia="Calibri" w:hAnsi="Gadugi" w:cs="Times New Roman"/>
          <w:sz w:val="24"/>
          <w:szCs w:val="24"/>
        </w:rPr>
        <w:t xml:space="preserve">El </w:t>
      </w:r>
      <w:r w:rsidRPr="00E82BAD">
        <w:rPr>
          <w:rFonts w:ascii="Gadugi" w:eastAsia="Calibri" w:hAnsi="Gadugi" w:cs="Times New Roman"/>
          <w:sz w:val="24"/>
          <w:szCs w:val="24"/>
        </w:rPr>
        <w:t>contrato de prenda adosado a la demanda está afectado de nulidad absoluta, por cuanto se apartó de los re</w:t>
      </w:r>
      <w:r w:rsidR="00BE2AD0" w:rsidRPr="00E82BAD">
        <w:rPr>
          <w:rFonts w:ascii="Gadugi" w:eastAsia="Calibri" w:hAnsi="Gadugi" w:cs="Times New Roman"/>
          <w:sz w:val="24"/>
          <w:szCs w:val="24"/>
        </w:rPr>
        <w:t>quisitos</w:t>
      </w:r>
      <w:r w:rsidRPr="00E82BAD">
        <w:rPr>
          <w:rFonts w:ascii="Gadugi" w:eastAsia="Calibri" w:hAnsi="Gadugi" w:cs="Times New Roman"/>
          <w:sz w:val="24"/>
          <w:szCs w:val="24"/>
        </w:rPr>
        <w:t xml:space="preserve"> exigidos por </w:t>
      </w:r>
      <w:r w:rsidR="00F54F80" w:rsidRPr="00E82BAD">
        <w:rPr>
          <w:rFonts w:ascii="Gadugi" w:eastAsia="Calibri" w:hAnsi="Gadugi" w:cs="Times New Roman"/>
          <w:sz w:val="24"/>
          <w:szCs w:val="24"/>
        </w:rPr>
        <w:t xml:space="preserve">los </w:t>
      </w:r>
      <w:r w:rsidRPr="00E82BAD">
        <w:rPr>
          <w:rFonts w:ascii="Gadugi" w:eastAsia="Calibri" w:hAnsi="Gadugi" w:cs="Times New Roman"/>
          <w:sz w:val="24"/>
          <w:szCs w:val="24"/>
        </w:rPr>
        <w:t>artículo</w:t>
      </w:r>
      <w:r w:rsidR="00F54F80" w:rsidRPr="00E82BAD">
        <w:rPr>
          <w:rFonts w:ascii="Gadugi" w:eastAsia="Calibri" w:hAnsi="Gadugi" w:cs="Times New Roman"/>
          <w:sz w:val="24"/>
          <w:szCs w:val="24"/>
        </w:rPr>
        <w:t>s</w:t>
      </w:r>
      <w:r w:rsidRPr="00E82BAD">
        <w:rPr>
          <w:rFonts w:ascii="Gadugi" w:eastAsia="Calibri" w:hAnsi="Gadugi" w:cs="Times New Roman"/>
          <w:sz w:val="24"/>
          <w:szCs w:val="24"/>
        </w:rPr>
        <w:t xml:space="preserve"> </w:t>
      </w:r>
      <w:bookmarkStart w:id="2" w:name="_Hlk113542130"/>
      <w:r w:rsidRPr="00E82BAD">
        <w:rPr>
          <w:rFonts w:ascii="Gadugi" w:eastAsia="Calibri" w:hAnsi="Gadugi" w:cs="Times New Roman"/>
          <w:sz w:val="24"/>
          <w:szCs w:val="24"/>
        </w:rPr>
        <w:t xml:space="preserve">1209 </w:t>
      </w:r>
      <w:r w:rsidR="00F54F80" w:rsidRPr="00E82BAD">
        <w:rPr>
          <w:rFonts w:ascii="Gadugi" w:eastAsia="Calibri" w:hAnsi="Gadugi" w:cs="Times New Roman"/>
          <w:sz w:val="24"/>
          <w:szCs w:val="24"/>
        </w:rPr>
        <w:t xml:space="preserve">y 1219 </w:t>
      </w:r>
      <w:r w:rsidRPr="00E82BAD">
        <w:rPr>
          <w:rFonts w:ascii="Gadugi" w:eastAsia="Calibri" w:hAnsi="Gadugi" w:cs="Times New Roman"/>
          <w:sz w:val="24"/>
          <w:szCs w:val="24"/>
        </w:rPr>
        <w:t>del C. de Comercio</w:t>
      </w:r>
      <w:r w:rsidR="00644DAB" w:rsidRPr="00E82BAD">
        <w:rPr>
          <w:rFonts w:ascii="Gadugi" w:eastAsia="Calibri" w:hAnsi="Gadugi" w:cs="Times New Roman"/>
          <w:sz w:val="24"/>
          <w:szCs w:val="24"/>
        </w:rPr>
        <w:t xml:space="preserve">. </w:t>
      </w:r>
      <w:bookmarkEnd w:id="2"/>
    </w:p>
    <w:p w14:paraId="1FB026FA" w14:textId="77777777" w:rsidR="004714A0" w:rsidRPr="00E82BAD" w:rsidRDefault="004714A0" w:rsidP="00E82BAD">
      <w:pPr>
        <w:spacing w:after="0" w:line="276" w:lineRule="auto"/>
        <w:jc w:val="both"/>
        <w:rPr>
          <w:rFonts w:ascii="Gadugi" w:eastAsia="Calibri" w:hAnsi="Gadugi" w:cs="Times New Roman"/>
          <w:sz w:val="24"/>
          <w:szCs w:val="24"/>
        </w:rPr>
      </w:pPr>
    </w:p>
    <w:p w14:paraId="571B5CB5" w14:textId="67E99393" w:rsidR="00B96D16" w:rsidRPr="00E82BAD" w:rsidRDefault="00064B08" w:rsidP="00E82BAD">
      <w:pPr>
        <w:spacing w:after="0" w:line="276" w:lineRule="auto"/>
        <w:jc w:val="both"/>
        <w:rPr>
          <w:rFonts w:ascii="Gadugi" w:eastAsia="Calibri" w:hAnsi="Gadugi" w:cs="Times New Roman"/>
          <w:sz w:val="24"/>
          <w:szCs w:val="24"/>
        </w:rPr>
      </w:pPr>
      <w:r w:rsidRPr="00E82BAD">
        <w:rPr>
          <w:rFonts w:ascii="Gadugi" w:eastAsia="Calibri" w:hAnsi="Gadugi" w:cs="Times New Roman"/>
          <w:sz w:val="24"/>
          <w:szCs w:val="24"/>
        </w:rPr>
        <w:t xml:space="preserve">(ii) La codemandada Martha Inés Castaño Marín, no estampó su firma en la letra de cambio LC2110875538, según concluyó el dictamen aportado, </w:t>
      </w:r>
      <w:r w:rsidR="00B96D16" w:rsidRPr="00E82BAD">
        <w:rPr>
          <w:rFonts w:ascii="Gadugi" w:eastAsia="Calibri" w:hAnsi="Gadugi" w:cs="Times New Roman"/>
          <w:sz w:val="24"/>
          <w:szCs w:val="24"/>
        </w:rPr>
        <w:t xml:space="preserve">además, no otorgó poder con ese fin, ni dio lugar a que se entendiera que había facultado al otro demandado para que firmara a su nombre. </w:t>
      </w:r>
      <w:r w:rsidR="00FE6EB6" w:rsidRPr="00E82BAD">
        <w:rPr>
          <w:rFonts w:ascii="Gadugi" w:eastAsia="Calibri" w:hAnsi="Gadugi" w:cs="Times New Roman"/>
          <w:sz w:val="24"/>
          <w:szCs w:val="24"/>
        </w:rPr>
        <w:t xml:space="preserve">Declaró probada la tacha propuesta e impuso las condenas respectivas a cargo ejecutante. </w:t>
      </w:r>
    </w:p>
    <w:p w14:paraId="1A7E5DD2" w14:textId="7CE1F164" w:rsidR="00FE6EB6" w:rsidRPr="00E82BAD" w:rsidRDefault="00FE6EB6" w:rsidP="00E82BAD">
      <w:pPr>
        <w:spacing w:after="0" w:line="276" w:lineRule="auto"/>
        <w:jc w:val="both"/>
        <w:rPr>
          <w:rFonts w:ascii="Gadugi" w:eastAsia="Calibri" w:hAnsi="Gadugi" w:cs="Times New Roman"/>
          <w:sz w:val="24"/>
          <w:szCs w:val="24"/>
        </w:rPr>
      </w:pPr>
    </w:p>
    <w:p w14:paraId="5F2F2AF5" w14:textId="77777777" w:rsidR="00E3314C" w:rsidRPr="00E82BAD" w:rsidRDefault="00FE6EB6" w:rsidP="00E82BAD">
      <w:pPr>
        <w:tabs>
          <w:tab w:val="left" w:pos="426"/>
          <w:tab w:val="left" w:pos="2268"/>
        </w:tabs>
        <w:spacing w:after="0" w:line="276" w:lineRule="auto"/>
        <w:jc w:val="both"/>
        <w:rPr>
          <w:rFonts w:ascii="Gadugi" w:eastAsia="Calibri" w:hAnsi="Gadugi" w:cs="Times New Roman"/>
          <w:sz w:val="24"/>
          <w:szCs w:val="24"/>
        </w:rPr>
      </w:pPr>
      <w:r w:rsidRPr="00E82BAD">
        <w:rPr>
          <w:rFonts w:ascii="Gadugi" w:eastAsia="Calibri" w:hAnsi="Gadugi" w:cs="Times New Roman"/>
          <w:sz w:val="24"/>
          <w:szCs w:val="24"/>
        </w:rPr>
        <w:lastRenderedPageBreak/>
        <w:t xml:space="preserve">(iii) </w:t>
      </w:r>
      <w:r w:rsidR="00E3314C" w:rsidRPr="00E82BAD">
        <w:rPr>
          <w:rFonts w:ascii="Gadugi" w:eastAsia="Calibri" w:hAnsi="Gadugi" w:cs="Times New Roman"/>
          <w:sz w:val="24"/>
          <w:szCs w:val="24"/>
        </w:rPr>
        <w:t xml:space="preserve">La prescripción propuesta por el curador de los herederos indeterminados fue infructuosa, dado que actúan como sucesores procesales y tomaron el proceso en el estado en que se hallaba. </w:t>
      </w:r>
    </w:p>
    <w:p w14:paraId="3E75792A" w14:textId="77777777" w:rsidR="00E3314C" w:rsidRPr="00E82BAD" w:rsidRDefault="00E3314C" w:rsidP="00E82BAD">
      <w:pPr>
        <w:spacing w:after="0" w:line="276" w:lineRule="auto"/>
        <w:jc w:val="both"/>
        <w:rPr>
          <w:rFonts w:ascii="Gadugi" w:eastAsia="Calibri" w:hAnsi="Gadugi" w:cs="Times New Roman"/>
          <w:sz w:val="24"/>
          <w:szCs w:val="24"/>
        </w:rPr>
      </w:pPr>
    </w:p>
    <w:p w14:paraId="3D31254A" w14:textId="1FCAEBD9" w:rsidR="00E3314C" w:rsidRPr="00E82BAD" w:rsidRDefault="00E3314C" w:rsidP="00E82BAD">
      <w:pPr>
        <w:tabs>
          <w:tab w:val="left" w:pos="567"/>
        </w:tabs>
        <w:spacing w:after="0" w:line="276" w:lineRule="auto"/>
        <w:jc w:val="both"/>
        <w:rPr>
          <w:rFonts w:ascii="Gadugi" w:eastAsia="Calibri" w:hAnsi="Gadugi" w:cs="Times New Roman"/>
          <w:sz w:val="24"/>
          <w:szCs w:val="24"/>
        </w:rPr>
      </w:pPr>
      <w:r w:rsidRPr="00E82BAD">
        <w:rPr>
          <w:rFonts w:ascii="Gadugi" w:eastAsia="Calibri" w:hAnsi="Gadugi" w:cs="Times New Roman"/>
          <w:sz w:val="24"/>
          <w:szCs w:val="24"/>
        </w:rPr>
        <w:t xml:space="preserve">(iv) </w:t>
      </w:r>
      <w:r w:rsidR="00CB6C8D" w:rsidRPr="00E82BAD">
        <w:rPr>
          <w:rFonts w:ascii="Gadugi" w:eastAsia="Calibri" w:hAnsi="Gadugi" w:cs="Times New Roman"/>
          <w:sz w:val="24"/>
          <w:szCs w:val="24"/>
        </w:rPr>
        <w:tab/>
      </w:r>
      <w:r w:rsidRPr="00E82BAD">
        <w:rPr>
          <w:rFonts w:ascii="Gadugi" w:eastAsia="Calibri" w:hAnsi="Gadugi" w:cs="Times New Roman"/>
          <w:sz w:val="24"/>
          <w:szCs w:val="24"/>
        </w:rPr>
        <w:t xml:space="preserve">La ejecución sólo podría continuar en contra de Darío Alexánder Herrera Perico, como deudor personal.  </w:t>
      </w:r>
    </w:p>
    <w:p w14:paraId="6BD570BE" w14:textId="77777777" w:rsidR="00E3314C" w:rsidRPr="00E82BAD" w:rsidRDefault="00E3314C" w:rsidP="00E82BAD">
      <w:pPr>
        <w:tabs>
          <w:tab w:val="left" w:pos="567"/>
        </w:tabs>
        <w:spacing w:after="0" w:line="276" w:lineRule="auto"/>
        <w:jc w:val="both"/>
        <w:rPr>
          <w:rFonts w:ascii="Gadugi" w:eastAsia="Calibri" w:hAnsi="Gadugi" w:cs="Times New Roman"/>
          <w:sz w:val="24"/>
          <w:szCs w:val="24"/>
        </w:rPr>
      </w:pPr>
    </w:p>
    <w:p w14:paraId="2D4FB7B9" w14:textId="236612D7" w:rsidR="00E44188" w:rsidRPr="00E82BAD" w:rsidRDefault="00E3314C" w:rsidP="00E82BAD">
      <w:pPr>
        <w:tabs>
          <w:tab w:val="left" w:pos="567"/>
          <w:tab w:val="left" w:pos="2268"/>
        </w:tabs>
        <w:spacing w:after="0" w:line="276" w:lineRule="auto"/>
        <w:jc w:val="both"/>
        <w:rPr>
          <w:rFonts w:ascii="Gadugi" w:eastAsia="Calibri" w:hAnsi="Gadugi" w:cs="Times New Roman"/>
          <w:sz w:val="24"/>
          <w:szCs w:val="24"/>
        </w:rPr>
      </w:pPr>
      <w:r w:rsidRPr="00E82BAD">
        <w:rPr>
          <w:rFonts w:ascii="Gadugi" w:eastAsia="Calibri" w:hAnsi="Gadugi" w:cs="Times New Roman"/>
          <w:sz w:val="24"/>
          <w:szCs w:val="24"/>
        </w:rPr>
        <w:t xml:space="preserve">(v) </w:t>
      </w:r>
      <w:r w:rsidR="00CB6C8D" w:rsidRPr="00E82BAD">
        <w:rPr>
          <w:rFonts w:ascii="Gadugi" w:eastAsia="Calibri" w:hAnsi="Gadugi" w:cs="Times New Roman"/>
          <w:sz w:val="24"/>
          <w:szCs w:val="24"/>
        </w:rPr>
        <w:tab/>
      </w:r>
      <w:r w:rsidR="00FB61E8" w:rsidRPr="00E82BAD">
        <w:rPr>
          <w:rFonts w:ascii="Gadugi" w:eastAsia="Calibri" w:hAnsi="Gadugi" w:cs="Times New Roman"/>
          <w:sz w:val="24"/>
          <w:szCs w:val="24"/>
        </w:rPr>
        <w:t xml:space="preserve">Las costas debían ser a cargo del demandante y a favor de Martha Inés Castaño; y a cargo de Darío Alexánder Herrera, a favor del demandante. </w:t>
      </w:r>
    </w:p>
    <w:p w14:paraId="715EC16C" w14:textId="77777777" w:rsidR="00E44188" w:rsidRPr="00E82BAD" w:rsidRDefault="00E44188" w:rsidP="00E82BAD">
      <w:pPr>
        <w:spacing w:after="0" w:line="276" w:lineRule="auto"/>
        <w:jc w:val="both"/>
        <w:rPr>
          <w:rFonts w:ascii="Gadugi" w:eastAsia="Calibri" w:hAnsi="Gadugi" w:cs="Times New Roman"/>
          <w:sz w:val="24"/>
          <w:szCs w:val="24"/>
        </w:rPr>
      </w:pPr>
    </w:p>
    <w:p w14:paraId="02F67AB3" w14:textId="79FC76B6" w:rsidR="00FE6EB6" w:rsidRPr="00E82BAD" w:rsidRDefault="00E44188" w:rsidP="00E82BAD">
      <w:pPr>
        <w:pStyle w:val="Prrafodelista"/>
        <w:numPr>
          <w:ilvl w:val="1"/>
          <w:numId w:val="1"/>
        </w:numPr>
        <w:tabs>
          <w:tab w:val="left" w:pos="567"/>
          <w:tab w:val="left" w:pos="3402"/>
        </w:tabs>
        <w:spacing w:after="0" w:line="276" w:lineRule="auto"/>
        <w:ind w:left="0" w:firstLine="0"/>
        <w:jc w:val="both"/>
        <w:rPr>
          <w:rFonts w:ascii="Gadugi" w:eastAsia="Calibri" w:hAnsi="Gadugi" w:cs="Times New Roman"/>
          <w:sz w:val="24"/>
          <w:szCs w:val="24"/>
        </w:rPr>
      </w:pPr>
      <w:r w:rsidRPr="00E82BAD">
        <w:rPr>
          <w:rFonts w:ascii="Gadugi" w:eastAsia="Calibri" w:hAnsi="Gadugi" w:cs="Times New Roman"/>
          <w:b/>
          <w:bCs/>
          <w:sz w:val="24"/>
          <w:szCs w:val="24"/>
        </w:rPr>
        <w:t>El recurso de apelación</w:t>
      </w:r>
      <w:r w:rsidRPr="00E82BAD">
        <w:rPr>
          <w:rFonts w:ascii="Gadugi" w:eastAsia="Calibri" w:hAnsi="Gadugi" w:cs="Times New Roman"/>
          <w:sz w:val="24"/>
          <w:szCs w:val="24"/>
        </w:rPr>
        <w:t xml:space="preserve">. </w:t>
      </w:r>
      <w:r w:rsidR="00FE6EB6" w:rsidRPr="00E82BAD">
        <w:rPr>
          <w:rFonts w:ascii="Gadugi" w:eastAsia="Calibri" w:hAnsi="Gadugi" w:cs="Times New Roman"/>
          <w:sz w:val="24"/>
          <w:szCs w:val="24"/>
        </w:rPr>
        <w:t xml:space="preserve"> </w:t>
      </w:r>
    </w:p>
    <w:p w14:paraId="237C2497" w14:textId="1E2A466A" w:rsidR="00B96D16" w:rsidRPr="00E82BAD" w:rsidRDefault="00B96D16" w:rsidP="00E82BAD">
      <w:pPr>
        <w:spacing w:after="0" w:line="276" w:lineRule="auto"/>
        <w:jc w:val="both"/>
        <w:rPr>
          <w:rFonts w:ascii="Gadugi" w:eastAsia="Calibri" w:hAnsi="Gadugi" w:cs="Times New Roman"/>
          <w:sz w:val="24"/>
          <w:szCs w:val="24"/>
        </w:rPr>
      </w:pPr>
    </w:p>
    <w:p w14:paraId="2BE3C217" w14:textId="465B6936" w:rsidR="00FD67FF" w:rsidRPr="00E82BAD" w:rsidRDefault="00E44188" w:rsidP="00E82BAD">
      <w:pPr>
        <w:spacing w:after="0" w:line="276" w:lineRule="auto"/>
        <w:jc w:val="both"/>
        <w:rPr>
          <w:rFonts w:ascii="Gadugi" w:eastAsia="Calibri" w:hAnsi="Gadugi" w:cs="Times New Roman"/>
          <w:sz w:val="24"/>
          <w:szCs w:val="24"/>
        </w:rPr>
      </w:pPr>
      <w:r w:rsidRPr="00E82BAD">
        <w:rPr>
          <w:rFonts w:ascii="Gadugi" w:eastAsia="Calibri" w:hAnsi="Gadugi" w:cs="Times New Roman"/>
          <w:sz w:val="24"/>
          <w:szCs w:val="24"/>
        </w:rPr>
        <w:t>Fue interpuesto por la parte demandante durante la audiencia y sustentado</w:t>
      </w:r>
      <w:r w:rsidR="000E12F9" w:rsidRPr="00E82BAD">
        <w:rPr>
          <w:rFonts w:ascii="Gadugi" w:eastAsia="Calibri" w:hAnsi="Gadugi" w:cs="Times New Roman"/>
          <w:sz w:val="24"/>
          <w:szCs w:val="24"/>
        </w:rPr>
        <w:t xml:space="preserve"> en primera instancia</w:t>
      </w:r>
      <w:r w:rsidR="000E12F9" w:rsidRPr="00E82BAD">
        <w:rPr>
          <w:rStyle w:val="Refdenotaalpie"/>
          <w:rFonts w:ascii="Gadugi" w:eastAsia="Calibri" w:hAnsi="Gadugi" w:cs="Times New Roman"/>
          <w:sz w:val="24"/>
          <w:szCs w:val="24"/>
        </w:rPr>
        <w:footnoteReference w:id="15"/>
      </w:r>
      <w:r w:rsidR="00644DAB" w:rsidRPr="00E82BAD">
        <w:rPr>
          <w:rFonts w:ascii="Gadugi" w:eastAsia="Calibri" w:hAnsi="Gadugi" w:cs="Times New Roman"/>
          <w:sz w:val="24"/>
          <w:szCs w:val="24"/>
        </w:rPr>
        <w:t xml:space="preserve">, con los argumentos que adelante se analizarán. </w:t>
      </w:r>
    </w:p>
    <w:p w14:paraId="3BE02538" w14:textId="77777777" w:rsidR="00644DAB" w:rsidRPr="00E82BAD" w:rsidRDefault="00644DAB" w:rsidP="00E82BAD">
      <w:pPr>
        <w:spacing w:after="0" w:line="276" w:lineRule="auto"/>
        <w:jc w:val="both"/>
        <w:rPr>
          <w:rFonts w:ascii="Gadugi" w:eastAsia="Calibri" w:hAnsi="Gadugi" w:cs="Times New Roman"/>
          <w:sz w:val="24"/>
          <w:szCs w:val="24"/>
        </w:rPr>
      </w:pPr>
    </w:p>
    <w:p w14:paraId="73E5839B" w14:textId="271DA5C3" w:rsidR="00FD67FF" w:rsidRPr="00E82BAD" w:rsidRDefault="00FD67FF" w:rsidP="00E82BAD">
      <w:pPr>
        <w:pStyle w:val="Prrafodelista"/>
        <w:numPr>
          <w:ilvl w:val="0"/>
          <w:numId w:val="1"/>
        </w:numPr>
        <w:tabs>
          <w:tab w:val="left" w:pos="426"/>
        </w:tabs>
        <w:spacing w:after="0" w:line="276" w:lineRule="auto"/>
        <w:ind w:left="0" w:firstLine="0"/>
        <w:jc w:val="both"/>
        <w:rPr>
          <w:rFonts w:ascii="Gadugi" w:eastAsia="Malgun Gothic" w:hAnsi="Gadugi" w:cs="Estrangelo Edessa"/>
          <w:b/>
          <w:sz w:val="24"/>
          <w:szCs w:val="24"/>
        </w:rPr>
      </w:pPr>
      <w:r w:rsidRPr="00E82BAD">
        <w:rPr>
          <w:rFonts w:ascii="Gadugi" w:eastAsia="Malgun Gothic" w:hAnsi="Gadugi" w:cs="Estrangelo Edessa"/>
          <w:b/>
          <w:sz w:val="24"/>
          <w:szCs w:val="24"/>
        </w:rPr>
        <w:t>CONSIDER</w:t>
      </w:r>
      <w:r w:rsidR="00C555ED" w:rsidRPr="00E82BAD">
        <w:rPr>
          <w:rFonts w:ascii="Gadugi" w:eastAsia="Malgun Gothic" w:hAnsi="Gadugi" w:cs="Estrangelo Edessa"/>
          <w:b/>
          <w:sz w:val="24"/>
          <w:szCs w:val="24"/>
        </w:rPr>
        <w:t>A</w:t>
      </w:r>
      <w:r w:rsidRPr="00E82BAD">
        <w:rPr>
          <w:rFonts w:ascii="Gadugi" w:eastAsia="Malgun Gothic" w:hAnsi="Gadugi" w:cs="Estrangelo Edessa"/>
          <w:b/>
          <w:sz w:val="24"/>
          <w:szCs w:val="24"/>
        </w:rPr>
        <w:t>CIONES</w:t>
      </w:r>
    </w:p>
    <w:p w14:paraId="31BD308B" w14:textId="41FC0DDA" w:rsidR="00FD67FF" w:rsidRPr="00E82BAD" w:rsidRDefault="00FD67FF" w:rsidP="00E82BAD">
      <w:pPr>
        <w:spacing w:after="0" w:line="276" w:lineRule="auto"/>
        <w:jc w:val="both"/>
        <w:rPr>
          <w:rFonts w:ascii="Gadugi" w:eastAsia="Malgun Gothic" w:hAnsi="Gadugi" w:cs="Estrangelo Edessa"/>
          <w:bCs/>
          <w:sz w:val="24"/>
          <w:szCs w:val="24"/>
        </w:rPr>
      </w:pPr>
    </w:p>
    <w:p w14:paraId="7DAC375D" w14:textId="15F8738B" w:rsidR="00FD67FF" w:rsidRPr="00E82BAD" w:rsidRDefault="00210B91" w:rsidP="00E82BAD">
      <w:pPr>
        <w:pStyle w:val="Prrafodelista"/>
        <w:numPr>
          <w:ilvl w:val="1"/>
          <w:numId w:val="1"/>
        </w:numPr>
        <w:tabs>
          <w:tab w:val="left" w:pos="567"/>
        </w:tabs>
        <w:spacing w:after="0" w:line="276" w:lineRule="auto"/>
        <w:ind w:left="0" w:firstLine="0"/>
        <w:jc w:val="both"/>
        <w:rPr>
          <w:rFonts w:ascii="Gadugi" w:eastAsia="Malgun Gothic" w:hAnsi="Gadugi" w:cs="Estrangelo Edessa"/>
          <w:bCs/>
          <w:sz w:val="24"/>
          <w:szCs w:val="24"/>
        </w:rPr>
      </w:pPr>
      <w:r w:rsidRPr="00E82BAD">
        <w:rPr>
          <w:rFonts w:ascii="Gadugi" w:eastAsia="Malgun Gothic" w:hAnsi="Gadugi" w:cs="Estrangelo Edessa"/>
          <w:bCs/>
          <w:sz w:val="24"/>
          <w:szCs w:val="24"/>
        </w:rPr>
        <w:t xml:space="preserve">Los presupuestos del proceso concurren cabalmente y no se avizora causal de nulidad que dé al traste con lo actuado, Por tanto, se resolverá de fondo el asunto. </w:t>
      </w:r>
    </w:p>
    <w:p w14:paraId="77756898" w14:textId="743EFA98" w:rsidR="00210B91" w:rsidRPr="00E82BAD" w:rsidRDefault="00210B91" w:rsidP="00E82BAD">
      <w:pPr>
        <w:spacing w:after="0" w:line="276" w:lineRule="auto"/>
        <w:jc w:val="both"/>
        <w:rPr>
          <w:rFonts w:ascii="Gadugi" w:eastAsia="Malgun Gothic" w:hAnsi="Gadugi" w:cs="Estrangelo Edessa"/>
          <w:bCs/>
          <w:sz w:val="24"/>
          <w:szCs w:val="24"/>
        </w:rPr>
      </w:pPr>
    </w:p>
    <w:p w14:paraId="2F208D0F" w14:textId="7FE3AF8B" w:rsidR="00210B91" w:rsidRPr="00E82BAD" w:rsidRDefault="00210B91" w:rsidP="00E82BAD">
      <w:pPr>
        <w:pStyle w:val="Prrafodelista"/>
        <w:numPr>
          <w:ilvl w:val="1"/>
          <w:numId w:val="1"/>
        </w:numPr>
        <w:tabs>
          <w:tab w:val="left" w:pos="567"/>
          <w:tab w:val="left" w:pos="2268"/>
        </w:tabs>
        <w:spacing w:after="0" w:line="276" w:lineRule="auto"/>
        <w:ind w:left="0" w:firstLine="0"/>
        <w:jc w:val="both"/>
        <w:rPr>
          <w:rFonts w:ascii="Gadugi" w:eastAsia="Malgun Gothic" w:hAnsi="Gadugi" w:cs="Estrangelo Edessa"/>
          <w:bCs/>
          <w:sz w:val="24"/>
          <w:szCs w:val="24"/>
        </w:rPr>
      </w:pPr>
      <w:r w:rsidRPr="00E82BAD">
        <w:rPr>
          <w:rFonts w:ascii="Gadugi" w:eastAsia="Malgun Gothic" w:hAnsi="Gadugi" w:cs="Estrangelo Edessa"/>
          <w:bCs/>
          <w:sz w:val="24"/>
          <w:szCs w:val="24"/>
        </w:rPr>
        <w:t xml:space="preserve">La legitimación en la causa, que es </w:t>
      </w:r>
      <w:r w:rsidR="00CB6C8D" w:rsidRPr="00E82BAD">
        <w:rPr>
          <w:rFonts w:ascii="Gadugi" w:eastAsia="Malgun Gothic" w:hAnsi="Gadugi" w:cs="Estrangelo Edessa"/>
          <w:bCs/>
          <w:sz w:val="24"/>
          <w:szCs w:val="24"/>
        </w:rPr>
        <w:t>cuestión</w:t>
      </w:r>
      <w:r w:rsidRPr="00E82BAD">
        <w:rPr>
          <w:rFonts w:ascii="Gadugi" w:eastAsia="Malgun Gothic" w:hAnsi="Gadugi" w:cs="Estrangelo Edessa"/>
          <w:bCs/>
          <w:sz w:val="24"/>
          <w:szCs w:val="24"/>
        </w:rPr>
        <w:t xml:space="preserve"> que debe analizarse de oficio, es clara en este asunto respecto del </w:t>
      </w:r>
      <w:r w:rsidR="00CB6C8D" w:rsidRPr="00E82BAD">
        <w:rPr>
          <w:rFonts w:ascii="Gadugi" w:eastAsia="Malgun Gothic" w:hAnsi="Gadugi" w:cs="Estrangelo Edessa"/>
          <w:bCs/>
          <w:sz w:val="24"/>
          <w:szCs w:val="24"/>
        </w:rPr>
        <w:t>ejecutante y</w:t>
      </w:r>
      <w:r w:rsidRPr="00E82BAD">
        <w:rPr>
          <w:rFonts w:ascii="Gadugi" w:eastAsia="Malgun Gothic" w:hAnsi="Gadugi" w:cs="Estrangelo Edessa"/>
          <w:bCs/>
          <w:sz w:val="24"/>
          <w:szCs w:val="24"/>
        </w:rPr>
        <w:t xml:space="preserve"> el codemandado Darío Alexánder Herrera Perico</w:t>
      </w:r>
      <w:r w:rsidR="00250415" w:rsidRPr="00E82BAD">
        <w:rPr>
          <w:rFonts w:ascii="Gadugi" w:eastAsia="Malgun Gothic" w:hAnsi="Gadugi" w:cs="Estrangelo Edessa"/>
          <w:bCs/>
          <w:sz w:val="24"/>
          <w:szCs w:val="24"/>
        </w:rPr>
        <w:t xml:space="preserve">, como quiera que se trata del cobro por la vía ejecutiva de unas letras de cambio aceptadas por el segundo a favor del primero, como se verá adelante. </w:t>
      </w:r>
    </w:p>
    <w:p w14:paraId="0C04779F" w14:textId="5CD272B6" w:rsidR="0081057B" w:rsidRPr="00E82BAD" w:rsidRDefault="0081057B" w:rsidP="00E82BAD">
      <w:pPr>
        <w:spacing w:after="0" w:line="276" w:lineRule="auto"/>
        <w:jc w:val="both"/>
        <w:rPr>
          <w:rFonts w:ascii="Gadugi" w:eastAsia="Malgun Gothic" w:hAnsi="Gadugi" w:cs="Estrangelo Edessa"/>
          <w:bCs/>
          <w:sz w:val="24"/>
          <w:szCs w:val="24"/>
        </w:rPr>
      </w:pPr>
    </w:p>
    <w:p w14:paraId="2A616BFB" w14:textId="679C54CB" w:rsidR="00CB6C8D" w:rsidRPr="00E82BAD" w:rsidRDefault="00CB6C8D" w:rsidP="00E82BAD">
      <w:pPr>
        <w:spacing w:after="0" w:line="276" w:lineRule="auto"/>
        <w:jc w:val="both"/>
        <w:rPr>
          <w:rFonts w:ascii="Gadugi" w:eastAsia="Malgun Gothic" w:hAnsi="Gadugi" w:cs="Estrangelo Edessa"/>
          <w:bCs/>
          <w:sz w:val="24"/>
          <w:szCs w:val="24"/>
        </w:rPr>
      </w:pPr>
      <w:r w:rsidRPr="00E82BAD">
        <w:rPr>
          <w:rFonts w:ascii="Gadugi" w:eastAsia="Malgun Gothic" w:hAnsi="Gadugi" w:cs="Estrangelo Edessa"/>
          <w:bCs/>
          <w:sz w:val="24"/>
          <w:szCs w:val="24"/>
        </w:rPr>
        <w:t xml:space="preserve">Distinta es la situación frente a Martha Inés Castaño Marín, porque, para definir si está legitimada por pasiva, al menos frente a la pretensión real implorada, es menester abordar las censuras que se plantean </w:t>
      </w:r>
      <w:r w:rsidR="009E58C7" w:rsidRPr="00E82BAD">
        <w:rPr>
          <w:rFonts w:ascii="Gadugi" w:eastAsia="Malgun Gothic" w:hAnsi="Gadugi" w:cs="Estrangelo Edessa"/>
          <w:bCs/>
          <w:sz w:val="24"/>
          <w:szCs w:val="24"/>
        </w:rPr>
        <w:t>contra</w:t>
      </w:r>
      <w:r w:rsidRPr="00E82BAD">
        <w:rPr>
          <w:rFonts w:ascii="Gadugi" w:eastAsia="Malgun Gothic" w:hAnsi="Gadugi" w:cs="Estrangelo Edessa"/>
          <w:bCs/>
          <w:sz w:val="24"/>
          <w:szCs w:val="24"/>
        </w:rPr>
        <w:t xml:space="preserve"> </w:t>
      </w:r>
      <w:r w:rsidR="009E58C7" w:rsidRPr="00E82BAD">
        <w:rPr>
          <w:rFonts w:ascii="Gadugi" w:eastAsia="Malgun Gothic" w:hAnsi="Gadugi" w:cs="Estrangelo Edessa"/>
          <w:bCs/>
          <w:sz w:val="24"/>
          <w:szCs w:val="24"/>
        </w:rPr>
        <w:t>e</w:t>
      </w:r>
      <w:r w:rsidRPr="00E82BAD">
        <w:rPr>
          <w:rFonts w:ascii="Gadugi" w:eastAsia="Malgun Gothic" w:hAnsi="Gadugi" w:cs="Estrangelo Edessa"/>
          <w:bCs/>
          <w:sz w:val="24"/>
          <w:szCs w:val="24"/>
        </w:rPr>
        <w:t xml:space="preserve">l fallo. </w:t>
      </w:r>
    </w:p>
    <w:p w14:paraId="3ACFCAFD" w14:textId="50AB23F3" w:rsidR="00617CF1" w:rsidRPr="00E82BAD" w:rsidRDefault="00617CF1" w:rsidP="00E82BAD">
      <w:pPr>
        <w:spacing w:after="0" w:line="276" w:lineRule="auto"/>
        <w:jc w:val="both"/>
        <w:rPr>
          <w:rFonts w:ascii="Gadugi" w:eastAsia="Malgun Gothic" w:hAnsi="Gadugi" w:cs="Estrangelo Edessa"/>
          <w:bCs/>
          <w:sz w:val="24"/>
          <w:szCs w:val="24"/>
        </w:rPr>
      </w:pPr>
    </w:p>
    <w:p w14:paraId="19019748" w14:textId="5E3986FF" w:rsidR="00617CF1" w:rsidRPr="00E82BAD" w:rsidRDefault="00137406" w:rsidP="00E82BAD">
      <w:pPr>
        <w:pStyle w:val="Prrafodelista"/>
        <w:numPr>
          <w:ilvl w:val="1"/>
          <w:numId w:val="1"/>
        </w:numPr>
        <w:tabs>
          <w:tab w:val="left" w:pos="567"/>
        </w:tabs>
        <w:spacing w:after="0" w:line="276" w:lineRule="auto"/>
        <w:ind w:left="0" w:firstLine="0"/>
        <w:jc w:val="both"/>
        <w:rPr>
          <w:rFonts w:ascii="Gadugi" w:eastAsia="Calibri" w:hAnsi="Gadugi" w:cs="Times New Roman"/>
          <w:sz w:val="24"/>
          <w:szCs w:val="24"/>
        </w:rPr>
      </w:pPr>
      <w:r w:rsidRPr="00E82BAD">
        <w:rPr>
          <w:rFonts w:ascii="Gadugi" w:eastAsia="Malgun Gothic" w:hAnsi="Gadugi" w:cs="Estrangelo Edessa"/>
          <w:bCs/>
          <w:sz w:val="24"/>
          <w:szCs w:val="24"/>
        </w:rPr>
        <w:t xml:space="preserve"> </w:t>
      </w:r>
      <w:r w:rsidR="00617CF1" w:rsidRPr="00E82BAD">
        <w:rPr>
          <w:rFonts w:ascii="Gadugi" w:eastAsia="Malgun Gothic" w:hAnsi="Gadugi" w:cs="Estrangelo Edessa"/>
          <w:bCs/>
          <w:sz w:val="24"/>
          <w:szCs w:val="24"/>
        </w:rPr>
        <w:t xml:space="preserve">Precisamente, para elucidar esa situación debe recordarse que, </w:t>
      </w:r>
      <w:r w:rsidR="00617CF1" w:rsidRPr="00E82BAD">
        <w:rPr>
          <w:rFonts w:ascii="Gadugi" w:eastAsia="Calibri" w:hAnsi="Gadugi" w:cs="Times New Roman"/>
          <w:sz w:val="24"/>
          <w:szCs w:val="24"/>
        </w:rPr>
        <w:t>en los términos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w:t>
      </w:r>
      <w:r w:rsidR="00A82730" w:rsidRPr="00E82BAD">
        <w:rPr>
          <w:rFonts w:ascii="Gadugi" w:eastAsia="Calibri" w:hAnsi="Gadugi" w:cs="Times New Roman"/>
          <w:sz w:val="24"/>
          <w:szCs w:val="24"/>
        </w:rPr>
        <w:t>, e incluso, la revisión del título ejecutivo)</w:t>
      </w:r>
      <w:r w:rsidR="00617CF1" w:rsidRPr="00E82BAD">
        <w:rPr>
          <w:rFonts w:ascii="Gadugi" w:eastAsia="Calibri" w:hAnsi="Gadugi" w:cs="Times New Roman"/>
          <w:sz w:val="24"/>
          <w:szCs w:val="24"/>
        </w:rPr>
        <w:t>. Es lo que se ha dado en denominar la pretensión impugnaticia, como ha sido reconocido por esta Sala de tiempo atrás</w:t>
      </w:r>
      <w:r w:rsidR="00617CF1" w:rsidRPr="00E82BAD">
        <w:rPr>
          <w:rStyle w:val="Refdenotaalpie"/>
          <w:rFonts w:ascii="Gadugi" w:eastAsia="Calibri" w:hAnsi="Gadugi" w:cs="Times New Roman"/>
          <w:sz w:val="24"/>
          <w:szCs w:val="24"/>
        </w:rPr>
        <w:footnoteReference w:id="16"/>
      </w:r>
      <w:r w:rsidR="00617CF1" w:rsidRPr="00E82BAD">
        <w:rPr>
          <w:rFonts w:ascii="Gadugi" w:eastAsia="Calibri" w:hAnsi="Gadugi" w:cs="Times New Roman"/>
          <w:sz w:val="24"/>
          <w:szCs w:val="24"/>
        </w:rPr>
        <w:t xml:space="preserve"> y lo han reiterado otras</w:t>
      </w:r>
      <w:r w:rsidR="00617CF1" w:rsidRPr="00E82BAD">
        <w:rPr>
          <w:rStyle w:val="Refdenotaalpie"/>
          <w:rFonts w:ascii="Gadugi" w:eastAsia="Calibri" w:hAnsi="Gadugi" w:cs="Times New Roman"/>
          <w:sz w:val="24"/>
          <w:szCs w:val="24"/>
        </w:rPr>
        <w:footnoteReference w:id="17"/>
      </w:r>
      <w:r w:rsidR="00617CF1" w:rsidRPr="00E82BAD">
        <w:rPr>
          <w:rFonts w:ascii="Gadugi" w:eastAsia="Calibri" w:hAnsi="Gadugi" w:cs="Times New Roman"/>
          <w:sz w:val="24"/>
          <w:szCs w:val="24"/>
        </w:rPr>
        <w:t>, con soporte en decisiones de la Corte, unas de tutela</w:t>
      </w:r>
      <w:r w:rsidR="00617CF1" w:rsidRPr="00E82BAD">
        <w:rPr>
          <w:rStyle w:val="Refdenotaalpie"/>
          <w:rFonts w:ascii="Gadugi" w:eastAsia="Calibri" w:hAnsi="Gadugi" w:cs="Times New Roman"/>
          <w:sz w:val="24"/>
          <w:szCs w:val="24"/>
        </w:rPr>
        <w:footnoteReference w:id="18"/>
      </w:r>
      <w:r w:rsidR="00617CF1" w:rsidRPr="00E82BAD">
        <w:rPr>
          <w:rFonts w:ascii="Gadugi" w:eastAsia="Calibri" w:hAnsi="Gadugi" w:cs="Times New Roman"/>
          <w:sz w:val="24"/>
          <w:szCs w:val="24"/>
        </w:rPr>
        <w:t>, que se acogen como criterio auxiliar, y otras de casación</w:t>
      </w:r>
      <w:r w:rsidR="00617CF1" w:rsidRPr="00E82BAD">
        <w:rPr>
          <w:rStyle w:val="Refdenotaalpie"/>
          <w:rFonts w:ascii="Gadugi" w:eastAsia="Calibri" w:hAnsi="Gadugi" w:cs="Times New Roman"/>
          <w:sz w:val="24"/>
          <w:szCs w:val="24"/>
        </w:rPr>
        <w:footnoteReference w:id="19"/>
      </w:r>
      <w:r w:rsidR="00617CF1" w:rsidRPr="00E82BAD">
        <w:rPr>
          <w:rFonts w:ascii="Gadugi" w:eastAsia="Calibri" w:hAnsi="Gadugi" w:cs="Times New Roman"/>
          <w:sz w:val="24"/>
          <w:szCs w:val="24"/>
        </w:rPr>
        <w:t xml:space="preserve">. </w:t>
      </w:r>
    </w:p>
    <w:p w14:paraId="1BEAA0B0" w14:textId="2300131C" w:rsidR="008A7184" w:rsidRPr="00E82BAD" w:rsidRDefault="008A7184" w:rsidP="00E82BAD">
      <w:pPr>
        <w:spacing w:after="0" w:line="276" w:lineRule="auto"/>
        <w:jc w:val="both"/>
        <w:rPr>
          <w:rFonts w:ascii="Gadugi" w:eastAsia="Malgun Gothic" w:hAnsi="Gadugi" w:cs="Estrangelo Edessa"/>
          <w:bCs/>
          <w:sz w:val="24"/>
          <w:szCs w:val="24"/>
        </w:rPr>
      </w:pPr>
    </w:p>
    <w:p w14:paraId="7ABE64E4" w14:textId="4F2C136A" w:rsidR="008A7184" w:rsidRPr="00E82BAD" w:rsidRDefault="008A7184" w:rsidP="00E82BAD">
      <w:pPr>
        <w:spacing w:after="0" w:line="276" w:lineRule="auto"/>
        <w:jc w:val="both"/>
        <w:rPr>
          <w:rFonts w:ascii="Gadugi" w:eastAsia="Malgun Gothic" w:hAnsi="Gadugi" w:cs="Estrangelo Edessa"/>
          <w:bCs/>
          <w:sz w:val="24"/>
          <w:szCs w:val="24"/>
        </w:rPr>
      </w:pPr>
      <w:r w:rsidRPr="00E82BAD">
        <w:rPr>
          <w:rFonts w:ascii="Gadugi" w:eastAsia="Malgun Gothic" w:hAnsi="Gadugi" w:cs="Estrangelo Edessa"/>
          <w:bCs/>
          <w:sz w:val="24"/>
          <w:szCs w:val="24"/>
        </w:rPr>
        <w:t xml:space="preserve">Apreciación que viene muy al caso, porque la impugnación propuesta por la parte demandante se contrae solo a dos decisiones del juzgado: </w:t>
      </w:r>
      <w:r w:rsidR="00137406" w:rsidRPr="00E82BAD">
        <w:rPr>
          <w:rFonts w:ascii="Gadugi" w:eastAsia="Malgun Gothic" w:hAnsi="Gadugi" w:cs="Estrangelo Edessa"/>
          <w:bCs/>
          <w:sz w:val="24"/>
          <w:szCs w:val="24"/>
        </w:rPr>
        <w:t>el ordinal segundo</w:t>
      </w:r>
      <w:r w:rsidRPr="00E82BAD">
        <w:rPr>
          <w:rFonts w:ascii="Gadugi" w:eastAsia="Malgun Gothic" w:hAnsi="Gadugi" w:cs="Estrangelo Edessa"/>
          <w:bCs/>
          <w:sz w:val="24"/>
          <w:szCs w:val="24"/>
        </w:rPr>
        <w:t xml:space="preserve">, que declaró la nulidad del contrato de prenda aducido; y </w:t>
      </w:r>
      <w:r w:rsidR="00137406" w:rsidRPr="00E82BAD">
        <w:rPr>
          <w:rFonts w:ascii="Gadugi" w:eastAsia="Malgun Gothic" w:hAnsi="Gadugi" w:cs="Estrangelo Edessa"/>
          <w:bCs/>
          <w:sz w:val="24"/>
          <w:szCs w:val="24"/>
        </w:rPr>
        <w:t>el octavo</w:t>
      </w:r>
      <w:r w:rsidRPr="00E82BAD">
        <w:rPr>
          <w:rFonts w:ascii="Gadugi" w:eastAsia="Malgun Gothic" w:hAnsi="Gadugi" w:cs="Estrangelo Edessa"/>
          <w:bCs/>
          <w:sz w:val="24"/>
          <w:szCs w:val="24"/>
        </w:rPr>
        <w:t xml:space="preserve"> que, como consecuencia de l</w:t>
      </w:r>
      <w:r w:rsidR="00137406" w:rsidRPr="00E82BAD">
        <w:rPr>
          <w:rFonts w:ascii="Gadugi" w:eastAsia="Malgun Gothic" w:hAnsi="Gadugi" w:cs="Estrangelo Edessa"/>
          <w:bCs/>
          <w:sz w:val="24"/>
          <w:szCs w:val="24"/>
        </w:rPr>
        <w:t>o</w:t>
      </w:r>
      <w:r w:rsidRPr="00E82BAD">
        <w:rPr>
          <w:rFonts w:ascii="Gadugi" w:eastAsia="Malgun Gothic" w:hAnsi="Gadugi" w:cs="Estrangelo Edessa"/>
          <w:bCs/>
          <w:sz w:val="24"/>
          <w:szCs w:val="24"/>
        </w:rPr>
        <w:t xml:space="preserve"> anterior </w:t>
      </w:r>
      <w:r w:rsidR="000418AC" w:rsidRPr="00E82BAD">
        <w:rPr>
          <w:rFonts w:ascii="Gadugi" w:eastAsia="Malgun Gothic" w:hAnsi="Gadugi" w:cs="Estrangelo Edessa"/>
          <w:bCs/>
          <w:sz w:val="24"/>
          <w:szCs w:val="24"/>
        </w:rPr>
        <w:t xml:space="preserve">y de la falsedad declarada, </w:t>
      </w:r>
      <w:r w:rsidRPr="00E82BAD">
        <w:rPr>
          <w:rFonts w:ascii="Gadugi" w:eastAsia="Malgun Gothic" w:hAnsi="Gadugi" w:cs="Estrangelo Edessa"/>
          <w:bCs/>
          <w:sz w:val="24"/>
          <w:szCs w:val="24"/>
        </w:rPr>
        <w:t>se abstuvo de seguir la ejecución en contra de Martha Inés Castaño Marín</w:t>
      </w:r>
      <w:r w:rsidR="000418AC" w:rsidRPr="00E82BAD">
        <w:rPr>
          <w:rFonts w:ascii="Gadugi" w:eastAsia="Malgun Gothic" w:hAnsi="Gadugi" w:cs="Estrangelo Edessa"/>
          <w:bCs/>
          <w:sz w:val="24"/>
          <w:szCs w:val="24"/>
        </w:rPr>
        <w:t>.</w:t>
      </w:r>
    </w:p>
    <w:p w14:paraId="0450E559" w14:textId="77777777" w:rsidR="008A7184" w:rsidRPr="00E82BAD" w:rsidRDefault="008A7184" w:rsidP="00E82BAD">
      <w:pPr>
        <w:spacing w:after="0" w:line="276" w:lineRule="auto"/>
        <w:jc w:val="both"/>
        <w:rPr>
          <w:rFonts w:ascii="Gadugi" w:eastAsia="Malgun Gothic" w:hAnsi="Gadugi" w:cs="Estrangelo Edessa"/>
          <w:bCs/>
          <w:sz w:val="24"/>
          <w:szCs w:val="24"/>
        </w:rPr>
      </w:pPr>
    </w:p>
    <w:p w14:paraId="54E9EFA3" w14:textId="2889151F" w:rsidR="008A7184" w:rsidRPr="00E82BAD" w:rsidRDefault="008A7184" w:rsidP="00E82BAD">
      <w:pPr>
        <w:spacing w:after="0" w:line="276" w:lineRule="auto"/>
        <w:jc w:val="both"/>
        <w:rPr>
          <w:rFonts w:ascii="Gadugi" w:eastAsia="Malgun Gothic" w:hAnsi="Gadugi" w:cs="Estrangelo Edessa"/>
          <w:sz w:val="24"/>
          <w:szCs w:val="24"/>
        </w:rPr>
      </w:pPr>
      <w:r w:rsidRPr="00E82BAD">
        <w:rPr>
          <w:rFonts w:ascii="Gadugi" w:eastAsia="Malgun Gothic" w:hAnsi="Gadugi" w:cs="Estrangelo Edessa"/>
          <w:sz w:val="24"/>
          <w:szCs w:val="24"/>
        </w:rPr>
        <w:t xml:space="preserve">Quiere ello decir que, en lo demás, </w:t>
      </w:r>
      <w:r w:rsidR="00B44DF9" w:rsidRPr="00E82BAD">
        <w:rPr>
          <w:rFonts w:ascii="Gadugi" w:eastAsia="Malgun Gothic" w:hAnsi="Gadugi" w:cs="Estrangelo Edessa"/>
          <w:sz w:val="24"/>
          <w:szCs w:val="24"/>
        </w:rPr>
        <w:t xml:space="preserve">hubo conformidad de las partes. La ejecutante aceptó la </w:t>
      </w:r>
      <w:r w:rsidR="000418AC" w:rsidRPr="00E82BAD">
        <w:rPr>
          <w:rFonts w:ascii="Gadugi" w:eastAsia="Malgun Gothic" w:hAnsi="Gadugi" w:cs="Estrangelo Edessa"/>
          <w:sz w:val="24"/>
          <w:szCs w:val="24"/>
        </w:rPr>
        <w:t>decisión sobre la tacha</w:t>
      </w:r>
      <w:r w:rsidR="00B44DF9" w:rsidRPr="00E82BAD">
        <w:rPr>
          <w:rFonts w:ascii="Gadugi" w:eastAsia="Malgun Gothic" w:hAnsi="Gadugi" w:cs="Estrangelo Edessa"/>
          <w:sz w:val="24"/>
          <w:szCs w:val="24"/>
        </w:rPr>
        <w:t xml:space="preserve"> con todas sus consecuencias, y nada </w:t>
      </w:r>
      <w:r w:rsidR="000418AC" w:rsidRPr="00E82BAD">
        <w:rPr>
          <w:rFonts w:ascii="Gadugi" w:eastAsia="Malgun Gothic" w:hAnsi="Gadugi" w:cs="Estrangelo Edessa"/>
          <w:sz w:val="24"/>
          <w:szCs w:val="24"/>
        </w:rPr>
        <w:t xml:space="preserve">se reprocha </w:t>
      </w:r>
      <w:r w:rsidR="00B44DF9" w:rsidRPr="00E82BAD">
        <w:rPr>
          <w:rFonts w:ascii="Gadugi" w:eastAsia="Malgun Gothic" w:hAnsi="Gadugi" w:cs="Estrangelo Edessa"/>
          <w:sz w:val="24"/>
          <w:szCs w:val="24"/>
        </w:rPr>
        <w:t>sobre la decisión de continuar el trámite contra Darío Alexánder Herrera</w:t>
      </w:r>
      <w:r w:rsidR="001019AB" w:rsidRPr="00E82BAD">
        <w:rPr>
          <w:rFonts w:ascii="Gadugi" w:eastAsia="Malgun Gothic" w:hAnsi="Gadugi" w:cs="Estrangelo Edessa"/>
          <w:sz w:val="24"/>
          <w:szCs w:val="24"/>
        </w:rPr>
        <w:t xml:space="preserve"> Perico</w:t>
      </w:r>
      <w:r w:rsidR="00B44DF9" w:rsidRPr="00E82BAD">
        <w:rPr>
          <w:rFonts w:ascii="Gadugi" w:eastAsia="Malgun Gothic" w:hAnsi="Gadugi" w:cs="Estrangelo Edessa"/>
          <w:sz w:val="24"/>
          <w:szCs w:val="24"/>
        </w:rPr>
        <w:t xml:space="preserve">. </w:t>
      </w:r>
    </w:p>
    <w:p w14:paraId="6629590C" w14:textId="5B4A0457" w:rsidR="00B44DF9" w:rsidRPr="00E82BAD" w:rsidRDefault="00B44DF9" w:rsidP="00E82BAD">
      <w:pPr>
        <w:spacing w:after="0" w:line="276" w:lineRule="auto"/>
        <w:jc w:val="both"/>
        <w:rPr>
          <w:rFonts w:ascii="Gadugi" w:eastAsia="Malgun Gothic" w:hAnsi="Gadugi" w:cs="Estrangelo Edessa"/>
          <w:bCs/>
          <w:sz w:val="24"/>
          <w:szCs w:val="24"/>
        </w:rPr>
      </w:pPr>
    </w:p>
    <w:p w14:paraId="03E6FF1C" w14:textId="7D0D5053" w:rsidR="008F73A1" w:rsidRPr="00E82BAD" w:rsidRDefault="00B44DF9" w:rsidP="00E82BAD">
      <w:pPr>
        <w:spacing w:after="0" w:line="276" w:lineRule="auto"/>
        <w:jc w:val="both"/>
        <w:rPr>
          <w:rFonts w:ascii="Gadugi" w:eastAsia="Malgun Gothic" w:hAnsi="Gadugi" w:cs="Estrangelo Edessa"/>
          <w:bCs/>
          <w:sz w:val="24"/>
          <w:szCs w:val="24"/>
        </w:rPr>
      </w:pPr>
      <w:r w:rsidRPr="00E82BAD">
        <w:rPr>
          <w:rFonts w:ascii="Gadugi" w:eastAsia="Malgun Gothic" w:hAnsi="Gadugi" w:cs="Estrangelo Edessa"/>
          <w:bCs/>
          <w:sz w:val="24"/>
          <w:szCs w:val="24"/>
        </w:rPr>
        <w:t xml:space="preserve">Valga aquí una anotación. </w:t>
      </w:r>
      <w:bookmarkStart w:id="3" w:name="_Hlk124329654"/>
      <w:r w:rsidRPr="00E82BAD">
        <w:rPr>
          <w:rFonts w:ascii="Gadugi" w:eastAsia="Malgun Gothic" w:hAnsi="Gadugi" w:cs="Estrangelo Edessa"/>
          <w:bCs/>
          <w:sz w:val="24"/>
          <w:szCs w:val="24"/>
        </w:rPr>
        <w:t>Muerto un litigante que carece de apoderado judicial, pero que ya ha sido notifica</w:t>
      </w:r>
      <w:r w:rsidR="008F73A1" w:rsidRPr="00E82BAD">
        <w:rPr>
          <w:rFonts w:ascii="Gadugi" w:eastAsia="Malgun Gothic" w:hAnsi="Gadugi" w:cs="Estrangelo Edessa"/>
          <w:bCs/>
          <w:sz w:val="24"/>
          <w:szCs w:val="24"/>
        </w:rPr>
        <w:t>d</w:t>
      </w:r>
      <w:r w:rsidRPr="00E82BAD">
        <w:rPr>
          <w:rFonts w:ascii="Gadugi" w:eastAsia="Malgun Gothic" w:hAnsi="Gadugi" w:cs="Estrangelo Edessa"/>
          <w:bCs/>
          <w:sz w:val="24"/>
          <w:szCs w:val="24"/>
        </w:rPr>
        <w:t>o, lo pertinente es convocar a los continuadores de su voluntad</w:t>
      </w:r>
      <w:r w:rsidR="000418AC" w:rsidRPr="00E82BAD">
        <w:rPr>
          <w:rFonts w:ascii="Gadugi" w:eastAsia="Malgun Gothic" w:hAnsi="Gadugi" w:cs="Estrangelo Edessa"/>
          <w:bCs/>
          <w:sz w:val="24"/>
          <w:szCs w:val="24"/>
        </w:rPr>
        <w:t>, simplemente para que se apersonen del proceso, si lo quieren hacer. Y</w:t>
      </w:r>
      <w:r w:rsidRPr="00E82BAD">
        <w:rPr>
          <w:rFonts w:ascii="Gadugi" w:eastAsia="Malgun Gothic" w:hAnsi="Gadugi" w:cs="Estrangelo Edessa"/>
          <w:bCs/>
          <w:sz w:val="24"/>
          <w:szCs w:val="24"/>
        </w:rPr>
        <w:t xml:space="preserve"> puede ocurrir, como aquí, que</w:t>
      </w:r>
      <w:r w:rsidR="00493A8F" w:rsidRPr="00E82BAD">
        <w:rPr>
          <w:rFonts w:ascii="Gadugi" w:eastAsia="Malgun Gothic" w:hAnsi="Gadugi" w:cs="Estrangelo Edessa"/>
          <w:bCs/>
          <w:sz w:val="24"/>
          <w:szCs w:val="24"/>
        </w:rPr>
        <w:t>,</w:t>
      </w:r>
      <w:r w:rsidRPr="00E82BAD">
        <w:rPr>
          <w:rFonts w:ascii="Gadugi" w:eastAsia="Malgun Gothic" w:hAnsi="Gadugi" w:cs="Estrangelo Edessa"/>
          <w:bCs/>
          <w:sz w:val="24"/>
          <w:szCs w:val="24"/>
        </w:rPr>
        <w:t xml:space="preserve"> ante el desconocimiento de esas personas, se emplace a los herederos indeterminados y se les designe curador. </w:t>
      </w:r>
      <w:r w:rsidR="00137406" w:rsidRPr="00E82BAD">
        <w:rPr>
          <w:rFonts w:ascii="Gadugi" w:eastAsia="Malgun Gothic" w:hAnsi="Gadugi" w:cs="Estrangelo Edessa"/>
          <w:bCs/>
          <w:sz w:val="24"/>
          <w:szCs w:val="24"/>
        </w:rPr>
        <w:t>Mas</w:t>
      </w:r>
      <w:r w:rsidRPr="00E82BAD">
        <w:rPr>
          <w:rFonts w:ascii="Gadugi" w:eastAsia="Malgun Gothic" w:hAnsi="Gadugi" w:cs="Estrangelo Edessa"/>
          <w:bCs/>
          <w:sz w:val="24"/>
          <w:szCs w:val="24"/>
        </w:rPr>
        <w:t xml:space="preserve"> eso no supone que, si el demandado ya estaba notificado y había dejado vencer el término para su defensa en silencio, se abra una nueva oportunidad para que ese curador proponga excepciones</w:t>
      </w:r>
      <w:bookmarkEnd w:id="3"/>
      <w:r w:rsidRPr="00E82BAD">
        <w:rPr>
          <w:rFonts w:ascii="Gadugi" w:eastAsia="Malgun Gothic" w:hAnsi="Gadugi" w:cs="Estrangelo Edessa"/>
          <w:bCs/>
          <w:sz w:val="24"/>
          <w:szCs w:val="24"/>
        </w:rPr>
        <w:t>. De ahí lo inapropiado de haberle dado trámite a la prescripción que se propuso, como lo reconoció con acierto el juez que, a la postre, definió la primera instancia</w:t>
      </w:r>
      <w:r w:rsidR="000418AC" w:rsidRPr="00E82BAD">
        <w:rPr>
          <w:rFonts w:ascii="Gadugi" w:eastAsia="Malgun Gothic" w:hAnsi="Gadugi" w:cs="Estrangelo Edessa"/>
          <w:bCs/>
          <w:sz w:val="24"/>
          <w:szCs w:val="24"/>
        </w:rPr>
        <w:t>.</w:t>
      </w:r>
      <w:r w:rsidR="008F73A1" w:rsidRPr="00E82BAD">
        <w:rPr>
          <w:rFonts w:ascii="Gadugi" w:eastAsia="Malgun Gothic" w:hAnsi="Gadugi" w:cs="Estrangelo Edessa"/>
          <w:bCs/>
          <w:sz w:val="24"/>
          <w:szCs w:val="24"/>
        </w:rPr>
        <w:t xml:space="preserve"> </w:t>
      </w:r>
    </w:p>
    <w:p w14:paraId="3C38904C" w14:textId="6104861B" w:rsidR="00CC48DA" w:rsidRPr="00E82BAD" w:rsidRDefault="00CC48DA" w:rsidP="00E82BAD">
      <w:pPr>
        <w:spacing w:after="0" w:line="276" w:lineRule="auto"/>
        <w:jc w:val="both"/>
        <w:rPr>
          <w:rFonts w:ascii="Gadugi" w:eastAsia="Malgun Gothic" w:hAnsi="Gadugi" w:cs="Estrangelo Edessa"/>
          <w:bCs/>
          <w:sz w:val="24"/>
          <w:szCs w:val="24"/>
        </w:rPr>
      </w:pPr>
    </w:p>
    <w:p w14:paraId="3F491B0D" w14:textId="0FFFA3D5" w:rsidR="005204EC" w:rsidRPr="00E82BAD" w:rsidRDefault="00A82730" w:rsidP="00E82BAD">
      <w:pPr>
        <w:spacing w:after="0" w:line="276" w:lineRule="auto"/>
        <w:jc w:val="both"/>
        <w:rPr>
          <w:rFonts w:ascii="Gadugi" w:eastAsia="Malgun Gothic" w:hAnsi="Gadugi" w:cs="Estrangelo Edessa"/>
          <w:bCs/>
          <w:sz w:val="24"/>
          <w:szCs w:val="24"/>
        </w:rPr>
      </w:pPr>
      <w:r w:rsidRPr="00E82BAD">
        <w:rPr>
          <w:rFonts w:ascii="Gadugi" w:eastAsia="Malgun Gothic" w:hAnsi="Gadugi" w:cs="Estrangelo Edessa"/>
          <w:bCs/>
          <w:sz w:val="24"/>
          <w:szCs w:val="24"/>
        </w:rPr>
        <w:t xml:space="preserve">Como se señaló, en los procesos ejecutivos, </w:t>
      </w:r>
      <w:bookmarkStart w:id="4" w:name="_Hlk124329925"/>
      <w:r w:rsidRPr="00E82BAD">
        <w:rPr>
          <w:rFonts w:ascii="Gadugi" w:eastAsia="Malgun Gothic" w:hAnsi="Gadugi" w:cs="Estrangelo Edessa"/>
          <w:bCs/>
          <w:sz w:val="24"/>
          <w:szCs w:val="24"/>
        </w:rPr>
        <w:t>también la jurisprudencia tiene dicho que al juez le incumbe revisar de oficio los requisitos del t</w:t>
      </w:r>
      <w:r w:rsidR="00F62D9A" w:rsidRPr="00E82BAD">
        <w:rPr>
          <w:rFonts w:ascii="Gadugi" w:eastAsia="Malgun Gothic" w:hAnsi="Gadugi" w:cs="Estrangelo Edessa"/>
          <w:bCs/>
          <w:sz w:val="24"/>
          <w:szCs w:val="24"/>
        </w:rPr>
        <w:t>í</w:t>
      </w:r>
      <w:r w:rsidRPr="00E82BAD">
        <w:rPr>
          <w:rFonts w:ascii="Gadugi" w:eastAsia="Malgun Gothic" w:hAnsi="Gadugi" w:cs="Estrangelo Edessa"/>
          <w:bCs/>
          <w:sz w:val="24"/>
          <w:szCs w:val="24"/>
        </w:rPr>
        <w:t>tulo ejecutivo, al momento de dictar sentencia. En la citada providencia SC</w:t>
      </w:r>
      <w:r w:rsidR="00637CDB" w:rsidRPr="00E82BAD">
        <w:rPr>
          <w:rFonts w:ascii="Gadugi" w:eastAsia="Malgun Gothic" w:hAnsi="Gadugi" w:cs="Estrangelo Edessa"/>
          <w:bCs/>
          <w:sz w:val="24"/>
          <w:szCs w:val="24"/>
        </w:rPr>
        <w:t xml:space="preserve">3918-2021, </w:t>
      </w:r>
      <w:r w:rsidR="00712050" w:rsidRPr="00E82BAD">
        <w:rPr>
          <w:rFonts w:ascii="Gadugi" w:eastAsia="Malgun Gothic" w:hAnsi="Gadugi" w:cs="Estrangelo Edessa"/>
          <w:bCs/>
          <w:sz w:val="24"/>
          <w:szCs w:val="24"/>
        </w:rPr>
        <w:t>invocada</w:t>
      </w:r>
      <w:r w:rsidR="00637CDB" w:rsidRPr="00E82BAD">
        <w:rPr>
          <w:rFonts w:ascii="Gadugi" w:eastAsia="Malgun Gothic" w:hAnsi="Gadugi" w:cs="Estrangelo Edessa"/>
          <w:bCs/>
          <w:sz w:val="24"/>
          <w:szCs w:val="24"/>
        </w:rPr>
        <w:t xml:space="preserve"> también en la </w:t>
      </w:r>
      <w:r w:rsidR="00C57AAD" w:rsidRPr="00E82BAD">
        <w:rPr>
          <w:rFonts w:ascii="Gadugi" w:eastAsia="Malgun Gothic" w:hAnsi="Gadugi" w:cs="Estrangelo Edessa"/>
          <w:bCs/>
          <w:sz w:val="24"/>
          <w:szCs w:val="24"/>
        </w:rPr>
        <w:t>SC1303</w:t>
      </w:r>
      <w:r w:rsidR="00637CDB" w:rsidRPr="00E82BAD">
        <w:rPr>
          <w:rFonts w:ascii="Gadugi" w:eastAsia="Malgun Gothic" w:hAnsi="Gadugi" w:cs="Estrangelo Edessa"/>
          <w:bCs/>
          <w:sz w:val="24"/>
          <w:szCs w:val="24"/>
        </w:rPr>
        <w:t xml:space="preserve">-2022, </w:t>
      </w:r>
      <w:r w:rsidR="005204EC" w:rsidRPr="00E82BAD">
        <w:rPr>
          <w:rFonts w:ascii="Gadugi" w:eastAsia="Malgun Gothic" w:hAnsi="Gadugi" w:cs="Estrangelo Edessa"/>
          <w:bCs/>
          <w:sz w:val="24"/>
          <w:szCs w:val="24"/>
        </w:rPr>
        <w:t xml:space="preserve">recordó la Corte que: </w:t>
      </w:r>
    </w:p>
    <w:p w14:paraId="6CB5DC4C" w14:textId="4FA432EC" w:rsidR="005204EC" w:rsidRPr="00E82BAD" w:rsidRDefault="005204EC" w:rsidP="00E82BAD">
      <w:pPr>
        <w:spacing w:after="0" w:line="276" w:lineRule="auto"/>
        <w:jc w:val="both"/>
        <w:rPr>
          <w:rFonts w:ascii="Gadugi" w:eastAsia="Malgun Gothic" w:hAnsi="Gadugi" w:cs="Estrangelo Edessa"/>
          <w:bCs/>
          <w:sz w:val="24"/>
          <w:szCs w:val="24"/>
        </w:rPr>
      </w:pPr>
    </w:p>
    <w:p w14:paraId="0545B685" w14:textId="05435D70" w:rsidR="00F8562E" w:rsidRPr="00D16DEB" w:rsidRDefault="00F8562E" w:rsidP="00D16DEB">
      <w:pPr>
        <w:spacing w:after="0" w:line="240" w:lineRule="auto"/>
        <w:ind w:left="426" w:right="420"/>
        <w:jc w:val="both"/>
        <w:rPr>
          <w:rFonts w:ascii="Gadugi" w:eastAsia="Malgun Gothic" w:hAnsi="Gadugi" w:cs="Estrangelo Edessa"/>
          <w:bCs/>
          <w:szCs w:val="24"/>
        </w:rPr>
      </w:pPr>
      <w:r w:rsidRPr="00D16DEB">
        <w:rPr>
          <w:rFonts w:ascii="Gadugi" w:hAnsi="Gadugi"/>
          <w:szCs w:val="24"/>
        </w:rPr>
        <w:t>…</w:t>
      </w:r>
      <w:r w:rsidR="00D16DEB" w:rsidRPr="00D16DEB">
        <w:rPr>
          <w:rFonts w:ascii="Gadugi" w:hAnsi="Gadugi"/>
          <w:szCs w:val="24"/>
        </w:rPr>
        <w:t xml:space="preserve"> </w:t>
      </w:r>
      <w:r w:rsidRPr="00D16DEB">
        <w:rPr>
          <w:rFonts w:ascii="Gadugi" w:hAnsi="Gadugi"/>
          <w:szCs w:val="24"/>
        </w:rPr>
        <w:t>como regla de principio, la decisión del superior está restringida a los argumentos expuestos por el apelante, lo que no obsta para que sentencie sobre temáticas respecto de las cuales el ordenamiento le impone pronunciarse mot</w:t>
      </w:r>
      <w:r w:rsidR="00C57AAD">
        <w:rPr>
          <w:rFonts w:ascii="Gadugi" w:hAnsi="Gadugi"/>
          <w:szCs w:val="24"/>
        </w:rPr>
        <w:t>u</w:t>
      </w:r>
      <w:r w:rsidRPr="00D16DEB">
        <w:rPr>
          <w:rFonts w:ascii="Gadugi" w:hAnsi="Gadugi"/>
          <w:szCs w:val="24"/>
        </w:rPr>
        <w:t xml:space="preserve"> proprio, por estar íntimamente relacionadas con el asunto sometido a su conocimiento</w:t>
      </w:r>
      <w:bookmarkEnd w:id="4"/>
      <w:r w:rsidRPr="00D16DEB">
        <w:rPr>
          <w:rFonts w:ascii="Gadugi" w:hAnsi="Gadugi"/>
          <w:szCs w:val="24"/>
        </w:rPr>
        <w:t>, verbi gratia, las restituciones mutuas derivadas de distintas modalidades de decaimiento de un acuerdo de voluntades (CSJ SC 020 de 2003, rad. 6610; SC10097 de 2015, rad. 2009-00241); el deber de reexaminar en juicios coactivos el título ejecutivo aportado a efectos de determinar la cabal concurrencia de sus requisitos (CSJ STC15169 de 2019, rad. 2019-01721; CSJ STC13428 de 2019, rad. 2019-01460); entre otros eventos.</w:t>
      </w:r>
    </w:p>
    <w:p w14:paraId="23777A9F" w14:textId="77777777" w:rsidR="005204EC" w:rsidRPr="00E82BAD" w:rsidRDefault="005204EC" w:rsidP="00E82BAD">
      <w:pPr>
        <w:tabs>
          <w:tab w:val="left" w:pos="1418"/>
        </w:tabs>
        <w:spacing w:line="276" w:lineRule="auto"/>
        <w:ind w:right="618"/>
        <w:jc w:val="both"/>
        <w:rPr>
          <w:rFonts w:ascii="Gadugi" w:hAnsi="Gadugi"/>
          <w:sz w:val="24"/>
          <w:szCs w:val="24"/>
        </w:rPr>
      </w:pPr>
    </w:p>
    <w:p w14:paraId="70E5404D" w14:textId="24E3C503" w:rsidR="00CB6C8D" w:rsidRPr="00E82BAD" w:rsidRDefault="008F73A1" w:rsidP="00E82BAD">
      <w:pPr>
        <w:pStyle w:val="Prrafodelista"/>
        <w:numPr>
          <w:ilvl w:val="1"/>
          <w:numId w:val="1"/>
        </w:numPr>
        <w:tabs>
          <w:tab w:val="left" w:pos="567"/>
        </w:tabs>
        <w:spacing w:after="0" w:line="276" w:lineRule="auto"/>
        <w:ind w:left="0" w:firstLine="0"/>
        <w:jc w:val="both"/>
        <w:rPr>
          <w:rFonts w:ascii="Gadugi" w:eastAsia="Malgun Gothic" w:hAnsi="Gadugi" w:cs="Estrangelo Edessa"/>
          <w:bCs/>
          <w:sz w:val="24"/>
          <w:szCs w:val="24"/>
        </w:rPr>
      </w:pPr>
      <w:r w:rsidRPr="00E82BAD">
        <w:rPr>
          <w:rFonts w:ascii="Gadugi" w:eastAsia="Malgun Gothic" w:hAnsi="Gadugi" w:cs="Estrangelo Edessa"/>
          <w:bCs/>
          <w:sz w:val="24"/>
          <w:szCs w:val="24"/>
        </w:rPr>
        <w:t xml:space="preserve"> Pues bien, si la apelación se circunscribe a esas dos cuestiones, </w:t>
      </w:r>
      <w:bookmarkStart w:id="5" w:name="_Hlk124330167"/>
      <w:r w:rsidRPr="00E82BAD">
        <w:rPr>
          <w:rFonts w:ascii="Gadugi" w:eastAsia="Malgun Gothic" w:hAnsi="Gadugi" w:cs="Estrangelo Edessa"/>
          <w:bCs/>
          <w:sz w:val="24"/>
          <w:szCs w:val="24"/>
        </w:rPr>
        <w:t>lo que corresponde definir a la Sala es si confirma el fallo en cuanto declaró la nulidad de la prenda y se abstuvo de seguir adelante la ejecución contra la señora Castaño Marín, o la revoca en esos dos apartes, como pretende el recurrente</w:t>
      </w:r>
      <w:bookmarkEnd w:id="5"/>
      <w:r w:rsidRPr="00E82BAD">
        <w:rPr>
          <w:rFonts w:ascii="Gadugi" w:eastAsia="Malgun Gothic" w:hAnsi="Gadugi" w:cs="Estrangelo Edessa"/>
          <w:bCs/>
          <w:sz w:val="24"/>
          <w:szCs w:val="24"/>
        </w:rPr>
        <w:t xml:space="preserve">. De esa definición deriva la legitimación de la codemandada. </w:t>
      </w:r>
    </w:p>
    <w:p w14:paraId="705699C2" w14:textId="28593728" w:rsidR="008F73A1" w:rsidRPr="00E82BAD" w:rsidRDefault="008F73A1" w:rsidP="00E82BAD">
      <w:pPr>
        <w:pStyle w:val="Prrafodelista"/>
        <w:tabs>
          <w:tab w:val="left" w:pos="567"/>
        </w:tabs>
        <w:spacing w:after="0" w:line="276" w:lineRule="auto"/>
        <w:ind w:left="0"/>
        <w:jc w:val="both"/>
        <w:rPr>
          <w:rFonts w:ascii="Gadugi" w:eastAsia="Malgun Gothic" w:hAnsi="Gadugi" w:cs="Estrangelo Edessa"/>
          <w:bCs/>
          <w:sz w:val="24"/>
          <w:szCs w:val="24"/>
        </w:rPr>
      </w:pPr>
    </w:p>
    <w:p w14:paraId="4F2D03F9" w14:textId="006BC105" w:rsidR="008F73A1" w:rsidRPr="00E82BAD" w:rsidRDefault="008F73A1" w:rsidP="00E82BAD">
      <w:pPr>
        <w:pStyle w:val="Prrafodelista"/>
        <w:numPr>
          <w:ilvl w:val="1"/>
          <w:numId w:val="1"/>
        </w:numPr>
        <w:tabs>
          <w:tab w:val="left" w:pos="567"/>
        </w:tabs>
        <w:spacing w:after="0" w:line="276" w:lineRule="auto"/>
        <w:ind w:left="0" w:firstLine="0"/>
        <w:jc w:val="both"/>
        <w:rPr>
          <w:rFonts w:ascii="Gadugi" w:eastAsia="Malgun Gothic" w:hAnsi="Gadugi" w:cs="Estrangelo Edessa"/>
          <w:bCs/>
          <w:sz w:val="24"/>
          <w:szCs w:val="24"/>
        </w:rPr>
      </w:pPr>
      <w:r w:rsidRPr="00E82BAD">
        <w:rPr>
          <w:rFonts w:ascii="Gadugi" w:eastAsia="Malgun Gothic" w:hAnsi="Gadugi" w:cs="Estrangelo Edessa"/>
          <w:bCs/>
          <w:sz w:val="24"/>
          <w:szCs w:val="24"/>
        </w:rPr>
        <w:lastRenderedPageBreak/>
        <w:t xml:space="preserve"> Se memora que la demanda tuvo origen en la falta de pago de las obligaciones contenidas en dos letras de cambio: una, </w:t>
      </w:r>
      <w:r w:rsidR="00EA6A4E" w:rsidRPr="00E82BAD">
        <w:rPr>
          <w:rFonts w:ascii="Gadugi" w:eastAsia="Malgun Gothic" w:hAnsi="Gadugi" w:cs="Estrangelo Edessa"/>
          <w:bCs/>
          <w:sz w:val="24"/>
          <w:szCs w:val="24"/>
        </w:rPr>
        <w:t>aceptada por Darío Alexánder Herrera Perico y Martha Inés Castaño</w:t>
      </w:r>
      <w:r w:rsidR="00EA6A4E" w:rsidRPr="00E82BAD">
        <w:rPr>
          <w:rStyle w:val="Refdenotaalpie"/>
          <w:rFonts w:ascii="Gadugi" w:eastAsia="Malgun Gothic" w:hAnsi="Gadugi" w:cs="Estrangelo Edessa"/>
          <w:bCs/>
          <w:sz w:val="24"/>
          <w:szCs w:val="24"/>
        </w:rPr>
        <w:footnoteReference w:id="20"/>
      </w:r>
      <w:r w:rsidR="00EA6A4E" w:rsidRPr="00E82BAD">
        <w:rPr>
          <w:rFonts w:ascii="Gadugi" w:eastAsia="Malgun Gothic" w:hAnsi="Gadugi" w:cs="Estrangelo Edessa"/>
          <w:bCs/>
          <w:sz w:val="24"/>
          <w:szCs w:val="24"/>
        </w:rPr>
        <w:t>, por valor de $65’000.000,</w:t>
      </w:r>
      <w:r w:rsidR="00D16DEB">
        <w:rPr>
          <w:rFonts w:ascii="Gadugi" w:eastAsia="Malgun Gothic" w:hAnsi="Gadugi" w:cs="Estrangelo Edessa"/>
          <w:bCs/>
          <w:sz w:val="24"/>
          <w:szCs w:val="24"/>
        </w:rPr>
        <w:t>00</w:t>
      </w:r>
      <w:r w:rsidR="00EA6A4E" w:rsidRPr="00E82BAD">
        <w:rPr>
          <w:rFonts w:ascii="Gadugi" w:eastAsia="Malgun Gothic" w:hAnsi="Gadugi" w:cs="Estrangelo Edessa"/>
          <w:bCs/>
          <w:sz w:val="24"/>
          <w:szCs w:val="24"/>
        </w:rPr>
        <w:t>, pagadera el 16 de mayo de 2016; la otra, aceptada por Herrera Perico</w:t>
      </w:r>
      <w:r w:rsidR="00EA6A4E" w:rsidRPr="00E82BAD">
        <w:rPr>
          <w:rStyle w:val="Refdenotaalpie"/>
          <w:rFonts w:ascii="Gadugi" w:eastAsia="Malgun Gothic" w:hAnsi="Gadugi" w:cs="Estrangelo Edessa"/>
          <w:bCs/>
          <w:sz w:val="24"/>
          <w:szCs w:val="24"/>
        </w:rPr>
        <w:footnoteReference w:id="21"/>
      </w:r>
      <w:r w:rsidR="00EA6A4E" w:rsidRPr="00E82BAD">
        <w:rPr>
          <w:rFonts w:ascii="Gadugi" w:eastAsia="Malgun Gothic" w:hAnsi="Gadugi" w:cs="Estrangelo Edessa"/>
          <w:bCs/>
          <w:sz w:val="24"/>
          <w:szCs w:val="24"/>
        </w:rPr>
        <w:t xml:space="preserve"> y con vencimiento el mismo 16 de mayo de 2016</w:t>
      </w:r>
      <w:r w:rsidR="000418AC" w:rsidRPr="00E82BAD">
        <w:rPr>
          <w:rFonts w:ascii="Gadugi" w:eastAsia="Malgun Gothic" w:hAnsi="Gadugi" w:cs="Estrangelo Edessa"/>
          <w:bCs/>
          <w:sz w:val="24"/>
          <w:szCs w:val="24"/>
        </w:rPr>
        <w:t>, por valor de $35’000.000,</w:t>
      </w:r>
      <w:r w:rsidR="00B93A7C">
        <w:rPr>
          <w:rFonts w:ascii="Gadugi" w:eastAsia="Malgun Gothic" w:hAnsi="Gadugi" w:cs="Estrangelo Edessa"/>
          <w:bCs/>
          <w:sz w:val="24"/>
          <w:szCs w:val="24"/>
        </w:rPr>
        <w:t>00</w:t>
      </w:r>
      <w:r w:rsidR="000418AC" w:rsidRPr="00E82BAD">
        <w:rPr>
          <w:rFonts w:ascii="Gadugi" w:eastAsia="Malgun Gothic" w:hAnsi="Gadugi" w:cs="Estrangelo Edessa"/>
          <w:bCs/>
          <w:sz w:val="24"/>
          <w:szCs w:val="24"/>
        </w:rPr>
        <w:t>.</w:t>
      </w:r>
      <w:r w:rsidR="00EA6A4E" w:rsidRPr="00E82BAD">
        <w:rPr>
          <w:rFonts w:ascii="Gadugi" w:eastAsia="Malgun Gothic" w:hAnsi="Gadugi" w:cs="Estrangelo Edessa"/>
          <w:bCs/>
          <w:sz w:val="24"/>
          <w:szCs w:val="24"/>
        </w:rPr>
        <w:t xml:space="preserve"> </w:t>
      </w:r>
    </w:p>
    <w:p w14:paraId="3178341B" w14:textId="77777777" w:rsidR="009624F5" w:rsidRPr="00E82BAD" w:rsidRDefault="009624F5" w:rsidP="00E82BAD">
      <w:pPr>
        <w:pStyle w:val="Prrafodelista"/>
        <w:spacing w:line="276" w:lineRule="auto"/>
        <w:ind w:left="0"/>
        <w:rPr>
          <w:rFonts w:ascii="Gadugi" w:eastAsia="Malgun Gothic" w:hAnsi="Gadugi" w:cs="Estrangelo Edessa"/>
          <w:bCs/>
          <w:sz w:val="24"/>
          <w:szCs w:val="24"/>
        </w:rPr>
      </w:pPr>
    </w:p>
    <w:p w14:paraId="02131779" w14:textId="0DA0836C" w:rsidR="009624F5" w:rsidRPr="00E82BAD" w:rsidRDefault="009624F5" w:rsidP="00E82BAD">
      <w:pPr>
        <w:pStyle w:val="Prrafodelista"/>
        <w:spacing w:after="0" w:line="276" w:lineRule="auto"/>
        <w:ind w:left="0"/>
        <w:jc w:val="both"/>
        <w:rPr>
          <w:rFonts w:ascii="Gadugi" w:eastAsia="Malgun Gothic" w:hAnsi="Gadugi" w:cs="Estrangelo Edessa"/>
          <w:bCs/>
          <w:sz w:val="24"/>
          <w:szCs w:val="24"/>
        </w:rPr>
      </w:pPr>
      <w:r w:rsidRPr="00E82BAD">
        <w:rPr>
          <w:rFonts w:ascii="Gadugi" w:eastAsia="Malgun Gothic" w:hAnsi="Gadugi" w:cs="Estrangelo Edessa"/>
          <w:bCs/>
          <w:sz w:val="24"/>
          <w:szCs w:val="24"/>
        </w:rPr>
        <w:t xml:space="preserve">Solo que, como fue definido en el fallo, prosperó la tacha de falsedad que propuso la codemandada Castaño Marín, con lo cual, como deudora personal, carecía de legitimación por pasiva. </w:t>
      </w:r>
      <w:r w:rsidR="00137406" w:rsidRPr="00E82BAD">
        <w:rPr>
          <w:rFonts w:ascii="Gadugi" w:eastAsia="Malgun Gothic" w:hAnsi="Gadugi" w:cs="Estrangelo Edessa"/>
          <w:bCs/>
          <w:sz w:val="24"/>
          <w:szCs w:val="24"/>
        </w:rPr>
        <w:t>Como e</w:t>
      </w:r>
      <w:r w:rsidRPr="00E82BAD">
        <w:rPr>
          <w:rFonts w:ascii="Gadugi" w:eastAsia="Malgun Gothic" w:hAnsi="Gadugi" w:cs="Estrangelo Edessa"/>
          <w:bCs/>
          <w:sz w:val="24"/>
          <w:szCs w:val="24"/>
        </w:rPr>
        <w:t xml:space="preserve">sa </w:t>
      </w:r>
      <w:r w:rsidR="00137406" w:rsidRPr="00E82BAD">
        <w:rPr>
          <w:rFonts w:ascii="Gadugi" w:eastAsia="Malgun Gothic" w:hAnsi="Gadugi" w:cs="Estrangelo Edessa"/>
          <w:bCs/>
          <w:sz w:val="24"/>
          <w:szCs w:val="24"/>
        </w:rPr>
        <w:t>determinación</w:t>
      </w:r>
      <w:r w:rsidRPr="00E82BAD">
        <w:rPr>
          <w:rFonts w:ascii="Gadugi" w:eastAsia="Malgun Gothic" w:hAnsi="Gadugi" w:cs="Estrangelo Edessa"/>
          <w:bCs/>
          <w:sz w:val="24"/>
          <w:szCs w:val="24"/>
        </w:rPr>
        <w:t xml:space="preserve"> está por fuera de discusión en esta sede, queda relevada la Sala de cualquier pronunciamiento adicional. </w:t>
      </w:r>
    </w:p>
    <w:p w14:paraId="76935F0E" w14:textId="0EB29792" w:rsidR="009624F5" w:rsidRPr="00E82BAD" w:rsidRDefault="009624F5" w:rsidP="00E82BAD">
      <w:pPr>
        <w:pStyle w:val="Prrafodelista"/>
        <w:spacing w:after="0" w:line="276" w:lineRule="auto"/>
        <w:ind w:left="0"/>
        <w:jc w:val="both"/>
        <w:rPr>
          <w:rFonts w:ascii="Gadugi" w:eastAsia="Malgun Gothic" w:hAnsi="Gadugi" w:cs="Estrangelo Edessa"/>
          <w:bCs/>
          <w:sz w:val="24"/>
          <w:szCs w:val="24"/>
        </w:rPr>
      </w:pPr>
    </w:p>
    <w:p w14:paraId="746D7CB3" w14:textId="2DFC0F05" w:rsidR="009624F5" w:rsidRPr="00E82BAD" w:rsidRDefault="009624F5" w:rsidP="00E82BAD">
      <w:pPr>
        <w:pStyle w:val="Prrafodelista"/>
        <w:spacing w:after="0" w:line="276" w:lineRule="auto"/>
        <w:ind w:left="0"/>
        <w:jc w:val="both"/>
        <w:rPr>
          <w:rFonts w:ascii="Gadugi" w:eastAsia="Malgun Gothic" w:hAnsi="Gadugi" w:cs="Estrangelo Edessa"/>
          <w:bCs/>
          <w:sz w:val="24"/>
          <w:szCs w:val="24"/>
        </w:rPr>
      </w:pPr>
      <w:r w:rsidRPr="00E82BAD">
        <w:rPr>
          <w:rFonts w:ascii="Gadugi" w:eastAsia="Malgun Gothic" w:hAnsi="Gadugi" w:cs="Estrangelo Edessa"/>
          <w:bCs/>
          <w:sz w:val="24"/>
          <w:szCs w:val="24"/>
        </w:rPr>
        <w:t>Pero también se hizo valer aquí una prenda sin tenencia, suscrita el 8 de noviembre de 2012</w:t>
      </w:r>
      <w:r w:rsidRPr="00E82BAD">
        <w:rPr>
          <w:rStyle w:val="Refdenotaalpie"/>
          <w:rFonts w:ascii="Gadugi" w:eastAsia="Malgun Gothic" w:hAnsi="Gadugi" w:cs="Estrangelo Edessa"/>
          <w:bCs/>
          <w:sz w:val="24"/>
          <w:szCs w:val="24"/>
        </w:rPr>
        <w:footnoteReference w:id="22"/>
      </w:r>
      <w:r w:rsidRPr="00E82BAD">
        <w:rPr>
          <w:rFonts w:ascii="Gadugi" w:eastAsia="Malgun Gothic" w:hAnsi="Gadugi" w:cs="Estrangelo Edessa"/>
          <w:bCs/>
          <w:sz w:val="24"/>
          <w:szCs w:val="24"/>
        </w:rPr>
        <w:t xml:space="preserve">. A pesar de la ambigüedad de la </w:t>
      </w:r>
      <w:r w:rsidR="00C8654B" w:rsidRPr="00E82BAD">
        <w:rPr>
          <w:rFonts w:ascii="Gadugi" w:eastAsia="Malgun Gothic" w:hAnsi="Gadugi" w:cs="Estrangelo Edessa"/>
          <w:bCs/>
          <w:sz w:val="24"/>
          <w:szCs w:val="24"/>
        </w:rPr>
        <w:t xml:space="preserve">fecha, porque en letras aparece veinticuatro y en números 08 de noviembre, es sin duda esta última la que debe tenerse en cuenta, si bien el documento fue radicado ante el Instituto Municipal de Tránsito y Transporte de Pereira el 9 de ese mes. </w:t>
      </w:r>
    </w:p>
    <w:p w14:paraId="39D8F49B" w14:textId="77777777" w:rsidR="001019AB" w:rsidRPr="00E82BAD" w:rsidRDefault="001019AB" w:rsidP="00E82BAD">
      <w:pPr>
        <w:pStyle w:val="Prrafodelista"/>
        <w:spacing w:after="0" w:line="276" w:lineRule="auto"/>
        <w:ind w:left="0"/>
        <w:jc w:val="both"/>
        <w:rPr>
          <w:rFonts w:ascii="Gadugi" w:eastAsia="Malgun Gothic" w:hAnsi="Gadugi" w:cs="Estrangelo Edessa"/>
          <w:bCs/>
          <w:sz w:val="24"/>
          <w:szCs w:val="24"/>
        </w:rPr>
      </w:pPr>
    </w:p>
    <w:p w14:paraId="67411A9A" w14:textId="377640DF" w:rsidR="00C8654B" w:rsidRPr="00E82BAD" w:rsidRDefault="00C8654B" w:rsidP="00E82BAD">
      <w:pPr>
        <w:spacing w:after="0" w:line="276" w:lineRule="auto"/>
        <w:jc w:val="both"/>
        <w:rPr>
          <w:rFonts w:ascii="Gadugi" w:eastAsia="Malgun Gothic" w:hAnsi="Gadugi" w:cs="Estrangelo Edessa"/>
          <w:bCs/>
          <w:sz w:val="24"/>
          <w:szCs w:val="24"/>
        </w:rPr>
      </w:pPr>
      <w:r w:rsidRPr="00E82BAD">
        <w:rPr>
          <w:rFonts w:ascii="Gadugi" w:eastAsia="Malgun Gothic" w:hAnsi="Gadugi" w:cs="Estrangelo Edessa"/>
          <w:bCs/>
          <w:sz w:val="24"/>
          <w:szCs w:val="24"/>
        </w:rPr>
        <w:t xml:space="preserve">Dicha garantía fue constituida entre César Augusto Quiroga Londoño y Diego Alexánder Herrera Perico y comprometía, en principio, a este último, también como deudor prendario, por lo que, en </w:t>
      </w:r>
      <w:r w:rsidR="00644DAB" w:rsidRPr="00E82BAD">
        <w:rPr>
          <w:rFonts w:ascii="Gadugi" w:eastAsia="Malgun Gothic" w:hAnsi="Gadugi" w:cs="Estrangelo Edessa"/>
          <w:bCs/>
          <w:sz w:val="24"/>
          <w:szCs w:val="24"/>
        </w:rPr>
        <w:t xml:space="preserve">su </w:t>
      </w:r>
      <w:r w:rsidRPr="00E82BAD">
        <w:rPr>
          <w:rFonts w:ascii="Gadugi" w:eastAsia="Malgun Gothic" w:hAnsi="Gadugi" w:cs="Estrangelo Edessa"/>
          <w:bCs/>
          <w:sz w:val="24"/>
          <w:szCs w:val="24"/>
        </w:rPr>
        <w:t xml:space="preserve">contra, se abrirían paso las pretensiones personales derivadas de los títulos en los que figura como deudor, y </w:t>
      </w:r>
      <w:r w:rsidR="00C34F6E" w:rsidRPr="00E82BAD">
        <w:rPr>
          <w:rFonts w:ascii="Gadugi" w:eastAsia="Malgun Gothic" w:hAnsi="Gadugi" w:cs="Estrangelo Edessa"/>
          <w:bCs/>
          <w:sz w:val="24"/>
          <w:szCs w:val="24"/>
        </w:rPr>
        <w:t xml:space="preserve">las </w:t>
      </w:r>
      <w:r w:rsidRPr="00E82BAD">
        <w:rPr>
          <w:rFonts w:ascii="Gadugi" w:eastAsia="Malgun Gothic" w:hAnsi="Gadugi" w:cs="Estrangelo Edessa"/>
          <w:bCs/>
          <w:sz w:val="24"/>
          <w:szCs w:val="24"/>
        </w:rPr>
        <w:t xml:space="preserve">reales, nacidas de ese contrato de prenda. </w:t>
      </w:r>
    </w:p>
    <w:p w14:paraId="56701FC6" w14:textId="77777777" w:rsidR="00C8654B" w:rsidRPr="00E82BAD" w:rsidRDefault="00C8654B" w:rsidP="00E82BAD">
      <w:pPr>
        <w:spacing w:after="0" w:line="276" w:lineRule="auto"/>
        <w:jc w:val="both"/>
        <w:rPr>
          <w:rFonts w:ascii="Gadugi" w:eastAsia="Malgun Gothic" w:hAnsi="Gadugi" w:cs="Estrangelo Edessa"/>
          <w:bCs/>
          <w:sz w:val="24"/>
          <w:szCs w:val="24"/>
        </w:rPr>
      </w:pPr>
    </w:p>
    <w:p w14:paraId="30365A8D" w14:textId="344A8B13" w:rsidR="00753A85" w:rsidRPr="00E82BAD" w:rsidRDefault="00EA5770" w:rsidP="00E82BAD">
      <w:pPr>
        <w:spacing w:after="0" w:line="276" w:lineRule="auto"/>
        <w:jc w:val="both"/>
        <w:rPr>
          <w:rFonts w:ascii="Gadugi" w:eastAsia="Malgun Gothic" w:hAnsi="Gadugi" w:cs="Estrangelo Edessa"/>
          <w:sz w:val="24"/>
          <w:szCs w:val="24"/>
        </w:rPr>
      </w:pPr>
      <w:r w:rsidRPr="00E82BAD">
        <w:rPr>
          <w:rFonts w:ascii="Gadugi" w:eastAsia="Malgun Gothic" w:hAnsi="Gadugi" w:cs="Estrangelo Edessa"/>
          <w:sz w:val="24"/>
          <w:szCs w:val="24"/>
        </w:rPr>
        <w:t xml:space="preserve">Sucedió, sin embargo, que Martha Inés Castaño Marín, le otorgó poder a Darío Alexánder Herrera </w:t>
      </w:r>
      <w:r w:rsidR="001019AB" w:rsidRPr="00E82BAD">
        <w:rPr>
          <w:rFonts w:ascii="Gadugi" w:eastAsia="Malgun Gothic" w:hAnsi="Gadugi" w:cs="Estrangelo Edessa"/>
          <w:sz w:val="24"/>
          <w:szCs w:val="24"/>
        </w:rPr>
        <w:t>Perico</w:t>
      </w:r>
      <w:r w:rsidR="00753A85" w:rsidRPr="00E82BAD">
        <w:rPr>
          <w:rFonts w:ascii="Gadugi" w:eastAsia="Malgun Gothic" w:hAnsi="Gadugi" w:cs="Estrangelo Edessa"/>
          <w:sz w:val="24"/>
          <w:szCs w:val="24"/>
        </w:rPr>
        <w:t>, el 5 de diciembre de 2012</w:t>
      </w:r>
      <w:r w:rsidR="00753A85" w:rsidRPr="00E82BAD">
        <w:rPr>
          <w:rStyle w:val="Refdenotaalpie"/>
          <w:rFonts w:ascii="Gadugi" w:eastAsia="Malgun Gothic" w:hAnsi="Gadugi" w:cs="Estrangelo Edessa"/>
          <w:sz w:val="24"/>
          <w:szCs w:val="24"/>
        </w:rPr>
        <w:footnoteReference w:id="23"/>
      </w:r>
      <w:r w:rsidR="00753A85" w:rsidRPr="00E82BAD">
        <w:rPr>
          <w:rFonts w:ascii="Gadugi" w:eastAsia="Malgun Gothic" w:hAnsi="Gadugi" w:cs="Estrangelo Edessa"/>
          <w:sz w:val="24"/>
          <w:szCs w:val="24"/>
        </w:rPr>
        <w:t>,</w:t>
      </w:r>
      <w:r w:rsidRPr="00E82BAD">
        <w:rPr>
          <w:rFonts w:ascii="Gadugi" w:eastAsia="Malgun Gothic" w:hAnsi="Gadugi" w:cs="Estrangelo Edessa"/>
          <w:sz w:val="24"/>
          <w:szCs w:val="24"/>
        </w:rPr>
        <w:t xml:space="preserve"> para que en </w:t>
      </w:r>
      <w:r w:rsidRPr="00E82BAD">
        <w:rPr>
          <w:rFonts w:ascii="Gadugi" w:eastAsia="Malgun Gothic" w:hAnsi="Gadugi" w:cs="Estrangelo Edessa"/>
          <w:i/>
          <w:iCs/>
          <w:sz w:val="24"/>
          <w:szCs w:val="24"/>
        </w:rPr>
        <w:t>“</w:t>
      </w:r>
      <w:r w:rsidRPr="00B93A7C">
        <w:rPr>
          <w:rFonts w:ascii="Gadugi" w:eastAsia="Malgun Gothic" w:hAnsi="Gadugi" w:cs="Estrangelo Edessa"/>
          <w:i/>
          <w:iCs/>
          <w:szCs w:val="24"/>
        </w:rPr>
        <w:t xml:space="preserve">su nombre y representación firme y coloque huella en todos los documentos </w:t>
      </w:r>
      <w:r w:rsidR="00753A85" w:rsidRPr="00B93A7C">
        <w:rPr>
          <w:rFonts w:ascii="Gadugi" w:eastAsia="Malgun Gothic" w:hAnsi="Gadugi" w:cs="Estrangelo Edessa"/>
          <w:i/>
          <w:iCs/>
          <w:szCs w:val="24"/>
        </w:rPr>
        <w:t xml:space="preserve">ante la Empresa de Taxis Primer </w:t>
      </w:r>
      <w:proofErr w:type="spellStart"/>
      <w:r w:rsidR="00753A85" w:rsidRPr="00B93A7C">
        <w:rPr>
          <w:rFonts w:ascii="Gadugi" w:eastAsia="Malgun Gothic" w:hAnsi="Gadugi" w:cs="Estrangelo Edessa"/>
          <w:i/>
          <w:iCs/>
          <w:szCs w:val="24"/>
        </w:rPr>
        <w:t>Tax</w:t>
      </w:r>
      <w:proofErr w:type="spellEnd"/>
      <w:r w:rsidR="00753A85" w:rsidRPr="00B93A7C">
        <w:rPr>
          <w:rFonts w:ascii="Gadugi" w:eastAsia="Malgun Gothic" w:hAnsi="Gadugi" w:cs="Estrangelo Edessa"/>
          <w:i/>
          <w:iCs/>
          <w:szCs w:val="24"/>
        </w:rPr>
        <w:t xml:space="preserve">, Tránsito y Transporte de Pereira y/o  </w:t>
      </w:r>
      <w:r w:rsidR="00753A85" w:rsidRPr="00B93A7C">
        <w:rPr>
          <w:rFonts w:ascii="Gadugi" w:eastAsia="Malgun Gothic" w:hAnsi="Gadugi" w:cs="Estrangelo Edessa"/>
          <w:szCs w:val="24"/>
        </w:rPr>
        <w:t xml:space="preserve"> </w:t>
      </w:r>
      <w:r w:rsidRPr="00B93A7C">
        <w:rPr>
          <w:rFonts w:ascii="Gadugi" w:eastAsia="Malgun Gothic" w:hAnsi="Gadugi" w:cs="Estrangelo Edessa"/>
          <w:i/>
          <w:iCs/>
          <w:szCs w:val="24"/>
        </w:rPr>
        <w:t>Dosquebradas, para vender o poner a su nombre, conciliar, tramitar, inscribir y levantar prenda ante las entidades arriba mencionadas, de ve</w:t>
      </w:r>
      <w:r w:rsidR="00753A85" w:rsidRPr="00B93A7C">
        <w:rPr>
          <w:rFonts w:ascii="Gadugi" w:eastAsia="Malgun Gothic" w:hAnsi="Gadugi" w:cs="Estrangelo Edessa"/>
          <w:i/>
          <w:iCs/>
          <w:szCs w:val="24"/>
        </w:rPr>
        <w:t>hículo…</w:t>
      </w:r>
      <w:r w:rsidR="00753A85" w:rsidRPr="00E82BAD">
        <w:rPr>
          <w:rFonts w:ascii="Gadugi" w:eastAsia="Malgun Gothic" w:hAnsi="Gadugi" w:cs="Estrangelo Edessa"/>
          <w:i/>
          <w:iCs/>
          <w:sz w:val="24"/>
          <w:szCs w:val="24"/>
        </w:rPr>
        <w:t xml:space="preserve">” </w:t>
      </w:r>
      <w:r w:rsidR="00753A85" w:rsidRPr="00E82BAD">
        <w:rPr>
          <w:rFonts w:ascii="Gadugi" w:eastAsia="Malgun Gothic" w:hAnsi="Gadugi" w:cs="Estrangelo Edessa"/>
          <w:sz w:val="24"/>
          <w:szCs w:val="24"/>
        </w:rPr>
        <w:t xml:space="preserve">de placas WHN-106. </w:t>
      </w:r>
    </w:p>
    <w:p w14:paraId="1E16868C" w14:textId="77777777" w:rsidR="00753A85" w:rsidRPr="00E82BAD" w:rsidRDefault="00753A85" w:rsidP="00E82BAD">
      <w:pPr>
        <w:spacing w:after="0" w:line="276" w:lineRule="auto"/>
        <w:jc w:val="both"/>
        <w:rPr>
          <w:rFonts w:ascii="Gadugi" w:eastAsia="Malgun Gothic" w:hAnsi="Gadugi" w:cs="Estrangelo Edessa"/>
          <w:bCs/>
          <w:sz w:val="24"/>
          <w:szCs w:val="24"/>
        </w:rPr>
      </w:pPr>
    </w:p>
    <w:p w14:paraId="30262828" w14:textId="5DF8899E" w:rsidR="00753A85" w:rsidRPr="00E82BAD" w:rsidRDefault="00753A85" w:rsidP="00E82BAD">
      <w:pPr>
        <w:spacing w:after="0" w:line="276" w:lineRule="auto"/>
        <w:jc w:val="both"/>
        <w:rPr>
          <w:rFonts w:ascii="Gadugi" w:eastAsia="Malgun Gothic" w:hAnsi="Gadugi" w:cs="Estrangelo Edessa"/>
          <w:bCs/>
          <w:sz w:val="24"/>
          <w:szCs w:val="24"/>
        </w:rPr>
      </w:pPr>
      <w:r w:rsidRPr="00E82BAD">
        <w:rPr>
          <w:rFonts w:ascii="Gadugi" w:eastAsia="Malgun Gothic" w:hAnsi="Gadugi" w:cs="Estrangelo Edessa"/>
          <w:bCs/>
          <w:sz w:val="24"/>
          <w:szCs w:val="24"/>
        </w:rPr>
        <w:t>Y el 12 de diciembre de aquel año</w:t>
      </w:r>
      <w:r w:rsidR="007A3694" w:rsidRPr="00E82BAD">
        <w:rPr>
          <w:rStyle w:val="Refdenotaalpie"/>
          <w:rFonts w:ascii="Gadugi" w:eastAsia="Malgun Gothic" w:hAnsi="Gadugi" w:cs="Estrangelo Edessa"/>
          <w:bCs/>
          <w:sz w:val="24"/>
          <w:szCs w:val="24"/>
        </w:rPr>
        <w:footnoteReference w:id="24"/>
      </w:r>
      <w:r w:rsidRPr="00E82BAD">
        <w:rPr>
          <w:rFonts w:ascii="Gadugi" w:eastAsia="Malgun Gothic" w:hAnsi="Gadugi" w:cs="Estrangelo Edessa"/>
          <w:bCs/>
          <w:sz w:val="24"/>
          <w:szCs w:val="24"/>
        </w:rPr>
        <w:t>, César Augusto Quiroga Londoño solicitó ante el Instituto Municipal de Tránsito que se autorizara el traspaso de ese automotor a nombre de Martha Inés Castaño Marín, quien seguiría como nueva propietaria y deudora prendaria</w:t>
      </w:r>
      <w:r w:rsidR="007A3694" w:rsidRPr="00E82BAD">
        <w:rPr>
          <w:rFonts w:ascii="Gadugi" w:eastAsia="Malgun Gothic" w:hAnsi="Gadugi" w:cs="Estrangelo Edessa"/>
          <w:bCs/>
          <w:sz w:val="24"/>
          <w:szCs w:val="24"/>
        </w:rPr>
        <w:t>, movimiento del que da cuenta el certificado de tradición allegado con la demanda</w:t>
      </w:r>
      <w:r w:rsidR="007A3694" w:rsidRPr="00E82BAD">
        <w:rPr>
          <w:rStyle w:val="Refdenotaalpie"/>
          <w:rFonts w:ascii="Gadugi" w:eastAsia="Malgun Gothic" w:hAnsi="Gadugi" w:cs="Estrangelo Edessa"/>
          <w:bCs/>
          <w:sz w:val="24"/>
          <w:szCs w:val="24"/>
        </w:rPr>
        <w:footnoteReference w:id="25"/>
      </w:r>
      <w:r w:rsidR="00137406" w:rsidRPr="00E82BAD">
        <w:rPr>
          <w:rFonts w:ascii="Gadugi" w:eastAsia="Malgun Gothic" w:hAnsi="Gadugi" w:cs="Estrangelo Edessa"/>
          <w:bCs/>
          <w:sz w:val="24"/>
          <w:szCs w:val="24"/>
        </w:rPr>
        <w:t>.</w:t>
      </w:r>
    </w:p>
    <w:p w14:paraId="0E86ADEE" w14:textId="21009EB3" w:rsidR="00753A85" w:rsidRPr="00E82BAD" w:rsidRDefault="00753A85" w:rsidP="00E82BAD">
      <w:pPr>
        <w:spacing w:after="0" w:line="276" w:lineRule="auto"/>
        <w:jc w:val="both"/>
        <w:rPr>
          <w:rFonts w:ascii="Gadugi" w:eastAsia="Malgun Gothic" w:hAnsi="Gadugi" w:cs="Estrangelo Edessa"/>
          <w:bCs/>
          <w:sz w:val="24"/>
          <w:szCs w:val="24"/>
        </w:rPr>
      </w:pPr>
    </w:p>
    <w:p w14:paraId="1625B0A3" w14:textId="581676B0" w:rsidR="0081057B" w:rsidRPr="00E82BAD" w:rsidRDefault="00644DAB" w:rsidP="00E82BAD">
      <w:pPr>
        <w:pStyle w:val="Prrafodelista"/>
        <w:numPr>
          <w:ilvl w:val="1"/>
          <w:numId w:val="1"/>
        </w:numPr>
        <w:tabs>
          <w:tab w:val="left" w:pos="709"/>
        </w:tabs>
        <w:spacing w:after="0" w:line="276" w:lineRule="auto"/>
        <w:ind w:left="0" w:firstLine="0"/>
        <w:jc w:val="both"/>
        <w:rPr>
          <w:rFonts w:ascii="Gadugi" w:eastAsia="Malgun Gothic" w:hAnsi="Gadugi" w:cs="Estrangelo Edessa"/>
          <w:sz w:val="24"/>
          <w:szCs w:val="24"/>
        </w:rPr>
      </w:pPr>
      <w:r w:rsidRPr="00E82BAD">
        <w:rPr>
          <w:rFonts w:ascii="Gadugi" w:eastAsia="Malgun Gothic" w:hAnsi="Gadugi" w:cs="Estrangelo Edessa"/>
          <w:sz w:val="24"/>
          <w:szCs w:val="24"/>
        </w:rPr>
        <w:t xml:space="preserve">Como se advirtió antes, </w:t>
      </w:r>
      <w:r w:rsidR="00D24362" w:rsidRPr="00E82BAD">
        <w:rPr>
          <w:rFonts w:ascii="Gadugi" w:eastAsia="Malgun Gothic" w:hAnsi="Gadugi" w:cs="Estrangelo Edessa"/>
          <w:sz w:val="24"/>
          <w:szCs w:val="24"/>
        </w:rPr>
        <w:t xml:space="preserve">el Juzgado declaró la nulidad absoluta del contrato de prenda por la omisión de los requisitos </w:t>
      </w:r>
      <w:r w:rsidR="5450C843" w:rsidRPr="00E82BAD">
        <w:rPr>
          <w:rFonts w:ascii="Gadugi" w:eastAsia="Malgun Gothic" w:hAnsi="Gadugi" w:cs="Estrangelo Edessa"/>
          <w:sz w:val="24"/>
          <w:szCs w:val="24"/>
        </w:rPr>
        <w:t xml:space="preserve">de los artículos </w:t>
      </w:r>
      <w:r w:rsidR="00D24362" w:rsidRPr="00E82BAD">
        <w:rPr>
          <w:rFonts w:ascii="Gadugi" w:eastAsia="Calibri" w:hAnsi="Gadugi" w:cs="Times New Roman"/>
          <w:sz w:val="24"/>
          <w:szCs w:val="24"/>
        </w:rPr>
        <w:t>1209 y 121</w:t>
      </w:r>
      <w:r w:rsidR="003416ED" w:rsidRPr="00E82BAD">
        <w:rPr>
          <w:rFonts w:ascii="Gadugi" w:eastAsia="Calibri" w:hAnsi="Gadugi" w:cs="Times New Roman"/>
          <w:sz w:val="24"/>
          <w:szCs w:val="24"/>
        </w:rPr>
        <w:t>0</w:t>
      </w:r>
      <w:r w:rsidR="00D24362" w:rsidRPr="00E82BAD">
        <w:rPr>
          <w:rFonts w:ascii="Gadugi" w:eastAsia="Calibri" w:hAnsi="Gadugi" w:cs="Times New Roman"/>
          <w:sz w:val="24"/>
          <w:szCs w:val="24"/>
        </w:rPr>
        <w:t xml:space="preserve"> del C. de Comercio</w:t>
      </w:r>
      <w:r w:rsidR="00D24362" w:rsidRPr="00E82BAD">
        <w:rPr>
          <w:rFonts w:ascii="Gadugi" w:eastAsia="Malgun Gothic" w:hAnsi="Gadugi" w:cs="Estrangelo Edessa"/>
          <w:sz w:val="24"/>
          <w:szCs w:val="24"/>
        </w:rPr>
        <w:t xml:space="preserve">, </w:t>
      </w:r>
      <w:r w:rsidR="00D24362" w:rsidRPr="00E82BAD">
        <w:rPr>
          <w:rFonts w:ascii="Gadugi" w:eastAsia="Malgun Gothic" w:hAnsi="Gadugi" w:cs="Estrangelo Edessa"/>
          <w:sz w:val="24"/>
          <w:szCs w:val="24"/>
        </w:rPr>
        <w:lastRenderedPageBreak/>
        <w:t>al advertir</w:t>
      </w:r>
      <w:r w:rsidR="00712050" w:rsidRPr="00E82BAD">
        <w:rPr>
          <w:rStyle w:val="Refdenotaalpie"/>
          <w:rFonts w:ascii="Gadugi" w:eastAsia="Malgun Gothic" w:hAnsi="Gadugi" w:cs="Estrangelo Edessa"/>
          <w:sz w:val="24"/>
          <w:szCs w:val="24"/>
        </w:rPr>
        <w:footnoteReference w:id="26"/>
      </w:r>
      <w:r w:rsidR="00D24362" w:rsidRPr="00E82BAD">
        <w:rPr>
          <w:rFonts w:ascii="Gadugi" w:eastAsia="Malgun Gothic" w:hAnsi="Gadugi" w:cs="Estrangelo Edessa"/>
          <w:sz w:val="24"/>
          <w:szCs w:val="24"/>
        </w:rPr>
        <w:t xml:space="preserve"> que</w:t>
      </w:r>
      <w:r w:rsidRPr="00E82BAD">
        <w:rPr>
          <w:rFonts w:ascii="Gadugi" w:eastAsia="Calibri" w:hAnsi="Gadugi" w:cs="Times New Roman"/>
          <w:sz w:val="24"/>
          <w:szCs w:val="24"/>
        </w:rPr>
        <w:t xml:space="preserve"> </w:t>
      </w:r>
      <w:r w:rsidRPr="00E82BAD">
        <w:rPr>
          <w:rFonts w:ascii="Gadugi" w:eastAsia="Calibri" w:hAnsi="Gadugi" w:cs="Times New Roman"/>
          <w:i/>
          <w:iCs/>
          <w:sz w:val="24"/>
          <w:szCs w:val="24"/>
        </w:rPr>
        <w:t>“</w:t>
      </w:r>
      <w:r w:rsidRPr="00B93A7C">
        <w:rPr>
          <w:rFonts w:ascii="Gadugi" w:eastAsia="Malgun Gothic" w:hAnsi="Gadugi" w:cs="Estrangelo Edessa"/>
          <w:i/>
          <w:iCs/>
          <w:szCs w:val="24"/>
        </w:rPr>
        <w:t xml:space="preserve">el nombre y domicilio del acreedor, se cumple con el nombre pero no </w:t>
      </w:r>
      <w:r w:rsidR="00FF4F86" w:rsidRPr="00B93A7C">
        <w:rPr>
          <w:rFonts w:ascii="Gadugi" w:eastAsia="Malgun Gothic" w:hAnsi="Gadugi" w:cs="Estrangelo Edessa"/>
          <w:i/>
          <w:iCs/>
          <w:szCs w:val="24"/>
        </w:rPr>
        <w:t xml:space="preserve">se informa el </w:t>
      </w:r>
      <w:r w:rsidRPr="00B93A7C">
        <w:rPr>
          <w:rFonts w:ascii="Gadugi" w:eastAsia="Malgun Gothic" w:hAnsi="Gadugi" w:cs="Estrangelo Edessa"/>
          <w:i/>
          <w:iCs/>
          <w:szCs w:val="24"/>
        </w:rPr>
        <w:t>domicilio</w:t>
      </w:r>
      <w:r w:rsidR="00FF4F86" w:rsidRPr="00B93A7C">
        <w:rPr>
          <w:rFonts w:ascii="Gadugi" w:eastAsia="Malgun Gothic" w:hAnsi="Gadugi" w:cs="Estrangelo Edessa"/>
          <w:i/>
          <w:iCs/>
          <w:szCs w:val="24"/>
        </w:rPr>
        <w:t>;</w:t>
      </w:r>
      <w:r w:rsidRPr="00B93A7C">
        <w:rPr>
          <w:rFonts w:ascii="Gadugi" w:eastAsia="Malgun Gothic" w:hAnsi="Gadugi" w:cs="Estrangelo Edessa"/>
          <w:i/>
          <w:iCs/>
          <w:szCs w:val="24"/>
        </w:rPr>
        <w:t xml:space="preserve"> segundo requisito</w:t>
      </w:r>
      <w:r w:rsidR="00FF4F86" w:rsidRPr="00B93A7C">
        <w:rPr>
          <w:rFonts w:ascii="Gadugi" w:eastAsia="Malgun Gothic" w:hAnsi="Gadugi" w:cs="Estrangelo Edessa"/>
          <w:i/>
          <w:iCs/>
          <w:szCs w:val="24"/>
        </w:rPr>
        <w:t>,</w:t>
      </w:r>
      <w:r w:rsidRPr="00B93A7C">
        <w:rPr>
          <w:rFonts w:ascii="Gadugi" w:eastAsia="Malgun Gothic" w:hAnsi="Gadugi" w:cs="Estrangelo Edessa"/>
          <w:i/>
          <w:iCs/>
          <w:szCs w:val="24"/>
        </w:rPr>
        <w:t xml:space="preserve"> el nombre y domicilio del deudor se cumple con el nombre pero no se informa el domicilio</w:t>
      </w:r>
      <w:r w:rsidR="00FF4F86" w:rsidRPr="00B93A7C">
        <w:rPr>
          <w:rFonts w:ascii="Gadugi" w:eastAsia="Malgun Gothic" w:hAnsi="Gadugi" w:cs="Estrangelo Edessa"/>
          <w:i/>
          <w:iCs/>
          <w:szCs w:val="24"/>
        </w:rPr>
        <w:t xml:space="preserve">; </w:t>
      </w:r>
      <w:r w:rsidRPr="00B93A7C">
        <w:rPr>
          <w:rFonts w:ascii="Gadugi" w:eastAsia="Malgun Gothic" w:hAnsi="Gadugi" w:cs="Estrangelo Edessa"/>
          <w:i/>
          <w:iCs/>
          <w:szCs w:val="24"/>
        </w:rPr>
        <w:t>tercero la fecha, naturaleza, valor de la obligación que se garantiza y los intereses pactados en su caso, no se informa cual es la obligación u obligaciones garantizadas, ni siquiera un monto máximo para tenerla como prenda abierta</w:t>
      </w:r>
      <w:r w:rsidR="00FF4F86" w:rsidRPr="00B93A7C">
        <w:rPr>
          <w:rFonts w:ascii="Gadugi" w:eastAsia="Malgun Gothic" w:hAnsi="Gadugi" w:cs="Estrangelo Edessa"/>
          <w:i/>
          <w:iCs/>
          <w:szCs w:val="24"/>
        </w:rPr>
        <w:t xml:space="preserve">; </w:t>
      </w:r>
      <w:r w:rsidRPr="00B93A7C">
        <w:rPr>
          <w:rFonts w:ascii="Gadugi" w:eastAsia="Malgun Gothic" w:hAnsi="Gadugi" w:cs="Estrangelo Edessa"/>
          <w:i/>
          <w:iCs/>
          <w:szCs w:val="24"/>
        </w:rPr>
        <w:t>cuarto requisito</w:t>
      </w:r>
      <w:r w:rsidR="00FF4F86" w:rsidRPr="00B93A7C">
        <w:rPr>
          <w:rFonts w:ascii="Gadugi" w:eastAsia="Malgun Gothic" w:hAnsi="Gadugi" w:cs="Estrangelo Edessa"/>
          <w:i/>
          <w:iCs/>
          <w:szCs w:val="24"/>
        </w:rPr>
        <w:t xml:space="preserve"> o elemento, </w:t>
      </w:r>
      <w:r w:rsidRPr="00B93A7C">
        <w:rPr>
          <w:rFonts w:ascii="Gadugi" w:eastAsia="Malgun Gothic" w:hAnsi="Gadugi" w:cs="Estrangelo Edessa"/>
          <w:i/>
          <w:iCs/>
          <w:szCs w:val="24"/>
        </w:rPr>
        <w:t>la fecha de vencimiento de dicha obligación</w:t>
      </w:r>
      <w:r w:rsidR="00FF4F86" w:rsidRPr="00B93A7C">
        <w:rPr>
          <w:rFonts w:ascii="Gadugi" w:eastAsia="Malgun Gothic" w:hAnsi="Gadugi" w:cs="Estrangelo Edessa"/>
          <w:i/>
          <w:iCs/>
          <w:szCs w:val="24"/>
        </w:rPr>
        <w:t>,</w:t>
      </w:r>
      <w:r w:rsidRPr="00B93A7C">
        <w:rPr>
          <w:rFonts w:ascii="Gadugi" w:eastAsia="Malgun Gothic" w:hAnsi="Gadugi" w:cs="Estrangelo Edessa"/>
          <w:i/>
          <w:iCs/>
          <w:szCs w:val="24"/>
        </w:rPr>
        <w:t xml:space="preserve"> tampoco </w:t>
      </w:r>
      <w:r w:rsidR="00FF4F86" w:rsidRPr="00B93A7C">
        <w:rPr>
          <w:rFonts w:ascii="Gadugi" w:eastAsia="Malgun Gothic" w:hAnsi="Gadugi" w:cs="Estrangelo Edessa"/>
          <w:i/>
          <w:iCs/>
          <w:szCs w:val="24"/>
        </w:rPr>
        <w:t xml:space="preserve">ello </w:t>
      </w:r>
      <w:r w:rsidRPr="00B93A7C">
        <w:rPr>
          <w:rFonts w:ascii="Gadugi" w:eastAsia="Malgun Gothic" w:hAnsi="Gadugi" w:cs="Estrangelo Edessa"/>
          <w:i/>
          <w:iCs/>
          <w:szCs w:val="24"/>
        </w:rPr>
        <w:t>se estipula, ni un plazo claramente determinable que permitiera decir que es prenda abierta, porque el mencionar dentro de la cláusula tercera que es hasta que se cancele la obligación no define claramente el plazo</w:t>
      </w:r>
      <w:r w:rsidR="00C701A5" w:rsidRPr="00B93A7C">
        <w:rPr>
          <w:rFonts w:ascii="Gadugi" w:eastAsia="Malgun Gothic" w:hAnsi="Gadugi" w:cs="Estrangelo Edessa"/>
          <w:i/>
          <w:iCs/>
          <w:szCs w:val="24"/>
        </w:rPr>
        <w:t>;</w:t>
      </w:r>
      <w:r w:rsidRPr="00B93A7C">
        <w:rPr>
          <w:rFonts w:ascii="Gadugi" w:eastAsia="Malgun Gothic" w:hAnsi="Gadugi" w:cs="Estrangelo Edessa"/>
          <w:i/>
          <w:iCs/>
          <w:szCs w:val="24"/>
        </w:rPr>
        <w:t xml:space="preserve"> quinto el detalle de las especies gravadas con prenda, con indicación de la cantidad y todas las demás circunstancias</w:t>
      </w:r>
      <w:r w:rsidR="00C701A5" w:rsidRPr="00B93A7C">
        <w:rPr>
          <w:rFonts w:ascii="Gadugi" w:eastAsia="Malgun Gothic" w:hAnsi="Gadugi" w:cs="Estrangelo Edessa"/>
          <w:i/>
          <w:iCs/>
          <w:szCs w:val="24"/>
        </w:rPr>
        <w:t xml:space="preserve">, </w:t>
      </w:r>
      <w:r w:rsidRPr="00B93A7C">
        <w:rPr>
          <w:rFonts w:ascii="Gadugi" w:eastAsia="Malgun Gothic" w:hAnsi="Gadugi" w:cs="Estrangelo Edessa"/>
          <w:i/>
          <w:iCs/>
          <w:szCs w:val="24"/>
        </w:rPr>
        <w:t>este se cumpla al identificar el vehículo automotor</w:t>
      </w:r>
      <w:r w:rsidR="00C701A5" w:rsidRPr="00B93A7C">
        <w:rPr>
          <w:rFonts w:ascii="Gadugi" w:eastAsia="Malgun Gothic" w:hAnsi="Gadugi" w:cs="Estrangelo Edessa"/>
          <w:i/>
          <w:iCs/>
          <w:szCs w:val="24"/>
        </w:rPr>
        <w:t>;</w:t>
      </w:r>
      <w:r w:rsidRPr="00B93A7C">
        <w:rPr>
          <w:rFonts w:ascii="Gadugi" w:eastAsia="Malgun Gothic" w:hAnsi="Gadugi" w:cs="Estrangelo Edessa"/>
          <w:i/>
          <w:iCs/>
          <w:szCs w:val="24"/>
        </w:rPr>
        <w:t xml:space="preserve"> numeral sexto</w:t>
      </w:r>
      <w:r w:rsidR="00C701A5" w:rsidRPr="00B93A7C">
        <w:rPr>
          <w:rFonts w:ascii="Gadugi" w:eastAsia="Malgun Gothic" w:hAnsi="Gadugi" w:cs="Estrangelo Edessa"/>
          <w:i/>
          <w:iCs/>
          <w:szCs w:val="24"/>
        </w:rPr>
        <w:t xml:space="preserve"> o elemento sexto, </w:t>
      </w:r>
      <w:r w:rsidRPr="00B93A7C">
        <w:rPr>
          <w:rFonts w:ascii="Gadugi" w:eastAsia="Malgun Gothic" w:hAnsi="Gadugi" w:cs="Estrangelo Edessa"/>
          <w:i/>
          <w:iCs/>
          <w:szCs w:val="24"/>
        </w:rPr>
        <w:t xml:space="preserve"> lugar en que deberán permanecer las cosas gravadas con indicación</w:t>
      </w:r>
      <w:r w:rsidR="00C701A5" w:rsidRPr="00B93A7C">
        <w:rPr>
          <w:rFonts w:ascii="Gadugi" w:eastAsia="Malgun Gothic" w:hAnsi="Gadugi" w:cs="Estrangelo Edessa"/>
          <w:i/>
          <w:iCs/>
          <w:szCs w:val="24"/>
        </w:rPr>
        <w:t xml:space="preserve"> de</w:t>
      </w:r>
      <w:r w:rsidRPr="00B93A7C">
        <w:rPr>
          <w:rFonts w:ascii="Gadugi" w:eastAsia="Malgun Gothic" w:hAnsi="Gadugi" w:cs="Estrangelo Edessa"/>
          <w:i/>
          <w:iCs/>
          <w:szCs w:val="24"/>
        </w:rPr>
        <w:t xml:space="preserve"> si el propietario de est</w:t>
      </w:r>
      <w:r w:rsidR="00C701A5" w:rsidRPr="00B93A7C">
        <w:rPr>
          <w:rFonts w:ascii="Gadugi" w:eastAsia="Malgun Gothic" w:hAnsi="Gadugi" w:cs="Estrangelo Edessa"/>
          <w:i/>
          <w:iCs/>
          <w:szCs w:val="24"/>
        </w:rPr>
        <w:t>as</w:t>
      </w:r>
      <w:r w:rsidRPr="00B93A7C">
        <w:rPr>
          <w:rFonts w:ascii="Gadugi" w:eastAsia="Malgun Gothic" w:hAnsi="Gadugi" w:cs="Estrangelo Edessa"/>
          <w:i/>
          <w:iCs/>
          <w:szCs w:val="24"/>
        </w:rPr>
        <w:t xml:space="preserve"> si es dueño, arrendatario, usufructuario o acreedor </w:t>
      </w:r>
      <w:proofErr w:type="spellStart"/>
      <w:r w:rsidRPr="00B93A7C">
        <w:rPr>
          <w:rFonts w:ascii="Gadugi" w:eastAsia="Malgun Gothic" w:hAnsi="Gadugi" w:cs="Estrangelo Edessa"/>
          <w:i/>
          <w:iCs/>
          <w:szCs w:val="24"/>
        </w:rPr>
        <w:t>antricrético</w:t>
      </w:r>
      <w:proofErr w:type="spellEnd"/>
      <w:r w:rsidRPr="00B93A7C">
        <w:rPr>
          <w:rFonts w:ascii="Gadugi" w:eastAsia="Malgun Gothic" w:hAnsi="Gadugi" w:cs="Estrangelo Edessa"/>
          <w:i/>
          <w:iCs/>
          <w:szCs w:val="24"/>
        </w:rPr>
        <w:t xml:space="preserve"> de la empresa o finca donde se encuentre, este tampoco se cumple ni </w:t>
      </w:r>
      <w:r w:rsidR="00C701A5" w:rsidRPr="00B93A7C">
        <w:rPr>
          <w:rFonts w:ascii="Gadugi" w:eastAsia="Malgun Gothic" w:hAnsi="Gadugi" w:cs="Estrangelo Edessa"/>
          <w:i/>
          <w:iCs/>
          <w:szCs w:val="24"/>
        </w:rPr>
        <w:t>con</w:t>
      </w:r>
      <w:r w:rsidRPr="00B93A7C">
        <w:rPr>
          <w:rFonts w:ascii="Gadugi" w:eastAsia="Malgun Gothic" w:hAnsi="Gadugi" w:cs="Estrangelo Edessa"/>
          <w:i/>
          <w:iCs/>
          <w:szCs w:val="24"/>
        </w:rPr>
        <w:t>tiene las indicaciones para determinar dónde va a estar el vehículo</w:t>
      </w:r>
      <w:r w:rsidR="00C701A5" w:rsidRPr="00B93A7C">
        <w:rPr>
          <w:rFonts w:ascii="Gadugi" w:eastAsia="Malgun Gothic" w:hAnsi="Gadugi" w:cs="Estrangelo Edessa"/>
          <w:i/>
          <w:iCs/>
          <w:szCs w:val="24"/>
        </w:rPr>
        <w:t xml:space="preserve">; </w:t>
      </w:r>
      <w:r w:rsidRPr="00B93A7C">
        <w:rPr>
          <w:rFonts w:ascii="Gadugi" w:eastAsia="Malgun Gothic" w:hAnsi="Gadugi" w:cs="Estrangelo Edessa"/>
          <w:i/>
          <w:iCs/>
          <w:szCs w:val="24"/>
        </w:rPr>
        <w:t>séptimo</w:t>
      </w:r>
      <w:r w:rsidR="00C701A5" w:rsidRPr="00B93A7C">
        <w:rPr>
          <w:rFonts w:ascii="Gadugi" w:eastAsia="Malgun Gothic" w:hAnsi="Gadugi" w:cs="Estrangelo Edessa"/>
          <w:i/>
          <w:iCs/>
          <w:szCs w:val="24"/>
        </w:rPr>
        <w:t xml:space="preserve">, </w:t>
      </w:r>
      <w:r w:rsidRPr="00B93A7C">
        <w:rPr>
          <w:rFonts w:ascii="Gadugi" w:eastAsia="Malgun Gothic" w:hAnsi="Gadugi" w:cs="Estrangelo Edessa"/>
          <w:i/>
          <w:iCs/>
          <w:szCs w:val="24"/>
        </w:rPr>
        <w:t xml:space="preserve"> si las cosas gravadas pertenecen al deudor o a un tercero que ha consentido en el gravamen</w:t>
      </w:r>
      <w:r w:rsidR="00C701A5" w:rsidRPr="00B93A7C">
        <w:rPr>
          <w:rFonts w:ascii="Gadugi" w:eastAsia="Malgun Gothic" w:hAnsi="Gadugi" w:cs="Estrangelo Edessa"/>
          <w:i/>
          <w:iCs/>
          <w:szCs w:val="24"/>
        </w:rPr>
        <w:t>,</w:t>
      </w:r>
      <w:r w:rsidRPr="00B93A7C">
        <w:rPr>
          <w:rFonts w:ascii="Gadugi" w:eastAsia="Malgun Gothic" w:hAnsi="Gadugi" w:cs="Estrangelo Edessa"/>
          <w:i/>
          <w:iCs/>
          <w:szCs w:val="24"/>
        </w:rPr>
        <w:t xml:space="preserve"> esto tampoco se cumple al no indicar que el deudor al momento de constitución era el propietario del automotor</w:t>
      </w:r>
      <w:r w:rsidRPr="00E82BAD">
        <w:rPr>
          <w:rFonts w:ascii="Gadugi" w:eastAsia="Malgun Gothic" w:hAnsi="Gadugi" w:cs="Estrangelo Edessa"/>
          <w:i/>
          <w:iCs/>
          <w:sz w:val="24"/>
          <w:szCs w:val="24"/>
        </w:rPr>
        <w:t>”</w:t>
      </w:r>
      <w:r w:rsidR="00B93A7C">
        <w:rPr>
          <w:rFonts w:ascii="Gadugi" w:eastAsia="Malgun Gothic" w:hAnsi="Gadugi" w:cs="Estrangelo Edessa"/>
          <w:i/>
          <w:iCs/>
          <w:sz w:val="24"/>
          <w:szCs w:val="24"/>
        </w:rPr>
        <w:t>.</w:t>
      </w:r>
    </w:p>
    <w:p w14:paraId="62C1D5DA" w14:textId="4135E97B" w:rsidR="00142898" w:rsidRPr="00E82BAD" w:rsidRDefault="00142898" w:rsidP="00E82BAD">
      <w:pPr>
        <w:pStyle w:val="Prrafodelista"/>
        <w:spacing w:after="0" w:line="276" w:lineRule="auto"/>
        <w:ind w:left="0"/>
        <w:jc w:val="both"/>
        <w:rPr>
          <w:rFonts w:ascii="Gadugi" w:eastAsia="Malgun Gothic" w:hAnsi="Gadugi" w:cs="Estrangelo Edessa"/>
          <w:bCs/>
          <w:i/>
          <w:iCs/>
          <w:sz w:val="24"/>
          <w:szCs w:val="24"/>
        </w:rPr>
      </w:pPr>
    </w:p>
    <w:p w14:paraId="451A436C" w14:textId="77777777" w:rsidR="00142898" w:rsidRPr="00E82BAD" w:rsidRDefault="00142898" w:rsidP="00E82BAD">
      <w:pPr>
        <w:pStyle w:val="Prrafodelista"/>
        <w:numPr>
          <w:ilvl w:val="1"/>
          <w:numId w:val="1"/>
        </w:numPr>
        <w:tabs>
          <w:tab w:val="left" w:pos="567"/>
        </w:tabs>
        <w:spacing w:after="0" w:line="276" w:lineRule="auto"/>
        <w:ind w:left="0" w:firstLine="0"/>
        <w:jc w:val="both"/>
        <w:rPr>
          <w:rFonts w:ascii="Gadugi" w:eastAsia="Malgun Gothic" w:hAnsi="Gadugi" w:cs="Estrangelo Edessa"/>
          <w:bCs/>
          <w:sz w:val="24"/>
          <w:szCs w:val="24"/>
        </w:rPr>
      </w:pPr>
      <w:r w:rsidRPr="00E82BAD">
        <w:rPr>
          <w:rFonts w:ascii="Gadugi" w:eastAsia="Malgun Gothic" w:hAnsi="Gadugi" w:cs="Estrangelo Edessa"/>
          <w:bCs/>
          <w:sz w:val="24"/>
          <w:szCs w:val="24"/>
        </w:rPr>
        <w:t xml:space="preserve"> La réplica del ejecutante consiste, en resumen, en que: </w:t>
      </w:r>
    </w:p>
    <w:p w14:paraId="1B996027" w14:textId="77777777" w:rsidR="00142898" w:rsidRPr="00E82BAD" w:rsidRDefault="00142898" w:rsidP="00E82BAD">
      <w:pPr>
        <w:pStyle w:val="Prrafodelista"/>
        <w:spacing w:line="276" w:lineRule="auto"/>
        <w:ind w:left="0"/>
        <w:rPr>
          <w:rFonts w:ascii="Gadugi" w:eastAsia="Malgun Gothic" w:hAnsi="Gadugi" w:cs="Estrangelo Edessa"/>
          <w:bCs/>
          <w:sz w:val="24"/>
          <w:szCs w:val="24"/>
        </w:rPr>
      </w:pPr>
    </w:p>
    <w:p w14:paraId="7E7FB102" w14:textId="11CD8EEC" w:rsidR="00142898" w:rsidRPr="00E82BAD" w:rsidRDefault="0EE21D74" w:rsidP="00E82BAD">
      <w:pPr>
        <w:pStyle w:val="Prrafodelista"/>
        <w:numPr>
          <w:ilvl w:val="0"/>
          <w:numId w:val="27"/>
        </w:numPr>
        <w:tabs>
          <w:tab w:val="left" w:pos="426"/>
        </w:tabs>
        <w:spacing w:after="0" w:line="276" w:lineRule="auto"/>
        <w:ind w:left="0" w:firstLine="0"/>
        <w:jc w:val="both"/>
        <w:rPr>
          <w:rFonts w:ascii="Gadugi" w:eastAsia="Malgun Gothic" w:hAnsi="Gadugi" w:cs="Estrangelo Edessa"/>
          <w:sz w:val="24"/>
          <w:szCs w:val="24"/>
        </w:rPr>
      </w:pPr>
      <w:r w:rsidRPr="00E82BAD">
        <w:rPr>
          <w:rFonts w:ascii="Gadugi" w:eastAsia="Malgun Gothic" w:hAnsi="Gadugi" w:cs="Estrangelo Edessa"/>
          <w:sz w:val="24"/>
          <w:szCs w:val="24"/>
        </w:rPr>
        <w:t>E</w:t>
      </w:r>
      <w:r w:rsidR="006555F5" w:rsidRPr="00E82BAD">
        <w:rPr>
          <w:rFonts w:ascii="Gadugi" w:eastAsia="Malgun Gothic" w:hAnsi="Gadugi" w:cs="Estrangelo Edessa"/>
          <w:sz w:val="24"/>
          <w:szCs w:val="24"/>
        </w:rPr>
        <w:t>l acreedor actuó de buena fe</w:t>
      </w:r>
      <w:r w:rsidR="00142898" w:rsidRPr="00E82BAD">
        <w:rPr>
          <w:rFonts w:ascii="Gadugi" w:eastAsia="Malgun Gothic" w:hAnsi="Gadugi" w:cs="Estrangelo Edessa"/>
          <w:sz w:val="24"/>
          <w:szCs w:val="24"/>
        </w:rPr>
        <w:t xml:space="preserve"> y la nulidad declarada </w:t>
      </w:r>
      <w:r w:rsidR="0084023C" w:rsidRPr="00E82BAD">
        <w:rPr>
          <w:rFonts w:ascii="Gadugi" w:eastAsia="Malgun Gothic" w:hAnsi="Gadugi" w:cs="Estrangelo Edessa"/>
          <w:sz w:val="24"/>
          <w:szCs w:val="24"/>
        </w:rPr>
        <w:t>trasgrede el derecho constitucional (art. 83 CP) a la confianza legítima</w:t>
      </w:r>
      <w:r w:rsidR="0010684B" w:rsidRPr="00E82BAD">
        <w:rPr>
          <w:rFonts w:ascii="Gadugi" w:eastAsia="Malgun Gothic" w:hAnsi="Gadugi" w:cs="Estrangelo Edessa"/>
          <w:sz w:val="24"/>
          <w:szCs w:val="24"/>
        </w:rPr>
        <w:t>, dado que Darío Alexánder Herrera Perico demostró la propiedad sobre el vehículo dado en prenda y el Instituto de Movilidad de Pereira registró la garantía</w:t>
      </w:r>
      <w:r w:rsidR="00142898" w:rsidRPr="00E82BAD">
        <w:rPr>
          <w:rFonts w:ascii="Gadugi" w:eastAsia="Malgun Gothic" w:hAnsi="Gadugi" w:cs="Estrangelo Edessa"/>
          <w:sz w:val="24"/>
          <w:szCs w:val="24"/>
        </w:rPr>
        <w:t xml:space="preserve">. </w:t>
      </w:r>
    </w:p>
    <w:p w14:paraId="643EBB49" w14:textId="77777777" w:rsidR="00142898" w:rsidRPr="00E82BAD" w:rsidRDefault="00142898" w:rsidP="00E82BAD">
      <w:pPr>
        <w:pStyle w:val="Prrafodelista"/>
        <w:spacing w:after="0" w:line="276" w:lineRule="auto"/>
        <w:ind w:left="0"/>
        <w:jc w:val="both"/>
        <w:rPr>
          <w:rFonts w:ascii="Gadugi" w:eastAsia="Malgun Gothic" w:hAnsi="Gadugi" w:cs="Estrangelo Edessa"/>
          <w:bCs/>
          <w:sz w:val="24"/>
          <w:szCs w:val="24"/>
        </w:rPr>
      </w:pPr>
    </w:p>
    <w:p w14:paraId="4A1A222E" w14:textId="412453B3" w:rsidR="00142898" w:rsidRPr="00E82BAD" w:rsidRDefault="00142898" w:rsidP="00E82BAD">
      <w:pPr>
        <w:pStyle w:val="Prrafodelista"/>
        <w:spacing w:after="0" w:line="276" w:lineRule="auto"/>
        <w:ind w:left="0"/>
        <w:jc w:val="both"/>
        <w:rPr>
          <w:rFonts w:ascii="Gadugi" w:eastAsia="Malgun Gothic" w:hAnsi="Gadugi" w:cs="Estrangelo Edessa"/>
          <w:sz w:val="24"/>
          <w:szCs w:val="24"/>
        </w:rPr>
      </w:pPr>
      <w:r w:rsidRPr="00E82BAD">
        <w:rPr>
          <w:rFonts w:ascii="Gadugi" w:eastAsia="Malgun Gothic" w:hAnsi="Gadugi" w:cs="Estrangelo Edessa"/>
          <w:sz w:val="24"/>
          <w:szCs w:val="24"/>
        </w:rPr>
        <w:t xml:space="preserve">En ese mismo contexto, </w:t>
      </w:r>
      <w:r w:rsidR="008F6A9E" w:rsidRPr="00E82BAD">
        <w:rPr>
          <w:rFonts w:ascii="Gadugi" w:eastAsia="Malgun Gothic" w:hAnsi="Gadugi" w:cs="Estrangelo Edessa"/>
          <w:sz w:val="24"/>
          <w:szCs w:val="24"/>
        </w:rPr>
        <w:t xml:space="preserve">el comportamiento de la codemandada Martha Inés Castaño Marín es sospechoso, porque quiere desconocer el negocio jurídico </w:t>
      </w:r>
      <w:r w:rsidR="008F6A9E" w:rsidRPr="00E82BAD">
        <w:rPr>
          <w:rFonts w:ascii="Gadugi" w:eastAsia="Malgun Gothic" w:hAnsi="Gadugi" w:cs="Estrangelo Edessa"/>
          <w:i/>
          <w:iCs/>
          <w:sz w:val="24"/>
          <w:szCs w:val="24"/>
        </w:rPr>
        <w:t>“</w:t>
      </w:r>
      <w:r w:rsidR="008F6A9E" w:rsidRPr="00B93A7C">
        <w:rPr>
          <w:rFonts w:ascii="Gadugi" w:eastAsia="Malgun Gothic" w:hAnsi="Gadugi" w:cs="Estrangelo Edessa"/>
          <w:i/>
          <w:iCs/>
          <w:szCs w:val="24"/>
        </w:rPr>
        <w:t>que dice realizó pero que no estableció con el señor HERRERA PERICO</w:t>
      </w:r>
      <w:r w:rsidR="008F6A9E" w:rsidRPr="00E82BAD">
        <w:rPr>
          <w:rFonts w:ascii="Gadugi" w:eastAsia="Malgun Gothic" w:hAnsi="Gadugi" w:cs="Estrangelo Edessa"/>
          <w:i/>
          <w:iCs/>
          <w:sz w:val="24"/>
          <w:szCs w:val="24"/>
        </w:rPr>
        <w:t>”</w:t>
      </w:r>
      <w:r w:rsidR="008F6A9E" w:rsidRPr="00E82BAD">
        <w:rPr>
          <w:rFonts w:ascii="Gadugi" w:eastAsia="Malgun Gothic" w:hAnsi="Gadugi" w:cs="Estrangelo Edessa"/>
          <w:sz w:val="24"/>
          <w:szCs w:val="24"/>
        </w:rPr>
        <w:t xml:space="preserve">, lo que </w:t>
      </w:r>
      <w:r w:rsidR="00C701A5" w:rsidRPr="00E82BAD">
        <w:rPr>
          <w:rFonts w:ascii="Gadugi" w:eastAsia="Malgun Gothic" w:hAnsi="Gadugi" w:cs="Estrangelo Edessa"/>
          <w:sz w:val="24"/>
          <w:szCs w:val="24"/>
        </w:rPr>
        <w:t>nunca</w:t>
      </w:r>
      <w:r w:rsidR="008F6A9E" w:rsidRPr="00E82BAD">
        <w:rPr>
          <w:rFonts w:ascii="Gadugi" w:eastAsia="Malgun Gothic" w:hAnsi="Gadugi" w:cs="Estrangelo Edessa"/>
          <w:sz w:val="24"/>
          <w:szCs w:val="24"/>
        </w:rPr>
        <w:t xml:space="preserve"> reproch</w:t>
      </w:r>
      <w:r w:rsidR="00C701A5" w:rsidRPr="00E82BAD">
        <w:rPr>
          <w:rFonts w:ascii="Gadugi" w:eastAsia="Malgun Gothic" w:hAnsi="Gadugi" w:cs="Estrangelo Edessa"/>
          <w:sz w:val="24"/>
          <w:szCs w:val="24"/>
        </w:rPr>
        <w:t>ó</w:t>
      </w:r>
      <w:r w:rsidR="008F6A9E" w:rsidRPr="00E82BAD">
        <w:rPr>
          <w:rFonts w:ascii="Gadugi" w:eastAsia="Malgun Gothic" w:hAnsi="Gadugi" w:cs="Estrangelo Edessa"/>
          <w:sz w:val="24"/>
          <w:szCs w:val="24"/>
        </w:rPr>
        <w:t xml:space="preserve"> el juzgado</w:t>
      </w:r>
      <w:r w:rsidRPr="00E82BAD">
        <w:rPr>
          <w:rFonts w:ascii="Gadugi" w:eastAsia="Malgun Gothic" w:hAnsi="Gadugi" w:cs="Estrangelo Edessa"/>
          <w:sz w:val="24"/>
          <w:szCs w:val="24"/>
        </w:rPr>
        <w:t xml:space="preserve">. Y, agrega, </w:t>
      </w:r>
      <w:r w:rsidR="008F6A9E" w:rsidRPr="00E82BAD">
        <w:rPr>
          <w:rFonts w:ascii="Gadugi" w:eastAsia="Malgun Gothic" w:hAnsi="Gadugi" w:cs="Estrangelo Edessa"/>
          <w:sz w:val="24"/>
          <w:szCs w:val="24"/>
        </w:rPr>
        <w:t xml:space="preserve">la seguridad jurídica no es </w:t>
      </w:r>
      <w:r w:rsidRPr="00E82BAD">
        <w:rPr>
          <w:rFonts w:ascii="Gadugi" w:eastAsia="Malgun Gothic" w:hAnsi="Gadugi" w:cs="Estrangelo Edessa"/>
          <w:sz w:val="24"/>
          <w:szCs w:val="24"/>
        </w:rPr>
        <w:t xml:space="preserve">un </w:t>
      </w:r>
      <w:r w:rsidR="008F6A9E" w:rsidRPr="00E82BAD">
        <w:rPr>
          <w:rFonts w:ascii="Gadugi" w:eastAsia="Malgun Gothic" w:hAnsi="Gadugi" w:cs="Estrangelo Edessa"/>
          <w:sz w:val="24"/>
          <w:szCs w:val="24"/>
        </w:rPr>
        <w:t xml:space="preserve">principio que </w:t>
      </w:r>
      <w:r w:rsidRPr="00E82BAD">
        <w:rPr>
          <w:rFonts w:ascii="Gadugi" w:eastAsia="Malgun Gothic" w:hAnsi="Gadugi" w:cs="Estrangelo Edessa"/>
          <w:sz w:val="24"/>
          <w:szCs w:val="24"/>
        </w:rPr>
        <w:t xml:space="preserve">se </w:t>
      </w:r>
      <w:r w:rsidR="008F6A9E" w:rsidRPr="00E82BAD">
        <w:rPr>
          <w:rFonts w:ascii="Gadugi" w:eastAsia="Malgun Gothic" w:hAnsi="Gadugi" w:cs="Estrangelo Edessa"/>
          <w:sz w:val="24"/>
          <w:szCs w:val="24"/>
        </w:rPr>
        <w:t xml:space="preserve">pueda esgrimir </w:t>
      </w:r>
      <w:r w:rsidRPr="00E82BAD">
        <w:rPr>
          <w:rFonts w:ascii="Gadugi" w:eastAsia="Malgun Gothic" w:hAnsi="Gadugi" w:cs="Estrangelo Edessa"/>
          <w:sz w:val="24"/>
          <w:szCs w:val="24"/>
        </w:rPr>
        <w:t xml:space="preserve">de manera </w:t>
      </w:r>
      <w:r w:rsidR="008F6A9E" w:rsidRPr="00E82BAD">
        <w:rPr>
          <w:rFonts w:ascii="Gadugi" w:eastAsia="Malgun Gothic" w:hAnsi="Gadugi" w:cs="Estrangelo Edessa"/>
          <w:sz w:val="24"/>
          <w:szCs w:val="24"/>
        </w:rPr>
        <w:t xml:space="preserve">autónoma, sino que se predica de algo, en este caso, la convicción de los señores Herrera Perico y Quiroga Londoño de estar cumpliendo con esos preceptos legales, que además </w:t>
      </w:r>
      <w:r w:rsidRPr="00E82BAD">
        <w:rPr>
          <w:rFonts w:ascii="Gadugi" w:eastAsia="Malgun Gothic" w:hAnsi="Gadugi" w:cs="Estrangelo Edessa"/>
          <w:sz w:val="24"/>
          <w:szCs w:val="24"/>
        </w:rPr>
        <w:t>se</w:t>
      </w:r>
      <w:r w:rsidR="008F6A9E" w:rsidRPr="00E82BAD">
        <w:rPr>
          <w:rFonts w:ascii="Gadugi" w:eastAsia="Malgun Gothic" w:hAnsi="Gadugi" w:cs="Estrangelo Edessa"/>
          <w:sz w:val="24"/>
          <w:szCs w:val="24"/>
        </w:rPr>
        <w:t xml:space="preserve"> acreditaron y fueron respaldados por el Instituto de Movilidad</w:t>
      </w:r>
      <w:r w:rsidRPr="00E82BAD">
        <w:rPr>
          <w:rFonts w:ascii="Gadugi" w:eastAsia="Malgun Gothic" w:hAnsi="Gadugi" w:cs="Estrangelo Edessa"/>
          <w:sz w:val="24"/>
          <w:szCs w:val="24"/>
        </w:rPr>
        <w:t>.</w:t>
      </w:r>
    </w:p>
    <w:p w14:paraId="7268B260" w14:textId="77777777" w:rsidR="001019AB" w:rsidRPr="00E82BAD" w:rsidRDefault="001019AB" w:rsidP="00E82BAD">
      <w:pPr>
        <w:pStyle w:val="Prrafodelista"/>
        <w:spacing w:after="0" w:line="276" w:lineRule="auto"/>
        <w:ind w:left="0"/>
        <w:jc w:val="both"/>
        <w:rPr>
          <w:rFonts w:ascii="Gadugi" w:eastAsia="Malgun Gothic" w:hAnsi="Gadugi" w:cs="Estrangelo Edessa"/>
          <w:sz w:val="24"/>
          <w:szCs w:val="24"/>
        </w:rPr>
      </w:pPr>
    </w:p>
    <w:p w14:paraId="1A6E99E6" w14:textId="697160DF" w:rsidR="00051AFE" w:rsidRDefault="00142898" w:rsidP="00E82BAD">
      <w:pPr>
        <w:pStyle w:val="Prrafodelista"/>
        <w:numPr>
          <w:ilvl w:val="0"/>
          <w:numId w:val="27"/>
        </w:numPr>
        <w:tabs>
          <w:tab w:val="left" w:pos="567"/>
        </w:tabs>
        <w:spacing w:after="0" w:line="276" w:lineRule="auto"/>
        <w:ind w:left="0" w:firstLine="0"/>
        <w:jc w:val="both"/>
        <w:rPr>
          <w:rFonts w:ascii="Gadugi" w:eastAsia="Malgun Gothic" w:hAnsi="Gadugi" w:cs="Estrangelo Edessa"/>
          <w:sz w:val="24"/>
          <w:szCs w:val="24"/>
        </w:rPr>
      </w:pPr>
      <w:r w:rsidRPr="00E82BAD">
        <w:rPr>
          <w:rFonts w:ascii="Gadugi" w:eastAsia="Malgun Gothic" w:hAnsi="Gadugi" w:cs="Estrangelo Edessa"/>
          <w:sz w:val="24"/>
          <w:szCs w:val="24"/>
        </w:rPr>
        <w:t>El</w:t>
      </w:r>
      <w:r w:rsidR="00536092" w:rsidRPr="00E82BAD">
        <w:rPr>
          <w:rFonts w:ascii="Gadugi" w:eastAsia="Malgun Gothic" w:hAnsi="Gadugi" w:cs="Estrangelo Edessa"/>
          <w:sz w:val="24"/>
          <w:szCs w:val="24"/>
        </w:rPr>
        <w:t xml:space="preserve"> artículo 1207 del C. de Comercio</w:t>
      </w:r>
      <w:r w:rsidR="009F5583" w:rsidRPr="00E82BAD">
        <w:rPr>
          <w:rFonts w:ascii="Gadugi" w:eastAsia="Malgun Gothic" w:hAnsi="Gadugi" w:cs="Estrangelo Edessa"/>
          <w:sz w:val="24"/>
          <w:szCs w:val="24"/>
        </w:rPr>
        <w:t xml:space="preserve"> contempla </w:t>
      </w:r>
      <w:r w:rsidR="00201281" w:rsidRPr="00E82BAD">
        <w:rPr>
          <w:rFonts w:ascii="Gadugi" w:eastAsia="Malgun Gothic" w:hAnsi="Gadugi" w:cs="Estrangelo Edessa"/>
          <w:sz w:val="24"/>
          <w:szCs w:val="24"/>
        </w:rPr>
        <w:t>la prenda para garantizar los créditos para la adquisición de vehículos o para garantizar obligaciones a título de mutuo con intereses, como el presente; contrato que ahora tiene regulación en la Ley 167</w:t>
      </w:r>
      <w:r w:rsidR="00CB3AD8" w:rsidRPr="00E82BAD">
        <w:rPr>
          <w:rFonts w:ascii="Gadugi" w:eastAsia="Malgun Gothic" w:hAnsi="Gadugi" w:cs="Estrangelo Edessa"/>
          <w:sz w:val="24"/>
          <w:szCs w:val="24"/>
        </w:rPr>
        <w:t xml:space="preserve">6 de 2013, normativa que no </w:t>
      </w:r>
      <w:r w:rsidR="00F94B70" w:rsidRPr="00E82BAD">
        <w:rPr>
          <w:rFonts w:ascii="Gadugi" w:eastAsia="Malgun Gothic" w:hAnsi="Gadugi" w:cs="Estrangelo Edessa"/>
          <w:sz w:val="24"/>
          <w:szCs w:val="24"/>
        </w:rPr>
        <w:t>impone</w:t>
      </w:r>
      <w:r w:rsidR="00CB3AD8" w:rsidRPr="00E82BAD">
        <w:rPr>
          <w:rFonts w:ascii="Gadugi" w:eastAsia="Malgun Gothic" w:hAnsi="Gadugi" w:cs="Estrangelo Edessa"/>
          <w:sz w:val="24"/>
          <w:szCs w:val="24"/>
        </w:rPr>
        <w:t xml:space="preserve"> los requisitos que estaban previstos para el año 2012</w:t>
      </w:r>
      <w:r w:rsidR="00051AFE" w:rsidRPr="00E82BAD">
        <w:rPr>
          <w:rFonts w:ascii="Gadugi" w:eastAsia="Malgun Gothic" w:hAnsi="Gadugi" w:cs="Estrangelo Edessa"/>
          <w:sz w:val="24"/>
          <w:szCs w:val="24"/>
        </w:rPr>
        <w:t xml:space="preserve">. </w:t>
      </w:r>
    </w:p>
    <w:p w14:paraId="3D9E4273" w14:textId="77777777" w:rsidR="00D16DEB" w:rsidRPr="00E82BAD" w:rsidRDefault="00D16DEB" w:rsidP="00D16DEB">
      <w:pPr>
        <w:pStyle w:val="Prrafodelista"/>
        <w:tabs>
          <w:tab w:val="left" w:pos="567"/>
        </w:tabs>
        <w:spacing w:after="0" w:line="276" w:lineRule="auto"/>
        <w:ind w:left="0"/>
        <w:jc w:val="both"/>
        <w:rPr>
          <w:rFonts w:ascii="Gadugi" w:eastAsia="Malgun Gothic" w:hAnsi="Gadugi" w:cs="Estrangelo Edessa"/>
          <w:sz w:val="24"/>
          <w:szCs w:val="24"/>
        </w:rPr>
      </w:pPr>
    </w:p>
    <w:p w14:paraId="39536157" w14:textId="374DB49B" w:rsidR="00051AFE" w:rsidRPr="00E82BAD" w:rsidRDefault="00051AFE" w:rsidP="00E82BAD">
      <w:pPr>
        <w:pStyle w:val="Prrafodelista"/>
        <w:numPr>
          <w:ilvl w:val="0"/>
          <w:numId w:val="27"/>
        </w:numPr>
        <w:tabs>
          <w:tab w:val="left" w:pos="567"/>
        </w:tabs>
        <w:spacing w:after="0" w:line="276" w:lineRule="auto"/>
        <w:ind w:left="0" w:firstLine="0"/>
        <w:jc w:val="both"/>
        <w:rPr>
          <w:rFonts w:ascii="Gadugi" w:eastAsia="Malgun Gothic" w:hAnsi="Gadugi" w:cs="Estrangelo Edessa"/>
          <w:sz w:val="24"/>
          <w:szCs w:val="24"/>
        </w:rPr>
      </w:pPr>
      <w:r w:rsidRPr="00E82BAD">
        <w:rPr>
          <w:rFonts w:ascii="Gadugi" w:eastAsia="Malgun Gothic" w:hAnsi="Gadugi" w:cs="Estrangelo Edessa"/>
          <w:sz w:val="24"/>
          <w:szCs w:val="24"/>
        </w:rPr>
        <w:t>E</w:t>
      </w:r>
      <w:r w:rsidR="00CB3AD8" w:rsidRPr="00E82BAD">
        <w:rPr>
          <w:rFonts w:ascii="Gadugi" w:eastAsia="Malgun Gothic" w:hAnsi="Gadugi" w:cs="Estrangelo Edessa"/>
          <w:sz w:val="24"/>
          <w:szCs w:val="24"/>
        </w:rPr>
        <w:t xml:space="preserve">l juzgado se centró en los requisitos de la prenda, pero </w:t>
      </w:r>
      <w:r w:rsidR="001025CD" w:rsidRPr="00E82BAD">
        <w:rPr>
          <w:rFonts w:ascii="Gadugi" w:eastAsia="Malgun Gothic" w:hAnsi="Gadugi" w:cs="Estrangelo Edessa"/>
          <w:sz w:val="24"/>
          <w:szCs w:val="24"/>
        </w:rPr>
        <w:t xml:space="preserve">omitió estudiar </w:t>
      </w:r>
      <w:r w:rsidR="00CB3AD8" w:rsidRPr="00E82BAD">
        <w:rPr>
          <w:rFonts w:ascii="Gadugi" w:eastAsia="Malgun Gothic" w:hAnsi="Gadugi" w:cs="Estrangelo Edessa"/>
          <w:sz w:val="24"/>
          <w:szCs w:val="24"/>
        </w:rPr>
        <w:t xml:space="preserve">que la prenda comercial sin tenencia no exige solemnidad alguna y que, en todo caso, el </w:t>
      </w:r>
      <w:r w:rsidR="00CB3AD8" w:rsidRPr="00E82BAD">
        <w:rPr>
          <w:rFonts w:ascii="Gadugi" w:eastAsia="Malgun Gothic" w:hAnsi="Gadugi" w:cs="Estrangelo Edessa"/>
          <w:sz w:val="24"/>
          <w:szCs w:val="24"/>
        </w:rPr>
        <w:lastRenderedPageBreak/>
        <w:t>Estado debe realizar ese control formal al momento del registro</w:t>
      </w:r>
      <w:r w:rsidR="00172FCA" w:rsidRPr="00E82BAD">
        <w:rPr>
          <w:rFonts w:ascii="Gadugi" w:eastAsia="Malgun Gothic" w:hAnsi="Gadugi" w:cs="Estrangelo Edessa"/>
          <w:sz w:val="24"/>
          <w:szCs w:val="24"/>
        </w:rPr>
        <w:t>, lo que ocurrió en este caso</w:t>
      </w:r>
      <w:r w:rsidRPr="00E82BAD">
        <w:rPr>
          <w:rFonts w:ascii="Gadugi" w:eastAsia="Malgun Gothic" w:hAnsi="Gadugi" w:cs="Estrangelo Edessa"/>
          <w:sz w:val="24"/>
          <w:szCs w:val="24"/>
        </w:rPr>
        <w:t>.</w:t>
      </w:r>
    </w:p>
    <w:p w14:paraId="4ECA1FFF" w14:textId="77777777" w:rsidR="00051AFE" w:rsidRPr="00E82BAD" w:rsidRDefault="00051AFE" w:rsidP="00E82BAD">
      <w:pPr>
        <w:pStyle w:val="Prrafodelista"/>
        <w:spacing w:line="276" w:lineRule="auto"/>
        <w:ind w:left="0"/>
        <w:rPr>
          <w:rFonts w:ascii="Gadugi" w:eastAsia="Malgun Gothic" w:hAnsi="Gadugi" w:cs="Estrangelo Edessa"/>
          <w:bCs/>
          <w:sz w:val="24"/>
          <w:szCs w:val="24"/>
        </w:rPr>
      </w:pPr>
    </w:p>
    <w:p w14:paraId="7141D41C" w14:textId="62F75E58" w:rsidR="0081057B" w:rsidRPr="00E82BAD" w:rsidRDefault="00051AFE" w:rsidP="00E82BAD">
      <w:pPr>
        <w:pStyle w:val="Prrafodelista"/>
        <w:numPr>
          <w:ilvl w:val="0"/>
          <w:numId w:val="27"/>
        </w:numPr>
        <w:tabs>
          <w:tab w:val="left" w:pos="567"/>
        </w:tabs>
        <w:spacing w:after="0" w:line="276" w:lineRule="auto"/>
        <w:ind w:left="0" w:firstLine="0"/>
        <w:jc w:val="both"/>
        <w:rPr>
          <w:rFonts w:ascii="Gadugi" w:eastAsia="Malgun Gothic" w:hAnsi="Gadugi" w:cs="Estrangelo Edessa"/>
          <w:bCs/>
          <w:sz w:val="24"/>
          <w:szCs w:val="24"/>
        </w:rPr>
      </w:pPr>
      <w:r w:rsidRPr="00E82BAD">
        <w:rPr>
          <w:rFonts w:ascii="Gadugi" w:eastAsia="Malgun Gothic" w:hAnsi="Gadugi" w:cs="Estrangelo Edessa"/>
          <w:bCs/>
          <w:sz w:val="24"/>
          <w:szCs w:val="24"/>
        </w:rPr>
        <w:t xml:space="preserve">La </w:t>
      </w:r>
      <w:r w:rsidR="00172FCA" w:rsidRPr="00E82BAD">
        <w:rPr>
          <w:rFonts w:ascii="Gadugi" w:eastAsia="Malgun Gothic" w:hAnsi="Gadugi" w:cs="Estrangelo Edessa"/>
          <w:bCs/>
          <w:sz w:val="24"/>
          <w:szCs w:val="24"/>
        </w:rPr>
        <w:t>venta de una cosa con prenda sin</w:t>
      </w:r>
      <w:r w:rsidR="00210B91" w:rsidRPr="00E82BAD">
        <w:rPr>
          <w:rFonts w:ascii="Gadugi" w:eastAsia="Malgun Gothic" w:hAnsi="Gadugi" w:cs="Estrangelo Edessa"/>
          <w:bCs/>
          <w:sz w:val="24"/>
          <w:szCs w:val="24"/>
        </w:rPr>
        <w:t xml:space="preserve"> </w:t>
      </w:r>
      <w:r w:rsidR="00172FCA" w:rsidRPr="00E82BAD">
        <w:rPr>
          <w:rFonts w:ascii="Gadugi" w:eastAsia="Malgun Gothic" w:hAnsi="Gadugi" w:cs="Estrangelo Edessa"/>
          <w:bCs/>
          <w:sz w:val="24"/>
          <w:szCs w:val="24"/>
        </w:rPr>
        <w:t>tenencia es válida a la luz del artículo 18 de la Ley 1676 citada, y el juzgado omitió considerar que el señor Quiroga autorizó al señor Herrera a vender el vehículo a Martha Inés Castaño, quien solo cuatro años después, cuando se enteró del incumplimiento del pago de intereses, revocó el poder general que le había otorgado a Herrera, y esperó hasta la contestación de la demanda para repudiar l</w:t>
      </w:r>
      <w:r w:rsidR="00210B91" w:rsidRPr="00E82BAD">
        <w:rPr>
          <w:rFonts w:ascii="Gadugi" w:eastAsia="Malgun Gothic" w:hAnsi="Gadugi" w:cs="Estrangelo Edessa"/>
          <w:bCs/>
          <w:sz w:val="24"/>
          <w:szCs w:val="24"/>
        </w:rPr>
        <w:t>a</w:t>
      </w:r>
      <w:r w:rsidR="00172FCA" w:rsidRPr="00E82BAD">
        <w:rPr>
          <w:rFonts w:ascii="Gadugi" w:eastAsia="Malgun Gothic" w:hAnsi="Gadugi" w:cs="Estrangelo Edessa"/>
          <w:bCs/>
          <w:sz w:val="24"/>
          <w:szCs w:val="24"/>
        </w:rPr>
        <w:t xml:space="preserve"> prenda y desconocer la obligación</w:t>
      </w:r>
      <w:r w:rsidR="00210B91" w:rsidRPr="00E82BAD">
        <w:rPr>
          <w:rFonts w:ascii="Gadugi" w:eastAsia="Malgun Gothic" w:hAnsi="Gadugi" w:cs="Estrangelo Edessa"/>
          <w:bCs/>
          <w:sz w:val="24"/>
          <w:szCs w:val="24"/>
        </w:rPr>
        <w:t>, lo que avaló el juzgado</w:t>
      </w:r>
      <w:r w:rsidR="00172FCA" w:rsidRPr="00E82BAD">
        <w:rPr>
          <w:rFonts w:ascii="Gadugi" w:eastAsia="Malgun Gothic" w:hAnsi="Gadugi" w:cs="Estrangelo Edessa"/>
          <w:bCs/>
          <w:sz w:val="24"/>
          <w:szCs w:val="24"/>
        </w:rPr>
        <w:t xml:space="preserve">. </w:t>
      </w:r>
    </w:p>
    <w:p w14:paraId="2BDDC1F5" w14:textId="75669A22" w:rsidR="0081057B" w:rsidRPr="00E82BAD" w:rsidRDefault="0081057B" w:rsidP="00E82BAD">
      <w:pPr>
        <w:spacing w:after="0" w:line="276" w:lineRule="auto"/>
        <w:jc w:val="both"/>
        <w:rPr>
          <w:rFonts w:ascii="Gadugi" w:eastAsia="Malgun Gothic" w:hAnsi="Gadugi" w:cs="Estrangelo Edessa"/>
          <w:bCs/>
          <w:sz w:val="24"/>
          <w:szCs w:val="24"/>
        </w:rPr>
      </w:pPr>
    </w:p>
    <w:p w14:paraId="2462B426" w14:textId="786A85C2" w:rsidR="008D4977" w:rsidRPr="00E82BAD" w:rsidRDefault="00F94B70" w:rsidP="00E82BAD">
      <w:pPr>
        <w:pStyle w:val="Prrafodelista"/>
        <w:numPr>
          <w:ilvl w:val="1"/>
          <w:numId w:val="1"/>
        </w:numPr>
        <w:tabs>
          <w:tab w:val="left" w:pos="709"/>
        </w:tabs>
        <w:spacing w:after="0" w:line="276" w:lineRule="auto"/>
        <w:ind w:left="0" w:firstLine="0"/>
        <w:jc w:val="both"/>
        <w:rPr>
          <w:rFonts w:ascii="Gadugi" w:hAnsi="Gadugi"/>
          <w:sz w:val="24"/>
          <w:szCs w:val="24"/>
        </w:rPr>
      </w:pPr>
      <w:r w:rsidRPr="00E82BAD">
        <w:rPr>
          <w:rFonts w:ascii="Gadugi" w:hAnsi="Gadugi"/>
          <w:sz w:val="24"/>
          <w:szCs w:val="24"/>
        </w:rPr>
        <w:t>C</w:t>
      </w:r>
      <w:r w:rsidR="008D4977" w:rsidRPr="00E82BAD">
        <w:rPr>
          <w:rFonts w:ascii="Gadugi" w:hAnsi="Gadugi"/>
          <w:sz w:val="24"/>
          <w:szCs w:val="24"/>
        </w:rPr>
        <w:t>omo todo converge en el contrato de prenda sin tenencia, se resolverá conjuntamente y, por anticipado, se advierte que los disensos están llamados al fracaso</w:t>
      </w:r>
      <w:r w:rsidR="00180356" w:rsidRPr="00E82BAD">
        <w:rPr>
          <w:rFonts w:ascii="Gadugi" w:hAnsi="Gadugi"/>
          <w:sz w:val="24"/>
          <w:szCs w:val="24"/>
        </w:rPr>
        <w:t xml:space="preserve"> por dos razones, una de ellas incluso diversa </w:t>
      </w:r>
      <w:r w:rsidR="00C92221" w:rsidRPr="00E82BAD">
        <w:rPr>
          <w:rFonts w:ascii="Gadugi" w:hAnsi="Gadugi"/>
          <w:sz w:val="24"/>
          <w:szCs w:val="24"/>
        </w:rPr>
        <w:t xml:space="preserve">a las contempladas por el juzgado y el recurrente. </w:t>
      </w:r>
    </w:p>
    <w:p w14:paraId="18388710" w14:textId="4BA22304" w:rsidR="00C92221" w:rsidRPr="00E82BAD" w:rsidRDefault="00C92221" w:rsidP="00E82BAD">
      <w:pPr>
        <w:spacing w:after="0" w:line="276" w:lineRule="auto"/>
        <w:jc w:val="both"/>
        <w:rPr>
          <w:rFonts w:ascii="Gadugi" w:hAnsi="Gadugi"/>
          <w:sz w:val="24"/>
          <w:szCs w:val="24"/>
        </w:rPr>
      </w:pPr>
    </w:p>
    <w:p w14:paraId="2969E963" w14:textId="660D1788" w:rsidR="008D4977" w:rsidRPr="00E82BAD" w:rsidRDefault="00180356" w:rsidP="00E82BAD">
      <w:pPr>
        <w:pStyle w:val="Prrafodelista"/>
        <w:numPr>
          <w:ilvl w:val="1"/>
          <w:numId w:val="1"/>
        </w:numPr>
        <w:spacing w:after="0" w:line="276" w:lineRule="auto"/>
        <w:ind w:left="0" w:firstLine="0"/>
        <w:jc w:val="both"/>
        <w:rPr>
          <w:rFonts w:ascii="Gadugi" w:hAnsi="Gadugi"/>
          <w:sz w:val="24"/>
          <w:szCs w:val="24"/>
        </w:rPr>
      </w:pPr>
      <w:r w:rsidRPr="00E82BAD">
        <w:rPr>
          <w:rFonts w:ascii="Gadugi" w:hAnsi="Gadugi"/>
          <w:sz w:val="24"/>
          <w:szCs w:val="24"/>
        </w:rPr>
        <w:t>La primera, es que</w:t>
      </w:r>
      <w:r w:rsidR="008D4977" w:rsidRPr="00E82BAD">
        <w:rPr>
          <w:rFonts w:ascii="Gadugi" w:hAnsi="Gadugi"/>
          <w:sz w:val="24"/>
          <w:szCs w:val="24"/>
        </w:rPr>
        <w:t xml:space="preserve">, lo medular del fallo, que es la ausencia de requisitos formales en el contrato de prenda, en virtud de lo cual se le restó validez, se ha quedado sin protesta. </w:t>
      </w:r>
    </w:p>
    <w:p w14:paraId="197E75BF" w14:textId="2377EAB8" w:rsidR="008D4977" w:rsidRPr="00E82BAD" w:rsidRDefault="008D4977" w:rsidP="00E82BAD">
      <w:pPr>
        <w:pStyle w:val="Prrafodelista"/>
        <w:spacing w:after="0" w:line="276" w:lineRule="auto"/>
        <w:ind w:left="0"/>
        <w:jc w:val="both"/>
        <w:rPr>
          <w:rFonts w:ascii="Gadugi" w:hAnsi="Gadugi"/>
          <w:sz w:val="24"/>
          <w:szCs w:val="24"/>
        </w:rPr>
      </w:pPr>
    </w:p>
    <w:p w14:paraId="4D224677" w14:textId="56FD4ED5" w:rsidR="005252C7" w:rsidRPr="00E82BAD" w:rsidRDefault="008D4977" w:rsidP="00E82BAD">
      <w:pPr>
        <w:pStyle w:val="Prrafodelista"/>
        <w:spacing w:after="0" w:line="276" w:lineRule="auto"/>
        <w:ind w:left="0"/>
        <w:jc w:val="both"/>
        <w:rPr>
          <w:rFonts w:ascii="Gadugi" w:hAnsi="Gadugi"/>
          <w:sz w:val="24"/>
          <w:szCs w:val="24"/>
        </w:rPr>
      </w:pPr>
      <w:r w:rsidRPr="00E82BAD">
        <w:rPr>
          <w:rFonts w:ascii="Gadugi" w:hAnsi="Gadugi"/>
          <w:sz w:val="24"/>
          <w:szCs w:val="24"/>
        </w:rPr>
        <w:t>En efecto, lo único que sobre el particular se afirma es que la prenda sin tenencia no está sometida a solemnidad alguna</w:t>
      </w:r>
      <w:r w:rsidR="005252C7" w:rsidRPr="00E82BAD">
        <w:rPr>
          <w:rFonts w:ascii="Gadugi" w:hAnsi="Gadugi"/>
          <w:sz w:val="24"/>
          <w:szCs w:val="24"/>
        </w:rPr>
        <w:t xml:space="preserve">. Ello se </w:t>
      </w:r>
      <w:r w:rsidRPr="00E82BAD">
        <w:rPr>
          <w:rFonts w:ascii="Gadugi" w:hAnsi="Gadugi"/>
          <w:sz w:val="24"/>
          <w:szCs w:val="24"/>
        </w:rPr>
        <w:t>traduciría</w:t>
      </w:r>
      <w:r w:rsidR="005252C7" w:rsidRPr="00E82BAD">
        <w:rPr>
          <w:rFonts w:ascii="Gadugi" w:hAnsi="Gadugi"/>
          <w:sz w:val="24"/>
          <w:szCs w:val="24"/>
        </w:rPr>
        <w:t xml:space="preserve">, en sentir de la impugnante, </w:t>
      </w:r>
      <w:r w:rsidRPr="00E82BAD">
        <w:rPr>
          <w:rFonts w:ascii="Gadugi" w:hAnsi="Gadugi"/>
          <w:sz w:val="24"/>
          <w:szCs w:val="24"/>
        </w:rPr>
        <w:t xml:space="preserve">en que bastaría el solo acuerdo de voluntades para su perfeccionamiento, </w:t>
      </w:r>
      <w:r w:rsidR="005252C7" w:rsidRPr="00E82BAD">
        <w:rPr>
          <w:rFonts w:ascii="Gadugi" w:hAnsi="Gadugi"/>
          <w:sz w:val="24"/>
          <w:szCs w:val="24"/>
        </w:rPr>
        <w:t xml:space="preserve">apreciación que va en contravía de </w:t>
      </w:r>
      <w:r w:rsidRPr="00E82BAD">
        <w:rPr>
          <w:rFonts w:ascii="Gadugi" w:hAnsi="Gadugi"/>
          <w:sz w:val="24"/>
          <w:szCs w:val="24"/>
        </w:rPr>
        <w:t xml:space="preserve">los postulados de los artículos 1209 y 1210 del Código de Comercio vigentes para cuando se </w:t>
      </w:r>
      <w:r w:rsidR="005A3058" w:rsidRPr="00E82BAD">
        <w:rPr>
          <w:rFonts w:ascii="Gadugi" w:hAnsi="Gadugi"/>
          <w:sz w:val="24"/>
          <w:szCs w:val="24"/>
        </w:rPr>
        <w:t xml:space="preserve">celebró la que aquí se discute, </w:t>
      </w:r>
      <w:r w:rsidR="005252C7" w:rsidRPr="00E82BAD">
        <w:rPr>
          <w:rFonts w:ascii="Gadugi" w:hAnsi="Gadugi"/>
          <w:sz w:val="24"/>
          <w:szCs w:val="24"/>
        </w:rPr>
        <w:t>que claramente indican que</w:t>
      </w:r>
      <w:r w:rsidR="00177F37" w:rsidRPr="00E82BAD">
        <w:rPr>
          <w:rFonts w:ascii="Gadugi" w:hAnsi="Gadugi"/>
          <w:sz w:val="24"/>
          <w:szCs w:val="24"/>
        </w:rPr>
        <w:t xml:space="preserve">, para la prenda sin tenencia, </w:t>
      </w:r>
      <w:r w:rsidR="005252C7" w:rsidRPr="00E82BAD">
        <w:rPr>
          <w:rFonts w:ascii="Gadugi" w:hAnsi="Gadugi"/>
          <w:sz w:val="24"/>
          <w:szCs w:val="24"/>
        </w:rPr>
        <w:t>debe existir un documento que contenga, cuando menos</w:t>
      </w:r>
      <w:r w:rsidR="00931285" w:rsidRPr="00E82BAD">
        <w:rPr>
          <w:rFonts w:ascii="Gadugi" w:hAnsi="Gadugi"/>
          <w:sz w:val="24"/>
          <w:szCs w:val="24"/>
        </w:rPr>
        <w:t>,</w:t>
      </w:r>
      <w:r w:rsidR="005252C7" w:rsidRPr="00E82BAD">
        <w:rPr>
          <w:rFonts w:ascii="Gadugi" w:hAnsi="Gadugi"/>
          <w:sz w:val="24"/>
          <w:szCs w:val="24"/>
        </w:rPr>
        <w:t xml:space="preserve"> la información que manda la primera de esas disposiciones; mientras que el artículo 1210 establece que el contrato debe inscribirse en el registro mercantil pertinente y si se trata de automotores, ante el funcionario que la </w:t>
      </w:r>
      <w:r w:rsidR="00FE25BC" w:rsidRPr="00E82BAD">
        <w:rPr>
          <w:rFonts w:ascii="Gadugi" w:hAnsi="Gadugi"/>
          <w:sz w:val="24"/>
          <w:szCs w:val="24"/>
        </w:rPr>
        <w:t>ley establezca, con todos los requisitos que informa el artículo 1209</w:t>
      </w:r>
      <w:r w:rsidR="00180356" w:rsidRPr="00E82BAD">
        <w:rPr>
          <w:rFonts w:ascii="Gadugi" w:hAnsi="Gadugi"/>
          <w:sz w:val="24"/>
          <w:szCs w:val="24"/>
        </w:rPr>
        <w:t xml:space="preserve">, de donde se </w:t>
      </w:r>
      <w:r w:rsidR="00715FE7" w:rsidRPr="00E82BAD">
        <w:rPr>
          <w:rFonts w:ascii="Gadugi" w:hAnsi="Gadugi"/>
          <w:sz w:val="24"/>
          <w:szCs w:val="24"/>
        </w:rPr>
        <w:t xml:space="preserve">infiere que el acuerdo de voluntades sí debe estar plasmado en un escrito que es el que, a la postre se debe registrar. </w:t>
      </w:r>
      <w:r w:rsidR="00180356" w:rsidRPr="00E82BAD">
        <w:rPr>
          <w:rFonts w:ascii="Gadugi" w:hAnsi="Gadugi"/>
          <w:sz w:val="24"/>
          <w:szCs w:val="24"/>
        </w:rPr>
        <w:t xml:space="preserve"> </w:t>
      </w:r>
    </w:p>
    <w:p w14:paraId="0B4E3CEC" w14:textId="30B25E11" w:rsidR="00FE25BC" w:rsidRPr="00E82BAD" w:rsidRDefault="00FE25BC" w:rsidP="00E82BAD">
      <w:pPr>
        <w:pStyle w:val="Prrafodelista"/>
        <w:spacing w:after="0" w:line="276" w:lineRule="auto"/>
        <w:ind w:left="0"/>
        <w:jc w:val="both"/>
        <w:rPr>
          <w:rFonts w:ascii="Gadugi" w:hAnsi="Gadugi"/>
          <w:sz w:val="24"/>
          <w:szCs w:val="24"/>
        </w:rPr>
      </w:pPr>
    </w:p>
    <w:p w14:paraId="45CF6D38" w14:textId="7B8BB36A" w:rsidR="00177F37" w:rsidRPr="00E82BAD" w:rsidRDefault="00177F37" w:rsidP="00E82BAD">
      <w:pPr>
        <w:pStyle w:val="Prrafodelista"/>
        <w:spacing w:after="0" w:line="276" w:lineRule="auto"/>
        <w:ind w:left="0"/>
        <w:jc w:val="both"/>
        <w:rPr>
          <w:rFonts w:ascii="Gadugi" w:hAnsi="Gadugi"/>
          <w:sz w:val="24"/>
          <w:szCs w:val="24"/>
        </w:rPr>
      </w:pPr>
      <w:r w:rsidRPr="00E82BAD">
        <w:rPr>
          <w:rFonts w:ascii="Gadugi" w:hAnsi="Gadugi"/>
          <w:sz w:val="24"/>
          <w:szCs w:val="24"/>
        </w:rPr>
        <w:t>De otra parte, señalar que la Ley 1676 de 2013 no contempla esos requisitos, es desconocer</w:t>
      </w:r>
      <w:r w:rsidR="00715FE7" w:rsidRPr="00E82BAD">
        <w:rPr>
          <w:rFonts w:ascii="Gadugi" w:hAnsi="Gadugi"/>
          <w:sz w:val="24"/>
          <w:szCs w:val="24"/>
        </w:rPr>
        <w:t>, por un lado,</w:t>
      </w:r>
      <w:r w:rsidRPr="00E82BAD">
        <w:rPr>
          <w:rFonts w:ascii="Gadugi" w:hAnsi="Gadugi"/>
          <w:sz w:val="24"/>
          <w:szCs w:val="24"/>
        </w:rPr>
        <w:t xml:space="preserve"> que la prenda se celebró en vigencia de las normas anteriores y a </w:t>
      </w:r>
      <w:r w:rsidR="00715FE7" w:rsidRPr="00E82BAD">
        <w:rPr>
          <w:rFonts w:ascii="Gadugi" w:hAnsi="Gadugi"/>
          <w:sz w:val="24"/>
          <w:szCs w:val="24"/>
        </w:rPr>
        <w:t xml:space="preserve">sus formalidades </w:t>
      </w:r>
      <w:r w:rsidRPr="00E82BAD">
        <w:rPr>
          <w:rFonts w:ascii="Gadugi" w:hAnsi="Gadugi"/>
          <w:sz w:val="24"/>
          <w:szCs w:val="24"/>
        </w:rPr>
        <w:t>ha debido sujetarse</w:t>
      </w:r>
      <w:r w:rsidR="00715FE7" w:rsidRPr="00E82BAD">
        <w:rPr>
          <w:rFonts w:ascii="Gadugi" w:hAnsi="Gadugi"/>
          <w:sz w:val="24"/>
          <w:szCs w:val="24"/>
        </w:rPr>
        <w:t xml:space="preserve">. Y, por el otro, </w:t>
      </w:r>
      <w:r w:rsidRPr="00E82BAD">
        <w:rPr>
          <w:rFonts w:ascii="Gadugi" w:hAnsi="Gadugi"/>
          <w:sz w:val="24"/>
          <w:szCs w:val="24"/>
        </w:rPr>
        <w:t>que, en todo caso, la ley de garantías mobiliarias, lo que hizo fue unificar los requisitos para las que implican la tenencia del acreedor y las que no, si bien en su artículo 14 alude de manera genérica al contrato de garantía</w:t>
      </w:r>
      <w:r w:rsidR="00155FDD" w:rsidRPr="00E82BAD">
        <w:rPr>
          <w:rFonts w:ascii="Gadugi" w:hAnsi="Gadugi"/>
          <w:sz w:val="24"/>
          <w:szCs w:val="24"/>
        </w:rPr>
        <w:t>, norma bajo la cual, si se quiere, tampoco se satisfacen las exigencias legales</w:t>
      </w:r>
      <w:r w:rsidR="00715FE7" w:rsidRPr="00E82BAD">
        <w:rPr>
          <w:rFonts w:ascii="Gadugi" w:hAnsi="Gadugi"/>
          <w:sz w:val="24"/>
          <w:szCs w:val="24"/>
        </w:rPr>
        <w:t xml:space="preserve"> para su registro</w:t>
      </w:r>
      <w:r w:rsidR="00155FDD" w:rsidRPr="00E82BAD">
        <w:rPr>
          <w:rFonts w:ascii="Gadugi" w:hAnsi="Gadugi"/>
          <w:sz w:val="24"/>
          <w:szCs w:val="24"/>
        </w:rPr>
        <w:t>, al confrontarlo con el contrato de prenda que aquí se ventila</w:t>
      </w:r>
      <w:r w:rsidR="00A2460C" w:rsidRPr="00E82BAD">
        <w:rPr>
          <w:rFonts w:ascii="Gadugi" w:hAnsi="Gadugi"/>
          <w:sz w:val="24"/>
          <w:szCs w:val="24"/>
        </w:rPr>
        <w:t>.</w:t>
      </w:r>
      <w:r w:rsidR="00155FDD" w:rsidRPr="00E82BAD">
        <w:rPr>
          <w:rFonts w:ascii="Gadugi" w:hAnsi="Gadugi"/>
          <w:sz w:val="24"/>
          <w:szCs w:val="24"/>
        </w:rPr>
        <w:t xml:space="preserve"> </w:t>
      </w:r>
    </w:p>
    <w:p w14:paraId="60186EF3" w14:textId="77777777" w:rsidR="00177F37" w:rsidRPr="00E82BAD" w:rsidRDefault="00177F37" w:rsidP="00E82BAD">
      <w:pPr>
        <w:pStyle w:val="Prrafodelista"/>
        <w:spacing w:after="0" w:line="276" w:lineRule="auto"/>
        <w:ind w:left="0"/>
        <w:jc w:val="both"/>
        <w:rPr>
          <w:rFonts w:ascii="Gadugi" w:hAnsi="Gadugi"/>
          <w:sz w:val="24"/>
          <w:szCs w:val="24"/>
        </w:rPr>
      </w:pPr>
    </w:p>
    <w:p w14:paraId="0EAAE720" w14:textId="231CFE45" w:rsidR="00042E3D" w:rsidRPr="00E82BAD" w:rsidRDefault="00155FDD" w:rsidP="00E82BAD">
      <w:pPr>
        <w:pStyle w:val="Prrafodelista"/>
        <w:spacing w:after="0" w:line="276" w:lineRule="auto"/>
        <w:ind w:left="0"/>
        <w:jc w:val="both"/>
        <w:rPr>
          <w:rFonts w:ascii="Gadugi" w:hAnsi="Gadugi"/>
          <w:sz w:val="24"/>
          <w:szCs w:val="24"/>
        </w:rPr>
      </w:pPr>
      <w:r w:rsidRPr="00E82BAD">
        <w:rPr>
          <w:rFonts w:ascii="Gadugi" w:hAnsi="Gadugi"/>
          <w:sz w:val="24"/>
          <w:szCs w:val="24"/>
        </w:rPr>
        <w:lastRenderedPageBreak/>
        <w:t>Como quiera que ello sea, lo cierto es que</w:t>
      </w:r>
      <w:r w:rsidR="00FE25BC" w:rsidRPr="00E82BAD">
        <w:rPr>
          <w:rFonts w:ascii="Gadugi" w:hAnsi="Gadugi"/>
          <w:sz w:val="24"/>
          <w:szCs w:val="24"/>
        </w:rPr>
        <w:t xml:space="preserve"> el embate nada dice de la nulidad declarada. Si la sustentación de un recurso de apelación debe tener como orientación que se le indique al superior en qué fue que se equivocó el funcionario de primer grado, no basta aquí con señalar que el contrato es </w:t>
      </w:r>
      <w:r w:rsidR="00715FE7" w:rsidRPr="00E82BAD">
        <w:rPr>
          <w:rFonts w:ascii="Gadugi" w:hAnsi="Gadugi"/>
          <w:sz w:val="24"/>
          <w:szCs w:val="24"/>
        </w:rPr>
        <w:t>consensual</w:t>
      </w:r>
      <w:r w:rsidR="00FE25BC" w:rsidRPr="00E82BAD">
        <w:rPr>
          <w:rFonts w:ascii="Gadugi" w:hAnsi="Gadugi"/>
          <w:sz w:val="24"/>
          <w:szCs w:val="24"/>
        </w:rPr>
        <w:t>, sin redargüir el eje central del fallo, esto es, que el incumplimiento de los expresos requisitos impuestos por la ley tornan el contrato nulo</w:t>
      </w:r>
      <w:r w:rsidR="00042E3D" w:rsidRPr="00E82BAD">
        <w:rPr>
          <w:rFonts w:ascii="Gadugi" w:hAnsi="Gadugi"/>
          <w:sz w:val="24"/>
          <w:szCs w:val="24"/>
        </w:rPr>
        <w:t>, porque, s</w:t>
      </w:r>
      <w:r w:rsidR="003416ED" w:rsidRPr="00E82BAD">
        <w:rPr>
          <w:rFonts w:ascii="Gadugi" w:hAnsi="Gadugi"/>
          <w:sz w:val="24"/>
          <w:szCs w:val="24"/>
        </w:rPr>
        <w:t xml:space="preserve">i se mira bien, la </w:t>
      </w:r>
      <w:r w:rsidR="00042E3D" w:rsidRPr="00E82BAD">
        <w:rPr>
          <w:rFonts w:ascii="Gadugi" w:hAnsi="Gadugi"/>
          <w:sz w:val="24"/>
          <w:szCs w:val="24"/>
        </w:rPr>
        <w:t xml:space="preserve">apreciación del juzgado no partió de que el contrato de prenda fuera o no solemne, sino de la ausencia de las mentadas exigencias. </w:t>
      </w:r>
    </w:p>
    <w:p w14:paraId="156FFD0E" w14:textId="77777777" w:rsidR="00042E3D" w:rsidRPr="00E82BAD" w:rsidRDefault="00042E3D" w:rsidP="00E82BAD">
      <w:pPr>
        <w:pStyle w:val="Prrafodelista"/>
        <w:spacing w:after="0" w:line="276" w:lineRule="auto"/>
        <w:ind w:left="0"/>
        <w:jc w:val="both"/>
        <w:rPr>
          <w:rFonts w:ascii="Gadugi" w:hAnsi="Gadugi"/>
          <w:sz w:val="24"/>
          <w:szCs w:val="24"/>
        </w:rPr>
      </w:pPr>
    </w:p>
    <w:p w14:paraId="5F7FD0D9" w14:textId="77777777" w:rsidR="00D16DEB" w:rsidRDefault="00FE25BC" w:rsidP="00E82BAD">
      <w:pPr>
        <w:pStyle w:val="Prrafodelista"/>
        <w:spacing w:after="0" w:line="276" w:lineRule="auto"/>
        <w:ind w:left="0"/>
        <w:jc w:val="both"/>
        <w:rPr>
          <w:rFonts w:ascii="Gadugi" w:hAnsi="Gadugi"/>
          <w:sz w:val="24"/>
          <w:szCs w:val="24"/>
        </w:rPr>
      </w:pPr>
      <w:r w:rsidRPr="00E82BAD">
        <w:rPr>
          <w:rFonts w:ascii="Gadugi" w:hAnsi="Gadugi"/>
          <w:sz w:val="24"/>
          <w:szCs w:val="24"/>
        </w:rPr>
        <w:t xml:space="preserve">Esa conclusión, por tanto, </w:t>
      </w:r>
      <w:r w:rsidR="00042E3D" w:rsidRPr="00E82BAD">
        <w:rPr>
          <w:rFonts w:ascii="Gadugi" w:hAnsi="Gadugi"/>
          <w:sz w:val="24"/>
          <w:szCs w:val="24"/>
        </w:rPr>
        <w:t xml:space="preserve">a falta de réplica, </w:t>
      </w:r>
      <w:r w:rsidRPr="00E82BAD">
        <w:rPr>
          <w:rFonts w:ascii="Gadugi" w:hAnsi="Gadugi"/>
          <w:sz w:val="24"/>
          <w:szCs w:val="24"/>
        </w:rPr>
        <w:t>se mantiene incólume</w:t>
      </w:r>
      <w:r w:rsidR="00155FDD" w:rsidRPr="00E82BAD">
        <w:rPr>
          <w:rFonts w:ascii="Gadugi" w:hAnsi="Gadugi"/>
          <w:sz w:val="24"/>
          <w:szCs w:val="24"/>
        </w:rPr>
        <w:t xml:space="preserve"> y se</w:t>
      </w:r>
      <w:r w:rsidR="00042E3D" w:rsidRPr="00E82BAD">
        <w:rPr>
          <w:rFonts w:ascii="Gadugi" w:hAnsi="Gadugi"/>
          <w:sz w:val="24"/>
          <w:szCs w:val="24"/>
        </w:rPr>
        <w:t xml:space="preserve"> torna</w:t>
      </w:r>
      <w:r w:rsidR="00715FE7" w:rsidRPr="00E82BAD">
        <w:rPr>
          <w:rFonts w:ascii="Gadugi" w:hAnsi="Gadugi"/>
          <w:sz w:val="24"/>
          <w:szCs w:val="24"/>
        </w:rPr>
        <w:t>ría</w:t>
      </w:r>
      <w:r w:rsidR="00155FDD" w:rsidRPr="00E82BAD">
        <w:rPr>
          <w:rFonts w:ascii="Gadugi" w:hAnsi="Gadugi"/>
          <w:sz w:val="24"/>
          <w:szCs w:val="24"/>
        </w:rPr>
        <w:t xml:space="preserve"> suficiente para despachar negativamente la alzada.</w:t>
      </w:r>
    </w:p>
    <w:p w14:paraId="194A58D3" w14:textId="7B67FDC8" w:rsidR="00FE25BC" w:rsidRPr="00E82BAD" w:rsidRDefault="00155FDD" w:rsidP="00E82BAD">
      <w:pPr>
        <w:pStyle w:val="Prrafodelista"/>
        <w:spacing w:after="0" w:line="276" w:lineRule="auto"/>
        <w:ind w:left="0"/>
        <w:jc w:val="both"/>
        <w:rPr>
          <w:rFonts w:ascii="Gadugi" w:hAnsi="Gadugi"/>
          <w:sz w:val="24"/>
          <w:szCs w:val="24"/>
        </w:rPr>
      </w:pPr>
      <w:r w:rsidRPr="00E82BAD">
        <w:rPr>
          <w:rFonts w:ascii="Gadugi" w:hAnsi="Gadugi"/>
          <w:sz w:val="24"/>
          <w:szCs w:val="24"/>
        </w:rPr>
        <w:t xml:space="preserve"> </w:t>
      </w:r>
    </w:p>
    <w:p w14:paraId="55FE2C03" w14:textId="6B5DFF25" w:rsidR="00A03DEF" w:rsidRPr="00E82BAD" w:rsidRDefault="00715FE7" w:rsidP="00E82BAD">
      <w:pPr>
        <w:pStyle w:val="Prrafodelista"/>
        <w:numPr>
          <w:ilvl w:val="1"/>
          <w:numId w:val="1"/>
        </w:numPr>
        <w:tabs>
          <w:tab w:val="left" w:pos="709"/>
        </w:tabs>
        <w:spacing w:after="0" w:line="276" w:lineRule="auto"/>
        <w:ind w:left="0" w:firstLine="0"/>
        <w:jc w:val="both"/>
        <w:rPr>
          <w:rFonts w:ascii="Gadugi" w:hAnsi="Gadugi"/>
          <w:sz w:val="24"/>
          <w:szCs w:val="24"/>
        </w:rPr>
      </w:pPr>
      <w:r w:rsidRPr="00E82BAD">
        <w:rPr>
          <w:rFonts w:ascii="Gadugi" w:hAnsi="Gadugi"/>
          <w:sz w:val="24"/>
          <w:szCs w:val="24"/>
        </w:rPr>
        <w:t xml:space="preserve">La segunda razón, más determinante incluso que la anterior, y que implica que sea </w:t>
      </w:r>
      <w:r w:rsidR="001025CD" w:rsidRPr="00E82BAD">
        <w:rPr>
          <w:rFonts w:ascii="Gadugi" w:hAnsi="Gadugi"/>
          <w:sz w:val="24"/>
          <w:szCs w:val="24"/>
        </w:rPr>
        <w:t>innecesario</w:t>
      </w:r>
      <w:r w:rsidRPr="00E82BAD">
        <w:rPr>
          <w:rFonts w:ascii="Gadugi" w:hAnsi="Gadugi"/>
          <w:sz w:val="24"/>
          <w:szCs w:val="24"/>
        </w:rPr>
        <w:t xml:space="preserve"> adentrarse en los demás argumentos de la censura, es que, a la luz de la nueva normativa sobre garantía</w:t>
      </w:r>
      <w:r w:rsidR="001025CD" w:rsidRPr="00E82BAD">
        <w:rPr>
          <w:rFonts w:ascii="Gadugi" w:hAnsi="Gadugi"/>
          <w:sz w:val="24"/>
          <w:szCs w:val="24"/>
        </w:rPr>
        <w:t>s</w:t>
      </w:r>
      <w:r w:rsidRPr="00E82BAD">
        <w:rPr>
          <w:rFonts w:ascii="Gadugi" w:hAnsi="Gadugi"/>
          <w:sz w:val="24"/>
          <w:szCs w:val="24"/>
        </w:rPr>
        <w:t xml:space="preserve"> mobiliarias, en este caso </w:t>
      </w:r>
      <w:r w:rsidR="62642B21" w:rsidRPr="00E82BAD">
        <w:rPr>
          <w:rFonts w:ascii="Gadugi" w:hAnsi="Gadugi"/>
          <w:sz w:val="24"/>
          <w:szCs w:val="24"/>
        </w:rPr>
        <w:t xml:space="preserve">no </w:t>
      </w:r>
      <w:r w:rsidRPr="00E82BAD">
        <w:rPr>
          <w:rFonts w:ascii="Gadugi" w:hAnsi="Gadugi"/>
          <w:sz w:val="24"/>
          <w:szCs w:val="24"/>
        </w:rPr>
        <w:t xml:space="preserve">ha debido siquiera librarse mandamiento de pago </w:t>
      </w:r>
      <w:r w:rsidR="00A03DEF" w:rsidRPr="00E82BAD">
        <w:rPr>
          <w:rFonts w:ascii="Gadugi" w:hAnsi="Gadugi"/>
          <w:sz w:val="24"/>
          <w:szCs w:val="24"/>
        </w:rPr>
        <w:t xml:space="preserve">contra la codemandada. </w:t>
      </w:r>
      <w:r w:rsidR="00493A8F" w:rsidRPr="00E82BAD">
        <w:rPr>
          <w:rFonts w:ascii="Gadugi" w:hAnsi="Gadugi"/>
          <w:sz w:val="24"/>
          <w:szCs w:val="24"/>
        </w:rPr>
        <w:t xml:space="preserve">Y ya está visto que al juez le es dado volver sobre los requisitos del título ejecutivo al momento de dictar sentencia. </w:t>
      </w:r>
    </w:p>
    <w:p w14:paraId="66750DE6" w14:textId="77777777" w:rsidR="00A03DEF" w:rsidRPr="00E82BAD" w:rsidRDefault="00A03DEF" w:rsidP="00E82BAD">
      <w:pPr>
        <w:pStyle w:val="Prrafodelista"/>
        <w:tabs>
          <w:tab w:val="left" w:pos="2410"/>
        </w:tabs>
        <w:spacing w:after="0" w:line="276" w:lineRule="auto"/>
        <w:ind w:left="0"/>
        <w:jc w:val="both"/>
        <w:rPr>
          <w:rFonts w:ascii="Gadugi" w:hAnsi="Gadugi"/>
          <w:sz w:val="24"/>
          <w:szCs w:val="24"/>
        </w:rPr>
      </w:pPr>
    </w:p>
    <w:p w14:paraId="2A13B19B" w14:textId="77777777" w:rsidR="00974526" w:rsidRPr="00E82BAD" w:rsidRDefault="00A03DEF" w:rsidP="00E82BAD">
      <w:pPr>
        <w:pStyle w:val="Prrafodelista"/>
        <w:tabs>
          <w:tab w:val="left" w:pos="2410"/>
        </w:tabs>
        <w:spacing w:after="0" w:line="276" w:lineRule="auto"/>
        <w:ind w:left="0"/>
        <w:jc w:val="both"/>
        <w:rPr>
          <w:rFonts w:ascii="Gadugi" w:hAnsi="Gadugi"/>
          <w:sz w:val="24"/>
          <w:szCs w:val="24"/>
        </w:rPr>
      </w:pPr>
      <w:r w:rsidRPr="00E82BAD">
        <w:rPr>
          <w:rFonts w:ascii="Gadugi" w:hAnsi="Gadugi"/>
          <w:sz w:val="24"/>
          <w:szCs w:val="24"/>
        </w:rPr>
        <w:t xml:space="preserve">En efecto, la Ley 1676, en la que tanto énfasis hace el recurrente, </w:t>
      </w:r>
      <w:r w:rsidR="001312E5" w:rsidRPr="00E82BAD">
        <w:rPr>
          <w:rFonts w:ascii="Gadugi" w:hAnsi="Gadugi"/>
          <w:sz w:val="24"/>
          <w:szCs w:val="24"/>
        </w:rPr>
        <w:t xml:space="preserve">fue promulgada el </w:t>
      </w:r>
      <w:r w:rsidR="00974526" w:rsidRPr="00E82BAD">
        <w:rPr>
          <w:rFonts w:ascii="Gadugi" w:hAnsi="Gadugi"/>
          <w:sz w:val="24"/>
          <w:szCs w:val="24"/>
        </w:rPr>
        <w:t xml:space="preserve">20 de agosto de 2013; sin embargo, los artículos 90 y 91 señalaron un régimen de transición y derogatorias, así: </w:t>
      </w:r>
    </w:p>
    <w:p w14:paraId="72F58FBC" w14:textId="77777777" w:rsidR="00974526" w:rsidRPr="00E82BAD" w:rsidRDefault="00974526" w:rsidP="00E82BAD">
      <w:pPr>
        <w:pStyle w:val="Prrafodelista"/>
        <w:tabs>
          <w:tab w:val="left" w:pos="2410"/>
        </w:tabs>
        <w:spacing w:after="0" w:line="276" w:lineRule="auto"/>
        <w:ind w:left="0"/>
        <w:jc w:val="both"/>
        <w:rPr>
          <w:rFonts w:ascii="Gadugi" w:hAnsi="Gadugi"/>
          <w:color w:val="000000" w:themeColor="text1"/>
          <w:sz w:val="24"/>
          <w:szCs w:val="24"/>
        </w:rPr>
      </w:pPr>
    </w:p>
    <w:p w14:paraId="1138C4AC" w14:textId="77777777" w:rsidR="00974526" w:rsidRPr="00D16DEB" w:rsidRDefault="00974526" w:rsidP="00D16DEB">
      <w:pPr>
        <w:pStyle w:val="pa9"/>
        <w:shd w:val="clear" w:color="auto" w:fill="FFFFFF"/>
        <w:spacing w:before="0" w:beforeAutospacing="0" w:after="0" w:afterAutospacing="0"/>
        <w:ind w:left="426" w:right="420"/>
        <w:jc w:val="both"/>
        <w:rPr>
          <w:rFonts w:ascii="Gadugi" w:hAnsi="Gadugi"/>
          <w:color w:val="000000" w:themeColor="text1"/>
          <w:sz w:val="22"/>
        </w:rPr>
      </w:pPr>
      <w:r w:rsidRPr="00D16DEB">
        <w:rPr>
          <w:rFonts w:ascii="Gadugi" w:hAnsi="Gadugi"/>
          <w:b/>
          <w:bCs/>
          <w:color w:val="000000" w:themeColor="text1"/>
          <w:sz w:val="22"/>
        </w:rPr>
        <w:t>Artículo 90. </w:t>
      </w:r>
      <w:r w:rsidRPr="00D16DEB">
        <w:rPr>
          <w:rFonts w:ascii="Gadugi" w:hAnsi="Gadugi"/>
          <w:color w:val="000000" w:themeColor="text1"/>
          <w:sz w:val="22"/>
        </w:rPr>
        <w:t>El registro deberá operar a los seis (6) meses a partir de la promulgación de esta ley.</w:t>
      </w:r>
    </w:p>
    <w:p w14:paraId="49DDB275" w14:textId="77777777" w:rsidR="00974526" w:rsidRPr="00D16DEB" w:rsidRDefault="00974526" w:rsidP="00D16DEB">
      <w:pPr>
        <w:pStyle w:val="pa9"/>
        <w:shd w:val="clear" w:color="auto" w:fill="FFFFFF"/>
        <w:spacing w:before="0" w:beforeAutospacing="0" w:after="0" w:afterAutospacing="0"/>
        <w:ind w:left="426" w:right="420"/>
        <w:jc w:val="both"/>
        <w:rPr>
          <w:rFonts w:ascii="Gadugi" w:hAnsi="Gadugi"/>
          <w:color w:val="000000" w:themeColor="text1"/>
          <w:sz w:val="22"/>
        </w:rPr>
      </w:pPr>
      <w:r w:rsidRPr="00D16DEB">
        <w:rPr>
          <w:rFonts w:ascii="Gadugi" w:hAnsi="Gadugi"/>
          <w:color w:val="000000" w:themeColor="text1"/>
          <w:sz w:val="22"/>
        </w:rPr>
        <w:t> </w:t>
      </w:r>
    </w:p>
    <w:p w14:paraId="59140047" w14:textId="48DCBDB4" w:rsidR="00974526" w:rsidRPr="00D16DEB" w:rsidRDefault="00974526" w:rsidP="00D16DEB">
      <w:pPr>
        <w:pStyle w:val="pa9"/>
        <w:shd w:val="clear" w:color="auto" w:fill="FFFFFF"/>
        <w:spacing w:before="0" w:beforeAutospacing="0" w:after="0" w:afterAutospacing="0"/>
        <w:ind w:left="426" w:right="420"/>
        <w:jc w:val="both"/>
        <w:rPr>
          <w:rFonts w:ascii="Gadugi" w:hAnsi="Gadugi"/>
          <w:color w:val="000000" w:themeColor="text1"/>
          <w:sz w:val="22"/>
        </w:rPr>
      </w:pPr>
      <w:r w:rsidRPr="00D16DEB">
        <w:rPr>
          <w:rFonts w:ascii="Gadugi" w:hAnsi="Gadugi"/>
          <w:b/>
          <w:bCs/>
          <w:color w:val="000000" w:themeColor="text1"/>
          <w:sz w:val="22"/>
        </w:rPr>
        <w:t>Artículo 91. </w:t>
      </w:r>
      <w:r w:rsidRPr="00D16DEB">
        <w:rPr>
          <w:rFonts w:ascii="Gadugi" w:hAnsi="Gadugi"/>
          <w:color w:val="000000" w:themeColor="text1"/>
          <w:sz w:val="22"/>
        </w:rPr>
        <w:t>La presente ley entrará en vigencia seis (6) meses después de su promulgación y deroga expresamente las disposiciones que le sean contrarias y especialmente los artículos 2414, inciso 2° del artículo 2422, se modifica el artículo 2425 en el sentido de modificar la cuantía de ciento veinticinco pesos a veinte (20) salarios mínimos legales mensuales vigentes, el 2427 del Código Civil, los artículos </w:t>
      </w:r>
      <w:hyperlink r:id="rId11" w:anchor="1203" w:history="1">
        <w:r w:rsidRPr="00D16DEB">
          <w:rPr>
            <w:rStyle w:val="Hipervnculo"/>
            <w:rFonts w:ascii="Gadugi" w:hAnsi="Gadugi"/>
            <w:color w:val="000000" w:themeColor="text1"/>
            <w:sz w:val="22"/>
            <w:u w:val="none"/>
          </w:rPr>
          <w:t>1203</w:t>
        </w:r>
      </w:hyperlink>
      <w:r w:rsidRPr="00D16DEB">
        <w:rPr>
          <w:rFonts w:ascii="Gadugi" w:hAnsi="Gadugi"/>
          <w:color w:val="000000" w:themeColor="text1"/>
          <w:sz w:val="22"/>
        </w:rPr>
        <w:t>, </w:t>
      </w:r>
      <w:hyperlink r:id="rId12" w:anchor="1208" w:history="1">
        <w:r w:rsidRPr="00D16DEB">
          <w:rPr>
            <w:rStyle w:val="Hipervnculo"/>
            <w:rFonts w:ascii="Gadugi" w:hAnsi="Gadugi"/>
            <w:color w:val="000000" w:themeColor="text1"/>
            <w:sz w:val="22"/>
            <w:u w:val="none"/>
          </w:rPr>
          <w:t>1208</w:t>
        </w:r>
      </w:hyperlink>
      <w:r w:rsidRPr="00D16DEB">
        <w:rPr>
          <w:rFonts w:ascii="Gadugi" w:hAnsi="Gadugi"/>
          <w:color w:val="000000" w:themeColor="text1"/>
          <w:sz w:val="22"/>
        </w:rPr>
        <w:t>, </w:t>
      </w:r>
      <w:hyperlink r:id="rId13" w:anchor="1209" w:history="1">
        <w:r w:rsidRPr="00D16DEB">
          <w:rPr>
            <w:rStyle w:val="Hipervnculo"/>
            <w:rFonts w:ascii="Gadugi" w:hAnsi="Gadugi"/>
            <w:color w:val="000000" w:themeColor="text1"/>
            <w:sz w:val="22"/>
            <w:u w:val="none"/>
          </w:rPr>
          <w:t>1209</w:t>
        </w:r>
      </w:hyperlink>
      <w:r w:rsidRPr="00D16DEB">
        <w:rPr>
          <w:rFonts w:ascii="Gadugi" w:hAnsi="Gadugi"/>
          <w:color w:val="000000" w:themeColor="text1"/>
          <w:sz w:val="22"/>
        </w:rPr>
        <w:t>, </w:t>
      </w:r>
      <w:hyperlink r:id="rId14" w:anchor="1210" w:history="1">
        <w:r w:rsidRPr="00D16DEB">
          <w:rPr>
            <w:rStyle w:val="Hipervnculo"/>
            <w:rFonts w:ascii="Gadugi" w:hAnsi="Gadugi"/>
            <w:color w:val="000000" w:themeColor="text1"/>
            <w:sz w:val="22"/>
            <w:u w:val="none"/>
          </w:rPr>
          <w:t>1210</w:t>
        </w:r>
      </w:hyperlink>
      <w:r w:rsidRPr="00D16DEB">
        <w:rPr>
          <w:rFonts w:ascii="Gadugi" w:hAnsi="Gadugi"/>
          <w:color w:val="000000" w:themeColor="text1"/>
          <w:sz w:val="22"/>
        </w:rPr>
        <w:t>, lo referente al Registro Mercantil del artículo </w:t>
      </w:r>
      <w:hyperlink r:id="rId15" w:anchor="1213" w:history="1">
        <w:r w:rsidRPr="00D16DEB">
          <w:rPr>
            <w:rStyle w:val="Hipervnculo"/>
            <w:rFonts w:ascii="Gadugi" w:hAnsi="Gadugi"/>
            <w:color w:val="000000" w:themeColor="text1"/>
            <w:sz w:val="22"/>
            <w:u w:val="none"/>
          </w:rPr>
          <w:t>1213</w:t>
        </w:r>
      </w:hyperlink>
      <w:r w:rsidRPr="00D16DEB">
        <w:rPr>
          <w:rFonts w:ascii="Gadugi" w:hAnsi="Gadugi"/>
          <w:color w:val="000000" w:themeColor="text1"/>
          <w:sz w:val="22"/>
        </w:rPr>
        <w:t> del Código de Comercio; el artículo 247 de la Ley 685 de 2000; los artículos 1°, 2°, 3° de la Ley 24 de 1921. Se adiciona el artículo 24 del Código General del Proceso con un numeral 6 así: “La Superintendencia de Sociedades tendrá facultades jurisdiccionales en materia de garantías mobiliarias”. Los artículos 269 al 274 y 468 entrarán en vigencia para los efectos de esta ley y en la fecha de su promulgación.</w:t>
      </w:r>
    </w:p>
    <w:p w14:paraId="6F5B9276" w14:textId="77777777" w:rsidR="00974526" w:rsidRPr="00D16DEB" w:rsidRDefault="00974526" w:rsidP="00D16DEB">
      <w:pPr>
        <w:pStyle w:val="NormalWeb"/>
        <w:shd w:val="clear" w:color="auto" w:fill="FFFFFF"/>
        <w:spacing w:before="0" w:beforeAutospacing="0" w:after="0" w:afterAutospacing="0"/>
        <w:ind w:left="426" w:right="420"/>
        <w:jc w:val="both"/>
        <w:rPr>
          <w:rFonts w:ascii="Gadugi" w:hAnsi="Gadugi"/>
          <w:color w:val="000000" w:themeColor="text1"/>
          <w:sz w:val="22"/>
        </w:rPr>
      </w:pPr>
      <w:r w:rsidRPr="00D16DEB">
        <w:rPr>
          <w:rFonts w:ascii="Gadugi" w:hAnsi="Gadugi"/>
          <w:color w:val="000000" w:themeColor="text1"/>
          <w:sz w:val="22"/>
        </w:rPr>
        <w:t> </w:t>
      </w:r>
    </w:p>
    <w:p w14:paraId="270E9D93" w14:textId="77777777" w:rsidR="00974526" w:rsidRPr="00D16DEB" w:rsidRDefault="00974526" w:rsidP="00D16DEB">
      <w:pPr>
        <w:pStyle w:val="NormalWeb"/>
        <w:shd w:val="clear" w:color="auto" w:fill="FFFFFF"/>
        <w:spacing w:before="0" w:beforeAutospacing="0" w:after="0" w:afterAutospacing="0"/>
        <w:ind w:left="426" w:right="420"/>
        <w:jc w:val="both"/>
        <w:rPr>
          <w:rFonts w:ascii="Gadugi" w:hAnsi="Gadugi"/>
          <w:color w:val="000000" w:themeColor="text1"/>
          <w:sz w:val="22"/>
        </w:rPr>
      </w:pPr>
      <w:r w:rsidRPr="00D16DEB">
        <w:rPr>
          <w:rFonts w:ascii="Gadugi" w:hAnsi="Gadugi"/>
          <w:b/>
          <w:bCs/>
          <w:color w:val="000000" w:themeColor="text1"/>
          <w:sz w:val="22"/>
        </w:rPr>
        <w:t>Parágrafo. </w:t>
      </w:r>
      <w:r w:rsidRPr="00D16DEB">
        <w:rPr>
          <w:rFonts w:ascii="Gadugi" w:hAnsi="Gadugi"/>
          <w:color w:val="000000" w:themeColor="text1"/>
          <w:sz w:val="22"/>
        </w:rPr>
        <w:t>Las garantías mobiliarias constituidas con anterioridad a la vigencia de la presente ley, conservarán su validez hasta cuando los créditos amparados por las mismas sean extinguidos por cualquier medio legal.</w:t>
      </w:r>
    </w:p>
    <w:p w14:paraId="520ED97D" w14:textId="77777777" w:rsidR="00974526" w:rsidRPr="00E82BAD" w:rsidRDefault="00974526" w:rsidP="00E82BAD">
      <w:pPr>
        <w:pStyle w:val="Prrafodelista"/>
        <w:tabs>
          <w:tab w:val="left" w:pos="2410"/>
        </w:tabs>
        <w:spacing w:after="0" w:line="276" w:lineRule="auto"/>
        <w:ind w:left="0" w:right="618"/>
        <w:jc w:val="both"/>
        <w:rPr>
          <w:rFonts w:ascii="Gadugi" w:hAnsi="Gadugi"/>
          <w:sz w:val="24"/>
          <w:szCs w:val="24"/>
        </w:rPr>
      </w:pPr>
    </w:p>
    <w:p w14:paraId="7442601D" w14:textId="237E9B5B" w:rsidR="00974526" w:rsidRPr="00E82BAD" w:rsidRDefault="00974526" w:rsidP="00E82BAD">
      <w:pPr>
        <w:pStyle w:val="Prrafodelista"/>
        <w:tabs>
          <w:tab w:val="left" w:pos="2410"/>
        </w:tabs>
        <w:spacing w:after="0" w:line="276" w:lineRule="auto"/>
        <w:ind w:left="0"/>
        <w:jc w:val="both"/>
        <w:rPr>
          <w:rFonts w:ascii="Gadugi" w:hAnsi="Gadugi"/>
          <w:sz w:val="24"/>
          <w:szCs w:val="24"/>
        </w:rPr>
      </w:pPr>
      <w:r w:rsidRPr="00E82BAD">
        <w:rPr>
          <w:rFonts w:ascii="Gadugi" w:hAnsi="Gadugi"/>
          <w:sz w:val="24"/>
          <w:szCs w:val="24"/>
        </w:rPr>
        <w:t xml:space="preserve">Quiere decir, que su vigencia </w:t>
      </w:r>
      <w:r w:rsidR="002B79FF" w:rsidRPr="00E82BAD">
        <w:rPr>
          <w:rFonts w:ascii="Gadugi" w:hAnsi="Gadugi"/>
          <w:sz w:val="24"/>
          <w:szCs w:val="24"/>
        </w:rPr>
        <w:t xml:space="preserve">comenzó realmente el 20 de febrero de 2014, aunque previó que el artículo 468 del CGP, para los efectos de esta ley, </w:t>
      </w:r>
      <w:r w:rsidR="007E528B" w:rsidRPr="00E82BAD">
        <w:rPr>
          <w:rFonts w:ascii="Gadugi" w:hAnsi="Gadugi"/>
          <w:sz w:val="24"/>
          <w:szCs w:val="24"/>
        </w:rPr>
        <w:t>regiría</w:t>
      </w:r>
      <w:r w:rsidR="002B79FF" w:rsidRPr="00E82BAD">
        <w:rPr>
          <w:rFonts w:ascii="Gadugi" w:hAnsi="Gadugi"/>
          <w:sz w:val="24"/>
          <w:szCs w:val="24"/>
        </w:rPr>
        <w:t xml:space="preserve"> de manera inmediata. </w:t>
      </w:r>
    </w:p>
    <w:p w14:paraId="312DD9DD" w14:textId="470BC854" w:rsidR="002B79FF" w:rsidRPr="00E82BAD" w:rsidRDefault="002B79FF" w:rsidP="00E82BAD">
      <w:pPr>
        <w:pStyle w:val="Prrafodelista"/>
        <w:tabs>
          <w:tab w:val="left" w:pos="2410"/>
        </w:tabs>
        <w:spacing w:after="0" w:line="276" w:lineRule="auto"/>
        <w:ind w:left="0"/>
        <w:jc w:val="both"/>
        <w:rPr>
          <w:rFonts w:ascii="Gadugi" w:hAnsi="Gadugi"/>
          <w:sz w:val="24"/>
          <w:szCs w:val="24"/>
        </w:rPr>
      </w:pPr>
    </w:p>
    <w:p w14:paraId="157255D0" w14:textId="4A874B63" w:rsidR="002F38EF" w:rsidRPr="00E82BAD" w:rsidRDefault="002B79FF" w:rsidP="00E82BAD">
      <w:pPr>
        <w:pStyle w:val="Prrafodelista"/>
        <w:tabs>
          <w:tab w:val="left" w:pos="2410"/>
        </w:tabs>
        <w:spacing w:after="0" w:line="276" w:lineRule="auto"/>
        <w:ind w:left="0"/>
        <w:jc w:val="both"/>
        <w:rPr>
          <w:rFonts w:ascii="Gadugi" w:hAnsi="Gadugi"/>
          <w:sz w:val="24"/>
          <w:szCs w:val="24"/>
        </w:rPr>
      </w:pPr>
      <w:r w:rsidRPr="00E82BAD">
        <w:rPr>
          <w:rFonts w:ascii="Gadugi" w:hAnsi="Gadugi"/>
          <w:sz w:val="24"/>
          <w:szCs w:val="24"/>
        </w:rPr>
        <w:lastRenderedPageBreak/>
        <w:t xml:space="preserve">Además, se estableció </w:t>
      </w:r>
      <w:r w:rsidR="00C7589B" w:rsidRPr="00E82BAD">
        <w:rPr>
          <w:rFonts w:ascii="Gadugi" w:hAnsi="Gadugi"/>
          <w:sz w:val="24"/>
          <w:szCs w:val="24"/>
        </w:rPr>
        <w:t xml:space="preserve">en el artículo </w:t>
      </w:r>
      <w:r w:rsidR="002F38EF" w:rsidRPr="00E82BAD">
        <w:rPr>
          <w:rFonts w:ascii="Gadugi" w:hAnsi="Gadugi"/>
          <w:sz w:val="24"/>
          <w:szCs w:val="24"/>
        </w:rPr>
        <w:t>8</w:t>
      </w:r>
      <w:r w:rsidR="00C7589B" w:rsidRPr="00E82BAD">
        <w:rPr>
          <w:rFonts w:ascii="Gadugi" w:hAnsi="Gadugi"/>
          <w:sz w:val="24"/>
          <w:szCs w:val="24"/>
        </w:rPr>
        <w:t>4, que</w:t>
      </w:r>
      <w:r w:rsidR="00A2460C" w:rsidRPr="00E82BAD">
        <w:rPr>
          <w:rFonts w:ascii="Gadugi" w:hAnsi="Gadugi"/>
          <w:sz w:val="24"/>
          <w:szCs w:val="24"/>
        </w:rPr>
        <w:t>:</w:t>
      </w:r>
    </w:p>
    <w:p w14:paraId="283F0A10" w14:textId="77777777" w:rsidR="002F38EF" w:rsidRPr="00E82BAD" w:rsidRDefault="002F38EF" w:rsidP="00E82BAD">
      <w:pPr>
        <w:pStyle w:val="Prrafodelista"/>
        <w:tabs>
          <w:tab w:val="left" w:pos="2410"/>
        </w:tabs>
        <w:spacing w:after="0" w:line="276" w:lineRule="auto"/>
        <w:ind w:left="0"/>
        <w:jc w:val="both"/>
        <w:rPr>
          <w:rFonts w:ascii="Gadugi" w:hAnsi="Gadugi"/>
          <w:sz w:val="24"/>
          <w:szCs w:val="24"/>
        </w:rPr>
      </w:pPr>
    </w:p>
    <w:p w14:paraId="4CC25726" w14:textId="5CC836D7" w:rsidR="002F38EF" w:rsidRPr="00D16DEB" w:rsidRDefault="002B79FF" w:rsidP="00D16DEB">
      <w:pPr>
        <w:pStyle w:val="pa9"/>
        <w:shd w:val="clear" w:color="auto" w:fill="FFFFFF"/>
        <w:spacing w:before="0" w:beforeAutospacing="0" w:after="0" w:afterAutospacing="0"/>
        <w:ind w:left="426" w:right="420"/>
        <w:jc w:val="both"/>
        <w:rPr>
          <w:rFonts w:ascii="Gadugi" w:hAnsi="Gadugi"/>
          <w:bCs/>
          <w:color w:val="000000" w:themeColor="text1"/>
          <w:sz w:val="22"/>
        </w:rPr>
      </w:pPr>
      <w:r w:rsidRPr="00D16DEB">
        <w:rPr>
          <w:rFonts w:ascii="Gadugi" w:hAnsi="Gadugi"/>
          <w:bCs/>
          <w:color w:val="000000" w:themeColor="text1"/>
          <w:sz w:val="22"/>
        </w:rPr>
        <w:t xml:space="preserve">A partir </w:t>
      </w:r>
      <w:r w:rsidR="00C7589B" w:rsidRPr="00D16DEB">
        <w:rPr>
          <w:rFonts w:ascii="Gadugi" w:hAnsi="Gadugi"/>
          <w:bCs/>
          <w:color w:val="000000" w:themeColor="text1"/>
          <w:sz w:val="22"/>
        </w:rPr>
        <w:t>de la entrada en vigencia de la presente ley, las garantías mobiliarias que se constituyan deben cumplir con las disposiciones contenidas en la presente ley</w:t>
      </w:r>
      <w:r w:rsidR="007E528B" w:rsidRPr="00D16DEB">
        <w:rPr>
          <w:rFonts w:ascii="Gadugi" w:hAnsi="Gadugi"/>
          <w:bCs/>
          <w:color w:val="000000" w:themeColor="text1"/>
          <w:sz w:val="22"/>
        </w:rPr>
        <w:t>.</w:t>
      </w:r>
      <w:r w:rsidR="002F38EF" w:rsidRPr="00D16DEB">
        <w:rPr>
          <w:rFonts w:ascii="Gadugi" w:hAnsi="Gadugi"/>
          <w:bCs/>
          <w:color w:val="000000" w:themeColor="text1"/>
          <w:sz w:val="22"/>
        </w:rPr>
        <w:t xml:space="preserve">  </w:t>
      </w:r>
    </w:p>
    <w:p w14:paraId="5C29B906" w14:textId="77777777" w:rsidR="002F38EF" w:rsidRPr="00E82BAD" w:rsidRDefault="002F38EF" w:rsidP="00E82BAD">
      <w:pPr>
        <w:pStyle w:val="Prrafodelista"/>
        <w:tabs>
          <w:tab w:val="left" w:pos="2410"/>
        </w:tabs>
        <w:spacing w:after="0" w:line="276" w:lineRule="auto"/>
        <w:ind w:left="0"/>
        <w:jc w:val="both"/>
        <w:rPr>
          <w:rFonts w:ascii="Gadugi" w:hAnsi="Gadugi" w:cs="Open Sans"/>
          <w:color w:val="000000" w:themeColor="text1"/>
          <w:sz w:val="24"/>
          <w:szCs w:val="24"/>
        </w:rPr>
      </w:pPr>
    </w:p>
    <w:p w14:paraId="2A6AD7EC" w14:textId="26B3722F" w:rsidR="002F38EF" w:rsidRPr="00E82BAD" w:rsidRDefault="007E528B" w:rsidP="00E82BAD">
      <w:pPr>
        <w:pStyle w:val="Prrafodelista"/>
        <w:tabs>
          <w:tab w:val="left" w:pos="2410"/>
        </w:tabs>
        <w:spacing w:after="0" w:line="276" w:lineRule="auto"/>
        <w:ind w:left="0"/>
        <w:jc w:val="both"/>
        <w:rPr>
          <w:rFonts w:ascii="Gadugi" w:hAnsi="Gadugi" w:cs="Open Sans"/>
          <w:color w:val="000000" w:themeColor="text1"/>
          <w:sz w:val="24"/>
          <w:szCs w:val="24"/>
        </w:rPr>
      </w:pPr>
      <w:r w:rsidRPr="00E82BAD">
        <w:rPr>
          <w:rFonts w:ascii="Gadugi" w:hAnsi="Gadugi" w:cs="Open Sans"/>
          <w:color w:val="000000" w:themeColor="text1"/>
          <w:sz w:val="24"/>
          <w:szCs w:val="24"/>
        </w:rPr>
        <w:t>Y</w:t>
      </w:r>
      <w:r w:rsidR="002F38EF" w:rsidRPr="00E82BAD">
        <w:rPr>
          <w:rFonts w:ascii="Gadugi" w:hAnsi="Gadugi" w:cs="Open Sans"/>
          <w:color w:val="000000" w:themeColor="text1"/>
          <w:sz w:val="24"/>
          <w:szCs w:val="24"/>
        </w:rPr>
        <w:t xml:space="preserve"> en el 85, que</w:t>
      </w:r>
      <w:r w:rsidRPr="00E82BAD">
        <w:rPr>
          <w:rFonts w:ascii="Gadugi" w:hAnsi="Gadugi" w:cs="Open Sans"/>
          <w:color w:val="000000" w:themeColor="text1"/>
          <w:sz w:val="24"/>
          <w:szCs w:val="24"/>
        </w:rPr>
        <w:t>:</w:t>
      </w:r>
      <w:r w:rsidR="002F38EF" w:rsidRPr="00E82BAD">
        <w:rPr>
          <w:rFonts w:ascii="Gadugi" w:hAnsi="Gadugi" w:cs="Open Sans"/>
          <w:color w:val="000000" w:themeColor="text1"/>
          <w:sz w:val="24"/>
          <w:szCs w:val="24"/>
        </w:rPr>
        <w:t xml:space="preserve"> </w:t>
      </w:r>
    </w:p>
    <w:p w14:paraId="388EC42F" w14:textId="77777777" w:rsidR="002F38EF" w:rsidRPr="00E82BAD" w:rsidRDefault="002F38EF" w:rsidP="00E82BAD">
      <w:pPr>
        <w:pStyle w:val="Prrafodelista"/>
        <w:tabs>
          <w:tab w:val="left" w:pos="2410"/>
        </w:tabs>
        <w:spacing w:after="0" w:line="276" w:lineRule="auto"/>
        <w:ind w:left="0"/>
        <w:jc w:val="both"/>
        <w:rPr>
          <w:rFonts w:ascii="Gadugi" w:hAnsi="Gadugi" w:cs="Open Sans"/>
          <w:color w:val="000000" w:themeColor="text1"/>
          <w:sz w:val="24"/>
          <w:szCs w:val="24"/>
        </w:rPr>
      </w:pPr>
    </w:p>
    <w:p w14:paraId="6D1C7C90" w14:textId="77777777" w:rsidR="002F38EF" w:rsidRPr="00D16DEB" w:rsidRDefault="002F38EF" w:rsidP="00D16DEB">
      <w:pPr>
        <w:pStyle w:val="pa9"/>
        <w:shd w:val="clear" w:color="auto" w:fill="FFFFFF"/>
        <w:spacing w:before="0" w:beforeAutospacing="0" w:after="0" w:afterAutospacing="0"/>
        <w:ind w:left="426" w:right="420"/>
        <w:jc w:val="both"/>
        <w:rPr>
          <w:rFonts w:ascii="Gadugi" w:hAnsi="Gadugi"/>
          <w:bCs/>
          <w:color w:val="000000" w:themeColor="text1"/>
          <w:sz w:val="22"/>
        </w:rPr>
      </w:pPr>
      <w:r w:rsidRPr="00D16DEB">
        <w:rPr>
          <w:rFonts w:ascii="Gadugi" w:hAnsi="Gadugi"/>
          <w:bCs/>
          <w:color w:val="000000" w:themeColor="text1"/>
          <w:sz w:val="22"/>
        </w:rPr>
        <w:t xml:space="preserve">La presente ley aplica a todas las garantías mobiliarias, aun aquellas que hayan sido constituidas previamente a la entrada en vigencia de esta ley…” </w:t>
      </w:r>
    </w:p>
    <w:p w14:paraId="1EE1802F" w14:textId="77777777" w:rsidR="001025CD" w:rsidRPr="00E82BAD" w:rsidRDefault="001025CD" w:rsidP="00E82BAD">
      <w:pPr>
        <w:pStyle w:val="Prrafodelista"/>
        <w:tabs>
          <w:tab w:val="left" w:pos="2410"/>
        </w:tabs>
        <w:spacing w:after="0" w:line="276" w:lineRule="auto"/>
        <w:ind w:left="0"/>
        <w:jc w:val="both"/>
        <w:rPr>
          <w:rFonts w:ascii="Gadugi" w:hAnsi="Gadugi"/>
          <w:color w:val="000000" w:themeColor="text1"/>
          <w:sz w:val="24"/>
          <w:szCs w:val="24"/>
          <w:shd w:val="clear" w:color="auto" w:fill="FFFFFF"/>
        </w:rPr>
      </w:pPr>
    </w:p>
    <w:p w14:paraId="3AC0ADE9" w14:textId="07ECB4D2" w:rsidR="002F38EF" w:rsidRPr="00E82BAD" w:rsidRDefault="00A2460C" w:rsidP="00E82BAD">
      <w:pPr>
        <w:pStyle w:val="Prrafodelista"/>
        <w:tabs>
          <w:tab w:val="left" w:pos="2410"/>
        </w:tabs>
        <w:spacing w:after="0" w:line="276" w:lineRule="auto"/>
        <w:ind w:left="0"/>
        <w:jc w:val="both"/>
        <w:rPr>
          <w:rFonts w:ascii="Gadugi" w:hAnsi="Gadugi"/>
          <w:color w:val="000000" w:themeColor="text1"/>
          <w:sz w:val="24"/>
          <w:szCs w:val="24"/>
          <w:shd w:val="clear" w:color="auto" w:fill="FFFFFF"/>
        </w:rPr>
      </w:pPr>
      <w:r w:rsidRPr="00E82BAD">
        <w:rPr>
          <w:rFonts w:ascii="Gadugi" w:hAnsi="Gadugi"/>
          <w:color w:val="000000" w:themeColor="text1"/>
          <w:sz w:val="24"/>
          <w:szCs w:val="24"/>
          <w:shd w:val="clear" w:color="auto" w:fill="FFFFFF"/>
        </w:rPr>
        <w:t>Y</w:t>
      </w:r>
      <w:r w:rsidR="002F38EF" w:rsidRPr="00E82BAD">
        <w:rPr>
          <w:rFonts w:ascii="Gadugi" w:hAnsi="Gadugi"/>
          <w:color w:val="000000" w:themeColor="text1"/>
          <w:sz w:val="24"/>
          <w:szCs w:val="24"/>
          <w:shd w:val="clear" w:color="auto" w:fill="FFFFFF"/>
        </w:rPr>
        <w:t xml:space="preserve"> se agregó, como cuestión relevante para este caso, que </w:t>
      </w:r>
    </w:p>
    <w:p w14:paraId="6E98B2BD" w14:textId="77777777" w:rsidR="002F38EF" w:rsidRPr="00E82BAD" w:rsidRDefault="002F38EF" w:rsidP="00E82BAD">
      <w:pPr>
        <w:pStyle w:val="Prrafodelista"/>
        <w:tabs>
          <w:tab w:val="left" w:pos="2410"/>
        </w:tabs>
        <w:spacing w:after="0" w:line="276" w:lineRule="auto"/>
        <w:ind w:left="0"/>
        <w:jc w:val="both"/>
        <w:rPr>
          <w:rFonts w:ascii="Gadugi" w:hAnsi="Gadugi"/>
          <w:color w:val="000000" w:themeColor="text1"/>
          <w:sz w:val="24"/>
          <w:szCs w:val="24"/>
          <w:shd w:val="clear" w:color="auto" w:fill="FFFFFF"/>
        </w:rPr>
      </w:pPr>
    </w:p>
    <w:p w14:paraId="0CFC1FA6" w14:textId="557298F4" w:rsidR="002F38EF" w:rsidRPr="00D16DEB" w:rsidRDefault="002F38EF" w:rsidP="00D16DEB">
      <w:pPr>
        <w:pStyle w:val="pa9"/>
        <w:shd w:val="clear" w:color="auto" w:fill="FFFFFF"/>
        <w:spacing w:before="0" w:beforeAutospacing="0" w:after="0" w:afterAutospacing="0"/>
        <w:ind w:left="426" w:right="420"/>
        <w:jc w:val="both"/>
        <w:rPr>
          <w:rFonts w:ascii="Gadugi" w:hAnsi="Gadugi"/>
          <w:bCs/>
          <w:color w:val="000000" w:themeColor="text1"/>
          <w:sz w:val="22"/>
        </w:rPr>
      </w:pPr>
      <w:r w:rsidRPr="00D16DEB">
        <w:rPr>
          <w:rFonts w:ascii="Gadugi" w:hAnsi="Gadugi"/>
          <w:bCs/>
          <w:color w:val="000000" w:themeColor="text1"/>
          <w:sz w:val="22"/>
        </w:rPr>
        <w:t xml:space="preserve">Una garantía mobiliaria que haya sido debidamente constituida y sea efectiva según la legislación anterior a la entrada en vigencia de esta ley, continuará siendo efectiva y se aplicarán las reglas de prelación establecidas en esta ley. Para efectos de la aplicación de las reglas de ejecución deberá cumplir los requisitos de oponibilidad y registro establecidos en la presente ley, y de requerirse el registro deberá efectuarse dentro de los seis (6) meses siguientes a la vigencia de la presente ley, manteniendo la prelación con la que contaba al momento de expedirse la presente ley. </w:t>
      </w:r>
      <w:r w:rsidR="00C7589B" w:rsidRPr="00D16DEB">
        <w:rPr>
          <w:rFonts w:ascii="Gadugi" w:hAnsi="Gadugi"/>
          <w:bCs/>
          <w:color w:val="000000" w:themeColor="text1"/>
          <w:sz w:val="22"/>
        </w:rPr>
        <w:t xml:space="preserve">  </w:t>
      </w:r>
    </w:p>
    <w:p w14:paraId="01EAA34A" w14:textId="77777777" w:rsidR="002F38EF" w:rsidRPr="00E82BAD" w:rsidRDefault="002F38EF" w:rsidP="00E82BAD">
      <w:pPr>
        <w:pStyle w:val="Prrafodelista"/>
        <w:tabs>
          <w:tab w:val="left" w:pos="2410"/>
        </w:tabs>
        <w:spacing w:after="0" w:line="276" w:lineRule="auto"/>
        <w:ind w:left="0"/>
        <w:jc w:val="both"/>
        <w:rPr>
          <w:rFonts w:ascii="Gadugi" w:hAnsi="Gadugi"/>
          <w:i/>
          <w:iCs/>
          <w:color w:val="000000" w:themeColor="text1"/>
          <w:sz w:val="24"/>
          <w:szCs w:val="24"/>
        </w:rPr>
      </w:pPr>
    </w:p>
    <w:p w14:paraId="5E8669C7" w14:textId="77777777" w:rsidR="00D80A2B" w:rsidRPr="00E82BAD" w:rsidRDefault="002259B7" w:rsidP="00E82BAD">
      <w:pPr>
        <w:pStyle w:val="Prrafodelista"/>
        <w:tabs>
          <w:tab w:val="left" w:pos="2410"/>
        </w:tabs>
        <w:spacing w:after="0" w:line="276" w:lineRule="auto"/>
        <w:ind w:left="0"/>
        <w:jc w:val="both"/>
        <w:rPr>
          <w:rFonts w:ascii="Gadugi" w:hAnsi="Gadugi"/>
          <w:sz w:val="24"/>
          <w:szCs w:val="24"/>
        </w:rPr>
      </w:pPr>
      <w:r w:rsidRPr="00E82BAD">
        <w:rPr>
          <w:rFonts w:ascii="Gadugi" w:hAnsi="Gadugi"/>
          <w:sz w:val="24"/>
          <w:szCs w:val="24"/>
        </w:rPr>
        <w:t xml:space="preserve">Por supuesto que, dentro de las garantías mobiliarias a que alude la normativa, está la prenda con y sin tenencia, regulada en el C. de Comercio, según se lee en el tercer inciso del artículo 3°.  </w:t>
      </w:r>
    </w:p>
    <w:p w14:paraId="1D8BC476" w14:textId="77777777" w:rsidR="00D80A2B" w:rsidRPr="00E82BAD" w:rsidRDefault="00D80A2B" w:rsidP="00E82BAD">
      <w:pPr>
        <w:pStyle w:val="Prrafodelista"/>
        <w:tabs>
          <w:tab w:val="left" w:pos="2410"/>
        </w:tabs>
        <w:spacing w:after="0" w:line="276" w:lineRule="auto"/>
        <w:ind w:left="0"/>
        <w:jc w:val="both"/>
        <w:rPr>
          <w:rFonts w:ascii="Gadugi" w:hAnsi="Gadugi"/>
          <w:sz w:val="24"/>
          <w:szCs w:val="24"/>
        </w:rPr>
      </w:pPr>
    </w:p>
    <w:p w14:paraId="5223E56A" w14:textId="258C6EEA" w:rsidR="002F38EF" w:rsidRPr="00E82BAD" w:rsidRDefault="00D80A2B" w:rsidP="00E82BAD">
      <w:pPr>
        <w:pStyle w:val="Prrafodelista"/>
        <w:tabs>
          <w:tab w:val="left" w:pos="2410"/>
        </w:tabs>
        <w:spacing w:after="0" w:line="276" w:lineRule="auto"/>
        <w:ind w:left="0"/>
        <w:jc w:val="both"/>
        <w:rPr>
          <w:rFonts w:ascii="Gadugi" w:hAnsi="Gadugi"/>
          <w:sz w:val="24"/>
          <w:szCs w:val="24"/>
        </w:rPr>
      </w:pPr>
      <w:r w:rsidRPr="00E82BAD">
        <w:rPr>
          <w:rFonts w:ascii="Gadugi" w:hAnsi="Gadugi"/>
          <w:sz w:val="24"/>
          <w:szCs w:val="24"/>
        </w:rPr>
        <w:t xml:space="preserve">E incluso se aludió concretamente a </w:t>
      </w:r>
      <w:r w:rsidR="00C12F89" w:rsidRPr="00E82BAD">
        <w:rPr>
          <w:rFonts w:ascii="Gadugi" w:hAnsi="Gadugi"/>
          <w:sz w:val="24"/>
          <w:szCs w:val="24"/>
        </w:rPr>
        <w:t>un registro especial que involucra los automotores. El artículo 8°, que trae unas definiciones, prevé:</w:t>
      </w:r>
    </w:p>
    <w:p w14:paraId="1787CF77" w14:textId="502ED482" w:rsidR="00C12F89" w:rsidRPr="00E82BAD" w:rsidRDefault="00C12F89" w:rsidP="00E82BAD">
      <w:pPr>
        <w:pStyle w:val="Prrafodelista"/>
        <w:tabs>
          <w:tab w:val="left" w:pos="2410"/>
        </w:tabs>
        <w:spacing w:after="0" w:line="276" w:lineRule="auto"/>
        <w:ind w:left="0"/>
        <w:jc w:val="both"/>
        <w:rPr>
          <w:rFonts w:ascii="Gadugi" w:hAnsi="Gadugi"/>
          <w:sz w:val="24"/>
          <w:szCs w:val="24"/>
        </w:rPr>
      </w:pPr>
    </w:p>
    <w:p w14:paraId="2F9B559F" w14:textId="41C35401" w:rsidR="00C12F89" w:rsidRPr="00B93A7C" w:rsidRDefault="00C12F89" w:rsidP="00B93A7C">
      <w:pPr>
        <w:pStyle w:val="pa9"/>
        <w:shd w:val="clear" w:color="auto" w:fill="FFFFFF"/>
        <w:spacing w:before="0" w:beforeAutospacing="0" w:after="0" w:afterAutospacing="0"/>
        <w:ind w:left="426" w:right="420"/>
        <w:jc w:val="both"/>
        <w:rPr>
          <w:rFonts w:ascii="Gadugi" w:hAnsi="Gadugi"/>
          <w:bCs/>
          <w:color w:val="000000" w:themeColor="text1"/>
          <w:sz w:val="22"/>
        </w:rPr>
      </w:pPr>
      <w:r w:rsidRPr="00B93A7C">
        <w:rPr>
          <w:rFonts w:ascii="Gadugi" w:hAnsi="Gadugi"/>
          <w:b/>
          <w:bCs/>
          <w:color w:val="000000" w:themeColor="text1"/>
          <w:sz w:val="22"/>
        </w:rPr>
        <w:t>Registro especial:</w:t>
      </w:r>
      <w:r w:rsidRPr="00B93A7C">
        <w:rPr>
          <w:rFonts w:ascii="Gadugi" w:hAnsi="Gadugi"/>
          <w:bCs/>
          <w:color w:val="000000" w:themeColor="text1"/>
          <w:sz w:val="22"/>
        </w:rPr>
        <w:t> Es aquel al que se sujeta la transferencia de derechos sobre los automotores, o los derechos de propiedad intelectual. Las garantías sobre dichos bienes deberán inscribirse en el Registro Especial al que se sujetan este tipo de bienes cuando dicho registro es constitutivo del derecho, el cual dará aviso al momento de su anotación por medio electrónico al registro general de la inscripción de la garantía, para su inscripción.</w:t>
      </w:r>
    </w:p>
    <w:p w14:paraId="1EE42CF7" w14:textId="329DCAF6" w:rsidR="002259B7" w:rsidRPr="00E82BAD" w:rsidRDefault="002259B7" w:rsidP="00E82BAD">
      <w:pPr>
        <w:pStyle w:val="Prrafodelista"/>
        <w:tabs>
          <w:tab w:val="left" w:pos="2410"/>
        </w:tabs>
        <w:spacing w:after="0" w:line="276" w:lineRule="auto"/>
        <w:ind w:left="0"/>
        <w:jc w:val="both"/>
        <w:rPr>
          <w:rFonts w:ascii="Gadugi" w:hAnsi="Gadugi"/>
          <w:sz w:val="24"/>
          <w:szCs w:val="24"/>
        </w:rPr>
      </w:pPr>
    </w:p>
    <w:p w14:paraId="6A8000ED" w14:textId="1D671B34" w:rsidR="002259B7" w:rsidRPr="00E82BAD" w:rsidRDefault="002259B7" w:rsidP="00E82BAD">
      <w:pPr>
        <w:pStyle w:val="Prrafodelista"/>
        <w:tabs>
          <w:tab w:val="left" w:pos="2410"/>
        </w:tabs>
        <w:spacing w:after="0" w:line="276" w:lineRule="auto"/>
        <w:ind w:left="0"/>
        <w:jc w:val="both"/>
        <w:rPr>
          <w:rFonts w:ascii="Gadugi" w:hAnsi="Gadugi"/>
          <w:i/>
          <w:iCs/>
          <w:sz w:val="24"/>
          <w:szCs w:val="24"/>
        </w:rPr>
      </w:pPr>
      <w:r w:rsidRPr="00E82BAD">
        <w:rPr>
          <w:rFonts w:ascii="Gadugi" w:hAnsi="Gadugi"/>
          <w:sz w:val="24"/>
          <w:szCs w:val="24"/>
        </w:rPr>
        <w:t>Como puede verse, aún las garantías constituidas con antelación a la vigencia de la Ley, requieren para su cabal ejecución, cumplir los requisitos de oponibilidad y registro establecidos en ella, partiendo de una primera premisa</w:t>
      </w:r>
      <w:r w:rsidR="00C12F89" w:rsidRPr="00E82BAD">
        <w:rPr>
          <w:rFonts w:ascii="Gadugi" w:hAnsi="Gadugi"/>
          <w:sz w:val="24"/>
          <w:szCs w:val="24"/>
        </w:rPr>
        <w:t>, inserta en el artículo 12</w:t>
      </w:r>
      <w:r w:rsidRPr="00E82BAD">
        <w:rPr>
          <w:rFonts w:ascii="Gadugi" w:hAnsi="Gadugi"/>
          <w:sz w:val="24"/>
          <w:szCs w:val="24"/>
        </w:rPr>
        <w:t xml:space="preserve">, que consiste en que </w:t>
      </w:r>
      <w:r w:rsidRPr="00E82BAD">
        <w:rPr>
          <w:rFonts w:ascii="Gadugi" w:hAnsi="Gadugi"/>
          <w:i/>
          <w:iCs/>
          <w:sz w:val="24"/>
          <w:szCs w:val="24"/>
        </w:rPr>
        <w:t>“</w:t>
      </w:r>
      <w:r w:rsidRPr="00B93A7C">
        <w:rPr>
          <w:rFonts w:ascii="Gadugi" w:hAnsi="Gadugi"/>
          <w:i/>
          <w:iCs/>
          <w:szCs w:val="24"/>
        </w:rPr>
        <w:t>Para la ejecución judicial de la garantía mobiliar</w:t>
      </w:r>
      <w:r w:rsidR="001025CD" w:rsidRPr="00B93A7C">
        <w:rPr>
          <w:rFonts w:ascii="Gadugi" w:hAnsi="Gadugi"/>
          <w:i/>
          <w:iCs/>
          <w:szCs w:val="24"/>
        </w:rPr>
        <w:t>i</w:t>
      </w:r>
      <w:r w:rsidRPr="00B93A7C">
        <w:rPr>
          <w:rFonts w:ascii="Gadugi" w:hAnsi="Gadugi"/>
          <w:i/>
          <w:iCs/>
          <w:szCs w:val="24"/>
        </w:rPr>
        <w:t>a, el formulario registral de ejecución de la garantía mobiliaria inscrito o de restitución, tendrán el carácter de título ejecutivo…</w:t>
      </w:r>
      <w:r w:rsidRPr="00E82BAD">
        <w:rPr>
          <w:rFonts w:ascii="Gadugi" w:hAnsi="Gadugi"/>
          <w:i/>
          <w:iCs/>
          <w:sz w:val="24"/>
          <w:szCs w:val="24"/>
        </w:rPr>
        <w:t>”</w:t>
      </w:r>
      <w:r w:rsidR="00806984" w:rsidRPr="00E82BAD">
        <w:rPr>
          <w:rFonts w:ascii="Gadugi" w:hAnsi="Gadugi"/>
          <w:i/>
          <w:iCs/>
          <w:sz w:val="24"/>
          <w:szCs w:val="24"/>
        </w:rPr>
        <w:t xml:space="preserve">. </w:t>
      </w:r>
    </w:p>
    <w:p w14:paraId="0B4FFD28" w14:textId="16AF982A" w:rsidR="00806984" w:rsidRPr="00E82BAD" w:rsidRDefault="00806984" w:rsidP="00E82BAD">
      <w:pPr>
        <w:pStyle w:val="Prrafodelista"/>
        <w:tabs>
          <w:tab w:val="left" w:pos="2410"/>
        </w:tabs>
        <w:spacing w:after="0" w:line="276" w:lineRule="auto"/>
        <w:ind w:left="0"/>
        <w:jc w:val="both"/>
        <w:rPr>
          <w:rFonts w:ascii="Gadugi" w:hAnsi="Gadugi"/>
          <w:i/>
          <w:iCs/>
          <w:sz w:val="24"/>
          <w:szCs w:val="24"/>
        </w:rPr>
      </w:pPr>
    </w:p>
    <w:p w14:paraId="696D3250" w14:textId="572F34CB" w:rsidR="00806984" w:rsidRPr="00E82BAD" w:rsidRDefault="00806984" w:rsidP="00E82BAD">
      <w:pPr>
        <w:tabs>
          <w:tab w:val="left" w:pos="2410"/>
        </w:tabs>
        <w:spacing w:after="0" w:line="276" w:lineRule="auto"/>
        <w:jc w:val="both"/>
        <w:rPr>
          <w:rFonts w:ascii="Gadugi" w:hAnsi="Gadugi"/>
          <w:sz w:val="24"/>
          <w:szCs w:val="24"/>
        </w:rPr>
      </w:pPr>
      <w:r w:rsidRPr="00E82BAD">
        <w:rPr>
          <w:rFonts w:ascii="Gadugi" w:hAnsi="Gadugi"/>
          <w:sz w:val="24"/>
          <w:szCs w:val="24"/>
        </w:rPr>
        <w:t>Ahora, el Título IV, Capítulo I de la Ley, a partir del artículo 38, se refiere al mentado regi</w:t>
      </w:r>
      <w:r w:rsidR="00F0364E" w:rsidRPr="00E82BAD">
        <w:rPr>
          <w:rFonts w:ascii="Gadugi" w:hAnsi="Gadugi"/>
          <w:sz w:val="24"/>
          <w:szCs w:val="24"/>
        </w:rPr>
        <w:t>s</w:t>
      </w:r>
      <w:r w:rsidRPr="00E82BAD">
        <w:rPr>
          <w:rFonts w:ascii="Gadugi" w:hAnsi="Gadugi"/>
          <w:sz w:val="24"/>
          <w:szCs w:val="24"/>
        </w:rPr>
        <w:t>tro</w:t>
      </w:r>
      <w:r w:rsidR="00D46CA2" w:rsidRPr="00E82BAD">
        <w:rPr>
          <w:rFonts w:ascii="Gadugi" w:hAnsi="Gadugi"/>
          <w:sz w:val="24"/>
          <w:szCs w:val="24"/>
        </w:rPr>
        <w:t>, que se define como un sistema de archivo, de acceso público a la información de carácter nacional</w:t>
      </w:r>
      <w:r w:rsidR="00C12F89" w:rsidRPr="00E82BAD">
        <w:rPr>
          <w:rFonts w:ascii="Gadugi" w:hAnsi="Gadugi"/>
          <w:sz w:val="24"/>
          <w:szCs w:val="24"/>
        </w:rPr>
        <w:t xml:space="preserve"> y </w:t>
      </w:r>
      <w:r w:rsidR="00D46CA2" w:rsidRPr="00E82BAD">
        <w:rPr>
          <w:rFonts w:ascii="Gadugi" w:hAnsi="Gadugi"/>
          <w:sz w:val="24"/>
          <w:szCs w:val="24"/>
        </w:rPr>
        <w:t xml:space="preserve">tiene por objeto dar publicidad a través de </w:t>
      </w:r>
      <w:r w:rsidR="001025CD" w:rsidRPr="00E82BAD">
        <w:rPr>
          <w:rFonts w:ascii="Gadugi" w:hAnsi="Gadugi"/>
          <w:sz w:val="24"/>
          <w:szCs w:val="24"/>
        </w:rPr>
        <w:t>i</w:t>
      </w:r>
      <w:r w:rsidR="00D46CA2" w:rsidRPr="00E82BAD">
        <w:rPr>
          <w:rFonts w:ascii="Gadugi" w:hAnsi="Gadugi"/>
          <w:sz w:val="24"/>
          <w:szCs w:val="24"/>
        </w:rPr>
        <w:t xml:space="preserve">nternet a los formularios de la inscripción inicial, de la modificación, prórroga, cancelación, transferencia y ejecución de las garantías mobiliarias. Y se le atribuyen unas </w:t>
      </w:r>
      <w:r w:rsidR="00D46CA2" w:rsidRPr="00E82BAD">
        <w:rPr>
          <w:rFonts w:ascii="Gadugi" w:hAnsi="Gadugi"/>
          <w:sz w:val="24"/>
          <w:szCs w:val="24"/>
        </w:rPr>
        <w:lastRenderedPageBreak/>
        <w:t xml:space="preserve">características (art. 39), entre ellas, que será un registro único con una base de datos nacional que se llevará por la Confederación Colombiana de Cámaras de Comercio (Confecámaras) de manera centralizada. </w:t>
      </w:r>
    </w:p>
    <w:p w14:paraId="263B3508" w14:textId="78AC6986" w:rsidR="00D46CA2" w:rsidRPr="00E82BAD" w:rsidRDefault="00D46CA2" w:rsidP="00E82BAD">
      <w:pPr>
        <w:tabs>
          <w:tab w:val="left" w:pos="2410"/>
        </w:tabs>
        <w:spacing w:after="0" w:line="276" w:lineRule="auto"/>
        <w:jc w:val="both"/>
        <w:rPr>
          <w:rFonts w:ascii="Gadugi" w:hAnsi="Gadugi"/>
          <w:sz w:val="24"/>
          <w:szCs w:val="24"/>
        </w:rPr>
      </w:pPr>
    </w:p>
    <w:p w14:paraId="4A7E4C00" w14:textId="2DF5861C" w:rsidR="00D46CA2" w:rsidRPr="00E82BAD" w:rsidRDefault="00D46CA2" w:rsidP="00E82BAD">
      <w:pPr>
        <w:tabs>
          <w:tab w:val="left" w:pos="2410"/>
        </w:tabs>
        <w:spacing w:after="0" w:line="276" w:lineRule="auto"/>
        <w:jc w:val="both"/>
        <w:rPr>
          <w:rFonts w:ascii="Gadugi" w:hAnsi="Gadugi"/>
          <w:sz w:val="24"/>
          <w:szCs w:val="24"/>
        </w:rPr>
      </w:pPr>
      <w:r w:rsidRPr="00E82BAD">
        <w:rPr>
          <w:rFonts w:ascii="Gadugi" w:hAnsi="Gadugi"/>
          <w:sz w:val="24"/>
          <w:szCs w:val="24"/>
        </w:rPr>
        <w:t xml:space="preserve">Esas inscripciones, dice el artículo </w:t>
      </w:r>
      <w:r w:rsidR="000E3927" w:rsidRPr="00E82BAD">
        <w:rPr>
          <w:rFonts w:ascii="Gadugi" w:hAnsi="Gadugi"/>
          <w:sz w:val="24"/>
          <w:szCs w:val="24"/>
        </w:rPr>
        <w:t xml:space="preserve">41, </w:t>
      </w:r>
      <w:r w:rsidR="000E3927" w:rsidRPr="00E82BAD">
        <w:rPr>
          <w:rFonts w:ascii="Gadugi" w:hAnsi="Gadugi"/>
          <w:i/>
          <w:iCs/>
          <w:sz w:val="24"/>
          <w:szCs w:val="24"/>
        </w:rPr>
        <w:t>“</w:t>
      </w:r>
      <w:r w:rsidR="000E3927" w:rsidRPr="00B93A7C">
        <w:rPr>
          <w:rFonts w:ascii="Gadugi" w:hAnsi="Gadugi"/>
          <w:i/>
          <w:iCs/>
          <w:szCs w:val="24"/>
        </w:rPr>
        <w:t>…</w:t>
      </w:r>
      <w:r w:rsidR="00B93A7C" w:rsidRPr="00B93A7C">
        <w:rPr>
          <w:rFonts w:ascii="Gadugi" w:hAnsi="Gadugi"/>
          <w:i/>
          <w:iCs/>
          <w:szCs w:val="24"/>
        </w:rPr>
        <w:t xml:space="preserve"> </w:t>
      </w:r>
      <w:r w:rsidR="000E3927" w:rsidRPr="00B93A7C">
        <w:rPr>
          <w:rFonts w:ascii="Gadugi" w:hAnsi="Gadugi"/>
          <w:i/>
          <w:iCs/>
          <w:szCs w:val="24"/>
        </w:rPr>
        <w:t>se realizarán por medio del formulario de registro, el cual se diligenciará por el solicitante a través de internet…</w:t>
      </w:r>
      <w:r w:rsidR="000E3927" w:rsidRPr="00E82BAD">
        <w:rPr>
          <w:rFonts w:ascii="Gadugi" w:hAnsi="Gadugi"/>
          <w:i/>
          <w:iCs/>
          <w:sz w:val="24"/>
          <w:szCs w:val="24"/>
        </w:rPr>
        <w:t xml:space="preserve">” </w:t>
      </w:r>
      <w:r w:rsidR="000E3927" w:rsidRPr="00E82BAD">
        <w:rPr>
          <w:rFonts w:ascii="Gadugi" w:hAnsi="Gadugi"/>
          <w:sz w:val="24"/>
          <w:szCs w:val="24"/>
        </w:rPr>
        <w:t xml:space="preserve">y debe contener </w:t>
      </w:r>
      <w:r w:rsidR="001815E1" w:rsidRPr="00E82BAD">
        <w:rPr>
          <w:rFonts w:ascii="Gadugi" w:hAnsi="Gadugi"/>
          <w:sz w:val="24"/>
          <w:szCs w:val="24"/>
        </w:rPr>
        <w:t xml:space="preserve">unos datos que allí se especifican. </w:t>
      </w:r>
    </w:p>
    <w:p w14:paraId="42DA05B7" w14:textId="411A23FC" w:rsidR="002259B7" w:rsidRPr="00E82BAD" w:rsidRDefault="002259B7" w:rsidP="00E82BAD">
      <w:pPr>
        <w:pStyle w:val="Prrafodelista"/>
        <w:tabs>
          <w:tab w:val="left" w:pos="2410"/>
        </w:tabs>
        <w:spacing w:after="0" w:line="276" w:lineRule="auto"/>
        <w:ind w:left="0"/>
        <w:jc w:val="both"/>
        <w:rPr>
          <w:rFonts w:ascii="Gadugi" w:hAnsi="Gadugi"/>
          <w:sz w:val="24"/>
          <w:szCs w:val="24"/>
        </w:rPr>
      </w:pPr>
    </w:p>
    <w:p w14:paraId="22E3409B" w14:textId="19B32B9C" w:rsidR="002259B7" w:rsidRPr="00E82BAD" w:rsidRDefault="001815E1" w:rsidP="00E82BAD">
      <w:pPr>
        <w:pStyle w:val="Prrafodelista"/>
        <w:tabs>
          <w:tab w:val="left" w:pos="2410"/>
        </w:tabs>
        <w:spacing w:after="0" w:line="276" w:lineRule="auto"/>
        <w:ind w:left="0"/>
        <w:jc w:val="both"/>
        <w:rPr>
          <w:rFonts w:ascii="Gadugi" w:hAnsi="Gadugi"/>
          <w:sz w:val="24"/>
          <w:szCs w:val="24"/>
        </w:rPr>
      </w:pPr>
      <w:r w:rsidRPr="00E82BAD">
        <w:rPr>
          <w:rFonts w:ascii="Gadugi" w:hAnsi="Gadugi"/>
          <w:sz w:val="24"/>
          <w:szCs w:val="24"/>
        </w:rPr>
        <w:t xml:space="preserve">Adicionalmente, se reguló la ejecución. Sobre el particular, se diseñaron varios mecanismos: (i) el de la adjudicación prevista en el artículo 467 del CGP; </w:t>
      </w:r>
      <w:r w:rsidR="003D34E5" w:rsidRPr="00E82BAD">
        <w:rPr>
          <w:rFonts w:ascii="Gadugi" w:hAnsi="Gadugi"/>
          <w:sz w:val="24"/>
          <w:szCs w:val="24"/>
        </w:rPr>
        <w:t xml:space="preserve">el de la </w:t>
      </w:r>
      <w:r w:rsidRPr="00E82BAD">
        <w:rPr>
          <w:rFonts w:ascii="Gadugi" w:hAnsi="Gadugi"/>
          <w:sz w:val="24"/>
          <w:szCs w:val="24"/>
        </w:rPr>
        <w:t xml:space="preserve">realización especial de la garantía real </w:t>
      </w:r>
      <w:r w:rsidR="003D34E5" w:rsidRPr="00E82BAD">
        <w:rPr>
          <w:rFonts w:ascii="Gadugi" w:hAnsi="Gadugi"/>
          <w:sz w:val="24"/>
          <w:szCs w:val="24"/>
        </w:rPr>
        <w:t xml:space="preserve">previsto en el artículo </w:t>
      </w:r>
      <w:r w:rsidRPr="00E82BAD">
        <w:rPr>
          <w:rFonts w:ascii="Gadugi" w:hAnsi="Gadugi"/>
          <w:sz w:val="24"/>
          <w:szCs w:val="24"/>
        </w:rPr>
        <w:t xml:space="preserve">468 del </w:t>
      </w:r>
      <w:r w:rsidR="003D34E5" w:rsidRPr="00E82BAD">
        <w:rPr>
          <w:rFonts w:ascii="Gadugi" w:hAnsi="Gadugi"/>
          <w:sz w:val="24"/>
          <w:szCs w:val="24"/>
        </w:rPr>
        <w:t>mismo estatu</w:t>
      </w:r>
      <w:r w:rsidR="00C12F89" w:rsidRPr="00E82BAD">
        <w:rPr>
          <w:rFonts w:ascii="Gadugi" w:hAnsi="Gadugi"/>
          <w:sz w:val="24"/>
          <w:szCs w:val="24"/>
        </w:rPr>
        <w:t>t</w:t>
      </w:r>
      <w:r w:rsidR="003D34E5" w:rsidRPr="00E82BAD">
        <w:rPr>
          <w:rFonts w:ascii="Gadugi" w:hAnsi="Gadugi"/>
          <w:sz w:val="24"/>
          <w:szCs w:val="24"/>
        </w:rPr>
        <w:t xml:space="preserve">o; y (iii) en los casos y la forma señalados en la Le 1676. </w:t>
      </w:r>
    </w:p>
    <w:p w14:paraId="4E1E0776" w14:textId="71110A43" w:rsidR="003D34E5" w:rsidRPr="00E82BAD" w:rsidRDefault="003D34E5" w:rsidP="00E82BAD">
      <w:pPr>
        <w:pStyle w:val="Prrafodelista"/>
        <w:tabs>
          <w:tab w:val="left" w:pos="2410"/>
        </w:tabs>
        <w:spacing w:after="0" w:line="276" w:lineRule="auto"/>
        <w:ind w:left="0"/>
        <w:jc w:val="both"/>
        <w:rPr>
          <w:rFonts w:ascii="Gadugi" w:hAnsi="Gadugi"/>
          <w:sz w:val="24"/>
          <w:szCs w:val="24"/>
        </w:rPr>
      </w:pPr>
    </w:p>
    <w:p w14:paraId="35C3A8B9" w14:textId="49092983" w:rsidR="003D34E5" w:rsidRPr="00E82BAD" w:rsidRDefault="003D34E5" w:rsidP="00E82BAD">
      <w:pPr>
        <w:pStyle w:val="Prrafodelista"/>
        <w:tabs>
          <w:tab w:val="left" w:pos="2410"/>
        </w:tabs>
        <w:spacing w:after="0" w:line="276" w:lineRule="auto"/>
        <w:ind w:left="0"/>
        <w:jc w:val="both"/>
        <w:rPr>
          <w:rFonts w:ascii="Gadugi" w:hAnsi="Gadugi"/>
          <w:sz w:val="24"/>
          <w:szCs w:val="24"/>
        </w:rPr>
      </w:pPr>
      <w:r w:rsidRPr="00E82BAD">
        <w:rPr>
          <w:rFonts w:ascii="Gadugi" w:hAnsi="Gadugi"/>
          <w:sz w:val="24"/>
          <w:szCs w:val="24"/>
        </w:rPr>
        <w:t xml:space="preserve">Empieza, entonces, el artículo 59 por desarrollar la ejecución de una garantía mobiliaria sobre bienes inmuebles por destinación o muebles por anticipación; luego se establece la posibilidad del pago directo </w:t>
      </w:r>
      <w:r w:rsidR="00064F4D" w:rsidRPr="00E82BAD">
        <w:rPr>
          <w:rFonts w:ascii="Gadugi" w:hAnsi="Gadugi"/>
          <w:sz w:val="24"/>
          <w:szCs w:val="24"/>
        </w:rPr>
        <w:t>(art. 60) y más adelante la ejecución judicial</w:t>
      </w:r>
      <w:r w:rsidR="00D11668" w:rsidRPr="00E82BAD">
        <w:rPr>
          <w:rFonts w:ascii="Gadugi" w:hAnsi="Gadugi"/>
          <w:sz w:val="24"/>
          <w:szCs w:val="24"/>
        </w:rPr>
        <w:t xml:space="preserve"> (art. 61)</w:t>
      </w:r>
      <w:r w:rsidR="00064F4D" w:rsidRPr="00E82BAD">
        <w:rPr>
          <w:rFonts w:ascii="Gadugi" w:hAnsi="Gadugi"/>
          <w:sz w:val="24"/>
          <w:szCs w:val="24"/>
        </w:rPr>
        <w:t xml:space="preserve">, de acuerdo con los artículos </w:t>
      </w:r>
      <w:r w:rsidR="00D11668" w:rsidRPr="00E82BAD">
        <w:rPr>
          <w:rFonts w:ascii="Gadugi" w:hAnsi="Gadugi"/>
          <w:sz w:val="24"/>
          <w:szCs w:val="24"/>
        </w:rPr>
        <w:t>4</w:t>
      </w:r>
      <w:r w:rsidR="00064F4D" w:rsidRPr="00E82BAD">
        <w:rPr>
          <w:rFonts w:ascii="Gadugi" w:hAnsi="Gadugi"/>
          <w:sz w:val="24"/>
          <w:szCs w:val="24"/>
        </w:rPr>
        <w:t xml:space="preserve">67 y 468 </w:t>
      </w:r>
      <w:r w:rsidR="00D11668" w:rsidRPr="00E82BAD">
        <w:rPr>
          <w:rFonts w:ascii="Gadugi" w:hAnsi="Gadugi"/>
          <w:sz w:val="24"/>
          <w:szCs w:val="24"/>
        </w:rPr>
        <w:t>del CGP, pero bajo unas previsiones especiales, entre las que desc</w:t>
      </w:r>
      <w:r w:rsidR="000D76F7" w:rsidRPr="00E82BAD">
        <w:rPr>
          <w:rFonts w:ascii="Gadugi" w:hAnsi="Gadugi"/>
          <w:sz w:val="24"/>
          <w:szCs w:val="24"/>
        </w:rPr>
        <w:t>ue</w:t>
      </w:r>
      <w:r w:rsidR="00D11668" w:rsidRPr="00E82BAD">
        <w:rPr>
          <w:rFonts w:ascii="Gadugi" w:hAnsi="Gadugi"/>
          <w:sz w:val="24"/>
          <w:szCs w:val="24"/>
        </w:rPr>
        <w:t xml:space="preserve">lla, para lo que aquí interesa, la siguiente: </w:t>
      </w:r>
    </w:p>
    <w:p w14:paraId="20473E3D" w14:textId="682B7E01" w:rsidR="00D11668" w:rsidRPr="00E82BAD" w:rsidRDefault="00D11668" w:rsidP="00E82BAD">
      <w:pPr>
        <w:pStyle w:val="Prrafodelista"/>
        <w:tabs>
          <w:tab w:val="left" w:pos="2410"/>
        </w:tabs>
        <w:spacing w:after="0" w:line="276" w:lineRule="auto"/>
        <w:ind w:left="0"/>
        <w:jc w:val="both"/>
        <w:rPr>
          <w:rFonts w:ascii="Gadugi" w:hAnsi="Gadugi"/>
          <w:sz w:val="24"/>
          <w:szCs w:val="24"/>
        </w:rPr>
      </w:pPr>
    </w:p>
    <w:p w14:paraId="678DD004" w14:textId="4BA4EEEC" w:rsidR="00D11668" w:rsidRPr="00B93A7C" w:rsidRDefault="00D11668" w:rsidP="00B93A7C">
      <w:pPr>
        <w:pStyle w:val="pa9"/>
        <w:shd w:val="clear" w:color="auto" w:fill="FFFFFF"/>
        <w:spacing w:before="0" w:beforeAutospacing="0" w:after="0" w:afterAutospacing="0"/>
        <w:ind w:left="426" w:right="420"/>
        <w:jc w:val="both"/>
        <w:rPr>
          <w:rFonts w:ascii="Gadugi" w:hAnsi="Gadugi"/>
          <w:bCs/>
          <w:color w:val="000000" w:themeColor="text1"/>
          <w:sz w:val="22"/>
        </w:rPr>
      </w:pPr>
      <w:r w:rsidRPr="00B93A7C">
        <w:rPr>
          <w:rFonts w:ascii="Gadugi" w:hAnsi="Gadugi"/>
          <w:bCs/>
          <w:color w:val="000000" w:themeColor="text1"/>
          <w:sz w:val="22"/>
        </w:rPr>
        <w:t xml:space="preserve">Deberá inscribirse el formulario registral de ejecución en el registro de garantías mobiliarias prioritarias que contiene los datos requeridos en el artículo 65 numeral 3, como exigencia previa para el trámite del proceso, cumpliendo con todos los requisitos y anexos correspondientes…”. </w:t>
      </w:r>
    </w:p>
    <w:p w14:paraId="3BDEB278" w14:textId="77777777" w:rsidR="002259B7" w:rsidRPr="00E82BAD" w:rsidRDefault="002259B7" w:rsidP="00E82BAD">
      <w:pPr>
        <w:pStyle w:val="Prrafodelista"/>
        <w:tabs>
          <w:tab w:val="left" w:pos="2410"/>
        </w:tabs>
        <w:spacing w:after="0" w:line="276" w:lineRule="auto"/>
        <w:ind w:left="0"/>
        <w:jc w:val="both"/>
        <w:rPr>
          <w:rFonts w:ascii="Gadugi" w:hAnsi="Gadugi"/>
          <w:sz w:val="24"/>
          <w:szCs w:val="24"/>
        </w:rPr>
      </w:pPr>
    </w:p>
    <w:p w14:paraId="605017B1" w14:textId="52251A49" w:rsidR="00D11668" w:rsidRPr="00E82BAD" w:rsidRDefault="00D11668" w:rsidP="00E82BAD">
      <w:pPr>
        <w:pStyle w:val="Prrafodelista"/>
        <w:tabs>
          <w:tab w:val="left" w:pos="2410"/>
        </w:tabs>
        <w:spacing w:after="0" w:line="276" w:lineRule="auto"/>
        <w:ind w:left="0"/>
        <w:jc w:val="both"/>
        <w:rPr>
          <w:rFonts w:ascii="Gadugi" w:hAnsi="Gadugi"/>
          <w:sz w:val="24"/>
          <w:szCs w:val="24"/>
        </w:rPr>
      </w:pPr>
      <w:r w:rsidRPr="00E82BAD">
        <w:rPr>
          <w:rFonts w:ascii="Gadugi" w:hAnsi="Gadugi"/>
          <w:sz w:val="24"/>
          <w:szCs w:val="24"/>
        </w:rPr>
        <w:t xml:space="preserve">Posteriormente, en el artículo 62 se regula la ejecución especial de la garantía, y en el artículo 65 se advierte que para ello es menester que: </w:t>
      </w:r>
    </w:p>
    <w:p w14:paraId="746E4FE9" w14:textId="46FCA557" w:rsidR="00B416A8" w:rsidRPr="00E82BAD" w:rsidRDefault="00B416A8" w:rsidP="00E82BAD">
      <w:pPr>
        <w:pStyle w:val="Prrafodelista"/>
        <w:tabs>
          <w:tab w:val="left" w:pos="2410"/>
        </w:tabs>
        <w:spacing w:after="0" w:line="276" w:lineRule="auto"/>
        <w:ind w:left="0"/>
        <w:jc w:val="both"/>
        <w:rPr>
          <w:rFonts w:ascii="Gadugi" w:hAnsi="Gadugi"/>
          <w:sz w:val="24"/>
          <w:szCs w:val="24"/>
        </w:rPr>
      </w:pPr>
    </w:p>
    <w:p w14:paraId="655FD2A5" w14:textId="663FDD29" w:rsidR="00B416A8" w:rsidRPr="00B93A7C" w:rsidRDefault="00B416A8" w:rsidP="00B93A7C">
      <w:pPr>
        <w:pStyle w:val="pa9"/>
        <w:shd w:val="clear" w:color="auto" w:fill="FFFFFF"/>
        <w:spacing w:before="0" w:beforeAutospacing="0" w:after="0" w:afterAutospacing="0"/>
        <w:ind w:left="426" w:right="420"/>
        <w:jc w:val="both"/>
        <w:rPr>
          <w:rFonts w:ascii="Gadugi" w:hAnsi="Gadugi"/>
          <w:bCs/>
          <w:color w:val="000000" w:themeColor="text1"/>
          <w:sz w:val="22"/>
        </w:rPr>
      </w:pPr>
      <w:r w:rsidRPr="00B93A7C">
        <w:rPr>
          <w:rFonts w:ascii="Gadugi" w:hAnsi="Gadugi"/>
          <w:bCs/>
          <w:color w:val="000000" w:themeColor="text1"/>
          <w:sz w:val="22"/>
        </w:rPr>
        <w:t>El acreedor garantizado dará comienzo a la ejecución especial de la garantía por incumplimiento del deudor, mediante la inscripción en el registro del formulario registral de ejecución. inscripción que tendrá efectos de notificación del inicio de la ejecución y solicitará al notario o a la Cámara de Comercio, según se haya convenido, o a quien escoja el acreedor en caso de ausencia de convenio, el envío de una copia de la inscripción de la ejecución al garante.</w:t>
      </w:r>
    </w:p>
    <w:p w14:paraId="3B146781" w14:textId="18D39223" w:rsidR="00BF4B40" w:rsidRPr="00E82BAD" w:rsidRDefault="00BF4B40" w:rsidP="00E82BAD">
      <w:pPr>
        <w:pStyle w:val="Prrafodelista"/>
        <w:tabs>
          <w:tab w:val="left" w:pos="2410"/>
        </w:tabs>
        <w:spacing w:after="0" w:line="276" w:lineRule="auto"/>
        <w:ind w:left="0" w:right="618"/>
        <w:jc w:val="both"/>
        <w:rPr>
          <w:rFonts w:ascii="Gadugi" w:hAnsi="Gadugi"/>
          <w:color w:val="000000" w:themeColor="text1"/>
          <w:sz w:val="24"/>
          <w:szCs w:val="24"/>
          <w:shd w:val="clear" w:color="auto" w:fill="FFFFFF"/>
        </w:rPr>
      </w:pPr>
    </w:p>
    <w:p w14:paraId="71C73098" w14:textId="77777777" w:rsidR="0020043B" w:rsidRPr="00E82BAD" w:rsidRDefault="00BF4B40"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r w:rsidRPr="00E82BAD">
        <w:rPr>
          <w:rFonts w:ascii="Gadugi" w:hAnsi="Gadugi"/>
          <w:color w:val="000000" w:themeColor="text1"/>
          <w:sz w:val="24"/>
          <w:szCs w:val="24"/>
          <w:shd w:val="clear" w:color="auto" w:fill="FFFFFF"/>
        </w:rPr>
        <w:t xml:space="preserve">De lo mencionado hasta ahora, se desprende que el legislador le dio un tratamiento distinto a la ejecución cuando un garante mobiliario incumple con el pago de sus obligaciones; y de manera muy particular, introdujo una exigencia especial al título ejecutivo, en la medida en que, para proceder a ese trámite, por cualquiera de las vías que </w:t>
      </w:r>
      <w:r w:rsidR="0020043B" w:rsidRPr="00E82BAD">
        <w:rPr>
          <w:rFonts w:ascii="Gadugi" w:hAnsi="Gadugi"/>
          <w:color w:val="000000" w:themeColor="text1"/>
          <w:sz w:val="24"/>
          <w:szCs w:val="24"/>
          <w:shd w:val="clear" w:color="auto" w:fill="FFFFFF"/>
        </w:rPr>
        <w:t xml:space="preserve">ofrece, es perentorio que se proceda a la inscripción en el registro del formulario registral de ejecución que, como se anotó, se le otorga el carácter de título ejecutivo. </w:t>
      </w:r>
    </w:p>
    <w:p w14:paraId="796148A7" w14:textId="77777777" w:rsidR="0020043B" w:rsidRPr="00E82BAD" w:rsidRDefault="0020043B"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p>
    <w:p w14:paraId="7B0FF93A" w14:textId="4D81D45A" w:rsidR="005E3273" w:rsidRPr="00E82BAD" w:rsidRDefault="0020043B"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r w:rsidRPr="00E82BAD">
        <w:rPr>
          <w:rFonts w:ascii="Gadugi" w:hAnsi="Gadugi"/>
          <w:color w:val="000000" w:themeColor="text1"/>
          <w:sz w:val="24"/>
          <w:szCs w:val="24"/>
          <w:shd w:val="clear" w:color="auto" w:fill="FFFFFF"/>
        </w:rPr>
        <w:t xml:space="preserve">Ahora, </w:t>
      </w:r>
      <w:r w:rsidR="005E3273" w:rsidRPr="00E82BAD">
        <w:rPr>
          <w:rFonts w:ascii="Gadugi" w:hAnsi="Gadugi"/>
          <w:color w:val="000000" w:themeColor="text1"/>
          <w:sz w:val="24"/>
          <w:szCs w:val="24"/>
          <w:shd w:val="clear" w:color="auto" w:fill="FFFFFF"/>
        </w:rPr>
        <w:t>en los términos del citado artículo 85, tal registro ha d</w:t>
      </w:r>
      <w:r w:rsidR="000C4F48" w:rsidRPr="00E82BAD">
        <w:rPr>
          <w:rFonts w:ascii="Gadugi" w:hAnsi="Gadugi"/>
          <w:color w:val="000000" w:themeColor="text1"/>
          <w:sz w:val="24"/>
          <w:szCs w:val="24"/>
          <w:shd w:val="clear" w:color="auto" w:fill="FFFFFF"/>
        </w:rPr>
        <w:t>e</w:t>
      </w:r>
      <w:r w:rsidR="005E3273" w:rsidRPr="00E82BAD">
        <w:rPr>
          <w:rFonts w:ascii="Gadugi" w:hAnsi="Gadugi"/>
          <w:color w:val="000000" w:themeColor="text1"/>
          <w:sz w:val="24"/>
          <w:szCs w:val="24"/>
          <w:shd w:val="clear" w:color="auto" w:fill="FFFFFF"/>
        </w:rPr>
        <w:t xml:space="preserve">bido surtirse incluso con las garantías mobiliarias, como en el caso de la prenda, constituidas antes de su vigencia. </w:t>
      </w:r>
    </w:p>
    <w:p w14:paraId="5C44D5AD" w14:textId="08BC6A20" w:rsidR="005E3273" w:rsidRPr="00E82BAD" w:rsidRDefault="005E3273"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p>
    <w:p w14:paraId="61823273" w14:textId="5D7A486D" w:rsidR="000C4F48" w:rsidRPr="00E82BAD" w:rsidRDefault="00B956A0"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vertAlign w:val="subscript"/>
        </w:rPr>
      </w:pPr>
      <w:r w:rsidRPr="00E82BAD">
        <w:rPr>
          <w:rFonts w:ascii="Gadugi" w:hAnsi="Gadugi"/>
          <w:color w:val="000000" w:themeColor="text1"/>
          <w:sz w:val="24"/>
          <w:szCs w:val="24"/>
          <w:shd w:val="clear" w:color="auto" w:fill="FFFFFF"/>
        </w:rPr>
        <w:t>Emerge de todo lo dicho que, en la actualidad, la ejecución judicial de una garantía mobiliaria, constituida antes o después de la vigencia de la Ley 1676, exige</w:t>
      </w:r>
      <w:r w:rsidR="004B32CA" w:rsidRPr="00E82BAD">
        <w:rPr>
          <w:rFonts w:ascii="Gadugi" w:hAnsi="Gadugi"/>
          <w:color w:val="000000" w:themeColor="text1"/>
          <w:sz w:val="24"/>
          <w:szCs w:val="24"/>
          <w:shd w:val="clear" w:color="auto" w:fill="FFFFFF"/>
        </w:rPr>
        <w:t xml:space="preserve"> aportar </w:t>
      </w:r>
      <w:r w:rsidRPr="00E82BAD">
        <w:rPr>
          <w:rFonts w:ascii="Gadugi" w:hAnsi="Gadugi"/>
          <w:color w:val="000000" w:themeColor="text1"/>
          <w:sz w:val="24"/>
          <w:szCs w:val="24"/>
          <w:shd w:val="clear" w:color="auto" w:fill="FFFFFF"/>
        </w:rPr>
        <w:t>e</w:t>
      </w:r>
      <w:r w:rsidR="00E81DF2" w:rsidRPr="00E82BAD">
        <w:rPr>
          <w:rFonts w:ascii="Gadugi" w:hAnsi="Gadugi"/>
          <w:color w:val="000000" w:themeColor="text1"/>
          <w:sz w:val="24"/>
          <w:szCs w:val="24"/>
          <w:shd w:val="clear" w:color="auto" w:fill="FFFFFF"/>
        </w:rPr>
        <w:t>l</w:t>
      </w:r>
      <w:r w:rsidRPr="00E82BAD">
        <w:rPr>
          <w:rFonts w:ascii="Gadugi" w:hAnsi="Gadugi"/>
          <w:color w:val="000000" w:themeColor="text1"/>
          <w:sz w:val="24"/>
          <w:szCs w:val="24"/>
          <w:shd w:val="clear" w:color="auto" w:fill="FFFFFF"/>
        </w:rPr>
        <w:t xml:space="preserve"> mentado formulario. Sin él, inviable se torna librar cualquier orden al deudor. </w:t>
      </w:r>
      <w:r w:rsidR="00E81DF2" w:rsidRPr="00E82BAD">
        <w:rPr>
          <w:rFonts w:ascii="Gadugi" w:hAnsi="Gadugi"/>
          <w:color w:val="000000" w:themeColor="text1"/>
          <w:sz w:val="24"/>
          <w:szCs w:val="24"/>
          <w:shd w:val="clear" w:color="auto" w:fill="FFFFFF"/>
        </w:rPr>
        <w:t>Incluso, se anticipa la doctrina a señalar que tales reglas contienen una excepción a la exigencia del artículo 422 del CGP, en cuanto este documento realmente proviene del acreedor, no del deudor</w:t>
      </w:r>
      <w:r w:rsidR="00E81DF2" w:rsidRPr="00E82BAD">
        <w:rPr>
          <w:rStyle w:val="Refdenotaalpie"/>
          <w:rFonts w:ascii="Gadugi" w:hAnsi="Gadugi"/>
          <w:color w:val="000000" w:themeColor="text1"/>
          <w:sz w:val="24"/>
          <w:szCs w:val="24"/>
          <w:shd w:val="clear" w:color="auto" w:fill="FFFFFF"/>
        </w:rPr>
        <w:footnoteReference w:id="27"/>
      </w:r>
      <w:r w:rsidR="00E81DF2" w:rsidRPr="00E82BAD">
        <w:rPr>
          <w:rFonts w:ascii="Gadugi" w:hAnsi="Gadugi"/>
          <w:color w:val="000000" w:themeColor="text1"/>
          <w:sz w:val="24"/>
          <w:szCs w:val="24"/>
          <w:shd w:val="clear" w:color="auto" w:fill="FFFFFF"/>
          <w:vertAlign w:val="superscript"/>
        </w:rPr>
        <w:t>-</w:t>
      </w:r>
      <w:r w:rsidR="00E81DF2" w:rsidRPr="00E82BAD">
        <w:rPr>
          <w:rStyle w:val="Refdenotaalpie"/>
          <w:rFonts w:ascii="Gadugi" w:hAnsi="Gadugi"/>
          <w:color w:val="000000" w:themeColor="text1"/>
          <w:sz w:val="24"/>
          <w:szCs w:val="24"/>
          <w:shd w:val="clear" w:color="auto" w:fill="FFFFFF"/>
        </w:rPr>
        <w:footnoteReference w:id="28"/>
      </w:r>
      <w:r w:rsidR="00E81DF2" w:rsidRPr="00E82BAD">
        <w:rPr>
          <w:rFonts w:ascii="Gadugi" w:hAnsi="Gadugi"/>
          <w:color w:val="000000" w:themeColor="text1"/>
          <w:sz w:val="24"/>
          <w:szCs w:val="24"/>
          <w:shd w:val="clear" w:color="auto" w:fill="FFFFFF"/>
          <w:vertAlign w:val="superscript"/>
        </w:rPr>
        <w:t>-</w:t>
      </w:r>
      <w:r w:rsidR="00E81DF2" w:rsidRPr="00E82BAD">
        <w:rPr>
          <w:rStyle w:val="Refdenotaalpie"/>
          <w:rFonts w:ascii="Gadugi" w:hAnsi="Gadugi"/>
          <w:color w:val="000000" w:themeColor="text1"/>
          <w:sz w:val="24"/>
          <w:szCs w:val="24"/>
          <w:shd w:val="clear" w:color="auto" w:fill="FFFFFF"/>
        </w:rPr>
        <w:footnoteReference w:id="29"/>
      </w:r>
      <w:r w:rsidR="000D3C3A" w:rsidRPr="00E82BAD">
        <w:rPr>
          <w:rFonts w:ascii="Gadugi" w:hAnsi="Gadugi"/>
          <w:color w:val="000000" w:themeColor="text1"/>
          <w:sz w:val="24"/>
          <w:szCs w:val="24"/>
          <w:shd w:val="clear" w:color="auto" w:fill="FFFFFF"/>
          <w:vertAlign w:val="subscript"/>
        </w:rPr>
        <w:t>.</w:t>
      </w:r>
    </w:p>
    <w:p w14:paraId="373963F3" w14:textId="77777777" w:rsidR="00A25F6F" w:rsidRPr="00E82BAD" w:rsidRDefault="00A25F6F"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p>
    <w:p w14:paraId="26D5840A" w14:textId="77777777" w:rsidR="004B32CA" w:rsidRPr="00E82BAD" w:rsidRDefault="00B956A0"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r w:rsidRPr="00E82BAD">
        <w:rPr>
          <w:rFonts w:ascii="Gadugi" w:hAnsi="Gadugi"/>
          <w:color w:val="000000" w:themeColor="text1"/>
          <w:sz w:val="24"/>
          <w:szCs w:val="24"/>
          <w:shd w:val="clear" w:color="auto" w:fill="FFFFFF"/>
        </w:rPr>
        <w:t xml:space="preserve">Esto, </w:t>
      </w:r>
      <w:r w:rsidR="0033013E" w:rsidRPr="00E82BAD">
        <w:rPr>
          <w:rFonts w:ascii="Gadugi" w:hAnsi="Gadugi"/>
          <w:color w:val="000000" w:themeColor="text1"/>
          <w:sz w:val="24"/>
          <w:szCs w:val="24"/>
          <w:shd w:val="clear" w:color="auto" w:fill="FFFFFF"/>
        </w:rPr>
        <w:t xml:space="preserve">tanto </w:t>
      </w:r>
      <w:r w:rsidRPr="00E82BAD">
        <w:rPr>
          <w:rFonts w:ascii="Gadugi" w:hAnsi="Gadugi"/>
          <w:color w:val="000000" w:themeColor="text1"/>
          <w:sz w:val="24"/>
          <w:szCs w:val="24"/>
          <w:shd w:val="clear" w:color="auto" w:fill="FFFFFF"/>
        </w:rPr>
        <w:t xml:space="preserve">en </w:t>
      </w:r>
      <w:r w:rsidR="0033013E" w:rsidRPr="00E82BAD">
        <w:rPr>
          <w:rFonts w:ascii="Gadugi" w:hAnsi="Gadugi"/>
          <w:color w:val="000000" w:themeColor="text1"/>
          <w:sz w:val="24"/>
          <w:szCs w:val="24"/>
          <w:shd w:val="clear" w:color="auto" w:fill="FFFFFF"/>
        </w:rPr>
        <w:t xml:space="preserve">los </w:t>
      </w:r>
      <w:r w:rsidRPr="00E82BAD">
        <w:rPr>
          <w:rFonts w:ascii="Gadugi" w:hAnsi="Gadugi"/>
          <w:color w:val="000000" w:themeColor="text1"/>
          <w:sz w:val="24"/>
          <w:szCs w:val="24"/>
          <w:shd w:val="clear" w:color="auto" w:fill="FFFFFF"/>
        </w:rPr>
        <w:t>eventos en los que solo se reclama por la acreencia garantizada, es decir, cuando la obligación personal no está contenida en el contrato de garantía</w:t>
      </w:r>
      <w:r w:rsidR="000D3C3A" w:rsidRPr="00E82BAD">
        <w:rPr>
          <w:rFonts w:ascii="Gadugi" w:hAnsi="Gadugi"/>
          <w:color w:val="000000" w:themeColor="text1"/>
          <w:sz w:val="24"/>
          <w:szCs w:val="24"/>
          <w:shd w:val="clear" w:color="auto" w:fill="FFFFFF"/>
        </w:rPr>
        <w:t>, si ella es real</w:t>
      </w:r>
      <w:r w:rsidRPr="00E82BAD">
        <w:rPr>
          <w:rFonts w:ascii="Gadugi" w:hAnsi="Gadugi"/>
          <w:color w:val="000000" w:themeColor="text1"/>
          <w:sz w:val="24"/>
          <w:szCs w:val="24"/>
          <w:shd w:val="clear" w:color="auto" w:fill="FFFFFF"/>
        </w:rPr>
        <w:t xml:space="preserve">, </w:t>
      </w:r>
      <w:r w:rsidR="00FB5DB1" w:rsidRPr="00E82BAD">
        <w:rPr>
          <w:rFonts w:ascii="Gadugi" w:hAnsi="Gadugi"/>
          <w:color w:val="000000" w:themeColor="text1"/>
          <w:sz w:val="24"/>
          <w:szCs w:val="24"/>
          <w:shd w:val="clear" w:color="auto" w:fill="FFFFFF"/>
        </w:rPr>
        <w:t xml:space="preserve">tal cual </w:t>
      </w:r>
      <w:r w:rsidRPr="00E82BAD">
        <w:rPr>
          <w:rFonts w:ascii="Gadugi" w:hAnsi="Gadugi"/>
          <w:color w:val="000000" w:themeColor="text1"/>
          <w:sz w:val="24"/>
          <w:szCs w:val="24"/>
          <w:shd w:val="clear" w:color="auto" w:fill="FFFFFF"/>
        </w:rPr>
        <w:t xml:space="preserve">ocurre en este caso, </w:t>
      </w:r>
      <w:r w:rsidR="0033013E" w:rsidRPr="00E82BAD">
        <w:rPr>
          <w:rFonts w:ascii="Gadugi" w:hAnsi="Gadugi"/>
          <w:color w:val="000000" w:themeColor="text1"/>
          <w:sz w:val="24"/>
          <w:szCs w:val="24"/>
          <w:shd w:val="clear" w:color="auto" w:fill="FFFFFF"/>
        </w:rPr>
        <w:t xml:space="preserve">como si se persigue </w:t>
      </w:r>
      <w:r w:rsidRPr="00E82BAD">
        <w:rPr>
          <w:rFonts w:ascii="Gadugi" w:hAnsi="Gadugi"/>
          <w:color w:val="000000" w:themeColor="text1"/>
          <w:sz w:val="24"/>
          <w:szCs w:val="24"/>
          <w:shd w:val="clear" w:color="auto" w:fill="FFFFFF"/>
        </w:rPr>
        <w:t>a quien es el titular del derecho de dominio sobre el bien</w:t>
      </w:r>
      <w:r w:rsidR="0033013E" w:rsidRPr="00E82BAD">
        <w:rPr>
          <w:rFonts w:ascii="Gadugi" w:hAnsi="Gadugi"/>
          <w:color w:val="000000" w:themeColor="text1"/>
          <w:sz w:val="24"/>
          <w:szCs w:val="24"/>
          <w:shd w:val="clear" w:color="auto" w:fill="FFFFFF"/>
        </w:rPr>
        <w:t xml:space="preserve"> </w:t>
      </w:r>
      <w:r w:rsidR="000D3C3A" w:rsidRPr="00E82BAD">
        <w:rPr>
          <w:rFonts w:ascii="Gadugi" w:hAnsi="Gadugi"/>
          <w:color w:val="000000" w:themeColor="text1"/>
          <w:sz w:val="24"/>
          <w:szCs w:val="24"/>
          <w:shd w:val="clear" w:color="auto" w:fill="FFFFFF"/>
        </w:rPr>
        <w:t xml:space="preserve">y es a la vez </w:t>
      </w:r>
      <w:r w:rsidR="0033013E" w:rsidRPr="00E82BAD">
        <w:rPr>
          <w:rFonts w:ascii="Gadugi" w:hAnsi="Gadugi"/>
          <w:color w:val="000000" w:themeColor="text1"/>
          <w:sz w:val="24"/>
          <w:szCs w:val="24"/>
          <w:shd w:val="clear" w:color="auto" w:fill="FFFFFF"/>
        </w:rPr>
        <w:t xml:space="preserve">deudor personal. </w:t>
      </w:r>
    </w:p>
    <w:p w14:paraId="28D2989A" w14:textId="77777777" w:rsidR="004B32CA" w:rsidRPr="00E82BAD" w:rsidRDefault="004B32CA"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p>
    <w:p w14:paraId="44826A04" w14:textId="77777777" w:rsidR="004B32CA" w:rsidRPr="00E82BAD" w:rsidRDefault="004B32CA"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r w:rsidRPr="00E82BAD">
        <w:rPr>
          <w:rFonts w:ascii="Gadugi" w:hAnsi="Gadugi"/>
          <w:color w:val="000000" w:themeColor="text1"/>
          <w:sz w:val="24"/>
          <w:szCs w:val="24"/>
          <w:shd w:val="clear" w:color="auto" w:fill="FFFFFF"/>
        </w:rPr>
        <w:t xml:space="preserve">En ambos casos es menester allegar ese formulario. </w:t>
      </w:r>
    </w:p>
    <w:p w14:paraId="19071526" w14:textId="77777777" w:rsidR="004B32CA" w:rsidRPr="00E82BAD" w:rsidRDefault="004B32CA"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p>
    <w:p w14:paraId="3A59BBED" w14:textId="1DC2E118" w:rsidR="0033013E" w:rsidRPr="00E82BAD" w:rsidRDefault="0033013E"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r w:rsidRPr="00E82BAD">
        <w:rPr>
          <w:rFonts w:ascii="Gadugi" w:hAnsi="Gadugi"/>
          <w:color w:val="000000" w:themeColor="text1"/>
          <w:sz w:val="24"/>
          <w:szCs w:val="24"/>
          <w:shd w:val="clear" w:color="auto" w:fill="FFFFFF"/>
        </w:rPr>
        <w:t>A este respecto, señala también la doctrina</w:t>
      </w:r>
      <w:r w:rsidR="004B32CA" w:rsidRPr="00E82BAD">
        <w:rPr>
          <w:rStyle w:val="Refdenotaalpie"/>
          <w:rFonts w:ascii="Gadugi" w:hAnsi="Gadugi"/>
          <w:color w:val="000000" w:themeColor="text1"/>
          <w:sz w:val="24"/>
          <w:szCs w:val="24"/>
          <w:shd w:val="clear" w:color="auto" w:fill="FFFFFF"/>
        </w:rPr>
        <w:footnoteReference w:id="30"/>
      </w:r>
      <w:r w:rsidRPr="00E82BAD">
        <w:rPr>
          <w:rFonts w:ascii="Gadugi" w:hAnsi="Gadugi"/>
          <w:color w:val="000000" w:themeColor="text1"/>
          <w:sz w:val="24"/>
          <w:szCs w:val="24"/>
          <w:shd w:val="clear" w:color="auto" w:fill="FFFFFF"/>
        </w:rPr>
        <w:t xml:space="preserve"> que: </w:t>
      </w:r>
    </w:p>
    <w:p w14:paraId="3D1C2FFB" w14:textId="77777777" w:rsidR="0033013E" w:rsidRPr="00E82BAD" w:rsidRDefault="0033013E"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p>
    <w:p w14:paraId="1B88B1FB" w14:textId="630586C0" w:rsidR="0033013E" w:rsidRPr="00B93A7C" w:rsidRDefault="0033013E" w:rsidP="00B93A7C">
      <w:pPr>
        <w:pStyle w:val="pa9"/>
        <w:shd w:val="clear" w:color="auto" w:fill="FFFFFF"/>
        <w:spacing w:before="0" w:beforeAutospacing="0" w:after="0" w:afterAutospacing="0"/>
        <w:ind w:left="426" w:right="420"/>
        <w:jc w:val="both"/>
        <w:rPr>
          <w:rFonts w:ascii="Gadugi" w:hAnsi="Gadugi"/>
          <w:bCs/>
          <w:color w:val="000000" w:themeColor="text1"/>
          <w:sz w:val="22"/>
        </w:rPr>
      </w:pPr>
      <w:r w:rsidRPr="00B93A7C">
        <w:rPr>
          <w:rFonts w:ascii="Gadugi" w:hAnsi="Gadugi"/>
          <w:bCs/>
          <w:color w:val="000000" w:themeColor="text1"/>
          <w:sz w:val="22"/>
        </w:rPr>
        <w:t>“A falta de otro documento que preste mérito ejecutivo, el acreedor puede hacer valer como título ejecutivo el formulario registral de ejecución de la garantía mobiliaria debidamente inscrito, documento que además es prerrequisito para promover la realización de la garantía mobiliaria y obligatorio anexo de la demanda</w:t>
      </w:r>
      <w:r w:rsidR="004B32CA" w:rsidRPr="00B93A7C">
        <w:rPr>
          <w:rFonts w:ascii="Gadugi" w:hAnsi="Gadugi"/>
          <w:bCs/>
          <w:color w:val="000000" w:themeColor="text1"/>
          <w:sz w:val="22"/>
        </w:rPr>
        <w:t>”</w:t>
      </w:r>
      <w:r w:rsidRPr="00B93A7C">
        <w:rPr>
          <w:rFonts w:ascii="Gadugi" w:hAnsi="Gadugi"/>
          <w:bCs/>
          <w:color w:val="000000" w:themeColor="text1"/>
          <w:sz w:val="22"/>
        </w:rPr>
        <w:t xml:space="preserve">. </w:t>
      </w:r>
    </w:p>
    <w:p w14:paraId="0C1C5045" w14:textId="77777777" w:rsidR="0033013E" w:rsidRPr="00E82BAD" w:rsidRDefault="0033013E"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p>
    <w:p w14:paraId="39E54E6F" w14:textId="37051EE8" w:rsidR="00B956A0" w:rsidRPr="00E82BAD" w:rsidRDefault="004B32CA"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r w:rsidRPr="00E82BAD">
        <w:rPr>
          <w:rFonts w:ascii="Gadugi" w:hAnsi="Gadugi"/>
          <w:color w:val="000000" w:themeColor="text1"/>
          <w:sz w:val="24"/>
          <w:szCs w:val="24"/>
          <w:shd w:val="clear" w:color="auto" w:fill="FFFFFF"/>
        </w:rPr>
        <w:t xml:space="preserve">O que: </w:t>
      </w:r>
    </w:p>
    <w:p w14:paraId="5A7F7A4E" w14:textId="6783DBE0" w:rsidR="004B32CA" w:rsidRPr="00E82BAD" w:rsidRDefault="004B32CA"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p>
    <w:p w14:paraId="4896FC89" w14:textId="06E2D182" w:rsidR="004B32CA" w:rsidRPr="00B93A7C" w:rsidRDefault="004B32CA" w:rsidP="00B93A7C">
      <w:pPr>
        <w:pStyle w:val="pa9"/>
        <w:shd w:val="clear" w:color="auto" w:fill="FFFFFF"/>
        <w:spacing w:before="0" w:beforeAutospacing="0" w:after="0" w:afterAutospacing="0"/>
        <w:ind w:left="426" w:right="420"/>
        <w:jc w:val="both"/>
        <w:rPr>
          <w:rFonts w:ascii="Gadugi" w:hAnsi="Gadugi"/>
          <w:bCs/>
          <w:color w:val="000000" w:themeColor="text1"/>
          <w:sz w:val="22"/>
        </w:rPr>
      </w:pPr>
      <w:r w:rsidRPr="00B93A7C">
        <w:rPr>
          <w:rFonts w:ascii="Gadugi" w:hAnsi="Gadugi"/>
          <w:bCs/>
          <w:color w:val="000000" w:themeColor="text1"/>
          <w:sz w:val="22"/>
        </w:rPr>
        <w:t>“Desde luego, que ese formulario no es el único título ejecutivo idóneo para ejecutar garantías mobiliarias.</w:t>
      </w:r>
      <w:r w:rsidR="00124711" w:rsidRPr="00B93A7C">
        <w:rPr>
          <w:rFonts w:ascii="Gadugi" w:hAnsi="Gadugi"/>
          <w:bCs/>
          <w:color w:val="000000" w:themeColor="text1"/>
          <w:sz w:val="22"/>
        </w:rPr>
        <w:t xml:space="preserve"> </w:t>
      </w:r>
      <w:r w:rsidRPr="00B93A7C">
        <w:rPr>
          <w:rFonts w:ascii="Gadugi" w:hAnsi="Gadugi"/>
          <w:bCs/>
          <w:color w:val="000000" w:themeColor="text1"/>
          <w:sz w:val="22"/>
        </w:rPr>
        <w:t xml:space="preserve">Tamaña afirmación no puede hacerse con respaldo en la mencionada Ley 1676 de 2013. Sirven igualmente los demás documentos que cumplan los requisitos del artículo 422 del Código General del Proceso y, por supuesto, los títulos valores. Pero el acompañamiento de estos no excusa la aportación del formulario en cuestión, que es anexo obligatorio de la demanda, así no cumpla la función de título de ejecución”. </w:t>
      </w:r>
    </w:p>
    <w:p w14:paraId="4513DAFA" w14:textId="60B3D762" w:rsidR="00B956A0" w:rsidRPr="00E82BAD" w:rsidRDefault="00B956A0"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p>
    <w:p w14:paraId="6E5AC7BB" w14:textId="04F5770E" w:rsidR="004B32CA" w:rsidRPr="00E82BAD" w:rsidRDefault="004B32CA" w:rsidP="00E82BAD">
      <w:pPr>
        <w:pStyle w:val="Prrafodelista"/>
        <w:numPr>
          <w:ilvl w:val="1"/>
          <w:numId w:val="1"/>
        </w:numPr>
        <w:tabs>
          <w:tab w:val="left" w:pos="709"/>
        </w:tabs>
        <w:spacing w:after="0" w:line="276" w:lineRule="auto"/>
        <w:ind w:left="0" w:right="51" w:firstLine="0"/>
        <w:jc w:val="both"/>
        <w:rPr>
          <w:rFonts w:ascii="Gadugi" w:hAnsi="Gadugi"/>
          <w:color w:val="000000" w:themeColor="text1"/>
          <w:sz w:val="24"/>
          <w:szCs w:val="24"/>
          <w:shd w:val="clear" w:color="auto" w:fill="FFFFFF"/>
        </w:rPr>
      </w:pPr>
      <w:r w:rsidRPr="00E82BAD">
        <w:rPr>
          <w:rFonts w:ascii="Gadugi" w:hAnsi="Gadugi"/>
          <w:color w:val="000000" w:themeColor="text1"/>
          <w:sz w:val="24"/>
          <w:szCs w:val="24"/>
          <w:shd w:val="clear" w:color="auto" w:fill="FFFFFF"/>
        </w:rPr>
        <w:t>En resumen, como al entrar en vigencia la Ley 1676 era obligación de los acreedores proceder a efectuar el señalado registro</w:t>
      </w:r>
      <w:r w:rsidR="00E454E6" w:rsidRPr="00E82BAD">
        <w:rPr>
          <w:rFonts w:ascii="Gadugi" w:hAnsi="Gadugi"/>
          <w:color w:val="000000" w:themeColor="text1"/>
          <w:sz w:val="24"/>
          <w:szCs w:val="24"/>
          <w:shd w:val="clear" w:color="auto" w:fill="FFFFFF"/>
        </w:rPr>
        <w:t xml:space="preserve"> y, en caso de proceder a la ejecución, aportarlo como base del recaudo pertinente si allí está contenida también la obligación personal, o junto con el título ejecutivo que contiene esta obligación, si es que son diferentes, en este caso concreto brilla por su ausencia tal documento. </w:t>
      </w:r>
    </w:p>
    <w:p w14:paraId="57E51054" w14:textId="09B041DB" w:rsidR="00E454E6" w:rsidRPr="00E82BAD" w:rsidRDefault="00E454E6"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p>
    <w:p w14:paraId="49DB3225" w14:textId="2C6B2734" w:rsidR="00E454E6" w:rsidRPr="00E82BAD" w:rsidRDefault="00E454E6"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r w:rsidRPr="00E82BAD">
        <w:rPr>
          <w:rFonts w:ascii="Gadugi" w:hAnsi="Gadugi"/>
          <w:color w:val="000000" w:themeColor="text1"/>
          <w:sz w:val="24"/>
          <w:szCs w:val="24"/>
          <w:shd w:val="clear" w:color="auto" w:fill="FFFFFF"/>
        </w:rPr>
        <w:t xml:space="preserve">Así que, </w:t>
      </w:r>
      <w:bookmarkStart w:id="6" w:name="_Hlk124330368"/>
      <w:r w:rsidRPr="00E82BAD">
        <w:rPr>
          <w:rFonts w:ascii="Gadugi" w:hAnsi="Gadugi"/>
          <w:color w:val="000000" w:themeColor="text1"/>
          <w:sz w:val="24"/>
          <w:szCs w:val="24"/>
          <w:shd w:val="clear" w:color="auto" w:fill="FFFFFF"/>
        </w:rPr>
        <w:t xml:space="preserve">bien por la ausencia de los requisitos que echó de menos el Juzgado para declarar la nulidad, cuestión que, se repite, no fue discutida, o bien porque, en todo </w:t>
      </w:r>
      <w:r w:rsidRPr="00E82BAD">
        <w:rPr>
          <w:rFonts w:ascii="Gadugi" w:hAnsi="Gadugi"/>
          <w:color w:val="000000" w:themeColor="text1"/>
          <w:sz w:val="24"/>
          <w:szCs w:val="24"/>
          <w:shd w:val="clear" w:color="auto" w:fill="FFFFFF"/>
        </w:rPr>
        <w:lastRenderedPageBreak/>
        <w:t>caso, n</w:t>
      </w:r>
      <w:r w:rsidR="002B5ADE" w:rsidRPr="00E82BAD">
        <w:rPr>
          <w:rFonts w:ascii="Gadugi" w:hAnsi="Gadugi"/>
          <w:color w:val="000000" w:themeColor="text1"/>
          <w:sz w:val="24"/>
          <w:szCs w:val="24"/>
          <w:shd w:val="clear" w:color="auto" w:fill="FFFFFF"/>
        </w:rPr>
        <w:t>unca</w:t>
      </w:r>
      <w:r w:rsidRPr="00E82BAD">
        <w:rPr>
          <w:rFonts w:ascii="Gadugi" w:hAnsi="Gadugi"/>
          <w:color w:val="000000" w:themeColor="text1"/>
          <w:sz w:val="24"/>
          <w:szCs w:val="24"/>
          <w:shd w:val="clear" w:color="auto" w:fill="FFFFFF"/>
        </w:rPr>
        <w:t xml:space="preserve"> se ajustó el acreedor al mandato de la ley de garantías mobiliarias, el mandamiento ejecutivo contra la codemandada estaba llamado al fracaso. </w:t>
      </w:r>
    </w:p>
    <w:bookmarkEnd w:id="6"/>
    <w:p w14:paraId="16EA0E1C" w14:textId="2C2C0EAE" w:rsidR="00E454E6" w:rsidRPr="00E82BAD" w:rsidRDefault="00E454E6" w:rsidP="00E82BAD">
      <w:pPr>
        <w:pStyle w:val="Prrafodelista"/>
        <w:tabs>
          <w:tab w:val="left" w:pos="2410"/>
        </w:tabs>
        <w:spacing w:after="0" w:line="276" w:lineRule="auto"/>
        <w:ind w:left="0" w:right="51"/>
        <w:jc w:val="both"/>
        <w:rPr>
          <w:rFonts w:ascii="Gadugi" w:hAnsi="Gadugi"/>
          <w:color w:val="000000" w:themeColor="text1"/>
          <w:sz w:val="24"/>
          <w:szCs w:val="24"/>
          <w:shd w:val="clear" w:color="auto" w:fill="FFFFFF"/>
        </w:rPr>
      </w:pPr>
    </w:p>
    <w:p w14:paraId="11FD384C" w14:textId="18A48B77" w:rsidR="00155FDD" w:rsidRPr="00E82BAD" w:rsidRDefault="004B1971" w:rsidP="00E82BAD">
      <w:pPr>
        <w:pStyle w:val="Prrafodelista"/>
        <w:numPr>
          <w:ilvl w:val="1"/>
          <w:numId w:val="1"/>
        </w:numPr>
        <w:tabs>
          <w:tab w:val="left" w:pos="709"/>
        </w:tabs>
        <w:spacing w:line="276" w:lineRule="auto"/>
        <w:ind w:left="0" w:firstLine="0"/>
        <w:jc w:val="both"/>
        <w:rPr>
          <w:rFonts w:ascii="Gadugi" w:eastAsia="Malgun Gothic" w:hAnsi="Gadugi" w:cs="Estrangelo Edessa"/>
          <w:sz w:val="24"/>
          <w:szCs w:val="24"/>
        </w:rPr>
      </w:pPr>
      <w:r w:rsidRPr="00E82BAD">
        <w:rPr>
          <w:rFonts w:ascii="Gadugi" w:eastAsia="Malgun Gothic" w:hAnsi="Gadugi" w:cs="Estrangelo Edessa"/>
          <w:sz w:val="24"/>
          <w:szCs w:val="24"/>
        </w:rPr>
        <w:t xml:space="preserve">Lo dicho responde las críticas que se esgrimen frente al fallo. Como todas ellas </w:t>
      </w:r>
      <w:r w:rsidR="00493A8F" w:rsidRPr="00E82BAD">
        <w:rPr>
          <w:rFonts w:ascii="Gadugi" w:eastAsia="Malgun Gothic" w:hAnsi="Gadugi" w:cs="Estrangelo Edessa"/>
          <w:sz w:val="24"/>
          <w:szCs w:val="24"/>
        </w:rPr>
        <w:t>naufragan</w:t>
      </w:r>
      <w:r w:rsidRPr="00E82BAD">
        <w:rPr>
          <w:rFonts w:ascii="Gadugi" w:eastAsia="Malgun Gothic" w:hAnsi="Gadugi" w:cs="Estrangelo Edessa"/>
          <w:sz w:val="24"/>
          <w:szCs w:val="24"/>
        </w:rPr>
        <w:t xml:space="preserve">, se prohijará la decisión y se cargará con las costas de segundo grado al recurrente a favor de la codemandada Martha Inés Castaño, </w:t>
      </w:r>
      <w:r w:rsidR="00607E21" w:rsidRPr="00E82BAD">
        <w:rPr>
          <w:rFonts w:ascii="Gadugi" w:eastAsia="Malgun Gothic" w:hAnsi="Gadugi" w:cs="Estrangelo Edessa"/>
          <w:sz w:val="24"/>
          <w:szCs w:val="24"/>
        </w:rPr>
        <w:t xml:space="preserve">de acuerdo con lo reglado por el artículo 365-1 del CGP. </w:t>
      </w:r>
    </w:p>
    <w:p w14:paraId="03967B9D" w14:textId="77777777" w:rsidR="00607E21" w:rsidRPr="00E82BAD" w:rsidRDefault="00607E21" w:rsidP="00E82BAD">
      <w:pPr>
        <w:pStyle w:val="Prrafodelista"/>
        <w:spacing w:line="276" w:lineRule="auto"/>
        <w:ind w:left="0"/>
        <w:rPr>
          <w:rFonts w:ascii="Gadugi" w:eastAsia="Malgun Gothic" w:hAnsi="Gadugi" w:cs="Estrangelo Edessa"/>
          <w:bCs/>
          <w:sz w:val="24"/>
          <w:szCs w:val="24"/>
        </w:rPr>
      </w:pPr>
    </w:p>
    <w:p w14:paraId="1D7DAF62" w14:textId="0853661E" w:rsidR="00607E21" w:rsidRPr="00E82BAD" w:rsidRDefault="00607E21" w:rsidP="00E82BAD">
      <w:pPr>
        <w:spacing w:line="276" w:lineRule="auto"/>
        <w:jc w:val="both"/>
        <w:rPr>
          <w:rFonts w:ascii="Gadugi" w:eastAsia="Malgun Gothic" w:hAnsi="Gadugi" w:cs="Estrangelo Edessa"/>
          <w:bCs/>
          <w:sz w:val="24"/>
          <w:szCs w:val="24"/>
        </w:rPr>
      </w:pPr>
      <w:r w:rsidRPr="00E82BAD">
        <w:rPr>
          <w:rFonts w:ascii="Gadugi" w:eastAsia="Malgun Gothic" w:hAnsi="Gadugi" w:cs="Estrangelo Edessa"/>
          <w:bCs/>
          <w:sz w:val="24"/>
          <w:szCs w:val="24"/>
        </w:rPr>
        <w:t xml:space="preserve">Ellas se liquidarán ante el juzgado de primera instancia, siguiendo las pautas del artículo 366 del mismo estatuto. Para tal fin, el magistrado sustanciador, en auto separado, fijará las agencias en derecho que correspondan. </w:t>
      </w:r>
    </w:p>
    <w:p w14:paraId="02814027" w14:textId="77777777" w:rsidR="00124711" w:rsidRPr="00E82BAD" w:rsidRDefault="00124711" w:rsidP="00E82BAD">
      <w:pPr>
        <w:spacing w:line="276" w:lineRule="auto"/>
        <w:rPr>
          <w:rFonts w:ascii="Gadugi" w:eastAsia="Malgun Gothic" w:hAnsi="Gadugi" w:cs="Estrangelo Edessa"/>
          <w:bCs/>
          <w:sz w:val="24"/>
          <w:szCs w:val="24"/>
        </w:rPr>
      </w:pPr>
    </w:p>
    <w:p w14:paraId="3B4883D9" w14:textId="0293AB5E" w:rsidR="00607E21" w:rsidRPr="00E82BAD" w:rsidRDefault="00607E21" w:rsidP="00E82BAD">
      <w:pPr>
        <w:pStyle w:val="Prrafodelista"/>
        <w:numPr>
          <w:ilvl w:val="0"/>
          <w:numId w:val="1"/>
        </w:numPr>
        <w:tabs>
          <w:tab w:val="left" w:pos="426"/>
        </w:tabs>
        <w:spacing w:line="276" w:lineRule="auto"/>
        <w:ind w:left="0" w:firstLine="0"/>
        <w:rPr>
          <w:rFonts w:ascii="Gadugi" w:eastAsia="Malgun Gothic" w:hAnsi="Gadugi" w:cs="Estrangelo Edessa"/>
          <w:b/>
          <w:sz w:val="24"/>
          <w:szCs w:val="24"/>
        </w:rPr>
      </w:pPr>
      <w:r w:rsidRPr="00E82BAD">
        <w:rPr>
          <w:rFonts w:ascii="Gadugi" w:eastAsia="Malgun Gothic" w:hAnsi="Gadugi" w:cs="Estrangelo Edessa"/>
          <w:b/>
          <w:sz w:val="24"/>
          <w:szCs w:val="24"/>
        </w:rPr>
        <w:t>DECISIÓN</w:t>
      </w:r>
    </w:p>
    <w:p w14:paraId="7621E493" w14:textId="0D4ADAC9" w:rsidR="00607E21" w:rsidRPr="00E82BAD" w:rsidRDefault="00607E21" w:rsidP="00E82BAD">
      <w:pPr>
        <w:pStyle w:val="Prrafodelista"/>
        <w:spacing w:line="276" w:lineRule="auto"/>
        <w:ind w:left="0"/>
        <w:rPr>
          <w:rFonts w:ascii="Gadugi" w:eastAsia="Malgun Gothic" w:hAnsi="Gadugi" w:cs="Estrangelo Edessa"/>
          <w:b/>
          <w:sz w:val="24"/>
          <w:szCs w:val="24"/>
        </w:rPr>
      </w:pPr>
    </w:p>
    <w:p w14:paraId="5FA7D502" w14:textId="762D9F84" w:rsidR="00607E21" w:rsidRPr="00E82BAD" w:rsidRDefault="00607E21" w:rsidP="00E82BAD">
      <w:pPr>
        <w:tabs>
          <w:tab w:val="left" w:pos="2835"/>
        </w:tabs>
        <w:spacing w:after="0" w:line="276" w:lineRule="auto"/>
        <w:jc w:val="both"/>
        <w:rPr>
          <w:rFonts w:ascii="Gadugi" w:eastAsia="Malgun Gothic" w:hAnsi="Gadugi" w:cs="Estrangelo Edessa"/>
          <w:sz w:val="24"/>
          <w:szCs w:val="24"/>
        </w:rPr>
      </w:pPr>
      <w:r w:rsidRPr="00E82BAD">
        <w:rPr>
          <w:rFonts w:ascii="Gadugi" w:eastAsia="Malgun Gothic" w:hAnsi="Gadugi" w:cs="Estrangelo Edessa"/>
          <w:sz w:val="24"/>
          <w:szCs w:val="24"/>
        </w:rPr>
        <w:t xml:space="preserve">En armonía con lo dicho, esta Sala de Decisión Civil Familia del Tribunal Superior del Distrito Judicial de Pereira, administrando justicia en nombre de la República y por autoridad de la Ley, </w:t>
      </w:r>
      <w:r w:rsidRPr="00E82BAD">
        <w:rPr>
          <w:rFonts w:ascii="Gadugi" w:eastAsia="Malgun Gothic" w:hAnsi="Gadugi" w:cs="Estrangelo Edessa"/>
          <w:b/>
          <w:bCs/>
          <w:sz w:val="24"/>
          <w:szCs w:val="24"/>
        </w:rPr>
        <w:t xml:space="preserve">CONFIRMA </w:t>
      </w:r>
      <w:r w:rsidRPr="00E82BAD">
        <w:rPr>
          <w:rFonts w:ascii="Gadugi" w:eastAsia="Malgun Gothic" w:hAnsi="Gadugi" w:cs="Estrangelo Edessa"/>
          <w:sz w:val="24"/>
          <w:szCs w:val="24"/>
        </w:rPr>
        <w:t xml:space="preserve">la sentencia del 28 de julio del 2021, proferida por el Juzgado Segundo Civil Del Circuito Pereira-Risaralda, en este proceso </w:t>
      </w:r>
      <w:r w:rsidRPr="007E26C8">
        <w:rPr>
          <w:rFonts w:ascii="Gadugi" w:eastAsia="Malgun Gothic" w:hAnsi="Gadugi" w:cs="Estrangelo Edessa"/>
          <w:b/>
          <w:sz w:val="24"/>
          <w:szCs w:val="24"/>
        </w:rPr>
        <w:t>ejecutivo</w:t>
      </w:r>
      <w:r w:rsidRPr="00E82BAD">
        <w:rPr>
          <w:rFonts w:ascii="Gadugi" w:eastAsia="Malgun Gothic" w:hAnsi="Gadugi" w:cs="Estrangelo Edessa"/>
          <w:sz w:val="24"/>
          <w:szCs w:val="24"/>
        </w:rPr>
        <w:t xml:space="preserve"> que inicio </w:t>
      </w:r>
      <w:r w:rsidRPr="00E82BAD">
        <w:rPr>
          <w:rFonts w:ascii="Gadugi" w:eastAsia="Malgun Gothic" w:hAnsi="Gadugi" w:cs="Estrangelo Edessa"/>
          <w:b/>
          <w:bCs/>
          <w:sz w:val="24"/>
          <w:szCs w:val="24"/>
        </w:rPr>
        <w:t>C</w:t>
      </w:r>
      <w:r w:rsidR="00493A8F" w:rsidRPr="00E82BAD">
        <w:rPr>
          <w:rFonts w:ascii="Gadugi" w:eastAsia="Malgun Gothic" w:hAnsi="Gadugi" w:cs="Estrangelo Edessa"/>
          <w:b/>
          <w:bCs/>
          <w:sz w:val="24"/>
          <w:szCs w:val="24"/>
        </w:rPr>
        <w:t>é</w:t>
      </w:r>
      <w:r w:rsidRPr="00E82BAD">
        <w:rPr>
          <w:rFonts w:ascii="Gadugi" w:eastAsia="Malgun Gothic" w:hAnsi="Gadugi" w:cs="Estrangelo Edessa"/>
          <w:b/>
          <w:bCs/>
          <w:sz w:val="24"/>
          <w:szCs w:val="24"/>
        </w:rPr>
        <w:t xml:space="preserve">sar Augusto Quiroga Londoño </w:t>
      </w:r>
      <w:r w:rsidRPr="00E82BAD">
        <w:rPr>
          <w:rFonts w:ascii="Gadugi" w:eastAsia="Malgun Gothic" w:hAnsi="Gadugi" w:cs="Estrangelo Edessa"/>
          <w:sz w:val="24"/>
          <w:szCs w:val="24"/>
        </w:rPr>
        <w:t>frente</w:t>
      </w:r>
      <w:r w:rsidRPr="00E82BAD">
        <w:rPr>
          <w:rFonts w:ascii="Gadugi" w:eastAsia="Malgun Gothic" w:hAnsi="Gadugi" w:cs="Estrangelo Edessa"/>
          <w:b/>
          <w:bCs/>
          <w:sz w:val="24"/>
          <w:szCs w:val="24"/>
        </w:rPr>
        <w:t xml:space="preserve"> </w:t>
      </w:r>
      <w:r w:rsidRPr="00E82BAD">
        <w:rPr>
          <w:rFonts w:ascii="Gadugi" w:eastAsia="Malgun Gothic" w:hAnsi="Gadugi" w:cs="Estrangelo Edessa"/>
          <w:sz w:val="24"/>
          <w:szCs w:val="24"/>
        </w:rPr>
        <w:t>a</w:t>
      </w:r>
      <w:r w:rsidRPr="00E82BAD">
        <w:rPr>
          <w:rFonts w:ascii="Gadugi" w:hAnsi="Gadugi"/>
          <w:sz w:val="24"/>
          <w:szCs w:val="24"/>
        </w:rPr>
        <w:t xml:space="preserve"> </w:t>
      </w:r>
      <w:r w:rsidRPr="00E82BAD">
        <w:rPr>
          <w:rFonts w:ascii="Gadugi" w:eastAsia="Malgun Gothic" w:hAnsi="Gadugi" w:cs="Estrangelo Edessa"/>
          <w:b/>
          <w:bCs/>
          <w:sz w:val="24"/>
          <w:szCs w:val="24"/>
        </w:rPr>
        <w:t xml:space="preserve">Martha Inés Castaño Marín </w:t>
      </w:r>
      <w:r w:rsidRPr="00E82BAD">
        <w:rPr>
          <w:rFonts w:ascii="Gadugi" w:eastAsia="Malgun Gothic" w:hAnsi="Gadugi" w:cs="Estrangelo Edessa"/>
          <w:sz w:val="24"/>
          <w:szCs w:val="24"/>
        </w:rPr>
        <w:t>y</w:t>
      </w:r>
      <w:r w:rsidRPr="00E82BAD">
        <w:rPr>
          <w:rFonts w:ascii="Gadugi" w:eastAsia="Malgun Gothic" w:hAnsi="Gadugi" w:cs="Estrangelo Edessa"/>
          <w:b/>
          <w:bCs/>
          <w:sz w:val="24"/>
          <w:szCs w:val="24"/>
        </w:rPr>
        <w:t xml:space="preserve"> Darío Alex</w:t>
      </w:r>
      <w:r w:rsidR="00493A8F" w:rsidRPr="00E82BAD">
        <w:rPr>
          <w:rFonts w:ascii="Gadugi" w:eastAsia="Malgun Gothic" w:hAnsi="Gadugi" w:cs="Estrangelo Edessa"/>
          <w:b/>
          <w:bCs/>
          <w:sz w:val="24"/>
          <w:szCs w:val="24"/>
        </w:rPr>
        <w:t>á</w:t>
      </w:r>
      <w:r w:rsidRPr="00E82BAD">
        <w:rPr>
          <w:rFonts w:ascii="Gadugi" w:eastAsia="Malgun Gothic" w:hAnsi="Gadugi" w:cs="Estrangelo Edessa"/>
          <w:b/>
          <w:bCs/>
          <w:sz w:val="24"/>
          <w:szCs w:val="24"/>
        </w:rPr>
        <w:t xml:space="preserve">nder Herrera Perico </w:t>
      </w:r>
      <w:r w:rsidRPr="00E82BAD">
        <w:rPr>
          <w:rFonts w:ascii="Gadugi" w:eastAsia="Malgun Gothic" w:hAnsi="Gadugi" w:cs="Estrangelo Edessa"/>
          <w:sz w:val="24"/>
          <w:szCs w:val="24"/>
        </w:rPr>
        <w:t>(q.e.p.d.),</w:t>
      </w:r>
      <w:r w:rsidRPr="00E82BAD">
        <w:rPr>
          <w:rFonts w:ascii="Gadugi" w:eastAsia="Malgun Gothic" w:hAnsi="Gadugi" w:cs="Estrangelo Edessa"/>
          <w:b/>
          <w:bCs/>
          <w:sz w:val="24"/>
          <w:szCs w:val="24"/>
        </w:rPr>
        <w:t xml:space="preserve"> </w:t>
      </w:r>
      <w:r w:rsidRPr="00E82BAD">
        <w:rPr>
          <w:rFonts w:ascii="Gadugi" w:eastAsia="Malgun Gothic" w:hAnsi="Gadugi" w:cs="Estrangelo Edessa"/>
          <w:sz w:val="24"/>
          <w:szCs w:val="24"/>
        </w:rPr>
        <w:t>en el que fueron emplazados los herederos indeterminados de este.</w:t>
      </w:r>
    </w:p>
    <w:p w14:paraId="4C215B0E" w14:textId="36AF03E0" w:rsidR="00607E21" w:rsidRPr="00E82BAD" w:rsidRDefault="00607E21" w:rsidP="00E82BAD">
      <w:pPr>
        <w:tabs>
          <w:tab w:val="left" w:pos="2835"/>
        </w:tabs>
        <w:spacing w:after="0" w:line="276" w:lineRule="auto"/>
        <w:jc w:val="both"/>
        <w:rPr>
          <w:rFonts w:ascii="Gadugi" w:eastAsia="Malgun Gothic" w:hAnsi="Gadugi" w:cs="Estrangelo Edessa"/>
          <w:sz w:val="24"/>
          <w:szCs w:val="24"/>
        </w:rPr>
      </w:pPr>
    </w:p>
    <w:p w14:paraId="73346F67" w14:textId="1A3C3FC2" w:rsidR="00607E21" w:rsidRPr="00E82BAD" w:rsidRDefault="00607E21" w:rsidP="00E82BAD">
      <w:pPr>
        <w:tabs>
          <w:tab w:val="left" w:pos="2835"/>
        </w:tabs>
        <w:spacing w:after="0" w:line="276" w:lineRule="auto"/>
        <w:jc w:val="both"/>
        <w:rPr>
          <w:rFonts w:ascii="Gadugi" w:eastAsia="Malgun Gothic" w:hAnsi="Gadugi" w:cs="Estrangelo Edessa"/>
          <w:sz w:val="24"/>
          <w:szCs w:val="24"/>
        </w:rPr>
      </w:pPr>
      <w:r w:rsidRPr="00E82BAD">
        <w:rPr>
          <w:rFonts w:ascii="Gadugi" w:eastAsia="Malgun Gothic" w:hAnsi="Gadugi" w:cs="Estrangelo Edessa"/>
          <w:sz w:val="24"/>
          <w:szCs w:val="24"/>
        </w:rPr>
        <w:t xml:space="preserve">Costas en esta sede a cargo del recurrente y a favor de la codemandada Martha Inés Castaño. </w:t>
      </w:r>
    </w:p>
    <w:p w14:paraId="748810C5" w14:textId="77777777" w:rsidR="002869FF" w:rsidRPr="00E82BAD" w:rsidRDefault="002869FF" w:rsidP="00E82BAD">
      <w:pPr>
        <w:tabs>
          <w:tab w:val="left" w:pos="2835"/>
        </w:tabs>
        <w:spacing w:after="0" w:line="276" w:lineRule="auto"/>
        <w:jc w:val="both"/>
        <w:rPr>
          <w:rFonts w:ascii="Gadugi" w:eastAsia="Malgun Gothic" w:hAnsi="Gadugi" w:cs="Estrangelo Edessa"/>
          <w:sz w:val="24"/>
          <w:szCs w:val="24"/>
        </w:rPr>
      </w:pPr>
    </w:p>
    <w:p w14:paraId="1DED4D91" w14:textId="7A8FAA60" w:rsidR="00607E21" w:rsidRPr="00E82BAD" w:rsidRDefault="00607E21" w:rsidP="00E82BAD">
      <w:pPr>
        <w:tabs>
          <w:tab w:val="left" w:pos="2835"/>
        </w:tabs>
        <w:spacing w:after="0" w:line="276" w:lineRule="auto"/>
        <w:jc w:val="both"/>
        <w:rPr>
          <w:rFonts w:ascii="Gadugi" w:eastAsia="Malgun Gothic" w:hAnsi="Gadugi" w:cs="Estrangelo Edessa"/>
          <w:sz w:val="24"/>
          <w:szCs w:val="24"/>
        </w:rPr>
      </w:pPr>
      <w:r w:rsidRPr="00E82BAD">
        <w:rPr>
          <w:rFonts w:ascii="Gadugi" w:eastAsia="Malgun Gothic" w:hAnsi="Gadugi" w:cs="Estrangelo Edessa"/>
          <w:sz w:val="24"/>
          <w:szCs w:val="24"/>
        </w:rPr>
        <w:t xml:space="preserve">Notifíquese, </w:t>
      </w:r>
    </w:p>
    <w:p w14:paraId="666F94F6" w14:textId="77777777" w:rsidR="00E82BAD" w:rsidRPr="00CA590F" w:rsidRDefault="00E82BAD" w:rsidP="00E82BAD">
      <w:pPr>
        <w:tabs>
          <w:tab w:val="left" w:pos="1701"/>
          <w:tab w:val="left" w:pos="2127"/>
          <w:tab w:val="left" w:pos="2977"/>
        </w:tabs>
        <w:spacing w:after="0" w:line="276" w:lineRule="auto"/>
        <w:jc w:val="both"/>
        <w:rPr>
          <w:rFonts w:ascii="Gadugi" w:eastAsia="Malgun Gothic" w:hAnsi="Gadugi" w:cs="Estrangelo Edessa"/>
          <w:sz w:val="24"/>
          <w:szCs w:val="24"/>
        </w:rPr>
      </w:pPr>
    </w:p>
    <w:p w14:paraId="61B28851" w14:textId="77777777" w:rsidR="00E82BAD" w:rsidRPr="00CA590F" w:rsidRDefault="00E82BAD" w:rsidP="00E82BAD">
      <w:pPr>
        <w:tabs>
          <w:tab w:val="left" w:pos="1701"/>
          <w:tab w:val="left" w:pos="2127"/>
          <w:tab w:val="left" w:pos="2977"/>
        </w:tabs>
        <w:spacing w:after="0" w:line="276" w:lineRule="auto"/>
        <w:jc w:val="both"/>
        <w:rPr>
          <w:rFonts w:ascii="Gadugi" w:eastAsia="Malgun Gothic" w:hAnsi="Gadugi" w:cs="Estrangelo Edessa"/>
          <w:sz w:val="24"/>
          <w:szCs w:val="24"/>
        </w:rPr>
      </w:pPr>
      <w:r w:rsidRPr="00CA590F">
        <w:rPr>
          <w:rFonts w:ascii="Gadugi" w:eastAsia="Malgun Gothic" w:hAnsi="Gadugi" w:cs="Estrangelo Edessa"/>
          <w:sz w:val="24"/>
          <w:szCs w:val="24"/>
        </w:rPr>
        <w:tab/>
        <w:t xml:space="preserve">Los Magistrados, </w:t>
      </w:r>
    </w:p>
    <w:p w14:paraId="19247B4C" w14:textId="77777777" w:rsidR="00E82BAD" w:rsidRPr="00CA590F" w:rsidRDefault="00E82BAD" w:rsidP="00E82BAD">
      <w:pPr>
        <w:tabs>
          <w:tab w:val="left" w:pos="1701"/>
          <w:tab w:val="left" w:pos="2127"/>
          <w:tab w:val="left" w:pos="2977"/>
        </w:tabs>
        <w:spacing w:after="0" w:line="276" w:lineRule="auto"/>
        <w:jc w:val="both"/>
        <w:rPr>
          <w:rFonts w:ascii="Gadugi" w:eastAsia="Malgun Gothic" w:hAnsi="Gadugi" w:cs="Estrangelo Edessa"/>
          <w:sz w:val="24"/>
          <w:szCs w:val="24"/>
        </w:rPr>
      </w:pPr>
    </w:p>
    <w:p w14:paraId="279ACD5B" w14:textId="77777777" w:rsidR="00E82BAD" w:rsidRPr="00CA590F" w:rsidRDefault="00E82BAD" w:rsidP="00E82BAD">
      <w:pPr>
        <w:tabs>
          <w:tab w:val="left" w:pos="1701"/>
          <w:tab w:val="left" w:pos="2127"/>
          <w:tab w:val="left" w:pos="2977"/>
        </w:tabs>
        <w:spacing w:after="0" w:line="276" w:lineRule="auto"/>
        <w:jc w:val="both"/>
        <w:rPr>
          <w:rFonts w:ascii="Gadugi" w:eastAsia="Malgun Gothic" w:hAnsi="Gadugi" w:cs="Estrangelo Edessa"/>
          <w:b/>
          <w:sz w:val="24"/>
          <w:szCs w:val="24"/>
        </w:rPr>
      </w:pPr>
    </w:p>
    <w:p w14:paraId="78C4DF1E" w14:textId="77777777" w:rsidR="00E82BAD" w:rsidRPr="00CA590F" w:rsidRDefault="00E82BAD" w:rsidP="00E82BAD">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r w:rsidRPr="00CA590F">
        <w:rPr>
          <w:rFonts w:ascii="Gadugi" w:eastAsia="Malgun Gothic" w:hAnsi="Gadugi" w:cs="Estrangelo Edessa"/>
          <w:b/>
          <w:sz w:val="24"/>
          <w:szCs w:val="24"/>
        </w:rPr>
        <w:t>JAIME ALBERTO SARAZA NARANJO</w:t>
      </w:r>
    </w:p>
    <w:p w14:paraId="33B0718B" w14:textId="77777777" w:rsidR="00E82BAD" w:rsidRPr="00CA590F" w:rsidRDefault="00E82BAD" w:rsidP="00E82BAD">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1300ADDA" w14:textId="77777777" w:rsidR="00E82BAD" w:rsidRPr="00CA590F" w:rsidRDefault="00E82BAD" w:rsidP="00E82BAD">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1C1A3B32" w14:textId="77777777" w:rsidR="00E82BAD" w:rsidRPr="00CA590F" w:rsidRDefault="00E82BAD" w:rsidP="00E82BAD">
      <w:pPr>
        <w:tabs>
          <w:tab w:val="left" w:pos="1701"/>
          <w:tab w:val="left" w:pos="2127"/>
          <w:tab w:val="left" w:pos="2977"/>
        </w:tabs>
        <w:spacing w:after="0" w:line="276" w:lineRule="auto"/>
        <w:ind w:firstLine="1701"/>
        <w:jc w:val="both"/>
        <w:rPr>
          <w:rFonts w:ascii="Gadugi" w:eastAsia="Malgun Gothic" w:hAnsi="Gadugi" w:cs="Estrangelo Edessa"/>
          <w:b/>
          <w:bCs/>
          <w:sz w:val="24"/>
          <w:szCs w:val="24"/>
        </w:rPr>
      </w:pPr>
      <w:r w:rsidRPr="00CA590F">
        <w:rPr>
          <w:rFonts w:ascii="Gadugi" w:eastAsia="Malgun Gothic" w:hAnsi="Gadugi" w:cs="Estrangelo Edessa"/>
          <w:b/>
          <w:bCs/>
          <w:sz w:val="24"/>
          <w:szCs w:val="24"/>
        </w:rPr>
        <w:t>CARLOS MAURICIO GARCÍA BARAJAS</w:t>
      </w:r>
    </w:p>
    <w:p w14:paraId="355DAD14" w14:textId="77777777" w:rsidR="00E82BAD" w:rsidRPr="00CA590F" w:rsidRDefault="00E82BAD" w:rsidP="00E82BAD">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65C5AFC8" w14:textId="77777777" w:rsidR="00E82BAD" w:rsidRPr="00CA590F" w:rsidRDefault="00E82BAD" w:rsidP="00E82BAD">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616591B8" w14:textId="41298076" w:rsidR="00607E21" w:rsidRPr="00E82BAD" w:rsidRDefault="00E82BAD" w:rsidP="00E82BAD">
      <w:pPr>
        <w:tabs>
          <w:tab w:val="left" w:pos="1701"/>
          <w:tab w:val="left" w:pos="2127"/>
          <w:tab w:val="left" w:pos="2977"/>
        </w:tabs>
        <w:spacing w:after="0" w:line="276" w:lineRule="auto"/>
        <w:ind w:firstLine="1701"/>
        <w:jc w:val="both"/>
        <w:rPr>
          <w:rFonts w:ascii="Gadugi" w:eastAsia="Malgun Gothic" w:hAnsi="Gadugi" w:cs="Estrangelo Edessa"/>
          <w:sz w:val="24"/>
          <w:szCs w:val="24"/>
        </w:rPr>
      </w:pPr>
      <w:r w:rsidRPr="00CA590F">
        <w:rPr>
          <w:rFonts w:ascii="Gadugi" w:eastAsia="Malgun Gothic" w:hAnsi="Gadugi" w:cs="Estrangelo Edessa"/>
          <w:b/>
          <w:bCs/>
          <w:sz w:val="24"/>
          <w:szCs w:val="24"/>
        </w:rPr>
        <w:t>DUBERNEY GRISALES HERRERA</w:t>
      </w:r>
    </w:p>
    <w:sectPr w:rsidR="00607E21" w:rsidRPr="00E82BAD" w:rsidSect="00E82BAD">
      <w:footerReference w:type="defaul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DED5" w14:textId="77777777" w:rsidR="00747E74" w:rsidRDefault="00747E74" w:rsidP="00244E2F">
      <w:pPr>
        <w:spacing w:after="0" w:line="240" w:lineRule="auto"/>
      </w:pPr>
      <w:r>
        <w:separator/>
      </w:r>
    </w:p>
  </w:endnote>
  <w:endnote w:type="continuationSeparator" w:id="0">
    <w:p w14:paraId="2AAD724D" w14:textId="77777777" w:rsidR="00747E74" w:rsidRDefault="00747E74" w:rsidP="0024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Cuerpo en alf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219328"/>
      <w:docPartObj>
        <w:docPartGallery w:val="Page Numbers (Bottom of Page)"/>
        <w:docPartUnique/>
      </w:docPartObj>
    </w:sdtPr>
    <w:sdtEndPr/>
    <w:sdtContent>
      <w:p w14:paraId="163C1185" w14:textId="4D687D04" w:rsidR="002869FF" w:rsidRDefault="002869FF">
        <w:pPr>
          <w:pStyle w:val="Piedepgina"/>
          <w:jc w:val="right"/>
        </w:pPr>
        <w:r>
          <w:fldChar w:fldCharType="begin"/>
        </w:r>
        <w:r>
          <w:instrText>PAGE   \* MERGEFORMAT</w:instrText>
        </w:r>
        <w:r>
          <w:fldChar w:fldCharType="separate"/>
        </w:r>
        <w:r>
          <w:rPr>
            <w:lang w:val="es-ES"/>
          </w:rPr>
          <w:t>2</w:t>
        </w:r>
        <w:r>
          <w:fldChar w:fldCharType="end"/>
        </w:r>
      </w:p>
    </w:sdtContent>
  </w:sdt>
  <w:p w14:paraId="2577C74C" w14:textId="77777777" w:rsidR="004C3DFC" w:rsidRDefault="004C3D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40963" w14:textId="77777777" w:rsidR="00747E74" w:rsidRDefault="00747E74" w:rsidP="00244E2F">
      <w:pPr>
        <w:spacing w:after="0" w:line="240" w:lineRule="auto"/>
      </w:pPr>
      <w:r>
        <w:separator/>
      </w:r>
    </w:p>
  </w:footnote>
  <w:footnote w:type="continuationSeparator" w:id="0">
    <w:p w14:paraId="0C39DA17" w14:textId="77777777" w:rsidR="00747E74" w:rsidRDefault="00747E74" w:rsidP="00244E2F">
      <w:pPr>
        <w:spacing w:after="0" w:line="240" w:lineRule="auto"/>
      </w:pPr>
      <w:r>
        <w:continuationSeparator/>
      </w:r>
    </w:p>
  </w:footnote>
  <w:footnote w:id="1">
    <w:p w14:paraId="06F2594C" w14:textId="4E886C92" w:rsidR="0035487E" w:rsidRPr="00056FDA" w:rsidRDefault="0035487E"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01PrimeraInstancia, 01CuadernoPrincipal, Cuaderno Principal </w:t>
      </w:r>
      <w:proofErr w:type="spellStart"/>
      <w:r w:rsidRPr="00056FDA">
        <w:rPr>
          <w:rFonts w:ascii="Arial" w:hAnsi="Arial" w:cs="Arial"/>
          <w:sz w:val="18"/>
        </w:rPr>
        <w:t>Vol</w:t>
      </w:r>
      <w:proofErr w:type="spellEnd"/>
      <w:r w:rsidRPr="00056FDA">
        <w:rPr>
          <w:rFonts w:ascii="Arial" w:hAnsi="Arial" w:cs="Arial"/>
          <w:sz w:val="18"/>
        </w:rPr>
        <w:t xml:space="preserve"> 1, </w:t>
      </w:r>
      <w:r w:rsidRPr="00056FDA">
        <w:rPr>
          <w:rStyle w:val="normaltextrun"/>
          <w:rFonts w:ascii="Arial" w:hAnsi="Arial" w:cs="Arial"/>
          <w:bCs/>
          <w:color w:val="000000"/>
          <w:sz w:val="18"/>
          <w:shd w:val="clear" w:color="auto" w:fill="FFFFFF"/>
        </w:rPr>
        <w:t>p. 36.</w:t>
      </w:r>
    </w:p>
  </w:footnote>
  <w:footnote w:id="2">
    <w:p w14:paraId="65F30622" w14:textId="7D4C3FA8" w:rsidR="0035487E" w:rsidRPr="00056FDA" w:rsidRDefault="0035487E"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Ibidem, p. 34</w:t>
      </w:r>
    </w:p>
  </w:footnote>
  <w:footnote w:id="3">
    <w:p w14:paraId="428881BC" w14:textId="04CB0B32" w:rsidR="0035487E" w:rsidRPr="00056FDA" w:rsidRDefault="0035487E"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Ib., p. 47</w:t>
      </w:r>
    </w:p>
  </w:footnote>
  <w:footnote w:id="4">
    <w:p w14:paraId="5F032578" w14:textId="491F1F8D" w:rsidR="0035487E" w:rsidRPr="00056FDA" w:rsidRDefault="0035487E"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Ib., p. 55</w:t>
      </w:r>
    </w:p>
  </w:footnote>
  <w:footnote w:id="5">
    <w:p w14:paraId="6AC67B13" w14:textId="0CC01809" w:rsidR="0035487E" w:rsidRPr="00056FDA" w:rsidRDefault="0035487E"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Ib., p. 92</w:t>
      </w:r>
    </w:p>
  </w:footnote>
  <w:footnote w:id="6">
    <w:p w14:paraId="0F0AF1B2" w14:textId="728CE9DE" w:rsidR="0035487E" w:rsidRPr="00056FDA" w:rsidRDefault="0035487E"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Ib., p. 101</w:t>
      </w:r>
    </w:p>
  </w:footnote>
  <w:footnote w:id="7">
    <w:p w14:paraId="125B2942" w14:textId="336DBB83" w:rsidR="00073954" w:rsidRPr="00056FDA" w:rsidRDefault="00073954" w:rsidP="00056FDA">
      <w:pPr>
        <w:pStyle w:val="Textonotapie"/>
        <w:jc w:val="both"/>
        <w:rPr>
          <w:rFonts w:ascii="Arial" w:hAnsi="Arial" w:cs="Arial"/>
          <w:sz w:val="18"/>
          <w:lang w:val="es-419"/>
        </w:rPr>
      </w:pPr>
      <w:r w:rsidRPr="00056FDA">
        <w:rPr>
          <w:rStyle w:val="Refdenotaalpie"/>
          <w:rFonts w:ascii="Arial" w:hAnsi="Arial" w:cs="Arial"/>
          <w:sz w:val="18"/>
        </w:rPr>
        <w:footnoteRef/>
      </w:r>
      <w:r w:rsidRPr="00056FDA">
        <w:rPr>
          <w:rFonts w:ascii="Arial" w:hAnsi="Arial" w:cs="Arial"/>
          <w:sz w:val="18"/>
        </w:rPr>
        <w:t xml:space="preserve"> </w:t>
      </w:r>
      <w:r w:rsidRPr="00056FDA">
        <w:rPr>
          <w:rFonts w:ascii="Arial" w:hAnsi="Arial" w:cs="Arial"/>
          <w:sz w:val="18"/>
          <w:lang w:val="es-419"/>
        </w:rPr>
        <w:t>Ib., p. 85</w:t>
      </w:r>
    </w:p>
  </w:footnote>
  <w:footnote w:id="8">
    <w:p w14:paraId="4A59691F" w14:textId="5A0FDCC4" w:rsidR="0054419A" w:rsidRPr="00056FDA" w:rsidRDefault="0054419A" w:rsidP="00056FDA">
      <w:pPr>
        <w:pStyle w:val="Textonotapie"/>
        <w:jc w:val="both"/>
        <w:rPr>
          <w:rFonts w:ascii="Arial" w:hAnsi="Arial" w:cs="Arial"/>
          <w:sz w:val="18"/>
          <w:lang w:val="es-419"/>
        </w:rPr>
      </w:pPr>
      <w:r w:rsidRPr="00056FDA">
        <w:rPr>
          <w:rStyle w:val="Refdenotaalpie"/>
          <w:rFonts w:ascii="Arial" w:hAnsi="Arial" w:cs="Arial"/>
          <w:sz w:val="18"/>
        </w:rPr>
        <w:footnoteRef/>
      </w:r>
      <w:r w:rsidRPr="00056FDA">
        <w:rPr>
          <w:rFonts w:ascii="Arial" w:hAnsi="Arial" w:cs="Arial"/>
          <w:sz w:val="18"/>
        </w:rPr>
        <w:t xml:space="preserve"> </w:t>
      </w:r>
      <w:r w:rsidR="00841980" w:rsidRPr="00056FDA">
        <w:rPr>
          <w:rFonts w:ascii="Arial" w:hAnsi="Arial" w:cs="Arial"/>
          <w:sz w:val="18"/>
        </w:rPr>
        <w:t xml:space="preserve">01PrimeraInstancia, 01CuadernoPrincipal, </w:t>
      </w:r>
      <w:proofErr w:type="spellStart"/>
      <w:r w:rsidR="00841980" w:rsidRPr="00056FDA">
        <w:rPr>
          <w:rFonts w:ascii="Arial" w:hAnsi="Arial" w:cs="Arial"/>
          <w:sz w:val="18"/>
        </w:rPr>
        <w:t>arch</w:t>
      </w:r>
      <w:proofErr w:type="spellEnd"/>
      <w:r w:rsidR="00841980" w:rsidRPr="00056FDA">
        <w:rPr>
          <w:rFonts w:ascii="Arial" w:hAnsi="Arial" w:cs="Arial"/>
          <w:sz w:val="18"/>
        </w:rPr>
        <w:t>. 07</w:t>
      </w:r>
    </w:p>
  </w:footnote>
  <w:footnote w:id="9">
    <w:p w14:paraId="40C2FDC6" w14:textId="7C5488A2" w:rsidR="00841980" w:rsidRPr="00056FDA" w:rsidRDefault="00841980" w:rsidP="00056FDA">
      <w:pPr>
        <w:pStyle w:val="Textonotapie"/>
        <w:jc w:val="both"/>
        <w:rPr>
          <w:rFonts w:ascii="Arial" w:hAnsi="Arial" w:cs="Arial"/>
          <w:sz w:val="18"/>
          <w:lang w:val="es-419"/>
        </w:rPr>
      </w:pPr>
      <w:r w:rsidRPr="00056FDA">
        <w:rPr>
          <w:rStyle w:val="Refdenotaalpie"/>
          <w:rFonts w:ascii="Arial" w:hAnsi="Arial" w:cs="Arial"/>
          <w:sz w:val="18"/>
        </w:rPr>
        <w:footnoteRef/>
      </w:r>
      <w:r w:rsidRPr="00056FDA">
        <w:rPr>
          <w:rFonts w:ascii="Arial" w:hAnsi="Arial" w:cs="Arial"/>
          <w:sz w:val="18"/>
        </w:rPr>
        <w:t xml:space="preserve"> </w:t>
      </w:r>
      <w:r w:rsidRPr="00056FDA">
        <w:rPr>
          <w:rFonts w:ascii="Arial" w:hAnsi="Arial" w:cs="Arial"/>
          <w:sz w:val="18"/>
          <w:lang w:val="es-419"/>
        </w:rPr>
        <w:t xml:space="preserve">Ib., </w:t>
      </w:r>
      <w:proofErr w:type="spellStart"/>
      <w:r w:rsidRPr="00056FDA">
        <w:rPr>
          <w:rFonts w:ascii="Arial" w:hAnsi="Arial" w:cs="Arial"/>
          <w:sz w:val="18"/>
          <w:lang w:val="es-419"/>
        </w:rPr>
        <w:t>arch</w:t>
      </w:r>
      <w:proofErr w:type="spellEnd"/>
      <w:r w:rsidRPr="00056FDA">
        <w:rPr>
          <w:rFonts w:ascii="Arial" w:hAnsi="Arial" w:cs="Arial"/>
          <w:sz w:val="18"/>
          <w:lang w:val="es-419"/>
        </w:rPr>
        <w:t>. 11, p. 3</w:t>
      </w:r>
    </w:p>
  </w:footnote>
  <w:footnote w:id="10">
    <w:p w14:paraId="4B029379" w14:textId="32E55F4D" w:rsidR="00F34A09" w:rsidRPr="00056FDA" w:rsidRDefault="00F34A09" w:rsidP="00056FDA">
      <w:pPr>
        <w:pStyle w:val="Textonotapie"/>
        <w:jc w:val="both"/>
        <w:rPr>
          <w:rFonts w:ascii="Arial" w:hAnsi="Arial" w:cs="Arial"/>
          <w:sz w:val="18"/>
          <w:lang w:val="es-419"/>
        </w:rPr>
      </w:pPr>
      <w:r w:rsidRPr="00056FDA">
        <w:rPr>
          <w:rStyle w:val="Refdenotaalpie"/>
          <w:rFonts w:ascii="Arial" w:hAnsi="Arial" w:cs="Arial"/>
          <w:sz w:val="18"/>
        </w:rPr>
        <w:footnoteRef/>
      </w:r>
      <w:r w:rsidRPr="00056FDA">
        <w:rPr>
          <w:rFonts w:ascii="Arial" w:hAnsi="Arial" w:cs="Arial"/>
          <w:sz w:val="18"/>
        </w:rPr>
        <w:t xml:space="preserve"> </w:t>
      </w:r>
      <w:r w:rsidRPr="00056FDA">
        <w:rPr>
          <w:rFonts w:ascii="Arial" w:hAnsi="Arial" w:cs="Arial"/>
          <w:sz w:val="18"/>
          <w:lang w:val="es-419"/>
        </w:rPr>
        <w:t xml:space="preserve">Ib., </w:t>
      </w:r>
      <w:proofErr w:type="spellStart"/>
      <w:r w:rsidRPr="00056FDA">
        <w:rPr>
          <w:rFonts w:ascii="Arial" w:hAnsi="Arial" w:cs="Arial"/>
          <w:sz w:val="18"/>
          <w:lang w:val="es-419"/>
        </w:rPr>
        <w:t>arch</w:t>
      </w:r>
      <w:proofErr w:type="spellEnd"/>
      <w:r w:rsidRPr="00056FDA">
        <w:rPr>
          <w:rFonts w:ascii="Arial" w:hAnsi="Arial" w:cs="Arial"/>
          <w:sz w:val="18"/>
          <w:lang w:val="es-419"/>
        </w:rPr>
        <w:t>. 12</w:t>
      </w:r>
    </w:p>
  </w:footnote>
  <w:footnote w:id="11">
    <w:p w14:paraId="3668AD7A" w14:textId="1D35D6F1" w:rsidR="00F34A09" w:rsidRPr="00056FDA" w:rsidRDefault="00F34A09" w:rsidP="00056FDA">
      <w:pPr>
        <w:pStyle w:val="Textonotapie"/>
        <w:jc w:val="both"/>
        <w:rPr>
          <w:rFonts w:ascii="Arial" w:hAnsi="Arial" w:cs="Arial"/>
          <w:sz w:val="18"/>
          <w:lang w:val="es-419"/>
        </w:rPr>
      </w:pPr>
      <w:r w:rsidRPr="00056FDA">
        <w:rPr>
          <w:rStyle w:val="Refdenotaalpie"/>
          <w:rFonts w:ascii="Arial" w:hAnsi="Arial" w:cs="Arial"/>
          <w:sz w:val="18"/>
        </w:rPr>
        <w:footnoteRef/>
      </w:r>
      <w:r w:rsidRPr="00056FDA">
        <w:rPr>
          <w:rFonts w:ascii="Arial" w:hAnsi="Arial" w:cs="Arial"/>
          <w:sz w:val="18"/>
        </w:rPr>
        <w:t xml:space="preserve"> </w:t>
      </w:r>
      <w:r w:rsidRPr="00056FDA">
        <w:rPr>
          <w:rFonts w:ascii="Arial" w:hAnsi="Arial" w:cs="Arial"/>
          <w:sz w:val="18"/>
          <w:lang w:val="es-419"/>
        </w:rPr>
        <w:t xml:space="preserve">Ib., </w:t>
      </w:r>
      <w:proofErr w:type="spellStart"/>
      <w:r w:rsidRPr="00056FDA">
        <w:rPr>
          <w:rFonts w:ascii="Arial" w:hAnsi="Arial" w:cs="Arial"/>
          <w:sz w:val="18"/>
          <w:lang w:val="es-419"/>
        </w:rPr>
        <w:t>arch</w:t>
      </w:r>
      <w:proofErr w:type="spellEnd"/>
      <w:r w:rsidRPr="00056FDA">
        <w:rPr>
          <w:rFonts w:ascii="Arial" w:hAnsi="Arial" w:cs="Arial"/>
          <w:sz w:val="18"/>
          <w:lang w:val="es-419"/>
        </w:rPr>
        <w:t>. 13</w:t>
      </w:r>
    </w:p>
  </w:footnote>
  <w:footnote w:id="12">
    <w:p w14:paraId="1DB6975B" w14:textId="586991DF" w:rsidR="00F34A09" w:rsidRPr="00056FDA" w:rsidRDefault="00F34A09" w:rsidP="00056FDA">
      <w:pPr>
        <w:pStyle w:val="Textonotapie"/>
        <w:jc w:val="both"/>
        <w:rPr>
          <w:rFonts w:ascii="Arial" w:hAnsi="Arial" w:cs="Arial"/>
          <w:sz w:val="18"/>
          <w:lang w:val="es-419"/>
        </w:rPr>
      </w:pPr>
      <w:r w:rsidRPr="00056FDA">
        <w:rPr>
          <w:rStyle w:val="Refdenotaalpie"/>
          <w:rFonts w:ascii="Arial" w:hAnsi="Arial" w:cs="Arial"/>
          <w:sz w:val="18"/>
        </w:rPr>
        <w:footnoteRef/>
      </w:r>
      <w:r w:rsidRPr="00056FDA">
        <w:rPr>
          <w:rFonts w:ascii="Arial" w:hAnsi="Arial" w:cs="Arial"/>
          <w:sz w:val="18"/>
        </w:rPr>
        <w:t xml:space="preserve"> </w:t>
      </w:r>
      <w:r w:rsidRPr="00056FDA">
        <w:rPr>
          <w:rFonts w:ascii="Arial" w:hAnsi="Arial" w:cs="Arial"/>
          <w:sz w:val="18"/>
          <w:lang w:val="es-419"/>
        </w:rPr>
        <w:t xml:space="preserve">Ib., </w:t>
      </w:r>
      <w:proofErr w:type="spellStart"/>
      <w:r w:rsidRPr="00056FDA">
        <w:rPr>
          <w:rFonts w:ascii="Arial" w:hAnsi="Arial" w:cs="Arial"/>
          <w:sz w:val="18"/>
          <w:lang w:val="es-419"/>
        </w:rPr>
        <w:t>arch</w:t>
      </w:r>
      <w:proofErr w:type="spellEnd"/>
      <w:r w:rsidRPr="00056FDA">
        <w:rPr>
          <w:rFonts w:ascii="Arial" w:hAnsi="Arial" w:cs="Arial"/>
          <w:sz w:val="18"/>
          <w:lang w:val="es-419"/>
        </w:rPr>
        <w:t>. 16</w:t>
      </w:r>
    </w:p>
  </w:footnote>
  <w:footnote w:id="13">
    <w:p w14:paraId="7A5AB925" w14:textId="0169A9D6" w:rsidR="00E25936" w:rsidRPr="00056FDA" w:rsidRDefault="00E25936" w:rsidP="00056FDA">
      <w:pPr>
        <w:pStyle w:val="Textonotapie"/>
        <w:jc w:val="both"/>
        <w:rPr>
          <w:rFonts w:ascii="Arial" w:hAnsi="Arial" w:cs="Arial"/>
          <w:sz w:val="18"/>
          <w:lang w:val="es-419"/>
        </w:rPr>
      </w:pPr>
      <w:r w:rsidRPr="00056FDA">
        <w:rPr>
          <w:rStyle w:val="Refdenotaalpie"/>
          <w:rFonts w:ascii="Arial" w:hAnsi="Arial" w:cs="Arial"/>
          <w:sz w:val="18"/>
        </w:rPr>
        <w:footnoteRef/>
      </w:r>
      <w:r w:rsidRPr="00056FDA">
        <w:rPr>
          <w:rFonts w:ascii="Arial" w:hAnsi="Arial" w:cs="Arial"/>
          <w:sz w:val="18"/>
        </w:rPr>
        <w:t xml:space="preserve"> </w:t>
      </w:r>
      <w:r w:rsidRPr="00056FDA">
        <w:rPr>
          <w:rFonts w:ascii="Arial" w:hAnsi="Arial" w:cs="Arial"/>
          <w:sz w:val="18"/>
          <w:lang w:val="es-419"/>
        </w:rPr>
        <w:t xml:space="preserve">Ib., </w:t>
      </w:r>
      <w:proofErr w:type="spellStart"/>
      <w:r w:rsidRPr="00056FDA">
        <w:rPr>
          <w:rFonts w:ascii="Arial" w:hAnsi="Arial" w:cs="Arial"/>
          <w:sz w:val="18"/>
          <w:lang w:val="es-419"/>
        </w:rPr>
        <w:t>arch</w:t>
      </w:r>
      <w:proofErr w:type="spellEnd"/>
      <w:r w:rsidRPr="00056FDA">
        <w:rPr>
          <w:rFonts w:ascii="Arial" w:hAnsi="Arial" w:cs="Arial"/>
          <w:sz w:val="18"/>
          <w:lang w:val="es-419"/>
        </w:rPr>
        <w:t>. 17, p. 2</w:t>
      </w:r>
    </w:p>
  </w:footnote>
  <w:footnote w:id="14">
    <w:p w14:paraId="52235746" w14:textId="0A382822" w:rsidR="00B4076B" w:rsidRPr="00056FDA" w:rsidRDefault="00B4076B" w:rsidP="00056FDA">
      <w:pPr>
        <w:pStyle w:val="Textonotapie"/>
        <w:jc w:val="both"/>
        <w:rPr>
          <w:rFonts w:ascii="Arial" w:hAnsi="Arial" w:cs="Arial"/>
          <w:sz w:val="18"/>
          <w:lang w:val="es-419"/>
        </w:rPr>
      </w:pPr>
      <w:r w:rsidRPr="00056FDA">
        <w:rPr>
          <w:rStyle w:val="Refdenotaalpie"/>
          <w:rFonts w:ascii="Arial" w:hAnsi="Arial" w:cs="Arial"/>
          <w:sz w:val="18"/>
        </w:rPr>
        <w:footnoteRef/>
      </w:r>
      <w:r w:rsidRPr="00056FDA">
        <w:rPr>
          <w:rFonts w:ascii="Arial" w:hAnsi="Arial" w:cs="Arial"/>
          <w:sz w:val="18"/>
        </w:rPr>
        <w:t xml:space="preserve"> Ib., </w:t>
      </w:r>
      <w:proofErr w:type="spellStart"/>
      <w:r w:rsidRPr="00056FDA">
        <w:rPr>
          <w:rFonts w:ascii="Arial" w:hAnsi="Arial" w:cs="Arial"/>
          <w:sz w:val="18"/>
        </w:rPr>
        <w:t>arch</w:t>
      </w:r>
      <w:proofErr w:type="spellEnd"/>
      <w:r w:rsidRPr="00056FDA">
        <w:rPr>
          <w:rFonts w:ascii="Arial" w:hAnsi="Arial" w:cs="Arial"/>
          <w:sz w:val="18"/>
        </w:rPr>
        <w:t>. 27 y 28</w:t>
      </w:r>
    </w:p>
  </w:footnote>
  <w:footnote w:id="15">
    <w:p w14:paraId="3592CA4C" w14:textId="1D093FE4" w:rsidR="000E12F9" w:rsidRPr="00056FDA" w:rsidRDefault="000E12F9"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Ib., </w:t>
      </w:r>
      <w:proofErr w:type="spellStart"/>
      <w:r w:rsidRPr="00056FDA">
        <w:rPr>
          <w:rFonts w:ascii="Arial" w:hAnsi="Arial" w:cs="Arial"/>
          <w:sz w:val="18"/>
        </w:rPr>
        <w:t>arch</w:t>
      </w:r>
      <w:proofErr w:type="spellEnd"/>
      <w:r w:rsidRPr="00056FDA">
        <w:rPr>
          <w:rFonts w:ascii="Arial" w:hAnsi="Arial" w:cs="Arial"/>
          <w:sz w:val="18"/>
        </w:rPr>
        <w:t>. 29</w:t>
      </w:r>
    </w:p>
  </w:footnote>
  <w:footnote w:id="16">
    <w:p w14:paraId="6D1557CE" w14:textId="77777777" w:rsidR="00617CF1" w:rsidRPr="00056FDA" w:rsidRDefault="00617CF1"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Sentencia del 19 de junio de 2018, radicado 2011-00193-01,</w:t>
      </w:r>
    </w:p>
  </w:footnote>
  <w:footnote w:id="17">
    <w:p w14:paraId="66D671F2" w14:textId="77777777" w:rsidR="00617CF1" w:rsidRPr="00056FDA" w:rsidRDefault="00617CF1"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Sentencia del 19 de junio de 2020, radicado 2019-00046-01, M.P. </w:t>
      </w:r>
      <w:proofErr w:type="spellStart"/>
      <w:r w:rsidRPr="00056FDA">
        <w:rPr>
          <w:rFonts w:ascii="Arial" w:hAnsi="Arial" w:cs="Arial"/>
          <w:sz w:val="18"/>
        </w:rPr>
        <w:t>Duberney</w:t>
      </w:r>
      <w:proofErr w:type="spellEnd"/>
      <w:r w:rsidRPr="00056FDA">
        <w:rPr>
          <w:rFonts w:ascii="Arial" w:hAnsi="Arial" w:cs="Arial"/>
          <w:sz w:val="18"/>
        </w:rPr>
        <w:t xml:space="preserve"> Grisales Herrera.</w:t>
      </w:r>
    </w:p>
  </w:footnote>
  <w:footnote w:id="18">
    <w:p w14:paraId="4BDE3159" w14:textId="77777777" w:rsidR="00617CF1" w:rsidRPr="00056FDA" w:rsidRDefault="00617CF1"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STC9587-2017, STC15273-2019, STC11328-2019 y STC100-2019</w:t>
      </w:r>
    </w:p>
  </w:footnote>
  <w:footnote w:id="19">
    <w:p w14:paraId="2617F468" w14:textId="5829AC6D" w:rsidR="00617CF1" w:rsidRPr="00056FDA" w:rsidRDefault="00617CF1"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SC2351-2019</w:t>
      </w:r>
      <w:r w:rsidR="00A82730" w:rsidRPr="00056FDA">
        <w:rPr>
          <w:rFonts w:ascii="Arial" w:hAnsi="Arial" w:cs="Arial"/>
          <w:sz w:val="18"/>
        </w:rPr>
        <w:t xml:space="preserve">; </w:t>
      </w:r>
      <w:r w:rsidR="00637CDB" w:rsidRPr="00056FDA">
        <w:rPr>
          <w:rFonts w:ascii="Arial" w:hAnsi="Arial" w:cs="Arial"/>
          <w:sz w:val="18"/>
        </w:rPr>
        <w:t xml:space="preserve">SC-3918-2021; </w:t>
      </w:r>
      <w:r w:rsidR="00A82730" w:rsidRPr="00056FDA">
        <w:rPr>
          <w:rFonts w:ascii="Arial" w:hAnsi="Arial" w:cs="Arial"/>
          <w:sz w:val="18"/>
        </w:rPr>
        <w:t>SC1303-2022</w:t>
      </w:r>
    </w:p>
  </w:footnote>
  <w:footnote w:id="20">
    <w:p w14:paraId="4DD440A4" w14:textId="5E4E5C98" w:rsidR="00EA6A4E" w:rsidRPr="00056FDA" w:rsidRDefault="00EA6A4E"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01PrimeraInstancia, 01CuadernoPrincipal, Cuaderno Principal </w:t>
      </w:r>
      <w:proofErr w:type="spellStart"/>
      <w:r w:rsidRPr="00056FDA">
        <w:rPr>
          <w:rFonts w:ascii="Arial" w:hAnsi="Arial" w:cs="Arial"/>
          <w:sz w:val="18"/>
        </w:rPr>
        <w:t>Vol</w:t>
      </w:r>
      <w:proofErr w:type="spellEnd"/>
      <w:r w:rsidRPr="00056FDA">
        <w:rPr>
          <w:rFonts w:ascii="Arial" w:hAnsi="Arial" w:cs="Arial"/>
          <w:sz w:val="18"/>
        </w:rPr>
        <w:t xml:space="preserve"> 1, </w:t>
      </w:r>
      <w:r w:rsidRPr="00056FDA">
        <w:rPr>
          <w:rStyle w:val="normaltextrun"/>
          <w:rFonts w:ascii="Arial" w:hAnsi="Arial" w:cs="Arial"/>
          <w:bCs/>
          <w:color w:val="000000"/>
          <w:sz w:val="18"/>
          <w:shd w:val="clear" w:color="auto" w:fill="FFFFFF"/>
        </w:rPr>
        <w:t>p. 6</w:t>
      </w:r>
    </w:p>
  </w:footnote>
  <w:footnote w:id="21">
    <w:p w14:paraId="7D8C3F85" w14:textId="47637F60" w:rsidR="00EA6A4E" w:rsidRPr="00056FDA" w:rsidRDefault="00EA6A4E"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Ib., p. 8</w:t>
      </w:r>
    </w:p>
  </w:footnote>
  <w:footnote w:id="22">
    <w:p w14:paraId="53A18CB4" w14:textId="787A6498" w:rsidR="009624F5" w:rsidRPr="00056FDA" w:rsidRDefault="009624F5"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Ib., p. 17</w:t>
      </w:r>
    </w:p>
  </w:footnote>
  <w:footnote w:id="23">
    <w:p w14:paraId="3F789C93" w14:textId="2A142DF5" w:rsidR="00753A85" w:rsidRPr="00056FDA" w:rsidRDefault="00753A85"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Ib., p. 21</w:t>
      </w:r>
    </w:p>
  </w:footnote>
  <w:footnote w:id="24">
    <w:p w14:paraId="5DF03D32" w14:textId="59BFFE84" w:rsidR="007A3694" w:rsidRPr="00056FDA" w:rsidRDefault="007A3694"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Ib., p. 32</w:t>
      </w:r>
    </w:p>
  </w:footnote>
  <w:footnote w:id="25">
    <w:p w14:paraId="75FA3475" w14:textId="2DAE6D30" w:rsidR="007A3694" w:rsidRPr="00056FDA" w:rsidRDefault="007A3694"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Ib., p. 18 y 19</w:t>
      </w:r>
    </w:p>
  </w:footnote>
  <w:footnote w:id="26">
    <w:p w14:paraId="07360A99" w14:textId="7426C9CE" w:rsidR="00712050" w:rsidRPr="00056FDA" w:rsidRDefault="00712050"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w:t>
      </w:r>
      <w:r w:rsidR="00C701A5" w:rsidRPr="00056FDA">
        <w:rPr>
          <w:rFonts w:ascii="Arial" w:hAnsi="Arial" w:cs="Arial"/>
          <w:sz w:val="18"/>
        </w:rPr>
        <w:t xml:space="preserve">01PrimeraInstancia, 01CuadernoPrincipal, </w:t>
      </w:r>
      <w:proofErr w:type="spellStart"/>
      <w:r w:rsidR="00FF4F86" w:rsidRPr="00056FDA">
        <w:rPr>
          <w:rFonts w:ascii="Arial" w:hAnsi="Arial" w:cs="Arial"/>
          <w:sz w:val="18"/>
        </w:rPr>
        <w:t>Arch</w:t>
      </w:r>
      <w:proofErr w:type="spellEnd"/>
      <w:r w:rsidR="00FF4F86" w:rsidRPr="00056FDA">
        <w:rPr>
          <w:rFonts w:ascii="Arial" w:hAnsi="Arial" w:cs="Arial"/>
          <w:sz w:val="18"/>
        </w:rPr>
        <w:t xml:space="preserve">. 27, </w:t>
      </w:r>
      <w:r w:rsidR="00C701A5" w:rsidRPr="00056FDA">
        <w:rPr>
          <w:rFonts w:ascii="Arial" w:hAnsi="Arial" w:cs="Arial"/>
          <w:sz w:val="18"/>
        </w:rPr>
        <w:t xml:space="preserve">minuto </w:t>
      </w:r>
      <w:r w:rsidR="00FF4F86" w:rsidRPr="00056FDA">
        <w:rPr>
          <w:rFonts w:ascii="Arial" w:hAnsi="Arial" w:cs="Arial"/>
          <w:sz w:val="18"/>
        </w:rPr>
        <w:t>00:37:28</w:t>
      </w:r>
    </w:p>
  </w:footnote>
  <w:footnote w:id="27">
    <w:p w14:paraId="18CAF851" w14:textId="6265B206" w:rsidR="00E81DF2" w:rsidRPr="00056FDA" w:rsidRDefault="00E81DF2"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Álvarez Gómez, Marco Antonio, Ensayos sobre el Código General del Proceso, V. II, ICDP, </w:t>
      </w:r>
      <w:r w:rsidR="0033013E" w:rsidRPr="00056FDA">
        <w:rPr>
          <w:rFonts w:ascii="Arial" w:hAnsi="Arial" w:cs="Arial"/>
          <w:sz w:val="18"/>
        </w:rPr>
        <w:t xml:space="preserve">Bogotá, </w:t>
      </w:r>
      <w:r w:rsidRPr="00056FDA">
        <w:rPr>
          <w:rFonts w:ascii="Arial" w:hAnsi="Arial" w:cs="Arial"/>
          <w:sz w:val="18"/>
        </w:rPr>
        <w:t>2015, p. 21</w:t>
      </w:r>
      <w:r w:rsidR="002B5ADE" w:rsidRPr="00056FDA">
        <w:rPr>
          <w:rFonts w:ascii="Arial" w:hAnsi="Arial" w:cs="Arial"/>
          <w:sz w:val="18"/>
        </w:rPr>
        <w:t>3</w:t>
      </w:r>
      <w:r w:rsidRPr="00056FDA">
        <w:rPr>
          <w:rFonts w:ascii="Arial" w:hAnsi="Arial" w:cs="Arial"/>
          <w:sz w:val="18"/>
        </w:rPr>
        <w:t xml:space="preserve">. </w:t>
      </w:r>
    </w:p>
  </w:footnote>
  <w:footnote w:id="28">
    <w:p w14:paraId="5B57A851" w14:textId="300ABC06" w:rsidR="00E81DF2" w:rsidRPr="00056FDA" w:rsidRDefault="00E81DF2"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w:t>
      </w:r>
      <w:r w:rsidR="00736DC9" w:rsidRPr="00056FDA">
        <w:rPr>
          <w:rFonts w:ascii="Arial" w:hAnsi="Arial" w:cs="Arial"/>
          <w:sz w:val="18"/>
        </w:rPr>
        <w:t xml:space="preserve">Rojas Gómez, Miguel Enrique, Lecciones de derecho procesal, T. 5, El proceso ejecutivo, ESAJU, </w:t>
      </w:r>
      <w:r w:rsidR="0033013E" w:rsidRPr="00056FDA">
        <w:rPr>
          <w:rFonts w:ascii="Arial" w:hAnsi="Arial" w:cs="Arial"/>
          <w:sz w:val="18"/>
        </w:rPr>
        <w:t xml:space="preserve">Bogotá, </w:t>
      </w:r>
      <w:r w:rsidR="00736DC9" w:rsidRPr="00056FDA">
        <w:rPr>
          <w:rFonts w:ascii="Arial" w:hAnsi="Arial" w:cs="Arial"/>
          <w:sz w:val="18"/>
        </w:rPr>
        <w:t xml:space="preserve">2019, p. 411 </w:t>
      </w:r>
    </w:p>
  </w:footnote>
  <w:footnote w:id="29">
    <w:p w14:paraId="290C8DCD" w14:textId="30DD5A6C" w:rsidR="00E81DF2" w:rsidRPr="00056FDA" w:rsidRDefault="00E81DF2"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w:t>
      </w:r>
      <w:r w:rsidR="00736DC9" w:rsidRPr="00056FDA">
        <w:rPr>
          <w:rFonts w:ascii="Arial" w:hAnsi="Arial" w:cs="Arial"/>
          <w:sz w:val="18"/>
        </w:rPr>
        <w:t xml:space="preserve">Bejarano Guzmán, Ramiro, Procesos declarativos, arbitrales y ejecutivos. Temis, Bogotá, 2016, p. </w:t>
      </w:r>
      <w:r w:rsidR="0033013E" w:rsidRPr="00056FDA">
        <w:rPr>
          <w:rFonts w:ascii="Arial" w:hAnsi="Arial" w:cs="Arial"/>
          <w:sz w:val="18"/>
        </w:rPr>
        <w:t>606</w:t>
      </w:r>
    </w:p>
  </w:footnote>
  <w:footnote w:id="30">
    <w:p w14:paraId="58421F86" w14:textId="22AEE3ED" w:rsidR="004B32CA" w:rsidRPr="00056FDA" w:rsidRDefault="004B32CA" w:rsidP="00056FDA">
      <w:pPr>
        <w:pStyle w:val="Textonotapie"/>
        <w:jc w:val="both"/>
        <w:rPr>
          <w:rFonts w:ascii="Arial" w:hAnsi="Arial" w:cs="Arial"/>
          <w:sz w:val="18"/>
        </w:rPr>
      </w:pPr>
      <w:r w:rsidRPr="00056FDA">
        <w:rPr>
          <w:rStyle w:val="Refdenotaalpie"/>
          <w:rFonts w:ascii="Arial" w:hAnsi="Arial" w:cs="Arial"/>
          <w:sz w:val="18"/>
        </w:rPr>
        <w:footnoteRef/>
      </w:r>
      <w:r w:rsidRPr="00056FDA">
        <w:rPr>
          <w:rFonts w:ascii="Arial" w:hAnsi="Arial" w:cs="Arial"/>
          <w:sz w:val="18"/>
        </w:rPr>
        <w:t xml:space="preserve"> Rojas Gómez, ob. cit. P. 411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5B"/>
    <w:multiLevelType w:val="hybridMultilevel"/>
    <w:tmpl w:val="8D462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47EB3"/>
    <w:multiLevelType w:val="hybridMultilevel"/>
    <w:tmpl w:val="53E63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EE6498"/>
    <w:multiLevelType w:val="hybridMultilevel"/>
    <w:tmpl w:val="CAAEFF90"/>
    <w:lvl w:ilvl="0" w:tplc="4650DD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2782C2B"/>
    <w:multiLevelType w:val="hybridMultilevel"/>
    <w:tmpl w:val="B8FE9322"/>
    <w:lvl w:ilvl="0" w:tplc="1024A1F4">
      <w:numFmt w:val="bullet"/>
      <w:lvlText w:val="-"/>
      <w:lvlJc w:val="left"/>
      <w:pPr>
        <w:ind w:left="720" w:hanging="360"/>
      </w:pPr>
      <w:rPr>
        <w:rFonts w:ascii="Gadugi" w:eastAsia="Malgun Gothic" w:hAnsi="Gadugi" w:cs="Estrangelo Edessa" w:hint="default"/>
        <w:b w:val="0"/>
        <w:color w:val="auto"/>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0C1ECC"/>
    <w:multiLevelType w:val="hybridMultilevel"/>
    <w:tmpl w:val="FC586280"/>
    <w:lvl w:ilvl="0" w:tplc="0C6CCF9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57C7946"/>
    <w:multiLevelType w:val="hybridMultilevel"/>
    <w:tmpl w:val="D8EA4382"/>
    <w:lvl w:ilvl="0" w:tplc="39C22042">
      <w:start w:val="1"/>
      <w:numFmt w:val="lowerRoman"/>
      <w:lvlText w:val="(%1)"/>
      <w:lvlJc w:val="left"/>
      <w:pPr>
        <w:ind w:left="2847" w:hanging="720"/>
      </w:pPr>
      <w:rPr>
        <w:rFonts w:hint="default"/>
      </w:rPr>
    </w:lvl>
    <w:lvl w:ilvl="1" w:tplc="580A0019" w:tentative="1">
      <w:start w:val="1"/>
      <w:numFmt w:val="lowerLetter"/>
      <w:lvlText w:val="%2."/>
      <w:lvlJc w:val="left"/>
      <w:pPr>
        <w:ind w:left="2490" w:hanging="360"/>
      </w:pPr>
    </w:lvl>
    <w:lvl w:ilvl="2" w:tplc="580A001B" w:tentative="1">
      <w:start w:val="1"/>
      <w:numFmt w:val="lowerRoman"/>
      <w:lvlText w:val="%3."/>
      <w:lvlJc w:val="right"/>
      <w:pPr>
        <w:ind w:left="3210" w:hanging="180"/>
      </w:pPr>
    </w:lvl>
    <w:lvl w:ilvl="3" w:tplc="580A000F" w:tentative="1">
      <w:start w:val="1"/>
      <w:numFmt w:val="decimal"/>
      <w:lvlText w:val="%4."/>
      <w:lvlJc w:val="left"/>
      <w:pPr>
        <w:ind w:left="3930" w:hanging="360"/>
      </w:pPr>
    </w:lvl>
    <w:lvl w:ilvl="4" w:tplc="580A0019" w:tentative="1">
      <w:start w:val="1"/>
      <w:numFmt w:val="lowerLetter"/>
      <w:lvlText w:val="%5."/>
      <w:lvlJc w:val="left"/>
      <w:pPr>
        <w:ind w:left="4650" w:hanging="360"/>
      </w:pPr>
    </w:lvl>
    <w:lvl w:ilvl="5" w:tplc="580A001B" w:tentative="1">
      <w:start w:val="1"/>
      <w:numFmt w:val="lowerRoman"/>
      <w:lvlText w:val="%6."/>
      <w:lvlJc w:val="right"/>
      <w:pPr>
        <w:ind w:left="5370" w:hanging="180"/>
      </w:pPr>
    </w:lvl>
    <w:lvl w:ilvl="6" w:tplc="580A000F" w:tentative="1">
      <w:start w:val="1"/>
      <w:numFmt w:val="decimal"/>
      <w:lvlText w:val="%7."/>
      <w:lvlJc w:val="left"/>
      <w:pPr>
        <w:ind w:left="6090" w:hanging="360"/>
      </w:pPr>
    </w:lvl>
    <w:lvl w:ilvl="7" w:tplc="580A0019" w:tentative="1">
      <w:start w:val="1"/>
      <w:numFmt w:val="lowerLetter"/>
      <w:lvlText w:val="%8."/>
      <w:lvlJc w:val="left"/>
      <w:pPr>
        <w:ind w:left="6810" w:hanging="360"/>
      </w:pPr>
    </w:lvl>
    <w:lvl w:ilvl="8" w:tplc="580A001B" w:tentative="1">
      <w:start w:val="1"/>
      <w:numFmt w:val="lowerRoman"/>
      <w:lvlText w:val="%9."/>
      <w:lvlJc w:val="right"/>
      <w:pPr>
        <w:ind w:left="7530" w:hanging="180"/>
      </w:pPr>
    </w:lvl>
  </w:abstractNum>
  <w:abstractNum w:abstractNumId="6" w15:restartNumberingAfterBreak="0">
    <w:nsid w:val="16724A72"/>
    <w:multiLevelType w:val="hybridMultilevel"/>
    <w:tmpl w:val="EF9491FE"/>
    <w:lvl w:ilvl="0" w:tplc="C8D62E98">
      <w:numFmt w:val="bullet"/>
      <w:lvlText w:val="-"/>
      <w:lvlJc w:val="left"/>
      <w:pPr>
        <w:ind w:left="1068" w:hanging="360"/>
      </w:pPr>
      <w:rPr>
        <w:rFonts w:ascii="Calibri" w:eastAsiaTheme="minorHAnsi" w:hAnsi="Calibri" w:cstheme="minorBidi" w:hint="default"/>
        <w:sz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8094AB0"/>
    <w:multiLevelType w:val="hybridMultilevel"/>
    <w:tmpl w:val="D7B4B652"/>
    <w:lvl w:ilvl="0" w:tplc="D99CC86A">
      <w:start w:val="1"/>
      <w:numFmt w:val="decimal"/>
      <w:lvlText w:val="%1."/>
      <w:lvlJc w:val="left"/>
      <w:pPr>
        <w:ind w:left="1776" w:hanging="360"/>
      </w:pPr>
      <w:rPr>
        <w:rFonts w:ascii="Gadugi" w:eastAsia="Malgun Gothic" w:hAnsi="Gadugi" w:cs="Estrangelo Edess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1AC41421"/>
    <w:multiLevelType w:val="hybridMultilevel"/>
    <w:tmpl w:val="8EB41C08"/>
    <w:lvl w:ilvl="0" w:tplc="C39E39B6">
      <w:start w:val="18"/>
      <w:numFmt w:val="bullet"/>
      <w:lvlText w:val="-"/>
      <w:lvlJc w:val="left"/>
      <w:pPr>
        <w:ind w:left="1068" w:hanging="360"/>
      </w:pPr>
      <w:rPr>
        <w:rFonts w:ascii="Gadugi" w:eastAsia="Times New Roman" w:hAnsi="Gadugi"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C837B49"/>
    <w:multiLevelType w:val="hybridMultilevel"/>
    <w:tmpl w:val="11FC5B7A"/>
    <w:lvl w:ilvl="0" w:tplc="C8E6C5AC">
      <w:start w:val="20"/>
      <w:numFmt w:val="bullet"/>
      <w:lvlText w:val="-"/>
      <w:lvlJc w:val="left"/>
      <w:pPr>
        <w:ind w:left="720" w:hanging="360"/>
      </w:pPr>
      <w:rPr>
        <w:rFonts w:ascii="Gadugi" w:eastAsia="Malgun Gothic" w:hAnsi="Gadugi" w:cs="Estrangelo Edess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245FB2"/>
    <w:multiLevelType w:val="hybridMultilevel"/>
    <w:tmpl w:val="C02AB104"/>
    <w:lvl w:ilvl="0" w:tplc="070A86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E844687"/>
    <w:multiLevelType w:val="hybridMultilevel"/>
    <w:tmpl w:val="D9484B56"/>
    <w:lvl w:ilvl="0" w:tplc="D012B9A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311A793F"/>
    <w:multiLevelType w:val="hybridMultilevel"/>
    <w:tmpl w:val="AC4A2B94"/>
    <w:lvl w:ilvl="0" w:tplc="CB3676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32C26D68"/>
    <w:multiLevelType w:val="hybridMultilevel"/>
    <w:tmpl w:val="41B6774C"/>
    <w:lvl w:ilvl="0" w:tplc="852EB89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3B2546D0"/>
    <w:multiLevelType w:val="hybridMultilevel"/>
    <w:tmpl w:val="68AC1C74"/>
    <w:lvl w:ilvl="0" w:tplc="23BC4646">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52010B"/>
    <w:multiLevelType w:val="multilevel"/>
    <w:tmpl w:val="B01CB714"/>
    <w:lvl w:ilvl="0">
      <w:start w:val="1"/>
      <w:numFmt w:val="decimal"/>
      <w:lvlText w:val="%1."/>
      <w:lvlJc w:val="left"/>
      <w:pPr>
        <w:ind w:left="3195" w:hanging="360"/>
      </w:pPr>
    </w:lvl>
    <w:lvl w:ilvl="1">
      <w:start w:val="1"/>
      <w:numFmt w:val="decimal"/>
      <w:isLgl/>
      <w:lvlText w:val="%1.%2."/>
      <w:lvlJc w:val="left"/>
      <w:pPr>
        <w:ind w:left="3981" w:hanging="720"/>
      </w:pPr>
      <w:rPr>
        <w:rFonts w:ascii="Georgia" w:hAnsi="Georgia" w:hint="default"/>
        <w:b w:val="0"/>
        <w:bCs/>
        <w:i w:val="0"/>
        <w:color w:val="auto"/>
        <w:sz w:val="26"/>
        <w:szCs w:val="26"/>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16" w15:restartNumberingAfterBreak="0">
    <w:nsid w:val="3EDA773E"/>
    <w:multiLevelType w:val="multilevel"/>
    <w:tmpl w:val="A06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F693E"/>
    <w:multiLevelType w:val="hybridMultilevel"/>
    <w:tmpl w:val="5B263AA4"/>
    <w:lvl w:ilvl="0" w:tplc="C5FE31C2">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44844CE7"/>
    <w:multiLevelType w:val="hybridMultilevel"/>
    <w:tmpl w:val="8EA4CB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906BF1"/>
    <w:multiLevelType w:val="hybridMultilevel"/>
    <w:tmpl w:val="F3269C36"/>
    <w:lvl w:ilvl="0" w:tplc="16AAFBC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473B59B2"/>
    <w:multiLevelType w:val="hybridMultilevel"/>
    <w:tmpl w:val="E0363808"/>
    <w:lvl w:ilvl="0" w:tplc="C3F40BE0">
      <w:start w:val="1"/>
      <w:numFmt w:val="decimal"/>
      <w:lvlText w:val="%1."/>
      <w:lvlJc w:val="left"/>
      <w:pPr>
        <w:ind w:left="3915" w:hanging="360"/>
      </w:pPr>
      <w:rPr>
        <w:rFonts w:hint="default"/>
      </w:rPr>
    </w:lvl>
    <w:lvl w:ilvl="1" w:tplc="040A0019" w:tentative="1">
      <w:start w:val="1"/>
      <w:numFmt w:val="lowerLetter"/>
      <w:lvlText w:val="%2."/>
      <w:lvlJc w:val="left"/>
      <w:pPr>
        <w:ind w:left="4635" w:hanging="360"/>
      </w:pPr>
    </w:lvl>
    <w:lvl w:ilvl="2" w:tplc="040A001B" w:tentative="1">
      <w:start w:val="1"/>
      <w:numFmt w:val="lowerRoman"/>
      <w:lvlText w:val="%3."/>
      <w:lvlJc w:val="right"/>
      <w:pPr>
        <w:ind w:left="5355" w:hanging="180"/>
      </w:pPr>
    </w:lvl>
    <w:lvl w:ilvl="3" w:tplc="040A000F" w:tentative="1">
      <w:start w:val="1"/>
      <w:numFmt w:val="decimal"/>
      <w:lvlText w:val="%4."/>
      <w:lvlJc w:val="left"/>
      <w:pPr>
        <w:ind w:left="6075" w:hanging="360"/>
      </w:pPr>
    </w:lvl>
    <w:lvl w:ilvl="4" w:tplc="040A0019" w:tentative="1">
      <w:start w:val="1"/>
      <w:numFmt w:val="lowerLetter"/>
      <w:lvlText w:val="%5."/>
      <w:lvlJc w:val="left"/>
      <w:pPr>
        <w:ind w:left="6795" w:hanging="360"/>
      </w:pPr>
    </w:lvl>
    <w:lvl w:ilvl="5" w:tplc="040A001B" w:tentative="1">
      <w:start w:val="1"/>
      <w:numFmt w:val="lowerRoman"/>
      <w:lvlText w:val="%6."/>
      <w:lvlJc w:val="right"/>
      <w:pPr>
        <w:ind w:left="7515" w:hanging="180"/>
      </w:pPr>
    </w:lvl>
    <w:lvl w:ilvl="6" w:tplc="040A000F" w:tentative="1">
      <w:start w:val="1"/>
      <w:numFmt w:val="decimal"/>
      <w:lvlText w:val="%7."/>
      <w:lvlJc w:val="left"/>
      <w:pPr>
        <w:ind w:left="8235" w:hanging="360"/>
      </w:pPr>
    </w:lvl>
    <w:lvl w:ilvl="7" w:tplc="040A0019" w:tentative="1">
      <w:start w:val="1"/>
      <w:numFmt w:val="lowerLetter"/>
      <w:lvlText w:val="%8."/>
      <w:lvlJc w:val="left"/>
      <w:pPr>
        <w:ind w:left="8955" w:hanging="360"/>
      </w:pPr>
    </w:lvl>
    <w:lvl w:ilvl="8" w:tplc="040A001B" w:tentative="1">
      <w:start w:val="1"/>
      <w:numFmt w:val="lowerRoman"/>
      <w:lvlText w:val="%9."/>
      <w:lvlJc w:val="right"/>
      <w:pPr>
        <w:ind w:left="9675" w:hanging="180"/>
      </w:pPr>
    </w:lvl>
  </w:abstractNum>
  <w:abstractNum w:abstractNumId="21" w15:restartNumberingAfterBreak="0">
    <w:nsid w:val="476072E5"/>
    <w:multiLevelType w:val="hybridMultilevel"/>
    <w:tmpl w:val="901E3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6E0CBB"/>
    <w:multiLevelType w:val="hybridMultilevel"/>
    <w:tmpl w:val="DFC06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416685"/>
    <w:multiLevelType w:val="hybridMultilevel"/>
    <w:tmpl w:val="B2C483C2"/>
    <w:lvl w:ilvl="0" w:tplc="3FD06AE8">
      <w:start w:val="4"/>
      <w:numFmt w:val="bullet"/>
      <w:lvlText w:val="-"/>
      <w:lvlJc w:val="left"/>
      <w:pPr>
        <w:ind w:left="1068" w:hanging="360"/>
      </w:pPr>
      <w:rPr>
        <w:rFonts w:ascii="Gadugi" w:eastAsiaTheme="minorHAnsi" w:hAnsi="Gadugi" w:cs="Times New Roman (Cuerpo en alfa"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4" w15:restartNumberingAfterBreak="0">
    <w:nsid w:val="615011CD"/>
    <w:multiLevelType w:val="hybridMultilevel"/>
    <w:tmpl w:val="6588B0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521AFD"/>
    <w:multiLevelType w:val="hybridMultilevel"/>
    <w:tmpl w:val="3DB2325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6" w15:restartNumberingAfterBreak="0">
    <w:nsid w:val="6C3F012E"/>
    <w:multiLevelType w:val="hybridMultilevel"/>
    <w:tmpl w:val="7D768572"/>
    <w:lvl w:ilvl="0" w:tplc="9870A94C">
      <w:start w:val="1"/>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789A7C15"/>
    <w:multiLevelType w:val="hybridMultilevel"/>
    <w:tmpl w:val="627E11D0"/>
    <w:lvl w:ilvl="0" w:tplc="B0869E0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15:restartNumberingAfterBreak="0">
    <w:nsid w:val="7C31441B"/>
    <w:multiLevelType w:val="hybridMultilevel"/>
    <w:tmpl w:val="BFE0A6CA"/>
    <w:lvl w:ilvl="0" w:tplc="8ADEFFEC">
      <w:start w:val="1"/>
      <w:numFmt w:val="lowerRoman"/>
      <w:lvlText w:val="(%1)"/>
      <w:lvlJc w:val="left"/>
      <w:pPr>
        <w:ind w:left="2421" w:hanging="720"/>
      </w:pPr>
      <w:rPr>
        <w:rFonts w:hint="default"/>
      </w:rPr>
    </w:lvl>
    <w:lvl w:ilvl="1" w:tplc="580A0019" w:tentative="1">
      <w:start w:val="1"/>
      <w:numFmt w:val="lowerLetter"/>
      <w:lvlText w:val="%2."/>
      <w:lvlJc w:val="left"/>
      <w:pPr>
        <w:ind w:left="2781" w:hanging="360"/>
      </w:pPr>
    </w:lvl>
    <w:lvl w:ilvl="2" w:tplc="580A001B" w:tentative="1">
      <w:start w:val="1"/>
      <w:numFmt w:val="lowerRoman"/>
      <w:lvlText w:val="%3."/>
      <w:lvlJc w:val="right"/>
      <w:pPr>
        <w:ind w:left="3501" w:hanging="180"/>
      </w:pPr>
    </w:lvl>
    <w:lvl w:ilvl="3" w:tplc="580A000F" w:tentative="1">
      <w:start w:val="1"/>
      <w:numFmt w:val="decimal"/>
      <w:lvlText w:val="%4."/>
      <w:lvlJc w:val="left"/>
      <w:pPr>
        <w:ind w:left="4221" w:hanging="360"/>
      </w:pPr>
    </w:lvl>
    <w:lvl w:ilvl="4" w:tplc="580A0019" w:tentative="1">
      <w:start w:val="1"/>
      <w:numFmt w:val="lowerLetter"/>
      <w:lvlText w:val="%5."/>
      <w:lvlJc w:val="left"/>
      <w:pPr>
        <w:ind w:left="4941" w:hanging="360"/>
      </w:pPr>
    </w:lvl>
    <w:lvl w:ilvl="5" w:tplc="580A001B" w:tentative="1">
      <w:start w:val="1"/>
      <w:numFmt w:val="lowerRoman"/>
      <w:lvlText w:val="%6."/>
      <w:lvlJc w:val="right"/>
      <w:pPr>
        <w:ind w:left="5661" w:hanging="180"/>
      </w:pPr>
    </w:lvl>
    <w:lvl w:ilvl="6" w:tplc="580A000F" w:tentative="1">
      <w:start w:val="1"/>
      <w:numFmt w:val="decimal"/>
      <w:lvlText w:val="%7."/>
      <w:lvlJc w:val="left"/>
      <w:pPr>
        <w:ind w:left="6381" w:hanging="360"/>
      </w:pPr>
    </w:lvl>
    <w:lvl w:ilvl="7" w:tplc="580A0019" w:tentative="1">
      <w:start w:val="1"/>
      <w:numFmt w:val="lowerLetter"/>
      <w:lvlText w:val="%8."/>
      <w:lvlJc w:val="left"/>
      <w:pPr>
        <w:ind w:left="7101" w:hanging="360"/>
      </w:pPr>
    </w:lvl>
    <w:lvl w:ilvl="8" w:tplc="580A001B" w:tentative="1">
      <w:start w:val="1"/>
      <w:numFmt w:val="lowerRoman"/>
      <w:lvlText w:val="%9."/>
      <w:lvlJc w:val="right"/>
      <w:pPr>
        <w:ind w:left="782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5"/>
  </w:num>
  <w:num w:numId="4">
    <w:abstractNumId w:val="23"/>
  </w:num>
  <w:num w:numId="5">
    <w:abstractNumId w:val="16"/>
  </w:num>
  <w:num w:numId="6">
    <w:abstractNumId w:val="8"/>
  </w:num>
  <w:num w:numId="7">
    <w:abstractNumId w:val="9"/>
  </w:num>
  <w:num w:numId="8">
    <w:abstractNumId w:val="19"/>
  </w:num>
  <w:num w:numId="9">
    <w:abstractNumId w:val="27"/>
  </w:num>
  <w:num w:numId="10">
    <w:abstractNumId w:val="1"/>
  </w:num>
  <w:num w:numId="11">
    <w:abstractNumId w:val="0"/>
  </w:num>
  <w:num w:numId="12">
    <w:abstractNumId w:val="22"/>
  </w:num>
  <w:num w:numId="13">
    <w:abstractNumId w:val="10"/>
  </w:num>
  <w:num w:numId="14">
    <w:abstractNumId w:val="7"/>
  </w:num>
  <w:num w:numId="15">
    <w:abstractNumId w:val="11"/>
  </w:num>
  <w:num w:numId="16">
    <w:abstractNumId w:val="13"/>
  </w:num>
  <w:num w:numId="17">
    <w:abstractNumId w:val="2"/>
  </w:num>
  <w:num w:numId="18">
    <w:abstractNumId w:val="17"/>
  </w:num>
  <w:num w:numId="19">
    <w:abstractNumId w:val="21"/>
  </w:num>
  <w:num w:numId="20">
    <w:abstractNumId w:val="3"/>
  </w:num>
  <w:num w:numId="21">
    <w:abstractNumId w:val="12"/>
  </w:num>
  <w:num w:numId="22">
    <w:abstractNumId w:val="6"/>
  </w:num>
  <w:num w:numId="23">
    <w:abstractNumId w:val="14"/>
  </w:num>
  <w:num w:numId="24">
    <w:abstractNumId w:val="24"/>
  </w:num>
  <w:num w:numId="25">
    <w:abstractNumId w:val="18"/>
  </w:num>
  <w:num w:numId="26">
    <w:abstractNumId w:val="26"/>
  </w:num>
  <w:num w:numId="27">
    <w:abstractNumId w:val="5"/>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F1"/>
    <w:rsid w:val="00001F56"/>
    <w:rsid w:val="000020BA"/>
    <w:rsid w:val="00003BCB"/>
    <w:rsid w:val="00004872"/>
    <w:rsid w:val="00005EAD"/>
    <w:rsid w:val="0001427B"/>
    <w:rsid w:val="000153AB"/>
    <w:rsid w:val="00015953"/>
    <w:rsid w:val="0002545C"/>
    <w:rsid w:val="00025774"/>
    <w:rsid w:val="0002641A"/>
    <w:rsid w:val="0002737E"/>
    <w:rsid w:val="00032A8F"/>
    <w:rsid w:val="0003408B"/>
    <w:rsid w:val="00035247"/>
    <w:rsid w:val="0003572B"/>
    <w:rsid w:val="00036B62"/>
    <w:rsid w:val="000378B7"/>
    <w:rsid w:val="000418AC"/>
    <w:rsid w:val="00042375"/>
    <w:rsid w:val="00042E3D"/>
    <w:rsid w:val="00044006"/>
    <w:rsid w:val="00045D67"/>
    <w:rsid w:val="00045F50"/>
    <w:rsid w:val="00050F5D"/>
    <w:rsid w:val="0005108E"/>
    <w:rsid w:val="00051AFE"/>
    <w:rsid w:val="00051F03"/>
    <w:rsid w:val="00053A37"/>
    <w:rsid w:val="00055152"/>
    <w:rsid w:val="000567F6"/>
    <w:rsid w:val="00056FDA"/>
    <w:rsid w:val="00061884"/>
    <w:rsid w:val="00062945"/>
    <w:rsid w:val="000631CD"/>
    <w:rsid w:val="00064778"/>
    <w:rsid w:val="00064B08"/>
    <w:rsid w:val="00064F4D"/>
    <w:rsid w:val="00071F09"/>
    <w:rsid w:val="000736F0"/>
    <w:rsid w:val="00073954"/>
    <w:rsid w:val="00073C82"/>
    <w:rsid w:val="00074586"/>
    <w:rsid w:val="00074C3B"/>
    <w:rsid w:val="00075E4B"/>
    <w:rsid w:val="000836EA"/>
    <w:rsid w:val="000843DA"/>
    <w:rsid w:val="00084CF7"/>
    <w:rsid w:val="00087E99"/>
    <w:rsid w:val="000906E2"/>
    <w:rsid w:val="00093E37"/>
    <w:rsid w:val="0009755D"/>
    <w:rsid w:val="000A2E40"/>
    <w:rsid w:val="000A30C5"/>
    <w:rsid w:val="000A4AF4"/>
    <w:rsid w:val="000A7BC9"/>
    <w:rsid w:val="000B272A"/>
    <w:rsid w:val="000B31E0"/>
    <w:rsid w:val="000B4D33"/>
    <w:rsid w:val="000B53D9"/>
    <w:rsid w:val="000B7316"/>
    <w:rsid w:val="000C30B7"/>
    <w:rsid w:val="000C3CB3"/>
    <w:rsid w:val="000C4F48"/>
    <w:rsid w:val="000D3508"/>
    <w:rsid w:val="000D3BCA"/>
    <w:rsid w:val="000D3C3A"/>
    <w:rsid w:val="000D5E45"/>
    <w:rsid w:val="000D5E83"/>
    <w:rsid w:val="000D76F7"/>
    <w:rsid w:val="000E0BED"/>
    <w:rsid w:val="000E12F9"/>
    <w:rsid w:val="000E3927"/>
    <w:rsid w:val="000E748D"/>
    <w:rsid w:val="000F0366"/>
    <w:rsid w:val="000F0AF3"/>
    <w:rsid w:val="000F0D2A"/>
    <w:rsid w:val="000F3212"/>
    <w:rsid w:val="000F66EC"/>
    <w:rsid w:val="00100A3E"/>
    <w:rsid w:val="001019AB"/>
    <w:rsid w:val="00102298"/>
    <w:rsid w:val="001024A0"/>
    <w:rsid w:val="001025CD"/>
    <w:rsid w:val="00105BCA"/>
    <w:rsid w:val="0010684B"/>
    <w:rsid w:val="00107A96"/>
    <w:rsid w:val="001128D8"/>
    <w:rsid w:val="00112B86"/>
    <w:rsid w:val="00115A5F"/>
    <w:rsid w:val="00124711"/>
    <w:rsid w:val="00124A18"/>
    <w:rsid w:val="00125A59"/>
    <w:rsid w:val="001312E5"/>
    <w:rsid w:val="00134819"/>
    <w:rsid w:val="00135841"/>
    <w:rsid w:val="0013635D"/>
    <w:rsid w:val="00137406"/>
    <w:rsid w:val="00137524"/>
    <w:rsid w:val="00137CF1"/>
    <w:rsid w:val="00142898"/>
    <w:rsid w:val="00142B53"/>
    <w:rsid w:val="00144488"/>
    <w:rsid w:val="001445AB"/>
    <w:rsid w:val="00144D55"/>
    <w:rsid w:val="00147B2C"/>
    <w:rsid w:val="00155FDD"/>
    <w:rsid w:val="001601CF"/>
    <w:rsid w:val="00162142"/>
    <w:rsid w:val="00162D62"/>
    <w:rsid w:val="00164000"/>
    <w:rsid w:val="00165BBE"/>
    <w:rsid w:val="0016691A"/>
    <w:rsid w:val="00171601"/>
    <w:rsid w:val="001717FC"/>
    <w:rsid w:val="00172FCA"/>
    <w:rsid w:val="00175167"/>
    <w:rsid w:val="00177E59"/>
    <w:rsid w:val="00177F37"/>
    <w:rsid w:val="00177FED"/>
    <w:rsid w:val="00180356"/>
    <w:rsid w:val="00181112"/>
    <w:rsid w:val="001815E1"/>
    <w:rsid w:val="00184B76"/>
    <w:rsid w:val="00185375"/>
    <w:rsid w:val="00186475"/>
    <w:rsid w:val="001871C9"/>
    <w:rsid w:val="001875F5"/>
    <w:rsid w:val="00193EAA"/>
    <w:rsid w:val="00194D1D"/>
    <w:rsid w:val="00195549"/>
    <w:rsid w:val="001967D4"/>
    <w:rsid w:val="00196F44"/>
    <w:rsid w:val="001A2442"/>
    <w:rsid w:val="001A4A3E"/>
    <w:rsid w:val="001A5845"/>
    <w:rsid w:val="001A6953"/>
    <w:rsid w:val="001B2A65"/>
    <w:rsid w:val="001B39FE"/>
    <w:rsid w:val="001B5FD6"/>
    <w:rsid w:val="001C2919"/>
    <w:rsid w:val="001C4934"/>
    <w:rsid w:val="001C4D0E"/>
    <w:rsid w:val="001C509E"/>
    <w:rsid w:val="001C50E8"/>
    <w:rsid w:val="001C66F0"/>
    <w:rsid w:val="001C7387"/>
    <w:rsid w:val="001D23C4"/>
    <w:rsid w:val="001D6D4A"/>
    <w:rsid w:val="001D7FA9"/>
    <w:rsid w:val="001E207A"/>
    <w:rsid w:val="001E5522"/>
    <w:rsid w:val="001E6187"/>
    <w:rsid w:val="001F27A2"/>
    <w:rsid w:val="001F6B81"/>
    <w:rsid w:val="001F70F5"/>
    <w:rsid w:val="0020043B"/>
    <w:rsid w:val="00201281"/>
    <w:rsid w:val="002021B2"/>
    <w:rsid w:val="00205EBD"/>
    <w:rsid w:val="002101C1"/>
    <w:rsid w:val="00210A79"/>
    <w:rsid w:val="00210B91"/>
    <w:rsid w:val="00211CD3"/>
    <w:rsid w:val="002134FA"/>
    <w:rsid w:val="0021380C"/>
    <w:rsid w:val="002156B4"/>
    <w:rsid w:val="00215F50"/>
    <w:rsid w:val="00216C35"/>
    <w:rsid w:val="00222289"/>
    <w:rsid w:val="00222BE6"/>
    <w:rsid w:val="002259B7"/>
    <w:rsid w:val="002271F1"/>
    <w:rsid w:val="0023005A"/>
    <w:rsid w:val="002408B9"/>
    <w:rsid w:val="00242641"/>
    <w:rsid w:val="00244CA3"/>
    <w:rsid w:val="00244E2F"/>
    <w:rsid w:val="00244F5F"/>
    <w:rsid w:val="00245736"/>
    <w:rsid w:val="00250415"/>
    <w:rsid w:val="00250ED2"/>
    <w:rsid w:val="00252C51"/>
    <w:rsid w:val="00255B41"/>
    <w:rsid w:val="00256C88"/>
    <w:rsid w:val="00261AFA"/>
    <w:rsid w:val="00264C85"/>
    <w:rsid w:val="00265EC9"/>
    <w:rsid w:val="00266E56"/>
    <w:rsid w:val="00271F6F"/>
    <w:rsid w:val="00276625"/>
    <w:rsid w:val="00280F03"/>
    <w:rsid w:val="00281CEE"/>
    <w:rsid w:val="002869FF"/>
    <w:rsid w:val="00290A05"/>
    <w:rsid w:val="00291791"/>
    <w:rsid w:val="00293A41"/>
    <w:rsid w:val="00294763"/>
    <w:rsid w:val="00294B3A"/>
    <w:rsid w:val="00295FCB"/>
    <w:rsid w:val="002966E1"/>
    <w:rsid w:val="00296805"/>
    <w:rsid w:val="0029683A"/>
    <w:rsid w:val="002A0193"/>
    <w:rsid w:val="002A32F6"/>
    <w:rsid w:val="002A35C1"/>
    <w:rsid w:val="002A537C"/>
    <w:rsid w:val="002A6EEC"/>
    <w:rsid w:val="002B2813"/>
    <w:rsid w:val="002B3DC8"/>
    <w:rsid w:val="002B5A39"/>
    <w:rsid w:val="002B5ADE"/>
    <w:rsid w:val="002B5B44"/>
    <w:rsid w:val="002B7989"/>
    <w:rsid w:val="002B79FF"/>
    <w:rsid w:val="002C08B5"/>
    <w:rsid w:val="002C3E13"/>
    <w:rsid w:val="002C4FE6"/>
    <w:rsid w:val="002C6D2A"/>
    <w:rsid w:val="002D1069"/>
    <w:rsid w:val="002D4618"/>
    <w:rsid w:val="002D6BD3"/>
    <w:rsid w:val="002E2B19"/>
    <w:rsid w:val="002E4D4F"/>
    <w:rsid w:val="002E7666"/>
    <w:rsid w:val="002F1D47"/>
    <w:rsid w:val="002F38EF"/>
    <w:rsid w:val="002F7734"/>
    <w:rsid w:val="003012E5"/>
    <w:rsid w:val="00301B78"/>
    <w:rsid w:val="00303E02"/>
    <w:rsid w:val="00311032"/>
    <w:rsid w:val="00311A0E"/>
    <w:rsid w:val="00315197"/>
    <w:rsid w:val="0031575F"/>
    <w:rsid w:val="00315AA1"/>
    <w:rsid w:val="00316831"/>
    <w:rsid w:val="003206AE"/>
    <w:rsid w:val="0032153B"/>
    <w:rsid w:val="00321A4C"/>
    <w:rsid w:val="00321F4F"/>
    <w:rsid w:val="00324FD1"/>
    <w:rsid w:val="0032792B"/>
    <w:rsid w:val="0033013E"/>
    <w:rsid w:val="00333D2A"/>
    <w:rsid w:val="003354E8"/>
    <w:rsid w:val="003364B7"/>
    <w:rsid w:val="00336D26"/>
    <w:rsid w:val="00337E64"/>
    <w:rsid w:val="00340A93"/>
    <w:rsid w:val="00341209"/>
    <w:rsid w:val="003416ED"/>
    <w:rsid w:val="00342343"/>
    <w:rsid w:val="00345E0B"/>
    <w:rsid w:val="0035037A"/>
    <w:rsid w:val="0035082B"/>
    <w:rsid w:val="00353A39"/>
    <w:rsid w:val="0035487E"/>
    <w:rsid w:val="0035736C"/>
    <w:rsid w:val="003621F9"/>
    <w:rsid w:val="003631B0"/>
    <w:rsid w:val="00364732"/>
    <w:rsid w:val="00367C81"/>
    <w:rsid w:val="0037267B"/>
    <w:rsid w:val="003750A4"/>
    <w:rsid w:val="00375A5C"/>
    <w:rsid w:val="00377480"/>
    <w:rsid w:val="00380199"/>
    <w:rsid w:val="003832E4"/>
    <w:rsid w:val="0038415A"/>
    <w:rsid w:val="003872B8"/>
    <w:rsid w:val="00396331"/>
    <w:rsid w:val="003A1C89"/>
    <w:rsid w:val="003A2713"/>
    <w:rsid w:val="003A39DD"/>
    <w:rsid w:val="003A45B9"/>
    <w:rsid w:val="003B1F8E"/>
    <w:rsid w:val="003B4671"/>
    <w:rsid w:val="003C7A65"/>
    <w:rsid w:val="003D11A2"/>
    <w:rsid w:val="003D2AD5"/>
    <w:rsid w:val="003D2C6B"/>
    <w:rsid w:val="003D34E5"/>
    <w:rsid w:val="003D7573"/>
    <w:rsid w:val="003D7872"/>
    <w:rsid w:val="003E1468"/>
    <w:rsid w:val="003E2576"/>
    <w:rsid w:val="003E2D4E"/>
    <w:rsid w:val="003E3F0B"/>
    <w:rsid w:val="003F243D"/>
    <w:rsid w:val="003F5522"/>
    <w:rsid w:val="003F5ED1"/>
    <w:rsid w:val="003F6506"/>
    <w:rsid w:val="00402DFC"/>
    <w:rsid w:val="00406ED2"/>
    <w:rsid w:val="00407F81"/>
    <w:rsid w:val="004113A3"/>
    <w:rsid w:val="00413381"/>
    <w:rsid w:val="00420E48"/>
    <w:rsid w:val="00422ED4"/>
    <w:rsid w:val="0042301A"/>
    <w:rsid w:val="004265A8"/>
    <w:rsid w:val="00431647"/>
    <w:rsid w:val="004323C3"/>
    <w:rsid w:val="00434FB2"/>
    <w:rsid w:val="0043513D"/>
    <w:rsid w:val="00435CF6"/>
    <w:rsid w:val="00442DDC"/>
    <w:rsid w:val="00444216"/>
    <w:rsid w:val="004450C9"/>
    <w:rsid w:val="0044510D"/>
    <w:rsid w:val="00445E30"/>
    <w:rsid w:val="0044665C"/>
    <w:rsid w:val="004514B3"/>
    <w:rsid w:val="00451CEB"/>
    <w:rsid w:val="00451CF9"/>
    <w:rsid w:val="00452F9B"/>
    <w:rsid w:val="0045757A"/>
    <w:rsid w:val="00464D73"/>
    <w:rsid w:val="00466DB6"/>
    <w:rsid w:val="00466E72"/>
    <w:rsid w:val="004714A0"/>
    <w:rsid w:val="00475837"/>
    <w:rsid w:val="00475B81"/>
    <w:rsid w:val="0048333C"/>
    <w:rsid w:val="00483EA1"/>
    <w:rsid w:val="004920A9"/>
    <w:rsid w:val="0049311F"/>
    <w:rsid w:val="00493A8F"/>
    <w:rsid w:val="004950B8"/>
    <w:rsid w:val="0049514D"/>
    <w:rsid w:val="00496B6E"/>
    <w:rsid w:val="00496D00"/>
    <w:rsid w:val="004A1FD1"/>
    <w:rsid w:val="004A34BA"/>
    <w:rsid w:val="004A50B5"/>
    <w:rsid w:val="004A58C9"/>
    <w:rsid w:val="004A6009"/>
    <w:rsid w:val="004A680D"/>
    <w:rsid w:val="004B1971"/>
    <w:rsid w:val="004B1BE3"/>
    <w:rsid w:val="004B29C7"/>
    <w:rsid w:val="004B32CA"/>
    <w:rsid w:val="004B5226"/>
    <w:rsid w:val="004B5FB6"/>
    <w:rsid w:val="004B6CAC"/>
    <w:rsid w:val="004B79A5"/>
    <w:rsid w:val="004C215D"/>
    <w:rsid w:val="004C3466"/>
    <w:rsid w:val="004C350B"/>
    <w:rsid w:val="004C3DFC"/>
    <w:rsid w:val="004C549E"/>
    <w:rsid w:val="004C60A7"/>
    <w:rsid w:val="004C7DE7"/>
    <w:rsid w:val="004D0F51"/>
    <w:rsid w:val="004D1DAA"/>
    <w:rsid w:val="004D22B3"/>
    <w:rsid w:val="004D4F17"/>
    <w:rsid w:val="004D69B0"/>
    <w:rsid w:val="004D7AB9"/>
    <w:rsid w:val="004E080A"/>
    <w:rsid w:val="004E0F1D"/>
    <w:rsid w:val="004E2793"/>
    <w:rsid w:val="004E39B6"/>
    <w:rsid w:val="004E46D9"/>
    <w:rsid w:val="004E4ED4"/>
    <w:rsid w:val="004E5D49"/>
    <w:rsid w:val="004F12B5"/>
    <w:rsid w:val="004F3E91"/>
    <w:rsid w:val="004F51DA"/>
    <w:rsid w:val="004F6EF0"/>
    <w:rsid w:val="005006C4"/>
    <w:rsid w:val="00501AD7"/>
    <w:rsid w:val="00503CD1"/>
    <w:rsid w:val="00504523"/>
    <w:rsid w:val="005065CA"/>
    <w:rsid w:val="00506F18"/>
    <w:rsid w:val="0051369F"/>
    <w:rsid w:val="0051670C"/>
    <w:rsid w:val="005204EC"/>
    <w:rsid w:val="0052116A"/>
    <w:rsid w:val="005233D2"/>
    <w:rsid w:val="00523EC1"/>
    <w:rsid w:val="00524C9D"/>
    <w:rsid w:val="005252C7"/>
    <w:rsid w:val="00526565"/>
    <w:rsid w:val="00527124"/>
    <w:rsid w:val="00527FF1"/>
    <w:rsid w:val="005328A6"/>
    <w:rsid w:val="00535FE2"/>
    <w:rsid w:val="00536092"/>
    <w:rsid w:val="00537468"/>
    <w:rsid w:val="005374C8"/>
    <w:rsid w:val="00542A08"/>
    <w:rsid w:val="0054419A"/>
    <w:rsid w:val="00546B5B"/>
    <w:rsid w:val="00547FB9"/>
    <w:rsid w:val="0055165F"/>
    <w:rsid w:val="00553866"/>
    <w:rsid w:val="00553E04"/>
    <w:rsid w:val="005556E9"/>
    <w:rsid w:val="00561241"/>
    <w:rsid w:val="00567279"/>
    <w:rsid w:val="0056729D"/>
    <w:rsid w:val="005675BA"/>
    <w:rsid w:val="005709BC"/>
    <w:rsid w:val="005738C7"/>
    <w:rsid w:val="00574228"/>
    <w:rsid w:val="00577E8E"/>
    <w:rsid w:val="0058487F"/>
    <w:rsid w:val="00584E4E"/>
    <w:rsid w:val="005854A5"/>
    <w:rsid w:val="00590EE9"/>
    <w:rsid w:val="00590F21"/>
    <w:rsid w:val="005922AB"/>
    <w:rsid w:val="005923F5"/>
    <w:rsid w:val="00594C7F"/>
    <w:rsid w:val="005A1B2D"/>
    <w:rsid w:val="005A221F"/>
    <w:rsid w:val="005A227B"/>
    <w:rsid w:val="005A3058"/>
    <w:rsid w:val="005A4D8D"/>
    <w:rsid w:val="005A4EEF"/>
    <w:rsid w:val="005B11A8"/>
    <w:rsid w:val="005B3A7F"/>
    <w:rsid w:val="005B4013"/>
    <w:rsid w:val="005B637B"/>
    <w:rsid w:val="005D3256"/>
    <w:rsid w:val="005D40D3"/>
    <w:rsid w:val="005E0742"/>
    <w:rsid w:val="005E1524"/>
    <w:rsid w:val="005E3273"/>
    <w:rsid w:val="005E5BD6"/>
    <w:rsid w:val="005F0134"/>
    <w:rsid w:val="005F156A"/>
    <w:rsid w:val="005F51A9"/>
    <w:rsid w:val="005F54D0"/>
    <w:rsid w:val="005F5914"/>
    <w:rsid w:val="005F5C4D"/>
    <w:rsid w:val="005F7055"/>
    <w:rsid w:val="005F7CED"/>
    <w:rsid w:val="006007FF"/>
    <w:rsid w:val="0060093B"/>
    <w:rsid w:val="00601A2D"/>
    <w:rsid w:val="00602A09"/>
    <w:rsid w:val="00603C8D"/>
    <w:rsid w:val="00603D58"/>
    <w:rsid w:val="00607638"/>
    <w:rsid w:val="00607D46"/>
    <w:rsid w:val="00607E21"/>
    <w:rsid w:val="00611058"/>
    <w:rsid w:val="00612494"/>
    <w:rsid w:val="00612C13"/>
    <w:rsid w:val="00612D39"/>
    <w:rsid w:val="00614450"/>
    <w:rsid w:val="00617CF1"/>
    <w:rsid w:val="00620FC2"/>
    <w:rsid w:val="00621806"/>
    <w:rsid w:val="00622160"/>
    <w:rsid w:val="00624497"/>
    <w:rsid w:val="00632D5D"/>
    <w:rsid w:val="00634B7E"/>
    <w:rsid w:val="006354BD"/>
    <w:rsid w:val="00637914"/>
    <w:rsid w:val="00637BD7"/>
    <w:rsid w:val="00637CDB"/>
    <w:rsid w:val="00641DE0"/>
    <w:rsid w:val="00642D15"/>
    <w:rsid w:val="006436AF"/>
    <w:rsid w:val="00644DAB"/>
    <w:rsid w:val="00646A9E"/>
    <w:rsid w:val="0064752F"/>
    <w:rsid w:val="00651688"/>
    <w:rsid w:val="006517AE"/>
    <w:rsid w:val="00653846"/>
    <w:rsid w:val="006555F5"/>
    <w:rsid w:val="006576E4"/>
    <w:rsid w:val="00662FAB"/>
    <w:rsid w:val="00663647"/>
    <w:rsid w:val="006644A9"/>
    <w:rsid w:val="00665F54"/>
    <w:rsid w:val="00674FBD"/>
    <w:rsid w:val="00675F59"/>
    <w:rsid w:val="006766CA"/>
    <w:rsid w:val="006808A3"/>
    <w:rsid w:val="00682805"/>
    <w:rsid w:val="00683E7C"/>
    <w:rsid w:val="006912F1"/>
    <w:rsid w:val="00692056"/>
    <w:rsid w:val="00692BB5"/>
    <w:rsid w:val="0069656D"/>
    <w:rsid w:val="00696AD5"/>
    <w:rsid w:val="006975E9"/>
    <w:rsid w:val="006A001E"/>
    <w:rsid w:val="006A0366"/>
    <w:rsid w:val="006A3C15"/>
    <w:rsid w:val="006A6D3B"/>
    <w:rsid w:val="006A7CB4"/>
    <w:rsid w:val="006B24D9"/>
    <w:rsid w:val="006B36AB"/>
    <w:rsid w:val="006C045D"/>
    <w:rsid w:val="006C09D6"/>
    <w:rsid w:val="006C09F1"/>
    <w:rsid w:val="006C2C0F"/>
    <w:rsid w:val="006C4FE2"/>
    <w:rsid w:val="006C51F9"/>
    <w:rsid w:val="006C722B"/>
    <w:rsid w:val="006D1CE7"/>
    <w:rsid w:val="006D36C7"/>
    <w:rsid w:val="006D47AC"/>
    <w:rsid w:val="006D7828"/>
    <w:rsid w:val="006D7A7C"/>
    <w:rsid w:val="006E1128"/>
    <w:rsid w:val="006E12C1"/>
    <w:rsid w:val="006E203F"/>
    <w:rsid w:val="006E506D"/>
    <w:rsid w:val="006F0745"/>
    <w:rsid w:val="006F47BC"/>
    <w:rsid w:val="006F49C5"/>
    <w:rsid w:val="00702F24"/>
    <w:rsid w:val="00702F37"/>
    <w:rsid w:val="00712050"/>
    <w:rsid w:val="0071355C"/>
    <w:rsid w:val="00715FE7"/>
    <w:rsid w:val="00720E73"/>
    <w:rsid w:val="00722822"/>
    <w:rsid w:val="00724518"/>
    <w:rsid w:val="00725994"/>
    <w:rsid w:val="00725C31"/>
    <w:rsid w:val="007260A1"/>
    <w:rsid w:val="0073016D"/>
    <w:rsid w:val="007312AA"/>
    <w:rsid w:val="00732DA4"/>
    <w:rsid w:val="00736210"/>
    <w:rsid w:val="00736DC9"/>
    <w:rsid w:val="00740499"/>
    <w:rsid w:val="0074162E"/>
    <w:rsid w:val="007416F0"/>
    <w:rsid w:val="00742186"/>
    <w:rsid w:val="0074501B"/>
    <w:rsid w:val="00747E74"/>
    <w:rsid w:val="00751C28"/>
    <w:rsid w:val="00753A85"/>
    <w:rsid w:val="00760E97"/>
    <w:rsid w:val="007701CE"/>
    <w:rsid w:val="00771142"/>
    <w:rsid w:val="007722C9"/>
    <w:rsid w:val="00774EC9"/>
    <w:rsid w:val="00777C37"/>
    <w:rsid w:val="00780119"/>
    <w:rsid w:val="007815C0"/>
    <w:rsid w:val="00784CA0"/>
    <w:rsid w:val="007908DF"/>
    <w:rsid w:val="00793C16"/>
    <w:rsid w:val="0079618C"/>
    <w:rsid w:val="007A2416"/>
    <w:rsid w:val="007A3694"/>
    <w:rsid w:val="007A555B"/>
    <w:rsid w:val="007C2747"/>
    <w:rsid w:val="007C3EEF"/>
    <w:rsid w:val="007D28A4"/>
    <w:rsid w:val="007D2CFC"/>
    <w:rsid w:val="007D37AF"/>
    <w:rsid w:val="007D4D02"/>
    <w:rsid w:val="007D56F4"/>
    <w:rsid w:val="007D6A38"/>
    <w:rsid w:val="007D6B6B"/>
    <w:rsid w:val="007E26C8"/>
    <w:rsid w:val="007E528B"/>
    <w:rsid w:val="007E5E17"/>
    <w:rsid w:val="007E639A"/>
    <w:rsid w:val="007F1A4F"/>
    <w:rsid w:val="007F2A85"/>
    <w:rsid w:val="007F6B68"/>
    <w:rsid w:val="007F6CEC"/>
    <w:rsid w:val="008000A0"/>
    <w:rsid w:val="00803531"/>
    <w:rsid w:val="008060A7"/>
    <w:rsid w:val="0080664F"/>
    <w:rsid w:val="00806984"/>
    <w:rsid w:val="0081057B"/>
    <w:rsid w:val="008110E1"/>
    <w:rsid w:val="00811894"/>
    <w:rsid w:val="00813133"/>
    <w:rsid w:val="00816D53"/>
    <w:rsid w:val="00817E32"/>
    <w:rsid w:val="00825A8D"/>
    <w:rsid w:val="00830F3E"/>
    <w:rsid w:val="00831E1D"/>
    <w:rsid w:val="008357C3"/>
    <w:rsid w:val="00835F97"/>
    <w:rsid w:val="0084023C"/>
    <w:rsid w:val="008407A2"/>
    <w:rsid w:val="00841655"/>
    <w:rsid w:val="00841980"/>
    <w:rsid w:val="00847C09"/>
    <w:rsid w:val="00851553"/>
    <w:rsid w:val="00852174"/>
    <w:rsid w:val="00854EDB"/>
    <w:rsid w:val="00855450"/>
    <w:rsid w:val="00855B8C"/>
    <w:rsid w:val="00855EC6"/>
    <w:rsid w:val="00857DB5"/>
    <w:rsid w:val="00861080"/>
    <w:rsid w:val="008613F0"/>
    <w:rsid w:val="008620A5"/>
    <w:rsid w:val="0086330F"/>
    <w:rsid w:val="008634A7"/>
    <w:rsid w:val="00865721"/>
    <w:rsid w:val="008663AA"/>
    <w:rsid w:val="00870725"/>
    <w:rsid w:val="0087785B"/>
    <w:rsid w:val="00880358"/>
    <w:rsid w:val="00881CFD"/>
    <w:rsid w:val="00886BFC"/>
    <w:rsid w:val="00892C52"/>
    <w:rsid w:val="008A08EC"/>
    <w:rsid w:val="008A2885"/>
    <w:rsid w:val="008A5449"/>
    <w:rsid w:val="008A5D28"/>
    <w:rsid w:val="008A6DC5"/>
    <w:rsid w:val="008A7184"/>
    <w:rsid w:val="008B012B"/>
    <w:rsid w:val="008B5EDE"/>
    <w:rsid w:val="008B5F23"/>
    <w:rsid w:val="008C29FB"/>
    <w:rsid w:val="008C432A"/>
    <w:rsid w:val="008C4835"/>
    <w:rsid w:val="008C5F5F"/>
    <w:rsid w:val="008D0834"/>
    <w:rsid w:val="008D168E"/>
    <w:rsid w:val="008D2012"/>
    <w:rsid w:val="008D4977"/>
    <w:rsid w:val="008D6199"/>
    <w:rsid w:val="008E16E1"/>
    <w:rsid w:val="008E1DA1"/>
    <w:rsid w:val="008E31D4"/>
    <w:rsid w:val="008E4FB2"/>
    <w:rsid w:val="008E74F0"/>
    <w:rsid w:val="008F204B"/>
    <w:rsid w:val="008F460C"/>
    <w:rsid w:val="008F6A9E"/>
    <w:rsid w:val="008F73A1"/>
    <w:rsid w:val="00900545"/>
    <w:rsid w:val="00900872"/>
    <w:rsid w:val="00900C7E"/>
    <w:rsid w:val="00901EE9"/>
    <w:rsid w:val="00902AC5"/>
    <w:rsid w:val="00902D8D"/>
    <w:rsid w:val="00903362"/>
    <w:rsid w:val="00903DE1"/>
    <w:rsid w:val="00905AA4"/>
    <w:rsid w:val="0091015B"/>
    <w:rsid w:val="00912230"/>
    <w:rsid w:val="00912BCE"/>
    <w:rsid w:val="00912D73"/>
    <w:rsid w:val="009146B2"/>
    <w:rsid w:val="00916A28"/>
    <w:rsid w:val="00917870"/>
    <w:rsid w:val="009216D5"/>
    <w:rsid w:val="00931285"/>
    <w:rsid w:val="00931343"/>
    <w:rsid w:val="00933F31"/>
    <w:rsid w:val="00935EA7"/>
    <w:rsid w:val="00936E63"/>
    <w:rsid w:val="00940655"/>
    <w:rsid w:val="00940EB9"/>
    <w:rsid w:val="0094185B"/>
    <w:rsid w:val="0094391C"/>
    <w:rsid w:val="009462F2"/>
    <w:rsid w:val="00951656"/>
    <w:rsid w:val="00955409"/>
    <w:rsid w:val="009564FF"/>
    <w:rsid w:val="00957CF5"/>
    <w:rsid w:val="0096123B"/>
    <w:rsid w:val="009624F5"/>
    <w:rsid w:val="009665D7"/>
    <w:rsid w:val="00966B2D"/>
    <w:rsid w:val="00967C97"/>
    <w:rsid w:val="009740F7"/>
    <w:rsid w:val="00974526"/>
    <w:rsid w:val="009752C1"/>
    <w:rsid w:val="009804E1"/>
    <w:rsid w:val="0098093D"/>
    <w:rsid w:val="009814BF"/>
    <w:rsid w:val="009818C0"/>
    <w:rsid w:val="009818D4"/>
    <w:rsid w:val="00983E2F"/>
    <w:rsid w:val="0098416E"/>
    <w:rsid w:val="00985713"/>
    <w:rsid w:val="009860FD"/>
    <w:rsid w:val="00986C0E"/>
    <w:rsid w:val="00987D54"/>
    <w:rsid w:val="009934F3"/>
    <w:rsid w:val="009939BB"/>
    <w:rsid w:val="00993DFC"/>
    <w:rsid w:val="00995DA4"/>
    <w:rsid w:val="00997738"/>
    <w:rsid w:val="009A1DB4"/>
    <w:rsid w:val="009A2197"/>
    <w:rsid w:val="009A4B67"/>
    <w:rsid w:val="009A567D"/>
    <w:rsid w:val="009B33B0"/>
    <w:rsid w:val="009B4DB1"/>
    <w:rsid w:val="009B5888"/>
    <w:rsid w:val="009C1C5D"/>
    <w:rsid w:val="009C1F1C"/>
    <w:rsid w:val="009C388F"/>
    <w:rsid w:val="009C4BB7"/>
    <w:rsid w:val="009C5128"/>
    <w:rsid w:val="009C61E4"/>
    <w:rsid w:val="009C703A"/>
    <w:rsid w:val="009C7A87"/>
    <w:rsid w:val="009D0AC4"/>
    <w:rsid w:val="009D59EB"/>
    <w:rsid w:val="009D61B2"/>
    <w:rsid w:val="009D62E0"/>
    <w:rsid w:val="009D69EB"/>
    <w:rsid w:val="009D759D"/>
    <w:rsid w:val="009E126D"/>
    <w:rsid w:val="009E58C7"/>
    <w:rsid w:val="009E6D38"/>
    <w:rsid w:val="009E7914"/>
    <w:rsid w:val="009F004F"/>
    <w:rsid w:val="009F0B32"/>
    <w:rsid w:val="009F5583"/>
    <w:rsid w:val="009F5A83"/>
    <w:rsid w:val="009F5D4E"/>
    <w:rsid w:val="00A03C04"/>
    <w:rsid w:val="00A03DEF"/>
    <w:rsid w:val="00A103CE"/>
    <w:rsid w:val="00A21DD2"/>
    <w:rsid w:val="00A2460C"/>
    <w:rsid w:val="00A25F6F"/>
    <w:rsid w:val="00A26113"/>
    <w:rsid w:val="00A272C5"/>
    <w:rsid w:val="00A27564"/>
    <w:rsid w:val="00A310BA"/>
    <w:rsid w:val="00A34768"/>
    <w:rsid w:val="00A35233"/>
    <w:rsid w:val="00A35372"/>
    <w:rsid w:val="00A37AE3"/>
    <w:rsid w:val="00A401FB"/>
    <w:rsid w:val="00A42DB0"/>
    <w:rsid w:val="00A451EF"/>
    <w:rsid w:val="00A478D0"/>
    <w:rsid w:val="00A517CD"/>
    <w:rsid w:val="00A5315B"/>
    <w:rsid w:val="00A540C0"/>
    <w:rsid w:val="00A55685"/>
    <w:rsid w:val="00A571A7"/>
    <w:rsid w:val="00A57D5C"/>
    <w:rsid w:val="00A615DC"/>
    <w:rsid w:val="00A62F96"/>
    <w:rsid w:val="00A63219"/>
    <w:rsid w:val="00A63362"/>
    <w:rsid w:val="00A63755"/>
    <w:rsid w:val="00A665B7"/>
    <w:rsid w:val="00A67D13"/>
    <w:rsid w:val="00A70CE9"/>
    <w:rsid w:val="00A72281"/>
    <w:rsid w:val="00A73612"/>
    <w:rsid w:val="00A741F1"/>
    <w:rsid w:val="00A77290"/>
    <w:rsid w:val="00A778E1"/>
    <w:rsid w:val="00A82730"/>
    <w:rsid w:val="00A8287F"/>
    <w:rsid w:val="00A8369C"/>
    <w:rsid w:val="00A84A80"/>
    <w:rsid w:val="00A906E7"/>
    <w:rsid w:val="00A90EE0"/>
    <w:rsid w:val="00A90F13"/>
    <w:rsid w:val="00A93057"/>
    <w:rsid w:val="00A939DF"/>
    <w:rsid w:val="00A94671"/>
    <w:rsid w:val="00A9548D"/>
    <w:rsid w:val="00A97086"/>
    <w:rsid w:val="00AA271D"/>
    <w:rsid w:val="00AA5AEC"/>
    <w:rsid w:val="00AA6DF1"/>
    <w:rsid w:val="00AB29AB"/>
    <w:rsid w:val="00AB2B66"/>
    <w:rsid w:val="00AB7811"/>
    <w:rsid w:val="00AC2A89"/>
    <w:rsid w:val="00AC3D92"/>
    <w:rsid w:val="00AC739F"/>
    <w:rsid w:val="00AC79DF"/>
    <w:rsid w:val="00AC7F9D"/>
    <w:rsid w:val="00AD1709"/>
    <w:rsid w:val="00AD4478"/>
    <w:rsid w:val="00AD522F"/>
    <w:rsid w:val="00AD57B6"/>
    <w:rsid w:val="00AD6AA3"/>
    <w:rsid w:val="00AD7648"/>
    <w:rsid w:val="00AF083D"/>
    <w:rsid w:val="00AF0EEF"/>
    <w:rsid w:val="00AF1609"/>
    <w:rsid w:val="00AF195A"/>
    <w:rsid w:val="00AF1B8A"/>
    <w:rsid w:val="00AF39B8"/>
    <w:rsid w:val="00AF4E63"/>
    <w:rsid w:val="00B017EF"/>
    <w:rsid w:val="00B03D2D"/>
    <w:rsid w:val="00B06493"/>
    <w:rsid w:val="00B11E82"/>
    <w:rsid w:val="00B153DA"/>
    <w:rsid w:val="00B1585B"/>
    <w:rsid w:val="00B16FF6"/>
    <w:rsid w:val="00B17F01"/>
    <w:rsid w:val="00B215AB"/>
    <w:rsid w:val="00B21E0D"/>
    <w:rsid w:val="00B22488"/>
    <w:rsid w:val="00B2292F"/>
    <w:rsid w:val="00B22D74"/>
    <w:rsid w:val="00B25569"/>
    <w:rsid w:val="00B26895"/>
    <w:rsid w:val="00B34626"/>
    <w:rsid w:val="00B34E78"/>
    <w:rsid w:val="00B3509D"/>
    <w:rsid w:val="00B355D8"/>
    <w:rsid w:val="00B3656A"/>
    <w:rsid w:val="00B4076B"/>
    <w:rsid w:val="00B40E61"/>
    <w:rsid w:val="00B416A8"/>
    <w:rsid w:val="00B44DF9"/>
    <w:rsid w:val="00B474D0"/>
    <w:rsid w:val="00B528D4"/>
    <w:rsid w:val="00B52C0B"/>
    <w:rsid w:val="00B53981"/>
    <w:rsid w:val="00B6349C"/>
    <w:rsid w:val="00B72A12"/>
    <w:rsid w:val="00B74316"/>
    <w:rsid w:val="00B74393"/>
    <w:rsid w:val="00B74B90"/>
    <w:rsid w:val="00B75E0B"/>
    <w:rsid w:val="00B91CA4"/>
    <w:rsid w:val="00B934E6"/>
    <w:rsid w:val="00B93A7C"/>
    <w:rsid w:val="00B93D09"/>
    <w:rsid w:val="00B9550C"/>
    <w:rsid w:val="00B956A0"/>
    <w:rsid w:val="00B96630"/>
    <w:rsid w:val="00B96AAF"/>
    <w:rsid w:val="00B96D16"/>
    <w:rsid w:val="00BA255A"/>
    <w:rsid w:val="00BA4468"/>
    <w:rsid w:val="00BA554B"/>
    <w:rsid w:val="00BA5965"/>
    <w:rsid w:val="00BA5B0F"/>
    <w:rsid w:val="00BB0EF2"/>
    <w:rsid w:val="00BB2668"/>
    <w:rsid w:val="00BB3CBD"/>
    <w:rsid w:val="00BB69BF"/>
    <w:rsid w:val="00BB7672"/>
    <w:rsid w:val="00BC205B"/>
    <w:rsid w:val="00BC2C61"/>
    <w:rsid w:val="00BC36E0"/>
    <w:rsid w:val="00BC3FC3"/>
    <w:rsid w:val="00BD1080"/>
    <w:rsid w:val="00BD3100"/>
    <w:rsid w:val="00BD62F7"/>
    <w:rsid w:val="00BD6A47"/>
    <w:rsid w:val="00BE2AD0"/>
    <w:rsid w:val="00BF43CF"/>
    <w:rsid w:val="00BF45CB"/>
    <w:rsid w:val="00BF4B40"/>
    <w:rsid w:val="00BF4BB0"/>
    <w:rsid w:val="00BF63B7"/>
    <w:rsid w:val="00C0043C"/>
    <w:rsid w:val="00C02C48"/>
    <w:rsid w:val="00C04E08"/>
    <w:rsid w:val="00C05955"/>
    <w:rsid w:val="00C0639A"/>
    <w:rsid w:val="00C12F89"/>
    <w:rsid w:val="00C2048F"/>
    <w:rsid w:val="00C239CA"/>
    <w:rsid w:val="00C23D0A"/>
    <w:rsid w:val="00C31C36"/>
    <w:rsid w:val="00C31D0E"/>
    <w:rsid w:val="00C34F6E"/>
    <w:rsid w:val="00C362F7"/>
    <w:rsid w:val="00C40220"/>
    <w:rsid w:val="00C423B3"/>
    <w:rsid w:val="00C42BBD"/>
    <w:rsid w:val="00C44059"/>
    <w:rsid w:val="00C4549B"/>
    <w:rsid w:val="00C47E79"/>
    <w:rsid w:val="00C50BA5"/>
    <w:rsid w:val="00C531AA"/>
    <w:rsid w:val="00C532E0"/>
    <w:rsid w:val="00C53B8E"/>
    <w:rsid w:val="00C546B6"/>
    <w:rsid w:val="00C54F36"/>
    <w:rsid w:val="00C555ED"/>
    <w:rsid w:val="00C57AAD"/>
    <w:rsid w:val="00C631D8"/>
    <w:rsid w:val="00C63660"/>
    <w:rsid w:val="00C66077"/>
    <w:rsid w:val="00C67310"/>
    <w:rsid w:val="00C701A5"/>
    <w:rsid w:val="00C7416E"/>
    <w:rsid w:val="00C7589B"/>
    <w:rsid w:val="00C81039"/>
    <w:rsid w:val="00C82A26"/>
    <w:rsid w:val="00C82AC7"/>
    <w:rsid w:val="00C8542C"/>
    <w:rsid w:val="00C8654B"/>
    <w:rsid w:val="00C865B1"/>
    <w:rsid w:val="00C8742C"/>
    <w:rsid w:val="00C8774A"/>
    <w:rsid w:val="00C919C1"/>
    <w:rsid w:val="00C91CC1"/>
    <w:rsid w:val="00C92221"/>
    <w:rsid w:val="00C92627"/>
    <w:rsid w:val="00C93674"/>
    <w:rsid w:val="00C94F4E"/>
    <w:rsid w:val="00C95573"/>
    <w:rsid w:val="00C96736"/>
    <w:rsid w:val="00C96B8D"/>
    <w:rsid w:val="00CA13AC"/>
    <w:rsid w:val="00CA1F0D"/>
    <w:rsid w:val="00CA5E7D"/>
    <w:rsid w:val="00CA6E29"/>
    <w:rsid w:val="00CA6FBE"/>
    <w:rsid w:val="00CA7EB2"/>
    <w:rsid w:val="00CB119F"/>
    <w:rsid w:val="00CB3AD8"/>
    <w:rsid w:val="00CB428F"/>
    <w:rsid w:val="00CB462D"/>
    <w:rsid w:val="00CB56D6"/>
    <w:rsid w:val="00CB59CF"/>
    <w:rsid w:val="00CB694C"/>
    <w:rsid w:val="00CB6A55"/>
    <w:rsid w:val="00CB6C8D"/>
    <w:rsid w:val="00CB7949"/>
    <w:rsid w:val="00CC0626"/>
    <w:rsid w:val="00CC1C5B"/>
    <w:rsid w:val="00CC28AB"/>
    <w:rsid w:val="00CC48DA"/>
    <w:rsid w:val="00CC6557"/>
    <w:rsid w:val="00CD1214"/>
    <w:rsid w:val="00CD298E"/>
    <w:rsid w:val="00CD3B22"/>
    <w:rsid w:val="00CD561D"/>
    <w:rsid w:val="00CD62A6"/>
    <w:rsid w:val="00CE6343"/>
    <w:rsid w:val="00CE7829"/>
    <w:rsid w:val="00CF0525"/>
    <w:rsid w:val="00CF3093"/>
    <w:rsid w:val="00CF5D22"/>
    <w:rsid w:val="00D04F16"/>
    <w:rsid w:val="00D07466"/>
    <w:rsid w:val="00D10C39"/>
    <w:rsid w:val="00D11668"/>
    <w:rsid w:val="00D11DC6"/>
    <w:rsid w:val="00D137E3"/>
    <w:rsid w:val="00D144F7"/>
    <w:rsid w:val="00D14A9E"/>
    <w:rsid w:val="00D15377"/>
    <w:rsid w:val="00D16CCA"/>
    <w:rsid w:val="00D16DEB"/>
    <w:rsid w:val="00D17B3F"/>
    <w:rsid w:val="00D204DF"/>
    <w:rsid w:val="00D20AA8"/>
    <w:rsid w:val="00D2233C"/>
    <w:rsid w:val="00D24362"/>
    <w:rsid w:val="00D27717"/>
    <w:rsid w:val="00D305E4"/>
    <w:rsid w:val="00D34662"/>
    <w:rsid w:val="00D362CA"/>
    <w:rsid w:val="00D3653A"/>
    <w:rsid w:val="00D3736C"/>
    <w:rsid w:val="00D37800"/>
    <w:rsid w:val="00D37ACC"/>
    <w:rsid w:val="00D4129F"/>
    <w:rsid w:val="00D43685"/>
    <w:rsid w:val="00D436D3"/>
    <w:rsid w:val="00D46AD2"/>
    <w:rsid w:val="00D46CA2"/>
    <w:rsid w:val="00D477CE"/>
    <w:rsid w:val="00D5055F"/>
    <w:rsid w:val="00D516FD"/>
    <w:rsid w:val="00D5699D"/>
    <w:rsid w:val="00D62291"/>
    <w:rsid w:val="00D6321D"/>
    <w:rsid w:val="00D704EB"/>
    <w:rsid w:val="00D71853"/>
    <w:rsid w:val="00D71E4B"/>
    <w:rsid w:val="00D74E12"/>
    <w:rsid w:val="00D803DC"/>
    <w:rsid w:val="00D80987"/>
    <w:rsid w:val="00D80A2B"/>
    <w:rsid w:val="00D86DCD"/>
    <w:rsid w:val="00D87394"/>
    <w:rsid w:val="00D92781"/>
    <w:rsid w:val="00D92983"/>
    <w:rsid w:val="00D931AD"/>
    <w:rsid w:val="00DA0492"/>
    <w:rsid w:val="00DA1898"/>
    <w:rsid w:val="00DA2E9D"/>
    <w:rsid w:val="00DA3E60"/>
    <w:rsid w:val="00DA4BBC"/>
    <w:rsid w:val="00DA5FA3"/>
    <w:rsid w:val="00DA6B01"/>
    <w:rsid w:val="00DA7BB6"/>
    <w:rsid w:val="00DB02EB"/>
    <w:rsid w:val="00DB0C60"/>
    <w:rsid w:val="00DB3136"/>
    <w:rsid w:val="00DB6CAD"/>
    <w:rsid w:val="00DC14DE"/>
    <w:rsid w:val="00DC6B14"/>
    <w:rsid w:val="00DC6E91"/>
    <w:rsid w:val="00DC72CB"/>
    <w:rsid w:val="00DC7742"/>
    <w:rsid w:val="00DC77E0"/>
    <w:rsid w:val="00DD0CB3"/>
    <w:rsid w:val="00DD2DF0"/>
    <w:rsid w:val="00DD6CF6"/>
    <w:rsid w:val="00DE105C"/>
    <w:rsid w:val="00DE1F75"/>
    <w:rsid w:val="00DE3307"/>
    <w:rsid w:val="00DE4A23"/>
    <w:rsid w:val="00DE53C7"/>
    <w:rsid w:val="00DF02BE"/>
    <w:rsid w:val="00DF5B35"/>
    <w:rsid w:val="00DF5F79"/>
    <w:rsid w:val="00DF671F"/>
    <w:rsid w:val="00E02926"/>
    <w:rsid w:val="00E03EFC"/>
    <w:rsid w:val="00E11B06"/>
    <w:rsid w:val="00E11CD4"/>
    <w:rsid w:val="00E1477A"/>
    <w:rsid w:val="00E15071"/>
    <w:rsid w:val="00E20FF2"/>
    <w:rsid w:val="00E25594"/>
    <w:rsid w:val="00E25936"/>
    <w:rsid w:val="00E25E73"/>
    <w:rsid w:val="00E31C6F"/>
    <w:rsid w:val="00E3314C"/>
    <w:rsid w:val="00E34485"/>
    <w:rsid w:val="00E34489"/>
    <w:rsid w:val="00E41F9B"/>
    <w:rsid w:val="00E44188"/>
    <w:rsid w:val="00E454E6"/>
    <w:rsid w:val="00E46FA8"/>
    <w:rsid w:val="00E508CC"/>
    <w:rsid w:val="00E53B4F"/>
    <w:rsid w:val="00E54585"/>
    <w:rsid w:val="00E572B1"/>
    <w:rsid w:val="00E643B8"/>
    <w:rsid w:val="00E66114"/>
    <w:rsid w:val="00E67192"/>
    <w:rsid w:val="00E67895"/>
    <w:rsid w:val="00E70072"/>
    <w:rsid w:val="00E7243B"/>
    <w:rsid w:val="00E73721"/>
    <w:rsid w:val="00E75F6D"/>
    <w:rsid w:val="00E77F8F"/>
    <w:rsid w:val="00E81DF2"/>
    <w:rsid w:val="00E82BAD"/>
    <w:rsid w:val="00E85659"/>
    <w:rsid w:val="00E918B1"/>
    <w:rsid w:val="00E95E62"/>
    <w:rsid w:val="00E96B30"/>
    <w:rsid w:val="00EA09BB"/>
    <w:rsid w:val="00EA3727"/>
    <w:rsid w:val="00EA380E"/>
    <w:rsid w:val="00EA4B4D"/>
    <w:rsid w:val="00EA5770"/>
    <w:rsid w:val="00EA5DBB"/>
    <w:rsid w:val="00EA6A4E"/>
    <w:rsid w:val="00EA6AD6"/>
    <w:rsid w:val="00EB0764"/>
    <w:rsid w:val="00EB49B9"/>
    <w:rsid w:val="00EB7A90"/>
    <w:rsid w:val="00EC0500"/>
    <w:rsid w:val="00EC09E6"/>
    <w:rsid w:val="00EC3D74"/>
    <w:rsid w:val="00EC7845"/>
    <w:rsid w:val="00EF1423"/>
    <w:rsid w:val="00EF1D50"/>
    <w:rsid w:val="00EF6787"/>
    <w:rsid w:val="00EF6E9A"/>
    <w:rsid w:val="00F0217B"/>
    <w:rsid w:val="00F02EA7"/>
    <w:rsid w:val="00F0364E"/>
    <w:rsid w:val="00F04C2A"/>
    <w:rsid w:val="00F05BDF"/>
    <w:rsid w:val="00F05D3F"/>
    <w:rsid w:val="00F12AEC"/>
    <w:rsid w:val="00F27305"/>
    <w:rsid w:val="00F30369"/>
    <w:rsid w:val="00F31B33"/>
    <w:rsid w:val="00F3309F"/>
    <w:rsid w:val="00F33DE3"/>
    <w:rsid w:val="00F34A09"/>
    <w:rsid w:val="00F350A6"/>
    <w:rsid w:val="00F35CB4"/>
    <w:rsid w:val="00F3671A"/>
    <w:rsid w:val="00F40AC7"/>
    <w:rsid w:val="00F45CE3"/>
    <w:rsid w:val="00F46481"/>
    <w:rsid w:val="00F47027"/>
    <w:rsid w:val="00F4735D"/>
    <w:rsid w:val="00F533E9"/>
    <w:rsid w:val="00F53A4A"/>
    <w:rsid w:val="00F54530"/>
    <w:rsid w:val="00F54F80"/>
    <w:rsid w:val="00F55548"/>
    <w:rsid w:val="00F555C8"/>
    <w:rsid w:val="00F56DDA"/>
    <w:rsid w:val="00F571D2"/>
    <w:rsid w:val="00F605B0"/>
    <w:rsid w:val="00F61B49"/>
    <w:rsid w:val="00F62D9A"/>
    <w:rsid w:val="00F6375D"/>
    <w:rsid w:val="00F647F9"/>
    <w:rsid w:val="00F717E3"/>
    <w:rsid w:val="00F736F7"/>
    <w:rsid w:val="00F82FB9"/>
    <w:rsid w:val="00F83E2A"/>
    <w:rsid w:val="00F8562E"/>
    <w:rsid w:val="00F90A30"/>
    <w:rsid w:val="00F91049"/>
    <w:rsid w:val="00F92465"/>
    <w:rsid w:val="00F93B3C"/>
    <w:rsid w:val="00F94B70"/>
    <w:rsid w:val="00F9520C"/>
    <w:rsid w:val="00FA231B"/>
    <w:rsid w:val="00FA2D4B"/>
    <w:rsid w:val="00FA5405"/>
    <w:rsid w:val="00FB08FE"/>
    <w:rsid w:val="00FB1709"/>
    <w:rsid w:val="00FB335C"/>
    <w:rsid w:val="00FB4885"/>
    <w:rsid w:val="00FB5DB1"/>
    <w:rsid w:val="00FB61E8"/>
    <w:rsid w:val="00FB7024"/>
    <w:rsid w:val="00FB7903"/>
    <w:rsid w:val="00FC12A9"/>
    <w:rsid w:val="00FC3822"/>
    <w:rsid w:val="00FC6EFD"/>
    <w:rsid w:val="00FC75D3"/>
    <w:rsid w:val="00FD020D"/>
    <w:rsid w:val="00FD3CD5"/>
    <w:rsid w:val="00FD49CF"/>
    <w:rsid w:val="00FD5352"/>
    <w:rsid w:val="00FD5FF9"/>
    <w:rsid w:val="00FD67FF"/>
    <w:rsid w:val="00FE1321"/>
    <w:rsid w:val="00FE168F"/>
    <w:rsid w:val="00FE25BC"/>
    <w:rsid w:val="00FE3124"/>
    <w:rsid w:val="00FE3268"/>
    <w:rsid w:val="00FE3F56"/>
    <w:rsid w:val="00FE6EB6"/>
    <w:rsid w:val="00FE7D89"/>
    <w:rsid w:val="00FF0A18"/>
    <w:rsid w:val="00FF3329"/>
    <w:rsid w:val="00FF334A"/>
    <w:rsid w:val="00FF4F86"/>
    <w:rsid w:val="04C7301B"/>
    <w:rsid w:val="0A79FCAA"/>
    <w:rsid w:val="0BCBD4E5"/>
    <w:rsid w:val="0EE21D74"/>
    <w:rsid w:val="11F88F3C"/>
    <w:rsid w:val="14296BCC"/>
    <w:rsid w:val="1D6ACAC4"/>
    <w:rsid w:val="2190491B"/>
    <w:rsid w:val="28858706"/>
    <w:rsid w:val="2A8C2996"/>
    <w:rsid w:val="2E026401"/>
    <w:rsid w:val="3018757E"/>
    <w:rsid w:val="36A90699"/>
    <w:rsid w:val="3BB00103"/>
    <w:rsid w:val="3C27E9C1"/>
    <w:rsid w:val="3D843471"/>
    <w:rsid w:val="404AAF12"/>
    <w:rsid w:val="4181B255"/>
    <w:rsid w:val="4662AA41"/>
    <w:rsid w:val="4ABE568D"/>
    <w:rsid w:val="4DB7CCE5"/>
    <w:rsid w:val="4DE1CB72"/>
    <w:rsid w:val="536966E7"/>
    <w:rsid w:val="5450C843"/>
    <w:rsid w:val="56448EE4"/>
    <w:rsid w:val="5D1EC004"/>
    <w:rsid w:val="5F81E475"/>
    <w:rsid w:val="6195D4EC"/>
    <w:rsid w:val="62642B21"/>
    <w:rsid w:val="6B7FD67C"/>
    <w:rsid w:val="768E3D33"/>
    <w:rsid w:val="7A094F3C"/>
    <w:rsid w:val="7A6933F5"/>
    <w:rsid w:val="7E28CA57"/>
    <w:rsid w:val="7ED59D22"/>
    <w:rsid w:val="7EDCC0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E063"/>
  <w15:chartTrackingRefBased/>
  <w15:docId w15:val="{FE2FF90D-4CCC-443B-A9A7-67876CAA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34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71F1"/>
    <w:pPr>
      <w:ind w:left="720"/>
      <w:contextualSpacing/>
    </w:pPr>
  </w:style>
  <w:style w:type="character" w:customStyle="1" w:styleId="normaltextrun">
    <w:name w:val="normaltextrun"/>
    <w:basedOn w:val="Fuentedeprrafopredeter"/>
    <w:rsid w:val="002271F1"/>
  </w:style>
  <w:style w:type="character" w:customStyle="1" w:styleId="eop">
    <w:name w:val="eop"/>
    <w:basedOn w:val="Fuentedeprrafopredeter"/>
    <w:rsid w:val="002271F1"/>
  </w:style>
  <w:style w:type="paragraph" w:styleId="Encabezado">
    <w:name w:val="header"/>
    <w:basedOn w:val="Normal"/>
    <w:link w:val="EncabezadoCar"/>
    <w:uiPriority w:val="99"/>
    <w:unhideWhenUsed/>
    <w:rsid w:val="00244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E2F"/>
  </w:style>
  <w:style w:type="paragraph" w:styleId="Piedepgina">
    <w:name w:val="footer"/>
    <w:basedOn w:val="Normal"/>
    <w:link w:val="PiedepginaCar"/>
    <w:uiPriority w:val="99"/>
    <w:unhideWhenUsed/>
    <w:rsid w:val="00244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E2F"/>
  </w:style>
  <w:style w:type="paragraph" w:styleId="Sinespaciado">
    <w:name w:val="No Spacing"/>
    <w:uiPriority w:val="1"/>
    <w:qFormat/>
    <w:rsid w:val="00553866"/>
    <w:pPr>
      <w:spacing w:after="0" w:line="240" w:lineRule="auto"/>
    </w:pPr>
  </w:style>
  <w:style w:type="paragraph" w:styleId="NormalWeb">
    <w:name w:val="Normal (Web)"/>
    <w:basedOn w:val="Normal"/>
    <w:uiPriority w:val="99"/>
    <w:semiHidden/>
    <w:unhideWhenUsed/>
    <w:rsid w:val="007908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7908DF"/>
  </w:style>
  <w:style w:type="character" w:styleId="Refdecomentario">
    <w:name w:val="annotation reference"/>
    <w:basedOn w:val="Fuentedeprrafopredeter"/>
    <w:uiPriority w:val="99"/>
    <w:semiHidden/>
    <w:unhideWhenUsed/>
    <w:rsid w:val="003F6506"/>
    <w:rPr>
      <w:sz w:val="16"/>
      <w:szCs w:val="16"/>
    </w:rPr>
  </w:style>
  <w:style w:type="paragraph" w:styleId="Textocomentario">
    <w:name w:val="annotation text"/>
    <w:basedOn w:val="Normal"/>
    <w:link w:val="TextocomentarioCar"/>
    <w:uiPriority w:val="99"/>
    <w:semiHidden/>
    <w:unhideWhenUsed/>
    <w:rsid w:val="003F65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6506"/>
    <w:rPr>
      <w:sz w:val="20"/>
      <w:szCs w:val="20"/>
    </w:rPr>
  </w:style>
  <w:style w:type="paragraph" w:styleId="Asuntodelcomentario">
    <w:name w:val="annotation subject"/>
    <w:basedOn w:val="Textocomentario"/>
    <w:next w:val="Textocomentario"/>
    <w:link w:val="AsuntodelcomentarioCar"/>
    <w:uiPriority w:val="99"/>
    <w:semiHidden/>
    <w:unhideWhenUsed/>
    <w:rsid w:val="003F6506"/>
    <w:rPr>
      <w:b/>
      <w:bCs/>
    </w:rPr>
  </w:style>
  <w:style w:type="character" w:customStyle="1" w:styleId="AsuntodelcomentarioCar">
    <w:name w:val="Asunto del comentario Car"/>
    <w:basedOn w:val="TextocomentarioCar"/>
    <w:link w:val="Asuntodelcomentario"/>
    <w:uiPriority w:val="99"/>
    <w:semiHidden/>
    <w:rsid w:val="003F6506"/>
    <w:rPr>
      <w:b/>
      <w:bCs/>
      <w:sz w:val="20"/>
      <w:szCs w:val="20"/>
    </w:rPr>
  </w:style>
  <w:style w:type="paragraph" w:styleId="Textodeglobo">
    <w:name w:val="Balloon Text"/>
    <w:basedOn w:val="Normal"/>
    <w:link w:val="TextodegloboCar"/>
    <w:uiPriority w:val="99"/>
    <w:semiHidden/>
    <w:unhideWhenUsed/>
    <w:rsid w:val="003F65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506"/>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6C045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6C045D"/>
    <w:rPr>
      <w:sz w:val="20"/>
      <w:szCs w:val="20"/>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link w:val="Refdenotaalpie2"/>
    <w:uiPriority w:val="99"/>
    <w:unhideWhenUsed/>
    <w:qFormat/>
    <w:rsid w:val="006C045D"/>
    <w:rPr>
      <w:vertAlign w:val="superscript"/>
    </w:rPr>
  </w:style>
  <w:style w:type="paragraph" w:customStyle="1" w:styleId="Refdenotaalpie2">
    <w:name w:val="Ref. de nota al pie2"/>
    <w:aliases w:val="Nota de pie,Pie de pagina"/>
    <w:basedOn w:val="Normal"/>
    <w:link w:val="Refdenotaalpie"/>
    <w:uiPriority w:val="99"/>
    <w:rsid w:val="00617CF1"/>
    <w:pPr>
      <w:spacing w:line="240" w:lineRule="exact"/>
    </w:pPr>
    <w:rPr>
      <w:vertAlign w:val="superscript"/>
    </w:rPr>
  </w:style>
  <w:style w:type="paragraph" w:customStyle="1" w:styleId="pa9">
    <w:name w:val="pa9"/>
    <w:basedOn w:val="Normal"/>
    <w:rsid w:val="00974526"/>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styleId="Hipervnculo">
    <w:name w:val="Hyperlink"/>
    <w:basedOn w:val="Fuentedeprrafopredeter"/>
    <w:uiPriority w:val="99"/>
    <w:semiHidden/>
    <w:unhideWhenUsed/>
    <w:rsid w:val="00974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411">
      <w:bodyDiv w:val="1"/>
      <w:marLeft w:val="0"/>
      <w:marRight w:val="0"/>
      <w:marTop w:val="0"/>
      <w:marBottom w:val="0"/>
      <w:divBdr>
        <w:top w:val="none" w:sz="0" w:space="0" w:color="auto"/>
        <w:left w:val="none" w:sz="0" w:space="0" w:color="auto"/>
        <w:bottom w:val="none" w:sz="0" w:space="0" w:color="auto"/>
        <w:right w:val="none" w:sz="0" w:space="0" w:color="auto"/>
      </w:divBdr>
    </w:div>
    <w:div w:id="157622363">
      <w:bodyDiv w:val="1"/>
      <w:marLeft w:val="0"/>
      <w:marRight w:val="0"/>
      <w:marTop w:val="0"/>
      <w:marBottom w:val="0"/>
      <w:divBdr>
        <w:top w:val="none" w:sz="0" w:space="0" w:color="auto"/>
        <w:left w:val="none" w:sz="0" w:space="0" w:color="auto"/>
        <w:bottom w:val="none" w:sz="0" w:space="0" w:color="auto"/>
        <w:right w:val="none" w:sz="0" w:space="0" w:color="auto"/>
      </w:divBdr>
    </w:div>
    <w:div w:id="690303535">
      <w:bodyDiv w:val="1"/>
      <w:marLeft w:val="0"/>
      <w:marRight w:val="0"/>
      <w:marTop w:val="0"/>
      <w:marBottom w:val="0"/>
      <w:divBdr>
        <w:top w:val="none" w:sz="0" w:space="0" w:color="auto"/>
        <w:left w:val="none" w:sz="0" w:space="0" w:color="auto"/>
        <w:bottom w:val="none" w:sz="0" w:space="0" w:color="auto"/>
        <w:right w:val="none" w:sz="0" w:space="0" w:color="auto"/>
      </w:divBdr>
    </w:div>
    <w:div w:id="863514481">
      <w:bodyDiv w:val="1"/>
      <w:marLeft w:val="0"/>
      <w:marRight w:val="0"/>
      <w:marTop w:val="0"/>
      <w:marBottom w:val="0"/>
      <w:divBdr>
        <w:top w:val="none" w:sz="0" w:space="0" w:color="auto"/>
        <w:left w:val="none" w:sz="0" w:space="0" w:color="auto"/>
        <w:bottom w:val="none" w:sz="0" w:space="0" w:color="auto"/>
        <w:right w:val="none" w:sz="0" w:space="0" w:color="auto"/>
      </w:divBdr>
    </w:div>
    <w:div w:id="872035068">
      <w:bodyDiv w:val="1"/>
      <w:marLeft w:val="0"/>
      <w:marRight w:val="0"/>
      <w:marTop w:val="0"/>
      <w:marBottom w:val="0"/>
      <w:divBdr>
        <w:top w:val="none" w:sz="0" w:space="0" w:color="auto"/>
        <w:left w:val="none" w:sz="0" w:space="0" w:color="auto"/>
        <w:bottom w:val="none" w:sz="0" w:space="0" w:color="auto"/>
        <w:right w:val="none" w:sz="0" w:space="0" w:color="auto"/>
      </w:divBdr>
    </w:div>
    <w:div w:id="9947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ncionpublica.gov.co/eva/gestornormativo/norma.php?i=4110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ncionpublica.gov.co/eva/gestornormativo/norma.php?i=411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41102" TargetMode="External"/><Relationship Id="rId5" Type="http://schemas.openxmlformats.org/officeDocument/2006/relationships/numbering" Target="numbering.xml"/><Relationship Id="rId15" Type="http://schemas.openxmlformats.org/officeDocument/2006/relationships/hyperlink" Target="https://www.funcionpublica.gov.co/eva/gestornormativo/norma.php?i=4110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cionpublica.gov.co/eva/gestornormativo/norma.php?i=411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1D5E-5434-4597-85EB-EDCA88D61FC2}">
  <ds:schemaRefs>
    <ds:schemaRef ds:uri="http://schemas.microsoft.com/sharepoint/v3/contenttype/forms"/>
  </ds:schemaRefs>
</ds:datastoreItem>
</file>

<file path=customXml/itemProps2.xml><?xml version="1.0" encoding="utf-8"?>
<ds:datastoreItem xmlns:ds="http://schemas.openxmlformats.org/officeDocument/2006/customXml" ds:itemID="{8C2845A9-68D9-42FC-87D3-7FC159633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AD0E2-EFC9-4822-9E46-354D8F09B74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F6AC4812-B395-43D4-B86C-AC3E659D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4943</Words>
  <Characters>27188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Giraldo Mejia</dc:creator>
  <cp:keywords/>
  <dc:description/>
  <cp:lastModifiedBy>Hermides Alonso Gaviria Ocampo</cp:lastModifiedBy>
  <cp:revision>5</cp:revision>
  <dcterms:created xsi:type="dcterms:W3CDTF">2022-10-04T18:18:00Z</dcterms:created>
  <dcterms:modified xsi:type="dcterms:W3CDTF">2023-01-11T16:54:00Z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