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AB9E9" w14:textId="77777777" w:rsidR="00ED747A" w:rsidRPr="00ED747A" w:rsidRDefault="00ED747A" w:rsidP="00ED747A">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bookmarkStart w:id="0" w:name="_Hlk122333129"/>
      <w:r w:rsidRPr="00ED747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75ACCD3" w14:textId="77777777" w:rsidR="00ED747A" w:rsidRPr="00ED747A" w:rsidRDefault="00ED747A" w:rsidP="00ED747A">
      <w:pPr>
        <w:widowControl w:val="0"/>
        <w:autoSpaceDE w:val="0"/>
        <w:autoSpaceDN w:val="0"/>
        <w:spacing w:after="0" w:line="240" w:lineRule="auto"/>
        <w:jc w:val="both"/>
        <w:rPr>
          <w:rFonts w:ascii="Arial" w:eastAsia="Times New Roman" w:hAnsi="Arial" w:cs="Arial"/>
          <w:sz w:val="20"/>
          <w:szCs w:val="20"/>
          <w:lang w:val="es-419" w:eastAsia="es-ES"/>
        </w:rPr>
      </w:pPr>
    </w:p>
    <w:p w14:paraId="09FE041C" w14:textId="77777777" w:rsidR="00B476F8" w:rsidRPr="00B476F8" w:rsidRDefault="00B476F8" w:rsidP="00B476F8">
      <w:pPr>
        <w:widowControl w:val="0"/>
        <w:autoSpaceDE w:val="0"/>
        <w:autoSpaceDN w:val="0"/>
        <w:spacing w:after="0" w:line="240" w:lineRule="auto"/>
        <w:jc w:val="both"/>
        <w:rPr>
          <w:rFonts w:ascii="Arial" w:eastAsia="Times New Roman" w:hAnsi="Arial" w:cs="Arial"/>
          <w:sz w:val="20"/>
          <w:szCs w:val="20"/>
          <w:lang w:val="es-419" w:eastAsia="es-ES"/>
        </w:rPr>
      </w:pPr>
      <w:r w:rsidRPr="00B476F8">
        <w:rPr>
          <w:rFonts w:ascii="Arial" w:eastAsia="Times New Roman" w:hAnsi="Arial" w:cs="Arial"/>
          <w:sz w:val="20"/>
          <w:szCs w:val="20"/>
          <w:lang w:val="es-419" w:eastAsia="es-ES"/>
        </w:rPr>
        <w:t xml:space="preserve">Expediente: </w:t>
      </w:r>
      <w:r w:rsidRPr="00B476F8">
        <w:rPr>
          <w:rFonts w:ascii="Arial" w:eastAsia="Times New Roman" w:hAnsi="Arial" w:cs="Arial"/>
          <w:sz w:val="20"/>
          <w:szCs w:val="20"/>
          <w:lang w:val="es-419" w:eastAsia="es-ES"/>
        </w:rPr>
        <w:tab/>
        <w:t>66001310300320190000900</w:t>
      </w:r>
    </w:p>
    <w:p w14:paraId="70F06B1A" w14:textId="77777777" w:rsidR="00B476F8" w:rsidRPr="00B476F8" w:rsidRDefault="00B476F8" w:rsidP="00B476F8">
      <w:pPr>
        <w:widowControl w:val="0"/>
        <w:autoSpaceDE w:val="0"/>
        <w:autoSpaceDN w:val="0"/>
        <w:spacing w:after="0" w:line="240" w:lineRule="auto"/>
        <w:jc w:val="both"/>
        <w:rPr>
          <w:rFonts w:ascii="Arial" w:eastAsia="Times New Roman" w:hAnsi="Arial" w:cs="Arial"/>
          <w:sz w:val="20"/>
          <w:szCs w:val="20"/>
          <w:lang w:val="es-419" w:eastAsia="es-ES"/>
        </w:rPr>
      </w:pPr>
      <w:r w:rsidRPr="00B476F8">
        <w:rPr>
          <w:rFonts w:ascii="Arial" w:eastAsia="Times New Roman" w:hAnsi="Arial" w:cs="Arial"/>
          <w:sz w:val="20"/>
          <w:szCs w:val="20"/>
          <w:lang w:val="es-419" w:eastAsia="es-ES"/>
        </w:rPr>
        <w:t xml:space="preserve">Proceso: </w:t>
      </w:r>
      <w:r w:rsidRPr="00B476F8">
        <w:rPr>
          <w:rFonts w:ascii="Arial" w:eastAsia="Times New Roman" w:hAnsi="Arial" w:cs="Arial"/>
          <w:sz w:val="20"/>
          <w:szCs w:val="20"/>
          <w:lang w:val="es-419" w:eastAsia="es-ES"/>
        </w:rPr>
        <w:tab/>
        <w:t xml:space="preserve">Verbal </w:t>
      </w:r>
    </w:p>
    <w:p w14:paraId="5249C8D8" w14:textId="77777777" w:rsidR="00B476F8" w:rsidRPr="00B476F8" w:rsidRDefault="00B476F8" w:rsidP="00B476F8">
      <w:pPr>
        <w:widowControl w:val="0"/>
        <w:autoSpaceDE w:val="0"/>
        <w:autoSpaceDN w:val="0"/>
        <w:spacing w:after="0" w:line="240" w:lineRule="auto"/>
        <w:jc w:val="both"/>
        <w:rPr>
          <w:rFonts w:ascii="Arial" w:eastAsia="Times New Roman" w:hAnsi="Arial" w:cs="Arial"/>
          <w:sz w:val="20"/>
          <w:szCs w:val="20"/>
          <w:lang w:val="es-419" w:eastAsia="es-ES"/>
        </w:rPr>
      </w:pPr>
      <w:r w:rsidRPr="00B476F8">
        <w:rPr>
          <w:rFonts w:ascii="Arial" w:eastAsia="Times New Roman" w:hAnsi="Arial" w:cs="Arial"/>
          <w:sz w:val="20"/>
          <w:szCs w:val="20"/>
          <w:lang w:val="es-419" w:eastAsia="es-ES"/>
        </w:rPr>
        <w:t>Demandante:</w:t>
      </w:r>
      <w:r w:rsidRPr="00B476F8">
        <w:rPr>
          <w:rFonts w:ascii="Arial" w:eastAsia="Times New Roman" w:hAnsi="Arial" w:cs="Arial"/>
          <w:sz w:val="20"/>
          <w:szCs w:val="20"/>
          <w:lang w:val="es-419" w:eastAsia="es-ES"/>
        </w:rPr>
        <w:tab/>
        <w:t>La Previsora S.A. Compañía de Seguros.</w:t>
      </w:r>
    </w:p>
    <w:p w14:paraId="20DF42DD" w14:textId="251F5273" w:rsidR="00ED747A" w:rsidRDefault="00B476F8" w:rsidP="00B476F8">
      <w:pPr>
        <w:widowControl w:val="0"/>
        <w:autoSpaceDE w:val="0"/>
        <w:autoSpaceDN w:val="0"/>
        <w:spacing w:after="0" w:line="240" w:lineRule="auto"/>
        <w:jc w:val="both"/>
        <w:rPr>
          <w:rFonts w:ascii="Arial" w:eastAsia="Times New Roman" w:hAnsi="Arial" w:cs="Arial"/>
          <w:sz w:val="20"/>
          <w:szCs w:val="20"/>
          <w:lang w:val="es-419" w:eastAsia="es-ES"/>
        </w:rPr>
      </w:pPr>
      <w:r w:rsidRPr="00B476F8">
        <w:rPr>
          <w:rFonts w:ascii="Arial" w:eastAsia="Times New Roman" w:hAnsi="Arial" w:cs="Arial"/>
          <w:sz w:val="20"/>
          <w:szCs w:val="20"/>
          <w:lang w:val="es-419" w:eastAsia="es-ES"/>
        </w:rPr>
        <w:t>Demandado:</w:t>
      </w:r>
      <w:r w:rsidRPr="00B476F8">
        <w:rPr>
          <w:rFonts w:ascii="Arial" w:eastAsia="Times New Roman" w:hAnsi="Arial" w:cs="Arial"/>
          <w:sz w:val="20"/>
          <w:szCs w:val="20"/>
          <w:lang w:val="es-419" w:eastAsia="es-ES"/>
        </w:rPr>
        <w:tab/>
        <w:t>Gloria Inés Román Soto</w:t>
      </w:r>
      <w:r>
        <w:rPr>
          <w:rFonts w:ascii="Arial" w:eastAsia="Times New Roman" w:hAnsi="Arial" w:cs="Arial"/>
          <w:sz w:val="20"/>
          <w:szCs w:val="20"/>
          <w:lang w:val="es-419" w:eastAsia="es-ES"/>
        </w:rPr>
        <w:t xml:space="preserve"> y </w:t>
      </w:r>
      <w:r w:rsidRPr="00B476F8">
        <w:rPr>
          <w:rFonts w:ascii="Arial" w:eastAsia="Times New Roman" w:hAnsi="Arial" w:cs="Arial"/>
          <w:sz w:val="20"/>
          <w:szCs w:val="20"/>
          <w:lang w:val="es-419" w:eastAsia="es-ES"/>
        </w:rPr>
        <w:t>Liliana Argenis Higuera Molina</w:t>
      </w:r>
    </w:p>
    <w:p w14:paraId="40741877" w14:textId="77777777" w:rsidR="00B476F8" w:rsidRPr="00ED747A" w:rsidRDefault="00B476F8" w:rsidP="00B476F8">
      <w:pPr>
        <w:widowControl w:val="0"/>
        <w:autoSpaceDE w:val="0"/>
        <w:autoSpaceDN w:val="0"/>
        <w:spacing w:after="0" w:line="240" w:lineRule="auto"/>
        <w:jc w:val="both"/>
        <w:rPr>
          <w:rFonts w:ascii="Arial" w:eastAsia="Times New Roman" w:hAnsi="Arial" w:cs="Arial"/>
          <w:sz w:val="20"/>
          <w:szCs w:val="20"/>
          <w:lang w:val="es-419" w:eastAsia="es-ES"/>
        </w:rPr>
      </w:pPr>
    </w:p>
    <w:p w14:paraId="3014D3BE" w14:textId="4F228F5F" w:rsidR="00ED747A" w:rsidRPr="00ED747A" w:rsidRDefault="00910871" w:rsidP="00ED747A">
      <w:pPr>
        <w:widowControl w:val="0"/>
        <w:autoSpaceDE w:val="0"/>
        <w:autoSpaceDN w:val="0"/>
        <w:spacing w:after="0" w:line="240" w:lineRule="auto"/>
        <w:jc w:val="both"/>
        <w:rPr>
          <w:rFonts w:ascii="Arial" w:eastAsia="Times New Roman" w:hAnsi="Arial" w:cs="Arial"/>
          <w:sz w:val="20"/>
          <w:szCs w:val="20"/>
          <w:lang w:val="es-419" w:eastAsia="es-ES"/>
        </w:rPr>
      </w:pPr>
      <w:r w:rsidRPr="00ED747A">
        <w:rPr>
          <w:rFonts w:ascii="Arial" w:eastAsia="Times New Roman" w:hAnsi="Arial" w:cs="Arial"/>
          <w:b/>
          <w:bCs/>
          <w:iCs/>
          <w:sz w:val="20"/>
          <w:szCs w:val="20"/>
          <w:u w:val="single"/>
          <w:lang w:val="es-419" w:eastAsia="fr-FR"/>
        </w:rPr>
        <w:t>TEMAS:</w:t>
      </w:r>
      <w:r w:rsidRPr="00ED747A">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ACCIÓN DE REPETICIÓN / </w:t>
      </w:r>
      <w:r w:rsidRPr="00B476F8">
        <w:rPr>
          <w:rFonts w:ascii="Arial" w:eastAsia="Times New Roman" w:hAnsi="Arial" w:cs="Arial"/>
          <w:b/>
          <w:bCs/>
          <w:iCs/>
          <w:sz w:val="20"/>
          <w:szCs w:val="20"/>
          <w:lang w:val="es-419" w:eastAsia="fr-FR"/>
        </w:rPr>
        <w:t>RESPONSABILIDAD FISCAL</w:t>
      </w:r>
      <w:r>
        <w:rPr>
          <w:rFonts w:ascii="Arial" w:eastAsia="Times New Roman" w:hAnsi="Arial" w:cs="Arial"/>
          <w:b/>
          <w:bCs/>
          <w:iCs/>
          <w:sz w:val="20"/>
          <w:szCs w:val="20"/>
          <w:lang w:val="es-419" w:eastAsia="fr-FR"/>
        </w:rPr>
        <w:t xml:space="preserve"> /</w:t>
      </w:r>
      <w:r w:rsidRPr="00B476F8">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 xml:space="preserve">CARACTERÍSTICAS DEL PROCESO / COSA JUZGADA / COMPAÑÍA DE SEGUROS / </w:t>
      </w:r>
      <w:r w:rsidRPr="00B476F8">
        <w:rPr>
          <w:rFonts w:ascii="Arial" w:eastAsia="Times New Roman" w:hAnsi="Arial" w:cs="Arial"/>
          <w:b/>
          <w:bCs/>
          <w:iCs/>
          <w:sz w:val="20"/>
          <w:szCs w:val="20"/>
          <w:lang w:val="es-419" w:eastAsia="fr-FR"/>
        </w:rPr>
        <w:t>SUBROGACIÓN</w:t>
      </w:r>
      <w:r>
        <w:rPr>
          <w:rFonts w:ascii="Arial" w:eastAsia="Times New Roman" w:hAnsi="Arial" w:cs="Arial"/>
          <w:b/>
          <w:bCs/>
          <w:iCs/>
          <w:sz w:val="20"/>
          <w:szCs w:val="20"/>
          <w:lang w:val="es-419" w:eastAsia="fr-FR"/>
        </w:rPr>
        <w:t>.</w:t>
      </w:r>
    </w:p>
    <w:p w14:paraId="2A0BEBBD" w14:textId="77777777" w:rsidR="00ED747A" w:rsidRPr="00ED747A" w:rsidRDefault="00ED747A" w:rsidP="00ED747A">
      <w:pPr>
        <w:widowControl w:val="0"/>
        <w:autoSpaceDE w:val="0"/>
        <w:autoSpaceDN w:val="0"/>
        <w:spacing w:after="0" w:line="240" w:lineRule="auto"/>
        <w:jc w:val="both"/>
        <w:rPr>
          <w:rFonts w:ascii="Arial" w:eastAsia="Times New Roman" w:hAnsi="Arial" w:cs="Arial"/>
          <w:sz w:val="20"/>
          <w:szCs w:val="20"/>
          <w:lang w:val="es-ES" w:eastAsia="es-ES"/>
        </w:rPr>
      </w:pPr>
    </w:p>
    <w:p w14:paraId="265F8D56" w14:textId="7E3796C4" w:rsidR="00ED747A" w:rsidRPr="00ED747A" w:rsidRDefault="00F06B60" w:rsidP="00ED747A">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F06B60">
        <w:rPr>
          <w:rFonts w:ascii="Arial" w:eastAsia="Times New Roman" w:hAnsi="Arial" w:cs="Arial"/>
          <w:sz w:val="20"/>
          <w:szCs w:val="20"/>
          <w:lang w:val="es-ES" w:eastAsia="es-ES"/>
        </w:rPr>
        <w:t>este proceso tiene génesis en una actuación administrativa que concluyó con una declaración de responsabilidad fiscal contra las demandadas, adelantada por la Contraloría General de la República</w:t>
      </w:r>
      <w:r>
        <w:rPr>
          <w:rFonts w:ascii="Arial" w:eastAsia="Times New Roman" w:hAnsi="Arial" w:cs="Arial"/>
          <w:sz w:val="20"/>
          <w:szCs w:val="20"/>
          <w:lang w:val="es-ES" w:eastAsia="es-ES"/>
        </w:rPr>
        <w:t>…</w:t>
      </w:r>
    </w:p>
    <w:p w14:paraId="3ABDEC01" w14:textId="77777777" w:rsidR="00ED747A" w:rsidRPr="00ED747A" w:rsidRDefault="00ED747A" w:rsidP="00ED747A">
      <w:pPr>
        <w:widowControl w:val="0"/>
        <w:autoSpaceDE w:val="0"/>
        <w:autoSpaceDN w:val="0"/>
        <w:spacing w:after="0" w:line="240" w:lineRule="auto"/>
        <w:jc w:val="both"/>
        <w:rPr>
          <w:rFonts w:ascii="Arial" w:eastAsia="Times New Roman" w:hAnsi="Arial" w:cs="Arial"/>
          <w:sz w:val="20"/>
          <w:szCs w:val="20"/>
          <w:lang w:val="es-ES" w:eastAsia="es-ES"/>
        </w:rPr>
      </w:pPr>
    </w:p>
    <w:p w14:paraId="2313B6B2" w14:textId="7556C1E8" w:rsidR="00ED747A" w:rsidRPr="00ED747A" w:rsidRDefault="008A702F" w:rsidP="00ED747A">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8A702F">
        <w:rPr>
          <w:rFonts w:ascii="Arial" w:eastAsia="Times New Roman" w:hAnsi="Arial" w:cs="Arial"/>
          <w:sz w:val="20"/>
          <w:szCs w:val="20"/>
          <w:lang w:val="es-ES" w:eastAsia="es-ES"/>
        </w:rPr>
        <w:t>se ocupó el órgano de control de la vinculación del tercero civilmente responsable, acatando lo reglado por el artículo 44 de la Ley 610 de 2000, con fundamento en el contrato de “Seguro Manejo de Póliza Global Sector Oficial” contenido en la póliza 1002170, de la cual extractó que amparaba a la Universidad Tecnológica de Pereira “contra riesgos que impliquen menoscabo de fondos y bienes causados por sus empleados en el ejercicio de los cargos amparados, por actos que se tipifiquen como delitos contra la administración pública o fallo con responsabilidad fiscal…”.</w:t>
      </w:r>
    </w:p>
    <w:p w14:paraId="4654A208" w14:textId="77777777" w:rsidR="00ED747A" w:rsidRPr="00ED747A" w:rsidRDefault="00ED747A" w:rsidP="00ED747A">
      <w:pPr>
        <w:widowControl w:val="0"/>
        <w:autoSpaceDE w:val="0"/>
        <w:autoSpaceDN w:val="0"/>
        <w:spacing w:after="0" w:line="240" w:lineRule="auto"/>
        <w:jc w:val="both"/>
        <w:rPr>
          <w:rFonts w:ascii="Arial" w:eastAsia="Times New Roman" w:hAnsi="Arial" w:cs="Arial"/>
          <w:sz w:val="20"/>
          <w:szCs w:val="20"/>
          <w:lang w:val="es-ES" w:eastAsia="es-ES"/>
        </w:rPr>
      </w:pPr>
    </w:p>
    <w:p w14:paraId="37D8DECE" w14:textId="76984648" w:rsidR="00ED747A" w:rsidRDefault="00151715" w:rsidP="00ED747A">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151715">
        <w:rPr>
          <w:rFonts w:ascii="Arial" w:eastAsia="Times New Roman" w:hAnsi="Arial" w:cs="Arial"/>
          <w:sz w:val="20"/>
          <w:szCs w:val="20"/>
          <w:lang w:val="es-ES" w:eastAsia="es-ES"/>
        </w:rPr>
        <w:t>la Ley 610 de 2000 que regula el trámite de los procesos de responsabilidad fiscal, les imprime unas notas características en lo que hace a su finalidad, objeto, potestades, etapas y efectos</w:t>
      </w:r>
      <w:r>
        <w:rPr>
          <w:rFonts w:ascii="Arial" w:eastAsia="Times New Roman" w:hAnsi="Arial" w:cs="Arial"/>
          <w:sz w:val="20"/>
          <w:szCs w:val="20"/>
          <w:lang w:val="es-ES" w:eastAsia="es-ES"/>
        </w:rPr>
        <w:t>…</w:t>
      </w:r>
    </w:p>
    <w:p w14:paraId="71005C51" w14:textId="35E28451" w:rsidR="00151715" w:rsidRDefault="00151715" w:rsidP="00ED747A">
      <w:pPr>
        <w:widowControl w:val="0"/>
        <w:autoSpaceDE w:val="0"/>
        <w:autoSpaceDN w:val="0"/>
        <w:spacing w:after="0" w:line="240" w:lineRule="auto"/>
        <w:jc w:val="both"/>
        <w:rPr>
          <w:rFonts w:ascii="Arial" w:eastAsia="Times New Roman" w:hAnsi="Arial" w:cs="Arial"/>
          <w:sz w:val="20"/>
          <w:szCs w:val="20"/>
          <w:lang w:val="es-ES" w:eastAsia="es-ES"/>
        </w:rPr>
      </w:pPr>
    </w:p>
    <w:p w14:paraId="7181249F" w14:textId="77777777" w:rsidR="00A77651" w:rsidRDefault="00151715" w:rsidP="00ED747A">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151715">
        <w:rPr>
          <w:rFonts w:ascii="Arial" w:eastAsia="Times New Roman" w:hAnsi="Arial" w:cs="Arial"/>
          <w:sz w:val="20"/>
          <w:szCs w:val="20"/>
          <w:lang w:val="es-ES" w:eastAsia="es-ES"/>
        </w:rPr>
        <w:t>el artículo 59 de la mentada Ley señala con propiedad que “En materia del proceso de responsabilidad fiscal, solamente será demandable ante la jurisdicción de lo contencioso administrativo el Acto Administrativo con el cual termina el proceso, una vez se encuentre en firme”</w:t>
      </w:r>
      <w:r w:rsidR="00A77651">
        <w:rPr>
          <w:rFonts w:ascii="Arial" w:eastAsia="Times New Roman" w:hAnsi="Arial" w:cs="Arial"/>
          <w:sz w:val="20"/>
          <w:szCs w:val="20"/>
          <w:lang w:val="es-ES" w:eastAsia="es-ES"/>
        </w:rPr>
        <w:t>.</w:t>
      </w:r>
    </w:p>
    <w:p w14:paraId="3DAD6535" w14:textId="77777777" w:rsidR="00A77651" w:rsidRDefault="00A77651" w:rsidP="00ED747A">
      <w:pPr>
        <w:widowControl w:val="0"/>
        <w:autoSpaceDE w:val="0"/>
        <w:autoSpaceDN w:val="0"/>
        <w:spacing w:after="0" w:line="240" w:lineRule="auto"/>
        <w:jc w:val="both"/>
        <w:rPr>
          <w:rFonts w:ascii="Arial" w:eastAsia="Times New Roman" w:hAnsi="Arial" w:cs="Arial"/>
          <w:sz w:val="20"/>
          <w:szCs w:val="20"/>
          <w:lang w:val="es-ES" w:eastAsia="es-ES"/>
        </w:rPr>
      </w:pPr>
    </w:p>
    <w:p w14:paraId="0C6A5CCD" w14:textId="77777777" w:rsidR="00A77651" w:rsidRPr="00A77651" w:rsidRDefault="00A77651" w:rsidP="00A77651">
      <w:pPr>
        <w:widowControl w:val="0"/>
        <w:autoSpaceDE w:val="0"/>
        <w:autoSpaceDN w:val="0"/>
        <w:spacing w:after="0" w:line="240" w:lineRule="auto"/>
        <w:jc w:val="both"/>
        <w:rPr>
          <w:rFonts w:ascii="Arial" w:eastAsia="Times New Roman" w:hAnsi="Arial" w:cs="Arial"/>
          <w:sz w:val="20"/>
          <w:szCs w:val="20"/>
          <w:lang w:val="es-ES" w:eastAsia="es-ES"/>
        </w:rPr>
      </w:pPr>
      <w:r w:rsidRPr="00A77651">
        <w:rPr>
          <w:rFonts w:ascii="Arial" w:eastAsia="Times New Roman" w:hAnsi="Arial" w:cs="Arial"/>
          <w:sz w:val="20"/>
          <w:szCs w:val="20"/>
          <w:lang w:val="es-ES" w:eastAsia="es-ES"/>
        </w:rPr>
        <w:t>Esto para significar que los asuntos ventilados dentro del juicio de responsabilidad fiscal, allí se quedan como cuestión resuelta, en tanto no sean sometidos al escrutinio de la jurisdicción de lo contencioso administrativo, por medio de una demanda de nulidad y restablecimiento del derecho.</w:t>
      </w:r>
    </w:p>
    <w:p w14:paraId="6776D908" w14:textId="77777777" w:rsidR="00A77651" w:rsidRPr="00A77651" w:rsidRDefault="00A77651" w:rsidP="00A77651">
      <w:pPr>
        <w:widowControl w:val="0"/>
        <w:autoSpaceDE w:val="0"/>
        <w:autoSpaceDN w:val="0"/>
        <w:spacing w:after="0" w:line="240" w:lineRule="auto"/>
        <w:jc w:val="both"/>
        <w:rPr>
          <w:rFonts w:ascii="Arial" w:eastAsia="Times New Roman" w:hAnsi="Arial" w:cs="Arial"/>
          <w:sz w:val="20"/>
          <w:szCs w:val="20"/>
          <w:lang w:val="es-ES" w:eastAsia="es-ES"/>
        </w:rPr>
      </w:pPr>
    </w:p>
    <w:p w14:paraId="4DFAD8B0" w14:textId="6BDC811E" w:rsidR="00151715" w:rsidRDefault="00A77651" w:rsidP="00A77651">
      <w:pPr>
        <w:widowControl w:val="0"/>
        <w:autoSpaceDE w:val="0"/>
        <w:autoSpaceDN w:val="0"/>
        <w:spacing w:after="0" w:line="240" w:lineRule="auto"/>
        <w:jc w:val="both"/>
        <w:rPr>
          <w:rFonts w:ascii="Arial" w:eastAsia="Times New Roman" w:hAnsi="Arial" w:cs="Arial"/>
          <w:sz w:val="20"/>
          <w:szCs w:val="20"/>
          <w:lang w:val="es-ES" w:eastAsia="es-ES"/>
        </w:rPr>
      </w:pPr>
      <w:r w:rsidRPr="00A77651">
        <w:rPr>
          <w:rFonts w:ascii="Arial" w:eastAsia="Times New Roman" w:hAnsi="Arial" w:cs="Arial"/>
          <w:sz w:val="20"/>
          <w:szCs w:val="20"/>
          <w:lang w:val="es-ES" w:eastAsia="es-ES"/>
        </w:rPr>
        <w:t>Mal haría, entonces, el juez civil, en entrometerse en un asunto en el que ya existe una decisión en firme por parte de la autoridad legalmente autorizada para adoptarla</w:t>
      </w:r>
      <w:r w:rsidR="00151715">
        <w:rPr>
          <w:rFonts w:ascii="Arial" w:eastAsia="Times New Roman" w:hAnsi="Arial" w:cs="Arial"/>
          <w:sz w:val="20"/>
          <w:szCs w:val="20"/>
          <w:lang w:val="es-ES" w:eastAsia="es-ES"/>
        </w:rPr>
        <w:t>…</w:t>
      </w:r>
    </w:p>
    <w:p w14:paraId="5F7F8320" w14:textId="77777777" w:rsidR="00151715" w:rsidRPr="00ED747A" w:rsidRDefault="00151715" w:rsidP="00ED747A">
      <w:pPr>
        <w:widowControl w:val="0"/>
        <w:autoSpaceDE w:val="0"/>
        <w:autoSpaceDN w:val="0"/>
        <w:spacing w:after="0" w:line="240" w:lineRule="auto"/>
        <w:jc w:val="both"/>
        <w:rPr>
          <w:rFonts w:ascii="Arial" w:eastAsia="Times New Roman" w:hAnsi="Arial" w:cs="Arial"/>
          <w:sz w:val="20"/>
          <w:szCs w:val="20"/>
          <w:lang w:val="es-ES" w:eastAsia="es-ES"/>
        </w:rPr>
      </w:pPr>
    </w:p>
    <w:p w14:paraId="15E84CC5" w14:textId="12D03491" w:rsidR="00ED747A" w:rsidRDefault="00A77651" w:rsidP="00ED747A">
      <w:pPr>
        <w:widowControl w:val="0"/>
        <w:autoSpaceDE w:val="0"/>
        <w:autoSpaceDN w:val="0"/>
        <w:spacing w:after="0" w:line="240" w:lineRule="auto"/>
        <w:jc w:val="both"/>
        <w:rPr>
          <w:rFonts w:ascii="Arial" w:eastAsia="Times New Roman" w:hAnsi="Arial" w:cs="Arial"/>
          <w:sz w:val="20"/>
          <w:szCs w:val="20"/>
          <w:lang w:val="es-ES" w:eastAsia="es-ES"/>
        </w:rPr>
      </w:pPr>
      <w:r w:rsidRPr="00A77651">
        <w:rPr>
          <w:rFonts w:ascii="Arial" w:eastAsia="Times New Roman" w:hAnsi="Arial" w:cs="Arial"/>
          <w:sz w:val="20"/>
          <w:szCs w:val="20"/>
          <w:lang w:val="es-ES" w:eastAsia="es-ES"/>
        </w:rPr>
        <w:t>Dicho de otro modo, la decisión administrativa que declara la responsabilidad fiscal, que está amparada por una presunción de legalidad en los términos del artículo 88 de la Ley 1437 de 2011), tiene un relativo efecto de cosa juzgada, si no se acude a su anulación por la vía señalada y por medio de la autoridad competente para ese fin que es diferente al juez civil</w:t>
      </w:r>
      <w:r>
        <w:rPr>
          <w:rFonts w:ascii="Arial" w:eastAsia="Times New Roman" w:hAnsi="Arial" w:cs="Arial"/>
          <w:sz w:val="20"/>
          <w:szCs w:val="20"/>
          <w:lang w:val="es-ES" w:eastAsia="es-ES"/>
        </w:rPr>
        <w:t>…</w:t>
      </w:r>
    </w:p>
    <w:p w14:paraId="6BE6D7C3" w14:textId="77777777" w:rsidR="00A77651" w:rsidRPr="00ED747A" w:rsidRDefault="00A77651" w:rsidP="00ED747A">
      <w:pPr>
        <w:widowControl w:val="0"/>
        <w:autoSpaceDE w:val="0"/>
        <w:autoSpaceDN w:val="0"/>
        <w:spacing w:after="0" w:line="240" w:lineRule="auto"/>
        <w:jc w:val="both"/>
        <w:rPr>
          <w:rFonts w:ascii="Arial" w:eastAsia="Times New Roman" w:hAnsi="Arial" w:cs="Arial"/>
          <w:sz w:val="20"/>
          <w:szCs w:val="20"/>
          <w:lang w:val="es-ES" w:eastAsia="es-ES"/>
        </w:rPr>
      </w:pPr>
    </w:p>
    <w:p w14:paraId="0BD5E36F" w14:textId="77777777" w:rsidR="00ED747A" w:rsidRPr="00ED747A" w:rsidRDefault="00ED747A" w:rsidP="00ED747A">
      <w:pPr>
        <w:widowControl w:val="0"/>
        <w:autoSpaceDE w:val="0"/>
        <w:autoSpaceDN w:val="0"/>
        <w:spacing w:after="0" w:line="240" w:lineRule="auto"/>
        <w:jc w:val="both"/>
        <w:rPr>
          <w:rFonts w:ascii="Arial" w:eastAsia="Times New Roman" w:hAnsi="Arial" w:cs="Arial"/>
          <w:sz w:val="20"/>
          <w:szCs w:val="20"/>
          <w:lang w:val="es-ES" w:eastAsia="es-ES"/>
        </w:rPr>
      </w:pPr>
    </w:p>
    <w:p w14:paraId="2782BFD7" w14:textId="77777777" w:rsidR="00ED747A" w:rsidRPr="00ED747A" w:rsidRDefault="00ED747A" w:rsidP="00ED747A">
      <w:pPr>
        <w:widowControl w:val="0"/>
        <w:autoSpaceDE w:val="0"/>
        <w:autoSpaceDN w:val="0"/>
        <w:spacing w:after="0" w:line="240" w:lineRule="auto"/>
        <w:jc w:val="both"/>
        <w:rPr>
          <w:rFonts w:ascii="Arial" w:eastAsia="Times New Roman" w:hAnsi="Arial" w:cs="Arial"/>
          <w:sz w:val="20"/>
          <w:szCs w:val="20"/>
          <w:lang w:val="es-ES" w:eastAsia="es-ES"/>
        </w:rPr>
      </w:pPr>
    </w:p>
    <w:p w14:paraId="5E065C84" w14:textId="77777777" w:rsidR="00ED747A" w:rsidRPr="00ED747A" w:rsidRDefault="00ED747A" w:rsidP="00ED747A">
      <w:pPr>
        <w:widowControl w:val="0"/>
        <w:autoSpaceDE w:val="0"/>
        <w:autoSpaceDN w:val="0"/>
        <w:spacing w:after="0" w:line="276" w:lineRule="auto"/>
        <w:ind w:right="1213" w:firstLine="1701"/>
        <w:outlineLvl w:val="1"/>
        <w:rPr>
          <w:rFonts w:ascii="Gadugi" w:eastAsia="Gadugi" w:hAnsi="Gadugi" w:cs="Gadugi"/>
          <w:b/>
          <w:bCs/>
          <w:sz w:val="24"/>
          <w:szCs w:val="24"/>
          <w:lang w:val="es-ES"/>
        </w:rPr>
      </w:pPr>
      <w:r w:rsidRPr="00ED747A">
        <w:rPr>
          <w:rFonts w:ascii="Gadugi" w:eastAsia="Gadugi" w:hAnsi="Gadugi" w:cs="Gadugi"/>
          <w:b/>
          <w:bCs/>
          <w:sz w:val="24"/>
          <w:szCs w:val="24"/>
          <w:lang w:val="es-ES"/>
        </w:rPr>
        <w:t>TRIBUNAL SUPERIOR DEL DISTRITO JUDICIAL</w:t>
      </w:r>
    </w:p>
    <w:p w14:paraId="351823BF" w14:textId="77777777" w:rsidR="00ED747A" w:rsidRPr="00ED747A" w:rsidRDefault="00ED747A" w:rsidP="00ED747A">
      <w:pPr>
        <w:widowControl w:val="0"/>
        <w:autoSpaceDE w:val="0"/>
        <w:autoSpaceDN w:val="0"/>
        <w:spacing w:after="0" w:line="276" w:lineRule="auto"/>
        <w:ind w:left="423" w:right="1213" w:firstLine="1701"/>
        <w:outlineLvl w:val="1"/>
        <w:rPr>
          <w:rFonts w:ascii="Gadugi" w:eastAsia="Gadugi" w:hAnsi="Gadugi" w:cs="Gadugi"/>
          <w:b/>
          <w:bCs/>
          <w:sz w:val="24"/>
          <w:szCs w:val="24"/>
          <w:lang w:val="es-ES"/>
        </w:rPr>
      </w:pPr>
      <w:r w:rsidRPr="00ED747A">
        <w:rPr>
          <w:rFonts w:ascii="Gadugi" w:eastAsia="Calibri" w:hAnsi="Gadugi" w:cs="Times New Roman"/>
          <w:b/>
          <w:sz w:val="24"/>
          <w:szCs w:val="24"/>
          <w:lang w:val="es-ES"/>
        </w:rPr>
        <w:t xml:space="preserve">     SALA DE DECISIÓN CIVIL FAMILIA </w:t>
      </w:r>
    </w:p>
    <w:p w14:paraId="7A203086" w14:textId="77777777" w:rsidR="00ED747A" w:rsidRPr="00ED747A" w:rsidRDefault="00ED747A" w:rsidP="00ED747A">
      <w:pPr>
        <w:widowControl w:val="0"/>
        <w:autoSpaceDE w:val="0"/>
        <w:autoSpaceDN w:val="0"/>
        <w:spacing w:after="0" w:line="276" w:lineRule="auto"/>
        <w:ind w:firstLine="993"/>
        <w:jc w:val="both"/>
        <w:rPr>
          <w:rFonts w:ascii="Gadugi" w:eastAsia="Calibri" w:hAnsi="Gadugi" w:cs="Times New Roman"/>
          <w:sz w:val="24"/>
          <w:szCs w:val="24"/>
          <w:lang w:val="es-ES"/>
        </w:rPr>
      </w:pPr>
    </w:p>
    <w:p w14:paraId="3FF2723A" w14:textId="77777777" w:rsidR="00ED747A" w:rsidRPr="00ED747A" w:rsidRDefault="00ED747A" w:rsidP="00B476F8">
      <w:pPr>
        <w:widowControl w:val="0"/>
        <w:autoSpaceDE w:val="0"/>
        <w:autoSpaceDN w:val="0"/>
        <w:spacing w:after="0" w:line="276" w:lineRule="auto"/>
        <w:ind w:left="1701" w:right="51"/>
        <w:rPr>
          <w:rFonts w:ascii="Gadugi" w:eastAsia="Arial MT" w:hAnsi="Gadugi" w:cs="Arial MT"/>
          <w:sz w:val="24"/>
          <w:szCs w:val="24"/>
          <w:lang w:val="es-ES"/>
        </w:rPr>
      </w:pPr>
      <w:r w:rsidRPr="00ED747A">
        <w:rPr>
          <w:rFonts w:ascii="Gadugi" w:eastAsia="Arial MT" w:hAnsi="Gadugi" w:cs="Arial MT"/>
          <w:sz w:val="24"/>
          <w:szCs w:val="24"/>
          <w:lang w:val="es-ES"/>
        </w:rPr>
        <w:t>Magistrado:</w:t>
      </w:r>
      <w:r w:rsidRPr="00ED747A">
        <w:rPr>
          <w:rFonts w:ascii="Gadugi" w:eastAsia="Arial MT" w:hAnsi="Gadugi" w:cs="Arial MT"/>
          <w:sz w:val="24"/>
          <w:szCs w:val="24"/>
          <w:lang w:val="es-ES"/>
        </w:rPr>
        <w:tab/>
        <w:t>Jaime Alberto Saraza Naranjo</w:t>
      </w:r>
    </w:p>
    <w:bookmarkEnd w:id="0"/>
    <w:p w14:paraId="4189FAA2" w14:textId="1D5C3EA7" w:rsidR="002271F1" w:rsidRPr="00B476F8" w:rsidRDefault="002271F1" w:rsidP="00B476F8">
      <w:pPr>
        <w:widowControl w:val="0"/>
        <w:autoSpaceDE w:val="0"/>
        <w:autoSpaceDN w:val="0"/>
        <w:spacing w:after="0" w:line="276" w:lineRule="auto"/>
        <w:ind w:left="1701" w:right="51"/>
        <w:rPr>
          <w:rFonts w:ascii="Gadugi" w:eastAsia="Arial MT" w:hAnsi="Gadugi" w:cs="Arial MT"/>
          <w:sz w:val="24"/>
          <w:szCs w:val="24"/>
          <w:lang w:val="es-ES"/>
        </w:rPr>
      </w:pPr>
      <w:r w:rsidRPr="00B476F8">
        <w:rPr>
          <w:rFonts w:ascii="Gadugi" w:eastAsia="Arial MT" w:hAnsi="Gadugi" w:cs="Arial MT"/>
          <w:sz w:val="24"/>
          <w:szCs w:val="24"/>
          <w:lang w:val="es-ES"/>
        </w:rPr>
        <w:t>Pereira,</w:t>
      </w:r>
      <w:r w:rsidR="00320B0D" w:rsidRPr="00B476F8">
        <w:rPr>
          <w:rFonts w:ascii="Gadugi" w:eastAsia="Arial MT" w:hAnsi="Gadugi" w:cs="Arial MT"/>
          <w:sz w:val="24"/>
          <w:szCs w:val="24"/>
          <w:lang w:val="es-ES"/>
        </w:rPr>
        <w:tab/>
      </w:r>
      <w:r w:rsidR="00B476F8">
        <w:rPr>
          <w:rFonts w:ascii="Gadugi" w:eastAsia="Arial MT" w:hAnsi="Gadugi" w:cs="Arial MT"/>
          <w:sz w:val="24"/>
          <w:szCs w:val="24"/>
          <w:lang w:val="es-ES"/>
        </w:rPr>
        <w:tab/>
      </w:r>
      <w:r w:rsidR="00320B0D" w:rsidRPr="00B476F8">
        <w:rPr>
          <w:rFonts w:ascii="Gadugi" w:eastAsia="Arial MT" w:hAnsi="Gadugi" w:cs="Arial MT"/>
          <w:sz w:val="24"/>
          <w:szCs w:val="24"/>
          <w:lang w:val="es-ES"/>
        </w:rPr>
        <w:t>Noviembre tres de dos mil veintidós</w:t>
      </w:r>
    </w:p>
    <w:p w14:paraId="2B2C7DF0" w14:textId="006E2A5F" w:rsidR="002271F1" w:rsidRPr="00B476F8" w:rsidRDefault="002271F1" w:rsidP="00B476F8">
      <w:pPr>
        <w:widowControl w:val="0"/>
        <w:autoSpaceDE w:val="0"/>
        <w:autoSpaceDN w:val="0"/>
        <w:spacing w:after="0" w:line="276" w:lineRule="auto"/>
        <w:ind w:left="1701" w:right="51"/>
        <w:rPr>
          <w:rFonts w:ascii="Gadugi" w:eastAsia="Arial MT" w:hAnsi="Gadugi" w:cs="Arial MT"/>
          <w:sz w:val="24"/>
          <w:szCs w:val="24"/>
          <w:lang w:val="es-ES"/>
        </w:rPr>
      </w:pPr>
      <w:r w:rsidRPr="00B476F8">
        <w:rPr>
          <w:rFonts w:ascii="Gadugi" w:eastAsia="Arial MT" w:hAnsi="Gadugi" w:cs="Arial MT"/>
          <w:sz w:val="24"/>
          <w:szCs w:val="24"/>
          <w:lang w:val="es-ES"/>
        </w:rPr>
        <w:t>Acta No.</w:t>
      </w:r>
      <w:r w:rsidR="00B476F8">
        <w:rPr>
          <w:rFonts w:ascii="Gadugi" w:eastAsia="Arial MT" w:hAnsi="Gadugi" w:cs="Arial MT"/>
          <w:sz w:val="24"/>
          <w:szCs w:val="24"/>
          <w:lang w:val="es-ES"/>
        </w:rPr>
        <w:tab/>
      </w:r>
      <w:r w:rsidRPr="00B476F8">
        <w:rPr>
          <w:rFonts w:ascii="Gadugi" w:eastAsia="Arial MT" w:hAnsi="Gadugi" w:cs="Arial MT"/>
          <w:sz w:val="24"/>
          <w:szCs w:val="24"/>
          <w:lang w:val="es-ES"/>
        </w:rPr>
        <w:t xml:space="preserve"> </w:t>
      </w:r>
      <w:r w:rsidRPr="00B476F8">
        <w:rPr>
          <w:rFonts w:ascii="Gadugi" w:eastAsia="Arial MT" w:hAnsi="Gadugi" w:cs="Arial MT"/>
          <w:sz w:val="24"/>
          <w:szCs w:val="24"/>
          <w:lang w:val="es-ES"/>
        </w:rPr>
        <w:tab/>
      </w:r>
      <w:r w:rsidR="00320B0D" w:rsidRPr="00B476F8">
        <w:rPr>
          <w:rFonts w:ascii="Gadugi" w:eastAsia="Arial MT" w:hAnsi="Gadugi" w:cs="Arial MT"/>
          <w:sz w:val="24"/>
          <w:szCs w:val="24"/>
          <w:lang w:val="es-ES"/>
        </w:rPr>
        <w:t>554 del 3 de noviembre de 2022</w:t>
      </w:r>
      <w:r w:rsidRPr="00B476F8">
        <w:rPr>
          <w:rFonts w:ascii="Gadugi" w:eastAsia="Arial MT" w:hAnsi="Gadugi" w:cs="Arial MT"/>
          <w:sz w:val="24"/>
          <w:szCs w:val="24"/>
          <w:lang w:val="es-ES"/>
        </w:rPr>
        <w:t xml:space="preserve"> </w:t>
      </w:r>
    </w:p>
    <w:p w14:paraId="64E82D96" w14:textId="344C5F5C" w:rsidR="002271F1" w:rsidRPr="00B476F8" w:rsidRDefault="00EF3FBC" w:rsidP="00B476F8">
      <w:pPr>
        <w:widowControl w:val="0"/>
        <w:autoSpaceDE w:val="0"/>
        <w:autoSpaceDN w:val="0"/>
        <w:spacing w:after="0" w:line="276" w:lineRule="auto"/>
        <w:ind w:left="1701" w:right="51"/>
        <w:rPr>
          <w:rFonts w:ascii="Gadugi" w:eastAsia="Arial MT" w:hAnsi="Gadugi" w:cs="Arial MT"/>
          <w:sz w:val="24"/>
          <w:szCs w:val="24"/>
          <w:lang w:val="es-ES"/>
        </w:rPr>
      </w:pPr>
      <w:r w:rsidRPr="00B476F8">
        <w:rPr>
          <w:rFonts w:ascii="Gadugi" w:eastAsia="Arial MT" w:hAnsi="Gadugi" w:cs="Arial MT"/>
          <w:sz w:val="24"/>
          <w:szCs w:val="24"/>
          <w:lang w:val="es-ES"/>
        </w:rPr>
        <w:t>Sentencia No.</w:t>
      </w:r>
      <w:r w:rsidR="00B476F8">
        <w:rPr>
          <w:rFonts w:ascii="Gadugi" w:eastAsia="Arial MT" w:hAnsi="Gadugi" w:cs="Arial MT"/>
          <w:sz w:val="24"/>
          <w:szCs w:val="24"/>
          <w:lang w:val="es-ES"/>
        </w:rPr>
        <w:tab/>
      </w:r>
      <w:bookmarkStart w:id="1" w:name="_GoBack"/>
      <w:r w:rsidR="00320B0D" w:rsidRPr="00B476F8">
        <w:rPr>
          <w:rFonts w:ascii="Gadugi" w:eastAsia="Arial MT" w:hAnsi="Gadugi" w:cs="Arial MT"/>
          <w:sz w:val="24"/>
          <w:szCs w:val="24"/>
          <w:lang w:val="es-ES"/>
        </w:rPr>
        <w:t>SC-0061-2022</w:t>
      </w:r>
      <w:bookmarkEnd w:id="1"/>
    </w:p>
    <w:p w14:paraId="3A29C5AF" w14:textId="77777777" w:rsidR="002271F1" w:rsidRPr="00B476F8" w:rsidRDefault="002271F1" w:rsidP="00B476F8">
      <w:pPr>
        <w:tabs>
          <w:tab w:val="left" w:pos="4536"/>
        </w:tabs>
        <w:spacing w:after="0" w:line="276" w:lineRule="auto"/>
        <w:jc w:val="both"/>
        <w:rPr>
          <w:rFonts w:ascii="Gadugi" w:eastAsia="Malgun Gothic" w:hAnsi="Gadugi" w:cs="Estrangelo Edessa"/>
          <w:sz w:val="24"/>
          <w:szCs w:val="24"/>
        </w:rPr>
      </w:pPr>
    </w:p>
    <w:p w14:paraId="02CC973E" w14:textId="7FAE8B6E" w:rsidR="00FF7CDB" w:rsidRPr="00B476F8" w:rsidRDefault="00FF7CDB" w:rsidP="00B476F8">
      <w:pPr>
        <w:tabs>
          <w:tab w:val="left" w:pos="4536"/>
        </w:tabs>
        <w:spacing w:after="0" w:line="276" w:lineRule="auto"/>
        <w:jc w:val="both"/>
        <w:rPr>
          <w:rFonts w:ascii="Gadugi" w:eastAsia="Malgun Gothic" w:hAnsi="Gadugi" w:cs="Estrangelo Edessa"/>
          <w:sz w:val="24"/>
          <w:szCs w:val="24"/>
        </w:rPr>
      </w:pPr>
    </w:p>
    <w:p w14:paraId="4750D59E" w14:textId="2DE1E902" w:rsidR="0043513D" w:rsidRPr="00910871" w:rsidRDefault="00F54530" w:rsidP="00B476F8">
      <w:pPr>
        <w:tabs>
          <w:tab w:val="left" w:pos="4536"/>
        </w:tabs>
        <w:spacing w:after="0" w:line="276" w:lineRule="auto"/>
        <w:jc w:val="both"/>
        <w:rPr>
          <w:rFonts w:ascii="Gadugi" w:eastAsia="Malgun Gothic" w:hAnsi="Gadugi" w:cs="Estrangelo Edessa"/>
          <w:b/>
          <w:spacing w:val="-4"/>
          <w:sz w:val="24"/>
          <w:szCs w:val="24"/>
        </w:rPr>
      </w:pPr>
      <w:r w:rsidRPr="00910871">
        <w:rPr>
          <w:rFonts w:ascii="Gadugi" w:eastAsia="Malgun Gothic" w:hAnsi="Gadugi" w:cs="Estrangelo Edessa"/>
          <w:spacing w:val="-4"/>
          <w:sz w:val="24"/>
          <w:szCs w:val="24"/>
        </w:rPr>
        <w:t>Resuelve la Sala el recurso de apelación interpuesto</w:t>
      </w:r>
      <w:r w:rsidR="002271F1" w:rsidRPr="00910871">
        <w:rPr>
          <w:rFonts w:ascii="Gadugi" w:eastAsia="Malgun Gothic" w:hAnsi="Gadugi" w:cs="Estrangelo Edessa"/>
          <w:spacing w:val="-4"/>
          <w:sz w:val="24"/>
          <w:szCs w:val="24"/>
        </w:rPr>
        <w:t xml:space="preserve"> contra la sentencia del </w:t>
      </w:r>
      <w:r w:rsidR="00213603" w:rsidRPr="00910871">
        <w:rPr>
          <w:rFonts w:ascii="Gadugi" w:eastAsia="Malgun Gothic" w:hAnsi="Gadugi" w:cs="Estrangelo Edessa"/>
          <w:spacing w:val="-4"/>
          <w:sz w:val="24"/>
          <w:szCs w:val="24"/>
        </w:rPr>
        <w:t>19</w:t>
      </w:r>
      <w:r w:rsidR="009B5888" w:rsidRPr="00910871">
        <w:rPr>
          <w:rFonts w:ascii="Gadugi" w:eastAsia="Malgun Gothic" w:hAnsi="Gadugi" w:cs="Estrangelo Edessa"/>
          <w:spacing w:val="-4"/>
          <w:sz w:val="24"/>
          <w:szCs w:val="24"/>
        </w:rPr>
        <w:t xml:space="preserve"> d</w:t>
      </w:r>
      <w:r w:rsidR="00213603" w:rsidRPr="00910871">
        <w:rPr>
          <w:rFonts w:ascii="Gadugi" w:eastAsia="Malgun Gothic" w:hAnsi="Gadugi" w:cs="Estrangelo Edessa"/>
          <w:spacing w:val="-4"/>
          <w:sz w:val="24"/>
          <w:szCs w:val="24"/>
        </w:rPr>
        <w:t>e noviembre</w:t>
      </w:r>
      <w:r w:rsidR="009B5888" w:rsidRPr="00910871">
        <w:rPr>
          <w:rFonts w:ascii="Gadugi" w:eastAsia="Malgun Gothic" w:hAnsi="Gadugi" w:cs="Estrangelo Edessa"/>
          <w:spacing w:val="-4"/>
          <w:sz w:val="24"/>
          <w:szCs w:val="24"/>
        </w:rPr>
        <w:t xml:space="preserve"> </w:t>
      </w:r>
      <w:r w:rsidR="002271F1" w:rsidRPr="00910871">
        <w:rPr>
          <w:rFonts w:ascii="Gadugi" w:eastAsia="Malgun Gothic" w:hAnsi="Gadugi" w:cs="Estrangelo Edessa"/>
          <w:spacing w:val="-4"/>
          <w:sz w:val="24"/>
          <w:szCs w:val="24"/>
        </w:rPr>
        <w:t>de</w:t>
      </w:r>
      <w:r w:rsidR="00196F44" w:rsidRPr="00910871">
        <w:rPr>
          <w:rFonts w:ascii="Gadugi" w:eastAsia="Malgun Gothic" w:hAnsi="Gadugi" w:cs="Estrangelo Edessa"/>
          <w:spacing w:val="-4"/>
          <w:sz w:val="24"/>
          <w:szCs w:val="24"/>
        </w:rPr>
        <w:t>l</w:t>
      </w:r>
      <w:r w:rsidR="002271F1" w:rsidRPr="00910871">
        <w:rPr>
          <w:rFonts w:ascii="Gadugi" w:eastAsia="Malgun Gothic" w:hAnsi="Gadugi" w:cs="Estrangelo Edessa"/>
          <w:spacing w:val="-4"/>
          <w:sz w:val="24"/>
          <w:szCs w:val="24"/>
        </w:rPr>
        <w:t xml:space="preserve"> 202</w:t>
      </w:r>
      <w:r w:rsidR="00213603" w:rsidRPr="00910871">
        <w:rPr>
          <w:rFonts w:ascii="Gadugi" w:eastAsia="Malgun Gothic" w:hAnsi="Gadugi" w:cs="Estrangelo Edessa"/>
          <w:spacing w:val="-4"/>
          <w:sz w:val="24"/>
          <w:szCs w:val="24"/>
        </w:rPr>
        <w:t>0</w:t>
      </w:r>
      <w:r w:rsidR="00737FDF" w:rsidRPr="00910871">
        <w:rPr>
          <w:rStyle w:val="Refdenotaalpie"/>
          <w:rFonts w:ascii="Gadugi" w:eastAsia="Malgun Gothic" w:hAnsi="Gadugi" w:cs="Estrangelo Edessa"/>
          <w:spacing w:val="-4"/>
          <w:sz w:val="24"/>
          <w:szCs w:val="24"/>
        </w:rPr>
        <w:footnoteReference w:id="1"/>
      </w:r>
      <w:r w:rsidR="002271F1" w:rsidRPr="00910871">
        <w:rPr>
          <w:rFonts w:ascii="Gadugi" w:eastAsia="Malgun Gothic" w:hAnsi="Gadugi" w:cs="Estrangelo Edessa"/>
          <w:spacing w:val="-4"/>
          <w:sz w:val="24"/>
          <w:szCs w:val="24"/>
        </w:rPr>
        <w:t xml:space="preserve">, proferida por el </w:t>
      </w:r>
      <w:r w:rsidR="009B5888" w:rsidRPr="00910871">
        <w:rPr>
          <w:rFonts w:ascii="Gadugi" w:eastAsia="Malgun Gothic" w:hAnsi="Gadugi" w:cs="Estrangelo Edessa"/>
          <w:spacing w:val="-4"/>
          <w:sz w:val="24"/>
          <w:szCs w:val="24"/>
        </w:rPr>
        <w:t>Juzgado</w:t>
      </w:r>
      <w:r w:rsidR="00213603" w:rsidRPr="00910871">
        <w:rPr>
          <w:rFonts w:ascii="Gadugi" w:hAnsi="Gadugi"/>
          <w:spacing w:val="-4"/>
          <w:sz w:val="24"/>
          <w:szCs w:val="24"/>
        </w:rPr>
        <w:t xml:space="preserve"> </w:t>
      </w:r>
      <w:r w:rsidR="00213603" w:rsidRPr="00910871">
        <w:rPr>
          <w:rFonts w:ascii="Gadugi" w:eastAsia="Malgun Gothic" w:hAnsi="Gadugi" w:cs="Estrangelo Edessa"/>
          <w:spacing w:val="-4"/>
          <w:sz w:val="24"/>
          <w:szCs w:val="24"/>
        </w:rPr>
        <w:t xml:space="preserve">Tercero Civil </w:t>
      </w:r>
      <w:r w:rsidR="00B476F8" w:rsidRPr="00910871">
        <w:rPr>
          <w:rFonts w:ascii="Gadugi" w:eastAsia="Malgun Gothic" w:hAnsi="Gadugi" w:cs="Estrangelo Edessa"/>
          <w:spacing w:val="-4"/>
          <w:sz w:val="24"/>
          <w:szCs w:val="24"/>
        </w:rPr>
        <w:t>d</w:t>
      </w:r>
      <w:r w:rsidR="00213603" w:rsidRPr="00910871">
        <w:rPr>
          <w:rFonts w:ascii="Gadugi" w:eastAsia="Malgun Gothic" w:hAnsi="Gadugi" w:cs="Estrangelo Edessa"/>
          <w:spacing w:val="-4"/>
          <w:sz w:val="24"/>
          <w:szCs w:val="24"/>
        </w:rPr>
        <w:t xml:space="preserve">el Circuito </w:t>
      </w:r>
      <w:r w:rsidR="0043513D" w:rsidRPr="00910871">
        <w:rPr>
          <w:rFonts w:ascii="Gadugi" w:eastAsia="Malgun Gothic" w:hAnsi="Gadugi" w:cs="Estrangelo Edessa"/>
          <w:spacing w:val="-4"/>
          <w:sz w:val="24"/>
          <w:szCs w:val="24"/>
        </w:rPr>
        <w:t>Pereira</w:t>
      </w:r>
      <w:r w:rsidR="00917870" w:rsidRPr="00910871">
        <w:rPr>
          <w:rFonts w:ascii="Gadugi" w:eastAsia="Malgun Gothic" w:hAnsi="Gadugi" w:cs="Estrangelo Edessa"/>
          <w:spacing w:val="-4"/>
          <w:sz w:val="24"/>
          <w:szCs w:val="24"/>
        </w:rPr>
        <w:t>-Risaralda,</w:t>
      </w:r>
      <w:r w:rsidR="002271F1" w:rsidRPr="00910871">
        <w:rPr>
          <w:rFonts w:ascii="Gadugi" w:eastAsia="Malgun Gothic" w:hAnsi="Gadugi" w:cs="Estrangelo Edessa"/>
          <w:spacing w:val="-4"/>
          <w:sz w:val="24"/>
          <w:szCs w:val="24"/>
        </w:rPr>
        <w:t xml:space="preserve"> en este proceso </w:t>
      </w:r>
      <w:r w:rsidR="005F181C" w:rsidRPr="00910871">
        <w:rPr>
          <w:rFonts w:ascii="Gadugi" w:eastAsia="Malgun Gothic" w:hAnsi="Gadugi" w:cs="Estrangelo Edessa"/>
          <w:b/>
          <w:spacing w:val="-4"/>
          <w:sz w:val="24"/>
          <w:szCs w:val="24"/>
        </w:rPr>
        <w:t>acción de repetición</w:t>
      </w:r>
      <w:r w:rsidR="005F181C" w:rsidRPr="00910871">
        <w:rPr>
          <w:rFonts w:ascii="Gadugi" w:eastAsia="Malgun Gothic" w:hAnsi="Gadugi" w:cs="Estrangelo Edessa"/>
          <w:spacing w:val="-4"/>
          <w:sz w:val="24"/>
          <w:szCs w:val="24"/>
        </w:rPr>
        <w:t xml:space="preserve"> </w:t>
      </w:r>
      <w:r w:rsidR="002271F1" w:rsidRPr="00910871">
        <w:rPr>
          <w:rFonts w:ascii="Gadugi" w:eastAsia="Malgun Gothic" w:hAnsi="Gadugi" w:cs="Estrangelo Edessa"/>
          <w:spacing w:val="-4"/>
          <w:sz w:val="24"/>
          <w:szCs w:val="24"/>
        </w:rPr>
        <w:t>que inici</w:t>
      </w:r>
      <w:r w:rsidR="00AF083D" w:rsidRPr="00910871">
        <w:rPr>
          <w:rFonts w:ascii="Gadugi" w:eastAsia="Malgun Gothic" w:hAnsi="Gadugi" w:cs="Estrangelo Edessa"/>
          <w:spacing w:val="-4"/>
          <w:sz w:val="24"/>
          <w:szCs w:val="24"/>
        </w:rPr>
        <w:t>o</w:t>
      </w:r>
      <w:r w:rsidR="002271F1" w:rsidRPr="00910871">
        <w:rPr>
          <w:rFonts w:ascii="Gadugi" w:eastAsia="Malgun Gothic" w:hAnsi="Gadugi" w:cs="Estrangelo Edessa"/>
          <w:spacing w:val="-4"/>
          <w:sz w:val="24"/>
          <w:szCs w:val="24"/>
        </w:rPr>
        <w:t xml:space="preserve"> </w:t>
      </w:r>
      <w:r w:rsidR="007A7DF1" w:rsidRPr="00910871">
        <w:rPr>
          <w:rFonts w:ascii="Gadugi" w:eastAsia="Malgun Gothic" w:hAnsi="Gadugi" w:cs="Estrangelo Edessa"/>
          <w:b/>
          <w:spacing w:val="-4"/>
          <w:sz w:val="24"/>
          <w:szCs w:val="24"/>
        </w:rPr>
        <w:t>La Previsora</w:t>
      </w:r>
      <w:r w:rsidR="005F181C" w:rsidRPr="00910871">
        <w:rPr>
          <w:rFonts w:ascii="Gadugi" w:eastAsia="Malgun Gothic" w:hAnsi="Gadugi" w:cs="Estrangelo Edessa"/>
          <w:b/>
          <w:spacing w:val="-4"/>
          <w:sz w:val="24"/>
          <w:szCs w:val="24"/>
        </w:rPr>
        <w:t xml:space="preserve"> S.A. </w:t>
      </w:r>
      <w:r w:rsidR="00FE7D36" w:rsidRPr="00910871">
        <w:rPr>
          <w:rFonts w:ascii="Gadugi" w:eastAsia="Malgun Gothic" w:hAnsi="Gadugi" w:cs="Estrangelo Edessa"/>
          <w:b/>
          <w:spacing w:val="-4"/>
          <w:sz w:val="24"/>
          <w:szCs w:val="24"/>
        </w:rPr>
        <w:t>Compañía de Seguros</w:t>
      </w:r>
      <w:r w:rsidR="00FE7D36" w:rsidRPr="00910871">
        <w:rPr>
          <w:rFonts w:ascii="Gadugi" w:eastAsia="Malgun Gothic" w:hAnsi="Gadugi" w:cs="Estrangelo Edessa"/>
          <w:spacing w:val="-4"/>
          <w:sz w:val="24"/>
          <w:szCs w:val="24"/>
        </w:rPr>
        <w:t xml:space="preserve"> </w:t>
      </w:r>
      <w:r w:rsidR="002271F1" w:rsidRPr="00910871">
        <w:rPr>
          <w:rFonts w:ascii="Gadugi" w:eastAsia="Malgun Gothic" w:hAnsi="Gadugi" w:cs="Estrangelo Edessa"/>
          <w:bCs/>
          <w:spacing w:val="-4"/>
          <w:sz w:val="24"/>
          <w:szCs w:val="24"/>
        </w:rPr>
        <w:t>frente</w:t>
      </w:r>
      <w:r w:rsidR="002271F1" w:rsidRPr="00910871">
        <w:rPr>
          <w:rFonts w:ascii="Gadugi" w:eastAsia="Malgun Gothic" w:hAnsi="Gadugi" w:cs="Estrangelo Edessa"/>
          <w:b/>
          <w:spacing w:val="-4"/>
          <w:sz w:val="24"/>
          <w:szCs w:val="24"/>
        </w:rPr>
        <w:t xml:space="preserve"> </w:t>
      </w:r>
      <w:r w:rsidR="00AF1B8A" w:rsidRPr="00910871">
        <w:rPr>
          <w:rFonts w:ascii="Gadugi" w:eastAsia="Malgun Gothic" w:hAnsi="Gadugi" w:cs="Estrangelo Edessa"/>
          <w:spacing w:val="-4"/>
          <w:sz w:val="24"/>
          <w:szCs w:val="24"/>
        </w:rPr>
        <w:t>a</w:t>
      </w:r>
      <w:r w:rsidR="00AF1B8A" w:rsidRPr="00910871">
        <w:rPr>
          <w:rFonts w:ascii="Gadugi" w:hAnsi="Gadugi"/>
          <w:spacing w:val="-4"/>
          <w:sz w:val="24"/>
          <w:szCs w:val="24"/>
        </w:rPr>
        <w:t xml:space="preserve"> </w:t>
      </w:r>
      <w:r w:rsidR="00FE7D36" w:rsidRPr="00910871">
        <w:rPr>
          <w:rFonts w:ascii="Gadugi" w:eastAsia="Malgun Gothic" w:hAnsi="Gadugi" w:cs="Estrangelo Edessa"/>
          <w:b/>
          <w:spacing w:val="-4"/>
          <w:sz w:val="24"/>
          <w:szCs w:val="24"/>
        </w:rPr>
        <w:t>Gloría Inés Román Soto</w:t>
      </w:r>
      <w:r w:rsidR="005F181C" w:rsidRPr="00910871">
        <w:rPr>
          <w:rFonts w:ascii="Gadugi" w:eastAsia="Malgun Gothic" w:hAnsi="Gadugi" w:cs="Estrangelo Edessa"/>
          <w:b/>
          <w:spacing w:val="-4"/>
          <w:sz w:val="24"/>
          <w:szCs w:val="24"/>
        </w:rPr>
        <w:t xml:space="preserve"> </w:t>
      </w:r>
      <w:r w:rsidR="005F181C" w:rsidRPr="00910871">
        <w:rPr>
          <w:rFonts w:ascii="Gadugi" w:eastAsia="Malgun Gothic" w:hAnsi="Gadugi" w:cs="Estrangelo Edessa"/>
          <w:spacing w:val="-4"/>
          <w:sz w:val="24"/>
          <w:szCs w:val="24"/>
        </w:rPr>
        <w:t>y</w:t>
      </w:r>
      <w:r w:rsidR="005F181C" w:rsidRPr="00910871">
        <w:rPr>
          <w:rFonts w:ascii="Gadugi" w:eastAsia="Malgun Gothic" w:hAnsi="Gadugi" w:cs="Estrangelo Edessa"/>
          <w:b/>
          <w:spacing w:val="-4"/>
          <w:sz w:val="24"/>
          <w:szCs w:val="24"/>
        </w:rPr>
        <w:t xml:space="preserve"> </w:t>
      </w:r>
      <w:r w:rsidR="00FE7D36" w:rsidRPr="00910871">
        <w:rPr>
          <w:rFonts w:ascii="Gadugi" w:eastAsia="Malgun Gothic" w:hAnsi="Gadugi" w:cs="Estrangelo Edessa"/>
          <w:b/>
          <w:spacing w:val="-4"/>
          <w:sz w:val="24"/>
          <w:szCs w:val="24"/>
        </w:rPr>
        <w:t>Liliana Argenis Higuera Molina</w:t>
      </w:r>
      <w:r w:rsidR="005F181C" w:rsidRPr="00910871">
        <w:rPr>
          <w:rFonts w:ascii="Gadugi" w:eastAsia="Malgun Gothic" w:hAnsi="Gadugi" w:cs="Estrangelo Edessa"/>
          <w:spacing w:val="-4"/>
          <w:sz w:val="24"/>
          <w:szCs w:val="24"/>
        </w:rPr>
        <w:t>.</w:t>
      </w:r>
    </w:p>
    <w:p w14:paraId="6F919D84" w14:textId="723201EA" w:rsidR="002271F1" w:rsidRPr="00910871" w:rsidRDefault="002271F1" w:rsidP="00B476F8">
      <w:pPr>
        <w:tabs>
          <w:tab w:val="left" w:pos="4536"/>
        </w:tabs>
        <w:spacing w:after="0" w:line="276" w:lineRule="auto"/>
        <w:jc w:val="both"/>
        <w:rPr>
          <w:rFonts w:ascii="Gadugi" w:eastAsia="Malgun Gothic" w:hAnsi="Gadugi" w:cs="Estrangelo Edessa"/>
          <w:b/>
          <w:spacing w:val="-4"/>
          <w:sz w:val="24"/>
          <w:szCs w:val="24"/>
        </w:rPr>
      </w:pPr>
    </w:p>
    <w:p w14:paraId="47D39826" w14:textId="061D835D" w:rsidR="002271F1" w:rsidRPr="00910871" w:rsidRDefault="002271F1" w:rsidP="00B476F8">
      <w:pPr>
        <w:pStyle w:val="Prrafodelista"/>
        <w:numPr>
          <w:ilvl w:val="0"/>
          <w:numId w:val="1"/>
        </w:numPr>
        <w:tabs>
          <w:tab w:val="left" w:pos="426"/>
          <w:tab w:val="left" w:pos="4536"/>
        </w:tabs>
        <w:spacing w:after="0" w:line="276" w:lineRule="auto"/>
        <w:ind w:left="0" w:firstLine="0"/>
        <w:jc w:val="both"/>
        <w:rPr>
          <w:rFonts w:ascii="Gadugi" w:eastAsia="Malgun Gothic" w:hAnsi="Gadugi" w:cs="Estrangelo Edessa"/>
          <w:b/>
          <w:spacing w:val="-4"/>
          <w:sz w:val="24"/>
          <w:szCs w:val="24"/>
        </w:rPr>
      </w:pPr>
      <w:r w:rsidRPr="00910871">
        <w:rPr>
          <w:rFonts w:ascii="Gadugi" w:eastAsia="Malgun Gothic" w:hAnsi="Gadugi" w:cs="Estrangelo Edessa"/>
          <w:b/>
          <w:spacing w:val="-4"/>
          <w:sz w:val="24"/>
          <w:szCs w:val="24"/>
        </w:rPr>
        <w:t>ANTECEDENTES</w:t>
      </w:r>
    </w:p>
    <w:p w14:paraId="354536F7" w14:textId="77777777" w:rsidR="00FF7CDB" w:rsidRPr="00910871" w:rsidRDefault="00FF7CDB" w:rsidP="00B476F8">
      <w:pPr>
        <w:pStyle w:val="Prrafodelista"/>
        <w:tabs>
          <w:tab w:val="left" w:pos="426"/>
          <w:tab w:val="left" w:pos="4536"/>
        </w:tabs>
        <w:spacing w:after="0" w:line="276" w:lineRule="auto"/>
        <w:ind w:left="0"/>
        <w:jc w:val="both"/>
        <w:rPr>
          <w:rFonts w:ascii="Gadugi" w:eastAsia="Malgun Gothic" w:hAnsi="Gadugi" w:cs="Estrangelo Edessa"/>
          <w:b/>
          <w:spacing w:val="-4"/>
          <w:sz w:val="24"/>
          <w:szCs w:val="24"/>
        </w:rPr>
      </w:pPr>
    </w:p>
    <w:p w14:paraId="38C9C0FD" w14:textId="5830E524" w:rsidR="002271F1" w:rsidRPr="00910871" w:rsidRDefault="002271F1" w:rsidP="00B476F8">
      <w:pPr>
        <w:pStyle w:val="Prrafodelista"/>
        <w:numPr>
          <w:ilvl w:val="1"/>
          <w:numId w:val="1"/>
        </w:numPr>
        <w:tabs>
          <w:tab w:val="left" w:pos="567"/>
          <w:tab w:val="left" w:pos="3402"/>
        </w:tabs>
        <w:spacing w:after="0" w:line="276" w:lineRule="auto"/>
        <w:ind w:left="0" w:firstLine="0"/>
        <w:jc w:val="both"/>
        <w:rPr>
          <w:rStyle w:val="normaltextrun"/>
          <w:rFonts w:ascii="Gadugi" w:eastAsia="Malgun Gothic" w:hAnsi="Gadugi" w:cs="Estrangelo Edessa"/>
          <w:b/>
          <w:spacing w:val="-4"/>
          <w:sz w:val="24"/>
          <w:szCs w:val="24"/>
        </w:rPr>
      </w:pPr>
      <w:r w:rsidRPr="00910871">
        <w:rPr>
          <w:rFonts w:ascii="Gadugi" w:eastAsia="Malgun Gothic" w:hAnsi="Gadugi" w:cs="Estrangelo Edessa"/>
          <w:b/>
          <w:spacing w:val="-4"/>
          <w:sz w:val="24"/>
          <w:szCs w:val="24"/>
        </w:rPr>
        <w:t>Hechos</w:t>
      </w:r>
      <w:r w:rsidR="003F098E" w:rsidRPr="00910871">
        <w:rPr>
          <w:rStyle w:val="Refdenotaalpie"/>
          <w:rFonts w:ascii="Gadugi" w:eastAsia="Malgun Gothic" w:hAnsi="Gadugi" w:cs="Estrangelo Edessa"/>
          <w:b/>
          <w:spacing w:val="-4"/>
          <w:sz w:val="24"/>
          <w:szCs w:val="24"/>
        </w:rPr>
        <w:footnoteReference w:id="2"/>
      </w:r>
      <w:r w:rsidRPr="00910871">
        <w:rPr>
          <w:rFonts w:ascii="Gadugi" w:eastAsia="Malgun Gothic" w:hAnsi="Gadugi" w:cs="Estrangelo Edessa"/>
          <w:b/>
          <w:spacing w:val="-4"/>
          <w:sz w:val="24"/>
          <w:szCs w:val="24"/>
        </w:rPr>
        <w:t xml:space="preserve"> </w:t>
      </w:r>
    </w:p>
    <w:p w14:paraId="673B8212" w14:textId="77777777" w:rsidR="003F098E" w:rsidRPr="00910871" w:rsidRDefault="003F098E" w:rsidP="00B476F8">
      <w:pPr>
        <w:tabs>
          <w:tab w:val="left" w:pos="4536"/>
        </w:tabs>
        <w:spacing w:after="0" w:line="276" w:lineRule="auto"/>
        <w:jc w:val="both"/>
        <w:rPr>
          <w:rFonts w:ascii="Gadugi" w:eastAsia="Malgun Gothic" w:hAnsi="Gadugi" w:cs="Estrangelo Edessa"/>
          <w:spacing w:val="-4"/>
          <w:sz w:val="24"/>
          <w:szCs w:val="24"/>
        </w:rPr>
      </w:pPr>
    </w:p>
    <w:p w14:paraId="2A838C31" w14:textId="0F9087BB" w:rsidR="00C50E3D" w:rsidRPr="00910871" w:rsidRDefault="00FE7D36" w:rsidP="00B476F8">
      <w:pPr>
        <w:tabs>
          <w:tab w:val="left" w:pos="4536"/>
        </w:tabs>
        <w:spacing w:after="0" w:line="276" w:lineRule="auto"/>
        <w:jc w:val="both"/>
        <w:rPr>
          <w:rFonts w:ascii="Gadugi" w:hAnsi="Gadugi"/>
          <w:spacing w:val="-4"/>
          <w:sz w:val="24"/>
          <w:szCs w:val="24"/>
        </w:rPr>
      </w:pPr>
      <w:r w:rsidRPr="00910871">
        <w:rPr>
          <w:rFonts w:ascii="Gadugi" w:eastAsia="Malgun Gothic" w:hAnsi="Gadugi" w:cs="Estrangelo Edessa"/>
          <w:spacing w:val="-4"/>
          <w:sz w:val="24"/>
          <w:szCs w:val="24"/>
        </w:rPr>
        <w:t xml:space="preserve">Se aduce que contra Gloria Inés Román Soto </w:t>
      </w:r>
      <w:r w:rsidR="00C50E3D" w:rsidRPr="00910871">
        <w:rPr>
          <w:rFonts w:ascii="Gadugi" w:eastAsia="Malgun Gothic" w:hAnsi="Gadugi" w:cs="Estrangelo Edessa"/>
          <w:spacing w:val="-4"/>
          <w:sz w:val="24"/>
          <w:szCs w:val="24"/>
        </w:rPr>
        <w:t xml:space="preserve">y </w:t>
      </w:r>
      <w:r w:rsidRPr="00910871">
        <w:rPr>
          <w:rFonts w:ascii="Gadugi" w:eastAsia="Malgun Gothic" w:hAnsi="Gadugi" w:cs="Estrangelo Edessa"/>
          <w:spacing w:val="-4"/>
          <w:sz w:val="24"/>
          <w:szCs w:val="24"/>
        </w:rPr>
        <w:t>Liliana Argenis Higuera Molina</w:t>
      </w:r>
      <w:r w:rsidR="00C50E3D" w:rsidRPr="00910871">
        <w:rPr>
          <w:rFonts w:ascii="Gadugi" w:eastAsia="Malgun Gothic" w:hAnsi="Gadugi" w:cs="Estrangelo Edessa"/>
          <w:spacing w:val="-4"/>
          <w:sz w:val="24"/>
          <w:szCs w:val="24"/>
        </w:rPr>
        <w:t xml:space="preserve"> </w:t>
      </w:r>
      <w:r w:rsidRPr="00910871">
        <w:rPr>
          <w:rFonts w:ascii="Gadugi" w:eastAsia="Malgun Gothic" w:hAnsi="Gadugi" w:cs="Estrangelo Edessa"/>
          <w:spacing w:val="-4"/>
          <w:sz w:val="24"/>
          <w:szCs w:val="24"/>
        </w:rPr>
        <w:t xml:space="preserve">se adelantó </w:t>
      </w:r>
      <w:r w:rsidR="00C50E3D" w:rsidRPr="00910871">
        <w:rPr>
          <w:rFonts w:ascii="Gadugi" w:eastAsia="Malgun Gothic" w:hAnsi="Gadugi" w:cs="Estrangelo Edessa"/>
          <w:spacing w:val="-4"/>
          <w:sz w:val="24"/>
          <w:szCs w:val="24"/>
        </w:rPr>
        <w:t>proceso de responsabilidad fiscal</w:t>
      </w:r>
      <w:r w:rsidRPr="00910871">
        <w:rPr>
          <w:rFonts w:ascii="Gadugi" w:eastAsia="Malgun Gothic" w:hAnsi="Gadugi" w:cs="Estrangelo Edessa"/>
          <w:spacing w:val="-4"/>
          <w:sz w:val="24"/>
          <w:szCs w:val="24"/>
        </w:rPr>
        <w:t xml:space="preserve"> </w:t>
      </w:r>
      <w:r w:rsidR="00C50E3D" w:rsidRPr="00910871">
        <w:rPr>
          <w:rFonts w:ascii="Gadugi" w:eastAsia="Malgun Gothic" w:hAnsi="Gadugi" w:cs="Estrangelo Edessa"/>
          <w:spacing w:val="-4"/>
          <w:sz w:val="24"/>
          <w:szCs w:val="24"/>
        </w:rPr>
        <w:t>PRF-2013-00332_1027</w:t>
      </w:r>
      <w:r w:rsidRPr="00910871">
        <w:rPr>
          <w:rFonts w:ascii="Gadugi" w:eastAsia="Malgun Gothic" w:hAnsi="Gadugi" w:cs="Estrangelo Edessa"/>
          <w:spacing w:val="-4"/>
          <w:sz w:val="24"/>
          <w:szCs w:val="24"/>
        </w:rPr>
        <w:t>, por parte de la</w:t>
      </w:r>
      <w:r w:rsidR="00C50E3D" w:rsidRPr="00910871">
        <w:rPr>
          <w:rFonts w:ascii="Gadugi" w:eastAsia="Malgun Gothic" w:hAnsi="Gadugi" w:cs="Estrangelo Edessa"/>
          <w:spacing w:val="-4"/>
          <w:sz w:val="24"/>
          <w:szCs w:val="24"/>
        </w:rPr>
        <w:t xml:space="preserve"> Gerencia Departamental Colegiada de Risaralda de la Contraloría General de la República</w:t>
      </w:r>
      <w:r w:rsidRPr="00910871">
        <w:rPr>
          <w:rFonts w:ascii="Gadugi" w:eastAsia="Malgun Gothic" w:hAnsi="Gadugi" w:cs="Estrangelo Edessa"/>
          <w:spacing w:val="-4"/>
          <w:sz w:val="24"/>
          <w:szCs w:val="24"/>
        </w:rPr>
        <w:t>, en el que resultaron condenadas</w:t>
      </w:r>
      <w:r w:rsidR="000D79B8" w:rsidRPr="00910871">
        <w:rPr>
          <w:rFonts w:ascii="Gadugi" w:eastAsia="Malgun Gothic" w:hAnsi="Gadugi" w:cs="Estrangelo Edessa"/>
          <w:spacing w:val="-4"/>
          <w:sz w:val="24"/>
          <w:szCs w:val="24"/>
        </w:rPr>
        <w:t xml:space="preserve"> </w:t>
      </w:r>
      <w:r w:rsidR="00BB2F9E" w:rsidRPr="00910871">
        <w:rPr>
          <w:rFonts w:ascii="Gadugi" w:eastAsia="Malgun Gothic" w:hAnsi="Gadugi" w:cs="Estrangelo Edessa"/>
          <w:spacing w:val="-4"/>
          <w:sz w:val="24"/>
          <w:szCs w:val="24"/>
        </w:rPr>
        <w:t>por el detrimento patrimonial que sufrió la Universidad Tecnológica, en cuantía de $73’527.115,48</w:t>
      </w:r>
      <w:r w:rsidR="00C50E3D" w:rsidRPr="00910871">
        <w:rPr>
          <w:rFonts w:ascii="Gadugi" w:eastAsia="Malgun Gothic" w:hAnsi="Gadugi" w:cs="Estrangelo Edessa"/>
          <w:spacing w:val="-4"/>
          <w:sz w:val="24"/>
          <w:szCs w:val="24"/>
        </w:rPr>
        <w:t>.</w:t>
      </w:r>
      <w:r w:rsidR="00BB2F9E" w:rsidRPr="00910871">
        <w:rPr>
          <w:rFonts w:ascii="Gadugi" w:eastAsia="Malgun Gothic" w:hAnsi="Gadugi" w:cs="Estrangelo Edessa"/>
          <w:spacing w:val="-4"/>
          <w:sz w:val="24"/>
          <w:szCs w:val="24"/>
        </w:rPr>
        <w:t xml:space="preserve"> Contra esa decisión se</w:t>
      </w:r>
      <w:r w:rsidR="008A1AE0" w:rsidRPr="00910871">
        <w:rPr>
          <w:rFonts w:ascii="Gadugi" w:hAnsi="Gadugi"/>
          <w:spacing w:val="-4"/>
          <w:sz w:val="24"/>
          <w:szCs w:val="24"/>
        </w:rPr>
        <w:t xml:space="preserve"> interpuso recurso reposición, </w:t>
      </w:r>
      <w:r w:rsidR="00BB2F9E" w:rsidRPr="00910871">
        <w:rPr>
          <w:rFonts w:ascii="Gadugi" w:hAnsi="Gadugi"/>
          <w:spacing w:val="-4"/>
          <w:sz w:val="24"/>
          <w:szCs w:val="24"/>
        </w:rPr>
        <w:t xml:space="preserve">resuelto desfavorablemente. </w:t>
      </w:r>
    </w:p>
    <w:p w14:paraId="2AE2377E" w14:textId="3AE5F0F7" w:rsidR="001E2BCF" w:rsidRPr="00910871" w:rsidRDefault="001E2BCF" w:rsidP="00B476F8">
      <w:pPr>
        <w:spacing w:line="276" w:lineRule="auto"/>
        <w:jc w:val="both"/>
        <w:rPr>
          <w:rFonts w:ascii="Gadugi" w:hAnsi="Gadugi"/>
          <w:spacing w:val="-4"/>
          <w:sz w:val="24"/>
          <w:szCs w:val="24"/>
        </w:rPr>
      </w:pPr>
    </w:p>
    <w:p w14:paraId="35A983DE" w14:textId="2D6288A1" w:rsidR="00124FE7" w:rsidRPr="00910871" w:rsidRDefault="00D70C66" w:rsidP="00B476F8">
      <w:pPr>
        <w:spacing w:after="0" w:line="276" w:lineRule="auto"/>
        <w:jc w:val="both"/>
        <w:rPr>
          <w:rFonts w:ascii="Gadugi" w:hAnsi="Gadugi"/>
          <w:spacing w:val="-4"/>
          <w:sz w:val="24"/>
          <w:szCs w:val="24"/>
        </w:rPr>
      </w:pPr>
      <w:r w:rsidRPr="00910871">
        <w:rPr>
          <w:rFonts w:ascii="Gadugi" w:hAnsi="Gadugi"/>
          <w:spacing w:val="-4"/>
          <w:sz w:val="24"/>
          <w:szCs w:val="24"/>
        </w:rPr>
        <w:t xml:space="preserve">Entre la Universidad Tecnológica de Pereira y La Previsora </w:t>
      </w:r>
      <w:r w:rsidR="00BB2F9E" w:rsidRPr="00910871">
        <w:rPr>
          <w:rFonts w:ascii="Gadugi" w:hAnsi="Gadugi"/>
          <w:spacing w:val="-4"/>
          <w:sz w:val="24"/>
          <w:szCs w:val="24"/>
        </w:rPr>
        <w:t>S</w:t>
      </w:r>
      <w:r w:rsidR="00282E2A" w:rsidRPr="00910871">
        <w:rPr>
          <w:rFonts w:ascii="Gadugi" w:hAnsi="Gadugi"/>
          <w:spacing w:val="-4"/>
          <w:sz w:val="24"/>
          <w:szCs w:val="24"/>
        </w:rPr>
        <w:t>.</w:t>
      </w:r>
      <w:r w:rsidR="00BB2F9E" w:rsidRPr="00910871">
        <w:rPr>
          <w:rFonts w:ascii="Gadugi" w:hAnsi="Gadugi"/>
          <w:spacing w:val="-4"/>
          <w:sz w:val="24"/>
          <w:szCs w:val="24"/>
        </w:rPr>
        <w:t>A</w:t>
      </w:r>
      <w:r w:rsidR="00282E2A" w:rsidRPr="00910871">
        <w:rPr>
          <w:rFonts w:ascii="Gadugi" w:hAnsi="Gadugi"/>
          <w:spacing w:val="-4"/>
          <w:sz w:val="24"/>
          <w:szCs w:val="24"/>
        </w:rPr>
        <w:t>.</w:t>
      </w:r>
      <w:r w:rsidR="00BB2F9E" w:rsidRPr="00910871">
        <w:rPr>
          <w:rFonts w:ascii="Gadugi" w:hAnsi="Gadugi"/>
          <w:spacing w:val="-4"/>
          <w:sz w:val="24"/>
          <w:szCs w:val="24"/>
        </w:rPr>
        <w:t xml:space="preserve"> </w:t>
      </w:r>
      <w:r w:rsidRPr="00910871">
        <w:rPr>
          <w:rFonts w:ascii="Gadugi" w:hAnsi="Gadugi"/>
          <w:spacing w:val="-4"/>
          <w:sz w:val="24"/>
          <w:szCs w:val="24"/>
        </w:rPr>
        <w:t>se celebró un contrato de seguro identificado</w:t>
      </w:r>
      <w:r w:rsidR="00BB2F9E" w:rsidRPr="00910871">
        <w:rPr>
          <w:rFonts w:ascii="Gadugi" w:hAnsi="Gadugi"/>
          <w:spacing w:val="-4"/>
          <w:sz w:val="24"/>
          <w:szCs w:val="24"/>
        </w:rPr>
        <w:t xml:space="preserve">, contenido en la </w:t>
      </w:r>
      <w:r w:rsidRPr="00910871">
        <w:rPr>
          <w:rFonts w:ascii="Gadugi" w:hAnsi="Gadugi"/>
          <w:spacing w:val="-4"/>
          <w:sz w:val="24"/>
          <w:szCs w:val="24"/>
        </w:rPr>
        <w:t>póliza número 1002170 “</w:t>
      </w:r>
      <w:r w:rsidRPr="00910871">
        <w:rPr>
          <w:rFonts w:ascii="Gadugi" w:hAnsi="Gadugi"/>
          <w:spacing w:val="-4"/>
          <w:szCs w:val="24"/>
        </w:rPr>
        <w:t>Seguro Manejo Póliza Global Sector Oficial</w:t>
      </w:r>
      <w:r w:rsidRPr="00910871">
        <w:rPr>
          <w:rFonts w:ascii="Gadugi" w:hAnsi="Gadugi"/>
          <w:spacing w:val="-4"/>
          <w:sz w:val="24"/>
          <w:szCs w:val="24"/>
        </w:rPr>
        <w:t>”, en virtud de</w:t>
      </w:r>
      <w:r w:rsidR="00BB2F9E" w:rsidRPr="00910871">
        <w:rPr>
          <w:rFonts w:ascii="Gadugi" w:hAnsi="Gadugi"/>
          <w:spacing w:val="-4"/>
          <w:sz w:val="24"/>
          <w:szCs w:val="24"/>
        </w:rPr>
        <w:t>l cual la aseguradora pagó, el 22 de julio de 2018, la suma de $</w:t>
      </w:r>
      <w:r w:rsidRPr="00910871">
        <w:rPr>
          <w:rFonts w:ascii="Gadugi" w:hAnsi="Gadugi"/>
          <w:spacing w:val="-4"/>
          <w:sz w:val="24"/>
          <w:szCs w:val="24"/>
        </w:rPr>
        <w:t>69</w:t>
      </w:r>
      <w:r w:rsidR="00BB2F9E" w:rsidRPr="00910871">
        <w:rPr>
          <w:rFonts w:ascii="Gadugi" w:hAnsi="Gadugi"/>
          <w:spacing w:val="-4"/>
          <w:sz w:val="24"/>
          <w:szCs w:val="24"/>
        </w:rPr>
        <w:t>’</w:t>
      </w:r>
      <w:r w:rsidRPr="00910871">
        <w:rPr>
          <w:rFonts w:ascii="Gadugi" w:hAnsi="Gadugi"/>
          <w:spacing w:val="-4"/>
          <w:sz w:val="24"/>
          <w:szCs w:val="24"/>
        </w:rPr>
        <w:t>409.696.00, en su calidad de garante, vinculado como tercero civilmente responsable dentro del  proceso de Responsabilidad Fiscal</w:t>
      </w:r>
      <w:r w:rsidR="00BB2F9E" w:rsidRPr="00910871">
        <w:rPr>
          <w:rFonts w:ascii="Gadugi" w:hAnsi="Gadugi"/>
          <w:spacing w:val="-4"/>
          <w:sz w:val="24"/>
          <w:szCs w:val="24"/>
        </w:rPr>
        <w:t xml:space="preserve">, por lo que se subrogó en los derechos que tenía el asegurado, en los términos del artículo 1096 del C. de Comercio. </w:t>
      </w:r>
    </w:p>
    <w:p w14:paraId="1CCF6AA2" w14:textId="04C56E37" w:rsidR="002271F1" w:rsidRPr="00910871" w:rsidRDefault="002271F1" w:rsidP="00B476F8">
      <w:pPr>
        <w:spacing w:after="0" w:line="276" w:lineRule="auto"/>
        <w:jc w:val="both"/>
        <w:rPr>
          <w:rFonts w:ascii="Gadugi" w:eastAsia="Malgun Gothic" w:hAnsi="Gadugi" w:cs="Estrangelo Edessa"/>
          <w:spacing w:val="-4"/>
          <w:sz w:val="24"/>
          <w:szCs w:val="24"/>
        </w:rPr>
      </w:pPr>
    </w:p>
    <w:p w14:paraId="21A5E456" w14:textId="77777777" w:rsidR="00124FE7" w:rsidRPr="00910871" w:rsidRDefault="002271F1" w:rsidP="00B476F8">
      <w:pPr>
        <w:pStyle w:val="Prrafodelista"/>
        <w:numPr>
          <w:ilvl w:val="1"/>
          <w:numId w:val="1"/>
        </w:numPr>
        <w:tabs>
          <w:tab w:val="left" w:pos="567"/>
          <w:tab w:val="left" w:pos="3402"/>
        </w:tabs>
        <w:spacing w:after="0" w:line="276" w:lineRule="auto"/>
        <w:ind w:left="0" w:firstLine="0"/>
        <w:jc w:val="both"/>
        <w:rPr>
          <w:rFonts w:ascii="Gadugi" w:eastAsia="Calibri" w:hAnsi="Gadugi" w:cs="Times New Roman"/>
          <w:spacing w:val="-4"/>
          <w:sz w:val="24"/>
          <w:szCs w:val="24"/>
        </w:rPr>
      </w:pPr>
      <w:r w:rsidRPr="00910871">
        <w:rPr>
          <w:rFonts w:ascii="Gadugi" w:eastAsia="Calibri" w:hAnsi="Gadugi" w:cs="Times New Roman"/>
          <w:b/>
          <w:spacing w:val="-4"/>
          <w:sz w:val="24"/>
          <w:szCs w:val="24"/>
        </w:rPr>
        <w:t>Pretensiones</w:t>
      </w:r>
      <w:r w:rsidR="00124FE7" w:rsidRPr="00910871">
        <w:rPr>
          <w:rStyle w:val="Refdenotaalpie"/>
          <w:rFonts w:ascii="Gadugi" w:eastAsia="Calibri" w:hAnsi="Gadugi" w:cs="Times New Roman"/>
          <w:b/>
          <w:spacing w:val="-4"/>
          <w:sz w:val="24"/>
          <w:szCs w:val="24"/>
        </w:rPr>
        <w:footnoteReference w:id="3"/>
      </w:r>
    </w:p>
    <w:p w14:paraId="4B478E1C" w14:textId="134037B5" w:rsidR="002271F1" w:rsidRPr="00910871" w:rsidRDefault="002271F1" w:rsidP="00B476F8">
      <w:pPr>
        <w:pStyle w:val="Prrafodelista"/>
        <w:tabs>
          <w:tab w:val="left" w:pos="567"/>
          <w:tab w:val="left" w:pos="3402"/>
        </w:tabs>
        <w:spacing w:after="0" w:line="276" w:lineRule="auto"/>
        <w:ind w:left="0"/>
        <w:jc w:val="both"/>
        <w:rPr>
          <w:rFonts w:ascii="Gadugi" w:eastAsia="Calibri" w:hAnsi="Gadugi" w:cs="Times New Roman"/>
          <w:spacing w:val="-4"/>
          <w:sz w:val="24"/>
          <w:szCs w:val="24"/>
        </w:rPr>
      </w:pPr>
      <w:r w:rsidRPr="00910871">
        <w:rPr>
          <w:rFonts w:ascii="Gadugi" w:eastAsia="Calibri" w:hAnsi="Gadugi" w:cs="Times New Roman"/>
          <w:b/>
          <w:spacing w:val="-4"/>
          <w:sz w:val="24"/>
          <w:szCs w:val="24"/>
        </w:rPr>
        <w:t xml:space="preserve"> </w:t>
      </w:r>
    </w:p>
    <w:p w14:paraId="0CF78B08" w14:textId="35525A83" w:rsidR="008A6DC5" w:rsidRPr="00910871" w:rsidRDefault="00124FE7" w:rsidP="00B476F8">
      <w:pPr>
        <w:pStyle w:val="Prrafodelista"/>
        <w:tabs>
          <w:tab w:val="left" w:pos="3402"/>
        </w:tabs>
        <w:spacing w:after="0" w:line="276" w:lineRule="auto"/>
        <w:ind w:left="0"/>
        <w:jc w:val="both"/>
        <w:rPr>
          <w:rFonts w:ascii="Gadugi" w:eastAsia="Calibri" w:hAnsi="Gadugi" w:cs="Times New Roman"/>
          <w:spacing w:val="-4"/>
          <w:sz w:val="24"/>
          <w:szCs w:val="24"/>
        </w:rPr>
      </w:pPr>
      <w:r w:rsidRPr="00910871">
        <w:rPr>
          <w:rFonts w:ascii="Gadugi" w:eastAsia="Calibri" w:hAnsi="Gadugi" w:cs="Times New Roman"/>
          <w:spacing w:val="-4"/>
          <w:sz w:val="24"/>
          <w:szCs w:val="24"/>
        </w:rPr>
        <w:t xml:space="preserve">Pidió que: </w:t>
      </w:r>
      <w:r w:rsidR="002271F1" w:rsidRPr="00910871">
        <w:rPr>
          <w:rFonts w:ascii="Gadugi" w:eastAsia="Calibri" w:hAnsi="Gadugi" w:cs="Times New Roman"/>
          <w:spacing w:val="-4"/>
          <w:sz w:val="24"/>
          <w:szCs w:val="24"/>
        </w:rPr>
        <w:t xml:space="preserve">(i) </w:t>
      </w:r>
      <w:r w:rsidRPr="00910871">
        <w:rPr>
          <w:rFonts w:ascii="Gadugi" w:eastAsia="Calibri" w:hAnsi="Gadugi" w:cs="Times New Roman"/>
          <w:spacing w:val="-4"/>
          <w:sz w:val="24"/>
          <w:szCs w:val="24"/>
        </w:rPr>
        <w:t>se d</w:t>
      </w:r>
      <w:r w:rsidR="009068DB" w:rsidRPr="00910871">
        <w:rPr>
          <w:rFonts w:ascii="Gadugi" w:eastAsia="Calibri" w:hAnsi="Gadugi" w:cs="Times New Roman"/>
          <w:spacing w:val="-4"/>
          <w:sz w:val="24"/>
          <w:szCs w:val="24"/>
        </w:rPr>
        <w:t xml:space="preserve">eclare que </w:t>
      </w:r>
      <w:r w:rsidRPr="00910871">
        <w:rPr>
          <w:rFonts w:ascii="Gadugi" w:eastAsia="Calibri" w:hAnsi="Gadugi" w:cs="Times New Roman"/>
          <w:spacing w:val="-4"/>
          <w:sz w:val="24"/>
          <w:szCs w:val="24"/>
        </w:rPr>
        <w:t>La Previsora S</w:t>
      </w:r>
      <w:r w:rsidR="003C2F31" w:rsidRPr="00910871">
        <w:rPr>
          <w:rFonts w:ascii="Gadugi" w:eastAsia="Calibri" w:hAnsi="Gadugi" w:cs="Times New Roman"/>
          <w:spacing w:val="-4"/>
          <w:sz w:val="24"/>
          <w:szCs w:val="24"/>
        </w:rPr>
        <w:t>.</w:t>
      </w:r>
      <w:r w:rsidRPr="00910871">
        <w:rPr>
          <w:rFonts w:ascii="Gadugi" w:eastAsia="Calibri" w:hAnsi="Gadugi" w:cs="Times New Roman"/>
          <w:spacing w:val="-4"/>
          <w:sz w:val="24"/>
          <w:szCs w:val="24"/>
        </w:rPr>
        <w:t>A</w:t>
      </w:r>
      <w:r w:rsidR="003C2F31" w:rsidRPr="00910871">
        <w:rPr>
          <w:rFonts w:ascii="Gadugi" w:eastAsia="Calibri" w:hAnsi="Gadugi" w:cs="Times New Roman"/>
          <w:spacing w:val="-4"/>
          <w:sz w:val="24"/>
          <w:szCs w:val="24"/>
        </w:rPr>
        <w:t>.</w:t>
      </w:r>
      <w:r w:rsidRPr="00910871">
        <w:rPr>
          <w:rFonts w:ascii="Gadugi" w:eastAsia="Calibri" w:hAnsi="Gadugi" w:cs="Times New Roman"/>
          <w:spacing w:val="-4"/>
          <w:sz w:val="24"/>
          <w:szCs w:val="24"/>
        </w:rPr>
        <w:t xml:space="preserve"> Compañía de Seguros, </w:t>
      </w:r>
      <w:r w:rsidR="009068DB" w:rsidRPr="00910871">
        <w:rPr>
          <w:rFonts w:ascii="Gadugi" w:eastAsia="Calibri" w:hAnsi="Gadugi" w:cs="Times New Roman"/>
          <w:spacing w:val="-4"/>
          <w:sz w:val="24"/>
          <w:szCs w:val="24"/>
        </w:rPr>
        <w:t xml:space="preserve">se subrogó en los derechos de la Universidad Tecnológica de Pereira en contra de las </w:t>
      </w:r>
      <w:r w:rsidRPr="00910871">
        <w:rPr>
          <w:rFonts w:ascii="Gadugi" w:eastAsia="Calibri" w:hAnsi="Gadugi" w:cs="Times New Roman"/>
          <w:spacing w:val="-4"/>
          <w:sz w:val="24"/>
          <w:szCs w:val="24"/>
        </w:rPr>
        <w:t xml:space="preserve">demandadas; </w:t>
      </w:r>
      <w:r w:rsidR="00364732" w:rsidRPr="00910871">
        <w:rPr>
          <w:rFonts w:ascii="Gadugi" w:eastAsia="Calibri" w:hAnsi="Gadugi" w:cs="Times New Roman"/>
          <w:spacing w:val="-4"/>
          <w:sz w:val="24"/>
          <w:szCs w:val="24"/>
        </w:rPr>
        <w:t xml:space="preserve">(ii) </w:t>
      </w:r>
      <w:r w:rsidRPr="00910871">
        <w:rPr>
          <w:rFonts w:ascii="Gadugi" w:eastAsia="Calibri" w:hAnsi="Gadugi" w:cs="Times New Roman"/>
          <w:spacing w:val="-4"/>
          <w:sz w:val="24"/>
          <w:szCs w:val="24"/>
        </w:rPr>
        <w:t xml:space="preserve">se les declare </w:t>
      </w:r>
      <w:r w:rsidR="009068DB" w:rsidRPr="00910871">
        <w:rPr>
          <w:rFonts w:ascii="Gadugi" w:eastAsia="Calibri" w:hAnsi="Gadugi" w:cs="Times New Roman"/>
          <w:spacing w:val="-4"/>
          <w:sz w:val="24"/>
          <w:szCs w:val="24"/>
        </w:rPr>
        <w:t xml:space="preserve">solidariamente responsables por los dineros pagados por </w:t>
      </w:r>
      <w:r w:rsidR="003B39A3" w:rsidRPr="00910871">
        <w:rPr>
          <w:rFonts w:ascii="Gadugi" w:eastAsia="Calibri" w:hAnsi="Gadugi" w:cs="Times New Roman"/>
          <w:spacing w:val="-4"/>
          <w:sz w:val="24"/>
          <w:szCs w:val="24"/>
        </w:rPr>
        <w:t xml:space="preserve">la </w:t>
      </w:r>
      <w:r w:rsidR="00030108" w:rsidRPr="00910871">
        <w:rPr>
          <w:rFonts w:ascii="Gadugi" w:eastAsia="Calibri" w:hAnsi="Gadugi" w:cs="Times New Roman"/>
          <w:spacing w:val="-4"/>
          <w:sz w:val="24"/>
          <w:szCs w:val="24"/>
        </w:rPr>
        <w:t>aseguradora</w:t>
      </w:r>
      <w:r w:rsidRPr="00910871">
        <w:rPr>
          <w:rFonts w:ascii="Gadugi" w:eastAsia="Calibri" w:hAnsi="Gadugi" w:cs="Times New Roman"/>
          <w:spacing w:val="-4"/>
          <w:sz w:val="24"/>
          <w:szCs w:val="24"/>
        </w:rPr>
        <w:t xml:space="preserve">; </w:t>
      </w:r>
      <w:r w:rsidR="009068DB" w:rsidRPr="00910871">
        <w:rPr>
          <w:rFonts w:ascii="Gadugi" w:eastAsia="Calibri" w:hAnsi="Gadugi" w:cs="Times New Roman"/>
          <w:spacing w:val="-4"/>
          <w:sz w:val="24"/>
          <w:szCs w:val="24"/>
        </w:rPr>
        <w:t xml:space="preserve">(iii) </w:t>
      </w:r>
      <w:r w:rsidRPr="00910871">
        <w:rPr>
          <w:rFonts w:ascii="Gadugi" w:eastAsia="Calibri" w:hAnsi="Gadugi" w:cs="Times New Roman"/>
          <w:spacing w:val="-4"/>
          <w:sz w:val="24"/>
          <w:szCs w:val="24"/>
        </w:rPr>
        <w:t xml:space="preserve">se les condene </w:t>
      </w:r>
      <w:r w:rsidR="005625A1" w:rsidRPr="00910871">
        <w:rPr>
          <w:rFonts w:ascii="Gadugi" w:eastAsia="Calibri" w:hAnsi="Gadugi" w:cs="Times New Roman"/>
          <w:spacing w:val="-4"/>
          <w:sz w:val="24"/>
          <w:szCs w:val="24"/>
        </w:rPr>
        <w:t xml:space="preserve">a pagarle </w:t>
      </w:r>
      <w:r w:rsidR="009068DB" w:rsidRPr="00910871">
        <w:rPr>
          <w:rFonts w:ascii="Gadugi" w:eastAsia="Calibri" w:hAnsi="Gadugi" w:cs="Times New Roman"/>
          <w:spacing w:val="-4"/>
          <w:sz w:val="24"/>
          <w:szCs w:val="24"/>
        </w:rPr>
        <w:t>la suma de $69</w:t>
      </w:r>
      <w:r w:rsidR="005625A1" w:rsidRPr="00910871">
        <w:rPr>
          <w:rFonts w:ascii="Gadugi" w:eastAsia="Calibri" w:hAnsi="Gadugi" w:cs="Times New Roman"/>
          <w:spacing w:val="-4"/>
          <w:sz w:val="24"/>
          <w:szCs w:val="24"/>
        </w:rPr>
        <w:t>’</w:t>
      </w:r>
      <w:r w:rsidR="009068DB" w:rsidRPr="00910871">
        <w:rPr>
          <w:rFonts w:ascii="Gadugi" w:eastAsia="Calibri" w:hAnsi="Gadugi" w:cs="Times New Roman"/>
          <w:spacing w:val="-4"/>
          <w:sz w:val="24"/>
          <w:szCs w:val="24"/>
        </w:rPr>
        <w:t>409.696</w:t>
      </w:r>
      <w:r w:rsidR="005625A1" w:rsidRPr="00910871">
        <w:rPr>
          <w:rFonts w:ascii="Gadugi" w:eastAsia="Calibri" w:hAnsi="Gadugi" w:cs="Times New Roman"/>
          <w:spacing w:val="-4"/>
          <w:sz w:val="24"/>
          <w:szCs w:val="24"/>
        </w:rPr>
        <w:t>,</w:t>
      </w:r>
      <w:r w:rsidR="00B038EC" w:rsidRPr="00910871">
        <w:rPr>
          <w:rFonts w:ascii="Gadugi" w:eastAsia="Calibri" w:hAnsi="Gadugi" w:cs="Times New Roman"/>
          <w:spacing w:val="-4"/>
          <w:sz w:val="24"/>
          <w:szCs w:val="24"/>
        </w:rPr>
        <w:t>00</w:t>
      </w:r>
      <w:r w:rsidR="009068DB" w:rsidRPr="00910871">
        <w:rPr>
          <w:rFonts w:ascii="Gadugi" w:eastAsia="Calibri" w:hAnsi="Gadugi" w:cs="Times New Roman"/>
          <w:spacing w:val="-4"/>
          <w:sz w:val="24"/>
          <w:szCs w:val="24"/>
        </w:rPr>
        <w:t xml:space="preserve"> correspondiente al valor indemnizado</w:t>
      </w:r>
      <w:r w:rsidR="005625A1" w:rsidRPr="00910871">
        <w:rPr>
          <w:rFonts w:ascii="Gadugi" w:eastAsia="Calibri" w:hAnsi="Gadugi" w:cs="Times New Roman"/>
          <w:spacing w:val="-4"/>
          <w:sz w:val="24"/>
          <w:szCs w:val="24"/>
        </w:rPr>
        <w:t xml:space="preserve">, más los intereses moratorios sobre esa cantidad o, en subsidio, la indexación. </w:t>
      </w:r>
    </w:p>
    <w:p w14:paraId="6149A9F2" w14:textId="77777777" w:rsidR="00A70CE9" w:rsidRPr="00910871" w:rsidRDefault="00A70CE9" w:rsidP="00B476F8">
      <w:pPr>
        <w:tabs>
          <w:tab w:val="left" w:pos="567"/>
          <w:tab w:val="left" w:pos="3402"/>
        </w:tabs>
        <w:spacing w:after="0" w:line="276" w:lineRule="auto"/>
        <w:jc w:val="both"/>
        <w:rPr>
          <w:rFonts w:ascii="Gadugi" w:eastAsia="Calibri" w:hAnsi="Gadugi" w:cs="Times New Roman"/>
          <w:spacing w:val="-4"/>
          <w:sz w:val="24"/>
          <w:szCs w:val="24"/>
        </w:rPr>
      </w:pPr>
    </w:p>
    <w:p w14:paraId="4021259E" w14:textId="24F6BD0B" w:rsidR="002271F1" w:rsidRPr="00910871" w:rsidRDefault="002271F1" w:rsidP="00B476F8">
      <w:pPr>
        <w:pStyle w:val="Prrafodelista"/>
        <w:numPr>
          <w:ilvl w:val="1"/>
          <w:numId w:val="1"/>
        </w:numPr>
        <w:tabs>
          <w:tab w:val="left" w:pos="567"/>
          <w:tab w:val="left" w:pos="3402"/>
        </w:tabs>
        <w:spacing w:after="0" w:line="276" w:lineRule="auto"/>
        <w:ind w:left="0" w:firstLine="0"/>
        <w:jc w:val="both"/>
        <w:rPr>
          <w:rFonts w:ascii="Gadugi" w:eastAsia="Calibri" w:hAnsi="Gadugi" w:cs="Times New Roman"/>
          <w:b/>
          <w:spacing w:val="-4"/>
          <w:sz w:val="24"/>
          <w:szCs w:val="24"/>
        </w:rPr>
      </w:pPr>
      <w:r w:rsidRPr="00910871">
        <w:rPr>
          <w:rFonts w:ascii="Gadugi" w:eastAsia="Calibri" w:hAnsi="Gadugi" w:cs="Times New Roman"/>
          <w:b/>
          <w:spacing w:val="-4"/>
          <w:sz w:val="24"/>
          <w:szCs w:val="24"/>
        </w:rPr>
        <w:t>Trámite.</w:t>
      </w:r>
    </w:p>
    <w:p w14:paraId="52AD075F" w14:textId="77777777" w:rsidR="002271F1" w:rsidRPr="00910871" w:rsidRDefault="002271F1" w:rsidP="00B476F8">
      <w:pPr>
        <w:spacing w:after="0" w:line="276" w:lineRule="auto"/>
        <w:jc w:val="both"/>
        <w:rPr>
          <w:rFonts w:ascii="Gadugi" w:eastAsia="Calibri" w:hAnsi="Gadugi" w:cs="Times New Roman"/>
          <w:spacing w:val="-4"/>
          <w:sz w:val="24"/>
          <w:szCs w:val="24"/>
        </w:rPr>
      </w:pPr>
    </w:p>
    <w:p w14:paraId="249397DB" w14:textId="63A582B5" w:rsidR="00F92465" w:rsidRPr="00910871" w:rsidRDefault="005625A1" w:rsidP="00B476F8">
      <w:pPr>
        <w:spacing w:after="0" w:line="276" w:lineRule="auto"/>
        <w:jc w:val="both"/>
        <w:rPr>
          <w:rFonts w:ascii="Gadugi" w:eastAsia="Calibri" w:hAnsi="Gadugi" w:cs="Times New Roman"/>
          <w:spacing w:val="-4"/>
          <w:sz w:val="24"/>
          <w:szCs w:val="24"/>
        </w:rPr>
      </w:pPr>
      <w:r w:rsidRPr="00910871">
        <w:rPr>
          <w:rFonts w:ascii="Gadugi" w:eastAsia="Calibri" w:hAnsi="Gadugi" w:cs="Times New Roman"/>
          <w:spacing w:val="-4"/>
          <w:sz w:val="24"/>
          <w:szCs w:val="24"/>
        </w:rPr>
        <w:t xml:space="preserve">La demanda fue presentada ante la jurisdicción contencioso administrativa, pero </w:t>
      </w:r>
      <w:r w:rsidR="004540BB" w:rsidRPr="00910871">
        <w:rPr>
          <w:rFonts w:ascii="Gadugi" w:eastAsia="Calibri" w:hAnsi="Gadugi" w:cs="Times New Roman"/>
          <w:spacing w:val="-4"/>
          <w:sz w:val="24"/>
          <w:szCs w:val="24"/>
        </w:rPr>
        <w:t xml:space="preserve">se rechazó con </w:t>
      </w:r>
      <w:r w:rsidRPr="00910871">
        <w:rPr>
          <w:rFonts w:ascii="Gadugi" w:eastAsia="Calibri" w:hAnsi="Gadugi" w:cs="Times New Roman"/>
          <w:spacing w:val="-4"/>
          <w:sz w:val="24"/>
          <w:szCs w:val="24"/>
        </w:rPr>
        <w:t>providencia del 24 de septiembre de 2018</w:t>
      </w:r>
      <w:r w:rsidRPr="00910871">
        <w:rPr>
          <w:rStyle w:val="Refdenotaalpie"/>
          <w:rFonts w:ascii="Gadugi" w:eastAsia="Calibri" w:hAnsi="Gadugi" w:cs="Times New Roman"/>
          <w:spacing w:val="-4"/>
          <w:sz w:val="24"/>
          <w:szCs w:val="24"/>
        </w:rPr>
        <w:footnoteReference w:id="4"/>
      </w:r>
      <w:r w:rsidR="004540BB" w:rsidRPr="00910871">
        <w:rPr>
          <w:rFonts w:ascii="Gadugi" w:eastAsia="Calibri" w:hAnsi="Gadugi" w:cs="Times New Roman"/>
          <w:spacing w:val="-4"/>
          <w:sz w:val="24"/>
          <w:szCs w:val="24"/>
        </w:rPr>
        <w:t xml:space="preserve">. En segunda instancia, </w:t>
      </w:r>
      <w:r w:rsidR="00CF482F" w:rsidRPr="00910871">
        <w:rPr>
          <w:rFonts w:ascii="Gadugi" w:eastAsia="Calibri" w:hAnsi="Gadugi" w:cs="Times New Roman"/>
          <w:spacing w:val="-4"/>
          <w:sz w:val="24"/>
          <w:szCs w:val="24"/>
        </w:rPr>
        <w:t>el 18 de diciembre del 2018</w:t>
      </w:r>
      <w:r w:rsidR="00E67300" w:rsidRPr="00910871">
        <w:rPr>
          <w:rFonts w:ascii="Gadugi" w:eastAsia="Calibri" w:hAnsi="Gadugi" w:cs="Times New Roman"/>
          <w:spacing w:val="-4"/>
          <w:sz w:val="24"/>
          <w:szCs w:val="24"/>
        </w:rPr>
        <w:t xml:space="preserve"> </w:t>
      </w:r>
      <w:r w:rsidR="004540BB" w:rsidRPr="00910871">
        <w:rPr>
          <w:rFonts w:ascii="Gadugi" w:eastAsia="Calibri" w:hAnsi="Gadugi" w:cs="Times New Roman"/>
          <w:spacing w:val="-4"/>
          <w:sz w:val="24"/>
          <w:szCs w:val="24"/>
        </w:rPr>
        <w:t>se revocó el rechazo y, en su lugar, se declaró la falta de jurisdicción y se disp</w:t>
      </w:r>
      <w:r w:rsidR="00F60779" w:rsidRPr="00910871">
        <w:rPr>
          <w:rFonts w:ascii="Gadugi" w:eastAsia="Calibri" w:hAnsi="Gadugi" w:cs="Times New Roman"/>
          <w:spacing w:val="-4"/>
          <w:sz w:val="24"/>
          <w:szCs w:val="24"/>
        </w:rPr>
        <w:t>u</w:t>
      </w:r>
      <w:r w:rsidR="004540BB" w:rsidRPr="00910871">
        <w:rPr>
          <w:rFonts w:ascii="Gadugi" w:eastAsia="Calibri" w:hAnsi="Gadugi" w:cs="Times New Roman"/>
          <w:spacing w:val="-4"/>
          <w:sz w:val="24"/>
          <w:szCs w:val="24"/>
        </w:rPr>
        <w:t>so la remisión a los jueces civiles</w:t>
      </w:r>
      <w:r w:rsidR="004540BB" w:rsidRPr="00910871">
        <w:rPr>
          <w:rStyle w:val="Refdenotaalpie"/>
          <w:rFonts w:ascii="Gadugi" w:eastAsia="Calibri" w:hAnsi="Gadugi" w:cs="Times New Roman"/>
          <w:spacing w:val="-4"/>
          <w:sz w:val="24"/>
          <w:szCs w:val="24"/>
        </w:rPr>
        <w:footnoteReference w:id="5"/>
      </w:r>
      <w:r w:rsidR="004540BB" w:rsidRPr="00910871">
        <w:rPr>
          <w:rFonts w:ascii="Gadugi" w:eastAsia="Calibri" w:hAnsi="Gadugi" w:cs="Times New Roman"/>
          <w:spacing w:val="-4"/>
          <w:sz w:val="24"/>
          <w:szCs w:val="24"/>
        </w:rPr>
        <w:t>.</w:t>
      </w:r>
    </w:p>
    <w:p w14:paraId="5F944067" w14:textId="5577A9C6" w:rsidR="00F60779" w:rsidRPr="00910871" w:rsidRDefault="00F60779" w:rsidP="00B476F8">
      <w:pPr>
        <w:spacing w:after="0" w:line="276" w:lineRule="auto"/>
        <w:jc w:val="both"/>
        <w:rPr>
          <w:rFonts w:ascii="Gadugi" w:eastAsia="Calibri" w:hAnsi="Gadugi" w:cs="Times New Roman"/>
          <w:spacing w:val="-4"/>
          <w:sz w:val="24"/>
          <w:szCs w:val="24"/>
        </w:rPr>
      </w:pPr>
    </w:p>
    <w:p w14:paraId="60511A04" w14:textId="77777777" w:rsidR="000C622E" w:rsidRPr="00910871" w:rsidRDefault="00333172" w:rsidP="00B476F8">
      <w:pPr>
        <w:spacing w:after="0" w:line="276" w:lineRule="auto"/>
        <w:jc w:val="both"/>
        <w:rPr>
          <w:rFonts w:ascii="Gadugi" w:eastAsia="Calibri" w:hAnsi="Gadugi" w:cs="Times New Roman"/>
          <w:spacing w:val="-4"/>
          <w:sz w:val="24"/>
          <w:szCs w:val="24"/>
        </w:rPr>
      </w:pPr>
      <w:r w:rsidRPr="00910871">
        <w:rPr>
          <w:rFonts w:ascii="Gadugi" w:eastAsia="Calibri" w:hAnsi="Gadugi" w:cs="Times New Roman"/>
          <w:spacing w:val="-4"/>
          <w:sz w:val="24"/>
          <w:szCs w:val="24"/>
        </w:rPr>
        <w:t xml:space="preserve">El 22 de enero del 2019 </w:t>
      </w:r>
      <w:r w:rsidR="00E27515" w:rsidRPr="00910871">
        <w:rPr>
          <w:rFonts w:ascii="Gadugi" w:eastAsia="Calibri" w:hAnsi="Gadugi" w:cs="Times New Roman"/>
          <w:spacing w:val="-4"/>
          <w:sz w:val="24"/>
          <w:szCs w:val="24"/>
        </w:rPr>
        <w:t>se asumió el conocimiento</w:t>
      </w:r>
      <w:r w:rsidR="00E27515" w:rsidRPr="00910871">
        <w:rPr>
          <w:rStyle w:val="Refdenotaalpie"/>
          <w:rFonts w:ascii="Gadugi" w:eastAsia="Calibri" w:hAnsi="Gadugi" w:cs="Times New Roman"/>
          <w:spacing w:val="-4"/>
          <w:sz w:val="24"/>
          <w:szCs w:val="24"/>
        </w:rPr>
        <w:footnoteReference w:id="6"/>
      </w:r>
      <w:r w:rsidR="00E27515" w:rsidRPr="00910871">
        <w:rPr>
          <w:rFonts w:ascii="Gadugi" w:eastAsia="Calibri" w:hAnsi="Gadugi" w:cs="Times New Roman"/>
          <w:spacing w:val="-4"/>
          <w:sz w:val="24"/>
          <w:szCs w:val="24"/>
        </w:rPr>
        <w:t xml:space="preserve">  y se admitió la demanda </w:t>
      </w:r>
      <w:r w:rsidR="003C14D6" w:rsidRPr="00910871">
        <w:rPr>
          <w:rFonts w:ascii="Gadugi" w:eastAsia="Calibri" w:hAnsi="Gadugi" w:cs="Times New Roman"/>
          <w:spacing w:val="-4"/>
          <w:sz w:val="24"/>
          <w:szCs w:val="24"/>
        </w:rPr>
        <w:t xml:space="preserve">el 30 de </w:t>
      </w:r>
      <w:r w:rsidR="00E27515" w:rsidRPr="00910871">
        <w:rPr>
          <w:rFonts w:ascii="Gadugi" w:eastAsia="Calibri" w:hAnsi="Gadugi" w:cs="Times New Roman"/>
          <w:spacing w:val="-4"/>
          <w:sz w:val="24"/>
          <w:szCs w:val="24"/>
        </w:rPr>
        <w:t>ese mes</w:t>
      </w:r>
      <w:r w:rsidR="000C622E" w:rsidRPr="00910871">
        <w:rPr>
          <w:rStyle w:val="Refdenotaalpie"/>
          <w:rFonts w:ascii="Gadugi" w:eastAsia="Calibri" w:hAnsi="Gadugi" w:cs="Times New Roman"/>
          <w:spacing w:val="-4"/>
          <w:sz w:val="24"/>
          <w:szCs w:val="24"/>
        </w:rPr>
        <w:footnoteReference w:id="7"/>
      </w:r>
      <w:r w:rsidR="000C622E" w:rsidRPr="00910871">
        <w:rPr>
          <w:rFonts w:ascii="Gadugi" w:eastAsia="Calibri" w:hAnsi="Gadugi" w:cs="Times New Roman"/>
          <w:spacing w:val="-4"/>
          <w:sz w:val="24"/>
          <w:szCs w:val="24"/>
        </w:rPr>
        <w:t xml:space="preserve">. </w:t>
      </w:r>
    </w:p>
    <w:p w14:paraId="53C6E199" w14:textId="77777777" w:rsidR="000C622E" w:rsidRPr="00910871" w:rsidRDefault="000C622E" w:rsidP="00B476F8">
      <w:pPr>
        <w:spacing w:after="0" w:line="276" w:lineRule="auto"/>
        <w:jc w:val="both"/>
        <w:rPr>
          <w:rFonts w:ascii="Gadugi" w:eastAsia="Calibri" w:hAnsi="Gadugi" w:cs="Times New Roman"/>
          <w:spacing w:val="-4"/>
          <w:sz w:val="24"/>
          <w:szCs w:val="24"/>
        </w:rPr>
      </w:pPr>
    </w:p>
    <w:p w14:paraId="0CB44E02" w14:textId="32BE618D" w:rsidR="00882AD1" w:rsidRPr="00910871" w:rsidRDefault="000C622E" w:rsidP="00B476F8">
      <w:pPr>
        <w:spacing w:after="0" w:line="276" w:lineRule="auto"/>
        <w:jc w:val="both"/>
        <w:rPr>
          <w:rFonts w:ascii="Gadugi" w:eastAsia="Calibri" w:hAnsi="Gadugi" w:cs="Times New Roman"/>
          <w:spacing w:val="-4"/>
          <w:sz w:val="24"/>
          <w:szCs w:val="24"/>
        </w:rPr>
      </w:pPr>
      <w:r w:rsidRPr="00910871">
        <w:rPr>
          <w:rFonts w:ascii="Gadugi" w:eastAsia="Calibri" w:hAnsi="Gadugi" w:cs="Times New Roman"/>
          <w:spacing w:val="-4"/>
          <w:sz w:val="24"/>
          <w:szCs w:val="24"/>
        </w:rPr>
        <w:t>Enteradas las demandadas</w:t>
      </w:r>
      <w:r w:rsidR="00882AD1" w:rsidRPr="00910871">
        <w:rPr>
          <w:rFonts w:ascii="Gadugi" w:eastAsia="Calibri" w:hAnsi="Gadugi" w:cs="Times New Roman"/>
          <w:spacing w:val="-4"/>
          <w:sz w:val="24"/>
          <w:szCs w:val="24"/>
        </w:rPr>
        <w:t xml:space="preserve">, se pronunciaron así: </w:t>
      </w:r>
    </w:p>
    <w:p w14:paraId="4CB13477" w14:textId="453695B1" w:rsidR="00882AD1" w:rsidRPr="00910871" w:rsidRDefault="00882AD1" w:rsidP="00B476F8">
      <w:pPr>
        <w:spacing w:after="0" w:line="276" w:lineRule="auto"/>
        <w:jc w:val="both"/>
        <w:rPr>
          <w:rFonts w:ascii="Gadugi" w:eastAsia="Calibri" w:hAnsi="Gadugi" w:cs="Times New Roman"/>
          <w:spacing w:val="-4"/>
          <w:sz w:val="24"/>
          <w:szCs w:val="24"/>
        </w:rPr>
      </w:pPr>
    </w:p>
    <w:p w14:paraId="13B593A9" w14:textId="19854F06" w:rsidR="000E664A" w:rsidRPr="00910871" w:rsidRDefault="000E664A" w:rsidP="00B476F8">
      <w:pPr>
        <w:spacing w:after="0" w:line="276" w:lineRule="auto"/>
        <w:jc w:val="both"/>
        <w:rPr>
          <w:rFonts w:ascii="Gadugi" w:eastAsia="Calibri" w:hAnsi="Gadugi" w:cs="Times New Roman"/>
          <w:spacing w:val="-4"/>
          <w:sz w:val="24"/>
          <w:szCs w:val="24"/>
        </w:rPr>
      </w:pPr>
      <w:r w:rsidRPr="00910871">
        <w:rPr>
          <w:rFonts w:ascii="Gadugi" w:eastAsia="Calibri" w:hAnsi="Gadugi" w:cs="Times New Roman"/>
          <w:spacing w:val="-4"/>
          <w:sz w:val="24"/>
          <w:szCs w:val="24"/>
        </w:rPr>
        <w:lastRenderedPageBreak/>
        <w:t>Liliana Argenis Higuera Molina</w:t>
      </w:r>
      <w:r w:rsidR="00882AD1" w:rsidRPr="00910871">
        <w:rPr>
          <w:rFonts w:ascii="Gadugi" w:eastAsia="Calibri" w:hAnsi="Gadugi" w:cs="Times New Roman"/>
          <w:spacing w:val="-4"/>
          <w:sz w:val="24"/>
          <w:szCs w:val="24"/>
        </w:rPr>
        <w:t xml:space="preserve">, por medio de apoderado, aludió a los hechos, opugnó las pretensiones y propuso como excepciones las que nominó: (i) pago de lo no debido por parte de la Compañía de Seguros La Previsora S.A.; (ii) falta de legitimación en la causa por pasiva por carencia de identificación y discriminación de los cargos amparados bajo la póliza número 1002170; (iii) La naturaleza de la póliza número </w:t>
      </w:r>
      <w:r w:rsidR="005B15F6" w:rsidRPr="00910871">
        <w:rPr>
          <w:rFonts w:ascii="Gadugi" w:eastAsia="Calibri" w:hAnsi="Gadugi" w:cs="Times New Roman"/>
          <w:spacing w:val="-4"/>
          <w:sz w:val="24"/>
          <w:szCs w:val="24"/>
        </w:rPr>
        <w:t xml:space="preserve">1002170; (iv) improcedencia de </w:t>
      </w:r>
      <w:r w:rsidR="00030108" w:rsidRPr="00910871">
        <w:rPr>
          <w:rFonts w:ascii="Gadugi" w:eastAsia="Calibri" w:hAnsi="Gadugi" w:cs="Times New Roman"/>
          <w:spacing w:val="-4"/>
          <w:sz w:val="24"/>
          <w:szCs w:val="24"/>
        </w:rPr>
        <w:t>la</w:t>
      </w:r>
      <w:r w:rsidR="005B15F6" w:rsidRPr="00910871">
        <w:rPr>
          <w:rFonts w:ascii="Gadugi" w:eastAsia="Calibri" w:hAnsi="Gadugi" w:cs="Times New Roman"/>
          <w:spacing w:val="-4"/>
          <w:sz w:val="24"/>
          <w:szCs w:val="24"/>
        </w:rPr>
        <w:t xml:space="preserve"> declaración de responsabilidad solidaria</w:t>
      </w:r>
      <w:r w:rsidR="005B15F6" w:rsidRPr="00910871">
        <w:rPr>
          <w:rStyle w:val="Refdenotaalpie"/>
          <w:rFonts w:ascii="Gadugi" w:eastAsia="Calibri" w:hAnsi="Gadugi" w:cs="Times New Roman"/>
          <w:spacing w:val="-4"/>
          <w:sz w:val="24"/>
          <w:szCs w:val="24"/>
        </w:rPr>
        <w:footnoteReference w:id="8"/>
      </w:r>
      <w:r w:rsidR="005B15F6" w:rsidRPr="00910871">
        <w:rPr>
          <w:rFonts w:ascii="Gadugi" w:eastAsia="Calibri" w:hAnsi="Gadugi" w:cs="Times New Roman"/>
          <w:spacing w:val="-4"/>
          <w:sz w:val="24"/>
          <w:szCs w:val="24"/>
        </w:rPr>
        <w:t xml:space="preserve">. </w:t>
      </w:r>
    </w:p>
    <w:p w14:paraId="09BBD96E" w14:textId="77777777" w:rsidR="00365029" w:rsidRPr="00910871" w:rsidRDefault="00365029" w:rsidP="00B476F8">
      <w:pPr>
        <w:spacing w:after="0" w:line="276" w:lineRule="auto"/>
        <w:jc w:val="both"/>
        <w:rPr>
          <w:rFonts w:ascii="Gadugi" w:eastAsia="Calibri" w:hAnsi="Gadugi" w:cs="Times New Roman"/>
          <w:spacing w:val="-4"/>
          <w:sz w:val="24"/>
          <w:szCs w:val="24"/>
        </w:rPr>
      </w:pPr>
    </w:p>
    <w:p w14:paraId="0690FF92" w14:textId="2C7C32AB" w:rsidR="00365029" w:rsidRPr="00910871" w:rsidRDefault="005B15F6" w:rsidP="00B476F8">
      <w:pPr>
        <w:spacing w:after="0" w:line="276" w:lineRule="auto"/>
        <w:jc w:val="both"/>
        <w:rPr>
          <w:rFonts w:ascii="Gadugi" w:eastAsia="Calibri" w:hAnsi="Gadugi" w:cs="Times New Roman"/>
          <w:spacing w:val="-4"/>
          <w:sz w:val="24"/>
          <w:szCs w:val="24"/>
        </w:rPr>
      </w:pPr>
      <w:r w:rsidRPr="00910871">
        <w:rPr>
          <w:rFonts w:ascii="Gadugi" w:eastAsia="Calibri" w:hAnsi="Gadugi" w:cs="Times New Roman"/>
          <w:spacing w:val="-4"/>
          <w:sz w:val="24"/>
          <w:szCs w:val="24"/>
        </w:rPr>
        <w:t xml:space="preserve">Con auto del </w:t>
      </w:r>
      <w:r w:rsidR="00365029" w:rsidRPr="00910871">
        <w:rPr>
          <w:rFonts w:ascii="Gadugi" w:eastAsia="Calibri" w:hAnsi="Gadugi" w:cs="Times New Roman"/>
          <w:spacing w:val="-4"/>
          <w:sz w:val="24"/>
          <w:szCs w:val="24"/>
        </w:rPr>
        <w:t xml:space="preserve">9 de octubre de 2019 el juzgado </w:t>
      </w:r>
      <w:r w:rsidRPr="00910871">
        <w:rPr>
          <w:rFonts w:ascii="Gadugi" w:eastAsia="Calibri" w:hAnsi="Gadugi" w:cs="Times New Roman"/>
          <w:spacing w:val="-4"/>
          <w:sz w:val="24"/>
          <w:szCs w:val="24"/>
        </w:rPr>
        <w:t xml:space="preserve">resolvió tener por </w:t>
      </w:r>
      <w:r w:rsidR="00365029" w:rsidRPr="00910871">
        <w:rPr>
          <w:rFonts w:ascii="Gadugi" w:eastAsia="Calibri" w:hAnsi="Gadugi" w:cs="Times New Roman"/>
          <w:spacing w:val="-4"/>
          <w:sz w:val="24"/>
          <w:szCs w:val="24"/>
        </w:rPr>
        <w:t xml:space="preserve">notificada a Gloria Inés Román </w:t>
      </w:r>
      <w:r w:rsidRPr="00910871">
        <w:rPr>
          <w:rFonts w:ascii="Gadugi" w:eastAsia="Calibri" w:hAnsi="Gadugi" w:cs="Times New Roman"/>
          <w:spacing w:val="-4"/>
          <w:sz w:val="24"/>
          <w:szCs w:val="24"/>
        </w:rPr>
        <w:t xml:space="preserve">Soto y </w:t>
      </w:r>
      <w:r w:rsidR="00365029" w:rsidRPr="00910871">
        <w:rPr>
          <w:rFonts w:ascii="Gadugi" w:eastAsia="Calibri" w:hAnsi="Gadugi" w:cs="Times New Roman"/>
          <w:spacing w:val="-4"/>
          <w:sz w:val="24"/>
          <w:szCs w:val="24"/>
        </w:rPr>
        <w:t>advirti</w:t>
      </w:r>
      <w:r w:rsidRPr="00910871">
        <w:rPr>
          <w:rFonts w:ascii="Gadugi" w:eastAsia="Calibri" w:hAnsi="Gadugi" w:cs="Times New Roman"/>
          <w:spacing w:val="-4"/>
          <w:sz w:val="24"/>
          <w:szCs w:val="24"/>
        </w:rPr>
        <w:t xml:space="preserve">ó que </w:t>
      </w:r>
      <w:r w:rsidR="00365029" w:rsidRPr="00910871">
        <w:rPr>
          <w:rFonts w:ascii="Gadugi" w:eastAsia="Calibri" w:hAnsi="Gadugi" w:cs="Times New Roman"/>
          <w:spacing w:val="-4"/>
          <w:sz w:val="24"/>
          <w:szCs w:val="24"/>
        </w:rPr>
        <w:t>esta guard</w:t>
      </w:r>
      <w:r w:rsidRPr="00910871">
        <w:rPr>
          <w:rFonts w:ascii="Gadugi" w:eastAsia="Calibri" w:hAnsi="Gadugi" w:cs="Times New Roman"/>
          <w:spacing w:val="-4"/>
          <w:sz w:val="24"/>
          <w:szCs w:val="24"/>
        </w:rPr>
        <w:t>ó</w:t>
      </w:r>
      <w:r w:rsidR="00365029" w:rsidRPr="00910871">
        <w:rPr>
          <w:rFonts w:ascii="Gadugi" w:eastAsia="Calibri" w:hAnsi="Gadugi" w:cs="Times New Roman"/>
          <w:spacing w:val="-4"/>
          <w:sz w:val="24"/>
          <w:szCs w:val="24"/>
        </w:rPr>
        <w:t xml:space="preserve"> silencio</w:t>
      </w:r>
      <w:r w:rsidRPr="00910871">
        <w:rPr>
          <w:rStyle w:val="Refdenotaalpie"/>
          <w:rFonts w:ascii="Gadugi" w:eastAsia="Calibri" w:hAnsi="Gadugi" w:cs="Times New Roman"/>
          <w:spacing w:val="-4"/>
          <w:sz w:val="24"/>
          <w:szCs w:val="24"/>
        </w:rPr>
        <w:footnoteReference w:id="9"/>
      </w:r>
      <w:r w:rsidRPr="00910871">
        <w:rPr>
          <w:rFonts w:ascii="Gadugi" w:eastAsia="Calibri" w:hAnsi="Gadugi" w:cs="Times New Roman"/>
          <w:spacing w:val="-4"/>
          <w:sz w:val="24"/>
          <w:szCs w:val="24"/>
        </w:rPr>
        <w:t>.</w:t>
      </w:r>
      <w:r w:rsidR="00365029" w:rsidRPr="00910871">
        <w:rPr>
          <w:rFonts w:ascii="Gadugi" w:eastAsia="Calibri" w:hAnsi="Gadugi" w:cs="Times New Roman"/>
          <w:spacing w:val="-4"/>
          <w:sz w:val="24"/>
          <w:szCs w:val="24"/>
        </w:rPr>
        <w:t xml:space="preserve"> </w:t>
      </w:r>
    </w:p>
    <w:p w14:paraId="64B0433D" w14:textId="2B996298" w:rsidR="00F14BA8" w:rsidRPr="00910871" w:rsidRDefault="00F14BA8" w:rsidP="00B476F8">
      <w:pPr>
        <w:spacing w:after="0" w:line="276" w:lineRule="auto"/>
        <w:jc w:val="both"/>
        <w:rPr>
          <w:rFonts w:ascii="Gadugi" w:eastAsia="Calibri" w:hAnsi="Gadugi" w:cs="Times New Roman"/>
          <w:spacing w:val="-4"/>
          <w:sz w:val="24"/>
          <w:szCs w:val="24"/>
        </w:rPr>
      </w:pPr>
    </w:p>
    <w:p w14:paraId="366837FD" w14:textId="1EA9DC18" w:rsidR="005B15F6" w:rsidRPr="00910871" w:rsidRDefault="005B15F6" w:rsidP="00B476F8">
      <w:pPr>
        <w:spacing w:after="0" w:line="276" w:lineRule="auto"/>
        <w:jc w:val="both"/>
        <w:rPr>
          <w:rFonts w:ascii="Gadugi" w:eastAsia="Calibri" w:hAnsi="Gadugi" w:cs="Times New Roman"/>
          <w:spacing w:val="-4"/>
          <w:sz w:val="24"/>
          <w:szCs w:val="24"/>
        </w:rPr>
      </w:pPr>
      <w:r w:rsidRPr="00910871">
        <w:rPr>
          <w:rFonts w:ascii="Gadugi" w:eastAsia="Calibri" w:hAnsi="Gadugi" w:cs="Times New Roman"/>
          <w:spacing w:val="-4"/>
          <w:sz w:val="24"/>
          <w:szCs w:val="24"/>
        </w:rPr>
        <w:t xml:space="preserve">Se surtió el trámite </w:t>
      </w:r>
      <w:r w:rsidR="00E42BC5" w:rsidRPr="00910871">
        <w:rPr>
          <w:rFonts w:ascii="Gadugi" w:eastAsia="Calibri" w:hAnsi="Gadugi" w:cs="Times New Roman"/>
          <w:spacing w:val="-4"/>
          <w:sz w:val="24"/>
          <w:szCs w:val="24"/>
        </w:rPr>
        <w:t>de las excepciones, se decretaron las pruebas pedidas, se corrió traslado para alegar de conclusión y se profirió el fallo respectivo, todo en la audiencia concentrada realizada el 19 de noviembre de 2020</w:t>
      </w:r>
      <w:r w:rsidR="00E42BC5" w:rsidRPr="00910871">
        <w:rPr>
          <w:rStyle w:val="Refdenotaalpie"/>
          <w:rFonts w:ascii="Gadugi" w:eastAsia="Calibri" w:hAnsi="Gadugi" w:cs="Times New Roman"/>
          <w:spacing w:val="-4"/>
          <w:sz w:val="24"/>
          <w:szCs w:val="24"/>
        </w:rPr>
        <w:footnoteReference w:id="10"/>
      </w:r>
      <w:r w:rsidR="00E42BC5" w:rsidRPr="00910871">
        <w:rPr>
          <w:rFonts w:ascii="Gadugi" w:eastAsia="Calibri" w:hAnsi="Gadugi" w:cs="Times New Roman"/>
          <w:spacing w:val="-4"/>
          <w:sz w:val="24"/>
          <w:szCs w:val="24"/>
        </w:rPr>
        <w:t>.</w:t>
      </w:r>
    </w:p>
    <w:p w14:paraId="7371307D" w14:textId="77777777" w:rsidR="00365029" w:rsidRPr="00910871" w:rsidRDefault="00365029" w:rsidP="00B476F8">
      <w:pPr>
        <w:spacing w:after="0" w:line="276" w:lineRule="auto"/>
        <w:jc w:val="both"/>
        <w:rPr>
          <w:rFonts w:ascii="Gadugi" w:eastAsia="Calibri" w:hAnsi="Gadugi" w:cs="Times New Roman"/>
          <w:spacing w:val="-4"/>
          <w:sz w:val="24"/>
          <w:szCs w:val="24"/>
        </w:rPr>
      </w:pPr>
    </w:p>
    <w:p w14:paraId="030C0A34" w14:textId="14D3700C" w:rsidR="00F31B33" w:rsidRPr="00910871" w:rsidRDefault="002271F1" w:rsidP="00B476F8">
      <w:pPr>
        <w:pStyle w:val="Prrafodelista"/>
        <w:numPr>
          <w:ilvl w:val="1"/>
          <w:numId w:val="1"/>
        </w:numPr>
        <w:spacing w:after="0" w:line="276" w:lineRule="auto"/>
        <w:ind w:left="0" w:firstLine="0"/>
        <w:jc w:val="both"/>
        <w:rPr>
          <w:rFonts w:ascii="Gadugi" w:eastAsia="Calibri" w:hAnsi="Gadugi" w:cs="Times New Roman"/>
          <w:spacing w:val="-4"/>
          <w:sz w:val="24"/>
          <w:szCs w:val="24"/>
        </w:rPr>
      </w:pPr>
      <w:r w:rsidRPr="00910871">
        <w:rPr>
          <w:rFonts w:ascii="Gadugi" w:eastAsia="Calibri" w:hAnsi="Gadugi" w:cs="Times New Roman"/>
          <w:b/>
          <w:spacing w:val="-4"/>
          <w:sz w:val="24"/>
          <w:szCs w:val="24"/>
        </w:rPr>
        <w:t>La sentencia de primera instancia</w:t>
      </w:r>
      <w:r w:rsidR="00E42BC5" w:rsidRPr="00910871">
        <w:rPr>
          <w:rStyle w:val="Refdenotaalpie"/>
          <w:rFonts w:ascii="Gadugi" w:eastAsia="Calibri" w:hAnsi="Gadugi" w:cs="Times New Roman"/>
          <w:b/>
          <w:spacing w:val="-4"/>
          <w:sz w:val="24"/>
          <w:szCs w:val="24"/>
        </w:rPr>
        <w:footnoteReference w:id="11"/>
      </w:r>
      <w:r w:rsidR="00B8601B" w:rsidRPr="00910871">
        <w:rPr>
          <w:rFonts w:ascii="Gadugi" w:eastAsia="Calibri" w:hAnsi="Gadugi" w:cs="Times New Roman"/>
          <w:b/>
          <w:spacing w:val="-4"/>
          <w:sz w:val="24"/>
          <w:szCs w:val="24"/>
        </w:rPr>
        <w:t xml:space="preserve"> </w:t>
      </w:r>
    </w:p>
    <w:p w14:paraId="36D8E638" w14:textId="4427DF9F" w:rsidR="00663647" w:rsidRPr="00910871" w:rsidRDefault="00663647" w:rsidP="00B476F8">
      <w:pPr>
        <w:spacing w:after="0" w:line="276" w:lineRule="auto"/>
        <w:jc w:val="both"/>
        <w:rPr>
          <w:rFonts w:ascii="Gadugi" w:eastAsia="Calibri" w:hAnsi="Gadugi" w:cs="Times New Roman"/>
          <w:spacing w:val="-4"/>
          <w:sz w:val="24"/>
          <w:szCs w:val="24"/>
        </w:rPr>
      </w:pPr>
    </w:p>
    <w:p w14:paraId="48BABB3E" w14:textId="57F3C16F" w:rsidR="00F01BBC" w:rsidRPr="00910871" w:rsidRDefault="00F01BBC" w:rsidP="00B476F8">
      <w:pPr>
        <w:spacing w:after="0" w:line="276" w:lineRule="auto"/>
        <w:jc w:val="both"/>
        <w:rPr>
          <w:rFonts w:ascii="Gadugi" w:eastAsia="Calibri" w:hAnsi="Gadugi" w:cs="Times New Roman"/>
          <w:spacing w:val="-4"/>
          <w:sz w:val="24"/>
          <w:szCs w:val="24"/>
        </w:rPr>
      </w:pPr>
      <w:r w:rsidRPr="00910871">
        <w:rPr>
          <w:rFonts w:ascii="Gadugi" w:eastAsia="Calibri" w:hAnsi="Gadugi" w:cs="Times New Roman"/>
          <w:spacing w:val="-4"/>
          <w:sz w:val="24"/>
          <w:szCs w:val="24"/>
        </w:rPr>
        <w:t>Declaró no probadas las excepciones, salvo la de pago</w:t>
      </w:r>
      <w:r w:rsidR="00D06E16" w:rsidRPr="00910871">
        <w:rPr>
          <w:rFonts w:ascii="Gadugi" w:eastAsia="Calibri" w:hAnsi="Gadugi" w:cs="Times New Roman"/>
          <w:spacing w:val="-4"/>
          <w:sz w:val="24"/>
          <w:szCs w:val="24"/>
        </w:rPr>
        <w:t xml:space="preserve"> o</w:t>
      </w:r>
      <w:r w:rsidRPr="00910871">
        <w:rPr>
          <w:rFonts w:ascii="Gadugi" w:eastAsia="Calibri" w:hAnsi="Gadugi" w:cs="Times New Roman"/>
          <w:spacing w:val="-4"/>
          <w:sz w:val="24"/>
          <w:szCs w:val="24"/>
        </w:rPr>
        <w:t xml:space="preserve"> cobro de lo no debido por parte de la Compañía de Seguros La Previsora S</w:t>
      </w:r>
      <w:r w:rsidR="00282E2A" w:rsidRPr="00910871">
        <w:rPr>
          <w:rFonts w:ascii="Gadugi" w:eastAsia="Calibri" w:hAnsi="Gadugi" w:cs="Times New Roman"/>
          <w:spacing w:val="-4"/>
          <w:sz w:val="24"/>
          <w:szCs w:val="24"/>
        </w:rPr>
        <w:t>.</w:t>
      </w:r>
      <w:r w:rsidRPr="00910871">
        <w:rPr>
          <w:rFonts w:ascii="Gadugi" w:eastAsia="Calibri" w:hAnsi="Gadugi" w:cs="Times New Roman"/>
          <w:spacing w:val="-4"/>
          <w:sz w:val="24"/>
          <w:szCs w:val="24"/>
        </w:rPr>
        <w:t>A</w:t>
      </w:r>
      <w:r w:rsidR="00282E2A" w:rsidRPr="00910871">
        <w:rPr>
          <w:rFonts w:ascii="Gadugi" w:eastAsia="Calibri" w:hAnsi="Gadugi" w:cs="Times New Roman"/>
          <w:spacing w:val="-4"/>
          <w:sz w:val="24"/>
          <w:szCs w:val="24"/>
        </w:rPr>
        <w:t>.</w:t>
      </w:r>
      <w:r w:rsidRPr="00910871">
        <w:rPr>
          <w:rFonts w:ascii="Gadugi" w:eastAsia="Calibri" w:hAnsi="Gadugi" w:cs="Times New Roman"/>
          <w:spacing w:val="-4"/>
          <w:sz w:val="24"/>
          <w:szCs w:val="24"/>
        </w:rPr>
        <w:t>, que prosperó parcialmente; reconoció el derecho de la aseguradora de subrogarse</w:t>
      </w:r>
      <w:r w:rsidR="00B8601B" w:rsidRPr="00910871">
        <w:rPr>
          <w:rFonts w:ascii="Gadugi" w:eastAsia="Calibri" w:hAnsi="Gadugi" w:cs="Times New Roman"/>
          <w:spacing w:val="-4"/>
          <w:sz w:val="24"/>
          <w:szCs w:val="24"/>
        </w:rPr>
        <w:t>;</w:t>
      </w:r>
      <w:r w:rsidRPr="00910871">
        <w:rPr>
          <w:rFonts w:ascii="Gadugi" w:eastAsia="Calibri" w:hAnsi="Gadugi" w:cs="Times New Roman"/>
          <w:spacing w:val="-4"/>
          <w:sz w:val="24"/>
          <w:szCs w:val="24"/>
        </w:rPr>
        <w:t xml:space="preserve"> condenó a Gloria Inés </w:t>
      </w:r>
      <w:r w:rsidR="00B8601B" w:rsidRPr="00910871">
        <w:rPr>
          <w:rFonts w:ascii="Gadugi" w:eastAsia="Calibri" w:hAnsi="Gadugi" w:cs="Times New Roman"/>
          <w:spacing w:val="-4"/>
          <w:sz w:val="24"/>
          <w:szCs w:val="24"/>
        </w:rPr>
        <w:t xml:space="preserve">Román Soto a pagar la suma de $53’140562,50, y solidariamente con Liliana Argenis Higuera Molina, la cantidad de $16’269.133,50, ambas con intereses bancarios desde el 22 de julio de 2016 y hasta que el pago se verifique; e impuso la condena en costas a cargo de las demandadas, en forma proporcional. </w:t>
      </w:r>
    </w:p>
    <w:p w14:paraId="1A59F247" w14:textId="07B05667" w:rsidR="00B8601B" w:rsidRPr="00910871" w:rsidRDefault="00B8601B" w:rsidP="00B476F8">
      <w:pPr>
        <w:spacing w:after="0" w:line="276" w:lineRule="auto"/>
        <w:jc w:val="both"/>
        <w:rPr>
          <w:rFonts w:ascii="Gadugi" w:eastAsia="Calibri" w:hAnsi="Gadugi" w:cs="Times New Roman"/>
          <w:spacing w:val="-4"/>
          <w:sz w:val="24"/>
          <w:szCs w:val="24"/>
        </w:rPr>
      </w:pPr>
    </w:p>
    <w:p w14:paraId="12EF6145" w14:textId="61366019" w:rsidR="00B8601B" w:rsidRPr="00910871" w:rsidRDefault="00B8601B" w:rsidP="00B476F8">
      <w:pPr>
        <w:pStyle w:val="Prrafodelista"/>
        <w:numPr>
          <w:ilvl w:val="1"/>
          <w:numId w:val="1"/>
        </w:numPr>
        <w:tabs>
          <w:tab w:val="left" w:pos="567"/>
        </w:tabs>
        <w:spacing w:after="0" w:line="276" w:lineRule="auto"/>
        <w:ind w:left="0" w:firstLine="0"/>
        <w:jc w:val="both"/>
        <w:rPr>
          <w:rFonts w:ascii="Gadugi" w:eastAsia="Calibri" w:hAnsi="Gadugi" w:cs="Times New Roman"/>
          <w:b/>
          <w:spacing w:val="-4"/>
          <w:sz w:val="24"/>
          <w:szCs w:val="24"/>
        </w:rPr>
      </w:pPr>
      <w:r w:rsidRPr="00910871">
        <w:rPr>
          <w:rFonts w:ascii="Gadugi" w:eastAsia="Calibri" w:hAnsi="Gadugi" w:cs="Times New Roman"/>
          <w:b/>
          <w:spacing w:val="-4"/>
          <w:sz w:val="24"/>
          <w:szCs w:val="24"/>
        </w:rPr>
        <w:t xml:space="preserve">Los recursos de apelación. </w:t>
      </w:r>
    </w:p>
    <w:p w14:paraId="6D69D41D" w14:textId="0FFB58B2" w:rsidR="00B8601B" w:rsidRPr="00910871" w:rsidRDefault="00B8601B" w:rsidP="00B476F8">
      <w:pPr>
        <w:spacing w:after="0" w:line="276" w:lineRule="auto"/>
        <w:jc w:val="both"/>
        <w:rPr>
          <w:rFonts w:ascii="Gadugi" w:eastAsia="Calibri" w:hAnsi="Gadugi" w:cs="Times New Roman"/>
          <w:spacing w:val="-4"/>
          <w:sz w:val="24"/>
          <w:szCs w:val="24"/>
        </w:rPr>
      </w:pPr>
    </w:p>
    <w:p w14:paraId="38865764" w14:textId="44F2A33A" w:rsidR="00B8601B" w:rsidRPr="00910871" w:rsidRDefault="00B8601B" w:rsidP="00B476F8">
      <w:pPr>
        <w:spacing w:after="0" w:line="276" w:lineRule="auto"/>
        <w:jc w:val="both"/>
        <w:rPr>
          <w:rFonts w:ascii="Gadugi" w:eastAsia="Calibri" w:hAnsi="Gadugi" w:cs="Times New Roman"/>
          <w:spacing w:val="-4"/>
          <w:sz w:val="24"/>
          <w:szCs w:val="24"/>
        </w:rPr>
      </w:pPr>
      <w:r w:rsidRPr="00910871">
        <w:rPr>
          <w:rFonts w:ascii="Gadugi" w:eastAsia="Calibri" w:hAnsi="Gadugi" w:cs="Times New Roman"/>
          <w:spacing w:val="-4"/>
          <w:sz w:val="24"/>
          <w:szCs w:val="24"/>
        </w:rPr>
        <w:t>Fueron propuestos por las dos demandadas en la audiencia</w:t>
      </w:r>
      <w:r w:rsidR="008F78E3" w:rsidRPr="00910871">
        <w:rPr>
          <w:rFonts w:ascii="Gadugi" w:eastAsia="Calibri" w:hAnsi="Gadugi" w:cs="Times New Roman"/>
          <w:spacing w:val="-4"/>
          <w:sz w:val="24"/>
          <w:szCs w:val="24"/>
        </w:rPr>
        <w:t xml:space="preserve">.  Luego, en tiempo, presentaron sus reparos. </w:t>
      </w:r>
    </w:p>
    <w:p w14:paraId="2B6CC489" w14:textId="06BC74CB" w:rsidR="008F78E3" w:rsidRPr="00910871" w:rsidRDefault="008F78E3" w:rsidP="00B476F8">
      <w:pPr>
        <w:spacing w:after="0" w:line="276" w:lineRule="auto"/>
        <w:jc w:val="both"/>
        <w:rPr>
          <w:rFonts w:ascii="Gadugi" w:eastAsia="Calibri" w:hAnsi="Gadugi" w:cs="Times New Roman"/>
          <w:spacing w:val="-4"/>
          <w:sz w:val="24"/>
          <w:szCs w:val="24"/>
        </w:rPr>
      </w:pPr>
    </w:p>
    <w:p w14:paraId="2F74A939" w14:textId="0F968371" w:rsidR="009D43FC" w:rsidRPr="00910871" w:rsidRDefault="008F78E3" w:rsidP="00B476F8">
      <w:pPr>
        <w:spacing w:after="0" w:line="276" w:lineRule="auto"/>
        <w:jc w:val="both"/>
        <w:rPr>
          <w:rFonts w:ascii="Gadugi" w:eastAsia="Calibri" w:hAnsi="Gadugi" w:cs="Times New Roman"/>
          <w:spacing w:val="-4"/>
          <w:sz w:val="24"/>
          <w:szCs w:val="24"/>
        </w:rPr>
      </w:pPr>
      <w:r w:rsidRPr="00910871">
        <w:rPr>
          <w:rFonts w:ascii="Gadugi" w:eastAsia="Calibri" w:hAnsi="Gadugi" w:cs="Times New Roman"/>
          <w:spacing w:val="-4"/>
          <w:sz w:val="24"/>
          <w:szCs w:val="24"/>
        </w:rPr>
        <w:t>Liliana Argenis Higuera Molina</w:t>
      </w:r>
      <w:r w:rsidRPr="00910871">
        <w:rPr>
          <w:rStyle w:val="Refdenotaalpie"/>
          <w:rFonts w:ascii="Gadugi" w:eastAsia="Calibri" w:hAnsi="Gadugi" w:cs="Times New Roman"/>
          <w:spacing w:val="-4"/>
          <w:sz w:val="24"/>
          <w:szCs w:val="24"/>
        </w:rPr>
        <w:footnoteReference w:id="12"/>
      </w:r>
      <w:r w:rsidRPr="00910871">
        <w:rPr>
          <w:rFonts w:ascii="Gadugi" w:eastAsia="Calibri" w:hAnsi="Gadugi" w:cs="Times New Roman"/>
          <w:spacing w:val="-4"/>
          <w:sz w:val="24"/>
          <w:szCs w:val="24"/>
        </w:rPr>
        <w:t xml:space="preserve">, los hizo consistir en: (i) el error de interpretación y afectación de la póliza 100270; (ii) la imposibilidad de que dos pólizas puedan responder por fallos de responsabilidad fiscal; y (iii) la procedencia del pago por compensación realizado por Liliana Higuera. </w:t>
      </w:r>
      <w:r w:rsidR="009D43FC" w:rsidRPr="00910871">
        <w:rPr>
          <w:rFonts w:ascii="Gadugi" w:eastAsia="Calibri" w:hAnsi="Gadugi" w:cs="Times New Roman"/>
          <w:spacing w:val="-4"/>
          <w:sz w:val="24"/>
          <w:szCs w:val="24"/>
        </w:rPr>
        <w:t>Tal escrito fue reproducido en esta sede</w:t>
      </w:r>
      <w:r w:rsidR="009D43FC" w:rsidRPr="00910871">
        <w:rPr>
          <w:rStyle w:val="Refdenotaalpie"/>
          <w:rFonts w:ascii="Gadugi" w:eastAsia="Calibri" w:hAnsi="Gadugi" w:cs="Times New Roman"/>
          <w:spacing w:val="-4"/>
          <w:sz w:val="24"/>
          <w:szCs w:val="24"/>
        </w:rPr>
        <w:footnoteReference w:id="13"/>
      </w:r>
      <w:r w:rsidR="009D43FC" w:rsidRPr="00910871">
        <w:rPr>
          <w:rFonts w:ascii="Gadugi" w:eastAsia="Calibri" w:hAnsi="Gadugi" w:cs="Times New Roman"/>
          <w:spacing w:val="-4"/>
          <w:sz w:val="24"/>
          <w:szCs w:val="24"/>
        </w:rPr>
        <w:t>.</w:t>
      </w:r>
    </w:p>
    <w:p w14:paraId="06D94BFE" w14:textId="5B85DC5A" w:rsidR="008F78E3" w:rsidRPr="00910871" w:rsidRDefault="008F78E3" w:rsidP="00B476F8">
      <w:pPr>
        <w:spacing w:after="0" w:line="276" w:lineRule="auto"/>
        <w:jc w:val="both"/>
        <w:rPr>
          <w:rFonts w:ascii="Gadugi" w:eastAsia="Calibri" w:hAnsi="Gadugi" w:cs="Times New Roman"/>
          <w:spacing w:val="-4"/>
          <w:sz w:val="24"/>
          <w:szCs w:val="24"/>
        </w:rPr>
      </w:pPr>
    </w:p>
    <w:p w14:paraId="1BAC7177" w14:textId="2B5E9796" w:rsidR="008F78E3" w:rsidRPr="00910871" w:rsidRDefault="008F78E3" w:rsidP="00B476F8">
      <w:pPr>
        <w:spacing w:after="0" w:line="276" w:lineRule="auto"/>
        <w:jc w:val="both"/>
        <w:rPr>
          <w:rFonts w:ascii="Gadugi" w:eastAsia="Calibri" w:hAnsi="Gadugi" w:cs="Times New Roman"/>
          <w:spacing w:val="-4"/>
          <w:sz w:val="24"/>
          <w:szCs w:val="24"/>
        </w:rPr>
      </w:pPr>
      <w:r w:rsidRPr="00910871">
        <w:rPr>
          <w:rFonts w:ascii="Gadugi" w:eastAsia="Calibri" w:hAnsi="Gadugi" w:cs="Times New Roman"/>
          <w:spacing w:val="-4"/>
          <w:sz w:val="24"/>
          <w:szCs w:val="24"/>
        </w:rPr>
        <w:t>Gloria Inés Román Soto</w:t>
      </w:r>
      <w:r w:rsidRPr="00910871">
        <w:rPr>
          <w:rStyle w:val="Refdenotaalpie"/>
          <w:rFonts w:ascii="Gadugi" w:eastAsia="Calibri" w:hAnsi="Gadugi" w:cs="Times New Roman"/>
          <w:spacing w:val="-4"/>
          <w:sz w:val="24"/>
          <w:szCs w:val="24"/>
        </w:rPr>
        <w:footnoteReference w:id="14"/>
      </w:r>
      <w:r w:rsidR="00663647" w:rsidRPr="00910871">
        <w:rPr>
          <w:rFonts w:ascii="Gadugi" w:eastAsia="Calibri" w:hAnsi="Gadugi" w:cs="Times New Roman"/>
          <w:spacing w:val="-4"/>
          <w:sz w:val="24"/>
          <w:szCs w:val="24"/>
        </w:rPr>
        <w:t xml:space="preserve"> </w:t>
      </w:r>
      <w:r w:rsidRPr="00910871">
        <w:rPr>
          <w:rFonts w:ascii="Gadugi" w:eastAsia="Calibri" w:hAnsi="Gadugi" w:cs="Times New Roman"/>
          <w:spacing w:val="-4"/>
          <w:sz w:val="24"/>
          <w:szCs w:val="24"/>
        </w:rPr>
        <w:t>adujo</w:t>
      </w:r>
      <w:r w:rsidR="009D43FC" w:rsidRPr="00910871">
        <w:rPr>
          <w:rFonts w:ascii="Gadugi" w:eastAsia="Calibri" w:hAnsi="Gadugi" w:cs="Times New Roman"/>
          <w:spacing w:val="-4"/>
          <w:sz w:val="24"/>
          <w:szCs w:val="24"/>
        </w:rPr>
        <w:t>: (i) violación del debido proceso y (ii) prescripción de la acción.</w:t>
      </w:r>
      <w:r w:rsidR="00DF0753" w:rsidRPr="00910871">
        <w:rPr>
          <w:rFonts w:ascii="Gadugi" w:eastAsia="Calibri" w:hAnsi="Gadugi" w:cs="Times New Roman"/>
          <w:spacing w:val="-4"/>
          <w:sz w:val="24"/>
          <w:szCs w:val="24"/>
        </w:rPr>
        <w:t xml:space="preserve"> Y aunque nada dijo en esta instancia, atendiendo el criterio reiterado de la Sala de Casación Civil de la Corte en sede de tutela</w:t>
      </w:r>
      <w:r w:rsidR="007B38C8" w:rsidRPr="00910871">
        <w:rPr>
          <w:rFonts w:ascii="Gadugi" w:eastAsia="Calibri" w:hAnsi="Gadugi" w:cs="Times New Roman"/>
          <w:spacing w:val="-4"/>
          <w:sz w:val="24"/>
          <w:szCs w:val="24"/>
        </w:rPr>
        <w:t xml:space="preserve">, desde la sentencia STC5630-2021, como lo </w:t>
      </w:r>
      <w:r w:rsidR="007B38C8" w:rsidRPr="00910871">
        <w:rPr>
          <w:rFonts w:ascii="Gadugi" w:eastAsia="Calibri" w:hAnsi="Gadugi" w:cs="Times New Roman"/>
          <w:spacing w:val="-4"/>
          <w:sz w:val="24"/>
          <w:szCs w:val="24"/>
        </w:rPr>
        <w:lastRenderedPageBreak/>
        <w:t xml:space="preserve">recordó en la reciente sentencia STC12985-22, en vista de que, además de los reparos concretos propuestos ante el juez de primer grado sustentó allí mismo la alzada, se tiene por satisfecha esa carga. </w:t>
      </w:r>
    </w:p>
    <w:p w14:paraId="73381CB2" w14:textId="77777777" w:rsidR="00F60779" w:rsidRPr="00910871" w:rsidRDefault="00F60779" w:rsidP="00B476F8">
      <w:pPr>
        <w:spacing w:after="0" w:line="276" w:lineRule="auto"/>
        <w:jc w:val="both"/>
        <w:rPr>
          <w:rFonts w:ascii="Gadugi" w:eastAsia="Calibri" w:hAnsi="Gadugi" w:cs="Times New Roman"/>
          <w:spacing w:val="-4"/>
          <w:sz w:val="24"/>
          <w:szCs w:val="24"/>
        </w:rPr>
      </w:pPr>
    </w:p>
    <w:p w14:paraId="566B2FE0" w14:textId="31BF4984" w:rsidR="007B38C8" w:rsidRPr="00910871" w:rsidRDefault="00CC5448" w:rsidP="00B476F8">
      <w:pPr>
        <w:spacing w:after="0" w:line="276" w:lineRule="auto"/>
        <w:jc w:val="both"/>
        <w:rPr>
          <w:rFonts w:ascii="Gadugi" w:eastAsia="Calibri" w:hAnsi="Gadugi" w:cs="Times New Roman"/>
          <w:spacing w:val="-4"/>
          <w:sz w:val="24"/>
          <w:szCs w:val="24"/>
        </w:rPr>
      </w:pPr>
      <w:r w:rsidRPr="00910871">
        <w:rPr>
          <w:rFonts w:ascii="Gadugi" w:eastAsia="Calibri" w:hAnsi="Gadugi" w:cs="Times New Roman"/>
          <w:spacing w:val="-4"/>
          <w:sz w:val="24"/>
          <w:szCs w:val="24"/>
        </w:rPr>
        <w:t xml:space="preserve">Surtido el traslado a la no recurrente, se procede a resolver lo pertinente. </w:t>
      </w:r>
    </w:p>
    <w:p w14:paraId="12741171" w14:textId="09CDD048" w:rsidR="00CC5448" w:rsidRPr="00910871" w:rsidRDefault="00CC5448" w:rsidP="00B476F8">
      <w:pPr>
        <w:tabs>
          <w:tab w:val="left" w:pos="567"/>
        </w:tabs>
        <w:spacing w:after="0" w:line="276" w:lineRule="auto"/>
        <w:jc w:val="both"/>
        <w:rPr>
          <w:rFonts w:ascii="Gadugi" w:eastAsia="Calibri" w:hAnsi="Gadugi" w:cs="Times New Roman"/>
          <w:spacing w:val="-4"/>
          <w:sz w:val="24"/>
          <w:szCs w:val="24"/>
        </w:rPr>
      </w:pPr>
    </w:p>
    <w:p w14:paraId="127D6654" w14:textId="63EA5FA6" w:rsidR="004B79A5" w:rsidRPr="00910871" w:rsidRDefault="00CC5448" w:rsidP="00B476F8">
      <w:pPr>
        <w:pStyle w:val="Prrafodelista"/>
        <w:numPr>
          <w:ilvl w:val="0"/>
          <w:numId w:val="1"/>
        </w:numPr>
        <w:tabs>
          <w:tab w:val="left" w:pos="284"/>
        </w:tabs>
        <w:spacing w:after="0" w:line="276" w:lineRule="auto"/>
        <w:ind w:left="0" w:firstLine="0"/>
        <w:jc w:val="both"/>
        <w:rPr>
          <w:rFonts w:ascii="Gadugi" w:eastAsia="Calibri" w:hAnsi="Gadugi" w:cs="Times New Roman"/>
          <w:b/>
          <w:spacing w:val="-4"/>
          <w:sz w:val="24"/>
          <w:szCs w:val="24"/>
        </w:rPr>
      </w:pPr>
      <w:r w:rsidRPr="00910871">
        <w:rPr>
          <w:rFonts w:ascii="Gadugi" w:eastAsia="Calibri" w:hAnsi="Gadugi" w:cs="Times New Roman"/>
          <w:b/>
          <w:spacing w:val="-4"/>
          <w:sz w:val="24"/>
          <w:szCs w:val="24"/>
        </w:rPr>
        <w:t xml:space="preserve"> CONSIDERACIONES</w:t>
      </w:r>
    </w:p>
    <w:p w14:paraId="31644D7B" w14:textId="037C02BD" w:rsidR="00CC5448" w:rsidRPr="00910871" w:rsidRDefault="00CC5448" w:rsidP="00B476F8">
      <w:pPr>
        <w:tabs>
          <w:tab w:val="left" w:pos="284"/>
        </w:tabs>
        <w:spacing w:after="0" w:line="276" w:lineRule="auto"/>
        <w:jc w:val="both"/>
        <w:rPr>
          <w:rFonts w:ascii="Gadugi" w:eastAsia="Calibri" w:hAnsi="Gadugi" w:cs="Times New Roman"/>
          <w:b/>
          <w:spacing w:val="-4"/>
          <w:sz w:val="24"/>
          <w:szCs w:val="24"/>
        </w:rPr>
      </w:pPr>
    </w:p>
    <w:p w14:paraId="74B9A324" w14:textId="79BA2079" w:rsidR="00E07D87" w:rsidRPr="00910871" w:rsidRDefault="00CC5448" w:rsidP="00B476F8">
      <w:pPr>
        <w:pStyle w:val="Prrafodelista"/>
        <w:numPr>
          <w:ilvl w:val="1"/>
          <w:numId w:val="1"/>
        </w:numPr>
        <w:tabs>
          <w:tab w:val="left" w:pos="567"/>
        </w:tabs>
        <w:spacing w:after="0" w:line="276" w:lineRule="auto"/>
        <w:ind w:left="0" w:firstLine="0"/>
        <w:jc w:val="both"/>
        <w:rPr>
          <w:rFonts w:ascii="Gadugi" w:eastAsia="Calibri" w:hAnsi="Gadugi" w:cs="Times New Roman"/>
          <w:spacing w:val="-4"/>
          <w:sz w:val="24"/>
          <w:szCs w:val="24"/>
        </w:rPr>
      </w:pPr>
      <w:r w:rsidRPr="00910871">
        <w:rPr>
          <w:rFonts w:ascii="Gadugi" w:eastAsia="Calibri" w:hAnsi="Gadugi" w:cs="Times New Roman"/>
          <w:spacing w:val="-4"/>
          <w:sz w:val="24"/>
          <w:szCs w:val="24"/>
        </w:rPr>
        <w:t>Concurren los presupuestos procesales y no se advierte causal de nulidad que dé al traste con lo actuado.</w:t>
      </w:r>
    </w:p>
    <w:p w14:paraId="747CB20C" w14:textId="77777777" w:rsidR="00E07D87" w:rsidRPr="00910871" w:rsidRDefault="00E07D87" w:rsidP="00B476F8">
      <w:pPr>
        <w:pStyle w:val="Prrafodelista"/>
        <w:tabs>
          <w:tab w:val="left" w:pos="567"/>
        </w:tabs>
        <w:spacing w:after="0" w:line="276" w:lineRule="auto"/>
        <w:ind w:left="0"/>
        <w:jc w:val="both"/>
        <w:rPr>
          <w:rFonts w:ascii="Gadugi" w:eastAsia="Calibri" w:hAnsi="Gadugi" w:cs="Times New Roman"/>
          <w:spacing w:val="-4"/>
          <w:sz w:val="24"/>
          <w:szCs w:val="24"/>
        </w:rPr>
      </w:pPr>
    </w:p>
    <w:p w14:paraId="2206937B" w14:textId="674BDD1D" w:rsidR="008C476B" w:rsidRPr="00910871" w:rsidRDefault="002E0774" w:rsidP="00B476F8">
      <w:pPr>
        <w:pStyle w:val="Prrafodelista"/>
        <w:numPr>
          <w:ilvl w:val="1"/>
          <w:numId w:val="1"/>
        </w:numPr>
        <w:tabs>
          <w:tab w:val="left" w:pos="567"/>
        </w:tabs>
        <w:spacing w:after="0" w:line="276" w:lineRule="auto"/>
        <w:ind w:left="0" w:firstLine="0"/>
        <w:jc w:val="both"/>
        <w:rPr>
          <w:rFonts w:ascii="Gadugi" w:eastAsia="Malgun Gothic" w:hAnsi="Gadugi" w:cs="Estrangelo Edessa"/>
          <w:spacing w:val="-4"/>
          <w:sz w:val="24"/>
          <w:szCs w:val="24"/>
        </w:rPr>
      </w:pPr>
      <w:r w:rsidRPr="00910871">
        <w:rPr>
          <w:rFonts w:ascii="Gadugi" w:eastAsia="Calibri" w:hAnsi="Gadugi" w:cs="Times New Roman"/>
          <w:spacing w:val="-4"/>
          <w:sz w:val="24"/>
          <w:szCs w:val="24"/>
        </w:rPr>
        <w:t>La legitimación en la causa, como presupuesto de la pretensión</w:t>
      </w:r>
      <w:r w:rsidR="008C476B" w:rsidRPr="00910871">
        <w:rPr>
          <w:rFonts w:ascii="Gadugi" w:eastAsia="Calibri" w:hAnsi="Gadugi" w:cs="Times New Roman"/>
          <w:spacing w:val="-4"/>
          <w:sz w:val="24"/>
          <w:szCs w:val="24"/>
        </w:rPr>
        <w:t xml:space="preserve"> que debe ser revisado de oficio, se cumple en este caso, por activa y por pasiva, si se tiene en cuenta que </w:t>
      </w:r>
      <w:r w:rsidR="008C476B" w:rsidRPr="00910871">
        <w:rPr>
          <w:rFonts w:ascii="Gadugi" w:eastAsia="Malgun Gothic" w:hAnsi="Gadugi" w:cs="Estrangelo Edessa"/>
          <w:spacing w:val="-4"/>
          <w:sz w:val="24"/>
          <w:szCs w:val="24"/>
        </w:rPr>
        <w:t>La Previsora S.A. Compañía de Seguros demanda los derechos de la subrogación</w:t>
      </w:r>
      <w:r w:rsidR="0075225D" w:rsidRPr="00910871">
        <w:rPr>
          <w:rFonts w:ascii="Gadugi" w:eastAsia="Malgun Gothic" w:hAnsi="Gadugi" w:cs="Estrangelo Edessa"/>
          <w:spacing w:val="-4"/>
          <w:sz w:val="24"/>
          <w:szCs w:val="24"/>
        </w:rPr>
        <w:t>,</w:t>
      </w:r>
      <w:r w:rsidR="008C476B" w:rsidRPr="00910871">
        <w:rPr>
          <w:rFonts w:ascii="Gadugi" w:eastAsia="Malgun Gothic" w:hAnsi="Gadugi" w:cs="Estrangelo Edessa"/>
          <w:spacing w:val="-4"/>
          <w:sz w:val="24"/>
          <w:szCs w:val="24"/>
        </w:rPr>
        <w:t xml:space="preserve"> que derivan de</w:t>
      </w:r>
      <w:r w:rsidR="00071524" w:rsidRPr="00910871">
        <w:rPr>
          <w:rFonts w:ascii="Gadugi" w:eastAsia="Malgun Gothic" w:hAnsi="Gadugi" w:cs="Estrangelo Edessa"/>
          <w:spacing w:val="-4"/>
          <w:sz w:val="24"/>
          <w:szCs w:val="24"/>
        </w:rPr>
        <w:t xml:space="preserve">l pago efectuado como producto del fallo en el que la Contraloría General </w:t>
      </w:r>
      <w:r w:rsidR="008C476B" w:rsidRPr="00910871">
        <w:rPr>
          <w:rFonts w:ascii="Gadugi" w:eastAsia="Malgun Gothic" w:hAnsi="Gadugi" w:cs="Estrangelo Edessa"/>
          <w:spacing w:val="-4"/>
          <w:sz w:val="24"/>
          <w:szCs w:val="24"/>
        </w:rPr>
        <w:t xml:space="preserve"> </w:t>
      </w:r>
      <w:r w:rsidR="00071524" w:rsidRPr="00910871">
        <w:rPr>
          <w:rFonts w:ascii="Gadugi" w:eastAsia="Malgun Gothic" w:hAnsi="Gadugi" w:cs="Estrangelo Edessa"/>
          <w:spacing w:val="-4"/>
          <w:sz w:val="24"/>
          <w:szCs w:val="24"/>
        </w:rPr>
        <w:t xml:space="preserve">de la República halló responsables fiscalmente a </w:t>
      </w:r>
      <w:r w:rsidR="008C476B" w:rsidRPr="00910871">
        <w:rPr>
          <w:rFonts w:ascii="Gadugi" w:eastAsia="Malgun Gothic" w:hAnsi="Gadugi" w:cs="Estrangelo Edessa"/>
          <w:spacing w:val="-4"/>
          <w:sz w:val="24"/>
          <w:szCs w:val="24"/>
        </w:rPr>
        <w:t>Gloría Inés Román Soto y Liliana Argenis Higuera Molina</w:t>
      </w:r>
      <w:r w:rsidR="00071524" w:rsidRPr="00910871">
        <w:rPr>
          <w:rFonts w:ascii="Gadugi" w:eastAsia="Malgun Gothic" w:hAnsi="Gadugi" w:cs="Estrangelo Edessa"/>
          <w:spacing w:val="-4"/>
          <w:sz w:val="24"/>
          <w:szCs w:val="24"/>
        </w:rPr>
        <w:t xml:space="preserve"> y afectó la póliza No. 1002170, expedida por la demandante como tercero civilmente responsable</w:t>
      </w:r>
      <w:r w:rsidR="00071524" w:rsidRPr="00910871">
        <w:rPr>
          <w:rStyle w:val="Refdenotaalpie"/>
          <w:rFonts w:ascii="Gadugi" w:eastAsia="Malgun Gothic" w:hAnsi="Gadugi" w:cs="Estrangelo Edessa"/>
          <w:spacing w:val="-4"/>
          <w:sz w:val="24"/>
          <w:szCs w:val="24"/>
        </w:rPr>
        <w:footnoteReference w:id="15"/>
      </w:r>
      <w:r w:rsidR="00071524" w:rsidRPr="00910871">
        <w:rPr>
          <w:rFonts w:ascii="Gadugi" w:eastAsia="Malgun Gothic" w:hAnsi="Gadugi" w:cs="Estrangelo Edessa"/>
          <w:spacing w:val="-4"/>
          <w:sz w:val="24"/>
          <w:szCs w:val="24"/>
        </w:rPr>
        <w:t>.</w:t>
      </w:r>
    </w:p>
    <w:p w14:paraId="663D0C60" w14:textId="77777777" w:rsidR="00E07D87" w:rsidRPr="00910871" w:rsidRDefault="00E07D87" w:rsidP="00B476F8">
      <w:pPr>
        <w:pStyle w:val="Prrafodelista"/>
        <w:spacing w:line="276" w:lineRule="auto"/>
        <w:rPr>
          <w:rFonts w:ascii="Gadugi" w:eastAsia="Malgun Gothic" w:hAnsi="Gadugi" w:cs="Estrangelo Edessa"/>
          <w:spacing w:val="-4"/>
          <w:sz w:val="24"/>
          <w:szCs w:val="24"/>
        </w:rPr>
      </w:pPr>
    </w:p>
    <w:p w14:paraId="32FE70E0" w14:textId="58E8483B" w:rsidR="00E07D87" w:rsidRPr="00910871" w:rsidRDefault="009C2245" w:rsidP="00B476F8">
      <w:pPr>
        <w:pStyle w:val="Prrafodelista"/>
        <w:numPr>
          <w:ilvl w:val="1"/>
          <w:numId w:val="1"/>
        </w:numPr>
        <w:tabs>
          <w:tab w:val="left" w:pos="567"/>
        </w:tabs>
        <w:spacing w:after="0" w:line="276" w:lineRule="auto"/>
        <w:ind w:left="0" w:firstLine="0"/>
        <w:jc w:val="both"/>
        <w:rPr>
          <w:rFonts w:ascii="Gadugi" w:eastAsia="Malgun Gothic" w:hAnsi="Gadugi" w:cs="Estrangelo Edessa"/>
          <w:spacing w:val="-4"/>
          <w:sz w:val="24"/>
          <w:szCs w:val="24"/>
        </w:rPr>
      </w:pPr>
      <w:r w:rsidRPr="00910871">
        <w:rPr>
          <w:rFonts w:ascii="Gadugi" w:eastAsia="Malgun Gothic" w:hAnsi="Gadugi" w:cs="Estrangelo Edessa"/>
          <w:spacing w:val="-4"/>
          <w:sz w:val="24"/>
          <w:szCs w:val="24"/>
        </w:rPr>
        <w:t xml:space="preserve">La demanda </w:t>
      </w:r>
      <w:r w:rsidR="006C7AAB" w:rsidRPr="00910871">
        <w:rPr>
          <w:rFonts w:ascii="Gadugi" w:eastAsia="Malgun Gothic" w:hAnsi="Gadugi" w:cs="Estrangelo Edessa"/>
          <w:spacing w:val="-4"/>
          <w:sz w:val="24"/>
          <w:szCs w:val="24"/>
        </w:rPr>
        <w:t>viene edificada en la subrogación que pretende La Previsora S</w:t>
      </w:r>
      <w:r w:rsidR="00282E2A" w:rsidRPr="00910871">
        <w:rPr>
          <w:rFonts w:ascii="Gadugi" w:eastAsia="Malgun Gothic" w:hAnsi="Gadugi" w:cs="Estrangelo Edessa"/>
          <w:spacing w:val="-4"/>
          <w:sz w:val="24"/>
          <w:szCs w:val="24"/>
        </w:rPr>
        <w:t>.</w:t>
      </w:r>
      <w:r w:rsidR="006C7AAB" w:rsidRPr="00910871">
        <w:rPr>
          <w:rFonts w:ascii="Gadugi" w:eastAsia="Malgun Gothic" w:hAnsi="Gadugi" w:cs="Estrangelo Edessa"/>
          <w:spacing w:val="-4"/>
          <w:sz w:val="24"/>
          <w:szCs w:val="24"/>
        </w:rPr>
        <w:t>A</w:t>
      </w:r>
      <w:r w:rsidR="00282E2A" w:rsidRPr="00910871">
        <w:rPr>
          <w:rFonts w:ascii="Gadugi" w:eastAsia="Malgun Gothic" w:hAnsi="Gadugi" w:cs="Estrangelo Edessa"/>
          <w:spacing w:val="-4"/>
          <w:sz w:val="24"/>
          <w:szCs w:val="24"/>
        </w:rPr>
        <w:t>.</w:t>
      </w:r>
      <w:r w:rsidR="006C7AAB" w:rsidRPr="00910871">
        <w:rPr>
          <w:rFonts w:ascii="Gadugi" w:eastAsia="Malgun Gothic" w:hAnsi="Gadugi" w:cs="Estrangelo Edessa"/>
          <w:spacing w:val="-4"/>
          <w:sz w:val="24"/>
          <w:szCs w:val="24"/>
        </w:rPr>
        <w:t xml:space="preserve">, Compañía de Seguros, frente a Gloria Inés Román Soto y Liliana Argenis Higuera Molina. </w:t>
      </w:r>
    </w:p>
    <w:p w14:paraId="3660C219" w14:textId="3902F7A6" w:rsidR="00525BAD" w:rsidRPr="00910871" w:rsidRDefault="00525BAD" w:rsidP="00B476F8">
      <w:pPr>
        <w:tabs>
          <w:tab w:val="left" w:pos="426"/>
        </w:tabs>
        <w:spacing w:after="0" w:line="276" w:lineRule="auto"/>
        <w:jc w:val="both"/>
        <w:rPr>
          <w:rFonts w:ascii="Gadugi" w:eastAsia="Malgun Gothic" w:hAnsi="Gadugi" w:cs="Estrangelo Edessa"/>
          <w:spacing w:val="-4"/>
          <w:sz w:val="24"/>
          <w:szCs w:val="24"/>
        </w:rPr>
      </w:pPr>
    </w:p>
    <w:p w14:paraId="176F4A11" w14:textId="08F8FC15" w:rsidR="008B0BC8" w:rsidRPr="00910871" w:rsidRDefault="00525BAD" w:rsidP="00B476F8">
      <w:pPr>
        <w:tabs>
          <w:tab w:val="left" w:pos="426"/>
        </w:tabs>
        <w:spacing w:after="0" w:line="276" w:lineRule="auto"/>
        <w:jc w:val="both"/>
        <w:rPr>
          <w:rFonts w:ascii="Gadugi" w:eastAsia="Malgun Gothic" w:hAnsi="Gadugi" w:cs="Estrangelo Edessa"/>
          <w:spacing w:val="-4"/>
          <w:sz w:val="24"/>
          <w:szCs w:val="24"/>
        </w:rPr>
      </w:pPr>
      <w:r w:rsidRPr="00910871">
        <w:rPr>
          <w:rFonts w:ascii="Gadugi" w:eastAsia="Malgun Gothic" w:hAnsi="Gadugi" w:cs="Estrangelo Edessa"/>
          <w:spacing w:val="-4"/>
          <w:sz w:val="24"/>
          <w:szCs w:val="24"/>
        </w:rPr>
        <w:t xml:space="preserve">Como se anticipó, el Juzgado accedió a las pretensiones, porque halló que en </w:t>
      </w:r>
      <w:r w:rsidR="006C7AAB" w:rsidRPr="00910871">
        <w:rPr>
          <w:rFonts w:ascii="Gadugi" w:eastAsia="Malgun Gothic" w:hAnsi="Gadugi" w:cs="Estrangelo Edessa"/>
          <w:spacing w:val="-4"/>
          <w:sz w:val="24"/>
          <w:szCs w:val="24"/>
        </w:rPr>
        <w:t xml:space="preserve">el </w:t>
      </w:r>
      <w:r w:rsidRPr="00910871">
        <w:rPr>
          <w:rFonts w:ascii="Gadugi" w:eastAsia="Malgun Gothic" w:hAnsi="Gadugi" w:cs="Estrangelo Edessa"/>
          <w:spacing w:val="-4"/>
          <w:sz w:val="24"/>
          <w:szCs w:val="24"/>
        </w:rPr>
        <w:t>juicio fiscal las demandadas fueron declaradas responsables y, por virtud de ello, se afectó la póliza de seguros No. 1002170, en razón de lo cual la aseguradora pagó los valores que le fueron señalados</w:t>
      </w:r>
      <w:r w:rsidR="006C7AAB" w:rsidRPr="00910871">
        <w:rPr>
          <w:rFonts w:ascii="Gadugi" w:eastAsia="Malgun Gothic" w:hAnsi="Gadugi" w:cs="Estrangelo Edessa"/>
          <w:spacing w:val="-4"/>
          <w:sz w:val="24"/>
          <w:szCs w:val="24"/>
        </w:rPr>
        <w:t xml:space="preserve">, con lo que </w:t>
      </w:r>
      <w:r w:rsidRPr="00910871">
        <w:rPr>
          <w:rFonts w:ascii="Gadugi" w:eastAsia="Malgun Gothic" w:hAnsi="Gadugi" w:cs="Estrangelo Edessa"/>
          <w:spacing w:val="-4"/>
          <w:sz w:val="24"/>
          <w:szCs w:val="24"/>
        </w:rPr>
        <w:t>quedó habilitada para subrogarse, como también le fue reconocido en aquella decisión administrativa. Solo que limitó las condenas de las demandadas a los montos por los que fueron halladas responsables y, por ello, le dio vía libre a la excepción de</w:t>
      </w:r>
      <w:r w:rsidR="008B0BC8" w:rsidRPr="00910871">
        <w:rPr>
          <w:rFonts w:ascii="Gadugi" w:eastAsia="Malgun Gothic" w:hAnsi="Gadugi" w:cs="Estrangelo Edessa"/>
          <w:spacing w:val="-4"/>
          <w:sz w:val="24"/>
          <w:szCs w:val="24"/>
        </w:rPr>
        <w:t xml:space="preserve"> </w:t>
      </w:r>
      <w:r w:rsidR="008B0BC8" w:rsidRPr="00910871">
        <w:rPr>
          <w:rFonts w:ascii="Gadugi" w:eastAsia="Malgun Gothic" w:hAnsi="Gadugi" w:cs="Estrangelo Edessa"/>
          <w:i/>
          <w:spacing w:val="-4"/>
          <w:sz w:val="24"/>
          <w:szCs w:val="24"/>
        </w:rPr>
        <w:t>“</w:t>
      </w:r>
      <w:r w:rsidR="008B0BC8" w:rsidRPr="00910871">
        <w:rPr>
          <w:rFonts w:ascii="Gadugi" w:eastAsia="Malgun Gothic" w:hAnsi="Gadugi" w:cs="Estrangelo Edessa"/>
          <w:i/>
          <w:spacing w:val="-4"/>
          <w:szCs w:val="24"/>
        </w:rPr>
        <w:t>pago de lo no debido</w:t>
      </w:r>
      <w:r w:rsidR="008B0BC8" w:rsidRPr="00910871">
        <w:rPr>
          <w:rFonts w:ascii="Gadugi" w:eastAsia="Malgun Gothic" w:hAnsi="Gadugi" w:cs="Estrangelo Edessa"/>
          <w:i/>
          <w:spacing w:val="-4"/>
          <w:sz w:val="24"/>
          <w:szCs w:val="24"/>
        </w:rPr>
        <w:t xml:space="preserve">”. </w:t>
      </w:r>
    </w:p>
    <w:p w14:paraId="7B517B36" w14:textId="77777777" w:rsidR="008B0BC8" w:rsidRPr="00910871" w:rsidRDefault="008B0BC8" w:rsidP="00B476F8">
      <w:pPr>
        <w:tabs>
          <w:tab w:val="left" w:pos="426"/>
        </w:tabs>
        <w:spacing w:after="0" w:line="276" w:lineRule="auto"/>
        <w:jc w:val="both"/>
        <w:rPr>
          <w:rFonts w:ascii="Gadugi" w:eastAsia="Malgun Gothic" w:hAnsi="Gadugi" w:cs="Estrangelo Edessa"/>
          <w:spacing w:val="-4"/>
          <w:sz w:val="24"/>
          <w:szCs w:val="24"/>
        </w:rPr>
      </w:pPr>
    </w:p>
    <w:p w14:paraId="3C86869C" w14:textId="77777777" w:rsidR="008B0BC8" w:rsidRPr="00910871" w:rsidRDefault="008B0BC8" w:rsidP="00B476F8">
      <w:pPr>
        <w:tabs>
          <w:tab w:val="left" w:pos="426"/>
        </w:tabs>
        <w:spacing w:after="0" w:line="276" w:lineRule="auto"/>
        <w:jc w:val="both"/>
        <w:rPr>
          <w:rFonts w:ascii="Gadugi" w:eastAsia="Malgun Gothic" w:hAnsi="Gadugi" w:cs="Estrangelo Edessa"/>
          <w:spacing w:val="-4"/>
          <w:sz w:val="24"/>
          <w:szCs w:val="24"/>
        </w:rPr>
      </w:pPr>
      <w:r w:rsidRPr="00910871">
        <w:rPr>
          <w:rFonts w:ascii="Gadugi" w:eastAsia="Malgun Gothic" w:hAnsi="Gadugi" w:cs="Estrangelo Edessa"/>
          <w:spacing w:val="-4"/>
          <w:sz w:val="24"/>
          <w:szCs w:val="24"/>
        </w:rPr>
        <w:t xml:space="preserve">Desechó la posición de la codemandada Liliana Argenis Higuera en relación con la póliza, pues la que se adujo aquí cubría los eventos de responsabilidad fiscal; tampoco aceptó el pago por compensación, por cuanto ella no acreditó haberle pagado valor alguno a la compañía. </w:t>
      </w:r>
    </w:p>
    <w:p w14:paraId="2561FE92" w14:textId="77777777" w:rsidR="008B0BC8" w:rsidRPr="00910871" w:rsidRDefault="008B0BC8" w:rsidP="00B476F8">
      <w:pPr>
        <w:tabs>
          <w:tab w:val="left" w:pos="426"/>
        </w:tabs>
        <w:spacing w:after="0" w:line="276" w:lineRule="auto"/>
        <w:jc w:val="both"/>
        <w:rPr>
          <w:rFonts w:ascii="Gadugi" w:eastAsia="Malgun Gothic" w:hAnsi="Gadugi" w:cs="Estrangelo Edessa"/>
          <w:spacing w:val="-4"/>
          <w:sz w:val="24"/>
          <w:szCs w:val="24"/>
        </w:rPr>
      </w:pPr>
    </w:p>
    <w:p w14:paraId="072489FA" w14:textId="77777777" w:rsidR="00BE0CE7" w:rsidRPr="00910871" w:rsidRDefault="008B0BC8" w:rsidP="00B476F8">
      <w:pPr>
        <w:tabs>
          <w:tab w:val="left" w:pos="426"/>
        </w:tabs>
        <w:spacing w:after="0" w:line="276" w:lineRule="auto"/>
        <w:jc w:val="both"/>
        <w:rPr>
          <w:rFonts w:ascii="Gadugi" w:eastAsia="Malgun Gothic" w:hAnsi="Gadugi" w:cs="Estrangelo Edessa"/>
          <w:spacing w:val="-4"/>
          <w:sz w:val="24"/>
          <w:szCs w:val="24"/>
        </w:rPr>
      </w:pPr>
      <w:r w:rsidRPr="00910871">
        <w:rPr>
          <w:rFonts w:ascii="Gadugi" w:eastAsia="Malgun Gothic" w:hAnsi="Gadugi" w:cs="Estrangelo Edessa"/>
          <w:spacing w:val="-4"/>
          <w:sz w:val="24"/>
          <w:szCs w:val="24"/>
        </w:rPr>
        <w:t>Y en el caso de Gloria Inés Román Soto, quien no contestó la demanda, pero durante la audiencia alegó un pago</w:t>
      </w:r>
      <w:r w:rsidR="00BE0CE7" w:rsidRPr="00910871">
        <w:rPr>
          <w:rFonts w:ascii="Gadugi" w:eastAsia="Malgun Gothic" w:hAnsi="Gadugi" w:cs="Estrangelo Edessa"/>
          <w:spacing w:val="-4"/>
          <w:sz w:val="24"/>
          <w:szCs w:val="24"/>
        </w:rPr>
        <w:t xml:space="preserve">, también se dijo en el fallo que de ello ninguna prueba existe. </w:t>
      </w:r>
    </w:p>
    <w:p w14:paraId="38BE5B2A" w14:textId="77777777" w:rsidR="00BE0CE7" w:rsidRPr="00910871" w:rsidRDefault="00BE0CE7" w:rsidP="00B476F8">
      <w:pPr>
        <w:tabs>
          <w:tab w:val="left" w:pos="426"/>
        </w:tabs>
        <w:spacing w:after="0" w:line="276" w:lineRule="auto"/>
        <w:jc w:val="both"/>
        <w:rPr>
          <w:rFonts w:ascii="Gadugi" w:eastAsia="Malgun Gothic" w:hAnsi="Gadugi" w:cs="Estrangelo Edessa"/>
          <w:spacing w:val="-4"/>
          <w:sz w:val="24"/>
          <w:szCs w:val="24"/>
        </w:rPr>
      </w:pPr>
    </w:p>
    <w:p w14:paraId="55F738EA" w14:textId="03FF80D9" w:rsidR="006C7AAB" w:rsidRPr="00910871" w:rsidRDefault="006C7AAB" w:rsidP="00B476F8">
      <w:pPr>
        <w:tabs>
          <w:tab w:val="left" w:pos="426"/>
        </w:tabs>
        <w:spacing w:after="0" w:line="276" w:lineRule="auto"/>
        <w:jc w:val="both"/>
        <w:rPr>
          <w:rFonts w:ascii="Gadugi" w:eastAsia="Malgun Gothic" w:hAnsi="Gadugi" w:cs="Estrangelo Edessa"/>
          <w:spacing w:val="-4"/>
          <w:sz w:val="24"/>
          <w:szCs w:val="24"/>
        </w:rPr>
      </w:pPr>
      <w:r w:rsidRPr="00910871">
        <w:rPr>
          <w:rFonts w:ascii="Gadugi" w:eastAsia="Malgun Gothic" w:hAnsi="Gadugi" w:cs="Estrangelo Edessa"/>
          <w:spacing w:val="-4"/>
          <w:sz w:val="24"/>
          <w:szCs w:val="24"/>
        </w:rPr>
        <w:t>Ambas demandadas apelaron y formularon sus reparos, su</w:t>
      </w:r>
      <w:r w:rsidR="00F60779" w:rsidRPr="00910871">
        <w:rPr>
          <w:rFonts w:ascii="Gadugi" w:eastAsia="Malgun Gothic" w:hAnsi="Gadugi" w:cs="Estrangelo Edessa"/>
          <w:spacing w:val="-4"/>
          <w:sz w:val="24"/>
          <w:szCs w:val="24"/>
        </w:rPr>
        <w:t>s</w:t>
      </w:r>
      <w:r w:rsidRPr="00910871">
        <w:rPr>
          <w:rFonts w:ascii="Gadugi" w:eastAsia="Malgun Gothic" w:hAnsi="Gadugi" w:cs="Estrangelo Edessa"/>
          <w:spacing w:val="-4"/>
          <w:sz w:val="24"/>
          <w:szCs w:val="24"/>
        </w:rPr>
        <w:t xml:space="preserve">tentados en primera y segunda instancia. </w:t>
      </w:r>
    </w:p>
    <w:p w14:paraId="67CC4213" w14:textId="77777777" w:rsidR="006C7AAB" w:rsidRPr="00910871" w:rsidRDefault="006C7AAB" w:rsidP="00B476F8">
      <w:pPr>
        <w:tabs>
          <w:tab w:val="left" w:pos="426"/>
        </w:tabs>
        <w:spacing w:after="0" w:line="276" w:lineRule="auto"/>
        <w:jc w:val="both"/>
        <w:rPr>
          <w:rFonts w:ascii="Gadugi" w:eastAsia="Malgun Gothic" w:hAnsi="Gadugi" w:cs="Estrangelo Edessa"/>
          <w:spacing w:val="-4"/>
          <w:sz w:val="24"/>
          <w:szCs w:val="24"/>
        </w:rPr>
      </w:pPr>
    </w:p>
    <w:p w14:paraId="51F901CE" w14:textId="77777777" w:rsidR="007E4F7D" w:rsidRPr="00910871" w:rsidRDefault="00F60779" w:rsidP="00B476F8">
      <w:pPr>
        <w:pStyle w:val="Prrafodelista"/>
        <w:numPr>
          <w:ilvl w:val="1"/>
          <w:numId w:val="1"/>
        </w:numPr>
        <w:tabs>
          <w:tab w:val="left" w:pos="426"/>
        </w:tabs>
        <w:spacing w:after="0" w:line="276" w:lineRule="auto"/>
        <w:ind w:left="0" w:firstLine="0"/>
        <w:jc w:val="both"/>
        <w:rPr>
          <w:rFonts w:ascii="Gadugi" w:eastAsia="Malgun Gothic" w:hAnsi="Gadugi" w:cs="Estrangelo Edessa"/>
          <w:spacing w:val="-4"/>
          <w:sz w:val="24"/>
          <w:szCs w:val="24"/>
        </w:rPr>
      </w:pPr>
      <w:r w:rsidRPr="00910871">
        <w:rPr>
          <w:rFonts w:ascii="Gadugi" w:eastAsia="Malgun Gothic" w:hAnsi="Gadugi" w:cs="Estrangelo Edessa"/>
          <w:spacing w:val="-4"/>
          <w:sz w:val="24"/>
          <w:szCs w:val="24"/>
        </w:rPr>
        <w:lastRenderedPageBreak/>
        <w:t xml:space="preserve">Los embates plateados por Liliana Argenis Higuera Molina, como se señaló, </w:t>
      </w:r>
      <w:r w:rsidR="00D9608B" w:rsidRPr="00910871">
        <w:rPr>
          <w:rFonts w:ascii="Gadugi" w:eastAsia="Malgun Gothic" w:hAnsi="Gadugi" w:cs="Estrangelo Edessa"/>
          <w:spacing w:val="-4"/>
          <w:sz w:val="24"/>
          <w:szCs w:val="24"/>
        </w:rPr>
        <w:t xml:space="preserve">se reducen a </w:t>
      </w:r>
      <w:r w:rsidR="00F56CA0" w:rsidRPr="00910871">
        <w:rPr>
          <w:rFonts w:ascii="Gadugi" w:eastAsia="Malgun Gothic" w:hAnsi="Gadugi" w:cs="Estrangelo Edessa"/>
          <w:spacing w:val="-4"/>
          <w:sz w:val="24"/>
          <w:szCs w:val="24"/>
        </w:rPr>
        <w:t>que:</w:t>
      </w:r>
      <w:r w:rsidR="00D9608B" w:rsidRPr="00910871">
        <w:rPr>
          <w:rFonts w:ascii="Gadugi" w:eastAsia="Malgun Gothic" w:hAnsi="Gadugi" w:cs="Estrangelo Edessa"/>
          <w:spacing w:val="-4"/>
          <w:sz w:val="24"/>
          <w:szCs w:val="24"/>
        </w:rPr>
        <w:t xml:space="preserve"> </w:t>
      </w:r>
    </w:p>
    <w:p w14:paraId="678C0B8B" w14:textId="77777777" w:rsidR="007E4F7D" w:rsidRPr="00910871" w:rsidRDefault="007E4F7D" w:rsidP="00B476F8">
      <w:pPr>
        <w:pStyle w:val="Prrafodelista"/>
        <w:tabs>
          <w:tab w:val="left" w:pos="426"/>
        </w:tabs>
        <w:spacing w:after="0" w:line="276" w:lineRule="auto"/>
        <w:ind w:left="0"/>
        <w:jc w:val="both"/>
        <w:rPr>
          <w:rFonts w:ascii="Gadugi" w:eastAsia="Malgun Gothic" w:hAnsi="Gadugi" w:cs="Estrangelo Edessa"/>
          <w:spacing w:val="-4"/>
          <w:sz w:val="24"/>
          <w:szCs w:val="24"/>
        </w:rPr>
      </w:pPr>
    </w:p>
    <w:p w14:paraId="5D3E4177" w14:textId="2A356815" w:rsidR="003D1BC7" w:rsidRPr="00910871" w:rsidRDefault="00D9608B" w:rsidP="00B476F8">
      <w:pPr>
        <w:pStyle w:val="Prrafodelista"/>
        <w:tabs>
          <w:tab w:val="left" w:pos="426"/>
        </w:tabs>
        <w:spacing w:after="0" w:line="276" w:lineRule="auto"/>
        <w:ind w:left="0"/>
        <w:jc w:val="both"/>
        <w:rPr>
          <w:rFonts w:ascii="Gadugi" w:eastAsia="Malgun Gothic" w:hAnsi="Gadugi" w:cs="Estrangelo Edessa"/>
          <w:spacing w:val="-4"/>
          <w:sz w:val="24"/>
          <w:szCs w:val="24"/>
        </w:rPr>
      </w:pPr>
      <w:r w:rsidRPr="00910871">
        <w:rPr>
          <w:rFonts w:ascii="Gadugi" w:eastAsia="Malgun Gothic" w:hAnsi="Gadugi" w:cs="Estrangelo Edessa"/>
          <w:spacing w:val="-4"/>
          <w:sz w:val="24"/>
          <w:szCs w:val="24"/>
        </w:rPr>
        <w:t xml:space="preserve">(i) </w:t>
      </w:r>
      <w:r w:rsidR="007E4F7D" w:rsidRPr="00910871">
        <w:rPr>
          <w:rFonts w:ascii="Gadugi" w:eastAsia="Malgun Gothic" w:hAnsi="Gadugi" w:cs="Estrangelo Edessa"/>
          <w:spacing w:val="-4"/>
          <w:sz w:val="24"/>
          <w:szCs w:val="24"/>
        </w:rPr>
        <w:t>L</w:t>
      </w:r>
      <w:r w:rsidRPr="00910871">
        <w:rPr>
          <w:rFonts w:ascii="Gadugi" w:eastAsia="Malgun Gothic" w:hAnsi="Gadugi" w:cs="Estrangelo Edessa"/>
          <w:spacing w:val="-4"/>
          <w:sz w:val="24"/>
          <w:szCs w:val="24"/>
        </w:rPr>
        <w:t>a póliza No. 1002</w:t>
      </w:r>
      <w:r w:rsidR="00A83CF8" w:rsidRPr="00910871">
        <w:rPr>
          <w:rFonts w:ascii="Gadugi" w:eastAsia="Malgun Gothic" w:hAnsi="Gadugi" w:cs="Estrangelo Edessa"/>
          <w:spacing w:val="-4"/>
          <w:sz w:val="24"/>
          <w:szCs w:val="24"/>
        </w:rPr>
        <w:t>170</w:t>
      </w:r>
      <w:r w:rsidRPr="00910871">
        <w:rPr>
          <w:rFonts w:ascii="Gadugi" w:eastAsia="Malgun Gothic" w:hAnsi="Gadugi" w:cs="Estrangelo Edessa"/>
          <w:spacing w:val="-4"/>
          <w:sz w:val="24"/>
          <w:szCs w:val="24"/>
        </w:rPr>
        <w:t xml:space="preserve"> que corresponde a un seguro de manejo póliza global sector oficial no podía haber sido intervenida en el proceso fiscal, porque ella amparaba </w:t>
      </w:r>
      <w:r w:rsidR="003D1BC7" w:rsidRPr="00910871">
        <w:rPr>
          <w:rFonts w:ascii="Gadugi" w:eastAsia="Malgun Gothic" w:hAnsi="Gadugi" w:cs="Estrangelo Edessa"/>
          <w:spacing w:val="-4"/>
          <w:sz w:val="24"/>
          <w:szCs w:val="24"/>
        </w:rPr>
        <w:t xml:space="preserve">daños derivados de delitos contra la administración pública, lo que imponía un fallo penal condenatorio previo. </w:t>
      </w:r>
      <w:r w:rsidRPr="00910871">
        <w:rPr>
          <w:rFonts w:ascii="Gadugi" w:eastAsia="Malgun Gothic" w:hAnsi="Gadugi" w:cs="Estrangelo Edessa"/>
          <w:spacing w:val="-4"/>
          <w:sz w:val="24"/>
          <w:szCs w:val="24"/>
        </w:rPr>
        <w:t xml:space="preserve"> </w:t>
      </w:r>
      <w:r w:rsidR="003D1BC7" w:rsidRPr="00910871">
        <w:rPr>
          <w:rFonts w:ascii="Gadugi" w:eastAsia="Malgun Gothic" w:hAnsi="Gadugi" w:cs="Estrangelo Edessa"/>
          <w:spacing w:val="-4"/>
          <w:sz w:val="24"/>
          <w:szCs w:val="24"/>
        </w:rPr>
        <w:t>Pero no fue eso lo que ocurrió con las demandadas, sino un</w:t>
      </w:r>
      <w:r w:rsidRPr="00910871">
        <w:rPr>
          <w:rFonts w:ascii="Gadugi" w:eastAsia="Malgun Gothic" w:hAnsi="Gadugi" w:cs="Estrangelo Edessa"/>
          <w:spacing w:val="-4"/>
          <w:sz w:val="24"/>
          <w:szCs w:val="24"/>
        </w:rPr>
        <w:t>a</w:t>
      </w:r>
      <w:r w:rsidR="003D1BC7" w:rsidRPr="00910871">
        <w:rPr>
          <w:rFonts w:ascii="Gadugi" w:eastAsia="Malgun Gothic" w:hAnsi="Gadugi" w:cs="Estrangelo Edessa"/>
          <w:spacing w:val="-4"/>
          <w:sz w:val="24"/>
          <w:szCs w:val="24"/>
        </w:rPr>
        <w:t xml:space="preserve"> responsabilidad por su deficiente gestión, así que la póliza que ha debido afectarse es la No. 1003848, que corresponde a un seguro de responsabilidad civil de servidores públicos. Entonces, dice, la aseguradora debió oponerse a su vinculación con apoyo en aquella primera póliza. </w:t>
      </w:r>
    </w:p>
    <w:p w14:paraId="5DD92B1D" w14:textId="27432124" w:rsidR="003D1BC7" w:rsidRPr="00910871" w:rsidRDefault="003D1BC7" w:rsidP="00B476F8">
      <w:pPr>
        <w:tabs>
          <w:tab w:val="left" w:pos="426"/>
        </w:tabs>
        <w:spacing w:after="0" w:line="276" w:lineRule="auto"/>
        <w:jc w:val="both"/>
        <w:rPr>
          <w:rFonts w:ascii="Gadugi" w:eastAsia="Malgun Gothic" w:hAnsi="Gadugi" w:cs="Estrangelo Edessa"/>
          <w:spacing w:val="-4"/>
          <w:sz w:val="24"/>
          <w:szCs w:val="24"/>
        </w:rPr>
      </w:pPr>
    </w:p>
    <w:p w14:paraId="6ABC9AD0" w14:textId="0103D73C" w:rsidR="00F56CA0" w:rsidRPr="00910871" w:rsidRDefault="00F56CA0" w:rsidP="00B476F8">
      <w:pPr>
        <w:tabs>
          <w:tab w:val="left" w:pos="426"/>
        </w:tabs>
        <w:spacing w:after="0" w:line="276" w:lineRule="auto"/>
        <w:jc w:val="both"/>
        <w:rPr>
          <w:rFonts w:ascii="Gadugi" w:eastAsia="Malgun Gothic" w:hAnsi="Gadugi" w:cs="Estrangelo Edessa"/>
          <w:spacing w:val="-4"/>
          <w:sz w:val="24"/>
          <w:szCs w:val="24"/>
        </w:rPr>
      </w:pPr>
      <w:r w:rsidRPr="00910871">
        <w:rPr>
          <w:rFonts w:ascii="Gadugi" w:eastAsia="Malgun Gothic" w:hAnsi="Gadugi" w:cs="Estrangelo Edessa"/>
          <w:spacing w:val="-4"/>
          <w:sz w:val="24"/>
          <w:szCs w:val="24"/>
        </w:rPr>
        <w:t>(ii) E</w:t>
      </w:r>
      <w:r w:rsidR="003D1BC7" w:rsidRPr="00910871">
        <w:rPr>
          <w:rFonts w:ascii="Gadugi" w:eastAsia="Malgun Gothic" w:hAnsi="Gadugi" w:cs="Estrangelo Edessa"/>
          <w:spacing w:val="-4"/>
          <w:sz w:val="24"/>
          <w:szCs w:val="24"/>
        </w:rPr>
        <w:t>n ese mismo sentido, argumenta que no pueden coexistir dos pólizas para responder por fallos de responsabilidad fiscal y, para el caso, la póliza 1003848 tenía como finalidad cubrir el detrimento del ente universitario frente a débiles o pobres gestiones de los servidores públicos</w:t>
      </w:r>
      <w:r w:rsidRPr="00910871">
        <w:rPr>
          <w:rFonts w:ascii="Gadugi" w:eastAsia="Malgun Gothic" w:hAnsi="Gadugi" w:cs="Estrangelo Edessa"/>
          <w:spacing w:val="-4"/>
          <w:sz w:val="24"/>
          <w:szCs w:val="24"/>
        </w:rPr>
        <w:t>, que pudiesen demostrarse en juicios fiscales. Esto toma mayor relevancia, dice, si se tiene en cuenta que la Ley 610 de 2000 prevé que el sujeto de investigación en la acción fiscal es quien se desempeñe como gestor fiscal, y Liliana Argenis era apenas una técnica grado 16, no gestora. Por ello,</w:t>
      </w:r>
      <w:r w:rsidR="003B39A3" w:rsidRPr="00910871">
        <w:rPr>
          <w:rFonts w:ascii="Gadugi" w:eastAsia="Malgun Gothic" w:hAnsi="Gadugi" w:cs="Estrangelo Edessa"/>
          <w:spacing w:val="-4"/>
          <w:sz w:val="24"/>
          <w:szCs w:val="24"/>
        </w:rPr>
        <w:t xml:space="preserve"> era ajena al </w:t>
      </w:r>
      <w:r w:rsidRPr="00910871">
        <w:rPr>
          <w:rFonts w:ascii="Gadugi" w:eastAsia="Malgun Gothic" w:hAnsi="Gadugi" w:cs="Estrangelo Edessa"/>
          <w:spacing w:val="-4"/>
          <w:sz w:val="24"/>
          <w:szCs w:val="24"/>
        </w:rPr>
        <w:t xml:space="preserve">reproche fiscal. </w:t>
      </w:r>
    </w:p>
    <w:p w14:paraId="79A6C226" w14:textId="77777777" w:rsidR="00F56CA0" w:rsidRPr="00910871" w:rsidRDefault="00F56CA0" w:rsidP="00B476F8">
      <w:pPr>
        <w:tabs>
          <w:tab w:val="left" w:pos="426"/>
        </w:tabs>
        <w:spacing w:after="0" w:line="276" w:lineRule="auto"/>
        <w:jc w:val="both"/>
        <w:rPr>
          <w:rFonts w:ascii="Gadugi" w:eastAsia="Malgun Gothic" w:hAnsi="Gadugi" w:cs="Estrangelo Edessa"/>
          <w:spacing w:val="-4"/>
          <w:sz w:val="24"/>
          <w:szCs w:val="24"/>
        </w:rPr>
      </w:pPr>
    </w:p>
    <w:p w14:paraId="1563A722" w14:textId="520480ED" w:rsidR="00F56CA0" w:rsidRPr="00910871" w:rsidRDefault="00F56CA0" w:rsidP="00B476F8">
      <w:pPr>
        <w:tabs>
          <w:tab w:val="left" w:pos="426"/>
        </w:tabs>
        <w:spacing w:after="0" w:line="276" w:lineRule="auto"/>
        <w:jc w:val="both"/>
        <w:rPr>
          <w:rFonts w:ascii="Gadugi" w:eastAsia="Malgun Gothic" w:hAnsi="Gadugi" w:cs="Estrangelo Edessa"/>
          <w:spacing w:val="-4"/>
          <w:sz w:val="24"/>
          <w:szCs w:val="24"/>
        </w:rPr>
      </w:pPr>
      <w:r w:rsidRPr="00910871">
        <w:rPr>
          <w:rFonts w:ascii="Gadugi" w:eastAsia="Malgun Gothic" w:hAnsi="Gadugi" w:cs="Estrangelo Edessa"/>
          <w:spacing w:val="-4"/>
          <w:sz w:val="24"/>
          <w:szCs w:val="24"/>
        </w:rPr>
        <w:t>Y (iii) Está demostrado que, producto del embargo de su salario, Liliana realizó unos pagos</w:t>
      </w:r>
      <w:r w:rsidR="001F4435" w:rsidRPr="00910871">
        <w:rPr>
          <w:rFonts w:ascii="Gadugi" w:eastAsia="Malgun Gothic" w:hAnsi="Gadugi" w:cs="Estrangelo Edessa"/>
          <w:spacing w:val="-4"/>
          <w:sz w:val="24"/>
          <w:szCs w:val="24"/>
        </w:rPr>
        <w:t xml:space="preserve">, más el deducible de la póliza 1002170 que, por lo dicho en los otros reparos, no ha debido efectuar. </w:t>
      </w:r>
    </w:p>
    <w:p w14:paraId="11D2F10C" w14:textId="647610E1" w:rsidR="001F4435" w:rsidRPr="00910871" w:rsidRDefault="001F4435" w:rsidP="00B476F8">
      <w:pPr>
        <w:tabs>
          <w:tab w:val="left" w:pos="426"/>
        </w:tabs>
        <w:spacing w:after="0" w:line="276" w:lineRule="auto"/>
        <w:jc w:val="both"/>
        <w:rPr>
          <w:rFonts w:ascii="Gadugi" w:eastAsia="Malgun Gothic" w:hAnsi="Gadugi" w:cs="Estrangelo Edessa"/>
          <w:spacing w:val="-4"/>
          <w:sz w:val="24"/>
          <w:szCs w:val="24"/>
        </w:rPr>
      </w:pPr>
    </w:p>
    <w:p w14:paraId="2072786F" w14:textId="4163113B" w:rsidR="001F4435" w:rsidRPr="00910871" w:rsidRDefault="008E4291" w:rsidP="00B476F8">
      <w:pPr>
        <w:pStyle w:val="Prrafodelista"/>
        <w:tabs>
          <w:tab w:val="left" w:pos="567"/>
        </w:tabs>
        <w:spacing w:after="0" w:line="276" w:lineRule="auto"/>
        <w:ind w:left="0"/>
        <w:jc w:val="both"/>
        <w:rPr>
          <w:rFonts w:ascii="Gadugi" w:eastAsia="Malgun Gothic" w:hAnsi="Gadugi" w:cs="Estrangelo Edessa"/>
          <w:spacing w:val="-4"/>
          <w:sz w:val="24"/>
          <w:szCs w:val="24"/>
        </w:rPr>
      </w:pPr>
      <w:r w:rsidRPr="00910871">
        <w:rPr>
          <w:rFonts w:ascii="Gadugi" w:eastAsia="Malgun Gothic" w:hAnsi="Gadugi" w:cs="Estrangelo Edessa"/>
          <w:spacing w:val="-4"/>
          <w:sz w:val="24"/>
          <w:szCs w:val="24"/>
        </w:rPr>
        <w:t xml:space="preserve">Fracasan </w:t>
      </w:r>
      <w:r w:rsidR="001F4435" w:rsidRPr="00910871">
        <w:rPr>
          <w:rFonts w:ascii="Gadugi" w:eastAsia="Malgun Gothic" w:hAnsi="Gadugi" w:cs="Estrangelo Edessa"/>
          <w:spacing w:val="-4"/>
          <w:sz w:val="24"/>
          <w:szCs w:val="24"/>
        </w:rPr>
        <w:t xml:space="preserve">sus réplicas. </w:t>
      </w:r>
    </w:p>
    <w:p w14:paraId="277CF73A" w14:textId="44F7CAD8" w:rsidR="001F4435" w:rsidRPr="00910871" w:rsidRDefault="001F4435" w:rsidP="00B476F8">
      <w:pPr>
        <w:tabs>
          <w:tab w:val="left" w:pos="426"/>
        </w:tabs>
        <w:spacing w:after="0" w:line="276" w:lineRule="auto"/>
        <w:jc w:val="both"/>
        <w:rPr>
          <w:rFonts w:ascii="Gadugi" w:eastAsia="Malgun Gothic" w:hAnsi="Gadugi" w:cs="Estrangelo Edessa"/>
          <w:spacing w:val="-4"/>
          <w:sz w:val="24"/>
          <w:szCs w:val="24"/>
        </w:rPr>
      </w:pPr>
    </w:p>
    <w:p w14:paraId="712DA23F" w14:textId="3A883A9E" w:rsidR="001F4435" w:rsidRPr="00910871" w:rsidRDefault="001F4435" w:rsidP="00B476F8">
      <w:pPr>
        <w:tabs>
          <w:tab w:val="left" w:pos="426"/>
        </w:tabs>
        <w:spacing w:after="0" w:line="276" w:lineRule="auto"/>
        <w:jc w:val="both"/>
        <w:rPr>
          <w:rFonts w:ascii="Gadugi" w:eastAsia="Malgun Gothic" w:hAnsi="Gadugi" w:cs="Estrangelo Edessa"/>
          <w:spacing w:val="-4"/>
          <w:sz w:val="24"/>
          <w:szCs w:val="24"/>
        </w:rPr>
      </w:pPr>
      <w:r w:rsidRPr="00910871">
        <w:rPr>
          <w:rFonts w:ascii="Gadugi" w:eastAsia="Malgun Gothic" w:hAnsi="Gadugi" w:cs="Estrangelo Edessa"/>
          <w:spacing w:val="-4"/>
          <w:sz w:val="24"/>
          <w:szCs w:val="24"/>
        </w:rPr>
        <w:t>Lo primero que debe destacarse, es que este proceso tiene génesis en una actuación administrativa que concluyó con una declaración de responsabilidad fiscal contra las demand</w:t>
      </w:r>
      <w:r w:rsidR="00AA6E2B" w:rsidRPr="00910871">
        <w:rPr>
          <w:rFonts w:ascii="Gadugi" w:eastAsia="Malgun Gothic" w:hAnsi="Gadugi" w:cs="Estrangelo Edessa"/>
          <w:spacing w:val="-4"/>
          <w:sz w:val="24"/>
          <w:szCs w:val="24"/>
        </w:rPr>
        <w:t>ad</w:t>
      </w:r>
      <w:r w:rsidRPr="00910871">
        <w:rPr>
          <w:rFonts w:ascii="Gadugi" w:eastAsia="Malgun Gothic" w:hAnsi="Gadugi" w:cs="Estrangelo Edessa"/>
          <w:spacing w:val="-4"/>
          <w:sz w:val="24"/>
          <w:szCs w:val="24"/>
        </w:rPr>
        <w:t xml:space="preserve">as, adelantada por la Contraloría General de la República. </w:t>
      </w:r>
      <w:r w:rsidR="009A77C0" w:rsidRPr="00910871">
        <w:rPr>
          <w:rFonts w:ascii="Gadugi" w:eastAsia="Malgun Gothic" w:hAnsi="Gadugi" w:cs="Estrangelo Edessa"/>
          <w:spacing w:val="-4"/>
          <w:sz w:val="24"/>
          <w:szCs w:val="24"/>
        </w:rPr>
        <w:t>En e</w:t>
      </w:r>
      <w:r w:rsidRPr="00910871">
        <w:rPr>
          <w:rFonts w:ascii="Gadugi" w:eastAsia="Malgun Gothic" w:hAnsi="Gadugi" w:cs="Estrangelo Edessa"/>
          <w:spacing w:val="-4"/>
          <w:sz w:val="24"/>
          <w:szCs w:val="24"/>
        </w:rPr>
        <w:t xml:space="preserve">sa decisión, </w:t>
      </w:r>
      <w:r w:rsidR="00EB367F" w:rsidRPr="00910871">
        <w:rPr>
          <w:rFonts w:ascii="Gadugi" w:eastAsia="Malgun Gothic" w:hAnsi="Gadugi" w:cs="Estrangelo Edessa"/>
          <w:spacing w:val="-4"/>
          <w:sz w:val="24"/>
          <w:szCs w:val="24"/>
        </w:rPr>
        <w:t>que es el fallo 005, PRF-2013-00332_1027</w:t>
      </w:r>
      <w:r w:rsidR="009A77C0" w:rsidRPr="00910871">
        <w:rPr>
          <w:rStyle w:val="Refdenotaalpie"/>
          <w:rFonts w:ascii="Gadugi" w:eastAsia="Malgun Gothic" w:hAnsi="Gadugi" w:cs="Estrangelo Edessa"/>
          <w:spacing w:val="-4"/>
          <w:sz w:val="24"/>
          <w:szCs w:val="24"/>
        </w:rPr>
        <w:footnoteReference w:id="16"/>
      </w:r>
      <w:r w:rsidR="00EB367F" w:rsidRPr="00910871">
        <w:rPr>
          <w:rFonts w:ascii="Gadugi" w:eastAsia="Malgun Gothic" w:hAnsi="Gadugi" w:cs="Estrangelo Edessa"/>
          <w:spacing w:val="-4"/>
          <w:sz w:val="24"/>
          <w:szCs w:val="24"/>
        </w:rPr>
        <w:t xml:space="preserve">, </w:t>
      </w:r>
      <w:r w:rsidR="004942A6" w:rsidRPr="00910871">
        <w:rPr>
          <w:rFonts w:ascii="Gadugi" w:eastAsia="Malgun Gothic" w:hAnsi="Gadugi" w:cs="Estrangelo Edessa"/>
          <w:spacing w:val="-4"/>
          <w:sz w:val="24"/>
          <w:szCs w:val="24"/>
        </w:rPr>
        <w:t>se integró la póliza No. 1002170</w:t>
      </w:r>
      <w:r w:rsidR="009A77C0" w:rsidRPr="00910871">
        <w:rPr>
          <w:rFonts w:ascii="Gadugi" w:eastAsia="Malgun Gothic" w:hAnsi="Gadugi" w:cs="Estrangelo Edessa"/>
          <w:spacing w:val="-4"/>
          <w:sz w:val="24"/>
          <w:szCs w:val="24"/>
        </w:rPr>
        <w:t xml:space="preserve">. </w:t>
      </w:r>
      <w:r w:rsidR="004942A6" w:rsidRPr="00910871">
        <w:rPr>
          <w:rFonts w:ascii="Gadugi" w:eastAsia="Malgun Gothic" w:hAnsi="Gadugi" w:cs="Estrangelo Edessa"/>
          <w:spacing w:val="-4"/>
          <w:sz w:val="24"/>
          <w:szCs w:val="24"/>
        </w:rPr>
        <w:t xml:space="preserve"> </w:t>
      </w:r>
      <w:r w:rsidR="009A77C0" w:rsidRPr="00910871">
        <w:rPr>
          <w:rFonts w:ascii="Gadugi" w:eastAsia="Malgun Gothic" w:hAnsi="Gadugi" w:cs="Estrangelo Edessa"/>
          <w:spacing w:val="-4"/>
          <w:sz w:val="24"/>
          <w:szCs w:val="24"/>
        </w:rPr>
        <w:t>Recurrida en reposición, se mantuvo en su integridad</w:t>
      </w:r>
      <w:r w:rsidR="009A77C0" w:rsidRPr="00910871">
        <w:rPr>
          <w:rStyle w:val="Refdenotaalpie"/>
          <w:rFonts w:ascii="Gadugi" w:eastAsia="Malgun Gothic" w:hAnsi="Gadugi" w:cs="Estrangelo Edessa"/>
          <w:spacing w:val="-4"/>
          <w:sz w:val="24"/>
          <w:szCs w:val="24"/>
        </w:rPr>
        <w:footnoteReference w:id="17"/>
      </w:r>
      <w:r w:rsidR="004942A6" w:rsidRPr="00910871">
        <w:rPr>
          <w:rFonts w:ascii="Gadugi" w:eastAsia="Malgun Gothic" w:hAnsi="Gadugi" w:cs="Estrangelo Edessa"/>
          <w:spacing w:val="-4"/>
          <w:sz w:val="24"/>
          <w:szCs w:val="24"/>
        </w:rPr>
        <w:t xml:space="preserve"> </w:t>
      </w:r>
      <w:r w:rsidRPr="00910871">
        <w:rPr>
          <w:rFonts w:ascii="Gadugi" w:eastAsia="Malgun Gothic" w:hAnsi="Gadugi" w:cs="Estrangelo Edessa"/>
          <w:spacing w:val="-4"/>
          <w:sz w:val="24"/>
          <w:szCs w:val="24"/>
        </w:rPr>
        <w:t xml:space="preserve"> </w:t>
      </w:r>
    </w:p>
    <w:p w14:paraId="1A1A514A" w14:textId="77777777" w:rsidR="001F4435" w:rsidRPr="00910871" w:rsidRDefault="001F4435" w:rsidP="00B476F8">
      <w:pPr>
        <w:tabs>
          <w:tab w:val="left" w:pos="426"/>
        </w:tabs>
        <w:spacing w:after="0" w:line="276" w:lineRule="auto"/>
        <w:jc w:val="both"/>
        <w:rPr>
          <w:rFonts w:ascii="Gadugi" w:eastAsia="Malgun Gothic" w:hAnsi="Gadugi" w:cs="Estrangelo Edessa"/>
          <w:spacing w:val="-4"/>
          <w:sz w:val="24"/>
          <w:szCs w:val="24"/>
        </w:rPr>
      </w:pPr>
    </w:p>
    <w:p w14:paraId="6CE927F6" w14:textId="0F6233CF" w:rsidR="00905A44" w:rsidRPr="00910871" w:rsidRDefault="00963B08" w:rsidP="00B476F8">
      <w:pPr>
        <w:tabs>
          <w:tab w:val="left" w:pos="426"/>
        </w:tabs>
        <w:spacing w:after="0" w:line="276" w:lineRule="auto"/>
        <w:jc w:val="both"/>
        <w:rPr>
          <w:rFonts w:ascii="Gadugi" w:eastAsia="Malgun Gothic" w:hAnsi="Gadugi" w:cs="Estrangelo Edessa"/>
          <w:spacing w:val="-4"/>
          <w:sz w:val="24"/>
          <w:szCs w:val="24"/>
        </w:rPr>
      </w:pPr>
      <w:r w:rsidRPr="00910871">
        <w:rPr>
          <w:rFonts w:ascii="Gadugi" w:eastAsia="Malgun Gothic" w:hAnsi="Gadugi" w:cs="Estrangelo Edessa"/>
          <w:spacing w:val="-4"/>
          <w:sz w:val="24"/>
          <w:szCs w:val="24"/>
        </w:rPr>
        <w:t>Allí se llegó a un primer análisis, consistente en que a Liliana Argenis Higuera le competía “</w:t>
      </w:r>
      <w:r w:rsidRPr="00910871">
        <w:rPr>
          <w:rFonts w:ascii="Gadugi" w:eastAsia="Malgun Gothic" w:hAnsi="Gadugi" w:cs="Estrangelo Edessa"/>
          <w:i/>
          <w:spacing w:val="-4"/>
          <w:szCs w:val="24"/>
        </w:rPr>
        <w:t>realizar actividades de soporte administrativo en lo relacionado con el cobro de incapacidades, como lo establece el manual de funciones y procedimientos del claustro universitario</w:t>
      </w:r>
      <w:r w:rsidRPr="00910871">
        <w:rPr>
          <w:rFonts w:ascii="Gadugi" w:eastAsia="Malgun Gothic" w:hAnsi="Gadugi" w:cs="Estrangelo Edessa"/>
          <w:spacing w:val="-4"/>
          <w:sz w:val="24"/>
          <w:szCs w:val="24"/>
        </w:rPr>
        <w:t xml:space="preserve">”. Por tanto, se dijo, </w:t>
      </w:r>
      <w:r w:rsidRPr="00910871">
        <w:rPr>
          <w:rFonts w:ascii="Gadugi" w:eastAsia="Malgun Gothic" w:hAnsi="Gadugi" w:cs="Estrangelo Edessa"/>
          <w:i/>
          <w:spacing w:val="-4"/>
          <w:sz w:val="24"/>
          <w:szCs w:val="24"/>
        </w:rPr>
        <w:t>“</w:t>
      </w:r>
      <w:r w:rsidRPr="00910871">
        <w:rPr>
          <w:rFonts w:ascii="Gadugi" w:eastAsia="Malgun Gothic" w:hAnsi="Gadugi" w:cs="Estrangelo Edessa"/>
          <w:i/>
          <w:spacing w:val="-4"/>
          <w:szCs w:val="24"/>
        </w:rPr>
        <w:t>…</w:t>
      </w:r>
      <w:r w:rsidR="000704C3" w:rsidRPr="00910871">
        <w:rPr>
          <w:rFonts w:ascii="Gadugi" w:eastAsia="Malgun Gothic" w:hAnsi="Gadugi" w:cs="Estrangelo Edessa"/>
          <w:i/>
          <w:spacing w:val="-4"/>
          <w:szCs w:val="24"/>
        </w:rPr>
        <w:t xml:space="preserve"> </w:t>
      </w:r>
      <w:r w:rsidRPr="00910871">
        <w:rPr>
          <w:rFonts w:ascii="Gadugi" w:eastAsia="Malgun Gothic" w:hAnsi="Gadugi" w:cs="Estrangelo Edessa"/>
          <w:i/>
          <w:spacing w:val="-4"/>
          <w:szCs w:val="24"/>
        </w:rPr>
        <w:t>tenía injerencia en la gestión fiscal, más aún cuando el producto de su actividad terminada con un reconocimiento económico para la Universidad por parte de las entidades respectivas, a quienes se hacían los recobros y que se traducía en la autoliquidación de aportes al Sistema General de Seguridad Social en Salud</w:t>
      </w:r>
      <w:r w:rsidRPr="00910871">
        <w:rPr>
          <w:rFonts w:ascii="Gadugi" w:eastAsia="Malgun Gothic" w:hAnsi="Gadugi" w:cs="Estrangelo Edessa"/>
          <w:i/>
          <w:spacing w:val="-4"/>
          <w:sz w:val="24"/>
          <w:szCs w:val="24"/>
        </w:rPr>
        <w:t>”</w:t>
      </w:r>
      <w:r w:rsidR="002460F9" w:rsidRPr="00910871">
        <w:rPr>
          <w:rFonts w:ascii="Gadugi" w:eastAsia="Malgun Gothic" w:hAnsi="Gadugi" w:cs="Estrangelo Edessa"/>
          <w:i/>
          <w:spacing w:val="-4"/>
          <w:sz w:val="24"/>
          <w:szCs w:val="24"/>
        </w:rPr>
        <w:t xml:space="preserve">. </w:t>
      </w:r>
      <w:r w:rsidR="002460F9" w:rsidRPr="00910871">
        <w:rPr>
          <w:rFonts w:ascii="Gadugi" w:eastAsia="Malgun Gothic" w:hAnsi="Gadugi" w:cs="Estrangelo Edessa"/>
          <w:spacing w:val="-4"/>
          <w:sz w:val="24"/>
          <w:szCs w:val="24"/>
        </w:rPr>
        <w:t xml:space="preserve">Así que, conforme con lo establecido en el artículo 3° de la Ley 610 de 2000, ejercía </w:t>
      </w:r>
      <w:r w:rsidR="002460F9" w:rsidRPr="00910871">
        <w:rPr>
          <w:rFonts w:ascii="Gadugi" w:eastAsia="Malgun Gothic" w:hAnsi="Gadugi" w:cs="Estrangelo Edessa"/>
          <w:i/>
          <w:spacing w:val="-4"/>
          <w:sz w:val="24"/>
          <w:szCs w:val="24"/>
        </w:rPr>
        <w:t>“</w:t>
      </w:r>
      <w:r w:rsidR="002460F9" w:rsidRPr="00910871">
        <w:rPr>
          <w:rFonts w:ascii="Gadugi" w:eastAsia="Malgun Gothic" w:hAnsi="Gadugi" w:cs="Estrangelo Edessa"/>
          <w:i/>
          <w:spacing w:val="-4"/>
          <w:szCs w:val="24"/>
        </w:rPr>
        <w:t>…</w:t>
      </w:r>
      <w:r w:rsidR="000704C3" w:rsidRPr="00910871">
        <w:rPr>
          <w:rFonts w:ascii="Gadugi" w:eastAsia="Malgun Gothic" w:hAnsi="Gadugi" w:cs="Estrangelo Edessa"/>
          <w:i/>
          <w:spacing w:val="-4"/>
          <w:szCs w:val="24"/>
        </w:rPr>
        <w:t xml:space="preserve"> </w:t>
      </w:r>
      <w:r w:rsidR="002460F9" w:rsidRPr="00910871">
        <w:rPr>
          <w:rFonts w:ascii="Gadugi" w:eastAsia="Malgun Gothic" w:hAnsi="Gadugi" w:cs="Estrangelo Edessa"/>
          <w:i/>
          <w:spacing w:val="-4"/>
          <w:szCs w:val="24"/>
        </w:rPr>
        <w:t xml:space="preserve">actos que comportan una relación de conexidad próxima y necesaria para con el desarrollo de la gestión fiscal, al tener influencia técnica decisoria </w:t>
      </w:r>
      <w:r w:rsidR="002460F9" w:rsidRPr="00910871">
        <w:rPr>
          <w:rFonts w:ascii="Gadugi" w:eastAsia="Malgun Gothic" w:hAnsi="Gadugi" w:cs="Estrangelo Edessa"/>
          <w:i/>
          <w:spacing w:val="-4"/>
          <w:szCs w:val="24"/>
        </w:rPr>
        <w:lastRenderedPageBreak/>
        <w:t>en los procesos relativos a la gestión de talento humano. Se acota que si bien no es gestor fiscal directo, se encuentra dentro del circuito secundario de la gestión fiscal actuando con ocasión de esta o a guisa de contribución</w:t>
      </w:r>
      <w:r w:rsidR="00905A44" w:rsidRPr="00910871">
        <w:rPr>
          <w:rFonts w:ascii="Gadugi" w:eastAsia="Malgun Gothic" w:hAnsi="Gadugi" w:cs="Estrangelo Edessa"/>
          <w:i/>
          <w:spacing w:val="-4"/>
          <w:szCs w:val="24"/>
        </w:rPr>
        <w:t xml:space="preserve"> (art. 1° y 6°, Ley 610 de 2000</w:t>
      </w:r>
      <w:r w:rsidR="000704C3" w:rsidRPr="00910871">
        <w:rPr>
          <w:rFonts w:ascii="Gadugi" w:eastAsia="Malgun Gothic" w:hAnsi="Gadugi" w:cs="Estrangelo Edessa"/>
          <w:i/>
          <w:spacing w:val="-4"/>
          <w:szCs w:val="24"/>
        </w:rPr>
        <w:t>)</w:t>
      </w:r>
      <w:r w:rsidR="00905A44" w:rsidRPr="00910871">
        <w:rPr>
          <w:rFonts w:ascii="Gadugi" w:eastAsia="Malgun Gothic" w:hAnsi="Gadugi" w:cs="Estrangelo Edessa"/>
          <w:i/>
          <w:spacing w:val="-4"/>
          <w:sz w:val="24"/>
          <w:szCs w:val="24"/>
        </w:rPr>
        <w:t>”</w:t>
      </w:r>
      <w:r w:rsidR="00905A44" w:rsidRPr="00910871">
        <w:rPr>
          <w:rStyle w:val="Refdenotaalpie"/>
          <w:rFonts w:ascii="Gadugi" w:eastAsia="Malgun Gothic" w:hAnsi="Gadugi" w:cs="Estrangelo Edessa"/>
          <w:i/>
          <w:spacing w:val="-4"/>
          <w:sz w:val="24"/>
          <w:szCs w:val="24"/>
        </w:rPr>
        <w:footnoteReference w:id="18"/>
      </w:r>
      <w:r w:rsidR="00905A44" w:rsidRPr="00910871">
        <w:rPr>
          <w:rFonts w:ascii="Gadugi" w:eastAsia="Malgun Gothic" w:hAnsi="Gadugi" w:cs="Estrangelo Edessa"/>
          <w:i/>
          <w:spacing w:val="-4"/>
          <w:sz w:val="24"/>
          <w:szCs w:val="24"/>
        </w:rPr>
        <w:t xml:space="preserve">. </w:t>
      </w:r>
    </w:p>
    <w:p w14:paraId="708C0867" w14:textId="472B3C1F" w:rsidR="00905A44" w:rsidRPr="00910871" w:rsidRDefault="00905A44" w:rsidP="00B476F8">
      <w:pPr>
        <w:tabs>
          <w:tab w:val="left" w:pos="426"/>
        </w:tabs>
        <w:spacing w:after="0" w:line="276" w:lineRule="auto"/>
        <w:jc w:val="both"/>
        <w:rPr>
          <w:rFonts w:ascii="Gadugi" w:eastAsia="Malgun Gothic" w:hAnsi="Gadugi" w:cs="Estrangelo Edessa"/>
          <w:spacing w:val="-4"/>
          <w:sz w:val="24"/>
          <w:szCs w:val="24"/>
        </w:rPr>
      </w:pPr>
    </w:p>
    <w:p w14:paraId="71CB1811" w14:textId="77777777" w:rsidR="00905A44" w:rsidRPr="00910871" w:rsidRDefault="00905A44" w:rsidP="00B476F8">
      <w:pPr>
        <w:tabs>
          <w:tab w:val="left" w:pos="426"/>
        </w:tabs>
        <w:spacing w:after="0" w:line="276" w:lineRule="auto"/>
        <w:jc w:val="both"/>
        <w:rPr>
          <w:rFonts w:ascii="Gadugi" w:eastAsia="Malgun Gothic" w:hAnsi="Gadugi" w:cs="Estrangelo Edessa"/>
          <w:spacing w:val="-4"/>
          <w:sz w:val="24"/>
          <w:szCs w:val="24"/>
        </w:rPr>
      </w:pPr>
      <w:r w:rsidRPr="00910871">
        <w:rPr>
          <w:rFonts w:ascii="Gadugi" w:eastAsia="Malgun Gothic" w:hAnsi="Gadugi" w:cs="Estrangelo Edessa"/>
          <w:spacing w:val="-4"/>
          <w:sz w:val="24"/>
          <w:szCs w:val="24"/>
        </w:rPr>
        <w:t xml:space="preserve">El recurso de reposición se centró, en parte, en controvertir esa argumentación, pero no tuvo acogida. </w:t>
      </w:r>
    </w:p>
    <w:p w14:paraId="6BEB7AB2" w14:textId="77777777" w:rsidR="00905A44" w:rsidRPr="00910871" w:rsidRDefault="00905A44" w:rsidP="00B476F8">
      <w:pPr>
        <w:tabs>
          <w:tab w:val="left" w:pos="426"/>
        </w:tabs>
        <w:spacing w:after="0" w:line="276" w:lineRule="auto"/>
        <w:jc w:val="both"/>
        <w:rPr>
          <w:rFonts w:ascii="Gadugi" w:eastAsia="Malgun Gothic" w:hAnsi="Gadugi" w:cs="Estrangelo Edessa"/>
          <w:spacing w:val="-4"/>
          <w:sz w:val="24"/>
          <w:szCs w:val="24"/>
        </w:rPr>
      </w:pPr>
    </w:p>
    <w:p w14:paraId="60AE4FE5" w14:textId="3D977044" w:rsidR="00905A44" w:rsidRPr="00910871" w:rsidRDefault="00905A44" w:rsidP="00B476F8">
      <w:pPr>
        <w:tabs>
          <w:tab w:val="left" w:pos="426"/>
        </w:tabs>
        <w:spacing w:after="0" w:line="276" w:lineRule="auto"/>
        <w:jc w:val="both"/>
        <w:rPr>
          <w:rFonts w:ascii="Gadugi" w:eastAsia="Malgun Gothic" w:hAnsi="Gadugi" w:cs="Estrangelo Edessa"/>
          <w:spacing w:val="-4"/>
          <w:sz w:val="24"/>
          <w:szCs w:val="24"/>
        </w:rPr>
      </w:pPr>
      <w:r w:rsidRPr="00910871">
        <w:rPr>
          <w:rFonts w:ascii="Gadugi" w:eastAsia="Malgun Gothic" w:hAnsi="Gadugi" w:cs="Estrangelo Edessa"/>
          <w:spacing w:val="-4"/>
          <w:sz w:val="24"/>
          <w:szCs w:val="24"/>
        </w:rPr>
        <w:t xml:space="preserve">También </w:t>
      </w:r>
      <w:bookmarkStart w:id="2" w:name="_Hlk124409083"/>
      <w:r w:rsidRPr="00910871">
        <w:rPr>
          <w:rFonts w:ascii="Gadugi" w:eastAsia="Malgun Gothic" w:hAnsi="Gadugi" w:cs="Estrangelo Edessa"/>
          <w:spacing w:val="-4"/>
          <w:sz w:val="24"/>
          <w:szCs w:val="24"/>
        </w:rPr>
        <w:t>se ocupó el órgano de control de la vinculación del tercero civilmente responsable</w:t>
      </w:r>
      <w:r w:rsidR="00262856" w:rsidRPr="00910871">
        <w:rPr>
          <w:rFonts w:ascii="Gadugi" w:eastAsia="Malgun Gothic" w:hAnsi="Gadugi" w:cs="Estrangelo Edessa"/>
          <w:spacing w:val="-4"/>
          <w:sz w:val="24"/>
          <w:szCs w:val="24"/>
        </w:rPr>
        <w:t>, acatando lo reglado por el artículo 44 de la Ley 610 de 2000</w:t>
      </w:r>
      <w:r w:rsidR="004A7D35" w:rsidRPr="00910871">
        <w:rPr>
          <w:rFonts w:ascii="Gadugi" w:eastAsia="Malgun Gothic" w:hAnsi="Gadugi" w:cs="Estrangelo Edessa"/>
          <w:spacing w:val="-4"/>
          <w:sz w:val="24"/>
          <w:szCs w:val="24"/>
        </w:rPr>
        <w:t xml:space="preserve">, con fundamento en el contrato de </w:t>
      </w:r>
      <w:r w:rsidR="004A7D35" w:rsidRPr="00910871">
        <w:rPr>
          <w:rFonts w:ascii="Gadugi" w:eastAsia="Malgun Gothic" w:hAnsi="Gadugi" w:cs="Estrangelo Edessa"/>
          <w:i/>
          <w:spacing w:val="-4"/>
          <w:sz w:val="24"/>
          <w:szCs w:val="24"/>
        </w:rPr>
        <w:t>“</w:t>
      </w:r>
      <w:r w:rsidR="004A7D35" w:rsidRPr="00910871">
        <w:rPr>
          <w:rFonts w:ascii="Gadugi" w:eastAsia="Malgun Gothic" w:hAnsi="Gadugi" w:cs="Estrangelo Edessa"/>
          <w:i/>
          <w:spacing w:val="-4"/>
          <w:szCs w:val="24"/>
        </w:rPr>
        <w:t>Seguro Manejo de Póliza Glo</w:t>
      </w:r>
      <w:r w:rsidR="006834AB" w:rsidRPr="00910871">
        <w:rPr>
          <w:rFonts w:ascii="Gadugi" w:eastAsia="Malgun Gothic" w:hAnsi="Gadugi" w:cs="Estrangelo Edessa"/>
          <w:i/>
          <w:spacing w:val="-4"/>
          <w:szCs w:val="24"/>
        </w:rPr>
        <w:t>b</w:t>
      </w:r>
      <w:r w:rsidR="004A7D35" w:rsidRPr="00910871">
        <w:rPr>
          <w:rFonts w:ascii="Gadugi" w:eastAsia="Malgun Gothic" w:hAnsi="Gadugi" w:cs="Estrangelo Edessa"/>
          <w:i/>
          <w:spacing w:val="-4"/>
          <w:szCs w:val="24"/>
        </w:rPr>
        <w:t>al Sector Oficial</w:t>
      </w:r>
      <w:r w:rsidR="004A7D35" w:rsidRPr="00910871">
        <w:rPr>
          <w:rFonts w:ascii="Gadugi" w:eastAsia="Malgun Gothic" w:hAnsi="Gadugi" w:cs="Estrangelo Edessa"/>
          <w:i/>
          <w:spacing w:val="-4"/>
          <w:sz w:val="24"/>
          <w:szCs w:val="24"/>
        </w:rPr>
        <w:t xml:space="preserve">” </w:t>
      </w:r>
      <w:r w:rsidR="004A7D35" w:rsidRPr="00910871">
        <w:rPr>
          <w:rFonts w:ascii="Gadugi" w:eastAsia="Malgun Gothic" w:hAnsi="Gadugi" w:cs="Estrangelo Edessa"/>
          <w:spacing w:val="-4"/>
          <w:sz w:val="24"/>
          <w:szCs w:val="24"/>
        </w:rPr>
        <w:t>contenido en la póliza 1002170</w:t>
      </w:r>
      <w:r w:rsidR="006834AB" w:rsidRPr="00910871">
        <w:rPr>
          <w:rStyle w:val="Refdenotaalpie"/>
          <w:rFonts w:ascii="Gadugi" w:eastAsia="Malgun Gothic" w:hAnsi="Gadugi" w:cs="Estrangelo Edessa"/>
          <w:spacing w:val="-4"/>
          <w:sz w:val="24"/>
          <w:szCs w:val="24"/>
        </w:rPr>
        <w:footnoteReference w:id="19"/>
      </w:r>
      <w:r w:rsidR="004A7D35" w:rsidRPr="00910871">
        <w:rPr>
          <w:rFonts w:ascii="Gadugi" w:eastAsia="Malgun Gothic" w:hAnsi="Gadugi" w:cs="Estrangelo Edessa"/>
          <w:spacing w:val="-4"/>
          <w:sz w:val="24"/>
          <w:szCs w:val="24"/>
        </w:rPr>
        <w:t xml:space="preserve">, de la cual extractó que </w:t>
      </w:r>
      <w:r w:rsidR="006834AB" w:rsidRPr="00910871">
        <w:rPr>
          <w:rFonts w:ascii="Gadugi" w:eastAsia="Malgun Gothic" w:hAnsi="Gadugi" w:cs="Estrangelo Edessa"/>
          <w:spacing w:val="-4"/>
          <w:sz w:val="24"/>
          <w:szCs w:val="24"/>
        </w:rPr>
        <w:t xml:space="preserve">amparaba a la Universidad Tecnológica de Pereira </w:t>
      </w:r>
      <w:r w:rsidR="006834AB" w:rsidRPr="00910871">
        <w:rPr>
          <w:rFonts w:ascii="Gadugi" w:eastAsia="Malgun Gothic" w:hAnsi="Gadugi" w:cs="Estrangelo Edessa"/>
          <w:i/>
          <w:spacing w:val="-4"/>
          <w:sz w:val="24"/>
          <w:szCs w:val="24"/>
        </w:rPr>
        <w:t>“</w:t>
      </w:r>
      <w:r w:rsidR="006834AB" w:rsidRPr="00910871">
        <w:rPr>
          <w:rFonts w:ascii="Gadugi" w:eastAsia="Malgun Gothic" w:hAnsi="Gadugi" w:cs="Estrangelo Edessa"/>
          <w:i/>
          <w:spacing w:val="-4"/>
          <w:szCs w:val="24"/>
        </w:rPr>
        <w:t>contra riesgos que impliquen menoscabo de fondos y bienes causados por sus empleados en el ejercicio de los cargos amparados, por actos que se tipifiquen como delitos contra la administración pública o fallo con responsabilidad fiscal…</w:t>
      </w:r>
      <w:r w:rsidR="006834AB" w:rsidRPr="00910871">
        <w:rPr>
          <w:rFonts w:ascii="Gadugi" w:eastAsia="Malgun Gothic" w:hAnsi="Gadugi" w:cs="Estrangelo Edessa"/>
          <w:i/>
          <w:spacing w:val="-4"/>
          <w:sz w:val="24"/>
          <w:szCs w:val="24"/>
        </w:rPr>
        <w:t xml:space="preserve">”. </w:t>
      </w:r>
      <w:bookmarkEnd w:id="2"/>
      <w:r w:rsidR="00435FE0" w:rsidRPr="00910871">
        <w:rPr>
          <w:rFonts w:ascii="Gadugi" w:eastAsia="Malgun Gothic" w:hAnsi="Gadugi" w:cs="Estrangelo Edessa"/>
          <w:spacing w:val="-4"/>
          <w:sz w:val="24"/>
          <w:szCs w:val="24"/>
        </w:rPr>
        <w:t xml:space="preserve">Argumentación que, según se lee en los motivos de inconformidad contra esa decisión al resolver el recurso de reposición, no fue controvertida. </w:t>
      </w:r>
    </w:p>
    <w:p w14:paraId="75BABF42" w14:textId="18485006" w:rsidR="00435FE0" w:rsidRPr="00910871" w:rsidRDefault="00435FE0" w:rsidP="00B476F8">
      <w:pPr>
        <w:tabs>
          <w:tab w:val="left" w:pos="426"/>
        </w:tabs>
        <w:spacing w:after="0" w:line="276" w:lineRule="auto"/>
        <w:jc w:val="both"/>
        <w:rPr>
          <w:rFonts w:ascii="Gadugi" w:eastAsia="Malgun Gothic" w:hAnsi="Gadugi" w:cs="Estrangelo Edessa"/>
          <w:spacing w:val="-4"/>
          <w:sz w:val="24"/>
          <w:szCs w:val="24"/>
        </w:rPr>
      </w:pPr>
    </w:p>
    <w:p w14:paraId="2932B233" w14:textId="23112DE6" w:rsidR="00435FE0" w:rsidRPr="00910871" w:rsidRDefault="007E4F7D" w:rsidP="00B476F8">
      <w:pPr>
        <w:tabs>
          <w:tab w:val="left" w:pos="426"/>
        </w:tabs>
        <w:spacing w:after="0" w:line="276" w:lineRule="auto"/>
        <w:jc w:val="both"/>
        <w:rPr>
          <w:rFonts w:ascii="Gadugi" w:eastAsia="Malgun Gothic" w:hAnsi="Gadugi" w:cs="Estrangelo Edessa"/>
          <w:spacing w:val="-4"/>
          <w:sz w:val="24"/>
          <w:szCs w:val="24"/>
        </w:rPr>
      </w:pPr>
      <w:r w:rsidRPr="00910871">
        <w:rPr>
          <w:rFonts w:ascii="Gadugi" w:eastAsia="Malgun Gothic" w:hAnsi="Gadugi" w:cs="Estrangelo Edessa"/>
          <w:spacing w:val="-4"/>
          <w:sz w:val="24"/>
          <w:szCs w:val="24"/>
        </w:rPr>
        <w:t xml:space="preserve">Pues bien, </w:t>
      </w:r>
      <w:r w:rsidR="00E123E5" w:rsidRPr="00910871">
        <w:rPr>
          <w:rFonts w:ascii="Gadugi" w:eastAsia="Malgun Gothic" w:hAnsi="Gadugi" w:cs="Estrangelo Edessa"/>
          <w:spacing w:val="-4"/>
          <w:sz w:val="24"/>
          <w:szCs w:val="24"/>
        </w:rPr>
        <w:t xml:space="preserve">la Ley 610 de 2000 que regula </w:t>
      </w:r>
      <w:r w:rsidR="006C7997" w:rsidRPr="00910871">
        <w:rPr>
          <w:rFonts w:ascii="Gadugi" w:eastAsia="Malgun Gothic" w:hAnsi="Gadugi" w:cs="Estrangelo Edessa"/>
          <w:spacing w:val="-4"/>
          <w:sz w:val="24"/>
          <w:szCs w:val="24"/>
        </w:rPr>
        <w:t>el trámite de los procesos de responsabilidad fiscal, les imprime unas notas características en lo que hace a su finalidad, objeto, potestades, etapas y efectos, como explica la Corte Constitucional al señalar</w:t>
      </w:r>
      <w:r w:rsidR="006C7997" w:rsidRPr="00910871">
        <w:rPr>
          <w:rStyle w:val="Refdenotaalpie"/>
          <w:rFonts w:ascii="Gadugi" w:eastAsia="Malgun Gothic" w:hAnsi="Gadugi" w:cs="Estrangelo Edessa"/>
          <w:spacing w:val="-4"/>
          <w:sz w:val="24"/>
          <w:szCs w:val="24"/>
        </w:rPr>
        <w:footnoteReference w:id="20"/>
      </w:r>
      <w:r w:rsidR="006C7997" w:rsidRPr="00910871">
        <w:rPr>
          <w:rFonts w:ascii="Gadugi" w:eastAsia="Malgun Gothic" w:hAnsi="Gadugi" w:cs="Estrangelo Edessa"/>
          <w:spacing w:val="-4"/>
          <w:sz w:val="24"/>
          <w:szCs w:val="24"/>
        </w:rPr>
        <w:t xml:space="preserve"> que: </w:t>
      </w:r>
    </w:p>
    <w:p w14:paraId="37ABE095" w14:textId="57D38952" w:rsidR="007E4F7D" w:rsidRPr="00910871" w:rsidRDefault="007E4F7D" w:rsidP="00B476F8">
      <w:pPr>
        <w:tabs>
          <w:tab w:val="left" w:pos="426"/>
        </w:tabs>
        <w:spacing w:after="0" w:line="276" w:lineRule="auto"/>
        <w:jc w:val="both"/>
        <w:rPr>
          <w:rFonts w:ascii="Gadugi" w:eastAsia="Malgun Gothic" w:hAnsi="Gadugi" w:cs="Estrangelo Edessa"/>
          <w:spacing w:val="-4"/>
          <w:sz w:val="24"/>
          <w:szCs w:val="24"/>
        </w:rPr>
      </w:pPr>
    </w:p>
    <w:p w14:paraId="0343BC12" w14:textId="5DE6AB5E" w:rsidR="00435FE0" w:rsidRPr="00910871" w:rsidRDefault="006C7997" w:rsidP="00B038EC">
      <w:pPr>
        <w:spacing w:after="0" w:line="240" w:lineRule="auto"/>
        <w:ind w:left="426" w:right="420"/>
        <w:jc w:val="both"/>
        <w:rPr>
          <w:rFonts w:ascii="Gadugi" w:eastAsia="Times New Roman" w:hAnsi="Gadugi" w:cs="Times New Roman"/>
          <w:color w:val="000000"/>
          <w:spacing w:val="-4"/>
          <w:szCs w:val="24"/>
          <w:lang w:eastAsia="es-CO"/>
        </w:rPr>
      </w:pPr>
      <w:r w:rsidRPr="00910871">
        <w:rPr>
          <w:rFonts w:ascii="Gadugi" w:eastAsia="Times New Roman" w:hAnsi="Gadugi" w:cs="Times New Roman"/>
          <w:color w:val="000000"/>
          <w:spacing w:val="-4"/>
          <w:szCs w:val="24"/>
          <w:lang w:eastAsia="es-CO"/>
        </w:rPr>
        <w:t>…</w:t>
      </w:r>
      <w:r w:rsidR="00B038EC" w:rsidRPr="00910871">
        <w:rPr>
          <w:rFonts w:ascii="Gadugi" w:eastAsia="Times New Roman" w:hAnsi="Gadugi" w:cs="Times New Roman"/>
          <w:color w:val="000000"/>
          <w:spacing w:val="-4"/>
          <w:szCs w:val="24"/>
          <w:lang w:eastAsia="es-CO"/>
        </w:rPr>
        <w:t xml:space="preserve"> </w:t>
      </w:r>
      <w:r w:rsidR="00435FE0" w:rsidRPr="00910871">
        <w:rPr>
          <w:rFonts w:ascii="Gadugi" w:eastAsia="Times New Roman" w:hAnsi="Gadugi" w:cs="Times New Roman"/>
          <w:color w:val="000000"/>
          <w:spacing w:val="-4"/>
          <w:szCs w:val="24"/>
          <w:lang w:eastAsia="es-CO"/>
        </w:rPr>
        <w:t>Con el juicio fiscal se busca deducir la responsabilidad fiscal de los encargados de la gestión de los bienes y recursos del estado para resarcir al Estado el deterioro patrimonial que dicha gestión haya ocasionado.</w:t>
      </w:r>
    </w:p>
    <w:p w14:paraId="6F15D251" w14:textId="77777777" w:rsidR="006C7997" w:rsidRPr="00910871" w:rsidRDefault="006C7997" w:rsidP="00B038EC">
      <w:pPr>
        <w:spacing w:after="0" w:line="240" w:lineRule="auto"/>
        <w:ind w:left="426" w:right="420"/>
        <w:jc w:val="both"/>
        <w:rPr>
          <w:rFonts w:ascii="Gadugi" w:eastAsia="Times New Roman" w:hAnsi="Gadugi" w:cs="Times New Roman"/>
          <w:color w:val="000000"/>
          <w:spacing w:val="-4"/>
          <w:szCs w:val="24"/>
          <w:lang w:eastAsia="es-CO"/>
        </w:rPr>
      </w:pPr>
    </w:p>
    <w:p w14:paraId="5892B1F0" w14:textId="12ADA519" w:rsidR="00435FE0" w:rsidRPr="00910871" w:rsidRDefault="00435FE0" w:rsidP="00B038EC">
      <w:pPr>
        <w:spacing w:after="0" w:line="240" w:lineRule="auto"/>
        <w:ind w:left="426" w:right="420"/>
        <w:jc w:val="both"/>
        <w:rPr>
          <w:rFonts w:ascii="Gadugi" w:eastAsia="Times New Roman" w:hAnsi="Gadugi" w:cs="Times New Roman"/>
          <w:color w:val="000000"/>
          <w:spacing w:val="-4"/>
          <w:szCs w:val="24"/>
          <w:lang w:eastAsia="es-CO"/>
        </w:rPr>
      </w:pPr>
      <w:r w:rsidRPr="00910871">
        <w:rPr>
          <w:rFonts w:ascii="Gadugi" w:eastAsia="Times New Roman" w:hAnsi="Gadugi" w:cs="Times New Roman"/>
          <w:color w:val="000000"/>
          <w:spacing w:val="-4"/>
          <w:szCs w:val="24"/>
          <w:lang w:eastAsia="es-CO"/>
        </w:rPr>
        <w:t>Por ende, la responsabilidad que se declara a través de ese proceso, según se expresó, es esencialmente administrativa y de carácter patrimonial. No tiene carácter sancionatorio, ni penal ni administrativo; la declaración de responsabilidad fiscal tiene una finalidad meramente resarcitoria.</w:t>
      </w:r>
    </w:p>
    <w:p w14:paraId="0EC13543" w14:textId="77777777" w:rsidR="00435FE0" w:rsidRPr="00910871" w:rsidRDefault="00435FE0" w:rsidP="00B038EC">
      <w:pPr>
        <w:spacing w:after="0" w:line="240" w:lineRule="auto"/>
        <w:ind w:left="426" w:right="420"/>
        <w:jc w:val="both"/>
        <w:rPr>
          <w:rFonts w:ascii="Gadugi" w:eastAsia="Times New Roman" w:hAnsi="Gadugi" w:cs="Times New Roman"/>
          <w:color w:val="000000"/>
          <w:spacing w:val="-4"/>
          <w:szCs w:val="24"/>
          <w:lang w:eastAsia="es-CO"/>
        </w:rPr>
      </w:pPr>
      <w:r w:rsidRPr="00910871">
        <w:rPr>
          <w:rFonts w:ascii="Gadugi" w:eastAsia="Times New Roman" w:hAnsi="Gadugi" w:cs="Times New Roman"/>
          <w:color w:val="000000"/>
          <w:spacing w:val="-4"/>
          <w:szCs w:val="24"/>
          <w:lang w:eastAsia="es-CO"/>
        </w:rPr>
        <w:t> </w:t>
      </w:r>
    </w:p>
    <w:p w14:paraId="158FFDC6" w14:textId="5968B409" w:rsidR="00435FE0" w:rsidRPr="00910871" w:rsidRDefault="00435FE0" w:rsidP="00B038EC">
      <w:pPr>
        <w:spacing w:after="0" w:line="240" w:lineRule="auto"/>
        <w:ind w:left="426" w:right="420"/>
        <w:jc w:val="both"/>
        <w:rPr>
          <w:rFonts w:ascii="Gadugi" w:eastAsia="Times New Roman" w:hAnsi="Gadugi" w:cs="Times New Roman"/>
          <w:color w:val="000000"/>
          <w:spacing w:val="-4"/>
          <w:szCs w:val="24"/>
          <w:lang w:eastAsia="es-CO"/>
        </w:rPr>
      </w:pPr>
      <w:r w:rsidRPr="00910871">
        <w:rPr>
          <w:rFonts w:ascii="Gadugi" w:eastAsia="Times New Roman" w:hAnsi="Gadugi" w:cs="Times New Roman"/>
          <w:color w:val="000000"/>
          <w:spacing w:val="-4"/>
          <w:szCs w:val="24"/>
          <w:lang w:eastAsia="es-CO"/>
        </w:rPr>
        <w:t>El juicio fiscal, como proceso, esto es, conjunto de actos y actuaciones encaminados a dilucidar conductas de funcionarios y deducir efectos directos y obligatorios, se debe sujetar en su trámite a la observancia plena de las garantías sustanciales y procesales debidamente “compatibilizadas con la naturaleza propia de las actuaciones administrativas”. Y como lo puso de presente esta misma Corporación en la sentencia C-189 de 1.998, las decisiones que ponen fin al juicio fiscal, no ostentan el carácter de cosa juzgada sino tan solo de cosa decidida sujetas a la revisión por una autoridad judicial, el juez contencioso administrativo.</w:t>
      </w:r>
    </w:p>
    <w:p w14:paraId="76A79BEF" w14:textId="1098E5D8" w:rsidR="006C7997" w:rsidRPr="00910871" w:rsidRDefault="006C7997" w:rsidP="00B476F8">
      <w:pPr>
        <w:spacing w:after="0" w:line="276" w:lineRule="auto"/>
        <w:ind w:right="618"/>
        <w:jc w:val="both"/>
        <w:rPr>
          <w:rFonts w:ascii="Gadugi" w:eastAsia="Times New Roman" w:hAnsi="Gadugi" w:cs="Times New Roman"/>
          <w:color w:val="000000"/>
          <w:spacing w:val="-4"/>
          <w:sz w:val="24"/>
          <w:szCs w:val="24"/>
          <w:lang w:eastAsia="es-CO"/>
        </w:rPr>
      </w:pPr>
    </w:p>
    <w:p w14:paraId="4542309A" w14:textId="7616CE70" w:rsidR="006C7997" w:rsidRPr="00910871" w:rsidRDefault="006C7997" w:rsidP="00B476F8">
      <w:pPr>
        <w:spacing w:after="0" w:line="276" w:lineRule="auto"/>
        <w:ind w:right="51"/>
        <w:jc w:val="both"/>
        <w:rPr>
          <w:rFonts w:ascii="Gadugi" w:hAnsi="Gadugi" w:cs="Arial"/>
          <w:color w:val="000000" w:themeColor="text1"/>
          <w:spacing w:val="-4"/>
          <w:sz w:val="24"/>
          <w:szCs w:val="24"/>
          <w:shd w:val="clear" w:color="auto" w:fill="FFFFFF"/>
        </w:rPr>
      </w:pPr>
      <w:r w:rsidRPr="00910871">
        <w:rPr>
          <w:rFonts w:ascii="Gadugi" w:eastAsia="Times New Roman" w:hAnsi="Gadugi" w:cs="Times New Roman"/>
          <w:color w:val="000000" w:themeColor="text1"/>
          <w:spacing w:val="-4"/>
          <w:sz w:val="24"/>
          <w:szCs w:val="24"/>
          <w:lang w:eastAsia="es-CO"/>
        </w:rPr>
        <w:t xml:space="preserve">Y es que, en efecto, el artículo </w:t>
      </w:r>
      <w:r w:rsidR="00AC28FA" w:rsidRPr="00910871">
        <w:rPr>
          <w:rFonts w:ascii="Gadugi" w:eastAsia="Times New Roman" w:hAnsi="Gadugi" w:cs="Times New Roman"/>
          <w:color w:val="000000" w:themeColor="text1"/>
          <w:spacing w:val="-4"/>
          <w:sz w:val="24"/>
          <w:szCs w:val="24"/>
          <w:lang w:eastAsia="es-CO"/>
        </w:rPr>
        <w:t xml:space="preserve">59 de la mentada Ley señala con propiedad que </w:t>
      </w:r>
      <w:r w:rsidR="00AC28FA" w:rsidRPr="00910871">
        <w:rPr>
          <w:rFonts w:ascii="Gadugi" w:eastAsia="Times New Roman" w:hAnsi="Gadugi" w:cs="Times New Roman"/>
          <w:i/>
          <w:color w:val="000000" w:themeColor="text1"/>
          <w:spacing w:val="-4"/>
          <w:sz w:val="24"/>
          <w:szCs w:val="24"/>
          <w:lang w:eastAsia="es-CO"/>
        </w:rPr>
        <w:t>“</w:t>
      </w:r>
      <w:r w:rsidR="00AC28FA" w:rsidRPr="00910871">
        <w:rPr>
          <w:rFonts w:ascii="Gadugi" w:eastAsia="Times New Roman" w:hAnsi="Gadugi" w:cs="Times New Roman"/>
          <w:i/>
          <w:color w:val="000000" w:themeColor="text1"/>
          <w:spacing w:val="-4"/>
          <w:szCs w:val="24"/>
          <w:lang w:eastAsia="es-CO"/>
        </w:rPr>
        <w:t xml:space="preserve">En </w:t>
      </w:r>
      <w:r w:rsidR="00AC28FA" w:rsidRPr="00910871">
        <w:rPr>
          <w:rFonts w:ascii="Gadugi" w:hAnsi="Gadugi" w:cs="Arial"/>
          <w:i/>
          <w:color w:val="000000" w:themeColor="text1"/>
          <w:spacing w:val="-4"/>
          <w:szCs w:val="24"/>
          <w:shd w:val="clear" w:color="auto" w:fill="FFFFFF"/>
        </w:rPr>
        <w:t>materia del proceso de responsabilidad fiscal, solamente será demandable ante la jurisdicción de lo contencioso administrativo el Acto Administrativo con el cual termina el proceso, una vez se encuentre en firme</w:t>
      </w:r>
      <w:r w:rsidR="000704C3" w:rsidRPr="00910871">
        <w:rPr>
          <w:rFonts w:ascii="Gadugi" w:hAnsi="Gadugi" w:cs="Arial"/>
          <w:i/>
          <w:color w:val="000000" w:themeColor="text1"/>
          <w:spacing w:val="-4"/>
          <w:sz w:val="24"/>
          <w:szCs w:val="24"/>
          <w:shd w:val="clear" w:color="auto" w:fill="FFFFFF"/>
        </w:rPr>
        <w:t xml:space="preserve">” </w:t>
      </w:r>
      <w:r w:rsidR="008A6FE8" w:rsidRPr="00910871">
        <w:rPr>
          <w:rStyle w:val="Refdenotaalpie"/>
          <w:rFonts w:ascii="Gadugi" w:hAnsi="Gadugi" w:cs="Arial"/>
          <w:color w:val="000000" w:themeColor="text1"/>
          <w:spacing w:val="-4"/>
          <w:sz w:val="24"/>
          <w:szCs w:val="24"/>
          <w:shd w:val="clear" w:color="auto" w:fill="FFFFFF"/>
        </w:rPr>
        <w:footnoteReference w:id="21"/>
      </w:r>
      <w:r w:rsidR="00AC28FA" w:rsidRPr="00910871">
        <w:rPr>
          <w:rFonts w:ascii="Gadugi" w:hAnsi="Gadugi" w:cs="Arial"/>
          <w:color w:val="000000" w:themeColor="text1"/>
          <w:spacing w:val="-4"/>
          <w:sz w:val="24"/>
          <w:szCs w:val="24"/>
          <w:shd w:val="clear" w:color="auto" w:fill="FFFFFF"/>
        </w:rPr>
        <w:t>.</w:t>
      </w:r>
    </w:p>
    <w:p w14:paraId="23013649" w14:textId="008C44B2" w:rsidR="008A6FE8" w:rsidRPr="00910871" w:rsidRDefault="008A6FE8" w:rsidP="00B476F8">
      <w:pPr>
        <w:spacing w:after="0" w:line="276" w:lineRule="auto"/>
        <w:ind w:right="51"/>
        <w:jc w:val="both"/>
        <w:rPr>
          <w:rFonts w:ascii="Gadugi" w:eastAsia="Times New Roman" w:hAnsi="Gadugi" w:cs="Times New Roman"/>
          <w:color w:val="000000"/>
          <w:spacing w:val="-4"/>
          <w:sz w:val="24"/>
          <w:szCs w:val="24"/>
          <w:lang w:eastAsia="es-CO"/>
        </w:rPr>
      </w:pPr>
    </w:p>
    <w:p w14:paraId="203420A8" w14:textId="6FC8DD2F" w:rsidR="008A6FE8" w:rsidRPr="00910871" w:rsidRDefault="008A6FE8" w:rsidP="00B476F8">
      <w:pPr>
        <w:spacing w:after="0" w:line="276" w:lineRule="auto"/>
        <w:ind w:right="51"/>
        <w:jc w:val="both"/>
        <w:rPr>
          <w:rFonts w:ascii="Gadugi" w:eastAsia="Times New Roman" w:hAnsi="Gadugi" w:cs="Times New Roman"/>
          <w:color w:val="000000"/>
          <w:spacing w:val="-4"/>
          <w:sz w:val="24"/>
          <w:szCs w:val="24"/>
          <w:lang w:eastAsia="es-CO"/>
        </w:rPr>
      </w:pPr>
      <w:r w:rsidRPr="00910871">
        <w:rPr>
          <w:rFonts w:ascii="Gadugi" w:eastAsia="Times New Roman" w:hAnsi="Gadugi" w:cs="Times New Roman"/>
          <w:color w:val="000000"/>
          <w:spacing w:val="-4"/>
          <w:sz w:val="24"/>
          <w:szCs w:val="24"/>
          <w:lang w:eastAsia="es-CO"/>
        </w:rPr>
        <w:lastRenderedPageBreak/>
        <w:t>Esto para significar que los asuntos ventilados dentro del juicio de responsabilidad fiscal, allí se quedan como cuestión resuelta, en tanto no sean sometidos al escrutinio de la jurisdicción de lo contencioso administrativo, por medio de una demanda de nulidad y restablecimiento del derecho.</w:t>
      </w:r>
    </w:p>
    <w:p w14:paraId="07DA3CE7" w14:textId="77777777" w:rsidR="00B038EC" w:rsidRPr="00910871" w:rsidRDefault="00B038EC" w:rsidP="00B476F8">
      <w:pPr>
        <w:spacing w:after="0" w:line="276" w:lineRule="auto"/>
        <w:ind w:right="51"/>
        <w:jc w:val="both"/>
        <w:rPr>
          <w:rFonts w:ascii="Gadugi" w:eastAsia="Times New Roman" w:hAnsi="Gadugi" w:cs="Times New Roman"/>
          <w:color w:val="000000"/>
          <w:spacing w:val="-4"/>
          <w:sz w:val="24"/>
          <w:szCs w:val="24"/>
          <w:lang w:eastAsia="es-CO"/>
        </w:rPr>
      </w:pPr>
    </w:p>
    <w:p w14:paraId="21382FDB" w14:textId="677D92A0" w:rsidR="002C3724" w:rsidRPr="00910871" w:rsidRDefault="008A6FE8" w:rsidP="00B476F8">
      <w:pPr>
        <w:spacing w:after="0" w:line="276" w:lineRule="auto"/>
        <w:ind w:right="51"/>
        <w:jc w:val="both"/>
        <w:rPr>
          <w:rFonts w:ascii="Gadugi" w:eastAsia="Times New Roman" w:hAnsi="Gadugi" w:cs="Times New Roman"/>
          <w:color w:val="000000"/>
          <w:spacing w:val="-4"/>
          <w:sz w:val="24"/>
          <w:szCs w:val="24"/>
          <w:lang w:eastAsia="es-CO"/>
        </w:rPr>
      </w:pPr>
      <w:r w:rsidRPr="00910871">
        <w:rPr>
          <w:rFonts w:ascii="Gadugi" w:eastAsia="Times New Roman" w:hAnsi="Gadugi" w:cs="Times New Roman"/>
          <w:color w:val="000000"/>
          <w:spacing w:val="-4"/>
          <w:sz w:val="24"/>
          <w:szCs w:val="24"/>
          <w:lang w:eastAsia="es-CO"/>
        </w:rPr>
        <w:t xml:space="preserve">Mal haría, entonces, el juez civil, en entrometerse en un asunto en el que ya existe una decisión en firme por parte de la autoridad legalmente autorizada para adoptarla, en la que se concluyó </w:t>
      </w:r>
      <w:r w:rsidR="00C5686B" w:rsidRPr="00910871">
        <w:rPr>
          <w:rFonts w:ascii="Gadugi" w:eastAsia="Times New Roman" w:hAnsi="Gadugi" w:cs="Times New Roman"/>
          <w:color w:val="000000"/>
          <w:spacing w:val="-4"/>
          <w:sz w:val="24"/>
          <w:szCs w:val="24"/>
          <w:lang w:eastAsia="es-CO"/>
        </w:rPr>
        <w:t xml:space="preserve">(i) </w:t>
      </w:r>
      <w:r w:rsidR="002C3724" w:rsidRPr="00910871">
        <w:rPr>
          <w:rFonts w:ascii="Gadugi" w:eastAsia="Times New Roman" w:hAnsi="Gadugi" w:cs="Times New Roman"/>
          <w:color w:val="000000"/>
          <w:spacing w:val="-4"/>
          <w:sz w:val="24"/>
          <w:szCs w:val="24"/>
          <w:lang w:eastAsia="es-CO"/>
        </w:rPr>
        <w:t xml:space="preserve">que </w:t>
      </w:r>
      <w:r w:rsidRPr="00910871">
        <w:rPr>
          <w:rFonts w:ascii="Gadugi" w:eastAsia="Times New Roman" w:hAnsi="Gadugi" w:cs="Times New Roman"/>
          <w:color w:val="000000"/>
          <w:spacing w:val="-4"/>
          <w:sz w:val="24"/>
          <w:szCs w:val="24"/>
          <w:lang w:eastAsia="es-CO"/>
        </w:rPr>
        <w:t xml:space="preserve">las ahora demandadas fueron </w:t>
      </w:r>
      <w:r w:rsidR="00C5686B" w:rsidRPr="00910871">
        <w:rPr>
          <w:rFonts w:ascii="Gadugi" w:eastAsia="Times New Roman" w:hAnsi="Gadugi" w:cs="Times New Roman"/>
          <w:color w:val="000000"/>
          <w:spacing w:val="-4"/>
          <w:sz w:val="24"/>
          <w:szCs w:val="24"/>
          <w:lang w:eastAsia="es-CO"/>
        </w:rPr>
        <w:t xml:space="preserve">responsables fiscalmente ante la Universidad Tecnológica de Pereira; (ii) que la labor desplegada por </w:t>
      </w:r>
      <w:r w:rsidR="002C3724" w:rsidRPr="00910871">
        <w:rPr>
          <w:rFonts w:ascii="Gadugi" w:eastAsia="Times New Roman" w:hAnsi="Gadugi" w:cs="Times New Roman"/>
          <w:color w:val="000000"/>
          <w:spacing w:val="-4"/>
          <w:sz w:val="24"/>
          <w:szCs w:val="24"/>
          <w:lang w:eastAsia="es-CO"/>
        </w:rPr>
        <w:t xml:space="preserve">Liliana Argenis se amoldaba a las prescripciones legales para atribuirle esa responsabilidad; y (iii) que la póliza afectada amparaba, a más de los actos que se tipificaran como delitos contra la administración, aquellos eventos en los que se emitiera un fallo de responsabilidad fiscal, que fue lo que allí aconteció. </w:t>
      </w:r>
    </w:p>
    <w:p w14:paraId="576EF3D8" w14:textId="568D78A3" w:rsidR="002C3724" w:rsidRPr="00910871" w:rsidRDefault="002C3724" w:rsidP="00B476F8">
      <w:pPr>
        <w:spacing w:after="0" w:line="276" w:lineRule="auto"/>
        <w:ind w:right="51"/>
        <w:jc w:val="both"/>
        <w:rPr>
          <w:rFonts w:ascii="Gadugi" w:eastAsia="Times New Roman" w:hAnsi="Gadugi" w:cs="Times New Roman"/>
          <w:color w:val="000000"/>
          <w:spacing w:val="-4"/>
          <w:sz w:val="24"/>
          <w:szCs w:val="24"/>
          <w:lang w:eastAsia="es-CO"/>
        </w:rPr>
      </w:pPr>
    </w:p>
    <w:p w14:paraId="0C59F6E2" w14:textId="09F3631B" w:rsidR="002C3724" w:rsidRPr="00910871" w:rsidRDefault="002C3724" w:rsidP="00B476F8">
      <w:pPr>
        <w:spacing w:after="0" w:line="276" w:lineRule="auto"/>
        <w:ind w:right="51"/>
        <w:jc w:val="both"/>
        <w:rPr>
          <w:rFonts w:ascii="Gadugi" w:eastAsia="Times New Roman" w:hAnsi="Gadugi" w:cs="Times New Roman"/>
          <w:color w:val="000000"/>
          <w:spacing w:val="-4"/>
          <w:sz w:val="24"/>
          <w:szCs w:val="24"/>
          <w:lang w:eastAsia="es-CO"/>
        </w:rPr>
      </w:pPr>
      <w:r w:rsidRPr="00910871">
        <w:rPr>
          <w:rFonts w:ascii="Gadugi" w:eastAsia="Times New Roman" w:hAnsi="Gadugi" w:cs="Times New Roman"/>
          <w:color w:val="000000"/>
          <w:spacing w:val="-4"/>
          <w:sz w:val="24"/>
          <w:szCs w:val="24"/>
          <w:lang w:eastAsia="es-CO"/>
        </w:rPr>
        <w:t xml:space="preserve">Y no se diga que era carga de la aseguradora acudir a la vía contencioso administrativa; también las demandadas lo hubieran podido hacer, dado que fueron ellas las directas afectadas con la decisión de la Contraloría. </w:t>
      </w:r>
    </w:p>
    <w:p w14:paraId="592DC2A5" w14:textId="4B912ADA" w:rsidR="002C3724" w:rsidRPr="00910871" w:rsidRDefault="002C3724" w:rsidP="00B476F8">
      <w:pPr>
        <w:spacing w:after="0" w:line="276" w:lineRule="auto"/>
        <w:ind w:right="51"/>
        <w:jc w:val="both"/>
        <w:rPr>
          <w:rFonts w:ascii="Gadugi" w:eastAsia="Times New Roman" w:hAnsi="Gadugi" w:cs="Times New Roman"/>
          <w:color w:val="000000"/>
          <w:spacing w:val="-4"/>
          <w:sz w:val="24"/>
          <w:szCs w:val="24"/>
          <w:lang w:eastAsia="es-CO"/>
        </w:rPr>
      </w:pPr>
    </w:p>
    <w:p w14:paraId="1B25D127" w14:textId="6C96442A" w:rsidR="002C3724" w:rsidRPr="00910871" w:rsidRDefault="002C3724" w:rsidP="00B476F8">
      <w:pPr>
        <w:spacing w:after="0" w:line="276" w:lineRule="auto"/>
        <w:ind w:right="51"/>
        <w:jc w:val="both"/>
        <w:rPr>
          <w:rFonts w:ascii="Gadugi" w:eastAsia="Times New Roman" w:hAnsi="Gadugi" w:cs="Times New Roman"/>
          <w:color w:val="000000"/>
          <w:spacing w:val="-4"/>
          <w:sz w:val="24"/>
          <w:szCs w:val="24"/>
          <w:lang w:eastAsia="es-CO"/>
        </w:rPr>
      </w:pPr>
      <w:r w:rsidRPr="00910871">
        <w:rPr>
          <w:rFonts w:ascii="Gadugi" w:eastAsia="Times New Roman" w:hAnsi="Gadugi" w:cs="Times New Roman"/>
          <w:color w:val="000000" w:themeColor="text1"/>
          <w:spacing w:val="-4"/>
          <w:sz w:val="24"/>
          <w:szCs w:val="24"/>
          <w:lang w:eastAsia="es-CO"/>
        </w:rPr>
        <w:t xml:space="preserve">Dicho de otro modo, la decisión administrativa que declara la responsabilidad fiscal, </w:t>
      </w:r>
      <w:r w:rsidR="00000B23" w:rsidRPr="00910871">
        <w:rPr>
          <w:rFonts w:ascii="Gadugi" w:eastAsia="Times New Roman" w:hAnsi="Gadugi" w:cs="Times New Roman"/>
          <w:color w:val="000000" w:themeColor="text1"/>
          <w:spacing w:val="-4"/>
          <w:sz w:val="24"/>
          <w:szCs w:val="24"/>
          <w:lang w:eastAsia="es-CO"/>
        </w:rPr>
        <w:t>que está amparada</w:t>
      </w:r>
      <w:r w:rsidR="00A44895" w:rsidRPr="00910871">
        <w:rPr>
          <w:rFonts w:ascii="Gadugi" w:eastAsia="Times New Roman" w:hAnsi="Gadugi" w:cs="Times New Roman"/>
          <w:color w:val="000000" w:themeColor="text1"/>
          <w:spacing w:val="-4"/>
          <w:sz w:val="24"/>
          <w:szCs w:val="24"/>
          <w:lang w:eastAsia="es-CO"/>
        </w:rPr>
        <w:t xml:space="preserve"> por una presunción de legalidad en los términos del artículo 88 de la Ley 1437 de 2011),</w:t>
      </w:r>
      <w:r w:rsidR="00000B23" w:rsidRPr="00910871">
        <w:rPr>
          <w:rFonts w:ascii="Gadugi" w:eastAsia="Times New Roman" w:hAnsi="Gadugi" w:cs="Times New Roman"/>
          <w:color w:val="000000" w:themeColor="text1"/>
          <w:spacing w:val="-4"/>
          <w:sz w:val="24"/>
          <w:szCs w:val="24"/>
          <w:lang w:eastAsia="es-CO"/>
        </w:rPr>
        <w:t xml:space="preserve"> </w:t>
      </w:r>
      <w:r w:rsidRPr="00910871">
        <w:rPr>
          <w:rFonts w:ascii="Gadugi" w:eastAsia="Times New Roman" w:hAnsi="Gadugi" w:cs="Times New Roman"/>
          <w:color w:val="000000" w:themeColor="text1"/>
          <w:spacing w:val="-4"/>
          <w:sz w:val="24"/>
          <w:szCs w:val="24"/>
          <w:lang w:eastAsia="es-CO"/>
        </w:rPr>
        <w:t xml:space="preserve">tiene un relativo efecto de cosa juzgada, si no se acude </w:t>
      </w:r>
      <w:r w:rsidR="00967899" w:rsidRPr="00910871">
        <w:rPr>
          <w:rFonts w:ascii="Gadugi" w:eastAsia="Times New Roman" w:hAnsi="Gadugi" w:cs="Times New Roman"/>
          <w:color w:val="000000" w:themeColor="text1"/>
          <w:spacing w:val="-4"/>
          <w:sz w:val="24"/>
          <w:szCs w:val="24"/>
          <w:lang w:eastAsia="es-CO"/>
        </w:rPr>
        <w:t>a su anulación por la vía señalada y por medio de la autoridad competente para ese fin que es diferente al juez civil</w:t>
      </w:r>
      <w:r w:rsidR="00A44895" w:rsidRPr="00910871">
        <w:rPr>
          <w:rFonts w:ascii="Gadugi" w:eastAsia="Times New Roman" w:hAnsi="Gadugi" w:cs="Times New Roman"/>
          <w:color w:val="000000" w:themeColor="text1"/>
          <w:spacing w:val="-4"/>
          <w:sz w:val="24"/>
          <w:szCs w:val="24"/>
          <w:lang w:eastAsia="es-CO"/>
        </w:rPr>
        <w:t xml:space="preserve">, según se desprende de la misma norma y del artículo 91 de tal estatuto. </w:t>
      </w:r>
    </w:p>
    <w:p w14:paraId="165A3680" w14:textId="1DE97CAE" w:rsidR="00967899" w:rsidRPr="00910871" w:rsidRDefault="00967899" w:rsidP="00B476F8">
      <w:pPr>
        <w:spacing w:after="0" w:line="276" w:lineRule="auto"/>
        <w:ind w:right="51"/>
        <w:jc w:val="both"/>
        <w:rPr>
          <w:rFonts w:ascii="Gadugi" w:eastAsia="Times New Roman" w:hAnsi="Gadugi" w:cs="Times New Roman"/>
          <w:color w:val="000000"/>
          <w:spacing w:val="-4"/>
          <w:sz w:val="24"/>
          <w:szCs w:val="24"/>
          <w:lang w:eastAsia="es-CO"/>
        </w:rPr>
      </w:pPr>
    </w:p>
    <w:p w14:paraId="75F430F3" w14:textId="77777777" w:rsidR="00967899" w:rsidRPr="00910871" w:rsidRDefault="00967899" w:rsidP="00B476F8">
      <w:pPr>
        <w:spacing w:after="0" w:line="276" w:lineRule="auto"/>
        <w:ind w:right="51"/>
        <w:jc w:val="both"/>
        <w:rPr>
          <w:rFonts w:ascii="Gadugi" w:eastAsia="Times New Roman" w:hAnsi="Gadugi" w:cs="Times New Roman"/>
          <w:color w:val="000000"/>
          <w:spacing w:val="-4"/>
          <w:sz w:val="24"/>
          <w:szCs w:val="24"/>
          <w:lang w:eastAsia="es-CO"/>
        </w:rPr>
      </w:pPr>
      <w:r w:rsidRPr="00910871">
        <w:rPr>
          <w:rFonts w:ascii="Gadugi" w:eastAsia="Times New Roman" w:hAnsi="Gadugi" w:cs="Times New Roman"/>
          <w:color w:val="000000"/>
          <w:spacing w:val="-4"/>
          <w:sz w:val="24"/>
          <w:szCs w:val="24"/>
          <w:lang w:eastAsia="es-CO"/>
        </w:rPr>
        <w:t xml:space="preserve">Esto es suficiente para desechar los dos primeros disensos de esta demanda contra el fallo. </w:t>
      </w:r>
    </w:p>
    <w:p w14:paraId="036ECFA9" w14:textId="77777777" w:rsidR="00967899" w:rsidRPr="00910871" w:rsidRDefault="00967899" w:rsidP="00B476F8">
      <w:pPr>
        <w:spacing w:after="0" w:line="276" w:lineRule="auto"/>
        <w:ind w:right="51"/>
        <w:jc w:val="both"/>
        <w:rPr>
          <w:rFonts w:ascii="Gadugi" w:eastAsia="Times New Roman" w:hAnsi="Gadugi" w:cs="Times New Roman"/>
          <w:color w:val="000000"/>
          <w:spacing w:val="-4"/>
          <w:sz w:val="24"/>
          <w:szCs w:val="24"/>
          <w:lang w:eastAsia="es-CO"/>
        </w:rPr>
      </w:pPr>
    </w:p>
    <w:p w14:paraId="51B4CEB9" w14:textId="12DB59FE" w:rsidR="008A6FE8" w:rsidRPr="00910871" w:rsidRDefault="00967899" w:rsidP="00B476F8">
      <w:pPr>
        <w:spacing w:after="0" w:line="276" w:lineRule="auto"/>
        <w:ind w:right="51"/>
        <w:jc w:val="both"/>
        <w:rPr>
          <w:rFonts w:ascii="Gadugi" w:eastAsia="Malgun Gothic" w:hAnsi="Gadugi" w:cs="Estrangelo Edessa"/>
          <w:spacing w:val="-4"/>
          <w:sz w:val="24"/>
          <w:szCs w:val="24"/>
        </w:rPr>
      </w:pPr>
      <w:r w:rsidRPr="00910871">
        <w:rPr>
          <w:rFonts w:ascii="Gadugi" w:eastAsia="Times New Roman" w:hAnsi="Gadugi" w:cs="Times New Roman"/>
          <w:color w:val="000000"/>
          <w:spacing w:val="-4"/>
          <w:sz w:val="24"/>
          <w:szCs w:val="24"/>
          <w:lang w:eastAsia="es-CO"/>
        </w:rPr>
        <w:t xml:space="preserve">No obstante, si se quisiera ir más allá, tal como fue dicho en el juicio fiscal, la póliza 1002170 corresponde a un Seguro Manejo Póliza Global Sector Oficial, </w:t>
      </w:r>
      <w:r w:rsidR="00A83CF8" w:rsidRPr="00910871">
        <w:rPr>
          <w:rFonts w:ascii="Gadugi" w:eastAsia="Times New Roman" w:hAnsi="Gadugi" w:cs="Times New Roman"/>
          <w:color w:val="000000"/>
          <w:spacing w:val="-4"/>
          <w:sz w:val="24"/>
          <w:szCs w:val="24"/>
          <w:lang w:eastAsia="es-CO"/>
        </w:rPr>
        <w:t>“</w:t>
      </w:r>
      <w:r w:rsidR="002C3724" w:rsidRPr="00910871">
        <w:rPr>
          <w:rFonts w:ascii="Gadugi" w:eastAsia="Malgun Gothic" w:hAnsi="Gadugi" w:cs="Estrangelo Edessa"/>
          <w:i/>
          <w:spacing w:val="-4"/>
          <w:szCs w:val="24"/>
        </w:rPr>
        <w:t>por actos que se tipifiquen como delitos contra la administración pública o fallo con responsabilidad fiscal…</w:t>
      </w:r>
      <w:r w:rsidR="002C3724" w:rsidRPr="00910871">
        <w:rPr>
          <w:rFonts w:ascii="Gadugi" w:eastAsia="Malgun Gothic" w:hAnsi="Gadugi" w:cs="Estrangelo Edessa"/>
          <w:i/>
          <w:spacing w:val="-4"/>
          <w:sz w:val="24"/>
          <w:szCs w:val="24"/>
        </w:rPr>
        <w:t>”</w:t>
      </w:r>
      <w:r w:rsidR="0075225D" w:rsidRPr="00910871">
        <w:rPr>
          <w:rStyle w:val="Refdenotaalpie"/>
          <w:rFonts w:ascii="Gadugi" w:eastAsia="Malgun Gothic" w:hAnsi="Gadugi" w:cs="Estrangelo Edessa"/>
          <w:i/>
          <w:spacing w:val="-4"/>
          <w:sz w:val="24"/>
          <w:szCs w:val="24"/>
        </w:rPr>
        <w:footnoteReference w:id="22"/>
      </w:r>
      <w:r w:rsidR="00D15C28" w:rsidRPr="00910871">
        <w:rPr>
          <w:rFonts w:ascii="Gadugi" w:eastAsia="Malgun Gothic" w:hAnsi="Gadugi" w:cs="Estrangelo Edessa"/>
          <w:spacing w:val="-4"/>
          <w:sz w:val="24"/>
          <w:szCs w:val="24"/>
        </w:rPr>
        <w:t xml:space="preserve">, lo que muestra la imprecisión de la recurrente en cuanto afirma que solo </w:t>
      </w:r>
      <w:r w:rsidR="001D13D9" w:rsidRPr="00910871">
        <w:rPr>
          <w:rFonts w:ascii="Gadugi" w:eastAsia="Malgun Gothic" w:hAnsi="Gadugi" w:cs="Estrangelo Edessa"/>
          <w:spacing w:val="-4"/>
          <w:sz w:val="24"/>
          <w:szCs w:val="24"/>
        </w:rPr>
        <w:t xml:space="preserve">amparaba actos que se erigieran en delitos; también incluía los que detonaran en una responsabilidad fiscal. </w:t>
      </w:r>
    </w:p>
    <w:p w14:paraId="7177B5C6" w14:textId="77777777" w:rsidR="00A44895" w:rsidRPr="00910871" w:rsidRDefault="00A44895" w:rsidP="00B476F8">
      <w:pPr>
        <w:spacing w:after="0" w:line="276" w:lineRule="auto"/>
        <w:ind w:right="51"/>
        <w:jc w:val="both"/>
        <w:rPr>
          <w:rFonts w:ascii="Gadugi" w:eastAsia="Times New Roman" w:hAnsi="Gadugi" w:cs="Times New Roman"/>
          <w:color w:val="000000" w:themeColor="text1"/>
          <w:spacing w:val="-4"/>
          <w:sz w:val="24"/>
          <w:szCs w:val="24"/>
          <w:lang w:eastAsia="es-CO"/>
        </w:rPr>
      </w:pPr>
    </w:p>
    <w:p w14:paraId="04182A5C" w14:textId="4BF632DF" w:rsidR="001D13D9" w:rsidRPr="00910871" w:rsidRDefault="001D13D9" w:rsidP="00B476F8">
      <w:pPr>
        <w:spacing w:after="0" w:line="276" w:lineRule="auto"/>
        <w:ind w:right="51"/>
        <w:jc w:val="both"/>
        <w:rPr>
          <w:rFonts w:ascii="Gadugi" w:eastAsia="Times New Roman" w:hAnsi="Gadugi" w:cs="Times New Roman"/>
          <w:color w:val="000000"/>
          <w:spacing w:val="-4"/>
          <w:sz w:val="24"/>
          <w:szCs w:val="24"/>
          <w:lang w:eastAsia="es-CO"/>
        </w:rPr>
      </w:pPr>
      <w:r w:rsidRPr="00910871">
        <w:rPr>
          <w:rFonts w:ascii="Gadugi" w:eastAsia="Times New Roman" w:hAnsi="Gadugi" w:cs="Times New Roman"/>
          <w:color w:val="000000" w:themeColor="text1"/>
          <w:spacing w:val="-4"/>
          <w:sz w:val="24"/>
          <w:szCs w:val="24"/>
          <w:lang w:eastAsia="es-CO"/>
        </w:rPr>
        <w:t xml:space="preserve">Y el tercer argumento, esto es, el pago realizado por Liliana Argenis, tampoco es de recibo, ya que, como afirmó la funcionaria de primer grado, los valores que le hubieran podido ser descontados por causa de un embargo, </w:t>
      </w:r>
      <w:r w:rsidR="00A44895" w:rsidRPr="00910871">
        <w:rPr>
          <w:rFonts w:ascii="Gadugi" w:eastAsia="Times New Roman" w:hAnsi="Gadugi" w:cs="Times New Roman"/>
          <w:color w:val="000000" w:themeColor="text1"/>
          <w:spacing w:val="-4"/>
          <w:sz w:val="24"/>
          <w:szCs w:val="24"/>
          <w:lang w:eastAsia="es-CO"/>
        </w:rPr>
        <w:t>nunca</w:t>
      </w:r>
      <w:r w:rsidRPr="00910871">
        <w:rPr>
          <w:rFonts w:ascii="Gadugi" w:eastAsia="Times New Roman" w:hAnsi="Gadugi" w:cs="Times New Roman"/>
          <w:color w:val="000000" w:themeColor="text1"/>
          <w:spacing w:val="-4"/>
          <w:sz w:val="24"/>
          <w:szCs w:val="24"/>
          <w:lang w:eastAsia="es-CO"/>
        </w:rPr>
        <w:t xml:space="preserve"> han sido entregados a La Previsora S</w:t>
      </w:r>
      <w:r w:rsidR="00282E2A" w:rsidRPr="00910871">
        <w:rPr>
          <w:rFonts w:ascii="Gadugi" w:eastAsia="Times New Roman" w:hAnsi="Gadugi" w:cs="Times New Roman"/>
          <w:color w:val="000000" w:themeColor="text1"/>
          <w:spacing w:val="-4"/>
          <w:sz w:val="24"/>
          <w:szCs w:val="24"/>
          <w:lang w:eastAsia="es-CO"/>
        </w:rPr>
        <w:t>.</w:t>
      </w:r>
      <w:r w:rsidRPr="00910871">
        <w:rPr>
          <w:rFonts w:ascii="Gadugi" w:eastAsia="Times New Roman" w:hAnsi="Gadugi" w:cs="Times New Roman"/>
          <w:color w:val="000000" w:themeColor="text1"/>
          <w:spacing w:val="-4"/>
          <w:sz w:val="24"/>
          <w:szCs w:val="24"/>
          <w:lang w:eastAsia="es-CO"/>
        </w:rPr>
        <w:t>A</w:t>
      </w:r>
      <w:r w:rsidR="00282E2A" w:rsidRPr="00910871">
        <w:rPr>
          <w:rFonts w:ascii="Gadugi" w:eastAsia="Times New Roman" w:hAnsi="Gadugi" w:cs="Times New Roman"/>
          <w:color w:val="000000" w:themeColor="text1"/>
          <w:spacing w:val="-4"/>
          <w:sz w:val="24"/>
          <w:szCs w:val="24"/>
          <w:lang w:eastAsia="es-CO"/>
        </w:rPr>
        <w:t>.</w:t>
      </w:r>
      <w:r w:rsidRPr="00910871">
        <w:rPr>
          <w:rFonts w:ascii="Gadugi" w:eastAsia="Times New Roman" w:hAnsi="Gadugi" w:cs="Times New Roman"/>
          <w:color w:val="000000" w:themeColor="text1"/>
          <w:spacing w:val="-4"/>
          <w:sz w:val="24"/>
          <w:szCs w:val="24"/>
          <w:lang w:eastAsia="es-CO"/>
        </w:rPr>
        <w:t xml:space="preserve">, o al menos de ello no existe ninguna prueba. Así que, acreditado que la aseguradora pagó por ella, </w:t>
      </w:r>
      <w:r w:rsidR="001D5EF8" w:rsidRPr="00910871">
        <w:rPr>
          <w:rFonts w:ascii="Gadugi" w:eastAsia="Times New Roman" w:hAnsi="Gadugi" w:cs="Times New Roman"/>
          <w:color w:val="000000" w:themeColor="text1"/>
          <w:spacing w:val="-4"/>
          <w:sz w:val="24"/>
          <w:szCs w:val="24"/>
          <w:lang w:eastAsia="es-CO"/>
        </w:rPr>
        <w:t xml:space="preserve">los dineros recaudados en el trámite administrativo que no estén destinados a cubrir el excedente que a ella incumbía por causa del deducible, han de quedar a su disposición. </w:t>
      </w:r>
    </w:p>
    <w:p w14:paraId="61747740" w14:textId="4C0FBCCC" w:rsidR="001D5EF8" w:rsidRPr="00910871" w:rsidRDefault="001D5EF8" w:rsidP="00B476F8">
      <w:pPr>
        <w:spacing w:after="0" w:line="276" w:lineRule="auto"/>
        <w:ind w:right="51"/>
        <w:jc w:val="both"/>
        <w:rPr>
          <w:rFonts w:ascii="Gadugi" w:eastAsia="Times New Roman" w:hAnsi="Gadugi" w:cs="Times New Roman"/>
          <w:color w:val="000000"/>
          <w:spacing w:val="-4"/>
          <w:sz w:val="24"/>
          <w:szCs w:val="24"/>
          <w:lang w:eastAsia="es-CO"/>
        </w:rPr>
      </w:pPr>
    </w:p>
    <w:p w14:paraId="29090F87" w14:textId="77777777" w:rsidR="001D5EF8" w:rsidRPr="00910871" w:rsidRDefault="001D5EF8" w:rsidP="00B476F8">
      <w:pPr>
        <w:pStyle w:val="Prrafodelista"/>
        <w:numPr>
          <w:ilvl w:val="1"/>
          <w:numId w:val="1"/>
        </w:numPr>
        <w:tabs>
          <w:tab w:val="left" w:pos="426"/>
        </w:tabs>
        <w:spacing w:after="0" w:line="276" w:lineRule="auto"/>
        <w:ind w:left="0" w:firstLine="0"/>
        <w:jc w:val="both"/>
        <w:rPr>
          <w:rFonts w:ascii="Gadugi" w:eastAsia="Calibri" w:hAnsi="Gadugi" w:cs="Times New Roman"/>
          <w:spacing w:val="-4"/>
          <w:sz w:val="24"/>
          <w:szCs w:val="24"/>
        </w:rPr>
      </w:pPr>
      <w:r w:rsidRPr="00910871">
        <w:rPr>
          <w:rFonts w:ascii="Gadugi" w:eastAsia="Calibri" w:hAnsi="Gadugi" w:cs="Times New Roman"/>
          <w:spacing w:val="-4"/>
          <w:sz w:val="24"/>
          <w:szCs w:val="24"/>
        </w:rPr>
        <w:lastRenderedPageBreak/>
        <w:t xml:space="preserve">Las críticas que contra el fallo elevó </w:t>
      </w:r>
      <w:r w:rsidR="00F60779" w:rsidRPr="00910871">
        <w:rPr>
          <w:rFonts w:ascii="Gadugi" w:eastAsia="Calibri" w:hAnsi="Gadugi" w:cs="Times New Roman"/>
          <w:spacing w:val="-4"/>
          <w:sz w:val="24"/>
          <w:szCs w:val="24"/>
        </w:rPr>
        <w:t>Gloria Inés Román Soto</w:t>
      </w:r>
      <w:r w:rsidRPr="00910871">
        <w:rPr>
          <w:rFonts w:ascii="Gadugi" w:eastAsia="Calibri" w:hAnsi="Gadugi" w:cs="Times New Roman"/>
          <w:spacing w:val="-4"/>
          <w:sz w:val="24"/>
          <w:szCs w:val="24"/>
        </w:rPr>
        <w:t xml:space="preserve">, tampoco pueden acogerse. </w:t>
      </w:r>
    </w:p>
    <w:p w14:paraId="042574CD" w14:textId="77777777" w:rsidR="001D5EF8" w:rsidRPr="00910871" w:rsidRDefault="001D5EF8" w:rsidP="00B476F8">
      <w:pPr>
        <w:pStyle w:val="Prrafodelista"/>
        <w:tabs>
          <w:tab w:val="left" w:pos="426"/>
        </w:tabs>
        <w:spacing w:after="0" w:line="276" w:lineRule="auto"/>
        <w:ind w:left="0"/>
        <w:jc w:val="both"/>
        <w:rPr>
          <w:rFonts w:ascii="Gadugi" w:eastAsia="Calibri" w:hAnsi="Gadugi" w:cs="Times New Roman"/>
          <w:spacing w:val="-4"/>
          <w:sz w:val="24"/>
          <w:szCs w:val="24"/>
        </w:rPr>
      </w:pPr>
    </w:p>
    <w:p w14:paraId="0FBAA8C3" w14:textId="4862BA9A" w:rsidR="00315863" w:rsidRPr="00910871" w:rsidRDefault="001D5EF8" w:rsidP="00B476F8">
      <w:pPr>
        <w:pStyle w:val="Prrafodelista"/>
        <w:tabs>
          <w:tab w:val="left" w:pos="426"/>
        </w:tabs>
        <w:spacing w:after="0" w:line="276" w:lineRule="auto"/>
        <w:ind w:left="0"/>
        <w:jc w:val="both"/>
        <w:rPr>
          <w:rFonts w:ascii="Gadugi" w:eastAsia="Calibri" w:hAnsi="Gadugi" w:cs="Times New Roman"/>
          <w:spacing w:val="-4"/>
          <w:sz w:val="24"/>
          <w:szCs w:val="24"/>
        </w:rPr>
      </w:pPr>
      <w:r w:rsidRPr="00910871">
        <w:rPr>
          <w:rFonts w:ascii="Gadugi" w:eastAsia="Calibri" w:hAnsi="Gadugi" w:cs="Times New Roman"/>
          <w:spacing w:val="-4"/>
          <w:sz w:val="24"/>
          <w:szCs w:val="24"/>
        </w:rPr>
        <w:t xml:space="preserve">Dijo, en primer lugar, que se le vulneró el debido proceso, porque, la subrogación </w:t>
      </w:r>
      <w:r w:rsidR="00315863" w:rsidRPr="00910871">
        <w:rPr>
          <w:rFonts w:ascii="Gadugi" w:eastAsia="Calibri" w:hAnsi="Gadugi" w:cs="Times New Roman"/>
          <w:i/>
          <w:spacing w:val="-4"/>
          <w:sz w:val="24"/>
          <w:szCs w:val="24"/>
        </w:rPr>
        <w:t>“</w:t>
      </w:r>
      <w:r w:rsidR="00315863" w:rsidRPr="00910871">
        <w:rPr>
          <w:rFonts w:ascii="Gadugi" w:eastAsia="Calibri" w:hAnsi="Gadugi" w:cs="Times New Roman"/>
          <w:i/>
          <w:spacing w:val="-4"/>
          <w:szCs w:val="24"/>
        </w:rPr>
        <w:t>debía haberla intentado llamándome la previsora en garantía, dentro del proceso fiscal y una vez ejecutado el fallo, haber intentado un proceso ejecutivo…</w:t>
      </w:r>
      <w:r w:rsidR="00315863" w:rsidRPr="00910871">
        <w:rPr>
          <w:rFonts w:ascii="Gadugi" w:eastAsia="Calibri" w:hAnsi="Gadugi" w:cs="Times New Roman"/>
          <w:i/>
          <w:spacing w:val="-4"/>
          <w:sz w:val="24"/>
          <w:szCs w:val="24"/>
        </w:rPr>
        <w:t xml:space="preserve">”. </w:t>
      </w:r>
      <w:r w:rsidR="00315863" w:rsidRPr="00910871">
        <w:rPr>
          <w:rFonts w:ascii="Gadugi" w:eastAsia="Calibri" w:hAnsi="Gadugi" w:cs="Times New Roman"/>
          <w:spacing w:val="-4"/>
          <w:sz w:val="24"/>
          <w:szCs w:val="24"/>
        </w:rPr>
        <w:t xml:space="preserve">Así que, no existe título que preste mérito ejecutivo, ya que nunca suscribió póliza alguna con la aseguradora, ni ha sido su empleada o funcionaria. </w:t>
      </w:r>
    </w:p>
    <w:p w14:paraId="347587A2" w14:textId="77777777" w:rsidR="00315863" w:rsidRPr="00910871" w:rsidRDefault="00315863" w:rsidP="00B476F8">
      <w:pPr>
        <w:pStyle w:val="Prrafodelista"/>
        <w:tabs>
          <w:tab w:val="left" w:pos="426"/>
        </w:tabs>
        <w:spacing w:after="0" w:line="276" w:lineRule="auto"/>
        <w:ind w:left="0"/>
        <w:jc w:val="both"/>
        <w:rPr>
          <w:rFonts w:ascii="Gadugi" w:eastAsia="Calibri" w:hAnsi="Gadugi" w:cs="Times New Roman"/>
          <w:spacing w:val="-4"/>
          <w:sz w:val="24"/>
          <w:szCs w:val="24"/>
        </w:rPr>
      </w:pPr>
    </w:p>
    <w:p w14:paraId="5D5707FA" w14:textId="667DCF83" w:rsidR="00C2292D" w:rsidRPr="00910871" w:rsidRDefault="00C2292D" w:rsidP="00B476F8">
      <w:pPr>
        <w:pStyle w:val="Prrafodelista"/>
        <w:tabs>
          <w:tab w:val="left" w:pos="426"/>
        </w:tabs>
        <w:spacing w:after="0" w:line="276" w:lineRule="auto"/>
        <w:ind w:left="0"/>
        <w:jc w:val="both"/>
        <w:rPr>
          <w:rFonts w:ascii="Gadugi" w:eastAsia="Calibri" w:hAnsi="Gadugi" w:cs="Times New Roman"/>
          <w:spacing w:val="-4"/>
          <w:sz w:val="24"/>
          <w:szCs w:val="24"/>
        </w:rPr>
      </w:pPr>
      <w:r w:rsidRPr="00910871">
        <w:rPr>
          <w:rFonts w:ascii="Gadugi" w:eastAsia="Calibri" w:hAnsi="Gadugi" w:cs="Times New Roman"/>
          <w:spacing w:val="-4"/>
          <w:sz w:val="24"/>
          <w:szCs w:val="24"/>
        </w:rPr>
        <w:t xml:space="preserve">Sobre este aspecto, suficiente resulta decir que, como bien lo aduce la misma recurrente, no es este un proceso ejecutivo, sino uno declarativo, con lo cual, improcedente resulta fundar un argumento sobre la base de la inexistencia de un título que preste mérito ejecutivo, propio de aquellos trámites, no de estos. </w:t>
      </w:r>
    </w:p>
    <w:p w14:paraId="038ECC8E" w14:textId="184A0FA6" w:rsidR="00C2292D" w:rsidRPr="00910871" w:rsidRDefault="00C2292D" w:rsidP="00B476F8">
      <w:pPr>
        <w:pStyle w:val="Prrafodelista"/>
        <w:tabs>
          <w:tab w:val="left" w:pos="426"/>
        </w:tabs>
        <w:spacing w:after="0" w:line="276" w:lineRule="auto"/>
        <w:ind w:left="0"/>
        <w:jc w:val="both"/>
        <w:rPr>
          <w:rFonts w:ascii="Gadugi" w:eastAsia="Calibri" w:hAnsi="Gadugi" w:cs="Times New Roman"/>
          <w:spacing w:val="-4"/>
          <w:sz w:val="24"/>
          <w:szCs w:val="24"/>
        </w:rPr>
      </w:pPr>
    </w:p>
    <w:p w14:paraId="6C46FF49" w14:textId="2ABBDE4D" w:rsidR="00C2292D" w:rsidRPr="00910871" w:rsidRDefault="00C2292D" w:rsidP="00B476F8">
      <w:pPr>
        <w:pStyle w:val="Prrafodelista"/>
        <w:tabs>
          <w:tab w:val="left" w:pos="426"/>
        </w:tabs>
        <w:spacing w:after="0" w:line="276" w:lineRule="auto"/>
        <w:ind w:left="0"/>
        <w:jc w:val="both"/>
        <w:rPr>
          <w:rFonts w:ascii="Gadugi" w:eastAsia="Calibri" w:hAnsi="Gadugi" w:cs="Times New Roman"/>
          <w:spacing w:val="-4"/>
          <w:sz w:val="24"/>
          <w:szCs w:val="24"/>
        </w:rPr>
      </w:pPr>
      <w:r w:rsidRPr="00910871">
        <w:rPr>
          <w:rFonts w:ascii="Gadugi" w:eastAsia="Calibri" w:hAnsi="Gadugi" w:cs="Times New Roman"/>
          <w:spacing w:val="-4"/>
          <w:sz w:val="24"/>
          <w:szCs w:val="24"/>
        </w:rPr>
        <w:t xml:space="preserve">En cualquier caso, el llamamiento en garantía al que se refiere la recurrente, tiene una finalidad diferente. Enseña el artículo 2 de la Ley </w:t>
      </w:r>
      <w:r w:rsidR="0047426A" w:rsidRPr="00910871">
        <w:rPr>
          <w:rFonts w:ascii="Gadugi" w:eastAsia="Calibri" w:hAnsi="Gadugi" w:cs="Times New Roman"/>
          <w:spacing w:val="-4"/>
          <w:sz w:val="24"/>
          <w:szCs w:val="24"/>
        </w:rPr>
        <w:t xml:space="preserve">678 de 2001 que ella cita, que el servidor o exservidor, o el particular investido de funciones públicas, puede ser llamado en garantía dentro del proceso de responsabilidad contra la entidad pública. Y lo repite el artículo 19, en el sentido de que </w:t>
      </w:r>
      <w:r w:rsidR="0047426A" w:rsidRPr="00910871">
        <w:rPr>
          <w:rFonts w:ascii="Gadugi" w:eastAsia="Calibri" w:hAnsi="Gadugi" w:cs="Times New Roman"/>
          <w:i/>
          <w:spacing w:val="-4"/>
          <w:sz w:val="24"/>
          <w:szCs w:val="24"/>
        </w:rPr>
        <w:t>“</w:t>
      </w:r>
      <w:r w:rsidR="0047426A" w:rsidRPr="00910871">
        <w:rPr>
          <w:rFonts w:ascii="Gadugi" w:eastAsia="Calibri" w:hAnsi="Gadugi" w:cs="Times New Roman"/>
          <w:i/>
          <w:spacing w:val="-4"/>
          <w:szCs w:val="24"/>
        </w:rPr>
        <w:t>Dentro de los procesos de responsabilidad en contra del Estado relativos a controversias contractuales, reparación directa y nulidad y restablecimiento del derecho, la entidad pública directamente perjudicada o el Ministerio Público, podrán solicitar el llamamiento en garantía del agente identificado como aquel que desplegó la acción u omisión causa del daño respecto del cual se reclama la responsabilidad del Estado, para que en el mismo proceso se decida la responsabilidad de la administración y la del funcionario</w:t>
      </w:r>
      <w:r w:rsidR="0047426A" w:rsidRPr="00910871">
        <w:rPr>
          <w:rFonts w:ascii="Gadugi" w:eastAsia="Calibri" w:hAnsi="Gadugi" w:cs="Times New Roman"/>
          <w:i/>
          <w:spacing w:val="-4"/>
          <w:sz w:val="24"/>
          <w:szCs w:val="24"/>
        </w:rPr>
        <w:t xml:space="preserve">”. </w:t>
      </w:r>
    </w:p>
    <w:p w14:paraId="044BFD27" w14:textId="723B7816" w:rsidR="0047426A" w:rsidRPr="00910871" w:rsidRDefault="0047426A" w:rsidP="00B476F8">
      <w:pPr>
        <w:pStyle w:val="Prrafodelista"/>
        <w:tabs>
          <w:tab w:val="left" w:pos="426"/>
        </w:tabs>
        <w:spacing w:after="0" w:line="276" w:lineRule="auto"/>
        <w:ind w:left="0"/>
        <w:jc w:val="both"/>
        <w:rPr>
          <w:rFonts w:ascii="Gadugi" w:eastAsia="Calibri" w:hAnsi="Gadugi" w:cs="Times New Roman"/>
          <w:spacing w:val="-4"/>
          <w:sz w:val="24"/>
          <w:szCs w:val="24"/>
        </w:rPr>
      </w:pPr>
    </w:p>
    <w:p w14:paraId="6E7AE9A9" w14:textId="255CFE55" w:rsidR="0047426A" w:rsidRPr="00910871" w:rsidRDefault="0047426A" w:rsidP="00B476F8">
      <w:pPr>
        <w:pStyle w:val="Prrafodelista"/>
        <w:tabs>
          <w:tab w:val="left" w:pos="426"/>
        </w:tabs>
        <w:spacing w:after="0" w:line="276" w:lineRule="auto"/>
        <w:ind w:left="0"/>
        <w:jc w:val="both"/>
        <w:rPr>
          <w:rFonts w:ascii="Gadugi" w:eastAsia="Calibri" w:hAnsi="Gadugi" w:cs="Times New Roman"/>
          <w:spacing w:val="-4"/>
          <w:sz w:val="24"/>
          <w:szCs w:val="24"/>
        </w:rPr>
      </w:pPr>
      <w:r w:rsidRPr="00910871">
        <w:rPr>
          <w:rFonts w:ascii="Gadugi" w:eastAsia="Calibri" w:hAnsi="Gadugi" w:cs="Times New Roman"/>
          <w:spacing w:val="-4"/>
          <w:sz w:val="24"/>
          <w:szCs w:val="24"/>
        </w:rPr>
        <w:t xml:space="preserve">Cuestión diversa a la que aconteció en este caso, en el </w:t>
      </w:r>
      <w:r w:rsidR="00265E63" w:rsidRPr="00910871">
        <w:rPr>
          <w:rFonts w:ascii="Gadugi" w:eastAsia="Calibri" w:hAnsi="Gadugi" w:cs="Times New Roman"/>
          <w:spacing w:val="-4"/>
          <w:sz w:val="24"/>
          <w:szCs w:val="24"/>
        </w:rPr>
        <w:t>que, con fundamento en la Ley 610 de 2000, se inició en contra de las demandada</w:t>
      </w:r>
      <w:r w:rsidR="003B39A3" w:rsidRPr="00910871">
        <w:rPr>
          <w:rFonts w:ascii="Gadugi" w:eastAsia="Calibri" w:hAnsi="Gadugi" w:cs="Times New Roman"/>
          <w:spacing w:val="-4"/>
          <w:sz w:val="24"/>
          <w:szCs w:val="24"/>
        </w:rPr>
        <w:t>s</w:t>
      </w:r>
      <w:r w:rsidR="00265E63" w:rsidRPr="00910871">
        <w:rPr>
          <w:rFonts w:ascii="Gadugi" w:eastAsia="Calibri" w:hAnsi="Gadugi" w:cs="Times New Roman"/>
          <w:spacing w:val="-4"/>
          <w:sz w:val="24"/>
          <w:szCs w:val="24"/>
        </w:rPr>
        <w:t xml:space="preserve"> un juicio de responsabilidad fiscal, es decir, que eran ellas las directas implicadas y, más bien, en cumplimiento de lo previsto en su artículo 44, se vinculó a la compañía de seguros, en calidad de tercero civilmente responsable. En esa condición, dice la norma, tenía los mismos derechos y facultades de las principales implicadas. </w:t>
      </w:r>
    </w:p>
    <w:p w14:paraId="2877FFD4" w14:textId="1E9E2FF3" w:rsidR="00265E63" w:rsidRPr="00910871" w:rsidRDefault="00265E63" w:rsidP="00B476F8">
      <w:pPr>
        <w:pStyle w:val="Prrafodelista"/>
        <w:tabs>
          <w:tab w:val="left" w:pos="426"/>
        </w:tabs>
        <w:spacing w:after="0" w:line="276" w:lineRule="auto"/>
        <w:ind w:left="0"/>
        <w:jc w:val="both"/>
        <w:rPr>
          <w:rFonts w:ascii="Gadugi" w:eastAsia="Calibri" w:hAnsi="Gadugi" w:cs="Times New Roman"/>
          <w:spacing w:val="-4"/>
          <w:sz w:val="24"/>
          <w:szCs w:val="24"/>
        </w:rPr>
      </w:pPr>
    </w:p>
    <w:p w14:paraId="4D0EDC66" w14:textId="77777777" w:rsidR="001B7E59" w:rsidRPr="00910871" w:rsidRDefault="00265E63" w:rsidP="00B476F8">
      <w:pPr>
        <w:pStyle w:val="Prrafodelista"/>
        <w:tabs>
          <w:tab w:val="left" w:pos="426"/>
        </w:tabs>
        <w:spacing w:after="0" w:line="276" w:lineRule="auto"/>
        <w:ind w:left="0"/>
        <w:jc w:val="both"/>
        <w:rPr>
          <w:rFonts w:ascii="Gadugi" w:eastAsia="Calibri" w:hAnsi="Gadugi" w:cs="Times New Roman"/>
          <w:spacing w:val="-4"/>
          <w:sz w:val="24"/>
          <w:szCs w:val="24"/>
        </w:rPr>
      </w:pPr>
      <w:r w:rsidRPr="00910871">
        <w:rPr>
          <w:rFonts w:ascii="Gadugi" w:eastAsia="Calibri" w:hAnsi="Gadugi" w:cs="Times New Roman"/>
          <w:spacing w:val="-4"/>
          <w:sz w:val="24"/>
          <w:szCs w:val="24"/>
        </w:rPr>
        <w:t>Como la aseguradora, por virtud de ese llamamiento</w:t>
      </w:r>
      <w:r w:rsidR="00EF3CBE" w:rsidRPr="00910871">
        <w:rPr>
          <w:rFonts w:ascii="Gadugi" w:eastAsia="Calibri" w:hAnsi="Gadugi" w:cs="Times New Roman"/>
          <w:spacing w:val="-4"/>
          <w:sz w:val="24"/>
          <w:szCs w:val="24"/>
        </w:rPr>
        <w:t xml:space="preserve">, quedó </w:t>
      </w:r>
      <w:r w:rsidR="001B7E59" w:rsidRPr="00910871">
        <w:rPr>
          <w:rFonts w:ascii="Gadugi" w:eastAsia="Calibri" w:hAnsi="Gadugi" w:cs="Times New Roman"/>
          <w:spacing w:val="-4"/>
          <w:sz w:val="24"/>
          <w:szCs w:val="24"/>
        </w:rPr>
        <w:t xml:space="preserve">obligada a cubrir el monto de las sumas por las que fueron ellas declaradas fiscalmente responsables, hasta el monto de lo pactado en la póliza No. 1002170, y en efecto pagó, se subrogó en los términos del artículo 1096 del C. de Comercio, por ministerio de la Ley. </w:t>
      </w:r>
    </w:p>
    <w:p w14:paraId="3D006A95" w14:textId="77777777" w:rsidR="001B7E59" w:rsidRPr="00910871" w:rsidRDefault="001B7E59" w:rsidP="00B476F8">
      <w:pPr>
        <w:pStyle w:val="Prrafodelista"/>
        <w:tabs>
          <w:tab w:val="left" w:pos="426"/>
        </w:tabs>
        <w:spacing w:after="0" w:line="276" w:lineRule="auto"/>
        <w:ind w:left="0"/>
        <w:jc w:val="both"/>
        <w:rPr>
          <w:rFonts w:ascii="Gadugi" w:eastAsia="Calibri" w:hAnsi="Gadugi" w:cs="Times New Roman"/>
          <w:spacing w:val="-4"/>
          <w:sz w:val="24"/>
          <w:szCs w:val="24"/>
        </w:rPr>
      </w:pPr>
    </w:p>
    <w:p w14:paraId="2EB7A3BB" w14:textId="46E5A116" w:rsidR="00B71206" w:rsidRPr="00910871" w:rsidRDefault="001B7E59" w:rsidP="00B476F8">
      <w:pPr>
        <w:pStyle w:val="Prrafodelista"/>
        <w:tabs>
          <w:tab w:val="left" w:pos="426"/>
        </w:tabs>
        <w:spacing w:after="0" w:line="276" w:lineRule="auto"/>
        <w:ind w:left="0"/>
        <w:jc w:val="both"/>
        <w:rPr>
          <w:rFonts w:ascii="Gadugi" w:eastAsia="Calibri" w:hAnsi="Gadugi" w:cs="Times New Roman"/>
          <w:spacing w:val="-4"/>
          <w:sz w:val="24"/>
          <w:szCs w:val="24"/>
        </w:rPr>
      </w:pPr>
      <w:r w:rsidRPr="00910871">
        <w:rPr>
          <w:rFonts w:ascii="Gadugi" w:eastAsia="Calibri" w:hAnsi="Gadugi" w:cs="Times New Roman"/>
          <w:spacing w:val="-4"/>
          <w:sz w:val="24"/>
          <w:szCs w:val="24"/>
        </w:rPr>
        <w:t xml:space="preserve">Que la aseguradora hubiera podido acudir directamente a un proceso ejecutivo, ya que el </w:t>
      </w:r>
      <w:r w:rsidR="00B71206" w:rsidRPr="00910871">
        <w:rPr>
          <w:rFonts w:ascii="Gadugi" w:eastAsia="Calibri" w:hAnsi="Gadugi" w:cs="Times New Roman"/>
          <w:spacing w:val="-4"/>
          <w:sz w:val="24"/>
          <w:szCs w:val="24"/>
        </w:rPr>
        <w:t xml:space="preserve">fallo de responsabilidad fiscal, una vez en firme, sirve como título, es claro. Pero no lo hizo y prefirió obtener primero una declaración de esta naturaleza, cuando la misma ley le concedía la subrogación. </w:t>
      </w:r>
      <w:r w:rsidR="00030108" w:rsidRPr="00910871">
        <w:rPr>
          <w:rFonts w:ascii="Gadugi" w:eastAsia="Calibri" w:hAnsi="Gadugi" w:cs="Times New Roman"/>
          <w:spacing w:val="-4"/>
          <w:sz w:val="24"/>
          <w:szCs w:val="24"/>
        </w:rPr>
        <w:t>D</w:t>
      </w:r>
      <w:r w:rsidR="00B71206" w:rsidRPr="00910871">
        <w:rPr>
          <w:rFonts w:ascii="Gadugi" w:eastAsia="Calibri" w:hAnsi="Gadugi" w:cs="Times New Roman"/>
          <w:spacing w:val="-4"/>
          <w:sz w:val="24"/>
          <w:szCs w:val="24"/>
        </w:rPr>
        <w:t xml:space="preserve">e ahí no se sigue que, con tal proceder, se le hubiese vulnerado el debido proceso a la recurrente quien, valga decirlo, ni siquiera contestó la demanda. </w:t>
      </w:r>
    </w:p>
    <w:p w14:paraId="653F62A8" w14:textId="77777777" w:rsidR="00B71206" w:rsidRPr="00910871" w:rsidRDefault="00B71206" w:rsidP="00B476F8">
      <w:pPr>
        <w:pStyle w:val="Prrafodelista"/>
        <w:tabs>
          <w:tab w:val="left" w:pos="426"/>
        </w:tabs>
        <w:spacing w:after="0" w:line="276" w:lineRule="auto"/>
        <w:ind w:left="0"/>
        <w:jc w:val="both"/>
        <w:rPr>
          <w:rFonts w:ascii="Gadugi" w:eastAsia="Calibri" w:hAnsi="Gadugi" w:cs="Times New Roman"/>
          <w:spacing w:val="-4"/>
          <w:sz w:val="24"/>
          <w:szCs w:val="24"/>
        </w:rPr>
      </w:pPr>
    </w:p>
    <w:p w14:paraId="40F9C6FD" w14:textId="434E2F62" w:rsidR="00055469" w:rsidRPr="00910871" w:rsidRDefault="00B71206" w:rsidP="00B476F8">
      <w:pPr>
        <w:pStyle w:val="Prrafodelista"/>
        <w:tabs>
          <w:tab w:val="left" w:pos="426"/>
        </w:tabs>
        <w:spacing w:after="0" w:line="276" w:lineRule="auto"/>
        <w:ind w:left="0"/>
        <w:jc w:val="both"/>
        <w:rPr>
          <w:rFonts w:ascii="Gadugi" w:eastAsia="Calibri" w:hAnsi="Gadugi" w:cs="Times New Roman"/>
          <w:i/>
          <w:spacing w:val="-4"/>
          <w:sz w:val="24"/>
          <w:szCs w:val="24"/>
        </w:rPr>
      </w:pPr>
      <w:r w:rsidRPr="00910871">
        <w:rPr>
          <w:rFonts w:ascii="Gadugi" w:eastAsia="Calibri" w:hAnsi="Gadugi" w:cs="Times New Roman"/>
          <w:spacing w:val="-4"/>
          <w:sz w:val="24"/>
          <w:szCs w:val="24"/>
        </w:rPr>
        <w:lastRenderedPageBreak/>
        <w:t>Y, precisamente, con ese silencio, allanó el camino a una decisión en su contra libre de la prescripción que alega</w:t>
      </w:r>
      <w:r w:rsidR="00055469" w:rsidRPr="00910871">
        <w:rPr>
          <w:rFonts w:ascii="Gadugi" w:eastAsia="Calibri" w:hAnsi="Gadugi" w:cs="Times New Roman"/>
          <w:spacing w:val="-4"/>
          <w:sz w:val="24"/>
          <w:szCs w:val="24"/>
        </w:rPr>
        <w:t xml:space="preserve"> en su segundo embate</w:t>
      </w:r>
      <w:r w:rsidRPr="00910871">
        <w:rPr>
          <w:rFonts w:ascii="Gadugi" w:eastAsia="Calibri" w:hAnsi="Gadugi" w:cs="Times New Roman"/>
          <w:spacing w:val="-4"/>
          <w:sz w:val="24"/>
          <w:szCs w:val="24"/>
        </w:rPr>
        <w:t xml:space="preserve">, </w:t>
      </w:r>
      <w:r w:rsidR="00055469" w:rsidRPr="00910871">
        <w:rPr>
          <w:rFonts w:ascii="Gadugi" w:eastAsia="Calibri" w:hAnsi="Gadugi" w:cs="Times New Roman"/>
          <w:spacing w:val="-4"/>
          <w:sz w:val="24"/>
          <w:szCs w:val="24"/>
        </w:rPr>
        <w:t xml:space="preserve">dado que este es uno de aquellos medios exceptivos que perentoriamente deben proponerse en las oportunidades previstas en la ley, porque el juez no puede declararlo de oficio. Así está </w:t>
      </w:r>
      <w:r w:rsidR="000930E5" w:rsidRPr="00910871">
        <w:rPr>
          <w:rFonts w:ascii="Gadugi" w:eastAsia="Calibri" w:hAnsi="Gadugi" w:cs="Times New Roman"/>
          <w:spacing w:val="-4"/>
          <w:sz w:val="24"/>
          <w:szCs w:val="24"/>
        </w:rPr>
        <w:t>consignado</w:t>
      </w:r>
      <w:r w:rsidR="00055469" w:rsidRPr="00910871">
        <w:rPr>
          <w:rFonts w:ascii="Gadugi" w:eastAsia="Calibri" w:hAnsi="Gadugi" w:cs="Times New Roman"/>
          <w:spacing w:val="-4"/>
          <w:sz w:val="24"/>
          <w:szCs w:val="24"/>
        </w:rPr>
        <w:t xml:space="preserve"> en el artículo 282 del CGP que, además, contempla hoy una regla clara: </w:t>
      </w:r>
      <w:r w:rsidR="00055469" w:rsidRPr="00910871">
        <w:rPr>
          <w:rFonts w:ascii="Gadugi" w:eastAsia="Calibri" w:hAnsi="Gadugi" w:cs="Times New Roman"/>
          <w:i/>
          <w:spacing w:val="-4"/>
          <w:sz w:val="24"/>
          <w:szCs w:val="24"/>
        </w:rPr>
        <w:t>“</w:t>
      </w:r>
      <w:r w:rsidR="00055469" w:rsidRPr="00910871">
        <w:rPr>
          <w:rFonts w:ascii="Gadugi" w:eastAsia="Calibri" w:hAnsi="Gadugi" w:cs="Times New Roman"/>
          <w:i/>
          <w:spacing w:val="-4"/>
          <w:szCs w:val="24"/>
        </w:rPr>
        <w:t>Cuando no se proponga oportunamente la excepción de prescripción extintiva, se entenderá renunciada</w:t>
      </w:r>
      <w:r w:rsidR="00055469" w:rsidRPr="00910871">
        <w:rPr>
          <w:rFonts w:ascii="Gadugi" w:eastAsia="Calibri" w:hAnsi="Gadugi" w:cs="Times New Roman"/>
          <w:i/>
          <w:spacing w:val="-4"/>
          <w:sz w:val="24"/>
          <w:szCs w:val="24"/>
        </w:rPr>
        <w:t xml:space="preserve">”. </w:t>
      </w:r>
    </w:p>
    <w:p w14:paraId="27E5C64F" w14:textId="77777777" w:rsidR="00055469" w:rsidRPr="00910871" w:rsidRDefault="00055469" w:rsidP="00B476F8">
      <w:pPr>
        <w:pStyle w:val="Prrafodelista"/>
        <w:tabs>
          <w:tab w:val="left" w:pos="426"/>
        </w:tabs>
        <w:spacing w:after="0" w:line="276" w:lineRule="auto"/>
        <w:ind w:left="0"/>
        <w:jc w:val="both"/>
        <w:rPr>
          <w:rFonts w:ascii="Gadugi" w:eastAsia="Calibri" w:hAnsi="Gadugi" w:cs="Times New Roman"/>
          <w:spacing w:val="-4"/>
          <w:sz w:val="24"/>
          <w:szCs w:val="24"/>
        </w:rPr>
      </w:pPr>
    </w:p>
    <w:p w14:paraId="3AC0868B" w14:textId="18C07DD6" w:rsidR="00C2292D" w:rsidRPr="00910871" w:rsidRDefault="00C7184C" w:rsidP="00B476F8">
      <w:pPr>
        <w:pStyle w:val="Prrafodelista"/>
        <w:numPr>
          <w:ilvl w:val="1"/>
          <w:numId w:val="1"/>
        </w:numPr>
        <w:tabs>
          <w:tab w:val="left" w:pos="709"/>
        </w:tabs>
        <w:spacing w:after="0" w:line="276" w:lineRule="auto"/>
        <w:ind w:left="0" w:firstLine="0"/>
        <w:jc w:val="both"/>
        <w:rPr>
          <w:rFonts w:ascii="Gadugi" w:eastAsia="Calibri" w:hAnsi="Gadugi" w:cs="Times New Roman"/>
          <w:spacing w:val="-4"/>
          <w:sz w:val="24"/>
          <w:szCs w:val="24"/>
        </w:rPr>
      </w:pPr>
      <w:r w:rsidRPr="00910871">
        <w:rPr>
          <w:rFonts w:ascii="Gadugi" w:eastAsia="Calibri" w:hAnsi="Gadugi" w:cs="Times New Roman"/>
          <w:spacing w:val="-4"/>
          <w:sz w:val="24"/>
          <w:szCs w:val="24"/>
        </w:rPr>
        <w:t xml:space="preserve">Se prohijará, entonces, la sentencia impugnada. </w:t>
      </w:r>
    </w:p>
    <w:p w14:paraId="2BA83F3A" w14:textId="708E6EA8" w:rsidR="00C7184C" w:rsidRPr="00910871" w:rsidRDefault="00C7184C" w:rsidP="00B476F8">
      <w:pPr>
        <w:pStyle w:val="Prrafodelista"/>
        <w:tabs>
          <w:tab w:val="left" w:pos="709"/>
        </w:tabs>
        <w:spacing w:after="0" w:line="276" w:lineRule="auto"/>
        <w:ind w:left="0"/>
        <w:jc w:val="both"/>
        <w:rPr>
          <w:rFonts w:ascii="Gadugi" w:eastAsia="Calibri" w:hAnsi="Gadugi" w:cs="Times New Roman"/>
          <w:spacing w:val="-4"/>
          <w:sz w:val="24"/>
          <w:szCs w:val="24"/>
        </w:rPr>
      </w:pPr>
    </w:p>
    <w:p w14:paraId="23381406" w14:textId="573BA041" w:rsidR="00C7184C" w:rsidRPr="00910871" w:rsidRDefault="00C7184C" w:rsidP="00B476F8">
      <w:pPr>
        <w:pStyle w:val="Prrafodelista"/>
        <w:tabs>
          <w:tab w:val="left" w:pos="709"/>
        </w:tabs>
        <w:spacing w:after="0" w:line="276" w:lineRule="auto"/>
        <w:ind w:left="0"/>
        <w:jc w:val="both"/>
        <w:rPr>
          <w:rFonts w:ascii="Gadugi" w:eastAsia="Calibri" w:hAnsi="Gadugi" w:cs="Times New Roman"/>
          <w:spacing w:val="-4"/>
          <w:sz w:val="24"/>
          <w:szCs w:val="24"/>
        </w:rPr>
      </w:pPr>
      <w:r w:rsidRPr="00910871">
        <w:rPr>
          <w:rFonts w:ascii="Gadugi" w:eastAsia="Calibri" w:hAnsi="Gadugi" w:cs="Times New Roman"/>
          <w:spacing w:val="-4"/>
          <w:sz w:val="24"/>
          <w:szCs w:val="24"/>
        </w:rPr>
        <w:t>Como los recursos fracasan, se condenará a las demandadas a pagar las costas de esta instancia a favor de la demandante (art. 365-1 CGP). Ellas se liquidarán de manera concentrada ante el juez de primer grado, siguiendo las pautas del artículo 366 del mismo estatuto. Para tal fin, en auto separado, el magistrado sustanciador fijará las agencias en derecho.</w:t>
      </w:r>
    </w:p>
    <w:p w14:paraId="257FD08E" w14:textId="3370A37D" w:rsidR="00C7184C" w:rsidRPr="00910871" w:rsidRDefault="00C7184C" w:rsidP="00B476F8">
      <w:pPr>
        <w:pStyle w:val="Prrafodelista"/>
        <w:tabs>
          <w:tab w:val="left" w:pos="709"/>
        </w:tabs>
        <w:spacing w:after="0" w:line="276" w:lineRule="auto"/>
        <w:ind w:left="0"/>
        <w:jc w:val="both"/>
        <w:rPr>
          <w:rFonts w:ascii="Gadugi" w:eastAsia="Calibri" w:hAnsi="Gadugi" w:cs="Times New Roman"/>
          <w:spacing w:val="-4"/>
          <w:sz w:val="24"/>
          <w:szCs w:val="24"/>
        </w:rPr>
      </w:pPr>
    </w:p>
    <w:p w14:paraId="033CCC54" w14:textId="4C2801B4" w:rsidR="00C7184C" w:rsidRPr="00910871" w:rsidRDefault="00C7184C" w:rsidP="00B476F8">
      <w:pPr>
        <w:pStyle w:val="Prrafodelista"/>
        <w:numPr>
          <w:ilvl w:val="0"/>
          <w:numId w:val="1"/>
        </w:numPr>
        <w:tabs>
          <w:tab w:val="left" w:pos="426"/>
        </w:tabs>
        <w:spacing w:after="0" w:line="276" w:lineRule="auto"/>
        <w:ind w:left="0" w:firstLine="0"/>
        <w:jc w:val="both"/>
        <w:rPr>
          <w:rFonts w:ascii="Gadugi" w:eastAsia="Calibri" w:hAnsi="Gadugi" w:cs="Times New Roman"/>
          <w:b/>
          <w:spacing w:val="-4"/>
          <w:sz w:val="24"/>
          <w:szCs w:val="24"/>
        </w:rPr>
      </w:pPr>
      <w:r w:rsidRPr="00910871">
        <w:rPr>
          <w:rFonts w:ascii="Gadugi" w:eastAsia="Calibri" w:hAnsi="Gadugi" w:cs="Times New Roman"/>
          <w:b/>
          <w:spacing w:val="-4"/>
          <w:sz w:val="24"/>
          <w:szCs w:val="24"/>
        </w:rPr>
        <w:t>DECISIÓN</w:t>
      </w:r>
    </w:p>
    <w:p w14:paraId="35D6455C" w14:textId="782FB4A2" w:rsidR="00C7184C" w:rsidRPr="00910871" w:rsidRDefault="00C7184C" w:rsidP="00B476F8">
      <w:pPr>
        <w:pStyle w:val="Prrafodelista"/>
        <w:tabs>
          <w:tab w:val="left" w:pos="426"/>
        </w:tabs>
        <w:spacing w:after="0" w:line="276" w:lineRule="auto"/>
        <w:ind w:left="0"/>
        <w:jc w:val="both"/>
        <w:rPr>
          <w:rFonts w:ascii="Gadugi" w:eastAsia="Calibri" w:hAnsi="Gadugi" w:cs="Times New Roman"/>
          <w:b/>
          <w:spacing w:val="-4"/>
          <w:sz w:val="24"/>
          <w:szCs w:val="24"/>
        </w:rPr>
      </w:pPr>
    </w:p>
    <w:p w14:paraId="5BFB75BD" w14:textId="05086876" w:rsidR="00C7184C" w:rsidRPr="00910871" w:rsidRDefault="00C7184C" w:rsidP="00B476F8">
      <w:pPr>
        <w:tabs>
          <w:tab w:val="left" w:pos="4536"/>
        </w:tabs>
        <w:spacing w:after="0" w:line="276" w:lineRule="auto"/>
        <w:jc w:val="both"/>
        <w:rPr>
          <w:rFonts w:ascii="Gadugi" w:eastAsia="Malgun Gothic" w:hAnsi="Gadugi" w:cs="Estrangelo Edessa"/>
          <w:b/>
          <w:spacing w:val="-4"/>
          <w:sz w:val="24"/>
          <w:szCs w:val="24"/>
        </w:rPr>
      </w:pPr>
      <w:r w:rsidRPr="00910871">
        <w:rPr>
          <w:rFonts w:ascii="Gadugi" w:eastAsia="Calibri" w:hAnsi="Gadugi" w:cs="Times New Roman"/>
          <w:spacing w:val="-4"/>
          <w:sz w:val="24"/>
          <w:szCs w:val="24"/>
        </w:rPr>
        <w:t xml:space="preserve">En armonía con lo dicho, esta Sala de Decisión Civil-Familia del Tribunal Superior de Pereira, administrando justicia en nombre de la República y por autoridad de la Ley, </w:t>
      </w:r>
      <w:r w:rsidRPr="00910871">
        <w:rPr>
          <w:rFonts w:ascii="Gadugi" w:eastAsia="Calibri" w:hAnsi="Gadugi" w:cs="Times New Roman"/>
          <w:b/>
          <w:spacing w:val="-4"/>
          <w:sz w:val="24"/>
          <w:szCs w:val="24"/>
        </w:rPr>
        <w:t xml:space="preserve">CONFIRMA </w:t>
      </w:r>
      <w:r w:rsidRPr="00910871">
        <w:rPr>
          <w:rFonts w:ascii="Gadugi" w:eastAsia="Malgun Gothic" w:hAnsi="Gadugi" w:cs="Estrangelo Edessa"/>
          <w:spacing w:val="-4"/>
          <w:sz w:val="24"/>
          <w:szCs w:val="24"/>
        </w:rPr>
        <w:t>la sentencia del 19 de noviembre del 2020, proferida por el Juzgado</w:t>
      </w:r>
      <w:r w:rsidRPr="00910871">
        <w:rPr>
          <w:rFonts w:ascii="Gadugi" w:hAnsi="Gadugi"/>
          <w:spacing w:val="-4"/>
          <w:sz w:val="24"/>
          <w:szCs w:val="24"/>
        </w:rPr>
        <w:t xml:space="preserve"> </w:t>
      </w:r>
      <w:r w:rsidRPr="00910871">
        <w:rPr>
          <w:rFonts w:ascii="Gadugi" w:eastAsia="Malgun Gothic" w:hAnsi="Gadugi" w:cs="Estrangelo Edessa"/>
          <w:spacing w:val="-4"/>
          <w:sz w:val="24"/>
          <w:szCs w:val="24"/>
        </w:rPr>
        <w:t xml:space="preserve">Tercero Civil </w:t>
      </w:r>
      <w:r w:rsidR="000704C3" w:rsidRPr="00910871">
        <w:rPr>
          <w:rFonts w:ascii="Gadugi" w:eastAsia="Malgun Gothic" w:hAnsi="Gadugi" w:cs="Estrangelo Edessa"/>
          <w:spacing w:val="-4"/>
          <w:sz w:val="24"/>
          <w:szCs w:val="24"/>
        </w:rPr>
        <w:t>del</w:t>
      </w:r>
      <w:r w:rsidRPr="00910871">
        <w:rPr>
          <w:rFonts w:ascii="Gadugi" w:eastAsia="Malgun Gothic" w:hAnsi="Gadugi" w:cs="Estrangelo Edessa"/>
          <w:spacing w:val="-4"/>
          <w:sz w:val="24"/>
          <w:szCs w:val="24"/>
        </w:rPr>
        <w:t xml:space="preserve"> Circuito Pereira-Risaralda, en este proceso acción de repetición que inicio </w:t>
      </w:r>
      <w:r w:rsidRPr="00910871">
        <w:rPr>
          <w:rFonts w:ascii="Gadugi" w:eastAsia="Malgun Gothic" w:hAnsi="Gadugi" w:cs="Estrangelo Edessa"/>
          <w:b/>
          <w:spacing w:val="-4"/>
          <w:sz w:val="24"/>
          <w:szCs w:val="24"/>
        </w:rPr>
        <w:t>La Previsora S.A. Compañía de Seguros</w:t>
      </w:r>
      <w:r w:rsidRPr="00910871">
        <w:rPr>
          <w:rFonts w:ascii="Gadugi" w:eastAsia="Malgun Gothic" w:hAnsi="Gadugi" w:cs="Estrangelo Edessa"/>
          <w:spacing w:val="-4"/>
          <w:sz w:val="24"/>
          <w:szCs w:val="24"/>
        </w:rPr>
        <w:t xml:space="preserve"> </w:t>
      </w:r>
      <w:r w:rsidRPr="00910871">
        <w:rPr>
          <w:rFonts w:ascii="Gadugi" w:eastAsia="Malgun Gothic" w:hAnsi="Gadugi" w:cs="Estrangelo Edessa"/>
          <w:bCs/>
          <w:spacing w:val="-4"/>
          <w:sz w:val="24"/>
          <w:szCs w:val="24"/>
        </w:rPr>
        <w:t>frente</w:t>
      </w:r>
      <w:r w:rsidRPr="00910871">
        <w:rPr>
          <w:rFonts w:ascii="Gadugi" w:eastAsia="Malgun Gothic" w:hAnsi="Gadugi" w:cs="Estrangelo Edessa"/>
          <w:b/>
          <w:spacing w:val="-4"/>
          <w:sz w:val="24"/>
          <w:szCs w:val="24"/>
        </w:rPr>
        <w:t xml:space="preserve"> </w:t>
      </w:r>
      <w:r w:rsidRPr="00910871">
        <w:rPr>
          <w:rFonts w:ascii="Gadugi" w:eastAsia="Malgun Gothic" w:hAnsi="Gadugi" w:cs="Estrangelo Edessa"/>
          <w:spacing w:val="-4"/>
          <w:sz w:val="24"/>
          <w:szCs w:val="24"/>
        </w:rPr>
        <w:t>a</w:t>
      </w:r>
      <w:r w:rsidRPr="00910871">
        <w:rPr>
          <w:rFonts w:ascii="Gadugi" w:hAnsi="Gadugi"/>
          <w:spacing w:val="-4"/>
          <w:sz w:val="24"/>
          <w:szCs w:val="24"/>
        </w:rPr>
        <w:t xml:space="preserve"> </w:t>
      </w:r>
      <w:r w:rsidRPr="00910871">
        <w:rPr>
          <w:rFonts w:ascii="Gadugi" w:eastAsia="Malgun Gothic" w:hAnsi="Gadugi" w:cs="Estrangelo Edessa"/>
          <w:b/>
          <w:spacing w:val="-4"/>
          <w:sz w:val="24"/>
          <w:szCs w:val="24"/>
        </w:rPr>
        <w:t xml:space="preserve">Gloría Inés Román Soto </w:t>
      </w:r>
      <w:r w:rsidRPr="00910871">
        <w:rPr>
          <w:rFonts w:ascii="Gadugi" w:eastAsia="Malgun Gothic" w:hAnsi="Gadugi" w:cs="Estrangelo Edessa"/>
          <w:spacing w:val="-4"/>
          <w:sz w:val="24"/>
          <w:szCs w:val="24"/>
        </w:rPr>
        <w:t>y</w:t>
      </w:r>
      <w:r w:rsidRPr="00910871">
        <w:rPr>
          <w:rFonts w:ascii="Gadugi" w:eastAsia="Malgun Gothic" w:hAnsi="Gadugi" w:cs="Estrangelo Edessa"/>
          <w:b/>
          <w:spacing w:val="-4"/>
          <w:sz w:val="24"/>
          <w:szCs w:val="24"/>
        </w:rPr>
        <w:t xml:space="preserve"> Liliana Argenis Higuera Molina.</w:t>
      </w:r>
    </w:p>
    <w:p w14:paraId="3F8E2E39" w14:textId="5F615DBA" w:rsidR="00C7184C" w:rsidRPr="00910871" w:rsidRDefault="00C7184C" w:rsidP="00B476F8">
      <w:pPr>
        <w:pStyle w:val="Prrafodelista"/>
        <w:tabs>
          <w:tab w:val="left" w:pos="426"/>
        </w:tabs>
        <w:spacing w:after="0" w:line="276" w:lineRule="auto"/>
        <w:ind w:left="0"/>
        <w:jc w:val="both"/>
        <w:rPr>
          <w:rFonts w:ascii="Gadugi" w:eastAsia="Calibri" w:hAnsi="Gadugi" w:cs="Times New Roman"/>
          <w:spacing w:val="-4"/>
          <w:sz w:val="24"/>
          <w:szCs w:val="24"/>
        </w:rPr>
      </w:pPr>
    </w:p>
    <w:p w14:paraId="35558435" w14:textId="01F54D41" w:rsidR="00737FDF" w:rsidRPr="00910871" w:rsidRDefault="00737FDF" w:rsidP="00B476F8">
      <w:pPr>
        <w:pStyle w:val="Prrafodelista"/>
        <w:tabs>
          <w:tab w:val="left" w:pos="426"/>
        </w:tabs>
        <w:spacing w:after="0" w:line="276" w:lineRule="auto"/>
        <w:ind w:left="0"/>
        <w:jc w:val="both"/>
        <w:rPr>
          <w:rFonts w:ascii="Gadugi" w:eastAsia="Calibri" w:hAnsi="Gadugi" w:cs="Times New Roman"/>
          <w:spacing w:val="-4"/>
          <w:sz w:val="24"/>
          <w:szCs w:val="24"/>
        </w:rPr>
      </w:pPr>
      <w:r w:rsidRPr="00910871">
        <w:rPr>
          <w:rFonts w:ascii="Gadugi" w:eastAsia="Calibri" w:hAnsi="Gadugi" w:cs="Times New Roman"/>
          <w:spacing w:val="-4"/>
          <w:sz w:val="24"/>
          <w:szCs w:val="24"/>
        </w:rPr>
        <w:t xml:space="preserve">Costas en esta instancia a cargo de las recurrentes y a favor de la demandante. </w:t>
      </w:r>
    </w:p>
    <w:p w14:paraId="3AA16080" w14:textId="5BFFD695" w:rsidR="00737FDF" w:rsidRPr="00B476F8" w:rsidRDefault="00737FDF" w:rsidP="00B476F8">
      <w:pPr>
        <w:pStyle w:val="Prrafodelista"/>
        <w:tabs>
          <w:tab w:val="left" w:pos="426"/>
        </w:tabs>
        <w:spacing w:after="0" w:line="276" w:lineRule="auto"/>
        <w:ind w:left="0"/>
        <w:jc w:val="both"/>
        <w:rPr>
          <w:rFonts w:ascii="Gadugi" w:eastAsia="Calibri" w:hAnsi="Gadugi" w:cs="Times New Roman"/>
          <w:sz w:val="24"/>
          <w:szCs w:val="24"/>
        </w:rPr>
      </w:pPr>
    </w:p>
    <w:p w14:paraId="00D7F8EF" w14:textId="68EC66EC" w:rsidR="00737FDF" w:rsidRPr="00B476F8" w:rsidRDefault="00737FDF" w:rsidP="00B476F8">
      <w:pPr>
        <w:pStyle w:val="Prrafodelista"/>
        <w:tabs>
          <w:tab w:val="left" w:pos="426"/>
        </w:tabs>
        <w:spacing w:after="0" w:line="276" w:lineRule="auto"/>
        <w:ind w:left="0"/>
        <w:jc w:val="both"/>
        <w:rPr>
          <w:rFonts w:ascii="Gadugi" w:eastAsia="Calibri" w:hAnsi="Gadugi" w:cs="Times New Roman"/>
          <w:sz w:val="24"/>
          <w:szCs w:val="24"/>
        </w:rPr>
      </w:pPr>
      <w:r w:rsidRPr="00B476F8">
        <w:rPr>
          <w:rFonts w:ascii="Gadugi" w:eastAsia="Calibri" w:hAnsi="Gadugi" w:cs="Times New Roman"/>
          <w:sz w:val="24"/>
          <w:szCs w:val="24"/>
        </w:rPr>
        <w:t>Notifíquese.</w:t>
      </w:r>
    </w:p>
    <w:p w14:paraId="12502B0B" w14:textId="77777777" w:rsidR="00B476F8" w:rsidRPr="00CA590F" w:rsidRDefault="00B476F8" w:rsidP="00B476F8">
      <w:pPr>
        <w:tabs>
          <w:tab w:val="left" w:pos="1701"/>
          <w:tab w:val="left" w:pos="2127"/>
          <w:tab w:val="left" w:pos="2977"/>
        </w:tabs>
        <w:spacing w:after="0" w:line="276" w:lineRule="auto"/>
        <w:jc w:val="both"/>
        <w:rPr>
          <w:rFonts w:ascii="Gadugi" w:eastAsia="Malgun Gothic" w:hAnsi="Gadugi" w:cs="Estrangelo Edessa"/>
          <w:sz w:val="24"/>
          <w:szCs w:val="24"/>
        </w:rPr>
      </w:pPr>
    </w:p>
    <w:p w14:paraId="288FFFD1" w14:textId="77777777" w:rsidR="00B476F8" w:rsidRPr="00CA590F" w:rsidRDefault="00B476F8" w:rsidP="00B476F8">
      <w:pPr>
        <w:tabs>
          <w:tab w:val="left" w:pos="1701"/>
          <w:tab w:val="left" w:pos="2127"/>
          <w:tab w:val="left" w:pos="2977"/>
        </w:tabs>
        <w:spacing w:after="0" w:line="276" w:lineRule="auto"/>
        <w:jc w:val="both"/>
        <w:rPr>
          <w:rFonts w:ascii="Gadugi" w:eastAsia="Malgun Gothic" w:hAnsi="Gadugi" w:cs="Estrangelo Edessa"/>
          <w:sz w:val="24"/>
          <w:szCs w:val="24"/>
        </w:rPr>
      </w:pPr>
      <w:r w:rsidRPr="00CA590F">
        <w:rPr>
          <w:rFonts w:ascii="Gadugi" w:eastAsia="Malgun Gothic" w:hAnsi="Gadugi" w:cs="Estrangelo Edessa"/>
          <w:sz w:val="24"/>
          <w:szCs w:val="24"/>
        </w:rPr>
        <w:tab/>
        <w:t xml:space="preserve">Los Magistrados, </w:t>
      </w:r>
    </w:p>
    <w:p w14:paraId="3755BEF5" w14:textId="77777777" w:rsidR="00B476F8" w:rsidRPr="00CA590F" w:rsidRDefault="00B476F8" w:rsidP="00B476F8">
      <w:pPr>
        <w:tabs>
          <w:tab w:val="left" w:pos="1701"/>
          <w:tab w:val="left" w:pos="2127"/>
          <w:tab w:val="left" w:pos="2977"/>
        </w:tabs>
        <w:spacing w:after="0" w:line="276" w:lineRule="auto"/>
        <w:jc w:val="both"/>
        <w:rPr>
          <w:rFonts w:ascii="Gadugi" w:eastAsia="Malgun Gothic" w:hAnsi="Gadugi" w:cs="Estrangelo Edessa"/>
          <w:sz w:val="24"/>
          <w:szCs w:val="24"/>
        </w:rPr>
      </w:pPr>
    </w:p>
    <w:p w14:paraId="6F8B8229" w14:textId="77777777" w:rsidR="00B476F8" w:rsidRPr="00CA590F" w:rsidRDefault="00B476F8" w:rsidP="00B476F8">
      <w:pPr>
        <w:tabs>
          <w:tab w:val="left" w:pos="1701"/>
          <w:tab w:val="left" w:pos="2127"/>
          <w:tab w:val="left" w:pos="2977"/>
        </w:tabs>
        <w:spacing w:after="0" w:line="276" w:lineRule="auto"/>
        <w:jc w:val="both"/>
        <w:rPr>
          <w:rFonts w:ascii="Gadugi" w:eastAsia="Malgun Gothic" w:hAnsi="Gadugi" w:cs="Estrangelo Edessa"/>
          <w:b/>
          <w:sz w:val="24"/>
          <w:szCs w:val="24"/>
        </w:rPr>
      </w:pPr>
    </w:p>
    <w:p w14:paraId="560D51D5" w14:textId="77777777" w:rsidR="00B476F8" w:rsidRPr="00CA590F" w:rsidRDefault="00B476F8" w:rsidP="00B476F8">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r w:rsidRPr="00CA590F">
        <w:rPr>
          <w:rFonts w:ascii="Gadugi" w:eastAsia="Malgun Gothic" w:hAnsi="Gadugi" w:cs="Estrangelo Edessa"/>
          <w:b/>
          <w:sz w:val="24"/>
          <w:szCs w:val="24"/>
        </w:rPr>
        <w:t>JAIME ALBERTO SARAZA NARANJO</w:t>
      </w:r>
    </w:p>
    <w:p w14:paraId="58094ACB" w14:textId="77777777" w:rsidR="00B476F8" w:rsidRPr="00CA590F" w:rsidRDefault="00B476F8" w:rsidP="00B476F8">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77873598" w14:textId="77777777" w:rsidR="00B476F8" w:rsidRPr="00CA590F" w:rsidRDefault="00B476F8" w:rsidP="00B476F8">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191FFEFC" w14:textId="77777777" w:rsidR="00B476F8" w:rsidRPr="00CA590F" w:rsidRDefault="00B476F8" w:rsidP="00B476F8">
      <w:pPr>
        <w:tabs>
          <w:tab w:val="left" w:pos="1701"/>
          <w:tab w:val="left" w:pos="2127"/>
          <w:tab w:val="left" w:pos="2977"/>
        </w:tabs>
        <w:spacing w:after="0" w:line="276" w:lineRule="auto"/>
        <w:ind w:firstLine="1701"/>
        <w:jc w:val="both"/>
        <w:rPr>
          <w:rFonts w:ascii="Gadugi" w:eastAsia="Malgun Gothic" w:hAnsi="Gadugi" w:cs="Estrangelo Edessa"/>
          <w:b/>
          <w:bCs/>
          <w:sz w:val="24"/>
          <w:szCs w:val="24"/>
        </w:rPr>
      </w:pPr>
      <w:r w:rsidRPr="00CA590F">
        <w:rPr>
          <w:rFonts w:ascii="Gadugi" w:eastAsia="Malgun Gothic" w:hAnsi="Gadugi" w:cs="Estrangelo Edessa"/>
          <w:b/>
          <w:bCs/>
          <w:sz w:val="24"/>
          <w:szCs w:val="24"/>
        </w:rPr>
        <w:t>CARLOS MAURICIO GARCÍA BARAJAS</w:t>
      </w:r>
    </w:p>
    <w:p w14:paraId="7B85B946" w14:textId="77777777" w:rsidR="00B476F8" w:rsidRPr="00CA590F" w:rsidRDefault="00B476F8" w:rsidP="00B476F8">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5421A751" w14:textId="77777777" w:rsidR="00B476F8" w:rsidRPr="00CA590F" w:rsidRDefault="00B476F8" w:rsidP="00B476F8">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0A124110" w14:textId="2A80F295" w:rsidR="00030108" w:rsidRPr="00B476F8" w:rsidRDefault="00B476F8" w:rsidP="00B476F8">
      <w:pPr>
        <w:tabs>
          <w:tab w:val="left" w:pos="1701"/>
          <w:tab w:val="left" w:pos="2127"/>
          <w:tab w:val="left" w:pos="2977"/>
        </w:tabs>
        <w:spacing w:after="0" w:line="276" w:lineRule="auto"/>
        <w:ind w:firstLine="1701"/>
        <w:jc w:val="both"/>
        <w:rPr>
          <w:rFonts w:ascii="Gadugi" w:eastAsia="Malgun Gothic" w:hAnsi="Gadugi" w:cs="Estrangelo Edessa"/>
          <w:sz w:val="24"/>
          <w:szCs w:val="24"/>
        </w:rPr>
      </w:pPr>
      <w:r w:rsidRPr="00CA590F">
        <w:rPr>
          <w:rFonts w:ascii="Gadugi" w:eastAsia="Malgun Gothic" w:hAnsi="Gadugi" w:cs="Estrangelo Edessa"/>
          <w:b/>
          <w:bCs/>
          <w:sz w:val="24"/>
          <w:szCs w:val="24"/>
        </w:rPr>
        <w:t>DUBERNEY GRISALES HERRERA</w:t>
      </w:r>
    </w:p>
    <w:sectPr w:rsidR="00030108" w:rsidRPr="00B476F8" w:rsidSect="00910871">
      <w:foot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D86B81" w16cex:dateUtc="2022-11-01T19:00:30.981Z"/>
  <w16cex:commentExtensible w16cex:durableId="719B131D" w16cex:dateUtc="2022-11-01T19:11:33.676Z"/>
  <w16cex:commentExtensible w16cex:durableId="748316D8" w16cex:dateUtc="2022-11-01T19:15:47.933Z"/>
  <w16cex:commentExtensible w16cex:durableId="60ABB08A" w16cex:dateUtc="2022-11-01T20:22:30.162Z"/>
  <w16cex:commentExtensible w16cex:durableId="71D44855" w16cex:dateUtc="2022-11-01T20:22:41.3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8443A" w14:textId="77777777" w:rsidR="00D21664" w:rsidRDefault="00D21664" w:rsidP="00244E2F">
      <w:pPr>
        <w:spacing w:after="0" w:line="240" w:lineRule="auto"/>
      </w:pPr>
      <w:r>
        <w:separator/>
      </w:r>
    </w:p>
  </w:endnote>
  <w:endnote w:type="continuationSeparator" w:id="0">
    <w:p w14:paraId="558D433D" w14:textId="77777777" w:rsidR="00D21664" w:rsidRDefault="00D21664" w:rsidP="0024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Cuerpo en alf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21440"/>
      <w:docPartObj>
        <w:docPartGallery w:val="Page Numbers (Bottom of Page)"/>
        <w:docPartUnique/>
      </w:docPartObj>
    </w:sdtPr>
    <w:sdtEndPr/>
    <w:sdtContent>
      <w:p w14:paraId="1C511944" w14:textId="1E9CBA80" w:rsidR="002460F9" w:rsidRDefault="002460F9">
        <w:pPr>
          <w:pStyle w:val="Piedepgina"/>
          <w:jc w:val="right"/>
        </w:pPr>
        <w:r>
          <w:fldChar w:fldCharType="begin"/>
        </w:r>
        <w:r>
          <w:instrText>PAGE   \* MERGEFORMAT</w:instrText>
        </w:r>
        <w:r>
          <w:fldChar w:fldCharType="separate"/>
        </w:r>
        <w:r>
          <w:rPr>
            <w:lang w:val="es-ES"/>
          </w:rPr>
          <w:t>2</w:t>
        </w:r>
        <w:r>
          <w:fldChar w:fldCharType="end"/>
        </w:r>
      </w:p>
    </w:sdtContent>
  </w:sdt>
  <w:p w14:paraId="6DA9A7F4" w14:textId="77777777" w:rsidR="002460F9" w:rsidRDefault="002460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2812" w14:textId="77777777" w:rsidR="00D21664" w:rsidRDefault="00D21664" w:rsidP="00244E2F">
      <w:pPr>
        <w:spacing w:after="0" w:line="240" w:lineRule="auto"/>
      </w:pPr>
      <w:r>
        <w:separator/>
      </w:r>
    </w:p>
  </w:footnote>
  <w:footnote w:type="continuationSeparator" w:id="0">
    <w:p w14:paraId="5FABE245" w14:textId="77777777" w:rsidR="00D21664" w:rsidRDefault="00D21664" w:rsidP="00244E2F">
      <w:pPr>
        <w:spacing w:after="0" w:line="240" w:lineRule="auto"/>
      </w:pPr>
      <w:r>
        <w:continuationSeparator/>
      </w:r>
    </w:p>
  </w:footnote>
  <w:footnote w:id="1">
    <w:p w14:paraId="5A741F43" w14:textId="0ACF49A6" w:rsidR="00737FDF" w:rsidRPr="00B038EC" w:rsidRDefault="00737FDF"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w:t>
      </w:r>
      <w:r w:rsidRPr="00B038EC">
        <w:rPr>
          <w:rFonts w:ascii="Arial" w:hAnsi="Arial" w:cs="Arial"/>
          <w:sz w:val="18"/>
          <w:lang w:val="es-419"/>
        </w:rPr>
        <w:t>La actuación en esta sede fue recibida el 13 de octubre de 2021, 02SegundaInstancia, 01Carátula</w:t>
      </w:r>
    </w:p>
  </w:footnote>
  <w:footnote w:id="2">
    <w:p w14:paraId="5B8CCC1C" w14:textId="7D3226FD" w:rsidR="002460F9" w:rsidRPr="00B038EC" w:rsidRDefault="002460F9" w:rsidP="00B038EC">
      <w:pPr>
        <w:pStyle w:val="Prrafodelista"/>
        <w:tabs>
          <w:tab w:val="left" w:pos="567"/>
          <w:tab w:val="left" w:pos="3402"/>
        </w:tabs>
        <w:spacing w:after="0" w:line="240" w:lineRule="auto"/>
        <w:ind w:left="0"/>
        <w:jc w:val="both"/>
        <w:rPr>
          <w:rStyle w:val="normaltextrun"/>
          <w:rFonts w:ascii="Arial" w:hAnsi="Arial" w:cs="Arial"/>
          <w:sz w:val="18"/>
          <w:szCs w:val="20"/>
        </w:rPr>
      </w:pPr>
      <w:r w:rsidRPr="00B038EC">
        <w:rPr>
          <w:rStyle w:val="Refdenotaalpie"/>
          <w:rFonts w:ascii="Arial" w:hAnsi="Arial" w:cs="Arial"/>
          <w:sz w:val="18"/>
          <w:szCs w:val="20"/>
        </w:rPr>
        <w:footnoteRef/>
      </w:r>
      <w:r w:rsidRPr="00B038EC">
        <w:rPr>
          <w:rFonts w:ascii="Arial" w:hAnsi="Arial" w:cs="Arial"/>
          <w:sz w:val="18"/>
          <w:szCs w:val="20"/>
        </w:rPr>
        <w:t xml:space="preserve"> 01PrimeraInstancia,</w:t>
      </w:r>
      <w:r w:rsidRPr="00B038EC">
        <w:rPr>
          <w:rStyle w:val="normaltextrun"/>
          <w:rFonts w:ascii="Arial" w:hAnsi="Arial" w:cs="Arial"/>
          <w:bCs/>
          <w:color w:val="000000"/>
          <w:sz w:val="18"/>
          <w:szCs w:val="20"/>
          <w:shd w:val="clear" w:color="auto" w:fill="FFFFFF"/>
        </w:rPr>
        <w:t xml:space="preserve"> 03Demanda, p. 1-3</w:t>
      </w:r>
    </w:p>
    <w:p w14:paraId="66D37336" w14:textId="36E71E93" w:rsidR="002460F9" w:rsidRPr="00B038EC" w:rsidRDefault="002460F9" w:rsidP="00B038EC">
      <w:pPr>
        <w:pStyle w:val="Textonotapie"/>
        <w:jc w:val="both"/>
        <w:rPr>
          <w:rFonts w:ascii="Arial" w:hAnsi="Arial" w:cs="Arial"/>
          <w:sz w:val="18"/>
          <w:lang w:val="es-419"/>
        </w:rPr>
      </w:pPr>
    </w:p>
  </w:footnote>
  <w:footnote w:id="3">
    <w:p w14:paraId="265F5526" w14:textId="5A7F7A21" w:rsidR="002460F9" w:rsidRPr="00B038EC" w:rsidRDefault="002460F9" w:rsidP="00B038EC">
      <w:pPr>
        <w:pStyle w:val="Prrafodelista"/>
        <w:tabs>
          <w:tab w:val="left" w:pos="567"/>
          <w:tab w:val="left" w:pos="3402"/>
        </w:tabs>
        <w:spacing w:after="0" w:line="240" w:lineRule="auto"/>
        <w:ind w:left="0"/>
        <w:jc w:val="both"/>
        <w:rPr>
          <w:rFonts w:ascii="Arial" w:hAnsi="Arial" w:cs="Arial"/>
          <w:sz w:val="18"/>
          <w:szCs w:val="20"/>
          <w:lang w:val="es-419"/>
        </w:rPr>
      </w:pPr>
      <w:r w:rsidRPr="00B038EC">
        <w:rPr>
          <w:rStyle w:val="Refdenotaalpie"/>
          <w:rFonts w:ascii="Arial" w:hAnsi="Arial" w:cs="Arial"/>
          <w:sz w:val="18"/>
          <w:szCs w:val="20"/>
        </w:rPr>
        <w:footnoteRef/>
      </w:r>
      <w:r w:rsidRPr="00B038EC">
        <w:rPr>
          <w:rFonts w:ascii="Arial" w:hAnsi="Arial" w:cs="Arial"/>
          <w:sz w:val="18"/>
          <w:szCs w:val="20"/>
        </w:rPr>
        <w:t xml:space="preserve"> Ibidem, p. 3-4</w:t>
      </w:r>
    </w:p>
  </w:footnote>
  <w:footnote w:id="4">
    <w:p w14:paraId="61074D82" w14:textId="416C10E0" w:rsidR="002460F9" w:rsidRPr="00B038EC" w:rsidRDefault="002460F9"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w:t>
      </w:r>
      <w:r w:rsidRPr="00B038EC">
        <w:rPr>
          <w:rFonts w:ascii="Arial" w:eastAsia="Calibri" w:hAnsi="Arial" w:cs="Arial"/>
          <w:sz w:val="18"/>
        </w:rPr>
        <w:t xml:space="preserve">01PrimeraInstancia, 06.AutoRechaza </w:t>
      </w:r>
    </w:p>
  </w:footnote>
  <w:footnote w:id="5">
    <w:p w14:paraId="53F71396" w14:textId="745A0034" w:rsidR="002460F9" w:rsidRPr="00B038EC" w:rsidRDefault="002460F9"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w:t>
      </w:r>
      <w:r w:rsidRPr="00B038EC">
        <w:rPr>
          <w:rFonts w:ascii="Arial" w:hAnsi="Arial" w:cs="Arial"/>
          <w:sz w:val="18"/>
          <w:lang w:val="es-419"/>
        </w:rPr>
        <w:t>01PrimeraInstancia</w:t>
      </w:r>
      <w:r w:rsidRPr="00B038EC">
        <w:rPr>
          <w:rFonts w:ascii="Arial" w:eastAsia="Calibri" w:hAnsi="Arial" w:cs="Arial"/>
          <w:sz w:val="18"/>
        </w:rPr>
        <w:t>, 15AutoResuelve</w:t>
      </w:r>
    </w:p>
  </w:footnote>
  <w:footnote w:id="6">
    <w:p w14:paraId="739BB92D" w14:textId="0D22127E" w:rsidR="002460F9" w:rsidRPr="00B038EC" w:rsidRDefault="002460F9"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w:t>
      </w:r>
      <w:r w:rsidRPr="00B038EC">
        <w:rPr>
          <w:rFonts w:ascii="Arial" w:eastAsia="Calibri" w:hAnsi="Arial" w:cs="Arial"/>
          <w:sz w:val="18"/>
        </w:rPr>
        <w:t>01PrimeraInstancia, 20AutoAvocaCono</w:t>
      </w:r>
    </w:p>
  </w:footnote>
  <w:footnote w:id="7">
    <w:p w14:paraId="7F12B7C7" w14:textId="09561BD5" w:rsidR="002460F9" w:rsidRPr="00B038EC" w:rsidRDefault="002460F9"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w:t>
      </w:r>
      <w:r w:rsidRPr="00B038EC">
        <w:rPr>
          <w:rFonts w:ascii="Arial" w:eastAsia="Calibri" w:hAnsi="Arial" w:cs="Arial"/>
          <w:sz w:val="18"/>
        </w:rPr>
        <w:t>01PrimeraInstancia, 21Autoadmite</w:t>
      </w:r>
    </w:p>
  </w:footnote>
  <w:footnote w:id="8">
    <w:p w14:paraId="02EC942A" w14:textId="268C2EC8" w:rsidR="002460F9" w:rsidRPr="00B038EC" w:rsidRDefault="002460F9"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w:t>
      </w:r>
      <w:r w:rsidRPr="00B038EC">
        <w:rPr>
          <w:rFonts w:ascii="Arial" w:eastAsia="Calibri" w:hAnsi="Arial" w:cs="Arial"/>
          <w:sz w:val="18"/>
        </w:rPr>
        <w:t>01PrimeraInstancia, 36ContestaciónDemanda</w:t>
      </w:r>
    </w:p>
  </w:footnote>
  <w:footnote w:id="9">
    <w:p w14:paraId="7BB4845D" w14:textId="67D20DF7" w:rsidR="002460F9" w:rsidRPr="00B038EC" w:rsidRDefault="002460F9"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w:t>
      </w:r>
      <w:r w:rsidRPr="00B038EC">
        <w:rPr>
          <w:rFonts w:ascii="Arial" w:eastAsia="Calibri" w:hAnsi="Arial" w:cs="Arial"/>
          <w:sz w:val="18"/>
        </w:rPr>
        <w:t>01PrimeraInstancia, 52AutoResuelve</w:t>
      </w:r>
    </w:p>
  </w:footnote>
  <w:footnote w:id="10">
    <w:p w14:paraId="7D9B1951" w14:textId="2E11AB06" w:rsidR="002460F9" w:rsidRPr="00B038EC" w:rsidRDefault="002460F9"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01PrimeraInstancia, 61AudienciaArt372y373CGP</w:t>
      </w:r>
    </w:p>
  </w:footnote>
  <w:footnote w:id="11">
    <w:p w14:paraId="73691014" w14:textId="6E9779C8" w:rsidR="002460F9" w:rsidRPr="00B038EC" w:rsidRDefault="002460F9"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w:t>
      </w:r>
      <w:r w:rsidRPr="00B038EC">
        <w:rPr>
          <w:rFonts w:ascii="Arial" w:hAnsi="Arial" w:cs="Arial"/>
          <w:sz w:val="18"/>
          <w:lang w:val="es-419"/>
        </w:rPr>
        <w:t>Ibidem, audiencia372Y373.mp4</w:t>
      </w:r>
    </w:p>
  </w:footnote>
  <w:footnote w:id="12">
    <w:p w14:paraId="58CACAB5" w14:textId="6E783E9E" w:rsidR="002460F9" w:rsidRPr="00B038EC" w:rsidRDefault="002460F9"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01PrimeraInstancia, 62.EscritoReparosSentencia</w:t>
      </w:r>
    </w:p>
  </w:footnote>
  <w:footnote w:id="13">
    <w:p w14:paraId="298CC427" w14:textId="77777777" w:rsidR="002460F9" w:rsidRPr="00B038EC" w:rsidRDefault="002460F9"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w:t>
      </w:r>
      <w:r w:rsidRPr="00B038EC">
        <w:rPr>
          <w:rFonts w:ascii="Arial" w:hAnsi="Arial" w:cs="Arial"/>
          <w:sz w:val="18"/>
          <w:lang w:val="es-419"/>
        </w:rPr>
        <w:t xml:space="preserve">02SegundaInstancia, 10SustentaciónRecurso, </w:t>
      </w:r>
    </w:p>
  </w:footnote>
  <w:footnote w:id="14">
    <w:p w14:paraId="2D2747A6" w14:textId="4B585079" w:rsidR="002460F9" w:rsidRPr="00B038EC" w:rsidRDefault="002460F9"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01PrimeraInstancia, 63EscritoReparosSentencia</w:t>
      </w:r>
    </w:p>
  </w:footnote>
  <w:footnote w:id="15">
    <w:p w14:paraId="329E8964" w14:textId="1CCFA986" w:rsidR="002460F9" w:rsidRPr="00B038EC" w:rsidRDefault="002460F9"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01PrimeraInstancia, 02AnexosDemanda, p. 4</w:t>
      </w:r>
    </w:p>
  </w:footnote>
  <w:footnote w:id="16">
    <w:p w14:paraId="615B387A" w14:textId="03CDE189" w:rsidR="002460F9" w:rsidRPr="00B038EC" w:rsidRDefault="002460F9"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01PrimeraInstancia, 02Anexos demanda, p. 52</w:t>
      </w:r>
    </w:p>
  </w:footnote>
  <w:footnote w:id="17">
    <w:p w14:paraId="2D71175E" w14:textId="5EE834A6" w:rsidR="002460F9" w:rsidRPr="00B038EC" w:rsidRDefault="002460F9"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w:t>
      </w:r>
      <w:r w:rsidRPr="00B038EC">
        <w:rPr>
          <w:rFonts w:ascii="Arial" w:hAnsi="Arial" w:cs="Arial"/>
          <w:sz w:val="18"/>
          <w:lang w:val="es-419"/>
        </w:rPr>
        <w:t>Ibidem, p. 54</w:t>
      </w:r>
    </w:p>
  </w:footnote>
  <w:footnote w:id="18">
    <w:p w14:paraId="4F0B0FEF" w14:textId="7A5013EB" w:rsidR="00905A44" w:rsidRPr="00B038EC" w:rsidRDefault="00905A44"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Ibidem, p. 31 y 32</w:t>
      </w:r>
    </w:p>
  </w:footnote>
  <w:footnote w:id="19">
    <w:p w14:paraId="62AEB910" w14:textId="67C6A261" w:rsidR="006834AB" w:rsidRPr="00B038EC" w:rsidRDefault="006834AB"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w:t>
      </w:r>
      <w:r w:rsidRPr="00B038EC">
        <w:rPr>
          <w:rFonts w:ascii="Arial" w:hAnsi="Arial" w:cs="Arial"/>
          <w:sz w:val="18"/>
          <w:lang w:val="es-419"/>
        </w:rPr>
        <w:t>Ib., p. 47</w:t>
      </w:r>
    </w:p>
  </w:footnote>
  <w:footnote w:id="20">
    <w:p w14:paraId="651A8CA5" w14:textId="11CF8F9B" w:rsidR="006C7997" w:rsidRPr="00B038EC" w:rsidRDefault="006C7997"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w:t>
      </w:r>
      <w:r w:rsidRPr="00B038EC">
        <w:rPr>
          <w:rFonts w:ascii="Arial" w:hAnsi="Arial" w:cs="Arial"/>
          <w:sz w:val="18"/>
          <w:lang w:val="es-419"/>
        </w:rPr>
        <w:t>Sentencia C-365-00</w:t>
      </w:r>
    </w:p>
  </w:footnote>
  <w:footnote w:id="21">
    <w:p w14:paraId="7661D2F3" w14:textId="651E7D5E" w:rsidR="008A6FE8" w:rsidRPr="00B038EC" w:rsidRDefault="008A6FE8"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w:t>
      </w:r>
      <w:r w:rsidRPr="00B038EC">
        <w:rPr>
          <w:rFonts w:ascii="Arial" w:hAnsi="Arial" w:cs="Arial"/>
          <w:sz w:val="18"/>
          <w:lang w:val="es-419"/>
        </w:rPr>
        <w:t xml:space="preserve">Aunque la Ley 2080 de 2020 introdujo un control automático de estas decisiones, la Corte Constitucional en la sentencia C-091-2022 declaró inexequibles los artículos 23 y 45 que así lo preveían. </w:t>
      </w:r>
    </w:p>
  </w:footnote>
  <w:footnote w:id="22">
    <w:p w14:paraId="4CF47CDC" w14:textId="190EC943" w:rsidR="0075225D" w:rsidRPr="00B038EC" w:rsidRDefault="0075225D" w:rsidP="00B038EC">
      <w:pPr>
        <w:pStyle w:val="Textonotapie"/>
        <w:jc w:val="both"/>
        <w:rPr>
          <w:rFonts w:ascii="Arial" w:hAnsi="Arial" w:cs="Arial"/>
          <w:sz w:val="18"/>
          <w:lang w:val="es-419"/>
        </w:rPr>
      </w:pPr>
      <w:r w:rsidRPr="00B038EC">
        <w:rPr>
          <w:rStyle w:val="Refdenotaalpie"/>
          <w:rFonts w:ascii="Arial" w:hAnsi="Arial" w:cs="Arial"/>
          <w:sz w:val="18"/>
        </w:rPr>
        <w:footnoteRef/>
      </w:r>
      <w:r w:rsidRPr="00B038EC">
        <w:rPr>
          <w:rFonts w:ascii="Arial" w:hAnsi="Arial" w:cs="Arial"/>
          <w:sz w:val="18"/>
        </w:rPr>
        <w:t xml:space="preserve"> </w:t>
      </w:r>
      <w:r w:rsidRPr="00B038EC">
        <w:rPr>
          <w:rFonts w:ascii="Arial" w:hAnsi="Arial" w:cs="Arial"/>
          <w:sz w:val="18"/>
          <w:lang w:val="es-419"/>
        </w:rPr>
        <w:t>01PrimeraInstancia, 02AnexosDemanda, p. 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E5B"/>
    <w:multiLevelType w:val="hybridMultilevel"/>
    <w:tmpl w:val="8D462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B47EB3"/>
    <w:multiLevelType w:val="hybridMultilevel"/>
    <w:tmpl w:val="53E63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EE6498"/>
    <w:multiLevelType w:val="hybridMultilevel"/>
    <w:tmpl w:val="CAAEFF90"/>
    <w:lvl w:ilvl="0" w:tplc="4650DD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2782C2B"/>
    <w:multiLevelType w:val="hybridMultilevel"/>
    <w:tmpl w:val="B8FE9322"/>
    <w:lvl w:ilvl="0" w:tplc="1024A1F4">
      <w:numFmt w:val="bullet"/>
      <w:lvlText w:val="-"/>
      <w:lvlJc w:val="left"/>
      <w:pPr>
        <w:ind w:left="720" w:hanging="360"/>
      </w:pPr>
      <w:rPr>
        <w:rFonts w:ascii="Gadugi" w:eastAsia="Malgun Gothic" w:hAnsi="Gadugi" w:cs="Estrangelo Edessa" w:hint="default"/>
        <w:b w:val="0"/>
        <w:color w:val="auto"/>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24A72"/>
    <w:multiLevelType w:val="hybridMultilevel"/>
    <w:tmpl w:val="EF9491FE"/>
    <w:lvl w:ilvl="0" w:tplc="C8D62E98">
      <w:numFmt w:val="bullet"/>
      <w:lvlText w:val="-"/>
      <w:lvlJc w:val="left"/>
      <w:pPr>
        <w:ind w:left="1068" w:hanging="360"/>
      </w:pPr>
      <w:rPr>
        <w:rFonts w:ascii="Calibri" w:eastAsiaTheme="minorHAnsi" w:hAnsi="Calibri" w:cstheme="minorBidi" w:hint="default"/>
        <w:sz w:val="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8094AB0"/>
    <w:multiLevelType w:val="hybridMultilevel"/>
    <w:tmpl w:val="D7B4B652"/>
    <w:lvl w:ilvl="0" w:tplc="D99CC86A">
      <w:start w:val="1"/>
      <w:numFmt w:val="decimal"/>
      <w:lvlText w:val="%1."/>
      <w:lvlJc w:val="left"/>
      <w:pPr>
        <w:ind w:left="1776" w:hanging="360"/>
      </w:pPr>
      <w:rPr>
        <w:rFonts w:ascii="Gadugi" w:eastAsia="Malgun Gothic" w:hAnsi="Gadugi" w:cs="Estrangelo Edessa"/>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15:restartNumberingAfterBreak="0">
    <w:nsid w:val="1AC41421"/>
    <w:multiLevelType w:val="hybridMultilevel"/>
    <w:tmpl w:val="8EB41C08"/>
    <w:lvl w:ilvl="0" w:tplc="C39E39B6">
      <w:start w:val="18"/>
      <w:numFmt w:val="bullet"/>
      <w:lvlText w:val="-"/>
      <w:lvlJc w:val="left"/>
      <w:pPr>
        <w:ind w:left="1068" w:hanging="360"/>
      </w:pPr>
      <w:rPr>
        <w:rFonts w:ascii="Gadugi" w:eastAsia="Times New Roman" w:hAnsi="Gadugi"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1C837B49"/>
    <w:multiLevelType w:val="hybridMultilevel"/>
    <w:tmpl w:val="11FC5B7A"/>
    <w:lvl w:ilvl="0" w:tplc="C8E6C5AC">
      <w:start w:val="20"/>
      <w:numFmt w:val="bullet"/>
      <w:lvlText w:val="-"/>
      <w:lvlJc w:val="left"/>
      <w:pPr>
        <w:ind w:left="720" w:hanging="360"/>
      </w:pPr>
      <w:rPr>
        <w:rFonts w:ascii="Gadugi" w:eastAsia="Malgun Gothic" w:hAnsi="Gadugi" w:cs="Estrangelo Edess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245FB2"/>
    <w:multiLevelType w:val="hybridMultilevel"/>
    <w:tmpl w:val="C02AB104"/>
    <w:lvl w:ilvl="0" w:tplc="070A86D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E844687"/>
    <w:multiLevelType w:val="hybridMultilevel"/>
    <w:tmpl w:val="D9484B56"/>
    <w:lvl w:ilvl="0" w:tplc="D012B9A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311A793F"/>
    <w:multiLevelType w:val="hybridMultilevel"/>
    <w:tmpl w:val="AC4A2B94"/>
    <w:lvl w:ilvl="0" w:tplc="CB36766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32C26D68"/>
    <w:multiLevelType w:val="hybridMultilevel"/>
    <w:tmpl w:val="41B6774C"/>
    <w:lvl w:ilvl="0" w:tplc="852EB89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3B2546D0"/>
    <w:multiLevelType w:val="hybridMultilevel"/>
    <w:tmpl w:val="68AC1C74"/>
    <w:lvl w:ilvl="0" w:tplc="23BC4646">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52010B"/>
    <w:multiLevelType w:val="multilevel"/>
    <w:tmpl w:val="874C027A"/>
    <w:lvl w:ilvl="0">
      <w:start w:val="1"/>
      <w:numFmt w:val="decimal"/>
      <w:lvlText w:val="%1."/>
      <w:lvlJc w:val="left"/>
      <w:pPr>
        <w:ind w:left="3195" w:hanging="360"/>
      </w:pPr>
    </w:lvl>
    <w:lvl w:ilvl="1">
      <w:start w:val="1"/>
      <w:numFmt w:val="decimal"/>
      <w:isLgl/>
      <w:lvlText w:val="%1.%2."/>
      <w:lvlJc w:val="left"/>
      <w:pPr>
        <w:ind w:left="3555" w:hanging="720"/>
      </w:pPr>
      <w:rPr>
        <w:rFonts w:ascii="Georgia" w:hAnsi="Georgia" w:hint="default"/>
        <w:b w:val="0"/>
        <w:i w:val="0"/>
        <w:color w:val="auto"/>
        <w:sz w:val="28"/>
        <w:szCs w:val="28"/>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14" w15:restartNumberingAfterBreak="0">
    <w:nsid w:val="3EDA773E"/>
    <w:multiLevelType w:val="multilevel"/>
    <w:tmpl w:val="A064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F693E"/>
    <w:multiLevelType w:val="hybridMultilevel"/>
    <w:tmpl w:val="5B263AA4"/>
    <w:lvl w:ilvl="0" w:tplc="C5FE31C2">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44844CE7"/>
    <w:multiLevelType w:val="hybridMultilevel"/>
    <w:tmpl w:val="8EA4CB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906BF1"/>
    <w:multiLevelType w:val="hybridMultilevel"/>
    <w:tmpl w:val="F3269C36"/>
    <w:lvl w:ilvl="0" w:tplc="16AAFBC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473B59B2"/>
    <w:multiLevelType w:val="hybridMultilevel"/>
    <w:tmpl w:val="E0363808"/>
    <w:lvl w:ilvl="0" w:tplc="C3F40BE0">
      <w:start w:val="1"/>
      <w:numFmt w:val="decimal"/>
      <w:lvlText w:val="%1."/>
      <w:lvlJc w:val="left"/>
      <w:pPr>
        <w:ind w:left="3915" w:hanging="360"/>
      </w:pPr>
      <w:rPr>
        <w:rFonts w:hint="default"/>
      </w:rPr>
    </w:lvl>
    <w:lvl w:ilvl="1" w:tplc="040A0019" w:tentative="1">
      <w:start w:val="1"/>
      <w:numFmt w:val="lowerLetter"/>
      <w:lvlText w:val="%2."/>
      <w:lvlJc w:val="left"/>
      <w:pPr>
        <w:ind w:left="4635" w:hanging="360"/>
      </w:pPr>
    </w:lvl>
    <w:lvl w:ilvl="2" w:tplc="040A001B" w:tentative="1">
      <w:start w:val="1"/>
      <w:numFmt w:val="lowerRoman"/>
      <w:lvlText w:val="%3."/>
      <w:lvlJc w:val="right"/>
      <w:pPr>
        <w:ind w:left="5355" w:hanging="180"/>
      </w:pPr>
    </w:lvl>
    <w:lvl w:ilvl="3" w:tplc="040A000F" w:tentative="1">
      <w:start w:val="1"/>
      <w:numFmt w:val="decimal"/>
      <w:lvlText w:val="%4."/>
      <w:lvlJc w:val="left"/>
      <w:pPr>
        <w:ind w:left="6075" w:hanging="360"/>
      </w:pPr>
    </w:lvl>
    <w:lvl w:ilvl="4" w:tplc="040A0019" w:tentative="1">
      <w:start w:val="1"/>
      <w:numFmt w:val="lowerLetter"/>
      <w:lvlText w:val="%5."/>
      <w:lvlJc w:val="left"/>
      <w:pPr>
        <w:ind w:left="6795" w:hanging="360"/>
      </w:pPr>
    </w:lvl>
    <w:lvl w:ilvl="5" w:tplc="040A001B" w:tentative="1">
      <w:start w:val="1"/>
      <w:numFmt w:val="lowerRoman"/>
      <w:lvlText w:val="%6."/>
      <w:lvlJc w:val="right"/>
      <w:pPr>
        <w:ind w:left="7515" w:hanging="180"/>
      </w:pPr>
    </w:lvl>
    <w:lvl w:ilvl="6" w:tplc="040A000F" w:tentative="1">
      <w:start w:val="1"/>
      <w:numFmt w:val="decimal"/>
      <w:lvlText w:val="%7."/>
      <w:lvlJc w:val="left"/>
      <w:pPr>
        <w:ind w:left="8235" w:hanging="360"/>
      </w:pPr>
    </w:lvl>
    <w:lvl w:ilvl="7" w:tplc="040A0019" w:tentative="1">
      <w:start w:val="1"/>
      <w:numFmt w:val="lowerLetter"/>
      <w:lvlText w:val="%8."/>
      <w:lvlJc w:val="left"/>
      <w:pPr>
        <w:ind w:left="8955" w:hanging="360"/>
      </w:pPr>
    </w:lvl>
    <w:lvl w:ilvl="8" w:tplc="040A001B" w:tentative="1">
      <w:start w:val="1"/>
      <w:numFmt w:val="lowerRoman"/>
      <w:lvlText w:val="%9."/>
      <w:lvlJc w:val="right"/>
      <w:pPr>
        <w:ind w:left="9675" w:hanging="180"/>
      </w:pPr>
    </w:lvl>
  </w:abstractNum>
  <w:abstractNum w:abstractNumId="19" w15:restartNumberingAfterBreak="0">
    <w:nsid w:val="476072E5"/>
    <w:multiLevelType w:val="hybridMultilevel"/>
    <w:tmpl w:val="901E33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6E0CBB"/>
    <w:multiLevelType w:val="hybridMultilevel"/>
    <w:tmpl w:val="DFC069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416685"/>
    <w:multiLevelType w:val="hybridMultilevel"/>
    <w:tmpl w:val="B2C483C2"/>
    <w:lvl w:ilvl="0" w:tplc="3FD06AE8">
      <w:start w:val="4"/>
      <w:numFmt w:val="bullet"/>
      <w:lvlText w:val="-"/>
      <w:lvlJc w:val="left"/>
      <w:pPr>
        <w:ind w:left="1068" w:hanging="360"/>
      </w:pPr>
      <w:rPr>
        <w:rFonts w:ascii="Gadugi" w:eastAsiaTheme="minorHAnsi" w:hAnsi="Gadugi" w:cs="Times New Roman (Cuerpo en alfa"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2" w15:restartNumberingAfterBreak="0">
    <w:nsid w:val="615011CD"/>
    <w:multiLevelType w:val="hybridMultilevel"/>
    <w:tmpl w:val="6588B0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3521AFD"/>
    <w:multiLevelType w:val="hybridMultilevel"/>
    <w:tmpl w:val="3DB2325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789A7C15"/>
    <w:multiLevelType w:val="hybridMultilevel"/>
    <w:tmpl w:val="627E11D0"/>
    <w:lvl w:ilvl="0" w:tplc="B0869E0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3"/>
  </w:num>
  <w:num w:numId="4">
    <w:abstractNumId w:val="21"/>
  </w:num>
  <w:num w:numId="5">
    <w:abstractNumId w:val="14"/>
  </w:num>
  <w:num w:numId="6">
    <w:abstractNumId w:val="6"/>
  </w:num>
  <w:num w:numId="7">
    <w:abstractNumId w:val="7"/>
  </w:num>
  <w:num w:numId="8">
    <w:abstractNumId w:val="17"/>
  </w:num>
  <w:num w:numId="9">
    <w:abstractNumId w:val="24"/>
  </w:num>
  <w:num w:numId="10">
    <w:abstractNumId w:val="1"/>
  </w:num>
  <w:num w:numId="11">
    <w:abstractNumId w:val="0"/>
  </w:num>
  <w:num w:numId="12">
    <w:abstractNumId w:val="20"/>
  </w:num>
  <w:num w:numId="13">
    <w:abstractNumId w:val="8"/>
  </w:num>
  <w:num w:numId="14">
    <w:abstractNumId w:val="5"/>
  </w:num>
  <w:num w:numId="15">
    <w:abstractNumId w:val="9"/>
  </w:num>
  <w:num w:numId="16">
    <w:abstractNumId w:val="11"/>
  </w:num>
  <w:num w:numId="17">
    <w:abstractNumId w:val="2"/>
  </w:num>
  <w:num w:numId="18">
    <w:abstractNumId w:val="15"/>
  </w:num>
  <w:num w:numId="19">
    <w:abstractNumId w:val="19"/>
  </w:num>
  <w:num w:numId="20">
    <w:abstractNumId w:val="3"/>
  </w:num>
  <w:num w:numId="21">
    <w:abstractNumId w:val="10"/>
  </w:num>
  <w:num w:numId="22">
    <w:abstractNumId w:val="4"/>
  </w:num>
  <w:num w:numId="23">
    <w:abstractNumId w:val="12"/>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F1"/>
    <w:rsid w:val="00000B23"/>
    <w:rsid w:val="00001F56"/>
    <w:rsid w:val="000020BA"/>
    <w:rsid w:val="00002955"/>
    <w:rsid w:val="00003BCB"/>
    <w:rsid w:val="00004872"/>
    <w:rsid w:val="00005EAD"/>
    <w:rsid w:val="00010896"/>
    <w:rsid w:val="0001427B"/>
    <w:rsid w:val="000153AB"/>
    <w:rsid w:val="00015953"/>
    <w:rsid w:val="0002545C"/>
    <w:rsid w:val="00025774"/>
    <w:rsid w:val="0002641A"/>
    <w:rsid w:val="0002737E"/>
    <w:rsid w:val="00030108"/>
    <w:rsid w:val="00032A8F"/>
    <w:rsid w:val="0003408B"/>
    <w:rsid w:val="00035247"/>
    <w:rsid w:val="00036B62"/>
    <w:rsid w:val="000378B7"/>
    <w:rsid w:val="00042375"/>
    <w:rsid w:val="00044006"/>
    <w:rsid w:val="00045D67"/>
    <w:rsid w:val="00050F5D"/>
    <w:rsid w:val="0005108E"/>
    <w:rsid w:val="00051F03"/>
    <w:rsid w:val="00053A37"/>
    <w:rsid w:val="00055152"/>
    <w:rsid w:val="00055469"/>
    <w:rsid w:val="000567F6"/>
    <w:rsid w:val="00061884"/>
    <w:rsid w:val="00062945"/>
    <w:rsid w:val="000631CD"/>
    <w:rsid w:val="00064778"/>
    <w:rsid w:val="000704C3"/>
    <w:rsid w:val="00071524"/>
    <w:rsid w:val="000736F0"/>
    <w:rsid w:val="00073C82"/>
    <w:rsid w:val="00074586"/>
    <w:rsid w:val="00074C3B"/>
    <w:rsid w:val="00075E4B"/>
    <w:rsid w:val="000836EA"/>
    <w:rsid w:val="000843DA"/>
    <w:rsid w:val="00084CF7"/>
    <w:rsid w:val="00087E99"/>
    <w:rsid w:val="000906E2"/>
    <w:rsid w:val="000930E5"/>
    <w:rsid w:val="00093E37"/>
    <w:rsid w:val="0009755D"/>
    <w:rsid w:val="00097D59"/>
    <w:rsid w:val="000A2E40"/>
    <w:rsid w:val="000A30C5"/>
    <w:rsid w:val="000A4AF4"/>
    <w:rsid w:val="000A7BC9"/>
    <w:rsid w:val="000B272A"/>
    <w:rsid w:val="000B31E0"/>
    <w:rsid w:val="000B4D33"/>
    <w:rsid w:val="000B53D9"/>
    <w:rsid w:val="000B7316"/>
    <w:rsid w:val="000C30B7"/>
    <w:rsid w:val="000C622E"/>
    <w:rsid w:val="000D1895"/>
    <w:rsid w:val="000D3508"/>
    <w:rsid w:val="000D3BCA"/>
    <w:rsid w:val="000D5E45"/>
    <w:rsid w:val="000D5E83"/>
    <w:rsid w:val="000D79B8"/>
    <w:rsid w:val="000E0BED"/>
    <w:rsid w:val="000E664A"/>
    <w:rsid w:val="000E748D"/>
    <w:rsid w:val="000F0366"/>
    <w:rsid w:val="000F0AF3"/>
    <w:rsid w:val="000F0D2A"/>
    <w:rsid w:val="000F13A8"/>
    <w:rsid w:val="000F3212"/>
    <w:rsid w:val="000F5E2B"/>
    <w:rsid w:val="00100A3E"/>
    <w:rsid w:val="00102298"/>
    <w:rsid w:val="001024A0"/>
    <w:rsid w:val="00105BCA"/>
    <w:rsid w:val="00107A96"/>
    <w:rsid w:val="001128D8"/>
    <w:rsid w:val="00112B86"/>
    <w:rsid w:val="00115A5F"/>
    <w:rsid w:val="00124A18"/>
    <w:rsid w:val="00124FE7"/>
    <w:rsid w:val="00125A59"/>
    <w:rsid w:val="00134819"/>
    <w:rsid w:val="00135841"/>
    <w:rsid w:val="0013635D"/>
    <w:rsid w:val="00137524"/>
    <w:rsid w:val="0013757C"/>
    <w:rsid w:val="00137CF1"/>
    <w:rsid w:val="00142B53"/>
    <w:rsid w:val="00144488"/>
    <w:rsid w:val="001445AB"/>
    <w:rsid w:val="00144D55"/>
    <w:rsid w:val="00147B2C"/>
    <w:rsid w:val="00151715"/>
    <w:rsid w:val="001601CF"/>
    <w:rsid w:val="00162142"/>
    <w:rsid w:val="00162D62"/>
    <w:rsid w:val="00165BBE"/>
    <w:rsid w:val="00165F42"/>
    <w:rsid w:val="0016691A"/>
    <w:rsid w:val="00171601"/>
    <w:rsid w:val="001717FC"/>
    <w:rsid w:val="001745C9"/>
    <w:rsid w:val="00175167"/>
    <w:rsid w:val="00177E59"/>
    <w:rsid w:val="00177FED"/>
    <w:rsid w:val="00181112"/>
    <w:rsid w:val="00184B76"/>
    <w:rsid w:val="00185375"/>
    <w:rsid w:val="00186475"/>
    <w:rsid w:val="001871C9"/>
    <w:rsid w:val="001875F5"/>
    <w:rsid w:val="00194D1D"/>
    <w:rsid w:val="00195549"/>
    <w:rsid w:val="00196F44"/>
    <w:rsid w:val="001A2442"/>
    <w:rsid w:val="001A4A3E"/>
    <w:rsid w:val="001A5845"/>
    <w:rsid w:val="001A6953"/>
    <w:rsid w:val="001B2A65"/>
    <w:rsid w:val="001B39FE"/>
    <w:rsid w:val="001B5FD6"/>
    <w:rsid w:val="001B7E59"/>
    <w:rsid w:val="001C2919"/>
    <w:rsid w:val="001C4934"/>
    <w:rsid w:val="001C4D0E"/>
    <w:rsid w:val="001C509E"/>
    <w:rsid w:val="001C50E8"/>
    <w:rsid w:val="001C66F0"/>
    <w:rsid w:val="001C7387"/>
    <w:rsid w:val="001D13D9"/>
    <w:rsid w:val="001D23C4"/>
    <w:rsid w:val="001D5EF8"/>
    <w:rsid w:val="001D6D4A"/>
    <w:rsid w:val="001D77B4"/>
    <w:rsid w:val="001D7FA9"/>
    <w:rsid w:val="001E207A"/>
    <w:rsid w:val="001E2BCF"/>
    <w:rsid w:val="001E5522"/>
    <w:rsid w:val="001E6187"/>
    <w:rsid w:val="001F27A2"/>
    <w:rsid w:val="001F3A50"/>
    <w:rsid w:val="001F4435"/>
    <w:rsid w:val="001F6B81"/>
    <w:rsid w:val="001F70F5"/>
    <w:rsid w:val="002021B2"/>
    <w:rsid w:val="002026C1"/>
    <w:rsid w:val="00205EBD"/>
    <w:rsid w:val="002101C1"/>
    <w:rsid w:val="00210A79"/>
    <w:rsid w:val="00211CD3"/>
    <w:rsid w:val="002134FA"/>
    <w:rsid w:val="00213603"/>
    <w:rsid w:val="0021380C"/>
    <w:rsid w:val="002156B4"/>
    <w:rsid w:val="00215F50"/>
    <w:rsid w:val="00216C35"/>
    <w:rsid w:val="00222289"/>
    <w:rsid w:val="00222BE6"/>
    <w:rsid w:val="002271F1"/>
    <w:rsid w:val="00227F78"/>
    <w:rsid w:val="002408B9"/>
    <w:rsid w:val="00242641"/>
    <w:rsid w:val="00242B30"/>
    <w:rsid w:val="00244CA3"/>
    <w:rsid w:val="00244E2F"/>
    <w:rsid w:val="00244F5F"/>
    <w:rsid w:val="00245736"/>
    <w:rsid w:val="002460F9"/>
    <w:rsid w:val="00250ED2"/>
    <w:rsid w:val="00252C51"/>
    <w:rsid w:val="00255B41"/>
    <w:rsid w:val="00256C88"/>
    <w:rsid w:val="00261AFA"/>
    <w:rsid w:val="00262856"/>
    <w:rsid w:val="002645DB"/>
    <w:rsid w:val="00264C85"/>
    <w:rsid w:val="00265E63"/>
    <w:rsid w:val="00265EC9"/>
    <w:rsid w:val="00266E56"/>
    <w:rsid w:val="00271F6F"/>
    <w:rsid w:val="00276625"/>
    <w:rsid w:val="00280F03"/>
    <w:rsid w:val="00281CEE"/>
    <w:rsid w:val="00282E2A"/>
    <w:rsid w:val="00290A05"/>
    <w:rsid w:val="00291791"/>
    <w:rsid w:val="00293A41"/>
    <w:rsid w:val="00294763"/>
    <w:rsid w:val="00294B3A"/>
    <w:rsid w:val="00295FCB"/>
    <w:rsid w:val="00296805"/>
    <w:rsid w:val="0029683A"/>
    <w:rsid w:val="002A0193"/>
    <w:rsid w:val="002A35C1"/>
    <w:rsid w:val="002A537C"/>
    <w:rsid w:val="002A6EEC"/>
    <w:rsid w:val="002B2813"/>
    <w:rsid w:val="002B5A39"/>
    <w:rsid w:val="002B7989"/>
    <w:rsid w:val="002C08B5"/>
    <w:rsid w:val="002C3724"/>
    <w:rsid w:val="002C3E13"/>
    <w:rsid w:val="002C4FE6"/>
    <w:rsid w:val="002C6D2A"/>
    <w:rsid w:val="002D1069"/>
    <w:rsid w:val="002D4618"/>
    <w:rsid w:val="002D6BD3"/>
    <w:rsid w:val="002E0774"/>
    <w:rsid w:val="002E2B19"/>
    <w:rsid w:val="002E63A3"/>
    <w:rsid w:val="002E7666"/>
    <w:rsid w:val="002F1D47"/>
    <w:rsid w:val="002F7734"/>
    <w:rsid w:val="003012E5"/>
    <w:rsid w:val="00301B78"/>
    <w:rsid w:val="00311032"/>
    <w:rsid w:val="00311A0E"/>
    <w:rsid w:val="00315197"/>
    <w:rsid w:val="0031575F"/>
    <w:rsid w:val="00315863"/>
    <w:rsid w:val="00315AA1"/>
    <w:rsid w:val="00316831"/>
    <w:rsid w:val="00320B0D"/>
    <w:rsid w:val="0032153B"/>
    <w:rsid w:val="00321A4C"/>
    <w:rsid w:val="00321F4F"/>
    <w:rsid w:val="00324FD1"/>
    <w:rsid w:val="003268B1"/>
    <w:rsid w:val="00326B15"/>
    <w:rsid w:val="0032792B"/>
    <w:rsid w:val="0033074A"/>
    <w:rsid w:val="00333172"/>
    <w:rsid w:val="00333D2A"/>
    <w:rsid w:val="00333F56"/>
    <w:rsid w:val="003354E8"/>
    <w:rsid w:val="003364B7"/>
    <w:rsid w:val="00336D26"/>
    <w:rsid w:val="00337E64"/>
    <w:rsid w:val="00340A93"/>
    <w:rsid w:val="00341209"/>
    <w:rsid w:val="00342343"/>
    <w:rsid w:val="00345E0B"/>
    <w:rsid w:val="0035037A"/>
    <w:rsid w:val="0035082B"/>
    <w:rsid w:val="00353A39"/>
    <w:rsid w:val="0035736C"/>
    <w:rsid w:val="003621F9"/>
    <w:rsid w:val="003631B0"/>
    <w:rsid w:val="00364732"/>
    <w:rsid w:val="00365029"/>
    <w:rsid w:val="00367C81"/>
    <w:rsid w:val="0037267B"/>
    <w:rsid w:val="003750A4"/>
    <w:rsid w:val="00375A5C"/>
    <w:rsid w:val="00377480"/>
    <w:rsid w:val="003832E4"/>
    <w:rsid w:val="0038415A"/>
    <w:rsid w:val="003872B8"/>
    <w:rsid w:val="00396331"/>
    <w:rsid w:val="003973DC"/>
    <w:rsid w:val="003A1C89"/>
    <w:rsid w:val="003A39DD"/>
    <w:rsid w:val="003A45B9"/>
    <w:rsid w:val="003B1F8E"/>
    <w:rsid w:val="003B39A3"/>
    <w:rsid w:val="003B4671"/>
    <w:rsid w:val="003C14D6"/>
    <w:rsid w:val="003C2F31"/>
    <w:rsid w:val="003C7A65"/>
    <w:rsid w:val="003D11A2"/>
    <w:rsid w:val="003D1BC7"/>
    <w:rsid w:val="003D2C6B"/>
    <w:rsid w:val="003D7573"/>
    <w:rsid w:val="003D7872"/>
    <w:rsid w:val="003E1468"/>
    <w:rsid w:val="003E2576"/>
    <w:rsid w:val="003E2D4E"/>
    <w:rsid w:val="003E3F0B"/>
    <w:rsid w:val="003F098E"/>
    <w:rsid w:val="003F243D"/>
    <w:rsid w:val="003F5522"/>
    <w:rsid w:val="003F6506"/>
    <w:rsid w:val="00401A1A"/>
    <w:rsid w:val="00402DFC"/>
    <w:rsid w:val="00406ED2"/>
    <w:rsid w:val="00407F81"/>
    <w:rsid w:val="004113A3"/>
    <w:rsid w:val="00412E8A"/>
    <w:rsid w:val="00413381"/>
    <w:rsid w:val="00420E48"/>
    <w:rsid w:val="00422ED4"/>
    <w:rsid w:val="0042301A"/>
    <w:rsid w:val="004265A8"/>
    <w:rsid w:val="00431647"/>
    <w:rsid w:val="004323C3"/>
    <w:rsid w:val="00434FB2"/>
    <w:rsid w:val="0043513D"/>
    <w:rsid w:val="00435CF6"/>
    <w:rsid w:val="00435FE0"/>
    <w:rsid w:val="00442DDC"/>
    <w:rsid w:val="00444216"/>
    <w:rsid w:val="004450C9"/>
    <w:rsid w:val="0044510D"/>
    <w:rsid w:val="00445E30"/>
    <w:rsid w:val="0044665C"/>
    <w:rsid w:val="004514B3"/>
    <w:rsid w:val="00451CEB"/>
    <w:rsid w:val="00451CF9"/>
    <w:rsid w:val="00452F9B"/>
    <w:rsid w:val="004540BB"/>
    <w:rsid w:val="0045757A"/>
    <w:rsid w:val="004615BF"/>
    <w:rsid w:val="00464D73"/>
    <w:rsid w:val="00465E8C"/>
    <w:rsid w:val="00466DB6"/>
    <w:rsid w:val="0047426A"/>
    <w:rsid w:val="00475837"/>
    <w:rsid w:val="00475B81"/>
    <w:rsid w:val="0048333C"/>
    <w:rsid w:val="00483EA1"/>
    <w:rsid w:val="004920A9"/>
    <w:rsid w:val="0049311F"/>
    <w:rsid w:val="004942A6"/>
    <w:rsid w:val="004950B8"/>
    <w:rsid w:val="0049514D"/>
    <w:rsid w:val="00496B6E"/>
    <w:rsid w:val="00496D00"/>
    <w:rsid w:val="004A1FD1"/>
    <w:rsid w:val="004A34BA"/>
    <w:rsid w:val="004A50B5"/>
    <w:rsid w:val="004A58C9"/>
    <w:rsid w:val="004A6009"/>
    <w:rsid w:val="004A680D"/>
    <w:rsid w:val="004A7D35"/>
    <w:rsid w:val="004B29C7"/>
    <w:rsid w:val="004B5226"/>
    <w:rsid w:val="004B5FB6"/>
    <w:rsid w:val="004B79A5"/>
    <w:rsid w:val="004C3466"/>
    <w:rsid w:val="004C350B"/>
    <w:rsid w:val="004C549E"/>
    <w:rsid w:val="004C60A7"/>
    <w:rsid w:val="004C7DE7"/>
    <w:rsid w:val="004D1DAA"/>
    <w:rsid w:val="004D22B3"/>
    <w:rsid w:val="004D4F17"/>
    <w:rsid w:val="004D69B0"/>
    <w:rsid w:val="004D7AB9"/>
    <w:rsid w:val="004E080A"/>
    <w:rsid w:val="004E0F1D"/>
    <w:rsid w:val="004E2793"/>
    <w:rsid w:val="004E39B6"/>
    <w:rsid w:val="004E46D9"/>
    <w:rsid w:val="004E4ED4"/>
    <w:rsid w:val="004E5D49"/>
    <w:rsid w:val="004F12B5"/>
    <w:rsid w:val="004F3E91"/>
    <w:rsid w:val="004F51DA"/>
    <w:rsid w:val="004F6EF0"/>
    <w:rsid w:val="005006C4"/>
    <w:rsid w:val="00501AD7"/>
    <w:rsid w:val="00503CD1"/>
    <w:rsid w:val="00504523"/>
    <w:rsid w:val="005065CA"/>
    <w:rsid w:val="00506F18"/>
    <w:rsid w:val="0051369F"/>
    <w:rsid w:val="0051670C"/>
    <w:rsid w:val="0052116A"/>
    <w:rsid w:val="005233D2"/>
    <w:rsid w:val="00523EC1"/>
    <w:rsid w:val="0052499F"/>
    <w:rsid w:val="00524C9D"/>
    <w:rsid w:val="00525BAD"/>
    <w:rsid w:val="00526565"/>
    <w:rsid w:val="00527124"/>
    <w:rsid w:val="00527FF1"/>
    <w:rsid w:val="005328A6"/>
    <w:rsid w:val="00535FE2"/>
    <w:rsid w:val="00537468"/>
    <w:rsid w:val="005374C8"/>
    <w:rsid w:val="00537E1D"/>
    <w:rsid w:val="00542A08"/>
    <w:rsid w:val="00546B5B"/>
    <w:rsid w:val="0055165F"/>
    <w:rsid w:val="00553866"/>
    <w:rsid w:val="00553E04"/>
    <w:rsid w:val="005556E9"/>
    <w:rsid w:val="00561241"/>
    <w:rsid w:val="005625A1"/>
    <w:rsid w:val="00567279"/>
    <w:rsid w:val="0056729D"/>
    <w:rsid w:val="005675BA"/>
    <w:rsid w:val="005709BC"/>
    <w:rsid w:val="00571181"/>
    <w:rsid w:val="005738C7"/>
    <w:rsid w:val="00574228"/>
    <w:rsid w:val="00577E8E"/>
    <w:rsid w:val="0058487F"/>
    <w:rsid w:val="00584E4E"/>
    <w:rsid w:val="005854A5"/>
    <w:rsid w:val="00590EE9"/>
    <w:rsid w:val="00590F21"/>
    <w:rsid w:val="005922AB"/>
    <w:rsid w:val="005923F5"/>
    <w:rsid w:val="00594129"/>
    <w:rsid w:val="00594C7F"/>
    <w:rsid w:val="005A1B2D"/>
    <w:rsid w:val="005A221F"/>
    <w:rsid w:val="005A227B"/>
    <w:rsid w:val="005A4D8D"/>
    <w:rsid w:val="005A4EEF"/>
    <w:rsid w:val="005B11A8"/>
    <w:rsid w:val="005B15F6"/>
    <w:rsid w:val="005B3A7F"/>
    <w:rsid w:val="005B4013"/>
    <w:rsid w:val="005B637B"/>
    <w:rsid w:val="005B68BA"/>
    <w:rsid w:val="005D3256"/>
    <w:rsid w:val="005D40D3"/>
    <w:rsid w:val="005E0742"/>
    <w:rsid w:val="005E1524"/>
    <w:rsid w:val="005E5BD6"/>
    <w:rsid w:val="005F0134"/>
    <w:rsid w:val="005F156A"/>
    <w:rsid w:val="005F181C"/>
    <w:rsid w:val="005F51A9"/>
    <w:rsid w:val="005F54D0"/>
    <w:rsid w:val="005F5914"/>
    <w:rsid w:val="005F7055"/>
    <w:rsid w:val="005F7CED"/>
    <w:rsid w:val="006007FF"/>
    <w:rsid w:val="0060093B"/>
    <w:rsid w:val="00601A2D"/>
    <w:rsid w:val="00601D16"/>
    <w:rsid w:val="00602A09"/>
    <w:rsid w:val="00603C8D"/>
    <w:rsid w:val="00603D58"/>
    <w:rsid w:val="00604FBA"/>
    <w:rsid w:val="00607638"/>
    <w:rsid w:val="00607D46"/>
    <w:rsid w:val="00610440"/>
    <w:rsid w:val="00610D7C"/>
    <w:rsid w:val="00611058"/>
    <w:rsid w:val="00612494"/>
    <w:rsid w:val="00612C13"/>
    <w:rsid w:val="00612D39"/>
    <w:rsid w:val="00614450"/>
    <w:rsid w:val="00620FC2"/>
    <w:rsid w:val="00624497"/>
    <w:rsid w:val="00632D5D"/>
    <w:rsid w:val="00634B7E"/>
    <w:rsid w:val="006354BD"/>
    <w:rsid w:val="00637914"/>
    <w:rsid w:val="00637BD7"/>
    <w:rsid w:val="00641DE0"/>
    <w:rsid w:val="00642D15"/>
    <w:rsid w:val="006436AF"/>
    <w:rsid w:val="00646A9E"/>
    <w:rsid w:val="0064752F"/>
    <w:rsid w:val="00651688"/>
    <w:rsid w:val="006517AE"/>
    <w:rsid w:val="00653846"/>
    <w:rsid w:val="006576E4"/>
    <w:rsid w:val="00663647"/>
    <w:rsid w:val="00665F54"/>
    <w:rsid w:val="006707A6"/>
    <w:rsid w:val="00674FBD"/>
    <w:rsid w:val="00675F59"/>
    <w:rsid w:val="006766CA"/>
    <w:rsid w:val="006808A3"/>
    <w:rsid w:val="00680F63"/>
    <w:rsid w:val="00682805"/>
    <w:rsid w:val="006834AB"/>
    <w:rsid w:val="006912F1"/>
    <w:rsid w:val="00692056"/>
    <w:rsid w:val="00692BB5"/>
    <w:rsid w:val="00695110"/>
    <w:rsid w:val="0069656D"/>
    <w:rsid w:val="00696AD5"/>
    <w:rsid w:val="00696F7F"/>
    <w:rsid w:val="006975E9"/>
    <w:rsid w:val="006A001E"/>
    <w:rsid w:val="006A0366"/>
    <w:rsid w:val="006A3C15"/>
    <w:rsid w:val="006A6D3B"/>
    <w:rsid w:val="006A7CB4"/>
    <w:rsid w:val="006B2205"/>
    <w:rsid w:val="006B24D9"/>
    <w:rsid w:val="006B36AB"/>
    <w:rsid w:val="006C0199"/>
    <w:rsid w:val="006C09D6"/>
    <w:rsid w:val="006C2914"/>
    <w:rsid w:val="006C2C0F"/>
    <w:rsid w:val="006C4FE2"/>
    <w:rsid w:val="006C51F9"/>
    <w:rsid w:val="006C722B"/>
    <w:rsid w:val="006C7997"/>
    <w:rsid w:val="006C7AAB"/>
    <w:rsid w:val="006D1CE7"/>
    <w:rsid w:val="006D36C7"/>
    <w:rsid w:val="006D47AC"/>
    <w:rsid w:val="006D7828"/>
    <w:rsid w:val="006D7A7C"/>
    <w:rsid w:val="006E1128"/>
    <w:rsid w:val="006E12C1"/>
    <w:rsid w:val="006E3C9E"/>
    <w:rsid w:val="006F0745"/>
    <w:rsid w:val="006F47BC"/>
    <w:rsid w:val="006F49C5"/>
    <w:rsid w:val="00702F24"/>
    <w:rsid w:val="00702F37"/>
    <w:rsid w:val="007108A6"/>
    <w:rsid w:val="0071355C"/>
    <w:rsid w:val="00720E73"/>
    <w:rsid w:val="00722822"/>
    <w:rsid w:val="00725994"/>
    <w:rsid w:val="00725C31"/>
    <w:rsid w:val="007260A1"/>
    <w:rsid w:val="0073016D"/>
    <w:rsid w:val="007312AA"/>
    <w:rsid w:val="00732DA4"/>
    <w:rsid w:val="00736210"/>
    <w:rsid w:val="00737FDF"/>
    <w:rsid w:val="00740499"/>
    <w:rsid w:val="0074162E"/>
    <w:rsid w:val="007416F0"/>
    <w:rsid w:val="00742186"/>
    <w:rsid w:val="0074501B"/>
    <w:rsid w:val="00751C28"/>
    <w:rsid w:val="0075225D"/>
    <w:rsid w:val="00760E97"/>
    <w:rsid w:val="007701CE"/>
    <w:rsid w:val="00771142"/>
    <w:rsid w:val="007722C9"/>
    <w:rsid w:val="00774EC9"/>
    <w:rsid w:val="00777C37"/>
    <w:rsid w:val="00780119"/>
    <w:rsid w:val="007815C0"/>
    <w:rsid w:val="00784CA0"/>
    <w:rsid w:val="007908DF"/>
    <w:rsid w:val="00793A46"/>
    <w:rsid w:val="00793C16"/>
    <w:rsid w:val="0079618C"/>
    <w:rsid w:val="007A2416"/>
    <w:rsid w:val="007A555B"/>
    <w:rsid w:val="007A7DF1"/>
    <w:rsid w:val="007B38C8"/>
    <w:rsid w:val="007B4E7D"/>
    <w:rsid w:val="007C2747"/>
    <w:rsid w:val="007C3EEF"/>
    <w:rsid w:val="007D28A4"/>
    <w:rsid w:val="007D2CFC"/>
    <w:rsid w:val="007D37AF"/>
    <w:rsid w:val="007D4D02"/>
    <w:rsid w:val="007D56F4"/>
    <w:rsid w:val="007D6A38"/>
    <w:rsid w:val="007D6B6B"/>
    <w:rsid w:val="007E4F7D"/>
    <w:rsid w:val="007E5E17"/>
    <w:rsid w:val="007E639A"/>
    <w:rsid w:val="007F1A4F"/>
    <w:rsid w:val="007F2A85"/>
    <w:rsid w:val="007F6B68"/>
    <w:rsid w:val="007F6CEC"/>
    <w:rsid w:val="008000A0"/>
    <w:rsid w:val="00803531"/>
    <w:rsid w:val="008047FB"/>
    <w:rsid w:val="008060A7"/>
    <w:rsid w:val="0080664F"/>
    <w:rsid w:val="008110E1"/>
    <w:rsid w:val="00811894"/>
    <w:rsid w:val="00813133"/>
    <w:rsid w:val="00816D53"/>
    <w:rsid w:val="00817E32"/>
    <w:rsid w:val="00825A8D"/>
    <w:rsid w:val="00830F3E"/>
    <w:rsid w:val="00831E1D"/>
    <w:rsid w:val="008357C3"/>
    <w:rsid w:val="00835F97"/>
    <w:rsid w:val="008407A2"/>
    <w:rsid w:val="00841655"/>
    <w:rsid w:val="00847C09"/>
    <w:rsid w:val="00851553"/>
    <w:rsid w:val="00852174"/>
    <w:rsid w:val="00854EDB"/>
    <w:rsid w:val="00855450"/>
    <w:rsid w:val="00855B8C"/>
    <w:rsid w:val="00855EC6"/>
    <w:rsid w:val="00857DB5"/>
    <w:rsid w:val="00861080"/>
    <w:rsid w:val="008613F0"/>
    <w:rsid w:val="008620A5"/>
    <w:rsid w:val="008634A7"/>
    <w:rsid w:val="00865721"/>
    <w:rsid w:val="008663AA"/>
    <w:rsid w:val="00870725"/>
    <w:rsid w:val="0087785B"/>
    <w:rsid w:val="00880358"/>
    <w:rsid w:val="00881CFD"/>
    <w:rsid w:val="00882AD1"/>
    <w:rsid w:val="008868E0"/>
    <w:rsid w:val="00886BFC"/>
    <w:rsid w:val="00892C52"/>
    <w:rsid w:val="008A08EC"/>
    <w:rsid w:val="008A1AE0"/>
    <w:rsid w:val="008A2885"/>
    <w:rsid w:val="008A2F90"/>
    <w:rsid w:val="008A5D28"/>
    <w:rsid w:val="008A6DC5"/>
    <w:rsid w:val="008A6FE8"/>
    <w:rsid w:val="008A702F"/>
    <w:rsid w:val="008B012B"/>
    <w:rsid w:val="008B0BC8"/>
    <w:rsid w:val="008B5F23"/>
    <w:rsid w:val="008B6F7A"/>
    <w:rsid w:val="008C29FB"/>
    <w:rsid w:val="008C2D6D"/>
    <w:rsid w:val="008C432A"/>
    <w:rsid w:val="008C476B"/>
    <w:rsid w:val="008C4835"/>
    <w:rsid w:val="008C5F5F"/>
    <w:rsid w:val="008D0834"/>
    <w:rsid w:val="008D168E"/>
    <w:rsid w:val="008D2012"/>
    <w:rsid w:val="008D6199"/>
    <w:rsid w:val="008E0897"/>
    <w:rsid w:val="008E16E1"/>
    <w:rsid w:val="008E1DA1"/>
    <w:rsid w:val="008E31D4"/>
    <w:rsid w:val="008E4291"/>
    <w:rsid w:val="008E4FB2"/>
    <w:rsid w:val="008E74F0"/>
    <w:rsid w:val="008F204B"/>
    <w:rsid w:val="008F460C"/>
    <w:rsid w:val="008F78E3"/>
    <w:rsid w:val="00900545"/>
    <w:rsid w:val="00900872"/>
    <w:rsid w:val="00900C7E"/>
    <w:rsid w:val="00901EE9"/>
    <w:rsid w:val="0090245E"/>
    <w:rsid w:val="00902D8D"/>
    <w:rsid w:val="00903362"/>
    <w:rsid w:val="00903DE1"/>
    <w:rsid w:val="00905A44"/>
    <w:rsid w:val="00905AA4"/>
    <w:rsid w:val="009068DB"/>
    <w:rsid w:val="0091015B"/>
    <w:rsid w:val="00910871"/>
    <w:rsid w:val="00912230"/>
    <w:rsid w:val="00912BCE"/>
    <w:rsid w:val="00912D73"/>
    <w:rsid w:val="00912E58"/>
    <w:rsid w:val="009146B2"/>
    <w:rsid w:val="00916A28"/>
    <w:rsid w:val="00917870"/>
    <w:rsid w:val="009216D5"/>
    <w:rsid w:val="00922083"/>
    <w:rsid w:val="00924163"/>
    <w:rsid w:val="00931343"/>
    <w:rsid w:val="0093275E"/>
    <w:rsid w:val="00933F31"/>
    <w:rsid w:val="00935EA7"/>
    <w:rsid w:val="00936E63"/>
    <w:rsid w:val="00940655"/>
    <w:rsid w:val="00940EB9"/>
    <w:rsid w:val="0094185B"/>
    <w:rsid w:val="00941B30"/>
    <w:rsid w:val="0094391C"/>
    <w:rsid w:val="009462F2"/>
    <w:rsid w:val="00951656"/>
    <w:rsid w:val="00955409"/>
    <w:rsid w:val="009564FF"/>
    <w:rsid w:val="00957CF5"/>
    <w:rsid w:val="0096123B"/>
    <w:rsid w:val="00963B08"/>
    <w:rsid w:val="009665D7"/>
    <w:rsid w:val="00966B2D"/>
    <w:rsid w:val="00967899"/>
    <w:rsid w:val="00967C97"/>
    <w:rsid w:val="009740F7"/>
    <w:rsid w:val="009752C1"/>
    <w:rsid w:val="009804E1"/>
    <w:rsid w:val="0098093D"/>
    <w:rsid w:val="009814BF"/>
    <w:rsid w:val="009818C0"/>
    <w:rsid w:val="009818D4"/>
    <w:rsid w:val="00983E2F"/>
    <w:rsid w:val="0098416E"/>
    <w:rsid w:val="009860FD"/>
    <w:rsid w:val="00986C0E"/>
    <w:rsid w:val="0099204C"/>
    <w:rsid w:val="009934F3"/>
    <w:rsid w:val="009939BB"/>
    <w:rsid w:val="00993DFC"/>
    <w:rsid w:val="00995DA4"/>
    <w:rsid w:val="00997738"/>
    <w:rsid w:val="009A2017"/>
    <w:rsid w:val="009A2197"/>
    <w:rsid w:val="009A4B67"/>
    <w:rsid w:val="009A567D"/>
    <w:rsid w:val="009A77C0"/>
    <w:rsid w:val="009B33B0"/>
    <w:rsid w:val="009B4DB1"/>
    <w:rsid w:val="009B5888"/>
    <w:rsid w:val="009B6706"/>
    <w:rsid w:val="009C1C5D"/>
    <w:rsid w:val="009C1F1C"/>
    <w:rsid w:val="009C2245"/>
    <w:rsid w:val="009C4BB7"/>
    <w:rsid w:val="009C5128"/>
    <w:rsid w:val="009C61E4"/>
    <w:rsid w:val="009C703A"/>
    <w:rsid w:val="009C7A87"/>
    <w:rsid w:val="009D0AC4"/>
    <w:rsid w:val="009D43FC"/>
    <w:rsid w:val="009D59EB"/>
    <w:rsid w:val="009D61B2"/>
    <w:rsid w:val="009D62E0"/>
    <w:rsid w:val="009D69EB"/>
    <w:rsid w:val="009D759D"/>
    <w:rsid w:val="009E126D"/>
    <w:rsid w:val="009E6D38"/>
    <w:rsid w:val="009E7914"/>
    <w:rsid w:val="009F004F"/>
    <w:rsid w:val="009F0B32"/>
    <w:rsid w:val="009F5A83"/>
    <w:rsid w:val="009F5D4E"/>
    <w:rsid w:val="00A03C04"/>
    <w:rsid w:val="00A0457E"/>
    <w:rsid w:val="00A26113"/>
    <w:rsid w:val="00A272C5"/>
    <w:rsid w:val="00A27564"/>
    <w:rsid w:val="00A310BA"/>
    <w:rsid w:val="00A34768"/>
    <w:rsid w:val="00A35233"/>
    <w:rsid w:val="00A35372"/>
    <w:rsid w:val="00A37AE3"/>
    <w:rsid w:val="00A401FB"/>
    <w:rsid w:val="00A42DB0"/>
    <w:rsid w:val="00A42EE3"/>
    <w:rsid w:val="00A44895"/>
    <w:rsid w:val="00A451EF"/>
    <w:rsid w:val="00A478D0"/>
    <w:rsid w:val="00A517CD"/>
    <w:rsid w:val="00A5315B"/>
    <w:rsid w:val="00A540C0"/>
    <w:rsid w:val="00A54D22"/>
    <w:rsid w:val="00A55685"/>
    <w:rsid w:val="00A571A7"/>
    <w:rsid w:val="00A57D5C"/>
    <w:rsid w:val="00A615DC"/>
    <w:rsid w:val="00A62F96"/>
    <w:rsid w:val="00A63219"/>
    <w:rsid w:val="00A63362"/>
    <w:rsid w:val="00A63755"/>
    <w:rsid w:val="00A665B7"/>
    <w:rsid w:val="00A67D13"/>
    <w:rsid w:val="00A70CE9"/>
    <w:rsid w:val="00A72281"/>
    <w:rsid w:val="00A73612"/>
    <w:rsid w:val="00A741F1"/>
    <w:rsid w:val="00A77290"/>
    <w:rsid w:val="00A77651"/>
    <w:rsid w:val="00A778E1"/>
    <w:rsid w:val="00A8287F"/>
    <w:rsid w:val="00A8369C"/>
    <w:rsid w:val="00A83CF8"/>
    <w:rsid w:val="00A84A80"/>
    <w:rsid w:val="00A906E7"/>
    <w:rsid w:val="00A90EE0"/>
    <w:rsid w:val="00A90F13"/>
    <w:rsid w:val="00A93057"/>
    <w:rsid w:val="00A939DF"/>
    <w:rsid w:val="00A94671"/>
    <w:rsid w:val="00A9548D"/>
    <w:rsid w:val="00AA271D"/>
    <w:rsid w:val="00AA5AEC"/>
    <w:rsid w:val="00AA6DF1"/>
    <w:rsid w:val="00AA6E2B"/>
    <w:rsid w:val="00AB29AB"/>
    <w:rsid w:val="00AB2B66"/>
    <w:rsid w:val="00AB5433"/>
    <w:rsid w:val="00AB7811"/>
    <w:rsid w:val="00AC28FA"/>
    <w:rsid w:val="00AC2A89"/>
    <w:rsid w:val="00AC739F"/>
    <w:rsid w:val="00AC79DF"/>
    <w:rsid w:val="00AD1709"/>
    <w:rsid w:val="00AD4478"/>
    <w:rsid w:val="00AD522F"/>
    <w:rsid w:val="00AD6AA3"/>
    <w:rsid w:val="00AD7648"/>
    <w:rsid w:val="00AE3179"/>
    <w:rsid w:val="00AE65F0"/>
    <w:rsid w:val="00AF083D"/>
    <w:rsid w:val="00AF0EEF"/>
    <w:rsid w:val="00AF1609"/>
    <w:rsid w:val="00AF195A"/>
    <w:rsid w:val="00AF1B8A"/>
    <w:rsid w:val="00AF39B8"/>
    <w:rsid w:val="00AF4E63"/>
    <w:rsid w:val="00B017EF"/>
    <w:rsid w:val="00B038EC"/>
    <w:rsid w:val="00B03D2D"/>
    <w:rsid w:val="00B06493"/>
    <w:rsid w:val="00B11E82"/>
    <w:rsid w:val="00B153DA"/>
    <w:rsid w:val="00B16FF6"/>
    <w:rsid w:val="00B17F01"/>
    <w:rsid w:val="00B215AB"/>
    <w:rsid w:val="00B21E0D"/>
    <w:rsid w:val="00B22488"/>
    <w:rsid w:val="00B2292F"/>
    <w:rsid w:val="00B22D74"/>
    <w:rsid w:val="00B25569"/>
    <w:rsid w:val="00B26895"/>
    <w:rsid w:val="00B34626"/>
    <w:rsid w:val="00B34E78"/>
    <w:rsid w:val="00B3509D"/>
    <w:rsid w:val="00B355D8"/>
    <w:rsid w:val="00B3656A"/>
    <w:rsid w:val="00B40E61"/>
    <w:rsid w:val="00B45162"/>
    <w:rsid w:val="00B45CCA"/>
    <w:rsid w:val="00B474D0"/>
    <w:rsid w:val="00B476F8"/>
    <w:rsid w:val="00B47789"/>
    <w:rsid w:val="00B528D4"/>
    <w:rsid w:val="00B52C0B"/>
    <w:rsid w:val="00B53981"/>
    <w:rsid w:val="00B563EB"/>
    <w:rsid w:val="00B57D8E"/>
    <w:rsid w:val="00B6349C"/>
    <w:rsid w:val="00B71206"/>
    <w:rsid w:val="00B72A12"/>
    <w:rsid w:val="00B74316"/>
    <w:rsid w:val="00B74393"/>
    <w:rsid w:val="00B74B90"/>
    <w:rsid w:val="00B75D51"/>
    <w:rsid w:val="00B75E0B"/>
    <w:rsid w:val="00B8601B"/>
    <w:rsid w:val="00B91CA4"/>
    <w:rsid w:val="00B934E6"/>
    <w:rsid w:val="00B96630"/>
    <w:rsid w:val="00B96AAF"/>
    <w:rsid w:val="00BA255A"/>
    <w:rsid w:val="00BA4468"/>
    <w:rsid w:val="00BA554B"/>
    <w:rsid w:val="00BA5965"/>
    <w:rsid w:val="00BA5B0F"/>
    <w:rsid w:val="00BB0EF2"/>
    <w:rsid w:val="00BB2668"/>
    <w:rsid w:val="00BB2F9E"/>
    <w:rsid w:val="00BB3CBD"/>
    <w:rsid w:val="00BB69BF"/>
    <w:rsid w:val="00BB7672"/>
    <w:rsid w:val="00BC02CC"/>
    <w:rsid w:val="00BC205B"/>
    <w:rsid w:val="00BC2C61"/>
    <w:rsid w:val="00BC36E0"/>
    <w:rsid w:val="00BC3FC3"/>
    <w:rsid w:val="00BC7926"/>
    <w:rsid w:val="00BD1080"/>
    <w:rsid w:val="00BD3100"/>
    <w:rsid w:val="00BD62F7"/>
    <w:rsid w:val="00BD6A47"/>
    <w:rsid w:val="00BE0CE7"/>
    <w:rsid w:val="00BE4746"/>
    <w:rsid w:val="00BF43CF"/>
    <w:rsid w:val="00BF45CB"/>
    <w:rsid w:val="00BF4BB0"/>
    <w:rsid w:val="00BF63B7"/>
    <w:rsid w:val="00C0043C"/>
    <w:rsid w:val="00C02C48"/>
    <w:rsid w:val="00C04E08"/>
    <w:rsid w:val="00C05955"/>
    <w:rsid w:val="00C0639A"/>
    <w:rsid w:val="00C2048F"/>
    <w:rsid w:val="00C2292D"/>
    <w:rsid w:val="00C239CA"/>
    <w:rsid w:val="00C23D0A"/>
    <w:rsid w:val="00C31C36"/>
    <w:rsid w:val="00C31D0E"/>
    <w:rsid w:val="00C362F7"/>
    <w:rsid w:val="00C40220"/>
    <w:rsid w:val="00C423B3"/>
    <w:rsid w:val="00C42BBD"/>
    <w:rsid w:val="00C44059"/>
    <w:rsid w:val="00C4549B"/>
    <w:rsid w:val="00C47E79"/>
    <w:rsid w:val="00C50E3D"/>
    <w:rsid w:val="00C531AA"/>
    <w:rsid w:val="00C532E0"/>
    <w:rsid w:val="00C53B8E"/>
    <w:rsid w:val="00C546B6"/>
    <w:rsid w:val="00C54F36"/>
    <w:rsid w:val="00C5686B"/>
    <w:rsid w:val="00C631D8"/>
    <w:rsid w:val="00C63660"/>
    <w:rsid w:val="00C66077"/>
    <w:rsid w:val="00C67310"/>
    <w:rsid w:val="00C7184C"/>
    <w:rsid w:val="00C7416E"/>
    <w:rsid w:val="00C81039"/>
    <w:rsid w:val="00C82A26"/>
    <w:rsid w:val="00C82AC7"/>
    <w:rsid w:val="00C8542C"/>
    <w:rsid w:val="00C865B1"/>
    <w:rsid w:val="00C8742C"/>
    <w:rsid w:val="00C8774A"/>
    <w:rsid w:val="00C919C1"/>
    <w:rsid w:val="00C91CC1"/>
    <w:rsid w:val="00C92627"/>
    <w:rsid w:val="00C93674"/>
    <w:rsid w:val="00C94F4E"/>
    <w:rsid w:val="00C96736"/>
    <w:rsid w:val="00C96B8D"/>
    <w:rsid w:val="00CA13AC"/>
    <w:rsid w:val="00CA1F0D"/>
    <w:rsid w:val="00CA3544"/>
    <w:rsid w:val="00CA5E7D"/>
    <w:rsid w:val="00CA6E29"/>
    <w:rsid w:val="00CA6FBE"/>
    <w:rsid w:val="00CA7EB2"/>
    <w:rsid w:val="00CB119F"/>
    <w:rsid w:val="00CB428F"/>
    <w:rsid w:val="00CB462D"/>
    <w:rsid w:val="00CB56D6"/>
    <w:rsid w:val="00CB59CF"/>
    <w:rsid w:val="00CB694C"/>
    <w:rsid w:val="00CB6A55"/>
    <w:rsid w:val="00CB7949"/>
    <w:rsid w:val="00CC0626"/>
    <w:rsid w:val="00CC1C5B"/>
    <w:rsid w:val="00CC28AB"/>
    <w:rsid w:val="00CC5448"/>
    <w:rsid w:val="00CC6557"/>
    <w:rsid w:val="00CD0395"/>
    <w:rsid w:val="00CD1214"/>
    <w:rsid w:val="00CD298E"/>
    <w:rsid w:val="00CD3B22"/>
    <w:rsid w:val="00CD561D"/>
    <w:rsid w:val="00CD62A6"/>
    <w:rsid w:val="00CE6343"/>
    <w:rsid w:val="00CE7829"/>
    <w:rsid w:val="00CF0525"/>
    <w:rsid w:val="00CF3093"/>
    <w:rsid w:val="00CF482F"/>
    <w:rsid w:val="00CF5D22"/>
    <w:rsid w:val="00D04F16"/>
    <w:rsid w:val="00D06E16"/>
    <w:rsid w:val="00D07466"/>
    <w:rsid w:val="00D10C39"/>
    <w:rsid w:val="00D11DC6"/>
    <w:rsid w:val="00D137E3"/>
    <w:rsid w:val="00D144F7"/>
    <w:rsid w:val="00D14A9E"/>
    <w:rsid w:val="00D15377"/>
    <w:rsid w:val="00D15C28"/>
    <w:rsid w:val="00D16CCA"/>
    <w:rsid w:val="00D17B3F"/>
    <w:rsid w:val="00D204DF"/>
    <w:rsid w:val="00D20AA8"/>
    <w:rsid w:val="00D21664"/>
    <w:rsid w:val="00D2233C"/>
    <w:rsid w:val="00D2514D"/>
    <w:rsid w:val="00D27717"/>
    <w:rsid w:val="00D305E4"/>
    <w:rsid w:val="00D34662"/>
    <w:rsid w:val="00D362CA"/>
    <w:rsid w:val="00D3653A"/>
    <w:rsid w:val="00D3736C"/>
    <w:rsid w:val="00D37800"/>
    <w:rsid w:val="00D37ACC"/>
    <w:rsid w:val="00D4129F"/>
    <w:rsid w:val="00D436D3"/>
    <w:rsid w:val="00D46AD2"/>
    <w:rsid w:val="00D477CE"/>
    <w:rsid w:val="00D5055F"/>
    <w:rsid w:val="00D516FD"/>
    <w:rsid w:val="00D5699D"/>
    <w:rsid w:val="00D62291"/>
    <w:rsid w:val="00D6321D"/>
    <w:rsid w:val="00D704EB"/>
    <w:rsid w:val="00D70C66"/>
    <w:rsid w:val="00D71853"/>
    <w:rsid w:val="00D71E4B"/>
    <w:rsid w:val="00D74E12"/>
    <w:rsid w:val="00D803DC"/>
    <w:rsid w:val="00D80987"/>
    <w:rsid w:val="00D86DCD"/>
    <w:rsid w:val="00D87394"/>
    <w:rsid w:val="00D92781"/>
    <w:rsid w:val="00D92983"/>
    <w:rsid w:val="00D931AD"/>
    <w:rsid w:val="00D9608B"/>
    <w:rsid w:val="00DA0492"/>
    <w:rsid w:val="00DA1898"/>
    <w:rsid w:val="00DA2E9D"/>
    <w:rsid w:val="00DA3E60"/>
    <w:rsid w:val="00DA4BBC"/>
    <w:rsid w:val="00DA5FA3"/>
    <w:rsid w:val="00DA6B01"/>
    <w:rsid w:val="00DA7BB6"/>
    <w:rsid w:val="00DB02EB"/>
    <w:rsid w:val="00DB0C60"/>
    <w:rsid w:val="00DB3136"/>
    <w:rsid w:val="00DB6CAD"/>
    <w:rsid w:val="00DC14DE"/>
    <w:rsid w:val="00DC6B14"/>
    <w:rsid w:val="00DC6E91"/>
    <w:rsid w:val="00DC72CB"/>
    <w:rsid w:val="00DC7742"/>
    <w:rsid w:val="00DC77E0"/>
    <w:rsid w:val="00DD0CB3"/>
    <w:rsid w:val="00DD2DF0"/>
    <w:rsid w:val="00DD6CF6"/>
    <w:rsid w:val="00DE105C"/>
    <w:rsid w:val="00DE1F75"/>
    <w:rsid w:val="00DE3307"/>
    <w:rsid w:val="00DE4A23"/>
    <w:rsid w:val="00DE53C7"/>
    <w:rsid w:val="00DE7C5D"/>
    <w:rsid w:val="00DF02BE"/>
    <w:rsid w:val="00DF0753"/>
    <w:rsid w:val="00DF5B35"/>
    <w:rsid w:val="00DF5F79"/>
    <w:rsid w:val="00DF671F"/>
    <w:rsid w:val="00E02926"/>
    <w:rsid w:val="00E03EFC"/>
    <w:rsid w:val="00E07D87"/>
    <w:rsid w:val="00E11B06"/>
    <w:rsid w:val="00E11CD4"/>
    <w:rsid w:val="00E123E5"/>
    <w:rsid w:val="00E1477A"/>
    <w:rsid w:val="00E15071"/>
    <w:rsid w:val="00E20FF2"/>
    <w:rsid w:val="00E21F06"/>
    <w:rsid w:val="00E25594"/>
    <w:rsid w:val="00E27515"/>
    <w:rsid w:val="00E31C6F"/>
    <w:rsid w:val="00E34489"/>
    <w:rsid w:val="00E41F9B"/>
    <w:rsid w:val="00E42BC5"/>
    <w:rsid w:val="00E46FA8"/>
    <w:rsid w:val="00E508CC"/>
    <w:rsid w:val="00E53B4F"/>
    <w:rsid w:val="00E54585"/>
    <w:rsid w:val="00E572B1"/>
    <w:rsid w:val="00E643B8"/>
    <w:rsid w:val="00E6542D"/>
    <w:rsid w:val="00E66114"/>
    <w:rsid w:val="00E67192"/>
    <w:rsid w:val="00E67300"/>
    <w:rsid w:val="00E67895"/>
    <w:rsid w:val="00E70072"/>
    <w:rsid w:val="00E7243B"/>
    <w:rsid w:val="00E73721"/>
    <w:rsid w:val="00E75F6D"/>
    <w:rsid w:val="00E77377"/>
    <w:rsid w:val="00E77F8F"/>
    <w:rsid w:val="00E85659"/>
    <w:rsid w:val="00E918B1"/>
    <w:rsid w:val="00E95E62"/>
    <w:rsid w:val="00E96B30"/>
    <w:rsid w:val="00EA09BB"/>
    <w:rsid w:val="00EA3727"/>
    <w:rsid w:val="00EA380E"/>
    <w:rsid w:val="00EA4B4D"/>
    <w:rsid w:val="00EA5DBB"/>
    <w:rsid w:val="00EA6AD6"/>
    <w:rsid w:val="00EB0764"/>
    <w:rsid w:val="00EB35D1"/>
    <w:rsid w:val="00EB367F"/>
    <w:rsid w:val="00EB49B9"/>
    <w:rsid w:val="00EB7A90"/>
    <w:rsid w:val="00EC0500"/>
    <w:rsid w:val="00EC09E6"/>
    <w:rsid w:val="00EC3D74"/>
    <w:rsid w:val="00ED3AA9"/>
    <w:rsid w:val="00ED747A"/>
    <w:rsid w:val="00EE4078"/>
    <w:rsid w:val="00EF1D50"/>
    <w:rsid w:val="00EF3CBE"/>
    <w:rsid w:val="00EF3FBC"/>
    <w:rsid w:val="00EF5937"/>
    <w:rsid w:val="00EF6346"/>
    <w:rsid w:val="00EF6787"/>
    <w:rsid w:val="00EF6E9A"/>
    <w:rsid w:val="00F01BBC"/>
    <w:rsid w:val="00F02EA7"/>
    <w:rsid w:val="00F04C2A"/>
    <w:rsid w:val="00F05BDF"/>
    <w:rsid w:val="00F05D3F"/>
    <w:rsid w:val="00F06B60"/>
    <w:rsid w:val="00F12AEC"/>
    <w:rsid w:val="00F14BA8"/>
    <w:rsid w:val="00F27305"/>
    <w:rsid w:val="00F30369"/>
    <w:rsid w:val="00F31B33"/>
    <w:rsid w:val="00F3309F"/>
    <w:rsid w:val="00F33DE3"/>
    <w:rsid w:val="00F350A6"/>
    <w:rsid w:val="00F35CB4"/>
    <w:rsid w:val="00F3671A"/>
    <w:rsid w:val="00F40AC7"/>
    <w:rsid w:val="00F45CE3"/>
    <w:rsid w:val="00F47027"/>
    <w:rsid w:val="00F4735D"/>
    <w:rsid w:val="00F533E9"/>
    <w:rsid w:val="00F53A4A"/>
    <w:rsid w:val="00F54530"/>
    <w:rsid w:val="00F55548"/>
    <w:rsid w:val="00F555C8"/>
    <w:rsid w:val="00F56CA0"/>
    <w:rsid w:val="00F56DDA"/>
    <w:rsid w:val="00F571D2"/>
    <w:rsid w:val="00F605B0"/>
    <w:rsid w:val="00F60779"/>
    <w:rsid w:val="00F61B49"/>
    <w:rsid w:val="00F6375D"/>
    <w:rsid w:val="00F717E3"/>
    <w:rsid w:val="00F736F7"/>
    <w:rsid w:val="00F82FB9"/>
    <w:rsid w:val="00F83E2A"/>
    <w:rsid w:val="00F90A30"/>
    <w:rsid w:val="00F91049"/>
    <w:rsid w:val="00F92465"/>
    <w:rsid w:val="00F93B3C"/>
    <w:rsid w:val="00F9520C"/>
    <w:rsid w:val="00FA231B"/>
    <w:rsid w:val="00FA2D4B"/>
    <w:rsid w:val="00FA378D"/>
    <w:rsid w:val="00FA5405"/>
    <w:rsid w:val="00FB08FE"/>
    <w:rsid w:val="00FB1709"/>
    <w:rsid w:val="00FB335C"/>
    <w:rsid w:val="00FB4885"/>
    <w:rsid w:val="00FB6DF9"/>
    <w:rsid w:val="00FB7903"/>
    <w:rsid w:val="00FC12A9"/>
    <w:rsid w:val="00FC3822"/>
    <w:rsid w:val="00FC6EFD"/>
    <w:rsid w:val="00FD020D"/>
    <w:rsid w:val="00FD3CD5"/>
    <w:rsid w:val="00FD49CF"/>
    <w:rsid w:val="00FD5FF9"/>
    <w:rsid w:val="00FE1321"/>
    <w:rsid w:val="00FE168F"/>
    <w:rsid w:val="00FE3124"/>
    <w:rsid w:val="00FE3268"/>
    <w:rsid w:val="00FE3F56"/>
    <w:rsid w:val="00FE7D36"/>
    <w:rsid w:val="00FE7D89"/>
    <w:rsid w:val="00FF0A18"/>
    <w:rsid w:val="00FF3329"/>
    <w:rsid w:val="00FF334A"/>
    <w:rsid w:val="00FF7CDB"/>
    <w:rsid w:val="01BEF2E4"/>
    <w:rsid w:val="06C06A2E"/>
    <w:rsid w:val="0FCD1CC3"/>
    <w:rsid w:val="18AB7746"/>
    <w:rsid w:val="24350C94"/>
    <w:rsid w:val="28D14250"/>
    <w:rsid w:val="305C906F"/>
    <w:rsid w:val="32B317F6"/>
    <w:rsid w:val="33251DAC"/>
    <w:rsid w:val="44C13FB5"/>
    <w:rsid w:val="62687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E063"/>
  <w15:chartTrackingRefBased/>
  <w15:docId w15:val="{FE2FF90D-4CCC-443B-A9A7-67876CAA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84C"/>
    <w:pPr>
      <w:spacing w:line="256" w:lineRule="auto"/>
    </w:pPr>
  </w:style>
  <w:style w:type="paragraph" w:styleId="Ttulo1">
    <w:name w:val="heading 1"/>
    <w:basedOn w:val="Normal"/>
    <w:next w:val="Normal"/>
    <w:link w:val="Ttulo1Car"/>
    <w:uiPriority w:val="9"/>
    <w:qFormat/>
    <w:rsid w:val="00941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71F1"/>
    <w:pPr>
      <w:ind w:left="720"/>
      <w:contextualSpacing/>
    </w:pPr>
  </w:style>
  <w:style w:type="character" w:customStyle="1" w:styleId="normaltextrun">
    <w:name w:val="normaltextrun"/>
    <w:basedOn w:val="Fuentedeprrafopredeter"/>
    <w:rsid w:val="002271F1"/>
  </w:style>
  <w:style w:type="character" w:customStyle="1" w:styleId="eop">
    <w:name w:val="eop"/>
    <w:basedOn w:val="Fuentedeprrafopredeter"/>
    <w:rsid w:val="002271F1"/>
  </w:style>
  <w:style w:type="paragraph" w:styleId="Encabezado">
    <w:name w:val="header"/>
    <w:basedOn w:val="Normal"/>
    <w:link w:val="EncabezadoCar"/>
    <w:uiPriority w:val="99"/>
    <w:unhideWhenUsed/>
    <w:rsid w:val="00244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E2F"/>
  </w:style>
  <w:style w:type="paragraph" w:styleId="Piedepgina">
    <w:name w:val="footer"/>
    <w:basedOn w:val="Normal"/>
    <w:link w:val="PiedepginaCar"/>
    <w:uiPriority w:val="99"/>
    <w:unhideWhenUsed/>
    <w:rsid w:val="00244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E2F"/>
  </w:style>
  <w:style w:type="paragraph" w:styleId="Sinespaciado">
    <w:name w:val="No Spacing"/>
    <w:uiPriority w:val="1"/>
    <w:qFormat/>
    <w:rsid w:val="00553866"/>
    <w:pPr>
      <w:spacing w:after="0" w:line="240" w:lineRule="auto"/>
    </w:pPr>
  </w:style>
  <w:style w:type="paragraph" w:styleId="NormalWeb">
    <w:name w:val="Normal (Web)"/>
    <w:basedOn w:val="Normal"/>
    <w:uiPriority w:val="99"/>
    <w:semiHidden/>
    <w:unhideWhenUsed/>
    <w:rsid w:val="007908D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7908DF"/>
  </w:style>
  <w:style w:type="character" w:styleId="Refdecomentario">
    <w:name w:val="annotation reference"/>
    <w:basedOn w:val="Fuentedeprrafopredeter"/>
    <w:uiPriority w:val="99"/>
    <w:semiHidden/>
    <w:unhideWhenUsed/>
    <w:rsid w:val="003F6506"/>
    <w:rPr>
      <w:sz w:val="16"/>
      <w:szCs w:val="16"/>
    </w:rPr>
  </w:style>
  <w:style w:type="paragraph" w:styleId="Textocomentario">
    <w:name w:val="annotation text"/>
    <w:basedOn w:val="Normal"/>
    <w:link w:val="TextocomentarioCar"/>
    <w:uiPriority w:val="99"/>
    <w:semiHidden/>
    <w:unhideWhenUsed/>
    <w:rsid w:val="003F65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6506"/>
    <w:rPr>
      <w:sz w:val="20"/>
      <w:szCs w:val="20"/>
    </w:rPr>
  </w:style>
  <w:style w:type="paragraph" w:styleId="Asuntodelcomentario">
    <w:name w:val="annotation subject"/>
    <w:basedOn w:val="Textocomentario"/>
    <w:next w:val="Textocomentario"/>
    <w:link w:val="AsuntodelcomentarioCar"/>
    <w:uiPriority w:val="99"/>
    <w:semiHidden/>
    <w:unhideWhenUsed/>
    <w:rsid w:val="003F6506"/>
    <w:rPr>
      <w:b/>
      <w:bCs/>
    </w:rPr>
  </w:style>
  <w:style w:type="character" w:customStyle="1" w:styleId="AsuntodelcomentarioCar">
    <w:name w:val="Asunto del comentario Car"/>
    <w:basedOn w:val="TextocomentarioCar"/>
    <w:link w:val="Asuntodelcomentario"/>
    <w:uiPriority w:val="99"/>
    <w:semiHidden/>
    <w:rsid w:val="003F6506"/>
    <w:rPr>
      <w:b/>
      <w:bCs/>
      <w:sz w:val="20"/>
      <w:szCs w:val="20"/>
    </w:rPr>
  </w:style>
  <w:style w:type="paragraph" w:styleId="Textodeglobo">
    <w:name w:val="Balloon Text"/>
    <w:basedOn w:val="Normal"/>
    <w:link w:val="TextodegloboCar"/>
    <w:uiPriority w:val="99"/>
    <w:semiHidden/>
    <w:unhideWhenUsed/>
    <w:rsid w:val="003F65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506"/>
    <w:rPr>
      <w:rFonts w:ascii="Segoe UI" w:hAnsi="Segoe UI" w:cs="Segoe UI"/>
      <w:sz w:val="18"/>
      <w:szCs w:val="18"/>
    </w:rPr>
  </w:style>
  <w:style w:type="character" w:customStyle="1" w:styleId="Ttulo1Car">
    <w:name w:val="Título 1 Car"/>
    <w:basedOn w:val="Fuentedeprrafopredeter"/>
    <w:link w:val="Ttulo1"/>
    <w:uiPriority w:val="9"/>
    <w:rsid w:val="00941B30"/>
    <w:rPr>
      <w:rFonts w:asciiTheme="majorHAnsi" w:eastAsiaTheme="majorEastAsia" w:hAnsiTheme="majorHAnsi" w:cstheme="majorBidi"/>
      <w:color w:val="2F5496" w:themeColor="accent1" w:themeShade="BF"/>
      <w:sz w:val="32"/>
      <w:szCs w:val="32"/>
    </w:rPr>
  </w:style>
  <w:style w:type="paragraph" w:styleId="Textonotapie">
    <w:name w:val="footnote text"/>
    <w:basedOn w:val="Normal"/>
    <w:link w:val="TextonotapieCar"/>
    <w:uiPriority w:val="99"/>
    <w:semiHidden/>
    <w:unhideWhenUsed/>
    <w:rsid w:val="003F09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098E"/>
    <w:rPr>
      <w:sz w:val="20"/>
      <w:szCs w:val="20"/>
    </w:rPr>
  </w:style>
  <w:style w:type="character" w:styleId="Refdenotaalpie">
    <w:name w:val="footnote reference"/>
    <w:basedOn w:val="Fuentedeprrafopredeter"/>
    <w:uiPriority w:val="99"/>
    <w:semiHidden/>
    <w:unhideWhenUsed/>
    <w:rsid w:val="003F09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0411">
      <w:bodyDiv w:val="1"/>
      <w:marLeft w:val="0"/>
      <w:marRight w:val="0"/>
      <w:marTop w:val="0"/>
      <w:marBottom w:val="0"/>
      <w:divBdr>
        <w:top w:val="none" w:sz="0" w:space="0" w:color="auto"/>
        <w:left w:val="none" w:sz="0" w:space="0" w:color="auto"/>
        <w:bottom w:val="none" w:sz="0" w:space="0" w:color="auto"/>
        <w:right w:val="none" w:sz="0" w:space="0" w:color="auto"/>
      </w:divBdr>
    </w:div>
    <w:div w:id="157622363">
      <w:bodyDiv w:val="1"/>
      <w:marLeft w:val="0"/>
      <w:marRight w:val="0"/>
      <w:marTop w:val="0"/>
      <w:marBottom w:val="0"/>
      <w:divBdr>
        <w:top w:val="none" w:sz="0" w:space="0" w:color="auto"/>
        <w:left w:val="none" w:sz="0" w:space="0" w:color="auto"/>
        <w:bottom w:val="none" w:sz="0" w:space="0" w:color="auto"/>
        <w:right w:val="none" w:sz="0" w:space="0" w:color="auto"/>
      </w:divBdr>
    </w:div>
    <w:div w:id="690303535">
      <w:bodyDiv w:val="1"/>
      <w:marLeft w:val="0"/>
      <w:marRight w:val="0"/>
      <w:marTop w:val="0"/>
      <w:marBottom w:val="0"/>
      <w:divBdr>
        <w:top w:val="none" w:sz="0" w:space="0" w:color="auto"/>
        <w:left w:val="none" w:sz="0" w:space="0" w:color="auto"/>
        <w:bottom w:val="none" w:sz="0" w:space="0" w:color="auto"/>
        <w:right w:val="none" w:sz="0" w:space="0" w:color="auto"/>
      </w:divBdr>
    </w:div>
    <w:div w:id="863514481">
      <w:bodyDiv w:val="1"/>
      <w:marLeft w:val="0"/>
      <w:marRight w:val="0"/>
      <w:marTop w:val="0"/>
      <w:marBottom w:val="0"/>
      <w:divBdr>
        <w:top w:val="none" w:sz="0" w:space="0" w:color="auto"/>
        <w:left w:val="none" w:sz="0" w:space="0" w:color="auto"/>
        <w:bottom w:val="none" w:sz="0" w:space="0" w:color="auto"/>
        <w:right w:val="none" w:sz="0" w:space="0" w:color="auto"/>
      </w:divBdr>
    </w:div>
    <w:div w:id="872035068">
      <w:bodyDiv w:val="1"/>
      <w:marLeft w:val="0"/>
      <w:marRight w:val="0"/>
      <w:marTop w:val="0"/>
      <w:marBottom w:val="0"/>
      <w:divBdr>
        <w:top w:val="none" w:sz="0" w:space="0" w:color="auto"/>
        <w:left w:val="none" w:sz="0" w:space="0" w:color="auto"/>
        <w:bottom w:val="none" w:sz="0" w:space="0" w:color="auto"/>
        <w:right w:val="none" w:sz="0" w:space="0" w:color="auto"/>
      </w:divBdr>
    </w:div>
    <w:div w:id="16369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12e7eade3ae444c0"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03C04-C3E5-4817-8AE3-44223D026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3AB2E-FB4F-48D5-A520-CFC443FB1F45}">
  <ds:schemaRefs>
    <ds:schemaRef ds:uri="http://schemas.microsoft.com/sharepoint/v3/contenttype/forms"/>
  </ds:schemaRefs>
</ds:datastoreItem>
</file>

<file path=customXml/itemProps3.xml><?xml version="1.0" encoding="utf-8"?>
<ds:datastoreItem xmlns:ds="http://schemas.openxmlformats.org/officeDocument/2006/customXml" ds:itemID="{341468B0-2AF6-40E2-ACF2-8B06F47181CA}">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F8EE4EB4-2782-4409-BA91-02BE9628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3447</Words>
  <Characters>18962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Giraldo Mejia</dc:creator>
  <cp:keywords/>
  <dc:description/>
  <cp:lastModifiedBy>Hermides Alonso Gaviria Ocampo</cp:lastModifiedBy>
  <cp:revision>6</cp:revision>
  <dcterms:created xsi:type="dcterms:W3CDTF">2022-11-03T16:06:00Z</dcterms:created>
  <dcterms:modified xsi:type="dcterms:W3CDTF">2023-01-12T15:36:00Z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