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D7F3" w14:textId="77777777" w:rsidR="00E039A0" w:rsidRPr="00E039A0" w:rsidRDefault="00E039A0" w:rsidP="00E039A0">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22333129"/>
      <w:r w:rsidRPr="00E039A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1F5A05" w14:textId="77777777" w:rsidR="00E039A0" w:rsidRPr="00E039A0" w:rsidRDefault="00E039A0" w:rsidP="00E039A0">
      <w:pPr>
        <w:widowControl w:val="0"/>
        <w:autoSpaceDE w:val="0"/>
        <w:autoSpaceDN w:val="0"/>
        <w:spacing w:after="0" w:line="240" w:lineRule="auto"/>
        <w:jc w:val="both"/>
        <w:rPr>
          <w:rFonts w:ascii="Arial" w:eastAsia="Times New Roman" w:hAnsi="Arial" w:cs="Arial"/>
          <w:sz w:val="20"/>
          <w:szCs w:val="20"/>
          <w:lang w:val="es-419" w:eastAsia="es-ES"/>
        </w:rPr>
      </w:pPr>
    </w:p>
    <w:p w14:paraId="5C0D2A31" w14:textId="1E0AA488" w:rsidR="00E039A0" w:rsidRPr="00E039A0" w:rsidRDefault="00144404" w:rsidP="00E039A0">
      <w:pPr>
        <w:widowControl w:val="0"/>
        <w:autoSpaceDE w:val="0"/>
        <w:autoSpaceDN w:val="0"/>
        <w:spacing w:after="0" w:line="240" w:lineRule="auto"/>
        <w:jc w:val="both"/>
        <w:rPr>
          <w:rFonts w:ascii="Arial" w:eastAsia="Times New Roman" w:hAnsi="Arial" w:cs="Arial"/>
          <w:sz w:val="20"/>
          <w:szCs w:val="20"/>
          <w:lang w:val="es-419" w:eastAsia="es-ES"/>
        </w:rPr>
      </w:pPr>
      <w:r w:rsidRPr="00E039A0">
        <w:rPr>
          <w:rFonts w:ascii="Arial" w:eastAsia="Times New Roman" w:hAnsi="Arial" w:cs="Arial"/>
          <w:b/>
          <w:bCs/>
          <w:iCs/>
          <w:sz w:val="20"/>
          <w:szCs w:val="20"/>
          <w:u w:val="single"/>
          <w:lang w:val="es-419" w:eastAsia="fr-FR"/>
        </w:rPr>
        <w:t>TEMAS:</w:t>
      </w:r>
      <w:r w:rsidRPr="00E039A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REVISIÓN ESTADO DE INVALIDEZ / TRÁMITE / DEBE ADELANTAR</w:t>
      </w:r>
      <w:r w:rsidR="00FE289A">
        <w:rPr>
          <w:rFonts w:ascii="Arial" w:eastAsia="Times New Roman" w:hAnsi="Arial" w:cs="Arial"/>
          <w:b/>
          <w:bCs/>
          <w:iCs/>
          <w:sz w:val="20"/>
          <w:szCs w:val="20"/>
          <w:lang w:val="es-419" w:eastAsia="fr-FR"/>
        </w:rPr>
        <w:t>LO</w:t>
      </w:r>
      <w:bookmarkStart w:id="1" w:name="_GoBack"/>
      <w:bookmarkEnd w:id="1"/>
      <w:r>
        <w:rPr>
          <w:rFonts w:ascii="Arial" w:eastAsia="Times New Roman" w:hAnsi="Arial" w:cs="Arial"/>
          <w:b/>
          <w:bCs/>
          <w:iCs/>
          <w:sz w:val="20"/>
          <w:szCs w:val="20"/>
          <w:lang w:val="es-419" w:eastAsia="fr-FR"/>
        </w:rPr>
        <w:t xml:space="preserve"> LA AFP / DEBIDO PROCESO / SUSPENSIÓN DEL PAGO DE LA PRESTACIÓN / UNA VEZ DETERMINADA LA EXTINCIÓN DEL DERECHO.</w:t>
      </w:r>
    </w:p>
    <w:p w14:paraId="00187465" w14:textId="77777777" w:rsidR="00E039A0" w:rsidRPr="00E039A0" w:rsidRDefault="00E039A0" w:rsidP="00E039A0">
      <w:pPr>
        <w:widowControl w:val="0"/>
        <w:autoSpaceDE w:val="0"/>
        <w:autoSpaceDN w:val="0"/>
        <w:spacing w:after="0" w:line="240" w:lineRule="auto"/>
        <w:jc w:val="both"/>
        <w:rPr>
          <w:rFonts w:ascii="Arial" w:eastAsia="Times New Roman" w:hAnsi="Arial" w:cs="Arial"/>
          <w:sz w:val="20"/>
          <w:szCs w:val="20"/>
          <w:lang w:val="es-ES" w:eastAsia="es-ES"/>
        </w:rPr>
      </w:pPr>
    </w:p>
    <w:p w14:paraId="4535EAF5" w14:textId="19A820AE" w:rsidR="00E039A0" w:rsidRPr="00E039A0" w:rsidRDefault="00807E42" w:rsidP="00E039A0">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07E42">
        <w:rPr>
          <w:rFonts w:ascii="Arial" w:eastAsia="Times New Roman" w:hAnsi="Arial" w:cs="Arial"/>
          <w:sz w:val="20"/>
          <w:szCs w:val="20"/>
          <w:lang w:val="es-ES" w:eastAsia="es-ES"/>
        </w:rPr>
        <w:t>el accionante dirigió su reclamo contra Colpensiones, con el fin de que le sean protegidos los derechos fundamentales que invocó, ordenando la reactivación del pago de su pensión de invalidez, la cual fue suspendida porque no se ha realizado la evaluación periódica de su estado de invalidez.</w:t>
      </w:r>
      <w:r w:rsidR="003C7890">
        <w:rPr>
          <w:rFonts w:ascii="Arial" w:eastAsia="Times New Roman" w:hAnsi="Arial" w:cs="Arial"/>
          <w:sz w:val="20"/>
          <w:szCs w:val="20"/>
          <w:lang w:val="es-ES" w:eastAsia="es-ES"/>
        </w:rPr>
        <w:t xml:space="preserve"> (…)</w:t>
      </w:r>
    </w:p>
    <w:p w14:paraId="40838F8C" w14:textId="73C1E5FC" w:rsidR="00E039A0" w:rsidRDefault="00E039A0" w:rsidP="00E039A0">
      <w:pPr>
        <w:widowControl w:val="0"/>
        <w:autoSpaceDE w:val="0"/>
        <w:autoSpaceDN w:val="0"/>
        <w:spacing w:after="0" w:line="240" w:lineRule="auto"/>
        <w:jc w:val="both"/>
        <w:rPr>
          <w:rFonts w:ascii="Arial" w:eastAsia="Times New Roman" w:hAnsi="Arial" w:cs="Arial"/>
          <w:sz w:val="20"/>
          <w:szCs w:val="20"/>
          <w:lang w:val="es-ES" w:eastAsia="es-ES"/>
        </w:rPr>
      </w:pPr>
    </w:p>
    <w:p w14:paraId="36A35F24" w14:textId="1E70033C" w:rsidR="0086787F" w:rsidRPr="0086787F" w:rsidRDefault="0086787F" w:rsidP="0086787F">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6787F">
        <w:rPr>
          <w:rFonts w:ascii="Arial" w:eastAsia="Times New Roman" w:hAnsi="Arial" w:cs="Arial"/>
          <w:sz w:val="20"/>
          <w:szCs w:val="20"/>
          <w:lang w:val="es-ES" w:eastAsia="es-ES"/>
        </w:rPr>
        <w:t>enseña la Corte Constitucional sobre la “La facultad de las administradoras de pensiones de revisar periódicamente el estado de invalidez”.</w:t>
      </w:r>
    </w:p>
    <w:p w14:paraId="3485BB2D" w14:textId="77777777" w:rsidR="0086787F" w:rsidRPr="0086787F" w:rsidRDefault="0086787F" w:rsidP="0086787F">
      <w:pPr>
        <w:widowControl w:val="0"/>
        <w:autoSpaceDE w:val="0"/>
        <w:autoSpaceDN w:val="0"/>
        <w:spacing w:after="0" w:line="240" w:lineRule="auto"/>
        <w:jc w:val="both"/>
        <w:rPr>
          <w:rFonts w:ascii="Arial" w:eastAsia="Times New Roman" w:hAnsi="Arial" w:cs="Arial"/>
          <w:sz w:val="20"/>
          <w:szCs w:val="20"/>
          <w:lang w:val="es-ES" w:eastAsia="es-ES"/>
        </w:rPr>
      </w:pPr>
    </w:p>
    <w:p w14:paraId="75A545BD" w14:textId="603F4D54" w:rsidR="00E039A0" w:rsidRPr="00E039A0" w:rsidRDefault="0086787F" w:rsidP="0086787F">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6787F">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w:t>
      </w:r>
      <w:r w:rsidRPr="0086787F">
        <w:rPr>
          <w:rFonts w:ascii="Arial" w:eastAsia="Times New Roman" w:hAnsi="Arial" w:cs="Arial"/>
          <w:sz w:val="20"/>
          <w:szCs w:val="20"/>
          <w:lang w:val="es-ES" w:eastAsia="es-ES"/>
        </w:rPr>
        <w:t>La revisión del estado de invalidez consiste, entonces, en la posibilidad de hacerle seguimiento periódico a la evolución del estado de salud de la persona que disfruta una pensión, de modo que se consiga detectar y verificar si ha habido cambios en su condición clínica que puedan resultar determinantes con miras a establecer la pertinencia actual de la prestación económica que previamente le fue reconocida, según persistan o no las condiciones médicas que le impedían al asegurado desempeñarse en el medio laboral</w:t>
      </w:r>
      <w:r>
        <w:rPr>
          <w:rFonts w:ascii="Arial" w:eastAsia="Times New Roman" w:hAnsi="Arial" w:cs="Arial"/>
          <w:sz w:val="20"/>
          <w:szCs w:val="20"/>
          <w:lang w:val="es-ES" w:eastAsia="es-ES"/>
        </w:rPr>
        <w:t>…</w:t>
      </w:r>
    </w:p>
    <w:p w14:paraId="607158FF" w14:textId="77777777" w:rsidR="00E039A0" w:rsidRPr="00E039A0" w:rsidRDefault="00E039A0" w:rsidP="00E039A0">
      <w:pPr>
        <w:widowControl w:val="0"/>
        <w:autoSpaceDE w:val="0"/>
        <w:autoSpaceDN w:val="0"/>
        <w:spacing w:after="0" w:line="240" w:lineRule="auto"/>
        <w:jc w:val="both"/>
        <w:rPr>
          <w:rFonts w:ascii="Arial" w:eastAsia="Times New Roman" w:hAnsi="Arial" w:cs="Arial"/>
          <w:sz w:val="20"/>
          <w:szCs w:val="20"/>
          <w:lang w:val="es-ES" w:eastAsia="es-ES"/>
        </w:rPr>
      </w:pPr>
    </w:p>
    <w:p w14:paraId="777019DB" w14:textId="378CCCBF" w:rsidR="00E039A0" w:rsidRPr="00E039A0" w:rsidRDefault="006E134C" w:rsidP="00E039A0">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E134C">
        <w:rPr>
          <w:rFonts w:ascii="Arial" w:eastAsia="Times New Roman" w:hAnsi="Arial" w:cs="Arial"/>
          <w:sz w:val="20"/>
          <w:szCs w:val="20"/>
          <w:lang w:val="es-ES" w:eastAsia="es-ES"/>
        </w:rPr>
        <w:t>desde su más temprana jurisprudencia esta Corporación ha precisado que, si bien las pensiones basadas en la invalidez del beneficiario no pueden suspenderse o suprimirse unilateralmente por parte de las entidades y dentro del procedimiento debe respetarse el debido proceso, se trata de una situación condicionada al futuro, por lo que sólo habrá de extinguirse el derecho a percibir la pensión cuando ha desaparecido la incapacidad que motivó la prestación</w:t>
      </w:r>
      <w:r>
        <w:rPr>
          <w:rFonts w:ascii="Arial" w:eastAsia="Times New Roman" w:hAnsi="Arial" w:cs="Arial"/>
          <w:sz w:val="20"/>
          <w:szCs w:val="20"/>
          <w:lang w:val="es-ES" w:eastAsia="es-ES"/>
        </w:rPr>
        <w:t>…</w:t>
      </w:r>
    </w:p>
    <w:p w14:paraId="229CE3FE" w14:textId="7E392F0D" w:rsidR="00E039A0" w:rsidRDefault="00E039A0" w:rsidP="00E039A0">
      <w:pPr>
        <w:widowControl w:val="0"/>
        <w:autoSpaceDE w:val="0"/>
        <w:autoSpaceDN w:val="0"/>
        <w:spacing w:after="0" w:line="240" w:lineRule="auto"/>
        <w:jc w:val="both"/>
        <w:rPr>
          <w:rFonts w:ascii="Arial" w:eastAsia="Times New Roman" w:hAnsi="Arial" w:cs="Arial"/>
          <w:sz w:val="20"/>
          <w:szCs w:val="20"/>
          <w:lang w:val="es-ES" w:eastAsia="es-ES"/>
        </w:rPr>
      </w:pPr>
    </w:p>
    <w:p w14:paraId="72CEF43D" w14:textId="157CC3E9" w:rsidR="006E134C" w:rsidRDefault="00006E10" w:rsidP="00E039A0">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006E10">
        <w:rPr>
          <w:rFonts w:ascii="Arial" w:eastAsia="Times New Roman" w:hAnsi="Arial" w:cs="Arial"/>
          <w:sz w:val="20"/>
          <w:szCs w:val="20"/>
          <w:lang w:val="es-ES" w:eastAsia="es-ES"/>
        </w:rPr>
        <w:t>Asimismo, se ha sostenido que cuando las entidades hacen uso de dicha prerrogativa legal no pueden trasladar al asegurado la carga de acreditar periódicamente la revisión de la invalidez, toda vez que en dicho escenario la obligación del ciudadano se circunscribe a acudir al examen médico cuando sea requerido para tal efecto por parte de la entidad</w:t>
      </w:r>
      <w:r>
        <w:rPr>
          <w:rFonts w:ascii="Arial" w:eastAsia="Times New Roman" w:hAnsi="Arial" w:cs="Arial"/>
          <w:sz w:val="20"/>
          <w:szCs w:val="20"/>
          <w:lang w:val="es-ES" w:eastAsia="es-ES"/>
        </w:rPr>
        <w:t>…”</w:t>
      </w:r>
    </w:p>
    <w:p w14:paraId="35AC6EB5" w14:textId="331FDB23" w:rsidR="006E134C" w:rsidRDefault="006E134C" w:rsidP="00E039A0">
      <w:pPr>
        <w:widowControl w:val="0"/>
        <w:autoSpaceDE w:val="0"/>
        <w:autoSpaceDN w:val="0"/>
        <w:spacing w:after="0" w:line="240" w:lineRule="auto"/>
        <w:jc w:val="both"/>
        <w:rPr>
          <w:rFonts w:ascii="Arial" w:eastAsia="Times New Roman" w:hAnsi="Arial" w:cs="Arial"/>
          <w:sz w:val="20"/>
          <w:szCs w:val="20"/>
          <w:lang w:val="es-ES" w:eastAsia="es-ES"/>
        </w:rPr>
      </w:pPr>
    </w:p>
    <w:p w14:paraId="6826AF32" w14:textId="653819C5" w:rsidR="006E134C" w:rsidRDefault="00817F1B" w:rsidP="00E039A0">
      <w:pPr>
        <w:widowControl w:val="0"/>
        <w:autoSpaceDE w:val="0"/>
        <w:autoSpaceDN w:val="0"/>
        <w:spacing w:after="0" w:line="240" w:lineRule="auto"/>
        <w:jc w:val="both"/>
        <w:rPr>
          <w:rFonts w:ascii="Arial" w:eastAsia="Times New Roman" w:hAnsi="Arial" w:cs="Arial"/>
          <w:sz w:val="20"/>
          <w:szCs w:val="20"/>
          <w:lang w:val="es-ES" w:eastAsia="es-ES"/>
        </w:rPr>
      </w:pPr>
      <w:r w:rsidRPr="00817F1B">
        <w:rPr>
          <w:rFonts w:ascii="Arial" w:eastAsia="Times New Roman" w:hAnsi="Arial" w:cs="Arial"/>
          <w:sz w:val="20"/>
          <w:szCs w:val="20"/>
          <w:lang w:val="es-ES" w:eastAsia="es-ES"/>
        </w:rPr>
        <w:t>Adicionalmente, aquí es de capital importancia tener presente que Colpensiones es una de las entidades encargadas de determinar la PCL de los afiliados al Sistema General del Seguridad Social</w:t>
      </w:r>
      <w:r>
        <w:rPr>
          <w:rFonts w:ascii="Arial" w:eastAsia="Times New Roman" w:hAnsi="Arial" w:cs="Arial"/>
          <w:sz w:val="20"/>
          <w:szCs w:val="20"/>
          <w:lang w:val="es-ES" w:eastAsia="es-ES"/>
        </w:rPr>
        <w:t>…</w:t>
      </w:r>
      <w:r w:rsidRPr="00817F1B">
        <w:rPr>
          <w:rFonts w:ascii="Arial" w:eastAsia="Times New Roman" w:hAnsi="Arial" w:cs="Arial"/>
          <w:sz w:val="20"/>
          <w:szCs w:val="20"/>
          <w:lang w:val="es-ES" w:eastAsia="es-ES"/>
        </w:rPr>
        <w:t>, y como tal, es su deber adelantar las gestiones necesarias para obtener los exámenes, pruebas, valoraciones y/o revisiones especializadas que permitan determinar</w:t>
      </w:r>
      <w:r>
        <w:rPr>
          <w:rFonts w:ascii="Arial" w:eastAsia="Times New Roman" w:hAnsi="Arial" w:cs="Arial"/>
          <w:sz w:val="20"/>
          <w:szCs w:val="20"/>
          <w:lang w:val="es-ES" w:eastAsia="es-ES"/>
        </w:rPr>
        <w:t>…</w:t>
      </w:r>
      <w:r w:rsidRPr="00817F1B">
        <w:rPr>
          <w:rFonts w:ascii="Arial" w:eastAsia="Times New Roman" w:hAnsi="Arial" w:cs="Arial"/>
          <w:sz w:val="20"/>
          <w:szCs w:val="20"/>
          <w:lang w:val="es-ES" w:eastAsia="es-ES"/>
        </w:rPr>
        <w:t xml:space="preserve"> el diagnóstico sus afiliados</w:t>
      </w:r>
      <w:r>
        <w:rPr>
          <w:rFonts w:ascii="Arial" w:eastAsia="Times New Roman" w:hAnsi="Arial" w:cs="Arial"/>
          <w:sz w:val="20"/>
          <w:szCs w:val="20"/>
          <w:lang w:val="es-ES" w:eastAsia="es-ES"/>
        </w:rPr>
        <w:t>…</w:t>
      </w:r>
    </w:p>
    <w:p w14:paraId="5EE22236" w14:textId="2447660F" w:rsidR="006E134C" w:rsidRDefault="006E134C" w:rsidP="00E039A0">
      <w:pPr>
        <w:widowControl w:val="0"/>
        <w:autoSpaceDE w:val="0"/>
        <w:autoSpaceDN w:val="0"/>
        <w:spacing w:after="0" w:line="240" w:lineRule="auto"/>
        <w:jc w:val="both"/>
        <w:rPr>
          <w:rFonts w:ascii="Arial" w:eastAsia="Times New Roman" w:hAnsi="Arial" w:cs="Arial"/>
          <w:sz w:val="20"/>
          <w:szCs w:val="20"/>
          <w:lang w:val="es-ES" w:eastAsia="es-ES"/>
        </w:rPr>
      </w:pPr>
    </w:p>
    <w:p w14:paraId="62230B43" w14:textId="77777777" w:rsidR="006E134C" w:rsidRPr="00E039A0" w:rsidRDefault="006E134C" w:rsidP="00E039A0">
      <w:pPr>
        <w:widowControl w:val="0"/>
        <w:autoSpaceDE w:val="0"/>
        <w:autoSpaceDN w:val="0"/>
        <w:spacing w:after="0" w:line="240" w:lineRule="auto"/>
        <w:jc w:val="both"/>
        <w:rPr>
          <w:rFonts w:ascii="Arial" w:eastAsia="Times New Roman" w:hAnsi="Arial" w:cs="Arial"/>
          <w:sz w:val="20"/>
          <w:szCs w:val="20"/>
          <w:lang w:val="es-ES" w:eastAsia="es-ES"/>
        </w:rPr>
      </w:pPr>
    </w:p>
    <w:p w14:paraId="77E33D72" w14:textId="77777777" w:rsidR="00E039A0" w:rsidRPr="00E039A0" w:rsidRDefault="00E039A0" w:rsidP="00E039A0">
      <w:pPr>
        <w:widowControl w:val="0"/>
        <w:autoSpaceDE w:val="0"/>
        <w:autoSpaceDN w:val="0"/>
        <w:spacing w:after="0" w:line="240" w:lineRule="auto"/>
        <w:jc w:val="both"/>
        <w:rPr>
          <w:rFonts w:ascii="Arial" w:eastAsia="Times New Roman" w:hAnsi="Arial" w:cs="Arial"/>
          <w:sz w:val="20"/>
          <w:szCs w:val="20"/>
          <w:lang w:val="es-ES" w:eastAsia="es-ES"/>
        </w:rPr>
      </w:pPr>
    </w:p>
    <w:p w14:paraId="63B924C4" w14:textId="77777777" w:rsidR="00E039A0" w:rsidRPr="00E039A0" w:rsidRDefault="00E039A0" w:rsidP="00E039A0">
      <w:pPr>
        <w:widowControl w:val="0"/>
        <w:autoSpaceDE w:val="0"/>
        <w:autoSpaceDN w:val="0"/>
        <w:spacing w:after="0" w:line="276" w:lineRule="auto"/>
        <w:ind w:right="1213" w:firstLine="1701"/>
        <w:outlineLvl w:val="1"/>
        <w:rPr>
          <w:rFonts w:ascii="Gadugi" w:eastAsia="Gadugi" w:hAnsi="Gadugi" w:cs="Gadugi"/>
          <w:b/>
          <w:bCs/>
          <w:sz w:val="24"/>
          <w:szCs w:val="24"/>
          <w:lang w:val="es-ES"/>
        </w:rPr>
      </w:pPr>
      <w:r w:rsidRPr="00E039A0">
        <w:rPr>
          <w:rFonts w:ascii="Gadugi" w:eastAsia="Gadugi" w:hAnsi="Gadugi" w:cs="Gadugi"/>
          <w:b/>
          <w:bCs/>
          <w:sz w:val="24"/>
          <w:szCs w:val="24"/>
          <w:lang w:val="es-ES"/>
        </w:rPr>
        <w:t>TRIBUNAL SUPERIOR DEL DISTRITO JUDICIAL</w:t>
      </w:r>
    </w:p>
    <w:p w14:paraId="50C451D6" w14:textId="77777777" w:rsidR="00E039A0" w:rsidRPr="00E039A0" w:rsidRDefault="00E039A0" w:rsidP="00E039A0">
      <w:pPr>
        <w:widowControl w:val="0"/>
        <w:autoSpaceDE w:val="0"/>
        <w:autoSpaceDN w:val="0"/>
        <w:spacing w:after="0" w:line="276" w:lineRule="auto"/>
        <w:ind w:left="423" w:right="1213" w:firstLine="1701"/>
        <w:outlineLvl w:val="1"/>
        <w:rPr>
          <w:rFonts w:ascii="Gadugi" w:eastAsia="Gadugi" w:hAnsi="Gadugi" w:cs="Gadugi"/>
          <w:b/>
          <w:bCs/>
          <w:sz w:val="24"/>
          <w:szCs w:val="24"/>
          <w:lang w:val="es-ES"/>
        </w:rPr>
      </w:pPr>
      <w:r w:rsidRPr="00E039A0">
        <w:rPr>
          <w:rFonts w:ascii="Gadugi" w:eastAsia="Calibri" w:hAnsi="Gadugi" w:cs="Times New Roman"/>
          <w:b/>
          <w:sz w:val="24"/>
          <w:szCs w:val="24"/>
          <w:lang w:val="es-ES"/>
        </w:rPr>
        <w:t xml:space="preserve">     SALA DE DECISIÓN CIVIL FAMILIA </w:t>
      </w:r>
    </w:p>
    <w:p w14:paraId="16846865" w14:textId="77777777" w:rsidR="00E039A0" w:rsidRPr="00E039A0" w:rsidRDefault="00E039A0" w:rsidP="00E039A0">
      <w:pPr>
        <w:widowControl w:val="0"/>
        <w:autoSpaceDE w:val="0"/>
        <w:autoSpaceDN w:val="0"/>
        <w:spacing w:after="0" w:line="276" w:lineRule="auto"/>
        <w:ind w:firstLine="993"/>
        <w:jc w:val="both"/>
        <w:rPr>
          <w:rFonts w:ascii="Gadugi" w:eastAsia="Calibri" w:hAnsi="Gadugi" w:cs="Times New Roman"/>
          <w:sz w:val="24"/>
          <w:szCs w:val="24"/>
          <w:lang w:val="es-ES"/>
        </w:rPr>
      </w:pPr>
    </w:p>
    <w:p w14:paraId="70A5A283" w14:textId="77777777" w:rsidR="00E039A0" w:rsidRPr="00E039A0" w:rsidRDefault="00E039A0" w:rsidP="00E039A0">
      <w:pPr>
        <w:widowControl w:val="0"/>
        <w:autoSpaceDE w:val="0"/>
        <w:autoSpaceDN w:val="0"/>
        <w:spacing w:after="0" w:line="276" w:lineRule="auto"/>
        <w:ind w:left="1701" w:right="51"/>
        <w:rPr>
          <w:rFonts w:ascii="Gadugi" w:eastAsia="Arial MT" w:hAnsi="Gadugi" w:cs="Arial MT"/>
          <w:sz w:val="24"/>
          <w:szCs w:val="24"/>
          <w:lang w:val="es-ES"/>
        </w:rPr>
      </w:pPr>
      <w:r w:rsidRPr="00E039A0">
        <w:rPr>
          <w:rFonts w:ascii="Gadugi" w:eastAsia="Arial MT" w:hAnsi="Gadugi" w:cs="Arial MT"/>
          <w:sz w:val="24"/>
          <w:szCs w:val="24"/>
          <w:lang w:val="es-ES"/>
        </w:rPr>
        <w:t>Magistrado:</w:t>
      </w:r>
      <w:r w:rsidRPr="00E039A0">
        <w:rPr>
          <w:rFonts w:ascii="Gadugi" w:eastAsia="Arial MT" w:hAnsi="Gadugi" w:cs="Arial MT"/>
          <w:sz w:val="24"/>
          <w:szCs w:val="24"/>
          <w:lang w:val="es-ES"/>
        </w:rPr>
        <w:tab/>
        <w:t>Jaime Alberto Saraza Naranjo</w:t>
      </w:r>
    </w:p>
    <w:bookmarkEnd w:id="0"/>
    <w:p w14:paraId="754A61DE" w14:textId="7E83122E" w:rsidR="00756044" w:rsidRPr="00E039A0" w:rsidRDefault="00756044" w:rsidP="00E039A0">
      <w:pPr>
        <w:widowControl w:val="0"/>
        <w:autoSpaceDE w:val="0"/>
        <w:autoSpaceDN w:val="0"/>
        <w:spacing w:after="0" w:line="276" w:lineRule="auto"/>
        <w:ind w:left="1701" w:right="51"/>
        <w:rPr>
          <w:rFonts w:ascii="Gadugi" w:eastAsia="Arial MT" w:hAnsi="Gadugi" w:cs="Arial MT"/>
          <w:sz w:val="24"/>
          <w:szCs w:val="24"/>
          <w:lang w:val="es-ES"/>
        </w:rPr>
      </w:pPr>
      <w:r w:rsidRPr="00E039A0">
        <w:rPr>
          <w:rFonts w:ascii="Gadugi" w:eastAsia="Arial MT" w:hAnsi="Gadugi" w:cs="Arial MT"/>
          <w:sz w:val="24"/>
          <w:szCs w:val="24"/>
          <w:lang w:val="es-ES"/>
        </w:rPr>
        <w:t>Pereira,</w:t>
      </w:r>
      <w:r w:rsidR="00080818" w:rsidRPr="00E039A0">
        <w:rPr>
          <w:rFonts w:ascii="Gadugi" w:eastAsia="Arial MT" w:hAnsi="Gadugi" w:cs="Arial MT"/>
          <w:sz w:val="24"/>
          <w:szCs w:val="24"/>
          <w:lang w:val="es-ES"/>
        </w:rPr>
        <w:t xml:space="preserve"> </w:t>
      </w:r>
      <w:r w:rsidR="00D648B7" w:rsidRPr="00E039A0">
        <w:rPr>
          <w:rFonts w:ascii="Gadugi" w:eastAsia="Arial MT" w:hAnsi="Gadugi" w:cs="Arial MT"/>
          <w:sz w:val="24"/>
          <w:szCs w:val="24"/>
          <w:lang w:val="es-ES"/>
        </w:rPr>
        <w:t>noviembre once de dos mil veintidós</w:t>
      </w:r>
    </w:p>
    <w:p w14:paraId="6FAC80ED" w14:textId="77777777" w:rsidR="00E039A0" w:rsidRDefault="00E039A0" w:rsidP="00E039A0">
      <w:pPr>
        <w:widowControl w:val="0"/>
        <w:autoSpaceDE w:val="0"/>
        <w:autoSpaceDN w:val="0"/>
        <w:spacing w:after="0" w:line="276" w:lineRule="auto"/>
        <w:ind w:left="1701" w:right="51"/>
        <w:rPr>
          <w:rFonts w:ascii="Gadugi" w:eastAsia="Arial MT" w:hAnsi="Gadugi" w:cs="Arial MT"/>
          <w:sz w:val="24"/>
          <w:szCs w:val="24"/>
          <w:lang w:val="es-ES"/>
        </w:rPr>
      </w:pPr>
    </w:p>
    <w:p w14:paraId="37ABB279" w14:textId="40B4B5BA" w:rsidR="00E039A0" w:rsidRDefault="00756044" w:rsidP="00E039A0">
      <w:pPr>
        <w:widowControl w:val="0"/>
        <w:autoSpaceDE w:val="0"/>
        <w:autoSpaceDN w:val="0"/>
        <w:spacing w:after="0" w:line="276" w:lineRule="auto"/>
        <w:ind w:left="1701" w:right="51"/>
        <w:rPr>
          <w:rFonts w:ascii="Gadugi" w:eastAsia="Arial MT" w:hAnsi="Gadugi" w:cs="Arial MT"/>
          <w:sz w:val="24"/>
          <w:szCs w:val="24"/>
          <w:lang w:val="es-ES"/>
        </w:rPr>
      </w:pPr>
      <w:r w:rsidRPr="00E039A0">
        <w:rPr>
          <w:rFonts w:ascii="Gadugi" w:eastAsia="Arial MT" w:hAnsi="Gadugi" w:cs="Arial MT"/>
          <w:sz w:val="24"/>
          <w:szCs w:val="24"/>
          <w:lang w:val="es-ES"/>
        </w:rPr>
        <w:t>Expedientes:</w:t>
      </w:r>
      <w:r w:rsidR="004F7764" w:rsidRPr="00E039A0">
        <w:rPr>
          <w:rFonts w:ascii="Gadugi" w:eastAsia="Arial MT" w:hAnsi="Gadugi" w:cs="Arial MT"/>
          <w:sz w:val="24"/>
          <w:szCs w:val="24"/>
          <w:lang w:val="es-ES"/>
        </w:rPr>
        <w:t xml:space="preserve"> </w:t>
      </w:r>
      <w:r w:rsidR="00C1558F" w:rsidRPr="00E039A0">
        <w:rPr>
          <w:rFonts w:ascii="Gadugi" w:eastAsia="Arial MT" w:hAnsi="Gadugi" w:cs="Arial MT"/>
          <w:sz w:val="24"/>
          <w:szCs w:val="24"/>
          <w:lang w:val="es-ES"/>
        </w:rPr>
        <w:t>66001310300220220067601</w:t>
      </w:r>
    </w:p>
    <w:p w14:paraId="6C498CCE" w14:textId="2A22661A" w:rsidR="007F5F4C" w:rsidRPr="00E039A0" w:rsidRDefault="00422311" w:rsidP="00E039A0">
      <w:pPr>
        <w:widowControl w:val="0"/>
        <w:autoSpaceDE w:val="0"/>
        <w:autoSpaceDN w:val="0"/>
        <w:spacing w:after="0" w:line="276" w:lineRule="auto"/>
        <w:ind w:left="1701" w:right="51"/>
        <w:rPr>
          <w:rFonts w:ascii="Gadugi" w:eastAsia="Arial MT" w:hAnsi="Gadugi" w:cs="Arial MT"/>
          <w:sz w:val="24"/>
          <w:szCs w:val="24"/>
          <w:lang w:val="es-ES"/>
        </w:rPr>
      </w:pPr>
      <w:r w:rsidRPr="00E039A0">
        <w:rPr>
          <w:rFonts w:ascii="Gadugi" w:eastAsia="Arial MT" w:hAnsi="Gadugi" w:cs="Arial MT"/>
          <w:sz w:val="24"/>
          <w:szCs w:val="24"/>
          <w:lang w:val="es-ES"/>
        </w:rPr>
        <w:t>Acta</w:t>
      </w:r>
      <w:r w:rsidR="00E01B05" w:rsidRPr="00E039A0">
        <w:rPr>
          <w:rFonts w:ascii="Gadugi" w:eastAsia="Arial MT" w:hAnsi="Gadugi" w:cs="Arial MT"/>
          <w:sz w:val="24"/>
          <w:szCs w:val="24"/>
          <w:lang w:val="es-ES"/>
        </w:rPr>
        <w:t>:</w:t>
      </w:r>
      <w:r w:rsidR="00D648B7" w:rsidRPr="00E039A0">
        <w:rPr>
          <w:rFonts w:ascii="Gadugi" w:eastAsia="Arial MT" w:hAnsi="Gadugi" w:cs="Arial MT"/>
          <w:sz w:val="24"/>
          <w:szCs w:val="24"/>
          <w:lang w:val="es-ES"/>
        </w:rPr>
        <w:t xml:space="preserve"> 570 del 11 de noviembre de 2022</w:t>
      </w:r>
    </w:p>
    <w:p w14:paraId="36D873CF" w14:textId="6D5343DE" w:rsidR="00422311" w:rsidRPr="00E039A0" w:rsidRDefault="00422311" w:rsidP="00E039A0">
      <w:pPr>
        <w:widowControl w:val="0"/>
        <w:autoSpaceDE w:val="0"/>
        <w:autoSpaceDN w:val="0"/>
        <w:spacing w:after="0" w:line="276" w:lineRule="auto"/>
        <w:ind w:left="1701" w:right="51"/>
        <w:rPr>
          <w:rFonts w:ascii="Gadugi" w:eastAsia="Arial MT" w:hAnsi="Gadugi" w:cs="Arial MT"/>
          <w:sz w:val="24"/>
          <w:szCs w:val="24"/>
          <w:lang w:val="es-ES"/>
        </w:rPr>
      </w:pPr>
      <w:r w:rsidRPr="00E039A0">
        <w:rPr>
          <w:rFonts w:ascii="Gadugi" w:eastAsia="Arial MT" w:hAnsi="Gadugi" w:cs="Arial MT"/>
          <w:sz w:val="24"/>
          <w:szCs w:val="24"/>
          <w:lang w:val="es-ES"/>
        </w:rPr>
        <w:t>Sentencia</w:t>
      </w:r>
      <w:r w:rsidR="00E01B05" w:rsidRPr="00E039A0">
        <w:rPr>
          <w:rFonts w:ascii="Gadugi" w:eastAsia="Arial MT" w:hAnsi="Gadugi" w:cs="Arial MT"/>
          <w:sz w:val="24"/>
          <w:szCs w:val="24"/>
          <w:lang w:val="es-ES"/>
        </w:rPr>
        <w:t xml:space="preserve">: </w:t>
      </w:r>
      <w:r w:rsidR="00D648B7" w:rsidRPr="00E039A0">
        <w:rPr>
          <w:rFonts w:ascii="Gadugi" w:eastAsia="Arial MT" w:hAnsi="Gadugi" w:cs="Arial MT"/>
          <w:sz w:val="24"/>
          <w:szCs w:val="24"/>
          <w:lang w:val="es-ES"/>
        </w:rPr>
        <w:t>ST2-0411-2022</w:t>
      </w:r>
    </w:p>
    <w:p w14:paraId="28DF98C7" w14:textId="77777777" w:rsidR="00756044" w:rsidRPr="0062092B" w:rsidRDefault="00756044" w:rsidP="0062092B">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6BDD5E7" w14:textId="6C04DF64" w:rsidR="00756044" w:rsidRPr="00144404" w:rsidRDefault="00756044"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CO" w:eastAsia="es-ES"/>
        </w:rPr>
      </w:pPr>
      <w:r w:rsidRPr="00144404">
        <w:rPr>
          <w:rFonts w:ascii="Gadugi" w:eastAsia="Times New Roman" w:hAnsi="Gadugi" w:cs="Arial"/>
          <w:spacing w:val="-4"/>
          <w:sz w:val="24"/>
          <w:szCs w:val="24"/>
          <w:lang w:val="es-ES" w:eastAsia="es-ES"/>
        </w:rPr>
        <w:t xml:space="preserve">Procede la Sala a decidir la </w:t>
      </w:r>
      <w:r w:rsidRPr="00144404">
        <w:rPr>
          <w:rFonts w:ascii="Gadugi" w:eastAsia="Times New Roman" w:hAnsi="Gadugi" w:cs="Arial"/>
          <w:spacing w:val="-4"/>
          <w:sz w:val="24"/>
          <w:szCs w:val="24"/>
          <w:lang w:val="es-419" w:eastAsia="es-ES"/>
        </w:rPr>
        <w:t xml:space="preserve">impugnación propuesta por la </w:t>
      </w:r>
      <w:r w:rsidRPr="00144404">
        <w:rPr>
          <w:rFonts w:ascii="Gadugi" w:eastAsia="Times New Roman" w:hAnsi="Gadugi" w:cs="Arial"/>
          <w:spacing w:val="-4"/>
          <w:sz w:val="24"/>
          <w:szCs w:val="24"/>
          <w:lang w:val="es-CO" w:eastAsia="es-ES"/>
        </w:rPr>
        <w:t xml:space="preserve">parte </w:t>
      </w:r>
      <w:r w:rsidR="00703448" w:rsidRPr="00144404">
        <w:rPr>
          <w:rFonts w:ascii="Gadugi" w:eastAsia="Times New Roman" w:hAnsi="Gadugi" w:cs="Arial"/>
          <w:spacing w:val="-4"/>
          <w:sz w:val="24"/>
          <w:szCs w:val="24"/>
          <w:lang w:val="es-CO" w:eastAsia="es-ES"/>
        </w:rPr>
        <w:t>accionada</w:t>
      </w:r>
      <w:r w:rsidRPr="00144404">
        <w:rPr>
          <w:rFonts w:ascii="Gadugi" w:eastAsia="Times New Roman" w:hAnsi="Gadugi" w:cs="Arial"/>
          <w:spacing w:val="-4"/>
          <w:sz w:val="24"/>
          <w:szCs w:val="24"/>
          <w:lang w:val="es-419" w:eastAsia="es-ES"/>
        </w:rPr>
        <w:t xml:space="preserve"> contra la sentencia del </w:t>
      </w:r>
      <w:r w:rsidR="00C1558F" w:rsidRPr="00144404">
        <w:rPr>
          <w:rFonts w:ascii="Gadugi" w:eastAsia="Times New Roman" w:hAnsi="Gadugi" w:cs="Arial"/>
          <w:spacing w:val="-4"/>
          <w:sz w:val="24"/>
          <w:szCs w:val="24"/>
          <w:lang w:val="es-419" w:eastAsia="es-ES"/>
        </w:rPr>
        <w:t>23</w:t>
      </w:r>
      <w:r w:rsidR="00F43CD2" w:rsidRPr="00144404">
        <w:rPr>
          <w:rFonts w:ascii="Gadugi" w:eastAsia="Times New Roman" w:hAnsi="Gadugi" w:cs="Arial"/>
          <w:spacing w:val="-4"/>
          <w:sz w:val="24"/>
          <w:szCs w:val="24"/>
          <w:lang w:val="es-419" w:eastAsia="es-ES"/>
        </w:rPr>
        <w:t xml:space="preserve"> de </w:t>
      </w:r>
      <w:r w:rsidR="00703448" w:rsidRPr="00144404">
        <w:rPr>
          <w:rFonts w:ascii="Gadugi" w:eastAsia="Times New Roman" w:hAnsi="Gadugi" w:cs="Arial"/>
          <w:spacing w:val="-4"/>
          <w:sz w:val="24"/>
          <w:szCs w:val="24"/>
          <w:lang w:val="es-419" w:eastAsia="es-ES"/>
        </w:rPr>
        <w:t>septiembre</w:t>
      </w:r>
      <w:r w:rsidR="00E44B84" w:rsidRPr="00144404">
        <w:rPr>
          <w:rFonts w:ascii="Gadugi" w:eastAsia="Times New Roman" w:hAnsi="Gadugi" w:cs="Arial"/>
          <w:spacing w:val="-4"/>
          <w:sz w:val="24"/>
          <w:szCs w:val="24"/>
          <w:lang w:val="es-419" w:eastAsia="es-ES"/>
        </w:rPr>
        <w:t xml:space="preserve"> de 202</w:t>
      </w:r>
      <w:r w:rsidR="001865F5" w:rsidRPr="00144404">
        <w:rPr>
          <w:rFonts w:ascii="Gadugi" w:eastAsia="Times New Roman" w:hAnsi="Gadugi" w:cs="Arial"/>
          <w:spacing w:val="-4"/>
          <w:sz w:val="24"/>
          <w:szCs w:val="24"/>
          <w:lang w:val="es-419" w:eastAsia="es-ES"/>
        </w:rPr>
        <w:t>2</w:t>
      </w:r>
      <w:r w:rsidRPr="00144404">
        <w:rPr>
          <w:rFonts w:ascii="Gadugi" w:eastAsia="Times New Roman" w:hAnsi="Gadugi" w:cs="Arial"/>
          <w:spacing w:val="-4"/>
          <w:sz w:val="24"/>
          <w:szCs w:val="24"/>
          <w:lang w:val="es-CO" w:eastAsia="es-ES"/>
        </w:rPr>
        <w:t>,</w:t>
      </w:r>
      <w:r w:rsidRPr="00144404">
        <w:rPr>
          <w:rFonts w:ascii="Gadugi" w:eastAsia="Times New Roman" w:hAnsi="Gadugi" w:cs="Arial"/>
          <w:spacing w:val="-4"/>
          <w:sz w:val="24"/>
          <w:szCs w:val="24"/>
          <w:lang w:val="es-419" w:eastAsia="es-ES"/>
        </w:rPr>
        <w:t xml:space="preserve"> proferida por el </w:t>
      </w:r>
      <w:r w:rsidR="00F43CD2" w:rsidRPr="00144404">
        <w:rPr>
          <w:rFonts w:ascii="Gadugi" w:hAnsi="Gadugi" w:cs="Arial"/>
          <w:spacing w:val="-4"/>
          <w:sz w:val="24"/>
          <w:szCs w:val="24"/>
          <w:lang w:val="es-419"/>
        </w:rPr>
        <w:t>Juzgado</w:t>
      </w:r>
      <w:r w:rsidR="00EC1754" w:rsidRPr="00144404">
        <w:rPr>
          <w:rFonts w:ascii="Gadugi" w:hAnsi="Gadugi" w:cs="Arial"/>
          <w:spacing w:val="-4"/>
          <w:sz w:val="24"/>
          <w:szCs w:val="24"/>
          <w:lang w:val="es-CO"/>
        </w:rPr>
        <w:t xml:space="preserve"> </w:t>
      </w:r>
      <w:r w:rsidR="00C1558F" w:rsidRPr="00144404">
        <w:rPr>
          <w:rFonts w:ascii="Gadugi" w:hAnsi="Gadugi" w:cs="Arial"/>
          <w:spacing w:val="-4"/>
          <w:sz w:val="24"/>
          <w:szCs w:val="24"/>
          <w:lang w:val="es-CO"/>
        </w:rPr>
        <w:t xml:space="preserve">Segundo </w:t>
      </w:r>
      <w:r w:rsidR="001865F5" w:rsidRPr="00144404">
        <w:rPr>
          <w:rFonts w:ascii="Gadugi" w:hAnsi="Gadugi" w:cs="Arial"/>
          <w:spacing w:val="-4"/>
          <w:sz w:val="24"/>
          <w:szCs w:val="24"/>
          <w:lang w:val="es-CO"/>
        </w:rPr>
        <w:t xml:space="preserve">Civil del Circuito de </w:t>
      </w:r>
      <w:r w:rsidR="00C1558F" w:rsidRPr="00144404">
        <w:rPr>
          <w:rFonts w:ascii="Gadugi" w:hAnsi="Gadugi" w:cs="Arial"/>
          <w:spacing w:val="-4"/>
          <w:sz w:val="24"/>
          <w:szCs w:val="24"/>
          <w:lang w:val="es-CO"/>
        </w:rPr>
        <w:t>Pereira</w:t>
      </w:r>
      <w:r w:rsidRPr="00144404">
        <w:rPr>
          <w:rFonts w:ascii="Gadugi" w:eastAsia="Times New Roman" w:hAnsi="Gadugi" w:cs="Arial"/>
          <w:spacing w:val="-4"/>
          <w:sz w:val="24"/>
          <w:szCs w:val="24"/>
          <w:lang w:val="es-419" w:eastAsia="es-ES"/>
        </w:rPr>
        <w:t xml:space="preserve">, en esta </w:t>
      </w:r>
      <w:r w:rsidRPr="00144404">
        <w:rPr>
          <w:rFonts w:ascii="Gadugi" w:eastAsia="Times New Roman" w:hAnsi="Gadugi" w:cs="Arial"/>
          <w:b/>
          <w:spacing w:val="-4"/>
          <w:sz w:val="24"/>
          <w:szCs w:val="24"/>
          <w:lang w:val="es-ES" w:eastAsia="es-ES"/>
        </w:rPr>
        <w:t>acción de tutela</w:t>
      </w:r>
      <w:r w:rsidRPr="00144404">
        <w:rPr>
          <w:rFonts w:ascii="Gadugi" w:eastAsia="Times New Roman" w:hAnsi="Gadugi" w:cs="Arial"/>
          <w:spacing w:val="-4"/>
          <w:sz w:val="24"/>
          <w:szCs w:val="24"/>
          <w:lang w:val="es-ES" w:eastAsia="es-ES"/>
        </w:rPr>
        <w:t xml:space="preserve"> que </w:t>
      </w:r>
      <w:r w:rsidR="00C1558F" w:rsidRPr="00144404">
        <w:rPr>
          <w:rFonts w:ascii="Gadugi" w:eastAsia="Times New Roman" w:hAnsi="Gadugi" w:cs="Arial"/>
          <w:b/>
          <w:spacing w:val="-4"/>
          <w:sz w:val="24"/>
          <w:szCs w:val="24"/>
          <w:lang w:val="es-ES" w:eastAsia="es-ES"/>
        </w:rPr>
        <w:t xml:space="preserve">Jorge Julio Lizarazo Ramírez </w:t>
      </w:r>
      <w:r w:rsidRPr="00144404">
        <w:rPr>
          <w:rFonts w:ascii="Gadugi" w:eastAsia="Times New Roman" w:hAnsi="Gadugi" w:cs="Arial"/>
          <w:spacing w:val="-4"/>
          <w:sz w:val="24"/>
          <w:szCs w:val="24"/>
          <w:lang w:val="es-ES" w:eastAsia="es-ES"/>
        </w:rPr>
        <w:t xml:space="preserve">promovió </w:t>
      </w:r>
      <w:r w:rsidRPr="00144404">
        <w:rPr>
          <w:rFonts w:ascii="Gadugi" w:eastAsia="Times New Roman" w:hAnsi="Gadugi" w:cs="Arial"/>
          <w:spacing w:val="-4"/>
          <w:sz w:val="24"/>
          <w:szCs w:val="24"/>
          <w:lang w:val="es-419" w:eastAsia="es-ES"/>
        </w:rPr>
        <w:t xml:space="preserve">frente a </w:t>
      </w:r>
      <w:r w:rsidR="00EC1754" w:rsidRPr="00144404">
        <w:rPr>
          <w:rFonts w:ascii="Gadugi" w:eastAsia="Times New Roman" w:hAnsi="Gadugi" w:cs="Arial"/>
          <w:b/>
          <w:spacing w:val="-4"/>
          <w:sz w:val="24"/>
          <w:szCs w:val="24"/>
          <w:lang w:val="es-ES" w:eastAsia="es-ES"/>
        </w:rPr>
        <w:t>Colpensiones</w:t>
      </w:r>
      <w:r w:rsidR="00703448" w:rsidRPr="00144404">
        <w:rPr>
          <w:rFonts w:ascii="Gadugi" w:eastAsia="Times New Roman" w:hAnsi="Gadugi" w:cs="Arial"/>
          <w:spacing w:val="-4"/>
          <w:sz w:val="24"/>
          <w:szCs w:val="24"/>
          <w:lang w:val="es-ES" w:eastAsia="es-ES"/>
        </w:rPr>
        <w:t>.</w:t>
      </w:r>
      <w:r w:rsidR="00F3068A" w:rsidRPr="00144404">
        <w:rPr>
          <w:rFonts w:ascii="Gadugi" w:eastAsia="Times New Roman" w:hAnsi="Gadugi" w:cs="Arial"/>
          <w:spacing w:val="-4"/>
          <w:sz w:val="24"/>
          <w:szCs w:val="24"/>
          <w:lang w:val="es-ES" w:eastAsia="es-ES"/>
        </w:rPr>
        <w:t xml:space="preserve"> </w:t>
      </w:r>
    </w:p>
    <w:p w14:paraId="1BC3FA8D" w14:textId="318CDC4B" w:rsidR="00756044" w:rsidRPr="00144404" w:rsidRDefault="00756044" w:rsidP="0062092B">
      <w:pPr>
        <w:overflowPunct w:val="0"/>
        <w:autoSpaceDE w:val="0"/>
        <w:autoSpaceDN w:val="0"/>
        <w:adjustRightInd w:val="0"/>
        <w:spacing w:after="0" w:line="276" w:lineRule="auto"/>
        <w:textAlignment w:val="baseline"/>
        <w:rPr>
          <w:rFonts w:ascii="Gadugi" w:eastAsia="Times New Roman" w:hAnsi="Gadugi" w:cs="Arial"/>
          <w:b/>
          <w:bCs/>
          <w:spacing w:val="-4"/>
          <w:sz w:val="24"/>
          <w:szCs w:val="24"/>
          <w:lang w:val="es-ES" w:eastAsia="es-ES"/>
        </w:rPr>
      </w:pPr>
    </w:p>
    <w:p w14:paraId="486FC1D2" w14:textId="4CE609BE" w:rsidR="00756044" w:rsidRPr="00144404" w:rsidRDefault="007F5F4C" w:rsidP="0062092B">
      <w:pPr>
        <w:overflowPunct w:val="0"/>
        <w:autoSpaceDE w:val="0"/>
        <w:autoSpaceDN w:val="0"/>
        <w:adjustRightInd w:val="0"/>
        <w:spacing w:after="0" w:line="276" w:lineRule="auto"/>
        <w:textAlignment w:val="baseline"/>
        <w:rPr>
          <w:rFonts w:ascii="Gadugi" w:eastAsia="Times New Roman" w:hAnsi="Gadugi" w:cs="Arial"/>
          <w:spacing w:val="-4"/>
          <w:sz w:val="24"/>
          <w:szCs w:val="24"/>
          <w:lang w:val="es-ES" w:eastAsia="es-ES"/>
        </w:rPr>
      </w:pPr>
      <w:r w:rsidRPr="00144404">
        <w:rPr>
          <w:rFonts w:ascii="Gadugi" w:eastAsia="Times New Roman" w:hAnsi="Gadugi" w:cs="Arial"/>
          <w:b/>
          <w:bCs/>
          <w:spacing w:val="-4"/>
          <w:sz w:val="24"/>
          <w:szCs w:val="24"/>
          <w:lang w:val="es-ES" w:eastAsia="es-ES"/>
        </w:rPr>
        <w:t xml:space="preserve">1. </w:t>
      </w:r>
      <w:r w:rsidR="00756044" w:rsidRPr="00144404">
        <w:rPr>
          <w:rFonts w:ascii="Gadugi" w:eastAsia="Times New Roman" w:hAnsi="Gadugi" w:cs="Arial"/>
          <w:b/>
          <w:bCs/>
          <w:spacing w:val="-4"/>
          <w:sz w:val="24"/>
          <w:szCs w:val="24"/>
          <w:lang w:val="es-ES" w:eastAsia="es-ES"/>
        </w:rPr>
        <w:t>ANTECEDENTES</w:t>
      </w:r>
    </w:p>
    <w:p w14:paraId="71AF52D6" w14:textId="429C5271" w:rsidR="00756044" w:rsidRPr="00144404" w:rsidRDefault="00756044"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ES" w:eastAsia="es-ES"/>
        </w:rPr>
      </w:pPr>
    </w:p>
    <w:p w14:paraId="65141DAA" w14:textId="5BBD8309" w:rsidR="00C1558F" w:rsidRPr="00144404" w:rsidRDefault="007F5F4C"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lastRenderedPageBreak/>
        <w:t xml:space="preserve">1.1. </w:t>
      </w:r>
      <w:r w:rsidR="00BC6F09" w:rsidRPr="00144404">
        <w:rPr>
          <w:rFonts w:ascii="Gadugi" w:eastAsia="Times New Roman" w:hAnsi="Gadugi" w:cs="Arial"/>
          <w:spacing w:val="-4"/>
          <w:sz w:val="24"/>
          <w:szCs w:val="24"/>
          <w:lang w:val="es-419" w:eastAsia="es-ES"/>
        </w:rPr>
        <w:t>Narró</w:t>
      </w:r>
      <w:r w:rsidR="00F3068A" w:rsidRPr="00144404">
        <w:rPr>
          <w:rFonts w:ascii="Gadugi" w:eastAsia="Times New Roman" w:hAnsi="Gadugi" w:cs="Arial"/>
          <w:spacing w:val="-4"/>
          <w:sz w:val="24"/>
          <w:szCs w:val="24"/>
          <w:lang w:val="es-419" w:eastAsia="es-ES"/>
        </w:rPr>
        <w:t xml:space="preserve"> </w:t>
      </w:r>
      <w:r w:rsidR="00703448" w:rsidRPr="00144404">
        <w:rPr>
          <w:rFonts w:ascii="Gadugi" w:eastAsia="Times New Roman" w:hAnsi="Gadugi" w:cs="Arial"/>
          <w:spacing w:val="-4"/>
          <w:sz w:val="24"/>
          <w:szCs w:val="24"/>
          <w:lang w:val="es-419" w:eastAsia="es-ES"/>
        </w:rPr>
        <w:t>el</w:t>
      </w:r>
      <w:r w:rsidR="00F3068A" w:rsidRPr="00144404">
        <w:rPr>
          <w:rFonts w:ascii="Gadugi" w:eastAsia="Times New Roman" w:hAnsi="Gadugi" w:cs="Arial"/>
          <w:spacing w:val="-4"/>
          <w:sz w:val="24"/>
          <w:szCs w:val="24"/>
          <w:lang w:val="es-419" w:eastAsia="es-ES"/>
        </w:rPr>
        <w:t xml:space="preserve"> demandante</w:t>
      </w:r>
      <w:r w:rsidR="001865F5" w:rsidRPr="00144404">
        <w:rPr>
          <w:rFonts w:ascii="Gadugi" w:eastAsia="Times New Roman" w:hAnsi="Gadugi" w:cs="Arial"/>
          <w:spacing w:val="-4"/>
          <w:sz w:val="24"/>
          <w:szCs w:val="24"/>
          <w:lang w:val="es-419" w:eastAsia="es-ES"/>
        </w:rPr>
        <w:t xml:space="preserve"> que debido a que fue calificado con el </w:t>
      </w:r>
      <w:r w:rsidR="00C1558F" w:rsidRPr="00144404">
        <w:rPr>
          <w:rFonts w:ascii="Gadugi" w:eastAsia="Times New Roman" w:hAnsi="Gadugi" w:cs="Arial"/>
          <w:spacing w:val="-4"/>
          <w:sz w:val="24"/>
          <w:szCs w:val="24"/>
          <w:lang w:val="es-419" w:eastAsia="es-ES"/>
        </w:rPr>
        <w:t>51</w:t>
      </w:r>
      <w:r w:rsidR="001865F5" w:rsidRPr="00144404">
        <w:rPr>
          <w:rFonts w:ascii="Gadugi" w:eastAsia="Times New Roman" w:hAnsi="Gadugi" w:cs="Arial"/>
          <w:spacing w:val="-4"/>
          <w:sz w:val="24"/>
          <w:szCs w:val="24"/>
          <w:lang w:val="es-419" w:eastAsia="es-ES"/>
        </w:rPr>
        <w:t>,</w:t>
      </w:r>
      <w:r w:rsidR="00C1558F" w:rsidRPr="00144404">
        <w:rPr>
          <w:rFonts w:ascii="Gadugi" w:eastAsia="Times New Roman" w:hAnsi="Gadugi" w:cs="Arial"/>
          <w:spacing w:val="-4"/>
          <w:sz w:val="24"/>
          <w:szCs w:val="24"/>
          <w:lang w:val="es-419" w:eastAsia="es-ES"/>
        </w:rPr>
        <w:t>11</w:t>
      </w:r>
      <w:r w:rsidR="00EA2D67" w:rsidRPr="00144404">
        <w:rPr>
          <w:rFonts w:ascii="Gadugi" w:eastAsia="Times New Roman" w:hAnsi="Gadugi" w:cs="Arial"/>
          <w:spacing w:val="-4"/>
          <w:sz w:val="24"/>
          <w:szCs w:val="24"/>
          <w:lang w:val="es-419" w:eastAsia="es-ES"/>
        </w:rPr>
        <w:t>%</w:t>
      </w:r>
      <w:r w:rsidR="001865F5" w:rsidRPr="00144404">
        <w:rPr>
          <w:rFonts w:ascii="Gadugi" w:eastAsia="Times New Roman" w:hAnsi="Gadugi" w:cs="Arial"/>
          <w:spacing w:val="-4"/>
          <w:sz w:val="24"/>
          <w:szCs w:val="24"/>
          <w:lang w:val="es-419" w:eastAsia="es-ES"/>
        </w:rPr>
        <w:t xml:space="preserve"> de pérdida de capacidad laboral -PCL-, está pensionado por invalidez desde </w:t>
      </w:r>
      <w:r w:rsidR="00C1558F" w:rsidRPr="00144404">
        <w:rPr>
          <w:rFonts w:ascii="Gadugi" w:eastAsia="Times New Roman" w:hAnsi="Gadugi" w:cs="Arial"/>
          <w:spacing w:val="-4"/>
          <w:sz w:val="24"/>
          <w:szCs w:val="24"/>
          <w:lang w:val="es-419" w:eastAsia="es-ES"/>
        </w:rPr>
        <w:t>septiembre</w:t>
      </w:r>
      <w:r w:rsidR="001865F5" w:rsidRPr="00144404">
        <w:rPr>
          <w:rFonts w:ascii="Gadugi" w:eastAsia="Times New Roman" w:hAnsi="Gadugi" w:cs="Arial"/>
          <w:spacing w:val="-4"/>
          <w:sz w:val="24"/>
          <w:szCs w:val="24"/>
          <w:lang w:val="es-419" w:eastAsia="es-ES"/>
        </w:rPr>
        <w:t xml:space="preserve"> de 2016</w:t>
      </w:r>
      <w:r w:rsidR="00B26579" w:rsidRPr="00144404">
        <w:rPr>
          <w:rFonts w:ascii="Gadugi" w:eastAsia="Times New Roman" w:hAnsi="Gadugi" w:cs="Arial"/>
          <w:spacing w:val="-4"/>
          <w:sz w:val="24"/>
          <w:szCs w:val="24"/>
          <w:lang w:val="es-419" w:eastAsia="es-ES"/>
        </w:rPr>
        <w:t>,</w:t>
      </w:r>
      <w:r w:rsidR="00EA2D67" w:rsidRPr="00144404">
        <w:rPr>
          <w:rFonts w:ascii="Gadugi" w:eastAsia="Times New Roman" w:hAnsi="Gadugi" w:cs="Arial"/>
          <w:spacing w:val="-4"/>
          <w:sz w:val="24"/>
          <w:szCs w:val="24"/>
          <w:lang w:val="es-419" w:eastAsia="es-ES"/>
        </w:rPr>
        <w:t xml:space="preserve"> </w:t>
      </w:r>
      <w:r w:rsidR="00D648B7" w:rsidRPr="00144404">
        <w:rPr>
          <w:rFonts w:ascii="Gadugi" w:eastAsia="Times New Roman" w:hAnsi="Gadugi" w:cs="Arial"/>
          <w:spacing w:val="-4"/>
          <w:sz w:val="24"/>
          <w:szCs w:val="24"/>
          <w:lang w:val="es-419" w:eastAsia="es-ES"/>
        </w:rPr>
        <w:t>no obstante</w:t>
      </w:r>
      <w:r w:rsidR="00C1558F" w:rsidRPr="00144404">
        <w:rPr>
          <w:rFonts w:ascii="Gadugi" w:eastAsia="Times New Roman" w:hAnsi="Gadugi" w:cs="Arial"/>
          <w:spacing w:val="-4"/>
          <w:sz w:val="24"/>
          <w:szCs w:val="24"/>
          <w:lang w:val="es-419" w:eastAsia="es-ES"/>
        </w:rPr>
        <w:t xml:space="preserve">, </w:t>
      </w:r>
      <w:r w:rsidR="00B26579" w:rsidRPr="00144404">
        <w:rPr>
          <w:rFonts w:ascii="Gadugi" w:eastAsia="Times New Roman" w:hAnsi="Gadugi" w:cs="Arial"/>
          <w:spacing w:val="-4"/>
          <w:sz w:val="24"/>
          <w:szCs w:val="24"/>
          <w:lang w:val="es-419" w:eastAsia="es-ES"/>
        </w:rPr>
        <w:t>este</w:t>
      </w:r>
      <w:r w:rsidR="00C1558F" w:rsidRPr="00144404">
        <w:rPr>
          <w:rFonts w:ascii="Gadugi" w:eastAsia="Times New Roman" w:hAnsi="Gadugi" w:cs="Arial"/>
          <w:spacing w:val="-4"/>
          <w:sz w:val="24"/>
          <w:szCs w:val="24"/>
          <w:lang w:val="es-419" w:eastAsia="es-ES"/>
        </w:rPr>
        <w:t xml:space="preserve"> año Colpensiones dejó de pagarle la subvención.</w:t>
      </w:r>
    </w:p>
    <w:p w14:paraId="3B3CEB42" w14:textId="1E1919F9" w:rsidR="00C1558F" w:rsidRPr="00144404" w:rsidRDefault="00C1558F"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440614BD" w14:textId="5545BC77" w:rsidR="00C1558F" w:rsidRPr="00144404" w:rsidRDefault="00C1558F"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 xml:space="preserve">Por ello, acudió a las oficinas de esa entidad, y se enteró </w:t>
      </w:r>
      <w:r w:rsidR="00B26579" w:rsidRPr="00144404">
        <w:rPr>
          <w:rFonts w:ascii="Gadugi" w:eastAsia="Times New Roman" w:hAnsi="Gadugi" w:cs="Arial"/>
          <w:spacing w:val="-4"/>
          <w:sz w:val="24"/>
          <w:szCs w:val="24"/>
          <w:lang w:val="es-419" w:eastAsia="es-ES"/>
        </w:rPr>
        <w:t xml:space="preserve">de </w:t>
      </w:r>
      <w:r w:rsidRPr="00144404">
        <w:rPr>
          <w:rFonts w:ascii="Gadugi" w:eastAsia="Times New Roman" w:hAnsi="Gadugi" w:cs="Arial"/>
          <w:spacing w:val="-4"/>
          <w:sz w:val="24"/>
          <w:szCs w:val="24"/>
          <w:lang w:val="es-419" w:eastAsia="es-ES"/>
        </w:rPr>
        <w:t xml:space="preserve">que, con oficio del 7 de junio de 2022, se le comunicaba sobre dicha suspensión por no haber realizado la revisión periódica de </w:t>
      </w:r>
      <w:r w:rsidR="008E60FB" w:rsidRPr="00144404">
        <w:rPr>
          <w:rFonts w:ascii="Gadugi" w:eastAsia="Times New Roman" w:hAnsi="Gadugi" w:cs="Arial"/>
          <w:spacing w:val="-4"/>
          <w:sz w:val="24"/>
          <w:szCs w:val="24"/>
          <w:lang w:val="es-419" w:eastAsia="es-ES"/>
        </w:rPr>
        <w:t xml:space="preserve">su </w:t>
      </w:r>
      <w:r w:rsidRPr="00144404">
        <w:rPr>
          <w:rFonts w:ascii="Gadugi" w:eastAsia="Times New Roman" w:hAnsi="Gadugi" w:cs="Arial"/>
          <w:spacing w:val="-4"/>
          <w:sz w:val="24"/>
          <w:szCs w:val="24"/>
          <w:lang w:val="es-419" w:eastAsia="es-ES"/>
        </w:rPr>
        <w:t xml:space="preserve">invalidez, </w:t>
      </w:r>
      <w:r w:rsidR="00D648B7" w:rsidRPr="00144404">
        <w:rPr>
          <w:rFonts w:ascii="Gadugi" w:eastAsia="Times New Roman" w:hAnsi="Gadugi" w:cs="Arial"/>
          <w:spacing w:val="-4"/>
          <w:sz w:val="24"/>
          <w:szCs w:val="24"/>
          <w:lang w:val="es-419" w:eastAsia="es-ES"/>
        </w:rPr>
        <w:t>sin embargo</w:t>
      </w:r>
      <w:r w:rsidRPr="00144404">
        <w:rPr>
          <w:rFonts w:ascii="Gadugi" w:eastAsia="Times New Roman" w:hAnsi="Gadugi" w:cs="Arial"/>
          <w:spacing w:val="-4"/>
          <w:sz w:val="24"/>
          <w:szCs w:val="24"/>
          <w:lang w:val="es-419" w:eastAsia="es-ES"/>
        </w:rPr>
        <w:t>, esa comunicación se envió a una</w:t>
      </w:r>
      <w:r w:rsidR="00B26579" w:rsidRPr="00144404">
        <w:rPr>
          <w:rFonts w:ascii="Gadugi" w:eastAsia="Times New Roman" w:hAnsi="Gadugi" w:cs="Arial"/>
          <w:spacing w:val="-4"/>
          <w:sz w:val="24"/>
          <w:szCs w:val="24"/>
          <w:lang w:val="es-419" w:eastAsia="es-ES"/>
        </w:rPr>
        <w:t xml:space="preserve"> dirección</w:t>
      </w:r>
      <w:r w:rsidRPr="00144404">
        <w:rPr>
          <w:rFonts w:ascii="Gadugi" w:eastAsia="Times New Roman" w:hAnsi="Gadugi" w:cs="Arial"/>
          <w:spacing w:val="-4"/>
          <w:sz w:val="24"/>
          <w:szCs w:val="24"/>
          <w:lang w:val="es-419" w:eastAsia="es-ES"/>
        </w:rPr>
        <w:t xml:space="preserve"> que no corresponde a su domicilio. </w:t>
      </w:r>
    </w:p>
    <w:p w14:paraId="6175ED9D" w14:textId="6BBE9BB9" w:rsidR="00C1558F" w:rsidRPr="00144404" w:rsidRDefault="00C1558F"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0A68EA71" w14:textId="3D89B411" w:rsidR="00B26579" w:rsidRDefault="00B26579"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Así las cosas, presentó una solicitud para la revisión de su PCL, y el 15 de junio le solicitaron aportar documentos adicionales, para lo cual se le concedió un plazo de 30 días, los cuales no pudo obtener en ese lapso por dificultades con su EPS.</w:t>
      </w:r>
    </w:p>
    <w:p w14:paraId="66CDCCB6" w14:textId="77777777" w:rsidR="00750393" w:rsidRPr="00144404" w:rsidRDefault="00750393"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382FC00B" w14:textId="36B7B182" w:rsidR="00B26579" w:rsidRPr="00144404" w:rsidRDefault="00B26579"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 xml:space="preserve">Insistió en que nunca le fue notificado en debida forma ningún requerimiento relacionado con la recalificación de su PCL, y en que, sin su mesada pensional su mínimo vital se ve afectado. </w:t>
      </w:r>
    </w:p>
    <w:p w14:paraId="06015C84" w14:textId="28F2D6CA" w:rsidR="001865F5" w:rsidRPr="00144404" w:rsidRDefault="001865F5"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4E8258B8" w14:textId="322C6382" w:rsidR="00CD219C" w:rsidRPr="00144404" w:rsidRDefault="001865F5"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 xml:space="preserve">Pidió, entonces, ordenarle a Colpensiones </w:t>
      </w:r>
      <w:r w:rsidR="00CD219C" w:rsidRPr="00144404">
        <w:rPr>
          <w:rFonts w:ascii="Gadugi" w:eastAsia="Times New Roman" w:hAnsi="Gadugi" w:cs="Arial"/>
          <w:spacing w:val="-4"/>
          <w:sz w:val="24"/>
          <w:szCs w:val="24"/>
          <w:lang w:val="es-419" w:eastAsia="es-ES"/>
        </w:rPr>
        <w:t>reactivar el pago de su pensión, mientras se adelantan los trámites para la calificación de su PCL y concederle un plazo razonable para poder allegar la documentación requerida, dadas las complejidades que implica tramitarla ante la EPS.</w:t>
      </w:r>
      <w:r w:rsidR="00C443F1" w:rsidRPr="00144404">
        <w:rPr>
          <w:rStyle w:val="Refdenotaalpie"/>
          <w:rFonts w:ascii="Gadugi" w:eastAsia="Times New Roman" w:hAnsi="Gadugi"/>
          <w:spacing w:val="-4"/>
          <w:sz w:val="24"/>
          <w:szCs w:val="24"/>
          <w:lang w:val="es-419" w:eastAsia="es-ES"/>
        </w:rPr>
        <w:footnoteReference w:id="1"/>
      </w:r>
      <w:r w:rsidR="00CD219C" w:rsidRPr="00144404">
        <w:rPr>
          <w:rFonts w:ascii="Gadugi" w:eastAsia="Times New Roman" w:hAnsi="Gadugi" w:cs="Arial"/>
          <w:spacing w:val="-4"/>
          <w:sz w:val="24"/>
          <w:szCs w:val="24"/>
          <w:lang w:val="es-419" w:eastAsia="es-ES"/>
        </w:rPr>
        <w:t xml:space="preserve">  </w:t>
      </w:r>
    </w:p>
    <w:p w14:paraId="022B559E" w14:textId="3F16C37C" w:rsidR="001865F5" w:rsidRPr="00144404" w:rsidRDefault="001865F5"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65CC589F" w14:textId="725BCBDA" w:rsidR="001865F5" w:rsidRPr="00144404" w:rsidRDefault="001865F5"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1.2.</w:t>
      </w:r>
      <w:r w:rsidR="00CD219C" w:rsidRPr="00144404">
        <w:rPr>
          <w:rFonts w:ascii="Gadugi" w:eastAsia="Times New Roman" w:hAnsi="Gadugi" w:cs="Arial"/>
          <w:spacing w:val="-4"/>
          <w:sz w:val="24"/>
          <w:szCs w:val="24"/>
          <w:lang w:val="es-419" w:eastAsia="es-ES"/>
        </w:rPr>
        <w:t xml:space="preserve"> E</w:t>
      </w:r>
      <w:r w:rsidRPr="00144404">
        <w:rPr>
          <w:rFonts w:ascii="Gadugi" w:eastAsia="Times New Roman" w:hAnsi="Gadugi" w:cs="Arial"/>
          <w:spacing w:val="-4"/>
          <w:sz w:val="24"/>
          <w:szCs w:val="24"/>
          <w:lang w:val="es-419" w:eastAsia="es-ES"/>
        </w:rPr>
        <w:t xml:space="preserve">n primera instancia se dio impulso a la acción con proveído del </w:t>
      </w:r>
      <w:r w:rsidR="00CD219C" w:rsidRPr="00144404">
        <w:rPr>
          <w:rFonts w:ascii="Gadugi" w:eastAsia="Times New Roman" w:hAnsi="Gadugi" w:cs="Arial"/>
          <w:spacing w:val="-4"/>
          <w:sz w:val="24"/>
          <w:szCs w:val="24"/>
          <w:lang w:val="es-419" w:eastAsia="es-ES"/>
        </w:rPr>
        <w:t>13</w:t>
      </w:r>
      <w:r w:rsidRPr="00144404">
        <w:rPr>
          <w:rFonts w:ascii="Gadugi" w:eastAsia="Times New Roman" w:hAnsi="Gadugi" w:cs="Arial"/>
          <w:spacing w:val="-4"/>
          <w:sz w:val="24"/>
          <w:szCs w:val="24"/>
          <w:lang w:val="es-419" w:eastAsia="es-ES"/>
        </w:rPr>
        <w:t xml:space="preserve"> de </w:t>
      </w:r>
      <w:r w:rsidR="00CD219C" w:rsidRPr="00144404">
        <w:rPr>
          <w:rFonts w:ascii="Gadugi" w:eastAsia="Times New Roman" w:hAnsi="Gadugi" w:cs="Arial"/>
          <w:spacing w:val="-4"/>
          <w:sz w:val="24"/>
          <w:szCs w:val="24"/>
          <w:lang w:val="es-419" w:eastAsia="es-ES"/>
        </w:rPr>
        <w:t>septiembre</w:t>
      </w:r>
      <w:r w:rsidRPr="00144404">
        <w:rPr>
          <w:rFonts w:ascii="Gadugi" w:eastAsia="Times New Roman" w:hAnsi="Gadugi" w:cs="Arial"/>
          <w:spacing w:val="-4"/>
          <w:sz w:val="24"/>
          <w:szCs w:val="24"/>
          <w:lang w:val="es-419" w:eastAsia="es-ES"/>
        </w:rPr>
        <w:t xml:space="preserve"> de 2022</w:t>
      </w:r>
      <w:r w:rsidR="00F25C6C" w:rsidRPr="00144404">
        <w:rPr>
          <w:rFonts w:ascii="Gadugi" w:eastAsia="Times New Roman" w:hAnsi="Gadugi" w:cs="Arial"/>
          <w:spacing w:val="-4"/>
          <w:sz w:val="24"/>
          <w:szCs w:val="24"/>
          <w:lang w:val="es-419" w:eastAsia="es-ES"/>
        </w:rPr>
        <w:t xml:space="preserve"> convocando por pasiva, a varias dependencias de Colpensiones, entre ellas, a la Dirección de Medicina Laboral</w:t>
      </w:r>
      <w:r w:rsidR="00CD219C" w:rsidRPr="00144404">
        <w:rPr>
          <w:rFonts w:ascii="Gadugi" w:eastAsia="Times New Roman" w:hAnsi="Gadugi" w:cs="Arial"/>
          <w:spacing w:val="-4"/>
          <w:sz w:val="24"/>
          <w:szCs w:val="24"/>
          <w:lang w:val="es-419" w:eastAsia="es-ES"/>
        </w:rPr>
        <w:t xml:space="preserve"> y a la Dirección de Nómina de Pensionados.</w:t>
      </w:r>
      <w:r w:rsidR="00323F66" w:rsidRPr="00144404">
        <w:rPr>
          <w:rStyle w:val="Refdenotaalpie"/>
          <w:rFonts w:ascii="Gadugi" w:eastAsia="Times New Roman" w:hAnsi="Gadugi"/>
          <w:spacing w:val="-4"/>
          <w:sz w:val="24"/>
          <w:szCs w:val="24"/>
          <w:lang w:val="es-419" w:eastAsia="es-ES"/>
        </w:rPr>
        <w:footnoteReference w:id="2"/>
      </w:r>
    </w:p>
    <w:p w14:paraId="6FEBC594" w14:textId="77777777" w:rsidR="00F25C6C" w:rsidRPr="00144404" w:rsidRDefault="00F25C6C"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4939AD91" w14:textId="05612291" w:rsidR="004C62CA" w:rsidRPr="00144404" w:rsidRDefault="007F5F4C"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 xml:space="preserve">1.3. </w:t>
      </w:r>
      <w:r w:rsidR="00F25C6C" w:rsidRPr="00144404">
        <w:rPr>
          <w:rFonts w:ascii="Gadugi" w:eastAsia="Times New Roman" w:hAnsi="Gadugi" w:cs="Arial"/>
          <w:spacing w:val="-4"/>
          <w:sz w:val="24"/>
          <w:szCs w:val="24"/>
          <w:lang w:val="es-419" w:eastAsia="es-ES"/>
        </w:rPr>
        <w:t>La entidad encausada explicó que</w:t>
      </w:r>
      <w:r w:rsidR="004C62CA" w:rsidRPr="00144404">
        <w:rPr>
          <w:rFonts w:ascii="Gadugi" w:eastAsia="Times New Roman" w:hAnsi="Gadugi" w:cs="Arial"/>
          <w:spacing w:val="-4"/>
          <w:sz w:val="24"/>
          <w:szCs w:val="24"/>
          <w:lang w:val="es-419" w:eastAsia="es-ES"/>
        </w:rPr>
        <w:t>, con oficio del 9 de junio, se le comunicó al accionante que su pensión fue suspendida porque</w:t>
      </w:r>
      <w:r w:rsidR="00365E39" w:rsidRPr="00144404">
        <w:rPr>
          <w:rFonts w:ascii="Gadugi" w:eastAsia="Times New Roman" w:hAnsi="Gadugi" w:cs="Arial"/>
          <w:spacing w:val="-4"/>
          <w:sz w:val="24"/>
          <w:szCs w:val="24"/>
          <w:lang w:val="es-419" w:eastAsia="es-ES"/>
        </w:rPr>
        <w:t xml:space="preserve">, según se le informó en el oficio </w:t>
      </w:r>
      <w:r w:rsidR="00365E39" w:rsidRPr="00144404">
        <w:rPr>
          <w:rFonts w:ascii="Gadugi" w:eastAsia="Times New Roman" w:hAnsi="Gadugi" w:cs="Arial"/>
          <w:b/>
          <w:spacing w:val="-4"/>
          <w:sz w:val="24"/>
          <w:szCs w:val="24"/>
          <w:lang w:val="es-419" w:eastAsia="es-ES"/>
        </w:rPr>
        <w:t>BZ2022_7633603-1696631 del 9 de junio de 2022</w:t>
      </w:r>
      <w:r w:rsidR="004C62CA" w:rsidRPr="00144404">
        <w:rPr>
          <w:rFonts w:ascii="Gadugi" w:eastAsia="Times New Roman" w:hAnsi="Gadugi" w:cs="Arial"/>
          <w:spacing w:val="-4"/>
          <w:sz w:val="24"/>
          <w:szCs w:val="24"/>
          <w:lang w:val="es-419" w:eastAsia="es-ES"/>
        </w:rPr>
        <w:t xml:space="preserve"> </w:t>
      </w:r>
      <w:r w:rsidR="004C62CA" w:rsidRPr="00144404">
        <w:rPr>
          <w:rFonts w:ascii="Gadugi" w:eastAsia="Times New Roman" w:hAnsi="Gadugi" w:cs="Arial"/>
          <w:i/>
          <w:spacing w:val="-4"/>
          <w:sz w:val="24"/>
          <w:szCs w:val="24"/>
          <w:lang w:val="es-419" w:eastAsia="es-ES"/>
        </w:rPr>
        <w:t>“</w:t>
      </w:r>
      <w:r w:rsidR="004C62CA" w:rsidRPr="00144404">
        <w:rPr>
          <w:rFonts w:ascii="Gadugi" w:eastAsia="Times New Roman" w:hAnsi="Gadugi" w:cs="Arial"/>
          <w:i/>
          <w:spacing w:val="-4"/>
          <w:szCs w:val="24"/>
          <w:lang w:val="es-419" w:eastAsia="es-ES"/>
        </w:rPr>
        <w:t>El origen y/o el grado de pérdida de la capacidad laboral / ocupacional y/o fecha de estructuración, se encuentra (n) en controversia / recurso de reposición / apelación ante la Junta Regional / Nacional de Calificación de Invalidez</w:t>
      </w:r>
      <w:r w:rsidR="004C62CA" w:rsidRPr="00144404">
        <w:rPr>
          <w:rFonts w:ascii="Gadugi" w:eastAsia="Times New Roman" w:hAnsi="Gadugi" w:cs="Arial"/>
          <w:i/>
          <w:spacing w:val="-4"/>
          <w:sz w:val="24"/>
          <w:szCs w:val="24"/>
          <w:lang w:val="es-419" w:eastAsia="es-ES"/>
        </w:rPr>
        <w:t>”</w:t>
      </w:r>
      <w:r w:rsidR="009C0A55" w:rsidRPr="00144404">
        <w:rPr>
          <w:rFonts w:ascii="Gadugi" w:eastAsia="Times New Roman" w:hAnsi="Gadugi" w:cs="Arial"/>
          <w:i/>
          <w:spacing w:val="-4"/>
          <w:sz w:val="24"/>
          <w:szCs w:val="24"/>
          <w:lang w:val="es-419" w:eastAsia="es-ES"/>
        </w:rPr>
        <w:t xml:space="preserve">. </w:t>
      </w:r>
      <w:r w:rsidR="004C62CA" w:rsidRPr="00144404">
        <w:rPr>
          <w:rFonts w:ascii="Gadugi" w:eastAsia="Times New Roman" w:hAnsi="Gadugi" w:cs="Arial"/>
          <w:spacing w:val="-4"/>
          <w:sz w:val="24"/>
          <w:szCs w:val="24"/>
          <w:lang w:val="es-419" w:eastAsia="es-ES"/>
        </w:rPr>
        <w:t xml:space="preserve">Agregó que, del 30 de diciembre de 2021, reposan los soportes de contactabilidad, con una comunicación emitida el día 17 de diciembre de 2021, mediante la cual se le brindó al actor la información y </w:t>
      </w:r>
      <w:r w:rsidR="009C0A55" w:rsidRPr="00144404">
        <w:rPr>
          <w:rFonts w:ascii="Gadugi" w:eastAsia="Times New Roman" w:hAnsi="Gadugi" w:cs="Arial"/>
          <w:spacing w:val="-4"/>
          <w:sz w:val="24"/>
          <w:szCs w:val="24"/>
          <w:lang w:val="es-419" w:eastAsia="es-ES"/>
        </w:rPr>
        <w:t>los documentos necesarios</w:t>
      </w:r>
      <w:r w:rsidR="004C62CA" w:rsidRPr="00144404">
        <w:rPr>
          <w:rFonts w:ascii="Gadugi" w:eastAsia="Times New Roman" w:hAnsi="Gadugi" w:cs="Arial"/>
          <w:spacing w:val="-4"/>
          <w:sz w:val="24"/>
          <w:szCs w:val="24"/>
          <w:lang w:val="es-419" w:eastAsia="es-ES"/>
        </w:rPr>
        <w:t xml:space="preserve"> para iniciar trámite de revisión del estado de Invalidez,</w:t>
      </w:r>
      <w:r w:rsidR="009C0A55" w:rsidRPr="00144404">
        <w:rPr>
          <w:rFonts w:ascii="Gadugi" w:eastAsia="Times New Roman" w:hAnsi="Gadugi" w:cs="Arial"/>
          <w:spacing w:val="-4"/>
          <w:sz w:val="24"/>
          <w:szCs w:val="24"/>
          <w:lang w:val="es-419" w:eastAsia="es-ES"/>
        </w:rPr>
        <w:t xml:space="preserve"> y que,</w:t>
      </w:r>
      <w:r w:rsidR="004C62CA" w:rsidRPr="00144404">
        <w:rPr>
          <w:rFonts w:ascii="Gadugi" w:eastAsia="Times New Roman" w:hAnsi="Gadugi" w:cs="Arial"/>
          <w:spacing w:val="-4"/>
          <w:sz w:val="24"/>
          <w:szCs w:val="24"/>
          <w:lang w:val="es-419" w:eastAsia="es-ES"/>
        </w:rPr>
        <w:t xml:space="preserve"> </w:t>
      </w:r>
      <w:r w:rsidR="009C0A55" w:rsidRPr="00144404">
        <w:rPr>
          <w:rFonts w:ascii="Gadugi" w:eastAsia="Times New Roman" w:hAnsi="Gadugi" w:cs="Arial"/>
          <w:spacing w:val="-4"/>
          <w:sz w:val="24"/>
          <w:szCs w:val="24"/>
          <w:lang w:val="es-419" w:eastAsia="es-ES"/>
        </w:rPr>
        <w:t>asimismo,</w:t>
      </w:r>
      <w:r w:rsidR="004C62CA" w:rsidRPr="00144404">
        <w:rPr>
          <w:rFonts w:ascii="Gadugi" w:eastAsia="Times New Roman" w:hAnsi="Gadugi" w:cs="Arial"/>
          <w:spacing w:val="-4"/>
          <w:sz w:val="24"/>
          <w:szCs w:val="24"/>
          <w:lang w:val="es-419" w:eastAsia="es-ES"/>
        </w:rPr>
        <w:t xml:space="preserve"> se realizó la</w:t>
      </w:r>
      <w:r w:rsidR="009C0A55" w:rsidRPr="00144404">
        <w:rPr>
          <w:rFonts w:ascii="Gadugi" w:eastAsia="Times New Roman" w:hAnsi="Gadugi" w:cs="Arial"/>
          <w:spacing w:val="-4"/>
          <w:sz w:val="24"/>
          <w:szCs w:val="24"/>
          <w:lang w:val="es-419" w:eastAsia="es-ES"/>
        </w:rPr>
        <w:t xml:space="preserve"> respectiva </w:t>
      </w:r>
      <w:r w:rsidR="004C62CA" w:rsidRPr="00144404">
        <w:rPr>
          <w:rFonts w:ascii="Gadugi" w:eastAsia="Times New Roman" w:hAnsi="Gadugi" w:cs="Arial"/>
          <w:spacing w:val="-4"/>
          <w:sz w:val="24"/>
          <w:szCs w:val="24"/>
          <w:lang w:val="es-419" w:eastAsia="es-ES"/>
        </w:rPr>
        <w:t>publicación por la página web</w:t>
      </w:r>
      <w:r w:rsidR="009C0A55" w:rsidRPr="00144404">
        <w:rPr>
          <w:rFonts w:ascii="Gadugi" w:eastAsia="Times New Roman" w:hAnsi="Gadugi" w:cs="Arial"/>
          <w:spacing w:val="-4"/>
          <w:sz w:val="24"/>
          <w:szCs w:val="24"/>
          <w:lang w:val="es-419" w:eastAsia="es-ES"/>
        </w:rPr>
        <w:t>,</w:t>
      </w:r>
      <w:r w:rsidR="004C62CA" w:rsidRPr="00144404">
        <w:rPr>
          <w:rFonts w:ascii="Gadugi" w:eastAsia="Times New Roman" w:hAnsi="Gadugi" w:cs="Arial"/>
          <w:spacing w:val="-4"/>
          <w:sz w:val="24"/>
          <w:szCs w:val="24"/>
          <w:lang w:val="es-419" w:eastAsia="es-ES"/>
        </w:rPr>
        <w:t xml:space="preserve"> con aviso fijado el 3 de agosto de 2022 y desfijado el 9 de agosto de 2022.</w:t>
      </w:r>
    </w:p>
    <w:p w14:paraId="64BF04F0" w14:textId="77777777" w:rsidR="0062092B" w:rsidRPr="00144404" w:rsidRDefault="0062092B"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01B3B2BB" w14:textId="4E4268E5" w:rsidR="009C0A55" w:rsidRPr="00144404" w:rsidRDefault="009C0A55"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 xml:space="preserve">También mencionó que, el afiliado inició el trámite para la calificación de su PCL el pasado 9 de junio, y el 1° de agosto pidió prórroga para aportar los documentos requeridos, solicitud que está en evaluación, con lo cual, él desconoce el plazo que le sería otorgado </w:t>
      </w:r>
      <w:r w:rsidRPr="00144404">
        <w:rPr>
          <w:rFonts w:ascii="Gadugi" w:eastAsia="Times New Roman" w:hAnsi="Gadugi" w:cs="Arial"/>
          <w:spacing w:val="-4"/>
          <w:sz w:val="24"/>
          <w:szCs w:val="24"/>
          <w:lang w:val="es-419" w:eastAsia="es-ES"/>
        </w:rPr>
        <w:lastRenderedPageBreak/>
        <w:t>para ello. Finalmente invocó el carácter subsidiario de la acción de tutela y pidió declarar improcedente el amparo.</w:t>
      </w:r>
      <w:r w:rsidR="00323F66" w:rsidRPr="00144404">
        <w:rPr>
          <w:rStyle w:val="Refdenotaalpie"/>
          <w:rFonts w:ascii="Gadugi" w:eastAsia="Times New Roman" w:hAnsi="Gadugi"/>
          <w:spacing w:val="-4"/>
          <w:sz w:val="24"/>
          <w:szCs w:val="24"/>
          <w:lang w:val="es-419" w:eastAsia="es-ES"/>
        </w:rPr>
        <w:footnoteReference w:id="3"/>
      </w:r>
      <w:r w:rsidRPr="00144404">
        <w:rPr>
          <w:rFonts w:ascii="Gadugi" w:eastAsia="Times New Roman" w:hAnsi="Gadugi" w:cs="Arial"/>
          <w:spacing w:val="-4"/>
          <w:sz w:val="24"/>
          <w:szCs w:val="24"/>
          <w:lang w:val="es-419" w:eastAsia="es-ES"/>
        </w:rPr>
        <w:t xml:space="preserve"> </w:t>
      </w:r>
    </w:p>
    <w:p w14:paraId="35774CA5" w14:textId="534E591F" w:rsidR="004C62CA" w:rsidRPr="00144404" w:rsidRDefault="004C62CA"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1168EBEE" w14:textId="7EFB7AAB" w:rsidR="002E0084" w:rsidRPr="00144404" w:rsidRDefault="002E0084"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 xml:space="preserve">1.4. </w:t>
      </w:r>
      <w:r w:rsidR="009C0A55" w:rsidRPr="00144404">
        <w:rPr>
          <w:rFonts w:ascii="Gadugi" w:eastAsia="Times New Roman" w:hAnsi="Gadugi" w:cs="Arial"/>
          <w:spacing w:val="-4"/>
          <w:sz w:val="24"/>
          <w:szCs w:val="24"/>
          <w:lang w:val="es-419" w:eastAsia="es-ES"/>
        </w:rPr>
        <w:t xml:space="preserve">Sobrevino el fallo de primer grado </w:t>
      </w:r>
      <w:r w:rsidRPr="00144404">
        <w:rPr>
          <w:rFonts w:ascii="Gadugi" w:eastAsia="Times New Roman" w:hAnsi="Gadugi" w:cs="Arial"/>
          <w:spacing w:val="-4"/>
          <w:sz w:val="24"/>
          <w:szCs w:val="24"/>
          <w:lang w:val="es-419" w:eastAsia="es-ES"/>
        </w:rPr>
        <w:t xml:space="preserve">en el </w:t>
      </w:r>
      <w:r w:rsidR="009C0A55" w:rsidRPr="00144404">
        <w:rPr>
          <w:rFonts w:ascii="Gadugi" w:eastAsia="Times New Roman" w:hAnsi="Gadugi" w:cs="Arial"/>
          <w:spacing w:val="-4"/>
          <w:sz w:val="24"/>
          <w:szCs w:val="24"/>
          <w:lang w:val="es-419" w:eastAsia="es-ES"/>
        </w:rPr>
        <w:t>que concedió el amparo</w:t>
      </w:r>
      <w:r w:rsidRPr="00144404">
        <w:rPr>
          <w:rFonts w:ascii="Gadugi" w:eastAsia="Times New Roman" w:hAnsi="Gadugi" w:cs="Arial"/>
          <w:spacing w:val="-4"/>
          <w:sz w:val="24"/>
          <w:szCs w:val="24"/>
          <w:lang w:val="es-419" w:eastAsia="es-ES"/>
        </w:rPr>
        <w:t xml:space="preserve"> y se dispuso </w:t>
      </w:r>
      <w:r w:rsidRPr="00144404">
        <w:rPr>
          <w:rFonts w:ascii="Gadugi" w:eastAsia="Times New Roman" w:hAnsi="Gadugi" w:cs="Arial"/>
          <w:i/>
          <w:spacing w:val="-4"/>
          <w:sz w:val="24"/>
          <w:szCs w:val="24"/>
          <w:lang w:val="es-419" w:eastAsia="es-ES"/>
        </w:rPr>
        <w:t>“</w:t>
      </w:r>
      <w:r w:rsidRPr="00144404">
        <w:rPr>
          <w:rFonts w:ascii="Gadugi" w:eastAsia="Times New Roman" w:hAnsi="Gadugi" w:cs="Arial"/>
          <w:i/>
          <w:spacing w:val="-4"/>
          <w:szCs w:val="24"/>
          <w:lang w:val="es-419" w:eastAsia="es-ES"/>
        </w:rPr>
        <w:t>Ordenar (…) Colpensiones, a través de la (…) directora de Nómina de Pensionados, que (…) reactive en nómina de pensionados al señor Jorge Julio Lizarazo Ramírez. Y a la Dirección de Medicina Laboral de la misma entidad (…) que (…), continúe con la revisión de su estado de invalidez, debiendo dicho trámite finalizar, en un lapso que no supere un mes</w:t>
      </w:r>
      <w:r w:rsidRPr="00144404">
        <w:rPr>
          <w:rFonts w:ascii="Gadugi" w:eastAsia="Times New Roman" w:hAnsi="Gadugi" w:cs="Arial"/>
          <w:i/>
          <w:spacing w:val="-4"/>
          <w:sz w:val="24"/>
          <w:szCs w:val="24"/>
          <w:lang w:val="es-419" w:eastAsia="es-ES"/>
        </w:rPr>
        <w:t>.”</w:t>
      </w:r>
    </w:p>
    <w:p w14:paraId="179F8400" w14:textId="1C3170DE" w:rsidR="009C0A55" w:rsidRPr="00144404" w:rsidRDefault="009C0A55"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2FC3C606" w14:textId="1FAA6006" w:rsidR="002E0084" w:rsidRPr="00144404" w:rsidRDefault="002E0084"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 xml:space="preserve">Para así decidir, concluyó que </w:t>
      </w:r>
      <w:r w:rsidRPr="00144404">
        <w:rPr>
          <w:rFonts w:ascii="Gadugi" w:eastAsia="Times New Roman" w:hAnsi="Gadugi" w:cs="Arial"/>
          <w:i/>
          <w:spacing w:val="-4"/>
          <w:sz w:val="24"/>
          <w:szCs w:val="24"/>
          <w:lang w:val="es-419" w:eastAsia="es-ES"/>
        </w:rPr>
        <w:t>“</w:t>
      </w:r>
      <w:r w:rsidRPr="00144404">
        <w:rPr>
          <w:rFonts w:ascii="Gadugi" w:eastAsia="Times New Roman" w:hAnsi="Gadugi" w:cs="Arial"/>
          <w:i/>
          <w:spacing w:val="-4"/>
          <w:szCs w:val="24"/>
          <w:lang w:val="es-419" w:eastAsia="es-ES"/>
        </w:rPr>
        <w:t>(…) quedó demostrado que la AFP nunca citó al accionante para la revisión de PCL. De igual forma, es pertinente traer a colación, que es Colpensiones, y no el demandante, el llamado a establecer una comunicación con la EPS, para propiciar los exámenes médicos que se requieren para la revisión de la PCL de su afiliado.</w:t>
      </w:r>
      <w:r w:rsidRPr="00144404">
        <w:rPr>
          <w:rFonts w:ascii="Gadugi" w:eastAsia="Times New Roman" w:hAnsi="Gadugi" w:cs="Arial"/>
          <w:i/>
          <w:spacing w:val="-4"/>
          <w:sz w:val="24"/>
          <w:szCs w:val="24"/>
          <w:lang w:val="es-419" w:eastAsia="es-ES"/>
        </w:rPr>
        <w:t>”</w:t>
      </w:r>
      <w:r w:rsidR="00323F66" w:rsidRPr="00144404">
        <w:rPr>
          <w:rStyle w:val="Refdenotaalpie"/>
          <w:rFonts w:ascii="Gadugi" w:eastAsia="Times New Roman" w:hAnsi="Gadugi"/>
          <w:i/>
          <w:spacing w:val="-4"/>
          <w:sz w:val="24"/>
          <w:szCs w:val="24"/>
          <w:lang w:val="es-419" w:eastAsia="es-ES"/>
        </w:rPr>
        <w:footnoteReference w:id="4"/>
      </w:r>
    </w:p>
    <w:p w14:paraId="20ACE637" w14:textId="109DFA58" w:rsidR="009C0A55" w:rsidRPr="00144404" w:rsidRDefault="009C0A55"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1799BE24" w14:textId="0A61D3E2" w:rsidR="002E0084" w:rsidRPr="00144404" w:rsidRDefault="002E0084"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1.5. Impugnó Colpensiones sin nuevos argumentos.</w:t>
      </w:r>
      <w:r w:rsidR="00323F66" w:rsidRPr="00144404">
        <w:rPr>
          <w:rStyle w:val="Refdenotaalpie"/>
          <w:rFonts w:ascii="Gadugi" w:eastAsia="Times New Roman" w:hAnsi="Gadugi"/>
          <w:spacing w:val="-4"/>
          <w:sz w:val="24"/>
          <w:szCs w:val="24"/>
          <w:lang w:val="es-419" w:eastAsia="es-ES"/>
        </w:rPr>
        <w:footnoteReference w:id="5"/>
      </w:r>
      <w:r w:rsidRPr="00144404">
        <w:rPr>
          <w:rFonts w:ascii="Gadugi" w:eastAsia="Times New Roman" w:hAnsi="Gadugi" w:cs="Arial"/>
          <w:spacing w:val="-4"/>
          <w:sz w:val="24"/>
          <w:szCs w:val="24"/>
          <w:lang w:val="es-419" w:eastAsia="es-ES"/>
        </w:rPr>
        <w:t xml:space="preserve"> </w:t>
      </w:r>
    </w:p>
    <w:p w14:paraId="65B1DAC9" w14:textId="73233A37" w:rsidR="002E0084" w:rsidRPr="00144404" w:rsidRDefault="002E0084"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2D3F08B3" w14:textId="4F854E64" w:rsidR="00C26230" w:rsidRPr="00144404" w:rsidRDefault="002E0084" w:rsidP="0062092B">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144404">
        <w:rPr>
          <w:rFonts w:ascii="Gadugi" w:eastAsia="Times New Roman" w:hAnsi="Gadugi" w:cs="Arial"/>
          <w:spacing w:val="-4"/>
          <w:sz w:val="24"/>
          <w:szCs w:val="24"/>
          <w:lang w:val="es-419" w:eastAsia="es-ES"/>
        </w:rPr>
        <w:t xml:space="preserve">1.6. Después allegó un memorial informando que, con comunicado del 26 de septiembre de 2022, le informó al </w:t>
      </w:r>
      <w:r w:rsidR="00D22B0C" w:rsidRPr="00144404">
        <w:rPr>
          <w:rFonts w:ascii="Gadugi" w:eastAsia="Times New Roman" w:hAnsi="Gadugi" w:cs="Arial"/>
          <w:spacing w:val="-4"/>
          <w:sz w:val="24"/>
          <w:szCs w:val="24"/>
          <w:lang w:val="es-419" w:eastAsia="es-ES"/>
        </w:rPr>
        <w:t>accionante</w:t>
      </w:r>
      <w:r w:rsidRPr="00144404">
        <w:rPr>
          <w:rFonts w:ascii="Gadugi" w:eastAsia="Times New Roman" w:hAnsi="Gadugi" w:cs="Arial"/>
          <w:spacing w:val="-4"/>
          <w:sz w:val="24"/>
          <w:szCs w:val="24"/>
          <w:lang w:val="es-419" w:eastAsia="es-ES"/>
        </w:rPr>
        <w:t xml:space="preserve"> que</w:t>
      </w:r>
      <w:r w:rsidRPr="00144404">
        <w:rPr>
          <w:rFonts w:ascii="Gadugi" w:eastAsia="Times New Roman" w:hAnsi="Gadugi" w:cs="Arial"/>
          <w:i/>
          <w:spacing w:val="-4"/>
          <w:sz w:val="24"/>
          <w:szCs w:val="24"/>
          <w:lang w:val="es-419" w:eastAsia="es-ES"/>
        </w:rPr>
        <w:t xml:space="preserve"> “</w:t>
      </w:r>
      <w:r w:rsidRPr="00144404">
        <w:rPr>
          <w:rFonts w:ascii="Gadugi" w:eastAsia="Times New Roman" w:hAnsi="Gadugi" w:cs="Arial"/>
          <w:i/>
          <w:spacing w:val="-4"/>
          <w:szCs w:val="24"/>
          <w:lang w:val="es-419" w:eastAsia="es-ES"/>
        </w:rPr>
        <w:t>(…) para el periodo de octubre del 2022 se realiza la reactivación de la prestación y se realizan los giros correspondientes a las mesadas de 202207 a 202210 dinero que se verá reflejado el último día hábil del mes de octubre en la entidad financiera Bancolombia No. de cuenta 7376114095.</w:t>
      </w:r>
      <w:r w:rsidRPr="00144404">
        <w:rPr>
          <w:rFonts w:ascii="Gadugi" w:eastAsia="Times New Roman" w:hAnsi="Gadugi" w:cs="Arial"/>
          <w:i/>
          <w:spacing w:val="-4"/>
          <w:sz w:val="24"/>
          <w:szCs w:val="24"/>
          <w:lang w:val="es-419" w:eastAsia="es-ES"/>
        </w:rPr>
        <w:t>”</w:t>
      </w:r>
      <w:r w:rsidR="00323F66" w:rsidRPr="00144404">
        <w:rPr>
          <w:rStyle w:val="Refdenotaalpie"/>
          <w:rFonts w:ascii="Gadugi" w:eastAsia="Times New Roman" w:hAnsi="Gadugi"/>
          <w:i/>
          <w:spacing w:val="-4"/>
          <w:sz w:val="24"/>
          <w:szCs w:val="24"/>
          <w:lang w:val="es-419" w:eastAsia="es-ES"/>
        </w:rPr>
        <w:footnoteReference w:id="6"/>
      </w:r>
      <w:r w:rsidR="00C26230" w:rsidRPr="00144404">
        <w:rPr>
          <w:rFonts w:ascii="Gadugi" w:eastAsia="Times New Roman" w:hAnsi="Gadugi" w:cs="Arial"/>
          <w:spacing w:val="-4"/>
          <w:sz w:val="24"/>
          <w:szCs w:val="24"/>
          <w:lang w:val="es-419" w:eastAsia="es-ES"/>
        </w:rPr>
        <w:t xml:space="preserve"> </w:t>
      </w:r>
    </w:p>
    <w:p w14:paraId="14AE1B31" w14:textId="24EB3AF1" w:rsidR="00013A46" w:rsidRPr="00144404" w:rsidRDefault="00013A46" w:rsidP="0062092B">
      <w:pPr>
        <w:overflowPunct w:val="0"/>
        <w:autoSpaceDE w:val="0"/>
        <w:autoSpaceDN w:val="0"/>
        <w:adjustRightInd w:val="0"/>
        <w:spacing w:after="0" w:line="276" w:lineRule="auto"/>
        <w:jc w:val="both"/>
        <w:textAlignment w:val="baseline"/>
        <w:rPr>
          <w:rFonts w:ascii="Gadugi" w:eastAsia="Times New Roman" w:hAnsi="Gadugi" w:cs="Arial"/>
          <w:b/>
          <w:spacing w:val="-4"/>
          <w:sz w:val="24"/>
          <w:szCs w:val="24"/>
          <w:lang w:val="es-ES" w:eastAsia="es-ES"/>
        </w:rPr>
      </w:pPr>
    </w:p>
    <w:p w14:paraId="04D9C565" w14:textId="21A5400E" w:rsidR="00756044" w:rsidRPr="00144404" w:rsidRDefault="007F5F4C" w:rsidP="0062092B">
      <w:pPr>
        <w:overflowPunct w:val="0"/>
        <w:autoSpaceDE w:val="0"/>
        <w:autoSpaceDN w:val="0"/>
        <w:adjustRightInd w:val="0"/>
        <w:spacing w:after="0" w:line="276" w:lineRule="auto"/>
        <w:jc w:val="both"/>
        <w:textAlignment w:val="baseline"/>
        <w:rPr>
          <w:rFonts w:ascii="Gadugi" w:eastAsia="Times New Roman" w:hAnsi="Gadugi" w:cs="Arial"/>
          <w:b/>
          <w:spacing w:val="-4"/>
          <w:sz w:val="24"/>
          <w:szCs w:val="24"/>
          <w:lang w:val="es-ES" w:eastAsia="es-ES"/>
        </w:rPr>
      </w:pPr>
      <w:r w:rsidRPr="00144404">
        <w:rPr>
          <w:rFonts w:ascii="Gadugi" w:eastAsia="Times New Roman" w:hAnsi="Gadugi" w:cs="Arial"/>
          <w:b/>
          <w:spacing w:val="-4"/>
          <w:sz w:val="24"/>
          <w:szCs w:val="24"/>
          <w:lang w:val="es-ES" w:eastAsia="es-ES"/>
        </w:rPr>
        <w:t xml:space="preserve">2. </w:t>
      </w:r>
      <w:r w:rsidR="00756044" w:rsidRPr="00144404">
        <w:rPr>
          <w:rFonts w:ascii="Gadugi" w:eastAsia="Times New Roman" w:hAnsi="Gadugi" w:cs="Arial"/>
          <w:b/>
          <w:spacing w:val="-4"/>
          <w:sz w:val="24"/>
          <w:szCs w:val="24"/>
          <w:lang w:val="es-ES" w:eastAsia="es-ES"/>
        </w:rPr>
        <w:t>CONSIDERACIONES</w:t>
      </w:r>
    </w:p>
    <w:p w14:paraId="28BF3302" w14:textId="4F9C62DE" w:rsidR="00756044" w:rsidRPr="00144404" w:rsidRDefault="00756044" w:rsidP="0062092B">
      <w:pPr>
        <w:autoSpaceDE w:val="0"/>
        <w:autoSpaceDN w:val="0"/>
        <w:adjustRightInd w:val="0"/>
        <w:spacing w:after="0" w:line="276" w:lineRule="auto"/>
        <w:jc w:val="both"/>
        <w:rPr>
          <w:rFonts w:ascii="Gadugi" w:eastAsia="Times New Roman" w:hAnsi="Gadugi" w:cs="Arial"/>
          <w:spacing w:val="-4"/>
          <w:sz w:val="24"/>
          <w:szCs w:val="24"/>
          <w:lang w:val="es-ES" w:eastAsia="es-ES"/>
        </w:rPr>
      </w:pPr>
    </w:p>
    <w:p w14:paraId="4A149391" w14:textId="5315734E" w:rsidR="00756044" w:rsidRPr="00144404" w:rsidRDefault="007F5F4C" w:rsidP="0062092B">
      <w:pPr>
        <w:autoSpaceDE w:val="0"/>
        <w:autoSpaceDN w:val="0"/>
        <w:adjustRightInd w:val="0"/>
        <w:spacing w:after="0" w:line="276" w:lineRule="auto"/>
        <w:jc w:val="both"/>
        <w:rPr>
          <w:rFonts w:ascii="Gadugi" w:eastAsia="Times New Roman" w:hAnsi="Gadugi" w:cs="Arial"/>
          <w:spacing w:val="-4"/>
          <w:sz w:val="24"/>
          <w:szCs w:val="24"/>
          <w:lang w:val="es-ES" w:eastAsia="es-ES"/>
        </w:rPr>
      </w:pPr>
      <w:r w:rsidRPr="00144404">
        <w:rPr>
          <w:rFonts w:ascii="Gadugi" w:eastAsia="Times New Roman" w:hAnsi="Gadugi" w:cs="Arial"/>
          <w:spacing w:val="-4"/>
          <w:sz w:val="24"/>
          <w:szCs w:val="24"/>
          <w:lang w:val="es-ES" w:eastAsia="es-ES"/>
        </w:rPr>
        <w:t xml:space="preserve">2.1. </w:t>
      </w:r>
      <w:r w:rsidR="00756044" w:rsidRPr="00144404">
        <w:rPr>
          <w:rFonts w:ascii="Gadugi" w:eastAsia="Times New Roman" w:hAnsi="Gadugi" w:cs="Arial"/>
          <w:spacing w:val="-4"/>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126DF23A" w14:textId="77777777" w:rsidR="00756044" w:rsidRPr="00144404" w:rsidRDefault="00756044"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4FAAAA41" w14:textId="660A3D45" w:rsidR="006979C1" w:rsidRPr="00144404" w:rsidRDefault="00A92999"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En este asunto</w:t>
      </w:r>
      <w:r w:rsidR="00756044" w:rsidRPr="00144404">
        <w:rPr>
          <w:rFonts w:ascii="Gadugi" w:eastAsia="Times New Roman" w:hAnsi="Gadugi" w:cs="Times New Roman"/>
          <w:spacing w:val="-4"/>
          <w:sz w:val="24"/>
          <w:szCs w:val="24"/>
          <w:lang w:val="es-ES" w:eastAsia="es-ES"/>
        </w:rPr>
        <w:t xml:space="preserve">, </w:t>
      </w:r>
      <w:r w:rsidR="000431C0" w:rsidRPr="00144404">
        <w:rPr>
          <w:rFonts w:ascii="Gadugi" w:eastAsia="Times New Roman" w:hAnsi="Gadugi" w:cs="Times New Roman"/>
          <w:spacing w:val="-4"/>
          <w:sz w:val="24"/>
          <w:szCs w:val="24"/>
          <w:lang w:val="es-ES" w:eastAsia="es-ES"/>
        </w:rPr>
        <w:t>el accionante</w:t>
      </w:r>
      <w:r w:rsidR="00E44B84" w:rsidRPr="00144404">
        <w:rPr>
          <w:rFonts w:ascii="Gadugi" w:eastAsia="Times New Roman" w:hAnsi="Gadugi" w:cs="Times New Roman"/>
          <w:spacing w:val="-4"/>
          <w:sz w:val="24"/>
          <w:szCs w:val="24"/>
          <w:lang w:val="es-ES" w:eastAsia="es-ES"/>
        </w:rPr>
        <w:t xml:space="preserve"> </w:t>
      </w:r>
      <w:r w:rsidR="00756044" w:rsidRPr="00144404">
        <w:rPr>
          <w:rFonts w:ascii="Gadugi" w:eastAsia="Times New Roman" w:hAnsi="Gadugi" w:cs="Times New Roman"/>
          <w:spacing w:val="-4"/>
          <w:sz w:val="24"/>
          <w:szCs w:val="24"/>
          <w:lang w:val="es-ES" w:eastAsia="es-ES"/>
        </w:rPr>
        <w:t xml:space="preserve">dirigió su reclamo contra </w:t>
      </w:r>
      <w:r w:rsidR="006979C1" w:rsidRPr="00144404">
        <w:rPr>
          <w:rFonts w:ascii="Gadugi" w:eastAsia="Times New Roman" w:hAnsi="Gadugi" w:cs="Times New Roman"/>
          <w:spacing w:val="-4"/>
          <w:sz w:val="24"/>
          <w:szCs w:val="24"/>
          <w:lang w:val="es-ES" w:eastAsia="es-ES"/>
        </w:rPr>
        <w:t>Colpensiones</w:t>
      </w:r>
      <w:r w:rsidR="0088709E" w:rsidRPr="00144404">
        <w:rPr>
          <w:rFonts w:ascii="Gadugi" w:eastAsia="Times New Roman" w:hAnsi="Gadugi" w:cs="Times New Roman"/>
          <w:spacing w:val="-4"/>
          <w:sz w:val="24"/>
          <w:szCs w:val="24"/>
          <w:lang w:val="es-ES" w:eastAsia="es-ES"/>
        </w:rPr>
        <w:t>,</w:t>
      </w:r>
      <w:r w:rsidR="00756044" w:rsidRPr="00144404">
        <w:rPr>
          <w:rFonts w:ascii="Gadugi" w:eastAsia="Times New Roman" w:hAnsi="Gadugi" w:cs="Times New Roman"/>
          <w:spacing w:val="-4"/>
          <w:sz w:val="24"/>
          <w:szCs w:val="24"/>
          <w:lang w:val="es-ES" w:eastAsia="es-ES"/>
        </w:rPr>
        <w:t xml:space="preserve"> con el fin de que</w:t>
      </w:r>
      <w:r w:rsidR="006979C1" w:rsidRPr="00144404">
        <w:rPr>
          <w:rFonts w:ascii="Gadugi" w:eastAsia="Times New Roman" w:hAnsi="Gadugi" w:cs="Times New Roman"/>
          <w:spacing w:val="-4"/>
          <w:sz w:val="24"/>
          <w:szCs w:val="24"/>
          <w:lang w:val="es-ES" w:eastAsia="es-ES"/>
        </w:rPr>
        <w:t xml:space="preserve"> </w:t>
      </w:r>
      <w:r w:rsidR="00B07E8B" w:rsidRPr="00144404">
        <w:rPr>
          <w:rFonts w:ascii="Gadugi" w:eastAsia="Times New Roman" w:hAnsi="Gadugi" w:cs="Times New Roman"/>
          <w:spacing w:val="-4"/>
          <w:sz w:val="24"/>
          <w:szCs w:val="24"/>
          <w:lang w:val="es-ES" w:eastAsia="es-ES"/>
        </w:rPr>
        <w:t xml:space="preserve">le </w:t>
      </w:r>
      <w:r w:rsidR="006979C1" w:rsidRPr="00144404">
        <w:rPr>
          <w:rFonts w:ascii="Gadugi" w:eastAsia="Times New Roman" w:hAnsi="Gadugi" w:cs="Times New Roman"/>
          <w:spacing w:val="-4"/>
          <w:sz w:val="24"/>
          <w:szCs w:val="24"/>
          <w:lang w:val="es-ES" w:eastAsia="es-ES"/>
        </w:rPr>
        <w:t>sea</w:t>
      </w:r>
      <w:r w:rsidR="00B07E8B" w:rsidRPr="00144404">
        <w:rPr>
          <w:rFonts w:ascii="Gadugi" w:eastAsia="Times New Roman" w:hAnsi="Gadugi" w:cs="Times New Roman"/>
          <w:spacing w:val="-4"/>
          <w:sz w:val="24"/>
          <w:szCs w:val="24"/>
          <w:lang w:val="es-ES" w:eastAsia="es-ES"/>
        </w:rPr>
        <w:t>n</w:t>
      </w:r>
      <w:r w:rsidR="006979C1" w:rsidRPr="00144404">
        <w:rPr>
          <w:rFonts w:ascii="Gadugi" w:eastAsia="Times New Roman" w:hAnsi="Gadugi" w:cs="Times New Roman"/>
          <w:spacing w:val="-4"/>
          <w:sz w:val="24"/>
          <w:szCs w:val="24"/>
          <w:lang w:val="es-ES" w:eastAsia="es-ES"/>
        </w:rPr>
        <w:t xml:space="preserve"> protegido</w:t>
      </w:r>
      <w:r w:rsidR="00B07E8B" w:rsidRPr="00144404">
        <w:rPr>
          <w:rFonts w:ascii="Gadugi" w:eastAsia="Times New Roman" w:hAnsi="Gadugi" w:cs="Times New Roman"/>
          <w:spacing w:val="-4"/>
          <w:sz w:val="24"/>
          <w:szCs w:val="24"/>
          <w:lang w:val="es-ES" w:eastAsia="es-ES"/>
        </w:rPr>
        <w:t>s</w:t>
      </w:r>
      <w:r w:rsidR="006979C1" w:rsidRPr="00144404">
        <w:rPr>
          <w:rFonts w:ascii="Gadugi" w:eastAsia="Times New Roman" w:hAnsi="Gadugi" w:cs="Times New Roman"/>
          <w:spacing w:val="-4"/>
          <w:sz w:val="24"/>
          <w:szCs w:val="24"/>
          <w:lang w:val="es-ES" w:eastAsia="es-ES"/>
        </w:rPr>
        <w:t xml:space="preserve"> </w:t>
      </w:r>
      <w:r w:rsidR="00B07E8B" w:rsidRPr="00144404">
        <w:rPr>
          <w:rFonts w:ascii="Gadugi" w:eastAsia="Times New Roman" w:hAnsi="Gadugi" w:cs="Times New Roman"/>
          <w:spacing w:val="-4"/>
          <w:sz w:val="24"/>
          <w:szCs w:val="24"/>
          <w:lang w:val="es-ES" w:eastAsia="es-ES"/>
        </w:rPr>
        <w:t>los</w:t>
      </w:r>
      <w:r w:rsidR="006979C1" w:rsidRPr="00144404">
        <w:rPr>
          <w:rFonts w:ascii="Gadugi" w:eastAsia="Times New Roman" w:hAnsi="Gadugi" w:cs="Times New Roman"/>
          <w:spacing w:val="-4"/>
          <w:sz w:val="24"/>
          <w:szCs w:val="24"/>
          <w:lang w:val="es-ES" w:eastAsia="es-ES"/>
        </w:rPr>
        <w:t xml:space="preserve"> derecho</w:t>
      </w:r>
      <w:r w:rsidR="00B07E8B" w:rsidRPr="00144404">
        <w:rPr>
          <w:rFonts w:ascii="Gadugi" w:eastAsia="Times New Roman" w:hAnsi="Gadugi" w:cs="Times New Roman"/>
          <w:spacing w:val="-4"/>
          <w:sz w:val="24"/>
          <w:szCs w:val="24"/>
          <w:lang w:val="es-ES" w:eastAsia="es-ES"/>
        </w:rPr>
        <w:t>s</w:t>
      </w:r>
      <w:r w:rsidR="006979C1" w:rsidRPr="00144404">
        <w:rPr>
          <w:rFonts w:ascii="Gadugi" w:eastAsia="Times New Roman" w:hAnsi="Gadugi" w:cs="Times New Roman"/>
          <w:spacing w:val="-4"/>
          <w:sz w:val="24"/>
          <w:szCs w:val="24"/>
          <w:lang w:val="es-ES" w:eastAsia="es-ES"/>
        </w:rPr>
        <w:t xml:space="preserve"> fundamental</w:t>
      </w:r>
      <w:r w:rsidR="00B07E8B" w:rsidRPr="00144404">
        <w:rPr>
          <w:rFonts w:ascii="Gadugi" w:eastAsia="Times New Roman" w:hAnsi="Gadugi" w:cs="Times New Roman"/>
          <w:spacing w:val="-4"/>
          <w:sz w:val="24"/>
          <w:szCs w:val="24"/>
          <w:lang w:val="es-ES" w:eastAsia="es-ES"/>
        </w:rPr>
        <w:t>es</w:t>
      </w:r>
      <w:r w:rsidR="006979C1" w:rsidRPr="00144404">
        <w:rPr>
          <w:rFonts w:ascii="Gadugi" w:eastAsia="Times New Roman" w:hAnsi="Gadugi" w:cs="Times New Roman"/>
          <w:spacing w:val="-4"/>
          <w:sz w:val="24"/>
          <w:szCs w:val="24"/>
          <w:lang w:val="es-ES" w:eastAsia="es-ES"/>
        </w:rPr>
        <w:t xml:space="preserve"> </w:t>
      </w:r>
      <w:r w:rsidR="00B07E8B" w:rsidRPr="00144404">
        <w:rPr>
          <w:rFonts w:ascii="Gadugi" w:eastAsia="Times New Roman" w:hAnsi="Gadugi" w:cs="Times New Roman"/>
          <w:spacing w:val="-4"/>
          <w:sz w:val="24"/>
          <w:szCs w:val="24"/>
          <w:lang w:val="es-ES" w:eastAsia="es-ES"/>
        </w:rPr>
        <w:t>que invocó</w:t>
      </w:r>
      <w:r w:rsidR="006979C1" w:rsidRPr="00144404">
        <w:rPr>
          <w:rFonts w:ascii="Gadugi" w:eastAsia="Times New Roman" w:hAnsi="Gadugi" w:cs="Times New Roman"/>
          <w:spacing w:val="-4"/>
          <w:sz w:val="24"/>
          <w:szCs w:val="24"/>
          <w:lang w:val="es-ES" w:eastAsia="es-ES"/>
        </w:rPr>
        <w:t>, ordenando la reactivación del pago de su pensión</w:t>
      </w:r>
      <w:r w:rsidR="00AB191D" w:rsidRPr="00144404">
        <w:rPr>
          <w:rFonts w:ascii="Gadugi" w:eastAsia="Times New Roman" w:hAnsi="Gadugi" w:cs="Times New Roman"/>
          <w:spacing w:val="-4"/>
          <w:sz w:val="24"/>
          <w:szCs w:val="24"/>
          <w:lang w:val="es-ES" w:eastAsia="es-ES"/>
        </w:rPr>
        <w:t xml:space="preserve"> de invalidez</w:t>
      </w:r>
      <w:r w:rsidR="006979C1" w:rsidRPr="00144404">
        <w:rPr>
          <w:rFonts w:ascii="Gadugi" w:eastAsia="Times New Roman" w:hAnsi="Gadugi" w:cs="Times New Roman"/>
          <w:spacing w:val="-4"/>
          <w:sz w:val="24"/>
          <w:szCs w:val="24"/>
          <w:lang w:val="es-ES" w:eastAsia="es-ES"/>
        </w:rPr>
        <w:t>, la cual fue suspendida</w:t>
      </w:r>
      <w:r w:rsidR="00AB191D" w:rsidRPr="00144404">
        <w:rPr>
          <w:rFonts w:ascii="Gadugi" w:eastAsia="Times New Roman" w:hAnsi="Gadugi" w:cs="Times New Roman"/>
          <w:spacing w:val="-4"/>
          <w:sz w:val="24"/>
          <w:szCs w:val="24"/>
          <w:lang w:val="es-ES" w:eastAsia="es-ES"/>
        </w:rPr>
        <w:t xml:space="preserve"> porque</w:t>
      </w:r>
      <w:r w:rsidR="00B07E8B" w:rsidRPr="00144404">
        <w:rPr>
          <w:rFonts w:ascii="Gadugi" w:eastAsia="Times New Roman" w:hAnsi="Gadugi" w:cs="Times New Roman"/>
          <w:spacing w:val="-4"/>
          <w:sz w:val="24"/>
          <w:szCs w:val="24"/>
          <w:lang w:val="es-ES" w:eastAsia="es-ES"/>
        </w:rPr>
        <w:t xml:space="preserve"> no se ha realizado la </w:t>
      </w:r>
      <w:r w:rsidR="00AB191D" w:rsidRPr="00144404">
        <w:rPr>
          <w:rFonts w:ascii="Gadugi" w:eastAsia="Times New Roman" w:hAnsi="Gadugi" w:cs="Times New Roman"/>
          <w:spacing w:val="-4"/>
          <w:sz w:val="24"/>
          <w:szCs w:val="24"/>
          <w:lang w:val="es-ES" w:eastAsia="es-ES"/>
        </w:rPr>
        <w:t xml:space="preserve">evaluación periódica de su </w:t>
      </w:r>
      <w:r w:rsidR="00B07E8B" w:rsidRPr="00144404">
        <w:rPr>
          <w:rFonts w:ascii="Gadugi" w:eastAsia="Times New Roman" w:hAnsi="Gadugi" w:cs="Times New Roman"/>
          <w:spacing w:val="-4"/>
          <w:sz w:val="24"/>
          <w:szCs w:val="24"/>
          <w:lang w:val="es-ES" w:eastAsia="es-ES"/>
        </w:rPr>
        <w:t xml:space="preserve">estado de invalidez. </w:t>
      </w:r>
    </w:p>
    <w:p w14:paraId="15E98869" w14:textId="061A5A9F" w:rsidR="007F5F4C" w:rsidRPr="00144404" w:rsidRDefault="007F5F4C"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3C132F0C" w14:textId="5F9969A2" w:rsidR="007F5F4C" w:rsidRPr="00144404" w:rsidRDefault="007F5F4C"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 xml:space="preserve">2.2. Sobre los requisitos de procedencia de la demanda se tiene lo siguiente: </w:t>
      </w:r>
    </w:p>
    <w:p w14:paraId="7768AF4F" w14:textId="77777777" w:rsidR="007F5F4C" w:rsidRPr="00144404" w:rsidRDefault="007F5F4C"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0235CC91" w14:textId="0D0DCADB" w:rsidR="00C26230" w:rsidRPr="00144404" w:rsidRDefault="0056791D"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 xml:space="preserve">La legitimación en la causa por activa se cumple, comoquiera que </w:t>
      </w:r>
      <w:r w:rsidR="00AB191D" w:rsidRPr="00144404">
        <w:rPr>
          <w:rFonts w:ascii="Gadugi" w:eastAsia="Times New Roman" w:hAnsi="Gadugi" w:cs="Times New Roman"/>
          <w:spacing w:val="-4"/>
          <w:sz w:val="24"/>
          <w:szCs w:val="24"/>
          <w:lang w:val="es-ES" w:eastAsia="es-ES"/>
        </w:rPr>
        <w:t>el</w:t>
      </w:r>
      <w:r w:rsidR="006979C1" w:rsidRPr="00144404">
        <w:rPr>
          <w:rFonts w:ascii="Gadugi" w:eastAsia="Times New Roman" w:hAnsi="Gadugi" w:cs="Times New Roman"/>
          <w:spacing w:val="-4"/>
          <w:sz w:val="24"/>
          <w:szCs w:val="24"/>
          <w:lang w:val="es-ES" w:eastAsia="es-ES"/>
        </w:rPr>
        <w:t xml:space="preserve"> accionante </w:t>
      </w:r>
      <w:r w:rsidR="00AB191D" w:rsidRPr="00144404">
        <w:rPr>
          <w:rFonts w:ascii="Gadugi" w:eastAsia="Times New Roman" w:hAnsi="Gadugi" w:cs="Times New Roman"/>
          <w:spacing w:val="-4"/>
          <w:sz w:val="24"/>
          <w:szCs w:val="24"/>
          <w:lang w:val="es-ES" w:eastAsia="es-ES"/>
        </w:rPr>
        <w:t>es el agraviado con la suspensión de su pensión</w:t>
      </w:r>
      <w:r w:rsidR="001A279D" w:rsidRPr="00144404">
        <w:rPr>
          <w:rFonts w:ascii="Gadugi" w:eastAsia="Times New Roman" w:hAnsi="Gadugi" w:cs="Times New Roman"/>
          <w:spacing w:val="-4"/>
          <w:sz w:val="24"/>
          <w:szCs w:val="24"/>
          <w:lang w:val="es-ES" w:eastAsia="es-ES"/>
        </w:rPr>
        <w:t>, y fue él quien elevó la solicitud tendiente a que se revise su estado de invalidez</w:t>
      </w:r>
      <w:r w:rsidR="006979C1" w:rsidRPr="00144404">
        <w:rPr>
          <w:rFonts w:ascii="Gadugi" w:eastAsia="Times New Roman" w:hAnsi="Gadugi" w:cs="Times New Roman"/>
          <w:spacing w:val="-4"/>
          <w:sz w:val="24"/>
          <w:szCs w:val="24"/>
          <w:lang w:val="es-ES" w:eastAsia="es-ES"/>
        </w:rPr>
        <w:t xml:space="preserve">; y también por pasiva </w:t>
      </w:r>
      <w:r w:rsidR="00AB191D" w:rsidRPr="00144404">
        <w:rPr>
          <w:rFonts w:ascii="Gadugi" w:eastAsia="Times New Roman" w:hAnsi="Gadugi" w:cs="Times New Roman"/>
          <w:spacing w:val="-4"/>
          <w:sz w:val="24"/>
          <w:szCs w:val="24"/>
          <w:lang w:val="es-ES" w:eastAsia="es-ES"/>
        </w:rPr>
        <w:t xml:space="preserve">porque están vinculadas al trámite la </w:t>
      </w:r>
      <w:r w:rsidR="00C26230" w:rsidRPr="00144404">
        <w:rPr>
          <w:rFonts w:ascii="Gadugi" w:eastAsia="Times New Roman" w:hAnsi="Gadugi" w:cs="Times New Roman"/>
          <w:spacing w:val="-4"/>
          <w:sz w:val="24"/>
          <w:szCs w:val="24"/>
          <w:lang w:val="es-ES" w:eastAsia="es-ES"/>
        </w:rPr>
        <w:t xml:space="preserve">Dirección de Nómina de Pensionados de Colpensiones y la </w:t>
      </w:r>
      <w:r w:rsidR="00AB191D" w:rsidRPr="00144404">
        <w:rPr>
          <w:rFonts w:ascii="Gadugi" w:eastAsia="Times New Roman" w:hAnsi="Gadugi" w:cs="Times New Roman"/>
          <w:spacing w:val="-4"/>
          <w:sz w:val="24"/>
          <w:szCs w:val="24"/>
          <w:lang w:val="es-ES" w:eastAsia="es-ES"/>
        </w:rPr>
        <w:t xml:space="preserve">Dirección de Medicina Laboral </w:t>
      </w:r>
      <w:r w:rsidR="00C26230" w:rsidRPr="00144404">
        <w:rPr>
          <w:rFonts w:ascii="Gadugi" w:eastAsia="Times New Roman" w:hAnsi="Gadugi" w:cs="Times New Roman"/>
          <w:spacing w:val="-4"/>
          <w:sz w:val="24"/>
          <w:szCs w:val="24"/>
          <w:lang w:val="es-ES" w:eastAsia="es-ES"/>
        </w:rPr>
        <w:lastRenderedPageBreak/>
        <w:t xml:space="preserve">de Colpensiones que son las encargadas, respectivamente, de </w:t>
      </w:r>
      <w:r w:rsidR="00C26230" w:rsidRPr="00144404">
        <w:rPr>
          <w:rFonts w:ascii="Gadugi" w:eastAsia="Times New Roman" w:hAnsi="Gadugi" w:cs="Times New Roman"/>
          <w:i/>
          <w:spacing w:val="-4"/>
          <w:sz w:val="24"/>
          <w:szCs w:val="24"/>
          <w:lang w:val="es-ES" w:eastAsia="es-ES"/>
        </w:rPr>
        <w:t>“</w:t>
      </w:r>
      <w:r w:rsidR="00C26230" w:rsidRPr="00144404">
        <w:rPr>
          <w:rFonts w:ascii="Gadugi" w:eastAsia="Times New Roman" w:hAnsi="Gadugi" w:cs="Times New Roman"/>
          <w:i/>
          <w:spacing w:val="-4"/>
          <w:szCs w:val="24"/>
          <w:lang w:val="es-ES" w:eastAsia="es-ES"/>
        </w:rPr>
        <w:t>Adelantar las actividades necesarias para ordenar y controlar el registro de las novedades en la Nómina de Pensionados de Colpensiones, y demás nóminas de pensionados administradas por la Empresa</w:t>
      </w:r>
      <w:r w:rsidR="00C26230" w:rsidRPr="00144404">
        <w:rPr>
          <w:rFonts w:ascii="Gadugi" w:eastAsia="Times New Roman" w:hAnsi="Gadugi" w:cs="Times New Roman"/>
          <w:i/>
          <w:spacing w:val="-4"/>
          <w:sz w:val="24"/>
          <w:szCs w:val="24"/>
          <w:lang w:val="es-ES" w:eastAsia="es-ES"/>
        </w:rPr>
        <w:t xml:space="preserve">”; </w:t>
      </w:r>
      <w:r w:rsidR="00C26230" w:rsidRPr="00144404">
        <w:rPr>
          <w:rFonts w:ascii="Gadugi" w:eastAsia="Times New Roman" w:hAnsi="Gadugi" w:cs="Times New Roman"/>
          <w:spacing w:val="-4"/>
          <w:sz w:val="24"/>
          <w:szCs w:val="24"/>
          <w:lang w:val="es-ES" w:eastAsia="es-ES"/>
        </w:rPr>
        <w:t xml:space="preserve">y de </w:t>
      </w:r>
      <w:r w:rsidR="00C26230" w:rsidRPr="00144404">
        <w:rPr>
          <w:rFonts w:ascii="Gadugi" w:eastAsia="Times New Roman" w:hAnsi="Gadugi" w:cs="Times New Roman"/>
          <w:i/>
          <w:spacing w:val="-4"/>
          <w:sz w:val="24"/>
          <w:szCs w:val="24"/>
          <w:lang w:val="es-ES" w:eastAsia="es-ES"/>
        </w:rPr>
        <w:t>“</w:t>
      </w:r>
      <w:r w:rsidR="00C26230" w:rsidRPr="00144404">
        <w:rPr>
          <w:rFonts w:ascii="Gadugi" w:eastAsia="Times New Roman" w:hAnsi="Gadugi" w:cs="Times New Roman"/>
          <w:i/>
          <w:spacing w:val="-4"/>
          <w:szCs w:val="24"/>
          <w:lang w:val="es-ES" w:eastAsia="es-ES"/>
        </w:rPr>
        <w:t>Adelantar las actividades necesarias para: la revisión del estado de invalidez de los ciudadanos que tienen una prestación reconocida con ocasión de este estado, de acuerdo con la normatividad vigente (…).</w:t>
      </w:r>
      <w:r w:rsidR="00C26230" w:rsidRPr="00144404">
        <w:rPr>
          <w:rFonts w:ascii="Gadugi" w:eastAsia="Times New Roman" w:hAnsi="Gadugi" w:cs="Times New Roman"/>
          <w:spacing w:val="-4"/>
          <w:szCs w:val="24"/>
          <w:lang w:val="es-ES" w:eastAsia="es-ES"/>
        </w:rPr>
        <w:t xml:space="preserve"> (Acuerdo 131/18 de Colpensiones)</w:t>
      </w:r>
      <w:r w:rsidR="009406F9" w:rsidRPr="00144404">
        <w:rPr>
          <w:rFonts w:ascii="Gadugi" w:eastAsia="Times New Roman" w:hAnsi="Gadugi" w:cs="Times New Roman"/>
          <w:spacing w:val="-4"/>
          <w:sz w:val="24"/>
          <w:szCs w:val="24"/>
          <w:lang w:val="es-ES" w:eastAsia="es-ES"/>
        </w:rPr>
        <w:t>”</w:t>
      </w:r>
      <w:r w:rsidR="00C26230" w:rsidRPr="00144404">
        <w:rPr>
          <w:rFonts w:ascii="Gadugi" w:eastAsia="Times New Roman" w:hAnsi="Gadugi" w:cs="Times New Roman"/>
          <w:spacing w:val="-4"/>
          <w:sz w:val="24"/>
          <w:szCs w:val="24"/>
          <w:lang w:val="es-ES" w:eastAsia="es-ES"/>
        </w:rPr>
        <w:t>.</w:t>
      </w:r>
    </w:p>
    <w:p w14:paraId="48E86FB5" w14:textId="77777777" w:rsidR="0056791D" w:rsidRPr="00144404" w:rsidRDefault="0056791D"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7FA64CA7" w14:textId="50907CD2" w:rsidR="00EE49EA" w:rsidRPr="00144404" w:rsidRDefault="006B1E9D"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La inmediatez también se supera</w:t>
      </w:r>
      <w:r w:rsidR="00745CBD" w:rsidRPr="00144404">
        <w:rPr>
          <w:rFonts w:ascii="Gadugi" w:eastAsia="Times New Roman" w:hAnsi="Gadugi" w:cs="Times New Roman"/>
          <w:spacing w:val="-4"/>
          <w:sz w:val="24"/>
          <w:szCs w:val="24"/>
          <w:lang w:val="es-ES" w:eastAsia="es-ES"/>
        </w:rPr>
        <w:t xml:space="preserve"> porque</w:t>
      </w:r>
      <w:r w:rsidR="00EE49EA" w:rsidRPr="00144404">
        <w:rPr>
          <w:rFonts w:ascii="Gadugi" w:eastAsia="Times New Roman" w:hAnsi="Gadugi" w:cs="Times New Roman"/>
          <w:spacing w:val="-4"/>
          <w:sz w:val="24"/>
          <w:szCs w:val="24"/>
          <w:lang w:val="es-ES" w:eastAsia="es-ES"/>
        </w:rPr>
        <w:t xml:space="preserve"> el demandante dejó de recibir su pensión en el mes de </w:t>
      </w:r>
      <w:r w:rsidR="00D22B0C" w:rsidRPr="00144404">
        <w:rPr>
          <w:rFonts w:ascii="Gadugi" w:eastAsia="Times New Roman" w:hAnsi="Gadugi" w:cs="Times New Roman"/>
          <w:spacing w:val="-4"/>
          <w:sz w:val="24"/>
          <w:szCs w:val="24"/>
          <w:lang w:val="es-ES" w:eastAsia="es-ES"/>
        </w:rPr>
        <w:t>junio</w:t>
      </w:r>
      <w:r w:rsidR="00323F66" w:rsidRPr="00144404">
        <w:rPr>
          <w:rStyle w:val="Refdenotaalpie"/>
          <w:rFonts w:ascii="Gadugi" w:eastAsia="Times New Roman" w:hAnsi="Gadugi"/>
          <w:spacing w:val="-4"/>
          <w:sz w:val="24"/>
          <w:szCs w:val="24"/>
          <w:lang w:val="es-ES" w:eastAsia="es-ES"/>
        </w:rPr>
        <w:footnoteReference w:id="7"/>
      </w:r>
      <w:r w:rsidR="00EE49EA" w:rsidRPr="00144404">
        <w:rPr>
          <w:rFonts w:ascii="Gadugi" w:eastAsia="Times New Roman" w:hAnsi="Gadugi" w:cs="Times New Roman"/>
          <w:spacing w:val="-4"/>
          <w:sz w:val="24"/>
          <w:szCs w:val="24"/>
          <w:lang w:val="es-ES" w:eastAsia="es-ES"/>
        </w:rPr>
        <w:t>,</w:t>
      </w:r>
      <w:r w:rsidR="001A279D" w:rsidRPr="00144404">
        <w:rPr>
          <w:rFonts w:ascii="Gadugi" w:eastAsia="Times New Roman" w:hAnsi="Gadugi" w:cs="Times New Roman"/>
          <w:spacing w:val="-4"/>
          <w:sz w:val="24"/>
          <w:szCs w:val="24"/>
          <w:lang w:val="es-ES" w:eastAsia="es-ES"/>
        </w:rPr>
        <w:t xml:space="preserve"> y ante ello,</w:t>
      </w:r>
      <w:r w:rsidR="004C2C15" w:rsidRPr="00144404">
        <w:rPr>
          <w:rFonts w:ascii="Gadugi" w:eastAsia="Times New Roman" w:hAnsi="Gadugi" w:cs="Times New Roman"/>
          <w:spacing w:val="-4"/>
          <w:sz w:val="24"/>
          <w:szCs w:val="24"/>
          <w:lang w:val="es-ES" w:eastAsia="es-ES"/>
        </w:rPr>
        <w:t xml:space="preserve"> el 9 de junio,</w:t>
      </w:r>
      <w:r w:rsidR="001A279D" w:rsidRPr="00144404">
        <w:rPr>
          <w:rFonts w:ascii="Gadugi" w:eastAsia="Times New Roman" w:hAnsi="Gadugi" w:cs="Times New Roman"/>
          <w:spacing w:val="-4"/>
          <w:sz w:val="24"/>
          <w:szCs w:val="24"/>
          <w:lang w:val="es-ES" w:eastAsia="es-ES"/>
        </w:rPr>
        <w:t xml:space="preserve"> formuló una petición para que se realizara la revisión de su estado de invalidez</w:t>
      </w:r>
      <w:r w:rsidR="004C2C15" w:rsidRPr="00144404">
        <w:rPr>
          <w:rStyle w:val="Refdenotaalpie"/>
          <w:rFonts w:ascii="Gadugi" w:eastAsia="Times New Roman" w:hAnsi="Gadugi"/>
          <w:spacing w:val="-4"/>
          <w:sz w:val="24"/>
          <w:szCs w:val="24"/>
          <w:lang w:val="es-ES" w:eastAsia="es-ES"/>
        </w:rPr>
        <w:footnoteReference w:id="8"/>
      </w:r>
      <w:r w:rsidR="001A279D" w:rsidRPr="00144404">
        <w:rPr>
          <w:rFonts w:ascii="Gadugi" w:eastAsia="Times New Roman" w:hAnsi="Gadugi" w:cs="Times New Roman"/>
          <w:spacing w:val="-4"/>
          <w:sz w:val="24"/>
          <w:szCs w:val="24"/>
          <w:lang w:val="es-ES" w:eastAsia="es-ES"/>
        </w:rPr>
        <w:t xml:space="preserve">, y al ver que no se le daba solución a su caso, decidió iniciar esta acción, oportunamente, el </w:t>
      </w:r>
      <w:r w:rsidR="00D22B0C" w:rsidRPr="00144404">
        <w:rPr>
          <w:rFonts w:ascii="Gadugi" w:eastAsia="Times New Roman" w:hAnsi="Gadugi" w:cs="Times New Roman"/>
          <w:spacing w:val="-4"/>
          <w:sz w:val="24"/>
          <w:szCs w:val="24"/>
          <w:lang w:val="es-ES" w:eastAsia="es-ES"/>
        </w:rPr>
        <w:t>12</w:t>
      </w:r>
      <w:r w:rsidR="001A279D" w:rsidRPr="00144404">
        <w:rPr>
          <w:rFonts w:ascii="Gadugi" w:eastAsia="Times New Roman" w:hAnsi="Gadugi" w:cs="Times New Roman"/>
          <w:spacing w:val="-4"/>
          <w:sz w:val="24"/>
          <w:szCs w:val="24"/>
          <w:lang w:val="es-ES" w:eastAsia="es-ES"/>
        </w:rPr>
        <w:t xml:space="preserve"> </w:t>
      </w:r>
      <w:r w:rsidR="00D22B0C" w:rsidRPr="00144404">
        <w:rPr>
          <w:rFonts w:ascii="Gadugi" w:eastAsia="Times New Roman" w:hAnsi="Gadugi" w:cs="Times New Roman"/>
          <w:spacing w:val="-4"/>
          <w:sz w:val="24"/>
          <w:szCs w:val="24"/>
          <w:lang w:val="es-ES" w:eastAsia="es-ES"/>
        </w:rPr>
        <w:t>d</w:t>
      </w:r>
      <w:r w:rsidR="001A279D" w:rsidRPr="00144404">
        <w:rPr>
          <w:rFonts w:ascii="Gadugi" w:eastAsia="Times New Roman" w:hAnsi="Gadugi" w:cs="Times New Roman"/>
          <w:spacing w:val="-4"/>
          <w:sz w:val="24"/>
          <w:szCs w:val="24"/>
          <w:lang w:val="es-ES" w:eastAsia="es-ES"/>
        </w:rPr>
        <w:t xml:space="preserve">e </w:t>
      </w:r>
      <w:r w:rsidR="00D22B0C" w:rsidRPr="00144404">
        <w:rPr>
          <w:rFonts w:ascii="Gadugi" w:eastAsia="Times New Roman" w:hAnsi="Gadugi" w:cs="Times New Roman"/>
          <w:spacing w:val="-4"/>
          <w:sz w:val="24"/>
          <w:szCs w:val="24"/>
          <w:lang w:val="es-ES" w:eastAsia="es-ES"/>
        </w:rPr>
        <w:t>septiembre</w:t>
      </w:r>
      <w:r w:rsidR="001A279D" w:rsidRPr="00144404">
        <w:rPr>
          <w:rFonts w:ascii="Gadugi" w:eastAsia="Times New Roman" w:hAnsi="Gadugi" w:cs="Times New Roman"/>
          <w:spacing w:val="-4"/>
          <w:sz w:val="24"/>
          <w:szCs w:val="24"/>
          <w:lang w:val="es-ES" w:eastAsia="es-ES"/>
        </w:rPr>
        <w:t xml:space="preserve"> siguiente</w:t>
      </w:r>
      <w:r w:rsidR="00B07E8B" w:rsidRPr="00144404">
        <w:rPr>
          <w:rStyle w:val="Refdenotaalpie"/>
          <w:rFonts w:ascii="Gadugi" w:eastAsia="Times New Roman" w:hAnsi="Gadugi"/>
          <w:spacing w:val="-4"/>
          <w:sz w:val="24"/>
          <w:szCs w:val="24"/>
          <w:lang w:val="es-ES" w:eastAsia="es-ES"/>
        </w:rPr>
        <w:footnoteReference w:id="9"/>
      </w:r>
      <w:r w:rsidR="001A279D" w:rsidRPr="00144404">
        <w:rPr>
          <w:rFonts w:ascii="Gadugi" w:eastAsia="Times New Roman" w:hAnsi="Gadugi" w:cs="Times New Roman"/>
          <w:spacing w:val="-4"/>
          <w:sz w:val="24"/>
          <w:szCs w:val="24"/>
          <w:lang w:val="es-ES" w:eastAsia="es-ES"/>
        </w:rPr>
        <w:t xml:space="preserve">. </w:t>
      </w:r>
    </w:p>
    <w:p w14:paraId="6D648DBE" w14:textId="77777777" w:rsidR="001A279D" w:rsidRPr="00144404" w:rsidRDefault="001A279D"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2C3BE466" w14:textId="652BDA25" w:rsidR="005756BE" w:rsidRPr="00144404" w:rsidRDefault="001421A1" w:rsidP="00750393">
      <w:pPr>
        <w:spacing w:after="0" w:line="276" w:lineRule="auto"/>
        <w:jc w:val="both"/>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En lo que respecta a la subsidiariedad</w:t>
      </w:r>
      <w:r w:rsidR="005756BE" w:rsidRPr="00144404">
        <w:rPr>
          <w:rFonts w:ascii="Gadugi" w:eastAsia="Times New Roman" w:hAnsi="Gadugi" w:cs="Times New Roman"/>
          <w:spacing w:val="-4"/>
          <w:sz w:val="24"/>
          <w:szCs w:val="24"/>
          <w:lang w:val="es-ES" w:eastAsia="es-ES"/>
        </w:rPr>
        <w:t xml:space="preserve">, debe tenerse en cuenta que el accionante </w:t>
      </w:r>
      <w:r w:rsidRPr="00144404">
        <w:rPr>
          <w:rFonts w:ascii="Gadugi" w:eastAsia="Times New Roman" w:hAnsi="Gadugi" w:cs="Times New Roman"/>
          <w:spacing w:val="-4"/>
          <w:sz w:val="24"/>
          <w:szCs w:val="24"/>
          <w:lang w:val="es-ES" w:eastAsia="es-ES"/>
        </w:rPr>
        <w:t xml:space="preserve">es una persona de especial protección constitucional por su </w:t>
      </w:r>
      <w:r w:rsidR="001A279D" w:rsidRPr="00144404">
        <w:rPr>
          <w:rFonts w:ascii="Gadugi" w:eastAsia="Times New Roman" w:hAnsi="Gadugi" w:cs="Times New Roman"/>
          <w:spacing w:val="-4"/>
          <w:sz w:val="24"/>
          <w:szCs w:val="24"/>
          <w:lang w:val="es-ES" w:eastAsia="es-ES"/>
        </w:rPr>
        <w:t xml:space="preserve">presumible </w:t>
      </w:r>
      <w:r w:rsidRPr="00144404">
        <w:rPr>
          <w:rFonts w:ascii="Gadugi" w:eastAsia="Times New Roman" w:hAnsi="Gadugi" w:cs="Times New Roman"/>
          <w:spacing w:val="-4"/>
          <w:sz w:val="24"/>
          <w:szCs w:val="24"/>
          <w:lang w:val="es-ES" w:eastAsia="es-ES"/>
        </w:rPr>
        <w:t>condición de inválido, si bien</w:t>
      </w:r>
      <w:r w:rsidR="001A279D" w:rsidRPr="00144404">
        <w:rPr>
          <w:rFonts w:ascii="Gadugi" w:eastAsia="Times New Roman" w:hAnsi="Gadugi" w:cs="Times New Roman"/>
          <w:spacing w:val="-4"/>
          <w:sz w:val="24"/>
          <w:szCs w:val="24"/>
          <w:lang w:val="es-ES" w:eastAsia="es-ES"/>
        </w:rPr>
        <w:t>,</w:t>
      </w:r>
      <w:r w:rsidRPr="00144404">
        <w:rPr>
          <w:rFonts w:ascii="Gadugi" w:eastAsia="Times New Roman" w:hAnsi="Gadugi" w:cs="Times New Roman"/>
          <w:spacing w:val="-4"/>
          <w:sz w:val="24"/>
          <w:szCs w:val="24"/>
          <w:lang w:val="es-ES" w:eastAsia="es-ES"/>
        </w:rPr>
        <w:t xml:space="preserve"> por esa razón venía recibiendo la subvención,</w:t>
      </w:r>
      <w:r w:rsidR="001A279D" w:rsidRPr="00144404">
        <w:rPr>
          <w:rFonts w:ascii="Gadugi" w:eastAsia="Times New Roman" w:hAnsi="Gadugi" w:cs="Times New Roman"/>
          <w:spacing w:val="-4"/>
          <w:sz w:val="24"/>
          <w:szCs w:val="24"/>
          <w:lang w:val="es-ES" w:eastAsia="es-ES"/>
        </w:rPr>
        <w:t xml:space="preserve"> además, es un hecho incontrovertido, que dicha pensión es su único sustento y que sin ella se ve afectada su subsistencia, </w:t>
      </w:r>
      <w:r w:rsidR="001A279D" w:rsidRPr="00144404">
        <w:rPr>
          <w:rFonts w:ascii="Gadugi" w:hAnsi="Gadugi" w:cs="Arial"/>
          <w:i/>
          <w:color w:val="000000" w:themeColor="text1"/>
          <w:spacing w:val="-4"/>
          <w:sz w:val="24"/>
          <w:szCs w:val="24"/>
        </w:rPr>
        <w:t>“</w:t>
      </w:r>
      <w:r w:rsidR="001A279D" w:rsidRPr="00144404">
        <w:rPr>
          <w:rFonts w:ascii="Gadugi" w:hAnsi="Gadugi" w:cs="Arial"/>
          <w:i/>
          <w:color w:val="000000" w:themeColor="text1"/>
          <w:spacing w:val="-4"/>
          <w:szCs w:val="24"/>
        </w:rPr>
        <w:t>(…) circunstancias que pudieron desvirtuar las encausadas y guardaron silencio; por lo tanto, gozan de presunción de veracidad y denotan la afectación del mínimo vital</w:t>
      </w:r>
      <w:r w:rsidR="001A279D" w:rsidRPr="00144404">
        <w:rPr>
          <w:rFonts w:ascii="Gadugi" w:hAnsi="Gadugi" w:cs="Arial"/>
          <w:i/>
          <w:color w:val="000000" w:themeColor="text1"/>
          <w:spacing w:val="-4"/>
          <w:sz w:val="24"/>
          <w:szCs w:val="24"/>
        </w:rPr>
        <w:t>”</w:t>
      </w:r>
      <w:r w:rsidR="001A279D" w:rsidRPr="00144404">
        <w:rPr>
          <w:rStyle w:val="Refdenotaalpie"/>
          <w:rFonts w:ascii="Gadugi" w:hAnsi="Gadugi" w:cs="Arial"/>
          <w:i/>
          <w:color w:val="000000" w:themeColor="text1"/>
          <w:spacing w:val="-4"/>
          <w:sz w:val="24"/>
          <w:szCs w:val="24"/>
        </w:rPr>
        <w:footnoteReference w:id="10"/>
      </w:r>
      <w:r w:rsidR="001A279D" w:rsidRPr="00144404">
        <w:rPr>
          <w:rFonts w:ascii="Gadugi" w:hAnsi="Gadugi" w:cs="Arial"/>
          <w:i/>
          <w:color w:val="000000" w:themeColor="text1"/>
          <w:spacing w:val="-4"/>
          <w:sz w:val="24"/>
          <w:szCs w:val="24"/>
        </w:rPr>
        <w:t xml:space="preserve">; </w:t>
      </w:r>
      <w:r w:rsidR="001A279D" w:rsidRPr="00144404">
        <w:rPr>
          <w:rFonts w:ascii="Gadugi" w:eastAsia="Times New Roman" w:hAnsi="Gadugi" w:cs="Times New Roman"/>
          <w:spacing w:val="-4"/>
          <w:sz w:val="24"/>
          <w:szCs w:val="24"/>
          <w:lang w:val="es-ES" w:eastAsia="es-ES"/>
        </w:rPr>
        <w:t>en ese entendido,</w:t>
      </w:r>
      <w:r w:rsidR="0057202D" w:rsidRPr="00144404">
        <w:rPr>
          <w:rFonts w:ascii="Gadugi" w:eastAsia="Times New Roman" w:hAnsi="Gadugi" w:cs="Times New Roman"/>
          <w:spacing w:val="-4"/>
          <w:sz w:val="24"/>
          <w:szCs w:val="24"/>
          <w:lang w:val="es-ES" w:eastAsia="es-ES"/>
        </w:rPr>
        <w:t xml:space="preserve"> </w:t>
      </w:r>
      <w:r w:rsidRPr="00144404">
        <w:rPr>
          <w:rFonts w:ascii="Gadugi" w:eastAsia="Times New Roman" w:hAnsi="Gadugi" w:cs="Times New Roman"/>
          <w:spacing w:val="-4"/>
          <w:sz w:val="24"/>
          <w:szCs w:val="24"/>
          <w:lang w:val="es-ES" w:eastAsia="es-ES"/>
        </w:rPr>
        <w:t xml:space="preserve">considera la Sala que </w:t>
      </w:r>
      <w:r w:rsidR="005756BE" w:rsidRPr="00144404">
        <w:rPr>
          <w:rFonts w:ascii="Gadugi" w:eastAsia="Times New Roman" w:hAnsi="Gadugi" w:cs="Times New Roman"/>
          <w:spacing w:val="-4"/>
          <w:sz w:val="24"/>
          <w:szCs w:val="24"/>
          <w:lang w:val="es-ES" w:eastAsia="es-ES"/>
        </w:rPr>
        <w:t xml:space="preserve">las vías judiciales ordinarias no ofrecen la eficacia requerida para la pronta solución de la problemática que se exhibe. </w:t>
      </w:r>
    </w:p>
    <w:p w14:paraId="2DDF171C" w14:textId="6932E51B" w:rsidR="005756BE" w:rsidRPr="00144404" w:rsidRDefault="005756BE"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608C34D8" w14:textId="6195851C" w:rsidR="005756BE" w:rsidRPr="00144404" w:rsidRDefault="007F5F4C" w:rsidP="0062092B">
      <w:pPr>
        <w:overflowPunct w:val="0"/>
        <w:autoSpaceDE w:val="0"/>
        <w:autoSpaceDN w:val="0"/>
        <w:adjustRightInd w:val="0"/>
        <w:spacing w:after="0" w:line="276" w:lineRule="auto"/>
        <w:jc w:val="both"/>
        <w:textAlignment w:val="baseline"/>
        <w:rPr>
          <w:rFonts w:ascii="Gadugi" w:eastAsia="Times New Roman" w:hAnsi="Gadugi" w:cs="Times New Roman"/>
          <w:i/>
          <w:spacing w:val="-4"/>
          <w:sz w:val="24"/>
          <w:szCs w:val="24"/>
          <w:lang w:val="es-ES" w:eastAsia="es-ES"/>
        </w:rPr>
      </w:pPr>
      <w:r w:rsidRPr="00144404">
        <w:rPr>
          <w:rFonts w:ascii="Gadugi" w:eastAsia="Times New Roman" w:hAnsi="Gadugi" w:cs="Times New Roman"/>
          <w:spacing w:val="-4"/>
          <w:sz w:val="24"/>
          <w:szCs w:val="24"/>
          <w:lang w:val="es-ES" w:eastAsia="es-ES"/>
        </w:rPr>
        <w:t xml:space="preserve">2.3. </w:t>
      </w:r>
      <w:r w:rsidR="0098467A" w:rsidRPr="00144404">
        <w:rPr>
          <w:rFonts w:ascii="Gadugi" w:eastAsia="Times New Roman" w:hAnsi="Gadugi" w:cs="Times New Roman"/>
          <w:spacing w:val="-4"/>
          <w:sz w:val="24"/>
          <w:szCs w:val="24"/>
          <w:lang w:val="es-ES" w:eastAsia="es-ES"/>
        </w:rPr>
        <w:t xml:space="preserve">Para resolver este asunto, es necesario recordar lo que enseña la Corte Constitucional sobre la </w:t>
      </w:r>
      <w:r w:rsidR="0098467A" w:rsidRPr="00144404">
        <w:rPr>
          <w:rFonts w:ascii="Gadugi" w:eastAsia="Times New Roman" w:hAnsi="Gadugi" w:cs="Times New Roman"/>
          <w:i/>
          <w:spacing w:val="-4"/>
          <w:sz w:val="24"/>
          <w:szCs w:val="24"/>
          <w:lang w:val="es-ES" w:eastAsia="es-ES"/>
        </w:rPr>
        <w:t>“</w:t>
      </w:r>
      <w:r w:rsidR="006844C0" w:rsidRPr="00144404">
        <w:rPr>
          <w:rFonts w:ascii="Gadugi" w:eastAsia="Times New Roman" w:hAnsi="Gadugi" w:cs="Times New Roman"/>
          <w:bCs/>
          <w:i/>
          <w:spacing w:val="-4"/>
          <w:szCs w:val="24"/>
          <w:lang w:val="es-CO" w:eastAsia="es-CO"/>
        </w:rPr>
        <w:t>La facultad de las administradoras de pensiones de revisar periódicamente el estado de invalidez</w:t>
      </w:r>
      <w:r w:rsidR="006844C0" w:rsidRPr="00144404">
        <w:rPr>
          <w:rFonts w:ascii="Gadugi" w:eastAsia="Times New Roman" w:hAnsi="Gadugi" w:cs="Times New Roman"/>
          <w:bCs/>
          <w:i/>
          <w:spacing w:val="-4"/>
          <w:sz w:val="24"/>
          <w:szCs w:val="24"/>
          <w:lang w:val="es-CO" w:eastAsia="es-CO"/>
        </w:rPr>
        <w:t>”</w:t>
      </w:r>
      <w:r w:rsidR="001170B4" w:rsidRPr="00144404">
        <w:rPr>
          <w:rStyle w:val="Refdenotaalpie"/>
          <w:rFonts w:ascii="Gadugi" w:eastAsia="Times New Roman" w:hAnsi="Gadugi"/>
          <w:bCs/>
          <w:i/>
          <w:spacing w:val="-4"/>
          <w:sz w:val="24"/>
          <w:szCs w:val="24"/>
          <w:lang w:val="es-CO" w:eastAsia="es-CO"/>
        </w:rPr>
        <w:footnoteReference w:id="11"/>
      </w:r>
      <w:r w:rsidR="006844C0" w:rsidRPr="00144404">
        <w:rPr>
          <w:rFonts w:ascii="Gadugi" w:eastAsia="Times New Roman" w:hAnsi="Gadugi" w:cs="Times New Roman"/>
          <w:i/>
          <w:spacing w:val="-4"/>
          <w:sz w:val="24"/>
          <w:szCs w:val="24"/>
          <w:lang w:val="es-ES" w:eastAsia="es-ES"/>
        </w:rPr>
        <w:t>.</w:t>
      </w:r>
    </w:p>
    <w:p w14:paraId="269E89F8" w14:textId="60AB0773" w:rsidR="0098467A" w:rsidRPr="00144404" w:rsidRDefault="0098467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6CD72A11" w14:textId="46A869A2" w:rsidR="006844C0" w:rsidRPr="00144404" w:rsidRDefault="006844C0" w:rsidP="0062092B">
      <w:pPr>
        <w:overflowPunct w:val="0"/>
        <w:autoSpaceDE w:val="0"/>
        <w:autoSpaceDN w:val="0"/>
        <w:adjustRightInd w:val="0"/>
        <w:spacing w:after="0" w:line="240" w:lineRule="auto"/>
        <w:ind w:left="426" w:right="420"/>
        <w:jc w:val="both"/>
        <w:textAlignment w:val="baseline"/>
        <w:rPr>
          <w:rFonts w:ascii="Gadugi" w:eastAsia="Times New Roman" w:hAnsi="Gadugi" w:cs="Times New Roman"/>
          <w:spacing w:val="-4"/>
          <w:szCs w:val="24"/>
          <w:lang w:val="es-CO" w:eastAsia="es-CO"/>
        </w:rPr>
      </w:pPr>
      <w:r w:rsidRPr="00144404">
        <w:rPr>
          <w:rFonts w:ascii="Gadugi" w:eastAsia="Times New Roman" w:hAnsi="Gadugi" w:cs="Times New Roman"/>
          <w:spacing w:val="-4"/>
          <w:szCs w:val="24"/>
          <w:lang w:val="es-CO" w:eastAsia="es-CO"/>
        </w:rPr>
        <w:t>Según el artículo 44 de la Ley 100 de 1993, las entidades de previsión social y los pensionados están facultados para solicitar la revisión de la calificación del estado de invalidez, las primeras conforme a unos determinados condicionamientos y los segundos en cualquier tiempo.</w:t>
      </w:r>
    </w:p>
    <w:p w14:paraId="79730CC9" w14:textId="04D38D36" w:rsidR="006844C0" w:rsidRPr="00144404" w:rsidRDefault="006844C0" w:rsidP="0062092B">
      <w:pPr>
        <w:overflowPunct w:val="0"/>
        <w:autoSpaceDE w:val="0"/>
        <w:autoSpaceDN w:val="0"/>
        <w:adjustRightInd w:val="0"/>
        <w:spacing w:after="0" w:line="240" w:lineRule="auto"/>
        <w:ind w:left="426" w:right="420"/>
        <w:jc w:val="both"/>
        <w:textAlignment w:val="baseline"/>
        <w:rPr>
          <w:rFonts w:ascii="Gadugi" w:eastAsia="Times New Roman" w:hAnsi="Gadugi" w:cs="Times New Roman"/>
          <w:spacing w:val="-4"/>
          <w:szCs w:val="24"/>
          <w:lang w:val="es-CO" w:eastAsia="es-CO"/>
        </w:rPr>
      </w:pPr>
    </w:p>
    <w:p w14:paraId="29F9CDB6" w14:textId="07EC1CE6" w:rsidR="006844C0" w:rsidRPr="00144404" w:rsidRDefault="006844C0" w:rsidP="0062092B">
      <w:pPr>
        <w:overflowPunct w:val="0"/>
        <w:autoSpaceDE w:val="0"/>
        <w:autoSpaceDN w:val="0"/>
        <w:adjustRightInd w:val="0"/>
        <w:spacing w:after="0" w:line="240" w:lineRule="auto"/>
        <w:ind w:left="426" w:right="420"/>
        <w:jc w:val="both"/>
        <w:textAlignment w:val="baseline"/>
        <w:rPr>
          <w:rFonts w:ascii="Gadugi" w:eastAsia="Times New Roman" w:hAnsi="Gadugi" w:cs="Times New Roman"/>
          <w:spacing w:val="-4"/>
          <w:szCs w:val="24"/>
          <w:lang w:val="es-CO" w:eastAsia="es-CO"/>
        </w:rPr>
      </w:pPr>
      <w:r w:rsidRPr="00144404">
        <w:rPr>
          <w:rFonts w:ascii="Gadugi" w:eastAsia="Times New Roman" w:hAnsi="Gadugi" w:cs="Times New Roman"/>
          <w:spacing w:val="-4"/>
          <w:szCs w:val="24"/>
          <w:lang w:val="es-CO" w:eastAsia="es-CO"/>
        </w:rPr>
        <w:tab/>
        <w:t>(…)</w:t>
      </w:r>
    </w:p>
    <w:p w14:paraId="2BFB414C" w14:textId="2BD1D5BF" w:rsidR="006844C0" w:rsidRPr="00144404" w:rsidRDefault="006844C0" w:rsidP="0062092B">
      <w:pPr>
        <w:overflowPunct w:val="0"/>
        <w:autoSpaceDE w:val="0"/>
        <w:autoSpaceDN w:val="0"/>
        <w:adjustRightInd w:val="0"/>
        <w:spacing w:after="0" w:line="240" w:lineRule="auto"/>
        <w:ind w:left="426" w:right="420"/>
        <w:jc w:val="both"/>
        <w:textAlignment w:val="baseline"/>
        <w:rPr>
          <w:rFonts w:ascii="Gadugi" w:eastAsia="Times New Roman" w:hAnsi="Gadugi" w:cs="Times New Roman"/>
          <w:spacing w:val="-4"/>
          <w:szCs w:val="24"/>
          <w:lang w:val="es-CO" w:eastAsia="es-CO"/>
        </w:rPr>
      </w:pPr>
    </w:p>
    <w:p w14:paraId="76510595" w14:textId="445FEAB3" w:rsidR="006844C0" w:rsidRPr="00144404" w:rsidRDefault="006844C0" w:rsidP="0062092B">
      <w:pPr>
        <w:overflowPunct w:val="0"/>
        <w:autoSpaceDE w:val="0"/>
        <w:autoSpaceDN w:val="0"/>
        <w:adjustRightInd w:val="0"/>
        <w:spacing w:after="0" w:line="240" w:lineRule="auto"/>
        <w:ind w:left="426" w:right="420"/>
        <w:jc w:val="both"/>
        <w:textAlignment w:val="baseline"/>
        <w:rPr>
          <w:rFonts w:ascii="Gadugi" w:eastAsia="Times New Roman" w:hAnsi="Gadugi" w:cs="Times New Roman"/>
          <w:spacing w:val="-4"/>
          <w:szCs w:val="24"/>
          <w:lang w:val="es-CO" w:eastAsia="es-CO"/>
        </w:rPr>
      </w:pPr>
      <w:r w:rsidRPr="00144404">
        <w:rPr>
          <w:rFonts w:ascii="Gadugi" w:eastAsia="Times New Roman" w:hAnsi="Gadugi" w:cs="Times New Roman"/>
          <w:spacing w:val="-4"/>
          <w:szCs w:val="24"/>
          <w:lang w:val="es-CO" w:eastAsia="es-CO"/>
        </w:rPr>
        <w:t>La revisión del estado de invalidez consiste, entonces, en la posibilidad de hacerle seguimiento periódico a la evolución del estado de salud de la persona que disfruta una pensión, de modo que se consiga detectar y verificar si ha habido cambios en su condición clínica que puedan resultar determinantes con miras a establecer la pertinencia actual de la prestación económica que previamente le fue reconocida, según persistan o no las condiciones médicas que le impedían al asegurado desempeñarse en el medio laboral, o en términos de la OIT, mientras perdure la invalidez entendida como la “</w:t>
      </w:r>
      <w:r w:rsidRPr="00144404">
        <w:rPr>
          <w:rFonts w:ascii="Gadugi" w:eastAsia="Times New Roman" w:hAnsi="Gadugi" w:cs="Times New Roman"/>
          <w:i/>
          <w:iCs/>
          <w:spacing w:val="-4"/>
          <w:szCs w:val="24"/>
          <w:lang w:val="es-CO" w:eastAsia="es-CO"/>
        </w:rPr>
        <w:t>incapacidad para ejercer una actividad que proporcione un ingreso apreciable</w:t>
      </w:r>
      <w:r w:rsidRPr="00144404">
        <w:rPr>
          <w:rFonts w:ascii="Gadugi" w:eastAsia="Times New Roman" w:hAnsi="Gadugi" w:cs="Times New Roman"/>
          <w:spacing w:val="-4"/>
          <w:szCs w:val="24"/>
          <w:lang w:val="es-CO" w:eastAsia="es-CO"/>
        </w:rPr>
        <w:t>”</w:t>
      </w:r>
      <w:r w:rsidR="006E7FCC" w:rsidRPr="00144404">
        <w:rPr>
          <w:rStyle w:val="Refdenotaalpie"/>
          <w:rFonts w:ascii="Gadugi" w:eastAsia="Times New Roman" w:hAnsi="Gadugi"/>
          <w:spacing w:val="-4"/>
          <w:szCs w:val="24"/>
          <w:lang w:val="es-CO" w:eastAsia="es-CO"/>
        </w:rPr>
        <w:footnoteReference w:id="12"/>
      </w:r>
      <w:r w:rsidRPr="00144404">
        <w:rPr>
          <w:rFonts w:ascii="Gadugi" w:eastAsia="Times New Roman" w:hAnsi="Gadugi" w:cs="Times New Roman"/>
          <w:spacing w:val="-4"/>
          <w:szCs w:val="24"/>
          <w:lang w:val="es-CO" w:eastAsia="es-CO"/>
        </w:rPr>
        <w:t>.</w:t>
      </w:r>
    </w:p>
    <w:p w14:paraId="24CC33A9" w14:textId="3B0C8041" w:rsidR="006844C0" w:rsidRPr="00144404" w:rsidRDefault="006844C0" w:rsidP="0062092B">
      <w:pPr>
        <w:overflowPunct w:val="0"/>
        <w:autoSpaceDE w:val="0"/>
        <w:autoSpaceDN w:val="0"/>
        <w:adjustRightInd w:val="0"/>
        <w:spacing w:after="0" w:line="240" w:lineRule="auto"/>
        <w:ind w:left="426" w:right="420"/>
        <w:jc w:val="both"/>
        <w:textAlignment w:val="baseline"/>
        <w:rPr>
          <w:rFonts w:ascii="Gadugi" w:eastAsia="Times New Roman" w:hAnsi="Gadugi" w:cs="Times New Roman"/>
          <w:spacing w:val="-4"/>
          <w:szCs w:val="24"/>
          <w:lang w:val="es-CO" w:eastAsia="es-CO"/>
        </w:rPr>
      </w:pPr>
    </w:p>
    <w:p w14:paraId="16EA53B3" w14:textId="04B3BA42" w:rsidR="006844C0" w:rsidRPr="00144404" w:rsidRDefault="006844C0" w:rsidP="0062092B">
      <w:pPr>
        <w:overflowPunct w:val="0"/>
        <w:autoSpaceDE w:val="0"/>
        <w:autoSpaceDN w:val="0"/>
        <w:adjustRightInd w:val="0"/>
        <w:spacing w:after="0" w:line="240" w:lineRule="auto"/>
        <w:ind w:left="426" w:right="420"/>
        <w:jc w:val="both"/>
        <w:textAlignment w:val="baseline"/>
        <w:rPr>
          <w:rFonts w:ascii="Gadugi" w:eastAsia="Times New Roman" w:hAnsi="Gadugi" w:cs="Times New Roman"/>
          <w:spacing w:val="-4"/>
          <w:szCs w:val="24"/>
          <w:lang w:val="es-CO" w:eastAsia="es-CO"/>
        </w:rPr>
      </w:pPr>
      <w:r w:rsidRPr="00144404">
        <w:rPr>
          <w:rFonts w:ascii="Gadugi" w:eastAsia="Times New Roman" w:hAnsi="Gadugi" w:cs="Times New Roman"/>
          <w:spacing w:val="-4"/>
          <w:szCs w:val="24"/>
          <w:lang w:val="es-CO" w:eastAsia="es-CO"/>
        </w:rPr>
        <w:lastRenderedPageBreak/>
        <w:t>Es así como, desde su más temprana jurisprudencia esta Corporación ha precisado que, si bien las pensiones basadas en la invalidez del beneficiario no pueden suspenderse o suprimirse unilateralmente por parte de las entidades y dentro del procedimiento debe respetarse el debido proceso, se trata de una situación condicionada al futuro, por lo que sólo habrá de extinguirse el derecho a percibir la pensión cuando ha desaparecido la incapacidad que motivó la prestación</w:t>
      </w:r>
      <w:r w:rsidR="006E7FCC" w:rsidRPr="00144404">
        <w:rPr>
          <w:rStyle w:val="Refdenotaalpie"/>
          <w:rFonts w:ascii="Gadugi" w:eastAsia="Times New Roman" w:hAnsi="Gadugi"/>
          <w:spacing w:val="-4"/>
          <w:szCs w:val="24"/>
          <w:lang w:val="es-CO" w:eastAsia="es-CO"/>
        </w:rPr>
        <w:footnoteReference w:id="13"/>
      </w:r>
      <w:r w:rsidRPr="00144404">
        <w:rPr>
          <w:rFonts w:ascii="Gadugi" w:eastAsia="Times New Roman" w:hAnsi="Gadugi" w:cs="Times New Roman"/>
          <w:spacing w:val="-4"/>
          <w:szCs w:val="24"/>
          <w:lang w:val="es-CO" w:eastAsia="es-CO"/>
        </w:rPr>
        <w:t>. De ese modo, “</w:t>
      </w:r>
      <w:r w:rsidRPr="00144404">
        <w:rPr>
          <w:rFonts w:ascii="Gadugi" w:eastAsia="Times New Roman" w:hAnsi="Gadugi" w:cs="Times New Roman"/>
          <w:i/>
          <w:iCs/>
          <w:spacing w:val="-4"/>
          <w:szCs w:val="24"/>
          <w:lang w:val="es-CO" w:eastAsia="es-CO"/>
        </w:rPr>
        <w:t>cuando la incapacidad del pensionado por invalidez disminuye por debajo de los límites establecidos en la ley -según el examen médico que puede practicársele trienalmente-, es legítimo declarar la extinción de la pensión de invalidez</w:t>
      </w:r>
      <w:r w:rsidRPr="00144404">
        <w:rPr>
          <w:rFonts w:ascii="Gadugi" w:eastAsia="Times New Roman" w:hAnsi="Gadugi" w:cs="Times New Roman"/>
          <w:spacing w:val="-4"/>
          <w:szCs w:val="24"/>
          <w:lang w:val="es-CO" w:eastAsia="es-CO"/>
        </w:rPr>
        <w:t>.”</w:t>
      </w:r>
      <w:r w:rsidR="006E7FCC" w:rsidRPr="00144404">
        <w:rPr>
          <w:rStyle w:val="Refdenotaalpie"/>
          <w:rFonts w:ascii="Gadugi" w:eastAsia="Times New Roman" w:hAnsi="Gadugi"/>
          <w:spacing w:val="-4"/>
          <w:szCs w:val="24"/>
          <w:lang w:val="es-CO" w:eastAsia="es-CO"/>
        </w:rPr>
        <w:footnoteReference w:id="14"/>
      </w:r>
      <w:r w:rsidR="006E7FCC" w:rsidRPr="00144404">
        <w:rPr>
          <w:rFonts w:ascii="Gadugi" w:eastAsia="Times New Roman" w:hAnsi="Gadugi" w:cs="Times New Roman"/>
          <w:spacing w:val="-4"/>
          <w:szCs w:val="24"/>
          <w:lang w:val="es-CO" w:eastAsia="es-CO"/>
        </w:rPr>
        <w:t xml:space="preserve"> </w:t>
      </w:r>
    </w:p>
    <w:p w14:paraId="5CEDD82F" w14:textId="27B4CC06" w:rsidR="006844C0" w:rsidRPr="00144404" w:rsidRDefault="006844C0" w:rsidP="0062092B">
      <w:pPr>
        <w:overflowPunct w:val="0"/>
        <w:autoSpaceDE w:val="0"/>
        <w:autoSpaceDN w:val="0"/>
        <w:adjustRightInd w:val="0"/>
        <w:spacing w:after="0" w:line="240" w:lineRule="auto"/>
        <w:ind w:left="426" w:right="420"/>
        <w:jc w:val="both"/>
        <w:textAlignment w:val="baseline"/>
        <w:rPr>
          <w:rFonts w:ascii="Gadugi" w:eastAsia="Times New Roman" w:hAnsi="Gadugi" w:cs="Times New Roman"/>
          <w:spacing w:val="-4"/>
          <w:szCs w:val="24"/>
          <w:lang w:val="es-CO" w:eastAsia="es-CO"/>
        </w:rPr>
      </w:pPr>
    </w:p>
    <w:p w14:paraId="4AF55F5E" w14:textId="7E5838B7" w:rsidR="006844C0" w:rsidRPr="00144404" w:rsidRDefault="006844C0" w:rsidP="0062092B">
      <w:pPr>
        <w:overflowPunct w:val="0"/>
        <w:autoSpaceDE w:val="0"/>
        <w:autoSpaceDN w:val="0"/>
        <w:adjustRightInd w:val="0"/>
        <w:spacing w:after="0" w:line="240" w:lineRule="auto"/>
        <w:ind w:left="426" w:right="420"/>
        <w:jc w:val="both"/>
        <w:textAlignment w:val="baseline"/>
        <w:rPr>
          <w:rFonts w:ascii="Gadugi" w:eastAsia="Times New Roman" w:hAnsi="Gadugi" w:cs="Times New Roman"/>
          <w:spacing w:val="-4"/>
          <w:szCs w:val="24"/>
          <w:lang w:val="es-CO" w:eastAsia="es-CO"/>
        </w:rPr>
      </w:pPr>
      <w:r w:rsidRPr="00144404">
        <w:rPr>
          <w:rFonts w:ascii="Gadugi" w:eastAsia="Times New Roman" w:hAnsi="Gadugi" w:cs="Times New Roman"/>
          <w:spacing w:val="-4"/>
          <w:szCs w:val="24"/>
          <w:lang w:val="es-CO" w:eastAsia="es-CO"/>
        </w:rPr>
        <w:t xml:space="preserve">(…) </w:t>
      </w:r>
    </w:p>
    <w:p w14:paraId="1CF64002" w14:textId="77777777" w:rsidR="006844C0" w:rsidRPr="00144404" w:rsidRDefault="006844C0" w:rsidP="0062092B">
      <w:pPr>
        <w:overflowPunct w:val="0"/>
        <w:autoSpaceDE w:val="0"/>
        <w:autoSpaceDN w:val="0"/>
        <w:adjustRightInd w:val="0"/>
        <w:spacing w:after="0" w:line="240" w:lineRule="auto"/>
        <w:ind w:left="426" w:right="420"/>
        <w:jc w:val="both"/>
        <w:textAlignment w:val="baseline"/>
        <w:rPr>
          <w:rFonts w:ascii="Gadugi" w:eastAsia="Times New Roman" w:hAnsi="Gadugi" w:cs="Times New Roman"/>
          <w:spacing w:val="-4"/>
          <w:szCs w:val="24"/>
          <w:lang w:val="es-CO" w:eastAsia="es-CO"/>
        </w:rPr>
      </w:pPr>
    </w:p>
    <w:p w14:paraId="425864E7" w14:textId="12BA5F35" w:rsidR="006844C0" w:rsidRPr="00144404" w:rsidRDefault="006844C0" w:rsidP="0062092B">
      <w:pPr>
        <w:shd w:val="clear" w:color="auto" w:fill="FFFFFF"/>
        <w:spacing w:after="0" w:line="240" w:lineRule="auto"/>
        <w:ind w:left="426" w:right="420"/>
        <w:jc w:val="both"/>
        <w:rPr>
          <w:rFonts w:ascii="Gadugi" w:eastAsia="Times New Roman" w:hAnsi="Gadugi" w:cs="Times New Roman"/>
          <w:spacing w:val="-4"/>
          <w:szCs w:val="24"/>
          <w:lang w:val="es-CO" w:eastAsia="es-CO"/>
        </w:rPr>
      </w:pPr>
      <w:r w:rsidRPr="00144404">
        <w:rPr>
          <w:rFonts w:ascii="Gadugi" w:eastAsia="Times New Roman" w:hAnsi="Gadugi" w:cs="Times New Roman"/>
          <w:spacing w:val="-4"/>
          <w:szCs w:val="24"/>
          <w:lang w:val="es-CO" w:eastAsia="es-CO"/>
        </w:rPr>
        <w:t xml:space="preserve">Asimismo, se ha sostenido que cuando las entidades hacen uso de dicha prerrogativa legal </w:t>
      </w:r>
      <w:r w:rsidRPr="00144404">
        <w:rPr>
          <w:rFonts w:ascii="Gadugi" w:eastAsia="Times New Roman" w:hAnsi="Gadugi" w:cs="Times New Roman"/>
          <w:b/>
          <w:spacing w:val="-4"/>
          <w:szCs w:val="24"/>
          <w:lang w:val="es-CO" w:eastAsia="es-CO"/>
        </w:rPr>
        <w:t>no pueden trasladar al asegurado la carga de acreditar periódicamente la revisión de la invalidez</w:t>
      </w:r>
      <w:r w:rsidRPr="00144404">
        <w:rPr>
          <w:rFonts w:ascii="Gadugi" w:eastAsia="Times New Roman" w:hAnsi="Gadugi" w:cs="Times New Roman"/>
          <w:spacing w:val="-4"/>
          <w:szCs w:val="24"/>
          <w:lang w:val="es-CO" w:eastAsia="es-CO"/>
        </w:rPr>
        <w:t>, toda vez que en dicho escenario la obligación del ciudadano se circunscribe a acudir al examen médico cuando sea requerido para tal efecto por parte de la entidad</w:t>
      </w:r>
      <w:r w:rsidR="006E7FCC" w:rsidRPr="00144404">
        <w:rPr>
          <w:rStyle w:val="Refdenotaalpie"/>
          <w:rFonts w:ascii="Gadugi" w:eastAsia="Times New Roman" w:hAnsi="Gadugi"/>
          <w:b/>
          <w:spacing w:val="-4"/>
          <w:szCs w:val="24"/>
          <w:lang w:val="es-CO" w:eastAsia="es-CO"/>
        </w:rPr>
        <w:footnoteReference w:id="15"/>
      </w:r>
      <w:r w:rsidRPr="00144404">
        <w:rPr>
          <w:rFonts w:ascii="Gadugi" w:eastAsia="Times New Roman" w:hAnsi="Gadugi" w:cs="Times New Roman"/>
          <w:spacing w:val="-4"/>
          <w:szCs w:val="24"/>
          <w:lang w:val="es-CO" w:eastAsia="es-CO"/>
        </w:rPr>
        <w:t xml:space="preserve">. </w:t>
      </w:r>
      <w:r w:rsidRPr="00144404">
        <w:rPr>
          <w:rFonts w:ascii="Gadugi" w:eastAsia="Times New Roman" w:hAnsi="Gadugi" w:cs="Times New Roman"/>
          <w:b/>
          <w:spacing w:val="-4"/>
          <w:szCs w:val="24"/>
          <w:lang w:val="es-CO" w:eastAsia="es-CO"/>
        </w:rPr>
        <w:t>Ello supone, desde luego, que el destinatario de la medida conozca previamente que se adelantará el trámite de revisión de la invalidez, pues solo a partir del momento en que está al tanto de dicho requerimiento surge la obligación de someterse a la valoración respectiva</w:t>
      </w:r>
      <w:r w:rsidRPr="00144404">
        <w:rPr>
          <w:rFonts w:ascii="Gadugi" w:eastAsia="Times New Roman" w:hAnsi="Gadugi" w:cs="Times New Roman"/>
          <w:spacing w:val="-4"/>
          <w:szCs w:val="24"/>
          <w:lang w:val="es-CO" w:eastAsia="es-CO"/>
        </w:rPr>
        <w:t>, de manera que “</w:t>
      </w:r>
      <w:r w:rsidRPr="00144404">
        <w:rPr>
          <w:rFonts w:ascii="Gadugi" w:eastAsia="Times New Roman" w:hAnsi="Gadugi" w:cs="Times New Roman"/>
          <w:i/>
          <w:iCs/>
          <w:spacing w:val="-4"/>
          <w:szCs w:val="24"/>
          <w:lang w:val="es-CO" w:eastAsia="es-CO"/>
        </w:rPr>
        <w:t xml:space="preserve">en el evento en que por una causa justificada la persona no se haya enterado de la citación y por tanto no haya acudido al proceso, </w:t>
      </w:r>
      <w:r w:rsidRPr="00144404">
        <w:rPr>
          <w:rFonts w:ascii="Gadugi" w:eastAsia="Times New Roman" w:hAnsi="Gadugi" w:cs="Times New Roman"/>
          <w:b/>
          <w:i/>
          <w:iCs/>
          <w:spacing w:val="-4"/>
          <w:szCs w:val="24"/>
          <w:lang w:val="es-CO" w:eastAsia="es-CO"/>
        </w:rPr>
        <w:t>no se estaría ante una resistencia caprichosa al cumplimiento de sus obligaciones, sino más bien, ante la ignorancia de un deber específico</w:t>
      </w:r>
      <w:r w:rsidRPr="00144404">
        <w:rPr>
          <w:rFonts w:ascii="Gadugi" w:eastAsia="Times New Roman" w:hAnsi="Gadugi" w:cs="Times New Roman"/>
          <w:b/>
          <w:spacing w:val="-4"/>
          <w:szCs w:val="24"/>
          <w:lang w:val="es-CO" w:eastAsia="es-CO"/>
        </w:rPr>
        <w:t>”</w:t>
      </w:r>
      <w:r w:rsidR="006E7FCC" w:rsidRPr="00144404">
        <w:rPr>
          <w:rStyle w:val="Refdenotaalpie"/>
          <w:rFonts w:ascii="Gadugi" w:eastAsia="Times New Roman" w:hAnsi="Gadugi"/>
          <w:b/>
          <w:spacing w:val="-4"/>
          <w:szCs w:val="24"/>
          <w:lang w:val="es-CO" w:eastAsia="es-CO"/>
        </w:rPr>
        <w:footnoteReference w:id="16"/>
      </w:r>
      <w:r w:rsidRPr="00144404">
        <w:rPr>
          <w:rFonts w:ascii="Gadugi" w:eastAsia="Times New Roman" w:hAnsi="Gadugi" w:cs="Times New Roman"/>
          <w:b/>
          <w:spacing w:val="-4"/>
          <w:szCs w:val="24"/>
          <w:lang w:val="es-CO" w:eastAsia="es-CO"/>
        </w:rPr>
        <w:t>, por lo cual mal puede la entidad suspender intempestivamente el pago de la mesada</w:t>
      </w:r>
      <w:r w:rsidRPr="00144404">
        <w:rPr>
          <w:rFonts w:ascii="Gadugi" w:eastAsia="Times New Roman" w:hAnsi="Gadugi" w:cs="Times New Roman"/>
          <w:spacing w:val="-4"/>
          <w:szCs w:val="24"/>
          <w:lang w:val="es-CO" w:eastAsia="es-CO"/>
        </w:rPr>
        <w:t>.</w:t>
      </w:r>
      <w:r w:rsidR="006E7FCC" w:rsidRPr="00144404">
        <w:rPr>
          <w:rFonts w:ascii="Gadugi" w:eastAsia="Times New Roman" w:hAnsi="Gadugi" w:cs="Times New Roman"/>
          <w:spacing w:val="-4"/>
          <w:szCs w:val="24"/>
          <w:lang w:val="es-CO" w:eastAsia="es-CO"/>
        </w:rPr>
        <w:t xml:space="preserve"> (Destaca la Sala).</w:t>
      </w:r>
    </w:p>
    <w:p w14:paraId="4916DDEC" w14:textId="0D4C7410" w:rsidR="006E7FCC" w:rsidRPr="00144404" w:rsidRDefault="006844C0" w:rsidP="0062092B">
      <w:pPr>
        <w:shd w:val="clear" w:color="auto" w:fill="FFFFFF"/>
        <w:spacing w:after="0" w:line="276" w:lineRule="auto"/>
        <w:ind w:right="618"/>
        <w:jc w:val="both"/>
        <w:rPr>
          <w:rFonts w:ascii="Gadugi" w:eastAsia="Times New Roman" w:hAnsi="Gadugi" w:cs="Times New Roman"/>
          <w:spacing w:val="-4"/>
          <w:sz w:val="24"/>
          <w:szCs w:val="24"/>
          <w:lang w:val="es-CO" w:eastAsia="es-CO"/>
        </w:rPr>
      </w:pPr>
      <w:r w:rsidRPr="00144404">
        <w:rPr>
          <w:rFonts w:ascii="Gadugi" w:eastAsia="Times New Roman" w:hAnsi="Gadugi" w:cs="Times New Roman"/>
          <w:spacing w:val="-4"/>
          <w:sz w:val="24"/>
          <w:szCs w:val="24"/>
          <w:lang w:val="es-CO" w:eastAsia="es-CO"/>
        </w:rPr>
        <w:t> </w:t>
      </w:r>
    </w:p>
    <w:p w14:paraId="5FD1042E" w14:textId="3E773202" w:rsidR="001C0F55" w:rsidRPr="00144404" w:rsidRDefault="005E7F81" w:rsidP="0062092B">
      <w:pPr>
        <w:pStyle w:val="Textoindependiente21"/>
        <w:spacing w:line="276" w:lineRule="auto"/>
        <w:ind w:firstLine="0"/>
        <w:rPr>
          <w:rFonts w:ascii="Gadugi" w:hAnsi="Gadugi" w:cs="Arial"/>
          <w:spacing w:val="-4"/>
          <w:szCs w:val="24"/>
          <w:lang w:val="es-419"/>
        </w:rPr>
      </w:pPr>
      <w:bookmarkStart w:id="2" w:name="_Hlk124404983"/>
      <w:r w:rsidRPr="00144404">
        <w:rPr>
          <w:rFonts w:ascii="Gadugi" w:hAnsi="Gadugi"/>
          <w:spacing w:val="-4"/>
          <w:szCs w:val="24"/>
        </w:rPr>
        <w:t>Adicionalmente, aquí es de capital importancia</w:t>
      </w:r>
      <w:r w:rsidR="001C0F55" w:rsidRPr="00144404">
        <w:rPr>
          <w:rFonts w:ascii="Gadugi" w:hAnsi="Gadugi"/>
          <w:spacing w:val="-4"/>
          <w:szCs w:val="24"/>
        </w:rPr>
        <w:t xml:space="preserve"> tener presente que </w:t>
      </w:r>
      <w:r w:rsidR="001C0F55" w:rsidRPr="00144404">
        <w:rPr>
          <w:rFonts w:ascii="Gadugi" w:hAnsi="Gadugi" w:cs="Arial"/>
          <w:spacing w:val="-4"/>
          <w:szCs w:val="24"/>
          <w:lang w:val="es-419"/>
        </w:rPr>
        <w:t xml:space="preserve">Colpensiones es una de las entidades encargadas de determinar la </w:t>
      </w:r>
      <w:r w:rsidR="00715900" w:rsidRPr="00144404">
        <w:rPr>
          <w:rFonts w:ascii="Gadugi" w:hAnsi="Gadugi" w:cs="Arial"/>
          <w:spacing w:val="-4"/>
          <w:szCs w:val="24"/>
          <w:lang w:val="es-419"/>
        </w:rPr>
        <w:t xml:space="preserve">PCL </w:t>
      </w:r>
      <w:r w:rsidR="001C0F55" w:rsidRPr="00144404">
        <w:rPr>
          <w:rFonts w:ascii="Gadugi" w:hAnsi="Gadugi" w:cs="Arial"/>
          <w:spacing w:val="-4"/>
          <w:szCs w:val="24"/>
          <w:lang w:val="es-419"/>
        </w:rPr>
        <w:t>de los afiliados al Sistema General del Seguridad Social, ello de conformidad con el artículo 142 del decreto 019 del 2012, y como tal, es su deber</w:t>
      </w:r>
      <w:r w:rsidR="001C0F55" w:rsidRPr="00144404">
        <w:rPr>
          <w:rFonts w:ascii="Gadugi" w:hAnsi="Gadugi"/>
          <w:spacing w:val="-4"/>
          <w:szCs w:val="24"/>
          <w:lang w:val="es-419"/>
        </w:rPr>
        <w:t xml:space="preserve"> </w:t>
      </w:r>
      <w:r w:rsidR="001C0F55" w:rsidRPr="00144404">
        <w:rPr>
          <w:rFonts w:ascii="Gadugi" w:hAnsi="Gadugi" w:cs="Arial"/>
          <w:spacing w:val="-4"/>
          <w:szCs w:val="24"/>
          <w:lang w:val="es-419"/>
        </w:rPr>
        <w:t xml:space="preserve">adelantar las gestiones necesarias para obtener los exámenes, pruebas, valoraciones y/o revisiones especializadas que permitan determinar, con claridad, el diagnóstico </w:t>
      </w:r>
      <w:r w:rsidR="00715900" w:rsidRPr="00144404">
        <w:rPr>
          <w:rFonts w:ascii="Gadugi" w:hAnsi="Gadugi" w:cs="Arial"/>
          <w:spacing w:val="-4"/>
          <w:szCs w:val="24"/>
          <w:lang w:val="es-419"/>
        </w:rPr>
        <w:t>sus afiliados</w:t>
      </w:r>
      <w:bookmarkEnd w:id="2"/>
      <w:r w:rsidR="001C0F55" w:rsidRPr="00144404">
        <w:rPr>
          <w:rFonts w:ascii="Gadugi" w:hAnsi="Gadugi" w:cs="Arial"/>
          <w:spacing w:val="-4"/>
          <w:szCs w:val="24"/>
          <w:lang w:val="es-419"/>
        </w:rPr>
        <w:t>; en ello ha sido enfática la jurisprudencia</w:t>
      </w:r>
      <w:r w:rsidR="001C0F55" w:rsidRPr="00144404">
        <w:rPr>
          <w:rStyle w:val="Refdenotaalpie"/>
          <w:rFonts w:ascii="Gadugi" w:hAnsi="Gadugi" w:cs="Arial"/>
          <w:spacing w:val="-4"/>
          <w:szCs w:val="24"/>
          <w:lang w:val="es-419"/>
        </w:rPr>
        <w:footnoteReference w:id="17"/>
      </w:r>
      <w:r w:rsidR="001C0F55" w:rsidRPr="00144404">
        <w:rPr>
          <w:rFonts w:ascii="Gadugi" w:hAnsi="Gadugi" w:cs="Arial"/>
          <w:spacing w:val="-4"/>
          <w:szCs w:val="24"/>
          <w:lang w:val="es-419"/>
        </w:rPr>
        <w:t>.</w:t>
      </w:r>
    </w:p>
    <w:p w14:paraId="735904E1" w14:textId="77777777" w:rsidR="001C0F55" w:rsidRPr="00144404" w:rsidRDefault="001C0F55"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1A12D09E" w14:textId="25317CAA" w:rsidR="009D089D" w:rsidRPr="00144404" w:rsidRDefault="007F5F4C"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 xml:space="preserve">2.4. </w:t>
      </w:r>
      <w:r w:rsidR="001C0F55" w:rsidRPr="00144404">
        <w:rPr>
          <w:rFonts w:ascii="Gadugi" w:eastAsia="Times New Roman" w:hAnsi="Gadugi" w:cs="Times New Roman"/>
          <w:spacing w:val="-4"/>
          <w:sz w:val="24"/>
          <w:szCs w:val="24"/>
          <w:lang w:val="es-ES" w:eastAsia="es-ES"/>
        </w:rPr>
        <w:t>Sin perder de v</w:t>
      </w:r>
      <w:r w:rsidR="00715900" w:rsidRPr="00144404">
        <w:rPr>
          <w:rFonts w:ascii="Gadugi" w:eastAsia="Times New Roman" w:hAnsi="Gadugi" w:cs="Times New Roman"/>
          <w:spacing w:val="-4"/>
          <w:sz w:val="24"/>
          <w:szCs w:val="24"/>
          <w:lang w:val="es-ES" w:eastAsia="es-ES"/>
        </w:rPr>
        <w:t>i</w:t>
      </w:r>
      <w:r w:rsidR="001C0F55" w:rsidRPr="00144404">
        <w:rPr>
          <w:rFonts w:ascii="Gadugi" w:eastAsia="Times New Roman" w:hAnsi="Gadugi" w:cs="Times New Roman"/>
          <w:spacing w:val="-4"/>
          <w:sz w:val="24"/>
          <w:szCs w:val="24"/>
          <w:lang w:val="es-ES" w:eastAsia="es-ES"/>
        </w:rPr>
        <w:t>sta lo que acaba de explicarse, sigue el análisis del</w:t>
      </w:r>
      <w:r w:rsidR="005672A5" w:rsidRPr="00144404">
        <w:rPr>
          <w:rFonts w:ascii="Gadugi" w:eastAsia="Times New Roman" w:hAnsi="Gadugi" w:cs="Times New Roman"/>
          <w:spacing w:val="-4"/>
          <w:sz w:val="24"/>
          <w:szCs w:val="24"/>
          <w:lang w:val="es-ES" w:eastAsia="es-ES"/>
        </w:rPr>
        <w:t xml:space="preserve"> caso concreto</w:t>
      </w:r>
      <w:r w:rsidR="001C0F55" w:rsidRPr="00144404">
        <w:rPr>
          <w:rFonts w:ascii="Gadugi" w:eastAsia="Times New Roman" w:hAnsi="Gadugi" w:cs="Times New Roman"/>
          <w:spacing w:val="-4"/>
          <w:sz w:val="24"/>
          <w:szCs w:val="24"/>
          <w:lang w:val="es-ES" w:eastAsia="es-ES"/>
        </w:rPr>
        <w:t>, en el cual</w:t>
      </w:r>
      <w:r w:rsidR="00832A1A" w:rsidRPr="00144404">
        <w:rPr>
          <w:rFonts w:ascii="Gadugi" w:eastAsia="Times New Roman" w:hAnsi="Gadugi" w:cs="Times New Roman"/>
          <w:spacing w:val="-4"/>
          <w:sz w:val="24"/>
          <w:szCs w:val="24"/>
          <w:lang w:val="es-ES" w:eastAsia="es-ES"/>
        </w:rPr>
        <w:t>, en orden cronoló</w:t>
      </w:r>
      <w:r w:rsidR="008E3ED6" w:rsidRPr="00144404">
        <w:rPr>
          <w:rFonts w:ascii="Gadugi" w:eastAsia="Times New Roman" w:hAnsi="Gadugi" w:cs="Times New Roman"/>
          <w:spacing w:val="-4"/>
          <w:sz w:val="24"/>
          <w:szCs w:val="24"/>
          <w:lang w:val="es-ES" w:eastAsia="es-ES"/>
        </w:rPr>
        <w:t>gico, hay evidencia de que ha sucedido lo siguiente:</w:t>
      </w:r>
    </w:p>
    <w:p w14:paraId="6AF5BFF3" w14:textId="70D1C336" w:rsidR="009D089D" w:rsidRPr="00144404" w:rsidRDefault="009D089D"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4C353E18" w14:textId="5417F10E" w:rsidR="005E7F81" w:rsidRPr="00144404" w:rsidRDefault="009D089D"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 xml:space="preserve">(i) </w:t>
      </w:r>
      <w:r w:rsidR="00032126" w:rsidRPr="00144404">
        <w:rPr>
          <w:rFonts w:ascii="Gadugi" w:eastAsia="Times New Roman" w:hAnsi="Gadugi" w:cs="Times New Roman"/>
          <w:spacing w:val="-4"/>
          <w:sz w:val="24"/>
          <w:szCs w:val="24"/>
          <w:lang w:val="es-ES" w:eastAsia="es-ES"/>
        </w:rPr>
        <w:t xml:space="preserve">Colpensiones aportó unas </w:t>
      </w:r>
      <w:r w:rsidR="00032126" w:rsidRPr="00144404">
        <w:rPr>
          <w:rFonts w:ascii="Gadugi" w:eastAsia="Times New Roman" w:hAnsi="Gadugi" w:cs="Times New Roman"/>
          <w:i/>
          <w:spacing w:val="-4"/>
          <w:sz w:val="24"/>
          <w:szCs w:val="24"/>
          <w:lang w:val="es-ES" w:eastAsia="es-ES"/>
        </w:rPr>
        <w:t>“</w:t>
      </w:r>
      <w:r w:rsidR="00032126" w:rsidRPr="00144404">
        <w:rPr>
          <w:rFonts w:ascii="Gadugi" w:eastAsia="Times New Roman" w:hAnsi="Gadugi" w:cs="Times New Roman"/>
          <w:i/>
          <w:spacing w:val="-4"/>
          <w:szCs w:val="24"/>
          <w:lang w:val="es-ES" w:eastAsia="es-ES"/>
        </w:rPr>
        <w:t>BITÁCORAS DE LLAMADAS</w:t>
      </w:r>
      <w:r w:rsidR="00032126" w:rsidRPr="00144404">
        <w:rPr>
          <w:rFonts w:ascii="Gadugi" w:eastAsia="Times New Roman" w:hAnsi="Gadugi" w:cs="Times New Roman"/>
          <w:i/>
          <w:spacing w:val="-4"/>
          <w:sz w:val="24"/>
          <w:szCs w:val="24"/>
          <w:lang w:val="es-ES" w:eastAsia="es-ES"/>
        </w:rPr>
        <w:t>”</w:t>
      </w:r>
      <w:r w:rsidR="00032126" w:rsidRPr="00144404">
        <w:rPr>
          <w:rFonts w:ascii="Gadugi" w:eastAsia="Times New Roman" w:hAnsi="Gadugi" w:cs="Times New Roman"/>
          <w:spacing w:val="-4"/>
          <w:sz w:val="24"/>
          <w:szCs w:val="24"/>
          <w:lang w:val="es-ES" w:eastAsia="es-ES"/>
        </w:rPr>
        <w:t xml:space="preserve"> en las cuales se aprecia que la empresa Gestar Innovación S.A.S., procuró contactarse telefónicamente con el accionante</w:t>
      </w:r>
      <w:r w:rsidR="0043090A" w:rsidRPr="00144404">
        <w:rPr>
          <w:rFonts w:ascii="Gadugi" w:eastAsia="Times New Roman" w:hAnsi="Gadugi" w:cs="Times New Roman"/>
          <w:spacing w:val="-4"/>
          <w:sz w:val="24"/>
          <w:szCs w:val="24"/>
          <w:lang w:val="es-ES" w:eastAsia="es-ES"/>
        </w:rPr>
        <w:t xml:space="preserve"> al número 3136345351</w:t>
      </w:r>
      <w:r w:rsidR="00032126" w:rsidRPr="00144404">
        <w:rPr>
          <w:rFonts w:ascii="Gadugi" w:eastAsia="Times New Roman" w:hAnsi="Gadugi" w:cs="Times New Roman"/>
          <w:spacing w:val="-4"/>
          <w:sz w:val="24"/>
          <w:szCs w:val="24"/>
          <w:lang w:val="es-ES" w:eastAsia="es-ES"/>
        </w:rPr>
        <w:t>, los días 1</w:t>
      </w:r>
      <w:r w:rsidR="0043090A" w:rsidRPr="00144404">
        <w:rPr>
          <w:rFonts w:ascii="Gadugi" w:eastAsia="Times New Roman" w:hAnsi="Gadugi" w:cs="Times New Roman"/>
          <w:spacing w:val="-4"/>
          <w:sz w:val="24"/>
          <w:szCs w:val="24"/>
          <w:lang w:val="es-ES" w:eastAsia="es-ES"/>
        </w:rPr>
        <w:t>7</w:t>
      </w:r>
      <w:r w:rsidR="00032126" w:rsidRPr="00144404">
        <w:rPr>
          <w:rFonts w:ascii="Gadugi" w:eastAsia="Times New Roman" w:hAnsi="Gadugi" w:cs="Times New Roman"/>
          <w:spacing w:val="-4"/>
          <w:sz w:val="24"/>
          <w:szCs w:val="24"/>
          <w:lang w:val="es-ES" w:eastAsia="es-ES"/>
        </w:rPr>
        <w:t xml:space="preserve">, </w:t>
      </w:r>
      <w:r w:rsidR="0043090A" w:rsidRPr="00144404">
        <w:rPr>
          <w:rFonts w:ascii="Gadugi" w:eastAsia="Times New Roman" w:hAnsi="Gadugi" w:cs="Times New Roman"/>
          <w:spacing w:val="-4"/>
          <w:sz w:val="24"/>
          <w:szCs w:val="24"/>
          <w:lang w:val="es-ES" w:eastAsia="es-ES"/>
        </w:rPr>
        <w:t>21</w:t>
      </w:r>
      <w:r w:rsidR="00032126" w:rsidRPr="00144404">
        <w:rPr>
          <w:rFonts w:ascii="Gadugi" w:eastAsia="Times New Roman" w:hAnsi="Gadugi" w:cs="Times New Roman"/>
          <w:spacing w:val="-4"/>
          <w:sz w:val="24"/>
          <w:szCs w:val="24"/>
          <w:lang w:val="es-ES" w:eastAsia="es-ES"/>
        </w:rPr>
        <w:t xml:space="preserve"> y </w:t>
      </w:r>
      <w:r w:rsidR="0043090A" w:rsidRPr="00144404">
        <w:rPr>
          <w:rFonts w:ascii="Gadugi" w:eastAsia="Times New Roman" w:hAnsi="Gadugi" w:cs="Times New Roman"/>
          <w:spacing w:val="-4"/>
          <w:sz w:val="24"/>
          <w:szCs w:val="24"/>
          <w:lang w:val="es-ES" w:eastAsia="es-ES"/>
        </w:rPr>
        <w:t>22</w:t>
      </w:r>
      <w:r w:rsidR="00032126" w:rsidRPr="00144404">
        <w:rPr>
          <w:rFonts w:ascii="Gadugi" w:eastAsia="Times New Roman" w:hAnsi="Gadugi" w:cs="Times New Roman"/>
          <w:spacing w:val="-4"/>
          <w:sz w:val="24"/>
          <w:szCs w:val="24"/>
          <w:lang w:val="es-ES" w:eastAsia="es-ES"/>
        </w:rPr>
        <w:t xml:space="preserve"> de </w:t>
      </w:r>
      <w:r w:rsidR="0043090A" w:rsidRPr="00144404">
        <w:rPr>
          <w:rFonts w:ascii="Gadugi" w:eastAsia="Times New Roman" w:hAnsi="Gadugi" w:cs="Times New Roman"/>
          <w:spacing w:val="-4"/>
          <w:sz w:val="24"/>
          <w:szCs w:val="24"/>
          <w:lang w:val="es-ES" w:eastAsia="es-ES"/>
        </w:rPr>
        <w:t>diciembre</w:t>
      </w:r>
      <w:r w:rsidR="00032126" w:rsidRPr="00144404">
        <w:rPr>
          <w:rFonts w:ascii="Gadugi" w:eastAsia="Times New Roman" w:hAnsi="Gadugi" w:cs="Times New Roman"/>
          <w:spacing w:val="-4"/>
          <w:sz w:val="24"/>
          <w:szCs w:val="24"/>
          <w:lang w:val="es-ES" w:eastAsia="es-ES"/>
        </w:rPr>
        <w:t xml:space="preserve"> de 202</w:t>
      </w:r>
      <w:r w:rsidR="008E3ED6" w:rsidRPr="00144404">
        <w:rPr>
          <w:rFonts w:ascii="Gadugi" w:eastAsia="Times New Roman" w:hAnsi="Gadugi" w:cs="Times New Roman"/>
          <w:spacing w:val="-4"/>
          <w:sz w:val="24"/>
          <w:szCs w:val="24"/>
          <w:lang w:val="es-ES" w:eastAsia="es-ES"/>
        </w:rPr>
        <w:t>1</w:t>
      </w:r>
      <w:r w:rsidR="00032126" w:rsidRPr="00144404">
        <w:rPr>
          <w:rFonts w:ascii="Gadugi" w:eastAsia="Times New Roman" w:hAnsi="Gadugi" w:cs="Times New Roman"/>
          <w:spacing w:val="-4"/>
          <w:sz w:val="24"/>
          <w:szCs w:val="24"/>
          <w:lang w:val="es-ES" w:eastAsia="es-ES"/>
        </w:rPr>
        <w:t>,</w:t>
      </w:r>
      <w:r w:rsidR="00AD35F0" w:rsidRPr="00144404">
        <w:rPr>
          <w:rFonts w:ascii="Gadugi" w:eastAsia="Times New Roman" w:hAnsi="Gadugi" w:cs="Times New Roman"/>
          <w:spacing w:val="-4"/>
          <w:sz w:val="24"/>
          <w:szCs w:val="24"/>
          <w:lang w:val="es-ES" w:eastAsia="es-ES"/>
        </w:rPr>
        <w:t xml:space="preserve"> con el propósito de enterarlo sobre la necesidad de que se realizara la revisión de su estado de invalidez,</w:t>
      </w:r>
      <w:r w:rsidR="00032126" w:rsidRPr="00144404">
        <w:rPr>
          <w:rFonts w:ascii="Gadugi" w:eastAsia="Times New Roman" w:hAnsi="Gadugi" w:cs="Times New Roman"/>
          <w:spacing w:val="-4"/>
          <w:sz w:val="24"/>
          <w:szCs w:val="24"/>
          <w:lang w:val="es-ES" w:eastAsia="es-ES"/>
        </w:rPr>
        <w:t xml:space="preserve"> sin embargo, en todas esas certificaciones se lee que </w:t>
      </w:r>
      <w:r w:rsidR="00032126" w:rsidRPr="00144404">
        <w:rPr>
          <w:rFonts w:ascii="Gadugi" w:eastAsia="Times New Roman" w:hAnsi="Gadugi" w:cs="Times New Roman"/>
          <w:i/>
          <w:spacing w:val="-4"/>
          <w:sz w:val="24"/>
          <w:szCs w:val="24"/>
          <w:lang w:val="es-ES" w:eastAsia="es-ES"/>
        </w:rPr>
        <w:t>“</w:t>
      </w:r>
      <w:r w:rsidR="00032126" w:rsidRPr="00144404">
        <w:rPr>
          <w:rFonts w:ascii="Gadugi" w:eastAsia="Times New Roman" w:hAnsi="Gadugi" w:cs="Times New Roman"/>
          <w:i/>
          <w:spacing w:val="-4"/>
          <w:szCs w:val="24"/>
          <w:lang w:val="es-ES" w:eastAsia="es-ES"/>
        </w:rPr>
        <w:t>No se logra contacto con el ciudadano</w:t>
      </w:r>
      <w:r w:rsidR="00032126" w:rsidRPr="00144404">
        <w:rPr>
          <w:rFonts w:ascii="Gadugi" w:eastAsia="Times New Roman" w:hAnsi="Gadugi" w:cs="Times New Roman"/>
          <w:i/>
          <w:spacing w:val="-4"/>
          <w:sz w:val="24"/>
          <w:szCs w:val="24"/>
          <w:lang w:val="es-ES" w:eastAsia="es-ES"/>
        </w:rPr>
        <w:t>”.</w:t>
      </w:r>
      <w:r w:rsidR="00323F66" w:rsidRPr="00144404">
        <w:rPr>
          <w:rStyle w:val="Refdenotaalpie"/>
          <w:rFonts w:ascii="Gadugi" w:eastAsia="Times New Roman" w:hAnsi="Gadugi"/>
          <w:i/>
          <w:spacing w:val="-4"/>
          <w:sz w:val="24"/>
          <w:szCs w:val="24"/>
          <w:lang w:val="es-ES" w:eastAsia="es-ES"/>
        </w:rPr>
        <w:footnoteReference w:id="18"/>
      </w:r>
      <w:r w:rsidR="00032126" w:rsidRPr="00144404">
        <w:rPr>
          <w:rFonts w:ascii="Gadugi" w:eastAsia="Times New Roman" w:hAnsi="Gadugi" w:cs="Times New Roman"/>
          <w:i/>
          <w:spacing w:val="-4"/>
          <w:sz w:val="24"/>
          <w:szCs w:val="24"/>
          <w:lang w:val="es-ES" w:eastAsia="es-ES"/>
        </w:rPr>
        <w:t xml:space="preserve"> </w:t>
      </w:r>
    </w:p>
    <w:p w14:paraId="483C5061" w14:textId="7D0F2759" w:rsidR="005E7F81" w:rsidRPr="00144404" w:rsidRDefault="005E7F81"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7F6DF162" w14:textId="6818B0AD" w:rsidR="0043090A" w:rsidRPr="00144404" w:rsidRDefault="00032126"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lastRenderedPageBreak/>
        <w:t xml:space="preserve">(ii) </w:t>
      </w:r>
      <w:r w:rsidR="00AD35F0" w:rsidRPr="00144404">
        <w:rPr>
          <w:rFonts w:ascii="Gadugi" w:eastAsia="Times New Roman" w:hAnsi="Gadugi" w:cs="Times New Roman"/>
          <w:spacing w:val="-4"/>
          <w:sz w:val="24"/>
          <w:szCs w:val="24"/>
          <w:lang w:val="es-ES" w:eastAsia="es-ES"/>
        </w:rPr>
        <w:t xml:space="preserve">El </w:t>
      </w:r>
      <w:r w:rsidR="0043090A" w:rsidRPr="00144404">
        <w:rPr>
          <w:rFonts w:ascii="Gadugi" w:eastAsia="Times New Roman" w:hAnsi="Gadugi" w:cs="Times New Roman"/>
          <w:spacing w:val="-4"/>
          <w:sz w:val="24"/>
          <w:szCs w:val="24"/>
          <w:lang w:val="es-ES" w:eastAsia="es-ES"/>
        </w:rPr>
        <w:t>17</w:t>
      </w:r>
      <w:r w:rsidR="00AD35F0" w:rsidRPr="00144404">
        <w:rPr>
          <w:rFonts w:ascii="Gadugi" w:eastAsia="Times New Roman" w:hAnsi="Gadugi" w:cs="Times New Roman"/>
          <w:spacing w:val="-4"/>
          <w:sz w:val="24"/>
          <w:szCs w:val="24"/>
          <w:lang w:val="es-ES" w:eastAsia="es-ES"/>
        </w:rPr>
        <w:t xml:space="preserve"> de </w:t>
      </w:r>
      <w:r w:rsidR="0043090A" w:rsidRPr="00144404">
        <w:rPr>
          <w:rFonts w:ascii="Gadugi" w:eastAsia="Times New Roman" w:hAnsi="Gadugi" w:cs="Times New Roman"/>
          <w:spacing w:val="-4"/>
          <w:sz w:val="24"/>
          <w:szCs w:val="24"/>
          <w:lang w:val="es-ES" w:eastAsia="es-ES"/>
        </w:rPr>
        <w:t>diciembre</w:t>
      </w:r>
      <w:r w:rsidR="00AD35F0" w:rsidRPr="00144404">
        <w:rPr>
          <w:rFonts w:ascii="Gadugi" w:eastAsia="Times New Roman" w:hAnsi="Gadugi" w:cs="Times New Roman"/>
          <w:spacing w:val="-4"/>
          <w:sz w:val="24"/>
          <w:szCs w:val="24"/>
          <w:lang w:val="es-ES" w:eastAsia="es-ES"/>
        </w:rPr>
        <w:t xml:space="preserve"> de 202</w:t>
      </w:r>
      <w:r w:rsidR="00832A1A" w:rsidRPr="00144404">
        <w:rPr>
          <w:rFonts w:ascii="Gadugi" w:eastAsia="Times New Roman" w:hAnsi="Gadugi" w:cs="Times New Roman"/>
          <w:spacing w:val="-4"/>
          <w:sz w:val="24"/>
          <w:szCs w:val="24"/>
          <w:lang w:val="es-ES" w:eastAsia="es-ES"/>
        </w:rPr>
        <w:t>1</w:t>
      </w:r>
      <w:r w:rsidR="00AD35F0" w:rsidRPr="00144404">
        <w:rPr>
          <w:rFonts w:ascii="Gadugi" w:eastAsia="Times New Roman" w:hAnsi="Gadugi" w:cs="Times New Roman"/>
          <w:spacing w:val="-4"/>
          <w:sz w:val="24"/>
          <w:szCs w:val="24"/>
          <w:lang w:val="es-ES" w:eastAsia="es-ES"/>
        </w:rPr>
        <w:t xml:space="preserve">, Colpensiones emitió un oficio dirigido al demandante para que </w:t>
      </w:r>
      <w:r w:rsidR="00AD35F0" w:rsidRPr="00144404">
        <w:rPr>
          <w:rFonts w:ascii="Gadugi" w:eastAsia="Times New Roman" w:hAnsi="Gadugi" w:cs="Times New Roman"/>
          <w:i/>
          <w:spacing w:val="-4"/>
          <w:sz w:val="24"/>
          <w:szCs w:val="24"/>
          <w:lang w:val="es-ES" w:eastAsia="es-ES"/>
        </w:rPr>
        <w:t>“</w:t>
      </w:r>
      <w:r w:rsidR="00AD35F0" w:rsidRPr="00144404">
        <w:rPr>
          <w:rFonts w:ascii="Gadugi" w:eastAsia="Times New Roman" w:hAnsi="Gadugi" w:cs="Times New Roman"/>
          <w:i/>
          <w:spacing w:val="-4"/>
          <w:szCs w:val="24"/>
          <w:lang w:val="es-ES" w:eastAsia="es-ES"/>
        </w:rPr>
        <w:t>(…) dentro del término de los tres (3) meses posteriores al recibo de la presente comunicación, deberá acercarse a un Punto de Atención Colpensiones -PAC- y solicitar la Revisión del Estado de Invalidez (…)</w:t>
      </w:r>
      <w:r w:rsidR="00AD35F0" w:rsidRPr="00144404">
        <w:rPr>
          <w:rFonts w:ascii="Gadugi" w:eastAsia="Times New Roman" w:hAnsi="Gadugi" w:cs="Times New Roman"/>
          <w:i/>
          <w:spacing w:val="-4"/>
          <w:sz w:val="24"/>
          <w:szCs w:val="24"/>
          <w:lang w:val="es-ES" w:eastAsia="es-ES"/>
        </w:rPr>
        <w:t xml:space="preserve">”.; </w:t>
      </w:r>
      <w:r w:rsidR="00AD35F0" w:rsidRPr="00144404">
        <w:rPr>
          <w:rFonts w:ascii="Gadugi" w:eastAsia="Times New Roman" w:hAnsi="Gadugi" w:cs="Times New Roman"/>
          <w:spacing w:val="-4"/>
          <w:sz w:val="24"/>
          <w:szCs w:val="24"/>
          <w:lang w:val="es-ES" w:eastAsia="es-ES"/>
        </w:rPr>
        <w:t>esa comunicación se envió a la dirección “</w:t>
      </w:r>
      <w:r w:rsidR="0043090A" w:rsidRPr="00144404">
        <w:rPr>
          <w:rFonts w:ascii="Gadugi" w:eastAsia="Times New Roman" w:hAnsi="Gadugi" w:cs="Times New Roman"/>
          <w:i/>
          <w:spacing w:val="-4"/>
          <w:szCs w:val="24"/>
          <w:lang w:val="es-ES" w:eastAsia="es-ES"/>
        </w:rPr>
        <w:t>CRA 7 NO 16-50 OFICINA 804</w:t>
      </w:r>
      <w:r w:rsidR="00AD35F0" w:rsidRPr="00144404">
        <w:rPr>
          <w:rFonts w:ascii="Gadugi" w:eastAsia="Times New Roman" w:hAnsi="Gadugi" w:cs="Times New Roman"/>
          <w:i/>
          <w:spacing w:val="-4"/>
          <w:sz w:val="24"/>
          <w:szCs w:val="24"/>
          <w:lang w:val="es-ES" w:eastAsia="es-ES"/>
        </w:rPr>
        <w:t>”</w:t>
      </w:r>
      <w:r w:rsidR="00AD35F0" w:rsidRPr="00144404">
        <w:rPr>
          <w:rFonts w:ascii="Gadugi" w:eastAsia="Times New Roman" w:hAnsi="Gadugi" w:cs="Times New Roman"/>
          <w:spacing w:val="-4"/>
          <w:sz w:val="24"/>
          <w:szCs w:val="24"/>
          <w:lang w:val="es-ES" w:eastAsia="es-ES"/>
        </w:rPr>
        <w:t xml:space="preserve">, en </w:t>
      </w:r>
      <w:r w:rsidR="0043090A" w:rsidRPr="00144404">
        <w:rPr>
          <w:rFonts w:ascii="Gadugi" w:eastAsia="Times New Roman" w:hAnsi="Gadugi" w:cs="Times New Roman"/>
          <w:spacing w:val="-4"/>
          <w:sz w:val="24"/>
          <w:szCs w:val="24"/>
          <w:lang w:val="es-ES" w:eastAsia="es-ES"/>
        </w:rPr>
        <w:t>Pereira</w:t>
      </w:r>
      <w:r w:rsidR="00AD35F0" w:rsidRPr="00144404">
        <w:rPr>
          <w:rFonts w:ascii="Gadugi" w:eastAsia="Times New Roman" w:hAnsi="Gadugi" w:cs="Times New Roman"/>
          <w:spacing w:val="-4"/>
          <w:sz w:val="24"/>
          <w:szCs w:val="24"/>
          <w:lang w:val="es-ES" w:eastAsia="es-ES"/>
        </w:rPr>
        <w:t xml:space="preserve">, </w:t>
      </w:r>
      <w:r w:rsidR="0043090A" w:rsidRPr="00144404">
        <w:rPr>
          <w:rFonts w:ascii="Gadugi" w:eastAsia="Times New Roman" w:hAnsi="Gadugi" w:cs="Times New Roman"/>
          <w:spacing w:val="-4"/>
          <w:sz w:val="24"/>
          <w:szCs w:val="24"/>
          <w:lang w:val="es-ES" w:eastAsia="es-ES"/>
        </w:rPr>
        <w:t xml:space="preserve">y fue recibida el 24 de diciembre por alguien que firmó con el nombre de </w:t>
      </w:r>
      <w:r w:rsidR="0043090A" w:rsidRPr="00144404">
        <w:rPr>
          <w:rFonts w:ascii="Gadugi" w:eastAsia="Times New Roman" w:hAnsi="Gadugi" w:cs="Times New Roman"/>
          <w:i/>
          <w:spacing w:val="-4"/>
          <w:sz w:val="24"/>
          <w:szCs w:val="24"/>
          <w:lang w:val="es-ES" w:eastAsia="es-ES"/>
        </w:rPr>
        <w:t>“</w:t>
      </w:r>
      <w:r w:rsidR="0043090A" w:rsidRPr="00144404">
        <w:rPr>
          <w:rFonts w:ascii="Gadugi" w:eastAsia="Times New Roman" w:hAnsi="Gadugi" w:cs="Times New Roman"/>
          <w:i/>
          <w:spacing w:val="-4"/>
          <w:szCs w:val="24"/>
          <w:lang w:val="es-ES" w:eastAsia="es-ES"/>
        </w:rPr>
        <w:t>John Ospina</w:t>
      </w:r>
      <w:r w:rsidR="0043090A" w:rsidRPr="00144404">
        <w:rPr>
          <w:rFonts w:ascii="Gadugi" w:eastAsia="Times New Roman" w:hAnsi="Gadugi" w:cs="Times New Roman"/>
          <w:i/>
          <w:spacing w:val="-4"/>
          <w:sz w:val="24"/>
          <w:szCs w:val="24"/>
          <w:lang w:val="es-ES" w:eastAsia="es-ES"/>
        </w:rPr>
        <w:t>”</w:t>
      </w:r>
      <w:r w:rsidR="0043090A" w:rsidRPr="00144404">
        <w:rPr>
          <w:rFonts w:ascii="Gadugi" w:eastAsia="Times New Roman" w:hAnsi="Gadugi" w:cs="Times New Roman"/>
          <w:spacing w:val="-4"/>
          <w:sz w:val="24"/>
          <w:szCs w:val="24"/>
          <w:lang w:val="es-ES" w:eastAsia="es-ES"/>
        </w:rPr>
        <w:t>.</w:t>
      </w:r>
      <w:r w:rsidR="00323F66" w:rsidRPr="00144404">
        <w:rPr>
          <w:rStyle w:val="Refdenotaalpie"/>
          <w:rFonts w:ascii="Gadugi" w:eastAsia="Times New Roman" w:hAnsi="Gadugi"/>
          <w:spacing w:val="-4"/>
          <w:sz w:val="24"/>
          <w:szCs w:val="24"/>
          <w:lang w:val="es-ES" w:eastAsia="es-ES"/>
        </w:rPr>
        <w:footnoteReference w:id="19"/>
      </w:r>
    </w:p>
    <w:p w14:paraId="6C110B77" w14:textId="64F1C512" w:rsidR="00A50A5E" w:rsidRPr="00144404" w:rsidRDefault="00A50A5E"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2A2232A9" w14:textId="45AB19BF" w:rsidR="00A50A5E" w:rsidRPr="00144404" w:rsidRDefault="00A50A5E"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(i</w:t>
      </w:r>
      <w:r w:rsidR="00832A1A" w:rsidRPr="00144404">
        <w:rPr>
          <w:rFonts w:ascii="Gadugi" w:eastAsia="Times New Roman" w:hAnsi="Gadugi" w:cs="Times New Roman"/>
          <w:spacing w:val="-4"/>
          <w:sz w:val="24"/>
          <w:szCs w:val="24"/>
          <w:lang w:val="es-ES" w:eastAsia="es-ES"/>
        </w:rPr>
        <w:t>ii</w:t>
      </w:r>
      <w:r w:rsidRPr="00144404">
        <w:rPr>
          <w:rFonts w:ascii="Gadugi" w:eastAsia="Times New Roman" w:hAnsi="Gadugi" w:cs="Times New Roman"/>
          <w:spacing w:val="-4"/>
          <w:sz w:val="24"/>
          <w:szCs w:val="24"/>
          <w:lang w:val="es-ES" w:eastAsia="es-ES"/>
        </w:rPr>
        <w:t xml:space="preserve">) </w:t>
      </w:r>
      <w:r w:rsidR="008E3ED6" w:rsidRPr="00144404">
        <w:rPr>
          <w:rFonts w:ascii="Gadugi" w:eastAsia="Times New Roman" w:hAnsi="Gadugi" w:cs="Times New Roman"/>
          <w:spacing w:val="-4"/>
          <w:sz w:val="24"/>
          <w:szCs w:val="24"/>
          <w:lang w:val="es-ES" w:eastAsia="es-ES"/>
        </w:rPr>
        <w:t>Después, y sin nuevos intentos de comunicación con el actor, e</w:t>
      </w:r>
      <w:r w:rsidRPr="00144404">
        <w:rPr>
          <w:rFonts w:ascii="Gadugi" w:eastAsia="Times New Roman" w:hAnsi="Gadugi" w:cs="Times New Roman"/>
          <w:spacing w:val="-4"/>
          <w:sz w:val="24"/>
          <w:szCs w:val="24"/>
          <w:lang w:val="es-ES" w:eastAsia="es-ES"/>
        </w:rPr>
        <w:t xml:space="preserve">l </w:t>
      </w:r>
      <w:r w:rsidR="0043090A" w:rsidRPr="00144404">
        <w:rPr>
          <w:rFonts w:ascii="Gadugi" w:eastAsia="Times New Roman" w:hAnsi="Gadugi" w:cs="Times New Roman"/>
          <w:spacing w:val="-4"/>
          <w:sz w:val="24"/>
          <w:szCs w:val="24"/>
          <w:lang w:val="es-ES" w:eastAsia="es-ES"/>
        </w:rPr>
        <w:t>7</w:t>
      </w:r>
      <w:r w:rsidRPr="00144404">
        <w:rPr>
          <w:rFonts w:ascii="Gadugi" w:eastAsia="Times New Roman" w:hAnsi="Gadugi" w:cs="Times New Roman"/>
          <w:spacing w:val="-4"/>
          <w:sz w:val="24"/>
          <w:szCs w:val="24"/>
          <w:lang w:val="es-ES" w:eastAsia="es-ES"/>
        </w:rPr>
        <w:t xml:space="preserve"> de </w:t>
      </w:r>
      <w:r w:rsidR="0043090A" w:rsidRPr="00144404">
        <w:rPr>
          <w:rFonts w:ascii="Gadugi" w:eastAsia="Times New Roman" w:hAnsi="Gadugi" w:cs="Times New Roman"/>
          <w:spacing w:val="-4"/>
          <w:sz w:val="24"/>
          <w:szCs w:val="24"/>
          <w:lang w:val="es-ES" w:eastAsia="es-ES"/>
        </w:rPr>
        <w:t>junio de 2022</w:t>
      </w:r>
      <w:r w:rsidRPr="00144404">
        <w:rPr>
          <w:rFonts w:ascii="Gadugi" w:eastAsia="Times New Roman" w:hAnsi="Gadugi" w:cs="Times New Roman"/>
          <w:spacing w:val="-4"/>
          <w:sz w:val="24"/>
          <w:szCs w:val="24"/>
          <w:lang w:val="es-ES" w:eastAsia="es-ES"/>
        </w:rPr>
        <w:t xml:space="preserve"> la Dirección de Nómina de Pensionados expidió un oficio, informándole al accionante que </w:t>
      </w:r>
      <w:r w:rsidR="0087422E" w:rsidRPr="00144404">
        <w:rPr>
          <w:rFonts w:ascii="Gadugi" w:eastAsia="Times New Roman" w:hAnsi="Gadugi" w:cs="Times New Roman"/>
          <w:spacing w:val="-4"/>
          <w:sz w:val="24"/>
          <w:szCs w:val="24"/>
          <w:lang w:val="es-ES" w:eastAsia="es-ES"/>
        </w:rPr>
        <w:t>aplicaría una novedad en su nómina el 2022/6/7</w:t>
      </w:r>
      <w:r w:rsidRPr="00144404">
        <w:rPr>
          <w:rFonts w:ascii="Gadugi" w:eastAsia="Times New Roman" w:hAnsi="Gadugi" w:cs="Times New Roman"/>
          <w:spacing w:val="-4"/>
          <w:sz w:val="24"/>
          <w:szCs w:val="24"/>
          <w:lang w:val="es-ES" w:eastAsia="es-ES"/>
        </w:rPr>
        <w:t xml:space="preserve">, </w:t>
      </w:r>
      <w:r w:rsidR="00502D34" w:rsidRPr="00144404">
        <w:rPr>
          <w:rFonts w:ascii="Gadugi" w:eastAsia="Times New Roman" w:hAnsi="Gadugi" w:cs="Times New Roman"/>
          <w:spacing w:val="-4"/>
          <w:sz w:val="24"/>
          <w:szCs w:val="24"/>
          <w:lang w:val="es-ES" w:eastAsia="es-ES"/>
        </w:rPr>
        <w:t>es</w:t>
      </w:r>
      <w:r w:rsidR="0087422E" w:rsidRPr="00144404">
        <w:rPr>
          <w:rFonts w:ascii="Gadugi" w:eastAsia="Times New Roman" w:hAnsi="Gadugi" w:cs="Times New Roman"/>
          <w:spacing w:val="-4"/>
          <w:sz w:val="24"/>
          <w:szCs w:val="24"/>
          <w:lang w:val="es-ES" w:eastAsia="es-ES"/>
        </w:rPr>
        <w:t xml:space="preserve">a comunicación </w:t>
      </w:r>
      <w:r w:rsidR="00502D34" w:rsidRPr="00144404">
        <w:rPr>
          <w:rFonts w:ascii="Gadugi" w:eastAsia="Times New Roman" w:hAnsi="Gadugi" w:cs="Times New Roman"/>
          <w:spacing w:val="-4"/>
          <w:sz w:val="24"/>
          <w:szCs w:val="24"/>
          <w:lang w:val="es-ES" w:eastAsia="es-ES"/>
        </w:rPr>
        <w:t xml:space="preserve">se envió a la dirección </w:t>
      </w:r>
      <w:r w:rsidR="00502D34" w:rsidRPr="00144404">
        <w:rPr>
          <w:rFonts w:ascii="Gadugi" w:eastAsia="Times New Roman" w:hAnsi="Gadugi" w:cs="Times New Roman"/>
          <w:i/>
          <w:spacing w:val="-4"/>
          <w:sz w:val="24"/>
          <w:szCs w:val="24"/>
          <w:lang w:val="es-ES" w:eastAsia="es-ES"/>
        </w:rPr>
        <w:t>“</w:t>
      </w:r>
      <w:r w:rsidR="0087422E" w:rsidRPr="00144404">
        <w:rPr>
          <w:rFonts w:ascii="Gadugi" w:eastAsia="Times New Roman" w:hAnsi="Gadugi" w:cs="Times New Roman"/>
          <w:i/>
          <w:spacing w:val="-4"/>
          <w:szCs w:val="24"/>
          <w:lang w:val="es-ES" w:eastAsia="es-ES"/>
        </w:rPr>
        <w:t>CRA 7 NO 16-50 OFICINA 804</w:t>
      </w:r>
      <w:r w:rsidR="00502D34" w:rsidRPr="00144404">
        <w:rPr>
          <w:rFonts w:ascii="Gadugi" w:eastAsia="Times New Roman" w:hAnsi="Gadugi" w:cs="Times New Roman"/>
          <w:i/>
          <w:spacing w:val="-4"/>
          <w:sz w:val="24"/>
          <w:szCs w:val="24"/>
          <w:lang w:val="es-ES" w:eastAsia="es-ES"/>
        </w:rPr>
        <w:t>”</w:t>
      </w:r>
      <w:r w:rsidR="00502D34" w:rsidRPr="00144404">
        <w:rPr>
          <w:rFonts w:ascii="Gadugi" w:eastAsia="Times New Roman" w:hAnsi="Gadugi" w:cs="Times New Roman"/>
          <w:spacing w:val="-4"/>
          <w:sz w:val="24"/>
          <w:szCs w:val="24"/>
          <w:lang w:val="es-ES" w:eastAsia="es-ES"/>
        </w:rPr>
        <w:t xml:space="preserve">, en </w:t>
      </w:r>
      <w:r w:rsidR="0087422E" w:rsidRPr="00144404">
        <w:rPr>
          <w:rFonts w:ascii="Gadugi" w:eastAsia="Times New Roman" w:hAnsi="Gadugi" w:cs="Times New Roman"/>
          <w:spacing w:val="-4"/>
          <w:sz w:val="24"/>
          <w:szCs w:val="24"/>
          <w:lang w:val="es-ES" w:eastAsia="es-ES"/>
        </w:rPr>
        <w:t>Pereira el 9 de junio,</w:t>
      </w:r>
      <w:r w:rsidR="00502D34" w:rsidRPr="00144404">
        <w:rPr>
          <w:rFonts w:ascii="Gadugi" w:eastAsia="Times New Roman" w:hAnsi="Gadugi" w:cs="Times New Roman"/>
          <w:spacing w:val="-4"/>
          <w:sz w:val="24"/>
          <w:szCs w:val="24"/>
          <w:lang w:val="es-ES" w:eastAsia="es-ES"/>
        </w:rPr>
        <w:t xml:space="preserve"> </w:t>
      </w:r>
      <w:r w:rsidR="00C32BD3" w:rsidRPr="00144404">
        <w:rPr>
          <w:rFonts w:ascii="Gadugi" w:eastAsia="Times New Roman" w:hAnsi="Gadugi" w:cs="Times New Roman"/>
          <w:spacing w:val="-4"/>
          <w:sz w:val="24"/>
          <w:szCs w:val="24"/>
          <w:lang w:val="es-ES" w:eastAsia="es-ES"/>
        </w:rPr>
        <w:t xml:space="preserve">y </w:t>
      </w:r>
      <w:r w:rsidR="008E3ED6" w:rsidRPr="00144404">
        <w:rPr>
          <w:rFonts w:ascii="Gadugi" w:eastAsia="Times New Roman" w:hAnsi="Gadugi" w:cs="Times New Roman"/>
          <w:spacing w:val="-4"/>
          <w:sz w:val="24"/>
          <w:szCs w:val="24"/>
          <w:lang w:val="es-ES" w:eastAsia="es-ES"/>
        </w:rPr>
        <w:t xml:space="preserve">en la guía de correspondencia </w:t>
      </w:r>
      <w:r w:rsidR="00C32BD3" w:rsidRPr="00144404">
        <w:rPr>
          <w:rFonts w:ascii="Gadugi" w:eastAsia="Times New Roman" w:hAnsi="Gadugi" w:cs="Times New Roman"/>
          <w:spacing w:val="-4"/>
          <w:sz w:val="24"/>
          <w:szCs w:val="24"/>
          <w:lang w:val="es-ES" w:eastAsia="es-ES"/>
        </w:rPr>
        <w:t xml:space="preserve">aparecen chequeadas los espacios de </w:t>
      </w:r>
      <w:r w:rsidR="00C32BD3" w:rsidRPr="00144404">
        <w:rPr>
          <w:rFonts w:ascii="Gadugi" w:eastAsia="Times New Roman" w:hAnsi="Gadugi" w:cs="Times New Roman"/>
          <w:i/>
          <w:spacing w:val="-4"/>
          <w:sz w:val="24"/>
          <w:szCs w:val="24"/>
          <w:lang w:val="es-ES" w:eastAsia="es-ES"/>
        </w:rPr>
        <w:t>“</w:t>
      </w:r>
      <w:r w:rsidR="0087422E" w:rsidRPr="00144404">
        <w:rPr>
          <w:rFonts w:ascii="Gadugi" w:eastAsia="Times New Roman" w:hAnsi="Gadugi" w:cs="Times New Roman"/>
          <w:i/>
          <w:spacing w:val="-4"/>
          <w:szCs w:val="24"/>
          <w:lang w:val="es-ES" w:eastAsia="es-ES"/>
        </w:rPr>
        <w:t>ENTREGADO</w:t>
      </w:r>
      <w:r w:rsidR="00C32BD3" w:rsidRPr="00144404">
        <w:rPr>
          <w:rFonts w:ascii="Gadugi" w:eastAsia="Times New Roman" w:hAnsi="Gadugi" w:cs="Times New Roman"/>
          <w:i/>
          <w:spacing w:val="-4"/>
          <w:sz w:val="24"/>
          <w:szCs w:val="24"/>
          <w:lang w:val="es-ES" w:eastAsia="es-ES"/>
        </w:rPr>
        <w:t>”</w:t>
      </w:r>
      <w:r w:rsidR="00C32BD3" w:rsidRPr="00144404">
        <w:rPr>
          <w:rFonts w:ascii="Gadugi" w:eastAsia="Times New Roman" w:hAnsi="Gadugi" w:cs="Times New Roman"/>
          <w:spacing w:val="-4"/>
          <w:sz w:val="24"/>
          <w:szCs w:val="24"/>
          <w:lang w:val="es-ES" w:eastAsia="es-ES"/>
        </w:rPr>
        <w:t xml:space="preserve">, </w:t>
      </w:r>
      <w:r w:rsidR="0087422E" w:rsidRPr="00144404">
        <w:rPr>
          <w:rFonts w:ascii="Gadugi" w:eastAsia="Times New Roman" w:hAnsi="Gadugi" w:cs="Times New Roman"/>
          <w:spacing w:val="-4"/>
          <w:sz w:val="24"/>
          <w:szCs w:val="24"/>
          <w:lang w:val="es-ES" w:eastAsia="es-ES"/>
        </w:rPr>
        <w:t xml:space="preserve">y </w:t>
      </w:r>
      <w:r w:rsidR="0087422E" w:rsidRPr="00144404">
        <w:rPr>
          <w:rFonts w:ascii="Gadugi" w:eastAsia="Times New Roman" w:hAnsi="Gadugi" w:cs="Times New Roman"/>
          <w:i/>
          <w:spacing w:val="-4"/>
          <w:sz w:val="24"/>
          <w:szCs w:val="24"/>
          <w:lang w:val="es-ES" w:eastAsia="es-ES"/>
        </w:rPr>
        <w:t>“</w:t>
      </w:r>
      <w:r w:rsidR="0087422E" w:rsidRPr="00144404">
        <w:rPr>
          <w:rFonts w:ascii="Gadugi" w:eastAsia="Times New Roman" w:hAnsi="Gadugi" w:cs="Times New Roman"/>
          <w:i/>
          <w:spacing w:val="-4"/>
          <w:szCs w:val="24"/>
          <w:lang w:val="es-ES" w:eastAsia="es-ES"/>
        </w:rPr>
        <w:t>ENTREGADO BAJO PUERTA POR COVID 19</w:t>
      </w:r>
      <w:r w:rsidR="0087422E" w:rsidRPr="00144404">
        <w:rPr>
          <w:rFonts w:ascii="Gadugi" w:eastAsia="Times New Roman" w:hAnsi="Gadugi" w:cs="Times New Roman"/>
          <w:i/>
          <w:spacing w:val="-4"/>
          <w:sz w:val="24"/>
          <w:szCs w:val="24"/>
          <w:lang w:val="es-ES" w:eastAsia="es-ES"/>
        </w:rPr>
        <w:t>”.</w:t>
      </w:r>
      <w:r w:rsidR="00323F66" w:rsidRPr="00144404">
        <w:rPr>
          <w:rStyle w:val="Refdenotaalpie"/>
          <w:rFonts w:ascii="Gadugi" w:eastAsia="Times New Roman" w:hAnsi="Gadugi"/>
          <w:i/>
          <w:spacing w:val="-4"/>
          <w:sz w:val="24"/>
          <w:szCs w:val="24"/>
          <w:lang w:val="es-ES" w:eastAsia="es-ES"/>
        </w:rPr>
        <w:footnoteReference w:id="20"/>
      </w:r>
    </w:p>
    <w:p w14:paraId="4E832597" w14:textId="77777777" w:rsidR="00832A1A" w:rsidRPr="00144404" w:rsidRDefault="00832A1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5EA72D56" w14:textId="3EE8E939" w:rsidR="00832A1A" w:rsidRPr="00144404" w:rsidRDefault="00832A1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(iv) El 9 de junio el accionante radicó ante Colpensiones una solicitud para la revisión de su estado de invalidez.</w:t>
      </w:r>
      <w:r w:rsidR="00323F66" w:rsidRPr="00144404">
        <w:rPr>
          <w:rStyle w:val="Refdenotaalpie"/>
          <w:rFonts w:ascii="Gadugi" w:eastAsia="Times New Roman" w:hAnsi="Gadugi"/>
          <w:spacing w:val="-4"/>
          <w:sz w:val="24"/>
          <w:szCs w:val="24"/>
          <w:lang w:val="es-ES" w:eastAsia="es-ES"/>
        </w:rPr>
        <w:footnoteReference w:id="21"/>
      </w:r>
    </w:p>
    <w:p w14:paraId="54882FC8" w14:textId="079DEB58" w:rsidR="00832A1A" w:rsidRPr="00144404" w:rsidRDefault="00832A1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44120578" w14:textId="54BA1CFA" w:rsidR="00832A1A" w:rsidRPr="00144404" w:rsidRDefault="00832A1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 xml:space="preserve">(v) Frente a ello, el 15 de junio, Colpensiones requirió al </w:t>
      </w:r>
      <w:r w:rsidR="008E3ED6" w:rsidRPr="00144404">
        <w:rPr>
          <w:rFonts w:ascii="Gadugi" w:eastAsia="Times New Roman" w:hAnsi="Gadugi" w:cs="Times New Roman"/>
          <w:spacing w:val="-4"/>
          <w:sz w:val="24"/>
          <w:szCs w:val="24"/>
          <w:lang w:val="es-ES" w:eastAsia="es-ES"/>
        </w:rPr>
        <w:t xml:space="preserve">peticionario </w:t>
      </w:r>
      <w:r w:rsidRPr="00144404">
        <w:rPr>
          <w:rFonts w:ascii="Gadugi" w:eastAsia="Times New Roman" w:hAnsi="Gadugi" w:cs="Times New Roman"/>
          <w:spacing w:val="-4"/>
          <w:sz w:val="24"/>
          <w:szCs w:val="24"/>
          <w:lang w:val="es-ES" w:eastAsia="es-ES"/>
        </w:rPr>
        <w:t>para que aportara documentos relacionados con su historia clínica, no hay constancia de que ese oficio se hubiera notificado, pero es llamativo que, en él</w:t>
      </w:r>
      <w:r w:rsidR="008E3ED6" w:rsidRPr="00144404">
        <w:rPr>
          <w:rFonts w:ascii="Gadugi" w:eastAsia="Times New Roman" w:hAnsi="Gadugi" w:cs="Times New Roman"/>
          <w:spacing w:val="-4"/>
          <w:sz w:val="24"/>
          <w:szCs w:val="24"/>
          <w:lang w:val="es-ES" w:eastAsia="es-ES"/>
        </w:rPr>
        <w:t>,</w:t>
      </w:r>
      <w:r w:rsidRPr="00144404">
        <w:rPr>
          <w:rFonts w:ascii="Gadugi" w:eastAsia="Times New Roman" w:hAnsi="Gadugi" w:cs="Times New Roman"/>
          <w:spacing w:val="-4"/>
          <w:sz w:val="24"/>
          <w:szCs w:val="24"/>
          <w:lang w:val="es-ES" w:eastAsia="es-ES"/>
        </w:rPr>
        <w:t xml:space="preserve"> se escribe que la dirección de notificaciones del accionante es </w:t>
      </w:r>
      <w:r w:rsidRPr="00144404">
        <w:rPr>
          <w:rFonts w:ascii="Gadugi" w:eastAsia="Times New Roman" w:hAnsi="Gadugi" w:cs="Times New Roman"/>
          <w:i/>
          <w:spacing w:val="-4"/>
          <w:sz w:val="24"/>
          <w:szCs w:val="24"/>
          <w:lang w:val="es-ES" w:eastAsia="es-ES"/>
        </w:rPr>
        <w:t>“</w:t>
      </w:r>
      <w:r w:rsidRPr="00144404">
        <w:rPr>
          <w:rFonts w:ascii="Gadugi" w:eastAsia="Times New Roman" w:hAnsi="Gadugi" w:cs="Times New Roman"/>
          <w:i/>
          <w:spacing w:val="-4"/>
          <w:szCs w:val="24"/>
          <w:lang w:val="es-ES" w:eastAsia="es-ES"/>
        </w:rPr>
        <w:t>VRD LA UNIÓN KM 4 FI LOS GUADUALES</w:t>
      </w:r>
      <w:r w:rsidRPr="00144404">
        <w:rPr>
          <w:rFonts w:ascii="Gadugi" w:eastAsia="Times New Roman" w:hAnsi="Gadugi" w:cs="Times New Roman"/>
          <w:i/>
          <w:spacing w:val="-4"/>
          <w:sz w:val="24"/>
          <w:szCs w:val="24"/>
          <w:lang w:val="es-ES" w:eastAsia="es-ES"/>
        </w:rPr>
        <w:t>”</w:t>
      </w:r>
      <w:r w:rsidRPr="00144404">
        <w:rPr>
          <w:rFonts w:ascii="Gadugi" w:eastAsia="Times New Roman" w:hAnsi="Gadugi" w:cs="Times New Roman"/>
          <w:spacing w:val="-4"/>
          <w:sz w:val="24"/>
          <w:szCs w:val="24"/>
          <w:lang w:val="es-ES" w:eastAsia="es-ES"/>
        </w:rPr>
        <w:t>.</w:t>
      </w:r>
      <w:r w:rsidR="004C2C15" w:rsidRPr="00144404">
        <w:rPr>
          <w:rStyle w:val="Refdenotaalpie"/>
          <w:rFonts w:ascii="Gadugi" w:eastAsia="Times New Roman" w:hAnsi="Gadugi"/>
          <w:spacing w:val="-4"/>
          <w:sz w:val="24"/>
          <w:szCs w:val="24"/>
          <w:lang w:val="es-ES" w:eastAsia="es-ES"/>
        </w:rPr>
        <w:footnoteReference w:id="22"/>
      </w:r>
      <w:r w:rsidRPr="00144404">
        <w:rPr>
          <w:rFonts w:ascii="Gadugi" w:eastAsia="Times New Roman" w:hAnsi="Gadugi" w:cs="Times New Roman"/>
          <w:spacing w:val="-4"/>
          <w:sz w:val="24"/>
          <w:szCs w:val="24"/>
          <w:lang w:val="es-ES" w:eastAsia="es-ES"/>
        </w:rPr>
        <w:t xml:space="preserve">; en todo caso, se sabe que </w:t>
      </w:r>
      <w:r w:rsidR="008E3ED6" w:rsidRPr="00144404">
        <w:rPr>
          <w:rFonts w:ascii="Gadugi" w:eastAsia="Times New Roman" w:hAnsi="Gadugi" w:cs="Times New Roman"/>
          <w:spacing w:val="-4"/>
          <w:sz w:val="24"/>
          <w:szCs w:val="24"/>
          <w:lang w:val="es-ES" w:eastAsia="es-ES"/>
        </w:rPr>
        <w:t>él</w:t>
      </w:r>
      <w:r w:rsidRPr="00144404">
        <w:rPr>
          <w:rFonts w:ascii="Gadugi" w:eastAsia="Times New Roman" w:hAnsi="Gadugi" w:cs="Times New Roman"/>
          <w:spacing w:val="-4"/>
          <w:sz w:val="24"/>
          <w:szCs w:val="24"/>
          <w:lang w:val="es-ES" w:eastAsia="es-ES"/>
        </w:rPr>
        <w:t xml:space="preserve"> conoce ese memorial porque lo mencionó en la demanda. </w:t>
      </w:r>
    </w:p>
    <w:p w14:paraId="5A3CA8F7" w14:textId="77777777" w:rsidR="00832A1A" w:rsidRPr="00144404" w:rsidRDefault="00832A1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1340FEF7" w14:textId="46461E62" w:rsidR="00832A1A" w:rsidRPr="00144404" w:rsidRDefault="00832A1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(iv) Luego aparece un “</w:t>
      </w:r>
      <w:r w:rsidRPr="00144404">
        <w:rPr>
          <w:rFonts w:ascii="Gadugi" w:eastAsia="Times New Roman" w:hAnsi="Gadugi" w:cs="Times New Roman"/>
          <w:spacing w:val="-4"/>
          <w:szCs w:val="24"/>
          <w:lang w:val="es-ES" w:eastAsia="es-ES"/>
        </w:rPr>
        <w:t>COMUNICADO APORTAR EXÁMENES Y/O DOCUMENTOS REVISIÓN DEL ESTADO DE INVALIDEZ</w:t>
      </w:r>
      <w:r w:rsidRPr="00144404">
        <w:rPr>
          <w:rFonts w:ascii="Gadugi" w:eastAsia="Times New Roman" w:hAnsi="Gadugi" w:cs="Times New Roman"/>
          <w:spacing w:val="-4"/>
          <w:sz w:val="24"/>
          <w:szCs w:val="24"/>
          <w:lang w:val="es-ES" w:eastAsia="es-ES"/>
        </w:rPr>
        <w:t>”, en el que Colpensiones citó</w:t>
      </w:r>
      <w:r w:rsidR="00077A5D" w:rsidRPr="00144404">
        <w:rPr>
          <w:rFonts w:ascii="Gadugi" w:eastAsia="Times New Roman" w:hAnsi="Gadugi" w:cs="Times New Roman"/>
          <w:spacing w:val="-4"/>
          <w:sz w:val="24"/>
          <w:szCs w:val="24"/>
          <w:lang w:val="es-ES" w:eastAsia="es-ES"/>
        </w:rPr>
        <w:t xml:space="preserve"> por aviso (Art. 69 CAPCA)</w:t>
      </w:r>
      <w:r w:rsidRPr="00144404">
        <w:rPr>
          <w:rFonts w:ascii="Gadugi" w:eastAsia="Times New Roman" w:hAnsi="Gadugi" w:cs="Times New Roman"/>
          <w:spacing w:val="-4"/>
          <w:sz w:val="24"/>
          <w:szCs w:val="24"/>
          <w:lang w:val="es-ES" w:eastAsia="es-ES"/>
        </w:rPr>
        <w:t xml:space="preserve"> a varias personas que enlistó, y en las que se encuentra el señor </w:t>
      </w:r>
      <w:r w:rsidR="00D648B7" w:rsidRPr="00144404">
        <w:rPr>
          <w:rFonts w:ascii="Gadugi" w:eastAsia="Times New Roman" w:hAnsi="Gadugi" w:cs="Arial"/>
          <w:spacing w:val="-4"/>
          <w:sz w:val="24"/>
          <w:szCs w:val="24"/>
          <w:lang w:val="es-ES" w:eastAsia="es-ES"/>
        </w:rPr>
        <w:t>Lizarazo Ramírez</w:t>
      </w:r>
      <w:r w:rsidRPr="00144404">
        <w:rPr>
          <w:rFonts w:ascii="Gadugi" w:eastAsia="Times New Roman" w:hAnsi="Gadugi" w:cs="Times New Roman"/>
          <w:spacing w:val="-4"/>
          <w:sz w:val="24"/>
          <w:szCs w:val="24"/>
          <w:lang w:val="es-ES" w:eastAsia="es-ES"/>
        </w:rPr>
        <w:t xml:space="preserve">, para la revisión de su estado de invalidez </w:t>
      </w:r>
      <w:r w:rsidRPr="00144404">
        <w:rPr>
          <w:rFonts w:ascii="Gadugi" w:eastAsia="Times New Roman" w:hAnsi="Gadugi" w:cs="Times New Roman"/>
          <w:i/>
          <w:iCs/>
          <w:spacing w:val="-4"/>
          <w:sz w:val="24"/>
          <w:szCs w:val="24"/>
          <w:lang w:val="es-ES" w:eastAsia="es-ES"/>
        </w:rPr>
        <w:t>“</w:t>
      </w:r>
      <w:r w:rsidRPr="00144404">
        <w:rPr>
          <w:rFonts w:ascii="Gadugi" w:eastAsia="Times New Roman" w:hAnsi="Gadugi" w:cs="Times New Roman"/>
          <w:i/>
          <w:iCs/>
          <w:spacing w:val="-4"/>
          <w:szCs w:val="24"/>
          <w:lang w:val="es-ES" w:eastAsia="es-ES"/>
        </w:rPr>
        <w:t>dado que con los datos de ubicación que reposan en esta entidad, la empresa de correos certificó la devolución de la correspondencia por medio de la que se les solicito documentación o exámenes médicos complementarios para su trámite de revisión del estado de invalidez</w:t>
      </w:r>
      <w:r w:rsidRPr="00144404">
        <w:rPr>
          <w:rFonts w:ascii="Gadugi" w:eastAsia="Times New Roman" w:hAnsi="Gadugi" w:cs="Times New Roman"/>
          <w:i/>
          <w:iCs/>
          <w:spacing w:val="-4"/>
          <w:sz w:val="24"/>
          <w:szCs w:val="24"/>
          <w:lang w:val="es-ES" w:eastAsia="es-ES"/>
        </w:rPr>
        <w:t xml:space="preserve">.”, </w:t>
      </w:r>
      <w:r w:rsidRPr="00144404">
        <w:rPr>
          <w:rFonts w:ascii="Gadugi" w:eastAsia="Times New Roman" w:hAnsi="Gadugi" w:cs="Times New Roman"/>
          <w:spacing w:val="-4"/>
          <w:sz w:val="24"/>
          <w:szCs w:val="24"/>
          <w:lang w:val="es-ES" w:eastAsia="es-ES"/>
        </w:rPr>
        <w:t xml:space="preserve">ese aviso se fijó </w:t>
      </w:r>
      <w:r w:rsidRPr="00144404">
        <w:rPr>
          <w:rFonts w:ascii="Gadugi" w:eastAsia="Times New Roman" w:hAnsi="Gadugi" w:cs="Times New Roman"/>
          <w:spacing w:val="-4"/>
          <w:sz w:val="24"/>
          <w:szCs w:val="24"/>
          <w:u w:val="single"/>
          <w:lang w:val="es-ES" w:eastAsia="es-ES"/>
        </w:rPr>
        <w:t>desde el 3 al 9 de agosto de 2022</w:t>
      </w:r>
      <w:r w:rsidR="008E3ED6" w:rsidRPr="00144404">
        <w:rPr>
          <w:rFonts w:ascii="Gadugi" w:eastAsia="Times New Roman" w:hAnsi="Gadugi" w:cs="Times New Roman"/>
          <w:spacing w:val="-4"/>
          <w:sz w:val="24"/>
          <w:szCs w:val="24"/>
          <w:lang w:val="es-ES" w:eastAsia="es-ES"/>
        </w:rPr>
        <w:t xml:space="preserve">, en ese aviso está escrito que </w:t>
      </w:r>
      <w:r w:rsidR="008E3ED6" w:rsidRPr="00144404">
        <w:rPr>
          <w:rFonts w:ascii="Gadugi" w:eastAsia="Times New Roman" w:hAnsi="Gadugi" w:cs="Times New Roman"/>
          <w:i/>
          <w:iCs/>
          <w:spacing w:val="-4"/>
          <w:sz w:val="24"/>
          <w:szCs w:val="24"/>
          <w:lang w:val="es-ES" w:eastAsia="es-ES"/>
        </w:rPr>
        <w:t>“</w:t>
      </w:r>
      <w:r w:rsidR="008E3ED6" w:rsidRPr="00144404">
        <w:rPr>
          <w:rFonts w:ascii="Gadugi" w:eastAsia="Times New Roman" w:hAnsi="Gadugi" w:cs="Times New Roman"/>
          <w:i/>
          <w:iCs/>
          <w:spacing w:val="-4"/>
          <w:szCs w:val="24"/>
          <w:lang w:val="es-ES" w:eastAsia="es-ES"/>
        </w:rPr>
        <w:t>Recuerde que rehusarse a la revisión o impedirla acarreará la suspensión de su mesada pensional y con ella el no pago de aportes a la EPS.</w:t>
      </w:r>
      <w:r w:rsidR="008E3ED6" w:rsidRPr="00144404">
        <w:rPr>
          <w:rFonts w:ascii="Gadugi" w:eastAsia="Times New Roman" w:hAnsi="Gadugi" w:cs="Times New Roman"/>
          <w:i/>
          <w:iCs/>
          <w:spacing w:val="-4"/>
          <w:sz w:val="24"/>
          <w:szCs w:val="24"/>
          <w:lang w:val="es-ES" w:eastAsia="es-ES"/>
        </w:rPr>
        <w:t>”</w:t>
      </w:r>
      <w:r w:rsidR="004C2C15" w:rsidRPr="00144404">
        <w:rPr>
          <w:rStyle w:val="Refdenotaalpie"/>
          <w:rFonts w:ascii="Gadugi" w:eastAsia="Times New Roman" w:hAnsi="Gadugi"/>
          <w:i/>
          <w:iCs/>
          <w:spacing w:val="-4"/>
          <w:sz w:val="24"/>
          <w:szCs w:val="24"/>
          <w:lang w:val="es-ES" w:eastAsia="es-ES"/>
        </w:rPr>
        <w:footnoteReference w:id="23"/>
      </w:r>
    </w:p>
    <w:p w14:paraId="71FFC57E" w14:textId="2B82C6E0" w:rsidR="00C32BD3" w:rsidRPr="00144404" w:rsidRDefault="00C32BD3"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53143CBE" w14:textId="33DF8692" w:rsidR="008E3ED6" w:rsidRPr="00144404" w:rsidRDefault="008E3ED6"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 xml:space="preserve">(vii) Finalmente aparece una comunicación del 27 de septiembre de 2022, mediante la cual la Dirección de Nómina de Pensionados Colpensiones, le hace saber al señor Lizarazo Ramírez, que su pensión sería reactivada, en octubre de este año, esa comunicación se envió al correo electrónico  </w:t>
      </w:r>
      <w:hyperlink r:id="rId11" w:history="1">
        <w:r w:rsidR="00BB0BDD" w:rsidRPr="008460C3">
          <w:rPr>
            <w:rStyle w:val="Hipervnculo"/>
            <w:rFonts w:ascii="Gadugi" w:eastAsia="Times New Roman" w:hAnsi="Gadugi" w:cs="Times New Roman"/>
            <w:spacing w:val="-4"/>
            <w:sz w:val="24"/>
            <w:szCs w:val="24"/>
            <w:lang w:val="es-ES" w:eastAsia="es-ES"/>
          </w:rPr>
          <w:t>jorgejuliolizarazo@gmail.com</w:t>
        </w:r>
      </w:hyperlink>
      <w:r w:rsidRPr="00144404">
        <w:rPr>
          <w:rFonts w:ascii="Gadugi" w:eastAsia="Times New Roman" w:hAnsi="Gadugi" w:cs="Times New Roman"/>
          <w:spacing w:val="-4"/>
          <w:sz w:val="24"/>
          <w:szCs w:val="24"/>
          <w:lang w:val="es-ES" w:eastAsia="es-ES"/>
        </w:rPr>
        <w:t>.</w:t>
      </w:r>
      <w:r w:rsidR="004C2C15" w:rsidRPr="00144404">
        <w:rPr>
          <w:rStyle w:val="Refdenotaalpie"/>
          <w:rFonts w:ascii="Gadugi" w:eastAsia="Times New Roman" w:hAnsi="Gadugi"/>
          <w:spacing w:val="-4"/>
          <w:sz w:val="24"/>
          <w:szCs w:val="24"/>
          <w:lang w:val="es-ES" w:eastAsia="es-ES"/>
        </w:rPr>
        <w:footnoteReference w:id="24"/>
      </w:r>
      <w:r w:rsidRPr="00144404">
        <w:rPr>
          <w:rFonts w:ascii="Gadugi" w:eastAsia="Times New Roman" w:hAnsi="Gadugi" w:cs="Times New Roman"/>
          <w:spacing w:val="-4"/>
          <w:sz w:val="24"/>
          <w:szCs w:val="24"/>
          <w:lang w:val="es-ES" w:eastAsia="es-ES"/>
        </w:rPr>
        <w:t xml:space="preserve"> </w:t>
      </w:r>
    </w:p>
    <w:p w14:paraId="14FF91A3" w14:textId="724E74CC" w:rsidR="008E3ED6" w:rsidRPr="00144404" w:rsidRDefault="008E3ED6"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46E39BB6" w14:textId="3598F063" w:rsidR="008E3ED6" w:rsidRPr="00144404" w:rsidRDefault="008E3ED6"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lastRenderedPageBreak/>
        <w:t>No hay más evidencias en el expediente.</w:t>
      </w:r>
    </w:p>
    <w:p w14:paraId="4E7825C9" w14:textId="77777777" w:rsidR="008E3ED6" w:rsidRPr="00144404" w:rsidRDefault="008E3ED6"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61149F4D" w14:textId="15C0F39D" w:rsidR="008E3ED6" w:rsidRPr="00144404" w:rsidRDefault="008E3ED6"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 xml:space="preserve">El recuento que acaba de hacerse, revela el acierto de la decisión de primer grado en la cual, por una parte, se ordenó la reactivación de la subvención </w:t>
      </w:r>
      <w:r w:rsidR="00E03BD2" w:rsidRPr="00144404">
        <w:rPr>
          <w:rFonts w:ascii="Gadugi" w:eastAsia="Times New Roman" w:hAnsi="Gadugi" w:cs="Times New Roman"/>
          <w:spacing w:val="-4"/>
          <w:sz w:val="24"/>
          <w:szCs w:val="24"/>
          <w:lang w:val="es-ES" w:eastAsia="es-ES"/>
        </w:rPr>
        <w:t>dada la equivocación</w:t>
      </w:r>
      <w:r w:rsidRPr="00144404">
        <w:rPr>
          <w:rFonts w:ascii="Gadugi" w:eastAsia="Times New Roman" w:hAnsi="Gadugi" w:cs="Times New Roman"/>
          <w:spacing w:val="-4"/>
          <w:sz w:val="24"/>
          <w:szCs w:val="24"/>
          <w:lang w:val="es-ES" w:eastAsia="es-ES"/>
        </w:rPr>
        <w:t xml:space="preserve"> de las comunicaciones de la entidad con el actor tendientes a la revisión de su PCL, y por otra, dispuso la perentoria recalificación de su invalidez sin trabas administrativas. </w:t>
      </w:r>
    </w:p>
    <w:p w14:paraId="271116EF" w14:textId="77777777" w:rsidR="008E3ED6" w:rsidRPr="00144404" w:rsidRDefault="008E3ED6"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43E6825B" w14:textId="77777777" w:rsidR="008530FA" w:rsidRPr="00144404" w:rsidRDefault="008530F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Para confirmar lo primero</w:t>
      </w:r>
      <w:r w:rsidR="008E3ED6" w:rsidRPr="00144404">
        <w:rPr>
          <w:rFonts w:ascii="Gadugi" w:eastAsia="Times New Roman" w:hAnsi="Gadugi" w:cs="Times New Roman"/>
          <w:spacing w:val="-4"/>
          <w:sz w:val="24"/>
          <w:szCs w:val="24"/>
          <w:lang w:val="es-ES" w:eastAsia="es-ES"/>
        </w:rPr>
        <w:t>, bast</w:t>
      </w:r>
      <w:r w:rsidRPr="00144404">
        <w:rPr>
          <w:rFonts w:ascii="Gadugi" w:eastAsia="Times New Roman" w:hAnsi="Gadugi" w:cs="Times New Roman"/>
          <w:spacing w:val="-4"/>
          <w:sz w:val="24"/>
          <w:szCs w:val="24"/>
          <w:lang w:val="es-ES" w:eastAsia="es-ES"/>
        </w:rPr>
        <w:t>a</w:t>
      </w:r>
      <w:r w:rsidR="008E3ED6" w:rsidRPr="00144404">
        <w:rPr>
          <w:rFonts w:ascii="Gadugi" w:eastAsia="Times New Roman" w:hAnsi="Gadugi" w:cs="Times New Roman"/>
          <w:spacing w:val="-4"/>
          <w:sz w:val="24"/>
          <w:szCs w:val="24"/>
          <w:lang w:val="es-ES" w:eastAsia="es-ES"/>
        </w:rPr>
        <w:t xml:space="preserve"> enlistar estas circunstancias</w:t>
      </w:r>
      <w:r w:rsidRPr="00144404">
        <w:rPr>
          <w:rFonts w:ascii="Gadugi" w:eastAsia="Times New Roman" w:hAnsi="Gadugi" w:cs="Times New Roman"/>
          <w:spacing w:val="-4"/>
          <w:sz w:val="24"/>
          <w:szCs w:val="24"/>
          <w:lang w:val="es-ES" w:eastAsia="es-ES"/>
        </w:rPr>
        <w:t>.</w:t>
      </w:r>
    </w:p>
    <w:p w14:paraId="6017F11C" w14:textId="77777777" w:rsidR="008530FA" w:rsidRPr="00144404" w:rsidRDefault="008530F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76A09EDA" w14:textId="02650E0C" w:rsidR="008E3ED6" w:rsidRPr="00144404" w:rsidRDefault="008530F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U</w:t>
      </w:r>
      <w:r w:rsidR="008E3ED6" w:rsidRPr="00144404">
        <w:rPr>
          <w:rFonts w:ascii="Gadugi" w:eastAsia="Times New Roman" w:hAnsi="Gadugi" w:cs="Times New Roman"/>
          <w:spacing w:val="-4"/>
          <w:sz w:val="24"/>
          <w:szCs w:val="24"/>
          <w:lang w:val="es-ES" w:eastAsia="es-ES"/>
        </w:rPr>
        <w:t xml:space="preserve">na, </w:t>
      </w:r>
      <w:r w:rsidRPr="00144404">
        <w:rPr>
          <w:rFonts w:ascii="Gadugi" w:eastAsia="Times New Roman" w:hAnsi="Gadugi" w:cs="Times New Roman"/>
          <w:spacing w:val="-4"/>
          <w:sz w:val="24"/>
          <w:szCs w:val="24"/>
          <w:lang w:val="es-ES" w:eastAsia="es-ES"/>
        </w:rPr>
        <w:t xml:space="preserve">no hay certeza de que el teléfono al que se comunicó la empresa </w:t>
      </w:r>
      <w:r w:rsidR="004C2C15" w:rsidRPr="00144404">
        <w:rPr>
          <w:rFonts w:ascii="Gadugi" w:eastAsia="Times New Roman" w:hAnsi="Gadugi" w:cs="Times New Roman"/>
          <w:spacing w:val="-4"/>
          <w:sz w:val="24"/>
          <w:szCs w:val="24"/>
          <w:lang w:val="es-ES" w:eastAsia="es-ES"/>
        </w:rPr>
        <w:t>Gestar Innovación S.A.S.</w:t>
      </w:r>
      <w:r w:rsidRPr="00144404">
        <w:rPr>
          <w:rFonts w:ascii="Gadugi" w:eastAsia="Times New Roman" w:hAnsi="Gadugi" w:cs="Times New Roman"/>
          <w:spacing w:val="-4"/>
          <w:sz w:val="24"/>
          <w:szCs w:val="24"/>
          <w:lang w:val="es-ES" w:eastAsia="es-ES"/>
        </w:rPr>
        <w:t>, sea el del accionante, inclusive hay razones para inferir que no lo es, por ejemplo, en su historia clínica aparece que su teléfono es 3104315090</w:t>
      </w:r>
      <w:r w:rsidR="004C2C15" w:rsidRPr="00144404">
        <w:rPr>
          <w:rStyle w:val="Refdenotaalpie"/>
          <w:rFonts w:ascii="Gadugi" w:eastAsia="Times New Roman" w:hAnsi="Gadugi"/>
          <w:spacing w:val="-4"/>
          <w:sz w:val="24"/>
          <w:szCs w:val="24"/>
          <w:lang w:val="es-ES" w:eastAsia="es-ES"/>
        </w:rPr>
        <w:footnoteReference w:id="25"/>
      </w:r>
      <w:r w:rsidRPr="00144404">
        <w:rPr>
          <w:rFonts w:ascii="Gadugi" w:eastAsia="Times New Roman" w:hAnsi="Gadugi" w:cs="Times New Roman"/>
          <w:spacing w:val="-4"/>
          <w:sz w:val="24"/>
          <w:szCs w:val="24"/>
          <w:lang w:val="es-ES" w:eastAsia="es-ES"/>
        </w:rPr>
        <w:t>.</w:t>
      </w:r>
    </w:p>
    <w:p w14:paraId="73E5F67C" w14:textId="582DED07" w:rsidR="008530FA" w:rsidRPr="00144404" w:rsidRDefault="008530F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74EB1AA7" w14:textId="6AC0BC88" w:rsidR="008530FA" w:rsidRPr="00144404" w:rsidRDefault="008530FA"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 xml:space="preserve">Dos, </w:t>
      </w:r>
      <w:r w:rsidR="00D648B7" w:rsidRPr="00144404">
        <w:rPr>
          <w:rFonts w:ascii="Gadugi" w:eastAsia="Times New Roman" w:hAnsi="Gadugi" w:cs="Times New Roman"/>
          <w:spacing w:val="-4"/>
          <w:sz w:val="24"/>
          <w:szCs w:val="24"/>
          <w:lang w:val="es-ES" w:eastAsia="es-ES"/>
        </w:rPr>
        <w:t>se desconoce</w:t>
      </w:r>
      <w:r w:rsidR="00077A5D" w:rsidRPr="00144404">
        <w:rPr>
          <w:rFonts w:ascii="Gadugi" w:eastAsia="Times New Roman" w:hAnsi="Gadugi" w:cs="Times New Roman"/>
          <w:spacing w:val="-4"/>
          <w:sz w:val="24"/>
          <w:szCs w:val="24"/>
          <w:lang w:val="es-ES" w:eastAsia="es-ES"/>
        </w:rPr>
        <w:t xml:space="preserve"> si la</w:t>
      </w:r>
      <w:r w:rsidRPr="00144404">
        <w:rPr>
          <w:rFonts w:ascii="Gadugi" w:eastAsia="Times New Roman" w:hAnsi="Gadugi" w:cs="Times New Roman"/>
          <w:spacing w:val="-4"/>
          <w:sz w:val="24"/>
          <w:szCs w:val="24"/>
          <w:lang w:val="es-ES" w:eastAsia="es-ES"/>
        </w:rPr>
        <w:t xml:space="preserve"> comunicación emitida el 17 de diciembre de 2021, </w:t>
      </w:r>
      <w:r w:rsidR="00077A5D" w:rsidRPr="00144404">
        <w:rPr>
          <w:rFonts w:ascii="Gadugi" w:eastAsia="Times New Roman" w:hAnsi="Gadugi" w:cs="Times New Roman"/>
          <w:spacing w:val="-4"/>
          <w:sz w:val="24"/>
          <w:szCs w:val="24"/>
          <w:lang w:val="es-ES" w:eastAsia="es-ES"/>
        </w:rPr>
        <w:t>se le entregó al accionante,</w:t>
      </w:r>
      <w:r w:rsidR="00F43B9E" w:rsidRPr="00144404">
        <w:rPr>
          <w:rFonts w:ascii="Gadugi" w:eastAsia="Times New Roman" w:hAnsi="Gadugi" w:cs="Times New Roman"/>
          <w:spacing w:val="-4"/>
          <w:sz w:val="24"/>
          <w:szCs w:val="24"/>
          <w:lang w:val="es-ES" w:eastAsia="es-ES"/>
        </w:rPr>
        <w:t xml:space="preserve"> porque Colpensiones </w:t>
      </w:r>
      <w:r w:rsidR="3BB59A28" w:rsidRPr="00144404">
        <w:rPr>
          <w:rFonts w:ascii="Gadugi" w:eastAsia="Times New Roman" w:hAnsi="Gadugi" w:cs="Times New Roman"/>
          <w:spacing w:val="-4"/>
          <w:sz w:val="24"/>
          <w:szCs w:val="24"/>
          <w:lang w:val="es-ES" w:eastAsia="es-ES"/>
        </w:rPr>
        <w:t xml:space="preserve">no </w:t>
      </w:r>
      <w:r w:rsidR="00F43B9E" w:rsidRPr="00144404">
        <w:rPr>
          <w:rFonts w:ascii="Gadugi" w:eastAsia="Times New Roman" w:hAnsi="Gadugi" w:cs="Times New Roman"/>
          <w:spacing w:val="-4"/>
          <w:sz w:val="24"/>
          <w:szCs w:val="24"/>
          <w:lang w:val="es-ES" w:eastAsia="es-ES"/>
        </w:rPr>
        <w:t>demostró que la dirección “</w:t>
      </w:r>
      <w:r w:rsidR="00F43B9E" w:rsidRPr="00144404">
        <w:rPr>
          <w:rFonts w:ascii="Gadugi" w:eastAsia="Times New Roman" w:hAnsi="Gadugi" w:cs="Times New Roman"/>
          <w:i/>
          <w:iCs/>
          <w:spacing w:val="-4"/>
          <w:szCs w:val="24"/>
          <w:lang w:val="es-ES" w:eastAsia="es-ES"/>
        </w:rPr>
        <w:t>CRA 7 NO 16-50 OFICINA 804</w:t>
      </w:r>
      <w:r w:rsidR="00F43B9E" w:rsidRPr="00144404">
        <w:rPr>
          <w:rFonts w:ascii="Gadugi" w:eastAsia="Times New Roman" w:hAnsi="Gadugi" w:cs="Times New Roman"/>
          <w:i/>
          <w:spacing w:val="-4"/>
          <w:sz w:val="24"/>
          <w:szCs w:val="24"/>
          <w:lang w:val="es-ES" w:eastAsia="es-ES"/>
        </w:rPr>
        <w:t>”</w:t>
      </w:r>
      <w:r w:rsidR="00F43B9E" w:rsidRPr="00144404">
        <w:rPr>
          <w:rFonts w:ascii="Gadugi" w:eastAsia="Times New Roman" w:hAnsi="Gadugi" w:cs="Times New Roman"/>
          <w:spacing w:val="-4"/>
          <w:sz w:val="24"/>
          <w:szCs w:val="24"/>
          <w:lang w:val="es-ES" w:eastAsia="es-ES"/>
        </w:rPr>
        <w:t xml:space="preserve">, hubiera sido la que él autorizó para recibir notificaciones, y, en cualquier caso, como se anticipó, es llamativo que luego, en el oficio del 15 de junio de 2022, escribiera que el lugar de notificaciones </w:t>
      </w:r>
      <w:r w:rsidR="00077A5D" w:rsidRPr="00144404">
        <w:rPr>
          <w:rFonts w:ascii="Gadugi" w:eastAsia="Times New Roman" w:hAnsi="Gadugi" w:cs="Times New Roman"/>
          <w:spacing w:val="-4"/>
          <w:sz w:val="24"/>
          <w:szCs w:val="24"/>
          <w:lang w:val="es-ES" w:eastAsia="es-ES"/>
        </w:rPr>
        <w:t xml:space="preserve">de aquel </w:t>
      </w:r>
      <w:r w:rsidR="00F43B9E" w:rsidRPr="00144404">
        <w:rPr>
          <w:rFonts w:ascii="Gadugi" w:eastAsia="Times New Roman" w:hAnsi="Gadugi" w:cs="Times New Roman"/>
          <w:spacing w:val="-4"/>
          <w:sz w:val="24"/>
          <w:szCs w:val="24"/>
          <w:lang w:val="es-ES" w:eastAsia="es-ES"/>
        </w:rPr>
        <w:t xml:space="preserve">era </w:t>
      </w:r>
      <w:r w:rsidR="00F43B9E" w:rsidRPr="00144404">
        <w:rPr>
          <w:rFonts w:ascii="Gadugi" w:eastAsia="Times New Roman" w:hAnsi="Gadugi" w:cs="Times New Roman"/>
          <w:i/>
          <w:iCs/>
          <w:spacing w:val="-4"/>
          <w:sz w:val="24"/>
          <w:szCs w:val="24"/>
          <w:lang w:val="es-ES" w:eastAsia="es-ES"/>
        </w:rPr>
        <w:t>“</w:t>
      </w:r>
      <w:r w:rsidR="00F43B9E" w:rsidRPr="00144404">
        <w:rPr>
          <w:rFonts w:ascii="Gadugi" w:eastAsia="Times New Roman" w:hAnsi="Gadugi" w:cs="Times New Roman"/>
          <w:i/>
          <w:iCs/>
          <w:spacing w:val="-4"/>
          <w:szCs w:val="24"/>
          <w:lang w:val="es-ES" w:eastAsia="es-ES"/>
        </w:rPr>
        <w:t>VRD LA UNIÓN KM 4 FI LOS GUADUALES</w:t>
      </w:r>
      <w:r w:rsidR="00F43B9E" w:rsidRPr="00144404">
        <w:rPr>
          <w:rFonts w:ascii="Gadugi" w:eastAsia="Times New Roman" w:hAnsi="Gadugi" w:cs="Times New Roman"/>
          <w:i/>
          <w:iCs/>
          <w:spacing w:val="-4"/>
          <w:sz w:val="24"/>
          <w:szCs w:val="24"/>
          <w:lang w:val="es-ES" w:eastAsia="es-ES"/>
        </w:rPr>
        <w:t>”</w:t>
      </w:r>
      <w:r w:rsidR="00077A5D" w:rsidRPr="00144404">
        <w:rPr>
          <w:rFonts w:ascii="Gadugi" w:eastAsia="Times New Roman" w:hAnsi="Gadugi" w:cs="Times New Roman"/>
          <w:i/>
          <w:iCs/>
          <w:spacing w:val="-4"/>
          <w:sz w:val="24"/>
          <w:szCs w:val="24"/>
          <w:lang w:val="es-ES" w:eastAsia="es-ES"/>
        </w:rPr>
        <w:t xml:space="preserve">, </w:t>
      </w:r>
      <w:r w:rsidR="00077A5D" w:rsidRPr="00144404">
        <w:rPr>
          <w:rFonts w:ascii="Gadugi" w:eastAsia="Times New Roman" w:hAnsi="Gadugi" w:cs="Times New Roman"/>
          <w:spacing w:val="-4"/>
          <w:sz w:val="24"/>
          <w:szCs w:val="24"/>
          <w:lang w:val="es-ES" w:eastAsia="es-ES"/>
        </w:rPr>
        <w:t xml:space="preserve">en Dosquebradas. </w:t>
      </w:r>
    </w:p>
    <w:p w14:paraId="29AED58C" w14:textId="257E07EC" w:rsidR="008E3ED6" w:rsidRPr="00144404" w:rsidRDefault="008E3ED6"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 xml:space="preserve"> </w:t>
      </w:r>
    </w:p>
    <w:p w14:paraId="1D79B301" w14:textId="7F9A9951" w:rsidR="00F43B9E" w:rsidRPr="00144404" w:rsidRDefault="00077A5D"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Y t</w:t>
      </w:r>
      <w:r w:rsidR="00F43B9E" w:rsidRPr="00144404">
        <w:rPr>
          <w:rFonts w:ascii="Gadugi" w:eastAsia="Times New Roman" w:hAnsi="Gadugi" w:cs="Times New Roman"/>
          <w:spacing w:val="-4"/>
          <w:sz w:val="24"/>
          <w:szCs w:val="24"/>
          <w:lang w:val="es-ES" w:eastAsia="es-ES"/>
        </w:rPr>
        <w:t>res, Colpensiones hizo la notificación por aviso (Art. 69 CAPCA)</w:t>
      </w:r>
      <w:r w:rsidRPr="00144404">
        <w:rPr>
          <w:rStyle w:val="Refdenotaalpie"/>
          <w:rFonts w:ascii="Gadugi" w:eastAsia="Times New Roman" w:hAnsi="Gadugi"/>
          <w:spacing w:val="-4"/>
          <w:sz w:val="24"/>
          <w:szCs w:val="24"/>
          <w:lang w:val="es-ES" w:eastAsia="es-ES"/>
        </w:rPr>
        <w:footnoteReference w:id="26"/>
      </w:r>
      <w:r w:rsidR="00F43B9E" w:rsidRPr="00144404">
        <w:rPr>
          <w:rFonts w:ascii="Gadugi" w:eastAsia="Times New Roman" w:hAnsi="Gadugi" w:cs="Times New Roman"/>
          <w:spacing w:val="-4"/>
          <w:sz w:val="24"/>
          <w:szCs w:val="24"/>
          <w:lang w:val="es-ES" w:eastAsia="es-ES"/>
        </w:rPr>
        <w:t xml:space="preserve">, </w:t>
      </w:r>
      <w:r w:rsidR="00F43B9E" w:rsidRPr="00144404">
        <w:rPr>
          <w:rFonts w:ascii="Gadugi" w:eastAsia="Times New Roman" w:hAnsi="Gadugi" w:cs="Times New Roman"/>
          <w:spacing w:val="-4"/>
          <w:sz w:val="24"/>
          <w:szCs w:val="24"/>
          <w:u w:val="single"/>
          <w:lang w:val="es-ES" w:eastAsia="es-ES"/>
        </w:rPr>
        <w:t>después de que suspendió la pensión de invalidez del actor</w:t>
      </w:r>
      <w:r w:rsidR="00F43B9E" w:rsidRPr="00144404">
        <w:rPr>
          <w:rFonts w:ascii="Gadugi" w:eastAsia="Times New Roman" w:hAnsi="Gadugi" w:cs="Times New Roman"/>
          <w:spacing w:val="-4"/>
          <w:sz w:val="24"/>
          <w:szCs w:val="24"/>
          <w:lang w:val="es-ES" w:eastAsia="es-ES"/>
        </w:rPr>
        <w:t>, en efecto, la suspensión sucedió en junio de 2022, y el aviso se fijó en agosto del mismo año</w:t>
      </w:r>
      <w:r w:rsidRPr="00144404">
        <w:rPr>
          <w:rFonts w:ascii="Gadugi" w:eastAsia="Times New Roman" w:hAnsi="Gadugi" w:cs="Times New Roman"/>
          <w:spacing w:val="-4"/>
          <w:sz w:val="24"/>
          <w:szCs w:val="24"/>
          <w:lang w:val="es-ES" w:eastAsia="es-ES"/>
        </w:rPr>
        <w:t xml:space="preserve">, es patente, entonces, </w:t>
      </w:r>
      <w:r w:rsidR="00F43B9E" w:rsidRPr="00144404">
        <w:rPr>
          <w:rFonts w:ascii="Gadugi" w:eastAsia="Times New Roman" w:hAnsi="Gadugi" w:cs="Times New Roman"/>
          <w:spacing w:val="-4"/>
          <w:sz w:val="24"/>
          <w:szCs w:val="24"/>
          <w:lang w:val="es-ES" w:eastAsia="es-ES"/>
        </w:rPr>
        <w:t>la transgresión al debido proceso</w:t>
      </w:r>
      <w:r w:rsidRPr="00144404">
        <w:rPr>
          <w:rFonts w:ascii="Gadugi" w:eastAsia="Times New Roman" w:hAnsi="Gadugi" w:cs="Times New Roman"/>
          <w:spacing w:val="-4"/>
          <w:sz w:val="24"/>
          <w:szCs w:val="24"/>
          <w:lang w:val="es-ES" w:eastAsia="es-ES"/>
        </w:rPr>
        <w:t xml:space="preserve"> que le asiste al accionante. </w:t>
      </w:r>
    </w:p>
    <w:p w14:paraId="621B85C4" w14:textId="7F9444AB" w:rsidR="00F43B9E" w:rsidRPr="00144404" w:rsidRDefault="00F43B9E"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136E251E" w14:textId="7120EA36" w:rsidR="00365E39" w:rsidRPr="00144404" w:rsidRDefault="00365E39"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A todo lo cual se suma el desenfoque de la contestación aportada por Colpensiones</w:t>
      </w:r>
      <w:r w:rsidR="005B6F1C" w:rsidRPr="00144404">
        <w:rPr>
          <w:rFonts w:ascii="Gadugi" w:eastAsia="Times New Roman" w:hAnsi="Gadugi" w:cs="Times New Roman"/>
          <w:spacing w:val="-4"/>
          <w:sz w:val="24"/>
          <w:szCs w:val="24"/>
          <w:lang w:val="es-ES" w:eastAsia="es-ES"/>
        </w:rPr>
        <w:t xml:space="preserve"> a esta tutela</w:t>
      </w:r>
      <w:r w:rsidRPr="00144404">
        <w:rPr>
          <w:rFonts w:ascii="Gadugi" w:eastAsia="Times New Roman" w:hAnsi="Gadugi" w:cs="Times New Roman"/>
          <w:spacing w:val="-4"/>
          <w:sz w:val="24"/>
          <w:szCs w:val="24"/>
          <w:lang w:val="es-ES" w:eastAsia="es-ES"/>
        </w:rPr>
        <w:t>, donde</w:t>
      </w:r>
      <w:r w:rsidR="005B6F1C" w:rsidRPr="00144404">
        <w:rPr>
          <w:rFonts w:ascii="Gadugi" w:eastAsia="Times New Roman" w:hAnsi="Gadugi" w:cs="Times New Roman"/>
          <w:spacing w:val="-4"/>
          <w:sz w:val="24"/>
          <w:szCs w:val="24"/>
          <w:lang w:val="es-ES" w:eastAsia="es-ES"/>
        </w:rPr>
        <w:t xml:space="preserve"> de manera confusa</w:t>
      </w:r>
      <w:r w:rsidRPr="00144404">
        <w:rPr>
          <w:rFonts w:ascii="Gadugi" w:eastAsia="Times New Roman" w:hAnsi="Gadugi" w:cs="Times New Roman"/>
          <w:spacing w:val="-4"/>
          <w:sz w:val="24"/>
          <w:szCs w:val="24"/>
          <w:lang w:val="es-ES" w:eastAsia="es-ES"/>
        </w:rPr>
        <w:t xml:space="preserve"> se apuntó que, en el oficio </w:t>
      </w:r>
      <w:r w:rsidRPr="00144404">
        <w:rPr>
          <w:rFonts w:ascii="Gadugi" w:eastAsia="Times New Roman" w:hAnsi="Gadugi" w:cs="Times New Roman"/>
          <w:b/>
          <w:spacing w:val="-4"/>
          <w:sz w:val="24"/>
          <w:szCs w:val="24"/>
          <w:lang w:val="es-ES" w:eastAsia="es-ES"/>
        </w:rPr>
        <w:t>BZ2022_7633603-1696631 del 9 de junio de 2022</w:t>
      </w:r>
      <w:r w:rsidRPr="00144404">
        <w:rPr>
          <w:rFonts w:ascii="Gadugi" w:eastAsia="Times New Roman" w:hAnsi="Gadugi" w:cs="Times New Roman"/>
          <w:spacing w:val="-4"/>
          <w:sz w:val="24"/>
          <w:szCs w:val="24"/>
          <w:lang w:val="es-ES" w:eastAsia="es-ES"/>
        </w:rPr>
        <w:t xml:space="preserve">, se negó la recalificación por una supuesta controversia pendiente </w:t>
      </w:r>
      <w:r w:rsidR="005B6F1C" w:rsidRPr="00144404">
        <w:rPr>
          <w:rFonts w:ascii="Gadugi" w:eastAsia="Times New Roman" w:hAnsi="Gadugi" w:cs="Times New Roman"/>
          <w:spacing w:val="-4"/>
          <w:sz w:val="24"/>
          <w:szCs w:val="24"/>
          <w:lang w:val="es-ES" w:eastAsia="es-ES"/>
        </w:rPr>
        <w:t>con ocasión a</w:t>
      </w:r>
      <w:r w:rsidRPr="00144404">
        <w:rPr>
          <w:rFonts w:ascii="Gadugi" w:eastAsia="Times New Roman" w:hAnsi="Gadugi" w:cs="Times New Roman"/>
          <w:spacing w:val="-4"/>
          <w:sz w:val="24"/>
          <w:szCs w:val="24"/>
          <w:lang w:val="es-ES" w:eastAsia="es-ES"/>
        </w:rPr>
        <w:t xml:space="preserve"> recurso concedido ante la Junta Regional o Nacional de Invalidez, cuando</w:t>
      </w:r>
      <w:r w:rsidR="005B6F1C" w:rsidRPr="00144404">
        <w:rPr>
          <w:rFonts w:ascii="Gadugi" w:eastAsia="Times New Roman" w:hAnsi="Gadugi" w:cs="Times New Roman"/>
          <w:spacing w:val="-4"/>
          <w:sz w:val="24"/>
          <w:szCs w:val="24"/>
          <w:lang w:val="es-ES" w:eastAsia="es-ES"/>
        </w:rPr>
        <w:t>, por un lado, ninguna evidencia hay de ello en el expediente, y por otro, lo que de verdad se le dice al accionante en ese memorial, es simplemente</w:t>
      </w:r>
      <w:r w:rsidRPr="00144404">
        <w:rPr>
          <w:rFonts w:ascii="Gadugi" w:eastAsia="Times New Roman" w:hAnsi="Gadugi" w:cs="Times New Roman"/>
          <w:spacing w:val="-4"/>
          <w:sz w:val="24"/>
          <w:szCs w:val="24"/>
          <w:lang w:val="es-ES" w:eastAsia="es-ES"/>
        </w:rPr>
        <w:t xml:space="preserve"> que la revisión se va a iniciar y que debe estar atento a cualquier requerimiento.</w:t>
      </w:r>
      <w:r w:rsidR="005B6F1C" w:rsidRPr="00144404">
        <w:rPr>
          <w:rStyle w:val="Refdenotaalpie"/>
          <w:rFonts w:ascii="Gadugi" w:eastAsia="Times New Roman" w:hAnsi="Gadugi"/>
          <w:spacing w:val="-4"/>
          <w:sz w:val="24"/>
          <w:szCs w:val="24"/>
          <w:lang w:val="es-ES" w:eastAsia="es-ES"/>
        </w:rPr>
        <w:footnoteReference w:id="27"/>
      </w:r>
      <w:r w:rsidRPr="00144404">
        <w:rPr>
          <w:rFonts w:ascii="Gadugi" w:eastAsia="Times New Roman" w:hAnsi="Gadugi" w:cs="Times New Roman"/>
          <w:spacing w:val="-4"/>
          <w:sz w:val="24"/>
          <w:szCs w:val="24"/>
          <w:lang w:val="es-ES" w:eastAsia="es-ES"/>
        </w:rPr>
        <w:t xml:space="preserve"> </w:t>
      </w:r>
    </w:p>
    <w:p w14:paraId="77964549" w14:textId="77777777" w:rsidR="004C2C15" w:rsidRPr="00144404" w:rsidRDefault="004C2C15"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62552C5F" w14:textId="7BEC2F3D" w:rsidR="0074085B" w:rsidRPr="00144404" w:rsidRDefault="00077A5D"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eastAsia="Times New Roman" w:hAnsi="Gadugi" w:cs="Times New Roman"/>
          <w:spacing w:val="-4"/>
          <w:sz w:val="24"/>
          <w:szCs w:val="24"/>
          <w:lang w:val="es-ES" w:eastAsia="es-ES"/>
        </w:rPr>
        <w:t xml:space="preserve">Y para confirmar lo segundo, que atañe con la injustificada dilación de la calificación de la PCL, solo es necesario recordar que </w:t>
      </w:r>
      <w:r w:rsidR="0074085B" w:rsidRPr="00144404">
        <w:rPr>
          <w:rFonts w:ascii="Gadugi" w:eastAsia="Times New Roman" w:hAnsi="Gadugi" w:cs="Times New Roman"/>
          <w:spacing w:val="-4"/>
          <w:sz w:val="24"/>
          <w:szCs w:val="24"/>
          <w:lang w:val="es-ES" w:eastAsia="es-ES"/>
        </w:rPr>
        <w:t xml:space="preserve">la solicitud que el señor </w:t>
      </w:r>
      <w:r w:rsidR="00D648B7" w:rsidRPr="00144404">
        <w:rPr>
          <w:rFonts w:ascii="Gadugi" w:eastAsia="Times New Roman" w:hAnsi="Gadugi" w:cs="Times New Roman"/>
          <w:spacing w:val="-4"/>
          <w:sz w:val="24"/>
          <w:szCs w:val="24"/>
          <w:lang w:val="es-ES" w:eastAsia="es-ES"/>
        </w:rPr>
        <w:t xml:space="preserve">Lizarazo Ramírez </w:t>
      </w:r>
      <w:r w:rsidR="0074085B" w:rsidRPr="00144404">
        <w:rPr>
          <w:rFonts w:ascii="Gadugi" w:eastAsia="Times New Roman" w:hAnsi="Gadugi" w:cs="Times New Roman"/>
          <w:spacing w:val="-4"/>
          <w:sz w:val="24"/>
          <w:szCs w:val="24"/>
          <w:lang w:val="es-ES" w:eastAsia="es-ES"/>
        </w:rPr>
        <w:t xml:space="preserve">radicó con ese propósito, data del </w:t>
      </w:r>
      <w:r w:rsidR="00C443F1" w:rsidRPr="00144404">
        <w:rPr>
          <w:rFonts w:ascii="Gadugi" w:eastAsia="Times New Roman" w:hAnsi="Gadugi" w:cs="Times New Roman"/>
          <w:spacing w:val="-4"/>
          <w:sz w:val="24"/>
          <w:szCs w:val="24"/>
          <w:lang w:val="es-ES" w:eastAsia="es-ES"/>
        </w:rPr>
        <w:t>9</w:t>
      </w:r>
      <w:r w:rsidR="0074085B" w:rsidRPr="00144404">
        <w:rPr>
          <w:rFonts w:ascii="Gadugi" w:eastAsia="Times New Roman" w:hAnsi="Gadugi" w:cs="Times New Roman"/>
          <w:spacing w:val="-4"/>
          <w:sz w:val="24"/>
          <w:szCs w:val="24"/>
          <w:lang w:val="es-ES" w:eastAsia="es-ES"/>
        </w:rPr>
        <w:t xml:space="preserve"> de </w:t>
      </w:r>
      <w:r w:rsidR="00C443F1" w:rsidRPr="00144404">
        <w:rPr>
          <w:rFonts w:ascii="Gadugi" w:eastAsia="Times New Roman" w:hAnsi="Gadugi" w:cs="Times New Roman"/>
          <w:spacing w:val="-4"/>
          <w:sz w:val="24"/>
          <w:szCs w:val="24"/>
          <w:lang w:val="es-ES" w:eastAsia="es-ES"/>
        </w:rPr>
        <w:t>junio</w:t>
      </w:r>
      <w:r w:rsidR="0074085B" w:rsidRPr="00144404">
        <w:rPr>
          <w:rFonts w:ascii="Gadugi" w:eastAsia="Times New Roman" w:hAnsi="Gadugi" w:cs="Times New Roman"/>
          <w:spacing w:val="-4"/>
          <w:sz w:val="24"/>
          <w:szCs w:val="24"/>
          <w:lang w:val="es-ES" w:eastAsia="es-ES"/>
        </w:rPr>
        <w:t xml:space="preserve"> de 2022, y a pesar de ello, hoy en día, cuando ya transcurre </w:t>
      </w:r>
      <w:r w:rsidR="00C443F1" w:rsidRPr="00144404">
        <w:rPr>
          <w:rFonts w:ascii="Gadugi" w:eastAsia="Times New Roman" w:hAnsi="Gadugi" w:cs="Times New Roman"/>
          <w:spacing w:val="-4"/>
          <w:sz w:val="24"/>
          <w:szCs w:val="24"/>
          <w:lang w:val="es-ES" w:eastAsia="es-ES"/>
        </w:rPr>
        <w:t>noviembre</w:t>
      </w:r>
      <w:r w:rsidR="00EB45CC" w:rsidRPr="00144404">
        <w:rPr>
          <w:rFonts w:ascii="Gadugi" w:eastAsia="Times New Roman" w:hAnsi="Gadugi" w:cs="Times New Roman"/>
          <w:spacing w:val="-4"/>
          <w:sz w:val="24"/>
          <w:szCs w:val="24"/>
          <w:lang w:val="es-ES" w:eastAsia="es-ES"/>
        </w:rPr>
        <w:t xml:space="preserve"> y han pasado 5 meses </w:t>
      </w:r>
      <w:r w:rsidR="0074085B" w:rsidRPr="00144404">
        <w:rPr>
          <w:rFonts w:ascii="Gadugi" w:eastAsia="Times New Roman" w:hAnsi="Gadugi" w:cs="Times New Roman"/>
          <w:spacing w:val="-4"/>
          <w:sz w:val="24"/>
          <w:szCs w:val="24"/>
          <w:lang w:val="es-ES" w:eastAsia="es-ES"/>
        </w:rPr>
        <w:t xml:space="preserve">es inexistente una solución definitiva por parte de Colpensiones. </w:t>
      </w:r>
    </w:p>
    <w:p w14:paraId="0DE035EB" w14:textId="77777777" w:rsidR="0074085B" w:rsidRPr="00144404" w:rsidRDefault="0074085B" w:rsidP="0062092B">
      <w:pPr>
        <w:pStyle w:val="Textoindependiente21"/>
        <w:spacing w:line="276" w:lineRule="auto"/>
        <w:ind w:firstLine="0"/>
        <w:rPr>
          <w:rFonts w:ascii="Gadugi" w:hAnsi="Gadugi" w:cs="Arial"/>
          <w:spacing w:val="-4"/>
          <w:szCs w:val="24"/>
          <w:lang w:val="es-419"/>
        </w:rPr>
      </w:pPr>
    </w:p>
    <w:p w14:paraId="729C3E21" w14:textId="2C3E2703" w:rsidR="007F5F4C" w:rsidRPr="00144404" w:rsidRDefault="00D648B7" w:rsidP="0062092B">
      <w:pPr>
        <w:pStyle w:val="Textoindependiente21"/>
        <w:spacing w:line="276" w:lineRule="auto"/>
        <w:ind w:firstLine="0"/>
        <w:rPr>
          <w:rFonts w:ascii="Gadugi" w:hAnsi="Gadugi" w:cs="Arial"/>
          <w:spacing w:val="-4"/>
          <w:szCs w:val="24"/>
          <w:lang w:val="es-419"/>
        </w:rPr>
      </w:pPr>
      <w:r w:rsidRPr="00144404">
        <w:rPr>
          <w:rFonts w:ascii="Gadugi" w:hAnsi="Gadugi" w:cs="Arial"/>
          <w:spacing w:val="-4"/>
          <w:szCs w:val="24"/>
          <w:lang w:val="es-419"/>
        </w:rPr>
        <w:t>Además,</w:t>
      </w:r>
      <w:r w:rsidR="0074085B" w:rsidRPr="00144404">
        <w:rPr>
          <w:rFonts w:ascii="Gadugi" w:hAnsi="Gadugi" w:cs="Arial"/>
          <w:spacing w:val="-4"/>
          <w:szCs w:val="24"/>
          <w:lang w:val="es-419"/>
        </w:rPr>
        <w:t xml:space="preserve"> es injustificable que la entidad aduzca que</w:t>
      </w:r>
      <w:r w:rsidR="00C443F1" w:rsidRPr="00144404">
        <w:rPr>
          <w:rFonts w:ascii="Gadugi" w:hAnsi="Gadugi" w:cs="Arial"/>
          <w:spacing w:val="-4"/>
          <w:szCs w:val="24"/>
          <w:lang w:val="es-419"/>
        </w:rPr>
        <w:t xml:space="preserve"> está pendiente de que el actor aporte documentos relacionados con su historia clínica </w:t>
      </w:r>
      <w:r w:rsidR="0074085B" w:rsidRPr="00144404">
        <w:rPr>
          <w:rFonts w:ascii="Gadugi" w:hAnsi="Gadugi" w:cs="Arial"/>
          <w:spacing w:val="-4"/>
          <w:szCs w:val="24"/>
          <w:lang w:val="es-419"/>
        </w:rPr>
        <w:t xml:space="preserve">porque, como se anticipó, </w:t>
      </w:r>
      <w:r w:rsidR="00EB45CC" w:rsidRPr="00144404">
        <w:rPr>
          <w:rFonts w:ascii="Gadugi" w:hAnsi="Gadugi" w:cs="Arial"/>
          <w:spacing w:val="-4"/>
          <w:szCs w:val="24"/>
          <w:lang w:val="es-419"/>
        </w:rPr>
        <w:t xml:space="preserve">es </w:t>
      </w:r>
      <w:r w:rsidR="00BD3B94" w:rsidRPr="00144404">
        <w:rPr>
          <w:rFonts w:ascii="Gadugi" w:hAnsi="Gadugi" w:cs="Arial"/>
          <w:spacing w:val="-4"/>
          <w:szCs w:val="24"/>
          <w:lang w:val="es-419"/>
        </w:rPr>
        <w:t xml:space="preserve">Colpensiones, y no el demandante, </w:t>
      </w:r>
      <w:r w:rsidR="00EB45CC" w:rsidRPr="00144404">
        <w:rPr>
          <w:rFonts w:ascii="Gadugi" w:hAnsi="Gadugi" w:cs="Arial"/>
          <w:spacing w:val="-4"/>
          <w:szCs w:val="24"/>
          <w:lang w:val="es-419"/>
        </w:rPr>
        <w:t>la</w:t>
      </w:r>
      <w:r w:rsidR="00BD3B94" w:rsidRPr="00144404">
        <w:rPr>
          <w:rFonts w:ascii="Gadugi" w:hAnsi="Gadugi" w:cs="Arial"/>
          <w:spacing w:val="-4"/>
          <w:szCs w:val="24"/>
          <w:lang w:val="es-419"/>
        </w:rPr>
        <w:t xml:space="preserve"> llamad</w:t>
      </w:r>
      <w:r w:rsidR="00EB45CC" w:rsidRPr="00144404">
        <w:rPr>
          <w:rFonts w:ascii="Gadugi" w:hAnsi="Gadugi" w:cs="Arial"/>
          <w:spacing w:val="-4"/>
          <w:szCs w:val="24"/>
          <w:lang w:val="es-419"/>
        </w:rPr>
        <w:t>a</w:t>
      </w:r>
      <w:r w:rsidR="00BD3B94" w:rsidRPr="00144404">
        <w:rPr>
          <w:rFonts w:ascii="Gadugi" w:hAnsi="Gadugi" w:cs="Arial"/>
          <w:spacing w:val="-4"/>
          <w:szCs w:val="24"/>
          <w:lang w:val="es-419"/>
        </w:rPr>
        <w:t xml:space="preserve"> establecer una comunicación con la EPS, para propiciar los exámenes médicos que se requieren para la revisión de la PCL de su afiliado. De ahí el desenfoque de</w:t>
      </w:r>
      <w:r w:rsidR="00EB45CC" w:rsidRPr="00144404">
        <w:rPr>
          <w:rFonts w:ascii="Gadugi" w:hAnsi="Gadugi" w:cs="Arial"/>
          <w:spacing w:val="-4"/>
          <w:szCs w:val="24"/>
          <w:lang w:val="es-419"/>
        </w:rPr>
        <w:t xml:space="preserve"> </w:t>
      </w:r>
      <w:r w:rsidR="00BD3B94" w:rsidRPr="00144404">
        <w:rPr>
          <w:rFonts w:ascii="Gadugi" w:hAnsi="Gadugi" w:cs="Arial"/>
          <w:spacing w:val="-4"/>
          <w:szCs w:val="24"/>
          <w:lang w:val="es-419"/>
        </w:rPr>
        <w:t>l</w:t>
      </w:r>
      <w:r w:rsidR="00EB45CC" w:rsidRPr="00144404">
        <w:rPr>
          <w:rFonts w:ascii="Gadugi" w:hAnsi="Gadugi" w:cs="Arial"/>
          <w:spacing w:val="-4"/>
          <w:szCs w:val="24"/>
          <w:lang w:val="es-419"/>
        </w:rPr>
        <w:t>os</w:t>
      </w:r>
      <w:r w:rsidR="00BD3B94" w:rsidRPr="00144404">
        <w:rPr>
          <w:rFonts w:ascii="Gadugi" w:hAnsi="Gadugi" w:cs="Arial"/>
          <w:spacing w:val="-4"/>
          <w:szCs w:val="24"/>
          <w:lang w:val="es-419"/>
        </w:rPr>
        <w:t xml:space="preserve"> requerimiento</w:t>
      </w:r>
      <w:r w:rsidR="00EB45CC" w:rsidRPr="00144404">
        <w:rPr>
          <w:rFonts w:ascii="Gadugi" w:hAnsi="Gadugi" w:cs="Arial"/>
          <w:spacing w:val="-4"/>
          <w:szCs w:val="24"/>
          <w:lang w:val="es-419"/>
        </w:rPr>
        <w:t>s</w:t>
      </w:r>
      <w:r w:rsidR="00BD3B94" w:rsidRPr="00144404">
        <w:rPr>
          <w:rFonts w:ascii="Gadugi" w:hAnsi="Gadugi" w:cs="Arial"/>
          <w:spacing w:val="-4"/>
          <w:szCs w:val="24"/>
          <w:lang w:val="es-419"/>
        </w:rPr>
        <w:t xml:space="preserve"> que se le</w:t>
      </w:r>
      <w:r w:rsidR="00EB45CC" w:rsidRPr="00144404">
        <w:rPr>
          <w:rFonts w:ascii="Gadugi" w:hAnsi="Gadugi" w:cs="Arial"/>
          <w:spacing w:val="-4"/>
          <w:szCs w:val="24"/>
          <w:lang w:val="es-419"/>
        </w:rPr>
        <w:t xml:space="preserve"> vienen haciendo</w:t>
      </w:r>
      <w:r w:rsidR="00BD3B94" w:rsidRPr="00144404">
        <w:rPr>
          <w:rFonts w:ascii="Gadugi" w:hAnsi="Gadugi" w:cs="Arial"/>
          <w:spacing w:val="-4"/>
          <w:szCs w:val="24"/>
          <w:lang w:val="es-419"/>
        </w:rPr>
        <w:t xml:space="preserve"> </w:t>
      </w:r>
      <w:r w:rsidR="00EB45CC" w:rsidRPr="00144404">
        <w:rPr>
          <w:rFonts w:ascii="Gadugi" w:hAnsi="Gadugi" w:cs="Arial"/>
          <w:spacing w:val="-4"/>
          <w:szCs w:val="24"/>
          <w:lang w:val="es-419"/>
        </w:rPr>
        <w:t>al demandante</w:t>
      </w:r>
      <w:r w:rsidR="00BD3B94" w:rsidRPr="00144404">
        <w:rPr>
          <w:rFonts w:ascii="Gadugi" w:hAnsi="Gadugi" w:cs="Arial"/>
          <w:spacing w:val="-4"/>
          <w:szCs w:val="24"/>
          <w:lang w:val="es-419"/>
        </w:rPr>
        <w:t>, para que</w:t>
      </w:r>
      <w:r w:rsidR="00EB45CC" w:rsidRPr="00144404">
        <w:rPr>
          <w:rFonts w:ascii="Gadugi" w:hAnsi="Gadugi" w:cs="Arial"/>
          <w:spacing w:val="-4"/>
          <w:szCs w:val="24"/>
          <w:lang w:val="es-419"/>
        </w:rPr>
        <w:t>, por su cuenta,</w:t>
      </w:r>
      <w:r w:rsidR="00BD3B94" w:rsidRPr="00144404">
        <w:rPr>
          <w:rFonts w:ascii="Gadugi" w:hAnsi="Gadugi" w:cs="Arial"/>
          <w:spacing w:val="-4"/>
          <w:szCs w:val="24"/>
          <w:lang w:val="es-419"/>
        </w:rPr>
        <w:t xml:space="preserve"> </w:t>
      </w:r>
      <w:r w:rsidR="00EB45CC" w:rsidRPr="00144404">
        <w:rPr>
          <w:rFonts w:ascii="Gadugi" w:hAnsi="Gadugi" w:cs="Arial"/>
          <w:spacing w:val="-4"/>
          <w:szCs w:val="24"/>
          <w:lang w:val="es-419"/>
        </w:rPr>
        <w:t>arrime</w:t>
      </w:r>
      <w:r w:rsidR="00BD3B94" w:rsidRPr="00144404">
        <w:rPr>
          <w:rFonts w:ascii="Gadugi" w:hAnsi="Gadugi" w:cs="Arial"/>
          <w:spacing w:val="-4"/>
          <w:szCs w:val="24"/>
          <w:lang w:val="es-419"/>
        </w:rPr>
        <w:t xml:space="preserve"> </w:t>
      </w:r>
      <w:r w:rsidR="00EB45CC" w:rsidRPr="00144404">
        <w:rPr>
          <w:rFonts w:ascii="Gadugi" w:hAnsi="Gadugi" w:cs="Arial"/>
          <w:spacing w:val="-4"/>
          <w:szCs w:val="24"/>
          <w:lang w:val="es-419"/>
        </w:rPr>
        <w:t>exámenes médicos</w:t>
      </w:r>
      <w:r w:rsidR="00BD3B94" w:rsidRPr="00144404">
        <w:rPr>
          <w:rFonts w:ascii="Gadugi" w:hAnsi="Gadugi" w:cs="Arial"/>
          <w:spacing w:val="-4"/>
          <w:szCs w:val="24"/>
          <w:lang w:val="es-419"/>
        </w:rPr>
        <w:t xml:space="preserve">, cuando son conocidas las dificultades que tienen los usuarios de la salud para acceder, con prontitud, a valoraciones por medicina especializada. </w:t>
      </w:r>
    </w:p>
    <w:p w14:paraId="676B6A97" w14:textId="77777777" w:rsidR="00D648B7" w:rsidRPr="00144404" w:rsidRDefault="00D648B7" w:rsidP="0062092B">
      <w:pPr>
        <w:pStyle w:val="Textoindependiente21"/>
        <w:spacing w:line="276" w:lineRule="auto"/>
        <w:ind w:firstLine="0"/>
        <w:rPr>
          <w:rFonts w:ascii="Gadugi" w:hAnsi="Gadugi" w:cs="Arial"/>
          <w:spacing w:val="-4"/>
          <w:szCs w:val="24"/>
          <w:lang w:val="es-419"/>
        </w:rPr>
      </w:pPr>
    </w:p>
    <w:p w14:paraId="314091F5" w14:textId="6841DD45" w:rsidR="00C443F1" w:rsidRPr="00144404" w:rsidRDefault="00C443F1" w:rsidP="0062092B">
      <w:pPr>
        <w:pStyle w:val="Textoindependiente21"/>
        <w:spacing w:line="276" w:lineRule="auto"/>
        <w:ind w:firstLine="0"/>
        <w:rPr>
          <w:rFonts w:ascii="Gadugi" w:hAnsi="Gadugi"/>
          <w:spacing w:val="-4"/>
          <w:szCs w:val="24"/>
          <w:bdr w:val="none" w:sz="0" w:space="0" w:color="auto" w:frame="1"/>
          <w:lang w:val="es-CO"/>
        </w:rPr>
      </w:pPr>
      <w:r w:rsidRPr="00144404">
        <w:rPr>
          <w:rFonts w:ascii="Gadugi" w:hAnsi="Gadugi"/>
          <w:spacing w:val="-4"/>
          <w:szCs w:val="24"/>
          <w:bdr w:val="none" w:sz="0" w:space="0" w:color="auto" w:frame="1"/>
          <w:lang w:val="es-CO"/>
        </w:rPr>
        <w:t xml:space="preserve">En consecuencia, sobran adicionales consideraciones para confirmar el fallo de primer grado, como en efecto sucederá. </w:t>
      </w:r>
      <w:r w:rsidR="004C2C15" w:rsidRPr="00144404">
        <w:rPr>
          <w:rFonts w:ascii="Gadugi" w:hAnsi="Gadugi"/>
          <w:spacing w:val="-4"/>
          <w:szCs w:val="24"/>
          <w:bdr w:val="none" w:sz="0" w:space="0" w:color="auto" w:frame="1"/>
          <w:lang w:val="es-CO"/>
        </w:rPr>
        <w:t xml:space="preserve">Y no hay lugar a declarar la carencia actual de objeto por hecho superado con ocasión de la comunicación expedida por Colpensiones el 27 de septiembre porque, por un lado, es inexistente una constancia de la cual colegir que, en efecto, al accionante se le desembolsó su subvención, y por otra, porque sigue sin concretarse la revisión de su PCL. </w:t>
      </w:r>
    </w:p>
    <w:p w14:paraId="5C62EB44" w14:textId="4E1AB6E7" w:rsidR="00BF659B" w:rsidRPr="00144404" w:rsidRDefault="00BF659B" w:rsidP="0062092B">
      <w:pPr>
        <w:autoSpaceDE w:val="0"/>
        <w:autoSpaceDN w:val="0"/>
        <w:adjustRightInd w:val="0"/>
        <w:spacing w:after="0" w:line="276" w:lineRule="auto"/>
        <w:jc w:val="both"/>
        <w:rPr>
          <w:rFonts w:ascii="Gadugi" w:eastAsia="Times New Roman" w:hAnsi="Gadugi" w:cs="Times New Roman"/>
          <w:spacing w:val="-4"/>
          <w:sz w:val="24"/>
          <w:szCs w:val="24"/>
          <w:bdr w:val="none" w:sz="0" w:space="0" w:color="auto" w:frame="1"/>
          <w:lang w:val="es-CO" w:eastAsia="es-ES"/>
        </w:rPr>
      </w:pPr>
    </w:p>
    <w:p w14:paraId="0E2C8F00" w14:textId="5EA715A6" w:rsidR="00756044" w:rsidRPr="00144404" w:rsidRDefault="007F5F4C" w:rsidP="0062092B">
      <w:pPr>
        <w:autoSpaceDE w:val="0"/>
        <w:autoSpaceDN w:val="0"/>
        <w:adjustRightInd w:val="0"/>
        <w:spacing w:after="0" w:line="276" w:lineRule="auto"/>
        <w:jc w:val="both"/>
        <w:rPr>
          <w:rFonts w:ascii="Gadugi" w:eastAsia="Times New Roman" w:hAnsi="Gadugi" w:cs="Times New Roman"/>
          <w:spacing w:val="-4"/>
          <w:sz w:val="24"/>
          <w:szCs w:val="24"/>
          <w:bdr w:val="none" w:sz="0" w:space="0" w:color="auto" w:frame="1"/>
          <w:lang w:val="es-CO" w:eastAsia="es-ES"/>
        </w:rPr>
      </w:pPr>
      <w:r w:rsidRPr="00144404">
        <w:rPr>
          <w:rFonts w:ascii="Gadugi" w:eastAsia="Times New Roman" w:hAnsi="Gadugi" w:cs="Times New Roman"/>
          <w:b/>
          <w:bCs/>
          <w:spacing w:val="-4"/>
          <w:sz w:val="24"/>
          <w:szCs w:val="24"/>
          <w:lang w:val="es-ES" w:eastAsia="es-ES"/>
        </w:rPr>
        <w:t xml:space="preserve">3. </w:t>
      </w:r>
      <w:r w:rsidR="00756044" w:rsidRPr="00144404">
        <w:rPr>
          <w:rFonts w:ascii="Gadugi" w:eastAsia="Times New Roman" w:hAnsi="Gadugi" w:cs="Times New Roman"/>
          <w:b/>
          <w:bCs/>
          <w:spacing w:val="-4"/>
          <w:sz w:val="24"/>
          <w:szCs w:val="24"/>
          <w:lang w:val="es-ES" w:eastAsia="es-ES"/>
        </w:rPr>
        <w:t>DECISIÓN</w:t>
      </w:r>
    </w:p>
    <w:p w14:paraId="093963DB" w14:textId="6CA64CA2" w:rsidR="00756044" w:rsidRPr="00144404" w:rsidRDefault="00756044"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001DD480" w14:textId="59602D50" w:rsidR="00877521" w:rsidRPr="00144404" w:rsidRDefault="00F43CD2"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144404">
        <w:rPr>
          <w:rFonts w:ascii="Gadugi" w:hAnsi="Gadugi" w:cs="Century Gothic"/>
          <w:spacing w:val="-4"/>
          <w:sz w:val="24"/>
          <w:szCs w:val="24"/>
        </w:rPr>
        <w:t xml:space="preserve">Por lo expuesto, </w:t>
      </w:r>
      <w:r w:rsidRPr="00144404">
        <w:rPr>
          <w:rFonts w:ascii="Gadugi" w:hAnsi="Gadugi" w:cs="Century Gothic"/>
          <w:b/>
          <w:spacing w:val="-4"/>
          <w:sz w:val="24"/>
          <w:szCs w:val="24"/>
        </w:rPr>
        <w:t xml:space="preserve">la Sala </w:t>
      </w:r>
      <w:r w:rsidR="009315E7" w:rsidRPr="00144404">
        <w:rPr>
          <w:rFonts w:ascii="Gadugi" w:hAnsi="Gadugi" w:cs="Century Gothic"/>
          <w:b/>
          <w:spacing w:val="-4"/>
          <w:sz w:val="24"/>
          <w:szCs w:val="24"/>
        </w:rPr>
        <w:t xml:space="preserve">de Decisión Civil – Familia </w:t>
      </w:r>
      <w:r w:rsidRPr="00144404">
        <w:rPr>
          <w:rFonts w:ascii="Gadugi" w:hAnsi="Gadugi" w:cs="Century Gothic"/>
          <w:b/>
          <w:spacing w:val="-4"/>
          <w:sz w:val="24"/>
          <w:szCs w:val="24"/>
        </w:rPr>
        <w:t>del Tribunal Superior de Pereira, Risaralda</w:t>
      </w:r>
      <w:r w:rsidR="00756044" w:rsidRPr="00144404">
        <w:rPr>
          <w:rFonts w:ascii="Gadugi" w:eastAsia="Times New Roman" w:hAnsi="Gadugi" w:cs="Times New Roman"/>
          <w:spacing w:val="-4"/>
          <w:sz w:val="24"/>
          <w:szCs w:val="24"/>
          <w:lang w:val="es-ES" w:eastAsia="es-ES"/>
        </w:rPr>
        <w:t>, administrando justicia en nombre de la República y por autoridad de la ley, </w:t>
      </w:r>
      <w:r w:rsidR="00C443F1" w:rsidRPr="00144404">
        <w:rPr>
          <w:rFonts w:ascii="Gadugi" w:eastAsia="Times New Roman" w:hAnsi="Gadugi" w:cs="Times New Roman"/>
          <w:b/>
          <w:spacing w:val="-4"/>
          <w:sz w:val="24"/>
          <w:szCs w:val="24"/>
          <w:lang w:val="es-ES" w:eastAsia="es-ES"/>
        </w:rPr>
        <w:t>CONFIRMA</w:t>
      </w:r>
      <w:r w:rsidR="00146068" w:rsidRPr="00144404">
        <w:rPr>
          <w:rFonts w:ascii="Gadugi" w:eastAsia="Times New Roman" w:hAnsi="Gadugi" w:cs="Times New Roman"/>
          <w:b/>
          <w:spacing w:val="-4"/>
          <w:sz w:val="24"/>
          <w:szCs w:val="24"/>
          <w:lang w:val="es-ES" w:eastAsia="es-ES"/>
        </w:rPr>
        <w:t xml:space="preserve"> </w:t>
      </w:r>
      <w:r w:rsidR="00756044" w:rsidRPr="00144404">
        <w:rPr>
          <w:rFonts w:ascii="Gadugi" w:eastAsia="Times New Roman" w:hAnsi="Gadugi" w:cs="Times New Roman"/>
          <w:spacing w:val="-4"/>
          <w:sz w:val="24"/>
          <w:szCs w:val="24"/>
          <w:lang w:val="es-ES" w:eastAsia="es-ES"/>
        </w:rPr>
        <w:t xml:space="preserve">la sentencia </w:t>
      </w:r>
      <w:r w:rsidR="009315E7" w:rsidRPr="00144404">
        <w:rPr>
          <w:rFonts w:ascii="Gadugi" w:eastAsia="Times New Roman" w:hAnsi="Gadugi" w:cs="Times New Roman"/>
          <w:spacing w:val="-4"/>
          <w:sz w:val="24"/>
          <w:szCs w:val="24"/>
          <w:lang w:val="es-ES" w:eastAsia="es-ES"/>
        </w:rPr>
        <w:t xml:space="preserve">impugnada. </w:t>
      </w:r>
    </w:p>
    <w:p w14:paraId="73B8C852" w14:textId="71E791A2" w:rsidR="00C443F1" w:rsidRPr="00144404" w:rsidRDefault="00C443F1" w:rsidP="0062092B">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4C883A1B" w14:textId="3A3739FF" w:rsidR="00756044" w:rsidRPr="00144404" w:rsidRDefault="00756044" w:rsidP="0062092B">
      <w:pPr>
        <w:overflowPunct w:val="0"/>
        <w:autoSpaceDE w:val="0"/>
        <w:autoSpaceDN w:val="0"/>
        <w:adjustRightInd w:val="0"/>
        <w:spacing w:after="0" w:line="276" w:lineRule="auto"/>
        <w:jc w:val="both"/>
        <w:textAlignment w:val="baseline"/>
        <w:rPr>
          <w:rFonts w:ascii="Gadugi" w:eastAsia="Times New Roman" w:hAnsi="Gadugi" w:cs="Times New Roman"/>
          <w:bCs/>
          <w:spacing w:val="-4"/>
          <w:sz w:val="24"/>
          <w:szCs w:val="24"/>
          <w:lang w:val="es-419" w:eastAsia="es-ES"/>
        </w:rPr>
      </w:pPr>
      <w:r w:rsidRPr="00144404">
        <w:rPr>
          <w:rFonts w:ascii="Gadugi" w:eastAsia="Times New Roman" w:hAnsi="Gadugi" w:cs="Times New Roman"/>
          <w:spacing w:val="-4"/>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144404">
        <w:rPr>
          <w:rFonts w:ascii="Gadugi" w:eastAsia="Times New Roman" w:hAnsi="Gadugi" w:cs="Times New Roman"/>
          <w:bCs/>
          <w:spacing w:val="-4"/>
          <w:sz w:val="24"/>
          <w:szCs w:val="24"/>
          <w:lang w:val="es-419" w:eastAsia="es-ES"/>
        </w:rPr>
        <w:t>A su regreso, archívese.</w:t>
      </w:r>
    </w:p>
    <w:p w14:paraId="076F3974" w14:textId="77777777" w:rsidR="0062092B" w:rsidRPr="0062092B" w:rsidRDefault="0062092B" w:rsidP="0062092B">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50FBC8BE" w14:textId="77777777" w:rsidR="0062092B" w:rsidRPr="0062092B" w:rsidRDefault="0062092B" w:rsidP="0062092B">
      <w:pPr>
        <w:tabs>
          <w:tab w:val="left" w:pos="1701"/>
          <w:tab w:val="left" w:pos="2127"/>
          <w:tab w:val="left" w:pos="2977"/>
        </w:tabs>
        <w:spacing w:after="0" w:line="276" w:lineRule="auto"/>
        <w:jc w:val="both"/>
        <w:rPr>
          <w:rFonts w:ascii="Gadugi" w:eastAsia="Malgun Gothic" w:hAnsi="Gadugi" w:cs="Estrangelo Edessa"/>
          <w:sz w:val="24"/>
          <w:szCs w:val="24"/>
          <w:lang w:val="es-CO"/>
        </w:rPr>
      </w:pPr>
      <w:r w:rsidRPr="0062092B">
        <w:rPr>
          <w:rFonts w:ascii="Gadugi" w:eastAsia="Malgun Gothic" w:hAnsi="Gadugi" w:cs="Estrangelo Edessa"/>
          <w:sz w:val="24"/>
          <w:szCs w:val="24"/>
          <w:lang w:val="es-CO"/>
        </w:rPr>
        <w:tab/>
        <w:t xml:space="preserve">Los Magistrados, </w:t>
      </w:r>
    </w:p>
    <w:p w14:paraId="6651044D" w14:textId="77777777" w:rsidR="0062092B" w:rsidRPr="0062092B" w:rsidRDefault="0062092B" w:rsidP="0062092B">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4D1EF1A9" w14:textId="77777777" w:rsidR="0062092B" w:rsidRPr="0062092B" w:rsidRDefault="0062092B" w:rsidP="0062092B">
      <w:pPr>
        <w:tabs>
          <w:tab w:val="left" w:pos="1701"/>
          <w:tab w:val="left" w:pos="2127"/>
          <w:tab w:val="left" w:pos="2977"/>
        </w:tabs>
        <w:spacing w:after="0" w:line="276" w:lineRule="auto"/>
        <w:jc w:val="both"/>
        <w:rPr>
          <w:rFonts w:ascii="Gadugi" w:eastAsia="Malgun Gothic" w:hAnsi="Gadugi" w:cs="Estrangelo Edessa"/>
          <w:b/>
          <w:sz w:val="24"/>
          <w:szCs w:val="24"/>
          <w:lang w:val="es-CO"/>
        </w:rPr>
      </w:pPr>
    </w:p>
    <w:p w14:paraId="3729CB9E" w14:textId="77777777" w:rsidR="0062092B" w:rsidRPr="0062092B" w:rsidRDefault="0062092B" w:rsidP="0062092B">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r w:rsidRPr="0062092B">
        <w:rPr>
          <w:rFonts w:ascii="Gadugi" w:eastAsia="Malgun Gothic" w:hAnsi="Gadugi" w:cs="Estrangelo Edessa"/>
          <w:b/>
          <w:sz w:val="24"/>
          <w:szCs w:val="24"/>
          <w:lang w:val="es-CO"/>
        </w:rPr>
        <w:t>JAIME ALBERTO SARAZA NARANJO</w:t>
      </w:r>
    </w:p>
    <w:p w14:paraId="59754377" w14:textId="77777777" w:rsidR="0062092B" w:rsidRPr="0062092B" w:rsidRDefault="0062092B" w:rsidP="0062092B">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02AA089F" w14:textId="77777777" w:rsidR="0062092B" w:rsidRPr="0062092B" w:rsidRDefault="0062092B" w:rsidP="0062092B">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50196DD0" w14:textId="77777777" w:rsidR="0062092B" w:rsidRPr="0062092B" w:rsidRDefault="0062092B" w:rsidP="0062092B">
      <w:pPr>
        <w:tabs>
          <w:tab w:val="left" w:pos="1701"/>
          <w:tab w:val="left" w:pos="2127"/>
          <w:tab w:val="left" w:pos="2977"/>
        </w:tabs>
        <w:spacing w:after="0" w:line="276" w:lineRule="auto"/>
        <w:ind w:firstLine="1701"/>
        <w:jc w:val="both"/>
        <w:rPr>
          <w:rFonts w:ascii="Gadugi" w:eastAsia="Malgun Gothic" w:hAnsi="Gadugi" w:cs="Estrangelo Edessa"/>
          <w:b/>
          <w:bCs/>
          <w:sz w:val="24"/>
          <w:szCs w:val="24"/>
          <w:lang w:val="es-CO"/>
        </w:rPr>
      </w:pPr>
      <w:r w:rsidRPr="0062092B">
        <w:rPr>
          <w:rFonts w:ascii="Gadugi" w:eastAsia="Malgun Gothic" w:hAnsi="Gadugi" w:cs="Estrangelo Edessa"/>
          <w:b/>
          <w:bCs/>
          <w:sz w:val="24"/>
          <w:szCs w:val="24"/>
          <w:lang w:val="es-CO"/>
        </w:rPr>
        <w:t>CARLOS MAURICIO GARCÍA BARAJAS</w:t>
      </w:r>
    </w:p>
    <w:p w14:paraId="7A96AB4A" w14:textId="77777777" w:rsidR="0062092B" w:rsidRPr="0062092B" w:rsidRDefault="0062092B" w:rsidP="0062092B">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013627DA" w14:textId="77777777" w:rsidR="0062092B" w:rsidRPr="0062092B" w:rsidRDefault="0062092B" w:rsidP="0062092B">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4460AFC5" w14:textId="3F7D8ACB" w:rsidR="00BF659B" w:rsidRPr="0062092B" w:rsidRDefault="0062092B" w:rsidP="0062092B">
      <w:pPr>
        <w:tabs>
          <w:tab w:val="left" w:pos="1701"/>
          <w:tab w:val="left" w:pos="2127"/>
          <w:tab w:val="left" w:pos="2977"/>
        </w:tabs>
        <w:spacing w:after="0" w:line="276" w:lineRule="auto"/>
        <w:ind w:firstLine="1701"/>
        <w:jc w:val="both"/>
        <w:rPr>
          <w:rFonts w:ascii="Gadugi" w:eastAsia="Malgun Gothic" w:hAnsi="Gadugi" w:cs="Estrangelo Edessa"/>
          <w:sz w:val="24"/>
          <w:szCs w:val="24"/>
          <w:lang w:val="es-CO"/>
        </w:rPr>
      </w:pPr>
      <w:r w:rsidRPr="0062092B">
        <w:rPr>
          <w:rFonts w:ascii="Gadugi" w:eastAsia="Malgun Gothic" w:hAnsi="Gadugi" w:cs="Estrangelo Edessa"/>
          <w:b/>
          <w:bCs/>
          <w:sz w:val="24"/>
          <w:szCs w:val="24"/>
          <w:lang w:val="es-CO"/>
        </w:rPr>
        <w:t>DUBERNEY GRISALES HERRERA</w:t>
      </w:r>
    </w:p>
    <w:sectPr w:rsidR="00BF659B" w:rsidRPr="0062092B" w:rsidSect="00144404">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582673" w16cex:dateUtc="2022-11-11T14:59:11.626Z"/>
  <w16cex:commentExtensible w16cex:durableId="673AAFFD" w16cex:dateUtc="2022-11-11T15:05:44.972Z"/>
  <w16cex:commentExtensible w16cex:durableId="05EF02D0" w16cex:dateUtc="2022-11-11T18:46:17.0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6D66F" w14:textId="77777777" w:rsidR="00DB6CD1" w:rsidRDefault="00DB6CD1" w:rsidP="00756044">
      <w:pPr>
        <w:spacing w:after="0" w:line="240" w:lineRule="auto"/>
      </w:pPr>
      <w:r>
        <w:separator/>
      </w:r>
    </w:p>
  </w:endnote>
  <w:endnote w:type="continuationSeparator" w:id="0">
    <w:p w14:paraId="58A7E12A" w14:textId="77777777" w:rsidR="00DB6CD1" w:rsidRDefault="00DB6CD1"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rPr>
        <w:rFonts w:ascii="Arial" w:hAnsi="Arial" w:cs="Arial"/>
        <w:sz w:val="18"/>
      </w:rPr>
    </w:sdtEndPr>
    <w:sdtContent>
      <w:p w14:paraId="579BC6A0" w14:textId="77777777" w:rsidR="00467445" w:rsidRPr="009406F9" w:rsidRDefault="00467445">
        <w:pPr>
          <w:pStyle w:val="Piedepgina"/>
          <w:jc w:val="right"/>
          <w:rPr>
            <w:rFonts w:ascii="Arial" w:hAnsi="Arial" w:cs="Arial"/>
            <w:sz w:val="18"/>
          </w:rPr>
        </w:pPr>
        <w:r w:rsidRPr="009406F9">
          <w:rPr>
            <w:rFonts w:ascii="Arial" w:hAnsi="Arial" w:cs="Arial"/>
            <w:sz w:val="18"/>
          </w:rPr>
          <w:fldChar w:fldCharType="begin"/>
        </w:r>
        <w:r w:rsidRPr="009406F9">
          <w:rPr>
            <w:rFonts w:ascii="Arial" w:hAnsi="Arial" w:cs="Arial"/>
            <w:sz w:val="18"/>
          </w:rPr>
          <w:instrText>PAGE   \* MERGEFORMAT</w:instrText>
        </w:r>
        <w:r w:rsidRPr="009406F9">
          <w:rPr>
            <w:rFonts w:ascii="Arial" w:hAnsi="Arial" w:cs="Arial"/>
            <w:sz w:val="18"/>
          </w:rPr>
          <w:fldChar w:fldCharType="separate"/>
        </w:r>
        <w:r w:rsidR="00422311" w:rsidRPr="009406F9">
          <w:rPr>
            <w:rFonts w:ascii="Arial" w:hAnsi="Arial" w:cs="Arial"/>
            <w:noProof/>
            <w:sz w:val="18"/>
            <w:lang w:val="es-ES"/>
          </w:rPr>
          <w:t>9</w:t>
        </w:r>
        <w:r w:rsidRPr="009406F9">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9F13" w14:textId="77777777" w:rsidR="00DB6CD1" w:rsidRDefault="00DB6CD1" w:rsidP="00756044">
      <w:pPr>
        <w:spacing w:after="0" w:line="240" w:lineRule="auto"/>
      </w:pPr>
      <w:r>
        <w:separator/>
      </w:r>
    </w:p>
  </w:footnote>
  <w:footnote w:type="continuationSeparator" w:id="0">
    <w:p w14:paraId="6C12641F" w14:textId="77777777" w:rsidR="00DB6CD1" w:rsidRDefault="00DB6CD1" w:rsidP="00756044">
      <w:pPr>
        <w:spacing w:after="0" w:line="240" w:lineRule="auto"/>
      </w:pPr>
      <w:r>
        <w:continuationSeparator/>
      </w:r>
    </w:p>
  </w:footnote>
  <w:footnote w:id="1">
    <w:p w14:paraId="6BF24EB0" w14:textId="708D60CE" w:rsidR="00C443F1" w:rsidRPr="0062092B" w:rsidRDefault="00C443F1"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w:t>
      </w:r>
      <w:r w:rsidRPr="0062092B">
        <w:rPr>
          <w:rFonts w:ascii="Arial" w:hAnsi="Arial" w:cs="Arial"/>
          <w:sz w:val="18"/>
          <w:lang w:val="es-CO"/>
        </w:rPr>
        <w:t>Documento 002., C. 1.</w:t>
      </w:r>
    </w:p>
  </w:footnote>
  <w:footnote w:id="2">
    <w:p w14:paraId="46A864B4" w14:textId="350257EA" w:rsidR="00323F66" w:rsidRPr="0062092B" w:rsidRDefault="00323F66"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w:t>
      </w:r>
      <w:r w:rsidRPr="0062092B">
        <w:rPr>
          <w:rFonts w:ascii="Arial" w:hAnsi="Arial" w:cs="Arial"/>
          <w:sz w:val="18"/>
          <w:lang w:val="es-CO"/>
        </w:rPr>
        <w:t>Documento 003., C. 1.</w:t>
      </w:r>
    </w:p>
  </w:footnote>
  <w:footnote w:id="3">
    <w:p w14:paraId="531925D1" w14:textId="6120BB52" w:rsidR="00323F66" w:rsidRPr="0062092B" w:rsidRDefault="00323F66"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w:t>
      </w:r>
      <w:r w:rsidRPr="0062092B">
        <w:rPr>
          <w:rFonts w:ascii="Arial" w:hAnsi="Arial" w:cs="Arial"/>
          <w:sz w:val="18"/>
          <w:lang w:val="es-CO"/>
        </w:rPr>
        <w:t>Documento 005., C. 1.</w:t>
      </w:r>
    </w:p>
  </w:footnote>
  <w:footnote w:id="4">
    <w:p w14:paraId="663295AD" w14:textId="1B7FA175" w:rsidR="00323F66" w:rsidRPr="0062092B" w:rsidRDefault="00323F66"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w:t>
      </w:r>
      <w:r w:rsidRPr="0062092B">
        <w:rPr>
          <w:rFonts w:ascii="Arial" w:hAnsi="Arial" w:cs="Arial"/>
          <w:sz w:val="18"/>
          <w:lang w:val="es-CO"/>
        </w:rPr>
        <w:t>Documento 006., C. 1.</w:t>
      </w:r>
    </w:p>
  </w:footnote>
  <w:footnote w:id="5">
    <w:p w14:paraId="660A386D" w14:textId="4E2A8035" w:rsidR="00323F66" w:rsidRPr="0062092B" w:rsidRDefault="00323F66"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w:t>
      </w:r>
      <w:r w:rsidRPr="0062092B">
        <w:rPr>
          <w:rFonts w:ascii="Arial" w:hAnsi="Arial" w:cs="Arial"/>
          <w:sz w:val="18"/>
          <w:lang w:val="es-CO"/>
        </w:rPr>
        <w:t>Documento 008., C. 1.</w:t>
      </w:r>
    </w:p>
  </w:footnote>
  <w:footnote w:id="6">
    <w:p w14:paraId="481D23B3" w14:textId="07E3E464" w:rsidR="00323F66" w:rsidRPr="0062092B" w:rsidRDefault="00323F66"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w:t>
      </w:r>
      <w:r w:rsidRPr="0062092B">
        <w:rPr>
          <w:rFonts w:ascii="Arial" w:hAnsi="Arial" w:cs="Arial"/>
          <w:sz w:val="18"/>
          <w:lang w:val="es-CO"/>
        </w:rPr>
        <w:t>Documento 009., C. 1.</w:t>
      </w:r>
    </w:p>
  </w:footnote>
  <w:footnote w:id="7">
    <w:p w14:paraId="1D9E85B3" w14:textId="2E7BB302" w:rsidR="00323F66" w:rsidRPr="0062092B" w:rsidRDefault="00323F66"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Pág. 29, </w:t>
      </w:r>
      <w:r w:rsidRPr="0062092B">
        <w:rPr>
          <w:rFonts w:ascii="Arial" w:hAnsi="Arial" w:cs="Arial"/>
          <w:sz w:val="18"/>
          <w:lang w:val="es-CO"/>
        </w:rPr>
        <w:t>Documento 003., C. 1.</w:t>
      </w:r>
    </w:p>
  </w:footnote>
  <w:footnote w:id="8">
    <w:p w14:paraId="52116F83" w14:textId="06AACCE3" w:rsidR="004C2C15" w:rsidRPr="0062092B" w:rsidRDefault="004C2C15"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Pág. 13, </w:t>
      </w:r>
      <w:r w:rsidRPr="0062092B">
        <w:rPr>
          <w:rFonts w:ascii="Arial" w:hAnsi="Arial" w:cs="Arial"/>
          <w:sz w:val="18"/>
          <w:lang w:val="es-CO"/>
        </w:rPr>
        <w:t>Documento 005., C. 1.</w:t>
      </w:r>
    </w:p>
  </w:footnote>
  <w:footnote w:id="9">
    <w:p w14:paraId="759A82D5" w14:textId="77E62B4C" w:rsidR="00B07E8B" w:rsidRPr="0062092B" w:rsidRDefault="00B07E8B"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w:t>
      </w:r>
      <w:r w:rsidRPr="0062092B">
        <w:rPr>
          <w:rFonts w:ascii="Arial" w:hAnsi="Arial" w:cs="Arial"/>
          <w:sz w:val="18"/>
          <w:lang w:val="es-CO"/>
        </w:rPr>
        <w:t xml:space="preserve">Documento </w:t>
      </w:r>
      <w:r w:rsidR="00323F66" w:rsidRPr="0062092B">
        <w:rPr>
          <w:rFonts w:ascii="Arial" w:hAnsi="Arial" w:cs="Arial"/>
          <w:sz w:val="18"/>
          <w:lang w:val="es-CO"/>
        </w:rPr>
        <w:t>0</w:t>
      </w:r>
      <w:r w:rsidRPr="0062092B">
        <w:rPr>
          <w:rFonts w:ascii="Arial" w:hAnsi="Arial" w:cs="Arial"/>
          <w:sz w:val="18"/>
          <w:lang w:val="es-CO"/>
        </w:rPr>
        <w:t>0</w:t>
      </w:r>
      <w:r w:rsidR="00323F66" w:rsidRPr="0062092B">
        <w:rPr>
          <w:rFonts w:ascii="Arial" w:hAnsi="Arial" w:cs="Arial"/>
          <w:sz w:val="18"/>
          <w:lang w:val="es-CO"/>
        </w:rPr>
        <w:t>1</w:t>
      </w:r>
      <w:r w:rsidRPr="0062092B">
        <w:rPr>
          <w:rFonts w:ascii="Arial" w:hAnsi="Arial" w:cs="Arial"/>
          <w:sz w:val="18"/>
          <w:lang w:val="es-CO"/>
        </w:rPr>
        <w:t>., C. 1.</w:t>
      </w:r>
    </w:p>
  </w:footnote>
  <w:footnote w:id="10">
    <w:p w14:paraId="552F3FC2" w14:textId="77777777" w:rsidR="001A279D" w:rsidRPr="0062092B" w:rsidRDefault="001A279D"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TSP.ST2-0110-2021</w:t>
      </w:r>
    </w:p>
  </w:footnote>
  <w:footnote w:id="11">
    <w:p w14:paraId="4E07399C" w14:textId="3F31D3F2" w:rsidR="001170B4" w:rsidRPr="0062092B" w:rsidRDefault="001170B4"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Sentencia T-501/19.</w:t>
      </w:r>
    </w:p>
  </w:footnote>
  <w:footnote w:id="12">
    <w:p w14:paraId="1A600FCA" w14:textId="4E56E88E" w:rsidR="006E7FCC" w:rsidRPr="0062092B" w:rsidRDefault="006E7FCC"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Numeral 4 de la Recomendación No. 131 de la OIT, sobre las prestaciones de invalidez, vejez y sobrevivientes, adoptada el 29 de junio de 1967.</w:t>
      </w:r>
    </w:p>
  </w:footnote>
  <w:footnote w:id="13">
    <w:p w14:paraId="2CC776C6" w14:textId="5AC37389" w:rsidR="006E7FCC" w:rsidRPr="0062092B" w:rsidRDefault="006E7FCC"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Sentencia T-313 de 1995. En el mismo sentido, sobre el carácter modificable de la pensión de invalidez, véanse las sentencias T-473 de 2002, T-445 de 2005, T-050 de 2007.</w:t>
      </w:r>
    </w:p>
  </w:footnote>
  <w:footnote w:id="14">
    <w:p w14:paraId="6CB72F9A" w14:textId="7350BF27" w:rsidR="006E7FCC" w:rsidRPr="0062092B" w:rsidRDefault="006E7FCC"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Sentencia T-290 de 2005</w:t>
      </w:r>
    </w:p>
  </w:footnote>
  <w:footnote w:id="15">
    <w:p w14:paraId="64861DCE" w14:textId="51F196D7" w:rsidR="006E7FCC" w:rsidRPr="0062092B" w:rsidRDefault="006E7FCC"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Sentencia T-575 de 2017</w:t>
      </w:r>
    </w:p>
  </w:footnote>
  <w:footnote w:id="16">
    <w:p w14:paraId="3E391B51" w14:textId="5C4405F6" w:rsidR="006E7FCC" w:rsidRPr="0062092B" w:rsidRDefault="006E7FCC"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Sentencia T-371 de 2018. En similar sentido, véase la sentencia T-071 de 2019.</w:t>
      </w:r>
    </w:p>
  </w:footnote>
  <w:footnote w:id="17">
    <w:p w14:paraId="7E567BE4" w14:textId="77777777" w:rsidR="001C0F55" w:rsidRPr="0062092B" w:rsidRDefault="001C0F55"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Para el caso puede</w:t>
      </w:r>
      <w:r w:rsidRPr="0062092B">
        <w:rPr>
          <w:rFonts w:ascii="Arial" w:hAnsi="Arial" w:cs="Arial"/>
          <w:sz w:val="18"/>
          <w:lang w:val="es-419"/>
        </w:rPr>
        <w:t>n</w:t>
      </w:r>
      <w:r w:rsidRPr="0062092B">
        <w:rPr>
          <w:rFonts w:ascii="Arial" w:hAnsi="Arial" w:cs="Arial"/>
          <w:sz w:val="18"/>
        </w:rPr>
        <w:t xml:space="preserve"> leerse por ejemplo la</w:t>
      </w:r>
      <w:r w:rsidRPr="0062092B">
        <w:rPr>
          <w:rFonts w:ascii="Arial" w:hAnsi="Arial" w:cs="Arial"/>
          <w:sz w:val="18"/>
          <w:lang w:val="es-419"/>
        </w:rPr>
        <w:t>s</w:t>
      </w:r>
      <w:r w:rsidRPr="0062092B">
        <w:rPr>
          <w:rFonts w:ascii="Arial" w:hAnsi="Arial" w:cs="Arial"/>
          <w:sz w:val="18"/>
        </w:rPr>
        <w:t xml:space="preserve"> sentencia</w:t>
      </w:r>
      <w:r w:rsidRPr="0062092B">
        <w:rPr>
          <w:rFonts w:ascii="Arial" w:hAnsi="Arial" w:cs="Arial"/>
          <w:sz w:val="18"/>
          <w:lang w:val="es-419"/>
        </w:rPr>
        <w:t>s</w:t>
      </w:r>
      <w:r w:rsidRPr="0062092B">
        <w:rPr>
          <w:rFonts w:ascii="Arial" w:hAnsi="Arial" w:cs="Arial"/>
          <w:sz w:val="18"/>
        </w:rPr>
        <w:t xml:space="preserve"> T-854 de 2010 y T-427 de 2018</w:t>
      </w:r>
    </w:p>
  </w:footnote>
  <w:footnote w:id="18">
    <w:p w14:paraId="35877609" w14:textId="6925BEE1" w:rsidR="00323F66" w:rsidRPr="0062092B" w:rsidRDefault="00323F66"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w:t>
      </w:r>
      <w:r w:rsidRPr="0062092B">
        <w:rPr>
          <w:rFonts w:ascii="Arial" w:hAnsi="Arial" w:cs="Arial"/>
          <w:sz w:val="18"/>
          <w:lang w:val="es-CO"/>
        </w:rPr>
        <w:t>Págs. 19 a 23, Documento 005., C. 1.</w:t>
      </w:r>
    </w:p>
  </w:footnote>
  <w:footnote w:id="19">
    <w:p w14:paraId="163ECF1E" w14:textId="2C0E8FB0" w:rsidR="00323F66" w:rsidRPr="0062092B" w:rsidRDefault="00323F66"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Págs. 23 a 26, </w:t>
      </w:r>
      <w:r w:rsidRPr="0062092B">
        <w:rPr>
          <w:rFonts w:ascii="Arial" w:hAnsi="Arial" w:cs="Arial"/>
          <w:sz w:val="18"/>
          <w:lang w:val="es-CO"/>
        </w:rPr>
        <w:t>Documento 005., C. 1.</w:t>
      </w:r>
    </w:p>
  </w:footnote>
  <w:footnote w:id="20">
    <w:p w14:paraId="500780D0" w14:textId="7CB4CB51" w:rsidR="00323F66" w:rsidRPr="0062092B" w:rsidRDefault="00323F66"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Págs. 17 y 18, </w:t>
      </w:r>
      <w:r w:rsidRPr="0062092B">
        <w:rPr>
          <w:rFonts w:ascii="Arial" w:hAnsi="Arial" w:cs="Arial"/>
          <w:sz w:val="18"/>
          <w:lang w:val="es-CO"/>
        </w:rPr>
        <w:t>Documento 005., C. 1.</w:t>
      </w:r>
    </w:p>
  </w:footnote>
  <w:footnote w:id="21">
    <w:p w14:paraId="084800DC" w14:textId="24831B46" w:rsidR="00323F66" w:rsidRPr="0062092B" w:rsidRDefault="00323F66"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w:t>
      </w:r>
      <w:r w:rsidR="004C2C15" w:rsidRPr="0062092B">
        <w:rPr>
          <w:rFonts w:ascii="Arial" w:hAnsi="Arial" w:cs="Arial"/>
          <w:sz w:val="18"/>
        </w:rPr>
        <w:t xml:space="preserve">Pág. 13, </w:t>
      </w:r>
      <w:r w:rsidR="004C2C15" w:rsidRPr="0062092B">
        <w:rPr>
          <w:rFonts w:ascii="Arial" w:hAnsi="Arial" w:cs="Arial"/>
          <w:sz w:val="18"/>
          <w:lang w:val="es-CO"/>
        </w:rPr>
        <w:t>Documento 005., C. 1.</w:t>
      </w:r>
    </w:p>
  </w:footnote>
  <w:footnote w:id="22">
    <w:p w14:paraId="02F686C7" w14:textId="784BCECA" w:rsidR="004C2C15" w:rsidRPr="0062092B" w:rsidRDefault="004C2C15"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Pág. 15, </w:t>
      </w:r>
      <w:r w:rsidRPr="0062092B">
        <w:rPr>
          <w:rFonts w:ascii="Arial" w:hAnsi="Arial" w:cs="Arial"/>
          <w:sz w:val="18"/>
          <w:lang w:val="es-CO"/>
        </w:rPr>
        <w:t>Documento 005., C. 1.</w:t>
      </w:r>
    </w:p>
  </w:footnote>
  <w:footnote w:id="23">
    <w:p w14:paraId="0452089F" w14:textId="7AC29DA4" w:rsidR="004C2C15" w:rsidRPr="0062092B" w:rsidRDefault="004C2C15"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Pág. 27, </w:t>
      </w:r>
      <w:r w:rsidRPr="0062092B">
        <w:rPr>
          <w:rFonts w:ascii="Arial" w:hAnsi="Arial" w:cs="Arial"/>
          <w:sz w:val="18"/>
          <w:lang w:val="es-CO"/>
        </w:rPr>
        <w:t>Documento 005., C. 1.</w:t>
      </w:r>
    </w:p>
  </w:footnote>
  <w:footnote w:id="24">
    <w:p w14:paraId="40E3449C" w14:textId="19A66100" w:rsidR="004C2C15" w:rsidRPr="0062092B" w:rsidRDefault="004C2C15"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Págs. 5 a 7, </w:t>
      </w:r>
      <w:r w:rsidRPr="0062092B">
        <w:rPr>
          <w:rFonts w:ascii="Arial" w:hAnsi="Arial" w:cs="Arial"/>
          <w:sz w:val="18"/>
          <w:lang w:val="es-CO"/>
        </w:rPr>
        <w:t>Documento 009., C. 1.</w:t>
      </w:r>
    </w:p>
  </w:footnote>
  <w:footnote w:id="25">
    <w:p w14:paraId="79D89F1F" w14:textId="0D0EF41E" w:rsidR="004C2C15" w:rsidRPr="0062092B" w:rsidRDefault="004C2C15"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Pág. 40, </w:t>
      </w:r>
      <w:r w:rsidRPr="0062092B">
        <w:rPr>
          <w:rFonts w:ascii="Arial" w:hAnsi="Arial" w:cs="Arial"/>
          <w:sz w:val="18"/>
          <w:lang w:val="es-CO"/>
        </w:rPr>
        <w:t>Documento 002., C. 1.</w:t>
      </w:r>
    </w:p>
  </w:footnote>
  <w:footnote w:id="26">
    <w:p w14:paraId="4E0EAB50" w14:textId="77777777" w:rsidR="00077A5D" w:rsidRPr="0062092B" w:rsidRDefault="00077A5D" w:rsidP="0062092B">
      <w:pPr>
        <w:pStyle w:val="Textonotapie"/>
        <w:jc w:val="both"/>
        <w:rPr>
          <w:rFonts w:ascii="Arial" w:hAnsi="Arial" w:cs="Arial"/>
          <w:sz w:val="18"/>
        </w:rPr>
      </w:pPr>
      <w:r w:rsidRPr="0062092B">
        <w:rPr>
          <w:rStyle w:val="Refdenotaalpie"/>
          <w:rFonts w:ascii="Arial" w:hAnsi="Arial" w:cs="Arial"/>
          <w:sz w:val="18"/>
        </w:rPr>
        <w:footnoteRef/>
      </w:r>
      <w:r w:rsidRPr="0062092B">
        <w:rPr>
          <w:rFonts w:ascii="Arial" w:hAnsi="Arial" w:cs="Arial"/>
          <w:sz w:val="18"/>
        </w:rPr>
        <w:t xml:space="preserve"> Si no pudiere hacerse la notificación personal al cabo de los cinco (5) días del envío de la citación, esta se hará por medio de aviso que se remitirá a la dirección, al número de fax o al correo electrónico que figuren en el expediente o puedan obtenerse del registro mercantil, acompañado de copia íntegra del acto administrativo. 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w:t>
      </w:r>
    </w:p>
    <w:p w14:paraId="23CF0A5C" w14:textId="59BB9C55" w:rsidR="00077A5D" w:rsidRPr="0062092B" w:rsidRDefault="004C2C15" w:rsidP="0062092B">
      <w:pPr>
        <w:pStyle w:val="Textonotapie"/>
        <w:jc w:val="both"/>
        <w:rPr>
          <w:rFonts w:ascii="Arial" w:hAnsi="Arial" w:cs="Arial"/>
          <w:sz w:val="18"/>
        </w:rPr>
      </w:pPr>
      <w:r w:rsidRPr="0062092B">
        <w:rPr>
          <w:rFonts w:ascii="Arial" w:hAnsi="Arial" w:cs="Arial"/>
          <w:sz w:val="18"/>
        </w:rPr>
        <w:t>(…)</w:t>
      </w:r>
    </w:p>
    <w:p w14:paraId="58CD2D48" w14:textId="77777777" w:rsidR="00077A5D" w:rsidRPr="0062092B" w:rsidRDefault="00077A5D" w:rsidP="0062092B">
      <w:pPr>
        <w:pStyle w:val="Textonotapie"/>
        <w:jc w:val="both"/>
        <w:rPr>
          <w:rFonts w:ascii="Arial" w:hAnsi="Arial" w:cs="Arial"/>
          <w:b/>
          <w:sz w:val="18"/>
        </w:rPr>
      </w:pPr>
      <w:r w:rsidRPr="0062092B">
        <w:rPr>
          <w:rFonts w:ascii="Arial" w:hAnsi="Arial" w:cs="Arial"/>
          <w:b/>
          <w:sz w:val="18"/>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14:paraId="524F1665" w14:textId="1F00E990" w:rsidR="00077A5D" w:rsidRPr="0062092B" w:rsidRDefault="004C2C15" w:rsidP="0062092B">
      <w:pPr>
        <w:pStyle w:val="Textonotapie"/>
        <w:jc w:val="both"/>
        <w:rPr>
          <w:rFonts w:ascii="Arial" w:hAnsi="Arial" w:cs="Arial"/>
          <w:sz w:val="18"/>
        </w:rPr>
      </w:pPr>
      <w:r w:rsidRPr="0062092B">
        <w:rPr>
          <w:rFonts w:ascii="Arial" w:hAnsi="Arial" w:cs="Arial"/>
          <w:sz w:val="18"/>
        </w:rPr>
        <w:t>(…)</w:t>
      </w:r>
    </w:p>
    <w:p w14:paraId="556495C8" w14:textId="3F1B0878" w:rsidR="00077A5D" w:rsidRPr="0062092B" w:rsidRDefault="00077A5D" w:rsidP="0062092B">
      <w:pPr>
        <w:pStyle w:val="Textonotapie"/>
        <w:jc w:val="both"/>
        <w:rPr>
          <w:rFonts w:ascii="Arial" w:hAnsi="Arial" w:cs="Arial"/>
          <w:sz w:val="18"/>
          <w:lang w:val="es-CO"/>
        </w:rPr>
      </w:pPr>
      <w:r w:rsidRPr="0062092B">
        <w:rPr>
          <w:rFonts w:ascii="Arial" w:hAnsi="Arial" w:cs="Arial"/>
          <w:sz w:val="18"/>
        </w:rPr>
        <w:t>En el expediente se dejará constancia de la remisión o publicación del aviso y de la fecha en que por este medio quedará surtida la notificación personal.</w:t>
      </w:r>
    </w:p>
  </w:footnote>
  <w:footnote w:id="27">
    <w:p w14:paraId="16C607C4" w14:textId="09653ACD" w:rsidR="005B6F1C" w:rsidRPr="0062092B" w:rsidRDefault="005B6F1C" w:rsidP="0062092B">
      <w:pPr>
        <w:pStyle w:val="Textonotapie"/>
        <w:jc w:val="both"/>
        <w:rPr>
          <w:rFonts w:ascii="Arial" w:hAnsi="Arial" w:cs="Arial"/>
          <w:sz w:val="18"/>
          <w:lang w:val="es-CO"/>
        </w:rPr>
      </w:pPr>
      <w:r w:rsidRPr="0062092B">
        <w:rPr>
          <w:rStyle w:val="Refdenotaalpie"/>
          <w:rFonts w:ascii="Arial" w:hAnsi="Arial" w:cs="Arial"/>
          <w:sz w:val="18"/>
        </w:rPr>
        <w:footnoteRef/>
      </w:r>
      <w:r w:rsidRPr="0062092B">
        <w:rPr>
          <w:rFonts w:ascii="Arial" w:hAnsi="Arial" w:cs="Arial"/>
          <w:sz w:val="18"/>
        </w:rPr>
        <w:t xml:space="preserve"> </w:t>
      </w:r>
      <w:r w:rsidRPr="0062092B">
        <w:rPr>
          <w:rFonts w:ascii="Arial" w:hAnsi="Arial" w:cs="Arial"/>
          <w:sz w:val="18"/>
          <w:lang w:val="es-CO"/>
        </w:rPr>
        <w:t>Pág. 13, Documento 005.,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4833"/>
    <w:multiLevelType w:val="hybridMultilevel"/>
    <w:tmpl w:val="39049CA8"/>
    <w:lvl w:ilvl="0" w:tplc="E3CA80E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06D3D"/>
    <w:rsid w:val="00006E10"/>
    <w:rsid w:val="00013A46"/>
    <w:rsid w:val="00020299"/>
    <w:rsid w:val="00027F07"/>
    <w:rsid w:val="00032126"/>
    <w:rsid w:val="000326A6"/>
    <w:rsid w:val="00033FD2"/>
    <w:rsid w:val="00034ED7"/>
    <w:rsid w:val="000431C0"/>
    <w:rsid w:val="0004483B"/>
    <w:rsid w:val="00053F48"/>
    <w:rsid w:val="00055409"/>
    <w:rsid w:val="00055776"/>
    <w:rsid w:val="00061292"/>
    <w:rsid w:val="00074430"/>
    <w:rsid w:val="00074557"/>
    <w:rsid w:val="00075C47"/>
    <w:rsid w:val="00077766"/>
    <w:rsid w:val="00077A5D"/>
    <w:rsid w:val="00080818"/>
    <w:rsid w:val="000964A8"/>
    <w:rsid w:val="000966FF"/>
    <w:rsid w:val="000A618F"/>
    <w:rsid w:val="000D0588"/>
    <w:rsid w:val="000D3BE8"/>
    <w:rsid w:val="000D63B6"/>
    <w:rsid w:val="000E068E"/>
    <w:rsid w:val="000F3535"/>
    <w:rsid w:val="0010181D"/>
    <w:rsid w:val="001170B4"/>
    <w:rsid w:val="001228A7"/>
    <w:rsid w:val="001421A1"/>
    <w:rsid w:val="00144404"/>
    <w:rsid w:val="00146068"/>
    <w:rsid w:val="0015705D"/>
    <w:rsid w:val="00170829"/>
    <w:rsid w:val="00181964"/>
    <w:rsid w:val="001824F8"/>
    <w:rsid w:val="001865F5"/>
    <w:rsid w:val="001A279D"/>
    <w:rsid w:val="001C02F7"/>
    <w:rsid w:val="001C0F55"/>
    <w:rsid w:val="001E3579"/>
    <w:rsid w:val="00216770"/>
    <w:rsid w:val="0022039C"/>
    <w:rsid w:val="00253C72"/>
    <w:rsid w:val="00271C50"/>
    <w:rsid w:val="0027557E"/>
    <w:rsid w:val="00276F73"/>
    <w:rsid w:val="00281A52"/>
    <w:rsid w:val="00282427"/>
    <w:rsid w:val="00291AE7"/>
    <w:rsid w:val="00293295"/>
    <w:rsid w:val="002A56CC"/>
    <w:rsid w:val="002B111A"/>
    <w:rsid w:val="002C1162"/>
    <w:rsid w:val="002C46EF"/>
    <w:rsid w:val="002D6937"/>
    <w:rsid w:val="002E0084"/>
    <w:rsid w:val="002E0B28"/>
    <w:rsid w:val="002E3065"/>
    <w:rsid w:val="00302A66"/>
    <w:rsid w:val="003069A3"/>
    <w:rsid w:val="003154B1"/>
    <w:rsid w:val="00315A48"/>
    <w:rsid w:val="00323F66"/>
    <w:rsid w:val="00351F19"/>
    <w:rsid w:val="003559F5"/>
    <w:rsid w:val="00365E39"/>
    <w:rsid w:val="003679D3"/>
    <w:rsid w:val="00372333"/>
    <w:rsid w:val="00376BDE"/>
    <w:rsid w:val="00386AE9"/>
    <w:rsid w:val="00390FCD"/>
    <w:rsid w:val="00394D24"/>
    <w:rsid w:val="00396446"/>
    <w:rsid w:val="003A0F8D"/>
    <w:rsid w:val="003A3639"/>
    <w:rsid w:val="003A3903"/>
    <w:rsid w:val="003A7E25"/>
    <w:rsid w:val="003B539C"/>
    <w:rsid w:val="003B6768"/>
    <w:rsid w:val="003C2BC4"/>
    <w:rsid w:val="003C7890"/>
    <w:rsid w:val="003D4514"/>
    <w:rsid w:val="003E54BB"/>
    <w:rsid w:val="003F5520"/>
    <w:rsid w:val="0040103B"/>
    <w:rsid w:val="00405E18"/>
    <w:rsid w:val="00406E26"/>
    <w:rsid w:val="0040704B"/>
    <w:rsid w:val="00422311"/>
    <w:rsid w:val="00426DA0"/>
    <w:rsid w:val="0043090A"/>
    <w:rsid w:val="00430A05"/>
    <w:rsid w:val="0043250B"/>
    <w:rsid w:val="00435DC4"/>
    <w:rsid w:val="004372BC"/>
    <w:rsid w:val="00462FE7"/>
    <w:rsid w:val="00467445"/>
    <w:rsid w:val="00477CB4"/>
    <w:rsid w:val="004803AE"/>
    <w:rsid w:val="004B14D4"/>
    <w:rsid w:val="004C2C15"/>
    <w:rsid w:val="004C62CA"/>
    <w:rsid w:val="004D53C1"/>
    <w:rsid w:val="004E0C3B"/>
    <w:rsid w:val="004E4A9F"/>
    <w:rsid w:val="004F0D1F"/>
    <w:rsid w:val="004F7764"/>
    <w:rsid w:val="00502D34"/>
    <w:rsid w:val="00513F83"/>
    <w:rsid w:val="00517F08"/>
    <w:rsid w:val="00534A58"/>
    <w:rsid w:val="0055213F"/>
    <w:rsid w:val="005672A5"/>
    <w:rsid w:val="0056791D"/>
    <w:rsid w:val="00570DA5"/>
    <w:rsid w:val="0057202D"/>
    <w:rsid w:val="005756BE"/>
    <w:rsid w:val="005A042C"/>
    <w:rsid w:val="005B6F1C"/>
    <w:rsid w:val="005B7535"/>
    <w:rsid w:val="005C000E"/>
    <w:rsid w:val="005C314D"/>
    <w:rsid w:val="005C45EE"/>
    <w:rsid w:val="005D5D35"/>
    <w:rsid w:val="005D653A"/>
    <w:rsid w:val="005E666C"/>
    <w:rsid w:val="005E7F81"/>
    <w:rsid w:val="005F3E08"/>
    <w:rsid w:val="005F7FDF"/>
    <w:rsid w:val="00607281"/>
    <w:rsid w:val="0061104F"/>
    <w:rsid w:val="0061438F"/>
    <w:rsid w:val="00616474"/>
    <w:rsid w:val="0062092B"/>
    <w:rsid w:val="00620F63"/>
    <w:rsid w:val="006230BC"/>
    <w:rsid w:val="006278C7"/>
    <w:rsid w:val="00657454"/>
    <w:rsid w:val="00662A05"/>
    <w:rsid w:val="00665342"/>
    <w:rsid w:val="00674A22"/>
    <w:rsid w:val="0067794B"/>
    <w:rsid w:val="006844C0"/>
    <w:rsid w:val="006849A6"/>
    <w:rsid w:val="00693B8A"/>
    <w:rsid w:val="00695D52"/>
    <w:rsid w:val="006979C1"/>
    <w:rsid w:val="006A5728"/>
    <w:rsid w:val="006B0A03"/>
    <w:rsid w:val="006B1E9D"/>
    <w:rsid w:val="006D4518"/>
    <w:rsid w:val="006D5D3E"/>
    <w:rsid w:val="006D7F5E"/>
    <w:rsid w:val="006E134C"/>
    <w:rsid w:val="006E3819"/>
    <w:rsid w:val="006E4909"/>
    <w:rsid w:val="006E6D69"/>
    <w:rsid w:val="006E7FCC"/>
    <w:rsid w:val="006F5C2C"/>
    <w:rsid w:val="0070049D"/>
    <w:rsid w:val="00703448"/>
    <w:rsid w:val="007045BE"/>
    <w:rsid w:val="00711431"/>
    <w:rsid w:val="00712825"/>
    <w:rsid w:val="00714B45"/>
    <w:rsid w:val="00715900"/>
    <w:rsid w:val="0074085B"/>
    <w:rsid w:val="00740AC8"/>
    <w:rsid w:val="00742586"/>
    <w:rsid w:val="00745CBD"/>
    <w:rsid w:val="00750393"/>
    <w:rsid w:val="00756044"/>
    <w:rsid w:val="00771673"/>
    <w:rsid w:val="00772BEE"/>
    <w:rsid w:val="00784E3A"/>
    <w:rsid w:val="00796976"/>
    <w:rsid w:val="007A519B"/>
    <w:rsid w:val="007A7676"/>
    <w:rsid w:val="007C069B"/>
    <w:rsid w:val="007D29D6"/>
    <w:rsid w:val="007D4C6D"/>
    <w:rsid w:val="007F5F4C"/>
    <w:rsid w:val="007F5FE5"/>
    <w:rsid w:val="00807E42"/>
    <w:rsid w:val="00817F1B"/>
    <w:rsid w:val="00824CA0"/>
    <w:rsid w:val="0083048C"/>
    <w:rsid w:val="008329FC"/>
    <w:rsid w:val="00832A1A"/>
    <w:rsid w:val="00843149"/>
    <w:rsid w:val="008530FA"/>
    <w:rsid w:val="0086500E"/>
    <w:rsid w:val="0086787F"/>
    <w:rsid w:val="0087422E"/>
    <w:rsid w:val="00877521"/>
    <w:rsid w:val="0088709E"/>
    <w:rsid w:val="00891E39"/>
    <w:rsid w:val="0089363A"/>
    <w:rsid w:val="00894320"/>
    <w:rsid w:val="00896C50"/>
    <w:rsid w:val="008A1CF9"/>
    <w:rsid w:val="008A42CD"/>
    <w:rsid w:val="008A723B"/>
    <w:rsid w:val="008B4181"/>
    <w:rsid w:val="008C5727"/>
    <w:rsid w:val="008C7948"/>
    <w:rsid w:val="008D11CB"/>
    <w:rsid w:val="008D27F3"/>
    <w:rsid w:val="008E3ED6"/>
    <w:rsid w:val="008E58CD"/>
    <w:rsid w:val="008E60FB"/>
    <w:rsid w:val="008F0C90"/>
    <w:rsid w:val="008F18E2"/>
    <w:rsid w:val="008F5463"/>
    <w:rsid w:val="008F6DE3"/>
    <w:rsid w:val="0090236C"/>
    <w:rsid w:val="009033CA"/>
    <w:rsid w:val="00907DCF"/>
    <w:rsid w:val="009106CF"/>
    <w:rsid w:val="009150EF"/>
    <w:rsid w:val="009174B5"/>
    <w:rsid w:val="009202A9"/>
    <w:rsid w:val="00923230"/>
    <w:rsid w:val="009315E7"/>
    <w:rsid w:val="0093530C"/>
    <w:rsid w:val="009406F9"/>
    <w:rsid w:val="009430BD"/>
    <w:rsid w:val="00944011"/>
    <w:rsid w:val="0096221B"/>
    <w:rsid w:val="0098467A"/>
    <w:rsid w:val="009A199B"/>
    <w:rsid w:val="009A3ACA"/>
    <w:rsid w:val="009C0A55"/>
    <w:rsid w:val="009D089D"/>
    <w:rsid w:val="009D66D5"/>
    <w:rsid w:val="00A12467"/>
    <w:rsid w:val="00A22B0F"/>
    <w:rsid w:val="00A254BE"/>
    <w:rsid w:val="00A30819"/>
    <w:rsid w:val="00A30955"/>
    <w:rsid w:val="00A50A5E"/>
    <w:rsid w:val="00A51860"/>
    <w:rsid w:val="00A64ADF"/>
    <w:rsid w:val="00A64F54"/>
    <w:rsid w:val="00A92999"/>
    <w:rsid w:val="00A97441"/>
    <w:rsid w:val="00AB0C0C"/>
    <w:rsid w:val="00AB191D"/>
    <w:rsid w:val="00AD35F0"/>
    <w:rsid w:val="00AD6B4D"/>
    <w:rsid w:val="00AE0224"/>
    <w:rsid w:val="00AE1ABD"/>
    <w:rsid w:val="00AE22A2"/>
    <w:rsid w:val="00AE2539"/>
    <w:rsid w:val="00B07E8B"/>
    <w:rsid w:val="00B10C83"/>
    <w:rsid w:val="00B25FD8"/>
    <w:rsid w:val="00B26579"/>
    <w:rsid w:val="00B27688"/>
    <w:rsid w:val="00B42DBA"/>
    <w:rsid w:val="00B66780"/>
    <w:rsid w:val="00B700DF"/>
    <w:rsid w:val="00B71930"/>
    <w:rsid w:val="00B71BD7"/>
    <w:rsid w:val="00B92F45"/>
    <w:rsid w:val="00BA7014"/>
    <w:rsid w:val="00BB04E6"/>
    <w:rsid w:val="00BB0BDD"/>
    <w:rsid w:val="00BC2599"/>
    <w:rsid w:val="00BC45E3"/>
    <w:rsid w:val="00BC5313"/>
    <w:rsid w:val="00BC6F09"/>
    <w:rsid w:val="00BD3B94"/>
    <w:rsid w:val="00BF3C77"/>
    <w:rsid w:val="00BF659B"/>
    <w:rsid w:val="00C1558F"/>
    <w:rsid w:val="00C21E67"/>
    <w:rsid w:val="00C26230"/>
    <w:rsid w:val="00C26446"/>
    <w:rsid w:val="00C32BD3"/>
    <w:rsid w:val="00C443F1"/>
    <w:rsid w:val="00C444FE"/>
    <w:rsid w:val="00C47BF7"/>
    <w:rsid w:val="00C53216"/>
    <w:rsid w:val="00C70616"/>
    <w:rsid w:val="00C82605"/>
    <w:rsid w:val="00CA072C"/>
    <w:rsid w:val="00CA12A2"/>
    <w:rsid w:val="00CC5651"/>
    <w:rsid w:val="00CC619F"/>
    <w:rsid w:val="00CD219C"/>
    <w:rsid w:val="00CE05C3"/>
    <w:rsid w:val="00CE7104"/>
    <w:rsid w:val="00D11CCF"/>
    <w:rsid w:val="00D161D8"/>
    <w:rsid w:val="00D22B0C"/>
    <w:rsid w:val="00D25908"/>
    <w:rsid w:val="00D33CE9"/>
    <w:rsid w:val="00D3694C"/>
    <w:rsid w:val="00D37C6E"/>
    <w:rsid w:val="00D42F2B"/>
    <w:rsid w:val="00D44763"/>
    <w:rsid w:val="00D648B7"/>
    <w:rsid w:val="00D8236D"/>
    <w:rsid w:val="00D97BAB"/>
    <w:rsid w:val="00DA53C5"/>
    <w:rsid w:val="00DA7561"/>
    <w:rsid w:val="00DB330D"/>
    <w:rsid w:val="00DB6CD1"/>
    <w:rsid w:val="00DD00B4"/>
    <w:rsid w:val="00DD4215"/>
    <w:rsid w:val="00DE2030"/>
    <w:rsid w:val="00E01B05"/>
    <w:rsid w:val="00E039A0"/>
    <w:rsid w:val="00E03BD2"/>
    <w:rsid w:val="00E07CA6"/>
    <w:rsid w:val="00E106AD"/>
    <w:rsid w:val="00E17509"/>
    <w:rsid w:val="00E24C1E"/>
    <w:rsid w:val="00E25653"/>
    <w:rsid w:val="00E434E7"/>
    <w:rsid w:val="00E44B84"/>
    <w:rsid w:val="00E503E6"/>
    <w:rsid w:val="00E50FD0"/>
    <w:rsid w:val="00E5413A"/>
    <w:rsid w:val="00E7322A"/>
    <w:rsid w:val="00E80335"/>
    <w:rsid w:val="00E87CCB"/>
    <w:rsid w:val="00EA2D67"/>
    <w:rsid w:val="00EA3E59"/>
    <w:rsid w:val="00EA3F8D"/>
    <w:rsid w:val="00EB45CC"/>
    <w:rsid w:val="00EC1754"/>
    <w:rsid w:val="00EC38FC"/>
    <w:rsid w:val="00ED5877"/>
    <w:rsid w:val="00EE49EA"/>
    <w:rsid w:val="00F0575B"/>
    <w:rsid w:val="00F0648E"/>
    <w:rsid w:val="00F16627"/>
    <w:rsid w:val="00F20C45"/>
    <w:rsid w:val="00F25C6C"/>
    <w:rsid w:val="00F3068A"/>
    <w:rsid w:val="00F3183F"/>
    <w:rsid w:val="00F43B9E"/>
    <w:rsid w:val="00F43CD2"/>
    <w:rsid w:val="00F44B78"/>
    <w:rsid w:val="00F46E71"/>
    <w:rsid w:val="00F758E2"/>
    <w:rsid w:val="00F84347"/>
    <w:rsid w:val="00FA3142"/>
    <w:rsid w:val="00FA63DC"/>
    <w:rsid w:val="00FB69AE"/>
    <w:rsid w:val="00FC3953"/>
    <w:rsid w:val="00FD3D0E"/>
    <w:rsid w:val="00FD4DBD"/>
    <w:rsid w:val="00FE20DE"/>
    <w:rsid w:val="00FE289A"/>
    <w:rsid w:val="00FE5F8A"/>
    <w:rsid w:val="00FF14C8"/>
    <w:rsid w:val="00FF31BE"/>
    <w:rsid w:val="00FF5B8E"/>
    <w:rsid w:val="00FF6728"/>
    <w:rsid w:val="066F6A3C"/>
    <w:rsid w:val="12A4A059"/>
    <w:rsid w:val="15C7D7B6"/>
    <w:rsid w:val="1A78F8BC"/>
    <w:rsid w:val="20C22928"/>
    <w:rsid w:val="21E0AEB1"/>
    <w:rsid w:val="24A1FEAF"/>
    <w:rsid w:val="2537E002"/>
    <w:rsid w:val="2C2ED517"/>
    <w:rsid w:val="2D971937"/>
    <w:rsid w:val="30D45F3E"/>
    <w:rsid w:val="30E23AED"/>
    <w:rsid w:val="3BB59A28"/>
    <w:rsid w:val="3D76F797"/>
    <w:rsid w:val="3F2CB672"/>
    <w:rsid w:val="4090823F"/>
    <w:rsid w:val="431A8C22"/>
    <w:rsid w:val="4A4A9552"/>
    <w:rsid w:val="53D5750F"/>
    <w:rsid w:val="59A1AA03"/>
    <w:rsid w:val="5DA7CDFB"/>
    <w:rsid w:val="5E15EB94"/>
    <w:rsid w:val="5F282C3A"/>
    <w:rsid w:val="61E65D3F"/>
    <w:rsid w:val="6A4977C3"/>
    <w:rsid w:val="6F59F34A"/>
    <w:rsid w:val="711338D8"/>
    <w:rsid w:val="7359C6DA"/>
    <w:rsid w:val="74F3857E"/>
    <w:rsid w:val="787C0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 w:type="paragraph" w:customStyle="1" w:styleId="Textoindependiente21">
    <w:name w:val="Texto independiente 21"/>
    <w:basedOn w:val="Normal"/>
    <w:rsid w:val="001C0F55"/>
    <w:pPr>
      <w:overflowPunct w:val="0"/>
      <w:autoSpaceDE w:val="0"/>
      <w:autoSpaceDN w:val="0"/>
      <w:adjustRightInd w:val="0"/>
      <w:spacing w:after="0" w:line="360" w:lineRule="auto"/>
      <w:ind w:firstLine="2835"/>
      <w:jc w:val="both"/>
    </w:pPr>
    <w:rPr>
      <w:rFonts w:ascii="Verdana" w:eastAsia="Times New Roman" w:hAnsi="Verdana" w:cs="Times New Roman"/>
      <w:sz w:val="24"/>
      <w:szCs w:val="20"/>
      <w:lang w:val="es-ES" w:eastAsia="es-ES"/>
    </w:rPr>
  </w:style>
  <w:style w:type="character" w:styleId="Mencinsinresolver">
    <w:name w:val="Unresolved Mention"/>
    <w:basedOn w:val="Fuentedeprrafopredeter"/>
    <w:uiPriority w:val="99"/>
    <w:semiHidden/>
    <w:unhideWhenUsed/>
    <w:rsid w:val="008D1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322776816">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832834835">
      <w:bodyDiv w:val="1"/>
      <w:marLeft w:val="0"/>
      <w:marRight w:val="0"/>
      <w:marTop w:val="0"/>
      <w:marBottom w:val="0"/>
      <w:divBdr>
        <w:top w:val="none" w:sz="0" w:space="0" w:color="auto"/>
        <w:left w:val="none" w:sz="0" w:space="0" w:color="auto"/>
        <w:bottom w:val="none" w:sz="0" w:space="0" w:color="auto"/>
        <w:right w:val="none" w:sz="0" w:space="0" w:color="auto"/>
      </w:divBdr>
    </w:div>
    <w:div w:id="889923327">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760560319">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rgejuliolizarazo@gmail.com" TargetMode="External"/><Relationship Id="rId5" Type="http://schemas.openxmlformats.org/officeDocument/2006/relationships/numbering" Target="numbering.xml"/><Relationship Id="rId10" Type="http://schemas.openxmlformats.org/officeDocument/2006/relationships/endnotes" Target="endnotes.xml"/><Relationship Id="R5fbbd3452b4d4a6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28B2-7792-45F3-99E6-964A12308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4.xml><?xml version="1.0" encoding="utf-8"?>
<ds:datastoreItem xmlns:ds="http://schemas.openxmlformats.org/officeDocument/2006/customXml" ds:itemID="{AC31E1CF-B61D-453E-896A-67F76D01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3170</Words>
  <Characters>17438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5</cp:revision>
  <cp:lastPrinted>2019-04-25T12:29:00Z</cp:lastPrinted>
  <dcterms:created xsi:type="dcterms:W3CDTF">2022-11-11T19:30:00Z</dcterms:created>
  <dcterms:modified xsi:type="dcterms:W3CDTF">2023-01-13T18:42:00Z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