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197B2" w14:textId="77777777" w:rsidR="00682421" w:rsidRPr="00682421" w:rsidRDefault="00682421" w:rsidP="00682421">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r w:rsidRPr="0068242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854999" w14:textId="77777777" w:rsidR="00682421" w:rsidRPr="00682421" w:rsidRDefault="00682421" w:rsidP="00682421">
      <w:pPr>
        <w:widowControl w:val="0"/>
        <w:autoSpaceDE w:val="0"/>
        <w:autoSpaceDN w:val="0"/>
        <w:spacing w:after="0" w:line="240" w:lineRule="auto"/>
        <w:jc w:val="both"/>
        <w:rPr>
          <w:rFonts w:ascii="Arial" w:eastAsia="Times New Roman" w:hAnsi="Arial" w:cs="Arial"/>
          <w:sz w:val="20"/>
          <w:szCs w:val="20"/>
          <w:lang w:val="es-419" w:eastAsia="es-ES"/>
        </w:rPr>
      </w:pPr>
    </w:p>
    <w:p w14:paraId="6C291437" w14:textId="29CFE993" w:rsidR="00682421" w:rsidRPr="00682421" w:rsidRDefault="00EB7B45" w:rsidP="00682421">
      <w:pPr>
        <w:widowControl w:val="0"/>
        <w:autoSpaceDE w:val="0"/>
        <w:autoSpaceDN w:val="0"/>
        <w:spacing w:after="0" w:line="240" w:lineRule="auto"/>
        <w:jc w:val="both"/>
        <w:rPr>
          <w:rFonts w:ascii="Arial" w:eastAsia="Times New Roman" w:hAnsi="Arial" w:cs="Arial"/>
          <w:sz w:val="20"/>
          <w:szCs w:val="20"/>
          <w:lang w:val="es-419" w:eastAsia="es-ES"/>
        </w:rPr>
      </w:pPr>
      <w:r w:rsidRPr="00682421">
        <w:rPr>
          <w:rFonts w:ascii="Arial" w:eastAsia="Times New Roman" w:hAnsi="Arial" w:cs="Arial"/>
          <w:b/>
          <w:bCs/>
          <w:iCs/>
          <w:sz w:val="20"/>
          <w:szCs w:val="20"/>
          <w:u w:val="single"/>
          <w:lang w:val="es-419" w:eastAsia="fr-FR"/>
        </w:rPr>
        <w:t>TEMAS:</w:t>
      </w:r>
      <w:r w:rsidRPr="0068242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CORRECCIÓN HISTORIA LABORAL / BENEFICIO PENSIONAL / SUBSIDIO AL APORTE / SUSPENSIÓN / POR CUMPLIR 65 AÑOS / DEBIDO PROCESO ADMINISTRATIVO / DEBE NOTIFICARSE AL BENEFICIARIO DICHA SUSPENSIÓN.</w:t>
      </w:r>
    </w:p>
    <w:p w14:paraId="7EF97BA9" w14:textId="77777777" w:rsidR="00682421" w:rsidRPr="00682421" w:rsidRDefault="00682421" w:rsidP="00682421">
      <w:pPr>
        <w:widowControl w:val="0"/>
        <w:autoSpaceDE w:val="0"/>
        <w:autoSpaceDN w:val="0"/>
        <w:spacing w:after="0" w:line="240" w:lineRule="auto"/>
        <w:jc w:val="both"/>
        <w:rPr>
          <w:rFonts w:ascii="Arial" w:eastAsia="Times New Roman" w:hAnsi="Arial" w:cs="Arial"/>
          <w:sz w:val="20"/>
          <w:szCs w:val="20"/>
          <w:lang w:val="es-ES" w:eastAsia="es-ES"/>
        </w:rPr>
      </w:pPr>
    </w:p>
    <w:p w14:paraId="440A01FF" w14:textId="4BC48CB1" w:rsidR="00682421" w:rsidRPr="00682421" w:rsidRDefault="003B5046" w:rsidP="00682421">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B5046">
        <w:rPr>
          <w:rFonts w:ascii="Arial" w:eastAsia="Times New Roman" w:hAnsi="Arial" w:cs="Arial"/>
          <w:sz w:val="20"/>
          <w:szCs w:val="20"/>
          <w:lang w:val="es-ES" w:eastAsia="es-ES"/>
        </w:rPr>
        <w:t>el accionante busca la protección a su derecho fundamental a la seguridad social, presuntamente vulnerado por las autoridades acusadas, que se niegan a corregir su historia laboral</w:t>
      </w:r>
      <w:r>
        <w:rPr>
          <w:rFonts w:ascii="Arial" w:eastAsia="Times New Roman" w:hAnsi="Arial" w:cs="Arial"/>
          <w:sz w:val="20"/>
          <w:szCs w:val="20"/>
          <w:lang w:val="es-ES" w:eastAsia="es-ES"/>
        </w:rPr>
        <w:t>…</w:t>
      </w:r>
    </w:p>
    <w:p w14:paraId="4EFB7A5D" w14:textId="77777777" w:rsidR="00682421" w:rsidRPr="00682421" w:rsidRDefault="00682421" w:rsidP="00682421">
      <w:pPr>
        <w:widowControl w:val="0"/>
        <w:autoSpaceDE w:val="0"/>
        <w:autoSpaceDN w:val="0"/>
        <w:spacing w:after="0" w:line="240" w:lineRule="auto"/>
        <w:jc w:val="both"/>
        <w:rPr>
          <w:rFonts w:ascii="Arial" w:eastAsia="Times New Roman" w:hAnsi="Arial" w:cs="Arial"/>
          <w:sz w:val="20"/>
          <w:szCs w:val="20"/>
          <w:lang w:val="es-ES" w:eastAsia="es-ES"/>
        </w:rPr>
      </w:pPr>
    </w:p>
    <w:p w14:paraId="20921CC0" w14:textId="420266A0" w:rsidR="00682421" w:rsidRPr="00682421" w:rsidRDefault="0039640C" w:rsidP="00682421">
      <w:pPr>
        <w:widowControl w:val="0"/>
        <w:autoSpaceDE w:val="0"/>
        <w:autoSpaceDN w:val="0"/>
        <w:spacing w:after="0" w:line="240" w:lineRule="auto"/>
        <w:jc w:val="both"/>
        <w:rPr>
          <w:rFonts w:ascii="Arial" w:eastAsia="Times New Roman" w:hAnsi="Arial" w:cs="Arial"/>
          <w:sz w:val="20"/>
          <w:szCs w:val="20"/>
          <w:lang w:val="es-ES" w:eastAsia="es-ES"/>
        </w:rPr>
      </w:pPr>
      <w:r w:rsidRPr="0039640C">
        <w:rPr>
          <w:rFonts w:ascii="Arial" w:eastAsia="Times New Roman" w:hAnsi="Arial" w:cs="Arial"/>
          <w:sz w:val="20"/>
          <w:szCs w:val="20"/>
          <w:lang w:val="es-ES" w:eastAsia="es-ES"/>
        </w:rPr>
        <w:t>La inmediatez se cumple porque si bien la suspensión del apoyo económico sucedió años atrás, lo cierto es que, las peticiones del actor para que se corrija su historia laboral son recientes y las respuestas que se le ofrecieron son del 18 de julio y el 16 de agosto de este año</w:t>
      </w:r>
      <w:r>
        <w:rPr>
          <w:rFonts w:ascii="Arial" w:eastAsia="Times New Roman" w:hAnsi="Arial" w:cs="Arial"/>
          <w:sz w:val="20"/>
          <w:szCs w:val="20"/>
          <w:lang w:val="es-ES" w:eastAsia="es-ES"/>
        </w:rPr>
        <w:t>…</w:t>
      </w:r>
    </w:p>
    <w:p w14:paraId="2065B8DC" w14:textId="77EED722" w:rsidR="00682421" w:rsidRDefault="00682421" w:rsidP="00682421">
      <w:pPr>
        <w:widowControl w:val="0"/>
        <w:autoSpaceDE w:val="0"/>
        <w:autoSpaceDN w:val="0"/>
        <w:spacing w:after="0" w:line="240" w:lineRule="auto"/>
        <w:jc w:val="both"/>
        <w:rPr>
          <w:rFonts w:ascii="Arial" w:eastAsia="Times New Roman" w:hAnsi="Arial" w:cs="Arial"/>
          <w:sz w:val="20"/>
          <w:szCs w:val="20"/>
          <w:lang w:val="es-ES" w:eastAsia="es-ES"/>
        </w:rPr>
      </w:pPr>
    </w:p>
    <w:p w14:paraId="20C01CD9" w14:textId="2F7D554E" w:rsidR="0071044F" w:rsidRPr="00682421" w:rsidRDefault="0071044F" w:rsidP="00682421">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1044F">
        <w:rPr>
          <w:rFonts w:ascii="Arial" w:eastAsia="Times New Roman" w:hAnsi="Arial" w:cs="Arial"/>
          <w:sz w:val="20"/>
          <w:szCs w:val="20"/>
          <w:lang w:val="es-ES" w:eastAsia="es-ES"/>
        </w:rPr>
        <w:t>en la sentencia T-376 de 2021</w:t>
      </w:r>
      <w:r w:rsidR="009D5BC6">
        <w:rPr>
          <w:rFonts w:ascii="Arial" w:eastAsia="Times New Roman" w:hAnsi="Arial" w:cs="Arial"/>
          <w:sz w:val="20"/>
          <w:szCs w:val="20"/>
          <w:lang w:val="es-ES" w:eastAsia="es-ES"/>
        </w:rPr>
        <w:t>…</w:t>
      </w:r>
      <w:r w:rsidRPr="0071044F">
        <w:rPr>
          <w:rFonts w:ascii="Arial" w:eastAsia="Times New Roman" w:hAnsi="Arial" w:cs="Arial"/>
          <w:sz w:val="20"/>
          <w:szCs w:val="20"/>
          <w:lang w:val="es-ES" w:eastAsia="es-ES"/>
        </w:rPr>
        <w:t xml:space="preserve"> se le rogaba a Colpensiones y a la </w:t>
      </w:r>
      <w:proofErr w:type="spellStart"/>
      <w:r w:rsidRPr="0071044F">
        <w:rPr>
          <w:rFonts w:ascii="Arial" w:eastAsia="Times New Roman" w:hAnsi="Arial" w:cs="Arial"/>
          <w:sz w:val="20"/>
          <w:szCs w:val="20"/>
          <w:lang w:val="es-ES" w:eastAsia="es-ES"/>
        </w:rPr>
        <w:t>Fiduagraria</w:t>
      </w:r>
      <w:proofErr w:type="spellEnd"/>
      <w:r w:rsidRPr="0071044F">
        <w:rPr>
          <w:rFonts w:ascii="Arial" w:eastAsia="Times New Roman" w:hAnsi="Arial" w:cs="Arial"/>
          <w:sz w:val="20"/>
          <w:szCs w:val="20"/>
          <w:lang w:val="es-ES" w:eastAsia="es-ES"/>
        </w:rPr>
        <w:t xml:space="preserve"> S.A., corregir la historia laboral de un afiliado, comoquiera que no aparecían aportes realizados con posterioridad al momento en que él cumplió 65 años, ello con ocasión a lo dispuesto en el artículo 2.2.14.1.24 del Decreto 1833 de 2016</w:t>
      </w:r>
      <w:r>
        <w:rPr>
          <w:rFonts w:ascii="Arial" w:eastAsia="Times New Roman" w:hAnsi="Arial" w:cs="Arial"/>
          <w:sz w:val="20"/>
          <w:szCs w:val="20"/>
          <w:lang w:val="es-ES" w:eastAsia="es-ES"/>
        </w:rPr>
        <w:t>…</w:t>
      </w:r>
    </w:p>
    <w:p w14:paraId="797191DB" w14:textId="77777777" w:rsidR="00682421" w:rsidRPr="00682421" w:rsidRDefault="00682421" w:rsidP="00682421">
      <w:pPr>
        <w:widowControl w:val="0"/>
        <w:autoSpaceDE w:val="0"/>
        <w:autoSpaceDN w:val="0"/>
        <w:spacing w:after="0" w:line="240" w:lineRule="auto"/>
        <w:jc w:val="both"/>
        <w:rPr>
          <w:rFonts w:ascii="Arial" w:eastAsia="Times New Roman" w:hAnsi="Arial" w:cs="Arial"/>
          <w:sz w:val="20"/>
          <w:szCs w:val="20"/>
          <w:lang w:val="es-ES" w:eastAsia="es-ES"/>
        </w:rPr>
      </w:pPr>
    </w:p>
    <w:p w14:paraId="14F578C5" w14:textId="1AD33445" w:rsidR="00682421" w:rsidRDefault="009D5BC6" w:rsidP="00682421">
      <w:pPr>
        <w:widowControl w:val="0"/>
        <w:autoSpaceDE w:val="0"/>
        <w:autoSpaceDN w:val="0"/>
        <w:spacing w:after="0" w:line="240" w:lineRule="auto"/>
        <w:jc w:val="both"/>
        <w:rPr>
          <w:rFonts w:ascii="Arial" w:eastAsia="Times New Roman" w:hAnsi="Arial" w:cs="Arial"/>
          <w:sz w:val="20"/>
          <w:szCs w:val="20"/>
          <w:lang w:val="es-ES" w:eastAsia="es-ES"/>
        </w:rPr>
      </w:pPr>
      <w:r w:rsidRPr="009D5BC6">
        <w:rPr>
          <w:rFonts w:ascii="Arial" w:eastAsia="Times New Roman" w:hAnsi="Arial" w:cs="Arial"/>
          <w:sz w:val="20"/>
          <w:szCs w:val="20"/>
          <w:lang w:val="es-ES" w:eastAsia="es-ES"/>
        </w:rPr>
        <w:t>En esa oportunidad la alta corporación, luego de considerar procedente la demanda, empezó explicando que cuando una entidad estatal decide retirar a una persona de un beneficio pensional, debe hacerlo con observancia al debido proceso administrativo, y en ese orden de ideas, es indispensable que quien viene siendo favorecido con el subsidio, sea debidamente notificado de la suspensión.</w:t>
      </w:r>
      <w:r>
        <w:rPr>
          <w:rFonts w:ascii="Arial" w:eastAsia="Times New Roman" w:hAnsi="Arial" w:cs="Arial"/>
          <w:sz w:val="20"/>
          <w:szCs w:val="20"/>
          <w:lang w:val="es-ES" w:eastAsia="es-ES"/>
        </w:rPr>
        <w:t xml:space="preserve"> (…)</w:t>
      </w:r>
    </w:p>
    <w:p w14:paraId="3388FCDB" w14:textId="29592378" w:rsidR="009D5BC6" w:rsidRDefault="009D5BC6" w:rsidP="00682421">
      <w:pPr>
        <w:widowControl w:val="0"/>
        <w:autoSpaceDE w:val="0"/>
        <w:autoSpaceDN w:val="0"/>
        <w:spacing w:after="0" w:line="240" w:lineRule="auto"/>
        <w:jc w:val="both"/>
        <w:rPr>
          <w:rFonts w:ascii="Arial" w:eastAsia="Times New Roman" w:hAnsi="Arial" w:cs="Arial"/>
          <w:sz w:val="20"/>
          <w:szCs w:val="20"/>
          <w:lang w:val="es-ES" w:eastAsia="es-ES"/>
        </w:rPr>
      </w:pPr>
    </w:p>
    <w:p w14:paraId="4985FB12" w14:textId="77777777" w:rsidR="00B36732" w:rsidRPr="00B36732" w:rsidRDefault="00B36732" w:rsidP="00B36732">
      <w:pPr>
        <w:widowControl w:val="0"/>
        <w:autoSpaceDE w:val="0"/>
        <w:autoSpaceDN w:val="0"/>
        <w:spacing w:after="0" w:line="240" w:lineRule="auto"/>
        <w:jc w:val="both"/>
        <w:rPr>
          <w:rFonts w:ascii="Arial" w:eastAsia="Times New Roman" w:hAnsi="Arial" w:cs="Arial"/>
          <w:sz w:val="20"/>
          <w:szCs w:val="20"/>
          <w:lang w:val="es-ES" w:eastAsia="es-ES"/>
        </w:rPr>
      </w:pPr>
      <w:r w:rsidRPr="00B36732">
        <w:rPr>
          <w:rFonts w:ascii="Arial" w:eastAsia="Times New Roman" w:hAnsi="Arial" w:cs="Arial"/>
          <w:sz w:val="20"/>
          <w:szCs w:val="20"/>
          <w:lang w:val="es-ES" w:eastAsia="es-ES"/>
        </w:rPr>
        <w:t xml:space="preserve">De frente a ese derrotero, es criterio de la Sala que las contestaciones ofrecidas por Colpensiones y la </w:t>
      </w:r>
      <w:proofErr w:type="spellStart"/>
      <w:r w:rsidRPr="00B36732">
        <w:rPr>
          <w:rFonts w:ascii="Arial" w:eastAsia="Times New Roman" w:hAnsi="Arial" w:cs="Arial"/>
          <w:sz w:val="20"/>
          <w:szCs w:val="20"/>
          <w:lang w:val="es-ES" w:eastAsia="es-ES"/>
        </w:rPr>
        <w:t>Fiduagraria</w:t>
      </w:r>
      <w:proofErr w:type="spellEnd"/>
      <w:r w:rsidRPr="00B36732">
        <w:rPr>
          <w:rFonts w:ascii="Arial" w:eastAsia="Times New Roman" w:hAnsi="Arial" w:cs="Arial"/>
          <w:sz w:val="20"/>
          <w:szCs w:val="20"/>
          <w:lang w:val="es-ES" w:eastAsia="es-ES"/>
        </w:rPr>
        <w:t xml:space="preserve"> S.A., vulneraron los derechos al debido proceso y a la seguridad social del actor, y desconocen el precedente y las directrices que, en asuntos análogos, ha impartido la máxima autoridad en asuntos constitucionales.</w:t>
      </w:r>
    </w:p>
    <w:p w14:paraId="33FDB0E4" w14:textId="77777777" w:rsidR="00B36732" w:rsidRPr="00B36732" w:rsidRDefault="00B36732" w:rsidP="00B36732">
      <w:pPr>
        <w:widowControl w:val="0"/>
        <w:autoSpaceDE w:val="0"/>
        <w:autoSpaceDN w:val="0"/>
        <w:spacing w:after="0" w:line="240" w:lineRule="auto"/>
        <w:jc w:val="both"/>
        <w:rPr>
          <w:rFonts w:ascii="Arial" w:eastAsia="Times New Roman" w:hAnsi="Arial" w:cs="Arial"/>
          <w:sz w:val="20"/>
          <w:szCs w:val="20"/>
          <w:lang w:val="es-ES" w:eastAsia="es-ES"/>
        </w:rPr>
      </w:pPr>
    </w:p>
    <w:p w14:paraId="5BB27820" w14:textId="2677DC05" w:rsidR="009D5BC6" w:rsidRDefault="00B36732" w:rsidP="00B36732">
      <w:pPr>
        <w:widowControl w:val="0"/>
        <w:autoSpaceDE w:val="0"/>
        <w:autoSpaceDN w:val="0"/>
        <w:spacing w:after="0" w:line="240" w:lineRule="auto"/>
        <w:jc w:val="both"/>
        <w:rPr>
          <w:rFonts w:ascii="Arial" w:eastAsia="Times New Roman" w:hAnsi="Arial" w:cs="Arial"/>
          <w:sz w:val="20"/>
          <w:szCs w:val="20"/>
          <w:lang w:val="es-ES" w:eastAsia="es-ES"/>
        </w:rPr>
      </w:pPr>
      <w:r w:rsidRPr="00B36732">
        <w:rPr>
          <w:rFonts w:ascii="Arial" w:eastAsia="Times New Roman" w:hAnsi="Arial" w:cs="Arial"/>
          <w:sz w:val="20"/>
          <w:szCs w:val="20"/>
          <w:lang w:val="es-ES" w:eastAsia="es-ES"/>
        </w:rPr>
        <w:t>En efecto, de manera tajante se negaron a corregir su historia laboral, con base en el artículo en el artículo 2.2.14.1.24 del Decreto 1833 de 2016, pero dejaron de lado, por una parte, que no le notificaron al accionante la suspensión del beneficio que venía recibiendo, o por lo menos ello quedó sin demostración, y por otra, que Colpensiones lo mantuvo afiliado hasta enero de 2014 y permitió que él continuara realizando aportes, sin advertirle que las semanas no estaban siendo contabilizadas.</w:t>
      </w:r>
    </w:p>
    <w:p w14:paraId="2826DAEF" w14:textId="77777777" w:rsidR="00682421" w:rsidRPr="00682421" w:rsidRDefault="00682421" w:rsidP="00682421">
      <w:pPr>
        <w:widowControl w:val="0"/>
        <w:autoSpaceDE w:val="0"/>
        <w:autoSpaceDN w:val="0"/>
        <w:spacing w:after="0" w:line="240" w:lineRule="auto"/>
        <w:jc w:val="both"/>
        <w:rPr>
          <w:rFonts w:ascii="Arial" w:eastAsia="Times New Roman" w:hAnsi="Arial" w:cs="Arial"/>
          <w:sz w:val="20"/>
          <w:szCs w:val="20"/>
          <w:lang w:val="es-ES" w:eastAsia="es-ES"/>
        </w:rPr>
      </w:pPr>
    </w:p>
    <w:p w14:paraId="75A9D398" w14:textId="77777777" w:rsidR="00682421" w:rsidRPr="00682421" w:rsidRDefault="00682421" w:rsidP="00682421">
      <w:pPr>
        <w:widowControl w:val="0"/>
        <w:autoSpaceDE w:val="0"/>
        <w:autoSpaceDN w:val="0"/>
        <w:spacing w:after="0" w:line="240" w:lineRule="auto"/>
        <w:jc w:val="both"/>
        <w:rPr>
          <w:rFonts w:ascii="Arial" w:eastAsia="Times New Roman" w:hAnsi="Arial" w:cs="Arial"/>
          <w:sz w:val="20"/>
          <w:szCs w:val="20"/>
          <w:lang w:val="es-ES" w:eastAsia="es-ES"/>
        </w:rPr>
      </w:pPr>
    </w:p>
    <w:p w14:paraId="0F276715" w14:textId="77777777" w:rsidR="00682421" w:rsidRPr="00682421" w:rsidRDefault="00682421" w:rsidP="00682421">
      <w:pPr>
        <w:widowControl w:val="0"/>
        <w:autoSpaceDE w:val="0"/>
        <w:autoSpaceDN w:val="0"/>
        <w:spacing w:after="0" w:line="240" w:lineRule="auto"/>
        <w:jc w:val="both"/>
        <w:rPr>
          <w:rFonts w:ascii="Arial" w:eastAsia="Times New Roman" w:hAnsi="Arial" w:cs="Arial"/>
          <w:sz w:val="20"/>
          <w:szCs w:val="20"/>
          <w:lang w:val="es-ES" w:eastAsia="es-ES"/>
        </w:rPr>
      </w:pPr>
    </w:p>
    <w:p w14:paraId="75AA43A7" w14:textId="77777777" w:rsidR="00682421" w:rsidRPr="00682421" w:rsidRDefault="00682421" w:rsidP="00682421">
      <w:pPr>
        <w:widowControl w:val="0"/>
        <w:autoSpaceDE w:val="0"/>
        <w:autoSpaceDN w:val="0"/>
        <w:spacing w:after="0" w:line="276" w:lineRule="auto"/>
        <w:ind w:right="1213" w:firstLine="1701"/>
        <w:outlineLvl w:val="1"/>
        <w:rPr>
          <w:rFonts w:ascii="Gadugi" w:eastAsia="Gadugi" w:hAnsi="Gadugi" w:cs="Gadugi"/>
          <w:b/>
          <w:bCs/>
          <w:sz w:val="24"/>
          <w:szCs w:val="24"/>
          <w:lang w:val="es-ES"/>
        </w:rPr>
      </w:pPr>
      <w:r w:rsidRPr="00682421">
        <w:rPr>
          <w:rFonts w:ascii="Gadugi" w:eastAsia="Gadugi" w:hAnsi="Gadugi" w:cs="Gadugi"/>
          <w:b/>
          <w:bCs/>
          <w:sz w:val="24"/>
          <w:szCs w:val="24"/>
          <w:lang w:val="es-ES"/>
        </w:rPr>
        <w:t>TRIBUNAL SUPERIOR DEL DISTRITO JUDICIAL</w:t>
      </w:r>
    </w:p>
    <w:p w14:paraId="1FF25242" w14:textId="77777777" w:rsidR="00682421" w:rsidRPr="00682421" w:rsidRDefault="00682421" w:rsidP="00682421">
      <w:pPr>
        <w:widowControl w:val="0"/>
        <w:autoSpaceDE w:val="0"/>
        <w:autoSpaceDN w:val="0"/>
        <w:spacing w:after="0" w:line="276" w:lineRule="auto"/>
        <w:ind w:left="423" w:right="1213" w:firstLine="1701"/>
        <w:outlineLvl w:val="1"/>
        <w:rPr>
          <w:rFonts w:ascii="Gadugi" w:eastAsia="Gadugi" w:hAnsi="Gadugi" w:cs="Gadugi"/>
          <w:b/>
          <w:bCs/>
          <w:sz w:val="24"/>
          <w:szCs w:val="24"/>
          <w:lang w:val="es-ES"/>
        </w:rPr>
      </w:pPr>
      <w:r w:rsidRPr="00682421">
        <w:rPr>
          <w:rFonts w:ascii="Gadugi" w:eastAsia="Calibri" w:hAnsi="Gadugi" w:cs="Times New Roman"/>
          <w:b/>
          <w:sz w:val="24"/>
          <w:szCs w:val="24"/>
          <w:lang w:val="es-ES"/>
        </w:rPr>
        <w:t xml:space="preserve">     SALA DE DECISIÓN CIVIL FAMILIA </w:t>
      </w:r>
    </w:p>
    <w:p w14:paraId="2E4A79BB" w14:textId="77777777" w:rsidR="00682421" w:rsidRPr="00682421" w:rsidRDefault="00682421" w:rsidP="00682421">
      <w:pPr>
        <w:widowControl w:val="0"/>
        <w:autoSpaceDE w:val="0"/>
        <w:autoSpaceDN w:val="0"/>
        <w:spacing w:after="0" w:line="276" w:lineRule="auto"/>
        <w:ind w:firstLine="993"/>
        <w:jc w:val="both"/>
        <w:rPr>
          <w:rFonts w:ascii="Gadugi" w:eastAsia="Calibri" w:hAnsi="Gadugi" w:cs="Times New Roman"/>
          <w:sz w:val="24"/>
          <w:szCs w:val="24"/>
          <w:lang w:val="es-ES"/>
        </w:rPr>
      </w:pPr>
    </w:p>
    <w:p w14:paraId="7F4781C5" w14:textId="2D776012" w:rsidR="00756044" w:rsidRPr="00682421" w:rsidRDefault="007F5F4C" w:rsidP="00682421">
      <w:pPr>
        <w:overflowPunct w:val="0"/>
        <w:autoSpaceDE w:val="0"/>
        <w:autoSpaceDN w:val="0"/>
        <w:adjustRightInd w:val="0"/>
        <w:spacing w:after="0" w:line="276" w:lineRule="auto"/>
        <w:textAlignment w:val="baseline"/>
        <w:rPr>
          <w:rFonts w:ascii="Gadugi" w:eastAsia="Times New Roman" w:hAnsi="Gadugi" w:cs="Times New Roman"/>
          <w:sz w:val="24"/>
          <w:szCs w:val="24"/>
          <w:lang w:val="es-ES" w:eastAsia="es-ES"/>
        </w:rPr>
      </w:pPr>
      <w:r w:rsidRPr="00682421">
        <w:rPr>
          <w:rFonts w:ascii="Gadugi" w:eastAsia="Times New Roman" w:hAnsi="Gadugi" w:cs="Times New Roman"/>
          <w:sz w:val="24"/>
          <w:szCs w:val="24"/>
          <w:lang w:val="es-ES" w:eastAsia="es-ES"/>
        </w:rPr>
        <w:tab/>
      </w:r>
      <w:r w:rsidRPr="00682421">
        <w:rPr>
          <w:rFonts w:ascii="Gadugi" w:eastAsia="Times New Roman" w:hAnsi="Gadugi" w:cs="Times New Roman"/>
          <w:sz w:val="24"/>
          <w:szCs w:val="24"/>
          <w:lang w:val="es-ES" w:eastAsia="es-ES"/>
        </w:rPr>
        <w:tab/>
      </w:r>
      <w:r w:rsidRPr="00682421">
        <w:rPr>
          <w:rFonts w:ascii="Gadugi" w:eastAsia="Times New Roman" w:hAnsi="Gadugi" w:cs="Times New Roman"/>
          <w:sz w:val="24"/>
          <w:szCs w:val="24"/>
          <w:lang w:val="es-ES" w:eastAsia="es-ES"/>
        </w:rPr>
        <w:tab/>
      </w:r>
      <w:r w:rsidR="00756044" w:rsidRPr="00682421">
        <w:rPr>
          <w:rFonts w:ascii="Gadugi" w:eastAsia="Times New Roman" w:hAnsi="Gadugi" w:cs="Times New Roman"/>
          <w:sz w:val="24"/>
          <w:szCs w:val="24"/>
          <w:lang w:val="es-ES" w:eastAsia="es-ES"/>
        </w:rPr>
        <w:t>Magistrado: Jaime Alberto Saraza Naranjo</w:t>
      </w:r>
    </w:p>
    <w:p w14:paraId="7FF78513" w14:textId="77777777" w:rsidR="00BD6605" w:rsidRDefault="007F5F4C" w:rsidP="00BD6605">
      <w:pPr>
        <w:overflowPunct w:val="0"/>
        <w:autoSpaceDE w:val="0"/>
        <w:autoSpaceDN w:val="0"/>
        <w:adjustRightInd w:val="0"/>
        <w:spacing w:after="0" w:line="276" w:lineRule="auto"/>
        <w:ind w:left="1416"/>
        <w:textAlignment w:val="baseline"/>
        <w:rPr>
          <w:rFonts w:ascii="Gadugi" w:eastAsia="Times New Roman" w:hAnsi="Gadugi" w:cs="Times New Roman"/>
          <w:sz w:val="24"/>
          <w:szCs w:val="24"/>
          <w:lang w:val="es-ES" w:eastAsia="es-ES"/>
        </w:rPr>
      </w:pPr>
      <w:r w:rsidRPr="00682421">
        <w:rPr>
          <w:rFonts w:ascii="Gadugi" w:eastAsia="Times New Roman" w:hAnsi="Gadugi" w:cs="Times New Roman"/>
          <w:sz w:val="24"/>
          <w:szCs w:val="24"/>
          <w:lang w:val="es-ES" w:eastAsia="es-ES"/>
        </w:rPr>
        <w:tab/>
      </w:r>
    </w:p>
    <w:p w14:paraId="0D77D78E" w14:textId="6530108B" w:rsidR="00BD6605" w:rsidRDefault="00756044" w:rsidP="00BD6605">
      <w:pPr>
        <w:overflowPunct w:val="0"/>
        <w:autoSpaceDE w:val="0"/>
        <w:autoSpaceDN w:val="0"/>
        <w:adjustRightInd w:val="0"/>
        <w:spacing w:after="0" w:line="276" w:lineRule="auto"/>
        <w:ind w:left="1416" w:firstLine="708"/>
        <w:textAlignment w:val="baseline"/>
        <w:rPr>
          <w:rFonts w:ascii="Gadugi" w:eastAsia="Times New Roman" w:hAnsi="Gadugi" w:cs="Times New Roman"/>
          <w:sz w:val="24"/>
          <w:szCs w:val="24"/>
          <w:lang w:val="es-ES" w:eastAsia="es-ES"/>
        </w:rPr>
      </w:pPr>
      <w:r w:rsidRPr="00682421">
        <w:rPr>
          <w:rFonts w:ascii="Gadugi" w:eastAsia="Times New Roman" w:hAnsi="Gadugi" w:cs="Times New Roman"/>
          <w:sz w:val="24"/>
          <w:szCs w:val="24"/>
          <w:lang w:val="es-ES" w:eastAsia="es-ES"/>
        </w:rPr>
        <w:t>Pereira,</w:t>
      </w:r>
      <w:r w:rsidR="00080818" w:rsidRPr="00682421">
        <w:rPr>
          <w:rFonts w:ascii="Gadugi" w:eastAsia="Times New Roman" w:hAnsi="Gadugi" w:cs="Times New Roman"/>
          <w:sz w:val="24"/>
          <w:szCs w:val="24"/>
          <w:lang w:val="es-ES" w:eastAsia="es-ES"/>
        </w:rPr>
        <w:t xml:space="preserve"> </w:t>
      </w:r>
      <w:r w:rsidR="002B26BB" w:rsidRPr="00682421">
        <w:rPr>
          <w:rFonts w:ascii="Gadugi" w:eastAsia="Times New Roman" w:hAnsi="Gadugi" w:cs="Times New Roman"/>
          <w:sz w:val="24"/>
          <w:szCs w:val="24"/>
          <w:lang w:val="es-ES" w:eastAsia="es-ES"/>
        </w:rPr>
        <w:t>diciembre catorce de dos mil veintidós</w:t>
      </w:r>
    </w:p>
    <w:p w14:paraId="3C57768F" w14:textId="77777777" w:rsidR="00BD6605" w:rsidRDefault="00B71BD7" w:rsidP="00BD6605">
      <w:pPr>
        <w:overflowPunct w:val="0"/>
        <w:autoSpaceDE w:val="0"/>
        <w:autoSpaceDN w:val="0"/>
        <w:adjustRightInd w:val="0"/>
        <w:spacing w:after="0" w:line="276" w:lineRule="auto"/>
        <w:ind w:left="1416"/>
        <w:textAlignment w:val="baseline"/>
        <w:rPr>
          <w:rFonts w:ascii="Gadugi" w:eastAsia="Times New Roman" w:hAnsi="Gadugi" w:cs="Times New Roman"/>
          <w:sz w:val="24"/>
          <w:szCs w:val="24"/>
          <w:lang w:val="es-419" w:eastAsia="es-ES"/>
        </w:rPr>
      </w:pPr>
      <w:r w:rsidRPr="00682421">
        <w:rPr>
          <w:rFonts w:ascii="Gadugi" w:eastAsia="Times New Roman" w:hAnsi="Gadugi" w:cs="Times New Roman"/>
          <w:sz w:val="24"/>
          <w:szCs w:val="24"/>
          <w:lang w:val="es-419" w:eastAsia="es-ES"/>
        </w:rPr>
        <w:tab/>
      </w:r>
    </w:p>
    <w:p w14:paraId="16C3BE50" w14:textId="55B92F46" w:rsidR="005F6F58" w:rsidRPr="00682421" w:rsidRDefault="00756044" w:rsidP="00BD6605">
      <w:pPr>
        <w:overflowPunct w:val="0"/>
        <w:autoSpaceDE w:val="0"/>
        <w:autoSpaceDN w:val="0"/>
        <w:adjustRightInd w:val="0"/>
        <w:spacing w:after="0" w:line="276" w:lineRule="auto"/>
        <w:ind w:left="1416" w:firstLine="708"/>
        <w:textAlignment w:val="baseline"/>
        <w:rPr>
          <w:rFonts w:ascii="Gadugi" w:eastAsia="Times New Roman" w:hAnsi="Gadugi" w:cs="Times New Roman"/>
          <w:sz w:val="24"/>
          <w:szCs w:val="24"/>
          <w:lang w:val="es-ES" w:eastAsia="es-ES"/>
        </w:rPr>
      </w:pPr>
      <w:r w:rsidRPr="00682421">
        <w:rPr>
          <w:rFonts w:ascii="Gadugi" w:eastAsia="Times New Roman" w:hAnsi="Gadugi" w:cs="Times New Roman"/>
          <w:sz w:val="24"/>
          <w:szCs w:val="24"/>
          <w:lang w:val="es-ES" w:eastAsia="es-ES"/>
        </w:rPr>
        <w:t>Expediente</w:t>
      </w:r>
      <w:r w:rsidRPr="00682421">
        <w:rPr>
          <w:rFonts w:ascii="Gadugi" w:eastAsia="Times New Roman" w:hAnsi="Gadugi" w:cs="Times New Roman"/>
          <w:sz w:val="24"/>
          <w:szCs w:val="24"/>
          <w:lang w:val="es-419" w:eastAsia="es-ES"/>
        </w:rPr>
        <w:t>s:</w:t>
      </w:r>
      <w:r w:rsidR="004F7764" w:rsidRPr="00682421">
        <w:rPr>
          <w:rFonts w:ascii="Gadugi" w:eastAsia="Times New Roman" w:hAnsi="Gadugi" w:cs="Times New Roman"/>
          <w:sz w:val="24"/>
          <w:szCs w:val="24"/>
          <w:lang w:val="es-ES" w:eastAsia="es-ES"/>
        </w:rPr>
        <w:t xml:space="preserve"> </w:t>
      </w:r>
      <w:r w:rsidR="009B3F5E" w:rsidRPr="00682421">
        <w:rPr>
          <w:rFonts w:ascii="Gadugi" w:eastAsia="Times New Roman" w:hAnsi="Gadugi" w:cs="Times New Roman"/>
          <w:sz w:val="24"/>
          <w:szCs w:val="24"/>
          <w:lang w:val="es-ES" w:eastAsia="es-ES"/>
        </w:rPr>
        <w:t>66001310300120220048601</w:t>
      </w:r>
    </w:p>
    <w:p w14:paraId="6C498CCE" w14:textId="0A53126D" w:rsidR="007F5F4C" w:rsidRPr="00682421" w:rsidRDefault="00426DA0" w:rsidP="00BD6605">
      <w:pPr>
        <w:overflowPunct w:val="0"/>
        <w:autoSpaceDE w:val="0"/>
        <w:autoSpaceDN w:val="0"/>
        <w:adjustRightInd w:val="0"/>
        <w:spacing w:after="0" w:line="276" w:lineRule="auto"/>
        <w:textAlignment w:val="baseline"/>
        <w:rPr>
          <w:rFonts w:ascii="Gadugi" w:eastAsia="Times New Roman" w:hAnsi="Gadugi" w:cs="Times New Roman"/>
          <w:sz w:val="24"/>
          <w:szCs w:val="24"/>
          <w:lang w:val="es-ES" w:eastAsia="es-ES"/>
        </w:rPr>
      </w:pPr>
      <w:r w:rsidRPr="00682421">
        <w:rPr>
          <w:rFonts w:ascii="Gadugi" w:eastAsia="Times New Roman" w:hAnsi="Gadugi" w:cs="Times New Roman"/>
          <w:sz w:val="24"/>
          <w:szCs w:val="24"/>
          <w:lang w:val="es-ES" w:eastAsia="es-ES"/>
        </w:rPr>
        <w:tab/>
      </w:r>
      <w:r w:rsidR="00E44B84" w:rsidRPr="00682421">
        <w:rPr>
          <w:rFonts w:ascii="Gadugi" w:eastAsia="Times New Roman" w:hAnsi="Gadugi" w:cs="Times New Roman"/>
          <w:sz w:val="24"/>
          <w:szCs w:val="24"/>
          <w:lang w:val="es-ES" w:eastAsia="es-ES"/>
        </w:rPr>
        <w:tab/>
      </w:r>
      <w:r w:rsidR="00D648B7" w:rsidRPr="00682421">
        <w:rPr>
          <w:rFonts w:ascii="Gadugi" w:eastAsia="Times New Roman" w:hAnsi="Gadugi" w:cs="Times New Roman"/>
          <w:sz w:val="24"/>
          <w:szCs w:val="24"/>
          <w:lang w:val="es-ES" w:eastAsia="es-ES"/>
        </w:rPr>
        <w:tab/>
      </w:r>
      <w:r w:rsidR="00422311" w:rsidRPr="00682421">
        <w:rPr>
          <w:rFonts w:ascii="Gadugi" w:eastAsia="Times New Roman" w:hAnsi="Gadugi" w:cs="Times New Roman"/>
          <w:sz w:val="24"/>
          <w:szCs w:val="24"/>
          <w:lang w:val="es-ES" w:eastAsia="es-ES"/>
        </w:rPr>
        <w:t>Acta</w:t>
      </w:r>
      <w:r w:rsidR="00E01B05" w:rsidRPr="00682421">
        <w:rPr>
          <w:rFonts w:ascii="Gadugi" w:eastAsia="Times New Roman" w:hAnsi="Gadugi" w:cs="Times New Roman"/>
          <w:sz w:val="24"/>
          <w:szCs w:val="24"/>
          <w:lang w:val="es-ES" w:eastAsia="es-ES"/>
        </w:rPr>
        <w:t>:</w:t>
      </w:r>
      <w:r w:rsidR="002B26BB" w:rsidRPr="00682421">
        <w:rPr>
          <w:rFonts w:ascii="Gadugi" w:eastAsia="Times New Roman" w:hAnsi="Gadugi" w:cs="Times New Roman"/>
          <w:sz w:val="24"/>
          <w:szCs w:val="24"/>
          <w:lang w:val="es-ES" w:eastAsia="es-ES"/>
        </w:rPr>
        <w:t xml:space="preserve"> 627 del 14 de diciembre de 2022</w:t>
      </w:r>
    </w:p>
    <w:p w14:paraId="36D873CF" w14:textId="28394526" w:rsidR="00422311" w:rsidRPr="00682421" w:rsidRDefault="007F5F4C" w:rsidP="00BD6605">
      <w:pPr>
        <w:overflowPunct w:val="0"/>
        <w:autoSpaceDE w:val="0"/>
        <w:autoSpaceDN w:val="0"/>
        <w:adjustRightInd w:val="0"/>
        <w:spacing w:after="0" w:line="276" w:lineRule="auto"/>
        <w:textAlignment w:val="baseline"/>
        <w:rPr>
          <w:rFonts w:ascii="Gadugi" w:eastAsia="Times New Roman" w:hAnsi="Gadugi" w:cs="Times New Roman"/>
          <w:sz w:val="24"/>
          <w:szCs w:val="24"/>
          <w:lang w:val="es-419" w:eastAsia="es-ES"/>
        </w:rPr>
      </w:pPr>
      <w:r w:rsidRPr="00682421">
        <w:rPr>
          <w:rFonts w:ascii="Gadugi" w:eastAsia="Times New Roman" w:hAnsi="Gadugi" w:cs="Times New Roman"/>
          <w:sz w:val="24"/>
          <w:szCs w:val="24"/>
          <w:lang w:val="es-419" w:eastAsia="es-ES"/>
        </w:rPr>
        <w:tab/>
      </w:r>
      <w:r w:rsidRPr="00682421">
        <w:rPr>
          <w:rFonts w:ascii="Gadugi" w:eastAsia="Times New Roman" w:hAnsi="Gadugi" w:cs="Times New Roman"/>
          <w:sz w:val="24"/>
          <w:szCs w:val="24"/>
          <w:lang w:val="es-419" w:eastAsia="es-ES"/>
        </w:rPr>
        <w:tab/>
      </w:r>
      <w:r w:rsidRPr="00682421">
        <w:rPr>
          <w:rFonts w:ascii="Gadugi" w:eastAsia="Times New Roman" w:hAnsi="Gadugi" w:cs="Times New Roman"/>
          <w:sz w:val="24"/>
          <w:szCs w:val="24"/>
          <w:lang w:val="es-419" w:eastAsia="es-ES"/>
        </w:rPr>
        <w:tab/>
      </w:r>
      <w:r w:rsidR="00422311" w:rsidRPr="00682421">
        <w:rPr>
          <w:rFonts w:ascii="Gadugi" w:eastAsia="Times New Roman" w:hAnsi="Gadugi" w:cs="Times New Roman"/>
          <w:sz w:val="24"/>
          <w:szCs w:val="24"/>
          <w:lang w:val="es-419" w:eastAsia="es-ES"/>
        </w:rPr>
        <w:t>Sentencia</w:t>
      </w:r>
      <w:r w:rsidR="00E01B05" w:rsidRPr="00682421">
        <w:rPr>
          <w:rFonts w:ascii="Gadugi" w:eastAsia="Times New Roman" w:hAnsi="Gadugi" w:cs="Times New Roman"/>
          <w:sz w:val="24"/>
          <w:szCs w:val="24"/>
          <w:lang w:val="es-419" w:eastAsia="es-ES"/>
        </w:rPr>
        <w:t xml:space="preserve">: </w:t>
      </w:r>
      <w:bookmarkStart w:id="0" w:name="_GoBack"/>
      <w:r w:rsidR="002B26BB" w:rsidRPr="00682421">
        <w:rPr>
          <w:rFonts w:ascii="Gadugi" w:eastAsia="Times New Roman" w:hAnsi="Gadugi" w:cs="Times New Roman"/>
          <w:sz w:val="24"/>
          <w:szCs w:val="24"/>
          <w:lang w:val="es-419" w:eastAsia="es-ES"/>
        </w:rPr>
        <w:t>ST2-0464-2022</w:t>
      </w:r>
      <w:bookmarkEnd w:id="0"/>
    </w:p>
    <w:p w14:paraId="28DF98C7" w14:textId="77777777" w:rsidR="00756044" w:rsidRPr="00682421" w:rsidRDefault="00756044" w:rsidP="00682421">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133F627" w14:textId="04596DBE" w:rsidR="00FA2B3E" w:rsidRPr="00EB7B45" w:rsidRDefault="00756044" w:rsidP="00682421">
      <w:pPr>
        <w:overflowPunct w:val="0"/>
        <w:autoSpaceDE w:val="0"/>
        <w:autoSpaceDN w:val="0"/>
        <w:adjustRightInd w:val="0"/>
        <w:spacing w:after="0" w:line="276" w:lineRule="auto"/>
        <w:jc w:val="both"/>
        <w:textAlignment w:val="baseline"/>
        <w:rPr>
          <w:rFonts w:ascii="Gadugi" w:eastAsia="Times New Roman" w:hAnsi="Gadugi" w:cs="Arial"/>
          <w:bCs/>
          <w:spacing w:val="-4"/>
          <w:sz w:val="24"/>
          <w:szCs w:val="24"/>
          <w:lang w:val="es-ES" w:eastAsia="es-ES"/>
        </w:rPr>
      </w:pPr>
      <w:r w:rsidRPr="00EB7B45">
        <w:rPr>
          <w:rFonts w:ascii="Gadugi" w:eastAsia="Times New Roman" w:hAnsi="Gadugi" w:cs="Arial"/>
          <w:spacing w:val="-4"/>
          <w:sz w:val="24"/>
          <w:szCs w:val="24"/>
          <w:lang w:val="es-ES" w:eastAsia="es-ES"/>
        </w:rPr>
        <w:t xml:space="preserve">Procede la Sala a decidir la </w:t>
      </w:r>
      <w:r w:rsidRPr="00EB7B45">
        <w:rPr>
          <w:rFonts w:ascii="Gadugi" w:eastAsia="Times New Roman" w:hAnsi="Gadugi" w:cs="Arial"/>
          <w:spacing w:val="-4"/>
          <w:sz w:val="24"/>
          <w:szCs w:val="24"/>
          <w:lang w:val="es-419" w:eastAsia="es-ES"/>
        </w:rPr>
        <w:t xml:space="preserve">impugnación propuesta por </w:t>
      </w:r>
      <w:r w:rsidR="00B844BD" w:rsidRPr="00EB7B45">
        <w:rPr>
          <w:rFonts w:ascii="Gadugi" w:eastAsia="Times New Roman" w:hAnsi="Gadugi" w:cs="Arial"/>
          <w:spacing w:val="-4"/>
          <w:sz w:val="24"/>
          <w:szCs w:val="24"/>
          <w:lang w:val="es-419" w:eastAsia="es-ES"/>
        </w:rPr>
        <w:t>el accionante</w:t>
      </w:r>
      <w:r w:rsidRPr="00EB7B45">
        <w:rPr>
          <w:rFonts w:ascii="Gadugi" w:eastAsia="Times New Roman" w:hAnsi="Gadugi" w:cs="Arial"/>
          <w:spacing w:val="-4"/>
          <w:sz w:val="24"/>
          <w:szCs w:val="24"/>
          <w:lang w:val="es-419" w:eastAsia="es-ES"/>
        </w:rPr>
        <w:t xml:space="preserve"> contra la sentencia del </w:t>
      </w:r>
      <w:r w:rsidR="009B3F5E" w:rsidRPr="00EB7B45">
        <w:rPr>
          <w:rFonts w:ascii="Gadugi" w:eastAsia="Times New Roman" w:hAnsi="Gadugi" w:cs="Arial"/>
          <w:spacing w:val="-4"/>
          <w:sz w:val="24"/>
          <w:szCs w:val="24"/>
          <w:lang w:val="es-419" w:eastAsia="es-ES"/>
        </w:rPr>
        <w:t>3</w:t>
      </w:r>
      <w:r w:rsidR="00F43CD2" w:rsidRPr="00EB7B45">
        <w:rPr>
          <w:rFonts w:ascii="Gadugi" w:eastAsia="Times New Roman" w:hAnsi="Gadugi" w:cs="Arial"/>
          <w:spacing w:val="-4"/>
          <w:sz w:val="24"/>
          <w:szCs w:val="24"/>
          <w:lang w:val="es-419" w:eastAsia="es-ES"/>
        </w:rPr>
        <w:t xml:space="preserve"> de </w:t>
      </w:r>
      <w:r w:rsidR="009B3F5E" w:rsidRPr="00EB7B45">
        <w:rPr>
          <w:rFonts w:ascii="Gadugi" w:eastAsia="Times New Roman" w:hAnsi="Gadugi" w:cs="Arial"/>
          <w:spacing w:val="-4"/>
          <w:sz w:val="24"/>
          <w:szCs w:val="24"/>
          <w:lang w:val="es-419" w:eastAsia="es-ES"/>
        </w:rPr>
        <w:t>noviembre</w:t>
      </w:r>
      <w:r w:rsidR="00E44B84" w:rsidRPr="00EB7B45">
        <w:rPr>
          <w:rFonts w:ascii="Gadugi" w:eastAsia="Times New Roman" w:hAnsi="Gadugi" w:cs="Arial"/>
          <w:spacing w:val="-4"/>
          <w:sz w:val="24"/>
          <w:szCs w:val="24"/>
          <w:lang w:val="es-419" w:eastAsia="es-ES"/>
        </w:rPr>
        <w:t xml:space="preserve"> de 202</w:t>
      </w:r>
      <w:r w:rsidR="001865F5" w:rsidRPr="00EB7B45">
        <w:rPr>
          <w:rFonts w:ascii="Gadugi" w:eastAsia="Times New Roman" w:hAnsi="Gadugi" w:cs="Arial"/>
          <w:spacing w:val="-4"/>
          <w:sz w:val="24"/>
          <w:szCs w:val="24"/>
          <w:lang w:val="es-419" w:eastAsia="es-ES"/>
        </w:rPr>
        <w:t>2</w:t>
      </w:r>
      <w:r w:rsidRPr="00EB7B45">
        <w:rPr>
          <w:rFonts w:ascii="Gadugi" w:eastAsia="Times New Roman" w:hAnsi="Gadugi" w:cs="Arial"/>
          <w:spacing w:val="-4"/>
          <w:sz w:val="24"/>
          <w:szCs w:val="24"/>
          <w:lang w:val="es-CO" w:eastAsia="es-ES"/>
        </w:rPr>
        <w:t>,</w:t>
      </w:r>
      <w:r w:rsidRPr="00EB7B45">
        <w:rPr>
          <w:rFonts w:ascii="Gadugi" w:eastAsia="Times New Roman" w:hAnsi="Gadugi" w:cs="Arial"/>
          <w:spacing w:val="-4"/>
          <w:sz w:val="24"/>
          <w:szCs w:val="24"/>
          <w:lang w:val="es-419" w:eastAsia="es-ES"/>
        </w:rPr>
        <w:t xml:space="preserve"> proferida por el </w:t>
      </w:r>
      <w:r w:rsidR="00F43CD2" w:rsidRPr="00EB7B45">
        <w:rPr>
          <w:rFonts w:ascii="Gadugi" w:hAnsi="Gadugi" w:cs="Arial"/>
          <w:spacing w:val="-4"/>
          <w:sz w:val="24"/>
          <w:szCs w:val="24"/>
          <w:lang w:val="es-419"/>
        </w:rPr>
        <w:t>Juzgado</w:t>
      </w:r>
      <w:r w:rsidR="00EC1754" w:rsidRPr="00EB7B45">
        <w:rPr>
          <w:rFonts w:ascii="Gadugi" w:hAnsi="Gadugi" w:cs="Arial"/>
          <w:spacing w:val="-4"/>
          <w:sz w:val="24"/>
          <w:szCs w:val="24"/>
          <w:lang w:val="es-CO"/>
        </w:rPr>
        <w:t xml:space="preserve"> </w:t>
      </w:r>
      <w:r w:rsidR="009B3F5E" w:rsidRPr="00EB7B45">
        <w:rPr>
          <w:rFonts w:ascii="Gadugi" w:hAnsi="Gadugi" w:cs="Arial"/>
          <w:spacing w:val="-4"/>
          <w:sz w:val="24"/>
          <w:szCs w:val="24"/>
          <w:lang w:val="es-CO"/>
        </w:rPr>
        <w:t>Primero</w:t>
      </w:r>
      <w:r w:rsidR="00C1558F" w:rsidRPr="00EB7B45">
        <w:rPr>
          <w:rFonts w:ascii="Gadugi" w:hAnsi="Gadugi" w:cs="Arial"/>
          <w:spacing w:val="-4"/>
          <w:sz w:val="24"/>
          <w:szCs w:val="24"/>
          <w:lang w:val="es-CO"/>
        </w:rPr>
        <w:t xml:space="preserve"> </w:t>
      </w:r>
      <w:r w:rsidR="001865F5" w:rsidRPr="00EB7B45">
        <w:rPr>
          <w:rFonts w:ascii="Gadugi" w:hAnsi="Gadugi" w:cs="Arial"/>
          <w:spacing w:val="-4"/>
          <w:sz w:val="24"/>
          <w:szCs w:val="24"/>
          <w:lang w:val="es-CO"/>
        </w:rPr>
        <w:t xml:space="preserve">Civil del Circuito de </w:t>
      </w:r>
      <w:r w:rsidR="00C1558F" w:rsidRPr="00EB7B45">
        <w:rPr>
          <w:rFonts w:ascii="Gadugi" w:hAnsi="Gadugi" w:cs="Arial"/>
          <w:spacing w:val="-4"/>
          <w:sz w:val="24"/>
          <w:szCs w:val="24"/>
          <w:lang w:val="es-CO"/>
        </w:rPr>
        <w:t>Pereira</w:t>
      </w:r>
      <w:r w:rsidRPr="00EB7B45">
        <w:rPr>
          <w:rFonts w:ascii="Gadugi" w:eastAsia="Times New Roman" w:hAnsi="Gadugi" w:cs="Arial"/>
          <w:spacing w:val="-4"/>
          <w:sz w:val="24"/>
          <w:szCs w:val="24"/>
          <w:lang w:val="es-419" w:eastAsia="es-ES"/>
        </w:rPr>
        <w:t xml:space="preserve">, en esta </w:t>
      </w:r>
      <w:r w:rsidRPr="00EB7B45">
        <w:rPr>
          <w:rFonts w:ascii="Gadugi" w:eastAsia="Times New Roman" w:hAnsi="Gadugi" w:cs="Arial"/>
          <w:b/>
          <w:spacing w:val="-4"/>
          <w:sz w:val="24"/>
          <w:szCs w:val="24"/>
          <w:lang w:val="es-ES" w:eastAsia="es-ES"/>
        </w:rPr>
        <w:t>acción de tutela</w:t>
      </w:r>
      <w:r w:rsidRPr="00EB7B45">
        <w:rPr>
          <w:rFonts w:ascii="Gadugi" w:eastAsia="Times New Roman" w:hAnsi="Gadugi" w:cs="Arial"/>
          <w:spacing w:val="-4"/>
          <w:sz w:val="24"/>
          <w:szCs w:val="24"/>
          <w:lang w:val="es-ES" w:eastAsia="es-ES"/>
        </w:rPr>
        <w:t xml:space="preserve"> que </w:t>
      </w:r>
      <w:r w:rsidR="009B3F5E" w:rsidRPr="00EB7B45">
        <w:rPr>
          <w:rFonts w:ascii="Gadugi" w:eastAsia="Times New Roman" w:hAnsi="Gadugi" w:cs="Arial"/>
          <w:b/>
          <w:spacing w:val="-4"/>
          <w:sz w:val="24"/>
          <w:szCs w:val="24"/>
          <w:lang w:val="es-ES" w:eastAsia="es-ES"/>
        </w:rPr>
        <w:t xml:space="preserve">José Fernando Echeverry </w:t>
      </w:r>
      <w:r w:rsidRPr="00EB7B45">
        <w:rPr>
          <w:rFonts w:ascii="Gadugi" w:eastAsia="Times New Roman" w:hAnsi="Gadugi" w:cs="Arial"/>
          <w:spacing w:val="-4"/>
          <w:sz w:val="24"/>
          <w:szCs w:val="24"/>
          <w:lang w:val="es-ES" w:eastAsia="es-ES"/>
        </w:rPr>
        <w:t xml:space="preserve">promovió </w:t>
      </w:r>
      <w:r w:rsidRPr="00EB7B45">
        <w:rPr>
          <w:rFonts w:ascii="Gadugi" w:eastAsia="Times New Roman" w:hAnsi="Gadugi" w:cs="Arial"/>
          <w:spacing w:val="-4"/>
          <w:sz w:val="24"/>
          <w:szCs w:val="24"/>
          <w:lang w:val="es-419" w:eastAsia="es-ES"/>
        </w:rPr>
        <w:t xml:space="preserve">frente a </w:t>
      </w:r>
      <w:r w:rsidR="009B3F5E" w:rsidRPr="00EB7B45">
        <w:rPr>
          <w:rFonts w:ascii="Gadugi" w:eastAsia="Times New Roman" w:hAnsi="Gadugi" w:cs="Arial"/>
          <w:b/>
          <w:spacing w:val="-4"/>
          <w:sz w:val="24"/>
          <w:szCs w:val="24"/>
          <w:lang w:val="es-ES" w:eastAsia="es-ES"/>
        </w:rPr>
        <w:t xml:space="preserve">Colpensiones </w:t>
      </w:r>
      <w:r w:rsidR="009B3F5E" w:rsidRPr="00EB7B45">
        <w:rPr>
          <w:rFonts w:ascii="Gadugi" w:eastAsia="Times New Roman" w:hAnsi="Gadugi" w:cs="Arial"/>
          <w:spacing w:val="-4"/>
          <w:sz w:val="24"/>
          <w:szCs w:val="24"/>
          <w:lang w:val="es-ES" w:eastAsia="es-ES"/>
        </w:rPr>
        <w:t xml:space="preserve">y la </w:t>
      </w:r>
      <w:r w:rsidR="00103855" w:rsidRPr="00EB7B45">
        <w:rPr>
          <w:rFonts w:ascii="Gadugi" w:eastAsia="Times New Roman" w:hAnsi="Gadugi" w:cs="Arial"/>
          <w:spacing w:val="-4"/>
          <w:sz w:val="24"/>
          <w:szCs w:val="24"/>
          <w:lang w:val="es-ES" w:eastAsia="es-ES"/>
        </w:rPr>
        <w:t>S</w:t>
      </w:r>
      <w:r w:rsidR="00103855" w:rsidRPr="00EB7B45">
        <w:rPr>
          <w:rFonts w:ascii="Gadugi" w:eastAsia="Times New Roman" w:hAnsi="Gadugi" w:cs="Arial"/>
          <w:b/>
          <w:spacing w:val="-4"/>
          <w:sz w:val="24"/>
          <w:szCs w:val="24"/>
          <w:lang w:val="es-ES" w:eastAsia="es-ES"/>
        </w:rPr>
        <w:t xml:space="preserve">ociedad Fiduciaria de Desarrollo Agropecuario S.A. – Fiduagraria </w:t>
      </w:r>
      <w:r w:rsidR="00ED3086" w:rsidRPr="00EB7B45">
        <w:rPr>
          <w:rFonts w:ascii="Gadugi" w:eastAsia="Times New Roman" w:hAnsi="Gadugi" w:cs="Arial"/>
          <w:b/>
          <w:spacing w:val="-4"/>
          <w:sz w:val="24"/>
          <w:szCs w:val="24"/>
          <w:lang w:val="es-ES" w:eastAsia="es-ES"/>
        </w:rPr>
        <w:t>S.A.</w:t>
      </w:r>
      <w:r w:rsidR="00103855" w:rsidRPr="00EB7B45">
        <w:rPr>
          <w:rFonts w:ascii="Gadugi" w:eastAsia="Times New Roman" w:hAnsi="Gadugi" w:cs="Arial"/>
          <w:b/>
          <w:spacing w:val="-4"/>
          <w:sz w:val="24"/>
          <w:szCs w:val="24"/>
          <w:lang w:val="es-ES" w:eastAsia="es-ES"/>
        </w:rPr>
        <w:t>, administradora fiduciaria del fondo de solidaridad pensional</w:t>
      </w:r>
      <w:r w:rsidR="00602B75" w:rsidRPr="00EB7B45">
        <w:rPr>
          <w:rFonts w:ascii="Gadugi" w:eastAsia="Times New Roman" w:hAnsi="Gadugi" w:cs="Arial"/>
          <w:spacing w:val="-4"/>
          <w:sz w:val="24"/>
          <w:szCs w:val="24"/>
          <w:lang w:val="es-ES" w:eastAsia="es-ES"/>
        </w:rPr>
        <w:t xml:space="preserve">, y a la que fue vinculado el Mintrabajo. </w:t>
      </w:r>
    </w:p>
    <w:p w14:paraId="1BC3FA8D" w14:textId="1F42B60D" w:rsidR="00756044" w:rsidRPr="00B501C4" w:rsidRDefault="00756044"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486FC1D2" w14:textId="4CE609BE" w:rsidR="00756044" w:rsidRPr="00EB7B45" w:rsidRDefault="007F5F4C" w:rsidP="00682421">
      <w:pPr>
        <w:overflowPunct w:val="0"/>
        <w:autoSpaceDE w:val="0"/>
        <w:autoSpaceDN w:val="0"/>
        <w:adjustRightInd w:val="0"/>
        <w:spacing w:after="0" w:line="276" w:lineRule="auto"/>
        <w:textAlignment w:val="baseline"/>
        <w:rPr>
          <w:rFonts w:ascii="Gadugi" w:eastAsia="Times New Roman" w:hAnsi="Gadugi" w:cs="Arial"/>
          <w:spacing w:val="-4"/>
          <w:sz w:val="24"/>
          <w:szCs w:val="24"/>
          <w:lang w:val="es-ES" w:eastAsia="es-ES"/>
        </w:rPr>
      </w:pPr>
      <w:r w:rsidRPr="00EB7B45">
        <w:rPr>
          <w:rFonts w:ascii="Gadugi" w:eastAsia="Times New Roman" w:hAnsi="Gadugi" w:cs="Arial"/>
          <w:b/>
          <w:bCs/>
          <w:spacing w:val="-4"/>
          <w:sz w:val="24"/>
          <w:szCs w:val="24"/>
          <w:lang w:val="es-ES" w:eastAsia="es-ES"/>
        </w:rPr>
        <w:t xml:space="preserve">1. </w:t>
      </w:r>
      <w:r w:rsidR="00756044" w:rsidRPr="00EB7B45">
        <w:rPr>
          <w:rFonts w:ascii="Gadugi" w:eastAsia="Times New Roman" w:hAnsi="Gadugi" w:cs="Arial"/>
          <w:b/>
          <w:bCs/>
          <w:spacing w:val="-4"/>
          <w:sz w:val="24"/>
          <w:szCs w:val="24"/>
          <w:lang w:val="es-ES" w:eastAsia="es-ES"/>
        </w:rPr>
        <w:t>ANTECEDENTES</w:t>
      </w:r>
    </w:p>
    <w:p w14:paraId="71AF52D6" w14:textId="20287BF3" w:rsidR="00756044" w:rsidRPr="00B501C4" w:rsidRDefault="00756044"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5C04CD77" w14:textId="5846DC96" w:rsidR="009B3F5E" w:rsidRPr="00EB7B45" w:rsidRDefault="007F5F4C"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 xml:space="preserve">1.1. </w:t>
      </w:r>
      <w:r w:rsidR="009B3F5E" w:rsidRPr="00EB7B45">
        <w:rPr>
          <w:rFonts w:ascii="Gadugi" w:eastAsia="Times New Roman" w:hAnsi="Gadugi" w:cs="Arial"/>
          <w:spacing w:val="-4"/>
          <w:sz w:val="24"/>
          <w:szCs w:val="24"/>
          <w:lang w:val="es-419" w:eastAsia="es-ES"/>
        </w:rPr>
        <w:t xml:space="preserve">De la demanda </w:t>
      </w:r>
      <w:r w:rsidR="001A2F06" w:rsidRPr="00EB7B45">
        <w:rPr>
          <w:rFonts w:ascii="Gadugi" w:eastAsia="Times New Roman" w:hAnsi="Gadugi" w:cs="Arial"/>
          <w:spacing w:val="-4"/>
          <w:sz w:val="24"/>
          <w:szCs w:val="24"/>
          <w:lang w:val="es-419" w:eastAsia="es-ES"/>
        </w:rPr>
        <w:t xml:space="preserve">y sus anexos </w:t>
      </w:r>
      <w:r w:rsidR="009B3F5E" w:rsidRPr="00EB7B45">
        <w:rPr>
          <w:rFonts w:ascii="Gadugi" w:eastAsia="Times New Roman" w:hAnsi="Gadugi" w:cs="Arial"/>
          <w:spacing w:val="-4"/>
          <w:sz w:val="24"/>
          <w:szCs w:val="24"/>
          <w:lang w:val="es-419" w:eastAsia="es-ES"/>
        </w:rPr>
        <w:t xml:space="preserve">se extrae, en síntesis, </w:t>
      </w:r>
      <w:r w:rsidR="00D63DDB" w:rsidRPr="00EB7B45">
        <w:rPr>
          <w:rFonts w:ascii="Gadugi" w:eastAsia="Times New Roman" w:hAnsi="Gadugi" w:cs="Arial"/>
          <w:spacing w:val="-4"/>
          <w:sz w:val="24"/>
          <w:szCs w:val="24"/>
          <w:lang w:val="es-419" w:eastAsia="es-ES"/>
        </w:rPr>
        <w:t xml:space="preserve">que </w:t>
      </w:r>
      <w:r w:rsidR="001A2F06" w:rsidRPr="00EB7B45">
        <w:rPr>
          <w:rFonts w:ascii="Gadugi" w:eastAsia="Times New Roman" w:hAnsi="Gadugi" w:cs="Arial"/>
          <w:spacing w:val="-4"/>
          <w:sz w:val="24"/>
          <w:szCs w:val="24"/>
          <w:lang w:val="es-419" w:eastAsia="es-ES"/>
        </w:rPr>
        <w:t xml:space="preserve">el demandante cuenta con 74 años de edad, fue calificado el 16 de mayo de 2016 con el 50,27% de su PCL con fecha de estructuración del 9 de diciembre de 2015. </w:t>
      </w:r>
      <w:r w:rsidR="004348C9" w:rsidRPr="00EB7B45">
        <w:rPr>
          <w:rFonts w:ascii="Gadugi" w:eastAsia="Times New Roman" w:hAnsi="Gadugi" w:cs="Arial"/>
          <w:spacing w:val="-4"/>
          <w:sz w:val="24"/>
          <w:szCs w:val="24"/>
          <w:lang w:val="es-419" w:eastAsia="es-ES"/>
        </w:rPr>
        <w:tab/>
      </w:r>
      <w:r w:rsidR="004348C9" w:rsidRPr="00EB7B45">
        <w:rPr>
          <w:rFonts w:ascii="Gadugi" w:eastAsia="Times New Roman" w:hAnsi="Gadugi" w:cs="Arial"/>
          <w:spacing w:val="-4"/>
          <w:sz w:val="24"/>
          <w:szCs w:val="24"/>
          <w:lang w:val="es-419" w:eastAsia="es-ES"/>
        </w:rPr>
        <w:tab/>
      </w:r>
    </w:p>
    <w:p w14:paraId="4E2C7896" w14:textId="238C4B1C" w:rsidR="001A2F06" w:rsidRPr="00B501C4" w:rsidRDefault="001A2F06"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1AFA511B" w14:textId="10D8FFF6" w:rsidR="001A2F06" w:rsidRPr="00EB7B45" w:rsidRDefault="001A2F06" w:rsidP="00682421">
      <w:pPr>
        <w:overflowPunct w:val="0"/>
        <w:autoSpaceDE w:val="0"/>
        <w:autoSpaceDN w:val="0"/>
        <w:adjustRightInd w:val="0"/>
        <w:spacing w:after="0" w:line="276" w:lineRule="auto"/>
        <w:jc w:val="both"/>
        <w:textAlignment w:val="baseline"/>
        <w:rPr>
          <w:rFonts w:ascii="Gadugi" w:eastAsia="Times New Roman" w:hAnsi="Gadugi" w:cs="Arial"/>
          <w:i/>
          <w:spacing w:val="-4"/>
          <w:sz w:val="24"/>
          <w:szCs w:val="24"/>
          <w:lang w:val="es-419" w:eastAsia="es-ES"/>
        </w:rPr>
      </w:pPr>
      <w:r w:rsidRPr="00EB7B45">
        <w:rPr>
          <w:rFonts w:ascii="Gadugi" w:eastAsia="Times New Roman" w:hAnsi="Gadugi" w:cs="Arial"/>
          <w:spacing w:val="-4"/>
          <w:sz w:val="24"/>
          <w:szCs w:val="24"/>
          <w:lang w:val="es-419" w:eastAsia="es-ES"/>
        </w:rPr>
        <w:t xml:space="preserve">Que toda su vida trabajó como agricultor y que desde el 1° de septiembre hasta el 31 de enero de 2014 realizó cotizaciones al sistema de pensiones </w:t>
      </w:r>
      <w:r w:rsidRPr="00EB7B45">
        <w:rPr>
          <w:rFonts w:ascii="Gadugi" w:eastAsia="Times New Roman" w:hAnsi="Gadugi" w:cs="Arial"/>
          <w:i/>
          <w:spacing w:val="-4"/>
          <w:sz w:val="24"/>
          <w:szCs w:val="24"/>
          <w:lang w:val="es-419" w:eastAsia="es-ES"/>
        </w:rPr>
        <w:t>“</w:t>
      </w:r>
      <w:r w:rsidRPr="00EB7B45">
        <w:rPr>
          <w:rFonts w:ascii="Gadugi" w:eastAsia="Times New Roman" w:hAnsi="Gadugi" w:cs="Arial"/>
          <w:i/>
          <w:spacing w:val="-4"/>
          <w:szCs w:val="24"/>
          <w:lang w:val="es-419" w:eastAsia="es-ES"/>
        </w:rPr>
        <w:t>(…) por medio del régimen subsidiado en ese momento administrado por el CONSORCIO PROSPERAR hoy FIDUAGRARIA – CONSORCIO EQUIEDAD</w:t>
      </w:r>
      <w:r w:rsidRPr="00EB7B45">
        <w:rPr>
          <w:rFonts w:ascii="Gadugi" w:eastAsia="Times New Roman" w:hAnsi="Gadugi" w:cs="Arial"/>
          <w:i/>
          <w:spacing w:val="-4"/>
          <w:sz w:val="24"/>
          <w:szCs w:val="24"/>
          <w:lang w:val="es-419" w:eastAsia="es-ES"/>
        </w:rPr>
        <w:t xml:space="preserve">”, </w:t>
      </w:r>
      <w:r w:rsidRPr="00EB7B45">
        <w:rPr>
          <w:rFonts w:ascii="Gadugi" w:eastAsia="Times New Roman" w:hAnsi="Gadugi" w:cs="Arial"/>
          <w:spacing w:val="-4"/>
          <w:sz w:val="24"/>
          <w:szCs w:val="24"/>
          <w:lang w:val="es-419" w:eastAsia="es-ES"/>
        </w:rPr>
        <w:t>sin embargo, al revisar su historia laboral encontró, con sorpresa, que solo le aparecían aportes hasta enero de 2013</w:t>
      </w:r>
      <w:r w:rsidR="006A4557" w:rsidRPr="00EB7B45">
        <w:rPr>
          <w:rFonts w:ascii="Gadugi" w:eastAsia="Times New Roman" w:hAnsi="Gadugi" w:cs="Arial"/>
          <w:spacing w:val="-4"/>
          <w:sz w:val="24"/>
          <w:szCs w:val="24"/>
          <w:lang w:val="es-419" w:eastAsia="es-ES"/>
        </w:rPr>
        <w:t xml:space="preserve">, y que, desde febrero de 2013, hasta enero de 2014 se observa la anotación </w:t>
      </w:r>
      <w:r w:rsidR="006A4557" w:rsidRPr="00EB7B45">
        <w:rPr>
          <w:rFonts w:ascii="Gadugi" w:eastAsia="Times New Roman" w:hAnsi="Gadugi" w:cs="Arial"/>
          <w:i/>
          <w:spacing w:val="-4"/>
          <w:sz w:val="24"/>
          <w:szCs w:val="24"/>
          <w:lang w:val="es-419" w:eastAsia="es-ES"/>
        </w:rPr>
        <w:t>“</w:t>
      </w:r>
      <w:r w:rsidR="006A4557" w:rsidRPr="00EB7B45">
        <w:rPr>
          <w:rFonts w:ascii="Gadugi" w:eastAsia="Times New Roman" w:hAnsi="Gadugi" w:cs="Arial"/>
          <w:i/>
          <w:spacing w:val="-4"/>
          <w:szCs w:val="24"/>
          <w:lang w:val="es-419" w:eastAsia="es-ES"/>
        </w:rPr>
        <w:t>Registra pagos con edad superior a 65 años</w:t>
      </w:r>
      <w:r w:rsidR="006A4557" w:rsidRPr="00EB7B45">
        <w:rPr>
          <w:rFonts w:ascii="Gadugi" w:eastAsia="Times New Roman" w:hAnsi="Gadugi" w:cs="Arial"/>
          <w:i/>
          <w:spacing w:val="-4"/>
          <w:sz w:val="24"/>
          <w:szCs w:val="24"/>
          <w:lang w:val="es-419" w:eastAsia="es-ES"/>
        </w:rPr>
        <w:t>”.</w:t>
      </w:r>
    </w:p>
    <w:p w14:paraId="299F2B3B" w14:textId="2E6E8FA8" w:rsidR="001A2F06" w:rsidRPr="00B501C4" w:rsidRDefault="001A2F06"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6D55BD5D" w14:textId="47CE13AB" w:rsidR="001A2F06" w:rsidRPr="00EB7B45" w:rsidRDefault="006A4557"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 xml:space="preserve">Por eso preguntó en Colpensiones por qué las últimas semanas no estaban cargadas, le contestaron que </w:t>
      </w:r>
      <w:r w:rsidRPr="00EB7B45">
        <w:rPr>
          <w:rFonts w:ascii="Gadugi" w:eastAsia="Times New Roman" w:hAnsi="Gadugi" w:cs="Arial"/>
          <w:i/>
          <w:spacing w:val="-4"/>
          <w:sz w:val="24"/>
          <w:szCs w:val="24"/>
          <w:lang w:val="es-419" w:eastAsia="es-ES"/>
        </w:rPr>
        <w:t>“</w:t>
      </w:r>
      <w:r w:rsidRPr="00EB7B45">
        <w:rPr>
          <w:rFonts w:ascii="Gadugi" w:eastAsia="Times New Roman" w:hAnsi="Gadugi" w:cs="Arial"/>
          <w:i/>
          <w:spacing w:val="-4"/>
          <w:szCs w:val="24"/>
          <w:lang w:val="es-419" w:eastAsia="es-ES"/>
        </w:rPr>
        <w:t>(…) el subsidio sólo iba hasta que cumpliera los 65 años</w:t>
      </w:r>
      <w:r w:rsidRPr="00EB7B45">
        <w:rPr>
          <w:rFonts w:ascii="Gadugi" w:eastAsia="Times New Roman" w:hAnsi="Gadugi" w:cs="Arial"/>
          <w:i/>
          <w:spacing w:val="-4"/>
          <w:sz w:val="24"/>
          <w:szCs w:val="24"/>
          <w:lang w:val="es-419" w:eastAsia="es-ES"/>
        </w:rPr>
        <w:t>”;</w:t>
      </w:r>
      <w:r w:rsidRPr="00EB7B45">
        <w:rPr>
          <w:rFonts w:ascii="Gadugi" w:eastAsia="Times New Roman" w:hAnsi="Gadugi" w:cs="Arial"/>
          <w:spacing w:val="-4"/>
          <w:sz w:val="24"/>
          <w:szCs w:val="24"/>
          <w:lang w:val="es-419" w:eastAsia="es-ES"/>
        </w:rPr>
        <w:t xml:space="preserve"> no obstante, él nunca fue notificado de esa situación. </w:t>
      </w:r>
    </w:p>
    <w:p w14:paraId="02A8C1EE" w14:textId="701730DD" w:rsidR="006A4557" w:rsidRPr="00B501C4" w:rsidRDefault="006A4557"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54062C73" w14:textId="0FD2A936" w:rsidR="006A4557" w:rsidRPr="00EB7B45" w:rsidRDefault="006A4557"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 xml:space="preserve">Así las cosas, presentó un derecho de petición a la Fiduagraria S.A., </w:t>
      </w:r>
      <w:r w:rsidR="00F0368E" w:rsidRPr="00EB7B45">
        <w:rPr>
          <w:rFonts w:ascii="Gadugi" w:eastAsia="Times New Roman" w:hAnsi="Gadugi" w:cs="Arial"/>
          <w:spacing w:val="-4"/>
          <w:sz w:val="24"/>
          <w:szCs w:val="24"/>
          <w:lang w:val="es-419" w:eastAsia="es-ES"/>
        </w:rPr>
        <w:t xml:space="preserve">solicitando copia de la notificación de la suspensión del subsidio, pero el 12 de marzo de 2021, la entidad le informó que </w:t>
      </w:r>
      <w:r w:rsidR="00F0368E" w:rsidRPr="00EB7B45">
        <w:rPr>
          <w:rFonts w:ascii="Gadugi" w:eastAsia="Times New Roman" w:hAnsi="Gadugi" w:cs="Arial"/>
          <w:i/>
          <w:spacing w:val="-4"/>
          <w:sz w:val="24"/>
          <w:szCs w:val="24"/>
          <w:lang w:val="es-419" w:eastAsia="es-ES"/>
        </w:rPr>
        <w:t>“</w:t>
      </w:r>
      <w:r w:rsidR="00F0368E" w:rsidRPr="00EB7B45">
        <w:rPr>
          <w:rFonts w:ascii="Gadugi" w:eastAsia="Times New Roman" w:hAnsi="Gadugi" w:cs="Arial"/>
          <w:i/>
          <w:spacing w:val="-4"/>
          <w:szCs w:val="24"/>
          <w:lang w:val="es-419" w:eastAsia="es-ES"/>
        </w:rPr>
        <w:t>(…) no posee custodia de las cartas de notificación por suspensión antes del año 2014</w:t>
      </w:r>
      <w:r w:rsidR="00F0368E" w:rsidRPr="00EB7B45">
        <w:rPr>
          <w:rFonts w:ascii="Gadugi" w:eastAsia="Times New Roman" w:hAnsi="Gadugi" w:cs="Arial"/>
          <w:i/>
          <w:spacing w:val="-4"/>
          <w:sz w:val="24"/>
          <w:szCs w:val="24"/>
          <w:lang w:val="es-419" w:eastAsia="es-ES"/>
        </w:rPr>
        <w:t>.”</w:t>
      </w:r>
      <w:r w:rsidR="00F0368E" w:rsidRPr="00EB7B45">
        <w:rPr>
          <w:rFonts w:ascii="Gadugi" w:eastAsia="Times New Roman" w:hAnsi="Gadugi" w:cs="Arial"/>
          <w:spacing w:val="-4"/>
          <w:sz w:val="24"/>
          <w:szCs w:val="24"/>
          <w:lang w:val="es-419" w:eastAsia="es-ES"/>
        </w:rPr>
        <w:t xml:space="preserve"> </w:t>
      </w:r>
    </w:p>
    <w:p w14:paraId="40E2B0FF" w14:textId="017D3543" w:rsidR="009B3F5E" w:rsidRPr="00B501C4" w:rsidRDefault="009B3F5E"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10AFA89F" w14:textId="5EEDACE2" w:rsidR="00F0368E" w:rsidRPr="00EB7B45" w:rsidRDefault="00F0368E"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 xml:space="preserve">Luego, el 14 de julio de 2022, envió sendos nuevos derechos de </w:t>
      </w:r>
      <w:r w:rsidR="002B26BB" w:rsidRPr="00EB7B45">
        <w:rPr>
          <w:rFonts w:ascii="Gadugi" w:eastAsia="Times New Roman" w:hAnsi="Gadugi" w:cs="Arial"/>
          <w:spacing w:val="-4"/>
          <w:sz w:val="24"/>
          <w:szCs w:val="24"/>
          <w:lang w:val="es-419" w:eastAsia="es-ES"/>
        </w:rPr>
        <w:t xml:space="preserve">petición a </w:t>
      </w:r>
      <w:r w:rsidRPr="00EB7B45">
        <w:rPr>
          <w:rFonts w:ascii="Gadugi" w:eastAsia="Times New Roman" w:hAnsi="Gadugi" w:cs="Arial"/>
          <w:spacing w:val="-4"/>
          <w:sz w:val="24"/>
          <w:szCs w:val="24"/>
          <w:lang w:val="es-419" w:eastAsia="es-ES"/>
        </w:rPr>
        <w:t xml:space="preserve">Colpensiones y a la Fiduagraria, poniendo en conocimiento que nunca fue informado de la suspensión y solicitado la actualización y corrección de su historia laboral.  </w:t>
      </w:r>
    </w:p>
    <w:p w14:paraId="2EC17C73" w14:textId="6FDEEE32" w:rsidR="009B3F5E" w:rsidRPr="00B501C4" w:rsidRDefault="009B3F5E"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59AE2E29" w14:textId="47896635" w:rsidR="00F0368E" w:rsidRPr="00EB7B45" w:rsidRDefault="00F0368E"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El 18 de julio y el 16 de agosto, recibió las respuestas de las entidades, pero allí no se le dio solución de fondo a sus ruegos</w:t>
      </w:r>
      <w:r w:rsidR="00131403" w:rsidRPr="00EB7B45">
        <w:rPr>
          <w:rFonts w:ascii="Gadugi" w:eastAsia="Times New Roman" w:hAnsi="Gadugi" w:cs="Arial"/>
          <w:spacing w:val="-4"/>
          <w:sz w:val="24"/>
          <w:szCs w:val="24"/>
          <w:lang w:val="es-419" w:eastAsia="es-ES"/>
        </w:rPr>
        <w:t xml:space="preserve">, pues </w:t>
      </w:r>
      <w:r w:rsidR="00131403" w:rsidRPr="00EB7B45">
        <w:rPr>
          <w:rFonts w:ascii="Gadugi" w:eastAsia="Times New Roman" w:hAnsi="Gadugi" w:cs="Arial"/>
          <w:i/>
          <w:spacing w:val="-4"/>
          <w:sz w:val="24"/>
          <w:szCs w:val="24"/>
          <w:lang w:val="es-419" w:eastAsia="es-ES"/>
        </w:rPr>
        <w:t>“</w:t>
      </w:r>
      <w:r w:rsidR="00131403" w:rsidRPr="00EB7B45">
        <w:rPr>
          <w:rFonts w:ascii="Gadugi" w:eastAsia="Times New Roman" w:hAnsi="Gadugi" w:cs="Arial"/>
          <w:i/>
          <w:spacing w:val="-4"/>
          <w:szCs w:val="24"/>
          <w:lang w:val="es-419" w:eastAsia="es-ES"/>
        </w:rPr>
        <w:t>(…) Nada se dice en las respuestas respecto de la solicitud que de manera conjunta y coordinada procedan a corregir mi historia laboral (…)</w:t>
      </w:r>
      <w:r w:rsidR="00131403" w:rsidRPr="00EB7B45">
        <w:rPr>
          <w:rFonts w:ascii="Gadugi" w:eastAsia="Times New Roman" w:hAnsi="Gadugi" w:cs="Arial"/>
          <w:i/>
          <w:spacing w:val="-4"/>
          <w:sz w:val="24"/>
          <w:szCs w:val="24"/>
          <w:lang w:val="es-419" w:eastAsia="es-ES"/>
        </w:rPr>
        <w:t xml:space="preserve">”. </w:t>
      </w:r>
    </w:p>
    <w:p w14:paraId="79BD1402" w14:textId="3F784816" w:rsidR="00F0368E" w:rsidRPr="00B501C4" w:rsidRDefault="00F0368E"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263E8135" w14:textId="2D39FC86" w:rsidR="00131403" w:rsidRPr="00EB7B45" w:rsidRDefault="00131403"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 xml:space="preserve">Agregó que </w:t>
      </w:r>
      <w:r w:rsidRPr="00EB7B45">
        <w:rPr>
          <w:rFonts w:ascii="Gadugi" w:eastAsia="Times New Roman" w:hAnsi="Gadugi" w:cs="Arial"/>
          <w:i/>
          <w:spacing w:val="-4"/>
          <w:sz w:val="24"/>
          <w:szCs w:val="24"/>
          <w:lang w:val="es-419" w:eastAsia="es-ES"/>
        </w:rPr>
        <w:t>“</w:t>
      </w:r>
      <w:r w:rsidRPr="00EB7B45">
        <w:rPr>
          <w:rFonts w:ascii="Gadugi" w:eastAsia="Times New Roman" w:hAnsi="Gadugi" w:cs="Arial"/>
          <w:i/>
          <w:spacing w:val="-4"/>
          <w:szCs w:val="24"/>
          <w:lang w:val="es-419" w:eastAsia="es-ES"/>
        </w:rPr>
        <w:t>(…) Yo efectivamente coticé las semanas que estoy acá reclamando ya que COLPENSIONES me envió el talonario de cotizaciones desde el mes de enero de 2013 hasta enero de 2014, sin que me informara que el subsidio se había acabado, permitiendo que yo realizara los pagos conforme los venía haciendo desde hacía quince años</w:t>
      </w:r>
      <w:r w:rsidRPr="00EB7B45">
        <w:rPr>
          <w:rFonts w:ascii="Gadugi" w:eastAsia="Times New Roman" w:hAnsi="Gadugi" w:cs="Arial"/>
          <w:i/>
          <w:spacing w:val="-4"/>
          <w:sz w:val="24"/>
          <w:szCs w:val="24"/>
          <w:lang w:val="es-419" w:eastAsia="es-ES"/>
        </w:rPr>
        <w:t>.”</w:t>
      </w:r>
    </w:p>
    <w:p w14:paraId="4366BDB3" w14:textId="120AD5E3" w:rsidR="00131403" w:rsidRPr="00B501C4" w:rsidRDefault="00131403"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3F2865C9" w14:textId="499FE3E3" w:rsidR="00131403" w:rsidRPr="00EB7B45" w:rsidRDefault="00131403"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 xml:space="preserve">Finalmente dio detalles sobre las dificultades económicas que atraviesa su hogar, asegurando que requiere de la subvención para superar la afectación de su mínimo vital. </w:t>
      </w:r>
    </w:p>
    <w:p w14:paraId="09B3B685" w14:textId="2B6D1B29" w:rsidR="00E8615D" w:rsidRPr="00B501C4" w:rsidRDefault="00E8615D"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65A5666C" w14:textId="06F6B0C0" w:rsidR="00E8615D" w:rsidRPr="00EB7B45" w:rsidRDefault="00315127"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El demandante p</w:t>
      </w:r>
      <w:r w:rsidR="00E8615D" w:rsidRPr="00EB7B45">
        <w:rPr>
          <w:rFonts w:ascii="Gadugi" w:eastAsia="Times New Roman" w:hAnsi="Gadugi" w:cs="Arial"/>
          <w:spacing w:val="-4"/>
          <w:sz w:val="24"/>
          <w:szCs w:val="24"/>
          <w:lang w:val="es-419" w:eastAsia="es-ES"/>
        </w:rPr>
        <w:t xml:space="preserve">idió, entonces, ordenarles a las accionadas </w:t>
      </w:r>
      <w:r w:rsidRPr="00EB7B45">
        <w:rPr>
          <w:rFonts w:ascii="Gadugi" w:eastAsia="Times New Roman" w:hAnsi="Gadugi" w:cs="Arial"/>
          <w:spacing w:val="-4"/>
          <w:sz w:val="24"/>
          <w:szCs w:val="24"/>
          <w:lang w:val="es-419" w:eastAsia="es-ES"/>
        </w:rPr>
        <w:t>que, de manera conjunta, corrijan su historia laboral.</w:t>
      </w:r>
      <w:r w:rsidR="00DA7BB2" w:rsidRPr="00EB7B45">
        <w:rPr>
          <w:rStyle w:val="Refdenotaalpie"/>
          <w:rFonts w:ascii="Gadugi" w:eastAsia="Times New Roman" w:hAnsi="Gadugi"/>
          <w:spacing w:val="-4"/>
          <w:sz w:val="24"/>
          <w:szCs w:val="24"/>
          <w:lang w:val="es-419" w:eastAsia="es-ES"/>
        </w:rPr>
        <w:footnoteReference w:id="1"/>
      </w:r>
    </w:p>
    <w:p w14:paraId="1402B5DA" w14:textId="0609423D" w:rsidR="00092FAD" w:rsidRPr="00B501C4" w:rsidRDefault="00092FAD"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65CC589F" w14:textId="6C8480DE" w:rsidR="001865F5" w:rsidRPr="00EB7B45" w:rsidRDefault="001865F5"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1.2.</w:t>
      </w:r>
      <w:r w:rsidR="00CD219C" w:rsidRPr="00EB7B45">
        <w:rPr>
          <w:rFonts w:ascii="Gadugi" w:eastAsia="Times New Roman" w:hAnsi="Gadugi" w:cs="Arial"/>
          <w:spacing w:val="-4"/>
          <w:sz w:val="24"/>
          <w:szCs w:val="24"/>
          <w:lang w:val="es-419" w:eastAsia="es-ES"/>
        </w:rPr>
        <w:t xml:space="preserve"> E</w:t>
      </w:r>
      <w:r w:rsidRPr="00EB7B45">
        <w:rPr>
          <w:rFonts w:ascii="Gadugi" w:eastAsia="Times New Roman" w:hAnsi="Gadugi" w:cs="Arial"/>
          <w:spacing w:val="-4"/>
          <w:sz w:val="24"/>
          <w:szCs w:val="24"/>
          <w:lang w:val="es-419" w:eastAsia="es-ES"/>
        </w:rPr>
        <w:t xml:space="preserve">n primera instancia se dio impulso a la acción con proveído del </w:t>
      </w:r>
      <w:r w:rsidR="00E8615D" w:rsidRPr="00EB7B45">
        <w:rPr>
          <w:rFonts w:ascii="Gadugi" w:eastAsia="Times New Roman" w:hAnsi="Gadugi" w:cs="Arial"/>
          <w:spacing w:val="-4"/>
          <w:sz w:val="24"/>
          <w:szCs w:val="24"/>
          <w:lang w:val="es-419" w:eastAsia="es-ES"/>
        </w:rPr>
        <w:t>21</w:t>
      </w:r>
      <w:r w:rsidRPr="00EB7B45">
        <w:rPr>
          <w:rFonts w:ascii="Gadugi" w:eastAsia="Times New Roman" w:hAnsi="Gadugi" w:cs="Arial"/>
          <w:spacing w:val="-4"/>
          <w:sz w:val="24"/>
          <w:szCs w:val="24"/>
          <w:lang w:val="es-419" w:eastAsia="es-ES"/>
        </w:rPr>
        <w:t xml:space="preserve"> de </w:t>
      </w:r>
      <w:r w:rsidR="00E8615D" w:rsidRPr="00EB7B45">
        <w:rPr>
          <w:rFonts w:ascii="Gadugi" w:eastAsia="Times New Roman" w:hAnsi="Gadugi" w:cs="Arial"/>
          <w:spacing w:val="-4"/>
          <w:sz w:val="24"/>
          <w:szCs w:val="24"/>
          <w:lang w:val="es-419" w:eastAsia="es-ES"/>
        </w:rPr>
        <w:t>octubre</w:t>
      </w:r>
      <w:r w:rsidRPr="00EB7B45">
        <w:rPr>
          <w:rFonts w:ascii="Gadugi" w:eastAsia="Times New Roman" w:hAnsi="Gadugi" w:cs="Arial"/>
          <w:spacing w:val="-4"/>
          <w:sz w:val="24"/>
          <w:szCs w:val="24"/>
          <w:lang w:val="es-419" w:eastAsia="es-ES"/>
        </w:rPr>
        <w:t xml:space="preserve"> de 2022</w:t>
      </w:r>
      <w:r w:rsidR="00092FAD" w:rsidRPr="00EB7B45">
        <w:rPr>
          <w:rFonts w:ascii="Gadugi" w:eastAsia="Times New Roman" w:hAnsi="Gadugi" w:cs="Arial"/>
          <w:spacing w:val="-4"/>
          <w:sz w:val="24"/>
          <w:szCs w:val="24"/>
          <w:lang w:val="es-419" w:eastAsia="es-ES"/>
        </w:rPr>
        <w:t>.</w:t>
      </w:r>
      <w:r w:rsidR="00DA7BB2" w:rsidRPr="00EB7B45">
        <w:rPr>
          <w:rStyle w:val="Refdenotaalpie"/>
          <w:rFonts w:ascii="Gadugi" w:eastAsia="Times New Roman" w:hAnsi="Gadugi"/>
          <w:spacing w:val="-4"/>
          <w:sz w:val="24"/>
          <w:szCs w:val="24"/>
          <w:lang w:val="es-419" w:eastAsia="es-ES"/>
        </w:rPr>
        <w:footnoteReference w:id="2"/>
      </w:r>
    </w:p>
    <w:p w14:paraId="6FEBC594" w14:textId="1A333A40" w:rsidR="00F25C6C" w:rsidRPr="00B501C4" w:rsidRDefault="00F25C6C"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43895039" w14:textId="24995CC6" w:rsidR="00103855" w:rsidRPr="00EB7B45" w:rsidRDefault="007F5F4C" w:rsidP="00682421">
      <w:pPr>
        <w:overflowPunct w:val="0"/>
        <w:autoSpaceDE w:val="0"/>
        <w:autoSpaceDN w:val="0"/>
        <w:adjustRightInd w:val="0"/>
        <w:spacing w:after="0" w:line="276" w:lineRule="auto"/>
        <w:jc w:val="both"/>
        <w:textAlignment w:val="baseline"/>
        <w:rPr>
          <w:rFonts w:ascii="Gadugi" w:eastAsia="Times New Roman" w:hAnsi="Gadugi" w:cs="Arial"/>
          <w:i/>
          <w:spacing w:val="-4"/>
          <w:sz w:val="24"/>
          <w:szCs w:val="24"/>
          <w:lang w:val="es-419" w:eastAsia="es-ES"/>
        </w:rPr>
      </w:pPr>
      <w:r w:rsidRPr="00EB7B45">
        <w:rPr>
          <w:rFonts w:ascii="Gadugi" w:eastAsia="Times New Roman" w:hAnsi="Gadugi" w:cs="Arial"/>
          <w:spacing w:val="-4"/>
          <w:sz w:val="24"/>
          <w:szCs w:val="24"/>
          <w:lang w:val="es-419" w:eastAsia="es-ES"/>
        </w:rPr>
        <w:t xml:space="preserve">1.3. </w:t>
      </w:r>
      <w:r w:rsidR="00FB30E9" w:rsidRPr="00EB7B45">
        <w:rPr>
          <w:rFonts w:ascii="Gadugi" w:eastAsia="Times New Roman" w:hAnsi="Gadugi" w:cs="Arial"/>
          <w:spacing w:val="-4"/>
          <w:sz w:val="24"/>
          <w:szCs w:val="24"/>
          <w:lang w:val="es-419" w:eastAsia="es-ES"/>
        </w:rPr>
        <w:t>Colpensiones explicó que</w:t>
      </w:r>
      <w:r w:rsidR="00602B75" w:rsidRPr="00EB7B45">
        <w:rPr>
          <w:rFonts w:ascii="Gadugi" w:eastAsia="Times New Roman" w:hAnsi="Gadugi" w:cs="Arial"/>
          <w:spacing w:val="-4"/>
          <w:sz w:val="24"/>
          <w:szCs w:val="24"/>
          <w:lang w:val="es-419" w:eastAsia="es-ES"/>
        </w:rPr>
        <w:t>,</w:t>
      </w:r>
      <w:r w:rsidR="00FB30E9" w:rsidRPr="00EB7B45">
        <w:rPr>
          <w:rFonts w:ascii="Gadugi" w:eastAsia="Times New Roman" w:hAnsi="Gadugi" w:cs="Arial"/>
          <w:spacing w:val="-4"/>
          <w:sz w:val="24"/>
          <w:szCs w:val="24"/>
          <w:lang w:val="es-419" w:eastAsia="es-ES"/>
        </w:rPr>
        <w:t xml:space="preserve"> </w:t>
      </w:r>
      <w:r w:rsidR="008521D9" w:rsidRPr="00EB7B45">
        <w:rPr>
          <w:rFonts w:ascii="Gadugi" w:eastAsia="Times New Roman" w:hAnsi="Gadugi" w:cs="Arial"/>
          <w:spacing w:val="-4"/>
          <w:sz w:val="24"/>
          <w:szCs w:val="24"/>
          <w:lang w:val="es-419" w:eastAsia="es-ES"/>
        </w:rPr>
        <w:t xml:space="preserve">con oficios </w:t>
      </w:r>
      <w:r w:rsidR="00602B75" w:rsidRPr="00EB7B45">
        <w:rPr>
          <w:rFonts w:ascii="Gadugi" w:eastAsia="Times New Roman" w:hAnsi="Gadugi" w:cs="Arial"/>
          <w:spacing w:val="-4"/>
          <w:sz w:val="24"/>
          <w:szCs w:val="24"/>
          <w:lang w:val="es-419" w:eastAsia="es-ES"/>
        </w:rPr>
        <w:t xml:space="preserve">del 21 de marzo, el 10 de mayo de 2021 y el 18 de julio del presente año, le informó al accionante que </w:t>
      </w:r>
      <w:r w:rsidR="00602B75" w:rsidRPr="00EB7B45">
        <w:rPr>
          <w:rFonts w:ascii="Gadugi" w:eastAsia="Times New Roman" w:hAnsi="Gadugi" w:cs="Arial"/>
          <w:i/>
          <w:spacing w:val="-4"/>
          <w:sz w:val="24"/>
          <w:szCs w:val="24"/>
          <w:lang w:val="es-419" w:eastAsia="es-ES"/>
        </w:rPr>
        <w:t>“</w:t>
      </w:r>
      <w:r w:rsidR="00602B75" w:rsidRPr="00EB7B45">
        <w:rPr>
          <w:rFonts w:ascii="Gadugi" w:eastAsia="Times New Roman" w:hAnsi="Gadugi" w:cs="Arial"/>
          <w:i/>
          <w:spacing w:val="-4"/>
          <w:szCs w:val="24"/>
          <w:lang w:val="es-419" w:eastAsia="es-ES"/>
        </w:rPr>
        <w:t>(…) al tener en cuenta que la fecha de su nacimiento fue el 17 de enero de 1948, cumplió los 65 años el 17 de enero de 2013, razón por la cual, Fiduagraria S.A cesó automáticamente de realizar los giros por concepto del subsidio al aporte en pensión</w:t>
      </w:r>
      <w:r w:rsidR="00602B75" w:rsidRPr="00EB7B45">
        <w:rPr>
          <w:rFonts w:ascii="Gadugi" w:eastAsia="Times New Roman" w:hAnsi="Gadugi" w:cs="Arial"/>
          <w:i/>
          <w:spacing w:val="-4"/>
          <w:sz w:val="24"/>
          <w:szCs w:val="24"/>
          <w:lang w:val="es-419" w:eastAsia="es-ES"/>
        </w:rPr>
        <w:t xml:space="preserve">”; </w:t>
      </w:r>
      <w:r w:rsidR="00602B75" w:rsidRPr="00EB7B45">
        <w:rPr>
          <w:rFonts w:ascii="Gadugi" w:eastAsia="Times New Roman" w:hAnsi="Gadugi" w:cs="Arial"/>
          <w:spacing w:val="-4"/>
          <w:sz w:val="24"/>
          <w:szCs w:val="24"/>
          <w:lang w:val="es-419" w:eastAsia="es-ES"/>
        </w:rPr>
        <w:t xml:space="preserve">y que </w:t>
      </w:r>
      <w:r w:rsidR="00602B75" w:rsidRPr="00EB7B45">
        <w:rPr>
          <w:rFonts w:ascii="Gadugi" w:eastAsia="Times New Roman" w:hAnsi="Gadugi" w:cs="Arial"/>
          <w:i/>
          <w:spacing w:val="-4"/>
          <w:sz w:val="24"/>
          <w:szCs w:val="24"/>
          <w:lang w:val="es-419" w:eastAsia="es-ES"/>
        </w:rPr>
        <w:t>“</w:t>
      </w:r>
      <w:r w:rsidR="00602B75" w:rsidRPr="00EB7B45">
        <w:rPr>
          <w:rFonts w:ascii="Gadugi" w:eastAsia="Times New Roman" w:hAnsi="Gadugi" w:cs="Arial"/>
          <w:i/>
          <w:spacing w:val="-4"/>
          <w:szCs w:val="24"/>
          <w:lang w:val="es-419" w:eastAsia="es-ES"/>
        </w:rPr>
        <w:t>(…) Para los períodos 201302 hasta 201401 que se evidencia en su historia laboral con la observación “Registra Pagos con Edad Superior a 65 Años” y teniendo en cuenta lo antes mencionado, se le recomienda validar con Fiduagraria, el estado de su afiliación para estos periodos y la viabilidad de aplicaciones de pagos</w:t>
      </w:r>
      <w:r w:rsidR="00602B75" w:rsidRPr="00EB7B45">
        <w:rPr>
          <w:rFonts w:ascii="Gadugi" w:eastAsia="Times New Roman" w:hAnsi="Gadugi" w:cs="Arial"/>
          <w:i/>
          <w:spacing w:val="-4"/>
          <w:sz w:val="24"/>
          <w:szCs w:val="24"/>
          <w:lang w:val="es-419" w:eastAsia="es-ES"/>
        </w:rPr>
        <w:t>.”</w:t>
      </w:r>
      <w:r w:rsidR="00DA7BB2" w:rsidRPr="00EB7B45">
        <w:rPr>
          <w:rStyle w:val="Refdenotaalpie"/>
          <w:rFonts w:ascii="Gadugi" w:eastAsia="Times New Roman" w:hAnsi="Gadugi"/>
          <w:i/>
          <w:spacing w:val="-4"/>
          <w:sz w:val="24"/>
          <w:szCs w:val="24"/>
          <w:lang w:val="es-419" w:eastAsia="es-ES"/>
        </w:rPr>
        <w:footnoteReference w:id="3"/>
      </w:r>
    </w:p>
    <w:p w14:paraId="3825B36F" w14:textId="104F7431" w:rsidR="00103855" w:rsidRPr="00B501C4" w:rsidRDefault="00103855"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40B83C65" w14:textId="3B3F27DB" w:rsidR="00602B75" w:rsidRPr="00EB7B45" w:rsidRDefault="00602B75"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1.4. El Mintrabajo adujo que, de conformidad con el artículo el artículo 2.2.14.1.24 del Decreto 1833 de 2016, al cumplir 65 años, el accionante perdió el derecho al subsidio que venía recibiendo.</w:t>
      </w:r>
      <w:r w:rsidR="003533CD" w:rsidRPr="00EB7B45">
        <w:rPr>
          <w:rStyle w:val="Refdenotaalpie"/>
          <w:rFonts w:ascii="Gadugi" w:eastAsia="Times New Roman" w:hAnsi="Gadugi"/>
          <w:spacing w:val="-4"/>
          <w:sz w:val="24"/>
          <w:szCs w:val="24"/>
          <w:lang w:val="es-419" w:eastAsia="es-ES"/>
        </w:rPr>
        <w:footnoteReference w:id="4"/>
      </w:r>
      <w:r w:rsidRPr="00EB7B45">
        <w:rPr>
          <w:rFonts w:ascii="Gadugi" w:eastAsia="Times New Roman" w:hAnsi="Gadugi" w:cs="Arial"/>
          <w:spacing w:val="-4"/>
          <w:sz w:val="24"/>
          <w:szCs w:val="24"/>
          <w:lang w:val="es-419" w:eastAsia="es-ES"/>
        </w:rPr>
        <w:t xml:space="preserve"> </w:t>
      </w:r>
    </w:p>
    <w:p w14:paraId="54848556" w14:textId="77777777" w:rsidR="00602B75" w:rsidRPr="00B501C4" w:rsidRDefault="00602B75"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4BE65FF5" w14:textId="2E8CF616" w:rsidR="00103855" w:rsidRPr="00EB7B45" w:rsidRDefault="00A54146"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 xml:space="preserve">1.5. La Fiduagraria S.A., </w:t>
      </w:r>
      <w:r w:rsidR="000607E2" w:rsidRPr="00EB7B45">
        <w:rPr>
          <w:rFonts w:ascii="Gadugi" w:eastAsia="Times New Roman" w:hAnsi="Gadugi" w:cs="Arial"/>
          <w:spacing w:val="-4"/>
          <w:sz w:val="24"/>
          <w:szCs w:val="24"/>
          <w:lang w:val="es-419" w:eastAsia="es-ES"/>
        </w:rPr>
        <w:t xml:space="preserve">expuso que </w:t>
      </w:r>
      <w:r w:rsidR="000607E2" w:rsidRPr="00EB7B45">
        <w:rPr>
          <w:rFonts w:ascii="Gadugi" w:eastAsia="Times New Roman" w:hAnsi="Gadugi" w:cs="Arial"/>
          <w:i/>
          <w:spacing w:val="-4"/>
          <w:sz w:val="24"/>
          <w:szCs w:val="24"/>
          <w:lang w:val="es-419" w:eastAsia="es-ES"/>
        </w:rPr>
        <w:t>“</w:t>
      </w:r>
      <w:r w:rsidR="000607E2" w:rsidRPr="00EB7B45">
        <w:rPr>
          <w:rFonts w:ascii="Gadugi" w:eastAsia="Times New Roman" w:hAnsi="Gadugi" w:cs="Arial"/>
          <w:i/>
          <w:spacing w:val="-4"/>
          <w:szCs w:val="24"/>
          <w:lang w:val="es-419" w:eastAsia="es-ES"/>
        </w:rPr>
        <w:t xml:space="preserve">(…) el señor José Fernando Echeverry </w:t>
      </w:r>
      <w:proofErr w:type="spellStart"/>
      <w:r w:rsidR="000607E2" w:rsidRPr="00EB7B45">
        <w:rPr>
          <w:rFonts w:ascii="Gadugi" w:eastAsia="Times New Roman" w:hAnsi="Gadugi" w:cs="Arial"/>
          <w:i/>
          <w:spacing w:val="-4"/>
          <w:szCs w:val="24"/>
          <w:lang w:val="es-419" w:eastAsia="es-ES"/>
        </w:rPr>
        <w:t>Echeverry</w:t>
      </w:r>
      <w:proofErr w:type="spellEnd"/>
      <w:r w:rsidR="000607E2" w:rsidRPr="00EB7B45">
        <w:rPr>
          <w:rFonts w:ascii="Gadugi" w:eastAsia="Times New Roman" w:hAnsi="Gadugi" w:cs="Arial"/>
          <w:i/>
          <w:spacing w:val="-4"/>
          <w:szCs w:val="24"/>
          <w:lang w:val="es-419" w:eastAsia="es-ES"/>
        </w:rPr>
        <w:t>, se afilió al Programa de Subsidio al Aporte en Pensión (PSAP), el 1° de septiembre de 2003, en el grupo poblacional “Trabajador Independiente Rural”. El 25 de enero de 2013 la afiliación fue retirada, al incurrir en la causal de pérdida del derecho al subsidio, establecida en el literal b) del artículo 24 del Decreto 3771 de 2007, que dice: “(…) Cuando cese la obligación de cotizar en los términos del artículo 17 de la Ley 100 de 1993 o cuando cumplan 65 años de edad, de conformidad con lo señalado en el artículo 29 de la Ley 100 de 1993 (…)</w:t>
      </w:r>
      <w:r w:rsidR="000607E2" w:rsidRPr="00EB7B45">
        <w:rPr>
          <w:rFonts w:ascii="Gadugi" w:eastAsia="Times New Roman" w:hAnsi="Gadugi" w:cs="Arial"/>
          <w:i/>
          <w:spacing w:val="-4"/>
          <w:sz w:val="24"/>
          <w:szCs w:val="24"/>
          <w:lang w:val="es-419" w:eastAsia="es-ES"/>
        </w:rPr>
        <w:t>”.</w:t>
      </w:r>
    </w:p>
    <w:p w14:paraId="7F34BC97" w14:textId="00D28AB7" w:rsidR="00602B75" w:rsidRPr="00B501C4" w:rsidRDefault="00602B75"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28204CE6" w14:textId="11BB30E8" w:rsidR="000607E2" w:rsidRPr="00EB7B45" w:rsidRDefault="000607E2"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Aseguró que la tutela carece de inmediatez porque la suspensión del subsidio sucedió hace más de 6 años, y también de subsidiariedad comoquiera que para la corrección de historia laboral está el juicio ordinario laboral.</w:t>
      </w:r>
      <w:r w:rsidR="003533CD" w:rsidRPr="00EB7B45">
        <w:rPr>
          <w:rStyle w:val="Refdenotaalpie"/>
          <w:rFonts w:ascii="Gadugi" w:eastAsia="Times New Roman" w:hAnsi="Gadugi"/>
          <w:spacing w:val="-4"/>
          <w:sz w:val="24"/>
          <w:szCs w:val="24"/>
          <w:lang w:val="es-419" w:eastAsia="es-ES"/>
        </w:rPr>
        <w:footnoteReference w:id="5"/>
      </w:r>
      <w:r w:rsidRPr="00EB7B45">
        <w:rPr>
          <w:rFonts w:ascii="Gadugi" w:eastAsia="Times New Roman" w:hAnsi="Gadugi" w:cs="Arial"/>
          <w:spacing w:val="-4"/>
          <w:sz w:val="24"/>
          <w:szCs w:val="24"/>
          <w:lang w:val="es-419" w:eastAsia="es-ES"/>
        </w:rPr>
        <w:t xml:space="preserve"> </w:t>
      </w:r>
    </w:p>
    <w:p w14:paraId="15B1E455" w14:textId="6491458D" w:rsidR="000607E2" w:rsidRPr="00B501C4" w:rsidRDefault="000607E2"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342626AA" w14:textId="499521F9" w:rsidR="000607E2" w:rsidRPr="00EB7B45" w:rsidRDefault="000607E2"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 xml:space="preserve">1.6. Sobrevino el fallo de primera instancia que declaró improcedente la protección por contrariar el principio de inmediatez, si bien, la suspensión del beneficio que le daba la Fiduagraria ocurrió en el 2013, sin que el accionante, antes, hubiera intentado </w:t>
      </w:r>
      <w:r w:rsidR="0068753F" w:rsidRPr="00EB7B45">
        <w:rPr>
          <w:rFonts w:ascii="Gadugi" w:eastAsia="Times New Roman" w:hAnsi="Gadugi" w:cs="Arial"/>
          <w:spacing w:val="-4"/>
          <w:sz w:val="24"/>
          <w:szCs w:val="24"/>
          <w:lang w:val="es-419" w:eastAsia="es-ES"/>
        </w:rPr>
        <w:t>la protección de sus derechos constitucionales.</w:t>
      </w:r>
      <w:r w:rsidR="003533CD" w:rsidRPr="00EB7B45">
        <w:rPr>
          <w:rStyle w:val="Refdenotaalpie"/>
          <w:rFonts w:ascii="Gadugi" w:eastAsia="Times New Roman" w:hAnsi="Gadugi"/>
          <w:spacing w:val="-4"/>
          <w:sz w:val="24"/>
          <w:szCs w:val="24"/>
          <w:lang w:val="es-419" w:eastAsia="es-ES"/>
        </w:rPr>
        <w:footnoteReference w:id="6"/>
      </w:r>
      <w:r w:rsidR="0068753F" w:rsidRPr="00EB7B45">
        <w:rPr>
          <w:rFonts w:ascii="Gadugi" w:eastAsia="Times New Roman" w:hAnsi="Gadugi" w:cs="Arial"/>
          <w:spacing w:val="-4"/>
          <w:sz w:val="24"/>
          <w:szCs w:val="24"/>
          <w:lang w:val="es-419" w:eastAsia="es-ES"/>
        </w:rPr>
        <w:t xml:space="preserve"> </w:t>
      </w:r>
    </w:p>
    <w:p w14:paraId="799E9470" w14:textId="0850A34A" w:rsidR="0068753F" w:rsidRPr="00B501C4" w:rsidRDefault="0068753F"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79D545ED" w14:textId="3710E514" w:rsidR="00CE05FF" w:rsidRPr="00EB7B45" w:rsidRDefault="0068753F" w:rsidP="00682421">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EB7B45">
        <w:rPr>
          <w:rFonts w:ascii="Gadugi" w:eastAsia="Times New Roman" w:hAnsi="Gadugi" w:cs="Arial"/>
          <w:spacing w:val="-4"/>
          <w:sz w:val="24"/>
          <w:szCs w:val="24"/>
          <w:lang w:val="es-419" w:eastAsia="es-ES"/>
        </w:rPr>
        <w:t>1.7. Impugnó el actor asegurando que, dada la afectación a su mínimo vital, se debe analizar de manera más flexible el presupuesto de inmediatez.</w:t>
      </w:r>
      <w:r w:rsidR="003533CD" w:rsidRPr="00EB7B45">
        <w:rPr>
          <w:rStyle w:val="Refdenotaalpie"/>
          <w:rFonts w:ascii="Gadugi" w:eastAsia="Times New Roman" w:hAnsi="Gadugi"/>
          <w:spacing w:val="-4"/>
          <w:sz w:val="24"/>
          <w:szCs w:val="24"/>
          <w:lang w:val="es-419" w:eastAsia="es-ES"/>
        </w:rPr>
        <w:footnoteReference w:id="7"/>
      </w:r>
      <w:r w:rsidRPr="00EB7B45">
        <w:rPr>
          <w:rFonts w:ascii="Gadugi" w:eastAsia="Times New Roman" w:hAnsi="Gadugi" w:cs="Arial"/>
          <w:spacing w:val="-4"/>
          <w:sz w:val="24"/>
          <w:szCs w:val="24"/>
          <w:lang w:val="es-419" w:eastAsia="es-ES"/>
        </w:rPr>
        <w:t xml:space="preserve"> </w:t>
      </w:r>
    </w:p>
    <w:p w14:paraId="28352B3C" w14:textId="77777777" w:rsidR="00965D52" w:rsidRPr="00B501C4" w:rsidRDefault="00965D52"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04D9C565" w14:textId="65953593" w:rsidR="00756044" w:rsidRPr="00EB7B45" w:rsidRDefault="007F5F4C" w:rsidP="00682421">
      <w:pPr>
        <w:overflowPunct w:val="0"/>
        <w:autoSpaceDE w:val="0"/>
        <w:autoSpaceDN w:val="0"/>
        <w:adjustRightInd w:val="0"/>
        <w:spacing w:after="0" w:line="276" w:lineRule="auto"/>
        <w:jc w:val="both"/>
        <w:textAlignment w:val="baseline"/>
        <w:rPr>
          <w:rFonts w:ascii="Gadugi" w:eastAsia="Times New Roman" w:hAnsi="Gadugi" w:cs="Arial"/>
          <w:b/>
          <w:spacing w:val="-4"/>
          <w:sz w:val="24"/>
          <w:szCs w:val="24"/>
          <w:lang w:val="es-ES" w:eastAsia="es-ES"/>
        </w:rPr>
      </w:pPr>
      <w:r w:rsidRPr="00EB7B45">
        <w:rPr>
          <w:rFonts w:ascii="Gadugi" w:eastAsia="Times New Roman" w:hAnsi="Gadugi" w:cs="Arial"/>
          <w:b/>
          <w:spacing w:val="-4"/>
          <w:sz w:val="24"/>
          <w:szCs w:val="24"/>
          <w:lang w:val="es-ES" w:eastAsia="es-ES"/>
        </w:rPr>
        <w:t xml:space="preserve">2. </w:t>
      </w:r>
      <w:r w:rsidR="00756044" w:rsidRPr="00EB7B45">
        <w:rPr>
          <w:rFonts w:ascii="Gadugi" w:eastAsia="Times New Roman" w:hAnsi="Gadugi" w:cs="Arial"/>
          <w:b/>
          <w:spacing w:val="-4"/>
          <w:sz w:val="24"/>
          <w:szCs w:val="24"/>
          <w:lang w:val="es-ES" w:eastAsia="es-ES"/>
        </w:rPr>
        <w:t>CONSIDERACIONES</w:t>
      </w:r>
    </w:p>
    <w:p w14:paraId="28BF3302" w14:textId="5F95F9C2" w:rsidR="00756044" w:rsidRPr="00B501C4" w:rsidRDefault="00756044"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4A149391" w14:textId="5315734E" w:rsidR="00756044" w:rsidRPr="00EB7B45" w:rsidRDefault="007F5F4C" w:rsidP="00682421">
      <w:pPr>
        <w:autoSpaceDE w:val="0"/>
        <w:autoSpaceDN w:val="0"/>
        <w:adjustRightInd w:val="0"/>
        <w:spacing w:after="0" w:line="276" w:lineRule="auto"/>
        <w:jc w:val="both"/>
        <w:rPr>
          <w:rFonts w:ascii="Gadugi" w:eastAsia="Times New Roman" w:hAnsi="Gadugi" w:cs="Arial"/>
          <w:spacing w:val="-4"/>
          <w:sz w:val="24"/>
          <w:szCs w:val="24"/>
          <w:lang w:val="es-ES" w:eastAsia="es-ES"/>
        </w:rPr>
      </w:pPr>
      <w:r w:rsidRPr="00EB7B45">
        <w:rPr>
          <w:rFonts w:ascii="Gadugi" w:eastAsia="Times New Roman" w:hAnsi="Gadugi" w:cs="Arial"/>
          <w:spacing w:val="-4"/>
          <w:sz w:val="24"/>
          <w:szCs w:val="24"/>
          <w:lang w:val="es-ES" w:eastAsia="es-ES"/>
        </w:rPr>
        <w:t xml:space="preserve">2.1. </w:t>
      </w:r>
      <w:r w:rsidR="00756044" w:rsidRPr="00EB7B45">
        <w:rPr>
          <w:rFonts w:ascii="Gadugi" w:eastAsia="Times New Roman" w:hAnsi="Gadugi" w:cs="Arial"/>
          <w:spacing w:val="-4"/>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126DF23A" w14:textId="77777777" w:rsidR="00756044" w:rsidRPr="00B501C4" w:rsidRDefault="00756044"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291225ED" w14:textId="60594D6B" w:rsidR="0068753F" w:rsidRPr="00EB7B45" w:rsidRDefault="00A92999" w:rsidP="00682421">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EB7B45">
        <w:rPr>
          <w:rFonts w:ascii="Gadugi" w:eastAsia="Times New Roman" w:hAnsi="Gadugi" w:cs="Times New Roman"/>
          <w:spacing w:val="-4"/>
          <w:sz w:val="24"/>
          <w:szCs w:val="24"/>
          <w:lang w:val="es-ES" w:eastAsia="es-ES"/>
        </w:rPr>
        <w:lastRenderedPageBreak/>
        <w:t>En este asunto</w:t>
      </w:r>
      <w:r w:rsidR="00756044" w:rsidRPr="00EB7B45">
        <w:rPr>
          <w:rFonts w:ascii="Gadugi" w:eastAsia="Times New Roman" w:hAnsi="Gadugi" w:cs="Times New Roman"/>
          <w:spacing w:val="-4"/>
          <w:sz w:val="24"/>
          <w:szCs w:val="24"/>
          <w:lang w:val="es-ES" w:eastAsia="es-ES"/>
        </w:rPr>
        <w:t xml:space="preserve">, </w:t>
      </w:r>
      <w:r w:rsidR="00965D52" w:rsidRPr="00EB7B45">
        <w:rPr>
          <w:rFonts w:ascii="Gadugi" w:eastAsia="Times New Roman" w:hAnsi="Gadugi" w:cs="Times New Roman"/>
          <w:spacing w:val="-4"/>
          <w:sz w:val="24"/>
          <w:szCs w:val="24"/>
          <w:lang w:val="es-ES" w:eastAsia="es-ES"/>
        </w:rPr>
        <w:t xml:space="preserve">el accionante busca la protección a su derecho fundamental </w:t>
      </w:r>
      <w:r w:rsidR="0068753F" w:rsidRPr="00EB7B45">
        <w:rPr>
          <w:rFonts w:ascii="Gadugi" w:eastAsia="Times New Roman" w:hAnsi="Gadugi" w:cs="Times New Roman"/>
          <w:spacing w:val="-4"/>
          <w:sz w:val="24"/>
          <w:szCs w:val="24"/>
          <w:lang w:val="es-ES" w:eastAsia="es-ES"/>
        </w:rPr>
        <w:t>a la seguridad social</w:t>
      </w:r>
      <w:r w:rsidR="00965D52" w:rsidRPr="00EB7B45">
        <w:rPr>
          <w:rFonts w:ascii="Gadugi" w:eastAsia="Times New Roman" w:hAnsi="Gadugi" w:cs="Times New Roman"/>
          <w:spacing w:val="-4"/>
          <w:sz w:val="24"/>
          <w:szCs w:val="24"/>
          <w:lang w:val="es-ES" w:eastAsia="es-ES"/>
        </w:rPr>
        <w:t>, presuntamente vulnerado por la</w:t>
      </w:r>
      <w:r w:rsidR="0068753F" w:rsidRPr="00EB7B45">
        <w:rPr>
          <w:rFonts w:ascii="Gadugi" w:eastAsia="Times New Roman" w:hAnsi="Gadugi" w:cs="Times New Roman"/>
          <w:spacing w:val="-4"/>
          <w:sz w:val="24"/>
          <w:szCs w:val="24"/>
          <w:lang w:val="es-ES" w:eastAsia="es-ES"/>
        </w:rPr>
        <w:t>s</w:t>
      </w:r>
      <w:r w:rsidR="00965D52" w:rsidRPr="00EB7B45">
        <w:rPr>
          <w:rFonts w:ascii="Gadugi" w:eastAsia="Times New Roman" w:hAnsi="Gadugi" w:cs="Times New Roman"/>
          <w:spacing w:val="-4"/>
          <w:sz w:val="24"/>
          <w:szCs w:val="24"/>
          <w:lang w:val="es-ES" w:eastAsia="es-ES"/>
        </w:rPr>
        <w:t xml:space="preserve"> autoridad</w:t>
      </w:r>
      <w:r w:rsidR="0068753F" w:rsidRPr="00EB7B45">
        <w:rPr>
          <w:rFonts w:ascii="Gadugi" w:eastAsia="Times New Roman" w:hAnsi="Gadugi" w:cs="Times New Roman"/>
          <w:spacing w:val="-4"/>
          <w:sz w:val="24"/>
          <w:szCs w:val="24"/>
          <w:lang w:val="es-ES" w:eastAsia="es-ES"/>
        </w:rPr>
        <w:t>es</w:t>
      </w:r>
      <w:r w:rsidR="00965D52" w:rsidRPr="00EB7B45">
        <w:rPr>
          <w:rFonts w:ascii="Gadugi" w:eastAsia="Times New Roman" w:hAnsi="Gadugi" w:cs="Times New Roman"/>
          <w:spacing w:val="-4"/>
          <w:sz w:val="24"/>
          <w:szCs w:val="24"/>
          <w:lang w:val="es-ES" w:eastAsia="es-ES"/>
        </w:rPr>
        <w:t xml:space="preserve"> acusada</w:t>
      </w:r>
      <w:r w:rsidR="0068753F" w:rsidRPr="00EB7B45">
        <w:rPr>
          <w:rFonts w:ascii="Gadugi" w:eastAsia="Times New Roman" w:hAnsi="Gadugi" w:cs="Times New Roman"/>
          <w:spacing w:val="-4"/>
          <w:sz w:val="24"/>
          <w:szCs w:val="24"/>
          <w:lang w:val="es-ES" w:eastAsia="es-ES"/>
        </w:rPr>
        <w:t>s</w:t>
      </w:r>
      <w:r w:rsidR="00965D52" w:rsidRPr="00EB7B45">
        <w:rPr>
          <w:rFonts w:ascii="Gadugi" w:eastAsia="Times New Roman" w:hAnsi="Gadugi" w:cs="Times New Roman"/>
          <w:spacing w:val="-4"/>
          <w:sz w:val="24"/>
          <w:szCs w:val="24"/>
          <w:lang w:val="es-ES" w:eastAsia="es-ES"/>
        </w:rPr>
        <w:t>, que se niega</w:t>
      </w:r>
      <w:r w:rsidR="0068753F" w:rsidRPr="00EB7B45">
        <w:rPr>
          <w:rFonts w:ascii="Gadugi" w:eastAsia="Times New Roman" w:hAnsi="Gadugi" w:cs="Times New Roman"/>
          <w:spacing w:val="-4"/>
          <w:sz w:val="24"/>
          <w:szCs w:val="24"/>
          <w:lang w:val="es-ES" w:eastAsia="es-ES"/>
        </w:rPr>
        <w:t>n a corregir su historia laboral</w:t>
      </w:r>
      <w:r w:rsidR="00B80B9E" w:rsidRPr="00EB7B45">
        <w:rPr>
          <w:rFonts w:ascii="Gadugi" w:eastAsia="Times New Roman" w:hAnsi="Gadugi" w:cs="Times New Roman"/>
          <w:spacing w:val="-4"/>
          <w:sz w:val="24"/>
          <w:szCs w:val="24"/>
          <w:lang w:val="es-ES" w:eastAsia="es-ES"/>
        </w:rPr>
        <w:t xml:space="preserve">, lo cual le impide lograr su pensión de invalidez. </w:t>
      </w:r>
    </w:p>
    <w:p w14:paraId="2494F76F" w14:textId="77777777" w:rsidR="00211F61" w:rsidRPr="00B501C4" w:rsidRDefault="00211F61"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37459539" w14:textId="168374A1" w:rsidR="0068753F" w:rsidRPr="00EB7B45" w:rsidRDefault="007F5F4C" w:rsidP="00682421">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EB7B45">
        <w:rPr>
          <w:rFonts w:ascii="Gadugi" w:eastAsia="Times New Roman" w:hAnsi="Gadugi" w:cs="Times New Roman"/>
          <w:spacing w:val="-4"/>
          <w:sz w:val="24"/>
          <w:szCs w:val="24"/>
          <w:lang w:val="es-ES" w:eastAsia="es-ES"/>
        </w:rPr>
        <w:t xml:space="preserve">2.2. </w:t>
      </w:r>
      <w:r w:rsidR="008D5839" w:rsidRPr="00EB7B45">
        <w:rPr>
          <w:rFonts w:ascii="Gadugi" w:eastAsia="Times New Roman" w:hAnsi="Gadugi" w:cs="Times New Roman"/>
          <w:spacing w:val="-4"/>
          <w:sz w:val="24"/>
          <w:szCs w:val="24"/>
          <w:lang w:val="es-ES" w:eastAsia="es-ES"/>
        </w:rPr>
        <w:t xml:space="preserve">Sobre los requisitos de procedencia de la demanda, se tiene lo siguiente: </w:t>
      </w:r>
      <w:r w:rsidR="0068753F" w:rsidRPr="00EB7B45">
        <w:rPr>
          <w:rFonts w:ascii="Gadugi" w:eastAsia="Times New Roman" w:hAnsi="Gadugi" w:cs="Times New Roman"/>
          <w:spacing w:val="-4"/>
          <w:sz w:val="24"/>
          <w:szCs w:val="24"/>
          <w:lang w:val="es-ES" w:eastAsia="es-ES"/>
        </w:rPr>
        <w:t xml:space="preserve"> </w:t>
      </w:r>
    </w:p>
    <w:p w14:paraId="0D863418" w14:textId="102710DA" w:rsidR="0068753F" w:rsidRPr="00B501C4" w:rsidRDefault="0068753F"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45BE3BC9" w14:textId="0034A16A" w:rsidR="0068753F" w:rsidRPr="00EB7B45" w:rsidRDefault="0068753F" w:rsidP="00682421">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EB7B45">
        <w:rPr>
          <w:rFonts w:ascii="Gadugi" w:eastAsia="Times New Roman" w:hAnsi="Gadugi" w:cs="Times New Roman"/>
          <w:spacing w:val="-4"/>
          <w:sz w:val="24"/>
          <w:szCs w:val="24"/>
          <w:lang w:val="es-ES" w:eastAsia="es-ES"/>
        </w:rPr>
        <w:t>La legitimación es clara por activa, en la medida que fue el accionante quien formuló la petición de corrección de historia laboral. Por pasiva también porque están convocadas al trámite</w:t>
      </w:r>
      <w:r w:rsidR="003533CD" w:rsidRPr="00EB7B45">
        <w:rPr>
          <w:rFonts w:ascii="Gadugi" w:eastAsia="Times New Roman" w:hAnsi="Gadugi" w:cs="Times New Roman"/>
          <w:spacing w:val="-4"/>
          <w:sz w:val="24"/>
          <w:szCs w:val="24"/>
          <w:lang w:val="es-ES" w:eastAsia="es-ES"/>
        </w:rPr>
        <w:t>, la Fiduagraria S.A., que es la entidad que ha resuelto las peticiones del actor, así como</w:t>
      </w:r>
      <w:r w:rsidRPr="00EB7B45">
        <w:rPr>
          <w:rFonts w:ascii="Gadugi" w:eastAsia="Times New Roman" w:hAnsi="Gadugi" w:cs="Times New Roman"/>
          <w:spacing w:val="-4"/>
          <w:sz w:val="24"/>
          <w:szCs w:val="24"/>
          <w:lang w:val="es-ES" w:eastAsia="es-ES"/>
        </w:rPr>
        <w:t xml:space="preserve"> la Dirección de Historia Laboral y la Dirección de Ingresos por aportes de Colpensiones, que son las encargadas, respectivamente, de </w:t>
      </w:r>
      <w:r w:rsidRPr="00EB7B45">
        <w:rPr>
          <w:rFonts w:ascii="Gadugi" w:eastAsia="Times New Roman" w:hAnsi="Gadugi" w:cs="Times New Roman"/>
          <w:i/>
          <w:spacing w:val="-4"/>
          <w:sz w:val="24"/>
          <w:szCs w:val="24"/>
          <w:lang w:val="es-ES" w:eastAsia="es-ES"/>
        </w:rPr>
        <w:t>“</w:t>
      </w:r>
      <w:r w:rsidRPr="00EB7B45">
        <w:rPr>
          <w:rFonts w:ascii="Gadugi" w:eastAsia="Times New Roman" w:hAnsi="Gadugi" w:cs="Times New Roman"/>
          <w:i/>
          <w:spacing w:val="-4"/>
          <w:szCs w:val="24"/>
          <w:lang w:val="es-ES" w:eastAsia="es-ES"/>
        </w:rPr>
        <w:t>Actualizar la historia laboral de los afiliados a partir de los aportes que se efectúen y demás registros que generen un impacto en la misma</w:t>
      </w:r>
      <w:r w:rsidRPr="00EB7B45">
        <w:rPr>
          <w:rFonts w:ascii="Gadugi" w:eastAsia="Times New Roman" w:hAnsi="Gadugi" w:cs="Times New Roman"/>
          <w:i/>
          <w:spacing w:val="-4"/>
          <w:sz w:val="24"/>
          <w:szCs w:val="24"/>
          <w:lang w:val="es-ES" w:eastAsia="es-ES"/>
        </w:rPr>
        <w:t>”</w:t>
      </w:r>
      <w:r w:rsidRPr="00EB7B45">
        <w:rPr>
          <w:rFonts w:ascii="Gadugi" w:eastAsia="Times New Roman" w:hAnsi="Gadugi" w:cs="Times New Roman"/>
          <w:spacing w:val="-4"/>
          <w:sz w:val="24"/>
          <w:szCs w:val="24"/>
          <w:lang w:val="es-ES" w:eastAsia="es-ES"/>
        </w:rPr>
        <w:t xml:space="preserve"> y de </w:t>
      </w:r>
      <w:r w:rsidRPr="00EB7B45">
        <w:rPr>
          <w:rFonts w:ascii="Gadugi" w:eastAsia="Times New Roman" w:hAnsi="Gadugi" w:cs="Times New Roman"/>
          <w:i/>
          <w:spacing w:val="-4"/>
          <w:sz w:val="24"/>
          <w:szCs w:val="24"/>
          <w:lang w:val="es-ES" w:eastAsia="es-ES"/>
        </w:rPr>
        <w:t>“</w:t>
      </w:r>
      <w:r w:rsidRPr="00EB7B45">
        <w:rPr>
          <w:rFonts w:ascii="Gadugi" w:eastAsia="Times New Roman" w:hAnsi="Gadugi" w:cs="Times New Roman"/>
          <w:i/>
          <w:spacing w:val="-4"/>
          <w:szCs w:val="24"/>
          <w:lang w:val="es-ES" w:eastAsia="es-ES"/>
        </w:rPr>
        <w:t>Liquidar, cobrar y recaudar la recuperación de semanas, obligaciones por sentencia judicial, cálculos actuariales por omisión y títulos pensiónales</w:t>
      </w:r>
      <w:r w:rsidRPr="00EB7B45">
        <w:rPr>
          <w:rFonts w:ascii="Gadugi" w:eastAsia="Times New Roman" w:hAnsi="Gadugi" w:cs="Times New Roman"/>
          <w:i/>
          <w:spacing w:val="-4"/>
          <w:sz w:val="24"/>
          <w:szCs w:val="24"/>
          <w:lang w:val="es-ES" w:eastAsia="es-ES"/>
        </w:rPr>
        <w:t>.”</w:t>
      </w:r>
      <w:r w:rsidRPr="00EB7B45">
        <w:rPr>
          <w:rFonts w:ascii="Gadugi" w:eastAsia="Times New Roman" w:hAnsi="Gadugi" w:cs="Times New Roman"/>
          <w:spacing w:val="-4"/>
          <w:sz w:val="24"/>
          <w:szCs w:val="24"/>
          <w:lang w:val="es-ES" w:eastAsia="es-ES"/>
        </w:rPr>
        <w:t xml:space="preserve"> (Acuerdo 131 de 2018).</w:t>
      </w:r>
    </w:p>
    <w:p w14:paraId="0DFBA07B" w14:textId="65DA2352" w:rsidR="0068753F" w:rsidRPr="00B501C4" w:rsidRDefault="0068753F"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7C89E6D7" w14:textId="7FDEA40E" w:rsidR="009A7583" w:rsidRPr="00EB7B45" w:rsidRDefault="009A7583" w:rsidP="00682421">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EB7B45">
        <w:rPr>
          <w:rFonts w:ascii="Gadugi" w:eastAsia="Times New Roman" w:hAnsi="Gadugi" w:cs="Times New Roman"/>
          <w:spacing w:val="-4"/>
          <w:sz w:val="24"/>
          <w:szCs w:val="24"/>
          <w:lang w:val="es-ES" w:eastAsia="es-ES"/>
        </w:rPr>
        <w:t>La inmediatez se cumple porque si bien la suspensión del apoyo económico sucedió años atrás, lo cierto es que, las peticiones del actor para que se corrija su historia laboral son recientes y las respuestas que se le ofrecieron son del 18 de julio y el 16 de agosto de este año</w:t>
      </w:r>
      <w:r w:rsidR="003533CD" w:rsidRPr="00EB7B45">
        <w:rPr>
          <w:rStyle w:val="Refdenotaalpie"/>
          <w:rFonts w:ascii="Gadugi" w:eastAsia="Times New Roman" w:hAnsi="Gadugi"/>
          <w:spacing w:val="-4"/>
          <w:sz w:val="24"/>
          <w:szCs w:val="24"/>
          <w:lang w:val="es-ES" w:eastAsia="es-ES"/>
        </w:rPr>
        <w:footnoteReference w:id="8"/>
      </w:r>
      <w:r w:rsidRPr="00EB7B45">
        <w:rPr>
          <w:rFonts w:ascii="Gadugi" w:eastAsia="Times New Roman" w:hAnsi="Gadugi" w:cs="Times New Roman"/>
          <w:spacing w:val="-4"/>
          <w:sz w:val="24"/>
          <w:szCs w:val="24"/>
          <w:lang w:val="es-ES" w:eastAsia="es-ES"/>
        </w:rPr>
        <w:t>, y esta demanda se radicó con prontitud, el 21 de octubre siguiente</w:t>
      </w:r>
      <w:r w:rsidR="003533CD" w:rsidRPr="00EB7B45">
        <w:rPr>
          <w:rStyle w:val="Refdenotaalpie"/>
          <w:rFonts w:ascii="Gadugi" w:eastAsia="Times New Roman" w:hAnsi="Gadugi"/>
          <w:spacing w:val="-4"/>
          <w:sz w:val="24"/>
          <w:szCs w:val="24"/>
          <w:lang w:val="es-ES" w:eastAsia="es-ES"/>
        </w:rPr>
        <w:footnoteReference w:id="9"/>
      </w:r>
      <w:r w:rsidRPr="00EB7B45">
        <w:rPr>
          <w:rFonts w:ascii="Gadugi" w:eastAsia="Times New Roman" w:hAnsi="Gadugi" w:cs="Times New Roman"/>
          <w:spacing w:val="-4"/>
          <w:sz w:val="24"/>
          <w:szCs w:val="24"/>
          <w:lang w:val="es-ES" w:eastAsia="es-ES"/>
        </w:rPr>
        <w:t xml:space="preserve">. </w:t>
      </w:r>
    </w:p>
    <w:p w14:paraId="55793F78" w14:textId="7C4C02D4" w:rsidR="009A7583" w:rsidRPr="00B501C4" w:rsidRDefault="009A7583"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0B157ABA" w14:textId="372A4156" w:rsidR="008D5839" w:rsidRPr="00EB7B45" w:rsidRDefault="008D5839" w:rsidP="00682421">
      <w:pPr>
        <w:spacing w:after="0" w:line="276" w:lineRule="auto"/>
        <w:jc w:val="both"/>
        <w:rPr>
          <w:rFonts w:ascii="Gadugi" w:hAnsi="Gadugi"/>
          <w:spacing w:val="-4"/>
          <w:sz w:val="24"/>
          <w:szCs w:val="24"/>
        </w:rPr>
      </w:pPr>
      <w:r w:rsidRPr="00EB7B45">
        <w:rPr>
          <w:rFonts w:ascii="Gadugi" w:hAnsi="Gadugi"/>
          <w:spacing w:val="-4"/>
          <w:sz w:val="24"/>
          <w:szCs w:val="24"/>
        </w:rPr>
        <w:t>Y se supera la subsidiariedad porque aunque en principio el mecanismo idóneo para lograr la corrección de la historia laboral</w:t>
      </w:r>
      <w:r w:rsidR="00E54971" w:rsidRPr="00EB7B45">
        <w:rPr>
          <w:rFonts w:ascii="Gadugi" w:hAnsi="Gadugi"/>
          <w:spacing w:val="-4"/>
          <w:sz w:val="24"/>
          <w:szCs w:val="24"/>
        </w:rPr>
        <w:t xml:space="preserve"> es el proceso ordinario laboral, </w:t>
      </w:r>
      <w:r w:rsidR="00305959" w:rsidRPr="00EB7B45">
        <w:rPr>
          <w:rFonts w:ascii="Gadugi" w:hAnsi="Gadugi"/>
          <w:spacing w:val="-4"/>
          <w:sz w:val="24"/>
          <w:szCs w:val="24"/>
        </w:rPr>
        <w:t xml:space="preserve">en este particular asunto, ese medio es </w:t>
      </w:r>
      <w:r w:rsidR="003533CD" w:rsidRPr="00EB7B45">
        <w:rPr>
          <w:rFonts w:ascii="Gadugi" w:hAnsi="Gadugi"/>
          <w:spacing w:val="-4"/>
          <w:sz w:val="24"/>
          <w:szCs w:val="24"/>
        </w:rPr>
        <w:t>in</w:t>
      </w:r>
      <w:r w:rsidR="00305959" w:rsidRPr="00EB7B45">
        <w:rPr>
          <w:rFonts w:ascii="Gadugi" w:hAnsi="Gadugi"/>
          <w:spacing w:val="-4"/>
          <w:sz w:val="24"/>
          <w:szCs w:val="24"/>
        </w:rPr>
        <w:t>eficaz para darle solución oportuna a la problemática que plantea el accionante, quien no solo cuenta con una avanzada edad, sino que es una persona de especial protección constitucional por su calidad de inválido por tener una pérdida de capacidad laboral del 50,27%</w:t>
      </w:r>
      <w:r w:rsidR="003533CD" w:rsidRPr="00EB7B45">
        <w:rPr>
          <w:rStyle w:val="Refdenotaalpie"/>
          <w:rFonts w:ascii="Gadugi" w:hAnsi="Gadugi"/>
          <w:spacing w:val="-4"/>
          <w:sz w:val="24"/>
          <w:szCs w:val="24"/>
        </w:rPr>
        <w:footnoteReference w:id="10"/>
      </w:r>
      <w:r w:rsidR="00305959" w:rsidRPr="00EB7B45">
        <w:rPr>
          <w:rFonts w:ascii="Gadugi" w:hAnsi="Gadugi"/>
          <w:spacing w:val="-4"/>
          <w:sz w:val="24"/>
          <w:szCs w:val="24"/>
        </w:rPr>
        <w:t>, además, con detalle explicó que su mínimo</w:t>
      </w:r>
      <w:r w:rsidR="003533CD" w:rsidRPr="00EB7B45">
        <w:rPr>
          <w:rFonts w:ascii="Gadugi" w:hAnsi="Gadugi"/>
          <w:spacing w:val="-4"/>
          <w:sz w:val="24"/>
          <w:szCs w:val="24"/>
        </w:rPr>
        <w:t xml:space="preserve"> vital</w:t>
      </w:r>
      <w:r w:rsidR="00305959" w:rsidRPr="00EB7B45">
        <w:rPr>
          <w:rFonts w:ascii="Gadugi" w:hAnsi="Gadugi"/>
          <w:spacing w:val="-4"/>
          <w:sz w:val="24"/>
          <w:szCs w:val="24"/>
        </w:rPr>
        <w:t>, y el de su familia está afectado, lo cual no fue infirmado por las autoridades convocadas</w:t>
      </w:r>
      <w:r w:rsidR="003533CD" w:rsidRPr="00EB7B45">
        <w:rPr>
          <w:rFonts w:ascii="Gadugi" w:hAnsi="Gadugi"/>
          <w:spacing w:val="-4"/>
          <w:sz w:val="24"/>
          <w:szCs w:val="24"/>
        </w:rPr>
        <w:t>, a todo lo cual se suma que en ADRES, aparece al afiliado en salud al régimen subsidiado y como cabeza de familia</w:t>
      </w:r>
      <w:r w:rsidR="003533CD" w:rsidRPr="00EB7B45">
        <w:rPr>
          <w:rStyle w:val="Refdenotaalpie"/>
          <w:rFonts w:ascii="Gadugi" w:hAnsi="Gadugi"/>
          <w:spacing w:val="-4"/>
          <w:sz w:val="24"/>
          <w:szCs w:val="24"/>
        </w:rPr>
        <w:footnoteReference w:id="11"/>
      </w:r>
      <w:r w:rsidR="003533CD" w:rsidRPr="00EB7B45">
        <w:rPr>
          <w:rFonts w:ascii="Gadugi" w:hAnsi="Gadugi"/>
          <w:spacing w:val="-4"/>
          <w:sz w:val="24"/>
          <w:szCs w:val="24"/>
        </w:rPr>
        <w:t xml:space="preserve">, lo que hace presumir el menoscabo de su mínima subsistencia. </w:t>
      </w:r>
      <w:r w:rsidR="00305959" w:rsidRPr="00EB7B45">
        <w:rPr>
          <w:rFonts w:ascii="Gadugi" w:hAnsi="Gadugi"/>
          <w:spacing w:val="-4"/>
          <w:sz w:val="24"/>
          <w:szCs w:val="24"/>
        </w:rPr>
        <w:t xml:space="preserve"> </w:t>
      </w:r>
    </w:p>
    <w:p w14:paraId="341A9ED4" w14:textId="57A23D51" w:rsidR="008D5839" w:rsidRPr="00B501C4" w:rsidRDefault="008D5839"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0617424B" w14:textId="796E1ABB" w:rsidR="00305959" w:rsidRPr="00EB7B45" w:rsidRDefault="00AA72D9" w:rsidP="00682421">
      <w:pPr>
        <w:spacing w:after="0" w:line="276" w:lineRule="auto"/>
        <w:jc w:val="both"/>
        <w:rPr>
          <w:rFonts w:ascii="Gadugi" w:hAnsi="Gadugi"/>
          <w:spacing w:val="-4"/>
          <w:sz w:val="24"/>
          <w:szCs w:val="24"/>
        </w:rPr>
      </w:pPr>
      <w:r w:rsidRPr="00EB7B45">
        <w:rPr>
          <w:rFonts w:ascii="Gadugi" w:hAnsi="Gadugi"/>
          <w:spacing w:val="-4"/>
          <w:sz w:val="24"/>
          <w:szCs w:val="24"/>
        </w:rPr>
        <w:t xml:space="preserve">2.3. </w:t>
      </w:r>
      <w:r w:rsidR="00305959" w:rsidRPr="00EB7B45">
        <w:rPr>
          <w:rFonts w:ascii="Gadugi" w:hAnsi="Gadugi"/>
          <w:spacing w:val="-4"/>
          <w:sz w:val="24"/>
          <w:szCs w:val="24"/>
        </w:rPr>
        <w:t xml:space="preserve">Ahora bien, para darle solución a este asunto, es menester recordar </w:t>
      </w:r>
      <w:r w:rsidR="00FD4D84" w:rsidRPr="00EB7B45">
        <w:rPr>
          <w:rFonts w:ascii="Gadugi" w:hAnsi="Gadugi"/>
          <w:spacing w:val="-4"/>
          <w:sz w:val="24"/>
          <w:szCs w:val="24"/>
        </w:rPr>
        <w:t xml:space="preserve">una tutela muy similar </w:t>
      </w:r>
      <w:r w:rsidR="00305959" w:rsidRPr="00EB7B45">
        <w:rPr>
          <w:rFonts w:ascii="Gadugi" w:hAnsi="Gadugi"/>
          <w:spacing w:val="-4"/>
          <w:sz w:val="24"/>
          <w:szCs w:val="24"/>
        </w:rPr>
        <w:t>que esta Sala conoció</w:t>
      </w:r>
      <w:r w:rsidR="00FD4D84" w:rsidRPr="00EB7B45">
        <w:rPr>
          <w:rFonts w:ascii="Gadugi" w:hAnsi="Gadugi"/>
          <w:spacing w:val="-4"/>
          <w:sz w:val="24"/>
          <w:szCs w:val="24"/>
        </w:rPr>
        <w:t xml:space="preserve"> y denegó</w:t>
      </w:r>
      <w:r w:rsidR="00305959" w:rsidRPr="00EB7B45">
        <w:rPr>
          <w:rFonts w:ascii="Gadugi" w:hAnsi="Gadugi"/>
          <w:spacing w:val="-4"/>
          <w:sz w:val="24"/>
          <w:szCs w:val="24"/>
        </w:rPr>
        <w:t xml:space="preserve"> en segunda instancia</w:t>
      </w:r>
      <w:r w:rsidR="00FD4D84" w:rsidRPr="00EB7B45">
        <w:rPr>
          <w:rStyle w:val="Refdenotaalpie"/>
          <w:rFonts w:ascii="Gadugi" w:hAnsi="Gadugi"/>
          <w:spacing w:val="-4"/>
          <w:sz w:val="24"/>
          <w:szCs w:val="24"/>
        </w:rPr>
        <w:footnoteReference w:id="12"/>
      </w:r>
      <w:r w:rsidR="00FD4D84" w:rsidRPr="00EB7B45">
        <w:rPr>
          <w:rFonts w:ascii="Gadugi" w:hAnsi="Gadugi"/>
          <w:spacing w:val="-4"/>
          <w:sz w:val="24"/>
          <w:szCs w:val="24"/>
        </w:rPr>
        <w:t xml:space="preserve"> y</w:t>
      </w:r>
      <w:r w:rsidR="00305959" w:rsidRPr="00EB7B45">
        <w:rPr>
          <w:rFonts w:ascii="Gadugi" w:hAnsi="Gadugi"/>
          <w:spacing w:val="-4"/>
          <w:sz w:val="24"/>
          <w:szCs w:val="24"/>
        </w:rPr>
        <w:t xml:space="preserve"> que fue revisad</w:t>
      </w:r>
      <w:r w:rsidR="003533CD" w:rsidRPr="00EB7B45">
        <w:rPr>
          <w:rFonts w:ascii="Gadugi" w:hAnsi="Gadugi"/>
          <w:spacing w:val="-4"/>
          <w:sz w:val="24"/>
          <w:szCs w:val="24"/>
        </w:rPr>
        <w:t xml:space="preserve">a </w:t>
      </w:r>
      <w:r w:rsidR="00305959" w:rsidRPr="00EB7B45">
        <w:rPr>
          <w:rFonts w:ascii="Gadugi" w:hAnsi="Gadugi"/>
          <w:spacing w:val="-4"/>
          <w:sz w:val="24"/>
          <w:szCs w:val="24"/>
        </w:rPr>
        <w:t>por la Corte Constitucional</w:t>
      </w:r>
      <w:r w:rsidR="00FD4D84" w:rsidRPr="00EB7B45">
        <w:rPr>
          <w:rFonts w:ascii="Gadugi" w:hAnsi="Gadugi"/>
          <w:spacing w:val="-4"/>
          <w:sz w:val="24"/>
          <w:szCs w:val="24"/>
        </w:rPr>
        <w:t xml:space="preserve">, donde se accedió al amparo. </w:t>
      </w:r>
      <w:r w:rsidR="00305959" w:rsidRPr="00EB7B45">
        <w:rPr>
          <w:rFonts w:ascii="Gadugi" w:hAnsi="Gadugi"/>
          <w:spacing w:val="-4"/>
          <w:sz w:val="24"/>
          <w:szCs w:val="24"/>
        </w:rPr>
        <w:t xml:space="preserve"> </w:t>
      </w:r>
    </w:p>
    <w:p w14:paraId="1AAD47B1" w14:textId="04A41A0F" w:rsidR="00305959" w:rsidRPr="00B501C4" w:rsidRDefault="00305959"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2688733D" w14:textId="4AE0F43C" w:rsidR="00305959" w:rsidRPr="00EB7B45" w:rsidRDefault="00305959" w:rsidP="00682421">
      <w:pPr>
        <w:spacing w:after="0" w:line="276" w:lineRule="auto"/>
        <w:jc w:val="both"/>
        <w:rPr>
          <w:rFonts w:ascii="Gadugi" w:hAnsi="Gadugi"/>
          <w:spacing w:val="-4"/>
          <w:sz w:val="24"/>
          <w:szCs w:val="24"/>
        </w:rPr>
      </w:pPr>
      <w:r w:rsidRPr="00EB7B45">
        <w:rPr>
          <w:rFonts w:ascii="Gadugi" w:hAnsi="Gadugi"/>
          <w:spacing w:val="-4"/>
          <w:sz w:val="24"/>
          <w:szCs w:val="24"/>
        </w:rPr>
        <w:t xml:space="preserve">Se trata del </w:t>
      </w:r>
      <w:r w:rsidR="00FD4D84" w:rsidRPr="00EB7B45">
        <w:rPr>
          <w:rFonts w:ascii="Gadugi" w:hAnsi="Gadugi"/>
          <w:spacing w:val="-4"/>
          <w:sz w:val="24"/>
          <w:szCs w:val="24"/>
        </w:rPr>
        <w:t xml:space="preserve">caso </w:t>
      </w:r>
      <w:r w:rsidRPr="00EB7B45">
        <w:rPr>
          <w:rFonts w:ascii="Gadugi" w:hAnsi="Gadugi"/>
          <w:spacing w:val="-4"/>
          <w:sz w:val="24"/>
          <w:szCs w:val="24"/>
        </w:rPr>
        <w:t xml:space="preserve">analizado en la sentencia T-376 de 2021, allá, como aquí, se le rogaba a Colpensiones y a la Fiduagraria S.A., corregir la historia laboral </w:t>
      </w:r>
      <w:r w:rsidR="003533CD" w:rsidRPr="00EB7B45">
        <w:rPr>
          <w:rFonts w:ascii="Gadugi" w:hAnsi="Gadugi"/>
          <w:spacing w:val="-4"/>
          <w:sz w:val="24"/>
          <w:szCs w:val="24"/>
        </w:rPr>
        <w:t>de un afiliado</w:t>
      </w:r>
      <w:r w:rsidRPr="00EB7B45">
        <w:rPr>
          <w:rFonts w:ascii="Gadugi" w:hAnsi="Gadugi"/>
          <w:spacing w:val="-4"/>
          <w:sz w:val="24"/>
          <w:szCs w:val="24"/>
        </w:rPr>
        <w:t>, comoquiera que no aparecían aportes realizados con posterioridad al momento en que él cumplió 65 años, ello con ocasión a lo dispuesto en el artículo 2.2.14.1.24 del Decreto 1833 de 20</w:t>
      </w:r>
      <w:r w:rsidR="00601389" w:rsidRPr="00EB7B45">
        <w:rPr>
          <w:rFonts w:ascii="Gadugi" w:hAnsi="Gadugi"/>
          <w:spacing w:val="-4"/>
          <w:sz w:val="24"/>
          <w:szCs w:val="24"/>
        </w:rPr>
        <w:t>1</w:t>
      </w:r>
      <w:r w:rsidRPr="00EB7B45">
        <w:rPr>
          <w:rFonts w:ascii="Gadugi" w:hAnsi="Gadugi"/>
          <w:spacing w:val="-4"/>
          <w:sz w:val="24"/>
          <w:szCs w:val="24"/>
        </w:rPr>
        <w:t>6</w:t>
      </w:r>
      <w:r w:rsidR="00601389" w:rsidRPr="00EB7B45">
        <w:rPr>
          <w:rFonts w:ascii="Gadugi" w:hAnsi="Gadugi"/>
          <w:spacing w:val="-4"/>
          <w:sz w:val="24"/>
          <w:szCs w:val="24"/>
        </w:rPr>
        <w:t xml:space="preserve">, que reza </w:t>
      </w:r>
      <w:r w:rsidR="00601389" w:rsidRPr="00EB7B45">
        <w:rPr>
          <w:rFonts w:ascii="Gadugi" w:hAnsi="Gadugi"/>
          <w:i/>
          <w:spacing w:val="-4"/>
          <w:sz w:val="24"/>
          <w:szCs w:val="24"/>
        </w:rPr>
        <w:t>“</w:t>
      </w:r>
      <w:r w:rsidR="00601389" w:rsidRPr="00EB7B45">
        <w:rPr>
          <w:rFonts w:ascii="Gadugi" w:hAnsi="Gadugi"/>
          <w:i/>
          <w:spacing w:val="-4"/>
          <w:szCs w:val="24"/>
        </w:rPr>
        <w:t xml:space="preserve">(…) El afiliado perderá la condición de beneficiario del subsidio al aporte en pensión en los siguientes eventos: (…) 2. Cuando cese la obligación de cotizar en los términos del artículo 17 de </w:t>
      </w:r>
      <w:r w:rsidR="00601389" w:rsidRPr="00EB7B45">
        <w:rPr>
          <w:rFonts w:ascii="Gadugi" w:hAnsi="Gadugi"/>
          <w:i/>
          <w:spacing w:val="-4"/>
          <w:szCs w:val="24"/>
        </w:rPr>
        <w:lastRenderedPageBreak/>
        <w:t xml:space="preserve">la Ley 100 de 1993 o </w:t>
      </w:r>
      <w:r w:rsidR="00601389" w:rsidRPr="00EB7B45">
        <w:rPr>
          <w:rFonts w:ascii="Gadugi" w:hAnsi="Gadugi"/>
          <w:i/>
          <w:spacing w:val="-4"/>
          <w:szCs w:val="24"/>
          <w:u w:val="single"/>
        </w:rPr>
        <w:t>cuando cumplan 65 años de edad</w:t>
      </w:r>
      <w:r w:rsidR="00601389" w:rsidRPr="00EB7B45">
        <w:rPr>
          <w:rFonts w:ascii="Gadugi" w:hAnsi="Gadugi"/>
          <w:i/>
          <w:spacing w:val="-4"/>
          <w:szCs w:val="24"/>
        </w:rPr>
        <w:t>, de conformidad con lo señalado en el artículo 29 de la Ley 100 de 1993</w:t>
      </w:r>
      <w:r w:rsidR="00601389" w:rsidRPr="00EB7B45">
        <w:rPr>
          <w:rFonts w:ascii="Gadugi" w:hAnsi="Gadugi"/>
          <w:i/>
          <w:spacing w:val="-4"/>
          <w:sz w:val="24"/>
          <w:szCs w:val="24"/>
        </w:rPr>
        <w:t>.”</w:t>
      </w:r>
    </w:p>
    <w:p w14:paraId="0D72EA67" w14:textId="0C973202" w:rsidR="00305959" w:rsidRPr="00B501C4" w:rsidRDefault="00305959"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1F66403C" w14:textId="6404B4AD" w:rsidR="00305959" w:rsidRPr="00EB7B45" w:rsidRDefault="00305959" w:rsidP="00682421">
      <w:pPr>
        <w:spacing w:after="0" w:line="276" w:lineRule="auto"/>
        <w:jc w:val="both"/>
        <w:rPr>
          <w:rFonts w:ascii="Gadugi" w:hAnsi="Gadugi"/>
          <w:spacing w:val="-4"/>
          <w:sz w:val="24"/>
          <w:szCs w:val="24"/>
        </w:rPr>
      </w:pPr>
      <w:r w:rsidRPr="00EB7B45">
        <w:rPr>
          <w:rFonts w:ascii="Gadugi" w:hAnsi="Gadugi"/>
          <w:spacing w:val="-4"/>
          <w:sz w:val="24"/>
          <w:szCs w:val="24"/>
        </w:rPr>
        <w:t xml:space="preserve">En esa oportunidad la alta corporación, luego de considerar procedente la demanda, </w:t>
      </w:r>
      <w:r w:rsidR="00AA72D9" w:rsidRPr="00EB7B45">
        <w:rPr>
          <w:rFonts w:ascii="Gadugi" w:hAnsi="Gadugi"/>
          <w:spacing w:val="-4"/>
          <w:sz w:val="24"/>
          <w:szCs w:val="24"/>
        </w:rPr>
        <w:t xml:space="preserve">empezó explicando que cuando una entidad estatal decide retirar a una persona de un beneficio pensional, debe hacerlo con observancia al debido proceso administrativo, y en ese orden de ideas, es </w:t>
      </w:r>
      <w:r w:rsidR="00601389" w:rsidRPr="00EB7B45">
        <w:rPr>
          <w:rFonts w:ascii="Gadugi" w:hAnsi="Gadugi"/>
          <w:spacing w:val="-4"/>
          <w:sz w:val="24"/>
          <w:szCs w:val="24"/>
        </w:rPr>
        <w:t>indispensable</w:t>
      </w:r>
      <w:r w:rsidR="00AA72D9" w:rsidRPr="00EB7B45">
        <w:rPr>
          <w:rFonts w:ascii="Gadugi" w:hAnsi="Gadugi"/>
          <w:spacing w:val="-4"/>
          <w:sz w:val="24"/>
          <w:szCs w:val="24"/>
        </w:rPr>
        <w:t xml:space="preserve"> que quien viene siendo favorecido con el subsidio, </w:t>
      </w:r>
      <w:r w:rsidR="00AA72D9" w:rsidRPr="00EB7B45">
        <w:rPr>
          <w:rFonts w:ascii="Gadugi" w:hAnsi="Gadugi"/>
          <w:spacing w:val="-4"/>
          <w:sz w:val="24"/>
          <w:szCs w:val="24"/>
          <w:u w:val="single"/>
        </w:rPr>
        <w:t>sea debidamente notificado de la suspensión</w:t>
      </w:r>
      <w:r w:rsidR="00AA72D9" w:rsidRPr="00EB7B45">
        <w:rPr>
          <w:rFonts w:ascii="Gadugi" w:hAnsi="Gadugi"/>
          <w:spacing w:val="-4"/>
          <w:sz w:val="24"/>
          <w:szCs w:val="24"/>
        </w:rPr>
        <w:t xml:space="preserve">. </w:t>
      </w:r>
    </w:p>
    <w:p w14:paraId="74475044" w14:textId="6EDF4925" w:rsidR="00AA72D9" w:rsidRPr="00B501C4" w:rsidRDefault="00AA72D9"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070607CE" w14:textId="28E48854" w:rsidR="00AA72D9" w:rsidRPr="00EB7B45" w:rsidRDefault="00A657E3" w:rsidP="00682421">
      <w:pPr>
        <w:spacing w:after="0" w:line="276" w:lineRule="auto"/>
        <w:jc w:val="both"/>
        <w:rPr>
          <w:rFonts w:ascii="Gadugi" w:hAnsi="Gadugi"/>
          <w:spacing w:val="-4"/>
          <w:sz w:val="24"/>
          <w:szCs w:val="24"/>
        </w:rPr>
      </w:pPr>
      <w:r w:rsidRPr="00EB7B45">
        <w:rPr>
          <w:rFonts w:ascii="Gadugi" w:hAnsi="Gadugi"/>
          <w:spacing w:val="-4"/>
          <w:sz w:val="24"/>
          <w:szCs w:val="24"/>
        </w:rPr>
        <w:t>Lu</w:t>
      </w:r>
      <w:r w:rsidR="00FD4D84" w:rsidRPr="00EB7B45">
        <w:rPr>
          <w:rFonts w:ascii="Gadugi" w:hAnsi="Gadugi"/>
          <w:spacing w:val="-4"/>
          <w:sz w:val="24"/>
          <w:szCs w:val="24"/>
        </w:rPr>
        <w:t>e</w:t>
      </w:r>
      <w:r w:rsidRPr="00EB7B45">
        <w:rPr>
          <w:rFonts w:ascii="Gadugi" w:hAnsi="Gadugi"/>
          <w:spacing w:val="-4"/>
          <w:sz w:val="24"/>
          <w:szCs w:val="24"/>
        </w:rPr>
        <w:t xml:space="preserve">go, con total claridad </w:t>
      </w:r>
      <w:r w:rsidR="00FD4D84" w:rsidRPr="00EB7B45">
        <w:rPr>
          <w:rFonts w:ascii="Gadugi" w:hAnsi="Gadugi"/>
          <w:spacing w:val="-4"/>
          <w:sz w:val="24"/>
          <w:szCs w:val="24"/>
        </w:rPr>
        <w:t>presentó</w:t>
      </w:r>
      <w:r w:rsidRPr="00EB7B45">
        <w:rPr>
          <w:rFonts w:ascii="Gadugi" w:hAnsi="Gadugi"/>
          <w:spacing w:val="-4"/>
          <w:sz w:val="24"/>
          <w:szCs w:val="24"/>
        </w:rPr>
        <w:t xml:space="preserve"> las siguientes explicaciones, pertinentes para la resolución de este litigio:</w:t>
      </w:r>
    </w:p>
    <w:p w14:paraId="495F3C28" w14:textId="77777777" w:rsidR="00AA72D9" w:rsidRPr="00B501C4" w:rsidRDefault="00AA72D9"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0B59C6F5" w14:textId="77777777" w:rsidR="00AA72D9" w:rsidRPr="00EB7B45" w:rsidRDefault="00AA72D9" w:rsidP="0000651E">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lang w:val="es-CO" w:eastAsia="es-CO"/>
        </w:rPr>
        <w:t>59. La Corte encuentra que en atención al interés principal que subyace a los planteamientos del accionante es necesario precisar si es constitucionalmente admisible que al actor, como lo señaló Colpensiones, no pueda acceder a la pensión de invalidez teniendo en cuenta que durante el período de vinculación al Programa -1° de octubre de 2001 hasta el 30 de marzo de 2015- se encuentran unos ciclos -septiembre y octubre de 2014- que no registran cotizaciones.</w:t>
      </w:r>
    </w:p>
    <w:p w14:paraId="0E325483"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lang w:val="es-CO" w:eastAsia="es-CO"/>
        </w:rPr>
        <w:t> </w:t>
      </w:r>
    </w:p>
    <w:p w14:paraId="3BE0DF36"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b/>
          <w:spacing w:val="-4"/>
          <w:szCs w:val="24"/>
          <w:lang w:val="es-CO" w:eastAsia="es-CO"/>
        </w:rPr>
      </w:pPr>
      <w:r w:rsidRPr="00EB7B45">
        <w:rPr>
          <w:rFonts w:ascii="Gadugi" w:eastAsia="Times New Roman" w:hAnsi="Gadugi" w:cs="Times New Roman"/>
          <w:spacing w:val="-4"/>
          <w:szCs w:val="24"/>
          <w:lang w:val="es-CO" w:eastAsia="es-CO"/>
        </w:rPr>
        <w:t>60. </w:t>
      </w:r>
      <w:r w:rsidRPr="00EB7B45">
        <w:rPr>
          <w:rFonts w:ascii="Gadugi" w:eastAsia="Times New Roman" w:hAnsi="Gadugi" w:cs="Times New Roman"/>
          <w:b/>
          <w:spacing w:val="-4"/>
          <w:szCs w:val="24"/>
          <w:lang w:val="es-CO" w:eastAsia="es-CO"/>
        </w:rPr>
        <w:t>Frente a esta aproximación podría objetarse que lo que el accionante solicita es la contabilización de los aportes realizados con posterioridad al cumplimiento de los 65 años</w:t>
      </w:r>
      <w:r w:rsidRPr="00EB7B45">
        <w:rPr>
          <w:rFonts w:ascii="Gadugi" w:eastAsia="Times New Roman" w:hAnsi="Gadugi" w:cs="Times New Roman"/>
          <w:spacing w:val="-4"/>
          <w:szCs w:val="24"/>
          <w:lang w:val="es-CO" w:eastAsia="es-CO"/>
        </w:rPr>
        <w:t xml:space="preserve">, </w:t>
      </w:r>
      <w:r w:rsidRPr="00EB7B45">
        <w:rPr>
          <w:rFonts w:ascii="Gadugi" w:eastAsia="Times New Roman" w:hAnsi="Gadugi" w:cs="Times New Roman"/>
          <w:b/>
          <w:spacing w:val="-4"/>
          <w:szCs w:val="24"/>
          <w:lang w:val="es-CO" w:eastAsia="es-CO"/>
        </w:rPr>
        <w:t>dado que la desvinculación no estuvo precedida de la garantía del debido proceso</w:t>
      </w:r>
      <w:r w:rsidRPr="00EB7B45">
        <w:rPr>
          <w:rFonts w:ascii="Gadugi" w:eastAsia="Times New Roman" w:hAnsi="Gadugi" w:cs="Times New Roman"/>
          <w:spacing w:val="-4"/>
          <w:szCs w:val="24"/>
          <w:lang w:val="es-CO" w:eastAsia="es-CO"/>
        </w:rPr>
        <w:t xml:space="preserve">. Sin embargo, la Corte encuentra que teniendo en cuenta las competencias del juez de tutela, </w:t>
      </w:r>
      <w:r w:rsidRPr="00EB7B45">
        <w:rPr>
          <w:rFonts w:ascii="Gadugi" w:eastAsia="Times New Roman" w:hAnsi="Gadugi" w:cs="Times New Roman"/>
          <w:b/>
          <w:spacing w:val="-4"/>
          <w:szCs w:val="24"/>
          <w:lang w:val="es-CO" w:eastAsia="es-CO"/>
        </w:rPr>
        <w:t>el problema que se desprendería de ello es secundario en caso de constatarse que, en realidad, la inexistencia de prueba de los pagos en el período descrito no es suficiente para negar que se hubiere satisfecho el número de semanas requerido para obtener la pensión.   </w:t>
      </w:r>
    </w:p>
    <w:p w14:paraId="3CDFE83E"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lang w:val="es-CO" w:eastAsia="es-CO"/>
        </w:rPr>
        <w:t> </w:t>
      </w:r>
    </w:p>
    <w:p w14:paraId="74DD7341" w14:textId="7CD9E3E6"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lang w:val="es-CO" w:eastAsia="es-CO"/>
        </w:rPr>
        <w:t>61. Como ha quedado dicho del acopio probatorio se evidencia que el señor Bedoya Ocampo es una persona de avanzada edad. Se encuentra afiliado al régimen subsidiado y clasificado en el grupo B2 que corresponde a los supuestos de pobreza moderada. Además, está en imposibilidad para laborar no solo por su avanzada edad, sino también porque padece de afectaciones clínicas que le impiden hacerlo, según consta en el dictamen médico laboral que estableció una pérdida de capacidad laboral del 56,42%, estructurada desde el 13 de marzo de 2017. </w:t>
      </w:r>
    </w:p>
    <w:p w14:paraId="6E9B718E"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b/>
          <w:bCs/>
          <w:spacing w:val="-4"/>
          <w:szCs w:val="24"/>
          <w:lang w:val="es-CO" w:eastAsia="es-CO"/>
        </w:rPr>
        <w:t> </w:t>
      </w:r>
    </w:p>
    <w:p w14:paraId="5C6058FC"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b/>
          <w:spacing w:val="-4"/>
          <w:szCs w:val="24"/>
          <w:lang w:val="es-CO" w:eastAsia="es-CO"/>
        </w:rPr>
      </w:pPr>
      <w:r w:rsidRPr="00EB7B45">
        <w:rPr>
          <w:rFonts w:ascii="Gadugi" w:eastAsia="Times New Roman" w:hAnsi="Gadugi" w:cs="Times New Roman"/>
          <w:spacing w:val="-4"/>
          <w:szCs w:val="24"/>
          <w:lang w:val="es-CO" w:eastAsia="es-CO"/>
        </w:rPr>
        <w:t>62. De acuerdo con la historia laboral allegada por Colpensiones, la Sala observa que no se registran pagos para los períodos de septiembre y octubre de 2014</w:t>
      </w:r>
      <w:r w:rsidRPr="00EB7B45">
        <w:rPr>
          <w:rFonts w:ascii="Gadugi" w:eastAsia="Times New Roman" w:hAnsi="Gadugi" w:cs="Times New Roman"/>
          <w:spacing w:val="-4"/>
          <w:szCs w:val="24"/>
          <w:shd w:val="clear" w:color="auto" w:fill="FFFFFF"/>
          <w:lang w:val="es-CO" w:eastAsia="es-CO"/>
        </w:rPr>
        <w:t xml:space="preserve">. </w:t>
      </w:r>
      <w:r w:rsidRPr="00EB7B45">
        <w:rPr>
          <w:rFonts w:ascii="Gadugi" w:eastAsia="Times New Roman" w:hAnsi="Gadugi" w:cs="Times New Roman"/>
          <w:b/>
          <w:spacing w:val="-4"/>
          <w:szCs w:val="24"/>
          <w:shd w:val="clear" w:color="auto" w:fill="FFFFFF"/>
          <w:lang w:val="es-CO" w:eastAsia="es-CO"/>
        </w:rPr>
        <w:t xml:space="preserve">Sin embargo, también se evidencia que el señor Bedoya Ocampo permaneció vinculado al Consorcio Colombia Mayor, hoy Fiduagraria por más de una década –desde octubre de 2001 hasta marzo de 2015- </w:t>
      </w:r>
      <w:r w:rsidRPr="00EB7B45">
        <w:rPr>
          <w:rFonts w:ascii="Gadugi" w:eastAsia="Times New Roman" w:hAnsi="Gadugi" w:cs="Times New Roman"/>
          <w:b/>
          <w:spacing w:val="-4"/>
          <w:szCs w:val="24"/>
          <w:u w:val="single"/>
          <w:shd w:val="clear" w:color="auto" w:fill="FFFFFF"/>
          <w:lang w:val="es-CO" w:eastAsia="es-CO"/>
        </w:rPr>
        <w:t>y con posterioridad a esta última fecha realizó cotizaciones debido a que no le fue notificada la desvinculación del programa</w:t>
      </w:r>
      <w:r w:rsidRPr="00EB7B45">
        <w:rPr>
          <w:rFonts w:ascii="Gadugi" w:eastAsia="Times New Roman" w:hAnsi="Gadugi" w:cs="Times New Roman"/>
          <w:b/>
          <w:spacing w:val="-4"/>
          <w:szCs w:val="24"/>
          <w:shd w:val="clear" w:color="auto" w:fill="FFFFFF"/>
          <w:lang w:val="es-CO" w:eastAsia="es-CO"/>
        </w:rPr>
        <w:t xml:space="preserve"> (desde el 30 de marzo de 2015 hasta el 30 de noviembre de ese mismo año).</w:t>
      </w:r>
    </w:p>
    <w:p w14:paraId="774293E2"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shd w:val="clear" w:color="auto" w:fill="FFFFFF"/>
          <w:lang w:val="es-CO" w:eastAsia="es-CO"/>
        </w:rPr>
        <w:t> </w:t>
      </w:r>
    </w:p>
    <w:p w14:paraId="50304B39" w14:textId="1A1DFFCF"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shd w:val="clear" w:color="auto" w:fill="FFFFFF"/>
          <w:lang w:val="es-CO" w:eastAsia="es-CO"/>
        </w:rPr>
        <w:t>(…)</w:t>
      </w:r>
    </w:p>
    <w:p w14:paraId="67C2A8F0"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shd w:val="clear" w:color="auto" w:fill="FFFFFF"/>
          <w:lang w:val="es-CO" w:eastAsia="es-CO"/>
        </w:rPr>
        <w:t> </w:t>
      </w:r>
    </w:p>
    <w:p w14:paraId="31D7FA39" w14:textId="0FF54A2E"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shd w:val="clear" w:color="auto" w:fill="FFFFFF"/>
          <w:lang w:val="es-CO" w:eastAsia="es-CO"/>
        </w:rPr>
        <w:t xml:space="preserve">64. La Sala Octava de Revisión considera que el presente asunto debe seguir el precedente establecido en la sentencia T-945 de 2014 por guardar una similitud relevante con la cuestión aquí planteada. </w:t>
      </w:r>
      <w:r w:rsidRPr="00EB7B45">
        <w:rPr>
          <w:rFonts w:ascii="Gadugi" w:eastAsia="Times New Roman" w:hAnsi="Gadugi" w:cs="Times New Roman"/>
          <w:b/>
          <w:spacing w:val="-4"/>
          <w:szCs w:val="24"/>
          <w:shd w:val="clear" w:color="auto" w:fill="FFFFFF"/>
          <w:lang w:val="es-CO" w:eastAsia="es-CO"/>
        </w:rPr>
        <w:t>En la citada sentencia, este tribunal sostuvo, en relación con la falta de pago de la cotización por parte del trabajador que ello “</w:t>
      </w:r>
      <w:r w:rsidRPr="00EB7B45">
        <w:rPr>
          <w:rFonts w:ascii="Gadugi" w:eastAsia="Times New Roman" w:hAnsi="Gadugi" w:cs="Times New Roman"/>
          <w:b/>
          <w:i/>
          <w:iCs/>
          <w:spacing w:val="-4"/>
          <w:szCs w:val="24"/>
          <w:shd w:val="clear" w:color="auto" w:fill="FFFFFF"/>
          <w:lang w:val="es-CO" w:eastAsia="es-CO"/>
        </w:rPr>
        <w:t xml:space="preserve">no quiere decir que esta no se hubiere causado por el trabajador, pues éste al permanecer afiliado al </w:t>
      </w:r>
      <w:r w:rsidRPr="00EB7B45">
        <w:rPr>
          <w:rFonts w:ascii="Gadugi" w:eastAsia="Times New Roman" w:hAnsi="Gadugi" w:cs="Times New Roman"/>
          <w:b/>
          <w:i/>
          <w:iCs/>
          <w:spacing w:val="-4"/>
          <w:szCs w:val="24"/>
          <w:shd w:val="clear" w:color="auto" w:fill="FFFFFF"/>
          <w:lang w:val="es-CO" w:eastAsia="es-CO"/>
        </w:rPr>
        <w:lastRenderedPageBreak/>
        <w:t>Sistema General de Pensiones, sigue siendo cotizante del mismo y ese tiempo de servicios debe ser tenido en cuenta, siempre que la Administradora de pensiones respectiva persiga su cobro y este se haga efectivo</w:t>
      </w:r>
      <w:r w:rsidRPr="00EB7B45">
        <w:rPr>
          <w:rFonts w:ascii="Gadugi" w:eastAsia="Times New Roman" w:hAnsi="Gadugi" w:cs="Times New Roman"/>
          <w:spacing w:val="-4"/>
          <w:szCs w:val="24"/>
          <w:shd w:val="clear" w:color="auto" w:fill="FFFFFF"/>
          <w:lang w:val="es-CO" w:eastAsia="es-CO"/>
        </w:rPr>
        <w:t>”</w:t>
      </w:r>
      <w:r w:rsidRPr="00EB7B45">
        <w:rPr>
          <w:rStyle w:val="Refdenotaalpie"/>
          <w:rFonts w:ascii="Gadugi" w:eastAsia="Times New Roman" w:hAnsi="Gadugi"/>
          <w:spacing w:val="-4"/>
          <w:szCs w:val="24"/>
          <w:shd w:val="clear" w:color="auto" w:fill="FFFFFF"/>
          <w:lang w:val="es-CO" w:eastAsia="es-CO"/>
        </w:rPr>
        <w:footnoteReference w:id="13"/>
      </w:r>
      <w:r w:rsidRPr="00EB7B45">
        <w:rPr>
          <w:rFonts w:ascii="Gadugi" w:eastAsia="Times New Roman" w:hAnsi="Gadugi" w:cs="Times New Roman"/>
          <w:spacing w:val="-4"/>
          <w:szCs w:val="24"/>
          <w:shd w:val="clear" w:color="auto" w:fill="FFFFFF"/>
          <w:lang w:val="es-CO" w:eastAsia="es-CO"/>
        </w:rPr>
        <w:t xml:space="preserve">. En ese sentido indicó que el actor permaneció vinculado por varios años -1997 hasta el 2004- al Fondo de Solidaridad Pensional, pero no realizó los aportes que a él le correspondían -112 semanas-. </w:t>
      </w:r>
      <w:r w:rsidRPr="00EB7B45">
        <w:rPr>
          <w:rFonts w:ascii="Gadugi" w:eastAsia="Times New Roman" w:hAnsi="Gadugi" w:cs="Times New Roman"/>
          <w:b/>
          <w:spacing w:val="-4"/>
          <w:szCs w:val="24"/>
          <w:shd w:val="clear" w:color="auto" w:fill="FFFFFF"/>
          <w:lang w:val="es-CO" w:eastAsia="es-CO"/>
        </w:rPr>
        <w:t>No obstante, precisó que del mismo documento tampoco se evidenciaba que Colpensiones hubiera realizado gestiones para lograr su pago</w:t>
      </w:r>
      <w:r w:rsidRPr="00EB7B45">
        <w:rPr>
          <w:rFonts w:ascii="Gadugi" w:eastAsia="Times New Roman" w:hAnsi="Gadugi" w:cs="Times New Roman"/>
          <w:spacing w:val="-4"/>
          <w:szCs w:val="24"/>
          <w:shd w:val="clear" w:color="auto" w:fill="FFFFFF"/>
          <w:lang w:val="es-CO" w:eastAsia="es-CO"/>
        </w:rPr>
        <w:t>.  </w:t>
      </w:r>
    </w:p>
    <w:p w14:paraId="45A719EC"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shd w:val="clear" w:color="auto" w:fill="FFFFFF"/>
          <w:lang w:val="es-CO" w:eastAsia="es-CO"/>
        </w:rPr>
        <w:t> </w:t>
      </w:r>
    </w:p>
    <w:p w14:paraId="369A5BEF"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shd w:val="clear" w:color="auto" w:fill="FFFFFF"/>
          <w:lang w:val="es-CO" w:eastAsia="es-CO"/>
        </w:rPr>
        <w:t xml:space="preserve">65. Sostuvo la Corte que </w:t>
      </w:r>
      <w:r w:rsidRPr="00EB7B45">
        <w:rPr>
          <w:rFonts w:ascii="Gadugi" w:eastAsia="Times New Roman" w:hAnsi="Gadugi" w:cs="Times New Roman"/>
          <w:b/>
          <w:spacing w:val="-4"/>
          <w:szCs w:val="24"/>
          <w:shd w:val="clear" w:color="auto" w:fill="FFFFFF"/>
          <w:lang w:val="es-CO" w:eastAsia="es-CO"/>
        </w:rPr>
        <w:t>“</w:t>
      </w:r>
      <w:r w:rsidRPr="00EB7B45">
        <w:rPr>
          <w:rFonts w:ascii="Gadugi" w:eastAsia="Times New Roman" w:hAnsi="Gadugi" w:cs="Times New Roman"/>
          <w:b/>
          <w:i/>
          <w:iCs/>
          <w:spacing w:val="-4"/>
          <w:szCs w:val="24"/>
          <w:shd w:val="clear" w:color="auto" w:fill="FFFFFF"/>
          <w:lang w:val="es-CO" w:eastAsia="es-CO"/>
        </w:rPr>
        <w:t>al igual que como se ha tratado el tema de la mora en el régimen contributivo de pensiones, se debe dar aplicación de lo dispuesto en los casos en que se trata del régimen subsidiado, más tratándose de esta clase de afiliados a los que les es más gravoso aportar al sistema para acceder a los beneficios del régimen de seguridad social en pensiones</w:t>
      </w:r>
      <w:r w:rsidRPr="00EB7B45">
        <w:rPr>
          <w:rFonts w:ascii="Gadugi" w:eastAsia="Times New Roman" w:hAnsi="Gadugi" w:cs="Times New Roman"/>
          <w:spacing w:val="-4"/>
          <w:szCs w:val="24"/>
          <w:shd w:val="clear" w:color="auto" w:fill="FFFFFF"/>
          <w:lang w:val="es-CO" w:eastAsia="es-CO"/>
        </w:rPr>
        <w:t>”. Y consideró tener en cuenta las semanas que el accionante estuvo afiliado al sistema subsidiado de pensiones sin perjuicio de que la entidad Administradora de Pensiones -Colpensiones- pudiera cobrarlas de manera coactiva al trabajador y al Consorcio Prosperar, en la proporción correspondiente, tal como lo establecen los artículos 24 y 57 de la Ley 100 de 1993.</w:t>
      </w:r>
    </w:p>
    <w:p w14:paraId="5AC5BA90"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shd w:val="clear" w:color="auto" w:fill="FFFFFF"/>
          <w:lang w:val="es-CO" w:eastAsia="es-CO"/>
        </w:rPr>
        <w:t> </w:t>
      </w:r>
    </w:p>
    <w:p w14:paraId="6E92FEE0"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b/>
          <w:spacing w:val="-4"/>
          <w:szCs w:val="24"/>
          <w:lang w:val="es-CO" w:eastAsia="es-CO"/>
        </w:rPr>
      </w:pPr>
      <w:r w:rsidRPr="00EB7B45">
        <w:rPr>
          <w:rFonts w:ascii="Gadugi" w:eastAsia="Times New Roman" w:hAnsi="Gadugi" w:cs="Times New Roman"/>
          <w:b/>
          <w:spacing w:val="-4"/>
          <w:szCs w:val="24"/>
          <w:shd w:val="clear" w:color="auto" w:fill="FFFFFF"/>
          <w:lang w:val="es-CO" w:eastAsia="es-CO"/>
        </w:rPr>
        <w:t>66. La Sala considera que, en el presente caso y de manera similar a como ocurrió en el caso previamente referido, el actor permaneció vinculado al Fondo de Solidaridad desde el 2001 hasta el 2015 pero no realizó los aportes para los periodos de septiembre y octubre 2014</w:t>
      </w:r>
      <w:r w:rsidRPr="00EB7B45">
        <w:rPr>
          <w:rFonts w:ascii="Gadugi" w:eastAsia="Times New Roman" w:hAnsi="Gadugi" w:cs="Times New Roman"/>
          <w:spacing w:val="-4"/>
          <w:szCs w:val="24"/>
          <w:shd w:val="clear" w:color="auto" w:fill="FFFFFF"/>
          <w:lang w:val="es-CO" w:eastAsia="es-CO"/>
        </w:rPr>
        <w:t>. En adición a ello, tampoco se evidencia gestión de cobro alguno por parte de la Administradora Pensional. Por tanto, la Sala estima que las semanas que pagó de forma extemporánea deben ser imputadas al periodo que le hace falta para que pueda adquirir el derecho prestacional, por cuanto dichos ciclos corresponden a la época durante la cual estuvo activo en el Programa -1° de octubre de 2001 a 30 marzo de 2015-. </w:t>
      </w:r>
      <w:r w:rsidRPr="00EB7B45">
        <w:rPr>
          <w:rFonts w:ascii="Gadugi" w:eastAsia="Times New Roman" w:hAnsi="Gadugi" w:cs="Times New Roman"/>
          <w:b/>
          <w:spacing w:val="-4"/>
          <w:szCs w:val="24"/>
          <w:lang w:val="es-CO" w:eastAsia="es-CO"/>
        </w:rPr>
        <w:t>En suma, privarlo de recibir una pensión de invalidez por ausencia de pago de algunos periodos en los que fue beneficiario del subsidio pensional, lesionaría sus derechos fundamentales, máxime cuando solo le restan 5 semanas para cumplir el requisito de semanas que requiere para adquirir dicho reconocimiento prestacional.</w:t>
      </w:r>
    </w:p>
    <w:p w14:paraId="1848CC0B"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shd w:val="clear" w:color="auto" w:fill="FFFFFF"/>
          <w:lang w:val="es-CO" w:eastAsia="es-CO"/>
        </w:rPr>
        <w:t> </w:t>
      </w:r>
    </w:p>
    <w:p w14:paraId="3BC86E6E" w14:textId="77777777" w:rsidR="00AA72D9" w:rsidRPr="00EB7B45" w:rsidRDefault="00AA72D9" w:rsidP="00A70B07">
      <w:pPr>
        <w:shd w:val="clear" w:color="auto" w:fill="FFFFFF"/>
        <w:spacing w:after="0" w:line="240" w:lineRule="auto"/>
        <w:ind w:left="426" w:right="420"/>
        <w:jc w:val="both"/>
        <w:rPr>
          <w:rFonts w:ascii="Gadugi" w:eastAsia="Times New Roman" w:hAnsi="Gadugi" w:cs="Calibri"/>
          <w:spacing w:val="-4"/>
          <w:szCs w:val="24"/>
          <w:lang w:val="es-CO" w:eastAsia="es-CO"/>
        </w:rPr>
      </w:pPr>
      <w:r w:rsidRPr="00EB7B45">
        <w:rPr>
          <w:rFonts w:ascii="Gadugi" w:eastAsia="Times New Roman" w:hAnsi="Gadugi" w:cs="Times New Roman"/>
          <w:spacing w:val="-4"/>
          <w:szCs w:val="24"/>
          <w:shd w:val="clear" w:color="auto" w:fill="FFFFFF"/>
          <w:lang w:val="es-CO" w:eastAsia="es-CO"/>
        </w:rPr>
        <w:t>67. Conforme a lo expuesto le corresponde a la Administradora de pensiones, en este caso Colpensiones, gestionar el pago ante la Administradora de los recursos del Fondo de Solidaridad Pensional -hoy Fiduagraria-.</w:t>
      </w:r>
    </w:p>
    <w:p w14:paraId="19057DAD" w14:textId="77777777" w:rsidR="00AA72D9" w:rsidRPr="00B501C4" w:rsidRDefault="00AA72D9"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5C776C86" w14:textId="7D6E398A" w:rsidR="00305959" w:rsidRPr="00EB7B45" w:rsidRDefault="000F170A" w:rsidP="00682421">
      <w:pPr>
        <w:spacing w:after="0" w:line="276" w:lineRule="auto"/>
        <w:jc w:val="both"/>
        <w:rPr>
          <w:rFonts w:ascii="Gadugi" w:hAnsi="Gadugi"/>
          <w:spacing w:val="-4"/>
          <w:sz w:val="24"/>
          <w:szCs w:val="24"/>
        </w:rPr>
      </w:pPr>
      <w:r w:rsidRPr="00EB7B45">
        <w:rPr>
          <w:rFonts w:ascii="Gadugi" w:hAnsi="Gadugi"/>
          <w:spacing w:val="-4"/>
          <w:sz w:val="24"/>
          <w:szCs w:val="24"/>
        </w:rPr>
        <w:t>2.4. Con lo anterior claro, sigue la Sala con el caso concreto en el que está probado lo siguiente:</w:t>
      </w:r>
    </w:p>
    <w:p w14:paraId="08A25ACC" w14:textId="5781FABB" w:rsidR="000F170A" w:rsidRPr="00B501C4" w:rsidRDefault="000F170A"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5B0B4452" w14:textId="74CD3C08" w:rsidR="00A657E3" w:rsidRPr="00EB7B45" w:rsidRDefault="000F170A" w:rsidP="00682421">
      <w:pPr>
        <w:spacing w:after="0" w:line="276" w:lineRule="auto"/>
        <w:jc w:val="both"/>
        <w:rPr>
          <w:rFonts w:ascii="Gadugi" w:hAnsi="Gadugi"/>
          <w:spacing w:val="-4"/>
          <w:sz w:val="24"/>
          <w:szCs w:val="24"/>
        </w:rPr>
      </w:pPr>
      <w:r w:rsidRPr="00EB7B45">
        <w:rPr>
          <w:rFonts w:ascii="Gadugi" w:hAnsi="Gadugi"/>
          <w:spacing w:val="-4"/>
          <w:sz w:val="24"/>
          <w:szCs w:val="24"/>
        </w:rPr>
        <w:t xml:space="preserve">(i) </w:t>
      </w:r>
      <w:r w:rsidR="0048151E" w:rsidRPr="00EB7B45">
        <w:rPr>
          <w:rFonts w:ascii="Gadugi" w:hAnsi="Gadugi"/>
          <w:spacing w:val="-4"/>
          <w:sz w:val="24"/>
          <w:szCs w:val="24"/>
        </w:rPr>
        <w:t xml:space="preserve">Según el reporte de cotizaciones de Colpensiones, el accionante </w:t>
      </w:r>
      <w:r w:rsidR="00173AC3" w:rsidRPr="00EB7B45">
        <w:rPr>
          <w:rFonts w:ascii="Gadugi" w:hAnsi="Gadugi"/>
          <w:spacing w:val="-4"/>
          <w:sz w:val="24"/>
          <w:szCs w:val="24"/>
        </w:rPr>
        <w:t>realizó aportes</w:t>
      </w:r>
      <w:r w:rsidR="0048151E" w:rsidRPr="00EB7B45">
        <w:rPr>
          <w:rFonts w:ascii="Gadugi" w:hAnsi="Gadugi"/>
          <w:spacing w:val="-4"/>
          <w:sz w:val="24"/>
          <w:szCs w:val="24"/>
        </w:rPr>
        <w:t xml:space="preserve"> en el periodo comprendido desde el 24 </w:t>
      </w:r>
      <w:r w:rsidR="00173AC3" w:rsidRPr="00EB7B45">
        <w:rPr>
          <w:rFonts w:ascii="Gadugi" w:hAnsi="Gadugi"/>
          <w:spacing w:val="-4"/>
          <w:sz w:val="24"/>
          <w:szCs w:val="24"/>
        </w:rPr>
        <w:t>de enero de 1979 y el 1° de octubre de 1981, y después en el periodo entre el 1° de septiembre de 2003 y el 31 de enero de 2014</w:t>
      </w:r>
      <w:r w:rsidR="00A657E3" w:rsidRPr="00EB7B45">
        <w:rPr>
          <w:rFonts w:ascii="Gadugi" w:hAnsi="Gadugi"/>
          <w:spacing w:val="-4"/>
          <w:sz w:val="24"/>
          <w:szCs w:val="24"/>
        </w:rPr>
        <w:t xml:space="preserve">, durante este último lapso, hizo sus aportes con la ayuda del </w:t>
      </w:r>
      <w:r w:rsidR="00A657E3" w:rsidRPr="00EB7B45">
        <w:rPr>
          <w:rFonts w:ascii="Gadugi" w:hAnsi="Gadugi"/>
          <w:i/>
          <w:spacing w:val="-4"/>
          <w:sz w:val="24"/>
          <w:szCs w:val="24"/>
        </w:rPr>
        <w:t>“</w:t>
      </w:r>
      <w:r w:rsidR="00A657E3" w:rsidRPr="00EB7B45">
        <w:rPr>
          <w:rFonts w:ascii="Gadugi" w:hAnsi="Gadugi"/>
          <w:i/>
          <w:spacing w:val="-4"/>
          <w:szCs w:val="24"/>
        </w:rPr>
        <w:t>Programa de Subsidio al Aporte en Pensión (PSAP)</w:t>
      </w:r>
      <w:r w:rsidR="00A657E3" w:rsidRPr="00EB7B45">
        <w:rPr>
          <w:rFonts w:ascii="Gadugi" w:hAnsi="Gadugi"/>
          <w:i/>
          <w:spacing w:val="-4"/>
          <w:sz w:val="24"/>
          <w:szCs w:val="24"/>
        </w:rPr>
        <w:t>”</w:t>
      </w:r>
      <w:r w:rsidR="00A657E3" w:rsidRPr="00EB7B45">
        <w:rPr>
          <w:rFonts w:ascii="Gadugi" w:hAnsi="Gadugi"/>
          <w:spacing w:val="-4"/>
          <w:sz w:val="24"/>
          <w:szCs w:val="24"/>
        </w:rPr>
        <w:t xml:space="preserve"> en el grupo poblacional </w:t>
      </w:r>
      <w:r w:rsidR="00A657E3" w:rsidRPr="00EB7B45">
        <w:rPr>
          <w:rFonts w:ascii="Gadugi" w:hAnsi="Gadugi"/>
          <w:i/>
          <w:spacing w:val="-4"/>
          <w:sz w:val="24"/>
          <w:szCs w:val="24"/>
        </w:rPr>
        <w:t>“</w:t>
      </w:r>
      <w:r w:rsidR="00A657E3" w:rsidRPr="00EB7B45">
        <w:rPr>
          <w:rFonts w:ascii="Gadugi" w:hAnsi="Gadugi"/>
          <w:i/>
          <w:spacing w:val="-4"/>
          <w:szCs w:val="24"/>
        </w:rPr>
        <w:t>Trabajador Independiente Rural</w:t>
      </w:r>
      <w:r w:rsidR="00A657E3" w:rsidRPr="00EB7B45">
        <w:rPr>
          <w:rFonts w:ascii="Gadugi" w:hAnsi="Gadugi"/>
          <w:i/>
          <w:spacing w:val="-4"/>
          <w:sz w:val="24"/>
          <w:szCs w:val="24"/>
        </w:rPr>
        <w:t>”.</w:t>
      </w:r>
    </w:p>
    <w:p w14:paraId="5ECA37F7" w14:textId="77777777" w:rsidR="00A657E3" w:rsidRPr="00B501C4" w:rsidRDefault="00A657E3" w:rsidP="00B501C4">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307CC1BC" w14:textId="33068BD2" w:rsidR="000F170A" w:rsidRPr="00EB7B45" w:rsidRDefault="00173AC3" w:rsidP="00682421">
      <w:pPr>
        <w:spacing w:after="0" w:line="276" w:lineRule="auto"/>
        <w:jc w:val="both"/>
        <w:rPr>
          <w:rFonts w:ascii="Gadugi" w:hAnsi="Gadugi"/>
          <w:spacing w:val="-4"/>
          <w:sz w:val="24"/>
          <w:szCs w:val="24"/>
        </w:rPr>
      </w:pPr>
      <w:r w:rsidRPr="00EB7B45">
        <w:rPr>
          <w:rFonts w:ascii="Gadugi" w:hAnsi="Gadugi"/>
          <w:spacing w:val="-4"/>
          <w:sz w:val="24"/>
          <w:szCs w:val="24"/>
        </w:rPr>
        <w:t xml:space="preserve">Sin embargo, </w:t>
      </w:r>
      <w:r w:rsidR="00A657E3" w:rsidRPr="00EB7B45">
        <w:rPr>
          <w:rFonts w:ascii="Gadugi" w:hAnsi="Gadugi"/>
          <w:spacing w:val="-4"/>
          <w:sz w:val="24"/>
          <w:szCs w:val="24"/>
        </w:rPr>
        <w:t>las cotizaciones</w:t>
      </w:r>
      <w:r w:rsidRPr="00EB7B45">
        <w:rPr>
          <w:rFonts w:ascii="Gadugi" w:hAnsi="Gadugi"/>
          <w:spacing w:val="-4"/>
          <w:sz w:val="24"/>
          <w:szCs w:val="24"/>
        </w:rPr>
        <w:t xml:space="preserve"> entre febrero de 2013 y enero de 2014, si bien tienen referencia y fecha de pago, no </w:t>
      </w:r>
      <w:r w:rsidR="00572891" w:rsidRPr="00EB7B45">
        <w:rPr>
          <w:rFonts w:ascii="Gadugi" w:hAnsi="Gadugi"/>
          <w:spacing w:val="-4"/>
          <w:sz w:val="24"/>
          <w:szCs w:val="24"/>
        </w:rPr>
        <w:t>sumaron semanas y</w:t>
      </w:r>
      <w:r w:rsidRPr="00EB7B45">
        <w:rPr>
          <w:rFonts w:ascii="Gadugi" w:hAnsi="Gadugi"/>
          <w:spacing w:val="-4"/>
          <w:sz w:val="24"/>
          <w:szCs w:val="24"/>
        </w:rPr>
        <w:t xml:space="preserve"> tienen la observación</w:t>
      </w:r>
      <w:r w:rsidRPr="00EB7B45">
        <w:rPr>
          <w:rFonts w:ascii="Gadugi" w:hAnsi="Gadugi"/>
          <w:i/>
          <w:spacing w:val="-4"/>
          <w:sz w:val="24"/>
          <w:szCs w:val="24"/>
        </w:rPr>
        <w:t xml:space="preserve"> </w:t>
      </w:r>
      <w:r w:rsidR="00572891" w:rsidRPr="00EB7B45">
        <w:rPr>
          <w:rFonts w:ascii="Gadugi" w:hAnsi="Gadugi"/>
          <w:i/>
          <w:spacing w:val="-4"/>
          <w:sz w:val="24"/>
          <w:szCs w:val="24"/>
        </w:rPr>
        <w:t>“</w:t>
      </w:r>
      <w:r w:rsidR="00572891" w:rsidRPr="00EB7B45">
        <w:rPr>
          <w:rFonts w:ascii="Gadugi" w:hAnsi="Gadugi"/>
          <w:i/>
          <w:spacing w:val="-4"/>
          <w:szCs w:val="24"/>
        </w:rPr>
        <w:t>Registra Pagos con Edad Superior a 65 Años</w:t>
      </w:r>
      <w:r w:rsidR="00572891" w:rsidRPr="00EB7B45">
        <w:rPr>
          <w:rFonts w:ascii="Gadugi" w:hAnsi="Gadugi"/>
          <w:i/>
          <w:spacing w:val="-4"/>
          <w:sz w:val="24"/>
          <w:szCs w:val="24"/>
        </w:rPr>
        <w:t>.”</w:t>
      </w:r>
      <w:r w:rsidR="003533CD" w:rsidRPr="00EB7B45">
        <w:rPr>
          <w:rStyle w:val="Refdenotaalpie"/>
          <w:rFonts w:ascii="Gadugi" w:hAnsi="Gadugi"/>
          <w:i/>
          <w:spacing w:val="-4"/>
          <w:sz w:val="24"/>
          <w:szCs w:val="24"/>
        </w:rPr>
        <w:footnoteReference w:id="14"/>
      </w:r>
    </w:p>
    <w:p w14:paraId="33AE4DAF" w14:textId="506290E9" w:rsidR="00305959" w:rsidRPr="00EB7B45" w:rsidRDefault="00305959" w:rsidP="00682421">
      <w:pPr>
        <w:spacing w:after="0" w:line="276" w:lineRule="auto"/>
        <w:jc w:val="both"/>
        <w:rPr>
          <w:rFonts w:ascii="Gadugi" w:hAnsi="Gadugi"/>
          <w:spacing w:val="-4"/>
          <w:sz w:val="24"/>
          <w:szCs w:val="24"/>
        </w:rPr>
      </w:pPr>
    </w:p>
    <w:p w14:paraId="705E0EF0" w14:textId="5F0DEDE1" w:rsidR="00572891" w:rsidRPr="00EB7B45" w:rsidRDefault="00572891" w:rsidP="00831518">
      <w:pPr>
        <w:spacing w:after="0" w:line="276" w:lineRule="auto"/>
        <w:jc w:val="both"/>
        <w:rPr>
          <w:rFonts w:ascii="Gadugi" w:hAnsi="Gadugi"/>
          <w:spacing w:val="-4"/>
          <w:sz w:val="24"/>
          <w:szCs w:val="24"/>
        </w:rPr>
      </w:pPr>
      <w:r w:rsidRPr="00B501C4">
        <w:rPr>
          <w:rFonts w:ascii="Gadugi" w:eastAsia="Times New Roman" w:hAnsi="Gadugi" w:cs="Arial"/>
          <w:bCs/>
          <w:spacing w:val="-4"/>
          <w:sz w:val="24"/>
          <w:szCs w:val="24"/>
          <w:lang w:val="es-ES" w:eastAsia="es-ES"/>
        </w:rPr>
        <w:lastRenderedPageBreak/>
        <w:t>(ii) Los pagos realizados por el accionante desde febrero de 2013 a enero de 2014, se</w:t>
      </w:r>
      <w:r w:rsidRPr="00EB7B45">
        <w:rPr>
          <w:rFonts w:ascii="Gadugi" w:hAnsi="Gadugi"/>
          <w:spacing w:val="-4"/>
          <w:sz w:val="24"/>
          <w:szCs w:val="24"/>
        </w:rPr>
        <w:t xml:space="preserve"> constatan en </w:t>
      </w:r>
      <w:r w:rsidR="003533CD" w:rsidRPr="00EB7B45">
        <w:rPr>
          <w:rFonts w:ascii="Gadugi" w:hAnsi="Gadugi"/>
          <w:spacing w:val="-4"/>
          <w:sz w:val="24"/>
          <w:szCs w:val="24"/>
        </w:rPr>
        <w:t xml:space="preserve">cada uno de </w:t>
      </w:r>
      <w:r w:rsidRPr="00EB7B45">
        <w:rPr>
          <w:rFonts w:ascii="Gadugi" w:hAnsi="Gadugi"/>
          <w:spacing w:val="-4"/>
          <w:sz w:val="24"/>
          <w:szCs w:val="24"/>
        </w:rPr>
        <w:t>los comprobantes de pago que se anexaron a la demanda.</w:t>
      </w:r>
      <w:r w:rsidR="003533CD" w:rsidRPr="00EB7B45">
        <w:rPr>
          <w:rStyle w:val="Refdenotaalpie"/>
          <w:rFonts w:ascii="Gadugi" w:hAnsi="Gadugi"/>
          <w:spacing w:val="-4"/>
          <w:sz w:val="24"/>
          <w:szCs w:val="24"/>
        </w:rPr>
        <w:footnoteReference w:id="15"/>
      </w:r>
      <w:r w:rsidRPr="00EB7B45">
        <w:rPr>
          <w:rFonts w:ascii="Gadugi" w:hAnsi="Gadugi"/>
          <w:spacing w:val="-4"/>
          <w:sz w:val="24"/>
          <w:szCs w:val="24"/>
        </w:rPr>
        <w:t xml:space="preserve">   </w:t>
      </w:r>
    </w:p>
    <w:p w14:paraId="232A933E" w14:textId="77777777" w:rsidR="00A657E3" w:rsidRPr="00831518" w:rsidRDefault="00A657E3"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15BB67BD" w14:textId="406E5B75" w:rsidR="00572891" w:rsidRPr="00EB7B45" w:rsidRDefault="00572891" w:rsidP="00682421">
      <w:pPr>
        <w:spacing w:after="0" w:line="276" w:lineRule="auto"/>
        <w:jc w:val="both"/>
        <w:rPr>
          <w:rFonts w:ascii="Gadugi" w:hAnsi="Gadugi"/>
          <w:spacing w:val="-4"/>
          <w:sz w:val="24"/>
          <w:szCs w:val="24"/>
        </w:rPr>
      </w:pPr>
      <w:r w:rsidRPr="00EB7B45">
        <w:rPr>
          <w:rFonts w:ascii="Gadugi" w:hAnsi="Gadugi"/>
          <w:spacing w:val="-4"/>
          <w:sz w:val="24"/>
          <w:szCs w:val="24"/>
        </w:rPr>
        <w:t>(iii) En el reporte que allegó la Fiduagraria S.A., se observan pagos del subsidio girados en favor de Colpensiones desde septiembre de 2003, hasta enero de 2013, el pago del último periodo se efectuó el 22 de diciembre de 2014.</w:t>
      </w:r>
      <w:r w:rsidR="00B6745F" w:rsidRPr="00EB7B45">
        <w:rPr>
          <w:rStyle w:val="Refdenotaalpie"/>
          <w:rFonts w:ascii="Gadugi" w:hAnsi="Gadugi"/>
          <w:spacing w:val="-4"/>
          <w:sz w:val="24"/>
          <w:szCs w:val="24"/>
        </w:rPr>
        <w:footnoteReference w:id="16"/>
      </w:r>
    </w:p>
    <w:p w14:paraId="55315032" w14:textId="60CE24A9" w:rsidR="00572891" w:rsidRPr="00831518" w:rsidRDefault="00572891"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5F6154A3" w14:textId="03A5B1EE" w:rsidR="00FD4D84" w:rsidRPr="00EB7B45" w:rsidRDefault="00FD4D84" w:rsidP="00682421">
      <w:pPr>
        <w:spacing w:after="0" w:line="276" w:lineRule="auto"/>
        <w:jc w:val="both"/>
        <w:rPr>
          <w:rFonts w:ascii="Gadugi" w:hAnsi="Gadugi"/>
          <w:spacing w:val="-4"/>
          <w:sz w:val="24"/>
          <w:szCs w:val="24"/>
        </w:rPr>
      </w:pPr>
      <w:r w:rsidRPr="00EB7B45">
        <w:rPr>
          <w:rFonts w:ascii="Gadugi" w:hAnsi="Gadugi"/>
          <w:spacing w:val="-4"/>
          <w:sz w:val="24"/>
          <w:szCs w:val="24"/>
        </w:rPr>
        <w:t xml:space="preserve">La notificación de la suspensión del beneficio, quedó sin demostración, basta ver que, ante una solicitud del actor para que le informaran sobre dicha comunicación, la Fiduagraria S.A., se limitó a decirle que la entidad </w:t>
      </w:r>
      <w:r w:rsidRPr="00EB7B45">
        <w:rPr>
          <w:rFonts w:ascii="Gadugi" w:hAnsi="Gadugi"/>
          <w:i/>
          <w:spacing w:val="-4"/>
          <w:sz w:val="24"/>
          <w:szCs w:val="24"/>
        </w:rPr>
        <w:t>“(…) no posee custodia de las cartas de notificación por suspensión antes del año 2014”.</w:t>
      </w:r>
      <w:r w:rsidRPr="00EB7B45">
        <w:rPr>
          <w:rStyle w:val="Refdenotaalpie"/>
          <w:rFonts w:ascii="Gadugi" w:hAnsi="Gadugi"/>
          <w:i/>
          <w:spacing w:val="-4"/>
          <w:sz w:val="24"/>
          <w:szCs w:val="24"/>
        </w:rPr>
        <w:footnoteReference w:id="17"/>
      </w:r>
      <w:r w:rsidRPr="00EB7B45">
        <w:rPr>
          <w:rFonts w:ascii="Gadugi" w:hAnsi="Gadugi"/>
          <w:spacing w:val="-4"/>
          <w:sz w:val="24"/>
          <w:szCs w:val="24"/>
        </w:rPr>
        <w:t xml:space="preserve">  </w:t>
      </w:r>
    </w:p>
    <w:p w14:paraId="04703C83" w14:textId="77777777" w:rsidR="00FD4D84" w:rsidRPr="00831518" w:rsidRDefault="00FD4D84"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7BE57BBD" w14:textId="039DEFA3" w:rsidR="00572891" w:rsidRPr="00EB7B45" w:rsidRDefault="00572891" w:rsidP="00682421">
      <w:pPr>
        <w:spacing w:after="0" w:line="276" w:lineRule="auto"/>
        <w:jc w:val="both"/>
        <w:rPr>
          <w:rFonts w:ascii="Gadugi" w:hAnsi="Gadugi"/>
          <w:spacing w:val="-4"/>
          <w:sz w:val="24"/>
          <w:szCs w:val="24"/>
        </w:rPr>
      </w:pPr>
      <w:r w:rsidRPr="00EB7B45">
        <w:rPr>
          <w:rFonts w:ascii="Gadugi" w:hAnsi="Gadugi"/>
          <w:spacing w:val="-4"/>
          <w:sz w:val="24"/>
          <w:szCs w:val="24"/>
        </w:rPr>
        <w:t>(iv) El señor Echeverri calificado por la Junta Regional de Calificación de Invalidez de Risaralda con el 50,27% de PCL, con fecha de estructuración del 9 de diciembre de 2015.</w:t>
      </w:r>
      <w:r w:rsidR="00B6745F" w:rsidRPr="00EB7B45">
        <w:rPr>
          <w:rStyle w:val="Refdenotaalpie"/>
          <w:rFonts w:ascii="Gadugi" w:hAnsi="Gadugi"/>
          <w:spacing w:val="-4"/>
          <w:sz w:val="24"/>
          <w:szCs w:val="24"/>
        </w:rPr>
        <w:footnoteReference w:id="18"/>
      </w:r>
      <w:r w:rsidRPr="00EB7B45">
        <w:rPr>
          <w:rFonts w:ascii="Gadugi" w:hAnsi="Gadugi"/>
          <w:spacing w:val="-4"/>
          <w:sz w:val="24"/>
          <w:szCs w:val="24"/>
        </w:rPr>
        <w:t xml:space="preserve"> </w:t>
      </w:r>
    </w:p>
    <w:p w14:paraId="717391AE" w14:textId="77777777" w:rsidR="00A657E3" w:rsidRPr="00831518" w:rsidRDefault="00A657E3"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21C5D75C" w14:textId="3265228A" w:rsidR="00572891" w:rsidRPr="00EB7B45" w:rsidRDefault="00A657E3" w:rsidP="00682421">
      <w:pPr>
        <w:spacing w:after="0" w:line="276" w:lineRule="auto"/>
        <w:jc w:val="both"/>
        <w:rPr>
          <w:rFonts w:ascii="Gadugi" w:hAnsi="Gadugi"/>
          <w:spacing w:val="-4"/>
          <w:sz w:val="24"/>
          <w:szCs w:val="24"/>
        </w:rPr>
      </w:pPr>
      <w:r w:rsidRPr="00EB7B45">
        <w:rPr>
          <w:rFonts w:ascii="Gadugi" w:hAnsi="Gadugi"/>
          <w:spacing w:val="-4"/>
          <w:sz w:val="24"/>
          <w:szCs w:val="24"/>
        </w:rPr>
        <w:t xml:space="preserve">(v) La respuesta de Colpensiones, del 18 de julio de 2022, es en el sentido de que la corrección solicitada es improcedente porque el actor </w:t>
      </w:r>
      <w:r w:rsidRPr="00EB7B45">
        <w:rPr>
          <w:rFonts w:ascii="Gadugi" w:hAnsi="Gadugi"/>
          <w:i/>
          <w:spacing w:val="-4"/>
          <w:sz w:val="24"/>
          <w:szCs w:val="24"/>
        </w:rPr>
        <w:t>“</w:t>
      </w:r>
      <w:r w:rsidRPr="00EB7B45">
        <w:rPr>
          <w:rFonts w:ascii="Gadugi" w:hAnsi="Gadugi"/>
          <w:i/>
          <w:spacing w:val="-4"/>
          <w:szCs w:val="24"/>
        </w:rPr>
        <w:t>(…) presenta retiro al Programa del Subsidio al Aporte en Pensión PSAP a partir del día 31 de enero de 2013, por lo cual, no es posible generar cuentas de cobro para períodos posteriores a esta fecha (…)</w:t>
      </w:r>
      <w:r w:rsidRPr="00EB7B45">
        <w:rPr>
          <w:rFonts w:ascii="Gadugi" w:hAnsi="Gadugi"/>
          <w:i/>
          <w:spacing w:val="-4"/>
          <w:sz w:val="24"/>
          <w:szCs w:val="24"/>
        </w:rPr>
        <w:t>”</w:t>
      </w:r>
      <w:r w:rsidR="00B6745F" w:rsidRPr="00EB7B45">
        <w:rPr>
          <w:rStyle w:val="Refdenotaalpie"/>
          <w:rFonts w:ascii="Gadugi" w:hAnsi="Gadugi"/>
          <w:i/>
          <w:spacing w:val="-4"/>
          <w:sz w:val="24"/>
          <w:szCs w:val="24"/>
        </w:rPr>
        <w:footnoteReference w:id="19"/>
      </w:r>
      <w:r w:rsidRPr="00EB7B45">
        <w:rPr>
          <w:rFonts w:ascii="Gadugi" w:hAnsi="Gadugi"/>
          <w:i/>
          <w:spacing w:val="-4"/>
          <w:sz w:val="24"/>
          <w:szCs w:val="24"/>
        </w:rPr>
        <w:t>.</w:t>
      </w:r>
      <w:r w:rsidR="00572891" w:rsidRPr="00EB7B45">
        <w:rPr>
          <w:rFonts w:ascii="Gadugi" w:hAnsi="Gadugi"/>
          <w:spacing w:val="-4"/>
          <w:sz w:val="24"/>
          <w:szCs w:val="24"/>
        </w:rPr>
        <w:t xml:space="preserve"> </w:t>
      </w:r>
    </w:p>
    <w:p w14:paraId="75121281" w14:textId="105A33FD" w:rsidR="00A657E3" w:rsidRPr="00831518" w:rsidRDefault="00A657E3"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6F891878" w14:textId="43A7D318" w:rsidR="00A657E3" w:rsidRPr="00EB7B45" w:rsidRDefault="00A657E3" w:rsidP="00682421">
      <w:pPr>
        <w:spacing w:after="0" w:line="276" w:lineRule="auto"/>
        <w:jc w:val="both"/>
        <w:rPr>
          <w:rFonts w:ascii="Gadugi" w:hAnsi="Gadugi"/>
          <w:spacing w:val="-4"/>
          <w:sz w:val="24"/>
          <w:szCs w:val="24"/>
        </w:rPr>
      </w:pPr>
      <w:r w:rsidRPr="00EB7B45">
        <w:rPr>
          <w:rFonts w:ascii="Gadugi" w:hAnsi="Gadugi"/>
          <w:spacing w:val="-4"/>
          <w:sz w:val="24"/>
          <w:szCs w:val="24"/>
        </w:rPr>
        <w:t xml:space="preserve">(vi) Y la de la Fiduagraria S.A., el 16 de agosto de 2022, le dijo que no era posible hacer el desembolso, dado que el actor </w:t>
      </w:r>
      <w:r w:rsidRPr="00EB7B45">
        <w:rPr>
          <w:rFonts w:ascii="Gadugi" w:hAnsi="Gadugi"/>
          <w:i/>
          <w:spacing w:val="-4"/>
          <w:sz w:val="24"/>
          <w:szCs w:val="24"/>
        </w:rPr>
        <w:t>“</w:t>
      </w:r>
      <w:r w:rsidRPr="00EB7B45">
        <w:rPr>
          <w:rFonts w:ascii="Gadugi" w:hAnsi="Gadugi"/>
          <w:i/>
          <w:spacing w:val="-4"/>
          <w:szCs w:val="24"/>
          <w:u w:val="single"/>
        </w:rPr>
        <w:t>cumplió los 65 años el 17 de enero de 2013</w:t>
      </w:r>
      <w:r w:rsidRPr="00EB7B45">
        <w:rPr>
          <w:rFonts w:ascii="Gadugi" w:hAnsi="Gadugi"/>
          <w:i/>
          <w:spacing w:val="-4"/>
          <w:sz w:val="24"/>
          <w:szCs w:val="24"/>
        </w:rPr>
        <w:t>”.</w:t>
      </w:r>
      <w:r w:rsidR="00B6745F" w:rsidRPr="00EB7B45">
        <w:rPr>
          <w:rStyle w:val="Refdenotaalpie"/>
          <w:rFonts w:ascii="Gadugi" w:hAnsi="Gadugi"/>
          <w:i/>
          <w:spacing w:val="-4"/>
          <w:sz w:val="24"/>
          <w:szCs w:val="24"/>
        </w:rPr>
        <w:footnoteReference w:id="20"/>
      </w:r>
      <w:r w:rsidRPr="00EB7B45">
        <w:rPr>
          <w:rFonts w:ascii="Gadugi" w:hAnsi="Gadugi"/>
          <w:spacing w:val="-4"/>
          <w:sz w:val="24"/>
          <w:szCs w:val="24"/>
        </w:rPr>
        <w:t xml:space="preserve"> </w:t>
      </w:r>
    </w:p>
    <w:p w14:paraId="652D27BC" w14:textId="77777777" w:rsidR="00A657E3" w:rsidRPr="00831518" w:rsidRDefault="00A657E3"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6EC10D53" w14:textId="0B6E3F58" w:rsidR="00572891" w:rsidRPr="00EB7B45" w:rsidRDefault="00572891" w:rsidP="00682421">
      <w:pPr>
        <w:spacing w:after="0" w:line="276" w:lineRule="auto"/>
        <w:jc w:val="both"/>
        <w:rPr>
          <w:rFonts w:ascii="Gadugi" w:hAnsi="Gadugi"/>
          <w:spacing w:val="-4"/>
          <w:sz w:val="24"/>
          <w:szCs w:val="24"/>
        </w:rPr>
      </w:pPr>
      <w:r w:rsidRPr="00EB7B45">
        <w:rPr>
          <w:rFonts w:ascii="Gadugi" w:hAnsi="Gadugi"/>
          <w:spacing w:val="-4"/>
          <w:sz w:val="24"/>
          <w:szCs w:val="24"/>
        </w:rPr>
        <w:t xml:space="preserve">De frente a ese derrotero, es criterio de la Sala que las contestaciones ofrecidas por Colpensiones y la Fiduagraria S.A., vulneraron </w:t>
      </w:r>
      <w:r w:rsidR="00601389" w:rsidRPr="00EB7B45">
        <w:rPr>
          <w:rFonts w:ascii="Gadugi" w:hAnsi="Gadugi"/>
          <w:spacing w:val="-4"/>
          <w:sz w:val="24"/>
          <w:szCs w:val="24"/>
        </w:rPr>
        <w:t>los derechos al debido proceso y a la seguridad social</w:t>
      </w:r>
      <w:r w:rsidRPr="00EB7B45">
        <w:rPr>
          <w:rFonts w:ascii="Gadugi" w:hAnsi="Gadugi"/>
          <w:spacing w:val="-4"/>
          <w:sz w:val="24"/>
          <w:szCs w:val="24"/>
        </w:rPr>
        <w:t xml:space="preserve"> del actor, y desconocen el precedente y las directrices que, en asuntos análogos, ha impartido la máxima autoridad en asuntos constitucionales.</w:t>
      </w:r>
    </w:p>
    <w:p w14:paraId="4F2C0620" w14:textId="66F3E43F" w:rsidR="00572891" w:rsidRPr="00831518" w:rsidRDefault="00572891"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358830EF" w14:textId="632BCC0E" w:rsidR="00572891" w:rsidRPr="00EB7B45" w:rsidRDefault="00572891" w:rsidP="00682421">
      <w:pPr>
        <w:spacing w:after="0" w:line="276" w:lineRule="auto"/>
        <w:jc w:val="both"/>
        <w:rPr>
          <w:rFonts w:ascii="Gadugi" w:hAnsi="Gadugi"/>
          <w:spacing w:val="-4"/>
          <w:sz w:val="24"/>
          <w:szCs w:val="24"/>
        </w:rPr>
      </w:pPr>
      <w:r w:rsidRPr="00EB7B45">
        <w:rPr>
          <w:rFonts w:ascii="Gadugi" w:hAnsi="Gadugi"/>
          <w:spacing w:val="-4"/>
          <w:sz w:val="24"/>
          <w:szCs w:val="24"/>
        </w:rPr>
        <w:t xml:space="preserve">En efecto, de manera tajante se negaron a corregir </w:t>
      </w:r>
      <w:r w:rsidR="00601389" w:rsidRPr="00EB7B45">
        <w:rPr>
          <w:rFonts w:ascii="Gadugi" w:hAnsi="Gadugi"/>
          <w:spacing w:val="-4"/>
          <w:sz w:val="24"/>
          <w:szCs w:val="24"/>
        </w:rPr>
        <w:t>su</w:t>
      </w:r>
      <w:r w:rsidRPr="00EB7B45">
        <w:rPr>
          <w:rFonts w:ascii="Gadugi" w:hAnsi="Gadugi"/>
          <w:spacing w:val="-4"/>
          <w:sz w:val="24"/>
          <w:szCs w:val="24"/>
        </w:rPr>
        <w:t xml:space="preserve"> historia laboral, </w:t>
      </w:r>
      <w:r w:rsidR="00601389" w:rsidRPr="00EB7B45">
        <w:rPr>
          <w:rFonts w:ascii="Gadugi" w:hAnsi="Gadugi"/>
          <w:spacing w:val="-4"/>
          <w:sz w:val="24"/>
          <w:szCs w:val="24"/>
        </w:rPr>
        <w:t xml:space="preserve">con base en el artículo en el artículo 2.2.14.1.24 del Decreto 1833 de 2016, pero dejaron de lado, por una parte, que no </w:t>
      </w:r>
      <w:r w:rsidR="00B6745F" w:rsidRPr="00EB7B45">
        <w:rPr>
          <w:rFonts w:ascii="Gadugi" w:hAnsi="Gadugi"/>
          <w:spacing w:val="-4"/>
          <w:sz w:val="24"/>
          <w:szCs w:val="24"/>
        </w:rPr>
        <w:t xml:space="preserve">le </w:t>
      </w:r>
      <w:r w:rsidR="00601389" w:rsidRPr="00EB7B45">
        <w:rPr>
          <w:rFonts w:ascii="Gadugi" w:hAnsi="Gadugi"/>
          <w:spacing w:val="-4"/>
          <w:sz w:val="24"/>
          <w:szCs w:val="24"/>
        </w:rPr>
        <w:t xml:space="preserve">notificaron al accionante la suspensión del beneficio que venía recibiendo, o por lo menos </w:t>
      </w:r>
      <w:r w:rsidR="002B26BB" w:rsidRPr="00EB7B45">
        <w:rPr>
          <w:rFonts w:ascii="Gadugi" w:hAnsi="Gadugi"/>
          <w:spacing w:val="-4"/>
          <w:sz w:val="24"/>
          <w:szCs w:val="24"/>
        </w:rPr>
        <w:t>ello quedó sin demostración</w:t>
      </w:r>
      <w:r w:rsidR="00601389" w:rsidRPr="00EB7B45">
        <w:rPr>
          <w:rFonts w:ascii="Gadugi" w:hAnsi="Gadugi"/>
          <w:spacing w:val="-4"/>
          <w:sz w:val="24"/>
          <w:szCs w:val="24"/>
        </w:rPr>
        <w:t>, y por otra, que Colpensiones lo mantuvo afiliado hasta enero de 2014 y permitió que él continuara realizando aportes</w:t>
      </w:r>
      <w:r w:rsidR="00B6745F" w:rsidRPr="00EB7B45">
        <w:rPr>
          <w:rFonts w:ascii="Gadugi" w:hAnsi="Gadugi"/>
          <w:spacing w:val="-4"/>
          <w:sz w:val="24"/>
          <w:szCs w:val="24"/>
        </w:rPr>
        <w:t xml:space="preserve">, sin advertirle que las semanas no estaban siendo contabilizadas. </w:t>
      </w:r>
    </w:p>
    <w:p w14:paraId="04FF159B" w14:textId="5993D402" w:rsidR="00601389" w:rsidRPr="00831518" w:rsidRDefault="00601389"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17393A14" w14:textId="09A0339B" w:rsidR="003515B4" w:rsidRPr="00EB7B45" w:rsidRDefault="003515B4" w:rsidP="00682421">
      <w:pPr>
        <w:spacing w:after="0" w:line="276" w:lineRule="auto"/>
        <w:jc w:val="both"/>
        <w:rPr>
          <w:rFonts w:ascii="Gadugi" w:hAnsi="Gadugi"/>
          <w:spacing w:val="-4"/>
          <w:sz w:val="24"/>
          <w:szCs w:val="24"/>
        </w:rPr>
      </w:pPr>
      <w:r w:rsidRPr="00EB7B45">
        <w:rPr>
          <w:rFonts w:ascii="Gadugi" w:hAnsi="Gadugi"/>
          <w:spacing w:val="-4"/>
          <w:sz w:val="24"/>
          <w:szCs w:val="24"/>
        </w:rPr>
        <w:t xml:space="preserve">Como se ve, este caso es análogo al que concedió la Corte Constitucional, y entonces, en acato al precedente aquí </w:t>
      </w:r>
      <w:r w:rsidR="00B6745F" w:rsidRPr="00EB7B45">
        <w:rPr>
          <w:rFonts w:ascii="Gadugi" w:hAnsi="Gadugi"/>
          <w:spacing w:val="-4"/>
          <w:sz w:val="24"/>
          <w:szCs w:val="24"/>
        </w:rPr>
        <w:t xml:space="preserve">se decidirá como allá. </w:t>
      </w:r>
    </w:p>
    <w:p w14:paraId="0A4D5E53" w14:textId="55285C49" w:rsidR="003515B4" w:rsidRPr="00831518" w:rsidRDefault="003515B4"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24CD83ED" w14:textId="77777777" w:rsidR="003515B4" w:rsidRPr="00EB7B45" w:rsidRDefault="003515B4" w:rsidP="00682421">
      <w:pPr>
        <w:spacing w:after="0" w:line="276" w:lineRule="auto"/>
        <w:jc w:val="both"/>
        <w:rPr>
          <w:rFonts w:ascii="Gadugi" w:hAnsi="Gadugi"/>
          <w:spacing w:val="-4"/>
          <w:sz w:val="24"/>
          <w:szCs w:val="24"/>
        </w:rPr>
      </w:pPr>
      <w:r w:rsidRPr="00EB7B45">
        <w:rPr>
          <w:rFonts w:ascii="Gadugi" w:hAnsi="Gadugi"/>
          <w:spacing w:val="-4"/>
          <w:sz w:val="24"/>
          <w:szCs w:val="24"/>
        </w:rPr>
        <w:lastRenderedPageBreak/>
        <w:t xml:space="preserve">Por ello, acogiendo la orden que en ese asunto se impartió se dispondrá que las accionadas, en un término perentorio, adelanten de forma coordinada las gestiones a que haya lugar para actualizar, dentro del mismo término, la historia laboral del accionante, de modo que las semanas correspondientes al periodo entre febrero de 2013 y enero de 2014 figuren en dicha historia. </w:t>
      </w:r>
    </w:p>
    <w:p w14:paraId="23B750CD" w14:textId="3224C6FF" w:rsidR="003515B4" w:rsidRPr="00831518" w:rsidRDefault="003515B4"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47F2FCFA" w14:textId="2B1FEA55" w:rsidR="00FD4D84" w:rsidRPr="00EB7B45" w:rsidRDefault="00FD4D84" w:rsidP="00682421">
      <w:pPr>
        <w:autoSpaceDE w:val="0"/>
        <w:autoSpaceDN w:val="0"/>
        <w:adjustRightInd w:val="0"/>
        <w:spacing w:after="0" w:line="276" w:lineRule="auto"/>
        <w:jc w:val="both"/>
        <w:rPr>
          <w:rFonts w:ascii="Gadugi" w:eastAsia="Times New Roman" w:hAnsi="Gadugi" w:cs="Times New Roman"/>
          <w:bCs/>
          <w:spacing w:val="-4"/>
          <w:sz w:val="24"/>
          <w:szCs w:val="24"/>
          <w:lang w:val="es-ES" w:eastAsia="es-ES"/>
        </w:rPr>
      </w:pPr>
      <w:r w:rsidRPr="00EB7B45">
        <w:rPr>
          <w:rFonts w:ascii="Gadugi" w:eastAsia="Times New Roman" w:hAnsi="Gadugi" w:cs="Times New Roman"/>
          <w:bCs/>
          <w:spacing w:val="-4"/>
          <w:sz w:val="24"/>
          <w:szCs w:val="24"/>
          <w:lang w:val="es-ES" w:eastAsia="es-ES"/>
        </w:rPr>
        <w:t xml:space="preserve">Por lo expuesto, se </w:t>
      </w:r>
      <w:r w:rsidR="00A102B8" w:rsidRPr="00EB7B45">
        <w:rPr>
          <w:rFonts w:ascii="Gadugi" w:eastAsia="Times New Roman" w:hAnsi="Gadugi" w:cs="Times New Roman"/>
          <w:bCs/>
          <w:spacing w:val="-4"/>
          <w:sz w:val="24"/>
          <w:szCs w:val="24"/>
          <w:lang w:val="es-ES" w:eastAsia="es-ES"/>
        </w:rPr>
        <w:t xml:space="preserve">revocará el fallo de primera instancia que declaró improcedente la demanda para </w:t>
      </w:r>
      <w:r w:rsidRPr="00EB7B45">
        <w:rPr>
          <w:rFonts w:ascii="Gadugi" w:eastAsia="Times New Roman" w:hAnsi="Gadugi" w:cs="Times New Roman"/>
          <w:bCs/>
          <w:spacing w:val="-4"/>
          <w:sz w:val="24"/>
          <w:szCs w:val="24"/>
          <w:lang w:val="es-ES" w:eastAsia="es-ES"/>
        </w:rPr>
        <w:t>decidir</w:t>
      </w:r>
      <w:r w:rsidR="00A102B8" w:rsidRPr="00EB7B45">
        <w:rPr>
          <w:rFonts w:ascii="Gadugi" w:eastAsia="Times New Roman" w:hAnsi="Gadugi" w:cs="Times New Roman"/>
          <w:bCs/>
          <w:spacing w:val="-4"/>
          <w:sz w:val="24"/>
          <w:szCs w:val="24"/>
          <w:lang w:val="es-ES" w:eastAsia="es-ES"/>
        </w:rPr>
        <w:t xml:space="preserve"> como </w:t>
      </w:r>
      <w:r w:rsidRPr="00EB7B45">
        <w:rPr>
          <w:rFonts w:ascii="Gadugi" w:eastAsia="Times New Roman" w:hAnsi="Gadugi" w:cs="Times New Roman"/>
          <w:bCs/>
          <w:spacing w:val="-4"/>
          <w:sz w:val="24"/>
          <w:szCs w:val="24"/>
          <w:lang w:val="es-ES" w:eastAsia="es-ES"/>
        </w:rPr>
        <w:t>se anticipó:</w:t>
      </w:r>
    </w:p>
    <w:p w14:paraId="635E425D" w14:textId="77777777" w:rsidR="00FD4D84" w:rsidRPr="00831518" w:rsidRDefault="00FD4D84"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0E2C8F00" w14:textId="381DBDEA" w:rsidR="00756044" w:rsidRPr="00EB7B45" w:rsidRDefault="007F5F4C" w:rsidP="00682421">
      <w:pPr>
        <w:autoSpaceDE w:val="0"/>
        <w:autoSpaceDN w:val="0"/>
        <w:adjustRightInd w:val="0"/>
        <w:spacing w:after="0" w:line="276" w:lineRule="auto"/>
        <w:jc w:val="both"/>
        <w:rPr>
          <w:rFonts w:ascii="Gadugi" w:eastAsia="Times New Roman" w:hAnsi="Gadugi" w:cs="Times New Roman"/>
          <w:spacing w:val="-4"/>
          <w:sz w:val="24"/>
          <w:szCs w:val="24"/>
          <w:bdr w:val="none" w:sz="0" w:space="0" w:color="auto" w:frame="1"/>
          <w:lang w:val="es-CO" w:eastAsia="es-ES"/>
        </w:rPr>
      </w:pPr>
      <w:r w:rsidRPr="00EB7B45">
        <w:rPr>
          <w:rFonts w:ascii="Gadugi" w:eastAsia="Times New Roman" w:hAnsi="Gadugi" w:cs="Times New Roman"/>
          <w:b/>
          <w:bCs/>
          <w:spacing w:val="-4"/>
          <w:sz w:val="24"/>
          <w:szCs w:val="24"/>
          <w:lang w:val="es-ES" w:eastAsia="es-ES"/>
        </w:rPr>
        <w:t xml:space="preserve">3. </w:t>
      </w:r>
      <w:r w:rsidR="00756044" w:rsidRPr="00EB7B45">
        <w:rPr>
          <w:rFonts w:ascii="Gadugi" w:eastAsia="Times New Roman" w:hAnsi="Gadugi" w:cs="Times New Roman"/>
          <w:b/>
          <w:bCs/>
          <w:spacing w:val="-4"/>
          <w:sz w:val="24"/>
          <w:szCs w:val="24"/>
          <w:lang w:val="es-ES" w:eastAsia="es-ES"/>
        </w:rPr>
        <w:t>DECISIÓN</w:t>
      </w:r>
    </w:p>
    <w:p w14:paraId="093963DB" w14:textId="75C1109B" w:rsidR="00756044" w:rsidRPr="00831518" w:rsidRDefault="00756044"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71CA3420" w14:textId="672DD4A0" w:rsidR="00D4369D" w:rsidRPr="00EB7B45" w:rsidRDefault="00F43CD2" w:rsidP="00682421">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EB7B45">
        <w:rPr>
          <w:rFonts w:ascii="Gadugi" w:hAnsi="Gadugi" w:cs="Century Gothic"/>
          <w:spacing w:val="-4"/>
          <w:sz w:val="24"/>
          <w:szCs w:val="24"/>
        </w:rPr>
        <w:t xml:space="preserve">Por lo expuesto, </w:t>
      </w:r>
      <w:r w:rsidRPr="00EB7B45">
        <w:rPr>
          <w:rFonts w:ascii="Gadugi" w:hAnsi="Gadugi" w:cs="Century Gothic"/>
          <w:b/>
          <w:spacing w:val="-4"/>
          <w:sz w:val="24"/>
          <w:szCs w:val="24"/>
        </w:rPr>
        <w:t xml:space="preserve">la Sala </w:t>
      </w:r>
      <w:r w:rsidR="009315E7" w:rsidRPr="00EB7B45">
        <w:rPr>
          <w:rFonts w:ascii="Gadugi" w:hAnsi="Gadugi" w:cs="Century Gothic"/>
          <w:b/>
          <w:spacing w:val="-4"/>
          <w:sz w:val="24"/>
          <w:szCs w:val="24"/>
        </w:rPr>
        <w:t xml:space="preserve">de Decisión Civil – Familia </w:t>
      </w:r>
      <w:r w:rsidRPr="00EB7B45">
        <w:rPr>
          <w:rFonts w:ascii="Gadugi" w:hAnsi="Gadugi" w:cs="Century Gothic"/>
          <w:b/>
          <w:spacing w:val="-4"/>
          <w:sz w:val="24"/>
          <w:szCs w:val="24"/>
        </w:rPr>
        <w:t>del Tribunal Superior de Pereira, Risaralda</w:t>
      </w:r>
      <w:r w:rsidR="00756044" w:rsidRPr="00EB7B45">
        <w:rPr>
          <w:rFonts w:ascii="Gadugi" w:eastAsia="Times New Roman" w:hAnsi="Gadugi" w:cs="Times New Roman"/>
          <w:spacing w:val="-4"/>
          <w:sz w:val="24"/>
          <w:szCs w:val="24"/>
          <w:lang w:val="es-ES" w:eastAsia="es-ES"/>
        </w:rPr>
        <w:t>, administrando justicia en nombre de la República y por autoridad de la ley, </w:t>
      </w:r>
      <w:r w:rsidR="00FD4D84" w:rsidRPr="00EB7B45">
        <w:rPr>
          <w:rFonts w:ascii="Gadugi" w:eastAsia="Times New Roman" w:hAnsi="Gadugi" w:cs="Times New Roman"/>
          <w:b/>
          <w:spacing w:val="-4"/>
          <w:sz w:val="24"/>
          <w:szCs w:val="24"/>
          <w:lang w:val="es-ES" w:eastAsia="es-ES"/>
        </w:rPr>
        <w:t>REVOCA</w:t>
      </w:r>
      <w:r w:rsidR="00146068" w:rsidRPr="00EB7B45">
        <w:rPr>
          <w:rFonts w:ascii="Gadugi" w:eastAsia="Times New Roman" w:hAnsi="Gadugi" w:cs="Times New Roman"/>
          <w:b/>
          <w:spacing w:val="-4"/>
          <w:sz w:val="24"/>
          <w:szCs w:val="24"/>
          <w:lang w:val="es-ES" w:eastAsia="es-ES"/>
        </w:rPr>
        <w:t xml:space="preserve"> </w:t>
      </w:r>
      <w:r w:rsidR="00756044" w:rsidRPr="00EB7B45">
        <w:rPr>
          <w:rFonts w:ascii="Gadugi" w:eastAsia="Times New Roman" w:hAnsi="Gadugi" w:cs="Times New Roman"/>
          <w:spacing w:val="-4"/>
          <w:sz w:val="24"/>
          <w:szCs w:val="24"/>
          <w:lang w:val="es-ES" w:eastAsia="es-ES"/>
        </w:rPr>
        <w:t xml:space="preserve">la sentencia </w:t>
      </w:r>
      <w:r w:rsidR="009315E7" w:rsidRPr="00EB7B45">
        <w:rPr>
          <w:rFonts w:ascii="Gadugi" w:eastAsia="Times New Roman" w:hAnsi="Gadugi" w:cs="Times New Roman"/>
          <w:spacing w:val="-4"/>
          <w:sz w:val="24"/>
          <w:szCs w:val="24"/>
          <w:lang w:val="es-ES" w:eastAsia="es-ES"/>
        </w:rPr>
        <w:t>impugnada</w:t>
      </w:r>
      <w:r w:rsidR="00FD4D84" w:rsidRPr="00EB7B45">
        <w:rPr>
          <w:rFonts w:ascii="Gadugi" w:eastAsia="Times New Roman" w:hAnsi="Gadugi" w:cs="Times New Roman"/>
          <w:spacing w:val="-4"/>
          <w:sz w:val="24"/>
          <w:szCs w:val="24"/>
          <w:lang w:val="es-ES" w:eastAsia="es-ES"/>
        </w:rPr>
        <w:t xml:space="preserve">, en su lugar, se </w:t>
      </w:r>
      <w:r w:rsidR="00FD4D84" w:rsidRPr="00EB7B45">
        <w:rPr>
          <w:rFonts w:ascii="Gadugi" w:eastAsia="Times New Roman" w:hAnsi="Gadugi" w:cs="Times New Roman"/>
          <w:b/>
          <w:spacing w:val="-4"/>
          <w:sz w:val="24"/>
          <w:szCs w:val="24"/>
          <w:lang w:val="es-ES" w:eastAsia="es-ES"/>
        </w:rPr>
        <w:t>CONCEDE</w:t>
      </w:r>
      <w:r w:rsidR="00FD4D84" w:rsidRPr="00EB7B45">
        <w:rPr>
          <w:rFonts w:ascii="Gadugi" w:eastAsia="Times New Roman" w:hAnsi="Gadugi" w:cs="Times New Roman"/>
          <w:spacing w:val="-4"/>
          <w:sz w:val="24"/>
          <w:szCs w:val="24"/>
          <w:lang w:val="es-ES" w:eastAsia="es-ES"/>
        </w:rPr>
        <w:t xml:space="preserve"> la protección invocada y, en consecuencia:</w:t>
      </w:r>
    </w:p>
    <w:p w14:paraId="6442F389" w14:textId="7785C0CF" w:rsidR="00FD4D84" w:rsidRPr="00831518" w:rsidRDefault="00FD4D84"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6142B092" w14:textId="668794F1" w:rsidR="00FD4D84" w:rsidRPr="00EB7B45" w:rsidRDefault="00FD4D84" w:rsidP="00682421">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EB7B45">
        <w:rPr>
          <w:rFonts w:ascii="Gadugi" w:eastAsia="Times New Roman" w:hAnsi="Gadugi" w:cs="Times New Roman"/>
          <w:spacing w:val="-4"/>
          <w:sz w:val="24"/>
          <w:szCs w:val="24"/>
          <w:lang w:val="es-ES" w:eastAsia="es-ES"/>
        </w:rPr>
        <w:t>(</w:t>
      </w:r>
      <w:r w:rsidR="00A102B8" w:rsidRPr="00EB7B45">
        <w:rPr>
          <w:rFonts w:ascii="Gadugi" w:eastAsia="Times New Roman" w:hAnsi="Gadugi" w:cs="Times New Roman"/>
          <w:spacing w:val="-4"/>
          <w:sz w:val="24"/>
          <w:szCs w:val="24"/>
          <w:lang w:val="es-ES" w:eastAsia="es-ES"/>
        </w:rPr>
        <w:t xml:space="preserve">i) Se le ordena a la </w:t>
      </w:r>
      <w:r w:rsidR="00A102B8" w:rsidRPr="00EB7B45">
        <w:rPr>
          <w:rFonts w:ascii="Gadugi" w:eastAsia="Times New Roman" w:hAnsi="Gadugi" w:cs="Times New Roman"/>
          <w:b/>
          <w:spacing w:val="-4"/>
          <w:sz w:val="24"/>
          <w:szCs w:val="24"/>
          <w:lang w:val="es-ES" w:eastAsia="es-ES"/>
        </w:rPr>
        <w:t>Fiduagraria S.A.</w:t>
      </w:r>
      <w:r w:rsidR="00A102B8" w:rsidRPr="00EB7B45">
        <w:rPr>
          <w:rFonts w:ascii="Gadugi" w:eastAsia="Times New Roman" w:hAnsi="Gadugi" w:cs="Times New Roman"/>
          <w:spacing w:val="-4"/>
          <w:sz w:val="24"/>
          <w:szCs w:val="24"/>
          <w:lang w:val="es-ES" w:eastAsia="es-ES"/>
        </w:rPr>
        <w:t xml:space="preserve">, por medio de su representante legal, a la </w:t>
      </w:r>
      <w:r w:rsidR="00A102B8" w:rsidRPr="00EB7B45">
        <w:rPr>
          <w:rFonts w:ascii="Gadugi" w:eastAsia="Times New Roman" w:hAnsi="Gadugi" w:cs="Times New Roman"/>
          <w:b/>
          <w:spacing w:val="-4"/>
          <w:sz w:val="24"/>
          <w:szCs w:val="24"/>
          <w:lang w:val="es-ES" w:eastAsia="es-ES"/>
        </w:rPr>
        <w:t>Dirección de Historia Laboral</w:t>
      </w:r>
      <w:r w:rsidR="00A102B8" w:rsidRPr="00EB7B45">
        <w:rPr>
          <w:rFonts w:ascii="Gadugi" w:eastAsia="Times New Roman" w:hAnsi="Gadugi" w:cs="Times New Roman"/>
          <w:spacing w:val="-4"/>
          <w:sz w:val="24"/>
          <w:szCs w:val="24"/>
          <w:lang w:val="es-ES" w:eastAsia="es-ES"/>
        </w:rPr>
        <w:t xml:space="preserve"> y la </w:t>
      </w:r>
      <w:r w:rsidR="00A102B8" w:rsidRPr="00EB7B45">
        <w:rPr>
          <w:rFonts w:ascii="Gadugi" w:eastAsia="Times New Roman" w:hAnsi="Gadugi" w:cs="Times New Roman"/>
          <w:b/>
          <w:spacing w:val="-4"/>
          <w:sz w:val="24"/>
          <w:szCs w:val="24"/>
          <w:lang w:val="es-ES" w:eastAsia="es-ES"/>
        </w:rPr>
        <w:t>Dirección de Ingresos por aportes de Colpensiones</w:t>
      </w:r>
      <w:r w:rsidR="00A102B8" w:rsidRPr="00EB7B45">
        <w:rPr>
          <w:rFonts w:ascii="Gadugi" w:eastAsia="Times New Roman" w:hAnsi="Gadugi" w:cs="Times New Roman"/>
          <w:spacing w:val="-4"/>
          <w:sz w:val="24"/>
          <w:szCs w:val="24"/>
          <w:lang w:val="es-ES" w:eastAsia="es-ES"/>
        </w:rPr>
        <w:t>, por medio de sus funcionarios a cargo que, en un</w:t>
      </w:r>
      <w:r w:rsidR="003533CD" w:rsidRPr="00EB7B45">
        <w:rPr>
          <w:rFonts w:ascii="Gadugi" w:eastAsia="Times New Roman" w:hAnsi="Gadugi" w:cs="Times New Roman"/>
          <w:spacing w:val="-4"/>
          <w:sz w:val="24"/>
          <w:szCs w:val="24"/>
          <w:lang w:val="es-ES" w:eastAsia="es-ES"/>
        </w:rPr>
        <w:t xml:space="preserve"> lapso</w:t>
      </w:r>
      <w:r w:rsidR="00A102B8" w:rsidRPr="00EB7B45">
        <w:rPr>
          <w:rFonts w:ascii="Gadugi" w:eastAsia="Times New Roman" w:hAnsi="Gadugi" w:cs="Times New Roman"/>
          <w:spacing w:val="-4"/>
          <w:sz w:val="24"/>
          <w:szCs w:val="24"/>
          <w:lang w:val="es-ES" w:eastAsia="es-ES"/>
        </w:rPr>
        <w:t xml:space="preserve"> de </w:t>
      </w:r>
      <w:r w:rsidR="003533CD" w:rsidRPr="00EB7B45">
        <w:rPr>
          <w:rFonts w:ascii="Gadugi" w:eastAsia="Times New Roman" w:hAnsi="Gadugi" w:cs="Times New Roman"/>
          <w:spacing w:val="-4"/>
          <w:sz w:val="24"/>
          <w:szCs w:val="24"/>
          <w:lang w:val="es-ES" w:eastAsia="es-ES"/>
        </w:rPr>
        <w:t>48 horas</w:t>
      </w:r>
      <w:r w:rsidR="00A102B8" w:rsidRPr="00EB7B45">
        <w:rPr>
          <w:rFonts w:ascii="Gadugi" w:eastAsia="Times New Roman" w:hAnsi="Gadugi" w:cs="Times New Roman"/>
          <w:spacing w:val="-4"/>
          <w:sz w:val="24"/>
          <w:szCs w:val="24"/>
          <w:lang w:val="es-ES" w:eastAsia="es-ES"/>
        </w:rPr>
        <w:t>, contad</w:t>
      </w:r>
      <w:r w:rsidR="003533CD" w:rsidRPr="00EB7B45">
        <w:rPr>
          <w:rFonts w:ascii="Gadugi" w:eastAsia="Times New Roman" w:hAnsi="Gadugi" w:cs="Times New Roman"/>
          <w:spacing w:val="-4"/>
          <w:sz w:val="24"/>
          <w:szCs w:val="24"/>
          <w:lang w:val="es-ES" w:eastAsia="es-ES"/>
        </w:rPr>
        <w:t>a</w:t>
      </w:r>
      <w:r w:rsidR="00A102B8" w:rsidRPr="00EB7B45">
        <w:rPr>
          <w:rFonts w:ascii="Gadugi" w:eastAsia="Times New Roman" w:hAnsi="Gadugi" w:cs="Times New Roman"/>
          <w:spacing w:val="-4"/>
          <w:sz w:val="24"/>
          <w:szCs w:val="24"/>
          <w:lang w:val="es-ES" w:eastAsia="es-ES"/>
        </w:rPr>
        <w:t>s a partir de la notificación de este fallo, adelanten de forma coordinada las gestiones a que haya lugar para actualizar, dentro del mismo término, la historia laboral del accionante, de modo que las semanas correspondientes al periodo entre febrero de 2013 y enero de 2014 figuren en dicha historia.</w:t>
      </w:r>
    </w:p>
    <w:p w14:paraId="0D1C94BF" w14:textId="77777777" w:rsidR="00A102B8" w:rsidRPr="00831518" w:rsidRDefault="00A102B8" w:rsidP="00831518">
      <w:pPr>
        <w:overflowPunct w:val="0"/>
        <w:autoSpaceDE w:val="0"/>
        <w:autoSpaceDN w:val="0"/>
        <w:adjustRightInd w:val="0"/>
        <w:spacing w:after="0" w:line="240" w:lineRule="auto"/>
        <w:jc w:val="both"/>
        <w:textAlignment w:val="baseline"/>
        <w:rPr>
          <w:rFonts w:ascii="Gadugi" w:eastAsia="Times New Roman" w:hAnsi="Gadugi" w:cs="Arial"/>
          <w:bCs/>
          <w:spacing w:val="-4"/>
          <w:sz w:val="24"/>
          <w:szCs w:val="24"/>
          <w:lang w:val="es-ES" w:eastAsia="es-ES"/>
        </w:rPr>
      </w:pPr>
    </w:p>
    <w:p w14:paraId="4C883A1B" w14:textId="379ED0E0" w:rsidR="00756044" w:rsidRPr="00EB7B45" w:rsidRDefault="00756044" w:rsidP="00682421">
      <w:pPr>
        <w:overflowPunct w:val="0"/>
        <w:autoSpaceDE w:val="0"/>
        <w:autoSpaceDN w:val="0"/>
        <w:adjustRightInd w:val="0"/>
        <w:spacing w:after="0" w:line="276" w:lineRule="auto"/>
        <w:jc w:val="both"/>
        <w:textAlignment w:val="baseline"/>
        <w:rPr>
          <w:rFonts w:ascii="Gadugi" w:eastAsia="Times New Roman" w:hAnsi="Gadugi" w:cs="Times New Roman"/>
          <w:bCs/>
          <w:spacing w:val="-4"/>
          <w:sz w:val="24"/>
          <w:szCs w:val="24"/>
          <w:lang w:val="es-419" w:eastAsia="es-ES"/>
        </w:rPr>
      </w:pPr>
      <w:r w:rsidRPr="00EB7B45">
        <w:rPr>
          <w:rFonts w:ascii="Gadugi" w:eastAsia="Times New Roman" w:hAnsi="Gadugi" w:cs="Times New Roman"/>
          <w:spacing w:val="-4"/>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EB7B45">
        <w:rPr>
          <w:rFonts w:ascii="Gadugi" w:eastAsia="Times New Roman" w:hAnsi="Gadugi" w:cs="Times New Roman"/>
          <w:bCs/>
          <w:spacing w:val="-4"/>
          <w:sz w:val="24"/>
          <w:szCs w:val="24"/>
          <w:lang w:val="es-419" w:eastAsia="es-ES"/>
        </w:rPr>
        <w:t>A su regreso, archívese.</w:t>
      </w:r>
    </w:p>
    <w:p w14:paraId="5249AC7E" w14:textId="77777777" w:rsidR="00BD6605" w:rsidRPr="00BD6605" w:rsidRDefault="00BD6605" w:rsidP="00BD6605">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6F6B4FE3" w14:textId="77777777" w:rsidR="00BD6605" w:rsidRPr="00BD6605" w:rsidRDefault="00BD6605" w:rsidP="00BD6605">
      <w:pPr>
        <w:tabs>
          <w:tab w:val="left" w:pos="1701"/>
          <w:tab w:val="left" w:pos="2127"/>
          <w:tab w:val="left" w:pos="2977"/>
        </w:tabs>
        <w:spacing w:after="0" w:line="276" w:lineRule="auto"/>
        <w:jc w:val="both"/>
        <w:rPr>
          <w:rFonts w:ascii="Gadugi" w:eastAsia="Malgun Gothic" w:hAnsi="Gadugi" w:cs="Estrangelo Edessa"/>
          <w:sz w:val="24"/>
          <w:szCs w:val="24"/>
          <w:lang w:val="es-CO"/>
        </w:rPr>
      </w:pPr>
      <w:r w:rsidRPr="00BD6605">
        <w:rPr>
          <w:rFonts w:ascii="Gadugi" w:eastAsia="Malgun Gothic" w:hAnsi="Gadugi" w:cs="Estrangelo Edessa"/>
          <w:sz w:val="24"/>
          <w:szCs w:val="24"/>
          <w:lang w:val="es-CO"/>
        </w:rPr>
        <w:tab/>
        <w:t xml:space="preserve">Los Magistrados, </w:t>
      </w:r>
    </w:p>
    <w:p w14:paraId="02E4A9CF" w14:textId="77777777" w:rsidR="00BD6605" w:rsidRPr="00BD6605" w:rsidRDefault="00BD6605" w:rsidP="00BD6605">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195324DF" w14:textId="77777777" w:rsidR="00BD6605" w:rsidRPr="00BD6605" w:rsidRDefault="00BD6605" w:rsidP="00BD6605">
      <w:pPr>
        <w:tabs>
          <w:tab w:val="left" w:pos="1701"/>
          <w:tab w:val="left" w:pos="2127"/>
          <w:tab w:val="left" w:pos="2977"/>
        </w:tabs>
        <w:spacing w:after="0" w:line="276" w:lineRule="auto"/>
        <w:jc w:val="both"/>
        <w:rPr>
          <w:rFonts w:ascii="Gadugi" w:eastAsia="Malgun Gothic" w:hAnsi="Gadugi" w:cs="Estrangelo Edessa"/>
          <w:b/>
          <w:sz w:val="24"/>
          <w:szCs w:val="24"/>
          <w:lang w:val="es-CO"/>
        </w:rPr>
      </w:pPr>
    </w:p>
    <w:p w14:paraId="25BA3B1C" w14:textId="77777777" w:rsidR="00BD6605" w:rsidRPr="00BD6605" w:rsidRDefault="00BD6605" w:rsidP="00BD6605">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r w:rsidRPr="00BD6605">
        <w:rPr>
          <w:rFonts w:ascii="Gadugi" w:eastAsia="Malgun Gothic" w:hAnsi="Gadugi" w:cs="Estrangelo Edessa"/>
          <w:b/>
          <w:sz w:val="24"/>
          <w:szCs w:val="24"/>
          <w:lang w:val="es-CO"/>
        </w:rPr>
        <w:t>JAIME ALBERTO SARAZA NARANJO</w:t>
      </w:r>
    </w:p>
    <w:p w14:paraId="747A5F36" w14:textId="77777777" w:rsidR="00BD6605" w:rsidRPr="00BD6605" w:rsidRDefault="00BD6605" w:rsidP="00BD6605">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15A383BF" w14:textId="77777777" w:rsidR="00BD6605" w:rsidRPr="00BD6605" w:rsidRDefault="00BD6605" w:rsidP="00BD6605">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3D01E3DE" w14:textId="77777777" w:rsidR="00BD6605" w:rsidRPr="00BD6605" w:rsidRDefault="00BD6605" w:rsidP="00BD6605">
      <w:pPr>
        <w:tabs>
          <w:tab w:val="left" w:pos="1701"/>
          <w:tab w:val="left" w:pos="2127"/>
          <w:tab w:val="left" w:pos="2977"/>
        </w:tabs>
        <w:spacing w:after="0" w:line="276" w:lineRule="auto"/>
        <w:ind w:firstLine="1701"/>
        <w:jc w:val="both"/>
        <w:rPr>
          <w:rFonts w:ascii="Gadugi" w:eastAsia="Malgun Gothic" w:hAnsi="Gadugi" w:cs="Estrangelo Edessa"/>
          <w:b/>
          <w:bCs/>
          <w:sz w:val="24"/>
          <w:szCs w:val="24"/>
          <w:lang w:val="es-CO"/>
        </w:rPr>
      </w:pPr>
      <w:r w:rsidRPr="00BD6605">
        <w:rPr>
          <w:rFonts w:ascii="Gadugi" w:eastAsia="Malgun Gothic" w:hAnsi="Gadugi" w:cs="Estrangelo Edessa"/>
          <w:b/>
          <w:bCs/>
          <w:sz w:val="24"/>
          <w:szCs w:val="24"/>
          <w:lang w:val="es-CO"/>
        </w:rPr>
        <w:t>CARLOS MAURICIO GARCÍA BARAJAS</w:t>
      </w:r>
    </w:p>
    <w:p w14:paraId="0C8F9F4E" w14:textId="77777777" w:rsidR="00BD6605" w:rsidRPr="00BD6605" w:rsidRDefault="00BD6605" w:rsidP="00BD6605">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7CDF3D23" w14:textId="77777777" w:rsidR="00BD6605" w:rsidRPr="00BD6605" w:rsidRDefault="00BD6605" w:rsidP="00BD6605">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4460AFC5" w14:textId="1B3964B3" w:rsidR="00BF659B" w:rsidRPr="00682421" w:rsidRDefault="00BD6605" w:rsidP="00BD6605">
      <w:pPr>
        <w:overflowPunct w:val="0"/>
        <w:autoSpaceDE w:val="0"/>
        <w:autoSpaceDN w:val="0"/>
        <w:adjustRightInd w:val="0"/>
        <w:spacing w:after="0" w:line="276" w:lineRule="auto"/>
        <w:ind w:left="993" w:firstLine="708"/>
        <w:jc w:val="both"/>
        <w:textAlignment w:val="baseline"/>
        <w:rPr>
          <w:rFonts w:ascii="Gadugi" w:hAnsi="Gadugi" w:cs="Century Gothic"/>
          <w:b/>
          <w:bCs/>
          <w:sz w:val="24"/>
          <w:szCs w:val="24"/>
        </w:rPr>
      </w:pPr>
      <w:r w:rsidRPr="00BD6605">
        <w:rPr>
          <w:rFonts w:ascii="Gadugi" w:eastAsia="Malgun Gothic" w:hAnsi="Gadugi" w:cs="Estrangelo Edessa"/>
          <w:b/>
          <w:bCs/>
          <w:sz w:val="24"/>
          <w:szCs w:val="24"/>
          <w:lang w:val="es-CO"/>
        </w:rPr>
        <w:t>DUBERNEY GRISALES HERRERA</w:t>
      </w:r>
    </w:p>
    <w:sectPr w:rsidR="00BF659B" w:rsidRPr="00682421" w:rsidSect="00B501C4">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582673" w16cex:dateUtc="2022-11-11T14:59:11.626Z"/>
  <w16cex:commentExtensible w16cex:durableId="673AAFFD" w16cex:dateUtc="2022-11-11T15:05:44.972Z"/>
  <w16cex:commentExtensible w16cex:durableId="05EF02D0" w16cex:dateUtc="2022-11-11T18:46:17.038Z"/>
  <w16cex:commentExtensible w16cex:durableId="11B305F0" w16cex:dateUtc="2022-12-02T18:59:17.671Z"/>
  <w16cex:commentExtensible w16cex:durableId="1C7AA2F4" w16cex:dateUtc="2022-12-02T19:49:37.393Z"/>
  <w16cex:commentExtensible w16cex:durableId="4E85680E" w16cex:dateUtc="2022-12-13T19:04:38.211Z"/>
  <w16cex:commentExtensible w16cex:durableId="0C0DE3F4" w16cex:dateUtc="2022-12-14T15:55:15.7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FC848" w14:textId="77777777" w:rsidR="00004C09" w:rsidRDefault="00004C09" w:rsidP="00756044">
      <w:pPr>
        <w:spacing w:after="0" w:line="240" w:lineRule="auto"/>
      </w:pPr>
      <w:r>
        <w:separator/>
      </w:r>
    </w:p>
  </w:endnote>
  <w:endnote w:type="continuationSeparator" w:id="0">
    <w:p w14:paraId="21228CA1" w14:textId="77777777" w:rsidR="00004C09" w:rsidRDefault="00004C09"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rPr>
        <w:rFonts w:ascii="Arial" w:hAnsi="Arial" w:cs="Arial"/>
        <w:sz w:val="18"/>
      </w:rPr>
    </w:sdtEndPr>
    <w:sdtContent>
      <w:p w14:paraId="579BC6A0" w14:textId="77777777" w:rsidR="00A657E3" w:rsidRPr="00682421" w:rsidRDefault="00A657E3">
        <w:pPr>
          <w:pStyle w:val="Piedepgina"/>
          <w:jc w:val="right"/>
          <w:rPr>
            <w:rFonts w:ascii="Arial" w:hAnsi="Arial" w:cs="Arial"/>
            <w:sz w:val="18"/>
          </w:rPr>
        </w:pPr>
        <w:r w:rsidRPr="00682421">
          <w:rPr>
            <w:rFonts w:ascii="Arial" w:hAnsi="Arial" w:cs="Arial"/>
            <w:sz w:val="18"/>
          </w:rPr>
          <w:fldChar w:fldCharType="begin"/>
        </w:r>
        <w:r w:rsidRPr="00682421">
          <w:rPr>
            <w:rFonts w:ascii="Arial" w:hAnsi="Arial" w:cs="Arial"/>
            <w:sz w:val="18"/>
          </w:rPr>
          <w:instrText>PAGE   \* MERGEFORMAT</w:instrText>
        </w:r>
        <w:r w:rsidRPr="00682421">
          <w:rPr>
            <w:rFonts w:ascii="Arial" w:hAnsi="Arial" w:cs="Arial"/>
            <w:sz w:val="18"/>
          </w:rPr>
          <w:fldChar w:fldCharType="separate"/>
        </w:r>
        <w:r w:rsidRPr="00682421">
          <w:rPr>
            <w:rFonts w:ascii="Arial" w:hAnsi="Arial" w:cs="Arial"/>
            <w:noProof/>
            <w:sz w:val="18"/>
            <w:lang w:val="es-ES"/>
          </w:rPr>
          <w:t>9</w:t>
        </w:r>
        <w:r w:rsidRPr="00682421">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7A45C" w14:textId="77777777" w:rsidR="00004C09" w:rsidRDefault="00004C09" w:rsidP="00756044">
      <w:pPr>
        <w:spacing w:after="0" w:line="240" w:lineRule="auto"/>
      </w:pPr>
      <w:r>
        <w:separator/>
      </w:r>
    </w:p>
  </w:footnote>
  <w:footnote w:type="continuationSeparator" w:id="0">
    <w:p w14:paraId="62496B2F" w14:textId="77777777" w:rsidR="00004C09" w:rsidRDefault="00004C09" w:rsidP="00756044">
      <w:pPr>
        <w:spacing w:after="0" w:line="240" w:lineRule="auto"/>
      </w:pPr>
      <w:r>
        <w:continuationSeparator/>
      </w:r>
    </w:p>
  </w:footnote>
  <w:footnote w:id="1">
    <w:p w14:paraId="40E77B6F" w14:textId="105D7229" w:rsidR="00A657E3" w:rsidRPr="00BD6605" w:rsidRDefault="00A657E3"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13., C. 1.</w:t>
      </w:r>
    </w:p>
  </w:footnote>
  <w:footnote w:id="2">
    <w:p w14:paraId="3250C8AC" w14:textId="627F4DCA" w:rsidR="00A657E3" w:rsidRPr="00BD6605" w:rsidRDefault="00A657E3"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14., C. 1.</w:t>
      </w:r>
    </w:p>
  </w:footnote>
  <w:footnote w:id="3">
    <w:p w14:paraId="28988CAD" w14:textId="198FC32C" w:rsidR="00A657E3" w:rsidRPr="00BD6605" w:rsidRDefault="00A657E3"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1</w:t>
      </w:r>
      <w:r w:rsidR="003533CD" w:rsidRPr="00BD6605">
        <w:rPr>
          <w:rFonts w:ascii="Arial" w:hAnsi="Arial" w:cs="Arial"/>
          <w:sz w:val="18"/>
          <w:lang w:val="es-CO"/>
        </w:rPr>
        <w:t>6</w:t>
      </w:r>
      <w:r w:rsidRPr="00BD6605">
        <w:rPr>
          <w:rFonts w:ascii="Arial" w:hAnsi="Arial" w:cs="Arial"/>
          <w:sz w:val="18"/>
          <w:lang w:val="es-CO"/>
        </w:rPr>
        <w:t>., C. 1.</w:t>
      </w:r>
    </w:p>
  </w:footnote>
  <w:footnote w:id="4">
    <w:p w14:paraId="00E8D13B" w14:textId="6B114CC6" w:rsidR="003533CD" w:rsidRPr="00BD6605" w:rsidRDefault="003533CD"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19., C. 1.</w:t>
      </w:r>
    </w:p>
  </w:footnote>
  <w:footnote w:id="5">
    <w:p w14:paraId="554FFA30" w14:textId="200060FA" w:rsidR="003533CD" w:rsidRPr="00BD6605" w:rsidRDefault="003533CD"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24., C. 1.</w:t>
      </w:r>
    </w:p>
  </w:footnote>
  <w:footnote w:id="6">
    <w:p w14:paraId="79452E69" w14:textId="1F95209D" w:rsidR="003533CD" w:rsidRPr="00BD6605" w:rsidRDefault="003533CD"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25., C. 1.</w:t>
      </w:r>
    </w:p>
  </w:footnote>
  <w:footnote w:id="7">
    <w:p w14:paraId="1E30F307" w14:textId="07B84A62" w:rsidR="003533CD" w:rsidRPr="00BD6605" w:rsidRDefault="003533CD"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27., C. 1.</w:t>
      </w:r>
    </w:p>
  </w:footnote>
  <w:footnote w:id="8">
    <w:p w14:paraId="5A4DB353" w14:textId="2015D023" w:rsidR="003533CD" w:rsidRPr="00BD6605" w:rsidRDefault="003533CD"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Documentos 10 y 11., C. 1.</w:t>
      </w:r>
    </w:p>
  </w:footnote>
  <w:footnote w:id="9">
    <w:p w14:paraId="1B48A905" w14:textId="430F1A1D" w:rsidR="003533CD" w:rsidRPr="00BD6605" w:rsidRDefault="003533CD"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02., C. 1.</w:t>
      </w:r>
    </w:p>
  </w:footnote>
  <w:footnote w:id="10">
    <w:p w14:paraId="65B67DE7" w14:textId="4E8DE3AF" w:rsidR="003533CD" w:rsidRPr="00BD6605" w:rsidRDefault="003533CD"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04., C. 1.</w:t>
      </w:r>
    </w:p>
  </w:footnote>
  <w:footnote w:id="11">
    <w:p w14:paraId="27D3C423" w14:textId="3337DED4" w:rsidR="003533CD" w:rsidRPr="00BD6605" w:rsidRDefault="003533CD"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06., C. 1.</w:t>
      </w:r>
    </w:p>
  </w:footnote>
  <w:footnote w:id="12">
    <w:p w14:paraId="29C2001C" w14:textId="31CEE761" w:rsidR="00FD4D84" w:rsidRPr="00BD6605" w:rsidRDefault="00FD4D84"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 xml:space="preserve">Rad. 66045-31-89-001-2020-00058-01, sentencia del 30 de septiembre de 2020, M.P. Claudia María Arcila Ríos. </w:t>
      </w:r>
    </w:p>
  </w:footnote>
  <w:footnote w:id="13">
    <w:p w14:paraId="502B887F" w14:textId="1F4360B3" w:rsidR="00A657E3" w:rsidRPr="00BD6605" w:rsidRDefault="00A657E3"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Sentencia T-945 de 2014.</w:t>
      </w:r>
    </w:p>
  </w:footnote>
  <w:footnote w:id="14">
    <w:p w14:paraId="1D2ED1F4" w14:textId="447CF244" w:rsidR="003533CD" w:rsidRPr="00BD6605" w:rsidRDefault="003533CD"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05., C. 1.</w:t>
      </w:r>
    </w:p>
  </w:footnote>
  <w:footnote w:id="15">
    <w:p w14:paraId="346BAD47" w14:textId="5AE392AB" w:rsidR="003533CD" w:rsidRPr="00BD6605" w:rsidRDefault="003533CD"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03., C. 1.</w:t>
      </w:r>
    </w:p>
  </w:footnote>
  <w:footnote w:id="16">
    <w:p w14:paraId="64B772FD" w14:textId="537D2915" w:rsidR="00B6745F" w:rsidRPr="00BD6605" w:rsidRDefault="00B6745F"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24., C. 1.</w:t>
      </w:r>
    </w:p>
  </w:footnote>
  <w:footnote w:id="17">
    <w:p w14:paraId="06A7B5E1" w14:textId="4409F41D" w:rsidR="00FD4D84" w:rsidRPr="00BD6605" w:rsidRDefault="00FD4D84"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07., C. 1.</w:t>
      </w:r>
    </w:p>
  </w:footnote>
  <w:footnote w:id="18">
    <w:p w14:paraId="5CFEEDFF" w14:textId="1458EC12" w:rsidR="00B6745F" w:rsidRPr="00BD6605" w:rsidRDefault="00B6745F"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04., C. 1.</w:t>
      </w:r>
    </w:p>
  </w:footnote>
  <w:footnote w:id="19">
    <w:p w14:paraId="6CEAE438" w14:textId="1675E390" w:rsidR="00B6745F" w:rsidRPr="00BD6605" w:rsidRDefault="00B6745F"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10., C. 1.</w:t>
      </w:r>
    </w:p>
  </w:footnote>
  <w:footnote w:id="20">
    <w:p w14:paraId="185A1A03" w14:textId="7427F392" w:rsidR="00B6745F" w:rsidRPr="00BD6605" w:rsidRDefault="00B6745F" w:rsidP="00BD6605">
      <w:pPr>
        <w:pStyle w:val="Textonotapie"/>
        <w:jc w:val="both"/>
        <w:rPr>
          <w:rFonts w:ascii="Arial" w:hAnsi="Arial" w:cs="Arial"/>
          <w:sz w:val="18"/>
          <w:lang w:val="es-CO"/>
        </w:rPr>
      </w:pPr>
      <w:r w:rsidRPr="00BD6605">
        <w:rPr>
          <w:rStyle w:val="Refdenotaalpie"/>
          <w:rFonts w:ascii="Arial" w:hAnsi="Arial" w:cs="Arial"/>
          <w:sz w:val="18"/>
        </w:rPr>
        <w:footnoteRef/>
      </w:r>
      <w:r w:rsidRPr="00BD6605">
        <w:rPr>
          <w:rFonts w:ascii="Arial" w:hAnsi="Arial" w:cs="Arial"/>
          <w:sz w:val="18"/>
        </w:rPr>
        <w:t xml:space="preserve"> </w:t>
      </w:r>
      <w:r w:rsidRPr="00BD6605">
        <w:rPr>
          <w:rFonts w:ascii="Arial" w:hAnsi="Arial" w:cs="Arial"/>
          <w:sz w:val="18"/>
          <w:lang w:val="es-CO"/>
        </w:rPr>
        <w:t>Documento 11.,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14833"/>
    <w:multiLevelType w:val="hybridMultilevel"/>
    <w:tmpl w:val="39049CA8"/>
    <w:lvl w:ilvl="0" w:tplc="E3CA80E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6F39396A"/>
    <w:multiLevelType w:val="hybridMultilevel"/>
    <w:tmpl w:val="C6F68538"/>
    <w:lvl w:ilvl="0" w:tplc="90CA109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BCD"/>
    <w:rsid w:val="00004C09"/>
    <w:rsid w:val="0000651E"/>
    <w:rsid w:val="00006D3D"/>
    <w:rsid w:val="00013A46"/>
    <w:rsid w:val="00020299"/>
    <w:rsid w:val="00027F07"/>
    <w:rsid w:val="00032126"/>
    <w:rsid w:val="000326A6"/>
    <w:rsid w:val="00033FD2"/>
    <w:rsid w:val="00034ED7"/>
    <w:rsid w:val="000431C0"/>
    <w:rsid w:val="0004483B"/>
    <w:rsid w:val="00053A94"/>
    <w:rsid w:val="00053F48"/>
    <w:rsid w:val="00055409"/>
    <w:rsid w:val="00055776"/>
    <w:rsid w:val="000607E2"/>
    <w:rsid w:val="00061292"/>
    <w:rsid w:val="00074430"/>
    <w:rsid w:val="00074557"/>
    <w:rsid w:val="00075C47"/>
    <w:rsid w:val="00077766"/>
    <w:rsid w:val="00077A5D"/>
    <w:rsid w:val="00080818"/>
    <w:rsid w:val="00092FAD"/>
    <w:rsid w:val="000964A8"/>
    <w:rsid w:val="000966FF"/>
    <w:rsid w:val="000A618F"/>
    <w:rsid w:val="000D0588"/>
    <w:rsid w:val="000D3BE8"/>
    <w:rsid w:val="000D63B6"/>
    <w:rsid w:val="000E068E"/>
    <w:rsid w:val="000E222D"/>
    <w:rsid w:val="000F170A"/>
    <w:rsid w:val="000F2A5F"/>
    <w:rsid w:val="000F3535"/>
    <w:rsid w:val="0010181D"/>
    <w:rsid w:val="00103855"/>
    <w:rsid w:val="001170B4"/>
    <w:rsid w:val="001228A7"/>
    <w:rsid w:val="00131403"/>
    <w:rsid w:val="001421A1"/>
    <w:rsid w:val="00145DA8"/>
    <w:rsid w:val="00146068"/>
    <w:rsid w:val="0015705D"/>
    <w:rsid w:val="00170829"/>
    <w:rsid w:val="00173AC3"/>
    <w:rsid w:val="00181964"/>
    <w:rsid w:val="001824F8"/>
    <w:rsid w:val="001865F5"/>
    <w:rsid w:val="001A279D"/>
    <w:rsid w:val="001A2F06"/>
    <w:rsid w:val="001C02F7"/>
    <w:rsid w:val="001C0F55"/>
    <w:rsid w:val="001E3579"/>
    <w:rsid w:val="00211F61"/>
    <w:rsid w:val="00216770"/>
    <w:rsid w:val="0022039C"/>
    <w:rsid w:val="00253C72"/>
    <w:rsid w:val="00271C50"/>
    <w:rsid w:val="0027557E"/>
    <w:rsid w:val="00276F73"/>
    <w:rsid w:val="00281A52"/>
    <w:rsid w:val="00282427"/>
    <w:rsid w:val="00291AE7"/>
    <w:rsid w:val="00293295"/>
    <w:rsid w:val="00293D42"/>
    <w:rsid w:val="002A56CC"/>
    <w:rsid w:val="002B111A"/>
    <w:rsid w:val="002B26BB"/>
    <w:rsid w:val="002C1162"/>
    <w:rsid w:val="002C46EF"/>
    <w:rsid w:val="002D6937"/>
    <w:rsid w:val="002E0084"/>
    <w:rsid w:val="002E0B28"/>
    <w:rsid w:val="002E3065"/>
    <w:rsid w:val="00302A66"/>
    <w:rsid w:val="00305959"/>
    <w:rsid w:val="003069A3"/>
    <w:rsid w:val="00314901"/>
    <w:rsid w:val="00315127"/>
    <w:rsid w:val="003154B1"/>
    <w:rsid w:val="00315A48"/>
    <w:rsid w:val="00323F66"/>
    <w:rsid w:val="003515B4"/>
    <w:rsid w:val="00351F19"/>
    <w:rsid w:val="003533CD"/>
    <w:rsid w:val="003559F5"/>
    <w:rsid w:val="00365E39"/>
    <w:rsid w:val="003679D3"/>
    <w:rsid w:val="00376BDE"/>
    <w:rsid w:val="00386AE9"/>
    <w:rsid w:val="00390FCD"/>
    <w:rsid w:val="00394D24"/>
    <w:rsid w:val="0039640C"/>
    <w:rsid w:val="00396446"/>
    <w:rsid w:val="003A0F8D"/>
    <w:rsid w:val="003A3639"/>
    <w:rsid w:val="003A3903"/>
    <w:rsid w:val="003A7E25"/>
    <w:rsid w:val="003B5046"/>
    <w:rsid w:val="003B539C"/>
    <w:rsid w:val="003B6768"/>
    <w:rsid w:val="003C2BC4"/>
    <w:rsid w:val="003C5B75"/>
    <w:rsid w:val="003E54BB"/>
    <w:rsid w:val="003F5520"/>
    <w:rsid w:val="0040103B"/>
    <w:rsid w:val="00403802"/>
    <w:rsid w:val="00405E18"/>
    <w:rsid w:val="00406E26"/>
    <w:rsid w:val="0040704B"/>
    <w:rsid w:val="00422311"/>
    <w:rsid w:val="00426DA0"/>
    <w:rsid w:val="0043090A"/>
    <w:rsid w:val="00430A05"/>
    <w:rsid w:val="0043250B"/>
    <w:rsid w:val="004348C9"/>
    <w:rsid w:val="00435DC4"/>
    <w:rsid w:val="004372BC"/>
    <w:rsid w:val="00462FE7"/>
    <w:rsid w:val="00467445"/>
    <w:rsid w:val="00477CB4"/>
    <w:rsid w:val="004803AE"/>
    <w:rsid w:val="0048151E"/>
    <w:rsid w:val="004A5595"/>
    <w:rsid w:val="004A56E8"/>
    <w:rsid w:val="004B14D4"/>
    <w:rsid w:val="004C2C15"/>
    <w:rsid w:val="004C62CA"/>
    <w:rsid w:val="004D53C1"/>
    <w:rsid w:val="004E0C3B"/>
    <w:rsid w:val="004E4A9F"/>
    <w:rsid w:val="004F0D1F"/>
    <w:rsid w:val="004F7764"/>
    <w:rsid w:val="00502D34"/>
    <w:rsid w:val="0050586C"/>
    <w:rsid w:val="00513F83"/>
    <w:rsid w:val="00517F08"/>
    <w:rsid w:val="0052280F"/>
    <w:rsid w:val="00534A58"/>
    <w:rsid w:val="0055213F"/>
    <w:rsid w:val="005672A5"/>
    <w:rsid w:val="0056791D"/>
    <w:rsid w:val="00570DA5"/>
    <w:rsid w:val="0057202D"/>
    <w:rsid w:val="00572891"/>
    <w:rsid w:val="005756BE"/>
    <w:rsid w:val="005A042C"/>
    <w:rsid w:val="005B6F1C"/>
    <w:rsid w:val="005B7535"/>
    <w:rsid w:val="005C000E"/>
    <w:rsid w:val="005C314D"/>
    <w:rsid w:val="005D5D35"/>
    <w:rsid w:val="005D653A"/>
    <w:rsid w:val="005E666C"/>
    <w:rsid w:val="005E7F81"/>
    <w:rsid w:val="005F3E08"/>
    <w:rsid w:val="005F6F58"/>
    <w:rsid w:val="005F7FDF"/>
    <w:rsid w:val="00601389"/>
    <w:rsid w:val="00602B75"/>
    <w:rsid w:val="00607281"/>
    <w:rsid w:val="0061104F"/>
    <w:rsid w:val="0061438F"/>
    <w:rsid w:val="00616474"/>
    <w:rsid w:val="00620F63"/>
    <w:rsid w:val="006230BC"/>
    <w:rsid w:val="006253DE"/>
    <w:rsid w:val="006278C7"/>
    <w:rsid w:val="00657454"/>
    <w:rsid w:val="00662A05"/>
    <w:rsid w:val="00665342"/>
    <w:rsid w:val="00674A22"/>
    <w:rsid w:val="0067794B"/>
    <w:rsid w:val="00682421"/>
    <w:rsid w:val="006844C0"/>
    <w:rsid w:val="006849A6"/>
    <w:rsid w:val="0068753F"/>
    <w:rsid w:val="00693B8A"/>
    <w:rsid w:val="00695D52"/>
    <w:rsid w:val="006979C1"/>
    <w:rsid w:val="006A4557"/>
    <w:rsid w:val="006A5728"/>
    <w:rsid w:val="006B0A03"/>
    <w:rsid w:val="006B1E9D"/>
    <w:rsid w:val="006C77CB"/>
    <w:rsid w:val="006D4518"/>
    <w:rsid w:val="006D5D3E"/>
    <w:rsid w:val="006D7F5E"/>
    <w:rsid w:val="006E3819"/>
    <w:rsid w:val="006E4909"/>
    <w:rsid w:val="006E6D69"/>
    <w:rsid w:val="006E7FCC"/>
    <w:rsid w:val="006F5C2C"/>
    <w:rsid w:val="0070049D"/>
    <w:rsid w:val="00703448"/>
    <w:rsid w:val="007045BE"/>
    <w:rsid w:val="0071044F"/>
    <w:rsid w:val="00711431"/>
    <w:rsid w:val="00712825"/>
    <w:rsid w:val="00714B45"/>
    <w:rsid w:val="00715900"/>
    <w:rsid w:val="0074085B"/>
    <w:rsid w:val="00740AC8"/>
    <w:rsid w:val="00742586"/>
    <w:rsid w:val="00745CBD"/>
    <w:rsid w:val="00756044"/>
    <w:rsid w:val="00771673"/>
    <w:rsid w:val="00772BEE"/>
    <w:rsid w:val="00784E3A"/>
    <w:rsid w:val="00796976"/>
    <w:rsid w:val="007A519B"/>
    <w:rsid w:val="007A7676"/>
    <w:rsid w:val="007C069B"/>
    <w:rsid w:val="007D29D6"/>
    <w:rsid w:val="007D4C6D"/>
    <w:rsid w:val="007E215C"/>
    <w:rsid w:val="007E2470"/>
    <w:rsid w:val="007F5F4C"/>
    <w:rsid w:val="007F5FE5"/>
    <w:rsid w:val="00824CA0"/>
    <w:rsid w:val="0083048C"/>
    <w:rsid w:val="00831518"/>
    <w:rsid w:val="008329FC"/>
    <w:rsid w:val="00832A1A"/>
    <w:rsid w:val="00843149"/>
    <w:rsid w:val="008521D9"/>
    <w:rsid w:val="008530FA"/>
    <w:rsid w:val="0085452A"/>
    <w:rsid w:val="0086500E"/>
    <w:rsid w:val="0087422E"/>
    <w:rsid w:val="00877521"/>
    <w:rsid w:val="0088709E"/>
    <w:rsid w:val="00891E39"/>
    <w:rsid w:val="0089363A"/>
    <w:rsid w:val="00894320"/>
    <w:rsid w:val="00896C50"/>
    <w:rsid w:val="008A1CF9"/>
    <w:rsid w:val="008A42CD"/>
    <w:rsid w:val="008A723B"/>
    <w:rsid w:val="008B4181"/>
    <w:rsid w:val="008B5947"/>
    <w:rsid w:val="008B6F83"/>
    <w:rsid w:val="008C5727"/>
    <w:rsid w:val="008C7948"/>
    <w:rsid w:val="008D11CB"/>
    <w:rsid w:val="008D27F3"/>
    <w:rsid w:val="008D5839"/>
    <w:rsid w:val="008E3ED6"/>
    <w:rsid w:val="008E58CD"/>
    <w:rsid w:val="008E60FB"/>
    <w:rsid w:val="008F0C90"/>
    <w:rsid w:val="008F18E2"/>
    <w:rsid w:val="008F5463"/>
    <w:rsid w:val="008F6DE3"/>
    <w:rsid w:val="0090236C"/>
    <w:rsid w:val="009033CA"/>
    <w:rsid w:val="00907DCF"/>
    <w:rsid w:val="009106CF"/>
    <w:rsid w:val="009150EF"/>
    <w:rsid w:val="009174B5"/>
    <w:rsid w:val="009202A9"/>
    <w:rsid w:val="00923230"/>
    <w:rsid w:val="009315E7"/>
    <w:rsid w:val="0093530C"/>
    <w:rsid w:val="009430BD"/>
    <w:rsid w:val="00944011"/>
    <w:rsid w:val="0096221B"/>
    <w:rsid w:val="00965D52"/>
    <w:rsid w:val="0098467A"/>
    <w:rsid w:val="00985707"/>
    <w:rsid w:val="009A199B"/>
    <w:rsid w:val="009A3ACA"/>
    <w:rsid w:val="009A7583"/>
    <w:rsid w:val="009B3F5E"/>
    <w:rsid w:val="009C0A55"/>
    <w:rsid w:val="009D089D"/>
    <w:rsid w:val="009D5BC6"/>
    <w:rsid w:val="009D66D5"/>
    <w:rsid w:val="00A102B8"/>
    <w:rsid w:val="00A12467"/>
    <w:rsid w:val="00A22B0F"/>
    <w:rsid w:val="00A254BE"/>
    <w:rsid w:val="00A30819"/>
    <w:rsid w:val="00A30955"/>
    <w:rsid w:val="00A50A5E"/>
    <w:rsid w:val="00A51860"/>
    <w:rsid w:val="00A54146"/>
    <w:rsid w:val="00A64ADF"/>
    <w:rsid w:val="00A64F54"/>
    <w:rsid w:val="00A657E3"/>
    <w:rsid w:val="00A70B07"/>
    <w:rsid w:val="00A92999"/>
    <w:rsid w:val="00A97441"/>
    <w:rsid w:val="00AA72D9"/>
    <w:rsid w:val="00AB0C0C"/>
    <w:rsid w:val="00AB191D"/>
    <w:rsid w:val="00AB43A1"/>
    <w:rsid w:val="00AD35F0"/>
    <w:rsid w:val="00AD6B4D"/>
    <w:rsid w:val="00AE0224"/>
    <w:rsid w:val="00AE1ABD"/>
    <w:rsid w:val="00AE22A2"/>
    <w:rsid w:val="00AE2539"/>
    <w:rsid w:val="00B07E8B"/>
    <w:rsid w:val="00B10C83"/>
    <w:rsid w:val="00B1397E"/>
    <w:rsid w:val="00B25FD8"/>
    <w:rsid w:val="00B26579"/>
    <w:rsid w:val="00B27688"/>
    <w:rsid w:val="00B36732"/>
    <w:rsid w:val="00B42DBA"/>
    <w:rsid w:val="00B501C4"/>
    <w:rsid w:val="00B6745F"/>
    <w:rsid w:val="00B700DF"/>
    <w:rsid w:val="00B71930"/>
    <w:rsid w:val="00B71BD7"/>
    <w:rsid w:val="00B80B9E"/>
    <w:rsid w:val="00B844BD"/>
    <w:rsid w:val="00B92F45"/>
    <w:rsid w:val="00BA7014"/>
    <w:rsid w:val="00BB04E6"/>
    <w:rsid w:val="00BC196D"/>
    <w:rsid w:val="00BC2599"/>
    <w:rsid w:val="00BC45E3"/>
    <w:rsid w:val="00BC5313"/>
    <w:rsid w:val="00BC6F09"/>
    <w:rsid w:val="00BD3B94"/>
    <w:rsid w:val="00BD4EA8"/>
    <w:rsid w:val="00BD6605"/>
    <w:rsid w:val="00BF3C77"/>
    <w:rsid w:val="00BF659B"/>
    <w:rsid w:val="00BF7977"/>
    <w:rsid w:val="00C1558F"/>
    <w:rsid w:val="00C21E67"/>
    <w:rsid w:val="00C26230"/>
    <w:rsid w:val="00C26446"/>
    <w:rsid w:val="00C32BD3"/>
    <w:rsid w:val="00C443F1"/>
    <w:rsid w:val="00C444FE"/>
    <w:rsid w:val="00C47BF7"/>
    <w:rsid w:val="00C70616"/>
    <w:rsid w:val="00C82605"/>
    <w:rsid w:val="00CA072C"/>
    <w:rsid w:val="00CA12A2"/>
    <w:rsid w:val="00CC5651"/>
    <w:rsid w:val="00CC619F"/>
    <w:rsid w:val="00CD219C"/>
    <w:rsid w:val="00CE05C3"/>
    <w:rsid w:val="00CE05FF"/>
    <w:rsid w:val="00CE7104"/>
    <w:rsid w:val="00D11CCF"/>
    <w:rsid w:val="00D161D8"/>
    <w:rsid w:val="00D22B0C"/>
    <w:rsid w:val="00D25908"/>
    <w:rsid w:val="00D33CE9"/>
    <w:rsid w:val="00D3694C"/>
    <w:rsid w:val="00D37C6E"/>
    <w:rsid w:val="00D42F2B"/>
    <w:rsid w:val="00D42FD2"/>
    <w:rsid w:val="00D4369D"/>
    <w:rsid w:val="00D44763"/>
    <w:rsid w:val="00D63DDB"/>
    <w:rsid w:val="00D648B7"/>
    <w:rsid w:val="00D8236D"/>
    <w:rsid w:val="00D97BAB"/>
    <w:rsid w:val="00DA53C5"/>
    <w:rsid w:val="00DA7561"/>
    <w:rsid w:val="00DA7BB2"/>
    <w:rsid w:val="00DB330D"/>
    <w:rsid w:val="00DD00B4"/>
    <w:rsid w:val="00DD4215"/>
    <w:rsid w:val="00DE2030"/>
    <w:rsid w:val="00E01B05"/>
    <w:rsid w:val="00E03BD2"/>
    <w:rsid w:val="00E07CA6"/>
    <w:rsid w:val="00E106AD"/>
    <w:rsid w:val="00E17509"/>
    <w:rsid w:val="00E24C1E"/>
    <w:rsid w:val="00E25653"/>
    <w:rsid w:val="00E434E7"/>
    <w:rsid w:val="00E44B84"/>
    <w:rsid w:val="00E503E6"/>
    <w:rsid w:val="00E50FD0"/>
    <w:rsid w:val="00E5413A"/>
    <w:rsid w:val="00E54971"/>
    <w:rsid w:val="00E5552D"/>
    <w:rsid w:val="00E7322A"/>
    <w:rsid w:val="00E80335"/>
    <w:rsid w:val="00E8615D"/>
    <w:rsid w:val="00E87CCB"/>
    <w:rsid w:val="00EA2D67"/>
    <w:rsid w:val="00EA3E59"/>
    <w:rsid w:val="00EA3F8D"/>
    <w:rsid w:val="00EB45CC"/>
    <w:rsid w:val="00EB7B45"/>
    <w:rsid w:val="00EC1754"/>
    <w:rsid w:val="00EC38FC"/>
    <w:rsid w:val="00ED3086"/>
    <w:rsid w:val="00ED5877"/>
    <w:rsid w:val="00EE49EA"/>
    <w:rsid w:val="00F0368E"/>
    <w:rsid w:val="00F0575B"/>
    <w:rsid w:val="00F0648E"/>
    <w:rsid w:val="00F16627"/>
    <w:rsid w:val="00F20C45"/>
    <w:rsid w:val="00F24C4D"/>
    <w:rsid w:val="00F25C6C"/>
    <w:rsid w:val="00F264F0"/>
    <w:rsid w:val="00F3068A"/>
    <w:rsid w:val="00F3183F"/>
    <w:rsid w:val="00F43B9E"/>
    <w:rsid w:val="00F43CD2"/>
    <w:rsid w:val="00F44B78"/>
    <w:rsid w:val="00F46E71"/>
    <w:rsid w:val="00F62AA4"/>
    <w:rsid w:val="00F758E2"/>
    <w:rsid w:val="00F84347"/>
    <w:rsid w:val="00FA2B3E"/>
    <w:rsid w:val="00FA3142"/>
    <w:rsid w:val="00FA63DC"/>
    <w:rsid w:val="00FB30E9"/>
    <w:rsid w:val="00FB69AE"/>
    <w:rsid w:val="00FC3953"/>
    <w:rsid w:val="00FD3D0E"/>
    <w:rsid w:val="00FD4D84"/>
    <w:rsid w:val="00FD4DBD"/>
    <w:rsid w:val="00FD617E"/>
    <w:rsid w:val="00FE20DE"/>
    <w:rsid w:val="00FE5F8A"/>
    <w:rsid w:val="00FF14C8"/>
    <w:rsid w:val="00FF31BE"/>
    <w:rsid w:val="00FF5B8E"/>
    <w:rsid w:val="00FF6728"/>
    <w:rsid w:val="066F6A3C"/>
    <w:rsid w:val="0CA6611D"/>
    <w:rsid w:val="12A4A059"/>
    <w:rsid w:val="15C7D7B6"/>
    <w:rsid w:val="1A78F8BC"/>
    <w:rsid w:val="20C22928"/>
    <w:rsid w:val="21E0AEB1"/>
    <w:rsid w:val="24A1FEAF"/>
    <w:rsid w:val="250DA2F3"/>
    <w:rsid w:val="2537E002"/>
    <w:rsid w:val="2741EFE6"/>
    <w:rsid w:val="2C2ED517"/>
    <w:rsid w:val="2D971937"/>
    <w:rsid w:val="30D45F3E"/>
    <w:rsid w:val="30E23AED"/>
    <w:rsid w:val="32C5AAA9"/>
    <w:rsid w:val="3BB59A28"/>
    <w:rsid w:val="3D76F797"/>
    <w:rsid w:val="3F2CB672"/>
    <w:rsid w:val="4090823F"/>
    <w:rsid w:val="42912840"/>
    <w:rsid w:val="431A8C22"/>
    <w:rsid w:val="4A4A9552"/>
    <w:rsid w:val="53D5750F"/>
    <w:rsid w:val="5767E51D"/>
    <w:rsid w:val="59A1AA03"/>
    <w:rsid w:val="5DA7CDFB"/>
    <w:rsid w:val="5E15EB94"/>
    <w:rsid w:val="5F282C3A"/>
    <w:rsid w:val="61E65D3F"/>
    <w:rsid w:val="65DC38FF"/>
    <w:rsid w:val="67449240"/>
    <w:rsid w:val="69EA20DD"/>
    <w:rsid w:val="6A4977C3"/>
    <w:rsid w:val="6F59F34A"/>
    <w:rsid w:val="711338D8"/>
    <w:rsid w:val="7359C6DA"/>
    <w:rsid w:val="74F3857E"/>
    <w:rsid w:val="77D3E02E"/>
    <w:rsid w:val="787C0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6979C1"/>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link w:val="4GCha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6979C1"/>
    <w:rPr>
      <w:rFonts w:ascii="Times New Roman" w:eastAsia="Times New Roman" w:hAnsi="Times New Roman" w:cs="Times New Roman"/>
      <w:b/>
      <w:bCs/>
      <w:sz w:val="36"/>
      <w:szCs w:val="36"/>
      <w:lang w:val="es-CO" w:eastAsia="es-CO"/>
    </w:rPr>
  </w:style>
  <w:style w:type="paragraph" w:styleId="Textoindependiente3">
    <w:name w:val="Body Text 3"/>
    <w:basedOn w:val="Normal"/>
    <w:link w:val="Textoindependiente3Car"/>
    <w:semiHidden/>
    <w:unhideWhenUsed/>
    <w:rsid w:val="00A30955"/>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A30955"/>
    <w:rPr>
      <w:rFonts w:ascii="Times New Roman" w:eastAsia="Times New Roman" w:hAnsi="Times New Roman" w:cs="Times New Roman"/>
      <w:sz w:val="16"/>
      <w:szCs w:val="16"/>
      <w:lang w:val="es-ES_tradnl" w:eastAsia="es-ES"/>
    </w:rPr>
  </w:style>
  <w:style w:type="paragraph" w:customStyle="1" w:styleId="Textoindependiente21">
    <w:name w:val="Texto independiente 21"/>
    <w:basedOn w:val="Normal"/>
    <w:rsid w:val="001C0F55"/>
    <w:pPr>
      <w:overflowPunct w:val="0"/>
      <w:autoSpaceDE w:val="0"/>
      <w:autoSpaceDN w:val="0"/>
      <w:adjustRightInd w:val="0"/>
      <w:spacing w:after="0" w:line="360" w:lineRule="auto"/>
      <w:ind w:firstLine="2835"/>
      <w:jc w:val="both"/>
    </w:pPr>
    <w:rPr>
      <w:rFonts w:ascii="Verdana" w:eastAsia="Times New Roman" w:hAnsi="Verdana" w:cs="Times New Roman"/>
      <w:sz w:val="24"/>
      <w:szCs w:val="20"/>
      <w:lang w:val="es-ES" w:eastAsia="es-ES"/>
    </w:rPr>
  </w:style>
  <w:style w:type="character" w:styleId="Mencinsinresolver">
    <w:name w:val="Unresolved Mention"/>
    <w:basedOn w:val="Fuentedeprrafopredeter"/>
    <w:uiPriority w:val="99"/>
    <w:semiHidden/>
    <w:unhideWhenUsed/>
    <w:rsid w:val="008D11CB"/>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A7583"/>
    <w:pPr>
      <w:spacing w:after="0" w:line="240" w:lineRule="auto"/>
      <w:jc w:val="both"/>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322776816">
      <w:bodyDiv w:val="1"/>
      <w:marLeft w:val="0"/>
      <w:marRight w:val="0"/>
      <w:marTop w:val="0"/>
      <w:marBottom w:val="0"/>
      <w:divBdr>
        <w:top w:val="none" w:sz="0" w:space="0" w:color="auto"/>
        <w:left w:val="none" w:sz="0" w:space="0" w:color="auto"/>
        <w:bottom w:val="none" w:sz="0" w:space="0" w:color="auto"/>
        <w:right w:val="none" w:sz="0" w:space="0" w:color="auto"/>
      </w:divBdr>
    </w:div>
    <w:div w:id="745877879">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832834835">
      <w:bodyDiv w:val="1"/>
      <w:marLeft w:val="0"/>
      <w:marRight w:val="0"/>
      <w:marTop w:val="0"/>
      <w:marBottom w:val="0"/>
      <w:divBdr>
        <w:top w:val="none" w:sz="0" w:space="0" w:color="auto"/>
        <w:left w:val="none" w:sz="0" w:space="0" w:color="auto"/>
        <w:bottom w:val="none" w:sz="0" w:space="0" w:color="auto"/>
        <w:right w:val="none" w:sz="0" w:space="0" w:color="auto"/>
      </w:divBdr>
    </w:div>
    <w:div w:id="889923327">
      <w:bodyDiv w:val="1"/>
      <w:marLeft w:val="0"/>
      <w:marRight w:val="0"/>
      <w:marTop w:val="0"/>
      <w:marBottom w:val="0"/>
      <w:divBdr>
        <w:top w:val="none" w:sz="0" w:space="0" w:color="auto"/>
        <w:left w:val="none" w:sz="0" w:space="0" w:color="auto"/>
        <w:bottom w:val="none" w:sz="0" w:space="0" w:color="auto"/>
        <w:right w:val="none" w:sz="0" w:space="0" w:color="auto"/>
      </w:divBdr>
    </w:div>
    <w:div w:id="909462897">
      <w:bodyDiv w:val="1"/>
      <w:marLeft w:val="0"/>
      <w:marRight w:val="0"/>
      <w:marTop w:val="0"/>
      <w:marBottom w:val="0"/>
      <w:divBdr>
        <w:top w:val="none" w:sz="0" w:space="0" w:color="auto"/>
        <w:left w:val="none" w:sz="0" w:space="0" w:color="auto"/>
        <w:bottom w:val="none" w:sz="0" w:space="0" w:color="auto"/>
        <w:right w:val="none" w:sz="0" w:space="0" w:color="auto"/>
      </w:divBdr>
    </w:div>
    <w:div w:id="97020702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760560319">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5fbbd3452b4d4a6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3.xml><?xml version="1.0" encoding="utf-8"?>
<ds:datastoreItem xmlns:ds="http://schemas.openxmlformats.org/officeDocument/2006/customXml" ds:itemID="{FC3D5D92-5E23-46CB-A0A4-23289F73C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A0143-BB5F-4547-91E7-0F5682AF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3367</Words>
  <Characters>18524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5</cp:revision>
  <cp:lastPrinted>2019-04-25T12:29:00Z</cp:lastPrinted>
  <dcterms:created xsi:type="dcterms:W3CDTF">2022-12-14T19:32:00Z</dcterms:created>
  <dcterms:modified xsi:type="dcterms:W3CDTF">2023-02-08T16:06:00Z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