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A101905" w14:textId="77777777" w:rsidR="00A6532E" w:rsidRPr="00A6532E" w:rsidRDefault="00A6532E" w:rsidP="00A6532E">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88817641"/>
      <w:bookmarkStart w:id="2" w:name="_GoBack"/>
      <w:bookmarkEnd w:id="2"/>
      <w:r w:rsidRPr="00A6532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9CCA27" w14:textId="77777777" w:rsidR="00A6532E" w:rsidRPr="00A6532E" w:rsidRDefault="00A6532E" w:rsidP="00A6532E">
      <w:pPr>
        <w:spacing w:line="240" w:lineRule="auto"/>
        <w:rPr>
          <w:rFonts w:ascii="Arial" w:eastAsia="Times New Roman" w:hAnsi="Arial" w:cs="Arial"/>
          <w:sz w:val="20"/>
          <w:szCs w:val="20"/>
          <w:lang w:val="es-419" w:eastAsia="es-ES"/>
        </w:rPr>
      </w:pPr>
    </w:p>
    <w:p w14:paraId="52A3EE0A"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 xml:space="preserve">Radicación No.: </w:t>
      </w:r>
      <w:r w:rsidRPr="00A6532E">
        <w:rPr>
          <w:rFonts w:ascii="Arial" w:eastAsia="Times New Roman" w:hAnsi="Arial" w:cs="Arial"/>
          <w:sz w:val="20"/>
          <w:szCs w:val="20"/>
          <w:lang w:val="es-419" w:eastAsia="es-ES"/>
        </w:rPr>
        <w:tab/>
        <w:t>66001310500520190019301</w:t>
      </w:r>
    </w:p>
    <w:p w14:paraId="75EFC966"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 xml:space="preserve">Proceso: </w:t>
      </w:r>
      <w:r w:rsidRPr="00A6532E">
        <w:rPr>
          <w:rFonts w:ascii="Arial" w:eastAsia="Times New Roman" w:hAnsi="Arial" w:cs="Arial"/>
          <w:sz w:val="20"/>
          <w:szCs w:val="20"/>
          <w:lang w:val="es-419" w:eastAsia="es-ES"/>
        </w:rPr>
        <w:tab/>
      </w:r>
      <w:r w:rsidRPr="00A6532E">
        <w:rPr>
          <w:rFonts w:ascii="Arial" w:eastAsia="Times New Roman" w:hAnsi="Arial" w:cs="Arial"/>
          <w:sz w:val="20"/>
          <w:szCs w:val="20"/>
          <w:lang w:val="es-419" w:eastAsia="es-ES"/>
        </w:rPr>
        <w:tab/>
        <w:t xml:space="preserve">Ordinario Laboral </w:t>
      </w:r>
    </w:p>
    <w:p w14:paraId="0B0E511C"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 xml:space="preserve">Demandante: </w:t>
      </w:r>
      <w:r w:rsidRPr="00A6532E">
        <w:rPr>
          <w:rFonts w:ascii="Arial" w:eastAsia="Times New Roman" w:hAnsi="Arial" w:cs="Arial"/>
          <w:sz w:val="20"/>
          <w:szCs w:val="20"/>
          <w:lang w:val="es-419" w:eastAsia="es-ES"/>
        </w:rPr>
        <w:tab/>
      </w:r>
      <w:r w:rsidRPr="00A6532E">
        <w:rPr>
          <w:rFonts w:ascii="Arial" w:eastAsia="Times New Roman" w:hAnsi="Arial" w:cs="Arial"/>
          <w:sz w:val="20"/>
          <w:szCs w:val="20"/>
          <w:lang w:val="es-419" w:eastAsia="es-ES"/>
        </w:rPr>
        <w:tab/>
        <w:t xml:space="preserve">Carlos Alberto Santiz Castilla </w:t>
      </w:r>
    </w:p>
    <w:p w14:paraId="3F4A46CF"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 xml:space="preserve">Demandado: </w:t>
      </w:r>
      <w:r w:rsidRPr="00A6532E">
        <w:rPr>
          <w:rFonts w:ascii="Arial" w:eastAsia="Times New Roman" w:hAnsi="Arial" w:cs="Arial"/>
          <w:sz w:val="20"/>
          <w:szCs w:val="20"/>
          <w:lang w:val="es-419" w:eastAsia="es-ES"/>
        </w:rPr>
        <w:tab/>
      </w:r>
      <w:r w:rsidRPr="00A6532E">
        <w:rPr>
          <w:rFonts w:ascii="Arial" w:eastAsia="Times New Roman" w:hAnsi="Arial" w:cs="Arial"/>
          <w:sz w:val="20"/>
          <w:szCs w:val="20"/>
          <w:lang w:val="es-419" w:eastAsia="es-ES"/>
        </w:rPr>
        <w:tab/>
        <w:t xml:space="preserve">Colpensiones y Colfondos S.A. </w:t>
      </w:r>
    </w:p>
    <w:p w14:paraId="52B89FF0" w14:textId="1F8B506A"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 xml:space="preserve">Juzgado: </w:t>
      </w:r>
      <w:r w:rsidRPr="00A6532E">
        <w:rPr>
          <w:rFonts w:ascii="Arial" w:eastAsia="Times New Roman" w:hAnsi="Arial" w:cs="Arial"/>
          <w:sz w:val="20"/>
          <w:szCs w:val="20"/>
          <w:lang w:val="es-419" w:eastAsia="es-ES"/>
        </w:rPr>
        <w:tab/>
      </w:r>
      <w:r w:rsidRPr="00A6532E">
        <w:rPr>
          <w:rFonts w:ascii="Arial" w:eastAsia="Times New Roman" w:hAnsi="Arial" w:cs="Arial"/>
          <w:sz w:val="20"/>
          <w:szCs w:val="20"/>
          <w:lang w:val="es-419" w:eastAsia="es-ES"/>
        </w:rPr>
        <w:tab/>
        <w:t>Quinto Laboral del Circuito de Pereira</w:t>
      </w:r>
    </w:p>
    <w:p w14:paraId="0FDC9527" w14:textId="3CFBC96A" w:rsidR="00A6532E" w:rsidRPr="00A6532E" w:rsidRDefault="00A6532E" w:rsidP="00A6532E">
      <w:pPr>
        <w:spacing w:line="240" w:lineRule="auto"/>
        <w:rPr>
          <w:rFonts w:ascii="Arial" w:eastAsia="Times New Roman" w:hAnsi="Arial" w:cs="Arial"/>
          <w:sz w:val="20"/>
          <w:szCs w:val="20"/>
          <w:lang w:val="es-419" w:eastAsia="es-ES"/>
        </w:rPr>
      </w:pPr>
    </w:p>
    <w:p w14:paraId="1C52C047" w14:textId="77777777" w:rsidR="00A6532E" w:rsidRPr="00A6532E" w:rsidRDefault="00A6532E" w:rsidP="00A6532E">
      <w:pPr>
        <w:spacing w:line="240" w:lineRule="auto"/>
        <w:rPr>
          <w:rFonts w:ascii="Arial" w:eastAsia="Times New Roman" w:hAnsi="Arial" w:cs="Arial"/>
          <w:b/>
          <w:bCs/>
          <w:iCs/>
          <w:sz w:val="20"/>
          <w:szCs w:val="20"/>
          <w:lang w:val="es-419" w:eastAsia="fr-FR"/>
        </w:rPr>
      </w:pPr>
      <w:bookmarkStart w:id="3" w:name="_Hlk82369399"/>
      <w:bookmarkEnd w:id="0"/>
      <w:bookmarkEnd w:id="1"/>
      <w:r w:rsidRPr="00A6532E">
        <w:rPr>
          <w:rFonts w:ascii="Arial" w:eastAsia="Times New Roman" w:hAnsi="Arial" w:cs="Arial"/>
          <w:b/>
          <w:bCs/>
          <w:iCs/>
          <w:sz w:val="20"/>
          <w:szCs w:val="20"/>
          <w:u w:val="single"/>
          <w:lang w:val="es-419" w:eastAsia="fr-FR"/>
        </w:rPr>
        <w:t>TEMAS:</w:t>
      </w:r>
      <w:r w:rsidRPr="00A6532E">
        <w:rPr>
          <w:rFonts w:ascii="Arial" w:eastAsia="Times New Roman" w:hAnsi="Arial" w:cs="Arial"/>
          <w:b/>
          <w:bCs/>
          <w:iCs/>
          <w:sz w:val="20"/>
          <w:szCs w:val="20"/>
          <w:lang w:val="es-419" w:eastAsia="fr-FR"/>
        </w:rPr>
        <w:tab/>
      </w:r>
      <w:r w:rsidRPr="00A6532E">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DA725BB" w14:textId="77777777" w:rsidR="00A6532E" w:rsidRPr="00A6532E" w:rsidRDefault="00A6532E" w:rsidP="00A6532E">
      <w:pPr>
        <w:spacing w:line="240" w:lineRule="auto"/>
        <w:rPr>
          <w:rFonts w:ascii="Arial" w:eastAsia="Times New Roman" w:hAnsi="Arial" w:cs="Arial"/>
          <w:sz w:val="20"/>
          <w:szCs w:val="20"/>
          <w:lang w:val="es-419" w:eastAsia="es-ES"/>
        </w:rPr>
      </w:pPr>
    </w:p>
    <w:p w14:paraId="005F4AC8"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2C497F2" w14:textId="77777777" w:rsidR="00A6532E" w:rsidRPr="00A6532E" w:rsidRDefault="00A6532E" w:rsidP="00A6532E">
      <w:pPr>
        <w:spacing w:line="240" w:lineRule="auto"/>
        <w:rPr>
          <w:rFonts w:ascii="Arial" w:eastAsia="Times New Roman" w:hAnsi="Arial" w:cs="Arial"/>
          <w:sz w:val="20"/>
          <w:szCs w:val="20"/>
          <w:lang w:val="es-419" w:eastAsia="es-ES"/>
        </w:rPr>
      </w:pPr>
    </w:p>
    <w:p w14:paraId="2B060F16"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27D7DA2" w14:textId="77777777" w:rsidR="00A6532E" w:rsidRPr="00A6532E" w:rsidRDefault="00A6532E" w:rsidP="00A6532E">
      <w:pPr>
        <w:spacing w:line="240" w:lineRule="auto"/>
        <w:rPr>
          <w:rFonts w:ascii="Arial" w:eastAsia="Times New Roman" w:hAnsi="Arial" w:cs="Arial"/>
          <w:sz w:val="20"/>
          <w:szCs w:val="20"/>
          <w:lang w:val="es-419" w:eastAsia="es-ES"/>
        </w:rPr>
      </w:pPr>
    </w:p>
    <w:p w14:paraId="434983FF"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659A6CC" w14:textId="77777777" w:rsidR="00A6532E" w:rsidRPr="00A6532E" w:rsidRDefault="00A6532E" w:rsidP="00A6532E">
      <w:pPr>
        <w:spacing w:line="240" w:lineRule="auto"/>
        <w:rPr>
          <w:rFonts w:ascii="Arial" w:eastAsia="Times New Roman" w:hAnsi="Arial" w:cs="Arial"/>
          <w:sz w:val="20"/>
          <w:szCs w:val="20"/>
          <w:lang w:val="es-419" w:eastAsia="es-ES"/>
        </w:rPr>
      </w:pPr>
    </w:p>
    <w:p w14:paraId="6860E627" w14:textId="77777777" w:rsidR="00A6532E" w:rsidRPr="00A6532E" w:rsidRDefault="00A6532E" w:rsidP="00A6532E">
      <w:pPr>
        <w:spacing w:line="240" w:lineRule="auto"/>
        <w:rPr>
          <w:rFonts w:ascii="Arial" w:eastAsia="Times New Roman" w:hAnsi="Arial" w:cs="Arial"/>
          <w:sz w:val="20"/>
          <w:szCs w:val="20"/>
          <w:lang w:val="es-419" w:eastAsia="es-ES"/>
        </w:rPr>
      </w:pPr>
      <w:r w:rsidRPr="00A6532E">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86A64B8" w14:textId="77777777" w:rsidR="00A6532E" w:rsidRPr="00A6532E" w:rsidRDefault="00A6532E" w:rsidP="00A6532E">
      <w:pPr>
        <w:spacing w:line="240" w:lineRule="auto"/>
        <w:rPr>
          <w:rFonts w:ascii="Arial" w:eastAsia="Times New Roman" w:hAnsi="Arial" w:cs="Arial"/>
          <w:sz w:val="20"/>
          <w:szCs w:val="20"/>
          <w:lang w:val="es-ES" w:eastAsia="es-ES"/>
        </w:rPr>
      </w:pPr>
    </w:p>
    <w:p w14:paraId="54A6DF07" w14:textId="77777777" w:rsidR="00A6532E" w:rsidRPr="00A6532E" w:rsidRDefault="00A6532E" w:rsidP="00A6532E">
      <w:pPr>
        <w:spacing w:line="240" w:lineRule="auto"/>
        <w:rPr>
          <w:rFonts w:ascii="Arial" w:eastAsia="Times New Roman" w:hAnsi="Arial" w:cs="Arial"/>
          <w:sz w:val="20"/>
          <w:szCs w:val="20"/>
          <w:lang w:val="es-ES" w:eastAsia="es-ES"/>
        </w:rPr>
      </w:pPr>
    </w:p>
    <w:bookmarkEnd w:id="3"/>
    <w:p w14:paraId="20C6F6DF" w14:textId="77777777" w:rsidR="00A6532E" w:rsidRPr="00A6532E" w:rsidRDefault="00A6532E" w:rsidP="00A6532E">
      <w:pPr>
        <w:spacing w:line="240" w:lineRule="auto"/>
        <w:rPr>
          <w:rFonts w:ascii="Arial" w:eastAsia="Times New Roman" w:hAnsi="Arial" w:cs="Arial"/>
          <w:sz w:val="20"/>
          <w:szCs w:val="20"/>
          <w:lang w:val="es-ES" w:eastAsia="es-ES"/>
        </w:rPr>
      </w:pPr>
    </w:p>
    <w:p w14:paraId="79F64DA0" w14:textId="77777777" w:rsidR="00790DA9" w:rsidRPr="000B6D9D" w:rsidRDefault="00790DA9" w:rsidP="000B6D9D">
      <w:pPr>
        <w:pStyle w:val="Ttulo4"/>
        <w:widowControl w:val="0"/>
        <w:tabs>
          <w:tab w:val="clear" w:pos="0"/>
        </w:tabs>
        <w:spacing w:line="276" w:lineRule="auto"/>
        <w:ind w:left="709" w:right="845"/>
        <w:rPr>
          <w:rFonts w:ascii="Tahoma" w:hAnsi="Tahoma" w:cs="Tahoma"/>
          <w:bCs/>
          <w:szCs w:val="24"/>
          <w:lang w:eastAsia="es-MX"/>
        </w:rPr>
      </w:pPr>
      <w:r w:rsidRPr="000B6D9D">
        <w:rPr>
          <w:rFonts w:ascii="Tahoma" w:hAnsi="Tahoma" w:cs="Tahoma"/>
          <w:bCs/>
          <w:szCs w:val="24"/>
          <w:lang w:eastAsia="es-MX"/>
        </w:rPr>
        <w:t>TRIBUNAL SUPERIOR DEL DISTRITO JUDICIAL DE PEREIRA</w:t>
      </w:r>
    </w:p>
    <w:p w14:paraId="790CF845" w14:textId="482B04BB" w:rsidR="00790DA9" w:rsidRPr="000B6D9D" w:rsidRDefault="00790DA9" w:rsidP="000B6D9D">
      <w:pPr>
        <w:pStyle w:val="Ttulo4"/>
        <w:widowControl w:val="0"/>
        <w:tabs>
          <w:tab w:val="clear" w:pos="0"/>
        </w:tabs>
        <w:spacing w:line="276" w:lineRule="auto"/>
        <w:ind w:left="709" w:right="845"/>
        <w:rPr>
          <w:rFonts w:ascii="Tahoma" w:hAnsi="Tahoma" w:cs="Tahoma"/>
          <w:bCs/>
          <w:szCs w:val="24"/>
          <w:lang w:eastAsia="es-MX"/>
        </w:rPr>
      </w:pPr>
      <w:r w:rsidRPr="000B6D9D">
        <w:rPr>
          <w:rFonts w:ascii="Tahoma" w:hAnsi="Tahoma" w:cs="Tahoma"/>
          <w:bCs/>
          <w:szCs w:val="24"/>
          <w:lang w:eastAsia="es-MX"/>
        </w:rPr>
        <w:t>SALA PRIMERA DE DECISION LABORAL</w:t>
      </w:r>
      <w:r w:rsidR="00662FC5" w:rsidRPr="000B6D9D">
        <w:rPr>
          <w:rFonts w:ascii="Tahoma" w:hAnsi="Tahoma" w:cs="Tahoma"/>
          <w:bCs/>
          <w:szCs w:val="24"/>
          <w:lang w:eastAsia="es-MX"/>
        </w:rPr>
        <w:t xml:space="preserve"> </w:t>
      </w:r>
    </w:p>
    <w:p w14:paraId="6C8078C4" w14:textId="77777777" w:rsidR="00662FC5" w:rsidRPr="000B6D9D" w:rsidRDefault="00662FC5" w:rsidP="000B6D9D">
      <w:pPr>
        <w:spacing w:line="276" w:lineRule="auto"/>
        <w:jc w:val="center"/>
        <w:rPr>
          <w:rFonts w:cs="Tahoma"/>
          <w:bCs/>
          <w:szCs w:val="24"/>
        </w:rPr>
      </w:pPr>
    </w:p>
    <w:p w14:paraId="0E7ACA8F" w14:textId="77777777" w:rsidR="00790DA9" w:rsidRPr="000B6D9D" w:rsidRDefault="00790DA9" w:rsidP="000B6D9D">
      <w:pPr>
        <w:spacing w:line="276" w:lineRule="auto"/>
        <w:jc w:val="center"/>
        <w:textAlignment w:val="baseline"/>
        <w:rPr>
          <w:rFonts w:eastAsia="Times New Roman" w:cs="Tahoma"/>
          <w:szCs w:val="24"/>
          <w:lang w:eastAsia="es-CO"/>
        </w:rPr>
      </w:pPr>
      <w:r w:rsidRPr="000B6D9D">
        <w:rPr>
          <w:rFonts w:eastAsia="Times New Roman" w:cs="Tahoma"/>
          <w:szCs w:val="24"/>
          <w:lang w:eastAsia="es-CO"/>
        </w:rPr>
        <w:t>Magistrada Ponente: </w:t>
      </w:r>
      <w:r w:rsidRPr="000B6D9D">
        <w:rPr>
          <w:rFonts w:eastAsia="Times New Roman" w:cs="Tahoma"/>
          <w:b/>
          <w:bCs/>
          <w:szCs w:val="24"/>
          <w:lang w:eastAsia="es-CO"/>
        </w:rPr>
        <w:t>Ana Lucía Caicedo Calderón</w:t>
      </w:r>
      <w:r w:rsidRPr="000B6D9D">
        <w:rPr>
          <w:rFonts w:eastAsia="Times New Roman" w:cs="Tahoma"/>
          <w:szCs w:val="24"/>
          <w:lang w:eastAsia="es-CO"/>
        </w:rPr>
        <w:t> </w:t>
      </w:r>
    </w:p>
    <w:p w14:paraId="17B99363" w14:textId="17A5E01B" w:rsidR="00790DA9" w:rsidRPr="000B6D9D" w:rsidRDefault="00790DA9" w:rsidP="000B6D9D">
      <w:pPr>
        <w:spacing w:line="276" w:lineRule="auto"/>
        <w:jc w:val="center"/>
        <w:textAlignment w:val="baseline"/>
        <w:rPr>
          <w:rFonts w:eastAsia="Times New Roman" w:cs="Tahoma"/>
          <w:szCs w:val="24"/>
          <w:lang w:eastAsia="es-CO"/>
        </w:rPr>
      </w:pPr>
      <w:r w:rsidRPr="000B6D9D">
        <w:rPr>
          <w:rFonts w:eastAsia="Times New Roman" w:cs="Tahoma"/>
          <w:szCs w:val="24"/>
          <w:lang w:eastAsia="es-CO"/>
        </w:rPr>
        <w:t> </w:t>
      </w:r>
    </w:p>
    <w:p w14:paraId="399D822A" w14:textId="77777777" w:rsidR="00CF1991" w:rsidRPr="000B6D9D" w:rsidRDefault="00CF1991" w:rsidP="000B6D9D">
      <w:pPr>
        <w:spacing w:line="276" w:lineRule="auto"/>
        <w:jc w:val="center"/>
        <w:textAlignment w:val="baseline"/>
        <w:rPr>
          <w:rFonts w:eastAsia="Times New Roman" w:cs="Tahoma"/>
          <w:szCs w:val="24"/>
          <w:lang w:eastAsia="es-CO"/>
        </w:rPr>
      </w:pPr>
      <w:r w:rsidRPr="000B6D9D">
        <w:rPr>
          <w:rFonts w:eastAsia="Times New Roman" w:cs="Tahoma"/>
          <w:szCs w:val="24"/>
          <w:lang w:eastAsia="es-CO"/>
        </w:rPr>
        <w:t>Pereira, Risaralda, diecisiete (17) de enero de dos mil veintidós (2022)  </w:t>
      </w:r>
    </w:p>
    <w:p w14:paraId="6A975C06" w14:textId="77777777" w:rsidR="00CF1991" w:rsidRPr="000B6D9D" w:rsidRDefault="00CF1991" w:rsidP="000B6D9D">
      <w:pPr>
        <w:spacing w:line="276" w:lineRule="auto"/>
        <w:jc w:val="center"/>
        <w:textAlignment w:val="baseline"/>
        <w:rPr>
          <w:rFonts w:eastAsia="Times New Roman" w:cs="Tahoma"/>
          <w:szCs w:val="24"/>
          <w:lang w:eastAsia="es-CO"/>
        </w:rPr>
      </w:pPr>
      <w:r w:rsidRPr="000B6D9D">
        <w:rPr>
          <w:rFonts w:eastAsia="Times New Roman" w:cs="Tahoma"/>
          <w:szCs w:val="24"/>
          <w:lang w:eastAsia="es-CO"/>
        </w:rPr>
        <w:t> Acta No. 03 del 13 de enero de 2022</w:t>
      </w:r>
    </w:p>
    <w:p w14:paraId="73AFF3DE" w14:textId="77777777" w:rsidR="00662FC5" w:rsidRPr="000B6D9D" w:rsidRDefault="00662FC5" w:rsidP="000B6D9D">
      <w:pPr>
        <w:spacing w:line="276" w:lineRule="auto"/>
        <w:jc w:val="center"/>
        <w:rPr>
          <w:rFonts w:cs="Tahoma"/>
          <w:b/>
          <w:szCs w:val="24"/>
        </w:rPr>
      </w:pPr>
    </w:p>
    <w:p w14:paraId="1118462F" w14:textId="50AA9C2C" w:rsidR="00790DA9" w:rsidRPr="000B6D9D" w:rsidRDefault="00662FC5" w:rsidP="000B6D9D">
      <w:pPr>
        <w:spacing w:line="276" w:lineRule="auto"/>
        <w:ind w:firstLine="708"/>
        <w:rPr>
          <w:rFonts w:cs="Tahoma"/>
          <w:szCs w:val="24"/>
          <w:lang w:val="es-ES_tradnl"/>
        </w:rPr>
      </w:pPr>
      <w:r w:rsidRPr="000B6D9D">
        <w:rPr>
          <w:rFonts w:cs="Tahoma"/>
          <w:szCs w:val="24"/>
        </w:rPr>
        <w:t>Teniendo en cuenta que el artículo 15 del Decreto No. 806 del 4 de junio de</w:t>
      </w:r>
      <w:r w:rsidR="00576EEA">
        <w:rPr>
          <w:rFonts w:cs="Tahoma"/>
          <w:szCs w:val="24"/>
        </w:rPr>
        <w:t xml:space="preserve"> </w:t>
      </w:r>
      <w:r w:rsidRPr="000B6D9D">
        <w:rPr>
          <w:rFonts w:cs="Tahoma"/>
          <w:szCs w:val="24"/>
        </w:rPr>
        <w:t>2020, expedido por el Ministerio de Justicia y del Derecho, estableció que en la</w:t>
      </w:r>
      <w:r w:rsidR="00576EEA">
        <w:rPr>
          <w:rFonts w:cs="Tahoma"/>
          <w:szCs w:val="24"/>
        </w:rPr>
        <w:t xml:space="preserve"> </w:t>
      </w:r>
      <w:r w:rsidRPr="000B6D9D">
        <w:rPr>
          <w:rFonts w:cs="Tahoma"/>
          <w:szCs w:val="24"/>
        </w:rPr>
        <w:t>especialidad laboral se proferirán por escrito las providencias de segunda instancia</w:t>
      </w:r>
      <w:r w:rsidR="00576EEA">
        <w:rPr>
          <w:rFonts w:cs="Tahoma"/>
          <w:szCs w:val="24"/>
        </w:rPr>
        <w:t xml:space="preserve"> </w:t>
      </w:r>
      <w:r w:rsidRPr="000B6D9D">
        <w:rPr>
          <w:rFonts w:cs="Tahoma"/>
          <w:szCs w:val="24"/>
        </w:rPr>
        <w:t>en las que se surta el grado jurisdiccional de consulta o se resuelva el recurso de</w:t>
      </w:r>
      <w:r w:rsidR="00576EEA">
        <w:rPr>
          <w:rFonts w:cs="Tahoma"/>
          <w:szCs w:val="24"/>
        </w:rPr>
        <w:t xml:space="preserve"> </w:t>
      </w:r>
      <w:r w:rsidRPr="000B6D9D">
        <w:rPr>
          <w:rFonts w:cs="Tahoma"/>
          <w:szCs w:val="24"/>
        </w:rPr>
        <w:t>apelación de autos o sentencias, la Sala de Decisión Laboral Presidida por la Dra.</w:t>
      </w:r>
      <w:r w:rsidR="00576EEA">
        <w:rPr>
          <w:rFonts w:cs="Tahoma"/>
          <w:szCs w:val="24"/>
        </w:rPr>
        <w:t xml:space="preserve"> </w:t>
      </w:r>
      <w:r w:rsidRPr="000B6D9D">
        <w:rPr>
          <w:rFonts w:cs="Tahoma"/>
          <w:szCs w:val="24"/>
        </w:rPr>
        <w:t>Ana Lucía Caicedo Calderón del Tribunal Superior de Pereira, integrada por las</w:t>
      </w:r>
      <w:r w:rsidR="00576EEA">
        <w:rPr>
          <w:rFonts w:cs="Tahoma"/>
          <w:szCs w:val="24"/>
        </w:rPr>
        <w:t xml:space="preserve"> </w:t>
      </w:r>
      <w:r w:rsidRPr="000B6D9D">
        <w:rPr>
          <w:rFonts w:cs="Tahoma"/>
          <w:szCs w:val="24"/>
        </w:rPr>
        <w:t>Magistradas ANA LUCÍA CAICEDO CALDERÓN como Ponente, OLGA LUCÍA HOYOS</w:t>
      </w:r>
      <w:r w:rsidR="00576EEA">
        <w:rPr>
          <w:rFonts w:cs="Tahoma"/>
          <w:szCs w:val="24"/>
        </w:rPr>
        <w:t xml:space="preserve"> </w:t>
      </w:r>
      <w:r w:rsidRPr="000B6D9D">
        <w:rPr>
          <w:rFonts w:cs="Tahoma"/>
          <w:szCs w:val="24"/>
        </w:rPr>
        <w:t xml:space="preserve">SEPÚLVEDA y el </w:t>
      </w:r>
      <w:r w:rsidRPr="000B6D9D">
        <w:rPr>
          <w:rFonts w:cs="Tahoma"/>
          <w:szCs w:val="24"/>
        </w:rPr>
        <w:lastRenderedPageBreak/>
        <w:t>Magistrado GERMÁN DARIO GOEZ VINASCO, procede a proferir la</w:t>
      </w:r>
      <w:r w:rsidR="00576EEA">
        <w:rPr>
          <w:rFonts w:cs="Tahoma"/>
          <w:szCs w:val="24"/>
        </w:rPr>
        <w:t xml:space="preserve"> </w:t>
      </w:r>
      <w:r w:rsidRPr="000B6D9D">
        <w:rPr>
          <w:rFonts w:cs="Tahoma"/>
          <w:szCs w:val="24"/>
        </w:rPr>
        <w:t xml:space="preserve">siguiente sentencia escrita dentro del proceso </w:t>
      </w:r>
      <w:r w:rsidRPr="005369E8">
        <w:rPr>
          <w:rFonts w:cs="Tahoma"/>
          <w:b/>
          <w:szCs w:val="24"/>
        </w:rPr>
        <w:t>ordinario laboral</w:t>
      </w:r>
      <w:r w:rsidRPr="000B6D9D">
        <w:rPr>
          <w:rFonts w:cs="Tahoma"/>
          <w:szCs w:val="24"/>
        </w:rPr>
        <w:t xml:space="preserve"> instaurado por </w:t>
      </w:r>
      <w:r w:rsidR="00015EC5" w:rsidRPr="000B6D9D">
        <w:rPr>
          <w:rFonts w:cs="Tahoma"/>
          <w:szCs w:val="24"/>
        </w:rPr>
        <w:t xml:space="preserve"> </w:t>
      </w:r>
      <w:r w:rsidR="00DA5E82" w:rsidRPr="000B6D9D">
        <w:rPr>
          <w:rFonts w:cs="Tahoma"/>
          <w:b/>
          <w:bCs/>
          <w:szCs w:val="24"/>
          <w:lang w:val="es-419"/>
        </w:rPr>
        <w:t>Carlos Alberto Santiz Castilla</w:t>
      </w:r>
      <w:r w:rsidR="00015EC5" w:rsidRPr="000B6D9D">
        <w:rPr>
          <w:rFonts w:cs="Tahoma"/>
          <w:b/>
          <w:bCs/>
          <w:szCs w:val="24"/>
          <w:lang w:val="es-419"/>
        </w:rPr>
        <w:t xml:space="preserve"> </w:t>
      </w:r>
      <w:r w:rsidR="005A7B94" w:rsidRPr="000B6D9D">
        <w:rPr>
          <w:rFonts w:cs="Tahoma"/>
          <w:szCs w:val="24"/>
          <w:lang w:val="es-ES_tradnl"/>
        </w:rPr>
        <w:t xml:space="preserve">en contra de la </w:t>
      </w:r>
      <w:r w:rsidR="005A7B94" w:rsidRPr="000B6D9D">
        <w:rPr>
          <w:rFonts w:cs="Tahoma"/>
          <w:b/>
          <w:szCs w:val="24"/>
          <w:lang w:val="es-ES_tradnl"/>
        </w:rPr>
        <w:t>Administradora Colombiana de Pensiones – Colpensiones</w:t>
      </w:r>
      <w:r w:rsidR="005A7B94" w:rsidRPr="000B6D9D">
        <w:rPr>
          <w:rFonts w:cs="Tahoma"/>
          <w:bCs/>
          <w:szCs w:val="24"/>
          <w:lang w:val="es-ES_tradnl"/>
        </w:rPr>
        <w:t xml:space="preserve"> y</w:t>
      </w:r>
      <w:r w:rsidR="005A7B94" w:rsidRPr="000B6D9D">
        <w:rPr>
          <w:rFonts w:cs="Tahoma"/>
          <w:szCs w:val="24"/>
          <w:lang w:val="es-ES_tradnl"/>
        </w:rPr>
        <w:t xml:space="preserve"> la </w:t>
      </w:r>
      <w:r w:rsidR="005A7B94" w:rsidRPr="000B6D9D">
        <w:rPr>
          <w:rFonts w:cs="Tahoma"/>
          <w:b/>
          <w:szCs w:val="24"/>
          <w:lang w:val="es-ES_tradnl"/>
        </w:rPr>
        <w:t xml:space="preserve">Administradora de Fondos de Pensiones </w:t>
      </w:r>
      <w:bookmarkStart w:id="4" w:name="_Hlk69822626"/>
      <w:r w:rsidR="005A7B94" w:rsidRPr="000B6D9D">
        <w:rPr>
          <w:rFonts w:cs="Tahoma"/>
          <w:b/>
          <w:szCs w:val="24"/>
          <w:lang w:val="es-ES_tradnl"/>
        </w:rPr>
        <w:t>–</w:t>
      </w:r>
      <w:bookmarkEnd w:id="4"/>
      <w:r w:rsidR="005A7B94" w:rsidRPr="000B6D9D">
        <w:rPr>
          <w:rFonts w:cs="Tahoma"/>
          <w:szCs w:val="24"/>
          <w:lang w:val="es-ES_tradnl"/>
        </w:rPr>
        <w:t xml:space="preserve"> </w:t>
      </w:r>
      <w:r w:rsidR="009B174A" w:rsidRPr="000B6D9D">
        <w:rPr>
          <w:rFonts w:cs="Tahoma"/>
          <w:b/>
          <w:bCs/>
          <w:szCs w:val="24"/>
          <w:lang w:val="es-ES_tradnl"/>
        </w:rPr>
        <w:t>Colfondos</w:t>
      </w:r>
      <w:r w:rsidR="00015EC5" w:rsidRPr="000B6D9D">
        <w:rPr>
          <w:rFonts w:cs="Tahoma"/>
          <w:b/>
          <w:bCs/>
          <w:szCs w:val="24"/>
          <w:lang w:val="es-ES_tradnl"/>
        </w:rPr>
        <w:t xml:space="preserve"> </w:t>
      </w:r>
      <w:r w:rsidR="005A7B94" w:rsidRPr="000B6D9D">
        <w:rPr>
          <w:rFonts w:cs="Tahoma"/>
          <w:b/>
          <w:szCs w:val="24"/>
          <w:lang w:val="es-ES_tradnl"/>
        </w:rPr>
        <w:t>S.A.</w:t>
      </w:r>
    </w:p>
    <w:p w14:paraId="6149EC1B" w14:textId="77777777" w:rsidR="00A47546" w:rsidRPr="000B6D9D" w:rsidRDefault="00A47546" w:rsidP="000B6D9D">
      <w:pPr>
        <w:spacing w:line="276" w:lineRule="auto"/>
        <w:rPr>
          <w:rFonts w:cs="Tahoma"/>
          <w:szCs w:val="24"/>
        </w:rPr>
      </w:pPr>
    </w:p>
    <w:p w14:paraId="74E244FD" w14:textId="76777837" w:rsidR="00790DA9" w:rsidRPr="000B6D9D" w:rsidRDefault="00790DA9" w:rsidP="000B6D9D">
      <w:pPr>
        <w:pStyle w:val="paragraph"/>
        <w:spacing w:before="0" w:beforeAutospacing="0" w:after="0" w:afterAutospacing="0" w:line="276" w:lineRule="auto"/>
        <w:jc w:val="center"/>
        <w:textAlignment w:val="baseline"/>
        <w:rPr>
          <w:rStyle w:val="normaltextrun"/>
          <w:rFonts w:ascii="Tahoma" w:hAnsi="Tahoma" w:cs="Tahoma"/>
          <w:b/>
          <w:bCs/>
        </w:rPr>
      </w:pPr>
      <w:r w:rsidRPr="000B6D9D">
        <w:rPr>
          <w:rStyle w:val="normaltextrun"/>
          <w:rFonts w:ascii="Tahoma" w:hAnsi="Tahoma" w:cs="Tahoma"/>
          <w:b/>
          <w:bCs/>
        </w:rPr>
        <w:t>PUNTO A TRATAR</w:t>
      </w:r>
    </w:p>
    <w:p w14:paraId="604BDCDA" w14:textId="77777777" w:rsidR="00EF5C33" w:rsidRPr="000B6D9D" w:rsidRDefault="00EF5C33" w:rsidP="000B6D9D">
      <w:pPr>
        <w:pStyle w:val="paragraph"/>
        <w:spacing w:before="0" w:beforeAutospacing="0" w:after="0" w:afterAutospacing="0" w:line="276" w:lineRule="auto"/>
        <w:jc w:val="center"/>
        <w:textAlignment w:val="baseline"/>
        <w:rPr>
          <w:rFonts w:ascii="Tahoma" w:hAnsi="Tahoma" w:cs="Tahoma"/>
        </w:rPr>
      </w:pPr>
    </w:p>
    <w:p w14:paraId="277DA54F" w14:textId="682DEC46" w:rsidR="00790DA9" w:rsidRPr="000B6D9D" w:rsidRDefault="00790DA9" w:rsidP="000B6D9D">
      <w:pPr>
        <w:spacing w:line="276" w:lineRule="auto"/>
        <w:ind w:firstLine="708"/>
        <w:rPr>
          <w:rFonts w:cs="Tahoma"/>
          <w:szCs w:val="24"/>
        </w:rPr>
      </w:pPr>
      <w:r w:rsidRPr="000B6D9D">
        <w:rPr>
          <w:rStyle w:val="normaltextrun"/>
          <w:rFonts w:cs="Tahoma"/>
          <w:szCs w:val="24"/>
        </w:rPr>
        <w:t>Por medio de esta providencia procede la Sala a</w:t>
      </w:r>
      <w:r w:rsidRPr="000B6D9D">
        <w:rPr>
          <w:rFonts w:cs="Tahoma"/>
          <w:szCs w:val="24"/>
        </w:rPr>
        <w:t xml:space="preserve"> resolver</w:t>
      </w:r>
      <w:r w:rsidR="00E376E1" w:rsidRPr="000B6D9D">
        <w:rPr>
          <w:rFonts w:cs="Tahoma"/>
          <w:szCs w:val="24"/>
        </w:rPr>
        <w:t xml:space="preserve"> </w:t>
      </w:r>
      <w:r w:rsidR="001F37EE" w:rsidRPr="000B6D9D">
        <w:rPr>
          <w:rFonts w:cs="Tahoma"/>
          <w:szCs w:val="24"/>
        </w:rPr>
        <w:t>e</w:t>
      </w:r>
      <w:r w:rsidRPr="000B6D9D">
        <w:rPr>
          <w:rFonts w:cs="Tahoma"/>
          <w:szCs w:val="24"/>
        </w:rPr>
        <w:t>l</w:t>
      </w:r>
      <w:r w:rsidR="001F37EE" w:rsidRPr="000B6D9D">
        <w:rPr>
          <w:rFonts w:cs="Tahoma"/>
          <w:szCs w:val="24"/>
        </w:rPr>
        <w:t xml:space="preserve"> </w:t>
      </w:r>
      <w:r w:rsidRPr="000B6D9D">
        <w:rPr>
          <w:rFonts w:cs="Tahoma"/>
          <w:szCs w:val="24"/>
        </w:rPr>
        <w:t xml:space="preserve">recurso de apelación interpuesto por </w:t>
      </w:r>
      <w:r w:rsidR="00E376E1" w:rsidRPr="000B6D9D">
        <w:rPr>
          <w:rFonts w:cs="Tahoma"/>
          <w:szCs w:val="24"/>
        </w:rPr>
        <w:t>Col</w:t>
      </w:r>
      <w:r w:rsidR="00D805CC" w:rsidRPr="000B6D9D">
        <w:rPr>
          <w:rFonts w:cs="Tahoma"/>
          <w:szCs w:val="24"/>
        </w:rPr>
        <w:t xml:space="preserve">pensiones </w:t>
      </w:r>
      <w:r w:rsidR="00E376E1" w:rsidRPr="000B6D9D">
        <w:rPr>
          <w:rFonts w:cs="Tahoma"/>
          <w:szCs w:val="24"/>
        </w:rPr>
        <w:t xml:space="preserve">y </w:t>
      </w:r>
      <w:r w:rsidR="009B174A" w:rsidRPr="000B6D9D">
        <w:rPr>
          <w:rFonts w:cs="Tahoma"/>
          <w:szCs w:val="24"/>
        </w:rPr>
        <w:t xml:space="preserve">Colfondos </w:t>
      </w:r>
      <w:r w:rsidR="00E376E1" w:rsidRPr="000B6D9D">
        <w:rPr>
          <w:rFonts w:cs="Tahoma"/>
          <w:szCs w:val="24"/>
        </w:rPr>
        <w:t xml:space="preserve">S.A. </w:t>
      </w:r>
      <w:r w:rsidRPr="000B6D9D">
        <w:rPr>
          <w:rFonts w:cs="Tahoma"/>
          <w:szCs w:val="24"/>
        </w:rPr>
        <w:t xml:space="preserve">en contra de la sentencia proferida el </w:t>
      </w:r>
      <w:r w:rsidR="00DA5E82" w:rsidRPr="000B6D9D">
        <w:rPr>
          <w:rFonts w:cs="Tahoma"/>
          <w:b/>
          <w:szCs w:val="24"/>
        </w:rPr>
        <w:t>10</w:t>
      </w:r>
      <w:r w:rsidRPr="000B6D9D">
        <w:rPr>
          <w:rFonts w:cs="Tahoma"/>
          <w:b/>
          <w:bCs/>
          <w:szCs w:val="24"/>
        </w:rPr>
        <w:t xml:space="preserve"> de </w:t>
      </w:r>
      <w:r w:rsidR="007E2ABD" w:rsidRPr="000B6D9D">
        <w:rPr>
          <w:rFonts w:cs="Tahoma"/>
          <w:b/>
          <w:bCs/>
          <w:szCs w:val="24"/>
        </w:rPr>
        <w:t>junio</w:t>
      </w:r>
      <w:r w:rsidR="00D805CC" w:rsidRPr="000B6D9D">
        <w:rPr>
          <w:rFonts w:cs="Tahoma"/>
          <w:b/>
          <w:bCs/>
          <w:szCs w:val="24"/>
        </w:rPr>
        <w:t xml:space="preserve"> </w:t>
      </w:r>
      <w:r w:rsidRPr="000B6D9D">
        <w:rPr>
          <w:rFonts w:cs="Tahoma"/>
          <w:b/>
          <w:bCs/>
          <w:szCs w:val="24"/>
        </w:rPr>
        <w:t>de 202</w:t>
      </w:r>
      <w:r w:rsidR="00463B87" w:rsidRPr="000B6D9D">
        <w:rPr>
          <w:rFonts w:cs="Tahoma"/>
          <w:b/>
          <w:bCs/>
          <w:szCs w:val="24"/>
        </w:rPr>
        <w:t>1</w:t>
      </w:r>
      <w:r w:rsidRPr="000B6D9D">
        <w:rPr>
          <w:rFonts w:cs="Tahoma"/>
          <w:szCs w:val="24"/>
        </w:rPr>
        <w:t xml:space="preserve"> por el </w:t>
      </w:r>
      <w:r w:rsidRPr="000B6D9D">
        <w:rPr>
          <w:rFonts w:cs="Tahoma"/>
          <w:szCs w:val="24"/>
          <w:lang w:val="es-ES_tradnl"/>
        </w:rPr>
        <w:t>Juzgado</w:t>
      </w:r>
      <w:r w:rsidRPr="000B6D9D">
        <w:rPr>
          <w:rFonts w:cs="Tahoma"/>
          <w:szCs w:val="24"/>
        </w:rPr>
        <w:t xml:space="preserve"> </w:t>
      </w:r>
      <w:r w:rsidR="00F40933" w:rsidRPr="000B6D9D">
        <w:rPr>
          <w:rFonts w:cs="Tahoma"/>
          <w:szCs w:val="24"/>
        </w:rPr>
        <w:t>Quinto</w:t>
      </w:r>
      <w:r w:rsidR="00E376E1" w:rsidRPr="000B6D9D">
        <w:rPr>
          <w:rFonts w:cs="Tahoma"/>
          <w:szCs w:val="24"/>
        </w:rPr>
        <w:t xml:space="preserve"> </w:t>
      </w:r>
      <w:r w:rsidRPr="000B6D9D">
        <w:rPr>
          <w:rFonts w:cs="Tahoma"/>
          <w:szCs w:val="24"/>
        </w:rPr>
        <w:t>Laboral del Circuito de Pereira</w:t>
      </w:r>
      <w:r w:rsidR="00A47546" w:rsidRPr="000B6D9D">
        <w:rPr>
          <w:rStyle w:val="normaltextrun"/>
          <w:rFonts w:cs="Tahoma"/>
          <w:szCs w:val="24"/>
        </w:rPr>
        <w:t>; asimismo, se revisará la decisión de instancia en virtud del</w:t>
      </w:r>
      <w:r w:rsidR="00A47546" w:rsidRPr="000B6D9D">
        <w:rPr>
          <w:rFonts w:cs="Tahoma"/>
          <w:szCs w:val="24"/>
        </w:rPr>
        <w:t xml:space="preserve"> grado jurisdiccional de consulta respecto de Colpensiones. </w:t>
      </w:r>
      <w:r w:rsidRPr="000B6D9D">
        <w:rPr>
          <w:rStyle w:val="normaltextrun"/>
          <w:rFonts w:cs="Tahoma"/>
          <w:szCs w:val="24"/>
        </w:rPr>
        <w:t>Para ello se tiene en cuenta lo siguiente: </w:t>
      </w:r>
    </w:p>
    <w:p w14:paraId="05DB4DE8" w14:textId="77777777" w:rsidR="0064788E" w:rsidRPr="000B6D9D" w:rsidRDefault="0064788E" w:rsidP="000B6D9D">
      <w:pPr>
        <w:spacing w:line="276" w:lineRule="auto"/>
        <w:rPr>
          <w:rFonts w:cs="Tahoma"/>
          <w:szCs w:val="24"/>
        </w:rPr>
      </w:pPr>
    </w:p>
    <w:p w14:paraId="49486EA9" w14:textId="77777777" w:rsidR="0064788E" w:rsidRPr="000B6D9D" w:rsidRDefault="0064788E" w:rsidP="000B6D9D">
      <w:pPr>
        <w:pStyle w:val="Prrafodelista"/>
        <w:numPr>
          <w:ilvl w:val="0"/>
          <w:numId w:val="12"/>
        </w:numPr>
        <w:spacing w:line="276" w:lineRule="auto"/>
        <w:jc w:val="center"/>
        <w:rPr>
          <w:rFonts w:cs="Tahoma"/>
          <w:b/>
          <w:bCs/>
          <w:szCs w:val="24"/>
          <w:lang w:val="es-ES_tradnl"/>
        </w:rPr>
      </w:pPr>
      <w:r w:rsidRPr="000B6D9D">
        <w:rPr>
          <w:rFonts w:cs="Tahoma"/>
          <w:b/>
          <w:bCs/>
          <w:szCs w:val="24"/>
          <w:lang w:val="es-ES_tradnl"/>
        </w:rPr>
        <w:t>La demanda y su contestación</w:t>
      </w:r>
    </w:p>
    <w:p w14:paraId="7ACA17C4" w14:textId="77777777" w:rsidR="0064788E" w:rsidRPr="000B6D9D" w:rsidRDefault="0064788E" w:rsidP="000B6D9D">
      <w:pPr>
        <w:spacing w:line="276" w:lineRule="auto"/>
        <w:rPr>
          <w:rFonts w:cs="Tahoma"/>
          <w:szCs w:val="24"/>
          <w:lang w:val="es-ES_tradnl"/>
        </w:rPr>
      </w:pPr>
    </w:p>
    <w:p w14:paraId="35FEBA42" w14:textId="467614E7" w:rsidR="0064788E" w:rsidRPr="000B6D9D" w:rsidRDefault="0064788E" w:rsidP="000B6D9D">
      <w:pPr>
        <w:tabs>
          <w:tab w:val="left" w:pos="284"/>
        </w:tabs>
        <w:spacing w:line="276" w:lineRule="auto"/>
        <w:ind w:firstLine="284"/>
        <w:rPr>
          <w:rFonts w:cs="Tahoma"/>
          <w:szCs w:val="24"/>
          <w:lang w:val="es-419"/>
        </w:rPr>
      </w:pPr>
      <w:r w:rsidRPr="000B6D9D">
        <w:rPr>
          <w:rFonts w:cs="Tahoma"/>
          <w:b/>
          <w:bCs/>
          <w:szCs w:val="24"/>
          <w:lang w:val="es-419"/>
        </w:rPr>
        <w:tab/>
      </w:r>
      <w:r w:rsidRPr="000B6D9D">
        <w:rPr>
          <w:rFonts w:cs="Tahoma"/>
          <w:bCs/>
          <w:szCs w:val="24"/>
          <w:lang w:val="es-419"/>
        </w:rPr>
        <w:t>El citado demandante s</w:t>
      </w:r>
      <w:r w:rsidRPr="000B6D9D">
        <w:rPr>
          <w:rFonts w:cs="Tahoma"/>
          <w:szCs w:val="24"/>
          <w:lang w:val="es-419"/>
        </w:rPr>
        <w:t xml:space="preserve">olicita que se declare la nulidad de la afiliación que hizo a la AFP </w:t>
      </w:r>
      <w:r w:rsidR="009B174A" w:rsidRPr="000B6D9D">
        <w:rPr>
          <w:rFonts w:cs="Tahoma"/>
          <w:szCs w:val="24"/>
          <w:lang w:val="es-419"/>
        </w:rPr>
        <w:t>Colfondos</w:t>
      </w:r>
      <w:r w:rsidRPr="000B6D9D">
        <w:rPr>
          <w:rFonts w:cs="Tahoma"/>
          <w:szCs w:val="24"/>
          <w:lang w:val="es-419"/>
        </w:rPr>
        <w:t xml:space="preserve"> S.A.</w:t>
      </w:r>
      <w:r w:rsidRPr="000B6D9D">
        <w:rPr>
          <w:rStyle w:val="normaltextrun"/>
          <w:rFonts w:cs="Tahoma"/>
          <w:szCs w:val="24"/>
        </w:rPr>
        <w:t xml:space="preserve"> y</w:t>
      </w:r>
      <w:r w:rsidR="009B174A" w:rsidRPr="000B6D9D">
        <w:rPr>
          <w:rStyle w:val="normaltextrun"/>
          <w:rFonts w:cs="Tahoma"/>
          <w:szCs w:val="24"/>
        </w:rPr>
        <w:t>,</w:t>
      </w:r>
      <w:r w:rsidRPr="000B6D9D">
        <w:rPr>
          <w:rStyle w:val="normaltextrun"/>
          <w:rFonts w:cs="Tahoma"/>
          <w:szCs w:val="24"/>
        </w:rPr>
        <w:t xml:space="preserve"> en consecuencia, </w:t>
      </w:r>
      <w:r w:rsidRPr="000B6D9D">
        <w:rPr>
          <w:rFonts w:cs="Tahoma"/>
          <w:szCs w:val="24"/>
          <w:lang w:val="es-419"/>
        </w:rPr>
        <w:t xml:space="preserve">se declare </w:t>
      </w:r>
      <w:r w:rsidR="009B174A" w:rsidRPr="000B6D9D">
        <w:rPr>
          <w:rFonts w:cs="Tahoma"/>
          <w:szCs w:val="24"/>
          <w:lang w:val="es-419"/>
        </w:rPr>
        <w:t>válida y vigente su afiliación</w:t>
      </w:r>
      <w:r w:rsidRPr="000B6D9D">
        <w:rPr>
          <w:rFonts w:cs="Tahoma"/>
          <w:szCs w:val="24"/>
          <w:lang w:val="es-419"/>
        </w:rPr>
        <w:t xml:space="preserve"> al régimen de prima media con prestación definida.</w:t>
      </w:r>
    </w:p>
    <w:p w14:paraId="083C39CA" w14:textId="77777777" w:rsidR="0064788E" w:rsidRPr="000B6D9D" w:rsidRDefault="0064788E" w:rsidP="000B6D9D">
      <w:pPr>
        <w:tabs>
          <w:tab w:val="left" w:pos="284"/>
        </w:tabs>
        <w:spacing w:line="276" w:lineRule="auto"/>
        <w:ind w:firstLine="284"/>
        <w:rPr>
          <w:rFonts w:cs="Tahoma"/>
          <w:szCs w:val="24"/>
          <w:lang w:val="es-419"/>
        </w:rPr>
      </w:pPr>
    </w:p>
    <w:p w14:paraId="0981BCA0" w14:textId="0D681C9B" w:rsidR="0064788E" w:rsidRPr="000B6D9D" w:rsidRDefault="0064788E" w:rsidP="000B6D9D">
      <w:pPr>
        <w:tabs>
          <w:tab w:val="left" w:pos="284"/>
        </w:tabs>
        <w:spacing w:line="276" w:lineRule="auto"/>
        <w:ind w:firstLine="284"/>
        <w:rPr>
          <w:rFonts w:cs="Tahoma"/>
          <w:szCs w:val="24"/>
          <w:lang w:val="es-419"/>
        </w:rPr>
      </w:pPr>
      <w:r w:rsidRPr="000B6D9D">
        <w:rPr>
          <w:rFonts w:cs="Tahoma"/>
          <w:szCs w:val="24"/>
          <w:lang w:val="es-419"/>
        </w:rPr>
        <w:tab/>
        <w:t xml:space="preserve">Asimismo, solicita que se condene a COLPENSIONES a recibirlo como afiliado cotizante y a </w:t>
      </w:r>
      <w:r w:rsidR="009B174A" w:rsidRPr="000B6D9D">
        <w:rPr>
          <w:rFonts w:cs="Tahoma"/>
          <w:szCs w:val="24"/>
          <w:lang w:val="es-419"/>
        </w:rPr>
        <w:t xml:space="preserve">Colfondos </w:t>
      </w:r>
      <w:r w:rsidRPr="000B6D9D">
        <w:rPr>
          <w:rFonts w:cs="Tahoma"/>
          <w:szCs w:val="24"/>
          <w:lang w:val="es-419"/>
        </w:rPr>
        <w:t>S.A. a liberarlo de su base de datos, remitiendo a Colpensiones sus cotizaciones, así como a pagar las costas procesales y lo ultra y extra petita debatido y probado en el proceso.</w:t>
      </w:r>
    </w:p>
    <w:p w14:paraId="512DE91E" w14:textId="77777777" w:rsidR="0064788E" w:rsidRPr="000B6D9D" w:rsidRDefault="0064788E" w:rsidP="000B6D9D">
      <w:pPr>
        <w:spacing w:line="276" w:lineRule="auto"/>
        <w:rPr>
          <w:rFonts w:cs="Tahoma"/>
          <w:szCs w:val="24"/>
          <w:lang w:val="es-419"/>
        </w:rPr>
      </w:pPr>
    </w:p>
    <w:p w14:paraId="6954F711" w14:textId="0A6919CC" w:rsidR="0064788E" w:rsidRPr="000B6D9D" w:rsidRDefault="0064788E" w:rsidP="000B6D9D">
      <w:pPr>
        <w:tabs>
          <w:tab w:val="left" w:pos="284"/>
        </w:tabs>
        <w:spacing w:line="276" w:lineRule="auto"/>
        <w:ind w:firstLine="284"/>
        <w:rPr>
          <w:rFonts w:cs="Tahoma"/>
          <w:szCs w:val="24"/>
        </w:rPr>
      </w:pPr>
      <w:r w:rsidRPr="000B6D9D">
        <w:rPr>
          <w:rFonts w:cs="Tahoma"/>
          <w:szCs w:val="24"/>
          <w:lang w:val="es-419"/>
        </w:rPr>
        <w:tab/>
        <w:t xml:space="preserve">En sustento de lo pretendido, relata que nació el </w:t>
      </w:r>
      <w:r w:rsidR="009B174A" w:rsidRPr="000B6D9D">
        <w:rPr>
          <w:rFonts w:cs="Tahoma"/>
          <w:szCs w:val="24"/>
          <w:lang w:val="es-419"/>
        </w:rPr>
        <w:t>20 de octubre de 1952</w:t>
      </w:r>
      <w:r w:rsidRPr="000B6D9D">
        <w:rPr>
          <w:rFonts w:cs="Tahoma"/>
          <w:szCs w:val="24"/>
          <w:lang w:val="es-419"/>
        </w:rPr>
        <w:t xml:space="preserve"> y que el </w:t>
      </w:r>
      <w:r w:rsidR="00DE35D2" w:rsidRPr="000B6D9D">
        <w:rPr>
          <w:rFonts w:cs="Tahoma"/>
          <w:szCs w:val="24"/>
          <w:lang w:val="es-419"/>
        </w:rPr>
        <w:t>30</w:t>
      </w:r>
      <w:r w:rsidR="009B174A" w:rsidRPr="000B6D9D">
        <w:rPr>
          <w:rFonts w:cs="Tahoma"/>
          <w:szCs w:val="24"/>
          <w:lang w:val="es-419"/>
        </w:rPr>
        <w:t xml:space="preserve"> de junio de 1</w:t>
      </w:r>
      <w:r w:rsidRPr="000B6D9D">
        <w:rPr>
          <w:rFonts w:cs="Tahoma"/>
          <w:szCs w:val="24"/>
          <w:lang w:val="es-419"/>
        </w:rPr>
        <w:t>99</w:t>
      </w:r>
      <w:r w:rsidR="00DE35D2" w:rsidRPr="000B6D9D">
        <w:rPr>
          <w:rFonts w:cs="Tahoma"/>
          <w:szCs w:val="24"/>
          <w:lang w:val="es-419"/>
        </w:rPr>
        <w:t>5</w:t>
      </w:r>
      <w:r w:rsidRPr="000B6D9D">
        <w:rPr>
          <w:rFonts w:cs="Tahoma"/>
          <w:szCs w:val="24"/>
          <w:lang w:val="es-419"/>
        </w:rPr>
        <w:t xml:space="preserve"> s</w:t>
      </w:r>
      <w:r w:rsidR="009B174A" w:rsidRPr="000B6D9D">
        <w:rPr>
          <w:rFonts w:cs="Tahoma"/>
          <w:szCs w:val="24"/>
          <w:lang w:val="es-419"/>
        </w:rPr>
        <w:t xml:space="preserve">uscribió </w:t>
      </w:r>
      <w:r w:rsidRPr="000B6D9D">
        <w:rPr>
          <w:rFonts w:cs="Tahoma"/>
          <w:szCs w:val="24"/>
          <w:lang w:val="es-419"/>
        </w:rPr>
        <w:t xml:space="preserve">formulario de vinculación al RAIS, administrado por </w:t>
      </w:r>
      <w:r w:rsidR="009B174A" w:rsidRPr="000B6D9D">
        <w:rPr>
          <w:rFonts w:cs="Tahoma"/>
          <w:szCs w:val="24"/>
          <w:lang w:val="es-419"/>
        </w:rPr>
        <w:t>Colfondos</w:t>
      </w:r>
      <w:r w:rsidRPr="000B6D9D">
        <w:rPr>
          <w:rFonts w:cs="Tahoma"/>
          <w:szCs w:val="24"/>
        </w:rPr>
        <w:t xml:space="preserve"> S.A., con ocasión de una asesoría insuficiente, por lo que considera que la información suministrada fue engañosa e incompleta. En suma, refiere que la AFP Horizonte no le suministró un debido consentimiento informado, ni buen consejo en lo atinente al traslado; que no le dio a conocer lo relacionado al comparativo de las proyecciones pensionales, los beneficios y consecuencias del traslado de régimen.</w:t>
      </w:r>
    </w:p>
    <w:p w14:paraId="7B9738D7" w14:textId="77777777" w:rsidR="0064788E" w:rsidRPr="000B6D9D" w:rsidRDefault="0064788E" w:rsidP="000B6D9D">
      <w:pPr>
        <w:spacing w:line="276" w:lineRule="auto"/>
        <w:rPr>
          <w:rFonts w:cs="Tahoma"/>
          <w:szCs w:val="24"/>
        </w:rPr>
      </w:pPr>
    </w:p>
    <w:p w14:paraId="736C7EFF" w14:textId="05739435" w:rsidR="0064788E" w:rsidRPr="000B6D9D" w:rsidRDefault="0064788E" w:rsidP="000B6D9D">
      <w:pPr>
        <w:spacing w:line="276" w:lineRule="auto"/>
        <w:ind w:firstLine="708"/>
        <w:rPr>
          <w:rFonts w:cs="Tahoma"/>
          <w:szCs w:val="24"/>
        </w:rPr>
      </w:pPr>
      <w:r w:rsidRPr="000B6D9D">
        <w:rPr>
          <w:rFonts w:cs="Tahoma"/>
          <w:szCs w:val="24"/>
        </w:rPr>
        <w:t xml:space="preserve">Por otra parte, señala que la AFP </w:t>
      </w:r>
      <w:r w:rsidR="0070306E" w:rsidRPr="000B6D9D">
        <w:rPr>
          <w:rFonts w:cs="Tahoma"/>
          <w:szCs w:val="24"/>
        </w:rPr>
        <w:t>Colfondos</w:t>
      </w:r>
      <w:r w:rsidRPr="000B6D9D">
        <w:rPr>
          <w:rFonts w:cs="Tahoma"/>
          <w:szCs w:val="24"/>
        </w:rPr>
        <w:t xml:space="preserve"> le comunicó que no poseía documento que soportara la asesoría que se le brindó, en razón a que el proceso de afiliación se realizó de manera verbal.</w:t>
      </w:r>
    </w:p>
    <w:p w14:paraId="2450F63F" w14:textId="77777777" w:rsidR="0064788E" w:rsidRPr="000B6D9D" w:rsidRDefault="0064788E" w:rsidP="000B6D9D">
      <w:pPr>
        <w:spacing w:line="276" w:lineRule="auto"/>
        <w:rPr>
          <w:rFonts w:cs="Tahoma"/>
          <w:szCs w:val="24"/>
        </w:rPr>
      </w:pPr>
    </w:p>
    <w:p w14:paraId="5103A13B" w14:textId="50C4B98D" w:rsidR="0064788E" w:rsidRPr="000B6D9D" w:rsidRDefault="0064788E" w:rsidP="000B6D9D">
      <w:pPr>
        <w:tabs>
          <w:tab w:val="left" w:pos="284"/>
        </w:tabs>
        <w:spacing w:line="276" w:lineRule="auto"/>
        <w:ind w:firstLine="284"/>
        <w:rPr>
          <w:rFonts w:cs="Tahoma"/>
          <w:szCs w:val="24"/>
          <w:lang w:val="es-419"/>
        </w:rPr>
      </w:pPr>
      <w:r w:rsidRPr="000B6D9D">
        <w:rPr>
          <w:rFonts w:cs="Tahoma"/>
          <w:szCs w:val="24"/>
        </w:rPr>
        <w:tab/>
        <w:t xml:space="preserve">Finalmente, indica que el </w:t>
      </w:r>
      <w:r w:rsidR="0070306E" w:rsidRPr="000B6D9D">
        <w:rPr>
          <w:rFonts w:cs="Tahoma"/>
          <w:szCs w:val="24"/>
        </w:rPr>
        <w:t xml:space="preserve">22 de marzo </w:t>
      </w:r>
      <w:r w:rsidRPr="000B6D9D">
        <w:rPr>
          <w:rFonts w:cs="Tahoma"/>
          <w:szCs w:val="24"/>
        </w:rPr>
        <w:t xml:space="preserve">de 2019 Colpensiones negó su solicitud de traslado bajo el argumento de que se encontraba </w:t>
      </w:r>
      <w:r w:rsidRPr="000B6D9D">
        <w:rPr>
          <w:rFonts w:cs="Tahoma"/>
          <w:iCs/>
          <w:szCs w:val="24"/>
        </w:rPr>
        <w:t>a 10 años o menos del requisito de tiempo para pensionarse.</w:t>
      </w:r>
    </w:p>
    <w:p w14:paraId="134D462E" w14:textId="77777777" w:rsidR="0064788E" w:rsidRPr="000B6D9D" w:rsidRDefault="0064788E" w:rsidP="000B6D9D">
      <w:pPr>
        <w:tabs>
          <w:tab w:val="left" w:pos="284"/>
        </w:tabs>
        <w:spacing w:line="276" w:lineRule="auto"/>
        <w:ind w:firstLine="284"/>
        <w:rPr>
          <w:rFonts w:cs="Tahoma"/>
          <w:szCs w:val="24"/>
          <w:lang w:val="es-419"/>
        </w:rPr>
      </w:pPr>
    </w:p>
    <w:p w14:paraId="1689FBD9" w14:textId="29E60500" w:rsidR="0064788E" w:rsidRPr="000B6D9D" w:rsidRDefault="0064788E" w:rsidP="000B6D9D">
      <w:pPr>
        <w:spacing w:line="276" w:lineRule="auto"/>
        <w:ind w:firstLine="708"/>
        <w:rPr>
          <w:rFonts w:cs="Tahoma"/>
          <w:i/>
          <w:szCs w:val="24"/>
        </w:rPr>
      </w:pPr>
      <w:r w:rsidRPr="000B6D9D">
        <w:rPr>
          <w:rFonts w:cs="Tahoma"/>
          <w:b/>
          <w:szCs w:val="24"/>
        </w:rPr>
        <w:t>Colpensiones</w:t>
      </w:r>
      <w:r w:rsidRPr="000B6D9D">
        <w:rPr>
          <w:rFonts w:cs="Tahoma"/>
          <w:szCs w:val="24"/>
        </w:rPr>
        <w:t xml:space="preserve"> se opuso a la totalidad de las pretensiones de la demanda arguyendo que no se evidencia que hubiera existido engaño por parte de </w:t>
      </w:r>
      <w:r w:rsidR="0070306E" w:rsidRPr="000B6D9D">
        <w:rPr>
          <w:rFonts w:cs="Tahoma"/>
          <w:szCs w:val="24"/>
        </w:rPr>
        <w:t>Colfondos</w:t>
      </w:r>
      <w:r w:rsidRPr="000B6D9D">
        <w:rPr>
          <w:rFonts w:cs="Tahoma"/>
          <w:szCs w:val="24"/>
        </w:rPr>
        <w:t xml:space="preserve"> S.A., por lo que la afiliación llevada a cabo </w:t>
      </w:r>
      <w:r w:rsidR="0070306E" w:rsidRPr="000B6D9D">
        <w:rPr>
          <w:rFonts w:cs="Tahoma"/>
          <w:szCs w:val="24"/>
        </w:rPr>
        <w:t xml:space="preserve">ante ese fondo </w:t>
      </w:r>
      <w:r w:rsidRPr="000B6D9D">
        <w:rPr>
          <w:rFonts w:cs="Tahoma"/>
          <w:szCs w:val="24"/>
        </w:rPr>
        <w:t xml:space="preserve">se realizó de conformidad con </w:t>
      </w:r>
      <w:r w:rsidR="0070306E" w:rsidRPr="000B6D9D">
        <w:rPr>
          <w:rFonts w:cs="Tahoma"/>
          <w:szCs w:val="24"/>
        </w:rPr>
        <w:t>las disposiciones legales</w:t>
      </w:r>
      <w:r w:rsidRPr="000B6D9D">
        <w:rPr>
          <w:rFonts w:cs="Tahoma"/>
          <w:szCs w:val="24"/>
        </w:rPr>
        <w:t>. En esa medida, se opuso a la prosperidad de las pretensiones e invocó como excepciones de mérito las que denominó: “</w:t>
      </w:r>
      <w:r w:rsidRPr="000B6D9D">
        <w:rPr>
          <w:rFonts w:cs="Tahoma"/>
          <w:i/>
          <w:szCs w:val="24"/>
        </w:rPr>
        <w:t>Validez de la afiliación al RAIS”; “Saneamiento de una presunta nulidad”; “</w:t>
      </w:r>
      <w:r w:rsidR="0070306E" w:rsidRPr="000B6D9D">
        <w:rPr>
          <w:rFonts w:cs="Tahoma"/>
          <w:i/>
          <w:szCs w:val="24"/>
        </w:rPr>
        <w:t>Solicitud de traslado de dineros de gastos de administración”; “</w:t>
      </w:r>
      <w:r w:rsidRPr="000B6D9D">
        <w:rPr>
          <w:rFonts w:cs="Tahoma"/>
          <w:i/>
          <w:szCs w:val="24"/>
        </w:rPr>
        <w:t xml:space="preserve">Prescripción”; “Imposibilidad jurídica para </w:t>
      </w:r>
      <w:r w:rsidRPr="000B6D9D">
        <w:rPr>
          <w:rFonts w:cs="Tahoma"/>
          <w:i/>
          <w:szCs w:val="24"/>
        </w:rPr>
        <w:lastRenderedPageBreak/>
        <w:t>reconocer y pagar derechos por fuera del ordenamiento legal”; “Buena fe” e “Imposibilidad de condena en costas”.</w:t>
      </w:r>
    </w:p>
    <w:p w14:paraId="468F82F5" w14:textId="77777777" w:rsidR="0064788E" w:rsidRPr="000B6D9D" w:rsidRDefault="0064788E" w:rsidP="000B6D9D">
      <w:pPr>
        <w:tabs>
          <w:tab w:val="left" w:pos="284"/>
        </w:tabs>
        <w:spacing w:line="276" w:lineRule="auto"/>
        <w:ind w:firstLine="284"/>
        <w:rPr>
          <w:rFonts w:cs="Tahoma"/>
          <w:b/>
          <w:bCs/>
          <w:szCs w:val="24"/>
        </w:rPr>
      </w:pPr>
      <w:r w:rsidRPr="000B6D9D">
        <w:rPr>
          <w:rFonts w:cs="Tahoma"/>
          <w:b/>
          <w:bCs/>
          <w:szCs w:val="24"/>
        </w:rPr>
        <w:tab/>
      </w:r>
    </w:p>
    <w:p w14:paraId="0A9FC3A7" w14:textId="299FA751" w:rsidR="0064788E" w:rsidRPr="000B6D9D" w:rsidRDefault="0064788E" w:rsidP="000B6D9D">
      <w:pPr>
        <w:tabs>
          <w:tab w:val="left" w:pos="284"/>
        </w:tabs>
        <w:spacing w:line="276" w:lineRule="auto"/>
        <w:ind w:firstLine="284"/>
        <w:rPr>
          <w:rFonts w:cs="Tahoma"/>
          <w:szCs w:val="24"/>
        </w:rPr>
      </w:pPr>
      <w:r w:rsidRPr="000B6D9D">
        <w:rPr>
          <w:rFonts w:cs="Tahoma"/>
          <w:b/>
          <w:bCs/>
          <w:szCs w:val="24"/>
        </w:rPr>
        <w:tab/>
      </w:r>
      <w:r w:rsidR="0073264E" w:rsidRPr="000B6D9D">
        <w:rPr>
          <w:rFonts w:cs="Tahoma"/>
          <w:b/>
          <w:bCs/>
          <w:szCs w:val="24"/>
        </w:rPr>
        <w:t>Colfondos</w:t>
      </w:r>
      <w:r w:rsidRPr="000B6D9D">
        <w:rPr>
          <w:rFonts w:cs="Tahoma"/>
          <w:b/>
          <w:bCs/>
          <w:szCs w:val="24"/>
        </w:rPr>
        <w:t xml:space="preserve"> S.A. </w:t>
      </w:r>
      <w:r w:rsidRPr="000B6D9D">
        <w:rPr>
          <w:rFonts w:cs="Tahoma"/>
          <w:bCs/>
          <w:szCs w:val="24"/>
        </w:rPr>
        <w:t>solicitó que se denegaran los pedidos del actor, refiriendo que su afiliación al fondo de pensiones obligatorias fue un acto jurídico válido, en la medida en que aquel suscribió la solicitud de manera libre, espontánea y sin presiones; no obstante, en el evento hipotético de que hubiera existido vicio en el consentimiento, la eventual nulidad se vio saneada por el paso del tiempo.</w:t>
      </w:r>
      <w:r w:rsidRPr="000B6D9D">
        <w:rPr>
          <w:rFonts w:cs="Tahoma"/>
          <w:szCs w:val="24"/>
        </w:rPr>
        <w:t xml:space="preserve">  </w:t>
      </w:r>
    </w:p>
    <w:p w14:paraId="2E219E8F" w14:textId="77777777" w:rsidR="0064788E" w:rsidRPr="000B6D9D" w:rsidRDefault="0064788E" w:rsidP="000B6D9D">
      <w:pPr>
        <w:tabs>
          <w:tab w:val="left" w:pos="284"/>
        </w:tabs>
        <w:spacing w:line="276" w:lineRule="auto"/>
        <w:ind w:firstLine="284"/>
        <w:rPr>
          <w:rFonts w:cs="Tahoma"/>
          <w:szCs w:val="24"/>
        </w:rPr>
      </w:pPr>
    </w:p>
    <w:p w14:paraId="5ACC92F6" w14:textId="6E435336" w:rsidR="0064788E" w:rsidRPr="000B6D9D" w:rsidRDefault="0064788E" w:rsidP="000B6D9D">
      <w:pPr>
        <w:tabs>
          <w:tab w:val="left" w:pos="284"/>
        </w:tabs>
        <w:spacing w:line="276" w:lineRule="auto"/>
        <w:ind w:firstLine="284"/>
        <w:rPr>
          <w:rFonts w:cs="Tahoma"/>
          <w:szCs w:val="24"/>
        </w:rPr>
      </w:pPr>
      <w:r w:rsidRPr="000B6D9D">
        <w:rPr>
          <w:rFonts w:cs="Tahoma"/>
          <w:szCs w:val="24"/>
        </w:rPr>
        <w:tab/>
        <w:t>En ese orden de ideas, invocó como excepciones perentorias las de “</w:t>
      </w:r>
      <w:r w:rsidRPr="000B6D9D">
        <w:rPr>
          <w:rFonts w:cs="Tahoma"/>
          <w:i/>
          <w:szCs w:val="24"/>
        </w:rPr>
        <w:t>Va</w:t>
      </w:r>
      <w:r w:rsidRPr="000B6D9D">
        <w:rPr>
          <w:rFonts w:cs="Tahoma"/>
          <w:i/>
          <w:iCs/>
          <w:szCs w:val="24"/>
        </w:rPr>
        <w:t xml:space="preserve">lidez y eficacia de la </w:t>
      </w:r>
      <w:r w:rsidR="0073264E" w:rsidRPr="000B6D9D">
        <w:rPr>
          <w:rFonts w:cs="Tahoma"/>
          <w:i/>
          <w:iCs/>
          <w:szCs w:val="24"/>
        </w:rPr>
        <w:t xml:space="preserve">afiliación al RAIS </w:t>
      </w:r>
      <w:r w:rsidRPr="000B6D9D">
        <w:rPr>
          <w:rFonts w:cs="Tahoma"/>
          <w:i/>
          <w:iCs/>
          <w:szCs w:val="24"/>
        </w:rPr>
        <w:t>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w:t>
      </w:r>
      <w:r w:rsidR="0073264E" w:rsidRPr="000B6D9D">
        <w:rPr>
          <w:rFonts w:cs="Tahoma"/>
          <w:i/>
          <w:iCs/>
          <w:szCs w:val="24"/>
        </w:rPr>
        <w:t>e</w:t>
      </w:r>
      <w:r w:rsidRPr="000B6D9D">
        <w:rPr>
          <w:rFonts w:cs="Tahoma"/>
          <w:i/>
          <w:iCs/>
          <w:szCs w:val="24"/>
        </w:rPr>
        <w:t>visional cuando se declara la nulidad o ineficacia de la afiliación al RAIS”; “Prescripción” y “Buena Fe”.</w:t>
      </w:r>
    </w:p>
    <w:p w14:paraId="46B07881" w14:textId="77777777" w:rsidR="005D2E1F" w:rsidRPr="000B6D9D" w:rsidRDefault="005D2E1F" w:rsidP="000B6D9D">
      <w:pPr>
        <w:spacing w:line="276" w:lineRule="auto"/>
        <w:rPr>
          <w:rFonts w:cs="Tahoma"/>
          <w:szCs w:val="24"/>
        </w:rPr>
      </w:pPr>
    </w:p>
    <w:p w14:paraId="1CB84808" w14:textId="77777777" w:rsidR="0064788E" w:rsidRPr="000B6D9D" w:rsidRDefault="0064788E" w:rsidP="000B6D9D">
      <w:pPr>
        <w:pStyle w:val="Prrafodelista"/>
        <w:numPr>
          <w:ilvl w:val="0"/>
          <w:numId w:val="12"/>
        </w:numPr>
        <w:spacing w:line="276" w:lineRule="auto"/>
        <w:jc w:val="center"/>
        <w:rPr>
          <w:rFonts w:cs="Tahoma"/>
          <w:b/>
          <w:bCs/>
          <w:szCs w:val="24"/>
        </w:rPr>
      </w:pPr>
      <w:r w:rsidRPr="000B6D9D">
        <w:rPr>
          <w:rFonts w:cs="Tahoma"/>
          <w:b/>
          <w:bCs/>
          <w:szCs w:val="24"/>
        </w:rPr>
        <w:t>Sentencia de primera instancia</w:t>
      </w:r>
    </w:p>
    <w:p w14:paraId="64B02861" w14:textId="77777777" w:rsidR="0064788E" w:rsidRPr="000B6D9D" w:rsidRDefault="0064788E" w:rsidP="000B6D9D">
      <w:pPr>
        <w:spacing w:line="276" w:lineRule="auto"/>
        <w:rPr>
          <w:rFonts w:cs="Tahoma"/>
          <w:szCs w:val="24"/>
        </w:rPr>
      </w:pPr>
    </w:p>
    <w:p w14:paraId="600CA2AE" w14:textId="0A7B79E7" w:rsidR="0073264E" w:rsidRPr="000B6D9D" w:rsidRDefault="0064788E" w:rsidP="000B6D9D">
      <w:pPr>
        <w:tabs>
          <w:tab w:val="left" w:pos="284"/>
        </w:tabs>
        <w:spacing w:line="276" w:lineRule="auto"/>
        <w:rPr>
          <w:rFonts w:cs="Tahoma"/>
          <w:szCs w:val="24"/>
          <w:lang w:val="es-ES"/>
        </w:rPr>
      </w:pPr>
      <w:r w:rsidRPr="000B6D9D">
        <w:rPr>
          <w:rFonts w:cs="Tahoma"/>
          <w:szCs w:val="24"/>
        </w:rPr>
        <w:tab/>
      </w:r>
      <w:r w:rsidRPr="000B6D9D">
        <w:rPr>
          <w:rFonts w:cs="Tahoma"/>
          <w:szCs w:val="24"/>
        </w:rPr>
        <w:tab/>
      </w:r>
      <w:bookmarkStart w:id="5" w:name="_Hlk52885298"/>
      <w:r w:rsidR="0073264E" w:rsidRPr="000B6D9D">
        <w:rPr>
          <w:rFonts w:cs="Tahoma"/>
          <w:szCs w:val="24"/>
          <w:lang w:val="es-ES"/>
        </w:rPr>
        <w:t xml:space="preserve">La Jueza de primera instancia decretó no probados los medios exceptivos propuestos por las codemandadas y declaró la ineficacia del traslado de régimen que </w:t>
      </w:r>
      <w:r w:rsidR="0073264E" w:rsidRPr="000B6D9D">
        <w:rPr>
          <w:rFonts w:cs="Tahoma"/>
          <w:szCs w:val="24"/>
        </w:rPr>
        <w:t xml:space="preserve">Carlos Alberto Santiz Castilla </w:t>
      </w:r>
      <w:r w:rsidR="0073264E" w:rsidRPr="000B6D9D">
        <w:rPr>
          <w:rFonts w:cs="Tahoma"/>
          <w:szCs w:val="24"/>
          <w:lang w:val="es-ES"/>
        </w:rPr>
        <w:t xml:space="preserve">efectuó al régimen de ahorro individual con solidaridad, el 30 de junio de 1995, a través de Colfondos S.A. </w:t>
      </w:r>
    </w:p>
    <w:p w14:paraId="5FC9DC54" w14:textId="77777777" w:rsidR="0073264E" w:rsidRPr="000B6D9D" w:rsidRDefault="0073264E" w:rsidP="000B6D9D">
      <w:pPr>
        <w:tabs>
          <w:tab w:val="left" w:pos="284"/>
        </w:tabs>
        <w:spacing w:line="276" w:lineRule="auto"/>
        <w:rPr>
          <w:rFonts w:cs="Tahoma"/>
          <w:szCs w:val="24"/>
          <w:lang w:val="es-ES"/>
        </w:rPr>
      </w:pPr>
    </w:p>
    <w:p w14:paraId="5E166AAA" w14:textId="339964AA" w:rsidR="0073264E" w:rsidRPr="000B6D9D" w:rsidRDefault="0073264E" w:rsidP="000B6D9D">
      <w:pPr>
        <w:tabs>
          <w:tab w:val="left" w:pos="284"/>
        </w:tabs>
        <w:spacing w:line="276" w:lineRule="auto"/>
        <w:rPr>
          <w:rFonts w:cs="Tahoma"/>
          <w:szCs w:val="24"/>
          <w:lang w:val="es-ES"/>
        </w:rPr>
      </w:pPr>
      <w:r w:rsidRPr="000B6D9D">
        <w:rPr>
          <w:rFonts w:cs="Tahoma"/>
          <w:szCs w:val="24"/>
          <w:lang w:val="es-ES"/>
        </w:rPr>
        <w:tab/>
      </w:r>
      <w:r w:rsidRPr="000B6D9D">
        <w:rPr>
          <w:rFonts w:cs="Tahoma"/>
          <w:szCs w:val="24"/>
          <w:lang w:val="es-ES"/>
        </w:rPr>
        <w:tab/>
        <w:t>En consecuencia, ordenó a Colfondos S.A. que proceda a devolver a Colpensiones la totalidad de las sumas recibidas por concepto de cotizaciones, incluyendo sumas adicionales junto con sus respectivos rendimientos, frutos e intereses; igualmente, y con cargo a sus propios recursos, el valor de las comisiones y cuotas de administración, así como las cuotas de garantía de pensión mínima y seguros provisionales, debidamente indexados. En ese sentido, ordenó a Colpensiones que acepte el retorno de</w:t>
      </w:r>
      <w:r w:rsidRPr="000B6D9D">
        <w:rPr>
          <w:rFonts w:cs="Tahoma"/>
          <w:szCs w:val="24"/>
        </w:rPr>
        <w:t xml:space="preserve"> Carlos Alberto Santiz Castilla sin solución de continuidad.</w:t>
      </w:r>
    </w:p>
    <w:p w14:paraId="1D06E808" w14:textId="77777777" w:rsidR="0073264E" w:rsidRPr="000B6D9D" w:rsidRDefault="0073264E" w:rsidP="000B6D9D">
      <w:pPr>
        <w:tabs>
          <w:tab w:val="left" w:pos="284"/>
        </w:tabs>
        <w:spacing w:line="276" w:lineRule="auto"/>
        <w:rPr>
          <w:rFonts w:cs="Tahoma"/>
          <w:szCs w:val="24"/>
          <w:lang w:val="es-ES"/>
        </w:rPr>
      </w:pPr>
    </w:p>
    <w:p w14:paraId="2D004071" w14:textId="132829ED" w:rsidR="0073264E" w:rsidRPr="000B6D9D" w:rsidRDefault="0073264E" w:rsidP="000B6D9D">
      <w:pPr>
        <w:tabs>
          <w:tab w:val="left" w:pos="284"/>
        </w:tabs>
        <w:spacing w:line="276" w:lineRule="auto"/>
        <w:rPr>
          <w:rFonts w:cs="Tahoma"/>
          <w:szCs w:val="24"/>
          <w:lang w:val="es-ES"/>
        </w:rPr>
      </w:pPr>
      <w:r w:rsidRPr="000B6D9D">
        <w:rPr>
          <w:rFonts w:cs="Tahoma"/>
          <w:szCs w:val="24"/>
          <w:lang w:val="es-ES"/>
        </w:rPr>
        <w:tab/>
      </w:r>
      <w:r w:rsidRPr="000B6D9D">
        <w:rPr>
          <w:rFonts w:cs="Tahoma"/>
          <w:szCs w:val="24"/>
          <w:lang w:val="es-ES"/>
        </w:rPr>
        <w:tab/>
        <w:t xml:space="preserve"> Igualmente, ordenó comunicar a la OBP del Ministerio de Hacienda y Crédito Público la decisión, con el fin de que,  en un trámite interno y a través de canales institucionales, ejecute todas las acciones a que haya lugar para dejar las cosas en el estado en el que se encontraban para el 30 de junio de 1995,  procediendo, entre otras cosas, y de ser el caso, a  anular o dejar sin vigencia, el bono pensional que haya generado a favor de </w:t>
      </w:r>
      <w:r w:rsidRPr="000B6D9D">
        <w:rPr>
          <w:rFonts w:cs="Tahoma"/>
          <w:szCs w:val="24"/>
        </w:rPr>
        <w:t>Carlos Alberto Santiz Castilla.</w:t>
      </w:r>
    </w:p>
    <w:p w14:paraId="49083488" w14:textId="77777777" w:rsidR="0073264E" w:rsidRPr="000B6D9D" w:rsidRDefault="0073264E" w:rsidP="000B6D9D">
      <w:pPr>
        <w:tabs>
          <w:tab w:val="left" w:pos="284"/>
        </w:tabs>
        <w:spacing w:line="276" w:lineRule="auto"/>
        <w:rPr>
          <w:rFonts w:cs="Tahoma"/>
          <w:szCs w:val="24"/>
          <w:lang w:val="es-ES"/>
        </w:rPr>
      </w:pPr>
    </w:p>
    <w:p w14:paraId="5AD41A60" w14:textId="1D8881A7" w:rsidR="0073264E" w:rsidRPr="000B6D9D" w:rsidRDefault="0073264E" w:rsidP="000B6D9D">
      <w:pPr>
        <w:tabs>
          <w:tab w:val="left" w:pos="284"/>
        </w:tabs>
        <w:spacing w:line="276" w:lineRule="auto"/>
        <w:rPr>
          <w:rFonts w:cs="Tahoma"/>
          <w:szCs w:val="24"/>
          <w:lang w:val="es-ES"/>
        </w:rPr>
      </w:pPr>
      <w:r w:rsidRPr="000B6D9D">
        <w:rPr>
          <w:rFonts w:cs="Tahoma"/>
          <w:szCs w:val="24"/>
          <w:lang w:val="es-ES"/>
        </w:rPr>
        <w:tab/>
      </w:r>
      <w:r w:rsidRPr="000B6D9D">
        <w:rPr>
          <w:rFonts w:cs="Tahoma"/>
          <w:szCs w:val="24"/>
          <w:lang w:val="es-ES"/>
        </w:rPr>
        <w:tab/>
        <w:t>Por último, condenó en costas a Colfondos S.A. a favor de la demandante en un 100%.</w:t>
      </w:r>
    </w:p>
    <w:p w14:paraId="7C48DCD9" w14:textId="1604ADF8" w:rsidR="00DE1BCB" w:rsidRPr="000B6D9D" w:rsidRDefault="00DE1BCB" w:rsidP="000B6D9D">
      <w:pPr>
        <w:tabs>
          <w:tab w:val="left" w:pos="284"/>
        </w:tabs>
        <w:spacing w:line="276" w:lineRule="auto"/>
        <w:rPr>
          <w:rFonts w:cs="Tahoma"/>
          <w:szCs w:val="24"/>
        </w:rPr>
      </w:pPr>
    </w:p>
    <w:bookmarkEnd w:id="5"/>
    <w:p w14:paraId="34484457" w14:textId="77777777" w:rsidR="0064788E" w:rsidRPr="000B6D9D" w:rsidRDefault="0064788E" w:rsidP="000B6D9D">
      <w:pPr>
        <w:pStyle w:val="Prrafodelista"/>
        <w:numPr>
          <w:ilvl w:val="0"/>
          <w:numId w:val="12"/>
        </w:numPr>
        <w:spacing w:line="276" w:lineRule="auto"/>
        <w:jc w:val="center"/>
        <w:rPr>
          <w:rFonts w:cs="Tahoma"/>
          <w:szCs w:val="24"/>
        </w:rPr>
      </w:pPr>
      <w:r w:rsidRPr="000B6D9D">
        <w:rPr>
          <w:rFonts w:cs="Tahoma"/>
          <w:b/>
          <w:bCs/>
          <w:szCs w:val="24"/>
        </w:rPr>
        <w:t>Recurso de apelación y procedencia de la consulta</w:t>
      </w:r>
    </w:p>
    <w:p w14:paraId="5372816A" w14:textId="77777777" w:rsidR="0064788E" w:rsidRPr="000B6D9D" w:rsidRDefault="0064788E" w:rsidP="000B6D9D">
      <w:pPr>
        <w:spacing w:line="276" w:lineRule="auto"/>
        <w:rPr>
          <w:rFonts w:eastAsia="Calibri" w:cs="Tahoma"/>
          <w:szCs w:val="24"/>
          <w:lang w:bidi="en-US"/>
        </w:rPr>
      </w:pPr>
    </w:p>
    <w:p w14:paraId="06DCEF74" w14:textId="2305F74E" w:rsidR="0073264E" w:rsidRPr="000B6D9D" w:rsidRDefault="005113A9" w:rsidP="000B6D9D">
      <w:pPr>
        <w:spacing w:line="276" w:lineRule="auto"/>
        <w:ind w:firstLine="708"/>
        <w:rPr>
          <w:rFonts w:cs="Tahoma"/>
          <w:szCs w:val="24"/>
        </w:rPr>
      </w:pPr>
      <w:r w:rsidRPr="000B6D9D">
        <w:rPr>
          <w:rFonts w:cs="Tahoma"/>
          <w:b/>
          <w:bCs/>
          <w:szCs w:val="24"/>
        </w:rPr>
        <w:t xml:space="preserve">Colfondos </w:t>
      </w:r>
      <w:r w:rsidR="0073264E" w:rsidRPr="000B6D9D">
        <w:rPr>
          <w:rFonts w:cs="Tahoma"/>
          <w:b/>
          <w:bCs/>
          <w:szCs w:val="24"/>
        </w:rPr>
        <w:t xml:space="preserve">S.A, </w:t>
      </w:r>
      <w:r w:rsidR="0073264E" w:rsidRPr="000B6D9D">
        <w:rPr>
          <w:rFonts w:cs="Tahoma"/>
          <w:szCs w:val="24"/>
        </w:rPr>
        <w:t xml:space="preserve">en su alzada atacó la decisión arguyendo que brindó a la demandante la información exigida para la fecha de su traslado, en la cual sólo se exigía </w:t>
      </w:r>
      <w:r w:rsidR="0073264E" w:rsidRPr="000B6D9D">
        <w:rPr>
          <w:rFonts w:cs="Tahoma"/>
          <w:szCs w:val="24"/>
        </w:rPr>
        <w:lastRenderedPageBreak/>
        <w:t>como soporte la suscripción del formulario de afiliación</w:t>
      </w:r>
      <w:r w:rsidRPr="000B6D9D">
        <w:rPr>
          <w:rFonts w:cs="Tahoma"/>
          <w:szCs w:val="24"/>
        </w:rPr>
        <w:t>, sin que sea procedente aplicar retroactivamente la jurisprudencia de la Corte Suprema de Justicia</w:t>
      </w:r>
      <w:r w:rsidR="0073264E" w:rsidRPr="000B6D9D">
        <w:rPr>
          <w:rFonts w:cs="Tahoma"/>
          <w:szCs w:val="24"/>
        </w:rPr>
        <w:t xml:space="preserve">. </w:t>
      </w:r>
    </w:p>
    <w:p w14:paraId="2EE2D96A" w14:textId="77777777" w:rsidR="005113A9" w:rsidRPr="000B6D9D" w:rsidRDefault="005113A9" w:rsidP="000B6D9D">
      <w:pPr>
        <w:spacing w:line="276" w:lineRule="auto"/>
        <w:ind w:firstLine="708"/>
        <w:rPr>
          <w:rFonts w:cs="Tahoma"/>
          <w:szCs w:val="24"/>
        </w:rPr>
      </w:pPr>
    </w:p>
    <w:p w14:paraId="64DAEE02" w14:textId="77777777" w:rsidR="0073264E" w:rsidRPr="000B6D9D" w:rsidRDefault="0073264E" w:rsidP="000B6D9D">
      <w:pPr>
        <w:spacing w:line="276" w:lineRule="auto"/>
        <w:ind w:firstLine="708"/>
        <w:rPr>
          <w:rFonts w:eastAsia="Calibri" w:cs="Tahoma"/>
          <w:szCs w:val="24"/>
          <w:lang w:val="es-ES"/>
        </w:rPr>
      </w:pPr>
      <w:r w:rsidRPr="000B6D9D">
        <w:rPr>
          <w:rFonts w:eastAsia="Calibri" w:cs="Tahoma"/>
          <w:szCs w:val="24"/>
          <w:lang w:val="es-ES"/>
        </w:rPr>
        <w:t>Agregó que en el interrogatorio de parte, la actora manifestó que conocía los garantías ofrecidas en el RAIS, además, al ser su interés para retornar al régimen de prima media netamente económico, no había lugar a declarar la nulidad pretendida.</w:t>
      </w:r>
    </w:p>
    <w:p w14:paraId="3DE9BDC2" w14:textId="77777777" w:rsidR="0073264E" w:rsidRPr="000B6D9D" w:rsidRDefault="0073264E" w:rsidP="000B6D9D">
      <w:pPr>
        <w:spacing w:line="276" w:lineRule="auto"/>
        <w:ind w:firstLine="708"/>
        <w:rPr>
          <w:rFonts w:eastAsia="Calibri" w:cs="Tahoma"/>
          <w:szCs w:val="24"/>
          <w:lang w:val="es-ES"/>
        </w:rPr>
      </w:pPr>
    </w:p>
    <w:p w14:paraId="4B219F0E" w14:textId="05E3A96D" w:rsidR="0073264E" w:rsidRPr="000B6D9D" w:rsidRDefault="0073264E" w:rsidP="000B6D9D">
      <w:pPr>
        <w:spacing w:line="276" w:lineRule="auto"/>
        <w:rPr>
          <w:rFonts w:eastAsia="Calibri" w:cs="Tahoma"/>
          <w:szCs w:val="24"/>
          <w:lang w:val="es-ES"/>
        </w:rPr>
      </w:pPr>
      <w:r w:rsidRPr="000B6D9D">
        <w:rPr>
          <w:rFonts w:eastAsia="Calibri" w:cs="Tahoma"/>
          <w:szCs w:val="24"/>
          <w:lang w:val="es-ES"/>
        </w:rPr>
        <w:tab/>
        <w:t xml:space="preserve">Señala </w:t>
      </w:r>
      <w:r w:rsidR="008015D1" w:rsidRPr="000B6D9D">
        <w:rPr>
          <w:rFonts w:eastAsia="Calibri" w:cs="Tahoma"/>
          <w:szCs w:val="24"/>
          <w:lang w:val="es-ES"/>
        </w:rPr>
        <w:t>que el</w:t>
      </w:r>
      <w:r w:rsidR="005113A9" w:rsidRPr="000B6D9D">
        <w:rPr>
          <w:rFonts w:eastAsia="Calibri" w:cs="Tahoma"/>
          <w:szCs w:val="24"/>
          <w:lang w:val="es-ES"/>
        </w:rPr>
        <w:t xml:space="preserve"> actor desplegó diversos actos de relacionamiento de los que se extrae su deseo de permanecer en el RAIS, además, </w:t>
      </w:r>
      <w:r w:rsidRPr="000B6D9D">
        <w:rPr>
          <w:rFonts w:eastAsia="Calibri" w:cs="Tahoma"/>
          <w:szCs w:val="24"/>
          <w:lang w:val="es-ES"/>
        </w:rPr>
        <w:t>faltó a sus deberes como consumidor financier</w:t>
      </w:r>
      <w:r w:rsidR="005113A9" w:rsidRPr="000B6D9D">
        <w:rPr>
          <w:rFonts w:eastAsia="Calibri" w:cs="Tahoma"/>
          <w:szCs w:val="24"/>
          <w:lang w:val="es-ES"/>
        </w:rPr>
        <w:t>o</w:t>
      </w:r>
      <w:r w:rsidRPr="000B6D9D">
        <w:rPr>
          <w:rFonts w:eastAsia="Calibri" w:cs="Tahoma"/>
          <w:szCs w:val="24"/>
          <w:lang w:val="es-ES"/>
        </w:rPr>
        <w:t xml:space="preserve"> al no ilustrarse sobre los pormenores del régimen al que estaba sometida e indica que no hay lugar a la condena en costas procesales por cuanto dicha entidad ha obrado conforme a derecho.</w:t>
      </w:r>
    </w:p>
    <w:p w14:paraId="63DFC549" w14:textId="77777777" w:rsidR="0073264E" w:rsidRPr="000B6D9D" w:rsidRDefault="0073264E" w:rsidP="000B6D9D">
      <w:pPr>
        <w:spacing w:line="276" w:lineRule="auto"/>
        <w:ind w:firstLine="708"/>
        <w:rPr>
          <w:rFonts w:cs="Tahoma"/>
          <w:szCs w:val="24"/>
        </w:rPr>
      </w:pPr>
    </w:p>
    <w:p w14:paraId="1AA05C43" w14:textId="77777777" w:rsidR="0073264E" w:rsidRPr="000B6D9D" w:rsidRDefault="0073264E" w:rsidP="000B6D9D">
      <w:pPr>
        <w:spacing w:line="276" w:lineRule="auto"/>
        <w:ind w:firstLine="708"/>
        <w:rPr>
          <w:rFonts w:cs="Tahoma"/>
          <w:szCs w:val="24"/>
        </w:rPr>
      </w:pPr>
      <w:r w:rsidRPr="000B6D9D">
        <w:rPr>
          <w:rFonts w:cs="Tahoma"/>
          <w:szCs w:val="24"/>
        </w:rPr>
        <w:t xml:space="preserve">En síntesis, recalcó su desacuerdo con (a) </w:t>
      </w:r>
      <w:r w:rsidRPr="000B6D9D">
        <w:rPr>
          <w:rFonts w:cs="Tahoma"/>
          <w:szCs w:val="24"/>
          <w:lang w:val="es-419"/>
        </w:rPr>
        <w:t xml:space="preserve">la devolución de los </w:t>
      </w:r>
      <w:r w:rsidRPr="000B6D9D">
        <w:rPr>
          <w:rFonts w:cs="Tahoma"/>
          <w:b/>
          <w:bCs/>
          <w:szCs w:val="24"/>
          <w:lang w:val="es-419"/>
        </w:rPr>
        <w:t>gastos de administración</w:t>
      </w:r>
      <w:r w:rsidRPr="000B6D9D">
        <w:rPr>
          <w:rFonts w:cs="Tahoma"/>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w:t>
      </w:r>
      <w:r w:rsidRPr="000B6D9D">
        <w:rPr>
          <w:rFonts w:cs="Tahoma"/>
          <w:b/>
          <w:bCs/>
          <w:szCs w:val="24"/>
          <w:lang w:val="es-419"/>
        </w:rPr>
        <w:t>prima de seguro previsional</w:t>
      </w:r>
      <w:r w:rsidRPr="000B6D9D">
        <w:rPr>
          <w:rFonts w:cs="Tahoma"/>
          <w:szCs w:val="24"/>
          <w:lang w:val="es-419"/>
        </w:rPr>
        <w:t xml:space="preserve"> que eran primas encaminadas a proteger la suerte del demandante y (c) la condena por costas procesales</w:t>
      </w:r>
    </w:p>
    <w:p w14:paraId="1500288B" w14:textId="77777777" w:rsidR="0073264E" w:rsidRPr="000B6D9D" w:rsidRDefault="0073264E" w:rsidP="000B6D9D">
      <w:pPr>
        <w:spacing w:line="276" w:lineRule="auto"/>
        <w:ind w:firstLine="357"/>
        <w:rPr>
          <w:rFonts w:eastAsia="Calibri" w:cs="Tahoma"/>
          <w:szCs w:val="24"/>
          <w:lang w:val="es-ES"/>
        </w:rPr>
      </w:pPr>
    </w:p>
    <w:p w14:paraId="42202ACC" w14:textId="0B254E84" w:rsidR="0073264E" w:rsidRPr="000B6D9D" w:rsidRDefault="0073264E" w:rsidP="000B6D9D">
      <w:pPr>
        <w:spacing w:line="276" w:lineRule="auto"/>
        <w:ind w:firstLine="708"/>
        <w:rPr>
          <w:rFonts w:eastAsia="Calibri" w:cs="Tahoma"/>
          <w:szCs w:val="24"/>
        </w:rPr>
      </w:pPr>
      <w:r w:rsidRPr="000B6D9D">
        <w:rPr>
          <w:rFonts w:eastAsia="Calibri" w:cs="Tahoma"/>
          <w:szCs w:val="24"/>
          <w:lang w:val="es-ES"/>
        </w:rPr>
        <w:t xml:space="preserve">Por su parte, </w:t>
      </w:r>
      <w:r w:rsidRPr="000B6D9D">
        <w:rPr>
          <w:rFonts w:eastAsia="Calibri" w:cs="Tahoma"/>
          <w:b/>
          <w:bCs/>
          <w:szCs w:val="24"/>
          <w:lang w:val="es-ES"/>
        </w:rPr>
        <w:t>Colpensiones</w:t>
      </w:r>
      <w:r w:rsidRPr="000B6D9D">
        <w:rPr>
          <w:rFonts w:eastAsia="Calibri" w:cs="Tahoma"/>
          <w:szCs w:val="24"/>
          <w:lang w:val="es-ES"/>
        </w:rPr>
        <w:t xml:space="preserve"> </w:t>
      </w:r>
      <w:r w:rsidRPr="000B6D9D">
        <w:rPr>
          <w:rFonts w:eastAsia="Calibri" w:cs="Tahoma"/>
          <w:szCs w:val="24"/>
        </w:rPr>
        <w:t xml:space="preserve">en su alzada, atacó la decisión cimentando su inconformidad en que se cumplió con la totalidad de los requisitos normativos en el trámite de afiliación ante la AFP </w:t>
      </w:r>
      <w:r w:rsidR="005113A9" w:rsidRPr="000B6D9D">
        <w:rPr>
          <w:rFonts w:eastAsia="Calibri" w:cs="Tahoma"/>
          <w:szCs w:val="24"/>
        </w:rPr>
        <w:t xml:space="preserve">Colfondos </w:t>
      </w:r>
      <w:r w:rsidRPr="000B6D9D">
        <w:rPr>
          <w:rFonts w:eastAsia="Calibri" w:cs="Tahoma"/>
          <w:szCs w:val="24"/>
        </w:rPr>
        <w:t>S.A</w:t>
      </w:r>
      <w:r w:rsidR="005113A9" w:rsidRPr="000B6D9D">
        <w:rPr>
          <w:rFonts w:eastAsia="Calibri" w:cs="Tahoma"/>
          <w:szCs w:val="24"/>
        </w:rPr>
        <w:t xml:space="preserve">. </w:t>
      </w:r>
      <w:r w:rsidRPr="000B6D9D">
        <w:rPr>
          <w:rFonts w:eastAsia="Calibri" w:cs="Tahoma"/>
          <w:szCs w:val="24"/>
        </w:rPr>
        <w:t>Asimismo, señaló que la declaratoria de ineficacia del traslado causaría eventualmente un detrimento patrimonial para Colpensiones</w:t>
      </w:r>
      <w:r w:rsidR="00106921" w:rsidRPr="000B6D9D">
        <w:rPr>
          <w:rFonts w:eastAsia="Calibri" w:cs="Tahoma"/>
          <w:szCs w:val="24"/>
        </w:rPr>
        <w:t xml:space="preserve">, quien negó el traslado del actor por faltarle menos de 10 años para acceder a la </w:t>
      </w:r>
      <w:r w:rsidR="00E44FBB" w:rsidRPr="000B6D9D">
        <w:rPr>
          <w:rFonts w:eastAsia="Calibri" w:cs="Tahoma"/>
          <w:szCs w:val="24"/>
        </w:rPr>
        <w:t>pensión</w:t>
      </w:r>
      <w:r w:rsidR="00106921" w:rsidRPr="000B6D9D">
        <w:rPr>
          <w:rFonts w:eastAsia="Calibri" w:cs="Tahoma"/>
          <w:szCs w:val="24"/>
        </w:rPr>
        <w:t>.</w:t>
      </w:r>
    </w:p>
    <w:p w14:paraId="6716A6D4" w14:textId="77777777" w:rsidR="0073264E" w:rsidRPr="000B6D9D" w:rsidRDefault="0073264E" w:rsidP="000B6D9D">
      <w:pPr>
        <w:spacing w:line="276" w:lineRule="auto"/>
        <w:ind w:firstLine="708"/>
        <w:rPr>
          <w:rFonts w:eastAsia="Calibri" w:cs="Tahoma"/>
          <w:szCs w:val="24"/>
        </w:rPr>
      </w:pPr>
    </w:p>
    <w:p w14:paraId="6B0B013C" w14:textId="06DDE0AD" w:rsidR="0073264E" w:rsidRPr="000B6D9D" w:rsidRDefault="0073264E" w:rsidP="000B6D9D">
      <w:pPr>
        <w:spacing w:line="276" w:lineRule="auto"/>
        <w:ind w:firstLine="708"/>
        <w:rPr>
          <w:rFonts w:cs="Tahoma"/>
          <w:bCs/>
          <w:szCs w:val="24"/>
        </w:rPr>
      </w:pPr>
      <w:r w:rsidRPr="000B6D9D">
        <w:rPr>
          <w:rFonts w:cs="Tahoma"/>
          <w:bCs/>
          <w:szCs w:val="24"/>
        </w:rPr>
        <w:t>De otro lado, considera que el interés actual del actor es netamente económico por considerar que en el fondo público obtendrá una mesada pensional mayor a la que le ofrece el fondo privado, por lo que, de conformidad con el artículo 10° del Decreto 720 de 1994, debió haberse impetrado una acción de resarcimiento del eventual daño o perjuicio.</w:t>
      </w:r>
    </w:p>
    <w:p w14:paraId="203B3C0E" w14:textId="77777777" w:rsidR="0073264E" w:rsidRPr="000B6D9D" w:rsidRDefault="0073264E" w:rsidP="000B6D9D">
      <w:pPr>
        <w:spacing w:line="276" w:lineRule="auto"/>
        <w:ind w:firstLine="360"/>
        <w:rPr>
          <w:rFonts w:eastAsia="Calibri" w:cs="Tahoma"/>
          <w:szCs w:val="24"/>
        </w:rPr>
      </w:pPr>
    </w:p>
    <w:p w14:paraId="1B7BB63C" w14:textId="4160BE0A" w:rsidR="0073264E" w:rsidRPr="000B6D9D" w:rsidRDefault="0073264E" w:rsidP="000B6D9D">
      <w:pPr>
        <w:spacing w:line="276" w:lineRule="auto"/>
        <w:ind w:firstLine="708"/>
        <w:rPr>
          <w:rFonts w:eastAsia="Calibri" w:cs="Tahoma"/>
          <w:szCs w:val="24"/>
          <w:lang w:val="es-ES"/>
        </w:rPr>
      </w:pPr>
      <w:r w:rsidRPr="000B6D9D">
        <w:rPr>
          <w:rFonts w:eastAsia="Calibri" w:cs="Tahoma"/>
          <w:szCs w:val="24"/>
          <w:lang w:val="es-ES"/>
        </w:rPr>
        <w:t xml:space="preserve">Finalmente, como quiera que la decisión de primer grado fue desfavorable a los intereses de Colpensiones, en esta instancia se admitió el grado jurisdiccional de consulta a favor de dicha entidad. </w:t>
      </w:r>
    </w:p>
    <w:p w14:paraId="37676312" w14:textId="77777777" w:rsidR="005113A9" w:rsidRPr="000B6D9D" w:rsidRDefault="005113A9" w:rsidP="000B6D9D">
      <w:pPr>
        <w:spacing w:line="276" w:lineRule="auto"/>
        <w:ind w:firstLine="708"/>
        <w:rPr>
          <w:rFonts w:eastAsia="Calibri" w:cs="Tahoma"/>
          <w:szCs w:val="24"/>
          <w:lang w:val="es-ES"/>
        </w:rPr>
      </w:pPr>
    </w:p>
    <w:p w14:paraId="3D0BE3B9" w14:textId="77777777" w:rsidR="0064788E" w:rsidRPr="000B6D9D" w:rsidRDefault="0064788E" w:rsidP="000B6D9D">
      <w:pPr>
        <w:pStyle w:val="Prrafodelista"/>
        <w:numPr>
          <w:ilvl w:val="0"/>
          <w:numId w:val="12"/>
        </w:numPr>
        <w:spacing w:line="276" w:lineRule="auto"/>
        <w:jc w:val="center"/>
        <w:rPr>
          <w:rFonts w:cs="Tahoma"/>
          <w:b/>
          <w:bCs/>
          <w:szCs w:val="24"/>
        </w:rPr>
      </w:pPr>
      <w:r w:rsidRPr="000B6D9D">
        <w:rPr>
          <w:rFonts w:cs="Tahoma"/>
          <w:b/>
          <w:bCs/>
          <w:szCs w:val="24"/>
        </w:rPr>
        <w:t>Alegatos de conclusión</w:t>
      </w:r>
    </w:p>
    <w:p w14:paraId="0C2C13B7" w14:textId="77777777" w:rsidR="0064788E" w:rsidRPr="000B6D9D" w:rsidRDefault="0064788E" w:rsidP="000B6D9D">
      <w:pPr>
        <w:widowControl w:val="0"/>
        <w:shd w:val="clear" w:color="auto" w:fill="FFFFFF" w:themeFill="background1"/>
        <w:autoSpaceDE w:val="0"/>
        <w:autoSpaceDN w:val="0"/>
        <w:adjustRightInd w:val="0"/>
        <w:spacing w:line="276" w:lineRule="auto"/>
        <w:rPr>
          <w:rFonts w:cs="Tahoma"/>
          <w:szCs w:val="24"/>
        </w:rPr>
      </w:pPr>
    </w:p>
    <w:p w14:paraId="11FD0F5A" w14:textId="7E814C80" w:rsidR="0064788E" w:rsidRPr="000B6D9D" w:rsidRDefault="005113A9" w:rsidP="000B6D9D">
      <w:pPr>
        <w:tabs>
          <w:tab w:val="left" w:pos="284"/>
        </w:tabs>
        <w:spacing w:line="276" w:lineRule="auto"/>
        <w:ind w:firstLine="284"/>
        <w:rPr>
          <w:rFonts w:cs="Tahoma"/>
          <w:szCs w:val="24"/>
        </w:rPr>
      </w:pPr>
      <w:r w:rsidRPr="000B6D9D">
        <w:rPr>
          <w:rFonts w:cs="Tahoma"/>
          <w:szCs w:val="24"/>
        </w:rPr>
        <w:tab/>
      </w:r>
      <w:r w:rsidR="0064788E" w:rsidRPr="000B6D9D">
        <w:rPr>
          <w:rFonts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7C3B37FD" w14:textId="77777777" w:rsidR="0064788E" w:rsidRPr="000B6D9D" w:rsidRDefault="0064788E" w:rsidP="000B6D9D">
      <w:pPr>
        <w:spacing w:line="276" w:lineRule="auto"/>
        <w:rPr>
          <w:rFonts w:cs="Tahoma"/>
          <w:szCs w:val="24"/>
        </w:rPr>
      </w:pPr>
    </w:p>
    <w:p w14:paraId="06DFDD19" w14:textId="77777777" w:rsidR="0064788E" w:rsidRPr="000B6D9D" w:rsidRDefault="0064788E" w:rsidP="000B6D9D">
      <w:pPr>
        <w:pStyle w:val="Prrafodelista"/>
        <w:numPr>
          <w:ilvl w:val="0"/>
          <w:numId w:val="12"/>
        </w:numPr>
        <w:spacing w:line="276" w:lineRule="auto"/>
        <w:jc w:val="center"/>
        <w:rPr>
          <w:rFonts w:cs="Tahoma"/>
          <w:b/>
          <w:bCs/>
          <w:szCs w:val="24"/>
        </w:rPr>
      </w:pPr>
      <w:r w:rsidRPr="000B6D9D">
        <w:rPr>
          <w:rFonts w:cs="Tahoma"/>
          <w:b/>
          <w:bCs/>
          <w:szCs w:val="24"/>
        </w:rPr>
        <w:lastRenderedPageBreak/>
        <w:t>Problemas jurídicos por resolver</w:t>
      </w:r>
    </w:p>
    <w:p w14:paraId="5531C90B" w14:textId="77777777" w:rsidR="0064788E" w:rsidRPr="000B6D9D" w:rsidRDefault="0064788E" w:rsidP="000B6D9D">
      <w:pPr>
        <w:pStyle w:val="paragraph"/>
        <w:shd w:val="clear" w:color="auto" w:fill="FFFFFF" w:themeFill="background1"/>
        <w:spacing w:before="0" w:beforeAutospacing="0" w:after="0" w:afterAutospacing="0" w:line="276" w:lineRule="auto"/>
        <w:textAlignment w:val="baseline"/>
        <w:rPr>
          <w:rFonts w:ascii="Tahoma" w:hAnsi="Tahoma" w:cs="Tahoma"/>
        </w:rPr>
      </w:pPr>
      <w:r w:rsidRPr="000B6D9D">
        <w:rPr>
          <w:rStyle w:val="eop"/>
          <w:rFonts w:ascii="Tahoma" w:hAnsi="Tahoma" w:cs="Tahoma"/>
        </w:rPr>
        <w:t> </w:t>
      </w:r>
    </w:p>
    <w:p w14:paraId="03C88F28" w14:textId="77777777" w:rsidR="005113A9" w:rsidRPr="000B6D9D" w:rsidRDefault="0064788E" w:rsidP="000B6D9D">
      <w:pPr>
        <w:spacing w:line="276" w:lineRule="auto"/>
        <w:ind w:firstLine="360"/>
        <w:rPr>
          <w:rFonts w:cs="Tahoma"/>
          <w:szCs w:val="24"/>
        </w:rPr>
      </w:pPr>
      <w:r w:rsidRPr="000B6D9D">
        <w:rPr>
          <w:rStyle w:val="normaltextrun"/>
          <w:rFonts w:cs="Tahoma"/>
          <w:szCs w:val="24"/>
        </w:rPr>
        <w:tab/>
      </w:r>
      <w:r w:rsidR="005113A9" w:rsidRPr="000B6D9D">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402890DA" w14:textId="77777777" w:rsidR="005113A9" w:rsidRPr="000B6D9D" w:rsidRDefault="005113A9" w:rsidP="000B6D9D">
      <w:pPr>
        <w:spacing w:line="276" w:lineRule="auto"/>
        <w:rPr>
          <w:rFonts w:cs="Tahoma"/>
          <w:szCs w:val="24"/>
        </w:rPr>
      </w:pPr>
    </w:p>
    <w:p w14:paraId="6F49D22F" w14:textId="77777777" w:rsidR="005113A9" w:rsidRPr="000B6D9D" w:rsidRDefault="005113A9" w:rsidP="00E44FBB">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0B6D9D">
        <w:rPr>
          <w:rFonts w:eastAsia="Times New Roman" w:cs="Tahoma"/>
          <w:szCs w:val="24"/>
          <w:lang w:eastAsia="es-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E1150DA" w14:textId="77777777" w:rsidR="005113A9" w:rsidRPr="000B6D9D" w:rsidRDefault="005113A9" w:rsidP="00E44FBB">
      <w:pPr>
        <w:widowControl w:val="0"/>
        <w:tabs>
          <w:tab w:val="left" w:pos="993"/>
        </w:tabs>
        <w:autoSpaceDE w:val="0"/>
        <w:autoSpaceDN w:val="0"/>
        <w:adjustRightInd w:val="0"/>
        <w:spacing w:line="276" w:lineRule="auto"/>
        <w:ind w:left="426" w:right="420"/>
        <w:contextualSpacing/>
        <w:rPr>
          <w:rFonts w:eastAsia="Times New Roman" w:cs="Tahoma"/>
          <w:szCs w:val="24"/>
          <w:lang w:eastAsia="es-ES"/>
        </w:rPr>
      </w:pPr>
    </w:p>
    <w:p w14:paraId="7957BE18" w14:textId="77777777" w:rsidR="005113A9" w:rsidRPr="000B6D9D" w:rsidRDefault="005113A9" w:rsidP="00E44FBB">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0B6D9D">
        <w:rPr>
          <w:rFonts w:eastAsia="Times New Roman" w:cs="Tahoma"/>
          <w:szCs w:val="24"/>
          <w:lang w:eastAsia="es-ES"/>
        </w:rPr>
        <w:t xml:space="preserve">Definir si para dar por cumplido el deber de información de las AFP es suficiente el diligenciamiento del formulario de afiliación. </w:t>
      </w:r>
    </w:p>
    <w:p w14:paraId="36248526" w14:textId="77777777" w:rsidR="005113A9" w:rsidRPr="000B6D9D" w:rsidRDefault="005113A9" w:rsidP="00E44FBB">
      <w:pPr>
        <w:tabs>
          <w:tab w:val="left" w:pos="993"/>
        </w:tabs>
        <w:spacing w:line="276" w:lineRule="auto"/>
        <w:ind w:left="426" w:right="420"/>
        <w:contextualSpacing/>
        <w:jc w:val="left"/>
        <w:rPr>
          <w:rFonts w:eastAsia="Times New Roman" w:cs="Tahoma"/>
          <w:szCs w:val="24"/>
          <w:lang w:eastAsia="es-ES"/>
        </w:rPr>
      </w:pPr>
    </w:p>
    <w:p w14:paraId="3214C1F8" w14:textId="77777777" w:rsidR="005113A9" w:rsidRPr="000B6D9D" w:rsidRDefault="005113A9" w:rsidP="00E44FBB">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0B6D9D">
        <w:rPr>
          <w:rFonts w:eastAsia="Times New Roman" w:cs="Tahoma"/>
          <w:szCs w:val="24"/>
          <w:lang w:eastAsia="es-ES"/>
        </w:rPr>
        <w:t xml:space="preserve"> Determinar la carga probatoria que les corresponde a cada una de las partes cuando está en discusión la eficacia del traslado entre regímenes pensionales.</w:t>
      </w:r>
    </w:p>
    <w:p w14:paraId="616225A7" w14:textId="77777777" w:rsidR="005113A9" w:rsidRPr="000B6D9D" w:rsidRDefault="005113A9" w:rsidP="00E44FBB">
      <w:pPr>
        <w:tabs>
          <w:tab w:val="left" w:pos="993"/>
        </w:tabs>
        <w:spacing w:line="276" w:lineRule="auto"/>
        <w:ind w:left="426" w:right="420"/>
        <w:contextualSpacing/>
        <w:jc w:val="left"/>
        <w:rPr>
          <w:rFonts w:eastAsia="Times New Roman" w:cs="Tahoma"/>
          <w:szCs w:val="24"/>
          <w:lang w:eastAsia="es-ES"/>
        </w:rPr>
      </w:pPr>
    </w:p>
    <w:p w14:paraId="0D4B5A5A" w14:textId="77777777" w:rsidR="005113A9" w:rsidRPr="000B6D9D" w:rsidRDefault="005113A9" w:rsidP="00E44FBB">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0B6D9D">
        <w:rPr>
          <w:rFonts w:eastAsia="Times New Roman" w:cs="Tahoma"/>
          <w:szCs w:val="24"/>
          <w:lang w:eastAsia="es-ES"/>
        </w:rPr>
        <w:t>Analizar si quedó probado en el proceso que la parte demandante recibió de parte de la AFP demandada la asesoría e información suficiente y necesaria para hacer el cambio de régimen.</w:t>
      </w:r>
    </w:p>
    <w:p w14:paraId="1ED5EAA4" w14:textId="77777777" w:rsidR="005113A9" w:rsidRPr="000B6D9D" w:rsidRDefault="005113A9" w:rsidP="00E44FBB">
      <w:pPr>
        <w:pStyle w:val="Prrafodelista"/>
        <w:tabs>
          <w:tab w:val="left" w:pos="993"/>
        </w:tabs>
        <w:spacing w:line="276" w:lineRule="auto"/>
        <w:ind w:left="426" w:right="420"/>
        <w:rPr>
          <w:rFonts w:eastAsia="Times New Roman" w:cs="Tahoma"/>
          <w:szCs w:val="24"/>
          <w:lang w:eastAsia="es-ES"/>
        </w:rPr>
      </w:pPr>
    </w:p>
    <w:p w14:paraId="0F97550C" w14:textId="77777777" w:rsidR="005113A9" w:rsidRPr="000B6D9D" w:rsidRDefault="005113A9" w:rsidP="00E44FBB">
      <w:pPr>
        <w:pStyle w:val="Prrafodelista"/>
        <w:widowControl w:val="0"/>
        <w:numPr>
          <w:ilvl w:val="0"/>
          <w:numId w:val="10"/>
        </w:numPr>
        <w:tabs>
          <w:tab w:val="left" w:pos="993"/>
          <w:tab w:val="left" w:pos="1134"/>
        </w:tabs>
        <w:autoSpaceDE w:val="0"/>
        <w:autoSpaceDN w:val="0"/>
        <w:adjustRightInd w:val="0"/>
        <w:spacing w:line="276" w:lineRule="auto"/>
        <w:ind w:left="426" w:right="420" w:firstLine="0"/>
        <w:rPr>
          <w:rFonts w:cs="Tahoma"/>
          <w:szCs w:val="24"/>
        </w:rPr>
      </w:pPr>
      <w:r w:rsidRPr="000B6D9D">
        <w:rPr>
          <w:rFonts w:cs="Tahoma"/>
          <w:szCs w:val="24"/>
        </w:rPr>
        <w:t>Si hay razón suficiente para apartarse del precedente jurisprudencial existente frente a la ineficacia del traslado de régimen.</w:t>
      </w:r>
    </w:p>
    <w:p w14:paraId="3BA65B11" w14:textId="77777777" w:rsidR="005113A9" w:rsidRPr="000B6D9D" w:rsidRDefault="005113A9" w:rsidP="00E44FBB">
      <w:pPr>
        <w:tabs>
          <w:tab w:val="left" w:pos="993"/>
        </w:tabs>
        <w:spacing w:line="276" w:lineRule="auto"/>
        <w:ind w:left="426" w:right="420"/>
        <w:contextualSpacing/>
        <w:rPr>
          <w:rFonts w:eastAsia="Times New Roman" w:cs="Tahoma"/>
          <w:szCs w:val="24"/>
          <w:lang w:eastAsia="es-ES"/>
        </w:rPr>
      </w:pPr>
    </w:p>
    <w:p w14:paraId="78006D5E" w14:textId="77777777" w:rsidR="005113A9" w:rsidRPr="000B6D9D" w:rsidRDefault="005113A9" w:rsidP="00E44FBB">
      <w:pPr>
        <w:widowControl w:val="0"/>
        <w:numPr>
          <w:ilvl w:val="0"/>
          <w:numId w:val="10"/>
        </w:numPr>
        <w:tabs>
          <w:tab w:val="left" w:pos="993"/>
        </w:tabs>
        <w:autoSpaceDE w:val="0"/>
        <w:autoSpaceDN w:val="0"/>
        <w:adjustRightInd w:val="0"/>
        <w:spacing w:line="276" w:lineRule="auto"/>
        <w:ind w:left="426" w:right="420" w:firstLine="0"/>
        <w:contextualSpacing/>
        <w:rPr>
          <w:rFonts w:eastAsia="Times New Roman" w:cs="Tahoma"/>
          <w:szCs w:val="24"/>
          <w:lang w:eastAsia="es-ES"/>
        </w:rPr>
      </w:pPr>
      <w:r w:rsidRPr="000B6D9D">
        <w:rPr>
          <w:rFonts w:eastAsia="Times New Roman" w:cs="Tahoma"/>
          <w:szCs w:val="24"/>
          <w:lang w:eastAsia="es-ES"/>
        </w:rPr>
        <w:t>Establecer si es dable ordenar la devolución de los gastos de</w:t>
      </w:r>
      <w:r w:rsidRPr="000B6D9D">
        <w:rPr>
          <w:rFonts w:eastAsia="Times New Roman" w:cs="Tahoma"/>
          <w:szCs w:val="24"/>
          <w:lang w:eastAsia="es-ES"/>
        </w:rPr>
        <w:br/>
        <w:t>administración, rendimientos y seguros previsionales a Colpensiones, con cargo a sus propios recursos y debidamente indexados, durante el periodo en que estuvo afiliada la parte demandante en cada entidad.</w:t>
      </w:r>
    </w:p>
    <w:p w14:paraId="4370B951" w14:textId="77777777" w:rsidR="005113A9" w:rsidRPr="000B6D9D" w:rsidRDefault="005113A9" w:rsidP="00E44FBB">
      <w:pPr>
        <w:pStyle w:val="Prrafodelista"/>
        <w:spacing w:line="276" w:lineRule="auto"/>
        <w:ind w:left="426" w:right="420"/>
        <w:rPr>
          <w:rFonts w:eastAsia="Times New Roman" w:cs="Tahoma"/>
          <w:szCs w:val="24"/>
          <w:lang w:eastAsia="es-ES"/>
        </w:rPr>
      </w:pPr>
    </w:p>
    <w:p w14:paraId="5682302A" w14:textId="0D0DEC1B" w:rsidR="005113A9" w:rsidRPr="000B6D9D" w:rsidRDefault="005113A9" w:rsidP="00E44FBB">
      <w:pPr>
        <w:widowControl w:val="0"/>
        <w:numPr>
          <w:ilvl w:val="0"/>
          <w:numId w:val="10"/>
        </w:numPr>
        <w:autoSpaceDE w:val="0"/>
        <w:autoSpaceDN w:val="0"/>
        <w:adjustRightInd w:val="0"/>
        <w:spacing w:line="276" w:lineRule="auto"/>
        <w:ind w:left="426" w:right="420" w:hanging="371"/>
        <w:rPr>
          <w:rFonts w:eastAsia="Calibri" w:cs="Tahoma"/>
          <w:szCs w:val="24"/>
        </w:rPr>
      </w:pPr>
      <w:r w:rsidRPr="000B6D9D">
        <w:rPr>
          <w:rFonts w:eastAsia="Calibri" w:cs="Tahoma"/>
          <w:szCs w:val="24"/>
        </w:rPr>
        <w:t>Establecer si hay lugar a exonerar en costas a las AFP Colfondos S.A.</w:t>
      </w:r>
    </w:p>
    <w:p w14:paraId="5B7EAFFF" w14:textId="77777777" w:rsidR="005113A9" w:rsidRPr="000B6D9D" w:rsidRDefault="005113A9" w:rsidP="000B6D9D">
      <w:pPr>
        <w:spacing w:line="276" w:lineRule="auto"/>
        <w:ind w:left="709"/>
        <w:contextualSpacing/>
        <w:jc w:val="left"/>
        <w:textAlignment w:val="baseline"/>
        <w:rPr>
          <w:rFonts w:eastAsia="Times New Roman" w:cs="Tahoma"/>
          <w:szCs w:val="24"/>
          <w:lang w:eastAsia="es-CO"/>
        </w:rPr>
      </w:pPr>
    </w:p>
    <w:p w14:paraId="2632A354" w14:textId="77777777" w:rsidR="005113A9" w:rsidRPr="000B6D9D" w:rsidRDefault="005113A9" w:rsidP="000B6D9D">
      <w:pPr>
        <w:numPr>
          <w:ilvl w:val="0"/>
          <w:numId w:val="1"/>
        </w:numPr>
        <w:spacing w:line="276" w:lineRule="auto"/>
        <w:contextualSpacing/>
        <w:jc w:val="center"/>
        <w:rPr>
          <w:rFonts w:eastAsia="Times New Roman" w:cs="Tahoma"/>
          <w:b/>
          <w:bCs/>
          <w:szCs w:val="24"/>
          <w:lang w:eastAsia="es-ES"/>
        </w:rPr>
      </w:pPr>
      <w:r w:rsidRPr="000B6D9D">
        <w:rPr>
          <w:rFonts w:eastAsia="Times New Roman" w:cs="Tahoma"/>
          <w:b/>
          <w:bCs/>
          <w:szCs w:val="24"/>
          <w:lang w:eastAsia="es-ES"/>
        </w:rPr>
        <w:t>Consideraciones</w:t>
      </w:r>
    </w:p>
    <w:p w14:paraId="7FB0913F" w14:textId="77777777" w:rsidR="005113A9" w:rsidRPr="000B6D9D" w:rsidRDefault="005113A9" w:rsidP="000B6D9D">
      <w:pPr>
        <w:widowControl w:val="0"/>
        <w:autoSpaceDE w:val="0"/>
        <w:autoSpaceDN w:val="0"/>
        <w:adjustRightInd w:val="0"/>
        <w:spacing w:line="276" w:lineRule="auto"/>
        <w:rPr>
          <w:rFonts w:cs="Tahoma"/>
          <w:b/>
          <w:szCs w:val="24"/>
        </w:rPr>
      </w:pPr>
    </w:p>
    <w:p w14:paraId="27EB72F6" w14:textId="77777777" w:rsidR="00E44FBB" w:rsidRPr="00E44FBB" w:rsidRDefault="00E44FBB" w:rsidP="00264D15">
      <w:pPr>
        <w:widowControl w:val="0"/>
        <w:numPr>
          <w:ilvl w:val="1"/>
          <w:numId w:val="9"/>
        </w:numPr>
        <w:autoSpaceDE w:val="0"/>
        <w:autoSpaceDN w:val="0"/>
        <w:adjustRightInd w:val="0"/>
        <w:spacing w:after="160" w:line="276" w:lineRule="auto"/>
        <w:rPr>
          <w:rFonts w:eastAsia="Calibri" w:cs="Tahoma"/>
          <w:b/>
          <w:szCs w:val="24"/>
        </w:rPr>
      </w:pPr>
      <w:r w:rsidRPr="00E44FBB">
        <w:rPr>
          <w:rFonts w:eastAsia="Calibri" w:cs="Tahoma"/>
          <w:b/>
          <w:szCs w:val="24"/>
        </w:rPr>
        <w:t xml:space="preserve">Precedente vertical: la tesis de la Corte Suprema de Justicia respecto al tema de la ineficacia del traslado constituye doctrina probable </w:t>
      </w:r>
    </w:p>
    <w:p w14:paraId="0EA613A6"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144C7756"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szCs w:val="24"/>
        </w:rPr>
        <w:t xml:space="preserve">En la actualidad existe </w:t>
      </w:r>
      <w:r w:rsidRPr="00E44FBB">
        <w:rPr>
          <w:rFonts w:eastAsia="Calibri" w:cs="Tahoma"/>
          <w:b/>
          <w:szCs w:val="24"/>
        </w:rPr>
        <w:t>doctrina probable</w:t>
      </w:r>
      <w:r w:rsidRPr="00E44FBB">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548AE247"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6F1794EF"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bCs/>
          <w:szCs w:val="24"/>
        </w:rPr>
        <w:t xml:space="preserve">SL 31989 del 9 sep. 2008, </w:t>
      </w:r>
      <w:r w:rsidRPr="00E44FBB">
        <w:rPr>
          <w:rFonts w:eastAsia="Calibri" w:cs="Tahoma"/>
          <w:szCs w:val="24"/>
        </w:rPr>
        <w:t xml:space="preserve">SL 31314 9 sep. 2008, SL 33083 22 nov. 2011, SL12136-2014, SL19447-2017, SL4964-2018, CSJ SL4989-2018, SL1421-2019, SL1452-2019, SL1688-2019, SL1689-2019, Sentencia SL 373 -2020, Sentencia SL 5462-2019, </w:t>
      </w:r>
      <w:r w:rsidRPr="00E44FBB">
        <w:rPr>
          <w:rFonts w:eastAsia="Calibri" w:cs="Tahoma"/>
          <w:szCs w:val="24"/>
        </w:rPr>
        <w:lastRenderedPageBreak/>
        <w:t>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6B9782D"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44445128"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szCs w:val="24"/>
        </w:rPr>
        <w:t xml:space="preserve">En términos generales, en todas estas sentencias se determinó </w:t>
      </w:r>
      <w:r w:rsidRPr="00E44FBB">
        <w:rPr>
          <w:rFonts w:eastAsia="Calibri" w:cs="Tahoma"/>
          <w:i/>
          <w:szCs w:val="24"/>
        </w:rPr>
        <w:t xml:space="preserve">i) </w:t>
      </w:r>
      <w:r w:rsidRPr="00E44FBB">
        <w:rPr>
          <w:rFonts w:eastAsia="Calibri" w:cs="Tahoma"/>
          <w:szCs w:val="24"/>
        </w:rPr>
        <w:t xml:space="preserve">el alcance del deber de información a cargo de las Administradoras de Fondos de Pensiones, </w:t>
      </w:r>
      <w:r w:rsidRPr="00E44FBB">
        <w:rPr>
          <w:rFonts w:eastAsia="Calibri" w:cs="Tahoma"/>
          <w:i/>
          <w:szCs w:val="24"/>
        </w:rPr>
        <w:t xml:space="preserve">ii) </w:t>
      </w:r>
      <w:r w:rsidRPr="00E44FBB">
        <w:rPr>
          <w:rFonts w:eastAsia="Calibri" w:cs="Tahoma"/>
          <w:szCs w:val="24"/>
        </w:rPr>
        <w:t xml:space="preserve">la procedencia de la ineficacia del traslado, </w:t>
      </w:r>
      <w:r w:rsidRPr="00E44FBB">
        <w:rPr>
          <w:rFonts w:eastAsia="Calibri" w:cs="Tahoma"/>
          <w:i/>
          <w:szCs w:val="24"/>
        </w:rPr>
        <w:t xml:space="preserve">iii) </w:t>
      </w:r>
      <w:r w:rsidRPr="00E44FBB">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0BEA3A49"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33CAB253" w14:textId="77777777" w:rsidR="00E44FBB" w:rsidRPr="00E44FBB" w:rsidRDefault="00E44FBB" w:rsidP="00264D15">
      <w:pPr>
        <w:widowControl w:val="0"/>
        <w:numPr>
          <w:ilvl w:val="1"/>
          <w:numId w:val="9"/>
        </w:numPr>
        <w:autoSpaceDE w:val="0"/>
        <w:autoSpaceDN w:val="0"/>
        <w:adjustRightInd w:val="0"/>
        <w:spacing w:line="276" w:lineRule="auto"/>
        <w:jc w:val="left"/>
        <w:rPr>
          <w:rFonts w:eastAsia="Calibri" w:cs="Tahoma"/>
          <w:b/>
          <w:iCs/>
          <w:szCs w:val="24"/>
        </w:rPr>
      </w:pPr>
      <w:r w:rsidRPr="00E44FBB">
        <w:rPr>
          <w:rFonts w:eastAsia="Calibri" w:cs="Tahoma"/>
          <w:b/>
          <w:iCs/>
          <w:szCs w:val="24"/>
        </w:rPr>
        <w:t>“El deber de información a cargo de las administradoras de fondos de pensiones: Un deber exigible desde su creación</w:t>
      </w:r>
      <w:r w:rsidRPr="00E44FBB">
        <w:rPr>
          <w:rFonts w:eastAsia="Calibri" w:cs="Tahoma"/>
          <w:b/>
          <w:iCs/>
          <w:szCs w:val="24"/>
          <w:vertAlign w:val="superscript"/>
        </w:rPr>
        <w:footnoteReference w:id="1"/>
      </w:r>
      <w:r w:rsidRPr="00E44FBB">
        <w:rPr>
          <w:rFonts w:eastAsia="Calibri" w:cs="Tahoma"/>
          <w:b/>
          <w:iCs/>
          <w:szCs w:val="24"/>
        </w:rPr>
        <w:t>”</w:t>
      </w:r>
    </w:p>
    <w:p w14:paraId="0227EFA6" w14:textId="77777777" w:rsidR="00E44FBB" w:rsidRPr="00E44FBB" w:rsidRDefault="00E44FBB" w:rsidP="00E44FBB">
      <w:pPr>
        <w:widowControl w:val="0"/>
        <w:autoSpaceDE w:val="0"/>
        <w:autoSpaceDN w:val="0"/>
        <w:adjustRightInd w:val="0"/>
        <w:spacing w:line="276" w:lineRule="auto"/>
        <w:ind w:firstLine="284"/>
        <w:rPr>
          <w:rFonts w:eastAsia="Calibri" w:cs="Tahoma"/>
          <w:i/>
          <w:szCs w:val="24"/>
        </w:rPr>
      </w:pPr>
    </w:p>
    <w:p w14:paraId="51217072"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szCs w:val="24"/>
        </w:rPr>
        <w:t xml:space="preserve">Dado que las Administradoras de Fondos de Pensiones son organismos profesionales, resulta aplicable el artículo 1604 del Código Civil, según el cual la prueba de la </w:t>
      </w:r>
      <w:r w:rsidRPr="00E44FBB">
        <w:rPr>
          <w:rFonts w:eastAsia="Calibri" w:cs="Tahoma"/>
          <w:szCs w:val="24"/>
          <w:u w:val="single"/>
        </w:rPr>
        <w:t>debida diligencia y cuidado</w:t>
      </w:r>
      <w:r w:rsidRPr="00E44FBB">
        <w:rPr>
          <w:rFonts w:eastAsia="Calibri" w:cs="Tahoma"/>
          <w:szCs w:val="24"/>
        </w:rPr>
        <w:t xml:space="preserve"> incumbe a quien ha debido emplearla, atendiendo a las siguientes razones:</w:t>
      </w:r>
    </w:p>
    <w:p w14:paraId="0AE3A7A7" w14:textId="77777777" w:rsidR="00E44FBB" w:rsidRPr="00E44FBB" w:rsidRDefault="00E44FBB" w:rsidP="00E44FBB">
      <w:pPr>
        <w:widowControl w:val="0"/>
        <w:autoSpaceDE w:val="0"/>
        <w:autoSpaceDN w:val="0"/>
        <w:adjustRightInd w:val="0"/>
        <w:spacing w:line="276" w:lineRule="auto"/>
        <w:ind w:firstLine="284"/>
        <w:rPr>
          <w:rFonts w:eastAsia="Calibri" w:cs="Tahoma"/>
          <w:b/>
          <w:szCs w:val="24"/>
        </w:rPr>
      </w:pPr>
    </w:p>
    <w:p w14:paraId="5AA35ACD"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b/>
          <w:szCs w:val="24"/>
        </w:rPr>
        <w:t>1)</w:t>
      </w:r>
      <w:r w:rsidRPr="00E44FBB">
        <w:rPr>
          <w:rFonts w:eastAsia="Calibri" w:cs="Tahoma"/>
          <w:szCs w:val="24"/>
        </w:rPr>
        <w:t xml:space="preserve"> Las Administradoras de Fondos de Pensiones tienen deberes de carácter profesional con sus afiliados y con los consumidores del mercado potencial en general. Además, sus actividades se encuentran reguladas por el </w:t>
      </w:r>
      <w:r w:rsidRPr="00E44FBB">
        <w:rPr>
          <w:rFonts w:eastAsia="Calibri" w:cs="Tahoma"/>
          <w:szCs w:val="24"/>
          <w:u w:val="single"/>
        </w:rPr>
        <w:t>Decreto 663 de 1993</w:t>
      </w:r>
      <w:r w:rsidRPr="00E44FBB">
        <w:rPr>
          <w:rFonts w:eastAsia="Calibri" w:cs="Tahoma"/>
          <w:szCs w:val="24"/>
          <w:u w:val="single"/>
          <w:vertAlign w:val="superscript"/>
        </w:rPr>
        <w:footnoteReference w:id="2"/>
      </w:r>
      <w:r w:rsidRPr="00E44FBB">
        <w:rPr>
          <w:rFonts w:eastAsia="Calibri" w:cs="Tahoma"/>
          <w:szCs w:val="24"/>
        </w:rPr>
        <w:t>, norma en la que se destaca la importancia de los principios de debida diligencia, transparencia e información cierta, suficiente y oportuna.</w:t>
      </w:r>
    </w:p>
    <w:p w14:paraId="47DF5FF6"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5F713303"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b/>
          <w:szCs w:val="24"/>
        </w:rPr>
        <w:t>2)</w:t>
      </w:r>
      <w:r w:rsidRPr="00E44FBB">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E44FBB">
        <w:rPr>
          <w:rFonts w:eastAsia="Calibri" w:cs="Tahoma"/>
          <w:szCs w:val="24"/>
          <w:u w:val="single"/>
        </w:rPr>
        <w:t>suficiente, amplia y oportuna</w:t>
      </w:r>
      <w:r w:rsidRPr="00E44FBB">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14BEE158"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79D7ABFB" w14:textId="77777777" w:rsidR="00E44FBB" w:rsidRPr="00E44FBB" w:rsidRDefault="00E44FBB" w:rsidP="00E44FBB">
      <w:pPr>
        <w:widowControl w:val="0"/>
        <w:autoSpaceDE w:val="0"/>
        <w:autoSpaceDN w:val="0"/>
        <w:adjustRightInd w:val="0"/>
        <w:spacing w:line="276" w:lineRule="auto"/>
        <w:ind w:firstLine="709"/>
        <w:rPr>
          <w:rFonts w:eastAsia="Calibri" w:cs="Tahoma"/>
          <w:szCs w:val="24"/>
        </w:rPr>
      </w:pPr>
      <w:r w:rsidRPr="00E44FBB">
        <w:rPr>
          <w:rFonts w:eastAsia="Calibri" w:cs="Tahoma"/>
          <w:b/>
          <w:szCs w:val="24"/>
        </w:rPr>
        <w:t>3)</w:t>
      </w:r>
      <w:r w:rsidRPr="00E44FBB">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1EDB32B"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76FF638A" w14:textId="77777777" w:rsidR="00E44FBB" w:rsidRPr="00E44FBB" w:rsidRDefault="00E44FBB" w:rsidP="00E44FBB">
      <w:pPr>
        <w:widowControl w:val="0"/>
        <w:autoSpaceDE w:val="0"/>
        <w:autoSpaceDN w:val="0"/>
        <w:adjustRightInd w:val="0"/>
        <w:spacing w:line="276" w:lineRule="auto"/>
        <w:ind w:firstLine="709"/>
        <w:rPr>
          <w:rFonts w:eastAsia="Calibri" w:cs="Tahoma"/>
          <w:iCs/>
          <w:szCs w:val="24"/>
          <w:u w:val="single"/>
        </w:rPr>
      </w:pPr>
      <w:r w:rsidRPr="00E44FBB">
        <w:rPr>
          <w:rFonts w:eastAsia="Calibri" w:cs="Tahoma"/>
          <w:b/>
          <w:szCs w:val="24"/>
        </w:rPr>
        <w:t>4)</w:t>
      </w:r>
      <w:r w:rsidRPr="00E44FBB">
        <w:rPr>
          <w:rFonts w:eastAsia="Calibri" w:cs="Tahoma"/>
          <w:szCs w:val="24"/>
        </w:rPr>
        <w:t xml:space="preserve"> En numerosas sentencias del órgano de cierre de la jurisdicción ordinaria laboral, se ha establecido que no puede argüirse que </w:t>
      </w:r>
      <w:r w:rsidRPr="00E44FBB">
        <w:rPr>
          <w:rFonts w:eastAsia="Calibri" w:cs="Tahoma"/>
          <w:iCs/>
          <w:szCs w:val="24"/>
        </w:rPr>
        <w:t xml:space="preserve">existe una manifestación libre y voluntaria cuando las personas desconocen la incidencia que el traslado de régimen </w:t>
      </w:r>
      <w:r w:rsidRPr="00E44FBB">
        <w:rPr>
          <w:rFonts w:eastAsia="Calibri" w:cs="Tahoma"/>
          <w:iCs/>
          <w:szCs w:val="24"/>
        </w:rPr>
        <w:lastRenderedPageBreak/>
        <w:t xml:space="preserve">pueda tener frente a sus derechos prestacionales, ni puede estimarse satisfecho tal requisito con una simple expresión genérica o con la suscripción de un formato; de allí que desde el inicio haya correspondido a las Administradoras de Fondos de Pensiones </w:t>
      </w:r>
      <w:r w:rsidRPr="00E44FBB">
        <w:rPr>
          <w:rFonts w:eastAsia="Calibri" w:cs="Tahoma"/>
          <w:i/>
          <w:iCs/>
          <w:szCs w:val="24"/>
        </w:rPr>
        <w:t>“</w:t>
      </w:r>
      <w:r w:rsidRPr="00E44FBB">
        <w:rPr>
          <w:rFonts w:eastAsia="Calibri" w:cs="Tahoma"/>
          <w:i/>
          <w:iCs/>
          <w:sz w:val="22"/>
          <w:szCs w:val="24"/>
          <w:u w:val="single"/>
        </w:rPr>
        <w:t>dar cuenta de que documentaron clara y suficientemente los efectos que acarrea el cambio de régimen, so pena de declarar ineficaz ese tránsito</w:t>
      </w:r>
      <w:r w:rsidRPr="00E44FBB">
        <w:rPr>
          <w:rFonts w:eastAsia="Calibri" w:cs="Tahoma"/>
          <w:i/>
          <w:iCs/>
          <w:szCs w:val="24"/>
          <w:u w:val="single"/>
        </w:rPr>
        <w:t>”</w:t>
      </w:r>
      <w:r w:rsidRPr="00E44FBB">
        <w:rPr>
          <w:rFonts w:eastAsia="Calibri" w:cs="Tahoma"/>
          <w:iCs/>
          <w:szCs w:val="24"/>
          <w:u w:val="single"/>
        </w:rPr>
        <w:t>.</w:t>
      </w:r>
    </w:p>
    <w:p w14:paraId="3E9AAD0E" w14:textId="77777777" w:rsidR="00E44FBB" w:rsidRPr="00E44FBB" w:rsidRDefault="00E44FBB" w:rsidP="00E44FBB">
      <w:pPr>
        <w:widowControl w:val="0"/>
        <w:autoSpaceDE w:val="0"/>
        <w:autoSpaceDN w:val="0"/>
        <w:adjustRightInd w:val="0"/>
        <w:spacing w:line="276" w:lineRule="auto"/>
        <w:ind w:firstLine="284"/>
        <w:rPr>
          <w:rFonts w:eastAsia="Calibri" w:cs="Tahoma"/>
          <w:iCs/>
          <w:szCs w:val="24"/>
          <w:u w:val="single"/>
        </w:rPr>
      </w:pPr>
    </w:p>
    <w:p w14:paraId="4EEDB8BE" w14:textId="77777777" w:rsidR="00E44FBB" w:rsidRPr="00E44FBB" w:rsidRDefault="00E44FBB" w:rsidP="00E44FBB">
      <w:pPr>
        <w:widowControl w:val="0"/>
        <w:autoSpaceDE w:val="0"/>
        <w:autoSpaceDN w:val="0"/>
        <w:adjustRightInd w:val="0"/>
        <w:spacing w:line="276" w:lineRule="auto"/>
        <w:ind w:firstLine="284"/>
        <w:rPr>
          <w:rFonts w:eastAsia="Calibri" w:cs="Tahoma"/>
          <w:iCs/>
          <w:szCs w:val="24"/>
        </w:rPr>
      </w:pPr>
      <w:r w:rsidRPr="00E44FBB">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0D535E1" w14:textId="77777777" w:rsidR="00E44FBB" w:rsidRPr="00E44FBB" w:rsidRDefault="00E44FBB" w:rsidP="00E44FBB">
      <w:pPr>
        <w:widowControl w:val="0"/>
        <w:autoSpaceDE w:val="0"/>
        <w:autoSpaceDN w:val="0"/>
        <w:adjustRightInd w:val="0"/>
        <w:spacing w:line="276" w:lineRule="auto"/>
        <w:ind w:firstLine="284"/>
        <w:rPr>
          <w:rFonts w:eastAsia="Calibri" w:cs="Tahoma"/>
          <w:iCs/>
          <w:szCs w:val="24"/>
        </w:rPr>
      </w:pPr>
    </w:p>
    <w:p w14:paraId="5E80BEF2" w14:textId="77777777" w:rsidR="00E44FBB" w:rsidRPr="00E44FBB" w:rsidRDefault="00E44FBB" w:rsidP="00E44FBB">
      <w:pPr>
        <w:widowControl w:val="0"/>
        <w:autoSpaceDE w:val="0"/>
        <w:autoSpaceDN w:val="0"/>
        <w:adjustRightInd w:val="0"/>
        <w:spacing w:line="276" w:lineRule="auto"/>
        <w:ind w:firstLine="284"/>
        <w:rPr>
          <w:rFonts w:eastAsia="Calibri" w:cs="Tahoma"/>
          <w:iCs/>
          <w:szCs w:val="24"/>
        </w:rPr>
      </w:pPr>
      <w:r w:rsidRPr="00E44FBB">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C2A2B53" w14:textId="77777777" w:rsidR="00E44FBB" w:rsidRPr="00E44FBB" w:rsidRDefault="00E44FBB" w:rsidP="00E44FBB">
      <w:pPr>
        <w:widowControl w:val="0"/>
        <w:autoSpaceDE w:val="0"/>
        <w:autoSpaceDN w:val="0"/>
        <w:adjustRightInd w:val="0"/>
        <w:spacing w:line="276" w:lineRule="auto"/>
        <w:ind w:firstLine="284"/>
        <w:rPr>
          <w:rFonts w:eastAsia="Calibri" w:cs="Tahoma"/>
          <w:iCs/>
          <w:szCs w:val="24"/>
        </w:rPr>
      </w:pPr>
    </w:p>
    <w:p w14:paraId="48CCC7B9"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r w:rsidRPr="00E44FBB">
        <w:rPr>
          <w:rFonts w:eastAsia="Calibri" w:cs="Tahoma"/>
          <w:szCs w:val="24"/>
        </w:rPr>
        <w:tab/>
        <w:t xml:space="preserve">Ello así, también ha dicho el órgano de cierre de la especialidad laboral, que las </w:t>
      </w:r>
      <w:proofErr w:type="spellStart"/>
      <w:r w:rsidRPr="00E44FBB">
        <w:rPr>
          <w:rFonts w:eastAsia="Calibri" w:cs="Tahoma"/>
          <w:szCs w:val="24"/>
        </w:rPr>
        <w:t>AFPs</w:t>
      </w:r>
      <w:proofErr w:type="spellEnd"/>
      <w:r w:rsidRPr="00E44FBB">
        <w:rPr>
          <w:rFonts w:eastAsia="Calibri" w:cs="Tahoma"/>
          <w:szCs w:val="24"/>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7316E35D"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501D5AD9"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bookmarkStart w:id="6" w:name="_Hlk90025453"/>
      <w:r w:rsidRPr="00E44FBB">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E44FBB">
        <w:rPr>
          <w:rFonts w:eastAsia="Calibri" w:cs="Tahoma"/>
          <w:b/>
          <w:szCs w:val="24"/>
        </w:rPr>
        <w:t xml:space="preserve">necesaria y transparente, </w:t>
      </w:r>
      <w:r w:rsidRPr="00E44FBB">
        <w:rPr>
          <w:rFonts w:eastAsia="Calibri" w:cs="Tahoma"/>
          <w:szCs w:val="24"/>
        </w:rPr>
        <w:t xml:space="preserve">que con el transcurrir del tiempo esta exigencia cambió, pasando de un deber de información necesaria al de </w:t>
      </w:r>
      <w:r w:rsidRPr="00E44FBB">
        <w:rPr>
          <w:rFonts w:eastAsia="Calibri" w:cs="Tahoma"/>
          <w:b/>
          <w:szCs w:val="24"/>
        </w:rPr>
        <w:t>asesoría y buen consejo</w:t>
      </w:r>
      <w:r w:rsidRPr="00E44FBB">
        <w:rPr>
          <w:rFonts w:eastAsia="Calibri" w:cs="Tahoma"/>
          <w:szCs w:val="24"/>
        </w:rPr>
        <w:t xml:space="preserve">, y finalmente al de </w:t>
      </w:r>
      <w:r w:rsidRPr="00E44FBB">
        <w:rPr>
          <w:rFonts w:eastAsia="Calibri" w:cs="Tahoma"/>
          <w:b/>
          <w:szCs w:val="24"/>
        </w:rPr>
        <w:t>doble asesoría</w:t>
      </w:r>
      <w:r w:rsidRPr="00E44FBB">
        <w:rPr>
          <w:rFonts w:eastAsia="Calibri" w:cs="Tahoma"/>
          <w:szCs w:val="24"/>
        </w:rPr>
        <w:t>, explicando en qué consiste cada uno de esos conceptos</w:t>
      </w:r>
      <w:bookmarkEnd w:id="6"/>
      <w:r w:rsidRPr="00E44FBB">
        <w:rPr>
          <w:rFonts w:eastAsia="Calibri" w:cs="Tahoma"/>
          <w:szCs w:val="24"/>
        </w:rPr>
        <w:t>. Dicho recuento histórico, se compendia de la siguiente manera:</w:t>
      </w:r>
    </w:p>
    <w:p w14:paraId="11331E9C"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712A1019" w14:textId="77777777" w:rsidR="00E44FBB" w:rsidRPr="00E44FBB" w:rsidRDefault="00E44FBB" w:rsidP="00E44FBB">
      <w:pPr>
        <w:spacing w:line="240" w:lineRule="auto"/>
        <w:ind w:left="426" w:right="420"/>
        <w:textAlignment w:val="baseline"/>
        <w:rPr>
          <w:rFonts w:eastAsia="Times New Roman" w:cs="Tahoma"/>
          <w:sz w:val="22"/>
          <w:szCs w:val="24"/>
          <w:lang w:val="es-ES" w:eastAsia="es-ES"/>
        </w:rPr>
      </w:pPr>
      <w:bookmarkStart w:id="7" w:name="_Hlk66368436"/>
      <w:bookmarkStart w:id="8" w:name="_Hlk90025057"/>
      <w:r w:rsidRPr="00E44FBB">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75B88F95" w14:textId="77777777" w:rsidR="00E44FBB" w:rsidRPr="00E44FBB" w:rsidRDefault="00E44FBB" w:rsidP="00E44FBB">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E44FBB" w:rsidRPr="00E44FBB" w14:paraId="6F5DBFDD"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6934C0"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b/>
                <w:bCs/>
                <w:i/>
                <w:iCs/>
                <w:sz w:val="20"/>
                <w:szCs w:val="24"/>
                <w:lang w:val="es-ES" w:eastAsia="es-ES"/>
              </w:rPr>
              <w:t>Etapa acumulativa</w:t>
            </w:r>
            <w:r w:rsidRPr="00E44FBB">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1979B4"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b/>
                <w:bCs/>
                <w:i/>
                <w:iCs/>
                <w:sz w:val="20"/>
                <w:szCs w:val="24"/>
                <w:lang w:val="es-ES" w:eastAsia="es-ES"/>
              </w:rPr>
              <w:t>Normas que obligan a las administradoras de pensiones a dar información</w:t>
            </w:r>
            <w:r w:rsidRPr="00E44FBB">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5E9A99"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b/>
                <w:bCs/>
                <w:i/>
                <w:iCs/>
                <w:sz w:val="20"/>
                <w:szCs w:val="24"/>
                <w:lang w:val="es-ES" w:eastAsia="es-ES"/>
              </w:rPr>
              <w:t>Contenido mínimo y alcance del deber de información</w:t>
            </w:r>
            <w:r w:rsidRPr="00E44FBB">
              <w:rPr>
                <w:rFonts w:eastAsia="Times New Roman" w:cs="Tahoma"/>
                <w:sz w:val="20"/>
                <w:szCs w:val="24"/>
                <w:lang w:val="es-ES" w:eastAsia="es-ES"/>
              </w:rPr>
              <w:t> </w:t>
            </w:r>
          </w:p>
        </w:tc>
      </w:tr>
      <w:tr w:rsidR="00E44FBB" w:rsidRPr="00E44FBB" w14:paraId="62492B51"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A966AC8"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Deber de información </w:t>
            </w:r>
            <w:r w:rsidRPr="00E44FBB">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78B7144"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Arts. 13 literal b), 271 y 272 de la Ley 100 de 1993</w:t>
            </w:r>
            <w:r w:rsidRPr="00E44FBB">
              <w:rPr>
                <w:rFonts w:eastAsia="Times New Roman" w:cs="Tahoma"/>
                <w:sz w:val="20"/>
                <w:szCs w:val="24"/>
                <w:lang w:val="es-ES" w:eastAsia="es-ES"/>
              </w:rPr>
              <w:t> </w:t>
            </w:r>
          </w:p>
          <w:p w14:paraId="3B852C39"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lastRenderedPageBreak/>
              <w:t>Art. 97, numeral 1 del Decreto 663 de 1993, modificado por el artículo 23 de la Ley 797 de 2003</w:t>
            </w:r>
            <w:r w:rsidRPr="00E44FBB">
              <w:rPr>
                <w:rFonts w:eastAsia="Times New Roman" w:cs="Tahoma"/>
                <w:sz w:val="20"/>
                <w:szCs w:val="24"/>
                <w:lang w:val="es-ES" w:eastAsia="es-ES"/>
              </w:rPr>
              <w:t> </w:t>
            </w:r>
          </w:p>
          <w:p w14:paraId="7EFE5D8C"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Disposiciones constitucionales relativas al derecho a la información, no menoscabo de derechos laborales y autonomía personal</w:t>
            </w:r>
            <w:r w:rsidRPr="00E44FBB">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57B1B3"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lastRenderedPageBreak/>
              <w:t xml:space="preserve">Ilustración de las características, condiciones, acceso, efectos y riesgos de cada uno de los </w:t>
            </w:r>
            <w:r w:rsidRPr="00E44FBB">
              <w:rPr>
                <w:rFonts w:eastAsia="Times New Roman" w:cs="Tahoma"/>
                <w:i/>
                <w:iCs/>
                <w:sz w:val="20"/>
                <w:szCs w:val="24"/>
                <w:lang w:val="es-ES" w:eastAsia="es-ES"/>
              </w:rPr>
              <w:lastRenderedPageBreak/>
              <w:t>regímenes pensionales, lo que incluye dar a conocer la existencia de un régimen de transición y la eventual pérdida de beneficios pensionales</w:t>
            </w:r>
            <w:r w:rsidRPr="00E44FBB">
              <w:rPr>
                <w:rFonts w:eastAsia="Times New Roman" w:cs="Tahoma"/>
                <w:sz w:val="20"/>
                <w:szCs w:val="24"/>
                <w:lang w:val="es-ES" w:eastAsia="es-ES"/>
              </w:rPr>
              <w:t> </w:t>
            </w:r>
          </w:p>
        </w:tc>
      </w:tr>
      <w:tr w:rsidR="00E44FBB" w:rsidRPr="00E44FBB" w14:paraId="53968505"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0FB60B"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lastRenderedPageBreak/>
              <w:t>Deber de información, asesoría y buen consejo</w:t>
            </w:r>
            <w:r w:rsidRPr="00E44FBB">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C781E2"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Artículo 3, literal c) de la Ley 1328 de 2009</w:t>
            </w:r>
            <w:r w:rsidRPr="00E44FBB">
              <w:rPr>
                <w:rFonts w:eastAsia="Times New Roman" w:cs="Tahoma"/>
                <w:sz w:val="20"/>
                <w:szCs w:val="24"/>
                <w:lang w:val="es-ES" w:eastAsia="es-ES"/>
              </w:rPr>
              <w:t> </w:t>
            </w:r>
          </w:p>
          <w:p w14:paraId="0DCEBCA8"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Decreto 2241 de 2010</w:t>
            </w:r>
            <w:r w:rsidRPr="00E44FBB">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282EC1"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44FBB">
              <w:rPr>
                <w:rFonts w:eastAsia="Times New Roman" w:cs="Tahoma"/>
                <w:sz w:val="20"/>
                <w:szCs w:val="24"/>
                <w:lang w:val="es-ES" w:eastAsia="es-ES"/>
              </w:rPr>
              <w:t> </w:t>
            </w:r>
          </w:p>
        </w:tc>
      </w:tr>
      <w:tr w:rsidR="00E44FBB" w:rsidRPr="00E44FBB" w14:paraId="0B149FA8" w14:textId="77777777" w:rsidTr="0000793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79E1AA"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Deber de información, asesoría, buen consejo y doble asesoría. </w:t>
            </w:r>
            <w:r w:rsidRPr="00E44FBB">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ED31038"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Ley 1748 de 2014</w:t>
            </w:r>
            <w:r w:rsidRPr="00E44FBB">
              <w:rPr>
                <w:rFonts w:eastAsia="Times New Roman" w:cs="Tahoma"/>
                <w:sz w:val="20"/>
                <w:szCs w:val="24"/>
                <w:lang w:val="es-ES" w:eastAsia="es-ES"/>
              </w:rPr>
              <w:t> </w:t>
            </w:r>
          </w:p>
          <w:p w14:paraId="32222FE7"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Artículo 3 del Decreto 2071 de 2015</w:t>
            </w:r>
            <w:r w:rsidRPr="00E44FBB">
              <w:rPr>
                <w:rFonts w:eastAsia="Times New Roman" w:cs="Tahoma"/>
                <w:sz w:val="20"/>
                <w:szCs w:val="24"/>
                <w:lang w:val="es-ES" w:eastAsia="es-ES"/>
              </w:rPr>
              <w:t> </w:t>
            </w:r>
          </w:p>
          <w:p w14:paraId="6494789F"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Circular Externa n. 016 de 2016</w:t>
            </w:r>
            <w:r w:rsidRPr="00E44FBB">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EE46572" w14:textId="77777777" w:rsidR="00E44FBB" w:rsidRPr="00E44FBB" w:rsidRDefault="00E44FBB" w:rsidP="00E44FBB">
            <w:pPr>
              <w:spacing w:line="276" w:lineRule="auto"/>
              <w:textAlignment w:val="baseline"/>
              <w:rPr>
                <w:rFonts w:eastAsia="Times New Roman" w:cs="Tahoma"/>
                <w:sz w:val="20"/>
                <w:szCs w:val="24"/>
                <w:lang w:val="es-ES" w:eastAsia="es-ES"/>
              </w:rPr>
            </w:pPr>
            <w:r w:rsidRPr="00E44FBB">
              <w:rPr>
                <w:rFonts w:eastAsia="Times New Roman" w:cs="Tahoma"/>
                <w:i/>
                <w:iCs/>
                <w:sz w:val="20"/>
                <w:szCs w:val="24"/>
                <w:lang w:val="es-ES" w:eastAsia="es-ES"/>
              </w:rPr>
              <w:t>Junto con lo anterior, lleva inmerso el derecho a obtener asesoría de los representantes de ambos regímenes pensionales.</w:t>
            </w:r>
            <w:r w:rsidRPr="00E44FBB">
              <w:rPr>
                <w:rFonts w:eastAsia="Times New Roman" w:cs="Tahoma"/>
                <w:sz w:val="20"/>
                <w:szCs w:val="24"/>
                <w:lang w:val="es-ES" w:eastAsia="es-ES"/>
              </w:rPr>
              <w:t> </w:t>
            </w:r>
          </w:p>
        </w:tc>
      </w:tr>
    </w:tbl>
    <w:p w14:paraId="313DB052" w14:textId="77777777" w:rsidR="00E44FBB" w:rsidRPr="00E44FBB" w:rsidRDefault="00E44FBB" w:rsidP="00E44FBB">
      <w:pPr>
        <w:spacing w:line="240" w:lineRule="auto"/>
        <w:ind w:left="426" w:right="420" w:firstLine="709"/>
        <w:rPr>
          <w:rFonts w:eastAsia="Calibri" w:cs="Tahoma"/>
          <w:b/>
          <w:i/>
          <w:spacing w:val="-4"/>
          <w:sz w:val="22"/>
          <w:szCs w:val="24"/>
          <w:lang w:val="es-ES"/>
        </w:rPr>
      </w:pPr>
    </w:p>
    <w:bookmarkEnd w:id="7"/>
    <w:p w14:paraId="26A20DC9" w14:textId="77777777" w:rsidR="00E44FBB" w:rsidRPr="00E44FBB" w:rsidRDefault="00E44FBB" w:rsidP="00E44FBB">
      <w:pPr>
        <w:spacing w:line="240" w:lineRule="auto"/>
        <w:ind w:left="426" w:right="420" w:firstLine="709"/>
        <w:rPr>
          <w:rFonts w:eastAsia="Calibri" w:cs="Tahoma"/>
          <w:b/>
          <w:i/>
          <w:sz w:val="22"/>
          <w:szCs w:val="24"/>
          <w:lang w:val="es-ES"/>
        </w:rPr>
      </w:pPr>
      <w:r w:rsidRPr="00E44FBB">
        <w:rPr>
          <w:rFonts w:eastAsia="Calibri" w:cs="Tahoma"/>
          <w:b/>
          <w:i/>
          <w:sz w:val="22"/>
          <w:szCs w:val="24"/>
          <w:lang w:val="es-ES"/>
        </w:rPr>
        <w:t>1.4 Conclusión: La constatación del deber de información es ineludible</w:t>
      </w:r>
    </w:p>
    <w:p w14:paraId="31F7A340" w14:textId="77777777" w:rsidR="00E44FBB" w:rsidRPr="00E44FBB" w:rsidRDefault="00E44FBB" w:rsidP="00E44FBB">
      <w:pPr>
        <w:spacing w:line="240" w:lineRule="auto"/>
        <w:ind w:left="426" w:right="420" w:firstLine="709"/>
        <w:rPr>
          <w:rFonts w:eastAsia="Calibri" w:cs="Tahoma"/>
          <w:b/>
          <w:i/>
          <w:sz w:val="22"/>
          <w:szCs w:val="24"/>
          <w:lang w:val="es-ES"/>
        </w:rPr>
      </w:pPr>
    </w:p>
    <w:p w14:paraId="043E8FD1" w14:textId="77777777" w:rsidR="00E44FBB" w:rsidRPr="00E44FBB" w:rsidRDefault="00E44FBB" w:rsidP="00E44FBB">
      <w:pPr>
        <w:spacing w:line="240" w:lineRule="auto"/>
        <w:ind w:left="426" w:right="420" w:firstLine="1"/>
        <w:rPr>
          <w:rFonts w:eastAsia="Calibri" w:cs="Tahoma"/>
          <w:i/>
          <w:sz w:val="22"/>
          <w:szCs w:val="24"/>
          <w:lang w:val="es-ES"/>
        </w:rPr>
      </w:pPr>
      <w:r w:rsidRPr="00E44FBB">
        <w:rPr>
          <w:rFonts w:eastAsia="Calibri" w:cs="Tahoma"/>
          <w:i/>
          <w:sz w:val="22"/>
          <w:szCs w:val="24"/>
          <w:lang w:val="es-ES"/>
        </w:rPr>
        <w:t xml:space="preserve">Según se pudo advertir del anterior recuento, </w:t>
      </w:r>
      <w:r w:rsidRPr="00E44FBB">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E44FBB">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F1FF5ED" w14:textId="77777777" w:rsidR="00E44FBB" w:rsidRPr="00E44FBB" w:rsidRDefault="00E44FBB" w:rsidP="00E44FBB">
      <w:pPr>
        <w:spacing w:line="240" w:lineRule="auto"/>
        <w:ind w:left="426" w:right="420" w:firstLine="1"/>
        <w:rPr>
          <w:rFonts w:eastAsia="Calibri" w:cs="Tahoma"/>
          <w:i/>
          <w:sz w:val="22"/>
          <w:szCs w:val="24"/>
          <w:lang w:val="es-ES"/>
        </w:rPr>
      </w:pPr>
    </w:p>
    <w:p w14:paraId="382A7D5C"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117FA6D" w14:textId="77777777" w:rsidR="00E44FBB" w:rsidRPr="00E44FBB" w:rsidRDefault="00E44FBB" w:rsidP="00E44FBB">
      <w:pPr>
        <w:spacing w:line="240" w:lineRule="auto"/>
        <w:ind w:left="426" w:right="420" w:firstLine="709"/>
        <w:rPr>
          <w:rFonts w:eastAsia="Calibri" w:cs="Tahoma"/>
          <w:i/>
          <w:sz w:val="22"/>
          <w:szCs w:val="24"/>
          <w:lang w:val="es-ES"/>
        </w:rPr>
      </w:pPr>
    </w:p>
    <w:p w14:paraId="1FEF16CB"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 xml:space="preserve">Adicionalmente, la Sala no puede pasar por alto la indebida fundamentación con la que </w:t>
      </w:r>
      <w:r w:rsidRPr="00E44FBB">
        <w:rPr>
          <w:rFonts w:eastAsia="Calibri" w:cs="Tahoma"/>
          <w:bCs/>
          <w:i/>
          <w:sz w:val="22"/>
          <w:szCs w:val="24"/>
          <w:lang w:val="es-ES"/>
        </w:rPr>
        <w:t>la Sala Primera de Decisión Laboral del Tribunal de Medellín</w:t>
      </w:r>
      <w:r w:rsidRPr="00E44FBB">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24A3281" w14:textId="77777777" w:rsidR="00E44FBB" w:rsidRPr="00E44FBB" w:rsidRDefault="00E44FBB" w:rsidP="00E44FBB">
      <w:pPr>
        <w:spacing w:line="276" w:lineRule="auto"/>
        <w:ind w:left="708" w:firstLine="709"/>
        <w:rPr>
          <w:rFonts w:eastAsia="Calibri" w:cs="Tahoma"/>
          <w:i/>
          <w:spacing w:val="-4"/>
          <w:szCs w:val="24"/>
        </w:rPr>
      </w:pPr>
    </w:p>
    <w:p w14:paraId="638040A6" w14:textId="77777777" w:rsidR="00E44FBB" w:rsidRPr="00E44FBB" w:rsidRDefault="00E44FBB" w:rsidP="00E44FBB">
      <w:pPr>
        <w:spacing w:line="276" w:lineRule="auto"/>
        <w:ind w:firstLine="644"/>
        <w:rPr>
          <w:rFonts w:eastAsia="Calibri" w:cs="Tahoma"/>
          <w:spacing w:val="-4"/>
          <w:szCs w:val="24"/>
        </w:rPr>
      </w:pPr>
      <w:r w:rsidRPr="00E44FBB">
        <w:rPr>
          <w:rFonts w:eastAsia="Calibri" w:cs="Tahoma"/>
          <w:spacing w:val="-4"/>
          <w:szCs w:val="24"/>
        </w:rPr>
        <w:t>Con lo dicho precedentemente queda resuelto el primer problema jurídico.</w:t>
      </w:r>
    </w:p>
    <w:bookmarkEnd w:id="8"/>
    <w:p w14:paraId="4A3D0C93"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23184F4D" w14:textId="77777777" w:rsidR="00E44FBB" w:rsidRPr="00E44FBB" w:rsidRDefault="00E44FBB" w:rsidP="00264D15">
      <w:pPr>
        <w:widowControl w:val="0"/>
        <w:numPr>
          <w:ilvl w:val="1"/>
          <w:numId w:val="9"/>
        </w:numPr>
        <w:autoSpaceDE w:val="0"/>
        <w:autoSpaceDN w:val="0"/>
        <w:adjustRightInd w:val="0"/>
        <w:spacing w:line="276" w:lineRule="auto"/>
        <w:jc w:val="left"/>
        <w:rPr>
          <w:rFonts w:eastAsia="Calibri" w:cs="Tahoma"/>
          <w:iCs/>
          <w:szCs w:val="24"/>
        </w:rPr>
      </w:pPr>
      <w:r w:rsidRPr="00E44FBB">
        <w:rPr>
          <w:rFonts w:eastAsia="Calibri" w:cs="Tahoma"/>
          <w:b/>
          <w:iCs/>
          <w:szCs w:val="24"/>
        </w:rPr>
        <w:t xml:space="preserve">“El simple consentimiento vertido en el formulario de afiliación </w:t>
      </w:r>
      <w:r w:rsidRPr="00E44FBB">
        <w:rPr>
          <w:rFonts w:eastAsia="Calibri" w:cs="Tahoma"/>
          <w:b/>
          <w:iCs/>
          <w:szCs w:val="24"/>
        </w:rPr>
        <w:lastRenderedPageBreak/>
        <w:t xml:space="preserve">es insuficiente – Necesidad de un consentimiento informado” </w:t>
      </w:r>
      <w:r w:rsidRPr="00E44FBB">
        <w:rPr>
          <w:rFonts w:eastAsia="Calibri" w:cs="Tahoma"/>
          <w:b/>
          <w:iCs/>
          <w:szCs w:val="24"/>
          <w:vertAlign w:val="superscript"/>
        </w:rPr>
        <w:footnoteReference w:id="3"/>
      </w:r>
      <w:r w:rsidRPr="00E44FBB">
        <w:rPr>
          <w:rFonts w:eastAsia="Calibri" w:cs="Tahoma"/>
          <w:iCs/>
          <w:szCs w:val="24"/>
        </w:rPr>
        <w:t xml:space="preserve"> </w:t>
      </w:r>
    </w:p>
    <w:p w14:paraId="76A70606"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009F1835"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E44FBB">
        <w:rPr>
          <w:rFonts w:eastAsia="Calibri" w:cs="Tahoma"/>
          <w:b/>
          <w:szCs w:val="24"/>
        </w:rPr>
        <w:t>pero no informado</w:t>
      </w:r>
      <w:r w:rsidRPr="00E44FBB">
        <w:rPr>
          <w:rFonts w:eastAsia="Calibri" w:cs="Tahoma"/>
          <w:szCs w:val="24"/>
        </w:rPr>
        <w:t xml:space="preserve">, tal como se expresa a continuación: </w:t>
      </w:r>
    </w:p>
    <w:p w14:paraId="72705ED3"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5BF2BFFC" w14:textId="77777777" w:rsidR="00E44FBB" w:rsidRPr="00E44FBB" w:rsidRDefault="00E44FBB" w:rsidP="00E44FBB">
      <w:pPr>
        <w:spacing w:line="240" w:lineRule="auto"/>
        <w:ind w:left="426" w:right="420" w:firstLine="1"/>
        <w:rPr>
          <w:rFonts w:eastAsia="Calibri" w:cs="Tahoma"/>
          <w:i/>
          <w:sz w:val="22"/>
          <w:szCs w:val="24"/>
          <w:lang w:val="es-ES"/>
        </w:rPr>
      </w:pPr>
      <w:r w:rsidRPr="00E44FBB">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0ABC0B2E" w14:textId="77777777" w:rsidR="00E44FBB" w:rsidRPr="00E44FBB" w:rsidRDefault="00E44FBB" w:rsidP="00E44FBB">
      <w:pPr>
        <w:spacing w:line="240" w:lineRule="auto"/>
        <w:ind w:left="426" w:right="420" w:firstLine="1"/>
        <w:rPr>
          <w:rFonts w:eastAsia="Calibri" w:cs="Tahoma"/>
          <w:i/>
          <w:sz w:val="22"/>
          <w:szCs w:val="24"/>
          <w:lang w:val="es-ES"/>
        </w:rPr>
      </w:pPr>
    </w:p>
    <w:p w14:paraId="6B059503" w14:textId="77777777" w:rsidR="00E44FBB" w:rsidRPr="00E44FBB" w:rsidRDefault="00E44FBB" w:rsidP="00E44FBB">
      <w:pPr>
        <w:spacing w:line="240" w:lineRule="auto"/>
        <w:ind w:left="426" w:right="420" w:firstLine="1"/>
        <w:rPr>
          <w:rFonts w:eastAsia="Calibri" w:cs="Tahoma"/>
          <w:i/>
          <w:sz w:val="22"/>
          <w:szCs w:val="24"/>
          <w:lang w:val="es-ES"/>
        </w:rPr>
      </w:pPr>
      <w:r w:rsidRPr="00E44FBB">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03281DC" w14:textId="77777777" w:rsidR="00E44FBB" w:rsidRPr="00E44FBB" w:rsidRDefault="00E44FBB" w:rsidP="00E44FBB">
      <w:pPr>
        <w:spacing w:line="240" w:lineRule="auto"/>
        <w:ind w:left="426" w:right="420" w:firstLine="1"/>
        <w:rPr>
          <w:rFonts w:eastAsia="Calibri" w:cs="Tahoma"/>
          <w:i/>
          <w:sz w:val="22"/>
          <w:szCs w:val="24"/>
          <w:lang w:val="es-ES"/>
        </w:rPr>
      </w:pPr>
    </w:p>
    <w:p w14:paraId="3CACB2CF" w14:textId="77777777" w:rsidR="00E44FBB" w:rsidRPr="00E44FBB" w:rsidRDefault="00E44FBB" w:rsidP="00E44FBB">
      <w:pPr>
        <w:spacing w:line="240" w:lineRule="auto"/>
        <w:ind w:left="426" w:right="420" w:firstLine="1"/>
        <w:rPr>
          <w:rFonts w:eastAsia="Calibri" w:cs="Tahoma"/>
          <w:i/>
          <w:sz w:val="22"/>
          <w:szCs w:val="24"/>
          <w:lang w:val="es-ES"/>
        </w:rPr>
      </w:pPr>
      <w:r w:rsidRPr="00E44FBB">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8547987" w14:textId="77777777" w:rsidR="00E44FBB" w:rsidRPr="00E44FBB" w:rsidRDefault="00E44FBB" w:rsidP="00E44FBB">
      <w:pPr>
        <w:spacing w:line="240" w:lineRule="auto"/>
        <w:ind w:left="426" w:right="420" w:firstLine="1"/>
        <w:rPr>
          <w:rFonts w:eastAsia="Calibri" w:cs="Tahoma"/>
          <w:i/>
          <w:sz w:val="22"/>
          <w:szCs w:val="24"/>
          <w:lang w:val="es-ES"/>
        </w:rPr>
      </w:pPr>
    </w:p>
    <w:p w14:paraId="6BC71113" w14:textId="77777777" w:rsidR="00E44FBB" w:rsidRPr="00E44FBB" w:rsidRDefault="00E44FBB" w:rsidP="00E44FBB">
      <w:pPr>
        <w:spacing w:line="240" w:lineRule="auto"/>
        <w:ind w:left="426" w:right="420" w:firstLine="1"/>
        <w:rPr>
          <w:rFonts w:eastAsia="Calibri" w:cs="Tahoma"/>
          <w:i/>
          <w:sz w:val="22"/>
          <w:szCs w:val="24"/>
          <w:lang w:val="es-ES"/>
        </w:rPr>
      </w:pPr>
      <w:r w:rsidRPr="00E44FBB">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EE6E85C" w14:textId="77777777" w:rsidR="00E44FBB" w:rsidRPr="00E44FBB" w:rsidRDefault="00E44FBB" w:rsidP="00E44FBB">
      <w:pPr>
        <w:widowControl w:val="0"/>
        <w:autoSpaceDE w:val="0"/>
        <w:autoSpaceDN w:val="0"/>
        <w:adjustRightInd w:val="0"/>
        <w:spacing w:line="276" w:lineRule="auto"/>
        <w:ind w:firstLine="284"/>
        <w:rPr>
          <w:rFonts w:eastAsia="Calibri" w:cs="Tahoma"/>
          <w:bCs/>
          <w:szCs w:val="24"/>
        </w:rPr>
      </w:pPr>
    </w:p>
    <w:p w14:paraId="0B6CDEFA" w14:textId="77777777" w:rsidR="00E44FBB" w:rsidRPr="00E44FBB" w:rsidRDefault="00E44FBB" w:rsidP="00E44FBB">
      <w:pPr>
        <w:widowControl w:val="0"/>
        <w:autoSpaceDE w:val="0"/>
        <w:autoSpaceDN w:val="0"/>
        <w:adjustRightInd w:val="0"/>
        <w:spacing w:line="276" w:lineRule="auto"/>
        <w:ind w:firstLine="708"/>
        <w:rPr>
          <w:rFonts w:eastAsia="Calibri" w:cs="Tahoma"/>
          <w:bCs/>
          <w:szCs w:val="24"/>
        </w:rPr>
      </w:pPr>
      <w:r w:rsidRPr="00E44FBB">
        <w:rPr>
          <w:rFonts w:eastAsia="Calibri"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E44FBB">
        <w:rPr>
          <w:rFonts w:eastAsia="Calibri" w:cs="Tahoma"/>
          <w:bCs/>
          <w:szCs w:val="24"/>
          <w:vertAlign w:val="superscript"/>
        </w:rPr>
        <w:footnoteReference w:id="4"/>
      </w:r>
      <w:r w:rsidRPr="00E44FBB">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6AB2D038" w14:textId="77777777" w:rsidR="00E44FBB" w:rsidRPr="00E44FBB" w:rsidRDefault="00E44FBB" w:rsidP="00E44FBB">
      <w:pPr>
        <w:widowControl w:val="0"/>
        <w:autoSpaceDE w:val="0"/>
        <w:autoSpaceDN w:val="0"/>
        <w:adjustRightInd w:val="0"/>
        <w:spacing w:line="276" w:lineRule="auto"/>
        <w:ind w:firstLine="284"/>
        <w:rPr>
          <w:rFonts w:eastAsia="Calibri" w:cs="Tahoma"/>
          <w:bCs/>
          <w:i/>
          <w:szCs w:val="24"/>
        </w:rPr>
      </w:pPr>
    </w:p>
    <w:p w14:paraId="68EAE569"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166FCAA8" w14:textId="77777777" w:rsidR="00E44FBB" w:rsidRPr="00E44FBB" w:rsidRDefault="00E44FBB" w:rsidP="00E44FBB">
      <w:pPr>
        <w:spacing w:line="240" w:lineRule="auto"/>
        <w:ind w:left="426" w:right="420" w:firstLine="708"/>
        <w:rPr>
          <w:rFonts w:eastAsia="Calibri" w:cs="Tahoma"/>
          <w:b/>
          <w:i/>
          <w:sz w:val="22"/>
          <w:szCs w:val="24"/>
          <w:lang w:val="es-ES"/>
        </w:rPr>
      </w:pPr>
    </w:p>
    <w:p w14:paraId="59BE5CE1" w14:textId="77777777" w:rsidR="00E44FBB" w:rsidRPr="00E44FBB" w:rsidRDefault="00E44FBB" w:rsidP="00E44FBB">
      <w:pPr>
        <w:tabs>
          <w:tab w:val="left" w:pos="709"/>
        </w:tabs>
        <w:spacing w:line="240" w:lineRule="auto"/>
        <w:ind w:left="426" w:right="420"/>
        <w:rPr>
          <w:rFonts w:eastAsia="Calibri" w:cs="Tahoma"/>
          <w:i/>
          <w:sz w:val="22"/>
          <w:szCs w:val="24"/>
          <w:lang w:val="es-ES"/>
        </w:rPr>
      </w:pPr>
      <w:r w:rsidRPr="00E44FBB">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6FE195F" w14:textId="77777777" w:rsidR="00E44FBB" w:rsidRPr="00E44FBB" w:rsidRDefault="00E44FBB" w:rsidP="00E44FBB">
      <w:pPr>
        <w:spacing w:line="276" w:lineRule="auto"/>
        <w:rPr>
          <w:rFonts w:cs="Tahoma"/>
          <w:szCs w:val="24"/>
        </w:rPr>
      </w:pPr>
      <w:r w:rsidRPr="00E44FBB">
        <w:rPr>
          <w:rFonts w:eastAsia="Tahoma" w:cs="Tahoma"/>
          <w:szCs w:val="24"/>
        </w:rPr>
        <w:t xml:space="preserve"> </w:t>
      </w:r>
    </w:p>
    <w:p w14:paraId="0D205876" w14:textId="77777777" w:rsidR="00E44FBB" w:rsidRPr="00E44FBB" w:rsidRDefault="00E44FBB" w:rsidP="00E44FBB">
      <w:pPr>
        <w:spacing w:line="276" w:lineRule="auto"/>
        <w:ind w:firstLine="284"/>
        <w:rPr>
          <w:rFonts w:cs="Tahoma"/>
          <w:szCs w:val="24"/>
        </w:rPr>
      </w:pPr>
      <w:r w:rsidRPr="00E44FBB">
        <w:rPr>
          <w:rFonts w:eastAsia="Tahoma" w:cs="Tahoma"/>
          <w:szCs w:val="24"/>
          <w:lang w:val="es"/>
        </w:rPr>
        <w:t xml:space="preserve">Igual cosa se ha predicado de las </w:t>
      </w:r>
      <w:proofErr w:type="spellStart"/>
      <w:r w:rsidRPr="00E44FBB">
        <w:rPr>
          <w:rFonts w:eastAsia="Tahoma" w:cs="Tahoma"/>
          <w:szCs w:val="24"/>
          <w:lang w:val="es"/>
        </w:rPr>
        <w:t>reasesorías</w:t>
      </w:r>
      <w:proofErr w:type="spellEnd"/>
      <w:r w:rsidRPr="00E44FBB">
        <w:rPr>
          <w:rFonts w:eastAsia="Tahoma" w:cs="Tahoma"/>
          <w:szCs w:val="24"/>
          <w:lang w:val="es"/>
        </w:rPr>
        <w:t xml:space="preserve"> posteriores dadas al interior de las AFP, las cuales tampoco convalidan el traslado, como quedó dicho en la citada </w:t>
      </w:r>
      <w:r w:rsidRPr="00E44FBB">
        <w:rPr>
          <w:rFonts w:eastAsia="Tahoma" w:cs="Tahoma"/>
          <w:szCs w:val="24"/>
        </w:rPr>
        <w:t xml:space="preserve">sentencia del 8 de mayo de 2019SL 1688-2019, así: </w:t>
      </w:r>
    </w:p>
    <w:p w14:paraId="2CEE5F97" w14:textId="77777777" w:rsidR="00E44FBB" w:rsidRPr="00E44FBB" w:rsidRDefault="00E44FBB" w:rsidP="00E44FBB">
      <w:pPr>
        <w:spacing w:line="276" w:lineRule="auto"/>
        <w:rPr>
          <w:rFonts w:cs="Tahoma"/>
          <w:szCs w:val="24"/>
        </w:rPr>
      </w:pPr>
      <w:r w:rsidRPr="00E44FBB">
        <w:rPr>
          <w:rFonts w:eastAsia="Tahoma" w:cs="Tahoma"/>
          <w:szCs w:val="24"/>
          <w:lang w:val="es"/>
        </w:rPr>
        <w:t xml:space="preserve">  </w:t>
      </w:r>
    </w:p>
    <w:p w14:paraId="4FD5EA96"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 xml:space="preserve">“Ahora, si bien la AFP brindó a la actora una </w:t>
      </w:r>
      <w:proofErr w:type="spellStart"/>
      <w:r w:rsidRPr="00E44FBB">
        <w:rPr>
          <w:rFonts w:eastAsia="Calibri" w:cs="Tahoma"/>
          <w:i/>
          <w:sz w:val="22"/>
          <w:szCs w:val="24"/>
          <w:lang w:val="es-ES"/>
        </w:rPr>
        <w:t>reasesoría</w:t>
      </w:r>
      <w:proofErr w:type="spellEnd"/>
      <w:r w:rsidRPr="00E44FBB">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C956850" w14:textId="77777777" w:rsidR="00E44FBB" w:rsidRPr="00E44FBB" w:rsidRDefault="00E44FBB" w:rsidP="00E44FBB">
      <w:pPr>
        <w:spacing w:line="240" w:lineRule="auto"/>
        <w:ind w:left="426" w:right="420" w:firstLine="709"/>
        <w:rPr>
          <w:rFonts w:eastAsia="Arial Narrow" w:cs="Tahoma"/>
          <w:i/>
          <w:iCs/>
          <w:sz w:val="22"/>
          <w:szCs w:val="24"/>
          <w:lang w:val="es-ES"/>
        </w:rPr>
      </w:pPr>
      <w:r w:rsidRPr="00E44FBB">
        <w:rPr>
          <w:rFonts w:eastAsia="Arial Narrow" w:cs="Tahoma"/>
          <w:i/>
          <w:iCs/>
          <w:sz w:val="22"/>
          <w:szCs w:val="24"/>
          <w:lang w:val="es-ES"/>
        </w:rPr>
        <w:t xml:space="preserve"> </w:t>
      </w:r>
    </w:p>
    <w:p w14:paraId="6ACFAD83"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E44FBB">
        <w:rPr>
          <w:rFonts w:eastAsia="Calibri" w:cs="Tahoma"/>
          <w:i/>
          <w:sz w:val="22"/>
          <w:szCs w:val="24"/>
          <w:lang w:val="es-ES"/>
        </w:rPr>
        <w:t>reasesoría</w:t>
      </w:r>
      <w:proofErr w:type="spellEnd"/>
      <w:r w:rsidRPr="00E44FBB">
        <w:rPr>
          <w:rFonts w:eastAsia="Calibri" w:cs="Tahoma"/>
          <w:i/>
          <w:sz w:val="22"/>
          <w:szCs w:val="24"/>
          <w:lang w:val="es-ES"/>
        </w:rPr>
        <w:t>, de todas formas ya había perdido la transición.</w:t>
      </w:r>
    </w:p>
    <w:p w14:paraId="3C405C5F" w14:textId="77777777" w:rsidR="00E44FBB" w:rsidRPr="00E44FBB" w:rsidRDefault="00E44FBB" w:rsidP="00E44FBB">
      <w:pPr>
        <w:spacing w:line="240" w:lineRule="auto"/>
        <w:ind w:left="426" w:right="420" w:firstLine="709"/>
        <w:rPr>
          <w:rFonts w:eastAsia="Arial Narrow" w:cs="Tahoma"/>
          <w:i/>
          <w:iCs/>
          <w:sz w:val="22"/>
          <w:szCs w:val="24"/>
          <w:lang w:val="es-ES"/>
        </w:rPr>
      </w:pPr>
      <w:r w:rsidRPr="00E44FBB">
        <w:rPr>
          <w:rFonts w:eastAsia="Arial Narrow" w:cs="Tahoma"/>
          <w:i/>
          <w:iCs/>
          <w:sz w:val="22"/>
          <w:szCs w:val="24"/>
          <w:lang w:val="es-ES"/>
        </w:rPr>
        <w:t xml:space="preserve"> </w:t>
      </w:r>
    </w:p>
    <w:p w14:paraId="0C248401"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FE8C585" w14:textId="77777777" w:rsidR="00E44FBB" w:rsidRPr="00E44FBB" w:rsidRDefault="00E44FBB" w:rsidP="00E44FBB">
      <w:pPr>
        <w:spacing w:line="240" w:lineRule="auto"/>
        <w:ind w:left="426" w:right="420" w:firstLine="709"/>
        <w:rPr>
          <w:rFonts w:eastAsia="Arial Narrow" w:cs="Tahoma"/>
          <w:i/>
          <w:iCs/>
          <w:sz w:val="22"/>
          <w:szCs w:val="24"/>
          <w:lang w:val="es-ES"/>
        </w:rPr>
      </w:pPr>
      <w:r w:rsidRPr="00E44FBB">
        <w:rPr>
          <w:rFonts w:eastAsia="Arial Narrow" w:cs="Tahoma"/>
          <w:i/>
          <w:iCs/>
          <w:sz w:val="22"/>
          <w:szCs w:val="24"/>
          <w:lang w:val="es-ES"/>
        </w:rPr>
        <w:t xml:space="preserve"> </w:t>
      </w:r>
    </w:p>
    <w:p w14:paraId="4FEE7122" w14:textId="77777777" w:rsidR="00E44FBB" w:rsidRPr="00E44FBB" w:rsidRDefault="00E44FBB" w:rsidP="00E44FBB">
      <w:pPr>
        <w:spacing w:line="240" w:lineRule="auto"/>
        <w:ind w:left="426" w:right="420"/>
        <w:rPr>
          <w:rFonts w:eastAsia="Calibri" w:cs="Tahoma"/>
          <w:i/>
          <w:sz w:val="22"/>
          <w:szCs w:val="24"/>
          <w:lang w:val="es-ES"/>
        </w:rPr>
      </w:pPr>
      <w:r w:rsidRPr="00E44FBB">
        <w:rPr>
          <w:rFonts w:eastAsia="Calibri" w:cs="Tahoma"/>
          <w:i/>
          <w:sz w:val="22"/>
          <w:szCs w:val="24"/>
          <w:lang w:val="es-ES"/>
        </w:rPr>
        <w:t xml:space="preserve">Por otro lado, no es de recibo el planteo de Protección S.A., cuando sostiene que una vez realizó la </w:t>
      </w:r>
      <w:proofErr w:type="spellStart"/>
      <w:r w:rsidRPr="00E44FBB">
        <w:rPr>
          <w:rFonts w:eastAsia="Calibri" w:cs="Tahoma"/>
          <w:i/>
          <w:sz w:val="22"/>
          <w:szCs w:val="24"/>
          <w:lang w:val="es-ES"/>
        </w:rPr>
        <w:t>reasesoría</w:t>
      </w:r>
      <w:proofErr w:type="spellEnd"/>
      <w:r w:rsidRPr="00E44FBB">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976FBE6"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34AA522A" w14:textId="77777777" w:rsidR="00E44FBB" w:rsidRPr="00E44FBB" w:rsidRDefault="00E44FBB" w:rsidP="00264D15">
      <w:pPr>
        <w:widowControl w:val="0"/>
        <w:numPr>
          <w:ilvl w:val="1"/>
          <w:numId w:val="9"/>
        </w:numPr>
        <w:autoSpaceDE w:val="0"/>
        <w:autoSpaceDN w:val="0"/>
        <w:adjustRightInd w:val="0"/>
        <w:spacing w:line="276" w:lineRule="auto"/>
        <w:jc w:val="left"/>
        <w:rPr>
          <w:rFonts w:eastAsia="Calibri" w:cs="Tahoma"/>
          <w:b/>
          <w:iCs/>
          <w:szCs w:val="24"/>
        </w:rPr>
      </w:pPr>
      <w:r w:rsidRPr="00E44FBB">
        <w:rPr>
          <w:rFonts w:eastAsia="Calibri" w:cs="Tahoma"/>
          <w:b/>
          <w:iCs/>
          <w:szCs w:val="24"/>
        </w:rPr>
        <w:t xml:space="preserve">“De la carga de la prueba – Inversión a favor del afiliado” </w:t>
      </w:r>
      <w:r w:rsidRPr="00E44FBB">
        <w:rPr>
          <w:rFonts w:eastAsia="Calibri" w:cs="Tahoma"/>
          <w:b/>
          <w:iCs/>
          <w:szCs w:val="24"/>
          <w:vertAlign w:val="superscript"/>
        </w:rPr>
        <w:footnoteReference w:id="5"/>
      </w:r>
    </w:p>
    <w:p w14:paraId="051EE429" w14:textId="77777777" w:rsidR="00E44FBB" w:rsidRPr="00E44FBB" w:rsidRDefault="00E44FBB" w:rsidP="00E44FBB">
      <w:pPr>
        <w:widowControl w:val="0"/>
        <w:autoSpaceDE w:val="0"/>
        <w:autoSpaceDN w:val="0"/>
        <w:adjustRightInd w:val="0"/>
        <w:spacing w:line="276" w:lineRule="auto"/>
        <w:ind w:firstLine="284"/>
        <w:rPr>
          <w:rFonts w:eastAsia="Calibri" w:cs="Tahoma"/>
          <w:b/>
          <w:szCs w:val="24"/>
        </w:rPr>
      </w:pPr>
    </w:p>
    <w:p w14:paraId="0D23B6A4" w14:textId="77777777" w:rsidR="00E44FBB" w:rsidRPr="00E44FBB" w:rsidRDefault="00E44FBB" w:rsidP="00E44FBB">
      <w:pPr>
        <w:spacing w:line="276" w:lineRule="auto"/>
        <w:ind w:firstLine="284"/>
        <w:rPr>
          <w:rFonts w:cs="Tahoma"/>
          <w:szCs w:val="24"/>
        </w:rPr>
      </w:pPr>
      <w:r w:rsidRPr="00E44FBB">
        <w:rPr>
          <w:rFonts w:eastAsia="Tahoma" w:cs="Tahoma"/>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E44FBB">
        <w:rPr>
          <w:rFonts w:eastAsia="Tahoma" w:cs="Tahoma"/>
          <w:i/>
          <w:iCs/>
          <w:sz w:val="22"/>
          <w:szCs w:val="24"/>
        </w:rPr>
        <w:t>la prueba de la diligencia o cuidado incumbe al que ha debido emplearlo</w:t>
      </w:r>
      <w:r w:rsidRPr="00E44FBB">
        <w:rPr>
          <w:rFonts w:eastAsia="Tahoma" w:cs="Tahoma"/>
          <w:i/>
          <w:iCs/>
          <w:szCs w:val="24"/>
        </w:rPr>
        <w:t>”</w:t>
      </w:r>
      <w:r w:rsidRPr="00E44FBB">
        <w:rPr>
          <w:rFonts w:eastAsia="Tahoma" w:cs="Tahoma"/>
          <w:szCs w:val="24"/>
        </w:rPr>
        <w:t xml:space="preserve"> lo que quiere decir que la carga de la prueba recae en el fondo de pensiones. Dicha postura se ha </w:t>
      </w:r>
      <w:r w:rsidRPr="00E44FBB">
        <w:rPr>
          <w:rFonts w:eastAsia="Tahoma" w:cs="Tahoma"/>
          <w:szCs w:val="24"/>
        </w:rPr>
        <w:lastRenderedPageBreak/>
        <w:t xml:space="preserve">mantenido invariable, y se reiteró de manera más contundente en la citada sentencia, así: </w:t>
      </w:r>
    </w:p>
    <w:p w14:paraId="2E225878" w14:textId="77777777" w:rsidR="00E44FBB" w:rsidRPr="00E44FBB" w:rsidRDefault="00E44FBB" w:rsidP="00E44FBB">
      <w:pPr>
        <w:spacing w:line="276" w:lineRule="auto"/>
        <w:ind w:firstLine="708"/>
        <w:rPr>
          <w:rFonts w:cs="Tahoma"/>
          <w:szCs w:val="24"/>
        </w:rPr>
      </w:pPr>
      <w:r w:rsidRPr="00E44FBB">
        <w:rPr>
          <w:rFonts w:eastAsia="Tahoma" w:cs="Tahoma"/>
          <w:szCs w:val="24"/>
        </w:rPr>
        <w:t xml:space="preserve"> </w:t>
      </w:r>
    </w:p>
    <w:p w14:paraId="76A8B17B" w14:textId="77777777" w:rsidR="00E44FBB" w:rsidRPr="00E44FBB" w:rsidRDefault="00E44FBB" w:rsidP="00E44FBB">
      <w:pPr>
        <w:spacing w:line="240" w:lineRule="auto"/>
        <w:ind w:left="426" w:right="420" w:firstLine="1"/>
        <w:rPr>
          <w:rFonts w:eastAsia="Calibri" w:cs="Tahoma"/>
          <w:i/>
          <w:sz w:val="22"/>
          <w:lang w:val="es-ES"/>
        </w:rPr>
      </w:pPr>
      <w:r w:rsidRPr="00E44FBB">
        <w:rPr>
          <w:rFonts w:eastAsia="Calibri" w:cs="Tahoma"/>
          <w:sz w:val="22"/>
          <w:lang w:val="es-ES"/>
        </w:rPr>
        <w:t>“</w:t>
      </w:r>
      <w:r w:rsidRPr="00E44FBB">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0ADBD3C" w14:textId="77777777" w:rsidR="00E44FBB" w:rsidRPr="00E44FBB" w:rsidRDefault="00E44FBB" w:rsidP="00E44FBB">
      <w:pPr>
        <w:spacing w:line="240" w:lineRule="auto"/>
        <w:ind w:left="426" w:right="420" w:firstLine="1"/>
        <w:rPr>
          <w:rFonts w:eastAsia="Calibri" w:cs="Tahoma"/>
          <w:i/>
          <w:sz w:val="22"/>
          <w:lang w:val="es-ES"/>
        </w:rPr>
      </w:pPr>
    </w:p>
    <w:p w14:paraId="644182E2" w14:textId="77777777" w:rsidR="00E44FBB" w:rsidRPr="00E44FBB" w:rsidRDefault="00E44FBB" w:rsidP="00E44FBB">
      <w:pPr>
        <w:spacing w:line="240" w:lineRule="auto"/>
        <w:ind w:left="426" w:right="420" w:firstLine="1"/>
        <w:rPr>
          <w:rFonts w:eastAsia="Calibri" w:cs="Tahoma"/>
          <w:i/>
          <w:sz w:val="22"/>
          <w:lang w:val="es-ES"/>
        </w:rPr>
      </w:pPr>
      <w:r w:rsidRPr="00E44FBB">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046FB02" w14:textId="77777777" w:rsidR="00E44FBB" w:rsidRPr="00E44FBB" w:rsidRDefault="00E44FBB" w:rsidP="00E44FBB">
      <w:pPr>
        <w:spacing w:line="240" w:lineRule="auto"/>
        <w:ind w:left="426" w:right="420" w:firstLine="1"/>
        <w:rPr>
          <w:rFonts w:eastAsia="Calibri" w:cs="Tahoma"/>
          <w:i/>
          <w:sz w:val="22"/>
          <w:lang w:val="es-ES"/>
        </w:rPr>
      </w:pPr>
    </w:p>
    <w:p w14:paraId="7E184C92" w14:textId="77777777" w:rsidR="00E44FBB" w:rsidRPr="00E44FBB" w:rsidRDefault="00E44FBB" w:rsidP="00E44FBB">
      <w:pPr>
        <w:spacing w:line="240" w:lineRule="auto"/>
        <w:ind w:left="426" w:right="420" w:firstLine="1"/>
        <w:rPr>
          <w:rFonts w:eastAsia="Calibri" w:cs="Tahoma"/>
          <w:i/>
          <w:sz w:val="22"/>
          <w:lang w:val="es-ES"/>
        </w:rPr>
      </w:pPr>
      <w:r w:rsidRPr="00E44FBB">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53E7CDF" w14:textId="77777777" w:rsidR="00E44FBB" w:rsidRPr="00E44FBB" w:rsidRDefault="00E44FBB" w:rsidP="00E44FBB">
      <w:pPr>
        <w:spacing w:line="240" w:lineRule="auto"/>
        <w:ind w:left="426" w:right="420" w:firstLine="1"/>
        <w:rPr>
          <w:rFonts w:eastAsia="Calibri" w:cs="Tahoma"/>
          <w:i/>
          <w:sz w:val="22"/>
          <w:lang w:val="es-ES"/>
        </w:rPr>
      </w:pPr>
    </w:p>
    <w:p w14:paraId="494925FE" w14:textId="77777777" w:rsidR="00E44FBB" w:rsidRPr="00E44FBB" w:rsidRDefault="00E44FBB" w:rsidP="00E44FBB">
      <w:pPr>
        <w:spacing w:line="240" w:lineRule="auto"/>
        <w:ind w:left="426" w:right="420" w:firstLine="1"/>
        <w:rPr>
          <w:rFonts w:eastAsia="Calibri" w:cs="Tahoma"/>
          <w:i/>
          <w:iCs/>
          <w:sz w:val="22"/>
          <w:lang w:val="es-ES"/>
        </w:rPr>
      </w:pPr>
      <w:r w:rsidRPr="00E44FBB">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E44FBB">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164356D8" w14:textId="77777777" w:rsidR="00E44FBB" w:rsidRPr="00E44FBB" w:rsidRDefault="00E44FBB" w:rsidP="00E44FBB">
      <w:pPr>
        <w:spacing w:line="240" w:lineRule="auto"/>
        <w:ind w:left="426" w:right="420" w:firstLine="1"/>
        <w:rPr>
          <w:rFonts w:eastAsia="Calibri" w:cs="Tahoma"/>
          <w:i/>
          <w:iCs/>
          <w:sz w:val="22"/>
          <w:lang w:val="es-ES"/>
        </w:rPr>
      </w:pPr>
    </w:p>
    <w:p w14:paraId="30676094" w14:textId="77777777" w:rsidR="00E44FBB" w:rsidRPr="00E44FBB" w:rsidRDefault="00E44FBB" w:rsidP="00E44FBB">
      <w:pPr>
        <w:spacing w:line="240" w:lineRule="auto"/>
        <w:ind w:left="426" w:right="420" w:firstLine="1"/>
        <w:rPr>
          <w:rFonts w:eastAsia="Calibri" w:cs="Tahoma"/>
          <w:i/>
          <w:iCs/>
          <w:sz w:val="22"/>
          <w:lang w:val="es-ES"/>
        </w:rPr>
      </w:pPr>
      <w:r w:rsidRPr="00E44FBB">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8F0EBE1" w14:textId="77777777" w:rsidR="00E44FBB" w:rsidRPr="00E44FBB" w:rsidRDefault="00E44FBB" w:rsidP="00E44FBB">
      <w:pPr>
        <w:spacing w:line="240" w:lineRule="auto"/>
        <w:ind w:left="426" w:right="420" w:firstLine="1"/>
        <w:rPr>
          <w:rFonts w:eastAsia="Calibri" w:cs="Tahoma"/>
          <w:i/>
          <w:iCs/>
          <w:sz w:val="22"/>
          <w:lang w:val="es-ES"/>
        </w:rPr>
      </w:pPr>
    </w:p>
    <w:p w14:paraId="1D95CF9C" w14:textId="77777777" w:rsidR="00E44FBB" w:rsidRPr="00E44FBB" w:rsidRDefault="00E44FBB" w:rsidP="00E44FBB">
      <w:pPr>
        <w:spacing w:line="240" w:lineRule="auto"/>
        <w:ind w:left="426" w:right="420" w:firstLine="1"/>
        <w:rPr>
          <w:rFonts w:eastAsia="Calibri" w:cs="Tahoma"/>
          <w:i/>
          <w:iCs/>
          <w:sz w:val="22"/>
          <w:lang w:val="es-ES"/>
        </w:rPr>
      </w:pPr>
      <w:r w:rsidRPr="00E44FBB">
        <w:rPr>
          <w:rFonts w:eastAsia="Calibri" w:cs="Tahoma"/>
          <w:i/>
          <w:sz w:val="22"/>
          <w:lang w:val="es-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74A6858" w14:textId="77777777" w:rsidR="00E44FBB" w:rsidRPr="00E44FBB" w:rsidRDefault="00E44FBB" w:rsidP="00E44FBB">
      <w:pPr>
        <w:spacing w:line="240" w:lineRule="auto"/>
        <w:ind w:left="426" w:right="420" w:firstLine="1"/>
        <w:rPr>
          <w:rFonts w:eastAsia="Calibri" w:cs="Tahoma"/>
          <w:i/>
          <w:iCs/>
          <w:sz w:val="22"/>
          <w:lang w:val="es-ES"/>
        </w:rPr>
      </w:pPr>
    </w:p>
    <w:p w14:paraId="1C91B530" w14:textId="77777777" w:rsidR="00E44FBB" w:rsidRPr="00E44FBB" w:rsidRDefault="00E44FBB" w:rsidP="00E44FBB">
      <w:pPr>
        <w:spacing w:line="240" w:lineRule="auto"/>
        <w:ind w:left="426" w:right="420" w:firstLine="1"/>
        <w:rPr>
          <w:rFonts w:eastAsia="Calibri" w:cs="Tahoma"/>
          <w:sz w:val="22"/>
          <w:lang w:val="es-ES"/>
        </w:rPr>
      </w:pPr>
      <w:r w:rsidRPr="00E44FBB">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E44FBB">
        <w:rPr>
          <w:rFonts w:eastAsia="Calibri" w:cs="Tahoma"/>
          <w:sz w:val="22"/>
          <w:lang w:val="es-ES"/>
        </w:rPr>
        <w:t xml:space="preserve"> </w:t>
      </w:r>
    </w:p>
    <w:p w14:paraId="1CE0B547"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7397192A" w14:textId="77777777" w:rsidR="00E44FBB" w:rsidRPr="00E44FBB" w:rsidRDefault="00E44FBB" w:rsidP="00264D15">
      <w:pPr>
        <w:widowControl w:val="0"/>
        <w:numPr>
          <w:ilvl w:val="1"/>
          <w:numId w:val="9"/>
        </w:numPr>
        <w:autoSpaceDE w:val="0"/>
        <w:autoSpaceDN w:val="0"/>
        <w:adjustRightInd w:val="0"/>
        <w:spacing w:line="276" w:lineRule="auto"/>
        <w:jc w:val="left"/>
        <w:rPr>
          <w:rFonts w:eastAsia="Calibri" w:cs="Tahoma"/>
          <w:b/>
          <w:szCs w:val="24"/>
        </w:rPr>
      </w:pPr>
      <w:r w:rsidRPr="00E44FBB">
        <w:rPr>
          <w:rFonts w:eastAsia="Calibri" w:cs="Tahoma"/>
          <w:b/>
          <w:szCs w:val="24"/>
        </w:rPr>
        <w:t>Consecuencias de la declaratoria de ineficacia del traslado: Devolución de las cuotas de administración y de otros valores debidamente indexados</w:t>
      </w:r>
    </w:p>
    <w:p w14:paraId="06AD5F31"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442982E3"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szCs w:val="24"/>
        </w:rPr>
        <w:t xml:space="preserve">En la sentencia SL1421 de 2019, Rad. 56174, M.P. Gerardo Botero Zuluaga, </w:t>
      </w:r>
      <w:r w:rsidRPr="00E44FBB">
        <w:rPr>
          <w:rFonts w:eastAsia="Calibri" w:cs="Tahoma"/>
          <w:szCs w:val="24"/>
        </w:rPr>
        <w:lastRenderedPageBreak/>
        <w:t xml:space="preserve">cuando se declaró la ineficacia del traslado, se dijo que una de las consecuencias de tal situación era la devolución de las cuotas de administración a cargo de la AFP, tema que se planteó en los siguientes términos: </w:t>
      </w:r>
    </w:p>
    <w:p w14:paraId="078F1F20"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18A9CE3E"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r w:rsidRPr="00E44FBB">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559DC2B" w14:textId="77777777" w:rsidR="00E44FBB" w:rsidRPr="00E44FBB" w:rsidRDefault="00E44FBB" w:rsidP="00E44FBB">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23602794"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r w:rsidRPr="00E44FBB">
        <w:rPr>
          <w:rFonts w:eastAsia="Calibri" w:cs="Tahoma"/>
          <w:i/>
          <w:sz w:val="22"/>
          <w:szCs w:val="24"/>
          <w:lang w:val="es-ES"/>
        </w:rPr>
        <w:t>Sobre las consecuencias de la nulidad del traslado entre regímenes esta Sala en sentencia SL, del 8 de sep. 2008, rad. 31989, reiterada en varias oportunidades, adoctrinó: […]</w:t>
      </w:r>
    </w:p>
    <w:p w14:paraId="3ADB16F5"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p>
    <w:p w14:paraId="020C85B5"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r w:rsidRPr="00E44FBB">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57215EB"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p>
    <w:p w14:paraId="74BFB5CE"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r w:rsidRPr="00E44FBB">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9AEA415" w14:textId="77777777" w:rsidR="00E44FBB" w:rsidRPr="00E44FBB" w:rsidRDefault="00E44FBB" w:rsidP="00E44FBB">
      <w:pPr>
        <w:spacing w:line="276" w:lineRule="auto"/>
        <w:rPr>
          <w:rFonts w:cs="Tahoma"/>
          <w:szCs w:val="24"/>
        </w:rPr>
      </w:pPr>
      <w:r w:rsidRPr="00E44FBB">
        <w:rPr>
          <w:rFonts w:eastAsia="Tahoma" w:cs="Tahoma"/>
          <w:szCs w:val="24"/>
        </w:rPr>
        <w:t xml:space="preserve"> </w:t>
      </w:r>
    </w:p>
    <w:p w14:paraId="3BD9AA66" w14:textId="77777777" w:rsidR="00E44FBB" w:rsidRPr="00E44FBB" w:rsidRDefault="00E44FBB" w:rsidP="00E44FBB">
      <w:pPr>
        <w:spacing w:line="276" w:lineRule="auto"/>
        <w:ind w:firstLine="284"/>
        <w:rPr>
          <w:rFonts w:cs="Tahoma"/>
          <w:szCs w:val="24"/>
        </w:rPr>
      </w:pPr>
      <w:r w:rsidRPr="00E44FBB">
        <w:rPr>
          <w:rFonts w:eastAsia="Tahoma" w:cs="Tahoma"/>
          <w:szCs w:val="24"/>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86ACCC5" w14:textId="77777777" w:rsidR="00E44FBB" w:rsidRPr="00E44FBB" w:rsidRDefault="00E44FBB" w:rsidP="00E44FBB">
      <w:pPr>
        <w:spacing w:line="276" w:lineRule="auto"/>
        <w:rPr>
          <w:rFonts w:cs="Tahoma"/>
          <w:szCs w:val="24"/>
        </w:rPr>
      </w:pPr>
      <w:r w:rsidRPr="00E44FBB">
        <w:rPr>
          <w:rFonts w:eastAsia="Tahoma" w:cs="Tahoma"/>
          <w:szCs w:val="24"/>
        </w:rPr>
        <w:t xml:space="preserve"> </w:t>
      </w:r>
    </w:p>
    <w:p w14:paraId="243E6082" w14:textId="77777777" w:rsidR="00E44FBB" w:rsidRPr="00E44FBB" w:rsidRDefault="00E44FBB" w:rsidP="00E44FBB">
      <w:pPr>
        <w:tabs>
          <w:tab w:val="left" w:pos="5180"/>
        </w:tabs>
        <w:suppressAutoHyphens/>
        <w:spacing w:line="240" w:lineRule="auto"/>
        <w:ind w:left="426" w:right="420"/>
        <w:contextualSpacing/>
        <w:rPr>
          <w:rFonts w:eastAsia="Calibri" w:cs="Tahoma"/>
          <w:i/>
          <w:sz w:val="22"/>
          <w:szCs w:val="24"/>
          <w:lang w:val="es-ES"/>
        </w:rPr>
      </w:pPr>
      <w:r w:rsidRPr="00E44FBB">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80924E3" w14:textId="77777777" w:rsidR="00E44FBB" w:rsidRPr="00E44FBB" w:rsidRDefault="00E44FBB" w:rsidP="00E44FBB">
      <w:pPr>
        <w:spacing w:line="276" w:lineRule="auto"/>
        <w:rPr>
          <w:rFonts w:cs="Tahoma"/>
          <w:szCs w:val="24"/>
        </w:rPr>
      </w:pPr>
      <w:r w:rsidRPr="00E44FBB">
        <w:rPr>
          <w:rFonts w:eastAsia="Tahoma" w:cs="Tahoma"/>
          <w:szCs w:val="24"/>
        </w:rPr>
        <w:t xml:space="preserve"> </w:t>
      </w:r>
    </w:p>
    <w:p w14:paraId="61D8BAC8" w14:textId="77777777" w:rsidR="00E44FBB" w:rsidRPr="00E44FBB" w:rsidRDefault="00E44FBB" w:rsidP="00E44FBB">
      <w:pPr>
        <w:widowControl w:val="0"/>
        <w:autoSpaceDE w:val="0"/>
        <w:autoSpaceDN w:val="0"/>
        <w:adjustRightInd w:val="0"/>
        <w:spacing w:line="276" w:lineRule="auto"/>
        <w:ind w:firstLine="708"/>
        <w:rPr>
          <w:rFonts w:eastAsia="Calibri" w:cs="Tahoma"/>
          <w:szCs w:val="24"/>
        </w:rPr>
      </w:pPr>
      <w:r w:rsidRPr="00E44FBB">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2826BD6"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p>
    <w:p w14:paraId="706FE122" w14:textId="77777777" w:rsidR="00E44FBB" w:rsidRPr="00E44FBB" w:rsidRDefault="00E44FBB" w:rsidP="00E44FBB">
      <w:pPr>
        <w:widowControl w:val="0"/>
        <w:autoSpaceDE w:val="0"/>
        <w:autoSpaceDN w:val="0"/>
        <w:adjustRightInd w:val="0"/>
        <w:spacing w:line="276" w:lineRule="auto"/>
        <w:ind w:firstLine="284"/>
        <w:rPr>
          <w:rFonts w:eastAsia="Calibri" w:cs="Tahoma"/>
          <w:szCs w:val="24"/>
        </w:rPr>
      </w:pPr>
      <w:r w:rsidRPr="00E44FBB">
        <w:rPr>
          <w:rFonts w:eastAsia="Calibri"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w:t>
      </w:r>
      <w:r w:rsidRPr="00E44FBB">
        <w:rPr>
          <w:rFonts w:eastAsia="Calibri" w:cs="Tahoma"/>
          <w:szCs w:val="24"/>
        </w:rPr>
        <w:lastRenderedPageBreak/>
        <w:t xml:space="preserve">a la AFP. </w:t>
      </w:r>
    </w:p>
    <w:p w14:paraId="74ADC989" w14:textId="77777777" w:rsidR="005113A9" w:rsidRPr="000B6D9D" w:rsidRDefault="005113A9" w:rsidP="000B6D9D">
      <w:pPr>
        <w:widowControl w:val="0"/>
        <w:autoSpaceDE w:val="0"/>
        <w:autoSpaceDN w:val="0"/>
        <w:adjustRightInd w:val="0"/>
        <w:spacing w:line="276" w:lineRule="auto"/>
        <w:rPr>
          <w:rFonts w:cs="Tahoma"/>
          <w:b/>
          <w:szCs w:val="24"/>
        </w:rPr>
      </w:pPr>
      <w:r w:rsidRPr="000B6D9D">
        <w:rPr>
          <w:rFonts w:cs="Tahoma"/>
          <w:szCs w:val="24"/>
        </w:rPr>
        <w:t xml:space="preserve"> </w:t>
      </w:r>
    </w:p>
    <w:p w14:paraId="4A198627" w14:textId="77777777" w:rsidR="005113A9" w:rsidRPr="000B6D9D" w:rsidRDefault="005113A9" w:rsidP="000B6D9D">
      <w:pPr>
        <w:widowControl w:val="0"/>
        <w:numPr>
          <w:ilvl w:val="1"/>
          <w:numId w:val="9"/>
        </w:numPr>
        <w:autoSpaceDE w:val="0"/>
        <w:autoSpaceDN w:val="0"/>
        <w:adjustRightInd w:val="0"/>
        <w:spacing w:line="276" w:lineRule="auto"/>
        <w:contextualSpacing/>
        <w:jc w:val="left"/>
        <w:rPr>
          <w:rFonts w:eastAsia="Times New Roman" w:cs="Tahoma"/>
          <w:b/>
          <w:szCs w:val="24"/>
          <w:lang w:eastAsia="es-ES"/>
        </w:rPr>
      </w:pPr>
      <w:r w:rsidRPr="000B6D9D">
        <w:rPr>
          <w:rFonts w:eastAsia="Times New Roman" w:cs="Tahoma"/>
          <w:b/>
          <w:szCs w:val="24"/>
          <w:lang w:eastAsia="es-ES"/>
        </w:rPr>
        <w:t>Caso concreto</w:t>
      </w:r>
    </w:p>
    <w:p w14:paraId="503C69E6" w14:textId="77777777" w:rsidR="005113A9" w:rsidRPr="000B6D9D" w:rsidRDefault="005113A9" w:rsidP="000B6D9D">
      <w:pPr>
        <w:spacing w:line="276" w:lineRule="auto"/>
        <w:ind w:left="644"/>
        <w:textAlignment w:val="baseline"/>
        <w:rPr>
          <w:rFonts w:eastAsia="Times New Roman" w:cs="Tahoma"/>
          <w:szCs w:val="24"/>
          <w:lang w:eastAsia="es-ES"/>
        </w:rPr>
      </w:pPr>
    </w:p>
    <w:p w14:paraId="38B76D54" w14:textId="3D4FE512" w:rsidR="005113A9" w:rsidRPr="000B6D9D" w:rsidRDefault="005113A9" w:rsidP="000B6D9D">
      <w:pPr>
        <w:spacing w:line="276" w:lineRule="auto"/>
        <w:ind w:firstLine="644"/>
        <w:contextualSpacing/>
        <w:rPr>
          <w:rFonts w:eastAsia="Times New Roman" w:cs="Tahoma"/>
          <w:szCs w:val="24"/>
          <w:lang w:eastAsia="es-ES"/>
        </w:rPr>
      </w:pPr>
      <w:r w:rsidRPr="000B6D9D">
        <w:rPr>
          <w:rFonts w:eastAsia="Times New Roman" w:cs="Tahoma"/>
          <w:szCs w:val="24"/>
          <w:lang w:eastAsia="es-ES"/>
        </w:rPr>
        <w:t xml:space="preserve">Se pretende por esta vía ordinaria que se declare la nulidad de la afiliación a </w:t>
      </w:r>
      <w:r w:rsidR="00106921" w:rsidRPr="000B6D9D">
        <w:rPr>
          <w:rFonts w:eastAsia="Times New Roman" w:cs="Tahoma"/>
          <w:szCs w:val="24"/>
          <w:lang w:eastAsia="es-ES"/>
        </w:rPr>
        <w:t xml:space="preserve">Colfondos </w:t>
      </w:r>
      <w:r w:rsidRPr="000B6D9D">
        <w:rPr>
          <w:rFonts w:eastAsia="Times New Roman" w:cs="Tahoma"/>
          <w:szCs w:val="24"/>
          <w:lang w:eastAsia="es-ES"/>
        </w:rPr>
        <w:t>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6FEA0202" w14:textId="77777777" w:rsidR="005113A9" w:rsidRPr="000B6D9D" w:rsidRDefault="005113A9" w:rsidP="000B6D9D">
      <w:pPr>
        <w:spacing w:line="276" w:lineRule="auto"/>
        <w:jc w:val="left"/>
        <w:rPr>
          <w:rFonts w:cs="Tahoma"/>
          <w:szCs w:val="24"/>
        </w:rPr>
      </w:pPr>
    </w:p>
    <w:p w14:paraId="7F5C0667" w14:textId="77777777" w:rsidR="005113A9" w:rsidRPr="000B6D9D" w:rsidRDefault="005113A9" w:rsidP="000B6D9D">
      <w:pPr>
        <w:spacing w:line="276" w:lineRule="auto"/>
        <w:ind w:firstLine="644"/>
        <w:contextualSpacing/>
        <w:rPr>
          <w:rFonts w:eastAsia="Times New Roman" w:cs="Tahoma"/>
          <w:szCs w:val="24"/>
          <w:lang w:eastAsia="es-ES"/>
        </w:rPr>
      </w:pPr>
      <w:r w:rsidRPr="000B6D9D">
        <w:rPr>
          <w:rFonts w:eastAsia="Times New Roman" w:cs="Tahoma"/>
          <w:szCs w:val="24"/>
          <w:lang w:eastAsia="es-ES"/>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086E8B0B" w14:textId="77777777" w:rsidR="005113A9" w:rsidRPr="000B6D9D" w:rsidRDefault="005113A9" w:rsidP="000B6D9D">
      <w:pPr>
        <w:spacing w:line="276" w:lineRule="auto"/>
        <w:contextualSpacing/>
        <w:jc w:val="left"/>
        <w:rPr>
          <w:rFonts w:eastAsia="Times New Roman" w:cs="Tahoma"/>
          <w:szCs w:val="24"/>
          <w:lang w:eastAsia="es-ES"/>
        </w:rPr>
      </w:pPr>
    </w:p>
    <w:p w14:paraId="13D8CE96" w14:textId="77777777" w:rsidR="005113A9" w:rsidRPr="000B6D9D" w:rsidRDefault="005113A9" w:rsidP="000B6D9D">
      <w:pPr>
        <w:spacing w:line="276" w:lineRule="auto"/>
        <w:ind w:firstLine="644"/>
        <w:contextualSpacing/>
        <w:rPr>
          <w:rFonts w:eastAsia="Times New Roman" w:cs="Tahoma"/>
          <w:b/>
          <w:szCs w:val="24"/>
          <w:lang w:eastAsia="es-ES"/>
        </w:rPr>
      </w:pPr>
      <w:r w:rsidRPr="000B6D9D">
        <w:rPr>
          <w:rFonts w:eastAsia="Times New Roman" w:cs="Tahoma"/>
          <w:szCs w:val="24"/>
          <w:lang w:eastAsia="es-ES"/>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0B6D9D">
        <w:rPr>
          <w:rFonts w:eastAsia="Times New Roman" w:cs="Tahoma"/>
          <w:b/>
          <w:szCs w:val="24"/>
          <w:lang w:eastAsia="es-ES"/>
        </w:rPr>
        <w:t>, acreditar haber transmitido a la parte actora la información concreta y cierta, acerca de la implicación del traslado de régimen pensional.</w:t>
      </w:r>
    </w:p>
    <w:p w14:paraId="7F79FCB2" w14:textId="77777777" w:rsidR="005113A9" w:rsidRPr="000B6D9D" w:rsidRDefault="005113A9" w:rsidP="000B6D9D">
      <w:pPr>
        <w:spacing w:line="276" w:lineRule="auto"/>
        <w:contextualSpacing/>
        <w:jc w:val="left"/>
        <w:rPr>
          <w:rFonts w:eastAsia="Times New Roman" w:cs="Tahoma"/>
          <w:b/>
          <w:szCs w:val="24"/>
          <w:lang w:eastAsia="es-ES"/>
        </w:rPr>
      </w:pPr>
    </w:p>
    <w:p w14:paraId="05E03F50" w14:textId="77777777" w:rsidR="005113A9" w:rsidRPr="000B6D9D" w:rsidRDefault="005113A9" w:rsidP="000B6D9D">
      <w:pPr>
        <w:spacing w:line="276" w:lineRule="auto"/>
        <w:ind w:firstLine="644"/>
        <w:rPr>
          <w:rFonts w:eastAsia="Times New Roman" w:cs="Tahoma"/>
          <w:szCs w:val="24"/>
          <w:lang w:eastAsia="es-ES"/>
        </w:rPr>
      </w:pPr>
      <w:r w:rsidRPr="000B6D9D">
        <w:rPr>
          <w:rFonts w:eastAsia="Times New Roman" w:cs="Tahoma"/>
          <w:szCs w:val="24"/>
          <w:lang w:eastAsia="es-ES"/>
        </w:rPr>
        <w:t xml:space="preserve">En realidad, mínimo la AFP tendría que haber dado la siguiente información: </w:t>
      </w:r>
      <w:r w:rsidRPr="000B6D9D">
        <w:rPr>
          <w:rFonts w:eastAsia="Times New Roman" w:cs="Tahoma"/>
          <w:i/>
          <w:szCs w:val="24"/>
          <w:lang w:eastAsia="es-ES"/>
        </w:rPr>
        <w:t xml:space="preserve">i) </w:t>
      </w:r>
      <w:r w:rsidRPr="000B6D9D">
        <w:rPr>
          <w:rFonts w:eastAsia="Times New Roman" w:cs="Tahoma"/>
          <w:szCs w:val="24"/>
          <w:lang w:eastAsia="es-ES"/>
        </w:rPr>
        <w:t xml:space="preserve">Que, dependiendo del capital, puede pensionarse anticipadamente, esto es, antes de la edad mínima para la pensión de vejez. </w:t>
      </w:r>
      <w:r w:rsidRPr="000B6D9D">
        <w:rPr>
          <w:rFonts w:eastAsia="Times New Roman" w:cs="Tahoma"/>
          <w:i/>
          <w:szCs w:val="24"/>
          <w:lang w:eastAsia="es-ES"/>
        </w:rPr>
        <w:t xml:space="preserve">ii) </w:t>
      </w:r>
      <w:r w:rsidRPr="000B6D9D">
        <w:rPr>
          <w:rFonts w:eastAsia="Times New Roman" w:cs="Tahoma"/>
          <w:szCs w:val="24"/>
          <w:lang w:eastAsia="es-ES"/>
        </w:rPr>
        <w:t xml:space="preserve">La posibilidad para sus herederos de hacerse a la devolución de saldos, en caso de que no existieran beneficiaros para la pensión de sobrevivientes. </w:t>
      </w:r>
      <w:r w:rsidRPr="000B6D9D">
        <w:rPr>
          <w:rFonts w:eastAsia="Times New Roman" w:cs="Tahoma"/>
          <w:i/>
          <w:szCs w:val="24"/>
          <w:lang w:eastAsia="es-ES"/>
        </w:rPr>
        <w:t xml:space="preserve">iii) </w:t>
      </w:r>
      <w:r w:rsidRPr="000B6D9D">
        <w:rPr>
          <w:rFonts w:eastAsia="Times New Roman" w:cs="Tahoma"/>
          <w:szCs w:val="24"/>
          <w:lang w:eastAsia="es-ES"/>
        </w:rPr>
        <w:t xml:space="preserve">La devolución total del saldo en caso de no alcanzar a reunir el total de los requisitos legales para optar al beneficio pensional. </w:t>
      </w:r>
      <w:r w:rsidRPr="000B6D9D">
        <w:rPr>
          <w:rFonts w:eastAsia="Times New Roman" w:cs="Tahoma"/>
          <w:i/>
          <w:szCs w:val="24"/>
          <w:lang w:eastAsia="es-ES"/>
        </w:rPr>
        <w:t xml:space="preserve">iv) </w:t>
      </w:r>
      <w:r w:rsidRPr="000B6D9D">
        <w:rPr>
          <w:rFonts w:eastAsia="Times New Roman" w:cs="Tahoma"/>
          <w:szCs w:val="24"/>
          <w:lang w:eastAsia="es-ES"/>
        </w:rPr>
        <w:t xml:space="preserve">Tener la posibilidad de la pensión de vejez habiendo cotizado el mínimo de semanas requeridas a pesar de no reunir el capital suficiente para el financiamiento de la prestación económica. </w:t>
      </w:r>
      <w:r w:rsidRPr="000B6D9D">
        <w:rPr>
          <w:rFonts w:eastAsia="Times New Roman" w:cs="Tahoma"/>
          <w:i/>
          <w:szCs w:val="24"/>
          <w:lang w:eastAsia="es-ES"/>
        </w:rPr>
        <w:t xml:space="preserve">v) </w:t>
      </w:r>
      <w:r w:rsidRPr="000B6D9D">
        <w:rPr>
          <w:rFonts w:eastAsia="Times New Roman" w:cs="Tahoma"/>
          <w:szCs w:val="24"/>
          <w:lang w:eastAsia="es-ES"/>
        </w:rPr>
        <w:t xml:space="preserve">La posibilidad de que el reconocimiento de la pensión de vejez, una vez reunido los requisitos, se haga pronto. </w:t>
      </w:r>
      <w:r w:rsidRPr="000B6D9D">
        <w:rPr>
          <w:rFonts w:eastAsia="Times New Roman" w:cs="Tahoma"/>
          <w:i/>
          <w:szCs w:val="24"/>
          <w:lang w:eastAsia="es-ES"/>
        </w:rPr>
        <w:t xml:space="preserve">vi) </w:t>
      </w:r>
      <w:r w:rsidRPr="000B6D9D">
        <w:rPr>
          <w:rFonts w:eastAsia="Times New Roman" w:cs="Tahoma"/>
          <w:szCs w:val="24"/>
          <w:lang w:eastAsia="es-ES"/>
        </w:rPr>
        <w:t xml:space="preserve">La posibilidad de que sus aportes se conviertan en patrimonio </w:t>
      </w:r>
      <w:proofErr w:type="spellStart"/>
      <w:r w:rsidRPr="000B6D9D">
        <w:rPr>
          <w:rFonts w:eastAsia="Times New Roman" w:cs="Tahoma"/>
          <w:szCs w:val="24"/>
          <w:lang w:eastAsia="es-ES"/>
        </w:rPr>
        <w:t>sucesoral</w:t>
      </w:r>
      <w:proofErr w:type="spellEnd"/>
      <w:r w:rsidRPr="000B6D9D">
        <w:rPr>
          <w:rFonts w:eastAsia="Times New Roman" w:cs="Tahoma"/>
          <w:szCs w:val="24"/>
          <w:lang w:eastAsia="es-ES"/>
        </w:rPr>
        <w:t xml:space="preserve"> en un caso dado. </w:t>
      </w:r>
      <w:r w:rsidRPr="000B6D9D">
        <w:rPr>
          <w:rFonts w:eastAsia="Times New Roman" w:cs="Tahoma"/>
          <w:i/>
          <w:szCs w:val="24"/>
          <w:lang w:eastAsia="es-ES"/>
        </w:rPr>
        <w:t xml:space="preserve">vii) </w:t>
      </w:r>
      <w:r w:rsidRPr="000B6D9D">
        <w:rPr>
          <w:rFonts w:eastAsia="Times New Roman" w:cs="Tahoma"/>
          <w:szCs w:val="24"/>
          <w:lang w:eastAsia="es-ES"/>
        </w:rPr>
        <w:t xml:space="preserve">El hecho de que el afiliado es el único titular de la cuenta de ahorro individual en contraste con el fondo público cuyos ahorros hacen parte de un fondo común. </w:t>
      </w:r>
      <w:proofErr w:type="spellStart"/>
      <w:r w:rsidRPr="000B6D9D">
        <w:rPr>
          <w:rFonts w:eastAsia="Times New Roman" w:cs="Tahoma"/>
          <w:i/>
          <w:szCs w:val="24"/>
          <w:lang w:eastAsia="es-ES"/>
        </w:rPr>
        <w:t>viii</w:t>
      </w:r>
      <w:proofErr w:type="spellEnd"/>
      <w:r w:rsidRPr="000B6D9D">
        <w:rPr>
          <w:rFonts w:eastAsia="Times New Roman" w:cs="Tahoma"/>
          <w:i/>
          <w:szCs w:val="24"/>
          <w:lang w:eastAsia="es-ES"/>
        </w:rPr>
        <w:t xml:space="preserve">) </w:t>
      </w:r>
      <w:r w:rsidRPr="000B6D9D">
        <w:rPr>
          <w:rFonts w:eastAsia="Times New Roman" w:cs="Tahoma"/>
          <w:szCs w:val="24"/>
          <w:lang w:eastAsia="es-ES"/>
        </w:rPr>
        <w:t xml:space="preserve">Los rendimientos financieros que le generen sus aportes abonados sobre el saldo de su cuenta de ahorro individual; y, </w:t>
      </w:r>
      <w:proofErr w:type="spellStart"/>
      <w:r w:rsidRPr="000B6D9D">
        <w:rPr>
          <w:rFonts w:eastAsia="Times New Roman" w:cs="Tahoma"/>
          <w:i/>
          <w:szCs w:val="24"/>
          <w:lang w:eastAsia="es-ES"/>
        </w:rPr>
        <w:t>ix</w:t>
      </w:r>
      <w:proofErr w:type="spellEnd"/>
      <w:r w:rsidRPr="000B6D9D">
        <w:rPr>
          <w:rFonts w:eastAsia="Times New Roman" w:cs="Tahoma"/>
          <w:i/>
          <w:szCs w:val="24"/>
          <w:lang w:eastAsia="es-ES"/>
        </w:rPr>
        <w:t xml:space="preserve">) </w:t>
      </w:r>
      <w:r w:rsidRPr="000B6D9D">
        <w:rPr>
          <w:rFonts w:eastAsia="Times New Roman" w:cs="Tahoma"/>
          <w:szCs w:val="24"/>
          <w:lang w:eastAsia="es-ES"/>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B6D9D">
        <w:rPr>
          <w:rFonts w:eastAsia="Times New Roman" w:cs="Tahoma"/>
          <w:szCs w:val="24"/>
          <w:lang w:eastAsia="es-ES"/>
        </w:rPr>
        <w:t>sucesoral</w:t>
      </w:r>
      <w:proofErr w:type="spellEnd"/>
      <w:r w:rsidRPr="000B6D9D">
        <w:rPr>
          <w:rFonts w:eastAsia="Times New Roman" w:cs="Tahoma"/>
          <w:szCs w:val="24"/>
          <w:lang w:eastAsia="es-ES"/>
        </w:rPr>
        <w:t xml:space="preserve">, pero le garantiza una pensión de por vida. La modalidad de </w:t>
      </w:r>
      <w:r w:rsidRPr="000B6D9D">
        <w:rPr>
          <w:rFonts w:eastAsia="Times New Roman" w:cs="Tahoma"/>
          <w:i/>
          <w:szCs w:val="24"/>
          <w:lang w:eastAsia="es-ES"/>
        </w:rPr>
        <w:t>retiro programado</w:t>
      </w:r>
      <w:r w:rsidRPr="000B6D9D">
        <w:rPr>
          <w:rFonts w:eastAsia="Times New Roman" w:cs="Tahoma"/>
          <w:szCs w:val="24"/>
          <w:lang w:eastAsia="es-ES"/>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6E9A347" w14:textId="77777777" w:rsidR="005113A9" w:rsidRPr="000B6D9D" w:rsidRDefault="005113A9" w:rsidP="000B6D9D">
      <w:pPr>
        <w:spacing w:line="276" w:lineRule="auto"/>
        <w:ind w:firstLine="644"/>
        <w:rPr>
          <w:rFonts w:eastAsia="Times New Roman" w:cs="Tahoma"/>
          <w:szCs w:val="24"/>
          <w:lang w:eastAsia="es-ES"/>
        </w:rPr>
      </w:pPr>
    </w:p>
    <w:p w14:paraId="4C298BA5" w14:textId="77777777" w:rsidR="005113A9" w:rsidRPr="000B6D9D" w:rsidRDefault="005113A9" w:rsidP="000B6D9D">
      <w:pPr>
        <w:spacing w:line="276" w:lineRule="auto"/>
        <w:ind w:firstLine="644"/>
        <w:rPr>
          <w:rFonts w:eastAsia="Times New Roman" w:cs="Tahoma"/>
          <w:szCs w:val="24"/>
          <w:lang w:eastAsia="es-ES"/>
        </w:rPr>
      </w:pPr>
      <w:r w:rsidRPr="000B6D9D">
        <w:rPr>
          <w:rFonts w:eastAsia="Times New Roman" w:cs="Tahoma"/>
          <w:szCs w:val="24"/>
          <w:lang w:eastAsia="es-ES"/>
        </w:rPr>
        <w:t xml:space="preserve">La AFP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70DF2343" w14:textId="77777777" w:rsidR="005113A9" w:rsidRPr="000B6D9D" w:rsidRDefault="005113A9" w:rsidP="000B6D9D">
      <w:pPr>
        <w:spacing w:line="276" w:lineRule="auto"/>
        <w:jc w:val="left"/>
        <w:rPr>
          <w:rFonts w:cs="Tahoma"/>
          <w:szCs w:val="24"/>
        </w:rPr>
      </w:pPr>
    </w:p>
    <w:p w14:paraId="3B58B7E1" w14:textId="672CD885" w:rsidR="005113A9" w:rsidRPr="000B6D9D" w:rsidRDefault="005113A9" w:rsidP="000B6D9D">
      <w:pPr>
        <w:spacing w:line="276" w:lineRule="auto"/>
        <w:ind w:firstLine="709"/>
        <w:rPr>
          <w:rFonts w:cs="Tahoma"/>
          <w:szCs w:val="24"/>
        </w:rPr>
      </w:pPr>
      <w:r w:rsidRPr="000B6D9D">
        <w:rPr>
          <w:rFonts w:cs="Tahoma"/>
          <w:szCs w:val="24"/>
        </w:rPr>
        <w:t xml:space="preserve">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w:t>
      </w:r>
      <w:r w:rsidR="00106921" w:rsidRPr="000B6D9D">
        <w:rPr>
          <w:rFonts w:cs="Tahoma"/>
          <w:szCs w:val="24"/>
        </w:rPr>
        <w:t>e</w:t>
      </w:r>
      <w:r w:rsidRPr="000B6D9D">
        <w:rPr>
          <w:rFonts w:cs="Tahoma"/>
          <w:szCs w:val="24"/>
        </w:rPr>
        <w:t xml:space="preserve">l promotor de la litis ante </w:t>
      </w:r>
      <w:r w:rsidR="00106921" w:rsidRPr="000B6D9D">
        <w:rPr>
          <w:rFonts w:cs="Tahoma"/>
          <w:szCs w:val="24"/>
        </w:rPr>
        <w:t>Colfondos</w:t>
      </w:r>
      <w:r w:rsidRPr="000B6D9D">
        <w:rPr>
          <w:rFonts w:cs="Tahoma"/>
          <w:szCs w:val="24"/>
        </w:rPr>
        <w:t>, pero dicho documento no logra evidenciar la información que se le brindó. En tal virtud se estima acertada la valoración probatoria efectuada por la operadora judicial de instancia.</w:t>
      </w:r>
    </w:p>
    <w:p w14:paraId="5592F400" w14:textId="77777777" w:rsidR="005113A9" w:rsidRPr="000B6D9D" w:rsidRDefault="005113A9" w:rsidP="000B6D9D">
      <w:pPr>
        <w:spacing w:line="276" w:lineRule="auto"/>
        <w:rPr>
          <w:rFonts w:cs="Tahoma"/>
          <w:szCs w:val="24"/>
        </w:rPr>
      </w:pPr>
    </w:p>
    <w:p w14:paraId="01A785DC" w14:textId="77777777" w:rsidR="005113A9" w:rsidRPr="000B6D9D" w:rsidRDefault="005113A9" w:rsidP="000B6D9D">
      <w:pPr>
        <w:spacing w:line="276" w:lineRule="auto"/>
        <w:ind w:firstLine="709"/>
        <w:rPr>
          <w:rFonts w:cs="Tahoma"/>
          <w:szCs w:val="24"/>
        </w:rPr>
      </w:pPr>
      <w:r w:rsidRPr="000B6D9D">
        <w:rPr>
          <w:rFonts w:cs="Tahoma"/>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w:t>
      </w:r>
    </w:p>
    <w:p w14:paraId="12C704F1" w14:textId="77777777" w:rsidR="005113A9" w:rsidRPr="000B6D9D" w:rsidRDefault="005113A9" w:rsidP="000B6D9D">
      <w:pPr>
        <w:spacing w:line="276" w:lineRule="auto"/>
        <w:ind w:firstLine="709"/>
        <w:rPr>
          <w:rFonts w:cs="Tahoma"/>
          <w:szCs w:val="24"/>
        </w:rPr>
      </w:pPr>
    </w:p>
    <w:p w14:paraId="781557FB" w14:textId="2C172FF3" w:rsidR="005113A9" w:rsidRPr="000B6D9D" w:rsidRDefault="005113A9" w:rsidP="000B6D9D">
      <w:pPr>
        <w:spacing w:line="276" w:lineRule="auto"/>
        <w:ind w:firstLine="644"/>
        <w:rPr>
          <w:rFonts w:eastAsia="Times New Roman" w:cs="Tahoma"/>
          <w:szCs w:val="24"/>
          <w:lang w:eastAsia="es-ES"/>
        </w:rPr>
      </w:pPr>
      <w:r w:rsidRPr="000B6D9D">
        <w:rPr>
          <w:rFonts w:eastAsia="Times New Roman" w:cs="Tahoma"/>
          <w:szCs w:val="24"/>
          <w:lang w:eastAsia="es-ES"/>
        </w:rPr>
        <w:t xml:space="preserve">En cuanto a las condenas impartidas a cargo de </w:t>
      </w:r>
      <w:r w:rsidR="00106921" w:rsidRPr="000B6D9D">
        <w:rPr>
          <w:rFonts w:eastAsia="Times New Roman" w:cs="Tahoma"/>
          <w:szCs w:val="24"/>
          <w:lang w:eastAsia="es-ES"/>
        </w:rPr>
        <w:t>Colfondos</w:t>
      </w:r>
      <w:r w:rsidRPr="000B6D9D">
        <w:rPr>
          <w:rFonts w:eastAsia="Times New Roman" w:cs="Tahoma"/>
          <w:szCs w:val="24"/>
          <w:lang w:eastAsia="es-ES"/>
        </w:rPr>
        <w:t xml:space="preserve">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65DD39FF" w14:textId="77777777" w:rsidR="005113A9" w:rsidRPr="000B6D9D" w:rsidRDefault="005113A9" w:rsidP="000B6D9D">
      <w:pPr>
        <w:spacing w:line="276" w:lineRule="auto"/>
        <w:ind w:firstLine="644"/>
        <w:rPr>
          <w:rFonts w:cs="Tahoma"/>
          <w:szCs w:val="24"/>
          <w:lang w:val="es"/>
        </w:rPr>
      </w:pPr>
    </w:p>
    <w:p w14:paraId="7306CCF7" w14:textId="57F3217C" w:rsidR="005113A9" w:rsidRPr="000B6D9D" w:rsidRDefault="005113A9" w:rsidP="000B6D9D">
      <w:pPr>
        <w:pStyle w:val="NormalWeb"/>
        <w:spacing w:before="0" w:beforeAutospacing="0" w:after="0" w:afterAutospacing="0" w:line="276" w:lineRule="auto"/>
        <w:ind w:firstLine="644"/>
        <w:jc w:val="both"/>
        <w:rPr>
          <w:rFonts w:ascii="Tahoma" w:hAnsi="Tahoma" w:cs="Tahoma"/>
        </w:rPr>
      </w:pPr>
      <w:r w:rsidRPr="000B6D9D">
        <w:rPr>
          <w:rFonts w:ascii="Tahoma" w:hAnsi="Tahoma" w:cs="Tahoma"/>
        </w:rPr>
        <w:t>Pues bien, previo a arribar a los demás problemas jurídicos vale la pena hacer referencia a que l</w:t>
      </w:r>
      <w:r w:rsidR="00106921" w:rsidRPr="000B6D9D">
        <w:rPr>
          <w:rFonts w:ascii="Tahoma" w:hAnsi="Tahoma" w:cs="Tahoma"/>
        </w:rPr>
        <w:t>a</w:t>
      </w:r>
      <w:r w:rsidRPr="000B6D9D">
        <w:rPr>
          <w:rFonts w:ascii="Tahoma" w:hAnsi="Tahoma" w:cs="Tahoma"/>
        </w:rPr>
        <w:t xml:space="preserve"> apoderad</w:t>
      </w:r>
      <w:r w:rsidR="00106921" w:rsidRPr="000B6D9D">
        <w:rPr>
          <w:rFonts w:ascii="Tahoma" w:hAnsi="Tahoma" w:cs="Tahoma"/>
        </w:rPr>
        <w:t>a</w:t>
      </w:r>
      <w:r w:rsidRPr="000B6D9D">
        <w:rPr>
          <w:rFonts w:ascii="Tahoma" w:hAnsi="Tahoma" w:cs="Tahoma"/>
        </w:rPr>
        <w:t xml:space="preserve"> de </w:t>
      </w:r>
      <w:r w:rsidR="00926C20" w:rsidRPr="000B6D9D">
        <w:rPr>
          <w:rFonts w:ascii="Tahoma" w:hAnsi="Tahoma" w:cs="Tahoma"/>
        </w:rPr>
        <w:t>Colfondos</w:t>
      </w:r>
      <w:r w:rsidRPr="000B6D9D">
        <w:rPr>
          <w:rFonts w:ascii="Tahoma" w:hAnsi="Tahoma" w:cs="Tahoma"/>
        </w:rPr>
        <w:t xml:space="preserve"> S.A. en su alzada, de alguna manera, </w:t>
      </w:r>
      <w:r w:rsidRPr="000B6D9D">
        <w:rPr>
          <w:rFonts w:ascii="Tahoma" w:hAnsi="Tahoma" w:cs="Tahoma"/>
        </w:rPr>
        <w:lastRenderedPageBreak/>
        <w:t xml:space="preserve">solicita que se desconozca el precedente ya traído a colación, petición que no se torna posible porque ello conllevaría a la vulneración de los derechos fundamentales al mínimo vital y la seguridad social del afiliado.  </w:t>
      </w:r>
    </w:p>
    <w:p w14:paraId="66F21E0F" w14:textId="77777777" w:rsidR="005113A9" w:rsidRPr="000B6D9D" w:rsidRDefault="005113A9" w:rsidP="000B6D9D">
      <w:pPr>
        <w:pStyle w:val="NormalWeb"/>
        <w:spacing w:before="0" w:beforeAutospacing="0" w:after="0" w:afterAutospacing="0" w:line="276" w:lineRule="auto"/>
        <w:ind w:firstLine="644"/>
        <w:jc w:val="both"/>
        <w:rPr>
          <w:rFonts w:ascii="Tahoma" w:hAnsi="Tahoma" w:cs="Tahoma"/>
        </w:rPr>
      </w:pPr>
    </w:p>
    <w:p w14:paraId="717808E0" w14:textId="77777777" w:rsidR="005113A9" w:rsidRPr="000B6D9D" w:rsidRDefault="005113A9" w:rsidP="000B6D9D">
      <w:pPr>
        <w:spacing w:line="276" w:lineRule="auto"/>
        <w:ind w:firstLine="644"/>
        <w:rPr>
          <w:rFonts w:eastAsia="Times New Roman" w:cs="Tahoma"/>
          <w:szCs w:val="24"/>
          <w:lang w:eastAsia="es-ES"/>
        </w:rPr>
      </w:pPr>
      <w:r w:rsidRPr="000B6D9D">
        <w:rPr>
          <w:rFonts w:cs="Tahoma"/>
          <w:szCs w:val="24"/>
        </w:rPr>
        <w:t>En este punto, recuérdese que la</w:t>
      </w:r>
      <w:r w:rsidRPr="000B6D9D">
        <w:rPr>
          <w:rFonts w:eastAsia="Times New Roman" w:cs="Tahoma"/>
          <w:szCs w:val="24"/>
          <w:lang w:eastAsia="es-ES"/>
        </w:rPr>
        <w:t xml:space="preserve"> Corte Constitucional en sentencia SU-053-2015, ha definido el precedente judicial como «</w:t>
      </w:r>
      <w:r w:rsidRPr="00926C20">
        <w:rPr>
          <w:rFonts w:eastAsia="Times New Roman" w:cs="Tahoma"/>
          <w:i/>
          <w:iCs/>
          <w:sz w:val="22"/>
          <w:szCs w:val="24"/>
          <w:lang w:eastAsia="es-ES"/>
        </w:rPr>
        <w:t>la sentencia o el conjunto de ellas, anteriores a un caso determinado, que por su pertinencia y semejanza en los problemas jurídicos resueltos, debe necesariamente considerarse por las autoridades judiciales al momento de emitir un fallo</w:t>
      </w:r>
      <w:r w:rsidRPr="000B6D9D">
        <w:rPr>
          <w:rFonts w:eastAsia="Times New Roman" w:cs="Tahoma"/>
          <w:i/>
          <w:iCs/>
          <w:szCs w:val="24"/>
          <w:lang w:eastAsia="es-ES"/>
        </w:rPr>
        <w:t>»</w:t>
      </w:r>
      <w:r w:rsidRPr="000B6D9D">
        <w:rPr>
          <w:rFonts w:eastAsia="Times New Roman" w:cs="Tahoma"/>
          <w:szCs w:val="24"/>
          <w:lang w:eastAsia="es-ES"/>
        </w:rPr>
        <w:t xml:space="preserve"> y, en tal sentido, el emitido por los máximos órganos de cierre, “</w:t>
      </w:r>
      <w:r w:rsidRPr="00926C20">
        <w:rPr>
          <w:rFonts w:eastAsia="Times New Roman" w:cs="Tahoma"/>
          <w:i/>
          <w:iCs/>
          <w:sz w:val="22"/>
          <w:szCs w:val="24"/>
          <w:lang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B6D9D">
        <w:rPr>
          <w:rFonts w:eastAsia="Times New Roman" w:cs="Tahoma"/>
          <w:i/>
          <w:iCs/>
          <w:szCs w:val="24"/>
          <w:lang w:eastAsia="es-ES"/>
        </w:rPr>
        <w:t>”</w:t>
      </w:r>
      <w:r w:rsidRPr="000B6D9D">
        <w:rPr>
          <w:rFonts w:eastAsia="Times New Roman" w:cs="Tahoma"/>
          <w:szCs w:val="24"/>
          <w:lang w:eastAsia="es-ES"/>
        </w:rPr>
        <w:t xml:space="preserve"> (STL4759-2020).</w:t>
      </w:r>
    </w:p>
    <w:p w14:paraId="24F97B01" w14:textId="77777777" w:rsidR="005113A9" w:rsidRPr="000B6D9D" w:rsidRDefault="005113A9" w:rsidP="000B6D9D">
      <w:pPr>
        <w:spacing w:line="276" w:lineRule="auto"/>
        <w:ind w:firstLine="644"/>
        <w:rPr>
          <w:rFonts w:eastAsia="Times New Roman" w:cs="Tahoma"/>
          <w:szCs w:val="24"/>
          <w:lang w:eastAsia="es-ES"/>
        </w:rPr>
      </w:pPr>
    </w:p>
    <w:p w14:paraId="11F09222" w14:textId="77777777" w:rsidR="005113A9" w:rsidRPr="000B6D9D" w:rsidRDefault="005113A9" w:rsidP="000B6D9D">
      <w:pPr>
        <w:widowControl w:val="0"/>
        <w:tabs>
          <w:tab w:val="left" w:pos="567"/>
        </w:tabs>
        <w:autoSpaceDE w:val="0"/>
        <w:autoSpaceDN w:val="0"/>
        <w:adjustRightInd w:val="0"/>
        <w:spacing w:line="276" w:lineRule="auto"/>
        <w:ind w:firstLine="284"/>
        <w:rPr>
          <w:rFonts w:cs="Tahoma"/>
          <w:szCs w:val="24"/>
          <w:lang w:val="es-ES"/>
        </w:rPr>
      </w:pPr>
      <w:r w:rsidRPr="000B6D9D">
        <w:rPr>
          <w:rFonts w:cs="Tahoma"/>
          <w:szCs w:val="24"/>
        </w:rPr>
        <w:tab/>
        <w:t xml:space="preserve">Frente al argumento referente a que era improcedente permitir que la demandante se trasladara hacia dicha entidad al superar la edad mínima pensional, según lo estipulado en </w:t>
      </w:r>
      <w:r w:rsidRPr="000B6D9D">
        <w:rPr>
          <w:rFonts w:cs="Tahoma"/>
          <w:szCs w:val="24"/>
          <w:lang w:val="es-ES"/>
        </w:rPr>
        <w:t xml:space="preserve">el literal e) del artículo 13 de la Ley 100 de 1993, modificado por la Ley 797 de 2003, </w:t>
      </w:r>
      <w:r w:rsidRPr="000B6D9D">
        <w:rPr>
          <w:rFonts w:cs="Tahoma"/>
          <w:szCs w:val="24"/>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0B6D9D">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5522E1BD" w14:textId="77777777" w:rsidR="005113A9" w:rsidRPr="000B6D9D" w:rsidRDefault="005113A9" w:rsidP="000B6D9D">
      <w:pPr>
        <w:spacing w:line="276" w:lineRule="auto"/>
        <w:ind w:firstLine="709"/>
        <w:rPr>
          <w:rFonts w:cs="Tahoma"/>
          <w:szCs w:val="24"/>
        </w:rPr>
      </w:pPr>
    </w:p>
    <w:p w14:paraId="363B0320" w14:textId="3529B7A1" w:rsidR="005113A9" w:rsidRPr="000B6D9D" w:rsidRDefault="005113A9" w:rsidP="000B6D9D">
      <w:pPr>
        <w:widowControl w:val="0"/>
        <w:autoSpaceDE w:val="0"/>
        <w:autoSpaceDN w:val="0"/>
        <w:adjustRightInd w:val="0"/>
        <w:spacing w:line="276" w:lineRule="auto"/>
        <w:ind w:firstLine="708"/>
        <w:rPr>
          <w:rFonts w:eastAsia="Calibri" w:cs="Tahoma"/>
          <w:szCs w:val="24"/>
        </w:rPr>
      </w:pPr>
      <w:r w:rsidRPr="000B6D9D">
        <w:rPr>
          <w:rFonts w:eastAsia="Calibri" w:cs="Tahoma"/>
          <w:szCs w:val="24"/>
        </w:rPr>
        <w:t xml:space="preserve">De otro lado, respecto a la solicitud de la AFP </w:t>
      </w:r>
      <w:r w:rsidR="00106921" w:rsidRPr="000B6D9D">
        <w:rPr>
          <w:rFonts w:eastAsia="Calibri" w:cs="Tahoma"/>
          <w:szCs w:val="24"/>
        </w:rPr>
        <w:t>Colfondos</w:t>
      </w:r>
      <w:r w:rsidRPr="000B6D9D">
        <w:rPr>
          <w:rFonts w:eastAsia="Calibri" w:cs="Tahoma"/>
          <w:szCs w:val="24"/>
        </w:rPr>
        <w:t xml:space="preserve"> S.A., tendiente a que no se las condene en costas bajo el argumento de que cumplió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w:t>
      </w:r>
      <w:r w:rsidR="00106921" w:rsidRPr="000B6D9D">
        <w:rPr>
          <w:rFonts w:eastAsia="Calibri" w:cs="Tahoma"/>
          <w:szCs w:val="24"/>
        </w:rPr>
        <w:t>l</w:t>
      </w:r>
      <w:r w:rsidRPr="000B6D9D">
        <w:rPr>
          <w:rFonts w:eastAsia="Calibri" w:cs="Tahoma"/>
          <w:szCs w:val="24"/>
        </w:rPr>
        <w:t xml:space="preserve"> demandante la asesoría exigida en el momento en que se trasladó al RAIS, de ahí que se esté declarando la ineficacia del acto.</w:t>
      </w:r>
    </w:p>
    <w:p w14:paraId="710AD8FA" w14:textId="77777777" w:rsidR="005113A9" w:rsidRPr="000B6D9D" w:rsidRDefault="005113A9" w:rsidP="000B6D9D">
      <w:pPr>
        <w:spacing w:line="276" w:lineRule="auto"/>
        <w:ind w:firstLine="709"/>
        <w:rPr>
          <w:rFonts w:cs="Tahoma"/>
          <w:szCs w:val="24"/>
        </w:rPr>
      </w:pPr>
    </w:p>
    <w:p w14:paraId="4832F072" w14:textId="225FA00F" w:rsidR="005113A9" w:rsidRPr="000B6D9D" w:rsidRDefault="005113A9" w:rsidP="000B6D9D">
      <w:pPr>
        <w:spacing w:line="276" w:lineRule="auto"/>
        <w:ind w:firstLine="644"/>
        <w:rPr>
          <w:rFonts w:eastAsia="Tahoma" w:cs="Tahoma"/>
          <w:szCs w:val="24"/>
          <w:lang w:eastAsia="es-ES"/>
        </w:rPr>
      </w:pPr>
      <w:r w:rsidRPr="000B6D9D">
        <w:rPr>
          <w:rFonts w:eastAsia="Tahoma" w:cs="Tahoma"/>
          <w:szCs w:val="24"/>
          <w:lang w:eastAsia="es-ES"/>
        </w:rPr>
        <w:t>Importa precisar que como la declaratoria de ineficacia trae como consecuencia que las cosas se reestablezcan al estado en el que se encontraban al momento del traslado de régimen, fue acertada la determinación de la A-quo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esa cartera ministerial</w:t>
      </w:r>
      <w:r w:rsidR="00D317FA" w:rsidRPr="000B6D9D">
        <w:rPr>
          <w:rFonts w:eastAsia="Tahoma" w:cs="Tahoma"/>
          <w:szCs w:val="24"/>
          <w:lang w:eastAsia="es-ES"/>
        </w:rPr>
        <w:t xml:space="preserve"> ha manifestado que hasta la fecha no ha expedido bono alguno a favor del actor. </w:t>
      </w:r>
    </w:p>
    <w:p w14:paraId="653F288B" w14:textId="77777777" w:rsidR="005113A9" w:rsidRPr="000B6D9D" w:rsidRDefault="005113A9" w:rsidP="000B6D9D">
      <w:pPr>
        <w:spacing w:line="276" w:lineRule="auto"/>
        <w:ind w:firstLine="709"/>
        <w:rPr>
          <w:rFonts w:cs="Tahoma"/>
          <w:szCs w:val="24"/>
        </w:rPr>
      </w:pPr>
    </w:p>
    <w:p w14:paraId="43034240" w14:textId="77777777" w:rsidR="005113A9" w:rsidRPr="000B6D9D" w:rsidRDefault="005113A9" w:rsidP="000B6D9D">
      <w:pPr>
        <w:spacing w:line="276" w:lineRule="auto"/>
        <w:ind w:firstLine="708"/>
        <w:rPr>
          <w:rFonts w:cs="Tahoma"/>
          <w:szCs w:val="24"/>
        </w:rPr>
      </w:pPr>
      <w:r w:rsidRPr="000B6D9D">
        <w:rPr>
          <w:rFonts w:eastAsia="Tahoma" w:cs="Tahoma"/>
          <w:szCs w:val="24"/>
          <w:lang w:val="es"/>
        </w:rPr>
        <w:t>En torno a la manifestación que hacen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6F115E59" w14:textId="77777777" w:rsidR="005113A9" w:rsidRPr="000B6D9D" w:rsidRDefault="005113A9" w:rsidP="000B6D9D">
      <w:pPr>
        <w:spacing w:line="276" w:lineRule="auto"/>
        <w:ind w:firstLine="709"/>
        <w:rPr>
          <w:rFonts w:eastAsia="Calibri" w:cs="Tahoma"/>
          <w:szCs w:val="24"/>
        </w:rPr>
      </w:pPr>
    </w:p>
    <w:p w14:paraId="085D7904" w14:textId="2D1FA0A2" w:rsidR="005113A9" w:rsidRPr="000B6D9D" w:rsidRDefault="005113A9" w:rsidP="000B6D9D">
      <w:pPr>
        <w:spacing w:line="276" w:lineRule="auto"/>
        <w:ind w:firstLine="708"/>
        <w:rPr>
          <w:rFonts w:eastAsia="Tahoma" w:cs="Tahoma"/>
          <w:szCs w:val="24"/>
        </w:rPr>
      </w:pPr>
      <w:r w:rsidRPr="000B6D9D">
        <w:rPr>
          <w:rFonts w:cs="Tahoma"/>
          <w:szCs w:val="24"/>
        </w:rPr>
        <w:t xml:space="preserve">En esta instancia de conformidad a lo consagrado en el artículo 365 del CGP, se condenará en costas procesales a la </w:t>
      </w:r>
      <w:r w:rsidRPr="000B6D9D">
        <w:rPr>
          <w:rFonts w:cs="Tahoma"/>
          <w:b/>
          <w:bCs/>
          <w:szCs w:val="24"/>
        </w:rPr>
        <w:t>Administradora de Fondos de Pensiones y Cesantías</w:t>
      </w:r>
      <w:r w:rsidRPr="000B6D9D">
        <w:rPr>
          <w:rFonts w:cs="Tahoma"/>
          <w:szCs w:val="24"/>
        </w:rPr>
        <w:t xml:space="preserve"> </w:t>
      </w:r>
      <w:r w:rsidR="00D317FA" w:rsidRPr="000B6D9D">
        <w:rPr>
          <w:rFonts w:cs="Tahoma"/>
          <w:b/>
          <w:bCs/>
          <w:szCs w:val="24"/>
        </w:rPr>
        <w:t xml:space="preserve">Colfondos </w:t>
      </w:r>
      <w:r w:rsidRPr="000B6D9D">
        <w:rPr>
          <w:rFonts w:cs="Tahoma"/>
          <w:b/>
          <w:bCs/>
          <w:szCs w:val="24"/>
        </w:rPr>
        <w:t>S.A.</w:t>
      </w:r>
      <w:r w:rsidRPr="000B6D9D">
        <w:rPr>
          <w:rFonts w:cs="Tahoma"/>
          <w:szCs w:val="24"/>
        </w:rPr>
        <w:t xml:space="preserve"> y a </w:t>
      </w:r>
      <w:r w:rsidRPr="000B6D9D">
        <w:rPr>
          <w:rFonts w:cs="Tahoma"/>
          <w:b/>
          <w:szCs w:val="24"/>
        </w:rPr>
        <w:t>Colpensiones</w:t>
      </w:r>
      <w:r w:rsidRPr="000B6D9D">
        <w:rPr>
          <w:rFonts w:cs="Tahoma"/>
          <w:szCs w:val="24"/>
        </w:rPr>
        <w:t xml:space="preserve"> </w:t>
      </w:r>
      <w:r w:rsidRPr="000B6D9D">
        <w:rPr>
          <w:rFonts w:eastAsia="Tahoma" w:cs="Tahoma"/>
          <w:szCs w:val="24"/>
        </w:rPr>
        <w:t xml:space="preserve">a favor de la parte actora, las cuales se liquidarán por la secretaría del juzgado de origen. </w:t>
      </w:r>
    </w:p>
    <w:p w14:paraId="04F84B86" w14:textId="77777777" w:rsidR="005113A9" w:rsidRPr="000B6D9D" w:rsidRDefault="005113A9" w:rsidP="000B6D9D">
      <w:pPr>
        <w:spacing w:line="276" w:lineRule="auto"/>
        <w:ind w:firstLine="644"/>
        <w:rPr>
          <w:rFonts w:eastAsia="Tahoma" w:cs="Tahoma"/>
          <w:szCs w:val="24"/>
          <w:lang w:val="es-ES" w:eastAsia="es-ES"/>
        </w:rPr>
      </w:pPr>
    </w:p>
    <w:p w14:paraId="44760894" w14:textId="77777777" w:rsidR="005113A9" w:rsidRPr="000B6D9D" w:rsidRDefault="005113A9" w:rsidP="000B6D9D">
      <w:pPr>
        <w:spacing w:line="276" w:lineRule="auto"/>
        <w:ind w:firstLine="644"/>
        <w:contextualSpacing/>
        <w:rPr>
          <w:rFonts w:eastAsia="Times New Roman" w:cs="Tahoma"/>
          <w:szCs w:val="24"/>
        </w:rPr>
      </w:pPr>
      <w:r w:rsidRPr="000B6D9D">
        <w:rPr>
          <w:rFonts w:eastAsia="Times New Roman" w:cs="Tahoma"/>
          <w:szCs w:val="24"/>
        </w:rPr>
        <w:t xml:space="preserve">En mérito de lo expuesto, el </w:t>
      </w:r>
      <w:r w:rsidRPr="000B6D9D">
        <w:rPr>
          <w:rFonts w:eastAsia="Times New Roman" w:cs="Tahoma"/>
          <w:b/>
          <w:szCs w:val="24"/>
        </w:rPr>
        <w:t>Tribunal Superior del Distrito Judicial de Pereira - Risaralda, Sala Primera de Decisión Laboral,</w:t>
      </w:r>
      <w:r w:rsidRPr="000B6D9D">
        <w:rPr>
          <w:rFonts w:eastAsia="Times New Roman" w:cs="Tahoma"/>
          <w:szCs w:val="24"/>
        </w:rPr>
        <w:t xml:space="preserve"> administrando justicia en nombre de la República y por autoridad de la ley,</w:t>
      </w:r>
    </w:p>
    <w:p w14:paraId="7F33F8BE" w14:textId="77777777" w:rsidR="005113A9" w:rsidRPr="000B6D9D" w:rsidRDefault="005113A9" w:rsidP="000B6D9D">
      <w:pPr>
        <w:spacing w:line="276" w:lineRule="auto"/>
        <w:ind w:firstLine="708"/>
        <w:contextualSpacing/>
        <w:rPr>
          <w:rFonts w:eastAsia="Times New Roman" w:cs="Tahoma"/>
          <w:szCs w:val="24"/>
        </w:rPr>
      </w:pPr>
    </w:p>
    <w:p w14:paraId="07DA8F35" w14:textId="77777777" w:rsidR="005113A9" w:rsidRPr="000B6D9D" w:rsidRDefault="005113A9" w:rsidP="000B6D9D">
      <w:pPr>
        <w:spacing w:line="276" w:lineRule="auto"/>
        <w:ind w:firstLine="709"/>
        <w:jc w:val="center"/>
        <w:rPr>
          <w:rFonts w:cs="Tahoma"/>
          <w:b/>
          <w:szCs w:val="24"/>
        </w:rPr>
      </w:pPr>
      <w:r w:rsidRPr="000B6D9D">
        <w:rPr>
          <w:rFonts w:cs="Tahoma"/>
          <w:b/>
          <w:szCs w:val="24"/>
        </w:rPr>
        <w:t>RESUELVE</w:t>
      </w:r>
    </w:p>
    <w:p w14:paraId="66B4933B" w14:textId="77777777" w:rsidR="005113A9" w:rsidRPr="000B6D9D" w:rsidRDefault="005113A9" w:rsidP="000B6D9D">
      <w:pPr>
        <w:widowControl w:val="0"/>
        <w:autoSpaceDE w:val="0"/>
        <w:autoSpaceDN w:val="0"/>
        <w:adjustRightInd w:val="0"/>
        <w:spacing w:line="276" w:lineRule="auto"/>
        <w:jc w:val="center"/>
        <w:rPr>
          <w:rFonts w:cs="Tahoma"/>
          <w:b/>
          <w:szCs w:val="24"/>
        </w:rPr>
      </w:pPr>
    </w:p>
    <w:p w14:paraId="38813A5E" w14:textId="12B20873" w:rsidR="005113A9" w:rsidRPr="000B6D9D" w:rsidRDefault="005113A9" w:rsidP="000B6D9D">
      <w:pPr>
        <w:spacing w:line="276" w:lineRule="auto"/>
        <w:ind w:firstLine="644"/>
        <w:rPr>
          <w:rFonts w:eastAsia="Tahoma" w:cs="Tahoma"/>
          <w:szCs w:val="24"/>
          <w:lang w:eastAsia="es-ES"/>
        </w:rPr>
      </w:pPr>
      <w:r w:rsidRPr="000B6D9D">
        <w:rPr>
          <w:rFonts w:eastAsia="Tahoma" w:cs="Tahoma"/>
          <w:b/>
          <w:bCs/>
          <w:szCs w:val="24"/>
          <w:lang w:eastAsia="es-ES"/>
        </w:rPr>
        <w:t>PRIMERO</w:t>
      </w:r>
      <w:r w:rsidRPr="000B6D9D">
        <w:rPr>
          <w:rFonts w:eastAsia="Tahoma" w:cs="Tahoma"/>
          <w:szCs w:val="24"/>
          <w:lang w:eastAsia="es-ES"/>
        </w:rPr>
        <w:t>: </w:t>
      </w:r>
      <w:r w:rsidRPr="000B6D9D">
        <w:rPr>
          <w:rFonts w:eastAsia="Tahoma" w:cs="Tahoma"/>
          <w:b/>
          <w:bCs/>
          <w:szCs w:val="24"/>
          <w:lang w:eastAsia="es-ES"/>
        </w:rPr>
        <w:t>CONFIRMAR</w:t>
      </w:r>
      <w:r w:rsidRPr="000B6D9D">
        <w:rPr>
          <w:rFonts w:eastAsia="Tahoma" w:cs="Tahoma"/>
          <w:szCs w:val="24"/>
          <w:lang w:eastAsia="es-ES"/>
        </w:rPr>
        <w:t xml:space="preserve"> la sentencia proferida por el Juzgado Quinto Laboral de Circuito de Pereira el </w:t>
      </w:r>
      <w:r w:rsidR="00D317FA" w:rsidRPr="000B6D9D">
        <w:rPr>
          <w:rFonts w:eastAsia="Tahoma" w:cs="Tahoma"/>
          <w:szCs w:val="24"/>
          <w:lang w:eastAsia="es-ES"/>
        </w:rPr>
        <w:t>10 d</w:t>
      </w:r>
      <w:r w:rsidRPr="000B6D9D">
        <w:rPr>
          <w:rFonts w:eastAsia="Tahoma" w:cs="Tahoma"/>
          <w:szCs w:val="24"/>
          <w:lang w:eastAsia="es-ES"/>
        </w:rPr>
        <w:t>e junio de 2021 dentro del proceso de la referencia, por las razones expuestas en la parte motiva de esta providencia.</w:t>
      </w:r>
    </w:p>
    <w:p w14:paraId="50A8EC42" w14:textId="77777777" w:rsidR="005113A9" w:rsidRPr="000B6D9D" w:rsidRDefault="005113A9" w:rsidP="000B6D9D">
      <w:pPr>
        <w:spacing w:line="276" w:lineRule="auto"/>
        <w:ind w:firstLine="705"/>
        <w:textAlignment w:val="baseline"/>
        <w:rPr>
          <w:rFonts w:eastAsia="Times New Roman" w:cs="Tahoma"/>
          <w:b/>
          <w:bCs/>
          <w:szCs w:val="24"/>
          <w:lang w:eastAsia="es-ES"/>
        </w:rPr>
      </w:pPr>
      <w:r w:rsidRPr="000B6D9D">
        <w:rPr>
          <w:rFonts w:eastAsia="Times New Roman" w:cs="Tahoma"/>
          <w:b/>
          <w:bCs/>
          <w:szCs w:val="24"/>
          <w:lang w:eastAsia="es-ES"/>
        </w:rPr>
        <w:t xml:space="preserve"> </w:t>
      </w:r>
    </w:p>
    <w:p w14:paraId="7B7C7E15" w14:textId="333CA596" w:rsidR="005113A9" w:rsidRPr="000B6D9D" w:rsidRDefault="005113A9" w:rsidP="000B6D9D">
      <w:pPr>
        <w:spacing w:line="276" w:lineRule="auto"/>
        <w:ind w:firstLine="644"/>
        <w:rPr>
          <w:rFonts w:eastAsia="Tahoma" w:cs="Tahoma"/>
          <w:szCs w:val="24"/>
          <w:lang w:eastAsia="es-ES"/>
        </w:rPr>
      </w:pPr>
      <w:r w:rsidRPr="000B6D9D">
        <w:rPr>
          <w:rFonts w:eastAsia="Tahoma" w:cs="Tahoma"/>
          <w:b/>
          <w:bCs/>
          <w:szCs w:val="24"/>
          <w:lang w:eastAsia="es-ES"/>
        </w:rPr>
        <w:t>SEGUNDO</w:t>
      </w:r>
      <w:r w:rsidRPr="000B6D9D">
        <w:rPr>
          <w:rFonts w:eastAsia="Tahoma" w:cs="Tahoma"/>
          <w:szCs w:val="24"/>
          <w:lang w:eastAsia="es-ES"/>
        </w:rPr>
        <w:t xml:space="preserve">: </w:t>
      </w:r>
      <w:r w:rsidRPr="000B6D9D">
        <w:rPr>
          <w:rFonts w:eastAsia="Tahoma" w:cs="Tahoma"/>
          <w:b/>
          <w:bCs/>
          <w:szCs w:val="24"/>
          <w:lang w:eastAsia="es-ES"/>
        </w:rPr>
        <w:t>CONDENAR</w:t>
      </w:r>
      <w:r w:rsidRPr="000B6D9D">
        <w:rPr>
          <w:rFonts w:eastAsia="Tahoma" w:cs="Tahoma"/>
          <w:szCs w:val="24"/>
          <w:lang w:eastAsia="es-ES"/>
        </w:rPr>
        <w:t xml:space="preserve"> en costas de segunda instancia a la AFP </w:t>
      </w:r>
      <w:r w:rsidR="00D317FA" w:rsidRPr="000B6D9D">
        <w:rPr>
          <w:rFonts w:eastAsia="Tahoma" w:cs="Tahoma"/>
          <w:szCs w:val="24"/>
          <w:lang w:eastAsia="es-ES"/>
        </w:rPr>
        <w:t>Colfondos</w:t>
      </w:r>
      <w:r w:rsidRPr="000B6D9D">
        <w:rPr>
          <w:rFonts w:eastAsia="Tahoma" w:cs="Tahoma"/>
          <w:szCs w:val="24"/>
          <w:lang w:eastAsia="es-ES"/>
        </w:rPr>
        <w:t xml:space="preserve"> S.A. y a Colpensiones a favor de la parte demandante, las cuales se liquidarán por el juzgado de origen.</w:t>
      </w:r>
    </w:p>
    <w:p w14:paraId="71FDF139" w14:textId="77777777" w:rsidR="005113A9" w:rsidRPr="000B6D9D" w:rsidRDefault="005113A9" w:rsidP="000B6D9D">
      <w:pPr>
        <w:spacing w:line="276" w:lineRule="auto"/>
        <w:ind w:firstLine="644"/>
        <w:rPr>
          <w:rFonts w:eastAsia="Tahoma" w:cs="Tahoma"/>
          <w:szCs w:val="24"/>
          <w:lang w:val="es-ES" w:eastAsia="es-ES"/>
        </w:rPr>
      </w:pPr>
    </w:p>
    <w:p w14:paraId="361C12D1" w14:textId="77777777" w:rsidR="005113A9" w:rsidRPr="000B6D9D" w:rsidRDefault="005113A9" w:rsidP="000B6D9D">
      <w:pPr>
        <w:widowControl w:val="0"/>
        <w:autoSpaceDE w:val="0"/>
        <w:autoSpaceDN w:val="0"/>
        <w:adjustRightInd w:val="0"/>
        <w:spacing w:line="276" w:lineRule="auto"/>
        <w:jc w:val="center"/>
        <w:rPr>
          <w:rFonts w:cs="Tahoma"/>
          <w:b/>
          <w:szCs w:val="24"/>
        </w:rPr>
      </w:pPr>
      <w:r w:rsidRPr="000B6D9D">
        <w:rPr>
          <w:rFonts w:cs="Tahoma"/>
          <w:b/>
          <w:szCs w:val="24"/>
        </w:rPr>
        <w:t>NOTIFÍQUESE Y CÚMPLASE</w:t>
      </w:r>
    </w:p>
    <w:p w14:paraId="595FD2DF" w14:textId="77777777" w:rsidR="000B6D9D" w:rsidRPr="000B6D9D" w:rsidRDefault="000B6D9D" w:rsidP="000B6D9D">
      <w:pPr>
        <w:spacing w:line="276" w:lineRule="auto"/>
        <w:jc w:val="left"/>
        <w:textAlignment w:val="baseline"/>
        <w:rPr>
          <w:rFonts w:eastAsia="Times New Roman" w:cs="Tahoma"/>
          <w:szCs w:val="24"/>
          <w:lang w:eastAsia="es-ES_tradnl"/>
        </w:rPr>
      </w:pPr>
    </w:p>
    <w:p w14:paraId="4C299645" w14:textId="77777777" w:rsidR="000B6D9D" w:rsidRPr="000B6D9D" w:rsidRDefault="000B6D9D" w:rsidP="000B6D9D">
      <w:pPr>
        <w:widowControl w:val="0"/>
        <w:autoSpaceDE w:val="0"/>
        <w:autoSpaceDN w:val="0"/>
        <w:adjustRightInd w:val="0"/>
        <w:spacing w:line="276" w:lineRule="auto"/>
        <w:rPr>
          <w:rFonts w:eastAsia="Times New Roman" w:cs="Tahoma"/>
          <w:szCs w:val="24"/>
          <w:lang w:val="es-ES" w:eastAsia="es-ES"/>
        </w:rPr>
      </w:pPr>
      <w:r w:rsidRPr="000B6D9D">
        <w:rPr>
          <w:rFonts w:eastAsia="Times New Roman" w:cs="Tahoma"/>
          <w:szCs w:val="24"/>
          <w:lang w:val="es-ES" w:eastAsia="es-ES"/>
        </w:rPr>
        <w:tab/>
        <w:t>La Magistrada ponente,</w:t>
      </w:r>
    </w:p>
    <w:p w14:paraId="7276A610" w14:textId="77777777" w:rsidR="000B6D9D" w:rsidRPr="000B6D9D" w:rsidRDefault="000B6D9D" w:rsidP="000B6D9D">
      <w:pPr>
        <w:spacing w:line="276" w:lineRule="auto"/>
        <w:jc w:val="left"/>
        <w:rPr>
          <w:rFonts w:eastAsia="Times New Roman" w:cs="Tahoma"/>
          <w:szCs w:val="24"/>
          <w:lang w:val="es-ES" w:eastAsia="es-ES"/>
        </w:rPr>
      </w:pPr>
    </w:p>
    <w:p w14:paraId="4CCD9B37" w14:textId="77777777" w:rsidR="000B6D9D" w:rsidRPr="000B6D9D" w:rsidRDefault="000B6D9D" w:rsidP="000B6D9D">
      <w:pPr>
        <w:spacing w:line="276" w:lineRule="auto"/>
        <w:jc w:val="left"/>
        <w:rPr>
          <w:rFonts w:eastAsia="Times New Roman" w:cs="Tahoma"/>
          <w:szCs w:val="24"/>
          <w:lang w:val="es-ES" w:eastAsia="es-ES"/>
        </w:rPr>
      </w:pPr>
    </w:p>
    <w:p w14:paraId="06C859F0" w14:textId="77777777" w:rsidR="000B6D9D" w:rsidRPr="000B6D9D" w:rsidRDefault="000B6D9D" w:rsidP="000B6D9D">
      <w:pPr>
        <w:spacing w:line="276" w:lineRule="auto"/>
        <w:jc w:val="left"/>
        <w:rPr>
          <w:rFonts w:eastAsia="Times New Roman" w:cs="Tahoma"/>
          <w:szCs w:val="24"/>
          <w:lang w:val="es-ES" w:eastAsia="es-ES"/>
        </w:rPr>
      </w:pPr>
    </w:p>
    <w:p w14:paraId="4F2EEE34" w14:textId="77777777" w:rsidR="000B6D9D" w:rsidRPr="000B6D9D" w:rsidRDefault="000B6D9D" w:rsidP="000B6D9D">
      <w:pPr>
        <w:keepNext/>
        <w:spacing w:line="276" w:lineRule="auto"/>
        <w:jc w:val="center"/>
        <w:outlineLvl w:val="2"/>
        <w:rPr>
          <w:rFonts w:eastAsia="Times New Roman" w:cs="Tahoma"/>
          <w:b/>
          <w:bCs/>
          <w:szCs w:val="24"/>
          <w:lang w:val="es-ES" w:eastAsia="es-ES"/>
        </w:rPr>
      </w:pPr>
      <w:r w:rsidRPr="000B6D9D">
        <w:rPr>
          <w:rFonts w:eastAsia="Times New Roman" w:cs="Tahoma"/>
          <w:b/>
          <w:bCs/>
          <w:szCs w:val="24"/>
          <w:lang w:val="es-ES" w:eastAsia="es-ES"/>
        </w:rPr>
        <w:t>ANA LUCÍA CAICEDO CALDERÓN</w:t>
      </w:r>
    </w:p>
    <w:p w14:paraId="56752C90" w14:textId="77777777" w:rsidR="000B6D9D" w:rsidRPr="000B6D9D" w:rsidRDefault="000B6D9D" w:rsidP="000B6D9D">
      <w:pPr>
        <w:spacing w:line="276" w:lineRule="auto"/>
        <w:jc w:val="left"/>
        <w:rPr>
          <w:rFonts w:eastAsia="Times New Roman" w:cs="Tahoma"/>
          <w:szCs w:val="24"/>
          <w:lang w:val="es-ES" w:eastAsia="es-ES"/>
        </w:rPr>
      </w:pPr>
    </w:p>
    <w:p w14:paraId="683B6AD3" w14:textId="77777777" w:rsidR="000B6D9D" w:rsidRPr="000B6D9D" w:rsidRDefault="000B6D9D" w:rsidP="000B6D9D">
      <w:pPr>
        <w:spacing w:line="276" w:lineRule="auto"/>
        <w:ind w:firstLine="708"/>
        <w:jc w:val="left"/>
        <w:rPr>
          <w:rFonts w:eastAsia="Times New Roman" w:cs="Tahoma"/>
          <w:szCs w:val="24"/>
          <w:lang w:val="es-ES" w:eastAsia="es-ES"/>
        </w:rPr>
      </w:pPr>
      <w:bookmarkStart w:id="9" w:name="_Hlk62478330"/>
      <w:r w:rsidRPr="000B6D9D">
        <w:rPr>
          <w:rFonts w:eastAsia="Times New Roman" w:cs="Tahoma"/>
          <w:szCs w:val="24"/>
          <w:lang w:val="es-ES" w:eastAsia="es-ES"/>
        </w:rPr>
        <w:t>La Magistrada y el Magistrado,</w:t>
      </w:r>
    </w:p>
    <w:p w14:paraId="4A7E0AAD" w14:textId="77777777" w:rsidR="000B6D9D" w:rsidRPr="000B6D9D" w:rsidRDefault="000B6D9D" w:rsidP="000B6D9D">
      <w:pPr>
        <w:spacing w:line="276" w:lineRule="auto"/>
        <w:jc w:val="left"/>
        <w:rPr>
          <w:rFonts w:eastAsia="Times New Roman" w:cs="Tahoma"/>
          <w:szCs w:val="24"/>
          <w:lang w:val="es-ES" w:eastAsia="es-ES"/>
        </w:rPr>
      </w:pPr>
    </w:p>
    <w:p w14:paraId="606C6982" w14:textId="77777777" w:rsidR="000B6D9D" w:rsidRPr="000B6D9D" w:rsidRDefault="000B6D9D" w:rsidP="000B6D9D">
      <w:pPr>
        <w:spacing w:line="276" w:lineRule="auto"/>
        <w:jc w:val="left"/>
        <w:rPr>
          <w:rFonts w:eastAsia="Times New Roman" w:cs="Tahoma"/>
          <w:szCs w:val="24"/>
          <w:lang w:val="es-ES" w:eastAsia="es-ES"/>
        </w:rPr>
      </w:pPr>
    </w:p>
    <w:p w14:paraId="3A189830" w14:textId="77777777" w:rsidR="000B6D9D" w:rsidRPr="000B6D9D" w:rsidRDefault="000B6D9D" w:rsidP="000B6D9D">
      <w:pPr>
        <w:spacing w:line="276" w:lineRule="auto"/>
        <w:jc w:val="left"/>
        <w:rPr>
          <w:rFonts w:eastAsia="Times New Roman" w:cs="Tahoma"/>
          <w:szCs w:val="24"/>
          <w:lang w:val="es-ES" w:eastAsia="es-ES"/>
        </w:rPr>
      </w:pPr>
    </w:p>
    <w:p w14:paraId="5C933BDB" w14:textId="77777777" w:rsidR="000B6D9D" w:rsidRPr="000B6D9D" w:rsidRDefault="000B6D9D" w:rsidP="000B6D9D">
      <w:pPr>
        <w:spacing w:line="276" w:lineRule="auto"/>
        <w:rPr>
          <w:rFonts w:eastAsia="Times New Roman" w:cs="Tahoma"/>
          <w:b/>
          <w:bCs/>
          <w:szCs w:val="24"/>
          <w:lang w:val="es-ES" w:eastAsia="es-ES"/>
        </w:rPr>
      </w:pPr>
      <w:r w:rsidRPr="000B6D9D">
        <w:rPr>
          <w:rFonts w:eastAsia="Times New Roman" w:cs="Tahoma"/>
          <w:b/>
          <w:bCs/>
          <w:szCs w:val="24"/>
          <w:lang w:val="es-ES" w:eastAsia="es-ES"/>
        </w:rPr>
        <w:t>GERMÁN DARÍO GÓEZ VINASCO</w:t>
      </w:r>
      <w:bookmarkEnd w:id="9"/>
      <w:r w:rsidRPr="000B6D9D">
        <w:rPr>
          <w:rFonts w:eastAsia="Times New Roman" w:cs="Tahoma"/>
          <w:b/>
          <w:bCs/>
          <w:szCs w:val="24"/>
          <w:lang w:val="es-ES" w:eastAsia="es-ES"/>
        </w:rPr>
        <w:tab/>
      </w:r>
      <w:r w:rsidRPr="000B6D9D">
        <w:rPr>
          <w:rFonts w:eastAsia="Times New Roman" w:cs="Tahoma"/>
          <w:b/>
          <w:bCs/>
          <w:szCs w:val="24"/>
          <w:lang w:val="es-ES" w:eastAsia="es-ES"/>
        </w:rPr>
        <w:tab/>
        <w:t>OLGA LUCÍA HOYOS SEPÚLVEDA</w:t>
      </w:r>
    </w:p>
    <w:p w14:paraId="27A880ED" w14:textId="2DDDD772" w:rsidR="0064788E" w:rsidRPr="000B6D9D" w:rsidRDefault="000B6D9D" w:rsidP="000B6D9D">
      <w:pPr>
        <w:spacing w:line="276" w:lineRule="auto"/>
        <w:textAlignment w:val="baseline"/>
        <w:rPr>
          <w:rFonts w:eastAsia="Times New Roman" w:cs="Tahoma"/>
          <w:szCs w:val="24"/>
          <w:lang w:eastAsia="es-ES_tradnl"/>
        </w:rPr>
      </w:pPr>
      <w:r w:rsidRPr="000B6D9D">
        <w:rPr>
          <w:rFonts w:eastAsia="Times New Roman" w:cs="Tahoma"/>
          <w:szCs w:val="24"/>
          <w:lang w:eastAsia="es-ES_tradnl"/>
        </w:rPr>
        <w:tab/>
      </w:r>
      <w:r w:rsidRPr="000B6D9D">
        <w:rPr>
          <w:rFonts w:eastAsia="Times New Roman" w:cs="Tahoma"/>
          <w:szCs w:val="24"/>
          <w:lang w:eastAsia="es-ES_tradnl"/>
        </w:rPr>
        <w:tab/>
      </w:r>
      <w:r w:rsidRPr="000B6D9D">
        <w:rPr>
          <w:rFonts w:eastAsia="Times New Roman" w:cs="Tahoma"/>
          <w:szCs w:val="24"/>
          <w:lang w:eastAsia="es-ES_tradnl"/>
        </w:rPr>
        <w:tab/>
      </w:r>
      <w:r w:rsidRPr="000B6D9D">
        <w:rPr>
          <w:rFonts w:eastAsia="Times New Roman" w:cs="Tahoma"/>
          <w:szCs w:val="24"/>
          <w:lang w:eastAsia="es-ES_tradnl"/>
        </w:rPr>
        <w:tab/>
      </w:r>
      <w:r w:rsidRPr="000B6D9D">
        <w:rPr>
          <w:rFonts w:eastAsia="Times New Roman" w:cs="Tahoma"/>
          <w:szCs w:val="24"/>
          <w:lang w:eastAsia="es-ES_tradnl"/>
        </w:rPr>
        <w:tab/>
      </w:r>
      <w:r w:rsidRPr="000B6D9D">
        <w:rPr>
          <w:rFonts w:eastAsia="Times New Roman" w:cs="Tahoma"/>
          <w:szCs w:val="24"/>
          <w:lang w:eastAsia="es-ES_tradnl"/>
        </w:rPr>
        <w:tab/>
      </w:r>
      <w:r w:rsidRPr="000B6D9D">
        <w:rPr>
          <w:rFonts w:eastAsia="Times New Roman" w:cs="Tahoma"/>
          <w:szCs w:val="24"/>
          <w:lang w:eastAsia="es-ES_tradnl"/>
        </w:rPr>
        <w:tab/>
        <w:t>Aclara voto</w:t>
      </w:r>
    </w:p>
    <w:sectPr w:rsidR="0064788E" w:rsidRPr="000B6D9D" w:rsidSect="00926C20">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EFDE75" w16cex:dateUtc="2022-01-11T20:37:55.7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74C4" w14:textId="77777777" w:rsidR="001170A4" w:rsidRDefault="001170A4" w:rsidP="00790DA9">
      <w:pPr>
        <w:spacing w:line="240" w:lineRule="auto"/>
      </w:pPr>
      <w:r>
        <w:separator/>
      </w:r>
    </w:p>
  </w:endnote>
  <w:endnote w:type="continuationSeparator" w:id="0">
    <w:p w14:paraId="38B5B093" w14:textId="77777777" w:rsidR="001170A4" w:rsidRDefault="001170A4"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6"/>
        <w:szCs w:val="14"/>
        <w:lang w:val="es-419" w:eastAsia="es-ES"/>
      </w:rPr>
    </w:sdtEndPr>
    <w:sdtContent>
      <w:p w14:paraId="14419340" w14:textId="77777777" w:rsidR="00BB0107" w:rsidRPr="000B6D9D" w:rsidRDefault="00BB0107">
        <w:pPr>
          <w:pStyle w:val="Piedepgina"/>
          <w:jc w:val="right"/>
          <w:rPr>
            <w:rFonts w:ascii="Arial" w:eastAsia="Times New Roman" w:hAnsi="Arial" w:cs="Arial"/>
            <w:sz w:val="16"/>
            <w:szCs w:val="14"/>
            <w:lang w:val="es-419" w:eastAsia="es-ES"/>
          </w:rPr>
        </w:pPr>
        <w:r w:rsidRPr="000B6D9D">
          <w:rPr>
            <w:rFonts w:ascii="Arial" w:eastAsia="Times New Roman" w:hAnsi="Arial" w:cs="Arial"/>
            <w:sz w:val="16"/>
            <w:szCs w:val="14"/>
            <w:lang w:val="es-419" w:eastAsia="es-ES"/>
          </w:rPr>
          <w:fldChar w:fldCharType="begin"/>
        </w:r>
        <w:r w:rsidRPr="000B6D9D">
          <w:rPr>
            <w:rFonts w:ascii="Arial" w:eastAsia="Times New Roman" w:hAnsi="Arial" w:cs="Arial"/>
            <w:sz w:val="16"/>
            <w:szCs w:val="14"/>
            <w:lang w:val="es-419" w:eastAsia="es-ES"/>
          </w:rPr>
          <w:instrText>PAGE   \* MERGEFORMAT</w:instrText>
        </w:r>
        <w:r w:rsidRPr="000B6D9D">
          <w:rPr>
            <w:rFonts w:ascii="Arial" w:eastAsia="Times New Roman" w:hAnsi="Arial" w:cs="Arial"/>
            <w:sz w:val="16"/>
            <w:szCs w:val="14"/>
            <w:lang w:val="es-419" w:eastAsia="es-ES"/>
          </w:rPr>
          <w:fldChar w:fldCharType="separate"/>
        </w:r>
        <w:r w:rsidRPr="000B6D9D">
          <w:rPr>
            <w:rFonts w:ascii="Arial" w:eastAsia="Times New Roman" w:hAnsi="Arial" w:cs="Arial"/>
            <w:sz w:val="16"/>
            <w:szCs w:val="14"/>
            <w:lang w:val="es-419" w:eastAsia="es-ES"/>
          </w:rPr>
          <w:t>17</w:t>
        </w:r>
        <w:r w:rsidRPr="000B6D9D">
          <w:rPr>
            <w:rFonts w:ascii="Arial" w:eastAsia="Times New Roman" w:hAnsi="Arial" w:cs="Arial"/>
            <w:sz w:val="16"/>
            <w:szCs w:val="14"/>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F034" w14:textId="77777777" w:rsidR="001170A4" w:rsidRDefault="001170A4" w:rsidP="00790DA9">
      <w:pPr>
        <w:spacing w:line="240" w:lineRule="auto"/>
      </w:pPr>
      <w:r>
        <w:separator/>
      </w:r>
    </w:p>
  </w:footnote>
  <w:footnote w:type="continuationSeparator" w:id="0">
    <w:p w14:paraId="6DA3889C" w14:textId="77777777" w:rsidR="001170A4" w:rsidRDefault="001170A4" w:rsidP="00790DA9">
      <w:pPr>
        <w:spacing w:line="240" w:lineRule="auto"/>
      </w:pPr>
      <w:r>
        <w:continuationSeparator/>
      </w:r>
    </w:p>
  </w:footnote>
  <w:footnote w:id="1">
    <w:p w14:paraId="0F1CC0E1" w14:textId="77777777" w:rsidR="00E44FBB" w:rsidRPr="003F425A" w:rsidRDefault="00E44FBB" w:rsidP="00E44FBB">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5D201E06" w14:textId="77777777" w:rsidR="00E44FBB" w:rsidRPr="003F425A" w:rsidRDefault="00E44FBB" w:rsidP="00E44FBB">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342CC56A" w14:textId="77777777" w:rsidR="00E44FBB" w:rsidRPr="003F425A" w:rsidRDefault="00E44FBB" w:rsidP="00E44FBB">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349E494D" w14:textId="77777777" w:rsidR="00E44FBB" w:rsidRPr="003F425A" w:rsidRDefault="00E44FBB" w:rsidP="00E44FBB">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376EE7FD" w14:textId="77777777" w:rsidR="00E44FBB" w:rsidRPr="003F425A" w:rsidRDefault="00E44FBB" w:rsidP="00E44FBB">
      <w:pPr>
        <w:pStyle w:val="Textonotapie"/>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6CE2" w14:textId="412CC0E5" w:rsidR="00DA5E82" w:rsidRPr="000B6D9D" w:rsidRDefault="00DA5E82" w:rsidP="00DA5E82">
    <w:pPr>
      <w:tabs>
        <w:tab w:val="left" w:pos="993"/>
      </w:tabs>
      <w:spacing w:line="240" w:lineRule="auto"/>
      <w:ind w:left="1134" w:hanging="1134"/>
      <w:rPr>
        <w:rFonts w:ascii="Arial" w:eastAsia="Times New Roman" w:hAnsi="Arial" w:cs="Arial"/>
        <w:sz w:val="16"/>
        <w:szCs w:val="14"/>
        <w:lang w:val="es-419" w:eastAsia="es-ES"/>
      </w:rPr>
    </w:pPr>
    <w:r w:rsidRPr="000B6D9D">
      <w:rPr>
        <w:rFonts w:ascii="Arial" w:eastAsia="Times New Roman" w:hAnsi="Arial" w:cs="Arial"/>
        <w:sz w:val="16"/>
        <w:szCs w:val="14"/>
        <w:lang w:val="es-419" w:eastAsia="es-ES"/>
      </w:rPr>
      <w:t>Radicación No.:</w:t>
    </w:r>
    <w:r w:rsidR="000B6D9D">
      <w:rPr>
        <w:rFonts w:ascii="Arial" w:eastAsia="Times New Roman" w:hAnsi="Arial" w:cs="Arial"/>
        <w:sz w:val="16"/>
        <w:szCs w:val="14"/>
        <w:lang w:val="es-419" w:eastAsia="es-ES"/>
      </w:rPr>
      <w:tab/>
    </w:r>
    <w:r w:rsidR="000B6D9D">
      <w:rPr>
        <w:rFonts w:ascii="Arial" w:eastAsia="Times New Roman" w:hAnsi="Arial" w:cs="Arial"/>
        <w:sz w:val="16"/>
        <w:szCs w:val="14"/>
        <w:lang w:val="es-419" w:eastAsia="es-ES"/>
      </w:rPr>
      <w:tab/>
    </w:r>
    <w:r w:rsidRPr="000B6D9D">
      <w:rPr>
        <w:rFonts w:ascii="Arial" w:eastAsia="Times New Roman" w:hAnsi="Arial" w:cs="Arial"/>
        <w:sz w:val="16"/>
        <w:szCs w:val="14"/>
        <w:lang w:val="es-419" w:eastAsia="es-ES"/>
      </w:rPr>
      <w:t>66001310500520190019301</w:t>
    </w:r>
  </w:p>
  <w:p w14:paraId="1E869DE9" w14:textId="071E6970" w:rsidR="00DA5E82" w:rsidRPr="000B6D9D" w:rsidRDefault="00DA5E82" w:rsidP="00DA5E82">
    <w:pPr>
      <w:tabs>
        <w:tab w:val="left" w:pos="993"/>
      </w:tabs>
      <w:spacing w:line="240" w:lineRule="auto"/>
      <w:ind w:left="1134" w:hanging="1134"/>
      <w:rPr>
        <w:rFonts w:ascii="Arial" w:eastAsia="Times New Roman" w:hAnsi="Arial" w:cs="Arial"/>
        <w:sz w:val="16"/>
        <w:szCs w:val="14"/>
        <w:lang w:val="es-419" w:eastAsia="es-ES"/>
      </w:rPr>
    </w:pPr>
    <w:r w:rsidRPr="000B6D9D">
      <w:rPr>
        <w:rFonts w:ascii="Arial" w:eastAsia="Times New Roman" w:hAnsi="Arial" w:cs="Arial"/>
        <w:sz w:val="16"/>
        <w:szCs w:val="14"/>
        <w:lang w:val="es-419" w:eastAsia="es-ES"/>
      </w:rPr>
      <w:t>Demandante:</w:t>
    </w:r>
    <w:r w:rsidR="000B6D9D">
      <w:rPr>
        <w:rFonts w:ascii="Arial" w:eastAsia="Times New Roman" w:hAnsi="Arial" w:cs="Arial"/>
        <w:sz w:val="16"/>
        <w:szCs w:val="14"/>
        <w:lang w:val="es-419" w:eastAsia="es-ES"/>
      </w:rPr>
      <w:tab/>
    </w:r>
    <w:r w:rsidR="000B6D9D">
      <w:rPr>
        <w:rFonts w:ascii="Arial" w:eastAsia="Times New Roman" w:hAnsi="Arial" w:cs="Arial"/>
        <w:sz w:val="16"/>
        <w:szCs w:val="14"/>
        <w:lang w:val="es-419" w:eastAsia="es-ES"/>
      </w:rPr>
      <w:tab/>
    </w:r>
    <w:r w:rsidRPr="000B6D9D">
      <w:rPr>
        <w:rFonts w:ascii="Arial" w:eastAsia="Times New Roman" w:hAnsi="Arial" w:cs="Arial"/>
        <w:sz w:val="16"/>
        <w:szCs w:val="14"/>
        <w:lang w:val="es-419" w:eastAsia="es-ES"/>
      </w:rPr>
      <w:tab/>
      <w:t xml:space="preserve">Carlos Alberto Santiz Castilla </w:t>
    </w:r>
  </w:p>
  <w:p w14:paraId="2D64C58B" w14:textId="57184191" w:rsidR="00DA5E82" w:rsidRPr="000B6D9D" w:rsidRDefault="00DA5E82" w:rsidP="00DA5E82">
    <w:pPr>
      <w:tabs>
        <w:tab w:val="left" w:pos="993"/>
      </w:tabs>
      <w:spacing w:line="240" w:lineRule="auto"/>
      <w:ind w:left="1134" w:hanging="1134"/>
      <w:rPr>
        <w:rFonts w:ascii="Arial" w:eastAsia="Times New Roman" w:hAnsi="Arial" w:cs="Arial"/>
        <w:sz w:val="16"/>
        <w:szCs w:val="14"/>
        <w:lang w:val="es-419" w:eastAsia="es-ES"/>
      </w:rPr>
    </w:pPr>
    <w:r w:rsidRPr="000B6D9D">
      <w:rPr>
        <w:rFonts w:ascii="Arial" w:eastAsia="Times New Roman" w:hAnsi="Arial" w:cs="Arial"/>
        <w:sz w:val="16"/>
        <w:szCs w:val="14"/>
        <w:lang w:val="es-419" w:eastAsia="es-ES"/>
      </w:rPr>
      <w:t>Demandado:</w:t>
    </w:r>
    <w:r w:rsidR="000B6D9D">
      <w:rPr>
        <w:rFonts w:ascii="Arial" w:eastAsia="Times New Roman" w:hAnsi="Arial" w:cs="Arial"/>
        <w:sz w:val="16"/>
        <w:szCs w:val="14"/>
        <w:lang w:val="es-419" w:eastAsia="es-ES"/>
      </w:rPr>
      <w:tab/>
    </w:r>
    <w:r w:rsidR="000B6D9D">
      <w:rPr>
        <w:rFonts w:ascii="Arial" w:eastAsia="Times New Roman" w:hAnsi="Arial" w:cs="Arial"/>
        <w:sz w:val="16"/>
        <w:szCs w:val="14"/>
        <w:lang w:val="es-419" w:eastAsia="es-ES"/>
      </w:rPr>
      <w:tab/>
    </w:r>
    <w:r w:rsidR="000B6D9D">
      <w:rPr>
        <w:rFonts w:ascii="Arial" w:eastAsia="Times New Roman" w:hAnsi="Arial" w:cs="Arial"/>
        <w:sz w:val="16"/>
        <w:szCs w:val="14"/>
        <w:lang w:val="es-419" w:eastAsia="es-ES"/>
      </w:rPr>
      <w:tab/>
    </w:r>
    <w:r w:rsidRPr="000B6D9D">
      <w:rPr>
        <w:rFonts w:ascii="Arial" w:eastAsia="Times New Roman" w:hAnsi="Arial" w:cs="Arial"/>
        <w:sz w:val="16"/>
        <w:szCs w:val="14"/>
        <w:lang w:val="es-419" w:eastAsia="es-ES"/>
      </w:rPr>
      <w:t>Colpensiones</w:t>
    </w:r>
    <w:r w:rsidR="009B174A" w:rsidRPr="000B6D9D">
      <w:rPr>
        <w:rFonts w:ascii="Arial" w:eastAsia="Times New Roman" w:hAnsi="Arial" w:cs="Arial"/>
        <w:sz w:val="16"/>
        <w:szCs w:val="14"/>
        <w:lang w:val="es-419" w:eastAsia="es-ES"/>
      </w:rPr>
      <w:t xml:space="preserve"> y Colfondos</w:t>
    </w:r>
    <w:r w:rsidRPr="000B6D9D">
      <w:rPr>
        <w:rFonts w:ascii="Arial" w:eastAsia="Times New Roman" w:hAnsi="Arial" w:cs="Arial"/>
        <w:sz w:val="16"/>
        <w:szCs w:val="14"/>
        <w:lang w:val="es-419" w:eastAsia="es-ES"/>
      </w:rPr>
      <w:t xml:space="preserve"> S.A.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2712F8E"/>
    <w:multiLevelType w:val="multilevel"/>
    <w:tmpl w:val="150600AE"/>
    <w:lvl w:ilvl="0">
      <w:start w:val="6"/>
      <w:numFmt w:val="decimal"/>
      <w:lvlText w:val="%1"/>
      <w:lvlJc w:val="left"/>
      <w:pPr>
        <w:ind w:left="380" w:hanging="380"/>
      </w:pPr>
      <w:rPr>
        <w:rFonts w:hint="default"/>
        <w:b/>
        <w:sz w:val="24"/>
      </w:rPr>
    </w:lvl>
    <w:lvl w:ilvl="1">
      <w:start w:val="1"/>
      <w:numFmt w:val="decimal"/>
      <w:lvlText w:val="%1.%2"/>
      <w:lvlJc w:val="left"/>
      <w:pPr>
        <w:ind w:left="2145" w:hanging="720"/>
      </w:pPr>
      <w:rPr>
        <w:rFonts w:hint="default"/>
        <w:b/>
        <w:sz w:val="24"/>
      </w:rPr>
    </w:lvl>
    <w:lvl w:ilvl="2">
      <w:start w:val="1"/>
      <w:numFmt w:val="decimal"/>
      <w:lvlText w:val="%1.%2.%3"/>
      <w:lvlJc w:val="left"/>
      <w:pPr>
        <w:ind w:left="3570" w:hanging="720"/>
      </w:pPr>
      <w:rPr>
        <w:rFonts w:hint="default"/>
        <w:b/>
        <w:sz w:val="24"/>
      </w:rPr>
    </w:lvl>
    <w:lvl w:ilvl="3">
      <w:start w:val="1"/>
      <w:numFmt w:val="decimal"/>
      <w:lvlText w:val="%1.%2.%3.%4"/>
      <w:lvlJc w:val="left"/>
      <w:pPr>
        <w:ind w:left="5355" w:hanging="1080"/>
      </w:pPr>
      <w:rPr>
        <w:rFonts w:hint="default"/>
        <w:b/>
        <w:sz w:val="24"/>
      </w:rPr>
    </w:lvl>
    <w:lvl w:ilvl="4">
      <w:start w:val="1"/>
      <w:numFmt w:val="decimal"/>
      <w:lvlText w:val="%1.%2.%3.%4.%5"/>
      <w:lvlJc w:val="left"/>
      <w:pPr>
        <w:ind w:left="6780" w:hanging="1080"/>
      </w:pPr>
      <w:rPr>
        <w:rFonts w:hint="default"/>
        <w:b/>
        <w:sz w:val="24"/>
      </w:rPr>
    </w:lvl>
    <w:lvl w:ilvl="5">
      <w:start w:val="1"/>
      <w:numFmt w:val="decimal"/>
      <w:lvlText w:val="%1.%2.%3.%4.%5.%6"/>
      <w:lvlJc w:val="left"/>
      <w:pPr>
        <w:ind w:left="8565" w:hanging="1440"/>
      </w:pPr>
      <w:rPr>
        <w:rFonts w:hint="default"/>
        <w:b/>
        <w:sz w:val="24"/>
      </w:rPr>
    </w:lvl>
    <w:lvl w:ilvl="6">
      <w:start w:val="1"/>
      <w:numFmt w:val="decimal"/>
      <w:lvlText w:val="%1.%2.%3.%4.%5.%6.%7"/>
      <w:lvlJc w:val="left"/>
      <w:pPr>
        <w:ind w:left="10350" w:hanging="1800"/>
      </w:pPr>
      <w:rPr>
        <w:rFonts w:hint="default"/>
        <w:b/>
        <w:sz w:val="24"/>
      </w:rPr>
    </w:lvl>
    <w:lvl w:ilvl="7">
      <w:start w:val="1"/>
      <w:numFmt w:val="decimal"/>
      <w:lvlText w:val="%1.%2.%3.%4.%5.%6.%7.%8"/>
      <w:lvlJc w:val="left"/>
      <w:pPr>
        <w:ind w:left="11775" w:hanging="1800"/>
      </w:pPr>
      <w:rPr>
        <w:rFonts w:hint="default"/>
        <w:b/>
        <w:sz w:val="24"/>
      </w:rPr>
    </w:lvl>
    <w:lvl w:ilvl="8">
      <w:start w:val="1"/>
      <w:numFmt w:val="decimal"/>
      <w:lvlText w:val="%1.%2.%3.%4.%5.%6.%7.%8.%9"/>
      <w:lvlJc w:val="left"/>
      <w:pPr>
        <w:ind w:left="13560" w:hanging="2160"/>
      </w:pPr>
      <w:rPr>
        <w:rFonts w:hint="default"/>
        <w:b/>
        <w:sz w:val="24"/>
      </w:rPr>
    </w:lvl>
  </w:abstractNum>
  <w:abstractNum w:abstractNumId="4"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6" w15:restartNumberingAfterBreak="0">
    <w:nsid w:val="486C20FD"/>
    <w:multiLevelType w:val="hybridMultilevel"/>
    <w:tmpl w:val="87680F8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73F88136">
      <w:start w:val="1"/>
      <w:numFmt w:val="decimal"/>
      <w:lvlText w:val="%4."/>
      <w:lvlJc w:val="left"/>
      <w:pPr>
        <w:ind w:left="2880" w:hanging="360"/>
      </w:pPr>
      <w:rPr>
        <w:rFonts w:ascii="Tahoma" w:hAnsi="Tahoma" w:cs="Tahoma" w:hint="default"/>
        <w:sz w:val="24"/>
        <w:szCs w:val="24"/>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500F164A"/>
    <w:multiLevelType w:val="hybridMultilevel"/>
    <w:tmpl w:val="63FACC2A"/>
    <w:lvl w:ilvl="0" w:tplc="02D87CD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7"/>
  </w:num>
  <w:num w:numId="2">
    <w:abstractNumId w:val="6"/>
  </w:num>
  <w:num w:numId="3">
    <w:abstractNumId w:val="10"/>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 w:numId="9">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35A1"/>
    <w:rsid w:val="00007D08"/>
    <w:rsid w:val="00013E2E"/>
    <w:rsid w:val="00015EC5"/>
    <w:rsid w:val="00017704"/>
    <w:rsid w:val="00022EDE"/>
    <w:rsid w:val="000303BA"/>
    <w:rsid w:val="000333C2"/>
    <w:rsid w:val="000337DA"/>
    <w:rsid w:val="00033ECF"/>
    <w:rsid w:val="00042B25"/>
    <w:rsid w:val="00057428"/>
    <w:rsid w:val="00066767"/>
    <w:rsid w:val="00067D70"/>
    <w:rsid w:val="000723F0"/>
    <w:rsid w:val="00073698"/>
    <w:rsid w:val="00077A73"/>
    <w:rsid w:val="00081C10"/>
    <w:rsid w:val="000834CE"/>
    <w:rsid w:val="0008477A"/>
    <w:rsid w:val="000856A8"/>
    <w:rsid w:val="00096470"/>
    <w:rsid w:val="000A6114"/>
    <w:rsid w:val="000B2BAA"/>
    <w:rsid w:val="000B4F2C"/>
    <w:rsid w:val="000B51CC"/>
    <w:rsid w:val="000B6053"/>
    <w:rsid w:val="000B6595"/>
    <w:rsid w:val="000B6D9D"/>
    <w:rsid w:val="000C02A4"/>
    <w:rsid w:val="000D5112"/>
    <w:rsid w:val="000E25BE"/>
    <w:rsid w:val="000F3D75"/>
    <w:rsid w:val="000F43BC"/>
    <w:rsid w:val="000F49C1"/>
    <w:rsid w:val="000F5175"/>
    <w:rsid w:val="00100496"/>
    <w:rsid w:val="00103F06"/>
    <w:rsid w:val="00104A02"/>
    <w:rsid w:val="00106921"/>
    <w:rsid w:val="00115C02"/>
    <w:rsid w:val="001162CF"/>
    <w:rsid w:val="001170A4"/>
    <w:rsid w:val="001170DA"/>
    <w:rsid w:val="001229A3"/>
    <w:rsid w:val="00132CF5"/>
    <w:rsid w:val="001348F3"/>
    <w:rsid w:val="001363CA"/>
    <w:rsid w:val="00142473"/>
    <w:rsid w:val="00142A51"/>
    <w:rsid w:val="00147587"/>
    <w:rsid w:val="001533B3"/>
    <w:rsid w:val="001878AE"/>
    <w:rsid w:val="00191C9D"/>
    <w:rsid w:val="001A291C"/>
    <w:rsid w:val="001B362B"/>
    <w:rsid w:val="001C0216"/>
    <w:rsid w:val="001C3F31"/>
    <w:rsid w:val="001D225A"/>
    <w:rsid w:val="001D423C"/>
    <w:rsid w:val="001E27ED"/>
    <w:rsid w:val="001E4991"/>
    <w:rsid w:val="001F37EE"/>
    <w:rsid w:val="001F38B6"/>
    <w:rsid w:val="0020620E"/>
    <w:rsid w:val="0022440C"/>
    <w:rsid w:val="00227128"/>
    <w:rsid w:val="00235D61"/>
    <w:rsid w:val="00244FBC"/>
    <w:rsid w:val="00257046"/>
    <w:rsid w:val="00264D15"/>
    <w:rsid w:val="00272B83"/>
    <w:rsid w:val="00272FA1"/>
    <w:rsid w:val="002A45C4"/>
    <w:rsid w:val="002B6E44"/>
    <w:rsid w:val="002B700F"/>
    <w:rsid w:val="002C0448"/>
    <w:rsid w:val="002C32BD"/>
    <w:rsid w:val="002D3585"/>
    <w:rsid w:val="002D70C7"/>
    <w:rsid w:val="002F3B2F"/>
    <w:rsid w:val="0030001D"/>
    <w:rsid w:val="00315273"/>
    <w:rsid w:val="00322722"/>
    <w:rsid w:val="003324F5"/>
    <w:rsid w:val="00333562"/>
    <w:rsid w:val="0033755E"/>
    <w:rsid w:val="00342284"/>
    <w:rsid w:val="0034303C"/>
    <w:rsid w:val="00357B08"/>
    <w:rsid w:val="00392EAC"/>
    <w:rsid w:val="003C0463"/>
    <w:rsid w:val="003C46FA"/>
    <w:rsid w:val="003C7505"/>
    <w:rsid w:val="003D0E6E"/>
    <w:rsid w:val="003D72E0"/>
    <w:rsid w:val="003E261A"/>
    <w:rsid w:val="004123A8"/>
    <w:rsid w:val="00416977"/>
    <w:rsid w:val="00421F4F"/>
    <w:rsid w:val="004221BB"/>
    <w:rsid w:val="0042469E"/>
    <w:rsid w:val="004260C5"/>
    <w:rsid w:val="00454F9D"/>
    <w:rsid w:val="00463B87"/>
    <w:rsid w:val="00466937"/>
    <w:rsid w:val="00467973"/>
    <w:rsid w:val="00473BC1"/>
    <w:rsid w:val="00480233"/>
    <w:rsid w:val="00480E80"/>
    <w:rsid w:val="00483816"/>
    <w:rsid w:val="004918F3"/>
    <w:rsid w:val="00496378"/>
    <w:rsid w:val="00497808"/>
    <w:rsid w:val="004A1054"/>
    <w:rsid w:val="004C46ED"/>
    <w:rsid w:val="004F47EA"/>
    <w:rsid w:val="005113A9"/>
    <w:rsid w:val="00516140"/>
    <w:rsid w:val="0051707A"/>
    <w:rsid w:val="0053421E"/>
    <w:rsid w:val="00536012"/>
    <w:rsid w:val="005369E8"/>
    <w:rsid w:val="00545B08"/>
    <w:rsid w:val="00553FD7"/>
    <w:rsid w:val="005607ED"/>
    <w:rsid w:val="00561E61"/>
    <w:rsid w:val="005662E3"/>
    <w:rsid w:val="00576EEA"/>
    <w:rsid w:val="005852DF"/>
    <w:rsid w:val="00591C72"/>
    <w:rsid w:val="005A23C9"/>
    <w:rsid w:val="005A473D"/>
    <w:rsid w:val="005A5ADA"/>
    <w:rsid w:val="005A7B94"/>
    <w:rsid w:val="005B00B8"/>
    <w:rsid w:val="005B1B3D"/>
    <w:rsid w:val="005B1B92"/>
    <w:rsid w:val="005B5103"/>
    <w:rsid w:val="005B6189"/>
    <w:rsid w:val="005B65AA"/>
    <w:rsid w:val="005D2E1F"/>
    <w:rsid w:val="005D6C75"/>
    <w:rsid w:val="005E0008"/>
    <w:rsid w:val="005E1630"/>
    <w:rsid w:val="005F4133"/>
    <w:rsid w:val="005F7C2E"/>
    <w:rsid w:val="00600B9D"/>
    <w:rsid w:val="00600CE4"/>
    <w:rsid w:val="0060137B"/>
    <w:rsid w:val="0061004A"/>
    <w:rsid w:val="006136C7"/>
    <w:rsid w:val="00620E72"/>
    <w:rsid w:val="00630FC0"/>
    <w:rsid w:val="00633F28"/>
    <w:rsid w:val="006458B0"/>
    <w:rsid w:val="0064788E"/>
    <w:rsid w:val="00647B40"/>
    <w:rsid w:val="00654EAE"/>
    <w:rsid w:val="00662FC5"/>
    <w:rsid w:val="00667387"/>
    <w:rsid w:val="0067414E"/>
    <w:rsid w:val="0068205A"/>
    <w:rsid w:val="006837E7"/>
    <w:rsid w:val="00693C39"/>
    <w:rsid w:val="006958B8"/>
    <w:rsid w:val="006A36EB"/>
    <w:rsid w:val="006B0AAC"/>
    <w:rsid w:val="006B11AA"/>
    <w:rsid w:val="006C4834"/>
    <w:rsid w:val="006D3825"/>
    <w:rsid w:val="006E070C"/>
    <w:rsid w:val="006E3FE2"/>
    <w:rsid w:val="006E53AC"/>
    <w:rsid w:val="006E68C0"/>
    <w:rsid w:val="006F3644"/>
    <w:rsid w:val="006F3819"/>
    <w:rsid w:val="006F46B8"/>
    <w:rsid w:val="00701B4C"/>
    <w:rsid w:val="0070306E"/>
    <w:rsid w:val="0072082E"/>
    <w:rsid w:val="0072783E"/>
    <w:rsid w:val="0073264E"/>
    <w:rsid w:val="00734150"/>
    <w:rsid w:val="00737D7B"/>
    <w:rsid w:val="007813BE"/>
    <w:rsid w:val="00784D72"/>
    <w:rsid w:val="00790CCA"/>
    <w:rsid w:val="00790DA9"/>
    <w:rsid w:val="007A0931"/>
    <w:rsid w:val="007A34E5"/>
    <w:rsid w:val="007A7B9B"/>
    <w:rsid w:val="007D60E6"/>
    <w:rsid w:val="007E1917"/>
    <w:rsid w:val="007E2ABD"/>
    <w:rsid w:val="007E5A0D"/>
    <w:rsid w:val="007F1B10"/>
    <w:rsid w:val="007F4E75"/>
    <w:rsid w:val="008015D1"/>
    <w:rsid w:val="008063DF"/>
    <w:rsid w:val="00806950"/>
    <w:rsid w:val="00820A77"/>
    <w:rsid w:val="00824349"/>
    <w:rsid w:val="00835553"/>
    <w:rsid w:val="0083681C"/>
    <w:rsid w:val="00840DA1"/>
    <w:rsid w:val="00846780"/>
    <w:rsid w:val="00851B08"/>
    <w:rsid w:val="008548ED"/>
    <w:rsid w:val="00854C63"/>
    <w:rsid w:val="0087484F"/>
    <w:rsid w:val="0087626E"/>
    <w:rsid w:val="00886808"/>
    <w:rsid w:val="00890591"/>
    <w:rsid w:val="00891AE9"/>
    <w:rsid w:val="008950AD"/>
    <w:rsid w:val="008B3405"/>
    <w:rsid w:val="008B3F9C"/>
    <w:rsid w:val="008B63E1"/>
    <w:rsid w:val="008B63EC"/>
    <w:rsid w:val="008C3C79"/>
    <w:rsid w:val="008C4964"/>
    <w:rsid w:val="008E7DD1"/>
    <w:rsid w:val="00907968"/>
    <w:rsid w:val="009253E4"/>
    <w:rsid w:val="0092624B"/>
    <w:rsid w:val="00926C20"/>
    <w:rsid w:val="00943B70"/>
    <w:rsid w:val="009449CA"/>
    <w:rsid w:val="0094516B"/>
    <w:rsid w:val="00952524"/>
    <w:rsid w:val="00956792"/>
    <w:rsid w:val="00956F52"/>
    <w:rsid w:val="00965028"/>
    <w:rsid w:val="00975AB3"/>
    <w:rsid w:val="009841F3"/>
    <w:rsid w:val="009853EE"/>
    <w:rsid w:val="00990252"/>
    <w:rsid w:val="009922D4"/>
    <w:rsid w:val="009979A7"/>
    <w:rsid w:val="009A49F0"/>
    <w:rsid w:val="009B14F6"/>
    <w:rsid w:val="009B174A"/>
    <w:rsid w:val="009D10A2"/>
    <w:rsid w:val="009E02EA"/>
    <w:rsid w:val="009E43EE"/>
    <w:rsid w:val="009E4F54"/>
    <w:rsid w:val="009E6EFD"/>
    <w:rsid w:val="009E715D"/>
    <w:rsid w:val="009E7D52"/>
    <w:rsid w:val="009F1FBF"/>
    <w:rsid w:val="009F35E3"/>
    <w:rsid w:val="00A00398"/>
    <w:rsid w:val="00A0657B"/>
    <w:rsid w:val="00A13F40"/>
    <w:rsid w:val="00A22272"/>
    <w:rsid w:val="00A228DE"/>
    <w:rsid w:val="00A24955"/>
    <w:rsid w:val="00A266D4"/>
    <w:rsid w:val="00A26AC8"/>
    <w:rsid w:val="00A26E1A"/>
    <w:rsid w:val="00A47546"/>
    <w:rsid w:val="00A6532E"/>
    <w:rsid w:val="00A67C26"/>
    <w:rsid w:val="00A74124"/>
    <w:rsid w:val="00A80CCF"/>
    <w:rsid w:val="00A87FEB"/>
    <w:rsid w:val="00A900DB"/>
    <w:rsid w:val="00A92675"/>
    <w:rsid w:val="00A92D0B"/>
    <w:rsid w:val="00AA3C7C"/>
    <w:rsid w:val="00AA3D20"/>
    <w:rsid w:val="00AA783A"/>
    <w:rsid w:val="00AB462E"/>
    <w:rsid w:val="00AC2C4C"/>
    <w:rsid w:val="00AD511A"/>
    <w:rsid w:val="00AE042F"/>
    <w:rsid w:val="00AE2EB0"/>
    <w:rsid w:val="00AF1C75"/>
    <w:rsid w:val="00AF4757"/>
    <w:rsid w:val="00B03A68"/>
    <w:rsid w:val="00B06E1F"/>
    <w:rsid w:val="00B17E1F"/>
    <w:rsid w:val="00B20840"/>
    <w:rsid w:val="00B24B52"/>
    <w:rsid w:val="00B330AD"/>
    <w:rsid w:val="00B40350"/>
    <w:rsid w:val="00B417C7"/>
    <w:rsid w:val="00B43958"/>
    <w:rsid w:val="00B44542"/>
    <w:rsid w:val="00B4752E"/>
    <w:rsid w:val="00B508F6"/>
    <w:rsid w:val="00B53E94"/>
    <w:rsid w:val="00B6216B"/>
    <w:rsid w:val="00B8317C"/>
    <w:rsid w:val="00B92321"/>
    <w:rsid w:val="00B951B9"/>
    <w:rsid w:val="00BB0107"/>
    <w:rsid w:val="00BB0943"/>
    <w:rsid w:val="00BB4300"/>
    <w:rsid w:val="00BB5F94"/>
    <w:rsid w:val="00BB7B81"/>
    <w:rsid w:val="00BC4213"/>
    <w:rsid w:val="00BC67CF"/>
    <w:rsid w:val="00BD0CEF"/>
    <w:rsid w:val="00BD1EBE"/>
    <w:rsid w:val="00BD2C4F"/>
    <w:rsid w:val="00BE0F3E"/>
    <w:rsid w:val="00BE6BEA"/>
    <w:rsid w:val="00BF10F2"/>
    <w:rsid w:val="00BF131B"/>
    <w:rsid w:val="00BF41DA"/>
    <w:rsid w:val="00C021EE"/>
    <w:rsid w:val="00C02346"/>
    <w:rsid w:val="00C02C9A"/>
    <w:rsid w:val="00C11B0A"/>
    <w:rsid w:val="00C16845"/>
    <w:rsid w:val="00C203B9"/>
    <w:rsid w:val="00C224D8"/>
    <w:rsid w:val="00C27D5D"/>
    <w:rsid w:val="00C33E31"/>
    <w:rsid w:val="00C4413A"/>
    <w:rsid w:val="00C53028"/>
    <w:rsid w:val="00C53872"/>
    <w:rsid w:val="00C7747B"/>
    <w:rsid w:val="00C81B2A"/>
    <w:rsid w:val="00C84471"/>
    <w:rsid w:val="00C860F2"/>
    <w:rsid w:val="00C9368C"/>
    <w:rsid w:val="00CA743B"/>
    <w:rsid w:val="00CC678F"/>
    <w:rsid w:val="00CC776A"/>
    <w:rsid w:val="00CD14BB"/>
    <w:rsid w:val="00CD1CE4"/>
    <w:rsid w:val="00CE0567"/>
    <w:rsid w:val="00CE0E35"/>
    <w:rsid w:val="00CE5E7B"/>
    <w:rsid w:val="00CF1991"/>
    <w:rsid w:val="00CF2833"/>
    <w:rsid w:val="00CF703F"/>
    <w:rsid w:val="00D114C6"/>
    <w:rsid w:val="00D12F7D"/>
    <w:rsid w:val="00D14776"/>
    <w:rsid w:val="00D153D7"/>
    <w:rsid w:val="00D26F98"/>
    <w:rsid w:val="00D317FA"/>
    <w:rsid w:val="00D31819"/>
    <w:rsid w:val="00D44DF0"/>
    <w:rsid w:val="00D450B8"/>
    <w:rsid w:val="00D459BB"/>
    <w:rsid w:val="00D46A8D"/>
    <w:rsid w:val="00D47BA5"/>
    <w:rsid w:val="00D72C19"/>
    <w:rsid w:val="00D805CC"/>
    <w:rsid w:val="00D82B80"/>
    <w:rsid w:val="00D830AF"/>
    <w:rsid w:val="00D90263"/>
    <w:rsid w:val="00DA1C9D"/>
    <w:rsid w:val="00DA4370"/>
    <w:rsid w:val="00DA5E82"/>
    <w:rsid w:val="00DB2FDD"/>
    <w:rsid w:val="00DC5863"/>
    <w:rsid w:val="00DE1BCB"/>
    <w:rsid w:val="00DE35D2"/>
    <w:rsid w:val="00DE4913"/>
    <w:rsid w:val="00DF61C4"/>
    <w:rsid w:val="00DF7B39"/>
    <w:rsid w:val="00E352C7"/>
    <w:rsid w:val="00E376E1"/>
    <w:rsid w:val="00E43F7E"/>
    <w:rsid w:val="00E44599"/>
    <w:rsid w:val="00E44FBB"/>
    <w:rsid w:val="00E45567"/>
    <w:rsid w:val="00E5519F"/>
    <w:rsid w:val="00E60B9A"/>
    <w:rsid w:val="00E66B3E"/>
    <w:rsid w:val="00E72BFE"/>
    <w:rsid w:val="00E74EEE"/>
    <w:rsid w:val="00E82867"/>
    <w:rsid w:val="00E931AE"/>
    <w:rsid w:val="00EA76E7"/>
    <w:rsid w:val="00EB112A"/>
    <w:rsid w:val="00EF3AA2"/>
    <w:rsid w:val="00EF513D"/>
    <w:rsid w:val="00EF5C33"/>
    <w:rsid w:val="00F159B2"/>
    <w:rsid w:val="00F24E45"/>
    <w:rsid w:val="00F26ECD"/>
    <w:rsid w:val="00F2798F"/>
    <w:rsid w:val="00F30A77"/>
    <w:rsid w:val="00F371AC"/>
    <w:rsid w:val="00F40933"/>
    <w:rsid w:val="00F41005"/>
    <w:rsid w:val="00F4298B"/>
    <w:rsid w:val="00F45B56"/>
    <w:rsid w:val="00F50C4F"/>
    <w:rsid w:val="00F567D0"/>
    <w:rsid w:val="00F76BA2"/>
    <w:rsid w:val="00F8423F"/>
    <w:rsid w:val="00F902D2"/>
    <w:rsid w:val="00F942FC"/>
    <w:rsid w:val="00FA13EF"/>
    <w:rsid w:val="00FA239F"/>
    <w:rsid w:val="00FA61A6"/>
    <w:rsid w:val="00FB16D8"/>
    <w:rsid w:val="00FB1755"/>
    <w:rsid w:val="00FB4083"/>
    <w:rsid w:val="00FC4541"/>
    <w:rsid w:val="00FD1293"/>
    <w:rsid w:val="00FD3954"/>
    <w:rsid w:val="00FD50CB"/>
    <w:rsid w:val="00FD53E7"/>
    <w:rsid w:val="00FE17EB"/>
    <w:rsid w:val="00FE1F22"/>
    <w:rsid w:val="00FE3C22"/>
    <w:rsid w:val="00FE63C7"/>
    <w:rsid w:val="00FF6DD0"/>
    <w:rsid w:val="01678849"/>
    <w:rsid w:val="02459D09"/>
    <w:rsid w:val="042370EB"/>
    <w:rsid w:val="0500474C"/>
    <w:rsid w:val="067D2DD4"/>
    <w:rsid w:val="10CB543A"/>
    <w:rsid w:val="10D03A52"/>
    <w:rsid w:val="10F5B9B0"/>
    <w:rsid w:val="1BF54692"/>
    <w:rsid w:val="1C39E654"/>
    <w:rsid w:val="2165CB40"/>
    <w:rsid w:val="23ACEABC"/>
    <w:rsid w:val="245DBE3A"/>
    <w:rsid w:val="2B62F4E0"/>
    <w:rsid w:val="33AE5D97"/>
    <w:rsid w:val="362CC257"/>
    <w:rsid w:val="38ABB1A4"/>
    <w:rsid w:val="3B63AED4"/>
    <w:rsid w:val="3C91C62D"/>
    <w:rsid w:val="4112A70A"/>
    <w:rsid w:val="450B4BA1"/>
    <w:rsid w:val="46756579"/>
    <w:rsid w:val="4BF965D0"/>
    <w:rsid w:val="4EC5BA19"/>
    <w:rsid w:val="4FC84195"/>
    <w:rsid w:val="50C41AF0"/>
    <w:rsid w:val="5D4E4829"/>
    <w:rsid w:val="5E77DBDD"/>
    <w:rsid w:val="657F8960"/>
    <w:rsid w:val="68A9C598"/>
    <w:rsid w:val="6931BCB7"/>
    <w:rsid w:val="6B0F1B10"/>
    <w:rsid w:val="6B602A80"/>
    <w:rsid w:val="6F846292"/>
    <w:rsid w:val="71B6C87D"/>
    <w:rsid w:val="79BD3250"/>
    <w:rsid w:val="7B6A7264"/>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113A9"/>
    <w:rPr>
      <w:b/>
      <w:bCs/>
    </w:rPr>
  </w:style>
  <w:style w:type="character" w:customStyle="1" w:styleId="AsuntodelcomentarioCar">
    <w:name w:val="Asunto del comentario Car"/>
    <w:basedOn w:val="TextocomentarioCar"/>
    <w:link w:val="Asuntodelcomentario"/>
    <w:uiPriority w:val="99"/>
    <w:semiHidden/>
    <w:rsid w:val="005113A9"/>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ead943e701ae45e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CC81CD18-3D78-4B64-BA49-74F400F2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36DB4-96EC-499F-A60C-A9417792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7577</Words>
  <Characters>41679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2021-10-22T20:29:00Z</dcterms:created>
  <dcterms:modified xsi:type="dcterms:W3CDTF">2022-02-14T18:06:00Z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