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E7D7" w14:textId="77777777" w:rsidR="00B31607" w:rsidRPr="00B31607" w:rsidRDefault="00B31607" w:rsidP="00B3160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88817641"/>
      <w:bookmarkStart w:id="2" w:name="_Hlk89924097"/>
      <w:r w:rsidRPr="00B3160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F12734" w14:textId="77777777" w:rsidR="00B31607" w:rsidRPr="00B31607" w:rsidRDefault="00B31607" w:rsidP="00B31607">
      <w:pPr>
        <w:spacing w:line="240" w:lineRule="auto"/>
        <w:rPr>
          <w:rFonts w:ascii="Arial" w:eastAsia="Times New Roman" w:hAnsi="Arial" w:cs="Arial"/>
          <w:sz w:val="20"/>
          <w:szCs w:val="20"/>
          <w:lang w:val="es-419" w:eastAsia="es-ES"/>
        </w:rPr>
      </w:pPr>
    </w:p>
    <w:p w14:paraId="7CB80398" w14:textId="201C7E28"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Radicación No.:</w:t>
      </w:r>
      <w:r w:rsidR="00743985">
        <w:rPr>
          <w:rFonts w:ascii="Arial" w:eastAsia="Times New Roman" w:hAnsi="Arial" w:cs="Arial"/>
          <w:sz w:val="20"/>
          <w:szCs w:val="20"/>
          <w:lang w:val="es-419" w:eastAsia="es-ES"/>
        </w:rPr>
        <w:tab/>
      </w:r>
      <w:r w:rsidR="00743985">
        <w:rPr>
          <w:rFonts w:ascii="Arial" w:eastAsia="Times New Roman" w:hAnsi="Arial" w:cs="Arial"/>
          <w:sz w:val="20"/>
          <w:szCs w:val="20"/>
          <w:lang w:val="es-419" w:eastAsia="es-ES"/>
        </w:rPr>
        <w:tab/>
      </w:r>
      <w:r w:rsidRPr="00B31607">
        <w:rPr>
          <w:rFonts w:ascii="Arial" w:eastAsia="Times New Roman" w:hAnsi="Arial" w:cs="Arial"/>
          <w:sz w:val="20"/>
          <w:szCs w:val="20"/>
          <w:lang w:val="es-419" w:eastAsia="es-ES"/>
        </w:rPr>
        <w:t>66001-31-05-005-2018-00385-0</w:t>
      </w:r>
      <w:r w:rsidR="00E42E5C">
        <w:rPr>
          <w:rFonts w:ascii="Arial" w:eastAsia="Times New Roman" w:hAnsi="Arial" w:cs="Arial"/>
          <w:sz w:val="20"/>
          <w:szCs w:val="20"/>
          <w:lang w:val="es-419" w:eastAsia="es-ES"/>
        </w:rPr>
        <w:t>1</w:t>
      </w:r>
    </w:p>
    <w:p w14:paraId="3A6EEA09" w14:textId="2FC433BB"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Proceso:</w:t>
      </w:r>
      <w:r w:rsidRPr="00B31607">
        <w:rPr>
          <w:rFonts w:ascii="Arial" w:eastAsia="Times New Roman" w:hAnsi="Arial" w:cs="Arial"/>
          <w:sz w:val="20"/>
          <w:szCs w:val="20"/>
          <w:lang w:val="es-419" w:eastAsia="es-ES"/>
        </w:rPr>
        <w:tab/>
      </w:r>
      <w:r w:rsidRPr="00B31607">
        <w:rPr>
          <w:rFonts w:ascii="Arial" w:eastAsia="Times New Roman" w:hAnsi="Arial" w:cs="Arial"/>
          <w:sz w:val="20"/>
          <w:szCs w:val="20"/>
          <w:lang w:val="es-419" w:eastAsia="es-ES"/>
        </w:rPr>
        <w:tab/>
        <w:t xml:space="preserve">Ordinario Laboral. </w:t>
      </w:r>
    </w:p>
    <w:p w14:paraId="4C153303" w14:textId="570D1070"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Demandante:</w:t>
      </w:r>
      <w:r w:rsidR="00743985">
        <w:rPr>
          <w:rFonts w:ascii="Arial" w:eastAsia="Times New Roman" w:hAnsi="Arial" w:cs="Arial"/>
          <w:sz w:val="20"/>
          <w:szCs w:val="20"/>
          <w:lang w:val="es-419" w:eastAsia="es-ES"/>
        </w:rPr>
        <w:tab/>
      </w:r>
      <w:r w:rsidRPr="00B31607">
        <w:rPr>
          <w:rFonts w:ascii="Arial" w:eastAsia="Times New Roman" w:hAnsi="Arial" w:cs="Arial"/>
          <w:sz w:val="20"/>
          <w:szCs w:val="20"/>
          <w:lang w:val="es-419" w:eastAsia="es-ES"/>
        </w:rPr>
        <w:tab/>
        <w:t xml:space="preserve">José Guillermo Hernández Tovar  </w:t>
      </w:r>
    </w:p>
    <w:p w14:paraId="6452C877" w14:textId="2B3C8350"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Demandado:</w:t>
      </w:r>
      <w:r w:rsidRPr="00B31607">
        <w:rPr>
          <w:rFonts w:ascii="Arial" w:eastAsia="Times New Roman" w:hAnsi="Arial" w:cs="Arial"/>
          <w:sz w:val="20"/>
          <w:szCs w:val="20"/>
          <w:lang w:val="es-419" w:eastAsia="es-ES"/>
        </w:rPr>
        <w:tab/>
      </w:r>
      <w:r w:rsidRPr="00B31607">
        <w:rPr>
          <w:rFonts w:ascii="Arial" w:eastAsia="Times New Roman" w:hAnsi="Arial" w:cs="Arial"/>
          <w:sz w:val="20"/>
          <w:szCs w:val="20"/>
          <w:lang w:val="es-419" w:eastAsia="es-ES"/>
        </w:rPr>
        <w:tab/>
        <w:t>Protección S.A., Porvenir S.A. y Colpensiones.</w:t>
      </w:r>
    </w:p>
    <w:p w14:paraId="79FE6B40" w14:textId="4B8659BF" w:rsid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Juzgado</w:t>
      </w:r>
      <w:r w:rsidR="00743985">
        <w:rPr>
          <w:rFonts w:ascii="Arial" w:eastAsia="Times New Roman" w:hAnsi="Arial" w:cs="Arial"/>
          <w:sz w:val="20"/>
          <w:szCs w:val="20"/>
          <w:lang w:val="es-419" w:eastAsia="es-ES"/>
        </w:rPr>
        <w:t xml:space="preserve"> de origen</w:t>
      </w:r>
      <w:r w:rsidRPr="00B31607">
        <w:rPr>
          <w:rFonts w:ascii="Arial" w:eastAsia="Times New Roman" w:hAnsi="Arial" w:cs="Arial"/>
          <w:sz w:val="20"/>
          <w:szCs w:val="20"/>
          <w:lang w:val="es-419" w:eastAsia="es-ES"/>
        </w:rPr>
        <w:t>:</w:t>
      </w:r>
      <w:r w:rsidRPr="00B31607">
        <w:rPr>
          <w:rFonts w:ascii="Arial" w:eastAsia="Times New Roman" w:hAnsi="Arial" w:cs="Arial"/>
          <w:sz w:val="20"/>
          <w:szCs w:val="20"/>
          <w:lang w:val="es-419" w:eastAsia="es-ES"/>
        </w:rPr>
        <w:tab/>
        <w:t>Quinto Laboral del Circuito de Pereira</w:t>
      </w:r>
    </w:p>
    <w:p w14:paraId="6EFA812D" w14:textId="77777777" w:rsidR="00743985" w:rsidRPr="00B31607" w:rsidRDefault="00743985" w:rsidP="00B31607">
      <w:pPr>
        <w:spacing w:line="240" w:lineRule="auto"/>
        <w:rPr>
          <w:rFonts w:ascii="Arial" w:eastAsia="Times New Roman" w:hAnsi="Arial" w:cs="Arial"/>
          <w:sz w:val="20"/>
          <w:szCs w:val="20"/>
          <w:lang w:val="es-419" w:eastAsia="es-ES"/>
        </w:rPr>
      </w:pPr>
    </w:p>
    <w:p w14:paraId="30657076" w14:textId="77777777" w:rsidR="00B31607" w:rsidRPr="00B31607" w:rsidRDefault="00B31607" w:rsidP="00B31607">
      <w:pPr>
        <w:spacing w:line="240" w:lineRule="auto"/>
        <w:rPr>
          <w:rFonts w:ascii="Arial" w:eastAsia="Times New Roman" w:hAnsi="Arial" w:cs="Arial"/>
          <w:b/>
          <w:bCs/>
          <w:iCs/>
          <w:sz w:val="20"/>
          <w:szCs w:val="20"/>
          <w:lang w:val="es-419" w:eastAsia="fr-FR"/>
        </w:rPr>
      </w:pPr>
      <w:bookmarkStart w:id="3" w:name="_Hlk82369399"/>
      <w:bookmarkEnd w:id="0"/>
      <w:bookmarkEnd w:id="1"/>
      <w:r w:rsidRPr="00B31607">
        <w:rPr>
          <w:rFonts w:ascii="Arial" w:eastAsia="Times New Roman" w:hAnsi="Arial" w:cs="Arial"/>
          <w:b/>
          <w:bCs/>
          <w:iCs/>
          <w:sz w:val="20"/>
          <w:szCs w:val="20"/>
          <w:u w:val="single"/>
          <w:lang w:val="es-419" w:eastAsia="fr-FR"/>
        </w:rPr>
        <w:t>TEMAS:</w:t>
      </w:r>
      <w:r w:rsidRPr="00B31607">
        <w:rPr>
          <w:rFonts w:ascii="Arial" w:eastAsia="Times New Roman" w:hAnsi="Arial" w:cs="Arial"/>
          <w:b/>
          <w:bCs/>
          <w:iCs/>
          <w:sz w:val="20"/>
          <w:szCs w:val="20"/>
          <w:lang w:val="es-419" w:eastAsia="fr-FR"/>
        </w:rPr>
        <w:tab/>
      </w:r>
      <w:r w:rsidRPr="00B3160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E981C3C" w14:textId="77777777" w:rsidR="00B31607" w:rsidRPr="00B31607" w:rsidRDefault="00B31607" w:rsidP="00B31607">
      <w:pPr>
        <w:spacing w:line="240" w:lineRule="auto"/>
        <w:rPr>
          <w:rFonts w:ascii="Arial" w:eastAsia="Times New Roman" w:hAnsi="Arial" w:cs="Arial"/>
          <w:sz w:val="20"/>
          <w:szCs w:val="20"/>
          <w:lang w:val="es-419" w:eastAsia="es-ES"/>
        </w:rPr>
      </w:pPr>
    </w:p>
    <w:p w14:paraId="6C7FFA91" w14:textId="77777777"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4BC858A" w14:textId="77777777" w:rsidR="00B31607" w:rsidRPr="00B31607" w:rsidRDefault="00B31607" w:rsidP="00B31607">
      <w:pPr>
        <w:spacing w:line="240" w:lineRule="auto"/>
        <w:rPr>
          <w:rFonts w:ascii="Arial" w:eastAsia="Times New Roman" w:hAnsi="Arial" w:cs="Arial"/>
          <w:sz w:val="20"/>
          <w:szCs w:val="20"/>
          <w:lang w:val="es-419" w:eastAsia="es-ES"/>
        </w:rPr>
      </w:pPr>
    </w:p>
    <w:p w14:paraId="4F5BB229" w14:textId="77777777"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BCE9D20" w14:textId="77777777" w:rsidR="00B31607" w:rsidRPr="00B31607" w:rsidRDefault="00B31607" w:rsidP="00B31607">
      <w:pPr>
        <w:spacing w:line="240" w:lineRule="auto"/>
        <w:rPr>
          <w:rFonts w:ascii="Arial" w:eastAsia="Times New Roman" w:hAnsi="Arial" w:cs="Arial"/>
          <w:sz w:val="20"/>
          <w:szCs w:val="20"/>
          <w:lang w:val="es-419" w:eastAsia="es-ES"/>
        </w:rPr>
      </w:pPr>
    </w:p>
    <w:p w14:paraId="106E7A04" w14:textId="77777777"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94BB76D" w14:textId="77777777" w:rsidR="00B31607" w:rsidRPr="00B31607" w:rsidRDefault="00B31607" w:rsidP="00B31607">
      <w:pPr>
        <w:spacing w:line="240" w:lineRule="auto"/>
        <w:rPr>
          <w:rFonts w:ascii="Arial" w:eastAsia="Times New Roman" w:hAnsi="Arial" w:cs="Arial"/>
          <w:sz w:val="20"/>
          <w:szCs w:val="20"/>
          <w:lang w:val="es-419" w:eastAsia="es-ES"/>
        </w:rPr>
      </w:pPr>
    </w:p>
    <w:p w14:paraId="68C8D7D7" w14:textId="77777777" w:rsidR="00B31607" w:rsidRPr="00B31607" w:rsidRDefault="00B31607" w:rsidP="00B31607">
      <w:pPr>
        <w:spacing w:line="240" w:lineRule="auto"/>
        <w:rPr>
          <w:rFonts w:ascii="Arial" w:eastAsia="Times New Roman" w:hAnsi="Arial" w:cs="Arial"/>
          <w:sz w:val="20"/>
          <w:szCs w:val="20"/>
          <w:lang w:val="es-419" w:eastAsia="es-ES"/>
        </w:rPr>
      </w:pPr>
      <w:r w:rsidRPr="00B31607">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C0D4E0F" w14:textId="77777777" w:rsidR="00B31607" w:rsidRPr="00B31607" w:rsidRDefault="00B31607" w:rsidP="00B31607">
      <w:pPr>
        <w:spacing w:line="240" w:lineRule="auto"/>
        <w:rPr>
          <w:rFonts w:ascii="Arial" w:eastAsia="Times New Roman" w:hAnsi="Arial" w:cs="Arial"/>
          <w:sz w:val="20"/>
          <w:szCs w:val="20"/>
          <w:lang w:val="es-ES" w:eastAsia="es-ES"/>
        </w:rPr>
      </w:pPr>
    </w:p>
    <w:p w14:paraId="2578986D" w14:textId="77777777" w:rsidR="00B31607" w:rsidRPr="00B31607" w:rsidRDefault="00B31607" w:rsidP="00B31607">
      <w:pPr>
        <w:spacing w:line="240" w:lineRule="auto"/>
        <w:rPr>
          <w:rFonts w:ascii="Arial" w:eastAsia="Times New Roman" w:hAnsi="Arial" w:cs="Arial"/>
          <w:sz w:val="20"/>
          <w:szCs w:val="20"/>
          <w:lang w:val="es-ES" w:eastAsia="es-ES"/>
        </w:rPr>
      </w:pPr>
    </w:p>
    <w:bookmarkEnd w:id="3"/>
    <w:p w14:paraId="1E7C548F" w14:textId="77777777" w:rsidR="00B31607" w:rsidRPr="00B31607" w:rsidRDefault="00B31607" w:rsidP="00B31607">
      <w:pPr>
        <w:spacing w:line="240" w:lineRule="auto"/>
        <w:rPr>
          <w:rFonts w:ascii="Arial" w:eastAsia="Times New Roman" w:hAnsi="Arial" w:cs="Arial"/>
          <w:sz w:val="20"/>
          <w:szCs w:val="20"/>
          <w:lang w:val="es-ES" w:eastAsia="es-ES"/>
        </w:rPr>
      </w:pPr>
    </w:p>
    <w:bookmarkEnd w:id="2"/>
    <w:p w14:paraId="027F715F" w14:textId="77777777" w:rsidR="00B73E34" w:rsidRPr="00743985" w:rsidRDefault="00B73E34" w:rsidP="00743985">
      <w:pPr>
        <w:pStyle w:val="Ttulo4"/>
        <w:widowControl w:val="0"/>
        <w:tabs>
          <w:tab w:val="clear" w:pos="0"/>
        </w:tabs>
        <w:spacing w:line="276" w:lineRule="auto"/>
        <w:ind w:right="845"/>
        <w:rPr>
          <w:rFonts w:ascii="Tahoma" w:hAnsi="Tahoma" w:cs="Tahoma"/>
          <w:bCs/>
          <w:szCs w:val="24"/>
          <w:lang w:eastAsia="es-MX"/>
        </w:rPr>
      </w:pPr>
      <w:r w:rsidRPr="00743985">
        <w:rPr>
          <w:rFonts w:ascii="Tahoma" w:hAnsi="Tahoma" w:cs="Tahoma"/>
          <w:bCs/>
          <w:szCs w:val="24"/>
          <w:lang w:eastAsia="es-MX"/>
        </w:rPr>
        <w:t>TRIBUNAL SUPERIOR DEL DISTRITO JUDICIAL DE PEREIRA</w:t>
      </w:r>
    </w:p>
    <w:p w14:paraId="6E2D0740" w14:textId="77777777" w:rsidR="00B73E34" w:rsidRPr="00743985" w:rsidRDefault="00B73E34" w:rsidP="00743985">
      <w:pPr>
        <w:pStyle w:val="Ttulo4"/>
        <w:widowControl w:val="0"/>
        <w:tabs>
          <w:tab w:val="clear" w:pos="0"/>
        </w:tabs>
        <w:spacing w:line="276" w:lineRule="auto"/>
        <w:ind w:right="845"/>
        <w:rPr>
          <w:rFonts w:ascii="Tahoma" w:hAnsi="Tahoma" w:cs="Tahoma"/>
          <w:bCs/>
          <w:szCs w:val="24"/>
          <w:lang w:eastAsia="es-MX"/>
        </w:rPr>
      </w:pPr>
      <w:r w:rsidRPr="00743985">
        <w:rPr>
          <w:rFonts w:ascii="Tahoma" w:hAnsi="Tahoma" w:cs="Tahoma"/>
          <w:bCs/>
          <w:szCs w:val="24"/>
          <w:lang w:eastAsia="es-MX"/>
        </w:rPr>
        <w:t xml:space="preserve">SALA PRIMERA DE DECISION LABORAL </w:t>
      </w:r>
    </w:p>
    <w:p w14:paraId="507C15DE" w14:textId="77777777" w:rsidR="00B73E34" w:rsidRPr="00743985" w:rsidRDefault="00B73E34" w:rsidP="00743985">
      <w:pPr>
        <w:spacing w:line="276" w:lineRule="auto"/>
        <w:jc w:val="center"/>
        <w:rPr>
          <w:rFonts w:cs="Tahoma"/>
          <w:bCs/>
          <w:szCs w:val="24"/>
        </w:rPr>
      </w:pPr>
    </w:p>
    <w:p w14:paraId="435FBA8B" w14:textId="65226DC9" w:rsidR="00B73E34" w:rsidRPr="00743985" w:rsidRDefault="00B73E34" w:rsidP="00743985">
      <w:pPr>
        <w:spacing w:line="276" w:lineRule="auto"/>
        <w:jc w:val="center"/>
        <w:textAlignment w:val="baseline"/>
        <w:rPr>
          <w:rFonts w:eastAsia="Times New Roman" w:cs="Tahoma"/>
          <w:szCs w:val="24"/>
          <w:lang w:eastAsia="es-CO"/>
        </w:rPr>
      </w:pPr>
      <w:r w:rsidRPr="00743985">
        <w:rPr>
          <w:rFonts w:eastAsia="Times New Roman" w:cs="Tahoma"/>
          <w:szCs w:val="24"/>
          <w:lang w:eastAsia="es-CO"/>
        </w:rPr>
        <w:t>Magistrada Ponente: </w:t>
      </w:r>
      <w:r w:rsidRPr="00743985">
        <w:rPr>
          <w:rFonts w:eastAsia="Times New Roman" w:cs="Tahoma"/>
          <w:b/>
          <w:bCs/>
          <w:szCs w:val="24"/>
          <w:lang w:eastAsia="es-CO"/>
        </w:rPr>
        <w:t>Ana Lucía Caicedo Calderón</w:t>
      </w:r>
    </w:p>
    <w:p w14:paraId="4A2E79F7" w14:textId="77777777" w:rsidR="00B73E34" w:rsidRPr="00743985" w:rsidRDefault="00B73E34" w:rsidP="00743985">
      <w:pPr>
        <w:spacing w:line="276" w:lineRule="auto"/>
        <w:jc w:val="center"/>
        <w:textAlignment w:val="baseline"/>
        <w:rPr>
          <w:rFonts w:eastAsia="Times New Roman" w:cs="Tahoma"/>
          <w:szCs w:val="24"/>
          <w:lang w:eastAsia="es-CO"/>
        </w:rPr>
      </w:pPr>
    </w:p>
    <w:p w14:paraId="28392760" w14:textId="77777777" w:rsidR="00B73E34" w:rsidRPr="00743985" w:rsidRDefault="00B73E34" w:rsidP="00743985">
      <w:pPr>
        <w:spacing w:line="276" w:lineRule="auto"/>
        <w:jc w:val="center"/>
        <w:textAlignment w:val="baseline"/>
        <w:rPr>
          <w:rFonts w:eastAsia="Times New Roman" w:cs="Tahoma"/>
          <w:szCs w:val="24"/>
          <w:lang w:eastAsia="es-CO"/>
        </w:rPr>
      </w:pPr>
      <w:r w:rsidRPr="00743985">
        <w:rPr>
          <w:rFonts w:eastAsia="Times New Roman" w:cs="Tahoma"/>
          <w:szCs w:val="24"/>
          <w:lang w:eastAsia="es-CO"/>
        </w:rPr>
        <w:t>Pereira, Risaralda, febrero siete (7) de dos mil veintidós (2022)  </w:t>
      </w:r>
    </w:p>
    <w:p w14:paraId="33A8489F" w14:textId="4C706042" w:rsidR="00B73E34" w:rsidRPr="00743985" w:rsidRDefault="00B73E34" w:rsidP="00743985">
      <w:pPr>
        <w:spacing w:line="276" w:lineRule="auto"/>
        <w:jc w:val="center"/>
        <w:textAlignment w:val="baseline"/>
        <w:rPr>
          <w:rFonts w:eastAsia="Times New Roman" w:cs="Tahoma"/>
          <w:szCs w:val="24"/>
          <w:lang w:eastAsia="es-CO"/>
        </w:rPr>
      </w:pPr>
      <w:r w:rsidRPr="00743985">
        <w:rPr>
          <w:rFonts w:eastAsia="Times New Roman" w:cs="Tahoma"/>
          <w:szCs w:val="24"/>
          <w:lang w:eastAsia="es-CO"/>
        </w:rPr>
        <w:t> Acta No. </w:t>
      </w:r>
      <w:r w:rsidR="00C13D36" w:rsidRPr="00743985">
        <w:rPr>
          <w:rFonts w:eastAsia="Times New Roman" w:cs="Tahoma"/>
          <w:szCs w:val="24"/>
          <w:lang w:eastAsia="es-CO"/>
        </w:rPr>
        <w:t>14</w:t>
      </w:r>
      <w:r w:rsidRPr="00743985">
        <w:rPr>
          <w:rFonts w:eastAsia="Times New Roman" w:cs="Tahoma"/>
          <w:szCs w:val="24"/>
          <w:lang w:eastAsia="es-CO"/>
        </w:rPr>
        <w:t xml:space="preserve"> del 3 de febrero de 2022</w:t>
      </w:r>
    </w:p>
    <w:p w14:paraId="05354B4D" w14:textId="77777777" w:rsidR="006B70FB" w:rsidRPr="00743985" w:rsidRDefault="006B70FB" w:rsidP="00743985">
      <w:pPr>
        <w:spacing w:line="276" w:lineRule="auto"/>
        <w:jc w:val="center"/>
        <w:rPr>
          <w:rFonts w:cs="Tahoma"/>
          <w:b/>
          <w:szCs w:val="24"/>
        </w:rPr>
      </w:pPr>
    </w:p>
    <w:p w14:paraId="6ED54918" w14:textId="0106B3F9" w:rsidR="006B70FB" w:rsidRPr="00743985" w:rsidRDefault="006B70FB" w:rsidP="00743985">
      <w:pPr>
        <w:spacing w:line="276" w:lineRule="auto"/>
        <w:ind w:firstLine="708"/>
        <w:rPr>
          <w:rFonts w:cs="Tahoma"/>
          <w:b/>
          <w:szCs w:val="24"/>
          <w:lang w:val="es-ES_tradnl"/>
        </w:rPr>
      </w:pPr>
      <w:r w:rsidRPr="00743985">
        <w:rPr>
          <w:rFonts w:cs="Tahoma"/>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w:t>
      </w:r>
      <w:r w:rsidRPr="00743985">
        <w:rPr>
          <w:rFonts w:cs="Tahoma"/>
          <w:szCs w:val="24"/>
        </w:rPr>
        <w:lastRenderedPageBreak/>
        <w:t>Magistrado GERMÁN DARIO GOEZ</w:t>
      </w:r>
      <w:bookmarkStart w:id="4" w:name="_GoBack"/>
      <w:bookmarkEnd w:id="4"/>
      <w:r w:rsidRPr="00743985">
        <w:rPr>
          <w:rFonts w:cs="Tahoma"/>
          <w:szCs w:val="24"/>
        </w:rPr>
        <w:t xml:space="preserve"> VINASCO, procede a proferir la siguiente sentencia escrita dentro del proceso </w:t>
      </w:r>
      <w:r w:rsidRPr="006A43E2">
        <w:rPr>
          <w:rFonts w:cs="Tahoma"/>
          <w:b/>
          <w:szCs w:val="24"/>
        </w:rPr>
        <w:t>ordinario laboral</w:t>
      </w:r>
      <w:r w:rsidRPr="00743985">
        <w:rPr>
          <w:rFonts w:cs="Tahoma"/>
          <w:szCs w:val="24"/>
        </w:rPr>
        <w:t xml:space="preserve"> instaurado por  </w:t>
      </w:r>
      <w:r w:rsidRPr="00743985">
        <w:rPr>
          <w:rFonts w:cs="Tahoma"/>
          <w:b/>
          <w:bCs/>
          <w:szCs w:val="24"/>
          <w:lang w:val="es-419"/>
        </w:rPr>
        <w:t xml:space="preserve">José Guillermo Hernández Tovar </w:t>
      </w:r>
      <w:r w:rsidRPr="00743985">
        <w:rPr>
          <w:rFonts w:cs="Tahoma"/>
          <w:szCs w:val="24"/>
          <w:lang w:val="es-ES_tradnl"/>
        </w:rPr>
        <w:t>en contra de la</w:t>
      </w:r>
      <w:r w:rsidRPr="00743985">
        <w:rPr>
          <w:rFonts w:cs="Tahoma"/>
          <w:b/>
          <w:bCs/>
          <w:szCs w:val="24"/>
          <w:lang w:val="es-ES_tradnl"/>
        </w:rPr>
        <w:t xml:space="preserve"> AFP</w:t>
      </w:r>
      <w:r w:rsidRPr="00743985">
        <w:rPr>
          <w:rFonts w:cs="Tahoma"/>
          <w:szCs w:val="24"/>
          <w:lang w:val="es-ES_tradnl"/>
        </w:rPr>
        <w:t xml:space="preserve"> </w:t>
      </w:r>
      <w:r w:rsidRPr="00743985">
        <w:rPr>
          <w:rFonts w:cs="Tahoma"/>
          <w:b/>
          <w:bCs/>
          <w:szCs w:val="24"/>
          <w:lang w:val="es-ES_tradnl"/>
        </w:rPr>
        <w:t xml:space="preserve">Porvenir </w:t>
      </w:r>
      <w:r w:rsidRPr="00743985">
        <w:rPr>
          <w:rFonts w:cs="Tahoma"/>
          <w:b/>
          <w:szCs w:val="24"/>
          <w:lang w:val="es-ES_tradnl"/>
        </w:rPr>
        <w:t>S.A.</w:t>
      </w:r>
      <w:r w:rsidR="00C37E19" w:rsidRPr="00743985">
        <w:rPr>
          <w:rFonts w:cs="Tahoma"/>
          <w:b/>
          <w:szCs w:val="24"/>
          <w:lang w:val="es-ES_tradnl"/>
        </w:rPr>
        <w:t xml:space="preserve">, </w:t>
      </w:r>
      <w:r w:rsidR="00440860" w:rsidRPr="00743985">
        <w:rPr>
          <w:rFonts w:cs="Tahoma"/>
          <w:b/>
          <w:szCs w:val="24"/>
          <w:lang w:val="es-ES_tradnl"/>
        </w:rPr>
        <w:t>Protección S.A.</w:t>
      </w:r>
      <w:r w:rsidR="00C37E19" w:rsidRPr="00743985">
        <w:rPr>
          <w:rFonts w:cs="Tahoma"/>
          <w:b/>
          <w:szCs w:val="24"/>
          <w:lang w:val="es-ES_tradnl"/>
        </w:rPr>
        <w:t xml:space="preserve"> </w:t>
      </w:r>
      <w:r w:rsidR="00C37E19" w:rsidRPr="00743985">
        <w:rPr>
          <w:rFonts w:cs="Tahoma"/>
          <w:bCs/>
          <w:szCs w:val="24"/>
          <w:lang w:val="es-ES_tradnl"/>
        </w:rPr>
        <w:t>y</w:t>
      </w:r>
      <w:r w:rsidR="00C37E19" w:rsidRPr="00743985">
        <w:rPr>
          <w:rFonts w:cs="Tahoma"/>
          <w:b/>
          <w:szCs w:val="24"/>
          <w:lang w:val="es-ES_tradnl"/>
        </w:rPr>
        <w:t xml:space="preserve"> Colpensiones</w:t>
      </w:r>
      <w:r w:rsidR="00294F70" w:rsidRPr="00743985">
        <w:rPr>
          <w:rFonts w:cs="Tahoma"/>
          <w:b/>
          <w:szCs w:val="24"/>
          <w:lang w:val="es-ES_tradnl"/>
        </w:rPr>
        <w:t>.</w:t>
      </w:r>
    </w:p>
    <w:p w14:paraId="7933089B" w14:textId="77777777" w:rsidR="00CD01D0" w:rsidRPr="00743985" w:rsidRDefault="00CD01D0" w:rsidP="00743985">
      <w:pPr>
        <w:spacing w:line="276" w:lineRule="auto"/>
        <w:ind w:firstLine="708"/>
        <w:rPr>
          <w:rFonts w:cs="Tahoma"/>
          <w:szCs w:val="24"/>
          <w:lang w:val="es-ES_tradnl"/>
        </w:rPr>
      </w:pPr>
    </w:p>
    <w:p w14:paraId="5A0E994F" w14:textId="77777777" w:rsidR="006B70FB" w:rsidRPr="00743985" w:rsidRDefault="006B70FB" w:rsidP="00743985">
      <w:pPr>
        <w:pStyle w:val="paragraph"/>
        <w:spacing w:before="0" w:beforeAutospacing="0" w:after="0" w:afterAutospacing="0" w:line="276" w:lineRule="auto"/>
        <w:jc w:val="center"/>
        <w:textAlignment w:val="baseline"/>
        <w:rPr>
          <w:rFonts w:ascii="Tahoma" w:hAnsi="Tahoma" w:cs="Tahoma"/>
        </w:rPr>
      </w:pPr>
      <w:r w:rsidRPr="00743985">
        <w:rPr>
          <w:rStyle w:val="normaltextrun"/>
          <w:rFonts w:ascii="Tahoma" w:hAnsi="Tahoma" w:cs="Tahoma"/>
          <w:b/>
          <w:bCs/>
        </w:rPr>
        <w:t>PUNTO A TRATAR</w:t>
      </w:r>
    </w:p>
    <w:p w14:paraId="7D1C61EF" w14:textId="77777777" w:rsidR="006B70FB" w:rsidRPr="00743985" w:rsidRDefault="006B70FB" w:rsidP="00743985">
      <w:pPr>
        <w:pStyle w:val="Sinespaciado"/>
        <w:spacing w:line="276" w:lineRule="auto"/>
        <w:rPr>
          <w:rFonts w:ascii="Tahoma" w:hAnsi="Tahoma" w:cs="Tahoma"/>
        </w:rPr>
      </w:pPr>
    </w:p>
    <w:p w14:paraId="1800E86F" w14:textId="1337EECC" w:rsidR="00472AC2" w:rsidRPr="00743985" w:rsidRDefault="006B70FB" w:rsidP="00743985">
      <w:pPr>
        <w:spacing w:line="276" w:lineRule="auto"/>
        <w:ind w:firstLine="708"/>
        <w:rPr>
          <w:rStyle w:val="normaltextrun"/>
          <w:rFonts w:cs="Tahoma"/>
          <w:szCs w:val="24"/>
        </w:rPr>
      </w:pPr>
      <w:r w:rsidRPr="00743985">
        <w:rPr>
          <w:rStyle w:val="normaltextrun"/>
          <w:rFonts w:cs="Tahoma"/>
          <w:szCs w:val="24"/>
        </w:rPr>
        <w:t>Por medio de esta providencia procede la Sala a</w:t>
      </w:r>
      <w:r w:rsidRPr="00743985">
        <w:rPr>
          <w:rFonts w:cs="Tahoma"/>
          <w:szCs w:val="24"/>
        </w:rPr>
        <w:t xml:space="preserve"> resolver los recursos de apelación interpuestos por las codemandadas en contra de la sentencia proferida el </w:t>
      </w:r>
      <w:r w:rsidR="00440860" w:rsidRPr="00743985">
        <w:rPr>
          <w:rFonts w:cs="Tahoma"/>
          <w:szCs w:val="24"/>
        </w:rPr>
        <w:t xml:space="preserve">14 de septiembre </w:t>
      </w:r>
      <w:r w:rsidRPr="00743985">
        <w:rPr>
          <w:rFonts w:cs="Tahoma"/>
          <w:szCs w:val="24"/>
        </w:rPr>
        <w:t xml:space="preserve">de 2021 por el Juzgado </w:t>
      </w:r>
      <w:r w:rsidR="00440860" w:rsidRPr="00743985">
        <w:rPr>
          <w:rFonts w:cs="Tahoma"/>
          <w:szCs w:val="24"/>
        </w:rPr>
        <w:t>Quinto</w:t>
      </w:r>
      <w:r w:rsidRPr="00743985">
        <w:rPr>
          <w:rFonts w:cs="Tahoma"/>
          <w:szCs w:val="24"/>
        </w:rPr>
        <w:t xml:space="preserve"> Laboral del Circuito de Pereira</w:t>
      </w:r>
      <w:r w:rsidRPr="00743985">
        <w:rPr>
          <w:rStyle w:val="normaltextrun"/>
          <w:rFonts w:cs="Tahoma"/>
          <w:szCs w:val="24"/>
        </w:rPr>
        <w:t>. Asimismo, se revisará la providencia de primer grado de manera íntegra en virtud del grado jurisdiccional de consulta admitido en esta instancia.</w:t>
      </w:r>
      <w:r w:rsidRPr="00743985">
        <w:rPr>
          <w:rStyle w:val="Refdenotaalpie"/>
          <w:rFonts w:cs="Tahoma"/>
          <w:szCs w:val="24"/>
        </w:rPr>
        <w:t xml:space="preserve"> </w:t>
      </w:r>
      <w:r w:rsidRPr="00743985">
        <w:rPr>
          <w:rStyle w:val="normaltextrun"/>
          <w:rFonts w:cs="Tahoma"/>
          <w:szCs w:val="24"/>
        </w:rPr>
        <w:t>Para ello se tiene en cuenta lo siguiente: </w:t>
      </w:r>
    </w:p>
    <w:p w14:paraId="63D0CCF7" w14:textId="77777777" w:rsidR="00B73E34" w:rsidRPr="00743985" w:rsidRDefault="00B73E34" w:rsidP="00743985">
      <w:pPr>
        <w:spacing w:line="276" w:lineRule="auto"/>
        <w:ind w:firstLine="708"/>
        <w:rPr>
          <w:rFonts w:cs="Tahoma"/>
          <w:szCs w:val="24"/>
          <w:lang w:val="es-ES_tradnl"/>
        </w:rPr>
      </w:pPr>
    </w:p>
    <w:p w14:paraId="7AB6B0B0" w14:textId="5AA78425" w:rsidR="00472AC2" w:rsidRPr="00743985" w:rsidRDefault="00472AC2" w:rsidP="00743985">
      <w:pPr>
        <w:pStyle w:val="Prrafodelista"/>
        <w:numPr>
          <w:ilvl w:val="0"/>
          <w:numId w:val="2"/>
        </w:numPr>
        <w:spacing w:line="276" w:lineRule="auto"/>
        <w:jc w:val="center"/>
        <w:rPr>
          <w:rFonts w:cs="Tahoma"/>
          <w:b/>
          <w:bCs/>
          <w:szCs w:val="24"/>
          <w:lang w:val="es-ES_tradnl"/>
        </w:rPr>
      </w:pPr>
      <w:r w:rsidRPr="00743985">
        <w:rPr>
          <w:rFonts w:cs="Tahoma"/>
          <w:b/>
          <w:bCs/>
          <w:szCs w:val="24"/>
          <w:lang w:val="es-ES_tradnl"/>
        </w:rPr>
        <w:t>La demanda y su contestación</w:t>
      </w:r>
    </w:p>
    <w:p w14:paraId="599BAB46" w14:textId="77777777" w:rsidR="00472AC2" w:rsidRPr="00743985" w:rsidRDefault="00472AC2" w:rsidP="00743985">
      <w:pPr>
        <w:tabs>
          <w:tab w:val="left" w:pos="284"/>
        </w:tabs>
        <w:spacing w:line="276" w:lineRule="auto"/>
        <w:ind w:firstLine="284"/>
        <w:rPr>
          <w:rFonts w:cs="Tahoma"/>
          <w:szCs w:val="24"/>
          <w:lang w:val="es-419"/>
        </w:rPr>
      </w:pPr>
    </w:p>
    <w:p w14:paraId="37C420C7" w14:textId="22927EB4" w:rsidR="00472AC2" w:rsidRPr="00743985" w:rsidRDefault="00472AC2" w:rsidP="00743985">
      <w:pPr>
        <w:tabs>
          <w:tab w:val="left" w:pos="284"/>
        </w:tabs>
        <w:spacing w:line="276" w:lineRule="auto"/>
        <w:ind w:firstLine="284"/>
        <w:rPr>
          <w:rFonts w:cs="Tahoma"/>
          <w:szCs w:val="24"/>
          <w:lang w:val="es-419"/>
        </w:rPr>
      </w:pPr>
      <w:r w:rsidRPr="00743985">
        <w:rPr>
          <w:rFonts w:cs="Tahoma"/>
          <w:szCs w:val="24"/>
          <w:lang w:val="es-419"/>
        </w:rPr>
        <w:t xml:space="preserve"> </w:t>
      </w:r>
      <w:r w:rsidR="00A41FBD" w:rsidRPr="00743985">
        <w:rPr>
          <w:rFonts w:cs="Tahoma"/>
          <w:szCs w:val="24"/>
          <w:lang w:val="es-419"/>
        </w:rPr>
        <w:t xml:space="preserve">     </w:t>
      </w:r>
      <w:r w:rsidRPr="00743985">
        <w:rPr>
          <w:rFonts w:cs="Tahoma"/>
          <w:szCs w:val="24"/>
          <w:lang w:val="es-419"/>
        </w:rPr>
        <w:t>El citado demandante solicita que se declare la nulidad de la</w:t>
      </w:r>
      <w:r w:rsidR="00491935" w:rsidRPr="00743985">
        <w:rPr>
          <w:rFonts w:cs="Tahoma"/>
          <w:szCs w:val="24"/>
          <w:lang w:val="es-419"/>
        </w:rPr>
        <w:t>s</w:t>
      </w:r>
      <w:r w:rsidRPr="00743985">
        <w:rPr>
          <w:rFonts w:cs="Tahoma"/>
          <w:szCs w:val="24"/>
          <w:lang w:val="es-419"/>
        </w:rPr>
        <w:t xml:space="preserve"> afiliaciones que hizo a Porvenir S.A. y Protección</w:t>
      </w:r>
      <w:r w:rsidR="00491935" w:rsidRPr="00743985">
        <w:rPr>
          <w:rFonts w:cs="Tahoma"/>
          <w:szCs w:val="24"/>
          <w:lang w:val="es-419"/>
        </w:rPr>
        <w:t xml:space="preserve"> S.A.</w:t>
      </w:r>
      <w:r w:rsidRPr="00743985">
        <w:rPr>
          <w:rFonts w:cs="Tahoma"/>
          <w:szCs w:val="24"/>
          <w:lang w:val="es-419"/>
        </w:rPr>
        <w:t xml:space="preserve"> y</w:t>
      </w:r>
      <w:r w:rsidR="00B73E34" w:rsidRPr="00743985">
        <w:rPr>
          <w:rFonts w:cs="Tahoma"/>
          <w:szCs w:val="24"/>
          <w:lang w:val="es-419"/>
        </w:rPr>
        <w:t>,</w:t>
      </w:r>
      <w:r w:rsidRPr="00743985">
        <w:rPr>
          <w:rFonts w:cs="Tahoma"/>
          <w:szCs w:val="24"/>
          <w:lang w:val="es-419"/>
        </w:rPr>
        <w:t xml:space="preserve"> en </w:t>
      </w:r>
      <w:r w:rsidR="00CE6757" w:rsidRPr="00743985">
        <w:rPr>
          <w:rFonts w:cs="Tahoma"/>
          <w:szCs w:val="24"/>
          <w:lang w:val="es-419"/>
        </w:rPr>
        <w:t>consecuencia,</w:t>
      </w:r>
      <w:r w:rsidRPr="00743985">
        <w:rPr>
          <w:rFonts w:cs="Tahoma"/>
          <w:szCs w:val="24"/>
          <w:lang w:val="es-419"/>
        </w:rPr>
        <w:t xml:space="preserve"> se lo declare en libertad de afiliarse al ré</w:t>
      </w:r>
      <w:r w:rsidR="009B0816" w:rsidRPr="00743985">
        <w:rPr>
          <w:rFonts w:cs="Tahoma"/>
          <w:szCs w:val="24"/>
          <w:lang w:val="es-419"/>
        </w:rPr>
        <w:t>g</w:t>
      </w:r>
      <w:r w:rsidRPr="00743985">
        <w:rPr>
          <w:rFonts w:cs="Tahoma"/>
          <w:szCs w:val="24"/>
          <w:lang w:val="es-419"/>
        </w:rPr>
        <w:t xml:space="preserve">imen de prima media con prestación </w:t>
      </w:r>
      <w:r w:rsidR="00B5131F" w:rsidRPr="00743985">
        <w:rPr>
          <w:rFonts w:cs="Tahoma"/>
          <w:szCs w:val="24"/>
          <w:lang w:val="es-419"/>
        </w:rPr>
        <w:t>definida</w:t>
      </w:r>
      <w:r w:rsidR="00B47FCC" w:rsidRPr="00743985">
        <w:rPr>
          <w:rFonts w:cs="Tahoma"/>
          <w:szCs w:val="24"/>
        </w:rPr>
        <w:t xml:space="preserve"> (en adelante RPM)</w:t>
      </w:r>
      <w:r w:rsidR="009B0816" w:rsidRPr="00743985">
        <w:rPr>
          <w:rFonts w:cs="Tahoma"/>
          <w:szCs w:val="24"/>
          <w:lang w:val="es-419"/>
        </w:rPr>
        <w:t xml:space="preserve"> y </w:t>
      </w:r>
      <w:r w:rsidR="00515863" w:rsidRPr="00743985">
        <w:rPr>
          <w:rFonts w:cs="Tahoma"/>
          <w:szCs w:val="24"/>
          <w:lang w:val="es-419"/>
        </w:rPr>
        <w:t xml:space="preserve">que su </w:t>
      </w:r>
      <w:r w:rsidR="00B5131F" w:rsidRPr="00743985">
        <w:rPr>
          <w:rFonts w:cs="Tahoma"/>
          <w:szCs w:val="24"/>
          <w:lang w:val="es-419"/>
        </w:rPr>
        <w:t>pensión</w:t>
      </w:r>
      <w:r w:rsidR="00515863" w:rsidRPr="00743985">
        <w:rPr>
          <w:rFonts w:cs="Tahoma"/>
          <w:szCs w:val="24"/>
          <w:lang w:val="es-419"/>
        </w:rPr>
        <w:t xml:space="preserve"> de vejez sea tramitada en este último.</w:t>
      </w:r>
    </w:p>
    <w:p w14:paraId="01FEC26E" w14:textId="2575B940" w:rsidR="00472AC2" w:rsidRPr="00743985" w:rsidRDefault="00472AC2" w:rsidP="00743985">
      <w:pPr>
        <w:tabs>
          <w:tab w:val="left" w:pos="284"/>
        </w:tabs>
        <w:spacing w:line="276" w:lineRule="auto"/>
        <w:ind w:firstLine="284"/>
        <w:rPr>
          <w:rFonts w:cs="Tahoma"/>
          <w:szCs w:val="24"/>
          <w:lang w:val="es-419"/>
        </w:rPr>
      </w:pPr>
    </w:p>
    <w:p w14:paraId="30508413" w14:textId="2933D3E1" w:rsidR="00472AC2" w:rsidRPr="00743985" w:rsidRDefault="00A41FBD" w:rsidP="00743985">
      <w:pPr>
        <w:tabs>
          <w:tab w:val="left" w:pos="284"/>
        </w:tabs>
        <w:spacing w:line="276" w:lineRule="auto"/>
        <w:ind w:firstLine="284"/>
        <w:rPr>
          <w:rFonts w:cs="Tahoma"/>
          <w:szCs w:val="24"/>
          <w:lang w:val="es-419"/>
        </w:rPr>
      </w:pPr>
      <w:r w:rsidRPr="00743985">
        <w:rPr>
          <w:rFonts w:cs="Tahoma"/>
          <w:szCs w:val="24"/>
          <w:lang w:val="es-419"/>
        </w:rPr>
        <w:t xml:space="preserve">      </w:t>
      </w:r>
      <w:r w:rsidR="00491935" w:rsidRPr="00743985">
        <w:rPr>
          <w:rFonts w:cs="Tahoma"/>
          <w:szCs w:val="24"/>
          <w:lang w:val="es-419"/>
        </w:rPr>
        <w:t>Asimismo, solicita que se condene a Colpensiones a recibirlo como afiliado cotizante y a Protección S.A. a liberarlo de sus bases de datos, remitiendo a Colpensiones sus cotizaciones.</w:t>
      </w:r>
    </w:p>
    <w:p w14:paraId="7FD6FFE4" w14:textId="7623DC1D" w:rsidR="00491935" w:rsidRPr="00743985" w:rsidRDefault="00491935" w:rsidP="00743985">
      <w:pPr>
        <w:tabs>
          <w:tab w:val="left" w:pos="284"/>
        </w:tabs>
        <w:spacing w:line="276" w:lineRule="auto"/>
        <w:ind w:firstLine="284"/>
        <w:rPr>
          <w:rFonts w:cs="Tahoma"/>
          <w:szCs w:val="24"/>
          <w:lang w:val="es-419"/>
        </w:rPr>
      </w:pPr>
    </w:p>
    <w:p w14:paraId="42CBD0A1" w14:textId="6D507FD7" w:rsidR="00472AC2" w:rsidRPr="00743985" w:rsidRDefault="00A41FBD" w:rsidP="00743985">
      <w:pPr>
        <w:tabs>
          <w:tab w:val="left" w:pos="284"/>
        </w:tabs>
        <w:spacing w:line="276" w:lineRule="auto"/>
        <w:ind w:firstLine="284"/>
        <w:rPr>
          <w:rFonts w:cs="Tahoma"/>
          <w:szCs w:val="24"/>
          <w:lang w:val="es-419"/>
        </w:rPr>
      </w:pPr>
      <w:r w:rsidRPr="00743985">
        <w:rPr>
          <w:rFonts w:cs="Tahoma"/>
          <w:szCs w:val="24"/>
          <w:lang w:val="es-419"/>
        </w:rPr>
        <w:t xml:space="preserve">       </w:t>
      </w:r>
      <w:r w:rsidR="00491935" w:rsidRPr="00743985">
        <w:rPr>
          <w:rFonts w:cs="Tahoma"/>
          <w:szCs w:val="24"/>
          <w:lang w:val="es-419"/>
        </w:rPr>
        <w:t>Por último, pide que se condene a Protección S.A. y Porvenir S.A.</w:t>
      </w:r>
      <w:r w:rsidR="00B73E34" w:rsidRPr="00743985">
        <w:rPr>
          <w:rFonts w:cs="Tahoma"/>
          <w:szCs w:val="24"/>
          <w:lang w:val="es-419"/>
        </w:rPr>
        <w:t xml:space="preserve"> </w:t>
      </w:r>
      <w:r w:rsidR="00472AC2" w:rsidRPr="00743985">
        <w:rPr>
          <w:rFonts w:cs="Tahoma"/>
          <w:szCs w:val="24"/>
          <w:lang w:val="es-419"/>
        </w:rPr>
        <w:t>a pagar las costas procesales y lo ultra y extra petita debatido y probado en el proceso.</w:t>
      </w:r>
    </w:p>
    <w:p w14:paraId="35EB406B" w14:textId="1D130AA9" w:rsidR="00515863" w:rsidRPr="00743985" w:rsidRDefault="00515863" w:rsidP="00743985">
      <w:pPr>
        <w:tabs>
          <w:tab w:val="left" w:pos="284"/>
        </w:tabs>
        <w:spacing w:line="276" w:lineRule="auto"/>
        <w:ind w:firstLine="284"/>
        <w:rPr>
          <w:rFonts w:cs="Tahoma"/>
          <w:szCs w:val="24"/>
          <w:lang w:val="es-419"/>
        </w:rPr>
      </w:pPr>
    </w:p>
    <w:p w14:paraId="1447990F" w14:textId="707AEB5C" w:rsidR="00CE6757" w:rsidRPr="00743985" w:rsidRDefault="00A41FBD" w:rsidP="00743985">
      <w:pPr>
        <w:tabs>
          <w:tab w:val="left" w:pos="284"/>
        </w:tabs>
        <w:spacing w:line="276" w:lineRule="auto"/>
        <w:ind w:firstLine="284"/>
        <w:rPr>
          <w:rFonts w:cs="Tahoma"/>
          <w:szCs w:val="24"/>
          <w:lang w:val="es-419"/>
        </w:rPr>
      </w:pPr>
      <w:r w:rsidRPr="00743985">
        <w:rPr>
          <w:rFonts w:cs="Tahoma"/>
          <w:szCs w:val="24"/>
          <w:lang w:val="es-419"/>
        </w:rPr>
        <w:t xml:space="preserve">       </w:t>
      </w:r>
      <w:r w:rsidR="00515863" w:rsidRPr="00743985">
        <w:rPr>
          <w:rFonts w:cs="Tahoma"/>
          <w:szCs w:val="24"/>
          <w:lang w:val="es-419"/>
        </w:rPr>
        <w:t>En sustento de lo pretendido, relata que nació el 15 de enero de 1956</w:t>
      </w:r>
      <w:r w:rsidR="002E6858" w:rsidRPr="00743985">
        <w:rPr>
          <w:rFonts w:cs="Tahoma"/>
          <w:szCs w:val="24"/>
          <w:lang w:val="es-419"/>
        </w:rPr>
        <w:t xml:space="preserve">; </w:t>
      </w:r>
      <w:r w:rsidR="00006764" w:rsidRPr="00743985">
        <w:rPr>
          <w:rFonts w:cs="Tahoma"/>
          <w:szCs w:val="24"/>
          <w:lang w:val="es-419"/>
        </w:rPr>
        <w:t>que se vinculó al régimen de prima media administrado por el Seguro Social el 2 de mayo de 1978</w:t>
      </w:r>
      <w:r w:rsidR="00010EE8" w:rsidRPr="00743985">
        <w:rPr>
          <w:rFonts w:cs="Tahoma"/>
          <w:szCs w:val="24"/>
          <w:lang w:val="es-419"/>
        </w:rPr>
        <w:t xml:space="preserve"> y que el 25 de octubre </w:t>
      </w:r>
      <w:r w:rsidR="00CE6757" w:rsidRPr="00743985">
        <w:rPr>
          <w:rFonts w:cs="Tahoma"/>
          <w:szCs w:val="24"/>
          <w:lang w:val="es-419"/>
        </w:rPr>
        <w:t xml:space="preserve">de 1999 </w:t>
      </w:r>
      <w:r w:rsidR="00010EE8" w:rsidRPr="00743985">
        <w:rPr>
          <w:rFonts w:cs="Tahoma"/>
          <w:szCs w:val="24"/>
          <w:lang w:val="es-419"/>
        </w:rPr>
        <w:t xml:space="preserve">signó formulario de </w:t>
      </w:r>
      <w:r w:rsidR="00006764" w:rsidRPr="00743985">
        <w:rPr>
          <w:rFonts w:cs="Tahoma"/>
          <w:szCs w:val="24"/>
          <w:lang w:val="es-419"/>
        </w:rPr>
        <w:t>vinculación</w:t>
      </w:r>
      <w:r w:rsidR="00010EE8" w:rsidRPr="00743985">
        <w:rPr>
          <w:rFonts w:cs="Tahoma"/>
          <w:szCs w:val="24"/>
          <w:lang w:val="es-419"/>
        </w:rPr>
        <w:t xml:space="preserve"> al </w:t>
      </w:r>
      <w:r w:rsidR="00B47FCC" w:rsidRPr="00743985">
        <w:rPr>
          <w:rFonts w:cs="Tahoma"/>
          <w:szCs w:val="24"/>
        </w:rPr>
        <w:t xml:space="preserve">régimen de ahorro individual con solidaridad (en adelante </w:t>
      </w:r>
      <w:r w:rsidR="00010EE8" w:rsidRPr="00743985">
        <w:rPr>
          <w:rFonts w:cs="Tahoma"/>
          <w:szCs w:val="24"/>
          <w:lang w:val="es-419"/>
        </w:rPr>
        <w:t>RAIS</w:t>
      </w:r>
      <w:r w:rsidR="00B47FCC" w:rsidRPr="00743985">
        <w:rPr>
          <w:rFonts w:cs="Tahoma"/>
          <w:szCs w:val="24"/>
        </w:rPr>
        <w:t>)</w:t>
      </w:r>
      <w:r w:rsidR="00010EE8" w:rsidRPr="00743985">
        <w:rPr>
          <w:rFonts w:cs="Tahoma"/>
          <w:szCs w:val="24"/>
          <w:lang w:val="es-419"/>
        </w:rPr>
        <w:t>, administrado por Porvenir S.A.</w:t>
      </w:r>
      <w:r w:rsidR="00853621" w:rsidRPr="00743985">
        <w:rPr>
          <w:rFonts w:cs="Tahoma"/>
          <w:szCs w:val="24"/>
          <w:lang w:val="es-419"/>
        </w:rPr>
        <w:t>,</w:t>
      </w:r>
      <w:r w:rsidR="00B73E34" w:rsidRPr="00743985">
        <w:rPr>
          <w:rFonts w:cs="Tahoma"/>
          <w:szCs w:val="24"/>
          <w:lang w:val="es-419"/>
        </w:rPr>
        <w:t xml:space="preserve"> </w:t>
      </w:r>
      <w:r w:rsidR="00010EE8" w:rsidRPr="00743985">
        <w:rPr>
          <w:rFonts w:cs="Tahoma"/>
          <w:szCs w:val="24"/>
          <w:lang w:val="es-419"/>
        </w:rPr>
        <w:t>con ocasión de una asesor</w:t>
      </w:r>
      <w:r w:rsidR="00C13D36" w:rsidRPr="00743985">
        <w:rPr>
          <w:rFonts w:cs="Tahoma"/>
          <w:szCs w:val="24"/>
          <w:lang w:val="es-419"/>
        </w:rPr>
        <w:t>í</w:t>
      </w:r>
      <w:r w:rsidR="00010EE8" w:rsidRPr="00743985">
        <w:rPr>
          <w:rFonts w:cs="Tahoma"/>
          <w:szCs w:val="24"/>
          <w:lang w:val="es-419"/>
        </w:rPr>
        <w:t xml:space="preserve">a </w:t>
      </w:r>
      <w:proofErr w:type="spellStart"/>
      <w:r w:rsidR="00010EE8" w:rsidRPr="00743985">
        <w:rPr>
          <w:rFonts w:cs="Tahoma"/>
          <w:szCs w:val="24"/>
          <w:lang w:val="es-419"/>
        </w:rPr>
        <w:t>insufiente</w:t>
      </w:r>
      <w:proofErr w:type="spellEnd"/>
      <w:r w:rsidR="00010EE8" w:rsidRPr="00743985">
        <w:rPr>
          <w:rFonts w:cs="Tahoma"/>
          <w:szCs w:val="24"/>
          <w:lang w:val="es-419"/>
        </w:rPr>
        <w:t xml:space="preserve">, por lo que considera que la </w:t>
      </w:r>
      <w:r w:rsidR="00006764" w:rsidRPr="00743985">
        <w:rPr>
          <w:rFonts w:cs="Tahoma"/>
          <w:szCs w:val="24"/>
          <w:lang w:val="es-419"/>
        </w:rPr>
        <w:t>información</w:t>
      </w:r>
      <w:r w:rsidR="00010EE8" w:rsidRPr="00743985">
        <w:rPr>
          <w:rFonts w:cs="Tahoma"/>
          <w:szCs w:val="24"/>
          <w:lang w:val="es-419"/>
        </w:rPr>
        <w:t xml:space="preserve"> suministrada fue engañosa e incompleta</w:t>
      </w:r>
      <w:r w:rsidR="00853621" w:rsidRPr="00743985">
        <w:rPr>
          <w:rFonts w:cs="Tahoma"/>
          <w:szCs w:val="24"/>
          <w:lang w:val="es-419"/>
        </w:rPr>
        <w:t>.</w:t>
      </w:r>
      <w:r w:rsidR="00CE6757" w:rsidRPr="00743985">
        <w:rPr>
          <w:rFonts w:cs="Tahoma"/>
          <w:szCs w:val="24"/>
          <w:lang w:val="es-419"/>
        </w:rPr>
        <w:t xml:space="preserve"> </w:t>
      </w:r>
    </w:p>
    <w:p w14:paraId="25893E14" w14:textId="77777777" w:rsidR="00CE6757" w:rsidRPr="00743985" w:rsidRDefault="00CE6757" w:rsidP="00743985">
      <w:pPr>
        <w:tabs>
          <w:tab w:val="left" w:pos="284"/>
        </w:tabs>
        <w:spacing w:line="276" w:lineRule="auto"/>
        <w:ind w:firstLine="284"/>
        <w:rPr>
          <w:rFonts w:cs="Tahoma"/>
          <w:szCs w:val="24"/>
          <w:lang w:val="es-419"/>
        </w:rPr>
      </w:pPr>
    </w:p>
    <w:p w14:paraId="0B7D63D7" w14:textId="6490E018" w:rsidR="00011AB8" w:rsidRPr="00743985" w:rsidRDefault="00853621" w:rsidP="00743985">
      <w:pPr>
        <w:tabs>
          <w:tab w:val="left" w:pos="284"/>
        </w:tabs>
        <w:spacing w:line="276" w:lineRule="auto"/>
        <w:ind w:firstLine="284"/>
        <w:rPr>
          <w:rFonts w:cs="Tahoma"/>
          <w:szCs w:val="24"/>
          <w:lang w:val="es-419"/>
        </w:rPr>
      </w:pPr>
      <w:r w:rsidRPr="00743985">
        <w:rPr>
          <w:rFonts w:cs="Tahoma"/>
          <w:szCs w:val="24"/>
          <w:lang w:val="es-419"/>
        </w:rPr>
        <w:t>En el mismo sentido, sosti</w:t>
      </w:r>
      <w:r w:rsidR="00CE6757" w:rsidRPr="00743985">
        <w:rPr>
          <w:rFonts w:cs="Tahoma"/>
          <w:szCs w:val="24"/>
          <w:lang w:val="es-419"/>
        </w:rPr>
        <w:t>e</w:t>
      </w:r>
      <w:r w:rsidRPr="00743985">
        <w:rPr>
          <w:rFonts w:cs="Tahoma"/>
          <w:szCs w:val="24"/>
          <w:lang w:val="es-419"/>
        </w:rPr>
        <w:t xml:space="preserve">ne que </w:t>
      </w:r>
      <w:r w:rsidR="00CE6757" w:rsidRPr="00743985">
        <w:rPr>
          <w:rFonts w:cs="Tahoma"/>
          <w:szCs w:val="24"/>
          <w:lang w:val="es-419"/>
        </w:rPr>
        <w:t>suscribió</w:t>
      </w:r>
      <w:r w:rsidRPr="00743985">
        <w:rPr>
          <w:rFonts w:cs="Tahoma"/>
          <w:szCs w:val="24"/>
          <w:lang w:val="es-419"/>
        </w:rPr>
        <w:t xml:space="preserve"> formulario de </w:t>
      </w:r>
      <w:r w:rsidR="00006764" w:rsidRPr="00743985">
        <w:rPr>
          <w:rFonts w:cs="Tahoma"/>
          <w:szCs w:val="24"/>
          <w:lang w:val="es-419"/>
        </w:rPr>
        <w:t>afiliación</w:t>
      </w:r>
      <w:r w:rsidRPr="00743985">
        <w:rPr>
          <w:rFonts w:cs="Tahoma"/>
          <w:szCs w:val="24"/>
          <w:lang w:val="es-419"/>
        </w:rPr>
        <w:t xml:space="preserve"> con la AFP Protección S.A.  en octubre del año 2003, donde </w:t>
      </w:r>
      <w:r w:rsidR="00CE6757" w:rsidRPr="00743985">
        <w:rPr>
          <w:rFonts w:cs="Tahoma"/>
          <w:szCs w:val="24"/>
          <w:lang w:val="es-419"/>
        </w:rPr>
        <w:t xml:space="preserve">tampoco </w:t>
      </w:r>
      <w:r w:rsidRPr="00743985">
        <w:rPr>
          <w:rFonts w:cs="Tahoma"/>
          <w:szCs w:val="24"/>
          <w:lang w:val="es-419"/>
        </w:rPr>
        <w:t>recib</w:t>
      </w:r>
      <w:r w:rsidR="00CE6757" w:rsidRPr="00743985">
        <w:rPr>
          <w:rFonts w:cs="Tahoma"/>
          <w:szCs w:val="24"/>
          <w:lang w:val="es-419"/>
        </w:rPr>
        <w:t>ió a</w:t>
      </w:r>
      <w:r w:rsidRPr="00743985">
        <w:rPr>
          <w:rFonts w:cs="Tahoma"/>
          <w:szCs w:val="24"/>
          <w:lang w:val="es-419"/>
        </w:rPr>
        <w:t xml:space="preserve">sesoramiento </w:t>
      </w:r>
      <w:r w:rsidR="00CE6757" w:rsidRPr="00743985">
        <w:rPr>
          <w:rFonts w:cs="Tahoma"/>
          <w:szCs w:val="24"/>
          <w:lang w:val="es-419"/>
        </w:rPr>
        <w:t xml:space="preserve">alguno </w:t>
      </w:r>
      <w:r w:rsidRPr="00743985">
        <w:rPr>
          <w:rFonts w:cs="Tahoma"/>
          <w:szCs w:val="24"/>
          <w:lang w:val="es-419"/>
        </w:rPr>
        <w:t>para efectos del traslado.</w:t>
      </w:r>
    </w:p>
    <w:p w14:paraId="1B27F10F" w14:textId="77777777" w:rsidR="00011AB8" w:rsidRPr="00743985" w:rsidRDefault="00011AB8" w:rsidP="00743985">
      <w:pPr>
        <w:tabs>
          <w:tab w:val="left" w:pos="284"/>
        </w:tabs>
        <w:spacing w:line="276" w:lineRule="auto"/>
        <w:ind w:firstLine="284"/>
        <w:rPr>
          <w:rFonts w:cs="Tahoma"/>
          <w:szCs w:val="24"/>
          <w:lang w:val="es-419"/>
        </w:rPr>
      </w:pPr>
    </w:p>
    <w:p w14:paraId="36C7FA27" w14:textId="1C4267A6" w:rsidR="00472AC2" w:rsidRPr="00743985" w:rsidRDefault="00A41FBD" w:rsidP="00743985">
      <w:pPr>
        <w:tabs>
          <w:tab w:val="left" w:pos="284"/>
        </w:tabs>
        <w:spacing w:line="276" w:lineRule="auto"/>
        <w:ind w:firstLine="284"/>
        <w:rPr>
          <w:rFonts w:cs="Tahoma"/>
          <w:szCs w:val="24"/>
          <w:lang w:val="es-419"/>
        </w:rPr>
      </w:pPr>
      <w:r w:rsidRPr="00743985">
        <w:rPr>
          <w:rFonts w:cs="Tahoma"/>
          <w:szCs w:val="24"/>
        </w:rPr>
        <w:t xml:space="preserve">     </w:t>
      </w:r>
      <w:r w:rsidR="00472AC2" w:rsidRPr="00743985">
        <w:rPr>
          <w:rFonts w:cs="Tahoma"/>
          <w:szCs w:val="24"/>
        </w:rPr>
        <w:t>Por otra parte, señala que la</w:t>
      </w:r>
      <w:r w:rsidR="00011AB8" w:rsidRPr="00743985">
        <w:rPr>
          <w:rFonts w:cs="Tahoma"/>
          <w:szCs w:val="24"/>
        </w:rPr>
        <w:t>s</w:t>
      </w:r>
      <w:r w:rsidR="00472AC2" w:rsidRPr="00743985">
        <w:rPr>
          <w:rFonts w:cs="Tahoma"/>
          <w:szCs w:val="24"/>
        </w:rPr>
        <w:t xml:space="preserve"> AFP Porvenir</w:t>
      </w:r>
      <w:r w:rsidR="00BE1FDA" w:rsidRPr="00743985">
        <w:rPr>
          <w:rFonts w:cs="Tahoma"/>
          <w:szCs w:val="24"/>
        </w:rPr>
        <w:t xml:space="preserve"> S.A. y Protección</w:t>
      </w:r>
      <w:r w:rsidR="00E63AC9" w:rsidRPr="00743985">
        <w:rPr>
          <w:rFonts w:cs="Tahoma"/>
          <w:szCs w:val="24"/>
        </w:rPr>
        <w:t xml:space="preserve"> S</w:t>
      </w:r>
      <w:r w:rsidR="003F3424" w:rsidRPr="00743985">
        <w:rPr>
          <w:rFonts w:cs="Tahoma"/>
          <w:szCs w:val="24"/>
        </w:rPr>
        <w:t>.</w:t>
      </w:r>
      <w:r w:rsidR="00E63AC9" w:rsidRPr="00743985">
        <w:rPr>
          <w:rFonts w:cs="Tahoma"/>
          <w:szCs w:val="24"/>
        </w:rPr>
        <w:t>A.</w:t>
      </w:r>
      <w:r w:rsidR="00472AC2" w:rsidRPr="00743985">
        <w:rPr>
          <w:rFonts w:cs="Tahoma"/>
          <w:szCs w:val="24"/>
        </w:rPr>
        <w:t xml:space="preserve"> </w:t>
      </w:r>
      <w:r w:rsidR="00E63AC9" w:rsidRPr="00743985">
        <w:rPr>
          <w:rFonts w:cs="Tahoma"/>
          <w:szCs w:val="24"/>
        </w:rPr>
        <w:t xml:space="preserve">le </w:t>
      </w:r>
      <w:r w:rsidR="003F3424" w:rsidRPr="00743985">
        <w:rPr>
          <w:rFonts w:cs="Tahoma"/>
          <w:szCs w:val="24"/>
        </w:rPr>
        <w:t xml:space="preserve">informaron que no contaban con </w:t>
      </w:r>
      <w:r w:rsidR="00E63AC9" w:rsidRPr="00743985">
        <w:rPr>
          <w:rFonts w:cs="Tahoma"/>
          <w:szCs w:val="24"/>
        </w:rPr>
        <w:t>documento</w:t>
      </w:r>
      <w:r w:rsidR="003F3424" w:rsidRPr="00743985">
        <w:rPr>
          <w:rFonts w:cs="Tahoma"/>
          <w:szCs w:val="24"/>
        </w:rPr>
        <w:t>s</w:t>
      </w:r>
      <w:r w:rsidR="00E63AC9" w:rsidRPr="00743985">
        <w:rPr>
          <w:rFonts w:cs="Tahoma"/>
          <w:szCs w:val="24"/>
        </w:rPr>
        <w:t xml:space="preserve"> </w:t>
      </w:r>
      <w:r w:rsidR="00472AC2" w:rsidRPr="00743985">
        <w:rPr>
          <w:rFonts w:cs="Tahoma"/>
          <w:szCs w:val="24"/>
        </w:rPr>
        <w:t>que soportar</w:t>
      </w:r>
      <w:r w:rsidR="003F3424" w:rsidRPr="00743985">
        <w:rPr>
          <w:rFonts w:cs="Tahoma"/>
          <w:szCs w:val="24"/>
        </w:rPr>
        <w:t xml:space="preserve">an </w:t>
      </w:r>
      <w:r w:rsidR="00472AC2" w:rsidRPr="00743985">
        <w:rPr>
          <w:rFonts w:cs="Tahoma"/>
          <w:szCs w:val="24"/>
        </w:rPr>
        <w:t>la</w:t>
      </w:r>
      <w:r w:rsidR="00E63AC9" w:rsidRPr="00743985">
        <w:rPr>
          <w:rFonts w:cs="Tahoma"/>
          <w:szCs w:val="24"/>
        </w:rPr>
        <w:t>s</w:t>
      </w:r>
      <w:r w:rsidR="00472AC2" w:rsidRPr="00743985">
        <w:rPr>
          <w:rFonts w:cs="Tahoma"/>
          <w:szCs w:val="24"/>
        </w:rPr>
        <w:t xml:space="preserve"> asesoría</w:t>
      </w:r>
      <w:r w:rsidR="00E63AC9" w:rsidRPr="00743985">
        <w:rPr>
          <w:rFonts w:cs="Tahoma"/>
          <w:szCs w:val="24"/>
        </w:rPr>
        <w:t>s</w:t>
      </w:r>
      <w:r w:rsidR="00472AC2" w:rsidRPr="00743985">
        <w:rPr>
          <w:rFonts w:cs="Tahoma"/>
          <w:szCs w:val="24"/>
        </w:rPr>
        <w:t xml:space="preserve"> que le </w:t>
      </w:r>
      <w:r w:rsidR="00E63AC9" w:rsidRPr="00743985">
        <w:rPr>
          <w:rFonts w:cs="Tahoma"/>
          <w:szCs w:val="24"/>
        </w:rPr>
        <w:t>brindaron</w:t>
      </w:r>
      <w:r w:rsidR="00011AB8" w:rsidRPr="00743985">
        <w:rPr>
          <w:rFonts w:cs="Tahoma"/>
          <w:szCs w:val="24"/>
        </w:rPr>
        <w:t>.</w:t>
      </w:r>
    </w:p>
    <w:p w14:paraId="30D48AE7" w14:textId="77777777" w:rsidR="00472AC2" w:rsidRPr="00743985" w:rsidRDefault="00472AC2" w:rsidP="00743985">
      <w:pPr>
        <w:spacing w:line="276" w:lineRule="auto"/>
        <w:rPr>
          <w:rFonts w:cs="Tahoma"/>
          <w:szCs w:val="24"/>
        </w:rPr>
      </w:pPr>
    </w:p>
    <w:p w14:paraId="64E18680" w14:textId="3A8F011B" w:rsidR="00472AC2" w:rsidRPr="00743985" w:rsidRDefault="00472AC2" w:rsidP="00743985">
      <w:pPr>
        <w:tabs>
          <w:tab w:val="left" w:pos="284"/>
        </w:tabs>
        <w:spacing w:line="276" w:lineRule="auto"/>
        <w:ind w:firstLine="284"/>
        <w:rPr>
          <w:rFonts w:cs="Tahoma"/>
          <w:szCs w:val="24"/>
          <w:lang w:val="es-419"/>
        </w:rPr>
      </w:pPr>
      <w:r w:rsidRPr="00743985">
        <w:rPr>
          <w:rFonts w:cs="Tahoma"/>
          <w:szCs w:val="24"/>
        </w:rPr>
        <w:tab/>
        <w:t xml:space="preserve">Finalmente, indica que el </w:t>
      </w:r>
      <w:r w:rsidR="00F93697" w:rsidRPr="00743985">
        <w:rPr>
          <w:rFonts w:cs="Tahoma"/>
          <w:szCs w:val="24"/>
        </w:rPr>
        <w:t xml:space="preserve">5 de julio de 2018 </w:t>
      </w:r>
      <w:r w:rsidRPr="00743985">
        <w:rPr>
          <w:rFonts w:cs="Tahoma"/>
          <w:szCs w:val="24"/>
        </w:rPr>
        <w:t xml:space="preserve">Colpensiones negó su solicitud de traslado bajo el argumento de que se encontraba </w:t>
      </w:r>
      <w:r w:rsidRPr="00743985">
        <w:rPr>
          <w:rFonts w:cs="Tahoma"/>
          <w:iCs/>
          <w:szCs w:val="24"/>
        </w:rPr>
        <w:t>a 10 años o menos del requisito de tiempo para pensionarse.</w:t>
      </w:r>
    </w:p>
    <w:p w14:paraId="3AF1BA63" w14:textId="77777777" w:rsidR="00472AC2" w:rsidRPr="00743985" w:rsidRDefault="00472AC2" w:rsidP="00743985">
      <w:pPr>
        <w:tabs>
          <w:tab w:val="left" w:pos="284"/>
        </w:tabs>
        <w:spacing w:line="276" w:lineRule="auto"/>
        <w:ind w:firstLine="284"/>
        <w:rPr>
          <w:rFonts w:cs="Tahoma"/>
          <w:szCs w:val="24"/>
          <w:lang w:val="es-419"/>
        </w:rPr>
      </w:pPr>
    </w:p>
    <w:p w14:paraId="6688324B" w14:textId="15B7234B" w:rsidR="00472AC2" w:rsidRPr="00743985" w:rsidRDefault="00472AC2" w:rsidP="00743985">
      <w:pPr>
        <w:spacing w:line="276" w:lineRule="auto"/>
        <w:ind w:firstLine="708"/>
        <w:rPr>
          <w:rFonts w:cs="Tahoma"/>
          <w:i/>
          <w:szCs w:val="24"/>
        </w:rPr>
      </w:pPr>
      <w:r w:rsidRPr="00743985">
        <w:rPr>
          <w:rFonts w:cs="Tahoma"/>
          <w:b/>
          <w:szCs w:val="24"/>
        </w:rPr>
        <w:lastRenderedPageBreak/>
        <w:t>Colpensiones</w:t>
      </w:r>
      <w:r w:rsidRPr="00743985">
        <w:rPr>
          <w:rFonts w:cs="Tahoma"/>
          <w:szCs w:val="24"/>
        </w:rPr>
        <w:t xml:space="preserve"> se opuso a la totalidad de las pretensiones de la demanda arguyendo que </w:t>
      </w:r>
      <w:r w:rsidR="001D7F9D" w:rsidRPr="00743985">
        <w:rPr>
          <w:rFonts w:cs="Tahoma"/>
          <w:szCs w:val="24"/>
        </w:rPr>
        <w:t>la afiliación realizada a la AFP Porvenir S.A., se realiz</w:t>
      </w:r>
      <w:r w:rsidR="003F3424" w:rsidRPr="00743985">
        <w:rPr>
          <w:rFonts w:cs="Tahoma"/>
          <w:szCs w:val="24"/>
        </w:rPr>
        <w:t>ó</w:t>
      </w:r>
      <w:r w:rsidR="001D7F9D" w:rsidRPr="00743985">
        <w:rPr>
          <w:rFonts w:cs="Tahoma"/>
          <w:szCs w:val="24"/>
        </w:rPr>
        <w:t xml:space="preserve"> conform</w:t>
      </w:r>
      <w:r w:rsidR="00EF640B" w:rsidRPr="00743985">
        <w:rPr>
          <w:rFonts w:cs="Tahoma"/>
          <w:szCs w:val="24"/>
        </w:rPr>
        <w:t>e</w:t>
      </w:r>
      <w:r w:rsidR="001D7F9D" w:rsidRPr="00743985">
        <w:rPr>
          <w:rFonts w:cs="Tahoma"/>
          <w:szCs w:val="24"/>
        </w:rPr>
        <w:t xml:space="preserve"> a derecho</w:t>
      </w:r>
      <w:r w:rsidR="003F3424" w:rsidRPr="00743985">
        <w:rPr>
          <w:rFonts w:cs="Tahoma"/>
          <w:szCs w:val="24"/>
        </w:rPr>
        <w:t>,</w:t>
      </w:r>
      <w:r w:rsidR="001D7F9D" w:rsidRPr="00743985">
        <w:rPr>
          <w:rFonts w:cs="Tahoma"/>
          <w:szCs w:val="24"/>
        </w:rPr>
        <w:t xml:space="preserve"> teniendo en cuenta las normas que rigen los traslados entre regímenes pensionales</w:t>
      </w:r>
      <w:r w:rsidR="003F3424" w:rsidRPr="00743985">
        <w:rPr>
          <w:rFonts w:cs="Tahoma"/>
          <w:szCs w:val="24"/>
        </w:rPr>
        <w:t xml:space="preserve">; además, refirió que el actor </w:t>
      </w:r>
      <w:r w:rsidR="001D7F9D" w:rsidRPr="00743985">
        <w:rPr>
          <w:rFonts w:cs="Tahoma"/>
          <w:szCs w:val="24"/>
        </w:rPr>
        <w:t>no cumple con los requisitos exigidos por la norma y la jurisprudencia pa</w:t>
      </w:r>
      <w:r w:rsidR="003F3424" w:rsidRPr="00743985">
        <w:rPr>
          <w:rFonts w:cs="Tahoma"/>
          <w:szCs w:val="24"/>
        </w:rPr>
        <w:t>r</w:t>
      </w:r>
      <w:r w:rsidR="001D7F9D" w:rsidRPr="00743985">
        <w:rPr>
          <w:rFonts w:cs="Tahoma"/>
          <w:szCs w:val="24"/>
        </w:rPr>
        <w:t>a ser trasla</w:t>
      </w:r>
      <w:r w:rsidR="003F3424" w:rsidRPr="00743985">
        <w:rPr>
          <w:rFonts w:cs="Tahoma"/>
          <w:szCs w:val="24"/>
        </w:rPr>
        <w:t>da</w:t>
      </w:r>
      <w:r w:rsidR="001D7F9D" w:rsidRPr="00743985">
        <w:rPr>
          <w:rFonts w:cs="Tahoma"/>
          <w:szCs w:val="24"/>
        </w:rPr>
        <w:t xml:space="preserve">do al régimen de prima media con prestación </w:t>
      </w:r>
      <w:r w:rsidR="00EF640B" w:rsidRPr="00743985">
        <w:rPr>
          <w:rFonts w:cs="Tahoma"/>
          <w:szCs w:val="24"/>
        </w:rPr>
        <w:t>definida, n</w:t>
      </w:r>
      <w:r w:rsidR="00044A29" w:rsidRPr="00743985">
        <w:rPr>
          <w:rFonts w:cs="Tahoma"/>
          <w:szCs w:val="24"/>
        </w:rPr>
        <w:t>i</w:t>
      </w:r>
      <w:r w:rsidR="00EF640B" w:rsidRPr="00743985">
        <w:rPr>
          <w:rFonts w:cs="Tahoma"/>
          <w:szCs w:val="24"/>
        </w:rPr>
        <w:t xml:space="preserve"> le asiste </w:t>
      </w:r>
      <w:r w:rsidR="00044A29" w:rsidRPr="00743985">
        <w:rPr>
          <w:rFonts w:cs="Tahoma"/>
          <w:szCs w:val="24"/>
        </w:rPr>
        <w:t xml:space="preserve">el </w:t>
      </w:r>
      <w:r w:rsidR="00EF640B" w:rsidRPr="00743985">
        <w:rPr>
          <w:rFonts w:cs="Tahoma"/>
          <w:szCs w:val="24"/>
        </w:rPr>
        <w:t xml:space="preserve">derecho </w:t>
      </w:r>
      <w:r w:rsidR="00044A29" w:rsidRPr="00743985">
        <w:rPr>
          <w:rFonts w:cs="Tahoma"/>
          <w:szCs w:val="24"/>
        </w:rPr>
        <w:t>a</w:t>
      </w:r>
      <w:r w:rsidR="00EF640B" w:rsidRPr="00743985">
        <w:rPr>
          <w:rFonts w:cs="Tahoma"/>
          <w:szCs w:val="24"/>
        </w:rPr>
        <w:t xml:space="preserve"> ser afiliado con la calidad de cotizante al sistema. </w:t>
      </w:r>
      <w:r w:rsidRPr="00743985">
        <w:rPr>
          <w:rFonts w:cs="Tahoma"/>
          <w:szCs w:val="24"/>
        </w:rPr>
        <w:t>En esa medida, se opuso a la prosperidad de las pretensiones e invocó como excepciones de mérito las que denominó: “</w:t>
      </w:r>
      <w:r w:rsidR="00651B4D" w:rsidRPr="00743985">
        <w:rPr>
          <w:rFonts w:cs="Tahoma"/>
          <w:i/>
          <w:szCs w:val="24"/>
        </w:rPr>
        <w:t>Inexistencia de la obligación</w:t>
      </w:r>
      <w:r w:rsidR="00A41FBD" w:rsidRPr="00743985">
        <w:rPr>
          <w:rFonts w:cs="Tahoma"/>
          <w:i/>
          <w:szCs w:val="24"/>
        </w:rPr>
        <w:t>,</w:t>
      </w:r>
      <w:r w:rsidRPr="00743985">
        <w:rPr>
          <w:rFonts w:cs="Tahoma"/>
          <w:i/>
          <w:szCs w:val="24"/>
        </w:rPr>
        <w:t xml:space="preserve"> “Prescripción”</w:t>
      </w:r>
      <w:r w:rsidR="00A41FBD" w:rsidRPr="00743985">
        <w:rPr>
          <w:rFonts w:cs="Tahoma"/>
          <w:i/>
          <w:szCs w:val="24"/>
        </w:rPr>
        <w:t>,</w:t>
      </w:r>
      <w:r w:rsidRPr="00743985">
        <w:rPr>
          <w:rFonts w:cs="Tahoma"/>
          <w:i/>
          <w:szCs w:val="24"/>
        </w:rPr>
        <w:t xml:space="preserve"> “Imposibilidad jurídica para reconocer y pagar derechos por fuera del ordenamiento legal</w:t>
      </w:r>
      <w:r w:rsidR="00A41FBD" w:rsidRPr="00743985">
        <w:rPr>
          <w:rFonts w:cs="Tahoma"/>
          <w:i/>
          <w:szCs w:val="24"/>
        </w:rPr>
        <w:t>,</w:t>
      </w:r>
      <w:r w:rsidRPr="00743985">
        <w:rPr>
          <w:rFonts w:cs="Tahoma"/>
          <w:i/>
          <w:szCs w:val="24"/>
        </w:rPr>
        <w:t xml:space="preserve"> “Buena fe” e “Imposibilidad de condena en costas”.</w:t>
      </w:r>
    </w:p>
    <w:p w14:paraId="474D330A" w14:textId="77777777" w:rsidR="00651B4D" w:rsidRPr="00743985" w:rsidRDefault="00651B4D" w:rsidP="00743985">
      <w:pPr>
        <w:spacing w:line="276" w:lineRule="auto"/>
        <w:ind w:firstLine="708"/>
        <w:rPr>
          <w:rFonts w:cs="Tahoma"/>
          <w:i/>
          <w:szCs w:val="24"/>
        </w:rPr>
      </w:pPr>
    </w:p>
    <w:p w14:paraId="39543BE7" w14:textId="2827ED69" w:rsidR="00651B4D" w:rsidRPr="00743985" w:rsidRDefault="00651B4D" w:rsidP="00743985">
      <w:pPr>
        <w:spacing w:line="276" w:lineRule="auto"/>
        <w:ind w:firstLine="708"/>
        <w:rPr>
          <w:rFonts w:eastAsia="Calibri" w:cs="Tahoma"/>
          <w:szCs w:val="24"/>
        </w:rPr>
      </w:pPr>
      <w:r w:rsidRPr="00743985">
        <w:rPr>
          <w:rFonts w:eastAsia="Calibri" w:cs="Tahoma"/>
          <w:b/>
          <w:szCs w:val="24"/>
        </w:rPr>
        <w:t>Protección S.A.</w:t>
      </w:r>
      <w:r w:rsidRPr="00743985">
        <w:rPr>
          <w:rFonts w:eastAsia="Calibri" w:cs="Tahoma"/>
          <w:szCs w:val="24"/>
        </w:rPr>
        <w:t xml:space="preserve">  </w:t>
      </w:r>
      <w:r w:rsidR="009402C7" w:rsidRPr="00743985">
        <w:rPr>
          <w:rFonts w:eastAsia="Calibri" w:cs="Tahoma"/>
          <w:szCs w:val="24"/>
        </w:rPr>
        <w:t>s</w:t>
      </w:r>
      <w:r w:rsidRPr="00743985">
        <w:rPr>
          <w:rFonts w:eastAsia="Calibri" w:cs="Tahoma"/>
          <w:szCs w:val="24"/>
        </w:rPr>
        <w:t xml:space="preserve">eñaló que el señor José Guillermo Hernández </w:t>
      </w:r>
      <w:r w:rsidR="009C22AF" w:rsidRPr="00743985">
        <w:rPr>
          <w:rFonts w:eastAsia="Calibri" w:cs="Tahoma"/>
          <w:szCs w:val="24"/>
        </w:rPr>
        <w:t>Tov</w:t>
      </w:r>
      <w:r w:rsidRPr="00743985">
        <w:rPr>
          <w:rFonts w:eastAsia="Calibri" w:cs="Tahoma"/>
          <w:szCs w:val="24"/>
        </w:rPr>
        <w:t xml:space="preserve">ar no pudo ser víctima de la omisión en la información en el momento de su decisión de trasladarse de régimen, pues </w:t>
      </w:r>
      <w:r w:rsidR="009402C7" w:rsidRPr="00743985">
        <w:rPr>
          <w:rFonts w:eastAsia="Calibri" w:cs="Tahoma"/>
          <w:szCs w:val="24"/>
        </w:rPr>
        <w:t>e</w:t>
      </w:r>
      <w:r w:rsidRPr="00743985">
        <w:rPr>
          <w:rFonts w:eastAsia="Calibri" w:cs="Tahoma"/>
          <w:szCs w:val="24"/>
        </w:rPr>
        <w:t>sta se concretó en un acto de su propia voluntad</w:t>
      </w:r>
      <w:r w:rsidR="009C22AF" w:rsidRPr="00743985">
        <w:rPr>
          <w:rFonts w:eastAsia="Calibri" w:cs="Tahoma"/>
          <w:szCs w:val="24"/>
        </w:rPr>
        <w:t>.</w:t>
      </w:r>
      <w:r w:rsidR="009402C7" w:rsidRPr="00743985">
        <w:rPr>
          <w:rFonts w:eastAsia="Calibri" w:cs="Tahoma"/>
          <w:szCs w:val="24"/>
        </w:rPr>
        <w:t xml:space="preserve"> </w:t>
      </w:r>
      <w:r w:rsidRPr="00743985">
        <w:rPr>
          <w:rFonts w:eastAsia="Calibri" w:cs="Tahoma"/>
          <w:szCs w:val="24"/>
        </w:rPr>
        <w:t xml:space="preserve">Agrega que </w:t>
      </w:r>
      <w:r w:rsidR="009402C7" w:rsidRPr="00743985">
        <w:rPr>
          <w:rFonts w:eastAsia="Calibri" w:cs="Tahoma"/>
          <w:szCs w:val="24"/>
        </w:rPr>
        <w:t>e</w:t>
      </w:r>
      <w:r w:rsidRPr="00743985">
        <w:rPr>
          <w:rFonts w:eastAsia="Calibri" w:cs="Tahoma"/>
          <w:szCs w:val="24"/>
        </w:rPr>
        <w:t>l actor no fue beneficiari</w:t>
      </w:r>
      <w:r w:rsidR="009402C7" w:rsidRPr="00743985">
        <w:rPr>
          <w:rFonts w:eastAsia="Calibri" w:cs="Tahoma"/>
          <w:szCs w:val="24"/>
        </w:rPr>
        <w:t>o</w:t>
      </w:r>
      <w:r w:rsidRPr="00743985">
        <w:rPr>
          <w:rFonts w:eastAsia="Calibri" w:cs="Tahoma"/>
          <w:szCs w:val="24"/>
        </w:rPr>
        <w:t xml:space="preserve"> del régimen de transición al no contar con 15 años de servicios a la entrada en vigencia de la Ley 100 de 1993, por lo que no pudo ser susceptible de engaño por no habérsele hecho incurrir en error al momento de su </w:t>
      </w:r>
      <w:r w:rsidR="009402C7" w:rsidRPr="00743985">
        <w:rPr>
          <w:rFonts w:eastAsia="Calibri" w:cs="Tahoma"/>
          <w:szCs w:val="24"/>
        </w:rPr>
        <w:t>vinculación</w:t>
      </w:r>
      <w:r w:rsidRPr="00743985">
        <w:rPr>
          <w:rFonts w:eastAsia="Calibri" w:cs="Tahoma"/>
          <w:szCs w:val="24"/>
        </w:rPr>
        <w:t>, en lo relativo de sus derechos prestacionales y condiciones del régimen que la acogía.</w:t>
      </w:r>
    </w:p>
    <w:p w14:paraId="6F8AD718" w14:textId="77777777" w:rsidR="00651B4D" w:rsidRPr="00743985" w:rsidRDefault="00651B4D" w:rsidP="00743985">
      <w:pPr>
        <w:spacing w:line="276" w:lineRule="auto"/>
        <w:ind w:firstLine="708"/>
        <w:rPr>
          <w:rFonts w:eastAsia="Tahoma" w:cs="Tahoma"/>
          <w:szCs w:val="24"/>
          <w:lang w:val="es"/>
        </w:rPr>
      </w:pPr>
    </w:p>
    <w:p w14:paraId="11FE4848" w14:textId="3FEA7ACC" w:rsidR="00472AC2" w:rsidRPr="00743985" w:rsidRDefault="00651B4D" w:rsidP="00743985">
      <w:pPr>
        <w:spacing w:line="276" w:lineRule="auto"/>
        <w:ind w:firstLine="708"/>
        <w:rPr>
          <w:rFonts w:eastAsia="Tahoma" w:cs="Tahoma"/>
          <w:i/>
          <w:iCs/>
          <w:szCs w:val="24"/>
          <w:lang w:val="es"/>
        </w:rPr>
      </w:pPr>
      <w:r w:rsidRPr="00743985">
        <w:rPr>
          <w:rFonts w:eastAsia="Tahoma" w:cs="Tahoma"/>
          <w:szCs w:val="24"/>
          <w:lang w:val="es"/>
        </w:rPr>
        <w:t xml:space="preserve">Como excepciones de mérito se formularon las de </w:t>
      </w:r>
      <w:r w:rsidR="009C22AF" w:rsidRPr="00743985">
        <w:rPr>
          <w:rFonts w:eastAsia="Tahoma" w:cs="Tahoma"/>
          <w:i/>
          <w:iCs/>
          <w:szCs w:val="24"/>
          <w:lang w:val="es"/>
        </w:rPr>
        <w:t>“Prescripción”,</w:t>
      </w:r>
      <w:r w:rsidRPr="00743985">
        <w:rPr>
          <w:rFonts w:eastAsia="Tahoma" w:cs="Tahoma"/>
          <w:bCs/>
          <w:i/>
          <w:iCs/>
          <w:szCs w:val="24"/>
          <w:lang w:val="es"/>
        </w:rPr>
        <w:t xml:space="preserve">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y, “Afectación de la estabilidad financiera del sistema en caso de acceder al traslado”.</w:t>
      </w:r>
    </w:p>
    <w:p w14:paraId="7C569CF0" w14:textId="77777777" w:rsidR="00A41FBD" w:rsidRPr="00743985" w:rsidRDefault="00A41FBD" w:rsidP="00743985">
      <w:pPr>
        <w:spacing w:line="276" w:lineRule="auto"/>
        <w:ind w:firstLine="708"/>
        <w:rPr>
          <w:rFonts w:eastAsia="Tahoma" w:cs="Tahoma"/>
          <w:i/>
          <w:iCs/>
          <w:szCs w:val="24"/>
          <w:lang w:val="es"/>
        </w:rPr>
      </w:pPr>
    </w:p>
    <w:p w14:paraId="6327AE3F" w14:textId="36672B4E" w:rsidR="00472AC2" w:rsidRPr="00743985" w:rsidRDefault="00472AC2" w:rsidP="00743985">
      <w:pPr>
        <w:tabs>
          <w:tab w:val="left" w:pos="284"/>
        </w:tabs>
        <w:spacing w:line="276" w:lineRule="auto"/>
        <w:ind w:firstLine="284"/>
        <w:rPr>
          <w:rFonts w:cs="Tahoma"/>
          <w:szCs w:val="24"/>
        </w:rPr>
      </w:pPr>
      <w:r w:rsidRPr="00743985">
        <w:rPr>
          <w:rFonts w:cs="Tahoma"/>
          <w:b/>
          <w:bCs/>
          <w:szCs w:val="24"/>
        </w:rPr>
        <w:tab/>
        <w:t xml:space="preserve">Porvenir S.A. </w:t>
      </w:r>
      <w:r w:rsidRPr="00743985">
        <w:rPr>
          <w:rFonts w:cs="Tahoma"/>
          <w:bCs/>
          <w:szCs w:val="24"/>
        </w:rPr>
        <w:t>solicitó que se denegaran los pedidos del actor, refiriendo que su afiliación al fondo de pensiones obligatorias fue un acto jurídico válido, en la medida en que aquel suscribió la solicitud de manera libre, espontánea y sin presiones; no obstante, en el evento hipotético de que hubiera existido vicio en el consentimiento, la eventual nulidad se vio saneada por el paso del tiempo.</w:t>
      </w:r>
      <w:r w:rsidRPr="00743985">
        <w:rPr>
          <w:rFonts w:cs="Tahoma"/>
          <w:szCs w:val="24"/>
        </w:rPr>
        <w:t xml:space="preserve">  </w:t>
      </w:r>
    </w:p>
    <w:p w14:paraId="04549AA8" w14:textId="77777777" w:rsidR="00472AC2" w:rsidRPr="00743985" w:rsidRDefault="00472AC2" w:rsidP="00743985">
      <w:pPr>
        <w:tabs>
          <w:tab w:val="left" w:pos="284"/>
        </w:tabs>
        <w:spacing w:line="276" w:lineRule="auto"/>
        <w:ind w:firstLine="284"/>
        <w:rPr>
          <w:rFonts w:cs="Tahoma"/>
          <w:szCs w:val="24"/>
        </w:rPr>
      </w:pPr>
    </w:p>
    <w:p w14:paraId="3CBDC47F" w14:textId="05C664B6" w:rsidR="00472AC2" w:rsidRPr="00743985" w:rsidRDefault="00472AC2" w:rsidP="00743985">
      <w:pPr>
        <w:tabs>
          <w:tab w:val="left" w:pos="284"/>
        </w:tabs>
        <w:spacing w:line="276" w:lineRule="auto"/>
        <w:ind w:firstLine="284"/>
        <w:rPr>
          <w:rFonts w:cs="Tahoma"/>
          <w:szCs w:val="24"/>
        </w:rPr>
      </w:pPr>
      <w:r w:rsidRPr="00743985">
        <w:rPr>
          <w:rFonts w:cs="Tahoma"/>
          <w:szCs w:val="24"/>
        </w:rPr>
        <w:tab/>
        <w:t xml:space="preserve">En ese orden de ideas, invocó como excepciones perentorias las de </w:t>
      </w:r>
      <w:r w:rsidRPr="00743985">
        <w:rPr>
          <w:rFonts w:cs="Tahoma"/>
          <w:i/>
          <w:szCs w:val="24"/>
        </w:rPr>
        <w:t>“</w:t>
      </w:r>
      <w:r w:rsidR="00411D52" w:rsidRPr="00743985">
        <w:rPr>
          <w:rFonts w:cs="Tahoma"/>
          <w:i/>
          <w:szCs w:val="24"/>
        </w:rPr>
        <w:t>V</w:t>
      </w:r>
      <w:r w:rsidRPr="00743985">
        <w:rPr>
          <w:rFonts w:cs="Tahoma"/>
          <w:i/>
          <w:szCs w:val="24"/>
        </w:rPr>
        <w:t>a</w:t>
      </w:r>
      <w:r w:rsidRPr="00743985">
        <w:rPr>
          <w:rFonts w:cs="Tahoma"/>
          <w:i/>
          <w:iCs/>
          <w:szCs w:val="24"/>
        </w:rPr>
        <w:t>lidez y eficacia de</w:t>
      </w:r>
      <w:r w:rsidR="006F4B36" w:rsidRPr="00743985">
        <w:rPr>
          <w:rFonts w:cs="Tahoma"/>
          <w:i/>
          <w:iCs/>
          <w:szCs w:val="24"/>
        </w:rPr>
        <w:t xml:space="preserve"> la afiliación al RAIS e</w:t>
      </w:r>
      <w:r w:rsidRPr="00743985">
        <w:rPr>
          <w:rFonts w:cs="Tahoma"/>
          <w:i/>
          <w:iCs/>
          <w:szCs w:val="24"/>
        </w:rPr>
        <w:t xml:space="preserve"> Inexistencia de vicios en el consentimiento”, “Saneamiento de la </w:t>
      </w:r>
      <w:r w:rsidR="006F4B36" w:rsidRPr="00743985">
        <w:rPr>
          <w:rFonts w:cs="Tahoma"/>
          <w:i/>
          <w:iCs/>
          <w:szCs w:val="24"/>
        </w:rPr>
        <w:t>supuesta</w:t>
      </w:r>
      <w:r w:rsidRPr="00743985">
        <w:rPr>
          <w:rFonts w:cs="Tahoma"/>
          <w:i/>
          <w:iCs/>
          <w:szCs w:val="24"/>
        </w:rPr>
        <w:t xml:space="preserve"> nulidad relativa”, “</w:t>
      </w:r>
      <w:r w:rsidR="006F4B36" w:rsidRPr="00743985">
        <w:rPr>
          <w:rFonts w:cs="Tahoma"/>
          <w:i/>
          <w:iCs/>
          <w:szCs w:val="24"/>
        </w:rPr>
        <w:t>Pago”,</w:t>
      </w:r>
      <w:r w:rsidR="00411D52" w:rsidRPr="00743985">
        <w:rPr>
          <w:rFonts w:cs="Tahoma"/>
          <w:i/>
          <w:iCs/>
          <w:szCs w:val="24"/>
        </w:rPr>
        <w:t xml:space="preserve"> </w:t>
      </w:r>
      <w:r w:rsidR="006A43E2">
        <w:rPr>
          <w:rFonts w:cs="Tahoma"/>
          <w:i/>
          <w:iCs/>
          <w:szCs w:val="24"/>
        </w:rPr>
        <w:t>“</w:t>
      </w:r>
      <w:r w:rsidR="006F4B36" w:rsidRPr="00743985">
        <w:rPr>
          <w:rFonts w:cs="Tahoma"/>
          <w:i/>
          <w:iCs/>
          <w:szCs w:val="24"/>
        </w:rPr>
        <w:t xml:space="preserve">Compensación”, </w:t>
      </w:r>
      <w:r w:rsidRPr="00743985">
        <w:rPr>
          <w:rFonts w:cs="Tahoma"/>
          <w:i/>
          <w:iCs/>
          <w:szCs w:val="24"/>
        </w:rPr>
        <w:t>“Prescripción”</w:t>
      </w:r>
      <w:r w:rsidR="004550A6" w:rsidRPr="00743985">
        <w:rPr>
          <w:rFonts w:cs="Tahoma"/>
          <w:i/>
          <w:iCs/>
          <w:szCs w:val="24"/>
        </w:rPr>
        <w:t xml:space="preserve"> y</w:t>
      </w:r>
      <w:r w:rsidR="006F4B36" w:rsidRPr="00743985">
        <w:rPr>
          <w:rFonts w:cs="Tahoma"/>
          <w:i/>
          <w:iCs/>
          <w:szCs w:val="24"/>
        </w:rPr>
        <w:t xml:space="preserve"> </w:t>
      </w:r>
      <w:r w:rsidRPr="00743985">
        <w:rPr>
          <w:rFonts w:cs="Tahoma"/>
          <w:i/>
          <w:iCs/>
          <w:szCs w:val="24"/>
        </w:rPr>
        <w:t>“Buena Fe”</w:t>
      </w:r>
      <w:r w:rsidR="004550A6" w:rsidRPr="00743985">
        <w:rPr>
          <w:rFonts w:cs="Tahoma"/>
          <w:i/>
          <w:iCs/>
          <w:szCs w:val="24"/>
        </w:rPr>
        <w:t>.</w:t>
      </w:r>
    </w:p>
    <w:p w14:paraId="57280F15" w14:textId="77777777" w:rsidR="00472AC2" w:rsidRPr="00743985" w:rsidRDefault="00472AC2" w:rsidP="00743985">
      <w:pPr>
        <w:spacing w:line="276" w:lineRule="auto"/>
        <w:rPr>
          <w:rFonts w:cs="Tahoma"/>
          <w:szCs w:val="24"/>
        </w:rPr>
      </w:pPr>
    </w:p>
    <w:p w14:paraId="0AB42DBF" w14:textId="3685471E" w:rsidR="00483F9C" w:rsidRPr="00743985" w:rsidRDefault="00472AC2" w:rsidP="00743985">
      <w:pPr>
        <w:pStyle w:val="Prrafodelista"/>
        <w:numPr>
          <w:ilvl w:val="0"/>
          <w:numId w:val="2"/>
        </w:numPr>
        <w:spacing w:line="276" w:lineRule="auto"/>
        <w:jc w:val="center"/>
        <w:rPr>
          <w:rFonts w:cs="Tahoma"/>
          <w:b/>
          <w:bCs/>
          <w:szCs w:val="24"/>
        </w:rPr>
      </w:pPr>
      <w:r w:rsidRPr="00743985">
        <w:rPr>
          <w:rFonts w:cs="Tahoma"/>
          <w:b/>
          <w:bCs/>
          <w:szCs w:val="24"/>
        </w:rPr>
        <w:t>Sentencia de primera instancia</w:t>
      </w:r>
    </w:p>
    <w:p w14:paraId="13ACD145" w14:textId="67E50986" w:rsidR="00B73E34" w:rsidRPr="00743985" w:rsidRDefault="00B73E34" w:rsidP="00743985">
      <w:pPr>
        <w:tabs>
          <w:tab w:val="left" w:pos="284"/>
        </w:tabs>
        <w:spacing w:line="276" w:lineRule="auto"/>
        <w:ind w:left="720"/>
        <w:rPr>
          <w:rFonts w:cs="Tahoma"/>
          <w:szCs w:val="24"/>
        </w:rPr>
      </w:pPr>
    </w:p>
    <w:p w14:paraId="33586FDB" w14:textId="16981E0C" w:rsidR="00472AC2" w:rsidRPr="00743985" w:rsidRDefault="00CD7515" w:rsidP="00743985">
      <w:pPr>
        <w:tabs>
          <w:tab w:val="left" w:pos="284"/>
        </w:tabs>
        <w:spacing w:line="276" w:lineRule="auto"/>
        <w:rPr>
          <w:rFonts w:cs="Tahoma"/>
          <w:szCs w:val="24"/>
        </w:rPr>
      </w:pPr>
      <w:r w:rsidRPr="00743985">
        <w:rPr>
          <w:rFonts w:cs="Tahoma"/>
          <w:szCs w:val="24"/>
        </w:rPr>
        <w:tab/>
      </w:r>
      <w:r w:rsidRPr="00743985">
        <w:rPr>
          <w:rFonts w:cs="Tahoma"/>
          <w:szCs w:val="24"/>
        </w:rPr>
        <w:tab/>
      </w:r>
      <w:r w:rsidR="00472AC2" w:rsidRPr="00743985">
        <w:rPr>
          <w:rFonts w:cs="Tahoma"/>
          <w:szCs w:val="24"/>
        </w:rPr>
        <w:t xml:space="preserve">La Jueza de instancia desestimó las excepciones propuestas por la parte demandada y, en consecuencia, </w:t>
      </w:r>
      <w:r w:rsidRPr="00743985">
        <w:rPr>
          <w:rFonts w:cs="Tahoma"/>
          <w:szCs w:val="24"/>
        </w:rPr>
        <w:t xml:space="preserve">declaró la </w:t>
      </w:r>
      <w:r w:rsidR="006A43E2" w:rsidRPr="00743985">
        <w:rPr>
          <w:rFonts w:cs="Tahoma"/>
          <w:szCs w:val="24"/>
        </w:rPr>
        <w:t>ineficacia del traslado de régimen que</w:t>
      </w:r>
      <w:r w:rsidRPr="00743985">
        <w:rPr>
          <w:rFonts w:cs="Tahoma"/>
          <w:szCs w:val="24"/>
        </w:rPr>
        <w:t xml:space="preserve"> José Guillermo Hernández Tovar efectuó al régimen de ahorro individual con solidaridad, mediante solicitud del 25 de octubre de 1999, efectivo a partir </w:t>
      </w:r>
      <w:r w:rsidR="006A43E2" w:rsidRPr="00743985">
        <w:rPr>
          <w:rFonts w:cs="Tahoma"/>
          <w:szCs w:val="24"/>
        </w:rPr>
        <w:t>del 1º</w:t>
      </w:r>
      <w:r w:rsidRPr="00743985">
        <w:rPr>
          <w:rFonts w:cs="Tahoma"/>
          <w:szCs w:val="24"/>
        </w:rPr>
        <w:t xml:space="preserve"> de diciembre </w:t>
      </w:r>
      <w:r w:rsidR="006A43E2" w:rsidRPr="00743985">
        <w:rPr>
          <w:rFonts w:cs="Tahoma"/>
          <w:szCs w:val="24"/>
        </w:rPr>
        <w:t>de 1999, a través de</w:t>
      </w:r>
      <w:r w:rsidRPr="00743985">
        <w:rPr>
          <w:rFonts w:cs="Tahoma"/>
          <w:szCs w:val="24"/>
        </w:rPr>
        <w:t xml:space="preserve"> </w:t>
      </w:r>
      <w:r w:rsidR="006A43E2" w:rsidRPr="00743985">
        <w:rPr>
          <w:rFonts w:cs="Tahoma"/>
          <w:szCs w:val="24"/>
        </w:rPr>
        <w:t>PORVENIR S.A.</w:t>
      </w:r>
      <w:r w:rsidRPr="00743985">
        <w:rPr>
          <w:rFonts w:cs="Tahoma"/>
          <w:szCs w:val="24"/>
        </w:rPr>
        <w:t xml:space="preserve">, </w:t>
      </w:r>
      <w:r w:rsidR="006A43E2" w:rsidRPr="00743985">
        <w:rPr>
          <w:rFonts w:cs="Tahoma"/>
          <w:szCs w:val="24"/>
        </w:rPr>
        <w:t>y con ello los</w:t>
      </w:r>
      <w:r w:rsidRPr="00743985">
        <w:rPr>
          <w:rFonts w:cs="Tahoma"/>
          <w:szCs w:val="24"/>
        </w:rPr>
        <w:t xml:space="preserve"> traslados entre administradoras que efectuó el demandante.</w:t>
      </w:r>
    </w:p>
    <w:p w14:paraId="6EC82B5B" w14:textId="77777777" w:rsidR="00006764" w:rsidRPr="00743985" w:rsidRDefault="00006764" w:rsidP="00743985">
      <w:pPr>
        <w:tabs>
          <w:tab w:val="left" w:pos="284"/>
        </w:tabs>
        <w:spacing w:line="276" w:lineRule="auto"/>
        <w:rPr>
          <w:rFonts w:cs="Tahoma"/>
          <w:szCs w:val="24"/>
        </w:rPr>
      </w:pPr>
    </w:p>
    <w:p w14:paraId="04E20D27" w14:textId="09A00D1F" w:rsidR="00CD7515" w:rsidRPr="00743985" w:rsidRDefault="00472AC2" w:rsidP="00743985">
      <w:pPr>
        <w:tabs>
          <w:tab w:val="left" w:pos="284"/>
        </w:tabs>
        <w:spacing w:line="276" w:lineRule="auto"/>
        <w:rPr>
          <w:rFonts w:cs="Tahoma"/>
          <w:szCs w:val="24"/>
        </w:rPr>
      </w:pPr>
      <w:r w:rsidRPr="00743985">
        <w:rPr>
          <w:rFonts w:cs="Tahoma"/>
          <w:szCs w:val="24"/>
        </w:rPr>
        <w:tab/>
      </w:r>
      <w:r w:rsidRPr="00743985">
        <w:rPr>
          <w:rFonts w:cs="Tahoma"/>
          <w:szCs w:val="24"/>
        </w:rPr>
        <w:tab/>
        <w:t>Asimismo, ordenó a P</w:t>
      </w:r>
      <w:r w:rsidR="00E14179" w:rsidRPr="00743985">
        <w:rPr>
          <w:rFonts w:cs="Tahoma"/>
          <w:szCs w:val="24"/>
        </w:rPr>
        <w:t>rotección</w:t>
      </w:r>
      <w:r w:rsidRPr="00743985">
        <w:rPr>
          <w:rFonts w:cs="Tahoma"/>
          <w:szCs w:val="24"/>
        </w:rPr>
        <w:t xml:space="preserve"> </w:t>
      </w:r>
      <w:r w:rsidR="00CD7515" w:rsidRPr="00743985">
        <w:rPr>
          <w:rFonts w:cs="Tahoma"/>
          <w:szCs w:val="24"/>
        </w:rPr>
        <w:t xml:space="preserve">S.A. que   proceda   a devolver a Colpensiones la </w:t>
      </w:r>
      <w:r w:rsidR="00006764" w:rsidRPr="00743985">
        <w:rPr>
          <w:rFonts w:cs="Tahoma"/>
          <w:szCs w:val="24"/>
        </w:rPr>
        <w:t xml:space="preserve">totalidad de </w:t>
      </w:r>
      <w:r w:rsidR="006A43E2" w:rsidRPr="00743985">
        <w:rPr>
          <w:rFonts w:cs="Tahoma"/>
          <w:szCs w:val="24"/>
        </w:rPr>
        <w:t>las sumas</w:t>
      </w:r>
      <w:r w:rsidR="00CD7515" w:rsidRPr="00743985">
        <w:rPr>
          <w:rFonts w:cs="Tahoma"/>
          <w:szCs w:val="24"/>
        </w:rPr>
        <w:t xml:space="preserve"> recibidas con ocasión de la afiliación del actor, por concepto de cotizaciones recaudadas durante la vigencia de la afiliación</w:t>
      </w:r>
      <w:r w:rsidR="000714E6" w:rsidRPr="00743985">
        <w:rPr>
          <w:rFonts w:cs="Tahoma"/>
          <w:szCs w:val="24"/>
        </w:rPr>
        <w:t>.</w:t>
      </w:r>
    </w:p>
    <w:p w14:paraId="01202070" w14:textId="77777777" w:rsidR="000714E6" w:rsidRPr="00743985" w:rsidRDefault="000714E6" w:rsidP="00743985">
      <w:pPr>
        <w:tabs>
          <w:tab w:val="left" w:pos="284"/>
        </w:tabs>
        <w:spacing w:line="276" w:lineRule="auto"/>
        <w:rPr>
          <w:rFonts w:cs="Tahoma"/>
          <w:szCs w:val="24"/>
        </w:rPr>
      </w:pPr>
    </w:p>
    <w:p w14:paraId="70603A1C" w14:textId="1DFD120F" w:rsidR="000714E6" w:rsidRPr="00743985" w:rsidRDefault="000714E6" w:rsidP="00743985">
      <w:pPr>
        <w:tabs>
          <w:tab w:val="left" w:pos="284"/>
        </w:tabs>
        <w:spacing w:line="276" w:lineRule="auto"/>
        <w:rPr>
          <w:rFonts w:cs="Tahoma"/>
          <w:szCs w:val="24"/>
        </w:rPr>
      </w:pPr>
      <w:r w:rsidRPr="00743985">
        <w:rPr>
          <w:rFonts w:cs="Tahoma"/>
          <w:szCs w:val="24"/>
        </w:rPr>
        <w:tab/>
        <w:t xml:space="preserve">Por otra parte, ordenó a Porvenir S.A. y a Protección S.A. que devuelvan a Colpensiones, con cargo a sus propios recursos, el valor de las comisiones y cuotas de administración que cobraron, así como las cuotas de garantía de pensión mínima y seguros previsionales que descontaron durante el período </w:t>
      </w:r>
      <w:r w:rsidR="00B47FCC" w:rsidRPr="00743985">
        <w:rPr>
          <w:rFonts w:cs="Tahoma"/>
          <w:szCs w:val="24"/>
        </w:rPr>
        <w:t xml:space="preserve">en </w:t>
      </w:r>
      <w:r w:rsidRPr="00743985">
        <w:rPr>
          <w:rFonts w:cs="Tahoma"/>
          <w:szCs w:val="24"/>
        </w:rPr>
        <w:t>que el actor estuvo afiliado a esos fondos.</w:t>
      </w:r>
    </w:p>
    <w:p w14:paraId="2C1F1F4E" w14:textId="4100C1B6" w:rsidR="00483F9C" w:rsidRPr="00743985" w:rsidRDefault="00483F9C" w:rsidP="00743985">
      <w:pPr>
        <w:tabs>
          <w:tab w:val="left" w:pos="284"/>
        </w:tabs>
        <w:spacing w:line="276" w:lineRule="auto"/>
        <w:rPr>
          <w:rFonts w:cs="Tahoma"/>
          <w:szCs w:val="24"/>
        </w:rPr>
      </w:pPr>
    </w:p>
    <w:p w14:paraId="55143CCE" w14:textId="157E400E" w:rsidR="00483F9C" w:rsidRPr="00743985" w:rsidRDefault="00483F9C" w:rsidP="00743985">
      <w:pPr>
        <w:tabs>
          <w:tab w:val="left" w:pos="284"/>
        </w:tabs>
        <w:spacing w:line="276" w:lineRule="auto"/>
        <w:rPr>
          <w:rFonts w:cs="Tahoma"/>
          <w:szCs w:val="24"/>
        </w:rPr>
      </w:pPr>
      <w:r w:rsidRPr="00743985">
        <w:rPr>
          <w:rFonts w:cs="Tahoma"/>
          <w:szCs w:val="24"/>
        </w:rPr>
        <w:t xml:space="preserve">           En el mismo sentido, </w:t>
      </w:r>
      <w:r w:rsidR="00AF03C5" w:rsidRPr="00743985">
        <w:rPr>
          <w:rFonts w:cs="Tahoma"/>
          <w:szCs w:val="24"/>
        </w:rPr>
        <w:t xml:space="preserve">ordenó a </w:t>
      </w:r>
      <w:r w:rsidR="000714E6" w:rsidRPr="00743985">
        <w:rPr>
          <w:rFonts w:cs="Tahoma"/>
          <w:szCs w:val="24"/>
        </w:rPr>
        <w:t xml:space="preserve">Protección </w:t>
      </w:r>
      <w:r w:rsidR="00AF03C5" w:rsidRPr="00743985">
        <w:rPr>
          <w:rFonts w:cs="Tahoma"/>
          <w:szCs w:val="24"/>
        </w:rPr>
        <w:t xml:space="preserve">S.A. que en caso de haberse efectuado la redención del bono pensional, proceda a restituir a la OBP del Ministerio de hacienda y crédito público, la suma transferida por concepto de la cuenta de ahorro individual del actor, suma que deberá ser cancelada de manera indexada, </w:t>
      </w:r>
      <w:r w:rsidR="00B47FCC" w:rsidRPr="00743985">
        <w:rPr>
          <w:rFonts w:cs="Tahoma"/>
          <w:szCs w:val="24"/>
        </w:rPr>
        <w:t xml:space="preserve">indexación </w:t>
      </w:r>
      <w:r w:rsidR="00AF03C5" w:rsidRPr="00743985">
        <w:rPr>
          <w:rFonts w:cs="Tahoma"/>
          <w:szCs w:val="24"/>
        </w:rPr>
        <w:t>con cargo a sus propios recursos; anudado a esto</w:t>
      </w:r>
      <w:r w:rsidR="009C2BDF" w:rsidRPr="00743985">
        <w:rPr>
          <w:rFonts w:cs="Tahoma"/>
          <w:szCs w:val="24"/>
        </w:rPr>
        <w:t xml:space="preserve">, </w:t>
      </w:r>
      <w:r w:rsidR="000714E6" w:rsidRPr="00743985">
        <w:rPr>
          <w:rFonts w:cs="Tahoma"/>
          <w:szCs w:val="24"/>
        </w:rPr>
        <w:t xml:space="preserve">dispuso </w:t>
      </w:r>
      <w:r w:rsidR="009C2BDF" w:rsidRPr="00743985">
        <w:rPr>
          <w:rFonts w:cs="Tahoma"/>
          <w:szCs w:val="24"/>
        </w:rPr>
        <w:t>comunica</w:t>
      </w:r>
      <w:r w:rsidR="000714E6" w:rsidRPr="00743985">
        <w:rPr>
          <w:rFonts w:cs="Tahoma"/>
          <w:szCs w:val="24"/>
        </w:rPr>
        <w:t>r</w:t>
      </w:r>
      <w:r w:rsidR="009C2BDF" w:rsidRPr="00743985">
        <w:rPr>
          <w:rFonts w:cs="Tahoma"/>
          <w:szCs w:val="24"/>
        </w:rPr>
        <w:t xml:space="preserve">  </w:t>
      </w:r>
      <w:r w:rsidR="000714E6" w:rsidRPr="00743985">
        <w:rPr>
          <w:rFonts w:cs="Tahoma"/>
          <w:szCs w:val="24"/>
        </w:rPr>
        <w:t xml:space="preserve">la decisión </w:t>
      </w:r>
      <w:r w:rsidR="009C2BDF" w:rsidRPr="00743985">
        <w:rPr>
          <w:rFonts w:cs="Tahoma"/>
          <w:szCs w:val="24"/>
        </w:rPr>
        <w:t xml:space="preserve">a la OBP del </w:t>
      </w:r>
      <w:r w:rsidR="000714E6" w:rsidRPr="00743985">
        <w:rPr>
          <w:rFonts w:cs="Tahoma"/>
          <w:szCs w:val="24"/>
        </w:rPr>
        <w:t xml:space="preserve">Ministerio </w:t>
      </w:r>
      <w:r w:rsidR="009C2BDF" w:rsidRPr="00743985">
        <w:rPr>
          <w:rFonts w:cs="Tahoma"/>
          <w:szCs w:val="24"/>
        </w:rPr>
        <w:t xml:space="preserve">de </w:t>
      </w:r>
      <w:r w:rsidR="000714E6" w:rsidRPr="00743985">
        <w:rPr>
          <w:rFonts w:cs="Tahoma"/>
          <w:szCs w:val="24"/>
        </w:rPr>
        <w:t xml:space="preserve">Hacienda </w:t>
      </w:r>
      <w:r w:rsidR="009C2BDF" w:rsidRPr="00743985">
        <w:rPr>
          <w:rFonts w:cs="Tahoma"/>
          <w:szCs w:val="24"/>
        </w:rPr>
        <w:t xml:space="preserve">y </w:t>
      </w:r>
      <w:r w:rsidR="000714E6" w:rsidRPr="00743985">
        <w:rPr>
          <w:rFonts w:cs="Tahoma"/>
          <w:szCs w:val="24"/>
        </w:rPr>
        <w:t>Crédito Público con el fin de que</w:t>
      </w:r>
      <w:r w:rsidR="009C2BDF" w:rsidRPr="00743985">
        <w:rPr>
          <w:rFonts w:cs="Tahoma"/>
          <w:szCs w:val="24"/>
        </w:rPr>
        <w:t xml:space="preserve"> ejecute todas las acciones a que haya lugar para dejar las cosas en el estado en el que se encontraban para el 30 de noviembre de 1999, procediendo, entre otras cosas y de ser el caso, a anular o dejar sin vigencia,</w:t>
      </w:r>
      <w:r w:rsidR="00B47FCC" w:rsidRPr="00743985">
        <w:rPr>
          <w:rFonts w:cs="Tahoma"/>
          <w:szCs w:val="24"/>
        </w:rPr>
        <w:t xml:space="preserve"> el bono pensional que se generó</w:t>
      </w:r>
      <w:r w:rsidR="009C2BDF" w:rsidRPr="00743985">
        <w:rPr>
          <w:rFonts w:cs="Tahoma"/>
          <w:szCs w:val="24"/>
        </w:rPr>
        <w:t xml:space="preserve"> a favor del demandante.</w:t>
      </w:r>
    </w:p>
    <w:p w14:paraId="7028C964" w14:textId="77777777" w:rsidR="000714E6" w:rsidRPr="00743985" w:rsidRDefault="000714E6" w:rsidP="00743985">
      <w:pPr>
        <w:tabs>
          <w:tab w:val="left" w:pos="284"/>
        </w:tabs>
        <w:spacing w:line="276" w:lineRule="auto"/>
        <w:rPr>
          <w:rFonts w:cs="Tahoma"/>
          <w:szCs w:val="24"/>
        </w:rPr>
      </w:pPr>
    </w:p>
    <w:p w14:paraId="1A8C4ABC" w14:textId="055577B4" w:rsidR="00441028" w:rsidRPr="00743985" w:rsidRDefault="000714E6" w:rsidP="00743985">
      <w:pPr>
        <w:spacing w:line="276" w:lineRule="auto"/>
        <w:ind w:firstLine="708"/>
        <w:rPr>
          <w:rFonts w:cs="Tahoma"/>
          <w:szCs w:val="24"/>
        </w:rPr>
      </w:pPr>
      <w:r w:rsidRPr="00743985">
        <w:rPr>
          <w:rFonts w:cs="Tahoma"/>
          <w:szCs w:val="24"/>
        </w:rPr>
        <w:t xml:space="preserve">Finalmente, </w:t>
      </w:r>
      <w:r w:rsidR="00472AC2" w:rsidRPr="00743985">
        <w:rPr>
          <w:rFonts w:cs="Tahoma"/>
          <w:szCs w:val="24"/>
        </w:rPr>
        <w:t>condenó a Porvenir</w:t>
      </w:r>
      <w:r w:rsidR="00055C52" w:rsidRPr="00743985">
        <w:rPr>
          <w:rFonts w:cs="Tahoma"/>
          <w:szCs w:val="24"/>
        </w:rPr>
        <w:t xml:space="preserve"> y Protección</w:t>
      </w:r>
      <w:r w:rsidR="00472AC2" w:rsidRPr="00743985">
        <w:rPr>
          <w:rFonts w:cs="Tahoma"/>
          <w:szCs w:val="24"/>
        </w:rPr>
        <w:t xml:space="preserve"> a pagar las costas procesales a favor del actor en un 100%.</w:t>
      </w:r>
    </w:p>
    <w:p w14:paraId="10D8DF67" w14:textId="77777777" w:rsidR="00441028" w:rsidRPr="00743985" w:rsidRDefault="00441028" w:rsidP="00743985">
      <w:pPr>
        <w:spacing w:line="276" w:lineRule="auto"/>
        <w:rPr>
          <w:rFonts w:cs="Tahoma"/>
          <w:szCs w:val="24"/>
        </w:rPr>
      </w:pPr>
    </w:p>
    <w:p w14:paraId="346DF6F7" w14:textId="2DCF0879" w:rsidR="00441028" w:rsidRPr="00743985" w:rsidRDefault="00441028" w:rsidP="00743985">
      <w:pPr>
        <w:spacing w:line="276" w:lineRule="auto"/>
        <w:ind w:firstLine="708"/>
        <w:rPr>
          <w:rFonts w:eastAsia="Calibri" w:cs="Tahoma"/>
          <w:szCs w:val="24"/>
          <w:lang w:val="es-ES"/>
        </w:rPr>
      </w:pPr>
      <w:r w:rsidRPr="00743985">
        <w:rPr>
          <w:rFonts w:eastAsia="Calibri" w:cs="Tahoma"/>
          <w:szCs w:val="24"/>
          <w:lang w:val="es-ES"/>
        </w:rPr>
        <w:t xml:space="preserve"> 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Resaltó que, en estos casos opera una inversión de la carga de la prueba a favor del afiliado. De igual forma, resaltó que la expresión libre y voluntaria necesariamente presupone conocimiento, lo cual sólo es posible alcanzar cuando se saben a plenitud las consecuencias de una decisión de esta índole. </w:t>
      </w:r>
    </w:p>
    <w:p w14:paraId="2A5C7B28" w14:textId="77777777" w:rsidR="00B03989" w:rsidRPr="00743985" w:rsidRDefault="00B03989" w:rsidP="00743985">
      <w:pPr>
        <w:spacing w:line="276" w:lineRule="auto"/>
        <w:ind w:firstLine="708"/>
        <w:rPr>
          <w:rFonts w:cs="Tahoma"/>
          <w:szCs w:val="24"/>
        </w:rPr>
      </w:pPr>
    </w:p>
    <w:p w14:paraId="4A9AA944" w14:textId="53EB5FBE" w:rsidR="00B03989" w:rsidRPr="00743985" w:rsidRDefault="00B03989" w:rsidP="00743985">
      <w:pPr>
        <w:spacing w:line="276" w:lineRule="auto"/>
        <w:ind w:firstLine="360"/>
        <w:rPr>
          <w:rFonts w:cs="Tahoma"/>
          <w:szCs w:val="24"/>
        </w:rPr>
      </w:pPr>
      <w:r w:rsidRPr="00743985">
        <w:rPr>
          <w:rFonts w:cs="Tahoma"/>
          <w:szCs w:val="24"/>
        </w:rPr>
        <w:t xml:space="preserve">Precisó que la sola suscripción del formulario de afiliación por sí solo no logra demostrar la información que se brindó al promotor de la litis al momento de afiliarse, a pesar de que en él exista una cláusula que refiera que la afiliación del demandante fue libre, consciente y voluntaria. Además, resaltó que del interrogatorio rendido por el actor no se desprende que se </w:t>
      </w:r>
      <w:proofErr w:type="gramStart"/>
      <w:r w:rsidRPr="00743985">
        <w:rPr>
          <w:rFonts w:cs="Tahoma"/>
          <w:szCs w:val="24"/>
        </w:rPr>
        <w:t>le</w:t>
      </w:r>
      <w:proofErr w:type="gramEnd"/>
      <w:r w:rsidRPr="00743985">
        <w:rPr>
          <w:rFonts w:cs="Tahoma"/>
          <w:szCs w:val="24"/>
        </w:rPr>
        <w:t xml:space="preserve"> haya brindado información suficiente frente a las características del RAIS.</w:t>
      </w:r>
    </w:p>
    <w:p w14:paraId="33D1127B" w14:textId="77777777" w:rsidR="004D4357" w:rsidRPr="00743985" w:rsidRDefault="004D4357" w:rsidP="00743985">
      <w:pPr>
        <w:spacing w:line="276" w:lineRule="auto"/>
        <w:rPr>
          <w:rFonts w:cs="Tahoma"/>
          <w:szCs w:val="24"/>
        </w:rPr>
      </w:pPr>
    </w:p>
    <w:p w14:paraId="76BEC1D0" w14:textId="6EC7ADB4" w:rsidR="004D4357" w:rsidRPr="00743985" w:rsidRDefault="004D4357" w:rsidP="00743985">
      <w:pPr>
        <w:spacing w:line="276" w:lineRule="auto"/>
        <w:ind w:firstLine="708"/>
        <w:rPr>
          <w:rFonts w:cs="Tahoma"/>
          <w:szCs w:val="24"/>
        </w:rPr>
      </w:pPr>
      <w:r w:rsidRPr="00743985">
        <w:rPr>
          <w:rFonts w:cs="Tahoma"/>
          <w:szCs w:val="24"/>
        </w:rPr>
        <w:t xml:space="preserve">Por lo dicho, concluyó que la decisión del demandante no estuvo precedida de la compresión suficiente ni el real consentimiento para llevarla a cabo, razón por la cual debía declarase la ineficacia de la afiliación que se </w:t>
      </w:r>
      <w:r w:rsidR="00652EED" w:rsidRPr="00743985">
        <w:rPr>
          <w:rFonts w:cs="Tahoma"/>
          <w:szCs w:val="24"/>
        </w:rPr>
        <w:t>hizo efectiva el 01 de diciembre de 1999</w:t>
      </w:r>
      <w:r w:rsidRPr="00743985">
        <w:rPr>
          <w:rFonts w:cs="Tahoma"/>
          <w:szCs w:val="24"/>
        </w:rPr>
        <w:t xml:space="preserve"> ante Porvenir S.A. y con ello el traslado a Protección S.A.</w:t>
      </w:r>
      <w:r w:rsidR="00656327" w:rsidRPr="00743985">
        <w:rPr>
          <w:rFonts w:cs="Tahoma"/>
          <w:szCs w:val="24"/>
        </w:rPr>
        <w:t xml:space="preserve"> </w:t>
      </w:r>
      <w:r w:rsidR="00656327" w:rsidRPr="00743985">
        <w:rPr>
          <w:rFonts w:cs="Tahoma"/>
          <w:color w:val="000000" w:themeColor="text1"/>
          <w:szCs w:val="24"/>
        </w:rPr>
        <w:t xml:space="preserve">que se </w:t>
      </w:r>
      <w:r w:rsidR="005E7342" w:rsidRPr="00743985">
        <w:rPr>
          <w:rFonts w:cs="Tahoma"/>
          <w:color w:val="000000" w:themeColor="text1"/>
          <w:szCs w:val="24"/>
        </w:rPr>
        <w:t>realizó</w:t>
      </w:r>
      <w:r w:rsidR="00656327" w:rsidRPr="00743985">
        <w:rPr>
          <w:rFonts w:cs="Tahoma"/>
          <w:color w:val="000000" w:themeColor="text1"/>
          <w:szCs w:val="24"/>
        </w:rPr>
        <w:t xml:space="preserve"> el </w:t>
      </w:r>
      <w:r w:rsidR="005B2A51" w:rsidRPr="00743985">
        <w:rPr>
          <w:rFonts w:cs="Tahoma"/>
          <w:color w:val="000000" w:themeColor="text1"/>
          <w:szCs w:val="24"/>
        </w:rPr>
        <w:t>mes de octubre de 2003</w:t>
      </w:r>
      <w:r w:rsidRPr="00743985">
        <w:rPr>
          <w:rFonts w:cs="Tahoma"/>
          <w:color w:val="000000" w:themeColor="text1"/>
          <w:szCs w:val="24"/>
        </w:rPr>
        <w:t xml:space="preserve">, quedando </w:t>
      </w:r>
      <w:r w:rsidRPr="00743985">
        <w:rPr>
          <w:rFonts w:cs="Tahoma"/>
          <w:szCs w:val="24"/>
        </w:rPr>
        <w:t xml:space="preserve">en libertad de acogerse al régimen que prefiriera </w:t>
      </w:r>
      <w:r w:rsidRPr="00743985">
        <w:rPr>
          <w:rFonts w:cs="Tahoma"/>
          <w:szCs w:val="24"/>
        </w:rPr>
        <w:lastRenderedPageBreak/>
        <w:t xml:space="preserve">y que, como lo expuso en la demanda, es el de prima media administrado por Colpensiones. </w:t>
      </w:r>
    </w:p>
    <w:p w14:paraId="745E57E0" w14:textId="68341531" w:rsidR="006B70FB" w:rsidRPr="00743985" w:rsidRDefault="006B70FB" w:rsidP="00743985">
      <w:pPr>
        <w:spacing w:line="276" w:lineRule="auto"/>
        <w:ind w:firstLine="708"/>
        <w:rPr>
          <w:rFonts w:cs="Tahoma"/>
          <w:szCs w:val="24"/>
        </w:rPr>
      </w:pPr>
    </w:p>
    <w:p w14:paraId="625E14AD" w14:textId="20159E84" w:rsidR="006B70FB" w:rsidRPr="00743985" w:rsidRDefault="006B70FB" w:rsidP="00743985">
      <w:pPr>
        <w:pStyle w:val="Prrafodelista"/>
        <w:numPr>
          <w:ilvl w:val="0"/>
          <w:numId w:val="2"/>
        </w:numPr>
        <w:tabs>
          <w:tab w:val="left" w:pos="284"/>
        </w:tabs>
        <w:spacing w:line="276" w:lineRule="auto"/>
        <w:ind w:left="0" w:firstLine="0"/>
        <w:jc w:val="center"/>
        <w:rPr>
          <w:rFonts w:cs="Tahoma"/>
          <w:b/>
          <w:szCs w:val="24"/>
        </w:rPr>
      </w:pPr>
      <w:r w:rsidRPr="00743985">
        <w:rPr>
          <w:rFonts w:cs="Tahoma"/>
          <w:b/>
          <w:szCs w:val="24"/>
        </w:rPr>
        <w:t>Recursos de apelación y procedencia de la consulta</w:t>
      </w:r>
    </w:p>
    <w:p w14:paraId="627F7C97" w14:textId="77777777" w:rsidR="00B80F3E" w:rsidRPr="00743985" w:rsidRDefault="00B80F3E" w:rsidP="00743985">
      <w:pPr>
        <w:pStyle w:val="Prrafodelista"/>
        <w:spacing w:line="276" w:lineRule="auto"/>
        <w:rPr>
          <w:rFonts w:cs="Tahoma"/>
          <w:b/>
          <w:bCs/>
          <w:szCs w:val="24"/>
        </w:rPr>
      </w:pPr>
    </w:p>
    <w:p w14:paraId="4C90978F" w14:textId="45D88537" w:rsidR="00F203F5" w:rsidRPr="00743985" w:rsidRDefault="00F203F5" w:rsidP="00743985">
      <w:pPr>
        <w:spacing w:line="276" w:lineRule="auto"/>
        <w:ind w:firstLine="708"/>
        <w:rPr>
          <w:rFonts w:cs="Tahoma"/>
          <w:szCs w:val="24"/>
        </w:rPr>
      </w:pPr>
      <w:r w:rsidRPr="00743985">
        <w:rPr>
          <w:rFonts w:cs="Tahoma"/>
          <w:b/>
          <w:bCs/>
          <w:szCs w:val="24"/>
        </w:rPr>
        <w:t xml:space="preserve">Porvenir S.A. </w:t>
      </w:r>
      <w:r w:rsidRPr="00743985">
        <w:rPr>
          <w:rFonts w:cs="Tahoma"/>
          <w:szCs w:val="24"/>
        </w:rPr>
        <w:t>atacó la sentencia arguyendo que cumplió con el deber de asesoría e información que la ley le imponía para tal efecto, en el entendido que se trataba de un deber de información básico y necesario</w:t>
      </w:r>
      <w:r w:rsidR="00CE6AAB" w:rsidRPr="00743985">
        <w:rPr>
          <w:rFonts w:cs="Tahoma"/>
          <w:szCs w:val="24"/>
        </w:rPr>
        <w:t xml:space="preserve">. </w:t>
      </w:r>
      <w:r w:rsidR="005E7342" w:rsidRPr="00743985">
        <w:rPr>
          <w:rFonts w:cs="Tahoma"/>
          <w:szCs w:val="24"/>
        </w:rPr>
        <w:t>Agregó que</w:t>
      </w:r>
      <w:r w:rsidRPr="00743985">
        <w:rPr>
          <w:rFonts w:cs="Tahoma"/>
          <w:szCs w:val="24"/>
        </w:rPr>
        <w:t xml:space="preserve"> </w:t>
      </w:r>
      <w:r w:rsidR="00CE6AAB" w:rsidRPr="00743985">
        <w:rPr>
          <w:rFonts w:cs="Tahoma"/>
          <w:szCs w:val="24"/>
        </w:rPr>
        <w:t>su</w:t>
      </w:r>
      <w:r w:rsidRPr="00743985">
        <w:rPr>
          <w:rFonts w:cs="Tahoma"/>
          <w:szCs w:val="24"/>
        </w:rPr>
        <w:t xml:space="preserve"> obligación versaba sobre </w:t>
      </w:r>
      <w:r w:rsidR="00CE6AAB" w:rsidRPr="00743985">
        <w:rPr>
          <w:rFonts w:cs="Tahoma"/>
          <w:szCs w:val="24"/>
        </w:rPr>
        <w:t xml:space="preserve">la </w:t>
      </w:r>
      <w:r w:rsidRPr="00743985">
        <w:rPr>
          <w:rFonts w:cs="Tahoma"/>
          <w:szCs w:val="24"/>
        </w:rPr>
        <w:t xml:space="preserve">documental </w:t>
      </w:r>
      <w:r w:rsidR="00CE6AAB" w:rsidRPr="00743985">
        <w:rPr>
          <w:rFonts w:cs="Tahoma"/>
          <w:szCs w:val="24"/>
        </w:rPr>
        <w:t>-</w:t>
      </w:r>
      <w:r w:rsidRPr="00743985">
        <w:rPr>
          <w:rFonts w:cs="Tahoma"/>
          <w:szCs w:val="24"/>
        </w:rPr>
        <w:t>formulario de afiliación</w:t>
      </w:r>
      <w:r w:rsidR="00CE6AAB" w:rsidRPr="00743985">
        <w:rPr>
          <w:rFonts w:cs="Tahoma"/>
          <w:szCs w:val="24"/>
        </w:rPr>
        <w:t>-</w:t>
      </w:r>
      <w:r w:rsidRPr="00743985">
        <w:rPr>
          <w:rFonts w:cs="Tahoma"/>
          <w:szCs w:val="24"/>
        </w:rPr>
        <w:t>, más no de mantener constancia escrita en las asesorías brindadas en aquella oportunidad</w:t>
      </w:r>
      <w:r w:rsidR="00CE6AAB" w:rsidRPr="00743985">
        <w:rPr>
          <w:rFonts w:cs="Tahoma"/>
          <w:szCs w:val="24"/>
        </w:rPr>
        <w:t>,</w:t>
      </w:r>
      <w:r w:rsidRPr="00743985">
        <w:rPr>
          <w:rFonts w:cs="Tahoma"/>
          <w:szCs w:val="24"/>
        </w:rPr>
        <w:t xml:space="preserve"> toda vez que la mismas se su</w:t>
      </w:r>
      <w:r w:rsidR="00B47FCC" w:rsidRPr="00743985">
        <w:rPr>
          <w:rFonts w:cs="Tahoma"/>
          <w:szCs w:val="24"/>
        </w:rPr>
        <w:t>s</w:t>
      </w:r>
      <w:r w:rsidRPr="00743985">
        <w:rPr>
          <w:rFonts w:cs="Tahoma"/>
          <w:szCs w:val="24"/>
        </w:rPr>
        <w:t>citaban de manera verbal; aunado a ello</w:t>
      </w:r>
      <w:r w:rsidR="00CE6AAB" w:rsidRPr="00743985">
        <w:rPr>
          <w:rFonts w:cs="Tahoma"/>
          <w:szCs w:val="24"/>
        </w:rPr>
        <w:t>, precisó</w:t>
      </w:r>
      <w:r w:rsidRPr="00743985">
        <w:rPr>
          <w:rFonts w:cs="Tahoma"/>
          <w:szCs w:val="24"/>
        </w:rPr>
        <w:t xml:space="preserve"> </w:t>
      </w:r>
      <w:r w:rsidR="00CE6AAB" w:rsidRPr="00743985">
        <w:rPr>
          <w:rFonts w:cs="Tahoma"/>
          <w:szCs w:val="24"/>
        </w:rPr>
        <w:t>que</w:t>
      </w:r>
      <w:r w:rsidR="008648C0" w:rsidRPr="00743985">
        <w:rPr>
          <w:rFonts w:cs="Tahoma"/>
          <w:szCs w:val="24"/>
        </w:rPr>
        <w:t xml:space="preserve"> el desarrollo jurisprudencial</w:t>
      </w:r>
      <w:r w:rsidR="00CE6AAB" w:rsidRPr="00743985">
        <w:rPr>
          <w:rFonts w:cs="Tahoma"/>
          <w:szCs w:val="24"/>
        </w:rPr>
        <w:t xml:space="preserve"> en el que se funda la decisión no se le puede</w:t>
      </w:r>
      <w:r w:rsidR="008648C0" w:rsidRPr="00743985">
        <w:rPr>
          <w:rFonts w:cs="Tahoma"/>
          <w:szCs w:val="24"/>
        </w:rPr>
        <w:t xml:space="preserve"> endilgar de manera retroactiva</w:t>
      </w:r>
      <w:r w:rsidR="00CE6AAB" w:rsidRPr="00743985">
        <w:rPr>
          <w:rFonts w:cs="Tahoma"/>
          <w:szCs w:val="24"/>
        </w:rPr>
        <w:t>.</w:t>
      </w:r>
    </w:p>
    <w:p w14:paraId="4FA6A5CB" w14:textId="47334B31" w:rsidR="008648C0" w:rsidRPr="00743985" w:rsidRDefault="008648C0" w:rsidP="00743985">
      <w:pPr>
        <w:spacing w:line="276" w:lineRule="auto"/>
        <w:ind w:firstLine="708"/>
        <w:rPr>
          <w:rFonts w:cs="Tahoma"/>
          <w:szCs w:val="24"/>
        </w:rPr>
      </w:pPr>
    </w:p>
    <w:p w14:paraId="30F219E0" w14:textId="52D76B21" w:rsidR="008E7982" w:rsidRPr="00743985" w:rsidRDefault="008E7982" w:rsidP="00743985">
      <w:pPr>
        <w:spacing w:line="276" w:lineRule="auto"/>
        <w:ind w:firstLine="708"/>
        <w:rPr>
          <w:rFonts w:cs="Tahoma"/>
          <w:szCs w:val="24"/>
        </w:rPr>
      </w:pPr>
    </w:p>
    <w:p w14:paraId="229A5D08" w14:textId="39CA8695" w:rsidR="008E7982" w:rsidRPr="00743985" w:rsidRDefault="00E4711A" w:rsidP="00743985">
      <w:pPr>
        <w:spacing w:line="276" w:lineRule="auto"/>
        <w:ind w:firstLine="708"/>
        <w:rPr>
          <w:rFonts w:cs="Tahoma"/>
          <w:szCs w:val="24"/>
        </w:rPr>
      </w:pPr>
      <w:r w:rsidRPr="00743985">
        <w:rPr>
          <w:rFonts w:cs="Tahoma"/>
          <w:szCs w:val="24"/>
        </w:rPr>
        <w:t>Resaltó que l</w:t>
      </w:r>
      <w:r w:rsidR="008E7982" w:rsidRPr="00743985">
        <w:rPr>
          <w:rFonts w:cs="Tahoma"/>
          <w:szCs w:val="24"/>
        </w:rPr>
        <w:t xml:space="preserve">a consecuencia jurídica emanada de la declaratoria de ineficacia es precisamente que el acto se reputa inexistente, es decir, que nunca nació a la vida jurídica, </w:t>
      </w:r>
      <w:r w:rsidRPr="00743985">
        <w:rPr>
          <w:rFonts w:cs="Tahoma"/>
          <w:szCs w:val="24"/>
        </w:rPr>
        <w:t xml:space="preserve">por ello, </w:t>
      </w:r>
      <w:r w:rsidR="008E7982" w:rsidRPr="00743985">
        <w:rPr>
          <w:rFonts w:cs="Tahoma"/>
          <w:szCs w:val="24"/>
        </w:rPr>
        <w:t>la única obligación que recaería sobre las AFP del RAIS ser</w:t>
      </w:r>
      <w:r w:rsidRPr="00743985">
        <w:rPr>
          <w:rFonts w:cs="Tahoma"/>
          <w:szCs w:val="24"/>
        </w:rPr>
        <w:t>í</w:t>
      </w:r>
      <w:r w:rsidR="008E7982" w:rsidRPr="00743985">
        <w:rPr>
          <w:rFonts w:cs="Tahoma"/>
          <w:szCs w:val="24"/>
        </w:rPr>
        <w:t xml:space="preserve">a </w:t>
      </w:r>
      <w:r w:rsidRPr="00743985">
        <w:rPr>
          <w:rFonts w:cs="Tahoma"/>
          <w:szCs w:val="24"/>
        </w:rPr>
        <w:t xml:space="preserve">la de </w:t>
      </w:r>
      <w:r w:rsidR="008E7982" w:rsidRPr="00743985">
        <w:rPr>
          <w:rFonts w:cs="Tahoma"/>
          <w:szCs w:val="24"/>
        </w:rPr>
        <w:t>girar con destino a Colpensiones los dineros que por concepto de pensión hubiese realizado el actor</w:t>
      </w:r>
      <w:r w:rsidRPr="00743985">
        <w:rPr>
          <w:rFonts w:cs="Tahoma"/>
          <w:szCs w:val="24"/>
        </w:rPr>
        <w:t>,</w:t>
      </w:r>
      <w:r w:rsidR="008E7982" w:rsidRPr="00743985">
        <w:rPr>
          <w:rFonts w:cs="Tahoma"/>
          <w:szCs w:val="24"/>
        </w:rPr>
        <w:t xml:space="preserve"> obligación ya se entiende surtida por parte de esta entidad.</w:t>
      </w:r>
    </w:p>
    <w:p w14:paraId="31841834" w14:textId="33A14CC5" w:rsidR="007A76BB" w:rsidRPr="00743985" w:rsidRDefault="007A76BB" w:rsidP="00743985">
      <w:pPr>
        <w:spacing w:line="276" w:lineRule="auto"/>
        <w:ind w:firstLine="708"/>
        <w:rPr>
          <w:rFonts w:cs="Tahoma"/>
          <w:szCs w:val="24"/>
        </w:rPr>
      </w:pPr>
    </w:p>
    <w:p w14:paraId="2F7F433E" w14:textId="1112EA4D" w:rsidR="00B80F3E" w:rsidRPr="00743985" w:rsidRDefault="009E5DBA" w:rsidP="00743985">
      <w:pPr>
        <w:spacing w:line="276" w:lineRule="auto"/>
        <w:ind w:firstLine="708"/>
        <w:rPr>
          <w:rFonts w:cs="Tahoma"/>
          <w:szCs w:val="24"/>
        </w:rPr>
      </w:pPr>
      <w:r w:rsidRPr="00743985">
        <w:rPr>
          <w:rFonts w:cs="Tahoma"/>
          <w:szCs w:val="24"/>
        </w:rPr>
        <w:t xml:space="preserve">Recalcó que </w:t>
      </w:r>
      <w:r w:rsidR="00C714B3" w:rsidRPr="00743985">
        <w:rPr>
          <w:rFonts w:cs="Tahoma"/>
          <w:szCs w:val="24"/>
        </w:rPr>
        <w:t xml:space="preserve">las cuotas o gastos surgen por autorización legal y son precisamente como contraprestación a </w:t>
      </w:r>
      <w:r w:rsidRPr="00743985">
        <w:rPr>
          <w:rFonts w:cs="Tahoma"/>
          <w:szCs w:val="24"/>
        </w:rPr>
        <w:t>la</w:t>
      </w:r>
      <w:r w:rsidR="00C714B3" w:rsidRPr="00743985">
        <w:rPr>
          <w:rFonts w:cs="Tahoma"/>
          <w:szCs w:val="24"/>
        </w:rPr>
        <w:t xml:space="preserve"> buena gestión desplegada por las AFP del RAIS</w:t>
      </w:r>
      <w:r w:rsidRPr="00743985">
        <w:rPr>
          <w:rFonts w:cs="Tahoma"/>
          <w:szCs w:val="24"/>
        </w:rPr>
        <w:t>,</w:t>
      </w:r>
      <w:r w:rsidR="00F63054" w:rsidRPr="00743985">
        <w:rPr>
          <w:rFonts w:cs="Tahoma"/>
          <w:szCs w:val="24"/>
        </w:rPr>
        <w:t xml:space="preserve"> constituye</w:t>
      </w:r>
      <w:r w:rsidRPr="00743985">
        <w:rPr>
          <w:rFonts w:cs="Tahoma"/>
          <w:szCs w:val="24"/>
        </w:rPr>
        <w:t xml:space="preserve">ndo su devolución </w:t>
      </w:r>
      <w:r w:rsidR="00F63054" w:rsidRPr="00743985">
        <w:rPr>
          <w:rFonts w:cs="Tahoma"/>
          <w:szCs w:val="24"/>
        </w:rPr>
        <w:t xml:space="preserve">un enriquecimiento sin justa causa </w:t>
      </w:r>
      <w:r w:rsidR="00172F85" w:rsidRPr="00743985">
        <w:rPr>
          <w:rFonts w:cs="Tahoma"/>
          <w:szCs w:val="24"/>
        </w:rPr>
        <w:t>en favor del demandante y en detrimento de esta entidad</w:t>
      </w:r>
      <w:r w:rsidRPr="00743985">
        <w:rPr>
          <w:rFonts w:cs="Tahoma"/>
          <w:szCs w:val="24"/>
        </w:rPr>
        <w:t>.</w:t>
      </w:r>
      <w:r w:rsidR="00172F85" w:rsidRPr="00743985">
        <w:rPr>
          <w:rFonts w:cs="Tahoma"/>
          <w:szCs w:val="24"/>
        </w:rPr>
        <w:t xml:space="preserve"> </w:t>
      </w:r>
      <w:r w:rsidRPr="00743985">
        <w:rPr>
          <w:rFonts w:cs="Tahoma"/>
          <w:szCs w:val="24"/>
        </w:rPr>
        <w:t xml:space="preserve">En </w:t>
      </w:r>
      <w:r w:rsidR="00172F85" w:rsidRPr="00743985">
        <w:rPr>
          <w:rFonts w:cs="Tahoma"/>
          <w:szCs w:val="24"/>
        </w:rPr>
        <w:t>lo que atañe a lo seguros pr</w:t>
      </w:r>
      <w:r w:rsidR="001748F3" w:rsidRPr="00743985">
        <w:rPr>
          <w:rFonts w:cs="Tahoma"/>
          <w:szCs w:val="24"/>
        </w:rPr>
        <w:t>e</w:t>
      </w:r>
      <w:r w:rsidR="00172F85" w:rsidRPr="00743985">
        <w:rPr>
          <w:rFonts w:cs="Tahoma"/>
          <w:szCs w:val="24"/>
        </w:rPr>
        <w:t>visionales</w:t>
      </w:r>
      <w:r w:rsidRPr="00743985">
        <w:rPr>
          <w:rFonts w:cs="Tahoma"/>
          <w:szCs w:val="24"/>
        </w:rPr>
        <w:t>, señaló</w:t>
      </w:r>
      <w:r w:rsidR="00172F85" w:rsidRPr="00743985">
        <w:rPr>
          <w:rFonts w:cs="Tahoma"/>
          <w:szCs w:val="24"/>
        </w:rPr>
        <w:t xml:space="preserve"> </w:t>
      </w:r>
      <w:r w:rsidRPr="00743985">
        <w:rPr>
          <w:rFonts w:cs="Tahoma"/>
          <w:szCs w:val="24"/>
        </w:rPr>
        <w:t>q</w:t>
      </w:r>
      <w:r w:rsidR="00172F85" w:rsidRPr="00743985">
        <w:rPr>
          <w:rFonts w:cs="Tahoma"/>
          <w:szCs w:val="24"/>
        </w:rPr>
        <w:t xml:space="preserve">ue surgen por mandato legal y corresponden a </w:t>
      </w:r>
      <w:r w:rsidRPr="00743985">
        <w:rPr>
          <w:rFonts w:cs="Tahoma"/>
          <w:szCs w:val="24"/>
        </w:rPr>
        <w:t>las</w:t>
      </w:r>
      <w:r w:rsidR="00172F85" w:rsidRPr="00743985">
        <w:rPr>
          <w:rFonts w:cs="Tahoma"/>
          <w:szCs w:val="24"/>
        </w:rPr>
        <w:t xml:space="preserve"> sumas que son girados con destino a las aseguradoras pr</w:t>
      </w:r>
      <w:r w:rsidR="001748F3" w:rsidRPr="00743985">
        <w:rPr>
          <w:rFonts w:cs="Tahoma"/>
          <w:szCs w:val="24"/>
        </w:rPr>
        <w:t>e</w:t>
      </w:r>
      <w:r w:rsidR="00172F85" w:rsidRPr="00743985">
        <w:rPr>
          <w:rFonts w:cs="Tahoma"/>
          <w:szCs w:val="24"/>
        </w:rPr>
        <w:t>visionales del RAIS, para que ante la eventual contingencia o siniestro por invalidez o sobrevivencia sean estas las que entren a cubrir la suma adicional y proceder así al reconocimiento y pago de dichas gracias pensionales</w:t>
      </w:r>
      <w:r w:rsidRPr="00743985">
        <w:rPr>
          <w:rFonts w:cs="Tahoma"/>
          <w:szCs w:val="24"/>
        </w:rPr>
        <w:t>.</w:t>
      </w:r>
    </w:p>
    <w:p w14:paraId="4F10475B" w14:textId="3E8E4068" w:rsidR="00AF40A7" w:rsidRPr="00743985" w:rsidRDefault="00AF40A7" w:rsidP="00743985">
      <w:pPr>
        <w:spacing w:line="276" w:lineRule="auto"/>
        <w:ind w:firstLine="708"/>
        <w:rPr>
          <w:rFonts w:cs="Tahoma"/>
          <w:szCs w:val="24"/>
        </w:rPr>
      </w:pPr>
    </w:p>
    <w:p w14:paraId="15BE874E" w14:textId="499FEAC4" w:rsidR="00D97B2E" w:rsidRPr="00743985" w:rsidRDefault="009E5DBA" w:rsidP="00743985">
      <w:pPr>
        <w:spacing w:line="276" w:lineRule="auto"/>
        <w:ind w:firstLine="708"/>
        <w:rPr>
          <w:rFonts w:cs="Tahoma"/>
          <w:szCs w:val="24"/>
        </w:rPr>
      </w:pPr>
      <w:r w:rsidRPr="00743985">
        <w:rPr>
          <w:rFonts w:cs="Tahoma"/>
          <w:szCs w:val="24"/>
        </w:rPr>
        <w:t>E</w:t>
      </w:r>
      <w:r w:rsidR="00AF40A7" w:rsidRPr="00743985">
        <w:rPr>
          <w:rFonts w:cs="Tahoma"/>
          <w:szCs w:val="24"/>
        </w:rPr>
        <w:t xml:space="preserve">n lo que atañe sobre la </w:t>
      </w:r>
      <w:r w:rsidR="0003054B" w:rsidRPr="00743985">
        <w:rPr>
          <w:rFonts w:cs="Tahoma"/>
          <w:szCs w:val="24"/>
        </w:rPr>
        <w:t xml:space="preserve">imposición de la </w:t>
      </w:r>
      <w:r w:rsidR="00AF40A7" w:rsidRPr="00743985">
        <w:rPr>
          <w:rFonts w:cs="Tahoma"/>
          <w:szCs w:val="24"/>
        </w:rPr>
        <w:t>condena en costas</w:t>
      </w:r>
      <w:r w:rsidRPr="00743985">
        <w:rPr>
          <w:rFonts w:cs="Tahoma"/>
          <w:szCs w:val="24"/>
        </w:rPr>
        <w:t xml:space="preserve">, anotó </w:t>
      </w:r>
      <w:r w:rsidR="00AF40A7" w:rsidRPr="00743985">
        <w:rPr>
          <w:rFonts w:cs="Tahoma"/>
          <w:szCs w:val="24"/>
        </w:rPr>
        <w:t xml:space="preserve">que su actuar no fue arbitrario </w:t>
      </w:r>
      <w:r w:rsidR="0003054B" w:rsidRPr="00743985">
        <w:rPr>
          <w:rFonts w:cs="Tahoma"/>
          <w:szCs w:val="24"/>
        </w:rPr>
        <w:t xml:space="preserve">ni mucho menos negligente sino que obedeció al cumplimiento estricto de los cánones regulatorios de la materia y estuvo </w:t>
      </w:r>
      <w:r w:rsidR="00D97B2E" w:rsidRPr="00743985">
        <w:rPr>
          <w:rFonts w:cs="Tahoma"/>
          <w:szCs w:val="24"/>
        </w:rPr>
        <w:t>siempre</w:t>
      </w:r>
      <w:r w:rsidR="0003054B" w:rsidRPr="00743985">
        <w:rPr>
          <w:rFonts w:cs="Tahoma"/>
          <w:szCs w:val="24"/>
        </w:rPr>
        <w:t xml:space="preserve"> precedido su actuar </w:t>
      </w:r>
      <w:r w:rsidR="00D97B2E" w:rsidRPr="00743985">
        <w:rPr>
          <w:rFonts w:cs="Tahoma"/>
          <w:szCs w:val="24"/>
        </w:rPr>
        <w:t>por el principio de buena fe constitucional.</w:t>
      </w:r>
    </w:p>
    <w:p w14:paraId="745C7748" w14:textId="1A58ECB6" w:rsidR="00D97B2E" w:rsidRPr="00743985" w:rsidRDefault="00D97B2E" w:rsidP="00743985">
      <w:pPr>
        <w:spacing w:line="276" w:lineRule="auto"/>
        <w:ind w:firstLine="708"/>
        <w:rPr>
          <w:rFonts w:cs="Tahoma"/>
          <w:szCs w:val="24"/>
        </w:rPr>
      </w:pPr>
    </w:p>
    <w:p w14:paraId="46DB1A0D" w14:textId="7ADE7A24" w:rsidR="00A43E6E" w:rsidRPr="00743985" w:rsidRDefault="009E5DBA" w:rsidP="00743985">
      <w:pPr>
        <w:spacing w:line="276" w:lineRule="auto"/>
        <w:ind w:firstLine="708"/>
        <w:rPr>
          <w:rFonts w:cs="Tahoma"/>
          <w:szCs w:val="24"/>
        </w:rPr>
      </w:pPr>
      <w:r w:rsidRPr="00743985">
        <w:rPr>
          <w:rFonts w:cs="Tahoma"/>
          <w:szCs w:val="24"/>
        </w:rPr>
        <w:t>Finalmente, indicó que los actos desplegados por el actor en su permanencia en el RAIS deben asimilarse como aquellos dispuestos jurisprudencialmente como actos de relacionamiento</w:t>
      </w:r>
      <w:r w:rsidR="007C5873" w:rsidRPr="00743985">
        <w:rPr>
          <w:rFonts w:cs="Tahoma"/>
          <w:szCs w:val="24"/>
        </w:rPr>
        <w:t>.</w:t>
      </w:r>
    </w:p>
    <w:p w14:paraId="6AB0BB3E" w14:textId="77777777" w:rsidR="00A43E6E" w:rsidRPr="00743985" w:rsidRDefault="00A43E6E" w:rsidP="00743985">
      <w:pPr>
        <w:spacing w:line="276" w:lineRule="auto"/>
        <w:ind w:firstLine="708"/>
        <w:rPr>
          <w:rFonts w:cs="Tahoma"/>
          <w:szCs w:val="24"/>
        </w:rPr>
      </w:pPr>
    </w:p>
    <w:p w14:paraId="0330E560" w14:textId="1F221A62" w:rsidR="006B70FB" w:rsidRPr="00743985" w:rsidRDefault="00A43E6E" w:rsidP="00743985">
      <w:pPr>
        <w:spacing w:line="276" w:lineRule="auto"/>
        <w:ind w:firstLine="708"/>
        <w:rPr>
          <w:rFonts w:cs="Tahoma"/>
          <w:szCs w:val="24"/>
        </w:rPr>
      </w:pPr>
      <w:r w:rsidRPr="00743985">
        <w:rPr>
          <w:rFonts w:cs="Tahoma"/>
          <w:b/>
          <w:bCs/>
          <w:szCs w:val="24"/>
        </w:rPr>
        <w:t>Protección S.A.</w:t>
      </w:r>
      <w:r w:rsidR="006B70FB" w:rsidRPr="00743985">
        <w:rPr>
          <w:rFonts w:cs="Tahoma"/>
          <w:szCs w:val="24"/>
        </w:rPr>
        <w:t xml:space="preserve"> en su alzada, atacó la decisión </w:t>
      </w:r>
      <w:r w:rsidR="00111758" w:rsidRPr="00743985">
        <w:rPr>
          <w:rFonts w:cs="Tahoma"/>
          <w:szCs w:val="24"/>
        </w:rPr>
        <w:t>argumentando que el demandante recibió las asesorías correspondientes y ratific</w:t>
      </w:r>
      <w:r w:rsidR="009E5DBA" w:rsidRPr="00743985">
        <w:rPr>
          <w:rFonts w:cs="Tahoma"/>
          <w:szCs w:val="24"/>
        </w:rPr>
        <w:t>ó</w:t>
      </w:r>
      <w:r w:rsidR="00111758" w:rsidRPr="00743985">
        <w:rPr>
          <w:rFonts w:cs="Tahoma"/>
          <w:szCs w:val="24"/>
        </w:rPr>
        <w:t xml:space="preserve"> su voluntad de permanecer en el RAIS, </w:t>
      </w:r>
      <w:r w:rsidR="002D1678" w:rsidRPr="00743985">
        <w:rPr>
          <w:rFonts w:cs="Tahoma"/>
          <w:szCs w:val="24"/>
        </w:rPr>
        <w:t xml:space="preserve">beneficiándose </w:t>
      </w:r>
      <w:r w:rsidR="00111758" w:rsidRPr="00743985">
        <w:rPr>
          <w:rFonts w:cs="Tahoma"/>
          <w:szCs w:val="24"/>
        </w:rPr>
        <w:t>de los rendimientos y prerrogativas por más de 20 años</w:t>
      </w:r>
      <w:r w:rsidR="000263F9" w:rsidRPr="00743985">
        <w:rPr>
          <w:rFonts w:cs="Tahoma"/>
          <w:szCs w:val="24"/>
        </w:rPr>
        <w:t>, sin que sea dable aplicar un precedente jurisprudencial surgido con posterioridad al acto de afiliación.</w:t>
      </w:r>
    </w:p>
    <w:p w14:paraId="249BD00C" w14:textId="77777777" w:rsidR="00C105F4" w:rsidRPr="00743985" w:rsidRDefault="00C105F4" w:rsidP="00743985">
      <w:pPr>
        <w:spacing w:line="276" w:lineRule="auto"/>
        <w:ind w:firstLine="708"/>
        <w:rPr>
          <w:rFonts w:cs="Tahoma"/>
          <w:szCs w:val="24"/>
        </w:rPr>
      </w:pPr>
    </w:p>
    <w:p w14:paraId="6771322B" w14:textId="77777777" w:rsidR="002B1055" w:rsidRPr="00743985" w:rsidRDefault="002B1055" w:rsidP="00743985">
      <w:pPr>
        <w:spacing w:line="276" w:lineRule="auto"/>
        <w:ind w:firstLine="708"/>
        <w:rPr>
          <w:rFonts w:cs="Tahoma"/>
          <w:szCs w:val="24"/>
          <w:lang w:val="es-419"/>
        </w:rPr>
      </w:pPr>
      <w:r w:rsidRPr="00743985">
        <w:rPr>
          <w:rFonts w:cs="Tahoma"/>
          <w:szCs w:val="24"/>
        </w:rPr>
        <w:lastRenderedPageBreak/>
        <w:t xml:space="preserve">Recalcó su desacuerdo con (a) </w:t>
      </w:r>
      <w:r w:rsidRPr="00743985">
        <w:rPr>
          <w:rFonts w:cs="Tahoma"/>
          <w:szCs w:val="24"/>
          <w:lang w:val="es-419"/>
        </w:rPr>
        <w:t xml:space="preserve">la devolución de los </w:t>
      </w:r>
      <w:r w:rsidRPr="00743985">
        <w:rPr>
          <w:rFonts w:cs="Tahoma"/>
          <w:b/>
          <w:bCs/>
          <w:szCs w:val="24"/>
          <w:lang w:val="es-419"/>
        </w:rPr>
        <w:t>gastos de administración</w:t>
      </w:r>
      <w:r w:rsidRPr="00743985">
        <w:rPr>
          <w:rFonts w:cs="Tahoma"/>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w:t>
      </w:r>
      <w:r w:rsidRPr="00743985">
        <w:rPr>
          <w:rFonts w:cs="Tahoma"/>
          <w:b/>
          <w:bCs/>
          <w:szCs w:val="24"/>
          <w:lang w:val="es-419"/>
        </w:rPr>
        <w:t>prima de seguro previsional</w:t>
      </w:r>
      <w:r w:rsidRPr="00743985">
        <w:rPr>
          <w:rFonts w:cs="Tahoma"/>
          <w:szCs w:val="24"/>
          <w:lang w:val="es-419"/>
        </w:rPr>
        <w:t xml:space="preserve"> que eran primas encaminadas a proteger la suerte del demandante.</w:t>
      </w:r>
    </w:p>
    <w:p w14:paraId="7C9E8617" w14:textId="77777777" w:rsidR="002B1055" w:rsidRPr="00743985" w:rsidRDefault="002B1055" w:rsidP="00743985">
      <w:pPr>
        <w:spacing w:line="276" w:lineRule="auto"/>
        <w:ind w:firstLine="708"/>
        <w:rPr>
          <w:rFonts w:cs="Tahoma"/>
          <w:szCs w:val="24"/>
        </w:rPr>
      </w:pPr>
    </w:p>
    <w:p w14:paraId="688B24D4" w14:textId="77777777" w:rsidR="002B1055" w:rsidRPr="00743985" w:rsidRDefault="002B1055" w:rsidP="00743985">
      <w:pPr>
        <w:spacing w:line="276" w:lineRule="auto"/>
        <w:ind w:firstLine="708"/>
        <w:rPr>
          <w:rFonts w:cs="Tahoma"/>
          <w:szCs w:val="24"/>
        </w:rPr>
      </w:pPr>
      <w:r w:rsidRPr="00743985">
        <w:rPr>
          <w:rFonts w:cs="Tahoma"/>
          <w:szCs w:val="24"/>
        </w:rPr>
        <w:t>Señaló que para la fecha del traslado sólo se exigía la suscripción del formulario, y que al ordenar la ineficacia de la demandante se vulnera el derecho a la igualdad de esa sociedad, así como el debido proceso.</w:t>
      </w:r>
    </w:p>
    <w:p w14:paraId="3991DD6D" w14:textId="3D10B840" w:rsidR="000831AB" w:rsidRPr="00743985" w:rsidRDefault="000831AB" w:rsidP="00743985">
      <w:pPr>
        <w:spacing w:line="276" w:lineRule="auto"/>
        <w:ind w:firstLine="708"/>
        <w:rPr>
          <w:rFonts w:cs="Tahoma"/>
          <w:szCs w:val="24"/>
        </w:rPr>
      </w:pPr>
    </w:p>
    <w:p w14:paraId="457943EB" w14:textId="605995BB" w:rsidR="002B1055" w:rsidRPr="00743985" w:rsidRDefault="002B1055" w:rsidP="00743985">
      <w:pPr>
        <w:spacing w:line="276" w:lineRule="auto"/>
        <w:ind w:firstLine="708"/>
        <w:rPr>
          <w:rFonts w:cs="Tahoma"/>
          <w:szCs w:val="24"/>
        </w:rPr>
      </w:pPr>
      <w:r w:rsidRPr="00743985">
        <w:rPr>
          <w:rFonts w:cs="Tahoma"/>
          <w:szCs w:val="24"/>
        </w:rPr>
        <w:t>Por último, solicita que se la exonere del pago de las costas procesales al haber actuado con sujeción a la ley.</w:t>
      </w:r>
    </w:p>
    <w:p w14:paraId="67D214DA" w14:textId="77777777" w:rsidR="002B1055" w:rsidRPr="00743985" w:rsidRDefault="002B1055" w:rsidP="00743985">
      <w:pPr>
        <w:spacing w:line="276" w:lineRule="auto"/>
        <w:ind w:firstLine="708"/>
        <w:rPr>
          <w:rFonts w:cs="Tahoma"/>
          <w:szCs w:val="24"/>
        </w:rPr>
      </w:pPr>
    </w:p>
    <w:p w14:paraId="52363C76" w14:textId="5E82A473" w:rsidR="00F75D37" w:rsidRPr="00743985" w:rsidRDefault="00F75D37" w:rsidP="00743985">
      <w:pPr>
        <w:spacing w:line="276" w:lineRule="auto"/>
        <w:ind w:firstLine="708"/>
        <w:rPr>
          <w:rFonts w:eastAsia="Calibri" w:cs="Tahoma"/>
          <w:szCs w:val="24"/>
        </w:rPr>
      </w:pPr>
      <w:r w:rsidRPr="00743985">
        <w:rPr>
          <w:rFonts w:eastAsia="Calibri" w:cs="Tahoma"/>
          <w:b/>
          <w:bCs/>
          <w:szCs w:val="24"/>
          <w:lang w:val="es-ES"/>
        </w:rPr>
        <w:t>Colpensiones</w:t>
      </w:r>
      <w:r w:rsidRPr="00743985">
        <w:rPr>
          <w:rFonts w:eastAsia="Calibri" w:cs="Tahoma"/>
          <w:szCs w:val="24"/>
          <w:lang w:val="es-ES"/>
        </w:rPr>
        <w:t xml:space="preserve"> </w:t>
      </w:r>
      <w:r w:rsidRPr="00743985">
        <w:rPr>
          <w:rFonts w:eastAsia="Calibri" w:cs="Tahoma"/>
          <w:szCs w:val="24"/>
        </w:rPr>
        <w:t xml:space="preserve">en su alzada, atacó la decisión cimentando su inconformidad en que se cumplió con la totalidad de los requisitos normativos en el trámite de afiliación. Asimismo, señaló que la declaratoria de ineficacia del traslado causaría eventualmente un detrimento patrimonial para Colpensiones en el caso de que la demandante cumpla con los requisitos exigidos por la ley para una pensión vitalicia.  </w:t>
      </w:r>
    </w:p>
    <w:p w14:paraId="05BA4982" w14:textId="77777777" w:rsidR="00F75D37" w:rsidRPr="00743985" w:rsidRDefault="00F75D37" w:rsidP="00743985">
      <w:pPr>
        <w:spacing w:line="276" w:lineRule="auto"/>
        <w:ind w:firstLine="708"/>
        <w:rPr>
          <w:rFonts w:eastAsia="Calibri" w:cs="Tahoma"/>
          <w:szCs w:val="24"/>
        </w:rPr>
      </w:pPr>
    </w:p>
    <w:p w14:paraId="56A2B8B9" w14:textId="54EBBA53" w:rsidR="00F75D37" w:rsidRPr="00743985" w:rsidRDefault="00F75D37" w:rsidP="00743985">
      <w:pPr>
        <w:spacing w:line="276" w:lineRule="auto"/>
        <w:ind w:firstLine="708"/>
        <w:rPr>
          <w:rFonts w:eastAsia="Tahoma" w:cs="Tahoma"/>
          <w:szCs w:val="24"/>
          <w:lang w:val="es"/>
        </w:rPr>
      </w:pPr>
      <w:r w:rsidRPr="00743985">
        <w:rPr>
          <w:rFonts w:eastAsia="Tahoma" w:cs="Tahoma"/>
          <w:szCs w:val="24"/>
          <w:lang w:val="es"/>
        </w:rPr>
        <w:t>Igualmente, señaló que el trasladarse de una AFP a otra se considera un acto de relacionamiento según lo señalado en la sentencia SL 3752 del 2020 de la Sala de Casación Laboral de la Corte Suprema Justicia, acto con el cual mostró su voluntad de permanecer en el RAIS.</w:t>
      </w:r>
    </w:p>
    <w:p w14:paraId="7257F2B1" w14:textId="330669C3" w:rsidR="00F75D37" w:rsidRPr="00743985" w:rsidRDefault="00F75D37" w:rsidP="00743985">
      <w:pPr>
        <w:spacing w:line="276" w:lineRule="auto"/>
        <w:ind w:firstLine="708"/>
        <w:rPr>
          <w:rFonts w:eastAsia="Tahoma" w:cs="Tahoma"/>
          <w:szCs w:val="24"/>
          <w:lang w:val="es"/>
        </w:rPr>
      </w:pPr>
    </w:p>
    <w:p w14:paraId="18142241" w14:textId="763BB57A" w:rsidR="00F75D37" w:rsidRPr="00743985" w:rsidRDefault="00F75D37" w:rsidP="00743985">
      <w:pPr>
        <w:spacing w:line="276" w:lineRule="auto"/>
        <w:ind w:firstLine="708"/>
        <w:rPr>
          <w:rFonts w:eastAsia="Tahoma" w:cs="Tahoma"/>
          <w:szCs w:val="24"/>
          <w:lang w:val="es"/>
        </w:rPr>
      </w:pPr>
      <w:r w:rsidRPr="00743985">
        <w:rPr>
          <w:rFonts w:eastAsia="Tahoma" w:cs="Tahoma"/>
          <w:szCs w:val="24"/>
          <w:lang w:val="es"/>
        </w:rPr>
        <w:t xml:space="preserve">Por último, precisa que al encontrarse a menos de 10 años para acceder a la pensión, el demandante se encuentra en una prohibición legal </w:t>
      </w:r>
      <w:r w:rsidR="00BE6A9A" w:rsidRPr="00743985">
        <w:rPr>
          <w:rFonts w:eastAsia="Tahoma" w:cs="Tahoma"/>
          <w:szCs w:val="24"/>
          <w:lang w:val="es"/>
        </w:rPr>
        <w:t>para trasladarse de régimen.</w:t>
      </w:r>
    </w:p>
    <w:p w14:paraId="1FEAB344" w14:textId="09EBF346" w:rsidR="00652EED" w:rsidRPr="00743985" w:rsidRDefault="00652EED" w:rsidP="00743985">
      <w:pPr>
        <w:spacing w:line="276" w:lineRule="auto"/>
        <w:ind w:firstLine="708"/>
        <w:rPr>
          <w:rFonts w:cs="Tahoma"/>
          <w:szCs w:val="24"/>
        </w:rPr>
      </w:pPr>
    </w:p>
    <w:p w14:paraId="2FB7D62F" w14:textId="2CDE03AC" w:rsidR="00652EED" w:rsidRPr="00743985" w:rsidRDefault="00652EED" w:rsidP="00743985">
      <w:pPr>
        <w:pStyle w:val="Prrafodelista"/>
        <w:spacing w:line="276" w:lineRule="auto"/>
        <w:jc w:val="center"/>
        <w:rPr>
          <w:rFonts w:cs="Tahoma"/>
          <w:b/>
          <w:caps/>
          <w:szCs w:val="24"/>
        </w:rPr>
      </w:pPr>
      <w:r w:rsidRPr="00743985">
        <w:rPr>
          <w:rFonts w:cs="Tahoma"/>
          <w:b/>
          <w:szCs w:val="24"/>
        </w:rPr>
        <w:t xml:space="preserve">4.Alegatos de </w:t>
      </w:r>
      <w:r w:rsidRPr="00743985">
        <w:rPr>
          <w:rFonts w:cs="Tahoma"/>
          <w:b/>
          <w:bCs/>
          <w:szCs w:val="24"/>
        </w:rPr>
        <w:t>conclusión</w:t>
      </w:r>
    </w:p>
    <w:p w14:paraId="3AA09966" w14:textId="77777777" w:rsidR="00652EED" w:rsidRPr="00743985" w:rsidRDefault="00652EED" w:rsidP="00743985">
      <w:pPr>
        <w:widowControl w:val="0"/>
        <w:autoSpaceDE w:val="0"/>
        <w:autoSpaceDN w:val="0"/>
        <w:adjustRightInd w:val="0"/>
        <w:spacing w:line="276" w:lineRule="auto"/>
        <w:rPr>
          <w:rFonts w:cs="Tahoma"/>
          <w:szCs w:val="24"/>
        </w:rPr>
      </w:pPr>
    </w:p>
    <w:p w14:paraId="03381505" w14:textId="00C86F8B" w:rsidR="00B73E34" w:rsidRPr="00743985" w:rsidRDefault="00B73E34" w:rsidP="00743985">
      <w:pPr>
        <w:spacing w:line="276" w:lineRule="auto"/>
        <w:ind w:firstLine="360"/>
        <w:rPr>
          <w:rFonts w:cs="Tahoma"/>
          <w:szCs w:val="24"/>
        </w:rPr>
      </w:pPr>
      <w:r w:rsidRPr="00743985">
        <w:rPr>
          <w:rFonts w:cs="Tahoma"/>
          <w:szCs w:val="24"/>
        </w:rPr>
        <w:t>Analizados los alegatos presentados por las partes mediante escritos que obran en el expediente digital y al cual nos remitimos por economía procesal en virtud del artículo 280 del C.G.P., la Sala encuentra que los argumentos fácticos y jurídicos expresados concuerdan con los puntos objeto de discusión en esta instancia y se relacionan con los problemas jurídicos que se expresan más adelante. De otra parte, el Ministerio Público NO rindió concepto.</w:t>
      </w:r>
    </w:p>
    <w:p w14:paraId="09FA9761" w14:textId="77777777" w:rsidR="00B73E34" w:rsidRPr="00743985" w:rsidRDefault="00B73E34" w:rsidP="00743985">
      <w:pPr>
        <w:spacing w:line="276" w:lineRule="auto"/>
        <w:ind w:firstLine="360"/>
        <w:rPr>
          <w:rFonts w:cs="Tahoma"/>
          <w:szCs w:val="24"/>
        </w:rPr>
      </w:pPr>
    </w:p>
    <w:p w14:paraId="2D902B02" w14:textId="475694DA" w:rsidR="00652EED" w:rsidRPr="00743985" w:rsidRDefault="00652EED" w:rsidP="00743985">
      <w:pPr>
        <w:spacing w:line="276" w:lineRule="auto"/>
        <w:ind w:left="360"/>
        <w:jc w:val="center"/>
        <w:rPr>
          <w:rFonts w:cs="Tahoma"/>
          <w:b/>
          <w:szCs w:val="24"/>
        </w:rPr>
      </w:pPr>
      <w:r w:rsidRPr="00743985">
        <w:rPr>
          <w:rFonts w:cs="Tahoma"/>
          <w:b/>
          <w:bCs/>
          <w:szCs w:val="24"/>
        </w:rPr>
        <w:t>5. Problemas</w:t>
      </w:r>
      <w:r w:rsidRPr="00743985">
        <w:rPr>
          <w:rStyle w:val="normaltextrun"/>
          <w:rFonts w:cs="Tahoma"/>
          <w:b/>
          <w:bCs/>
          <w:szCs w:val="24"/>
        </w:rPr>
        <w:t xml:space="preserve"> jurídicos por resolver</w:t>
      </w:r>
    </w:p>
    <w:p w14:paraId="39A56C18" w14:textId="77777777" w:rsidR="00B4431F" w:rsidRPr="00743985" w:rsidRDefault="00B4431F" w:rsidP="00743985">
      <w:pPr>
        <w:pStyle w:val="paragraph"/>
        <w:tabs>
          <w:tab w:val="left" w:pos="700"/>
        </w:tabs>
        <w:spacing w:before="0" w:beforeAutospacing="0" w:after="0" w:afterAutospacing="0" w:line="276" w:lineRule="auto"/>
        <w:textAlignment w:val="baseline"/>
        <w:rPr>
          <w:rFonts w:ascii="Tahoma" w:hAnsi="Tahoma" w:cs="Tahoma"/>
        </w:rPr>
      </w:pPr>
    </w:p>
    <w:p w14:paraId="68B616F7" w14:textId="03A89241" w:rsidR="00692FFC" w:rsidRPr="00743985" w:rsidRDefault="00B4431F" w:rsidP="00743985">
      <w:pPr>
        <w:spacing w:line="276" w:lineRule="auto"/>
        <w:ind w:firstLine="708"/>
        <w:rPr>
          <w:rFonts w:cs="Tahoma"/>
          <w:szCs w:val="24"/>
        </w:rPr>
      </w:pPr>
      <w:r w:rsidRPr="00743985">
        <w:rPr>
          <w:rFonts w:cs="Tahoma"/>
          <w:szCs w:val="24"/>
        </w:rPr>
        <w:t xml:space="preserve">De acuerdo con los argumentos expuestos en la sentencia de primera instancia, los fundamentos de la apelación y los alegatos de conclusión, le corresponde a la Sala resolver los siguientes problemas jurídicos: </w:t>
      </w:r>
    </w:p>
    <w:p w14:paraId="1A5A02E4" w14:textId="77777777" w:rsidR="00F276FA" w:rsidRPr="00743985" w:rsidRDefault="00F276FA" w:rsidP="00743985">
      <w:pPr>
        <w:spacing w:line="276" w:lineRule="auto"/>
        <w:ind w:firstLine="708"/>
        <w:rPr>
          <w:rFonts w:eastAsia="Tahoma" w:cs="Tahoma"/>
          <w:szCs w:val="24"/>
        </w:rPr>
      </w:pPr>
    </w:p>
    <w:p w14:paraId="0A2D98C2" w14:textId="77777777" w:rsidR="00F276FA" w:rsidRPr="00743985" w:rsidRDefault="00F276FA" w:rsidP="00743985">
      <w:pPr>
        <w:numPr>
          <w:ilvl w:val="0"/>
          <w:numId w:val="4"/>
        </w:numPr>
        <w:spacing w:line="276" w:lineRule="auto"/>
        <w:rPr>
          <w:rFonts w:eastAsia="Tahoma" w:cs="Tahoma"/>
          <w:szCs w:val="24"/>
          <w:lang w:val="es-ES"/>
        </w:rPr>
      </w:pPr>
      <w:r w:rsidRPr="00743985">
        <w:rPr>
          <w:rFonts w:eastAsia="Tahoma" w:cs="Tahoma"/>
          <w:szCs w:val="24"/>
          <w:lang w:val="es"/>
        </w:rPr>
        <w:t xml:space="preserve">Establecer si para el momento en que la parte actora efectuó el traslado del régimen de prima media al régimen de ahorro individual, existía normatividad </w:t>
      </w:r>
      <w:r w:rsidRPr="00743985">
        <w:rPr>
          <w:rFonts w:eastAsia="Tahoma" w:cs="Tahoma"/>
          <w:szCs w:val="24"/>
          <w:lang w:val="es"/>
        </w:rPr>
        <w:lastRenderedPageBreak/>
        <w:t>vigente que obligaba a la entidad administradora de pensiones a brindarle al potencial afiliado información suficiente sobre las consecuencias del cambio de régimen.</w:t>
      </w:r>
    </w:p>
    <w:p w14:paraId="1249F93C" w14:textId="77777777" w:rsidR="00F276FA" w:rsidRPr="00743985" w:rsidRDefault="00F276FA" w:rsidP="00743985">
      <w:pPr>
        <w:spacing w:line="276" w:lineRule="auto"/>
        <w:ind w:firstLine="708"/>
        <w:rPr>
          <w:rFonts w:eastAsia="Tahoma" w:cs="Tahoma"/>
          <w:szCs w:val="24"/>
        </w:rPr>
      </w:pPr>
      <w:r w:rsidRPr="00743985">
        <w:rPr>
          <w:rFonts w:eastAsia="Tahoma" w:cs="Tahoma"/>
          <w:szCs w:val="24"/>
          <w:lang w:val="es"/>
        </w:rPr>
        <w:t xml:space="preserve"> </w:t>
      </w:r>
    </w:p>
    <w:p w14:paraId="3AEB3376" w14:textId="77777777" w:rsidR="00F276FA" w:rsidRPr="00743985" w:rsidRDefault="00F276FA" w:rsidP="00743985">
      <w:pPr>
        <w:numPr>
          <w:ilvl w:val="0"/>
          <w:numId w:val="4"/>
        </w:numPr>
        <w:spacing w:line="276" w:lineRule="auto"/>
        <w:rPr>
          <w:rFonts w:eastAsia="Tahoma" w:cs="Tahoma"/>
          <w:szCs w:val="24"/>
          <w:lang w:val="es-ES"/>
        </w:rPr>
      </w:pPr>
      <w:r w:rsidRPr="00743985">
        <w:rPr>
          <w:rFonts w:eastAsia="Tahoma" w:cs="Tahoma"/>
          <w:szCs w:val="24"/>
          <w:lang w:val="es"/>
        </w:rPr>
        <w:t xml:space="preserve">Definir si para dar por cumplido el deber de información de las </w:t>
      </w:r>
      <w:proofErr w:type="spellStart"/>
      <w:r w:rsidRPr="00743985">
        <w:rPr>
          <w:rFonts w:eastAsia="Tahoma" w:cs="Tahoma"/>
          <w:szCs w:val="24"/>
          <w:lang w:val="es"/>
        </w:rPr>
        <w:t>AFPs</w:t>
      </w:r>
      <w:proofErr w:type="spellEnd"/>
      <w:r w:rsidRPr="00743985">
        <w:rPr>
          <w:rFonts w:eastAsia="Tahoma" w:cs="Tahoma"/>
          <w:szCs w:val="24"/>
          <w:lang w:val="es"/>
        </w:rPr>
        <w:t xml:space="preserve"> es suficiente el diligenciamiento del formulario de afiliación. </w:t>
      </w:r>
    </w:p>
    <w:p w14:paraId="6C220656" w14:textId="77777777" w:rsidR="00F276FA" w:rsidRPr="00743985" w:rsidRDefault="00F276FA" w:rsidP="00743985">
      <w:pPr>
        <w:spacing w:line="276" w:lineRule="auto"/>
        <w:ind w:firstLine="708"/>
        <w:rPr>
          <w:rFonts w:eastAsia="Tahoma" w:cs="Tahoma"/>
          <w:szCs w:val="24"/>
        </w:rPr>
      </w:pPr>
      <w:r w:rsidRPr="00743985">
        <w:rPr>
          <w:rFonts w:eastAsia="Tahoma" w:cs="Tahoma"/>
          <w:szCs w:val="24"/>
          <w:lang w:val="es"/>
        </w:rPr>
        <w:t xml:space="preserve"> </w:t>
      </w:r>
    </w:p>
    <w:p w14:paraId="705A1497" w14:textId="77777777" w:rsidR="00F276FA" w:rsidRPr="00743985" w:rsidRDefault="00F276FA" w:rsidP="00743985">
      <w:pPr>
        <w:numPr>
          <w:ilvl w:val="0"/>
          <w:numId w:val="4"/>
        </w:numPr>
        <w:spacing w:line="276" w:lineRule="auto"/>
        <w:rPr>
          <w:rFonts w:eastAsia="Tahoma" w:cs="Tahoma"/>
          <w:szCs w:val="24"/>
          <w:lang w:val="es-ES"/>
        </w:rPr>
      </w:pPr>
      <w:r w:rsidRPr="00743985">
        <w:rPr>
          <w:rFonts w:eastAsia="Tahoma" w:cs="Tahoma"/>
          <w:szCs w:val="24"/>
          <w:lang w:val="es"/>
        </w:rPr>
        <w:t xml:space="preserve"> Determinar la carga probatoria que les corresponde a cada una de las partes cuando está en discusión la eficacia del traslado entre regímenes pensionales.</w:t>
      </w:r>
    </w:p>
    <w:p w14:paraId="4AD4CEBB" w14:textId="77777777" w:rsidR="00F276FA" w:rsidRPr="00743985" w:rsidRDefault="00F276FA" w:rsidP="00743985">
      <w:pPr>
        <w:spacing w:line="276" w:lineRule="auto"/>
        <w:ind w:firstLine="708"/>
        <w:rPr>
          <w:rFonts w:eastAsia="Tahoma" w:cs="Tahoma"/>
          <w:szCs w:val="24"/>
        </w:rPr>
      </w:pPr>
      <w:r w:rsidRPr="00743985">
        <w:rPr>
          <w:rFonts w:eastAsia="Tahoma" w:cs="Tahoma"/>
          <w:szCs w:val="24"/>
          <w:lang w:val="es"/>
        </w:rPr>
        <w:t xml:space="preserve"> </w:t>
      </w:r>
    </w:p>
    <w:p w14:paraId="610BA8BC" w14:textId="77777777" w:rsidR="00F276FA" w:rsidRPr="00743985" w:rsidRDefault="00F276FA" w:rsidP="00743985">
      <w:pPr>
        <w:numPr>
          <w:ilvl w:val="0"/>
          <w:numId w:val="4"/>
        </w:numPr>
        <w:spacing w:line="276" w:lineRule="auto"/>
        <w:rPr>
          <w:rFonts w:eastAsia="Tahoma" w:cs="Tahoma"/>
          <w:szCs w:val="24"/>
          <w:lang w:val="es-ES"/>
        </w:rPr>
      </w:pPr>
      <w:r w:rsidRPr="00743985">
        <w:rPr>
          <w:rFonts w:eastAsia="Tahoma" w:cs="Tahoma"/>
          <w:szCs w:val="24"/>
          <w:lang w:val="es"/>
        </w:rPr>
        <w:t xml:space="preserve">Analizar si quedó probado en el proceso que la parte demandante recibió de parte de las </w:t>
      </w:r>
      <w:proofErr w:type="spellStart"/>
      <w:r w:rsidRPr="00743985">
        <w:rPr>
          <w:rFonts w:eastAsia="Tahoma" w:cs="Tahoma"/>
          <w:szCs w:val="24"/>
          <w:lang w:val="es"/>
        </w:rPr>
        <w:t>AFPs</w:t>
      </w:r>
      <w:proofErr w:type="spellEnd"/>
      <w:r w:rsidRPr="00743985">
        <w:rPr>
          <w:rFonts w:eastAsia="Tahoma" w:cs="Tahoma"/>
          <w:szCs w:val="24"/>
          <w:lang w:val="es"/>
        </w:rPr>
        <w:t xml:space="preserve"> demandadas, la asesoría e información suficiente y necesaria para hacer el cambio de régimen. </w:t>
      </w:r>
    </w:p>
    <w:p w14:paraId="4400C179" w14:textId="77777777" w:rsidR="00B47FCC" w:rsidRPr="00743985" w:rsidRDefault="00B47FCC" w:rsidP="00743985">
      <w:pPr>
        <w:spacing w:line="276" w:lineRule="auto"/>
        <w:ind w:left="720"/>
        <w:rPr>
          <w:rFonts w:eastAsia="Tahoma" w:cs="Tahoma"/>
          <w:szCs w:val="24"/>
          <w:lang w:val="es-ES"/>
        </w:rPr>
      </w:pPr>
    </w:p>
    <w:p w14:paraId="36177A5C" w14:textId="77777777" w:rsidR="00F276FA" w:rsidRPr="00743985" w:rsidRDefault="00F276FA" w:rsidP="00743985">
      <w:pPr>
        <w:numPr>
          <w:ilvl w:val="0"/>
          <w:numId w:val="4"/>
        </w:numPr>
        <w:spacing w:line="276" w:lineRule="auto"/>
        <w:rPr>
          <w:rFonts w:eastAsia="Tahoma" w:cs="Tahoma"/>
          <w:szCs w:val="24"/>
          <w:lang w:val="es-ES"/>
        </w:rPr>
      </w:pPr>
      <w:r w:rsidRPr="00743985">
        <w:rPr>
          <w:rFonts w:eastAsia="Tahoma" w:cs="Tahoma"/>
          <w:szCs w:val="24"/>
          <w:lang w:val="es-ES"/>
        </w:rPr>
        <w:t>Establecer si el movimiento de los afiliados dentro del régimen de ahorro individual con solidaridad convalida el traslado inicial efectuado desde el RPM hacia el RAIS.  </w:t>
      </w:r>
    </w:p>
    <w:p w14:paraId="3DBDF530" w14:textId="77777777" w:rsidR="00F276FA" w:rsidRPr="00743985" w:rsidRDefault="00F276FA" w:rsidP="00743985">
      <w:pPr>
        <w:spacing w:line="276" w:lineRule="auto"/>
        <w:ind w:firstLine="708"/>
        <w:rPr>
          <w:rFonts w:eastAsia="Tahoma" w:cs="Tahoma"/>
          <w:szCs w:val="24"/>
          <w:lang w:val="es-ES"/>
        </w:rPr>
      </w:pPr>
    </w:p>
    <w:p w14:paraId="3B73FD24" w14:textId="77777777" w:rsidR="00F276FA" w:rsidRPr="00743985" w:rsidRDefault="00F276FA" w:rsidP="00743985">
      <w:pPr>
        <w:numPr>
          <w:ilvl w:val="0"/>
          <w:numId w:val="4"/>
        </w:numPr>
        <w:spacing w:line="276" w:lineRule="auto"/>
        <w:rPr>
          <w:rFonts w:eastAsia="Tahoma" w:cs="Tahoma"/>
          <w:szCs w:val="24"/>
          <w:lang w:val="es-ES"/>
        </w:rPr>
      </w:pPr>
      <w:r w:rsidRPr="00743985">
        <w:rPr>
          <w:rFonts w:eastAsia="Tahoma" w:cs="Tahoma"/>
          <w:szCs w:val="24"/>
          <w:lang w:val="es-ES"/>
        </w:rPr>
        <w:t>Determinar si hay razón suficiente para apartarse del precedente jurisprudencial existente frente a la ineficacia del traslado de régimen.</w:t>
      </w:r>
    </w:p>
    <w:p w14:paraId="6BC32B96" w14:textId="77777777" w:rsidR="00F276FA" w:rsidRPr="00743985" w:rsidRDefault="00F276FA" w:rsidP="00743985">
      <w:pPr>
        <w:spacing w:line="276" w:lineRule="auto"/>
        <w:ind w:firstLine="708"/>
        <w:rPr>
          <w:rFonts w:eastAsia="Tahoma" w:cs="Tahoma"/>
          <w:szCs w:val="24"/>
        </w:rPr>
      </w:pPr>
    </w:p>
    <w:p w14:paraId="396C0DB5" w14:textId="77777777" w:rsidR="00F276FA" w:rsidRPr="00743985" w:rsidRDefault="00F276FA" w:rsidP="00743985">
      <w:pPr>
        <w:numPr>
          <w:ilvl w:val="0"/>
          <w:numId w:val="4"/>
        </w:numPr>
        <w:spacing w:line="276" w:lineRule="auto"/>
        <w:rPr>
          <w:rFonts w:eastAsia="Tahoma" w:cs="Tahoma"/>
          <w:szCs w:val="24"/>
          <w:lang w:val="es-ES"/>
        </w:rPr>
      </w:pPr>
      <w:r w:rsidRPr="00743985">
        <w:rPr>
          <w:rFonts w:eastAsia="Tahoma" w:cs="Tahoma"/>
          <w:szCs w:val="24"/>
          <w:lang w:val="es"/>
        </w:rPr>
        <w:t xml:space="preserve">Establecer si es dable ordenar a las </w:t>
      </w:r>
      <w:proofErr w:type="spellStart"/>
      <w:r w:rsidRPr="00743985">
        <w:rPr>
          <w:rFonts w:eastAsia="Tahoma" w:cs="Tahoma"/>
          <w:szCs w:val="24"/>
          <w:lang w:val="es"/>
        </w:rPr>
        <w:t>AFPs</w:t>
      </w:r>
      <w:proofErr w:type="spellEnd"/>
      <w:r w:rsidRPr="00743985">
        <w:rPr>
          <w:rFonts w:eastAsia="Tahoma" w:cs="Tahoma"/>
          <w:szCs w:val="24"/>
          <w:lang w:val="es"/>
        </w:rPr>
        <w:t xml:space="preserve"> demandada la devolución, con cargo a sus propios recursos de los gastos de administración, comisiones</w:t>
      </w:r>
      <w:bookmarkStart w:id="5" w:name="_Hlk77058474"/>
      <w:r w:rsidRPr="00743985">
        <w:rPr>
          <w:rFonts w:eastAsia="Tahoma" w:cs="Tahoma"/>
          <w:szCs w:val="24"/>
          <w:lang w:val="es"/>
        </w:rPr>
        <w:t>, cuotas de garantía de pensión mínima y seguros previsionales a Colpensiones.</w:t>
      </w:r>
      <w:bookmarkEnd w:id="5"/>
    </w:p>
    <w:p w14:paraId="4DA71587" w14:textId="32085F72" w:rsidR="00F276FA" w:rsidRPr="00743985" w:rsidRDefault="00F276FA" w:rsidP="00743985">
      <w:pPr>
        <w:spacing w:line="276" w:lineRule="auto"/>
        <w:ind w:firstLine="708"/>
        <w:rPr>
          <w:rFonts w:eastAsia="Tahoma" w:cs="Tahoma"/>
          <w:szCs w:val="24"/>
        </w:rPr>
      </w:pPr>
      <w:r w:rsidRPr="00743985">
        <w:rPr>
          <w:rFonts w:eastAsia="Tahoma" w:cs="Tahoma"/>
          <w:szCs w:val="24"/>
          <w:lang w:val="es"/>
        </w:rPr>
        <w:t xml:space="preserve"> </w:t>
      </w:r>
    </w:p>
    <w:p w14:paraId="1DF1A7CC" w14:textId="4C249D20" w:rsidR="00F276FA" w:rsidRPr="00743985" w:rsidRDefault="00F276FA" w:rsidP="00743985">
      <w:pPr>
        <w:numPr>
          <w:ilvl w:val="0"/>
          <w:numId w:val="4"/>
        </w:numPr>
        <w:spacing w:line="276" w:lineRule="auto"/>
        <w:rPr>
          <w:rFonts w:eastAsia="Tahoma" w:cs="Tahoma"/>
          <w:szCs w:val="24"/>
          <w:lang w:val="es"/>
        </w:rPr>
      </w:pPr>
      <w:r w:rsidRPr="00743985">
        <w:rPr>
          <w:rFonts w:eastAsia="Tahoma" w:cs="Tahoma"/>
          <w:szCs w:val="24"/>
          <w:lang w:val="es"/>
        </w:rPr>
        <w:t>Determinar si hay lugar a exonerar en costas de primer grado a Porvenir y Protección S.A</w:t>
      </w:r>
    </w:p>
    <w:p w14:paraId="14A2A0CF" w14:textId="7421D809" w:rsidR="00704D10" w:rsidRPr="00743985" w:rsidRDefault="00704D10" w:rsidP="00743985">
      <w:pPr>
        <w:spacing w:line="276" w:lineRule="auto"/>
        <w:ind w:firstLine="708"/>
        <w:rPr>
          <w:rFonts w:cs="Tahoma"/>
          <w:b/>
          <w:szCs w:val="24"/>
        </w:rPr>
      </w:pPr>
    </w:p>
    <w:p w14:paraId="3256ED24" w14:textId="77777777" w:rsidR="000263F9" w:rsidRPr="00743985" w:rsidRDefault="000263F9" w:rsidP="00743985">
      <w:pPr>
        <w:numPr>
          <w:ilvl w:val="0"/>
          <w:numId w:val="5"/>
        </w:numPr>
        <w:spacing w:line="276" w:lineRule="auto"/>
        <w:jc w:val="center"/>
        <w:rPr>
          <w:rFonts w:cs="Tahoma"/>
          <w:b/>
          <w:bCs/>
          <w:szCs w:val="24"/>
        </w:rPr>
      </w:pPr>
      <w:r w:rsidRPr="00743985">
        <w:rPr>
          <w:rFonts w:cs="Tahoma"/>
          <w:b/>
          <w:bCs/>
          <w:szCs w:val="24"/>
        </w:rPr>
        <w:t>Consideraciones</w:t>
      </w:r>
    </w:p>
    <w:p w14:paraId="1D6477DC" w14:textId="77777777" w:rsidR="000263F9" w:rsidRPr="00743985" w:rsidRDefault="000263F9" w:rsidP="00743985">
      <w:pPr>
        <w:spacing w:line="276" w:lineRule="auto"/>
        <w:ind w:firstLine="708"/>
        <w:rPr>
          <w:rFonts w:cs="Tahoma"/>
          <w:b/>
          <w:szCs w:val="24"/>
        </w:rPr>
      </w:pPr>
    </w:p>
    <w:p w14:paraId="2441BAC3" w14:textId="77777777" w:rsidR="005E7342" w:rsidRPr="005E7342" w:rsidRDefault="005E7342" w:rsidP="005E7342">
      <w:pPr>
        <w:widowControl w:val="0"/>
        <w:numPr>
          <w:ilvl w:val="1"/>
          <w:numId w:val="5"/>
        </w:numPr>
        <w:autoSpaceDE w:val="0"/>
        <w:autoSpaceDN w:val="0"/>
        <w:adjustRightInd w:val="0"/>
        <w:spacing w:line="276" w:lineRule="auto"/>
        <w:rPr>
          <w:rFonts w:eastAsia="Calibri" w:cs="Tahoma"/>
          <w:b/>
          <w:szCs w:val="24"/>
        </w:rPr>
      </w:pPr>
      <w:r w:rsidRPr="005E7342">
        <w:rPr>
          <w:rFonts w:eastAsia="Calibri" w:cs="Tahoma"/>
          <w:b/>
          <w:szCs w:val="24"/>
        </w:rPr>
        <w:t xml:space="preserve">Precedente vertical: la tesis de la Corte Suprema de Justicia respecto al tema de la ineficacia del traslado constituye doctrina probable </w:t>
      </w:r>
    </w:p>
    <w:p w14:paraId="08A6879C"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77AD2B0F"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szCs w:val="24"/>
        </w:rPr>
        <w:t xml:space="preserve">En la actualidad existe </w:t>
      </w:r>
      <w:r w:rsidRPr="005E7342">
        <w:rPr>
          <w:rFonts w:eastAsia="Calibri" w:cs="Tahoma"/>
          <w:b/>
          <w:szCs w:val="24"/>
        </w:rPr>
        <w:t>doctrina probable</w:t>
      </w:r>
      <w:r w:rsidRPr="005E7342">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4959D1EA"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15D6D467"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bCs/>
          <w:szCs w:val="24"/>
        </w:rPr>
        <w:t xml:space="preserve">SL 31989 del 9 sep. 2008, </w:t>
      </w:r>
      <w:r w:rsidRPr="005E7342">
        <w:rPr>
          <w:rFonts w:eastAsia="Calibri" w:cs="Tahoma"/>
          <w:szCs w:val="24"/>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w:t>
      </w:r>
      <w:r w:rsidRPr="005E7342">
        <w:rPr>
          <w:rFonts w:eastAsia="Calibri" w:cs="Tahoma"/>
          <w:szCs w:val="24"/>
        </w:rPr>
        <w:lastRenderedPageBreak/>
        <w:t>SL2865-2019, Sentencia  SL2955-2019, Sentencia  SL2324-2019.</w:t>
      </w:r>
    </w:p>
    <w:p w14:paraId="6D9F3773"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101F3449"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szCs w:val="24"/>
        </w:rPr>
        <w:t xml:space="preserve">En términos generales, en todas estas sentencias se determinó </w:t>
      </w:r>
      <w:r w:rsidRPr="005E7342">
        <w:rPr>
          <w:rFonts w:eastAsia="Calibri" w:cs="Tahoma"/>
          <w:i/>
          <w:szCs w:val="24"/>
        </w:rPr>
        <w:t xml:space="preserve">i) </w:t>
      </w:r>
      <w:r w:rsidRPr="005E7342">
        <w:rPr>
          <w:rFonts w:eastAsia="Calibri" w:cs="Tahoma"/>
          <w:szCs w:val="24"/>
        </w:rPr>
        <w:t xml:space="preserve">el alcance del deber de información a cargo de las Administradoras de Fondos de Pensiones, </w:t>
      </w:r>
      <w:r w:rsidRPr="005E7342">
        <w:rPr>
          <w:rFonts w:eastAsia="Calibri" w:cs="Tahoma"/>
          <w:i/>
          <w:szCs w:val="24"/>
        </w:rPr>
        <w:t xml:space="preserve">ii) </w:t>
      </w:r>
      <w:r w:rsidRPr="005E7342">
        <w:rPr>
          <w:rFonts w:eastAsia="Calibri" w:cs="Tahoma"/>
          <w:szCs w:val="24"/>
        </w:rPr>
        <w:t xml:space="preserve">la procedencia de la ineficacia del traslado, </w:t>
      </w:r>
      <w:r w:rsidRPr="005E7342">
        <w:rPr>
          <w:rFonts w:eastAsia="Calibri" w:cs="Tahoma"/>
          <w:i/>
          <w:szCs w:val="24"/>
        </w:rPr>
        <w:t xml:space="preserve">iii) </w:t>
      </w:r>
      <w:r w:rsidRPr="005E7342">
        <w:rPr>
          <w:rFonts w:eastAsia="Calibri"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8259197"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744F02C1" w14:textId="77777777" w:rsidR="005E7342" w:rsidRPr="005E7342" w:rsidRDefault="005E7342" w:rsidP="005E7342">
      <w:pPr>
        <w:widowControl w:val="0"/>
        <w:numPr>
          <w:ilvl w:val="1"/>
          <w:numId w:val="5"/>
        </w:numPr>
        <w:autoSpaceDE w:val="0"/>
        <w:autoSpaceDN w:val="0"/>
        <w:adjustRightInd w:val="0"/>
        <w:spacing w:line="276" w:lineRule="auto"/>
        <w:jc w:val="left"/>
        <w:rPr>
          <w:rFonts w:eastAsia="Calibri" w:cs="Tahoma"/>
          <w:b/>
          <w:iCs/>
          <w:szCs w:val="24"/>
        </w:rPr>
      </w:pPr>
      <w:r w:rsidRPr="005E7342">
        <w:rPr>
          <w:rFonts w:eastAsia="Calibri" w:cs="Tahoma"/>
          <w:b/>
          <w:iCs/>
          <w:szCs w:val="24"/>
        </w:rPr>
        <w:t>“El deber de información a cargo de las administradoras de fondos de pensiones: Un deber exigible desde su creación</w:t>
      </w:r>
      <w:r w:rsidRPr="005E7342">
        <w:rPr>
          <w:rFonts w:eastAsia="Calibri" w:cs="Tahoma"/>
          <w:b/>
          <w:iCs/>
          <w:szCs w:val="24"/>
          <w:vertAlign w:val="superscript"/>
        </w:rPr>
        <w:footnoteReference w:id="1"/>
      </w:r>
      <w:r w:rsidRPr="005E7342">
        <w:rPr>
          <w:rFonts w:eastAsia="Calibri" w:cs="Tahoma"/>
          <w:b/>
          <w:iCs/>
          <w:szCs w:val="24"/>
        </w:rPr>
        <w:t>”</w:t>
      </w:r>
    </w:p>
    <w:p w14:paraId="16298919" w14:textId="77777777" w:rsidR="005E7342" w:rsidRPr="005E7342" w:rsidRDefault="005E7342" w:rsidP="005E7342">
      <w:pPr>
        <w:widowControl w:val="0"/>
        <w:autoSpaceDE w:val="0"/>
        <w:autoSpaceDN w:val="0"/>
        <w:adjustRightInd w:val="0"/>
        <w:spacing w:line="276" w:lineRule="auto"/>
        <w:ind w:firstLine="284"/>
        <w:rPr>
          <w:rFonts w:eastAsia="Calibri" w:cs="Tahoma"/>
          <w:i/>
          <w:szCs w:val="24"/>
        </w:rPr>
      </w:pPr>
    </w:p>
    <w:p w14:paraId="527D359C"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szCs w:val="24"/>
        </w:rPr>
        <w:t xml:space="preserve">Dado que las Administradoras de Fondos de Pensiones son organismos profesionales, resulta aplicable el artículo 1604 del Código Civil, según el cual la prueba de la </w:t>
      </w:r>
      <w:r w:rsidRPr="005E7342">
        <w:rPr>
          <w:rFonts w:eastAsia="Calibri" w:cs="Tahoma"/>
          <w:szCs w:val="24"/>
          <w:u w:val="single"/>
        </w:rPr>
        <w:t>debida diligencia y cuidado</w:t>
      </w:r>
      <w:r w:rsidRPr="005E7342">
        <w:rPr>
          <w:rFonts w:eastAsia="Calibri" w:cs="Tahoma"/>
          <w:szCs w:val="24"/>
        </w:rPr>
        <w:t xml:space="preserve"> incumbe a quien ha debido emplearla, atendiendo a las siguientes razones:</w:t>
      </w:r>
    </w:p>
    <w:p w14:paraId="287E7DFC" w14:textId="77777777" w:rsidR="005E7342" w:rsidRPr="005E7342" w:rsidRDefault="005E7342" w:rsidP="005E7342">
      <w:pPr>
        <w:widowControl w:val="0"/>
        <w:autoSpaceDE w:val="0"/>
        <w:autoSpaceDN w:val="0"/>
        <w:adjustRightInd w:val="0"/>
        <w:spacing w:line="276" w:lineRule="auto"/>
        <w:ind w:firstLine="284"/>
        <w:rPr>
          <w:rFonts w:eastAsia="Calibri" w:cs="Tahoma"/>
          <w:b/>
          <w:szCs w:val="24"/>
        </w:rPr>
      </w:pPr>
    </w:p>
    <w:p w14:paraId="17B3FDFF"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b/>
          <w:szCs w:val="24"/>
        </w:rPr>
        <w:t>1)</w:t>
      </w:r>
      <w:r w:rsidRPr="005E7342">
        <w:rPr>
          <w:rFonts w:eastAsia="Calibri" w:cs="Tahoma"/>
          <w:szCs w:val="24"/>
        </w:rPr>
        <w:t xml:space="preserve"> Las Administradoras de Fondos de Pensiones tienen deberes de carácter profesional con sus afiliados y con los consumidores del mercado potencial en general. Además, sus actividades se encuentran reguladas por el </w:t>
      </w:r>
      <w:r w:rsidRPr="005E7342">
        <w:rPr>
          <w:rFonts w:eastAsia="Calibri" w:cs="Tahoma"/>
          <w:szCs w:val="24"/>
          <w:u w:val="single"/>
        </w:rPr>
        <w:t>Decreto 663 de 1993</w:t>
      </w:r>
      <w:r w:rsidRPr="005E7342">
        <w:rPr>
          <w:rFonts w:eastAsia="Calibri" w:cs="Tahoma"/>
          <w:szCs w:val="24"/>
          <w:u w:val="single"/>
          <w:vertAlign w:val="superscript"/>
        </w:rPr>
        <w:footnoteReference w:id="2"/>
      </w:r>
      <w:r w:rsidRPr="005E7342">
        <w:rPr>
          <w:rFonts w:eastAsia="Calibri" w:cs="Tahoma"/>
          <w:szCs w:val="24"/>
        </w:rPr>
        <w:t>, norma en la que se destaca la importancia de los principios de debida diligencia, transparencia e información cierta, suficiente y oportuna.</w:t>
      </w:r>
    </w:p>
    <w:p w14:paraId="6F23E41E"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4EF353D9"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b/>
          <w:szCs w:val="24"/>
        </w:rPr>
        <w:t>2)</w:t>
      </w:r>
      <w:r w:rsidRPr="005E7342">
        <w:rPr>
          <w:rFonts w:eastAsia="Calibri" w:cs="Tahoma"/>
          <w:szCs w:val="24"/>
        </w:rPr>
        <w:t xml:space="preserve"> Adicionalmente, se tiene previsto en el artículo 12 del Decreto 720 de 1994, que los promotores que empleen las sociedades administradoras del sistema general de pensiones deberán suministrar </w:t>
      </w:r>
      <w:r w:rsidRPr="005E7342">
        <w:rPr>
          <w:rFonts w:eastAsia="Calibri" w:cs="Tahoma"/>
          <w:szCs w:val="24"/>
          <w:u w:val="single"/>
        </w:rPr>
        <w:t>suficiente, amplia y oportuna</w:t>
      </w:r>
      <w:r w:rsidRPr="005E7342">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67E49CE6"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48640111" w14:textId="77777777" w:rsidR="005E7342" w:rsidRPr="005E7342" w:rsidRDefault="005E7342" w:rsidP="005E7342">
      <w:pPr>
        <w:widowControl w:val="0"/>
        <w:autoSpaceDE w:val="0"/>
        <w:autoSpaceDN w:val="0"/>
        <w:adjustRightInd w:val="0"/>
        <w:spacing w:line="276" w:lineRule="auto"/>
        <w:ind w:firstLine="709"/>
        <w:rPr>
          <w:rFonts w:eastAsia="Calibri" w:cs="Tahoma"/>
          <w:szCs w:val="24"/>
        </w:rPr>
      </w:pPr>
      <w:r w:rsidRPr="005E7342">
        <w:rPr>
          <w:rFonts w:eastAsia="Calibri" w:cs="Tahoma"/>
          <w:b/>
          <w:szCs w:val="24"/>
        </w:rPr>
        <w:t>3)</w:t>
      </w:r>
      <w:r w:rsidRPr="005E7342">
        <w:rPr>
          <w:rFonts w:eastAsia="Calibri"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F89B707"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213F56D2" w14:textId="77777777" w:rsidR="005E7342" w:rsidRPr="005E7342" w:rsidRDefault="005E7342" w:rsidP="005E7342">
      <w:pPr>
        <w:widowControl w:val="0"/>
        <w:autoSpaceDE w:val="0"/>
        <w:autoSpaceDN w:val="0"/>
        <w:adjustRightInd w:val="0"/>
        <w:spacing w:line="276" w:lineRule="auto"/>
        <w:ind w:firstLine="709"/>
        <w:rPr>
          <w:rFonts w:eastAsia="Calibri" w:cs="Tahoma"/>
          <w:iCs/>
          <w:szCs w:val="24"/>
          <w:u w:val="single"/>
        </w:rPr>
      </w:pPr>
      <w:r w:rsidRPr="005E7342">
        <w:rPr>
          <w:rFonts w:eastAsia="Calibri" w:cs="Tahoma"/>
          <w:b/>
          <w:szCs w:val="24"/>
        </w:rPr>
        <w:t>4)</w:t>
      </w:r>
      <w:r w:rsidRPr="005E7342">
        <w:rPr>
          <w:rFonts w:eastAsia="Calibri" w:cs="Tahoma"/>
          <w:szCs w:val="24"/>
        </w:rPr>
        <w:t xml:space="preserve"> En numerosas sentencias del órgano de cierre de la jurisdicción ordinaria laboral, se ha establecido que no puede argüirse que </w:t>
      </w:r>
      <w:r w:rsidRPr="005E7342">
        <w:rPr>
          <w:rFonts w:eastAsia="Calibri"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E7342">
        <w:rPr>
          <w:rFonts w:eastAsia="Calibri" w:cs="Tahoma"/>
          <w:i/>
          <w:iCs/>
          <w:szCs w:val="24"/>
        </w:rPr>
        <w:t>“</w:t>
      </w:r>
      <w:r w:rsidRPr="005E7342">
        <w:rPr>
          <w:rFonts w:eastAsia="Calibri" w:cs="Tahoma"/>
          <w:i/>
          <w:iCs/>
          <w:sz w:val="22"/>
          <w:szCs w:val="24"/>
          <w:u w:val="single"/>
        </w:rPr>
        <w:t xml:space="preserve">dar cuenta de que documentaron clara y suficientemente los efectos que acarrea el cambio </w:t>
      </w:r>
      <w:r w:rsidRPr="005E7342">
        <w:rPr>
          <w:rFonts w:eastAsia="Calibri" w:cs="Tahoma"/>
          <w:i/>
          <w:iCs/>
          <w:sz w:val="22"/>
          <w:szCs w:val="24"/>
          <w:u w:val="single"/>
        </w:rPr>
        <w:lastRenderedPageBreak/>
        <w:t>de régimen, so pena de declarar ineficaz ese tránsito</w:t>
      </w:r>
      <w:r w:rsidRPr="005E7342">
        <w:rPr>
          <w:rFonts w:eastAsia="Calibri" w:cs="Tahoma"/>
          <w:i/>
          <w:iCs/>
          <w:szCs w:val="24"/>
          <w:u w:val="single"/>
        </w:rPr>
        <w:t>”</w:t>
      </w:r>
      <w:r w:rsidRPr="005E7342">
        <w:rPr>
          <w:rFonts w:eastAsia="Calibri" w:cs="Tahoma"/>
          <w:iCs/>
          <w:szCs w:val="24"/>
          <w:u w:val="single"/>
        </w:rPr>
        <w:t>.</w:t>
      </w:r>
    </w:p>
    <w:p w14:paraId="15F27083" w14:textId="77777777" w:rsidR="005E7342" w:rsidRPr="005E7342" w:rsidRDefault="005E7342" w:rsidP="005E7342">
      <w:pPr>
        <w:widowControl w:val="0"/>
        <w:autoSpaceDE w:val="0"/>
        <w:autoSpaceDN w:val="0"/>
        <w:adjustRightInd w:val="0"/>
        <w:spacing w:line="276" w:lineRule="auto"/>
        <w:ind w:firstLine="284"/>
        <w:rPr>
          <w:rFonts w:eastAsia="Calibri" w:cs="Tahoma"/>
          <w:iCs/>
          <w:szCs w:val="24"/>
          <w:u w:val="single"/>
        </w:rPr>
      </w:pPr>
    </w:p>
    <w:p w14:paraId="10D30A3D" w14:textId="77777777" w:rsidR="005E7342" w:rsidRPr="005E7342" w:rsidRDefault="005E7342" w:rsidP="005E7342">
      <w:pPr>
        <w:widowControl w:val="0"/>
        <w:autoSpaceDE w:val="0"/>
        <w:autoSpaceDN w:val="0"/>
        <w:adjustRightInd w:val="0"/>
        <w:spacing w:line="276" w:lineRule="auto"/>
        <w:ind w:firstLine="284"/>
        <w:rPr>
          <w:rFonts w:eastAsia="Calibri" w:cs="Tahoma"/>
          <w:iCs/>
          <w:szCs w:val="24"/>
        </w:rPr>
      </w:pPr>
      <w:r w:rsidRPr="005E7342">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B3C85ED" w14:textId="77777777" w:rsidR="005E7342" w:rsidRPr="005E7342" w:rsidRDefault="005E7342" w:rsidP="005E7342">
      <w:pPr>
        <w:widowControl w:val="0"/>
        <w:autoSpaceDE w:val="0"/>
        <w:autoSpaceDN w:val="0"/>
        <w:adjustRightInd w:val="0"/>
        <w:spacing w:line="276" w:lineRule="auto"/>
        <w:ind w:firstLine="284"/>
        <w:rPr>
          <w:rFonts w:eastAsia="Calibri" w:cs="Tahoma"/>
          <w:iCs/>
          <w:szCs w:val="24"/>
        </w:rPr>
      </w:pPr>
    </w:p>
    <w:p w14:paraId="2BEA9EAE" w14:textId="77777777" w:rsidR="005E7342" w:rsidRPr="005E7342" w:rsidRDefault="005E7342" w:rsidP="005E7342">
      <w:pPr>
        <w:widowControl w:val="0"/>
        <w:autoSpaceDE w:val="0"/>
        <w:autoSpaceDN w:val="0"/>
        <w:adjustRightInd w:val="0"/>
        <w:spacing w:line="276" w:lineRule="auto"/>
        <w:ind w:firstLine="284"/>
        <w:rPr>
          <w:rFonts w:eastAsia="Calibri" w:cs="Tahoma"/>
          <w:iCs/>
          <w:szCs w:val="24"/>
        </w:rPr>
      </w:pPr>
      <w:r w:rsidRPr="005E7342">
        <w:rPr>
          <w:rFonts w:eastAsia="Calibri"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2D63AEC" w14:textId="77777777" w:rsidR="005E7342" w:rsidRPr="005E7342" w:rsidRDefault="005E7342" w:rsidP="005E7342">
      <w:pPr>
        <w:widowControl w:val="0"/>
        <w:autoSpaceDE w:val="0"/>
        <w:autoSpaceDN w:val="0"/>
        <w:adjustRightInd w:val="0"/>
        <w:spacing w:line="276" w:lineRule="auto"/>
        <w:ind w:firstLine="284"/>
        <w:rPr>
          <w:rFonts w:eastAsia="Calibri" w:cs="Tahoma"/>
          <w:iCs/>
          <w:szCs w:val="24"/>
        </w:rPr>
      </w:pPr>
    </w:p>
    <w:p w14:paraId="4F9F5509"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r w:rsidRPr="005E7342">
        <w:rPr>
          <w:rFonts w:eastAsia="Calibri" w:cs="Tahoma"/>
          <w:szCs w:val="24"/>
        </w:rPr>
        <w:tab/>
        <w:t xml:space="preserve">Ello así, también ha dicho el órgano de cierre de la especialidad laboral, que las </w:t>
      </w:r>
      <w:proofErr w:type="spellStart"/>
      <w:r w:rsidRPr="005E7342">
        <w:rPr>
          <w:rFonts w:eastAsia="Calibri" w:cs="Tahoma"/>
          <w:szCs w:val="24"/>
        </w:rPr>
        <w:t>AFPs</w:t>
      </w:r>
      <w:proofErr w:type="spellEnd"/>
      <w:r w:rsidRPr="005E7342">
        <w:rPr>
          <w:rFonts w:eastAsia="Calibri"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E8E2A4A"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1EF92191"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bookmarkStart w:id="6" w:name="_Hlk90025453"/>
      <w:r w:rsidRPr="005E7342">
        <w:rPr>
          <w:rFonts w:eastAsia="Calibri" w:cs="Tahoma"/>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5E7342">
        <w:rPr>
          <w:rFonts w:eastAsia="Calibri" w:cs="Tahoma"/>
          <w:b/>
          <w:szCs w:val="24"/>
        </w:rPr>
        <w:t xml:space="preserve">necesaria y transparente, </w:t>
      </w:r>
      <w:r w:rsidRPr="005E7342">
        <w:rPr>
          <w:rFonts w:eastAsia="Calibri" w:cs="Tahoma"/>
          <w:szCs w:val="24"/>
        </w:rPr>
        <w:t xml:space="preserve">que con el transcurrir del tiempo esta exigencia cambió, pasando de un deber de información necesaria al de </w:t>
      </w:r>
      <w:r w:rsidRPr="005E7342">
        <w:rPr>
          <w:rFonts w:eastAsia="Calibri" w:cs="Tahoma"/>
          <w:b/>
          <w:szCs w:val="24"/>
        </w:rPr>
        <w:t>asesoría y buen consejo</w:t>
      </w:r>
      <w:r w:rsidRPr="005E7342">
        <w:rPr>
          <w:rFonts w:eastAsia="Calibri" w:cs="Tahoma"/>
          <w:szCs w:val="24"/>
        </w:rPr>
        <w:t xml:space="preserve">, y finalmente al de </w:t>
      </w:r>
      <w:r w:rsidRPr="005E7342">
        <w:rPr>
          <w:rFonts w:eastAsia="Calibri" w:cs="Tahoma"/>
          <w:b/>
          <w:szCs w:val="24"/>
        </w:rPr>
        <w:t>doble asesoría</w:t>
      </w:r>
      <w:r w:rsidRPr="005E7342">
        <w:rPr>
          <w:rFonts w:eastAsia="Calibri" w:cs="Tahoma"/>
          <w:szCs w:val="24"/>
        </w:rPr>
        <w:t>, explicando en qué consiste cada uno de esos conceptos</w:t>
      </w:r>
      <w:bookmarkEnd w:id="6"/>
      <w:r w:rsidRPr="005E7342">
        <w:rPr>
          <w:rFonts w:eastAsia="Calibri" w:cs="Tahoma"/>
          <w:szCs w:val="24"/>
        </w:rPr>
        <w:t>. Dicho recuento histórico, se compendia de la siguiente manera:</w:t>
      </w:r>
    </w:p>
    <w:p w14:paraId="5689727E"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71FA3C2A" w14:textId="77777777" w:rsidR="005E7342" w:rsidRPr="005E7342" w:rsidRDefault="005E7342" w:rsidP="005E7342">
      <w:pPr>
        <w:spacing w:line="240" w:lineRule="auto"/>
        <w:ind w:left="426" w:right="420"/>
        <w:textAlignment w:val="baseline"/>
        <w:rPr>
          <w:rFonts w:eastAsia="Times New Roman" w:cs="Tahoma"/>
          <w:sz w:val="22"/>
          <w:szCs w:val="24"/>
          <w:lang w:val="es-ES" w:eastAsia="es-ES"/>
        </w:rPr>
      </w:pPr>
      <w:bookmarkStart w:id="7" w:name="_Hlk66368436"/>
      <w:bookmarkStart w:id="8" w:name="_Hlk90025057"/>
      <w:r w:rsidRPr="005E7342">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27E302C8" w14:textId="77777777" w:rsidR="005E7342" w:rsidRPr="005E7342" w:rsidRDefault="005E7342" w:rsidP="005E7342">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5E7342" w:rsidRPr="005E7342" w14:paraId="26CF0E65"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EE7F4F"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b/>
                <w:bCs/>
                <w:i/>
                <w:iCs/>
                <w:sz w:val="20"/>
                <w:szCs w:val="24"/>
                <w:lang w:val="es-ES" w:eastAsia="es-ES"/>
              </w:rPr>
              <w:t>Etapa acumulativa</w:t>
            </w:r>
            <w:r w:rsidRPr="005E734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96CC92"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b/>
                <w:bCs/>
                <w:i/>
                <w:iCs/>
                <w:sz w:val="20"/>
                <w:szCs w:val="24"/>
                <w:lang w:val="es-ES" w:eastAsia="es-ES"/>
              </w:rPr>
              <w:t>Normas que obligan a las administradoras de pensiones a dar información</w:t>
            </w:r>
            <w:r w:rsidRPr="005E734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32D2D5"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b/>
                <w:bCs/>
                <w:i/>
                <w:iCs/>
                <w:sz w:val="20"/>
                <w:szCs w:val="24"/>
                <w:lang w:val="es-ES" w:eastAsia="es-ES"/>
              </w:rPr>
              <w:t>Contenido mínimo y alcance del deber de información</w:t>
            </w:r>
            <w:r w:rsidRPr="005E7342">
              <w:rPr>
                <w:rFonts w:eastAsia="Times New Roman" w:cs="Tahoma"/>
                <w:sz w:val="20"/>
                <w:szCs w:val="24"/>
                <w:lang w:val="es-ES" w:eastAsia="es-ES"/>
              </w:rPr>
              <w:t> </w:t>
            </w:r>
          </w:p>
        </w:tc>
      </w:tr>
      <w:tr w:rsidR="005E7342" w:rsidRPr="005E7342" w14:paraId="7735636B"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680A6F"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Deber de información </w:t>
            </w:r>
            <w:r w:rsidRPr="005E734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654B0B"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Arts. 13 literal b), 271 y 272 de la Ley 100 de 1993</w:t>
            </w:r>
            <w:r w:rsidRPr="005E7342">
              <w:rPr>
                <w:rFonts w:eastAsia="Times New Roman" w:cs="Tahoma"/>
                <w:sz w:val="20"/>
                <w:szCs w:val="24"/>
                <w:lang w:val="es-ES" w:eastAsia="es-ES"/>
              </w:rPr>
              <w:t> </w:t>
            </w:r>
          </w:p>
          <w:p w14:paraId="62FCD59D"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Art. 97, numeral 1 del Decreto 663 de 1993, modificado por el artículo 23 de la Ley 797 de 2003</w:t>
            </w:r>
            <w:r w:rsidRPr="005E7342">
              <w:rPr>
                <w:rFonts w:eastAsia="Times New Roman" w:cs="Tahoma"/>
                <w:sz w:val="20"/>
                <w:szCs w:val="24"/>
                <w:lang w:val="es-ES" w:eastAsia="es-ES"/>
              </w:rPr>
              <w:t> </w:t>
            </w:r>
          </w:p>
          <w:p w14:paraId="189BC21A"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lastRenderedPageBreak/>
              <w:t>Disposiciones constitucionales relativas al derecho a la información, no menoscabo de derechos laborales y autonomía personal</w:t>
            </w:r>
            <w:r w:rsidRPr="005E734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721FA9"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5E7342">
              <w:rPr>
                <w:rFonts w:eastAsia="Times New Roman" w:cs="Tahoma"/>
                <w:sz w:val="20"/>
                <w:szCs w:val="24"/>
                <w:lang w:val="es-ES" w:eastAsia="es-ES"/>
              </w:rPr>
              <w:t> </w:t>
            </w:r>
          </w:p>
        </w:tc>
      </w:tr>
      <w:tr w:rsidR="005E7342" w:rsidRPr="005E7342" w14:paraId="24068BC1"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33F595"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Deber de información, asesoría y buen consejo</w:t>
            </w:r>
            <w:r w:rsidRPr="005E734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613CC2"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Artículo 3, literal c) de la Ley 1328 de 2009</w:t>
            </w:r>
            <w:r w:rsidRPr="005E7342">
              <w:rPr>
                <w:rFonts w:eastAsia="Times New Roman" w:cs="Tahoma"/>
                <w:sz w:val="20"/>
                <w:szCs w:val="24"/>
                <w:lang w:val="es-ES" w:eastAsia="es-ES"/>
              </w:rPr>
              <w:t> </w:t>
            </w:r>
          </w:p>
          <w:p w14:paraId="076499F9"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Decreto 2241 de 2010</w:t>
            </w:r>
            <w:r w:rsidRPr="005E734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73A17A"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E7342">
              <w:rPr>
                <w:rFonts w:eastAsia="Times New Roman" w:cs="Tahoma"/>
                <w:sz w:val="20"/>
                <w:szCs w:val="24"/>
                <w:lang w:val="es-ES" w:eastAsia="es-ES"/>
              </w:rPr>
              <w:t> </w:t>
            </w:r>
          </w:p>
        </w:tc>
      </w:tr>
      <w:tr w:rsidR="005E7342" w:rsidRPr="005E7342" w14:paraId="5661C501"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2C3B10"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Deber de información, asesoría, buen consejo y doble asesoría. </w:t>
            </w:r>
            <w:r w:rsidRPr="005E734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E2A761"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Ley 1748 de 2014</w:t>
            </w:r>
            <w:r w:rsidRPr="005E7342">
              <w:rPr>
                <w:rFonts w:eastAsia="Times New Roman" w:cs="Tahoma"/>
                <w:sz w:val="20"/>
                <w:szCs w:val="24"/>
                <w:lang w:val="es-ES" w:eastAsia="es-ES"/>
              </w:rPr>
              <w:t> </w:t>
            </w:r>
          </w:p>
          <w:p w14:paraId="7B3C3AE2"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Artículo 3 del Decreto 2071 de 2015</w:t>
            </w:r>
            <w:r w:rsidRPr="005E7342">
              <w:rPr>
                <w:rFonts w:eastAsia="Times New Roman" w:cs="Tahoma"/>
                <w:sz w:val="20"/>
                <w:szCs w:val="24"/>
                <w:lang w:val="es-ES" w:eastAsia="es-ES"/>
              </w:rPr>
              <w:t> </w:t>
            </w:r>
          </w:p>
          <w:p w14:paraId="50ABD9AD"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Circular Externa n. 016 de 2016</w:t>
            </w:r>
            <w:r w:rsidRPr="005E734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CA9923" w14:textId="77777777" w:rsidR="005E7342" w:rsidRPr="005E7342" w:rsidRDefault="005E7342" w:rsidP="005E7342">
            <w:pPr>
              <w:spacing w:line="276" w:lineRule="auto"/>
              <w:textAlignment w:val="baseline"/>
              <w:rPr>
                <w:rFonts w:eastAsia="Times New Roman" w:cs="Tahoma"/>
                <w:sz w:val="20"/>
                <w:szCs w:val="24"/>
                <w:lang w:val="es-ES" w:eastAsia="es-ES"/>
              </w:rPr>
            </w:pPr>
            <w:r w:rsidRPr="005E7342">
              <w:rPr>
                <w:rFonts w:eastAsia="Times New Roman" w:cs="Tahoma"/>
                <w:i/>
                <w:iCs/>
                <w:sz w:val="20"/>
                <w:szCs w:val="24"/>
                <w:lang w:val="es-ES" w:eastAsia="es-ES"/>
              </w:rPr>
              <w:t>Junto con lo anterior, lleva inmerso el derecho a obtener asesoría de los representantes de ambos regímenes pensionales.</w:t>
            </w:r>
            <w:r w:rsidRPr="005E7342">
              <w:rPr>
                <w:rFonts w:eastAsia="Times New Roman" w:cs="Tahoma"/>
                <w:sz w:val="20"/>
                <w:szCs w:val="24"/>
                <w:lang w:val="es-ES" w:eastAsia="es-ES"/>
              </w:rPr>
              <w:t> </w:t>
            </w:r>
          </w:p>
        </w:tc>
      </w:tr>
    </w:tbl>
    <w:p w14:paraId="7FCFA9C6" w14:textId="77777777" w:rsidR="005E7342" w:rsidRPr="005E7342" w:rsidRDefault="005E7342" w:rsidP="005E7342">
      <w:pPr>
        <w:spacing w:line="240" w:lineRule="auto"/>
        <w:ind w:left="426" w:right="420" w:firstLine="709"/>
        <w:rPr>
          <w:rFonts w:eastAsia="Calibri" w:cs="Tahoma"/>
          <w:b/>
          <w:i/>
          <w:spacing w:val="-4"/>
          <w:sz w:val="22"/>
          <w:szCs w:val="24"/>
          <w:lang w:val="es-ES"/>
        </w:rPr>
      </w:pPr>
    </w:p>
    <w:bookmarkEnd w:id="7"/>
    <w:p w14:paraId="5CB11F24" w14:textId="77777777" w:rsidR="005E7342" w:rsidRPr="005E7342" w:rsidRDefault="005E7342" w:rsidP="005E7342">
      <w:pPr>
        <w:spacing w:line="240" w:lineRule="auto"/>
        <w:ind w:left="426" w:right="420" w:firstLine="709"/>
        <w:rPr>
          <w:rFonts w:eastAsia="Calibri" w:cs="Tahoma"/>
          <w:b/>
          <w:i/>
          <w:sz w:val="22"/>
          <w:szCs w:val="24"/>
          <w:lang w:val="es-ES"/>
        </w:rPr>
      </w:pPr>
      <w:r w:rsidRPr="005E7342">
        <w:rPr>
          <w:rFonts w:eastAsia="Calibri" w:cs="Tahoma"/>
          <w:b/>
          <w:i/>
          <w:sz w:val="22"/>
          <w:szCs w:val="24"/>
          <w:lang w:val="es-ES"/>
        </w:rPr>
        <w:t>1.4 Conclusión: La constatación del deber de información es ineludible</w:t>
      </w:r>
    </w:p>
    <w:p w14:paraId="12049EFE" w14:textId="77777777" w:rsidR="005E7342" w:rsidRPr="005E7342" w:rsidRDefault="005E7342" w:rsidP="005E7342">
      <w:pPr>
        <w:spacing w:line="240" w:lineRule="auto"/>
        <w:ind w:left="426" w:right="420" w:firstLine="709"/>
        <w:rPr>
          <w:rFonts w:eastAsia="Calibri" w:cs="Tahoma"/>
          <w:b/>
          <w:i/>
          <w:sz w:val="22"/>
          <w:szCs w:val="24"/>
          <w:lang w:val="es-ES"/>
        </w:rPr>
      </w:pPr>
    </w:p>
    <w:p w14:paraId="565433DD" w14:textId="77777777" w:rsidR="005E7342" w:rsidRPr="005E7342" w:rsidRDefault="005E7342" w:rsidP="005E7342">
      <w:pPr>
        <w:spacing w:line="240" w:lineRule="auto"/>
        <w:ind w:left="426" w:right="420" w:firstLine="1"/>
        <w:rPr>
          <w:rFonts w:eastAsia="Calibri" w:cs="Tahoma"/>
          <w:i/>
          <w:sz w:val="22"/>
          <w:szCs w:val="24"/>
          <w:lang w:val="es-ES"/>
        </w:rPr>
      </w:pPr>
      <w:r w:rsidRPr="005E7342">
        <w:rPr>
          <w:rFonts w:eastAsia="Calibri" w:cs="Tahoma"/>
          <w:i/>
          <w:sz w:val="22"/>
          <w:szCs w:val="24"/>
          <w:lang w:val="es-ES"/>
        </w:rPr>
        <w:t xml:space="preserve">Según se pudo advertir del anterior recuento, </w:t>
      </w:r>
      <w:r w:rsidRPr="005E7342">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5E7342">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7568AF6" w14:textId="77777777" w:rsidR="005E7342" w:rsidRPr="005E7342" w:rsidRDefault="005E7342" w:rsidP="005E7342">
      <w:pPr>
        <w:spacing w:line="240" w:lineRule="auto"/>
        <w:ind w:left="426" w:right="420" w:firstLine="1"/>
        <w:rPr>
          <w:rFonts w:eastAsia="Calibri" w:cs="Tahoma"/>
          <w:i/>
          <w:sz w:val="22"/>
          <w:szCs w:val="24"/>
          <w:lang w:val="es-ES"/>
        </w:rPr>
      </w:pPr>
    </w:p>
    <w:p w14:paraId="4E1DEBDD" w14:textId="77777777" w:rsidR="005E7342" w:rsidRPr="005E7342" w:rsidRDefault="005E7342" w:rsidP="005E7342">
      <w:pPr>
        <w:spacing w:line="240" w:lineRule="auto"/>
        <w:ind w:left="426" w:right="420"/>
        <w:rPr>
          <w:rFonts w:eastAsia="Calibri" w:cs="Tahoma"/>
          <w:i/>
          <w:sz w:val="22"/>
          <w:szCs w:val="24"/>
          <w:lang w:val="es-ES"/>
        </w:rPr>
      </w:pPr>
      <w:r w:rsidRPr="005E7342">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6CEE57B9" w14:textId="77777777" w:rsidR="005E7342" w:rsidRPr="005E7342" w:rsidRDefault="005E7342" w:rsidP="005E7342">
      <w:pPr>
        <w:spacing w:line="240" w:lineRule="auto"/>
        <w:ind w:left="426" w:right="420" w:firstLine="709"/>
        <w:rPr>
          <w:rFonts w:eastAsia="Calibri" w:cs="Tahoma"/>
          <w:i/>
          <w:sz w:val="22"/>
          <w:szCs w:val="24"/>
          <w:lang w:val="es-ES"/>
        </w:rPr>
      </w:pPr>
    </w:p>
    <w:p w14:paraId="0EA83744" w14:textId="77777777" w:rsidR="005E7342" w:rsidRPr="005E7342" w:rsidRDefault="005E7342" w:rsidP="005E7342">
      <w:pPr>
        <w:spacing w:line="240" w:lineRule="auto"/>
        <w:ind w:left="426" w:right="420"/>
        <w:rPr>
          <w:rFonts w:eastAsia="Calibri" w:cs="Tahoma"/>
          <w:i/>
          <w:sz w:val="22"/>
          <w:szCs w:val="24"/>
          <w:lang w:val="es-ES"/>
        </w:rPr>
      </w:pPr>
      <w:r w:rsidRPr="005E7342">
        <w:rPr>
          <w:rFonts w:eastAsia="Calibri" w:cs="Tahoma"/>
          <w:i/>
          <w:sz w:val="22"/>
          <w:szCs w:val="24"/>
          <w:lang w:val="es-ES"/>
        </w:rPr>
        <w:t xml:space="preserve">Adicionalmente, la Sala no puede pasar por alto la indebida fundamentación con la que </w:t>
      </w:r>
      <w:r w:rsidRPr="005E7342">
        <w:rPr>
          <w:rFonts w:eastAsia="Calibri" w:cs="Tahoma"/>
          <w:bCs/>
          <w:i/>
          <w:sz w:val="22"/>
          <w:szCs w:val="24"/>
          <w:lang w:val="es-ES"/>
        </w:rPr>
        <w:t>la Sala Primera de Decisión Laboral del Tribunal de Medellín</w:t>
      </w:r>
      <w:r w:rsidRPr="005E7342">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65CE446" w14:textId="77777777" w:rsidR="005E7342" w:rsidRPr="005E7342" w:rsidRDefault="005E7342" w:rsidP="005E7342">
      <w:pPr>
        <w:spacing w:line="276" w:lineRule="auto"/>
        <w:ind w:left="708" w:firstLine="709"/>
        <w:rPr>
          <w:rFonts w:eastAsia="Calibri" w:cs="Tahoma"/>
          <w:i/>
          <w:spacing w:val="-4"/>
          <w:szCs w:val="24"/>
        </w:rPr>
      </w:pPr>
    </w:p>
    <w:p w14:paraId="14AE3097" w14:textId="77777777" w:rsidR="005E7342" w:rsidRPr="005E7342" w:rsidRDefault="005E7342" w:rsidP="005E7342">
      <w:pPr>
        <w:spacing w:line="276" w:lineRule="auto"/>
        <w:ind w:firstLine="644"/>
        <w:rPr>
          <w:rFonts w:eastAsia="Calibri" w:cs="Tahoma"/>
          <w:spacing w:val="-4"/>
          <w:szCs w:val="24"/>
        </w:rPr>
      </w:pPr>
      <w:r w:rsidRPr="005E7342">
        <w:rPr>
          <w:rFonts w:eastAsia="Calibri" w:cs="Tahoma"/>
          <w:spacing w:val="-4"/>
          <w:szCs w:val="24"/>
        </w:rPr>
        <w:t>Con lo dicho precedentemente queda resuelto el primer problema jurídico.</w:t>
      </w:r>
    </w:p>
    <w:bookmarkEnd w:id="8"/>
    <w:p w14:paraId="798ADE8E"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5F88D549" w14:textId="77777777" w:rsidR="005E7342" w:rsidRPr="005E7342" w:rsidRDefault="005E7342" w:rsidP="005E7342">
      <w:pPr>
        <w:widowControl w:val="0"/>
        <w:numPr>
          <w:ilvl w:val="1"/>
          <w:numId w:val="5"/>
        </w:numPr>
        <w:autoSpaceDE w:val="0"/>
        <w:autoSpaceDN w:val="0"/>
        <w:adjustRightInd w:val="0"/>
        <w:spacing w:line="276" w:lineRule="auto"/>
        <w:jc w:val="left"/>
        <w:rPr>
          <w:rFonts w:eastAsia="Calibri" w:cs="Tahoma"/>
          <w:iCs/>
          <w:szCs w:val="24"/>
        </w:rPr>
      </w:pPr>
      <w:r w:rsidRPr="005E7342">
        <w:rPr>
          <w:rFonts w:eastAsia="Calibri" w:cs="Tahoma"/>
          <w:b/>
          <w:iCs/>
          <w:szCs w:val="24"/>
        </w:rPr>
        <w:t xml:space="preserve">“El simple consentimiento vertido en el formulario de afiliación es insuficiente – Necesidad de un consentimiento informado” </w:t>
      </w:r>
      <w:r w:rsidRPr="005E7342">
        <w:rPr>
          <w:rFonts w:eastAsia="Calibri" w:cs="Tahoma"/>
          <w:b/>
          <w:iCs/>
          <w:szCs w:val="24"/>
          <w:vertAlign w:val="superscript"/>
        </w:rPr>
        <w:footnoteReference w:id="3"/>
      </w:r>
      <w:r w:rsidRPr="005E7342">
        <w:rPr>
          <w:rFonts w:eastAsia="Calibri" w:cs="Tahoma"/>
          <w:iCs/>
          <w:szCs w:val="24"/>
        </w:rPr>
        <w:t xml:space="preserve"> </w:t>
      </w:r>
    </w:p>
    <w:p w14:paraId="1F6B3A59"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6FAA203A"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szCs w:val="24"/>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5E7342">
        <w:rPr>
          <w:rFonts w:eastAsia="Calibri" w:cs="Tahoma"/>
          <w:b/>
          <w:szCs w:val="24"/>
        </w:rPr>
        <w:t>pero no informado</w:t>
      </w:r>
      <w:r w:rsidRPr="005E7342">
        <w:rPr>
          <w:rFonts w:eastAsia="Calibri" w:cs="Tahoma"/>
          <w:szCs w:val="24"/>
        </w:rPr>
        <w:t xml:space="preserve">, tal como se expresa a continuación: </w:t>
      </w:r>
    </w:p>
    <w:p w14:paraId="6CA33E3D"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4D979D06" w14:textId="77777777" w:rsidR="005E7342" w:rsidRPr="005E7342" w:rsidRDefault="005E7342" w:rsidP="005E7342">
      <w:pPr>
        <w:spacing w:line="240" w:lineRule="auto"/>
        <w:ind w:left="426" w:right="420" w:firstLine="1"/>
        <w:rPr>
          <w:rFonts w:eastAsia="Calibri" w:cs="Tahoma"/>
          <w:i/>
          <w:sz w:val="22"/>
          <w:szCs w:val="24"/>
          <w:lang w:val="es-ES"/>
        </w:rPr>
      </w:pPr>
      <w:r w:rsidRPr="005E7342">
        <w:rPr>
          <w:rFonts w:eastAsia="Calibri" w:cs="Tahoma"/>
          <w:i/>
          <w:sz w:val="22"/>
          <w:szCs w:val="24"/>
          <w:lang w:val="es-ES"/>
        </w:rPr>
        <w:t xml:space="preserve">“Para el Tribunal el consentimiento informado no es predicable del acto jurídico de traslado, pues basta la consignación en el formulario de que la afiliación se hizo de manera libre y voluntaria. </w:t>
      </w:r>
    </w:p>
    <w:p w14:paraId="4C6FDA8D" w14:textId="77777777" w:rsidR="005E7342" w:rsidRPr="005E7342" w:rsidRDefault="005E7342" w:rsidP="005E7342">
      <w:pPr>
        <w:spacing w:line="240" w:lineRule="auto"/>
        <w:ind w:left="426" w:right="420" w:firstLine="1"/>
        <w:rPr>
          <w:rFonts w:eastAsia="Calibri" w:cs="Tahoma"/>
          <w:i/>
          <w:sz w:val="22"/>
          <w:szCs w:val="24"/>
          <w:lang w:val="es-ES"/>
        </w:rPr>
      </w:pPr>
    </w:p>
    <w:p w14:paraId="7A203839" w14:textId="77777777" w:rsidR="005E7342" w:rsidRPr="005E7342" w:rsidRDefault="005E7342" w:rsidP="005E7342">
      <w:pPr>
        <w:spacing w:line="240" w:lineRule="auto"/>
        <w:ind w:left="426" w:right="420" w:firstLine="1"/>
        <w:rPr>
          <w:rFonts w:eastAsia="Calibri" w:cs="Tahoma"/>
          <w:i/>
          <w:sz w:val="22"/>
          <w:szCs w:val="24"/>
          <w:lang w:val="es-ES"/>
        </w:rPr>
      </w:pPr>
      <w:r w:rsidRPr="005E7342">
        <w:rPr>
          <w:rFonts w:eastAsia="Calibri" w:cs="Tahoma"/>
          <w:i/>
          <w:sz w:val="22"/>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119DD37" w14:textId="77777777" w:rsidR="005E7342" w:rsidRPr="005E7342" w:rsidRDefault="005E7342" w:rsidP="005E7342">
      <w:pPr>
        <w:spacing w:line="240" w:lineRule="auto"/>
        <w:ind w:left="426" w:right="420" w:firstLine="1"/>
        <w:rPr>
          <w:rFonts w:eastAsia="Calibri" w:cs="Tahoma"/>
          <w:i/>
          <w:sz w:val="22"/>
          <w:szCs w:val="24"/>
          <w:lang w:val="es-ES"/>
        </w:rPr>
      </w:pPr>
    </w:p>
    <w:p w14:paraId="18486039" w14:textId="77777777" w:rsidR="005E7342" w:rsidRPr="005E7342" w:rsidRDefault="005E7342" w:rsidP="005E7342">
      <w:pPr>
        <w:spacing w:line="240" w:lineRule="auto"/>
        <w:ind w:left="426" w:right="420" w:firstLine="1"/>
        <w:rPr>
          <w:rFonts w:eastAsia="Calibri" w:cs="Tahoma"/>
          <w:i/>
          <w:sz w:val="22"/>
          <w:szCs w:val="24"/>
          <w:lang w:val="es-ES"/>
        </w:rPr>
      </w:pPr>
      <w:r w:rsidRPr="005E7342">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BA02AFF" w14:textId="77777777" w:rsidR="005E7342" w:rsidRPr="005E7342" w:rsidRDefault="005E7342" w:rsidP="005E7342">
      <w:pPr>
        <w:spacing w:line="240" w:lineRule="auto"/>
        <w:ind w:left="426" w:right="420" w:firstLine="1"/>
        <w:rPr>
          <w:rFonts w:eastAsia="Calibri" w:cs="Tahoma"/>
          <w:i/>
          <w:sz w:val="22"/>
          <w:szCs w:val="24"/>
          <w:lang w:val="es-ES"/>
        </w:rPr>
      </w:pPr>
    </w:p>
    <w:p w14:paraId="3A9E4CA2" w14:textId="77777777" w:rsidR="005E7342" w:rsidRPr="005E7342" w:rsidRDefault="005E7342" w:rsidP="005E7342">
      <w:pPr>
        <w:spacing w:line="240" w:lineRule="auto"/>
        <w:ind w:left="426" w:right="420" w:firstLine="1"/>
        <w:rPr>
          <w:rFonts w:eastAsia="Calibri" w:cs="Tahoma"/>
          <w:i/>
          <w:sz w:val="22"/>
          <w:szCs w:val="24"/>
          <w:lang w:val="es-ES"/>
        </w:rPr>
      </w:pPr>
      <w:r w:rsidRPr="005E7342">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5EEAE14" w14:textId="77777777" w:rsidR="005E7342" w:rsidRPr="005E7342" w:rsidRDefault="005E7342" w:rsidP="005E7342">
      <w:pPr>
        <w:widowControl w:val="0"/>
        <w:autoSpaceDE w:val="0"/>
        <w:autoSpaceDN w:val="0"/>
        <w:adjustRightInd w:val="0"/>
        <w:spacing w:line="276" w:lineRule="auto"/>
        <w:ind w:firstLine="284"/>
        <w:rPr>
          <w:rFonts w:eastAsia="Calibri" w:cs="Tahoma"/>
          <w:bCs/>
          <w:szCs w:val="24"/>
        </w:rPr>
      </w:pPr>
    </w:p>
    <w:p w14:paraId="10991D32" w14:textId="77777777" w:rsidR="005E7342" w:rsidRPr="005E7342" w:rsidRDefault="005E7342" w:rsidP="005E7342">
      <w:pPr>
        <w:widowControl w:val="0"/>
        <w:autoSpaceDE w:val="0"/>
        <w:autoSpaceDN w:val="0"/>
        <w:adjustRightInd w:val="0"/>
        <w:spacing w:line="276" w:lineRule="auto"/>
        <w:ind w:firstLine="708"/>
        <w:rPr>
          <w:rFonts w:eastAsia="Calibri" w:cs="Tahoma"/>
          <w:bCs/>
          <w:szCs w:val="24"/>
        </w:rPr>
      </w:pPr>
      <w:r w:rsidRPr="005E7342">
        <w:rPr>
          <w:rFonts w:eastAsia="Calibri"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5E7342">
        <w:rPr>
          <w:rFonts w:eastAsia="Calibri" w:cs="Tahoma"/>
          <w:bCs/>
          <w:szCs w:val="24"/>
          <w:vertAlign w:val="superscript"/>
        </w:rPr>
        <w:footnoteReference w:id="4"/>
      </w:r>
      <w:r w:rsidRPr="005E7342">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D01B82A" w14:textId="77777777" w:rsidR="005E7342" w:rsidRPr="005E7342" w:rsidRDefault="005E7342" w:rsidP="005E7342">
      <w:pPr>
        <w:widowControl w:val="0"/>
        <w:autoSpaceDE w:val="0"/>
        <w:autoSpaceDN w:val="0"/>
        <w:adjustRightInd w:val="0"/>
        <w:spacing w:line="276" w:lineRule="auto"/>
        <w:ind w:firstLine="284"/>
        <w:rPr>
          <w:rFonts w:eastAsia="Calibri" w:cs="Tahoma"/>
          <w:bCs/>
          <w:i/>
          <w:szCs w:val="24"/>
        </w:rPr>
      </w:pPr>
    </w:p>
    <w:p w14:paraId="26031B85" w14:textId="77777777" w:rsidR="005E7342" w:rsidRPr="005E7342" w:rsidRDefault="005E7342" w:rsidP="005E7342">
      <w:pPr>
        <w:spacing w:line="240" w:lineRule="auto"/>
        <w:ind w:left="426" w:right="420"/>
        <w:rPr>
          <w:rFonts w:eastAsia="Calibri" w:cs="Tahoma"/>
          <w:i/>
          <w:sz w:val="22"/>
          <w:szCs w:val="24"/>
          <w:lang w:val="es-ES"/>
        </w:rPr>
      </w:pPr>
      <w:r w:rsidRPr="005E7342">
        <w:rPr>
          <w:rFonts w:eastAsia="Calibri" w:cs="Tahoma"/>
          <w:i/>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043853F" w14:textId="77777777" w:rsidR="005E7342" w:rsidRPr="005E7342" w:rsidRDefault="005E7342" w:rsidP="005E7342">
      <w:pPr>
        <w:spacing w:line="240" w:lineRule="auto"/>
        <w:ind w:left="426" w:right="420" w:firstLine="708"/>
        <w:rPr>
          <w:rFonts w:eastAsia="Calibri" w:cs="Tahoma"/>
          <w:b/>
          <w:i/>
          <w:sz w:val="22"/>
          <w:szCs w:val="24"/>
          <w:lang w:val="es-ES"/>
        </w:rPr>
      </w:pPr>
    </w:p>
    <w:p w14:paraId="195BAA1D" w14:textId="77777777" w:rsidR="005E7342" w:rsidRPr="005E7342" w:rsidRDefault="005E7342" w:rsidP="005E7342">
      <w:pPr>
        <w:tabs>
          <w:tab w:val="left" w:pos="709"/>
        </w:tabs>
        <w:spacing w:line="240" w:lineRule="auto"/>
        <w:ind w:left="426" w:right="420"/>
        <w:rPr>
          <w:rFonts w:eastAsia="Calibri" w:cs="Tahoma"/>
          <w:i/>
          <w:sz w:val="22"/>
          <w:szCs w:val="24"/>
          <w:lang w:val="es-ES"/>
        </w:rPr>
      </w:pPr>
      <w:r w:rsidRPr="005E7342">
        <w:rPr>
          <w:rFonts w:eastAsia="Calibri" w:cs="Tahoma"/>
          <w:i/>
          <w:sz w:val="22"/>
          <w:szCs w:val="24"/>
          <w:lang w:val="es-ES"/>
        </w:rPr>
        <w:t xml:space="preserve">En ese orden, el Tribunal en su decisión incurrió en los yerros que se le endilgan, al considerar que no se acreditó el engaño por parte del actor, cuando resulta claro que </w:t>
      </w:r>
      <w:r w:rsidRPr="005E7342">
        <w:rPr>
          <w:rFonts w:eastAsia="Calibri" w:cs="Tahoma"/>
          <w:i/>
          <w:sz w:val="22"/>
          <w:szCs w:val="24"/>
          <w:lang w:val="es-ES"/>
        </w:rPr>
        <w:lastRenderedPageBreak/>
        <w:t>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C99E769" w14:textId="77777777" w:rsidR="005E7342" w:rsidRPr="005E7342" w:rsidRDefault="005E7342" w:rsidP="005E7342">
      <w:pPr>
        <w:spacing w:line="276" w:lineRule="auto"/>
        <w:rPr>
          <w:rFonts w:cs="Tahoma"/>
          <w:szCs w:val="24"/>
        </w:rPr>
      </w:pPr>
      <w:r w:rsidRPr="005E7342">
        <w:rPr>
          <w:rFonts w:eastAsia="Tahoma" w:cs="Tahoma"/>
          <w:szCs w:val="24"/>
        </w:rPr>
        <w:t xml:space="preserve"> </w:t>
      </w:r>
    </w:p>
    <w:p w14:paraId="674F8EEB" w14:textId="77777777" w:rsidR="005E7342" w:rsidRPr="005E7342" w:rsidRDefault="005E7342" w:rsidP="005E7342">
      <w:pPr>
        <w:spacing w:line="276" w:lineRule="auto"/>
        <w:ind w:firstLine="284"/>
        <w:rPr>
          <w:rFonts w:cs="Tahoma"/>
          <w:szCs w:val="24"/>
        </w:rPr>
      </w:pPr>
      <w:r w:rsidRPr="005E7342">
        <w:rPr>
          <w:rFonts w:eastAsia="Tahoma" w:cs="Tahoma"/>
          <w:szCs w:val="24"/>
          <w:lang w:val="es"/>
        </w:rPr>
        <w:t xml:space="preserve">Igual cosa se ha predicado de las </w:t>
      </w:r>
      <w:proofErr w:type="spellStart"/>
      <w:r w:rsidRPr="005E7342">
        <w:rPr>
          <w:rFonts w:eastAsia="Tahoma" w:cs="Tahoma"/>
          <w:szCs w:val="24"/>
          <w:lang w:val="es"/>
        </w:rPr>
        <w:t>reasesorías</w:t>
      </w:r>
      <w:proofErr w:type="spellEnd"/>
      <w:r w:rsidRPr="005E7342">
        <w:rPr>
          <w:rFonts w:eastAsia="Tahoma" w:cs="Tahoma"/>
          <w:szCs w:val="24"/>
          <w:lang w:val="es"/>
        </w:rPr>
        <w:t xml:space="preserve"> posteriores dadas al interior de las AFP, las cuales tampoco convalidan el traslado, como quedó dicho en la citada </w:t>
      </w:r>
      <w:r w:rsidRPr="005E7342">
        <w:rPr>
          <w:rFonts w:eastAsia="Tahoma" w:cs="Tahoma"/>
          <w:szCs w:val="24"/>
        </w:rPr>
        <w:t xml:space="preserve">sentencia del 8 de mayo de 2019SL 1688-2019, así: </w:t>
      </w:r>
    </w:p>
    <w:p w14:paraId="722ABD3C" w14:textId="77777777" w:rsidR="005E7342" w:rsidRPr="005E7342" w:rsidRDefault="005E7342" w:rsidP="005E7342">
      <w:pPr>
        <w:spacing w:line="276" w:lineRule="auto"/>
        <w:rPr>
          <w:rFonts w:cs="Tahoma"/>
          <w:szCs w:val="24"/>
        </w:rPr>
      </w:pPr>
      <w:r w:rsidRPr="005E7342">
        <w:rPr>
          <w:rFonts w:eastAsia="Tahoma" w:cs="Tahoma"/>
          <w:szCs w:val="24"/>
          <w:lang w:val="es"/>
        </w:rPr>
        <w:t xml:space="preserve">  </w:t>
      </w:r>
    </w:p>
    <w:p w14:paraId="6CAAAE44" w14:textId="77777777" w:rsidR="005E7342" w:rsidRPr="005E7342" w:rsidRDefault="005E7342" w:rsidP="005E7342">
      <w:pPr>
        <w:spacing w:line="240" w:lineRule="auto"/>
        <w:ind w:left="426" w:right="420"/>
        <w:rPr>
          <w:rFonts w:eastAsia="Calibri" w:cs="Tahoma"/>
          <w:i/>
          <w:sz w:val="22"/>
          <w:szCs w:val="24"/>
          <w:lang w:val="es-ES"/>
        </w:rPr>
      </w:pPr>
      <w:r w:rsidRPr="005E7342">
        <w:rPr>
          <w:rFonts w:eastAsia="Calibri" w:cs="Tahoma"/>
          <w:i/>
          <w:sz w:val="22"/>
          <w:szCs w:val="24"/>
          <w:lang w:val="es-ES"/>
        </w:rPr>
        <w:t xml:space="preserve">“Ahora, si bien la AFP brindó a la actora una </w:t>
      </w:r>
      <w:proofErr w:type="spellStart"/>
      <w:r w:rsidRPr="005E7342">
        <w:rPr>
          <w:rFonts w:eastAsia="Calibri" w:cs="Tahoma"/>
          <w:i/>
          <w:sz w:val="22"/>
          <w:szCs w:val="24"/>
          <w:lang w:val="es-ES"/>
        </w:rPr>
        <w:t>reasesoría</w:t>
      </w:r>
      <w:proofErr w:type="spellEnd"/>
      <w:r w:rsidRPr="005E7342">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AEC5020" w14:textId="77777777" w:rsidR="005E7342" w:rsidRPr="005E7342" w:rsidRDefault="005E7342" w:rsidP="005E7342">
      <w:pPr>
        <w:spacing w:line="240" w:lineRule="auto"/>
        <w:ind w:left="426" w:right="420" w:firstLine="709"/>
        <w:rPr>
          <w:rFonts w:eastAsia="Arial Narrow" w:cs="Tahoma"/>
          <w:i/>
          <w:iCs/>
          <w:sz w:val="22"/>
          <w:szCs w:val="24"/>
          <w:lang w:val="es-ES"/>
        </w:rPr>
      </w:pPr>
      <w:r w:rsidRPr="005E7342">
        <w:rPr>
          <w:rFonts w:eastAsia="Arial Narrow" w:cs="Tahoma"/>
          <w:i/>
          <w:iCs/>
          <w:sz w:val="22"/>
          <w:szCs w:val="24"/>
          <w:lang w:val="es-ES"/>
        </w:rPr>
        <w:t xml:space="preserve"> </w:t>
      </w:r>
    </w:p>
    <w:p w14:paraId="06CACB59" w14:textId="77777777" w:rsidR="005E7342" w:rsidRPr="005E7342" w:rsidRDefault="005E7342" w:rsidP="005E7342">
      <w:pPr>
        <w:spacing w:line="240" w:lineRule="auto"/>
        <w:ind w:left="426" w:right="420"/>
        <w:rPr>
          <w:rFonts w:eastAsia="Calibri" w:cs="Tahoma"/>
          <w:i/>
          <w:sz w:val="22"/>
          <w:szCs w:val="24"/>
          <w:lang w:val="es-ES"/>
        </w:rPr>
      </w:pPr>
      <w:r w:rsidRPr="005E7342">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5E7342">
        <w:rPr>
          <w:rFonts w:eastAsia="Calibri" w:cs="Tahoma"/>
          <w:i/>
          <w:sz w:val="22"/>
          <w:szCs w:val="24"/>
          <w:lang w:val="es-ES"/>
        </w:rPr>
        <w:t>reasesoría</w:t>
      </w:r>
      <w:proofErr w:type="spellEnd"/>
      <w:r w:rsidRPr="005E7342">
        <w:rPr>
          <w:rFonts w:eastAsia="Calibri" w:cs="Tahoma"/>
          <w:i/>
          <w:sz w:val="22"/>
          <w:szCs w:val="24"/>
          <w:lang w:val="es-ES"/>
        </w:rPr>
        <w:t>, de todas formas ya había perdido la transición.</w:t>
      </w:r>
    </w:p>
    <w:p w14:paraId="2CE7C237" w14:textId="77777777" w:rsidR="005E7342" w:rsidRPr="005E7342" w:rsidRDefault="005E7342" w:rsidP="005E7342">
      <w:pPr>
        <w:spacing w:line="240" w:lineRule="auto"/>
        <w:ind w:left="426" w:right="420" w:firstLine="709"/>
        <w:rPr>
          <w:rFonts w:eastAsia="Arial Narrow" w:cs="Tahoma"/>
          <w:i/>
          <w:iCs/>
          <w:sz w:val="22"/>
          <w:szCs w:val="24"/>
          <w:lang w:val="es-ES"/>
        </w:rPr>
      </w:pPr>
      <w:r w:rsidRPr="005E7342">
        <w:rPr>
          <w:rFonts w:eastAsia="Arial Narrow" w:cs="Tahoma"/>
          <w:i/>
          <w:iCs/>
          <w:sz w:val="22"/>
          <w:szCs w:val="24"/>
          <w:lang w:val="es-ES"/>
        </w:rPr>
        <w:t xml:space="preserve"> </w:t>
      </w:r>
    </w:p>
    <w:p w14:paraId="52128A40" w14:textId="77777777" w:rsidR="005E7342" w:rsidRPr="005E7342" w:rsidRDefault="005E7342" w:rsidP="005E7342">
      <w:pPr>
        <w:spacing w:line="240" w:lineRule="auto"/>
        <w:ind w:left="426" w:right="420"/>
        <w:rPr>
          <w:rFonts w:eastAsia="Calibri" w:cs="Tahoma"/>
          <w:i/>
          <w:sz w:val="22"/>
          <w:szCs w:val="24"/>
          <w:lang w:val="es-ES"/>
        </w:rPr>
      </w:pPr>
      <w:r w:rsidRPr="005E7342">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C4EA406" w14:textId="77777777" w:rsidR="005E7342" w:rsidRPr="005E7342" w:rsidRDefault="005E7342" w:rsidP="005E7342">
      <w:pPr>
        <w:spacing w:line="240" w:lineRule="auto"/>
        <w:ind w:left="426" w:right="420" w:firstLine="709"/>
        <w:rPr>
          <w:rFonts w:eastAsia="Arial Narrow" w:cs="Tahoma"/>
          <w:i/>
          <w:iCs/>
          <w:sz w:val="22"/>
          <w:szCs w:val="24"/>
          <w:lang w:val="es-ES"/>
        </w:rPr>
      </w:pPr>
      <w:r w:rsidRPr="005E7342">
        <w:rPr>
          <w:rFonts w:eastAsia="Arial Narrow" w:cs="Tahoma"/>
          <w:i/>
          <w:iCs/>
          <w:sz w:val="22"/>
          <w:szCs w:val="24"/>
          <w:lang w:val="es-ES"/>
        </w:rPr>
        <w:t xml:space="preserve"> </w:t>
      </w:r>
    </w:p>
    <w:p w14:paraId="5FF74DCC" w14:textId="77777777" w:rsidR="005E7342" w:rsidRPr="005E7342" w:rsidRDefault="005E7342" w:rsidP="005E7342">
      <w:pPr>
        <w:spacing w:line="240" w:lineRule="auto"/>
        <w:ind w:left="426" w:right="420"/>
        <w:rPr>
          <w:rFonts w:eastAsia="Calibri" w:cs="Tahoma"/>
          <w:i/>
          <w:sz w:val="22"/>
          <w:szCs w:val="24"/>
          <w:lang w:val="es-ES"/>
        </w:rPr>
      </w:pPr>
      <w:r w:rsidRPr="005E7342">
        <w:rPr>
          <w:rFonts w:eastAsia="Calibri" w:cs="Tahoma"/>
          <w:i/>
          <w:sz w:val="22"/>
          <w:szCs w:val="24"/>
          <w:lang w:val="es-ES"/>
        </w:rPr>
        <w:t xml:space="preserve">Por otro lado, no es de recibo el planteo de Protección S.A., cuando sostiene que una vez realizó la </w:t>
      </w:r>
      <w:proofErr w:type="spellStart"/>
      <w:r w:rsidRPr="005E7342">
        <w:rPr>
          <w:rFonts w:eastAsia="Calibri" w:cs="Tahoma"/>
          <w:i/>
          <w:sz w:val="22"/>
          <w:szCs w:val="24"/>
          <w:lang w:val="es-ES"/>
        </w:rPr>
        <w:t>reasesoría</w:t>
      </w:r>
      <w:proofErr w:type="spellEnd"/>
      <w:r w:rsidRPr="005E7342">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D708039"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4FF3E0E0" w14:textId="77777777" w:rsidR="005E7342" w:rsidRPr="005E7342" w:rsidRDefault="005E7342" w:rsidP="005E7342">
      <w:pPr>
        <w:widowControl w:val="0"/>
        <w:numPr>
          <w:ilvl w:val="1"/>
          <w:numId w:val="5"/>
        </w:numPr>
        <w:autoSpaceDE w:val="0"/>
        <w:autoSpaceDN w:val="0"/>
        <w:adjustRightInd w:val="0"/>
        <w:spacing w:line="276" w:lineRule="auto"/>
        <w:jc w:val="left"/>
        <w:rPr>
          <w:rFonts w:eastAsia="Calibri" w:cs="Tahoma"/>
          <w:b/>
          <w:iCs/>
          <w:szCs w:val="24"/>
        </w:rPr>
      </w:pPr>
      <w:r w:rsidRPr="005E7342">
        <w:rPr>
          <w:rFonts w:eastAsia="Calibri" w:cs="Tahoma"/>
          <w:b/>
          <w:iCs/>
          <w:szCs w:val="24"/>
        </w:rPr>
        <w:t xml:space="preserve">“De la carga de la prueba – Inversión a favor del afiliado” </w:t>
      </w:r>
      <w:r w:rsidRPr="005E7342">
        <w:rPr>
          <w:rFonts w:eastAsia="Calibri" w:cs="Tahoma"/>
          <w:b/>
          <w:iCs/>
          <w:szCs w:val="24"/>
          <w:vertAlign w:val="superscript"/>
        </w:rPr>
        <w:footnoteReference w:id="5"/>
      </w:r>
    </w:p>
    <w:p w14:paraId="5A06C6DE" w14:textId="77777777" w:rsidR="005E7342" w:rsidRPr="005E7342" w:rsidRDefault="005E7342" w:rsidP="005E7342">
      <w:pPr>
        <w:widowControl w:val="0"/>
        <w:autoSpaceDE w:val="0"/>
        <w:autoSpaceDN w:val="0"/>
        <w:adjustRightInd w:val="0"/>
        <w:spacing w:line="276" w:lineRule="auto"/>
        <w:ind w:firstLine="284"/>
        <w:rPr>
          <w:rFonts w:eastAsia="Calibri" w:cs="Tahoma"/>
          <w:b/>
          <w:szCs w:val="24"/>
        </w:rPr>
      </w:pPr>
    </w:p>
    <w:p w14:paraId="51081627" w14:textId="77777777" w:rsidR="005E7342" w:rsidRPr="005E7342" w:rsidRDefault="005E7342" w:rsidP="005E7342">
      <w:pPr>
        <w:spacing w:line="276" w:lineRule="auto"/>
        <w:ind w:firstLine="284"/>
        <w:rPr>
          <w:rFonts w:cs="Tahoma"/>
          <w:szCs w:val="24"/>
        </w:rPr>
      </w:pPr>
      <w:r w:rsidRPr="005E7342">
        <w:rPr>
          <w:rFonts w:eastAsia="Tahoma" w:cs="Tahoma"/>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5E7342">
        <w:rPr>
          <w:rFonts w:eastAsia="Tahoma" w:cs="Tahoma"/>
          <w:i/>
          <w:iCs/>
          <w:sz w:val="22"/>
          <w:szCs w:val="24"/>
        </w:rPr>
        <w:t>la prueba de la diligencia o cuidado incumbe al que ha debido emplearlo</w:t>
      </w:r>
      <w:r w:rsidRPr="005E7342">
        <w:rPr>
          <w:rFonts w:eastAsia="Tahoma" w:cs="Tahoma"/>
          <w:i/>
          <w:iCs/>
          <w:szCs w:val="24"/>
        </w:rPr>
        <w:t>”</w:t>
      </w:r>
      <w:r w:rsidRPr="005E7342">
        <w:rPr>
          <w:rFonts w:eastAsia="Tahoma" w:cs="Tahoma"/>
          <w:szCs w:val="24"/>
        </w:rPr>
        <w:t xml:space="preserve"> lo que quiere decir que la carga de la prueba recae en el fondo de pensiones. Dicha postura se ha mantenido invariable, y se reiteró de manera más contundente en la citada sentencia, así: </w:t>
      </w:r>
    </w:p>
    <w:p w14:paraId="3E46B866" w14:textId="77777777" w:rsidR="005E7342" w:rsidRPr="005E7342" w:rsidRDefault="005E7342" w:rsidP="005E7342">
      <w:pPr>
        <w:spacing w:line="276" w:lineRule="auto"/>
        <w:ind w:firstLine="708"/>
        <w:rPr>
          <w:rFonts w:cs="Tahoma"/>
          <w:szCs w:val="24"/>
        </w:rPr>
      </w:pPr>
      <w:r w:rsidRPr="005E7342">
        <w:rPr>
          <w:rFonts w:eastAsia="Tahoma" w:cs="Tahoma"/>
          <w:szCs w:val="24"/>
        </w:rPr>
        <w:lastRenderedPageBreak/>
        <w:t xml:space="preserve"> </w:t>
      </w:r>
    </w:p>
    <w:p w14:paraId="3A1CFFEA" w14:textId="77777777" w:rsidR="005E7342" w:rsidRPr="005E7342" w:rsidRDefault="005E7342" w:rsidP="005E7342">
      <w:pPr>
        <w:spacing w:line="240" w:lineRule="auto"/>
        <w:ind w:left="426" w:right="420" w:firstLine="1"/>
        <w:rPr>
          <w:rFonts w:eastAsia="Calibri" w:cs="Tahoma"/>
          <w:i/>
          <w:sz w:val="22"/>
          <w:lang w:val="es-ES"/>
        </w:rPr>
      </w:pPr>
      <w:r w:rsidRPr="005E7342">
        <w:rPr>
          <w:rFonts w:eastAsia="Calibri" w:cs="Tahoma"/>
          <w:sz w:val="22"/>
          <w:lang w:val="es-ES"/>
        </w:rPr>
        <w:t>“</w:t>
      </w:r>
      <w:r w:rsidRPr="005E7342">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5928C34" w14:textId="77777777" w:rsidR="005E7342" w:rsidRPr="005E7342" w:rsidRDefault="005E7342" w:rsidP="005E7342">
      <w:pPr>
        <w:spacing w:line="240" w:lineRule="auto"/>
        <w:ind w:left="426" w:right="420" w:firstLine="1"/>
        <w:rPr>
          <w:rFonts w:eastAsia="Calibri" w:cs="Tahoma"/>
          <w:i/>
          <w:sz w:val="22"/>
          <w:lang w:val="es-ES"/>
        </w:rPr>
      </w:pPr>
    </w:p>
    <w:p w14:paraId="62195259" w14:textId="77777777" w:rsidR="005E7342" w:rsidRPr="005E7342" w:rsidRDefault="005E7342" w:rsidP="005E7342">
      <w:pPr>
        <w:spacing w:line="240" w:lineRule="auto"/>
        <w:ind w:left="426" w:right="420" w:firstLine="1"/>
        <w:rPr>
          <w:rFonts w:eastAsia="Calibri" w:cs="Tahoma"/>
          <w:i/>
          <w:sz w:val="22"/>
          <w:lang w:val="es-ES"/>
        </w:rPr>
      </w:pPr>
      <w:r w:rsidRPr="005E7342">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07907AA" w14:textId="77777777" w:rsidR="005E7342" w:rsidRPr="005E7342" w:rsidRDefault="005E7342" w:rsidP="005E7342">
      <w:pPr>
        <w:spacing w:line="240" w:lineRule="auto"/>
        <w:ind w:left="426" w:right="420" w:firstLine="1"/>
        <w:rPr>
          <w:rFonts w:eastAsia="Calibri" w:cs="Tahoma"/>
          <w:i/>
          <w:sz w:val="22"/>
          <w:lang w:val="es-ES"/>
        </w:rPr>
      </w:pPr>
    </w:p>
    <w:p w14:paraId="3E27A461" w14:textId="77777777" w:rsidR="005E7342" w:rsidRPr="005E7342" w:rsidRDefault="005E7342" w:rsidP="005E7342">
      <w:pPr>
        <w:spacing w:line="240" w:lineRule="auto"/>
        <w:ind w:left="426" w:right="420" w:firstLine="1"/>
        <w:rPr>
          <w:rFonts w:eastAsia="Calibri" w:cs="Tahoma"/>
          <w:i/>
          <w:sz w:val="22"/>
          <w:lang w:val="es-ES"/>
        </w:rPr>
      </w:pPr>
      <w:r w:rsidRPr="005E7342">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1D9E9BF" w14:textId="77777777" w:rsidR="005E7342" w:rsidRPr="005E7342" w:rsidRDefault="005E7342" w:rsidP="005E7342">
      <w:pPr>
        <w:spacing w:line="240" w:lineRule="auto"/>
        <w:ind w:left="426" w:right="420" w:firstLine="1"/>
        <w:rPr>
          <w:rFonts w:eastAsia="Calibri" w:cs="Tahoma"/>
          <w:i/>
          <w:sz w:val="22"/>
          <w:lang w:val="es-ES"/>
        </w:rPr>
      </w:pPr>
    </w:p>
    <w:p w14:paraId="6FE8EE6B" w14:textId="77777777" w:rsidR="005E7342" w:rsidRPr="005E7342" w:rsidRDefault="005E7342" w:rsidP="005E7342">
      <w:pPr>
        <w:spacing w:line="240" w:lineRule="auto"/>
        <w:ind w:left="426" w:right="420" w:firstLine="1"/>
        <w:rPr>
          <w:rFonts w:eastAsia="Calibri" w:cs="Tahoma"/>
          <w:i/>
          <w:iCs/>
          <w:sz w:val="22"/>
          <w:lang w:val="es-ES"/>
        </w:rPr>
      </w:pPr>
      <w:r w:rsidRPr="005E7342">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5E7342">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560F7B40" w14:textId="77777777" w:rsidR="005E7342" w:rsidRPr="005E7342" w:rsidRDefault="005E7342" w:rsidP="005E7342">
      <w:pPr>
        <w:spacing w:line="240" w:lineRule="auto"/>
        <w:ind w:left="426" w:right="420" w:firstLine="1"/>
        <w:rPr>
          <w:rFonts w:eastAsia="Calibri" w:cs="Tahoma"/>
          <w:i/>
          <w:iCs/>
          <w:sz w:val="22"/>
          <w:lang w:val="es-ES"/>
        </w:rPr>
      </w:pPr>
    </w:p>
    <w:p w14:paraId="2AF8342C" w14:textId="77777777" w:rsidR="005E7342" w:rsidRPr="005E7342" w:rsidRDefault="005E7342" w:rsidP="005E7342">
      <w:pPr>
        <w:spacing w:line="240" w:lineRule="auto"/>
        <w:ind w:left="426" w:right="420" w:firstLine="1"/>
        <w:rPr>
          <w:rFonts w:eastAsia="Calibri" w:cs="Tahoma"/>
          <w:i/>
          <w:iCs/>
          <w:sz w:val="22"/>
          <w:lang w:val="es-ES"/>
        </w:rPr>
      </w:pPr>
      <w:r w:rsidRPr="005E7342">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EF6415F" w14:textId="77777777" w:rsidR="005E7342" w:rsidRPr="005E7342" w:rsidRDefault="005E7342" w:rsidP="005E7342">
      <w:pPr>
        <w:spacing w:line="240" w:lineRule="auto"/>
        <w:ind w:left="426" w:right="420" w:firstLine="1"/>
        <w:rPr>
          <w:rFonts w:eastAsia="Calibri" w:cs="Tahoma"/>
          <w:i/>
          <w:iCs/>
          <w:sz w:val="22"/>
          <w:lang w:val="es-ES"/>
        </w:rPr>
      </w:pPr>
    </w:p>
    <w:p w14:paraId="183694A2" w14:textId="77777777" w:rsidR="005E7342" w:rsidRPr="005E7342" w:rsidRDefault="005E7342" w:rsidP="005E7342">
      <w:pPr>
        <w:spacing w:line="240" w:lineRule="auto"/>
        <w:ind w:left="426" w:right="420" w:firstLine="1"/>
        <w:rPr>
          <w:rFonts w:eastAsia="Calibri" w:cs="Tahoma"/>
          <w:i/>
          <w:iCs/>
          <w:sz w:val="22"/>
          <w:lang w:val="es-ES"/>
        </w:rPr>
      </w:pPr>
      <w:r w:rsidRPr="005E7342">
        <w:rPr>
          <w:rFonts w:eastAsia="Calibri" w:cs="Tahoma"/>
          <w:i/>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0F0CA65" w14:textId="77777777" w:rsidR="005E7342" w:rsidRPr="005E7342" w:rsidRDefault="005E7342" w:rsidP="005E7342">
      <w:pPr>
        <w:spacing w:line="240" w:lineRule="auto"/>
        <w:ind w:left="426" w:right="420" w:firstLine="1"/>
        <w:rPr>
          <w:rFonts w:eastAsia="Calibri" w:cs="Tahoma"/>
          <w:i/>
          <w:iCs/>
          <w:sz w:val="22"/>
          <w:lang w:val="es-ES"/>
        </w:rPr>
      </w:pPr>
    </w:p>
    <w:p w14:paraId="3091395E" w14:textId="77777777" w:rsidR="005E7342" w:rsidRPr="005E7342" w:rsidRDefault="005E7342" w:rsidP="005E7342">
      <w:pPr>
        <w:spacing w:line="240" w:lineRule="auto"/>
        <w:ind w:left="426" w:right="420" w:firstLine="1"/>
        <w:rPr>
          <w:rFonts w:eastAsia="Calibri" w:cs="Tahoma"/>
          <w:sz w:val="22"/>
          <w:lang w:val="es-ES"/>
        </w:rPr>
      </w:pPr>
      <w:r w:rsidRPr="005E7342">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5E7342">
        <w:rPr>
          <w:rFonts w:eastAsia="Calibri" w:cs="Tahoma"/>
          <w:sz w:val="22"/>
          <w:lang w:val="es-ES"/>
        </w:rPr>
        <w:t xml:space="preserve"> </w:t>
      </w:r>
    </w:p>
    <w:p w14:paraId="4E529939"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51CD0F63" w14:textId="77777777" w:rsidR="005E7342" w:rsidRPr="005E7342" w:rsidRDefault="005E7342" w:rsidP="005E7342">
      <w:pPr>
        <w:widowControl w:val="0"/>
        <w:numPr>
          <w:ilvl w:val="1"/>
          <w:numId w:val="5"/>
        </w:numPr>
        <w:autoSpaceDE w:val="0"/>
        <w:autoSpaceDN w:val="0"/>
        <w:adjustRightInd w:val="0"/>
        <w:spacing w:line="276" w:lineRule="auto"/>
        <w:jc w:val="left"/>
        <w:rPr>
          <w:rFonts w:eastAsia="Calibri" w:cs="Tahoma"/>
          <w:b/>
          <w:szCs w:val="24"/>
        </w:rPr>
      </w:pPr>
      <w:r w:rsidRPr="005E7342">
        <w:rPr>
          <w:rFonts w:eastAsia="Calibri" w:cs="Tahoma"/>
          <w:b/>
          <w:szCs w:val="24"/>
        </w:rPr>
        <w:t>Consecuencias de la declaratoria de ineficacia del traslado: Devolución de las cuotas de administración y de otros valores debidamente indexados</w:t>
      </w:r>
    </w:p>
    <w:p w14:paraId="42D42BDF"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60A3DADC"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szCs w:val="24"/>
        </w:rPr>
        <w:t xml:space="preserve">En la sentencia SL1421 de 2019, Rad. 56174, M.P. Gerardo Botero Zuluaga, cuando se declaró la ineficacia del traslado, se dijo que una de las consecuencias de </w:t>
      </w:r>
      <w:r w:rsidRPr="005E7342">
        <w:rPr>
          <w:rFonts w:eastAsia="Calibri" w:cs="Tahoma"/>
          <w:szCs w:val="24"/>
        </w:rPr>
        <w:lastRenderedPageBreak/>
        <w:t xml:space="preserve">tal situación era la devolución de las cuotas de administración a cargo de la AFP, tema que se planteó en los siguientes términos: </w:t>
      </w:r>
    </w:p>
    <w:p w14:paraId="09100364"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465EC229" w14:textId="77777777" w:rsidR="005E7342" w:rsidRPr="005E7342" w:rsidRDefault="005E7342" w:rsidP="005E7342">
      <w:pPr>
        <w:tabs>
          <w:tab w:val="left" w:pos="5180"/>
        </w:tabs>
        <w:suppressAutoHyphens/>
        <w:spacing w:line="240" w:lineRule="auto"/>
        <w:ind w:left="426" w:right="420"/>
        <w:contextualSpacing/>
        <w:rPr>
          <w:rFonts w:eastAsia="Calibri" w:cs="Tahoma"/>
          <w:i/>
          <w:sz w:val="22"/>
          <w:szCs w:val="24"/>
          <w:lang w:val="es-ES"/>
        </w:rPr>
      </w:pPr>
      <w:r w:rsidRPr="005E7342">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C4B6687" w14:textId="77777777" w:rsidR="005E7342" w:rsidRPr="005E7342" w:rsidRDefault="005E7342" w:rsidP="005E7342">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33A91565" w14:textId="77777777" w:rsidR="005E7342" w:rsidRPr="005E7342" w:rsidRDefault="005E7342" w:rsidP="005E7342">
      <w:pPr>
        <w:tabs>
          <w:tab w:val="left" w:pos="5180"/>
        </w:tabs>
        <w:suppressAutoHyphens/>
        <w:spacing w:line="240" w:lineRule="auto"/>
        <w:ind w:left="426" w:right="420"/>
        <w:contextualSpacing/>
        <w:rPr>
          <w:rFonts w:eastAsia="Calibri" w:cs="Tahoma"/>
          <w:i/>
          <w:sz w:val="22"/>
          <w:szCs w:val="24"/>
          <w:lang w:val="es-ES"/>
        </w:rPr>
      </w:pPr>
      <w:r w:rsidRPr="005E7342">
        <w:rPr>
          <w:rFonts w:eastAsia="Calibri" w:cs="Tahoma"/>
          <w:i/>
          <w:sz w:val="22"/>
          <w:szCs w:val="24"/>
          <w:lang w:val="es-ES"/>
        </w:rPr>
        <w:t>Sobre las consecuencias de la nulidad del traslado entre regímenes esta Sala en sentencia SL, del 8 de sep. 2008, rad. 31989, reiterada en varias oportunidades, adoctrinó: […]</w:t>
      </w:r>
    </w:p>
    <w:p w14:paraId="78A6A10D" w14:textId="77777777" w:rsidR="005E7342" w:rsidRPr="005E7342" w:rsidRDefault="005E7342" w:rsidP="005E7342">
      <w:pPr>
        <w:tabs>
          <w:tab w:val="left" w:pos="5180"/>
        </w:tabs>
        <w:suppressAutoHyphens/>
        <w:spacing w:line="240" w:lineRule="auto"/>
        <w:ind w:left="426" w:right="420"/>
        <w:contextualSpacing/>
        <w:rPr>
          <w:rFonts w:eastAsia="Calibri" w:cs="Tahoma"/>
          <w:i/>
          <w:sz w:val="22"/>
          <w:szCs w:val="24"/>
          <w:lang w:val="es-ES"/>
        </w:rPr>
      </w:pPr>
    </w:p>
    <w:p w14:paraId="2B7D5600" w14:textId="77777777" w:rsidR="005E7342" w:rsidRPr="005E7342" w:rsidRDefault="005E7342" w:rsidP="005E7342">
      <w:pPr>
        <w:tabs>
          <w:tab w:val="left" w:pos="5180"/>
        </w:tabs>
        <w:suppressAutoHyphens/>
        <w:spacing w:line="240" w:lineRule="auto"/>
        <w:ind w:left="426" w:right="420"/>
        <w:contextualSpacing/>
        <w:rPr>
          <w:rFonts w:eastAsia="Calibri" w:cs="Tahoma"/>
          <w:i/>
          <w:sz w:val="22"/>
          <w:szCs w:val="24"/>
          <w:lang w:val="es-ES"/>
        </w:rPr>
      </w:pPr>
      <w:r w:rsidRPr="005E7342">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2591598" w14:textId="77777777" w:rsidR="005E7342" w:rsidRPr="005E7342" w:rsidRDefault="005E7342" w:rsidP="005E7342">
      <w:pPr>
        <w:tabs>
          <w:tab w:val="left" w:pos="5180"/>
        </w:tabs>
        <w:suppressAutoHyphens/>
        <w:spacing w:line="240" w:lineRule="auto"/>
        <w:ind w:left="426" w:right="420"/>
        <w:contextualSpacing/>
        <w:rPr>
          <w:rFonts w:eastAsia="Calibri" w:cs="Tahoma"/>
          <w:i/>
          <w:sz w:val="22"/>
          <w:szCs w:val="24"/>
          <w:lang w:val="es-ES"/>
        </w:rPr>
      </w:pPr>
    </w:p>
    <w:p w14:paraId="2E9E28A9" w14:textId="77777777" w:rsidR="005E7342" w:rsidRPr="005E7342" w:rsidRDefault="005E7342" w:rsidP="005E7342">
      <w:pPr>
        <w:tabs>
          <w:tab w:val="left" w:pos="5180"/>
        </w:tabs>
        <w:suppressAutoHyphens/>
        <w:spacing w:line="240" w:lineRule="auto"/>
        <w:ind w:left="426" w:right="420"/>
        <w:contextualSpacing/>
        <w:rPr>
          <w:rFonts w:eastAsia="Calibri" w:cs="Tahoma"/>
          <w:i/>
          <w:sz w:val="22"/>
          <w:szCs w:val="24"/>
          <w:lang w:val="es-ES"/>
        </w:rPr>
      </w:pPr>
      <w:r w:rsidRPr="005E7342">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48A96F8" w14:textId="77777777" w:rsidR="005E7342" w:rsidRPr="005E7342" w:rsidRDefault="005E7342" w:rsidP="005E7342">
      <w:pPr>
        <w:spacing w:line="276" w:lineRule="auto"/>
        <w:rPr>
          <w:rFonts w:cs="Tahoma"/>
          <w:szCs w:val="24"/>
        </w:rPr>
      </w:pPr>
      <w:r w:rsidRPr="005E7342">
        <w:rPr>
          <w:rFonts w:eastAsia="Tahoma" w:cs="Tahoma"/>
          <w:szCs w:val="24"/>
        </w:rPr>
        <w:t xml:space="preserve"> </w:t>
      </w:r>
    </w:p>
    <w:p w14:paraId="53CE5BB8" w14:textId="77777777" w:rsidR="005E7342" w:rsidRPr="005E7342" w:rsidRDefault="005E7342" w:rsidP="005E7342">
      <w:pPr>
        <w:spacing w:line="276" w:lineRule="auto"/>
        <w:ind w:firstLine="284"/>
        <w:rPr>
          <w:rFonts w:cs="Tahoma"/>
          <w:szCs w:val="24"/>
        </w:rPr>
      </w:pPr>
      <w:r w:rsidRPr="005E7342">
        <w:rPr>
          <w:rFonts w:eastAsia="Tahoma" w:cs="Tahoma"/>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EA18174" w14:textId="77777777" w:rsidR="005E7342" w:rsidRPr="005E7342" w:rsidRDefault="005E7342" w:rsidP="005E7342">
      <w:pPr>
        <w:spacing w:line="276" w:lineRule="auto"/>
        <w:rPr>
          <w:rFonts w:cs="Tahoma"/>
          <w:szCs w:val="24"/>
        </w:rPr>
      </w:pPr>
      <w:r w:rsidRPr="005E7342">
        <w:rPr>
          <w:rFonts w:eastAsia="Tahoma" w:cs="Tahoma"/>
          <w:szCs w:val="24"/>
        </w:rPr>
        <w:t xml:space="preserve"> </w:t>
      </w:r>
    </w:p>
    <w:p w14:paraId="04F0104B" w14:textId="77777777" w:rsidR="005E7342" w:rsidRPr="005E7342" w:rsidRDefault="005E7342" w:rsidP="005E7342">
      <w:pPr>
        <w:tabs>
          <w:tab w:val="left" w:pos="5180"/>
        </w:tabs>
        <w:suppressAutoHyphens/>
        <w:spacing w:line="240" w:lineRule="auto"/>
        <w:ind w:left="426" w:right="420"/>
        <w:contextualSpacing/>
        <w:rPr>
          <w:rFonts w:eastAsia="Calibri" w:cs="Tahoma"/>
          <w:i/>
          <w:sz w:val="22"/>
          <w:szCs w:val="24"/>
          <w:lang w:val="es-ES"/>
        </w:rPr>
      </w:pPr>
      <w:r w:rsidRPr="005E7342">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08ADB5DC" w14:textId="77777777" w:rsidR="005E7342" w:rsidRPr="005E7342" w:rsidRDefault="005E7342" w:rsidP="005E7342">
      <w:pPr>
        <w:spacing w:line="276" w:lineRule="auto"/>
        <w:rPr>
          <w:rFonts w:cs="Tahoma"/>
          <w:szCs w:val="24"/>
        </w:rPr>
      </w:pPr>
      <w:r w:rsidRPr="005E7342">
        <w:rPr>
          <w:rFonts w:eastAsia="Tahoma" w:cs="Tahoma"/>
          <w:szCs w:val="24"/>
        </w:rPr>
        <w:t xml:space="preserve"> </w:t>
      </w:r>
    </w:p>
    <w:p w14:paraId="0B267DA2" w14:textId="77777777" w:rsidR="005E7342" w:rsidRPr="005E7342" w:rsidRDefault="005E7342" w:rsidP="005E7342">
      <w:pPr>
        <w:widowControl w:val="0"/>
        <w:autoSpaceDE w:val="0"/>
        <w:autoSpaceDN w:val="0"/>
        <w:adjustRightInd w:val="0"/>
        <w:spacing w:line="276" w:lineRule="auto"/>
        <w:ind w:firstLine="708"/>
        <w:rPr>
          <w:rFonts w:eastAsia="Calibri" w:cs="Tahoma"/>
          <w:szCs w:val="24"/>
        </w:rPr>
      </w:pPr>
      <w:r w:rsidRPr="005E7342">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EAE78FB"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p>
    <w:p w14:paraId="666419CF" w14:textId="77777777" w:rsidR="005E7342" w:rsidRPr="005E7342" w:rsidRDefault="005E7342" w:rsidP="005E7342">
      <w:pPr>
        <w:widowControl w:val="0"/>
        <w:autoSpaceDE w:val="0"/>
        <w:autoSpaceDN w:val="0"/>
        <w:adjustRightInd w:val="0"/>
        <w:spacing w:line="276" w:lineRule="auto"/>
        <w:ind w:firstLine="284"/>
        <w:rPr>
          <w:rFonts w:eastAsia="Calibri" w:cs="Tahoma"/>
          <w:szCs w:val="24"/>
        </w:rPr>
      </w:pPr>
      <w:r w:rsidRPr="005E7342">
        <w:rPr>
          <w:rFonts w:eastAsia="Calibri"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w:t>
      </w:r>
      <w:r w:rsidRPr="005E7342">
        <w:rPr>
          <w:rFonts w:eastAsia="Calibri" w:cs="Tahoma"/>
          <w:szCs w:val="24"/>
        </w:rPr>
        <w:lastRenderedPageBreak/>
        <w:t xml:space="preserve">a definir si cuando se declara la ineficacia del traslado, hay lugar en condenar en costas a la AFP. </w:t>
      </w:r>
    </w:p>
    <w:p w14:paraId="2D475401" w14:textId="77777777" w:rsidR="00B47FCC" w:rsidRPr="00743985" w:rsidRDefault="00B47FCC" w:rsidP="00743985">
      <w:pPr>
        <w:spacing w:line="276" w:lineRule="auto"/>
        <w:ind w:firstLine="708"/>
        <w:rPr>
          <w:rFonts w:cs="Tahoma"/>
          <w:szCs w:val="24"/>
        </w:rPr>
      </w:pPr>
    </w:p>
    <w:p w14:paraId="685428E1" w14:textId="77777777" w:rsidR="00AA6A03" w:rsidRPr="00743985" w:rsidRDefault="00AA6A03" w:rsidP="00743985">
      <w:pPr>
        <w:numPr>
          <w:ilvl w:val="1"/>
          <w:numId w:val="5"/>
        </w:numPr>
        <w:spacing w:line="276" w:lineRule="auto"/>
        <w:rPr>
          <w:rFonts w:cs="Tahoma"/>
          <w:b/>
          <w:szCs w:val="24"/>
        </w:rPr>
      </w:pPr>
      <w:r w:rsidRPr="00743985">
        <w:rPr>
          <w:rFonts w:cs="Tahoma"/>
          <w:b/>
          <w:szCs w:val="24"/>
        </w:rPr>
        <w:t>Caso concreto</w:t>
      </w:r>
    </w:p>
    <w:p w14:paraId="17FB90F8" w14:textId="77777777" w:rsidR="00423749" w:rsidRPr="00743985" w:rsidRDefault="004660CD" w:rsidP="00743985">
      <w:pPr>
        <w:spacing w:line="276" w:lineRule="auto"/>
        <w:ind w:firstLine="708"/>
        <w:rPr>
          <w:rFonts w:cs="Tahoma"/>
          <w:szCs w:val="24"/>
        </w:rPr>
      </w:pPr>
      <w:r w:rsidRPr="00743985">
        <w:rPr>
          <w:rFonts w:cs="Tahoma"/>
          <w:szCs w:val="24"/>
        </w:rPr>
        <w:t xml:space="preserve">      </w:t>
      </w:r>
    </w:p>
    <w:p w14:paraId="28F53A75" w14:textId="77777777" w:rsidR="00423749" w:rsidRPr="00743985" w:rsidRDefault="00423749" w:rsidP="00743985">
      <w:pPr>
        <w:spacing w:line="276" w:lineRule="auto"/>
        <w:ind w:firstLine="708"/>
        <w:rPr>
          <w:rFonts w:cs="Tahoma"/>
          <w:szCs w:val="24"/>
        </w:rPr>
      </w:pPr>
      <w:r w:rsidRPr="00743985">
        <w:rPr>
          <w:rFonts w:cs="Tahoma"/>
          <w:szCs w:val="24"/>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2D07577" w14:textId="77777777" w:rsidR="00423749" w:rsidRPr="00743985" w:rsidRDefault="00423749" w:rsidP="00743985">
      <w:pPr>
        <w:spacing w:line="276" w:lineRule="auto"/>
        <w:ind w:firstLine="708"/>
        <w:rPr>
          <w:rFonts w:cs="Tahoma"/>
          <w:szCs w:val="24"/>
        </w:rPr>
      </w:pPr>
    </w:p>
    <w:p w14:paraId="723743B3" w14:textId="77777777" w:rsidR="00423749" w:rsidRPr="00743985" w:rsidRDefault="00423749" w:rsidP="00743985">
      <w:pPr>
        <w:spacing w:line="276" w:lineRule="auto"/>
        <w:ind w:firstLine="708"/>
        <w:rPr>
          <w:rFonts w:cs="Tahoma"/>
          <w:szCs w:val="24"/>
        </w:rPr>
      </w:pPr>
      <w:r w:rsidRPr="00743985">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4D2D1254" w14:textId="77777777" w:rsidR="00423749" w:rsidRPr="00743985" w:rsidRDefault="00423749" w:rsidP="00743985">
      <w:pPr>
        <w:spacing w:line="276" w:lineRule="auto"/>
        <w:ind w:firstLine="708"/>
        <w:rPr>
          <w:rFonts w:cs="Tahoma"/>
          <w:szCs w:val="24"/>
        </w:rPr>
      </w:pPr>
    </w:p>
    <w:p w14:paraId="5524F45C" w14:textId="77777777" w:rsidR="00423749" w:rsidRPr="00743985" w:rsidRDefault="00423749" w:rsidP="00743985">
      <w:pPr>
        <w:spacing w:line="276" w:lineRule="auto"/>
        <w:ind w:firstLine="708"/>
        <w:rPr>
          <w:rFonts w:cs="Tahoma"/>
          <w:b/>
          <w:szCs w:val="24"/>
        </w:rPr>
      </w:pPr>
      <w:r w:rsidRPr="00743985">
        <w:rPr>
          <w:rFonts w:cs="Tahoma"/>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743985">
        <w:rPr>
          <w:rFonts w:cs="Tahoma"/>
          <w:b/>
          <w:szCs w:val="24"/>
        </w:rPr>
        <w:t>, acreditar haber transmitido a la parte actora la información concreta y cierta, acerca de la implicación del traslado de régimen pensional.</w:t>
      </w:r>
    </w:p>
    <w:p w14:paraId="05BF5115" w14:textId="77777777" w:rsidR="00423749" w:rsidRPr="00743985" w:rsidRDefault="00423749" w:rsidP="00743985">
      <w:pPr>
        <w:spacing w:line="276" w:lineRule="auto"/>
        <w:ind w:firstLine="708"/>
        <w:rPr>
          <w:rFonts w:cs="Tahoma"/>
          <w:b/>
          <w:szCs w:val="24"/>
        </w:rPr>
      </w:pPr>
    </w:p>
    <w:p w14:paraId="17963613" w14:textId="77777777" w:rsidR="00423749" w:rsidRPr="00743985" w:rsidRDefault="00423749" w:rsidP="00743985">
      <w:pPr>
        <w:spacing w:line="276" w:lineRule="auto"/>
        <w:ind w:firstLine="708"/>
        <w:rPr>
          <w:rFonts w:cs="Tahoma"/>
          <w:szCs w:val="24"/>
        </w:rPr>
      </w:pPr>
      <w:r w:rsidRPr="00743985">
        <w:rPr>
          <w:rFonts w:cs="Tahoma"/>
          <w:szCs w:val="24"/>
        </w:rPr>
        <w:t xml:space="preserve">En realidad, mínimo la AFP tendría que haber dado la siguiente información: </w:t>
      </w:r>
      <w:r w:rsidRPr="00743985">
        <w:rPr>
          <w:rFonts w:cs="Tahoma"/>
          <w:i/>
          <w:szCs w:val="24"/>
        </w:rPr>
        <w:t xml:space="preserve">i) </w:t>
      </w:r>
      <w:r w:rsidRPr="00743985">
        <w:rPr>
          <w:rFonts w:cs="Tahoma"/>
          <w:szCs w:val="24"/>
        </w:rPr>
        <w:t xml:space="preserve">Que, dependiendo del capital, puede pensionarse anticipadamente, esto es, antes de la edad mínima para la pensión de vejez. </w:t>
      </w:r>
      <w:r w:rsidRPr="00743985">
        <w:rPr>
          <w:rFonts w:cs="Tahoma"/>
          <w:i/>
          <w:szCs w:val="24"/>
        </w:rPr>
        <w:t xml:space="preserve">ii) </w:t>
      </w:r>
      <w:r w:rsidRPr="00743985">
        <w:rPr>
          <w:rFonts w:cs="Tahoma"/>
          <w:szCs w:val="24"/>
        </w:rPr>
        <w:t xml:space="preserve">La posibilidad para sus herederos de hacerse a la devolución de saldos, en caso de que no existieran beneficiaros para la pensión de sobrevivientes. </w:t>
      </w:r>
      <w:r w:rsidRPr="00743985">
        <w:rPr>
          <w:rFonts w:cs="Tahoma"/>
          <w:i/>
          <w:szCs w:val="24"/>
        </w:rPr>
        <w:t xml:space="preserve">iii) </w:t>
      </w:r>
      <w:r w:rsidRPr="00743985">
        <w:rPr>
          <w:rFonts w:cs="Tahoma"/>
          <w:szCs w:val="24"/>
        </w:rPr>
        <w:t xml:space="preserve">La devolución total del saldo en caso de no alcanzar a reunir el total de los requisitos legales para optar al beneficio pensional. </w:t>
      </w:r>
      <w:r w:rsidRPr="00743985">
        <w:rPr>
          <w:rFonts w:cs="Tahoma"/>
          <w:i/>
          <w:szCs w:val="24"/>
        </w:rPr>
        <w:t xml:space="preserve">iv) </w:t>
      </w:r>
      <w:r w:rsidRPr="00743985">
        <w:rPr>
          <w:rFonts w:cs="Tahoma"/>
          <w:szCs w:val="24"/>
        </w:rPr>
        <w:t xml:space="preserve">Tener la posibilidad de la pensión de vejez habiendo cotizado el mínimo de semanas requeridas a pesar de no reunir el capital suficiente para el financiamiento de la prestación económica. </w:t>
      </w:r>
      <w:r w:rsidRPr="00743985">
        <w:rPr>
          <w:rFonts w:cs="Tahoma"/>
          <w:i/>
          <w:szCs w:val="24"/>
        </w:rPr>
        <w:t xml:space="preserve">v) </w:t>
      </w:r>
      <w:r w:rsidRPr="00743985">
        <w:rPr>
          <w:rFonts w:cs="Tahoma"/>
          <w:szCs w:val="24"/>
        </w:rPr>
        <w:t xml:space="preserve">La posibilidad de que el reconocimiento de la pensión de vejez, una vez reunido los requisitos, se haga pronto. </w:t>
      </w:r>
      <w:r w:rsidRPr="00743985">
        <w:rPr>
          <w:rFonts w:cs="Tahoma"/>
          <w:i/>
          <w:szCs w:val="24"/>
        </w:rPr>
        <w:t xml:space="preserve">vi) </w:t>
      </w:r>
      <w:r w:rsidRPr="00743985">
        <w:rPr>
          <w:rFonts w:cs="Tahoma"/>
          <w:szCs w:val="24"/>
        </w:rPr>
        <w:t xml:space="preserve">La posibilidad de que sus aportes se conviertan en patrimonio </w:t>
      </w:r>
      <w:proofErr w:type="spellStart"/>
      <w:r w:rsidRPr="00743985">
        <w:rPr>
          <w:rFonts w:cs="Tahoma"/>
          <w:szCs w:val="24"/>
        </w:rPr>
        <w:t>sucesoral</w:t>
      </w:r>
      <w:proofErr w:type="spellEnd"/>
      <w:r w:rsidRPr="00743985">
        <w:rPr>
          <w:rFonts w:cs="Tahoma"/>
          <w:szCs w:val="24"/>
        </w:rPr>
        <w:t xml:space="preserve"> en un caso dado. </w:t>
      </w:r>
      <w:r w:rsidRPr="00743985">
        <w:rPr>
          <w:rFonts w:cs="Tahoma"/>
          <w:i/>
          <w:szCs w:val="24"/>
        </w:rPr>
        <w:t xml:space="preserve">vii) </w:t>
      </w:r>
      <w:r w:rsidRPr="00743985">
        <w:rPr>
          <w:rFonts w:cs="Tahoma"/>
          <w:szCs w:val="24"/>
        </w:rPr>
        <w:t xml:space="preserve">El hecho de que el afiliado es el único titular de la cuenta de ahorro individual en contraste con el fondo público cuyos ahorros hacen parte de un fondo común. </w:t>
      </w:r>
      <w:proofErr w:type="spellStart"/>
      <w:r w:rsidRPr="00743985">
        <w:rPr>
          <w:rFonts w:cs="Tahoma"/>
          <w:i/>
          <w:szCs w:val="24"/>
        </w:rPr>
        <w:t>viii</w:t>
      </w:r>
      <w:proofErr w:type="spellEnd"/>
      <w:r w:rsidRPr="00743985">
        <w:rPr>
          <w:rFonts w:cs="Tahoma"/>
          <w:i/>
          <w:szCs w:val="24"/>
        </w:rPr>
        <w:t xml:space="preserve">) </w:t>
      </w:r>
      <w:r w:rsidRPr="00743985">
        <w:rPr>
          <w:rFonts w:cs="Tahoma"/>
          <w:szCs w:val="24"/>
        </w:rPr>
        <w:t xml:space="preserve">Los rendimientos financieros que le generen sus aportes abonados sobre el saldo de su cuenta de ahorro individual; y, </w:t>
      </w:r>
      <w:proofErr w:type="spellStart"/>
      <w:r w:rsidRPr="00743985">
        <w:rPr>
          <w:rFonts w:cs="Tahoma"/>
          <w:i/>
          <w:szCs w:val="24"/>
        </w:rPr>
        <w:t>ix</w:t>
      </w:r>
      <w:proofErr w:type="spellEnd"/>
      <w:r w:rsidRPr="00743985">
        <w:rPr>
          <w:rFonts w:cs="Tahoma"/>
          <w:i/>
          <w:szCs w:val="24"/>
        </w:rPr>
        <w:t xml:space="preserve">) </w:t>
      </w:r>
      <w:r w:rsidRPr="00743985">
        <w:rPr>
          <w:rFonts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743985">
        <w:rPr>
          <w:rFonts w:cs="Tahoma"/>
          <w:szCs w:val="24"/>
        </w:rPr>
        <w:t>sucesoral</w:t>
      </w:r>
      <w:proofErr w:type="spellEnd"/>
      <w:r w:rsidRPr="00743985">
        <w:rPr>
          <w:rFonts w:cs="Tahoma"/>
          <w:szCs w:val="24"/>
        </w:rPr>
        <w:t xml:space="preserve">, pero le garantiza una pensión de por vida. La modalidad de </w:t>
      </w:r>
      <w:r w:rsidRPr="00743985">
        <w:rPr>
          <w:rFonts w:cs="Tahoma"/>
          <w:i/>
          <w:szCs w:val="24"/>
        </w:rPr>
        <w:t>retiro programado</w:t>
      </w:r>
      <w:r w:rsidRPr="00743985">
        <w:rPr>
          <w:rFonts w:cs="Tahoma"/>
          <w:szCs w:val="24"/>
        </w:rPr>
        <w:t xml:space="preserve"> la cual tiene la desventaja de que una vez se termine el saldo en la cuenta de ahorro individual, si supera la </w:t>
      </w:r>
      <w:r w:rsidRPr="00743985">
        <w:rPr>
          <w:rFonts w:cs="Tahoma"/>
          <w:szCs w:val="24"/>
        </w:rPr>
        <w:lastRenderedPageBreak/>
        <w:t>expectativa de vida tenida en cuenta por la AFP, se queda sin pensión de vejez durante los años posteriores. La modalidad de retiro programado con renta vitalicia, que combina las dos anteriores.</w:t>
      </w:r>
    </w:p>
    <w:p w14:paraId="09DC9F1D" w14:textId="27C7B4E4" w:rsidR="00144A99" w:rsidRPr="00743985" w:rsidRDefault="00144A99" w:rsidP="00743985">
      <w:pPr>
        <w:spacing w:line="276" w:lineRule="auto"/>
        <w:ind w:firstLine="708"/>
        <w:rPr>
          <w:rFonts w:cs="Tahoma"/>
          <w:szCs w:val="24"/>
        </w:rPr>
      </w:pPr>
    </w:p>
    <w:p w14:paraId="6B1095FC" w14:textId="77777777" w:rsidR="00423749" w:rsidRPr="00743985" w:rsidRDefault="00423749" w:rsidP="00743985">
      <w:pPr>
        <w:spacing w:line="276" w:lineRule="auto"/>
        <w:ind w:firstLine="708"/>
        <w:rPr>
          <w:rFonts w:cs="Tahoma"/>
          <w:szCs w:val="24"/>
        </w:rPr>
      </w:pPr>
      <w:r w:rsidRPr="00743985">
        <w:rPr>
          <w:rFonts w:cs="Tahoma"/>
          <w:szCs w:val="24"/>
        </w:rPr>
        <w:t xml:space="preserve">Porvenir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7990096C" w14:textId="77777777" w:rsidR="005C5322" w:rsidRPr="00743985" w:rsidRDefault="005C5322" w:rsidP="00743985">
      <w:pPr>
        <w:spacing w:line="276" w:lineRule="auto"/>
        <w:ind w:firstLine="708"/>
        <w:rPr>
          <w:rFonts w:eastAsia="Tahoma" w:cs="Tahoma"/>
          <w:szCs w:val="24"/>
        </w:rPr>
      </w:pPr>
    </w:p>
    <w:p w14:paraId="4D52A65F" w14:textId="38AD58DA" w:rsidR="005C5322" w:rsidRPr="00743985" w:rsidRDefault="005C5322" w:rsidP="00743985">
      <w:pPr>
        <w:spacing w:line="276" w:lineRule="auto"/>
        <w:ind w:firstLine="708"/>
        <w:rPr>
          <w:rFonts w:eastAsia="Tahoma" w:cs="Tahoma"/>
          <w:szCs w:val="24"/>
        </w:rPr>
      </w:pPr>
      <w:r w:rsidRPr="00743985">
        <w:rPr>
          <w:rFonts w:eastAsia="Tahoma" w:cs="Tahoma"/>
          <w:szCs w:val="24"/>
        </w:rPr>
        <w:t xml:space="preserve">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w:t>
      </w:r>
      <w:r w:rsidR="000263F9" w:rsidRPr="00743985">
        <w:rPr>
          <w:rFonts w:eastAsia="Tahoma" w:cs="Tahoma"/>
          <w:szCs w:val="24"/>
        </w:rPr>
        <w:t>e</w:t>
      </w:r>
      <w:r w:rsidRPr="00743985">
        <w:rPr>
          <w:rFonts w:eastAsia="Tahoma" w:cs="Tahoma"/>
          <w:szCs w:val="24"/>
        </w:rPr>
        <w:t>l promotor de la litis, pero dicho documento no logra evidenciar la información que se le brindó. En tal virtud se estima acertada la valoración probatoria efectuada por la operadora judicial de instancia.</w:t>
      </w:r>
    </w:p>
    <w:p w14:paraId="48BB8674" w14:textId="5D21E376" w:rsidR="005C5322" w:rsidRPr="00743985" w:rsidRDefault="005C5322" w:rsidP="00743985">
      <w:pPr>
        <w:spacing w:line="276" w:lineRule="auto"/>
        <w:ind w:firstLine="708"/>
        <w:rPr>
          <w:rFonts w:eastAsia="Tahoma" w:cs="Tahoma"/>
          <w:szCs w:val="24"/>
        </w:rPr>
      </w:pPr>
    </w:p>
    <w:p w14:paraId="02FEDD2C" w14:textId="77777777" w:rsidR="005C5322" w:rsidRPr="00743985" w:rsidRDefault="005C5322" w:rsidP="00743985">
      <w:pPr>
        <w:spacing w:line="276" w:lineRule="auto"/>
        <w:ind w:firstLine="708"/>
        <w:rPr>
          <w:rFonts w:eastAsia="Tahoma" w:cs="Tahoma"/>
          <w:szCs w:val="24"/>
        </w:rPr>
      </w:pPr>
      <w:r w:rsidRPr="00743985">
        <w:rPr>
          <w:rFonts w:eastAsia="Tahoma" w:cs="Tahoma"/>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781FFF1B" w14:textId="49F2FE69" w:rsidR="005C5322" w:rsidRPr="00743985" w:rsidRDefault="005C5322" w:rsidP="00743985">
      <w:pPr>
        <w:spacing w:line="276" w:lineRule="auto"/>
        <w:ind w:firstLine="708"/>
        <w:rPr>
          <w:rFonts w:eastAsia="Tahoma" w:cs="Tahoma"/>
          <w:szCs w:val="24"/>
        </w:rPr>
      </w:pPr>
    </w:p>
    <w:p w14:paraId="146D7646" w14:textId="57D3727A" w:rsidR="005C5322" w:rsidRPr="00743985" w:rsidRDefault="005C5322" w:rsidP="00743985">
      <w:pPr>
        <w:spacing w:line="276" w:lineRule="auto"/>
        <w:ind w:firstLine="708"/>
        <w:rPr>
          <w:rFonts w:eastAsia="Tahoma" w:cs="Tahoma"/>
          <w:szCs w:val="24"/>
        </w:rPr>
      </w:pPr>
      <w:r w:rsidRPr="00743985">
        <w:rPr>
          <w:rFonts w:eastAsia="Tahoma" w:cs="Tahoma"/>
          <w:szCs w:val="24"/>
        </w:rPr>
        <w:t>En cuanto a las condenas impartidas a cargo de Porvenir S.A. y Protección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w:t>
      </w:r>
      <w:r w:rsidRPr="00743985">
        <w:rPr>
          <w:rFonts w:eastAsia="Tahoma" w:cs="Tahoma"/>
          <w:b/>
          <w:bCs/>
          <w:szCs w:val="24"/>
        </w:rPr>
        <w:t xml:space="preserve"> </w:t>
      </w:r>
      <w:r w:rsidRPr="00743985">
        <w:rPr>
          <w:rFonts w:eastAsia="Tahoma" w:cs="Tahoma"/>
          <w:szCs w:val="24"/>
        </w:rPr>
        <w:t xml:space="preserve">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w:t>
      </w:r>
      <w:r w:rsidRPr="00743985">
        <w:rPr>
          <w:rFonts w:eastAsia="Tahoma" w:cs="Tahoma"/>
          <w:szCs w:val="24"/>
        </w:rPr>
        <w:lastRenderedPageBreak/>
        <w:t>recursos, sumas todas que deben pagarse debidamente indexadas, por lo que se confirmará la sentencia apelada frente a tal decisión.</w:t>
      </w:r>
    </w:p>
    <w:p w14:paraId="0A16E970" w14:textId="77777777" w:rsidR="005C5322" w:rsidRPr="00743985" w:rsidRDefault="005C5322" w:rsidP="00743985">
      <w:pPr>
        <w:spacing w:line="276" w:lineRule="auto"/>
        <w:ind w:firstLine="708"/>
        <w:rPr>
          <w:rFonts w:eastAsia="Tahoma" w:cs="Tahoma"/>
          <w:szCs w:val="24"/>
        </w:rPr>
      </w:pPr>
    </w:p>
    <w:p w14:paraId="7E8409C6" w14:textId="06DBF065" w:rsidR="005C5322" w:rsidRPr="00743985" w:rsidRDefault="005C5322" w:rsidP="00743985">
      <w:pPr>
        <w:spacing w:line="276" w:lineRule="auto"/>
        <w:ind w:firstLine="708"/>
        <w:rPr>
          <w:rFonts w:eastAsia="Tahoma" w:cs="Tahoma"/>
          <w:szCs w:val="24"/>
          <w:lang w:val="es-ES"/>
        </w:rPr>
      </w:pPr>
      <w:r w:rsidRPr="00743985">
        <w:rPr>
          <w:rFonts w:eastAsia="Tahoma" w:cs="Tahoma"/>
          <w:szCs w:val="24"/>
          <w:lang w:val="es-ES"/>
        </w:rPr>
        <w:t xml:space="preserve">Pues bien, previo a arribar los demás problemas jurídicos vale la pena hacer referencia a que </w:t>
      </w:r>
      <w:r w:rsidR="000263F9" w:rsidRPr="00743985">
        <w:rPr>
          <w:rFonts w:eastAsia="Tahoma" w:cs="Tahoma"/>
          <w:szCs w:val="24"/>
          <w:lang w:val="es-ES"/>
        </w:rPr>
        <w:t xml:space="preserve">Porvenir y </w:t>
      </w:r>
      <w:r w:rsidRPr="00743985">
        <w:rPr>
          <w:rFonts w:eastAsia="Tahoma" w:cs="Tahoma"/>
          <w:szCs w:val="24"/>
          <w:lang w:val="es-ES"/>
        </w:rPr>
        <w:t>Protección S.A. en su alzada, de alguna manera, solicita</w:t>
      </w:r>
      <w:r w:rsidR="000263F9" w:rsidRPr="00743985">
        <w:rPr>
          <w:rFonts w:eastAsia="Tahoma" w:cs="Tahoma"/>
          <w:szCs w:val="24"/>
          <w:lang w:val="es-ES"/>
        </w:rPr>
        <w:t>n</w:t>
      </w:r>
      <w:r w:rsidRPr="00743985">
        <w:rPr>
          <w:rFonts w:eastAsia="Tahoma" w:cs="Tahoma"/>
          <w:szCs w:val="24"/>
          <w:lang w:val="es-ES"/>
        </w:rPr>
        <w:t xml:space="preserve"> que se desconozca el precedente ya traído a colación, petición que no se torna posible porque la Sala no encuentra razones de peso atendibles para apartarse de la posición de la corte Suprema de Justicia.  </w:t>
      </w:r>
    </w:p>
    <w:p w14:paraId="2A77E2F9" w14:textId="77777777" w:rsidR="005C5322" w:rsidRPr="00743985" w:rsidRDefault="005C5322" w:rsidP="00743985">
      <w:pPr>
        <w:spacing w:line="276" w:lineRule="auto"/>
        <w:ind w:firstLine="708"/>
        <w:rPr>
          <w:rFonts w:eastAsia="Tahoma" w:cs="Tahoma"/>
          <w:b/>
          <w:bCs/>
          <w:szCs w:val="24"/>
          <w:lang w:val="es-ES"/>
        </w:rPr>
      </w:pPr>
    </w:p>
    <w:p w14:paraId="544B2F9D" w14:textId="77777777" w:rsidR="005C5322" w:rsidRPr="00743985" w:rsidRDefault="005C5322" w:rsidP="00743985">
      <w:pPr>
        <w:spacing w:line="276" w:lineRule="auto"/>
        <w:ind w:firstLine="708"/>
        <w:rPr>
          <w:rFonts w:eastAsia="Tahoma" w:cs="Tahoma"/>
          <w:szCs w:val="24"/>
          <w:lang w:val="es-ES"/>
        </w:rPr>
      </w:pPr>
      <w:r w:rsidRPr="00743985">
        <w:rPr>
          <w:rFonts w:eastAsia="Tahoma" w:cs="Tahoma"/>
          <w:szCs w:val="24"/>
          <w:lang w:val="es-ES"/>
        </w:rPr>
        <w:t>En este punto, recuérdese que la Corte Constitucional en sentencia SU-053-2015, ha definido el precedente judicial como «</w:t>
      </w:r>
      <w:r w:rsidRPr="005E7342">
        <w:rPr>
          <w:rFonts w:eastAsia="Tahoma" w:cs="Tahoma"/>
          <w:sz w:val="22"/>
          <w:szCs w:val="24"/>
          <w:lang w:val="es-ES"/>
        </w:rPr>
        <w:t>la sentencia o el conjunto de ellas, anteriores a un caso determinado, que por su pertinencia y semejanza en los problemas jurídicos resueltos, debe necesariamente considerarse por las autoridades judiciales al momento de emitir un fallo</w:t>
      </w:r>
      <w:r w:rsidRPr="00743985">
        <w:rPr>
          <w:rFonts w:eastAsia="Tahoma" w:cs="Tahoma"/>
          <w:szCs w:val="24"/>
          <w:lang w:val="es-ES"/>
        </w:rPr>
        <w:t>» y, en tal sentido, el emitido por los máximos órganos de cierre, “</w:t>
      </w:r>
      <w:r w:rsidRPr="005E7342">
        <w:rPr>
          <w:rFonts w:eastAsia="Tahoma" w:cs="Tahoma"/>
          <w:sz w:val="22"/>
          <w:szCs w:val="24"/>
          <w:lang w:val="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743985">
        <w:rPr>
          <w:rFonts w:eastAsia="Tahoma" w:cs="Tahoma"/>
          <w:szCs w:val="24"/>
          <w:lang w:val="es-ES"/>
        </w:rPr>
        <w:t>” (STL4759-2020).</w:t>
      </w:r>
    </w:p>
    <w:p w14:paraId="33735855" w14:textId="645972E6" w:rsidR="00423749" w:rsidRPr="00743985" w:rsidRDefault="00423749" w:rsidP="00743985">
      <w:pPr>
        <w:spacing w:line="276" w:lineRule="auto"/>
        <w:ind w:firstLine="708"/>
        <w:rPr>
          <w:rFonts w:cs="Tahoma"/>
          <w:szCs w:val="24"/>
          <w:lang w:val="es-ES"/>
        </w:rPr>
      </w:pPr>
    </w:p>
    <w:p w14:paraId="0145EEF2" w14:textId="5F80DC1F" w:rsidR="000D1C05" w:rsidRPr="00743985" w:rsidRDefault="000D1C05" w:rsidP="00743985">
      <w:pPr>
        <w:spacing w:line="276" w:lineRule="auto"/>
        <w:ind w:firstLine="708"/>
        <w:rPr>
          <w:rFonts w:eastAsia="Tahoma" w:cs="Tahoma"/>
          <w:b/>
          <w:bCs/>
          <w:szCs w:val="24"/>
        </w:rPr>
      </w:pPr>
      <w:r w:rsidRPr="00743985">
        <w:rPr>
          <w:rFonts w:eastAsia="Tahoma" w:cs="Tahoma"/>
          <w:szCs w:val="24"/>
        </w:rPr>
        <w:t xml:space="preserve">Frente al argumento </w:t>
      </w:r>
      <w:r w:rsidR="00592281" w:rsidRPr="00743985">
        <w:rPr>
          <w:rFonts w:eastAsia="Tahoma" w:cs="Tahoma"/>
          <w:szCs w:val="24"/>
        </w:rPr>
        <w:t xml:space="preserve">de Colpensiones, </w:t>
      </w:r>
      <w:r w:rsidRPr="00743985">
        <w:rPr>
          <w:rFonts w:eastAsia="Tahoma" w:cs="Tahoma"/>
          <w:szCs w:val="24"/>
        </w:rPr>
        <w:t>referente a que era improcedente permitir que el demandante se trasladara hacia dicha entidad al superar la edad mínima pensional, según lo estipulado en el literal e) del artículo 13 de la Ley 100 de 1993, modificado por la Ley 797 de 2003,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w:t>
      </w:r>
      <w:r w:rsidRPr="00743985">
        <w:rPr>
          <w:rFonts w:eastAsia="Tahoma" w:cs="Tahoma"/>
          <w:b/>
          <w:bCs/>
          <w:szCs w:val="24"/>
        </w:rPr>
        <w:t xml:space="preserve"> </w:t>
      </w:r>
      <w:r w:rsidRPr="00743985">
        <w:rPr>
          <w:rFonts w:eastAsia="Tahoma" w:cs="Tahoma"/>
          <w:szCs w:val="24"/>
        </w:rPr>
        <w:t>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0E0EA2F6" w14:textId="77777777" w:rsidR="000D1C05" w:rsidRPr="00743985" w:rsidRDefault="000D1C05" w:rsidP="00743985">
      <w:pPr>
        <w:spacing w:line="276" w:lineRule="auto"/>
        <w:ind w:firstLine="708"/>
        <w:rPr>
          <w:rFonts w:eastAsia="Tahoma" w:cs="Tahoma"/>
          <w:szCs w:val="24"/>
        </w:rPr>
      </w:pPr>
    </w:p>
    <w:p w14:paraId="354E858B" w14:textId="7C76ECD2" w:rsidR="000D1C05" w:rsidRPr="00743985" w:rsidRDefault="000D1C05" w:rsidP="00743985">
      <w:pPr>
        <w:spacing w:line="276" w:lineRule="auto"/>
        <w:ind w:firstLine="708"/>
        <w:rPr>
          <w:rFonts w:eastAsia="Tahoma" w:cs="Tahoma"/>
          <w:szCs w:val="24"/>
        </w:rPr>
      </w:pPr>
      <w:r w:rsidRPr="00743985">
        <w:rPr>
          <w:rFonts w:eastAsia="Tahoma" w:cs="Tahoma"/>
          <w:szCs w:val="24"/>
        </w:rPr>
        <w:t>De otro lado, respecto a la solicitud de las AFP Porvenir S.A. y Protección S.A., tendiente a que no se las condene en costas bajo el argumento de que se cumplieron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10DFE688" w14:textId="18D41B80" w:rsidR="00877209" w:rsidRPr="00743985" w:rsidRDefault="00877209" w:rsidP="00743985">
      <w:pPr>
        <w:spacing w:line="276" w:lineRule="auto"/>
        <w:ind w:firstLine="708"/>
        <w:rPr>
          <w:rFonts w:cs="Tahoma"/>
          <w:szCs w:val="24"/>
        </w:rPr>
      </w:pPr>
    </w:p>
    <w:p w14:paraId="6C745AB0" w14:textId="77777777" w:rsidR="00F834B1" w:rsidRPr="00743985" w:rsidRDefault="00F834B1" w:rsidP="00743985">
      <w:pPr>
        <w:widowControl w:val="0"/>
        <w:autoSpaceDE w:val="0"/>
        <w:autoSpaceDN w:val="0"/>
        <w:adjustRightInd w:val="0"/>
        <w:spacing w:line="276" w:lineRule="auto"/>
        <w:ind w:firstLine="708"/>
        <w:rPr>
          <w:rFonts w:eastAsia="Calibri" w:cs="Tahoma"/>
          <w:szCs w:val="24"/>
        </w:rPr>
      </w:pPr>
      <w:r w:rsidRPr="00743985">
        <w:rPr>
          <w:rFonts w:eastAsia="Calibri" w:cs="Tahoma"/>
          <w:szCs w:val="24"/>
        </w:rPr>
        <w:t xml:space="preserve">Importa precisar que como la declaratoria de ineficacia trae como consecuencia que las cosas se reestablezcan al estado en el que se encontraban al momento del traslado de régimen, fue acertada la determinación de la A-quo de comunicar la </w:t>
      </w:r>
      <w:r w:rsidRPr="00743985">
        <w:rPr>
          <w:rFonts w:eastAsia="Calibri" w:cs="Tahoma"/>
          <w:szCs w:val="24"/>
        </w:rPr>
        <w:lastRenderedPageBreak/>
        <w:t>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1C2FAFB4" w14:textId="709BF30A" w:rsidR="00F834B1" w:rsidRPr="00743985" w:rsidRDefault="00F834B1" w:rsidP="00743985">
      <w:pPr>
        <w:spacing w:line="276" w:lineRule="auto"/>
        <w:ind w:firstLine="708"/>
        <w:rPr>
          <w:rFonts w:cs="Tahoma"/>
          <w:szCs w:val="24"/>
        </w:rPr>
      </w:pPr>
    </w:p>
    <w:p w14:paraId="77945F5F" w14:textId="3AFEC2D8" w:rsidR="00F834B1" w:rsidRPr="00743985" w:rsidRDefault="00F834B1" w:rsidP="00743985">
      <w:pPr>
        <w:widowControl w:val="0"/>
        <w:autoSpaceDE w:val="0"/>
        <w:autoSpaceDN w:val="0"/>
        <w:adjustRightInd w:val="0"/>
        <w:spacing w:line="276" w:lineRule="auto"/>
        <w:ind w:firstLine="708"/>
        <w:rPr>
          <w:rFonts w:eastAsia="Calibri" w:cs="Tahoma"/>
          <w:szCs w:val="24"/>
        </w:rPr>
      </w:pPr>
      <w:r w:rsidRPr="00743985">
        <w:rPr>
          <w:rFonts w:eastAsia="Calibri" w:cs="Tahoma"/>
          <w:szCs w:val="24"/>
        </w:rPr>
        <w:t xml:space="preserve">En esta instancia de conformidad a lo consagrado en el artículo 365 del CGP, se condenará en costas procesales a Porvenir S.A., </w:t>
      </w:r>
      <w:r w:rsidRPr="00743985">
        <w:rPr>
          <w:rFonts w:eastAsia="Calibri" w:cs="Tahoma"/>
          <w:bCs/>
          <w:szCs w:val="24"/>
        </w:rPr>
        <w:t xml:space="preserve">Protección S.A. </w:t>
      </w:r>
      <w:r w:rsidRPr="00743985">
        <w:rPr>
          <w:rFonts w:eastAsia="Calibri" w:cs="Tahoma"/>
          <w:szCs w:val="24"/>
        </w:rPr>
        <w:t xml:space="preserve">y Colpensiones a favor de la parte actora, las cuales se liquidarán por la secretaría del juzgado de origen. </w:t>
      </w:r>
    </w:p>
    <w:p w14:paraId="121BC257" w14:textId="77777777" w:rsidR="00F834B1" w:rsidRPr="00743985" w:rsidRDefault="00F834B1" w:rsidP="00743985">
      <w:pPr>
        <w:spacing w:line="276" w:lineRule="auto"/>
        <w:ind w:firstLine="284"/>
        <w:rPr>
          <w:rFonts w:cs="Tahoma"/>
          <w:szCs w:val="24"/>
        </w:rPr>
      </w:pPr>
    </w:p>
    <w:p w14:paraId="6C997304" w14:textId="759E1E20" w:rsidR="00F834B1" w:rsidRPr="00743985" w:rsidRDefault="00F834B1" w:rsidP="00743985">
      <w:pPr>
        <w:spacing w:line="276" w:lineRule="auto"/>
        <w:ind w:firstLine="708"/>
        <w:rPr>
          <w:rFonts w:cs="Tahoma"/>
          <w:szCs w:val="24"/>
        </w:rPr>
      </w:pPr>
      <w:r w:rsidRPr="00743985">
        <w:rPr>
          <w:rFonts w:eastAsia="Tahoma" w:cs="Tahoma"/>
          <w:szCs w:val="24"/>
        </w:rPr>
        <w:t xml:space="preserve">En mérito de lo expuesto, el </w:t>
      </w:r>
      <w:r w:rsidRPr="00743985">
        <w:rPr>
          <w:rFonts w:eastAsia="Tahoma" w:cs="Tahoma"/>
          <w:b/>
          <w:bCs/>
          <w:szCs w:val="24"/>
        </w:rPr>
        <w:t>Tribunal Superior del Distrito Judicial de Pereira - Risaralda, Sala Primera de Decisión Laboral</w:t>
      </w:r>
      <w:r w:rsidRPr="00743985">
        <w:rPr>
          <w:rFonts w:eastAsia="Tahoma" w:cs="Tahoma"/>
          <w:szCs w:val="24"/>
        </w:rPr>
        <w:t>, administrando justicia en nombre de la República y por autoridad de la ley,</w:t>
      </w:r>
    </w:p>
    <w:p w14:paraId="2FE94DD5" w14:textId="77777777" w:rsidR="00F834B1" w:rsidRPr="00743985" w:rsidRDefault="00F834B1" w:rsidP="00743985">
      <w:pPr>
        <w:spacing w:line="276" w:lineRule="auto"/>
        <w:ind w:firstLine="644"/>
        <w:rPr>
          <w:rFonts w:cs="Tahoma"/>
          <w:szCs w:val="24"/>
        </w:rPr>
      </w:pPr>
    </w:p>
    <w:p w14:paraId="245BAEB6" w14:textId="77777777" w:rsidR="00F834B1" w:rsidRPr="00743985" w:rsidRDefault="00F834B1" w:rsidP="00743985">
      <w:pPr>
        <w:spacing w:line="276" w:lineRule="auto"/>
        <w:ind w:firstLine="284"/>
        <w:jc w:val="center"/>
        <w:rPr>
          <w:rFonts w:cs="Tahoma"/>
          <w:szCs w:val="24"/>
        </w:rPr>
      </w:pPr>
      <w:r w:rsidRPr="00743985">
        <w:rPr>
          <w:rFonts w:eastAsia="Tahoma" w:cs="Tahoma"/>
          <w:b/>
          <w:bCs/>
          <w:szCs w:val="24"/>
        </w:rPr>
        <w:t>RESUELVE</w:t>
      </w:r>
    </w:p>
    <w:p w14:paraId="6C4A36C9" w14:textId="77777777" w:rsidR="00F834B1" w:rsidRPr="00743985" w:rsidRDefault="00F834B1" w:rsidP="00743985">
      <w:pPr>
        <w:spacing w:line="276" w:lineRule="auto"/>
        <w:rPr>
          <w:rFonts w:cs="Tahoma"/>
          <w:szCs w:val="24"/>
        </w:rPr>
      </w:pPr>
      <w:r w:rsidRPr="00743985">
        <w:rPr>
          <w:rFonts w:eastAsia="Tahoma" w:cs="Tahoma"/>
          <w:b/>
          <w:bCs/>
          <w:szCs w:val="24"/>
        </w:rPr>
        <w:t xml:space="preserve"> </w:t>
      </w:r>
    </w:p>
    <w:p w14:paraId="76249F79" w14:textId="08D1510B" w:rsidR="00F834B1" w:rsidRPr="00743985" w:rsidRDefault="00F834B1" w:rsidP="00743985">
      <w:pPr>
        <w:spacing w:line="276" w:lineRule="auto"/>
        <w:ind w:firstLine="644"/>
        <w:rPr>
          <w:rFonts w:eastAsia="Tahoma" w:cs="Tahoma"/>
          <w:szCs w:val="24"/>
          <w:lang w:eastAsia="es-ES"/>
        </w:rPr>
      </w:pPr>
      <w:r w:rsidRPr="00743985">
        <w:rPr>
          <w:rFonts w:eastAsia="Tahoma" w:cs="Tahoma"/>
          <w:b/>
          <w:bCs/>
          <w:szCs w:val="24"/>
          <w:lang w:eastAsia="es-ES"/>
        </w:rPr>
        <w:t>PRIMERO</w:t>
      </w:r>
      <w:r w:rsidRPr="00743985">
        <w:rPr>
          <w:rFonts w:eastAsia="Tahoma" w:cs="Tahoma"/>
          <w:szCs w:val="24"/>
          <w:lang w:eastAsia="es-ES"/>
        </w:rPr>
        <w:t>: </w:t>
      </w:r>
      <w:r w:rsidRPr="00743985">
        <w:rPr>
          <w:rFonts w:eastAsia="Tahoma" w:cs="Tahoma"/>
          <w:b/>
          <w:bCs/>
          <w:szCs w:val="24"/>
          <w:lang w:eastAsia="es-ES"/>
        </w:rPr>
        <w:t>CONFIRMAR</w:t>
      </w:r>
      <w:r w:rsidRPr="00743985">
        <w:rPr>
          <w:rFonts w:eastAsia="Tahoma" w:cs="Tahoma"/>
          <w:szCs w:val="24"/>
          <w:lang w:eastAsia="es-ES"/>
        </w:rPr>
        <w:t xml:space="preserve"> la sentencia proferida por el Juzgado Quinto Laboral de Circuito de Pereira el </w:t>
      </w:r>
      <w:r w:rsidR="007478E0" w:rsidRPr="00743985">
        <w:rPr>
          <w:rFonts w:eastAsia="Tahoma" w:cs="Tahoma"/>
          <w:szCs w:val="24"/>
          <w:lang w:eastAsia="es-ES"/>
        </w:rPr>
        <w:t>14 de septiembre</w:t>
      </w:r>
      <w:r w:rsidRPr="00743985">
        <w:rPr>
          <w:rFonts w:eastAsia="Tahoma" w:cs="Tahoma"/>
          <w:szCs w:val="24"/>
          <w:lang w:eastAsia="es-ES"/>
        </w:rPr>
        <w:t xml:space="preserve"> </w:t>
      </w:r>
      <w:r w:rsidR="00592281" w:rsidRPr="00743985">
        <w:rPr>
          <w:rFonts w:eastAsia="Tahoma" w:cs="Tahoma"/>
          <w:szCs w:val="24"/>
          <w:lang w:eastAsia="es-ES"/>
        </w:rPr>
        <w:t xml:space="preserve">2021 </w:t>
      </w:r>
      <w:r w:rsidRPr="00743985">
        <w:rPr>
          <w:rFonts w:eastAsia="Tahoma" w:cs="Tahoma"/>
          <w:szCs w:val="24"/>
          <w:lang w:eastAsia="es-ES"/>
        </w:rPr>
        <w:t>dentro del proceso de la referencia, por las razones expuestas en la parte motiva de esta providencia.</w:t>
      </w:r>
    </w:p>
    <w:p w14:paraId="7606D8DE" w14:textId="77777777" w:rsidR="00F834B1" w:rsidRPr="00743985" w:rsidRDefault="00F834B1" w:rsidP="00743985">
      <w:pPr>
        <w:spacing w:line="276" w:lineRule="auto"/>
        <w:ind w:firstLine="705"/>
        <w:textAlignment w:val="baseline"/>
        <w:rPr>
          <w:rFonts w:eastAsia="Times New Roman" w:cs="Tahoma"/>
          <w:b/>
          <w:bCs/>
          <w:szCs w:val="24"/>
          <w:lang w:eastAsia="es-ES"/>
        </w:rPr>
      </w:pPr>
      <w:r w:rsidRPr="00743985">
        <w:rPr>
          <w:rFonts w:eastAsia="Times New Roman" w:cs="Tahoma"/>
          <w:b/>
          <w:bCs/>
          <w:szCs w:val="24"/>
          <w:lang w:eastAsia="es-ES"/>
        </w:rPr>
        <w:t xml:space="preserve"> </w:t>
      </w:r>
    </w:p>
    <w:p w14:paraId="7FBABCD9" w14:textId="77777777" w:rsidR="00F834B1" w:rsidRPr="00743985" w:rsidRDefault="00F834B1" w:rsidP="00743985">
      <w:pPr>
        <w:spacing w:line="276" w:lineRule="auto"/>
        <w:ind w:firstLine="644"/>
        <w:rPr>
          <w:rFonts w:eastAsia="Tahoma" w:cs="Tahoma"/>
          <w:szCs w:val="24"/>
          <w:lang w:eastAsia="es-ES"/>
        </w:rPr>
      </w:pPr>
      <w:r w:rsidRPr="00743985">
        <w:rPr>
          <w:rFonts w:eastAsia="Tahoma" w:cs="Tahoma"/>
          <w:b/>
          <w:bCs/>
          <w:szCs w:val="24"/>
          <w:lang w:eastAsia="es-ES"/>
        </w:rPr>
        <w:t>SEGUNDO</w:t>
      </w:r>
      <w:r w:rsidRPr="00743985">
        <w:rPr>
          <w:rFonts w:eastAsia="Tahoma" w:cs="Tahoma"/>
          <w:szCs w:val="24"/>
          <w:lang w:eastAsia="es-ES"/>
        </w:rPr>
        <w:t xml:space="preserve">: </w:t>
      </w:r>
      <w:r w:rsidRPr="00743985">
        <w:rPr>
          <w:rFonts w:eastAsia="Tahoma" w:cs="Tahoma"/>
          <w:b/>
          <w:bCs/>
          <w:szCs w:val="24"/>
          <w:lang w:eastAsia="es-ES"/>
        </w:rPr>
        <w:t>CONDENAR</w:t>
      </w:r>
      <w:r w:rsidRPr="00743985">
        <w:rPr>
          <w:rFonts w:eastAsia="Tahoma" w:cs="Tahoma"/>
          <w:szCs w:val="24"/>
          <w:lang w:eastAsia="es-ES"/>
        </w:rPr>
        <w:t xml:space="preserve"> en costas de segunda instancia a Porvenir </w:t>
      </w:r>
      <w:r w:rsidRPr="00743985">
        <w:rPr>
          <w:rFonts w:cs="Tahoma"/>
          <w:bCs/>
          <w:szCs w:val="24"/>
        </w:rPr>
        <w:t>S.A., Protección S.A.</w:t>
      </w:r>
      <w:r w:rsidRPr="00743985">
        <w:rPr>
          <w:rFonts w:eastAsia="Tahoma" w:cs="Tahoma"/>
          <w:szCs w:val="24"/>
          <w:lang w:eastAsia="es-ES"/>
        </w:rPr>
        <w:t xml:space="preserve"> y a Colpensiones a favor de la parte demandante, las cuales se liquidarán por el juzgado de origen.</w:t>
      </w:r>
    </w:p>
    <w:p w14:paraId="39EBC8F1" w14:textId="77777777" w:rsidR="00F834B1" w:rsidRPr="00743985" w:rsidRDefault="00F834B1" w:rsidP="00743985">
      <w:pPr>
        <w:spacing w:line="276" w:lineRule="auto"/>
        <w:textAlignment w:val="baseline"/>
        <w:rPr>
          <w:rFonts w:cs="Tahoma"/>
          <w:szCs w:val="24"/>
        </w:rPr>
      </w:pPr>
      <w:r w:rsidRPr="00743985">
        <w:rPr>
          <w:rFonts w:eastAsia="Tahoma" w:cs="Tahoma"/>
          <w:b/>
          <w:bCs/>
          <w:szCs w:val="24"/>
        </w:rPr>
        <w:t xml:space="preserve">  </w:t>
      </w:r>
    </w:p>
    <w:p w14:paraId="50543D3D" w14:textId="77777777" w:rsidR="00743985" w:rsidRPr="00743985" w:rsidRDefault="00743985" w:rsidP="00743985">
      <w:pPr>
        <w:widowControl w:val="0"/>
        <w:autoSpaceDE w:val="0"/>
        <w:autoSpaceDN w:val="0"/>
        <w:adjustRightInd w:val="0"/>
        <w:spacing w:line="276" w:lineRule="auto"/>
        <w:jc w:val="center"/>
        <w:rPr>
          <w:rFonts w:cs="Tahoma"/>
          <w:b/>
          <w:szCs w:val="24"/>
        </w:rPr>
      </w:pPr>
      <w:r w:rsidRPr="00743985">
        <w:rPr>
          <w:rFonts w:cs="Tahoma"/>
          <w:b/>
          <w:szCs w:val="24"/>
        </w:rPr>
        <w:t>NOTIFÍQUESE Y CÚMPLASE</w:t>
      </w:r>
    </w:p>
    <w:p w14:paraId="4ABE1E15" w14:textId="77777777" w:rsidR="00743985" w:rsidRPr="00743985" w:rsidRDefault="00743985" w:rsidP="00743985">
      <w:pPr>
        <w:spacing w:line="276" w:lineRule="auto"/>
        <w:textAlignment w:val="baseline"/>
        <w:rPr>
          <w:rFonts w:eastAsia="Times New Roman" w:cs="Tahoma"/>
          <w:szCs w:val="24"/>
          <w:lang w:eastAsia="es-ES_tradnl"/>
        </w:rPr>
      </w:pPr>
      <w:r w:rsidRPr="00743985">
        <w:rPr>
          <w:rFonts w:eastAsia="Times New Roman" w:cs="Tahoma"/>
          <w:szCs w:val="24"/>
          <w:lang w:eastAsia="es-ES_tradnl"/>
        </w:rPr>
        <w:t> </w:t>
      </w:r>
    </w:p>
    <w:p w14:paraId="7A94EC0F" w14:textId="77777777" w:rsidR="00743985" w:rsidRPr="00743985" w:rsidRDefault="00743985" w:rsidP="00743985">
      <w:pPr>
        <w:spacing w:line="276" w:lineRule="auto"/>
        <w:textAlignment w:val="baseline"/>
        <w:rPr>
          <w:rFonts w:eastAsia="Times New Roman" w:cs="Tahoma"/>
          <w:szCs w:val="24"/>
          <w:lang w:eastAsia="es-ES_tradnl"/>
        </w:rPr>
      </w:pPr>
    </w:p>
    <w:p w14:paraId="3E30F2E3" w14:textId="77777777" w:rsidR="00743985" w:rsidRPr="00743985" w:rsidRDefault="00743985" w:rsidP="00743985">
      <w:pPr>
        <w:widowControl w:val="0"/>
        <w:autoSpaceDE w:val="0"/>
        <w:autoSpaceDN w:val="0"/>
        <w:adjustRightInd w:val="0"/>
        <w:spacing w:line="276" w:lineRule="auto"/>
        <w:rPr>
          <w:rFonts w:eastAsia="Times New Roman" w:cs="Tahoma"/>
          <w:szCs w:val="24"/>
          <w:lang w:val="es-ES" w:eastAsia="es-ES"/>
        </w:rPr>
      </w:pPr>
      <w:r w:rsidRPr="00743985">
        <w:rPr>
          <w:rFonts w:eastAsia="Times New Roman" w:cs="Tahoma"/>
          <w:szCs w:val="24"/>
          <w:lang w:val="es-ES" w:eastAsia="es-ES"/>
        </w:rPr>
        <w:tab/>
        <w:t>La Magistrada ponente,</w:t>
      </w:r>
    </w:p>
    <w:p w14:paraId="76E2B69E" w14:textId="77777777" w:rsidR="00743985" w:rsidRPr="00743985" w:rsidRDefault="00743985" w:rsidP="00743985">
      <w:pPr>
        <w:spacing w:line="276" w:lineRule="auto"/>
        <w:jc w:val="left"/>
        <w:rPr>
          <w:rFonts w:eastAsia="Times New Roman" w:cs="Tahoma"/>
          <w:szCs w:val="24"/>
          <w:lang w:val="es-ES" w:eastAsia="es-ES"/>
        </w:rPr>
      </w:pPr>
    </w:p>
    <w:p w14:paraId="7284C887" w14:textId="77777777" w:rsidR="00743985" w:rsidRPr="00743985" w:rsidRDefault="00743985" w:rsidP="00743985">
      <w:pPr>
        <w:spacing w:line="276" w:lineRule="auto"/>
        <w:jc w:val="left"/>
        <w:rPr>
          <w:rFonts w:eastAsia="Times New Roman" w:cs="Tahoma"/>
          <w:szCs w:val="24"/>
          <w:lang w:val="es-ES" w:eastAsia="es-ES"/>
        </w:rPr>
      </w:pPr>
    </w:p>
    <w:p w14:paraId="6B0DCA11" w14:textId="77777777" w:rsidR="00743985" w:rsidRPr="00743985" w:rsidRDefault="00743985" w:rsidP="00743985">
      <w:pPr>
        <w:spacing w:line="276" w:lineRule="auto"/>
        <w:jc w:val="left"/>
        <w:rPr>
          <w:rFonts w:eastAsia="Times New Roman" w:cs="Tahoma"/>
          <w:szCs w:val="24"/>
          <w:lang w:val="es-ES" w:eastAsia="es-ES"/>
        </w:rPr>
      </w:pPr>
    </w:p>
    <w:p w14:paraId="0B0DE517" w14:textId="77777777" w:rsidR="00743985" w:rsidRPr="00743985" w:rsidRDefault="00743985" w:rsidP="00743985">
      <w:pPr>
        <w:keepNext/>
        <w:spacing w:line="276" w:lineRule="auto"/>
        <w:jc w:val="center"/>
        <w:outlineLvl w:val="2"/>
        <w:rPr>
          <w:rFonts w:eastAsia="Times New Roman" w:cs="Tahoma"/>
          <w:b/>
          <w:bCs/>
          <w:szCs w:val="24"/>
          <w:lang w:val="es-ES" w:eastAsia="es-ES"/>
        </w:rPr>
      </w:pPr>
      <w:r w:rsidRPr="00743985">
        <w:rPr>
          <w:rFonts w:eastAsia="Times New Roman" w:cs="Tahoma"/>
          <w:b/>
          <w:bCs/>
          <w:szCs w:val="24"/>
          <w:lang w:val="es-ES" w:eastAsia="es-ES"/>
        </w:rPr>
        <w:t>ANA LUCÍA CAICEDO CALDERÓN</w:t>
      </w:r>
    </w:p>
    <w:p w14:paraId="2F1A6106" w14:textId="77777777" w:rsidR="00743985" w:rsidRPr="00743985" w:rsidRDefault="00743985" w:rsidP="00743985">
      <w:pPr>
        <w:spacing w:line="276" w:lineRule="auto"/>
        <w:jc w:val="left"/>
        <w:rPr>
          <w:rFonts w:eastAsia="Times New Roman" w:cs="Tahoma"/>
          <w:szCs w:val="24"/>
          <w:lang w:val="es-ES" w:eastAsia="es-ES"/>
        </w:rPr>
      </w:pPr>
    </w:p>
    <w:p w14:paraId="2208E977" w14:textId="77777777" w:rsidR="00743985" w:rsidRPr="00743985" w:rsidRDefault="00743985" w:rsidP="00743985">
      <w:pPr>
        <w:spacing w:line="276" w:lineRule="auto"/>
        <w:ind w:firstLine="708"/>
        <w:jc w:val="left"/>
        <w:rPr>
          <w:rFonts w:eastAsia="Times New Roman" w:cs="Tahoma"/>
          <w:szCs w:val="24"/>
          <w:lang w:val="es-ES" w:eastAsia="es-ES"/>
        </w:rPr>
      </w:pPr>
      <w:bookmarkStart w:id="9" w:name="_Hlk62478330"/>
      <w:r w:rsidRPr="00743985">
        <w:rPr>
          <w:rFonts w:eastAsia="Times New Roman" w:cs="Tahoma"/>
          <w:szCs w:val="24"/>
          <w:lang w:val="es-ES" w:eastAsia="es-ES"/>
        </w:rPr>
        <w:t>La Magistrada y el Magistrado,</w:t>
      </w:r>
    </w:p>
    <w:p w14:paraId="4AF13C3E" w14:textId="77777777" w:rsidR="00743985" w:rsidRPr="00743985" w:rsidRDefault="00743985" w:rsidP="00743985">
      <w:pPr>
        <w:spacing w:line="276" w:lineRule="auto"/>
        <w:jc w:val="left"/>
        <w:rPr>
          <w:rFonts w:eastAsia="Times New Roman" w:cs="Tahoma"/>
          <w:szCs w:val="24"/>
          <w:lang w:val="es-ES" w:eastAsia="es-ES"/>
        </w:rPr>
      </w:pPr>
    </w:p>
    <w:p w14:paraId="23A0F157" w14:textId="77777777" w:rsidR="00743985" w:rsidRPr="00743985" w:rsidRDefault="00743985" w:rsidP="00743985">
      <w:pPr>
        <w:spacing w:line="276" w:lineRule="auto"/>
        <w:jc w:val="left"/>
        <w:rPr>
          <w:rFonts w:eastAsia="Times New Roman" w:cs="Tahoma"/>
          <w:szCs w:val="24"/>
          <w:lang w:val="es-ES" w:eastAsia="es-ES"/>
        </w:rPr>
      </w:pPr>
    </w:p>
    <w:p w14:paraId="70574FC6" w14:textId="77777777" w:rsidR="00743985" w:rsidRPr="00743985" w:rsidRDefault="00743985" w:rsidP="00743985">
      <w:pPr>
        <w:spacing w:line="276" w:lineRule="auto"/>
        <w:jc w:val="left"/>
        <w:rPr>
          <w:rFonts w:eastAsia="Times New Roman" w:cs="Tahoma"/>
          <w:szCs w:val="24"/>
          <w:lang w:val="es-ES" w:eastAsia="es-ES"/>
        </w:rPr>
      </w:pPr>
    </w:p>
    <w:p w14:paraId="609C4F78" w14:textId="77777777" w:rsidR="00743985" w:rsidRPr="00743985" w:rsidRDefault="00743985" w:rsidP="00743985">
      <w:pPr>
        <w:spacing w:line="276" w:lineRule="auto"/>
        <w:rPr>
          <w:rFonts w:eastAsia="Times New Roman" w:cs="Tahoma"/>
          <w:b/>
          <w:bCs/>
          <w:szCs w:val="24"/>
          <w:lang w:val="es-ES" w:eastAsia="es-ES"/>
        </w:rPr>
      </w:pPr>
      <w:r w:rsidRPr="00743985">
        <w:rPr>
          <w:rFonts w:eastAsia="Times New Roman" w:cs="Tahoma"/>
          <w:b/>
          <w:bCs/>
          <w:szCs w:val="24"/>
          <w:lang w:val="es-ES" w:eastAsia="es-ES"/>
        </w:rPr>
        <w:t>GERMÁN DARÍO GÓEZ VINASCO</w:t>
      </w:r>
      <w:bookmarkEnd w:id="9"/>
      <w:r w:rsidRPr="00743985">
        <w:rPr>
          <w:rFonts w:eastAsia="Times New Roman" w:cs="Tahoma"/>
          <w:b/>
          <w:bCs/>
          <w:szCs w:val="24"/>
          <w:lang w:val="es-ES" w:eastAsia="es-ES"/>
        </w:rPr>
        <w:tab/>
      </w:r>
      <w:r w:rsidRPr="00743985">
        <w:rPr>
          <w:rFonts w:eastAsia="Times New Roman" w:cs="Tahoma"/>
          <w:b/>
          <w:bCs/>
          <w:szCs w:val="24"/>
          <w:lang w:val="es-ES" w:eastAsia="es-ES"/>
        </w:rPr>
        <w:tab/>
        <w:t>OLGA LUCÍA HOYOS SEPÚLVEDA</w:t>
      </w:r>
    </w:p>
    <w:p w14:paraId="1D4D0C9B" w14:textId="188C7C1D" w:rsidR="00F834B1" w:rsidRPr="00743985" w:rsidRDefault="00743985" w:rsidP="00743985">
      <w:pPr>
        <w:spacing w:line="276" w:lineRule="auto"/>
        <w:textAlignment w:val="baseline"/>
        <w:rPr>
          <w:rFonts w:eastAsia="Times New Roman" w:cs="Tahoma"/>
          <w:szCs w:val="24"/>
          <w:lang w:eastAsia="es-ES_tradnl"/>
        </w:rPr>
      </w:pPr>
      <w:r w:rsidRPr="00743985">
        <w:rPr>
          <w:rFonts w:eastAsia="Times New Roman" w:cs="Tahoma"/>
          <w:szCs w:val="24"/>
          <w:lang w:eastAsia="es-ES_tradnl"/>
        </w:rPr>
        <w:tab/>
      </w:r>
      <w:r w:rsidRPr="00743985">
        <w:rPr>
          <w:rFonts w:eastAsia="Times New Roman" w:cs="Tahoma"/>
          <w:szCs w:val="24"/>
          <w:lang w:eastAsia="es-ES_tradnl"/>
        </w:rPr>
        <w:tab/>
      </w:r>
      <w:r w:rsidRPr="00743985">
        <w:rPr>
          <w:rFonts w:eastAsia="Times New Roman" w:cs="Tahoma"/>
          <w:szCs w:val="24"/>
          <w:lang w:eastAsia="es-ES_tradnl"/>
        </w:rPr>
        <w:tab/>
      </w:r>
      <w:r w:rsidRPr="00743985">
        <w:rPr>
          <w:rFonts w:eastAsia="Times New Roman" w:cs="Tahoma"/>
          <w:szCs w:val="24"/>
          <w:lang w:eastAsia="es-ES_tradnl"/>
        </w:rPr>
        <w:tab/>
      </w:r>
      <w:r w:rsidRPr="00743985">
        <w:rPr>
          <w:rFonts w:eastAsia="Times New Roman" w:cs="Tahoma"/>
          <w:szCs w:val="24"/>
          <w:lang w:eastAsia="es-ES_tradnl"/>
        </w:rPr>
        <w:tab/>
      </w:r>
      <w:r w:rsidRPr="00743985">
        <w:rPr>
          <w:rFonts w:eastAsia="Times New Roman" w:cs="Tahoma"/>
          <w:szCs w:val="24"/>
          <w:lang w:eastAsia="es-ES_tradnl"/>
        </w:rPr>
        <w:tab/>
      </w:r>
      <w:r w:rsidRPr="00743985">
        <w:rPr>
          <w:rFonts w:eastAsia="Times New Roman" w:cs="Tahoma"/>
          <w:szCs w:val="24"/>
          <w:lang w:eastAsia="es-ES_tradnl"/>
        </w:rPr>
        <w:tab/>
        <w:t xml:space="preserve">Aclara </w:t>
      </w:r>
      <w:r>
        <w:rPr>
          <w:rFonts w:eastAsia="Times New Roman" w:cs="Tahoma"/>
          <w:szCs w:val="24"/>
          <w:lang w:eastAsia="es-ES_tradnl"/>
        </w:rPr>
        <w:t xml:space="preserve">y salva parcialmente </w:t>
      </w:r>
      <w:r w:rsidRPr="00743985">
        <w:rPr>
          <w:rFonts w:eastAsia="Times New Roman" w:cs="Tahoma"/>
          <w:szCs w:val="24"/>
          <w:lang w:eastAsia="es-ES_tradnl"/>
        </w:rPr>
        <w:t>vot</w:t>
      </w:r>
      <w:r>
        <w:rPr>
          <w:rFonts w:eastAsia="Times New Roman" w:cs="Tahoma"/>
          <w:szCs w:val="24"/>
          <w:lang w:eastAsia="es-ES_tradnl"/>
        </w:rPr>
        <w:t>o</w:t>
      </w:r>
    </w:p>
    <w:sectPr w:rsidR="00F834B1" w:rsidRPr="00743985" w:rsidSect="00B31607">
      <w:headerReference w:type="default" r:id="rId10"/>
      <w:footerReference w:type="even"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8BCF6C" w16cex:dateUtc="2022-01-31T20:36:19.51Z"/>
  <w16cex:commentExtensible w16cex:durableId="28B393A0" w16cex:dateUtc="2022-02-04T15:31:20.1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189F" w14:textId="77777777" w:rsidR="001B179B" w:rsidRDefault="001B179B" w:rsidP="003701D6">
      <w:pPr>
        <w:spacing w:line="240" w:lineRule="auto"/>
      </w:pPr>
      <w:r>
        <w:separator/>
      </w:r>
    </w:p>
  </w:endnote>
  <w:endnote w:type="continuationSeparator" w:id="0">
    <w:p w14:paraId="53BBF2DE" w14:textId="77777777" w:rsidR="001B179B" w:rsidRDefault="001B179B" w:rsidP="00370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30663047"/>
      <w:docPartObj>
        <w:docPartGallery w:val="Page Numbers (Bottom of Page)"/>
        <w:docPartUnique/>
      </w:docPartObj>
    </w:sdtPr>
    <w:sdtEndPr>
      <w:rPr>
        <w:rStyle w:val="Nmerodepgina"/>
      </w:rPr>
    </w:sdtEndPr>
    <w:sdtContent>
      <w:p w14:paraId="47798568" w14:textId="3BA4BB6B" w:rsidR="00D44EB0" w:rsidRDefault="00D44EB0" w:rsidP="008477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8EF5D3" w14:textId="77777777" w:rsidR="00D44EB0" w:rsidRDefault="00D44EB0" w:rsidP="00D44EB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1102766"/>
      <w:docPartObj>
        <w:docPartGallery w:val="Page Numbers (Bottom of Page)"/>
        <w:docPartUnique/>
      </w:docPartObj>
    </w:sdtPr>
    <w:sdtEndPr>
      <w:rPr>
        <w:rStyle w:val="Fuentedeprrafopredeter"/>
        <w:rFonts w:ascii="Arial" w:eastAsia="Times New Roman" w:hAnsi="Arial" w:cs="Arial"/>
        <w:sz w:val="18"/>
        <w:szCs w:val="14"/>
        <w:lang w:val="es-419" w:eastAsia="es-ES"/>
      </w:rPr>
    </w:sdtEndPr>
    <w:sdtContent>
      <w:p w14:paraId="2C49DDF3" w14:textId="56EC2F03" w:rsidR="00D44EB0" w:rsidRPr="006A43E2" w:rsidRDefault="00D44EB0" w:rsidP="00847735">
        <w:pPr>
          <w:pStyle w:val="Piedepgina"/>
          <w:framePr w:wrap="none" w:vAnchor="text" w:hAnchor="margin" w:xAlign="right" w:y="1"/>
          <w:rPr>
            <w:rFonts w:ascii="Arial" w:eastAsia="Times New Roman" w:hAnsi="Arial" w:cs="Arial"/>
            <w:sz w:val="18"/>
            <w:szCs w:val="14"/>
            <w:lang w:val="es-419" w:eastAsia="es-ES"/>
          </w:rPr>
        </w:pPr>
        <w:r w:rsidRPr="006A43E2">
          <w:rPr>
            <w:rFonts w:ascii="Arial" w:eastAsia="Times New Roman" w:hAnsi="Arial" w:cs="Arial"/>
            <w:sz w:val="18"/>
            <w:szCs w:val="14"/>
            <w:lang w:val="es-419" w:eastAsia="es-ES"/>
          </w:rPr>
          <w:fldChar w:fldCharType="begin"/>
        </w:r>
        <w:r w:rsidRPr="006A43E2">
          <w:rPr>
            <w:rFonts w:ascii="Arial" w:eastAsia="Times New Roman" w:hAnsi="Arial" w:cs="Arial"/>
            <w:sz w:val="18"/>
            <w:szCs w:val="14"/>
            <w:lang w:val="es-419" w:eastAsia="es-ES"/>
          </w:rPr>
          <w:instrText xml:space="preserve"> PAGE </w:instrText>
        </w:r>
        <w:r w:rsidRPr="006A43E2">
          <w:rPr>
            <w:rFonts w:ascii="Arial" w:eastAsia="Times New Roman" w:hAnsi="Arial" w:cs="Arial"/>
            <w:sz w:val="18"/>
            <w:szCs w:val="14"/>
            <w:lang w:val="es-419" w:eastAsia="es-ES"/>
          </w:rPr>
          <w:fldChar w:fldCharType="separate"/>
        </w:r>
        <w:r w:rsidR="008310FC" w:rsidRPr="006A43E2">
          <w:rPr>
            <w:rFonts w:ascii="Arial" w:eastAsia="Times New Roman" w:hAnsi="Arial" w:cs="Arial"/>
            <w:sz w:val="18"/>
            <w:szCs w:val="14"/>
            <w:lang w:val="es-419" w:eastAsia="es-ES"/>
          </w:rPr>
          <w:t>30</w:t>
        </w:r>
        <w:r w:rsidRPr="006A43E2">
          <w:rPr>
            <w:rFonts w:ascii="Arial" w:eastAsia="Times New Roman" w:hAnsi="Arial" w:cs="Arial"/>
            <w:sz w:val="18"/>
            <w:szCs w:val="14"/>
            <w:lang w:val="es-419" w:eastAsia="es-ES"/>
          </w:rPr>
          <w:fldChar w:fldCharType="end"/>
        </w:r>
      </w:p>
    </w:sdtContent>
  </w:sdt>
  <w:p w14:paraId="4E8A5774" w14:textId="77777777" w:rsidR="00D44EB0" w:rsidRDefault="00D44EB0" w:rsidP="006A43E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06C3" w14:textId="77777777" w:rsidR="001B179B" w:rsidRDefault="001B179B" w:rsidP="003701D6">
      <w:pPr>
        <w:spacing w:line="240" w:lineRule="auto"/>
      </w:pPr>
      <w:r>
        <w:separator/>
      </w:r>
    </w:p>
  </w:footnote>
  <w:footnote w:type="continuationSeparator" w:id="0">
    <w:p w14:paraId="725BDD53" w14:textId="77777777" w:rsidR="001B179B" w:rsidRDefault="001B179B" w:rsidP="003701D6">
      <w:pPr>
        <w:spacing w:line="240" w:lineRule="auto"/>
      </w:pPr>
      <w:r>
        <w:continuationSeparator/>
      </w:r>
    </w:p>
  </w:footnote>
  <w:footnote w:id="1">
    <w:p w14:paraId="293F183B" w14:textId="77777777" w:rsidR="005E7342" w:rsidRPr="003F425A" w:rsidRDefault="005E7342" w:rsidP="00D37C7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749156D6" w14:textId="77777777" w:rsidR="005E7342" w:rsidRPr="003F425A" w:rsidRDefault="005E7342" w:rsidP="00D37C7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06BD53EB" w14:textId="77777777" w:rsidR="005E7342" w:rsidRPr="003F425A" w:rsidRDefault="005E7342" w:rsidP="00D37C7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284921BC" w14:textId="77777777" w:rsidR="005E7342" w:rsidRPr="003F425A" w:rsidRDefault="005E7342" w:rsidP="00D37C7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189FE817" w14:textId="77777777" w:rsidR="005E7342" w:rsidRPr="003F425A" w:rsidRDefault="005E7342" w:rsidP="00D37C7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4A9D" w14:textId="24655A4B" w:rsidR="003701D6" w:rsidRPr="006A43E2" w:rsidRDefault="003701D6" w:rsidP="006A43E2">
    <w:pPr>
      <w:tabs>
        <w:tab w:val="left" w:pos="993"/>
      </w:tabs>
      <w:spacing w:line="240" w:lineRule="auto"/>
      <w:ind w:left="1134" w:hanging="1134"/>
      <w:rPr>
        <w:rFonts w:ascii="Arial" w:eastAsia="Times New Roman" w:hAnsi="Arial" w:cs="Arial"/>
        <w:sz w:val="18"/>
        <w:szCs w:val="14"/>
        <w:lang w:val="es-419" w:eastAsia="es-ES"/>
      </w:rPr>
    </w:pPr>
    <w:r w:rsidRPr="006A43E2">
      <w:rPr>
        <w:rFonts w:ascii="Arial" w:eastAsia="Times New Roman" w:hAnsi="Arial" w:cs="Arial"/>
        <w:sz w:val="18"/>
        <w:szCs w:val="14"/>
        <w:lang w:val="es-419" w:eastAsia="es-ES"/>
      </w:rPr>
      <w:t>Radicación No.:    66001-31-05-005-2018-00385-0</w:t>
    </w:r>
    <w:r w:rsidR="00E42E5C">
      <w:rPr>
        <w:rFonts w:ascii="Arial" w:eastAsia="Times New Roman" w:hAnsi="Arial" w:cs="Arial"/>
        <w:sz w:val="18"/>
        <w:szCs w:val="14"/>
        <w:lang w:val="es-419" w:eastAsia="es-ES"/>
      </w:rPr>
      <w:t>1</w:t>
    </w:r>
  </w:p>
  <w:p w14:paraId="2ADE50D1" w14:textId="6EE3140B" w:rsidR="003701D6" w:rsidRPr="006A43E2" w:rsidRDefault="003701D6" w:rsidP="006A43E2">
    <w:pPr>
      <w:tabs>
        <w:tab w:val="left" w:pos="993"/>
      </w:tabs>
      <w:spacing w:line="240" w:lineRule="auto"/>
      <w:ind w:left="1134" w:hanging="1134"/>
      <w:rPr>
        <w:rFonts w:ascii="Arial" w:eastAsia="Times New Roman" w:hAnsi="Arial" w:cs="Arial"/>
        <w:sz w:val="18"/>
        <w:szCs w:val="14"/>
        <w:lang w:eastAsia="es-ES"/>
      </w:rPr>
    </w:pPr>
    <w:r w:rsidRPr="006A43E2">
      <w:rPr>
        <w:rFonts w:ascii="Arial" w:eastAsia="Times New Roman" w:hAnsi="Arial" w:cs="Arial"/>
        <w:sz w:val="18"/>
        <w:szCs w:val="14"/>
        <w:lang w:eastAsia="es-ES"/>
      </w:rPr>
      <w:t xml:space="preserve">Demandante: </w:t>
    </w:r>
    <w:r w:rsidRPr="006A43E2">
      <w:rPr>
        <w:rFonts w:ascii="Arial" w:eastAsia="Times New Roman" w:hAnsi="Arial" w:cs="Arial"/>
        <w:sz w:val="18"/>
        <w:szCs w:val="14"/>
        <w:lang w:eastAsia="es-ES"/>
      </w:rPr>
      <w:tab/>
    </w:r>
    <w:r w:rsidRPr="006A43E2">
      <w:rPr>
        <w:rFonts w:ascii="Arial" w:eastAsia="Times New Roman" w:hAnsi="Arial" w:cs="Arial"/>
        <w:sz w:val="18"/>
        <w:szCs w:val="14"/>
        <w:lang w:eastAsia="es-ES"/>
      </w:rPr>
      <w:tab/>
      <w:t>José Guillermo Hernández Tovar</w:t>
    </w:r>
  </w:p>
  <w:p w14:paraId="02965B7B" w14:textId="5D4A424F" w:rsidR="003701D6" w:rsidRPr="006A43E2" w:rsidRDefault="003701D6" w:rsidP="006A43E2">
    <w:pPr>
      <w:tabs>
        <w:tab w:val="left" w:pos="993"/>
      </w:tabs>
      <w:spacing w:line="240" w:lineRule="auto"/>
      <w:ind w:left="1134" w:hanging="1134"/>
      <w:rPr>
        <w:rFonts w:ascii="Arial" w:eastAsia="Times New Roman" w:hAnsi="Arial" w:cs="Arial"/>
        <w:sz w:val="18"/>
        <w:szCs w:val="14"/>
        <w:lang w:val="es-419" w:eastAsia="es-ES"/>
      </w:rPr>
    </w:pPr>
    <w:r w:rsidRPr="006A43E2">
      <w:rPr>
        <w:rFonts w:ascii="Arial" w:eastAsia="Times New Roman" w:hAnsi="Arial" w:cs="Arial"/>
        <w:sz w:val="18"/>
        <w:szCs w:val="14"/>
        <w:lang w:val="es-419" w:eastAsia="es-ES"/>
      </w:rPr>
      <w:t xml:space="preserve">Demandado: </w:t>
    </w:r>
    <w:r w:rsidRPr="006A43E2">
      <w:rPr>
        <w:rFonts w:ascii="Arial" w:eastAsia="Times New Roman" w:hAnsi="Arial" w:cs="Arial"/>
        <w:sz w:val="18"/>
        <w:szCs w:val="14"/>
        <w:lang w:val="es-419" w:eastAsia="es-ES"/>
      </w:rPr>
      <w:tab/>
    </w:r>
    <w:r w:rsidRPr="006A43E2">
      <w:rPr>
        <w:rFonts w:ascii="Arial" w:eastAsia="Times New Roman" w:hAnsi="Arial" w:cs="Arial"/>
        <w:sz w:val="18"/>
        <w:szCs w:val="14"/>
        <w:lang w:val="es-419" w:eastAsia="es-ES"/>
      </w:rPr>
      <w:tab/>
      <w:t>Protección S.A.,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47A245AE"/>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00F164A"/>
    <w:multiLevelType w:val="hybridMultilevel"/>
    <w:tmpl w:val="63FACC2A"/>
    <w:lvl w:ilvl="0" w:tplc="02D87C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FB"/>
    <w:rsid w:val="000027B4"/>
    <w:rsid w:val="00006764"/>
    <w:rsid w:val="00010EE8"/>
    <w:rsid w:val="00011AB8"/>
    <w:rsid w:val="00013585"/>
    <w:rsid w:val="0002243D"/>
    <w:rsid w:val="000263F9"/>
    <w:rsid w:val="0003054B"/>
    <w:rsid w:val="00044A29"/>
    <w:rsid w:val="00055C52"/>
    <w:rsid w:val="00070282"/>
    <w:rsid w:val="000714E6"/>
    <w:rsid w:val="00075ECC"/>
    <w:rsid w:val="000831AB"/>
    <w:rsid w:val="000A0240"/>
    <w:rsid w:val="000D1C05"/>
    <w:rsid w:val="00111147"/>
    <w:rsid w:val="00111758"/>
    <w:rsid w:val="00144A99"/>
    <w:rsid w:val="00172F85"/>
    <w:rsid w:val="00173D7E"/>
    <w:rsid w:val="001748F3"/>
    <w:rsid w:val="001B119D"/>
    <w:rsid w:val="001B179B"/>
    <w:rsid w:val="001C3BC5"/>
    <w:rsid w:val="001D5009"/>
    <w:rsid w:val="001D7F9D"/>
    <w:rsid w:val="00211DD2"/>
    <w:rsid w:val="002364D1"/>
    <w:rsid w:val="00294F70"/>
    <w:rsid w:val="002B1055"/>
    <w:rsid w:val="002D1678"/>
    <w:rsid w:val="002D5E4F"/>
    <w:rsid w:val="002E6858"/>
    <w:rsid w:val="00325F2A"/>
    <w:rsid w:val="00367F91"/>
    <w:rsid w:val="003701D6"/>
    <w:rsid w:val="00376BD9"/>
    <w:rsid w:val="0037726B"/>
    <w:rsid w:val="003A71EF"/>
    <w:rsid w:val="003C584B"/>
    <w:rsid w:val="003F13A8"/>
    <w:rsid w:val="003F3424"/>
    <w:rsid w:val="00411D52"/>
    <w:rsid w:val="00413D6F"/>
    <w:rsid w:val="00423749"/>
    <w:rsid w:val="0042785A"/>
    <w:rsid w:val="00440860"/>
    <w:rsid w:val="00441028"/>
    <w:rsid w:val="004550A6"/>
    <w:rsid w:val="004660CD"/>
    <w:rsid w:val="00472AC2"/>
    <w:rsid w:val="00483F9C"/>
    <w:rsid w:val="00485785"/>
    <w:rsid w:val="00486742"/>
    <w:rsid w:val="00491935"/>
    <w:rsid w:val="004D4357"/>
    <w:rsid w:val="004E38E6"/>
    <w:rsid w:val="00515863"/>
    <w:rsid w:val="0055177B"/>
    <w:rsid w:val="005656F7"/>
    <w:rsid w:val="00587E41"/>
    <w:rsid w:val="00592281"/>
    <w:rsid w:val="005B2A51"/>
    <w:rsid w:val="005C5322"/>
    <w:rsid w:val="005E1D20"/>
    <w:rsid w:val="005E7342"/>
    <w:rsid w:val="00651B4D"/>
    <w:rsid w:val="00652EED"/>
    <w:rsid w:val="00656327"/>
    <w:rsid w:val="00676BEF"/>
    <w:rsid w:val="00692FFC"/>
    <w:rsid w:val="006A43E2"/>
    <w:rsid w:val="006B70FB"/>
    <w:rsid w:val="006D2755"/>
    <w:rsid w:val="006F4B36"/>
    <w:rsid w:val="00704D10"/>
    <w:rsid w:val="00743985"/>
    <w:rsid w:val="007478E0"/>
    <w:rsid w:val="0076234A"/>
    <w:rsid w:val="00772CDE"/>
    <w:rsid w:val="00795995"/>
    <w:rsid w:val="007A53F6"/>
    <w:rsid w:val="007A76BB"/>
    <w:rsid w:val="007C5873"/>
    <w:rsid w:val="007D5B12"/>
    <w:rsid w:val="007E4D83"/>
    <w:rsid w:val="00814A1C"/>
    <w:rsid w:val="008310FC"/>
    <w:rsid w:val="00837492"/>
    <w:rsid w:val="00853621"/>
    <w:rsid w:val="008648C0"/>
    <w:rsid w:val="00877209"/>
    <w:rsid w:val="008D08BC"/>
    <w:rsid w:val="008E7982"/>
    <w:rsid w:val="009402C7"/>
    <w:rsid w:val="00941702"/>
    <w:rsid w:val="00966944"/>
    <w:rsid w:val="009B0816"/>
    <w:rsid w:val="009C22AF"/>
    <w:rsid w:val="009C2BDF"/>
    <w:rsid w:val="009C3EBC"/>
    <w:rsid w:val="009E5DBA"/>
    <w:rsid w:val="00A23850"/>
    <w:rsid w:val="00A41FBD"/>
    <w:rsid w:val="00A43E6E"/>
    <w:rsid w:val="00AA6A03"/>
    <w:rsid w:val="00AF03C5"/>
    <w:rsid w:val="00AF40A7"/>
    <w:rsid w:val="00B03989"/>
    <w:rsid w:val="00B31607"/>
    <w:rsid w:val="00B4431F"/>
    <w:rsid w:val="00B47FCC"/>
    <w:rsid w:val="00B5131F"/>
    <w:rsid w:val="00B73E34"/>
    <w:rsid w:val="00B80F3E"/>
    <w:rsid w:val="00BC450D"/>
    <w:rsid w:val="00BE1FDA"/>
    <w:rsid w:val="00BE6A9A"/>
    <w:rsid w:val="00C02B9F"/>
    <w:rsid w:val="00C105F4"/>
    <w:rsid w:val="00C13D36"/>
    <w:rsid w:val="00C256E4"/>
    <w:rsid w:val="00C37E19"/>
    <w:rsid w:val="00C714B3"/>
    <w:rsid w:val="00C71BFB"/>
    <w:rsid w:val="00CD01D0"/>
    <w:rsid w:val="00CD7515"/>
    <w:rsid w:val="00CE6757"/>
    <w:rsid w:val="00CE6AAB"/>
    <w:rsid w:val="00D34783"/>
    <w:rsid w:val="00D37C71"/>
    <w:rsid w:val="00D44EB0"/>
    <w:rsid w:val="00D52F8B"/>
    <w:rsid w:val="00D66C7C"/>
    <w:rsid w:val="00D910F6"/>
    <w:rsid w:val="00D97B2E"/>
    <w:rsid w:val="00DB1891"/>
    <w:rsid w:val="00E14179"/>
    <w:rsid w:val="00E42E5C"/>
    <w:rsid w:val="00E4711A"/>
    <w:rsid w:val="00E63AC9"/>
    <w:rsid w:val="00EE47DA"/>
    <w:rsid w:val="00EF640B"/>
    <w:rsid w:val="00F031E7"/>
    <w:rsid w:val="00F06D39"/>
    <w:rsid w:val="00F1096B"/>
    <w:rsid w:val="00F203F5"/>
    <w:rsid w:val="00F276FA"/>
    <w:rsid w:val="00F31236"/>
    <w:rsid w:val="00F40681"/>
    <w:rsid w:val="00F46D7E"/>
    <w:rsid w:val="00F54332"/>
    <w:rsid w:val="00F63054"/>
    <w:rsid w:val="00F75D37"/>
    <w:rsid w:val="00F81594"/>
    <w:rsid w:val="00F834B1"/>
    <w:rsid w:val="00F93697"/>
    <w:rsid w:val="00FC08AD"/>
    <w:rsid w:val="00FE1F8E"/>
    <w:rsid w:val="00FE75D1"/>
    <w:rsid w:val="168C1CF2"/>
    <w:rsid w:val="45CBC3DA"/>
    <w:rsid w:val="46F334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87BE3"/>
  <w15:chartTrackingRefBased/>
  <w15:docId w15:val="{A5B17FAE-350D-9F4E-800F-A176036E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FB"/>
    <w:pPr>
      <w:spacing w:line="360" w:lineRule="auto"/>
      <w:jc w:val="both"/>
    </w:pPr>
    <w:rPr>
      <w:rFonts w:ascii="Tahoma" w:hAnsi="Tahoma"/>
      <w:szCs w:val="22"/>
    </w:rPr>
  </w:style>
  <w:style w:type="paragraph" w:styleId="Ttulo4">
    <w:name w:val="heading 4"/>
    <w:basedOn w:val="Normal"/>
    <w:next w:val="Normal"/>
    <w:link w:val="Ttulo4Car"/>
    <w:unhideWhenUsed/>
    <w:qFormat/>
    <w:rsid w:val="006B70FB"/>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B70FB"/>
    <w:rPr>
      <w:rFonts w:ascii="Times New Roman" w:eastAsia="Times New Roman" w:hAnsi="Times New Roman" w:cs="Times New Roman"/>
      <w:b/>
      <w:szCs w:val="20"/>
      <w:lang w:val="es-ES" w:eastAsia="es-ES"/>
    </w:rPr>
  </w:style>
  <w:style w:type="paragraph" w:customStyle="1" w:styleId="paragraph">
    <w:name w:val="paragraph"/>
    <w:basedOn w:val="Normal"/>
    <w:rsid w:val="006B70FB"/>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6B70FB"/>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B70FB"/>
    <w:rPr>
      <w:vertAlign w:val="superscript"/>
    </w:rPr>
  </w:style>
  <w:style w:type="paragraph" w:styleId="Prrafodelista">
    <w:name w:val="List Paragraph"/>
    <w:basedOn w:val="Normal"/>
    <w:qFormat/>
    <w:rsid w:val="006B70FB"/>
    <w:pPr>
      <w:ind w:left="720"/>
      <w:contextualSpacing/>
    </w:pPr>
  </w:style>
  <w:style w:type="character" w:customStyle="1" w:styleId="SinespaciadoCar">
    <w:name w:val="Sin espaciado Car"/>
    <w:link w:val="Sinespaciado"/>
    <w:uiPriority w:val="1"/>
    <w:locked/>
    <w:rsid w:val="006B70FB"/>
  </w:style>
  <w:style w:type="paragraph" w:styleId="Sinespaciado">
    <w:name w:val="No Spacing"/>
    <w:link w:val="SinespaciadoCar"/>
    <w:uiPriority w:val="1"/>
    <w:qFormat/>
    <w:rsid w:val="006B70FB"/>
  </w:style>
  <w:style w:type="character" w:customStyle="1" w:styleId="fontstyle01">
    <w:name w:val="fontstyle01"/>
    <w:basedOn w:val="Fuentedeprrafopredeter"/>
    <w:rsid w:val="006B70FB"/>
    <w:rPr>
      <w:rFonts w:ascii="Tahoma-Bold" w:hAnsi="Tahoma-Bold" w:hint="default"/>
      <w:b/>
      <w:bCs/>
      <w:i w:val="0"/>
      <w:iCs w:val="0"/>
      <w:color w:val="000000"/>
      <w:sz w:val="24"/>
      <w:szCs w:val="24"/>
    </w:rPr>
  </w:style>
  <w:style w:type="character" w:customStyle="1" w:styleId="fontstyle21">
    <w:name w:val="fontstyle21"/>
    <w:basedOn w:val="Fuentedeprrafopredeter"/>
    <w:rsid w:val="006B70FB"/>
    <w:rPr>
      <w:rFonts w:ascii="Tahoma" w:hAnsi="Tahoma" w:cs="Tahoma" w:hint="default"/>
      <w:b w:val="0"/>
      <w:bCs w:val="0"/>
      <w:i w:val="0"/>
      <w:iCs w:val="0"/>
      <w:color w:val="000000"/>
      <w:sz w:val="24"/>
      <w:szCs w:val="24"/>
    </w:rPr>
  </w:style>
  <w:style w:type="paragraph" w:customStyle="1" w:styleId="Poromisin">
    <w:name w:val="Por omisión"/>
    <w:rsid w:val="006B70FB"/>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3701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701D6"/>
    <w:rPr>
      <w:rFonts w:ascii="Tahoma" w:hAnsi="Tahoma"/>
      <w:szCs w:val="22"/>
    </w:rPr>
  </w:style>
  <w:style w:type="paragraph" w:styleId="Piedepgina">
    <w:name w:val="footer"/>
    <w:basedOn w:val="Normal"/>
    <w:link w:val="PiedepginaCar"/>
    <w:uiPriority w:val="99"/>
    <w:unhideWhenUsed/>
    <w:rsid w:val="003701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701D6"/>
    <w:rPr>
      <w:rFonts w:ascii="Tahoma" w:hAnsi="Tahoma"/>
      <w:szCs w:val="22"/>
    </w:rPr>
  </w:style>
  <w:style w:type="character" w:styleId="Nmerodepgina">
    <w:name w:val="page number"/>
    <w:basedOn w:val="Fuentedeprrafopredeter"/>
    <w:uiPriority w:val="99"/>
    <w:semiHidden/>
    <w:unhideWhenUsed/>
    <w:rsid w:val="00D44EB0"/>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04D10"/>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04D10"/>
    <w:rPr>
      <w:sz w:val="20"/>
      <w:szCs w:val="20"/>
      <w:lang w:val="es-ES"/>
    </w:rPr>
  </w:style>
  <w:style w:type="table" w:customStyle="1" w:styleId="Tablaconcuadrcula1">
    <w:name w:val="Tabla con cuadrícula1"/>
    <w:basedOn w:val="Tablanormal"/>
    <w:next w:val="Tablaconcuadrcula"/>
    <w:rsid w:val="00704D10"/>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0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02B9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B9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06764"/>
    <w:rPr>
      <w:b/>
      <w:bCs/>
    </w:rPr>
  </w:style>
  <w:style w:type="character" w:customStyle="1" w:styleId="AsuntodelcomentarioCar">
    <w:name w:val="Asunto del comentario Car"/>
    <w:basedOn w:val="TextocomentarioCar"/>
    <w:link w:val="Asuntodelcomentario"/>
    <w:uiPriority w:val="99"/>
    <w:semiHidden/>
    <w:rsid w:val="00006764"/>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495b246b7f4a4ef7"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584A2-C64D-4899-8DB4-8D2F5FB2E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7D396-8EE8-42D9-8035-AF247B785C26}">
  <ds:schemaRefs>
    <ds:schemaRef ds:uri="http://schemas.microsoft.com/sharepoint/v3/contenttype/forms"/>
  </ds:schemaRefs>
</ds:datastoreItem>
</file>

<file path=customXml/itemProps3.xml><?xml version="1.0" encoding="utf-8"?>
<ds:datastoreItem xmlns:ds="http://schemas.openxmlformats.org/officeDocument/2006/customXml" ds:itemID="{C4F2D8C4-4B60-4A4D-8083-F21A036D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8270</Words>
  <Characters>45489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98</cp:revision>
  <dcterms:created xsi:type="dcterms:W3CDTF">2022-01-27T18:21:00Z</dcterms:created>
  <dcterms:modified xsi:type="dcterms:W3CDTF">2022-03-31T21:04:00Z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