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F564" w14:textId="77777777" w:rsidR="00C31D80" w:rsidRPr="00C31D80" w:rsidRDefault="00C31D80" w:rsidP="00C31D8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C31D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B3E16E" w14:textId="77777777" w:rsidR="00C31D80" w:rsidRPr="00C31D80" w:rsidRDefault="00C31D80" w:rsidP="00C31D80">
      <w:pPr>
        <w:spacing w:line="240" w:lineRule="auto"/>
        <w:rPr>
          <w:rFonts w:ascii="Arial" w:eastAsia="Times New Roman" w:hAnsi="Arial" w:cs="Arial"/>
          <w:sz w:val="20"/>
          <w:szCs w:val="20"/>
          <w:lang w:val="es-419" w:eastAsia="es-ES"/>
        </w:rPr>
      </w:pPr>
    </w:p>
    <w:p w14:paraId="3ACF30D2" w14:textId="77777777" w:rsidR="00C31D80" w:rsidRPr="00C31D80" w:rsidRDefault="00C31D80" w:rsidP="00C31D80">
      <w:pPr>
        <w:spacing w:line="240" w:lineRule="auto"/>
        <w:rPr>
          <w:rFonts w:ascii="Arial" w:eastAsia="Times New Roman" w:hAnsi="Arial" w:cs="Arial"/>
          <w:sz w:val="20"/>
          <w:szCs w:val="20"/>
          <w:lang w:val="es-419" w:eastAsia="es-ES"/>
        </w:rPr>
      </w:pPr>
      <w:r w:rsidRPr="00C31D80">
        <w:rPr>
          <w:rFonts w:ascii="Arial" w:eastAsia="Times New Roman" w:hAnsi="Arial" w:cs="Arial"/>
          <w:sz w:val="20"/>
          <w:szCs w:val="20"/>
          <w:lang w:val="es-419" w:eastAsia="es-ES"/>
        </w:rPr>
        <w:t xml:space="preserve">Radicación No.: </w:t>
      </w:r>
      <w:r w:rsidRPr="00C31D80">
        <w:rPr>
          <w:rFonts w:ascii="Arial" w:eastAsia="Times New Roman" w:hAnsi="Arial" w:cs="Arial"/>
          <w:sz w:val="20"/>
          <w:szCs w:val="20"/>
          <w:lang w:val="es-419" w:eastAsia="es-ES"/>
        </w:rPr>
        <w:tab/>
        <w:t>66001-31-05-004-2020-00214-01</w:t>
      </w:r>
    </w:p>
    <w:p w14:paraId="3990AA00" w14:textId="7AADA8BD" w:rsidR="00C31D80" w:rsidRPr="00C31D80" w:rsidRDefault="00C31D80" w:rsidP="00C31D80">
      <w:pPr>
        <w:spacing w:line="240" w:lineRule="auto"/>
        <w:rPr>
          <w:rFonts w:ascii="Arial" w:eastAsia="Times New Roman" w:hAnsi="Arial" w:cs="Arial"/>
          <w:sz w:val="20"/>
          <w:szCs w:val="20"/>
          <w:lang w:val="es-419" w:eastAsia="es-ES"/>
        </w:rPr>
      </w:pPr>
      <w:r w:rsidRPr="00C31D80">
        <w:rPr>
          <w:rFonts w:ascii="Arial" w:eastAsia="Times New Roman" w:hAnsi="Arial" w:cs="Arial"/>
          <w:sz w:val="20"/>
          <w:szCs w:val="20"/>
          <w:lang w:val="es-419" w:eastAsia="es-ES"/>
        </w:rPr>
        <w:t xml:space="preserve">Proceso: </w:t>
      </w:r>
      <w:r w:rsidRPr="00C31D80">
        <w:rPr>
          <w:rFonts w:ascii="Arial" w:eastAsia="Times New Roman" w:hAnsi="Arial" w:cs="Arial"/>
          <w:sz w:val="20"/>
          <w:szCs w:val="20"/>
          <w:lang w:val="es-419" w:eastAsia="es-ES"/>
        </w:rPr>
        <w:tab/>
      </w:r>
      <w:r w:rsidRPr="00C31D80">
        <w:rPr>
          <w:rFonts w:ascii="Arial" w:eastAsia="Times New Roman" w:hAnsi="Arial" w:cs="Arial"/>
          <w:sz w:val="20"/>
          <w:szCs w:val="20"/>
          <w:lang w:val="es-419" w:eastAsia="es-ES"/>
        </w:rPr>
        <w:tab/>
        <w:t xml:space="preserve">Ordinario Laboral </w:t>
      </w:r>
    </w:p>
    <w:p w14:paraId="7DD6A74D" w14:textId="77777777" w:rsidR="00C31D80" w:rsidRPr="00C31D80" w:rsidRDefault="00C31D80" w:rsidP="00C31D80">
      <w:pPr>
        <w:spacing w:line="240" w:lineRule="auto"/>
        <w:rPr>
          <w:rFonts w:ascii="Arial" w:eastAsia="Times New Roman" w:hAnsi="Arial" w:cs="Arial"/>
          <w:sz w:val="20"/>
          <w:szCs w:val="20"/>
          <w:lang w:val="es-419" w:eastAsia="es-ES"/>
        </w:rPr>
      </w:pPr>
      <w:r w:rsidRPr="00C31D80">
        <w:rPr>
          <w:rFonts w:ascii="Arial" w:eastAsia="Times New Roman" w:hAnsi="Arial" w:cs="Arial"/>
          <w:sz w:val="20"/>
          <w:szCs w:val="20"/>
          <w:lang w:val="es-419" w:eastAsia="es-ES"/>
        </w:rPr>
        <w:t xml:space="preserve">Demandante: </w:t>
      </w:r>
      <w:r w:rsidRPr="00C31D80">
        <w:rPr>
          <w:rFonts w:ascii="Arial" w:eastAsia="Times New Roman" w:hAnsi="Arial" w:cs="Arial"/>
          <w:sz w:val="20"/>
          <w:szCs w:val="20"/>
          <w:lang w:val="es-419" w:eastAsia="es-ES"/>
        </w:rPr>
        <w:tab/>
      </w:r>
      <w:r w:rsidRPr="00C31D80">
        <w:rPr>
          <w:rFonts w:ascii="Arial" w:eastAsia="Times New Roman" w:hAnsi="Arial" w:cs="Arial"/>
          <w:sz w:val="20"/>
          <w:szCs w:val="20"/>
          <w:lang w:val="es-419" w:eastAsia="es-ES"/>
        </w:rPr>
        <w:tab/>
        <w:t>Ricaurte Guzmán Quiñones</w:t>
      </w:r>
    </w:p>
    <w:p w14:paraId="2EDD24FE" w14:textId="77777777" w:rsidR="00C31D80" w:rsidRPr="00C31D80" w:rsidRDefault="00C31D80" w:rsidP="00C31D80">
      <w:pPr>
        <w:spacing w:line="240" w:lineRule="auto"/>
        <w:rPr>
          <w:rFonts w:ascii="Arial" w:eastAsia="Times New Roman" w:hAnsi="Arial" w:cs="Arial"/>
          <w:sz w:val="20"/>
          <w:szCs w:val="20"/>
          <w:lang w:val="es-419" w:eastAsia="es-ES"/>
        </w:rPr>
      </w:pPr>
      <w:r w:rsidRPr="00C31D80">
        <w:rPr>
          <w:rFonts w:ascii="Arial" w:eastAsia="Times New Roman" w:hAnsi="Arial" w:cs="Arial"/>
          <w:sz w:val="20"/>
          <w:szCs w:val="20"/>
          <w:lang w:val="es-419" w:eastAsia="es-ES"/>
        </w:rPr>
        <w:t xml:space="preserve">Demandado: </w:t>
      </w:r>
      <w:r w:rsidRPr="00C31D80">
        <w:rPr>
          <w:rFonts w:ascii="Arial" w:eastAsia="Times New Roman" w:hAnsi="Arial" w:cs="Arial"/>
          <w:sz w:val="20"/>
          <w:szCs w:val="20"/>
          <w:lang w:val="es-419" w:eastAsia="es-ES"/>
        </w:rPr>
        <w:tab/>
      </w:r>
      <w:r w:rsidRPr="00C31D80">
        <w:rPr>
          <w:rFonts w:ascii="Arial" w:eastAsia="Times New Roman" w:hAnsi="Arial" w:cs="Arial"/>
          <w:sz w:val="20"/>
          <w:szCs w:val="20"/>
          <w:lang w:val="es-419" w:eastAsia="es-ES"/>
        </w:rPr>
        <w:tab/>
        <w:t>Porvenir S.A.</w:t>
      </w:r>
    </w:p>
    <w:p w14:paraId="2DA75032" w14:textId="6E4F7E50" w:rsidR="00C31D80" w:rsidRDefault="00C31D80" w:rsidP="00C31D80">
      <w:pPr>
        <w:spacing w:line="240" w:lineRule="auto"/>
        <w:rPr>
          <w:rFonts w:ascii="Arial" w:eastAsia="Times New Roman" w:hAnsi="Arial" w:cs="Arial"/>
          <w:sz w:val="20"/>
          <w:szCs w:val="20"/>
          <w:lang w:val="es-419" w:eastAsia="es-ES"/>
        </w:rPr>
      </w:pPr>
      <w:r w:rsidRPr="00C31D80">
        <w:rPr>
          <w:rFonts w:ascii="Arial" w:eastAsia="Times New Roman" w:hAnsi="Arial" w:cs="Arial"/>
          <w:sz w:val="20"/>
          <w:szCs w:val="20"/>
          <w:lang w:val="es-419" w:eastAsia="es-ES"/>
        </w:rPr>
        <w:t xml:space="preserve">Juzgado: </w:t>
      </w:r>
      <w:r w:rsidRPr="00C31D80">
        <w:rPr>
          <w:rFonts w:ascii="Arial" w:eastAsia="Times New Roman" w:hAnsi="Arial" w:cs="Arial"/>
          <w:sz w:val="20"/>
          <w:szCs w:val="20"/>
          <w:lang w:val="es-419" w:eastAsia="es-ES"/>
        </w:rPr>
        <w:tab/>
      </w:r>
      <w:r w:rsidRPr="00C31D80">
        <w:rPr>
          <w:rFonts w:ascii="Arial" w:eastAsia="Times New Roman" w:hAnsi="Arial" w:cs="Arial"/>
          <w:sz w:val="20"/>
          <w:szCs w:val="20"/>
          <w:lang w:val="es-419" w:eastAsia="es-ES"/>
        </w:rPr>
        <w:tab/>
        <w:t>Cuarto Laboral del Circuito de Pereira</w:t>
      </w:r>
    </w:p>
    <w:p w14:paraId="5AC5F57B" w14:textId="77777777" w:rsidR="00C31D80" w:rsidRPr="00C31D80" w:rsidRDefault="00C31D80" w:rsidP="00C31D80">
      <w:pPr>
        <w:spacing w:line="240" w:lineRule="auto"/>
        <w:rPr>
          <w:rFonts w:ascii="Arial" w:eastAsia="Times New Roman" w:hAnsi="Arial" w:cs="Arial"/>
          <w:sz w:val="20"/>
          <w:szCs w:val="20"/>
          <w:lang w:val="es-419" w:eastAsia="es-ES"/>
        </w:rPr>
      </w:pPr>
    </w:p>
    <w:bookmarkEnd w:id="0"/>
    <w:p w14:paraId="06BC6921" w14:textId="764F076C" w:rsidR="00C31D80" w:rsidRPr="00C31D80" w:rsidRDefault="00CC02E3" w:rsidP="00C31D80">
      <w:pPr>
        <w:widowControl w:val="0"/>
        <w:autoSpaceDE w:val="0"/>
        <w:autoSpaceDN w:val="0"/>
        <w:adjustRightInd w:val="0"/>
        <w:spacing w:line="240" w:lineRule="auto"/>
        <w:rPr>
          <w:rFonts w:eastAsia="Times New Roman" w:cs="Tahoma"/>
          <w:sz w:val="18"/>
          <w:szCs w:val="18"/>
          <w:lang w:eastAsia="es-ES"/>
        </w:rPr>
      </w:pPr>
      <w:r w:rsidRPr="00C31D80">
        <w:rPr>
          <w:rFonts w:ascii="Arial" w:eastAsia="Times New Roman" w:hAnsi="Arial" w:cs="Arial"/>
          <w:b/>
          <w:bCs/>
          <w:iCs/>
          <w:sz w:val="20"/>
          <w:szCs w:val="20"/>
          <w:u w:val="single"/>
          <w:lang w:val="es-419" w:eastAsia="fr-FR"/>
        </w:rPr>
        <w:t>TEMAS:</w:t>
      </w:r>
      <w:r w:rsidRPr="00C31D8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DENSIDAD DE COTIZACIONES / DEBE SER ANTERIOR A LA FECHA DE ESTRUCTURACIÓN / SALVO ENFERMEDADES CRÓNICAS, DEGENERATIVAS O CONGÉNITAS / PERO LOS APORTES DEBEN OBEDECER A LA CAPACIDAD LABORAL RESIDUAL DEL AFILIADO / CARGA PROBATORIA.</w:t>
      </w:r>
    </w:p>
    <w:p w14:paraId="0519DE19" w14:textId="77777777" w:rsidR="00C31D80" w:rsidRPr="00C31D80" w:rsidRDefault="00C31D80" w:rsidP="00C31D80">
      <w:pPr>
        <w:spacing w:line="240" w:lineRule="auto"/>
        <w:rPr>
          <w:rFonts w:ascii="Arial" w:eastAsia="Times New Roman" w:hAnsi="Arial" w:cs="Arial"/>
          <w:sz w:val="20"/>
          <w:szCs w:val="20"/>
          <w:lang w:val="es-419" w:eastAsia="es-ES"/>
        </w:rPr>
      </w:pPr>
    </w:p>
    <w:p w14:paraId="4C6A2705" w14:textId="76E1FD1F" w:rsidR="00C31D80" w:rsidRDefault="00AF0A88" w:rsidP="00C31D80">
      <w:pPr>
        <w:spacing w:line="240" w:lineRule="auto"/>
        <w:rPr>
          <w:rFonts w:ascii="Arial" w:eastAsia="Times New Roman" w:hAnsi="Arial" w:cs="Arial"/>
          <w:sz w:val="20"/>
          <w:szCs w:val="20"/>
          <w:lang w:val="es-419" w:eastAsia="es-ES"/>
        </w:rPr>
      </w:pPr>
      <w:r w:rsidRPr="00AF0A88">
        <w:rPr>
          <w:rFonts w:ascii="Arial" w:eastAsia="Times New Roman" w:hAnsi="Arial" w:cs="Arial"/>
          <w:sz w:val="20"/>
          <w:szCs w:val="20"/>
          <w:lang w:val="es-419" w:eastAsia="es-ES"/>
        </w:rPr>
        <w:t>Frente a la acreditación de la densidad de cotizaciones exigida por el artículo 1º de la Ley 860 de 2003, la Sala de Casación Laboral de la Corte Suprema de Justicia</w:t>
      </w:r>
      <w:r>
        <w:rPr>
          <w:rFonts w:ascii="Arial" w:eastAsia="Times New Roman" w:hAnsi="Arial" w:cs="Arial"/>
          <w:sz w:val="20"/>
          <w:szCs w:val="20"/>
          <w:lang w:val="es-419" w:eastAsia="es-ES"/>
        </w:rPr>
        <w:t>…</w:t>
      </w:r>
      <w:r w:rsidRPr="00AF0A88">
        <w:rPr>
          <w:rFonts w:ascii="Arial" w:eastAsia="Times New Roman" w:hAnsi="Arial" w:cs="Arial"/>
          <w:sz w:val="20"/>
          <w:szCs w:val="20"/>
          <w:lang w:val="es-419" w:eastAsia="es-ES"/>
        </w:rPr>
        <w:t xml:space="preserve"> ha establecido que la misma debe acreditarse con anterioridad a la determinación de la pérdida de capacidad laboral</w:t>
      </w:r>
      <w:r>
        <w:rPr>
          <w:rFonts w:ascii="Arial" w:eastAsia="Times New Roman" w:hAnsi="Arial" w:cs="Arial"/>
          <w:sz w:val="20"/>
          <w:szCs w:val="20"/>
          <w:lang w:val="es-419" w:eastAsia="es-ES"/>
        </w:rPr>
        <w:t>…</w:t>
      </w:r>
    </w:p>
    <w:p w14:paraId="20069E87" w14:textId="77777777" w:rsidR="00AF0A88" w:rsidRPr="00C31D80" w:rsidRDefault="00AF0A88" w:rsidP="00C31D80">
      <w:pPr>
        <w:spacing w:line="240" w:lineRule="auto"/>
        <w:rPr>
          <w:rFonts w:ascii="Arial" w:eastAsia="Times New Roman" w:hAnsi="Arial" w:cs="Arial"/>
          <w:sz w:val="20"/>
          <w:szCs w:val="20"/>
          <w:lang w:val="es-419" w:eastAsia="es-ES"/>
        </w:rPr>
      </w:pPr>
    </w:p>
    <w:p w14:paraId="6AD46BCD" w14:textId="77777777" w:rsidR="00FA4EA4" w:rsidRPr="00FA4EA4" w:rsidRDefault="00FA4EA4" w:rsidP="00FA4EA4">
      <w:pPr>
        <w:spacing w:line="240" w:lineRule="auto"/>
        <w:rPr>
          <w:rFonts w:ascii="Arial" w:eastAsia="Times New Roman" w:hAnsi="Arial" w:cs="Arial"/>
          <w:sz w:val="20"/>
          <w:szCs w:val="20"/>
          <w:lang w:val="es-419" w:eastAsia="es-ES"/>
        </w:rPr>
      </w:pPr>
      <w:r w:rsidRPr="00FA4EA4">
        <w:rPr>
          <w:rFonts w:ascii="Arial" w:eastAsia="Times New Roman"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o congénita,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p>
    <w:p w14:paraId="723888D6" w14:textId="77777777" w:rsidR="00FA4EA4" w:rsidRPr="00FA4EA4" w:rsidRDefault="00FA4EA4" w:rsidP="00FA4EA4">
      <w:pPr>
        <w:spacing w:line="240" w:lineRule="auto"/>
        <w:rPr>
          <w:rFonts w:ascii="Arial" w:eastAsia="Times New Roman" w:hAnsi="Arial" w:cs="Arial"/>
          <w:sz w:val="20"/>
          <w:szCs w:val="20"/>
          <w:lang w:val="es-419" w:eastAsia="es-ES"/>
        </w:rPr>
      </w:pPr>
    </w:p>
    <w:p w14:paraId="1F67BEAA" w14:textId="17BE341D" w:rsidR="00C31D80" w:rsidRPr="00C31D80" w:rsidRDefault="00FA4EA4" w:rsidP="00FA4EA4">
      <w:pPr>
        <w:spacing w:line="240" w:lineRule="auto"/>
        <w:rPr>
          <w:rFonts w:ascii="Arial" w:eastAsia="Times New Roman" w:hAnsi="Arial" w:cs="Arial"/>
          <w:sz w:val="20"/>
          <w:szCs w:val="20"/>
          <w:lang w:val="es-419" w:eastAsia="es-ES"/>
        </w:rPr>
      </w:pPr>
      <w:r w:rsidRPr="00FA4EA4">
        <w:rPr>
          <w:rFonts w:ascii="Arial" w:eastAsia="Times New Roman" w:hAnsi="Arial" w:cs="Arial"/>
          <w:sz w:val="20"/>
          <w:szCs w:val="20"/>
          <w:lang w:val="es-419" w:eastAsia="es-ES"/>
        </w:rPr>
        <w:t>Ahora bien, es evidente que recae en la parte actora la carga de probar los anteriores presupuestos para beneficiarse del precedente de la Corte Constitucional</w:t>
      </w:r>
      <w:r>
        <w:rPr>
          <w:rFonts w:ascii="Arial" w:eastAsia="Times New Roman" w:hAnsi="Arial" w:cs="Arial"/>
          <w:sz w:val="20"/>
          <w:szCs w:val="20"/>
          <w:lang w:val="es-419" w:eastAsia="es-ES"/>
        </w:rPr>
        <w:t>…</w:t>
      </w:r>
    </w:p>
    <w:p w14:paraId="6A0A3D0C" w14:textId="77777777" w:rsidR="00C31D80" w:rsidRPr="00C31D80" w:rsidRDefault="00C31D80" w:rsidP="00C31D80">
      <w:pPr>
        <w:spacing w:line="240" w:lineRule="auto"/>
        <w:rPr>
          <w:rFonts w:ascii="Arial" w:eastAsia="Times New Roman" w:hAnsi="Arial" w:cs="Arial"/>
          <w:sz w:val="20"/>
          <w:szCs w:val="20"/>
          <w:lang w:val="es-419" w:eastAsia="es-ES"/>
        </w:rPr>
      </w:pPr>
    </w:p>
    <w:p w14:paraId="25D4E587" w14:textId="4138F3CB" w:rsidR="00C31D80" w:rsidRPr="00C31D80" w:rsidRDefault="00C75BC8" w:rsidP="00C31D8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5BC8">
        <w:rPr>
          <w:rFonts w:ascii="Arial" w:eastAsia="Times New Roman" w:hAnsi="Arial" w:cs="Arial"/>
          <w:sz w:val="20"/>
          <w:szCs w:val="20"/>
          <w:lang w:val="es-419" w:eastAsia="es-ES"/>
        </w:rPr>
        <w:t xml:space="preserve">recaía en cabeza de la parte activa de la litis acreditar que las cotizaciones efectuadas con posterioridad a la fecha de estructuración en comento fueron el resulto real del trabajo ejercido con su capacidad laboral residual, situación que, tal como lo adujera la Jueza de instancia, quedó huérfana de sustento probatorio, pues además de que la togada que representa sus intereses limitó los testimonios que se </w:t>
      </w:r>
      <w:proofErr w:type="spellStart"/>
      <w:r w:rsidRPr="00C75BC8">
        <w:rPr>
          <w:rFonts w:ascii="Arial" w:eastAsia="Times New Roman" w:hAnsi="Arial" w:cs="Arial"/>
          <w:sz w:val="20"/>
          <w:szCs w:val="20"/>
          <w:lang w:val="es-419" w:eastAsia="es-ES"/>
        </w:rPr>
        <w:t>recepcionarían</w:t>
      </w:r>
      <w:proofErr w:type="spellEnd"/>
      <w:r w:rsidRPr="00C75BC8">
        <w:rPr>
          <w:rFonts w:ascii="Arial" w:eastAsia="Times New Roman" w:hAnsi="Arial" w:cs="Arial"/>
          <w:sz w:val="20"/>
          <w:szCs w:val="20"/>
          <w:lang w:val="es-419" w:eastAsia="es-ES"/>
        </w:rPr>
        <w:t>, aquellos rendidos en la etapa probatoria, lejos de beneficiarlo, ofrecen certeza respecto a la imposibilidad que tenía el actor de desplegar labor alguna.</w:t>
      </w:r>
    </w:p>
    <w:p w14:paraId="737642A8" w14:textId="77777777" w:rsidR="00C31D80" w:rsidRPr="00C31D80" w:rsidRDefault="00C31D80" w:rsidP="00C31D80">
      <w:pPr>
        <w:spacing w:line="240" w:lineRule="auto"/>
        <w:rPr>
          <w:rFonts w:ascii="Arial" w:eastAsia="Times New Roman" w:hAnsi="Arial" w:cs="Arial"/>
          <w:sz w:val="20"/>
          <w:szCs w:val="20"/>
          <w:lang w:val="es-419" w:eastAsia="es-ES"/>
        </w:rPr>
      </w:pPr>
    </w:p>
    <w:p w14:paraId="1AE82656" w14:textId="77777777" w:rsidR="00C31D80" w:rsidRPr="00C31D80" w:rsidRDefault="00C31D80" w:rsidP="00C31D80">
      <w:pPr>
        <w:spacing w:line="240" w:lineRule="auto"/>
        <w:rPr>
          <w:rFonts w:ascii="Arial" w:eastAsia="Times New Roman" w:hAnsi="Arial" w:cs="Arial"/>
          <w:sz w:val="20"/>
          <w:szCs w:val="20"/>
          <w:lang w:val="es-419" w:eastAsia="es-ES"/>
        </w:rPr>
      </w:pPr>
    </w:p>
    <w:p w14:paraId="57137C18" w14:textId="77777777" w:rsidR="00C31D80" w:rsidRPr="00C31D80" w:rsidRDefault="00C31D80" w:rsidP="00C31D80">
      <w:pPr>
        <w:spacing w:line="240" w:lineRule="auto"/>
        <w:rPr>
          <w:rFonts w:ascii="Arial" w:eastAsia="Times New Roman" w:hAnsi="Arial" w:cs="Arial"/>
          <w:sz w:val="20"/>
          <w:szCs w:val="20"/>
          <w:lang w:val="es-419" w:eastAsia="es-ES"/>
        </w:rPr>
      </w:pPr>
    </w:p>
    <w:p w14:paraId="79FD6613" w14:textId="77777777" w:rsidR="00E7252B" w:rsidRPr="00C31D80" w:rsidRDefault="00E7252B" w:rsidP="00C31D80">
      <w:pPr>
        <w:pStyle w:val="Ttulo4"/>
        <w:widowControl w:val="0"/>
        <w:tabs>
          <w:tab w:val="clear" w:pos="0"/>
        </w:tabs>
        <w:spacing w:line="276" w:lineRule="auto"/>
        <w:ind w:left="709" w:right="845"/>
        <w:rPr>
          <w:rFonts w:ascii="Tahoma" w:hAnsi="Tahoma" w:cs="Tahoma"/>
          <w:bCs/>
          <w:szCs w:val="24"/>
          <w:lang w:eastAsia="es-MX"/>
        </w:rPr>
      </w:pPr>
      <w:r w:rsidRPr="00C31D80">
        <w:rPr>
          <w:rFonts w:ascii="Tahoma" w:hAnsi="Tahoma" w:cs="Tahoma"/>
          <w:bCs/>
          <w:szCs w:val="24"/>
          <w:lang w:eastAsia="es-MX"/>
        </w:rPr>
        <w:t>TRIBUNAL SUPERIOR DEL DISTRITO JUDICIAL DE PEREIRA</w:t>
      </w:r>
    </w:p>
    <w:p w14:paraId="0941E144" w14:textId="77777777" w:rsidR="00E7252B" w:rsidRPr="00C31D80" w:rsidRDefault="00E7252B" w:rsidP="00C31D80">
      <w:pPr>
        <w:pStyle w:val="Ttulo4"/>
        <w:widowControl w:val="0"/>
        <w:tabs>
          <w:tab w:val="clear" w:pos="0"/>
        </w:tabs>
        <w:spacing w:line="276" w:lineRule="auto"/>
        <w:ind w:left="709" w:right="845"/>
        <w:rPr>
          <w:rFonts w:ascii="Tahoma" w:hAnsi="Tahoma" w:cs="Tahoma"/>
          <w:bCs/>
          <w:szCs w:val="24"/>
          <w:lang w:eastAsia="es-MX"/>
        </w:rPr>
      </w:pPr>
      <w:r w:rsidRPr="00C31D80">
        <w:rPr>
          <w:rFonts w:ascii="Tahoma" w:hAnsi="Tahoma" w:cs="Tahoma"/>
          <w:bCs/>
          <w:szCs w:val="24"/>
          <w:lang w:eastAsia="es-MX"/>
        </w:rPr>
        <w:t xml:space="preserve">SALA PRIMERA DE DECISION LABORAL </w:t>
      </w:r>
    </w:p>
    <w:p w14:paraId="3F6B92A5" w14:textId="77777777" w:rsidR="00E7252B" w:rsidRPr="00C31D80" w:rsidRDefault="00E7252B" w:rsidP="00C31D80">
      <w:pPr>
        <w:spacing w:line="276" w:lineRule="auto"/>
        <w:jc w:val="center"/>
        <w:rPr>
          <w:rFonts w:cs="Tahoma"/>
          <w:bCs/>
          <w:szCs w:val="24"/>
        </w:rPr>
      </w:pPr>
    </w:p>
    <w:p w14:paraId="1CE58C79" w14:textId="77777777" w:rsidR="00E7252B" w:rsidRPr="00C31D80" w:rsidRDefault="00E7252B" w:rsidP="00C31D80">
      <w:pPr>
        <w:spacing w:line="276" w:lineRule="auto"/>
        <w:jc w:val="center"/>
        <w:textAlignment w:val="baseline"/>
        <w:rPr>
          <w:rFonts w:eastAsia="Times New Roman" w:cs="Tahoma"/>
          <w:szCs w:val="24"/>
          <w:lang w:eastAsia="es-CO"/>
        </w:rPr>
      </w:pPr>
      <w:r w:rsidRPr="00C31D80">
        <w:rPr>
          <w:rFonts w:eastAsia="Times New Roman" w:cs="Tahoma"/>
          <w:szCs w:val="24"/>
          <w:lang w:eastAsia="es-CO"/>
        </w:rPr>
        <w:t>Magistrada Ponente: </w:t>
      </w:r>
      <w:r w:rsidRPr="00C31D80">
        <w:rPr>
          <w:rFonts w:eastAsia="Times New Roman" w:cs="Tahoma"/>
          <w:b/>
          <w:bCs/>
          <w:szCs w:val="24"/>
          <w:lang w:eastAsia="es-CO"/>
        </w:rPr>
        <w:t>Ana Lucía Caicedo Calderón</w:t>
      </w:r>
      <w:r w:rsidRPr="00C31D80">
        <w:rPr>
          <w:rFonts w:eastAsia="Times New Roman" w:cs="Tahoma"/>
          <w:szCs w:val="24"/>
          <w:lang w:eastAsia="es-CO"/>
        </w:rPr>
        <w:t> </w:t>
      </w:r>
    </w:p>
    <w:p w14:paraId="2D4AD134" w14:textId="77777777" w:rsidR="00E7252B" w:rsidRPr="00C31D80" w:rsidRDefault="00E7252B" w:rsidP="00C31D80">
      <w:pPr>
        <w:spacing w:line="276" w:lineRule="auto"/>
        <w:jc w:val="center"/>
        <w:textAlignment w:val="baseline"/>
        <w:rPr>
          <w:rFonts w:eastAsia="Times New Roman" w:cs="Tahoma"/>
          <w:szCs w:val="24"/>
          <w:lang w:eastAsia="es-CO"/>
        </w:rPr>
      </w:pPr>
      <w:r w:rsidRPr="00C31D80">
        <w:rPr>
          <w:rFonts w:eastAsia="Times New Roman" w:cs="Tahoma"/>
          <w:szCs w:val="24"/>
          <w:lang w:eastAsia="es-CO"/>
        </w:rPr>
        <w:t> </w:t>
      </w:r>
    </w:p>
    <w:p w14:paraId="2A488A2A" w14:textId="77777777" w:rsidR="00E7252B" w:rsidRPr="00C31D80" w:rsidRDefault="00E7252B" w:rsidP="00C31D80">
      <w:pPr>
        <w:spacing w:line="276" w:lineRule="auto"/>
        <w:jc w:val="center"/>
        <w:textAlignment w:val="baseline"/>
        <w:rPr>
          <w:rFonts w:eastAsia="Times New Roman" w:cs="Tahoma"/>
          <w:szCs w:val="24"/>
          <w:lang w:eastAsia="es-CO"/>
        </w:rPr>
      </w:pPr>
      <w:r w:rsidRPr="00C31D80">
        <w:rPr>
          <w:rFonts w:eastAsia="Times New Roman" w:cs="Tahoma"/>
          <w:szCs w:val="24"/>
          <w:lang w:eastAsia="es-CO"/>
        </w:rPr>
        <w:t>Pereira, Risaralda,</w:t>
      </w:r>
      <w:r w:rsidR="00833F8D" w:rsidRPr="00C31D80">
        <w:rPr>
          <w:rFonts w:eastAsia="Times New Roman" w:cs="Tahoma"/>
          <w:szCs w:val="24"/>
          <w:lang w:eastAsia="es-CO"/>
        </w:rPr>
        <w:t xml:space="preserve"> marzo catorce</w:t>
      </w:r>
      <w:r w:rsidRPr="00C31D80">
        <w:rPr>
          <w:rFonts w:eastAsia="Times New Roman" w:cs="Tahoma"/>
          <w:szCs w:val="24"/>
          <w:lang w:eastAsia="es-CO"/>
        </w:rPr>
        <w:t xml:space="preserve"> (</w:t>
      </w:r>
      <w:r w:rsidR="00833F8D" w:rsidRPr="00C31D80">
        <w:rPr>
          <w:rFonts w:eastAsia="Times New Roman" w:cs="Tahoma"/>
          <w:szCs w:val="24"/>
          <w:lang w:eastAsia="es-CO"/>
        </w:rPr>
        <w:t>14</w:t>
      </w:r>
      <w:r w:rsidRPr="00C31D80">
        <w:rPr>
          <w:rFonts w:eastAsia="Times New Roman" w:cs="Tahoma"/>
          <w:szCs w:val="24"/>
          <w:lang w:eastAsia="es-CO"/>
        </w:rPr>
        <w:t>) de dos mil veinti</w:t>
      </w:r>
      <w:r w:rsidR="00833F8D" w:rsidRPr="00C31D80">
        <w:rPr>
          <w:rFonts w:eastAsia="Times New Roman" w:cs="Tahoma"/>
          <w:szCs w:val="24"/>
          <w:lang w:eastAsia="es-CO"/>
        </w:rPr>
        <w:t xml:space="preserve">dós </w:t>
      </w:r>
      <w:r w:rsidRPr="00C31D80">
        <w:rPr>
          <w:rFonts w:eastAsia="Times New Roman" w:cs="Tahoma"/>
          <w:szCs w:val="24"/>
          <w:lang w:eastAsia="es-CO"/>
        </w:rPr>
        <w:t>(202</w:t>
      </w:r>
      <w:r w:rsidR="00833F8D" w:rsidRPr="00C31D80">
        <w:rPr>
          <w:rFonts w:eastAsia="Times New Roman" w:cs="Tahoma"/>
          <w:szCs w:val="24"/>
          <w:lang w:eastAsia="es-CO"/>
        </w:rPr>
        <w:t>2</w:t>
      </w:r>
      <w:r w:rsidRPr="00C31D80">
        <w:rPr>
          <w:rFonts w:eastAsia="Times New Roman" w:cs="Tahoma"/>
          <w:szCs w:val="24"/>
          <w:lang w:eastAsia="es-CO"/>
        </w:rPr>
        <w:t>)  </w:t>
      </w:r>
    </w:p>
    <w:p w14:paraId="3BE931AB" w14:textId="796B13D5" w:rsidR="00E7252B" w:rsidRPr="00C31D80" w:rsidRDefault="00E7252B" w:rsidP="00C31D80">
      <w:pPr>
        <w:spacing w:line="276" w:lineRule="auto"/>
        <w:jc w:val="center"/>
        <w:textAlignment w:val="baseline"/>
        <w:rPr>
          <w:rFonts w:eastAsia="Times New Roman" w:cs="Tahoma"/>
          <w:szCs w:val="24"/>
          <w:lang w:eastAsia="es-CO"/>
        </w:rPr>
      </w:pPr>
      <w:r w:rsidRPr="00C31D80">
        <w:rPr>
          <w:rFonts w:eastAsia="Times New Roman" w:cs="Tahoma"/>
          <w:szCs w:val="24"/>
          <w:lang w:eastAsia="es-CO"/>
        </w:rPr>
        <w:t> Acta No. </w:t>
      </w:r>
      <w:r w:rsidR="00833F8D" w:rsidRPr="00C31D80">
        <w:rPr>
          <w:rFonts w:eastAsia="Times New Roman" w:cs="Tahoma"/>
          <w:szCs w:val="24"/>
          <w:lang w:eastAsia="es-CO"/>
        </w:rPr>
        <w:t>36</w:t>
      </w:r>
      <w:r w:rsidRPr="00C31D80">
        <w:rPr>
          <w:rFonts w:eastAsia="Times New Roman" w:cs="Tahoma"/>
          <w:szCs w:val="24"/>
          <w:lang w:eastAsia="es-CO"/>
        </w:rPr>
        <w:t xml:space="preserve"> del </w:t>
      </w:r>
      <w:r w:rsidR="00833F8D" w:rsidRPr="00C31D80">
        <w:rPr>
          <w:rFonts w:eastAsia="Times New Roman" w:cs="Tahoma"/>
          <w:szCs w:val="24"/>
          <w:lang w:eastAsia="es-CO"/>
        </w:rPr>
        <w:t>10</w:t>
      </w:r>
      <w:r w:rsidRPr="00C31D80">
        <w:rPr>
          <w:rFonts w:eastAsia="Times New Roman" w:cs="Tahoma"/>
          <w:szCs w:val="24"/>
          <w:lang w:eastAsia="es-CO"/>
        </w:rPr>
        <w:t xml:space="preserve"> de </w:t>
      </w:r>
      <w:r w:rsidR="00833F8D" w:rsidRPr="00C31D80">
        <w:rPr>
          <w:rFonts w:eastAsia="Times New Roman" w:cs="Tahoma"/>
          <w:szCs w:val="24"/>
          <w:lang w:eastAsia="es-CO"/>
        </w:rPr>
        <w:t>marzo</w:t>
      </w:r>
      <w:r w:rsidRPr="00C31D80">
        <w:rPr>
          <w:rFonts w:eastAsia="Times New Roman" w:cs="Tahoma"/>
          <w:szCs w:val="24"/>
          <w:lang w:eastAsia="es-CO"/>
        </w:rPr>
        <w:t xml:space="preserve"> de 202</w:t>
      </w:r>
      <w:r w:rsidR="00833F8D" w:rsidRPr="00C31D80">
        <w:rPr>
          <w:rFonts w:eastAsia="Times New Roman" w:cs="Tahoma"/>
          <w:szCs w:val="24"/>
          <w:lang w:eastAsia="es-CO"/>
        </w:rPr>
        <w:t>2</w:t>
      </w:r>
    </w:p>
    <w:p w14:paraId="7C2340BD" w14:textId="77777777" w:rsidR="00E7252B" w:rsidRPr="00C31D80" w:rsidRDefault="00E7252B" w:rsidP="00C31D80">
      <w:pPr>
        <w:spacing w:line="276" w:lineRule="auto"/>
        <w:jc w:val="center"/>
        <w:rPr>
          <w:rFonts w:cs="Tahoma"/>
          <w:b/>
          <w:szCs w:val="24"/>
        </w:rPr>
      </w:pPr>
    </w:p>
    <w:p w14:paraId="57A08D2C" w14:textId="38D320E6" w:rsidR="00E7252B" w:rsidRPr="00C31D80" w:rsidRDefault="00E7252B" w:rsidP="00C31D80">
      <w:pPr>
        <w:spacing w:line="276" w:lineRule="auto"/>
        <w:ind w:firstLine="709"/>
        <w:rPr>
          <w:rFonts w:cs="Tahoma"/>
          <w:szCs w:val="24"/>
        </w:rPr>
      </w:pPr>
      <w:r w:rsidRPr="00C31D80">
        <w:rPr>
          <w:rFonts w:cs="Tahoma"/>
          <w:szCs w:val="24"/>
        </w:rPr>
        <w:t>Teniendo en cuenta que el artículo 15 del Decreto No. 806 del 4 de junio de</w:t>
      </w:r>
      <w:r w:rsidR="00653CBB">
        <w:rPr>
          <w:rFonts w:cs="Tahoma"/>
          <w:szCs w:val="24"/>
        </w:rPr>
        <w:t xml:space="preserve"> </w:t>
      </w:r>
      <w:r w:rsidRPr="00C31D80">
        <w:rPr>
          <w:rFonts w:cs="Tahoma"/>
          <w:szCs w:val="24"/>
        </w:rPr>
        <w:t>2020, expedido por el Ministerio de Justicia y del Derecho, estableció que en la</w:t>
      </w:r>
      <w:r w:rsidR="00653CBB">
        <w:rPr>
          <w:rFonts w:cs="Tahoma"/>
          <w:szCs w:val="24"/>
        </w:rPr>
        <w:t xml:space="preserve"> </w:t>
      </w:r>
      <w:r w:rsidRPr="00C31D80">
        <w:rPr>
          <w:rFonts w:cs="Tahoma"/>
          <w:szCs w:val="24"/>
        </w:rPr>
        <w:t>especialidad laboral se proferirán por escrito las providencias de segunda instancia</w:t>
      </w:r>
      <w:r w:rsidR="00653CBB">
        <w:rPr>
          <w:rFonts w:cs="Tahoma"/>
          <w:szCs w:val="24"/>
        </w:rPr>
        <w:t xml:space="preserve"> </w:t>
      </w:r>
      <w:r w:rsidRPr="00C31D80">
        <w:rPr>
          <w:rFonts w:cs="Tahoma"/>
          <w:szCs w:val="24"/>
        </w:rPr>
        <w:t>en las que se surta el grado jurisdiccional de consulta o se resuelva el recurso de</w:t>
      </w:r>
      <w:r w:rsidR="00653CBB">
        <w:rPr>
          <w:rFonts w:cs="Tahoma"/>
          <w:szCs w:val="24"/>
        </w:rPr>
        <w:t xml:space="preserve"> </w:t>
      </w:r>
      <w:r w:rsidRPr="00C31D80">
        <w:rPr>
          <w:rFonts w:cs="Tahoma"/>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bookmarkStart w:id="1" w:name="_GoBack"/>
      <w:r w:rsidRPr="00BE3EDA">
        <w:rPr>
          <w:rFonts w:cs="Tahoma"/>
          <w:b/>
          <w:szCs w:val="24"/>
        </w:rPr>
        <w:t>ordinario laboral</w:t>
      </w:r>
      <w:bookmarkEnd w:id="1"/>
      <w:r w:rsidRPr="00C31D80">
        <w:rPr>
          <w:rFonts w:cs="Tahoma"/>
          <w:szCs w:val="24"/>
        </w:rPr>
        <w:t xml:space="preserve"> instaurado por </w:t>
      </w:r>
      <w:r w:rsidR="00C74404" w:rsidRPr="00C31D80">
        <w:rPr>
          <w:rFonts w:eastAsia="Times New Roman" w:cs="Tahoma"/>
          <w:b/>
          <w:szCs w:val="24"/>
          <w:lang w:eastAsia="es-ES"/>
        </w:rPr>
        <w:t>Ricaurte Guzmán Quiñones</w:t>
      </w:r>
      <w:r w:rsidR="00C74404" w:rsidRPr="00C31D80">
        <w:rPr>
          <w:rFonts w:cs="Tahoma"/>
          <w:szCs w:val="24"/>
        </w:rPr>
        <w:t xml:space="preserve"> </w:t>
      </w:r>
      <w:r w:rsidRPr="00C31D80">
        <w:rPr>
          <w:rFonts w:cs="Tahoma"/>
          <w:szCs w:val="24"/>
        </w:rPr>
        <w:t xml:space="preserve">en contra de la </w:t>
      </w:r>
      <w:r w:rsidR="00C74404" w:rsidRPr="00C31D80">
        <w:rPr>
          <w:rFonts w:cs="Tahoma"/>
          <w:b/>
          <w:szCs w:val="24"/>
        </w:rPr>
        <w:t>AFP Porvenir S.A.</w:t>
      </w:r>
    </w:p>
    <w:p w14:paraId="4554AD85" w14:textId="77777777" w:rsidR="00E7252B" w:rsidRPr="00C31D80" w:rsidRDefault="00E7252B" w:rsidP="00C31D80">
      <w:pPr>
        <w:spacing w:line="276" w:lineRule="auto"/>
        <w:ind w:firstLine="709"/>
        <w:rPr>
          <w:rFonts w:cs="Tahoma"/>
          <w:szCs w:val="24"/>
        </w:rPr>
      </w:pPr>
    </w:p>
    <w:p w14:paraId="5C91ADAB" w14:textId="77777777" w:rsidR="00E7252B" w:rsidRPr="00C31D80" w:rsidRDefault="00E7252B" w:rsidP="00C31D80">
      <w:pPr>
        <w:pStyle w:val="paragraph"/>
        <w:spacing w:before="0" w:beforeAutospacing="0" w:after="0" w:afterAutospacing="0" w:line="276" w:lineRule="auto"/>
        <w:jc w:val="center"/>
        <w:textAlignment w:val="baseline"/>
        <w:rPr>
          <w:rStyle w:val="normaltextrun"/>
          <w:rFonts w:ascii="Tahoma" w:hAnsi="Tahoma" w:cs="Tahoma"/>
          <w:b/>
          <w:bCs/>
        </w:rPr>
      </w:pPr>
      <w:r w:rsidRPr="00C31D80">
        <w:rPr>
          <w:rStyle w:val="normaltextrun"/>
          <w:rFonts w:ascii="Tahoma" w:hAnsi="Tahoma" w:cs="Tahoma"/>
          <w:b/>
          <w:bCs/>
        </w:rPr>
        <w:t>PUNTO A TRATAR</w:t>
      </w:r>
    </w:p>
    <w:p w14:paraId="5BC0579B" w14:textId="77777777" w:rsidR="00E7252B" w:rsidRPr="00C31D80" w:rsidRDefault="00E7252B" w:rsidP="00C31D80">
      <w:pPr>
        <w:pStyle w:val="paragraph"/>
        <w:spacing w:before="0" w:beforeAutospacing="0" w:after="0" w:afterAutospacing="0" w:line="276" w:lineRule="auto"/>
        <w:jc w:val="center"/>
        <w:textAlignment w:val="baseline"/>
        <w:rPr>
          <w:rFonts w:ascii="Tahoma" w:hAnsi="Tahoma" w:cs="Tahoma"/>
        </w:rPr>
      </w:pPr>
    </w:p>
    <w:p w14:paraId="7CEDB104" w14:textId="5B336C94" w:rsidR="00E7252B" w:rsidRPr="00C31D80" w:rsidRDefault="00E7252B" w:rsidP="00C31D80">
      <w:pPr>
        <w:spacing w:line="276" w:lineRule="auto"/>
        <w:ind w:firstLine="708"/>
        <w:rPr>
          <w:rStyle w:val="normaltextrun"/>
          <w:rFonts w:cs="Tahoma"/>
          <w:szCs w:val="24"/>
        </w:rPr>
      </w:pPr>
      <w:r w:rsidRPr="00C31D80">
        <w:rPr>
          <w:rStyle w:val="normaltextrun"/>
          <w:rFonts w:cs="Tahoma"/>
          <w:szCs w:val="24"/>
        </w:rPr>
        <w:lastRenderedPageBreak/>
        <w:t>Por medio de esta providencia procede la Sala a</w:t>
      </w:r>
      <w:r w:rsidRPr="00C31D80">
        <w:rPr>
          <w:rFonts w:cs="Tahoma"/>
          <w:szCs w:val="24"/>
        </w:rPr>
        <w:t xml:space="preserve"> resolver </w:t>
      </w:r>
      <w:r w:rsidR="008249C1" w:rsidRPr="00C31D80">
        <w:rPr>
          <w:rFonts w:cs="Tahoma"/>
          <w:szCs w:val="24"/>
        </w:rPr>
        <w:t>e</w:t>
      </w:r>
      <w:r w:rsidRPr="00C31D80">
        <w:rPr>
          <w:rFonts w:cs="Tahoma"/>
          <w:szCs w:val="24"/>
        </w:rPr>
        <w:t>l re</w:t>
      </w:r>
      <w:r w:rsidR="00C13D02" w:rsidRPr="00C31D80">
        <w:rPr>
          <w:rFonts w:cs="Tahoma"/>
          <w:szCs w:val="24"/>
        </w:rPr>
        <w:t>curso de apelación interpuesto</w:t>
      </w:r>
      <w:r w:rsidRPr="00C31D80">
        <w:rPr>
          <w:rFonts w:cs="Tahoma"/>
          <w:szCs w:val="24"/>
        </w:rPr>
        <w:t xml:space="preserve"> </w:t>
      </w:r>
      <w:r w:rsidR="001C46AD" w:rsidRPr="00C31D80">
        <w:rPr>
          <w:rFonts w:cs="Tahoma"/>
          <w:szCs w:val="24"/>
        </w:rPr>
        <w:t xml:space="preserve">por </w:t>
      </w:r>
      <w:r w:rsidR="008249C1" w:rsidRPr="00C31D80">
        <w:rPr>
          <w:rFonts w:cs="Tahoma"/>
          <w:szCs w:val="24"/>
        </w:rPr>
        <w:t>la apoderada d</w:t>
      </w:r>
      <w:r w:rsidR="001C46AD" w:rsidRPr="00C31D80">
        <w:rPr>
          <w:rFonts w:cs="Tahoma"/>
          <w:szCs w:val="24"/>
        </w:rPr>
        <w:t xml:space="preserve">el </w:t>
      </w:r>
      <w:r w:rsidRPr="00C31D80">
        <w:rPr>
          <w:rFonts w:cs="Tahoma"/>
          <w:szCs w:val="24"/>
        </w:rPr>
        <w:t xml:space="preserve">demandante contra la sentencia proferida </w:t>
      </w:r>
      <w:r w:rsidR="00C13D02" w:rsidRPr="00C31D80">
        <w:rPr>
          <w:rFonts w:cs="Tahoma"/>
          <w:szCs w:val="24"/>
        </w:rPr>
        <w:t xml:space="preserve">el 28 </w:t>
      </w:r>
      <w:r w:rsidR="001C46AD" w:rsidRPr="00C31D80">
        <w:rPr>
          <w:rFonts w:cs="Tahoma"/>
          <w:szCs w:val="24"/>
        </w:rPr>
        <w:t>de septiembre de 2021</w:t>
      </w:r>
      <w:r w:rsidR="008249C1" w:rsidRPr="00C31D80">
        <w:rPr>
          <w:rFonts w:cs="Tahoma"/>
          <w:szCs w:val="24"/>
        </w:rPr>
        <w:t>,</w:t>
      </w:r>
      <w:r w:rsidR="001C46AD" w:rsidRPr="00C31D80">
        <w:rPr>
          <w:rFonts w:cs="Tahoma"/>
          <w:szCs w:val="24"/>
        </w:rPr>
        <w:t xml:space="preserve"> </w:t>
      </w:r>
      <w:r w:rsidRPr="00C31D80">
        <w:rPr>
          <w:rFonts w:cs="Tahoma"/>
          <w:szCs w:val="24"/>
        </w:rPr>
        <w:t>por el Juzgado Cuarto Laboral del Circuito de Pereira.</w:t>
      </w:r>
      <w:r w:rsidR="00AC4E91" w:rsidRPr="00C31D80">
        <w:rPr>
          <w:rFonts w:cs="Tahoma"/>
          <w:szCs w:val="24"/>
        </w:rPr>
        <w:t xml:space="preserve"> Para ello se tiene en cuenta lo siguiente:</w:t>
      </w:r>
    </w:p>
    <w:p w14:paraId="45ACF33E" w14:textId="77777777" w:rsidR="00E7252B" w:rsidRPr="00C31D80" w:rsidRDefault="00E7252B" w:rsidP="00C31D80">
      <w:pPr>
        <w:spacing w:line="276" w:lineRule="auto"/>
        <w:ind w:firstLine="708"/>
        <w:rPr>
          <w:rStyle w:val="normaltextrun"/>
          <w:rFonts w:cs="Tahoma"/>
          <w:szCs w:val="24"/>
        </w:rPr>
      </w:pPr>
    </w:p>
    <w:p w14:paraId="16FC770E" w14:textId="01AEEAC2" w:rsidR="00E7252B" w:rsidRPr="00C31D80" w:rsidRDefault="008249C1" w:rsidP="00C31D80">
      <w:pPr>
        <w:pStyle w:val="Prrafodelista"/>
        <w:numPr>
          <w:ilvl w:val="0"/>
          <w:numId w:val="1"/>
        </w:numPr>
        <w:spacing w:line="276" w:lineRule="auto"/>
        <w:ind w:left="426" w:hanging="426"/>
        <w:jc w:val="center"/>
        <w:rPr>
          <w:rFonts w:cs="Tahoma"/>
          <w:b/>
          <w:bCs/>
          <w:szCs w:val="24"/>
        </w:rPr>
      </w:pPr>
      <w:r w:rsidRPr="00C31D80">
        <w:rPr>
          <w:rFonts w:cs="Tahoma"/>
          <w:b/>
          <w:bCs/>
          <w:szCs w:val="24"/>
        </w:rPr>
        <w:t>La d</w:t>
      </w:r>
      <w:r w:rsidR="00E7252B" w:rsidRPr="00C31D80">
        <w:rPr>
          <w:rFonts w:cs="Tahoma"/>
          <w:b/>
          <w:bCs/>
          <w:szCs w:val="24"/>
        </w:rPr>
        <w:t>emanda y</w:t>
      </w:r>
      <w:r w:rsidR="00AC4E91" w:rsidRPr="00C31D80">
        <w:rPr>
          <w:rFonts w:cs="Tahoma"/>
          <w:b/>
          <w:bCs/>
          <w:szCs w:val="24"/>
        </w:rPr>
        <w:t xml:space="preserve"> la </w:t>
      </w:r>
      <w:r w:rsidR="00E7252B" w:rsidRPr="00C31D80">
        <w:rPr>
          <w:rFonts w:cs="Tahoma"/>
          <w:b/>
          <w:bCs/>
          <w:szCs w:val="24"/>
        </w:rPr>
        <w:t>contestación</w:t>
      </w:r>
      <w:r w:rsidR="00AC4E91" w:rsidRPr="00C31D80">
        <w:rPr>
          <w:rFonts w:cs="Tahoma"/>
          <w:b/>
          <w:bCs/>
          <w:szCs w:val="24"/>
        </w:rPr>
        <w:t xml:space="preserve"> de la demanda</w:t>
      </w:r>
    </w:p>
    <w:p w14:paraId="6E700C48" w14:textId="77777777" w:rsidR="00C13D02" w:rsidRPr="00C31D80" w:rsidRDefault="00C13D02" w:rsidP="00C31D80">
      <w:pPr>
        <w:pStyle w:val="Prrafodelista"/>
        <w:spacing w:line="276" w:lineRule="auto"/>
        <w:ind w:left="426"/>
        <w:rPr>
          <w:rStyle w:val="normaltextrun"/>
          <w:rFonts w:cs="Tahoma"/>
          <w:b/>
          <w:bCs/>
          <w:szCs w:val="24"/>
        </w:rPr>
      </w:pPr>
    </w:p>
    <w:p w14:paraId="5B9408D6" w14:textId="49D35F97" w:rsidR="00727262" w:rsidRPr="00C31D80" w:rsidRDefault="001C46AD" w:rsidP="00C31D80">
      <w:pPr>
        <w:spacing w:line="276" w:lineRule="auto"/>
        <w:ind w:firstLine="708"/>
        <w:rPr>
          <w:rStyle w:val="normaltextrun"/>
          <w:rFonts w:cs="Tahoma"/>
          <w:szCs w:val="24"/>
        </w:rPr>
      </w:pPr>
      <w:r w:rsidRPr="00C31D80">
        <w:rPr>
          <w:rStyle w:val="normaltextrun"/>
          <w:rFonts w:cs="Tahoma"/>
          <w:szCs w:val="24"/>
        </w:rPr>
        <w:t xml:space="preserve">Pretende el demandante que se </w:t>
      </w:r>
      <w:r w:rsidR="00792884" w:rsidRPr="00C31D80">
        <w:rPr>
          <w:rStyle w:val="normaltextrun"/>
          <w:rFonts w:cs="Tahoma"/>
          <w:szCs w:val="24"/>
        </w:rPr>
        <w:t xml:space="preserve">condene a </w:t>
      </w:r>
      <w:r w:rsidRPr="00C31D80">
        <w:rPr>
          <w:rStyle w:val="normaltextrun"/>
          <w:rFonts w:cs="Tahoma"/>
          <w:szCs w:val="24"/>
        </w:rPr>
        <w:t>Porvenir S.A.</w:t>
      </w:r>
      <w:r w:rsidR="00792884" w:rsidRPr="00C31D80">
        <w:rPr>
          <w:rStyle w:val="normaltextrun"/>
          <w:rFonts w:cs="Tahoma"/>
          <w:szCs w:val="24"/>
        </w:rPr>
        <w:t xml:space="preserve">, previa declaración del derecho, a que </w:t>
      </w:r>
      <w:r w:rsidRPr="00C31D80">
        <w:rPr>
          <w:rStyle w:val="normaltextrun"/>
          <w:rFonts w:cs="Tahoma"/>
          <w:szCs w:val="24"/>
        </w:rPr>
        <w:t>le reconozca</w:t>
      </w:r>
      <w:r w:rsidR="00561128" w:rsidRPr="00C31D80">
        <w:rPr>
          <w:rStyle w:val="normaltextrun"/>
          <w:rFonts w:cs="Tahoma"/>
          <w:szCs w:val="24"/>
        </w:rPr>
        <w:t xml:space="preserve"> y pague la pensión de invalidez</w:t>
      </w:r>
      <w:r w:rsidR="007E2FBC" w:rsidRPr="00C31D80">
        <w:rPr>
          <w:rStyle w:val="normaltextrun"/>
          <w:rFonts w:cs="Tahoma"/>
          <w:szCs w:val="24"/>
        </w:rPr>
        <w:t xml:space="preserve"> </w:t>
      </w:r>
      <w:r w:rsidR="00020F53" w:rsidRPr="00C31D80">
        <w:rPr>
          <w:rStyle w:val="normaltextrun"/>
          <w:rFonts w:cs="Tahoma"/>
          <w:szCs w:val="24"/>
        </w:rPr>
        <w:t xml:space="preserve">a partir del 12 de febrero de 2018, </w:t>
      </w:r>
      <w:r w:rsidR="00792884" w:rsidRPr="00C31D80">
        <w:rPr>
          <w:rStyle w:val="normaltextrun"/>
          <w:rFonts w:cs="Tahoma"/>
          <w:szCs w:val="24"/>
        </w:rPr>
        <w:t xml:space="preserve">más los intereses moratorios o la indexación, </w:t>
      </w:r>
      <w:r w:rsidR="00DA457A" w:rsidRPr="00C31D80">
        <w:rPr>
          <w:rStyle w:val="normaltextrun"/>
          <w:rFonts w:cs="Tahoma"/>
          <w:szCs w:val="24"/>
        </w:rPr>
        <w:t>todos los derechos que extra y u</w:t>
      </w:r>
      <w:r w:rsidR="00C13D02" w:rsidRPr="00C31D80">
        <w:rPr>
          <w:rStyle w:val="normaltextrun"/>
          <w:rFonts w:cs="Tahoma"/>
          <w:szCs w:val="24"/>
        </w:rPr>
        <w:t>ltra petita resulten probados y</w:t>
      </w:r>
      <w:r w:rsidR="00DA457A" w:rsidRPr="00C31D80">
        <w:rPr>
          <w:rStyle w:val="normaltextrun"/>
          <w:rFonts w:cs="Tahoma"/>
          <w:szCs w:val="24"/>
        </w:rPr>
        <w:t xml:space="preserve"> las costas </w:t>
      </w:r>
      <w:r w:rsidR="00907B36" w:rsidRPr="00C31D80">
        <w:rPr>
          <w:rStyle w:val="normaltextrun"/>
          <w:rFonts w:cs="Tahoma"/>
          <w:szCs w:val="24"/>
        </w:rPr>
        <w:t>procesales</w:t>
      </w:r>
      <w:r w:rsidR="00DA457A" w:rsidRPr="00C31D80">
        <w:rPr>
          <w:rStyle w:val="normaltextrun"/>
          <w:rFonts w:cs="Tahoma"/>
          <w:szCs w:val="24"/>
        </w:rPr>
        <w:t>.</w:t>
      </w:r>
    </w:p>
    <w:p w14:paraId="5923DC1F" w14:textId="77777777" w:rsidR="00727262" w:rsidRPr="00C31D80" w:rsidRDefault="00727262" w:rsidP="00C31D80">
      <w:pPr>
        <w:spacing w:line="276" w:lineRule="auto"/>
        <w:ind w:firstLine="708"/>
        <w:rPr>
          <w:rStyle w:val="normaltextrun"/>
          <w:rFonts w:cs="Tahoma"/>
          <w:szCs w:val="24"/>
        </w:rPr>
      </w:pPr>
    </w:p>
    <w:p w14:paraId="4FC07E0F" w14:textId="77777777" w:rsidR="007543BD" w:rsidRPr="00C31D80" w:rsidRDefault="00020F53" w:rsidP="00C31D80">
      <w:pPr>
        <w:spacing w:line="276" w:lineRule="auto"/>
        <w:ind w:firstLine="708"/>
        <w:rPr>
          <w:rFonts w:cs="Tahoma"/>
          <w:szCs w:val="24"/>
        </w:rPr>
      </w:pPr>
      <w:r w:rsidRPr="00C31D80">
        <w:rPr>
          <w:rStyle w:val="normaltextrun"/>
          <w:rFonts w:cs="Tahoma"/>
          <w:szCs w:val="24"/>
        </w:rPr>
        <w:t xml:space="preserve"> </w:t>
      </w:r>
      <w:r w:rsidR="00DA457A" w:rsidRPr="00C31D80">
        <w:rPr>
          <w:rStyle w:val="normaltextrun"/>
          <w:rFonts w:cs="Tahoma"/>
          <w:szCs w:val="24"/>
        </w:rPr>
        <w:t>Para fundar dichas pretensiones manifiesta</w:t>
      </w:r>
      <w:r w:rsidR="00BA14FD" w:rsidRPr="00C31D80">
        <w:rPr>
          <w:rStyle w:val="normaltextrun"/>
          <w:rFonts w:cs="Tahoma"/>
          <w:szCs w:val="24"/>
        </w:rPr>
        <w:t xml:space="preserve"> que </w:t>
      </w:r>
      <w:r w:rsidR="00907B36" w:rsidRPr="00C31D80">
        <w:rPr>
          <w:rFonts w:cs="Tahoma"/>
          <w:szCs w:val="24"/>
        </w:rPr>
        <w:t xml:space="preserve">nació el 26 de julio de 1966; que se encuentra afiliado a Porvenir S.A. y acredita un total de </w:t>
      </w:r>
      <w:r w:rsidR="007543BD" w:rsidRPr="00C31D80">
        <w:rPr>
          <w:rFonts w:cs="Tahoma"/>
          <w:szCs w:val="24"/>
        </w:rPr>
        <w:t>1025 semanas cotizadas.</w:t>
      </w:r>
    </w:p>
    <w:p w14:paraId="26B0D566" w14:textId="77777777" w:rsidR="007543BD" w:rsidRPr="00C31D80" w:rsidRDefault="007543BD" w:rsidP="00C31D80">
      <w:pPr>
        <w:spacing w:line="276" w:lineRule="auto"/>
        <w:ind w:firstLine="708"/>
        <w:rPr>
          <w:rFonts w:cs="Tahoma"/>
          <w:szCs w:val="24"/>
        </w:rPr>
      </w:pPr>
    </w:p>
    <w:p w14:paraId="68F77CA0" w14:textId="77777777" w:rsidR="00383BC6" w:rsidRPr="00C31D80" w:rsidRDefault="007543BD" w:rsidP="00C31D80">
      <w:pPr>
        <w:spacing w:line="276" w:lineRule="auto"/>
        <w:ind w:firstLine="708"/>
        <w:rPr>
          <w:rStyle w:val="normaltextrun"/>
          <w:rFonts w:cs="Tahoma"/>
          <w:szCs w:val="24"/>
        </w:rPr>
      </w:pPr>
      <w:r w:rsidRPr="00C31D80">
        <w:rPr>
          <w:rFonts w:cs="Tahoma"/>
          <w:szCs w:val="24"/>
        </w:rPr>
        <w:t xml:space="preserve">Refiere que padece diversas enfermedades y que </w:t>
      </w:r>
      <w:r w:rsidR="00383BC6" w:rsidRPr="00C31D80">
        <w:rPr>
          <w:rStyle w:val="normaltextrun"/>
          <w:rFonts w:cs="Tahoma"/>
          <w:szCs w:val="24"/>
        </w:rPr>
        <w:t>la</w:t>
      </w:r>
      <w:r w:rsidR="00383BC6" w:rsidRPr="00C31D80">
        <w:rPr>
          <w:rFonts w:cs="Tahoma"/>
          <w:szCs w:val="24"/>
        </w:rPr>
        <w:t xml:space="preserve"> </w:t>
      </w:r>
      <w:r w:rsidR="00383BC6" w:rsidRPr="00C31D80">
        <w:rPr>
          <w:rStyle w:val="normaltextrun"/>
          <w:rFonts w:cs="Tahoma"/>
          <w:szCs w:val="24"/>
        </w:rPr>
        <w:t>Junta Nacional de Calificación de Invalidez</w:t>
      </w:r>
      <w:r w:rsidRPr="00C31D80">
        <w:rPr>
          <w:rStyle w:val="normaltextrun"/>
          <w:rFonts w:cs="Tahoma"/>
          <w:szCs w:val="24"/>
        </w:rPr>
        <w:t>,</w:t>
      </w:r>
      <w:r w:rsidR="00383BC6" w:rsidRPr="00C31D80">
        <w:rPr>
          <w:rStyle w:val="normaltextrun"/>
          <w:rFonts w:cs="Tahoma"/>
          <w:szCs w:val="24"/>
        </w:rPr>
        <w:t xml:space="preserve"> mediante dictamen Nro. 7552122-1086 del 25 de enero de 2019, lo calificó con un</w:t>
      </w:r>
      <w:r w:rsidRPr="00C31D80">
        <w:rPr>
          <w:rStyle w:val="normaltextrun"/>
          <w:rFonts w:cs="Tahoma"/>
          <w:szCs w:val="24"/>
        </w:rPr>
        <w:t>a</w:t>
      </w:r>
      <w:r w:rsidR="00383BC6" w:rsidRPr="00C31D80">
        <w:rPr>
          <w:rStyle w:val="normaltextrun"/>
          <w:rFonts w:cs="Tahoma"/>
          <w:szCs w:val="24"/>
        </w:rPr>
        <w:t xml:space="preserve"> PCL del 52.63%</w:t>
      </w:r>
      <w:r w:rsidRPr="00C31D80">
        <w:rPr>
          <w:rStyle w:val="normaltextrun"/>
          <w:rFonts w:cs="Tahoma"/>
          <w:szCs w:val="24"/>
        </w:rPr>
        <w:t>,</w:t>
      </w:r>
      <w:r w:rsidR="00383BC6" w:rsidRPr="00C31D80">
        <w:rPr>
          <w:rStyle w:val="normaltextrun"/>
          <w:rFonts w:cs="Tahoma"/>
          <w:szCs w:val="24"/>
        </w:rPr>
        <w:t xml:space="preserve"> de origen común, </w:t>
      </w:r>
      <w:r w:rsidR="00771FA8" w:rsidRPr="00C31D80">
        <w:rPr>
          <w:rStyle w:val="normaltextrun"/>
          <w:rFonts w:cs="Tahoma"/>
          <w:szCs w:val="24"/>
        </w:rPr>
        <w:t xml:space="preserve">estructurada </w:t>
      </w:r>
      <w:r w:rsidR="00383BC6" w:rsidRPr="00C31D80">
        <w:rPr>
          <w:rStyle w:val="normaltextrun"/>
          <w:rFonts w:cs="Tahoma"/>
          <w:szCs w:val="24"/>
        </w:rPr>
        <w:t>el 12 de febrero de 2018</w:t>
      </w:r>
      <w:r w:rsidR="00EA3174" w:rsidRPr="00C31D80">
        <w:rPr>
          <w:rStyle w:val="normaltextrun"/>
          <w:rFonts w:cs="Tahoma"/>
          <w:szCs w:val="24"/>
        </w:rPr>
        <w:t>, cuyos padecimientos son de tipo progresivo</w:t>
      </w:r>
      <w:r w:rsidR="00383BC6" w:rsidRPr="00C31D80">
        <w:rPr>
          <w:rStyle w:val="normaltextrun"/>
          <w:rFonts w:cs="Tahoma"/>
          <w:szCs w:val="24"/>
        </w:rPr>
        <w:t xml:space="preserve">.  </w:t>
      </w:r>
    </w:p>
    <w:p w14:paraId="7974E668" w14:textId="77777777" w:rsidR="00EA3174" w:rsidRPr="00C31D80" w:rsidRDefault="00EA3174" w:rsidP="00C31D80">
      <w:pPr>
        <w:spacing w:line="276" w:lineRule="auto"/>
        <w:ind w:firstLine="708"/>
        <w:rPr>
          <w:rStyle w:val="normaltextrun"/>
          <w:rFonts w:cs="Tahoma"/>
          <w:szCs w:val="24"/>
        </w:rPr>
      </w:pPr>
    </w:p>
    <w:p w14:paraId="14B80D49" w14:textId="77777777" w:rsidR="00EA3174" w:rsidRPr="00C31D80" w:rsidRDefault="00EA3174" w:rsidP="00C31D80">
      <w:pPr>
        <w:spacing w:line="276" w:lineRule="auto"/>
        <w:ind w:firstLine="708"/>
        <w:rPr>
          <w:rStyle w:val="normaltextrun"/>
          <w:rFonts w:cs="Tahoma"/>
          <w:szCs w:val="24"/>
        </w:rPr>
      </w:pPr>
      <w:r w:rsidRPr="00C31D80">
        <w:rPr>
          <w:rStyle w:val="normaltextrun"/>
          <w:rFonts w:cs="Tahoma"/>
          <w:szCs w:val="24"/>
        </w:rPr>
        <w:t xml:space="preserve">Señala que 19 de noviembre de 2019 solicitó ante Porvenir S.A. el reconocimiento de la pensión de invalidez, la cual le fue denegada </w:t>
      </w:r>
      <w:r w:rsidR="00601D6C" w:rsidRPr="00C31D80">
        <w:rPr>
          <w:rStyle w:val="normaltextrun"/>
          <w:rFonts w:cs="Tahoma"/>
          <w:szCs w:val="24"/>
        </w:rPr>
        <w:t xml:space="preserve">por medio de oficio del 28 de noviembre de 2019, </w:t>
      </w:r>
      <w:r w:rsidRPr="00C31D80">
        <w:rPr>
          <w:rStyle w:val="normaltextrun"/>
          <w:rFonts w:cs="Tahoma"/>
          <w:szCs w:val="24"/>
        </w:rPr>
        <w:t xml:space="preserve">bajo el argumento de que </w:t>
      </w:r>
      <w:r w:rsidR="00601D6C" w:rsidRPr="00C31D80">
        <w:rPr>
          <w:rStyle w:val="normaltextrun"/>
          <w:rFonts w:cs="Tahoma"/>
          <w:szCs w:val="24"/>
        </w:rPr>
        <w:t>no acreditaba 50 semanas en los 3 años anteriores a la estructuración de la invalidez.</w:t>
      </w:r>
      <w:r w:rsidR="00E1692B" w:rsidRPr="00C31D80">
        <w:rPr>
          <w:rStyle w:val="normaltextrun"/>
          <w:rFonts w:cs="Tahoma"/>
          <w:szCs w:val="24"/>
        </w:rPr>
        <w:t xml:space="preserve"> Posteriormente, a través de oficio del 20 de febrero de 2020 dicha AFP le manifestó que, atendiendo la jurisprudencia de la Corte Constitucional, pese a que tendría como fecha de estructuración aquella en que la Junta Nacional de Calificación de Invalidez emitió el dictamen de PCL, esto es, el 25 de enero de 2019, tampoco reunía la densidad de semanas exigida por la Ley 860 de 2003, toda vez que sólo c</w:t>
      </w:r>
      <w:r w:rsidR="00ED0CA7" w:rsidRPr="00C31D80">
        <w:rPr>
          <w:rStyle w:val="normaltextrun"/>
          <w:rFonts w:cs="Tahoma"/>
          <w:szCs w:val="24"/>
        </w:rPr>
        <w:t>ontaba</w:t>
      </w:r>
      <w:r w:rsidR="00E1692B" w:rsidRPr="00C31D80">
        <w:rPr>
          <w:rStyle w:val="normaltextrun"/>
          <w:rFonts w:cs="Tahoma"/>
          <w:szCs w:val="24"/>
        </w:rPr>
        <w:t xml:space="preserve"> con 42,14 semanas en los 3 años anteriores a </w:t>
      </w:r>
      <w:r w:rsidR="00ED0CA7" w:rsidRPr="00C31D80">
        <w:rPr>
          <w:rStyle w:val="normaltextrun"/>
          <w:rFonts w:cs="Tahoma"/>
          <w:szCs w:val="24"/>
        </w:rPr>
        <w:t xml:space="preserve">la aludida </w:t>
      </w:r>
      <w:r w:rsidR="00E1692B" w:rsidRPr="00C31D80">
        <w:rPr>
          <w:rStyle w:val="normaltextrun"/>
          <w:rFonts w:cs="Tahoma"/>
          <w:szCs w:val="24"/>
        </w:rPr>
        <w:t>fecha</w:t>
      </w:r>
      <w:r w:rsidR="00ED0CA7" w:rsidRPr="00C31D80">
        <w:rPr>
          <w:rStyle w:val="normaltextrun"/>
          <w:rFonts w:cs="Tahoma"/>
          <w:szCs w:val="24"/>
        </w:rPr>
        <w:t>.</w:t>
      </w:r>
    </w:p>
    <w:p w14:paraId="73E25367" w14:textId="77777777" w:rsidR="00E1692B" w:rsidRPr="00C31D80" w:rsidRDefault="00E1692B" w:rsidP="00C31D80">
      <w:pPr>
        <w:spacing w:line="276" w:lineRule="auto"/>
        <w:ind w:firstLine="708"/>
        <w:rPr>
          <w:rStyle w:val="normaltextrun"/>
          <w:rFonts w:cs="Tahoma"/>
          <w:szCs w:val="24"/>
        </w:rPr>
      </w:pPr>
    </w:p>
    <w:p w14:paraId="4CA684DD" w14:textId="77777777" w:rsidR="00DF7928" w:rsidRPr="00C31D80" w:rsidRDefault="0016181F" w:rsidP="00C31D80">
      <w:pPr>
        <w:spacing w:line="276" w:lineRule="auto"/>
        <w:ind w:firstLine="708"/>
        <w:rPr>
          <w:rStyle w:val="normaltextrun"/>
          <w:rFonts w:cs="Tahoma"/>
          <w:szCs w:val="24"/>
        </w:rPr>
      </w:pPr>
      <w:r w:rsidRPr="00C31D80">
        <w:rPr>
          <w:rStyle w:val="normaltextrun"/>
          <w:rFonts w:cs="Tahoma"/>
          <w:szCs w:val="24"/>
        </w:rPr>
        <w:t xml:space="preserve">Sostiene que </w:t>
      </w:r>
      <w:r w:rsidR="0014677B" w:rsidRPr="00C31D80">
        <w:rPr>
          <w:rStyle w:val="normaltextrun"/>
          <w:rFonts w:cs="Tahoma"/>
          <w:szCs w:val="24"/>
        </w:rPr>
        <w:t>padece enfermedades de carácter progresivo y degenerativo, y que en ejercicio de su capacidad residual realiz</w:t>
      </w:r>
      <w:r w:rsidR="00DF7928" w:rsidRPr="00C31D80">
        <w:rPr>
          <w:rStyle w:val="normaltextrun"/>
          <w:rFonts w:cs="Tahoma"/>
          <w:szCs w:val="24"/>
        </w:rPr>
        <w:t>ó</w:t>
      </w:r>
      <w:r w:rsidR="0014677B" w:rsidRPr="00C31D80">
        <w:rPr>
          <w:rStyle w:val="normaltextrun"/>
          <w:rFonts w:cs="Tahoma"/>
          <w:szCs w:val="24"/>
        </w:rPr>
        <w:t xml:space="preserve"> oficios varios, como diligencias a terceros o cuidando una finca los sábados y domingos, con los cuales gener</w:t>
      </w:r>
      <w:r w:rsidR="00DF7928" w:rsidRPr="00C31D80">
        <w:rPr>
          <w:rStyle w:val="normaltextrun"/>
          <w:rFonts w:cs="Tahoma"/>
          <w:szCs w:val="24"/>
        </w:rPr>
        <w:t>ó</w:t>
      </w:r>
      <w:r w:rsidR="0014677B" w:rsidRPr="00C31D80">
        <w:rPr>
          <w:rStyle w:val="normaltextrun"/>
          <w:rFonts w:cs="Tahoma"/>
          <w:szCs w:val="24"/>
        </w:rPr>
        <w:t xml:space="preserve"> ingresos aproximados por $300.000 o $400.000</w:t>
      </w:r>
      <w:r w:rsidR="00D92EA6" w:rsidRPr="00C31D80">
        <w:rPr>
          <w:rStyle w:val="normaltextrun"/>
          <w:rFonts w:cs="Tahoma"/>
          <w:szCs w:val="24"/>
        </w:rPr>
        <w:t xml:space="preserve">, con los cuales, a su vez, efectuó aportes al sistema de seguridad social </w:t>
      </w:r>
      <w:r w:rsidR="00DF7928" w:rsidRPr="00C31D80">
        <w:rPr>
          <w:rStyle w:val="normaltextrun"/>
          <w:rFonts w:cs="Tahoma"/>
          <w:szCs w:val="24"/>
        </w:rPr>
        <w:t>con posterioridad a la fecha de estructuración de la invalidez.</w:t>
      </w:r>
    </w:p>
    <w:p w14:paraId="2B43E23C" w14:textId="77777777" w:rsidR="00DF7928" w:rsidRPr="00C31D80" w:rsidRDefault="00DF7928" w:rsidP="00C31D80">
      <w:pPr>
        <w:spacing w:line="276" w:lineRule="auto"/>
        <w:ind w:firstLine="708"/>
        <w:rPr>
          <w:rStyle w:val="normaltextrun"/>
          <w:rFonts w:cs="Tahoma"/>
          <w:szCs w:val="24"/>
        </w:rPr>
      </w:pPr>
    </w:p>
    <w:p w14:paraId="664AEA5E" w14:textId="03F49D07" w:rsidR="00E1692B" w:rsidRPr="00C31D80" w:rsidRDefault="00DF7928" w:rsidP="00C31D80">
      <w:pPr>
        <w:spacing w:line="276" w:lineRule="auto"/>
        <w:ind w:firstLine="708"/>
        <w:rPr>
          <w:rStyle w:val="normaltextrun"/>
          <w:rFonts w:cs="Tahoma"/>
          <w:szCs w:val="24"/>
        </w:rPr>
      </w:pPr>
      <w:r w:rsidRPr="00C31D80">
        <w:rPr>
          <w:rStyle w:val="normaltextrun"/>
          <w:rFonts w:cs="Tahoma"/>
          <w:szCs w:val="24"/>
        </w:rPr>
        <w:t>Por último</w:t>
      </w:r>
      <w:r w:rsidR="000B7D4E" w:rsidRPr="00C31D80">
        <w:rPr>
          <w:rStyle w:val="normaltextrun"/>
          <w:rFonts w:cs="Tahoma"/>
          <w:szCs w:val="24"/>
        </w:rPr>
        <w:t xml:space="preserve">, afirma que </w:t>
      </w:r>
      <w:r w:rsidR="00883367" w:rsidRPr="00C31D80">
        <w:rPr>
          <w:rStyle w:val="normaltextrun"/>
          <w:rFonts w:cs="Tahoma"/>
          <w:szCs w:val="24"/>
        </w:rPr>
        <w:t>su estado de salud ha empeorado con el pasar del tiempo y que en la actualidad no puede desempeñar las actividades que ejercía ocasionalmente.</w:t>
      </w:r>
    </w:p>
    <w:p w14:paraId="630DF86E" w14:textId="77777777" w:rsidR="00503355" w:rsidRPr="00C31D80" w:rsidRDefault="00503355" w:rsidP="00C31D80">
      <w:pPr>
        <w:spacing w:line="276" w:lineRule="auto"/>
        <w:ind w:firstLine="708"/>
        <w:rPr>
          <w:rStyle w:val="normaltextrun"/>
          <w:rFonts w:cs="Tahoma"/>
          <w:szCs w:val="24"/>
        </w:rPr>
      </w:pPr>
    </w:p>
    <w:p w14:paraId="2A007D76" w14:textId="77777777" w:rsidR="00A46D20" w:rsidRPr="00C31D80" w:rsidRDefault="00E71372" w:rsidP="00C31D80">
      <w:pPr>
        <w:spacing w:line="276" w:lineRule="auto"/>
        <w:ind w:firstLine="708"/>
        <w:rPr>
          <w:rStyle w:val="normaltextrun"/>
          <w:rFonts w:cs="Tahoma"/>
          <w:szCs w:val="24"/>
        </w:rPr>
      </w:pPr>
      <w:r w:rsidRPr="00C31D80">
        <w:rPr>
          <w:rStyle w:val="normaltextrun"/>
          <w:rFonts w:cs="Tahoma"/>
          <w:b/>
          <w:szCs w:val="24"/>
        </w:rPr>
        <w:t>Porvenir S.A.</w:t>
      </w:r>
      <w:r w:rsidRPr="00C31D80">
        <w:rPr>
          <w:rStyle w:val="normaltextrun"/>
          <w:rFonts w:cs="Tahoma"/>
          <w:szCs w:val="24"/>
        </w:rPr>
        <w:t xml:space="preserve"> se opuso a las pretensiones de la demanda a</w:t>
      </w:r>
      <w:r w:rsidR="00363658" w:rsidRPr="00C31D80">
        <w:rPr>
          <w:rStyle w:val="normaltextrun"/>
          <w:rFonts w:cs="Tahoma"/>
          <w:szCs w:val="24"/>
        </w:rPr>
        <w:t xml:space="preserve">legando </w:t>
      </w:r>
      <w:r w:rsidRPr="00C31D80">
        <w:rPr>
          <w:rStyle w:val="normaltextrun"/>
          <w:rFonts w:cs="Tahoma"/>
          <w:szCs w:val="24"/>
        </w:rPr>
        <w:t>que el a</w:t>
      </w:r>
      <w:r w:rsidR="00A46D20" w:rsidRPr="00C31D80">
        <w:rPr>
          <w:rStyle w:val="normaltextrun"/>
          <w:rFonts w:cs="Tahoma"/>
          <w:szCs w:val="24"/>
        </w:rPr>
        <w:t xml:space="preserve">filiado </w:t>
      </w:r>
      <w:r w:rsidRPr="00C31D80">
        <w:rPr>
          <w:rStyle w:val="normaltextrun"/>
          <w:rFonts w:cs="Tahoma"/>
          <w:szCs w:val="24"/>
        </w:rPr>
        <w:t>no cumpl</w:t>
      </w:r>
      <w:r w:rsidR="00363658" w:rsidRPr="00C31D80">
        <w:rPr>
          <w:rStyle w:val="normaltextrun"/>
          <w:rFonts w:cs="Tahoma"/>
          <w:szCs w:val="24"/>
        </w:rPr>
        <w:t>e</w:t>
      </w:r>
      <w:r w:rsidRPr="00C31D80">
        <w:rPr>
          <w:rStyle w:val="normaltextrun"/>
          <w:rFonts w:cs="Tahoma"/>
          <w:szCs w:val="24"/>
        </w:rPr>
        <w:t xml:space="preserve"> con el total de los requisitos legales</w:t>
      </w:r>
      <w:r w:rsidR="002913B7" w:rsidRPr="00C31D80">
        <w:rPr>
          <w:rStyle w:val="normaltextrun"/>
          <w:rFonts w:cs="Tahoma"/>
          <w:szCs w:val="24"/>
        </w:rPr>
        <w:t xml:space="preserve"> al no acreditar las </w:t>
      </w:r>
      <w:r w:rsidR="00A46D20" w:rsidRPr="00C31D80">
        <w:rPr>
          <w:rStyle w:val="normaltextrun"/>
          <w:rFonts w:cs="Tahoma"/>
          <w:szCs w:val="24"/>
        </w:rPr>
        <w:t>50 semanas</w:t>
      </w:r>
      <w:r w:rsidR="002913B7" w:rsidRPr="00C31D80">
        <w:rPr>
          <w:rStyle w:val="normaltextrun"/>
          <w:rFonts w:cs="Tahoma"/>
          <w:szCs w:val="24"/>
        </w:rPr>
        <w:t xml:space="preserve"> exigidas en el artículo 1º de la Ley 860 de 2003, en los 3 años anteriores a la estructuración de su invalidez.</w:t>
      </w:r>
    </w:p>
    <w:p w14:paraId="6FD9E81D" w14:textId="77777777" w:rsidR="000D4C13" w:rsidRPr="00C31D80" w:rsidRDefault="000D4C13" w:rsidP="00C31D80">
      <w:pPr>
        <w:spacing w:line="276" w:lineRule="auto"/>
        <w:ind w:firstLine="708"/>
        <w:rPr>
          <w:rStyle w:val="normaltextrun"/>
          <w:rFonts w:cs="Tahoma"/>
          <w:szCs w:val="24"/>
        </w:rPr>
      </w:pPr>
    </w:p>
    <w:p w14:paraId="15AA8EFB" w14:textId="127D3388" w:rsidR="00710107" w:rsidRDefault="008668AA" w:rsidP="00C31D80">
      <w:pPr>
        <w:spacing w:line="276" w:lineRule="auto"/>
        <w:ind w:firstLine="708"/>
        <w:rPr>
          <w:rStyle w:val="normaltextrun"/>
          <w:rFonts w:cs="Tahoma"/>
          <w:szCs w:val="24"/>
        </w:rPr>
      </w:pPr>
      <w:r w:rsidRPr="00C31D80">
        <w:rPr>
          <w:rStyle w:val="normaltextrun"/>
          <w:rFonts w:cs="Tahoma"/>
          <w:szCs w:val="24"/>
        </w:rPr>
        <w:lastRenderedPageBreak/>
        <w:t xml:space="preserve">Adicionalmente se opone a lo pretendido porque las patologías que aquejan al actor </w:t>
      </w:r>
      <w:r w:rsidR="00411EB5" w:rsidRPr="00C31D80">
        <w:rPr>
          <w:rStyle w:val="normaltextrun"/>
          <w:rFonts w:cs="Tahoma"/>
          <w:szCs w:val="24"/>
        </w:rPr>
        <w:t>n</w:t>
      </w:r>
      <w:r w:rsidRPr="00C31D80">
        <w:rPr>
          <w:rStyle w:val="normaltextrun"/>
          <w:rFonts w:cs="Tahoma"/>
          <w:szCs w:val="24"/>
        </w:rPr>
        <w:t xml:space="preserve">o </w:t>
      </w:r>
      <w:r w:rsidR="00411EB5" w:rsidRPr="00C31D80">
        <w:rPr>
          <w:rStyle w:val="normaltextrun"/>
          <w:rFonts w:cs="Tahoma"/>
          <w:szCs w:val="24"/>
        </w:rPr>
        <w:t xml:space="preserve">son </w:t>
      </w:r>
      <w:r w:rsidRPr="00C31D80">
        <w:rPr>
          <w:rStyle w:val="normaltextrun"/>
          <w:rFonts w:cs="Tahoma"/>
          <w:szCs w:val="24"/>
        </w:rPr>
        <w:t>de carácter progresiva</w:t>
      </w:r>
      <w:r w:rsidR="00411EB5" w:rsidRPr="00C31D80">
        <w:rPr>
          <w:rStyle w:val="normaltextrun"/>
          <w:rFonts w:cs="Tahoma"/>
          <w:szCs w:val="24"/>
        </w:rPr>
        <w:t xml:space="preserve">s o </w:t>
      </w:r>
      <w:r w:rsidRPr="00C31D80">
        <w:rPr>
          <w:rStyle w:val="normaltextrun"/>
          <w:rFonts w:cs="Tahoma"/>
          <w:szCs w:val="24"/>
        </w:rPr>
        <w:t>degenerativas</w:t>
      </w:r>
      <w:r w:rsidR="00411EB5" w:rsidRPr="00C31D80">
        <w:rPr>
          <w:rStyle w:val="normaltextrun"/>
          <w:rFonts w:cs="Tahoma"/>
          <w:szCs w:val="24"/>
        </w:rPr>
        <w:t xml:space="preserve">; además, pide que se nieguen los pedidos </w:t>
      </w:r>
      <w:r w:rsidR="00097CF6" w:rsidRPr="00C31D80">
        <w:rPr>
          <w:rStyle w:val="normaltextrun"/>
          <w:rFonts w:cs="Tahoma"/>
          <w:szCs w:val="24"/>
        </w:rPr>
        <w:t xml:space="preserve">relacionados con los </w:t>
      </w:r>
      <w:r w:rsidR="005B6304" w:rsidRPr="00C31D80">
        <w:rPr>
          <w:rStyle w:val="normaltextrun"/>
          <w:rFonts w:cs="Tahoma"/>
          <w:szCs w:val="24"/>
        </w:rPr>
        <w:t>inter</w:t>
      </w:r>
      <w:r w:rsidR="00097CF6" w:rsidRPr="00C31D80">
        <w:rPr>
          <w:rStyle w:val="normaltextrun"/>
          <w:rFonts w:cs="Tahoma"/>
          <w:szCs w:val="24"/>
        </w:rPr>
        <w:t>ese</w:t>
      </w:r>
      <w:r w:rsidR="005B6304" w:rsidRPr="00C31D80">
        <w:rPr>
          <w:rStyle w:val="normaltextrun"/>
          <w:rFonts w:cs="Tahoma"/>
          <w:szCs w:val="24"/>
        </w:rPr>
        <w:t>s de mora, lo ultra y/o extra petita</w:t>
      </w:r>
      <w:r w:rsidR="00751481" w:rsidRPr="00C31D80">
        <w:rPr>
          <w:rStyle w:val="normaltextrun"/>
          <w:rFonts w:cs="Tahoma"/>
          <w:szCs w:val="24"/>
        </w:rPr>
        <w:t xml:space="preserve"> y las costas procesales</w:t>
      </w:r>
      <w:r w:rsidR="005B6304" w:rsidRPr="00C31D80">
        <w:rPr>
          <w:rStyle w:val="normaltextrun"/>
          <w:rFonts w:cs="Tahoma"/>
          <w:szCs w:val="24"/>
        </w:rPr>
        <w:t xml:space="preserve">, </w:t>
      </w:r>
      <w:r w:rsidR="00097CF6" w:rsidRPr="00C31D80">
        <w:rPr>
          <w:rStyle w:val="normaltextrun"/>
          <w:rFonts w:cs="Tahoma"/>
          <w:szCs w:val="24"/>
        </w:rPr>
        <w:t xml:space="preserve">toda vez que esa entidad </w:t>
      </w:r>
      <w:r w:rsidR="00AC5788" w:rsidRPr="00C31D80">
        <w:rPr>
          <w:rStyle w:val="normaltextrun"/>
          <w:rFonts w:cs="Tahoma"/>
          <w:szCs w:val="24"/>
        </w:rPr>
        <w:t>actuó</w:t>
      </w:r>
      <w:r w:rsidR="005B6304" w:rsidRPr="00C31D80">
        <w:rPr>
          <w:rStyle w:val="normaltextrun"/>
          <w:rFonts w:cs="Tahoma"/>
          <w:szCs w:val="24"/>
        </w:rPr>
        <w:t xml:space="preserve"> con estricta sujeción a derecho.</w:t>
      </w:r>
    </w:p>
    <w:p w14:paraId="682EA792" w14:textId="77777777" w:rsidR="00C31D80" w:rsidRPr="00C31D80" w:rsidRDefault="00C31D80" w:rsidP="00C31D80">
      <w:pPr>
        <w:spacing w:line="276" w:lineRule="auto"/>
        <w:ind w:firstLine="708"/>
        <w:rPr>
          <w:rStyle w:val="normaltextrun"/>
          <w:rFonts w:cs="Tahoma"/>
          <w:szCs w:val="24"/>
        </w:rPr>
      </w:pPr>
    </w:p>
    <w:p w14:paraId="4B3C0322" w14:textId="77777777" w:rsidR="00E7252B" w:rsidRPr="00C31D80" w:rsidRDefault="00710107" w:rsidP="00C31D80">
      <w:pPr>
        <w:spacing w:line="276" w:lineRule="auto"/>
        <w:ind w:firstLine="708"/>
        <w:rPr>
          <w:rStyle w:val="normaltextrun"/>
          <w:rFonts w:cs="Tahoma"/>
          <w:i/>
          <w:szCs w:val="24"/>
        </w:rPr>
      </w:pPr>
      <w:r w:rsidRPr="00C31D80">
        <w:rPr>
          <w:rStyle w:val="normaltextrun"/>
          <w:rFonts w:cs="Tahoma"/>
          <w:szCs w:val="24"/>
        </w:rPr>
        <w:t>En ese orden de ideas,</w:t>
      </w:r>
      <w:r w:rsidR="00AC5788" w:rsidRPr="00C31D80">
        <w:rPr>
          <w:rStyle w:val="normaltextrun"/>
          <w:rFonts w:cs="Tahoma"/>
          <w:szCs w:val="24"/>
        </w:rPr>
        <w:t xml:space="preserve"> </w:t>
      </w:r>
      <w:r w:rsidRPr="00C31D80">
        <w:rPr>
          <w:rStyle w:val="normaltextrun"/>
          <w:rFonts w:cs="Tahoma"/>
          <w:szCs w:val="24"/>
        </w:rPr>
        <w:t>invoc</w:t>
      </w:r>
      <w:r w:rsidR="00751481" w:rsidRPr="00C31D80">
        <w:rPr>
          <w:rStyle w:val="normaltextrun"/>
          <w:rFonts w:cs="Tahoma"/>
          <w:szCs w:val="24"/>
        </w:rPr>
        <w:t>ó</w:t>
      </w:r>
      <w:r w:rsidRPr="00C31D80">
        <w:rPr>
          <w:rStyle w:val="normaltextrun"/>
          <w:rFonts w:cs="Tahoma"/>
          <w:szCs w:val="24"/>
        </w:rPr>
        <w:t xml:space="preserve"> como excepciones de mérito </w:t>
      </w:r>
      <w:r w:rsidR="00751481" w:rsidRPr="00C31D80">
        <w:rPr>
          <w:rStyle w:val="normaltextrun"/>
          <w:rFonts w:cs="Tahoma"/>
          <w:szCs w:val="24"/>
        </w:rPr>
        <w:t xml:space="preserve">las de </w:t>
      </w:r>
      <w:r w:rsidRPr="00C31D80">
        <w:rPr>
          <w:rStyle w:val="normaltextrun"/>
          <w:rFonts w:cs="Tahoma"/>
          <w:szCs w:val="24"/>
        </w:rPr>
        <w:t xml:space="preserve"> </w:t>
      </w:r>
      <w:r w:rsidRPr="00C31D80">
        <w:rPr>
          <w:rStyle w:val="normaltextrun"/>
          <w:rFonts w:cs="Tahoma"/>
          <w:i/>
          <w:szCs w:val="24"/>
        </w:rPr>
        <w:t>“</w:t>
      </w:r>
      <w:r w:rsidR="00751481" w:rsidRPr="00C31D80">
        <w:rPr>
          <w:rStyle w:val="normaltextrun"/>
          <w:rFonts w:cs="Tahoma"/>
          <w:i/>
          <w:szCs w:val="24"/>
        </w:rPr>
        <w:t>Prescripción</w:t>
      </w:r>
      <w:r w:rsidRPr="00C31D80">
        <w:rPr>
          <w:rStyle w:val="normaltextrun"/>
          <w:rFonts w:cs="Tahoma"/>
          <w:i/>
          <w:szCs w:val="24"/>
        </w:rPr>
        <w:t>”, “Buena fe”, “Inexistencia de la obligación y/o cobro de lo no adeudado”, “Inexistencia de la causa por insuficiente densidad de semanas cotizadas”, “</w:t>
      </w:r>
      <w:r w:rsidR="00721D2B" w:rsidRPr="00C31D80">
        <w:rPr>
          <w:rStyle w:val="normaltextrun"/>
          <w:rFonts w:cs="Tahoma"/>
          <w:i/>
          <w:szCs w:val="24"/>
        </w:rPr>
        <w:t>C</w:t>
      </w:r>
      <w:r w:rsidRPr="00C31D80">
        <w:rPr>
          <w:rStyle w:val="normaltextrun"/>
          <w:rFonts w:cs="Tahoma"/>
          <w:i/>
          <w:szCs w:val="24"/>
        </w:rPr>
        <w:t>ompensación”, “</w:t>
      </w:r>
      <w:r w:rsidR="00721D2B" w:rsidRPr="00C31D80">
        <w:rPr>
          <w:rStyle w:val="normaltextrun"/>
          <w:rFonts w:cs="Tahoma"/>
          <w:i/>
          <w:szCs w:val="24"/>
        </w:rPr>
        <w:t>Culpa exclusiva del accionante</w:t>
      </w:r>
      <w:r w:rsidRPr="00C31D80">
        <w:rPr>
          <w:rStyle w:val="normaltextrun"/>
          <w:rFonts w:cs="Tahoma"/>
          <w:i/>
          <w:szCs w:val="24"/>
        </w:rPr>
        <w:t>”</w:t>
      </w:r>
      <w:r w:rsidR="00721D2B" w:rsidRPr="00C31D80">
        <w:rPr>
          <w:rStyle w:val="normaltextrun"/>
          <w:rFonts w:cs="Tahoma"/>
          <w:i/>
          <w:szCs w:val="24"/>
        </w:rPr>
        <w:t>, “Exoneración de condena en costas y de intereses de mora”, “Falta de causa para pedir”, “Falta de legitimación en la causa por pasiva”, “Falta de personería sustantiva por pasiva” e “Inexistencia de la fuente de la obligación”.</w:t>
      </w:r>
    </w:p>
    <w:p w14:paraId="585101EC" w14:textId="4D06FEF8" w:rsidR="00E7252B" w:rsidRPr="00C31D80" w:rsidRDefault="00E7252B" w:rsidP="00C31D80">
      <w:pPr>
        <w:spacing w:line="276" w:lineRule="auto"/>
        <w:ind w:firstLine="708"/>
        <w:rPr>
          <w:rStyle w:val="normaltextrun"/>
          <w:rFonts w:cs="Tahoma"/>
          <w:szCs w:val="24"/>
        </w:rPr>
      </w:pPr>
    </w:p>
    <w:p w14:paraId="36C39B05" w14:textId="77777777" w:rsidR="00F32A02" w:rsidRPr="00C31D80" w:rsidRDefault="00E7252B" w:rsidP="00C31D80">
      <w:pPr>
        <w:pStyle w:val="Prrafodelista"/>
        <w:numPr>
          <w:ilvl w:val="0"/>
          <w:numId w:val="1"/>
        </w:numPr>
        <w:spacing w:line="276" w:lineRule="auto"/>
        <w:ind w:left="426" w:hanging="426"/>
        <w:jc w:val="center"/>
        <w:rPr>
          <w:rFonts w:cs="Tahoma"/>
          <w:b/>
          <w:bCs/>
          <w:szCs w:val="24"/>
        </w:rPr>
      </w:pPr>
      <w:r w:rsidRPr="00C31D80">
        <w:rPr>
          <w:rFonts w:cs="Tahoma"/>
          <w:b/>
          <w:bCs/>
          <w:szCs w:val="24"/>
        </w:rPr>
        <w:t>Sentencia de primera instancia</w:t>
      </w:r>
    </w:p>
    <w:p w14:paraId="091ED1F5" w14:textId="77777777" w:rsidR="00F32A02" w:rsidRPr="00C31D80" w:rsidRDefault="00F32A02" w:rsidP="00C31D80">
      <w:pPr>
        <w:spacing w:line="276" w:lineRule="auto"/>
        <w:ind w:firstLine="360"/>
        <w:rPr>
          <w:rFonts w:cs="Tahoma"/>
          <w:szCs w:val="24"/>
        </w:rPr>
      </w:pPr>
    </w:p>
    <w:p w14:paraId="7E694DE3" w14:textId="77777777" w:rsidR="00E7252B" w:rsidRPr="00C31D80" w:rsidRDefault="00F32A02" w:rsidP="00C31D80">
      <w:pPr>
        <w:spacing w:line="276" w:lineRule="auto"/>
        <w:ind w:firstLine="709"/>
        <w:rPr>
          <w:rFonts w:cs="Tahoma"/>
          <w:szCs w:val="24"/>
        </w:rPr>
      </w:pPr>
      <w:r w:rsidRPr="00C31D80">
        <w:rPr>
          <w:rFonts w:cs="Tahoma"/>
          <w:szCs w:val="24"/>
        </w:rPr>
        <w:t xml:space="preserve">La </w:t>
      </w:r>
      <w:r w:rsidR="006B5A3E" w:rsidRPr="00C31D80">
        <w:rPr>
          <w:rFonts w:cs="Tahoma"/>
          <w:szCs w:val="24"/>
        </w:rPr>
        <w:t xml:space="preserve">Jueza </w:t>
      </w:r>
      <w:r w:rsidRPr="00C31D80">
        <w:rPr>
          <w:rFonts w:cs="Tahoma"/>
          <w:szCs w:val="24"/>
        </w:rPr>
        <w:t xml:space="preserve">de primera instancia declaró probadas las excepciones </w:t>
      </w:r>
      <w:r w:rsidR="006B5A3E" w:rsidRPr="00C31D80">
        <w:rPr>
          <w:rFonts w:cs="Tahoma"/>
          <w:szCs w:val="24"/>
        </w:rPr>
        <w:t xml:space="preserve">denominadas </w:t>
      </w:r>
      <w:r w:rsidR="006B5A3E" w:rsidRPr="00C31D80">
        <w:rPr>
          <w:rFonts w:cs="Tahoma"/>
          <w:i/>
          <w:szCs w:val="24"/>
        </w:rPr>
        <w:t>inexistencia de la obligación</w:t>
      </w:r>
      <w:r w:rsidR="006B5A3E" w:rsidRPr="00C31D80">
        <w:rPr>
          <w:rFonts w:cs="Tahoma"/>
          <w:szCs w:val="24"/>
        </w:rPr>
        <w:t xml:space="preserve"> y </w:t>
      </w:r>
      <w:r w:rsidR="006B5A3E" w:rsidRPr="00C31D80">
        <w:rPr>
          <w:rFonts w:cs="Tahoma"/>
          <w:i/>
          <w:szCs w:val="24"/>
        </w:rPr>
        <w:t>cobro de lo no adeudado</w:t>
      </w:r>
      <w:r w:rsidR="00C01B61" w:rsidRPr="00C31D80">
        <w:rPr>
          <w:rFonts w:cs="Tahoma"/>
          <w:szCs w:val="24"/>
        </w:rPr>
        <w:t>,</w:t>
      </w:r>
      <w:r w:rsidR="006B5A3E" w:rsidRPr="00C31D80">
        <w:rPr>
          <w:rFonts w:cs="Tahoma"/>
          <w:szCs w:val="24"/>
        </w:rPr>
        <w:t xml:space="preserve"> propuestas por Porvenir</w:t>
      </w:r>
      <w:r w:rsidR="005531B8" w:rsidRPr="00C31D80">
        <w:rPr>
          <w:rFonts w:cs="Tahoma"/>
          <w:szCs w:val="24"/>
        </w:rPr>
        <w:t xml:space="preserve"> S.A.</w:t>
      </w:r>
      <w:r w:rsidR="00C01B61" w:rsidRPr="00C31D80">
        <w:rPr>
          <w:rFonts w:cs="Tahoma"/>
          <w:szCs w:val="24"/>
        </w:rPr>
        <w:t xml:space="preserve"> y</w:t>
      </w:r>
      <w:r w:rsidR="006B5A3E" w:rsidRPr="00C31D80">
        <w:rPr>
          <w:rFonts w:cs="Tahoma"/>
          <w:szCs w:val="24"/>
        </w:rPr>
        <w:t>,</w:t>
      </w:r>
      <w:r w:rsidR="00C01B61" w:rsidRPr="00C31D80">
        <w:rPr>
          <w:rFonts w:cs="Tahoma"/>
          <w:szCs w:val="24"/>
        </w:rPr>
        <w:t xml:space="preserve"> en consecuencia, </w:t>
      </w:r>
      <w:r w:rsidRPr="00C31D80">
        <w:rPr>
          <w:rFonts w:cs="Tahoma"/>
          <w:szCs w:val="24"/>
        </w:rPr>
        <w:t xml:space="preserve">negó las pretensiones de la demanda interpuestas por </w:t>
      </w:r>
      <w:r w:rsidR="006650AF" w:rsidRPr="00C31D80">
        <w:rPr>
          <w:rFonts w:cs="Tahoma"/>
          <w:szCs w:val="24"/>
        </w:rPr>
        <w:t>el señor Ricaurte Guzmán Quiñones</w:t>
      </w:r>
      <w:r w:rsidR="00C01B61" w:rsidRPr="00C31D80">
        <w:rPr>
          <w:rFonts w:cs="Tahoma"/>
          <w:szCs w:val="24"/>
        </w:rPr>
        <w:t xml:space="preserve">, a quien condenó </w:t>
      </w:r>
      <w:r w:rsidR="00E7252B" w:rsidRPr="00C31D80">
        <w:rPr>
          <w:rFonts w:cs="Tahoma"/>
          <w:szCs w:val="24"/>
        </w:rPr>
        <w:t xml:space="preserve">al pago de las costas </w:t>
      </w:r>
      <w:r w:rsidR="00C01B61" w:rsidRPr="00C31D80">
        <w:rPr>
          <w:rFonts w:cs="Tahoma"/>
          <w:szCs w:val="24"/>
        </w:rPr>
        <w:t>procesales en</w:t>
      </w:r>
      <w:r w:rsidR="006650AF" w:rsidRPr="00C31D80">
        <w:rPr>
          <w:rFonts w:cs="Tahoma"/>
          <w:szCs w:val="24"/>
        </w:rPr>
        <w:t xml:space="preserve"> un 100</w:t>
      </w:r>
      <w:r w:rsidR="00E7252B" w:rsidRPr="00C31D80">
        <w:rPr>
          <w:rFonts w:cs="Tahoma"/>
          <w:szCs w:val="24"/>
        </w:rPr>
        <w:t>% de las causadas.</w:t>
      </w:r>
    </w:p>
    <w:p w14:paraId="28DDEBE9" w14:textId="77777777" w:rsidR="00E7252B" w:rsidRPr="00C31D80" w:rsidRDefault="00E7252B" w:rsidP="00C31D80">
      <w:pPr>
        <w:spacing w:line="276" w:lineRule="auto"/>
        <w:ind w:firstLine="360"/>
        <w:rPr>
          <w:rFonts w:cs="Tahoma"/>
          <w:szCs w:val="24"/>
        </w:rPr>
      </w:pPr>
    </w:p>
    <w:p w14:paraId="64B01997" w14:textId="77777777" w:rsidR="008E4687" w:rsidRPr="00C31D80" w:rsidRDefault="00E7252B" w:rsidP="00C31D80">
      <w:pPr>
        <w:spacing w:line="276" w:lineRule="auto"/>
        <w:ind w:firstLine="708"/>
        <w:rPr>
          <w:rFonts w:cs="Tahoma"/>
          <w:szCs w:val="24"/>
        </w:rPr>
      </w:pPr>
      <w:r w:rsidRPr="00C31D80">
        <w:rPr>
          <w:rFonts w:cs="Tahoma"/>
          <w:szCs w:val="24"/>
        </w:rPr>
        <w:t xml:space="preserve">Para fundar tal determinación la A-quo consideró, en síntesis, </w:t>
      </w:r>
      <w:r w:rsidR="001F3AB7" w:rsidRPr="00C31D80">
        <w:rPr>
          <w:rFonts w:cs="Tahoma"/>
          <w:szCs w:val="24"/>
        </w:rPr>
        <w:t xml:space="preserve">que </w:t>
      </w:r>
      <w:r w:rsidR="008E4687" w:rsidRPr="00C31D80">
        <w:rPr>
          <w:rFonts w:cs="Tahoma"/>
          <w:szCs w:val="24"/>
        </w:rPr>
        <w:t xml:space="preserve">si bien las enfermedades que padece el demandante son de carácter progresivo y degenerativo, no era dable tener en cuenta las cotizaciones que aparecen en su historia laboral con posterioridad a la estructuración de la invalidez, toda vez que las pruebas recaudadas en el proceso, concretamente la testimonial y el interrogatorio de parte, </w:t>
      </w:r>
      <w:r w:rsidR="005B486D" w:rsidRPr="00C31D80">
        <w:rPr>
          <w:rFonts w:cs="Tahoma"/>
          <w:szCs w:val="24"/>
        </w:rPr>
        <w:t xml:space="preserve">permiten concluir que ellas, efectuadas después de la calificación, fueron el resultado de la ayuda brindada por los hermanos del actor y no corresponden a una capacidad laboral residual de aquel, por lo que </w:t>
      </w:r>
      <w:r w:rsidR="00467EBF" w:rsidRPr="00C31D80">
        <w:rPr>
          <w:rFonts w:cs="Tahoma"/>
          <w:szCs w:val="24"/>
        </w:rPr>
        <w:t xml:space="preserve">sólo </w:t>
      </w:r>
      <w:r w:rsidR="005B486D" w:rsidRPr="00C31D80">
        <w:rPr>
          <w:rFonts w:cs="Tahoma"/>
          <w:szCs w:val="24"/>
        </w:rPr>
        <w:t>deb</w:t>
      </w:r>
      <w:r w:rsidR="00467EBF" w:rsidRPr="00C31D80">
        <w:rPr>
          <w:rFonts w:cs="Tahoma"/>
          <w:szCs w:val="24"/>
        </w:rPr>
        <w:t>ían</w:t>
      </w:r>
      <w:r w:rsidR="005B486D" w:rsidRPr="00C31D80">
        <w:rPr>
          <w:rFonts w:cs="Tahoma"/>
          <w:szCs w:val="24"/>
        </w:rPr>
        <w:t xml:space="preserve"> tenerse como aportes voluntarios</w:t>
      </w:r>
      <w:r w:rsidR="00467EBF" w:rsidRPr="00C31D80">
        <w:rPr>
          <w:rFonts w:cs="Tahoma"/>
          <w:szCs w:val="24"/>
        </w:rPr>
        <w:t>, a la luz del artículo 15 de la Ley 100 de 1993</w:t>
      </w:r>
      <w:r w:rsidR="005B486D" w:rsidRPr="00C31D80">
        <w:rPr>
          <w:rFonts w:cs="Tahoma"/>
          <w:szCs w:val="24"/>
        </w:rPr>
        <w:t>.</w:t>
      </w:r>
    </w:p>
    <w:p w14:paraId="52D2AECA" w14:textId="0E192FC7" w:rsidR="00E7252B" w:rsidRPr="00C31D80" w:rsidRDefault="00E7252B" w:rsidP="00C31D80">
      <w:pPr>
        <w:spacing w:line="276" w:lineRule="auto"/>
        <w:rPr>
          <w:rFonts w:cs="Tahoma"/>
          <w:szCs w:val="24"/>
        </w:rPr>
      </w:pPr>
    </w:p>
    <w:p w14:paraId="77885BAA" w14:textId="77777777" w:rsidR="00E7252B" w:rsidRPr="00C31D80" w:rsidRDefault="00E7252B" w:rsidP="00C31D80">
      <w:pPr>
        <w:pStyle w:val="Prrafodelista"/>
        <w:numPr>
          <w:ilvl w:val="0"/>
          <w:numId w:val="1"/>
        </w:numPr>
        <w:tabs>
          <w:tab w:val="left" w:pos="284"/>
        </w:tabs>
        <w:spacing w:line="276" w:lineRule="auto"/>
        <w:ind w:left="0" w:firstLine="0"/>
        <w:jc w:val="center"/>
        <w:rPr>
          <w:rFonts w:cs="Tahoma"/>
          <w:b/>
          <w:bCs/>
          <w:szCs w:val="24"/>
        </w:rPr>
      </w:pPr>
      <w:r w:rsidRPr="00C31D80">
        <w:rPr>
          <w:rFonts w:cs="Tahoma"/>
          <w:b/>
          <w:bCs/>
          <w:szCs w:val="24"/>
        </w:rPr>
        <w:t>Recurso de apelación</w:t>
      </w:r>
    </w:p>
    <w:p w14:paraId="45317242" w14:textId="77777777" w:rsidR="00081DA7" w:rsidRPr="00C31D80" w:rsidRDefault="00081DA7" w:rsidP="00C31D80">
      <w:pPr>
        <w:spacing w:line="276" w:lineRule="auto"/>
        <w:ind w:firstLine="360"/>
        <w:rPr>
          <w:rFonts w:cs="Tahoma"/>
          <w:szCs w:val="24"/>
        </w:rPr>
      </w:pPr>
    </w:p>
    <w:p w14:paraId="13B4DF38" w14:textId="0B5347D9" w:rsidR="007D68B5" w:rsidRPr="00C31D80" w:rsidRDefault="00081DA7" w:rsidP="00C31D80">
      <w:pPr>
        <w:spacing w:line="276" w:lineRule="auto"/>
        <w:ind w:firstLine="360"/>
        <w:rPr>
          <w:rFonts w:cs="Tahoma"/>
          <w:szCs w:val="24"/>
        </w:rPr>
      </w:pPr>
      <w:r w:rsidRPr="00C31D80">
        <w:rPr>
          <w:rFonts w:cs="Tahoma"/>
          <w:szCs w:val="24"/>
        </w:rPr>
        <w:t xml:space="preserve">La apoderada del demandante apeló la decisión de instancia alegando que </w:t>
      </w:r>
      <w:r w:rsidR="004641DA" w:rsidRPr="00C31D80">
        <w:rPr>
          <w:rFonts w:cs="Tahoma"/>
          <w:szCs w:val="24"/>
        </w:rPr>
        <w:t>si bien el demandante manifestó en su interrogatorio de parte que dependía económicamente de su familia, lo cierto es que con los testimonios y con las pruebas documentales allegadas al plenario</w:t>
      </w:r>
      <w:r w:rsidR="00353746" w:rsidRPr="00C31D80">
        <w:rPr>
          <w:rFonts w:cs="Tahoma"/>
          <w:szCs w:val="24"/>
        </w:rPr>
        <w:t xml:space="preserve"> se desprende que dicha dependencia era una colaboración que le brindaba su</w:t>
      </w:r>
      <w:r w:rsidR="007D68B5" w:rsidRPr="00C31D80">
        <w:rPr>
          <w:rFonts w:cs="Tahoma"/>
          <w:szCs w:val="24"/>
        </w:rPr>
        <w:t>s</w:t>
      </w:r>
      <w:r w:rsidR="00353746" w:rsidRPr="00C31D80">
        <w:rPr>
          <w:rFonts w:cs="Tahoma"/>
          <w:szCs w:val="24"/>
        </w:rPr>
        <w:t xml:space="preserve"> </w:t>
      </w:r>
      <w:r w:rsidR="007D68B5" w:rsidRPr="00C31D80">
        <w:rPr>
          <w:rFonts w:cs="Tahoma"/>
          <w:szCs w:val="24"/>
        </w:rPr>
        <w:t>hermanos</w:t>
      </w:r>
      <w:r w:rsidR="00353746" w:rsidRPr="00C31D80">
        <w:rPr>
          <w:rFonts w:cs="Tahoma"/>
          <w:szCs w:val="24"/>
        </w:rPr>
        <w:t xml:space="preserve"> como contraprestación a los servicios que este </w:t>
      </w:r>
      <w:r w:rsidR="007D68B5" w:rsidRPr="00C31D80">
        <w:rPr>
          <w:rFonts w:cs="Tahoma"/>
          <w:szCs w:val="24"/>
        </w:rPr>
        <w:t xml:space="preserve">les </w:t>
      </w:r>
      <w:r w:rsidR="00353746" w:rsidRPr="00C31D80">
        <w:rPr>
          <w:rFonts w:cs="Tahoma"/>
          <w:szCs w:val="24"/>
        </w:rPr>
        <w:t>prestaba</w:t>
      </w:r>
      <w:r w:rsidR="007D68B5" w:rsidRPr="00C31D80">
        <w:rPr>
          <w:rFonts w:cs="Tahoma"/>
          <w:szCs w:val="24"/>
        </w:rPr>
        <w:t xml:space="preserve">, como </w:t>
      </w:r>
      <w:r w:rsidR="00353746" w:rsidRPr="00C31D80">
        <w:rPr>
          <w:rFonts w:cs="Tahoma"/>
          <w:szCs w:val="24"/>
        </w:rPr>
        <w:t xml:space="preserve">diligencias personales </w:t>
      </w:r>
      <w:r w:rsidR="007D68B5" w:rsidRPr="00C31D80">
        <w:rPr>
          <w:rFonts w:cs="Tahoma"/>
          <w:szCs w:val="24"/>
        </w:rPr>
        <w:t>a favor de</w:t>
      </w:r>
      <w:r w:rsidR="00EE6EB9" w:rsidRPr="00C31D80">
        <w:rPr>
          <w:rFonts w:cs="Tahoma"/>
          <w:szCs w:val="24"/>
        </w:rPr>
        <w:t>l señor</w:t>
      </w:r>
      <w:r w:rsidR="007D68B5" w:rsidRPr="00C31D80">
        <w:rPr>
          <w:rFonts w:cs="Tahoma"/>
          <w:szCs w:val="24"/>
        </w:rPr>
        <w:t xml:space="preserve"> Henry </w:t>
      </w:r>
      <w:r w:rsidR="00EE6EB9" w:rsidRPr="00C31D80">
        <w:rPr>
          <w:rFonts w:cs="Tahoma"/>
          <w:szCs w:val="24"/>
        </w:rPr>
        <w:t>Guzmán o en el cuidado de la finca de su hermano</w:t>
      </w:r>
      <w:r w:rsidR="00353746" w:rsidRPr="00C31D80">
        <w:rPr>
          <w:rFonts w:cs="Tahoma"/>
          <w:szCs w:val="24"/>
        </w:rPr>
        <w:t xml:space="preserve"> Jorge Eliecer</w:t>
      </w:r>
      <w:r w:rsidR="00EE6EB9" w:rsidRPr="00C31D80">
        <w:rPr>
          <w:rFonts w:cs="Tahoma"/>
          <w:szCs w:val="24"/>
        </w:rPr>
        <w:t>.</w:t>
      </w:r>
    </w:p>
    <w:p w14:paraId="14F7F90C" w14:textId="0819F118" w:rsidR="00EE6EB9" w:rsidRPr="00C31D80" w:rsidRDefault="00EE6EB9" w:rsidP="00C31D80">
      <w:pPr>
        <w:spacing w:line="276" w:lineRule="auto"/>
        <w:ind w:firstLine="360"/>
        <w:rPr>
          <w:rFonts w:cs="Tahoma"/>
          <w:szCs w:val="24"/>
        </w:rPr>
      </w:pPr>
    </w:p>
    <w:p w14:paraId="34095F27" w14:textId="3D5A816F" w:rsidR="00C50E7B" w:rsidRPr="00C31D80" w:rsidRDefault="00EE6EB9" w:rsidP="00C31D80">
      <w:pPr>
        <w:spacing w:line="276" w:lineRule="auto"/>
        <w:ind w:firstLine="360"/>
        <w:rPr>
          <w:rFonts w:cs="Tahoma"/>
          <w:szCs w:val="24"/>
        </w:rPr>
      </w:pPr>
      <w:r w:rsidRPr="00C31D80">
        <w:rPr>
          <w:rFonts w:cs="Tahoma"/>
          <w:szCs w:val="24"/>
        </w:rPr>
        <w:t>Precisó que</w:t>
      </w:r>
      <w:r w:rsidR="00353746" w:rsidRPr="00C31D80">
        <w:rPr>
          <w:rFonts w:cs="Tahoma"/>
          <w:szCs w:val="24"/>
        </w:rPr>
        <w:t xml:space="preserve">, </w:t>
      </w:r>
      <w:r w:rsidR="00830EF1" w:rsidRPr="00C31D80">
        <w:rPr>
          <w:rFonts w:cs="Tahoma"/>
          <w:szCs w:val="24"/>
        </w:rPr>
        <w:t>independientemente</w:t>
      </w:r>
      <w:r w:rsidR="00353746" w:rsidRPr="00C31D80">
        <w:rPr>
          <w:rFonts w:cs="Tahoma"/>
          <w:szCs w:val="24"/>
        </w:rPr>
        <w:t xml:space="preserve"> de las capacidades </w:t>
      </w:r>
      <w:r w:rsidRPr="00C31D80">
        <w:rPr>
          <w:rFonts w:cs="Tahoma"/>
          <w:szCs w:val="24"/>
        </w:rPr>
        <w:t>que</w:t>
      </w:r>
      <w:r w:rsidR="00830EF1" w:rsidRPr="00C31D80">
        <w:rPr>
          <w:rFonts w:cs="Tahoma"/>
          <w:szCs w:val="24"/>
        </w:rPr>
        <w:t xml:space="preserve"> se requieran para cuidar una finca, el señor Jorge Eliecer </w:t>
      </w:r>
      <w:r w:rsidRPr="00C31D80">
        <w:rPr>
          <w:rFonts w:cs="Tahoma"/>
          <w:szCs w:val="24"/>
        </w:rPr>
        <w:t>aseguró</w:t>
      </w:r>
      <w:r w:rsidR="00830EF1" w:rsidRPr="00C31D80">
        <w:rPr>
          <w:rFonts w:cs="Tahoma"/>
          <w:szCs w:val="24"/>
        </w:rPr>
        <w:t xml:space="preserve"> en su testimonio que daba </w:t>
      </w:r>
      <w:r w:rsidRPr="00C31D80">
        <w:rPr>
          <w:rFonts w:cs="Tahoma"/>
          <w:szCs w:val="24"/>
        </w:rPr>
        <w:t>a su her</w:t>
      </w:r>
      <w:r w:rsidR="00356ED5" w:rsidRPr="00C31D80">
        <w:rPr>
          <w:rFonts w:cs="Tahoma"/>
          <w:szCs w:val="24"/>
        </w:rPr>
        <w:t>mano</w:t>
      </w:r>
      <w:r w:rsidR="00620E20" w:rsidRPr="00C31D80">
        <w:rPr>
          <w:rFonts w:cs="Tahoma"/>
          <w:szCs w:val="24"/>
        </w:rPr>
        <w:t xml:space="preserve"> $200.000 y</w:t>
      </w:r>
      <w:r w:rsidR="00830EF1" w:rsidRPr="00C31D80">
        <w:rPr>
          <w:rFonts w:cs="Tahoma"/>
          <w:szCs w:val="24"/>
        </w:rPr>
        <w:t xml:space="preserve"> $240.000</w:t>
      </w:r>
      <w:r w:rsidR="00620E20" w:rsidRPr="00C31D80">
        <w:rPr>
          <w:rFonts w:cs="Tahoma"/>
          <w:szCs w:val="24"/>
        </w:rPr>
        <w:t>,</w:t>
      </w:r>
      <w:r w:rsidR="00830EF1" w:rsidRPr="00C31D80">
        <w:rPr>
          <w:rFonts w:cs="Tahoma"/>
          <w:szCs w:val="24"/>
        </w:rPr>
        <w:t xml:space="preserve"> como prestación </w:t>
      </w:r>
      <w:r w:rsidR="00356ED5" w:rsidRPr="00C31D80">
        <w:rPr>
          <w:rFonts w:cs="Tahoma"/>
          <w:szCs w:val="24"/>
        </w:rPr>
        <w:t xml:space="preserve">por el </w:t>
      </w:r>
      <w:r w:rsidR="00830EF1" w:rsidRPr="00C31D80">
        <w:rPr>
          <w:rFonts w:cs="Tahoma"/>
          <w:szCs w:val="24"/>
        </w:rPr>
        <w:t xml:space="preserve">cuidado de </w:t>
      </w:r>
      <w:r w:rsidR="00356ED5" w:rsidRPr="00C31D80">
        <w:rPr>
          <w:rFonts w:cs="Tahoma"/>
          <w:szCs w:val="24"/>
        </w:rPr>
        <w:t>su</w:t>
      </w:r>
      <w:r w:rsidR="00830EF1" w:rsidRPr="00C31D80">
        <w:rPr>
          <w:rFonts w:cs="Tahoma"/>
          <w:szCs w:val="24"/>
        </w:rPr>
        <w:t xml:space="preserve"> finca</w:t>
      </w:r>
      <w:r w:rsidR="00356ED5" w:rsidRPr="00C31D80">
        <w:rPr>
          <w:rFonts w:cs="Tahoma"/>
          <w:szCs w:val="24"/>
        </w:rPr>
        <w:t xml:space="preserve"> y </w:t>
      </w:r>
      <w:r w:rsidR="002A41D8" w:rsidRPr="00C31D80">
        <w:rPr>
          <w:rFonts w:cs="Tahoma"/>
          <w:szCs w:val="24"/>
        </w:rPr>
        <w:t xml:space="preserve">para que </w:t>
      </w:r>
      <w:r w:rsidR="00356ED5" w:rsidRPr="00C31D80">
        <w:rPr>
          <w:rFonts w:cs="Tahoma"/>
          <w:szCs w:val="24"/>
        </w:rPr>
        <w:t>satisficiera</w:t>
      </w:r>
      <w:r w:rsidR="00830EF1" w:rsidRPr="00C31D80">
        <w:rPr>
          <w:rFonts w:cs="Tahoma"/>
          <w:szCs w:val="24"/>
        </w:rPr>
        <w:t xml:space="preserve"> sus necesidades básicas, </w:t>
      </w:r>
      <w:r w:rsidR="002A41D8" w:rsidRPr="00C31D80">
        <w:rPr>
          <w:rFonts w:cs="Tahoma"/>
          <w:szCs w:val="24"/>
        </w:rPr>
        <w:t xml:space="preserve">pues </w:t>
      </w:r>
      <w:r w:rsidR="00830EF1" w:rsidRPr="00C31D80">
        <w:rPr>
          <w:rFonts w:cs="Tahoma"/>
          <w:szCs w:val="24"/>
        </w:rPr>
        <w:t>las consecuencias de la</w:t>
      </w:r>
      <w:r w:rsidR="00AB07BE" w:rsidRPr="00C31D80">
        <w:rPr>
          <w:rFonts w:cs="Tahoma"/>
          <w:szCs w:val="24"/>
        </w:rPr>
        <w:t>s</w:t>
      </w:r>
      <w:r w:rsidR="00830EF1" w:rsidRPr="00C31D80">
        <w:rPr>
          <w:rFonts w:cs="Tahoma"/>
          <w:szCs w:val="24"/>
        </w:rPr>
        <w:t xml:space="preserve"> enfermedad</w:t>
      </w:r>
      <w:r w:rsidR="00AB07BE" w:rsidRPr="00C31D80">
        <w:rPr>
          <w:rFonts w:cs="Tahoma"/>
          <w:szCs w:val="24"/>
        </w:rPr>
        <w:t>es</w:t>
      </w:r>
      <w:r w:rsidR="00830EF1" w:rsidRPr="00C31D80">
        <w:rPr>
          <w:rFonts w:cs="Tahoma"/>
          <w:szCs w:val="24"/>
        </w:rPr>
        <w:t xml:space="preserve"> que padece </w:t>
      </w:r>
      <w:r w:rsidR="002A41D8" w:rsidRPr="00C31D80">
        <w:rPr>
          <w:rFonts w:cs="Tahoma"/>
          <w:szCs w:val="24"/>
        </w:rPr>
        <w:t>hace</w:t>
      </w:r>
      <w:r w:rsidR="00AB07BE" w:rsidRPr="00C31D80">
        <w:rPr>
          <w:rFonts w:cs="Tahoma"/>
          <w:szCs w:val="24"/>
        </w:rPr>
        <w:t>n</w:t>
      </w:r>
      <w:r w:rsidR="002A41D8" w:rsidRPr="00C31D80">
        <w:rPr>
          <w:rFonts w:cs="Tahoma"/>
          <w:szCs w:val="24"/>
        </w:rPr>
        <w:t xml:space="preserve"> que su estado de salud empeore, por tratarse de </w:t>
      </w:r>
      <w:r w:rsidR="00830EF1" w:rsidRPr="00C31D80">
        <w:rPr>
          <w:rFonts w:cs="Tahoma"/>
          <w:szCs w:val="24"/>
        </w:rPr>
        <w:t>enfermedades degenerativas y progresivas</w:t>
      </w:r>
      <w:r w:rsidR="002A41D8" w:rsidRPr="00C31D80">
        <w:rPr>
          <w:rFonts w:cs="Tahoma"/>
          <w:szCs w:val="24"/>
        </w:rPr>
        <w:t xml:space="preserve">. </w:t>
      </w:r>
    </w:p>
    <w:p w14:paraId="66942AF7" w14:textId="29411B70" w:rsidR="00C50E7B" w:rsidRPr="00C31D80" w:rsidRDefault="00C50E7B" w:rsidP="00C31D80">
      <w:pPr>
        <w:spacing w:line="276" w:lineRule="auto"/>
        <w:ind w:firstLine="360"/>
        <w:rPr>
          <w:rFonts w:cs="Tahoma"/>
          <w:szCs w:val="24"/>
        </w:rPr>
      </w:pPr>
    </w:p>
    <w:p w14:paraId="726337B7" w14:textId="42DFA268" w:rsidR="00AB07BE" w:rsidRPr="00C31D80" w:rsidRDefault="002B40C6" w:rsidP="00C31D80">
      <w:pPr>
        <w:spacing w:line="276" w:lineRule="auto"/>
        <w:ind w:firstLine="360"/>
        <w:rPr>
          <w:rFonts w:cs="Tahoma"/>
          <w:szCs w:val="24"/>
        </w:rPr>
      </w:pPr>
      <w:r w:rsidRPr="00C31D80">
        <w:rPr>
          <w:rFonts w:cs="Tahoma"/>
          <w:szCs w:val="24"/>
        </w:rPr>
        <w:lastRenderedPageBreak/>
        <w:t xml:space="preserve">Insistió en que los aludidos testigos afirmaron </w:t>
      </w:r>
      <w:r w:rsidR="00AB07BE" w:rsidRPr="00C31D80">
        <w:rPr>
          <w:rFonts w:cs="Tahoma"/>
          <w:szCs w:val="24"/>
        </w:rPr>
        <w:t xml:space="preserve">que </w:t>
      </w:r>
      <w:r w:rsidRPr="00C31D80">
        <w:rPr>
          <w:rFonts w:cs="Tahoma"/>
          <w:szCs w:val="24"/>
        </w:rPr>
        <w:t xml:space="preserve">como </w:t>
      </w:r>
      <w:r w:rsidR="00AB07BE" w:rsidRPr="00C31D80">
        <w:rPr>
          <w:rFonts w:cs="Tahoma"/>
          <w:szCs w:val="24"/>
        </w:rPr>
        <w:t xml:space="preserve">el señor Henry </w:t>
      </w:r>
      <w:r w:rsidRPr="00C31D80">
        <w:rPr>
          <w:rFonts w:cs="Tahoma"/>
          <w:szCs w:val="24"/>
        </w:rPr>
        <w:t xml:space="preserve">Guzmán </w:t>
      </w:r>
      <w:r w:rsidR="00AB07BE" w:rsidRPr="00C31D80">
        <w:rPr>
          <w:rFonts w:cs="Tahoma"/>
          <w:szCs w:val="24"/>
        </w:rPr>
        <w:t xml:space="preserve">no pudo ingresar al mercado laboral </w:t>
      </w:r>
      <w:r w:rsidRPr="00C31D80">
        <w:rPr>
          <w:rFonts w:cs="Tahoma"/>
          <w:szCs w:val="24"/>
        </w:rPr>
        <w:t xml:space="preserve">después del año 2012, fueron ellos quienes se vieron en la necesidad de </w:t>
      </w:r>
      <w:r w:rsidR="00AB07BE" w:rsidRPr="00C31D80">
        <w:rPr>
          <w:rFonts w:cs="Tahoma"/>
          <w:szCs w:val="24"/>
        </w:rPr>
        <w:t xml:space="preserve">emplearlo </w:t>
      </w:r>
      <w:r w:rsidRPr="00C31D80">
        <w:rPr>
          <w:rFonts w:cs="Tahoma"/>
          <w:szCs w:val="24"/>
        </w:rPr>
        <w:t>con el fin de</w:t>
      </w:r>
      <w:r w:rsidR="00AB07BE" w:rsidRPr="00C31D80">
        <w:rPr>
          <w:rFonts w:cs="Tahoma"/>
          <w:szCs w:val="24"/>
        </w:rPr>
        <w:t xml:space="preserve"> que </w:t>
      </w:r>
      <w:r w:rsidRPr="00C31D80">
        <w:rPr>
          <w:rFonts w:cs="Tahoma"/>
          <w:szCs w:val="24"/>
        </w:rPr>
        <w:t xml:space="preserve">tuviera </w:t>
      </w:r>
      <w:r w:rsidR="00AB07BE" w:rsidRPr="00C31D80">
        <w:rPr>
          <w:rFonts w:cs="Tahoma"/>
          <w:szCs w:val="24"/>
        </w:rPr>
        <w:t xml:space="preserve">una contraprestación económica </w:t>
      </w:r>
      <w:r w:rsidRPr="00C31D80">
        <w:rPr>
          <w:rFonts w:cs="Tahoma"/>
          <w:szCs w:val="24"/>
        </w:rPr>
        <w:t>con la que pudiera atender su mínimo vital.</w:t>
      </w:r>
    </w:p>
    <w:p w14:paraId="11F6199B" w14:textId="77777777" w:rsidR="00AB07BE" w:rsidRPr="00C31D80" w:rsidRDefault="00AB07BE" w:rsidP="00C31D80">
      <w:pPr>
        <w:spacing w:line="276" w:lineRule="auto"/>
        <w:ind w:firstLine="360"/>
        <w:rPr>
          <w:rFonts w:cs="Tahoma"/>
          <w:szCs w:val="24"/>
        </w:rPr>
      </w:pPr>
    </w:p>
    <w:p w14:paraId="514CDDAD" w14:textId="02BE67E4" w:rsidR="00AB07BE" w:rsidRPr="00C31D80" w:rsidRDefault="002B40C6" w:rsidP="00C31D80">
      <w:pPr>
        <w:spacing w:line="276" w:lineRule="auto"/>
        <w:ind w:firstLine="360"/>
        <w:rPr>
          <w:rFonts w:cs="Tahoma"/>
          <w:szCs w:val="24"/>
        </w:rPr>
      </w:pPr>
      <w:r w:rsidRPr="00C31D80">
        <w:rPr>
          <w:rFonts w:cs="Tahoma"/>
          <w:szCs w:val="24"/>
        </w:rPr>
        <w:t xml:space="preserve">Con base en lo anterior, solicitó que se </w:t>
      </w:r>
      <w:r w:rsidR="007D680B" w:rsidRPr="00C31D80">
        <w:rPr>
          <w:rFonts w:cs="Tahoma"/>
          <w:szCs w:val="24"/>
        </w:rPr>
        <w:t xml:space="preserve">dé aplicación a la jurisprudencia que regula la materia y se tengan </w:t>
      </w:r>
      <w:r w:rsidR="00AB07BE" w:rsidRPr="00C31D80">
        <w:rPr>
          <w:rFonts w:cs="Tahoma"/>
          <w:szCs w:val="24"/>
        </w:rPr>
        <w:t xml:space="preserve">en cuenta las semanas cotizadas por su prohijado con posterioridad a la fecha de estructuración de la invalidez, toda vez que, como se demostró </w:t>
      </w:r>
      <w:r w:rsidR="007D680B" w:rsidRPr="00C31D80">
        <w:rPr>
          <w:rFonts w:cs="Tahoma"/>
          <w:szCs w:val="24"/>
        </w:rPr>
        <w:t>con</w:t>
      </w:r>
      <w:r w:rsidR="00AB07BE" w:rsidRPr="00C31D80">
        <w:rPr>
          <w:rFonts w:cs="Tahoma"/>
          <w:szCs w:val="24"/>
        </w:rPr>
        <w:t xml:space="preserve"> el interrogatorio de parte</w:t>
      </w:r>
      <w:r w:rsidR="007D680B" w:rsidRPr="00C31D80">
        <w:rPr>
          <w:rFonts w:cs="Tahoma"/>
          <w:szCs w:val="24"/>
        </w:rPr>
        <w:t xml:space="preserve"> y los aludidos testimonios</w:t>
      </w:r>
      <w:r w:rsidR="00AB07BE" w:rsidRPr="00C31D80">
        <w:rPr>
          <w:rFonts w:cs="Tahoma"/>
          <w:szCs w:val="24"/>
        </w:rPr>
        <w:t xml:space="preserve">, ellas fueron el resultado del ejercicio de su capacidad laboral residual. </w:t>
      </w:r>
    </w:p>
    <w:p w14:paraId="06D0AE5D" w14:textId="001C1B38" w:rsidR="00AB07BE" w:rsidRPr="00C31D80" w:rsidRDefault="00CB26F8" w:rsidP="00C31D80">
      <w:pPr>
        <w:spacing w:line="276" w:lineRule="auto"/>
        <w:ind w:firstLine="360"/>
        <w:rPr>
          <w:rFonts w:cs="Tahoma"/>
          <w:szCs w:val="24"/>
          <w:highlight w:val="yellow"/>
        </w:rPr>
      </w:pPr>
      <w:r w:rsidRPr="00C31D80">
        <w:rPr>
          <w:rFonts w:cs="Tahoma"/>
          <w:szCs w:val="24"/>
          <w:highlight w:val="yellow"/>
        </w:rPr>
        <w:t xml:space="preserve"> </w:t>
      </w:r>
    </w:p>
    <w:p w14:paraId="2F2FD978" w14:textId="77777777" w:rsidR="00BA65A4" w:rsidRPr="00C31D80" w:rsidRDefault="00BA65A4" w:rsidP="00C31D80">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caps/>
          <w:szCs w:val="24"/>
        </w:rPr>
      </w:pPr>
      <w:r w:rsidRPr="00C31D80">
        <w:rPr>
          <w:rFonts w:cs="Tahoma"/>
          <w:b/>
          <w:szCs w:val="24"/>
        </w:rPr>
        <w:t>Alegatos de conclusión</w:t>
      </w:r>
    </w:p>
    <w:p w14:paraId="59B6A7E2" w14:textId="77777777" w:rsidR="00BA65A4" w:rsidRPr="00C31D80" w:rsidRDefault="00BA65A4" w:rsidP="00C31D80">
      <w:pPr>
        <w:widowControl w:val="0"/>
        <w:autoSpaceDE w:val="0"/>
        <w:autoSpaceDN w:val="0"/>
        <w:adjustRightInd w:val="0"/>
        <w:spacing w:line="276" w:lineRule="auto"/>
        <w:rPr>
          <w:rFonts w:cs="Tahoma"/>
          <w:szCs w:val="24"/>
        </w:rPr>
      </w:pPr>
    </w:p>
    <w:p w14:paraId="4F537A64" w14:textId="77777777" w:rsidR="00BA65A4" w:rsidRPr="00C31D80" w:rsidRDefault="00BA65A4" w:rsidP="00C31D80">
      <w:pPr>
        <w:spacing w:line="276" w:lineRule="auto"/>
        <w:ind w:firstLine="708"/>
        <w:rPr>
          <w:rStyle w:val="normaltextrun"/>
          <w:rFonts w:cs="Tahoma"/>
          <w:szCs w:val="24"/>
        </w:rPr>
      </w:pPr>
      <w:r w:rsidRPr="00C31D80">
        <w:rPr>
          <w:rStyle w:val="normaltextrun"/>
          <w:rFonts w:cs="Tahoma"/>
          <w:color w:val="000000"/>
          <w:szCs w:val="24"/>
        </w:rPr>
        <w:t>Analizado los escritos de alegatos presentados por las partes, mismos que obran en el expediente digital y a los cual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Pr="00C31D80">
        <w:rPr>
          <w:rStyle w:val="eop"/>
          <w:rFonts w:cs="Tahoma"/>
          <w:color w:val="000000"/>
          <w:szCs w:val="24"/>
        </w:rPr>
        <w:t> </w:t>
      </w:r>
      <w:r w:rsidRPr="00C31D80">
        <w:rPr>
          <w:rStyle w:val="normaltextrun"/>
          <w:rFonts w:cs="Tahoma"/>
          <w:color w:val="000000" w:themeColor="text1"/>
          <w:szCs w:val="24"/>
        </w:rPr>
        <w:t xml:space="preserve">Por otra parte, </w:t>
      </w:r>
      <w:r w:rsidRPr="00C31D80">
        <w:rPr>
          <w:rStyle w:val="normaltextrun"/>
          <w:rFonts w:cs="Tahoma"/>
          <w:szCs w:val="24"/>
        </w:rPr>
        <w:t>el Ministerio Público no rindió concepto en este asunto.</w:t>
      </w:r>
    </w:p>
    <w:p w14:paraId="508B40BE" w14:textId="798A30CB" w:rsidR="00544758" w:rsidRPr="00C31D80" w:rsidRDefault="00544758" w:rsidP="00C31D80">
      <w:pPr>
        <w:spacing w:line="276" w:lineRule="auto"/>
        <w:ind w:firstLine="708"/>
        <w:rPr>
          <w:rStyle w:val="normaltextrun"/>
          <w:rFonts w:cs="Tahoma"/>
          <w:color w:val="000000" w:themeColor="text1"/>
          <w:szCs w:val="24"/>
        </w:rPr>
      </w:pPr>
    </w:p>
    <w:p w14:paraId="093FA0E1" w14:textId="77777777" w:rsidR="00544758" w:rsidRPr="00C31D80" w:rsidRDefault="00544758" w:rsidP="00C31D80">
      <w:pPr>
        <w:pStyle w:val="paragraph"/>
        <w:numPr>
          <w:ilvl w:val="0"/>
          <w:numId w:val="1"/>
        </w:numPr>
        <w:spacing w:before="0" w:beforeAutospacing="0" w:after="0" w:afterAutospacing="0" w:line="276" w:lineRule="auto"/>
        <w:jc w:val="center"/>
        <w:textAlignment w:val="baseline"/>
        <w:rPr>
          <w:rFonts w:ascii="Tahoma" w:hAnsi="Tahoma" w:cs="Tahoma"/>
          <w:b/>
        </w:rPr>
      </w:pPr>
      <w:r w:rsidRPr="00C31D80">
        <w:rPr>
          <w:rStyle w:val="normaltextrun"/>
          <w:rFonts w:ascii="Tahoma" w:hAnsi="Tahoma" w:cs="Tahoma"/>
          <w:b/>
          <w:bCs/>
        </w:rPr>
        <w:t>Problema jurídico por resolver</w:t>
      </w:r>
    </w:p>
    <w:p w14:paraId="690B81C5" w14:textId="77777777" w:rsidR="00544758" w:rsidRPr="00C31D80" w:rsidRDefault="00544758" w:rsidP="00C31D80">
      <w:pPr>
        <w:pStyle w:val="paragraph"/>
        <w:spacing w:before="0" w:beforeAutospacing="0" w:after="0" w:afterAutospacing="0" w:line="276" w:lineRule="auto"/>
        <w:textAlignment w:val="baseline"/>
        <w:rPr>
          <w:rFonts w:ascii="Tahoma" w:hAnsi="Tahoma" w:cs="Tahoma"/>
        </w:rPr>
      </w:pPr>
      <w:r w:rsidRPr="00C31D80">
        <w:rPr>
          <w:rStyle w:val="eop"/>
          <w:rFonts w:ascii="Tahoma" w:hAnsi="Tahoma" w:cs="Tahoma"/>
        </w:rPr>
        <w:t> </w:t>
      </w:r>
    </w:p>
    <w:p w14:paraId="797E5EF2" w14:textId="77777777" w:rsidR="00544758" w:rsidRPr="00C31D80" w:rsidRDefault="00544758" w:rsidP="00C31D80">
      <w:pPr>
        <w:widowControl w:val="0"/>
        <w:autoSpaceDE w:val="0"/>
        <w:autoSpaceDN w:val="0"/>
        <w:adjustRightInd w:val="0"/>
        <w:spacing w:line="276" w:lineRule="auto"/>
        <w:ind w:firstLine="708"/>
        <w:rPr>
          <w:rStyle w:val="normaltextrun"/>
          <w:rFonts w:cs="Tahoma"/>
          <w:szCs w:val="24"/>
        </w:rPr>
      </w:pPr>
      <w:r w:rsidRPr="00C31D80">
        <w:rPr>
          <w:rStyle w:val="normaltextrun"/>
          <w:rFonts w:cs="Tahoma"/>
          <w:szCs w:val="24"/>
        </w:rPr>
        <w:t xml:space="preserve">De acuerdo a los argumentos expuestos en la sentencia de primera instancia, los fundamentos de la apelación y los alegatos de conclusión, le corresponde a la Sala determinar si </w:t>
      </w:r>
      <w:r w:rsidR="00196F0F" w:rsidRPr="00C31D80">
        <w:rPr>
          <w:rStyle w:val="normaltextrun"/>
          <w:rFonts w:cs="Tahoma"/>
          <w:szCs w:val="24"/>
        </w:rPr>
        <w:t xml:space="preserve">se encuentra demostrado en el proceso que </w:t>
      </w:r>
      <w:r w:rsidR="00C50AEF" w:rsidRPr="00C31D80">
        <w:rPr>
          <w:rStyle w:val="normaltextrun"/>
          <w:rFonts w:cs="Tahoma"/>
          <w:szCs w:val="24"/>
        </w:rPr>
        <w:t xml:space="preserve">las cotizaciones efectuadas por el demandante con posterioridad a la fecha de estructuración de su invalidez, </w:t>
      </w:r>
      <w:r w:rsidR="00196F0F" w:rsidRPr="00C31D80">
        <w:rPr>
          <w:rStyle w:val="normaltextrun"/>
          <w:rFonts w:cs="Tahoma"/>
          <w:szCs w:val="24"/>
        </w:rPr>
        <w:t>fueron el resultado directo de su capacidad laboral residual y, en caso afirmativo, si cuenta con la densidad de semanas exigida por la Ley 860 de 2003 para ser acreedor de la pensión de invalidez.</w:t>
      </w:r>
    </w:p>
    <w:p w14:paraId="000D57D7" w14:textId="2C7B859D" w:rsidR="00544758" w:rsidRPr="00C31D80" w:rsidRDefault="00544758" w:rsidP="00C31D80">
      <w:pPr>
        <w:widowControl w:val="0"/>
        <w:autoSpaceDE w:val="0"/>
        <w:autoSpaceDN w:val="0"/>
        <w:adjustRightInd w:val="0"/>
        <w:spacing w:line="276" w:lineRule="auto"/>
        <w:ind w:firstLine="708"/>
        <w:rPr>
          <w:rStyle w:val="normaltextrun"/>
          <w:rFonts w:cs="Tahoma"/>
          <w:szCs w:val="24"/>
        </w:rPr>
      </w:pPr>
    </w:p>
    <w:p w14:paraId="1AEF7234" w14:textId="77777777" w:rsidR="000B4C23" w:rsidRPr="00C31D80" w:rsidRDefault="000B4C23" w:rsidP="00C31D80">
      <w:pPr>
        <w:numPr>
          <w:ilvl w:val="0"/>
          <w:numId w:val="4"/>
        </w:numPr>
        <w:spacing w:line="276" w:lineRule="auto"/>
        <w:jc w:val="center"/>
        <w:rPr>
          <w:rFonts w:cs="Tahoma"/>
          <w:b/>
          <w:bCs/>
          <w:szCs w:val="24"/>
        </w:rPr>
      </w:pPr>
      <w:r w:rsidRPr="00C31D80">
        <w:rPr>
          <w:rFonts w:cs="Tahoma"/>
          <w:b/>
          <w:bCs/>
          <w:szCs w:val="24"/>
        </w:rPr>
        <w:t>Consideraciones</w:t>
      </w:r>
    </w:p>
    <w:p w14:paraId="6EFCF6FA" w14:textId="77777777" w:rsidR="00C16464" w:rsidRPr="00C31D80" w:rsidRDefault="00C16464" w:rsidP="00C31D80">
      <w:pPr>
        <w:widowControl w:val="0"/>
        <w:autoSpaceDE w:val="0"/>
        <w:autoSpaceDN w:val="0"/>
        <w:adjustRightInd w:val="0"/>
        <w:spacing w:line="276" w:lineRule="auto"/>
        <w:rPr>
          <w:rFonts w:cs="Tahoma"/>
          <w:b/>
          <w:szCs w:val="24"/>
        </w:rPr>
      </w:pPr>
    </w:p>
    <w:p w14:paraId="799BC43C" w14:textId="77777777" w:rsidR="00C16464" w:rsidRPr="00C31D80" w:rsidRDefault="00C16464" w:rsidP="00C31D80">
      <w:pPr>
        <w:pStyle w:val="Textoindependiente"/>
        <w:spacing w:after="0" w:line="276" w:lineRule="auto"/>
        <w:rPr>
          <w:rFonts w:ascii="Tahoma" w:hAnsi="Tahoma" w:cs="Tahoma"/>
          <w:b/>
          <w:color w:val="000000" w:themeColor="text1"/>
          <w:sz w:val="24"/>
          <w:szCs w:val="24"/>
          <w:shd w:val="clear" w:color="auto" w:fill="FFFFFF"/>
        </w:rPr>
      </w:pPr>
      <w:r w:rsidRPr="00C31D80">
        <w:rPr>
          <w:rFonts w:ascii="Tahoma" w:hAnsi="Tahoma" w:cs="Tahoma"/>
          <w:b/>
          <w:sz w:val="24"/>
          <w:szCs w:val="24"/>
        </w:rPr>
        <w:t xml:space="preserve">6.1 Requisitos de la pensión de Invalidez - </w:t>
      </w:r>
      <w:r w:rsidRPr="00C31D80">
        <w:rPr>
          <w:rFonts w:ascii="Tahoma" w:hAnsi="Tahoma" w:cs="Tahoma"/>
          <w:b/>
          <w:color w:val="000000" w:themeColor="text1"/>
          <w:sz w:val="24"/>
          <w:szCs w:val="24"/>
        </w:rPr>
        <w:t>Fecha de estructuración de la PCL cuando se trata de enfermedades crónicas, progresivas o congénitas</w:t>
      </w:r>
    </w:p>
    <w:p w14:paraId="67C435E5" w14:textId="77777777" w:rsidR="00C16464" w:rsidRPr="00C31D80" w:rsidRDefault="00C16464" w:rsidP="00C31D80">
      <w:pPr>
        <w:spacing w:line="276" w:lineRule="auto"/>
        <w:rPr>
          <w:rFonts w:cs="Tahoma"/>
          <w:szCs w:val="24"/>
        </w:rPr>
      </w:pPr>
    </w:p>
    <w:p w14:paraId="6D547505" w14:textId="56B87E21" w:rsidR="00C16464" w:rsidRPr="00C31D80" w:rsidRDefault="00C16464" w:rsidP="00C31D80">
      <w:pPr>
        <w:pStyle w:val="Textoindependiente"/>
        <w:spacing w:after="0" w:line="276" w:lineRule="auto"/>
        <w:rPr>
          <w:rFonts w:ascii="Tahoma" w:hAnsi="Tahoma" w:cs="Tahoma"/>
          <w:color w:val="000000" w:themeColor="text1"/>
          <w:sz w:val="24"/>
          <w:szCs w:val="24"/>
          <w:shd w:val="clear" w:color="auto" w:fill="FFFFFF"/>
        </w:rPr>
      </w:pPr>
      <w:r w:rsidRPr="00C31D80">
        <w:rPr>
          <w:rFonts w:ascii="Tahoma" w:hAnsi="Tahoma" w:cs="Tahoma"/>
          <w:color w:val="000000" w:themeColor="text1"/>
          <w:sz w:val="24"/>
          <w:szCs w:val="24"/>
        </w:rPr>
        <w:t xml:space="preserve">Frente a la acreditación de la densidad de cotizaciones exigida por el artículo 1º de la Ley 860 de 2003, la Sala de Casación Laboral de la Corte Suprema de Justicia en las sentencias </w:t>
      </w:r>
      <w:r w:rsidRPr="00C31D80">
        <w:rPr>
          <w:rFonts w:ascii="Tahoma" w:hAnsi="Tahoma" w:cs="Tahoma"/>
          <w:sz w:val="24"/>
          <w:szCs w:val="24"/>
        </w:rPr>
        <w:t>SL9203-2017 y SL 16374-2015, reiteradas en la SL 11229 del 25 de julio de 2017</w:t>
      </w:r>
      <w:r w:rsidRPr="00C31D80">
        <w:rPr>
          <w:rFonts w:ascii="Tahoma" w:hAnsi="Tahoma" w:cs="Tahoma"/>
          <w:color w:val="000000" w:themeColor="text1"/>
          <w:sz w:val="24"/>
          <w:szCs w:val="24"/>
        </w:rPr>
        <w:t>, ha establecido que la misma debe acreditarse con anterioridad a la determinación de la pérdida de capacidad laboral, tal como lo han determinado las distintas normativas que han regulado el reconocimiento de la pensión de invalidez a lo largo del tiempo.</w:t>
      </w:r>
    </w:p>
    <w:p w14:paraId="5C1A310F" w14:textId="77777777" w:rsidR="00C16464" w:rsidRPr="00C31D80" w:rsidRDefault="00C16464" w:rsidP="00C31D80">
      <w:pPr>
        <w:pStyle w:val="Textoindependiente"/>
        <w:spacing w:after="0" w:line="276" w:lineRule="auto"/>
        <w:rPr>
          <w:rFonts w:ascii="Tahoma" w:hAnsi="Tahoma" w:cs="Tahoma"/>
          <w:color w:val="000000" w:themeColor="text1"/>
          <w:sz w:val="24"/>
          <w:szCs w:val="24"/>
          <w:shd w:val="clear" w:color="auto" w:fill="FFFFFF"/>
        </w:rPr>
      </w:pPr>
    </w:p>
    <w:p w14:paraId="73D8EA2F" w14:textId="77777777" w:rsidR="00C16464" w:rsidRPr="00C31D80" w:rsidRDefault="00C16464" w:rsidP="00C31D80">
      <w:pPr>
        <w:pStyle w:val="Textoindependiente"/>
        <w:spacing w:after="0" w:line="276" w:lineRule="auto"/>
        <w:rPr>
          <w:rFonts w:ascii="Tahoma" w:hAnsi="Tahoma" w:cs="Tahoma"/>
          <w:color w:val="000000" w:themeColor="text1"/>
          <w:sz w:val="24"/>
          <w:szCs w:val="24"/>
          <w:shd w:val="clear" w:color="auto" w:fill="FFFFFF"/>
        </w:rPr>
      </w:pPr>
      <w:r w:rsidRPr="00C31D80">
        <w:rPr>
          <w:rFonts w:ascii="Tahoma" w:hAnsi="Tahoma" w:cs="Tahoma"/>
          <w:color w:val="000000" w:themeColor="text1"/>
          <w:sz w:val="24"/>
          <w:szCs w:val="24"/>
        </w:rPr>
        <w:t xml:space="preserve">Pese a lo anterior, ha aceptado el alto tribunal la postura establecida por la Corte Constitucional en la sentencia SU-588 de 2016, consistente en que una vez acreditada la existencia de una enfermedad crónica, degenerativa o congénita, así como de aportes fruto de la capacidad laboral residual, pueden tenerse en cuenta aquellas semanas </w:t>
      </w:r>
      <w:r w:rsidRPr="00C31D80">
        <w:rPr>
          <w:rFonts w:ascii="Tahoma" w:hAnsi="Tahoma" w:cs="Tahoma"/>
          <w:color w:val="000000" w:themeColor="text1"/>
          <w:sz w:val="24"/>
          <w:szCs w:val="24"/>
        </w:rPr>
        <w:lastRenderedPageBreak/>
        <w:t>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p>
    <w:p w14:paraId="639CEFD4" w14:textId="77777777" w:rsidR="00C16464" w:rsidRPr="00C31D80" w:rsidRDefault="00C16464" w:rsidP="00C31D80">
      <w:pPr>
        <w:pStyle w:val="Textoindependiente"/>
        <w:spacing w:after="0" w:line="276" w:lineRule="auto"/>
        <w:rPr>
          <w:rFonts w:ascii="Tahoma" w:hAnsi="Tahoma" w:cs="Tahoma"/>
          <w:color w:val="000000" w:themeColor="text1"/>
          <w:sz w:val="24"/>
          <w:szCs w:val="24"/>
          <w:shd w:val="clear" w:color="auto" w:fill="FFFFFF"/>
        </w:rPr>
      </w:pPr>
    </w:p>
    <w:p w14:paraId="16A98171" w14:textId="3336F990" w:rsidR="00C16464" w:rsidRPr="00C31D80" w:rsidRDefault="00C16464" w:rsidP="00C31D80">
      <w:pPr>
        <w:pStyle w:val="Textoindependiente"/>
        <w:spacing w:after="0" w:line="276" w:lineRule="auto"/>
        <w:rPr>
          <w:rFonts w:ascii="Tahoma" w:hAnsi="Tahoma" w:cs="Tahoma"/>
          <w:color w:val="000000" w:themeColor="text1"/>
          <w:sz w:val="24"/>
          <w:szCs w:val="24"/>
          <w:shd w:val="clear" w:color="auto" w:fill="FFFFFF"/>
        </w:rPr>
      </w:pPr>
      <w:r w:rsidRPr="00C31D80">
        <w:rPr>
          <w:rFonts w:ascii="Tahoma" w:hAnsi="Tahoma" w:cs="Tahoma"/>
          <w:color w:val="000000" w:themeColor="text1"/>
          <w:sz w:val="24"/>
          <w:szCs w:val="24"/>
        </w:rPr>
        <w:t>Ahora bien, es evidente que recae en la parte actora la carga de probar los anteriores presupuestos para beneficiarse del precedente de la Corte Constitucional, habida consideración que toda decisión debe estar fundada en la prueba regular y oportunamente allegada al proceso y analizada de acuerdo con las reglas de la sana crítica, tal como lo prevén los artículos 164 y 167 del C.G.P., aplicables en materia laboral por remisión que del artículo 145 del C.P.L. y la s.s.</w:t>
      </w:r>
    </w:p>
    <w:p w14:paraId="7FD79554" w14:textId="5F10CED8" w:rsidR="00C16464" w:rsidRPr="00C31D80" w:rsidRDefault="00C16464" w:rsidP="00C31D80">
      <w:pPr>
        <w:widowControl w:val="0"/>
        <w:autoSpaceDE w:val="0"/>
        <w:autoSpaceDN w:val="0"/>
        <w:adjustRightInd w:val="0"/>
        <w:spacing w:line="276" w:lineRule="auto"/>
        <w:rPr>
          <w:rFonts w:cs="Tahoma"/>
          <w:szCs w:val="24"/>
        </w:rPr>
      </w:pPr>
      <w:r w:rsidRPr="00C31D80">
        <w:rPr>
          <w:rFonts w:cs="Tahoma"/>
          <w:szCs w:val="24"/>
        </w:rPr>
        <w:t xml:space="preserve"> </w:t>
      </w:r>
    </w:p>
    <w:p w14:paraId="0C88AA16" w14:textId="77777777" w:rsidR="00C16464" w:rsidRPr="00C31D80" w:rsidRDefault="0037747F" w:rsidP="00C31D80">
      <w:pPr>
        <w:pStyle w:val="Prrafodelista"/>
        <w:widowControl w:val="0"/>
        <w:autoSpaceDE w:val="0"/>
        <w:autoSpaceDN w:val="0"/>
        <w:adjustRightInd w:val="0"/>
        <w:spacing w:line="276" w:lineRule="auto"/>
        <w:ind w:left="709"/>
        <w:jc w:val="left"/>
        <w:rPr>
          <w:rFonts w:cs="Tahoma"/>
          <w:b/>
          <w:szCs w:val="24"/>
        </w:rPr>
      </w:pPr>
      <w:r w:rsidRPr="00C31D80">
        <w:rPr>
          <w:rFonts w:cs="Tahoma"/>
          <w:b/>
          <w:szCs w:val="24"/>
        </w:rPr>
        <w:t xml:space="preserve">6.2 </w:t>
      </w:r>
      <w:r w:rsidR="00C16464" w:rsidRPr="00C31D80">
        <w:rPr>
          <w:rFonts w:cs="Tahoma"/>
          <w:b/>
          <w:szCs w:val="24"/>
        </w:rPr>
        <w:t>Caso concreto</w:t>
      </w:r>
    </w:p>
    <w:p w14:paraId="71F1B720" w14:textId="77777777" w:rsidR="00C16464" w:rsidRPr="00C31D80" w:rsidRDefault="00C16464" w:rsidP="00C31D80">
      <w:pPr>
        <w:pStyle w:val="xmsonormal"/>
        <w:spacing w:before="0" w:beforeAutospacing="0" w:after="0" w:afterAutospacing="0" w:line="276" w:lineRule="auto"/>
        <w:ind w:left="644"/>
        <w:jc w:val="both"/>
        <w:textAlignment w:val="baseline"/>
        <w:rPr>
          <w:rFonts w:ascii="Tahoma" w:hAnsi="Tahoma" w:cs="Tahoma"/>
        </w:rPr>
      </w:pPr>
    </w:p>
    <w:p w14:paraId="610B3C1C" w14:textId="77777777" w:rsidR="0037747F" w:rsidRPr="00C31D80" w:rsidRDefault="0037747F" w:rsidP="00C31D80">
      <w:pPr>
        <w:spacing w:line="276" w:lineRule="auto"/>
        <w:ind w:firstLine="708"/>
        <w:rPr>
          <w:rFonts w:eastAsia="Calibri" w:cs="Tahoma"/>
          <w:szCs w:val="24"/>
        </w:rPr>
      </w:pPr>
      <w:r w:rsidRPr="00C31D80">
        <w:rPr>
          <w:rFonts w:eastAsia="Calibri" w:cs="Tahoma"/>
          <w:szCs w:val="24"/>
        </w:rPr>
        <w:t xml:space="preserve">No es objeto de discusión en el sub lite que el demandante padece una pérdida de capacidad laboral equivalente al 52.63%, estructurada el 12 de febrero del año 2018, tal como se estableció en el dictamen de pérdida de capacidad laboral emitido por la Junta Nacional de Calificación de Invalidez. Tampoco es objeto de discusión que el señor Ricaurte Guzmán no acredita 50 semanas en los 3 años anteriores a dicha </w:t>
      </w:r>
      <w:r w:rsidR="00C14860" w:rsidRPr="00C31D80">
        <w:rPr>
          <w:rFonts w:eastAsia="Calibri" w:cs="Tahoma"/>
          <w:szCs w:val="24"/>
        </w:rPr>
        <w:t>fecha</w:t>
      </w:r>
      <w:r w:rsidRPr="00C31D80">
        <w:rPr>
          <w:rFonts w:eastAsia="Calibri" w:cs="Tahoma"/>
          <w:szCs w:val="24"/>
        </w:rPr>
        <w:t>.</w:t>
      </w:r>
    </w:p>
    <w:p w14:paraId="070DF72F" w14:textId="77777777" w:rsidR="0037747F" w:rsidRPr="00C31D80" w:rsidRDefault="0037747F" w:rsidP="00C31D80">
      <w:pPr>
        <w:spacing w:line="276" w:lineRule="auto"/>
        <w:ind w:firstLine="708"/>
        <w:rPr>
          <w:rFonts w:eastAsia="Calibri" w:cs="Tahoma"/>
          <w:szCs w:val="24"/>
        </w:rPr>
      </w:pPr>
    </w:p>
    <w:p w14:paraId="3DD086F6" w14:textId="59ABD468" w:rsidR="00FF6AF4" w:rsidRPr="00C31D80" w:rsidRDefault="00C14860" w:rsidP="00C31D80">
      <w:pPr>
        <w:spacing w:line="276" w:lineRule="auto"/>
        <w:ind w:firstLine="708"/>
        <w:rPr>
          <w:rFonts w:eastAsia="Calibri" w:cs="Tahoma"/>
          <w:szCs w:val="24"/>
        </w:rPr>
      </w:pPr>
      <w:r w:rsidRPr="00C31D80">
        <w:rPr>
          <w:rFonts w:eastAsia="Calibri" w:cs="Tahoma"/>
          <w:szCs w:val="24"/>
        </w:rPr>
        <w:t>Así las cosas, conforme a la carga dinámica de la prueba anunciada en precedencia, c</w:t>
      </w:r>
      <w:r w:rsidR="0037747F" w:rsidRPr="00C31D80">
        <w:rPr>
          <w:rFonts w:eastAsia="Calibri" w:cs="Tahoma"/>
          <w:szCs w:val="24"/>
        </w:rPr>
        <w:t>orrespondía a la parte actora demostrar</w:t>
      </w:r>
      <w:r w:rsidRPr="00C31D80">
        <w:rPr>
          <w:rFonts w:eastAsia="Calibri" w:cs="Tahoma"/>
          <w:szCs w:val="24"/>
        </w:rPr>
        <w:t>, primero que todo,</w:t>
      </w:r>
      <w:r w:rsidR="0037747F" w:rsidRPr="00C31D80">
        <w:rPr>
          <w:rFonts w:eastAsia="Calibri" w:cs="Tahoma"/>
          <w:szCs w:val="24"/>
        </w:rPr>
        <w:t xml:space="preserve"> que las patologías objeto de calificación se enmarcan dentro de las denominadas degenerativas, crónicas o congénitas</w:t>
      </w:r>
      <w:r w:rsidRPr="00C31D80">
        <w:rPr>
          <w:rFonts w:eastAsia="Calibri" w:cs="Tahoma"/>
          <w:szCs w:val="24"/>
        </w:rPr>
        <w:t xml:space="preserve">; </w:t>
      </w:r>
      <w:r w:rsidR="0037747F" w:rsidRPr="00C31D80">
        <w:rPr>
          <w:rFonts w:eastAsia="Calibri" w:cs="Tahoma"/>
          <w:szCs w:val="24"/>
        </w:rPr>
        <w:t xml:space="preserve">lo cual quedó </w:t>
      </w:r>
      <w:r w:rsidRPr="00C31D80">
        <w:rPr>
          <w:rFonts w:eastAsia="Calibri" w:cs="Tahoma"/>
          <w:szCs w:val="24"/>
        </w:rPr>
        <w:t xml:space="preserve">plenamente </w:t>
      </w:r>
      <w:r w:rsidR="009A1F35" w:rsidRPr="00C31D80">
        <w:rPr>
          <w:rFonts w:eastAsia="Calibri" w:cs="Tahoma"/>
          <w:szCs w:val="24"/>
        </w:rPr>
        <w:t xml:space="preserve">probado </w:t>
      </w:r>
      <w:r w:rsidRPr="00C31D80">
        <w:rPr>
          <w:rFonts w:eastAsia="Calibri" w:cs="Tahoma"/>
          <w:szCs w:val="24"/>
        </w:rPr>
        <w:t xml:space="preserve">en el </w:t>
      </w:r>
      <w:r w:rsidR="0037747F" w:rsidRPr="00C31D80">
        <w:rPr>
          <w:rFonts w:eastAsia="Calibri" w:cs="Tahoma"/>
          <w:szCs w:val="24"/>
        </w:rPr>
        <w:t xml:space="preserve">aludido dictamen, en el que se indica que las deficiencias que padece son </w:t>
      </w:r>
      <w:r w:rsidR="0037747F" w:rsidRPr="00C31D80">
        <w:rPr>
          <w:rFonts w:eastAsia="Calibri" w:cs="Tahoma"/>
          <w:i/>
          <w:szCs w:val="24"/>
        </w:rPr>
        <w:t>Trastornos degenerativo discos intervertebrales columna cervical, Trastornos degenerativos discos intervertebrales columna lumbosacra,  Agudeza visual que corrige con lentes a 20/20 ambos ojos, Amputación falange distal dedo anular izquierda, Síndrome del túnel del carpo derecho, Gastritis crónica y Fibromialgia</w:t>
      </w:r>
      <w:r w:rsidR="00FF6AF4" w:rsidRPr="00C31D80">
        <w:rPr>
          <w:rFonts w:eastAsia="Calibri" w:cs="Tahoma"/>
          <w:i/>
          <w:szCs w:val="24"/>
        </w:rPr>
        <w:t xml:space="preserve">. </w:t>
      </w:r>
      <w:r w:rsidR="00FF6AF4" w:rsidRPr="00C31D80">
        <w:rPr>
          <w:rFonts w:eastAsia="Calibri" w:cs="Tahoma"/>
          <w:szCs w:val="24"/>
        </w:rPr>
        <w:t xml:space="preserve">Por otra parte, </w:t>
      </w:r>
      <w:r w:rsidR="0037747F" w:rsidRPr="00C31D80">
        <w:rPr>
          <w:rFonts w:eastAsia="Calibri" w:cs="Tahoma"/>
          <w:szCs w:val="24"/>
        </w:rPr>
        <w:t xml:space="preserve">en el título VI </w:t>
      </w:r>
      <w:r w:rsidR="00FF6AF4" w:rsidRPr="00C31D80">
        <w:rPr>
          <w:rFonts w:eastAsia="Calibri" w:cs="Tahoma"/>
          <w:szCs w:val="24"/>
        </w:rPr>
        <w:t xml:space="preserve">se señala expresamente que </w:t>
      </w:r>
      <w:r w:rsidR="009A1F35" w:rsidRPr="00C31D80">
        <w:rPr>
          <w:rFonts w:eastAsia="Calibri" w:cs="Tahoma"/>
          <w:szCs w:val="24"/>
        </w:rPr>
        <w:t xml:space="preserve">la </w:t>
      </w:r>
      <w:r w:rsidR="0037747F" w:rsidRPr="00C31D80">
        <w:rPr>
          <w:rFonts w:eastAsia="Calibri" w:cs="Tahoma"/>
          <w:szCs w:val="24"/>
        </w:rPr>
        <w:t xml:space="preserve">gastritis </w:t>
      </w:r>
      <w:r w:rsidR="00FF6AF4" w:rsidRPr="00C31D80">
        <w:rPr>
          <w:rFonts w:eastAsia="Calibri" w:cs="Tahoma"/>
          <w:szCs w:val="24"/>
        </w:rPr>
        <w:t xml:space="preserve">que aqueja al actor </w:t>
      </w:r>
      <w:r w:rsidR="0037747F" w:rsidRPr="00C31D80">
        <w:rPr>
          <w:rFonts w:eastAsia="Calibri" w:cs="Tahoma"/>
          <w:szCs w:val="24"/>
        </w:rPr>
        <w:t>es considerada de carácter crónico</w:t>
      </w:r>
      <w:r w:rsidR="00FF6AF4" w:rsidRPr="00C31D80">
        <w:rPr>
          <w:rFonts w:eastAsia="Calibri" w:cs="Tahoma"/>
          <w:szCs w:val="24"/>
        </w:rPr>
        <w:t>.</w:t>
      </w:r>
    </w:p>
    <w:p w14:paraId="03D670C0" w14:textId="77777777" w:rsidR="0037747F" w:rsidRPr="00C31D80" w:rsidRDefault="0037747F" w:rsidP="00C31D80">
      <w:pPr>
        <w:spacing w:line="276" w:lineRule="auto"/>
        <w:ind w:firstLine="708"/>
        <w:rPr>
          <w:rFonts w:eastAsia="Calibri" w:cs="Tahoma"/>
          <w:szCs w:val="24"/>
        </w:rPr>
      </w:pPr>
    </w:p>
    <w:p w14:paraId="54B02002" w14:textId="33C5F714" w:rsidR="00C14860" w:rsidRPr="00C31D80" w:rsidRDefault="00C14860" w:rsidP="00C31D80">
      <w:pPr>
        <w:spacing w:line="276" w:lineRule="auto"/>
        <w:ind w:firstLine="708"/>
        <w:rPr>
          <w:rFonts w:eastAsia="Calibri" w:cs="Tahoma"/>
          <w:szCs w:val="24"/>
        </w:rPr>
      </w:pPr>
      <w:r w:rsidRPr="00C31D80">
        <w:rPr>
          <w:rFonts w:eastAsia="Calibri" w:cs="Tahoma"/>
          <w:szCs w:val="24"/>
        </w:rPr>
        <w:t xml:space="preserve">Por otra parte, </w:t>
      </w:r>
      <w:bookmarkStart w:id="2" w:name="_Hlk101888459"/>
      <w:r w:rsidRPr="00C31D80">
        <w:rPr>
          <w:rFonts w:eastAsia="Calibri" w:cs="Tahoma"/>
          <w:szCs w:val="24"/>
        </w:rPr>
        <w:t xml:space="preserve">recaía en cabeza de la parte activa de la litis acreditar que </w:t>
      </w:r>
      <w:r w:rsidR="00FF6AF4" w:rsidRPr="00C31D80">
        <w:rPr>
          <w:rFonts w:eastAsia="Calibri" w:cs="Tahoma"/>
          <w:szCs w:val="24"/>
        </w:rPr>
        <w:t xml:space="preserve">las cotizaciones efectuadas con posterioridad a la fecha de estructuración </w:t>
      </w:r>
      <w:r w:rsidRPr="00C31D80">
        <w:rPr>
          <w:rFonts w:eastAsia="Calibri" w:cs="Tahoma"/>
          <w:szCs w:val="24"/>
        </w:rPr>
        <w:t xml:space="preserve">en comento fueron el resulto real del trabajo ejercido con su capacidad laboral residual, situación que, tal como lo adujera la Jueza de instancia, quedó huérfana de sustento probatorio, pues además de que la togada que representa sus intereses limitó los testimonios que se </w:t>
      </w:r>
      <w:proofErr w:type="spellStart"/>
      <w:r w:rsidRPr="00C31D80">
        <w:rPr>
          <w:rFonts w:eastAsia="Calibri" w:cs="Tahoma"/>
          <w:szCs w:val="24"/>
        </w:rPr>
        <w:t>recepcionarían</w:t>
      </w:r>
      <w:proofErr w:type="spellEnd"/>
      <w:r w:rsidRPr="00C31D80">
        <w:rPr>
          <w:rFonts w:eastAsia="Calibri" w:cs="Tahoma"/>
          <w:szCs w:val="24"/>
        </w:rPr>
        <w:t>, aquellos rendidos en la etapa probatoria, lejos de beneficiarlo, ofrecen certeza respecto a la imposibilidad que tenía el actor de desplegar labor alguna.</w:t>
      </w:r>
    </w:p>
    <w:bookmarkEnd w:id="2"/>
    <w:p w14:paraId="4CA49348" w14:textId="77777777" w:rsidR="009A1F35" w:rsidRPr="00C31D80" w:rsidRDefault="009A1F35" w:rsidP="00C31D80">
      <w:pPr>
        <w:spacing w:line="276" w:lineRule="auto"/>
        <w:ind w:firstLine="708"/>
        <w:rPr>
          <w:rFonts w:eastAsia="Calibri" w:cs="Tahoma"/>
          <w:szCs w:val="24"/>
        </w:rPr>
      </w:pPr>
    </w:p>
    <w:p w14:paraId="03C8D7A7" w14:textId="77777777" w:rsidR="0037747F" w:rsidRPr="00C31D80" w:rsidRDefault="00C14860" w:rsidP="00C31D80">
      <w:pPr>
        <w:spacing w:line="276" w:lineRule="auto"/>
        <w:ind w:firstLine="708"/>
        <w:rPr>
          <w:rFonts w:eastAsia="Calibri" w:cs="Tahoma"/>
          <w:szCs w:val="24"/>
        </w:rPr>
      </w:pPr>
      <w:r w:rsidRPr="00C31D80">
        <w:rPr>
          <w:rFonts w:eastAsia="Calibri" w:cs="Tahoma"/>
          <w:szCs w:val="24"/>
        </w:rPr>
        <w:t>En efecto, a</w:t>
      </w:r>
      <w:r w:rsidR="00FF6AF4" w:rsidRPr="00C31D80">
        <w:rPr>
          <w:rFonts w:eastAsia="Calibri" w:cs="Tahoma"/>
          <w:szCs w:val="24"/>
        </w:rPr>
        <w:t>l</w:t>
      </w:r>
      <w:r w:rsidR="0037747F" w:rsidRPr="00C31D80">
        <w:rPr>
          <w:rFonts w:eastAsia="Calibri" w:cs="Tahoma"/>
          <w:szCs w:val="24"/>
        </w:rPr>
        <w:t xml:space="preserve"> </w:t>
      </w:r>
      <w:r w:rsidR="00FF6AF4" w:rsidRPr="00C31D80">
        <w:rPr>
          <w:rFonts w:eastAsia="Calibri" w:cs="Tahoma"/>
          <w:szCs w:val="24"/>
        </w:rPr>
        <w:t xml:space="preserve">estudiar </w:t>
      </w:r>
      <w:r w:rsidR="0037747F" w:rsidRPr="00C31D80">
        <w:rPr>
          <w:rFonts w:eastAsia="Calibri" w:cs="Tahoma"/>
          <w:szCs w:val="24"/>
        </w:rPr>
        <w:t xml:space="preserve">las circunstancias </w:t>
      </w:r>
      <w:r w:rsidR="00FF6AF4" w:rsidRPr="00C31D80">
        <w:rPr>
          <w:rFonts w:eastAsia="Calibri" w:cs="Tahoma"/>
          <w:szCs w:val="24"/>
        </w:rPr>
        <w:t xml:space="preserve">que rodearon </w:t>
      </w:r>
      <w:r w:rsidRPr="00C31D80">
        <w:rPr>
          <w:rFonts w:eastAsia="Calibri" w:cs="Tahoma"/>
          <w:szCs w:val="24"/>
        </w:rPr>
        <w:t>los</w:t>
      </w:r>
      <w:r w:rsidR="00FF6AF4" w:rsidRPr="00C31D80">
        <w:rPr>
          <w:rFonts w:eastAsia="Calibri" w:cs="Tahoma"/>
          <w:szCs w:val="24"/>
        </w:rPr>
        <w:t xml:space="preserve"> aportes</w:t>
      </w:r>
      <w:r w:rsidRPr="00C31D80">
        <w:rPr>
          <w:rFonts w:eastAsia="Calibri" w:cs="Tahoma"/>
          <w:szCs w:val="24"/>
        </w:rPr>
        <w:t xml:space="preserve"> </w:t>
      </w:r>
      <w:proofErr w:type="spellStart"/>
      <w:r w:rsidRPr="00C31D80">
        <w:rPr>
          <w:rFonts w:eastAsia="Calibri" w:cs="Tahoma"/>
          <w:szCs w:val="24"/>
        </w:rPr>
        <w:t>post-estructuración</w:t>
      </w:r>
      <w:proofErr w:type="spellEnd"/>
      <w:r w:rsidR="0037747F" w:rsidRPr="00C31D80">
        <w:rPr>
          <w:rFonts w:eastAsia="Calibri" w:cs="Tahoma"/>
          <w:szCs w:val="24"/>
        </w:rPr>
        <w:t xml:space="preserve">, </w:t>
      </w:r>
      <w:r w:rsidR="00FF6AF4" w:rsidRPr="00C31D80">
        <w:rPr>
          <w:rFonts w:eastAsia="Calibri" w:cs="Tahoma"/>
          <w:szCs w:val="24"/>
        </w:rPr>
        <w:t xml:space="preserve">confesadas por </w:t>
      </w:r>
      <w:r w:rsidR="0037747F" w:rsidRPr="00C31D80">
        <w:rPr>
          <w:rFonts w:eastAsia="Calibri" w:cs="Tahoma"/>
          <w:szCs w:val="24"/>
        </w:rPr>
        <w:t>el solicitante</w:t>
      </w:r>
      <w:r w:rsidR="00FF6AF4" w:rsidRPr="00C31D80">
        <w:rPr>
          <w:rFonts w:eastAsia="Calibri" w:cs="Tahoma"/>
          <w:szCs w:val="24"/>
        </w:rPr>
        <w:t xml:space="preserve"> en su interrogatorio de parte</w:t>
      </w:r>
      <w:r w:rsidRPr="00C31D80">
        <w:rPr>
          <w:rFonts w:eastAsia="Calibri" w:cs="Tahoma"/>
          <w:szCs w:val="24"/>
        </w:rPr>
        <w:t xml:space="preserve"> y</w:t>
      </w:r>
      <w:r w:rsidR="00FF6AF4" w:rsidRPr="00C31D80">
        <w:rPr>
          <w:rFonts w:eastAsia="Calibri" w:cs="Tahoma"/>
          <w:szCs w:val="24"/>
        </w:rPr>
        <w:t xml:space="preserve"> </w:t>
      </w:r>
      <w:r w:rsidRPr="00C31D80">
        <w:rPr>
          <w:rFonts w:eastAsia="Calibri" w:cs="Tahoma"/>
          <w:szCs w:val="24"/>
        </w:rPr>
        <w:t xml:space="preserve">descritas por sus hermanos en los testimonios, </w:t>
      </w:r>
      <w:r w:rsidR="00FF6AF4" w:rsidRPr="00C31D80">
        <w:rPr>
          <w:rFonts w:eastAsia="Calibri" w:cs="Tahoma"/>
          <w:szCs w:val="24"/>
        </w:rPr>
        <w:t xml:space="preserve">en contraste con </w:t>
      </w:r>
      <w:r w:rsidR="0037747F" w:rsidRPr="00C31D80">
        <w:rPr>
          <w:rFonts w:eastAsia="Calibri" w:cs="Tahoma"/>
          <w:szCs w:val="24"/>
        </w:rPr>
        <w:t>la</w:t>
      </w:r>
      <w:r w:rsidR="00FF6AF4" w:rsidRPr="00C31D80">
        <w:rPr>
          <w:rFonts w:eastAsia="Calibri" w:cs="Tahoma"/>
          <w:szCs w:val="24"/>
        </w:rPr>
        <w:t>s</w:t>
      </w:r>
      <w:r w:rsidR="0037747F" w:rsidRPr="00C31D80">
        <w:rPr>
          <w:rFonts w:eastAsia="Calibri" w:cs="Tahoma"/>
          <w:szCs w:val="24"/>
        </w:rPr>
        <w:t xml:space="preserve"> patología</w:t>
      </w:r>
      <w:r w:rsidR="00FF6AF4" w:rsidRPr="00C31D80">
        <w:rPr>
          <w:rFonts w:eastAsia="Calibri" w:cs="Tahoma"/>
          <w:szCs w:val="24"/>
        </w:rPr>
        <w:t>s</w:t>
      </w:r>
      <w:r w:rsidR="0037747F" w:rsidRPr="00C31D80">
        <w:rPr>
          <w:rFonts w:eastAsia="Calibri" w:cs="Tahoma"/>
          <w:szCs w:val="24"/>
        </w:rPr>
        <w:t xml:space="preserve"> </w:t>
      </w:r>
      <w:r w:rsidR="00FF6AF4" w:rsidRPr="00C31D80">
        <w:rPr>
          <w:rFonts w:eastAsia="Calibri" w:cs="Tahoma"/>
          <w:szCs w:val="24"/>
        </w:rPr>
        <w:t xml:space="preserve">descritas en </w:t>
      </w:r>
      <w:r w:rsidR="0037747F" w:rsidRPr="00C31D80">
        <w:rPr>
          <w:rFonts w:eastAsia="Calibri" w:cs="Tahoma"/>
          <w:szCs w:val="24"/>
        </w:rPr>
        <w:t xml:space="preserve">su historia laboral, </w:t>
      </w:r>
      <w:r w:rsidR="00FF6AF4" w:rsidRPr="00C31D80">
        <w:rPr>
          <w:rFonts w:eastAsia="Calibri" w:cs="Tahoma"/>
          <w:szCs w:val="24"/>
        </w:rPr>
        <w:t>se</w:t>
      </w:r>
      <w:r w:rsidR="0037747F" w:rsidRPr="00C31D80">
        <w:rPr>
          <w:rFonts w:eastAsia="Calibri" w:cs="Tahoma"/>
          <w:szCs w:val="24"/>
        </w:rPr>
        <w:t xml:space="preserve"> pued</w:t>
      </w:r>
      <w:r w:rsidR="00FF6AF4" w:rsidRPr="00C31D80">
        <w:rPr>
          <w:rFonts w:eastAsia="Calibri" w:cs="Tahoma"/>
          <w:szCs w:val="24"/>
        </w:rPr>
        <w:t>e</w:t>
      </w:r>
      <w:r w:rsidR="0037747F" w:rsidRPr="00C31D80">
        <w:rPr>
          <w:rFonts w:eastAsia="Calibri" w:cs="Tahoma"/>
          <w:szCs w:val="24"/>
        </w:rPr>
        <w:t xml:space="preserve"> </w:t>
      </w:r>
      <w:r w:rsidR="00FF6AF4" w:rsidRPr="00C31D80">
        <w:rPr>
          <w:rFonts w:eastAsia="Calibri" w:cs="Tahoma"/>
          <w:szCs w:val="24"/>
        </w:rPr>
        <w:t xml:space="preserve">concluir que los pagos al sistema pensional </w:t>
      </w:r>
      <w:r w:rsidR="0037747F" w:rsidRPr="00C31D80">
        <w:rPr>
          <w:rFonts w:eastAsia="Calibri" w:cs="Tahoma"/>
          <w:szCs w:val="24"/>
        </w:rPr>
        <w:t>se hicieron con la única finalidad de acreditar las semanas exigidas por la norma</w:t>
      </w:r>
      <w:r w:rsidR="00FF6AF4" w:rsidRPr="00C31D80">
        <w:rPr>
          <w:rFonts w:eastAsia="Calibri" w:cs="Tahoma"/>
          <w:szCs w:val="24"/>
        </w:rPr>
        <w:t xml:space="preserve"> y la jurisprudencia a que se hizo mención.</w:t>
      </w:r>
    </w:p>
    <w:p w14:paraId="4B05DCDC" w14:textId="77777777" w:rsidR="0037747F" w:rsidRPr="00C31D80" w:rsidRDefault="0037747F" w:rsidP="00C31D80">
      <w:pPr>
        <w:spacing w:line="276" w:lineRule="auto"/>
        <w:ind w:firstLine="708"/>
        <w:rPr>
          <w:rFonts w:eastAsia="Calibri" w:cs="Tahoma"/>
          <w:szCs w:val="24"/>
        </w:rPr>
      </w:pPr>
    </w:p>
    <w:p w14:paraId="3AF6D0CB" w14:textId="77777777" w:rsidR="006B04AA" w:rsidRPr="00C31D80" w:rsidRDefault="0037747F" w:rsidP="00C31D80">
      <w:pPr>
        <w:spacing w:line="276" w:lineRule="auto"/>
        <w:ind w:firstLine="708"/>
        <w:rPr>
          <w:rFonts w:eastAsia="Calibri" w:cs="Tahoma"/>
          <w:szCs w:val="24"/>
        </w:rPr>
      </w:pPr>
      <w:r w:rsidRPr="00C31D80">
        <w:rPr>
          <w:rFonts w:eastAsia="Calibri" w:cs="Tahoma"/>
          <w:szCs w:val="24"/>
        </w:rPr>
        <w:lastRenderedPageBreak/>
        <w:t>En e</w:t>
      </w:r>
      <w:r w:rsidR="00FF6AF4" w:rsidRPr="00C31D80">
        <w:rPr>
          <w:rFonts w:eastAsia="Calibri" w:cs="Tahoma"/>
          <w:szCs w:val="24"/>
        </w:rPr>
        <w:t xml:space="preserve">fecto, </w:t>
      </w:r>
      <w:r w:rsidRPr="00C31D80">
        <w:rPr>
          <w:rFonts w:eastAsia="Calibri" w:cs="Tahoma"/>
          <w:szCs w:val="24"/>
        </w:rPr>
        <w:t>los señores Henry Guzmán Quiñonez y Jorge Eliecer Guzmán Quiñones,</w:t>
      </w:r>
      <w:r w:rsidR="00FF6AF4" w:rsidRPr="00C31D80">
        <w:rPr>
          <w:rFonts w:eastAsia="Calibri" w:cs="Tahoma"/>
          <w:szCs w:val="24"/>
        </w:rPr>
        <w:t xml:space="preserve"> hermanos del promotor de la litis,</w:t>
      </w:r>
      <w:r w:rsidRPr="00C31D80">
        <w:rPr>
          <w:rFonts w:eastAsia="Calibri" w:cs="Tahoma"/>
          <w:szCs w:val="24"/>
        </w:rPr>
        <w:t xml:space="preserve"> informaron que desde el año 2012 el señor Ricaurte dej</w:t>
      </w:r>
      <w:r w:rsidR="00FF6AF4" w:rsidRPr="00C31D80">
        <w:rPr>
          <w:rFonts w:eastAsia="Calibri" w:cs="Tahoma"/>
          <w:szCs w:val="24"/>
        </w:rPr>
        <w:t>ó</w:t>
      </w:r>
      <w:r w:rsidRPr="00C31D80">
        <w:rPr>
          <w:rFonts w:eastAsia="Calibri" w:cs="Tahoma"/>
          <w:szCs w:val="24"/>
        </w:rPr>
        <w:t xml:space="preserve"> de trabajar</w:t>
      </w:r>
      <w:r w:rsidR="00FF6AF4" w:rsidRPr="00C31D80">
        <w:rPr>
          <w:rFonts w:eastAsia="Calibri" w:cs="Tahoma"/>
          <w:szCs w:val="24"/>
        </w:rPr>
        <w:t>;</w:t>
      </w:r>
      <w:r w:rsidRPr="00C31D80">
        <w:rPr>
          <w:rFonts w:eastAsia="Calibri" w:cs="Tahoma"/>
          <w:szCs w:val="24"/>
        </w:rPr>
        <w:t xml:space="preserve"> que se encontraba muy enfermo</w:t>
      </w:r>
      <w:r w:rsidR="00C14860" w:rsidRPr="00C31D80">
        <w:rPr>
          <w:rFonts w:eastAsia="Calibri" w:cs="Tahoma"/>
          <w:szCs w:val="24"/>
        </w:rPr>
        <w:t xml:space="preserve"> y</w:t>
      </w:r>
      <w:r w:rsidRPr="00C31D80">
        <w:rPr>
          <w:rFonts w:eastAsia="Calibri" w:cs="Tahoma"/>
          <w:szCs w:val="24"/>
        </w:rPr>
        <w:t xml:space="preserve"> que ellos como hermanos le colaboraban</w:t>
      </w:r>
      <w:r w:rsidR="00FF6AF4" w:rsidRPr="00C31D80">
        <w:rPr>
          <w:rFonts w:eastAsia="Calibri" w:cs="Tahoma"/>
          <w:szCs w:val="24"/>
        </w:rPr>
        <w:t xml:space="preserve">. </w:t>
      </w:r>
    </w:p>
    <w:p w14:paraId="29B4D2AA" w14:textId="77777777" w:rsidR="006B04AA" w:rsidRPr="00C31D80" w:rsidRDefault="006B04AA" w:rsidP="00C31D80">
      <w:pPr>
        <w:spacing w:line="276" w:lineRule="auto"/>
        <w:ind w:firstLine="708"/>
        <w:rPr>
          <w:rFonts w:eastAsia="Calibri" w:cs="Tahoma"/>
          <w:szCs w:val="24"/>
        </w:rPr>
      </w:pPr>
    </w:p>
    <w:p w14:paraId="19029236" w14:textId="77777777" w:rsidR="0037747F" w:rsidRPr="00C31D80" w:rsidRDefault="0037747F" w:rsidP="00C31D80">
      <w:pPr>
        <w:spacing w:line="276" w:lineRule="auto"/>
        <w:ind w:firstLine="708"/>
        <w:rPr>
          <w:rFonts w:eastAsia="Calibri" w:cs="Tahoma"/>
          <w:szCs w:val="24"/>
        </w:rPr>
      </w:pPr>
      <w:r w:rsidRPr="00C31D80">
        <w:rPr>
          <w:rFonts w:eastAsia="Calibri" w:cs="Tahoma"/>
          <w:szCs w:val="24"/>
        </w:rPr>
        <w:t xml:space="preserve">Henry Guzmán </w:t>
      </w:r>
      <w:r w:rsidR="00FF6AF4" w:rsidRPr="00C31D80">
        <w:rPr>
          <w:rFonts w:eastAsia="Calibri" w:cs="Tahoma"/>
          <w:szCs w:val="24"/>
        </w:rPr>
        <w:t xml:space="preserve">precisó </w:t>
      </w:r>
      <w:r w:rsidRPr="00C31D80">
        <w:rPr>
          <w:rFonts w:eastAsia="Calibri" w:cs="Tahoma"/>
          <w:szCs w:val="24"/>
        </w:rPr>
        <w:t>que desde que su hermano dej</w:t>
      </w:r>
      <w:r w:rsidR="00FF6AF4" w:rsidRPr="00C31D80">
        <w:rPr>
          <w:rFonts w:eastAsia="Calibri" w:cs="Tahoma"/>
          <w:szCs w:val="24"/>
        </w:rPr>
        <w:t>ó</w:t>
      </w:r>
      <w:r w:rsidRPr="00C31D80">
        <w:rPr>
          <w:rFonts w:eastAsia="Calibri" w:cs="Tahoma"/>
          <w:szCs w:val="24"/>
        </w:rPr>
        <w:t xml:space="preserve"> de trabajar el comenzó a colaborarle</w:t>
      </w:r>
      <w:r w:rsidR="00FF6AF4" w:rsidRPr="00C31D80">
        <w:rPr>
          <w:rFonts w:eastAsia="Calibri" w:cs="Tahoma"/>
          <w:szCs w:val="24"/>
        </w:rPr>
        <w:t>;</w:t>
      </w:r>
      <w:r w:rsidRPr="00C31D80">
        <w:rPr>
          <w:rFonts w:eastAsia="Calibri" w:cs="Tahoma"/>
          <w:szCs w:val="24"/>
        </w:rPr>
        <w:t xml:space="preserve"> le daba para los pasajes para que fuera a pedir sus citas</w:t>
      </w:r>
      <w:r w:rsidR="00FF6AF4" w:rsidRPr="00C31D80">
        <w:rPr>
          <w:rFonts w:eastAsia="Calibri" w:cs="Tahoma"/>
          <w:szCs w:val="24"/>
        </w:rPr>
        <w:t>;</w:t>
      </w:r>
      <w:r w:rsidRPr="00C31D80">
        <w:rPr>
          <w:rFonts w:eastAsia="Calibri" w:cs="Tahoma"/>
          <w:szCs w:val="24"/>
        </w:rPr>
        <w:t xml:space="preserve"> le daba la vivienda, la alimentación, junto con su madre, y que le daba una suma de dinero para que satisficiera sus necesidades básicas</w:t>
      </w:r>
      <w:r w:rsidR="006B04AA" w:rsidRPr="00C31D80">
        <w:rPr>
          <w:rFonts w:eastAsia="Calibri" w:cs="Tahoma"/>
          <w:szCs w:val="24"/>
        </w:rPr>
        <w:t>. Puntualizó q</w:t>
      </w:r>
      <w:r w:rsidRPr="00C31D80">
        <w:rPr>
          <w:rFonts w:eastAsia="Calibri" w:cs="Tahoma"/>
          <w:szCs w:val="24"/>
        </w:rPr>
        <w:t xml:space="preserve">ue </w:t>
      </w:r>
      <w:r w:rsidR="006B04AA" w:rsidRPr="00C31D80">
        <w:rPr>
          <w:rFonts w:eastAsia="Calibri" w:cs="Tahoma"/>
          <w:szCs w:val="24"/>
        </w:rPr>
        <w:t xml:space="preserve">el demandante le </w:t>
      </w:r>
      <w:r w:rsidRPr="00C31D80">
        <w:rPr>
          <w:rFonts w:eastAsia="Calibri" w:cs="Tahoma"/>
          <w:szCs w:val="24"/>
        </w:rPr>
        <w:t>colabora</w:t>
      </w:r>
      <w:r w:rsidR="006B04AA" w:rsidRPr="00C31D80">
        <w:rPr>
          <w:rFonts w:eastAsia="Calibri" w:cs="Tahoma"/>
          <w:szCs w:val="24"/>
        </w:rPr>
        <w:t>ba</w:t>
      </w:r>
      <w:r w:rsidRPr="00C31D80">
        <w:rPr>
          <w:rFonts w:eastAsia="Calibri" w:cs="Tahoma"/>
          <w:szCs w:val="24"/>
        </w:rPr>
        <w:t xml:space="preserve"> con las vueltas o diligencias esporádicamente, y que las cotizaciones al sistema de seguridad social iniciaron en el año 2018, a raíz de</w:t>
      </w:r>
      <w:r w:rsidR="006B04AA" w:rsidRPr="00C31D80">
        <w:rPr>
          <w:rFonts w:eastAsia="Calibri" w:cs="Tahoma"/>
          <w:szCs w:val="24"/>
        </w:rPr>
        <w:t>l</w:t>
      </w:r>
      <w:r w:rsidRPr="00C31D80">
        <w:rPr>
          <w:rFonts w:eastAsia="Calibri" w:cs="Tahoma"/>
          <w:szCs w:val="24"/>
        </w:rPr>
        <w:t xml:space="preserve"> estado de </w:t>
      </w:r>
      <w:r w:rsidR="006B04AA" w:rsidRPr="00C31D80">
        <w:rPr>
          <w:rFonts w:eastAsia="Calibri" w:cs="Tahoma"/>
          <w:szCs w:val="24"/>
        </w:rPr>
        <w:t xml:space="preserve">su </w:t>
      </w:r>
      <w:r w:rsidRPr="00C31D80">
        <w:rPr>
          <w:rFonts w:eastAsia="Calibri" w:cs="Tahoma"/>
          <w:szCs w:val="24"/>
        </w:rPr>
        <w:t>enfermedad</w:t>
      </w:r>
      <w:r w:rsidR="00C14860" w:rsidRPr="00C31D80">
        <w:rPr>
          <w:rFonts w:eastAsia="Calibri" w:cs="Tahoma"/>
          <w:szCs w:val="24"/>
        </w:rPr>
        <w:t xml:space="preserve"> y</w:t>
      </w:r>
      <w:r w:rsidR="006B04AA" w:rsidRPr="00C31D80">
        <w:rPr>
          <w:rFonts w:eastAsia="Calibri" w:cs="Tahoma"/>
          <w:szCs w:val="24"/>
        </w:rPr>
        <w:t xml:space="preserve"> q</w:t>
      </w:r>
      <w:r w:rsidRPr="00C31D80">
        <w:rPr>
          <w:rFonts w:eastAsia="Calibri" w:cs="Tahoma"/>
          <w:szCs w:val="24"/>
        </w:rPr>
        <w:t xml:space="preserve">ue </w:t>
      </w:r>
      <w:r w:rsidR="006B04AA" w:rsidRPr="00C31D80">
        <w:rPr>
          <w:rFonts w:eastAsia="Calibri" w:cs="Tahoma"/>
          <w:szCs w:val="24"/>
        </w:rPr>
        <w:t xml:space="preserve">él -como hermano- le </w:t>
      </w:r>
      <w:r w:rsidRPr="00C31D80">
        <w:rPr>
          <w:rFonts w:eastAsia="Calibri" w:cs="Tahoma"/>
          <w:szCs w:val="24"/>
        </w:rPr>
        <w:t>colabora</w:t>
      </w:r>
      <w:r w:rsidR="006B04AA" w:rsidRPr="00C31D80">
        <w:rPr>
          <w:rFonts w:eastAsia="Calibri" w:cs="Tahoma"/>
          <w:szCs w:val="24"/>
        </w:rPr>
        <w:t>ba para que l</w:t>
      </w:r>
      <w:r w:rsidR="00C14860" w:rsidRPr="00C31D80">
        <w:rPr>
          <w:rFonts w:eastAsia="Calibri" w:cs="Tahoma"/>
          <w:szCs w:val="24"/>
        </w:rPr>
        <w:t>as</w:t>
      </w:r>
      <w:r w:rsidR="006B04AA" w:rsidRPr="00C31D80">
        <w:rPr>
          <w:rFonts w:eastAsia="Calibri" w:cs="Tahoma"/>
          <w:szCs w:val="24"/>
        </w:rPr>
        <w:t xml:space="preserve"> </w:t>
      </w:r>
      <w:r w:rsidR="00C14860" w:rsidRPr="00C31D80">
        <w:rPr>
          <w:rFonts w:eastAsia="Calibri" w:cs="Tahoma"/>
          <w:szCs w:val="24"/>
        </w:rPr>
        <w:t>sufragara</w:t>
      </w:r>
      <w:r w:rsidRPr="00C31D80">
        <w:rPr>
          <w:rFonts w:eastAsia="Calibri" w:cs="Tahoma"/>
          <w:szCs w:val="24"/>
        </w:rPr>
        <w:t>.</w:t>
      </w:r>
    </w:p>
    <w:p w14:paraId="12AFDBEA" w14:textId="77777777" w:rsidR="0037747F" w:rsidRPr="00C31D80" w:rsidRDefault="0037747F" w:rsidP="00C31D80">
      <w:pPr>
        <w:spacing w:line="276" w:lineRule="auto"/>
        <w:ind w:firstLine="708"/>
        <w:rPr>
          <w:rFonts w:eastAsia="Calibri" w:cs="Tahoma"/>
          <w:szCs w:val="24"/>
        </w:rPr>
      </w:pPr>
    </w:p>
    <w:p w14:paraId="7F945F9E" w14:textId="3C61E4A1" w:rsidR="0037747F" w:rsidRPr="00C31D80" w:rsidRDefault="0037747F" w:rsidP="00C31D80">
      <w:pPr>
        <w:spacing w:line="276" w:lineRule="auto"/>
        <w:ind w:firstLine="708"/>
        <w:rPr>
          <w:rFonts w:eastAsia="Calibri" w:cs="Tahoma"/>
          <w:szCs w:val="24"/>
        </w:rPr>
      </w:pPr>
      <w:r w:rsidRPr="00C31D80">
        <w:rPr>
          <w:rFonts w:eastAsia="Calibri" w:cs="Tahoma"/>
          <w:szCs w:val="24"/>
        </w:rPr>
        <w:t xml:space="preserve">En el mismo sentido, Jorge Eliécer </w:t>
      </w:r>
      <w:r w:rsidR="009A1F35" w:rsidRPr="00C31D80">
        <w:rPr>
          <w:rFonts w:eastAsia="Calibri" w:cs="Tahoma"/>
          <w:szCs w:val="24"/>
        </w:rPr>
        <w:t>Guzmán</w:t>
      </w:r>
      <w:r w:rsidR="006B04AA" w:rsidRPr="00C31D80">
        <w:rPr>
          <w:rFonts w:eastAsia="Calibri" w:cs="Tahoma"/>
          <w:szCs w:val="24"/>
        </w:rPr>
        <w:t xml:space="preserve"> </w:t>
      </w:r>
      <w:r w:rsidRPr="00C31D80">
        <w:rPr>
          <w:rFonts w:eastAsia="Calibri" w:cs="Tahoma"/>
          <w:szCs w:val="24"/>
        </w:rPr>
        <w:t xml:space="preserve">informó que su hermano hace más o menos 13 años </w:t>
      </w:r>
      <w:r w:rsidR="006B04AA" w:rsidRPr="00C31D80">
        <w:rPr>
          <w:rFonts w:eastAsia="Calibri" w:cs="Tahoma"/>
          <w:szCs w:val="24"/>
        </w:rPr>
        <w:t>s</w:t>
      </w:r>
      <w:r w:rsidRPr="00C31D80">
        <w:rPr>
          <w:rFonts w:eastAsia="Calibri" w:cs="Tahoma"/>
          <w:szCs w:val="24"/>
        </w:rPr>
        <w:t>e quedó sin trabajo por su enfermedad, que él se encuentra muy enfermo y que ellos como hermanos le colaboran</w:t>
      </w:r>
      <w:r w:rsidR="006B04AA" w:rsidRPr="00C31D80">
        <w:rPr>
          <w:rFonts w:eastAsia="Calibri" w:cs="Tahoma"/>
          <w:szCs w:val="24"/>
        </w:rPr>
        <w:t>. Que é</w:t>
      </w:r>
      <w:r w:rsidRPr="00C31D80">
        <w:rPr>
          <w:rFonts w:eastAsia="Calibri" w:cs="Tahoma"/>
          <w:szCs w:val="24"/>
        </w:rPr>
        <w:t>l eventualmente lo llama</w:t>
      </w:r>
      <w:r w:rsidR="006B04AA" w:rsidRPr="00C31D80">
        <w:rPr>
          <w:rFonts w:eastAsia="Calibri" w:cs="Tahoma"/>
          <w:szCs w:val="24"/>
        </w:rPr>
        <w:t>ba</w:t>
      </w:r>
      <w:r w:rsidRPr="00C31D80">
        <w:rPr>
          <w:rFonts w:eastAsia="Calibri" w:cs="Tahoma"/>
          <w:szCs w:val="24"/>
        </w:rPr>
        <w:t xml:space="preserve"> para que cuide la finca y que este como contraprestación le da una suma de dinero</w:t>
      </w:r>
      <w:r w:rsidR="006B04AA" w:rsidRPr="00C31D80">
        <w:rPr>
          <w:rFonts w:eastAsia="Calibri" w:cs="Tahoma"/>
          <w:szCs w:val="24"/>
        </w:rPr>
        <w:t xml:space="preserve">; no obstante, fue claro al indicar que cuando </w:t>
      </w:r>
      <w:r w:rsidRPr="00C31D80">
        <w:rPr>
          <w:rFonts w:eastAsia="Calibri" w:cs="Tahoma"/>
          <w:szCs w:val="24"/>
        </w:rPr>
        <w:t xml:space="preserve">el señor Ricaurte </w:t>
      </w:r>
      <w:r w:rsidR="006B04AA" w:rsidRPr="00C31D80">
        <w:rPr>
          <w:rFonts w:eastAsia="Calibri" w:cs="Tahoma"/>
          <w:szCs w:val="24"/>
        </w:rPr>
        <w:t xml:space="preserve">iba </w:t>
      </w:r>
      <w:r w:rsidRPr="00C31D80">
        <w:rPr>
          <w:rFonts w:eastAsia="Calibri" w:cs="Tahoma"/>
          <w:szCs w:val="24"/>
        </w:rPr>
        <w:t>a la finca no t</w:t>
      </w:r>
      <w:r w:rsidR="006B04AA" w:rsidRPr="00C31D80">
        <w:rPr>
          <w:rFonts w:eastAsia="Calibri" w:cs="Tahoma"/>
          <w:szCs w:val="24"/>
        </w:rPr>
        <w:t xml:space="preserve">enía </w:t>
      </w:r>
      <w:r w:rsidRPr="00C31D80">
        <w:rPr>
          <w:rFonts w:eastAsia="Calibri" w:cs="Tahoma"/>
          <w:szCs w:val="24"/>
        </w:rPr>
        <w:t>que hacer nada porque su capacidad física no le permite realizar labor</w:t>
      </w:r>
      <w:r w:rsidR="006B04AA" w:rsidRPr="00C31D80">
        <w:rPr>
          <w:rFonts w:eastAsia="Calibri" w:cs="Tahoma"/>
          <w:szCs w:val="24"/>
        </w:rPr>
        <w:t xml:space="preserve"> alguna</w:t>
      </w:r>
      <w:r w:rsidRPr="00C31D80">
        <w:rPr>
          <w:rFonts w:eastAsia="Calibri" w:cs="Tahoma"/>
          <w:szCs w:val="24"/>
        </w:rPr>
        <w:t>.</w:t>
      </w:r>
    </w:p>
    <w:p w14:paraId="7A2538C4" w14:textId="77777777" w:rsidR="0037747F" w:rsidRPr="00C31D80" w:rsidRDefault="0037747F" w:rsidP="00C31D80">
      <w:pPr>
        <w:spacing w:line="276" w:lineRule="auto"/>
        <w:ind w:firstLine="708"/>
        <w:rPr>
          <w:rFonts w:eastAsia="Calibri" w:cs="Tahoma"/>
          <w:szCs w:val="24"/>
        </w:rPr>
      </w:pPr>
    </w:p>
    <w:p w14:paraId="00FFA786" w14:textId="77777777" w:rsidR="0037747F" w:rsidRPr="00C31D80" w:rsidRDefault="006B04AA" w:rsidP="00C31D80">
      <w:pPr>
        <w:spacing w:line="276" w:lineRule="auto"/>
        <w:ind w:firstLine="708"/>
        <w:rPr>
          <w:rFonts w:eastAsia="Calibri" w:cs="Tahoma"/>
          <w:szCs w:val="24"/>
        </w:rPr>
      </w:pPr>
      <w:r w:rsidRPr="00C31D80">
        <w:rPr>
          <w:rFonts w:eastAsia="Calibri" w:cs="Tahoma"/>
          <w:szCs w:val="24"/>
        </w:rPr>
        <w:t>Por otra parte, en el interrogatorio rendido por el señor</w:t>
      </w:r>
      <w:r w:rsidR="0037747F" w:rsidRPr="00C31D80">
        <w:rPr>
          <w:rFonts w:eastAsia="Calibri" w:cs="Tahoma"/>
          <w:szCs w:val="24"/>
        </w:rPr>
        <w:t xml:space="preserve"> Ricaurte, </w:t>
      </w:r>
      <w:r w:rsidRPr="00C31D80">
        <w:rPr>
          <w:rFonts w:eastAsia="Calibri" w:cs="Tahoma"/>
          <w:szCs w:val="24"/>
        </w:rPr>
        <w:t xml:space="preserve">confesó </w:t>
      </w:r>
      <w:r w:rsidR="0037747F" w:rsidRPr="00C31D80">
        <w:rPr>
          <w:rFonts w:eastAsia="Calibri" w:cs="Tahoma"/>
          <w:szCs w:val="24"/>
        </w:rPr>
        <w:t>que desde el año 2012 no trabaja</w:t>
      </w:r>
      <w:r w:rsidRPr="00C31D80">
        <w:rPr>
          <w:rFonts w:eastAsia="Calibri" w:cs="Tahoma"/>
          <w:szCs w:val="24"/>
        </w:rPr>
        <w:t xml:space="preserve"> ya </w:t>
      </w:r>
      <w:r w:rsidR="0037747F" w:rsidRPr="00C31D80">
        <w:rPr>
          <w:rFonts w:eastAsia="Calibri" w:cs="Tahoma"/>
          <w:szCs w:val="24"/>
        </w:rPr>
        <w:t>que su enfermedad no se lo permite</w:t>
      </w:r>
      <w:r w:rsidRPr="00C31D80">
        <w:rPr>
          <w:rFonts w:eastAsia="Calibri" w:cs="Tahoma"/>
          <w:szCs w:val="24"/>
        </w:rPr>
        <w:t>; que</w:t>
      </w:r>
      <w:r w:rsidR="0037747F" w:rsidRPr="00C31D80">
        <w:rPr>
          <w:rFonts w:eastAsia="Calibri" w:cs="Tahoma"/>
          <w:szCs w:val="24"/>
        </w:rPr>
        <w:t xml:space="preserve"> ha dependido económicamente de sus familiares, concretamente de sus hermanos y de su señora madre</w:t>
      </w:r>
      <w:r w:rsidRPr="00C31D80">
        <w:rPr>
          <w:rFonts w:eastAsia="Calibri" w:cs="Tahoma"/>
          <w:szCs w:val="24"/>
        </w:rPr>
        <w:t xml:space="preserve">. Igualmente, afirmó </w:t>
      </w:r>
      <w:r w:rsidR="0037747F" w:rsidRPr="00C31D80">
        <w:rPr>
          <w:rFonts w:eastAsia="Calibri" w:cs="Tahoma"/>
          <w:szCs w:val="24"/>
        </w:rPr>
        <w:t xml:space="preserve">que comenzó a cotizar para el año 2018 para tener más semanas </w:t>
      </w:r>
      <w:r w:rsidRPr="00C31D80">
        <w:rPr>
          <w:rFonts w:eastAsia="Calibri" w:cs="Tahoma"/>
          <w:szCs w:val="24"/>
        </w:rPr>
        <w:t xml:space="preserve">en </w:t>
      </w:r>
      <w:r w:rsidR="0037747F" w:rsidRPr="00C31D80">
        <w:rPr>
          <w:rFonts w:eastAsia="Calibri" w:cs="Tahoma"/>
          <w:szCs w:val="24"/>
        </w:rPr>
        <w:t>adelante.</w:t>
      </w:r>
    </w:p>
    <w:p w14:paraId="6ACA7DF1" w14:textId="77777777" w:rsidR="00FA18A4" w:rsidRPr="00C31D80" w:rsidRDefault="00FA18A4" w:rsidP="00C31D80">
      <w:pPr>
        <w:spacing w:line="276" w:lineRule="auto"/>
        <w:ind w:firstLine="708"/>
        <w:rPr>
          <w:rFonts w:eastAsia="Calibri" w:cs="Tahoma"/>
          <w:szCs w:val="24"/>
        </w:rPr>
      </w:pPr>
    </w:p>
    <w:p w14:paraId="754E8494" w14:textId="6D233798" w:rsidR="0037747F" w:rsidRPr="00C31D80" w:rsidRDefault="00FA18A4" w:rsidP="00C31D80">
      <w:pPr>
        <w:spacing w:line="276" w:lineRule="auto"/>
        <w:ind w:firstLine="708"/>
        <w:rPr>
          <w:rFonts w:eastAsia="Calibri" w:cs="Tahoma"/>
          <w:szCs w:val="24"/>
        </w:rPr>
      </w:pPr>
      <w:r w:rsidRPr="00C31D80">
        <w:rPr>
          <w:rFonts w:eastAsia="Calibri" w:cs="Tahoma"/>
          <w:szCs w:val="24"/>
        </w:rPr>
        <w:t xml:space="preserve">Importa resaltar que después de permanecer inactivo como cotizante entre febrero de 2013 y marzo de 2018, el actor comenzó a cotizar al sistema en calidad de trabajador independiente; última fecha que coincide con el dictamen emitido por Seguros </w:t>
      </w:r>
      <w:r w:rsidR="00C75BC8" w:rsidRPr="00C31D80">
        <w:rPr>
          <w:rFonts w:eastAsia="Calibri" w:cs="Tahoma"/>
          <w:szCs w:val="24"/>
        </w:rPr>
        <w:t xml:space="preserve">de </w:t>
      </w:r>
      <w:r w:rsidRPr="00C31D80">
        <w:rPr>
          <w:rFonts w:eastAsia="Calibri" w:cs="Tahoma"/>
          <w:szCs w:val="24"/>
        </w:rPr>
        <w:t>Vida Alfa S.A.  el 22 de marzo de 2018 y notificado al demandante el 23 del mismo mes y año, y en la que se determinó una pérdida de capacidad laboral del 52.63% teniendo como fecha de estructuración 17 de febrero de 2018.</w:t>
      </w:r>
    </w:p>
    <w:p w14:paraId="60411B13" w14:textId="77777777" w:rsidR="00FA18A4" w:rsidRPr="00C31D80" w:rsidRDefault="00FA18A4" w:rsidP="00C31D80">
      <w:pPr>
        <w:spacing w:line="276" w:lineRule="auto"/>
        <w:ind w:firstLine="708"/>
        <w:rPr>
          <w:rFonts w:eastAsia="Calibri" w:cs="Tahoma"/>
          <w:szCs w:val="24"/>
        </w:rPr>
      </w:pPr>
    </w:p>
    <w:p w14:paraId="3CB884BD" w14:textId="245118F1" w:rsidR="00FA18A4" w:rsidRPr="00C31D80" w:rsidRDefault="00FA18A4" w:rsidP="00C31D80">
      <w:pPr>
        <w:spacing w:line="276" w:lineRule="auto"/>
        <w:ind w:firstLine="708"/>
        <w:rPr>
          <w:rFonts w:eastAsia="Calibri" w:cs="Tahoma"/>
          <w:szCs w:val="24"/>
        </w:rPr>
      </w:pPr>
      <w:r w:rsidRPr="00C31D80">
        <w:rPr>
          <w:rFonts w:eastAsia="Calibri" w:cs="Tahoma"/>
          <w:szCs w:val="24"/>
        </w:rPr>
        <w:t xml:space="preserve">Asimismo, al revisar el recurso de apelación presentado por la parte actora contra el dictamen emitido por seguros alfa, en sus fundamentos fácticos -al igual que en el interrogatorio de parte- es claro </w:t>
      </w:r>
      <w:r w:rsidR="009A1F35" w:rsidRPr="00C31D80">
        <w:rPr>
          <w:rFonts w:eastAsia="Calibri" w:cs="Tahoma"/>
          <w:szCs w:val="24"/>
        </w:rPr>
        <w:t xml:space="preserve">en </w:t>
      </w:r>
      <w:r w:rsidRPr="00C31D80">
        <w:rPr>
          <w:rFonts w:eastAsia="Calibri" w:cs="Tahoma"/>
          <w:szCs w:val="24"/>
        </w:rPr>
        <w:t>exponer que dejó de laborar desde el año 2012, cuando perdió su capacidad laboral, sin que hubiera podido ejercer labor alguna.</w:t>
      </w:r>
    </w:p>
    <w:p w14:paraId="0DC92287" w14:textId="77777777" w:rsidR="00FA18A4" w:rsidRPr="00C31D80" w:rsidRDefault="00FA18A4" w:rsidP="00C31D80">
      <w:pPr>
        <w:spacing w:line="276" w:lineRule="auto"/>
        <w:ind w:firstLine="708"/>
        <w:rPr>
          <w:rFonts w:eastAsia="Calibri" w:cs="Tahoma"/>
          <w:szCs w:val="24"/>
        </w:rPr>
      </w:pPr>
    </w:p>
    <w:p w14:paraId="783E3CAD" w14:textId="0A976524" w:rsidR="0037747F" w:rsidRPr="00C31D80" w:rsidRDefault="00FA18A4" w:rsidP="00C31D80">
      <w:pPr>
        <w:spacing w:line="276" w:lineRule="auto"/>
        <w:ind w:firstLine="708"/>
        <w:rPr>
          <w:rFonts w:eastAsia="Calibri" w:cs="Tahoma"/>
          <w:szCs w:val="24"/>
        </w:rPr>
      </w:pPr>
      <w:r w:rsidRPr="00C31D80">
        <w:rPr>
          <w:rFonts w:eastAsia="Calibri" w:cs="Tahoma"/>
          <w:szCs w:val="24"/>
        </w:rPr>
        <w:t xml:space="preserve">Lo anterior resultaba suficiente para concluir </w:t>
      </w:r>
      <w:r w:rsidR="006B04AA" w:rsidRPr="00C31D80">
        <w:rPr>
          <w:rFonts w:eastAsia="Calibri" w:cs="Tahoma"/>
          <w:szCs w:val="24"/>
        </w:rPr>
        <w:t>que no e</w:t>
      </w:r>
      <w:r w:rsidRPr="00C31D80">
        <w:rPr>
          <w:rFonts w:eastAsia="Calibri" w:cs="Tahoma"/>
          <w:szCs w:val="24"/>
        </w:rPr>
        <w:t>ra</w:t>
      </w:r>
      <w:r w:rsidR="006B04AA" w:rsidRPr="00C31D80">
        <w:rPr>
          <w:rFonts w:eastAsia="Calibri" w:cs="Tahoma"/>
          <w:szCs w:val="24"/>
        </w:rPr>
        <w:t xml:space="preserve"> factible computar las semanas que aparecen en la historia laboral del actor a partir del </w:t>
      </w:r>
      <w:r w:rsidR="0037747F" w:rsidRPr="00C31D80">
        <w:rPr>
          <w:rFonts w:eastAsia="Calibri" w:cs="Tahoma"/>
          <w:szCs w:val="24"/>
        </w:rPr>
        <w:t>1</w:t>
      </w:r>
      <w:r w:rsidR="006B04AA" w:rsidRPr="00C31D80">
        <w:rPr>
          <w:rFonts w:eastAsia="Calibri" w:cs="Tahoma"/>
          <w:szCs w:val="24"/>
        </w:rPr>
        <w:t>º d</w:t>
      </w:r>
      <w:r w:rsidR="0037747F" w:rsidRPr="00C31D80">
        <w:rPr>
          <w:rFonts w:eastAsia="Calibri" w:cs="Tahoma"/>
          <w:szCs w:val="24"/>
        </w:rPr>
        <w:t>e abril 2018, pues</w:t>
      </w:r>
      <w:r w:rsidRPr="00C31D80">
        <w:rPr>
          <w:rFonts w:eastAsia="Calibri" w:cs="Tahoma"/>
          <w:szCs w:val="24"/>
        </w:rPr>
        <w:t xml:space="preserve"> a juicio de esta colegiatura</w:t>
      </w:r>
      <w:r w:rsidR="0037747F" w:rsidRPr="00C31D80">
        <w:rPr>
          <w:rFonts w:eastAsia="Calibri" w:cs="Tahoma"/>
          <w:szCs w:val="24"/>
        </w:rPr>
        <w:t xml:space="preserve"> </w:t>
      </w:r>
      <w:r w:rsidR="006B04AA" w:rsidRPr="00C31D80">
        <w:rPr>
          <w:rFonts w:eastAsia="Calibri" w:cs="Tahoma"/>
          <w:szCs w:val="24"/>
        </w:rPr>
        <w:t>no</w:t>
      </w:r>
      <w:r w:rsidR="0037747F" w:rsidRPr="00C31D80">
        <w:rPr>
          <w:rFonts w:eastAsia="Calibri" w:cs="Tahoma"/>
          <w:szCs w:val="24"/>
        </w:rPr>
        <w:t xml:space="preserve"> corresponde</w:t>
      </w:r>
      <w:r w:rsidRPr="00C31D80">
        <w:rPr>
          <w:rFonts w:eastAsia="Calibri" w:cs="Tahoma"/>
          <w:szCs w:val="24"/>
        </w:rPr>
        <w:t>n</w:t>
      </w:r>
      <w:r w:rsidR="0037747F" w:rsidRPr="00C31D80">
        <w:rPr>
          <w:rFonts w:eastAsia="Calibri" w:cs="Tahoma"/>
          <w:szCs w:val="24"/>
        </w:rPr>
        <w:t xml:space="preserve"> al ejercicio efectivo de una actividad laboral en virtud de la capacidad de trabajo residual</w:t>
      </w:r>
      <w:r w:rsidR="009A1F35" w:rsidRPr="00C31D80">
        <w:rPr>
          <w:rFonts w:eastAsia="Calibri" w:cs="Tahoma"/>
          <w:szCs w:val="24"/>
        </w:rPr>
        <w:t>.</w:t>
      </w:r>
      <w:r w:rsidR="006B04AA" w:rsidRPr="00C31D80">
        <w:rPr>
          <w:rFonts w:eastAsia="Calibri" w:cs="Tahoma"/>
          <w:szCs w:val="24"/>
        </w:rPr>
        <w:t xml:space="preserve"> </w:t>
      </w:r>
    </w:p>
    <w:p w14:paraId="06AABC6D" w14:textId="77777777" w:rsidR="0037747F" w:rsidRPr="00C31D80" w:rsidRDefault="0037747F" w:rsidP="00C31D80">
      <w:pPr>
        <w:spacing w:line="276" w:lineRule="auto"/>
        <w:ind w:firstLine="708"/>
        <w:rPr>
          <w:rFonts w:eastAsia="Calibri" w:cs="Tahoma"/>
          <w:szCs w:val="24"/>
        </w:rPr>
      </w:pPr>
    </w:p>
    <w:p w14:paraId="5F0B5393" w14:textId="5492B8C9" w:rsidR="00620181" w:rsidRPr="00C31D80" w:rsidRDefault="0037747F" w:rsidP="00C31D80">
      <w:pPr>
        <w:spacing w:line="276" w:lineRule="auto"/>
        <w:ind w:firstLine="708"/>
        <w:rPr>
          <w:rFonts w:eastAsia="Calibri" w:cs="Tahoma"/>
          <w:szCs w:val="24"/>
        </w:rPr>
      </w:pPr>
      <w:r w:rsidRPr="00C31D80">
        <w:rPr>
          <w:rFonts w:eastAsia="Calibri" w:cs="Tahoma"/>
          <w:szCs w:val="24"/>
        </w:rPr>
        <w:t>Igualmente, e</w:t>
      </w:r>
      <w:r w:rsidR="00620181" w:rsidRPr="00C31D80">
        <w:rPr>
          <w:rFonts w:eastAsia="Calibri" w:cs="Tahoma"/>
          <w:szCs w:val="24"/>
        </w:rPr>
        <w:t>s de resaltar que e</w:t>
      </w:r>
      <w:r w:rsidRPr="00C31D80">
        <w:rPr>
          <w:rFonts w:eastAsia="Calibri" w:cs="Tahoma"/>
          <w:szCs w:val="24"/>
        </w:rPr>
        <w:t>n el escrito de tutela interpuesto por el demandante el día 22 de junio de 2018</w:t>
      </w:r>
      <w:r w:rsidR="00620181" w:rsidRPr="00C31D80">
        <w:rPr>
          <w:rFonts w:eastAsia="Calibri" w:cs="Tahoma"/>
          <w:szCs w:val="24"/>
        </w:rPr>
        <w:t>,</w:t>
      </w:r>
      <w:r w:rsidRPr="00C31D80">
        <w:rPr>
          <w:rFonts w:eastAsia="Calibri" w:cs="Tahoma"/>
          <w:szCs w:val="24"/>
        </w:rPr>
        <w:t xml:space="preserve"> asignado el Juzgado Tercero Civil Del Circuito De Armenia Quindío</w:t>
      </w:r>
      <w:r w:rsidR="00620181" w:rsidRPr="00C31D80">
        <w:rPr>
          <w:rFonts w:eastAsia="Calibri" w:cs="Tahoma"/>
          <w:szCs w:val="24"/>
        </w:rPr>
        <w:t>,</w:t>
      </w:r>
      <w:r w:rsidRPr="00C31D80">
        <w:rPr>
          <w:rFonts w:eastAsia="Calibri" w:cs="Tahoma"/>
          <w:szCs w:val="24"/>
        </w:rPr>
        <w:t xml:space="preserve"> y en la que se pretendía el pago de varias de incapacidades</w:t>
      </w:r>
      <w:r w:rsidR="00620181" w:rsidRPr="00C31D80">
        <w:rPr>
          <w:rFonts w:eastAsia="Calibri" w:cs="Tahoma"/>
          <w:szCs w:val="24"/>
        </w:rPr>
        <w:t>,</w:t>
      </w:r>
      <w:r w:rsidRPr="00C31D80">
        <w:rPr>
          <w:rFonts w:eastAsia="Calibri" w:cs="Tahoma"/>
          <w:szCs w:val="24"/>
        </w:rPr>
        <w:t xml:space="preserve"> narró que no labora</w:t>
      </w:r>
      <w:r w:rsidR="00620181" w:rsidRPr="00C31D80">
        <w:rPr>
          <w:rFonts w:eastAsia="Calibri" w:cs="Tahoma"/>
          <w:szCs w:val="24"/>
        </w:rPr>
        <w:t xml:space="preserve"> y</w:t>
      </w:r>
      <w:r w:rsidRPr="00C31D80">
        <w:rPr>
          <w:rFonts w:eastAsia="Calibri" w:cs="Tahoma"/>
          <w:szCs w:val="24"/>
        </w:rPr>
        <w:t xml:space="preserve"> no recibe emolumento alguno, que depende económicamente de la </w:t>
      </w:r>
      <w:r w:rsidRPr="00C31D80">
        <w:rPr>
          <w:rFonts w:eastAsia="Calibri" w:cs="Tahoma"/>
          <w:szCs w:val="24"/>
        </w:rPr>
        <w:lastRenderedPageBreak/>
        <w:t>ayuda de sus familiares y que realizó el pago de los aportes al sistema general de salud  de los dineros que recibe su madre la señora Carlota Quiñones Bustos, la cual es pensionada</w:t>
      </w:r>
      <w:r w:rsidR="00620181" w:rsidRPr="00C31D80">
        <w:rPr>
          <w:rFonts w:eastAsia="Calibri" w:cs="Tahoma"/>
          <w:szCs w:val="24"/>
        </w:rPr>
        <w:t>, allegando, c</w:t>
      </w:r>
      <w:r w:rsidRPr="00C31D80">
        <w:rPr>
          <w:rFonts w:eastAsia="Calibri" w:cs="Tahoma"/>
          <w:szCs w:val="24"/>
        </w:rPr>
        <w:t>omo sustento de dicha manifestación declaración extra juicio del 15 de mayo de 2017 de la señora Carlota Quiñonez Bustos, quien en su calidad de madre del demandante señaló que ella vela por este desde el año 201</w:t>
      </w:r>
      <w:r w:rsidR="00620181" w:rsidRPr="00C31D80">
        <w:rPr>
          <w:rFonts w:eastAsia="Calibri" w:cs="Tahoma"/>
          <w:szCs w:val="24"/>
        </w:rPr>
        <w:t xml:space="preserve">3. </w:t>
      </w:r>
      <w:r w:rsidRPr="00C31D80">
        <w:rPr>
          <w:rFonts w:eastAsia="Calibri" w:cs="Tahoma"/>
          <w:szCs w:val="24"/>
        </w:rPr>
        <w:t>Sumado a lo anterior, también obra declaración extra juicio de la misma fecha rendida por el demandante y en la que señala que depende 100% de su madre, que vela por sus datos manutención, gastos de vivienda y personales desde 2013</w:t>
      </w:r>
      <w:r w:rsidR="00620181" w:rsidRPr="00C31D80">
        <w:rPr>
          <w:rFonts w:eastAsia="Calibri" w:cs="Tahoma"/>
          <w:szCs w:val="24"/>
        </w:rPr>
        <w:t>.</w:t>
      </w:r>
    </w:p>
    <w:p w14:paraId="50920E29" w14:textId="77777777" w:rsidR="0037747F" w:rsidRPr="00C31D80" w:rsidRDefault="0037747F" w:rsidP="00C31D80">
      <w:pPr>
        <w:widowControl w:val="0"/>
        <w:autoSpaceDE w:val="0"/>
        <w:autoSpaceDN w:val="0"/>
        <w:adjustRightInd w:val="0"/>
        <w:spacing w:line="276" w:lineRule="auto"/>
        <w:ind w:firstLine="708"/>
        <w:rPr>
          <w:rStyle w:val="normaltextrun"/>
          <w:rFonts w:cs="Tahoma"/>
          <w:b/>
          <w:szCs w:val="24"/>
        </w:rPr>
      </w:pPr>
    </w:p>
    <w:p w14:paraId="0E3619FB" w14:textId="5A8206A8" w:rsidR="0037747F" w:rsidRPr="00C31D80" w:rsidRDefault="00FA18A4" w:rsidP="00C31D80">
      <w:pPr>
        <w:widowControl w:val="0"/>
        <w:autoSpaceDE w:val="0"/>
        <w:autoSpaceDN w:val="0"/>
        <w:adjustRightInd w:val="0"/>
        <w:spacing w:line="276" w:lineRule="auto"/>
        <w:ind w:firstLine="708"/>
        <w:rPr>
          <w:rFonts w:eastAsia="Tahoma" w:cs="Tahoma"/>
          <w:szCs w:val="24"/>
        </w:rPr>
      </w:pPr>
      <w:r w:rsidRPr="00C31D80">
        <w:rPr>
          <w:rStyle w:val="normaltextrun"/>
          <w:rFonts w:cs="Tahoma"/>
          <w:szCs w:val="24"/>
        </w:rPr>
        <w:t xml:space="preserve">Lo hasta aquí expuesto conlleva a la inminente confirmación de la providencia objeto de alzada. </w:t>
      </w:r>
      <w:r w:rsidR="0037747F" w:rsidRPr="00C31D80">
        <w:rPr>
          <w:rFonts w:cs="Tahoma"/>
          <w:szCs w:val="24"/>
        </w:rPr>
        <w:t xml:space="preserve">Las costas </w:t>
      </w:r>
      <w:r w:rsidR="00620181" w:rsidRPr="00C31D80">
        <w:rPr>
          <w:rFonts w:cs="Tahoma"/>
          <w:szCs w:val="24"/>
        </w:rPr>
        <w:t>de segunda instancia correrán a cargo de la parte demandante y a favor de la demandada en un 100%</w:t>
      </w:r>
      <w:r w:rsidR="0037747F" w:rsidRPr="00C31D80">
        <w:rPr>
          <w:rFonts w:eastAsia="Tahoma" w:cs="Tahoma"/>
          <w:szCs w:val="24"/>
        </w:rPr>
        <w:t xml:space="preserve">. </w:t>
      </w:r>
      <w:r w:rsidR="00620181" w:rsidRPr="00C31D80">
        <w:rPr>
          <w:rFonts w:eastAsia="Tahoma" w:cs="Tahoma"/>
          <w:szCs w:val="24"/>
        </w:rPr>
        <w:t xml:space="preserve">Liquídense por la secretaría del </w:t>
      </w:r>
      <w:r w:rsidR="009A1F35" w:rsidRPr="00C31D80">
        <w:rPr>
          <w:rFonts w:eastAsia="Tahoma" w:cs="Tahoma"/>
          <w:szCs w:val="24"/>
        </w:rPr>
        <w:t>juzgado</w:t>
      </w:r>
      <w:r w:rsidR="00620181" w:rsidRPr="00C31D80">
        <w:rPr>
          <w:rFonts w:eastAsia="Tahoma" w:cs="Tahoma"/>
          <w:szCs w:val="24"/>
        </w:rPr>
        <w:t xml:space="preserve"> de origen.</w:t>
      </w:r>
    </w:p>
    <w:p w14:paraId="4C8F78EA" w14:textId="77777777" w:rsidR="0037747F" w:rsidRPr="00C31D80" w:rsidRDefault="0037747F" w:rsidP="00C31D80">
      <w:pPr>
        <w:spacing w:line="276" w:lineRule="auto"/>
        <w:ind w:firstLine="708"/>
        <w:rPr>
          <w:rFonts w:eastAsia="Tahoma" w:cs="Tahoma"/>
          <w:szCs w:val="24"/>
        </w:rPr>
      </w:pPr>
    </w:p>
    <w:p w14:paraId="371E94D5" w14:textId="4FD68064" w:rsidR="0037747F" w:rsidRPr="00C31D80" w:rsidRDefault="0037747F" w:rsidP="00C31D80">
      <w:pPr>
        <w:spacing w:line="276" w:lineRule="auto"/>
        <w:ind w:firstLine="644"/>
        <w:contextualSpacing/>
        <w:rPr>
          <w:rFonts w:eastAsia="Times New Roman" w:cs="Tahoma"/>
          <w:szCs w:val="24"/>
        </w:rPr>
      </w:pPr>
      <w:r w:rsidRPr="00C31D80">
        <w:rPr>
          <w:rFonts w:eastAsia="Times New Roman" w:cs="Tahoma"/>
          <w:szCs w:val="24"/>
        </w:rPr>
        <w:t xml:space="preserve">En mérito de lo expuesto, el </w:t>
      </w:r>
      <w:r w:rsidRPr="00C31D80">
        <w:rPr>
          <w:rFonts w:eastAsia="Times New Roman" w:cs="Tahoma"/>
          <w:b/>
          <w:szCs w:val="24"/>
        </w:rPr>
        <w:t xml:space="preserve">Tribunal Superior del Distrito Judicial de Pereira </w:t>
      </w:r>
      <w:r w:rsidR="007C0E69">
        <w:rPr>
          <w:rFonts w:eastAsia="Times New Roman" w:cs="Tahoma"/>
          <w:b/>
          <w:szCs w:val="24"/>
        </w:rPr>
        <w:t>–</w:t>
      </w:r>
      <w:r w:rsidRPr="00C31D80">
        <w:rPr>
          <w:rFonts w:eastAsia="Times New Roman" w:cs="Tahoma"/>
          <w:b/>
          <w:szCs w:val="24"/>
        </w:rPr>
        <w:t xml:space="preserve"> Risaralda, Sala Primera de Decisión Laboral,</w:t>
      </w:r>
      <w:r w:rsidRPr="00C31D80">
        <w:rPr>
          <w:rFonts w:eastAsia="Times New Roman" w:cs="Tahoma"/>
          <w:szCs w:val="24"/>
        </w:rPr>
        <w:t xml:space="preserve"> administrando justicia en nombre de la República y por autoridad de la ley,</w:t>
      </w:r>
    </w:p>
    <w:p w14:paraId="2B407178" w14:textId="77777777" w:rsidR="0037747F" w:rsidRPr="00C31D80" w:rsidRDefault="0037747F" w:rsidP="00C31D80">
      <w:pPr>
        <w:spacing w:line="276" w:lineRule="auto"/>
        <w:ind w:firstLine="644"/>
        <w:contextualSpacing/>
        <w:rPr>
          <w:rFonts w:eastAsia="Times New Roman" w:cs="Tahoma"/>
          <w:szCs w:val="24"/>
        </w:rPr>
      </w:pPr>
    </w:p>
    <w:p w14:paraId="624DC403" w14:textId="77777777" w:rsidR="0037747F" w:rsidRPr="00C31D80" w:rsidRDefault="0037747F" w:rsidP="00C31D80">
      <w:pPr>
        <w:spacing w:line="276" w:lineRule="auto"/>
        <w:ind w:firstLine="709"/>
        <w:jc w:val="center"/>
        <w:rPr>
          <w:rFonts w:cs="Tahoma"/>
          <w:b/>
          <w:szCs w:val="24"/>
        </w:rPr>
      </w:pPr>
      <w:r w:rsidRPr="00C31D80">
        <w:rPr>
          <w:rFonts w:cs="Tahoma"/>
          <w:b/>
          <w:szCs w:val="24"/>
        </w:rPr>
        <w:t>RESUELVE</w:t>
      </w:r>
    </w:p>
    <w:p w14:paraId="3D4C596B" w14:textId="77777777" w:rsidR="0037747F" w:rsidRPr="00C31D80" w:rsidRDefault="0037747F" w:rsidP="00C31D80">
      <w:pPr>
        <w:widowControl w:val="0"/>
        <w:autoSpaceDE w:val="0"/>
        <w:autoSpaceDN w:val="0"/>
        <w:adjustRightInd w:val="0"/>
        <w:spacing w:line="276" w:lineRule="auto"/>
        <w:rPr>
          <w:rFonts w:cs="Tahoma"/>
          <w:b/>
          <w:szCs w:val="24"/>
        </w:rPr>
      </w:pPr>
    </w:p>
    <w:p w14:paraId="350F2D72" w14:textId="77777777" w:rsidR="0037747F" w:rsidRPr="00C31D80" w:rsidRDefault="0037747F" w:rsidP="00C31D80">
      <w:pPr>
        <w:spacing w:line="276" w:lineRule="auto"/>
        <w:ind w:firstLine="708"/>
        <w:rPr>
          <w:rFonts w:eastAsia="Tahoma" w:cs="Tahoma"/>
          <w:szCs w:val="24"/>
        </w:rPr>
      </w:pPr>
      <w:r w:rsidRPr="00C31D80">
        <w:rPr>
          <w:rFonts w:eastAsia="Tahoma" w:cs="Tahoma"/>
          <w:b/>
          <w:bCs/>
          <w:szCs w:val="24"/>
          <w:lang w:eastAsia="es-ES"/>
        </w:rPr>
        <w:t>PRIMERO</w:t>
      </w:r>
      <w:r w:rsidRPr="00C31D80">
        <w:rPr>
          <w:rFonts w:eastAsia="Tahoma" w:cs="Tahoma"/>
          <w:szCs w:val="24"/>
          <w:lang w:eastAsia="es-ES"/>
        </w:rPr>
        <w:t>: </w:t>
      </w:r>
      <w:r w:rsidR="00620181" w:rsidRPr="00C31D80">
        <w:rPr>
          <w:rFonts w:eastAsia="Tahoma" w:cs="Tahoma"/>
          <w:b/>
          <w:bCs/>
          <w:szCs w:val="24"/>
        </w:rPr>
        <w:t>CONFIRMAR</w:t>
      </w:r>
      <w:r w:rsidRPr="00C31D80">
        <w:rPr>
          <w:rFonts w:eastAsia="Tahoma" w:cs="Tahoma"/>
          <w:b/>
          <w:bCs/>
          <w:szCs w:val="24"/>
        </w:rPr>
        <w:t xml:space="preserve"> </w:t>
      </w:r>
      <w:r w:rsidRPr="00C31D80">
        <w:rPr>
          <w:rFonts w:eastAsia="Tahoma" w:cs="Tahoma"/>
          <w:bCs/>
          <w:szCs w:val="24"/>
        </w:rPr>
        <w:t xml:space="preserve">la sentencia proferida en primera instancia, por parte del Juzgado </w:t>
      </w:r>
      <w:r w:rsidR="0093289D" w:rsidRPr="00C31D80">
        <w:rPr>
          <w:rFonts w:eastAsia="Tahoma" w:cs="Tahoma"/>
          <w:bCs/>
          <w:szCs w:val="24"/>
        </w:rPr>
        <w:t>Cuart</w:t>
      </w:r>
      <w:r w:rsidRPr="00C31D80">
        <w:rPr>
          <w:rFonts w:eastAsia="Tahoma" w:cs="Tahoma"/>
          <w:bCs/>
          <w:szCs w:val="24"/>
        </w:rPr>
        <w:t>o Laboral d</w:t>
      </w:r>
      <w:r w:rsidRPr="00C31D80">
        <w:rPr>
          <w:rFonts w:eastAsia="Tahoma" w:cs="Tahoma"/>
          <w:szCs w:val="24"/>
        </w:rPr>
        <w:t xml:space="preserve">el Circuito de Pereira. </w:t>
      </w:r>
    </w:p>
    <w:p w14:paraId="224F4482" w14:textId="77777777" w:rsidR="0037747F" w:rsidRPr="00C31D80" w:rsidRDefault="0037747F" w:rsidP="00C31D80">
      <w:pPr>
        <w:spacing w:line="276" w:lineRule="auto"/>
        <w:ind w:firstLine="708"/>
        <w:rPr>
          <w:rFonts w:eastAsia="Tahoma" w:cs="Tahoma"/>
          <w:szCs w:val="24"/>
        </w:rPr>
      </w:pPr>
    </w:p>
    <w:p w14:paraId="5603FDC0" w14:textId="77777777" w:rsidR="0037747F" w:rsidRPr="00C31D80" w:rsidRDefault="0037747F" w:rsidP="00C31D80">
      <w:pPr>
        <w:spacing w:line="276" w:lineRule="auto"/>
        <w:ind w:firstLine="708"/>
        <w:rPr>
          <w:rFonts w:eastAsia="Tahoma" w:cs="Tahoma"/>
          <w:b/>
          <w:szCs w:val="24"/>
        </w:rPr>
      </w:pPr>
      <w:r w:rsidRPr="00C31D80">
        <w:rPr>
          <w:rFonts w:eastAsia="Tahoma" w:cs="Tahoma"/>
          <w:b/>
          <w:szCs w:val="24"/>
        </w:rPr>
        <w:t xml:space="preserve">SEGUNDO: </w:t>
      </w:r>
      <w:r w:rsidR="00C14860" w:rsidRPr="00C31D80">
        <w:rPr>
          <w:rFonts w:eastAsia="Tahoma" w:cs="Tahoma"/>
          <w:b/>
          <w:szCs w:val="24"/>
        </w:rPr>
        <w:t xml:space="preserve">CONDENAR </w:t>
      </w:r>
      <w:r w:rsidR="00C14860" w:rsidRPr="00C31D80">
        <w:rPr>
          <w:rFonts w:eastAsia="Tahoma" w:cs="Tahoma"/>
          <w:szCs w:val="24"/>
        </w:rPr>
        <w:t>en costas procesales a la parte actora y en favor de la demandada en un 100%. Liquídense por la secretaría del Juzgado de origen</w:t>
      </w:r>
      <w:r w:rsidRPr="00C31D80">
        <w:rPr>
          <w:rFonts w:eastAsia="Tahoma" w:cs="Tahoma"/>
          <w:szCs w:val="24"/>
        </w:rPr>
        <w:t xml:space="preserve"> </w:t>
      </w:r>
    </w:p>
    <w:p w14:paraId="722A9660" w14:textId="77777777" w:rsidR="0037747F" w:rsidRPr="00C31D80" w:rsidRDefault="0037747F" w:rsidP="00C31D80">
      <w:pPr>
        <w:widowControl w:val="0"/>
        <w:autoSpaceDE w:val="0"/>
        <w:autoSpaceDN w:val="0"/>
        <w:adjustRightInd w:val="0"/>
        <w:spacing w:line="276" w:lineRule="auto"/>
        <w:ind w:firstLine="708"/>
        <w:rPr>
          <w:rStyle w:val="normaltextrun"/>
          <w:rFonts w:cs="Tahoma"/>
          <w:b/>
          <w:szCs w:val="24"/>
        </w:rPr>
      </w:pPr>
    </w:p>
    <w:p w14:paraId="66D7C2BB" w14:textId="77777777" w:rsidR="0037747F" w:rsidRPr="00C31D80" w:rsidRDefault="0037747F" w:rsidP="00C31D80">
      <w:pPr>
        <w:spacing w:line="276" w:lineRule="auto"/>
        <w:ind w:firstLine="708"/>
        <w:jc w:val="center"/>
        <w:rPr>
          <w:rFonts w:eastAsia="Times New Roman" w:cs="Tahoma"/>
          <w:b/>
          <w:color w:val="000000"/>
          <w:szCs w:val="24"/>
          <w:lang w:eastAsia="es-CO"/>
        </w:rPr>
      </w:pPr>
      <w:r w:rsidRPr="00C31D80">
        <w:rPr>
          <w:rFonts w:eastAsia="Times New Roman" w:cs="Tahoma"/>
          <w:b/>
          <w:color w:val="000000"/>
          <w:szCs w:val="24"/>
          <w:lang w:eastAsia="es-CO"/>
        </w:rPr>
        <w:t>NOTIFÍQUESE Y CÚMPLASE</w:t>
      </w:r>
    </w:p>
    <w:p w14:paraId="7E566276" w14:textId="77777777" w:rsidR="0037747F" w:rsidRPr="00C31D80" w:rsidRDefault="0037747F" w:rsidP="00C31D80">
      <w:pPr>
        <w:spacing w:line="276" w:lineRule="auto"/>
        <w:ind w:firstLine="708"/>
        <w:jc w:val="center"/>
        <w:rPr>
          <w:rFonts w:eastAsia="Times New Roman" w:cs="Tahoma"/>
          <w:b/>
          <w:color w:val="000000"/>
          <w:szCs w:val="24"/>
          <w:lang w:eastAsia="es-CO"/>
        </w:rPr>
      </w:pPr>
    </w:p>
    <w:p w14:paraId="6930E761" w14:textId="77777777" w:rsidR="00C31D80" w:rsidRPr="00C31D80" w:rsidRDefault="00C31D80" w:rsidP="00C31D80">
      <w:pPr>
        <w:widowControl w:val="0"/>
        <w:autoSpaceDE w:val="0"/>
        <w:autoSpaceDN w:val="0"/>
        <w:adjustRightInd w:val="0"/>
        <w:spacing w:line="240" w:lineRule="auto"/>
        <w:rPr>
          <w:rFonts w:eastAsia="Times New Roman" w:cs="Tahoma"/>
          <w:szCs w:val="24"/>
          <w:lang w:eastAsia="es-ES"/>
        </w:rPr>
      </w:pPr>
      <w:r w:rsidRPr="00C31D80">
        <w:rPr>
          <w:rFonts w:eastAsia="Times New Roman" w:cs="Tahoma"/>
          <w:szCs w:val="24"/>
          <w:lang w:eastAsia="es-ES"/>
        </w:rPr>
        <w:tab/>
        <w:t>La Magistrada ponente,</w:t>
      </w:r>
    </w:p>
    <w:p w14:paraId="14296D7A" w14:textId="77777777" w:rsidR="00C31D80" w:rsidRPr="00C31D80" w:rsidRDefault="00C31D80" w:rsidP="00C31D80">
      <w:pPr>
        <w:spacing w:line="240" w:lineRule="auto"/>
        <w:jc w:val="left"/>
        <w:rPr>
          <w:rFonts w:eastAsia="Times New Roman" w:cs="Tahoma"/>
          <w:szCs w:val="24"/>
          <w:lang w:eastAsia="es-ES"/>
        </w:rPr>
      </w:pPr>
    </w:p>
    <w:p w14:paraId="145990C1" w14:textId="77777777" w:rsidR="00C31D80" w:rsidRPr="00C31D80" w:rsidRDefault="00C31D80" w:rsidP="00C31D80">
      <w:pPr>
        <w:spacing w:line="240" w:lineRule="auto"/>
        <w:jc w:val="left"/>
        <w:rPr>
          <w:rFonts w:eastAsia="Times New Roman" w:cs="Tahoma"/>
          <w:szCs w:val="24"/>
          <w:lang w:eastAsia="es-ES"/>
        </w:rPr>
      </w:pPr>
    </w:p>
    <w:p w14:paraId="4B12EEC4" w14:textId="5B01818E" w:rsidR="00C31D80" w:rsidRDefault="00C31D80" w:rsidP="00C31D80">
      <w:pPr>
        <w:spacing w:line="240" w:lineRule="auto"/>
        <w:jc w:val="left"/>
        <w:rPr>
          <w:rFonts w:eastAsia="Times New Roman" w:cs="Tahoma"/>
          <w:szCs w:val="24"/>
          <w:lang w:eastAsia="es-ES"/>
        </w:rPr>
      </w:pPr>
    </w:p>
    <w:p w14:paraId="63D4132E" w14:textId="77777777" w:rsidR="0008277A" w:rsidRPr="00C31D80" w:rsidRDefault="0008277A" w:rsidP="00C31D80">
      <w:pPr>
        <w:spacing w:line="240" w:lineRule="auto"/>
        <w:jc w:val="left"/>
        <w:rPr>
          <w:rFonts w:eastAsia="Times New Roman" w:cs="Tahoma"/>
          <w:szCs w:val="24"/>
          <w:lang w:eastAsia="es-ES"/>
        </w:rPr>
      </w:pPr>
    </w:p>
    <w:p w14:paraId="3A3798A3" w14:textId="77777777" w:rsidR="00C31D80" w:rsidRPr="00C31D80" w:rsidRDefault="00C31D80" w:rsidP="00C31D80">
      <w:pPr>
        <w:keepNext/>
        <w:spacing w:line="240" w:lineRule="auto"/>
        <w:jc w:val="center"/>
        <w:outlineLvl w:val="2"/>
        <w:rPr>
          <w:rFonts w:eastAsia="Times New Roman" w:cs="Tahoma"/>
          <w:b/>
          <w:bCs/>
          <w:szCs w:val="24"/>
          <w:lang w:eastAsia="es-ES"/>
        </w:rPr>
      </w:pPr>
      <w:r w:rsidRPr="00C31D80">
        <w:rPr>
          <w:rFonts w:eastAsia="Times New Roman" w:cs="Tahoma"/>
          <w:b/>
          <w:bCs/>
          <w:szCs w:val="24"/>
          <w:lang w:eastAsia="es-ES"/>
        </w:rPr>
        <w:t>ANA LUCÍA CAICEDO CALDERÓN</w:t>
      </w:r>
    </w:p>
    <w:p w14:paraId="01E76F53" w14:textId="77777777" w:rsidR="00C31D80" w:rsidRPr="00C31D80" w:rsidRDefault="00C31D80" w:rsidP="00C31D80">
      <w:pPr>
        <w:spacing w:line="240" w:lineRule="auto"/>
        <w:jc w:val="left"/>
        <w:rPr>
          <w:rFonts w:eastAsia="Times New Roman" w:cs="Tahoma"/>
          <w:szCs w:val="24"/>
          <w:lang w:eastAsia="es-ES"/>
        </w:rPr>
      </w:pPr>
    </w:p>
    <w:p w14:paraId="26A668EB" w14:textId="77777777" w:rsidR="00C31D80" w:rsidRPr="00C31D80" w:rsidRDefault="00C31D80" w:rsidP="00C31D80">
      <w:pPr>
        <w:spacing w:line="240" w:lineRule="auto"/>
        <w:ind w:firstLine="708"/>
        <w:jc w:val="left"/>
        <w:rPr>
          <w:rFonts w:eastAsia="Times New Roman" w:cs="Tahoma"/>
          <w:szCs w:val="24"/>
          <w:lang w:eastAsia="es-ES"/>
        </w:rPr>
      </w:pPr>
      <w:bookmarkStart w:id="3" w:name="_Hlk62478330"/>
      <w:r w:rsidRPr="00C31D80">
        <w:rPr>
          <w:rFonts w:eastAsia="Times New Roman" w:cs="Tahoma"/>
          <w:szCs w:val="24"/>
          <w:lang w:eastAsia="es-ES"/>
        </w:rPr>
        <w:t>La Magistrada y el Magistrado,</w:t>
      </w:r>
    </w:p>
    <w:p w14:paraId="5913C7D4" w14:textId="59F0A972" w:rsidR="00C31D80" w:rsidRDefault="00C31D80" w:rsidP="00C31D80">
      <w:pPr>
        <w:spacing w:line="240" w:lineRule="auto"/>
        <w:jc w:val="left"/>
        <w:rPr>
          <w:rFonts w:eastAsia="Times New Roman" w:cs="Tahoma"/>
          <w:szCs w:val="24"/>
          <w:lang w:eastAsia="es-ES"/>
        </w:rPr>
      </w:pPr>
    </w:p>
    <w:p w14:paraId="00A15D2C" w14:textId="77777777" w:rsidR="0008277A" w:rsidRPr="00C31D80" w:rsidRDefault="0008277A" w:rsidP="00C31D80">
      <w:pPr>
        <w:spacing w:line="240" w:lineRule="auto"/>
        <w:jc w:val="left"/>
        <w:rPr>
          <w:rFonts w:eastAsia="Times New Roman" w:cs="Tahoma"/>
          <w:szCs w:val="24"/>
          <w:lang w:eastAsia="es-ES"/>
        </w:rPr>
      </w:pPr>
    </w:p>
    <w:p w14:paraId="66E5F34B" w14:textId="77777777" w:rsidR="00C31D80" w:rsidRPr="00C31D80" w:rsidRDefault="00C31D80" w:rsidP="00C31D80">
      <w:pPr>
        <w:spacing w:line="240" w:lineRule="auto"/>
        <w:jc w:val="left"/>
        <w:rPr>
          <w:rFonts w:eastAsia="Times New Roman" w:cs="Tahoma"/>
          <w:szCs w:val="24"/>
          <w:lang w:eastAsia="es-ES"/>
        </w:rPr>
      </w:pPr>
    </w:p>
    <w:p w14:paraId="1EB377F0" w14:textId="77777777" w:rsidR="00C31D80" w:rsidRPr="00C31D80" w:rsidRDefault="00C31D80" w:rsidP="00C31D80">
      <w:pPr>
        <w:spacing w:line="240" w:lineRule="auto"/>
        <w:jc w:val="left"/>
        <w:rPr>
          <w:rFonts w:eastAsia="Times New Roman" w:cs="Tahoma"/>
          <w:szCs w:val="24"/>
          <w:lang w:eastAsia="es-ES"/>
        </w:rPr>
      </w:pPr>
    </w:p>
    <w:p w14:paraId="02FCFE04" w14:textId="1A6E5E6E" w:rsidR="00153BD0" w:rsidRPr="00153BD0" w:rsidRDefault="00C31D80" w:rsidP="00C31D80">
      <w:pPr>
        <w:rPr>
          <w:rStyle w:val="normaltextrun"/>
          <w:rFonts w:cs="Tahoma"/>
          <w:b/>
          <w:bCs/>
        </w:rPr>
      </w:pPr>
      <w:r w:rsidRPr="00C31D80">
        <w:rPr>
          <w:rFonts w:eastAsia="Times New Roman" w:cs="Tahoma"/>
          <w:b/>
          <w:bCs/>
          <w:szCs w:val="24"/>
          <w:lang w:eastAsia="es-ES"/>
        </w:rPr>
        <w:t>GERMÁN DARÍO GÓEZ VINASCO</w:t>
      </w:r>
      <w:bookmarkEnd w:id="3"/>
      <w:r w:rsidRPr="00C31D80">
        <w:rPr>
          <w:rFonts w:eastAsia="Times New Roman" w:cs="Tahoma"/>
          <w:b/>
          <w:bCs/>
          <w:szCs w:val="24"/>
          <w:lang w:eastAsia="es-ES"/>
        </w:rPr>
        <w:tab/>
      </w:r>
      <w:r w:rsidRPr="00C31D80">
        <w:rPr>
          <w:rFonts w:eastAsia="Times New Roman" w:cs="Tahoma"/>
          <w:b/>
          <w:bCs/>
          <w:szCs w:val="24"/>
          <w:lang w:eastAsia="es-ES"/>
        </w:rPr>
        <w:tab/>
        <w:t>OLGA LUCÍA HOYOS SEPÚLVEDA</w:t>
      </w:r>
    </w:p>
    <w:sectPr w:rsidR="00153BD0" w:rsidRPr="00153BD0" w:rsidSect="0008277A">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C9ED8B" w16cex:dateUtc="2022-03-08T15:42:27.075Z"/>
  <w16cex:commentExtensible w16cex:durableId="0BCA1318" w16cex:dateUtc="2022-03-10T17:14:47.6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D86F" w14:textId="77777777" w:rsidR="00763298" w:rsidRDefault="00763298" w:rsidP="0088556B">
      <w:pPr>
        <w:spacing w:line="240" w:lineRule="auto"/>
      </w:pPr>
      <w:r>
        <w:separator/>
      </w:r>
    </w:p>
  </w:endnote>
  <w:endnote w:type="continuationSeparator" w:id="0">
    <w:p w14:paraId="2A58DDE6" w14:textId="77777777" w:rsidR="00763298" w:rsidRDefault="00763298" w:rsidP="0088556B">
      <w:pPr>
        <w:spacing w:line="240" w:lineRule="auto"/>
      </w:pPr>
      <w:r>
        <w:continuationSeparator/>
      </w:r>
    </w:p>
  </w:endnote>
  <w:endnote w:type="continuationNotice" w:id="1">
    <w:p w14:paraId="3F8BA300" w14:textId="77777777" w:rsidR="00763298" w:rsidRDefault="007632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5988" w14:textId="77777777" w:rsidR="00763298" w:rsidRDefault="00763298" w:rsidP="0088556B">
      <w:pPr>
        <w:spacing w:line="240" w:lineRule="auto"/>
      </w:pPr>
      <w:r>
        <w:separator/>
      </w:r>
    </w:p>
  </w:footnote>
  <w:footnote w:type="continuationSeparator" w:id="0">
    <w:p w14:paraId="41D496A4" w14:textId="77777777" w:rsidR="00763298" w:rsidRDefault="00763298" w:rsidP="0088556B">
      <w:pPr>
        <w:spacing w:line="240" w:lineRule="auto"/>
      </w:pPr>
      <w:r>
        <w:continuationSeparator/>
      </w:r>
    </w:p>
  </w:footnote>
  <w:footnote w:type="continuationNotice" w:id="1">
    <w:p w14:paraId="124EDC43" w14:textId="77777777" w:rsidR="00763298" w:rsidRDefault="007632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8B73" w14:textId="77777777" w:rsidR="00081DA7" w:rsidRPr="00B759C8" w:rsidRDefault="00081DA7" w:rsidP="00B759C8">
    <w:pPr>
      <w:tabs>
        <w:tab w:val="left" w:pos="993"/>
      </w:tabs>
      <w:spacing w:line="240" w:lineRule="auto"/>
      <w:ind w:left="1134" w:hanging="1134"/>
      <w:rPr>
        <w:rFonts w:ascii="Arial" w:eastAsia="Times New Roman" w:hAnsi="Arial" w:cs="Arial"/>
        <w:sz w:val="18"/>
        <w:szCs w:val="18"/>
        <w:lang w:eastAsia="es-ES"/>
      </w:rPr>
    </w:pPr>
    <w:r w:rsidRPr="00B759C8">
      <w:rPr>
        <w:rFonts w:ascii="Arial" w:eastAsia="Times New Roman" w:hAnsi="Arial" w:cs="Arial"/>
        <w:sz w:val="18"/>
        <w:szCs w:val="18"/>
        <w:lang w:eastAsia="es-ES"/>
      </w:rPr>
      <w:t>Radicación No.:</w:t>
    </w:r>
    <w:r w:rsidR="00833F8D" w:rsidRPr="00B759C8">
      <w:rPr>
        <w:rFonts w:ascii="Arial" w:eastAsia="Times New Roman" w:hAnsi="Arial" w:cs="Arial"/>
        <w:sz w:val="18"/>
        <w:szCs w:val="18"/>
        <w:lang w:eastAsia="es-ES"/>
      </w:rPr>
      <w:t xml:space="preserve"> </w:t>
    </w:r>
    <w:r w:rsidRPr="00B759C8">
      <w:rPr>
        <w:rFonts w:ascii="Arial" w:eastAsia="Times New Roman" w:hAnsi="Arial" w:cs="Arial"/>
        <w:sz w:val="18"/>
        <w:szCs w:val="18"/>
        <w:lang w:eastAsia="es-ES"/>
      </w:rPr>
      <w:t>66001-31-05-004-2020-00214-0</w:t>
    </w:r>
    <w:r w:rsidR="00833F8D" w:rsidRPr="00B759C8">
      <w:rPr>
        <w:rFonts w:ascii="Arial" w:eastAsia="Times New Roman" w:hAnsi="Arial" w:cs="Arial"/>
        <w:sz w:val="18"/>
        <w:szCs w:val="18"/>
        <w:lang w:eastAsia="es-ES"/>
      </w:rPr>
      <w:t>1</w:t>
    </w:r>
  </w:p>
  <w:p w14:paraId="51B0978A" w14:textId="77777777" w:rsidR="00081DA7" w:rsidRPr="00B759C8" w:rsidRDefault="00081DA7" w:rsidP="00B759C8">
    <w:pPr>
      <w:tabs>
        <w:tab w:val="left" w:pos="993"/>
      </w:tabs>
      <w:spacing w:line="240" w:lineRule="auto"/>
      <w:ind w:left="1134" w:hanging="1134"/>
      <w:rPr>
        <w:rFonts w:ascii="Arial" w:eastAsia="Times New Roman" w:hAnsi="Arial" w:cs="Arial"/>
        <w:sz w:val="18"/>
        <w:szCs w:val="18"/>
        <w:lang w:eastAsia="es-ES"/>
      </w:rPr>
    </w:pPr>
    <w:r w:rsidRPr="00B759C8">
      <w:rPr>
        <w:rFonts w:ascii="Arial" w:eastAsia="Times New Roman" w:hAnsi="Arial" w:cs="Arial"/>
        <w:sz w:val="18"/>
        <w:szCs w:val="18"/>
        <w:lang w:eastAsia="es-ES"/>
      </w:rPr>
      <w:t>Demandante: Ricaurte Guzmán Quiñones</w:t>
    </w:r>
  </w:p>
  <w:p w14:paraId="1BCE04AB" w14:textId="2D170BC4" w:rsidR="00081DA7" w:rsidRPr="00B759C8" w:rsidRDefault="00081DA7" w:rsidP="00B759C8">
    <w:pPr>
      <w:tabs>
        <w:tab w:val="left" w:pos="993"/>
      </w:tabs>
      <w:spacing w:line="240" w:lineRule="auto"/>
      <w:ind w:left="1134" w:hanging="1134"/>
      <w:rPr>
        <w:rFonts w:ascii="Arial" w:eastAsia="Times New Roman" w:hAnsi="Arial" w:cs="Arial"/>
        <w:sz w:val="18"/>
        <w:szCs w:val="18"/>
        <w:lang w:eastAsia="es-ES"/>
      </w:rPr>
    </w:pPr>
    <w:r w:rsidRPr="00B759C8">
      <w:rPr>
        <w:rFonts w:ascii="Arial" w:eastAsia="Times New Roman" w:hAnsi="Arial" w:cs="Arial"/>
        <w:sz w:val="18"/>
        <w:szCs w:val="18"/>
        <w:lang w:eastAsia="es-ES"/>
      </w:rPr>
      <w:t>Demandado: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032E"/>
    <w:multiLevelType w:val="hybridMultilevel"/>
    <w:tmpl w:val="149E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1"/>
  </w:num>
  <w:num w:numId="2">
    <w:abstractNumId w:val="0"/>
  </w:num>
  <w:num w:numId="3">
    <w:abstractNumId w:val="3"/>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2B"/>
    <w:rsid w:val="00012FBA"/>
    <w:rsid w:val="00020F53"/>
    <w:rsid w:val="000246C8"/>
    <w:rsid w:val="00030BD9"/>
    <w:rsid w:val="00057518"/>
    <w:rsid w:val="00081DA7"/>
    <w:rsid w:val="0008277A"/>
    <w:rsid w:val="000971DE"/>
    <w:rsid w:val="00097CF6"/>
    <w:rsid w:val="000B329A"/>
    <w:rsid w:val="000B4C23"/>
    <w:rsid w:val="000B7D4E"/>
    <w:rsid w:val="000C1A27"/>
    <w:rsid w:val="000D0D1E"/>
    <w:rsid w:val="000D4C13"/>
    <w:rsid w:val="00111AB8"/>
    <w:rsid w:val="00126DE2"/>
    <w:rsid w:val="00136E9E"/>
    <w:rsid w:val="0014677B"/>
    <w:rsid w:val="00147F1B"/>
    <w:rsid w:val="00153BD0"/>
    <w:rsid w:val="0016181F"/>
    <w:rsid w:val="00163A34"/>
    <w:rsid w:val="00196F0F"/>
    <w:rsid w:val="001C102C"/>
    <w:rsid w:val="001C1EA3"/>
    <w:rsid w:val="001C46AD"/>
    <w:rsid w:val="001F3AB7"/>
    <w:rsid w:val="001F3BC0"/>
    <w:rsid w:val="002007EA"/>
    <w:rsid w:val="002113D4"/>
    <w:rsid w:val="00220E66"/>
    <w:rsid w:val="00231EF1"/>
    <w:rsid w:val="0024647B"/>
    <w:rsid w:val="002561BE"/>
    <w:rsid w:val="002654E7"/>
    <w:rsid w:val="002747FE"/>
    <w:rsid w:val="00277924"/>
    <w:rsid w:val="002913B7"/>
    <w:rsid w:val="00291D33"/>
    <w:rsid w:val="00297061"/>
    <w:rsid w:val="002A37A0"/>
    <w:rsid w:val="002A41D8"/>
    <w:rsid w:val="002B40C6"/>
    <w:rsid w:val="002C6C47"/>
    <w:rsid w:val="00300C64"/>
    <w:rsid w:val="0030133C"/>
    <w:rsid w:val="00304342"/>
    <w:rsid w:val="00315C70"/>
    <w:rsid w:val="003201C3"/>
    <w:rsid w:val="00335786"/>
    <w:rsid w:val="00353746"/>
    <w:rsid w:val="0035459C"/>
    <w:rsid w:val="00356ED5"/>
    <w:rsid w:val="00363658"/>
    <w:rsid w:val="00373BE2"/>
    <w:rsid w:val="00375672"/>
    <w:rsid w:val="0037747F"/>
    <w:rsid w:val="00383BC6"/>
    <w:rsid w:val="003D6E78"/>
    <w:rsid w:val="00402707"/>
    <w:rsid w:val="00411EB5"/>
    <w:rsid w:val="0042792A"/>
    <w:rsid w:val="004623AD"/>
    <w:rsid w:val="004641DA"/>
    <w:rsid w:val="00467EBF"/>
    <w:rsid w:val="00491701"/>
    <w:rsid w:val="004D6B3D"/>
    <w:rsid w:val="004E5B54"/>
    <w:rsid w:val="004E5E14"/>
    <w:rsid w:val="004E6089"/>
    <w:rsid w:val="00503355"/>
    <w:rsid w:val="00510025"/>
    <w:rsid w:val="005222BD"/>
    <w:rsid w:val="00523EDE"/>
    <w:rsid w:val="00534693"/>
    <w:rsid w:val="00544758"/>
    <w:rsid w:val="005454D2"/>
    <w:rsid w:val="005531B8"/>
    <w:rsid w:val="00561128"/>
    <w:rsid w:val="005720F8"/>
    <w:rsid w:val="00596ED3"/>
    <w:rsid w:val="005B486D"/>
    <w:rsid w:val="005B6304"/>
    <w:rsid w:val="005D19A3"/>
    <w:rsid w:val="005D3722"/>
    <w:rsid w:val="00601D6C"/>
    <w:rsid w:val="00620181"/>
    <w:rsid w:val="00620E20"/>
    <w:rsid w:val="00632FE9"/>
    <w:rsid w:val="00633C13"/>
    <w:rsid w:val="00653CBB"/>
    <w:rsid w:val="00662135"/>
    <w:rsid w:val="006650AF"/>
    <w:rsid w:val="00691AB4"/>
    <w:rsid w:val="006A3540"/>
    <w:rsid w:val="006B04AA"/>
    <w:rsid w:val="006B2FFE"/>
    <w:rsid w:val="006B5A3E"/>
    <w:rsid w:val="006B6037"/>
    <w:rsid w:val="006F37AA"/>
    <w:rsid w:val="0070495D"/>
    <w:rsid w:val="00710107"/>
    <w:rsid w:val="00712BB8"/>
    <w:rsid w:val="007149A1"/>
    <w:rsid w:val="00720194"/>
    <w:rsid w:val="00721D2B"/>
    <w:rsid w:val="00727262"/>
    <w:rsid w:val="00742123"/>
    <w:rsid w:val="00751481"/>
    <w:rsid w:val="007543BD"/>
    <w:rsid w:val="00763298"/>
    <w:rsid w:val="00771FA8"/>
    <w:rsid w:val="00787EFD"/>
    <w:rsid w:val="00792884"/>
    <w:rsid w:val="007B0059"/>
    <w:rsid w:val="007C0E69"/>
    <w:rsid w:val="007D680B"/>
    <w:rsid w:val="007D68B5"/>
    <w:rsid w:val="007E2FBC"/>
    <w:rsid w:val="007E47BA"/>
    <w:rsid w:val="007E5DE8"/>
    <w:rsid w:val="007F2548"/>
    <w:rsid w:val="007F3DF5"/>
    <w:rsid w:val="008249C1"/>
    <w:rsid w:val="00830EF1"/>
    <w:rsid w:val="008320F9"/>
    <w:rsid w:val="00833F8D"/>
    <w:rsid w:val="00846196"/>
    <w:rsid w:val="008668AA"/>
    <w:rsid w:val="008813E9"/>
    <w:rsid w:val="00883367"/>
    <w:rsid w:val="0088556B"/>
    <w:rsid w:val="00886828"/>
    <w:rsid w:val="008A6F2F"/>
    <w:rsid w:val="008C46B4"/>
    <w:rsid w:val="008E4687"/>
    <w:rsid w:val="008F2240"/>
    <w:rsid w:val="008F269C"/>
    <w:rsid w:val="009015B4"/>
    <w:rsid w:val="00907B36"/>
    <w:rsid w:val="00927616"/>
    <w:rsid w:val="0093289D"/>
    <w:rsid w:val="00934428"/>
    <w:rsid w:val="00936A82"/>
    <w:rsid w:val="00961484"/>
    <w:rsid w:val="00973945"/>
    <w:rsid w:val="009A1F35"/>
    <w:rsid w:val="009B28A0"/>
    <w:rsid w:val="009D1F68"/>
    <w:rsid w:val="009E25A9"/>
    <w:rsid w:val="00A00E5C"/>
    <w:rsid w:val="00A016E1"/>
    <w:rsid w:val="00A46D20"/>
    <w:rsid w:val="00A70480"/>
    <w:rsid w:val="00AB07BE"/>
    <w:rsid w:val="00AB0B94"/>
    <w:rsid w:val="00AB2275"/>
    <w:rsid w:val="00AC4E91"/>
    <w:rsid w:val="00AC5788"/>
    <w:rsid w:val="00AC78B4"/>
    <w:rsid w:val="00AD4E45"/>
    <w:rsid w:val="00AF0A88"/>
    <w:rsid w:val="00AF203A"/>
    <w:rsid w:val="00AF4A92"/>
    <w:rsid w:val="00B03A33"/>
    <w:rsid w:val="00B4419F"/>
    <w:rsid w:val="00B51CE0"/>
    <w:rsid w:val="00B53D34"/>
    <w:rsid w:val="00B55164"/>
    <w:rsid w:val="00B74EDB"/>
    <w:rsid w:val="00B759C8"/>
    <w:rsid w:val="00BA14FD"/>
    <w:rsid w:val="00BA65A4"/>
    <w:rsid w:val="00BD4D04"/>
    <w:rsid w:val="00BE2434"/>
    <w:rsid w:val="00BE3EDA"/>
    <w:rsid w:val="00BF0E0F"/>
    <w:rsid w:val="00C01B61"/>
    <w:rsid w:val="00C03732"/>
    <w:rsid w:val="00C13D02"/>
    <w:rsid w:val="00C14860"/>
    <w:rsid w:val="00C16464"/>
    <w:rsid w:val="00C20DFE"/>
    <w:rsid w:val="00C2584A"/>
    <w:rsid w:val="00C3153F"/>
    <w:rsid w:val="00C31D80"/>
    <w:rsid w:val="00C50AEF"/>
    <w:rsid w:val="00C50E7B"/>
    <w:rsid w:val="00C51E1A"/>
    <w:rsid w:val="00C53FC5"/>
    <w:rsid w:val="00C608BF"/>
    <w:rsid w:val="00C74404"/>
    <w:rsid w:val="00C75BC8"/>
    <w:rsid w:val="00C866C9"/>
    <w:rsid w:val="00CB26F8"/>
    <w:rsid w:val="00CC02E3"/>
    <w:rsid w:val="00CF34BC"/>
    <w:rsid w:val="00D2236F"/>
    <w:rsid w:val="00D2686A"/>
    <w:rsid w:val="00D40B76"/>
    <w:rsid w:val="00D454DB"/>
    <w:rsid w:val="00D504D0"/>
    <w:rsid w:val="00D8613F"/>
    <w:rsid w:val="00D92EA6"/>
    <w:rsid w:val="00D95AD3"/>
    <w:rsid w:val="00DA457A"/>
    <w:rsid w:val="00DA79EA"/>
    <w:rsid w:val="00DC28B9"/>
    <w:rsid w:val="00DC44BB"/>
    <w:rsid w:val="00DD2BB4"/>
    <w:rsid w:val="00DE2198"/>
    <w:rsid w:val="00DF7928"/>
    <w:rsid w:val="00E1692B"/>
    <w:rsid w:val="00E331AF"/>
    <w:rsid w:val="00E542DA"/>
    <w:rsid w:val="00E55125"/>
    <w:rsid w:val="00E57371"/>
    <w:rsid w:val="00E71372"/>
    <w:rsid w:val="00E7252B"/>
    <w:rsid w:val="00E83170"/>
    <w:rsid w:val="00EA3174"/>
    <w:rsid w:val="00EC45D9"/>
    <w:rsid w:val="00ED0CA7"/>
    <w:rsid w:val="00ED2127"/>
    <w:rsid w:val="00EE6EB9"/>
    <w:rsid w:val="00F32A02"/>
    <w:rsid w:val="00F43449"/>
    <w:rsid w:val="00F8339A"/>
    <w:rsid w:val="00F876A5"/>
    <w:rsid w:val="00F92E88"/>
    <w:rsid w:val="00FA18A4"/>
    <w:rsid w:val="00FA4EA4"/>
    <w:rsid w:val="00FE4FA5"/>
    <w:rsid w:val="00FE6A01"/>
    <w:rsid w:val="00FF6AF4"/>
    <w:rsid w:val="12AD2A67"/>
    <w:rsid w:val="4B489611"/>
    <w:rsid w:val="695975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7D2A"/>
  <w15:chartTrackingRefBased/>
  <w15:docId w15:val="{D4FAE909-3B46-4C88-A033-3C8B974F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52B"/>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E7252B"/>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7252B"/>
    <w:rPr>
      <w:rFonts w:ascii="Times New Roman" w:eastAsia="Times New Roman" w:hAnsi="Times New Roman" w:cs="Times New Roman"/>
      <w:b/>
      <w:sz w:val="24"/>
      <w:szCs w:val="20"/>
      <w:lang w:val="es-ES" w:eastAsia="es-ES"/>
    </w:rPr>
  </w:style>
  <w:style w:type="paragraph" w:customStyle="1" w:styleId="paragraph">
    <w:name w:val="paragraph"/>
    <w:basedOn w:val="Normal"/>
    <w:rsid w:val="00E7252B"/>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E7252B"/>
  </w:style>
  <w:style w:type="paragraph" w:styleId="Prrafodelista">
    <w:name w:val="List Paragraph"/>
    <w:basedOn w:val="Normal"/>
    <w:uiPriority w:val="34"/>
    <w:qFormat/>
    <w:rsid w:val="00E7252B"/>
    <w:pPr>
      <w:ind w:left="720"/>
      <w:contextualSpacing/>
    </w:pPr>
  </w:style>
  <w:style w:type="character" w:customStyle="1" w:styleId="fontstyle01">
    <w:name w:val="fontstyle01"/>
    <w:basedOn w:val="Fuentedeprrafopredeter"/>
    <w:rsid w:val="00E7252B"/>
    <w:rPr>
      <w:rFonts w:ascii="Tahoma-Bold" w:hAnsi="Tahoma-Bold" w:hint="default"/>
      <w:b/>
      <w:bCs/>
      <w:i w:val="0"/>
      <w:iCs w:val="0"/>
      <w:color w:val="000000"/>
      <w:sz w:val="24"/>
      <w:szCs w:val="24"/>
    </w:rPr>
  </w:style>
  <w:style w:type="character" w:customStyle="1" w:styleId="fontstyle21">
    <w:name w:val="fontstyle21"/>
    <w:basedOn w:val="Fuentedeprrafopredeter"/>
    <w:rsid w:val="00E7252B"/>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8855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8556B"/>
    <w:rPr>
      <w:rFonts w:ascii="Tahoma" w:hAnsi="Tahoma"/>
      <w:sz w:val="24"/>
      <w:lang w:val="es-ES"/>
    </w:rPr>
  </w:style>
  <w:style w:type="paragraph" w:styleId="Piedepgina">
    <w:name w:val="footer"/>
    <w:basedOn w:val="Normal"/>
    <w:link w:val="PiedepginaCar"/>
    <w:uiPriority w:val="99"/>
    <w:unhideWhenUsed/>
    <w:rsid w:val="008855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8556B"/>
    <w:rPr>
      <w:rFonts w:ascii="Tahoma" w:hAnsi="Tahoma"/>
      <w:sz w:val="24"/>
      <w:lang w:val="es-ES"/>
    </w:rPr>
  </w:style>
  <w:style w:type="character" w:customStyle="1" w:styleId="eop">
    <w:name w:val="eop"/>
    <w:basedOn w:val="Fuentedeprrafopredeter"/>
    <w:rsid w:val="00BA65A4"/>
  </w:style>
  <w:style w:type="character" w:styleId="Refdecomentario">
    <w:name w:val="annotation reference"/>
    <w:basedOn w:val="Fuentedeprrafopredeter"/>
    <w:uiPriority w:val="99"/>
    <w:semiHidden/>
    <w:unhideWhenUsed/>
    <w:rsid w:val="00153BD0"/>
    <w:rPr>
      <w:sz w:val="16"/>
      <w:szCs w:val="16"/>
    </w:rPr>
  </w:style>
  <w:style w:type="paragraph" w:styleId="Textocomentario">
    <w:name w:val="annotation text"/>
    <w:basedOn w:val="Normal"/>
    <w:link w:val="TextocomentarioCar"/>
    <w:uiPriority w:val="99"/>
    <w:semiHidden/>
    <w:unhideWhenUsed/>
    <w:rsid w:val="00153BD0"/>
    <w:pPr>
      <w:spacing w:after="160" w:line="240" w:lineRule="auto"/>
      <w:jc w:val="left"/>
    </w:pPr>
    <w:rPr>
      <w:rFonts w:asciiTheme="minorHAnsi" w:hAnsiTheme="minorHAnsi"/>
      <w:sz w:val="20"/>
      <w:szCs w:val="20"/>
      <w:lang w:val="es-CO"/>
    </w:rPr>
  </w:style>
  <w:style w:type="character" w:customStyle="1" w:styleId="TextocomentarioCar">
    <w:name w:val="Texto comentario Car"/>
    <w:basedOn w:val="Fuentedeprrafopredeter"/>
    <w:link w:val="Textocomentario"/>
    <w:uiPriority w:val="99"/>
    <w:semiHidden/>
    <w:rsid w:val="00153BD0"/>
    <w:rPr>
      <w:sz w:val="20"/>
      <w:szCs w:val="20"/>
    </w:rPr>
  </w:style>
  <w:style w:type="paragraph" w:styleId="Textodeglobo">
    <w:name w:val="Balloon Text"/>
    <w:basedOn w:val="Normal"/>
    <w:link w:val="TextodegloboCar"/>
    <w:uiPriority w:val="99"/>
    <w:semiHidden/>
    <w:unhideWhenUsed/>
    <w:rsid w:val="00153B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BD0"/>
    <w:rPr>
      <w:rFonts w:ascii="Segoe UI" w:hAnsi="Segoe UI" w:cs="Segoe UI"/>
      <w:sz w:val="18"/>
      <w:szCs w:val="18"/>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16464"/>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16464"/>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C16464"/>
    <w:rPr>
      <w:vertAlign w:val="superscript"/>
    </w:rPr>
  </w:style>
  <w:style w:type="character" w:customStyle="1" w:styleId="SinespaciadoCar">
    <w:name w:val="Sin espaciado Car"/>
    <w:link w:val="Sinespaciado"/>
    <w:uiPriority w:val="1"/>
    <w:locked/>
    <w:rsid w:val="00C16464"/>
    <w:rPr>
      <w:sz w:val="24"/>
      <w:szCs w:val="24"/>
    </w:rPr>
  </w:style>
  <w:style w:type="paragraph" w:styleId="Sinespaciado">
    <w:name w:val="No Spacing"/>
    <w:link w:val="SinespaciadoCar"/>
    <w:uiPriority w:val="1"/>
    <w:qFormat/>
    <w:rsid w:val="00C16464"/>
    <w:pPr>
      <w:spacing w:after="0" w:line="240" w:lineRule="auto"/>
    </w:pPr>
    <w:rPr>
      <w:sz w:val="24"/>
      <w:szCs w:val="24"/>
    </w:rPr>
  </w:style>
  <w:style w:type="paragraph" w:styleId="Textoindependiente">
    <w:name w:val="Body Text"/>
    <w:basedOn w:val="Normal"/>
    <w:link w:val="TextoindependienteCar"/>
    <w:uiPriority w:val="99"/>
    <w:unhideWhenUsed/>
    <w:rsid w:val="00C16464"/>
    <w:pPr>
      <w:spacing w:after="120" w:line="259" w:lineRule="auto"/>
      <w:ind w:firstLine="709"/>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C16464"/>
    <w:rPr>
      <w:lang w:val="es-ES"/>
    </w:rPr>
  </w:style>
  <w:style w:type="paragraph" w:customStyle="1" w:styleId="Prrafodelista2">
    <w:name w:val="Párrafo de lista2"/>
    <w:basedOn w:val="Normal"/>
    <w:rsid w:val="00C16464"/>
    <w:pPr>
      <w:spacing w:after="200" w:line="276" w:lineRule="auto"/>
      <w:ind w:left="720"/>
      <w:contextualSpacing/>
      <w:jc w:val="left"/>
    </w:pPr>
    <w:rPr>
      <w:rFonts w:ascii="Calibri" w:eastAsia="Times New Roman" w:hAnsi="Calibri" w:cs="Times New Roman"/>
      <w:sz w:val="22"/>
      <w:lang w:val="es-CO"/>
    </w:rPr>
  </w:style>
  <w:style w:type="paragraph" w:customStyle="1" w:styleId="xmsonormal">
    <w:name w:val="x_msonormal"/>
    <w:basedOn w:val="Normal"/>
    <w:rsid w:val="00C16464"/>
    <w:pPr>
      <w:spacing w:before="100" w:beforeAutospacing="1" w:after="100" w:afterAutospacing="1" w:line="240" w:lineRule="auto"/>
      <w:jc w:val="left"/>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3187">
      <w:bodyDiv w:val="1"/>
      <w:marLeft w:val="0"/>
      <w:marRight w:val="0"/>
      <w:marTop w:val="0"/>
      <w:marBottom w:val="0"/>
      <w:divBdr>
        <w:top w:val="none" w:sz="0" w:space="0" w:color="auto"/>
        <w:left w:val="none" w:sz="0" w:space="0" w:color="auto"/>
        <w:bottom w:val="none" w:sz="0" w:space="0" w:color="auto"/>
        <w:right w:val="none" w:sz="0" w:space="0" w:color="auto"/>
      </w:divBdr>
    </w:div>
    <w:div w:id="9533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32fc40dafdaf405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Props1.xml><?xml version="1.0" encoding="utf-8"?>
<ds:datastoreItem xmlns:ds="http://schemas.openxmlformats.org/officeDocument/2006/customXml" ds:itemID="{27C37FBE-C60F-4499-BEAF-A806443C79DA}">
  <ds:schemaRefs>
    <ds:schemaRef ds:uri="http://schemas.microsoft.com/sharepoint/v3/contenttype/forms"/>
  </ds:schemaRefs>
</ds:datastoreItem>
</file>

<file path=customXml/itemProps2.xml><?xml version="1.0" encoding="utf-8"?>
<ds:datastoreItem xmlns:ds="http://schemas.openxmlformats.org/officeDocument/2006/customXml" ds:itemID="{9796C89B-497F-4819-AB25-C581683C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B0F70-6E78-4396-BD19-D09F88CFA854}">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3015</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9</cp:revision>
  <dcterms:created xsi:type="dcterms:W3CDTF">2022-03-04T18:44:00Z</dcterms:created>
  <dcterms:modified xsi:type="dcterms:W3CDTF">2022-04-27T16:33:00Z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