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754F" w14:textId="77777777" w:rsidR="002A4B22" w:rsidRPr="002A4B22" w:rsidRDefault="002A4B22" w:rsidP="002A4B2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94773787"/>
      <w:r w:rsidRPr="002A4B2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012DB8" w14:textId="77777777" w:rsidR="002A4B22" w:rsidRPr="002A4B22" w:rsidRDefault="002A4B22" w:rsidP="002A4B22">
      <w:pPr>
        <w:spacing w:line="240" w:lineRule="auto"/>
        <w:rPr>
          <w:rFonts w:ascii="Arial" w:eastAsia="Times New Roman" w:hAnsi="Arial" w:cs="Arial"/>
          <w:sz w:val="20"/>
          <w:szCs w:val="20"/>
          <w:lang w:val="es-419" w:eastAsia="es-ES"/>
        </w:rPr>
      </w:pPr>
    </w:p>
    <w:p w14:paraId="67781DCC" w14:textId="79E6E901" w:rsidR="002A4B22" w:rsidRPr="002A4B22" w:rsidRDefault="002A4B22" w:rsidP="002A4B22">
      <w:pPr>
        <w:spacing w:line="240" w:lineRule="auto"/>
        <w:rPr>
          <w:rFonts w:ascii="Arial" w:eastAsia="Times New Roman" w:hAnsi="Arial" w:cs="Arial"/>
          <w:sz w:val="20"/>
          <w:szCs w:val="20"/>
          <w:lang w:val="es-419" w:eastAsia="es-ES"/>
        </w:rPr>
      </w:pPr>
      <w:r w:rsidRPr="002A4B22">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sidRPr="002A4B22">
        <w:rPr>
          <w:rFonts w:ascii="Arial" w:eastAsia="Times New Roman" w:hAnsi="Arial" w:cs="Arial"/>
          <w:sz w:val="20"/>
          <w:szCs w:val="20"/>
          <w:lang w:val="es-419" w:eastAsia="es-ES"/>
        </w:rPr>
        <w:tab/>
        <w:t>66001-31-05-003-2019-00289-01</w:t>
      </w:r>
    </w:p>
    <w:p w14:paraId="061BFDA5" w14:textId="2A85C619" w:rsidR="002A4B22" w:rsidRPr="002A4B22" w:rsidRDefault="002A4B22" w:rsidP="002A4B22">
      <w:pPr>
        <w:spacing w:line="240" w:lineRule="auto"/>
        <w:rPr>
          <w:rFonts w:ascii="Arial" w:eastAsia="Times New Roman" w:hAnsi="Arial" w:cs="Arial"/>
          <w:sz w:val="20"/>
          <w:szCs w:val="20"/>
          <w:lang w:val="es-419" w:eastAsia="es-ES"/>
        </w:rPr>
      </w:pPr>
      <w:r w:rsidRPr="002A4B22">
        <w:rPr>
          <w:rFonts w:ascii="Arial" w:eastAsia="Times New Roman" w:hAnsi="Arial" w:cs="Arial"/>
          <w:sz w:val="20"/>
          <w:szCs w:val="20"/>
          <w:lang w:val="es-419" w:eastAsia="es-ES"/>
        </w:rPr>
        <w:t xml:space="preserve">Proceso: </w:t>
      </w:r>
      <w:r w:rsidRPr="002A4B22">
        <w:rPr>
          <w:rFonts w:ascii="Arial" w:eastAsia="Times New Roman" w:hAnsi="Arial" w:cs="Arial"/>
          <w:sz w:val="20"/>
          <w:szCs w:val="20"/>
          <w:lang w:val="es-419" w:eastAsia="es-ES"/>
        </w:rPr>
        <w:tab/>
      </w:r>
      <w:r w:rsidRPr="002A4B22">
        <w:rPr>
          <w:rFonts w:ascii="Arial" w:eastAsia="Times New Roman" w:hAnsi="Arial" w:cs="Arial"/>
          <w:sz w:val="20"/>
          <w:szCs w:val="20"/>
          <w:lang w:val="es-419" w:eastAsia="es-ES"/>
        </w:rPr>
        <w:tab/>
        <w:t xml:space="preserve">Ordinario Laboral </w:t>
      </w:r>
    </w:p>
    <w:p w14:paraId="7ADE50F2" w14:textId="444BFC72" w:rsidR="002A4B22" w:rsidRPr="002A4B22" w:rsidRDefault="002A4B22" w:rsidP="002A4B22">
      <w:pPr>
        <w:spacing w:line="240" w:lineRule="auto"/>
        <w:rPr>
          <w:rFonts w:ascii="Arial" w:eastAsia="Times New Roman" w:hAnsi="Arial" w:cs="Arial"/>
          <w:sz w:val="20"/>
          <w:szCs w:val="20"/>
          <w:lang w:val="es-419" w:eastAsia="es-ES"/>
        </w:rPr>
      </w:pPr>
      <w:r w:rsidRPr="002A4B22">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2A4B22">
        <w:rPr>
          <w:rFonts w:ascii="Arial" w:eastAsia="Times New Roman" w:hAnsi="Arial" w:cs="Arial"/>
          <w:sz w:val="20"/>
          <w:szCs w:val="20"/>
          <w:lang w:val="es-419" w:eastAsia="es-ES"/>
        </w:rPr>
        <w:tab/>
        <w:t xml:space="preserve">María Oralia Reyes Gutiérrez </w:t>
      </w:r>
    </w:p>
    <w:p w14:paraId="3DD441FC" w14:textId="77777777" w:rsidR="002A4B22" w:rsidRPr="002A4B22" w:rsidRDefault="002A4B22" w:rsidP="002A4B22">
      <w:pPr>
        <w:spacing w:line="240" w:lineRule="auto"/>
        <w:rPr>
          <w:rFonts w:ascii="Arial" w:eastAsia="Times New Roman" w:hAnsi="Arial" w:cs="Arial"/>
          <w:sz w:val="20"/>
          <w:szCs w:val="20"/>
          <w:lang w:val="es-419" w:eastAsia="es-ES"/>
        </w:rPr>
      </w:pPr>
      <w:r w:rsidRPr="002A4B22">
        <w:rPr>
          <w:rFonts w:ascii="Arial" w:eastAsia="Times New Roman" w:hAnsi="Arial" w:cs="Arial"/>
          <w:sz w:val="20"/>
          <w:szCs w:val="20"/>
          <w:lang w:val="es-419" w:eastAsia="es-ES"/>
        </w:rPr>
        <w:t xml:space="preserve">Demandado: </w:t>
      </w:r>
      <w:r w:rsidRPr="002A4B22">
        <w:rPr>
          <w:rFonts w:ascii="Arial" w:eastAsia="Times New Roman" w:hAnsi="Arial" w:cs="Arial"/>
          <w:sz w:val="20"/>
          <w:szCs w:val="20"/>
          <w:lang w:val="es-419" w:eastAsia="es-ES"/>
        </w:rPr>
        <w:tab/>
      </w:r>
      <w:r w:rsidRPr="002A4B22">
        <w:rPr>
          <w:rFonts w:ascii="Arial" w:eastAsia="Times New Roman" w:hAnsi="Arial" w:cs="Arial"/>
          <w:sz w:val="20"/>
          <w:szCs w:val="20"/>
          <w:lang w:val="es-419" w:eastAsia="es-ES"/>
        </w:rPr>
        <w:tab/>
        <w:t>Colpensiones y otros</w:t>
      </w:r>
    </w:p>
    <w:p w14:paraId="2343B367" w14:textId="3220726A" w:rsidR="002A4B22" w:rsidRPr="002A4B22" w:rsidRDefault="002A4B22" w:rsidP="002A4B22">
      <w:pPr>
        <w:spacing w:line="240" w:lineRule="auto"/>
        <w:rPr>
          <w:rFonts w:ascii="Arial" w:eastAsia="Times New Roman" w:hAnsi="Arial" w:cs="Arial"/>
          <w:sz w:val="20"/>
          <w:szCs w:val="20"/>
          <w:lang w:val="es-419" w:eastAsia="es-ES"/>
        </w:rPr>
      </w:pPr>
      <w:r w:rsidRPr="002A4B22">
        <w:rPr>
          <w:rFonts w:ascii="Arial" w:eastAsia="Times New Roman" w:hAnsi="Arial" w:cs="Arial"/>
          <w:sz w:val="20"/>
          <w:szCs w:val="20"/>
          <w:lang w:val="es-419" w:eastAsia="es-ES"/>
        </w:rPr>
        <w:t xml:space="preserve">Juzgado: </w:t>
      </w:r>
      <w:r w:rsidRPr="002A4B22">
        <w:rPr>
          <w:rFonts w:ascii="Arial" w:eastAsia="Times New Roman" w:hAnsi="Arial" w:cs="Arial"/>
          <w:sz w:val="20"/>
          <w:szCs w:val="20"/>
          <w:lang w:val="es-419" w:eastAsia="es-ES"/>
        </w:rPr>
        <w:tab/>
      </w:r>
      <w:r w:rsidRPr="002A4B22">
        <w:rPr>
          <w:rFonts w:ascii="Arial" w:eastAsia="Times New Roman" w:hAnsi="Arial" w:cs="Arial"/>
          <w:sz w:val="20"/>
          <w:szCs w:val="20"/>
          <w:lang w:val="es-419" w:eastAsia="es-ES"/>
        </w:rPr>
        <w:tab/>
        <w:t>Tercero Laboral del Circuito de Pereira</w:t>
      </w:r>
    </w:p>
    <w:p w14:paraId="77463BCC" w14:textId="77777777" w:rsidR="002A4B22" w:rsidRPr="002A4B22" w:rsidRDefault="002A4B22" w:rsidP="002A4B22">
      <w:pPr>
        <w:spacing w:line="240" w:lineRule="auto"/>
        <w:rPr>
          <w:rFonts w:ascii="Arial" w:eastAsia="Times New Roman" w:hAnsi="Arial" w:cs="Arial"/>
          <w:sz w:val="20"/>
          <w:szCs w:val="20"/>
          <w:lang w:val="es-419" w:eastAsia="es-ES"/>
        </w:rPr>
      </w:pPr>
    </w:p>
    <w:p w14:paraId="5C7108F4" w14:textId="7CEAB0D0" w:rsidR="002A4B22" w:rsidRPr="002A4B22" w:rsidRDefault="007D0D4B" w:rsidP="002A4B22">
      <w:pPr>
        <w:spacing w:line="240" w:lineRule="auto"/>
        <w:rPr>
          <w:rFonts w:ascii="Arial" w:eastAsia="Times New Roman" w:hAnsi="Arial" w:cs="Arial"/>
          <w:b/>
          <w:bCs/>
          <w:iCs/>
          <w:sz w:val="20"/>
          <w:szCs w:val="20"/>
          <w:lang w:val="es-419" w:eastAsia="fr-FR"/>
        </w:rPr>
      </w:pPr>
      <w:r w:rsidRPr="002A4B22">
        <w:rPr>
          <w:rFonts w:ascii="Arial" w:eastAsia="Times New Roman" w:hAnsi="Arial" w:cs="Arial"/>
          <w:b/>
          <w:bCs/>
          <w:iCs/>
          <w:sz w:val="20"/>
          <w:szCs w:val="20"/>
          <w:u w:val="single"/>
          <w:lang w:val="es-419" w:eastAsia="fr-FR"/>
        </w:rPr>
        <w:t>TEMAS:</w:t>
      </w:r>
      <w:r w:rsidRPr="002A4B2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EXCEPCIONES PREVIAS / RECLAMACIÓN ADMINISTRATIVA / PUEDE PROBAR</w:t>
      </w:r>
      <w:r w:rsidR="00463B26">
        <w:rPr>
          <w:rFonts w:ascii="Arial" w:eastAsia="Times New Roman" w:hAnsi="Arial" w:cs="Arial"/>
          <w:b/>
          <w:bCs/>
          <w:iCs/>
          <w:sz w:val="20"/>
          <w:szCs w:val="20"/>
          <w:lang w:val="es-419" w:eastAsia="fr-FR"/>
        </w:rPr>
        <w:t>SE CO</w:t>
      </w:r>
      <w:bookmarkStart w:id="2" w:name="_GoBack"/>
      <w:bookmarkEnd w:id="2"/>
      <w:r w:rsidR="00463B26">
        <w:rPr>
          <w:rFonts w:ascii="Arial" w:eastAsia="Times New Roman" w:hAnsi="Arial" w:cs="Arial"/>
          <w:b/>
          <w:bCs/>
          <w:iCs/>
          <w:sz w:val="20"/>
          <w:szCs w:val="20"/>
          <w:lang w:val="es-419" w:eastAsia="fr-FR"/>
        </w:rPr>
        <w:t xml:space="preserve">N </w:t>
      </w:r>
      <w:r>
        <w:rPr>
          <w:rFonts w:ascii="Arial" w:eastAsia="Times New Roman" w:hAnsi="Arial" w:cs="Arial"/>
          <w:b/>
          <w:bCs/>
          <w:iCs/>
          <w:sz w:val="20"/>
          <w:szCs w:val="20"/>
          <w:lang w:val="es-419" w:eastAsia="fr-FR"/>
        </w:rPr>
        <w:t>ESCRITO DE RESPUESTA / FALTA DE LEGITIMACIÓN EN LA CAUSA / NO ESTÁ PREVISTA COMO TAL.</w:t>
      </w:r>
    </w:p>
    <w:p w14:paraId="77715E9D" w14:textId="77777777" w:rsidR="002A4B22" w:rsidRPr="002A4B22" w:rsidRDefault="002A4B22" w:rsidP="002A4B22">
      <w:pPr>
        <w:spacing w:line="240" w:lineRule="auto"/>
        <w:rPr>
          <w:rFonts w:ascii="Arial" w:eastAsia="Times New Roman" w:hAnsi="Arial" w:cs="Arial"/>
          <w:sz w:val="20"/>
          <w:szCs w:val="20"/>
          <w:lang w:val="es-419" w:eastAsia="es-ES"/>
        </w:rPr>
      </w:pPr>
    </w:p>
    <w:p w14:paraId="5347B567" w14:textId="445B8F5B" w:rsidR="002A4B22" w:rsidRPr="002A4B22" w:rsidRDefault="009C4958" w:rsidP="002A4B22">
      <w:pPr>
        <w:spacing w:line="240" w:lineRule="auto"/>
        <w:rPr>
          <w:rFonts w:ascii="Arial" w:eastAsia="Times New Roman" w:hAnsi="Arial" w:cs="Arial"/>
          <w:sz w:val="20"/>
          <w:szCs w:val="20"/>
          <w:lang w:val="es-419" w:eastAsia="es-ES"/>
        </w:rPr>
      </w:pPr>
      <w:r w:rsidRPr="009C4958">
        <w:rPr>
          <w:rFonts w:ascii="Arial" w:eastAsia="Times New Roman" w:hAnsi="Arial" w:cs="Arial"/>
          <w:sz w:val="20"/>
          <w:szCs w:val="20"/>
          <w:lang w:val="es-419" w:eastAsia="es-ES"/>
        </w:rPr>
        <w:t>El artículo 6º del Código Procesal del Trabajo dispone que las acciones contra la Nación, las entidades territoriales y cualquier otra entidad de la administración pública solo podrán iniciarse cuando se haya agotado la reclamación administrativa, entendida como el simple reclamo escrito del servidor público o trabajador sobre el derecho que pretenda.</w:t>
      </w:r>
    </w:p>
    <w:p w14:paraId="010720BD" w14:textId="77777777" w:rsidR="002A4B22" w:rsidRPr="002A4B22" w:rsidRDefault="002A4B22" w:rsidP="002A4B22">
      <w:pPr>
        <w:spacing w:line="240" w:lineRule="auto"/>
        <w:rPr>
          <w:rFonts w:ascii="Arial" w:eastAsia="Times New Roman" w:hAnsi="Arial" w:cs="Arial"/>
          <w:sz w:val="20"/>
          <w:szCs w:val="20"/>
          <w:lang w:val="es-419" w:eastAsia="es-ES"/>
        </w:rPr>
      </w:pPr>
    </w:p>
    <w:p w14:paraId="097FB0DB" w14:textId="56625968" w:rsidR="002A4B22" w:rsidRPr="002A4B22" w:rsidRDefault="00001010" w:rsidP="002A4B2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01010">
        <w:rPr>
          <w:rFonts w:ascii="Arial" w:eastAsia="Times New Roman" w:hAnsi="Arial" w:cs="Arial"/>
          <w:sz w:val="20"/>
          <w:szCs w:val="20"/>
          <w:lang w:val="es-419" w:eastAsia="es-ES"/>
        </w:rPr>
        <w:t>no desconoce la Sala que la reclamación administrativa debe contener la solicitud clara y expresa de lo que se pretende, los hechos en que se fundamenta y en caso tal, el acto administrativo que se pretende controvertir, presupuestos todos que, contrario a lo considerado por el recurrente, se avizoran en la respuesta emitida por el 19 de octubre de 2017</w:t>
      </w:r>
      <w:r>
        <w:rPr>
          <w:rFonts w:ascii="Arial" w:eastAsia="Times New Roman" w:hAnsi="Arial" w:cs="Arial"/>
          <w:sz w:val="20"/>
          <w:szCs w:val="20"/>
          <w:lang w:val="es-419" w:eastAsia="es-ES"/>
        </w:rPr>
        <w:t>.</w:t>
      </w:r>
    </w:p>
    <w:p w14:paraId="02B06BE6" w14:textId="77777777" w:rsidR="002A4B22" w:rsidRPr="002A4B22" w:rsidRDefault="002A4B22" w:rsidP="002A4B22">
      <w:pPr>
        <w:spacing w:line="240" w:lineRule="auto"/>
        <w:rPr>
          <w:rFonts w:ascii="Arial" w:eastAsia="Times New Roman" w:hAnsi="Arial" w:cs="Arial"/>
          <w:sz w:val="20"/>
          <w:szCs w:val="20"/>
          <w:lang w:val="es-419" w:eastAsia="es-ES"/>
        </w:rPr>
      </w:pPr>
    </w:p>
    <w:p w14:paraId="45280738" w14:textId="0516DE23" w:rsidR="002A4B22" w:rsidRPr="002A4B22" w:rsidRDefault="00552220" w:rsidP="002A4B2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52220">
        <w:rPr>
          <w:rFonts w:ascii="Arial" w:eastAsia="Times New Roman" w:hAnsi="Arial" w:cs="Arial"/>
          <w:sz w:val="20"/>
          <w:szCs w:val="20"/>
          <w:lang w:val="es-419" w:eastAsia="es-ES"/>
        </w:rPr>
        <w:t>como quiera que ninguna de las partes</w:t>
      </w:r>
      <w:r>
        <w:rPr>
          <w:rFonts w:ascii="Arial" w:eastAsia="Times New Roman" w:hAnsi="Arial" w:cs="Arial"/>
          <w:sz w:val="20"/>
          <w:szCs w:val="20"/>
          <w:lang w:val="es-419" w:eastAsia="es-ES"/>
        </w:rPr>
        <w:t>…</w:t>
      </w:r>
      <w:r w:rsidRPr="00552220">
        <w:rPr>
          <w:rFonts w:ascii="Arial" w:eastAsia="Times New Roman" w:hAnsi="Arial" w:cs="Arial"/>
          <w:sz w:val="20"/>
          <w:szCs w:val="20"/>
          <w:lang w:val="es-419" w:eastAsia="es-ES"/>
        </w:rPr>
        <w:t xml:space="preserve"> aportó el escrito de la reclamación administrativa, de todas maneras de la respuesta emitida se infiere que la misma cumplió a cabalidad con los requisitos establecidos en el artículo 6 del C.S.T y de la S.S. y satisfizo el requisito de procedibilidad</w:t>
      </w:r>
    </w:p>
    <w:p w14:paraId="2BA9DB6F" w14:textId="5954865C" w:rsidR="002A4B22" w:rsidRDefault="002A4B22" w:rsidP="002A4B22">
      <w:pPr>
        <w:spacing w:line="240" w:lineRule="auto"/>
        <w:rPr>
          <w:rFonts w:ascii="Arial" w:eastAsia="Times New Roman" w:hAnsi="Arial" w:cs="Arial"/>
          <w:sz w:val="20"/>
          <w:szCs w:val="20"/>
          <w:lang w:eastAsia="es-ES"/>
        </w:rPr>
      </w:pPr>
    </w:p>
    <w:p w14:paraId="1AB34DE9" w14:textId="7B23905C" w:rsidR="00552220" w:rsidRDefault="00B845B6" w:rsidP="002A4B22">
      <w:pPr>
        <w:spacing w:line="240" w:lineRule="auto"/>
        <w:rPr>
          <w:rFonts w:ascii="Arial" w:eastAsia="Times New Roman" w:hAnsi="Arial" w:cs="Arial"/>
          <w:sz w:val="20"/>
          <w:szCs w:val="20"/>
          <w:lang w:eastAsia="es-ES"/>
        </w:rPr>
      </w:pPr>
      <w:r w:rsidRPr="00B845B6">
        <w:rPr>
          <w:rFonts w:ascii="Arial" w:eastAsia="Times New Roman" w:hAnsi="Arial" w:cs="Arial"/>
          <w:sz w:val="20"/>
          <w:szCs w:val="20"/>
          <w:lang w:eastAsia="es-ES"/>
        </w:rPr>
        <w:t>Como de antaño lo ha establecido esta Corporación, de conformidad con el artículo 13 del Código General del Proceso las normas procesales son de obligatorio cumplimiento, y a su vez el artículo 100 del mismo cuerpo normativo, consagra taxativamente las excepciones que pueden presentarse como previas, entre las cuales no se encuentra la falta de legitimación en la causa, misma que tampoco se consagró como mixta en el artículo 32 del C.P.T y de la S.S.</w:t>
      </w:r>
    </w:p>
    <w:p w14:paraId="2E53E939" w14:textId="77777777" w:rsidR="002A4B22" w:rsidRPr="002A4B22" w:rsidRDefault="002A4B22" w:rsidP="002A4B22">
      <w:pPr>
        <w:spacing w:line="240" w:lineRule="auto"/>
        <w:rPr>
          <w:rFonts w:ascii="Arial" w:eastAsia="Times New Roman" w:hAnsi="Arial" w:cs="Arial"/>
          <w:sz w:val="20"/>
          <w:szCs w:val="20"/>
          <w:lang w:eastAsia="es-ES"/>
        </w:rPr>
      </w:pPr>
    </w:p>
    <w:p w14:paraId="6426F683" w14:textId="77777777" w:rsidR="002A4B22" w:rsidRPr="002A4B22" w:rsidRDefault="002A4B22" w:rsidP="002A4B22">
      <w:pPr>
        <w:spacing w:line="240" w:lineRule="auto"/>
        <w:rPr>
          <w:rFonts w:ascii="Arial" w:eastAsia="Times New Roman" w:hAnsi="Arial" w:cs="Arial"/>
          <w:sz w:val="20"/>
          <w:szCs w:val="20"/>
          <w:lang w:eastAsia="es-ES"/>
        </w:rPr>
      </w:pPr>
    </w:p>
    <w:bookmarkEnd w:id="0"/>
    <w:p w14:paraId="45CBF261" w14:textId="77777777" w:rsidR="002A4B22" w:rsidRPr="002A4B22" w:rsidRDefault="002A4B22" w:rsidP="002A4B22">
      <w:pPr>
        <w:spacing w:line="240" w:lineRule="auto"/>
        <w:rPr>
          <w:rFonts w:ascii="Arial" w:eastAsia="Times New Roman" w:hAnsi="Arial" w:cs="Arial"/>
          <w:sz w:val="20"/>
          <w:szCs w:val="20"/>
          <w:lang w:eastAsia="es-ES"/>
        </w:rPr>
      </w:pPr>
    </w:p>
    <w:bookmarkEnd w:id="1"/>
    <w:p w14:paraId="113FDB76" w14:textId="77777777" w:rsidR="00B02A64" w:rsidRPr="002A4B22" w:rsidRDefault="00B02A64" w:rsidP="002A4B22">
      <w:pPr>
        <w:pStyle w:val="Ttulo4"/>
        <w:widowControl w:val="0"/>
        <w:tabs>
          <w:tab w:val="clear" w:pos="0"/>
        </w:tabs>
        <w:spacing w:line="276" w:lineRule="auto"/>
        <w:ind w:left="709" w:right="845"/>
        <w:rPr>
          <w:rFonts w:ascii="Tahoma" w:hAnsi="Tahoma" w:cs="Tahoma"/>
          <w:bCs/>
          <w:szCs w:val="24"/>
          <w:lang w:eastAsia="es-MX"/>
        </w:rPr>
      </w:pPr>
      <w:r w:rsidRPr="002A4B22">
        <w:rPr>
          <w:rFonts w:ascii="Tahoma" w:hAnsi="Tahoma" w:cs="Tahoma"/>
          <w:bCs/>
          <w:szCs w:val="24"/>
          <w:lang w:eastAsia="es-MX"/>
        </w:rPr>
        <w:t>TRIBUNAL SUPERIOR DEL DISTRITO JUDICIAL DE PEREIRA</w:t>
      </w:r>
    </w:p>
    <w:p w14:paraId="59D2FB15" w14:textId="77777777" w:rsidR="00B02A64" w:rsidRPr="002A4B22" w:rsidRDefault="00B02A64" w:rsidP="002A4B22">
      <w:pPr>
        <w:pStyle w:val="Ttulo4"/>
        <w:widowControl w:val="0"/>
        <w:tabs>
          <w:tab w:val="clear" w:pos="0"/>
        </w:tabs>
        <w:spacing w:line="276" w:lineRule="auto"/>
        <w:ind w:left="709" w:right="845"/>
        <w:rPr>
          <w:rFonts w:ascii="Tahoma" w:hAnsi="Tahoma" w:cs="Tahoma"/>
          <w:bCs/>
          <w:szCs w:val="24"/>
          <w:lang w:eastAsia="es-MX"/>
        </w:rPr>
      </w:pPr>
      <w:r w:rsidRPr="002A4B22">
        <w:rPr>
          <w:rFonts w:ascii="Tahoma" w:hAnsi="Tahoma" w:cs="Tahoma"/>
          <w:bCs/>
          <w:szCs w:val="24"/>
          <w:lang w:eastAsia="es-MX"/>
        </w:rPr>
        <w:t xml:space="preserve">SALA PRIMERA DE DECISION LABORAL </w:t>
      </w:r>
    </w:p>
    <w:p w14:paraId="0DF73DD5" w14:textId="77777777" w:rsidR="00B02A64" w:rsidRPr="002A4B22" w:rsidRDefault="00B02A64" w:rsidP="002A4B22">
      <w:pPr>
        <w:spacing w:line="276" w:lineRule="auto"/>
        <w:jc w:val="center"/>
        <w:rPr>
          <w:rFonts w:cs="Tahoma"/>
          <w:bCs/>
          <w:szCs w:val="24"/>
        </w:rPr>
      </w:pPr>
    </w:p>
    <w:p w14:paraId="610BC8C1" w14:textId="77777777" w:rsidR="00B02A64" w:rsidRPr="002A4B22" w:rsidRDefault="00B02A64" w:rsidP="002A4B22">
      <w:pPr>
        <w:spacing w:line="276" w:lineRule="auto"/>
        <w:jc w:val="center"/>
        <w:textAlignment w:val="baseline"/>
        <w:rPr>
          <w:rFonts w:eastAsia="Times New Roman" w:cs="Tahoma"/>
          <w:szCs w:val="24"/>
          <w:lang w:eastAsia="es-CO"/>
        </w:rPr>
      </w:pPr>
      <w:r w:rsidRPr="002A4B22">
        <w:rPr>
          <w:rFonts w:eastAsia="Times New Roman" w:cs="Tahoma"/>
          <w:szCs w:val="24"/>
          <w:lang w:eastAsia="es-CO"/>
        </w:rPr>
        <w:t>Magistrada Ponente: </w:t>
      </w:r>
      <w:r w:rsidRPr="002A4B22">
        <w:rPr>
          <w:rFonts w:eastAsia="Times New Roman" w:cs="Tahoma"/>
          <w:b/>
          <w:bCs/>
          <w:szCs w:val="24"/>
          <w:lang w:eastAsia="es-CO"/>
        </w:rPr>
        <w:t>Ana Lucía Caicedo Calderón</w:t>
      </w:r>
      <w:r w:rsidRPr="002A4B22">
        <w:rPr>
          <w:rFonts w:eastAsia="Times New Roman" w:cs="Tahoma"/>
          <w:szCs w:val="24"/>
          <w:lang w:eastAsia="es-CO"/>
        </w:rPr>
        <w:t> </w:t>
      </w:r>
    </w:p>
    <w:p w14:paraId="1C216CAE" w14:textId="77777777" w:rsidR="00B02A64" w:rsidRPr="002A4B22" w:rsidRDefault="00B02A64" w:rsidP="002A4B22">
      <w:pPr>
        <w:spacing w:line="276" w:lineRule="auto"/>
        <w:jc w:val="center"/>
        <w:textAlignment w:val="baseline"/>
        <w:rPr>
          <w:rFonts w:eastAsia="Times New Roman" w:cs="Tahoma"/>
          <w:szCs w:val="24"/>
          <w:lang w:eastAsia="es-CO"/>
        </w:rPr>
      </w:pPr>
      <w:r w:rsidRPr="002A4B22">
        <w:rPr>
          <w:rFonts w:eastAsia="Times New Roman" w:cs="Tahoma"/>
          <w:szCs w:val="24"/>
          <w:lang w:eastAsia="es-CO"/>
        </w:rPr>
        <w:t> </w:t>
      </w:r>
    </w:p>
    <w:p w14:paraId="40DFFCB8" w14:textId="77777777" w:rsidR="00BF1BCB" w:rsidRPr="002A4B22" w:rsidRDefault="00BF1BCB" w:rsidP="002A4B22">
      <w:pPr>
        <w:spacing w:line="276" w:lineRule="auto"/>
        <w:jc w:val="center"/>
        <w:textAlignment w:val="baseline"/>
        <w:rPr>
          <w:rFonts w:eastAsia="Times New Roman" w:cs="Tahoma"/>
          <w:szCs w:val="24"/>
          <w:lang w:val="es-CO" w:eastAsia="es-CO"/>
        </w:rPr>
      </w:pPr>
      <w:r w:rsidRPr="002A4B22">
        <w:rPr>
          <w:rFonts w:eastAsia="Times New Roman" w:cs="Tahoma"/>
          <w:szCs w:val="24"/>
          <w:lang w:val="es-CO" w:eastAsia="es-CO"/>
        </w:rPr>
        <w:t>Pereira, Risaralda, cuatro (4) de abril dos mil veintidós (2022)  </w:t>
      </w:r>
    </w:p>
    <w:p w14:paraId="6BEEF7DB" w14:textId="3F8A306D" w:rsidR="00BF1BCB" w:rsidRPr="002A4B22" w:rsidRDefault="00BF1BCB" w:rsidP="002A4B22">
      <w:pPr>
        <w:spacing w:line="276" w:lineRule="auto"/>
        <w:jc w:val="center"/>
        <w:textAlignment w:val="baseline"/>
        <w:rPr>
          <w:rFonts w:eastAsia="Times New Roman" w:cs="Tahoma"/>
          <w:szCs w:val="24"/>
          <w:lang w:val="es-CO" w:eastAsia="es-CO"/>
        </w:rPr>
      </w:pPr>
      <w:r w:rsidRPr="002A4B22">
        <w:rPr>
          <w:rFonts w:eastAsia="Times New Roman" w:cs="Tahoma"/>
          <w:szCs w:val="24"/>
          <w:lang w:val="es-CO" w:eastAsia="es-CO"/>
        </w:rPr>
        <w:t> Acta No. 50 del 31 de marzo de 2022</w:t>
      </w:r>
    </w:p>
    <w:p w14:paraId="58C5ADEB" w14:textId="77777777" w:rsidR="00B02A64" w:rsidRPr="002A4B22" w:rsidRDefault="00B02A64" w:rsidP="002A4B22">
      <w:pPr>
        <w:spacing w:line="276" w:lineRule="auto"/>
        <w:jc w:val="center"/>
        <w:rPr>
          <w:rFonts w:cs="Tahoma"/>
          <w:b/>
          <w:szCs w:val="24"/>
        </w:rPr>
      </w:pPr>
    </w:p>
    <w:p w14:paraId="32ADF1A1" w14:textId="77777777" w:rsidR="00B02A64" w:rsidRPr="002A4B22" w:rsidRDefault="00B02A64" w:rsidP="002A4B22">
      <w:pPr>
        <w:spacing w:line="276" w:lineRule="auto"/>
        <w:jc w:val="center"/>
        <w:rPr>
          <w:rFonts w:cs="Tahoma"/>
          <w:b/>
          <w:szCs w:val="24"/>
        </w:rPr>
      </w:pPr>
    </w:p>
    <w:p w14:paraId="561B7E7C" w14:textId="2B8C633E" w:rsidR="00B02A64" w:rsidRPr="002A4B22" w:rsidRDefault="00B02A64" w:rsidP="002A4B22">
      <w:pPr>
        <w:spacing w:line="276" w:lineRule="auto"/>
        <w:ind w:firstLine="709"/>
        <w:rPr>
          <w:rFonts w:cs="Tahoma"/>
          <w:b/>
          <w:bCs/>
          <w:szCs w:val="24"/>
        </w:rPr>
      </w:pPr>
      <w:r w:rsidRPr="002A4B22">
        <w:rPr>
          <w:rFonts w:cs="Tahoma"/>
          <w:szCs w:val="24"/>
        </w:rPr>
        <w:t>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w:t>
      </w:r>
      <w:r w:rsidR="00655004" w:rsidRPr="002A4B22">
        <w:rPr>
          <w:rFonts w:cs="Tahoma"/>
          <w:szCs w:val="24"/>
        </w:rPr>
        <w:t xml:space="preserve"> auto</w:t>
      </w:r>
      <w:r w:rsidRPr="002A4B22">
        <w:rPr>
          <w:rFonts w:cs="Tahoma"/>
          <w:szCs w:val="24"/>
        </w:rPr>
        <w:t xml:space="preserve"> escrit</w:t>
      </w:r>
      <w:r w:rsidR="00655004" w:rsidRPr="002A4B22">
        <w:rPr>
          <w:rFonts w:cs="Tahoma"/>
          <w:szCs w:val="24"/>
        </w:rPr>
        <w:t>o</w:t>
      </w:r>
      <w:r w:rsidRPr="002A4B22">
        <w:rPr>
          <w:rFonts w:cs="Tahoma"/>
          <w:szCs w:val="24"/>
        </w:rPr>
        <w:t xml:space="preserve"> dentro del proceso </w:t>
      </w:r>
      <w:r w:rsidRPr="004360A9">
        <w:rPr>
          <w:rFonts w:cs="Tahoma"/>
          <w:b/>
          <w:szCs w:val="24"/>
        </w:rPr>
        <w:t>ordinario labora</w:t>
      </w:r>
      <w:r w:rsidRPr="002A4B22">
        <w:rPr>
          <w:rFonts w:cs="Tahoma"/>
          <w:szCs w:val="24"/>
        </w:rPr>
        <w:t xml:space="preserve">l instaurado por </w:t>
      </w:r>
      <w:r w:rsidR="00655004" w:rsidRPr="002A4B22">
        <w:rPr>
          <w:rFonts w:eastAsia="Times New Roman" w:cs="Tahoma"/>
          <w:b/>
          <w:bCs/>
          <w:szCs w:val="24"/>
          <w:lang w:eastAsia="es-ES"/>
        </w:rPr>
        <w:t xml:space="preserve">María Oralia Reyes Gutiérrez </w:t>
      </w:r>
      <w:r w:rsidRPr="002A4B22">
        <w:rPr>
          <w:rFonts w:cs="Tahoma"/>
          <w:szCs w:val="24"/>
        </w:rPr>
        <w:t>en contra de</w:t>
      </w:r>
      <w:r w:rsidR="00655004" w:rsidRPr="002A4B22">
        <w:rPr>
          <w:rFonts w:cs="Tahoma"/>
          <w:szCs w:val="24"/>
        </w:rPr>
        <w:t xml:space="preserve"> </w:t>
      </w:r>
      <w:r w:rsidR="00655004" w:rsidRPr="002A4B22">
        <w:rPr>
          <w:rFonts w:cs="Tahoma"/>
          <w:b/>
          <w:bCs/>
          <w:szCs w:val="24"/>
        </w:rPr>
        <w:t>Colpensiones</w:t>
      </w:r>
      <w:r w:rsidR="00C922CB" w:rsidRPr="002A4B22">
        <w:rPr>
          <w:rFonts w:cs="Tahoma"/>
          <w:b/>
          <w:bCs/>
          <w:szCs w:val="24"/>
        </w:rPr>
        <w:t xml:space="preserve">, </w:t>
      </w:r>
      <w:proofErr w:type="spellStart"/>
      <w:r w:rsidR="003B6BC4" w:rsidRPr="002A4B22">
        <w:rPr>
          <w:rFonts w:cs="Tahoma"/>
          <w:b/>
          <w:bCs/>
          <w:szCs w:val="24"/>
        </w:rPr>
        <w:t>Fiduagraria</w:t>
      </w:r>
      <w:proofErr w:type="spellEnd"/>
      <w:r w:rsidR="00C922CB" w:rsidRPr="002A4B22">
        <w:rPr>
          <w:rFonts w:cs="Tahoma"/>
          <w:b/>
          <w:bCs/>
          <w:szCs w:val="24"/>
        </w:rPr>
        <w:t xml:space="preserve"> S.A </w:t>
      </w:r>
      <w:r w:rsidR="00C922CB" w:rsidRPr="00C43D97">
        <w:rPr>
          <w:rFonts w:cs="Tahoma"/>
          <w:bCs/>
          <w:szCs w:val="24"/>
        </w:rPr>
        <w:t>como vocera</w:t>
      </w:r>
      <w:r w:rsidR="00C922CB" w:rsidRPr="002A4B22">
        <w:rPr>
          <w:rFonts w:cs="Tahoma"/>
          <w:b/>
          <w:bCs/>
          <w:szCs w:val="24"/>
        </w:rPr>
        <w:t xml:space="preserve"> del P.A.R.I.S.S, y el Ministerio de Salud y de la Protección Social</w:t>
      </w:r>
      <w:r w:rsidR="00C922CB" w:rsidRPr="00C43D97">
        <w:rPr>
          <w:rFonts w:cs="Tahoma"/>
          <w:bCs/>
          <w:szCs w:val="24"/>
        </w:rPr>
        <w:t xml:space="preserve">. </w:t>
      </w:r>
    </w:p>
    <w:p w14:paraId="6DBFEE7F" w14:textId="772D8288" w:rsidR="002441C8" w:rsidRPr="002A4B22" w:rsidRDefault="002441C8" w:rsidP="002A4B22">
      <w:pPr>
        <w:spacing w:line="276" w:lineRule="auto"/>
        <w:ind w:firstLine="709"/>
        <w:rPr>
          <w:rFonts w:cs="Tahoma"/>
          <w:b/>
          <w:szCs w:val="24"/>
        </w:rPr>
      </w:pPr>
    </w:p>
    <w:p w14:paraId="27F59A1D" w14:textId="2597D562" w:rsidR="002441C8" w:rsidRPr="002A4B22" w:rsidRDefault="002441C8" w:rsidP="002A4B22">
      <w:pPr>
        <w:spacing w:line="276" w:lineRule="auto"/>
        <w:ind w:firstLine="709"/>
        <w:jc w:val="center"/>
        <w:rPr>
          <w:rFonts w:cs="Tahoma"/>
          <w:b/>
          <w:szCs w:val="24"/>
        </w:rPr>
      </w:pPr>
      <w:r w:rsidRPr="002A4B22">
        <w:rPr>
          <w:rFonts w:cs="Tahoma"/>
          <w:b/>
          <w:szCs w:val="24"/>
        </w:rPr>
        <w:t xml:space="preserve">RECONOCIMIENTO DE PERSONERÍA JURIDICA </w:t>
      </w:r>
    </w:p>
    <w:p w14:paraId="4CE1E066" w14:textId="106A940E" w:rsidR="002441C8" w:rsidRPr="002A4B22" w:rsidRDefault="002441C8" w:rsidP="002A4B22">
      <w:pPr>
        <w:spacing w:line="276" w:lineRule="auto"/>
        <w:ind w:firstLine="709"/>
        <w:jc w:val="center"/>
        <w:rPr>
          <w:rFonts w:cs="Tahoma"/>
          <w:b/>
          <w:szCs w:val="24"/>
        </w:rPr>
      </w:pPr>
    </w:p>
    <w:p w14:paraId="63BE9F3F" w14:textId="526FB568" w:rsidR="002441C8" w:rsidRPr="002A4B22" w:rsidRDefault="00C43D97" w:rsidP="002A4B22">
      <w:pPr>
        <w:spacing w:line="276" w:lineRule="auto"/>
        <w:ind w:firstLine="709"/>
        <w:rPr>
          <w:rFonts w:cs="Tahoma"/>
          <w:bCs/>
          <w:szCs w:val="24"/>
        </w:rPr>
      </w:pPr>
      <w:r>
        <w:rPr>
          <w:rFonts w:cs="Tahoma"/>
          <w:bCs/>
          <w:szCs w:val="24"/>
        </w:rPr>
        <w:t>(…)</w:t>
      </w:r>
    </w:p>
    <w:p w14:paraId="46DB0FFE" w14:textId="77777777" w:rsidR="00137401" w:rsidRPr="002A4B22" w:rsidRDefault="00137401" w:rsidP="002A4B22">
      <w:pPr>
        <w:spacing w:line="276" w:lineRule="auto"/>
        <w:ind w:firstLine="709"/>
        <w:rPr>
          <w:rFonts w:cs="Tahoma"/>
          <w:bCs/>
          <w:szCs w:val="24"/>
        </w:rPr>
      </w:pPr>
    </w:p>
    <w:p w14:paraId="77D04272" w14:textId="77777777" w:rsidR="00B02A64" w:rsidRPr="002A4B22" w:rsidRDefault="00B02A64" w:rsidP="002A4B22">
      <w:pPr>
        <w:pStyle w:val="paragraph"/>
        <w:spacing w:before="0" w:beforeAutospacing="0" w:after="0" w:afterAutospacing="0" w:line="276" w:lineRule="auto"/>
        <w:jc w:val="center"/>
        <w:textAlignment w:val="baseline"/>
        <w:rPr>
          <w:rStyle w:val="normaltextrun"/>
          <w:rFonts w:ascii="Tahoma" w:hAnsi="Tahoma" w:cs="Tahoma"/>
          <w:b/>
          <w:bCs/>
        </w:rPr>
      </w:pPr>
      <w:r w:rsidRPr="002A4B22">
        <w:rPr>
          <w:rStyle w:val="normaltextrun"/>
          <w:rFonts w:ascii="Tahoma" w:hAnsi="Tahoma" w:cs="Tahoma"/>
          <w:b/>
          <w:bCs/>
        </w:rPr>
        <w:t>PUNTO A TRATAR</w:t>
      </w:r>
    </w:p>
    <w:p w14:paraId="0B9202BB" w14:textId="77777777" w:rsidR="00B02A64" w:rsidRPr="002A4B22" w:rsidRDefault="00B02A64" w:rsidP="002A4B22">
      <w:pPr>
        <w:pStyle w:val="paragraph"/>
        <w:spacing w:before="0" w:beforeAutospacing="0" w:after="0" w:afterAutospacing="0" w:line="276" w:lineRule="auto"/>
        <w:jc w:val="center"/>
        <w:textAlignment w:val="baseline"/>
        <w:rPr>
          <w:rFonts w:ascii="Tahoma" w:hAnsi="Tahoma" w:cs="Tahoma"/>
        </w:rPr>
      </w:pPr>
    </w:p>
    <w:p w14:paraId="2A7580DA" w14:textId="3218B62F" w:rsidR="00B02A64" w:rsidRPr="002A4B22" w:rsidRDefault="00B02A64" w:rsidP="002A4B22">
      <w:pPr>
        <w:spacing w:line="276" w:lineRule="auto"/>
        <w:ind w:firstLine="708"/>
        <w:rPr>
          <w:rStyle w:val="normaltextrun"/>
          <w:rFonts w:cs="Tahoma"/>
          <w:szCs w:val="24"/>
        </w:rPr>
      </w:pPr>
      <w:r w:rsidRPr="002A4B22">
        <w:rPr>
          <w:rStyle w:val="normaltextrun"/>
          <w:rFonts w:cs="Tahoma"/>
          <w:szCs w:val="24"/>
        </w:rPr>
        <w:t>Por medio de esta providencia</w:t>
      </w:r>
      <w:r w:rsidR="008D1ABA" w:rsidRPr="002A4B22">
        <w:rPr>
          <w:rStyle w:val="normaltextrun"/>
          <w:rFonts w:cs="Tahoma"/>
          <w:szCs w:val="24"/>
        </w:rPr>
        <w:t xml:space="preserve"> </w:t>
      </w:r>
      <w:r w:rsidRPr="002A4B22">
        <w:rPr>
          <w:rStyle w:val="normaltextrun"/>
          <w:rFonts w:cs="Tahoma"/>
          <w:szCs w:val="24"/>
        </w:rPr>
        <w:t>procede la Sala a</w:t>
      </w:r>
      <w:r w:rsidRPr="002A4B22">
        <w:rPr>
          <w:rFonts w:cs="Tahoma"/>
          <w:szCs w:val="24"/>
        </w:rPr>
        <w:t xml:space="preserve"> resolver </w:t>
      </w:r>
      <w:r w:rsidR="002C3499" w:rsidRPr="002A4B22">
        <w:rPr>
          <w:rFonts w:cs="Tahoma"/>
          <w:szCs w:val="24"/>
        </w:rPr>
        <w:t>el</w:t>
      </w:r>
      <w:r w:rsidRPr="002A4B22">
        <w:rPr>
          <w:rFonts w:cs="Tahoma"/>
          <w:szCs w:val="24"/>
        </w:rPr>
        <w:t xml:space="preserve"> recurso de apelación interpuesto por </w:t>
      </w:r>
      <w:r w:rsidR="00124421" w:rsidRPr="002A4B22">
        <w:rPr>
          <w:rFonts w:cs="Tahoma"/>
          <w:szCs w:val="24"/>
        </w:rPr>
        <w:t>el</w:t>
      </w:r>
      <w:r w:rsidR="00E22AE7" w:rsidRPr="002A4B22">
        <w:rPr>
          <w:rFonts w:cs="Tahoma"/>
          <w:szCs w:val="24"/>
        </w:rPr>
        <w:t xml:space="preserve"> Ministerio de Salud y Protección Social contra el auto </w:t>
      </w:r>
      <w:r w:rsidR="001364C9" w:rsidRPr="002A4B22">
        <w:rPr>
          <w:rFonts w:cs="Tahoma"/>
          <w:szCs w:val="24"/>
        </w:rPr>
        <w:t xml:space="preserve">declaró imprósperas las excepciones previas propuestas, </w:t>
      </w:r>
      <w:r w:rsidR="00E22AE7" w:rsidRPr="002A4B22">
        <w:rPr>
          <w:rFonts w:cs="Tahoma"/>
          <w:szCs w:val="24"/>
        </w:rPr>
        <w:t>proferido por el Juzgado Tercero Laboral del Circuito de Pereira</w:t>
      </w:r>
      <w:r w:rsidR="00E26F40" w:rsidRPr="002A4B22">
        <w:rPr>
          <w:rFonts w:cs="Tahoma"/>
          <w:szCs w:val="24"/>
        </w:rPr>
        <w:t xml:space="preserve"> el 12 de julio de 2021</w:t>
      </w:r>
      <w:r w:rsidR="007F4E79" w:rsidRPr="002A4B22">
        <w:rPr>
          <w:rFonts w:cs="Tahoma"/>
          <w:szCs w:val="24"/>
        </w:rPr>
        <w:t xml:space="preserve">, </w:t>
      </w:r>
      <w:r w:rsidR="007F4E79" w:rsidRPr="002A4B22">
        <w:rPr>
          <w:rFonts w:cs="Tahoma"/>
          <w:b/>
          <w:szCs w:val="24"/>
        </w:rPr>
        <w:t>r</w:t>
      </w:r>
      <w:r w:rsidR="00E26F40" w:rsidRPr="002A4B22">
        <w:rPr>
          <w:rFonts w:cs="Tahoma"/>
          <w:b/>
          <w:szCs w:val="24"/>
        </w:rPr>
        <w:t xml:space="preserve">emitido a este </w:t>
      </w:r>
      <w:r w:rsidR="007F4E79" w:rsidRPr="002A4B22">
        <w:rPr>
          <w:rFonts w:cs="Tahoma"/>
          <w:b/>
          <w:szCs w:val="24"/>
        </w:rPr>
        <w:t>C</w:t>
      </w:r>
      <w:r w:rsidR="00E26F40" w:rsidRPr="002A4B22">
        <w:rPr>
          <w:rFonts w:cs="Tahoma"/>
          <w:b/>
          <w:szCs w:val="24"/>
        </w:rPr>
        <w:t xml:space="preserve">uerpo </w:t>
      </w:r>
      <w:r w:rsidR="007F4E79" w:rsidRPr="002A4B22">
        <w:rPr>
          <w:rFonts w:cs="Tahoma"/>
          <w:b/>
          <w:szCs w:val="24"/>
        </w:rPr>
        <w:t>C</w:t>
      </w:r>
      <w:r w:rsidR="00E26F40" w:rsidRPr="002A4B22">
        <w:rPr>
          <w:rFonts w:cs="Tahoma"/>
          <w:b/>
          <w:szCs w:val="24"/>
        </w:rPr>
        <w:t xml:space="preserve">olegiado el </w:t>
      </w:r>
      <w:r w:rsidR="005758D3" w:rsidRPr="002A4B22">
        <w:rPr>
          <w:rFonts w:cs="Tahoma"/>
          <w:b/>
          <w:szCs w:val="24"/>
        </w:rPr>
        <w:t>15 de diciembre de</w:t>
      </w:r>
      <w:r w:rsidR="00060615" w:rsidRPr="002A4B22">
        <w:rPr>
          <w:rFonts w:cs="Tahoma"/>
          <w:b/>
          <w:szCs w:val="24"/>
        </w:rPr>
        <w:t xml:space="preserve">l mismo año </w:t>
      </w:r>
      <w:r w:rsidR="00E26F40" w:rsidRPr="002A4B22">
        <w:rPr>
          <w:rFonts w:cs="Tahoma"/>
          <w:b/>
          <w:szCs w:val="24"/>
        </w:rPr>
        <w:t xml:space="preserve">y asignado por reparto </w:t>
      </w:r>
      <w:r w:rsidR="007F4E79" w:rsidRPr="002A4B22">
        <w:rPr>
          <w:rFonts w:cs="Tahoma"/>
          <w:b/>
          <w:szCs w:val="24"/>
        </w:rPr>
        <w:t>a la Magistrada Ponente el</w:t>
      </w:r>
      <w:r w:rsidR="00E26F40" w:rsidRPr="002A4B22">
        <w:rPr>
          <w:rFonts w:cs="Tahoma"/>
          <w:b/>
          <w:szCs w:val="24"/>
        </w:rPr>
        <w:t xml:space="preserve"> 18 de enero de 202</w:t>
      </w:r>
      <w:r w:rsidR="001364C9" w:rsidRPr="002A4B22">
        <w:rPr>
          <w:rFonts w:cs="Tahoma"/>
          <w:b/>
          <w:szCs w:val="24"/>
        </w:rPr>
        <w:t>2</w:t>
      </w:r>
      <w:r w:rsidR="008E6AE4" w:rsidRPr="002A4B22">
        <w:rPr>
          <w:rFonts w:cs="Tahoma"/>
          <w:szCs w:val="24"/>
        </w:rPr>
        <w:t xml:space="preserve">. </w:t>
      </w:r>
    </w:p>
    <w:p w14:paraId="420ECBD3" w14:textId="77777777" w:rsidR="00124421" w:rsidRPr="002A4B22" w:rsidRDefault="00124421" w:rsidP="002A4B22">
      <w:pPr>
        <w:spacing w:line="276" w:lineRule="auto"/>
        <w:ind w:firstLine="708"/>
        <w:rPr>
          <w:rFonts w:cs="Tahoma"/>
          <w:szCs w:val="24"/>
        </w:rPr>
      </w:pPr>
    </w:p>
    <w:p w14:paraId="78DCFD2A" w14:textId="77777777" w:rsidR="004E7258" w:rsidRPr="002A4B22" w:rsidRDefault="004E7258" w:rsidP="002A4B22">
      <w:pPr>
        <w:spacing w:line="276" w:lineRule="auto"/>
        <w:ind w:firstLine="708"/>
        <w:rPr>
          <w:rFonts w:cs="Tahoma"/>
          <w:szCs w:val="24"/>
        </w:rPr>
      </w:pPr>
    </w:p>
    <w:p w14:paraId="06F71854" w14:textId="319443DE" w:rsidR="00B67192" w:rsidRPr="002A4B22" w:rsidRDefault="004B5F35" w:rsidP="002A4B22">
      <w:pPr>
        <w:pStyle w:val="Prrafodelista"/>
        <w:numPr>
          <w:ilvl w:val="0"/>
          <w:numId w:val="9"/>
        </w:numPr>
        <w:spacing w:line="276" w:lineRule="auto"/>
        <w:ind w:left="0" w:firstLine="0"/>
        <w:jc w:val="center"/>
        <w:rPr>
          <w:rFonts w:eastAsia="Calibri" w:cs="Tahoma"/>
          <w:b/>
          <w:bCs/>
          <w:szCs w:val="24"/>
        </w:rPr>
      </w:pPr>
      <w:r w:rsidRPr="002A4B22">
        <w:rPr>
          <w:rFonts w:eastAsia="Calibri" w:cs="Tahoma"/>
          <w:b/>
          <w:bCs/>
          <w:szCs w:val="24"/>
        </w:rPr>
        <w:t>ANTECEDENTES</w:t>
      </w:r>
    </w:p>
    <w:p w14:paraId="2C6CBFE0" w14:textId="6309D09C" w:rsidR="0081729B" w:rsidRPr="002A4B22" w:rsidRDefault="0081729B" w:rsidP="002A4B22">
      <w:pPr>
        <w:spacing w:line="276" w:lineRule="auto"/>
        <w:ind w:firstLine="708"/>
        <w:rPr>
          <w:rFonts w:eastAsia="Calibri" w:cs="Tahoma"/>
          <w:szCs w:val="24"/>
        </w:rPr>
      </w:pPr>
    </w:p>
    <w:p w14:paraId="5625FDBA" w14:textId="68892B28" w:rsidR="00F95909" w:rsidRPr="002A4B22" w:rsidRDefault="0081729B" w:rsidP="002A4B22">
      <w:pPr>
        <w:spacing w:line="276" w:lineRule="auto"/>
        <w:ind w:firstLine="708"/>
        <w:rPr>
          <w:rFonts w:cs="Tahoma"/>
          <w:szCs w:val="24"/>
        </w:rPr>
      </w:pPr>
      <w:r w:rsidRPr="002A4B22">
        <w:rPr>
          <w:rFonts w:cs="Tahoma"/>
          <w:szCs w:val="24"/>
        </w:rPr>
        <w:t xml:space="preserve">Para mejor proveer debe indicarse que </w:t>
      </w:r>
      <w:r w:rsidR="00F95909" w:rsidRPr="002A4B22">
        <w:rPr>
          <w:rFonts w:cs="Tahoma"/>
          <w:szCs w:val="24"/>
        </w:rPr>
        <w:t>con el presente proceso la demandante pretende que se</w:t>
      </w:r>
      <w:r w:rsidR="00FC3A14" w:rsidRPr="002A4B22">
        <w:rPr>
          <w:rFonts w:cs="Tahoma"/>
          <w:szCs w:val="24"/>
        </w:rPr>
        <w:t xml:space="preserve"> condene a Colpensiones, la Sociedad </w:t>
      </w:r>
      <w:proofErr w:type="spellStart"/>
      <w:r w:rsidR="00FC3A14" w:rsidRPr="002A4B22">
        <w:rPr>
          <w:rFonts w:cs="Tahoma"/>
          <w:szCs w:val="24"/>
        </w:rPr>
        <w:t>Fiduagraria</w:t>
      </w:r>
      <w:proofErr w:type="spellEnd"/>
      <w:r w:rsidR="00FC3A14" w:rsidRPr="002A4B22">
        <w:rPr>
          <w:rFonts w:cs="Tahoma"/>
          <w:szCs w:val="24"/>
        </w:rPr>
        <w:t xml:space="preserve"> de </w:t>
      </w:r>
      <w:r w:rsidR="009037CB" w:rsidRPr="002A4B22">
        <w:rPr>
          <w:rFonts w:cs="Tahoma"/>
          <w:szCs w:val="24"/>
        </w:rPr>
        <w:t>D</w:t>
      </w:r>
      <w:r w:rsidR="00FC3A14" w:rsidRPr="002A4B22">
        <w:rPr>
          <w:rFonts w:cs="Tahoma"/>
          <w:szCs w:val="24"/>
        </w:rPr>
        <w:t xml:space="preserve">esarrollo </w:t>
      </w:r>
      <w:r w:rsidR="005B4F4D" w:rsidRPr="002A4B22">
        <w:rPr>
          <w:rFonts w:cs="Tahoma"/>
          <w:szCs w:val="24"/>
        </w:rPr>
        <w:t>Agropecuario</w:t>
      </w:r>
      <w:r w:rsidR="00FC3A14" w:rsidRPr="002A4B22">
        <w:rPr>
          <w:rFonts w:cs="Tahoma"/>
          <w:szCs w:val="24"/>
        </w:rPr>
        <w:t xml:space="preserve"> </w:t>
      </w:r>
      <w:r w:rsidR="009037CB" w:rsidRPr="002A4B22">
        <w:rPr>
          <w:rFonts w:cs="Tahoma"/>
          <w:szCs w:val="24"/>
        </w:rPr>
        <w:t>S.A</w:t>
      </w:r>
      <w:r w:rsidR="001F2F80">
        <w:rPr>
          <w:rFonts w:cs="Tahoma"/>
          <w:szCs w:val="24"/>
        </w:rPr>
        <w:t>.</w:t>
      </w:r>
      <w:r w:rsidR="009037CB" w:rsidRPr="002A4B22">
        <w:rPr>
          <w:rFonts w:cs="Tahoma"/>
          <w:szCs w:val="24"/>
        </w:rPr>
        <w:t xml:space="preserve"> </w:t>
      </w:r>
      <w:r w:rsidR="00270449" w:rsidRPr="002A4B22">
        <w:rPr>
          <w:rFonts w:cs="Tahoma"/>
          <w:szCs w:val="24"/>
        </w:rPr>
        <w:t xml:space="preserve">– </w:t>
      </w:r>
      <w:proofErr w:type="spellStart"/>
      <w:r w:rsidR="00270449" w:rsidRPr="002A4B22">
        <w:rPr>
          <w:rFonts w:cs="Tahoma"/>
          <w:szCs w:val="24"/>
        </w:rPr>
        <w:t>Fiduagraria</w:t>
      </w:r>
      <w:proofErr w:type="spellEnd"/>
      <w:r w:rsidR="00270449" w:rsidRPr="002A4B22">
        <w:rPr>
          <w:rFonts w:cs="Tahoma"/>
          <w:szCs w:val="24"/>
        </w:rPr>
        <w:t xml:space="preserve"> S.A</w:t>
      </w:r>
      <w:r w:rsidR="001F2F80">
        <w:rPr>
          <w:rFonts w:cs="Tahoma"/>
          <w:szCs w:val="24"/>
        </w:rPr>
        <w:t>.</w:t>
      </w:r>
      <w:r w:rsidR="00270449" w:rsidRPr="002A4B22">
        <w:rPr>
          <w:rFonts w:cs="Tahoma"/>
          <w:szCs w:val="24"/>
        </w:rPr>
        <w:t xml:space="preserve"> como  vocera y administradora del Instituto de Seguros Sociales en liquidación P.A.R.I.S.S y </w:t>
      </w:r>
      <w:r w:rsidR="0084150A" w:rsidRPr="002A4B22">
        <w:rPr>
          <w:rFonts w:cs="Tahoma"/>
          <w:szCs w:val="24"/>
        </w:rPr>
        <w:t>al</w:t>
      </w:r>
      <w:r w:rsidR="00270449" w:rsidRPr="002A4B22">
        <w:rPr>
          <w:rFonts w:cs="Tahoma"/>
          <w:szCs w:val="24"/>
        </w:rPr>
        <w:t xml:space="preserve"> Ministerio de Salud y de la Protección Social </w:t>
      </w:r>
      <w:r w:rsidR="0084150A" w:rsidRPr="002A4B22">
        <w:rPr>
          <w:rFonts w:cs="Tahoma"/>
          <w:szCs w:val="24"/>
        </w:rPr>
        <w:t xml:space="preserve">a cancelar el pago del cálculo actuarial </w:t>
      </w:r>
      <w:r w:rsidR="00293743" w:rsidRPr="002A4B22">
        <w:rPr>
          <w:rFonts w:cs="Tahoma"/>
          <w:szCs w:val="24"/>
        </w:rPr>
        <w:t xml:space="preserve">por los periodos en mora dejados de cotizar entre el 1 de septiembre de 1984 y el 30 de septiembre de 1997 y en consecuencia se condene a la Administradora Colombiana </w:t>
      </w:r>
      <w:r w:rsidR="00876690" w:rsidRPr="002A4B22">
        <w:rPr>
          <w:rFonts w:cs="Tahoma"/>
          <w:szCs w:val="24"/>
        </w:rPr>
        <w:t xml:space="preserve">de Pensiones </w:t>
      </w:r>
      <w:r w:rsidR="001F2F80">
        <w:rPr>
          <w:rFonts w:cs="Tahoma"/>
          <w:szCs w:val="24"/>
        </w:rPr>
        <w:t xml:space="preserve">– </w:t>
      </w:r>
      <w:r w:rsidR="00876690" w:rsidRPr="002A4B22">
        <w:rPr>
          <w:rFonts w:cs="Tahoma"/>
          <w:szCs w:val="24"/>
        </w:rPr>
        <w:t xml:space="preserve">Colpensiones a reconocer y pagar la prestación por vejez </w:t>
      </w:r>
      <w:r w:rsidR="005A5892" w:rsidRPr="002A4B22">
        <w:rPr>
          <w:rFonts w:cs="Tahoma"/>
          <w:szCs w:val="24"/>
        </w:rPr>
        <w:t xml:space="preserve">como </w:t>
      </w:r>
      <w:r w:rsidR="005B4F4D" w:rsidRPr="002A4B22">
        <w:rPr>
          <w:rFonts w:cs="Tahoma"/>
          <w:szCs w:val="24"/>
        </w:rPr>
        <w:t>beneficiaria</w:t>
      </w:r>
      <w:r w:rsidR="005A5892" w:rsidRPr="002A4B22">
        <w:rPr>
          <w:rFonts w:cs="Tahoma"/>
          <w:szCs w:val="24"/>
        </w:rPr>
        <w:t xml:space="preserve"> del régimen de transición consagrado en el artículo 36 de la ley 100 de 1993, a partir del 1 de abril de 2010</w:t>
      </w:r>
      <w:r w:rsidR="005B4F4D" w:rsidRPr="002A4B22">
        <w:rPr>
          <w:rFonts w:cs="Tahoma"/>
          <w:szCs w:val="24"/>
        </w:rPr>
        <w:t>.</w:t>
      </w:r>
    </w:p>
    <w:p w14:paraId="62F2766A" w14:textId="77777777" w:rsidR="0081729B" w:rsidRPr="002A4B22" w:rsidRDefault="0081729B" w:rsidP="002A4B22">
      <w:pPr>
        <w:spacing w:line="276" w:lineRule="auto"/>
        <w:rPr>
          <w:rFonts w:cs="Tahoma"/>
          <w:szCs w:val="24"/>
          <w:lang w:val="es-ES_tradnl"/>
        </w:rPr>
      </w:pPr>
    </w:p>
    <w:p w14:paraId="37AB7F45" w14:textId="3EAA9528" w:rsidR="00EF1718" w:rsidRPr="002A4B22" w:rsidRDefault="0081729B" w:rsidP="002A4B22">
      <w:pPr>
        <w:spacing w:line="276" w:lineRule="auto"/>
        <w:rPr>
          <w:rFonts w:cs="Tahoma"/>
          <w:szCs w:val="24"/>
          <w:lang w:val="es-ES_tradnl"/>
        </w:rPr>
      </w:pPr>
      <w:r w:rsidRPr="002A4B22">
        <w:rPr>
          <w:rFonts w:cs="Tahoma"/>
          <w:szCs w:val="24"/>
          <w:lang w:val="es-ES_tradnl"/>
        </w:rPr>
        <w:tab/>
        <w:t xml:space="preserve">Para lo que interesa al asunto se indicará que </w:t>
      </w:r>
      <w:r w:rsidR="005B4F4D" w:rsidRPr="002A4B22">
        <w:rPr>
          <w:rFonts w:cs="Tahoma"/>
          <w:szCs w:val="24"/>
          <w:lang w:val="es-ES_tradnl"/>
        </w:rPr>
        <w:t xml:space="preserve">el Ministerio de Salud y de la </w:t>
      </w:r>
      <w:r w:rsidR="00EF1718" w:rsidRPr="002A4B22">
        <w:rPr>
          <w:rFonts w:cs="Tahoma"/>
          <w:szCs w:val="24"/>
          <w:lang w:val="es-ES_tradnl"/>
        </w:rPr>
        <w:t>Protección</w:t>
      </w:r>
      <w:r w:rsidR="005B4F4D" w:rsidRPr="002A4B22">
        <w:rPr>
          <w:rFonts w:cs="Tahoma"/>
          <w:szCs w:val="24"/>
          <w:lang w:val="es-ES_tradnl"/>
        </w:rPr>
        <w:t xml:space="preserve"> Social </w:t>
      </w:r>
      <w:r w:rsidRPr="002A4B22">
        <w:rPr>
          <w:rFonts w:cs="Tahoma"/>
          <w:szCs w:val="24"/>
          <w:lang w:val="es-ES_tradnl"/>
        </w:rPr>
        <w:t xml:space="preserve">propuso </w:t>
      </w:r>
      <w:r w:rsidR="00EF1718" w:rsidRPr="002A4B22">
        <w:rPr>
          <w:rFonts w:cs="Tahoma"/>
          <w:szCs w:val="24"/>
          <w:lang w:val="es-ES_tradnl"/>
        </w:rPr>
        <w:t>como excepciones previas</w:t>
      </w:r>
      <w:r w:rsidRPr="002A4B22">
        <w:rPr>
          <w:rFonts w:cs="Tahoma"/>
          <w:szCs w:val="24"/>
          <w:lang w:val="es-ES_tradnl"/>
        </w:rPr>
        <w:t xml:space="preserve"> </w:t>
      </w:r>
      <w:r w:rsidR="00EF1718" w:rsidRPr="002A4B22">
        <w:rPr>
          <w:rFonts w:cs="Tahoma"/>
          <w:szCs w:val="24"/>
          <w:lang w:val="es-ES_tradnl"/>
        </w:rPr>
        <w:t xml:space="preserve">la </w:t>
      </w:r>
      <w:r w:rsidRPr="002A4B22">
        <w:rPr>
          <w:rFonts w:cs="Tahoma"/>
          <w:szCs w:val="24"/>
          <w:lang w:val="es-ES_tradnl"/>
        </w:rPr>
        <w:t xml:space="preserve">de “Falta de </w:t>
      </w:r>
      <w:r w:rsidR="00513B51" w:rsidRPr="002A4B22">
        <w:rPr>
          <w:rFonts w:cs="Tahoma"/>
          <w:szCs w:val="24"/>
          <w:lang w:val="es-ES_tradnl"/>
        </w:rPr>
        <w:t xml:space="preserve">agotamiento de la </w:t>
      </w:r>
      <w:r w:rsidRPr="002A4B22">
        <w:rPr>
          <w:rFonts w:cs="Tahoma"/>
          <w:szCs w:val="24"/>
          <w:lang w:val="es-ES_tradnl"/>
        </w:rPr>
        <w:t>reclamación administrativa”</w:t>
      </w:r>
      <w:r w:rsidR="00EF1718" w:rsidRPr="002A4B22">
        <w:rPr>
          <w:rFonts w:cs="Tahoma"/>
          <w:szCs w:val="24"/>
          <w:lang w:val="es-ES_tradnl"/>
        </w:rPr>
        <w:t xml:space="preserve"> y “falta de legitimación en la causa por pasiva”</w:t>
      </w:r>
      <w:r w:rsidR="00513B51" w:rsidRPr="002A4B22">
        <w:rPr>
          <w:rFonts w:cs="Tahoma"/>
          <w:szCs w:val="24"/>
          <w:lang w:val="es-ES_tradnl"/>
        </w:rPr>
        <w:t xml:space="preserve">. </w:t>
      </w:r>
    </w:p>
    <w:p w14:paraId="312900B7" w14:textId="0D0D3683" w:rsidR="00513B51" w:rsidRPr="002A4B22" w:rsidRDefault="00513B51" w:rsidP="002A4B22">
      <w:pPr>
        <w:spacing w:line="276" w:lineRule="auto"/>
        <w:rPr>
          <w:rFonts w:cs="Tahoma"/>
          <w:szCs w:val="24"/>
          <w:lang w:val="es-ES_tradnl"/>
        </w:rPr>
      </w:pPr>
    </w:p>
    <w:p w14:paraId="4512C8AA" w14:textId="70FAFBF5" w:rsidR="00CF16C1" w:rsidRPr="002A4B22" w:rsidRDefault="00513B51" w:rsidP="002A4B22">
      <w:pPr>
        <w:spacing w:line="276" w:lineRule="auto"/>
        <w:rPr>
          <w:rFonts w:cs="Tahoma"/>
          <w:szCs w:val="24"/>
          <w:lang w:val="es-ES_tradnl"/>
        </w:rPr>
      </w:pPr>
      <w:r w:rsidRPr="002A4B22">
        <w:rPr>
          <w:rFonts w:cs="Tahoma"/>
          <w:szCs w:val="24"/>
          <w:lang w:val="es-ES_tradnl"/>
        </w:rPr>
        <w:tab/>
        <w:t xml:space="preserve">Respecto de la primera excepción indicó </w:t>
      </w:r>
      <w:r w:rsidR="00CF16C1" w:rsidRPr="002A4B22">
        <w:rPr>
          <w:rFonts w:cs="Tahoma"/>
          <w:szCs w:val="24"/>
          <w:lang w:val="es-ES_tradnl"/>
        </w:rPr>
        <w:t>con sustento en el artículo 6º del Código Procesal del Trabajo y la S.S. que las normas procesales son de orden público</w:t>
      </w:r>
      <w:r w:rsidR="00301CF7" w:rsidRPr="002A4B22">
        <w:rPr>
          <w:rFonts w:cs="Tahoma"/>
          <w:szCs w:val="24"/>
          <w:lang w:val="es-ES_tradnl"/>
        </w:rPr>
        <w:t xml:space="preserve">, y la respectiva reclamación configura un factor de competencia para el juez por lo que es imperativo que se agote la misma. </w:t>
      </w:r>
    </w:p>
    <w:p w14:paraId="67A0C6E2" w14:textId="1DFAC710" w:rsidR="00301CF7" w:rsidRPr="002A4B22" w:rsidRDefault="00301CF7" w:rsidP="002A4B22">
      <w:pPr>
        <w:spacing w:line="276" w:lineRule="auto"/>
        <w:rPr>
          <w:rFonts w:cs="Tahoma"/>
          <w:szCs w:val="24"/>
          <w:lang w:val="es-ES_tradnl"/>
        </w:rPr>
      </w:pPr>
    </w:p>
    <w:p w14:paraId="38B36710" w14:textId="2CA57BBC" w:rsidR="00301CF7" w:rsidRPr="002A4B22" w:rsidRDefault="00301CF7" w:rsidP="002A4B22">
      <w:pPr>
        <w:spacing w:line="276" w:lineRule="auto"/>
        <w:rPr>
          <w:rFonts w:cs="Tahoma"/>
          <w:szCs w:val="24"/>
          <w:lang w:val="es-ES_tradnl"/>
        </w:rPr>
      </w:pPr>
      <w:r w:rsidRPr="002A4B22">
        <w:rPr>
          <w:rFonts w:cs="Tahoma"/>
          <w:szCs w:val="24"/>
          <w:lang w:val="es-ES_tradnl"/>
        </w:rPr>
        <w:tab/>
      </w:r>
      <w:r w:rsidR="002D7E41" w:rsidRPr="002A4B22">
        <w:rPr>
          <w:rFonts w:cs="Tahoma"/>
          <w:szCs w:val="24"/>
          <w:lang w:val="es-ES_tradnl"/>
        </w:rPr>
        <w:t>En cuanto a la falta de legitimación</w:t>
      </w:r>
      <w:r w:rsidR="00FF61FE" w:rsidRPr="002A4B22">
        <w:rPr>
          <w:rFonts w:cs="Tahoma"/>
          <w:szCs w:val="24"/>
          <w:lang w:val="es-ES_tradnl"/>
        </w:rPr>
        <w:t>,</w:t>
      </w:r>
      <w:r w:rsidR="002D7E41" w:rsidRPr="002A4B22">
        <w:rPr>
          <w:rFonts w:cs="Tahoma"/>
          <w:szCs w:val="24"/>
          <w:lang w:val="es-ES_tradnl"/>
        </w:rPr>
        <w:t xml:space="preserve"> </w:t>
      </w:r>
      <w:r w:rsidR="00EF04C3" w:rsidRPr="002A4B22">
        <w:rPr>
          <w:rFonts w:cs="Tahoma"/>
          <w:szCs w:val="24"/>
          <w:lang w:val="es-ES_tradnl"/>
        </w:rPr>
        <w:t xml:space="preserve">sostuvo </w:t>
      </w:r>
      <w:r w:rsidR="002D7E41" w:rsidRPr="002A4B22">
        <w:rPr>
          <w:rFonts w:cs="Tahoma"/>
          <w:szCs w:val="24"/>
          <w:lang w:val="es-ES_tradnl"/>
        </w:rPr>
        <w:t xml:space="preserve">que el </w:t>
      </w:r>
      <w:r w:rsidR="002D7E41" w:rsidRPr="002A4B22">
        <w:rPr>
          <w:rFonts w:cs="Tahoma"/>
          <w:szCs w:val="24"/>
        </w:rPr>
        <w:t xml:space="preserve">Ministerio de Salud y Protección Social </w:t>
      </w:r>
      <w:r w:rsidR="00EF04C3" w:rsidRPr="002A4B22">
        <w:rPr>
          <w:rFonts w:cs="Tahoma"/>
          <w:szCs w:val="24"/>
        </w:rPr>
        <w:t xml:space="preserve">no fue contratante, ni empleador de la demandante, además de que </w:t>
      </w:r>
      <w:r w:rsidR="002D7E41" w:rsidRPr="002A4B22">
        <w:rPr>
          <w:rFonts w:cs="Tahoma"/>
          <w:szCs w:val="24"/>
        </w:rPr>
        <w:t xml:space="preserve">no tuvo </w:t>
      </w:r>
      <w:r w:rsidR="00BF1BCB" w:rsidRPr="002A4B22">
        <w:rPr>
          <w:rFonts w:cs="Tahoma"/>
          <w:szCs w:val="24"/>
        </w:rPr>
        <w:t xml:space="preserve">injerencia </w:t>
      </w:r>
      <w:r w:rsidR="002D7E41" w:rsidRPr="002A4B22">
        <w:rPr>
          <w:rFonts w:cs="Tahoma"/>
          <w:szCs w:val="24"/>
        </w:rPr>
        <w:t>directa ni solidaria</w:t>
      </w:r>
      <w:r w:rsidR="0035531C" w:rsidRPr="002A4B22">
        <w:rPr>
          <w:rFonts w:cs="Tahoma"/>
          <w:szCs w:val="24"/>
        </w:rPr>
        <w:t xml:space="preserve"> </w:t>
      </w:r>
      <w:r w:rsidR="002D7E41" w:rsidRPr="002A4B22">
        <w:rPr>
          <w:rFonts w:cs="Tahoma"/>
          <w:szCs w:val="24"/>
        </w:rPr>
        <w:t xml:space="preserve">en la relación contractual y/o laboral que existió entre la </w:t>
      </w:r>
      <w:r w:rsidR="00F536DE" w:rsidRPr="002A4B22">
        <w:rPr>
          <w:rFonts w:cs="Tahoma"/>
          <w:szCs w:val="24"/>
        </w:rPr>
        <w:t xml:space="preserve">demandante y el ISS, </w:t>
      </w:r>
      <w:r w:rsidR="002D7E41" w:rsidRPr="002A4B22">
        <w:rPr>
          <w:rFonts w:cs="Tahoma"/>
          <w:szCs w:val="24"/>
        </w:rPr>
        <w:t>hoy liquidado</w:t>
      </w:r>
      <w:r w:rsidR="00F441CC" w:rsidRPr="002A4B22">
        <w:rPr>
          <w:rFonts w:cs="Tahoma"/>
          <w:szCs w:val="24"/>
        </w:rPr>
        <w:t xml:space="preserve">, </w:t>
      </w:r>
      <w:r w:rsidR="00535EBE" w:rsidRPr="002A4B22">
        <w:rPr>
          <w:rFonts w:cs="Tahoma"/>
          <w:szCs w:val="24"/>
        </w:rPr>
        <w:t>por lo que no puede afirmarse que el Ministerio tiene responsabilidad sobre el desconocimiento de beneficios prestacionales</w:t>
      </w:r>
      <w:r w:rsidR="00F536DE" w:rsidRPr="002A4B22">
        <w:rPr>
          <w:rFonts w:cs="Tahoma"/>
          <w:szCs w:val="24"/>
        </w:rPr>
        <w:t>.</w:t>
      </w:r>
    </w:p>
    <w:p w14:paraId="0A94E184" w14:textId="77777777" w:rsidR="0081729B" w:rsidRPr="002A4B22" w:rsidRDefault="0081729B" w:rsidP="002A4B22">
      <w:pPr>
        <w:spacing w:line="276" w:lineRule="auto"/>
        <w:ind w:firstLine="708"/>
        <w:rPr>
          <w:rFonts w:eastAsia="Calibri" w:cs="Tahoma"/>
          <w:szCs w:val="24"/>
        </w:rPr>
      </w:pPr>
    </w:p>
    <w:p w14:paraId="753AD656" w14:textId="77777777" w:rsidR="00A53360" w:rsidRPr="002A4B22" w:rsidRDefault="00A53360" w:rsidP="002A4B22">
      <w:pPr>
        <w:spacing w:line="276" w:lineRule="auto"/>
        <w:ind w:firstLine="708"/>
        <w:rPr>
          <w:rFonts w:eastAsia="Calibri" w:cs="Tahoma"/>
          <w:szCs w:val="24"/>
        </w:rPr>
      </w:pPr>
    </w:p>
    <w:p w14:paraId="02343077" w14:textId="0B528714" w:rsidR="00362E6F" w:rsidRPr="002A4B22" w:rsidRDefault="004B5F35" w:rsidP="002A4B22">
      <w:pPr>
        <w:pStyle w:val="Prrafodelista"/>
        <w:numPr>
          <w:ilvl w:val="0"/>
          <w:numId w:val="9"/>
        </w:numPr>
        <w:spacing w:line="276" w:lineRule="auto"/>
        <w:jc w:val="center"/>
        <w:rPr>
          <w:rFonts w:cs="Tahoma"/>
          <w:b/>
          <w:szCs w:val="24"/>
          <w:lang w:val="es-CO"/>
        </w:rPr>
      </w:pPr>
      <w:r w:rsidRPr="002A4B22">
        <w:rPr>
          <w:rFonts w:cs="Tahoma"/>
          <w:b/>
          <w:szCs w:val="24"/>
          <w:lang w:val="es-CO"/>
        </w:rPr>
        <w:t>AUTO APELADO</w:t>
      </w:r>
    </w:p>
    <w:p w14:paraId="59C6491C" w14:textId="77777777" w:rsidR="00F04658" w:rsidRPr="002A4B22" w:rsidRDefault="00F04658" w:rsidP="002A4B22">
      <w:pPr>
        <w:spacing w:line="276" w:lineRule="auto"/>
        <w:rPr>
          <w:rFonts w:cs="Tahoma"/>
          <w:szCs w:val="24"/>
        </w:rPr>
      </w:pPr>
    </w:p>
    <w:p w14:paraId="314B6DB7" w14:textId="27031931" w:rsidR="00C3080B" w:rsidRPr="002A4B22" w:rsidRDefault="00B83B4E" w:rsidP="002A4B22">
      <w:pPr>
        <w:spacing w:line="276" w:lineRule="auto"/>
        <w:ind w:firstLine="708"/>
        <w:rPr>
          <w:rFonts w:cs="Tahoma"/>
          <w:szCs w:val="24"/>
          <w:lang w:val="es-ES_tradnl"/>
        </w:rPr>
      </w:pPr>
      <w:r w:rsidRPr="002A4B22">
        <w:rPr>
          <w:rFonts w:cs="Tahoma"/>
          <w:szCs w:val="24"/>
          <w:lang w:val="es-ES_tradnl"/>
        </w:rPr>
        <w:t xml:space="preserve">En curso de la etapa de decisión de excepciones previas, prevista en la audiencia consagrada en el artículo 77 del </w:t>
      </w:r>
      <w:r w:rsidR="000B265E" w:rsidRPr="002A4B22">
        <w:rPr>
          <w:rFonts w:cs="Tahoma"/>
          <w:szCs w:val="24"/>
          <w:lang w:val="es-ES_tradnl"/>
        </w:rPr>
        <w:t xml:space="preserve">C.P.T </w:t>
      </w:r>
      <w:r w:rsidRPr="002A4B22">
        <w:rPr>
          <w:rFonts w:cs="Tahoma"/>
          <w:szCs w:val="24"/>
          <w:lang w:val="es-ES_tradnl"/>
        </w:rPr>
        <w:t xml:space="preserve">y la </w:t>
      </w:r>
      <w:r w:rsidR="000B265E" w:rsidRPr="002A4B22">
        <w:rPr>
          <w:rFonts w:cs="Tahoma"/>
          <w:szCs w:val="24"/>
          <w:lang w:val="es-ES_tradnl"/>
        </w:rPr>
        <w:t>S.S</w:t>
      </w:r>
      <w:r w:rsidRPr="002A4B22">
        <w:rPr>
          <w:rFonts w:cs="Tahoma"/>
          <w:szCs w:val="24"/>
          <w:lang w:val="es-ES_tradnl"/>
        </w:rPr>
        <w:t>., la Jueza de conocimiento declaró no probada la</w:t>
      </w:r>
      <w:r w:rsidR="00C3080B" w:rsidRPr="002A4B22">
        <w:rPr>
          <w:rFonts w:cs="Tahoma"/>
          <w:szCs w:val="24"/>
          <w:lang w:val="es-ES_tradnl"/>
        </w:rPr>
        <w:t xml:space="preserve">s excepciones de </w:t>
      </w:r>
      <w:r w:rsidRPr="002A4B22">
        <w:rPr>
          <w:rFonts w:cs="Tahoma"/>
          <w:i/>
          <w:iCs/>
          <w:szCs w:val="24"/>
          <w:lang w:val="es-ES_tradnl"/>
        </w:rPr>
        <w:t>“Falta de</w:t>
      </w:r>
      <w:r w:rsidR="00B3085E" w:rsidRPr="002A4B22">
        <w:rPr>
          <w:rFonts w:cs="Tahoma"/>
          <w:i/>
          <w:iCs/>
          <w:szCs w:val="24"/>
          <w:lang w:val="es-ES_tradnl"/>
        </w:rPr>
        <w:t xml:space="preserve"> agotamiento de la </w:t>
      </w:r>
      <w:r w:rsidRPr="002A4B22">
        <w:rPr>
          <w:rFonts w:cs="Tahoma"/>
          <w:i/>
          <w:iCs/>
          <w:szCs w:val="24"/>
          <w:lang w:val="es-ES_tradnl"/>
        </w:rPr>
        <w:t>reclamación administrativa”</w:t>
      </w:r>
      <w:r w:rsidR="00C3080B" w:rsidRPr="002A4B22">
        <w:rPr>
          <w:rFonts w:cs="Tahoma"/>
          <w:szCs w:val="24"/>
          <w:lang w:val="es-ES_tradnl"/>
        </w:rPr>
        <w:t xml:space="preserve"> y </w:t>
      </w:r>
      <w:r w:rsidR="00C3080B" w:rsidRPr="002A4B22">
        <w:rPr>
          <w:rFonts w:cs="Tahoma"/>
          <w:i/>
          <w:iCs/>
          <w:szCs w:val="24"/>
          <w:lang w:val="es-ES_tradnl"/>
        </w:rPr>
        <w:lastRenderedPageBreak/>
        <w:t xml:space="preserve">“falta de legitimación en la causa por </w:t>
      </w:r>
      <w:r w:rsidR="0023223A" w:rsidRPr="002A4B22">
        <w:rPr>
          <w:rFonts w:cs="Tahoma"/>
          <w:i/>
          <w:iCs/>
          <w:szCs w:val="24"/>
          <w:lang w:val="es-ES_tradnl"/>
        </w:rPr>
        <w:t xml:space="preserve">pasiva” </w:t>
      </w:r>
      <w:r w:rsidR="0023223A" w:rsidRPr="002A4B22">
        <w:rPr>
          <w:rFonts w:cs="Tahoma"/>
          <w:szCs w:val="24"/>
          <w:lang w:val="es-ES_tradnl"/>
        </w:rPr>
        <w:t>e</w:t>
      </w:r>
      <w:r w:rsidR="00F37061" w:rsidRPr="002A4B22">
        <w:rPr>
          <w:rFonts w:cs="Tahoma"/>
          <w:szCs w:val="24"/>
          <w:lang w:val="es-ES_tradnl"/>
        </w:rPr>
        <w:t xml:space="preserve"> impuso condena en costas</w:t>
      </w:r>
      <w:r w:rsidR="0023223A" w:rsidRPr="002A4B22">
        <w:rPr>
          <w:rFonts w:cs="Tahoma"/>
          <w:szCs w:val="24"/>
          <w:lang w:val="es-ES_tradnl"/>
        </w:rPr>
        <w:t>,</w:t>
      </w:r>
      <w:r w:rsidR="00C3080B" w:rsidRPr="002A4B22">
        <w:rPr>
          <w:rFonts w:cs="Tahoma"/>
          <w:i/>
          <w:iCs/>
          <w:szCs w:val="24"/>
          <w:lang w:val="es-ES_tradnl"/>
        </w:rPr>
        <w:t xml:space="preserve"> </w:t>
      </w:r>
      <w:r w:rsidR="00C3080B" w:rsidRPr="002A4B22">
        <w:rPr>
          <w:rFonts w:cs="Tahoma"/>
          <w:szCs w:val="24"/>
          <w:lang w:val="es-ES_tradnl"/>
        </w:rPr>
        <w:t xml:space="preserve">bajo los siguientes argumentos: </w:t>
      </w:r>
    </w:p>
    <w:p w14:paraId="7FD7B8EF" w14:textId="11DEAD57" w:rsidR="00B3085E" w:rsidRPr="002A4B22" w:rsidRDefault="00B3085E" w:rsidP="002A4B22">
      <w:pPr>
        <w:spacing w:line="276" w:lineRule="auto"/>
        <w:ind w:firstLine="708"/>
        <w:rPr>
          <w:rFonts w:cs="Tahoma"/>
          <w:szCs w:val="24"/>
          <w:lang w:val="es-ES_tradnl"/>
        </w:rPr>
      </w:pPr>
    </w:p>
    <w:p w14:paraId="2416081E" w14:textId="1DA5E799" w:rsidR="00730E61" w:rsidRPr="002A4B22" w:rsidRDefault="00BC1B60" w:rsidP="002A4B22">
      <w:pPr>
        <w:spacing w:line="276" w:lineRule="auto"/>
        <w:ind w:firstLine="708"/>
        <w:rPr>
          <w:rFonts w:cs="Tahoma"/>
          <w:szCs w:val="24"/>
        </w:rPr>
      </w:pPr>
      <w:r w:rsidRPr="002A4B22">
        <w:rPr>
          <w:rFonts w:cs="Tahoma"/>
          <w:szCs w:val="24"/>
        </w:rPr>
        <w:t xml:space="preserve">Explicó que </w:t>
      </w:r>
      <w:r w:rsidR="00470DD2" w:rsidRPr="002A4B22">
        <w:rPr>
          <w:rFonts w:cs="Tahoma"/>
          <w:szCs w:val="24"/>
        </w:rPr>
        <w:t xml:space="preserve">la reclamación administrativa constituye el escrito dirigido a la </w:t>
      </w:r>
      <w:r w:rsidR="00FC5D74" w:rsidRPr="002A4B22">
        <w:rPr>
          <w:rFonts w:cs="Tahoma"/>
          <w:szCs w:val="24"/>
        </w:rPr>
        <w:t xml:space="preserve">entidad pública con el propósito de manifestarle un asunto puntual que posteriormente será ventilado ante la jurisdicción laboral, </w:t>
      </w:r>
      <w:r w:rsidR="00D73FEA" w:rsidRPr="002A4B22">
        <w:rPr>
          <w:rFonts w:cs="Tahoma"/>
          <w:szCs w:val="24"/>
        </w:rPr>
        <w:t xml:space="preserve">por lo que </w:t>
      </w:r>
      <w:r w:rsidR="00AD427F" w:rsidRPr="002A4B22">
        <w:rPr>
          <w:rFonts w:cs="Tahoma"/>
          <w:szCs w:val="24"/>
        </w:rPr>
        <w:t xml:space="preserve">con la respuesta obrante a folio 31 (teniendo en cuenta que las partes no aportaron el escrito de reclamación), </w:t>
      </w:r>
      <w:r w:rsidR="006A4EA3" w:rsidRPr="002A4B22">
        <w:rPr>
          <w:rFonts w:cs="Tahoma"/>
          <w:szCs w:val="24"/>
        </w:rPr>
        <w:t xml:space="preserve">se tenía agotada la reclamación administrativa, </w:t>
      </w:r>
      <w:r w:rsidR="00730E61" w:rsidRPr="002A4B22">
        <w:rPr>
          <w:rFonts w:cs="Tahoma"/>
          <w:szCs w:val="24"/>
        </w:rPr>
        <w:t xml:space="preserve">ya que en </w:t>
      </w:r>
      <w:r w:rsidR="006A4EA3" w:rsidRPr="002A4B22">
        <w:rPr>
          <w:rFonts w:cs="Tahoma"/>
          <w:szCs w:val="24"/>
        </w:rPr>
        <w:t>esta</w:t>
      </w:r>
      <w:r w:rsidR="00CE6429" w:rsidRPr="002A4B22">
        <w:rPr>
          <w:rFonts w:cs="Tahoma"/>
          <w:szCs w:val="24"/>
        </w:rPr>
        <w:t xml:space="preserve"> se certificaron los </w:t>
      </w:r>
      <w:r w:rsidR="006A4EA3" w:rsidRPr="002A4B22">
        <w:rPr>
          <w:rFonts w:cs="Tahoma"/>
          <w:szCs w:val="24"/>
        </w:rPr>
        <w:t>tiempos debidamente prestados, que es la intención de la demandante para determinar las omisiones, ausencias o falencias en la determinación de los tiempos debidamente cotizados.</w:t>
      </w:r>
    </w:p>
    <w:p w14:paraId="1654C907" w14:textId="4DB0D936" w:rsidR="00C80AFF" w:rsidRPr="002A4B22" w:rsidRDefault="00C80AFF" w:rsidP="002A4B22">
      <w:pPr>
        <w:spacing w:line="276" w:lineRule="auto"/>
        <w:rPr>
          <w:rFonts w:cs="Tahoma"/>
          <w:szCs w:val="24"/>
          <w:lang w:val="es-ES_tradnl"/>
        </w:rPr>
      </w:pPr>
    </w:p>
    <w:p w14:paraId="6DB245EA" w14:textId="479236D5" w:rsidR="000B265E" w:rsidRPr="002A4B22" w:rsidRDefault="00C80AFF" w:rsidP="002A4B22">
      <w:pPr>
        <w:spacing w:line="276" w:lineRule="auto"/>
        <w:ind w:firstLine="708"/>
        <w:rPr>
          <w:rFonts w:cs="Tahoma"/>
          <w:szCs w:val="24"/>
        </w:rPr>
      </w:pPr>
      <w:r w:rsidRPr="002A4B22">
        <w:rPr>
          <w:rFonts w:cs="Tahoma"/>
          <w:szCs w:val="24"/>
          <w:lang w:val="es-ES_tradnl"/>
        </w:rPr>
        <w:t xml:space="preserve">Por otra parte, respecto de la legitimación en la causa por pasiva, explicó </w:t>
      </w:r>
      <w:r w:rsidR="00CE6429" w:rsidRPr="002A4B22">
        <w:rPr>
          <w:rFonts w:cs="Tahoma"/>
          <w:szCs w:val="24"/>
          <w:lang w:val="es-ES_tradnl"/>
        </w:rPr>
        <w:t xml:space="preserve">que </w:t>
      </w:r>
      <w:r w:rsidR="00BA7AD9" w:rsidRPr="002A4B22">
        <w:rPr>
          <w:rFonts w:cs="Tahoma"/>
          <w:szCs w:val="24"/>
          <w:lang w:val="es-ES_tradnl"/>
        </w:rPr>
        <w:t xml:space="preserve">esta </w:t>
      </w:r>
      <w:r w:rsidR="000B265E" w:rsidRPr="002A4B22">
        <w:rPr>
          <w:rFonts w:cs="Tahoma"/>
          <w:szCs w:val="24"/>
        </w:rPr>
        <w:t xml:space="preserve">atiende a un tema de fondo, </w:t>
      </w:r>
      <w:r w:rsidR="007D1D03" w:rsidRPr="002A4B22">
        <w:rPr>
          <w:rFonts w:cs="Tahoma"/>
          <w:szCs w:val="24"/>
        </w:rPr>
        <w:t xml:space="preserve">que debe ser resulto </w:t>
      </w:r>
      <w:r w:rsidR="000B265E" w:rsidRPr="002A4B22">
        <w:rPr>
          <w:rFonts w:cs="Tahoma"/>
          <w:szCs w:val="24"/>
        </w:rPr>
        <w:t>en la sentencia,</w:t>
      </w:r>
      <w:r w:rsidR="007D1D03" w:rsidRPr="002A4B22">
        <w:rPr>
          <w:rFonts w:cs="Tahoma"/>
          <w:szCs w:val="24"/>
        </w:rPr>
        <w:t xml:space="preserve"> al no encontrase </w:t>
      </w:r>
      <w:r w:rsidR="000B265E" w:rsidRPr="002A4B22">
        <w:rPr>
          <w:rFonts w:cs="Tahoma"/>
          <w:szCs w:val="24"/>
        </w:rPr>
        <w:t xml:space="preserve">consagrada como excepción </w:t>
      </w:r>
      <w:r w:rsidR="007D1D03" w:rsidRPr="002A4B22">
        <w:rPr>
          <w:rFonts w:cs="Tahoma"/>
          <w:szCs w:val="24"/>
        </w:rPr>
        <w:t>mixta</w:t>
      </w:r>
      <w:r w:rsidR="000B265E" w:rsidRPr="002A4B22">
        <w:rPr>
          <w:rFonts w:cs="Tahoma"/>
          <w:szCs w:val="24"/>
        </w:rPr>
        <w:t xml:space="preserve"> </w:t>
      </w:r>
      <w:r w:rsidR="002C25F3" w:rsidRPr="002A4B22">
        <w:rPr>
          <w:rFonts w:cs="Tahoma"/>
          <w:szCs w:val="24"/>
        </w:rPr>
        <w:t>en el artículo 32 del C.P.T y de la S.S.</w:t>
      </w:r>
    </w:p>
    <w:p w14:paraId="72302AE8" w14:textId="77777777" w:rsidR="00B83B4E" w:rsidRPr="002A4B22" w:rsidRDefault="00B83B4E" w:rsidP="002A4B22">
      <w:pPr>
        <w:tabs>
          <w:tab w:val="left" w:pos="6737"/>
        </w:tabs>
        <w:spacing w:line="276" w:lineRule="auto"/>
        <w:ind w:firstLine="708"/>
        <w:rPr>
          <w:rFonts w:cs="Tahoma"/>
          <w:szCs w:val="24"/>
        </w:rPr>
      </w:pPr>
    </w:p>
    <w:p w14:paraId="053E10C5" w14:textId="4AD32655" w:rsidR="00CB7E46" w:rsidRPr="002A4B22" w:rsidRDefault="00CB7E46" w:rsidP="002A4B22">
      <w:pPr>
        <w:tabs>
          <w:tab w:val="left" w:pos="6737"/>
        </w:tabs>
        <w:spacing w:line="276" w:lineRule="auto"/>
        <w:ind w:firstLine="708"/>
        <w:rPr>
          <w:rFonts w:cs="Tahoma"/>
          <w:szCs w:val="24"/>
          <w:lang w:val="es-CO"/>
        </w:rPr>
      </w:pPr>
    </w:p>
    <w:p w14:paraId="7C54CB10" w14:textId="010E5F7B" w:rsidR="005D3995" w:rsidRPr="002A4B22" w:rsidRDefault="00B83B4E" w:rsidP="002A4B22">
      <w:pPr>
        <w:pStyle w:val="Prrafodelista"/>
        <w:numPr>
          <w:ilvl w:val="0"/>
          <w:numId w:val="9"/>
        </w:numPr>
        <w:tabs>
          <w:tab w:val="left" w:pos="284"/>
        </w:tabs>
        <w:spacing w:line="276" w:lineRule="auto"/>
        <w:jc w:val="center"/>
        <w:rPr>
          <w:rFonts w:cs="Tahoma"/>
          <w:b/>
          <w:szCs w:val="24"/>
        </w:rPr>
      </w:pPr>
      <w:r w:rsidRPr="002A4B22">
        <w:rPr>
          <w:rFonts w:cs="Tahoma"/>
          <w:b/>
          <w:szCs w:val="24"/>
        </w:rPr>
        <w:t>FUNDAMENTOS DE LA APELACIÓN</w:t>
      </w:r>
      <w:bookmarkStart w:id="3" w:name="_Hlk97041943"/>
    </w:p>
    <w:p w14:paraId="1F719E1E" w14:textId="77777777" w:rsidR="0023223A" w:rsidRPr="002A4B22" w:rsidRDefault="0023223A" w:rsidP="002A4B22">
      <w:pPr>
        <w:pStyle w:val="Prrafodelista"/>
        <w:tabs>
          <w:tab w:val="left" w:pos="284"/>
        </w:tabs>
        <w:spacing w:line="276" w:lineRule="auto"/>
        <w:ind w:left="1068"/>
        <w:rPr>
          <w:rFonts w:cs="Tahoma"/>
          <w:b/>
          <w:szCs w:val="24"/>
        </w:rPr>
      </w:pPr>
    </w:p>
    <w:p w14:paraId="71F22A7B" w14:textId="75B47E9A" w:rsidR="00F94727" w:rsidRPr="002A4B22" w:rsidRDefault="00F04658" w:rsidP="002A4B22">
      <w:pPr>
        <w:spacing w:line="276" w:lineRule="auto"/>
        <w:ind w:firstLine="708"/>
        <w:rPr>
          <w:rFonts w:cs="Tahoma"/>
          <w:szCs w:val="24"/>
          <w:lang w:val="es-419"/>
        </w:rPr>
      </w:pPr>
      <w:r w:rsidRPr="002A4B22">
        <w:rPr>
          <w:rFonts w:cs="Tahoma"/>
          <w:szCs w:val="24"/>
          <w:lang w:val="es-419"/>
        </w:rPr>
        <w:t xml:space="preserve">Inconforme con lo decidido, el </w:t>
      </w:r>
      <w:r w:rsidR="00B20293" w:rsidRPr="002A4B22">
        <w:rPr>
          <w:rFonts w:cs="Tahoma"/>
          <w:szCs w:val="24"/>
          <w:lang w:val="es-419"/>
        </w:rPr>
        <w:t xml:space="preserve">Ministerio de Salud y de la Protección Social, </w:t>
      </w:r>
      <w:r w:rsidRPr="002A4B22">
        <w:rPr>
          <w:rFonts w:cs="Tahoma"/>
          <w:szCs w:val="24"/>
          <w:lang w:val="es-419"/>
        </w:rPr>
        <w:t>a través de su vocer</w:t>
      </w:r>
      <w:r w:rsidR="00B20293" w:rsidRPr="002A4B22">
        <w:rPr>
          <w:rFonts w:cs="Tahoma"/>
          <w:szCs w:val="24"/>
          <w:lang w:val="es-419"/>
        </w:rPr>
        <w:t>o</w:t>
      </w:r>
      <w:r w:rsidRPr="002A4B22">
        <w:rPr>
          <w:rFonts w:cs="Tahoma"/>
          <w:szCs w:val="24"/>
          <w:lang w:val="es-419"/>
        </w:rPr>
        <w:t xml:space="preserve"> judicial interpuso recurso de apelación</w:t>
      </w:r>
      <w:r w:rsidR="00654C4B" w:rsidRPr="002A4B22">
        <w:rPr>
          <w:rFonts w:cs="Tahoma"/>
          <w:szCs w:val="24"/>
          <w:lang w:val="es-419"/>
        </w:rPr>
        <w:t xml:space="preserve"> respecto de la negación de las dos excepciones propuestas, indicando respecto de la reclamación administrativa que esta no fue agotada en estricto rigor conforme a lo señalado en el artículo 6 del C.P.T y de la S.S. toda vez que la petición que se resolvió mediante oficio No. 2017</w:t>
      </w:r>
      <w:r w:rsidR="00AC1B4F" w:rsidRPr="002A4B22">
        <w:rPr>
          <w:rFonts w:cs="Tahoma"/>
          <w:szCs w:val="24"/>
          <w:lang w:val="es-419"/>
        </w:rPr>
        <w:t>11102055911 de</w:t>
      </w:r>
      <w:r w:rsidR="00222F3A" w:rsidRPr="002A4B22">
        <w:rPr>
          <w:rFonts w:cs="Tahoma"/>
          <w:szCs w:val="24"/>
          <w:lang w:val="es-419"/>
        </w:rPr>
        <w:t>l 19 de octubre de 2017, no tiene la naturaleza de una reclamación administrativa, ya que la respuesta que se ofreció solo se equipara a una simple prueba</w:t>
      </w:r>
      <w:r w:rsidR="002B08E8" w:rsidRPr="002A4B22">
        <w:rPr>
          <w:rFonts w:cs="Tahoma"/>
          <w:szCs w:val="24"/>
          <w:lang w:val="es-419"/>
        </w:rPr>
        <w:t>, en tanto no indica expresamente lo que pretende en contra de la demandada, con base en hechos y pretensiones</w:t>
      </w:r>
      <w:r w:rsidR="00F51151" w:rsidRPr="002A4B22">
        <w:rPr>
          <w:rFonts w:cs="Tahoma"/>
          <w:szCs w:val="24"/>
          <w:lang w:val="es-419"/>
        </w:rPr>
        <w:t>, por lo que no se acompasa con los hechos y pretensiones del libelo introductor</w:t>
      </w:r>
      <w:r w:rsidR="005C7539" w:rsidRPr="002A4B22">
        <w:rPr>
          <w:rFonts w:cs="Tahoma"/>
          <w:szCs w:val="24"/>
          <w:lang w:val="es-419"/>
        </w:rPr>
        <w:t>.</w:t>
      </w:r>
    </w:p>
    <w:p w14:paraId="283FFFDC" w14:textId="3A475F68" w:rsidR="00213F70" w:rsidRPr="002A4B22" w:rsidRDefault="00213F70" w:rsidP="002A4B22">
      <w:pPr>
        <w:spacing w:line="276" w:lineRule="auto"/>
        <w:ind w:firstLine="708"/>
        <w:rPr>
          <w:rFonts w:cs="Tahoma"/>
          <w:szCs w:val="24"/>
          <w:lang w:val="es-419"/>
        </w:rPr>
      </w:pPr>
    </w:p>
    <w:p w14:paraId="5F23F35E" w14:textId="571E33A6" w:rsidR="00213F70" w:rsidRPr="002A4B22" w:rsidRDefault="00213F70" w:rsidP="002A4B22">
      <w:pPr>
        <w:spacing w:line="276" w:lineRule="auto"/>
        <w:ind w:firstLine="708"/>
        <w:rPr>
          <w:rFonts w:cs="Tahoma"/>
          <w:szCs w:val="24"/>
          <w:lang w:val="es-419"/>
        </w:rPr>
      </w:pPr>
      <w:r w:rsidRPr="002A4B22">
        <w:rPr>
          <w:rFonts w:cs="Tahoma"/>
          <w:szCs w:val="24"/>
          <w:lang w:val="es-419"/>
        </w:rPr>
        <w:t xml:space="preserve">Finalmente, respecto de la legitimación en la causa por pasiva, insistió en que su prohijada no tuvo ningún tipo de vinculación contractual </w:t>
      </w:r>
      <w:r w:rsidR="005C7539" w:rsidRPr="002A4B22">
        <w:rPr>
          <w:rFonts w:cs="Tahoma"/>
          <w:szCs w:val="24"/>
          <w:lang w:val="es-419"/>
        </w:rPr>
        <w:t xml:space="preserve">u otra </w:t>
      </w:r>
      <w:r w:rsidRPr="002A4B22">
        <w:rPr>
          <w:rFonts w:cs="Tahoma"/>
          <w:szCs w:val="24"/>
          <w:lang w:val="es-419"/>
        </w:rPr>
        <w:t xml:space="preserve">naturaleza con el demandante, por lo cual, carece </w:t>
      </w:r>
      <w:r w:rsidR="00255789" w:rsidRPr="002A4B22">
        <w:rPr>
          <w:rFonts w:cs="Tahoma"/>
          <w:szCs w:val="24"/>
          <w:lang w:val="es-419"/>
        </w:rPr>
        <w:t>de legitimidad para ser parte demandada, además de que en el presente proceso interviene una entidad con autonomía administrativa como los es el Patrimonio Autónomo de Remanentes del ISS liquidado</w:t>
      </w:r>
      <w:r w:rsidR="0026635C" w:rsidRPr="002A4B22">
        <w:rPr>
          <w:rFonts w:cs="Tahoma"/>
          <w:szCs w:val="24"/>
          <w:lang w:val="es-419"/>
        </w:rPr>
        <w:t xml:space="preserve">, sobre quien recaen las eventuales condenas. </w:t>
      </w:r>
    </w:p>
    <w:p w14:paraId="756E5D74" w14:textId="0C34686F" w:rsidR="00F04658" w:rsidRPr="002A4B22" w:rsidRDefault="00F04658" w:rsidP="002A4B22">
      <w:pPr>
        <w:spacing w:line="276" w:lineRule="auto"/>
        <w:rPr>
          <w:rFonts w:cs="Tahoma"/>
          <w:szCs w:val="24"/>
          <w:lang w:val="es-419"/>
        </w:rPr>
      </w:pPr>
    </w:p>
    <w:bookmarkEnd w:id="3"/>
    <w:p w14:paraId="5845EFEB" w14:textId="4F6939FC" w:rsidR="00975E71" w:rsidRPr="002A4B22" w:rsidRDefault="00975E71" w:rsidP="002A4B22">
      <w:pPr>
        <w:spacing w:line="276" w:lineRule="auto"/>
        <w:rPr>
          <w:rFonts w:cs="Tahoma"/>
          <w:szCs w:val="24"/>
        </w:rPr>
      </w:pPr>
    </w:p>
    <w:p w14:paraId="179DA56E" w14:textId="691CCF86" w:rsidR="003B0567" w:rsidRPr="002A4B22" w:rsidRDefault="003B0567" w:rsidP="002A4B22">
      <w:pPr>
        <w:pStyle w:val="Prrafodelista"/>
        <w:widowControl w:val="0"/>
        <w:numPr>
          <w:ilvl w:val="0"/>
          <w:numId w:val="9"/>
        </w:numPr>
        <w:autoSpaceDE w:val="0"/>
        <w:autoSpaceDN w:val="0"/>
        <w:adjustRightInd w:val="0"/>
        <w:spacing w:line="276" w:lineRule="auto"/>
        <w:jc w:val="center"/>
        <w:rPr>
          <w:rFonts w:cs="Tahoma"/>
          <w:b/>
          <w:bCs/>
          <w:szCs w:val="24"/>
          <w:lang w:val="es-CO"/>
        </w:rPr>
      </w:pPr>
      <w:r w:rsidRPr="002A4B22">
        <w:rPr>
          <w:rFonts w:cs="Tahoma"/>
          <w:b/>
          <w:bCs/>
          <w:szCs w:val="24"/>
          <w:lang w:val="es-CO"/>
        </w:rPr>
        <w:t>ALEGATOS DE CONCLUSIÓN</w:t>
      </w:r>
      <w:r w:rsidR="009C4958">
        <w:rPr>
          <w:rFonts w:cs="Tahoma"/>
          <w:b/>
          <w:bCs/>
          <w:szCs w:val="24"/>
          <w:lang w:val="es-CO"/>
        </w:rPr>
        <w:t xml:space="preserve"> </w:t>
      </w:r>
      <w:r w:rsidRPr="002A4B22">
        <w:rPr>
          <w:rFonts w:cs="Tahoma"/>
          <w:b/>
          <w:bCs/>
          <w:szCs w:val="24"/>
          <w:lang w:val="es-CO"/>
        </w:rPr>
        <w:t>/ CONCEPTO DEL MINISTERIO PÚBLICO</w:t>
      </w:r>
    </w:p>
    <w:p w14:paraId="15E027EF" w14:textId="77777777" w:rsidR="003B0567" w:rsidRPr="002A4B22" w:rsidRDefault="003B0567" w:rsidP="002A4B22">
      <w:pPr>
        <w:spacing w:line="276" w:lineRule="auto"/>
        <w:rPr>
          <w:rStyle w:val="normaltextrun"/>
          <w:rFonts w:cs="Tahoma"/>
          <w:color w:val="000000"/>
          <w:szCs w:val="24"/>
        </w:rPr>
      </w:pPr>
    </w:p>
    <w:p w14:paraId="67C2022E" w14:textId="1302C895" w:rsidR="00F04658" w:rsidRPr="002A4B22" w:rsidRDefault="00F04658" w:rsidP="002A4B22">
      <w:pPr>
        <w:spacing w:line="276" w:lineRule="auto"/>
        <w:ind w:firstLine="708"/>
        <w:rPr>
          <w:rFonts w:cs="Tahoma"/>
          <w:color w:val="000000"/>
          <w:szCs w:val="24"/>
          <w:lang w:val="es-CO"/>
        </w:rPr>
      </w:pPr>
      <w:r w:rsidRPr="002A4B22">
        <w:rPr>
          <w:rFonts w:cs="Tahoma"/>
          <w:color w:val="000000"/>
          <w:szCs w:val="24"/>
          <w:lang w:val="es-CO"/>
        </w:rPr>
        <w:t>Analizados los alegatos presentados</w:t>
      </w:r>
      <w:r w:rsidR="001C2627" w:rsidRPr="002A4B22">
        <w:rPr>
          <w:rFonts w:cs="Tahoma"/>
          <w:color w:val="000000"/>
          <w:szCs w:val="24"/>
          <w:lang w:val="es-CO"/>
        </w:rPr>
        <w:t xml:space="preserve">, </w:t>
      </w:r>
      <w:r w:rsidRPr="002A4B22">
        <w:rPr>
          <w:rFonts w:cs="Tahoma"/>
          <w:color w:val="000000"/>
          <w:szCs w:val="24"/>
          <w:lang w:val="es-CO"/>
        </w:rPr>
        <w:t>mismos que obran en el expediente digital y a los cuales nos remitimos por economía procesal en virtud del artículo 280 del C.G.P., la Sala encuentra que los</w:t>
      </w:r>
      <w:r w:rsidR="002441C8" w:rsidRPr="002A4B22">
        <w:rPr>
          <w:rFonts w:cs="Tahoma"/>
          <w:color w:val="000000"/>
          <w:szCs w:val="24"/>
          <w:lang w:val="es-CO"/>
        </w:rPr>
        <w:t xml:space="preserve"> presentados por Colpensiones hacen alusión directa al asunto de fondo que debe ser resulto por la a-quo en primera instancia</w:t>
      </w:r>
      <w:r w:rsidR="00304B91" w:rsidRPr="002A4B22">
        <w:rPr>
          <w:rFonts w:cs="Tahoma"/>
          <w:color w:val="000000"/>
          <w:szCs w:val="24"/>
          <w:lang w:val="es-CO"/>
        </w:rPr>
        <w:t xml:space="preserve">, por otra parte, los </w:t>
      </w:r>
      <w:r w:rsidRPr="002A4B22">
        <w:rPr>
          <w:rFonts w:cs="Tahoma"/>
          <w:color w:val="000000"/>
          <w:szCs w:val="24"/>
          <w:lang w:val="es-CO"/>
        </w:rPr>
        <w:t>argumentos fácticos y jurídicos expresados</w:t>
      </w:r>
      <w:r w:rsidR="00304B91" w:rsidRPr="002A4B22">
        <w:rPr>
          <w:rFonts w:cs="Tahoma"/>
          <w:color w:val="000000"/>
          <w:szCs w:val="24"/>
          <w:lang w:val="es-CO"/>
        </w:rPr>
        <w:t xml:space="preserve"> por el Ministerio de Salud y de </w:t>
      </w:r>
      <w:r w:rsidR="00304B91" w:rsidRPr="002A4B22">
        <w:rPr>
          <w:rFonts w:cs="Tahoma"/>
          <w:color w:val="000000"/>
          <w:szCs w:val="24"/>
          <w:lang w:val="es-CO"/>
        </w:rPr>
        <w:lastRenderedPageBreak/>
        <w:t xml:space="preserve">la Protección </w:t>
      </w:r>
      <w:r w:rsidR="001C2627" w:rsidRPr="002A4B22">
        <w:rPr>
          <w:rFonts w:cs="Tahoma"/>
          <w:color w:val="000000"/>
          <w:szCs w:val="24"/>
          <w:lang w:val="es-CO"/>
        </w:rPr>
        <w:t>S</w:t>
      </w:r>
      <w:r w:rsidR="00304B91" w:rsidRPr="002A4B22">
        <w:rPr>
          <w:rFonts w:cs="Tahoma"/>
          <w:color w:val="000000"/>
          <w:szCs w:val="24"/>
          <w:lang w:val="es-CO"/>
        </w:rPr>
        <w:t>ocial</w:t>
      </w:r>
      <w:r w:rsidRPr="002A4B22">
        <w:rPr>
          <w:rFonts w:cs="Tahoma"/>
          <w:color w:val="000000"/>
          <w:szCs w:val="24"/>
          <w:lang w:val="es-CO"/>
        </w:rPr>
        <w:t xml:space="preserve"> </w:t>
      </w:r>
      <w:r w:rsidR="001C2627" w:rsidRPr="002A4B22">
        <w:rPr>
          <w:rFonts w:cs="Tahoma"/>
          <w:color w:val="000000"/>
          <w:szCs w:val="24"/>
          <w:lang w:val="es-CO"/>
        </w:rPr>
        <w:t xml:space="preserve">y el demandante </w:t>
      </w:r>
      <w:r w:rsidRPr="002A4B22">
        <w:rPr>
          <w:rFonts w:cs="Tahoma"/>
          <w:color w:val="000000"/>
          <w:szCs w:val="24"/>
          <w:lang w:val="es-CO"/>
        </w:rPr>
        <w:t xml:space="preserve">concuerdan con los puntos objeto de discusión en esta instancia y se relacionan con los problemas jurídicos que se expresan a continuación.  Las restantes partes NO presentaron alegatos de conclusión y el Ministerio Público NO conceptuó en este asunto. </w:t>
      </w:r>
    </w:p>
    <w:p w14:paraId="3D24C284" w14:textId="146B8F0E" w:rsidR="003221C2" w:rsidRPr="002A4B22" w:rsidRDefault="003221C2" w:rsidP="002A4B22">
      <w:pPr>
        <w:spacing w:line="276" w:lineRule="auto"/>
        <w:ind w:firstLine="708"/>
        <w:rPr>
          <w:rStyle w:val="normaltextrun"/>
          <w:rFonts w:cs="Tahoma"/>
          <w:color w:val="000000"/>
          <w:szCs w:val="24"/>
          <w:lang w:val="es-CO"/>
        </w:rPr>
      </w:pPr>
    </w:p>
    <w:p w14:paraId="7D5BC182" w14:textId="77777777" w:rsidR="00890E99" w:rsidRPr="002A4B22" w:rsidRDefault="00890E99" w:rsidP="002A4B22">
      <w:pPr>
        <w:spacing w:line="276" w:lineRule="auto"/>
        <w:ind w:firstLine="708"/>
        <w:rPr>
          <w:rStyle w:val="normaltextrun"/>
          <w:rFonts w:cs="Tahoma"/>
          <w:color w:val="000000"/>
          <w:szCs w:val="24"/>
        </w:rPr>
      </w:pPr>
    </w:p>
    <w:p w14:paraId="0B99B14C" w14:textId="1ECF525A" w:rsidR="00890E99" w:rsidRPr="002A4B22" w:rsidRDefault="00890E99" w:rsidP="002A4B22">
      <w:pPr>
        <w:pStyle w:val="Prrafodelista"/>
        <w:numPr>
          <w:ilvl w:val="0"/>
          <w:numId w:val="9"/>
        </w:numPr>
        <w:spacing w:line="276" w:lineRule="auto"/>
        <w:jc w:val="center"/>
        <w:rPr>
          <w:rFonts w:cs="Tahoma"/>
          <w:b/>
          <w:color w:val="000000"/>
          <w:szCs w:val="24"/>
        </w:rPr>
      </w:pPr>
      <w:r w:rsidRPr="002A4B22">
        <w:rPr>
          <w:rFonts w:cs="Tahoma"/>
          <w:b/>
          <w:color w:val="000000"/>
          <w:szCs w:val="24"/>
        </w:rPr>
        <w:t>PROBLEMA JURÍDICO POR RESOLVER</w:t>
      </w:r>
    </w:p>
    <w:p w14:paraId="129719A5" w14:textId="1EBC776B" w:rsidR="00890E99" w:rsidRPr="002A4B22" w:rsidRDefault="00890E99" w:rsidP="002A4B22">
      <w:pPr>
        <w:spacing w:line="276" w:lineRule="auto"/>
        <w:jc w:val="center"/>
        <w:rPr>
          <w:rFonts w:cs="Tahoma"/>
          <w:b/>
          <w:color w:val="000000"/>
          <w:szCs w:val="24"/>
        </w:rPr>
      </w:pPr>
    </w:p>
    <w:p w14:paraId="40DA9429" w14:textId="77777777" w:rsidR="003E457A" w:rsidRPr="002A4B22" w:rsidRDefault="003E457A" w:rsidP="002A4B22">
      <w:pPr>
        <w:spacing w:line="276" w:lineRule="auto"/>
        <w:rPr>
          <w:rFonts w:cs="Tahoma"/>
          <w:bCs/>
          <w:color w:val="000000"/>
          <w:szCs w:val="24"/>
        </w:rPr>
      </w:pPr>
    </w:p>
    <w:p w14:paraId="1A31B10E" w14:textId="77777777" w:rsidR="003E457A" w:rsidRPr="002A4B22" w:rsidRDefault="003E457A" w:rsidP="002A4B22">
      <w:pPr>
        <w:spacing w:line="276" w:lineRule="auto"/>
        <w:ind w:firstLine="708"/>
        <w:rPr>
          <w:rFonts w:cs="Tahoma"/>
          <w:szCs w:val="24"/>
          <w:lang w:val="es-419"/>
        </w:rPr>
      </w:pPr>
      <w:r w:rsidRPr="002A4B22">
        <w:rPr>
          <w:rFonts w:cs="Tahoma"/>
          <w:szCs w:val="24"/>
          <w:lang w:val="es-419"/>
        </w:rPr>
        <w:t xml:space="preserve">De acuerdo con los argumentos expuestos en la decisión de primera instancia y los fundamentos de la apelación, le corresponde a la Sala resolver los siguientes problemas jurídicos: </w:t>
      </w:r>
    </w:p>
    <w:p w14:paraId="7F62142A" w14:textId="77777777" w:rsidR="003E457A" w:rsidRPr="002A4B22" w:rsidRDefault="003E457A" w:rsidP="002A4B22">
      <w:pPr>
        <w:spacing w:line="276" w:lineRule="auto"/>
        <w:ind w:firstLine="708"/>
        <w:rPr>
          <w:rFonts w:cs="Tahoma"/>
          <w:szCs w:val="24"/>
          <w:lang w:val="es-419"/>
        </w:rPr>
      </w:pPr>
    </w:p>
    <w:p w14:paraId="06E97FB7" w14:textId="0A09F018" w:rsidR="003E457A" w:rsidRPr="002A4B22" w:rsidRDefault="00B975FC" w:rsidP="002A4B22">
      <w:pPr>
        <w:pStyle w:val="Prrafodelista"/>
        <w:numPr>
          <w:ilvl w:val="0"/>
          <w:numId w:val="10"/>
        </w:numPr>
        <w:spacing w:line="276" w:lineRule="auto"/>
        <w:ind w:left="1134" w:right="474" w:hanging="426"/>
        <w:rPr>
          <w:rFonts w:cs="Tahoma"/>
          <w:szCs w:val="24"/>
          <w:lang w:val="es-419"/>
        </w:rPr>
      </w:pPr>
      <w:r w:rsidRPr="002A4B22">
        <w:rPr>
          <w:rFonts w:cs="Tahoma"/>
          <w:szCs w:val="24"/>
          <w:lang w:val="es-419"/>
        </w:rPr>
        <w:t>¿</w:t>
      </w:r>
      <w:r w:rsidR="002A34F0" w:rsidRPr="002A4B22">
        <w:rPr>
          <w:rFonts w:cs="Tahoma"/>
          <w:szCs w:val="24"/>
          <w:lang w:val="es-419"/>
        </w:rPr>
        <w:t xml:space="preserve">Se agotó en debida forma la reclamación administrativa respecto del Ministerio de Salud y de la Protección social por parte de la demandante? </w:t>
      </w:r>
    </w:p>
    <w:p w14:paraId="3A4C8171" w14:textId="77777777" w:rsidR="003975D4" w:rsidRPr="002A4B22" w:rsidRDefault="003975D4" w:rsidP="002A4B22">
      <w:pPr>
        <w:pStyle w:val="Prrafodelista"/>
        <w:spacing w:line="276" w:lineRule="auto"/>
        <w:ind w:left="1134" w:right="474"/>
        <w:rPr>
          <w:rFonts w:cs="Tahoma"/>
          <w:szCs w:val="24"/>
          <w:lang w:val="es-419"/>
        </w:rPr>
      </w:pPr>
    </w:p>
    <w:p w14:paraId="3F3DFACB" w14:textId="10B2EDA8" w:rsidR="00890E99" w:rsidRPr="002A4B22" w:rsidRDefault="00E649D6" w:rsidP="002A4B22">
      <w:pPr>
        <w:pStyle w:val="Prrafodelista"/>
        <w:numPr>
          <w:ilvl w:val="0"/>
          <w:numId w:val="10"/>
        </w:numPr>
        <w:spacing w:line="276" w:lineRule="auto"/>
        <w:ind w:left="1134" w:right="474" w:hanging="426"/>
        <w:rPr>
          <w:rFonts w:cs="Tahoma"/>
          <w:szCs w:val="24"/>
          <w:lang w:val="es-419"/>
        </w:rPr>
      </w:pPr>
      <w:r w:rsidRPr="002A4B22">
        <w:rPr>
          <w:rFonts w:cs="Tahoma"/>
          <w:szCs w:val="24"/>
          <w:lang w:val="es-419"/>
        </w:rPr>
        <w:t>¿Es posible declarar la “Falta de legitimación en la causa” como excepción previa?</w:t>
      </w:r>
    </w:p>
    <w:p w14:paraId="2E44ABFA" w14:textId="2E0D1EB5" w:rsidR="003221C2" w:rsidRPr="002A4B22" w:rsidRDefault="003221C2" w:rsidP="002A4B22">
      <w:pPr>
        <w:spacing w:line="276" w:lineRule="auto"/>
        <w:ind w:firstLine="708"/>
        <w:rPr>
          <w:rStyle w:val="normaltextrun"/>
          <w:rFonts w:cs="Tahoma"/>
          <w:color w:val="000000"/>
          <w:szCs w:val="24"/>
        </w:rPr>
      </w:pPr>
    </w:p>
    <w:p w14:paraId="485FD3FB" w14:textId="77777777" w:rsidR="00CE1A4A" w:rsidRPr="002A4B22" w:rsidRDefault="00CE1A4A" w:rsidP="002A4B22">
      <w:pPr>
        <w:spacing w:line="276" w:lineRule="auto"/>
        <w:ind w:firstLine="708"/>
        <w:rPr>
          <w:rStyle w:val="normaltextrun"/>
          <w:rFonts w:cs="Tahoma"/>
          <w:color w:val="000000"/>
          <w:szCs w:val="24"/>
        </w:rPr>
      </w:pPr>
    </w:p>
    <w:p w14:paraId="0ADBED18" w14:textId="42021FC1" w:rsidR="003221C2" w:rsidRPr="002A4B22" w:rsidRDefault="003221C2" w:rsidP="002A4B22">
      <w:pPr>
        <w:pStyle w:val="Prrafodelista"/>
        <w:numPr>
          <w:ilvl w:val="0"/>
          <w:numId w:val="9"/>
        </w:numPr>
        <w:spacing w:line="276" w:lineRule="auto"/>
        <w:jc w:val="center"/>
        <w:rPr>
          <w:rStyle w:val="normaltextrun"/>
          <w:rFonts w:cs="Tahoma"/>
          <w:b/>
          <w:bCs/>
          <w:color w:val="000000"/>
          <w:szCs w:val="24"/>
        </w:rPr>
      </w:pPr>
      <w:r w:rsidRPr="002A4B22">
        <w:rPr>
          <w:rStyle w:val="normaltextrun"/>
          <w:rFonts w:cs="Tahoma"/>
          <w:b/>
          <w:bCs/>
          <w:color w:val="000000"/>
          <w:szCs w:val="24"/>
        </w:rPr>
        <w:t>CONSIDERACIONES</w:t>
      </w:r>
    </w:p>
    <w:p w14:paraId="286E0D8A" w14:textId="210A1D9C" w:rsidR="003221C2" w:rsidRPr="002A4B22" w:rsidRDefault="003221C2" w:rsidP="002A4B22">
      <w:pPr>
        <w:spacing w:line="276" w:lineRule="auto"/>
        <w:ind w:firstLine="708"/>
        <w:rPr>
          <w:rStyle w:val="normaltextrun"/>
          <w:rFonts w:cs="Tahoma"/>
          <w:color w:val="000000"/>
          <w:szCs w:val="24"/>
        </w:rPr>
      </w:pPr>
    </w:p>
    <w:p w14:paraId="5D4A2AF2" w14:textId="1920FC24" w:rsidR="003221C2" w:rsidRPr="002A4B22" w:rsidRDefault="0066252A" w:rsidP="002A4B22">
      <w:pPr>
        <w:adjustRightInd w:val="0"/>
        <w:spacing w:line="276" w:lineRule="auto"/>
        <w:ind w:firstLine="708"/>
        <w:rPr>
          <w:rFonts w:cs="Tahoma"/>
          <w:b/>
          <w:szCs w:val="24"/>
          <w:bdr w:val="none" w:sz="0" w:space="0" w:color="auto" w:frame="1"/>
        </w:rPr>
      </w:pPr>
      <w:r w:rsidRPr="002A4B22">
        <w:rPr>
          <w:rFonts w:cs="Tahoma"/>
          <w:b/>
          <w:szCs w:val="24"/>
          <w:bdr w:val="none" w:sz="0" w:space="0" w:color="auto" w:frame="1"/>
        </w:rPr>
        <w:t>6</w:t>
      </w:r>
      <w:r w:rsidR="003221C2" w:rsidRPr="002A4B22">
        <w:rPr>
          <w:rFonts w:cs="Tahoma"/>
          <w:b/>
          <w:szCs w:val="24"/>
          <w:bdr w:val="none" w:sz="0" w:space="0" w:color="auto" w:frame="1"/>
        </w:rPr>
        <w:t xml:space="preserve">.1. </w:t>
      </w:r>
      <w:r w:rsidR="00062C8C" w:rsidRPr="002A4B22">
        <w:rPr>
          <w:rFonts w:cs="Tahoma"/>
          <w:b/>
          <w:szCs w:val="24"/>
          <w:bdr w:val="none" w:sz="0" w:space="0" w:color="auto" w:frame="1"/>
        </w:rPr>
        <w:t>Caso Concreto.</w:t>
      </w:r>
    </w:p>
    <w:p w14:paraId="2514C296" w14:textId="2879C1F8" w:rsidR="00062C8C" w:rsidRPr="002A4B22" w:rsidRDefault="00062C8C" w:rsidP="002A4B22">
      <w:pPr>
        <w:adjustRightInd w:val="0"/>
        <w:spacing w:line="276" w:lineRule="auto"/>
        <w:rPr>
          <w:rFonts w:cs="Tahoma"/>
          <w:b/>
          <w:szCs w:val="24"/>
          <w:bdr w:val="none" w:sz="0" w:space="0" w:color="auto" w:frame="1"/>
        </w:rPr>
      </w:pPr>
    </w:p>
    <w:p w14:paraId="621319E3" w14:textId="43FD1EF2" w:rsidR="00062C8C" w:rsidRPr="002A4B22" w:rsidRDefault="00062C8C" w:rsidP="002A4B22">
      <w:pPr>
        <w:adjustRightInd w:val="0"/>
        <w:spacing w:line="276" w:lineRule="auto"/>
        <w:rPr>
          <w:rFonts w:cs="Tahoma"/>
          <w:b/>
          <w:szCs w:val="24"/>
          <w:bdr w:val="none" w:sz="0" w:space="0" w:color="auto" w:frame="1"/>
        </w:rPr>
      </w:pPr>
      <w:r w:rsidRPr="002A4B22">
        <w:rPr>
          <w:rFonts w:cs="Tahoma"/>
          <w:b/>
          <w:szCs w:val="24"/>
          <w:bdr w:val="none" w:sz="0" w:space="0" w:color="auto" w:frame="1"/>
        </w:rPr>
        <w:t xml:space="preserve">6.1.1. </w:t>
      </w:r>
      <w:r w:rsidR="00181FA3" w:rsidRPr="002A4B22">
        <w:rPr>
          <w:rFonts w:cs="Tahoma"/>
          <w:b/>
          <w:szCs w:val="24"/>
          <w:bdr w:val="none" w:sz="0" w:space="0" w:color="auto" w:frame="1"/>
        </w:rPr>
        <w:t>Excepción</w:t>
      </w:r>
      <w:r w:rsidRPr="002A4B22">
        <w:rPr>
          <w:rFonts w:cs="Tahoma"/>
          <w:b/>
          <w:szCs w:val="24"/>
          <w:bdr w:val="none" w:sz="0" w:space="0" w:color="auto" w:frame="1"/>
        </w:rPr>
        <w:t xml:space="preserve"> previa de falta de agotamiento de la Re</w:t>
      </w:r>
      <w:r w:rsidR="00181FA3" w:rsidRPr="002A4B22">
        <w:rPr>
          <w:rFonts w:cs="Tahoma"/>
          <w:b/>
          <w:szCs w:val="24"/>
          <w:bdr w:val="none" w:sz="0" w:space="0" w:color="auto" w:frame="1"/>
        </w:rPr>
        <w:t>clamación Administrativa.</w:t>
      </w:r>
    </w:p>
    <w:p w14:paraId="609909E5" w14:textId="6A1D8A2E" w:rsidR="00BF68B4" w:rsidRPr="002A4B22" w:rsidRDefault="00BF68B4" w:rsidP="002A4B22">
      <w:pPr>
        <w:adjustRightInd w:val="0"/>
        <w:spacing w:line="276" w:lineRule="auto"/>
        <w:rPr>
          <w:rFonts w:cs="Tahoma"/>
          <w:b/>
          <w:szCs w:val="24"/>
          <w:bdr w:val="none" w:sz="0" w:space="0" w:color="auto" w:frame="1"/>
        </w:rPr>
      </w:pPr>
    </w:p>
    <w:p w14:paraId="1AAF2BCB" w14:textId="5E36F242" w:rsidR="00BF68B4" w:rsidRPr="002A4B22" w:rsidRDefault="00BF68B4" w:rsidP="00C43D97">
      <w:pPr>
        <w:spacing w:line="276" w:lineRule="auto"/>
        <w:ind w:firstLine="708"/>
        <w:rPr>
          <w:rFonts w:eastAsia="Times New Roman" w:cs="Tahoma"/>
          <w:color w:val="000000"/>
          <w:szCs w:val="24"/>
          <w:lang w:val="es-CO" w:eastAsia="es-CO"/>
        </w:rPr>
      </w:pPr>
      <w:bookmarkStart w:id="4" w:name="_Hlk103427361"/>
      <w:r w:rsidRPr="002A4B22">
        <w:rPr>
          <w:rFonts w:eastAsia="Times New Roman" w:cs="Tahoma"/>
          <w:color w:val="000000" w:themeColor="text1"/>
          <w:szCs w:val="24"/>
          <w:lang w:val="es-CO" w:eastAsia="es-CO"/>
        </w:rPr>
        <w:t>El artículo 6º del Código Procesal del Trabajo dispone que las acciones contra la Nación, las entidades territoriales y cualquier otra entidad de la administración pública solo podrán iniciarse cuando se haya agotado la reclamación administrativa</w:t>
      </w:r>
      <w:r w:rsidR="00151EDC" w:rsidRPr="002A4B22">
        <w:rPr>
          <w:rFonts w:eastAsia="Times New Roman" w:cs="Tahoma"/>
          <w:color w:val="000000" w:themeColor="text1"/>
          <w:szCs w:val="24"/>
          <w:lang w:val="es-CO" w:eastAsia="es-CO"/>
        </w:rPr>
        <w:t xml:space="preserve">, entendida como </w:t>
      </w:r>
      <w:r w:rsidR="00151EDC" w:rsidRPr="002A4B22">
        <w:rPr>
          <w:rFonts w:eastAsia="Times New Roman" w:cs="Tahoma"/>
          <w:color w:val="000000" w:themeColor="text1"/>
          <w:szCs w:val="24"/>
          <w:lang w:eastAsia="es-CO"/>
        </w:rPr>
        <w:t>el simple reclamo escrito del servidor público o trabajador sobre el derecho que pretenda.</w:t>
      </w:r>
    </w:p>
    <w:bookmarkEnd w:id="4"/>
    <w:p w14:paraId="065895F9" w14:textId="16A9670B" w:rsidR="586DF0FB" w:rsidRPr="002A4B22" w:rsidRDefault="586DF0FB" w:rsidP="00C43D97">
      <w:pPr>
        <w:spacing w:line="276" w:lineRule="auto"/>
        <w:ind w:firstLine="708"/>
        <w:rPr>
          <w:rFonts w:eastAsia="Calibri" w:cs="Tahoma"/>
          <w:color w:val="000000" w:themeColor="text1"/>
          <w:szCs w:val="24"/>
          <w:lang w:eastAsia="es-CO"/>
        </w:rPr>
      </w:pPr>
    </w:p>
    <w:p w14:paraId="6D8D332F" w14:textId="09EBC056" w:rsidR="00BF68B4" w:rsidRPr="002A4B22" w:rsidRDefault="00BF68B4" w:rsidP="00C43D97">
      <w:pPr>
        <w:spacing w:line="276" w:lineRule="auto"/>
        <w:ind w:firstLine="567"/>
        <w:rPr>
          <w:rFonts w:eastAsia="Times New Roman" w:cs="Tahoma"/>
          <w:color w:val="000000"/>
          <w:szCs w:val="24"/>
          <w:lang w:val="es-CO" w:eastAsia="es-CO"/>
        </w:rPr>
      </w:pPr>
      <w:r w:rsidRPr="002A4B22">
        <w:rPr>
          <w:rFonts w:eastAsia="Times New Roman" w:cs="Tahoma"/>
          <w:color w:val="000000" w:themeColor="text1"/>
          <w:szCs w:val="24"/>
          <w:lang w:val="es-CO" w:eastAsia="es-CO"/>
        </w:rPr>
        <w:t>La Corte Constitucional en la sentencia C-792 de 2006, al estudiar el aludido artículo precisó lo siguiente:   </w:t>
      </w:r>
    </w:p>
    <w:p w14:paraId="3549B079" w14:textId="4DE7B8CA" w:rsidR="586DF0FB" w:rsidRPr="002A4B22" w:rsidRDefault="586DF0FB" w:rsidP="00C43D97">
      <w:pPr>
        <w:spacing w:line="276" w:lineRule="auto"/>
        <w:ind w:firstLine="567"/>
        <w:rPr>
          <w:rFonts w:eastAsia="Calibri" w:cs="Tahoma"/>
          <w:color w:val="000000" w:themeColor="text1"/>
          <w:szCs w:val="24"/>
          <w:lang w:val="es-CO" w:eastAsia="es-CO"/>
        </w:rPr>
      </w:pPr>
    </w:p>
    <w:p w14:paraId="3D7BAD0A" w14:textId="0B0F85D0" w:rsidR="00BF68B4" w:rsidRPr="00D34250" w:rsidRDefault="00BF68B4" w:rsidP="00D34250">
      <w:pPr>
        <w:spacing w:line="240" w:lineRule="auto"/>
        <w:ind w:left="426" w:right="420"/>
        <w:rPr>
          <w:rFonts w:eastAsia="Times New Roman" w:cs="Tahoma"/>
          <w:color w:val="000000"/>
          <w:sz w:val="22"/>
          <w:szCs w:val="24"/>
          <w:lang w:val="es-CO" w:eastAsia="es-CO"/>
        </w:rPr>
      </w:pPr>
      <w:r w:rsidRPr="00D34250">
        <w:rPr>
          <w:rFonts w:eastAsia="Times New Roman" w:cs="Tahoma"/>
          <w:i/>
          <w:iCs/>
          <w:color w:val="000000" w:themeColor="text1"/>
          <w:sz w:val="22"/>
          <w:szCs w:val="24"/>
          <w:lang w:val="es-CO" w:eastAsia="es-CO"/>
        </w:rPr>
        <w:t>En el artículo 6º del C.P.L.S.S. se adoptó una modalidad especial de aseguramiento de la oportunidad para la autotutela administrativa, porque al señalarse que la reclamación administrativa cuyo agotamiento es presupuesto para ocurrir ante la justicia ordinaria laboral, consiste en el simple reclamo escrito del servidor público o trabajador sobre el derecho que pretenda, la sustrae del ámbito del agotamiento de la vía gubernativa previsto en el C.C.A. como requisito para que los particulares puedan acudir ante la jurisdicción contencioso administrativa a demandar los actos administrativos unilaterales y definitivos de carácter particular y concreto, para someterla a una regulación más general y sencilla, conforme a la cual, en todos los eventos en que se pretenda demandar a una entidad pública ante la justicia ordinaria laboral, un presupuesto de procedibilidad de la acción es esa previa reclamación administrativa.</w:t>
      </w:r>
    </w:p>
    <w:p w14:paraId="02A29592" w14:textId="73CAED70" w:rsidR="586DF0FB" w:rsidRPr="002A4B22" w:rsidRDefault="586DF0FB" w:rsidP="00D34250">
      <w:pPr>
        <w:spacing w:line="276" w:lineRule="auto"/>
        <w:ind w:left="567" w:right="567"/>
        <w:rPr>
          <w:rFonts w:eastAsia="Calibri" w:cs="Tahoma"/>
          <w:i/>
          <w:iCs/>
          <w:color w:val="000000" w:themeColor="text1"/>
          <w:szCs w:val="24"/>
          <w:lang w:val="es-CO" w:eastAsia="es-CO"/>
        </w:rPr>
      </w:pPr>
    </w:p>
    <w:p w14:paraId="1DE80286" w14:textId="1AD592AD" w:rsidR="00BF68B4" w:rsidRPr="002A4B22" w:rsidRDefault="0028549B" w:rsidP="002A4B22">
      <w:pPr>
        <w:adjustRightInd w:val="0"/>
        <w:spacing w:line="276" w:lineRule="auto"/>
        <w:ind w:firstLine="567"/>
        <w:rPr>
          <w:rFonts w:cs="Tahoma"/>
          <w:bCs/>
          <w:szCs w:val="24"/>
          <w:bdr w:val="none" w:sz="0" w:space="0" w:color="auto" w:frame="1"/>
          <w:lang w:val="es-CO"/>
        </w:rPr>
      </w:pPr>
      <w:r w:rsidRPr="002A4B22">
        <w:rPr>
          <w:rFonts w:cs="Tahoma"/>
          <w:bCs/>
          <w:szCs w:val="24"/>
          <w:bdr w:val="none" w:sz="0" w:space="0" w:color="auto" w:frame="1"/>
          <w:lang w:val="es-CO"/>
        </w:rPr>
        <w:t xml:space="preserve">En este orden de ideas, </w:t>
      </w:r>
      <w:r w:rsidR="00BE0EE1" w:rsidRPr="002A4B22">
        <w:rPr>
          <w:rFonts w:cs="Tahoma"/>
          <w:bCs/>
          <w:szCs w:val="24"/>
          <w:bdr w:val="none" w:sz="0" w:space="0" w:color="auto" w:frame="1"/>
          <w:lang w:val="es-CO"/>
        </w:rPr>
        <w:t xml:space="preserve">la reclamación administrativa es una petición de reivindicación que permite a la entidad de derecho público, </w:t>
      </w:r>
      <w:r w:rsidR="00AF53E9" w:rsidRPr="002A4B22">
        <w:rPr>
          <w:rFonts w:cs="Tahoma"/>
          <w:bCs/>
          <w:szCs w:val="24"/>
          <w:bdr w:val="none" w:sz="0" w:space="0" w:color="auto" w:frame="1"/>
          <w:lang w:val="es-CO"/>
        </w:rPr>
        <w:t xml:space="preserve">establecer previo al estudio factico y jurídico que sea del caso, la procedencia o no del peticionario y en caso tal corregir por sí mismas cualquier error en el que hayan podido incurrir, </w:t>
      </w:r>
      <w:r w:rsidR="00BE0EE1" w:rsidRPr="002A4B22">
        <w:rPr>
          <w:rFonts w:cs="Tahoma"/>
          <w:bCs/>
          <w:szCs w:val="24"/>
          <w:bdr w:val="none" w:sz="0" w:space="0" w:color="auto" w:frame="1"/>
          <w:lang w:val="es-CO"/>
        </w:rPr>
        <w:t>con antelación a cualquier controversia ante los juzgados laborales</w:t>
      </w:r>
      <w:r w:rsidR="00AF53E9" w:rsidRPr="002A4B22">
        <w:rPr>
          <w:rFonts w:cs="Tahoma"/>
          <w:bCs/>
          <w:szCs w:val="24"/>
          <w:bdr w:val="none" w:sz="0" w:space="0" w:color="auto" w:frame="1"/>
          <w:lang w:val="es-CO"/>
        </w:rPr>
        <w:t>.</w:t>
      </w:r>
    </w:p>
    <w:p w14:paraId="015E6261" w14:textId="2C0D8A48" w:rsidR="003221C2" w:rsidRPr="002A4B22" w:rsidRDefault="003221C2" w:rsidP="002A4B22">
      <w:pPr>
        <w:adjustRightInd w:val="0"/>
        <w:spacing w:line="276" w:lineRule="auto"/>
        <w:rPr>
          <w:rFonts w:cs="Tahoma"/>
          <w:b/>
          <w:szCs w:val="24"/>
        </w:rPr>
      </w:pPr>
    </w:p>
    <w:p w14:paraId="2F1A8D91" w14:textId="77777777" w:rsidR="004C20C1" w:rsidRPr="002A4B22" w:rsidRDefault="00966FF8" w:rsidP="002A4B22">
      <w:pPr>
        <w:adjustRightInd w:val="0"/>
        <w:spacing w:line="276" w:lineRule="auto"/>
        <w:ind w:firstLine="709"/>
        <w:rPr>
          <w:rFonts w:cs="Tahoma"/>
          <w:szCs w:val="24"/>
        </w:rPr>
      </w:pPr>
      <w:r w:rsidRPr="002A4B22">
        <w:rPr>
          <w:rFonts w:cs="Tahoma"/>
          <w:szCs w:val="24"/>
        </w:rPr>
        <w:t xml:space="preserve">Conforme a lo expuesto no desconoce </w:t>
      </w:r>
      <w:r w:rsidR="00F126D3" w:rsidRPr="002A4B22">
        <w:rPr>
          <w:rFonts w:cs="Tahoma"/>
          <w:szCs w:val="24"/>
        </w:rPr>
        <w:t xml:space="preserve">la Sala que la reclamación administrativa debe contener la solicitud clara y expresa de lo que se pretende, los hechos en que se fundamenta y </w:t>
      </w:r>
      <w:r w:rsidR="002B296B" w:rsidRPr="002A4B22">
        <w:rPr>
          <w:rFonts w:cs="Tahoma"/>
          <w:szCs w:val="24"/>
        </w:rPr>
        <w:t xml:space="preserve">en caso tal, </w:t>
      </w:r>
      <w:r w:rsidR="00F126D3" w:rsidRPr="002A4B22">
        <w:rPr>
          <w:rFonts w:cs="Tahoma"/>
          <w:szCs w:val="24"/>
        </w:rPr>
        <w:t xml:space="preserve">el acto administrativo que se pretende controvertir, presupuestos todos que, contrario a lo considerado por el recurrente, </w:t>
      </w:r>
      <w:r w:rsidR="002B296B" w:rsidRPr="002A4B22">
        <w:rPr>
          <w:rFonts w:cs="Tahoma"/>
          <w:szCs w:val="24"/>
        </w:rPr>
        <w:t xml:space="preserve">se avizoran en la respuesta emitida por el </w:t>
      </w:r>
      <w:r w:rsidR="003E3CA7" w:rsidRPr="002A4B22">
        <w:rPr>
          <w:rFonts w:cs="Tahoma"/>
          <w:szCs w:val="24"/>
        </w:rPr>
        <w:t>19 de octubre de 2017</w:t>
      </w:r>
      <w:r w:rsidR="003E3CA7" w:rsidRPr="002A4B22">
        <w:rPr>
          <w:rStyle w:val="Refdenotaalpie"/>
          <w:rFonts w:cs="Tahoma"/>
          <w:szCs w:val="24"/>
        </w:rPr>
        <w:footnoteReference w:id="1"/>
      </w:r>
      <w:r w:rsidR="00AD183A" w:rsidRPr="002A4B22">
        <w:rPr>
          <w:rFonts w:cs="Tahoma"/>
          <w:szCs w:val="24"/>
        </w:rPr>
        <w:t xml:space="preserve">, </w:t>
      </w:r>
    </w:p>
    <w:p w14:paraId="6001E4FD" w14:textId="77777777" w:rsidR="004C20C1" w:rsidRPr="002A4B22" w:rsidRDefault="004C20C1" w:rsidP="002A4B22">
      <w:pPr>
        <w:adjustRightInd w:val="0"/>
        <w:spacing w:line="276" w:lineRule="auto"/>
        <w:ind w:firstLine="709"/>
        <w:rPr>
          <w:rFonts w:cs="Tahoma"/>
          <w:szCs w:val="24"/>
        </w:rPr>
      </w:pPr>
    </w:p>
    <w:p w14:paraId="3600E7A0" w14:textId="2AF1DBCF" w:rsidR="00511D3F" w:rsidRPr="002A4B22" w:rsidRDefault="004C20C1" w:rsidP="002A4B22">
      <w:pPr>
        <w:adjustRightInd w:val="0"/>
        <w:spacing w:line="276" w:lineRule="auto"/>
        <w:ind w:firstLine="709"/>
        <w:rPr>
          <w:rFonts w:cs="Tahoma"/>
          <w:szCs w:val="24"/>
        </w:rPr>
      </w:pPr>
      <w:r w:rsidRPr="002A4B22">
        <w:rPr>
          <w:rFonts w:cs="Tahoma"/>
          <w:szCs w:val="24"/>
        </w:rPr>
        <w:t xml:space="preserve">En este sentido, con dicho oficio se </w:t>
      </w:r>
      <w:r w:rsidR="00BC3331" w:rsidRPr="002A4B22">
        <w:rPr>
          <w:rFonts w:cs="Tahoma"/>
          <w:szCs w:val="24"/>
        </w:rPr>
        <w:t xml:space="preserve">cumple la finalidad de autotutela contemplada en el artículo 6 del C.P.T y de la S.S. ya que el Ministerio no se limitó a certificar </w:t>
      </w:r>
      <w:r w:rsidR="007B751E" w:rsidRPr="002A4B22">
        <w:rPr>
          <w:rFonts w:cs="Tahoma"/>
          <w:szCs w:val="24"/>
        </w:rPr>
        <w:t xml:space="preserve">los tiempos laborados como supernumerario, sino que añadió que </w:t>
      </w:r>
      <w:r w:rsidR="004F0CDC" w:rsidRPr="002A4B22">
        <w:rPr>
          <w:rFonts w:cs="Tahoma"/>
          <w:szCs w:val="24"/>
        </w:rPr>
        <w:t xml:space="preserve">los nombramientos en calidad de supernumerario efectuados con anterioridad al 19 de agosto de 1998, no generan </w:t>
      </w:r>
      <w:r w:rsidR="0082757F" w:rsidRPr="002A4B22">
        <w:rPr>
          <w:rFonts w:cs="Tahoma"/>
          <w:szCs w:val="24"/>
        </w:rPr>
        <w:t>reconocimiento de prestaciones sociales ni aportes a la seguridad social por parte del empleador</w:t>
      </w:r>
      <w:r w:rsidR="00511D3F" w:rsidRPr="002A4B22">
        <w:rPr>
          <w:rFonts w:cs="Tahoma"/>
          <w:szCs w:val="24"/>
        </w:rPr>
        <w:t>.</w:t>
      </w:r>
    </w:p>
    <w:p w14:paraId="572DD209" w14:textId="77777777" w:rsidR="00511D3F" w:rsidRPr="002A4B22" w:rsidRDefault="00511D3F" w:rsidP="002A4B22">
      <w:pPr>
        <w:adjustRightInd w:val="0"/>
        <w:spacing w:line="276" w:lineRule="auto"/>
        <w:ind w:firstLine="709"/>
        <w:rPr>
          <w:rFonts w:cs="Tahoma"/>
          <w:szCs w:val="24"/>
        </w:rPr>
      </w:pPr>
    </w:p>
    <w:p w14:paraId="2CCA1CC4" w14:textId="5DF90F14" w:rsidR="00966FF8" w:rsidRPr="002A4B22" w:rsidRDefault="00511D3F" w:rsidP="002A4B22">
      <w:pPr>
        <w:adjustRightInd w:val="0"/>
        <w:spacing w:line="276" w:lineRule="auto"/>
        <w:ind w:firstLine="709"/>
        <w:rPr>
          <w:rFonts w:cs="Tahoma"/>
          <w:szCs w:val="24"/>
        </w:rPr>
      </w:pPr>
      <w:r w:rsidRPr="002A4B22">
        <w:rPr>
          <w:rFonts w:cs="Tahoma"/>
          <w:szCs w:val="24"/>
        </w:rPr>
        <w:t>A</w:t>
      </w:r>
      <w:r w:rsidR="0082757F" w:rsidRPr="002A4B22">
        <w:rPr>
          <w:rFonts w:cs="Tahoma"/>
          <w:szCs w:val="24"/>
        </w:rPr>
        <w:t>sí las cosas</w:t>
      </w:r>
      <w:r w:rsidR="0070467A" w:rsidRPr="002A4B22">
        <w:rPr>
          <w:rFonts w:cs="Tahoma"/>
          <w:szCs w:val="24"/>
        </w:rPr>
        <w:t>,</w:t>
      </w:r>
      <w:r w:rsidR="0082757F" w:rsidRPr="002A4B22">
        <w:rPr>
          <w:rFonts w:cs="Tahoma"/>
          <w:szCs w:val="24"/>
        </w:rPr>
        <w:t xml:space="preserve"> el escrito deniega claramente el petitum hoy pretendido por la actora que no es otro que el pago de los aportes en mora</w:t>
      </w:r>
      <w:r w:rsidR="004C20C1" w:rsidRPr="002A4B22">
        <w:rPr>
          <w:rFonts w:cs="Tahoma"/>
          <w:szCs w:val="24"/>
        </w:rPr>
        <w:t xml:space="preserve"> al </w:t>
      </w:r>
      <w:r w:rsidR="00001010" w:rsidRPr="002A4B22">
        <w:rPr>
          <w:rFonts w:cs="Tahoma"/>
          <w:szCs w:val="24"/>
        </w:rPr>
        <w:t xml:space="preserve">Sistema </w:t>
      </w:r>
      <w:r w:rsidR="004C20C1" w:rsidRPr="002A4B22">
        <w:rPr>
          <w:rFonts w:cs="Tahoma"/>
          <w:szCs w:val="24"/>
        </w:rPr>
        <w:t xml:space="preserve">de </w:t>
      </w:r>
      <w:r w:rsidR="00001010" w:rsidRPr="002A4B22">
        <w:rPr>
          <w:rFonts w:cs="Tahoma"/>
          <w:szCs w:val="24"/>
        </w:rPr>
        <w:t xml:space="preserve">Seguridad Social </w:t>
      </w:r>
      <w:r w:rsidR="004C20C1" w:rsidRPr="002A4B22">
        <w:rPr>
          <w:rFonts w:cs="Tahoma"/>
          <w:szCs w:val="24"/>
        </w:rPr>
        <w:t xml:space="preserve">en </w:t>
      </w:r>
      <w:r w:rsidR="00001010" w:rsidRPr="002A4B22">
        <w:rPr>
          <w:rFonts w:cs="Tahoma"/>
          <w:szCs w:val="24"/>
        </w:rPr>
        <w:t xml:space="preserve">Pensiones </w:t>
      </w:r>
      <w:r w:rsidR="002C2CBF" w:rsidRPr="002A4B22">
        <w:rPr>
          <w:rFonts w:cs="Tahoma"/>
          <w:szCs w:val="24"/>
        </w:rPr>
        <w:t>entre el 1 de septiembre de 1984 y el 30 de septiembre de 1997,</w:t>
      </w:r>
      <w:r w:rsidR="004876FC" w:rsidRPr="002A4B22">
        <w:rPr>
          <w:rFonts w:cs="Tahoma"/>
          <w:szCs w:val="24"/>
        </w:rPr>
        <w:t xml:space="preserve"> </w:t>
      </w:r>
      <w:r w:rsidRPr="002A4B22">
        <w:rPr>
          <w:rFonts w:cs="Tahoma"/>
          <w:szCs w:val="24"/>
        </w:rPr>
        <w:t xml:space="preserve"> </w:t>
      </w:r>
      <w:r w:rsidR="00EA1407" w:rsidRPr="002A4B22">
        <w:rPr>
          <w:rFonts w:cs="Tahoma"/>
          <w:szCs w:val="24"/>
        </w:rPr>
        <w:t xml:space="preserve">con sustento en que laboró </w:t>
      </w:r>
      <w:r w:rsidR="00FB6D0C" w:rsidRPr="002A4B22">
        <w:rPr>
          <w:rFonts w:cs="Tahoma"/>
          <w:szCs w:val="24"/>
        </w:rPr>
        <w:t>como supernumeraria para el extinto instituto de seguros sociales desde el 1 de septiembre de 1986 hasta el 8 de julio de 1997</w:t>
      </w:r>
      <w:r w:rsidR="00572FF7" w:rsidRPr="002A4B22">
        <w:rPr>
          <w:rFonts w:cs="Tahoma"/>
          <w:szCs w:val="24"/>
        </w:rPr>
        <w:t>, y si bien, el ISS le realizó algunos aportes entre el 27 de septiembre de 1992 y el 30 de septiembre de 1</w:t>
      </w:r>
      <w:r w:rsidR="0034501E" w:rsidRPr="002A4B22">
        <w:rPr>
          <w:rFonts w:cs="Tahoma"/>
          <w:szCs w:val="24"/>
        </w:rPr>
        <w:t>9</w:t>
      </w:r>
      <w:r w:rsidR="00572FF7" w:rsidRPr="002A4B22">
        <w:rPr>
          <w:rFonts w:cs="Tahoma"/>
          <w:szCs w:val="24"/>
        </w:rPr>
        <w:t>97, omitió el pago de múltiples periodos</w:t>
      </w:r>
      <w:r w:rsidR="0034501E" w:rsidRPr="002A4B22">
        <w:rPr>
          <w:rFonts w:cs="Tahoma"/>
          <w:szCs w:val="24"/>
        </w:rPr>
        <w:t>.</w:t>
      </w:r>
    </w:p>
    <w:p w14:paraId="58939ADD" w14:textId="31A8E388" w:rsidR="00BC3331" w:rsidRPr="002A4B22" w:rsidRDefault="00BC3331" w:rsidP="002A4B22">
      <w:pPr>
        <w:adjustRightInd w:val="0"/>
        <w:spacing w:line="276" w:lineRule="auto"/>
        <w:ind w:firstLine="709"/>
        <w:rPr>
          <w:rFonts w:cs="Tahoma"/>
          <w:szCs w:val="24"/>
        </w:rPr>
      </w:pPr>
    </w:p>
    <w:p w14:paraId="7F20D7BD" w14:textId="2833CE51" w:rsidR="00966FF8" w:rsidRPr="002A4B22" w:rsidRDefault="00511D3F" w:rsidP="002A4B22">
      <w:pPr>
        <w:adjustRightInd w:val="0"/>
        <w:spacing w:line="276" w:lineRule="auto"/>
        <w:ind w:firstLine="709"/>
        <w:rPr>
          <w:rFonts w:cs="Tahoma"/>
          <w:szCs w:val="24"/>
        </w:rPr>
      </w:pPr>
      <w:r w:rsidRPr="002A4B22">
        <w:rPr>
          <w:rFonts w:cs="Tahoma"/>
          <w:szCs w:val="24"/>
        </w:rPr>
        <w:t xml:space="preserve">Por lo anterior, como quiera que ninguna de las partes, esto es el demandante o el recurrente aportó el escrito de la reclamación administrativa, </w:t>
      </w:r>
      <w:r w:rsidR="00BF1BCB" w:rsidRPr="002A4B22">
        <w:rPr>
          <w:rFonts w:cs="Tahoma"/>
          <w:szCs w:val="24"/>
        </w:rPr>
        <w:t xml:space="preserve">de todas maneras </w:t>
      </w:r>
      <w:r w:rsidRPr="002A4B22">
        <w:rPr>
          <w:rFonts w:cs="Tahoma"/>
          <w:szCs w:val="24"/>
        </w:rPr>
        <w:t xml:space="preserve">de la respuesta emitida se infiere que la misma cumplió a cabalidad con los requisitos establecidos en el artículo 6 del C.S.T y de la S.S. y satisfizo </w:t>
      </w:r>
      <w:r w:rsidR="00551D59" w:rsidRPr="002A4B22">
        <w:rPr>
          <w:rFonts w:cs="Tahoma"/>
          <w:szCs w:val="24"/>
        </w:rPr>
        <w:t xml:space="preserve">el requisito de procedibilidad, por lo que se confirmará en este punto la decisión de primer grado. </w:t>
      </w:r>
    </w:p>
    <w:p w14:paraId="3C7E9CBB" w14:textId="604F7F7C" w:rsidR="00D04CE1" w:rsidRPr="002A4B22" w:rsidRDefault="00D04CE1" w:rsidP="002A4B22">
      <w:pPr>
        <w:adjustRightInd w:val="0"/>
        <w:spacing w:line="276" w:lineRule="auto"/>
        <w:rPr>
          <w:rFonts w:cs="Tahoma"/>
          <w:b/>
          <w:szCs w:val="24"/>
        </w:rPr>
      </w:pPr>
    </w:p>
    <w:p w14:paraId="23D5A1E8" w14:textId="55B0F7C1" w:rsidR="00181FA3" w:rsidRPr="002A4B22" w:rsidRDefault="00181FA3" w:rsidP="002A4B22">
      <w:pPr>
        <w:adjustRightInd w:val="0"/>
        <w:spacing w:line="276" w:lineRule="auto"/>
        <w:rPr>
          <w:rFonts w:cs="Tahoma"/>
          <w:szCs w:val="24"/>
        </w:rPr>
      </w:pPr>
    </w:p>
    <w:p w14:paraId="011D82FB" w14:textId="51586BE2" w:rsidR="00181FA3" w:rsidRPr="002A4B22" w:rsidRDefault="00181FA3" w:rsidP="002A4B22">
      <w:pPr>
        <w:adjustRightInd w:val="0"/>
        <w:spacing w:line="276" w:lineRule="auto"/>
        <w:rPr>
          <w:rFonts w:cs="Tahoma"/>
          <w:b/>
          <w:bCs/>
          <w:szCs w:val="24"/>
        </w:rPr>
      </w:pPr>
      <w:r w:rsidRPr="002A4B22">
        <w:rPr>
          <w:rFonts w:cs="Tahoma"/>
          <w:b/>
          <w:bCs/>
          <w:szCs w:val="24"/>
        </w:rPr>
        <w:t xml:space="preserve">6.1.2. </w:t>
      </w:r>
      <w:r w:rsidR="00182B32" w:rsidRPr="002A4B22">
        <w:rPr>
          <w:rFonts w:cs="Tahoma"/>
          <w:b/>
          <w:bCs/>
          <w:szCs w:val="24"/>
        </w:rPr>
        <w:t xml:space="preserve">Excepción previa de falta de legitimación en la causa por pasiva. </w:t>
      </w:r>
    </w:p>
    <w:p w14:paraId="482F9AC3" w14:textId="655106A0" w:rsidR="00182B32" w:rsidRPr="002A4B22" w:rsidRDefault="00182B32" w:rsidP="002A4B22">
      <w:pPr>
        <w:adjustRightInd w:val="0"/>
        <w:spacing w:line="276" w:lineRule="auto"/>
        <w:rPr>
          <w:rFonts w:cs="Tahoma"/>
          <w:szCs w:val="24"/>
        </w:rPr>
      </w:pPr>
    </w:p>
    <w:p w14:paraId="48CDEC42" w14:textId="081BB375" w:rsidR="003E457A" w:rsidRPr="002A4B22" w:rsidRDefault="008A4456" w:rsidP="002A4B22">
      <w:pPr>
        <w:adjustRightInd w:val="0"/>
        <w:spacing w:line="276" w:lineRule="auto"/>
        <w:ind w:firstLine="708"/>
        <w:rPr>
          <w:rFonts w:cs="Tahoma"/>
          <w:szCs w:val="24"/>
          <w:lang w:val="es-ES_tradnl"/>
        </w:rPr>
      </w:pPr>
      <w:bookmarkStart w:id="5" w:name="_Hlk103427658"/>
      <w:r w:rsidRPr="002A4B22">
        <w:rPr>
          <w:rFonts w:cs="Tahoma"/>
          <w:szCs w:val="24"/>
          <w:lang w:val="es-ES_tradnl"/>
        </w:rPr>
        <w:t xml:space="preserve">Como de antaño lo ha establecido esta </w:t>
      </w:r>
      <w:r w:rsidR="00E649D6" w:rsidRPr="002A4B22">
        <w:rPr>
          <w:rFonts w:cs="Tahoma"/>
          <w:szCs w:val="24"/>
          <w:lang w:val="es-ES_tradnl"/>
        </w:rPr>
        <w:t>C</w:t>
      </w:r>
      <w:r w:rsidRPr="002A4B22">
        <w:rPr>
          <w:rFonts w:cs="Tahoma"/>
          <w:szCs w:val="24"/>
          <w:lang w:val="es-ES_tradnl"/>
        </w:rPr>
        <w:t>orporación</w:t>
      </w:r>
      <w:r w:rsidR="00C6702A" w:rsidRPr="002A4B22">
        <w:rPr>
          <w:rStyle w:val="Refdenotaalpie"/>
          <w:rFonts w:cs="Tahoma"/>
          <w:szCs w:val="24"/>
          <w:lang w:val="es-ES_tradnl"/>
        </w:rPr>
        <w:footnoteReference w:id="2"/>
      </w:r>
      <w:r w:rsidRPr="002A4B22">
        <w:rPr>
          <w:rFonts w:cs="Tahoma"/>
          <w:szCs w:val="24"/>
          <w:lang w:val="es-ES_tradnl"/>
        </w:rPr>
        <w:t xml:space="preserve">, </w:t>
      </w:r>
      <w:r w:rsidR="000B26DC" w:rsidRPr="002A4B22">
        <w:rPr>
          <w:rFonts w:cs="Tahoma"/>
          <w:szCs w:val="24"/>
          <w:lang w:val="es-ES_tradnl"/>
        </w:rPr>
        <w:t xml:space="preserve">de conformidad con el artículo 13 del Código General del Proceso las normas procesales son de obligatorio cumplimiento, </w:t>
      </w:r>
      <w:r w:rsidR="0049392B" w:rsidRPr="002A4B22">
        <w:rPr>
          <w:rFonts w:cs="Tahoma"/>
          <w:szCs w:val="24"/>
          <w:lang w:val="es-ES_tradnl"/>
        </w:rPr>
        <w:t xml:space="preserve">y a su vez el artículo 100 del mismo cuerpo normativo, consagra taxativamente las excepciones que pueden presentarse como previas, entre las cuales no se encuentra la falta de legitimación en la causa, misma que tampoco se consagró como mixta en el </w:t>
      </w:r>
      <w:r w:rsidR="00125508" w:rsidRPr="002A4B22">
        <w:rPr>
          <w:rFonts w:cs="Tahoma"/>
          <w:szCs w:val="24"/>
          <w:lang w:val="es-ES_tradnl"/>
        </w:rPr>
        <w:t xml:space="preserve">artículo 32 del C.P.T y de la S.S. </w:t>
      </w:r>
    </w:p>
    <w:bookmarkEnd w:id="5"/>
    <w:p w14:paraId="29C051AB" w14:textId="5209CF82" w:rsidR="00F179B3" w:rsidRPr="002A4B22" w:rsidRDefault="00F179B3" w:rsidP="002A4B22">
      <w:pPr>
        <w:adjustRightInd w:val="0"/>
        <w:spacing w:line="276" w:lineRule="auto"/>
        <w:ind w:firstLine="708"/>
        <w:rPr>
          <w:rFonts w:cs="Tahoma"/>
          <w:szCs w:val="24"/>
          <w:lang w:val="es-ES_tradnl"/>
        </w:rPr>
      </w:pPr>
    </w:p>
    <w:p w14:paraId="60A41FD5" w14:textId="74829037" w:rsidR="003E457A" w:rsidRPr="002A4B22" w:rsidRDefault="00F179B3" w:rsidP="002A4B22">
      <w:pPr>
        <w:adjustRightInd w:val="0"/>
        <w:spacing w:line="276" w:lineRule="auto"/>
        <w:ind w:firstLine="708"/>
        <w:rPr>
          <w:rFonts w:cs="Tahoma"/>
          <w:szCs w:val="24"/>
          <w:lang w:val="es-ES_tradnl"/>
        </w:rPr>
      </w:pPr>
      <w:r w:rsidRPr="002A4B22">
        <w:rPr>
          <w:rFonts w:cs="Tahoma"/>
          <w:szCs w:val="24"/>
          <w:lang w:val="es-ES_tradnl"/>
        </w:rPr>
        <w:t>Co</w:t>
      </w:r>
      <w:r w:rsidR="00D34250">
        <w:rPr>
          <w:rFonts w:cs="Tahoma"/>
          <w:szCs w:val="24"/>
          <w:lang w:val="es-ES_tradnl"/>
        </w:rPr>
        <w:t>rolario</w:t>
      </w:r>
      <w:r w:rsidRPr="002A4B22">
        <w:rPr>
          <w:rFonts w:cs="Tahoma"/>
          <w:szCs w:val="24"/>
          <w:lang w:val="es-ES_tradnl"/>
        </w:rPr>
        <w:t xml:space="preserve"> de lo expuesto, resta concluir que la decisión de la </w:t>
      </w:r>
      <w:r w:rsidR="00552220">
        <w:rPr>
          <w:rFonts w:cs="Tahoma"/>
          <w:szCs w:val="24"/>
          <w:lang w:val="es-ES_tradnl"/>
        </w:rPr>
        <w:t xml:space="preserve">a </w:t>
      </w:r>
      <w:r w:rsidRPr="002A4B22">
        <w:rPr>
          <w:rFonts w:cs="Tahoma"/>
          <w:szCs w:val="24"/>
          <w:lang w:val="es-ES_tradnl"/>
        </w:rPr>
        <w:t xml:space="preserve">quo fue acertada, pues descartada </w:t>
      </w:r>
      <w:r w:rsidR="003E457A" w:rsidRPr="002A4B22">
        <w:rPr>
          <w:rFonts w:cs="Tahoma"/>
          <w:szCs w:val="24"/>
          <w:lang w:val="es-ES_tradnl"/>
        </w:rPr>
        <w:t xml:space="preserve">la prosperidad de la falta de legitimación en la causa como excepción previa, </w:t>
      </w:r>
      <w:r w:rsidRPr="002A4B22">
        <w:rPr>
          <w:rFonts w:cs="Tahoma"/>
          <w:szCs w:val="24"/>
          <w:lang w:val="es-ES_tradnl"/>
        </w:rPr>
        <w:t xml:space="preserve">la misma debe ser decida de fondo, </w:t>
      </w:r>
      <w:r w:rsidR="002409E5" w:rsidRPr="002A4B22">
        <w:rPr>
          <w:rFonts w:cs="Tahoma"/>
          <w:szCs w:val="24"/>
        </w:rPr>
        <w:t>toda vez que, si bien hubo un error procedimental en su formulación, es al juez a quien le corresponde imprimirle el trámite adecuado.</w:t>
      </w:r>
    </w:p>
    <w:p w14:paraId="2AD82E7C" w14:textId="427C23D6" w:rsidR="00977C6A" w:rsidRPr="002A4B22" w:rsidRDefault="00977C6A" w:rsidP="002A4B22">
      <w:pPr>
        <w:adjustRightInd w:val="0"/>
        <w:spacing w:line="276" w:lineRule="auto"/>
        <w:ind w:firstLine="708"/>
        <w:rPr>
          <w:rFonts w:cs="Tahoma"/>
          <w:szCs w:val="24"/>
          <w:lang w:val="es-ES_tradnl"/>
        </w:rPr>
      </w:pPr>
    </w:p>
    <w:p w14:paraId="2F77ABF3" w14:textId="1D0C4FA3" w:rsidR="00977C6A" w:rsidRPr="002A4B22" w:rsidRDefault="00977C6A" w:rsidP="002A4B22">
      <w:pPr>
        <w:adjustRightInd w:val="0"/>
        <w:spacing w:line="276" w:lineRule="auto"/>
        <w:rPr>
          <w:rFonts w:cs="Tahoma"/>
          <w:szCs w:val="24"/>
          <w:lang w:val="es-ES_tradnl"/>
        </w:rPr>
      </w:pPr>
    </w:p>
    <w:p w14:paraId="19AC1B81" w14:textId="2A7029E5" w:rsidR="00181FA3" w:rsidRPr="002A4B22" w:rsidRDefault="00977C6A" w:rsidP="002A4B22">
      <w:pPr>
        <w:adjustRightInd w:val="0"/>
        <w:spacing w:line="276" w:lineRule="auto"/>
        <w:rPr>
          <w:rFonts w:cs="Tahoma"/>
          <w:b/>
          <w:bCs/>
          <w:szCs w:val="24"/>
          <w:lang w:val="es-ES_tradnl"/>
        </w:rPr>
      </w:pPr>
      <w:r w:rsidRPr="002A4B22">
        <w:rPr>
          <w:rFonts w:cs="Tahoma"/>
          <w:b/>
          <w:bCs/>
          <w:szCs w:val="24"/>
          <w:lang w:val="es-ES_tradnl"/>
        </w:rPr>
        <w:t xml:space="preserve">6.1.3. </w:t>
      </w:r>
      <w:r w:rsidR="00BF1BCB" w:rsidRPr="002A4B22">
        <w:rPr>
          <w:rFonts w:cs="Tahoma"/>
          <w:b/>
          <w:bCs/>
          <w:szCs w:val="24"/>
          <w:lang w:val="es-ES_tradnl"/>
        </w:rPr>
        <w:t>C</w:t>
      </w:r>
      <w:r w:rsidRPr="002A4B22">
        <w:rPr>
          <w:rFonts w:cs="Tahoma"/>
          <w:b/>
          <w:bCs/>
          <w:szCs w:val="24"/>
          <w:lang w:val="es-ES_tradnl"/>
        </w:rPr>
        <w:t xml:space="preserve">ondena en costas </w:t>
      </w:r>
    </w:p>
    <w:p w14:paraId="6DE2E71B" w14:textId="77777777" w:rsidR="00181FA3" w:rsidRPr="002A4B22" w:rsidRDefault="00181FA3" w:rsidP="002A4B22">
      <w:pPr>
        <w:adjustRightInd w:val="0"/>
        <w:spacing w:line="276" w:lineRule="auto"/>
        <w:rPr>
          <w:rFonts w:cs="Tahoma"/>
          <w:szCs w:val="24"/>
        </w:rPr>
      </w:pPr>
    </w:p>
    <w:p w14:paraId="1AEFF454" w14:textId="4EE67FFB" w:rsidR="00181FA3" w:rsidRPr="002A4B22" w:rsidRDefault="00181FA3" w:rsidP="002A4B22">
      <w:pPr>
        <w:adjustRightInd w:val="0"/>
        <w:spacing w:line="276" w:lineRule="auto"/>
        <w:rPr>
          <w:rFonts w:cs="Tahoma"/>
          <w:szCs w:val="24"/>
          <w:lang w:val="es-CO"/>
        </w:rPr>
      </w:pPr>
      <w:r w:rsidRPr="002A4B22">
        <w:rPr>
          <w:rFonts w:cs="Tahoma"/>
          <w:szCs w:val="24"/>
          <w:lang w:val="es-CO"/>
        </w:rPr>
        <w:tab/>
        <w:t>En este orden de ideas</w:t>
      </w:r>
      <w:r w:rsidR="00977C6A" w:rsidRPr="002A4B22">
        <w:rPr>
          <w:rFonts w:cs="Tahoma"/>
          <w:szCs w:val="24"/>
          <w:lang w:val="es-CO"/>
        </w:rPr>
        <w:t xml:space="preserve">, </w:t>
      </w:r>
      <w:r w:rsidR="00EC1F7E" w:rsidRPr="002A4B22">
        <w:rPr>
          <w:rFonts w:cs="Tahoma"/>
          <w:szCs w:val="24"/>
          <w:lang w:val="es-CO"/>
        </w:rPr>
        <w:t>habiéndose</w:t>
      </w:r>
      <w:r w:rsidR="00977C6A" w:rsidRPr="002A4B22">
        <w:rPr>
          <w:rFonts w:cs="Tahoma"/>
          <w:szCs w:val="24"/>
          <w:lang w:val="es-CO"/>
        </w:rPr>
        <w:t xml:space="preserve"> confirmado en su totalidad el </w:t>
      </w:r>
      <w:r w:rsidR="00EC1F7E" w:rsidRPr="002A4B22">
        <w:rPr>
          <w:rFonts w:cs="Tahoma"/>
          <w:szCs w:val="24"/>
          <w:lang w:val="es-CO"/>
        </w:rPr>
        <w:t>auto</w:t>
      </w:r>
      <w:r w:rsidR="00977C6A" w:rsidRPr="002A4B22">
        <w:rPr>
          <w:rFonts w:cs="Tahoma"/>
          <w:szCs w:val="24"/>
          <w:lang w:val="es-CO"/>
        </w:rPr>
        <w:t xml:space="preserve"> apelado</w:t>
      </w:r>
      <w:r w:rsidR="00EC1F7E" w:rsidRPr="002A4B22">
        <w:rPr>
          <w:rFonts w:cs="Tahoma"/>
          <w:szCs w:val="24"/>
          <w:lang w:val="es-CO"/>
        </w:rPr>
        <w:t>, resulta imperiosa la condena en costas</w:t>
      </w:r>
      <w:r w:rsidR="000E2B56" w:rsidRPr="002A4B22">
        <w:rPr>
          <w:rFonts w:cs="Tahoma"/>
          <w:szCs w:val="24"/>
          <w:lang w:val="es-CO"/>
        </w:rPr>
        <w:t xml:space="preserve"> prevista</w:t>
      </w:r>
      <w:r w:rsidR="000D3625" w:rsidRPr="002A4B22">
        <w:rPr>
          <w:rFonts w:cs="Tahoma"/>
          <w:szCs w:val="24"/>
          <w:lang w:val="es-CO"/>
        </w:rPr>
        <w:t xml:space="preserve"> </w:t>
      </w:r>
      <w:r w:rsidR="000E2B56" w:rsidRPr="002A4B22">
        <w:rPr>
          <w:rFonts w:cs="Tahoma"/>
          <w:szCs w:val="24"/>
          <w:lang w:val="es-CO"/>
        </w:rPr>
        <w:t xml:space="preserve">en del artículo 365 del C.G.P aplicable al proceso laboral en atención a lo dispuesto en el artículo 145 del C.P.T y de la S.S. que </w:t>
      </w:r>
      <w:r w:rsidR="000D3625" w:rsidRPr="002A4B22">
        <w:rPr>
          <w:rFonts w:cs="Tahoma"/>
          <w:szCs w:val="24"/>
          <w:lang w:val="es-CO"/>
        </w:rPr>
        <w:t xml:space="preserve">en esta instancia </w:t>
      </w:r>
      <w:r w:rsidR="000E2B56" w:rsidRPr="002A4B22">
        <w:rPr>
          <w:rFonts w:cs="Tahoma"/>
          <w:szCs w:val="24"/>
          <w:lang w:val="es-CO"/>
        </w:rPr>
        <w:t xml:space="preserve">correrán </w:t>
      </w:r>
      <w:r w:rsidR="000D3625" w:rsidRPr="002A4B22">
        <w:rPr>
          <w:rFonts w:cs="Tahoma"/>
          <w:szCs w:val="24"/>
          <w:lang w:val="es-CO"/>
        </w:rPr>
        <w:t>a cargo de la entidad apelante y a favor del demandante en un 100%</w:t>
      </w:r>
      <w:r w:rsidR="00EC1F7E" w:rsidRPr="002A4B22">
        <w:rPr>
          <w:rFonts w:cs="Tahoma"/>
          <w:szCs w:val="24"/>
          <w:lang w:val="es-CO"/>
        </w:rPr>
        <w:t xml:space="preserve">, </w:t>
      </w:r>
      <w:r w:rsidRPr="002A4B22">
        <w:rPr>
          <w:rFonts w:cs="Tahoma"/>
          <w:szCs w:val="24"/>
          <w:lang w:val="es-CO"/>
        </w:rPr>
        <w:t>y se liquidarán por la secretaría del Juzgado de origen.</w:t>
      </w:r>
    </w:p>
    <w:p w14:paraId="56637782" w14:textId="7F71BA64" w:rsidR="00756893" w:rsidRPr="002A4B22" w:rsidRDefault="00756893" w:rsidP="002A4B22">
      <w:pPr>
        <w:adjustRightInd w:val="0"/>
        <w:spacing w:line="276" w:lineRule="auto"/>
        <w:rPr>
          <w:rFonts w:cs="Tahoma"/>
          <w:szCs w:val="24"/>
          <w:lang w:val="es-CO"/>
        </w:rPr>
      </w:pPr>
    </w:p>
    <w:p w14:paraId="4CFF5599" w14:textId="1C20BDCD" w:rsidR="00B61C07" w:rsidRPr="002A4B22" w:rsidRDefault="00B61C07" w:rsidP="002A4B22">
      <w:pPr>
        <w:spacing w:line="276" w:lineRule="auto"/>
        <w:ind w:firstLine="708"/>
        <w:rPr>
          <w:rFonts w:cs="Tahoma"/>
          <w:szCs w:val="24"/>
          <w:lang w:val="es-ES_tradnl"/>
        </w:rPr>
      </w:pPr>
      <w:r w:rsidRPr="002A4B22">
        <w:rPr>
          <w:rFonts w:cs="Tahoma"/>
          <w:szCs w:val="24"/>
          <w:lang w:val="es-ES_tradnl"/>
        </w:rPr>
        <w:t xml:space="preserve">En mérito de lo expuesto, </w:t>
      </w:r>
      <w:r w:rsidR="00182B32" w:rsidRPr="002A4B22">
        <w:rPr>
          <w:rFonts w:cs="Tahoma"/>
          <w:b/>
          <w:bCs/>
          <w:szCs w:val="24"/>
        </w:rPr>
        <w:t xml:space="preserve">la Sala </w:t>
      </w:r>
      <w:r w:rsidR="003B4039" w:rsidRPr="002A4B22">
        <w:rPr>
          <w:rFonts w:cs="Tahoma"/>
          <w:b/>
          <w:bCs/>
          <w:szCs w:val="24"/>
        </w:rPr>
        <w:t xml:space="preserve">Primera </w:t>
      </w:r>
      <w:r w:rsidR="00182B32" w:rsidRPr="002A4B22">
        <w:rPr>
          <w:rFonts w:cs="Tahoma"/>
          <w:b/>
          <w:bCs/>
          <w:szCs w:val="24"/>
        </w:rPr>
        <w:t xml:space="preserve">de Decisión </w:t>
      </w:r>
      <w:r w:rsidR="003B4039" w:rsidRPr="002A4B22">
        <w:rPr>
          <w:rFonts w:cs="Tahoma"/>
          <w:b/>
          <w:bCs/>
          <w:szCs w:val="24"/>
        </w:rPr>
        <w:t xml:space="preserve">Laboral </w:t>
      </w:r>
      <w:r w:rsidR="00182B32" w:rsidRPr="002A4B22">
        <w:rPr>
          <w:rFonts w:cs="Tahoma"/>
          <w:b/>
          <w:bCs/>
          <w:szCs w:val="24"/>
        </w:rPr>
        <w:t>del Tribunal Superior de Distrito Judicial de Pereira – Risaralda-,</w:t>
      </w:r>
    </w:p>
    <w:p w14:paraId="4A84D389" w14:textId="77777777" w:rsidR="001A51FC" w:rsidRPr="002A4B22" w:rsidRDefault="001A51FC" w:rsidP="002A4B22">
      <w:pPr>
        <w:spacing w:line="276" w:lineRule="auto"/>
        <w:ind w:firstLine="708"/>
        <w:rPr>
          <w:rFonts w:cs="Tahoma"/>
          <w:szCs w:val="24"/>
          <w:lang w:val="es-CO"/>
        </w:rPr>
      </w:pPr>
    </w:p>
    <w:p w14:paraId="7A839D7A" w14:textId="2ABE7837" w:rsidR="00B61C07" w:rsidRPr="002A4B22" w:rsidRDefault="00B61C07" w:rsidP="002A4B22">
      <w:pPr>
        <w:spacing w:line="276" w:lineRule="auto"/>
        <w:ind w:firstLine="708"/>
        <w:jc w:val="center"/>
        <w:rPr>
          <w:rFonts w:cs="Tahoma"/>
          <w:szCs w:val="24"/>
          <w:lang w:val="es-CO"/>
        </w:rPr>
      </w:pPr>
      <w:r w:rsidRPr="002A4B22">
        <w:rPr>
          <w:rFonts w:cs="Tahoma"/>
          <w:b/>
          <w:bCs/>
          <w:szCs w:val="24"/>
        </w:rPr>
        <w:t>RESUELVE</w:t>
      </w:r>
    </w:p>
    <w:p w14:paraId="263D5BCA" w14:textId="77777777" w:rsidR="00B61C07" w:rsidRPr="002A4B22" w:rsidRDefault="00B61C07" w:rsidP="002A4B22">
      <w:pPr>
        <w:spacing w:line="276" w:lineRule="auto"/>
        <w:ind w:firstLine="708"/>
        <w:rPr>
          <w:rFonts w:cs="Tahoma"/>
          <w:szCs w:val="24"/>
          <w:lang w:val="es-CO"/>
        </w:rPr>
      </w:pPr>
      <w:r w:rsidRPr="002A4B22">
        <w:rPr>
          <w:rFonts w:cs="Tahoma"/>
          <w:szCs w:val="24"/>
          <w:lang w:val="es-CO"/>
        </w:rPr>
        <w:t> </w:t>
      </w:r>
    </w:p>
    <w:p w14:paraId="6B4D1B0B" w14:textId="090D0ACF" w:rsidR="003B4039" w:rsidRPr="002A4B22" w:rsidRDefault="00B61C07" w:rsidP="002A4B22">
      <w:pPr>
        <w:spacing w:line="276" w:lineRule="auto"/>
        <w:ind w:firstLine="708"/>
        <w:rPr>
          <w:rFonts w:eastAsia="Calibri" w:cs="Tahoma"/>
          <w:szCs w:val="24"/>
        </w:rPr>
      </w:pPr>
      <w:r w:rsidRPr="002A4B22">
        <w:rPr>
          <w:rFonts w:cs="Tahoma"/>
          <w:b/>
          <w:bCs/>
          <w:szCs w:val="24"/>
          <w:u w:val="single"/>
        </w:rPr>
        <w:t>PRIMERO:</w:t>
      </w:r>
      <w:r w:rsidRPr="002A4B22">
        <w:rPr>
          <w:rFonts w:cs="Tahoma"/>
          <w:b/>
          <w:bCs/>
          <w:szCs w:val="24"/>
        </w:rPr>
        <w:t xml:space="preserve"> </w:t>
      </w:r>
      <w:r w:rsidR="003B4039" w:rsidRPr="002A4B22">
        <w:rPr>
          <w:rFonts w:cs="Tahoma"/>
          <w:b/>
          <w:bCs/>
          <w:szCs w:val="24"/>
        </w:rPr>
        <w:t xml:space="preserve">CONFIRMAR </w:t>
      </w:r>
      <w:r w:rsidR="003B4039" w:rsidRPr="002A4B22">
        <w:rPr>
          <w:rFonts w:cs="Tahoma"/>
          <w:szCs w:val="24"/>
        </w:rPr>
        <w:t xml:space="preserve">el auto objeto de alzada, proferido por el Juzgado </w:t>
      </w:r>
      <w:r w:rsidR="00E414A4" w:rsidRPr="002A4B22">
        <w:rPr>
          <w:rFonts w:cs="Tahoma"/>
          <w:szCs w:val="24"/>
        </w:rPr>
        <w:t xml:space="preserve">Tercero </w:t>
      </w:r>
      <w:r w:rsidR="003B4039" w:rsidRPr="002A4B22">
        <w:rPr>
          <w:rFonts w:cs="Tahoma"/>
          <w:szCs w:val="24"/>
        </w:rPr>
        <w:t xml:space="preserve">Laboral del Circuito de Pereira </w:t>
      </w:r>
      <w:r w:rsidR="00E26F40" w:rsidRPr="002A4B22">
        <w:rPr>
          <w:rFonts w:cs="Tahoma"/>
          <w:szCs w:val="24"/>
        </w:rPr>
        <w:t>el 12 de julio de 2021.</w:t>
      </w:r>
    </w:p>
    <w:p w14:paraId="08136E4F" w14:textId="77777777" w:rsidR="003B4039" w:rsidRPr="002A4B22" w:rsidRDefault="003B4039" w:rsidP="002A4B22">
      <w:pPr>
        <w:spacing w:line="276" w:lineRule="auto"/>
        <w:ind w:firstLine="708"/>
        <w:rPr>
          <w:rFonts w:cs="Tahoma"/>
          <w:b/>
          <w:bCs/>
          <w:szCs w:val="24"/>
        </w:rPr>
      </w:pPr>
    </w:p>
    <w:p w14:paraId="6C7B832B" w14:textId="6901CCF5" w:rsidR="003B4039" w:rsidRPr="002A4B22" w:rsidRDefault="003B4039" w:rsidP="002A4B22">
      <w:pPr>
        <w:spacing w:line="276" w:lineRule="auto"/>
        <w:ind w:firstLine="708"/>
        <w:rPr>
          <w:rFonts w:cs="Tahoma"/>
          <w:szCs w:val="24"/>
        </w:rPr>
      </w:pPr>
      <w:r w:rsidRPr="002A4B22">
        <w:rPr>
          <w:rFonts w:cs="Tahoma"/>
          <w:b/>
          <w:bCs/>
          <w:szCs w:val="24"/>
        </w:rPr>
        <w:t xml:space="preserve">SEGUNDO: </w:t>
      </w:r>
      <w:r w:rsidRPr="002A4B22">
        <w:rPr>
          <w:rFonts w:cs="Tahoma"/>
          <w:szCs w:val="24"/>
        </w:rPr>
        <w:t xml:space="preserve">Costas en esta instancia a cargo </w:t>
      </w:r>
      <w:r w:rsidR="00E414A4" w:rsidRPr="002A4B22">
        <w:rPr>
          <w:rFonts w:cs="Tahoma"/>
          <w:szCs w:val="24"/>
        </w:rPr>
        <w:t xml:space="preserve">del Ministerio de Salud y Protección Social </w:t>
      </w:r>
      <w:r w:rsidRPr="002A4B22">
        <w:rPr>
          <w:rFonts w:cs="Tahoma"/>
          <w:szCs w:val="24"/>
        </w:rPr>
        <w:t>a favor del demandante en un 100%. Liquídense por la secretaría del juzgado de origen.</w:t>
      </w:r>
    </w:p>
    <w:p w14:paraId="674C4C7F" w14:textId="59640AD8" w:rsidR="00B61C07" w:rsidRPr="002A4B22" w:rsidRDefault="00B61C07" w:rsidP="002A4B22">
      <w:pPr>
        <w:spacing w:line="276" w:lineRule="auto"/>
        <w:ind w:firstLine="708"/>
        <w:rPr>
          <w:rFonts w:eastAsia="Times New Roman" w:cs="Tahoma"/>
          <w:szCs w:val="24"/>
          <w:lang w:eastAsia="es-CO"/>
        </w:rPr>
      </w:pPr>
    </w:p>
    <w:p w14:paraId="5589A1F9" w14:textId="77777777" w:rsidR="00B61C07" w:rsidRPr="002A4B22" w:rsidRDefault="00B61C07" w:rsidP="002A4B22">
      <w:pPr>
        <w:spacing w:line="276" w:lineRule="auto"/>
        <w:ind w:firstLine="709"/>
        <w:rPr>
          <w:rFonts w:cs="Tahoma"/>
          <w:szCs w:val="24"/>
        </w:rPr>
      </w:pPr>
      <w:r w:rsidRPr="002A4B22">
        <w:rPr>
          <w:rFonts w:eastAsia="Tahoma" w:cs="Tahoma"/>
          <w:b/>
          <w:bCs/>
          <w:szCs w:val="24"/>
        </w:rPr>
        <w:t>Notifíquese y cúmplase.</w:t>
      </w:r>
    </w:p>
    <w:p w14:paraId="1C17AB32" w14:textId="77777777" w:rsidR="00B61C07" w:rsidRPr="002A4B22" w:rsidRDefault="00B61C07" w:rsidP="002A4B22">
      <w:pPr>
        <w:spacing w:line="276" w:lineRule="auto"/>
        <w:ind w:firstLine="709"/>
        <w:rPr>
          <w:rFonts w:cs="Tahoma"/>
          <w:szCs w:val="24"/>
        </w:rPr>
      </w:pPr>
      <w:r w:rsidRPr="002A4B22">
        <w:rPr>
          <w:rFonts w:eastAsia="Tahoma" w:cs="Tahoma"/>
          <w:szCs w:val="24"/>
        </w:rPr>
        <w:t xml:space="preserve"> </w:t>
      </w:r>
    </w:p>
    <w:p w14:paraId="15C604CD" w14:textId="77777777" w:rsidR="002A4B22" w:rsidRPr="00081907" w:rsidRDefault="002A4B22" w:rsidP="002A4B22">
      <w:pPr>
        <w:widowControl w:val="0"/>
        <w:autoSpaceDE w:val="0"/>
        <w:autoSpaceDN w:val="0"/>
        <w:adjustRightInd w:val="0"/>
        <w:spacing w:line="276" w:lineRule="auto"/>
        <w:rPr>
          <w:rFonts w:cs="Tahoma"/>
        </w:rPr>
      </w:pPr>
      <w:bookmarkStart w:id="7" w:name="_Hlk103074023"/>
      <w:r w:rsidRPr="00081907">
        <w:rPr>
          <w:rFonts w:cs="Tahoma"/>
        </w:rPr>
        <w:tab/>
        <w:t>La Magistrada ponente,</w:t>
      </w:r>
    </w:p>
    <w:p w14:paraId="68B2DCE0" w14:textId="77777777" w:rsidR="002A4B22" w:rsidRPr="00081907" w:rsidRDefault="002A4B22" w:rsidP="002A4B22">
      <w:pPr>
        <w:spacing w:line="276" w:lineRule="auto"/>
        <w:rPr>
          <w:rFonts w:cs="Tahoma"/>
        </w:rPr>
      </w:pPr>
    </w:p>
    <w:p w14:paraId="30D06441" w14:textId="77777777" w:rsidR="002A4B22" w:rsidRPr="00081907" w:rsidRDefault="002A4B22" w:rsidP="002A4B22">
      <w:pPr>
        <w:spacing w:line="276" w:lineRule="auto"/>
        <w:rPr>
          <w:rFonts w:cs="Tahoma"/>
        </w:rPr>
      </w:pPr>
    </w:p>
    <w:p w14:paraId="45A2D426" w14:textId="77777777" w:rsidR="002A4B22" w:rsidRPr="00081907" w:rsidRDefault="002A4B22" w:rsidP="002A4B22">
      <w:pPr>
        <w:spacing w:line="276" w:lineRule="auto"/>
        <w:rPr>
          <w:rFonts w:cs="Tahoma"/>
        </w:rPr>
      </w:pPr>
    </w:p>
    <w:p w14:paraId="12B19B09" w14:textId="77777777" w:rsidR="002A4B22" w:rsidRPr="00081907" w:rsidRDefault="002A4B22" w:rsidP="002A4B22">
      <w:pPr>
        <w:keepNext/>
        <w:spacing w:line="276" w:lineRule="auto"/>
        <w:jc w:val="center"/>
        <w:outlineLvl w:val="2"/>
        <w:rPr>
          <w:rFonts w:cs="Tahoma"/>
          <w:b/>
          <w:bCs/>
        </w:rPr>
      </w:pPr>
      <w:r w:rsidRPr="00081907">
        <w:rPr>
          <w:rFonts w:cs="Tahoma"/>
          <w:b/>
          <w:bCs/>
        </w:rPr>
        <w:t>ANA LUCÍA CAICEDO CALDERÓN</w:t>
      </w:r>
    </w:p>
    <w:p w14:paraId="42956AF5" w14:textId="77777777" w:rsidR="002A4B22" w:rsidRDefault="002A4B22" w:rsidP="002A4B22">
      <w:pPr>
        <w:spacing w:line="276" w:lineRule="auto"/>
        <w:rPr>
          <w:rFonts w:cs="Tahoma"/>
        </w:rPr>
      </w:pPr>
    </w:p>
    <w:p w14:paraId="793505CD" w14:textId="77777777" w:rsidR="002A4B22" w:rsidRPr="00081907" w:rsidRDefault="002A4B22" w:rsidP="002A4B22">
      <w:pPr>
        <w:spacing w:line="276" w:lineRule="auto"/>
        <w:rPr>
          <w:rFonts w:cs="Tahoma"/>
        </w:rPr>
      </w:pPr>
    </w:p>
    <w:p w14:paraId="022C90A6" w14:textId="77777777" w:rsidR="002A4B22" w:rsidRPr="00081907" w:rsidRDefault="002A4B22" w:rsidP="002A4B22">
      <w:pPr>
        <w:spacing w:line="276" w:lineRule="auto"/>
        <w:ind w:firstLine="708"/>
        <w:rPr>
          <w:rFonts w:cs="Tahoma"/>
        </w:rPr>
      </w:pPr>
      <w:bookmarkStart w:id="8" w:name="_Hlk62478330"/>
      <w:r w:rsidRPr="00081907">
        <w:rPr>
          <w:rFonts w:cs="Tahoma"/>
        </w:rPr>
        <w:t>La Magistrada y el Magistrado,</w:t>
      </w:r>
    </w:p>
    <w:p w14:paraId="02B5D77F" w14:textId="77777777" w:rsidR="002A4B22" w:rsidRDefault="002A4B22" w:rsidP="002A4B22">
      <w:pPr>
        <w:spacing w:line="276" w:lineRule="auto"/>
        <w:rPr>
          <w:rFonts w:cs="Tahoma"/>
        </w:rPr>
      </w:pPr>
    </w:p>
    <w:p w14:paraId="1518D68B" w14:textId="77777777" w:rsidR="002A4B22" w:rsidRPr="00081907" w:rsidRDefault="002A4B22" w:rsidP="002A4B22">
      <w:pPr>
        <w:spacing w:line="276" w:lineRule="auto"/>
        <w:rPr>
          <w:rFonts w:cs="Tahoma"/>
        </w:rPr>
      </w:pPr>
    </w:p>
    <w:p w14:paraId="74EB4DD5" w14:textId="77777777" w:rsidR="002A4B22" w:rsidRPr="00081907" w:rsidRDefault="002A4B22" w:rsidP="002A4B22">
      <w:pPr>
        <w:spacing w:line="276" w:lineRule="auto"/>
        <w:rPr>
          <w:rFonts w:cs="Tahoma"/>
        </w:rPr>
      </w:pPr>
    </w:p>
    <w:p w14:paraId="0215D791" w14:textId="77777777" w:rsidR="002A4B22" w:rsidRPr="00081907" w:rsidRDefault="002A4B22" w:rsidP="002A4B22">
      <w:pPr>
        <w:spacing w:line="276" w:lineRule="auto"/>
        <w:rPr>
          <w:rFonts w:cs="Tahoma"/>
        </w:rPr>
      </w:pPr>
    </w:p>
    <w:p w14:paraId="1AFB8868" w14:textId="77777777" w:rsidR="002A4B22" w:rsidRPr="00081907" w:rsidRDefault="002A4B22" w:rsidP="002A4B22">
      <w:pPr>
        <w:spacing w:line="276" w:lineRule="auto"/>
        <w:rPr>
          <w:rFonts w:cs="Tahoma"/>
          <w:b/>
          <w:bCs/>
        </w:rPr>
      </w:pPr>
      <w:r w:rsidRPr="00081907">
        <w:rPr>
          <w:rFonts w:cs="Tahoma"/>
          <w:b/>
          <w:bCs/>
        </w:rPr>
        <w:t>OLGA LUCÍA HOYOS SEPÚLVEDA</w:t>
      </w:r>
      <w:r w:rsidRPr="00081907">
        <w:rPr>
          <w:rFonts w:cs="Tahoma"/>
          <w:b/>
          <w:bCs/>
        </w:rPr>
        <w:tab/>
      </w:r>
      <w:r w:rsidRPr="00081907">
        <w:rPr>
          <w:rFonts w:cs="Tahoma"/>
          <w:b/>
          <w:bCs/>
        </w:rPr>
        <w:tab/>
      </w:r>
      <w:r>
        <w:rPr>
          <w:rFonts w:cs="Tahoma"/>
          <w:b/>
          <w:bCs/>
        </w:rPr>
        <w:t xml:space="preserve"> </w:t>
      </w:r>
      <w:r w:rsidRPr="00081907">
        <w:rPr>
          <w:rFonts w:cs="Tahoma"/>
          <w:b/>
          <w:bCs/>
        </w:rPr>
        <w:t>GERMÁN DARÍO GÓEZ VINASCO</w:t>
      </w:r>
      <w:bookmarkEnd w:id="8"/>
      <w:r w:rsidRPr="00081907">
        <w:rPr>
          <w:rFonts w:cs="Tahoma"/>
          <w:b/>
          <w:bCs/>
        </w:rPr>
        <w:t xml:space="preserve"> </w:t>
      </w:r>
    </w:p>
    <w:bookmarkEnd w:id="7"/>
    <w:p w14:paraId="1FD93718" w14:textId="4FE38112" w:rsidR="006C0A86" w:rsidRPr="00552220" w:rsidRDefault="002A4B22" w:rsidP="002A4B22">
      <w:pPr>
        <w:spacing w:line="276" w:lineRule="auto"/>
        <w:rPr>
          <w:rFonts w:cs="Tahoma"/>
          <w:bCs/>
          <w:color w:val="000000"/>
          <w:spacing w:val="2"/>
        </w:rPr>
      </w:pPr>
      <w:r w:rsidRPr="00081907">
        <w:rPr>
          <w:rFonts w:cs="Tahoma"/>
          <w:bCs/>
          <w:color w:val="000000"/>
          <w:spacing w:val="2"/>
        </w:rPr>
        <w:t>Salva voto</w:t>
      </w:r>
    </w:p>
    <w:sectPr w:rsidR="006C0A86" w:rsidRPr="00552220" w:rsidSect="002A4B22">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410526" w16cex:dateUtc="2022-03-31T19:29:55.1Z"/>
  <w16cex:commentExtensible w16cex:durableId="100F8434" w16cex:dateUtc="2022-04-01T13:36:47.8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8B21" w14:textId="77777777" w:rsidR="00D472C0" w:rsidRDefault="00D472C0" w:rsidP="00B02A64">
      <w:pPr>
        <w:spacing w:line="240" w:lineRule="auto"/>
      </w:pPr>
      <w:r>
        <w:separator/>
      </w:r>
    </w:p>
  </w:endnote>
  <w:endnote w:type="continuationSeparator" w:id="0">
    <w:p w14:paraId="4E48B922" w14:textId="77777777" w:rsidR="00D472C0" w:rsidRDefault="00D472C0" w:rsidP="00B0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041EA" w14:textId="77777777" w:rsidR="00D472C0" w:rsidRDefault="00D472C0" w:rsidP="00B02A64">
      <w:pPr>
        <w:spacing w:line="240" w:lineRule="auto"/>
      </w:pPr>
      <w:r>
        <w:separator/>
      </w:r>
    </w:p>
  </w:footnote>
  <w:footnote w:type="continuationSeparator" w:id="0">
    <w:p w14:paraId="50849E8C" w14:textId="77777777" w:rsidR="00D472C0" w:rsidRDefault="00D472C0" w:rsidP="00B02A64">
      <w:pPr>
        <w:spacing w:line="240" w:lineRule="auto"/>
      </w:pPr>
      <w:r>
        <w:continuationSeparator/>
      </w:r>
    </w:p>
  </w:footnote>
  <w:footnote w:id="1">
    <w:p w14:paraId="5EA4C190" w14:textId="6EDE04A1" w:rsidR="003E3CA7" w:rsidRPr="002A4B22" w:rsidRDefault="003E3CA7" w:rsidP="002A4B22">
      <w:pPr>
        <w:pStyle w:val="Textonotapie"/>
        <w:rPr>
          <w:rFonts w:ascii="Arial" w:hAnsi="Arial" w:cs="Arial"/>
          <w:sz w:val="18"/>
          <w:szCs w:val="18"/>
        </w:rPr>
      </w:pPr>
      <w:r w:rsidRPr="002A4B22">
        <w:rPr>
          <w:rStyle w:val="Refdenotaalpie"/>
          <w:rFonts w:ascii="Arial" w:hAnsi="Arial" w:cs="Arial"/>
          <w:sz w:val="18"/>
          <w:szCs w:val="18"/>
        </w:rPr>
        <w:footnoteRef/>
      </w:r>
      <w:r w:rsidRPr="002A4B22">
        <w:rPr>
          <w:rFonts w:ascii="Arial" w:hAnsi="Arial" w:cs="Arial"/>
          <w:sz w:val="18"/>
          <w:szCs w:val="18"/>
        </w:rPr>
        <w:t xml:space="preserve"> Páginas 35 a 40 del expediente digitalizado. </w:t>
      </w:r>
    </w:p>
  </w:footnote>
  <w:footnote w:id="2">
    <w:p w14:paraId="5E574098" w14:textId="0F1E482C" w:rsidR="00C6702A" w:rsidRPr="002A4B22" w:rsidRDefault="00C6702A" w:rsidP="002A4B22">
      <w:pPr>
        <w:spacing w:line="240" w:lineRule="auto"/>
        <w:rPr>
          <w:rFonts w:ascii="Arial" w:eastAsia="Times New Roman" w:hAnsi="Arial" w:cs="Arial"/>
          <w:bCs/>
          <w:sz w:val="18"/>
          <w:szCs w:val="18"/>
          <w:lang w:eastAsia="es-ES"/>
        </w:rPr>
      </w:pPr>
      <w:r w:rsidRPr="002A4B22">
        <w:rPr>
          <w:rStyle w:val="Refdenotaalpie"/>
          <w:rFonts w:ascii="Arial" w:hAnsi="Arial" w:cs="Arial"/>
          <w:sz w:val="18"/>
          <w:szCs w:val="18"/>
        </w:rPr>
        <w:footnoteRef/>
      </w:r>
      <w:r w:rsidRPr="002A4B22">
        <w:rPr>
          <w:rFonts w:ascii="Arial" w:hAnsi="Arial" w:cs="Arial"/>
          <w:sz w:val="18"/>
          <w:szCs w:val="18"/>
          <w:lang w:val="es-CO"/>
        </w:rPr>
        <w:t xml:space="preserve"> Auto</w:t>
      </w:r>
      <w:r w:rsidR="002409E5" w:rsidRPr="002A4B22">
        <w:rPr>
          <w:rFonts w:ascii="Arial" w:hAnsi="Arial" w:cs="Arial"/>
          <w:sz w:val="18"/>
          <w:szCs w:val="18"/>
          <w:lang w:val="es-CO"/>
        </w:rPr>
        <w:t>s</w:t>
      </w:r>
      <w:r w:rsidRPr="002A4B22">
        <w:rPr>
          <w:rFonts w:ascii="Arial" w:hAnsi="Arial" w:cs="Arial"/>
          <w:sz w:val="18"/>
          <w:szCs w:val="18"/>
          <w:lang w:val="es-CO"/>
        </w:rPr>
        <w:t xml:space="preserve"> Rad. </w:t>
      </w:r>
      <w:r w:rsidRPr="002A4B22">
        <w:rPr>
          <w:rFonts w:ascii="Arial" w:eastAsia="Times New Roman" w:hAnsi="Arial" w:cs="Arial"/>
          <w:sz w:val="18"/>
          <w:szCs w:val="18"/>
          <w:lang w:val="es-CO" w:eastAsia="es-ES"/>
        </w:rPr>
        <w:t>66001-31-05-004-2018-00456-01</w:t>
      </w:r>
      <w:r w:rsidR="002409E5" w:rsidRPr="002A4B22">
        <w:rPr>
          <w:rFonts w:ascii="Arial" w:eastAsia="Times New Roman" w:hAnsi="Arial" w:cs="Arial"/>
          <w:sz w:val="18"/>
          <w:szCs w:val="18"/>
          <w:lang w:val="es-CO" w:eastAsia="es-ES"/>
        </w:rPr>
        <w:t xml:space="preserve"> y </w:t>
      </w:r>
      <w:r w:rsidR="002409E5" w:rsidRPr="002A4B22">
        <w:rPr>
          <w:rFonts w:ascii="Arial" w:eastAsia="Times New Roman" w:hAnsi="Arial" w:cs="Arial"/>
          <w:sz w:val="18"/>
          <w:szCs w:val="18"/>
          <w:lang w:eastAsia="es-ES"/>
        </w:rPr>
        <w:t>66001-31-05-003-2013-00314-01</w:t>
      </w:r>
      <w:r w:rsidRPr="002A4B22">
        <w:rPr>
          <w:rFonts w:ascii="Arial" w:eastAsia="Times New Roman" w:hAnsi="Arial" w:cs="Arial"/>
          <w:sz w:val="18"/>
          <w:szCs w:val="18"/>
          <w:lang w:val="es-CO" w:eastAsia="es-ES"/>
        </w:rPr>
        <w:t>, M.P. Ana Lucia Caicedo Calderón</w:t>
      </w:r>
      <w:r w:rsidR="00642847" w:rsidRPr="002A4B22">
        <w:rPr>
          <w:rFonts w:ascii="Arial" w:eastAsia="Times New Roman" w:hAnsi="Arial" w:cs="Arial"/>
          <w:sz w:val="18"/>
          <w:szCs w:val="18"/>
          <w:lang w:val="es-CO" w:eastAsia="es-ES"/>
        </w:rPr>
        <w:t>;</w:t>
      </w:r>
      <w:r w:rsidRPr="002A4B22">
        <w:rPr>
          <w:rFonts w:ascii="Arial" w:eastAsia="Times New Roman" w:hAnsi="Arial" w:cs="Arial"/>
          <w:sz w:val="18"/>
          <w:szCs w:val="18"/>
          <w:lang w:val="es-CO" w:eastAsia="es-ES"/>
        </w:rPr>
        <w:t xml:space="preserve"> </w:t>
      </w:r>
      <w:bookmarkStart w:id="6" w:name="_Hlk98932030"/>
      <w:r w:rsidR="00642847" w:rsidRPr="002A4B22">
        <w:rPr>
          <w:rFonts w:ascii="Arial" w:eastAsia="Times New Roman" w:hAnsi="Arial" w:cs="Arial"/>
          <w:sz w:val="18"/>
          <w:szCs w:val="18"/>
          <w:lang w:val="es-CO" w:eastAsia="es-ES"/>
        </w:rPr>
        <w:t xml:space="preserve">Auto rad. </w:t>
      </w:r>
      <w:r w:rsidR="00642847" w:rsidRPr="002A4B22">
        <w:rPr>
          <w:rFonts w:ascii="Arial" w:eastAsia="Times New Roman" w:hAnsi="Arial" w:cs="Arial"/>
          <w:sz w:val="18"/>
          <w:szCs w:val="18"/>
          <w:lang w:eastAsia="es-ES"/>
        </w:rPr>
        <w:t>66001-31-05-001-2014-00295-01, M.P. Julio César Salazar Muñoz</w:t>
      </w:r>
      <w:bookmarkEnd w:id="6"/>
      <w:r w:rsidR="00642847" w:rsidRPr="002A4B22">
        <w:rPr>
          <w:rFonts w:ascii="Arial" w:eastAsia="Times New Roman" w:hAnsi="Arial" w:cs="Arial"/>
          <w:sz w:val="18"/>
          <w:szCs w:val="18"/>
          <w:lang w:eastAsia="es-ES"/>
        </w:rPr>
        <w:t xml:space="preserve">; </w:t>
      </w:r>
      <w:r w:rsidR="00227BBB" w:rsidRPr="002A4B22">
        <w:rPr>
          <w:rFonts w:ascii="Arial" w:eastAsia="Times New Roman" w:hAnsi="Arial" w:cs="Arial"/>
          <w:sz w:val="18"/>
          <w:szCs w:val="18"/>
          <w:lang w:eastAsia="es-ES"/>
        </w:rPr>
        <w:t xml:space="preserve">Auto Rad. </w:t>
      </w:r>
      <w:r w:rsidR="00227BBB" w:rsidRPr="002A4B22">
        <w:rPr>
          <w:rFonts w:ascii="Arial" w:hAnsi="Arial" w:cs="Arial"/>
          <w:sz w:val="18"/>
          <w:szCs w:val="18"/>
        </w:rPr>
        <w:t>66001-31-05-001-2013-00491-01, M.P. Francisco Javier Tamayo Tabares</w:t>
      </w:r>
      <w:r w:rsidR="002409E5" w:rsidRPr="002A4B2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5A41" w14:textId="77777777" w:rsidR="00CE1A4A" w:rsidRPr="00520FE6" w:rsidRDefault="00CE1A4A" w:rsidP="00CE1A4A">
    <w:pPr>
      <w:tabs>
        <w:tab w:val="left" w:pos="993"/>
      </w:tabs>
      <w:spacing w:line="240" w:lineRule="auto"/>
      <w:ind w:left="1134" w:hanging="1134"/>
      <w:rPr>
        <w:rFonts w:eastAsia="Times New Roman" w:cs="Tahoma"/>
        <w:sz w:val="18"/>
        <w:szCs w:val="18"/>
        <w:lang w:eastAsia="es-ES"/>
      </w:rPr>
    </w:pPr>
    <w:r w:rsidRPr="00520FE6">
      <w:rPr>
        <w:rFonts w:eastAsia="Times New Roman" w:cs="Tahoma"/>
        <w:sz w:val="18"/>
        <w:szCs w:val="18"/>
        <w:lang w:eastAsia="es-ES"/>
      </w:rPr>
      <w:t xml:space="preserve">Radicación No.: </w:t>
    </w:r>
    <w:r w:rsidRPr="00520FE6">
      <w:rPr>
        <w:rFonts w:eastAsia="Times New Roman" w:cs="Tahoma"/>
        <w:sz w:val="18"/>
        <w:szCs w:val="18"/>
        <w:lang w:eastAsia="es-ES"/>
      </w:rPr>
      <w:tab/>
    </w:r>
    <w:r>
      <w:rPr>
        <w:rFonts w:eastAsia="Times New Roman" w:cs="Tahoma"/>
        <w:sz w:val="18"/>
        <w:szCs w:val="18"/>
        <w:lang w:eastAsia="es-ES"/>
      </w:rPr>
      <w:t>66001-31-05-003-2019-00289-01</w:t>
    </w:r>
  </w:p>
  <w:p w14:paraId="31D06C32" w14:textId="77777777" w:rsidR="00CE1A4A" w:rsidRDefault="00CE1A4A" w:rsidP="00CE1A4A">
    <w:pPr>
      <w:tabs>
        <w:tab w:val="left" w:pos="993"/>
      </w:tabs>
      <w:spacing w:line="240" w:lineRule="auto"/>
      <w:ind w:left="1134" w:hanging="1134"/>
      <w:rPr>
        <w:rFonts w:eastAsia="Times New Roman" w:cs="Tahoma"/>
        <w:sz w:val="18"/>
        <w:szCs w:val="18"/>
        <w:lang w:eastAsia="es-ES"/>
      </w:rPr>
    </w:pPr>
    <w:r w:rsidRPr="00520FE6">
      <w:rPr>
        <w:rFonts w:eastAsia="Times New Roman" w:cs="Tahoma"/>
        <w:sz w:val="18"/>
        <w:szCs w:val="18"/>
        <w:lang w:eastAsia="es-ES"/>
      </w:rPr>
      <w:t xml:space="preserve">Demandante: </w:t>
    </w:r>
    <w:r w:rsidRPr="00520FE6">
      <w:rPr>
        <w:rFonts w:eastAsia="Times New Roman" w:cs="Tahoma"/>
        <w:sz w:val="18"/>
        <w:szCs w:val="18"/>
        <w:lang w:eastAsia="es-ES"/>
      </w:rPr>
      <w:tab/>
    </w:r>
    <w:r w:rsidRPr="00520FE6">
      <w:rPr>
        <w:rFonts w:eastAsia="Times New Roman" w:cs="Tahoma"/>
        <w:sz w:val="18"/>
        <w:szCs w:val="18"/>
        <w:lang w:eastAsia="es-ES"/>
      </w:rPr>
      <w:tab/>
    </w:r>
    <w:r>
      <w:rPr>
        <w:rFonts w:eastAsia="Times New Roman" w:cs="Tahoma"/>
        <w:sz w:val="18"/>
        <w:szCs w:val="18"/>
        <w:lang w:eastAsia="es-ES"/>
      </w:rPr>
      <w:t xml:space="preserve">María Oralia Reyes Gutiérrez </w:t>
    </w:r>
  </w:p>
  <w:p w14:paraId="2C128796" w14:textId="3C30EF00" w:rsidR="006F0BF1" w:rsidRDefault="00CE1A4A" w:rsidP="00CE1A4A">
    <w:pPr>
      <w:tabs>
        <w:tab w:val="left" w:pos="993"/>
      </w:tabs>
      <w:spacing w:line="240" w:lineRule="auto"/>
      <w:ind w:left="1134" w:hanging="1134"/>
      <w:rPr>
        <w:rFonts w:eastAsia="Times New Roman" w:cs="Tahoma"/>
        <w:sz w:val="18"/>
        <w:szCs w:val="18"/>
        <w:lang w:eastAsia="es-ES"/>
      </w:rPr>
    </w:pPr>
    <w:r w:rsidRPr="00520FE6">
      <w:rPr>
        <w:rFonts w:eastAsia="Times New Roman" w:cs="Tahoma"/>
        <w:sz w:val="18"/>
        <w:szCs w:val="18"/>
        <w:lang w:eastAsia="es-ES"/>
      </w:rPr>
      <w:t xml:space="preserve">Demandado: </w:t>
    </w:r>
    <w:r w:rsidRPr="00520FE6">
      <w:rPr>
        <w:rFonts w:eastAsia="Times New Roman" w:cs="Tahoma"/>
        <w:sz w:val="18"/>
        <w:szCs w:val="18"/>
        <w:lang w:eastAsia="es-ES"/>
      </w:rPr>
      <w:tab/>
    </w:r>
    <w:r w:rsidRPr="00520FE6">
      <w:rPr>
        <w:rFonts w:eastAsia="Times New Roman" w:cs="Tahoma"/>
        <w:sz w:val="18"/>
        <w:szCs w:val="18"/>
        <w:lang w:eastAsia="es-ES"/>
      </w:rPr>
      <w:tab/>
    </w:r>
    <w:r>
      <w:rPr>
        <w:rFonts w:eastAsia="Times New Roman" w:cs="Tahoma"/>
        <w:sz w:val="18"/>
        <w:szCs w:val="18"/>
        <w:lang w:eastAsia="es-ES"/>
      </w:rPr>
      <w:t>Colpensiones y otros</w:t>
    </w:r>
  </w:p>
  <w:p w14:paraId="3C4D9E9A" w14:textId="77777777" w:rsidR="00CE1A4A" w:rsidRPr="00CE1A4A" w:rsidRDefault="00CE1A4A" w:rsidP="00CE1A4A">
    <w:pPr>
      <w:tabs>
        <w:tab w:val="left" w:pos="993"/>
      </w:tabs>
      <w:spacing w:line="240" w:lineRule="auto"/>
      <w:ind w:left="1134" w:hanging="1134"/>
      <w:rPr>
        <w:rFonts w:eastAsia="Times New Roman" w:cs="Tahoma"/>
        <w:sz w:val="18"/>
        <w:szCs w:val="18"/>
        <w:lang w:eastAsia="es-ES"/>
      </w:rPr>
    </w:pPr>
  </w:p>
  <w:p w14:paraId="5DE83EA9" w14:textId="77777777" w:rsidR="006F0BF1" w:rsidRDefault="006F0B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FCB"/>
    <w:multiLevelType w:val="hybridMultilevel"/>
    <w:tmpl w:val="562EABC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9935E68"/>
    <w:multiLevelType w:val="hybridMultilevel"/>
    <w:tmpl w:val="F1CA64E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3"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4" w15:restartNumberingAfterBreak="0">
    <w:nsid w:val="58C677BD"/>
    <w:multiLevelType w:val="hybridMultilevel"/>
    <w:tmpl w:val="A958383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682E0465"/>
    <w:multiLevelType w:val="hybridMultilevel"/>
    <w:tmpl w:val="2F88025E"/>
    <w:lvl w:ilvl="0" w:tplc="2C0E5C94">
      <w:start w:val="1"/>
      <w:numFmt w:val="decimal"/>
      <w:lvlText w:val="(%1)"/>
      <w:lvlJc w:val="lef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6" w15:restartNumberingAfterBreak="0">
    <w:nsid w:val="683219C6"/>
    <w:multiLevelType w:val="hybridMultilevel"/>
    <w:tmpl w:val="557A891E"/>
    <w:lvl w:ilvl="0" w:tplc="D1A40C4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7"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8"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9" w15:restartNumberingAfterBreak="0">
    <w:nsid w:val="7C7D0D40"/>
    <w:multiLevelType w:val="hybridMultilevel"/>
    <w:tmpl w:val="5C4E8E14"/>
    <w:lvl w:ilvl="0" w:tplc="06F8BF16">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
  </w:num>
  <w:num w:numId="2">
    <w:abstractNumId w:val="4"/>
  </w:num>
  <w:num w:numId="3">
    <w:abstractNumId w:val="8"/>
  </w:num>
  <w:num w:numId="4">
    <w:abstractNumId w:val="6"/>
  </w:num>
  <w:num w:numId="5">
    <w:abstractNumId w:val="2"/>
  </w:num>
  <w:num w:numId="6">
    <w:abstractNumId w:val="7"/>
  </w:num>
  <w:num w:numId="7">
    <w:abstractNumId w:val="0"/>
  </w:num>
  <w:num w:numId="8">
    <w:abstractNumId w:val="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D1"/>
    <w:rsid w:val="00001010"/>
    <w:rsid w:val="0001298F"/>
    <w:rsid w:val="00031856"/>
    <w:rsid w:val="000417F2"/>
    <w:rsid w:val="00060615"/>
    <w:rsid w:val="00062B04"/>
    <w:rsid w:val="00062C8C"/>
    <w:rsid w:val="00063258"/>
    <w:rsid w:val="00077432"/>
    <w:rsid w:val="00083150"/>
    <w:rsid w:val="0009113A"/>
    <w:rsid w:val="000969B5"/>
    <w:rsid w:val="000A30B6"/>
    <w:rsid w:val="000A69A0"/>
    <w:rsid w:val="000B265E"/>
    <w:rsid w:val="000B26DC"/>
    <w:rsid w:val="000C1128"/>
    <w:rsid w:val="000C6F0F"/>
    <w:rsid w:val="000D3625"/>
    <w:rsid w:val="000D6549"/>
    <w:rsid w:val="000E2B56"/>
    <w:rsid w:val="001002F8"/>
    <w:rsid w:val="001065C6"/>
    <w:rsid w:val="00106600"/>
    <w:rsid w:val="0011734C"/>
    <w:rsid w:val="00121598"/>
    <w:rsid w:val="00124421"/>
    <w:rsid w:val="00124A7A"/>
    <w:rsid w:val="00124DAE"/>
    <w:rsid w:val="00125508"/>
    <w:rsid w:val="00133DD4"/>
    <w:rsid w:val="001364C9"/>
    <w:rsid w:val="00137401"/>
    <w:rsid w:val="00143080"/>
    <w:rsid w:val="00151EDC"/>
    <w:rsid w:val="001521F5"/>
    <w:rsid w:val="00157453"/>
    <w:rsid w:val="00162479"/>
    <w:rsid w:val="00163F73"/>
    <w:rsid w:val="00165A6D"/>
    <w:rsid w:val="00180036"/>
    <w:rsid w:val="00181719"/>
    <w:rsid w:val="001819FD"/>
    <w:rsid w:val="00181FA3"/>
    <w:rsid w:val="00182B32"/>
    <w:rsid w:val="00186526"/>
    <w:rsid w:val="00190C02"/>
    <w:rsid w:val="001A4E68"/>
    <w:rsid w:val="001A51FC"/>
    <w:rsid w:val="001A60DF"/>
    <w:rsid w:val="001A780E"/>
    <w:rsid w:val="001B0E68"/>
    <w:rsid w:val="001B7519"/>
    <w:rsid w:val="001C2627"/>
    <w:rsid w:val="001C5F29"/>
    <w:rsid w:val="001C7DF3"/>
    <w:rsid w:val="001D3ECB"/>
    <w:rsid w:val="001D7A78"/>
    <w:rsid w:val="001E157C"/>
    <w:rsid w:val="001E7B06"/>
    <w:rsid w:val="001F2F80"/>
    <w:rsid w:val="0020401A"/>
    <w:rsid w:val="00207AEB"/>
    <w:rsid w:val="00213F70"/>
    <w:rsid w:val="002150D7"/>
    <w:rsid w:val="00222F3A"/>
    <w:rsid w:val="00227BBB"/>
    <w:rsid w:val="00230A4A"/>
    <w:rsid w:val="0023223A"/>
    <w:rsid w:val="00235052"/>
    <w:rsid w:val="00237FBF"/>
    <w:rsid w:val="002409E5"/>
    <w:rsid w:val="00243DEB"/>
    <w:rsid w:val="002441C8"/>
    <w:rsid w:val="002443AE"/>
    <w:rsid w:val="00255789"/>
    <w:rsid w:val="00263CE9"/>
    <w:rsid w:val="00264C6A"/>
    <w:rsid w:val="0026635C"/>
    <w:rsid w:val="00266B7F"/>
    <w:rsid w:val="00267B19"/>
    <w:rsid w:val="00270449"/>
    <w:rsid w:val="00271EE9"/>
    <w:rsid w:val="002750A8"/>
    <w:rsid w:val="002800D8"/>
    <w:rsid w:val="00285131"/>
    <w:rsid w:val="0028549B"/>
    <w:rsid w:val="00293743"/>
    <w:rsid w:val="002A19C0"/>
    <w:rsid w:val="002A34F0"/>
    <w:rsid w:val="002A4B22"/>
    <w:rsid w:val="002A6049"/>
    <w:rsid w:val="002B0190"/>
    <w:rsid w:val="002B08E8"/>
    <w:rsid w:val="002B296B"/>
    <w:rsid w:val="002C229A"/>
    <w:rsid w:val="002C25F3"/>
    <w:rsid w:val="002C2CBF"/>
    <w:rsid w:val="002C2D50"/>
    <w:rsid w:val="002C3499"/>
    <w:rsid w:val="002C541E"/>
    <w:rsid w:val="002D60F4"/>
    <w:rsid w:val="002D7E41"/>
    <w:rsid w:val="002E031B"/>
    <w:rsid w:val="002E41A3"/>
    <w:rsid w:val="002E5149"/>
    <w:rsid w:val="00301CF7"/>
    <w:rsid w:val="00304B91"/>
    <w:rsid w:val="00305DC2"/>
    <w:rsid w:val="003221C2"/>
    <w:rsid w:val="003254F1"/>
    <w:rsid w:val="003266DC"/>
    <w:rsid w:val="0032713F"/>
    <w:rsid w:val="00330405"/>
    <w:rsid w:val="00332F92"/>
    <w:rsid w:val="00337476"/>
    <w:rsid w:val="0034501E"/>
    <w:rsid w:val="0035190D"/>
    <w:rsid w:val="0035531C"/>
    <w:rsid w:val="00361B65"/>
    <w:rsid w:val="00362E6F"/>
    <w:rsid w:val="00364DB8"/>
    <w:rsid w:val="00370613"/>
    <w:rsid w:val="00373FE0"/>
    <w:rsid w:val="00380B7F"/>
    <w:rsid w:val="003825A2"/>
    <w:rsid w:val="00384AD2"/>
    <w:rsid w:val="003870EC"/>
    <w:rsid w:val="0039438D"/>
    <w:rsid w:val="003975D4"/>
    <w:rsid w:val="0039792C"/>
    <w:rsid w:val="003A3DB6"/>
    <w:rsid w:val="003A7207"/>
    <w:rsid w:val="003B0567"/>
    <w:rsid w:val="003B4039"/>
    <w:rsid w:val="003B446A"/>
    <w:rsid w:val="003B6A87"/>
    <w:rsid w:val="003B6BC4"/>
    <w:rsid w:val="003C05F1"/>
    <w:rsid w:val="003C208A"/>
    <w:rsid w:val="003C666D"/>
    <w:rsid w:val="003D1268"/>
    <w:rsid w:val="003D22B6"/>
    <w:rsid w:val="003D5E61"/>
    <w:rsid w:val="003E0B75"/>
    <w:rsid w:val="003E3CA7"/>
    <w:rsid w:val="003E457A"/>
    <w:rsid w:val="003E5848"/>
    <w:rsid w:val="003F2330"/>
    <w:rsid w:val="004032FD"/>
    <w:rsid w:val="0040763A"/>
    <w:rsid w:val="004109EE"/>
    <w:rsid w:val="00414526"/>
    <w:rsid w:val="00414A79"/>
    <w:rsid w:val="00414B7B"/>
    <w:rsid w:val="004206BA"/>
    <w:rsid w:val="004224AE"/>
    <w:rsid w:val="004360A9"/>
    <w:rsid w:val="00441BE2"/>
    <w:rsid w:val="004503BB"/>
    <w:rsid w:val="00451A9C"/>
    <w:rsid w:val="00453CC7"/>
    <w:rsid w:val="00455CD2"/>
    <w:rsid w:val="00461363"/>
    <w:rsid w:val="0046253F"/>
    <w:rsid w:val="00463B26"/>
    <w:rsid w:val="0046685B"/>
    <w:rsid w:val="004679C4"/>
    <w:rsid w:val="00467A93"/>
    <w:rsid w:val="00470DD2"/>
    <w:rsid w:val="00475B27"/>
    <w:rsid w:val="00480177"/>
    <w:rsid w:val="004876FC"/>
    <w:rsid w:val="0049392B"/>
    <w:rsid w:val="004A0446"/>
    <w:rsid w:val="004A52D8"/>
    <w:rsid w:val="004A69F9"/>
    <w:rsid w:val="004B2E33"/>
    <w:rsid w:val="004B5B50"/>
    <w:rsid w:val="004B5F35"/>
    <w:rsid w:val="004C20C1"/>
    <w:rsid w:val="004C48F0"/>
    <w:rsid w:val="004C541C"/>
    <w:rsid w:val="004E15E2"/>
    <w:rsid w:val="004E7258"/>
    <w:rsid w:val="004F0CDC"/>
    <w:rsid w:val="004F630F"/>
    <w:rsid w:val="00502BC6"/>
    <w:rsid w:val="00511D3F"/>
    <w:rsid w:val="00513B3E"/>
    <w:rsid w:val="00513B51"/>
    <w:rsid w:val="00515FDD"/>
    <w:rsid w:val="0052245F"/>
    <w:rsid w:val="00535228"/>
    <w:rsid w:val="00535EBE"/>
    <w:rsid w:val="005426A2"/>
    <w:rsid w:val="00546DF4"/>
    <w:rsid w:val="00551D59"/>
    <w:rsid w:val="00552220"/>
    <w:rsid w:val="005622F3"/>
    <w:rsid w:val="005664CC"/>
    <w:rsid w:val="00572FF7"/>
    <w:rsid w:val="005758D3"/>
    <w:rsid w:val="00575D76"/>
    <w:rsid w:val="00587E5D"/>
    <w:rsid w:val="00594989"/>
    <w:rsid w:val="005A0171"/>
    <w:rsid w:val="005A5892"/>
    <w:rsid w:val="005B4F4D"/>
    <w:rsid w:val="005C103F"/>
    <w:rsid w:val="005C4FE9"/>
    <w:rsid w:val="005C61C1"/>
    <w:rsid w:val="005C7539"/>
    <w:rsid w:val="005D3995"/>
    <w:rsid w:val="005D4C88"/>
    <w:rsid w:val="005D520F"/>
    <w:rsid w:val="005E232D"/>
    <w:rsid w:val="005E3C47"/>
    <w:rsid w:val="005F302C"/>
    <w:rsid w:val="00604FCC"/>
    <w:rsid w:val="00606FC4"/>
    <w:rsid w:val="006078C3"/>
    <w:rsid w:val="00610021"/>
    <w:rsid w:val="00620B79"/>
    <w:rsid w:val="00621E31"/>
    <w:rsid w:val="00622DCC"/>
    <w:rsid w:val="00623EE9"/>
    <w:rsid w:val="00625091"/>
    <w:rsid w:val="006250A7"/>
    <w:rsid w:val="00641B64"/>
    <w:rsid w:val="00642847"/>
    <w:rsid w:val="00643112"/>
    <w:rsid w:val="00647EBA"/>
    <w:rsid w:val="00654C4B"/>
    <w:rsid w:val="00655004"/>
    <w:rsid w:val="0066252A"/>
    <w:rsid w:val="0067260E"/>
    <w:rsid w:val="00672E34"/>
    <w:rsid w:val="006837D7"/>
    <w:rsid w:val="006846AA"/>
    <w:rsid w:val="006912D6"/>
    <w:rsid w:val="00693DF5"/>
    <w:rsid w:val="006A1F7E"/>
    <w:rsid w:val="006A4EA3"/>
    <w:rsid w:val="006C0A86"/>
    <w:rsid w:val="006C4FBF"/>
    <w:rsid w:val="006C5CC3"/>
    <w:rsid w:val="006C6B5C"/>
    <w:rsid w:val="006E071F"/>
    <w:rsid w:val="006E1A40"/>
    <w:rsid w:val="006E563E"/>
    <w:rsid w:val="006F0BF1"/>
    <w:rsid w:val="006F5CBD"/>
    <w:rsid w:val="006F7223"/>
    <w:rsid w:val="006F7870"/>
    <w:rsid w:val="00701E1C"/>
    <w:rsid w:val="00702235"/>
    <w:rsid w:val="0070467A"/>
    <w:rsid w:val="007079FB"/>
    <w:rsid w:val="00711A24"/>
    <w:rsid w:val="00714670"/>
    <w:rsid w:val="00724726"/>
    <w:rsid w:val="00727BFD"/>
    <w:rsid w:val="00730E61"/>
    <w:rsid w:val="007377C4"/>
    <w:rsid w:val="00737B42"/>
    <w:rsid w:val="00753907"/>
    <w:rsid w:val="00756893"/>
    <w:rsid w:val="00757CA0"/>
    <w:rsid w:val="00760CFA"/>
    <w:rsid w:val="007741B9"/>
    <w:rsid w:val="0077571F"/>
    <w:rsid w:val="00776F61"/>
    <w:rsid w:val="00777E41"/>
    <w:rsid w:val="0078368E"/>
    <w:rsid w:val="00783FBD"/>
    <w:rsid w:val="00790499"/>
    <w:rsid w:val="007914E4"/>
    <w:rsid w:val="00791843"/>
    <w:rsid w:val="00793555"/>
    <w:rsid w:val="007960A6"/>
    <w:rsid w:val="007A2570"/>
    <w:rsid w:val="007B1D3E"/>
    <w:rsid w:val="007B42CA"/>
    <w:rsid w:val="007B751E"/>
    <w:rsid w:val="007B7A8C"/>
    <w:rsid w:val="007C46B7"/>
    <w:rsid w:val="007D0D4B"/>
    <w:rsid w:val="007D1D03"/>
    <w:rsid w:val="007F03D8"/>
    <w:rsid w:val="007F4E79"/>
    <w:rsid w:val="00801F7D"/>
    <w:rsid w:val="00805090"/>
    <w:rsid w:val="0080518C"/>
    <w:rsid w:val="008074E8"/>
    <w:rsid w:val="00811CC8"/>
    <w:rsid w:val="008131AD"/>
    <w:rsid w:val="00813BFD"/>
    <w:rsid w:val="0081729B"/>
    <w:rsid w:val="00824C01"/>
    <w:rsid w:val="00824D90"/>
    <w:rsid w:val="0082757F"/>
    <w:rsid w:val="00832B57"/>
    <w:rsid w:val="0084150A"/>
    <w:rsid w:val="008431D8"/>
    <w:rsid w:val="0084437A"/>
    <w:rsid w:val="00844905"/>
    <w:rsid w:val="00847DA7"/>
    <w:rsid w:val="0085042B"/>
    <w:rsid w:val="00853DD1"/>
    <w:rsid w:val="00864D76"/>
    <w:rsid w:val="00867E47"/>
    <w:rsid w:val="00876690"/>
    <w:rsid w:val="00877B24"/>
    <w:rsid w:val="00877DA9"/>
    <w:rsid w:val="0088122C"/>
    <w:rsid w:val="00890E99"/>
    <w:rsid w:val="00893978"/>
    <w:rsid w:val="00895BAC"/>
    <w:rsid w:val="00896BF5"/>
    <w:rsid w:val="008A38E3"/>
    <w:rsid w:val="008A4456"/>
    <w:rsid w:val="008A5D92"/>
    <w:rsid w:val="008A7065"/>
    <w:rsid w:val="008C4645"/>
    <w:rsid w:val="008D1ABA"/>
    <w:rsid w:val="008D3E37"/>
    <w:rsid w:val="008D49AC"/>
    <w:rsid w:val="008E4002"/>
    <w:rsid w:val="008E6AE4"/>
    <w:rsid w:val="008E6F92"/>
    <w:rsid w:val="008F1277"/>
    <w:rsid w:val="008F1CBB"/>
    <w:rsid w:val="008F4FA5"/>
    <w:rsid w:val="008F5E34"/>
    <w:rsid w:val="008F66AA"/>
    <w:rsid w:val="008F6EA5"/>
    <w:rsid w:val="008F7F2E"/>
    <w:rsid w:val="009032DB"/>
    <w:rsid w:val="009037CB"/>
    <w:rsid w:val="00904971"/>
    <w:rsid w:val="0090597E"/>
    <w:rsid w:val="00910154"/>
    <w:rsid w:val="00910B40"/>
    <w:rsid w:val="009145A1"/>
    <w:rsid w:val="009215E1"/>
    <w:rsid w:val="00921645"/>
    <w:rsid w:val="009263CE"/>
    <w:rsid w:val="009364B2"/>
    <w:rsid w:val="00942837"/>
    <w:rsid w:val="009521C2"/>
    <w:rsid w:val="0095244E"/>
    <w:rsid w:val="00962441"/>
    <w:rsid w:val="0096312B"/>
    <w:rsid w:val="009657F0"/>
    <w:rsid w:val="00966FF8"/>
    <w:rsid w:val="00973D9C"/>
    <w:rsid w:val="009752FF"/>
    <w:rsid w:val="00975E71"/>
    <w:rsid w:val="009769BD"/>
    <w:rsid w:val="00977C6A"/>
    <w:rsid w:val="00982006"/>
    <w:rsid w:val="00993A9D"/>
    <w:rsid w:val="009A279B"/>
    <w:rsid w:val="009A7F53"/>
    <w:rsid w:val="009B0441"/>
    <w:rsid w:val="009B1D57"/>
    <w:rsid w:val="009B3476"/>
    <w:rsid w:val="009B6552"/>
    <w:rsid w:val="009C4958"/>
    <w:rsid w:val="009D13C4"/>
    <w:rsid w:val="009E149F"/>
    <w:rsid w:val="009E14FC"/>
    <w:rsid w:val="009F2076"/>
    <w:rsid w:val="009F21DC"/>
    <w:rsid w:val="009F3039"/>
    <w:rsid w:val="009F4CB1"/>
    <w:rsid w:val="009F6669"/>
    <w:rsid w:val="00A01634"/>
    <w:rsid w:val="00A03775"/>
    <w:rsid w:val="00A04FFC"/>
    <w:rsid w:val="00A14DC9"/>
    <w:rsid w:val="00A161F4"/>
    <w:rsid w:val="00A16A10"/>
    <w:rsid w:val="00A2221A"/>
    <w:rsid w:val="00A30822"/>
    <w:rsid w:val="00A32CDD"/>
    <w:rsid w:val="00A431F8"/>
    <w:rsid w:val="00A515F8"/>
    <w:rsid w:val="00A5196B"/>
    <w:rsid w:val="00A53360"/>
    <w:rsid w:val="00A606EB"/>
    <w:rsid w:val="00A60DA3"/>
    <w:rsid w:val="00A622B2"/>
    <w:rsid w:val="00A739FD"/>
    <w:rsid w:val="00A81DFF"/>
    <w:rsid w:val="00A95A6A"/>
    <w:rsid w:val="00A96CE0"/>
    <w:rsid w:val="00A976FA"/>
    <w:rsid w:val="00AA2668"/>
    <w:rsid w:val="00AB0329"/>
    <w:rsid w:val="00AB7CC0"/>
    <w:rsid w:val="00AC00FB"/>
    <w:rsid w:val="00AC1B4F"/>
    <w:rsid w:val="00AC5F11"/>
    <w:rsid w:val="00AD011C"/>
    <w:rsid w:val="00AD183A"/>
    <w:rsid w:val="00AD2453"/>
    <w:rsid w:val="00AD427F"/>
    <w:rsid w:val="00AD7E46"/>
    <w:rsid w:val="00AF53E9"/>
    <w:rsid w:val="00AF68C1"/>
    <w:rsid w:val="00B016E2"/>
    <w:rsid w:val="00B02A64"/>
    <w:rsid w:val="00B07485"/>
    <w:rsid w:val="00B20293"/>
    <w:rsid w:val="00B22E03"/>
    <w:rsid w:val="00B3085E"/>
    <w:rsid w:val="00B30860"/>
    <w:rsid w:val="00B33451"/>
    <w:rsid w:val="00B376BC"/>
    <w:rsid w:val="00B51773"/>
    <w:rsid w:val="00B61C07"/>
    <w:rsid w:val="00B636E3"/>
    <w:rsid w:val="00B64C2B"/>
    <w:rsid w:val="00B67192"/>
    <w:rsid w:val="00B71CB3"/>
    <w:rsid w:val="00B71DB2"/>
    <w:rsid w:val="00B83B4E"/>
    <w:rsid w:val="00B845B6"/>
    <w:rsid w:val="00B975FC"/>
    <w:rsid w:val="00BA7AD9"/>
    <w:rsid w:val="00BB1B32"/>
    <w:rsid w:val="00BC1B60"/>
    <w:rsid w:val="00BC1FAD"/>
    <w:rsid w:val="00BC3331"/>
    <w:rsid w:val="00BD6161"/>
    <w:rsid w:val="00BE015B"/>
    <w:rsid w:val="00BE0EE1"/>
    <w:rsid w:val="00BF1BCB"/>
    <w:rsid w:val="00BF50BF"/>
    <w:rsid w:val="00BF68B4"/>
    <w:rsid w:val="00C06762"/>
    <w:rsid w:val="00C252F5"/>
    <w:rsid w:val="00C253DB"/>
    <w:rsid w:val="00C3080B"/>
    <w:rsid w:val="00C32C82"/>
    <w:rsid w:val="00C33490"/>
    <w:rsid w:val="00C342B4"/>
    <w:rsid w:val="00C43D97"/>
    <w:rsid w:val="00C4686C"/>
    <w:rsid w:val="00C51485"/>
    <w:rsid w:val="00C52120"/>
    <w:rsid w:val="00C548C4"/>
    <w:rsid w:val="00C640E3"/>
    <w:rsid w:val="00C65F09"/>
    <w:rsid w:val="00C6702A"/>
    <w:rsid w:val="00C8053E"/>
    <w:rsid w:val="00C80AFF"/>
    <w:rsid w:val="00C80E68"/>
    <w:rsid w:val="00C867FC"/>
    <w:rsid w:val="00C868F6"/>
    <w:rsid w:val="00C86E8B"/>
    <w:rsid w:val="00C922CB"/>
    <w:rsid w:val="00C94CA2"/>
    <w:rsid w:val="00CA3161"/>
    <w:rsid w:val="00CA4661"/>
    <w:rsid w:val="00CA5A23"/>
    <w:rsid w:val="00CB2154"/>
    <w:rsid w:val="00CB513F"/>
    <w:rsid w:val="00CB7E46"/>
    <w:rsid w:val="00CC2EAB"/>
    <w:rsid w:val="00CD23FB"/>
    <w:rsid w:val="00CD3E80"/>
    <w:rsid w:val="00CD79E2"/>
    <w:rsid w:val="00CE1A4A"/>
    <w:rsid w:val="00CE330C"/>
    <w:rsid w:val="00CE6429"/>
    <w:rsid w:val="00CE6E90"/>
    <w:rsid w:val="00CF16C1"/>
    <w:rsid w:val="00CF29C7"/>
    <w:rsid w:val="00CF3C1D"/>
    <w:rsid w:val="00CF3F3F"/>
    <w:rsid w:val="00CF5341"/>
    <w:rsid w:val="00CF56FD"/>
    <w:rsid w:val="00D01FA5"/>
    <w:rsid w:val="00D035E3"/>
    <w:rsid w:val="00D04CE1"/>
    <w:rsid w:val="00D121D2"/>
    <w:rsid w:val="00D24D2D"/>
    <w:rsid w:val="00D31018"/>
    <w:rsid w:val="00D325A6"/>
    <w:rsid w:val="00D34250"/>
    <w:rsid w:val="00D370D1"/>
    <w:rsid w:val="00D472C0"/>
    <w:rsid w:val="00D56CDB"/>
    <w:rsid w:val="00D57478"/>
    <w:rsid w:val="00D61F9D"/>
    <w:rsid w:val="00D73FEA"/>
    <w:rsid w:val="00D9286F"/>
    <w:rsid w:val="00D969B8"/>
    <w:rsid w:val="00D97CD6"/>
    <w:rsid w:val="00DA564D"/>
    <w:rsid w:val="00DB0F72"/>
    <w:rsid w:val="00DC2B9A"/>
    <w:rsid w:val="00DC67DF"/>
    <w:rsid w:val="00DE78EB"/>
    <w:rsid w:val="00DF09E3"/>
    <w:rsid w:val="00DF2AAB"/>
    <w:rsid w:val="00E004B7"/>
    <w:rsid w:val="00E14949"/>
    <w:rsid w:val="00E22AE7"/>
    <w:rsid w:val="00E26F40"/>
    <w:rsid w:val="00E27D05"/>
    <w:rsid w:val="00E321B7"/>
    <w:rsid w:val="00E414A4"/>
    <w:rsid w:val="00E474C3"/>
    <w:rsid w:val="00E509DE"/>
    <w:rsid w:val="00E6166C"/>
    <w:rsid w:val="00E61C9F"/>
    <w:rsid w:val="00E649D6"/>
    <w:rsid w:val="00E66234"/>
    <w:rsid w:val="00E67B09"/>
    <w:rsid w:val="00E71C5B"/>
    <w:rsid w:val="00E752E3"/>
    <w:rsid w:val="00E82BDE"/>
    <w:rsid w:val="00E85A4F"/>
    <w:rsid w:val="00E90068"/>
    <w:rsid w:val="00E91926"/>
    <w:rsid w:val="00E9430C"/>
    <w:rsid w:val="00E94842"/>
    <w:rsid w:val="00EA0431"/>
    <w:rsid w:val="00EA1407"/>
    <w:rsid w:val="00EA4291"/>
    <w:rsid w:val="00EB39F1"/>
    <w:rsid w:val="00EC1F7E"/>
    <w:rsid w:val="00EC62B2"/>
    <w:rsid w:val="00EC6BE4"/>
    <w:rsid w:val="00ED6AED"/>
    <w:rsid w:val="00EE16CE"/>
    <w:rsid w:val="00EE50BE"/>
    <w:rsid w:val="00EE5892"/>
    <w:rsid w:val="00EF04C3"/>
    <w:rsid w:val="00EF1718"/>
    <w:rsid w:val="00EF59E5"/>
    <w:rsid w:val="00EF71A2"/>
    <w:rsid w:val="00F01BDD"/>
    <w:rsid w:val="00F03C79"/>
    <w:rsid w:val="00F04658"/>
    <w:rsid w:val="00F05F1B"/>
    <w:rsid w:val="00F07AA9"/>
    <w:rsid w:val="00F11ADD"/>
    <w:rsid w:val="00F121A9"/>
    <w:rsid w:val="00F126D3"/>
    <w:rsid w:val="00F12C6D"/>
    <w:rsid w:val="00F179B3"/>
    <w:rsid w:val="00F2237A"/>
    <w:rsid w:val="00F24418"/>
    <w:rsid w:val="00F31EF1"/>
    <w:rsid w:val="00F348F4"/>
    <w:rsid w:val="00F37061"/>
    <w:rsid w:val="00F427C0"/>
    <w:rsid w:val="00F43151"/>
    <w:rsid w:val="00F441CC"/>
    <w:rsid w:val="00F51151"/>
    <w:rsid w:val="00F517DC"/>
    <w:rsid w:val="00F532E5"/>
    <w:rsid w:val="00F5361E"/>
    <w:rsid w:val="00F536DE"/>
    <w:rsid w:val="00F564A8"/>
    <w:rsid w:val="00F63619"/>
    <w:rsid w:val="00F6431F"/>
    <w:rsid w:val="00F65714"/>
    <w:rsid w:val="00F658CA"/>
    <w:rsid w:val="00F660A7"/>
    <w:rsid w:val="00F82A9D"/>
    <w:rsid w:val="00F860C8"/>
    <w:rsid w:val="00F94727"/>
    <w:rsid w:val="00F95176"/>
    <w:rsid w:val="00F95909"/>
    <w:rsid w:val="00FA4225"/>
    <w:rsid w:val="00FA77DC"/>
    <w:rsid w:val="00FB0276"/>
    <w:rsid w:val="00FB30A4"/>
    <w:rsid w:val="00FB4D87"/>
    <w:rsid w:val="00FB6D0C"/>
    <w:rsid w:val="00FC0B16"/>
    <w:rsid w:val="00FC3269"/>
    <w:rsid w:val="00FC3A14"/>
    <w:rsid w:val="00FC5D74"/>
    <w:rsid w:val="00FD2F97"/>
    <w:rsid w:val="00FD59DF"/>
    <w:rsid w:val="00FE0D52"/>
    <w:rsid w:val="00FE5AE4"/>
    <w:rsid w:val="00FF0EC2"/>
    <w:rsid w:val="00FF1285"/>
    <w:rsid w:val="00FF4D0E"/>
    <w:rsid w:val="00FF61FE"/>
    <w:rsid w:val="0255CFCD"/>
    <w:rsid w:val="095CD5CB"/>
    <w:rsid w:val="222893DE"/>
    <w:rsid w:val="499BE3F2"/>
    <w:rsid w:val="4B32B753"/>
    <w:rsid w:val="50B6236A"/>
    <w:rsid w:val="5413DDAF"/>
    <w:rsid w:val="5548BFF5"/>
    <w:rsid w:val="56613E9D"/>
    <w:rsid w:val="57A01EA2"/>
    <w:rsid w:val="586DF0FB"/>
    <w:rsid w:val="5DE8DFFA"/>
    <w:rsid w:val="60EC5E0C"/>
    <w:rsid w:val="7975C060"/>
    <w:rsid w:val="7C6392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8937"/>
  <w15:chartTrackingRefBased/>
  <w15:docId w15:val="{48A71EDB-784C-4CF8-A304-FC7A93E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D1"/>
    <w:pPr>
      <w:spacing w:after="0" w:line="360" w:lineRule="auto"/>
      <w:jc w:val="both"/>
    </w:pPr>
    <w:rPr>
      <w:rFonts w:ascii="Tahoma" w:hAnsi="Tahoma"/>
      <w:sz w:val="24"/>
      <w:lang w:val="es-ES"/>
    </w:rPr>
  </w:style>
  <w:style w:type="paragraph" w:styleId="Ttulo4">
    <w:name w:val="heading 4"/>
    <w:basedOn w:val="Normal"/>
    <w:next w:val="Normal"/>
    <w:link w:val="Ttulo4Car"/>
    <w:unhideWhenUsed/>
    <w:qFormat/>
    <w:rsid w:val="00B02A64"/>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853DD1"/>
    <w:rPr>
      <w:rFonts w:ascii="Tahoma-Bold" w:hAnsi="Tahoma-Bold" w:hint="default"/>
      <w:b/>
      <w:bCs/>
      <w:i w:val="0"/>
      <w:iCs w:val="0"/>
      <w:color w:val="000000"/>
      <w:sz w:val="24"/>
      <w:szCs w:val="24"/>
    </w:rPr>
  </w:style>
  <w:style w:type="character" w:customStyle="1" w:styleId="fontstyle21">
    <w:name w:val="fontstyle21"/>
    <w:basedOn w:val="Fuentedeprrafopredeter"/>
    <w:rsid w:val="00853DD1"/>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B02A6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2A64"/>
    <w:rPr>
      <w:rFonts w:ascii="Tahoma" w:hAnsi="Tahoma"/>
      <w:sz w:val="24"/>
      <w:lang w:val="es-ES"/>
    </w:rPr>
  </w:style>
  <w:style w:type="paragraph" w:styleId="Piedepgina">
    <w:name w:val="footer"/>
    <w:basedOn w:val="Normal"/>
    <w:link w:val="PiedepginaCar"/>
    <w:uiPriority w:val="99"/>
    <w:unhideWhenUsed/>
    <w:rsid w:val="00B02A6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2A64"/>
    <w:rPr>
      <w:rFonts w:ascii="Tahoma" w:hAnsi="Tahoma"/>
      <w:sz w:val="24"/>
      <w:lang w:val="es-ES"/>
    </w:rPr>
  </w:style>
  <w:style w:type="character" w:customStyle="1" w:styleId="Ttulo4Car">
    <w:name w:val="Título 4 Car"/>
    <w:basedOn w:val="Fuentedeprrafopredeter"/>
    <w:link w:val="Ttulo4"/>
    <w:rsid w:val="00B02A64"/>
    <w:rPr>
      <w:rFonts w:ascii="Times New Roman" w:eastAsia="Times New Roman" w:hAnsi="Times New Roman" w:cs="Times New Roman"/>
      <w:b/>
      <w:sz w:val="24"/>
      <w:szCs w:val="20"/>
      <w:lang w:val="es-ES" w:eastAsia="es-ES"/>
    </w:rPr>
  </w:style>
  <w:style w:type="paragraph" w:customStyle="1" w:styleId="paragraph">
    <w:name w:val="paragraph"/>
    <w:basedOn w:val="Normal"/>
    <w:rsid w:val="00B02A64"/>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02A64"/>
  </w:style>
  <w:style w:type="paragraph" w:styleId="Prrafodelista">
    <w:name w:val="List Paragraph"/>
    <w:basedOn w:val="Normal"/>
    <w:uiPriority w:val="34"/>
    <w:qFormat/>
    <w:rsid w:val="004E7258"/>
    <w:pPr>
      <w:ind w:left="720"/>
      <w:contextualSpacing/>
    </w:pPr>
  </w:style>
  <w:style w:type="paragraph" w:styleId="Textonotapie">
    <w:name w:val="footnote text"/>
    <w:basedOn w:val="Normal"/>
    <w:link w:val="TextonotapieCar"/>
    <w:uiPriority w:val="99"/>
    <w:semiHidden/>
    <w:unhideWhenUsed/>
    <w:rsid w:val="003221C2"/>
    <w:pPr>
      <w:spacing w:line="240" w:lineRule="auto"/>
    </w:pPr>
    <w:rPr>
      <w:sz w:val="20"/>
      <w:szCs w:val="20"/>
    </w:rPr>
  </w:style>
  <w:style w:type="character" w:customStyle="1" w:styleId="TextonotapieCar">
    <w:name w:val="Texto nota pie Car"/>
    <w:basedOn w:val="Fuentedeprrafopredeter"/>
    <w:link w:val="Textonotapie"/>
    <w:uiPriority w:val="99"/>
    <w:semiHidden/>
    <w:rsid w:val="003221C2"/>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3221C2"/>
    <w:rPr>
      <w:vertAlign w:val="superscript"/>
    </w:rPr>
  </w:style>
  <w:style w:type="paragraph" w:styleId="NormalWeb">
    <w:name w:val="Normal (Web)"/>
    <w:basedOn w:val="Normal"/>
    <w:uiPriority w:val="99"/>
    <w:semiHidden/>
    <w:unhideWhenUsed/>
    <w:rsid w:val="002E5149"/>
    <w:rPr>
      <w:rFonts w:ascii="Times New Roman" w:hAnsi="Times New Roman" w:cs="Times New Roman"/>
      <w:szCs w:val="24"/>
    </w:rPr>
  </w:style>
  <w:style w:type="paragraph" w:styleId="Ttulo">
    <w:name w:val="Title"/>
    <w:basedOn w:val="Normal"/>
    <w:next w:val="Normal"/>
    <w:link w:val="TtuloCar"/>
    <w:uiPriority w:val="10"/>
    <w:qFormat/>
    <w:rsid w:val="00E67B09"/>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67B09"/>
    <w:rPr>
      <w:rFonts w:asciiTheme="majorHAnsi" w:eastAsiaTheme="majorEastAsia" w:hAnsiTheme="majorHAnsi" w:cstheme="majorBidi"/>
      <w:spacing w:val="-10"/>
      <w:kern w:val="28"/>
      <w:sz w:val="56"/>
      <w:szCs w:val="56"/>
      <w:lang w:val="es-ES"/>
    </w:rPr>
  </w:style>
  <w:style w:type="character" w:customStyle="1" w:styleId="eop">
    <w:name w:val="eop"/>
    <w:basedOn w:val="Fuentedeprrafopredeter"/>
    <w:rsid w:val="00DC2B9A"/>
  </w:style>
  <w:style w:type="character" w:styleId="Refdecomentario">
    <w:name w:val="annotation reference"/>
    <w:basedOn w:val="Fuentedeprrafopredeter"/>
    <w:uiPriority w:val="99"/>
    <w:semiHidden/>
    <w:unhideWhenUsed/>
    <w:rsid w:val="00BF1BCB"/>
    <w:rPr>
      <w:sz w:val="16"/>
      <w:szCs w:val="16"/>
    </w:rPr>
  </w:style>
  <w:style w:type="paragraph" w:styleId="Textocomentario">
    <w:name w:val="annotation text"/>
    <w:basedOn w:val="Normal"/>
    <w:link w:val="TextocomentarioCar"/>
    <w:uiPriority w:val="99"/>
    <w:semiHidden/>
    <w:unhideWhenUsed/>
    <w:rsid w:val="00BF1B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1BCB"/>
    <w:rPr>
      <w:rFonts w:ascii="Tahoma" w:hAnsi="Tahoma"/>
      <w:sz w:val="20"/>
      <w:szCs w:val="20"/>
      <w:lang w:val="es-ES"/>
    </w:rPr>
  </w:style>
  <w:style w:type="paragraph" w:styleId="Asuntodelcomentario">
    <w:name w:val="annotation subject"/>
    <w:basedOn w:val="Textocomentario"/>
    <w:next w:val="Textocomentario"/>
    <w:link w:val="AsuntodelcomentarioCar"/>
    <w:uiPriority w:val="99"/>
    <w:semiHidden/>
    <w:unhideWhenUsed/>
    <w:rsid w:val="00BF1BCB"/>
    <w:rPr>
      <w:b/>
      <w:bCs/>
    </w:rPr>
  </w:style>
  <w:style w:type="character" w:customStyle="1" w:styleId="AsuntodelcomentarioCar">
    <w:name w:val="Asunto del comentario Car"/>
    <w:basedOn w:val="TextocomentarioCar"/>
    <w:link w:val="Asuntodelcomentario"/>
    <w:uiPriority w:val="99"/>
    <w:semiHidden/>
    <w:rsid w:val="00BF1BCB"/>
    <w:rPr>
      <w:rFonts w:ascii="Tahoma" w:hAnsi="Tahoma"/>
      <w:b/>
      <w:bCs/>
      <w:sz w:val="20"/>
      <w:szCs w:val="20"/>
      <w:lang w:val="es-ES"/>
    </w:rPr>
  </w:style>
  <w:style w:type="paragraph" w:styleId="Textodeglobo">
    <w:name w:val="Balloon Text"/>
    <w:basedOn w:val="Normal"/>
    <w:link w:val="TextodegloboCar"/>
    <w:uiPriority w:val="99"/>
    <w:semiHidden/>
    <w:unhideWhenUsed/>
    <w:rsid w:val="00BF1BC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BC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5">
      <w:bodyDiv w:val="1"/>
      <w:marLeft w:val="0"/>
      <w:marRight w:val="0"/>
      <w:marTop w:val="0"/>
      <w:marBottom w:val="0"/>
      <w:divBdr>
        <w:top w:val="none" w:sz="0" w:space="0" w:color="auto"/>
        <w:left w:val="none" w:sz="0" w:space="0" w:color="auto"/>
        <w:bottom w:val="none" w:sz="0" w:space="0" w:color="auto"/>
        <w:right w:val="none" w:sz="0" w:space="0" w:color="auto"/>
      </w:divBdr>
    </w:div>
    <w:div w:id="164712904">
      <w:bodyDiv w:val="1"/>
      <w:marLeft w:val="0"/>
      <w:marRight w:val="0"/>
      <w:marTop w:val="0"/>
      <w:marBottom w:val="0"/>
      <w:divBdr>
        <w:top w:val="none" w:sz="0" w:space="0" w:color="auto"/>
        <w:left w:val="none" w:sz="0" w:space="0" w:color="auto"/>
        <w:bottom w:val="none" w:sz="0" w:space="0" w:color="auto"/>
        <w:right w:val="none" w:sz="0" w:space="0" w:color="auto"/>
      </w:divBdr>
    </w:div>
    <w:div w:id="358551916">
      <w:bodyDiv w:val="1"/>
      <w:marLeft w:val="0"/>
      <w:marRight w:val="0"/>
      <w:marTop w:val="0"/>
      <w:marBottom w:val="0"/>
      <w:divBdr>
        <w:top w:val="none" w:sz="0" w:space="0" w:color="auto"/>
        <w:left w:val="none" w:sz="0" w:space="0" w:color="auto"/>
        <w:bottom w:val="none" w:sz="0" w:space="0" w:color="auto"/>
        <w:right w:val="none" w:sz="0" w:space="0" w:color="auto"/>
      </w:divBdr>
    </w:div>
    <w:div w:id="478887250">
      <w:bodyDiv w:val="1"/>
      <w:marLeft w:val="0"/>
      <w:marRight w:val="0"/>
      <w:marTop w:val="0"/>
      <w:marBottom w:val="0"/>
      <w:divBdr>
        <w:top w:val="none" w:sz="0" w:space="0" w:color="auto"/>
        <w:left w:val="none" w:sz="0" w:space="0" w:color="auto"/>
        <w:bottom w:val="none" w:sz="0" w:space="0" w:color="auto"/>
        <w:right w:val="none" w:sz="0" w:space="0" w:color="auto"/>
      </w:divBdr>
    </w:div>
    <w:div w:id="543255470">
      <w:bodyDiv w:val="1"/>
      <w:marLeft w:val="0"/>
      <w:marRight w:val="0"/>
      <w:marTop w:val="0"/>
      <w:marBottom w:val="0"/>
      <w:divBdr>
        <w:top w:val="none" w:sz="0" w:space="0" w:color="auto"/>
        <w:left w:val="none" w:sz="0" w:space="0" w:color="auto"/>
        <w:bottom w:val="none" w:sz="0" w:space="0" w:color="auto"/>
        <w:right w:val="none" w:sz="0" w:space="0" w:color="auto"/>
      </w:divBdr>
    </w:div>
    <w:div w:id="620039807">
      <w:bodyDiv w:val="1"/>
      <w:marLeft w:val="0"/>
      <w:marRight w:val="0"/>
      <w:marTop w:val="0"/>
      <w:marBottom w:val="0"/>
      <w:divBdr>
        <w:top w:val="none" w:sz="0" w:space="0" w:color="auto"/>
        <w:left w:val="none" w:sz="0" w:space="0" w:color="auto"/>
        <w:bottom w:val="none" w:sz="0" w:space="0" w:color="auto"/>
        <w:right w:val="none" w:sz="0" w:space="0" w:color="auto"/>
      </w:divBdr>
    </w:div>
    <w:div w:id="732237186">
      <w:bodyDiv w:val="1"/>
      <w:marLeft w:val="0"/>
      <w:marRight w:val="0"/>
      <w:marTop w:val="0"/>
      <w:marBottom w:val="0"/>
      <w:divBdr>
        <w:top w:val="none" w:sz="0" w:space="0" w:color="auto"/>
        <w:left w:val="none" w:sz="0" w:space="0" w:color="auto"/>
        <w:bottom w:val="none" w:sz="0" w:space="0" w:color="auto"/>
        <w:right w:val="none" w:sz="0" w:space="0" w:color="auto"/>
      </w:divBdr>
    </w:div>
    <w:div w:id="835728019">
      <w:bodyDiv w:val="1"/>
      <w:marLeft w:val="0"/>
      <w:marRight w:val="0"/>
      <w:marTop w:val="0"/>
      <w:marBottom w:val="0"/>
      <w:divBdr>
        <w:top w:val="none" w:sz="0" w:space="0" w:color="auto"/>
        <w:left w:val="none" w:sz="0" w:space="0" w:color="auto"/>
        <w:bottom w:val="none" w:sz="0" w:space="0" w:color="auto"/>
        <w:right w:val="none" w:sz="0" w:space="0" w:color="auto"/>
      </w:divBdr>
    </w:div>
    <w:div w:id="1088305939">
      <w:bodyDiv w:val="1"/>
      <w:marLeft w:val="0"/>
      <w:marRight w:val="0"/>
      <w:marTop w:val="0"/>
      <w:marBottom w:val="0"/>
      <w:divBdr>
        <w:top w:val="none" w:sz="0" w:space="0" w:color="auto"/>
        <w:left w:val="none" w:sz="0" w:space="0" w:color="auto"/>
        <w:bottom w:val="none" w:sz="0" w:space="0" w:color="auto"/>
        <w:right w:val="none" w:sz="0" w:space="0" w:color="auto"/>
      </w:divBdr>
    </w:div>
    <w:div w:id="1101216783">
      <w:bodyDiv w:val="1"/>
      <w:marLeft w:val="0"/>
      <w:marRight w:val="0"/>
      <w:marTop w:val="0"/>
      <w:marBottom w:val="0"/>
      <w:divBdr>
        <w:top w:val="none" w:sz="0" w:space="0" w:color="auto"/>
        <w:left w:val="none" w:sz="0" w:space="0" w:color="auto"/>
        <w:bottom w:val="none" w:sz="0" w:space="0" w:color="auto"/>
        <w:right w:val="none" w:sz="0" w:space="0" w:color="auto"/>
      </w:divBdr>
    </w:div>
    <w:div w:id="1159004610">
      <w:bodyDiv w:val="1"/>
      <w:marLeft w:val="0"/>
      <w:marRight w:val="0"/>
      <w:marTop w:val="0"/>
      <w:marBottom w:val="0"/>
      <w:divBdr>
        <w:top w:val="none" w:sz="0" w:space="0" w:color="auto"/>
        <w:left w:val="none" w:sz="0" w:space="0" w:color="auto"/>
        <w:bottom w:val="none" w:sz="0" w:space="0" w:color="auto"/>
        <w:right w:val="none" w:sz="0" w:space="0" w:color="auto"/>
      </w:divBdr>
      <w:divsChild>
        <w:div w:id="816146682">
          <w:marLeft w:val="0"/>
          <w:marRight w:val="0"/>
          <w:marTop w:val="0"/>
          <w:marBottom w:val="120"/>
          <w:divBdr>
            <w:top w:val="none" w:sz="0" w:space="0" w:color="auto"/>
            <w:left w:val="none" w:sz="0" w:space="0" w:color="auto"/>
            <w:bottom w:val="none" w:sz="0" w:space="0" w:color="auto"/>
            <w:right w:val="none" w:sz="0" w:space="0" w:color="auto"/>
          </w:divBdr>
          <w:divsChild>
            <w:div w:id="1394423870">
              <w:marLeft w:val="0"/>
              <w:marRight w:val="0"/>
              <w:marTop w:val="0"/>
              <w:marBottom w:val="0"/>
              <w:divBdr>
                <w:top w:val="none" w:sz="0" w:space="0" w:color="auto"/>
                <w:left w:val="none" w:sz="0" w:space="0" w:color="auto"/>
                <w:bottom w:val="none" w:sz="0" w:space="0" w:color="auto"/>
                <w:right w:val="none" w:sz="0" w:space="0" w:color="auto"/>
              </w:divBdr>
            </w:div>
          </w:divsChild>
        </w:div>
        <w:div w:id="412095234">
          <w:marLeft w:val="0"/>
          <w:marRight w:val="0"/>
          <w:marTop w:val="0"/>
          <w:marBottom w:val="120"/>
          <w:divBdr>
            <w:top w:val="none" w:sz="0" w:space="0" w:color="auto"/>
            <w:left w:val="none" w:sz="0" w:space="0" w:color="auto"/>
            <w:bottom w:val="none" w:sz="0" w:space="0" w:color="auto"/>
            <w:right w:val="none" w:sz="0" w:space="0" w:color="auto"/>
          </w:divBdr>
          <w:divsChild>
            <w:div w:id="16128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79944">
      <w:bodyDiv w:val="1"/>
      <w:marLeft w:val="0"/>
      <w:marRight w:val="0"/>
      <w:marTop w:val="0"/>
      <w:marBottom w:val="0"/>
      <w:divBdr>
        <w:top w:val="none" w:sz="0" w:space="0" w:color="auto"/>
        <w:left w:val="none" w:sz="0" w:space="0" w:color="auto"/>
        <w:bottom w:val="none" w:sz="0" w:space="0" w:color="auto"/>
        <w:right w:val="none" w:sz="0" w:space="0" w:color="auto"/>
      </w:divBdr>
    </w:div>
    <w:div w:id="1408309747">
      <w:bodyDiv w:val="1"/>
      <w:marLeft w:val="0"/>
      <w:marRight w:val="0"/>
      <w:marTop w:val="0"/>
      <w:marBottom w:val="0"/>
      <w:divBdr>
        <w:top w:val="none" w:sz="0" w:space="0" w:color="auto"/>
        <w:left w:val="none" w:sz="0" w:space="0" w:color="auto"/>
        <w:bottom w:val="none" w:sz="0" w:space="0" w:color="auto"/>
        <w:right w:val="none" w:sz="0" w:space="0" w:color="auto"/>
      </w:divBdr>
    </w:div>
    <w:div w:id="1412266362">
      <w:bodyDiv w:val="1"/>
      <w:marLeft w:val="0"/>
      <w:marRight w:val="0"/>
      <w:marTop w:val="0"/>
      <w:marBottom w:val="0"/>
      <w:divBdr>
        <w:top w:val="none" w:sz="0" w:space="0" w:color="auto"/>
        <w:left w:val="none" w:sz="0" w:space="0" w:color="auto"/>
        <w:bottom w:val="none" w:sz="0" w:space="0" w:color="auto"/>
        <w:right w:val="none" w:sz="0" w:space="0" w:color="auto"/>
      </w:divBdr>
    </w:div>
    <w:div w:id="1415543612">
      <w:bodyDiv w:val="1"/>
      <w:marLeft w:val="0"/>
      <w:marRight w:val="0"/>
      <w:marTop w:val="0"/>
      <w:marBottom w:val="0"/>
      <w:divBdr>
        <w:top w:val="none" w:sz="0" w:space="0" w:color="auto"/>
        <w:left w:val="none" w:sz="0" w:space="0" w:color="auto"/>
        <w:bottom w:val="none" w:sz="0" w:space="0" w:color="auto"/>
        <w:right w:val="none" w:sz="0" w:space="0" w:color="auto"/>
      </w:divBdr>
    </w:div>
    <w:div w:id="1508905317">
      <w:bodyDiv w:val="1"/>
      <w:marLeft w:val="0"/>
      <w:marRight w:val="0"/>
      <w:marTop w:val="0"/>
      <w:marBottom w:val="0"/>
      <w:divBdr>
        <w:top w:val="none" w:sz="0" w:space="0" w:color="auto"/>
        <w:left w:val="none" w:sz="0" w:space="0" w:color="auto"/>
        <w:bottom w:val="none" w:sz="0" w:space="0" w:color="auto"/>
        <w:right w:val="none" w:sz="0" w:space="0" w:color="auto"/>
      </w:divBdr>
    </w:div>
    <w:div w:id="1552616989">
      <w:bodyDiv w:val="1"/>
      <w:marLeft w:val="0"/>
      <w:marRight w:val="0"/>
      <w:marTop w:val="0"/>
      <w:marBottom w:val="0"/>
      <w:divBdr>
        <w:top w:val="none" w:sz="0" w:space="0" w:color="auto"/>
        <w:left w:val="none" w:sz="0" w:space="0" w:color="auto"/>
        <w:bottom w:val="none" w:sz="0" w:space="0" w:color="auto"/>
        <w:right w:val="none" w:sz="0" w:space="0" w:color="auto"/>
      </w:divBdr>
      <w:divsChild>
        <w:div w:id="254438551">
          <w:marLeft w:val="0"/>
          <w:marRight w:val="0"/>
          <w:marTop w:val="0"/>
          <w:marBottom w:val="0"/>
          <w:divBdr>
            <w:top w:val="none" w:sz="0" w:space="0" w:color="auto"/>
            <w:left w:val="none" w:sz="0" w:space="0" w:color="auto"/>
            <w:bottom w:val="none" w:sz="0" w:space="0" w:color="auto"/>
            <w:right w:val="none" w:sz="0" w:space="0" w:color="auto"/>
          </w:divBdr>
        </w:div>
        <w:div w:id="2119251657">
          <w:marLeft w:val="0"/>
          <w:marRight w:val="0"/>
          <w:marTop w:val="0"/>
          <w:marBottom w:val="0"/>
          <w:divBdr>
            <w:top w:val="none" w:sz="0" w:space="0" w:color="auto"/>
            <w:left w:val="none" w:sz="0" w:space="0" w:color="auto"/>
            <w:bottom w:val="none" w:sz="0" w:space="0" w:color="auto"/>
            <w:right w:val="none" w:sz="0" w:space="0" w:color="auto"/>
          </w:divBdr>
        </w:div>
      </w:divsChild>
    </w:div>
    <w:div w:id="1644191754">
      <w:bodyDiv w:val="1"/>
      <w:marLeft w:val="0"/>
      <w:marRight w:val="0"/>
      <w:marTop w:val="0"/>
      <w:marBottom w:val="0"/>
      <w:divBdr>
        <w:top w:val="none" w:sz="0" w:space="0" w:color="auto"/>
        <w:left w:val="none" w:sz="0" w:space="0" w:color="auto"/>
        <w:bottom w:val="none" w:sz="0" w:space="0" w:color="auto"/>
        <w:right w:val="none" w:sz="0" w:space="0" w:color="auto"/>
      </w:divBdr>
    </w:div>
    <w:div w:id="1816676186">
      <w:bodyDiv w:val="1"/>
      <w:marLeft w:val="0"/>
      <w:marRight w:val="0"/>
      <w:marTop w:val="0"/>
      <w:marBottom w:val="0"/>
      <w:divBdr>
        <w:top w:val="none" w:sz="0" w:space="0" w:color="auto"/>
        <w:left w:val="none" w:sz="0" w:space="0" w:color="auto"/>
        <w:bottom w:val="none" w:sz="0" w:space="0" w:color="auto"/>
        <w:right w:val="none" w:sz="0" w:space="0" w:color="auto"/>
      </w:divBdr>
    </w:div>
    <w:div w:id="1891527212">
      <w:bodyDiv w:val="1"/>
      <w:marLeft w:val="0"/>
      <w:marRight w:val="0"/>
      <w:marTop w:val="0"/>
      <w:marBottom w:val="0"/>
      <w:divBdr>
        <w:top w:val="none" w:sz="0" w:space="0" w:color="auto"/>
        <w:left w:val="none" w:sz="0" w:space="0" w:color="auto"/>
        <w:bottom w:val="none" w:sz="0" w:space="0" w:color="auto"/>
        <w:right w:val="none" w:sz="0" w:space="0" w:color="auto"/>
      </w:divBdr>
    </w:div>
    <w:div w:id="1903371421">
      <w:bodyDiv w:val="1"/>
      <w:marLeft w:val="0"/>
      <w:marRight w:val="0"/>
      <w:marTop w:val="0"/>
      <w:marBottom w:val="0"/>
      <w:divBdr>
        <w:top w:val="none" w:sz="0" w:space="0" w:color="auto"/>
        <w:left w:val="none" w:sz="0" w:space="0" w:color="auto"/>
        <w:bottom w:val="none" w:sz="0" w:space="0" w:color="auto"/>
        <w:right w:val="none" w:sz="0" w:space="0" w:color="auto"/>
      </w:divBdr>
    </w:div>
    <w:div w:id="1931430155">
      <w:bodyDiv w:val="1"/>
      <w:marLeft w:val="0"/>
      <w:marRight w:val="0"/>
      <w:marTop w:val="0"/>
      <w:marBottom w:val="0"/>
      <w:divBdr>
        <w:top w:val="none" w:sz="0" w:space="0" w:color="auto"/>
        <w:left w:val="none" w:sz="0" w:space="0" w:color="auto"/>
        <w:bottom w:val="none" w:sz="0" w:space="0" w:color="auto"/>
        <w:right w:val="none" w:sz="0" w:space="0" w:color="auto"/>
      </w:divBdr>
    </w:div>
    <w:div w:id="1968192739">
      <w:bodyDiv w:val="1"/>
      <w:marLeft w:val="0"/>
      <w:marRight w:val="0"/>
      <w:marTop w:val="0"/>
      <w:marBottom w:val="0"/>
      <w:divBdr>
        <w:top w:val="none" w:sz="0" w:space="0" w:color="auto"/>
        <w:left w:val="none" w:sz="0" w:space="0" w:color="auto"/>
        <w:bottom w:val="none" w:sz="0" w:space="0" w:color="auto"/>
        <w:right w:val="none" w:sz="0" w:space="0" w:color="auto"/>
      </w:divBdr>
    </w:div>
    <w:div w:id="20306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53f5b76a4f81494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0F59-C57B-4683-BCC0-D45013BDF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5797B-37AB-427D-B3DD-0F1ADC36185D}">
  <ds:schemaRefs>
    <ds:schemaRef ds:uri="http://schemas.microsoft.com/sharepoint/v3/contenttype/forms"/>
  </ds:schemaRefs>
</ds:datastoreItem>
</file>

<file path=customXml/itemProps3.xml><?xml version="1.0" encoding="utf-8"?>
<ds:datastoreItem xmlns:ds="http://schemas.openxmlformats.org/officeDocument/2006/customXml" ds:itemID="{A4070AC8-F269-4C2A-B2DD-17B1B0D9A76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37EBDB65-E3EE-4F01-86F1-457A6AD5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2260</Words>
  <Characters>12432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16</cp:revision>
  <dcterms:created xsi:type="dcterms:W3CDTF">2022-03-25T02:01:00Z</dcterms:created>
  <dcterms:modified xsi:type="dcterms:W3CDTF">2022-05-26T13:41:00Z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