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222C" w14:textId="77777777" w:rsidR="00D73557" w:rsidRPr="00D73557" w:rsidRDefault="00D73557" w:rsidP="00D73557">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r w:rsidRPr="00D7355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9C97E6" w14:textId="77777777" w:rsidR="00D73557" w:rsidRPr="00D73557" w:rsidRDefault="00D73557" w:rsidP="00D73557">
      <w:pPr>
        <w:spacing w:line="240" w:lineRule="auto"/>
        <w:rPr>
          <w:rFonts w:ascii="Arial" w:eastAsia="Times New Roman" w:hAnsi="Arial" w:cs="Arial"/>
          <w:sz w:val="20"/>
          <w:szCs w:val="20"/>
          <w:lang w:val="es-419" w:eastAsia="es-ES"/>
        </w:rPr>
      </w:pPr>
    </w:p>
    <w:p w14:paraId="14AFF025" w14:textId="7480FD33" w:rsidR="00FA440E" w:rsidRPr="00AF4296" w:rsidRDefault="00D5688B" w:rsidP="00D73557">
      <w:pPr>
        <w:pBdr>
          <w:top w:val="nil"/>
          <w:left w:val="nil"/>
          <w:bottom w:val="nil"/>
          <w:right w:val="nil"/>
          <w:between w:val="nil"/>
        </w:pBdr>
        <w:spacing w:line="240" w:lineRule="auto"/>
        <w:rPr>
          <w:rFonts w:ascii="Arial" w:hAnsi="Arial" w:cs="Arial"/>
          <w:sz w:val="20"/>
          <w:szCs w:val="20"/>
        </w:rPr>
      </w:pPr>
      <w:r w:rsidRPr="00AF4296">
        <w:rPr>
          <w:rFonts w:ascii="Arial" w:hAnsi="Arial" w:cs="Arial"/>
          <w:sz w:val="20"/>
          <w:szCs w:val="20"/>
        </w:rPr>
        <w:t>Radicado:</w:t>
      </w:r>
      <w:r w:rsidR="00AF4296" w:rsidRPr="00AF4296">
        <w:rPr>
          <w:rFonts w:ascii="Arial" w:hAnsi="Arial" w:cs="Arial"/>
          <w:sz w:val="20"/>
          <w:szCs w:val="20"/>
        </w:rPr>
        <w:tab/>
      </w:r>
      <w:r w:rsidRPr="00AF4296">
        <w:rPr>
          <w:rFonts w:ascii="Arial" w:hAnsi="Arial" w:cs="Arial"/>
          <w:sz w:val="20"/>
          <w:szCs w:val="20"/>
        </w:rPr>
        <w:t>66001-31-05-002-2019-00224-01</w:t>
      </w:r>
    </w:p>
    <w:p w14:paraId="0E5D40D6" w14:textId="7E4FA9F8" w:rsidR="00FA440E" w:rsidRPr="00AF4296" w:rsidRDefault="00D5688B" w:rsidP="00D73557">
      <w:pPr>
        <w:pBdr>
          <w:top w:val="nil"/>
          <w:left w:val="nil"/>
          <w:bottom w:val="nil"/>
          <w:right w:val="nil"/>
          <w:between w:val="nil"/>
        </w:pBdr>
        <w:spacing w:line="240" w:lineRule="auto"/>
        <w:rPr>
          <w:rFonts w:ascii="Arial" w:hAnsi="Arial" w:cs="Arial"/>
          <w:sz w:val="20"/>
          <w:szCs w:val="20"/>
        </w:rPr>
      </w:pPr>
      <w:r w:rsidRPr="00AF4296">
        <w:rPr>
          <w:rFonts w:ascii="Arial" w:hAnsi="Arial" w:cs="Arial"/>
          <w:sz w:val="20"/>
          <w:szCs w:val="20"/>
        </w:rPr>
        <w:t>Proceso:</w:t>
      </w:r>
      <w:r w:rsidR="00AF4296" w:rsidRPr="00AF4296">
        <w:rPr>
          <w:rFonts w:ascii="Arial" w:hAnsi="Arial" w:cs="Arial"/>
          <w:sz w:val="20"/>
          <w:szCs w:val="20"/>
        </w:rPr>
        <w:tab/>
      </w:r>
      <w:r w:rsidRPr="00AF4296">
        <w:rPr>
          <w:rFonts w:ascii="Arial" w:hAnsi="Arial" w:cs="Arial"/>
          <w:sz w:val="20"/>
          <w:szCs w:val="20"/>
        </w:rPr>
        <w:t>Ordinario Laboral </w:t>
      </w:r>
    </w:p>
    <w:p w14:paraId="0717A17E" w14:textId="4F6756A7" w:rsidR="00FA440E" w:rsidRPr="00AF4296" w:rsidRDefault="00D5688B" w:rsidP="00D73557">
      <w:pPr>
        <w:pBdr>
          <w:top w:val="nil"/>
          <w:left w:val="nil"/>
          <w:bottom w:val="nil"/>
          <w:right w:val="nil"/>
          <w:between w:val="nil"/>
        </w:pBdr>
        <w:spacing w:line="240" w:lineRule="auto"/>
        <w:rPr>
          <w:rFonts w:ascii="Arial" w:hAnsi="Arial" w:cs="Arial"/>
          <w:sz w:val="20"/>
          <w:szCs w:val="20"/>
        </w:rPr>
      </w:pPr>
      <w:r w:rsidRPr="00AF4296">
        <w:rPr>
          <w:rFonts w:ascii="Arial" w:hAnsi="Arial" w:cs="Arial"/>
          <w:sz w:val="20"/>
          <w:szCs w:val="20"/>
        </w:rPr>
        <w:t>Demandante:</w:t>
      </w:r>
      <w:r w:rsidR="00FA440E" w:rsidRPr="00AF4296">
        <w:rPr>
          <w:rFonts w:ascii="Arial" w:hAnsi="Arial" w:cs="Arial"/>
          <w:sz w:val="20"/>
          <w:szCs w:val="20"/>
        </w:rPr>
        <w:tab/>
      </w:r>
      <w:r w:rsidRPr="00AF4296">
        <w:rPr>
          <w:rFonts w:ascii="Arial" w:hAnsi="Arial" w:cs="Arial"/>
          <w:sz w:val="20"/>
          <w:szCs w:val="20"/>
        </w:rPr>
        <w:t>Marta Cecilia Ortiz Mora</w:t>
      </w:r>
    </w:p>
    <w:p w14:paraId="48FECA0D" w14:textId="4A74136B" w:rsidR="00FA440E" w:rsidRPr="00AF4296" w:rsidRDefault="00D5688B" w:rsidP="00D73557">
      <w:pPr>
        <w:pBdr>
          <w:top w:val="nil"/>
          <w:left w:val="nil"/>
          <w:bottom w:val="nil"/>
          <w:right w:val="nil"/>
          <w:between w:val="nil"/>
        </w:pBdr>
        <w:spacing w:line="240" w:lineRule="auto"/>
        <w:rPr>
          <w:rFonts w:ascii="Arial" w:hAnsi="Arial" w:cs="Arial"/>
          <w:sz w:val="20"/>
          <w:szCs w:val="20"/>
        </w:rPr>
      </w:pPr>
      <w:r w:rsidRPr="00AF4296">
        <w:rPr>
          <w:rFonts w:ascii="Arial" w:hAnsi="Arial" w:cs="Arial"/>
          <w:sz w:val="20"/>
          <w:szCs w:val="20"/>
        </w:rPr>
        <w:t>Demandado:</w:t>
      </w:r>
      <w:r w:rsidR="00FA440E" w:rsidRPr="00AF4296">
        <w:rPr>
          <w:rFonts w:ascii="Arial" w:hAnsi="Arial" w:cs="Arial"/>
          <w:sz w:val="20"/>
          <w:szCs w:val="20"/>
        </w:rPr>
        <w:tab/>
      </w:r>
      <w:r w:rsidRPr="00AF4296">
        <w:rPr>
          <w:rFonts w:ascii="Arial" w:hAnsi="Arial" w:cs="Arial"/>
          <w:sz w:val="20"/>
          <w:szCs w:val="20"/>
        </w:rPr>
        <w:t>Colpensiones y Protección S.A</w:t>
      </w:r>
      <w:r w:rsidR="00FA440E" w:rsidRPr="00AF4296">
        <w:rPr>
          <w:rFonts w:ascii="Arial" w:hAnsi="Arial" w:cs="Arial"/>
          <w:sz w:val="20"/>
          <w:szCs w:val="20"/>
        </w:rPr>
        <w:t>.</w:t>
      </w:r>
    </w:p>
    <w:p w14:paraId="3FF2920E" w14:textId="11CF4321" w:rsidR="00FA440E" w:rsidRPr="00AF4296" w:rsidRDefault="00D5688B" w:rsidP="00D73557">
      <w:pPr>
        <w:pBdr>
          <w:top w:val="nil"/>
          <w:left w:val="nil"/>
          <w:bottom w:val="nil"/>
          <w:right w:val="nil"/>
          <w:between w:val="nil"/>
        </w:pBdr>
        <w:spacing w:line="240" w:lineRule="auto"/>
        <w:rPr>
          <w:rFonts w:ascii="Arial" w:hAnsi="Arial" w:cs="Arial"/>
          <w:sz w:val="20"/>
          <w:szCs w:val="20"/>
        </w:rPr>
      </w:pPr>
      <w:r w:rsidRPr="00AF4296">
        <w:rPr>
          <w:rFonts w:ascii="Arial" w:hAnsi="Arial" w:cs="Arial"/>
          <w:sz w:val="20"/>
          <w:szCs w:val="20"/>
        </w:rPr>
        <w:t>Juzgado:</w:t>
      </w:r>
      <w:r w:rsidR="00AF4296" w:rsidRPr="00AF4296">
        <w:rPr>
          <w:rFonts w:ascii="Arial" w:hAnsi="Arial" w:cs="Arial"/>
          <w:sz w:val="20"/>
          <w:szCs w:val="20"/>
        </w:rPr>
        <w:tab/>
      </w:r>
      <w:r w:rsidRPr="00AF4296">
        <w:rPr>
          <w:rFonts w:ascii="Arial" w:hAnsi="Arial" w:cs="Arial"/>
          <w:sz w:val="20"/>
          <w:szCs w:val="20"/>
        </w:rPr>
        <w:t>Segundo Laboral del Circuito de Pereira</w:t>
      </w:r>
    </w:p>
    <w:p w14:paraId="1D4FA599" w14:textId="5F8D6092" w:rsidR="00FA440E" w:rsidRPr="00AF4296" w:rsidRDefault="00FA440E" w:rsidP="00D73557">
      <w:pPr>
        <w:pBdr>
          <w:top w:val="nil"/>
          <w:left w:val="nil"/>
          <w:bottom w:val="nil"/>
          <w:right w:val="nil"/>
          <w:between w:val="nil"/>
        </w:pBdr>
        <w:spacing w:line="240" w:lineRule="auto"/>
        <w:rPr>
          <w:rFonts w:ascii="Arial" w:hAnsi="Arial" w:cs="Arial"/>
          <w:color w:val="000000" w:themeColor="text1"/>
          <w:sz w:val="20"/>
          <w:szCs w:val="20"/>
          <w:lang w:val="es-ES"/>
        </w:rPr>
      </w:pPr>
    </w:p>
    <w:p w14:paraId="15C5B673" w14:textId="77777777" w:rsidR="00920EA9" w:rsidRPr="00920EA9" w:rsidRDefault="00920EA9" w:rsidP="00920EA9">
      <w:pPr>
        <w:spacing w:line="240" w:lineRule="auto"/>
        <w:rPr>
          <w:rFonts w:ascii="Arial" w:eastAsia="Times New Roman" w:hAnsi="Arial" w:cs="Arial"/>
          <w:b/>
          <w:bCs/>
          <w:iCs/>
          <w:sz w:val="20"/>
          <w:szCs w:val="20"/>
          <w:lang w:val="es-419" w:eastAsia="fr-FR"/>
        </w:rPr>
      </w:pPr>
      <w:bookmarkStart w:id="0" w:name="_Hlk82369399"/>
      <w:r w:rsidRPr="00920EA9">
        <w:rPr>
          <w:rFonts w:ascii="Arial" w:eastAsia="Times New Roman" w:hAnsi="Arial" w:cs="Arial"/>
          <w:b/>
          <w:bCs/>
          <w:iCs/>
          <w:sz w:val="20"/>
          <w:szCs w:val="20"/>
          <w:u w:val="single"/>
          <w:lang w:val="es-419" w:eastAsia="fr-FR"/>
        </w:rPr>
        <w:t>TEMAS:</w:t>
      </w:r>
      <w:r w:rsidRPr="00920EA9">
        <w:rPr>
          <w:rFonts w:ascii="Arial" w:eastAsia="Times New Roman" w:hAnsi="Arial" w:cs="Arial"/>
          <w:b/>
          <w:bCs/>
          <w:iCs/>
          <w:sz w:val="20"/>
          <w:szCs w:val="20"/>
          <w:lang w:val="es-419" w:eastAsia="fr-FR"/>
        </w:rPr>
        <w:tab/>
      </w:r>
      <w:r w:rsidRPr="00920EA9">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5CF51DD0" w14:textId="77777777" w:rsidR="00920EA9" w:rsidRPr="00920EA9" w:rsidRDefault="00920EA9" w:rsidP="00920EA9">
      <w:pPr>
        <w:spacing w:line="240" w:lineRule="auto"/>
        <w:rPr>
          <w:rFonts w:ascii="Arial" w:eastAsia="Times New Roman" w:hAnsi="Arial" w:cs="Arial"/>
          <w:sz w:val="20"/>
          <w:szCs w:val="20"/>
          <w:lang w:val="es-419" w:eastAsia="es-ES"/>
        </w:rPr>
      </w:pPr>
    </w:p>
    <w:p w14:paraId="4285A2B5" w14:textId="77777777" w:rsidR="00920EA9" w:rsidRPr="00920EA9" w:rsidRDefault="00920EA9" w:rsidP="00920EA9">
      <w:pPr>
        <w:spacing w:line="240" w:lineRule="auto"/>
        <w:rPr>
          <w:rFonts w:ascii="Arial" w:eastAsia="Times New Roman" w:hAnsi="Arial" w:cs="Arial"/>
          <w:sz w:val="20"/>
          <w:szCs w:val="20"/>
          <w:lang w:val="es-419" w:eastAsia="es-ES"/>
        </w:rPr>
      </w:pPr>
      <w:r w:rsidRPr="00920EA9">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1BBFD40C" w14:textId="77777777" w:rsidR="00920EA9" w:rsidRPr="00920EA9" w:rsidRDefault="00920EA9" w:rsidP="00920EA9">
      <w:pPr>
        <w:spacing w:line="240" w:lineRule="auto"/>
        <w:rPr>
          <w:rFonts w:ascii="Arial" w:eastAsia="Times New Roman" w:hAnsi="Arial" w:cs="Arial"/>
          <w:sz w:val="20"/>
          <w:szCs w:val="20"/>
          <w:lang w:val="es-419" w:eastAsia="es-ES"/>
        </w:rPr>
      </w:pPr>
    </w:p>
    <w:p w14:paraId="29367F1E" w14:textId="77777777" w:rsidR="00920EA9" w:rsidRPr="00920EA9" w:rsidRDefault="00920EA9" w:rsidP="00920EA9">
      <w:pPr>
        <w:spacing w:line="240" w:lineRule="auto"/>
        <w:rPr>
          <w:rFonts w:ascii="Arial" w:eastAsia="Times New Roman" w:hAnsi="Arial" w:cs="Arial"/>
          <w:sz w:val="20"/>
          <w:szCs w:val="20"/>
          <w:lang w:val="es-419" w:eastAsia="es-ES"/>
        </w:rPr>
      </w:pPr>
      <w:r w:rsidRPr="00920EA9">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AB76290" w14:textId="77777777" w:rsidR="00920EA9" w:rsidRPr="00920EA9" w:rsidRDefault="00920EA9" w:rsidP="00920EA9">
      <w:pPr>
        <w:spacing w:line="240" w:lineRule="auto"/>
        <w:rPr>
          <w:rFonts w:ascii="Arial" w:eastAsia="Times New Roman" w:hAnsi="Arial" w:cs="Arial"/>
          <w:sz w:val="20"/>
          <w:szCs w:val="20"/>
          <w:lang w:val="es-419" w:eastAsia="es-ES"/>
        </w:rPr>
      </w:pPr>
    </w:p>
    <w:p w14:paraId="584CFEC9" w14:textId="77777777" w:rsidR="00920EA9" w:rsidRPr="00920EA9" w:rsidRDefault="00920EA9" w:rsidP="00920EA9">
      <w:pPr>
        <w:spacing w:line="240" w:lineRule="auto"/>
        <w:rPr>
          <w:rFonts w:ascii="Arial" w:eastAsia="Times New Roman" w:hAnsi="Arial" w:cs="Arial"/>
          <w:sz w:val="20"/>
          <w:szCs w:val="20"/>
          <w:lang w:val="es-419" w:eastAsia="es-ES"/>
        </w:rPr>
      </w:pPr>
      <w:r w:rsidRPr="00920EA9">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1CD74202" w14:textId="77777777" w:rsidR="00920EA9" w:rsidRPr="00920EA9" w:rsidRDefault="00920EA9" w:rsidP="00920EA9">
      <w:pPr>
        <w:spacing w:line="240" w:lineRule="auto"/>
        <w:rPr>
          <w:rFonts w:ascii="Arial" w:eastAsia="Times New Roman" w:hAnsi="Arial" w:cs="Arial"/>
          <w:sz w:val="20"/>
          <w:szCs w:val="20"/>
          <w:lang w:val="es-419" w:eastAsia="es-ES"/>
        </w:rPr>
      </w:pPr>
    </w:p>
    <w:p w14:paraId="090C0A2A" w14:textId="77777777" w:rsidR="00920EA9" w:rsidRPr="00920EA9" w:rsidRDefault="00920EA9" w:rsidP="00920EA9">
      <w:pPr>
        <w:spacing w:line="240" w:lineRule="auto"/>
        <w:rPr>
          <w:rFonts w:ascii="Arial" w:eastAsia="Times New Roman" w:hAnsi="Arial" w:cs="Arial"/>
          <w:sz w:val="20"/>
          <w:szCs w:val="20"/>
          <w:lang w:val="es-419" w:eastAsia="es-ES"/>
        </w:rPr>
      </w:pPr>
      <w:r w:rsidRPr="00920EA9">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DEEB304" w14:textId="77777777" w:rsidR="00920EA9" w:rsidRPr="00920EA9" w:rsidRDefault="00920EA9" w:rsidP="00920EA9">
      <w:pPr>
        <w:spacing w:line="240" w:lineRule="auto"/>
        <w:rPr>
          <w:rFonts w:ascii="Arial" w:eastAsia="Times New Roman" w:hAnsi="Arial" w:cs="Arial"/>
          <w:sz w:val="20"/>
          <w:szCs w:val="20"/>
          <w:lang w:val="es-ES" w:eastAsia="es-ES"/>
        </w:rPr>
      </w:pPr>
    </w:p>
    <w:p w14:paraId="39567E6A" w14:textId="77777777" w:rsidR="00920EA9" w:rsidRPr="00920EA9" w:rsidRDefault="00920EA9" w:rsidP="00920EA9">
      <w:pPr>
        <w:spacing w:line="240" w:lineRule="auto"/>
        <w:rPr>
          <w:rFonts w:ascii="Arial" w:eastAsia="Times New Roman" w:hAnsi="Arial" w:cs="Arial"/>
          <w:sz w:val="20"/>
          <w:szCs w:val="20"/>
          <w:lang w:val="es-ES" w:eastAsia="es-ES"/>
        </w:rPr>
      </w:pPr>
    </w:p>
    <w:bookmarkEnd w:id="0"/>
    <w:p w14:paraId="463C79CE" w14:textId="77777777" w:rsidR="00920EA9" w:rsidRPr="00920EA9" w:rsidRDefault="00920EA9" w:rsidP="00920EA9">
      <w:pPr>
        <w:spacing w:line="240" w:lineRule="auto"/>
        <w:rPr>
          <w:rFonts w:ascii="Arial" w:eastAsia="Times New Roman" w:hAnsi="Arial" w:cs="Arial"/>
          <w:sz w:val="20"/>
          <w:szCs w:val="20"/>
          <w:lang w:val="es-ES" w:eastAsia="es-ES"/>
        </w:rPr>
      </w:pPr>
    </w:p>
    <w:p w14:paraId="00000011" w14:textId="77777777" w:rsidR="00602F3A" w:rsidRPr="00AF4296" w:rsidRDefault="00D5688B" w:rsidP="00AF4296">
      <w:pPr>
        <w:pStyle w:val="Ttulo4"/>
        <w:spacing w:line="276" w:lineRule="auto"/>
        <w:ind w:left="700" w:right="840"/>
        <w:rPr>
          <w:rFonts w:ascii="Tahoma" w:eastAsia="Tahoma" w:hAnsi="Tahoma" w:cs="Tahoma"/>
          <w:szCs w:val="24"/>
        </w:rPr>
      </w:pPr>
      <w:r w:rsidRPr="00AF4296">
        <w:rPr>
          <w:rFonts w:ascii="Tahoma" w:eastAsia="Tahoma" w:hAnsi="Tahoma" w:cs="Tahoma"/>
          <w:szCs w:val="24"/>
        </w:rPr>
        <w:t>TRIBUNAL SUPERIOR DEL DISTRITO JUDICIAL DE PEREIRA</w:t>
      </w:r>
    </w:p>
    <w:p w14:paraId="00000012" w14:textId="77777777" w:rsidR="00602F3A" w:rsidRPr="00AF4296" w:rsidRDefault="00D5688B" w:rsidP="00AF4296">
      <w:pPr>
        <w:pStyle w:val="Ttulo4"/>
        <w:spacing w:line="276" w:lineRule="auto"/>
        <w:ind w:left="700" w:right="840"/>
        <w:rPr>
          <w:rFonts w:ascii="Tahoma" w:eastAsia="Tahoma" w:hAnsi="Tahoma" w:cs="Tahoma"/>
          <w:szCs w:val="24"/>
        </w:rPr>
      </w:pPr>
      <w:r w:rsidRPr="00AF4296">
        <w:rPr>
          <w:rFonts w:ascii="Tahoma" w:eastAsia="Tahoma" w:hAnsi="Tahoma" w:cs="Tahoma"/>
          <w:szCs w:val="24"/>
        </w:rPr>
        <w:t>SALA PRIMERA DE DECISION LABORAL</w:t>
      </w:r>
    </w:p>
    <w:p w14:paraId="00000013" w14:textId="77777777" w:rsidR="00602F3A" w:rsidRPr="00AF4296" w:rsidRDefault="00D5688B" w:rsidP="00AF4296">
      <w:pPr>
        <w:pBdr>
          <w:top w:val="nil"/>
          <w:left w:val="nil"/>
          <w:bottom w:val="nil"/>
          <w:right w:val="nil"/>
          <w:between w:val="nil"/>
        </w:pBdr>
        <w:spacing w:line="276" w:lineRule="auto"/>
        <w:jc w:val="center"/>
      </w:pPr>
      <w:r w:rsidRPr="00AF4296">
        <w:t> </w:t>
      </w:r>
    </w:p>
    <w:p w14:paraId="00000014" w14:textId="77777777" w:rsidR="00602F3A" w:rsidRPr="00AF4296" w:rsidRDefault="00D5688B" w:rsidP="00AF4296">
      <w:pPr>
        <w:pBdr>
          <w:top w:val="nil"/>
          <w:left w:val="nil"/>
          <w:bottom w:val="nil"/>
          <w:right w:val="nil"/>
          <w:between w:val="nil"/>
        </w:pBdr>
        <w:spacing w:line="276" w:lineRule="auto"/>
        <w:jc w:val="center"/>
      </w:pPr>
      <w:r w:rsidRPr="00AF4296">
        <w:t>Magistrada Ponente: Ana Lucía Caicedo Calderón </w:t>
      </w:r>
    </w:p>
    <w:p w14:paraId="00000015" w14:textId="77777777" w:rsidR="00602F3A" w:rsidRPr="00AF4296" w:rsidRDefault="00D5688B" w:rsidP="00AF4296">
      <w:pPr>
        <w:pBdr>
          <w:top w:val="nil"/>
          <w:left w:val="nil"/>
          <w:bottom w:val="nil"/>
          <w:right w:val="nil"/>
          <w:between w:val="nil"/>
        </w:pBdr>
        <w:spacing w:line="276" w:lineRule="auto"/>
        <w:jc w:val="center"/>
      </w:pPr>
      <w:r w:rsidRPr="00AF4296">
        <w:t> </w:t>
      </w:r>
    </w:p>
    <w:p w14:paraId="00000016" w14:textId="7BD658C7" w:rsidR="00602F3A" w:rsidRPr="00AF4296" w:rsidRDefault="00D5688B" w:rsidP="00AF4296">
      <w:pPr>
        <w:pBdr>
          <w:top w:val="nil"/>
          <w:left w:val="nil"/>
          <w:bottom w:val="nil"/>
          <w:right w:val="nil"/>
          <w:between w:val="nil"/>
        </w:pBdr>
        <w:spacing w:line="276" w:lineRule="auto"/>
        <w:jc w:val="center"/>
      </w:pPr>
      <w:r w:rsidRPr="00AF4296">
        <w:t xml:space="preserve">Pereira, Risaralda, </w:t>
      </w:r>
      <w:r w:rsidR="0059133A" w:rsidRPr="00AF4296">
        <w:t xml:space="preserve">dos </w:t>
      </w:r>
      <w:r w:rsidRPr="00AF4296">
        <w:t>(</w:t>
      </w:r>
      <w:r w:rsidR="0059133A" w:rsidRPr="00AF4296">
        <w:t>2</w:t>
      </w:r>
      <w:r w:rsidRPr="00AF4296">
        <w:t xml:space="preserve">) de </w:t>
      </w:r>
      <w:r w:rsidR="002871A2" w:rsidRPr="00AF4296">
        <w:t>mayo</w:t>
      </w:r>
      <w:r w:rsidR="0059133A" w:rsidRPr="00AF4296">
        <w:t xml:space="preserve"> </w:t>
      </w:r>
      <w:r w:rsidRPr="00AF4296">
        <w:t>de dos mil veinti</w:t>
      </w:r>
      <w:r w:rsidR="0059133A" w:rsidRPr="00AF4296">
        <w:t xml:space="preserve">dós </w:t>
      </w:r>
      <w:r w:rsidRPr="00AF4296">
        <w:t>(202</w:t>
      </w:r>
      <w:r w:rsidR="0059133A" w:rsidRPr="00AF4296">
        <w:t>2</w:t>
      </w:r>
      <w:r w:rsidRPr="00AF4296">
        <w:t>)  </w:t>
      </w:r>
    </w:p>
    <w:p w14:paraId="00000017" w14:textId="4D4C22C4" w:rsidR="00602F3A" w:rsidRPr="00AF4296" w:rsidRDefault="00D5688B" w:rsidP="00AF4296">
      <w:pPr>
        <w:pBdr>
          <w:top w:val="nil"/>
          <w:left w:val="nil"/>
          <w:bottom w:val="nil"/>
          <w:right w:val="nil"/>
          <w:between w:val="nil"/>
        </w:pBdr>
        <w:spacing w:line="276" w:lineRule="auto"/>
        <w:jc w:val="center"/>
      </w:pPr>
      <w:r w:rsidRPr="00AF4296">
        <w:t xml:space="preserve"> Acta No. </w:t>
      </w:r>
      <w:r w:rsidR="006A6FA7" w:rsidRPr="00AF4296">
        <w:t>62</w:t>
      </w:r>
      <w:r w:rsidRPr="00AF4296">
        <w:t xml:space="preserve"> del </w:t>
      </w:r>
      <w:r w:rsidR="0059133A" w:rsidRPr="00AF4296">
        <w:t>28</w:t>
      </w:r>
      <w:r w:rsidRPr="00AF4296">
        <w:t xml:space="preserve"> de </w:t>
      </w:r>
      <w:r w:rsidR="0059133A" w:rsidRPr="00AF4296">
        <w:t xml:space="preserve">abril </w:t>
      </w:r>
      <w:r w:rsidRPr="00AF4296">
        <w:t>de 202</w:t>
      </w:r>
      <w:r w:rsidR="0059133A" w:rsidRPr="00AF4296">
        <w:t>2</w:t>
      </w:r>
    </w:p>
    <w:p w14:paraId="00000018" w14:textId="77777777" w:rsidR="00602F3A" w:rsidRPr="00AF4296" w:rsidRDefault="00D5688B" w:rsidP="00AF4296">
      <w:pPr>
        <w:pBdr>
          <w:top w:val="nil"/>
          <w:left w:val="nil"/>
          <w:bottom w:val="nil"/>
          <w:right w:val="nil"/>
          <w:between w:val="nil"/>
        </w:pBdr>
        <w:spacing w:line="276" w:lineRule="auto"/>
      </w:pPr>
      <w:r w:rsidRPr="00AF4296">
        <w:t> </w:t>
      </w:r>
    </w:p>
    <w:p w14:paraId="00000019" w14:textId="59AF1170" w:rsidR="00602F3A" w:rsidRPr="00AF4296" w:rsidRDefault="00D5688B" w:rsidP="00AF4296">
      <w:pPr>
        <w:pBdr>
          <w:top w:val="nil"/>
          <w:left w:val="nil"/>
          <w:bottom w:val="nil"/>
          <w:right w:val="nil"/>
          <w:between w:val="nil"/>
        </w:pBdr>
        <w:spacing w:line="276" w:lineRule="auto"/>
        <w:ind w:firstLine="720"/>
      </w:pPr>
      <w:bookmarkStart w:id="1" w:name="_heading=h.gjdgxs" w:colFirst="0" w:colLast="0"/>
      <w:bookmarkEnd w:id="1"/>
      <w:r w:rsidRPr="00AF4296">
        <w:t>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w:t>
      </w:r>
      <w:r w:rsidR="0059133A" w:rsidRPr="00AF4296">
        <w:t xml:space="preserve"> Primera d</w:t>
      </w:r>
      <w:r w:rsidRPr="00AF4296">
        <w:t xml:space="preserve">e Decisión Laboral </w:t>
      </w:r>
      <w:r w:rsidR="0059133A" w:rsidRPr="00AF4296">
        <w:t>d</w:t>
      </w:r>
      <w:r w:rsidRPr="00AF4296">
        <w:t xml:space="preserve">el Tribunal Superior de Pereira, integrada por las Magistradas ANA LUCÍA CAICEDO CALDERÓN como Ponente, OLGA LUCÍA HOYOS SEPÚLVEDA y el Magistrado GERMÁN DARIO GOEZ VINASCO, </w:t>
      </w:r>
      <w:r w:rsidRPr="00AF4296">
        <w:lastRenderedPageBreak/>
        <w:t xml:space="preserve">procede a proferir la siguiente sentencia escrita dentro del proceso </w:t>
      </w:r>
      <w:r w:rsidRPr="00920EA9">
        <w:rPr>
          <w:b/>
        </w:rPr>
        <w:t>ordinario laboral</w:t>
      </w:r>
      <w:r w:rsidRPr="00AF4296">
        <w:t xml:space="preserve"> instaurado por </w:t>
      </w:r>
      <w:r w:rsidRPr="00AF4296">
        <w:rPr>
          <w:b/>
        </w:rPr>
        <w:t>Marta Cecilia Ortiz Mora</w:t>
      </w:r>
      <w:r w:rsidRPr="00AF4296">
        <w:t xml:space="preserve"> en contra de </w:t>
      </w:r>
      <w:r w:rsidRPr="00AF4296">
        <w:rPr>
          <w:b/>
        </w:rPr>
        <w:t>Administradora Colombiana de Pensiones – Colpensiones</w:t>
      </w:r>
      <w:r w:rsidRPr="00AF4296">
        <w:t xml:space="preserve"> y la </w:t>
      </w:r>
      <w:r w:rsidRPr="00AF4296">
        <w:rPr>
          <w:b/>
        </w:rPr>
        <w:t>Administradora de Fondos de Pensiones –</w:t>
      </w:r>
      <w:r w:rsidRPr="00AF4296">
        <w:t xml:space="preserve"> </w:t>
      </w:r>
      <w:r w:rsidRPr="00AF4296">
        <w:rPr>
          <w:b/>
        </w:rPr>
        <w:t>Protección S.A.</w:t>
      </w:r>
      <w:r w:rsidRPr="00AF4296">
        <w:t>.</w:t>
      </w:r>
    </w:p>
    <w:p w14:paraId="0000001A" w14:textId="77777777" w:rsidR="00602F3A" w:rsidRPr="00AF4296" w:rsidRDefault="00D5688B" w:rsidP="00AF4296">
      <w:pPr>
        <w:pBdr>
          <w:top w:val="nil"/>
          <w:left w:val="nil"/>
          <w:bottom w:val="nil"/>
          <w:right w:val="nil"/>
          <w:between w:val="nil"/>
        </w:pBdr>
        <w:spacing w:line="276" w:lineRule="auto"/>
        <w:rPr>
          <w:b/>
        </w:rPr>
      </w:pPr>
      <w:r w:rsidRPr="00AF4296">
        <w:t> </w:t>
      </w:r>
    </w:p>
    <w:p w14:paraId="0000001B" w14:textId="77777777" w:rsidR="00602F3A" w:rsidRPr="00AF4296" w:rsidRDefault="00D5688B" w:rsidP="00AF4296">
      <w:pPr>
        <w:pBdr>
          <w:top w:val="nil"/>
          <w:left w:val="nil"/>
          <w:bottom w:val="nil"/>
          <w:right w:val="nil"/>
          <w:between w:val="nil"/>
        </w:pBdr>
        <w:spacing w:line="276" w:lineRule="auto"/>
        <w:jc w:val="center"/>
        <w:rPr>
          <w:b/>
        </w:rPr>
      </w:pPr>
      <w:r w:rsidRPr="00AF4296">
        <w:rPr>
          <w:b/>
        </w:rPr>
        <w:t>PUNTO A TRATAR</w:t>
      </w:r>
    </w:p>
    <w:p w14:paraId="0000001C" w14:textId="77777777" w:rsidR="00602F3A" w:rsidRPr="00AF4296" w:rsidRDefault="00D5688B" w:rsidP="00AF4296">
      <w:pPr>
        <w:pBdr>
          <w:top w:val="nil"/>
          <w:left w:val="nil"/>
          <w:bottom w:val="nil"/>
          <w:right w:val="nil"/>
          <w:between w:val="nil"/>
        </w:pBdr>
        <w:spacing w:line="276" w:lineRule="auto"/>
        <w:jc w:val="left"/>
      </w:pPr>
      <w:r w:rsidRPr="00AF4296">
        <w:t> </w:t>
      </w:r>
    </w:p>
    <w:p w14:paraId="0000001D" w14:textId="699D740E" w:rsidR="00602F3A" w:rsidRPr="00AF4296" w:rsidRDefault="00D5688B" w:rsidP="00AF4296">
      <w:pPr>
        <w:spacing w:line="276" w:lineRule="auto"/>
        <w:ind w:firstLine="708"/>
      </w:pPr>
      <w:r w:rsidRPr="00AF4296">
        <w:t>Por medio de esta providencia procede la Sala a resolver el recurso de apelación interpuesto por las partes demandadas, en contra de la sentencia proferida el 21 de octubre de 2021 por el Juzgado Segundo Laboral del Circuito de Pereira</w:t>
      </w:r>
      <w:r w:rsidR="0059133A" w:rsidRPr="00AF4296">
        <w:t>.</w:t>
      </w:r>
      <w:r w:rsidRPr="00AF4296">
        <w:t xml:space="preserve"> </w:t>
      </w:r>
      <w:r w:rsidR="0059133A" w:rsidRPr="00AF4296">
        <w:t>A</w:t>
      </w:r>
      <w:r w:rsidRPr="00AF4296">
        <w:t xml:space="preserve">simismo, se revisará la decisión de instancia en </w:t>
      </w:r>
      <w:r w:rsidR="0059133A" w:rsidRPr="00AF4296">
        <w:t xml:space="preserve">su integridad en </w:t>
      </w:r>
      <w:r w:rsidRPr="00AF4296">
        <w:t>virtud del grado jurisdiccional de consulta respecto de Colpensiones. Para ello se tiene en cuenta lo siguiente: </w:t>
      </w:r>
    </w:p>
    <w:p w14:paraId="0000001E" w14:textId="77777777" w:rsidR="00602F3A" w:rsidRPr="00AF4296" w:rsidRDefault="00D5688B" w:rsidP="00AF4296">
      <w:pPr>
        <w:pBdr>
          <w:top w:val="nil"/>
          <w:left w:val="nil"/>
          <w:bottom w:val="nil"/>
          <w:right w:val="nil"/>
          <w:between w:val="nil"/>
        </w:pBdr>
        <w:spacing w:line="276" w:lineRule="auto"/>
        <w:ind w:firstLine="700"/>
      </w:pPr>
      <w:r w:rsidRPr="00AF4296">
        <w:t> </w:t>
      </w:r>
    </w:p>
    <w:p w14:paraId="0000001F" w14:textId="1CA49D8B" w:rsidR="00602F3A" w:rsidRPr="00AF4296" w:rsidRDefault="00D5688B" w:rsidP="00AF4296">
      <w:pPr>
        <w:numPr>
          <w:ilvl w:val="0"/>
          <w:numId w:val="1"/>
        </w:numPr>
        <w:pBdr>
          <w:top w:val="nil"/>
          <w:left w:val="nil"/>
          <w:bottom w:val="nil"/>
          <w:right w:val="nil"/>
          <w:between w:val="nil"/>
        </w:pBdr>
        <w:spacing w:line="276" w:lineRule="auto"/>
        <w:jc w:val="center"/>
        <w:rPr>
          <w:b/>
        </w:rPr>
      </w:pPr>
      <w:r w:rsidRPr="00AF4296">
        <w:rPr>
          <w:b/>
        </w:rPr>
        <w:t xml:space="preserve">La demanda y </w:t>
      </w:r>
      <w:r w:rsidR="00F92ED1" w:rsidRPr="00AF4296">
        <w:rPr>
          <w:b/>
        </w:rPr>
        <w:t xml:space="preserve">la </w:t>
      </w:r>
      <w:r w:rsidRPr="00AF4296">
        <w:rPr>
          <w:b/>
        </w:rPr>
        <w:t>contestación</w:t>
      </w:r>
      <w:r w:rsidR="00F92ED1" w:rsidRPr="00AF4296">
        <w:rPr>
          <w:b/>
        </w:rPr>
        <w:t xml:space="preserve"> de la demanda</w:t>
      </w:r>
    </w:p>
    <w:p w14:paraId="00000020" w14:textId="77777777" w:rsidR="00602F3A" w:rsidRPr="00AF4296" w:rsidRDefault="00602F3A" w:rsidP="00AF4296">
      <w:pPr>
        <w:pBdr>
          <w:top w:val="nil"/>
          <w:left w:val="nil"/>
          <w:bottom w:val="nil"/>
          <w:right w:val="nil"/>
          <w:between w:val="nil"/>
        </w:pBdr>
        <w:spacing w:line="276" w:lineRule="auto"/>
        <w:ind w:left="735"/>
        <w:jc w:val="left"/>
        <w:rPr>
          <w:b/>
        </w:rPr>
      </w:pPr>
    </w:p>
    <w:p w14:paraId="00000021" w14:textId="77777777" w:rsidR="00602F3A" w:rsidRPr="00AF4296" w:rsidRDefault="00D5688B" w:rsidP="00AF4296">
      <w:pPr>
        <w:pBdr>
          <w:top w:val="nil"/>
          <w:left w:val="nil"/>
          <w:bottom w:val="nil"/>
          <w:right w:val="nil"/>
          <w:between w:val="nil"/>
        </w:pBdr>
        <w:spacing w:line="276" w:lineRule="auto"/>
        <w:ind w:firstLine="709"/>
      </w:pPr>
      <w:r w:rsidRPr="00AF4296">
        <w:t> La citada demandante busca que se declare la nulidad de la afiliación que realizó a Protección S.A, a través de la cual se trasladó del régimen de prima media con prestación definida (en adelante RPM) al régimen de ahorro individual con solidaridad (en adelante RAIS).</w:t>
      </w:r>
    </w:p>
    <w:p w14:paraId="00000022" w14:textId="77777777" w:rsidR="00602F3A" w:rsidRPr="00AF4296" w:rsidRDefault="00602F3A" w:rsidP="00AF4296">
      <w:pPr>
        <w:spacing w:line="276" w:lineRule="auto"/>
        <w:ind w:firstLine="708"/>
      </w:pPr>
    </w:p>
    <w:p w14:paraId="00000023" w14:textId="77777777" w:rsidR="00602F3A" w:rsidRPr="00AF4296" w:rsidRDefault="00D5688B" w:rsidP="00AF4296">
      <w:pPr>
        <w:spacing w:line="276" w:lineRule="auto"/>
        <w:ind w:firstLine="708"/>
      </w:pPr>
      <w:r w:rsidRPr="00AF4296">
        <w:t>En consecuencia, procura que se condene a Protección S.A. a liberarla de su base de datos y a trasladar a Colpensiones todos los valores que hubiera recibido con ocasión de su afiliación. Adicionalmente, solicita que se condene a esta última a recibirla nuevamente como afiliada cotizante.</w:t>
      </w:r>
    </w:p>
    <w:p w14:paraId="00000024" w14:textId="77777777" w:rsidR="00602F3A" w:rsidRPr="00AF4296" w:rsidRDefault="00602F3A" w:rsidP="00AF4296">
      <w:pPr>
        <w:spacing w:line="276" w:lineRule="auto"/>
      </w:pPr>
    </w:p>
    <w:p w14:paraId="00000025" w14:textId="61ACB13A" w:rsidR="00602F3A" w:rsidRPr="00AF4296" w:rsidRDefault="00D5688B" w:rsidP="00AF4296">
      <w:pPr>
        <w:spacing w:line="276" w:lineRule="auto"/>
        <w:ind w:firstLine="708"/>
      </w:pPr>
      <w:r w:rsidRPr="00AF4296">
        <w:t>Por último, pide que se condene a Protección S.A. a cancelar las costas procesales y a lo extra y ultra petita debatido y probado en el proceso.</w:t>
      </w:r>
    </w:p>
    <w:p w14:paraId="3917D9DC" w14:textId="77777777" w:rsidR="002C1B23" w:rsidRPr="00AF4296" w:rsidRDefault="002C1B23" w:rsidP="00AF4296">
      <w:pPr>
        <w:spacing w:line="276" w:lineRule="auto"/>
        <w:ind w:firstLine="708"/>
      </w:pPr>
    </w:p>
    <w:p w14:paraId="00000027" w14:textId="17CC6BDE" w:rsidR="00602F3A" w:rsidRPr="00AF4296" w:rsidRDefault="00D5688B" w:rsidP="00AF4296">
      <w:pPr>
        <w:spacing w:line="276" w:lineRule="auto"/>
        <w:ind w:firstLine="708"/>
      </w:pPr>
      <w:bookmarkStart w:id="2" w:name="_heading=h.30j0zll" w:colFirst="0" w:colLast="0"/>
      <w:bookmarkEnd w:id="2"/>
      <w:r w:rsidRPr="00AF4296">
        <w:t xml:space="preserve">En sustento de lo pretendido, relata que nació el 10 de febrero de 1954, afiliándose en junio de 1990 al RPM, y que posteriormente, en enero del 2000, </w:t>
      </w:r>
      <w:r w:rsidR="002C1B23" w:rsidRPr="00AF4296">
        <w:t xml:space="preserve">empezó a hacer aportes en el RAIS, representado por </w:t>
      </w:r>
      <w:r w:rsidRPr="00AF4296">
        <w:t>la AFP Protección, cuyo asesor le aseguró</w:t>
      </w:r>
      <w:r w:rsidR="0059133A" w:rsidRPr="00AF4296">
        <w:t>, entre otras cosas,</w:t>
      </w:r>
      <w:r w:rsidRPr="00AF4296">
        <w:t xml:space="preserve"> que su mesada pensional sería mucho más alta que la que percibiría en el RPM</w:t>
      </w:r>
      <w:r w:rsidR="0059133A" w:rsidRPr="00AF4296">
        <w:t xml:space="preserve"> y</w:t>
      </w:r>
      <w:r w:rsidRPr="00AF4296">
        <w:t xml:space="preserve"> que podría optar por reclamar la devolución de saldos, incluido el bono pensional.</w:t>
      </w:r>
    </w:p>
    <w:p w14:paraId="00000028" w14:textId="77777777" w:rsidR="00602F3A" w:rsidRPr="00AF4296" w:rsidRDefault="00602F3A" w:rsidP="00AF4296">
      <w:pPr>
        <w:spacing w:line="276" w:lineRule="auto"/>
        <w:ind w:firstLine="708"/>
      </w:pPr>
    </w:p>
    <w:p w14:paraId="00000029" w14:textId="6D89383D" w:rsidR="00602F3A" w:rsidRPr="00AF4296" w:rsidRDefault="00D5688B" w:rsidP="00AF4296">
      <w:pPr>
        <w:spacing w:line="276" w:lineRule="auto"/>
        <w:ind w:firstLine="709"/>
      </w:pPr>
      <w:r w:rsidRPr="00AF4296">
        <w:t>Asegura que para el 1</w:t>
      </w:r>
      <w:r w:rsidR="0059133A" w:rsidRPr="00AF4296">
        <w:t xml:space="preserve">º </w:t>
      </w:r>
      <w:r w:rsidRPr="00AF4296">
        <w:t xml:space="preserve">de abril de 1994 tenía más de 35 años de edad, lo que la hace beneficiaria del </w:t>
      </w:r>
      <w:r w:rsidR="002C1B23" w:rsidRPr="00AF4296">
        <w:t>r</w:t>
      </w:r>
      <w:r w:rsidRPr="00AF4296">
        <w:t>égimen de transición; asimismo, refiere que no se le informó que al trasladarse de régimen pensional perdería la posibilidad de pensionarse con l</w:t>
      </w:r>
      <w:r w:rsidR="0059133A" w:rsidRPr="00AF4296">
        <w:t>as prerrogativas transicionales.</w:t>
      </w:r>
      <w:r w:rsidRPr="00AF4296">
        <w:t xml:space="preserve"> </w:t>
      </w:r>
    </w:p>
    <w:p w14:paraId="0000002A" w14:textId="77777777" w:rsidR="00602F3A" w:rsidRPr="00AF4296" w:rsidRDefault="00602F3A" w:rsidP="00AF4296">
      <w:pPr>
        <w:spacing w:line="276" w:lineRule="auto"/>
        <w:ind w:firstLine="709"/>
      </w:pPr>
    </w:p>
    <w:p w14:paraId="0000002B" w14:textId="0CED57D9" w:rsidR="00602F3A" w:rsidRPr="00AF4296" w:rsidRDefault="00D5688B" w:rsidP="00AF4296">
      <w:pPr>
        <w:spacing w:line="276" w:lineRule="auto"/>
        <w:ind w:firstLine="709"/>
      </w:pPr>
      <w:r w:rsidRPr="00AF4296">
        <w:t>Por otra parte, señala que la AFP Protección le comunicó que no poseía documento que soportara la asesoría que se le brindó, en razón a que el proceso de afiliación se realizó de manera verbal y personal.</w:t>
      </w:r>
    </w:p>
    <w:p w14:paraId="0000002C" w14:textId="77777777" w:rsidR="00602F3A" w:rsidRPr="00AF4296" w:rsidRDefault="00602F3A" w:rsidP="00AF4296">
      <w:pPr>
        <w:spacing w:line="276" w:lineRule="auto"/>
        <w:ind w:firstLine="709"/>
      </w:pPr>
    </w:p>
    <w:p w14:paraId="0000002D" w14:textId="7BF3F224" w:rsidR="00602F3A" w:rsidRPr="00AF4296" w:rsidRDefault="00D5688B" w:rsidP="00AF4296">
      <w:pPr>
        <w:tabs>
          <w:tab w:val="left" w:pos="284"/>
        </w:tabs>
        <w:spacing w:line="276" w:lineRule="auto"/>
        <w:ind w:firstLine="709"/>
      </w:pPr>
      <w:r w:rsidRPr="00AF4296">
        <w:lastRenderedPageBreak/>
        <w:t>Finalmente, indica que el 16 de abril de 201</w:t>
      </w:r>
      <w:r w:rsidR="0059133A" w:rsidRPr="00AF4296">
        <w:t>9</w:t>
      </w:r>
      <w:r w:rsidRPr="00AF4296">
        <w:t xml:space="preserve"> Colpensiones negó su solicitud de traslado bajo el argumento de que se encontraba a 10 años o menos del requisito de tiempo para pensionarse.</w:t>
      </w:r>
    </w:p>
    <w:p w14:paraId="0000002E" w14:textId="77777777" w:rsidR="00602F3A" w:rsidRPr="00AF4296" w:rsidRDefault="00602F3A" w:rsidP="00AF4296">
      <w:pPr>
        <w:spacing w:line="276" w:lineRule="auto"/>
        <w:ind w:firstLine="709"/>
      </w:pPr>
    </w:p>
    <w:p w14:paraId="0000002F" w14:textId="0D0C2A77" w:rsidR="00602F3A" w:rsidRPr="00AF4296" w:rsidRDefault="00D5688B" w:rsidP="00AF4296">
      <w:pPr>
        <w:spacing w:line="276" w:lineRule="auto"/>
        <w:ind w:firstLine="709"/>
        <w:rPr>
          <w:i/>
        </w:rPr>
      </w:pPr>
      <w:r w:rsidRPr="00AF4296">
        <w:rPr>
          <w:b/>
        </w:rPr>
        <w:t xml:space="preserve">Colpensiones </w:t>
      </w:r>
      <w:r w:rsidRPr="00AF4296">
        <w:t>se opuso a lo pretendido por la parte demandante indicando que no se evidencia que existiera por parte de Protección S.A. engaño alguno o acto que evidencie motivo para que se declare la nulidad del traslado</w:t>
      </w:r>
      <w:r w:rsidR="0059133A" w:rsidRPr="00AF4296">
        <w:t xml:space="preserve">, por lo que el traslado de </w:t>
      </w:r>
      <w:r w:rsidRPr="00AF4296">
        <w:t xml:space="preserve">la demandante al RAIS </w:t>
      </w:r>
      <w:r w:rsidR="0059133A" w:rsidRPr="00AF4296">
        <w:t xml:space="preserve">se llevó a cabo </w:t>
      </w:r>
      <w:r w:rsidRPr="00AF4296">
        <w:t xml:space="preserve">de manera libre y voluntaria. </w:t>
      </w:r>
      <w:r w:rsidR="0059133A" w:rsidRPr="00AF4296">
        <w:t>En ese sentido, c</w:t>
      </w:r>
      <w:r w:rsidRPr="00AF4296">
        <w:t>omo excepciones de mérito formul</w:t>
      </w:r>
      <w:r w:rsidR="0059133A" w:rsidRPr="00AF4296">
        <w:t xml:space="preserve">ó </w:t>
      </w:r>
      <w:r w:rsidRPr="00AF4296">
        <w:t xml:space="preserve">las de </w:t>
      </w:r>
      <w:r w:rsidRPr="00AF4296">
        <w:rPr>
          <w:i/>
        </w:rPr>
        <w:t>“Validez de la afiliación al RAIS”, “Saneamiento de una presunta nulidad”; “Solicitud de traslado de dineros de gastos de administración”; “Prescripción”, “Imposibilidad jurídica para reconocer y pagar derechos por fuera del ordenamiento legal”; “Buena fe” e “Imposibilidad de condena en costas”.</w:t>
      </w:r>
    </w:p>
    <w:p w14:paraId="00000030" w14:textId="77777777" w:rsidR="00602F3A" w:rsidRPr="00AF4296" w:rsidRDefault="00602F3A" w:rsidP="00AF4296">
      <w:pPr>
        <w:spacing w:line="276" w:lineRule="auto"/>
        <w:ind w:firstLine="709"/>
        <w:rPr>
          <w:i/>
        </w:rPr>
      </w:pPr>
    </w:p>
    <w:p w14:paraId="00000031" w14:textId="36D7C241" w:rsidR="00602F3A" w:rsidRPr="00AF4296" w:rsidRDefault="00174263" w:rsidP="00AF4296">
      <w:pPr>
        <w:spacing w:line="276" w:lineRule="auto"/>
        <w:ind w:firstLine="709"/>
        <w:rPr>
          <w:i/>
        </w:rPr>
      </w:pPr>
      <w:r w:rsidRPr="00AF4296">
        <w:t xml:space="preserve">Por su parte, </w:t>
      </w:r>
      <w:r w:rsidR="00D5688B" w:rsidRPr="00AF4296">
        <w:rPr>
          <w:b/>
        </w:rPr>
        <w:t>Protección S.A.</w:t>
      </w:r>
      <w:r w:rsidR="00D5688B" w:rsidRPr="00AF4296">
        <w:t xml:space="preserve"> se opuso a lo pretendido por la parte demandante, señalando que la decisión de trasladarse de régimen había sido un acto nacido de</w:t>
      </w:r>
      <w:r w:rsidRPr="00AF4296">
        <w:t xml:space="preserve"> su </w:t>
      </w:r>
      <w:r w:rsidR="00D5688B" w:rsidRPr="00AF4296">
        <w:t xml:space="preserve">propia voluntad. </w:t>
      </w:r>
      <w:r w:rsidRPr="00AF4296">
        <w:t xml:space="preserve">Añade que la demandante </w:t>
      </w:r>
      <w:r w:rsidR="00D5688B" w:rsidRPr="00AF4296">
        <w:t>renunci</w:t>
      </w:r>
      <w:r w:rsidRPr="00AF4296">
        <w:t>ó</w:t>
      </w:r>
      <w:r w:rsidR="00D5688B" w:rsidRPr="00AF4296">
        <w:t xml:space="preserve"> voluntariamente a </w:t>
      </w:r>
      <w:r w:rsidRPr="00AF4296">
        <w:t>los beneficios del régimen de transición</w:t>
      </w:r>
      <w:r w:rsidR="00D5688B" w:rsidRPr="00AF4296">
        <w:t xml:space="preserve">, por lo que no pudo ser sujeto susceptible de engaño por no habérsele hecho caer en error sobre el objeto de la contratación. Como excepciones de mérito </w:t>
      </w:r>
      <w:r w:rsidRPr="00AF4296">
        <w:t xml:space="preserve">propuso las que denominó </w:t>
      </w:r>
      <w:r w:rsidR="00D5688B" w:rsidRPr="00AF4296">
        <w:rPr>
          <w:i/>
        </w:rPr>
        <w:t>“Prescripción”,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“seguro previsional”  y “cuotas de administración”</w:t>
      </w:r>
    </w:p>
    <w:p w14:paraId="00000032" w14:textId="723CA43A" w:rsidR="00602F3A" w:rsidRPr="00AF4296" w:rsidRDefault="00602F3A" w:rsidP="00AF4296">
      <w:pPr>
        <w:spacing w:line="276" w:lineRule="auto"/>
      </w:pPr>
    </w:p>
    <w:p w14:paraId="1B7530E5" w14:textId="77777777" w:rsidR="00F92ED1" w:rsidRPr="00AF4296" w:rsidRDefault="00F92ED1" w:rsidP="00AF4296">
      <w:pPr>
        <w:spacing w:line="276" w:lineRule="auto"/>
      </w:pPr>
    </w:p>
    <w:p w14:paraId="00000033" w14:textId="77777777" w:rsidR="00602F3A" w:rsidRPr="00AF4296" w:rsidRDefault="00D5688B" w:rsidP="00AF4296">
      <w:pPr>
        <w:numPr>
          <w:ilvl w:val="0"/>
          <w:numId w:val="2"/>
        </w:numPr>
        <w:pBdr>
          <w:top w:val="nil"/>
          <w:left w:val="nil"/>
          <w:bottom w:val="nil"/>
          <w:right w:val="nil"/>
          <w:between w:val="nil"/>
        </w:pBdr>
        <w:spacing w:line="276" w:lineRule="auto"/>
        <w:jc w:val="center"/>
        <w:rPr>
          <w:b/>
        </w:rPr>
      </w:pPr>
      <w:r w:rsidRPr="00AF4296">
        <w:rPr>
          <w:b/>
        </w:rPr>
        <w:t>Sentencia de primera instancia</w:t>
      </w:r>
    </w:p>
    <w:p w14:paraId="00000034" w14:textId="77777777" w:rsidR="00602F3A" w:rsidRPr="00AF4296" w:rsidRDefault="00602F3A" w:rsidP="00AF4296">
      <w:pPr>
        <w:spacing w:line="276" w:lineRule="auto"/>
      </w:pPr>
    </w:p>
    <w:p w14:paraId="00000037" w14:textId="7BEF2690" w:rsidR="00602F3A" w:rsidRPr="00AF4296" w:rsidRDefault="00D5688B" w:rsidP="00AF4296">
      <w:pPr>
        <w:spacing w:line="276" w:lineRule="auto"/>
        <w:ind w:firstLine="709"/>
        <w:rPr>
          <w:shd w:val="clear" w:color="auto" w:fill="FAF9F8"/>
        </w:rPr>
      </w:pPr>
      <w:r w:rsidRPr="00AF4296">
        <w:t xml:space="preserve">La Jueza de instancia declaró la ineficacia de la afiliación de la señora </w:t>
      </w:r>
      <w:r w:rsidR="00174263" w:rsidRPr="00AF4296">
        <w:t xml:space="preserve">Marta Cecilia </w:t>
      </w:r>
      <w:proofErr w:type="spellStart"/>
      <w:r w:rsidR="00174263" w:rsidRPr="00AF4296">
        <w:t>Ortíz</w:t>
      </w:r>
      <w:proofErr w:type="spellEnd"/>
      <w:r w:rsidR="00174263" w:rsidRPr="00AF4296">
        <w:t xml:space="preserve"> Mora</w:t>
      </w:r>
      <w:r w:rsidRPr="00AF4296">
        <w:t xml:space="preserve">, a la AFP ING hoy </w:t>
      </w:r>
      <w:r w:rsidR="00174263" w:rsidRPr="00AF4296">
        <w:t xml:space="preserve">Protección </w:t>
      </w:r>
      <w:r w:rsidRPr="00AF4296">
        <w:t>S.A., suscrita el 26 de noviembre de 1999.</w:t>
      </w:r>
      <w:r w:rsidR="00174263" w:rsidRPr="00AF4296">
        <w:t xml:space="preserve"> En consecuencia, determinó que, </w:t>
      </w:r>
      <w:r w:rsidRPr="00AF4296">
        <w:t>para todos los efectos legales</w:t>
      </w:r>
      <w:r w:rsidR="00174263" w:rsidRPr="00AF4296">
        <w:t>,</w:t>
      </w:r>
      <w:r w:rsidRPr="00AF4296">
        <w:t xml:space="preserve"> la </w:t>
      </w:r>
      <w:r w:rsidR="00174263" w:rsidRPr="00AF4296">
        <w:t xml:space="preserve">demandante </w:t>
      </w:r>
      <w:r w:rsidRPr="00AF4296">
        <w:t xml:space="preserve">nunca se trasladó al </w:t>
      </w:r>
      <w:r w:rsidR="00174263" w:rsidRPr="00AF4296">
        <w:t>Régimen de Ahorro Individual con Solidaridad</w:t>
      </w:r>
      <w:r w:rsidRPr="00AF4296">
        <w:t xml:space="preserve"> y, por tanto, siempre permaneció en el </w:t>
      </w:r>
      <w:r w:rsidR="00174263" w:rsidRPr="00AF4296">
        <w:t>Régimen de Prima Media con Prestación Definida</w:t>
      </w:r>
      <w:r w:rsidRPr="00AF4296">
        <w:t>, administrado en la fecha de traslado de régimen por el extinto ISS,</w:t>
      </w:r>
      <w:r w:rsidR="00174263" w:rsidRPr="00AF4296">
        <w:t xml:space="preserve"> </w:t>
      </w:r>
      <w:r w:rsidRPr="00AF4296">
        <w:t xml:space="preserve">y en la actualidad por </w:t>
      </w:r>
      <w:r w:rsidR="00174263" w:rsidRPr="00AF4296">
        <w:t>Colpensiones</w:t>
      </w:r>
      <w:r w:rsidRPr="00AF4296">
        <w:t>.</w:t>
      </w:r>
    </w:p>
    <w:p w14:paraId="00000038" w14:textId="77777777" w:rsidR="00602F3A" w:rsidRPr="00AF4296" w:rsidRDefault="00602F3A" w:rsidP="00AF4296">
      <w:pPr>
        <w:spacing w:line="276" w:lineRule="auto"/>
        <w:ind w:firstLine="709"/>
        <w:rPr>
          <w:shd w:val="clear" w:color="auto" w:fill="FAF9F8"/>
        </w:rPr>
      </w:pPr>
    </w:p>
    <w:p w14:paraId="00000039" w14:textId="5C6DEDDD" w:rsidR="00602F3A" w:rsidRPr="00AF4296" w:rsidRDefault="00D5688B" w:rsidP="00AF4296">
      <w:pPr>
        <w:spacing w:line="276" w:lineRule="auto"/>
        <w:ind w:firstLine="709"/>
        <w:rPr>
          <w:shd w:val="clear" w:color="auto" w:fill="FAF9F8"/>
        </w:rPr>
      </w:pPr>
      <w:r w:rsidRPr="00AF4296">
        <w:t xml:space="preserve">En este sentido, condenó </w:t>
      </w:r>
      <w:r w:rsidR="00174263" w:rsidRPr="00AF4296">
        <w:t xml:space="preserve">a Protección </w:t>
      </w:r>
      <w:r w:rsidRPr="00AF4296">
        <w:t xml:space="preserve">S.A. a que efectúe el traslado a </w:t>
      </w:r>
      <w:r w:rsidR="00174263" w:rsidRPr="00AF4296">
        <w:t xml:space="preserve">Colpensiones </w:t>
      </w:r>
      <w:r w:rsidRPr="00AF4296">
        <w:t>de la totalidad de las sumas recibidas con ocasión de la aludida afiliación, por concepto de cotizaciones recaudadas durante la vigencia del</w:t>
      </w:r>
      <w:r w:rsidR="00174263" w:rsidRPr="00AF4296">
        <w:t xml:space="preserve"> vínculo</w:t>
      </w:r>
      <w:r w:rsidRPr="00AF4296">
        <w:t>, junto con sus respectivos rendimientos financieros. Así mismo</w:t>
      </w:r>
      <w:r w:rsidR="00174263" w:rsidRPr="00AF4296">
        <w:t xml:space="preserve">, </w:t>
      </w:r>
      <w:r w:rsidRPr="00AF4296">
        <w:t>con cargo a sus propios recursos, el valor de las comisiones y cuotas de administración que cobró, así como las cuotas de garantía de pensión mínima y seguros previsionales, durante el período que la actora estuvo afiliada a ese fondo, debidamente indexadas.</w:t>
      </w:r>
      <w:r w:rsidRPr="00AF4296">
        <w:rPr>
          <w:shd w:val="clear" w:color="auto" w:fill="FAF9F8"/>
        </w:rPr>
        <w:t xml:space="preserve"> </w:t>
      </w:r>
    </w:p>
    <w:p w14:paraId="0000003A" w14:textId="77777777" w:rsidR="00602F3A" w:rsidRPr="00AF4296" w:rsidRDefault="00602F3A" w:rsidP="00AF4296">
      <w:pPr>
        <w:spacing w:line="276" w:lineRule="auto"/>
        <w:ind w:firstLine="709"/>
        <w:rPr>
          <w:shd w:val="clear" w:color="auto" w:fill="FAF9F8"/>
        </w:rPr>
      </w:pPr>
    </w:p>
    <w:p w14:paraId="0000003C" w14:textId="6A97667F" w:rsidR="00602F3A" w:rsidRPr="00AF4296" w:rsidRDefault="00D5688B" w:rsidP="00AF4296">
      <w:pPr>
        <w:spacing w:line="276" w:lineRule="auto"/>
        <w:ind w:firstLine="709"/>
        <w:rPr>
          <w:rFonts w:eastAsia="Arial"/>
          <w:shd w:val="clear" w:color="auto" w:fill="FAF9F8"/>
        </w:rPr>
      </w:pPr>
      <w:r w:rsidRPr="00AF4296">
        <w:t xml:space="preserve">Por otra parte, ordenó tener como </w:t>
      </w:r>
      <w:r w:rsidR="00174263" w:rsidRPr="00AF4296">
        <w:t>vinculada a la demandante</w:t>
      </w:r>
      <w:r w:rsidRPr="00AF4296">
        <w:t xml:space="preserve"> sin solución de continuidad</w:t>
      </w:r>
      <w:r w:rsidR="00174263" w:rsidRPr="00AF4296">
        <w:t xml:space="preserve"> y, por último, </w:t>
      </w:r>
      <w:r w:rsidRPr="00AF4296">
        <w:t>ordenó comuni</w:t>
      </w:r>
      <w:r w:rsidR="00174263" w:rsidRPr="00AF4296">
        <w:t>car</w:t>
      </w:r>
      <w:r w:rsidRPr="00AF4296">
        <w:t xml:space="preserve"> el contenido de </w:t>
      </w:r>
      <w:r w:rsidR="00174263" w:rsidRPr="00AF4296">
        <w:t>l</w:t>
      </w:r>
      <w:r w:rsidRPr="00AF4296">
        <w:t>a sentencia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r w:rsidRPr="00AF4296">
        <w:rPr>
          <w:rFonts w:eastAsia="Arial"/>
        </w:rPr>
        <w:t xml:space="preserve"> </w:t>
      </w:r>
    </w:p>
    <w:p w14:paraId="0000003D" w14:textId="77777777" w:rsidR="00602F3A" w:rsidRPr="00AF4296" w:rsidRDefault="00602F3A" w:rsidP="00AF4296">
      <w:pPr>
        <w:spacing w:line="276" w:lineRule="auto"/>
        <w:ind w:firstLine="709"/>
        <w:rPr>
          <w:rFonts w:eastAsia="Arial"/>
          <w:shd w:val="clear" w:color="auto" w:fill="FAF9F8"/>
        </w:rPr>
      </w:pPr>
    </w:p>
    <w:p w14:paraId="0000003E" w14:textId="5EA78102" w:rsidR="00602F3A" w:rsidRPr="00AF4296" w:rsidRDefault="00D5688B" w:rsidP="00AF4296">
      <w:pPr>
        <w:spacing w:line="276" w:lineRule="auto"/>
        <w:ind w:firstLine="709"/>
        <w:rPr>
          <w:shd w:val="clear" w:color="auto" w:fill="FAF9F8"/>
        </w:rPr>
      </w:pPr>
      <w:r w:rsidRPr="00AF4296">
        <w:t xml:space="preserve">Por último, condenó en costas procesales en un 100% a favor de la demandante a </w:t>
      </w:r>
      <w:r w:rsidR="002C1B23" w:rsidRPr="00AF4296">
        <w:t>Protección</w:t>
      </w:r>
      <w:r w:rsidR="00174263" w:rsidRPr="00AF4296">
        <w:t xml:space="preserve"> </w:t>
      </w:r>
      <w:r w:rsidRPr="00AF4296">
        <w:t>S.A</w:t>
      </w:r>
      <w:r w:rsidR="002C1B23" w:rsidRPr="00AF4296">
        <w:t>.</w:t>
      </w:r>
    </w:p>
    <w:p w14:paraId="0000003F" w14:textId="77777777" w:rsidR="00602F3A" w:rsidRPr="00AF4296" w:rsidRDefault="00602F3A" w:rsidP="00AF4296">
      <w:pPr>
        <w:spacing w:line="276" w:lineRule="auto"/>
        <w:ind w:firstLine="709"/>
        <w:rPr>
          <w:shd w:val="clear" w:color="auto" w:fill="FAF9F8"/>
        </w:rPr>
      </w:pPr>
    </w:p>
    <w:p w14:paraId="7170B13C" w14:textId="4D43F54C" w:rsidR="00174263" w:rsidRDefault="00174263" w:rsidP="00AF4296">
      <w:pPr>
        <w:spacing w:line="276" w:lineRule="auto"/>
        <w:ind w:firstLine="708"/>
        <w:rPr>
          <w:rFonts w:eastAsia="Calibri"/>
          <w:lang w:val="es-ES" w:eastAsia="en-US"/>
        </w:rPr>
      </w:pPr>
      <w:r w:rsidRPr="00AF4296">
        <w:rPr>
          <w:rFonts w:eastAsia="Calibri"/>
          <w:lang w:val="es-ES" w:eastAsia="en-US"/>
        </w:rPr>
        <w:t xml:space="preserve">Para llegar a tal determinación la A-quo hizo un recuento legal y jurisprudencial respecto del deber de información a cargo de </w:t>
      </w:r>
      <w:bookmarkStart w:id="3" w:name="_Hlk75437293"/>
      <w:r w:rsidRPr="00AF4296">
        <w:rPr>
          <w:rFonts w:eastAsia="Calibri"/>
          <w:lang w:val="es-ES" w:eastAsia="en-US"/>
        </w:rPr>
        <w:t xml:space="preserve">las AFP, la cual debía ser clara, cierta, comprensible y oportuna sobre las características, condiciones, beneficios, diferencias, riesgos y consecuencias del cambio de régimen pensional.  </w:t>
      </w:r>
      <w:bookmarkEnd w:id="3"/>
      <w:r w:rsidRPr="00AF4296">
        <w:rPr>
          <w:rFonts w:eastAsia="Calibri"/>
          <w:lang w:val="es-ES" w:eastAsia="en-US"/>
        </w:rPr>
        <w:t xml:space="preserve">Resaltó que, en estos casos opera una inversión de la carga de la prueba a favor del afiliado. De igual forma, resaltó que la expresión libre y voluntaria necesariamente presupone conocimiento, lo cual sólo es posible alcanzar cuando se saben a plenitud las consecuencias de una decisión de esta índole, sin que del formulario suscrito por la demandante pudiera desprenderse su consentimiento informado. </w:t>
      </w:r>
    </w:p>
    <w:p w14:paraId="4326324F" w14:textId="77777777" w:rsidR="00B034C2" w:rsidRPr="00AF4296" w:rsidRDefault="00B034C2" w:rsidP="00AF4296">
      <w:pPr>
        <w:spacing w:line="276" w:lineRule="auto"/>
        <w:ind w:firstLine="708"/>
        <w:rPr>
          <w:rFonts w:eastAsia="Calibri"/>
          <w:lang w:val="es-ES" w:eastAsia="en-US"/>
        </w:rPr>
      </w:pPr>
    </w:p>
    <w:p w14:paraId="07B83E68" w14:textId="0B6B73B8" w:rsidR="00174263" w:rsidRPr="00AF4296" w:rsidRDefault="00174263" w:rsidP="00AF4296">
      <w:pPr>
        <w:spacing w:line="276" w:lineRule="auto"/>
        <w:ind w:firstLine="708"/>
        <w:rPr>
          <w:rFonts w:eastAsia="Calibri"/>
          <w:lang w:val="es-ES" w:eastAsia="en-US"/>
        </w:rPr>
      </w:pPr>
      <w:r w:rsidRPr="00AF4296">
        <w:rPr>
          <w:rFonts w:eastAsia="Calibri"/>
          <w:lang w:val="es-ES" w:eastAsia="en-US"/>
        </w:rPr>
        <w:t xml:space="preserve">En cuanto al interrogatorio rendido por la actora, concluyó que de él no se desprende que hubiera recibido por parte de </w:t>
      </w:r>
      <w:r w:rsidR="00A40461" w:rsidRPr="00AF4296">
        <w:rPr>
          <w:rFonts w:eastAsia="Calibri"/>
          <w:lang w:val="es-ES" w:eastAsia="en-US"/>
        </w:rPr>
        <w:t>ING</w:t>
      </w:r>
      <w:r w:rsidRPr="00AF4296">
        <w:rPr>
          <w:rFonts w:eastAsia="Calibri"/>
          <w:lang w:val="es-ES" w:eastAsia="en-US"/>
        </w:rPr>
        <w:t>, hoy Protección S.A., la asesoría y el acompañamiento que como administradora pensional debió brindarle.</w:t>
      </w:r>
    </w:p>
    <w:p w14:paraId="423EC119" w14:textId="77777777" w:rsidR="00174263" w:rsidRPr="00AF4296" w:rsidRDefault="00174263" w:rsidP="00AF4296">
      <w:pPr>
        <w:spacing w:line="276" w:lineRule="auto"/>
        <w:ind w:firstLine="708"/>
        <w:rPr>
          <w:rFonts w:eastAsia="Calibri"/>
          <w:lang w:val="es-ES" w:eastAsia="en-US"/>
        </w:rPr>
      </w:pPr>
    </w:p>
    <w:p w14:paraId="7C82A116" w14:textId="45C12FB4" w:rsidR="00174263" w:rsidRPr="00AF4296" w:rsidRDefault="00174263" w:rsidP="00AF4296">
      <w:pPr>
        <w:spacing w:line="276" w:lineRule="auto"/>
        <w:ind w:firstLine="708"/>
        <w:rPr>
          <w:rFonts w:eastAsia="Calibri"/>
          <w:lang w:eastAsia="en-US"/>
        </w:rPr>
      </w:pPr>
      <w:r w:rsidRPr="00AF4296">
        <w:rPr>
          <w:rFonts w:eastAsia="Calibri"/>
          <w:lang w:eastAsia="en-US"/>
        </w:rPr>
        <w:t>Por lo dicho, concluyó que Protección S.A</w:t>
      </w:r>
      <w:r w:rsidR="00A40461" w:rsidRPr="00AF4296">
        <w:rPr>
          <w:rFonts w:eastAsia="Calibri"/>
          <w:lang w:eastAsia="en-US"/>
        </w:rPr>
        <w:t>.</w:t>
      </w:r>
      <w:r w:rsidRPr="00AF4296">
        <w:rPr>
          <w:rFonts w:eastAsia="Calibri"/>
          <w:lang w:eastAsia="en-US"/>
        </w:rPr>
        <w:t xml:space="preserve"> faltó al deber legal de proporcionar información clara, cierta, comprensible y oportuna de las características, condiciones, beneficios y diferencias de ambos regímenes, además de los riesgos y consecuencias del cambio de régimen pensional que garantizara a las partes la existencia de una decisión informada, autónoma y consciente por parte de la señora </w:t>
      </w:r>
      <w:r w:rsidR="00A40461" w:rsidRPr="00AF4296">
        <w:rPr>
          <w:rFonts w:eastAsia="Calibri"/>
          <w:lang w:eastAsia="en-US"/>
        </w:rPr>
        <w:t>Marta Cecilia Ortiz Mora</w:t>
      </w:r>
      <w:r w:rsidRPr="00AF4296">
        <w:rPr>
          <w:rFonts w:eastAsia="Calibri"/>
          <w:lang w:eastAsia="en-US"/>
        </w:rPr>
        <w:t>; esto es, no por lo que se le informó, sino especialmente por lo que se le dejó de informar.</w:t>
      </w:r>
    </w:p>
    <w:p w14:paraId="00000055" w14:textId="77777777" w:rsidR="00602F3A" w:rsidRPr="00AF4296" w:rsidRDefault="00602F3A" w:rsidP="00AF4296">
      <w:pPr>
        <w:spacing w:line="276" w:lineRule="auto"/>
        <w:ind w:firstLine="709"/>
      </w:pPr>
    </w:p>
    <w:p w14:paraId="00000056" w14:textId="77777777" w:rsidR="00602F3A" w:rsidRPr="00AF4296" w:rsidRDefault="00D5688B" w:rsidP="00AF4296">
      <w:pPr>
        <w:numPr>
          <w:ilvl w:val="0"/>
          <w:numId w:val="2"/>
        </w:numPr>
        <w:pBdr>
          <w:top w:val="nil"/>
          <w:left w:val="nil"/>
          <w:bottom w:val="nil"/>
          <w:right w:val="nil"/>
          <w:between w:val="nil"/>
        </w:pBdr>
        <w:spacing w:line="276" w:lineRule="auto"/>
        <w:jc w:val="center"/>
        <w:rPr>
          <w:b/>
        </w:rPr>
      </w:pPr>
      <w:r w:rsidRPr="00AF4296">
        <w:rPr>
          <w:b/>
        </w:rPr>
        <w:t>Recursos de apelación y procedencia de la consulta</w:t>
      </w:r>
    </w:p>
    <w:p w14:paraId="00000057" w14:textId="77777777" w:rsidR="00602F3A" w:rsidRPr="00AF4296" w:rsidRDefault="00602F3A" w:rsidP="00AF4296">
      <w:pPr>
        <w:pBdr>
          <w:top w:val="nil"/>
          <w:left w:val="nil"/>
          <w:bottom w:val="nil"/>
          <w:right w:val="nil"/>
          <w:between w:val="nil"/>
        </w:pBdr>
        <w:spacing w:line="276" w:lineRule="auto"/>
        <w:ind w:left="720"/>
        <w:rPr>
          <w:b/>
        </w:rPr>
      </w:pPr>
    </w:p>
    <w:p w14:paraId="3543CDDC" w14:textId="77777777" w:rsidR="00A40461" w:rsidRPr="00AF4296" w:rsidRDefault="00A40461" w:rsidP="00AF4296">
      <w:pPr>
        <w:spacing w:line="276" w:lineRule="auto"/>
        <w:ind w:firstLine="708"/>
        <w:rPr>
          <w:lang w:val="es-419"/>
        </w:rPr>
      </w:pPr>
      <w:r w:rsidRPr="00AF4296">
        <w:rPr>
          <w:b/>
          <w:bCs/>
        </w:rPr>
        <w:t>Protección S.A.</w:t>
      </w:r>
      <w:r w:rsidRPr="00AF4296">
        <w:t xml:space="preserve"> atacó la decisión frente a</w:t>
      </w:r>
      <w:r w:rsidRPr="00AF4296">
        <w:rPr>
          <w:bCs/>
          <w:iCs/>
        </w:rPr>
        <w:t xml:space="preserve"> la aplicación de la línea jurisprudencial de la Corte Suprema de Justicia,</w:t>
      </w:r>
      <w:r w:rsidRPr="00AF4296">
        <w:rPr>
          <w:i/>
          <w:iCs/>
        </w:rPr>
        <w:t xml:space="preserve"> </w:t>
      </w:r>
      <w:r w:rsidRPr="00AF4296">
        <w:t xml:space="preserve">de la cual se quejó que fuera adoptada porque a su juicio, </w:t>
      </w:r>
      <w:r w:rsidRPr="00AF4296">
        <w:rPr>
          <w:lang w:val="es-419"/>
        </w:rPr>
        <w:t xml:space="preserve">la Corte obviaba la funcionalidad de las restituciones mutuas, era violatoria del principio de congruencia y del debido proceso al ordenar a los jueces la devolución de los gastos de administración que no hacían parte de las pretensiones de la demanda, además que imponía el desconocimiento de la doctrina de los actos propios, el concepto de caducidad y prescripción como si fuera una prestación asistencial y en general, consideraba que el precedente era violatoria de la Ley. </w:t>
      </w:r>
    </w:p>
    <w:p w14:paraId="053D3D39" w14:textId="77777777" w:rsidR="00A40461" w:rsidRPr="00AF4296" w:rsidRDefault="00A40461" w:rsidP="00AF4296">
      <w:pPr>
        <w:spacing w:line="276" w:lineRule="auto"/>
        <w:rPr>
          <w:lang w:val="es-419"/>
        </w:rPr>
      </w:pPr>
      <w:r w:rsidRPr="00AF4296">
        <w:rPr>
          <w:lang w:val="es-419"/>
        </w:rPr>
        <w:tab/>
      </w:r>
    </w:p>
    <w:p w14:paraId="19625BDF" w14:textId="77777777" w:rsidR="00A40461" w:rsidRPr="00AF4296" w:rsidRDefault="00A40461" w:rsidP="00AF4296">
      <w:pPr>
        <w:spacing w:line="276" w:lineRule="auto"/>
        <w:ind w:firstLine="708"/>
        <w:rPr>
          <w:lang w:val="es-419"/>
        </w:rPr>
      </w:pPr>
      <w:r w:rsidRPr="00AF4296">
        <w:t xml:space="preserve">Recalcó su desacuerdo con (a) </w:t>
      </w:r>
      <w:r w:rsidRPr="00AF4296">
        <w:rPr>
          <w:lang w:val="es-419"/>
        </w:rPr>
        <w:t xml:space="preserve">la devolución de los </w:t>
      </w:r>
      <w:r w:rsidRPr="00AF4296">
        <w:rPr>
          <w:b/>
          <w:bCs/>
          <w:lang w:val="es-419"/>
        </w:rPr>
        <w:t>gastos de administración</w:t>
      </w:r>
      <w:r w:rsidRPr="00AF4296">
        <w:rPr>
          <w:lang w:val="es-419"/>
        </w:rPr>
        <w:t xml:space="preserve">, los cuales estaban dispuestos por la gestión de la administradora de </w:t>
      </w:r>
      <w:r w:rsidRPr="00AF4296">
        <w:rPr>
          <w:lang w:val="es-419"/>
        </w:rPr>
        <w:lastRenderedPageBreak/>
        <w:t xml:space="preserve">fondo de pensiones, comisión con la que se cubrían los costos de operación de las AFP para generar los rendimientos financieros a favor del afiliado sobre el saldo de su cuenta de ahorro individual y (b) con la devolución de la </w:t>
      </w:r>
      <w:r w:rsidRPr="00AF4296">
        <w:rPr>
          <w:b/>
          <w:bCs/>
          <w:lang w:val="es-419"/>
        </w:rPr>
        <w:t>prima de seguro previsional</w:t>
      </w:r>
      <w:r w:rsidRPr="00AF4296">
        <w:rPr>
          <w:lang w:val="es-419"/>
        </w:rPr>
        <w:t xml:space="preserve"> que eran primas encaminadas a proteger la suerte del demandante.</w:t>
      </w:r>
    </w:p>
    <w:p w14:paraId="6D6B3B46" w14:textId="77777777" w:rsidR="00A40461" w:rsidRPr="00AF4296" w:rsidRDefault="00A40461" w:rsidP="00AF4296">
      <w:pPr>
        <w:spacing w:line="276" w:lineRule="auto"/>
        <w:ind w:firstLine="708"/>
      </w:pPr>
    </w:p>
    <w:p w14:paraId="45CDCE49" w14:textId="77777777" w:rsidR="00A40461" w:rsidRPr="00AF4296" w:rsidRDefault="00A40461" w:rsidP="00AF4296">
      <w:pPr>
        <w:spacing w:line="276" w:lineRule="auto"/>
        <w:ind w:firstLine="708"/>
      </w:pPr>
      <w:r w:rsidRPr="00AF4296">
        <w:t>Por último, señaló que para la fecha del traslado sólo se exigía la suscripción del formulario, y que al ordenar la ineficacia de la demandante se vulnera el derecho a la igualdad de esa sociedad, así como el debido proceso.</w:t>
      </w:r>
    </w:p>
    <w:p w14:paraId="036FA90E" w14:textId="77777777" w:rsidR="00A40461" w:rsidRPr="00AF4296" w:rsidRDefault="00A40461" w:rsidP="00AF4296">
      <w:pPr>
        <w:spacing w:line="276" w:lineRule="auto"/>
        <w:ind w:firstLine="708"/>
        <w:rPr>
          <w:b/>
          <w:bCs/>
          <w:lang w:val="es"/>
        </w:rPr>
      </w:pPr>
    </w:p>
    <w:p w14:paraId="6DB52C17" w14:textId="77777777" w:rsidR="00A40461" w:rsidRPr="00AF4296" w:rsidRDefault="00A40461" w:rsidP="00AF4296">
      <w:pPr>
        <w:spacing w:line="276" w:lineRule="auto"/>
        <w:ind w:firstLine="708"/>
        <w:rPr>
          <w:lang w:val="es"/>
        </w:rPr>
      </w:pPr>
      <w:r w:rsidRPr="00AF4296">
        <w:rPr>
          <w:b/>
          <w:bCs/>
          <w:lang w:val="es"/>
        </w:rPr>
        <w:t>Colpensiones</w:t>
      </w:r>
      <w:r w:rsidRPr="00AF4296">
        <w:rPr>
          <w:lang w:val="es"/>
        </w:rPr>
        <w:t xml:space="preserve"> cimentó su inconformidad argumentando que la declaratoria de ineficacia del traslado causaría eventualmente un detrimento patrimonial para Colpensiones en el caso de que la demandante cumpla con los requisitos exigidos por la ley para una pensión vitalicia.</w:t>
      </w:r>
    </w:p>
    <w:p w14:paraId="5A695C6D" w14:textId="77777777" w:rsidR="00A40461" w:rsidRPr="00AF4296" w:rsidRDefault="00A40461" w:rsidP="00AF4296">
      <w:pPr>
        <w:spacing w:line="276" w:lineRule="auto"/>
        <w:ind w:firstLine="708"/>
        <w:rPr>
          <w:lang w:val="es"/>
        </w:rPr>
      </w:pPr>
    </w:p>
    <w:p w14:paraId="170B94FF" w14:textId="45CC777A" w:rsidR="00A40461" w:rsidRPr="00AF4296" w:rsidRDefault="00A40461" w:rsidP="00AF4296">
      <w:pPr>
        <w:spacing w:line="276" w:lineRule="auto"/>
        <w:ind w:firstLine="708"/>
        <w:rPr>
          <w:lang w:val="es"/>
        </w:rPr>
      </w:pPr>
      <w:r w:rsidRPr="00AF4296">
        <w:rPr>
          <w:lang w:val="es"/>
        </w:rPr>
        <w:t>Agregó que no era posible ordenar el traslado de la demandante por faltarle menos de 10 años para cumplir la edad para tener derecho a la pensión de veje</w:t>
      </w:r>
      <w:r w:rsidR="00BA4F91" w:rsidRPr="00AF4296">
        <w:rPr>
          <w:lang w:val="es"/>
        </w:rPr>
        <w:t>z, de conformidad con la</w:t>
      </w:r>
      <w:r w:rsidRPr="00AF4296">
        <w:rPr>
          <w:lang w:val="es"/>
        </w:rPr>
        <w:t xml:space="preserve"> </w:t>
      </w:r>
      <w:r w:rsidR="00BA4F91" w:rsidRPr="00AF4296">
        <w:rPr>
          <w:lang w:val="es-ES"/>
        </w:rPr>
        <w:t>prohibición señalada en el literal e) del artículo 13 de la Ley 100 de 1993, modificado por el artículo 2º de la Ley 797 de 2003</w:t>
      </w:r>
    </w:p>
    <w:p w14:paraId="0000006B" w14:textId="77777777" w:rsidR="00602F3A" w:rsidRPr="00AF4296" w:rsidRDefault="00602F3A" w:rsidP="00AF4296">
      <w:pPr>
        <w:spacing w:line="276" w:lineRule="auto"/>
        <w:ind w:firstLine="709"/>
      </w:pPr>
    </w:p>
    <w:p w14:paraId="0000006C" w14:textId="77777777" w:rsidR="00602F3A" w:rsidRPr="00AF4296" w:rsidRDefault="00D5688B" w:rsidP="00AF4296">
      <w:pPr>
        <w:spacing w:line="276" w:lineRule="auto"/>
        <w:ind w:firstLine="709"/>
      </w:pPr>
      <w:r w:rsidRPr="00AF4296">
        <w:t>Para finalizar, solicitó  que en caso de confirmar el fallo de primera instancia se condenar a título de sanción  a Protección S.A. a pagar a Colpensiones un cálculo actuarial equivalente  al valor total de las mesadas pensionales liquidadas bajo los parámetros del régimen de prima media, teniendo en cuenta para ello la expectativa de vida de la demandante y la de sus beneficiarios, toda vez que Colpensiones es un tercero afectado que no tuvo participación ni injerencia en la omisión de la información entregada por la AFP.</w:t>
      </w:r>
    </w:p>
    <w:p w14:paraId="454E6792" w14:textId="77777777" w:rsidR="00A40461" w:rsidRPr="00AF4296" w:rsidRDefault="00A40461" w:rsidP="00AF4296">
      <w:pPr>
        <w:spacing w:line="276" w:lineRule="auto"/>
      </w:pPr>
    </w:p>
    <w:p w14:paraId="6BE836F6" w14:textId="5C0DCC84" w:rsidR="00A40461" w:rsidRPr="00AF4296" w:rsidRDefault="00A40461" w:rsidP="00AF4296">
      <w:pPr>
        <w:numPr>
          <w:ilvl w:val="0"/>
          <w:numId w:val="2"/>
        </w:numPr>
        <w:pBdr>
          <w:top w:val="nil"/>
          <w:left w:val="nil"/>
          <w:bottom w:val="nil"/>
          <w:right w:val="nil"/>
          <w:between w:val="nil"/>
        </w:pBdr>
        <w:spacing w:line="276" w:lineRule="auto"/>
        <w:jc w:val="center"/>
        <w:rPr>
          <w:b/>
        </w:rPr>
      </w:pPr>
      <w:r w:rsidRPr="00AF4296">
        <w:rPr>
          <w:b/>
        </w:rPr>
        <w:t>Alegatos de conclusión</w:t>
      </w:r>
    </w:p>
    <w:p w14:paraId="46915CEC" w14:textId="77777777" w:rsidR="00A40461" w:rsidRPr="00AF4296" w:rsidRDefault="00A40461" w:rsidP="00AF4296">
      <w:pPr>
        <w:spacing w:line="276" w:lineRule="auto"/>
      </w:pPr>
      <w:r w:rsidRPr="00AF4296">
        <w:t xml:space="preserve"> </w:t>
      </w:r>
    </w:p>
    <w:p w14:paraId="51A6B6C1" w14:textId="456859A1" w:rsidR="00A40461" w:rsidRPr="00AF4296" w:rsidRDefault="00A40461" w:rsidP="00AF4296">
      <w:pPr>
        <w:spacing w:line="276" w:lineRule="auto"/>
        <w:ind w:firstLine="708"/>
      </w:pPr>
      <w:r w:rsidRPr="00AF4296">
        <w:t>Analizados los alegatos presentados por escrito por</w:t>
      </w:r>
      <w:r w:rsidR="0026453A" w:rsidRPr="00AF4296">
        <w:t xml:space="preserve"> </w:t>
      </w:r>
      <w:r w:rsidR="002C1B23" w:rsidRPr="00AF4296">
        <w:t>las partes</w:t>
      </w:r>
      <w:r w:rsidRPr="00AF4296">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03BDEEF9" w14:textId="77777777" w:rsidR="00A40461" w:rsidRPr="00AF4296" w:rsidRDefault="00A40461" w:rsidP="00AF4296">
      <w:pPr>
        <w:spacing w:line="276" w:lineRule="auto"/>
      </w:pPr>
    </w:p>
    <w:p w14:paraId="2885664E" w14:textId="77777777" w:rsidR="00A40461" w:rsidRPr="00AF4296" w:rsidRDefault="00A40461" w:rsidP="00AF4296">
      <w:pPr>
        <w:pStyle w:val="Prrafodelista"/>
        <w:widowControl w:val="0"/>
        <w:numPr>
          <w:ilvl w:val="0"/>
          <w:numId w:val="2"/>
        </w:numPr>
        <w:autoSpaceDE w:val="0"/>
        <w:autoSpaceDN w:val="0"/>
        <w:spacing w:line="276" w:lineRule="auto"/>
        <w:contextualSpacing w:val="0"/>
        <w:jc w:val="center"/>
        <w:rPr>
          <w:rFonts w:eastAsiaTheme="minorEastAsia"/>
          <w:b/>
          <w:bCs/>
        </w:rPr>
      </w:pPr>
      <w:r w:rsidRPr="00AF4296">
        <w:rPr>
          <w:b/>
          <w:bCs/>
          <w:lang w:val="es"/>
        </w:rPr>
        <w:t>Problemas jurídicos por resolver</w:t>
      </w:r>
    </w:p>
    <w:p w14:paraId="20B27962" w14:textId="77777777" w:rsidR="00A40461" w:rsidRPr="00AF4296" w:rsidRDefault="00A40461" w:rsidP="00AF4296">
      <w:pPr>
        <w:spacing w:line="276" w:lineRule="auto"/>
      </w:pPr>
      <w:r w:rsidRPr="00AF4296">
        <w:rPr>
          <w:rFonts w:eastAsia="Times New Roman"/>
        </w:rPr>
        <w:t xml:space="preserve"> </w:t>
      </w:r>
    </w:p>
    <w:p w14:paraId="79E75D2B" w14:textId="77777777" w:rsidR="00A40461" w:rsidRPr="00AF4296" w:rsidRDefault="00A40461" w:rsidP="00AF4296">
      <w:pPr>
        <w:spacing w:line="276" w:lineRule="auto"/>
        <w:ind w:firstLine="360"/>
      </w:pPr>
      <w:r w:rsidRPr="00AF4296">
        <w:t xml:space="preserve">De acuerdo con los argumentos expuestos en la sentencia de primera instancia, los fundamentos de la apelación y los alegatos de conclusión, le corresponde a la Sala resolver los siguientes problemas jurídicos: </w:t>
      </w:r>
    </w:p>
    <w:p w14:paraId="3BEE4025" w14:textId="77777777" w:rsidR="00A40461" w:rsidRPr="00AF4296" w:rsidRDefault="00A40461" w:rsidP="00AF4296">
      <w:pPr>
        <w:spacing w:line="276" w:lineRule="auto"/>
        <w:jc w:val="center"/>
      </w:pPr>
      <w:r w:rsidRPr="00AF4296">
        <w:rPr>
          <w:b/>
          <w:bCs/>
        </w:rPr>
        <w:t xml:space="preserve"> </w:t>
      </w:r>
    </w:p>
    <w:p w14:paraId="3E1F994B" w14:textId="77777777" w:rsidR="00A40461" w:rsidRPr="00AF4296" w:rsidRDefault="00A40461" w:rsidP="00AF4296">
      <w:pPr>
        <w:pStyle w:val="Prrafodelista"/>
        <w:widowControl w:val="0"/>
        <w:numPr>
          <w:ilvl w:val="0"/>
          <w:numId w:val="3"/>
        </w:numPr>
        <w:autoSpaceDE w:val="0"/>
        <w:autoSpaceDN w:val="0"/>
        <w:spacing w:line="276" w:lineRule="auto"/>
        <w:contextualSpacing w:val="0"/>
        <w:rPr>
          <w:rFonts w:eastAsiaTheme="minorEastAsia"/>
        </w:rPr>
      </w:pPr>
      <w:r w:rsidRPr="00AF4296">
        <w:rPr>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5D48A185" w14:textId="77777777" w:rsidR="00A40461" w:rsidRPr="00AF4296" w:rsidRDefault="00A40461" w:rsidP="00AF4296">
      <w:pPr>
        <w:spacing w:line="276" w:lineRule="auto"/>
        <w:ind w:firstLine="707"/>
      </w:pPr>
      <w:r w:rsidRPr="00AF4296">
        <w:rPr>
          <w:lang w:val="es"/>
        </w:rPr>
        <w:lastRenderedPageBreak/>
        <w:t xml:space="preserve"> </w:t>
      </w:r>
    </w:p>
    <w:p w14:paraId="46694BE6" w14:textId="77777777" w:rsidR="00A40461" w:rsidRPr="00AF4296" w:rsidRDefault="00A40461" w:rsidP="00AF4296">
      <w:pPr>
        <w:pStyle w:val="Prrafodelista"/>
        <w:widowControl w:val="0"/>
        <w:numPr>
          <w:ilvl w:val="0"/>
          <w:numId w:val="3"/>
        </w:numPr>
        <w:autoSpaceDE w:val="0"/>
        <w:autoSpaceDN w:val="0"/>
        <w:spacing w:line="276" w:lineRule="auto"/>
        <w:contextualSpacing w:val="0"/>
        <w:rPr>
          <w:rFonts w:eastAsiaTheme="minorEastAsia"/>
        </w:rPr>
      </w:pPr>
      <w:r w:rsidRPr="00AF4296">
        <w:rPr>
          <w:lang w:val="es"/>
        </w:rPr>
        <w:t xml:space="preserve">Definir si para dar por cumplido el deber de información de las AFP es suficiente el diligenciamiento del formulario de afiliación. </w:t>
      </w:r>
    </w:p>
    <w:p w14:paraId="50919590" w14:textId="77777777" w:rsidR="00A40461" w:rsidRPr="00AF4296" w:rsidRDefault="00A40461" w:rsidP="00AF4296">
      <w:pPr>
        <w:spacing w:line="276" w:lineRule="auto"/>
        <w:ind w:firstLine="707"/>
      </w:pPr>
      <w:r w:rsidRPr="00AF4296">
        <w:rPr>
          <w:lang w:val="es"/>
        </w:rPr>
        <w:t xml:space="preserve"> </w:t>
      </w:r>
    </w:p>
    <w:p w14:paraId="7C239B70" w14:textId="77777777" w:rsidR="00A40461" w:rsidRPr="00AF4296" w:rsidRDefault="00A40461" w:rsidP="00AF4296">
      <w:pPr>
        <w:pStyle w:val="Prrafodelista"/>
        <w:widowControl w:val="0"/>
        <w:numPr>
          <w:ilvl w:val="0"/>
          <w:numId w:val="3"/>
        </w:numPr>
        <w:autoSpaceDE w:val="0"/>
        <w:autoSpaceDN w:val="0"/>
        <w:spacing w:line="276" w:lineRule="auto"/>
        <w:contextualSpacing w:val="0"/>
        <w:rPr>
          <w:rFonts w:eastAsiaTheme="minorEastAsia"/>
        </w:rPr>
      </w:pPr>
      <w:r w:rsidRPr="00AF4296">
        <w:rPr>
          <w:lang w:val="es"/>
        </w:rPr>
        <w:t xml:space="preserve"> Determinar la carga probatoria que les corresponde a cada una de las partes cuando está en discusión la eficacia del traslado entre regímenes pensionales.</w:t>
      </w:r>
    </w:p>
    <w:p w14:paraId="7D0F07A1" w14:textId="77777777" w:rsidR="00A40461" w:rsidRPr="00AF4296" w:rsidRDefault="00A40461" w:rsidP="00AF4296">
      <w:pPr>
        <w:spacing w:line="276" w:lineRule="auto"/>
        <w:ind w:firstLine="707"/>
      </w:pPr>
      <w:r w:rsidRPr="00AF4296">
        <w:rPr>
          <w:lang w:val="es"/>
        </w:rPr>
        <w:t xml:space="preserve"> </w:t>
      </w:r>
    </w:p>
    <w:p w14:paraId="44A493B7" w14:textId="77777777" w:rsidR="00A40461" w:rsidRPr="00AF4296" w:rsidRDefault="00A40461" w:rsidP="00AF4296">
      <w:pPr>
        <w:pStyle w:val="Prrafodelista"/>
        <w:widowControl w:val="0"/>
        <w:numPr>
          <w:ilvl w:val="0"/>
          <w:numId w:val="3"/>
        </w:numPr>
        <w:autoSpaceDE w:val="0"/>
        <w:autoSpaceDN w:val="0"/>
        <w:spacing w:line="276" w:lineRule="auto"/>
        <w:contextualSpacing w:val="0"/>
        <w:rPr>
          <w:rFonts w:eastAsiaTheme="minorEastAsia"/>
        </w:rPr>
      </w:pPr>
      <w:r w:rsidRPr="00AF4296">
        <w:rPr>
          <w:lang w:val="es"/>
        </w:rPr>
        <w:t xml:space="preserve">Analizar si quedó probado en el proceso que la parte demandante recibió de parte de la AFP demandada, la asesoría e información suficiente y necesaria para hacer el cambio de régimen. </w:t>
      </w:r>
    </w:p>
    <w:p w14:paraId="78C3A06E" w14:textId="77777777" w:rsidR="00A40461" w:rsidRPr="00AF4296" w:rsidRDefault="00A40461" w:rsidP="00AF4296">
      <w:pPr>
        <w:pStyle w:val="Prrafodelista"/>
        <w:spacing w:line="276" w:lineRule="auto"/>
      </w:pPr>
    </w:p>
    <w:p w14:paraId="03EE8AB5" w14:textId="77777777" w:rsidR="00A40461" w:rsidRPr="00AF4296" w:rsidRDefault="00A40461" w:rsidP="00AF4296">
      <w:pPr>
        <w:widowControl w:val="0"/>
        <w:numPr>
          <w:ilvl w:val="0"/>
          <w:numId w:val="3"/>
        </w:numPr>
        <w:tabs>
          <w:tab w:val="left" w:pos="993"/>
        </w:tabs>
        <w:autoSpaceDE w:val="0"/>
        <w:autoSpaceDN w:val="0"/>
        <w:adjustRightInd w:val="0"/>
        <w:spacing w:line="276" w:lineRule="auto"/>
        <w:rPr>
          <w:lang w:val="es-ES"/>
        </w:rPr>
      </w:pPr>
      <w:r w:rsidRPr="00AF4296">
        <w:rPr>
          <w:lang w:val="es-ES"/>
        </w:rPr>
        <w:t>Determinar si hay razón suficiente para apartarse del precedente jurisprudencial existente frente a la ineficacia del traslado de régimen.</w:t>
      </w:r>
    </w:p>
    <w:p w14:paraId="714C0736" w14:textId="77777777" w:rsidR="00A40461" w:rsidRPr="00AF4296" w:rsidRDefault="00A40461" w:rsidP="00AF4296">
      <w:pPr>
        <w:spacing w:line="276" w:lineRule="auto"/>
        <w:ind w:firstLine="707"/>
      </w:pPr>
    </w:p>
    <w:p w14:paraId="0CBD8B12" w14:textId="24CA9B4C" w:rsidR="00A40461" w:rsidRPr="00AF4296" w:rsidRDefault="00A40461" w:rsidP="00AF4296">
      <w:pPr>
        <w:pStyle w:val="Prrafodelista"/>
        <w:widowControl w:val="0"/>
        <w:numPr>
          <w:ilvl w:val="0"/>
          <w:numId w:val="3"/>
        </w:numPr>
        <w:autoSpaceDE w:val="0"/>
        <w:autoSpaceDN w:val="0"/>
        <w:spacing w:line="276" w:lineRule="auto"/>
        <w:contextualSpacing w:val="0"/>
        <w:rPr>
          <w:rFonts w:eastAsiaTheme="minorEastAsia"/>
        </w:rPr>
      </w:pPr>
      <w:r w:rsidRPr="00AF4296">
        <w:rPr>
          <w:lang w:val="es"/>
        </w:rPr>
        <w:t>Establecer si es dable ordenar a la AFP demandada la devolución, con cargo a sus propios recursos de los gastos de administración, comisiones</w:t>
      </w:r>
      <w:bookmarkStart w:id="4" w:name="_Hlk77058474"/>
      <w:r w:rsidRPr="00AF4296">
        <w:rPr>
          <w:lang w:val="es"/>
        </w:rPr>
        <w:t>, cuotas de garantía de pensión mínima y seguros previsionales a Colpensiones.</w:t>
      </w:r>
      <w:bookmarkEnd w:id="4"/>
    </w:p>
    <w:p w14:paraId="25B42087" w14:textId="77777777" w:rsidR="00BA4F91" w:rsidRPr="00AF4296" w:rsidRDefault="00BA4F91" w:rsidP="00AF4296">
      <w:pPr>
        <w:pStyle w:val="Prrafodelista"/>
        <w:spacing w:line="276" w:lineRule="auto"/>
        <w:rPr>
          <w:rFonts w:eastAsiaTheme="minorEastAsia"/>
        </w:rPr>
      </w:pPr>
    </w:p>
    <w:p w14:paraId="0E4CFA34" w14:textId="70DA76D5" w:rsidR="00BA4F91" w:rsidRPr="00AF4296" w:rsidRDefault="00BA4F91" w:rsidP="00AF4296">
      <w:pPr>
        <w:widowControl w:val="0"/>
        <w:numPr>
          <w:ilvl w:val="0"/>
          <w:numId w:val="3"/>
        </w:numPr>
        <w:autoSpaceDE w:val="0"/>
        <w:autoSpaceDN w:val="0"/>
        <w:adjustRightInd w:val="0"/>
        <w:spacing w:line="276" w:lineRule="auto"/>
      </w:pPr>
      <w:r w:rsidRPr="00AF4296">
        <w:t>Analizar si hay lugar a ordenar a Protección S.A., a pagar a Colpensiones, a título de resarcimiento, los valores que se puedan generar para la financiación de la pensión o prestaciones a favor de la demandante, como lo propone Colpensiones.</w:t>
      </w:r>
    </w:p>
    <w:p w14:paraId="131DD4E9" w14:textId="77777777" w:rsidR="00BA4F91" w:rsidRPr="00AF4296" w:rsidRDefault="00BA4F91" w:rsidP="00AF4296">
      <w:pPr>
        <w:pStyle w:val="Prrafodelista"/>
        <w:spacing w:line="276" w:lineRule="auto"/>
      </w:pPr>
    </w:p>
    <w:p w14:paraId="7A7DBA05" w14:textId="77777777" w:rsidR="00BA4F91" w:rsidRPr="00AF4296" w:rsidRDefault="00BA4F91" w:rsidP="00AF4296">
      <w:pPr>
        <w:numPr>
          <w:ilvl w:val="0"/>
          <w:numId w:val="3"/>
        </w:numPr>
        <w:spacing w:line="276" w:lineRule="auto"/>
      </w:pPr>
      <w:r w:rsidRPr="00AF4296">
        <w:rPr>
          <w:lang w:val="es-ES"/>
        </w:rPr>
        <w:t>Concluir si la prohibición señalada en el literal e) del artículo 13 de la Ley 100 de 1993, modificado por el artículo 2º de la Ley 797 de 2003, es atendible en aquellos eventos donde se discute la ineficacia del traslado de régimen pensional.</w:t>
      </w:r>
    </w:p>
    <w:p w14:paraId="5F710E28" w14:textId="77777777" w:rsidR="00A40461" w:rsidRPr="00AF4296" w:rsidRDefault="00A40461" w:rsidP="00AF4296">
      <w:pPr>
        <w:widowControl w:val="0"/>
        <w:autoSpaceDE w:val="0"/>
        <w:autoSpaceDN w:val="0"/>
        <w:adjustRightInd w:val="0"/>
        <w:spacing w:line="276" w:lineRule="auto"/>
        <w:ind w:firstLine="284"/>
        <w:rPr>
          <w:rFonts w:eastAsia="Calibri"/>
        </w:rPr>
      </w:pPr>
    </w:p>
    <w:p w14:paraId="0F38FD36" w14:textId="77777777" w:rsidR="00A40461" w:rsidRPr="00AF4296" w:rsidRDefault="00A40461" w:rsidP="00AF4296">
      <w:pPr>
        <w:pStyle w:val="Prrafodelista"/>
        <w:widowControl w:val="0"/>
        <w:numPr>
          <w:ilvl w:val="0"/>
          <w:numId w:val="5"/>
        </w:numPr>
        <w:autoSpaceDE w:val="0"/>
        <w:autoSpaceDN w:val="0"/>
        <w:adjustRightInd w:val="0"/>
        <w:spacing w:line="276" w:lineRule="auto"/>
        <w:contextualSpacing w:val="0"/>
        <w:jc w:val="center"/>
        <w:rPr>
          <w:rFonts w:eastAsia="Calibri"/>
          <w:b/>
          <w:bCs/>
        </w:rPr>
      </w:pPr>
      <w:r w:rsidRPr="00AF4296">
        <w:rPr>
          <w:rFonts w:eastAsia="Calibri"/>
          <w:b/>
          <w:bCs/>
        </w:rPr>
        <w:t>Consideraciones</w:t>
      </w:r>
    </w:p>
    <w:p w14:paraId="332F6245" w14:textId="77777777" w:rsidR="00920EA9" w:rsidRPr="00901F60" w:rsidRDefault="00920EA9" w:rsidP="00920EA9">
      <w:pPr>
        <w:spacing w:line="276" w:lineRule="auto"/>
        <w:ind w:firstLine="708"/>
        <w:rPr>
          <w:b/>
        </w:rPr>
      </w:pPr>
    </w:p>
    <w:p w14:paraId="3BD9C177" w14:textId="2142C4D5" w:rsidR="00920EA9" w:rsidRPr="003F272C" w:rsidRDefault="00920EA9" w:rsidP="003F272C">
      <w:pPr>
        <w:pStyle w:val="Prrafodelista"/>
        <w:widowControl w:val="0"/>
        <w:numPr>
          <w:ilvl w:val="1"/>
          <w:numId w:val="7"/>
        </w:numPr>
        <w:autoSpaceDE w:val="0"/>
        <w:autoSpaceDN w:val="0"/>
        <w:adjustRightInd w:val="0"/>
        <w:spacing w:line="276" w:lineRule="auto"/>
        <w:rPr>
          <w:rFonts w:eastAsia="Calibri"/>
          <w:b/>
          <w:bCs/>
        </w:rPr>
      </w:pPr>
      <w:r w:rsidRPr="003F272C">
        <w:rPr>
          <w:rFonts w:eastAsia="Calibri"/>
          <w:b/>
          <w:bCs/>
        </w:rPr>
        <w:t xml:space="preserve">Precedente vertical: la tesis de la Corte Suprema de Justicia respecto al tema de la ineficacia del traslado constituye doctrina probable </w:t>
      </w:r>
    </w:p>
    <w:p w14:paraId="2BDFC840" w14:textId="77777777" w:rsidR="00920EA9" w:rsidRPr="00A01E40" w:rsidRDefault="00920EA9" w:rsidP="00920EA9">
      <w:pPr>
        <w:widowControl w:val="0"/>
        <w:autoSpaceDE w:val="0"/>
        <w:autoSpaceDN w:val="0"/>
        <w:adjustRightInd w:val="0"/>
        <w:spacing w:line="276" w:lineRule="auto"/>
        <w:ind w:firstLine="284"/>
        <w:rPr>
          <w:rFonts w:eastAsia="Calibri"/>
        </w:rPr>
      </w:pPr>
    </w:p>
    <w:p w14:paraId="431206CF" w14:textId="77777777" w:rsidR="00920EA9" w:rsidRPr="00A01E40" w:rsidRDefault="00920EA9" w:rsidP="00920EA9">
      <w:pPr>
        <w:widowControl w:val="0"/>
        <w:autoSpaceDE w:val="0"/>
        <w:autoSpaceDN w:val="0"/>
        <w:adjustRightInd w:val="0"/>
        <w:spacing w:line="276" w:lineRule="auto"/>
        <w:ind w:firstLine="708"/>
        <w:rPr>
          <w:rFonts w:eastAsia="Calibri"/>
        </w:rPr>
      </w:pPr>
      <w:r w:rsidRPr="00A01E40">
        <w:rPr>
          <w:rFonts w:eastAsia="Calibri"/>
        </w:rPr>
        <w:t xml:space="preserve">En la actualidad existe </w:t>
      </w:r>
      <w:r w:rsidRPr="00A01E40">
        <w:rPr>
          <w:rFonts w:eastAsia="Calibri"/>
          <w:b/>
        </w:rPr>
        <w:t>doctrina probable</w:t>
      </w:r>
      <w:r w:rsidRPr="00A01E40">
        <w:rPr>
          <w:rFonts w:eastAsia="Calibri"/>
        </w:rPr>
        <w:t xml:space="preserve"> respecto a la ineficacia de los traslados de regímenes, por cuanto la Sala de Casación Laboral ha proferido sobre el tema un número considerable de sentencias (más de 40), entre otras, las siguientes: </w:t>
      </w:r>
    </w:p>
    <w:p w14:paraId="259BF896" w14:textId="77777777" w:rsidR="00920EA9" w:rsidRPr="00A01E40" w:rsidRDefault="00920EA9" w:rsidP="00920EA9">
      <w:pPr>
        <w:widowControl w:val="0"/>
        <w:autoSpaceDE w:val="0"/>
        <w:autoSpaceDN w:val="0"/>
        <w:adjustRightInd w:val="0"/>
        <w:spacing w:line="276" w:lineRule="auto"/>
        <w:ind w:firstLine="284"/>
        <w:rPr>
          <w:rFonts w:eastAsia="Calibri"/>
        </w:rPr>
      </w:pPr>
    </w:p>
    <w:p w14:paraId="6B9C4D9C" w14:textId="77777777" w:rsidR="00920EA9" w:rsidRPr="00A01E40" w:rsidRDefault="00920EA9" w:rsidP="00920EA9">
      <w:pPr>
        <w:widowControl w:val="0"/>
        <w:autoSpaceDE w:val="0"/>
        <w:autoSpaceDN w:val="0"/>
        <w:adjustRightInd w:val="0"/>
        <w:spacing w:line="276" w:lineRule="auto"/>
        <w:ind w:firstLine="708"/>
        <w:rPr>
          <w:rFonts w:eastAsia="Calibri"/>
        </w:rPr>
      </w:pPr>
      <w:r w:rsidRPr="00A01E40">
        <w:rPr>
          <w:rFonts w:eastAsia="Calibri"/>
          <w:bCs/>
        </w:rPr>
        <w:t xml:space="preserve">SL 31989 del 9 sep. 2008, </w:t>
      </w:r>
      <w:r w:rsidRPr="00A01E40">
        <w:rPr>
          <w:rFonts w:eastAsia="Calibri"/>
        </w:rPr>
        <w:t xml:space="preserve">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w:t>
      </w:r>
      <w:r w:rsidRPr="00A01E40">
        <w:rPr>
          <w:rFonts w:eastAsia="Calibri"/>
        </w:rPr>
        <w:lastRenderedPageBreak/>
        <w:t>SL2865-2019, Sentencia  SL2955-2019, Sentencia  SL2324-2019.</w:t>
      </w:r>
    </w:p>
    <w:p w14:paraId="665A3F93" w14:textId="77777777" w:rsidR="00920EA9" w:rsidRPr="00A01E40" w:rsidRDefault="00920EA9" w:rsidP="00920EA9">
      <w:pPr>
        <w:widowControl w:val="0"/>
        <w:autoSpaceDE w:val="0"/>
        <w:autoSpaceDN w:val="0"/>
        <w:adjustRightInd w:val="0"/>
        <w:spacing w:line="276" w:lineRule="auto"/>
        <w:ind w:firstLine="284"/>
        <w:rPr>
          <w:rFonts w:eastAsia="Calibri"/>
        </w:rPr>
      </w:pPr>
    </w:p>
    <w:p w14:paraId="2F45C571" w14:textId="77777777" w:rsidR="00920EA9" w:rsidRPr="00A01E40" w:rsidRDefault="00920EA9" w:rsidP="00920EA9">
      <w:pPr>
        <w:widowControl w:val="0"/>
        <w:autoSpaceDE w:val="0"/>
        <w:autoSpaceDN w:val="0"/>
        <w:adjustRightInd w:val="0"/>
        <w:spacing w:line="276" w:lineRule="auto"/>
        <w:ind w:firstLine="708"/>
        <w:rPr>
          <w:rFonts w:eastAsia="Calibri"/>
        </w:rPr>
      </w:pPr>
      <w:r w:rsidRPr="00A01E40">
        <w:rPr>
          <w:rFonts w:eastAsia="Calibri"/>
        </w:rPr>
        <w:t xml:space="preserve">En términos generales, en todas estas sentencias se determinó </w:t>
      </w:r>
      <w:r w:rsidRPr="00A01E40">
        <w:rPr>
          <w:rFonts w:eastAsia="Calibri"/>
          <w:i/>
        </w:rPr>
        <w:t xml:space="preserve">i) </w:t>
      </w:r>
      <w:r w:rsidRPr="00A01E40">
        <w:rPr>
          <w:rFonts w:eastAsia="Calibri"/>
        </w:rPr>
        <w:t xml:space="preserve">el alcance del deber de información a cargo de las Administradoras de Fondos de Pensiones, </w:t>
      </w:r>
      <w:r w:rsidRPr="00A01E40">
        <w:rPr>
          <w:rFonts w:eastAsia="Calibri"/>
          <w:i/>
        </w:rPr>
        <w:t xml:space="preserve">ii) </w:t>
      </w:r>
      <w:r w:rsidRPr="00A01E40">
        <w:rPr>
          <w:rFonts w:eastAsia="Calibri"/>
        </w:rPr>
        <w:t xml:space="preserve">la procedencia de la ineficacia del traslado, </w:t>
      </w:r>
      <w:r w:rsidRPr="00A01E40">
        <w:rPr>
          <w:rFonts w:eastAsia="Calibri"/>
          <w:i/>
        </w:rPr>
        <w:t xml:space="preserve">iii) </w:t>
      </w:r>
      <w:r w:rsidRPr="00A01E40">
        <w:rPr>
          <w:rFonts w:eastAsia="Calibri"/>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22B44E21" w14:textId="77777777" w:rsidR="00920EA9" w:rsidRPr="005225D2" w:rsidRDefault="00920EA9" w:rsidP="00920EA9">
      <w:pPr>
        <w:widowControl w:val="0"/>
        <w:autoSpaceDE w:val="0"/>
        <w:autoSpaceDN w:val="0"/>
        <w:adjustRightInd w:val="0"/>
        <w:spacing w:line="276" w:lineRule="auto"/>
        <w:ind w:left="1429"/>
        <w:rPr>
          <w:rFonts w:eastAsia="Calibri"/>
          <w:b/>
        </w:rPr>
      </w:pPr>
    </w:p>
    <w:p w14:paraId="7A2605CD" w14:textId="77777777" w:rsidR="00920EA9" w:rsidRPr="003F272C" w:rsidRDefault="00920EA9" w:rsidP="003F272C">
      <w:pPr>
        <w:pStyle w:val="Prrafodelista"/>
        <w:widowControl w:val="0"/>
        <w:numPr>
          <w:ilvl w:val="1"/>
          <w:numId w:val="7"/>
        </w:numPr>
        <w:autoSpaceDE w:val="0"/>
        <w:autoSpaceDN w:val="0"/>
        <w:adjustRightInd w:val="0"/>
        <w:spacing w:line="276" w:lineRule="auto"/>
        <w:rPr>
          <w:rFonts w:eastAsia="Calibri"/>
          <w:b/>
          <w:bCs/>
        </w:rPr>
      </w:pPr>
      <w:r w:rsidRPr="003F272C">
        <w:rPr>
          <w:rFonts w:eastAsia="Calibri"/>
          <w:b/>
          <w:bCs/>
        </w:rPr>
        <w:t>“El deber de información a cargo de las administradoras de fondos de pensiones: Un deber exigible desde su creación</w:t>
      </w:r>
      <w:r w:rsidRPr="003F272C">
        <w:rPr>
          <w:rFonts w:eastAsia="Calibri"/>
          <w:bCs/>
          <w:vertAlign w:val="superscript"/>
        </w:rPr>
        <w:footnoteReference w:id="1"/>
      </w:r>
      <w:r w:rsidRPr="003F272C">
        <w:rPr>
          <w:rFonts w:eastAsia="Calibri"/>
          <w:b/>
          <w:bCs/>
        </w:rPr>
        <w:t>”</w:t>
      </w:r>
    </w:p>
    <w:p w14:paraId="1FB9840F" w14:textId="77777777" w:rsidR="00920EA9" w:rsidRPr="00A01E40" w:rsidRDefault="00920EA9" w:rsidP="00920EA9">
      <w:pPr>
        <w:widowControl w:val="0"/>
        <w:autoSpaceDE w:val="0"/>
        <w:autoSpaceDN w:val="0"/>
        <w:adjustRightInd w:val="0"/>
        <w:spacing w:line="276" w:lineRule="auto"/>
        <w:ind w:firstLine="284"/>
        <w:rPr>
          <w:rFonts w:eastAsia="Calibri"/>
          <w:i/>
        </w:rPr>
      </w:pPr>
    </w:p>
    <w:p w14:paraId="2B0BED38" w14:textId="77777777" w:rsidR="00920EA9" w:rsidRPr="00A01E40" w:rsidRDefault="00920EA9" w:rsidP="00920EA9">
      <w:pPr>
        <w:widowControl w:val="0"/>
        <w:autoSpaceDE w:val="0"/>
        <w:autoSpaceDN w:val="0"/>
        <w:adjustRightInd w:val="0"/>
        <w:spacing w:line="276" w:lineRule="auto"/>
        <w:ind w:firstLine="708"/>
        <w:rPr>
          <w:rFonts w:eastAsia="Calibri"/>
        </w:rPr>
      </w:pPr>
      <w:r w:rsidRPr="00A01E40">
        <w:rPr>
          <w:rFonts w:eastAsia="Calibri"/>
        </w:rPr>
        <w:t xml:space="preserve">Dado que las Administradoras de Fondos de Pensiones son organismos profesionales, resulta aplicable el artículo 1604 del Código Civil, según el cual la prueba de la </w:t>
      </w:r>
      <w:r w:rsidRPr="00A01E40">
        <w:rPr>
          <w:rFonts w:eastAsia="Calibri"/>
          <w:u w:val="single"/>
        </w:rPr>
        <w:t>debida diligencia y cuidado</w:t>
      </w:r>
      <w:r w:rsidRPr="00A01E40">
        <w:rPr>
          <w:rFonts w:eastAsia="Calibri"/>
        </w:rPr>
        <w:t xml:space="preserve"> incumbe a quien ha debido emplearla, atendiendo a las siguientes razones:</w:t>
      </w:r>
    </w:p>
    <w:p w14:paraId="039858E9" w14:textId="77777777" w:rsidR="00920EA9" w:rsidRPr="00A01E40" w:rsidRDefault="00920EA9" w:rsidP="00920EA9">
      <w:pPr>
        <w:widowControl w:val="0"/>
        <w:autoSpaceDE w:val="0"/>
        <w:autoSpaceDN w:val="0"/>
        <w:adjustRightInd w:val="0"/>
        <w:spacing w:line="276" w:lineRule="auto"/>
        <w:ind w:firstLine="284"/>
        <w:rPr>
          <w:rFonts w:eastAsia="Calibri"/>
          <w:b/>
        </w:rPr>
      </w:pPr>
    </w:p>
    <w:p w14:paraId="069794C7" w14:textId="77777777" w:rsidR="00920EA9" w:rsidRPr="00A01E40" w:rsidRDefault="00920EA9" w:rsidP="00920EA9">
      <w:pPr>
        <w:widowControl w:val="0"/>
        <w:autoSpaceDE w:val="0"/>
        <w:autoSpaceDN w:val="0"/>
        <w:adjustRightInd w:val="0"/>
        <w:spacing w:line="276" w:lineRule="auto"/>
        <w:ind w:firstLine="708"/>
        <w:rPr>
          <w:rFonts w:eastAsia="Calibri"/>
        </w:rPr>
      </w:pPr>
      <w:r w:rsidRPr="00A01E40">
        <w:rPr>
          <w:rFonts w:eastAsia="Calibri"/>
          <w:b/>
        </w:rPr>
        <w:t>1)</w:t>
      </w:r>
      <w:r w:rsidRPr="00A01E40">
        <w:rPr>
          <w:rFonts w:eastAsia="Calibri"/>
        </w:rPr>
        <w:t xml:space="preserve"> Las Administradoras de Fondos de Pensiones tienen deberes de carácter profesional con sus afiliados y con los consumidores del mercado potencial en general. Además, sus actividades se encuentran reguladas por el </w:t>
      </w:r>
      <w:r w:rsidRPr="00A01E40">
        <w:rPr>
          <w:rFonts w:eastAsia="Calibri"/>
          <w:u w:val="single"/>
        </w:rPr>
        <w:t>Decreto 663 de 1993</w:t>
      </w:r>
      <w:r w:rsidRPr="00A01E40">
        <w:rPr>
          <w:rFonts w:eastAsia="Calibri"/>
          <w:u w:val="single"/>
          <w:vertAlign w:val="superscript"/>
        </w:rPr>
        <w:footnoteReference w:id="2"/>
      </w:r>
      <w:r w:rsidRPr="00A01E40">
        <w:rPr>
          <w:rFonts w:eastAsia="Calibri"/>
        </w:rPr>
        <w:t>, norma en la que se destaca la importancia de los principios de debida diligencia, transparencia e información cierta, suficiente y oportuna.</w:t>
      </w:r>
    </w:p>
    <w:p w14:paraId="00333744" w14:textId="77777777" w:rsidR="00920EA9" w:rsidRPr="00A01E40" w:rsidRDefault="00920EA9" w:rsidP="00920EA9">
      <w:pPr>
        <w:widowControl w:val="0"/>
        <w:autoSpaceDE w:val="0"/>
        <w:autoSpaceDN w:val="0"/>
        <w:adjustRightInd w:val="0"/>
        <w:spacing w:line="276" w:lineRule="auto"/>
        <w:ind w:firstLine="284"/>
        <w:rPr>
          <w:rFonts w:eastAsia="Calibri"/>
        </w:rPr>
      </w:pPr>
    </w:p>
    <w:p w14:paraId="47DBDC2E" w14:textId="77777777" w:rsidR="00920EA9" w:rsidRPr="00A01E40" w:rsidRDefault="00920EA9" w:rsidP="00920EA9">
      <w:pPr>
        <w:widowControl w:val="0"/>
        <w:autoSpaceDE w:val="0"/>
        <w:autoSpaceDN w:val="0"/>
        <w:adjustRightInd w:val="0"/>
        <w:spacing w:line="276" w:lineRule="auto"/>
        <w:ind w:firstLine="708"/>
        <w:rPr>
          <w:rFonts w:eastAsia="Calibri"/>
        </w:rPr>
      </w:pPr>
      <w:r w:rsidRPr="00A01E40">
        <w:rPr>
          <w:rFonts w:eastAsia="Calibri"/>
          <w:b/>
        </w:rPr>
        <w:t>2)</w:t>
      </w:r>
      <w:r w:rsidRPr="00A01E40">
        <w:rPr>
          <w:rFonts w:eastAsia="Calibri"/>
        </w:rPr>
        <w:t xml:space="preserve"> Adicionalmente, se tiene previsto en el artículo 12 del Decreto 720 de 1994, que los promotores que empleen las sociedades administradoras del sistema general de pensiones deberán suministrar </w:t>
      </w:r>
      <w:r w:rsidRPr="00A01E40">
        <w:rPr>
          <w:rFonts w:eastAsia="Calibri"/>
          <w:u w:val="single"/>
        </w:rPr>
        <w:t>suficiente, amplia y oportuna</w:t>
      </w:r>
      <w:r w:rsidRPr="00A01E40">
        <w:rPr>
          <w:rFonts w:eastAsia="Calibri"/>
        </w:rPr>
        <w:t xml:space="preserve"> información a los posibles afiliados al momento de la promoción de la afiliación y durante toda la vinculación con ocasión de las prestaciones a las cuales tenga derecho el afiliado. </w:t>
      </w:r>
    </w:p>
    <w:p w14:paraId="589ABE8E" w14:textId="77777777" w:rsidR="00920EA9" w:rsidRPr="00A01E40" w:rsidRDefault="00920EA9" w:rsidP="00920EA9">
      <w:pPr>
        <w:widowControl w:val="0"/>
        <w:autoSpaceDE w:val="0"/>
        <w:autoSpaceDN w:val="0"/>
        <w:adjustRightInd w:val="0"/>
        <w:spacing w:line="276" w:lineRule="auto"/>
        <w:ind w:firstLine="284"/>
        <w:rPr>
          <w:rFonts w:eastAsia="Calibri"/>
        </w:rPr>
      </w:pPr>
    </w:p>
    <w:p w14:paraId="438D40C0" w14:textId="77777777" w:rsidR="00920EA9" w:rsidRPr="00A01E40" w:rsidRDefault="00920EA9" w:rsidP="00920EA9">
      <w:pPr>
        <w:widowControl w:val="0"/>
        <w:autoSpaceDE w:val="0"/>
        <w:autoSpaceDN w:val="0"/>
        <w:adjustRightInd w:val="0"/>
        <w:spacing w:line="276" w:lineRule="auto"/>
        <w:rPr>
          <w:rFonts w:eastAsia="Calibri"/>
        </w:rPr>
      </w:pPr>
      <w:r w:rsidRPr="00A01E40">
        <w:rPr>
          <w:rFonts w:eastAsia="Calibri"/>
          <w:b/>
        </w:rPr>
        <w:t>3)</w:t>
      </w:r>
      <w:r w:rsidRPr="00A01E40">
        <w:rPr>
          <w:rFonts w:eastAsia="Calibri"/>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1CF9E68F" w14:textId="77777777" w:rsidR="00920EA9" w:rsidRPr="00A01E40" w:rsidRDefault="00920EA9" w:rsidP="00920EA9">
      <w:pPr>
        <w:widowControl w:val="0"/>
        <w:autoSpaceDE w:val="0"/>
        <w:autoSpaceDN w:val="0"/>
        <w:adjustRightInd w:val="0"/>
        <w:spacing w:line="276" w:lineRule="auto"/>
        <w:ind w:firstLine="284"/>
        <w:rPr>
          <w:rFonts w:eastAsia="Calibri"/>
        </w:rPr>
      </w:pPr>
    </w:p>
    <w:p w14:paraId="3A0EC980" w14:textId="77777777" w:rsidR="00920EA9" w:rsidRPr="00A01E40" w:rsidRDefault="00920EA9" w:rsidP="00920EA9">
      <w:pPr>
        <w:widowControl w:val="0"/>
        <w:autoSpaceDE w:val="0"/>
        <w:autoSpaceDN w:val="0"/>
        <w:adjustRightInd w:val="0"/>
        <w:spacing w:line="276" w:lineRule="auto"/>
        <w:rPr>
          <w:rFonts w:eastAsia="Calibri"/>
          <w:iCs/>
          <w:u w:val="single"/>
        </w:rPr>
      </w:pPr>
      <w:r w:rsidRPr="00A01E40">
        <w:rPr>
          <w:rFonts w:eastAsia="Calibri"/>
          <w:b/>
        </w:rPr>
        <w:t>4)</w:t>
      </w:r>
      <w:r w:rsidRPr="00A01E40">
        <w:rPr>
          <w:rFonts w:eastAsia="Calibri"/>
        </w:rPr>
        <w:t xml:space="preserve"> En numerosas sentencias del órgano de cierre de la jurisdicción ordinaria laboral, se ha establecido que no puede argüirse que </w:t>
      </w:r>
      <w:r w:rsidRPr="00A01E40">
        <w:rPr>
          <w:rFonts w:eastAsia="Calibri"/>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A01E40">
        <w:rPr>
          <w:rFonts w:eastAsia="Calibri"/>
          <w:i/>
          <w:iCs/>
        </w:rPr>
        <w:t>“</w:t>
      </w:r>
      <w:r w:rsidRPr="00A01E40">
        <w:rPr>
          <w:rFonts w:eastAsia="Calibri"/>
          <w:i/>
          <w:iCs/>
          <w:u w:val="single"/>
        </w:rPr>
        <w:t>dar cuenta de que documentaron clara y suficientemente los efectos que acarrea el cambio de régimen, so pena de declarar ineficaz ese tránsito”</w:t>
      </w:r>
      <w:r w:rsidRPr="00A01E40">
        <w:rPr>
          <w:rFonts w:eastAsia="Calibri"/>
          <w:iCs/>
          <w:u w:val="single"/>
        </w:rPr>
        <w:t>.</w:t>
      </w:r>
    </w:p>
    <w:p w14:paraId="64550D43" w14:textId="77777777" w:rsidR="00920EA9" w:rsidRPr="00A01E40" w:rsidRDefault="00920EA9" w:rsidP="00920EA9">
      <w:pPr>
        <w:widowControl w:val="0"/>
        <w:autoSpaceDE w:val="0"/>
        <w:autoSpaceDN w:val="0"/>
        <w:adjustRightInd w:val="0"/>
        <w:spacing w:line="276" w:lineRule="auto"/>
        <w:ind w:firstLine="284"/>
        <w:rPr>
          <w:rFonts w:eastAsia="Calibri"/>
          <w:iCs/>
          <w:u w:val="single"/>
        </w:rPr>
      </w:pPr>
    </w:p>
    <w:p w14:paraId="2DEAB468" w14:textId="77777777" w:rsidR="00920EA9" w:rsidRPr="00A01E40" w:rsidRDefault="00920EA9" w:rsidP="00920EA9">
      <w:pPr>
        <w:widowControl w:val="0"/>
        <w:autoSpaceDE w:val="0"/>
        <w:autoSpaceDN w:val="0"/>
        <w:adjustRightInd w:val="0"/>
        <w:spacing w:line="276" w:lineRule="auto"/>
        <w:ind w:firstLine="284"/>
        <w:rPr>
          <w:rFonts w:eastAsia="Calibri"/>
          <w:iCs/>
        </w:rPr>
      </w:pPr>
      <w:r w:rsidRPr="00A01E40">
        <w:rPr>
          <w:rFonts w:eastAsia="Calibri"/>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017D74B" w14:textId="77777777" w:rsidR="00920EA9" w:rsidRPr="00A01E40" w:rsidRDefault="00920EA9" w:rsidP="00920EA9">
      <w:pPr>
        <w:widowControl w:val="0"/>
        <w:autoSpaceDE w:val="0"/>
        <w:autoSpaceDN w:val="0"/>
        <w:adjustRightInd w:val="0"/>
        <w:spacing w:line="276" w:lineRule="auto"/>
        <w:ind w:firstLine="284"/>
        <w:rPr>
          <w:rFonts w:eastAsia="Calibri"/>
          <w:iCs/>
        </w:rPr>
      </w:pPr>
    </w:p>
    <w:p w14:paraId="4DAB2619" w14:textId="77777777" w:rsidR="00920EA9" w:rsidRPr="00A01E40" w:rsidRDefault="00920EA9" w:rsidP="00920EA9">
      <w:pPr>
        <w:widowControl w:val="0"/>
        <w:autoSpaceDE w:val="0"/>
        <w:autoSpaceDN w:val="0"/>
        <w:adjustRightInd w:val="0"/>
        <w:spacing w:line="276" w:lineRule="auto"/>
        <w:ind w:firstLine="284"/>
        <w:rPr>
          <w:rFonts w:eastAsia="Calibri"/>
          <w:iCs/>
        </w:rPr>
      </w:pPr>
      <w:r w:rsidRPr="00A01E40">
        <w:rPr>
          <w:rFonts w:eastAsia="Calibri"/>
          <w:iC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39E15C5B" w14:textId="77777777" w:rsidR="00920EA9" w:rsidRPr="00A01E40" w:rsidRDefault="00920EA9" w:rsidP="00920EA9">
      <w:pPr>
        <w:widowControl w:val="0"/>
        <w:autoSpaceDE w:val="0"/>
        <w:autoSpaceDN w:val="0"/>
        <w:adjustRightInd w:val="0"/>
        <w:spacing w:line="276" w:lineRule="auto"/>
        <w:ind w:firstLine="284"/>
        <w:rPr>
          <w:rFonts w:eastAsia="Calibri"/>
          <w:iCs/>
        </w:rPr>
      </w:pPr>
    </w:p>
    <w:p w14:paraId="15A0EFA5" w14:textId="77777777" w:rsidR="00920EA9" w:rsidRPr="00A01E40" w:rsidRDefault="00920EA9" w:rsidP="00920EA9">
      <w:pPr>
        <w:widowControl w:val="0"/>
        <w:autoSpaceDE w:val="0"/>
        <w:autoSpaceDN w:val="0"/>
        <w:adjustRightInd w:val="0"/>
        <w:spacing w:line="276" w:lineRule="auto"/>
        <w:ind w:firstLine="284"/>
        <w:rPr>
          <w:rFonts w:eastAsia="Calibri"/>
        </w:rPr>
      </w:pPr>
      <w:r w:rsidRPr="00A01E40">
        <w:rPr>
          <w:rFonts w:eastAsia="Calibri"/>
        </w:rPr>
        <w:tab/>
        <w:t xml:space="preserve">Ello así, también ha dicho el órgano de cierre de la especialidad laboral, que las </w:t>
      </w:r>
      <w:proofErr w:type="spellStart"/>
      <w:r w:rsidRPr="00A01E40">
        <w:rPr>
          <w:rFonts w:eastAsia="Calibri"/>
        </w:rPr>
        <w:t>AFPs</w:t>
      </w:r>
      <w:proofErr w:type="spellEnd"/>
      <w:r w:rsidRPr="00A01E40">
        <w:rPr>
          <w:rFonts w:eastAsia="Calibri"/>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5A164596" w14:textId="77777777" w:rsidR="00920EA9" w:rsidRPr="00A01E40" w:rsidRDefault="00920EA9" w:rsidP="00920EA9">
      <w:pPr>
        <w:widowControl w:val="0"/>
        <w:autoSpaceDE w:val="0"/>
        <w:autoSpaceDN w:val="0"/>
        <w:adjustRightInd w:val="0"/>
        <w:spacing w:line="276" w:lineRule="auto"/>
        <w:ind w:firstLine="284"/>
        <w:rPr>
          <w:rFonts w:eastAsia="Calibri"/>
        </w:rPr>
      </w:pPr>
    </w:p>
    <w:p w14:paraId="2378719F" w14:textId="77777777" w:rsidR="00920EA9" w:rsidRPr="00A01E40" w:rsidRDefault="00920EA9" w:rsidP="00920EA9">
      <w:pPr>
        <w:widowControl w:val="0"/>
        <w:autoSpaceDE w:val="0"/>
        <w:autoSpaceDN w:val="0"/>
        <w:adjustRightInd w:val="0"/>
        <w:spacing w:line="276" w:lineRule="auto"/>
        <w:ind w:firstLine="708"/>
        <w:rPr>
          <w:rFonts w:eastAsia="Calibri"/>
        </w:rPr>
      </w:pPr>
      <w:bookmarkStart w:id="5" w:name="_Hlk90025453"/>
      <w:r w:rsidRPr="00A01E40">
        <w:rPr>
          <w:rFonts w:eastAsia="Calibri"/>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A01E40">
        <w:rPr>
          <w:rFonts w:eastAsia="Calibri"/>
          <w:b/>
        </w:rPr>
        <w:t xml:space="preserve">necesaria y transparente, </w:t>
      </w:r>
      <w:r w:rsidRPr="00A01E40">
        <w:rPr>
          <w:rFonts w:eastAsia="Calibri"/>
        </w:rPr>
        <w:t xml:space="preserve">que con el transcurrir del tiempo esta exigencia cambió, pasando de un deber de información necesaria al de </w:t>
      </w:r>
      <w:r w:rsidRPr="00A01E40">
        <w:rPr>
          <w:rFonts w:eastAsia="Calibri"/>
          <w:b/>
        </w:rPr>
        <w:t>asesoría y buen consejo</w:t>
      </w:r>
      <w:r w:rsidRPr="00A01E40">
        <w:rPr>
          <w:rFonts w:eastAsia="Calibri"/>
        </w:rPr>
        <w:t xml:space="preserve">, y finalmente al de </w:t>
      </w:r>
      <w:r w:rsidRPr="00A01E40">
        <w:rPr>
          <w:rFonts w:eastAsia="Calibri"/>
          <w:b/>
        </w:rPr>
        <w:t>doble asesoría</w:t>
      </w:r>
      <w:r w:rsidRPr="00A01E40">
        <w:rPr>
          <w:rFonts w:eastAsia="Calibri"/>
        </w:rPr>
        <w:t>, explicando en qué consiste cada uno de esos conceptos</w:t>
      </w:r>
      <w:bookmarkEnd w:id="5"/>
      <w:r w:rsidRPr="00A01E40">
        <w:rPr>
          <w:rFonts w:eastAsia="Calibri"/>
        </w:rPr>
        <w:t>. Dicho recuento histórico, se compendia de la siguiente manera:</w:t>
      </w:r>
    </w:p>
    <w:p w14:paraId="5EABAA57" w14:textId="77777777" w:rsidR="00920EA9" w:rsidRPr="00A01E40" w:rsidRDefault="00920EA9" w:rsidP="00920EA9">
      <w:pPr>
        <w:widowControl w:val="0"/>
        <w:autoSpaceDE w:val="0"/>
        <w:autoSpaceDN w:val="0"/>
        <w:adjustRightInd w:val="0"/>
        <w:spacing w:line="276" w:lineRule="auto"/>
        <w:ind w:firstLine="284"/>
        <w:rPr>
          <w:rFonts w:eastAsia="Calibri"/>
        </w:rPr>
      </w:pPr>
    </w:p>
    <w:p w14:paraId="7AB2B3AD" w14:textId="77777777" w:rsidR="00920EA9" w:rsidRPr="00A01E40" w:rsidRDefault="00920EA9" w:rsidP="00920EA9">
      <w:pPr>
        <w:spacing w:line="240" w:lineRule="auto"/>
        <w:ind w:left="426" w:right="420"/>
        <w:textAlignment w:val="baseline"/>
        <w:rPr>
          <w:rFonts w:eastAsia="Times New Roman"/>
          <w:lang w:eastAsia="es-ES"/>
        </w:rPr>
      </w:pPr>
      <w:bookmarkStart w:id="6" w:name="_Hlk66368436"/>
      <w:bookmarkStart w:id="7" w:name="_Hlk90025057"/>
      <w:r w:rsidRPr="00A01E40">
        <w:rPr>
          <w:rFonts w:eastAsia="Times New Roman"/>
          <w:i/>
          <w:iCs/>
          <w:lang w:eastAsia="es-ES"/>
        </w:rPr>
        <w:t>“El anterior recuento sobre la evolución normativa del deber de información a cargo de las administradoras de pensiones podría, a grandes rasgos, sintetizarse así:</w:t>
      </w:r>
    </w:p>
    <w:p w14:paraId="34A3FF84" w14:textId="77777777" w:rsidR="00920EA9" w:rsidRPr="00A01E40" w:rsidRDefault="00920EA9" w:rsidP="00920EA9">
      <w:pPr>
        <w:spacing w:line="240" w:lineRule="auto"/>
        <w:ind w:left="426" w:right="420"/>
        <w:textAlignment w:val="baseline"/>
        <w:rPr>
          <w:rFonts w:eastAsia="Times New Roman"/>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920EA9" w:rsidRPr="00A01E40" w14:paraId="47A07FD8" w14:textId="77777777" w:rsidTr="005E00B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28E349C"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b/>
                <w:bCs/>
                <w:i/>
                <w:iCs/>
                <w:sz w:val="20"/>
                <w:lang w:eastAsia="es-ES"/>
              </w:rPr>
              <w:t>Etapa acumulativa</w:t>
            </w:r>
            <w:r w:rsidRPr="00A01E40">
              <w:rPr>
                <w:rFonts w:eastAsia="Times New Roman"/>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4850D59"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b/>
                <w:bCs/>
                <w:i/>
                <w:iCs/>
                <w:sz w:val="20"/>
                <w:lang w:eastAsia="es-ES"/>
              </w:rPr>
              <w:t>Normas que obligan a las administradoras de pensiones a dar información</w:t>
            </w:r>
            <w:r w:rsidRPr="00A01E40">
              <w:rPr>
                <w:rFonts w:eastAsia="Times New Roman"/>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F5E16E1"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b/>
                <w:bCs/>
                <w:i/>
                <w:iCs/>
                <w:sz w:val="20"/>
                <w:lang w:eastAsia="es-ES"/>
              </w:rPr>
              <w:t>Contenido mínimo y alcance del deber de información</w:t>
            </w:r>
            <w:r w:rsidRPr="00A01E40">
              <w:rPr>
                <w:rFonts w:eastAsia="Times New Roman"/>
                <w:sz w:val="20"/>
                <w:lang w:eastAsia="es-ES"/>
              </w:rPr>
              <w:t> </w:t>
            </w:r>
          </w:p>
        </w:tc>
      </w:tr>
      <w:tr w:rsidR="00920EA9" w:rsidRPr="00A01E40" w14:paraId="3353FD77" w14:textId="77777777" w:rsidTr="005E00B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3554D98"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i/>
                <w:iCs/>
                <w:sz w:val="20"/>
                <w:lang w:eastAsia="es-ES"/>
              </w:rPr>
              <w:t>Deber de información </w:t>
            </w:r>
            <w:r w:rsidRPr="00A01E40">
              <w:rPr>
                <w:rFonts w:eastAsia="Times New Roman"/>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A8EAF0A"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i/>
                <w:iCs/>
                <w:sz w:val="20"/>
                <w:lang w:eastAsia="es-ES"/>
              </w:rPr>
              <w:t>Arts. 13 literal b), 271 y 272 de la Ley 100 de 1993</w:t>
            </w:r>
            <w:r w:rsidRPr="00A01E40">
              <w:rPr>
                <w:rFonts w:eastAsia="Times New Roman"/>
                <w:sz w:val="20"/>
                <w:lang w:eastAsia="es-ES"/>
              </w:rPr>
              <w:t> </w:t>
            </w:r>
          </w:p>
          <w:p w14:paraId="3EDDDEFC"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i/>
                <w:iCs/>
                <w:sz w:val="20"/>
                <w:lang w:eastAsia="es-ES"/>
              </w:rPr>
              <w:t>Art. 97, numeral 1 del Decreto 663 de 1993, modificado por el artículo 23 de la Ley 797 de 2003</w:t>
            </w:r>
            <w:r w:rsidRPr="00A01E40">
              <w:rPr>
                <w:rFonts w:eastAsia="Times New Roman"/>
                <w:sz w:val="20"/>
                <w:lang w:eastAsia="es-ES"/>
              </w:rPr>
              <w:t> </w:t>
            </w:r>
          </w:p>
          <w:p w14:paraId="60C046E8"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i/>
                <w:iCs/>
                <w:sz w:val="20"/>
                <w:lang w:eastAsia="es-ES"/>
              </w:rPr>
              <w:lastRenderedPageBreak/>
              <w:t>Disposiciones constitucionales relativas al derecho a la información, no menoscabo de derechos laborales y autonomía personal</w:t>
            </w:r>
            <w:r w:rsidRPr="00A01E40">
              <w:rPr>
                <w:rFonts w:eastAsia="Times New Roman"/>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B6D188F"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i/>
                <w:iCs/>
                <w:sz w:val="20"/>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A01E40">
              <w:rPr>
                <w:rFonts w:eastAsia="Times New Roman"/>
                <w:sz w:val="20"/>
                <w:lang w:eastAsia="es-ES"/>
              </w:rPr>
              <w:t> </w:t>
            </w:r>
          </w:p>
        </w:tc>
      </w:tr>
      <w:tr w:rsidR="00920EA9" w:rsidRPr="00A01E40" w14:paraId="72E200E9" w14:textId="77777777" w:rsidTr="005E00B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82F9E11"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i/>
                <w:iCs/>
                <w:sz w:val="20"/>
                <w:lang w:eastAsia="es-ES"/>
              </w:rPr>
              <w:t>Deber de información, asesoría y buen consejo</w:t>
            </w:r>
            <w:r w:rsidRPr="00A01E40">
              <w:rPr>
                <w:rFonts w:eastAsia="Times New Roman"/>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5CFB1DE"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i/>
                <w:iCs/>
                <w:sz w:val="20"/>
                <w:lang w:eastAsia="es-ES"/>
              </w:rPr>
              <w:t>Artículo 3, literal c) de la Ley 1328 de 2009</w:t>
            </w:r>
            <w:r w:rsidRPr="00A01E40">
              <w:rPr>
                <w:rFonts w:eastAsia="Times New Roman"/>
                <w:sz w:val="20"/>
                <w:lang w:eastAsia="es-ES"/>
              </w:rPr>
              <w:t> </w:t>
            </w:r>
          </w:p>
          <w:p w14:paraId="5BE75442"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i/>
                <w:iCs/>
                <w:sz w:val="20"/>
                <w:lang w:eastAsia="es-ES"/>
              </w:rPr>
              <w:t>Decreto 2241 de 2010</w:t>
            </w:r>
            <w:r w:rsidRPr="00A01E40">
              <w:rPr>
                <w:rFonts w:eastAsia="Times New Roman"/>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498542C"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A01E40">
              <w:rPr>
                <w:rFonts w:eastAsia="Times New Roman"/>
                <w:sz w:val="20"/>
                <w:lang w:eastAsia="es-ES"/>
              </w:rPr>
              <w:t> </w:t>
            </w:r>
          </w:p>
        </w:tc>
      </w:tr>
      <w:tr w:rsidR="00920EA9" w:rsidRPr="00A01E40" w14:paraId="0B7F3F74" w14:textId="77777777" w:rsidTr="005E00B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349DE2F"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i/>
                <w:iCs/>
                <w:sz w:val="20"/>
                <w:lang w:eastAsia="es-ES"/>
              </w:rPr>
              <w:t>Deber de información, asesoría, buen consejo y doble asesoría. </w:t>
            </w:r>
            <w:r w:rsidRPr="00A01E40">
              <w:rPr>
                <w:rFonts w:eastAsia="Times New Roman"/>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3DD8E83"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i/>
                <w:iCs/>
                <w:sz w:val="20"/>
                <w:lang w:eastAsia="es-ES"/>
              </w:rPr>
              <w:t>Ley 1748 de 2014</w:t>
            </w:r>
            <w:r w:rsidRPr="00A01E40">
              <w:rPr>
                <w:rFonts w:eastAsia="Times New Roman"/>
                <w:sz w:val="20"/>
                <w:lang w:eastAsia="es-ES"/>
              </w:rPr>
              <w:t> </w:t>
            </w:r>
          </w:p>
          <w:p w14:paraId="05B0FE7A"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i/>
                <w:iCs/>
                <w:sz w:val="20"/>
                <w:lang w:eastAsia="es-ES"/>
              </w:rPr>
              <w:t>Artículo 3 del Decreto 2071 de 2015</w:t>
            </w:r>
            <w:r w:rsidRPr="00A01E40">
              <w:rPr>
                <w:rFonts w:eastAsia="Times New Roman"/>
                <w:sz w:val="20"/>
                <w:lang w:eastAsia="es-ES"/>
              </w:rPr>
              <w:t> </w:t>
            </w:r>
          </w:p>
          <w:p w14:paraId="721F3B59"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i/>
                <w:iCs/>
                <w:sz w:val="20"/>
                <w:lang w:eastAsia="es-ES"/>
              </w:rPr>
              <w:t>Circular Externa n. 016 de 2016</w:t>
            </w:r>
            <w:r w:rsidRPr="00A01E40">
              <w:rPr>
                <w:rFonts w:eastAsia="Times New Roman"/>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334CBE8" w14:textId="77777777" w:rsidR="00920EA9" w:rsidRPr="00A01E40" w:rsidRDefault="00920EA9" w:rsidP="005E00B8">
            <w:pPr>
              <w:spacing w:line="276" w:lineRule="auto"/>
              <w:textAlignment w:val="baseline"/>
              <w:rPr>
                <w:rFonts w:eastAsia="Times New Roman"/>
                <w:sz w:val="20"/>
                <w:lang w:eastAsia="es-ES"/>
              </w:rPr>
            </w:pPr>
            <w:r w:rsidRPr="00A01E40">
              <w:rPr>
                <w:rFonts w:eastAsia="Times New Roman"/>
                <w:i/>
                <w:iCs/>
                <w:sz w:val="20"/>
                <w:lang w:eastAsia="es-ES"/>
              </w:rPr>
              <w:t>Junto con lo anterior, lleva inmerso el derecho a obtener asesoría de los representantes de ambos regímenes pensionales.</w:t>
            </w:r>
            <w:r w:rsidRPr="00A01E40">
              <w:rPr>
                <w:rFonts w:eastAsia="Times New Roman"/>
                <w:sz w:val="20"/>
                <w:lang w:eastAsia="es-ES"/>
              </w:rPr>
              <w:t> </w:t>
            </w:r>
          </w:p>
        </w:tc>
      </w:tr>
    </w:tbl>
    <w:p w14:paraId="2BB1F326" w14:textId="77777777" w:rsidR="00920EA9" w:rsidRPr="00A01E40" w:rsidRDefault="00920EA9" w:rsidP="00920EA9">
      <w:pPr>
        <w:spacing w:line="240" w:lineRule="auto"/>
        <w:ind w:left="426" w:right="420"/>
        <w:rPr>
          <w:rFonts w:eastAsia="Calibri"/>
          <w:b/>
          <w:i/>
          <w:spacing w:val="-4"/>
        </w:rPr>
      </w:pPr>
    </w:p>
    <w:bookmarkEnd w:id="6"/>
    <w:p w14:paraId="64C9C082" w14:textId="77777777" w:rsidR="00920EA9" w:rsidRPr="00A01E40" w:rsidRDefault="00920EA9" w:rsidP="00920EA9">
      <w:pPr>
        <w:spacing w:line="240" w:lineRule="auto"/>
        <w:ind w:left="426" w:right="420"/>
        <w:rPr>
          <w:rFonts w:eastAsia="Calibri"/>
          <w:b/>
          <w:i/>
        </w:rPr>
      </w:pPr>
      <w:r w:rsidRPr="00A01E40">
        <w:rPr>
          <w:rFonts w:eastAsia="Calibri"/>
          <w:b/>
          <w:i/>
        </w:rPr>
        <w:t>1.4 Conclusión: La constatación del deber de información es ineludible</w:t>
      </w:r>
    </w:p>
    <w:p w14:paraId="2AEB34E9" w14:textId="77777777" w:rsidR="00920EA9" w:rsidRPr="00A01E40" w:rsidRDefault="00920EA9" w:rsidP="00920EA9">
      <w:pPr>
        <w:spacing w:line="240" w:lineRule="auto"/>
        <w:ind w:left="426" w:right="420"/>
        <w:rPr>
          <w:rFonts w:eastAsia="Calibri"/>
          <w:b/>
          <w:i/>
        </w:rPr>
      </w:pPr>
    </w:p>
    <w:p w14:paraId="1C59A7E3" w14:textId="77777777" w:rsidR="00920EA9" w:rsidRPr="00A01E40" w:rsidRDefault="00920EA9" w:rsidP="00920EA9">
      <w:pPr>
        <w:spacing w:line="240" w:lineRule="auto"/>
        <w:ind w:left="426" w:right="420" w:firstLine="1"/>
        <w:rPr>
          <w:rFonts w:eastAsia="Calibri"/>
          <w:i/>
        </w:rPr>
      </w:pPr>
      <w:r w:rsidRPr="00A01E40">
        <w:rPr>
          <w:rFonts w:eastAsia="Calibri"/>
          <w:i/>
        </w:rPr>
        <w:t xml:space="preserve">Según se pudo advertir del anterior recuento, </w:t>
      </w:r>
      <w:r w:rsidRPr="00A01E40">
        <w:rPr>
          <w:rFonts w:eastAsia="Calibri"/>
          <w:b/>
          <w:i/>
        </w:rPr>
        <w:t>las AFP, desde su creación, tenían el deber de brindar información a los afiliados o usuarios del sistema pensional a fin de que estos pudiesen adoptar una decisión consciente y realmente libre sobre su futuro pensional.</w:t>
      </w:r>
      <w:r w:rsidRPr="00A01E40">
        <w:rPr>
          <w:rFonts w:eastAsia="Calibri"/>
          <w:i/>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68A6FC1" w14:textId="77777777" w:rsidR="00920EA9" w:rsidRPr="00A01E40" w:rsidRDefault="00920EA9" w:rsidP="00920EA9">
      <w:pPr>
        <w:spacing w:line="240" w:lineRule="auto"/>
        <w:ind w:left="426" w:right="420" w:firstLine="1"/>
        <w:rPr>
          <w:rFonts w:eastAsia="Calibri"/>
          <w:i/>
        </w:rPr>
      </w:pPr>
    </w:p>
    <w:p w14:paraId="77EE131B" w14:textId="77777777" w:rsidR="00920EA9" w:rsidRPr="00A01E40" w:rsidRDefault="00920EA9" w:rsidP="00920EA9">
      <w:pPr>
        <w:spacing w:line="240" w:lineRule="auto"/>
        <w:ind w:left="426" w:right="420"/>
        <w:rPr>
          <w:rFonts w:eastAsia="Calibri"/>
          <w:i/>
        </w:rPr>
      </w:pPr>
      <w:r w:rsidRPr="00A01E40">
        <w:rPr>
          <w:rFonts w:eastAsia="Calibri"/>
          <w:i/>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035FE467" w14:textId="77777777" w:rsidR="00920EA9" w:rsidRPr="00A01E40" w:rsidRDefault="00920EA9" w:rsidP="00920EA9">
      <w:pPr>
        <w:spacing w:line="240" w:lineRule="auto"/>
        <w:ind w:left="426" w:right="420"/>
        <w:rPr>
          <w:rFonts w:eastAsia="Calibri"/>
          <w:i/>
        </w:rPr>
      </w:pPr>
    </w:p>
    <w:p w14:paraId="10CA04FC" w14:textId="77777777" w:rsidR="00920EA9" w:rsidRPr="00A01E40" w:rsidRDefault="00920EA9" w:rsidP="00920EA9">
      <w:pPr>
        <w:spacing w:line="240" w:lineRule="auto"/>
        <w:ind w:left="426" w:right="420"/>
        <w:rPr>
          <w:rFonts w:eastAsia="Calibri"/>
          <w:i/>
        </w:rPr>
      </w:pPr>
      <w:r w:rsidRPr="00A01E40">
        <w:rPr>
          <w:rFonts w:eastAsia="Calibri"/>
          <w:i/>
        </w:rPr>
        <w:t xml:space="preserve">Adicionalmente, la Sala no puede pasar por alto la indebida fundamentación con la que </w:t>
      </w:r>
      <w:r w:rsidRPr="00A01E40">
        <w:rPr>
          <w:rFonts w:eastAsia="Calibri"/>
          <w:bCs/>
          <w:i/>
        </w:rPr>
        <w:t>la Sala Primera de Decisión Laboral del Tribunal de Medellín</w:t>
      </w:r>
      <w:r w:rsidRPr="00A01E40">
        <w:rPr>
          <w:rFonts w:eastAsia="Calibri"/>
          <w:i/>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312DE88D" w14:textId="77777777" w:rsidR="00920EA9" w:rsidRPr="00A01E40" w:rsidRDefault="00920EA9" w:rsidP="00920EA9">
      <w:pPr>
        <w:spacing w:line="276" w:lineRule="auto"/>
        <w:ind w:left="708"/>
        <w:rPr>
          <w:rFonts w:eastAsia="Calibri"/>
          <w:i/>
          <w:spacing w:val="-4"/>
        </w:rPr>
      </w:pPr>
    </w:p>
    <w:p w14:paraId="493F3B1E" w14:textId="77777777" w:rsidR="00920EA9" w:rsidRPr="00A01E40" w:rsidRDefault="00920EA9" w:rsidP="00920EA9">
      <w:pPr>
        <w:spacing w:line="276" w:lineRule="auto"/>
        <w:ind w:firstLine="644"/>
        <w:rPr>
          <w:rFonts w:eastAsia="Calibri"/>
          <w:spacing w:val="-4"/>
        </w:rPr>
      </w:pPr>
      <w:r w:rsidRPr="00A01E40">
        <w:rPr>
          <w:rFonts w:eastAsia="Calibri"/>
          <w:spacing w:val="-4"/>
        </w:rPr>
        <w:t>Con lo dicho precedentemente queda resuelto el primer problema jurídico.</w:t>
      </w:r>
    </w:p>
    <w:bookmarkEnd w:id="7"/>
    <w:p w14:paraId="19CBDC32" w14:textId="77777777" w:rsidR="00920EA9" w:rsidRPr="00A01E40" w:rsidRDefault="00920EA9" w:rsidP="00920EA9">
      <w:pPr>
        <w:widowControl w:val="0"/>
        <w:autoSpaceDE w:val="0"/>
        <w:autoSpaceDN w:val="0"/>
        <w:adjustRightInd w:val="0"/>
        <w:spacing w:line="276" w:lineRule="auto"/>
        <w:ind w:firstLine="284"/>
        <w:rPr>
          <w:rFonts w:eastAsia="Calibri"/>
        </w:rPr>
      </w:pPr>
    </w:p>
    <w:p w14:paraId="3CCB2C07" w14:textId="77FCCB42" w:rsidR="00920EA9" w:rsidRPr="003F272C" w:rsidRDefault="00920EA9" w:rsidP="003F272C">
      <w:pPr>
        <w:pStyle w:val="Prrafodelista"/>
        <w:widowControl w:val="0"/>
        <w:numPr>
          <w:ilvl w:val="1"/>
          <w:numId w:val="8"/>
        </w:numPr>
        <w:autoSpaceDE w:val="0"/>
        <w:autoSpaceDN w:val="0"/>
        <w:adjustRightInd w:val="0"/>
        <w:spacing w:line="276" w:lineRule="auto"/>
        <w:rPr>
          <w:rFonts w:eastAsia="Calibri"/>
          <w:b/>
        </w:rPr>
      </w:pPr>
      <w:r w:rsidRPr="003F272C">
        <w:rPr>
          <w:rFonts w:eastAsia="Calibri"/>
          <w:b/>
        </w:rPr>
        <w:t xml:space="preserve">“El simple consentimiento vertido en el formulario de afiliación </w:t>
      </w:r>
      <w:r w:rsidRPr="003F272C">
        <w:rPr>
          <w:rFonts w:eastAsia="Calibri"/>
          <w:b/>
        </w:rPr>
        <w:lastRenderedPageBreak/>
        <w:t xml:space="preserve">es insuficiente – Necesidad de un consentimiento informado” </w:t>
      </w:r>
      <w:r w:rsidRPr="003F272C">
        <w:rPr>
          <w:b/>
          <w:vertAlign w:val="superscript"/>
        </w:rPr>
        <w:footnoteReference w:id="3"/>
      </w:r>
      <w:r w:rsidRPr="003F272C">
        <w:rPr>
          <w:rFonts w:eastAsia="Calibri"/>
          <w:b/>
        </w:rPr>
        <w:t xml:space="preserve"> </w:t>
      </w:r>
    </w:p>
    <w:p w14:paraId="5964D56B" w14:textId="77777777" w:rsidR="00920EA9" w:rsidRPr="00A01E40" w:rsidRDefault="00920EA9" w:rsidP="00920EA9">
      <w:pPr>
        <w:widowControl w:val="0"/>
        <w:autoSpaceDE w:val="0"/>
        <w:autoSpaceDN w:val="0"/>
        <w:adjustRightInd w:val="0"/>
        <w:spacing w:line="276" w:lineRule="auto"/>
        <w:ind w:firstLine="284"/>
        <w:rPr>
          <w:rFonts w:eastAsia="Calibri"/>
        </w:rPr>
      </w:pPr>
    </w:p>
    <w:p w14:paraId="0C5C51A6" w14:textId="77777777" w:rsidR="00920EA9" w:rsidRPr="00A01E40" w:rsidRDefault="00920EA9" w:rsidP="00920EA9">
      <w:pPr>
        <w:widowControl w:val="0"/>
        <w:autoSpaceDE w:val="0"/>
        <w:autoSpaceDN w:val="0"/>
        <w:adjustRightInd w:val="0"/>
        <w:spacing w:line="276" w:lineRule="auto"/>
        <w:ind w:firstLine="708"/>
        <w:rPr>
          <w:rFonts w:eastAsia="Calibri"/>
        </w:rPr>
      </w:pPr>
      <w:r w:rsidRPr="00A01E40">
        <w:rPr>
          <w:rFonts w:eastAsia="Calibri"/>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A01E40">
        <w:rPr>
          <w:rFonts w:eastAsia="Calibri"/>
          <w:b/>
        </w:rPr>
        <w:t>pero no informado</w:t>
      </w:r>
      <w:r w:rsidRPr="00A01E40">
        <w:rPr>
          <w:rFonts w:eastAsia="Calibri"/>
        </w:rPr>
        <w:t xml:space="preserve">, tal como se expresa a continuación: </w:t>
      </w:r>
    </w:p>
    <w:p w14:paraId="4CB516BC" w14:textId="77777777" w:rsidR="00920EA9" w:rsidRPr="00A01E40" w:rsidRDefault="00920EA9" w:rsidP="00920EA9">
      <w:pPr>
        <w:widowControl w:val="0"/>
        <w:autoSpaceDE w:val="0"/>
        <w:autoSpaceDN w:val="0"/>
        <w:adjustRightInd w:val="0"/>
        <w:spacing w:line="276" w:lineRule="auto"/>
        <w:ind w:firstLine="284"/>
        <w:rPr>
          <w:rFonts w:eastAsia="Calibri"/>
        </w:rPr>
      </w:pPr>
    </w:p>
    <w:p w14:paraId="5A36046F" w14:textId="77777777" w:rsidR="00920EA9" w:rsidRPr="00A01E40" w:rsidRDefault="00920EA9" w:rsidP="00920EA9">
      <w:pPr>
        <w:spacing w:line="240" w:lineRule="auto"/>
        <w:ind w:left="426" w:right="420" w:firstLine="1"/>
        <w:rPr>
          <w:rFonts w:eastAsia="Calibri"/>
          <w:i/>
        </w:rPr>
      </w:pPr>
      <w:r w:rsidRPr="00A01E40">
        <w:rPr>
          <w:rFonts w:eastAsia="Calibri"/>
          <w:i/>
        </w:rPr>
        <w:t xml:space="preserve">“Para el Tribunal el consentimiento informado no es predicable del acto jurídico de traslado, pues basta la consignación en el formulario de que la afiliación se hizo de manera libre y voluntaria. </w:t>
      </w:r>
    </w:p>
    <w:p w14:paraId="655503DE" w14:textId="77777777" w:rsidR="00920EA9" w:rsidRPr="00A01E40" w:rsidRDefault="00920EA9" w:rsidP="00920EA9">
      <w:pPr>
        <w:spacing w:line="240" w:lineRule="auto"/>
        <w:ind w:left="426" w:right="420" w:firstLine="1"/>
        <w:rPr>
          <w:rFonts w:eastAsia="Calibri"/>
          <w:i/>
        </w:rPr>
      </w:pPr>
    </w:p>
    <w:p w14:paraId="09824AEC" w14:textId="77777777" w:rsidR="00920EA9" w:rsidRPr="00A01E40" w:rsidRDefault="00920EA9" w:rsidP="00920EA9">
      <w:pPr>
        <w:spacing w:line="240" w:lineRule="auto"/>
        <w:ind w:left="426" w:right="420" w:firstLine="1"/>
        <w:rPr>
          <w:rFonts w:eastAsia="Calibri"/>
          <w:i/>
        </w:rPr>
      </w:pPr>
      <w:r w:rsidRPr="00A01E40">
        <w:rPr>
          <w:rFonts w:eastAsia="Calibri"/>
          <w:i/>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680E918" w14:textId="77777777" w:rsidR="00920EA9" w:rsidRPr="00A01E40" w:rsidRDefault="00920EA9" w:rsidP="00920EA9">
      <w:pPr>
        <w:spacing w:line="240" w:lineRule="auto"/>
        <w:ind w:left="426" w:right="420" w:firstLine="1"/>
        <w:rPr>
          <w:rFonts w:eastAsia="Calibri"/>
          <w:i/>
        </w:rPr>
      </w:pPr>
    </w:p>
    <w:p w14:paraId="7A7B21BF" w14:textId="77777777" w:rsidR="00920EA9" w:rsidRPr="00A01E40" w:rsidRDefault="00920EA9" w:rsidP="00920EA9">
      <w:pPr>
        <w:spacing w:line="240" w:lineRule="auto"/>
        <w:ind w:left="426" w:right="420" w:firstLine="1"/>
        <w:rPr>
          <w:rFonts w:eastAsia="Calibri"/>
          <w:i/>
        </w:rPr>
      </w:pPr>
      <w:r w:rsidRPr="00A01E40">
        <w:rPr>
          <w:rFonts w:eastAsia="Calibri"/>
          <w:i/>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60CA8908" w14:textId="77777777" w:rsidR="00920EA9" w:rsidRPr="00A01E40" w:rsidRDefault="00920EA9" w:rsidP="00920EA9">
      <w:pPr>
        <w:spacing w:line="240" w:lineRule="auto"/>
        <w:ind w:left="426" w:right="420" w:firstLine="1"/>
        <w:rPr>
          <w:rFonts w:eastAsia="Calibri"/>
          <w:i/>
        </w:rPr>
      </w:pPr>
    </w:p>
    <w:p w14:paraId="54F7E06E" w14:textId="77777777" w:rsidR="00920EA9" w:rsidRPr="00A01E40" w:rsidRDefault="00920EA9" w:rsidP="00920EA9">
      <w:pPr>
        <w:spacing w:line="240" w:lineRule="auto"/>
        <w:ind w:left="426" w:right="420" w:firstLine="1"/>
        <w:rPr>
          <w:rFonts w:eastAsia="Calibri"/>
          <w:i/>
        </w:rPr>
      </w:pPr>
      <w:r w:rsidRPr="00A01E40">
        <w:rPr>
          <w:rFonts w:eastAsia="Calibri"/>
          <w:i/>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4469C4B6" w14:textId="77777777" w:rsidR="00920EA9" w:rsidRPr="00A01E40" w:rsidRDefault="00920EA9" w:rsidP="00920EA9">
      <w:pPr>
        <w:widowControl w:val="0"/>
        <w:autoSpaceDE w:val="0"/>
        <w:autoSpaceDN w:val="0"/>
        <w:adjustRightInd w:val="0"/>
        <w:spacing w:line="276" w:lineRule="auto"/>
        <w:ind w:firstLine="284"/>
        <w:rPr>
          <w:rFonts w:eastAsia="Calibri"/>
          <w:bCs/>
        </w:rPr>
      </w:pPr>
    </w:p>
    <w:p w14:paraId="28AC5169" w14:textId="77777777" w:rsidR="00920EA9" w:rsidRPr="00A01E40" w:rsidRDefault="00920EA9" w:rsidP="00920EA9">
      <w:pPr>
        <w:widowControl w:val="0"/>
        <w:autoSpaceDE w:val="0"/>
        <w:autoSpaceDN w:val="0"/>
        <w:adjustRightInd w:val="0"/>
        <w:spacing w:line="276" w:lineRule="auto"/>
        <w:ind w:firstLine="708"/>
        <w:rPr>
          <w:rFonts w:eastAsia="Calibri"/>
          <w:bCs/>
        </w:rPr>
      </w:pPr>
      <w:r w:rsidRPr="00A01E40">
        <w:rPr>
          <w:rFonts w:eastAsia="Calibri"/>
          <w:bCs/>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A01E40">
        <w:rPr>
          <w:rFonts w:eastAsia="Calibri"/>
          <w:bCs/>
          <w:vertAlign w:val="superscript"/>
        </w:rPr>
        <w:footnoteReference w:id="4"/>
      </w:r>
      <w:r w:rsidRPr="00A01E40">
        <w:rPr>
          <w:rFonts w:eastAsia="Calibri"/>
          <w:bCs/>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75BBF412" w14:textId="77777777" w:rsidR="00920EA9" w:rsidRPr="00A01E40" w:rsidRDefault="00920EA9" w:rsidP="00920EA9">
      <w:pPr>
        <w:widowControl w:val="0"/>
        <w:autoSpaceDE w:val="0"/>
        <w:autoSpaceDN w:val="0"/>
        <w:adjustRightInd w:val="0"/>
        <w:spacing w:line="276" w:lineRule="auto"/>
        <w:ind w:firstLine="284"/>
        <w:rPr>
          <w:rFonts w:eastAsia="Calibri"/>
          <w:bCs/>
          <w:i/>
        </w:rPr>
      </w:pPr>
    </w:p>
    <w:p w14:paraId="468F48F4" w14:textId="77777777" w:rsidR="00920EA9" w:rsidRPr="00A01E40" w:rsidRDefault="00920EA9" w:rsidP="00920EA9">
      <w:pPr>
        <w:spacing w:line="240" w:lineRule="auto"/>
        <w:ind w:left="426" w:right="420"/>
        <w:rPr>
          <w:rFonts w:eastAsia="Calibri"/>
          <w:i/>
        </w:rPr>
      </w:pPr>
      <w:r w:rsidRPr="00A01E40">
        <w:rPr>
          <w:rFonts w:eastAsia="Calibri"/>
          <w:i/>
        </w:rPr>
        <w:t xml:space="preserve">“De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w:t>
      </w:r>
      <w:r w:rsidRPr="00A01E40">
        <w:rPr>
          <w:rFonts w:eastAsia="Calibri"/>
          <w:i/>
        </w:rPr>
        <w:lastRenderedPageBreak/>
        <w:t>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01EEA092" w14:textId="77777777" w:rsidR="00920EA9" w:rsidRPr="00A01E40" w:rsidRDefault="00920EA9" w:rsidP="00920EA9">
      <w:pPr>
        <w:spacing w:line="240" w:lineRule="auto"/>
        <w:ind w:left="426" w:right="420" w:firstLine="708"/>
        <w:rPr>
          <w:rFonts w:eastAsia="Calibri"/>
          <w:b/>
          <w:i/>
        </w:rPr>
      </w:pPr>
    </w:p>
    <w:p w14:paraId="3A92B20B" w14:textId="77777777" w:rsidR="00920EA9" w:rsidRPr="00A01E40" w:rsidRDefault="00920EA9" w:rsidP="00920EA9">
      <w:pPr>
        <w:tabs>
          <w:tab w:val="left" w:pos="709"/>
        </w:tabs>
        <w:spacing w:line="240" w:lineRule="auto"/>
        <w:ind w:left="426" w:right="420"/>
        <w:rPr>
          <w:rFonts w:eastAsia="Calibri"/>
          <w:i/>
        </w:rPr>
      </w:pPr>
      <w:r w:rsidRPr="00A01E40">
        <w:rPr>
          <w:rFonts w:eastAsia="Calibri"/>
          <w:i/>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28C521E6" w14:textId="77777777" w:rsidR="00920EA9" w:rsidRPr="00A01E40" w:rsidRDefault="00920EA9" w:rsidP="00920EA9">
      <w:pPr>
        <w:spacing w:line="276" w:lineRule="auto"/>
      </w:pPr>
      <w:r w:rsidRPr="00A01E40">
        <w:t xml:space="preserve"> </w:t>
      </w:r>
    </w:p>
    <w:p w14:paraId="2DB22D21" w14:textId="77777777" w:rsidR="00920EA9" w:rsidRPr="00A01E40" w:rsidRDefault="00920EA9" w:rsidP="00920EA9">
      <w:pPr>
        <w:spacing w:line="276" w:lineRule="auto"/>
        <w:ind w:firstLine="284"/>
      </w:pPr>
      <w:r w:rsidRPr="00A01E40">
        <w:rPr>
          <w:lang w:val="es"/>
        </w:rPr>
        <w:t xml:space="preserve">Igual cosa se ha predicado de las </w:t>
      </w:r>
      <w:proofErr w:type="spellStart"/>
      <w:r w:rsidRPr="00A01E40">
        <w:rPr>
          <w:lang w:val="es"/>
        </w:rPr>
        <w:t>reasesorías</w:t>
      </w:r>
      <w:proofErr w:type="spellEnd"/>
      <w:r w:rsidRPr="00A01E40">
        <w:rPr>
          <w:lang w:val="es"/>
        </w:rPr>
        <w:t xml:space="preserve"> posteriores dadas al interior de las AFP, las cuales tampoco convalidan el traslado, como quedó dicho en la citada </w:t>
      </w:r>
      <w:r w:rsidRPr="00A01E40">
        <w:t xml:space="preserve">sentencia del 8 de mayo de 2019SL 1688-2019, así: </w:t>
      </w:r>
    </w:p>
    <w:p w14:paraId="277A03C9" w14:textId="77777777" w:rsidR="00920EA9" w:rsidRPr="00A01E40" w:rsidRDefault="00920EA9" w:rsidP="00920EA9">
      <w:pPr>
        <w:spacing w:line="276" w:lineRule="auto"/>
      </w:pPr>
      <w:r w:rsidRPr="00A01E40">
        <w:rPr>
          <w:lang w:val="es"/>
        </w:rPr>
        <w:t xml:space="preserve">  </w:t>
      </w:r>
    </w:p>
    <w:p w14:paraId="0EF003B9" w14:textId="77777777" w:rsidR="00920EA9" w:rsidRPr="00A01E40" w:rsidRDefault="00920EA9" w:rsidP="00920EA9">
      <w:pPr>
        <w:spacing w:line="240" w:lineRule="auto"/>
        <w:ind w:left="426" w:right="420"/>
        <w:rPr>
          <w:rFonts w:eastAsia="Calibri"/>
          <w:i/>
        </w:rPr>
      </w:pPr>
      <w:r w:rsidRPr="00A01E40">
        <w:rPr>
          <w:rFonts w:eastAsia="Calibri"/>
          <w:i/>
        </w:rPr>
        <w:t xml:space="preserve">“Ahora, si bien la AFP brindó a la actora una </w:t>
      </w:r>
      <w:proofErr w:type="spellStart"/>
      <w:r w:rsidRPr="00A01E40">
        <w:rPr>
          <w:rFonts w:eastAsia="Calibri"/>
          <w:i/>
        </w:rPr>
        <w:t>reasesoría</w:t>
      </w:r>
      <w:proofErr w:type="spellEnd"/>
      <w:r w:rsidRPr="00A01E40">
        <w:rPr>
          <w:rFonts w:eastAsia="Calibri"/>
          <w:i/>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28CB918C" w14:textId="77777777" w:rsidR="00920EA9" w:rsidRPr="00A01E40" w:rsidRDefault="00920EA9" w:rsidP="00920EA9">
      <w:pPr>
        <w:spacing w:line="240" w:lineRule="auto"/>
        <w:ind w:left="426" w:right="420"/>
        <w:rPr>
          <w:rFonts w:eastAsia="Arial Narrow"/>
          <w:i/>
          <w:iCs/>
        </w:rPr>
      </w:pPr>
      <w:r w:rsidRPr="00A01E40">
        <w:rPr>
          <w:rFonts w:eastAsia="Arial Narrow"/>
          <w:i/>
          <w:iCs/>
        </w:rPr>
        <w:t xml:space="preserve"> </w:t>
      </w:r>
    </w:p>
    <w:p w14:paraId="249B6A53" w14:textId="77777777" w:rsidR="00920EA9" w:rsidRPr="00A01E40" w:rsidRDefault="00920EA9" w:rsidP="00920EA9">
      <w:pPr>
        <w:spacing w:line="240" w:lineRule="auto"/>
        <w:ind w:left="426" w:right="420"/>
        <w:rPr>
          <w:rFonts w:eastAsia="Calibri"/>
          <w:i/>
        </w:rPr>
      </w:pPr>
      <w:r w:rsidRPr="00A01E40">
        <w:rPr>
          <w:rFonts w:eastAsia="Calibri"/>
          <w:i/>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A01E40">
        <w:rPr>
          <w:rFonts w:eastAsia="Calibri"/>
          <w:i/>
        </w:rPr>
        <w:t>reasesoría</w:t>
      </w:r>
      <w:proofErr w:type="spellEnd"/>
      <w:r w:rsidRPr="00A01E40">
        <w:rPr>
          <w:rFonts w:eastAsia="Calibri"/>
          <w:i/>
        </w:rPr>
        <w:t>, de todas formas ya había perdido la transición.</w:t>
      </w:r>
    </w:p>
    <w:p w14:paraId="794AAA0C" w14:textId="77777777" w:rsidR="00920EA9" w:rsidRPr="00A01E40" w:rsidRDefault="00920EA9" w:rsidP="00920EA9">
      <w:pPr>
        <w:spacing w:line="240" w:lineRule="auto"/>
        <w:ind w:left="426" w:right="420"/>
        <w:rPr>
          <w:rFonts w:eastAsia="Arial Narrow"/>
          <w:i/>
          <w:iCs/>
        </w:rPr>
      </w:pPr>
      <w:r w:rsidRPr="00A01E40">
        <w:rPr>
          <w:rFonts w:eastAsia="Arial Narrow"/>
          <w:i/>
          <w:iCs/>
        </w:rPr>
        <w:t xml:space="preserve"> </w:t>
      </w:r>
    </w:p>
    <w:p w14:paraId="406A7B88" w14:textId="77777777" w:rsidR="00920EA9" w:rsidRPr="00A01E40" w:rsidRDefault="00920EA9" w:rsidP="00920EA9">
      <w:pPr>
        <w:spacing w:line="240" w:lineRule="auto"/>
        <w:ind w:left="426" w:right="420"/>
        <w:rPr>
          <w:rFonts w:eastAsia="Calibri"/>
          <w:i/>
        </w:rPr>
      </w:pPr>
      <w:r w:rsidRPr="00A01E40">
        <w:rPr>
          <w:rFonts w:eastAsia="Calibri"/>
          <w:i/>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011DCE8" w14:textId="77777777" w:rsidR="00920EA9" w:rsidRPr="00A01E40" w:rsidRDefault="00920EA9" w:rsidP="00920EA9">
      <w:pPr>
        <w:spacing w:line="240" w:lineRule="auto"/>
        <w:ind w:left="426" w:right="420"/>
        <w:rPr>
          <w:rFonts w:eastAsia="Arial Narrow"/>
          <w:i/>
          <w:iCs/>
        </w:rPr>
      </w:pPr>
      <w:r w:rsidRPr="00A01E40">
        <w:rPr>
          <w:rFonts w:eastAsia="Arial Narrow"/>
          <w:i/>
          <w:iCs/>
        </w:rPr>
        <w:t xml:space="preserve"> </w:t>
      </w:r>
    </w:p>
    <w:p w14:paraId="58549B94" w14:textId="77777777" w:rsidR="00920EA9" w:rsidRPr="00A01E40" w:rsidRDefault="00920EA9" w:rsidP="00920EA9">
      <w:pPr>
        <w:spacing w:line="240" w:lineRule="auto"/>
        <w:ind w:left="426" w:right="420"/>
        <w:rPr>
          <w:rFonts w:eastAsia="Calibri"/>
          <w:i/>
        </w:rPr>
      </w:pPr>
      <w:r w:rsidRPr="00A01E40">
        <w:rPr>
          <w:rFonts w:eastAsia="Calibri"/>
          <w:i/>
        </w:rPr>
        <w:t xml:space="preserve">Por otro lado, no es de recibo el planteo de Protección S.A., cuando sostiene que una vez realizó la </w:t>
      </w:r>
      <w:proofErr w:type="spellStart"/>
      <w:r w:rsidRPr="00A01E40">
        <w:rPr>
          <w:rFonts w:eastAsia="Calibri"/>
          <w:i/>
        </w:rPr>
        <w:t>reasesoría</w:t>
      </w:r>
      <w:proofErr w:type="spellEnd"/>
      <w:r w:rsidRPr="00A01E40">
        <w:rPr>
          <w:rFonts w:eastAsia="Calibri"/>
          <w:i/>
        </w:rPr>
        <w:t xml:space="preserve">,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w:t>
      </w:r>
      <w:r w:rsidRPr="00A01E40">
        <w:rPr>
          <w:rFonts w:eastAsia="Calibri"/>
          <w:i/>
        </w:rPr>
        <w:lastRenderedPageBreak/>
        <w:t>asesoría. Por lo demás, este lapso es razonable, pues dada la relevancia de esta determinación, era natural que la accionante se tomara un tiempo de reflexión, buscara información y consejo profesional para, finalmente, adoptar su elección”.</w:t>
      </w:r>
    </w:p>
    <w:p w14:paraId="40E15ACD" w14:textId="77777777" w:rsidR="00920EA9" w:rsidRPr="00A01E40" w:rsidRDefault="00920EA9" w:rsidP="00920EA9">
      <w:pPr>
        <w:widowControl w:val="0"/>
        <w:autoSpaceDE w:val="0"/>
        <w:autoSpaceDN w:val="0"/>
        <w:adjustRightInd w:val="0"/>
        <w:spacing w:line="276" w:lineRule="auto"/>
        <w:ind w:firstLine="284"/>
        <w:rPr>
          <w:rFonts w:eastAsia="Calibri"/>
        </w:rPr>
      </w:pPr>
    </w:p>
    <w:p w14:paraId="206542BE" w14:textId="77777777" w:rsidR="00920EA9" w:rsidRPr="003F272C" w:rsidRDefault="00920EA9" w:rsidP="003F272C">
      <w:pPr>
        <w:pStyle w:val="Prrafodelista"/>
        <w:widowControl w:val="0"/>
        <w:numPr>
          <w:ilvl w:val="1"/>
          <w:numId w:val="8"/>
        </w:numPr>
        <w:autoSpaceDE w:val="0"/>
        <w:autoSpaceDN w:val="0"/>
        <w:adjustRightInd w:val="0"/>
        <w:spacing w:line="276" w:lineRule="auto"/>
        <w:rPr>
          <w:rFonts w:eastAsia="Calibri"/>
          <w:b/>
        </w:rPr>
      </w:pPr>
      <w:r w:rsidRPr="005225D2">
        <w:rPr>
          <w:rFonts w:eastAsia="Calibri"/>
          <w:b/>
        </w:rPr>
        <w:t xml:space="preserve">“De la carga de la prueba – Inversión a favor del afiliado” </w:t>
      </w:r>
      <w:r w:rsidRPr="003F272C">
        <w:rPr>
          <w:rFonts w:eastAsia="Calibri"/>
          <w:vertAlign w:val="superscript"/>
        </w:rPr>
        <w:footnoteReference w:id="5"/>
      </w:r>
    </w:p>
    <w:p w14:paraId="67BE2573" w14:textId="77777777" w:rsidR="00920EA9" w:rsidRPr="00A01E40" w:rsidRDefault="00920EA9" w:rsidP="00920EA9">
      <w:pPr>
        <w:widowControl w:val="0"/>
        <w:autoSpaceDE w:val="0"/>
        <w:autoSpaceDN w:val="0"/>
        <w:adjustRightInd w:val="0"/>
        <w:spacing w:line="276" w:lineRule="auto"/>
        <w:ind w:firstLine="284"/>
        <w:rPr>
          <w:rFonts w:eastAsia="Calibri"/>
          <w:b/>
        </w:rPr>
      </w:pPr>
    </w:p>
    <w:p w14:paraId="04AF8FFD" w14:textId="77777777" w:rsidR="00920EA9" w:rsidRPr="00A01E40" w:rsidRDefault="00920EA9" w:rsidP="00920EA9">
      <w:pPr>
        <w:spacing w:line="276" w:lineRule="auto"/>
        <w:ind w:firstLine="284"/>
      </w:pPr>
      <w:bookmarkStart w:id="8" w:name="_Hlk101953491"/>
      <w:bookmarkStart w:id="9" w:name="_Hlk109050935"/>
      <w:r w:rsidRPr="00A01E40">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A01E40">
        <w:rPr>
          <w:i/>
          <w:iCs/>
        </w:rPr>
        <w:t>la prueba de la diligencia o cuidado incumbe al que ha debido emplearlo”</w:t>
      </w:r>
      <w:r w:rsidRPr="00A01E40">
        <w:t xml:space="preserve"> lo que quiere decir que la carga de la prueba recae en el fondo de pensiones. Dicha postura se ha mantenido invariable, y se reiteró de manera más contundente en la citada sentencia, así: </w:t>
      </w:r>
    </w:p>
    <w:p w14:paraId="5E337CE7" w14:textId="77777777" w:rsidR="00920EA9" w:rsidRPr="00A01E40" w:rsidRDefault="00920EA9" w:rsidP="00920EA9">
      <w:pPr>
        <w:spacing w:line="276" w:lineRule="auto"/>
        <w:ind w:firstLine="708"/>
      </w:pPr>
      <w:r w:rsidRPr="00A01E40">
        <w:t xml:space="preserve"> </w:t>
      </w:r>
    </w:p>
    <w:p w14:paraId="784B9942" w14:textId="77777777" w:rsidR="00920EA9" w:rsidRPr="00A01E40" w:rsidRDefault="00920EA9" w:rsidP="00920EA9">
      <w:pPr>
        <w:spacing w:line="240" w:lineRule="auto"/>
        <w:ind w:left="426" w:right="420" w:firstLine="1"/>
        <w:rPr>
          <w:rFonts w:eastAsia="Calibri"/>
          <w:i/>
        </w:rPr>
      </w:pPr>
      <w:r w:rsidRPr="00A01E40">
        <w:rPr>
          <w:rFonts w:eastAsia="Calibri"/>
        </w:rPr>
        <w:t>“</w:t>
      </w:r>
      <w:r w:rsidRPr="00A01E40">
        <w:rPr>
          <w:rFonts w:eastAsia="Calibri"/>
          <w:i/>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07437609" w14:textId="77777777" w:rsidR="00920EA9" w:rsidRPr="00A01E40" w:rsidRDefault="00920EA9" w:rsidP="00920EA9">
      <w:pPr>
        <w:spacing w:line="240" w:lineRule="auto"/>
        <w:ind w:left="426" w:right="420" w:firstLine="1"/>
        <w:rPr>
          <w:rFonts w:eastAsia="Calibri"/>
          <w:i/>
        </w:rPr>
      </w:pPr>
    </w:p>
    <w:p w14:paraId="4213F0E4" w14:textId="77777777" w:rsidR="00920EA9" w:rsidRPr="00A01E40" w:rsidRDefault="00920EA9" w:rsidP="00920EA9">
      <w:pPr>
        <w:spacing w:line="240" w:lineRule="auto"/>
        <w:ind w:left="426" w:right="420" w:firstLine="1"/>
        <w:rPr>
          <w:rFonts w:eastAsia="Calibri"/>
          <w:i/>
        </w:rPr>
      </w:pPr>
      <w:r w:rsidRPr="00A01E40">
        <w:rPr>
          <w:rFonts w:eastAsia="Calibri"/>
          <w:i/>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20D2875" w14:textId="77777777" w:rsidR="00920EA9" w:rsidRPr="00A01E40" w:rsidRDefault="00920EA9" w:rsidP="00920EA9">
      <w:pPr>
        <w:spacing w:line="240" w:lineRule="auto"/>
        <w:ind w:left="426" w:right="420" w:firstLine="1"/>
        <w:rPr>
          <w:rFonts w:eastAsia="Calibri"/>
          <w:i/>
        </w:rPr>
      </w:pPr>
    </w:p>
    <w:p w14:paraId="1DD5CAE0" w14:textId="77777777" w:rsidR="00920EA9" w:rsidRPr="00A01E40" w:rsidRDefault="00920EA9" w:rsidP="00920EA9">
      <w:pPr>
        <w:spacing w:line="240" w:lineRule="auto"/>
        <w:ind w:left="426" w:right="420" w:firstLine="1"/>
        <w:rPr>
          <w:rFonts w:eastAsia="Calibri"/>
          <w:i/>
        </w:rPr>
      </w:pPr>
      <w:r w:rsidRPr="00A01E40">
        <w:rPr>
          <w:rFonts w:eastAsia="Calibri"/>
          <w:i/>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DD4B9F5" w14:textId="77777777" w:rsidR="00920EA9" w:rsidRPr="00A01E40" w:rsidRDefault="00920EA9" w:rsidP="00920EA9">
      <w:pPr>
        <w:spacing w:line="240" w:lineRule="auto"/>
        <w:ind w:left="426" w:right="420" w:firstLine="1"/>
        <w:rPr>
          <w:rFonts w:eastAsia="Calibri"/>
          <w:i/>
        </w:rPr>
      </w:pPr>
    </w:p>
    <w:p w14:paraId="54EEC9E3" w14:textId="77777777" w:rsidR="00920EA9" w:rsidRPr="00A01E40" w:rsidRDefault="00920EA9" w:rsidP="00920EA9">
      <w:pPr>
        <w:spacing w:line="240" w:lineRule="auto"/>
        <w:ind w:left="426" w:right="420" w:firstLine="1"/>
        <w:rPr>
          <w:rFonts w:eastAsia="Calibri"/>
          <w:i/>
          <w:iCs/>
        </w:rPr>
      </w:pPr>
      <w:r w:rsidRPr="00A01E40">
        <w:rPr>
          <w:rFonts w:eastAsia="Calibri"/>
          <w:i/>
        </w:rPr>
        <w:t xml:space="preserve">Como se ha expuesto, el deber de información al momento del traslado entre regímenes, es una obligación que corresponde a las administradoras de fondos de pensiones, y </w:t>
      </w:r>
      <w:r w:rsidRPr="00A01E40">
        <w:rPr>
          <w:rFonts w:eastAsia="Calibri"/>
          <w:i/>
          <w:iCs/>
        </w:rPr>
        <w:t xml:space="preserve">su ejercicio debe ser de tal diligencia, que permita comprender la lógica, beneficios y desventajas del cambio de régimen, así como prever los riesgos y efectos negativos de esa decisión. </w:t>
      </w:r>
    </w:p>
    <w:p w14:paraId="67C3FA28" w14:textId="77777777" w:rsidR="00920EA9" w:rsidRPr="00A01E40" w:rsidRDefault="00920EA9" w:rsidP="00920EA9">
      <w:pPr>
        <w:spacing w:line="240" w:lineRule="auto"/>
        <w:ind w:left="426" w:right="420" w:firstLine="1"/>
        <w:rPr>
          <w:rFonts w:eastAsia="Calibri"/>
          <w:i/>
          <w:iCs/>
        </w:rPr>
      </w:pPr>
    </w:p>
    <w:p w14:paraId="6460B190" w14:textId="77777777" w:rsidR="00920EA9" w:rsidRPr="00A01E40" w:rsidRDefault="00920EA9" w:rsidP="00920EA9">
      <w:pPr>
        <w:spacing w:line="240" w:lineRule="auto"/>
        <w:ind w:left="426" w:right="420" w:firstLine="1"/>
        <w:rPr>
          <w:rFonts w:eastAsia="Calibri"/>
          <w:i/>
          <w:iCs/>
        </w:rPr>
      </w:pPr>
      <w:r w:rsidRPr="00A01E40">
        <w:rPr>
          <w:rFonts w:eastAsia="Calibri"/>
          <w:i/>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6C88C3C4" w14:textId="77777777" w:rsidR="00920EA9" w:rsidRPr="00A01E40" w:rsidRDefault="00920EA9" w:rsidP="00920EA9">
      <w:pPr>
        <w:spacing w:line="240" w:lineRule="auto"/>
        <w:ind w:left="426" w:right="420" w:firstLine="1"/>
        <w:rPr>
          <w:rFonts w:eastAsia="Calibri"/>
          <w:i/>
          <w:iCs/>
        </w:rPr>
      </w:pPr>
    </w:p>
    <w:p w14:paraId="55CB29F7" w14:textId="77777777" w:rsidR="00920EA9" w:rsidRPr="00A01E40" w:rsidRDefault="00920EA9" w:rsidP="00920EA9">
      <w:pPr>
        <w:spacing w:line="240" w:lineRule="auto"/>
        <w:ind w:left="426" w:right="420" w:firstLine="1"/>
        <w:rPr>
          <w:rFonts w:eastAsia="Calibri"/>
          <w:i/>
          <w:iCs/>
        </w:rPr>
      </w:pPr>
      <w:r w:rsidRPr="00A01E40">
        <w:rPr>
          <w:rFonts w:eastAsia="Calibri"/>
          <w:i/>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w:t>
      </w:r>
      <w:r w:rsidRPr="00A01E40">
        <w:rPr>
          <w:rFonts w:eastAsia="Calibri"/>
          <w:i/>
        </w:rPr>
        <w:lastRenderedPageBreak/>
        <w:t xml:space="preserve">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E15DAFE" w14:textId="77777777" w:rsidR="00920EA9" w:rsidRPr="00A01E40" w:rsidRDefault="00920EA9" w:rsidP="00920EA9">
      <w:pPr>
        <w:spacing w:line="240" w:lineRule="auto"/>
        <w:ind w:left="426" w:right="420" w:firstLine="1"/>
        <w:rPr>
          <w:rFonts w:eastAsia="Calibri"/>
          <w:i/>
          <w:iCs/>
        </w:rPr>
      </w:pPr>
    </w:p>
    <w:p w14:paraId="577F428D" w14:textId="77777777" w:rsidR="00920EA9" w:rsidRPr="00A01E40" w:rsidRDefault="00920EA9" w:rsidP="00920EA9">
      <w:pPr>
        <w:spacing w:line="240" w:lineRule="auto"/>
        <w:ind w:left="426" w:right="420" w:firstLine="1"/>
        <w:rPr>
          <w:rFonts w:eastAsia="Calibri"/>
        </w:rPr>
      </w:pPr>
      <w:r w:rsidRPr="00A01E40">
        <w:rPr>
          <w:rFonts w:eastAsia="Calibri"/>
          <w:i/>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A01E40">
        <w:rPr>
          <w:rFonts w:eastAsia="Calibri"/>
        </w:rPr>
        <w:t xml:space="preserve"> </w:t>
      </w:r>
    </w:p>
    <w:p w14:paraId="4828F3DD" w14:textId="77777777" w:rsidR="00920EA9" w:rsidRPr="00A01E40" w:rsidRDefault="00920EA9" w:rsidP="00920EA9">
      <w:pPr>
        <w:widowControl w:val="0"/>
        <w:autoSpaceDE w:val="0"/>
        <w:autoSpaceDN w:val="0"/>
        <w:adjustRightInd w:val="0"/>
        <w:spacing w:line="276" w:lineRule="auto"/>
        <w:ind w:firstLine="284"/>
        <w:rPr>
          <w:rFonts w:eastAsia="Calibri"/>
        </w:rPr>
      </w:pPr>
    </w:p>
    <w:p w14:paraId="66203A8D" w14:textId="77777777" w:rsidR="00920EA9" w:rsidRPr="00A01E40" w:rsidRDefault="00920EA9" w:rsidP="003F272C">
      <w:pPr>
        <w:widowControl w:val="0"/>
        <w:numPr>
          <w:ilvl w:val="1"/>
          <w:numId w:val="8"/>
        </w:numPr>
        <w:autoSpaceDE w:val="0"/>
        <w:autoSpaceDN w:val="0"/>
        <w:adjustRightInd w:val="0"/>
        <w:spacing w:line="276" w:lineRule="auto"/>
        <w:rPr>
          <w:rFonts w:eastAsia="Calibri"/>
          <w:b/>
        </w:rPr>
      </w:pPr>
      <w:r w:rsidRPr="00A01E40">
        <w:rPr>
          <w:rFonts w:eastAsia="Calibri"/>
          <w:b/>
        </w:rPr>
        <w:t>Consecuencias de la declaratoria de ineficacia del traslado: Devolución de las cuotas de administración y de otros valores debidamente indexados</w:t>
      </w:r>
    </w:p>
    <w:p w14:paraId="7D73282F" w14:textId="77777777" w:rsidR="00920EA9" w:rsidRPr="00A01E40" w:rsidRDefault="00920EA9" w:rsidP="00920EA9">
      <w:pPr>
        <w:widowControl w:val="0"/>
        <w:autoSpaceDE w:val="0"/>
        <w:autoSpaceDN w:val="0"/>
        <w:adjustRightInd w:val="0"/>
        <w:spacing w:line="276" w:lineRule="auto"/>
        <w:ind w:firstLine="284"/>
        <w:rPr>
          <w:rFonts w:eastAsia="Calibri"/>
        </w:rPr>
      </w:pPr>
    </w:p>
    <w:p w14:paraId="45D981AB" w14:textId="77777777" w:rsidR="00920EA9" w:rsidRPr="00A01E40" w:rsidRDefault="00920EA9" w:rsidP="00920EA9">
      <w:pPr>
        <w:widowControl w:val="0"/>
        <w:autoSpaceDE w:val="0"/>
        <w:autoSpaceDN w:val="0"/>
        <w:adjustRightInd w:val="0"/>
        <w:spacing w:line="276" w:lineRule="auto"/>
        <w:ind w:firstLine="708"/>
        <w:rPr>
          <w:rFonts w:eastAsia="Calibri"/>
        </w:rPr>
      </w:pPr>
      <w:r w:rsidRPr="00A01E40">
        <w:rPr>
          <w:rFonts w:eastAsia="Calibri"/>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44505ADB" w14:textId="77777777" w:rsidR="00920EA9" w:rsidRPr="00A01E40" w:rsidRDefault="00920EA9" w:rsidP="00920EA9">
      <w:pPr>
        <w:widowControl w:val="0"/>
        <w:autoSpaceDE w:val="0"/>
        <w:autoSpaceDN w:val="0"/>
        <w:adjustRightInd w:val="0"/>
        <w:spacing w:line="276" w:lineRule="auto"/>
        <w:ind w:firstLine="284"/>
        <w:rPr>
          <w:rFonts w:eastAsia="Calibri"/>
        </w:rPr>
      </w:pPr>
    </w:p>
    <w:p w14:paraId="59BA6650" w14:textId="77777777" w:rsidR="00920EA9" w:rsidRPr="00A01E40" w:rsidRDefault="00920EA9" w:rsidP="00920EA9">
      <w:pPr>
        <w:tabs>
          <w:tab w:val="left" w:pos="5180"/>
        </w:tabs>
        <w:suppressAutoHyphens/>
        <w:spacing w:line="240" w:lineRule="auto"/>
        <w:ind w:left="426" w:right="420"/>
        <w:contextualSpacing/>
        <w:rPr>
          <w:rFonts w:eastAsia="Calibri"/>
          <w:i/>
        </w:rPr>
      </w:pPr>
      <w:r w:rsidRPr="00A01E40">
        <w:rPr>
          <w:rFonts w:eastAsia="Calibri"/>
          <w:i/>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5EF3F456" w14:textId="77777777" w:rsidR="00920EA9" w:rsidRPr="00A01E40" w:rsidRDefault="00920EA9" w:rsidP="00920EA9">
      <w:pPr>
        <w:tabs>
          <w:tab w:val="left" w:pos="5180"/>
        </w:tabs>
        <w:suppressAutoHyphens/>
        <w:spacing w:line="240" w:lineRule="auto"/>
        <w:ind w:left="426" w:right="420"/>
        <w:contextualSpacing/>
        <w:jc w:val="left"/>
        <w:rPr>
          <w:rFonts w:eastAsia="Times New Roman"/>
          <w:color w:val="000000"/>
          <w:lang w:eastAsia="es-ES"/>
        </w:rPr>
      </w:pPr>
    </w:p>
    <w:p w14:paraId="4FF168F3" w14:textId="77777777" w:rsidR="00920EA9" w:rsidRPr="00A01E40" w:rsidRDefault="00920EA9" w:rsidP="00920EA9">
      <w:pPr>
        <w:tabs>
          <w:tab w:val="left" w:pos="5180"/>
        </w:tabs>
        <w:suppressAutoHyphens/>
        <w:spacing w:line="240" w:lineRule="auto"/>
        <w:ind w:left="426" w:right="420"/>
        <w:contextualSpacing/>
        <w:rPr>
          <w:rFonts w:eastAsia="Calibri"/>
          <w:i/>
        </w:rPr>
      </w:pPr>
      <w:r w:rsidRPr="00A01E40">
        <w:rPr>
          <w:rFonts w:eastAsia="Calibri"/>
          <w:i/>
        </w:rPr>
        <w:t>Sobre las consecuencias de la nulidad del traslado entre regímenes esta Sala en sentencia SL, del 8 de sep. 2008, rad. 31989, reiterada en varias oportunidades, adoctrinó: […]</w:t>
      </w:r>
    </w:p>
    <w:p w14:paraId="7B5406B8" w14:textId="77777777" w:rsidR="00920EA9" w:rsidRPr="00A01E40" w:rsidRDefault="00920EA9" w:rsidP="00920EA9">
      <w:pPr>
        <w:tabs>
          <w:tab w:val="left" w:pos="5180"/>
        </w:tabs>
        <w:suppressAutoHyphens/>
        <w:spacing w:line="240" w:lineRule="auto"/>
        <w:ind w:left="426" w:right="420"/>
        <w:contextualSpacing/>
        <w:rPr>
          <w:rFonts w:eastAsia="Calibri"/>
          <w:i/>
        </w:rPr>
      </w:pPr>
    </w:p>
    <w:p w14:paraId="6192B5E1" w14:textId="77777777" w:rsidR="00920EA9" w:rsidRPr="00A01E40" w:rsidRDefault="00920EA9" w:rsidP="00920EA9">
      <w:pPr>
        <w:tabs>
          <w:tab w:val="left" w:pos="5180"/>
        </w:tabs>
        <w:suppressAutoHyphens/>
        <w:spacing w:line="240" w:lineRule="auto"/>
        <w:ind w:left="426" w:right="420"/>
        <w:contextualSpacing/>
        <w:rPr>
          <w:rFonts w:eastAsia="Calibri"/>
          <w:i/>
        </w:rPr>
      </w:pPr>
      <w:r w:rsidRPr="00A01E40">
        <w:rPr>
          <w:rFonts w:eastAsia="Calibri"/>
          <w:i/>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4586E73" w14:textId="77777777" w:rsidR="00920EA9" w:rsidRPr="00A01E40" w:rsidRDefault="00920EA9" w:rsidP="00920EA9">
      <w:pPr>
        <w:tabs>
          <w:tab w:val="left" w:pos="5180"/>
        </w:tabs>
        <w:suppressAutoHyphens/>
        <w:spacing w:line="240" w:lineRule="auto"/>
        <w:ind w:left="426" w:right="420"/>
        <w:contextualSpacing/>
        <w:rPr>
          <w:rFonts w:eastAsia="Calibri"/>
          <w:i/>
        </w:rPr>
      </w:pPr>
    </w:p>
    <w:p w14:paraId="5F921954" w14:textId="77777777" w:rsidR="00920EA9" w:rsidRPr="00A01E40" w:rsidRDefault="00920EA9" w:rsidP="00920EA9">
      <w:pPr>
        <w:tabs>
          <w:tab w:val="left" w:pos="5180"/>
        </w:tabs>
        <w:suppressAutoHyphens/>
        <w:spacing w:line="240" w:lineRule="auto"/>
        <w:ind w:left="426" w:right="420"/>
        <w:contextualSpacing/>
        <w:rPr>
          <w:rFonts w:eastAsia="Calibri"/>
          <w:i/>
        </w:rPr>
      </w:pPr>
      <w:r w:rsidRPr="00A01E40">
        <w:rPr>
          <w:rFonts w:eastAsia="Calibri"/>
          <w:i/>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02E28668" w14:textId="77777777" w:rsidR="00920EA9" w:rsidRPr="00A01E40" w:rsidRDefault="00920EA9" w:rsidP="00920EA9">
      <w:pPr>
        <w:spacing w:line="276" w:lineRule="auto"/>
      </w:pPr>
      <w:r w:rsidRPr="00A01E40">
        <w:t xml:space="preserve"> </w:t>
      </w:r>
    </w:p>
    <w:p w14:paraId="474B03EB" w14:textId="77777777" w:rsidR="00920EA9" w:rsidRPr="00A01E40" w:rsidRDefault="00920EA9" w:rsidP="00920EA9">
      <w:pPr>
        <w:spacing w:line="276" w:lineRule="auto"/>
        <w:ind w:firstLine="284"/>
      </w:pPr>
      <w:r w:rsidRPr="00A01E40">
        <w:lastRenderedPageBreak/>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23E23ACC" w14:textId="77777777" w:rsidR="00920EA9" w:rsidRPr="00A01E40" w:rsidRDefault="00920EA9" w:rsidP="00920EA9">
      <w:pPr>
        <w:spacing w:line="276" w:lineRule="auto"/>
      </w:pPr>
      <w:r w:rsidRPr="00A01E40">
        <w:t xml:space="preserve"> </w:t>
      </w:r>
    </w:p>
    <w:p w14:paraId="38F66838" w14:textId="77777777" w:rsidR="00920EA9" w:rsidRPr="00A01E40" w:rsidRDefault="00920EA9" w:rsidP="007B0226">
      <w:pPr>
        <w:tabs>
          <w:tab w:val="left" w:pos="5180"/>
        </w:tabs>
        <w:suppressAutoHyphens/>
        <w:spacing w:line="240" w:lineRule="auto"/>
        <w:ind w:left="426" w:right="420"/>
        <w:contextualSpacing/>
        <w:rPr>
          <w:rFonts w:eastAsia="Calibri"/>
          <w:i/>
        </w:rPr>
      </w:pPr>
      <w:r w:rsidRPr="00A01E40">
        <w:rPr>
          <w:rFonts w:eastAsia="Calibri"/>
          <w:i/>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60090A74" w14:textId="77777777" w:rsidR="00920EA9" w:rsidRPr="00A01E40" w:rsidRDefault="00920EA9" w:rsidP="00920EA9">
      <w:pPr>
        <w:spacing w:line="276" w:lineRule="auto"/>
      </w:pPr>
      <w:r w:rsidRPr="00A01E40">
        <w:t xml:space="preserve"> </w:t>
      </w:r>
    </w:p>
    <w:p w14:paraId="55E2E360" w14:textId="77777777" w:rsidR="00920EA9" w:rsidRPr="00A01E40" w:rsidRDefault="00920EA9" w:rsidP="00920EA9">
      <w:pPr>
        <w:widowControl w:val="0"/>
        <w:autoSpaceDE w:val="0"/>
        <w:autoSpaceDN w:val="0"/>
        <w:adjustRightInd w:val="0"/>
        <w:spacing w:line="276" w:lineRule="auto"/>
        <w:ind w:firstLine="708"/>
        <w:rPr>
          <w:rFonts w:eastAsia="Calibri"/>
        </w:rPr>
      </w:pPr>
      <w:r w:rsidRPr="00A01E40">
        <w:rPr>
          <w:rFonts w:eastAsia="Calibri"/>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bookmarkEnd w:id="8"/>
    <w:p w14:paraId="7C39AE8A" w14:textId="77777777" w:rsidR="00920EA9" w:rsidRPr="00A01E40" w:rsidRDefault="00920EA9" w:rsidP="00920EA9">
      <w:pPr>
        <w:widowControl w:val="0"/>
        <w:autoSpaceDE w:val="0"/>
        <w:autoSpaceDN w:val="0"/>
        <w:adjustRightInd w:val="0"/>
        <w:spacing w:line="276" w:lineRule="auto"/>
        <w:ind w:firstLine="284"/>
        <w:rPr>
          <w:rFonts w:eastAsia="Calibri"/>
        </w:rPr>
      </w:pPr>
    </w:p>
    <w:bookmarkEnd w:id="9"/>
    <w:p w14:paraId="0C156BBE" w14:textId="77777777" w:rsidR="00A40461" w:rsidRPr="00AF4296" w:rsidRDefault="00A40461" w:rsidP="00AF4296">
      <w:pPr>
        <w:widowControl w:val="0"/>
        <w:autoSpaceDE w:val="0"/>
        <w:autoSpaceDN w:val="0"/>
        <w:adjustRightInd w:val="0"/>
        <w:spacing w:line="276" w:lineRule="auto"/>
        <w:ind w:firstLine="284"/>
        <w:rPr>
          <w:rFonts w:eastAsia="Calibri"/>
        </w:rPr>
      </w:pPr>
      <w:r w:rsidRPr="00AF4296">
        <w:rPr>
          <w:rFonts w:eastAsia="Calibri"/>
        </w:rPr>
        <w:tab/>
        <w:t xml:space="preserve">Finalmente, los últimos problemas jurídicos se analizarán al evaluar el acervo probatorio del caso concreto, esto es, se estudiará si quedó probado en el proceso que la parte demandante recibió de parte de las AFP demandadas la asesoría e información suficiente y necesaria para hacer el cambio de régimen. Y, en caso positivo se entrará a definir si cuando se declara la ineficacia del traslado, hay lugar en condenar en costas a la AFP. </w:t>
      </w:r>
    </w:p>
    <w:p w14:paraId="2CD3226B" w14:textId="77777777" w:rsidR="00A40461" w:rsidRPr="00AF4296" w:rsidRDefault="00A40461" w:rsidP="00AF4296">
      <w:pPr>
        <w:widowControl w:val="0"/>
        <w:autoSpaceDE w:val="0"/>
        <w:autoSpaceDN w:val="0"/>
        <w:adjustRightInd w:val="0"/>
        <w:spacing w:line="276" w:lineRule="auto"/>
        <w:ind w:firstLine="284"/>
        <w:rPr>
          <w:rFonts w:eastAsia="Calibri"/>
          <w:b/>
        </w:rPr>
      </w:pPr>
    </w:p>
    <w:p w14:paraId="3ADC249F" w14:textId="77777777" w:rsidR="00A40461" w:rsidRPr="00AF4296" w:rsidRDefault="00A40461" w:rsidP="003F272C">
      <w:pPr>
        <w:widowControl w:val="0"/>
        <w:numPr>
          <w:ilvl w:val="1"/>
          <w:numId w:val="8"/>
        </w:numPr>
        <w:autoSpaceDE w:val="0"/>
        <w:autoSpaceDN w:val="0"/>
        <w:adjustRightInd w:val="0"/>
        <w:spacing w:line="276" w:lineRule="auto"/>
        <w:rPr>
          <w:rFonts w:eastAsia="Calibri"/>
          <w:b/>
        </w:rPr>
      </w:pPr>
      <w:r w:rsidRPr="00AF4296">
        <w:rPr>
          <w:rFonts w:eastAsia="Calibri"/>
          <w:b/>
        </w:rPr>
        <w:t>Caso concreto</w:t>
      </w:r>
    </w:p>
    <w:p w14:paraId="2A75BD5E" w14:textId="77777777" w:rsidR="00A40461" w:rsidRPr="00AF4296" w:rsidRDefault="00A40461" w:rsidP="00AF4296">
      <w:pPr>
        <w:widowControl w:val="0"/>
        <w:autoSpaceDE w:val="0"/>
        <w:autoSpaceDN w:val="0"/>
        <w:adjustRightInd w:val="0"/>
        <w:spacing w:line="276" w:lineRule="auto"/>
        <w:ind w:firstLine="284"/>
        <w:rPr>
          <w:rFonts w:eastAsia="Calibri"/>
        </w:rPr>
      </w:pPr>
    </w:p>
    <w:p w14:paraId="01EE99F7" w14:textId="77777777" w:rsidR="00A40461" w:rsidRPr="00AF4296" w:rsidRDefault="00A40461" w:rsidP="00AF4296">
      <w:pPr>
        <w:widowControl w:val="0"/>
        <w:autoSpaceDE w:val="0"/>
        <w:autoSpaceDN w:val="0"/>
        <w:adjustRightInd w:val="0"/>
        <w:spacing w:line="276" w:lineRule="auto"/>
        <w:ind w:firstLine="708"/>
        <w:rPr>
          <w:rFonts w:eastAsia="Calibri"/>
        </w:rPr>
      </w:pPr>
      <w:r w:rsidRPr="00AF4296">
        <w:rPr>
          <w:rFonts w:eastAsia="Calibri"/>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399551E7" w14:textId="77777777" w:rsidR="00A40461" w:rsidRPr="00AF4296" w:rsidRDefault="00A40461" w:rsidP="00AF4296">
      <w:pPr>
        <w:widowControl w:val="0"/>
        <w:autoSpaceDE w:val="0"/>
        <w:autoSpaceDN w:val="0"/>
        <w:adjustRightInd w:val="0"/>
        <w:spacing w:line="276" w:lineRule="auto"/>
        <w:ind w:firstLine="284"/>
        <w:rPr>
          <w:rFonts w:eastAsia="Calibri"/>
        </w:rPr>
      </w:pPr>
    </w:p>
    <w:p w14:paraId="3073D51A" w14:textId="77777777" w:rsidR="00A40461" w:rsidRPr="00AF4296" w:rsidRDefault="00A40461" w:rsidP="00AF4296">
      <w:pPr>
        <w:widowControl w:val="0"/>
        <w:autoSpaceDE w:val="0"/>
        <w:autoSpaceDN w:val="0"/>
        <w:adjustRightInd w:val="0"/>
        <w:spacing w:line="276" w:lineRule="auto"/>
        <w:ind w:firstLine="708"/>
        <w:rPr>
          <w:rFonts w:eastAsia="Calibri"/>
        </w:rPr>
      </w:pPr>
      <w:r w:rsidRPr="00AF4296">
        <w:rPr>
          <w:rFonts w:eastAsia="Calibri"/>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66C30A2E" w14:textId="77777777" w:rsidR="00A40461" w:rsidRPr="00AF4296" w:rsidRDefault="00A40461" w:rsidP="00AF4296">
      <w:pPr>
        <w:widowControl w:val="0"/>
        <w:autoSpaceDE w:val="0"/>
        <w:autoSpaceDN w:val="0"/>
        <w:adjustRightInd w:val="0"/>
        <w:spacing w:line="276" w:lineRule="auto"/>
        <w:ind w:firstLine="284"/>
        <w:rPr>
          <w:rFonts w:eastAsia="Calibri"/>
        </w:rPr>
      </w:pPr>
    </w:p>
    <w:p w14:paraId="636A6857" w14:textId="77777777" w:rsidR="00A40461" w:rsidRPr="00AF4296" w:rsidRDefault="00A40461" w:rsidP="00AF4296">
      <w:pPr>
        <w:widowControl w:val="0"/>
        <w:autoSpaceDE w:val="0"/>
        <w:autoSpaceDN w:val="0"/>
        <w:adjustRightInd w:val="0"/>
        <w:spacing w:line="276" w:lineRule="auto"/>
        <w:ind w:firstLine="708"/>
        <w:rPr>
          <w:rFonts w:eastAsia="Calibri"/>
          <w:b/>
        </w:rPr>
      </w:pPr>
      <w:r w:rsidRPr="00AF4296">
        <w:rPr>
          <w:rFonts w:eastAsia="Calibri"/>
        </w:rPr>
        <w:t xml:space="preserve">Así pues, la negligencia en que eventualmente incurren tales administradoras de pensiones, al no suministrar la información adecuada y precisa al afiliado(a), recaerá en la eficacia del acto, dado que con la omisión o la defectuosa información </w:t>
      </w:r>
      <w:r w:rsidRPr="00AF4296">
        <w:rPr>
          <w:rFonts w:eastAsia="Calibri"/>
        </w:rPr>
        <w:lastRenderedPageBreak/>
        <w:t>se ha inducido en error al afectado(a). En curso del proceso la AFP demandada no cumplió con la carga que se le impone, esto es</w:t>
      </w:r>
      <w:r w:rsidRPr="00AF4296">
        <w:rPr>
          <w:rFonts w:eastAsia="Calibri"/>
          <w:b/>
        </w:rPr>
        <w:t>, acreditar haber transmitido a la parte actora la información concreta y cierta, acerca de la implicación del traslado de régimen pensional.</w:t>
      </w:r>
    </w:p>
    <w:p w14:paraId="0431C573" w14:textId="77777777" w:rsidR="00A40461" w:rsidRPr="00AF4296" w:rsidRDefault="00A40461" w:rsidP="00AF4296">
      <w:pPr>
        <w:widowControl w:val="0"/>
        <w:autoSpaceDE w:val="0"/>
        <w:autoSpaceDN w:val="0"/>
        <w:adjustRightInd w:val="0"/>
        <w:spacing w:line="276" w:lineRule="auto"/>
        <w:ind w:firstLine="284"/>
        <w:rPr>
          <w:rFonts w:eastAsia="Calibri"/>
          <w:b/>
        </w:rPr>
      </w:pPr>
    </w:p>
    <w:p w14:paraId="04707937" w14:textId="5A199BF1" w:rsidR="00A40461" w:rsidRDefault="00A40461" w:rsidP="00AF4296">
      <w:pPr>
        <w:widowControl w:val="0"/>
        <w:autoSpaceDE w:val="0"/>
        <w:autoSpaceDN w:val="0"/>
        <w:adjustRightInd w:val="0"/>
        <w:spacing w:line="276" w:lineRule="auto"/>
        <w:ind w:firstLine="708"/>
        <w:rPr>
          <w:rFonts w:eastAsia="Calibri"/>
        </w:rPr>
      </w:pPr>
      <w:r w:rsidRPr="00AF4296">
        <w:rPr>
          <w:rFonts w:eastAsia="Calibri"/>
        </w:rPr>
        <w:t xml:space="preserve">En realidad, mínimo la AFP tendría que haber dado la siguiente información: </w:t>
      </w:r>
      <w:r w:rsidRPr="00AF4296">
        <w:rPr>
          <w:rFonts w:eastAsia="Calibri"/>
          <w:i/>
        </w:rPr>
        <w:t xml:space="preserve">i) </w:t>
      </w:r>
      <w:r w:rsidRPr="00AF4296">
        <w:rPr>
          <w:rFonts w:eastAsia="Calibri"/>
        </w:rPr>
        <w:t xml:space="preserve">Que, dependiendo del capital, puede pensionarse anticipadamente, esto es, antes de la edad mínima para la pensión de vejez. </w:t>
      </w:r>
      <w:r w:rsidRPr="00AF4296">
        <w:rPr>
          <w:rFonts w:eastAsia="Calibri"/>
          <w:i/>
        </w:rPr>
        <w:t xml:space="preserve">ii) </w:t>
      </w:r>
      <w:r w:rsidRPr="00AF4296">
        <w:rPr>
          <w:rFonts w:eastAsia="Calibri"/>
        </w:rPr>
        <w:t xml:space="preserve">La posibilidad para sus herederos de hacerse a la devolución de saldos, en caso de que no existieran beneficiaros para la pensión de sobrevivientes. </w:t>
      </w:r>
      <w:r w:rsidRPr="00AF4296">
        <w:rPr>
          <w:rFonts w:eastAsia="Calibri"/>
          <w:i/>
        </w:rPr>
        <w:t xml:space="preserve">iii) </w:t>
      </w:r>
      <w:r w:rsidRPr="00AF4296">
        <w:rPr>
          <w:rFonts w:eastAsia="Calibri"/>
        </w:rPr>
        <w:t xml:space="preserve">La devolución total del saldo en caso de no alcanzar a reunir el total de los requisitos legales para optar al beneficio pensional. </w:t>
      </w:r>
      <w:r w:rsidRPr="00AF4296">
        <w:rPr>
          <w:rFonts w:eastAsia="Calibri"/>
          <w:i/>
        </w:rPr>
        <w:t xml:space="preserve">iv) </w:t>
      </w:r>
      <w:r w:rsidRPr="00AF4296">
        <w:rPr>
          <w:rFonts w:eastAsia="Calibri"/>
        </w:rPr>
        <w:t xml:space="preserve">Tener la posibilidad de la pensión de vejez habiendo cotizado el mínimo de semanas requeridas a pesar de no reunir el capital suficiente para el financiamiento de la prestación económica. </w:t>
      </w:r>
      <w:r w:rsidRPr="00AF4296">
        <w:rPr>
          <w:rFonts w:eastAsia="Calibri"/>
          <w:i/>
        </w:rPr>
        <w:t xml:space="preserve">v) </w:t>
      </w:r>
      <w:r w:rsidRPr="00AF4296">
        <w:rPr>
          <w:rFonts w:eastAsia="Calibri"/>
        </w:rPr>
        <w:t xml:space="preserve">La posibilidad de que el reconocimiento de la pensión de vejez, una vez reunido los requisitos, se haga pronto. </w:t>
      </w:r>
      <w:r w:rsidRPr="00AF4296">
        <w:rPr>
          <w:rFonts w:eastAsia="Calibri"/>
          <w:i/>
        </w:rPr>
        <w:t xml:space="preserve">vi) </w:t>
      </w:r>
      <w:r w:rsidRPr="00AF4296">
        <w:rPr>
          <w:rFonts w:eastAsia="Calibri"/>
        </w:rPr>
        <w:t xml:space="preserve">La posibilidad de que sus aportes se conviertan en patrimonio </w:t>
      </w:r>
      <w:proofErr w:type="spellStart"/>
      <w:r w:rsidRPr="00AF4296">
        <w:rPr>
          <w:rFonts w:eastAsia="Calibri"/>
        </w:rPr>
        <w:t>sucesoral</w:t>
      </w:r>
      <w:proofErr w:type="spellEnd"/>
      <w:r w:rsidRPr="00AF4296">
        <w:rPr>
          <w:rFonts w:eastAsia="Calibri"/>
        </w:rPr>
        <w:t xml:space="preserve"> en un caso dado. </w:t>
      </w:r>
      <w:r w:rsidRPr="00AF4296">
        <w:rPr>
          <w:rFonts w:eastAsia="Calibri"/>
          <w:i/>
        </w:rPr>
        <w:t xml:space="preserve">vii) </w:t>
      </w:r>
      <w:r w:rsidRPr="00AF4296">
        <w:rPr>
          <w:rFonts w:eastAsia="Calibri"/>
        </w:rPr>
        <w:t xml:space="preserve">El hecho de que el afiliado es el único titular de la cuenta de ahorro individual en contraste con el fondo público cuyos ahorros hacen parte de un fondo común. </w:t>
      </w:r>
      <w:proofErr w:type="spellStart"/>
      <w:r w:rsidRPr="00AF4296">
        <w:rPr>
          <w:rFonts w:eastAsia="Calibri"/>
          <w:i/>
        </w:rPr>
        <w:t>viii</w:t>
      </w:r>
      <w:proofErr w:type="spellEnd"/>
      <w:r w:rsidRPr="00AF4296">
        <w:rPr>
          <w:rFonts w:eastAsia="Calibri"/>
          <w:i/>
        </w:rPr>
        <w:t xml:space="preserve">) </w:t>
      </w:r>
      <w:r w:rsidRPr="00AF4296">
        <w:rPr>
          <w:rFonts w:eastAsia="Calibri"/>
        </w:rPr>
        <w:t xml:space="preserve">Los rendimientos financieros que le generen sus aportes abonados sobre el saldo de su cuenta de ahorro individual; y, </w:t>
      </w:r>
      <w:proofErr w:type="spellStart"/>
      <w:r w:rsidRPr="00AF4296">
        <w:rPr>
          <w:rFonts w:eastAsia="Calibri"/>
          <w:i/>
        </w:rPr>
        <w:t>ix</w:t>
      </w:r>
      <w:proofErr w:type="spellEnd"/>
      <w:r w:rsidRPr="00AF4296">
        <w:rPr>
          <w:rFonts w:eastAsia="Calibri"/>
          <w:i/>
        </w:rPr>
        <w:t xml:space="preserve">) </w:t>
      </w:r>
      <w:r w:rsidRPr="00AF4296">
        <w:rPr>
          <w:rFonts w:eastAsia="Calibri"/>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AF4296">
        <w:rPr>
          <w:rFonts w:eastAsia="Calibri"/>
        </w:rPr>
        <w:t>sucesoral</w:t>
      </w:r>
      <w:proofErr w:type="spellEnd"/>
      <w:r w:rsidRPr="00AF4296">
        <w:rPr>
          <w:rFonts w:eastAsia="Calibri"/>
        </w:rPr>
        <w:t xml:space="preserve">, pero le garantiza una pensión de por vida. La modalidad de </w:t>
      </w:r>
      <w:r w:rsidRPr="00AF4296">
        <w:rPr>
          <w:rFonts w:eastAsia="Calibri"/>
          <w:i/>
        </w:rPr>
        <w:t>retiro programado</w:t>
      </w:r>
      <w:r w:rsidRPr="00AF4296">
        <w:rPr>
          <w:rFonts w:eastAsia="Calibri"/>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238053E1" w14:textId="77777777" w:rsidR="003F272C" w:rsidRPr="00AF4296" w:rsidRDefault="003F272C" w:rsidP="00AF4296">
      <w:pPr>
        <w:widowControl w:val="0"/>
        <w:autoSpaceDE w:val="0"/>
        <w:autoSpaceDN w:val="0"/>
        <w:adjustRightInd w:val="0"/>
        <w:spacing w:line="276" w:lineRule="auto"/>
        <w:ind w:firstLine="708"/>
        <w:rPr>
          <w:rFonts w:eastAsia="Calibri"/>
        </w:rPr>
      </w:pPr>
    </w:p>
    <w:p w14:paraId="587D5B2F" w14:textId="77777777" w:rsidR="00A40461" w:rsidRPr="00AF4296" w:rsidRDefault="00A40461" w:rsidP="00AF4296">
      <w:pPr>
        <w:widowControl w:val="0"/>
        <w:autoSpaceDE w:val="0"/>
        <w:autoSpaceDN w:val="0"/>
        <w:adjustRightInd w:val="0"/>
        <w:spacing w:line="276" w:lineRule="auto"/>
        <w:ind w:firstLine="708"/>
        <w:rPr>
          <w:rFonts w:eastAsia="Calibri"/>
        </w:rPr>
      </w:pPr>
      <w:r w:rsidRPr="00AF4296">
        <w:rPr>
          <w:rFonts w:eastAsia="Calibri"/>
        </w:rPr>
        <w:t xml:space="preserve">Protección 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5C2011CF" w14:textId="77777777" w:rsidR="00A40461" w:rsidRPr="00AF4296" w:rsidRDefault="00A40461" w:rsidP="00AF4296">
      <w:pPr>
        <w:widowControl w:val="0"/>
        <w:autoSpaceDE w:val="0"/>
        <w:autoSpaceDN w:val="0"/>
        <w:adjustRightInd w:val="0"/>
        <w:spacing w:line="276" w:lineRule="auto"/>
        <w:ind w:firstLine="284"/>
        <w:rPr>
          <w:rFonts w:eastAsia="Calibri"/>
        </w:rPr>
      </w:pPr>
    </w:p>
    <w:p w14:paraId="55581614" w14:textId="5D49BC4E" w:rsidR="00A40461" w:rsidRPr="00AF4296" w:rsidRDefault="00A40461" w:rsidP="00AF4296">
      <w:pPr>
        <w:widowControl w:val="0"/>
        <w:autoSpaceDE w:val="0"/>
        <w:autoSpaceDN w:val="0"/>
        <w:adjustRightInd w:val="0"/>
        <w:spacing w:line="276" w:lineRule="auto"/>
        <w:ind w:firstLine="708"/>
        <w:rPr>
          <w:rFonts w:eastAsia="Calibri"/>
        </w:rPr>
      </w:pPr>
      <w:r w:rsidRPr="00AF4296">
        <w:rPr>
          <w:rFonts w:eastAsia="Calibri"/>
        </w:rPr>
        <w:t>Con todo hay que indicar que como prueba del cumplimiento del deber de información y buen consejo, la AFP demandada llamó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w:t>
      </w:r>
      <w:r w:rsidR="0026453A" w:rsidRPr="00AF4296">
        <w:rPr>
          <w:rFonts w:eastAsia="Calibri"/>
        </w:rPr>
        <w:t>, pero sobre</w:t>
      </w:r>
      <w:r w:rsidR="00E442FE" w:rsidRPr="00AF4296">
        <w:rPr>
          <w:rFonts w:eastAsia="Calibri"/>
        </w:rPr>
        <w:t xml:space="preserve"> </w:t>
      </w:r>
      <w:r w:rsidR="0026453A" w:rsidRPr="00AF4296">
        <w:rPr>
          <w:rFonts w:eastAsia="Calibri"/>
        </w:rPr>
        <w:t xml:space="preserve">todo, no </w:t>
      </w:r>
      <w:r w:rsidR="0026453A" w:rsidRPr="00AF4296">
        <w:rPr>
          <w:rFonts w:eastAsia="Calibri"/>
        </w:rPr>
        <w:lastRenderedPageBreak/>
        <w:t>se le puso de presente que perdería los beneficios transicionales al cambiar de régimen</w:t>
      </w:r>
      <w:r w:rsidRPr="00AF4296">
        <w:rPr>
          <w:rFonts w:eastAsia="Calibri"/>
        </w:rPr>
        <w:t>.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687D42F7" w14:textId="77777777" w:rsidR="00A40461" w:rsidRPr="00AF4296" w:rsidRDefault="00A40461" w:rsidP="00AF4296">
      <w:pPr>
        <w:widowControl w:val="0"/>
        <w:autoSpaceDE w:val="0"/>
        <w:autoSpaceDN w:val="0"/>
        <w:adjustRightInd w:val="0"/>
        <w:spacing w:line="276" w:lineRule="auto"/>
        <w:ind w:firstLine="284"/>
        <w:rPr>
          <w:rFonts w:eastAsia="Calibri"/>
        </w:rPr>
      </w:pPr>
    </w:p>
    <w:p w14:paraId="287EE44F" w14:textId="77777777" w:rsidR="00A40461" w:rsidRPr="00AF4296" w:rsidRDefault="00A40461" w:rsidP="00AF4296">
      <w:pPr>
        <w:widowControl w:val="0"/>
        <w:autoSpaceDE w:val="0"/>
        <w:autoSpaceDN w:val="0"/>
        <w:adjustRightInd w:val="0"/>
        <w:spacing w:line="276" w:lineRule="auto"/>
        <w:ind w:firstLine="708"/>
        <w:rPr>
          <w:rFonts w:eastAsia="Calibri"/>
        </w:rPr>
      </w:pPr>
      <w:r w:rsidRPr="00AF4296">
        <w:rPr>
          <w:rFonts w:eastAsia="Calibri"/>
        </w:rPr>
        <w:t>En cuanto a las condenas impartidas a cargo de Protección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270977BA" w14:textId="77777777" w:rsidR="00A40461" w:rsidRPr="00AF4296" w:rsidRDefault="00A40461" w:rsidP="00AF4296">
      <w:pPr>
        <w:widowControl w:val="0"/>
        <w:autoSpaceDE w:val="0"/>
        <w:autoSpaceDN w:val="0"/>
        <w:adjustRightInd w:val="0"/>
        <w:spacing w:line="276" w:lineRule="auto"/>
        <w:ind w:firstLine="284"/>
        <w:rPr>
          <w:rFonts w:eastAsia="Calibri"/>
        </w:rPr>
      </w:pPr>
    </w:p>
    <w:p w14:paraId="3142E9EC" w14:textId="77777777" w:rsidR="00A40461" w:rsidRPr="00AF4296" w:rsidRDefault="00A40461" w:rsidP="00AF4296">
      <w:pPr>
        <w:pStyle w:val="NormalWeb"/>
        <w:spacing w:before="0" w:beforeAutospacing="0" w:after="0" w:afterAutospacing="0" w:line="276" w:lineRule="auto"/>
        <w:ind w:firstLine="644"/>
        <w:jc w:val="both"/>
        <w:rPr>
          <w:rFonts w:ascii="Tahoma" w:hAnsi="Tahoma" w:cs="Tahoma"/>
        </w:rPr>
      </w:pPr>
      <w:r w:rsidRPr="00AF4296">
        <w:rPr>
          <w:rFonts w:ascii="Tahoma" w:hAnsi="Tahoma" w:cs="Tahoma"/>
        </w:rPr>
        <w:t xml:space="preserve">Pues bien, previo a arribar los demás problemas jurídicos vale la pena hacer referencia a que el apoderado de Protección S.A. en su alzada solicita que se desconozca el precedente ya traído a colación, petición que no se torna posible porque ello conllevaría a la vulneración de los derechos fundamentales al mínimo vital y la seguridad social del afiliado.  </w:t>
      </w:r>
    </w:p>
    <w:p w14:paraId="6F14C3EB" w14:textId="77777777" w:rsidR="00A40461" w:rsidRPr="00AF4296" w:rsidRDefault="00A40461" w:rsidP="00AF4296">
      <w:pPr>
        <w:pStyle w:val="NormalWeb"/>
        <w:spacing w:before="0" w:beforeAutospacing="0" w:after="0" w:afterAutospacing="0" w:line="276" w:lineRule="auto"/>
        <w:ind w:firstLine="644"/>
        <w:jc w:val="both"/>
        <w:rPr>
          <w:rFonts w:ascii="Tahoma" w:hAnsi="Tahoma" w:cs="Tahoma"/>
        </w:rPr>
      </w:pPr>
    </w:p>
    <w:p w14:paraId="0AAD0FA0" w14:textId="2826E97D" w:rsidR="00A40461" w:rsidRPr="00AF4296" w:rsidRDefault="00A40461" w:rsidP="00AF4296">
      <w:pPr>
        <w:spacing w:line="276" w:lineRule="auto"/>
        <w:ind w:firstLine="644"/>
        <w:rPr>
          <w:rFonts w:eastAsia="Times New Roman"/>
          <w:lang w:val="es-ES" w:eastAsia="es-ES"/>
        </w:rPr>
      </w:pPr>
      <w:r w:rsidRPr="00AF4296">
        <w:rPr>
          <w:rFonts w:eastAsia="Times New Roman"/>
          <w:lang w:val="es-ES" w:eastAsia="es-ES"/>
        </w:rPr>
        <w:t xml:space="preserve">En </w:t>
      </w:r>
      <w:r w:rsidR="0026453A" w:rsidRPr="00AF4296">
        <w:rPr>
          <w:rFonts w:eastAsia="Times New Roman"/>
          <w:lang w:val="es-ES" w:eastAsia="es-ES"/>
        </w:rPr>
        <w:t>efecto</w:t>
      </w:r>
      <w:r w:rsidRPr="00AF4296">
        <w:rPr>
          <w:rFonts w:eastAsia="Times New Roman"/>
          <w:lang w:val="es-ES" w:eastAsia="es-ES"/>
        </w:rPr>
        <w:t>, recuérdese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B034C2">
        <w:rPr>
          <w:rFonts w:eastAsia="Times New Roman"/>
          <w:sz w:val="22"/>
          <w:lang w:val="es-ES"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AF4296">
        <w:rPr>
          <w:rFonts w:eastAsia="Times New Roman"/>
          <w:lang w:val="es-ES" w:eastAsia="es-ES"/>
        </w:rPr>
        <w:t>” (STL4759-2020).</w:t>
      </w:r>
    </w:p>
    <w:p w14:paraId="2C3D2D57" w14:textId="77777777" w:rsidR="00A40461" w:rsidRPr="00AF4296" w:rsidRDefault="00A40461" w:rsidP="00AF4296">
      <w:pPr>
        <w:spacing w:line="276" w:lineRule="auto"/>
        <w:ind w:firstLine="644"/>
        <w:rPr>
          <w:rFonts w:eastAsia="Times New Roman"/>
          <w:lang w:val="es-ES" w:eastAsia="es-ES"/>
        </w:rPr>
      </w:pPr>
    </w:p>
    <w:p w14:paraId="42012FA2" w14:textId="77D82198" w:rsidR="00A40461" w:rsidRPr="00AF4296" w:rsidRDefault="00A40461" w:rsidP="00AF4296">
      <w:pPr>
        <w:widowControl w:val="0"/>
        <w:autoSpaceDE w:val="0"/>
        <w:autoSpaceDN w:val="0"/>
        <w:adjustRightInd w:val="0"/>
        <w:spacing w:line="276" w:lineRule="auto"/>
        <w:ind w:firstLine="708"/>
        <w:rPr>
          <w:rFonts w:eastAsia="Calibri"/>
        </w:rPr>
      </w:pPr>
      <w:r w:rsidRPr="00AF4296">
        <w:rPr>
          <w:rFonts w:eastAsia="Calibri"/>
        </w:rPr>
        <w:t>Frente al argumento de Colpensiones, referente a que era improcedente permitir que la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398DC579" w14:textId="0EDD732D" w:rsidR="0026453A" w:rsidRPr="00AF4296" w:rsidRDefault="0026453A" w:rsidP="00AF4296">
      <w:pPr>
        <w:widowControl w:val="0"/>
        <w:autoSpaceDE w:val="0"/>
        <w:autoSpaceDN w:val="0"/>
        <w:adjustRightInd w:val="0"/>
        <w:spacing w:line="276" w:lineRule="auto"/>
        <w:ind w:firstLine="708"/>
        <w:rPr>
          <w:rFonts w:eastAsia="Calibri"/>
        </w:rPr>
      </w:pPr>
    </w:p>
    <w:p w14:paraId="2B7A9D0D" w14:textId="3E12DF80" w:rsidR="0026453A" w:rsidRPr="00AF4296" w:rsidRDefault="002C1B23" w:rsidP="00AF4296">
      <w:pPr>
        <w:widowControl w:val="0"/>
        <w:autoSpaceDE w:val="0"/>
        <w:autoSpaceDN w:val="0"/>
        <w:adjustRightInd w:val="0"/>
        <w:spacing w:line="276" w:lineRule="auto"/>
        <w:ind w:firstLine="708"/>
      </w:pPr>
      <w:r w:rsidRPr="00AF4296">
        <w:t>Ahora, con relación a</w:t>
      </w:r>
      <w:r w:rsidR="0026453A" w:rsidRPr="00AF4296">
        <w:t xml:space="preserve"> la solicitud de Colpensiones enmarcada en que se disponga, a título de resarcimiento, condena en contra de las administradoras del RAIS, consistente en el pago de las diferencias que se pudieran generar en la financiación de la pensión de la demandante, producto de la mala asesoría, al respecto, se debe indicar que con la ineficacia del traslado, las cosas se retrotraen al estado en que se encontraban antes de ocurrir, circunstancia, que contrajo consecuencias que, en este caso, ya fueron ordenadas en virtud del grado jurisdiccional de consulta y con fundamento en la línea jurisprudencial planteada en precedencia. </w:t>
      </w:r>
    </w:p>
    <w:p w14:paraId="088330AC" w14:textId="77777777" w:rsidR="002C1B23" w:rsidRPr="00AF4296" w:rsidRDefault="002C1B23" w:rsidP="00AF4296">
      <w:pPr>
        <w:widowControl w:val="0"/>
        <w:autoSpaceDE w:val="0"/>
        <w:autoSpaceDN w:val="0"/>
        <w:adjustRightInd w:val="0"/>
        <w:spacing w:line="276" w:lineRule="auto"/>
        <w:ind w:firstLine="708"/>
      </w:pPr>
    </w:p>
    <w:p w14:paraId="15C56480" w14:textId="7AE61C7B" w:rsidR="0026453A" w:rsidRPr="00AF4296" w:rsidRDefault="002C1B23" w:rsidP="00AF4296">
      <w:pPr>
        <w:spacing w:line="276" w:lineRule="auto"/>
        <w:ind w:firstLine="708"/>
        <w:rPr>
          <w:rFonts w:eastAsia="Calibri"/>
        </w:rPr>
      </w:pPr>
      <w:r w:rsidRPr="00AF4296">
        <w:rPr>
          <w:rFonts w:eastAsia="Calibri"/>
        </w:rPr>
        <w:t xml:space="preserve">Parafraseando </w:t>
      </w:r>
      <w:r w:rsidR="0026453A" w:rsidRPr="00AF4296">
        <w:rPr>
          <w:rFonts w:eastAsia="Calibri"/>
        </w:rPr>
        <w:t>lo dicho en otros asuntos similares, decididos por esta Corporación</w:t>
      </w:r>
      <w:r w:rsidR="0026453A" w:rsidRPr="00AF4296">
        <w:rPr>
          <w:rFonts w:eastAsia="Calibri"/>
          <w:vertAlign w:val="superscript"/>
        </w:rPr>
        <w:footnoteReference w:id="6"/>
      </w:r>
      <w:r w:rsidR="0026453A" w:rsidRPr="00AF4296">
        <w:rPr>
          <w:rFonts w:eastAsia="Calibri"/>
        </w:rPr>
        <w:t xml:space="preserve">, en este punto es pertinente advertir que al haber operado un traslado desde el régimen de prima media con prestación definida al régimen de ahorro individual con solidaridad el 26 de noviembre de 1999, </w:t>
      </w:r>
      <w:r w:rsidR="0026453A" w:rsidRPr="00AF4296">
        <w:rPr>
          <w:rFonts w:eastAsia="Calibri"/>
          <w:b/>
        </w:rPr>
        <w:t>cuando contaba con 400,14 semanas cotizadas al otrora Instituto de Seguros Sociales</w:t>
      </w:r>
      <w:r w:rsidR="0026453A" w:rsidRPr="00AF4296">
        <w:rPr>
          <w:rFonts w:eastAsia="Calibri"/>
        </w:rPr>
        <w:t>, se generó en ese momento un bono pensional tipo A en favor de la señora Marta Cecilia Ortiz Mora, nacida el 10 de febrero de 1954, como se evidencia en la copia de su cédula de ciudadanía -pág. 32 expediente digitalizado-, por lo que a pesar de que no existe prueba que demuestre el estado actual de ese instrumento de deuda pública, lo cierto es que el mismo se redimió normalmente el 10 de febrero de 2014, fecha en que la accionante cumplió los 60 años de edad; por lo que, teniendo en cuenta que el artículo 17 del Decreto 1748 de 1995 dispone que esta clase de bonos se pagan dentro del mes siguiente a la fecha de redención (sin necesidad de solicitud previa), muy seguramente el bono debió entrar a la cuenta de ahorro individual de la demandante antes del 1</w:t>
      </w:r>
      <w:r w:rsidR="00FA440E" w:rsidRPr="00AF4296">
        <w:rPr>
          <w:rFonts w:eastAsia="Calibri"/>
        </w:rPr>
        <w:t>0</w:t>
      </w:r>
      <w:r w:rsidR="0026453A" w:rsidRPr="00AF4296">
        <w:rPr>
          <w:rFonts w:eastAsia="Calibri"/>
        </w:rPr>
        <w:t xml:space="preserve"> de </w:t>
      </w:r>
      <w:r w:rsidR="00FA440E" w:rsidRPr="00AF4296">
        <w:rPr>
          <w:rFonts w:eastAsia="Calibri"/>
        </w:rPr>
        <w:t xml:space="preserve">marzo </w:t>
      </w:r>
      <w:r w:rsidR="0026453A" w:rsidRPr="00AF4296">
        <w:rPr>
          <w:rFonts w:eastAsia="Calibri"/>
        </w:rPr>
        <w:t>de 201</w:t>
      </w:r>
      <w:r w:rsidR="00FA440E" w:rsidRPr="00AF4296">
        <w:rPr>
          <w:rFonts w:eastAsia="Calibri"/>
        </w:rPr>
        <w:t>4</w:t>
      </w:r>
      <w:r w:rsidR="0026453A" w:rsidRPr="00AF4296">
        <w:rPr>
          <w:rFonts w:eastAsia="Calibri"/>
        </w:rPr>
        <w:t>; razón por la que, al tener que restituirse las cosas al estado en el que se encontraban antes del 2</w:t>
      </w:r>
      <w:r w:rsidR="00FA440E" w:rsidRPr="00AF4296">
        <w:rPr>
          <w:rFonts w:eastAsia="Calibri"/>
        </w:rPr>
        <w:t>6</w:t>
      </w:r>
      <w:r w:rsidR="0026453A" w:rsidRPr="00AF4296">
        <w:rPr>
          <w:rFonts w:eastAsia="Calibri"/>
        </w:rPr>
        <w:t xml:space="preserve"> de </w:t>
      </w:r>
      <w:r w:rsidR="00FA440E" w:rsidRPr="00AF4296">
        <w:rPr>
          <w:rFonts w:eastAsia="Calibri"/>
        </w:rPr>
        <w:t xml:space="preserve">noviembre </w:t>
      </w:r>
      <w:r w:rsidR="0026453A" w:rsidRPr="00AF4296">
        <w:rPr>
          <w:rFonts w:eastAsia="Calibri"/>
        </w:rPr>
        <w:t>de 199</w:t>
      </w:r>
      <w:r w:rsidR="00FA440E" w:rsidRPr="00AF4296">
        <w:rPr>
          <w:rFonts w:eastAsia="Calibri"/>
        </w:rPr>
        <w:t>9</w:t>
      </w:r>
      <w:r w:rsidR="0026453A" w:rsidRPr="00AF4296">
        <w:rPr>
          <w:rFonts w:eastAsia="Calibri"/>
        </w:rPr>
        <w:t xml:space="preserve">, por cuenta de la ineficacia del traslado declarada en primera instancia y ratificada en esta sede, se adicionará la sentencia proferida por el Juzgado </w:t>
      </w:r>
      <w:r w:rsidR="00FA440E" w:rsidRPr="00AF4296">
        <w:rPr>
          <w:rFonts w:eastAsia="Calibri"/>
        </w:rPr>
        <w:t xml:space="preserve">Segundo Laboral </w:t>
      </w:r>
      <w:r w:rsidR="0026453A" w:rsidRPr="00AF4296">
        <w:rPr>
          <w:rFonts w:eastAsia="Calibri"/>
        </w:rPr>
        <w:t>del Circuito de Pereira, en el sentido de condenar al fondo privado de pensiones accionado a restituir la suma pagada por ese concepto pero a favor de la OBP del Ministerio de Hacienda y Crédito Público, misma que deberá estar debidamente indexada, precisándose que esa actualización del valor del bono pensional debe ser cancelada con los recursos propios del fondo privado de pensiones P</w:t>
      </w:r>
      <w:r w:rsidR="00FA440E" w:rsidRPr="00AF4296">
        <w:rPr>
          <w:rFonts w:eastAsia="Calibri"/>
        </w:rPr>
        <w:t xml:space="preserve">rotección </w:t>
      </w:r>
      <w:r w:rsidR="0026453A" w:rsidRPr="00AF4296">
        <w:rPr>
          <w:rFonts w:eastAsia="Calibri"/>
        </w:rPr>
        <w:t xml:space="preserve">S.A. </w:t>
      </w:r>
    </w:p>
    <w:p w14:paraId="50AD47BC" w14:textId="77777777" w:rsidR="0026453A" w:rsidRPr="00AF4296" w:rsidRDefault="0026453A" w:rsidP="00AF4296">
      <w:pPr>
        <w:spacing w:line="276" w:lineRule="auto"/>
        <w:rPr>
          <w:rFonts w:eastAsia="Calibri"/>
        </w:rPr>
      </w:pPr>
    </w:p>
    <w:p w14:paraId="22A5CAD8" w14:textId="6548115F" w:rsidR="0026453A" w:rsidRPr="00AF4296" w:rsidRDefault="0026453A" w:rsidP="00AF4296">
      <w:pPr>
        <w:spacing w:line="276" w:lineRule="auto"/>
        <w:ind w:firstLine="708"/>
        <w:rPr>
          <w:rFonts w:eastAsia="Calibri"/>
        </w:rPr>
      </w:pPr>
      <w:r w:rsidRPr="00AF4296">
        <w:rPr>
          <w:rFonts w:eastAsia="Calibri"/>
        </w:rPr>
        <w:t xml:space="preserve">Así mismo, se </w:t>
      </w:r>
      <w:r w:rsidR="00FA440E" w:rsidRPr="00AF4296">
        <w:rPr>
          <w:rFonts w:eastAsia="Calibri"/>
        </w:rPr>
        <w:t>modificará el ordinal quinto de</w:t>
      </w:r>
      <w:r w:rsidRPr="00AF4296">
        <w:rPr>
          <w:rFonts w:eastAsia="Calibri"/>
        </w:rPr>
        <w:t xml:space="preserve"> la sentencia </w:t>
      </w:r>
      <w:r w:rsidR="00FA440E" w:rsidRPr="00AF4296">
        <w:rPr>
          <w:rFonts w:eastAsia="Calibri"/>
        </w:rPr>
        <w:t xml:space="preserve">de primer grado, </w:t>
      </w:r>
      <w:r w:rsidRPr="00AF4296">
        <w:rPr>
          <w:rFonts w:eastAsia="Calibri"/>
        </w:rPr>
        <w:t>en el sentido de comunicar a la OBP del Ministerio de Hacienda y Crédito Público la decisión adoptada en el presente caso, con el objeto de que tenga conocimiento de la orden impartida frente al bono pensional tipo A redimido y pagado por parte de esa entidad a favor de la cuenta de ahorro individual de la parte accionante, para que posteriormente, haciendo uso de trámites internos y a través de canales institucionales, ejecute todas las acciones pertinentes para retrotraer las cosas al estado en el que se encontraban para el 2</w:t>
      </w:r>
      <w:r w:rsidR="00FA440E" w:rsidRPr="00AF4296">
        <w:rPr>
          <w:rFonts w:eastAsia="Calibri"/>
        </w:rPr>
        <w:t>6</w:t>
      </w:r>
      <w:r w:rsidRPr="00AF4296">
        <w:rPr>
          <w:rFonts w:eastAsia="Calibri"/>
        </w:rPr>
        <w:t xml:space="preserve"> de </w:t>
      </w:r>
      <w:r w:rsidR="00FA440E" w:rsidRPr="00AF4296">
        <w:rPr>
          <w:rFonts w:eastAsia="Calibri"/>
        </w:rPr>
        <w:t xml:space="preserve">noviembre </w:t>
      </w:r>
      <w:r w:rsidRPr="00AF4296">
        <w:rPr>
          <w:rFonts w:eastAsia="Calibri"/>
        </w:rPr>
        <w:t>de 199</w:t>
      </w:r>
      <w:r w:rsidR="00FA440E" w:rsidRPr="00AF4296">
        <w:rPr>
          <w:rFonts w:eastAsia="Calibri"/>
        </w:rPr>
        <w:t>9</w:t>
      </w:r>
      <w:r w:rsidRPr="00AF4296">
        <w:rPr>
          <w:rFonts w:eastAsia="Calibri"/>
        </w:rPr>
        <w:t>.</w:t>
      </w:r>
    </w:p>
    <w:p w14:paraId="0D68E728" w14:textId="77777777" w:rsidR="00A40461" w:rsidRPr="00AF4296" w:rsidRDefault="00A40461" w:rsidP="00AF4296">
      <w:pPr>
        <w:widowControl w:val="0"/>
        <w:autoSpaceDE w:val="0"/>
        <w:autoSpaceDN w:val="0"/>
        <w:adjustRightInd w:val="0"/>
        <w:spacing w:line="276" w:lineRule="auto"/>
        <w:ind w:firstLine="708"/>
        <w:rPr>
          <w:rFonts w:eastAsia="Calibri"/>
        </w:rPr>
      </w:pPr>
    </w:p>
    <w:p w14:paraId="0C78A9AC" w14:textId="77777777" w:rsidR="00A40461" w:rsidRPr="00AF4296" w:rsidRDefault="00A40461" w:rsidP="00AF4296">
      <w:pPr>
        <w:widowControl w:val="0"/>
        <w:autoSpaceDE w:val="0"/>
        <w:autoSpaceDN w:val="0"/>
        <w:adjustRightInd w:val="0"/>
        <w:spacing w:line="276" w:lineRule="auto"/>
        <w:ind w:firstLine="708"/>
        <w:rPr>
          <w:rFonts w:eastAsia="Calibri"/>
        </w:rPr>
      </w:pPr>
      <w:r w:rsidRPr="00AF4296">
        <w:rPr>
          <w:rFonts w:eastAsia="Calibri"/>
        </w:rPr>
        <w:lastRenderedPageBreak/>
        <w:t xml:space="preserve">En esta instancia de conformidad a lo consagrado en el artículo 365 del CGP, se condenará en costas procesales a Protección S.A y Colpensiones a favor de la parte actora, las cuales se liquidarán por la secretaría del juzgado de origen. </w:t>
      </w:r>
    </w:p>
    <w:p w14:paraId="0C11F18C" w14:textId="77777777" w:rsidR="00A40461" w:rsidRPr="00AF4296" w:rsidRDefault="00A40461" w:rsidP="00AF4296">
      <w:pPr>
        <w:widowControl w:val="0"/>
        <w:autoSpaceDE w:val="0"/>
        <w:autoSpaceDN w:val="0"/>
        <w:adjustRightInd w:val="0"/>
        <w:spacing w:line="276" w:lineRule="auto"/>
        <w:ind w:firstLine="708"/>
        <w:rPr>
          <w:rFonts w:eastAsia="Calibri"/>
        </w:rPr>
      </w:pPr>
    </w:p>
    <w:p w14:paraId="276C34F8" w14:textId="2930473B" w:rsidR="00A40461" w:rsidRPr="00AF4296" w:rsidRDefault="00A40461" w:rsidP="00AF4296">
      <w:pPr>
        <w:widowControl w:val="0"/>
        <w:autoSpaceDE w:val="0"/>
        <w:autoSpaceDN w:val="0"/>
        <w:adjustRightInd w:val="0"/>
        <w:spacing w:line="276" w:lineRule="auto"/>
        <w:ind w:firstLine="708"/>
        <w:rPr>
          <w:rFonts w:eastAsia="Calibri"/>
        </w:rPr>
      </w:pPr>
      <w:r w:rsidRPr="00AF4296">
        <w:rPr>
          <w:rFonts w:eastAsia="Calibri"/>
        </w:rPr>
        <w:t xml:space="preserve">Finalmente, se reconocerá personería jurídica a la Dr. </w:t>
      </w:r>
      <w:r w:rsidR="00FA440E" w:rsidRPr="00AF4296">
        <w:rPr>
          <w:rFonts w:eastAsia="Calibri"/>
          <w:b/>
        </w:rPr>
        <w:t xml:space="preserve">José Mario </w:t>
      </w:r>
      <w:proofErr w:type="spellStart"/>
      <w:r w:rsidR="00FA440E" w:rsidRPr="00AF4296">
        <w:rPr>
          <w:rFonts w:eastAsia="Calibri"/>
          <w:b/>
        </w:rPr>
        <w:t>Hincapie</w:t>
      </w:r>
      <w:proofErr w:type="spellEnd"/>
      <w:r w:rsidRPr="00AF4296">
        <w:rPr>
          <w:rFonts w:eastAsia="Calibri"/>
          <w:bCs/>
        </w:rPr>
        <w:t>,</w:t>
      </w:r>
      <w:r w:rsidRPr="00AF4296">
        <w:rPr>
          <w:rFonts w:eastAsia="Calibri"/>
          <w:b/>
          <w:bCs/>
        </w:rPr>
        <w:t xml:space="preserve"> </w:t>
      </w:r>
      <w:r w:rsidRPr="00AF4296">
        <w:rPr>
          <w:rFonts w:eastAsia="Calibri"/>
        </w:rPr>
        <w:t>identificad</w:t>
      </w:r>
      <w:r w:rsidR="00FA440E" w:rsidRPr="00AF4296">
        <w:rPr>
          <w:rFonts w:eastAsia="Calibri"/>
        </w:rPr>
        <w:t>o</w:t>
      </w:r>
      <w:r w:rsidRPr="00AF4296">
        <w:rPr>
          <w:rFonts w:eastAsia="Calibri"/>
        </w:rPr>
        <w:t xml:space="preserve"> con la</w:t>
      </w:r>
      <w:r w:rsidRPr="00AF4296">
        <w:rPr>
          <w:rFonts w:eastAsia="Calibri"/>
          <w:b/>
          <w:bCs/>
        </w:rPr>
        <w:t xml:space="preserve"> </w:t>
      </w:r>
      <w:r w:rsidRPr="00AF4296">
        <w:rPr>
          <w:rFonts w:eastAsia="Calibri"/>
        </w:rPr>
        <w:t xml:space="preserve">Cédula de ciudadanía No. </w:t>
      </w:r>
      <w:r w:rsidR="00FA440E" w:rsidRPr="00AF4296">
        <w:rPr>
          <w:rFonts w:eastAsia="Calibri"/>
        </w:rPr>
        <w:t>1.094.882.452</w:t>
      </w:r>
      <w:r w:rsidR="002C1B23" w:rsidRPr="00AF4296">
        <w:rPr>
          <w:rFonts w:eastAsia="Calibri"/>
        </w:rPr>
        <w:t xml:space="preserve"> </w:t>
      </w:r>
      <w:r w:rsidR="00FA440E" w:rsidRPr="00AF4296">
        <w:rPr>
          <w:rFonts w:eastAsia="Calibri"/>
        </w:rPr>
        <w:t>de Armenia</w:t>
      </w:r>
      <w:r w:rsidR="002C1B23" w:rsidRPr="00AF4296">
        <w:rPr>
          <w:rFonts w:eastAsia="Calibri"/>
        </w:rPr>
        <w:t xml:space="preserve"> </w:t>
      </w:r>
      <w:r w:rsidR="00FA440E" w:rsidRPr="00AF4296">
        <w:rPr>
          <w:rFonts w:eastAsia="Calibri"/>
        </w:rPr>
        <w:t>-</w:t>
      </w:r>
      <w:r w:rsidR="002C1B23" w:rsidRPr="00AF4296">
        <w:rPr>
          <w:rFonts w:eastAsia="Calibri"/>
        </w:rPr>
        <w:t xml:space="preserve"> </w:t>
      </w:r>
      <w:r w:rsidR="00FA440E" w:rsidRPr="00AF4296">
        <w:rPr>
          <w:rFonts w:eastAsia="Calibri"/>
        </w:rPr>
        <w:t>Quindío</w:t>
      </w:r>
      <w:r w:rsidRPr="00AF4296">
        <w:rPr>
          <w:rFonts w:eastAsia="Calibri"/>
        </w:rPr>
        <w:t xml:space="preserve"> y Tarjeta profesional No. 227.0</w:t>
      </w:r>
      <w:r w:rsidR="00FA440E" w:rsidRPr="00AF4296">
        <w:rPr>
          <w:rFonts w:eastAsia="Calibri"/>
        </w:rPr>
        <w:t>23</w:t>
      </w:r>
      <w:r w:rsidRPr="00AF4296">
        <w:rPr>
          <w:rFonts w:eastAsia="Calibri"/>
        </w:rPr>
        <w:t xml:space="preserve"> del Consejo Superior de la Judicatura, quien allegó la sustitución de poder que le hiciera el Dr. </w:t>
      </w:r>
      <w:r w:rsidR="00FA440E" w:rsidRPr="00AF4296">
        <w:rPr>
          <w:rFonts w:eastAsia="Calibri"/>
        </w:rPr>
        <w:t>José Octav</w:t>
      </w:r>
      <w:r w:rsidR="002C1B23" w:rsidRPr="00AF4296">
        <w:rPr>
          <w:rFonts w:eastAsia="Calibri"/>
        </w:rPr>
        <w:t>i</w:t>
      </w:r>
      <w:r w:rsidR="00FA440E" w:rsidRPr="00AF4296">
        <w:rPr>
          <w:rFonts w:eastAsia="Calibri"/>
        </w:rPr>
        <w:t>o Zuluaga</w:t>
      </w:r>
      <w:r w:rsidRPr="00AF4296">
        <w:rPr>
          <w:rFonts w:eastAsia="Calibri"/>
        </w:rPr>
        <w:t xml:space="preserve">, apoderado especial de Colpensiones. </w:t>
      </w:r>
    </w:p>
    <w:p w14:paraId="7D38CEE7" w14:textId="77777777" w:rsidR="00A40461" w:rsidRPr="00AF4296" w:rsidRDefault="00A40461" w:rsidP="00AF4296">
      <w:pPr>
        <w:spacing w:line="276" w:lineRule="auto"/>
        <w:ind w:firstLine="284"/>
      </w:pPr>
    </w:p>
    <w:p w14:paraId="076678B2" w14:textId="77777777" w:rsidR="00A40461" w:rsidRPr="00AF4296" w:rsidRDefault="00A40461" w:rsidP="00AF4296">
      <w:pPr>
        <w:spacing w:line="276" w:lineRule="auto"/>
        <w:ind w:firstLine="708"/>
      </w:pPr>
      <w:r w:rsidRPr="00AF4296">
        <w:t xml:space="preserve">En mérito de lo expuesto, el </w:t>
      </w:r>
      <w:r w:rsidRPr="00AF4296">
        <w:rPr>
          <w:b/>
          <w:bCs/>
        </w:rPr>
        <w:t>Tribunal Superior del Distrito Judicial de Pereira - Risaralda, Sala Primera de Decisión Laboral,</w:t>
      </w:r>
      <w:r w:rsidRPr="00AF4296">
        <w:t xml:space="preserve"> administrando justicia en </w:t>
      </w:r>
      <w:bookmarkStart w:id="10" w:name="_GoBack"/>
      <w:r w:rsidRPr="00AF4296">
        <w:t>nombre de la República y por autoridad de la ley,</w:t>
      </w:r>
    </w:p>
    <w:p w14:paraId="0130F30D" w14:textId="77777777" w:rsidR="00A40461" w:rsidRPr="00AF4296" w:rsidRDefault="00A40461" w:rsidP="00AF4296">
      <w:pPr>
        <w:spacing w:line="276" w:lineRule="auto"/>
        <w:ind w:firstLine="644"/>
      </w:pPr>
      <w:r w:rsidRPr="00AF4296">
        <w:t xml:space="preserve"> </w:t>
      </w:r>
    </w:p>
    <w:p w14:paraId="4DE8D78B" w14:textId="77777777" w:rsidR="00A40461" w:rsidRPr="00AF4296" w:rsidRDefault="00A40461" w:rsidP="00AF4296">
      <w:pPr>
        <w:spacing w:line="276" w:lineRule="auto"/>
        <w:ind w:firstLine="284"/>
        <w:jc w:val="center"/>
      </w:pPr>
      <w:r w:rsidRPr="00AF4296">
        <w:rPr>
          <w:b/>
          <w:bCs/>
        </w:rPr>
        <w:t>RESUELVE</w:t>
      </w:r>
    </w:p>
    <w:p w14:paraId="78A1D493" w14:textId="77777777" w:rsidR="00A40461" w:rsidRPr="00AF4296" w:rsidRDefault="00A40461" w:rsidP="00AF4296">
      <w:pPr>
        <w:spacing w:line="276" w:lineRule="auto"/>
        <w:jc w:val="center"/>
      </w:pPr>
      <w:r w:rsidRPr="00AF4296">
        <w:rPr>
          <w:b/>
          <w:bCs/>
        </w:rPr>
        <w:t xml:space="preserve"> </w:t>
      </w:r>
    </w:p>
    <w:bookmarkEnd w:id="10"/>
    <w:p w14:paraId="3ABDF471" w14:textId="77E64031" w:rsidR="00FA440E" w:rsidRPr="00AF4296" w:rsidRDefault="00A40461" w:rsidP="00AF4296">
      <w:pPr>
        <w:spacing w:line="276" w:lineRule="auto"/>
        <w:textAlignment w:val="baseline"/>
        <w:rPr>
          <w:rFonts w:eastAsia="Times New Roman"/>
          <w:iCs/>
          <w:highlight w:val="yellow"/>
        </w:rPr>
      </w:pPr>
      <w:r w:rsidRPr="00AF4296">
        <w:rPr>
          <w:rFonts w:eastAsia="Times New Roman"/>
          <w:b/>
          <w:bCs/>
          <w:iCs/>
        </w:rPr>
        <w:t xml:space="preserve">  </w:t>
      </w:r>
      <w:r w:rsidRPr="00AF4296">
        <w:rPr>
          <w:rFonts w:eastAsia="Times New Roman"/>
          <w:b/>
          <w:bCs/>
          <w:iCs/>
        </w:rPr>
        <w:tab/>
        <w:t xml:space="preserve"> PRIMERO: </w:t>
      </w:r>
      <w:r w:rsidRPr="00AF4296">
        <w:rPr>
          <w:rFonts w:eastAsia="Times New Roman"/>
        </w:rPr>
        <w:t> </w:t>
      </w:r>
      <w:r w:rsidRPr="00AF4296">
        <w:rPr>
          <w:rFonts w:eastAsia="Times New Roman"/>
          <w:b/>
          <w:bCs/>
          <w:iCs/>
          <w:lang w:val="es-ES"/>
        </w:rPr>
        <w:t> </w:t>
      </w:r>
      <w:r w:rsidR="00FA440E" w:rsidRPr="00AF4296">
        <w:rPr>
          <w:b/>
          <w:lang w:eastAsia="es-ES"/>
        </w:rPr>
        <w:t>ADICIONAR</w:t>
      </w:r>
      <w:r w:rsidR="00FA440E" w:rsidRPr="00AF4296">
        <w:rPr>
          <w:lang w:eastAsia="es-ES"/>
        </w:rPr>
        <w:t xml:space="preserve"> </w:t>
      </w:r>
      <w:r w:rsidR="00FA440E" w:rsidRPr="00AF4296">
        <w:t xml:space="preserve">la sentencia de primera instancia para </w:t>
      </w:r>
      <w:r w:rsidR="00FA440E" w:rsidRPr="00AF4296">
        <w:rPr>
          <w:rFonts w:eastAsia="Times New Roman"/>
          <w:b/>
          <w:bCs/>
          <w:iCs/>
        </w:rPr>
        <w:t>CONDENAR </w:t>
      </w:r>
      <w:r w:rsidR="00FA440E" w:rsidRPr="00AF4296">
        <w:t>al Fondo Privado de Pensiones P</w:t>
      </w:r>
      <w:r w:rsidR="002C1B23" w:rsidRPr="00AF4296">
        <w:t xml:space="preserve">rotección </w:t>
      </w:r>
      <w:r w:rsidR="00FA440E" w:rsidRPr="00AF4296">
        <w:t>S.A.</w:t>
      </w:r>
      <w:r w:rsidR="00FA440E" w:rsidRPr="00AF4296">
        <w:rPr>
          <w:rFonts w:eastAsia="Times New Roman"/>
          <w:iCs/>
        </w:rPr>
        <w:t xml:space="preserve"> que en caso de haber recibido el pago del bono pensional en favor de la cuenta de ahorro individual de la  Sra. Mar</w:t>
      </w:r>
      <w:r w:rsidR="002C1B23" w:rsidRPr="00AF4296">
        <w:rPr>
          <w:rFonts w:eastAsia="Times New Roman"/>
          <w:iCs/>
        </w:rPr>
        <w:t>ta Cecilia Ortiz Mora,</w:t>
      </w:r>
      <w:r w:rsidR="00FA440E" w:rsidRPr="00AF4296">
        <w:rPr>
          <w:rFonts w:eastAsia="Times New Roman"/>
          <w:iCs/>
        </w:rPr>
        <w:t xml:space="preserve"> </w:t>
      </w:r>
      <w:r w:rsidR="00FA440E" w:rsidRPr="00AF4296">
        <w:rPr>
          <w:rFonts w:eastAsia="Times New Roman"/>
          <w:b/>
          <w:iCs/>
        </w:rPr>
        <w:t>RESTITUYA</w:t>
      </w:r>
      <w:r w:rsidR="00FA440E" w:rsidRPr="00AF4296">
        <w:rPr>
          <w:rFonts w:eastAsia="Times New Roman"/>
          <w:iCs/>
        </w:rPr>
        <w:t xml:space="preserve"> la suma pagada por ese concepto a la Oficina de Bonos Pensionales del MINISTERIO DE HACIENDA Y CRÉDITO PÚBLICO, misma que  deberá estar debidamente indexada, precisándose que esa actualización del valor del bono pensional debe ser cancelada con cargo a sus propios recursos.</w:t>
      </w:r>
    </w:p>
    <w:p w14:paraId="02A3F74A" w14:textId="77777777" w:rsidR="00A40461" w:rsidRPr="00AF4296" w:rsidRDefault="00A40461" w:rsidP="00AF4296">
      <w:pPr>
        <w:spacing w:line="276" w:lineRule="auto"/>
        <w:textAlignment w:val="baseline"/>
        <w:rPr>
          <w:rFonts w:eastAsia="Times New Roman"/>
        </w:rPr>
      </w:pPr>
    </w:p>
    <w:p w14:paraId="33B9272C" w14:textId="11F0117F" w:rsidR="00FA440E" w:rsidRPr="00AF4296" w:rsidRDefault="00A40461" w:rsidP="00AF4296">
      <w:pPr>
        <w:spacing w:line="276" w:lineRule="auto"/>
        <w:textAlignment w:val="baseline"/>
        <w:rPr>
          <w:b/>
          <w:bCs/>
          <w:lang w:val="es-ES"/>
        </w:rPr>
      </w:pPr>
      <w:r w:rsidRPr="00AF4296">
        <w:rPr>
          <w:b/>
        </w:rPr>
        <w:t xml:space="preserve">  </w:t>
      </w:r>
      <w:r w:rsidRPr="00AF4296">
        <w:rPr>
          <w:b/>
        </w:rPr>
        <w:tab/>
        <w:t xml:space="preserve"> SEGUNDO:</w:t>
      </w:r>
      <w:r w:rsidRPr="00AF4296">
        <w:rPr>
          <w:b/>
          <w:bCs/>
        </w:rPr>
        <w:t xml:space="preserve"> </w:t>
      </w:r>
      <w:r w:rsidRPr="00AF4296">
        <w:t xml:space="preserve"> </w:t>
      </w:r>
      <w:r w:rsidR="00FA440E" w:rsidRPr="00AF4296">
        <w:rPr>
          <w:b/>
        </w:rPr>
        <w:t>MODIFICAR</w:t>
      </w:r>
      <w:r w:rsidR="00FA440E" w:rsidRPr="00AF4296">
        <w:t xml:space="preserve"> el ordinal quinto la providencia de instancia, en el sentido de comunicar la decisión adoptada en este asunto a la OBP del Ministerio de Hacienda y Crédito Público, </w:t>
      </w:r>
      <w:r w:rsidR="00FA440E" w:rsidRPr="00AF4296">
        <w:rPr>
          <w:rFonts w:eastAsia="Times New Roman"/>
          <w:color w:val="000000"/>
          <w:lang w:val="es-ES"/>
        </w:rPr>
        <w:t xml:space="preserve">con el objeto de que tenga conocimiento de la orden impartida frente al bono pensional tipo A que una vez redimido debió ser pagado por parte de esa entidad a favor de la cuenta de ahorro individual de la </w:t>
      </w:r>
      <w:r w:rsidR="00FA440E" w:rsidRPr="00AF4296">
        <w:rPr>
          <w:rFonts w:eastAsia="Times New Roman"/>
          <w:iCs/>
        </w:rPr>
        <w:t>Sra. Ma</w:t>
      </w:r>
      <w:r w:rsidR="00E61732" w:rsidRPr="00AF4296">
        <w:rPr>
          <w:rFonts w:eastAsia="Times New Roman"/>
          <w:iCs/>
        </w:rPr>
        <w:t>rta Cecilia Ortiz Mora</w:t>
      </w:r>
      <w:r w:rsidR="00FA440E" w:rsidRPr="00AF4296">
        <w:rPr>
          <w:rFonts w:eastAsia="Times New Roman"/>
          <w:color w:val="000000"/>
          <w:lang w:val="es-ES"/>
        </w:rPr>
        <w:t>, con el fin de que posteriormente, haciendo uso de trámites internos y a través de canales institucionales, ejecute todas las acciones pertinentes para retrotraer las cosas al estado en el que se encontraban para el 2</w:t>
      </w:r>
      <w:r w:rsidR="00E61732" w:rsidRPr="00AF4296">
        <w:rPr>
          <w:rFonts w:eastAsia="Times New Roman"/>
          <w:color w:val="000000"/>
          <w:lang w:val="es-ES"/>
        </w:rPr>
        <w:t>6</w:t>
      </w:r>
      <w:r w:rsidR="00FA440E" w:rsidRPr="00AF4296">
        <w:rPr>
          <w:rFonts w:eastAsia="Times New Roman"/>
          <w:color w:val="000000"/>
          <w:lang w:val="es-ES"/>
        </w:rPr>
        <w:t xml:space="preserve"> de </w:t>
      </w:r>
      <w:r w:rsidR="00E61732" w:rsidRPr="00AF4296">
        <w:rPr>
          <w:rFonts w:eastAsia="Times New Roman"/>
          <w:color w:val="000000"/>
          <w:lang w:val="es-ES"/>
        </w:rPr>
        <w:t xml:space="preserve">noviembre </w:t>
      </w:r>
      <w:r w:rsidR="00FA440E" w:rsidRPr="00AF4296">
        <w:rPr>
          <w:rFonts w:eastAsia="Times New Roman"/>
          <w:color w:val="000000"/>
          <w:lang w:val="es-ES"/>
        </w:rPr>
        <w:t>de 199</w:t>
      </w:r>
      <w:r w:rsidR="00E61732" w:rsidRPr="00AF4296">
        <w:rPr>
          <w:rFonts w:eastAsia="Times New Roman"/>
          <w:color w:val="000000"/>
          <w:lang w:val="es-ES"/>
        </w:rPr>
        <w:t>9</w:t>
      </w:r>
      <w:r w:rsidR="00FA440E" w:rsidRPr="00AF4296">
        <w:rPr>
          <w:rFonts w:eastAsia="Times New Roman"/>
          <w:spacing w:val="-2"/>
          <w:lang w:eastAsia="es-ES"/>
        </w:rPr>
        <w:t>.</w:t>
      </w:r>
    </w:p>
    <w:p w14:paraId="1804987B" w14:textId="77777777" w:rsidR="00FA440E" w:rsidRPr="00AF4296" w:rsidRDefault="00FA440E" w:rsidP="00AF4296">
      <w:pPr>
        <w:spacing w:line="276" w:lineRule="auto"/>
        <w:textAlignment w:val="baseline"/>
        <w:rPr>
          <w:b/>
          <w:bCs/>
          <w:lang w:val="es-ES"/>
        </w:rPr>
      </w:pPr>
    </w:p>
    <w:p w14:paraId="675281E9" w14:textId="0C743BF4" w:rsidR="00A40461" w:rsidRPr="00AF4296" w:rsidRDefault="00FA440E" w:rsidP="00AF4296">
      <w:pPr>
        <w:spacing w:line="276" w:lineRule="auto"/>
        <w:ind w:firstLine="708"/>
        <w:textAlignment w:val="baseline"/>
        <w:rPr>
          <w:lang w:val="es-ES"/>
        </w:rPr>
      </w:pPr>
      <w:r w:rsidRPr="00AF4296">
        <w:rPr>
          <w:b/>
          <w:bCs/>
          <w:lang w:val="es-ES"/>
        </w:rPr>
        <w:t>TERCERO. C</w:t>
      </w:r>
      <w:r w:rsidR="00A40461" w:rsidRPr="00AF4296">
        <w:rPr>
          <w:b/>
          <w:bCs/>
          <w:lang w:val="es-ES"/>
        </w:rPr>
        <w:t>ONFIRMAR</w:t>
      </w:r>
      <w:r w:rsidR="00A40461" w:rsidRPr="00AF4296">
        <w:rPr>
          <w:lang w:val="es-ES"/>
        </w:rPr>
        <w:t xml:space="preserve"> en lo demás la sentencia </w:t>
      </w:r>
      <w:r w:rsidR="00E61732" w:rsidRPr="00AF4296">
        <w:rPr>
          <w:lang w:val="es-ES"/>
        </w:rPr>
        <w:t>de primer grado.</w:t>
      </w:r>
    </w:p>
    <w:p w14:paraId="634EB20B" w14:textId="77777777" w:rsidR="00A40461" w:rsidRPr="00AF4296" w:rsidRDefault="00A40461" w:rsidP="00AF4296">
      <w:pPr>
        <w:spacing w:line="276" w:lineRule="auto"/>
        <w:textAlignment w:val="baseline"/>
      </w:pPr>
    </w:p>
    <w:p w14:paraId="5D113E24" w14:textId="11D8FB0F" w:rsidR="00A40461" w:rsidRPr="00AF4296" w:rsidRDefault="00FA440E" w:rsidP="00AF4296">
      <w:pPr>
        <w:spacing w:line="276" w:lineRule="auto"/>
        <w:ind w:firstLine="708"/>
      </w:pPr>
      <w:r w:rsidRPr="00AF4296">
        <w:rPr>
          <w:b/>
          <w:bCs/>
        </w:rPr>
        <w:t>CUARTO</w:t>
      </w:r>
      <w:r w:rsidR="00A40461" w:rsidRPr="00AF4296">
        <w:rPr>
          <w:b/>
          <w:bCs/>
        </w:rPr>
        <w:t>: CONDENAR</w:t>
      </w:r>
      <w:r w:rsidR="00A40461" w:rsidRPr="00AF4296">
        <w:t xml:space="preserve"> en costas de segunda instancia a </w:t>
      </w:r>
      <w:r w:rsidR="00A40461" w:rsidRPr="00AF4296">
        <w:rPr>
          <w:b/>
          <w:bCs/>
        </w:rPr>
        <w:t>Protección S.A., y Colpensiones</w:t>
      </w:r>
      <w:r w:rsidR="00A40461" w:rsidRPr="00AF4296">
        <w:t xml:space="preserve"> a favor de la parte demandante. Liquídense por la secretaría del juzgado de origen.</w:t>
      </w:r>
    </w:p>
    <w:p w14:paraId="7989C55D" w14:textId="77777777" w:rsidR="00A40461" w:rsidRPr="00AF4296" w:rsidRDefault="00A40461" w:rsidP="00AF4296">
      <w:pPr>
        <w:spacing w:line="276" w:lineRule="auto"/>
        <w:ind w:firstLine="708"/>
      </w:pPr>
    </w:p>
    <w:p w14:paraId="35657C45" w14:textId="2C9D080F" w:rsidR="00A40461" w:rsidRPr="00AF4296" w:rsidRDefault="00A40461" w:rsidP="00AF4296">
      <w:pPr>
        <w:spacing w:line="276" w:lineRule="auto"/>
        <w:ind w:firstLine="644"/>
        <w:rPr>
          <w:rFonts w:eastAsia="Calibri"/>
        </w:rPr>
      </w:pPr>
      <w:r w:rsidRPr="00AF4296">
        <w:rPr>
          <w:rFonts w:eastAsia="Calibri"/>
          <w:b/>
          <w:bCs/>
        </w:rPr>
        <w:t>CUARTO</w:t>
      </w:r>
      <w:r w:rsidRPr="00AF4296">
        <w:rPr>
          <w:rFonts w:eastAsia="Calibri"/>
        </w:rPr>
        <w:t xml:space="preserve">: </w:t>
      </w:r>
      <w:r w:rsidRPr="00AF4296">
        <w:rPr>
          <w:rFonts w:eastAsia="Calibri"/>
          <w:b/>
          <w:bCs/>
        </w:rPr>
        <w:t>RECONOCER PERSONERÍA</w:t>
      </w:r>
      <w:r w:rsidRPr="00AF4296">
        <w:rPr>
          <w:rFonts w:eastAsia="Calibri"/>
        </w:rPr>
        <w:t xml:space="preserve"> a la </w:t>
      </w:r>
      <w:r w:rsidR="00FA440E" w:rsidRPr="00AF4296">
        <w:rPr>
          <w:rFonts w:eastAsia="Calibri"/>
          <w:b/>
        </w:rPr>
        <w:t xml:space="preserve">José Mario </w:t>
      </w:r>
      <w:proofErr w:type="spellStart"/>
      <w:r w:rsidR="00FA440E" w:rsidRPr="00AF4296">
        <w:rPr>
          <w:rFonts w:eastAsia="Calibri"/>
          <w:b/>
        </w:rPr>
        <w:t>Hincapie</w:t>
      </w:r>
      <w:proofErr w:type="spellEnd"/>
      <w:r w:rsidR="00FA440E" w:rsidRPr="00AF4296">
        <w:rPr>
          <w:rFonts w:eastAsia="Calibri"/>
          <w:bCs/>
        </w:rPr>
        <w:t>,</w:t>
      </w:r>
      <w:r w:rsidR="00FA440E" w:rsidRPr="00AF4296">
        <w:rPr>
          <w:rFonts w:eastAsia="Calibri"/>
          <w:b/>
          <w:bCs/>
        </w:rPr>
        <w:t xml:space="preserve"> </w:t>
      </w:r>
      <w:r w:rsidR="00FA440E" w:rsidRPr="00AF4296">
        <w:rPr>
          <w:rFonts w:eastAsia="Calibri"/>
        </w:rPr>
        <w:t>identificado con la</w:t>
      </w:r>
      <w:r w:rsidR="00FA440E" w:rsidRPr="00AF4296">
        <w:rPr>
          <w:rFonts w:eastAsia="Calibri"/>
          <w:b/>
          <w:bCs/>
        </w:rPr>
        <w:t xml:space="preserve"> </w:t>
      </w:r>
      <w:r w:rsidR="00FA440E" w:rsidRPr="00AF4296">
        <w:rPr>
          <w:rFonts w:eastAsia="Calibri"/>
        </w:rPr>
        <w:t>Cédula de ciudadanía No. 1.094.882.452</w:t>
      </w:r>
      <w:r w:rsidR="00E61732" w:rsidRPr="00AF4296">
        <w:rPr>
          <w:rFonts w:eastAsia="Calibri"/>
        </w:rPr>
        <w:t xml:space="preserve"> </w:t>
      </w:r>
      <w:r w:rsidR="00FA440E" w:rsidRPr="00AF4296">
        <w:rPr>
          <w:rFonts w:eastAsia="Calibri"/>
        </w:rPr>
        <w:t xml:space="preserve">de Armenia-Quindío y Tarjeta profesional No. 227.023 del Consejo Superior de la Judicatura, </w:t>
      </w:r>
      <w:r w:rsidR="00E61732" w:rsidRPr="00AF4296">
        <w:rPr>
          <w:rFonts w:eastAsia="Calibri"/>
        </w:rPr>
        <w:t>para que represente los intereses de C</w:t>
      </w:r>
      <w:r w:rsidRPr="00AF4296">
        <w:rPr>
          <w:rFonts w:eastAsia="Calibri"/>
        </w:rPr>
        <w:t>olpensiones.</w:t>
      </w:r>
    </w:p>
    <w:p w14:paraId="115D23BC" w14:textId="77777777" w:rsidR="00A40461" w:rsidRPr="00AF4296" w:rsidRDefault="00A40461" w:rsidP="00AF4296">
      <w:pPr>
        <w:spacing w:line="276" w:lineRule="auto"/>
        <w:ind w:firstLine="708"/>
      </w:pPr>
    </w:p>
    <w:p w14:paraId="0AADABC5" w14:textId="77777777" w:rsidR="00A40461" w:rsidRPr="00AF4296" w:rsidRDefault="00A40461" w:rsidP="00AF4296">
      <w:pPr>
        <w:spacing w:line="276" w:lineRule="auto"/>
        <w:jc w:val="center"/>
      </w:pPr>
      <w:r w:rsidRPr="00AF4296">
        <w:rPr>
          <w:b/>
          <w:bCs/>
        </w:rPr>
        <w:t>NOTIFÍQUESE Y CÚMPLASE</w:t>
      </w:r>
    </w:p>
    <w:p w14:paraId="339B338B" w14:textId="77777777" w:rsidR="00AF4296" w:rsidRPr="00AF4296" w:rsidRDefault="00AF4296" w:rsidP="00AF4296">
      <w:pPr>
        <w:spacing w:line="276" w:lineRule="auto"/>
        <w:rPr>
          <w:rFonts w:eastAsia="Segoe UI"/>
        </w:rPr>
      </w:pPr>
    </w:p>
    <w:p w14:paraId="6415224D" w14:textId="77777777" w:rsidR="00AF4296" w:rsidRPr="00AF4296" w:rsidRDefault="00AF4296" w:rsidP="00AF4296">
      <w:pPr>
        <w:widowControl w:val="0"/>
        <w:autoSpaceDE w:val="0"/>
        <w:autoSpaceDN w:val="0"/>
        <w:adjustRightInd w:val="0"/>
        <w:spacing w:line="276" w:lineRule="auto"/>
        <w:rPr>
          <w:rFonts w:eastAsia="Times New Roman"/>
          <w:lang w:val="es-ES" w:eastAsia="es-ES"/>
        </w:rPr>
      </w:pPr>
      <w:r w:rsidRPr="00AF4296">
        <w:rPr>
          <w:rFonts w:eastAsia="Times New Roman"/>
          <w:lang w:val="es-ES" w:eastAsia="es-ES"/>
        </w:rPr>
        <w:lastRenderedPageBreak/>
        <w:tab/>
        <w:t>La Magistrada ponente,</w:t>
      </w:r>
    </w:p>
    <w:p w14:paraId="19D1D6C4" w14:textId="77777777" w:rsidR="00AF4296" w:rsidRPr="00AF4296" w:rsidRDefault="00AF4296" w:rsidP="00AF4296">
      <w:pPr>
        <w:spacing w:line="276" w:lineRule="auto"/>
        <w:jc w:val="left"/>
        <w:rPr>
          <w:rFonts w:eastAsia="Times New Roman"/>
          <w:lang w:val="es-ES" w:eastAsia="es-ES"/>
        </w:rPr>
      </w:pPr>
    </w:p>
    <w:p w14:paraId="2228DB2C" w14:textId="77777777" w:rsidR="00AF4296" w:rsidRPr="00AF4296" w:rsidRDefault="00AF4296" w:rsidP="00AF4296">
      <w:pPr>
        <w:spacing w:line="276" w:lineRule="auto"/>
        <w:jc w:val="left"/>
        <w:rPr>
          <w:rFonts w:eastAsia="Times New Roman"/>
          <w:lang w:val="es-ES" w:eastAsia="es-ES"/>
        </w:rPr>
      </w:pPr>
    </w:p>
    <w:p w14:paraId="146CE2C8" w14:textId="77777777" w:rsidR="00AF4296" w:rsidRPr="00AF4296" w:rsidRDefault="00AF4296" w:rsidP="00AF4296">
      <w:pPr>
        <w:spacing w:line="276" w:lineRule="auto"/>
        <w:jc w:val="left"/>
        <w:rPr>
          <w:rFonts w:eastAsia="Times New Roman"/>
          <w:lang w:val="es-ES" w:eastAsia="es-ES"/>
        </w:rPr>
      </w:pPr>
    </w:p>
    <w:p w14:paraId="3044C42F" w14:textId="77777777" w:rsidR="00AF4296" w:rsidRPr="00AF4296" w:rsidRDefault="00AF4296" w:rsidP="00AF4296">
      <w:pPr>
        <w:keepNext/>
        <w:spacing w:line="276" w:lineRule="auto"/>
        <w:jc w:val="center"/>
        <w:outlineLvl w:val="2"/>
        <w:rPr>
          <w:rFonts w:eastAsia="Times New Roman"/>
          <w:b/>
          <w:bCs/>
          <w:lang w:val="es-ES" w:eastAsia="es-ES"/>
        </w:rPr>
      </w:pPr>
      <w:r w:rsidRPr="00AF4296">
        <w:rPr>
          <w:rFonts w:eastAsia="Times New Roman"/>
          <w:b/>
          <w:bCs/>
          <w:lang w:val="es-ES" w:eastAsia="es-ES"/>
        </w:rPr>
        <w:t>ANA LUCÍA CAICEDO CALDERÓN</w:t>
      </w:r>
    </w:p>
    <w:p w14:paraId="59271B62" w14:textId="77777777" w:rsidR="00AF4296" w:rsidRPr="00AF4296" w:rsidRDefault="00AF4296" w:rsidP="00AF4296">
      <w:pPr>
        <w:spacing w:line="276" w:lineRule="auto"/>
        <w:jc w:val="left"/>
        <w:rPr>
          <w:rFonts w:eastAsia="Times New Roman"/>
          <w:lang w:val="es-ES" w:eastAsia="es-ES"/>
        </w:rPr>
      </w:pPr>
    </w:p>
    <w:p w14:paraId="4C527669" w14:textId="77777777" w:rsidR="00AF4296" w:rsidRPr="00AF4296" w:rsidRDefault="00AF4296" w:rsidP="00AF4296">
      <w:pPr>
        <w:spacing w:line="276" w:lineRule="auto"/>
        <w:ind w:firstLine="708"/>
        <w:jc w:val="left"/>
        <w:rPr>
          <w:rFonts w:eastAsia="Times New Roman"/>
          <w:lang w:val="es-ES" w:eastAsia="es-ES"/>
        </w:rPr>
      </w:pPr>
      <w:bookmarkStart w:id="11" w:name="_Hlk62478330"/>
      <w:r w:rsidRPr="00AF4296">
        <w:rPr>
          <w:rFonts w:eastAsia="Times New Roman"/>
          <w:lang w:val="es-ES" w:eastAsia="es-ES"/>
        </w:rPr>
        <w:t>La Magistrada y el Magistrado,</w:t>
      </w:r>
    </w:p>
    <w:p w14:paraId="129584FF" w14:textId="77777777" w:rsidR="00AF4296" w:rsidRPr="00AF4296" w:rsidRDefault="00AF4296" w:rsidP="00AF4296">
      <w:pPr>
        <w:spacing w:line="276" w:lineRule="auto"/>
        <w:jc w:val="left"/>
        <w:rPr>
          <w:rFonts w:eastAsia="Times New Roman"/>
          <w:lang w:val="es-ES" w:eastAsia="es-ES"/>
        </w:rPr>
      </w:pPr>
    </w:p>
    <w:p w14:paraId="0D1BDEDD" w14:textId="77777777" w:rsidR="00AF4296" w:rsidRPr="00AF4296" w:rsidRDefault="00AF4296" w:rsidP="00AF4296">
      <w:pPr>
        <w:spacing w:line="276" w:lineRule="auto"/>
        <w:jc w:val="left"/>
        <w:rPr>
          <w:rFonts w:eastAsia="Times New Roman"/>
          <w:lang w:val="es-ES" w:eastAsia="es-ES"/>
        </w:rPr>
      </w:pPr>
    </w:p>
    <w:p w14:paraId="01418EEB" w14:textId="77777777" w:rsidR="00AF4296" w:rsidRPr="00AF4296" w:rsidRDefault="00AF4296" w:rsidP="00AF4296">
      <w:pPr>
        <w:spacing w:line="276" w:lineRule="auto"/>
        <w:jc w:val="left"/>
        <w:rPr>
          <w:rFonts w:eastAsia="Times New Roman"/>
          <w:lang w:val="es-ES" w:eastAsia="es-ES"/>
        </w:rPr>
      </w:pPr>
    </w:p>
    <w:p w14:paraId="4B147D8D" w14:textId="77777777" w:rsidR="00AF4296" w:rsidRPr="00AF4296" w:rsidRDefault="00AF4296" w:rsidP="00AF4296">
      <w:pPr>
        <w:spacing w:line="276" w:lineRule="auto"/>
        <w:rPr>
          <w:rFonts w:eastAsia="Times New Roman"/>
          <w:b/>
          <w:bCs/>
          <w:lang w:val="es-ES" w:eastAsia="es-ES"/>
        </w:rPr>
      </w:pPr>
      <w:r w:rsidRPr="00AF4296">
        <w:rPr>
          <w:rFonts w:eastAsia="Times New Roman"/>
          <w:b/>
          <w:bCs/>
          <w:lang w:val="es-ES" w:eastAsia="es-ES"/>
        </w:rPr>
        <w:t>OLGA LUCÍA HOYOS SEPÚLVEDA</w:t>
      </w:r>
      <w:r w:rsidRPr="00AF4296">
        <w:rPr>
          <w:rFonts w:eastAsia="Times New Roman"/>
          <w:b/>
          <w:bCs/>
          <w:lang w:val="es-ES" w:eastAsia="es-ES"/>
        </w:rPr>
        <w:tab/>
      </w:r>
      <w:r w:rsidRPr="00AF4296">
        <w:rPr>
          <w:rFonts w:eastAsia="Times New Roman"/>
          <w:b/>
          <w:bCs/>
          <w:lang w:val="es-ES" w:eastAsia="es-ES"/>
        </w:rPr>
        <w:tab/>
        <w:t>GERMÁN DARÍO GÓEZ VINASCO</w:t>
      </w:r>
      <w:bookmarkEnd w:id="11"/>
    </w:p>
    <w:p w14:paraId="6210FC4C" w14:textId="351AD4AC" w:rsidR="00A40461" w:rsidRPr="00AF4296" w:rsidRDefault="00AF4296" w:rsidP="00AF4296">
      <w:pPr>
        <w:spacing w:line="276" w:lineRule="auto"/>
        <w:rPr>
          <w:bCs/>
        </w:rPr>
      </w:pPr>
      <w:r w:rsidRPr="00AF4296">
        <w:rPr>
          <w:bCs/>
        </w:rPr>
        <w:t>Aclara voto</w:t>
      </w:r>
    </w:p>
    <w:sectPr w:rsidR="00A40461" w:rsidRPr="00AF4296" w:rsidSect="00D73557">
      <w:headerReference w:type="default" r:id="rId12"/>
      <w:pgSz w:w="12242" w:h="18722" w:code="258"/>
      <w:pgMar w:top="1871" w:right="1304" w:bottom="1304" w:left="187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DDF4B" w14:textId="77777777" w:rsidR="006D1D96" w:rsidRDefault="006D1D96">
      <w:pPr>
        <w:spacing w:line="240" w:lineRule="auto"/>
      </w:pPr>
      <w:r>
        <w:separator/>
      </w:r>
    </w:p>
  </w:endnote>
  <w:endnote w:type="continuationSeparator" w:id="0">
    <w:p w14:paraId="66C31B81" w14:textId="77777777" w:rsidR="006D1D96" w:rsidRDefault="006D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EC5AC" w14:textId="77777777" w:rsidR="006D1D96" w:rsidRDefault="006D1D96">
      <w:pPr>
        <w:spacing w:line="240" w:lineRule="auto"/>
      </w:pPr>
      <w:r>
        <w:separator/>
      </w:r>
    </w:p>
  </w:footnote>
  <w:footnote w:type="continuationSeparator" w:id="0">
    <w:p w14:paraId="6332EB97" w14:textId="77777777" w:rsidR="006D1D96" w:rsidRDefault="006D1D96">
      <w:pPr>
        <w:spacing w:line="240" w:lineRule="auto"/>
      </w:pPr>
      <w:r>
        <w:continuationSeparator/>
      </w:r>
    </w:p>
  </w:footnote>
  <w:footnote w:id="1">
    <w:p w14:paraId="4BE9EE13" w14:textId="77777777" w:rsidR="00920EA9" w:rsidRPr="00BE4A38" w:rsidRDefault="00920EA9" w:rsidP="00BE4A38">
      <w:pPr>
        <w:pStyle w:val="Textonotapie"/>
        <w:rPr>
          <w:rFonts w:ascii="Arial" w:hAnsi="Arial" w:cs="Arial"/>
          <w:sz w:val="18"/>
          <w:szCs w:val="18"/>
        </w:rPr>
      </w:pPr>
      <w:r w:rsidRPr="00BE4A38">
        <w:rPr>
          <w:rStyle w:val="Refdenotaalpie"/>
          <w:rFonts w:ascii="Arial" w:eastAsiaTheme="minorHAnsi"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2">
    <w:p w14:paraId="685F382D" w14:textId="0C52BC7C" w:rsidR="00920EA9" w:rsidRPr="00BE4A38" w:rsidRDefault="00920EA9" w:rsidP="00BE4A38">
      <w:pPr>
        <w:pStyle w:val="Textonotapie"/>
        <w:rPr>
          <w:rFonts w:ascii="Arial" w:hAnsi="Arial" w:cs="Arial"/>
          <w:sz w:val="18"/>
          <w:szCs w:val="18"/>
        </w:rPr>
      </w:pPr>
      <w:r w:rsidRPr="00BE4A38">
        <w:rPr>
          <w:rStyle w:val="Refdenotaalpie"/>
          <w:rFonts w:ascii="Arial" w:eastAsiaTheme="minorHAnsi" w:hAnsi="Arial" w:cs="Arial"/>
          <w:sz w:val="18"/>
          <w:szCs w:val="18"/>
        </w:rPr>
        <w:footnoteRef/>
      </w:r>
      <w:r w:rsidRPr="00BE4A38">
        <w:rPr>
          <w:rFonts w:ascii="Arial" w:hAnsi="Arial" w:cs="Arial"/>
          <w:sz w:val="18"/>
          <w:szCs w:val="18"/>
        </w:rPr>
        <w:t xml:space="preserve"> Estatuto Orgánico del Sistema Financiero</w:t>
      </w:r>
    </w:p>
  </w:footnote>
  <w:footnote w:id="3">
    <w:p w14:paraId="27FAF80E" w14:textId="77777777" w:rsidR="00920EA9" w:rsidRPr="00BE4A38" w:rsidRDefault="00920EA9" w:rsidP="00BE4A38">
      <w:pPr>
        <w:pStyle w:val="Textonotapie"/>
        <w:rPr>
          <w:rFonts w:ascii="Arial" w:hAnsi="Arial" w:cs="Arial"/>
          <w:sz w:val="18"/>
          <w:szCs w:val="18"/>
        </w:rPr>
      </w:pPr>
      <w:r w:rsidRPr="00BE4A38">
        <w:rPr>
          <w:rStyle w:val="Refdenotaalpie"/>
          <w:rFonts w:ascii="Arial" w:eastAsiaTheme="minorHAnsi"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4">
    <w:p w14:paraId="620B0587" w14:textId="77777777" w:rsidR="00920EA9" w:rsidRPr="00BE4A38" w:rsidRDefault="00920EA9" w:rsidP="00BE4A38">
      <w:pPr>
        <w:pStyle w:val="Textonotapie"/>
        <w:rPr>
          <w:rFonts w:ascii="Arial" w:hAnsi="Arial" w:cs="Arial"/>
          <w:sz w:val="18"/>
          <w:szCs w:val="18"/>
        </w:rPr>
      </w:pPr>
      <w:r w:rsidRPr="00BE4A38">
        <w:rPr>
          <w:rStyle w:val="Refdenotaalpie"/>
          <w:rFonts w:ascii="Arial" w:eastAsiaTheme="minorHAnsi" w:hAnsi="Arial" w:cs="Arial"/>
          <w:sz w:val="18"/>
          <w:szCs w:val="18"/>
        </w:rPr>
        <w:footnoteRef/>
      </w:r>
      <w:r w:rsidRPr="00BE4A38">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5BE00114" w14:textId="77777777" w:rsidR="00920EA9" w:rsidRPr="00BE4A38" w:rsidRDefault="00920EA9" w:rsidP="00BE4A38">
      <w:pPr>
        <w:pStyle w:val="Textonotapie"/>
        <w:rPr>
          <w:rFonts w:ascii="Arial" w:hAnsi="Arial" w:cs="Arial"/>
          <w:sz w:val="18"/>
          <w:szCs w:val="18"/>
        </w:rPr>
      </w:pPr>
      <w:r w:rsidRPr="00BE4A38">
        <w:rPr>
          <w:rStyle w:val="Refdenotaalpie"/>
          <w:rFonts w:ascii="Arial" w:eastAsiaTheme="minorHAnsi" w:hAnsi="Arial" w:cs="Arial"/>
          <w:sz w:val="18"/>
          <w:szCs w:val="18"/>
        </w:rPr>
        <w:footnoteRef/>
      </w:r>
      <w:r w:rsidRPr="00BE4A38">
        <w:rPr>
          <w:rFonts w:ascii="Arial" w:hAnsi="Arial" w:cs="Arial"/>
          <w:sz w:val="18"/>
          <w:szCs w:val="18"/>
        </w:rPr>
        <w:t xml:space="preserve"> Ibídem</w:t>
      </w:r>
    </w:p>
  </w:footnote>
  <w:footnote w:id="6">
    <w:p w14:paraId="7E6ED989" w14:textId="622CAFF8" w:rsidR="0026453A" w:rsidRPr="00BE4A38" w:rsidRDefault="0026453A" w:rsidP="00BE4A38">
      <w:pPr>
        <w:suppressAutoHyphens/>
        <w:spacing w:line="240" w:lineRule="auto"/>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Verbigracia, Sentencia de segunda instancia del 11 de agosto de 2021, Proceso Ordinario No. </w:t>
      </w:r>
      <w:r w:rsidRPr="00BE4A38">
        <w:rPr>
          <w:rStyle w:val="normaltextrun"/>
          <w:rFonts w:ascii="Arial" w:hAnsi="Arial" w:cs="Arial"/>
          <w:sz w:val="18"/>
          <w:szCs w:val="18"/>
        </w:rPr>
        <w:t>66001310500420190042501, Demandante: NANCY CÁRCAMO DE JARAMILLO, Demandados: AFPs PORVENIR S.A., PROTECCIÓN S.A., COLFONDOS y la ADMINISTRADORA COLOMBIANA DE PENSIONES; M.P. Dr. JULIO CÉSAR SALAZAR MUÑOZ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4" w14:textId="2A8CE21D" w:rsidR="00602F3A" w:rsidRPr="00AF4296" w:rsidRDefault="00D5688B" w:rsidP="00B034C2">
    <w:pPr>
      <w:pBdr>
        <w:top w:val="nil"/>
        <w:left w:val="nil"/>
        <w:bottom w:val="nil"/>
        <w:right w:val="nil"/>
        <w:between w:val="nil"/>
      </w:pBdr>
      <w:spacing w:line="240" w:lineRule="auto"/>
      <w:jc w:val="left"/>
      <w:rPr>
        <w:rFonts w:ascii="Arial" w:hAnsi="Arial" w:cs="Arial"/>
        <w:sz w:val="18"/>
        <w:szCs w:val="18"/>
      </w:rPr>
    </w:pPr>
    <w:r w:rsidRPr="00AF4296">
      <w:rPr>
        <w:rFonts w:ascii="Arial" w:hAnsi="Arial" w:cs="Arial"/>
        <w:sz w:val="18"/>
        <w:szCs w:val="18"/>
      </w:rPr>
      <w:t>Radicado:</w:t>
    </w:r>
    <w:r w:rsidR="00AF4296">
      <w:rPr>
        <w:rFonts w:ascii="Arial" w:hAnsi="Arial" w:cs="Arial"/>
        <w:sz w:val="18"/>
        <w:szCs w:val="18"/>
      </w:rPr>
      <w:tab/>
    </w:r>
    <w:r w:rsidRPr="00AF4296">
      <w:rPr>
        <w:rFonts w:ascii="Arial" w:hAnsi="Arial" w:cs="Arial"/>
        <w:sz w:val="18"/>
        <w:szCs w:val="18"/>
      </w:rPr>
      <w:t>66001-31-05-002-2019-00224-01</w:t>
    </w:r>
  </w:p>
  <w:p w14:paraId="000000A5" w14:textId="1E79BC22" w:rsidR="00602F3A" w:rsidRPr="00AF4296" w:rsidRDefault="00D5688B" w:rsidP="00B034C2">
    <w:pPr>
      <w:pBdr>
        <w:top w:val="nil"/>
        <w:left w:val="nil"/>
        <w:bottom w:val="nil"/>
        <w:right w:val="nil"/>
        <w:between w:val="nil"/>
      </w:pBdr>
      <w:spacing w:line="240" w:lineRule="auto"/>
      <w:jc w:val="left"/>
      <w:rPr>
        <w:rFonts w:ascii="Arial" w:hAnsi="Arial" w:cs="Arial"/>
        <w:sz w:val="18"/>
        <w:szCs w:val="18"/>
      </w:rPr>
    </w:pPr>
    <w:r w:rsidRPr="00AF4296">
      <w:rPr>
        <w:rFonts w:ascii="Arial" w:hAnsi="Arial" w:cs="Arial"/>
        <w:sz w:val="18"/>
        <w:szCs w:val="18"/>
      </w:rPr>
      <w:t>Demandante:</w:t>
    </w:r>
    <w:r w:rsidR="00AF4296">
      <w:rPr>
        <w:rFonts w:ascii="Arial" w:hAnsi="Arial" w:cs="Arial"/>
        <w:sz w:val="18"/>
        <w:szCs w:val="18"/>
      </w:rPr>
      <w:tab/>
    </w:r>
    <w:r w:rsidRPr="00AF4296">
      <w:rPr>
        <w:rFonts w:ascii="Arial" w:hAnsi="Arial" w:cs="Arial"/>
        <w:sz w:val="18"/>
        <w:szCs w:val="18"/>
      </w:rPr>
      <w:t>Marta Cecilia Ortiz Mora</w:t>
    </w:r>
  </w:p>
  <w:p w14:paraId="000000A7" w14:textId="3D941D6B" w:rsidR="00602F3A" w:rsidRPr="00AF4296" w:rsidRDefault="00D5688B" w:rsidP="00B034C2">
    <w:pPr>
      <w:pBdr>
        <w:top w:val="nil"/>
        <w:left w:val="nil"/>
        <w:bottom w:val="nil"/>
        <w:right w:val="nil"/>
        <w:between w:val="nil"/>
      </w:pBdr>
      <w:spacing w:line="240" w:lineRule="auto"/>
      <w:jc w:val="left"/>
      <w:rPr>
        <w:rFonts w:ascii="Arial" w:hAnsi="Arial" w:cs="Arial"/>
        <w:sz w:val="18"/>
        <w:szCs w:val="18"/>
        <w:shd w:val="clear" w:color="auto" w:fill="FAF9F8"/>
      </w:rPr>
    </w:pPr>
    <w:r w:rsidRPr="00AF4296">
      <w:rPr>
        <w:rFonts w:ascii="Arial" w:hAnsi="Arial" w:cs="Arial"/>
        <w:sz w:val="18"/>
        <w:szCs w:val="18"/>
      </w:rPr>
      <w:t>Demandado:</w:t>
    </w:r>
    <w:r w:rsidR="00AF4296">
      <w:rPr>
        <w:rFonts w:ascii="Arial" w:hAnsi="Arial" w:cs="Arial"/>
        <w:sz w:val="18"/>
        <w:szCs w:val="18"/>
      </w:rPr>
      <w:tab/>
    </w:r>
    <w:r w:rsidRPr="00AF4296">
      <w:rPr>
        <w:rFonts w:ascii="Arial" w:hAnsi="Arial" w:cs="Arial"/>
        <w:sz w:val="18"/>
        <w:szCs w:val="18"/>
      </w:rPr>
      <w:t>Colpensiones y Protección S.A</w:t>
    </w:r>
    <w:r w:rsidR="00AF4296" w:rsidRPr="00AF4296">
      <w:rPr>
        <w:rFonts w:ascii="Arial" w:hAnsi="Arial" w:cs="Arial"/>
        <w:sz w:val="18"/>
        <w:szCs w:val="18"/>
        <w:shd w:val="clear" w:color="auto" w:fill="FAF9F8"/>
      </w:rPr>
      <w:t>.</w:t>
    </w:r>
  </w:p>
  <w:p w14:paraId="000000A8" w14:textId="77777777" w:rsidR="00602F3A" w:rsidRDefault="00602F3A" w:rsidP="00B034C2">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DB7"/>
    <w:multiLevelType w:val="multilevel"/>
    <w:tmpl w:val="99EA1D0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2" w15:restartNumberingAfterBreak="0">
    <w:nsid w:val="380E21BF"/>
    <w:multiLevelType w:val="multilevel"/>
    <w:tmpl w:val="A6823198"/>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C42761D"/>
    <w:multiLevelType w:val="multilevel"/>
    <w:tmpl w:val="AF886618"/>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trike/>
        <w:sz w:val="24"/>
        <w:szCs w:val="24"/>
        <w:vertAlign w:val="subscrip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711D36C8"/>
    <w:multiLevelType w:val="multilevel"/>
    <w:tmpl w:val="94F4F7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7" w15:restartNumberingAfterBreak="0">
    <w:nsid w:val="7E7D53A8"/>
    <w:multiLevelType w:val="multilevel"/>
    <w:tmpl w:val="28CCA62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3A"/>
    <w:rsid w:val="00013616"/>
    <w:rsid w:val="0011797B"/>
    <w:rsid w:val="00127FE8"/>
    <w:rsid w:val="00174263"/>
    <w:rsid w:val="0026453A"/>
    <w:rsid w:val="002871A2"/>
    <w:rsid w:val="002C1B23"/>
    <w:rsid w:val="003F272C"/>
    <w:rsid w:val="0059133A"/>
    <w:rsid w:val="00602F3A"/>
    <w:rsid w:val="006A6FA7"/>
    <w:rsid w:val="006D1D96"/>
    <w:rsid w:val="007B0226"/>
    <w:rsid w:val="00920EA9"/>
    <w:rsid w:val="00A40461"/>
    <w:rsid w:val="00AF4296"/>
    <w:rsid w:val="00B034C2"/>
    <w:rsid w:val="00B53548"/>
    <w:rsid w:val="00BA4F91"/>
    <w:rsid w:val="00BE4A38"/>
    <w:rsid w:val="00D5688B"/>
    <w:rsid w:val="00D73557"/>
    <w:rsid w:val="00DD1303"/>
    <w:rsid w:val="00E442FE"/>
    <w:rsid w:val="00E61732"/>
    <w:rsid w:val="00F92ED1"/>
    <w:rsid w:val="00FA440E"/>
    <w:rsid w:val="231758C2"/>
    <w:rsid w:val="46B2FA0B"/>
    <w:rsid w:val="475E2DDB"/>
    <w:rsid w:val="48B5D196"/>
    <w:rsid w:val="58E416A5"/>
    <w:rsid w:val="61F5A085"/>
    <w:rsid w:val="702C8CBC"/>
    <w:rsid w:val="77B9FE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6330C"/>
  <w15:docId w15:val="{5F7F63DF-D178-4D2C-A489-87EE27A8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s-CO" w:eastAsia="es-CO"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CC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nhideWhenUsed/>
    <w:qFormat/>
    <w:rsid w:val="00F47CC3"/>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4Car">
    <w:name w:val="Título 4 Car"/>
    <w:basedOn w:val="Fuentedeprrafopredeter"/>
    <w:link w:val="Ttulo4"/>
    <w:rsid w:val="00F47CC3"/>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F47CC3"/>
    <w:pPr>
      <w:spacing w:before="100" w:beforeAutospacing="1" w:after="100" w:afterAutospacing="1" w:line="240" w:lineRule="auto"/>
      <w:jc w:val="left"/>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F47CC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47CC3"/>
    <w:rPr>
      <w:rFonts w:ascii="Tahoma" w:hAnsi="Tahoma"/>
      <w:sz w:val="24"/>
    </w:rPr>
  </w:style>
  <w:style w:type="paragraph" w:styleId="Piedepgina">
    <w:name w:val="footer"/>
    <w:basedOn w:val="Normal"/>
    <w:link w:val="PiedepginaCar"/>
    <w:uiPriority w:val="99"/>
    <w:unhideWhenUsed/>
    <w:rsid w:val="00F47CC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47CC3"/>
    <w:rPr>
      <w:rFonts w:ascii="Tahoma" w:hAnsi="Tahoma"/>
      <w:sz w:val="24"/>
    </w:rPr>
  </w:style>
  <w:style w:type="character" w:customStyle="1" w:styleId="normaltextrun">
    <w:name w:val="normaltextrun"/>
    <w:basedOn w:val="Fuentedeprrafopredeter"/>
    <w:rsid w:val="0003090D"/>
  </w:style>
  <w:style w:type="paragraph" w:styleId="Prrafodelista">
    <w:name w:val="List Paragraph"/>
    <w:basedOn w:val="Normal"/>
    <w:qFormat/>
    <w:rsid w:val="002D5E82"/>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qFormat/>
    <w:rsid w:val="00A40461"/>
    <w:pPr>
      <w:spacing w:line="240" w:lineRule="auto"/>
      <w:jc w:val="left"/>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404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 Car1"/>
    <w:basedOn w:val="Fuentedeprrafopredeter"/>
    <w:uiPriority w:val="99"/>
    <w:unhideWhenUsed/>
    <w:qFormat/>
    <w:rsid w:val="00A40461"/>
    <w:rPr>
      <w:vertAlign w:val="superscript"/>
    </w:rPr>
  </w:style>
  <w:style w:type="character" w:styleId="Refdecomentario">
    <w:name w:val="annotation reference"/>
    <w:basedOn w:val="Fuentedeprrafopredeter"/>
    <w:uiPriority w:val="99"/>
    <w:semiHidden/>
    <w:unhideWhenUsed/>
    <w:rsid w:val="00A40461"/>
    <w:rPr>
      <w:sz w:val="16"/>
      <w:szCs w:val="16"/>
    </w:rPr>
  </w:style>
  <w:style w:type="paragraph" w:styleId="Textocomentario">
    <w:name w:val="annotation text"/>
    <w:basedOn w:val="Normal"/>
    <w:link w:val="TextocomentarioCar"/>
    <w:uiPriority w:val="99"/>
    <w:semiHidden/>
    <w:unhideWhenUsed/>
    <w:rsid w:val="00A40461"/>
    <w:pPr>
      <w:spacing w:after="160" w:line="240" w:lineRule="auto"/>
      <w:jc w:val="left"/>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40461"/>
    <w:rPr>
      <w:rFonts w:asciiTheme="minorHAnsi" w:eastAsiaTheme="minorHAnsi" w:hAnsiTheme="minorHAnsi" w:cstheme="minorBidi"/>
      <w:sz w:val="20"/>
      <w:szCs w:val="20"/>
      <w:lang w:eastAsia="en-US"/>
    </w:rPr>
  </w:style>
  <w:style w:type="table" w:customStyle="1" w:styleId="Tablaconcuadrcula1">
    <w:name w:val="Tabla con cuadrícula1"/>
    <w:basedOn w:val="Tablanormal"/>
    <w:next w:val="Tablaconcuadrcula"/>
    <w:rsid w:val="00A40461"/>
    <w:pPr>
      <w:spacing w:line="240" w:lineRule="auto"/>
      <w:jc w:val="left"/>
    </w:pPr>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404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046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046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C1B23"/>
    <w:pPr>
      <w:spacing w:after="0"/>
      <w:jc w:val="both"/>
    </w:pPr>
    <w:rPr>
      <w:rFonts w:ascii="Tahoma" w:eastAsia="Tahoma" w:hAnsi="Tahoma" w:cs="Tahoma"/>
      <w:b/>
      <w:bCs/>
      <w:lang w:eastAsia="es-CO"/>
    </w:rPr>
  </w:style>
  <w:style w:type="character" w:customStyle="1" w:styleId="AsuntodelcomentarioCar">
    <w:name w:val="Asunto del comentario Car"/>
    <w:basedOn w:val="TextocomentarioCar"/>
    <w:link w:val="Asuntodelcomentario"/>
    <w:uiPriority w:val="99"/>
    <w:semiHidden/>
    <w:rsid w:val="002C1B23"/>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SP6mqMeiQgbLHeo1wwfq4UpeeAQ==">AMUW2mUZ/qJfAo9Wq/BtC6tWixhbJ/as50qUc2bBHCiVwpIjWuXa8cetwO8hQcArE7TC1l1PWVMUNiv9NmbplDc08X2ys+BRoWh4XuN6BPbmtz0rsihK3e/U+GDJEmmc0XlfZikLA2ViDS/Nr9fE9MDmvpxmgOGZVA==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0F95-E561-4209-BD59-19AD8DFE24BF}">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F4D92C04-2EC6-4A38-8782-7B68F48E950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FB24E7C-2ADD-4A2D-8E70-B26E364D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6194C1-0920-4120-87D5-6A318E6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8240</Words>
  <Characters>45324</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Cuenta Microsoft</dc:creator>
  <cp:lastModifiedBy>Hermides Alonso Gaviria Ocampo</cp:lastModifiedBy>
  <cp:revision>9</cp:revision>
  <dcterms:created xsi:type="dcterms:W3CDTF">2022-04-22T14:57:00Z</dcterms:created>
  <dcterms:modified xsi:type="dcterms:W3CDTF">2022-07-18T20:48:00Z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57042900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