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3AF07" w14:textId="77777777" w:rsidR="00B6308F" w:rsidRPr="00B6308F" w:rsidRDefault="00B6308F" w:rsidP="00B6308F">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eastAsia="Times New Roman" w:hAnsi="Arial" w:cs="Arial"/>
          <w:color w:val="FF0000"/>
          <w:spacing w:val="-4"/>
          <w:sz w:val="18"/>
          <w:szCs w:val="18"/>
          <w:lang w:val="es-419" w:eastAsia="fr-FR"/>
        </w:rPr>
      </w:pPr>
      <w:r w:rsidRPr="00B6308F">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29E78EE" w14:textId="77777777" w:rsidR="00B6308F" w:rsidRPr="00B6308F" w:rsidRDefault="00B6308F" w:rsidP="00B6308F">
      <w:pPr>
        <w:spacing w:line="240" w:lineRule="auto"/>
        <w:rPr>
          <w:rFonts w:ascii="Arial" w:eastAsia="Times New Roman" w:hAnsi="Arial" w:cs="Arial"/>
          <w:sz w:val="20"/>
          <w:szCs w:val="20"/>
          <w:lang w:val="es-419" w:eastAsia="es-ES"/>
        </w:rPr>
      </w:pPr>
    </w:p>
    <w:p w14:paraId="39562305" w14:textId="567CEA6D" w:rsidR="0024131B" w:rsidRPr="00040EB9" w:rsidRDefault="00E4412A" w:rsidP="00040EB9">
      <w:pPr>
        <w:spacing w:line="240" w:lineRule="auto"/>
        <w:jc w:val="left"/>
        <w:rPr>
          <w:rFonts w:ascii="Arial" w:hAnsi="Arial" w:cs="Arial"/>
          <w:sz w:val="20"/>
          <w:szCs w:val="20"/>
        </w:rPr>
      </w:pPr>
      <w:r w:rsidRPr="00040EB9">
        <w:rPr>
          <w:rFonts w:ascii="Arial" w:hAnsi="Arial" w:cs="Arial"/>
          <w:sz w:val="20"/>
          <w:szCs w:val="20"/>
        </w:rPr>
        <w:t>Radicación No.:</w:t>
      </w:r>
      <w:r w:rsidR="00040EB9">
        <w:rPr>
          <w:rFonts w:ascii="Arial" w:hAnsi="Arial" w:cs="Arial"/>
          <w:sz w:val="20"/>
          <w:szCs w:val="20"/>
        </w:rPr>
        <w:tab/>
      </w:r>
      <w:r w:rsidR="0024131B" w:rsidRPr="00040EB9">
        <w:rPr>
          <w:rFonts w:ascii="Arial" w:hAnsi="Arial" w:cs="Arial"/>
          <w:sz w:val="20"/>
          <w:szCs w:val="20"/>
        </w:rPr>
        <w:tab/>
      </w:r>
      <w:r w:rsidRPr="00040EB9">
        <w:rPr>
          <w:rFonts w:ascii="Arial" w:hAnsi="Arial" w:cs="Arial"/>
          <w:sz w:val="20"/>
          <w:szCs w:val="20"/>
        </w:rPr>
        <w:t>66001-31-05-002-2019-00274-01</w:t>
      </w:r>
    </w:p>
    <w:p w14:paraId="4C72E8D7" w14:textId="113A32F0" w:rsidR="0024131B" w:rsidRPr="00040EB9" w:rsidRDefault="00E4412A" w:rsidP="00040EB9">
      <w:pPr>
        <w:spacing w:line="240" w:lineRule="auto"/>
        <w:jc w:val="left"/>
        <w:rPr>
          <w:rFonts w:ascii="Arial" w:hAnsi="Arial" w:cs="Arial"/>
          <w:sz w:val="20"/>
          <w:szCs w:val="20"/>
        </w:rPr>
      </w:pPr>
      <w:r w:rsidRPr="00040EB9">
        <w:rPr>
          <w:rFonts w:ascii="Arial" w:hAnsi="Arial" w:cs="Arial"/>
          <w:sz w:val="20"/>
          <w:szCs w:val="20"/>
        </w:rPr>
        <w:t>Proceso:</w:t>
      </w:r>
      <w:r w:rsidR="00040EB9">
        <w:rPr>
          <w:rFonts w:ascii="Arial" w:hAnsi="Arial" w:cs="Arial"/>
          <w:sz w:val="20"/>
          <w:szCs w:val="20"/>
        </w:rPr>
        <w:tab/>
      </w:r>
      <w:r w:rsidR="0024131B" w:rsidRPr="00040EB9">
        <w:rPr>
          <w:rFonts w:ascii="Arial" w:hAnsi="Arial" w:cs="Arial"/>
          <w:sz w:val="20"/>
          <w:szCs w:val="20"/>
        </w:rPr>
        <w:tab/>
      </w:r>
      <w:r w:rsidRPr="00040EB9">
        <w:rPr>
          <w:rFonts w:ascii="Arial" w:hAnsi="Arial" w:cs="Arial"/>
          <w:sz w:val="20"/>
          <w:szCs w:val="20"/>
        </w:rPr>
        <w:t>Ordinario Laboral</w:t>
      </w:r>
      <w:bookmarkStart w:id="0" w:name="_GoBack"/>
      <w:bookmarkEnd w:id="0"/>
    </w:p>
    <w:p w14:paraId="5E666397" w14:textId="2C705A7F" w:rsidR="0024131B" w:rsidRPr="00040EB9" w:rsidRDefault="00E4412A" w:rsidP="00040EB9">
      <w:pPr>
        <w:spacing w:line="240" w:lineRule="auto"/>
        <w:jc w:val="left"/>
        <w:rPr>
          <w:rFonts w:ascii="Arial" w:hAnsi="Arial" w:cs="Arial"/>
          <w:sz w:val="20"/>
          <w:szCs w:val="20"/>
        </w:rPr>
      </w:pPr>
      <w:r w:rsidRPr="00040EB9">
        <w:rPr>
          <w:rFonts w:ascii="Arial" w:hAnsi="Arial" w:cs="Arial"/>
          <w:sz w:val="20"/>
          <w:szCs w:val="20"/>
        </w:rPr>
        <w:t>Demandante:</w:t>
      </w:r>
      <w:r w:rsidR="00040EB9">
        <w:rPr>
          <w:rFonts w:ascii="Arial" w:hAnsi="Arial" w:cs="Arial"/>
          <w:sz w:val="20"/>
          <w:szCs w:val="20"/>
        </w:rPr>
        <w:tab/>
      </w:r>
      <w:r w:rsidR="0024131B" w:rsidRPr="00040EB9">
        <w:rPr>
          <w:rFonts w:ascii="Arial" w:hAnsi="Arial" w:cs="Arial"/>
          <w:sz w:val="20"/>
          <w:szCs w:val="20"/>
        </w:rPr>
        <w:tab/>
      </w:r>
      <w:r w:rsidRPr="00040EB9">
        <w:rPr>
          <w:rFonts w:ascii="Arial" w:hAnsi="Arial" w:cs="Arial"/>
          <w:sz w:val="20"/>
          <w:szCs w:val="20"/>
        </w:rPr>
        <w:t xml:space="preserve">Hilda Rosario Prada </w:t>
      </w:r>
      <w:proofErr w:type="spellStart"/>
      <w:r w:rsidRPr="00040EB9">
        <w:rPr>
          <w:rFonts w:ascii="Arial" w:hAnsi="Arial" w:cs="Arial"/>
          <w:sz w:val="20"/>
          <w:szCs w:val="20"/>
        </w:rPr>
        <w:t>Jaimes</w:t>
      </w:r>
      <w:proofErr w:type="spellEnd"/>
    </w:p>
    <w:p w14:paraId="5CB0B644" w14:textId="29EA7CA1" w:rsidR="0024131B" w:rsidRPr="00040EB9" w:rsidRDefault="00E4412A" w:rsidP="00040EB9">
      <w:pPr>
        <w:spacing w:line="240" w:lineRule="auto"/>
        <w:jc w:val="left"/>
        <w:rPr>
          <w:rFonts w:ascii="Arial" w:hAnsi="Arial" w:cs="Arial"/>
          <w:sz w:val="20"/>
          <w:szCs w:val="20"/>
        </w:rPr>
      </w:pPr>
      <w:r w:rsidRPr="00040EB9">
        <w:rPr>
          <w:rFonts w:ascii="Arial" w:hAnsi="Arial" w:cs="Arial"/>
          <w:sz w:val="20"/>
          <w:szCs w:val="20"/>
        </w:rPr>
        <w:t>Demandados:</w:t>
      </w:r>
      <w:r w:rsidR="00040EB9">
        <w:rPr>
          <w:rFonts w:ascii="Arial" w:hAnsi="Arial" w:cs="Arial"/>
          <w:sz w:val="20"/>
          <w:szCs w:val="20"/>
        </w:rPr>
        <w:tab/>
      </w:r>
      <w:r w:rsidR="0024131B" w:rsidRPr="00040EB9">
        <w:rPr>
          <w:rFonts w:ascii="Arial" w:hAnsi="Arial" w:cs="Arial"/>
          <w:sz w:val="20"/>
          <w:szCs w:val="20"/>
        </w:rPr>
        <w:tab/>
      </w:r>
      <w:r w:rsidRPr="00040EB9">
        <w:rPr>
          <w:rFonts w:ascii="Arial" w:hAnsi="Arial" w:cs="Arial"/>
          <w:sz w:val="20"/>
          <w:szCs w:val="20"/>
        </w:rPr>
        <w:t>Colpensiones y Porvenir S.A.</w:t>
      </w:r>
    </w:p>
    <w:p w14:paraId="3ECF64AE" w14:textId="0A464CB1" w:rsidR="0024131B" w:rsidRPr="00040EB9" w:rsidRDefault="00E4412A" w:rsidP="00040EB9">
      <w:pPr>
        <w:spacing w:line="240" w:lineRule="auto"/>
        <w:jc w:val="left"/>
        <w:rPr>
          <w:rFonts w:ascii="Arial" w:hAnsi="Arial" w:cs="Arial"/>
          <w:sz w:val="20"/>
          <w:szCs w:val="20"/>
        </w:rPr>
      </w:pPr>
      <w:r w:rsidRPr="00040EB9">
        <w:rPr>
          <w:rFonts w:ascii="Arial" w:hAnsi="Arial" w:cs="Arial"/>
          <w:sz w:val="20"/>
          <w:szCs w:val="20"/>
        </w:rPr>
        <w:t>Juzgado</w:t>
      </w:r>
      <w:r w:rsidR="00040EB9">
        <w:rPr>
          <w:rFonts w:ascii="Arial" w:hAnsi="Arial" w:cs="Arial"/>
          <w:sz w:val="20"/>
          <w:szCs w:val="20"/>
        </w:rPr>
        <w:t xml:space="preserve"> de origen</w:t>
      </w:r>
      <w:r w:rsidRPr="00040EB9">
        <w:rPr>
          <w:rFonts w:ascii="Arial" w:hAnsi="Arial" w:cs="Arial"/>
          <w:sz w:val="20"/>
          <w:szCs w:val="20"/>
        </w:rPr>
        <w:t>:</w:t>
      </w:r>
      <w:r w:rsidR="0024131B" w:rsidRPr="00040EB9">
        <w:rPr>
          <w:rFonts w:ascii="Arial" w:hAnsi="Arial" w:cs="Arial"/>
          <w:sz w:val="20"/>
          <w:szCs w:val="20"/>
        </w:rPr>
        <w:tab/>
      </w:r>
      <w:r w:rsidRPr="00040EB9">
        <w:rPr>
          <w:rFonts w:ascii="Arial" w:hAnsi="Arial" w:cs="Arial"/>
          <w:sz w:val="20"/>
          <w:szCs w:val="20"/>
        </w:rPr>
        <w:t>Segundo Laboral del Circuito de Pereira</w:t>
      </w:r>
    </w:p>
    <w:p w14:paraId="42C49AD3" w14:textId="3A367F12" w:rsidR="0024131B" w:rsidRPr="00040EB9" w:rsidRDefault="0024131B" w:rsidP="00040EB9">
      <w:pPr>
        <w:spacing w:line="240" w:lineRule="auto"/>
        <w:rPr>
          <w:rFonts w:ascii="Arial" w:hAnsi="Arial" w:cs="Arial"/>
          <w:color w:val="000000" w:themeColor="text1"/>
          <w:sz w:val="20"/>
          <w:szCs w:val="20"/>
          <w:lang w:val="es-CO"/>
        </w:rPr>
      </w:pPr>
    </w:p>
    <w:p w14:paraId="10721320" w14:textId="77777777" w:rsidR="004C2087" w:rsidRPr="004C2087" w:rsidRDefault="004C2087" w:rsidP="004C2087">
      <w:pPr>
        <w:spacing w:line="240" w:lineRule="auto"/>
        <w:rPr>
          <w:rFonts w:ascii="Arial" w:eastAsia="Times New Roman" w:hAnsi="Arial" w:cs="Arial"/>
          <w:b/>
          <w:bCs/>
          <w:iCs/>
          <w:sz w:val="20"/>
          <w:szCs w:val="20"/>
          <w:lang w:val="es-419" w:eastAsia="fr-FR"/>
        </w:rPr>
      </w:pPr>
      <w:bookmarkStart w:id="1" w:name="_Hlk82369399"/>
      <w:r w:rsidRPr="004C2087">
        <w:rPr>
          <w:rFonts w:ascii="Arial" w:eastAsia="Times New Roman" w:hAnsi="Arial" w:cs="Arial"/>
          <w:b/>
          <w:bCs/>
          <w:iCs/>
          <w:sz w:val="20"/>
          <w:szCs w:val="20"/>
          <w:u w:val="single"/>
          <w:lang w:val="es-419" w:eastAsia="fr-FR"/>
        </w:rPr>
        <w:t>TEMAS:</w:t>
      </w:r>
      <w:r w:rsidRPr="004C2087">
        <w:rPr>
          <w:rFonts w:ascii="Arial" w:eastAsia="Times New Roman" w:hAnsi="Arial" w:cs="Arial"/>
          <w:b/>
          <w:bCs/>
          <w:iCs/>
          <w:sz w:val="20"/>
          <w:szCs w:val="20"/>
          <w:lang w:val="es-419" w:eastAsia="fr-FR"/>
        </w:rPr>
        <w:tab/>
      </w:r>
      <w:r w:rsidRPr="004C2087">
        <w:rPr>
          <w:rFonts w:ascii="Arial" w:eastAsia="Times New Roman" w:hAnsi="Arial" w:cs="Arial"/>
          <w:b/>
          <w:sz w:val="20"/>
          <w:szCs w:val="20"/>
          <w:lang w:val="es-419" w:eastAsia="es-ES"/>
        </w:rPr>
        <w:t>INEFICACIA TRASLADO DE RÉGIMEN PENSIONAL / DEBER DE INFORMACIÓN DE LAS AFP / LO TIENEN DESDE SU CREACIÓN / CARGA PROBATORIA / INCUMBE A LA ADMINISTRADORA DE PENSIONES DEMOSTRAR QUE CUMPLIÓ EL CITADO DEBER / VALOR PROBATORIO DEL FORMULARIO DE AFILIACIÓN / NO VALIDA POR SÍ SOLO EL TRASLADO.</w:t>
      </w:r>
    </w:p>
    <w:p w14:paraId="03547B3C" w14:textId="77777777" w:rsidR="004C2087" w:rsidRPr="004C2087" w:rsidRDefault="004C2087" w:rsidP="004C2087">
      <w:pPr>
        <w:spacing w:line="240" w:lineRule="auto"/>
        <w:rPr>
          <w:rFonts w:ascii="Arial" w:eastAsia="Times New Roman" w:hAnsi="Arial" w:cs="Arial"/>
          <w:sz w:val="20"/>
          <w:szCs w:val="20"/>
          <w:lang w:val="es-419" w:eastAsia="es-ES"/>
        </w:rPr>
      </w:pPr>
    </w:p>
    <w:p w14:paraId="5B0860A5" w14:textId="77777777" w:rsidR="004C2087" w:rsidRPr="004C2087" w:rsidRDefault="004C2087" w:rsidP="004C2087">
      <w:pPr>
        <w:spacing w:line="240" w:lineRule="auto"/>
        <w:rPr>
          <w:rFonts w:ascii="Arial" w:eastAsia="Times New Roman" w:hAnsi="Arial" w:cs="Arial"/>
          <w:sz w:val="20"/>
          <w:szCs w:val="20"/>
          <w:lang w:val="es-419" w:eastAsia="es-ES"/>
        </w:rPr>
      </w:pPr>
      <w:r w:rsidRPr="004C2087">
        <w:rPr>
          <w:rFonts w:ascii="Arial" w:eastAsia="Times New Roman" w:hAnsi="Arial" w:cs="Arial"/>
          <w:sz w:val="20"/>
          <w:szCs w:val="20"/>
          <w:lang w:val="es-419" w:eastAsia="es-ES"/>
        </w:rPr>
        <w:t>En numerosas sentencias del órgano de cierre de la jurisdicción ordinaria laboral, se ha establecido que no puede argüirse que 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“dar cuenta de que documentaron clara y suficientemente los efectos que acarrea el cambio de régimen, so pena de declarar ineficaz ese tránsito”.</w:t>
      </w:r>
    </w:p>
    <w:p w14:paraId="6B708E74" w14:textId="77777777" w:rsidR="004C2087" w:rsidRPr="004C2087" w:rsidRDefault="004C2087" w:rsidP="004C2087">
      <w:pPr>
        <w:spacing w:line="240" w:lineRule="auto"/>
        <w:rPr>
          <w:rFonts w:ascii="Arial" w:eastAsia="Times New Roman" w:hAnsi="Arial" w:cs="Arial"/>
          <w:sz w:val="20"/>
          <w:szCs w:val="20"/>
          <w:lang w:val="es-419" w:eastAsia="es-ES"/>
        </w:rPr>
      </w:pPr>
    </w:p>
    <w:p w14:paraId="5815FA4A" w14:textId="77777777" w:rsidR="004C2087" w:rsidRPr="004C2087" w:rsidRDefault="004C2087" w:rsidP="004C2087">
      <w:pPr>
        <w:spacing w:line="240" w:lineRule="auto"/>
        <w:rPr>
          <w:rFonts w:ascii="Arial" w:eastAsia="Times New Roman" w:hAnsi="Arial" w:cs="Arial"/>
          <w:sz w:val="20"/>
          <w:szCs w:val="20"/>
          <w:lang w:val="es-419" w:eastAsia="es-ES"/>
        </w:rPr>
      </w:pPr>
      <w:r w:rsidRPr="004C2087">
        <w:rPr>
          <w:rFonts w:ascii="Arial" w:eastAsia="Times New Roman" w:hAnsi="Arial" w:cs="Arial"/>
          <w:sz w:val="20"/>
          <w:szCs w:val="20"/>
          <w:lang w:val="es-419" w:eastAsia="es-ES"/>
        </w:rPr>
        <w:t>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5E2FD65A" w14:textId="77777777" w:rsidR="004C2087" w:rsidRPr="004C2087" w:rsidRDefault="004C2087" w:rsidP="004C2087">
      <w:pPr>
        <w:spacing w:line="240" w:lineRule="auto"/>
        <w:rPr>
          <w:rFonts w:ascii="Arial" w:eastAsia="Times New Roman" w:hAnsi="Arial" w:cs="Arial"/>
          <w:sz w:val="20"/>
          <w:szCs w:val="20"/>
          <w:lang w:val="es-419" w:eastAsia="es-ES"/>
        </w:rPr>
      </w:pPr>
    </w:p>
    <w:p w14:paraId="6C3F22FE" w14:textId="77777777" w:rsidR="004C2087" w:rsidRPr="004C2087" w:rsidRDefault="004C2087" w:rsidP="004C2087">
      <w:pPr>
        <w:spacing w:line="240" w:lineRule="auto"/>
        <w:rPr>
          <w:rFonts w:ascii="Arial" w:eastAsia="Times New Roman" w:hAnsi="Arial" w:cs="Arial"/>
          <w:sz w:val="20"/>
          <w:szCs w:val="20"/>
          <w:lang w:val="es-419" w:eastAsia="es-ES"/>
        </w:rPr>
      </w:pPr>
      <w:r w:rsidRPr="004C2087">
        <w:rPr>
          <w:rFonts w:ascii="Arial" w:eastAsia="Times New Roman" w:hAnsi="Arial" w:cs="Arial"/>
          <w:sz w:val="20"/>
          <w:szCs w:val="20"/>
          <w:lang w:val="es-419" w:eastAsia="es-ES"/>
        </w:rPr>
        <w:t>Ahora bien, como quiera que uno de los argumentos de la defensa de las AFP es que la normatividad del deber de información se ha venido dando paulatinamente, vale la pena citar la sentencia del 8 de mayo de 2019 SL 1688-2019, Radicado 68838, con Ponencia de la Dra. Clara Cecilia Dueñas Quevedo, donde se hace un didáctico recuento histórico de las normas que rigen la actividad de los Fondos de Pensiones privados, dividiéndolo en 3 etapas, de cuyo análisis se llega a la conclusión de que a las AFP les compete, desde su creación, el deber de suministrar una información necesaria y transparente, que con el transcurrir del tiempo esta exigencia cambió, pasando de un deber de información necesaria al de asesoría y buen consejo, y finalmente al de doble asesoría, explicando en qué consiste cada uno de esos conceptos…</w:t>
      </w:r>
    </w:p>
    <w:p w14:paraId="4D2E647B" w14:textId="77777777" w:rsidR="004C2087" w:rsidRPr="004C2087" w:rsidRDefault="004C2087" w:rsidP="004C2087">
      <w:pPr>
        <w:spacing w:line="240" w:lineRule="auto"/>
        <w:rPr>
          <w:rFonts w:ascii="Arial" w:eastAsia="Times New Roman" w:hAnsi="Arial" w:cs="Arial"/>
          <w:sz w:val="20"/>
          <w:szCs w:val="20"/>
          <w:lang w:val="es-419" w:eastAsia="es-ES"/>
        </w:rPr>
      </w:pPr>
    </w:p>
    <w:p w14:paraId="07D1A66B" w14:textId="77777777" w:rsidR="004C2087" w:rsidRPr="004C2087" w:rsidRDefault="004C2087" w:rsidP="004C2087">
      <w:pPr>
        <w:spacing w:line="240" w:lineRule="auto"/>
        <w:rPr>
          <w:rFonts w:ascii="Arial" w:eastAsia="Times New Roman" w:hAnsi="Arial" w:cs="Arial"/>
          <w:sz w:val="20"/>
          <w:szCs w:val="20"/>
          <w:lang w:val="es-419" w:eastAsia="es-ES"/>
        </w:rPr>
      </w:pPr>
      <w:r w:rsidRPr="004C2087">
        <w:rPr>
          <w:rFonts w:ascii="Arial" w:eastAsia="Times New Roman" w:hAnsi="Arial" w:cs="Arial"/>
          <w:sz w:val="20"/>
          <w:szCs w:val="20"/>
          <w:lang w:val="es-419" w:eastAsia="es-ES"/>
        </w:rPr>
        <w:t>El tercer problema jurídico relativo a la carga de la prueba en los procesos de ineficacia de traslado, también se resolvió por la Corte Suprema de Justicia desde la sentencia hito, en la que se expresó que de conformidad al artículo 1604 del Código Civil «la prueba de la diligencia o cuidado incumbe al que ha debido emplearlo” lo que quiere decir que la carga de la prueba recae en el fondo de pensiones. (…)</w:t>
      </w:r>
    </w:p>
    <w:p w14:paraId="10EA0149" w14:textId="77777777" w:rsidR="004C2087" w:rsidRPr="004C2087" w:rsidRDefault="004C2087" w:rsidP="004C2087">
      <w:pPr>
        <w:spacing w:line="240" w:lineRule="auto"/>
        <w:rPr>
          <w:rFonts w:ascii="Arial" w:eastAsia="Times New Roman" w:hAnsi="Arial" w:cs="Arial"/>
          <w:sz w:val="20"/>
          <w:szCs w:val="20"/>
          <w:lang w:eastAsia="es-ES"/>
        </w:rPr>
      </w:pPr>
    </w:p>
    <w:p w14:paraId="7C3FF9A6" w14:textId="77777777" w:rsidR="004C2087" w:rsidRPr="004C2087" w:rsidRDefault="004C2087" w:rsidP="004C2087">
      <w:pPr>
        <w:spacing w:line="240" w:lineRule="auto"/>
        <w:rPr>
          <w:rFonts w:ascii="Arial" w:eastAsia="Times New Roman" w:hAnsi="Arial" w:cs="Arial"/>
          <w:sz w:val="20"/>
          <w:szCs w:val="20"/>
          <w:lang w:eastAsia="es-ES"/>
        </w:rPr>
      </w:pPr>
    </w:p>
    <w:bookmarkEnd w:id="1"/>
    <w:p w14:paraId="3D5954FC" w14:textId="77777777" w:rsidR="004C2087" w:rsidRPr="004C2087" w:rsidRDefault="004C2087" w:rsidP="004C2087">
      <w:pPr>
        <w:spacing w:line="240" w:lineRule="auto"/>
        <w:rPr>
          <w:rFonts w:ascii="Arial" w:eastAsia="Times New Roman" w:hAnsi="Arial" w:cs="Arial"/>
          <w:sz w:val="20"/>
          <w:szCs w:val="20"/>
          <w:lang w:eastAsia="es-ES"/>
        </w:rPr>
      </w:pPr>
    </w:p>
    <w:p w14:paraId="00000018" w14:textId="77777777" w:rsidR="001738DF" w:rsidRPr="00EF1D87" w:rsidRDefault="00E4412A" w:rsidP="00EF1D87">
      <w:pPr>
        <w:pStyle w:val="Ttulo4"/>
        <w:widowControl w:val="0"/>
        <w:spacing w:line="276" w:lineRule="auto"/>
        <w:ind w:left="709" w:right="845"/>
        <w:contextualSpacing/>
        <w:rPr>
          <w:rFonts w:ascii="Tahoma" w:eastAsia="Tahoma" w:hAnsi="Tahoma" w:cs="Tahoma"/>
          <w:szCs w:val="24"/>
        </w:rPr>
      </w:pPr>
      <w:r w:rsidRPr="00EF1D87">
        <w:rPr>
          <w:rFonts w:ascii="Tahoma" w:eastAsia="Tahoma" w:hAnsi="Tahoma" w:cs="Tahoma"/>
          <w:szCs w:val="24"/>
        </w:rPr>
        <w:t>TRIBUNAL SUPERIOR DEL DISTRITO JUDICIAL DE PEREIRA</w:t>
      </w:r>
    </w:p>
    <w:p w14:paraId="00000019" w14:textId="77777777" w:rsidR="001738DF" w:rsidRPr="00EF1D87" w:rsidRDefault="00E4412A" w:rsidP="00EF1D87">
      <w:pPr>
        <w:pStyle w:val="Ttulo4"/>
        <w:widowControl w:val="0"/>
        <w:spacing w:line="276" w:lineRule="auto"/>
        <w:ind w:left="709" w:right="845"/>
        <w:contextualSpacing/>
        <w:rPr>
          <w:rFonts w:ascii="Tahoma" w:eastAsia="Tahoma" w:hAnsi="Tahoma" w:cs="Tahoma"/>
          <w:szCs w:val="24"/>
        </w:rPr>
      </w:pPr>
      <w:r w:rsidRPr="00EF1D87">
        <w:rPr>
          <w:rFonts w:ascii="Tahoma" w:eastAsia="Tahoma" w:hAnsi="Tahoma" w:cs="Tahoma"/>
          <w:szCs w:val="24"/>
        </w:rPr>
        <w:t xml:space="preserve">SALA PRIMERA DE DECISION LABORAL </w:t>
      </w:r>
    </w:p>
    <w:p w14:paraId="0000001A" w14:textId="77777777" w:rsidR="001738DF" w:rsidRPr="00EF1D87" w:rsidRDefault="001738DF" w:rsidP="00EF1D87">
      <w:pPr>
        <w:spacing w:line="276" w:lineRule="auto"/>
        <w:jc w:val="center"/>
        <w:rPr>
          <w:szCs w:val="24"/>
        </w:rPr>
      </w:pPr>
    </w:p>
    <w:p w14:paraId="0000001C" w14:textId="42F2A282" w:rsidR="001738DF" w:rsidRPr="00EF1D87" w:rsidRDefault="00E4412A" w:rsidP="00EF1D87">
      <w:pPr>
        <w:spacing w:line="276" w:lineRule="auto"/>
        <w:jc w:val="center"/>
        <w:rPr>
          <w:szCs w:val="24"/>
        </w:rPr>
      </w:pPr>
      <w:r w:rsidRPr="00EF1D87">
        <w:rPr>
          <w:szCs w:val="24"/>
        </w:rPr>
        <w:t>Magistrada Ponente: </w:t>
      </w:r>
      <w:r w:rsidRPr="00EF1D87">
        <w:rPr>
          <w:b/>
          <w:szCs w:val="24"/>
        </w:rPr>
        <w:t>Ana Lucía Caicedo Calderón</w:t>
      </w:r>
      <w:r w:rsidRPr="00EF1D87">
        <w:rPr>
          <w:szCs w:val="24"/>
        </w:rPr>
        <w:t>  </w:t>
      </w:r>
    </w:p>
    <w:p w14:paraId="3AFFF71E" w14:textId="77777777" w:rsidR="00DC42A3" w:rsidRPr="00EF1D87" w:rsidRDefault="00DC42A3" w:rsidP="00EF1D87">
      <w:pPr>
        <w:spacing w:line="276" w:lineRule="auto"/>
        <w:jc w:val="center"/>
        <w:rPr>
          <w:szCs w:val="24"/>
        </w:rPr>
      </w:pPr>
    </w:p>
    <w:p w14:paraId="0000001D" w14:textId="3741FAFE" w:rsidR="001738DF" w:rsidRPr="00EF1D87" w:rsidRDefault="00E4412A" w:rsidP="00EF1D87">
      <w:pPr>
        <w:spacing w:line="276" w:lineRule="auto"/>
        <w:contextualSpacing/>
        <w:jc w:val="center"/>
        <w:rPr>
          <w:szCs w:val="24"/>
        </w:rPr>
      </w:pPr>
      <w:r w:rsidRPr="00EF1D87">
        <w:rPr>
          <w:szCs w:val="24"/>
        </w:rPr>
        <w:t xml:space="preserve">Pereira, Risaralda, </w:t>
      </w:r>
      <w:r w:rsidR="00DC42A3" w:rsidRPr="00EF1D87">
        <w:rPr>
          <w:szCs w:val="24"/>
        </w:rPr>
        <w:t>mayo dieciséis</w:t>
      </w:r>
      <w:r w:rsidRPr="00EF1D87">
        <w:rPr>
          <w:szCs w:val="24"/>
        </w:rPr>
        <w:t xml:space="preserve"> (</w:t>
      </w:r>
      <w:r w:rsidR="00DC42A3" w:rsidRPr="00EF1D87">
        <w:rPr>
          <w:szCs w:val="24"/>
        </w:rPr>
        <w:t>16</w:t>
      </w:r>
      <w:r w:rsidRPr="00EF1D87">
        <w:rPr>
          <w:szCs w:val="24"/>
        </w:rPr>
        <w:t xml:space="preserve">) de dos mil </w:t>
      </w:r>
      <w:r w:rsidR="00DC42A3" w:rsidRPr="00EF1D87">
        <w:rPr>
          <w:szCs w:val="24"/>
        </w:rPr>
        <w:t>veintidós</w:t>
      </w:r>
      <w:r w:rsidRPr="00EF1D87">
        <w:rPr>
          <w:szCs w:val="24"/>
        </w:rPr>
        <w:t xml:space="preserve"> (202</w:t>
      </w:r>
      <w:r w:rsidR="00DC42A3" w:rsidRPr="00EF1D87">
        <w:rPr>
          <w:szCs w:val="24"/>
        </w:rPr>
        <w:t>2</w:t>
      </w:r>
      <w:r w:rsidRPr="00EF1D87">
        <w:rPr>
          <w:szCs w:val="24"/>
        </w:rPr>
        <w:t>)  </w:t>
      </w:r>
    </w:p>
    <w:p w14:paraId="0000001E" w14:textId="144C1C54" w:rsidR="001738DF" w:rsidRPr="00EF1D87" w:rsidRDefault="00E4412A" w:rsidP="00EF1D87">
      <w:pPr>
        <w:spacing w:line="276" w:lineRule="auto"/>
        <w:contextualSpacing/>
        <w:jc w:val="center"/>
        <w:rPr>
          <w:szCs w:val="24"/>
        </w:rPr>
      </w:pPr>
      <w:r w:rsidRPr="00EF1D87">
        <w:rPr>
          <w:szCs w:val="24"/>
        </w:rPr>
        <w:t> Acta No. </w:t>
      </w:r>
      <w:r w:rsidR="00FC1240" w:rsidRPr="00EF1D87">
        <w:rPr>
          <w:szCs w:val="24"/>
        </w:rPr>
        <w:t>70</w:t>
      </w:r>
      <w:r w:rsidRPr="00EF1D87">
        <w:rPr>
          <w:szCs w:val="24"/>
        </w:rPr>
        <w:t xml:space="preserve"> del </w:t>
      </w:r>
      <w:r w:rsidR="00DC42A3" w:rsidRPr="00EF1D87">
        <w:rPr>
          <w:szCs w:val="24"/>
        </w:rPr>
        <w:t>12</w:t>
      </w:r>
      <w:r w:rsidRPr="00EF1D87">
        <w:rPr>
          <w:szCs w:val="24"/>
        </w:rPr>
        <w:t xml:space="preserve"> de </w:t>
      </w:r>
      <w:r w:rsidR="00DC42A3" w:rsidRPr="00EF1D87">
        <w:rPr>
          <w:szCs w:val="24"/>
        </w:rPr>
        <w:t>mayo</w:t>
      </w:r>
      <w:r w:rsidRPr="00EF1D87">
        <w:rPr>
          <w:szCs w:val="24"/>
        </w:rPr>
        <w:t xml:space="preserve"> de 202</w:t>
      </w:r>
      <w:r w:rsidR="00DC42A3" w:rsidRPr="00EF1D87">
        <w:rPr>
          <w:szCs w:val="24"/>
        </w:rPr>
        <w:t>2</w:t>
      </w:r>
    </w:p>
    <w:p w14:paraId="00000020" w14:textId="08B81E75" w:rsidR="001738DF" w:rsidRPr="00EF1D87" w:rsidRDefault="001738DF" w:rsidP="00EF1D87">
      <w:pPr>
        <w:spacing w:line="276" w:lineRule="auto"/>
        <w:rPr>
          <w:b/>
          <w:szCs w:val="24"/>
        </w:rPr>
      </w:pPr>
    </w:p>
    <w:p w14:paraId="1A7518D7" w14:textId="77777777" w:rsidR="00DC42A3" w:rsidRPr="00EF1D87" w:rsidRDefault="00DC42A3" w:rsidP="00EF1D87">
      <w:pPr>
        <w:spacing w:line="276" w:lineRule="auto"/>
        <w:rPr>
          <w:b/>
          <w:szCs w:val="24"/>
        </w:rPr>
      </w:pPr>
    </w:p>
    <w:p w14:paraId="00000021" w14:textId="3AB8614F" w:rsidR="001738DF" w:rsidRPr="00EF1D87" w:rsidRDefault="00E4412A" w:rsidP="00EF1D87">
      <w:pPr>
        <w:spacing w:line="276" w:lineRule="auto"/>
        <w:ind w:firstLine="708"/>
        <w:rPr>
          <w:szCs w:val="24"/>
        </w:rPr>
      </w:pPr>
      <w:bookmarkStart w:id="2" w:name="_heading=h.gjdgxs" w:colFirst="0" w:colLast="0"/>
      <w:bookmarkEnd w:id="2"/>
      <w:r w:rsidRPr="00EF1D87">
        <w:rPr>
          <w:szCs w:val="24"/>
        </w:rPr>
        <w:t>Teniendo en cuenta que el artículo 15 del Decreto No. 806 del 4 de junio de</w:t>
      </w:r>
      <w:r w:rsidR="00792868">
        <w:rPr>
          <w:szCs w:val="24"/>
        </w:rPr>
        <w:t xml:space="preserve"> </w:t>
      </w:r>
      <w:r w:rsidRPr="00EF1D87">
        <w:rPr>
          <w:szCs w:val="24"/>
        </w:rPr>
        <w:t>2020, expedido por el Ministerio de Justicia y del Derecho, estableció que en la</w:t>
      </w:r>
      <w:r w:rsidR="00792868">
        <w:rPr>
          <w:szCs w:val="24"/>
        </w:rPr>
        <w:t xml:space="preserve"> </w:t>
      </w:r>
      <w:r w:rsidRPr="00EF1D87">
        <w:rPr>
          <w:szCs w:val="24"/>
        </w:rPr>
        <w:t>especialidad laboral se proferirán por escrito las providencias de segunda instancia</w:t>
      </w:r>
      <w:r w:rsidR="00792868">
        <w:rPr>
          <w:szCs w:val="24"/>
        </w:rPr>
        <w:t xml:space="preserve"> </w:t>
      </w:r>
      <w:r w:rsidRPr="00EF1D87">
        <w:rPr>
          <w:szCs w:val="24"/>
        </w:rPr>
        <w:t>en las que se surta el grado jurisdiccional de consulta o se resuelva el recurso de</w:t>
      </w:r>
      <w:r w:rsidR="00792868">
        <w:rPr>
          <w:szCs w:val="24"/>
        </w:rPr>
        <w:t xml:space="preserve"> </w:t>
      </w:r>
      <w:r w:rsidRPr="00EF1D87">
        <w:rPr>
          <w:szCs w:val="24"/>
        </w:rPr>
        <w:t xml:space="preserve">apelación de autos o sentencias, la Sala Primera de Decisión Laboral del Tribunal Superior de Pereira, integrada por las Magistradas ANA LUCÍA CAICEDO CALDERÓN, como </w:t>
      </w:r>
      <w:r w:rsidRPr="00EF1D87">
        <w:rPr>
          <w:szCs w:val="24"/>
        </w:rPr>
        <w:lastRenderedPageBreak/>
        <w:t xml:space="preserve">Ponente, y OLGA LUCÍA HOYOS SEPÚLVEDA, y el Magistrado GERMÁN DARIO GOEZ VINASCO, procede a proferir la siguiente sentencia escrita dentro del proceso </w:t>
      </w:r>
      <w:r w:rsidRPr="009F1B77">
        <w:rPr>
          <w:b/>
          <w:szCs w:val="24"/>
        </w:rPr>
        <w:t>ordinario laboral</w:t>
      </w:r>
      <w:r w:rsidRPr="00EF1D87">
        <w:rPr>
          <w:szCs w:val="24"/>
        </w:rPr>
        <w:t xml:space="preserve"> instaurado por </w:t>
      </w:r>
      <w:r w:rsidRPr="00EF1D87">
        <w:rPr>
          <w:b/>
          <w:szCs w:val="24"/>
        </w:rPr>
        <w:t xml:space="preserve">Hilda Rosario Prada </w:t>
      </w:r>
      <w:proofErr w:type="spellStart"/>
      <w:r w:rsidRPr="00EF1D87">
        <w:rPr>
          <w:b/>
          <w:szCs w:val="24"/>
        </w:rPr>
        <w:t>Jaimes</w:t>
      </w:r>
      <w:proofErr w:type="spellEnd"/>
      <w:r w:rsidRPr="00EF1D87">
        <w:rPr>
          <w:szCs w:val="24"/>
        </w:rPr>
        <w:t xml:space="preserve"> en contra de la </w:t>
      </w:r>
      <w:r w:rsidRPr="00EF1D87">
        <w:rPr>
          <w:b/>
          <w:szCs w:val="24"/>
        </w:rPr>
        <w:t>Administradora Colombiana de Pensiones – Colpensiones</w:t>
      </w:r>
      <w:r w:rsidRPr="00EF1D87">
        <w:rPr>
          <w:szCs w:val="24"/>
        </w:rPr>
        <w:t xml:space="preserve"> y la </w:t>
      </w:r>
      <w:r w:rsidRPr="00EF1D87">
        <w:rPr>
          <w:b/>
          <w:szCs w:val="24"/>
        </w:rPr>
        <w:t>Administradora de Fondos de Pensiones –</w:t>
      </w:r>
      <w:r w:rsidRPr="00EF1D87">
        <w:rPr>
          <w:szCs w:val="24"/>
        </w:rPr>
        <w:t xml:space="preserve"> </w:t>
      </w:r>
      <w:r w:rsidRPr="00EF1D87">
        <w:rPr>
          <w:b/>
          <w:szCs w:val="24"/>
        </w:rPr>
        <w:t>Porvenir S.A.</w:t>
      </w:r>
    </w:p>
    <w:p w14:paraId="00000023" w14:textId="77777777" w:rsidR="001738DF" w:rsidRPr="00EF1D87" w:rsidRDefault="001738DF" w:rsidP="00EF1D87">
      <w:pPr>
        <w:spacing w:line="276" w:lineRule="auto"/>
        <w:rPr>
          <w:szCs w:val="24"/>
        </w:rPr>
      </w:pPr>
    </w:p>
    <w:p w14:paraId="00000024" w14:textId="77777777" w:rsidR="001738DF" w:rsidRPr="00EF1D87" w:rsidRDefault="00E4412A" w:rsidP="00EF1D87">
      <w:pPr>
        <w:pBdr>
          <w:top w:val="nil"/>
          <w:left w:val="nil"/>
          <w:bottom w:val="nil"/>
          <w:right w:val="nil"/>
          <w:between w:val="nil"/>
        </w:pBdr>
        <w:spacing w:line="276" w:lineRule="auto"/>
        <w:jc w:val="center"/>
        <w:rPr>
          <w:b/>
          <w:szCs w:val="24"/>
        </w:rPr>
      </w:pPr>
      <w:r w:rsidRPr="00EF1D87">
        <w:rPr>
          <w:b/>
          <w:szCs w:val="24"/>
        </w:rPr>
        <w:t>PUNTO A TRATAR</w:t>
      </w:r>
    </w:p>
    <w:p w14:paraId="00000025" w14:textId="77777777" w:rsidR="001738DF" w:rsidRPr="00EF1D87" w:rsidRDefault="001738DF" w:rsidP="00EF1D87">
      <w:pPr>
        <w:pBdr>
          <w:top w:val="nil"/>
          <w:left w:val="nil"/>
          <w:bottom w:val="nil"/>
          <w:right w:val="nil"/>
          <w:between w:val="nil"/>
        </w:pBdr>
        <w:spacing w:line="276" w:lineRule="auto"/>
        <w:jc w:val="center"/>
        <w:rPr>
          <w:szCs w:val="24"/>
        </w:rPr>
      </w:pPr>
    </w:p>
    <w:p w14:paraId="00000028" w14:textId="4E0BF97E" w:rsidR="001738DF" w:rsidRPr="00EF1D87" w:rsidRDefault="00E4412A" w:rsidP="00EF1D87">
      <w:pPr>
        <w:spacing w:line="276" w:lineRule="auto"/>
        <w:ind w:firstLine="708"/>
        <w:rPr>
          <w:szCs w:val="24"/>
        </w:rPr>
      </w:pPr>
      <w:r w:rsidRPr="00EF1D87">
        <w:rPr>
          <w:szCs w:val="24"/>
        </w:rPr>
        <w:t xml:space="preserve">Por medio de esta providencia procede la Sala a resolver los recursos de apelación interpuestos por las entidades demandadas, en contra de la sentencia proferida el </w:t>
      </w:r>
      <w:r w:rsidR="0024131B" w:rsidRPr="00EF1D87">
        <w:rPr>
          <w:szCs w:val="24"/>
        </w:rPr>
        <w:t>25 de</w:t>
      </w:r>
      <w:r w:rsidRPr="00EF1D87">
        <w:rPr>
          <w:szCs w:val="24"/>
        </w:rPr>
        <w:t xml:space="preserve"> noviembre de 2021 por el Juzgado Segundo Laboral del Circuito de Pereira</w:t>
      </w:r>
      <w:r w:rsidR="00DC42A3" w:rsidRPr="00EF1D87">
        <w:rPr>
          <w:szCs w:val="24"/>
        </w:rPr>
        <w:t>;</w:t>
      </w:r>
      <w:r w:rsidRPr="00EF1D87">
        <w:rPr>
          <w:szCs w:val="24"/>
        </w:rPr>
        <w:t xml:space="preserve"> </w:t>
      </w:r>
      <w:r w:rsidR="00DC42A3" w:rsidRPr="00EF1D87">
        <w:rPr>
          <w:szCs w:val="24"/>
        </w:rPr>
        <w:t>asimismo</w:t>
      </w:r>
      <w:r w:rsidRPr="00EF1D87">
        <w:rPr>
          <w:szCs w:val="24"/>
        </w:rPr>
        <w:t>, se revisará la decisión de instancia en virtud del grado jurisdiccional de consulta respecto de Colpensiones.</w:t>
      </w:r>
      <w:r w:rsidR="00DC42A3" w:rsidRPr="00EF1D87">
        <w:rPr>
          <w:szCs w:val="24"/>
        </w:rPr>
        <w:t xml:space="preserve"> </w:t>
      </w:r>
      <w:r w:rsidRPr="00EF1D87">
        <w:rPr>
          <w:szCs w:val="24"/>
        </w:rPr>
        <w:t>Para ello se tiene en cuenta lo siguiente: </w:t>
      </w:r>
    </w:p>
    <w:p w14:paraId="00000029" w14:textId="77777777" w:rsidR="001738DF" w:rsidRPr="00EF1D87" w:rsidRDefault="001738DF" w:rsidP="00EF1D87">
      <w:pPr>
        <w:spacing w:line="276" w:lineRule="auto"/>
        <w:ind w:firstLine="708"/>
        <w:rPr>
          <w:szCs w:val="24"/>
        </w:rPr>
      </w:pPr>
    </w:p>
    <w:p w14:paraId="0000002A" w14:textId="6E3A0A1D" w:rsidR="001738DF" w:rsidRPr="00EF1D87" w:rsidRDefault="00E4412A" w:rsidP="00EF1D87">
      <w:pPr>
        <w:numPr>
          <w:ilvl w:val="0"/>
          <w:numId w:val="1"/>
        </w:numPr>
        <w:pBdr>
          <w:top w:val="nil"/>
          <w:left w:val="nil"/>
          <w:bottom w:val="nil"/>
          <w:right w:val="nil"/>
          <w:between w:val="nil"/>
        </w:pBdr>
        <w:tabs>
          <w:tab w:val="left" w:pos="284"/>
        </w:tabs>
        <w:spacing w:line="276" w:lineRule="auto"/>
        <w:ind w:left="0" w:firstLine="0"/>
        <w:jc w:val="center"/>
        <w:rPr>
          <w:b/>
          <w:szCs w:val="24"/>
        </w:rPr>
      </w:pPr>
      <w:r w:rsidRPr="00EF1D87">
        <w:rPr>
          <w:b/>
          <w:szCs w:val="24"/>
        </w:rPr>
        <w:t xml:space="preserve">Demanda y </w:t>
      </w:r>
      <w:r w:rsidR="00922D62" w:rsidRPr="00EF1D87">
        <w:rPr>
          <w:b/>
          <w:szCs w:val="24"/>
        </w:rPr>
        <w:t>la</w:t>
      </w:r>
      <w:r w:rsidRPr="00EF1D87">
        <w:rPr>
          <w:b/>
          <w:szCs w:val="24"/>
        </w:rPr>
        <w:t xml:space="preserve"> contestación</w:t>
      </w:r>
      <w:r w:rsidR="00922D62" w:rsidRPr="00EF1D87">
        <w:rPr>
          <w:b/>
          <w:szCs w:val="24"/>
        </w:rPr>
        <w:t xml:space="preserve"> de la demanda</w:t>
      </w:r>
    </w:p>
    <w:p w14:paraId="0000002B" w14:textId="77777777" w:rsidR="001738DF" w:rsidRPr="00EF1D87" w:rsidRDefault="001738DF" w:rsidP="00EF1D87">
      <w:pPr>
        <w:spacing w:line="276" w:lineRule="auto"/>
        <w:ind w:left="360"/>
        <w:rPr>
          <w:szCs w:val="24"/>
        </w:rPr>
      </w:pPr>
    </w:p>
    <w:p w14:paraId="0000002C" w14:textId="77777777" w:rsidR="001738DF" w:rsidRPr="00EF1D87" w:rsidRDefault="00E4412A" w:rsidP="00EF1D87">
      <w:pPr>
        <w:spacing w:line="276" w:lineRule="auto"/>
        <w:ind w:firstLine="709"/>
        <w:rPr>
          <w:szCs w:val="24"/>
        </w:rPr>
      </w:pPr>
      <w:r w:rsidRPr="00EF1D87">
        <w:rPr>
          <w:szCs w:val="24"/>
        </w:rPr>
        <w:t>La citada demandante busca que se declare la nulidad de la afiliación que realizó a Porvenir S.A., a través de la cual se trasladó del régimen de prima media con prestación definida (en adelante RPM) al régimen de ahorro individual con solidaridad (en adelante RAIS).</w:t>
      </w:r>
    </w:p>
    <w:p w14:paraId="0000002D" w14:textId="77777777" w:rsidR="001738DF" w:rsidRPr="00EF1D87" w:rsidRDefault="001738DF" w:rsidP="00EF1D87">
      <w:pPr>
        <w:pBdr>
          <w:top w:val="nil"/>
          <w:left w:val="nil"/>
          <w:bottom w:val="nil"/>
          <w:right w:val="nil"/>
          <w:between w:val="nil"/>
        </w:pBdr>
        <w:spacing w:line="276" w:lineRule="auto"/>
        <w:ind w:firstLine="709"/>
        <w:rPr>
          <w:szCs w:val="24"/>
        </w:rPr>
      </w:pPr>
    </w:p>
    <w:p w14:paraId="0000002E" w14:textId="77777777" w:rsidR="001738DF" w:rsidRPr="00EF1D87" w:rsidRDefault="00E4412A" w:rsidP="00EF1D87">
      <w:pPr>
        <w:spacing w:line="276" w:lineRule="auto"/>
        <w:ind w:firstLine="709"/>
        <w:rPr>
          <w:szCs w:val="24"/>
        </w:rPr>
      </w:pPr>
      <w:r w:rsidRPr="00EF1D87">
        <w:rPr>
          <w:szCs w:val="24"/>
        </w:rPr>
        <w:t>En consecuencia, procura que se condene a Porvenir S.A. a liberarla de su base de datos y a trasladar a Colpensiones todos los valores que hubiera recibido con ocasión de su afiliación. Adicionalmente, solicita que se condene a esta última a recibirla nuevamente como afiliada cotizante.</w:t>
      </w:r>
    </w:p>
    <w:p w14:paraId="0000002F" w14:textId="77777777" w:rsidR="001738DF" w:rsidRPr="00EF1D87" w:rsidRDefault="001738DF" w:rsidP="00EF1D87">
      <w:pPr>
        <w:spacing w:line="276" w:lineRule="auto"/>
        <w:ind w:firstLine="709"/>
        <w:rPr>
          <w:szCs w:val="24"/>
        </w:rPr>
      </w:pPr>
    </w:p>
    <w:p w14:paraId="00000030" w14:textId="77777777" w:rsidR="001738DF" w:rsidRPr="00EF1D87" w:rsidRDefault="00E4412A" w:rsidP="00EF1D87">
      <w:pPr>
        <w:spacing w:line="276" w:lineRule="auto"/>
        <w:ind w:firstLine="709"/>
        <w:rPr>
          <w:szCs w:val="24"/>
        </w:rPr>
      </w:pPr>
      <w:r w:rsidRPr="00EF1D87">
        <w:rPr>
          <w:szCs w:val="24"/>
        </w:rPr>
        <w:t>Por último, pide que se condene a Porvenir S.A a cancelar las costas procesales y a lo extra y ultra petita debatido y probado en el proceso.</w:t>
      </w:r>
    </w:p>
    <w:p w14:paraId="00000031" w14:textId="77777777" w:rsidR="001738DF" w:rsidRPr="00EF1D87" w:rsidRDefault="001738DF" w:rsidP="00EF1D87">
      <w:pPr>
        <w:spacing w:line="276" w:lineRule="auto"/>
        <w:ind w:left="360"/>
        <w:rPr>
          <w:szCs w:val="24"/>
        </w:rPr>
      </w:pPr>
    </w:p>
    <w:p w14:paraId="00000032" w14:textId="518616F5" w:rsidR="001738DF" w:rsidRPr="00EF1D87" w:rsidRDefault="00E4412A" w:rsidP="00EF1D87">
      <w:pPr>
        <w:spacing w:line="276" w:lineRule="auto"/>
        <w:ind w:firstLine="709"/>
        <w:rPr>
          <w:szCs w:val="24"/>
        </w:rPr>
      </w:pPr>
      <w:r w:rsidRPr="00EF1D87">
        <w:rPr>
          <w:szCs w:val="24"/>
        </w:rPr>
        <w:t xml:space="preserve">En sustento de lo pretendido, relata </w:t>
      </w:r>
      <w:r w:rsidR="00DC42A3" w:rsidRPr="00EF1D87">
        <w:rPr>
          <w:szCs w:val="24"/>
        </w:rPr>
        <w:t xml:space="preserve">la demandante </w:t>
      </w:r>
      <w:r w:rsidRPr="00EF1D87">
        <w:rPr>
          <w:szCs w:val="24"/>
        </w:rPr>
        <w:t xml:space="preserve">que nació el 30 de junio de 1963 y que el 7 de marzo de 1991 se afilió al </w:t>
      </w:r>
      <w:r w:rsidR="0024131B" w:rsidRPr="00EF1D87">
        <w:rPr>
          <w:szCs w:val="24"/>
        </w:rPr>
        <w:t>RPM,</w:t>
      </w:r>
      <w:r w:rsidRPr="00EF1D87">
        <w:rPr>
          <w:szCs w:val="24"/>
        </w:rPr>
        <w:t xml:space="preserve"> </w:t>
      </w:r>
      <w:r w:rsidR="00DC42A3" w:rsidRPr="00EF1D87">
        <w:rPr>
          <w:szCs w:val="24"/>
        </w:rPr>
        <w:t xml:space="preserve">suscribiendo </w:t>
      </w:r>
      <w:r w:rsidRPr="00EF1D87">
        <w:rPr>
          <w:szCs w:val="24"/>
        </w:rPr>
        <w:t>posteriormente, el 25 de septiembre de 2002</w:t>
      </w:r>
      <w:r w:rsidR="00DC42A3" w:rsidRPr="00EF1D87">
        <w:rPr>
          <w:szCs w:val="24"/>
        </w:rPr>
        <w:t>,</w:t>
      </w:r>
      <w:r w:rsidRPr="00EF1D87">
        <w:rPr>
          <w:szCs w:val="24"/>
        </w:rPr>
        <w:t xml:space="preserve"> formulario de afiliación a la AFP Porvenir S.A.</w:t>
      </w:r>
    </w:p>
    <w:p w14:paraId="00000033" w14:textId="77777777" w:rsidR="001738DF" w:rsidRPr="00EF1D87" w:rsidRDefault="001738DF" w:rsidP="00EF1D87">
      <w:pPr>
        <w:spacing w:line="276" w:lineRule="auto"/>
        <w:ind w:left="360"/>
        <w:rPr>
          <w:szCs w:val="24"/>
        </w:rPr>
      </w:pPr>
    </w:p>
    <w:p w14:paraId="00000034" w14:textId="6FF2C33B" w:rsidR="001738DF" w:rsidRPr="00EF1D87" w:rsidRDefault="00E4412A" w:rsidP="00EF1D87">
      <w:pPr>
        <w:spacing w:line="276" w:lineRule="auto"/>
        <w:ind w:firstLine="708"/>
        <w:rPr>
          <w:szCs w:val="24"/>
        </w:rPr>
      </w:pPr>
      <w:bookmarkStart w:id="3" w:name="_heading=h.30j0zll" w:colFirst="0" w:colLast="0"/>
      <w:bookmarkEnd w:id="3"/>
      <w:r w:rsidRPr="00EF1D87">
        <w:rPr>
          <w:szCs w:val="24"/>
        </w:rPr>
        <w:t>Refiere que el asesor de Porvenir que gestionó su traslado le aseguró que su mesada pensional sería mucho más alta que la que percibiría en el RPM</w:t>
      </w:r>
      <w:r w:rsidR="00DC42A3" w:rsidRPr="00EF1D87">
        <w:rPr>
          <w:szCs w:val="24"/>
        </w:rPr>
        <w:t xml:space="preserve"> y</w:t>
      </w:r>
      <w:r w:rsidRPr="00EF1D87">
        <w:rPr>
          <w:szCs w:val="24"/>
        </w:rPr>
        <w:t xml:space="preserve"> que podría reclamar la devolución de saldos, incluido el bono pensional</w:t>
      </w:r>
      <w:r w:rsidR="00347C22" w:rsidRPr="00EF1D87">
        <w:rPr>
          <w:szCs w:val="24"/>
        </w:rPr>
        <w:t>, por lo que la demandada incumplió la carga que le imponía el estatuto orgánico del sistema financiero.</w:t>
      </w:r>
    </w:p>
    <w:p w14:paraId="0641F30F" w14:textId="2B1631D6" w:rsidR="00347C22" w:rsidRPr="00EF1D87" w:rsidRDefault="00347C22" w:rsidP="00EF1D87">
      <w:pPr>
        <w:spacing w:line="276" w:lineRule="auto"/>
        <w:ind w:firstLine="708"/>
        <w:rPr>
          <w:szCs w:val="24"/>
        </w:rPr>
      </w:pPr>
    </w:p>
    <w:p w14:paraId="00000036" w14:textId="6240704C" w:rsidR="001738DF" w:rsidRPr="00EF1D87" w:rsidRDefault="00347C22" w:rsidP="00EF1D87">
      <w:pPr>
        <w:spacing w:line="276" w:lineRule="auto"/>
        <w:ind w:firstLine="708"/>
        <w:rPr>
          <w:szCs w:val="24"/>
        </w:rPr>
      </w:pPr>
      <w:r w:rsidRPr="00EF1D87">
        <w:rPr>
          <w:szCs w:val="24"/>
        </w:rPr>
        <w:t>Agrega que Porvenir S.A. le comunicó que no contaba con el soporte documental de la asesoría que le brindó al momento del traslado y, p</w:t>
      </w:r>
      <w:r w:rsidR="00E4412A" w:rsidRPr="00EF1D87">
        <w:rPr>
          <w:szCs w:val="24"/>
        </w:rPr>
        <w:t>or último, señala que el 30 de mayo de 2019 Colpensiones negó su solicitud de traslado al régimen de prima media, bajo el argumento de que se</w:t>
      </w:r>
      <w:r w:rsidR="00E4412A" w:rsidRPr="00EF1D87">
        <w:rPr>
          <w:i/>
          <w:szCs w:val="24"/>
        </w:rPr>
        <w:t xml:space="preserve"> </w:t>
      </w:r>
      <w:r w:rsidR="00E4412A" w:rsidRPr="00EF1D87">
        <w:rPr>
          <w:szCs w:val="24"/>
        </w:rPr>
        <w:t>encontraba a diez años o menos del requisito de tiempo para pensionarse.</w:t>
      </w:r>
    </w:p>
    <w:p w14:paraId="00000037" w14:textId="77777777" w:rsidR="001738DF" w:rsidRPr="00EF1D87" w:rsidRDefault="001738DF" w:rsidP="00EF1D87">
      <w:pPr>
        <w:pBdr>
          <w:top w:val="nil"/>
          <w:left w:val="nil"/>
          <w:bottom w:val="nil"/>
          <w:right w:val="nil"/>
          <w:between w:val="nil"/>
        </w:pBdr>
        <w:spacing w:line="276" w:lineRule="auto"/>
        <w:ind w:left="720" w:hanging="720"/>
        <w:rPr>
          <w:b/>
          <w:szCs w:val="24"/>
        </w:rPr>
      </w:pPr>
    </w:p>
    <w:p w14:paraId="00000038" w14:textId="16C20D59" w:rsidR="001738DF" w:rsidRPr="00EF1D87" w:rsidRDefault="00E4412A" w:rsidP="00EF1D87">
      <w:pPr>
        <w:spacing w:line="276" w:lineRule="auto"/>
        <w:ind w:firstLine="709"/>
        <w:rPr>
          <w:i/>
          <w:szCs w:val="24"/>
        </w:rPr>
      </w:pPr>
      <w:r w:rsidRPr="00EF1D87">
        <w:rPr>
          <w:b/>
          <w:szCs w:val="24"/>
        </w:rPr>
        <w:t>Colpensiones</w:t>
      </w:r>
      <w:r w:rsidRPr="00EF1D87">
        <w:rPr>
          <w:szCs w:val="24"/>
        </w:rPr>
        <w:t xml:space="preserve"> se opuso a la totalidad de las pretensiones de la demanda arguyendo que no se evidencia que hubiera existido engaño por parte de Porvenir S.A., en la medida de que la afiliación se dio en virtud de la libertad de escogencia de </w:t>
      </w:r>
      <w:r w:rsidRPr="00EF1D87">
        <w:rPr>
          <w:szCs w:val="24"/>
        </w:rPr>
        <w:lastRenderedPageBreak/>
        <w:t>régimen pensional y no a una nulidad por vicio en el consentimiento. En esa medida, invocó como excepciones de mérito las que denominó “</w:t>
      </w:r>
      <w:r w:rsidRPr="00EF1D87">
        <w:rPr>
          <w:i/>
          <w:szCs w:val="24"/>
        </w:rPr>
        <w:t>Validez de la afiliación al RAIS”</w:t>
      </w:r>
      <w:r w:rsidR="00347C22" w:rsidRPr="00EF1D87">
        <w:rPr>
          <w:i/>
          <w:szCs w:val="24"/>
        </w:rPr>
        <w:t>,</w:t>
      </w:r>
      <w:r w:rsidRPr="00EF1D87">
        <w:rPr>
          <w:i/>
          <w:szCs w:val="24"/>
        </w:rPr>
        <w:t xml:space="preserve"> “Saneamiento de una presunta nulidad”</w:t>
      </w:r>
      <w:r w:rsidR="00347C22" w:rsidRPr="00EF1D87">
        <w:rPr>
          <w:i/>
          <w:szCs w:val="24"/>
        </w:rPr>
        <w:t>,</w:t>
      </w:r>
      <w:r w:rsidRPr="00EF1D87">
        <w:rPr>
          <w:i/>
          <w:szCs w:val="24"/>
        </w:rPr>
        <w:t xml:space="preserve"> “Solicitud de traslado de dinero de gastos de administración”</w:t>
      </w:r>
      <w:r w:rsidR="00347C22" w:rsidRPr="00EF1D87">
        <w:rPr>
          <w:i/>
          <w:szCs w:val="24"/>
        </w:rPr>
        <w:t>,</w:t>
      </w:r>
      <w:r w:rsidRPr="00EF1D87">
        <w:rPr>
          <w:i/>
          <w:szCs w:val="24"/>
        </w:rPr>
        <w:t xml:space="preserve"> “Prescripción”</w:t>
      </w:r>
      <w:r w:rsidR="00347C22" w:rsidRPr="00EF1D87">
        <w:rPr>
          <w:i/>
          <w:szCs w:val="24"/>
        </w:rPr>
        <w:t>,</w:t>
      </w:r>
      <w:r w:rsidRPr="00EF1D87">
        <w:rPr>
          <w:i/>
          <w:szCs w:val="24"/>
        </w:rPr>
        <w:t xml:space="preserve"> “Imposibilidad jurídica para reconocer y pagar derechos por fuera del ordenamiento legal”</w:t>
      </w:r>
      <w:r w:rsidR="00347C22" w:rsidRPr="00EF1D87">
        <w:rPr>
          <w:i/>
          <w:szCs w:val="24"/>
        </w:rPr>
        <w:t>,</w:t>
      </w:r>
      <w:r w:rsidRPr="00EF1D87">
        <w:rPr>
          <w:i/>
          <w:szCs w:val="24"/>
        </w:rPr>
        <w:t xml:space="preserve"> “Buena fe </w:t>
      </w:r>
      <w:r w:rsidR="00347C22" w:rsidRPr="00EF1D87">
        <w:rPr>
          <w:i/>
          <w:szCs w:val="24"/>
        </w:rPr>
        <w:t xml:space="preserve">de </w:t>
      </w:r>
      <w:r w:rsidRPr="00EF1D87">
        <w:rPr>
          <w:i/>
          <w:szCs w:val="24"/>
        </w:rPr>
        <w:t>Colpensiones” e “Imposibilidad de condena en costas”.</w:t>
      </w:r>
    </w:p>
    <w:p w14:paraId="54CBF4BB" w14:textId="77777777" w:rsidR="00347C22" w:rsidRPr="00EF1D87" w:rsidRDefault="00347C22" w:rsidP="00EF1D87">
      <w:pPr>
        <w:spacing w:line="276" w:lineRule="auto"/>
        <w:ind w:firstLine="709"/>
        <w:rPr>
          <w:szCs w:val="24"/>
        </w:rPr>
      </w:pPr>
    </w:p>
    <w:p w14:paraId="00000039" w14:textId="6D7C72A0" w:rsidR="001738DF" w:rsidRPr="00EF1D87" w:rsidRDefault="00E4412A" w:rsidP="00EF1D87">
      <w:pPr>
        <w:pBdr>
          <w:top w:val="nil"/>
          <w:left w:val="nil"/>
          <w:bottom w:val="nil"/>
          <w:right w:val="nil"/>
          <w:between w:val="nil"/>
        </w:pBdr>
        <w:spacing w:line="276" w:lineRule="auto"/>
        <w:rPr>
          <w:szCs w:val="24"/>
        </w:rPr>
      </w:pPr>
      <w:r w:rsidRPr="00EF1D87">
        <w:rPr>
          <w:b/>
          <w:szCs w:val="24"/>
        </w:rPr>
        <w:tab/>
      </w:r>
      <w:r w:rsidRPr="00EF1D87">
        <w:rPr>
          <w:szCs w:val="24"/>
        </w:rPr>
        <w:t>Por su parte,</w:t>
      </w:r>
      <w:r w:rsidRPr="00EF1D87">
        <w:rPr>
          <w:b/>
          <w:szCs w:val="24"/>
        </w:rPr>
        <w:t xml:space="preserve"> Porvenir S.A</w:t>
      </w:r>
      <w:r w:rsidRPr="00EF1D87">
        <w:rPr>
          <w:szCs w:val="24"/>
        </w:rPr>
        <w:t xml:space="preserve"> se opuso a lo pretendido por la parte demandante, señalando que el acto jurídico que dio lugar a la vinculación al RAIS se realizó conforme a lo establecido en la ley. Considera que </w:t>
      </w:r>
      <w:r w:rsidR="00F41A27" w:rsidRPr="00EF1D87">
        <w:rPr>
          <w:szCs w:val="24"/>
        </w:rPr>
        <w:t>aún</w:t>
      </w:r>
      <w:r w:rsidRPr="00EF1D87">
        <w:rPr>
          <w:szCs w:val="24"/>
        </w:rPr>
        <w:t xml:space="preserve"> en el evento hipotético en que hubiere existido un vicio en el consentimiento que hubiere viciado o afectado la validez del acto jurídico de afiliación de la demandante, la eventual nulidad que se hubiere originado se ha visto subsanada por el paso del tiempo y por ratificación de la voluntad por parte </w:t>
      </w:r>
      <w:r w:rsidR="00347C22" w:rsidRPr="00EF1D87">
        <w:rPr>
          <w:szCs w:val="24"/>
        </w:rPr>
        <w:t>de aquella</w:t>
      </w:r>
      <w:r w:rsidRPr="00EF1D87">
        <w:rPr>
          <w:szCs w:val="24"/>
        </w:rPr>
        <w:t xml:space="preserve"> mediante la realización de aportes a su cuenta de ahorro individual durante más de 17 años. </w:t>
      </w:r>
    </w:p>
    <w:p w14:paraId="5A465AA9" w14:textId="77777777" w:rsidR="00347C22" w:rsidRPr="00EF1D87" w:rsidRDefault="00347C22" w:rsidP="00EF1D87">
      <w:pPr>
        <w:pBdr>
          <w:top w:val="nil"/>
          <w:left w:val="nil"/>
          <w:bottom w:val="nil"/>
          <w:right w:val="nil"/>
          <w:between w:val="nil"/>
        </w:pBdr>
        <w:spacing w:line="276" w:lineRule="auto"/>
        <w:rPr>
          <w:szCs w:val="24"/>
        </w:rPr>
      </w:pPr>
    </w:p>
    <w:p w14:paraId="0000003A" w14:textId="369C7306" w:rsidR="001738DF" w:rsidRPr="00EF1D87" w:rsidRDefault="00347C22" w:rsidP="00EF1D87">
      <w:pPr>
        <w:pBdr>
          <w:top w:val="nil"/>
          <w:left w:val="nil"/>
          <w:bottom w:val="nil"/>
          <w:right w:val="nil"/>
          <w:between w:val="nil"/>
        </w:pBdr>
        <w:tabs>
          <w:tab w:val="left" w:pos="426"/>
        </w:tabs>
        <w:spacing w:line="276" w:lineRule="auto"/>
        <w:ind w:firstLine="709"/>
        <w:rPr>
          <w:szCs w:val="24"/>
        </w:rPr>
      </w:pPr>
      <w:r w:rsidRPr="00EF1D87">
        <w:rPr>
          <w:szCs w:val="24"/>
        </w:rPr>
        <w:t xml:space="preserve">En ese orden de ideas, </w:t>
      </w:r>
      <w:r w:rsidR="00E4412A" w:rsidRPr="00EF1D87">
        <w:rPr>
          <w:szCs w:val="24"/>
        </w:rPr>
        <w:t xml:space="preserve">formuló </w:t>
      </w:r>
      <w:r w:rsidRPr="00EF1D87">
        <w:rPr>
          <w:szCs w:val="24"/>
        </w:rPr>
        <w:t xml:space="preserve">como excepciones de mérito </w:t>
      </w:r>
      <w:r w:rsidR="00E4412A" w:rsidRPr="00EF1D87">
        <w:rPr>
          <w:szCs w:val="24"/>
        </w:rPr>
        <w:t xml:space="preserve">las de </w:t>
      </w:r>
      <w:r w:rsidR="00E4412A" w:rsidRPr="00EF1D87">
        <w:rPr>
          <w:i/>
          <w:szCs w:val="24"/>
        </w:rPr>
        <w:t xml:space="preserve">“Validez  y  eficacia  de  la  afiliación de la demandante  al  RAIS  e inexistencia de vicios en el consentimiento”; “Saneamiento de la nulidad relativa”; “Inexistencia  de  la  obligación  de  devolver  la comisión de administración, en caso de que se declarare la nulidad o ineficacia de la afiliación al RAIS”; “Inexistencia de la obligación de devolver el pago al seguro previsional cuando se declara la nulidad o ineficacia de la afiliación al RAIS”; “Prescripción” ; “Buena fe” e “Innominada o genérica” </w:t>
      </w:r>
    </w:p>
    <w:p w14:paraId="0000003B" w14:textId="43A2EDB3" w:rsidR="001738DF" w:rsidRPr="00EF1D87" w:rsidRDefault="001738DF" w:rsidP="00EF1D87">
      <w:pPr>
        <w:spacing w:line="276" w:lineRule="auto"/>
        <w:ind w:firstLine="426"/>
        <w:rPr>
          <w:szCs w:val="24"/>
        </w:rPr>
      </w:pPr>
    </w:p>
    <w:p w14:paraId="5C85CCE9" w14:textId="77777777" w:rsidR="00922D62" w:rsidRPr="00EF1D87" w:rsidRDefault="00922D62" w:rsidP="00EF1D87">
      <w:pPr>
        <w:spacing w:line="276" w:lineRule="auto"/>
        <w:ind w:firstLine="426"/>
        <w:rPr>
          <w:szCs w:val="24"/>
        </w:rPr>
      </w:pPr>
    </w:p>
    <w:p w14:paraId="0000003C" w14:textId="77777777" w:rsidR="001738DF" w:rsidRPr="00EF1D87" w:rsidRDefault="00E4412A" w:rsidP="00EF1D87">
      <w:pPr>
        <w:numPr>
          <w:ilvl w:val="0"/>
          <w:numId w:val="1"/>
        </w:numPr>
        <w:pBdr>
          <w:top w:val="nil"/>
          <w:left w:val="nil"/>
          <w:bottom w:val="nil"/>
          <w:right w:val="nil"/>
          <w:between w:val="nil"/>
        </w:pBdr>
        <w:spacing w:line="276" w:lineRule="auto"/>
        <w:ind w:left="426" w:hanging="426"/>
        <w:jc w:val="center"/>
        <w:rPr>
          <w:b/>
          <w:szCs w:val="24"/>
        </w:rPr>
      </w:pPr>
      <w:r w:rsidRPr="00EF1D87">
        <w:rPr>
          <w:b/>
          <w:szCs w:val="24"/>
        </w:rPr>
        <w:t>Sentencia de primera instancia</w:t>
      </w:r>
    </w:p>
    <w:p w14:paraId="2FEA5411" w14:textId="77777777" w:rsidR="00270B41" w:rsidRPr="00EF1D87" w:rsidRDefault="00270B41" w:rsidP="00EF1D87">
      <w:pPr>
        <w:pBdr>
          <w:top w:val="nil"/>
          <w:left w:val="nil"/>
          <w:bottom w:val="nil"/>
          <w:right w:val="nil"/>
          <w:between w:val="nil"/>
        </w:pBdr>
        <w:spacing w:line="276" w:lineRule="auto"/>
        <w:ind w:firstLine="709"/>
        <w:rPr>
          <w:szCs w:val="24"/>
        </w:rPr>
      </w:pPr>
    </w:p>
    <w:p w14:paraId="59192C32" w14:textId="77777777" w:rsidR="00270B41" w:rsidRPr="00EF1D87" w:rsidRDefault="00E4412A" w:rsidP="00EF1D87">
      <w:pPr>
        <w:pBdr>
          <w:top w:val="nil"/>
          <w:left w:val="nil"/>
          <w:bottom w:val="nil"/>
          <w:right w:val="nil"/>
          <w:between w:val="nil"/>
        </w:pBdr>
        <w:spacing w:line="276" w:lineRule="auto"/>
        <w:ind w:firstLine="709"/>
        <w:rPr>
          <w:szCs w:val="24"/>
        </w:rPr>
      </w:pPr>
      <w:r w:rsidRPr="00EF1D87">
        <w:rPr>
          <w:szCs w:val="24"/>
        </w:rPr>
        <w:t xml:space="preserve">La Jueza de primera instancia declaró la ineficacia de la afiliación </w:t>
      </w:r>
      <w:r w:rsidR="00270B41" w:rsidRPr="00EF1D87">
        <w:rPr>
          <w:szCs w:val="24"/>
        </w:rPr>
        <w:t xml:space="preserve">al RAIS </w:t>
      </w:r>
      <w:r w:rsidRPr="00EF1D87">
        <w:rPr>
          <w:szCs w:val="24"/>
        </w:rPr>
        <w:t xml:space="preserve">suscrita </w:t>
      </w:r>
      <w:r w:rsidR="00270B41" w:rsidRPr="00EF1D87">
        <w:rPr>
          <w:szCs w:val="24"/>
        </w:rPr>
        <w:t xml:space="preserve">por la demandante </w:t>
      </w:r>
      <w:r w:rsidRPr="00EF1D87">
        <w:rPr>
          <w:szCs w:val="24"/>
        </w:rPr>
        <w:t xml:space="preserve">el 25 de septiembre de 2002, </w:t>
      </w:r>
      <w:r w:rsidR="00270B41" w:rsidRPr="00EF1D87">
        <w:rPr>
          <w:szCs w:val="24"/>
        </w:rPr>
        <w:t>a través de</w:t>
      </w:r>
      <w:r w:rsidRPr="00EF1D87">
        <w:rPr>
          <w:szCs w:val="24"/>
        </w:rPr>
        <w:t xml:space="preserve"> </w:t>
      </w:r>
      <w:r w:rsidR="00270B41" w:rsidRPr="00EF1D87">
        <w:rPr>
          <w:szCs w:val="24"/>
        </w:rPr>
        <w:t xml:space="preserve">Porvenir </w:t>
      </w:r>
      <w:r w:rsidRPr="00EF1D87">
        <w:rPr>
          <w:szCs w:val="24"/>
        </w:rPr>
        <w:t>S.A.</w:t>
      </w:r>
      <w:r w:rsidR="00270B41" w:rsidRPr="00EF1D87">
        <w:rPr>
          <w:szCs w:val="24"/>
        </w:rPr>
        <w:t xml:space="preserve"> y, consecuencialmente, determinó </w:t>
      </w:r>
      <w:r w:rsidRPr="00EF1D87">
        <w:rPr>
          <w:szCs w:val="24"/>
        </w:rPr>
        <w:t xml:space="preserve">que para todos los efectos legales </w:t>
      </w:r>
      <w:r w:rsidR="00270B41" w:rsidRPr="00EF1D87">
        <w:rPr>
          <w:szCs w:val="24"/>
        </w:rPr>
        <w:t xml:space="preserve">aquella </w:t>
      </w:r>
      <w:r w:rsidRPr="00EF1D87">
        <w:rPr>
          <w:szCs w:val="24"/>
        </w:rPr>
        <w:t>siempre permaneci</w:t>
      </w:r>
      <w:r w:rsidR="00270B41" w:rsidRPr="00EF1D87">
        <w:rPr>
          <w:szCs w:val="24"/>
        </w:rPr>
        <w:t>ó</w:t>
      </w:r>
      <w:r w:rsidRPr="00EF1D87">
        <w:rPr>
          <w:szCs w:val="24"/>
        </w:rPr>
        <w:t xml:space="preserve"> en el </w:t>
      </w:r>
      <w:r w:rsidR="00270B41" w:rsidRPr="00EF1D87">
        <w:rPr>
          <w:szCs w:val="24"/>
        </w:rPr>
        <w:t>RPM</w:t>
      </w:r>
      <w:r w:rsidRPr="00EF1D87">
        <w:rPr>
          <w:szCs w:val="24"/>
        </w:rPr>
        <w:t xml:space="preserve">, administrado </w:t>
      </w:r>
      <w:r w:rsidR="00270B41" w:rsidRPr="00EF1D87">
        <w:rPr>
          <w:szCs w:val="24"/>
        </w:rPr>
        <w:t>actualmente por Colpensiones</w:t>
      </w:r>
      <w:r w:rsidRPr="00EF1D87">
        <w:rPr>
          <w:szCs w:val="24"/>
        </w:rPr>
        <w:t>.</w:t>
      </w:r>
    </w:p>
    <w:p w14:paraId="0000003E" w14:textId="03B530AE" w:rsidR="001738DF" w:rsidRPr="00EF1D87" w:rsidRDefault="00E4412A" w:rsidP="00EF1D87">
      <w:pPr>
        <w:pBdr>
          <w:top w:val="nil"/>
          <w:left w:val="nil"/>
          <w:bottom w:val="nil"/>
          <w:right w:val="nil"/>
          <w:between w:val="nil"/>
        </w:pBdr>
        <w:spacing w:line="276" w:lineRule="auto"/>
        <w:ind w:firstLine="709"/>
        <w:rPr>
          <w:szCs w:val="24"/>
        </w:rPr>
      </w:pPr>
      <w:r w:rsidRPr="00EF1D87">
        <w:rPr>
          <w:szCs w:val="24"/>
        </w:rPr>
        <w:t xml:space="preserve"> </w:t>
      </w:r>
    </w:p>
    <w:p w14:paraId="1C439CEE" w14:textId="326EAFE7" w:rsidR="00C20905" w:rsidRPr="00EF1D87" w:rsidRDefault="00E4412A" w:rsidP="00EF1D87">
      <w:pPr>
        <w:pBdr>
          <w:top w:val="nil"/>
          <w:left w:val="nil"/>
          <w:bottom w:val="nil"/>
          <w:right w:val="nil"/>
          <w:between w:val="nil"/>
        </w:pBdr>
        <w:spacing w:line="276" w:lineRule="auto"/>
        <w:ind w:firstLine="709"/>
        <w:rPr>
          <w:szCs w:val="24"/>
        </w:rPr>
      </w:pPr>
      <w:r w:rsidRPr="00EF1D87">
        <w:rPr>
          <w:szCs w:val="24"/>
        </w:rPr>
        <w:t xml:space="preserve">En </w:t>
      </w:r>
      <w:r w:rsidR="00270B41" w:rsidRPr="00EF1D87">
        <w:rPr>
          <w:szCs w:val="24"/>
        </w:rPr>
        <w:t>ese sentido</w:t>
      </w:r>
      <w:r w:rsidRPr="00EF1D87">
        <w:rPr>
          <w:szCs w:val="24"/>
        </w:rPr>
        <w:t xml:space="preserve">, condenó a </w:t>
      </w:r>
      <w:r w:rsidR="00270B41" w:rsidRPr="00EF1D87">
        <w:rPr>
          <w:szCs w:val="24"/>
        </w:rPr>
        <w:t xml:space="preserve">Porvenir </w:t>
      </w:r>
      <w:r w:rsidRPr="00EF1D87">
        <w:rPr>
          <w:szCs w:val="24"/>
        </w:rPr>
        <w:t xml:space="preserve">S.A. a que </w:t>
      </w:r>
      <w:r w:rsidR="00270B41" w:rsidRPr="00EF1D87">
        <w:rPr>
          <w:szCs w:val="24"/>
        </w:rPr>
        <w:t>efectúe</w:t>
      </w:r>
      <w:r w:rsidRPr="00EF1D87">
        <w:rPr>
          <w:szCs w:val="24"/>
        </w:rPr>
        <w:t xml:space="preserve"> el traslado a </w:t>
      </w:r>
      <w:r w:rsidR="00270B41" w:rsidRPr="00EF1D87">
        <w:rPr>
          <w:szCs w:val="24"/>
        </w:rPr>
        <w:t>Colpensiones</w:t>
      </w:r>
      <w:r w:rsidRPr="00EF1D87">
        <w:rPr>
          <w:szCs w:val="24"/>
        </w:rPr>
        <w:t xml:space="preserve"> de la totalidad del capital existente en la cuenta individual de la </w:t>
      </w:r>
      <w:r w:rsidR="00922D62" w:rsidRPr="00EF1D87">
        <w:rPr>
          <w:szCs w:val="24"/>
        </w:rPr>
        <w:t>señora</w:t>
      </w:r>
      <w:r w:rsidRPr="00EF1D87">
        <w:rPr>
          <w:szCs w:val="24"/>
        </w:rPr>
        <w:t xml:space="preserve"> </w:t>
      </w:r>
      <w:r w:rsidR="00270B41" w:rsidRPr="00EF1D87">
        <w:rPr>
          <w:szCs w:val="24"/>
        </w:rPr>
        <w:t xml:space="preserve">Prada </w:t>
      </w:r>
      <w:proofErr w:type="spellStart"/>
      <w:r w:rsidR="00270B41" w:rsidRPr="00EF1D87">
        <w:rPr>
          <w:szCs w:val="24"/>
        </w:rPr>
        <w:t>Jaimes</w:t>
      </w:r>
      <w:proofErr w:type="spellEnd"/>
      <w:r w:rsidRPr="00EF1D87">
        <w:rPr>
          <w:szCs w:val="24"/>
        </w:rPr>
        <w:t>, con sus respectivos rendimientos financieros. A</w:t>
      </w:r>
      <w:r w:rsidR="00270B41" w:rsidRPr="00EF1D87">
        <w:rPr>
          <w:szCs w:val="24"/>
        </w:rPr>
        <w:t>simismo</w:t>
      </w:r>
      <w:r w:rsidRPr="00EF1D87">
        <w:rPr>
          <w:szCs w:val="24"/>
        </w:rPr>
        <w:t xml:space="preserve">, a devolver a </w:t>
      </w:r>
      <w:r w:rsidR="00270B41" w:rsidRPr="00EF1D87">
        <w:rPr>
          <w:szCs w:val="24"/>
        </w:rPr>
        <w:t>Colpensiones</w:t>
      </w:r>
      <w:r w:rsidRPr="00EF1D87">
        <w:rPr>
          <w:szCs w:val="24"/>
        </w:rPr>
        <w:t xml:space="preserve">, con cargo a sus propios recursos y debidamente indexados, el valor de las comisiones y cuotas de </w:t>
      </w:r>
      <w:r w:rsidR="00270B41" w:rsidRPr="00EF1D87">
        <w:rPr>
          <w:szCs w:val="24"/>
        </w:rPr>
        <w:t>administración</w:t>
      </w:r>
      <w:r w:rsidRPr="00EF1D87">
        <w:rPr>
          <w:szCs w:val="24"/>
        </w:rPr>
        <w:t xml:space="preserve"> que cobró a la afiliada, as</w:t>
      </w:r>
      <w:r w:rsidR="00C20905" w:rsidRPr="00EF1D87">
        <w:rPr>
          <w:szCs w:val="24"/>
        </w:rPr>
        <w:t>í</w:t>
      </w:r>
      <w:r w:rsidRPr="00EF1D87">
        <w:rPr>
          <w:szCs w:val="24"/>
        </w:rPr>
        <w:t xml:space="preserve"> como </w:t>
      </w:r>
      <w:r w:rsidR="00C20905" w:rsidRPr="00EF1D87">
        <w:rPr>
          <w:szCs w:val="24"/>
        </w:rPr>
        <w:t xml:space="preserve">el </w:t>
      </w:r>
      <w:r w:rsidRPr="00EF1D87">
        <w:rPr>
          <w:szCs w:val="24"/>
        </w:rPr>
        <w:t xml:space="preserve">de las cuotas de </w:t>
      </w:r>
      <w:r w:rsidR="00C20905" w:rsidRPr="00EF1D87">
        <w:rPr>
          <w:szCs w:val="24"/>
        </w:rPr>
        <w:t>garantía</w:t>
      </w:r>
      <w:r w:rsidRPr="00EF1D87">
        <w:rPr>
          <w:szCs w:val="24"/>
        </w:rPr>
        <w:t xml:space="preserve"> de pensión mínima y seguros previsionales.</w:t>
      </w:r>
    </w:p>
    <w:p w14:paraId="0000003F" w14:textId="34CFA041" w:rsidR="001738DF" w:rsidRPr="00EF1D87" w:rsidRDefault="00E4412A" w:rsidP="00EF1D87">
      <w:pPr>
        <w:pBdr>
          <w:top w:val="nil"/>
          <w:left w:val="nil"/>
          <w:bottom w:val="nil"/>
          <w:right w:val="nil"/>
          <w:between w:val="nil"/>
        </w:pBdr>
        <w:spacing w:line="276" w:lineRule="auto"/>
        <w:ind w:firstLine="709"/>
        <w:rPr>
          <w:szCs w:val="24"/>
        </w:rPr>
      </w:pPr>
      <w:r w:rsidRPr="00EF1D87">
        <w:rPr>
          <w:szCs w:val="24"/>
        </w:rPr>
        <w:t xml:space="preserve"> </w:t>
      </w:r>
    </w:p>
    <w:p w14:paraId="057A5FD4" w14:textId="30BD4B32" w:rsidR="00B85832" w:rsidRPr="00EF1D87" w:rsidRDefault="00E4412A" w:rsidP="00EF1D87">
      <w:pPr>
        <w:pBdr>
          <w:top w:val="nil"/>
          <w:left w:val="nil"/>
          <w:bottom w:val="nil"/>
          <w:right w:val="nil"/>
          <w:between w:val="nil"/>
        </w:pBdr>
        <w:spacing w:line="276" w:lineRule="auto"/>
        <w:ind w:firstLine="709"/>
        <w:rPr>
          <w:szCs w:val="24"/>
        </w:rPr>
      </w:pPr>
      <w:r w:rsidRPr="00EF1D87">
        <w:rPr>
          <w:szCs w:val="24"/>
        </w:rPr>
        <w:t xml:space="preserve">Seguidamente, ordenó a </w:t>
      </w:r>
      <w:r w:rsidR="00B85832" w:rsidRPr="00EF1D87">
        <w:rPr>
          <w:szCs w:val="24"/>
        </w:rPr>
        <w:t>Colpensiones</w:t>
      </w:r>
      <w:r w:rsidRPr="00EF1D87">
        <w:rPr>
          <w:szCs w:val="24"/>
        </w:rPr>
        <w:t xml:space="preserve"> tener como vinculada </w:t>
      </w:r>
      <w:r w:rsidR="00B85832" w:rsidRPr="00EF1D87">
        <w:rPr>
          <w:szCs w:val="24"/>
        </w:rPr>
        <w:t xml:space="preserve">a la gestora del pleito al RPM, </w:t>
      </w:r>
      <w:r w:rsidRPr="00EF1D87">
        <w:rPr>
          <w:szCs w:val="24"/>
        </w:rPr>
        <w:t xml:space="preserve">sin </w:t>
      </w:r>
      <w:r w:rsidR="00B85832" w:rsidRPr="00EF1D87">
        <w:rPr>
          <w:szCs w:val="24"/>
        </w:rPr>
        <w:t>solución</w:t>
      </w:r>
      <w:r w:rsidRPr="00EF1D87">
        <w:rPr>
          <w:szCs w:val="24"/>
        </w:rPr>
        <w:t xml:space="preserve"> de continuidad </w:t>
      </w:r>
      <w:r w:rsidR="00B85832" w:rsidRPr="00EF1D87">
        <w:rPr>
          <w:szCs w:val="24"/>
        </w:rPr>
        <w:t>y, p</w:t>
      </w:r>
      <w:r w:rsidRPr="00EF1D87">
        <w:rPr>
          <w:szCs w:val="24"/>
        </w:rPr>
        <w:t>or otra parte, ordenó que</w:t>
      </w:r>
      <w:r w:rsidR="00B85832" w:rsidRPr="00EF1D87">
        <w:rPr>
          <w:szCs w:val="24"/>
        </w:rPr>
        <w:t xml:space="preserve"> </w:t>
      </w:r>
      <w:r w:rsidRPr="00EF1D87">
        <w:rPr>
          <w:szCs w:val="24"/>
        </w:rPr>
        <w:t xml:space="preserve">se comunique el contenido de </w:t>
      </w:r>
      <w:r w:rsidR="00B85832" w:rsidRPr="00EF1D87">
        <w:rPr>
          <w:szCs w:val="24"/>
        </w:rPr>
        <w:t>la</w:t>
      </w:r>
      <w:r w:rsidRPr="00EF1D87">
        <w:rPr>
          <w:szCs w:val="24"/>
        </w:rPr>
        <w:t xml:space="preserve"> sentencia al Ministerio de Hacienda y </w:t>
      </w:r>
      <w:r w:rsidR="00B85832" w:rsidRPr="00EF1D87">
        <w:rPr>
          <w:szCs w:val="24"/>
        </w:rPr>
        <w:t>Crédito</w:t>
      </w:r>
      <w:r w:rsidRPr="00EF1D87">
        <w:rPr>
          <w:szCs w:val="24"/>
        </w:rPr>
        <w:t xml:space="preserve"> </w:t>
      </w:r>
      <w:r w:rsidR="00B85832" w:rsidRPr="00EF1D87">
        <w:rPr>
          <w:szCs w:val="24"/>
        </w:rPr>
        <w:t>Público</w:t>
      </w:r>
      <w:r w:rsidRPr="00EF1D87">
        <w:rPr>
          <w:szCs w:val="24"/>
        </w:rPr>
        <w:t xml:space="preserve"> - Oficina de Bonos Pensionales, para que, en caso de haber emitido el bono pensional, proceda con la </w:t>
      </w:r>
      <w:r w:rsidR="00B85832" w:rsidRPr="00EF1D87">
        <w:rPr>
          <w:szCs w:val="24"/>
        </w:rPr>
        <w:t>anulación</w:t>
      </w:r>
      <w:r w:rsidRPr="00EF1D87">
        <w:rPr>
          <w:szCs w:val="24"/>
        </w:rPr>
        <w:t xml:space="preserve"> del mismo mediante </w:t>
      </w:r>
      <w:r w:rsidR="00B85832" w:rsidRPr="00EF1D87">
        <w:rPr>
          <w:szCs w:val="24"/>
        </w:rPr>
        <w:t>trámite</w:t>
      </w:r>
      <w:r w:rsidRPr="00EF1D87">
        <w:rPr>
          <w:szCs w:val="24"/>
        </w:rPr>
        <w:t xml:space="preserve"> </w:t>
      </w:r>
      <w:r w:rsidR="00B85832" w:rsidRPr="00EF1D87">
        <w:rPr>
          <w:szCs w:val="24"/>
        </w:rPr>
        <w:t>interno.</w:t>
      </w:r>
    </w:p>
    <w:p w14:paraId="00000041" w14:textId="42BAEB62" w:rsidR="001738DF" w:rsidRPr="00EF1D87" w:rsidRDefault="00E4412A" w:rsidP="00EF1D87">
      <w:pPr>
        <w:pBdr>
          <w:top w:val="nil"/>
          <w:left w:val="nil"/>
          <w:bottom w:val="nil"/>
          <w:right w:val="nil"/>
          <w:between w:val="nil"/>
        </w:pBdr>
        <w:spacing w:line="276" w:lineRule="auto"/>
        <w:ind w:firstLine="709"/>
        <w:rPr>
          <w:szCs w:val="24"/>
        </w:rPr>
      </w:pPr>
      <w:r w:rsidRPr="00EF1D87">
        <w:rPr>
          <w:szCs w:val="24"/>
        </w:rPr>
        <w:t xml:space="preserve"> </w:t>
      </w:r>
    </w:p>
    <w:p w14:paraId="00000042" w14:textId="77777777" w:rsidR="001738DF" w:rsidRPr="00EF1D87" w:rsidRDefault="00E4412A" w:rsidP="00EF1D87">
      <w:pPr>
        <w:pBdr>
          <w:top w:val="nil"/>
          <w:left w:val="nil"/>
          <w:bottom w:val="nil"/>
          <w:right w:val="nil"/>
          <w:between w:val="nil"/>
        </w:pBdr>
        <w:spacing w:line="276" w:lineRule="auto"/>
        <w:ind w:firstLine="709"/>
        <w:rPr>
          <w:rFonts w:eastAsia="Arial Narrow"/>
          <w:szCs w:val="24"/>
        </w:rPr>
      </w:pPr>
      <w:r w:rsidRPr="00EF1D87">
        <w:rPr>
          <w:szCs w:val="24"/>
        </w:rPr>
        <w:t xml:space="preserve">Por último, condenó </w:t>
      </w:r>
      <w:r w:rsidRPr="00EF1D87">
        <w:rPr>
          <w:rFonts w:eastAsia="Arial Narrow"/>
          <w:szCs w:val="24"/>
        </w:rPr>
        <w:t xml:space="preserve">en costas procesales en un 100% a favor de la demandante a Porvenir S.A. </w:t>
      </w:r>
    </w:p>
    <w:p w14:paraId="00000043" w14:textId="77777777" w:rsidR="001738DF" w:rsidRPr="00EF1D87" w:rsidRDefault="001738DF" w:rsidP="00EF1D87">
      <w:pPr>
        <w:pBdr>
          <w:top w:val="nil"/>
          <w:left w:val="nil"/>
          <w:bottom w:val="nil"/>
          <w:right w:val="nil"/>
          <w:between w:val="nil"/>
        </w:pBdr>
        <w:spacing w:line="276" w:lineRule="auto"/>
        <w:ind w:firstLine="709"/>
        <w:jc w:val="left"/>
        <w:rPr>
          <w:rFonts w:eastAsia="Arial Narrow"/>
          <w:szCs w:val="24"/>
        </w:rPr>
      </w:pPr>
    </w:p>
    <w:p w14:paraId="4D60EF44" w14:textId="1AC7DA66" w:rsidR="00B85832" w:rsidRPr="00EF1D87" w:rsidRDefault="00E4412A" w:rsidP="00EF1D87">
      <w:pPr>
        <w:pBdr>
          <w:top w:val="nil"/>
          <w:left w:val="nil"/>
          <w:bottom w:val="nil"/>
          <w:right w:val="nil"/>
          <w:between w:val="nil"/>
        </w:pBdr>
        <w:spacing w:line="276" w:lineRule="auto"/>
        <w:ind w:firstLine="709"/>
        <w:rPr>
          <w:szCs w:val="24"/>
        </w:rPr>
      </w:pPr>
      <w:bookmarkStart w:id="4" w:name="_heading=h.1fob9te" w:colFirst="0" w:colLast="0"/>
      <w:bookmarkEnd w:id="4"/>
      <w:r w:rsidRPr="00EF1D87">
        <w:rPr>
          <w:szCs w:val="24"/>
        </w:rPr>
        <w:t xml:space="preserve">Para llegar a tal determinación la A-quo hizo un recuento legal y jurisprudencial respecto del deber de información a cargo de las AFP, la cual debía ser clara, cierta, comprensible y oportuna sobre las características, condiciones, beneficios, diferencias, riesgos y consecuencias del cambio de régimen pensional.  </w:t>
      </w:r>
    </w:p>
    <w:p w14:paraId="0012349B" w14:textId="77777777" w:rsidR="00B85832" w:rsidRPr="00EF1D87" w:rsidRDefault="00B85832" w:rsidP="00EF1D87">
      <w:pPr>
        <w:pBdr>
          <w:top w:val="nil"/>
          <w:left w:val="nil"/>
          <w:bottom w:val="nil"/>
          <w:right w:val="nil"/>
          <w:between w:val="nil"/>
        </w:pBdr>
        <w:spacing w:line="276" w:lineRule="auto"/>
        <w:ind w:firstLine="709"/>
        <w:rPr>
          <w:szCs w:val="24"/>
        </w:rPr>
      </w:pPr>
    </w:p>
    <w:p w14:paraId="00000044" w14:textId="3A6A4CC5" w:rsidR="001738DF" w:rsidRPr="00EF1D87" w:rsidRDefault="00E4412A" w:rsidP="00EF1D87">
      <w:pPr>
        <w:pBdr>
          <w:top w:val="nil"/>
          <w:left w:val="nil"/>
          <w:bottom w:val="nil"/>
          <w:right w:val="nil"/>
          <w:between w:val="nil"/>
        </w:pBdr>
        <w:spacing w:line="276" w:lineRule="auto"/>
        <w:ind w:firstLine="720"/>
        <w:rPr>
          <w:szCs w:val="24"/>
        </w:rPr>
      </w:pPr>
      <w:r w:rsidRPr="00EF1D87">
        <w:rPr>
          <w:szCs w:val="24"/>
        </w:rPr>
        <w:t>Re</w:t>
      </w:r>
      <w:r w:rsidR="00B85832" w:rsidRPr="00EF1D87">
        <w:rPr>
          <w:szCs w:val="24"/>
        </w:rPr>
        <w:t>sa</w:t>
      </w:r>
      <w:r w:rsidRPr="00EF1D87">
        <w:rPr>
          <w:szCs w:val="24"/>
        </w:rPr>
        <w:t xml:space="preserve">ltó que para la época del traslado </w:t>
      </w:r>
      <w:r w:rsidR="00B85832" w:rsidRPr="00EF1D87">
        <w:rPr>
          <w:szCs w:val="24"/>
        </w:rPr>
        <w:t xml:space="preserve">de la actora </w:t>
      </w:r>
      <w:r w:rsidRPr="00EF1D87">
        <w:rPr>
          <w:szCs w:val="24"/>
        </w:rPr>
        <w:t xml:space="preserve">se exigía que la administradora de pensiones ilustrara los elementos definitorios y condiciones tanto del RAIS como del RPM, de manera que al hacer la elección se comprendiera a plenitud las reglas e implicaciones de cada régimen, </w:t>
      </w:r>
      <w:r w:rsidR="00B85832" w:rsidRPr="00EF1D87">
        <w:rPr>
          <w:szCs w:val="24"/>
        </w:rPr>
        <w:t xml:space="preserve">resultando </w:t>
      </w:r>
      <w:r w:rsidRPr="00EF1D87">
        <w:rPr>
          <w:szCs w:val="24"/>
        </w:rPr>
        <w:t xml:space="preserve">insuficiente el simple consentimiento vertido en el formulario de afiliación para dar por demostrado el deber de información, toda vez que acredita un consentimiento, pero no informado. </w:t>
      </w:r>
    </w:p>
    <w:p w14:paraId="00000045" w14:textId="77777777" w:rsidR="001738DF" w:rsidRPr="00EF1D87" w:rsidRDefault="001738DF" w:rsidP="00EF1D87">
      <w:pPr>
        <w:pBdr>
          <w:top w:val="nil"/>
          <w:left w:val="nil"/>
          <w:bottom w:val="nil"/>
          <w:right w:val="nil"/>
          <w:between w:val="nil"/>
        </w:pBdr>
        <w:spacing w:line="276" w:lineRule="auto"/>
        <w:ind w:firstLine="709"/>
        <w:rPr>
          <w:szCs w:val="24"/>
        </w:rPr>
      </w:pPr>
    </w:p>
    <w:p w14:paraId="00000046" w14:textId="130EFD0B" w:rsidR="001738DF" w:rsidRPr="00EF1D87" w:rsidRDefault="00E4412A" w:rsidP="00EF1D87">
      <w:pPr>
        <w:pBdr>
          <w:top w:val="nil"/>
          <w:left w:val="nil"/>
          <w:bottom w:val="nil"/>
          <w:right w:val="nil"/>
          <w:between w:val="nil"/>
        </w:pBdr>
        <w:spacing w:line="276" w:lineRule="auto"/>
        <w:ind w:firstLine="709"/>
        <w:rPr>
          <w:szCs w:val="24"/>
        </w:rPr>
      </w:pPr>
      <w:r w:rsidRPr="00EF1D87">
        <w:rPr>
          <w:szCs w:val="24"/>
        </w:rPr>
        <w:t>Afirmó que, en estos casos opera una inversión de la carga de la prueba a favor de</w:t>
      </w:r>
      <w:r w:rsidR="00B85832" w:rsidRPr="00EF1D87">
        <w:rPr>
          <w:szCs w:val="24"/>
        </w:rPr>
        <w:t xml:space="preserve"> </w:t>
      </w:r>
      <w:r w:rsidRPr="00EF1D87">
        <w:rPr>
          <w:szCs w:val="24"/>
        </w:rPr>
        <w:t>l</w:t>
      </w:r>
      <w:r w:rsidR="00B85832" w:rsidRPr="00EF1D87">
        <w:rPr>
          <w:szCs w:val="24"/>
        </w:rPr>
        <w:t>a</w:t>
      </w:r>
      <w:r w:rsidRPr="00EF1D87">
        <w:rPr>
          <w:szCs w:val="24"/>
        </w:rPr>
        <w:t xml:space="preserve"> afiliad</w:t>
      </w:r>
      <w:r w:rsidR="00B85832" w:rsidRPr="00EF1D87">
        <w:rPr>
          <w:szCs w:val="24"/>
        </w:rPr>
        <w:t>a</w:t>
      </w:r>
      <w:r w:rsidRPr="00EF1D87">
        <w:rPr>
          <w:szCs w:val="24"/>
        </w:rPr>
        <w:t xml:space="preserve">, por lo que Porvenir S.A. debía acreditar la diligencia o cuidado que tuvo para que ella comprendiera todo lo relacionado con los beneficios y desventajas con el cambio de régimen, así como prever los riesgos y efectos negativos de esa decisión. Sin embargo, </w:t>
      </w:r>
      <w:r w:rsidR="00B85832" w:rsidRPr="00EF1D87">
        <w:rPr>
          <w:szCs w:val="24"/>
        </w:rPr>
        <w:t>dicha AFP</w:t>
      </w:r>
      <w:r w:rsidRPr="00EF1D87">
        <w:rPr>
          <w:szCs w:val="24"/>
        </w:rPr>
        <w:t xml:space="preserve"> </w:t>
      </w:r>
      <w:r w:rsidR="00B85832" w:rsidRPr="00EF1D87">
        <w:rPr>
          <w:szCs w:val="24"/>
        </w:rPr>
        <w:t xml:space="preserve">sólo aportó </w:t>
      </w:r>
      <w:r w:rsidRPr="00EF1D87">
        <w:rPr>
          <w:szCs w:val="24"/>
        </w:rPr>
        <w:t xml:space="preserve">como prueba el formulario de afiliación, </w:t>
      </w:r>
      <w:r w:rsidR="00B85832" w:rsidRPr="00EF1D87">
        <w:rPr>
          <w:szCs w:val="24"/>
        </w:rPr>
        <w:t xml:space="preserve">son lograr </w:t>
      </w:r>
      <w:r w:rsidRPr="00EF1D87">
        <w:rPr>
          <w:szCs w:val="24"/>
        </w:rPr>
        <w:t>acreditar la existencia de un consentimiento informado.</w:t>
      </w:r>
    </w:p>
    <w:p w14:paraId="00000047" w14:textId="77777777" w:rsidR="001738DF" w:rsidRPr="00EF1D87" w:rsidRDefault="001738DF" w:rsidP="00EF1D87">
      <w:pPr>
        <w:pBdr>
          <w:top w:val="nil"/>
          <w:left w:val="nil"/>
          <w:bottom w:val="nil"/>
          <w:right w:val="nil"/>
          <w:between w:val="nil"/>
        </w:pBdr>
        <w:spacing w:line="276" w:lineRule="auto"/>
        <w:ind w:firstLine="709"/>
        <w:rPr>
          <w:szCs w:val="24"/>
        </w:rPr>
      </w:pPr>
    </w:p>
    <w:p w14:paraId="30D78251" w14:textId="0F1DC6CC" w:rsidR="0024131B" w:rsidRPr="00EF1D87" w:rsidRDefault="00E4412A" w:rsidP="00EF1D87">
      <w:pPr>
        <w:pBdr>
          <w:top w:val="nil"/>
          <w:left w:val="nil"/>
          <w:bottom w:val="nil"/>
          <w:right w:val="nil"/>
          <w:between w:val="nil"/>
        </w:pBdr>
        <w:spacing w:line="276" w:lineRule="auto"/>
        <w:ind w:firstLine="709"/>
        <w:rPr>
          <w:szCs w:val="24"/>
        </w:rPr>
      </w:pPr>
      <w:r w:rsidRPr="00EF1D87">
        <w:rPr>
          <w:szCs w:val="24"/>
        </w:rPr>
        <w:t xml:space="preserve">En cuanto al interrogatorio rendido por la </w:t>
      </w:r>
      <w:r w:rsidR="00B85832" w:rsidRPr="00EF1D87">
        <w:rPr>
          <w:szCs w:val="24"/>
        </w:rPr>
        <w:t>señora Prada</w:t>
      </w:r>
      <w:r w:rsidRPr="00EF1D87">
        <w:rPr>
          <w:szCs w:val="24"/>
        </w:rPr>
        <w:t>, concluyó que de él no se obtuvo confesión alguna que condujera a definir que hubiera existido un consentimiento informado.</w:t>
      </w:r>
      <w:r w:rsidR="00B85832" w:rsidRPr="00EF1D87">
        <w:rPr>
          <w:szCs w:val="24"/>
        </w:rPr>
        <w:t xml:space="preserve"> </w:t>
      </w:r>
      <w:r w:rsidRPr="00EF1D87">
        <w:rPr>
          <w:szCs w:val="24"/>
        </w:rPr>
        <w:t xml:space="preserve">Por lo dicho, concluyó que se </w:t>
      </w:r>
      <w:r w:rsidR="00951DF9" w:rsidRPr="00EF1D87">
        <w:rPr>
          <w:szCs w:val="24"/>
        </w:rPr>
        <w:t>presentó una</w:t>
      </w:r>
      <w:r w:rsidRPr="00EF1D87">
        <w:rPr>
          <w:szCs w:val="24"/>
        </w:rPr>
        <w:t xml:space="preserve"> indebida asesoría </w:t>
      </w:r>
      <w:r w:rsidR="00951DF9" w:rsidRPr="00EF1D87">
        <w:rPr>
          <w:szCs w:val="24"/>
        </w:rPr>
        <w:t xml:space="preserve">que vició </w:t>
      </w:r>
      <w:r w:rsidRPr="00EF1D87">
        <w:rPr>
          <w:szCs w:val="24"/>
        </w:rPr>
        <w:t xml:space="preserve">el consentimiento </w:t>
      </w:r>
      <w:r w:rsidR="00951DF9" w:rsidRPr="00EF1D87">
        <w:rPr>
          <w:szCs w:val="24"/>
        </w:rPr>
        <w:t xml:space="preserve">de aquella en </w:t>
      </w:r>
      <w:r w:rsidRPr="00EF1D87">
        <w:rPr>
          <w:szCs w:val="24"/>
        </w:rPr>
        <w:t>l</w:t>
      </w:r>
      <w:r w:rsidR="00951DF9" w:rsidRPr="00EF1D87">
        <w:rPr>
          <w:szCs w:val="24"/>
        </w:rPr>
        <w:t>a</w:t>
      </w:r>
      <w:r w:rsidRPr="00EF1D87">
        <w:rPr>
          <w:szCs w:val="24"/>
        </w:rPr>
        <w:t xml:space="preserve"> vinculación a</w:t>
      </w:r>
      <w:r w:rsidR="00951DF9" w:rsidRPr="00EF1D87">
        <w:rPr>
          <w:szCs w:val="24"/>
        </w:rPr>
        <w:t>nte el RAIS, siendo procedente declarar la ineficacia del acto</w:t>
      </w:r>
      <w:r w:rsidRPr="00EF1D87">
        <w:rPr>
          <w:szCs w:val="24"/>
        </w:rPr>
        <w:t>.</w:t>
      </w:r>
    </w:p>
    <w:p w14:paraId="74DD5178" w14:textId="77777777" w:rsidR="0024131B" w:rsidRPr="00EF1D87" w:rsidRDefault="0024131B" w:rsidP="00EF1D87">
      <w:pPr>
        <w:pBdr>
          <w:top w:val="nil"/>
          <w:left w:val="nil"/>
          <w:bottom w:val="nil"/>
          <w:right w:val="nil"/>
          <w:between w:val="nil"/>
        </w:pBdr>
        <w:spacing w:line="276" w:lineRule="auto"/>
        <w:ind w:firstLine="709"/>
        <w:rPr>
          <w:szCs w:val="24"/>
        </w:rPr>
      </w:pPr>
    </w:p>
    <w:p w14:paraId="0000004B" w14:textId="598C5E1D" w:rsidR="001738DF" w:rsidRPr="00EF1D87" w:rsidRDefault="00E4412A" w:rsidP="00EF1D87">
      <w:pPr>
        <w:numPr>
          <w:ilvl w:val="0"/>
          <w:numId w:val="1"/>
        </w:numPr>
        <w:pBdr>
          <w:top w:val="nil"/>
          <w:left w:val="nil"/>
          <w:bottom w:val="nil"/>
          <w:right w:val="nil"/>
          <w:between w:val="nil"/>
        </w:pBdr>
        <w:spacing w:line="276" w:lineRule="auto"/>
        <w:ind w:left="426" w:hanging="426"/>
        <w:jc w:val="center"/>
        <w:rPr>
          <w:b/>
          <w:szCs w:val="24"/>
        </w:rPr>
      </w:pPr>
      <w:r w:rsidRPr="00EF1D87">
        <w:rPr>
          <w:b/>
          <w:szCs w:val="24"/>
        </w:rPr>
        <w:t>Recursos de apelación y procedencia de la consulta</w:t>
      </w:r>
    </w:p>
    <w:p w14:paraId="790375D1" w14:textId="77777777" w:rsidR="0024131B" w:rsidRPr="00EF1D87" w:rsidRDefault="0024131B" w:rsidP="00EF1D87">
      <w:pPr>
        <w:pBdr>
          <w:top w:val="nil"/>
          <w:left w:val="nil"/>
          <w:bottom w:val="nil"/>
          <w:right w:val="nil"/>
          <w:between w:val="nil"/>
        </w:pBdr>
        <w:spacing w:line="276" w:lineRule="auto"/>
        <w:ind w:left="426"/>
        <w:rPr>
          <w:b/>
          <w:szCs w:val="24"/>
        </w:rPr>
      </w:pPr>
    </w:p>
    <w:p w14:paraId="2CDEE74D" w14:textId="5DFED30E" w:rsidR="0024131B" w:rsidRPr="00EF1D87" w:rsidRDefault="00E4412A" w:rsidP="00EF1D87">
      <w:pPr>
        <w:pBdr>
          <w:top w:val="nil"/>
          <w:left w:val="nil"/>
          <w:bottom w:val="nil"/>
          <w:right w:val="nil"/>
          <w:between w:val="nil"/>
        </w:pBdr>
        <w:spacing w:line="276" w:lineRule="auto"/>
        <w:ind w:firstLine="709"/>
        <w:contextualSpacing/>
        <w:rPr>
          <w:szCs w:val="24"/>
        </w:rPr>
      </w:pPr>
      <w:r w:rsidRPr="00EF1D87">
        <w:rPr>
          <w:rFonts w:eastAsia="Times New Roman"/>
          <w:szCs w:val="24"/>
        </w:rPr>
        <w:t>La</w:t>
      </w:r>
      <w:r w:rsidRPr="00EF1D87">
        <w:rPr>
          <w:szCs w:val="24"/>
        </w:rPr>
        <w:t xml:space="preserve"> </w:t>
      </w:r>
      <w:r w:rsidR="0024131B" w:rsidRPr="00EF1D87">
        <w:rPr>
          <w:szCs w:val="24"/>
        </w:rPr>
        <w:t>apoderada judicial</w:t>
      </w:r>
      <w:r w:rsidRPr="00EF1D87">
        <w:rPr>
          <w:szCs w:val="24"/>
        </w:rPr>
        <w:t xml:space="preserve"> de </w:t>
      </w:r>
      <w:r w:rsidRPr="00EF1D87">
        <w:rPr>
          <w:b/>
          <w:szCs w:val="24"/>
        </w:rPr>
        <w:t>Porvenir S.A.</w:t>
      </w:r>
      <w:r w:rsidRPr="00EF1D87">
        <w:rPr>
          <w:szCs w:val="24"/>
        </w:rPr>
        <w:t xml:space="preserve"> atacó el fallo reiterando que la administradora de pensiones cumplió con el deber legal de información vigente para la época en la que la demandante se trasladó de régimen, toda vez que no era obligación por las AFP del RAIS realizar proyecciones financieras o mantener constancia escrita de las asesorías brindadas, ya que dichos requerimientos </w:t>
      </w:r>
      <w:r w:rsidR="007C54DD" w:rsidRPr="00EF1D87">
        <w:rPr>
          <w:szCs w:val="24"/>
        </w:rPr>
        <w:t>existieron a</w:t>
      </w:r>
      <w:r w:rsidRPr="00EF1D87">
        <w:rPr>
          <w:szCs w:val="24"/>
        </w:rPr>
        <w:t xml:space="preserve"> partir del 2014 y 2015 de conformidad con lo conceptuado por la Superintendencia Financiera.</w:t>
      </w:r>
    </w:p>
    <w:p w14:paraId="32434189" w14:textId="77777777" w:rsidR="0024131B" w:rsidRPr="00EF1D87" w:rsidRDefault="0024131B" w:rsidP="00EF1D87">
      <w:pPr>
        <w:pBdr>
          <w:top w:val="nil"/>
          <w:left w:val="nil"/>
          <w:bottom w:val="nil"/>
          <w:right w:val="nil"/>
          <w:between w:val="nil"/>
        </w:pBdr>
        <w:spacing w:line="276" w:lineRule="auto"/>
        <w:ind w:firstLine="709"/>
        <w:contextualSpacing/>
        <w:rPr>
          <w:szCs w:val="24"/>
        </w:rPr>
      </w:pPr>
    </w:p>
    <w:p w14:paraId="6EE102AD" w14:textId="4E1A43F0" w:rsidR="0024131B" w:rsidRPr="00EF1D87" w:rsidRDefault="00E4412A" w:rsidP="00EF1D87">
      <w:pPr>
        <w:pBdr>
          <w:top w:val="nil"/>
          <w:left w:val="nil"/>
          <w:bottom w:val="nil"/>
          <w:right w:val="nil"/>
          <w:between w:val="nil"/>
        </w:pBdr>
        <w:spacing w:line="276" w:lineRule="auto"/>
        <w:ind w:firstLine="709"/>
        <w:contextualSpacing/>
        <w:rPr>
          <w:szCs w:val="24"/>
        </w:rPr>
      </w:pPr>
      <w:r w:rsidRPr="00EF1D87">
        <w:rPr>
          <w:szCs w:val="24"/>
        </w:rPr>
        <w:t xml:space="preserve">Asimismo, resalta que hubo una concurrencia de los actos de relacionamiento por parte de la actora que dan cuenta de la ratificación de permanencia, toda vez </w:t>
      </w:r>
      <w:r w:rsidR="0089037F" w:rsidRPr="00EF1D87">
        <w:rPr>
          <w:szCs w:val="24"/>
        </w:rPr>
        <w:t>hizo</w:t>
      </w:r>
      <w:r w:rsidRPr="00EF1D87">
        <w:rPr>
          <w:szCs w:val="24"/>
        </w:rPr>
        <w:t xml:space="preserve"> aportes de manera ininterrumpida, se benefició de los rendimientos financieros, hizo uso de los canales de comunicación dispuestos por la entidad, recibió los estratos</w:t>
      </w:r>
      <w:r w:rsidR="0089037F" w:rsidRPr="00EF1D87">
        <w:rPr>
          <w:szCs w:val="24"/>
        </w:rPr>
        <w:t xml:space="preserve"> y</w:t>
      </w:r>
      <w:r w:rsidRPr="00EF1D87">
        <w:rPr>
          <w:szCs w:val="24"/>
        </w:rPr>
        <w:t xml:space="preserve"> no se trasladó haciendo uso del periodo de gracia o del retracto.</w:t>
      </w:r>
      <w:r w:rsidR="0089037F" w:rsidRPr="00EF1D87">
        <w:rPr>
          <w:szCs w:val="24"/>
        </w:rPr>
        <w:t xml:space="preserve"> Además</w:t>
      </w:r>
      <w:r w:rsidRPr="00EF1D87">
        <w:rPr>
          <w:szCs w:val="24"/>
        </w:rPr>
        <w:t xml:space="preserve">, </w:t>
      </w:r>
      <w:r w:rsidR="0024131B" w:rsidRPr="00EF1D87">
        <w:rPr>
          <w:szCs w:val="24"/>
        </w:rPr>
        <w:t>la actora</w:t>
      </w:r>
      <w:r w:rsidRPr="00EF1D87">
        <w:rPr>
          <w:szCs w:val="24"/>
        </w:rPr>
        <w:t xml:space="preserve"> pretende retornar al RPM solo debido a una inconformidad de índole económico.</w:t>
      </w:r>
    </w:p>
    <w:p w14:paraId="6A37D2E2" w14:textId="77777777" w:rsidR="0024131B" w:rsidRPr="00EF1D87" w:rsidRDefault="0024131B" w:rsidP="00EF1D87">
      <w:pPr>
        <w:pBdr>
          <w:top w:val="nil"/>
          <w:left w:val="nil"/>
          <w:bottom w:val="nil"/>
          <w:right w:val="nil"/>
          <w:between w:val="nil"/>
        </w:pBdr>
        <w:spacing w:line="276" w:lineRule="auto"/>
        <w:ind w:firstLine="709"/>
        <w:contextualSpacing/>
        <w:rPr>
          <w:szCs w:val="24"/>
        </w:rPr>
      </w:pPr>
    </w:p>
    <w:p w14:paraId="0000004F" w14:textId="5B5EFBFF" w:rsidR="001738DF" w:rsidRPr="00EF1D87" w:rsidRDefault="00E4412A" w:rsidP="00EF1D87">
      <w:pPr>
        <w:pBdr>
          <w:top w:val="nil"/>
          <w:left w:val="nil"/>
          <w:bottom w:val="nil"/>
          <w:right w:val="nil"/>
          <w:between w:val="nil"/>
        </w:pBdr>
        <w:spacing w:line="276" w:lineRule="auto"/>
        <w:ind w:firstLine="709"/>
        <w:contextualSpacing/>
        <w:rPr>
          <w:szCs w:val="24"/>
        </w:rPr>
      </w:pPr>
      <w:r w:rsidRPr="00EF1D87">
        <w:rPr>
          <w:szCs w:val="24"/>
        </w:rPr>
        <w:t>Por otra parte, señala que</w:t>
      </w:r>
      <w:r w:rsidR="00922D62" w:rsidRPr="00EF1D87">
        <w:rPr>
          <w:szCs w:val="24"/>
        </w:rPr>
        <w:t>,</w:t>
      </w:r>
      <w:r w:rsidRPr="00EF1D87">
        <w:rPr>
          <w:szCs w:val="24"/>
        </w:rPr>
        <w:t xml:space="preserve"> si se llegase a declarar la ineficacia del traslado de régimen, la única obligación que recaería sobre Porvenir S.A sería la de retornar al RPM los dineros que por concepto de aportes a pensión hubiere realizado l</w:t>
      </w:r>
      <w:r w:rsidR="0047520A" w:rsidRPr="00EF1D87">
        <w:rPr>
          <w:szCs w:val="24"/>
        </w:rPr>
        <w:t>a</w:t>
      </w:r>
      <w:r w:rsidRPr="00EF1D87">
        <w:rPr>
          <w:szCs w:val="24"/>
        </w:rPr>
        <w:t xml:space="preserve"> demandante. Lo anterior puesto que, si se declara que el traslado nunca nació a la </w:t>
      </w:r>
      <w:r w:rsidRPr="00EF1D87">
        <w:rPr>
          <w:szCs w:val="24"/>
        </w:rPr>
        <w:lastRenderedPageBreak/>
        <w:t xml:space="preserve">vida jurídica, o fue inexistente, emolumentos como los gastos de administración y demás también deberían ser declarados inexistentes. </w:t>
      </w:r>
    </w:p>
    <w:p w14:paraId="00000050" w14:textId="77777777" w:rsidR="001738DF" w:rsidRPr="00EF1D87" w:rsidRDefault="001738DF" w:rsidP="00EF1D87">
      <w:pPr>
        <w:spacing w:line="276" w:lineRule="auto"/>
        <w:ind w:firstLine="708"/>
        <w:rPr>
          <w:szCs w:val="24"/>
        </w:rPr>
      </w:pPr>
    </w:p>
    <w:p w14:paraId="00000051" w14:textId="26AFB840" w:rsidR="001738DF" w:rsidRPr="00EF1D87" w:rsidRDefault="00E4412A" w:rsidP="00EF1D87">
      <w:pPr>
        <w:spacing w:line="276" w:lineRule="auto"/>
        <w:ind w:firstLine="708"/>
        <w:rPr>
          <w:szCs w:val="24"/>
        </w:rPr>
      </w:pPr>
      <w:r w:rsidRPr="00EF1D87">
        <w:rPr>
          <w:szCs w:val="24"/>
        </w:rPr>
        <w:t>Respecto a las cuotas de administración, indicó que est</w:t>
      </w:r>
      <w:r w:rsidR="0047520A" w:rsidRPr="00EF1D87">
        <w:rPr>
          <w:szCs w:val="24"/>
        </w:rPr>
        <w:t>a</w:t>
      </w:r>
      <w:r w:rsidRPr="00EF1D87">
        <w:rPr>
          <w:szCs w:val="24"/>
        </w:rPr>
        <w:t>s son autorizad</w:t>
      </w:r>
      <w:r w:rsidR="0047520A" w:rsidRPr="00EF1D87">
        <w:rPr>
          <w:szCs w:val="24"/>
        </w:rPr>
        <w:t>a</w:t>
      </w:r>
      <w:r w:rsidRPr="00EF1D87">
        <w:rPr>
          <w:szCs w:val="24"/>
        </w:rPr>
        <w:t>s por la ley como una contraprestación de la gestión desplegada por las AFP del RAIS, y el hecho de tenerlos que girar con destino a Colpensiones no solo representa un detrimento patrimonial de Porvenir S.A, sino un enriquecimiento sin justa causa en favor de</w:t>
      </w:r>
      <w:r w:rsidR="0047520A" w:rsidRPr="00EF1D87">
        <w:rPr>
          <w:szCs w:val="24"/>
        </w:rPr>
        <w:t xml:space="preserve"> </w:t>
      </w:r>
      <w:r w:rsidRPr="00EF1D87">
        <w:rPr>
          <w:szCs w:val="24"/>
        </w:rPr>
        <w:t>l</w:t>
      </w:r>
      <w:r w:rsidR="0047520A" w:rsidRPr="00EF1D87">
        <w:rPr>
          <w:szCs w:val="24"/>
        </w:rPr>
        <w:t>a</w:t>
      </w:r>
      <w:r w:rsidRPr="00EF1D87">
        <w:rPr>
          <w:szCs w:val="24"/>
        </w:rPr>
        <w:t xml:space="preserve"> demandante. </w:t>
      </w:r>
      <w:r w:rsidR="0047520A" w:rsidRPr="00EF1D87">
        <w:rPr>
          <w:szCs w:val="24"/>
        </w:rPr>
        <w:t xml:space="preserve">En el mismo sentido, </w:t>
      </w:r>
      <w:r w:rsidRPr="00EF1D87">
        <w:rPr>
          <w:szCs w:val="24"/>
        </w:rPr>
        <w:t>refiere que los seguros previsionales son sumas que son giradas a las aseguradoras previsionales del RAIS, cuya finalidad radica básicamente en cubrir eventuales contingencias que puedan suscitarse en</w:t>
      </w:r>
      <w:r w:rsidR="0047520A" w:rsidRPr="00EF1D87">
        <w:rPr>
          <w:szCs w:val="24"/>
        </w:rPr>
        <w:t xml:space="preserve"> </w:t>
      </w:r>
      <w:r w:rsidRPr="00EF1D87">
        <w:rPr>
          <w:szCs w:val="24"/>
        </w:rPr>
        <w:t>torno a los siniestros de invalidez y sobrevivencia.</w:t>
      </w:r>
    </w:p>
    <w:p w14:paraId="00000052" w14:textId="77777777" w:rsidR="001738DF" w:rsidRPr="00EF1D87" w:rsidRDefault="001738DF" w:rsidP="00EF1D87">
      <w:pPr>
        <w:spacing w:line="276" w:lineRule="auto"/>
        <w:ind w:firstLine="708"/>
        <w:rPr>
          <w:szCs w:val="24"/>
        </w:rPr>
      </w:pPr>
    </w:p>
    <w:p w14:paraId="00000053" w14:textId="77777777" w:rsidR="001738DF" w:rsidRPr="00EF1D87" w:rsidRDefault="00E4412A" w:rsidP="00EF1D87">
      <w:pPr>
        <w:spacing w:line="276" w:lineRule="auto"/>
        <w:ind w:firstLine="708"/>
        <w:rPr>
          <w:szCs w:val="24"/>
        </w:rPr>
      </w:pPr>
      <w:r w:rsidRPr="00EF1D87">
        <w:rPr>
          <w:szCs w:val="24"/>
        </w:rPr>
        <w:t>Adicional a lo anterior, señala que el actuar de Porvenir S.A siempre fue en estricto apego a todas las normas que regulan la materia y ceñido a los postulados de la buena fe, por lo que no había lugar a la condena en costas procesales.</w:t>
      </w:r>
    </w:p>
    <w:p w14:paraId="00000054" w14:textId="77777777" w:rsidR="001738DF" w:rsidRPr="00EF1D87" w:rsidRDefault="001738DF" w:rsidP="00EF1D87">
      <w:pPr>
        <w:spacing w:line="276" w:lineRule="auto"/>
        <w:ind w:firstLine="708"/>
        <w:rPr>
          <w:szCs w:val="24"/>
        </w:rPr>
      </w:pPr>
    </w:p>
    <w:p w14:paraId="00000055" w14:textId="0A0EBA70" w:rsidR="001738DF" w:rsidRPr="00EF1D87" w:rsidRDefault="00E4412A" w:rsidP="00EF1D87">
      <w:pPr>
        <w:spacing w:line="276" w:lineRule="auto"/>
        <w:ind w:firstLine="708"/>
        <w:rPr>
          <w:szCs w:val="24"/>
        </w:rPr>
      </w:pPr>
      <w:r w:rsidRPr="00EF1D87">
        <w:rPr>
          <w:szCs w:val="24"/>
        </w:rPr>
        <w:t xml:space="preserve">Por su parte, </w:t>
      </w:r>
      <w:r w:rsidR="003D0740" w:rsidRPr="00EF1D87">
        <w:rPr>
          <w:szCs w:val="24"/>
        </w:rPr>
        <w:t xml:space="preserve">la apoderada judicial de </w:t>
      </w:r>
      <w:r w:rsidRPr="00EF1D87">
        <w:rPr>
          <w:b/>
          <w:szCs w:val="24"/>
        </w:rPr>
        <w:t>Colpensiones</w:t>
      </w:r>
      <w:r w:rsidRPr="00EF1D87">
        <w:rPr>
          <w:szCs w:val="24"/>
        </w:rPr>
        <w:t xml:space="preserve"> en su </w:t>
      </w:r>
      <w:r w:rsidR="00504C21" w:rsidRPr="00EF1D87">
        <w:rPr>
          <w:szCs w:val="24"/>
        </w:rPr>
        <w:t>alzada</w:t>
      </w:r>
      <w:r w:rsidRPr="00EF1D87">
        <w:rPr>
          <w:szCs w:val="24"/>
        </w:rPr>
        <w:t xml:space="preserve"> atacó la decisión cimentando su inconformidad en que de las afirmaciones realizadas en el texto de la demanda como las realizadas al absolver el interrogatorio de parte, evidenciaron que la motivación de pretender el reintegro a Colpensiones obedece a un tema meramente económico, debido a que evidenció que en el RPM podía obtener una pensión mayor de la que podría obtener en el RAIS.</w:t>
      </w:r>
    </w:p>
    <w:p w14:paraId="00000056" w14:textId="77777777" w:rsidR="001738DF" w:rsidRPr="00EF1D87" w:rsidRDefault="001738DF" w:rsidP="00EF1D87">
      <w:pPr>
        <w:spacing w:line="276" w:lineRule="auto"/>
        <w:ind w:firstLine="708"/>
        <w:rPr>
          <w:szCs w:val="24"/>
        </w:rPr>
      </w:pPr>
    </w:p>
    <w:p w14:paraId="34A7A362" w14:textId="4893923E" w:rsidR="0024131B" w:rsidRPr="00EF1D87" w:rsidRDefault="00E4412A" w:rsidP="00EF1D87">
      <w:pPr>
        <w:spacing w:line="276" w:lineRule="auto"/>
        <w:ind w:firstLine="708"/>
        <w:rPr>
          <w:szCs w:val="24"/>
        </w:rPr>
      </w:pPr>
      <w:r w:rsidRPr="00EF1D87">
        <w:rPr>
          <w:szCs w:val="24"/>
        </w:rPr>
        <w:t xml:space="preserve">Alegó que, la decisión de primera instancia atenta contra la sostenibilidad financiera del RPM, </w:t>
      </w:r>
      <w:r w:rsidR="00202027" w:rsidRPr="00EF1D87">
        <w:rPr>
          <w:szCs w:val="24"/>
        </w:rPr>
        <w:t xml:space="preserve">ya que </w:t>
      </w:r>
      <w:r w:rsidR="00B27755" w:rsidRPr="00EF1D87">
        <w:rPr>
          <w:szCs w:val="24"/>
        </w:rPr>
        <w:t xml:space="preserve">a Colpensiones </w:t>
      </w:r>
      <w:r w:rsidRPr="00EF1D87">
        <w:rPr>
          <w:szCs w:val="24"/>
        </w:rPr>
        <w:t xml:space="preserve">se le impone una carga de resarcir un daño que no causó y que se dio en consecuencia de una decisión de un afiliado que no se interesó en retornar al régimen sino hasta el momento en que evidencia un perjuicio económico. </w:t>
      </w:r>
    </w:p>
    <w:p w14:paraId="42D4DBF0" w14:textId="77777777" w:rsidR="0024131B" w:rsidRPr="00EF1D87" w:rsidRDefault="0024131B" w:rsidP="00EF1D87">
      <w:pPr>
        <w:spacing w:line="276" w:lineRule="auto"/>
        <w:ind w:firstLine="708"/>
        <w:rPr>
          <w:szCs w:val="24"/>
        </w:rPr>
      </w:pPr>
    </w:p>
    <w:p w14:paraId="00000058" w14:textId="5AB021C6" w:rsidR="001738DF" w:rsidRPr="00EF1D87" w:rsidRDefault="00E4412A" w:rsidP="00EF1D87">
      <w:pPr>
        <w:spacing w:line="276" w:lineRule="auto"/>
        <w:ind w:firstLine="708"/>
        <w:rPr>
          <w:szCs w:val="24"/>
        </w:rPr>
      </w:pPr>
      <w:r w:rsidRPr="00EF1D87">
        <w:rPr>
          <w:szCs w:val="24"/>
        </w:rPr>
        <w:t xml:space="preserve">Solicita que, se apliquen los postulados de la Sala Laboral de la Corte Suprema de Justicia en sentencias SL- 3755 del 15 de septiembre de 2020 </w:t>
      </w:r>
      <w:r w:rsidR="0024131B" w:rsidRPr="00EF1D87">
        <w:rPr>
          <w:szCs w:val="24"/>
        </w:rPr>
        <w:t>y SL</w:t>
      </w:r>
      <w:r w:rsidRPr="00EF1D87">
        <w:rPr>
          <w:szCs w:val="24"/>
        </w:rPr>
        <w:t xml:space="preserve">-1061 del 22 de febrero de 2021, ambas providencias con ponencia de la magistrada Ana María Muñoz Segura, toda vez que fue clara la actora en manifestar su preferencia al </w:t>
      </w:r>
      <w:r w:rsidR="00F040F7" w:rsidRPr="00EF1D87">
        <w:rPr>
          <w:szCs w:val="24"/>
        </w:rPr>
        <w:t>RAIS</w:t>
      </w:r>
      <w:r w:rsidRPr="00EF1D87">
        <w:rPr>
          <w:szCs w:val="24"/>
        </w:rPr>
        <w:t xml:space="preserve"> perfeccionándose con actos de relacionamiento.</w:t>
      </w:r>
    </w:p>
    <w:p w14:paraId="00000059" w14:textId="77777777" w:rsidR="001738DF" w:rsidRPr="00EF1D87" w:rsidRDefault="001738DF" w:rsidP="00EF1D87">
      <w:pPr>
        <w:spacing w:line="276" w:lineRule="auto"/>
        <w:ind w:firstLine="708"/>
        <w:rPr>
          <w:szCs w:val="24"/>
        </w:rPr>
      </w:pPr>
    </w:p>
    <w:p w14:paraId="0000005A" w14:textId="3D155395" w:rsidR="001738DF" w:rsidRPr="00EF1D87" w:rsidRDefault="00B27755" w:rsidP="00EF1D87">
      <w:pPr>
        <w:spacing w:line="276" w:lineRule="auto"/>
        <w:ind w:firstLine="708"/>
        <w:rPr>
          <w:szCs w:val="24"/>
        </w:rPr>
      </w:pPr>
      <w:r w:rsidRPr="00EF1D87">
        <w:rPr>
          <w:szCs w:val="24"/>
        </w:rPr>
        <w:t>Finalmente, alegó</w:t>
      </w:r>
      <w:r w:rsidR="00E4412A" w:rsidRPr="00EF1D87">
        <w:rPr>
          <w:szCs w:val="24"/>
        </w:rPr>
        <w:t xml:space="preserve"> que no era posible ordenar el traslado de la demandante por faltarle menos de 10 años para cumplir la edad para tener derecho a la pensión de vejez. </w:t>
      </w:r>
    </w:p>
    <w:p w14:paraId="70BAF930" w14:textId="77777777" w:rsidR="00B27755" w:rsidRPr="00EF1D87" w:rsidRDefault="00B27755" w:rsidP="00EF1D87">
      <w:pPr>
        <w:spacing w:line="276" w:lineRule="auto"/>
        <w:rPr>
          <w:szCs w:val="24"/>
          <w:lang w:val="es-CO" w:eastAsia="es-CO"/>
        </w:rPr>
      </w:pPr>
    </w:p>
    <w:p w14:paraId="4FF69974" w14:textId="77777777" w:rsidR="00B27755" w:rsidRPr="00EF1D87" w:rsidRDefault="00B27755" w:rsidP="00EF1D87">
      <w:pPr>
        <w:numPr>
          <w:ilvl w:val="0"/>
          <w:numId w:val="2"/>
        </w:numPr>
        <w:pBdr>
          <w:top w:val="nil"/>
          <w:left w:val="nil"/>
          <w:bottom w:val="nil"/>
          <w:right w:val="nil"/>
          <w:between w:val="nil"/>
        </w:pBdr>
        <w:spacing w:line="276" w:lineRule="auto"/>
        <w:jc w:val="center"/>
        <w:rPr>
          <w:b/>
          <w:szCs w:val="24"/>
          <w:lang w:val="es-CO" w:eastAsia="es-CO"/>
        </w:rPr>
      </w:pPr>
      <w:r w:rsidRPr="00EF1D87">
        <w:rPr>
          <w:b/>
          <w:szCs w:val="24"/>
          <w:lang w:val="es-CO" w:eastAsia="es-CO"/>
        </w:rPr>
        <w:t>Alegatos de conclusión</w:t>
      </w:r>
    </w:p>
    <w:p w14:paraId="4269CA16" w14:textId="77777777" w:rsidR="00B27755" w:rsidRPr="00EF1D87" w:rsidRDefault="00B27755" w:rsidP="00EF1D87">
      <w:pPr>
        <w:spacing w:line="276" w:lineRule="auto"/>
        <w:rPr>
          <w:szCs w:val="24"/>
          <w:lang w:val="es-CO" w:eastAsia="es-CO"/>
        </w:rPr>
      </w:pPr>
      <w:r w:rsidRPr="00EF1D87">
        <w:rPr>
          <w:szCs w:val="24"/>
          <w:lang w:val="es-CO" w:eastAsia="es-CO"/>
        </w:rPr>
        <w:t xml:space="preserve"> </w:t>
      </w:r>
    </w:p>
    <w:p w14:paraId="6F7A8AC0" w14:textId="77777777" w:rsidR="00B27755" w:rsidRPr="00EF1D87" w:rsidRDefault="00B27755" w:rsidP="00EF1D87">
      <w:pPr>
        <w:spacing w:line="276" w:lineRule="auto"/>
        <w:ind w:firstLine="708"/>
        <w:rPr>
          <w:szCs w:val="24"/>
          <w:lang w:val="es-CO" w:eastAsia="es-CO"/>
        </w:rPr>
      </w:pPr>
      <w:r w:rsidRPr="00EF1D87">
        <w:rPr>
          <w:szCs w:val="24"/>
          <w:lang w:val="es-CO" w:eastAsia="es-CO"/>
        </w:rPr>
        <w:t>Analizados los alegatos presentados por escrito por las partes,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que se expresa más adelante.</w:t>
      </w:r>
    </w:p>
    <w:p w14:paraId="4B29E302" w14:textId="77777777" w:rsidR="00B27755" w:rsidRPr="00EF1D87" w:rsidRDefault="00B27755" w:rsidP="00EF1D87">
      <w:pPr>
        <w:spacing w:line="276" w:lineRule="auto"/>
        <w:rPr>
          <w:szCs w:val="24"/>
          <w:lang w:val="es-CO" w:eastAsia="es-CO"/>
        </w:rPr>
      </w:pPr>
    </w:p>
    <w:p w14:paraId="20F695ED" w14:textId="77777777" w:rsidR="00B27755" w:rsidRPr="00EF1D87" w:rsidRDefault="00B27755" w:rsidP="00EF1D87">
      <w:pPr>
        <w:widowControl w:val="0"/>
        <w:numPr>
          <w:ilvl w:val="0"/>
          <w:numId w:val="2"/>
        </w:numPr>
        <w:autoSpaceDE w:val="0"/>
        <w:autoSpaceDN w:val="0"/>
        <w:spacing w:line="276" w:lineRule="auto"/>
        <w:jc w:val="center"/>
        <w:rPr>
          <w:rFonts w:eastAsia="Times New Roman"/>
          <w:b/>
          <w:bCs/>
          <w:szCs w:val="24"/>
          <w:lang w:val="es-CO" w:eastAsia="es-CO"/>
        </w:rPr>
      </w:pPr>
      <w:r w:rsidRPr="00EF1D87">
        <w:rPr>
          <w:b/>
          <w:bCs/>
          <w:szCs w:val="24"/>
          <w:lang w:val="es" w:eastAsia="es-CO"/>
        </w:rPr>
        <w:lastRenderedPageBreak/>
        <w:t>Problemas jurídicos por resolver</w:t>
      </w:r>
    </w:p>
    <w:p w14:paraId="2EE2628A" w14:textId="77777777" w:rsidR="00B27755" w:rsidRPr="00EF1D87" w:rsidRDefault="00B27755" w:rsidP="00EF1D87">
      <w:pPr>
        <w:spacing w:line="276" w:lineRule="auto"/>
        <w:rPr>
          <w:szCs w:val="24"/>
          <w:lang w:val="es-CO" w:eastAsia="es-CO"/>
        </w:rPr>
      </w:pPr>
      <w:r w:rsidRPr="00EF1D87">
        <w:rPr>
          <w:rFonts w:eastAsia="Times New Roman"/>
          <w:szCs w:val="24"/>
          <w:lang w:val="es-CO" w:eastAsia="es-CO"/>
        </w:rPr>
        <w:t xml:space="preserve"> </w:t>
      </w:r>
    </w:p>
    <w:p w14:paraId="3DEB1FE0" w14:textId="77777777" w:rsidR="00B27755" w:rsidRPr="00EF1D87" w:rsidRDefault="00B27755" w:rsidP="00EF1D87">
      <w:pPr>
        <w:spacing w:line="276" w:lineRule="auto"/>
        <w:ind w:firstLine="360"/>
        <w:rPr>
          <w:szCs w:val="24"/>
          <w:lang w:val="es-CO" w:eastAsia="es-CO"/>
        </w:rPr>
      </w:pPr>
      <w:r w:rsidRPr="00EF1D87">
        <w:rPr>
          <w:szCs w:val="24"/>
          <w:lang w:val="es-CO" w:eastAsia="es-CO"/>
        </w:rPr>
        <w:t xml:space="preserve">De acuerdo con los argumentos expuestos en la sentencia de primera instancia, los fundamentos de la apelación y los alegatos de conclusión, le corresponde a la Sala resolver los siguientes problemas jurídicos: </w:t>
      </w:r>
    </w:p>
    <w:p w14:paraId="0032A2C1" w14:textId="77777777" w:rsidR="00B27755" w:rsidRPr="00EF1D87" w:rsidRDefault="00B27755" w:rsidP="00EF1D87">
      <w:pPr>
        <w:spacing w:line="276" w:lineRule="auto"/>
        <w:jc w:val="center"/>
        <w:rPr>
          <w:szCs w:val="24"/>
          <w:lang w:val="es-CO" w:eastAsia="es-CO"/>
        </w:rPr>
      </w:pPr>
      <w:r w:rsidRPr="00EF1D87">
        <w:rPr>
          <w:b/>
          <w:bCs/>
          <w:szCs w:val="24"/>
          <w:lang w:val="es-CO" w:eastAsia="es-CO"/>
        </w:rPr>
        <w:t xml:space="preserve"> </w:t>
      </w:r>
    </w:p>
    <w:p w14:paraId="319A7971" w14:textId="77777777" w:rsidR="00B27755" w:rsidRPr="00EF1D87" w:rsidRDefault="00B27755" w:rsidP="00EF1D87">
      <w:pPr>
        <w:widowControl w:val="0"/>
        <w:numPr>
          <w:ilvl w:val="0"/>
          <w:numId w:val="3"/>
        </w:numPr>
        <w:autoSpaceDE w:val="0"/>
        <w:autoSpaceDN w:val="0"/>
        <w:spacing w:line="276" w:lineRule="auto"/>
        <w:rPr>
          <w:rFonts w:eastAsia="Times New Roman"/>
          <w:szCs w:val="24"/>
          <w:lang w:val="es-CO" w:eastAsia="es-CO"/>
        </w:rPr>
      </w:pPr>
      <w:r w:rsidRPr="00EF1D87">
        <w:rPr>
          <w:szCs w:val="24"/>
          <w:lang w:val="es" w:eastAsia="es-CO"/>
        </w:rPr>
        <w:t>Establecer si para el momento en que la parte actora efectuó el traslado del régimen de prima media al régimen de ahorro individual, existía normatividad vigente que obligaba a la entidad administradora de pensiones a brindarle al potencial afiliado información suficiente sobre las consecuencias del cambio de régimen.</w:t>
      </w:r>
    </w:p>
    <w:p w14:paraId="0E31A7CA" w14:textId="77777777" w:rsidR="00B27755" w:rsidRPr="00EF1D87" w:rsidRDefault="00B27755" w:rsidP="00EF1D87">
      <w:pPr>
        <w:spacing w:line="276" w:lineRule="auto"/>
        <w:ind w:firstLine="707"/>
        <w:rPr>
          <w:szCs w:val="24"/>
          <w:lang w:val="es-CO" w:eastAsia="es-CO"/>
        </w:rPr>
      </w:pPr>
      <w:r w:rsidRPr="00EF1D87">
        <w:rPr>
          <w:szCs w:val="24"/>
          <w:lang w:val="es" w:eastAsia="es-CO"/>
        </w:rPr>
        <w:t xml:space="preserve"> </w:t>
      </w:r>
    </w:p>
    <w:p w14:paraId="21FEBA0A" w14:textId="77777777" w:rsidR="00B27755" w:rsidRPr="00EF1D87" w:rsidRDefault="00B27755" w:rsidP="00EF1D87">
      <w:pPr>
        <w:widowControl w:val="0"/>
        <w:numPr>
          <w:ilvl w:val="0"/>
          <w:numId w:val="3"/>
        </w:numPr>
        <w:autoSpaceDE w:val="0"/>
        <w:autoSpaceDN w:val="0"/>
        <w:spacing w:line="276" w:lineRule="auto"/>
        <w:rPr>
          <w:rFonts w:eastAsia="Times New Roman"/>
          <w:szCs w:val="24"/>
          <w:lang w:val="es-CO" w:eastAsia="es-CO"/>
        </w:rPr>
      </w:pPr>
      <w:r w:rsidRPr="00EF1D87">
        <w:rPr>
          <w:szCs w:val="24"/>
          <w:lang w:val="es" w:eastAsia="es-CO"/>
        </w:rPr>
        <w:t xml:space="preserve">Definir si para dar por cumplido el deber de información de las AFP es suficiente el diligenciamiento del formulario de afiliación. </w:t>
      </w:r>
    </w:p>
    <w:p w14:paraId="4433DA50" w14:textId="77777777" w:rsidR="00B27755" w:rsidRPr="00EF1D87" w:rsidRDefault="00B27755" w:rsidP="00EF1D87">
      <w:pPr>
        <w:spacing w:line="276" w:lineRule="auto"/>
        <w:ind w:firstLine="707"/>
        <w:rPr>
          <w:szCs w:val="24"/>
          <w:lang w:val="es-CO" w:eastAsia="es-CO"/>
        </w:rPr>
      </w:pPr>
      <w:r w:rsidRPr="00EF1D87">
        <w:rPr>
          <w:szCs w:val="24"/>
          <w:lang w:val="es" w:eastAsia="es-CO"/>
        </w:rPr>
        <w:t xml:space="preserve"> </w:t>
      </w:r>
    </w:p>
    <w:p w14:paraId="144B103F" w14:textId="77777777" w:rsidR="00B27755" w:rsidRPr="00EF1D87" w:rsidRDefault="00B27755" w:rsidP="00EF1D87">
      <w:pPr>
        <w:widowControl w:val="0"/>
        <w:numPr>
          <w:ilvl w:val="0"/>
          <w:numId w:val="3"/>
        </w:numPr>
        <w:autoSpaceDE w:val="0"/>
        <w:autoSpaceDN w:val="0"/>
        <w:spacing w:line="276" w:lineRule="auto"/>
        <w:rPr>
          <w:rFonts w:eastAsia="Times New Roman"/>
          <w:szCs w:val="24"/>
          <w:lang w:val="es-CO" w:eastAsia="es-CO"/>
        </w:rPr>
      </w:pPr>
      <w:r w:rsidRPr="00EF1D87">
        <w:rPr>
          <w:szCs w:val="24"/>
          <w:lang w:val="es" w:eastAsia="es-CO"/>
        </w:rPr>
        <w:t xml:space="preserve"> Determinar la carga probatoria que les corresponde a cada una de las partes cuando está en discusión la eficacia del traslado entre regímenes pensionales.</w:t>
      </w:r>
    </w:p>
    <w:p w14:paraId="1EBB0AEB" w14:textId="77777777" w:rsidR="00B27755" w:rsidRPr="00EF1D87" w:rsidRDefault="00B27755" w:rsidP="00EF1D87">
      <w:pPr>
        <w:spacing w:line="276" w:lineRule="auto"/>
        <w:ind w:firstLine="707"/>
        <w:rPr>
          <w:szCs w:val="24"/>
          <w:lang w:val="es-CO" w:eastAsia="es-CO"/>
        </w:rPr>
      </w:pPr>
      <w:r w:rsidRPr="00EF1D87">
        <w:rPr>
          <w:szCs w:val="24"/>
          <w:lang w:val="es" w:eastAsia="es-CO"/>
        </w:rPr>
        <w:t xml:space="preserve"> </w:t>
      </w:r>
    </w:p>
    <w:p w14:paraId="089E9E89" w14:textId="77777777" w:rsidR="00B27755" w:rsidRPr="00EF1D87" w:rsidRDefault="00B27755" w:rsidP="00EF1D87">
      <w:pPr>
        <w:widowControl w:val="0"/>
        <w:numPr>
          <w:ilvl w:val="0"/>
          <w:numId w:val="3"/>
        </w:numPr>
        <w:autoSpaceDE w:val="0"/>
        <w:autoSpaceDN w:val="0"/>
        <w:spacing w:line="276" w:lineRule="auto"/>
        <w:rPr>
          <w:rFonts w:eastAsia="Times New Roman"/>
          <w:szCs w:val="24"/>
          <w:lang w:val="es-CO" w:eastAsia="es-CO"/>
        </w:rPr>
      </w:pPr>
      <w:r w:rsidRPr="00EF1D87">
        <w:rPr>
          <w:szCs w:val="24"/>
          <w:lang w:val="es" w:eastAsia="es-CO"/>
        </w:rPr>
        <w:t xml:space="preserve">Analizar si quedó probado en el proceso que la parte demandante recibió de parte de la AFP demandada, la asesoría e información suficiente y necesaria para hacer el cambio de régimen. </w:t>
      </w:r>
    </w:p>
    <w:p w14:paraId="2C8473B1" w14:textId="77777777" w:rsidR="00B27755" w:rsidRPr="00EF1D87" w:rsidRDefault="00B27755" w:rsidP="00EF1D87">
      <w:pPr>
        <w:spacing w:line="276" w:lineRule="auto"/>
        <w:ind w:firstLine="707"/>
        <w:rPr>
          <w:szCs w:val="24"/>
          <w:lang w:val="es-CO" w:eastAsia="es-CO"/>
        </w:rPr>
      </w:pPr>
    </w:p>
    <w:p w14:paraId="705725F0" w14:textId="77777777" w:rsidR="00B27755" w:rsidRPr="00EF1D87" w:rsidRDefault="00B27755" w:rsidP="00EF1D87">
      <w:pPr>
        <w:widowControl w:val="0"/>
        <w:numPr>
          <w:ilvl w:val="0"/>
          <w:numId w:val="3"/>
        </w:numPr>
        <w:autoSpaceDE w:val="0"/>
        <w:autoSpaceDN w:val="0"/>
        <w:spacing w:line="276" w:lineRule="auto"/>
        <w:rPr>
          <w:rFonts w:eastAsia="Times New Roman"/>
          <w:szCs w:val="24"/>
          <w:lang w:val="es-CO" w:eastAsia="es-CO"/>
        </w:rPr>
      </w:pPr>
      <w:r w:rsidRPr="00EF1D87">
        <w:rPr>
          <w:szCs w:val="24"/>
          <w:lang w:val="es" w:eastAsia="es-CO"/>
        </w:rPr>
        <w:t>Establecer si es dable ordenar a la AFP demandada la devolución, con cargo a sus propios recursos de los gastos de administración, comisiones</w:t>
      </w:r>
      <w:bookmarkStart w:id="5" w:name="_Hlk77058474"/>
      <w:r w:rsidRPr="00EF1D87">
        <w:rPr>
          <w:szCs w:val="24"/>
          <w:lang w:val="es" w:eastAsia="es-CO"/>
        </w:rPr>
        <w:t>, cuotas de garantía de pensión mínima y seguros previsionales a Colpensiones.</w:t>
      </w:r>
      <w:bookmarkEnd w:id="5"/>
    </w:p>
    <w:p w14:paraId="5C61DBCD" w14:textId="77777777" w:rsidR="00B27755" w:rsidRPr="00EF1D87" w:rsidRDefault="00B27755" w:rsidP="00EF1D87">
      <w:pPr>
        <w:spacing w:line="276" w:lineRule="auto"/>
        <w:ind w:left="720"/>
        <w:contextualSpacing/>
        <w:rPr>
          <w:szCs w:val="24"/>
          <w:lang w:val="es-CO" w:eastAsia="es-CO"/>
        </w:rPr>
      </w:pPr>
    </w:p>
    <w:p w14:paraId="313A1CF8" w14:textId="4676D8E8" w:rsidR="00B27755" w:rsidRPr="00EF1D87" w:rsidRDefault="00B27755" w:rsidP="00EF1D87">
      <w:pPr>
        <w:numPr>
          <w:ilvl w:val="0"/>
          <w:numId w:val="3"/>
        </w:numPr>
        <w:spacing w:line="276" w:lineRule="auto"/>
        <w:rPr>
          <w:szCs w:val="24"/>
          <w:lang w:val="es-CO" w:eastAsia="es-CO"/>
        </w:rPr>
      </w:pPr>
      <w:r w:rsidRPr="00EF1D87">
        <w:rPr>
          <w:szCs w:val="24"/>
          <w:lang w:eastAsia="es-CO"/>
        </w:rPr>
        <w:t>Concluir si la prohibición señalada en el literal e) del artículo 13 de la Ley 100 de 1993, modificado por el artículo 2º de la Ley 797 de 2003, es atendible en aquellos eventos donde se discute la ineficacia del traslado de régimen pensional.</w:t>
      </w:r>
    </w:p>
    <w:p w14:paraId="25DD03E0" w14:textId="77777777" w:rsidR="001A5939" w:rsidRPr="00EF1D87" w:rsidRDefault="001A5939" w:rsidP="00EF1D87">
      <w:pPr>
        <w:spacing w:line="276" w:lineRule="auto"/>
        <w:ind w:left="720"/>
        <w:contextualSpacing/>
        <w:rPr>
          <w:szCs w:val="24"/>
        </w:rPr>
      </w:pPr>
    </w:p>
    <w:p w14:paraId="2AEA70AF" w14:textId="77777777" w:rsidR="001A5939" w:rsidRPr="00EF1D87" w:rsidRDefault="001A5939" w:rsidP="00EF1D87">
      <w:pPr>
        <w:pStyle w:val="Prrafodelista"/>
        <w:widowControl w:val="0"/>
        <w:numPr>
          <w:ilvl w:val="0"/>
          <w:numId w:val="3"/>
        </w:numPr>
        <w:autoSpaceDE w:val="0"/>
        <w:autoSpaceDN w:val="0"/>
        <w:adjustRightInd w:val="0"/>
        <w:spacing w:line="276" w:lineRule="auto"/>
        <w:rPr>
          <w:rFonts w:eastAsiaTheme="minorHAnsi"/>
          <w:szCs w:val="24"/>
          <w:lang w:val="es"/>
        </w:rPr>
      </w:pPr>
      <w:r w:rsidRPr="00EF1D87">
        <w:rPr>
          <w:rFonts w:eastAsiaTheme="minorHAnsi"/>
          <w:szCs w:val="24"/>
          <w:lang w:val="es"/>
        </w:rPr>
        <w:t>Establecer si hay lugar a exonerar en costas a las AFP Porvenir S.A.</w:t>
      </w:r>
    </w:p>
    <w:p w14:paraId="1D76133D" w14:textId="77777777" w:rsidR="00B27755" w:rsidRPr="00EF1D87" w:rsidRDefault="00B27755" w:rsidP="00EF1D87">
      <w:pPr>
        <w:widowControl w:val="0"/>
        <w:autoSpaceDE w:val="0"/>
        <w:autoSpaceDN w:val="0"/>
        <w:adjustRightInd w:val="0"/>
        <w:spacing w:line="276" w:lineRule="auto"/>
        <w:ind w:firstLine="284"/>
        <w:rPr>
          <w:rFonts w:eastAsia="Calibri"/>
          <w:szCs w:val="24"/>
          <w:lang w:val="es-CO" w:eastAsia="es-CO"/>
        </w:rPr>
      </w:pPr>
    </w:p>
    <w:p w14:paraId="55CCC707" w14:textId="77777777" w:rsidR="00B27755" w:rsidRPr="00EF1D87" w:rsidRDefault="00B27755" w:rsidP="00EF1D87">
      <w:pPr>
        <w:widowControl w:val="0"/>
        <w:numPr>
          <w:ilvl w:val="0"/>
          <w:numId w:val="4"/>
        </w:numPr>
        <w:autoSpaceDE w:val="0"/>
        <w:autoSpaceDN w:val="0"/>
        <w:adjustRightInd w:val="0"/>
        <w:spacing w:line="276" w:lineRule="auto"/>
        <w:jc w:val="center"/>
        <w:rPr>
          <w:rFonts w:eastAsia="Calibri"/>
          <w:b/>
          <w:bCs/>
          <w:szCs w:val="24"/>
          <w:lang w:val="es-CO" w:eastAsia="es-CO"/>
        </w:rPr>
      </w:pPr>
      <w:r w:rsidRPr="00EF1D87">
        <w:rPr>
          <w:rFonts w:eastAsia="Calibri"/>
          <w:b/>
          <w:bCs/>
          <w:szCs w:val="24"/>
          <w:lang w:val="es-CO" w:eastAsia="es-CO"/>
        </w:rPr>
        <w:t>Consideraciones</w:t>
      </w:r>
    </w:p>
    <w:p w14:paraId="4DA9666B" w14:textId="77777777" w:rsidR="00D53FCA" w:rsidRPr="00901F60" w:rsidRDefault="00D53FCA" w:rsidP="00D53FCA">
      <w:pPr>
        <w:spacing w:line="276" w:lineRule="auto"/>
        <w:ind w:firstLine="708"/>
        <w:rPr>
          <w:b/>
          <w:szCs w:val="24"/>
          <w:lang w:val="es-CO"/>
        </w:rPr>
      </w:pPr>
    </w:p>
    <w:p w14:paraId="76CAFA5F" w14:textId="77777777" w:rsidR="00D53FCA" w:rsidRPr="00A01E40" w:rsidRDefault="00D53FCA" w:rsidP="00D53FCA">
      <w:pPr>
        <w:widowControl w:val="0"/>
        <w:numPr>
          <w:ilvl w:val="1"/>
          <w:numId w:val="4"/>
        </w:numPr>
        <w:autoSpaceDE w:val="0"/>
        <w:autoSpaceDN w:val="0"/>
        <w:adjustRightInd w:val="0"/>
        <w:spacing w:line="276" w:lineRule="auto"/>
        <w:rPr>
          <w:rFonts w:eastAsia="Calibri"/>
          <w:b/>
          <w:szCs w:val="24"/>
          <w:lang w:val="es-CO"/>
        </w:rPr>
      </w:pPr>
      <w:r w:rsidRPr="00A01E40">
        <w:rPr>
          <w:rFonts w:eastAsia="Calibri"/>
          <w:b/>
          <w:szCs w:val="24"/>
          <w:lang w:val="es-CO"/>
        </w:rPr>
        <w:t xml:space="preserve">Precedente vertical: la tesis de la Corte Suprema de Justicia respecto al tema de la ineficacia del traslado constituye doctrina probable </w:t>
      </w:r>
    </w:p>
    <w:p w14:paraId="63F4171B" w14:textId="77777777" w:rsidR="00D53FCA" w:rsidRPr="00A01E40" w:rsidRDefault="00D53FCA" w:rsidP="00D53FCA">
      <w:pPr>
        <w:widowControl w:val="0"/>
        <w:autoSpaceDE w:val="0"/>
        <w:autoSpaceDN w:val="0"/>
        <w:adjustRightInd w:val="0"/>
        <w:spacing w:line="276" w:lineRule="auto"/>
        <w:ind w:firstLine="284"/>
        <w:rPr>
          <w:rFonts w:eastAsia="Calibri"/>
          <w:szCs w:val="24"/>
          <w:lang w:val="es-CO"/>
        </w:rPr>
      </w:pPr>
    </w:p>
    <w:p w14:paraId="262745BF" w14:textId="77777777" w:rsidR="00D53FCA" w:rsidRPr="00A01E40" w:rsidRDefault="00D53FCA" w:rsidP="00D53FCA">
      <w:pPr>
        <w:widowControl w:val="0"/>
        <w:autoSpaceDE w:val="0"/>
        <w:autoSpaceDN w:val="0"/>
        <w:adjustRightInd w:val="0"/>
        <w:spacing w:line="276" w:lineRule="auto"/>
        <w:ind w:firstLine="708"/>
        <w:rPr>
          <w:rFonts w:eastAsia="Calibri"/>
          <w:szCs w:val="24"/>
          <w:lang w:val="es-CO"/>
        </w:rPr>
      </w:pPr>
      <w:r w:rsidRPr="00A01E40">
        <w:rPr>
          <w:rFonts w:eastAsia="Calibri"/>
          <w:szCs w:val="24"/>
          <w:lang w:val="es-CO"/>
        </w:rPr>
        <w:t xml:space="preserve">En la actualidad existe </w:t>
      </w:r>
      <w:r w:rsidRPr="00A01E40">
        <w:rPr>
          <w:rFonts w:eastAsia="Calibri"/>
          <w:b/>
          <w:szCs w:val="24"/>
          <w:lang w:val="es-CO"/>
        </w:rPr>
        <w:t>doctrina probable</w:t>
      </w:r>
      <w:r w:rsidRPr="00A01E40">
        <w:rPr>
          <w:rFonts w:eastAsia="Calibri"/>
          <w:szCs w:val="24"/>
          <w:lang w:val="es-CO"/>
        </w:rPr>
        <w:t xml:space="preserve"> respecto a la ineficacia de los traslados de regímenes, por cuanto la Sala de Casación Laboral ha proferido sobre el tema un número considerable de sentencias (más de 40), entre otras, las siguientes: </w:t>
      </w:r>
    </w:p>
    <w:p w14:paraId="4BAB692F" w14:textId="77777777" w:rsidR="00D53FCA" w:rsidRPr="00A01E40" w:rsidRDefault="00D53FCA" w:rsidP="00D53FCA">
      <w:pPr>
        <w:widowControl w:val="0"/>
        <w:autoSpaceDE w:val="0"/>
        <w:autoSpaceDN w:val="0"/>
        <w:adjustRightInd w:val="0"/>
        <w:spacing w:line="276" w:lineRule="auto"/>
        <w:ind w:firstLine="284"/>
        <w:rPr>
          <w:rFonts w:eastAsia="Calibri"/>
          <w:szCs w:val="24"/>
          <w:lang w:val="es-CO"/>
        </w:rPr>
      </w:pPr>
    </w:p>
    <w:p w14:paraId="09EEFDC7" w14:textId="77777777" w:rsidR="00D53FCA" w:rsidRPr="00A01E40" w:rsidRDefault="00D53FCA" w:rsidP="00D53FCA">
      <w:pPr>
        <w:widowControl w:val="0"/>
        <w:autoSpaceDE w:val="0"/>
        <w:autoSpaceDN w:val="0"/>
        <w:adjustRightInd w:val="0"/>
        <w:spacing w:line="276" w:lineRule="auto"/>
        <w:ind w:firstLine="708"/>
        <w:rPr>
          <w:rFonts w:eastAsia="Calibri"/>
          <w:szCs w:val="24"/>
          <w:lang w:val="es-CO"/>
        </w:rPr>
      </w:pPr>
      <w:r w:rsidRPr="00A01E40">
        <w:rPr>
          <w:rFonts w:eastAsia="Calibri"/>
          <w:bCs/>
          <w:szCs w:val="24"/>
          <w:lang w:val="es-CO"/>
        </w:rPr>
        <w:t xml:space="preserve">SL 31989 del 9 sep. 2008, </w:t>
      </w:r>
      <w:r w:rsidRPr="00A01E40">
        <w:rPr>
          <w:rFonts w:eastAsia="Calibri"/>
          <w:szCs w:val="24"/>
          <w:lang w:val="es-CO"/>
        </w:rPr>
        <w:t xml:space="preserve">SL 31314 9 sep. 2008, SL 33083 22 nov. 2011, SL12136-2014, SL19447-2017, SL4964-2018, CSJ SL4989-2018, SL1421-2019, SL1452-2019, SL1688-2019, SL1689-2019, Sentencia SL 373 -2020, Sentencia SL 5462-2019, Sentencia SL149-2020, Sentencia SL5533-2019, Sentencia SL5144-2019, </w:t>
      </w:r>
      <w:r w:rsidRPr="00A01E40">
        <w:rPr>
          <w:rFonts w:eastAsia="Calibri"/>
          <w:szCs w:val="24"/>
          <w:lang w:val="es-CO"/>
        </w:rPr>
        <w:lastRenderedPageBreak/>
        <w:t>Sentencia SL4937-2019, Sentencia SL4426-2019, Sentencia SL4343-2019, Sentencia SL4856-2019, Sentencia STP 2082-2019, Sentencia SL4360-2019, Sentencia SL3852-2019, Sentencia SL3749-2019, Sentencia SL3179-2019,  Sentencia SL1838-2019, Sentencia SL2817-2019, Sentencia SL771-2019, Sentencia SL4296-2018, Sentencia SL2865-2019, Sentencia  SL2955-2019, Sentencia  SL2324-2019.</w:t>
      </w:r>
    </w:p>
    <w:p w14:paraId="308A7CA2" w14:textId="77777777" w:rsidR="00D53FCA" w:rsidRPr="00A01E40" w:rsidRDefault="00D53FCA" w:rsidP="00D53FCA">
      <w:pPr>
        <w:widowControl w:val="0"/>
        <w:autoSpaceDE w:val="0"/>
        <w:autoSpaceDN w:val="0"/>
        <w:adjustRightInd w:val="0"/>
        <w:spacing w:line="276" w:lineRule="auto"/>
        <w:ind w:firstLine="284"/>
        <w:rPr>
          <w:rFonts w:eastAsia="Calibri"/>
          <w:szCs w:val="24"/>
          <w:lang w:val="es-CO"/>
        </w:rPr>
      </w:pPr>
    </w:p>
    <w:p w14:paraId="4BDC1550" w14:textId="77777777" w:rsidR="00D53FCA" w:rsidRPr="00A01E40" w:rsidRDefault="00D53FCA" w:rsidP="00D53FCA">
      <w:pPr>
        <w:widowControl w:val="0"/>
        <w:autoSpaceDE w:val="0"/>
        <w:autoSpaceDN w:val="0"/>
        <w:adjustRightInd w:val="0"/>
        <w:spacing w:line="276" w:lineRule="auto"/>
        <w:ind w:firstLine="708"/>
        <w:rPr>
          <w:rFonts w:eastAsia="Calibri"/>
          <w:szCs w:val="24"/>
          <w:lang w:val="es-CO"/>
        </w:rPr>
      </w:pPr>
      <w:r w:rsidRPr="00A01E40">
        <w:rPr>
          <w:rFonts w:eastAsia="Calibri"/>
          <w:szCs w:val="24"/>
          <w:lang w:val="es-CO"/>
        </w:rPr>
        <w:t xml:space="preserve">En términos generales, en todas estas sentencias se determinó </w:t>
      </w:r>
      <w:r w:rsidRPr="00A01E40">
        <w:rPr>
          <w:rFonts w:eastAsia="Calibri"/>
          <w:i/>
          <w:szCs w:val="24"/>
          <w:lang w:val="es-CO"/>
        </w:rPr>
        <w:t xml:space="preserve">i) </w:t>
      </w:r>
      <w:r w:rsidRPr="00A01E40">
        <w:rPr>
          <w:rFonts w:eastAsia="Calibri"/>
          <w:szCs w:val="24"/>
          <w:lang w:val="es-CO"/>
        </w:rPr>
        <w:t xml:space="preserve">el alcance del deber de información a cargo de las Administradoras de Fondos de Pensiones, </w:t>
      </w:r>
      <w:r w:rsidRPr="00A01E40">
        <w:rPr>
          <w:rFonts w:eastAsia="Calibri"/>
          <w:i/>
          <w:szCs w:val="24"/>
          <w:lang w:val="es-CO"/>
        </w:rPr>
        <w:t xml:space="preserve">ii) </w:t>
      </w:r>
      <w:r w:rsidRPr="00A01E40">
        <w:rPr>
          <w:rFonts w:eastAsia="Calibri"/>
          <w:szCs w:val="24"/>
          <w:lang w:val="es-CO"/>
        </w:rPr>
        <w:t xml:space="preserve">la procedencia de la ineficacia del traslado, </w:t>
      </w:r>
      <w:r w:rsidRPr="00A01E40">
        <w:rPr>
          <w:rFonts w:eastAsia="Calibri"/>
          <w:i/>
          <w:szCs w:val="24"/>
          <w:lang w:val="es-CO"/>
        </w:rPr>
        <w:t xml:space="preserve">iii) </w:t>
      </w:r>
      <w:r w:rsidRPr="00A01E40">
        <w:rPr>
          <w:rFonts w:eastAsia="Calibri"/>
          <w:szCs w:val="24"/>
          <w:lang w:val="es-CO"/>
        </w:rPr>
        <w:t>la inversión de la carga de la prueba en favor del afiliado. Todos los problemas jurídicos planteados en este asunto, fueron objeto de estudio por parte de la Sala de Casación Laboral, de modo que basta referirnos a su precedente para dar respuesta a los mismos, como veremos a continuación.</w:t>
      </w:r>
    </w:p>
    <w:p w14:paraId="552A7C52" w14:textId="77777777" w:rsidR="00D53FCA" w:rsidRPr="005225D2" w:rsidRDefault="00D53FCA" w:rsidP="00D53FCA">
      <w:pPr>
        <w:widowControl w:val="0"/>
        <w:autoSpaceDE w:val="0"/>
        <w:autoSpaceDN w:val="0"/>
        <w:adjustRightInd w:val="0"/>
        <w:spacing w:line="276" w:lineRule="auto"/>
        <w:ind w:left="1429"/>
        <w:rPr>
          <w:rFonts w:eastAsia="Calibri"/>
          <w:b/>
          <w:szCs w:val="24"/>
          <w:lang w:val="es-CO"/>
        </w:rPr>
      </w:pPr>
    </w:p>
    <w:p w14:paraId="59F042F5" w14:textId="77777777" w:rsidR="00D53FCA" w:rsidRPr="005225D2" w:rsidRDefault="00D53FCA" w:rsidP="00D53FCA">
      <w:pPr>
        <w:widowControl w:val="0"/>
        <w:numPr>
          <w:ilvl w:val="1"/>
          <w:numId w:val="4"/>
        </w:numPr>
        <w:autoSpaceDE w:val="0"/>
        <w:autoSpaceDN w:val="0"/>
        <w:adjustRightInd w:val="0"/>
        <w:spacing w:line="276" w:lineRule="auto"/>
        <w:rPr>
          <w:rFonts w:eastAsia="Calibri"/>
          <w:b/>
          <w:szCs w:val="24"/>
          <w:lang w:val="es-CO"/>
        </w:rPr>
      </w:pPr>
      <w:r w:rsidRPr="005225D2">
        <w:rPr>
          <w:rFonts w:eastAsia="Calibri"/>
          <w:b/>
          <w:szCs w:val="24"/>
          <w:lang w:val="es-CO"/>
        </w:rPr>
        <w:t>“El deber de información a cargo de las administradoras de fondos de pensiones: Un deber exigible desde su creación</w:t>
      </w:r>
      <w:r w:rsidRPr="00864141">
        <w:rPr>
          <w:rFonts w:eastAsia="Calibri"/>
          <w:szCs w:val="24"/>
          <w:vertAlign w:val="superscript"/>
          <w:lang w:val="es-CO"/>
        </w:rPr>
        <w:footnoteReference w:id="1"/>
      </w:r>
      <w:r w:rsidRPr="005225D2">
        <w:rPr>
          <w:rFonts w:eastAsia="Calibri"/>
          <w:b/>
          <w:szCs w:val="24"/>
          <w:lang w:val="es-CO"/>
        </w:rPr>
        <w:t>”</w:t>
      </w:r>
    </w:p>
    <w:p w14:paraId="7145A3CB" w14:textId="77777777" w:rsidR="00D53FCA" w:rsidRPr="00A01E40" w:rsidRDefault="00D53FCA" w:rsidP="00D53FCA">
      <w:pPr>
        <w:widowControl w:val="0"/>
        <w:autoSpaceDE w:val="0"/>
        <w:autoSpaceDN w:val="0"/>
        <w:adjustRightInd w:val="0"/>
        <w:spacing w:line="276" w:lineRule="auto"/>
        <w:ind w:firstLine="284"/>
        <w:rPr>
          <w:rFonts w:eastAsia="Calibri"/>
          <w:i/>
          <w:szCs w:val="24"/>
          <w:lang w:val="es-CO"/>
        </w:rPr>
      </w:pPr>
    </w:p>
    <w:p w14:paraId="17A98714" w14:textId="77777777" w:rsidR="00D53FCA" w:rsidRPr="00A01E40" w:rsidRDefault="00D53FCA" w:rsidP="00D53FCA">
      <w:pPr>
        <w:widowControl w:val="0"/>
        <w:autoSpaceDE w:val="0"/>
        <w:autoSpaceDN w:val="0"/>
        <w:adjustRightInd w:val="0"/>
        <w:spacing w:line="276" w:lineRule="auto"/>
        <w:ind w:firstLine="708"/>
        <w:rPr>
          <w:rFonts w:eastAsia="Calibri"/>
          <w:szCs w:val="24"/>
          <w:lang w:val="es-CO"/>
        </w:rPr>
      </w:pPr>
      <w:r w:rsidRPr="00A01E40">
        <w:rPr>
          <w:rFonts w:eastAsia="Calibri"/>
          <w:szCs w:val="24"/>
          <w:lang w:val="es-CO"/>
        </w:rPr>
        <w:t xml:space="preserve">Dado que las Administradoras de Fondos de Pensiones son organismos profesionales, resulta aplicable el artículo 1604 del Código Civil, según el cual la prueba de la </w:t>
      </w:r>
      <w:r w:rsidRPr="00A01E40">
        <w:rPr>
          <w:rFonts w:eastAsia="Calibri"/>
          <w:szCs w:val="24"/>
          <w:u w:val="single"/>
          <w:lang w:val="es-CO"/>
        </w:rPr>
        <w:t>debida diligencia y cuidado</w:t>
      </w:r>
      <w:r w:rsidRPr="00A01E40">
        <w:rPr>
          <w:rFonts w:eastAsia="Calibri"/>
          <w:szCs w:val="24"/>
          <w:lang w:val="es-CO"/>
        </w:rPr>
        <w:t xml:space="preserve"> incumbe a quien ha debido emplearla, atendiendo a las siguientes razones:</w:t>
      </w:r>
    </w:p>
    <w:p w14:paraId="5DAFC622" w14:textId="77777777" w:rsidR="00D53FCA" w:rsidRPr="00A01E40" w:rsidRDefault="00D53FCA" w:rsidP="00D53FCA">
      <w:pPr>
        <w:widowControl w:val="0"/>
        <w:autoSpaceDE w:val="0"/>
        <w:autoSpaceDN w:val="0"/>
        <w:adjustRightInd w:val="0"/>
        <w:spacing w:line="276" w:lineRule="auto"/>
        <w:ind w:firstLine="284"/>
        <w:rPr>
          <w:rFonts w:eastAsia="Calibri"/>
          <w:b/>
          <w:szCs w:val="24"/>
          <w:lang w:val="es-CO"/>
        </w:rPr>
      </w:pPr>
    </w:p>
    <w:p w14:paraId="3B50E536" w14:textId="77777777" w:rsidR="00D53FCA" w:rsidRPr="00A01E40" w:rsidRDefault="00D53FCA" w:rsidP="00D53FCA">
      <w:pPr>
        <w:widowControl w:val="0"/>
        <w:autoSpaceDE w:val="0"/>
        <w:autoSpaceDN w:val="0"/>
        <w:adjustRightInd w:val="0"/>
        <w:spacing w:line="276" w:lineRule="auto"/>
        <w:ind w:firstLine="708"/>
        <w:rPr>
          <w:rFonts w:eastAsia="Calibri"/>
          <w:szCs w:val="24"/>
          <w:lang w:val="es-CO"/>
        </w:rPr>
      </w:pPr>
      <w:r w:rsidRPr="00A01E40">
        <w:rPr>
          <w:rFonts w:eastAsia="Calibri"/>
          <w:b/>
          <w:szCs w:val="24"/>
          <w:lang w:val="es-CO"/>
        </w:rPr>
        <w:t>1)</w:t>
      </w:r>
      <w:r w:rsidRPr="00A01E40">
        <w:rPr>
          <w:rFonts w:eastAsia="Calibri"/>
          <w:szCs w:val="24"/>
          <w:lang w:val="es-CO"/>
        </w:rPr>
        <w:t xml:space="preserve"> Las Administradoras de Fondos de Pensiones tienen deberes de carácter profesional con sus afiliados y con los consumidores del mercado potencial en general. Además, sus actividades se encuentran reguladas por el </w:t>
      </w:r>
      <w:r w:rsidRPr="00A01E40">
        <w:rPr>
          <w:rFonts w:eastAsia="Calibri"/>
          <w:szCs w:val="24"/>
          <w:u w:val="single"/>
          <w:lang w:val="es-CO"/>
        </w:rPr>
        <w:t>Decreto 663 de 1993</w:t>
      </w:r>
      <w:r w:rsidRPr="00A01E40">
        <w:rPr>
          <w:rFonts w:eastAsia="Calibri"/>
          <w:szCs w:val="24"/>
          <w:u w:val="single"/>
          <w:vertAlign w:val="superscript"/>
          <w:lang w:val="es-CO"/>
        </w:rPr>
        <w:footnoteReference w:id="2"/>
      </w:r>
      <w:r w:rsidRPr="00A01E40">
        <w:rPr>
          <w:rFonts w:eastAsia="Calibri"/>
          <w:szCs w:val="24"/>
          <w:lang w:val="es-CO"/>
        </w:rPr>
        <w:t>, norma en la que se destaca la importancia de los principios de debida diligencia, transparencia e información cierta, suficiente y oportuna.</w:t>
      </w:r>
    </w:p>
    <w:p w14:paraId="297620CF" w14:textId="77777777" w:rsidR="00D53FCA" w:rsidRPr="00A01E40" w:rsidRDefault="00D53FCA" w:rsidP="00D53FCA">
      <w:pPr>
        <w:widowControl w:val="0"/>
        <w:autoSpaceDE w:val="0"/>
        <w:autoSpaceDN w:val="0"/>
        <w:adjustRightInd w:val="0"/>
        <w:spacing w:line="276" w:lineRule="auto"/>
        <w:ind w:firstLine="284"/>
        <w:rPr>
          <w:rFonts w:eastAsia="Calibri"/>
          <w:szCs w:val="24"/>
          <w:lang w:val="es-CO"/>
        </w:rPr>
      </w:pPr>
    </w:p>
    <w:p w14:paraId="33D57706" w14:textId="77777777" w:rsidR="00D53FCA" w:rsidRPr="00A01E40" w:rsidRDefault="00D53FCA" w:rsidP="00D53FCA">
      <w:pPr>
        <w:widowControl w:val="0"/>
        <w:autoSpaceDE w:val="0"/>
        <w:autoSpaceDN w:val="0"/>
        <w:adjustRightInd w:val="0"/>
        <w:spacing w:line="276" w:lineRule="auto"/>
        <w:ind w:firstLine="708"/>
        <w:rPr>
          <w:rFonts w:eastAsia="Calibri"/>
          <w:szCs w:val="24"/>
          <w:lang w:val="es-CO"/>
        </w:rPr>
      </w:pPr>
      <w:r w:rsidRPr="00A01E40">
        <w:rPr>
          <w:rFonts w:eastAsia="Calibri"/>
          <w:b/>
          <w:szCs w:val="24"/>
          <w:lang w:val="es-CO"/>
        </w:rPr>
        <w:t>2)</w:t>
      </w:r>
      <w:r w:rsidRPr="00A01E40">
        <w:rPr>
          <w:rFonts w:eastAsia="Calibri"/>
          <w:szCs w:val="24"/>
          <w:lang w:val="es-CO"/>
        </w:rPr>
        <w:t xml:space="preserve"> Adicionalmente, se tiene previsto en el artículo 12 del Decreto 720 de 1994, que los promotores que empleen las sociedades administradoras del sistema general de pensiones deberán suministrar </w:t>
      </w:r>
      <w:r w:rsidRPr="00A01E40">
        <w:rPr>
          <w:rFonts w:eastAsia="Calibri"/>
          <w:szCs w:val="24"/>
          <w:u w:val="single"/>
          <w:lang w:val="es-CO"/>
        </w:rPr>
        <w:t>suficiente, amplia y oportuna</w:t>
      </w:r>
      <w:r w:rsidRPr="00A01E40">
        <w:rPr>
          <w:rFonts w:eastAsia="Calibri"/>
          <w:szCs w:val="24"/>
          <w:lang w:val="es-CO"/>
        </w:rPr>
        <w:t xml:space="preserve"> información a los posibles afiliados al momento de la promoción de la afiliación y durante toda la vinculación con ocasión de las prestaciones a las cuales tenga derecho el afiliado. </w:t>
      </w:r>
    </w:p>
    <w:p w14:paraId="1F43E225" w14:textId="77777777" w:rsidR="00D53FCA" w:rsidRPr="00A01E40" w:rsidRDefault="00D53FCA" w:rsidP="00D53FCA">
      <w:pPr>
        <w:widowControl w:val="0"/>
        <w:autoSpaceDE w:val="0"/>
        <w:autoSpaceDN w:val="0"/>
        <w:adjustRightInd w:val="0"/>
        <w:spacing w:line="276" w:lineRule="auto"/>
        <w:ind w:firstLine="284"/>
        <w:rPr>
          <w:rFonts w:eastAsia="Calibri"/>
          <w:szCs w:val="24"/>
          <w:lang w:val="es-CO"/>
        </w:rPr>
      </w:pPr>
    </w:p>
    <w:p w14:paraId="0A476B6E" w14:textId="77777777" w:rsidR="00D53FCA" w:rsidRPr="00A01E40" w:rsidRDefault="00D53FCA" w:rsidP="00D53FCA">
      <w:pPr>
        <w:widowControl w:val="0"/>
        <w:autoSpaceDE w:val="0"/>
        <w:autoSpaceDN w:val="0"/>
        <w:adjustRightInd w:val="0"/>
        <w:spacing w:line="276" w:lineRule="auto"/>
        <w:rPr>
          <w:rFonts w:eastAsia="Calibri"/>
          <w:szCs w:val="24"/>
          <w:lang w:val="es-CO"/>
        </w:rPr>
      </w:pPr>
      <w:r w:rsidRPr="00A01E40">
        <w:rPr>
          <w:rFonts w:eastAsia="Calibri"/>
          <w:b/>
          <w:szCs w:val="24"/>
          <w:lang w:val="es-CO"/>
        </w:rPr>
        <w:t>3)</w:t>
      </w:r>
      <w:r w:rsidRPr="00A01E40">
        <w:rPr>
          <w:rFonts w:eastAsia="Calibri"/>
          <w:szCs w:val="24"/>
          <w:lang w:val="es-CO"/>
        </w:rPr>
        <w:t xml:space="preserve"> Dispone el artículo 114 de la Ley 100 de 1993, que los trabajadores y servidores públicos que se trasladen por primera vez del RPM al RAIS, deberán presentar a la respectiva entidad administradora comunicación escrita en la que conste que la selección de dicho régimen se ha tomado de manera libre, espontánea y sin presiones.</w:t>
      </w:r>
    </w:p>
    <w:p w14:paraId="70F10119" w14:textId="77777777" w:rsidR="00D53FCA" w:rsidRPr="00A01E40" w:rsidRDefault="00D53FCA" w:rsidP="00D53FCA">
      <w:pPr>
        <w:widowControl w:val="0"/>
        <w:autoSpaceDE w:val="0"/>
        <w:autoSpaceDN w:val="0"/>
        <w:adjustRightInd w:val="0"/>
        <w:spacing w:line="276" w:lineRule="auto"/>
        <w:ind w:firstLine="284"/>
        <w:rPr>
          <w:rFonts w:eastAsia="Calibri"/>
          <w:szCs w:val="24"/>
          <w:lang w:val="es-CO"/>
        </w:rPr>
      </w:pPr>
    </w:p>
    <w:p w14:paraId="68C40761" w14:textId="77777777" w:rsidR="00D53FCA" w:rsidRPr="00A01E40" w:rsidRDefault="00D53FCA" w:rsidP="00D53FCA">
      <w:pPr>
        <w:widowControl w:val="0"/>
        <w:autoSpaceDE w:val="0"/>
        <w:autoSpaceDN w:val="0"/>
        <w:adjustRightInd w:val="0"/>
        <w:spacing w:line="276" w:lineRule="auto"/>
        <w:rPr>
          <w:rFonts w:eastAsia="Calibri"/>
          <w:iCs/>
          <w:szCs w:val="24"/>
          <w:u w:val="single"/>
          <w:lang w:val="es-CO"/>
        </w:rPr>
      </w:pPr>
      <w:r w:rsidRPr="00A01E40">
        <w:rPr>
          <w:rFonts w:eastAsia="Calibri"/>
          <w:b/>
          <w:szCs w:val="24"/>
          <w:lang w:val="es-CO"/>
        </w:rPr>
        <w:t>4)</w:t>
      </w:r>
      <w:r w:rsidRPr="00A01E40">
        <w:rPr>
          <w:rFonts w:eastAsia="Calibri"/>
          <w:szCs w:val="24"/>
          <w:lang w:val="es-CO"/>
        </w:rPr>
        <w:t xml:space="preserve"> En numerosas sentencias del órgano de cierre de la jurisdicción ordinaria laboral, se ha establecido que no puede argüirse que </w:t>
      </w:r>
      <w:r w:rsidRPr="00A01E40">
        <w:rPr>
          <w:rFonts w:eastAsia="Calibri"/>
          <w:iCs/>
          <w:szCs w:val="24"/>
          <w:lang w:val="es-CO"/>
        </w:rPr>
        <w:t xml:space="preserve">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w:t>
      </w:r>
      <w:r w:rsidRPr="00A01E40">
        <w:rPr>
          <w:rFonts w:eastAsia="Calibri"/>
          <w:iCs/>
          <w:szCs w:val="24"/>
          <w:lang w:val="es-CO"/>
        </w:rPr>
        <w:lastRenderedPageBreak/>
        <w:t xml:space="preserve">inicio haya correspondido a las Administradoras de Fondos de Pensiones </w:t>
      </w:r>
      <w:r w:rsidRPr="00A01E40">
        <w:rPr>
          <w:rFonts w:eastAsia="Calibri"/>
          <w:i/>
          <w:iCs/>
          <w:szCs w:val="24"/>
          <w:lang w:val="es-CO"/>
        </w:rPr>
        <w:t>“</w:t>
      </w:r>
      <w:r w:rsidRPr="00A01E40">
        <w:rPr>
          <w:rFonts w:eastAsia="Calibri"/>
          <w:i/>
          <w:iCs/>
          <w:szCs w:val="24"/>
          <w:u w:val="single"/>
          <w:lang w:val="es-CO"/>
        </w:rPr>
        <w:t>dar cuenta de que documentaron clara y suficientemente los efectos que acarrea el cambio de régimen, so pena de declarar ineficaz ese tránsito”</w:t>
      </w:r>
      <w:r w:rsidRPr="00A01E40">
        <w:rPr>
          <w:rFonts w:eastAsia="Calibri"/>
          <w:iCs/>
          <w:szCs w:val="24"/>
          <w:u w:val="single"/>
          <w:lang w:val="es-CO"/>
        </w:rPr>
        <w:t>.</w:t>
      </w:r>
    </w:p>
    <w:p w14:paraId="435BF246" w14:textId="77777777" w:rsidR="00D53FCA" w:rsidRPr="00A01E40" w:rsidRDefault="00D53FCA" w:rsidP="00D53FCA">
      <w:pPr>
        <w:widowControl w:val="0"/>
        <w:autoSpaceDE w:val="0"/>
        <w:autoSpaceDN w:val="0"/>
        <w:adjustRightInd w:val="0"/>
        <w:spacing w:line="276" w:lineRule="auto"/>
        <w:ind w:firstLine="284"/>
        <w:rPr>
          <w:rFonts w:eastAsia="Calibri"/>
          <w:iCs/>
          <w:szCs w:val="24"/>
          <w:u w:val="single"/>
          <w:lang w:val="es-CO"/>
        </w:rPr>
      </w:pPr>
    </w:p>
    <w:p w14:paraId="396A3FB2" w14:textId="77777777" w:rsidR="00D53FCA" w:rsidRPr="00A01E40" w:rsidRDefault="00D53FCA" w:rsidP="00D53FCA">
      <w:pPr>
        <w:widowControl w:val="0"/>
        <w:autoSpaceDE w:val="0"/>
        <w:autoSpaceDN w:val="0"/>
        <w:adjustRightInd w:val="0"/>
        <w:spacing w:line="276" w:lineRule="auto"/>
        <w:ind w:firstLine="284"/>
        <w:rPr>
          <w:rFonts w:eastAsia="Calibri"/>
          <w:iCs/>
          <w:szCs w:val="24"/>
          <w:lang w:val="es-CO"/>
        </w:rPr>
      </w:pPr>
      <w:r w:rsidRPr="00A01E40">
        <w:rPr>
          <w:rFonts w:eastAsia="Calibri"/>
          <w:iCs/>
          <w:szCs w:val="24"/>
          <w:lang w:val="es-CO"/>
        </w:rPr>
        <w:tab/>
        <w:t xml:space="preserve">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3C1A6874" w14:textId="77777777" w:rsidR="00D53FCA" w:rsidRPr="00A01E40" w:rsidRDefault="00D53FCA" w:rsidP="00D53FCA">
      <w:pPr>
        <w:widowControl w:val="0"/>
        <w:autoSpaceDE w:val="0"/>
        <w:autoSpaceDN w:val="0"/>
        <w:adjustRightInd w:val="0"/>
        <w:spacing w:line="276" w:lineRule="auto"/>
        <w:ind w:firstLine="284"/>
        <w:rPr>
          <w:rFonts w:eastAsia="Calibri"/>
          <w:iCs/>
          <w:szCs w:val="24"/>
          <w:lang w:val="es-CO"/>
        </w:rPr>
      </w:pPr>
    </w:p>
    <w:p w14:paraId="5C260D58" w14:textId="77777777" w:rsidR="00D53FCA" w:rsidRPr="00A01E40" w:rsidRDefault="00D53FCA" w:rsidP="00D53FCA">
      <w:pPr>
        <w:widowControl w:val="0"/>
        <w:autoSpaceDE w:val="0"/>
        <w:autoSpaceDN w:val="0"/>
        <w:adjustRightInd w:val="0"/>
        <w:spacing w:line="276" w:lineRule="auto"/>
        <w:ind w:firstLine="284"/>
        <w:rPr>
          <w:rFonts w:eastAsia="Calibri"/>
          <w:iCs/>
          <w:szCs w:val="24"/>
          <w:lang w:val="es-CO"/>
        </w:rPr>
      </w:pPr>
      <w:r w:rsidRPr="00A01E40">
        <w:rPr>
          <w:rFonts w:eastAsia="Calibri"/>
          <w:iCs/>
          <w:szCs w:val="24"/>
          <w:lang w:val="es-CO"/>
        </w:rPr>
        <w:tab/>
        <w:t>Dicho deber, como lo ha enseñado la Corte, es exigible desde las etapas previas y preparatorias a la formalización de la afiliación a la administradora, pues el sistema pensional, del que obviamente son protagonistas de primer orden las Administradoras de Fondos de Pensiones, se supone que actúan mediante instituciones especializadas e idóneas, con conocimientos y experiencia, que tienen la obligación de brindar información confiable a los ciudadanos quienes les van a entregar sus ahorros y sus seguros de previsión para su vejez, invalidez o para su familia cercana en caso de muerte prematura.</w:t>
      </w:r>
    </w:p>
    <w:p w14:paraId="3ADAD5B1" w14:textId="77777777" w:rsidR="00D53FCA" w:rsidRPr="00A01E40" w:rsidRDefault="00D53FCA" w:rsidP="00D53FCA">
      <w:pPr>
        <w:widowControl w:val="0"/>
        <w:autoSpaceDE w:val="0"/>
        <w:autoSpaceDN w:val="0"/>
        <w:adjustRightInd w:val="0"/>
        <w:spacing w:line="276" w:lineRule="auto"/>
        <w:ind w:firstLine="284"/>
        <w:rPr>
          <w:rFonts w:eastAsia="Calibri"/>
          <w:iCs/>
          <w:szCs w:val="24"/>
          <w:lang w:val="es-CO"/>
        </w:rPr>
      </w:pPr>
    </w:p>
    <w:p w14:paraId="7844B047" w14:textId="77777777" w:rsidR="00D53FCA" w:rsidRPr="00A01E40" w:rsidRDefault="00D53FCA" w:rsidP="00D53FCA">
      <w:pPr>
        <w:widowControl w:val="0"/>
        <w:autoSpaceDE w:val="0"/>
        <w:autoSpaceDN w:val="0"/>
        <w:adjustRightInd w:val="0"/>
        <w:spacing w:line="276" w:lineRule="auto"/>
        <w:ind w:firstLine="284"/>
        <w:rPr>
          <w:rFonts w:eastAsia="Calibri"/>
          <w:szCs w:val="24"/>
          <w:lang w:val="es-CO"/>
        </w:rPr>
      </w:pPr>
      <w:r w:rsidRPr="00A01E40">
        <w:rPr>
          <w:rFonts w:eastAsia="Calibri"/>
          <w:szCs w:val="24"/>
          <w:lang w:val="es-CO"/>
        </w:rPr>
        <w:tab/>
        <w:t xml:space="preserve">Ello así, también ha dicho el órgano de cierre de la especialidad laboral, que las </w:t>
      </w:r>
      <w:proofErr w:type="spellStart"/>
      <w:r w:rsidRPr="00A01E40">
        <w:rPr>
          <w:rFonts w:eastAsia="Calibri"/>
          <w:szCs w:val="24"/>
          <w:lang w:val="es-CO"/>
        </w:rPr>
        <w:t>AFPs</w:t>
      </w:r>
      <w:proofErr w:type="spellEnd"/>
      <w:r w:rsidRPr="00A01E40">
        <w:rPr>
          <w:rFonts w:eastAsia="Calibri"/>
          <w:szCs w:val="24"/>
          <w:lang w:val="es-CO"/>
        </w:rPr>
        <w:t xml:space="preserve"> demandadas se encuentran en una situación de ventaja que les permite aportar las evidencias respecto a si se le brindó al afiliado la información cierta, suficiente, comprensible y oportuna a la hora de convencerlo de trasladarse de régimen.</w:t>
      </w:r>
    </w:p>
    <w:p w14:paraId="7E2B90D8" w14:textId="77777777" w:rsidR="00D53FCA" w:rsidRPr="00A01E40" w:rsidRDefault="00D53FCA" w:rsidP="00D53FCA">
      <w:pPr>
        <w:widowControl w:val="0"/>
        <w:autoSpaceDE w:val="0"/>
        <w:autoSpaceDN w:val="0"/>
        <w:adjustRightInd w:val="0"/>
        <w:spacing w:line="276" w:lineRule="auto"/>
        <w:ind w:firstLine="284"/>
        <w:rPr>
          <w:rFonts w:eastAsia="Calibri"/>
          <w:szCs w:val="24"/>
          <w:lang w:val="es-CO"/>
        </w:rPr>
      </w:pPr>
    </w:p>
    <w:p w14:paraId="6860B4D0" w14:textId="77777777" w:rsidR="00D53FCA" w:rsidRPr="00A01E40" w:rsidRDefault="00D53FCA" w:rsidP="00D53FCA">
      <w:pPr>
        <w:widowControl w:val="0"/>
        <w:autoSpaceDE w:val="0"/>
        <w:autoSpaceDN w:val="0"/>
        <w:adjustRightInd w:val="0"/>
        <w:spacing w:line="276" w:lineRule="auto"/>
        <w:ind w:firstLine="708"/>
        <w:rPr>
          <w:rFonts w:eastAsia="Calibri"/>
          <w:szCs w:val="24"/>
          <w:lang w:val="es-CO"/>
        </w:rPr>
      </w:pPr>
      <w:bookmarkStart w:id="6" w:name="_Hlk90025453"/>
      <w:r w:rsidRPr="00A01E40">
        <w:rPr>
          <w:rFonts w:eastAsia="Calibri"/>
          <w:szCs w:val="24"/>
          <w:lang w:val="es-CO"/>
        </w:rPr>
        <w:t xml:space="preserve">Ahora bien, como quiera que uno de los argumentos de la defensa de las AFP es que la normatividad del deber de información se ha venido dando paulatinamente, vale la pena citar la sentencia del 8 de mayo de 2019 SL 1688-2019, Radicado 68838, con Ponencia de la Dra. Clara Cecilia Dueñas Quevedo, donde se hace un didáctico recuento histórico de las normas que rigen la actividad de los Fondos de Pensiones privados, dividiéndolo en 3 etapas, de cuyo análisis se llega a la conclusión de que a las AFP les compete, desde su creación, el deber de suministrar una información </w:t>
      </w:r>
      <w:r w:rsidRPr="00A01E40">
        <w:rPr>
          <w:rFonts w:eastAsia="Calibri"/>
          <w:b/>
          <w:szCs w:val="24"/>
          <w:lang w:val="es-CO"/>
        </w:rPr>
        <w:t xml:space="preserve">necesaria y transparente, </w:t>
      </w:r>
      <w:r w:rsidRPr="00A01E40">
        <w:rPr>
          <w:rFonts w:eastAsia="Calibri"/>
          <w:szCs w:val="24"/>
          <w:lang w:val="es-CO"/>
        </w:rPr>
        <w:t xml:space="preserve">que con el transcurrir del tiempo esta exigencia cambió, pasando de un deber de información necesaria al de </w:t>
      </w:r>
      <w:r w:rsidRPr="00A01E40">
        <w:rPr>
          <w:rFonts w:eastAsia="Calibri"/>
          <w:b/>
          <w:szCs w:val="24"/>
          <w:lang w:val="es-CO"/>
        </w:rPr>
        <w:t>asesoría y buen consejo</w:t>
      </w:r>
      <w:r w:rsidRPr="00A01E40">
        <w:rPr>
          <w:rFonts w:eastAsia="Calibri"/>
          <w:szCs w:val="24"/>
          <w:lang w:val="es-CO"/>
        </w:rPr>
        <w:t xml:space="preserve">, y finalmente al de </w:t>
      </w:r>
      <w:r w:rsidRPr="00A01E40">
        <w:rPr>
          <w:rFonts w:eastAsia="Calibri"/>
          <w:b/>
          <w:szCs w:val="24"/>
          <w:lang w:val="es-CO"/>
        </w:rPr>
        <w:t>doble asesoría</w:t>
      </w:r>
      <w:r w:rsidRPr="00A01E40">
        <w:rPr>
          <w:rFonts w:eastAsia="Calibri"/>
          <w:szCs w:val="24"/>
          <w:lang w:val="es-CO"/>
        </w:rPr>
        <w:t>, explicando en qué consiste cada uno de esos conceptos</w:t>
      </w:r>
      <w:bookmarkEnd w:id="6"/>
      <w:r w:rsidRPr="00A01E40">
        <w:rPr>
          <w:rFonts w:eastAsia="Calibri"/>
          <w:szCs w:val="24"/>
          <w:lang w:val="es-CO"/>
        </w:rPr>
        <w:t>. Dicho recuento histórico, se compendia de la siguiente manera:</w:t>
      </w:r>
    </w:p>
    <w:p w14:paraId="610583A0" w14:textId="77777777" w:rsidR="00D53FCA" w:rsidRPr="00A01E40" w:rsidRDefault="00D53FCA" w:rsidP="00D53FCA">
      <w:pPr>
        <w:widowControl w:val="0"/>
        <w:autoSpaceDE w:val="0"/>
        <w:autoSpaceDN w:val="0"/>
        <w:adjustRightInd w:val="0"/>
        <w:spacing w:line="276" w:lineRule="auto"/>
        <w:ind w:firstLine="284"/>
        <w:rPr>
          <w:rFonts w:eastAsia="Calibri"/>
          <w:szCs w:val="24"/>
          <w:lang w:val="es-CO"/>
        </w:rPr>
      </w:pPr>
    </w:p>
    <w:p w14:paraId="2B9778D4" w14:textId="77777777" w:rsidR="00D53FCA" w:rsidRPr="00A01E40" w:rsidRDefault="00D53FCA" w:rsidP="00D53FCA">
      <w:pPr>
        <w:spacing w:line="240" w:lineRule="auto"/>
        <w:ind w:left="426" w:right="420"/>
        <w:textAlignment w:val="baseline"/>
        <w:rPr>
          <w:rFonts w:eastAsia="Times New Roman"/>
          <w:szCs w:val="24"/>
          <w:lang w:eastAsia="es-ES"/>
        </w:rPr>
      </w:pPr>
      <w:bookmarkStart w:id="7" w:name="_Hlk66368436"/>
      <w:bookmarkStart w:id="8" w:name="_Hlk90025057"/>
      <w:r w:rsidRPr="00A01E40">
        <w:rPr>
          <w:rFonts w:eastAsia="Times New Roman"/>
          <w:i/>
          <w:iCs/>
          <w:szCs w:val="24"/>
          <w:lang w:eastAsia="es-ES"/>
        </w:rPr>
        <w:t>“El anterior recuento sobre la evolución normativa del deber de información a cargo de las administradoras de pensiones podría, a grandes rasgos, sintetizarse así:</w:t>
      </w:r>
    </w:p>
    <w:p w14:paraId="6D031F79" w14:textId="77777777" w:rsidR="00D53FCA" w:rsidRPr="00A01E40" w:rsidRDefault="00D53FCA" w:rsidP="00D53FCA">
      <w:pPr>
        <w:spacing w:line="240" w:lineRule="auto"/>
        <w:ind w:left="426" w:right="420"/>
        <w:textAlignment w:val="baseline"/>
        <w:rPr>
          <w:rFonts w:eastAsia="Times New Roman"/>
          <w:szCs w:val="24"/>
          <w:lang w:eastAsia="es-ES"/>
        </w:rPr>
      </w:pPr>
    </w:p>
    <w:tbl>
      <w:tblPr>
        <w:tblW w:w="8646" w:type="dxa"/>
        <w:tblInd w:w="441"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484"/>
        <w:gridCol w:w="3052"/>
        <w:gridCol w:w="4110"/>
      </w:tblGrid>
      <w:tr w:rsidR="00D53FCA" w:rsidRPr="00A01E40" w14:paraId="046C8D26" w14:textId="77777777" w:rsidTr="005E00B8">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2BDB6995" w14:textId="77777777" w:rsidR="00D53FCA" w:rsidRPr="00A01E40" w:rsidRDefault="00D53FCA" w:rsidP="005E00B8">
            <w:pPr>
              <w:spacing w:line="276" w:lineRule="auto"/>
              <w:textAlignment w:val="baseline"/>
              <w:rPr>
                <w:rFonts w:eastAsia="Times New Roman"/>
                <w:sz w:val="20"/>
                <w:szCs w:val="24"/>
                <w:lang w:eastAsia="es-ES"/>
              </w:rPr>
            </w:pPr>
            <w:r w:rsidRPr="00A01E40">
              <w:rPr>
                <w:rFonts w:eastAsia="Times New Roman"/>
                <w:b/>
                <w:bCs/>
                <w:i/>
                <w:iCs/>
                <w:sz w:val="20"/>
                <w:szCs w:val="24"/>
                <w:lang w:eastAsia="es-ES"/>
              </w:rPr>
              <w:t>Etapa acumulativa</w:t>
            </w:r>
            <w:r w:rsidRPr="00A01E40">
              <w:rPr>
                <w:rFonts w:eastAsia="Times New Roman"/>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1B6E4017" w14:textId="77777777" w:rsidR="00D53FCA" w:rsidRPr="00A01E40" w:rsidRDefault="00D53FCA" w:rsidP="005E00B8">
            <w:pPr>
              <w:spacing w:line="276" w:lineRule="auto"/>
              <w:textAlignment w:val="baseline"/>
              <w:rPr>
                <w:rFonts w:eastAsia="Times New Roman"/>
                <w:sz w:val="20"/>
                <w:szCs w:val="24"/>
                <w:lang w:eastAsia="es-ES"/>
              </w:rPr>
            </w:pPr>
            <w:r w:rsidRPr="00A01E40">
              <w:rPr>
                <w:rFonts w:eastAsia="Times New Roman"/>
                <w:b/>
                <w:bCs/>
                <w:i/>
                <w:iCs/>
                <w:sz w:val="20"/>
                <w:szCs w:val="24"/>
                <w:lang w:eastAsia="es-ES"/>
              </w:rPr>
              <w:t>Normas que obligan a las administradoras de pensiones a dar información</w:t>
            </w:r>
            <w:r w:rsidRPr="00A01E40">
              <w:rPr>
                <w:rFonts w:eastAsia="Times New Roman"/>
                <w:sz w:val="20"/>
                <w:szCs w:val="24"/>
                <w:lang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6F9D665A" w14:textId="77777777" w:rsidR="00D53FCA" w:rsidRPr="00A01E40" w:rsidRDefault="00D53FCA" w:rsidP="005E00B8">
            <w:pPr>
              <w:spacing w:line="276" w:lineRule="auto"/>
              <w:textAlignment w:val="baseline"/>
              <w:rPr>
                <w:rFonts w:eastAsia="Times New Roman"/>
                <w:sz w:val="20"/>
                <w:szCs w:val="24"/>
                <w:lang w:eastAsia="es-ES"/>
              </w:rPr>
            </w:pPr>
            <w:r w:rsidRPr="00A01E40">
              <w:rPr>
                <w:rFonts w:eastAsia="Times New Roman"/>
                <w:b/>
                <w:bCs/>
                <w:i/>
                <w:iCs/>
                <w:sz w:val="20"/>
                <w:szCs w:val="24"/>
                <w:lang w:eastAsia="es-ES"/>
              </w:rPr>
              <w:t>Contenido mínimo y alcance del deber de información</w:t>
            </w:r>
            <w:r w:rsidRPr="00A01E40">
              <w:rPr>
                <w:rFonts w:eastAsia="Times New Roman"/>
                <w:sz w:val="20"/>
                <w:szCs w:val="24"/>
                <w:lang w:eastAsia="es-ES"/>
              </w:rPr>
              <w:t> </w:t>
            </w:r>
          </w:p>
        </w:tc>
      </w:tr>
      <w:tr w:rsidR="00D53FCA" w:rsidRPr="00A01E40" w14:paraId="5FE0AA23" w14:textId="77777777" w:rsidTr="005E00B8">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536FA76C" w14:textId="77777777" w:rsidR="00D53FCA" w:rsidRPr="00A01E40" w:rsidRDefault="00D53FCA" w:rsidP="005E00B8">
            <w:pPr>
              <w:spacing w:line="276" w:lineRule="auto"/>
              <w:textAlignment w:val="baseline"/>
              <w:rPr>
                <w:rFonts w:eastAsia="Times New Roman"/>
                <w:sz w:val="20"/>
                <w:szCs w:val="24"/>
                <w:lang w:eastAsia="es-ES"/>
              </w:rPr>
            </w:pPr>
            <w:r w:rsidRPr="00A01E40">
              <w:rPr>
                <w:rFonts w:eastAsia="Times New Roman"/>
                <w:i/>
                <w:iCs/>
                <w:sz w:val="20"/>
                <w:szCs w:val="24"/>
                <w:lang w:eastAsia="es-ES"/>
              </w:rPr>
              <w:t>Deber de información </w:t>
            </w:r>
            <w:r w:rsidRPr="00A01E40">
              <w:rPr>
                <w:rFonts w:eastAsia="Times New Roman"/>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7D76B20C" w14:textId="77777777" w:rsidR="00D53FCA" w:rsidRPr="00A01E40" w:rsidRDefault="00D53FCA" w:rsidP="005E00B8">
            <w:pPr>
              <w:spacing w:line="276" w:lineRule="auto"/>
              <w:textAlignment w:val="baseline"/>
              <w:rPr>
                <w:rFonts w:eastAsia="Times New Roman"/>
                <w:sz w:val="20"/>
                <w:szCs w:val="24"/>
                <w:lang w:eastAsia="es-ES"/>
              </w:rPr>
            </w:pPr>
            <w:r w:rsidRPr="00A01E40">
              <w:rPr>
                <w:rFonts w:eastAsia="Times New Roman"/>
                <w:i/>
                <w:iCs/>
                <w:sz w:val="20"/>
                <w:szCs w:val="24"/>
                <w:lang w:eastAsia="es-ES"/>
              </w:rPr>
              <w:t>Arts. 13 literal b), 271 y 272 de la Ley 100 de 1993</w:t>
            </w:r>
            <w:r w:rsidRPr="00A01E40">
              <w:rPr>
                <w:rFonts w:eastAsia="Times New Roman"/>
                <w:sz w:val="20"/>
                <w:szCs w:val="24"/>
                <w:lang w:eastAsia="es-ES"/>
              </w:rPr>
              <w:t> </w:t>
            </w:r>
          </w:p>
          <w:p w14:paraId="4D997211" w14:textId="77777777" w:rsidR="00D53FCA" w:rsidRPr="00A01E40" w:rsidRDefault="00D53FCA" w:rsidP="005E00B8">
            <w:pPr>
              <w:spacing w:line="276" w:lineRule="auto"/>
              <w:textAlignment w:val="baseline"/>
              <w:rPr>
                <w:rFonts w:eastAsia="Times New Roman"/>
                <w:sz w:val="20"/>
                <w:szCs w:val="24"/>
                <w:lang w:eastAsia="es-ES"/>
              </w:rPr>
            </w:pPr>
            <w:r w:rsidRPr="00A01E40">
              <w:rPr>
                <w:rFonts w:eastAsia="Times New Roman"/>
                <w:i/>
                <w:iCs/>
                <w:sz w:val="20"/>
                <w:szCs w:val="24"/>
                <w:lang w:eastAsia="es-ES"/>
              </w:rPr>
              <w:lastRenderedPageBreak/>
              <w:t>Art. 97, numeral 1 del Decreto 663 de 1993, modificado por el artículo 23 de la Ley 797 de 2003</w:t>
            </w:r>
            <w:r w:rsidRPr="00A01E40">
              <w:rPr>
                <w:rFonts w:eastAsia="Times New Roman"/>
                <w:sz w:val="20"/>
                <w:szCs w:val="24"/>
                <w:lang w:eastAsia="es-ES"/>
              </w:rPr>
              <w:t> </w:t>
            </w:r>
          </w:p>
          <w:p w14:paraId="12B9CBD2" w14:textId="77777777" w:rsidR="00D53FCA" w:rsidRPr="00A01E40" w:rsidRDefault="00D53FCA" w:rsidP="005E00B8">
            <w:pPr>
              <w:spacing w:line="276" w:lineRule="auto"/>
              <w:textAlignment w:val="baseline"/>
              <w:rPr>
                <w:rFonts w:eastAsia="Times New Roman"/>
                <w:sz w:val="20"/>
                <w:szCs w:val="24"/>
                <w:lang w:eastAsia="es-ES"/>
              </w:rPr>
            </w:pPr>
            <w:r w:rsidRPr="00A01E40">
              <w:rPr>
                <w:rFonts w:eastAsia="Times New Roman"/>
                <w:i/>
                <w:iCs/>
                <w:sz w:val="20"/>
                <w:szCs w:val="24"/>
                <w:lang w:eastAsia="es-ES"/>
              </w:rPr>
              <w:t>Disposiciones constitucionales relativas al derecho a la información, no menoscabo de derechos laborales y autonomía personal</w:t>
            </w:r>
            <w:r w:rsidRPr="00A01E40">
              <w:rPr>
                <w:rFonts w:eastAsia="Times New Roman"/>
                <w:sz w:val="20"/>
                <w:szCs w:val="24"/>
                <w:lang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7CCD025D" w14:textId="77777777" w:rsidR="00D53FCA" w:rsidRPr="00A01E40" w:rsidRDefault="00D53FCA" w:rsidP="005E00B8">
            <w:pPr>
              <w:spacing w:line="276" w:lineRule="auto"/>
              <w:textAlignment w:val="baseline"/>
              <w:rPr>
                <w:rFonts w:eastAsia="Times New Roman"/>
                <w:sz w:val="20"/>
                <w:szCs w:val="24"/>
                <w:lang w:eastAsia="es-ES"/>
              </w:rPr>
            </w:pPr>
            <w:r w:rsidRPr="00A01E40">
              <w:rPr>
                <w:rFonts w:eastAsia="Times New Roman"/>
                <w:i/>
                <w:iCs/>
                <w:sz w:val="20"/>
                <w:szCs w:val="24"/>
                <w:lang w:eastAsia="es-ES"/>
              </w:rPr>
              <w:lastRenderedPageBreak/>
              <w:t xml:space="preserve">Ilustración de las características, condiciones, acceso, efectos y riesgos de cada uno de los regímenes pensionales, lo que incluye dar a </w:t>
            </w:r>
            <w:r w:rsidRPr="00A01E40">
              <w:rPr>
                <w:rFonts w:eastAsia="Times New Roman"/>
                <w:i/>
                <w:iCs/>
                <w:sz w:val="20"/>
                <w:szCs w:val="24"/>
                <w:lang w:eastAsia="es-ES"/>
              </w:rPr>
              <w:lastRenderedPageBreak/>
              <w:t>conocer la existencia de un régimen de transición y la eventual pérdida de beneficios pensionales</w:t>
            </w:r>
            <w:r w:rsidRPr="00A01E40">
              <w:rPr>
                <w:rFonts w:eastAsia="Times New Roman"/>
                <w:sz w:val="20"/>
                <w:szCs w:val="24"/>
                <w:lang w:eastAsia="es-ES"/>
              </w:rPr>
              <w:t> </w:t>
            </w:r>
          </w:p>
        </w:tc>
      </w:tr>
      <w:tr w:rsidR="00D53FCA" w:rsidRPr="00A01E40" w14:paraId="7B927D68" w14:textId="77777777" w:rsidTr="005E00B8">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48EBE066" w14:textId="77777777" w:rsidR="00D53FCA" w:rsidRPr="00A01E40" w:rsidRDefault="00D53FCA" w:rsidP="005E00B8">
            <w:pPr>
              <w:spacing w:line="276" w:lineRule="auto"/>
              <w:textAlignment w:val="baseline"/>
              <w:rPr>
                <w:rFonts w:eastAsia="Times New Roman"/>
                <w:sz w:val="20"/>
                <w:szCs w:val="24"/>
                <w:lang w:eastAsia="es-ES"/>
              </w:rPr>
            </w:pPr>
            <w:r w:rsidRPr="00A01E40">
              <w:rPr>
                <w:rFonts w:eastAsia="Times New Roman"/>
                <w:i/>
                <w:iCs/>
                <w:sz w:val="20"/>
                <w:szCs w:val="24"/>
                <w:lang w:eastAsia="es-ES"/>
              </w:rPr>
              <w:lastRenderedPageBreak/>
              <w:t>Deber de información, asesoría y buen consejo</w:t>
            </w:r>
            <w:r w:rsidRPr="00A01E40">
              <w:rPr>
                <w:rFonts w:eastAsia="Times New Roman"/>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1C0C812C" w14:textId="77777777" w:rsidR="00D53FCA" w:rsidRPr="00A01E40" w:rsidRDefault="00D53FCA" w:rsidP="005E00B8">
            <w:pPr>
              <w:spacing w:line="276" w:lineRule="auto"/>
              <w:textAlignment w:val="baseline"/>
              <w:rPr>
                <w:rFonts w:eastAsia="Times New Roman"/>
                <w:sz w:val="20"/>
                <w:szCs w:val="24"/>
                <w:lang w:eastAsia="es-ES"/>
              </w:rPr>
            </w:pPr>
            <w:r w:rsidRPr="00A01E40">
              <w:rPr>
                <w:rFonts w:eastAsia="Times New Roman"/>
                <w:i/>
                <w:iCs/>
                <w:sz w:val="20"/>
                <w:szCs w:val="24"/>
                <w:lang w:eastAsia="es-ES"/>
              </w:rPr>
              <w:t>Artículo 3, literal c) de la Ley 1328 de 2009</w:t>
            </w:r>
            <w:r w:rsidRPr="00A01E40">
              <w:rPr>
                <w:rFonts w:eastAsia="Times New Roman"/>
                <w:sz w:val="20"/>
                <w:szCs w:val="24"/>
                <w:lang w:eastAsia="es-ES"/>
              </w:rPr>
              <w:t> </w:t>
            </w:r>
          </w:p>
          <w:p w14:paraId="26C43FD7" w14:textId="77777777" w:rsidR="00D53FCA" w:rsidRPr="00A01E40" w:rsidRDefault="00D53FCA" w:rsidP="005E00B8">
            <w:pPr>
              <w:spacing w:line="276" w:lineRule="auto"/>
              <w:textAlignment w:val="baseline"/>
              <w:rPr>
                <w:rFonts w:eastAsia="Times New Roman"/>
                <w:sz w:val="20"/>
                <w:szCs w:val="24"/>
                <w:lang w:eastAsia="es-ES"/>
              </w:rPr>
            </w:pPr>
            <w:r w:rsidRPr="00A01E40">
              <w:rPr>
                <w:rFonts w:eastAsia="Times New Roman"/>
                <w:i/>
                <w:iCs/>
                <w:sz w:val="20"/>
                <w:szCs w:val="24"/>
                <w:lang w:eastAsia="es-ES"/>
              </w:rPr>
              <w:t>Decreto 2241 de 2010</w:t>
            </w:r>
            <w:r w:rsidRPr="00A01E40">
              <w:rPr>
                <w:rFonts w:eastAsia="Times New Roman"/>
                <w:sz w:val="20"/>
                <w:szCs w:val="24"/>
                <w:lang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51D1E030" w14:textId="77777777" w:rsidR="00D53FCA" w:rsidRPr="00A01E40" w:rsidRDefault="00D53FCA" w:rsidP="005E00B8">
            <w:pPr>
              <w:spacing w:line="276" w:lineRule="auto"/>
              <w:textAlignment w:val="baseline"/>
              <w:rPr>
                <w:rFonts w:eastAsia="Times New Roman"/>
                <w:sz w:val="20"/>
                <w:szCs w:val="24"/>
                <w:lang w:eastAsia="es-ES"/>
              </w:rPr>
            </w:pPr>
            <w:r w:rsidRPr="00A01E40">
              <w:rPr>
                <w:rFonts w:eastAsia="Times New Roman"/>
                <w:i/>
                <w:iCs/>
                <w:sz w:val="20"/>
                <w:szCs w:val="24"/>
                <w:lang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A01E40">
              <w:rPr>
                <w:rFonts w:eastAsia="Times New Roman"/>
                <w:sz w:val="20"/>
                <w:szCs w:val="24"/>
                <w:lang w:eastAsia="es-ES"/>
              </w:rPr>
              <w:t> </w:t>
            </w:r>
          </w:p>
        </w:tc>
      </w:tr>
      <w:tr w:rsidR="00D53FCA" w:rsidRPr="00A01E40" w14:paraId="5DC9E305" w14:textId="77777777" w:rsidTr="005E00B8">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3DE1F52B" w14:textId="77777777" w:rsidR="00D53FCA" w:rsidRPr="00A01E40" w:rsidRDefault="00D53FCA" w:rsidP="005E00B8">
            <w:pPr>
              <w:spacing w:line="276" w:lineRule="auto"/>
              <w:textAlignment w:val="baseline"/>
              <w:rPr>
                <w:rFonts w:eastAsia="Times New Roman"/>
                <w:sz w:val="20"/>
                <w:szCs w:val="24"/>
                <w:lang w:eastAsia="es-ES"/>
              </w:rPr>
            </w:pPr>
            <w:r w:rsidRPr="00A01E40">
              <w:rPr>
                <w:rFonts w:eastAsia="Times New Roman"/>
                <w:i/>
                <w:iCs/>
                <w:sz w:val="20"/>
                <w:szCs w:val="24"/>
                <w:lang w:eastAsia="es-ES"/>
              </w:rPr>
              <w:t>Deber de información, asesoría, buen consejo y doble asesoría. </w:t>
            </w:r>
            <w:r w:rsidRPr="00A01E40">
              <w:rPr>
                <w:rFonts w:eastAsia="Times New Roman"/>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20874C2A" w14:textId="77777777" w:rsidR="00D53FCA" w:rsidRPr="00A01E40" w:rsidRDefault="00D53FCA" w:rsidP="005E00B8">
            <w:pPr>
              <w:spacing w:line="276" w:lineRule="auto"/>
              <w:textAlignment w:val="baseline"/>
              <w:rPr>
                <w:rFonts w:eastAsia="Times New Roman"/>
                <w:sz w:val="20"/>
                <w:szCs w:val="24"/>
                <w:lang w:eastAsia="es-ES"/>
              </w:rPr>
            </w:pPr>
            <w:r w:rsidRPr="00A01E40">
              <w:rPr>
                <w:rFonts w:eastAsia="Times New Roman"/>
                <w:i/>
                <w:iCs/>
                <w:sz w:val="20"/>
                <w:szCs w:val="24"/>
                <w:lang w:eastAsia="es-ES"/>
              </w:rPr>
              <w:t>Ley 1748 de 2014</w:t>
            </w:r>
            <w:r w:rsidRPr="00A01E40">
              <w:rPr>
                <w:rFonts w:eastAsia="Times New Roman"/>
                <w:sz w:val="20"/>
                <w:szCs w:val="24"/>
                <w:lang w:eastAsia="es-ES"/>
              </w:rPr>
              <w:t> </w:t>
            </w:r>
          </w:p>
          <w:p w14:paraId="01819D0F" w14:textId="77777777" w:rsidR="00D53FCA" w:rsidRPr="00A01E40" w:rsidRDefault="00D53FCA" w:rsidP="005E00B8">
            <w:pPr>
              <w:spacing w:line="276" w:lineRule="auto"/>
              <w:textAlignment w:val="baseline"/>
              <w:rPr>
                <w:rFonts w:eastAsia="Times New Roman"/>
                <w:sz w:val="20"/>
                <w:szCs w:val="24"/>
                <w:lang w:eastAsia="es-ES"/>
              </w:rPr>
            </w:pPr>
            <w:r w:rsidRPr="00A01E40">
              <w:rPr>
                <w:rFonts w:eastAsia="Times New Roman"/>
                <w:i/>
                <w:iCs/>
                <w:sz w:val="20"/>
                <w:szCs w:val="24"/>
                <w:lang w:eastAsia="es-ES"/>
              </w:rPr>
              <w:t>Artículo 3 del Decreto 2071 de 2015</w:t>
            </w:r>
            <w:r w:rsidRPr="00A01E40">
              <w:rPr>
                <w:rFonts w:eastAsia="Times New Roman"/>
                <w:sz w:val="20"/>
                <w:szCs w:val="24"/>
                <w:lang w:eastAsia="es-ES"/>
              </w:rPr>
              <w:t> </w:t>
            </w:r>
          </w:p>
          <w:p w14:paraId="64730BF5" w14:textId="77777777" w:rsidR="00D53FCA" w:rsidRPr="00A01E40" w:rsidRDefault="00D53FCA" w:rsidP="005E00B8">
            <w:pPr>
              <w:spacing w:line="276" w:lineRule="auto"/>
              <w:textAlignment w:val="baseline"/>
              <w:rPr>
                <w:rFonts w:eastAsia="Times New Roman"/>
                <w:sz w:val="20"/>
                <w:szCs w:val="24"/>
                <w:lang w:eastAsia="es-ES"/>
              </w:rPr>
            </w:pPr>
            <w:r w:rsidRPr="00A01E40">
              <w:rPr>
                <w:rFonts w:eastAsia="Times New Roman"/>
                <w:i/>
                <w:iCs/>
                <w:sz w:val="20"/>
                <w:szCs w:val="24"/>
                <w:lang w:eastAsia="es-ES"/>
              </w:rPr>
              <w:t>Circular Externa n. 016 de 2016</w:t>
            </w:r>
            <w:r w:rsidRPr="00A01E40">
              <w:rPr>
                <w:rFonts w:eastAsia="Times New Roman"/>
                <w:sz w:val="20"/>
                <w:szCs w:val="24"/>
                <w:lang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2C9EA919" w14:textId="77777777" w:rsidR="00D53FCA" w:rsidRPr="00A01E40" w:rsidRDefault="00D53FCA" w:rsidP="005E00B8">
            <w:pPr>
              <w:spacing w:line="276" w:lineRule="auto"/>
              <w:textAlignment w:val="baseline"/>
              <w:rPr>
                <w:rFonts w:eastAsia="Times New Roman"/>
                <w:sz w:val="20"/>
                <w:szCs w:val="24"/>
                <w:lang w:eastAsia="es-ES"/>
              </w:rPr>
            </w:pPr>
            <w:r w:rsidRPr="00A01E40">
              <w:rPr>
                <w:rFonts w:eastAsia="Times New Roman"/>
                <w:i/>
                <w:iCs/>
                <w:sz w:val="20"/>
                <w:szCs w:val="24"/>
                <w:lang w:eastAsia="es-ES"/>
              </w:rPr>
              <w:t>Junto con lo anterior, lleva inmerso el derecho a obtener asesoría de los representantes de ambos regímenes pensionales.</w:t>
            </w:r>
            <w:r w:rsidRPr="00A01E40">
              <w:rPr>
                <w:rFonts w:eastAsia="Times New Roman"/>
                <w:sz w:val="20"/>
                <w:szCs w:val="24"/>
                <w:lang w:eastAsia="es-ES"/>
              </w:rPr>
              <w:t> </w:t>
            </w:r>
          </w:p>
        </w:tc>
      </w:tr>
    </w:tbl>
    <w:p w14:paraId="251726D6" w14:textId="77777777" w:rsidR="00D53FCA" w:rsidRPr="00A01E40" w:rsidRDefault="00D53FCA" w:rsidP="00D53FCA">
      <w:pPr>
        <w:spacing w:line="240" w:lineRule="auto"/>
        <w:ind w:left="426" w:right="420"/>
        <w:rPr>
          <w:rFonts w:eastAsia="Calibri"/>
          <w:b/>
          <w:i/>
          <w:spacing w:val="-4"/>
          <w:szCs w:val="24"/>
        </w:rPr>
      </w:pPr>
    </w:p>
    <w:bookmarkEnd w:id="7"/>
    <w:p w14:paraId="0439A86D" w14:textId="77777777" w:rsidR="00D53FCA" w:rsidRPr="00A01E40" w:rsidRDefault="00D53FCA" w:rsidP="00D53FCA">
      <w:pPr>
        <w:spacing w:line="240" w:lineRule="auto"/>
        <w:ind w:left="426" w:right="420"/>
        <w:rPr>
          <w:rFonts w:eastAsia="Calibri"/>
          <w:b/>
          <w:i/>
          <w:szCs w:val="24"/>
        </w:rPr>
      </w:pPr>
      <w:r w:rsidRPr="00A01E40">
        <w:rPr>
          <w:rFonts w:eastAsia="Calibri"/>
          <w:b/>
          <w:i/>
          <w:szCs w:val="24"/>
        </w:rPr>
        <w:t>1.4 Conclusión: La constatación del deber de información es ineludible</w:t>
      </w:r>
    </w:p>
    <w:p w14:paraId="32FF186B" w14:textId="77777777" w:rsidR="00D53FCA" w:rsidRPr="00A01E40" w:rsidRDefault="00D53FCA" w:rsidP="00D53FCA">
      <w:pPr>
        <w:spacing w:line="240" w:lineRule="auto"/>
        <w:ind w:left="426" w:right="420"/>
        <w:rPr>
          <w:rFonts w:eastAsia="Calibri"/>
          <w:b/>
          <w:i/>
          <w:szCs w:val="24"/>
        </w:rPr>
      </w:pPr>
    </w:p>
    <w:p w14:paraId="7F588AE6" w14:textId="77777777" w:rsidR="00D53FCA" w:rsidRPr="00A01E40" w:rsidRDefault="00D53FCA" w:rsidP="00D53FCA">
      <w:pPr>
        <w:spacing w:line="240" w:lineRule="auto"/>
        <w:ind w:left="426" w:right="420" w:firstLine="1"/>
        <w:rPr>
          <w:rFonts w:eastAsia="Calibri"/>
          <w:i/>
          <w:szCs w:val="24"/>
        </w:rPr>
      </w:pPr>
      <w:r w:rsidRPr="00A01E40">
        <w:rPr>
          <w:rFonts w:eastAsia="Calibri"/>
          <w:i/>
          <w:szCs w:val="24"/>
        </w:rPr>
        <w:t xml:space="preserve">Según se pudo advertir del anterior recuento, </w:t>
      </w:r>
      <w:r w:rsidRPr="00A01E40">
        <w:rPr>
          <w:rFonts w:eastAsia="Calibri"/>
          <w:b/>
          <w:i/>
          <w:szCs w:val="24"/>
        </w:rPr>
        <w:t>las AFP, desde su creación, tenían el deber de brindar información a los afiliados o usuarios del sistema pensional a fin de que estos pudiesen adoptar una decisión consciente y realmente libre sobre su futuro pensional.</w:t>
      </w:r>
      <w:r w:rsidRPr="00A01E40">
        <w:rPr>
          <w:rFonts w:eastAsia="Calibri"/>
          <w:i/>
          <w:szCs w:val="24"/>
        </w:rPr>
        <w:t xml:space="preserve"> Desde luego que con el transcurrir del tiempo, el grado de intensidad de esta exigencia cambió para acumular más obligaciones, pasando de un deber de información necesaria al de asesoría y buen consejo, y finalmente al de doble asesoría. Lo anterior es relevante, pues implica la necesidad, por parte de los jueces, de evaluar el cumplimiento del deber de información de acuerdo con el momento histórico en que debía cumplirse, pero sin perder de vista que este desde un inicio ha existido. </w:t>
      </w:r>
    </w:p>
    <w:p w14:paraId="02D58515" w14:textId="77777777" w:rsidR="00D53FCA" w:rsidRPr="00A01E40" w:rsidRDefault="00D53FCA" w:rsidP="00D53FCA">
      <w:pPr>
        <w:spacing w:line="240" w:lineRule="auto"/>
        <w:ind w:left="426" w:right="420" w:firstLine="1"/>
        <w:rPr>
          <w:rFonts w:eastAsia="Calibri"/>
          <w:i/>
          <w:szCs w:val="24"/>
        </w:rPr>
      </w:pPr>
    </w:p>
    <w:p w14:paraId="545F1CEB" w14:textId="77777777" w:rsidR="00D53FCA" w:rsidRPr="00A01E40" w:rsidRDefault="00D53FCA" w:rsidP="00D53FCA">
      <w:pPr>
        <w:spacing w:line="240" w:lineRule="auto"/>
        <w:ind w:left="426" w:right="420"/>
        <w:rPr>
          <w:rFonts w:eastAsia="Calibri"/>
          <w:i/>
          <w:szCs w:val="24"/>
        </w:rPr>
      </w:pPr>
      <w:r w:rsidRPr="00A01E40">
        <w:rPr>
          <w:rFonts w:eastAsia="Calibri"/>
          <w:i/>
          <w:szCs w:val="24"/>
        </w:rPr>
        <w:t xml:space="preserve">Así las cosas, el Tribunal cometió un primer error al concluir que la responsabilidad por el incumplimiento o entrega de información deficitaria surgió con el Decreto 019 de 2012, en la medida que este exista desde la expedición de la Ley 100 de 1993, el Decreto 663 de 1993 y era predicable de la esencia de las actividades desarrolladas por las administradoras de fondos de pensiones, según se explicó ampliamente.  </w:t>
      </w:r>
    </w:p>
    <w:p w14:paraId="5FE5363E" w14:textId="77777777" w:rsidR="00D53FCA" w:rsidRPr="00A01E40" w:rsidRDefault="00D53FCA" w:rsidP="00D53FCA">
      <w:pPr>
        <w:spacing w:line="240" w:lineRule="auto"/>
        <w:ind w:left="426" w:right="420"/>
        <w:rPr>
          <w:rFonts w:eastAsia="Calibri"/>
          <w:i/>
          <w:szCs w:val="24"/>
        </w:rPr>
      </w:pPr>
    </w:p>
    <w:p w14:paraId="775ED551" w14:textId="77777777" w:rsidR="00D53FCA" w:rsidRPr="00A01E40" w:rsidRDefault="00D53FCA" w:rsidP="00D53FCA">
      <w:pPr>
        <w:spacing w:line="240" w:lineRule="auto"/>
        <w:ind w:left="426" w:right="420"/>
        <w:rPr>
          <w:rFonts w:eastAsia="Calibri"/>
          <w:i/>
          <w:szCs w:val="24"/>
        </w:rPr>
      </w:pPr>
      <w:r w:rsidRPr="00A01E40">
        <w:rPr>
          <w:rFonts w:eastAsia="Calibri"/>
          <w:i/>
          <w:szCs w:val="24"/>
        </w:rPr>
        <w:t xml:space="preserve">Adicionalmente, la Sala no puede pasar por alto la indebida fundamentación con la que </w:t>
      </w:r>
      <w:r w:rsidRPr="00A01E40">
        <w:rPr>
          <w:rFonts w:eastAsia="Calibri"/>
          <w:bCs/>
          <w:i/>
          <w:szCs w:val="24"/>
        </w:rPr>
        <w:t>la Sala Primera de Decisión Laboral del Tribunal de Medellín</w:t>
      </w:r>
      <w:r w:rsidRPr="00A01E40">
        <w:rPr>
          <w:rFonts w:eastAsia="Calibri"/>
          <w:i/>
          <w:szCs w:val="24"/>
        </w:rPr>
        <w:t xml:space="preserve"> emitió su sentencia, pues sin razón alguna se limitó a señalar que a partir del Decreto 019 de 2012 es imputable responsabilidad por omisión o cumplimiento deficitario del deber de información a las AFP, sin especificar la norma de ese decreto que le daba sustento a su dicho y sin la construcción de un argumento jurídico que soportara su tesis. Es decir, la sentencia estuvo desprovista de una adecuada investigación normativa y un discurso jurídico debidamente fundamentado”. </w:t>
      </w:r>
    </w:p>
    <w:p w14:paraId="0C2A7ABE" w14:textId="77777777" w:rsidR="00D53FCA" w:rsidRPr="00A01E40" w:rsidRDefault="00D53FCA" w:rsidP="00D53FCA">
      <w:pPr>
        <w:spacing w:line="276" w:lineRule="auto"/>
        <w:ind w:left="708"/>
        <w:rPr>
          <w:rFonts w:eastAsia="Calibri"/>
          <w:i/>
          <w:spacing w:val="-4"/>
          <w:szCs w:val="24"/>
          <w:lang w:val="es-CO"/>
        </w:rPr>
      </w:pPr>
    </w:p>
    <w:p w14:paraId="54B3774E" w14:textId="77777777" w:rsidR="00D53FCA" w:rsidRPr="00A01E40" w:rsidRDefault="00D53FCA" w:rsidP="00D53FCA">
      <w:pPr>
        <w:spacing w:line="276" w:lineRule="auto"/>
        <w:ind w:firstLine="644"/>
        <w:rPr>
          <w:rFonts w:eastAsia="Calibri"/>
          <w:spacing w:val="-4"/>
          <w:szCs w:val="24"/>
          <w:lang w:val="es-CO"/>
        </w:rPr>
      </w:pPr>
      <w:r w:rsidRPr="00A01E40">
        <w:rPr>
          <w:rFonts w:eastAsia="Calibri"/>
          <w:spacing w:val="-4"/>
          <w:szCs w:val="24"/>
          <w:lang w:val="es-CO"/>
        </w:rPr>
        <w:t>Con lo dicho precedentemente queda resuelto el primer problema jurídico.</w:t>
      </w:r>
    </w:p>
    <w:bookmarkEnd w:id="8"/>
    <w:p w14:paraId="157BE2DE" w14:textId="77777777" w:rsidR="00B27755" w:rsidRPr="00EF1D87" w:rsidRDefault="00B27755" w:rsidP="00EF1D87">
      <w:pPr>
        <w:widowControl w:val="0"/>
        <w:autoSpaceDE w:val="0"/>
        <w:autoSpaceDN w:val="0"/>
        <w:adjustRightInd w:val="0"/>
        <w:spacing w:line="276" w:lineRule="auto"/>
        <w:ind w:firstLine="284"/>
        <w:rPr>
          <w:rFonts w:eastAsia="Calibri"/>
          <w:szCs w:val="24"/>
          <w:lang w:val="es-CO" w:eastAsia="es-CO"/>
        </w:rPr>
      </w:pPr>
    </w:p>
    <w:p w14:paraId="7E6CAE03" w14:textId="1CE47091" w:rsidR="001E0DD0" w:rsidRPr="001E0DD0" w:rsidRDefault="001E0DD0" w:rsidP="001E0DD0">
      <w:pPr>
        <w:pStyle w:val="Prrafodelista"/>
        <w:widowControl w:val="0"/>
        <w:numPr>
          <w:ilvl w:val="1"/>
          <w:numId w:val="4"/>
        </w:numPr>
        <w:autoSpaceDE w:val="0"/>
        <w:autoSpaceDN w:val="0"/>
        <w:adjustRightInd w:val="0"/>
        <w:spacing w:line="276" w:lineRule="auto"/>
        <w:rPr>
          <w:rFonts w:eastAsia="Calibri"/>
          <w:b/>
          <w:szCs w:val="24"/>
          <w:lang w:val="es-CO" w:eastAsia="en-US"/>
        </w:rPr>
      </w:pPr>
      <w:r w:rsidRPr="001E0DD0">
        <w:rPr>
          <w:rFonts w:eastAsia="Calibri"/>
          <w:b/>
          <w:szCs w:val="24"/>
          <w:lang w:val="es-CO" w:eastAsia="en-US"/>
        </w:rPr>
        <w:t xml:space="preserve">“El simple consentimiento vertido en el formulario de afiliación es insuficiente – Necesidad de un consentimiento informado” </w:t>
      </w:r>
      <w:r w:rsidRPr="00864141">
        <w:rPr>
          <w:vertAlign w:val="superscript"/>
          <w:lang w:val="es-CO" w:eastAsia="en-US"/>
        </w:rPr>
        <w:footnoteReference w:id="3"/>
      </w:r>
      <w:r w:rsidRPr="00864141">
        <w:rPr>
          <w:rFonts w:eastAsia="Calibri"/>
          <w:szCs w:val="24"/>
          <w:vertAlign w:val="superscript"/>
          <w:lang w:val="es-CO" w:eastAsia="en-US"/>
        </w:rPr>
        <w:t xml:space="preserve"> </w:t>
      </w:r>
    </w:p>
    <w:p w14:paraId="2A5CB655" w14:textId="77777777" w:rsidR="001E0DD0" w:rsidRPr="001E0DD0" w:rsidRDefault="001E0DD0" w:rsidP="001E0DD0">
      <w:pPr>
        <w:widowControl w:val="0"/>
        <w:autoSpaceDE w:val="0"/>
        <w:autoSpaceDN w:val="0"/>
        <w:adjustRightInd w:val="0"/>
        <w:spacing w:line="276" w:lineRule="auto"/>
        <w:ind w:firstLine="284"/>
        <w:rPr>
          <w:rFonts w:eastAsia="Calibri"/>
          <w:szCs w:val="24"/>
          <w:lang w:val="es-CO" w:eastAsia="en-US"/>
        </w:rPr>
      </w:pPr>
    </w:p>
    <w:p w14:paraId="41CB9D7E" w14:textId="77777777" w:rsidR="001E0DD0" w:rsidRPr="001E0DD0" w:rsidRDefault="001E0DD0" w:rsidP="001E0DD0">
      <w:pPr>
        <w:widowControl w:val="0"/>
        <w:autoSpaceDE w:val="0"/>
        <w:autoSpaceDN w:val="0"/>
        <w:adjustRightInd w:val="0"/>
        <w:spacing w:line="276" w:lineRule="auto"/>
        <w:ind w:firstLine="708"/>
        <w:rPr>
          <w:rFonts w:eastAsia="Calibri"/>
          <w:szCs w:val="24"/>
          <w:lang w:val="es-CO" w:eastAsia="en-US"/>
        </w:rPr>
      </w:pPr>
      <w:r w:rsidRPr="001E0DD0">
        <w:rPr>
          <w:rFonts w:eastAsia="Calibri"/>
          <w:szCs w:val="24"/>
          <w:lang w:val="es-CO" w:eastAsia="en-US"/>
        </w:rPr>
        <w:t xml:space="preserve">El segundo problema jurídico relativo al valor probatorio de los formularios de afiliación, fue abordado en la sentencia a la que venimos haciendo referencia, en el sentido de que los formularios de afiliación a lo sumo acreditan un consentimiento, </w:t>
      </w:r>
      <w:r w:rsidRPr="001E0DD0">
        <w:rPr>
          <w:rFonts w:eastAsia="Calibri"/>
          <w:b/>
          <w:szCs w:val="24"/>
          <w:lang w:val="es-CO" w:eastAsia="en-US"/>
        </w:rPr>
        <w:t>pero no informado</w:t>
      </w:r>
      <w:r w:rsidRPr="001E0DD0">
        <w:rPr>
          <w:rFonts w:eastAsia="Calibri"/>
          <w:szCs w:val="24"/>
          <w:lang w:val="es-CO" w:eastAsia="en-US"/>
        </w:rPr>
        <w:t xml:space="preserve">, tal como se expresa a continuación: </w:t>
      </w:r>
    </w:p>
    <w:p w14:paraId="3B65B09B" w14:textId="77777777" w:rsidR="001E0DD0" w:rsidRPr="001E0DD0" w:rsidRDefault="001E0DD0" w:rsidP="001E0DD0">
      <w:pPr>
        <w:widowControl w:val="0"/>
        <w:autoSpaceDE w:val="0"/>
        <w:autoSpaceDN w:val="0"/>
        <w:adjustRightInd w:val="0"/>
        <w:spacing w:line="276" w:lineRule="auto"/>
        <w:ind w:firstLine="284"/>
        <w:rPr>
          <w:rFonts w:eastAsia="Calibri"/>
          <w:szCs w:val="24"/>
          <w:lang w:val="es-CO" w:eastAsia="en-US"/>
        </w:rPr>
      </w:pPr>
    </w:p>
    <w:p w14:paraId="47350F3D" w14:textId="77777777" w:rsidR="001E0DD0" w:rsidRPr="001E0DD0" w:rsidRDefault="001E0DD0" w:rsidP="001E0DD0">
      <w:pPr>
        <w:spacing w:line="240" w:lineRule="auto"/>
        <w:ind w:left="426" w:right="420" w:firstLine="1"/>
        <w:rPr>
          <w:rFonts w:eastAsia="Calibri"/>
          <w:i/>
          <w:sz w:val="22"/>
          <w:szCs w:val="24"/>
          <w:lang w:eastAsia="en-US"/>
        </w:rPr>
      </w:pPr>
      <w:r w:rsidRPr="001E0DD0">
        <w:rPr>
          <w:rFonts w:eastAsia="Calibri"/>
          <w:i/>
          <w:sz w:val="22"/>
          <w:szCs w:val="24"/>
          <w:lang w:eastAsia="en-US"/>
        </w:rPr>
        <w:t xml:space="preserve">“Para el Tribunal el consentimiento informado no es predicable del acto jurídico de traslado, pues basta la consignación en el formulario de que la afiliación se hizo de manera libre y voluntaria. </w:t>
      </w:r>
    </w:p>
    <w:p w14:paraId="59966456" w14:textId="77777777" w:rsidR="001E0DD0" w:rsidRPr="001E0DD0" w:rsidRDefault="001E0DD0" w:rsidP="001E0DD0">
      <w:pPr>
        <w:spacing w:line="240" w:lineRule="auto"/>
        <w:ind w:left="426" w:right="420" w:firstLine="1"/>
        <w:rPr>
          <w:rFonts w:eastAsia="Calibri"/>
          <w:i/>
          <w:sz w:val="22"/>
          <w:szCs w:val="24"/>
          <w:lang w:eastAsia="en-US"/>
        </w:rPr>
      </w:pPr>
    </w:p>
    <w:p w14:paraId="79941486" w14:textId="77777777" w:rsidR="001E0DD0" w:rsidRPr="001E0DD0" w:rsidRDefault="001E0DD0" w:rsidP="001E0DD0">
      <w:pPr>
        <w:spacing w:line="240" w:lineRule="auto"/>
        <w:ind w:left="426" w:right="420" w:firstLine="1"/>
        <w:rPr>
          <w:rFonts w:eastAsia="Calibri"/>
          <w:i/>
          <w:sz w:val="22"/>
          <w:szCs w:val="24"/>
          <w:lang w:eastAsia="en-US"/>
        </w:rPr>
      </w:pPr>
      <w:r w:rsidRPr="001E0DD0">
        <w:rPr>
          <w:rFonts w:eastAsia="Calibri"/>
          <w:i/>
          <w:sz w:val="22"/>
          <w:szCs w:val="24"/>
          <w:lang w:eastAsia="en-US"/>
        </w:rPr>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p>
    <w:p w14:paraId="40E45E5A" w14:textId="77777777" w:rsidR="001E0DD0" w:rsidRPr="001E0DD0" w:rsidRDefault="001E0DD0" w:rsidP="001E0DD0">
      <w:pPr>
        <w:spacing w:line="240" w:lineRule="auto"/>
        <w:ind w:left="426" w:right="420" w:firstLine="1"/>
        <w:rPr>
          <w:rFonts w:eastAsia="Calibri"/>
          <w:i/>
          <w:sz w:val="22"/>
          <w:szCs w:val="24"/>
          <w:lang w:eastAsia="en-US"/>
        </w:rPr>
      </w:pPr>
    </w:p>
    <w:p w14:paraId="14047E56" w14:textId="77777777" w:rsidR="001E0DD0" w:rsidRPr="001E0DD0" w:rsidRDefault="001E0DD0" w:rsidP="001E0DD0">
      <w:pPr>
        <w:spacing w:line="240" w:lineRule="auto"/>
        <w:ind w:left="426" w:right="420" w:firstLine="1"/>
        <w:rPr>
          <w:rFonts w:eastAsia="Calibri"/>
          <w:i/>
          <w:sz w:val="22"/>
          <w:szCs w:val="24"/>
          <w:lang w:eastAsia="en-US"/>
        </w:rPr>
      </w:pPr>
      <w:r w:rsidRPr="001E0DD0">
        <w:rPr>
          <w:rFonts w:eastAsia="Calibri"/>
          <w:i/>
          <w:sz w:val="22"/>
          <w:szCs w:val="24"/>
          <w:lang w:eastAsia="en-US"/>
        </w:rPr>
        <w:t xml:space="preserve">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14:paraId="0B6F6257" w14:textId="77777777" w:rsidR="001E0DD0" w:rsidRPr="001E0DD0" w:rsidRDefault="001E0DD0" w:rsidP="001E0DD0">
      <w:pPr>
        <w:spacing w:line="240" w:lineRule="auto"/>
        <w:ind w:left="426" w:right="420" w:firstLine="1"/>
        <w:rPr>
          <w:rFonts w:eastAsia="Calibri"/>
          <w:i/>
          <w:sz w:val="22"/>
          <w:szCs w:val="24"/>
          <w:lang w:eastAsia="en-US"/>
        </w:rPr>
      </w:pPr>
    </w:p>
    <w:p w14:paraId="4B1C66D1" w14:textId="77777777" w:rsidR="001E0DD0" w:rsidRPr="001E0DD0" w:rsidRDefault="001E0DD0" w:rsidP="001E0DD0">
      <w:pPr>
        <w:spacing w:line="240" w:lineRule="auto"/>
        <w:ind w:left="426" w:right="420" w:firstLine="1"/>
        <w:rPr>
          <w:rFonts w:eastAsia="Calibri"/>
          <w:i/>
          <w:sz w:val="22"/>
          <w:szCs w:val="24"/>
          <w:lang w:eastAsia="en-US"/>
        </w:rPr>
      </w:pPr>
      <w:r w:rsidRPr="001E0DD0">
        <w:rPr>
          <w:rFonts w:eastAsia="Calibri"/>
          <w:i/>
          <w:sz w:val="22"/>
          <w:szCs w:val="24"/>
          <w:lang w:eastAsia="en-US"/>
        </w:rPr>
        <w:t>Por tanto, hoy en el campo de la seguridad social, existe un verdadero e insoslayable deber de obtener un consentimiento informado (CSJ SL19447-2017), entendido como un procedimiento que garantiza, antes de aceptar un ofrecimiento o un servicio, la comprensión por el usuario de las condiciones, riesgos y consecuencias de su afiliación al régimen. Vale decir, que el afiliado antes de dar su consentimiento, ha recibido información clara, cierta, comprensible y oportuna”.</w:t>
      </w:r>
    </w:p>
    <w:p w14:paraId="1BA13725" w14:textId="77777777" w:rsidR="001E0DD0" w:rsidRPr="001E0DD0" w:rsidRDefault="001E0DD0" w:rsidP="001E0DD0">
      <w:pPr>
        <w:widowControl w:val="0"/>
        <w:autoSpaceDE w:val="0"/>
        <w:autoSpaceDN w:val="0"/>
        <w:adjustRightInd w:val="0"/>
        <w:spacing w:line="276" w:lineRule="auto"/>
        <w:ind w:firstLine="284"/>
        <w:rPr>
          <w:rFonts w:eastAsia="Calibri"/>
          <w:bCs/>
          <w:szCs w:val="24"/>
          <w:lang w:val="es-CO" w:eastAsia="en-US"/>
        </w:rPr>
      </w:pPr>
    </w:p>
    <w:p w14:paraId="12CD4A68" w14:textId="77777777" w:rsidR="001E0DD0" w:rsidRPr="001E0DD0" w:rsidRDefault="001E0DD0" w:rsidP="001E0DD0">
      <w:pPr>
        <w:widowControl w:val="0"/>
        <w:autoSpaceDE w:val="0"/>
        <w:autoSpaceDN w:val="0"/>
        <w:adjustRightInd w:val="0"/>
        <w:spacing w:line="276" w:lineRule="auto"/>
        <w:ind w:firstLine="708"/>
        <w:rPr>
          <w:rFonts w:eastAsia="Calibri"/>
          <w:bCs/>
          <w:szCs w:val="24"/>
          <w:lang w:val="es-CO" w:eastAsia="en-US"/>
        </w:rPr>
      </w:pPr>
      <w:r w:rsidRPr="001E0DD0">
        <w:rPr>
          <w:rFonts w:eastAsia="Calibri"/>
          <w:bCs/>
          <w:szCs w:val="24"/>
          <w:lang w:val="es-CO" w:eastAsia="en-US"/>
        </w:rPr>
        <w:t>Tal como se dijo en precedencia, el tema de la suscripción del formulario de traslado como única prueba para desvirtuar la negligencia en la remisión de información al afiliado, ha sido analizado en múltiples fallos de la Sala de Casación de la Corte Suprema de Justicia, de cuyo contenido queda claro además que la suscripción de varios formularios de afiliación dentro del mismo RAIS</w:t>
      </w:r>
      <w:r w:rsidRPr="001E0DD0">
        <w:rPr>
          <w:rFonts w:eastAsia="Calibri"/>
          <w:bCs/>
          <w:szCs w:val="24"/>
          <w:vertAlign w:val="superscript"/>
          <w:lang w:val="es-CO" w:eastAsia="en-US"/>
        </w:rPr>
        <w:footnoteReference w:id="4"/>
      </w:r>
      <w:r w:rsidRPr="001E0DD0">
        <w:rPr>
          <w:rFonts w:eastAsia="Calibri"/>
          <w:bCs/>
          <w:szCs w:val="24"/>
          <w:lang w:val="es-CO" w:eastAsia="en-US"/>
        </w:rPr>
        <w:t>, tampoco es suficiente para declarar eficaz el primer traslado si de todas maneras no se demuestra que al interesado o interesada se le brindó la información suficiente y clara respecto a las ventajas y desventajas del cambio de régimen. Entre estas sentencias, está la providencia CSJ SL12136-2014 en la que se dijo lo siguiente:</w:t>
      </w:r>
    </w:p>
    <w:p w14:paraId="68AC2197" w14:textId="77777777" w:rsidR="001E0DD0" w:rsidRPr="001E0DD0" w:rsidRDefault="001E0DD0" w:rsidP="001E0DD0">
      <w:pPr>
        <w:widowControl w:val="0"/>
        <w:autoSpaceDE w:val="0"/>
        <w:autoSpaceDN w:val="0"/>
        <w:adjustRightInd w:val="0"/>
        <w:spacing w:line="276" w:lineRule="auto"/>
        <w:ind w:firstLine="284"/>
        <w:rPr>
          <w:rFonts w:eastAsia="Calibri"/>
          <w:bCs/>
          <w:i/>
          <w:szCs w:val="24"/>
          <w:lang w:val="es-CO" w:eastAsia="en-US"/>
        </w:rPr>
      </w:pPr>
    </w:p>
    <w:p w14:paraId="2E918555" w14:textId="77777777" w:rsidR="001E0DD0" w:rsidRPr="001E0DD0" w:rsidRDefault="001E0DD0" w:rsidP="001E0DD0">
      <w:pPr>
        <w:spacing w:line="240" w:lineRule="auto"/>
        <w:ind w:left="426" w:right="420"/>
        <w:rPr>
          <w:rFonts w:eastAsia="Calibri"/>
          <w:i/>
          <w:sz w:val="22"/>
          <w:szCs w:val="24"/>
          <w:lang w:eastAsia="en-US"/>
        </w:rPr>
      </w:pPr>
      <w:r w:rsidRPr="001E0DD0">
        <w:rPr>
          <w:rFonts w:eastAsia="Calibri"/>
          <w:i/>
          <w:sz w:val="22"/>
          <w:szCs w:val="24"/>
          <w:lang w:eastAsia="en-US"/>
        </w:rPr>
        <w:t xml:space="preserve">“De manera que, conforme lo discurrido queda claro que existirá ineficacia de la afiliación cuando quiera que i) la insuficiencia de la información genere lesiones injustificadas en el derecho pensional del afiliado, impidiéndole su acceso al derecho; ii) no será suficiente la simple suscripción del formulario, sino el cotejo con la información brindada, la cual debe corresponder a la realidad; iii) en los términos del artículo 1604 del Código Civil corresponde a las Administradoras de Fondo de Pensiones allegar prueba sobre los datos proporcionados a los afiliados, los cuales, </w:t>
      </w:r>
      <w:r w:rsidRPr="001E0DD0">
        <w:rPr>
          <w:rFonts w:eastAsia="Calibri"/>
          <w:i/>
          <w:sz w:val="22"/>
          <w:szCs w:val="24"/>
          <w:lang w:eastAsia="en-US"/>
        </w:rPr>
        <w:lastRenderedPageBreak/>
        <w:t>de no ser ciertos, tendrán además las sanciones pecuniarias del artículo 271 de Ley 100 de 1993, y en los que debe constar los aspectos positivos y negativos de la vinculación y la incidencia en el derecho pensional.</w:t>
      </w:r>
    </w:p>
    <w:p w14:paraId="1FB4E1CD" w14:textId="77777777" w:rsidR="001E0DD0" w:rsidRPr="001E0DD0" w:rsidRDefault="001E0DD0" w:rsidP="001E0DD0">
      <w:pPr>
        <w:spacing w:line="240" w:lineRule="auto"/>
        <w:ind w:left="426" w:right="420" w:firstLine="708"/>
        <w:rPr>
          <w:rFonts w:eastAsia="Calibri"/>
          <w:b/>
          <w:i/>
          <w:sz w:val="22"/>
          <w:szCs w:val="24"/>
          <w:lang w:eastAsia="en-US"/>
        </w:rPr>
      </w:pPr>
    </w:p>
    <w:p w14:paraId="794739BB" w14:textId="77777777" w:rsidR="001E0DD0" w:rsidRPr="001E0DD0" w:rsidRDefault="001E0DD0" w:rsidP="001E0DD0">
      <w:pPr>
        <w:tabs>
          <w:tab w:val="left" w:pos="709"/>
        </w:tabs>
        <w:spacing w:line="240" w:lineRule="auto"/>
        <w:ind w:left="426" w:right="420"/>
        <w:rPr>
          <w:rFonts w:eastAsia="Calibri"/>
          <w:i/>
          <w:sz w:val="22"/>
          <w:szCs w:val="24"/>
          <w:lang w:eastAsia="en-US"/>
        </w:rPr>
      </w:pPr>
      <w:r w:rsidRPr="001E0DD0">
        <w:rPr>
          <w:rFonts w:eastAsia="Calibri"/>
          <w:i/>
          <w:sz w:val="22"/>
          <w:szCs w:val="24"/>
          <w:lang w:eastAsia="en-US"/>
        </w:rPr>
        <w:t>En ese orden, el Tribunal en su decisión incurrió en los yerros que se le endilgan, al considerar que no se acreditó el engaño por parte del actor, cuando resulta claro que la información, en este caso, del traslado de régimen, resulta ser de transparencia máxima, lo cual no puede ser ignorado por los jueces de instancia, dada la trascendencia del derecho pensional que está de por medio; de contera además, el juzgador desconoció el artículo 11 de la Ley 100/93, en donde se establece el  respeto por los derechos, garantías, prerrogativas, servicios y beneficios adquiridos a quienes estén pensionados o hayan cumplido los requisitos,  así como el literal b) del precepto 13  ibídem que trata sobre la selección libre y voluntaria de régimen”.</w:t>
      </w:r>
    </w:p>
    <w:p w14:paraId="3C7EA6FB" w14:textId="77777777" w:rsidR="001E0DD0" w:rsidRPr="001E0DD0" w:rsidRDefault="001E0DD0" w:rsidP="001E0DD0">
      <w:pPr>
        <w:spacing w:line="276" w:lineRule="auto"/>
        <w:rPr>
          <w:rFonts w:eastAsiaTheme="minorHAnsi"/>
          <w:szCs w:val="24"/>
          <w:lang w:val="es-CO" w:eastAsia="en-US"/>
        </w:rPr>
      </w:pPr>
      <w:r w:rsidRPr="001E0DD0">
        <w:rPr>
          <w:szCs w:val="24"/>
          <w:lang w:val="es-CO" w:eastAsia="en-US"/>
        </w:rPr>
        <w:t xml:space="preserve"> </w:t>
      </w:r>
    </w:p>
    <w:p w14:paraId="61D8C253" w14:textId="77777777" w:rsidR="001E0DD0" w:rsidRPr="001E0DD0" w:rsidRDefault="001E0DD0" w:rsidP="001E0DD0">
      <w:pPr>
        <w:spacing w:line="276" w:lineRule="auto"/>
        <w:ind w:firstLine="284"/>
        <w:rPr>
          <w:rFonts w:eastAsiaTheme="minorHAnsi"/>
          <w:szCs w:val="24"/>
          <w:lang w:val="es-CO" w:eastAsia="en-US"/>
        </w:rPr>
      </w:pPr>
      <w:r w:rsidRPr="001E0DD0">
        <w:rPr>
          <w:szCs w:val="24"/>
          <w:lang w:val="es" w:eastAsia="en-US"/>
        </w:rPr>
        <w:t xml:space="preserve">Igual cosa se ha predicado de las </w:t>
      </w:r>
      <w:proofErr w:type="spellStart"/>
      <w:r w:rsidRPr="001E0DD0">
        <w:rPr>
          <w:szCs w:val="24"/>
          <w:lang w:val="es" w:eastAsia="en-US"/>
        </w:rPr>
        <w:t>reasesorías</w:t>
      </w:r>
      <w:proofErr w:type="spellEnd"/>
      <w:r w:rsidRPr="001E0DD0">
        <w:rPr>
          <w:szCs w:val="24"/>
          <w:lang w:val="es" w:eastAsia="en-US"/>
        </w:rPr>
        <w:t xml:space="preserve"> posteriores dadas al interior de las AFP, las cuales tampoco convalidan el traslado, como quedó dicho en la citada </w:t>
      </w:r>
      <w:r w:rsidRPr="001E0DD0">
        <w:rPr>
          <w:szCs w:val="24"/>
          <w:lang w:val="es-CO" w:eastAsia="en-US"/>
        </w:rPr>
        <w:t xml:space="preserve">sentencia del 8 de mayo de 2019SL 1688-2019, así: </w:t>
      </w:r>
    </w:p>
    <w:p w14:paraId="53A3CD82" w14:textId="77777777" w:rsidR="001E0DD0" w:rsidRPr="001E0DD0" w:rsidRDefault="001E0DD0" w:rsidP="001E0DD0">
      <w:pPr>
        <w:spacing w:line="276" w:lineRule="auto"/>
        <w:rPr>
          <w:rFonts w:eastAsiaTheme="minorHAnsi"/>
          <w:szCs w:val="24"/>
          <w:lang w:val="es-CO" w:eastAsia="en-US"/>
        </w:rPr>
      </w:pPr>
      <w:r w:rsidRPr="001E0DD0">
        <w:rPr>
          <w:szCs w:val="24"/>
          <w:lang w:val="es" w:eastAsia="en-US"/>
        </w:rPr>
        <w:t xml:space="preserve">  </w:t>
      </w:r>
    </w:p>
    <w:p w14:paraId="4E0FC885" w14:textId="77777777" w:rsidR="001E0DD0" w:rsidRPr="001E0DD0" w:rsidRDefault="001E0DD0" w:rsidP="001E0DD0">
      <w:pPr>
        <w:spacing w:line="240" w:lineRule="auto"/>
        <w:ind w:left="426" w:right="420"/>
        <w:rPr>
          <w:rFonts w:eastAsia="Calibri"/>
          <w:i/>
          <w:sz w:val="22"/>
          <w:szCs w:val="24"/>
          <w:lang w:eastAsia="en-US"/>
        </w:rPr>
      </w:pPr>
      <w:r w:rsidRPr="001E0DD0">
        <w:rPr>
          <w:rFonts w:eastAsia="Calibri"/>
          <w:i/>
          <w:sz w:val="22"/>
          <w:szCs w:val="24"/>
          <w:lang w:eastAsia="en-US"/>
        </w:rPr>
        <w:t xml:space="preserve">“Ahora, si bien la AFP brindó a la actora una </w:t>
      </w:r>
      <w:proofErr w:type="spellStart"/>
      <w:r w:rsidRPr="001E0DD0">
        <w:rPr>
          <w:rFonts w:eastAsia="Calibri"/>
          <w:i/>
          <w:sz w:val="22"/>
          <w:szCs w:val="24"/>
          <w:lang w:eastAsia="en-US"/>
        </w:rPr>
        <w:t>reasesoría</w:t>
      </w:r>
      <w:proofErr w:type="spellEnd"/>
      <w:r w:rsidRPr="001E0DD0">
        <w:rPr>
          <w:rFonts w:eastAsia="Calibri"/>
          <w:i/>
          <w:sz w:val="22"/>
          <w:szCs w:val="24"/>
          <w:lang w:eastAsia="en-US"/>
        </w:rPr>
        <w:t xml:space="preserve"> el 26 de noviembre de 2003, en virtud de la cual se concluyó la inconveniencia de continuar en Protección S.A., la Sala considera que este servicio no tiene la aptitud de subsanar el incumplimiento de la obligación de información en que incurrió la AFP al momento del traslado, por dos razones:</w:t>
      </w:r>
    </w:p>
    <w:p w14:paraId="4E8C7D6B" w14:textId="77777777" w:rsidR="001E0DD0" w:rsidRPr="001E0DD0" w:rsidRDefault="001E0DD0" w:rsidP="001E0DD0">
      <w:pPr>
        <w:spacing w:line="240" w:lineRule="auto"/>
        <w:ind w:left="426" w:right="420" w:firstLine="709"/>
        <w:rPr>
          <w:rFonts w:eastAsia="Arial Narrow"/>
          <w:i/>
          <w:iCs/>
          <w:sz w:val="22"/>
          <w:szCs w:val="24"/>
          <w:lang w:eastAsia="en-US"/>
        </w:rPr>
      </w:pPr>
      <w:r w:rsidRPr="001E0DD0">
        <w:rPr>
          <w:rFonts w:eastAsia="Arial Narrow"/>
          <w:i/>
          <w:iCs/>
          <w:sz w:val="22"/>
          <w:szCs w:val="24"/>
          <w:lang w:eastAsia="en-US"/>
        </w:rPr>
        <w:t xml:space="preserve"> </w:t>
      </w:r>
    </w:p>
    <w:p w14:paraId="7EB4494F" w14:textId="77777777" w:rsidR="001E0DD0" w:rsidRPr="001E0DD0" w:rsidRDefault="001E0DD0" w:rsidP="001E0DD0">
      <w:pPr>
        <w:spacing w:line="240" w:lineRule="auto"/>
        <w:ind w:left="426" w:right="420"/>
        <w:rPr>
          <w:rFonts w:eastAsia="Calibri"/>
          <w:i/>
          <w:sz w:val="22"/>
          <w:szCs w:val="24"/>
          <w:lang w:eastAsia="en-US"/>
        </w:rPr>
      </w:pPr>
      <w:r w:rsidRPr="001E0DD0">
        <w:rPr>
          <w:rFonts w:eastAsia="Calibri"/>
          <w:i/>
          <w:sz w:val="22"/>
          <w:szCs w:val="24"/>
          <w:lang w:eastAsia="en-US"/>
        </w:rPr>
        <w:t xml:space="preserve">En primer término, porque el traslado al RAIS implicó la pérdida de los beneficios derivados de la transición al no contar la demandante con 15 años de cotización o servicios a 1. 0 de abril de 1994. Es decir, así se hubiese trasladado la demandante al día siguiente de la </w:t>
      </w:r>
      <w:proofErr w:type="spellStart"/>
      <w:r w:rsidRPr="001E0DD0">
        <w:rPr>
          <w:rFonts w:eastAsia="Calibri"/>
          <w:i/>
          <w:sz w:val="22"/>
          <w:szCs w:val="24"/>
          <w:lang w:eastAsia="en-US"/>
        </w:rPr>
        <w:t>reasesoría</w:t>
      </w:r>
      <w:proofErr w:type="spellEnd"/>
      <w:r w:rsidRPr="001E0DD0">
        <w:rPr>
          <w:rFonts w:eastAsia="Calibri"/>
          <w:i/>
          <w:sz w:val="22"/>
          <w:szCs w:val="24"/>
          <w:lang w:eastAsia="en-US"/>
        </w:rPr>
        <w:t>, de todas formas ya había perdido la transición.</w:t>
      </w:r>
    </w:p>
    <w:p w14:paraId="656D5AED" w14:textId="77777777" w:rsidR="001E0DD0" w:rsidRPr="001E0DD0" w:rsidRDefault="001E0DD0" w:rsidP="001E0DD0">
      <w:pPr>
        <w:spacing w:line="240" w:lineRule="auto"/>
        <w:ind w:left="426" w:right="420" w:firstLine="709"/>
        <w:rPr>
          <w:rFonts w:eastAsia="Arial Narrow"/>
          <w:i/>
          <w:iCs/>
          <w:sz w:val="22"/>
          <w:szCs w:val="24"/>
          <w:lang w:eastAsia="en-US"/>
        </w:rPr>
      </w:pPr>
      <w:r w:rsidRPr="001E0DD0">
        <w:rPr>
          <w:rFonts w:eastAsia="Arial Narrow"/>
          <w:i/>
          <w:iCs/>
          <w:sz w:val="22"/>
          <w:szCs w:val="24"/>
          <w:lang w:eastAsia="en-US"/>
        </w:rPr>
        <w:t xml:space="preserve"> </w:t>
      </w:r>
    </w:p>
    <w:p w14:paraId="2F46206C" w14:textId="77777777" w:rsidR="001E0DD0" w:rsidRPr="001E0DD0" w:rsidRDefault="001E0DD0" w:rsidP="001E0DD0">
      <w:pPr>
        <w:spacing w:line="240" w:lineRule="auto"/>
        <w:ind w:left="426" w:right="420"/>
        <w:rPr>
          <w:rFonts w:eastAsia="Calibri"/>
          <w:i/>
          <w:sz w:val="22"/>
          <w:szCs w:val="24"/>
          <w:lang w:eastAsia="en-US"/>
        </w:rPr>
      </w:pPr>
      <w:r w:rsidRPr="001E0DD0">
        <w:rPr>
          <w:rFonts w:eastAsia="Calibri"/>
          <w:i/>
          <w:sz w:val="22"/>
          <w:szCs w:val="24"/>
          <w:lang w:eastAsia="en-US"/>
        </w:rPr>
        <w:t>En segundo lugar, porque la oportunidad de la información se juzga al momento del acto jurídico del traslado, no con posterioridad. Como se dijo, el afiliado requiere para tomar decisiones de la entrega de datos bajo las variables de tiempo e información, que le permitan ponderar costos, desventajas y beneficios hacia el futuro. Desde este punto de vista, un dato solo será relevante si es oportuno, es decir, si al momento en que se entrega brinda al destinatario su máximo de utilidad. Por el contrario, si la asesoría no se otorga oportunamente y, por tanto, pierde su utilidad, ello equivale a la ausencia de información.</w:t>
      </w:r>
    </w:p>
    <w:p w14:paraId="30569F69" w14:textId="77777777" w:rsidR="001E0DD0" w:rsidRPr="001E0DD0" w:rsidRDefault="001E0DD0" w:rsidP="001E0DD0">
      <w:pPr>
        <w:spacing w:line="240" w:lineRule="auto"/>
        <w:ind w:left="426" w:right="420" w:firstLine="709"/>
        <w:rPr>
          <w:rFonts w:eastAsia="Arial Narrow"/>
          <w:i/>
          <w:iCs/>
          <w:sz w:val="22"/>
          <w:szCs w:val="24"/>
          <w:lang w:eastAsia="en-US"/>
        </w:rPr>
      </w:pPr>
      <w:r w:rsidRPr="001E0DD0">
        <w:rPr>
          <w:rFonts w:eastAsia="Arial Narrow"/>
          <w:i/>
          <w:iCs/>
          <w:sz w:val="22"/>
          <w:szCs w:val="24"/>
          <w:lang w:eastAsia="en-US"/>
        </w:rPr>
        <w:t xml:space="preserve"> </w:t>
      </w:r>
    </w:p>
    <w:p w14:paraId="062E4043" w14:textId="77777777" w:rsidR="001E0DD0" w:rsidRPr="001E0DD0" w:rsidRDefault="001E0DD0" w:rsidP="001E0DD0">
      <w:pPr>
        <w:spacing w:line="240" w:lineRule="auto"/>
        <w:ind w:left="426" w:right="420"/>
        <w:rPr>
          <w:rFonts w:eastAsia="Calibri"/>
          <w:i/>
          <w:sz w:val="22"/>
          <w:szCs w:val="24"/>
          <w:lang w:eastAsia="en-US"/>
        </w:rPr>
      </w:pPr>
      <w:r w:rsidRPr="001E0DD0">
        <w:rPr>
          <w:rFonts w:eastAsia="Calibri"/>
          <w:i/>
          <w:sz w:val="22"/>
          <w:szCs w:val="24"/>
          <w:lang w:eastAsia="en-US"/>
        </w:rPr>
        <w:t xml:space="preserve">Por otro lado, no es de recibo el planteo de Protección S.A., cuando sostiene que una vez realizó la </w:t>
      </w:r>
      <w:proofErr w:type="spellStart"/>
      <w:r w:rsidRPr="001E0DD0">
        <w:rPr>
          <w:rFonts w:eastAsia="Calibri"/>
          <w:i/>
          <w:sz w:val="22"/>
          <w:szCs w:val="24"/>
          <w:lang w:eastAsia="en-US"/>
        </w:rPr>
        <w:t>reasesoría</w:t>
      </w:r>
      <w:proofErr w:type="spellEnd"/>
      <w:r w:rsidRPr="001E0DD0">
        <w:rPr>
          <w:rFonts w:eastAsia="Calibri"/>
          <w:i/>
          <w:sz w:val="22"/>
          <w:szCs w:val="24"/>
          <w:lang w:eastAsia="en-US"/>
        </w:rPr>
        <w:t>, Myriam Arroyave Henao no mostró interés en la ineficacia de la vinculación al RAIS, al conservar su status de afiliada durante un tiempo, Se dice lo anterior ya que la sugerencia de Protección S.A. de regresar al RPMPD, se produjo el 26 de noviembre de 2003, y el formulario para la nueva afiliación al ISS se diligenció el 14 de enero de 2004 (f. 0 97), es decir, la interesada no dejó transcurrir dos meses desde que recibió asesoría. Por lo demás, este lapso es razonable, pues dada la relevancia de esta determinación, era natural que la accionante se tomara un tiempo de reflexión, buscara información y consejo profesional para, finalmente, adoptar su elección”.</w:t>
      </w:r>
    </w:p>
    <w:p w14:paraId="204A75C7" w14:textId="77777777" w:rsidR="00B27755" w:rsidRPr="00EF1D87" w:rsidRDefault="00B27755" w:rsidP="00EF1D87">
      <w:pPr>
        <w:widowControl w:val="0"/>
        <w:autoSpaceDE w:val="0"/>
        <w:autoSpaceDN w:val="0"/>
        <w:adjustRightInd w:val="0"/>
        <w:spacing w:line="276" w:lineRule="auto"/>
        <w:ind w:firstLine="284"/>
        <w:rPr>
          <w:rFonts w:eastAsia="Calibri"/>
          <w:szCs w:val="24"/>
          <w:lang w:val="es-CO" w:eastAsia="es-CO"/>
        </w:rPr>
      </w:pPr>
    </w:p>
    <w:p w14:paraId="63951946" w14:textId="194BC656" w:rsidR="00B27755" w:rsidRPr="001E0DD0" w:rsidRDefault="00B27755" w:rsidP="001E0DD0">
      <w:pPr>
        <w:pStyle w:val="Prrafodelista"/>
        <w:widowControl w:val="0"/>
        <w:numPr>
          <w:ilvl w:val="1"/>
          <w:numId w:val="4"/>
        </w:numPr>
        <w:autoSpaceDE w:val="0"/>
        <w:autoSpaceDN w:val="0"/>
        <w:adjustRightInd w:val="0"/>
        <w:spacing w:line="276" w:lineRule="auto"/>
        <w:rPr>
          <w:rFonts w:eastAsia="Calibri"/>
          <w:b/>
          <w:iCs/>
          <w:szCs w:val="24"/>
          <w:lang w:val="es-CO" w:eastAsia="es-CO"/>
        </w:rPr>
      </w:pPr>
      <w:r w:rsidRPr="001E0DD0">
        <w:rPr>
          <w:rFonts w:eastAsia="Calibri"/>
          <w:b/>
          <w:iCs/>
          <w:szCs w:val="24"/>
          <w:lang w:val="es-CO" w:eastAsia="es-CO"/>
        </w:rPr>
        <w:t xml:space="preserve">“De la carga de la prueba – Inversión a favor del afiliado” </w:t>
      </w:r>
      <w:r w:rsidRPr="00EF1D87">
        <w:rPr>
          <w:vertAlign w:val="superscript"/>
          <w:lang w:val="es-CO" w:eastAsia="es-CO"/>
        </w:rPr>
        <w:footnoteReference w:id="5"/>
      </w:r>
    </w:p>
    <w:p w14:paraId="69F7854B" w14:textId="77777777" w:rsidR="00B27755" w:rsidRPr="00EF1D87" w:rsidRDefault="00B27755" w:rsidP="00EF1D87">
      <w:pPr>
        <w:widowControl w:val="0"/>
        <w:autoSpaceDE w:val="0"/>
        <w:autoSpaceDN w:val="0"/>
        <w:adjustRightInd w:val="0"/>
        <w:spacing w:line="276" w:lineRule="auto"/>
        <w:ind w:firstLine="284"/>
        <w:rPr>
          <w:rFonts w:eastAsia="Calibri"/>
          <w:b/>
          <w:szCs w:val="24"/>
          <w:lang w:val="es-CO" w:eastAsia="es-CO"/>
        </w:rPr>
      </w:pPr>
    </w:p>
    <w:p w14:paraId="15785585" w14:textId="77777777" w:rsidR="00864141" w:rsidRPr="00864141" w:rsidRDefault="00864141" w:rsidP="00864141">
      <w:pPr>
        <w:spacing w:line="276" w:lineRule="auto"/>
        <w:ind w:firstLine="284"/>
        <w:rPr>
          <w:rFonts w:eastAsiaTheme="minorHAnsi"/>
          <w:szCs w:val="24"/>
          <w:lang w:val="es-CO" w:eastAsia="en-US"/>
        </w:rPr>
      </w:pPr>
      <w:bookmarkStart w:id="9" w:name="_Hlk101953491"/>
      <w:r w:rsidRPr="00864141">
        <w:rPr>
          <w:szCs w:val="24"/>
          <w:lang w:val="es-CO" w:eastAsia="en-US"/>
        </w:rPr>
        <w:t xml:space="preserve">El tercer problema jurídico relativo a la carga de la prueba en los procesos de ineficacia de traslado, también se resolvió por la Corte Suprema de Justicia desde la sentencia hito, en la que se expresó que de conformidad al artículo 1604 del Código </w:t>
      </w:r>
      <w:r w:rsidRPr="00864141">
        <w:rPr>
          <w:szCs w:val="24"/>
          <w:lang w:val="es-CO" w:eastAsia="en-US"/>
        </w:rPr>
        <w:lastRenderedPageBreak/>
        <w:t>Civil “</w:t>
      </w:r>
      <w:r w:rsidRPr="00864141">
        <w:rPr>
          <w:i/>
          <w:iCs/>
          <w:sz w:val="22"/>
          <w:szCs w:val="24"/>
          <w:lang w:val="es-CO" w:eastAsia="en-US"/>
        </w:rPr>
        <w:t>la prueba de la diligencia o cuidado incumbe al que ha debido emplearlo</w:t>
      </w:r>
      <w:r w:rsidRPr="00864141">
        <w:rPr>
          <w:i/>
          <w:iCs/>
          <w:szCs w:val="24"/>
          <w:lang w:val="es-CO" w:eastAsia="en-US"/>
        </w:rPr>
        <w:t>”</w:t>
      </w:r>
      <w:r w:rsidRPr="00864141">
        <w:rPr>
          <w:szCs w:val="24"/>
          <w:lang w:val="es-CO" w:eastAsia="en-US"/>
        </w:rPr>
        <w:t xml:space="preserve"> lo que quiere decir que la carga de la prueba recae en el fondo de pensiones. Dicha postura se ha mantenido invariable, y se reiteró de manera más contundente en la citada sentencia, así: </w:t>
      </w:r>
    </w:p>
    <w:p w14:paraId="44758873" w14:textId="77777777" w:rsidR="00864141" w:rsidRPr="00864141" w:rsidRDefault="00864141" w:rsidP="00864141">
      <w:pPr>
        <w:spacing w:line="276" w:lineRule="auto"/>
        <w:ind w:firstLine="708"/>
        <w:rPr>
          <w:rFonts w:eastAsiaTheme="minorHAnsi"/>
          <w:szCs w:val="24"/>
          <w:lang w:val="es-CO" w:eastAsia="en-US"/>
        </w:rPr>
      </w:pPr>
      <w:r w:rsidRPr="00864141">
        <w:rPr>
          <w:szCs w:val="24"/>
          <w:lang w:val="es-CO" w:eastAsia="en-US"/>
        </w:rPr>
        <w:t xml:space="preserve"> </w:t>
      </w:r>
    </w:p>
    <w:p w14:paraId="6C007DA7" w14:textId="77777777" w:rsidR="00864141" w:rsidRPr="00864141" w:rsidRDefault="00864141" w:rsidP="00864141">
      <w:pPr>
        <w:spacing w:line="240" w:lineRule="auto"/>
        <w:ind w:left="426" w:right="420" w:firstLine="1"/>
        <w:rPr>
          <w:rFonts w:eastAsia="Calibri"/>
          <w:i/>
          <w:sz w:val="22"/>
          <w:lang w:eastAsia="en-US"/>
        </w:rPr>
      </w:pPr>
      <w:r w:rsidRPr="00864141">
        <w:rPr>
          <w:rFonts w:eastAsia="Calibri"/>
          <w:sz w:val="22"/>
          <w:lang w:eastAsia="en-US"/>
        </w:rPr>
        <w:t>“</w:t>
      </w:r>
      <w:r w:rsidRPr="00864141">
        <w:rPr>
          <w:rFonts w:eastAsia="Calibri"/>
          <w:i/>
          <w:sz w:val="22"/>
          <w:lang w:eastAsia="en-US"/>
        </w:rPr>
        <w:t xml:space="preserve">Según lo expuesto precedentemente, es la demostración de un consentimiento informado en el traslado de régimen, el que tiene la virtud de generar en el juzgador la convicción de que ese contrato de aseguramiento goza de plena validez. </w:t>
      </w:r>
    </w:p>
    <w:p w14:paraId="69E157F7" w14:textId="77777777" w:rsidR="00864141" w:rsidRPr="00864141" w:rsidRDefault="00864141" w:rsidP="00864141">
      <w:pPr>
        <w:spacing w:line="240" w:lineRule="auto"/>
        <w:ind w:left="426" w:right="420" w:firstLine="1"/>
        <w:rPr>
          <w:rFonts w:eastAsia="Calibri"/>
          <w:i/>
          <w:sz w:val="22"/>
          <w:lang w:eastAsia="en-US"/>
        </w:rPr>
      </w:pPr>
    </w:p>
    <w:p w14:paraId="04F898F1" w14:textId="77777777" w:rsidR="00864141" w:rsidRPr="00864141" w:rsidRDefault="00864141" w:rsidP="00864141">
      <w:pPr>
        <w:spacing w:line="240" w:lineRule="auto"/>
        <w:ind w:left="426" w:right="420" w:firstLine="1"/>
        <w:rPr>
          <w:rFonts w:eastAsia="Calibri"/>
          <w:i/>
          <w:sz w:val="22"/>
          <w:lang w:eastAsia="en-US"/>
        </w:rPr>
      </w:pPr>
      <w:r w:rsidRPr="00864141">
        <w:rPr>
          <w:rFonts w:eastAsia="Calibri"/>
          <w:i/>
          <w:sz w:val="22"/>
          <w:lang w:eastAsia="en-US"/>
        </w:rPr>
        <w:t xml:space="preserve">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14:paraId="501012D7" w14:textId="77777777" w:rsidR="00864141" w:rsidRPr="00864141" w:rsidRDefault="00864141" w:rsidP="00864141">
      <w:pPr>
        <w:spacing w:line="240" w:lineRule="auto"/>
        <w:ind w:left="426" w:right="420" w:firstLine="1"/>
        <w:rPr>
          <w:rFonts w:eastAsia="Calibri"/>
          <w:i/>
          <w:sz w:val="22"/>
          <w:lang w:eastAsia="en-US"/>
        </w:rPr>
      </w:pPr>
    </w:p>
    <w:p w14:paraId="13AFB247" w14:textId="77777777" w:rsidR="00864141" w:rsidRPr="00864141" w:rsidRDefault="00864141" w:rsidP="00864141">
      <w:pPr>
        <w:spacing w:line="240" w:lineRule="auto"/>
        <w:ind w:left="426" w:right="420" w:firstLine="1"/>
        <w:rPr>
          <w:rFonts w:eastAsia="Calibri"/>
          <w:i/>
          <w:sz w:val="22"/>
          <w:lang w:eastAsia="en-US"/>
        </w:rPr>
      </w:pPr>
      <w:r w:rsidRPr="00864141">
        <w:rPr>
          <w:rFonts w:eastAsia="Calibri"/>
          <w:i/>
          <w:sz w:val="22"/>
          <w:lang w:eastAsia="en-US"/>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5656FE0C" w14:textId="77777777" w:rsidR="00864141" w:rsidRPr="00864141" w:rsidRDefault="00864141" w:rsidP="00864141">
      <w:pPr>
        <w:spacing w:line="240" w:lineRule="auto"/>
        <w:ind w:left="426" w:right="420" w:firstLine="1"/>
        <w:rPr>
          <w:rFonts w:eastAsia="Calibri"/>
          <w:i/>
          <w:sz w:val="22"/>
          <w:lang w:eastAsia="en-US"/>
        </w:rPr>
      </w:pPr>
    </w:p>
    <w:p w14:paraId="625CEB4C" w14:textId="77777777" w:rsidR="00864141" w:rsidRPr="00864141" w:rsidRDefault="00864141" w:rsidP="00864141">
      <w:pPr>
        <w:spacing w:line="240" w:lineRule="auto"/>
        <w:ind w:left="426" w:right="420" w:firstLine="1"/>
        <w:rPr>
          <w:rFonts w:eastAsia="Calibri"/>
          <w:i/>
          <w:iCs/>
          <w:sz w:val="22"/>
          <w:lang w:eastAsia="en-US"/>
        </w:rPr>
      </w:pPr>
      <w:r w:rsidRPr="00864141">
        <w:rPr>
          <w:rFonts w:eastAsia="Calibri"/>
          <w:i/>
          <w:sz w:val="22"/>
          <w:lang w:eastAsia="en-US"/>
        </w:rPr>
        <w:t xml:space="preserve">Como se ha expuesto, el deber de información al momento del traslado entre regímenes, es una obligación que corresponde a las administradoras de fondos de pensiones, y </w:t>
      </w:r>
      <w:r w:rsidRPr="00864141">
        <w:rPr>
          <w:rFonts w:eastAsia="Calibri"/>
          <w:i/>
          <w:iCs/>
          <w:sz w:val="22"/>
          <w:lang w:eastAsia="en-US"/>
        </w:rPr>
        <w:t xml:space="preserve">su ejercicio debe ser de tal diligencia, que permita comprender la lógica, beneficios y desventajas del cambio de régimen, así como prever los riesgos y efectos negativos de esa decisión. </w:t>
      </w:r>
    </w:p>
    <w:p w14:paraId="21BBB3C1" w14:textId="77777777" w:rsidR="00864141" w:rsidRPr="00864141" w:rsidRDefault="00864141" w:rsidP="00864141">
      <w:pPr>
        <w:spacing w:line="240" w:lineRule="auto"/>
        <w:ind w:left="426" w:right="420" w:firstLine="1"/>
        <w:rPr>
          <w:rFonts w:eastAsia="Calibri"/>
          <w:i/>
          <w:iCs/>
          <w:sz w:val="22"/>
          <w:lang w:eastAsia="en-US"/>
        </w:rPr>
      </w:pPr>
    </w:p>
    <w:p w14:paraId="38EBB13B" w14:textId="77777777" w:rsidR="00864141" w:rsidRPr="00864141" w:rsidRDefault="00864141" w:rsidP="00864141">
      <w:pPr>
        <w:spacing w:line="240" w:lineRule="auto"/>
        <w:ind w:left="426" w:right="420" w:firstLine="1"/>
        <w:rPr>
          <w:rFonts w:eastAsia="Calibri"/>
          <w:i/>
          <w:iCs/>
          <w:sz w:val="22"/>
          <w:lang w:eastAsia="en-US"/>
        </w:rPr>
      </w:pPr>
      <w:r w:rsidRPr="00864141">
        <w:rPr>
          <w:rFonts w:eastAsia="Calibri"/>
          <w:i/>
          <w:sz w:val="22"/>
          <w:lang w:eastAsia="en-US"/>
        </w:rPr>
        <w:t xml:space="preserve">En torno al punto, el artículo 1604 del Código Civil establece que «la prueba de la diligencia o cuidado incumbe al que ha debido emplearlo», de lo que se sigue que es al fondo de pensiones al que corresponde acreditar la realización de todas las actuaciones necesarias a fin de que el afiliado conociera las implicaciones del traslado de régimen pensional. </w:t>
      </w:r>
    </w:p>
    <w:p w14:paraId="44FAEE2A" w14:textId="77777777" w:rsidR="00864141" w:rsidRPr="00864141" w:rsidRDefault="00864141" w:rsidP="00864141">
      <w:pPr>
        <w:spacing w:line="240" w:lineRule="auto"/>
        <w:ind w:left="426" w:right="420" w:firstLine="1"/>
        <w:rPr>
          <w:rFonts w:eastAsia="Calibri"/>
          <w:i/>
          <w:iCs/>
          <w:sz w:val="22"/>
          <w:lang w:eastAsia="en-US"/>
        </w:rPr>
      </w:pPr>
    </w:p>
    <w:p w14:paraId="698F90E8" w14:textId="77777777" w:rsidR="00864141" w:rsidRPr="00864141" w:rsidRDefault="00864141" w:rsidP="00864141">
      <w:pPr>
        <w:spacing w:line="240" w:lineRule="auto"/>
        <w:ind w:left="426" w:right="420" w:firstLine="1"/>
        <w:rPr>
          <w:rFonts w:eastAsia="Calibri"/>
          <w:i/>
          <w:iCs/>
          <w:sz w:val="22"/>
          <w:lang w:eastAsia="en-US"/>
        </w:rPr>
      </w:pPr>
      <w:r w:rsidRPr="00864141">
        <w:rPr>
          <w:rFonts w:eastAsia="Calibri"/>
          <w:i/>
          <w:sz w:val="22"/>
          <w:lang w:eastAsia="en-US"/>
        </w:rPr>
        <w:t xml:space="preserve">Paralelamente, no puede pasar desapercibido que la inversión de la carga de la prueba en favor del afiliado obedece a una regla de justicia, en virtud de la cual no es dable exigir a quien está en una posición probatoria complicada –cuando no imposible- o de desventaja, el esclarecimiento de hechos que la otra parte está en mejor posición de ilustrar. En este caso, pedir al afiliado una prueba de este alcance es un despropósito, en la medida que (i) la afirmación de no haber recibido información corresponde a un supuesto negativo indefinido que solo puede desvirtuarlo el fondo de pensiones mediante la prueba que acredite que cumplió esta obligación; (ii) la documentación soporte del traslado debe conservarse en los archivos del fondo, dado que (iii) es esta entidad la que está obligada a observar la obligación de brindar información y, más aún, probar ante las autoridades administrativas y judiciales su pleno cumplimiento. </w:t>
      </w:r>
    </w:p>
    <w:p w14:paraId="43B6F158" w14:textId="77777777" w:rsidR="00864141" w:rsidRPr="00864141" w:rsidRDefault="00864141" w:rsidP="00864141">
      <w:pPr>
        <w:spacing w:line="240" w:lineRule="auto"/>
        <w:ind w:left="426" w:right="420" w:firstLine="1"/>
        <w:rPr>
          <w:rFonts w:eastAsia="Calibri"/>
          <w:i/>
          <w:iCs/>
          <w:sz w:val="22"/>
          <w:lang w:eastAsia="en-US"/>
        </w:rPr>
      </w:pPr>
    </w:p>
    <w:p w14:paraId="5C55875F" w14:textId="77777777" w:rsidR="00864141" w:rsidRPr="00864141" w:rsidRDefault="00864141" w:rsidP="00864141">
      <w:pPr>
        <w:spacing w:line="240" w:lineRule="auto"/>
        <w:ind w:left="426" w:right="420" w:firstLine="1"/>
        <w:rPr>
          <w:rFonts w:eastAsia="Calibri"/>
          <w:sz w:val="22"/>
          <w:lang w:eastAsia="en-US"/>
        </w:rPr>
      </w:pPr>
      <w:r w:rsidRPr="00864141">
        <w:rPr>
          <w:rFonts w:eastAsia="Calibri"/>
          <w:i/>
          <w:sz w:val="22"/>
          <w:lang w:eastAsia="en-US"/>
        </w:rPr>
        <w:t xml:space="preserve">Mucho menos es razonable invertir la carga de la prueba contra la parte débil de la relación contractual, toda vez que, como se explicó, las entidades financieras por su posición en el mercado, profesionalismo, experticia y control de la operación, tienen una clara preeminencia frente al afiliado lego. A tal grado es lo anterior, que incluso la legislación (art. 11, literal b), L. 1328/2009), considera una práctica abusiva la inversión de la carga de la prueba en disfavor de los consumidores financieros”. </w:t>
      </w:r>
      <w:r w:rsidRPr="00864141">
        <w:rPr>
          <w:rFonts w:eastAsia="Calibri"/>
          <w:sz w:val="22"/>
          <w:lang w:eastAsia="en-US"/>
        </w:rPr>
        <w:t xml:space="preserve"> </w:t>
      </w:r>
    </w:p>
    <w:p w14:paraId="58372F83" w14:textId="77777777" w:rsidR="00864141" w:rsidRPr="00864141" w:rsidRDefault="00864141" w:rsidP="00864141">
      <w:pPr>
        <w:widowControl w:val="0"/>
        <w:autoSpaceDE w:val="0"/>
        <w:autoSpaceDN w:val="0"/>
        <w:adjustRightInd w:val="0"/>
        <w:spacing w:line="276" w:lineRule="auto"/>
        <w:ind w:firstLine="284"/>
        <w:rPr>
          <w:rFonts w:eastAsia="Calibri"/>
          <w:szCs w:val="24"/>
          <w:lang w:val="es-CO" w:eastAsia="en-US"/>
        </w:rPr>
      </w:pPr>
    </w:p>
    <w:p w14:paraId="582692EC" w14:textId="77777777" w:rsidR="00864141" w:rsidRPr="00864141" w:rsidRDefault="00864141" w:rsidP="00864141">
      <w:pPr>
        <w:widowControl w:val="0"/>
        <w:numPr>
          <w:ilvl w:val="1"/>
          <w:numId w:val="4"/>
        </w:numPr>
        <w:autoSpaceDE w:val="0"/>
        <w:autoSpaceDN w:val="0"/>
        <w:adjustRightInd w:val="0"/>
        <w:spacing w:line="276" w:lineRule="auto"/>
        <w:rPr>
          <w:rFonts w:eastAsia="Calibri"/>
          <w:b/>
          <w:szCs w:val="24"/>
          <w:lang w:val="es-CO"/>
        </w:rPr>
      </w:pPr>
      <w:r w:rsidRPr="00864141">
        <w:rPr>
          <w:rFonts w:eastAsia="Calibri"/>
          <w:b/>
          <w:szCs w:val="24"/>
          <w:lang w:val="es-CO"/>
        </w:rPr>
        <w:t xml:space="preserve">Consecuencias de la declaratoria de ineficacia del traslado: Devolución de las cuotas de administración y de otros valores </w:t>
      </w:r>
      <w:r w:rsidRPr="00864141">
        <w:rPr>
          <w:rFonts w:eastAsia="Calibri"/>
          <w:b/>
          <w:szCs w:val="24"/>
          <w:lang w:val="es-CO"/>
        </w:rPr>
        <w:lastRenderedPageBreak/>
        <w:t>debidamente indexados</w:t>
      </w:r>
    </w:p>
    <w:p w14:paraId="5ADF5BDF" w14:textId="77777777" w:rsidR="00864141" w:rsidRPr="00864141" w:rsidRDefault="00864141" w:rsidP="00864141">
      <w:pPr>
        <w:widowControl w:val="0"/>
        <w:autoSpaceDE w:val="0"/>
        <w:autoSpaceDN w:val="0"/>
        <w:adjustRightInd w:val="0"/>
        <w:spacing w:line="276" w:lineRule="auto"/>
        <w:ind w:firstLine="284"/>
        <w:rPr>
          <w:rFonts w:eastAsia="Calibri"/>
          <w:szCs w:val="24"/>
          <w:lang w:val="es-CO" w:eastAsia="en-US"/>
        </w:rPr>
      </w:pPr>
    </w:p>
    <w:p w14:paraId="45D468AE" w14:textId="77777777" w:rsidR="00864141" w:rsidRPr="00864141" w:rsidRDefault="00864141" w:rsidP="00864141">
      <w:pPr>
        <w:widowControl w:val="0"/>
        <w:autoSpaceDE w:val="0"/>
        <w:autoSpaceDN w:val="0"/>
        <w:adjustRightInd w:val="0"/>
        <w:spacing w:line="276" w:lineRule="auto"/>
        <w:ind w:firstLine="708"/>
        <w:rPr>
          <w:rFonts w:eastAsia="Calibri"/>
          <w:szCs w:val="24"/>
          <w:lang w:val="es-CO" w:eastAsia="en-US"/>
        </w:rPr>
      </w:pPr>
      <w:r w:rsidRPr="00864141">
        <w:rPr>
          <w:rFonts w:eastAsia="Calibri"/>
          <w:szCs w:val="24"/>
          <w:lang w:val="es-CO" w:eastAsia="en-US"/>
        </w:rPr>
        <w:t xml:space="preserve">En la sentencia SL1421 de 2019, Rad. 56174, M.P. Gerardo Botero Zuluaga, cuando se declaró la ineficacia del traslado, se dijo que una de las consecuencias de tal situación era la devolución de las cuotas de administración a cargo de la AFP, tema que se planteó en los siguientes términos: </w:t>
      </w:r>
    </w:p>
    <w:p w14:paraId="00C0BFEB" w14:textId="77777777" w:rsidR="00864141" w:rsidRPr="00864141" w:rsidRDefault="00864141" w:rsidP="00864141">
      <w:pPr>
        <w:widowControl w:val="0"/>
        <w:autoSpaceDE w:val="0"/>
        <w:autoSpaceDN w:val="0"/>
        <w:adjustRightInd w:val="0"/>
        <w:spacing w:line="276" w:lineRule="auto"/>
        <w:ind w:firstLine="284"/>
        <w:rPr>
          <w:rFonts w:eastAsia="Calibri"/>
          <w:szCs w:val="24"/>
          <w:lang w:val="es-CO" w:eastAsia="en-US"/>
        </w:rPr>
      </w:pPr>
    </w:p>
    <w:p w14:paraId="7D8F52A4" w14:textId="77777777" w:rsidR="00864141" w:rsidRPr="00864141" w:rsidRDefault="00864141" w:rsidP="00864141">
      <w:pPr>
        <w:tabs>
          <w:tab w:val="left" w:pos="5180"/>
        </w:tabs>
        <w:suppressAutoHyphens/>
        <w:spacing w:line="240" w:lineRule="auto"/>
        <w:ind w:left="426" w:right="420"/>
        <w:contextualSpacing/>
        <w:rPr>
          <w:rFonts w:eastAsia="Calibri"/>
          <w:i/>
          <w:sz w:val="22"/>
          <w:szCs w:val="24"/>
          <w:lang w:eastAsia="en-US"/>
        </w:rPr>
      </w:pPr>
      <w:r w:rsidRPr="00864141">
        <w:rPr>
          <w:rFonts w:eastAsia="Calibri"/>
          <w:i/>
          <w:sz w:val="22"/>
          <w:szCs w:val="24"/>
          <w:lang w:eastAsia="en-US"/>
        </w:rPr>
        <w:t xml:space="preserve">“Devolver los aportes por pensión, los rendimientos financieros y los gastos de administración al Instituto de Seguros Sociales, hoy Colpensiones, como en oportunidades anteriores lo ha dispuesto la Sala, pudiéndose traer a colación las sentencias CSJ SL17595-2017 y CSJSL4989-2018, donde se rememoró la CSJ SL, 8 sep. 2008, rad. 31989, en la que se dijo: </w:t>
      </w:r>
    </w:p>
    <w:p w14:paraId="7E62473A" w14:textId="77777777" w:rsidR="00864141" w:rsidRPr="00864141" w:rsidRDefault="00864141" w:rsidP="00864141">
      <w:pPr>
        <w:tabs>
          <w:tab w:val="left" w:pos="5180"/>
        </w:tabs>
        <w:suppressAutoHyphens/>
        <w:spacing w:line="240" w:lineRule="auto"/>
        <w:ind w:left="426" w:right="420"/>
        <w:contextualSpacing/>
        <w:jc w:val="left"/>
        <w:rPr>
          <w:rFonts w:eastAsia="Times New Roman"/>
          <w:color w:val="000000"/>
          <w:sz w:val="22"/>
          <w:szCs w:val="24"/>
          <w:lang w:eastAsia="es-ES"/>
        </w:rPr>
      </w:pPr>
    </w:p>
    <w:p w14:paraId="1B5365CC" w14:textId="77777777" w:rsidR="00864141" w:rsidRPr="00864141" w:rsidRDefault="00864141" w:rsidP="00864141">
      <w:pPr>
        <w:tabs>
          <w:tab w:val="left" w:pos="5180"/>
        </w:tabs>
        <w:suppressAutoHyphens/>
        <w:spacing w:line="240" w:lineRule="auto"/>
        <w:ind w:left="426" w:right="420"/>
        <w:contextualSpacing/>
        <w:rPr>
          <w:rFonts w:eastAsia="Calibri"/>
          <w:i/>
          <w:sz w:val="22"/>
          <w:szCs w:val="24"/>
          <w:lang w:eastAsia="en-US"/>
        </w:rPr>
      </w:pPr>
      <w:r w:rsidRPr="00864141">
        <w:rPr>
          <w:rFonts w:eastAsia="Calibri"/>
          <w:i/>
          <w:sz w:val="22"/>
          <w:szCs w:val="24"/>
          <w:lang w:eastAsia="en-US"/>
        </w:rPr>
        <w:t>Sobre las consecuencias de la nulidad del traslado entre regímenes esta Sala en sentencia SL, del 8 de sep. 2008, rad. 31989, reiterada en varias oportunidades, adoctrinó: […]</w:t>
      </w:r>
    </w:p>
    <w:p w14:paraId="697501F9" w14:textId="77777777" w:rsidR="00864141" w:rsidRPr="00864141" w:rsidRDefault="00864141" w:rsidP="00864141">
      <w:pPr>
        <w:tabs>
          <w:tab w:val="left" w:pos="5180"/>
        </w:tabs>
        <w:suppressAutoHyphens/>
        <w:spacing w:line="240" w:lineRule="auto"/>
        <w:ind w:left="426" w:right="420"/>
        <w:contextualSpacing/>
        <w:rPr>
          <w:rFonts w:eastAsia="Calibri"/>
          <w:i/>
          <w:sz w:val="22"/>
          <w:szCs w:val="24"/>
          <w:lang w:eastAsia="en-US"/>
        </w:rPr>
      </w:pPr>
    </w:p>
    <w:p w14:paraId="48D99682" w14:textId="77777777" w:rsidR="00864141" w:rsidRPr="00864141" w:rsidRDefault="00864141" w:rsidP="00864141">
      <w:pPr>
        <w:tabs>
          <w:tab w:val="left" w:pos="5180"/>
        </w:tabs>
        <w:suppressAutoHyphens/>
        <w:spacing w:line="240" w:lineRule="auto"/>
        <w:ind w:left="426" w:right="420"/>
        <w:contextualSpacing/>
        <w:rPr>
          <w:rFonts w:eastAsia="Calibri"/>
          <w:i/>
          <w:sz w:val="22"/>
          <w:szCs w:val="24"/>
          <w:lang w:eastAsia="en-US"/>
        </w:rPr>
      </w:pPr>
      <w:r w:rsidRPr="00864141">
        <w:rPr>
          <w:rFonts w:eastAsia="Calibri"/>
          <w:i/>
          <w:sz w:val="22"/>
          <w:szCs w:val="24"/>
          <w:lang w:eastAsia="en-US"/>
        </w:rPr>
        <w:t>“La administradora tiene el deber de devolver al sistema todos los valores que hubiere recibido con motivo de la afiliación del actor, como cotizaciones, bonos pensionales, sumas adicionales de la aseguradora, con todos sus frutos e intereses como los dispone el artículo 1746 del C.C., esto es, con los rendimientos que se hubieren causado.</w:t>
      </w:r>
    </w:p>
    <w:p w14:paraId="5E6FC607" w14:textId="77777777" w:rsidR="00864141" w:rsidRPr="00864141" w:rsidRDefault="00864141" w:rsidP="00864141">
      <w:pPr>
        <w:tabs>
          <w:tab w:val="left" w:pos="5180"/>
        </w:tabs>
        <w:suppressAutoHyphens/>
        <w:spacing w:line="240" w:lineRule="auto"/>
        <w:ind w:left="426" w:right="420"/>
        <w:contextualSpacing/>
        <w:rPr>
          <w:rFonts w:eastAsia="Calibri"/>
          <w:i/>
          <w:sz w:val="22"/>
          <w:szCs w:val="24"/>
          <w:lang w:eastAsia="en-US"/>
        </w:rPr>
      </w:pPr>
    </w:p>
    <w:p w14:paraId="010CDB5B" w14:textId="77777777" w:rsidR="00864141" w:rsidRPr="00864141" w:rsidRDefault="00864141" w:rsidP="00864141">
      <w:pPr>
        <w:tabs>
          <w:tab w:val="left" w:pos="5180"/>
        </w:tabs>
        <w:suppressAutoHyphens/>
        <w:spacing w:line="240" w:lineRule="auto"/>
        <w:ind w:left="426" w:right="420"/>
        <w:contextualSpacing/>
        <w:rPr>
          <w:rFonts w:eastAsia="Calibri"/>
          <w:i/>
          <w:sz w:val="22"/>
          <w:szCs w:val="24"/>
          <w:lang w:eastAsia="en-US"/>
        </w:rPr>
      </w:pPr>
      <w:r w:rsidRPr="00864141">
        <w:rPr>
          <w:rFonts w:eastAsia="Calibri"/>
          <w:i/>
          <w:sz w:val="22"/>
          <w:szCs w:val="24"/>
          <w:lang w:eastAsia="en-US"/>
        </w:rPr>
        <w:t xml:space="preserve">“Como la nulidad fue conducta indebida de la administradora ésta debe asumir a su cargo los deterioros sufridos por el bien administrado, esto es, las mermas sufridas en el capital destinado a la financiación de la pensión de vejez, ya por pago de mesadas pensionales en el sistema de ahorro individual, ora por los gastos de administración en que hubiere incurrido, los cuales serán asumidos por la Administradora a cargo de su propio patrimonio, siguiendo para el efecto las reglas del artículo 963 del C.C. </w:t>
      </w:r>
    </w:p>
    <w:p w14:paraId="6547D93F" w14:textId="77777777" w:rsidR="00864141" w:rsidRPr="00864141" w:rsidRDefault="00864141" w:rsidP="00864141">
      <w:pPr>
        <w:spacing w:line="276" w:lineRule="auto"/>
        <w:rPr>
          <w:rFonts w:eastAsiaTheme="minorHAnsi"/>
          <w:szCs w:val="24"/>
          <w:lang w:val="es-CO" w:eastAsia="en-US"/>
        </w:rPr>
      </w:pPr>
      <w:r w:rsidRPr="00864141">
        <w:rPr>
          <w:szCs w:val="24"/>
          <w:lang w:val="es-CO" w:eastAsia="en-US"/>
        </w:rPr>
        <w:t xml:space="preserve"> </w:t>
      </w:r>
    </w:p>
    <w:p w14:paraId="10661FA8" w14:textId="77777777" w:rsidR="00864141" w:rsidRPr="00864141" w:rsidRDefault="00864141" w:rsidP="00864141">
      <w:pPr>
        <w:spacing w:line="276" w:lineRule="auto"/>
        <w:ind w:firstLine="284"/>
        <w:rPr>
          <w:rFonts w:eastAsiaTheme="minorHAnsi"/>
          <w:szCs w:val="24"/>
          <w:lang w:val="es-CO" w:eastAsia="en-US"/>
        </w:rPr>
      </w:pPr>
      <w:r w:rsidRPr="00864141">
        <w:rPr>
          <w:szCs w:val="24"/>
          <w:lang w:val="es-CO" w:eastAsia="en-US"/>
        </w:rPr>
        <w:t xml:space="preserve">    Dicha postura fue reiterada en la sentencia SL 2611 del 1° de julio de 2020, también con Ponencia del Dr. GERARDO BOTERO ZULUAGA en la que se reafirma que por cuenta de la ineficacia, las cosas deben retrotraerse al estado en que se encontraban antes de ocurrir el traslado de régimen. Dijo la sentencia: </w:t>
      </w:r>
    </w:p>
    <w:p w14:paraId="38D91FD6" w14:textId="77777777" w:rsidR="00864141" w:rsidRPr="00864141" w:rsidRDefault="00864141" w:rsidP="00864141">
      <w:pPr>
        <w:spacing w:line="276" w:lineRule="auto"/>
        <w:rPr>
          <w:rFonts w:eastAsiaTheme="minorHAnsi"/>
          <w:szCs w:val="24"/>
          <w:lang w:val="es-CO" w:eastAsia="en-US"/>
        </w:rPr>
      </w:pPr>
      <w:r w:rsidRPr="00864141">
        <w:rPr>
          <w:szCs w:val="24"/>
          <w:lang w:val="es-CO" w:eastAsia="en-US"/>
        </w:rPr>
        <w:t xml:space="preserve"> </w:t>
      </w:r>
    </w:p>
    <w:p w14:paraId="7CA72A3B" w14:textId="77777777" w:rsidR="00864141" w:rsidRPr="00864141" w:rsidRDefault="00864141" w:rsidP="00864141">
      <w:pPr>
        <w:tabs>
          <w:tab w:val="left" w:pos="5180"/>
        </w:tabs>
        <w:suppressAutoHyphens/>
        <w:spacing w:line="240" w:lineRule="auto"/>
        <w:ind w:left="426" w:right="420"/>
        <w:contextualSpacing/>
        <w:rPr>
          <w:rFonts w:eastAsia="Calibri"/>
          <w:i/>
          <w:sz w:val="22"/>
          <w:szCs w:val="24"/>
          <w:lang w:eastAsia="en-US"/>
        </w:rPr>
      </w:pPr>
      <w:r w:rsidRPr="00864141">
        <w:rPr>
          <w:rFonts w:eastAsia="Calibri"/>
          <w:i/>
          <w:sz w:val="22"/>
          <w:szCs w:val="24"/>
          <w:lang w:eastAsia="en-US"/>
        </w:rPr>
        <w:t xml:space="preserve">“Conforme a lo discurrido, fuerza concluir entonces, que debe declararse la ineficacia de la afiliación de la demandante al sistema pensional de ahorro individual, debiendo retrotraerse las cosas al estado en que se encontraban antes de ocurrir este, es decir, como si ello no se hubiera producido, lo cual trae como consecuencia, que la accionante jamás perdió el régimen de transición previsto en el artículo 36 de la Ley 100/93, y de igual forma, que Colfondos S.A. deberá devolver los aportes por pensión, los rendimientos financieros y los gastos de administración al Instituto de Seguros Sociales, hoy Colpensiones, aspecto sobre el cual ya la Sala se ha pronunciado en oportunidades anteriores, pudiéndose traer a colación la sentencia CSJ SL17595-2017, donde se rememoró la CSJ SL, 8 sep. 2008, rad. 31989…” </w:t>
      </w:r>
    </w:p>
    <w:p w14:paraId="340C234D" w14:textId="77777777" w:rsidR="00864141" w:rsidRPr="00864141" w:rsidRDefault="00864141" w:rsidP="00864141">
      <w:pPr>
        <w:spacing w:line="276" w:lineRule="auto"/>
        <w:rPr>
          <w:rFonts w:eastAsiaTheme="minorHAnsi"/>
          <w:szCs w:val="24"/>
          <w:lang w:val="es-CO" w:eastAsia="en-US"/>
        </w:rPr>
      </w:pPr>
      <w:r w:rsidRPr="00864141">
        <w:rPr>
          <w:szCs w:val="24"/>
          <w:lang w:val="es-CO" w:eastAsia="en-US"/>
        </w:rPr>
        <w:t xml:space="preserve"> </w:t>
      </w:r>
    </w:p>
    <w:p w14:paraId="50B32334" w14:textId="77777777" w:rsidR="00864141" w:rsidRPr="00864141" w:rsidRDefault="00864141" w:rsidP="00864141">
      <w:pPr>
        <w:widowControl w:val="0"/>
        <w:autoSpaceDE w:val="0"/>
        <w:autoSpaceDN w:val="0"/>
        <w:adjustRightInd w:val="0"/>
        <w:spacing w:line="276" w:lineRule="auto"/>
        <w:ind w:firstLine="708"/>
        <w:rPr>
          <w:rFonts w:eastAsia="Calibri"/>
          <w:szCs w:val="24"/>
          <w:lang w:val="es-CO" w:eastAsia="en-US"/>
        </w:rPr>
      </w:pPr>
      <w:r w:rsidRPr="00864141">
        <w:rPr>
          <w:rFonts w:eastAsia="Calibri"/>
          <w:szCs w:val="24"/>
          <w:lang w:val="es-CO" w:eastAsia="en-US"/>
        </w:rPr>
        <w:t xml:space="preserve">De lo anterior queda claro, que la ineficacia de traslado no sólo acarrea, a cargo de la AFP, la devolución de las cuotas de administración sino de toda suma que se hubiere utilizado por ejemplo para los seguros previsionales y las cuotas de garantía de pensión mínima, sumas que deben pagarse debidamente indexadas con el fin de superar el deterioro del dinero en el tiempo. </w:t>
      </w:r>
    </w:p>
    <w:bookmarkEnd w:id="9"/>
    <w:p w14:paraId="035A60C1" w14:textId="77777777" w:rsidR="00864141" w:rsidRPr="00864141" w:rsidRDefault="00864141" w:rsidP="00864141">
      <w:pPr>
        <w:widowControl w:val="0"/>
        <w:autoSpaceDE w:val="0"/>
        <w:autoSpaceDN w:val="0"/>
        <w:adjustRightInd w:val="0"/>
        <w:spacing w:line="276" w:lineRule="auto"/>
        <w:ind w:firstLine="284"/>
        <w:rPr>
          <w:rFonts w:eastAsia="Calibri"/>
          <w:szCs w:val="24"/>
          <w:lang w:val="es-CO" w:eastAsia="en-US"/>
        </w:rPr>
      </w:pPr>
    </w:p>
    <w:p w14:paraId="55661496" w14:textId="77777777" w:rsidR="00B27755" w:rsidRPr="00EF1D87" w:rsidRDefault="00B27755" w:rsidP="00EF1D87">
      <w:pPr>
        <w:widowControl w:val="0"/>
        <w:autoSpaceDE w:val="0"/>
        <w:autoSpaceDN w:val="0"/>
        <w:adjustRightInd w:val="0"/>
        <w:spacing w:line="276" w:lineRule="auto"/>
        <w:ind w:firstLine="284"/>
        <w:rPr>
          <w:rFonts w:eastAsia="Calibri"/>
          <w:szCs w:val="24"/>
          <w:lang w:val="es-CO" w:eastAsia="es-CO"/>
        </w:rPr>
      </w:pPr>
      <w:r w:rsidRPr="00EF1D87">
        <w:rPr>
          <w:rFonts w:eastAsia="Calibri"/>
          <w:szCs w:val="24"/>
          <w:lang w:val="es-CO" w:eastAsia="es-CO"/>
        </w:rPr>
        <w:lastRenderedPageBreak/>
        <w:tab/>
        <w:t xml:space="preserve">Finalmente, los últimos problemas jurídicos se analizarán al evaluar el acervo probatorio del caso concreto, esto es, se estudiará si quedó probado en el proceso que la parte demandante recibió de parte de las AFP demandadas la asesoría e información suficiente y necesaria para hacer el cambio de régimen. Y, en caso positivo se entrará a definir si cuando se declara la ineficacia del traslado, hay lugar en condenar en costas a la AFP. </w:t>
      </w:r>
    </w:p>
    <w:p w14:paraId="32F3BCBC" w14:textId="77777777" w:rsidR="00922D62" w:rsidRPr="00EF1D87" w:rsidRDefault="00922D62" w:rsidP="00EF1D87">
      <w:pPr>
        <w:widowControl w:val="0"/>
        <w:autoSpaceDE w:val="0"/>
        <w:autoSpaceDN w:val="0"/>
        <w:adjustRightInd w:val="0"/>
        <w:spacing w:line="276" w:lineRule="auto"/>
        <w:ind w:firstLine="284"/>
        <w:rPr>
          <w:rFonts w:eastAsia="Calibri"/>
          <w:b/>
          <w:szCs w:val="24"/>
          <w:lang w:val="es-CO" w:eastAsia="es-CO"/>
        </w:rPr>
      </w:pPr>
    </w:p>
    <w:p w14:paraId="0F86B60F" w14:textId="77777777" w:rsidR="00B27755" w:rsidRPr="00EF1D87" w:rsidRDefault="00B27755" w:rsidP="00864141">
      <w:pPr>
        <w:widowControl w:val="0"/>
        <w:numPr>
          <w:ilvl w:val="1"/>
          <w:numId w:val="4"/>
        </w:numPr>
        <w:autoSpaceDE w:val="0"/>
        <w:autoSpaceDN w:val="0"/>
        <w:adjustRightInd w:val="0"/>
        <w:spacing w:line="276" w:lineRule="auto"/>
        <w:rPr>
          <w:rFonts w:eastAsia="Calibri"/>
          <w:b/>
          <w:szCs w:val="24"/>
          <w:lang w:val="es-CO"/>
        </w:rPr>
      </w:pPr>
      <w:r w:rsidRPr="00EF1D87">
        <w:rPr>
          <w:rFonts w:eastAsia="Calibri"/>
          <w:b/>
          <w:szCs w:val="24"/>
          <w:lang w:val="es-CO"/>
        </w:rPr>
        <w:t>Caso concreto</w:t>
      </w:r>
    </w:p>
    <w:p w14:paraId="3E03059C" w14:textId="77777777" w:rsidR="00B27755" w:rsidRPr="00EF1D87" w:rsidRDefault="00B27755" w:rsidP="00EF1D87">
      <w:pPr>
        <w:widowControl w:val="0"/>
        <w:autoSpaceDE w:val="0"/>
        <w:autoSpaceDN w:val="0"/>
        <w:adjustRightInd w:val="0"/>
        <w:spacing w:line="276" w:lineRule="auto"/>
        <w:ind w:firstLine="284"/>
        <w:rPr>
          <w:rFonts w:eastAsia="Calibri"/>
          <w:szCs w:val="24"/>
          <w:lang w:val="es-CO" w:eastAsia="es-CO"/>
        </w:rPr>
      </w:pPr>
    </w:p>
    <w:p w14:paraId="14FB194D" w14:textId="77777777" w:rsidR="00B27755" w:rsidRPr="00EF1D87" w:rsidRDefault="00B27755" w:rsidP="00EF1D87">
      <w:pPr>
        <w:widowControl w:val="0"/>
        <w:autoSpaceDE w:val="0"/>
        <w:autoSpaceDN w:val="0"/>
        <w:adjustRightInd w:val="0"/>
        <w:spacing w:line="276" w:lineRule="auto"/>
        <w:ind w:firstLine="708"/>
        <w:rPr>
          <w:rFonts w:eastAsia="Calibri"/>
          <w:szCs w:val="24"/>
          <w:lang w:val="es-CO" w:eastAsia="es-CO"/>
        </w:rPr>
      </w:pPr>
      <w:r w:rsidRPr="00EF1D87">
        <w:rPr>
          <w:rFonts w:eastAsia="Calibri"/>
          <w:szCs w:val="24"/>
          <w:lang w:val="es-CO" w:eastAsia="es-CO"/>
        </w:rPr>
        <w:t>Se pretende por esta vía ordinaria que se declare la nulidad del traslado del régimen de prima media con prestación definida al de ahorro individual con solidaridad, dada la omisión de información clara y precisa, que ha debido brindarle la AFP a la parte actora en orden a conocer las condiciones y consecuencias de migración de régimen.</w:t>
      </w:r>
    </w:p>
    <w:p w14:paraId="00065A78" w14:textId="77777777" w:rsidR="00B27755" w:rsidRPr="00EF1D87" w:rsidRDefault="00B27755" w:rsidP="00EF1D87">
      <w:pPr>
        <w:widowControl w:val="0"/>
        <w:autoSpaceDE w:val="0"/>
        <w:autoSpaceDN w:val="0"/>
        <w:adjustRightInd w:val="0"/>
        <w:spacing w:line="276" w:lineRule="auto"/>
        <w:ind w:firstLine="284"/>
        <w:rPr>
          <w:rFonts w:eastAsia="Calibri"/>
          <w:szCs w:val="24"/>
          <w:lang w:val="es-CO" w:eastAsia="es-CO"/>
        </w:rPr>
      </w:pPr>
    </w:p>
    <w:p w14:paraId="0EC9699D" w14:textId="77777777" w:rsidR="00B27755" w:rsidRPr="00EF1D87" w:rsidRDefault="00B27755" w:rsidP="00EF1D87">
      <w:pPr>
        <w:widowControl w:val="0"/>
        <w:autoSpaceDE w:val="0"/>
        <w:autoSpaceDN w:val="0"/>
        <w:adjustRightInd w:val="0"/>
        <w:spacing w:line="276" w:lineRule="auto"/>
        <w:ind w:firstLine="708"/>
        <w:rPr>
          <w:rFonts w:eastAsia="Calibri"/>
          <w:szCs w:val="24"/>
          <w:lang w:val="es-CO" w:eastAsia="es-CO"/>
        </w:rPr>
      </w:pPr>
      <w:r w:rsidRPr="00EF1D87">
        <w:rPr>
          <w:rFonts w:eastAsia="Calibri"/>
          <w:szCs w:val="24"/>
          <w:lang w:val="es-CO" w:eastAsia="es-CO"/>
        </w:rPr>
        <w:t>De conformidad a la jurisprudencia de la Sala de Casación Laboral de la Corte Suprema de Justicia, en las citadas sentencias, según las voces del artículo 1604 del C.C., la prueba de la diligencia y cuidado incumbe al que ha debido emplearlo y, en este tipo de asuntos, corresponde a la administradora de pensiones, a cuyo cargo estaba el deber de suministrar la información suficiente y completa a la afiliada, acerca del impacto del cambio de régimen pensional.</w:t>
      </w:r>
    </w:p>
    <w:p w14:paraId="5FE57278" w14:textId="77777777" w:rsidR="00B27755" w:rsidRPr="00EF1D87" w:rsidRDefault="00B27755" w:rsidP="00EF1D87">
      <w:pPr>
        <w:widowControl w:val="0"/>
        <w:autoSpaceDE w:val="0"/>
        <w:autoSpaceDN w:val="0"/>
        <w:adjustRightInd w:val="0"/>
        <w:spacing w:line="276" w:lineRule="auto"/>
        <w:ind w:firstLine="284"/>
        <w:rPr>
          <w:rFonts w:eastAsia="Calibri"/>
          <w:szCs w:val="24"/>
          <w:lang w:val="es-CO" w:eastAsia="es-CO"/>
        </w:rPr>
      </w:pPr>
    </w:p>
    <w:p w14:paraId="00654334" w14:textId="77777777" w:rsidR="00B27755" w:rsidRPr="00EF1D87" w:rsidRDefault="00B27755" w:rsidP="00EF1D87">
      <w:pPr>
        <w:widowControl w:val="0"/>
        <w:autoSpaceDE w:val="0"/>
        <w:autoSpaceDN w:val="0"/>
        <w:adjustRightInd w:val="0"/>
        <w:spacing w:line="276" w:lineRule="auto"/>
        <w:ind w:firstLine="708"/>
        <w:rPr>
          <w:rFonts w:eastAsia="Calibri"/>
          <w:b/>
          <w:szCs w:val="24"/>
          <w:lang w:val="es-CO" w:eastAsia="es-CO"/>
        </w:rPr>
      </w:pPr>
      <w:r w:rsidRPr="00EF1D87">
        <w:rPr>
          <w:rFonts w:eastAsia="Calibri"/>
          <w:szCs w:val="24"/>
          <w:lang w:val="es-CO" w:eastAsia="es-CO"/>
        </w:rPr>
        <w:t>Así pues, la negligencia en que eventualmente incurren tales administradoras de pensiones, al no suministrar la información adecuada y precisa al afiliado(a), recaerá en la eficacia del acto, dado que con la omisión o la defectuosa información se ha inducido en error al afectado(a). En curso del proceso la AFP demandada no cumplió con la carga que se le impone, esto es</w:t>
      </w:r>
      <w:r w:rsidRPr="00EF1D87">
        <w:rPr>
          <w:rFonts w:eastAsia="Calibri"/>
          <w:b/>
          <w:szCs w:val="24"/>
          <w:lang w:val="es-CO" w:eastAsia="es-CO"/>
        </w:rPr>
        <w:t>, acreditar haber transmitido a la parte actora la información concreta y cierta, acerca de la implicación del traslado de régimen pensional.</w:t>
      </w:r>
    </w:p>
    <w:p w14:paraId="47CFC87B" w14:textId="77777777" w:rsidR="00B27755" w:rsidRPr="00EF1D87" w:rsidRDefault="00B27755" w:rsidP="00EF1D87">
      <w:pPr>
        <w:widowControl w:val="0"/>
        <w:autoSpaceDE w:val="0"/>
        <w:autoSpaceDN w:val="0"/>
        <w:adjustRightInd w:val="0"/>
        <w:spacing w:line="276" w:lineRule="auto"/>
        <w:ind w:firstLine="284"/>
        <w:rPr>
          <w:rFonts w:eastAsia="Calibri"/>
          <w:b/>
          <w:szCs w:val="24"/>
          <w:lang w:val="es-CO" w:eastAsia="es-CO"/>
        </w:rPr>
      </w:pPr>
    </w:p>
    <w:p w14:paraId="094ADF12" w14:textId="0A8B153B" w:rsidR="00B27755" w:rsidRPr="00EF1D87" w:rsidRDefault="00B27755" w:rsidP="00EF1D87">
      <w:pPr>
        <w:widowControl w:val="0"/>
        <w:autoSpaceDE w:val="0"/>
        <w:autoSpaceDN w:val="0"/>
        <w:adjustRightInd w:val="0"/>
        <w:spacing w:line="276" w:lineRule="auto"/>
        <w:ind w:firstLine="708"/>
        <w:rPr>
          <w:rFonts w:eastAsia="Calibri"/>
          <w:szCs w:val="24"/>
          <w:lang w:val="es-CO" w:eastAsia="es-CO"/>
        </w:rPr>
      </w:pPr>
      <w:r w:rsidRPr="00EF1D87">
        <w:rPr>
          <w:rFonts w:eastAsia="Calibri"/>
          <w:szCs w:val="24"/>
          <w:lang w:val="es-CO" w:eastAsia="es-CO"/>
        </w:rPr>
        <w:t xml:space="preserve">En realidad, mínimo la AFP tendría que haber dado la siguiente información: </w:t>
      </w:r>
      <w:r w:rsidRPr="00EF1D87">
        <w:rPr>
          <w:rFonts w:eastAsia="Calibri"/>
          <w:i/>
          <w:szCs w:val="24"/>
          <w:lang w:val="es-CO" w:eastAsia="es-CO"/>
        </w:rPr>
        <w:t xml:space="preserve">i) </w:t>
      </w:r>
      <w:r w:rsidRPr="00EF1D87">
        <w:rPr>
          <w:rFonts w:eastAsia="Calibri"/>
          <w:szCs w:val="24"/>
          <w:lang w:val="es-CO" w:eastAsia="es-CO"/>
        </w:rPr>
        <w:t xml:space="preserve">Que, dependiendo del capital, puede pensionarse anticipadamente, esto es, antes de la edad mínima para la pensión de vejez. </w:t>
      </w:r>
      <w:r w:rsidRPr="00EF1D87">
        <w:rPr>
          <w:rFonts w:eastAsia="Calibri"/>
          <w:i/>
          <w:szCs w:val="24"/>
          <w:lang w:val="es-CO" w:eastAsia="es-CO"/>
        </w:rPr>
        <w:t xml:space="preserve">ii) </w:t>
      </w:r>
      <w:r w:rsidRPr="00EF1D87">
        <w:rPr>
          <w:rFonts w:eastAsia="Calibri"/>
          <w:szCs w:val="24"/>
          <w:lang w:val="es-CO" w:eastAsia="es-CO"/>
        </w:rPr>
        <w:t xml:space="preserve">La posibilidad para sus herederos de hacerse a la devolución de saldos, en caso de que no existieran beneficiaros para la pensión de sobrevivientes. </w:t>
      </w:r>
      <w:r w:rsidRPr="00EF1D87">
        <w:rPr>
          <w:rFonts w:eastAsia="Calibri"/>
          <w:i/>
          <w:szCs w:val="24"/>
          <w:lang w:val="es-CO" w:eastAsia="es-CO"/>
        </w:rPr>
        <w:t xml:space="preserve">iii) </w:t>
      </w:r>
      <w:r w:rsidRPr="00EF1D87">
        <w:rPr>
          <w:rFonts w:eastAsia="Calibri"/>
          <w:szCs w:val="24"/>
          <w:lang w:val="es-CO" w:eastAsia="es-CO"/>
        </w:rPr>
        <w:t xml:space="preserve">La devolución total del saldo en caso de no alcanzar a reunir el total de los requisitos legales para optar al beneficio pensional. </w:t>
      </w:r>
      <w:r w:rsidRPr="00EF1D87">
        <w:rPr>
          <w:rFonts w:eastAsia="Calibri"/>
          <w:i/>
          <w:szCs w:val="24"/>
          <w:lang w:val="es-CO" w:eastAsia="es-CO"/>
        </w:rPr>
        <w:t xml:space="preserve">iv) </w:t>
      </w:r>
      <w:r w:rsidRPr="00EF1D87">
        <w:rPr>
          <w:rFonts w:eastAsia="Calibri"/>
          <w:szCs w:val="24"/>
          <w:lang w:val="es-CO" w:eastAsia="es-CO"/>
        </w:rPr>
        <w:t xml:space="preserve">Tener la posibilidad de la pensión de vejez habiendo cotizado el mínimo de semanas requeridas a pesar de no reunir el capital suficiente para el financiamiento de la prestación económica. </w:t>
      </w:r>
      <w:r w:rsidRPr="00EF1D87">
        <w:rPr>
          <w:rFonts w:eastAsia="Calibri"/>
          <w:i/>
          <w:szCs w:val="24"/>
          <w:lang w:val="es-CO" w:eastAsia="es-CO"/>
        </w:rPr>
        <w:t xml:space="preserve">v) </w:t>
      </w:r>
      <w:r w:rsidRPr="00EF1D87">
        <w:rPr>
          <w:rFonts w:eastAsia="Calibri"/>
          <w:szCs w:val="24"/>
          <w:lang w:val="es-CO" w:eastAsia="es-CO"/>
        </w:rPr>
        <w:t xml:space="preserve">La posibilidad de que el reconocimiento de la pensión de vejez, una vez reunido los requisitos, se haga pronto. </w:t>
      </w:r>
      <w:r w:rsidRPr="00EF1D87">
        <w:rPr>
          <w:rFonts w:eastAsia="Calibri"/>
          <w:i/>
          <w:szCs w:val="24"/>
          <w:lang w:val="es-CO" w:eastAsia="es-CO"/>
        </w:rPr>
        <w:t xml:space="preserve">vi) </w:t>
      </w:r>
      <w:r w:rsidRPr="00EF1D87">
        <w:rPr>
          <w:rFonts w:eastAsia="Calibri"/>
          <w:szCs w:val="24"/>
          <w:lang w:val="es-CO" w:eastAsia="es-CO"/>
        </w:rPr>
        <w:t xml:space="preserve">La posibilidad de que sus aportes se conviertan en patrimonio </w:t>
      </w:r>
      <w:proofErr w:type="spellStart"/>
      <w:r w:rsidRPr="00EF1D87">
        <w:rPr>
          <w:rFonts w:eastAsia="Calibri"/>
          <w:szCs w:val="24"/>
          <w:lang w:val="es-CO" w:eastAsia="es-CO"/>
        </w:rPr>
        <w:t>sucesoral</w:t>
      </w:r>
      <w:proofErr w:type="spellEnd"/>
      <w:r w:rsidRPr="00EF1D87">
        <w:rPr>
          <w:rFonts w:eastAsia="Calibri"/>
          <w:szCs w:val="24"/>
          <w:lang w:val="es-CO" w:eastAsia="es-CO"/>
        </w:rPr>
        <w:t xml:space="preserve"> en un caso dado. </w:t>
      </w:r>
      <w:r w:rsidRPr="00EF1D87">
        <w:rPr>
          <w:rFonts w:eastAsia="Calibri"/>
          <w:i/>
          <w:szCs w:val="24"/>
          <w:lang w:val="es-CO" w:eastAsia="es-CO"/>
        </w:rPr>
        <w:t xml:space="preserve">vii) </w:t>
      </w:r>
      <w:r w:rsidRPr="00EF1D87">
        <w:rPr>
          <w:rFonts w:eastAsia="Calibri"/>
          <w:szCs w:val="24"/>
          <w:lang w:val="es-CO" w:eastAsia="es-CO"/>
        </w:rPr>
        <w:t xml:space="preserve">El hecho de que el afiliado es el único titular de la cuenta de ahorro individual en contraste con el fondo público cuyos ahorros hacen parte de un fondo común. </w:t>
      </w:r>
      <w:proofErr w:type="spellStart"/>
      <w:r w:rsidRPr="00EF1D87">
        <w:rPr>
          <w:rFonts w:eastAsia="Calibri"/>
          <w:i/>
          <w:szCs w:val="24"/>
          <w:lang w:val="es-CO" w:eastAsia="es-CO"/>
        </w:rPr>
        <w:t>viii</w:t>
      </w:r>
      <w:proofErr w:type="spellEnd"/>
      <w:r w:rsidRPr="00EF1D87">
        <w:rPr>
          <w:rFonts w:eastAsia="Calibri"/>
          <w:i/>
          <w:szCs w:val="24"/>
          <w:lang w:val="es-CO" w:eastAsia="es-CO"/>
        </w:rPr>
        <w:t xml:space="preserve">) </w:t>
      </w:r>
      <w:r w:rsidRPr="00EF1D87">
        <w:rPr>
          <w:rFonts w:eastAsia="Calibri"/>
          <w:szCs w:val="24"/>
          <w:lang w:val="es-CO" w:eastAsia="es-CO"/>
        </w:rPr>
        <w:t xml:space="preserve">Los rendimientos financieros que le generen sus aportes abonados sobre el saldo de su cuenta de ahorro individual; y, </w:t>
      </w:r>
      <w:proofErr w:type="spellStart"/>
      <w:r w:rsidRPr="00EF1D87">
        <w:rPr>
          <w:rFonts w:eastAsia="Calibri"/>
          <w:i/>
          <w:szCs w:val="24"/>
          <w:lang w:val="es-CO" w:eastAsia="es-CO"/>
        </w:rPr>
        <w:t>ix</w:t>
      </w:r>
      <w:proofErr w:type="spellEnd"/>
      <w:r w:rsidRPr="00EF1D87">
        <w:rPr>
          <w:rFonts w:eastAsia="Calibri"/>
          <w:i/>
          <w:szCs w:val="24"/>
          <w:lang w:val="es-CO" w:eastAsia="es-CO"/>
        </w:rPr>
        <w:t xml:space="preserve">) </w:t>
      </w:r>
      <w:r w:rsidRPr="00EF1D87">
        <w:rPr>
          <w:rFonts w:eastAsia="Calibri"/>
          <w:szCs w:val="24"/>
          <w:lang w:val="es-CO" w:eastAsia="es-CO"/>
        </w:rPr>
        <w:t xml:space="preserve">La posibilidad de seleccionar entre variadas modalidades de pensión, cuya ilustración resultaba vital, pues debió advertírsele en qué consistía cada una, así: La modalidad de renta vitalicia inmediata, la cual le quita la posibilidad de que los saldos </w:t>
      </w:r>
      <w:r w:rsidRPr="00EF1D87">
        <w:rPr>
          <w:rFonts w:eastAsia="Calibri"/>
          <w:szCs w:val="24"/>
          <w:lang w:val="es-CO" w:eastAsia="es-CO"/>
        </w:rPr>
        <w:lastRenderedPageBreak/>
        <w:t xml:space="preserve">de su cuenta de ahorro individual se conviertan en masa </w:t>
      </w:r>
      <w:proofErr w:type="spellStart"/>
      <w:r w:rsidRPr="00EF1D87">
        <w:rPr>
          <w:rFonts w:eastAsia="Calibri"/>
          <w:szCs w:val="24"/>
          <w:lang w:val="es-CO" w:eastAsia="es-CO"/>
        </w:rPr>
        <w:t>sucesoral</w:t>
      </w:r>
      <w:proofErr w:type="spellEnd"/>
      <w:r w:rsidRPr="00EF1D87">
        <w:rPr>
          <w:rFonts w:eastAsia="Calibri"/>
          <w:szCs w:val="24"/>
          <w:lang w:val="es-CO" w:eastAsia="es-CO"/>
        </w:rPr>
        <w:t xml:space="preserve">, pero le garantiza una pensión de por vida. La modalidad de </w:t>
      </w:r>
      <w:r w:rsidRPr="00EF1D87">
        <w:rPr>
          <w:rFonts w:eastAsia="Calibri"/>
          <w:i/>
          <w:szCs w:val="24"/>
          <w:lang w:val="es-CO" w:eastAsia="es-CO"/>
        </w:rPr>
        <w:t>retiro programado</w:t>
      </w:r>
      <w:r w:rsidRPr="00EF1D87">
        <w:rPr>
          <w:rFonts w:eastAsia="Calibri"/>
          <w:szCs w:val="24"/>
          <w:lang w:val="es-CO" w:eastAsia="es-CO"/>
        </w:rPr>
        <w:t xml:space="preserve"> la cual tiene la desventaja de que una vez se termine el saldo en la cuenta de ahorro individual, si supera la expectativa de vida tenida en cuenta por la AFP, se queda sin pensión de vejez durante los años posteriores. La modalidad de retiro programado con renta vitalicia, que combina las dos anteriores.</w:t>
      </w:r>
    </w:p>
    <w:p w14:paraId="14BA30DC" w14:textId="77777777" w:rsidR="000E01C1" w:rsidRPr="00EF1D87" w:rsidRDefault="000E01C1" w:rsidP="00EF1D87">
      <w:pPr>
        <w:widowControl w:val="0"/>
        <w:autoSpaceDE w:val="0"/>
        <w:autoSpaceDN w:val="0"/>
        <w:adjustRightInd w:val="0"/>
        <w:spacing w:line="276" w:lineRule="auto"/>
        <w:ind w:firstLine="708"/>
        <w:rPr>
          <w:rFonts w:eastAsia="Calibri"/>
          <w:szCs w:val="24"/>
          <w:lang w:val="es-CO" w:eastAsia="es-CO"/>
        </w:rPr>
      </w:pPr>
    </w:p>
    <w:p w14:paraId="185C62E0" w14:textId="41D7BE9B" w:rsidR="00B27755" w:rsidRPr="00EF1D87" w:rsidRDefault="00B27755" w:rsidP="00EF1D87">
      <w:pPr>
        <w:widowControl w:val="0"/>
        <w:autoSpaceDE w:val="0"/>
        <w:autoSpaceDN w:val="0"/>
        <w:adjustRightInd w:val="0"/>
        <w:spacing w:line="276" w:lineRule="auto"/>
        <w:ind w:firstLine="708"/>
        <w:rPr>
          <w:rFonts w:eastAsia="Calibri"/>
          <w:szCs w:val="24"/>
          <w:lang w:val="es-CO" w:eastAsia="es-CO"/>
        </w:rPr>
      </w:pPr>
      <w:r w:rsidRPr="00EF1D87">
        <w:rPr>
          <w:rFonts w:eastAsia="Calibri"/>
          <w:szCs w:val="24"/>
          <w:lang w:val="es-CO" w:eastAsia="es-CO"/>
        </w:rPr>
        <w:t>P</w:t>
      </w:r>
      <w:r w:rsidR="000E01C1" w:rsidRPr="00EF1D87">
        <w:rPr>
          <w:rFonts w:eastAsia="Calibri"/>
          <w:szCs w:val="24"/>
          <w:lang w:val="es-CO" w:eastAsia="es-CO"/>
        </w:rPr>
        <w:t xml:space="preserve">orvenir </w:t>
      </w:r>
      <w:r w:rsidRPr="00EF1D87">
        <w:rPr>
          <w:rFonts w:eastAsia="Calibri"/>
          <w:szCs w:val="24"/>
          <w:lang w:val="es-CO" w:eastAsia="es-CO"/>
        </w:rPr>
        <w:t xml:space="preserve">S.A. afirma en su contestación que brindó la información seria y veraz que para la época era jurídicamente pertinente a la parte demandante sin que se precise en qué consistió tal cosa. Ello sería suficiente para concluir, que efectivamente la información que recibió la parte actora fue insuficiente y sesgada al momento de hacer el traslado, pues como se vio en el precedente jurisprudencial, para la fecha de la creación de las AFP existían normas en el código civil y en el estatuto financiero que obligaban a los fondos a brindar una asesoría adecuada de cara a lo que consistían el nuevo régimen de ahorro individual con solidaridad por lo menos en los puntos que se acaban de esbozar. </w:t>
      </w:r>
    </w:p>
    <w:p w14:paraId="2B49DABB" w14:textId="77777777" w:rsidR="00B27755" w:rsidRPr="00EF1D87" w:rsidRDefault="00B27755" w:rsidP="00EF1D87">
      <w:pPr>
        <w:widowControl w:val="0"/>
        <w:autoSpaceDE w:val="0"/>
        <w:autoSpaceDN w:val="0"/>
        <w:adjustRightInd w:val="0"/>
        <w:spacing w:line="276" w:lineRule="auto"/>
        <w:ind w:firstLine="284"/>
        <w:rPr>
          <w:rFonts w:eastAsia="Calibri"/>
          <w:szCs w:val="24"/>
          <w:lang w:val="es-CO" w:eastAsia="es-CO"/>
        </w:rPr>
      </w:pPr>
    </w:p>
    <w:p w14:paraId="4B5909FB" w14:textId="4B9C4972" w:rsidR="00B27755" w:rsidRPr="00EF1D87" w:rsidRDefault="00B27755" w:rsidP="00EF1D87">
      <w:pPr>
        <w:widowControl w:val="0"/>
        <w:autoSpaceDE w:val="0"/>
        <w:autoSpaceDN w:val="0"/>
        <w:adjustRightInd w:val="0"/>
        <w:spacing w:line="276" w:lineRule="auto"/>
        <w:ind w:firstLine="708"/>
        <w:rPr>
          <w:rFonts w:eastAsia="Calibri"/>
          <w:szCs w:val="24"/>
          <w:lang w:val="es-CO" w:eastAsia="es-CO"/>
        </w:rPr>
      </w:pPr>
      <w:r w:rsidRPr="00EF1D87">
        <w:rPr>
          <w:rFonts w:eastAsia="Calibri"/>
          <w:szCs w:val="24"/>
          <w:lang w:val="es-CO" w:eastAsia="es-CO"/>
        </w:rPr>
        <w:t>Con todo hay que indicar que como prueba del cumplimiento del deber de información y buen consejo, la AFP demandada llamó a declarar a su contraparte procesal, de cuya declaración, la Sala considera que nunca confesó que se le hubiera brindado una explicación pormenorizada de los pros y contras de su determinación, ni tampoco que se le hubiera indicado en qué momento alcanzaría su prestación en caso de continuar devengando el salario que percibía en ese entonces, ni se le hizo una proyección de la mesada a la que eventualmente tendría derecho, pero sobre</w:t>
      </w:r>
      <w:r w:rsidR="00922D62" w:rsidRPr="00EF1D87">
        <w:rPr>
          <w:rFonts w:eastAsia="Calibri"/>
          <w:szCs w:val="24"/>
          <w:lang w:val="es-CO" w:eastAsia="es-CO"/>
        </w:rPr>
        <w:t xml:space="preserve"> </w:t>
      </w:r>
      <w:r w:rsidRPr="00EF1D87">
        <w:rPr>
          <w:rFonts w:eastAsia="Calibri"/>
          <w:szCs w:val="24"/>
          <w:lang w:val="es-CO" w:eastAsia="es-CO"/>
        </w:rPr>
        <w:t>todo, no se le puso de presente que perdería los beneficios transicionales al cambiar de régimen. El otro elemento de prueba que esgrime la AFP es el formulario de afiliación suscrito por la promotora de la litis, pero dicho documento no logra evidenciar la información que se le brindó. En tal virtud se estima acertada la valoración probatoria efectuada por la operadora judicial de instancia.</w:t>
      </w:r>
    </w:p>
    <w:p w14:paraId="31E0B80D" w14:textId="77777777" w:rsidR="00B27755" w:rsidRPr="00EF1D87" w:rsidRDefault="00B27755" w:rsidP="00EF1D87">
      <w:pPr>
        <w:widowControl w:val="0"/>
        <w:autoSpaceDE w:val="0"/>
        <w:autoSpaceDN w:val="0"/>
        <w:adjustRightInd w:val="0"/>
        <w:spacing w:line="276" w:lineRule="auto"/>
        <w:ind w:firstLine="284"/>
        <w:rPr>
          <w:rFonts w:eastAsia="Calibri"/>
          <w:szCs w:val="24"/>
          <w:lang w:val="es-CO" w:eastAsia="es-CO"/>
        </w:rPr>
      </w:pPr>
    </w:p>
    <w:p w14:paraId="1501AAB5" w14:textId="0E96FA18" w:rsidR="00B27755" w:rsidRPr="00EF1D87" w:rsidRDefault="00B27755" w:rsidP="00EF1D87">
      <w:pPr>
        <w:widowControl w:val="0"/>
        <w:autoSpaceDE w:val="0"/>
        <w:autoSpaceDN w:val="0"/>
        <w:adjustRightInd w:val="0"/>
        <w:spacing w:line="276" w:lineRule="auto"/>
        <w:ind w:firstLine="708"/>
        <w:rPr>
          <w:rFonts w:eastAsia="Calibri"/>
          <w:szCs w:val="24"/>
          <w:lang w:val="es-CO" w:eastAsia="es-CO"/>
        </w:rPr>
      </w:pPr>
      <w:r w:rsidRPr="00EF1D87">
        <w:rPr>
          <w:rFonts w:eastAsia="Calibri"/>
          <w:szCs w:val="24"/>
          <w:lang w:val="es-CO" w:eastAsia="es-CO"/>
        </w:rPr>
        <w:t>En cuanto a las condenas impartidas a cargo de P</w:t>
      </w:r>
      <w:r w:rsidR="007759F5" w:rsidRPr="00EF1D87">
        <w:rPr>
          <w:rFonts w:eastAsia="Calibri"/>
          <w:szCs w:val="24"/>
          <w:lang w:val="es-CO" w:eastAsia="es-CO"/>
        </w:rPr>
        <w:t xml:space="preserve">orvenir </w:t>
      </w:r>
      <w:r w:rsidRPr="00EF1D87">
        <w:rPr>
          <w:rFonts w:eastAsia="Calibri"/>
          <w:szCs w:val="24"/>
          <w:lang w:val="es-CO" w:eastAsia="es-CO"/>
        </w:rPr>
        <w:t>S.A., se dirá que de conformidad con las sentencias SL1421 de 2019 y SL 2611 de 2020, M.P. Gerardo Botero Zuluaga, previamente citadas, es su deber trasladar a Colpensiones los gastos de administración, debidamente indexados, cancelados por la parte actora en razón a que los mismos fueron el resultado de una conducta indebida al momento del traslado, de modo que no pueden permanecer en sus arcas sino retornar al régimen de prima media. Bajo esa misma perspectiva también resulta viable la orden de reintegrar a Colpensiones, además de los respectivos rendimientos generados en la cuenta de ahorro individual, los valores utilizados en seguros previsionales, las cuotas de garantía de pensión mínima, con cargo a sus propios recursos, sumas todas que deben pagarse debidamente indexadas, por lo que se confirmará la sentencia apelada frente a tal decisión.</w:t>
      </w:r>
    </w:p>
    <w:p w14:paraId="7BFEAF60" w14:textId="77777777" w:rsidR="00B27755" w:rsidRPr="00EF1D87" w:rsidRDefault="00B27755" w:rsidP="00EF1D87">
      <w:pPr>
        <w:widowControl w:val="0"/>
        <w:autoSpaceDE w:val="0"/>
        <w:autoSpaceDN w:val="0"/>
        <w:adjustRightInd w:val="0"/>
        <w:spacing w:line="276" w:lineRule="auto"/>
        <w:ind w:firstLine="284"/>
        <w:rPr>
          <w:rFonts w:eastAsia="Calibri"/>
          <w:szCs w:val="24"/>
          <w:lang w:val="es-CO" w:eastAsia="es-CO"/>
        </w:rPr>
      </w:pPr>
    </w:p>
    <w:p w14:paraId="69697476" w14:textId="45BA6963" w:rsidR="00B27755" w:rsidRPr="00EF1D87" w:rsidRDefault="00B27755" w:rsidP="00EF1D87">
      <w:pPr>
        <w:spacing w:line="276" w:lineRule="auto"/>
        <w:ind w:firstLine="644"/>
        <w:rPr>
          <w:rFonts w:eastAsia="Times New Roman"/>
          <w:szCs w:val="24"/>
          <w:lang w:eastAsia="es-ES"/>
        </w:rPr>
      </w:pPr>
      <w:r w:rsidRPr="00EF1D87">
        <w:rPr>
          <w:rFonts w:eastAsia="Times New Roman"/>
          <w:szCs w:val="24"/>
          <w:lang w:eastAsia="es-ES"/>
        </w:rPr>
        <w:t xml:space="preserve">En </w:t>
      </w:r>
      <w:r w:rsidR="007759F5" w:rsidRPr="00EF1D87">
        <w:rPr>
          <w:rFonts w:eastAsia="Times New Roman"/>
          <w:szCs w:val="24"/>
          <w:lang w:eastAsia="es-ES"/>
        </w:rPr>
        <w:t xml:space="preserve">este punto es oportuno recordar </w:t>
      </w:r>
      <w:r w:rsidRPr="00EF1D87">
        <w:rPr>
          <w:rFonts w:eastAsia="Times New Roman"/>
          <w:szCs w:val="24"/>
          <w:lang w:eastAsia="es-ES"/>
        </w:rPr>
        <w:t xml:space="preserve">que la Corte Constitucional en sentencia SU-053-2015, ha definido el precedente judicial como «la sentencia o el conjunto de ellas, anteriores a un caso determinado, que por su pertinencia y semejanza en los problemas jurídicos resueltos, debe necesariamente considerarse por las autoridades </w:t>
      </w:r>
      <w:r w:rsidRPr="00EF1D87">
        <w:rPr>
          <w:rFonts w:eastAsia="Times New Roman"/>
          <w:szCs w:val="24"/>
          <w:lang w:eastAsia="es-ES"/>
        </w:rPr>
        <w:lastRenderedPageBreak/>
        <w:t>judiciales al momento de emitir un fallo» y, en tal sentido, el emitido por los máximos órganos de cierre, “</w:t>
      </w:r>
      <w:r w:rsidRPr="005718A2">
        <w:rPr>
          <w:rFonts w:eastAsia="Times New Roman"/>
          <w:sz w:val="22"/>
          <w:szCs w:val="24"/>
          <w:lang w:eastAsia="es-ES"/>
        </w:rPr>
        <w:t>guardan una estrecha relación con el derecho a la igualdad, garantía constitucional que le permite a los ciudadanos obtener decisiones judiciales idénticas frente a casos semejantes, aunado al carácter ordenador y unificador de las sentencias de casación, en tanto aseguran una mayor coherencia del sistema jurídico, seguridad, confianza y certeza del derecho</w:t>
      </w:r>
      <w:r w:rsidRPr="00EF1D87">
        <w:rPr>
          <w:rFonts w:eastAsia="Times New Roman"/>
          <w:szCs w:val="24"/>
          <w:lang w:eastAsia="es-ES"/>
        </w:rPr>
        <w:t>” (STL4759-2020).</w:t>
      </w:r>
    </w:p>
    <w:p w14:paraId="1B69E60A" w14:textId="77777777" w:rsidR="00922D62" w:rsidRPr="00EF1D87" w:rsidRDefault="00922D62" w:rsidP="00EF1D87">
      <w:pPr>
        <w:spacing w:line="276" w:lineRule="auto"/>
        <w:ind w:firstLine="644"/>
        <w:rPr>
          <w:rFonts w:eastAsia="Times New Roman"/>
          <w:szCs w:val="24"/>
          <w:lang w:eastAsia="es-ES"/>
        </w:rPr>
      </w:pPr>
    </w:p>
    <w:p w14:paraId="2BBC40F0" w14:textId="4BC4EFA2" w:rsidR="00B27755" w:rsidRPr="00EF1D87" w:rsidRDefault="00B27755" w:rsidP="00EF1D87">
      <w:pPr>
        <w:widowControl w:val="0"/>
        <w:autoSpaceDE w:val="0"/>
        <w:autoSpaceDN w:val="0"/>
        <w:adjustRightInd w:val="0"/>
        <w:spacing w:line="276" w:lineRule="auto"/>
        <w:ind w:firstLine="708"/>
        <w:rPr>
          <w:rFonts w:eastAsia="Calibri"/>
          <w:szCs w:val="24"/>
          <w:lang w:val="es-CO" w:eastAsia="es-CO"/>
        </w:rPr>
      </w:pPr>
      <w:r w:rsidRPr="00EF1D87">
        <w:rPr>
          <w:rFonts w:eastAsia="Calibri"/>
          <w:szCs w:val="24"/>
          <w:lang w:val="es-CO" w:eastAsia="es-CO"/>
        </w:rPr>
        <w:t>Frente al argumento de Colpensiones, referente a que era improcedente permitir que la demandante se trasladara hacia dicha entidad al superar la edad mínima pensional, basta mencionar que uno de los efectos de la ineficacia es que justamente las cosas se retrotraen al estado en que se encontraban, es decir, como si ello no hubiera ocurrido y, en este caso, dicha declaratoria de ineficacia de cambio de régimen pensional, conlleva al regreso automático de la demandante al régimen solidario de prima media con prestación definida hoy administrado por Colpensiones, del cual ya hacía parte la demandante. Además, lo aquí analizado no es el traslado voluntario con la conservación o no del régimen de transición, sino el efecto de la ineficacia del cambio de régimen pensional a falta de información detallada y completa al momento del traslado de régimen.</w:t>
      </w:r>
    </w:p>
    <w:p w14:paraId="5D29FE1B" w14:textId="77777777" w:rsidR="0045200B" w:rsidRPr="00EF1D87" w:rsidRDefault="0045200B" w:rsidP="00EF1D87">
      <w:pPr>
        <w:widowControl w:val="0"/>
        <w:autoSpaceDE w:val="0"/>
        <w:autoSpaceDN w:val="0"/>
        <w:adjustRightInd w:val="0"/>
        <w:spacing w:line="276" w:lineRule="auto"/>
        <w:ind w:firstLine="708"/>
        <w:rPr>
          <w:rFonts w:eastAsia="Calibri"/>
          <w:szCs w:val="24"/>
          <w:lang w:val="es-CO" w:eastAsia="es-CO"/>
        </w:rPr>
      </w:pPr>
    </w:p>
    <w:p w14:paraId="140981CA" w14:textId="77777777" w:rsidR="0045200B" w:rsidRPr="00EF1D87" w:rsidRDefault="0045200B" w:rsidP="00EF1D87">
      <w:pPr>
        <w:spacing w:line="276" w:lineRule="auto"/>
        <w:ind w:firstLine="709"/>
        <w:rPr>
          <w:szCs w:val="24"/>
        </w:rPr>
      </w:pPr>
      <w:r w:rsidRPr="00EF1D87">
        <w:rPr>
          <w:szCs w:val="24"/>
        </w:rPr>
        <w:t>De otro lado, respecto a la solicitud de la AFP Porvenir S.A., que no se le condene en costas, bajo el argumento de que se cumplió con los requisitos legales exigidos al momento del traslado, suficiente es con indicar, en primer lugar, que al haber existido controversia e incluso oposición frente al debate jurídico puesto en conocimiento de la Judicatura, conforme lo faculta el artículo 365 del CGP, hay lugar a condenar en costas a quien resulta vencido en la contienda y, en segundo lugar, por cuanto -contrario a lo expuesto en la censura- en la presente litis no quedó acreditado que se hubiese cumplido el deber legal de brindar al demandante la asesoría exigida en el momento en que se trasladó al RAIS, de ahí que se esté declarando la ineficacia del acto.</w:t>
      </w:r>
    </w:p>
    <w:p w14:paraId="646D100B" w14:textId="77777777" w:rsidR="00C4045A" w:rsidRPr="00EF1D87" w:rsidRDefault="00C4045A" w:rsidP="00EF1D87">
      <w:pPr>
        <w:widowControl w:val="0"/>
        <w:autoSpaceDE w:val="0"/>
        <w:autoSpaceDN w:val="0"/>
        <w:adjustRightInd w:val="0"/>
        <w:spacing w:line="276" w:lineRule="auto"/>
        <w:ind w:firstLine="708"/>
        <w:rPr>
          <w:rFonts w:eastAsia="Calibri"/>
          <w:szCs w:val="24"/>
          <w:lang w:val="es-CO" w:eastAsia="es-CO"/>
        </w:rPr>
      </w:pPr>
    </w:p>
    <w:p w14:paraId="1D33B277" w14:textId="23202CA0" w:rsidR="00C4045A" w:rsidRPr="00EF1D87" w:rsidRDefault="00C4045A" w:rsidP="00EF1D87">
      <w:pPr>
        <w:widowControl w:val="0"/>
        <w:autoSpaceDE w:val="0"/>
        <w:autoSpaceDN w:val="0"/>
        <w:adjustRightInd w:val="0"/>
        <w:spacing w:line="276" w:lineRule="auto"/>
        <w:ind w:firstLine="708"/>
        <w:rPr>
          <w:rFonts w:eastAsia="Calibri"/>
          <w:szCs w:val="24"/>
        </w:rPr>
      </w:pPr>
      <w:r w:rsidRPr="00EF1D87">
        <w:rPr>
          <w:rFonts w:eastAsia="Calibri"/>
          <w:szCs w:val="24"/>
        </w:rPr>
        <w:t>Ahora, como la declaratoria de ineficacia trae como consecuencia que las cosas se reestablezcan al estado en el que se encontraban al momento del traslado de régimen, es necesario confirmar la orden de comunicar la decisión adoptada en este asunto a la OBP del Ministerio de Hacienda y Crédito Público, para que, en caso de haber emitido el bono pensional</w:t>
      </w:r>
      <w:r w:rsidR="0045200B" w:rsidRPr="00EF1D87">
        <w:rPr>
          <w:rFonts w:eastAsia="Calibri"/>
          <w:szCs w:val="24"/>
        </w:rPr>
        <w:t xml:space="preserve"> </w:t>
      </w:r>
      <w:r w:rsidR="0045200B" w:rsidRPr="00EF1D87">
        <w:rPr>
          <w:rFonts w:eastAsia="Calibri"/>
          <w:i/>
          <w:szCs w:val="24"/>
        </w:rPr>
        <w:t xml:space="preserve">-con ocasión de las 476 semanas cotizadas en el RPM antes </w:t>
      </w:r>
      <w:proofErr w:type="spellStart"/>
      <w:r w:rsidR="0045200B" w:rsidRPr="00EF1D87">
        <w:rPr>
          <w:rFonts w:eastAsia="Calibri"/>
          <w:i/>
          <w:szCs w:val="24"/>
        </w:rPr>
        <w:t>de el</w:t>
      </w:r>
      <w:proofErr w:type="spellEnd"/>
      <w:r w:rsidR="0045200B" w:rsidRPr="00EF1D87">
        <w:rPr>
          <w:rFonts w:eastAsia="Calibri"/>
          <w:i/>
          <w:szCs w:val="24"/>
        </w:rPr>
        <w:t xml:space="preserve"> traslado al RAIS</w:t>
      </w:r>
      <w:r w:rsidR="0045200B" w:rsidRPr="00EF1D87">
        <w:rPr>
          <w:rStyle w:val="Refdenotaalpie"/>
          <w:rFonts w:eastAsia="Calibri"/>
          <w:i/>
          <w:szCs w:val="24"/>
        </w:rPr>
        <w:footnoteReference w:id="6"/>
      </w:r>
      <w:r w:rsidR="0045200B" w:rsidRPr="00EF1D87">
        <w:rPr>
          <w:rFonts w:eastAsia="Calibri"/>
          <w:i/>
          <w:szCs w:val="24"/>
        </w:rPr>
        <w:t>-</w:t>
      </w:r>
      <w:r w:rsidRPr="00EF1D87">
        <w:rPr>
          <w:rFonts w:eastAsia="Calibri"/>
          <w:szCs w:val="24"/>
        </w:rPr>
        <w:t>, proceda con la anulación del mismo mediante trámite interno, aplicando lo previsto en el artículo 57 del Decreto 1748 de 1995, modificado por el artículo 17 del Decreto 3798 de 2003 hoy recopilado en el Decreto 833 de 2016. Ello en razón a que no existe dentro del plenario prueba que acredite que el bono ha sido liquidado, emitido y cancelado por parte de esa cartera ministerial</w:t>
      </w:r>
      <w:r w:rsidR="00922D62" w:rsidRPr="00EF1D87">
        <w:rPr>
          <w:rFonts w:eastAsia="Calibri"/>
          <w:szCs w:val="24"/>
        </w:rPr>
        <w:t xml:space="preserve">, amén de que la demandante cumple 60 años en el 2023. </w:t>
      </w:r>
    </w:p>
    <w:p w14:paraId="7FB6E4B5" w14:textId="77777777" w:rsidR="00B27755" w:rsidRPr="00EF1D87" w:rsidRDefault="00B27755" w:rsidP="00EF1D87">
      <w:pPr>
        <w:widowControl w:val="0"/>
        <w:autoSpaceDE w:val="0"/>
        <w:autoSpaceDN w:val="0"/>
        <w:adjustRightInd w:val="0"/>
        <w:spacing w:line="276" w:lineRule="auto"/>
        <w:ind w:firstLine="708"/>
        <w:rPr>
          <w:rFonts w:eastAsia="Calibri"/>
          <w:szCs w:val="24"/>
          <w:lang w:val="es-CO" w:eastAsia="es-CO"/>
        </w:rPr>
      </w:pPr>
    </w:p>
    <w:p w14:paraId="2670E499" w14:textId="41854B99" w:rsidR="00B27755" w:rsidRPr="00EF1D87" w:rsidRDefault="00B27755" w:rsidP="00EF1D87">
      <w:pPr>
        <w:widowControl w:val="0"/>
        <w:autoSpaceDE w:val="0"/>
        <w:autoSpaceDN w:val="0"/>
        <w:adjustRightInd w:val="0"/>
        <w:spacing w:line="276" w:lineRule="auto"/>
        <w:ind w:firstLine="708"/>
        <w:rPr>
          <w:rFonts w:eastAsia="Calibri"/>
          <w:szCs w:val="24"/>
          <w:lang w:val="es-CO" w:eastAsia="es-CO"/>
        </w:rPr>
      </w:pPr>
      <w:r w:rsidRPr="00EF1D87">
        <w:rPr>
          <w:rFonts w:eastAsia="Calibri"/>
          <w:szCs w:val="24"/>
          <w:lang w:val="es-CO" w:eastAsia="es-CO"/>
        </w:rPr>
        <w:t>En esta instancia de conformidad a lo consagrado en el artículo 365 del CGP, se condenará en costas procesales a P</w:t>
      </w:r>
      <w:r w:rsidR="0045200B" w:rsidRPr="00EF1D87">
        <w:rPr>
          <w:rFonts w:eastAsia="Calibri"/>
          <w:szCs w:val="24"/>
          <w:lang w:val="es-CO" w:eastAsia="es-CO"/>
        </w:rPr>
        <w:t xml:space="preserve">orvenir </w:t>
      </w:r>
      <w:r w:rsidRPr="00EF1D87">
        <w:rPr>
          <w:rFonts w:eastAsia="Calibri"/>
          <w:szCs w:val="24"/>
          <w:lang w:val="es-CO" w:eastAsia="es-CO"/>
        </w:rPr>
        <w:t xml:space="preserve">S.A y Colpensiones a favor de la parte actora, las cuales se liquidarán por la secretaría del juzgado de origen. </w:t>
      </w:r>
    </w:p>
    <w:p w14:paraId="53FE8A56" w14:textId="77777777" w:rsidR="00B27755" w:rsidRPr="00EF1D87" w:rsidRDefault="00B27755" w:rsidP="00EF1D87">
      <w:pPr>
        <w:widowControl w:val="0"/>
        <w:autoSpaceDE w:val="0"/>
        <w:autoSpaceDN w:val="0"/>
        <w:adjustRightInd w:val="0"/>
        <w:spacing w:line="276" w:lineRule="auto"/>
        <w:ind w:firstLine="708"/>
        <w:rPr>
          <w:rFonts w:eastAsia="Calibri"/>
          <w:szCs w:val="24"/>
          <w:lang w:val="es-CO" w:eastAsia="es-CO"/>
        </w:rPr>
      </w:pPr>
    </w:p>
    <w:p w14:paraId="670DED64" w14:textId="77777777" w:rsidR="00B27755" w:rsidRPr="00EF1D87" w:rsidRDefault="00B27755" w:rsidP="00EF1D87">
      <w:pPr>
        <w:widowControl w:val="0"/>
        <w:autoSpaceDE w:val="0"/>
        <w:autoSpaceDN w:val="0"/>
        <w:adjustRightInd w:val="0"/>
        <w:spacing w:line="276" w:lineRule="auto"/>
        <w:ind w:firstLine="708"/>
        <w:rPr>
          <w:rFonts w:eastAsia="Calibri"/>
          <w:szCs w:val="24"/>
          <w:lang w:val="es-CO" w:eastAsia="es-CO"/>
        </w:rPr>
      </w:pPr>
      <w:r w:rsidRPr="00EF1D87">
        <w:rPr>
          <w:rFonts w:eastAsia="Calibri"/>
          <w:szCs w:val="24"/>
          <w:lang w:val="es-CO" w:eastAsia="es-CO"/>
        </w:rPr>
        <w:t xml:space="preserve">Finalmente, se reconocerá personería jurídica a la Dr. </w:t>
      </w:r>
      <w:r w:rsidRPr="00EF1D87">
        <w:rPr>
          <w:rFonts w:eastAsia="Calibri"/>
          <w:b/>
          <w:szCs w:val="24"/>
          <w:lang w:val="es-CO" w:eastAsia="es-CO"/>
        </w:rPr>
        <w:t xml:space="preserve">José Mario </w:t>
      </w:r>
      <w:proofErr w:type="spellStart"/>
      <w:r w:rsidRPr="00EF1D87">
        <w:rPr>
          <w:rFonts w:eastAsia="Calibri"/>
          <w:b/>
          <w:szCs w:val="24"/>
          <w:lang w:val="es-CO" w:eastAsia="es-CO"/>
        </w:rPr>
        <w:t>Hincapie</w:t>
      </w:r>
      <w:proofErr w:type="spellEnd"/>
      <w:r w:rsidRPr="00EF1D87">
        <w:rPr>
          <w:rFonts w:eastAsia="Calibri"/>
          <w:bCs/>
          <w:szCs w:val="24"/>
          <w:lang w:val="es-CO" w:eastAsia="es-CO"/>
        </w:rPr>
        <w:t>,</w:t>
      </w:r>
      <w:r w:rsidRPr="00EF1D87">
        <w:rPr>
          <w:rFonts w:eastAsia="Calibri"/>
          <w:b/>
          <w:bCs/>
          <w:szCs w:val="24"/>
          <w:lang w:val="es-CO" w:eastAsia="es-CO"/>
        </w:rPr>
        <w:t xml:space="preserve"> </w:t>
      </w:r>
      <w:r w:rsidRPr="00EF1D87">
        <w:rPr>
          <w:rFonts w:eastAsia="Calibri"/>
          <w:szCs w:val="24"/>
          <w:lang w:val="es-CO" w:eastAsia="es-CO"/>
        </w:rPr>
        <w:t>identificado con la</w:t>
      </w:r>
      <w:r w:rsidRPr="00EF1D87">
        <w:rPr>
          <w:rFonts w:eastAsia="Calibri"/>
          <w:b/>
          <w:bCs/>
          <w:szCs w:val="24"/>
          <w:lang w:val="es-CO" w:eastAsia="es-CO"/>
        </w:rPr>
        <w:t xml:space="preserve"> </w:t>
      </w:r>
      <w:r w:rsidRPr="00EF1D87">
        <w:rPr>
          <w:rFonts w:eastAsia="Calibri"/>
          <w:szCs w:val="24"/>
          <w:lang w:val="es-CO" w:eastAsia="es-CO"/>
        </w:rPr>
        <w:t xml:space="preserve">Cédula de ciudadanía No. 1.094.882.452 de Armenia - Quindío y Tarjeta profesional No. 227.023 del Consejo Superior de la Judicatura, quien allegó la sustitución de poder que le hiciera el Dr. José Octavio Zuluaga, apoderado especial de Colpensiones. </w:t>
      </w:r>
    </w:p>
    <w:p w14:paraId="1C59019A" w14:textId="77777777" w:rsidR="00B27755" w:rsidRPr="00EF1D87" w:rsidRDefault="00B27755" w:rsidP="00EF1D87">
      <w:pPr>
        <w:spacing w:line="276" w:lineRule="auto"/>
        <w:ind w:firstLine="284"/>
        <w:rPr>
          <w:szCs w:val="24"/>
          <w:lang w:val="es-CO" w:eastAsia="es-CO"/>
        </w:rPr>
      </w:pPr>
    </w:p>
    <w:p w14:paraId="1D9F367B" w14:textId="77777777" w:rsidR="00B27755" w:rsidRPr="00EF1D87" w:rsidRDefault="00B27755" w:rsidP="00EF1D87">
      <w:pPr>
        <w:spacing w:line="276" w:lineRule="auto"/>
        <w:ind w:firstLine="708"/>
        <w:rPr>
          <w:szCs w:val="24"/>
          <w:lang w:val="es-CO" w:eastAsia="es-CO"/>
        </w:rPr>
      </w:pPr>
      <w:r w:rsidRPr="00EF1D87">
        <w:rPr>
          <w:szCs w:val="24"/>
          <w:lang w:val="es-CO" w:eastAsia="es-CO"/>
        </w:rPr>
        <w:t xml:space="preserve">En mérito de lo expuesto, el </w:t>
      </w:r>
      <w:r w:rsidRPr="00EF1D87">
        <w:rPr>
          <w:b/>
          <w:bCs/>
          <w:szCs w:val="24"/>
          <w:lang w:val="es-CO" w:eastAsia="es-CO"/>
        </w:rPr>
        <w:t>Tribunal Superior del Distrito Judicial de Pereira - Risaralda, Sala Primera de Decisión Laboral,</w:t>
      </w:r>
      <w:r w:rsidRPr="00EF1D87">
        <w:rPr>
          <w:szCs w:val="24"/>
          <w:lang w:val="es-CO" w:eastAsia="es-CO"/>
        </w:rPr>
        <w:t xml:space="preserve"> administrando justicia en nombre de la República y por autoridad de la ley,</w:t>
      </w:r>
    </w:p>
    <w:p w14:paraId="7FF9D5BC" w14:textId="77777777" w:rsidR="00B27755" w:rsidRPr="00EF1D87" w:rsidRDefault="00B27755" w:rsidP="00EF1D87">
      <w:pPr>
        <w:spacing w:line="276" w:lineRule="auto"/>
        <w:ind w:firstLine="644"/>
        <w:rPr>
          <w:szCs w:val="24"/>
          <w:lang w:val="es-CO" w:eastAsia="es-CO"/>
        </w:rPr>
      </w:pPr>
      <w:r w:rsidRPr="00EF1D87">
        <w:rPr>
          <w:szCs w:val="24"/>
          <w:lang w:val="es-CO" w:eastAsia="es-CO"/>
        </w:rPr>
        <w:t xml:space="preserve"> </w:t>
      </w:r>
    </w:p>
    <w:p w14:paraId="2E899152" w14:textId="77777777" w:rsidR="00B27755" w:rsidRPr="00EF1D87" w:rsidRDefault="00B27755" w:rsidP="00EF1D87">
      <w:pPr>
        <w:spacing w:line="276" w:lineRule="auto"/>
        <w:ind w:firstLine="284"/>
        <w:jc w:val="center"/>
        <w:rPr>
          <w:szCs w:val="24"/>
          <w:lang w:val="es-CO" w:eastAsia="es-CO"/>
        </w:rPr>
      </w:pPr>
      <w:r w:rsidRPr="00EF1D87">
        <w:rPr>
          <w:b/>
          <w:bCs/>
          <w:szCs w:val="24"/>
          <w:lang w:val="es-CO" w:eastAsia="es-CO"/>
        </w:rPr>
        <w:t>RESUELVE</w:t>
      </w:r>
    </w:p>
    <w:p w14:paraId="6E98D2B9" w14:textId="77777777" w:rsidR="00B27755" w:rsidRPr="00EF1D87" w:rsidRDefault="00B27755" w:rsidP="00EF1D87">
      <w:pPr>
        <w:spacing w:line="276" w:lineRule="auto"/>
        <w:jc w:val="center"/>
        <w:rPr>
          <w:szCs w:val="24"/>
          <w:lang w:val="es-CO" w:eastAsia="es-CO"/>
        </w:rPr>
      </w:pPr>
      <w:r w:rsidRPr="00EF1D87">
        <w:rPr>
          <w:b/>
          <w:bCs/>
          <w:szCs w:val="24"/>
          <w:lang w:val="es-CO" w:eastAsia="es-CO"/>
        </w:rPr>
        <w:t xml:space="preserve"> </w:t>
      </w:r>
    </w:p>
    <w:p w14:paraId="15656523" w14:textId="50E2D801" w:rsidR="0045200B" w:rsidRPr="00EF1D87" w:rsidRDefault="00B27755" w:rsidP="00EF1D87">
      <w:pPr>
        <w:spacing w:line="276" w:lineRule="auto"/>
        <w:ind w:firstLine="708"/>
        <w:rPr>
          <w:szCs w:val="24"/>
        </w:rPr>
      </w:pPr>
      <w:r w:rsidRPr="00EF1D87">
        <w:rPr>
          <w:rFonts w:eastAsia="Times New Roman"/>
          <w:b/>
          <w:bCs/>
          <w:iCs/>
          <w:szCs w:val="24"/>
          <w:lang w:val="es-CO" w:eastAsia="es-CO"/>
        </w:rPr>
        <w:t xml:space="preserve">  PRIMERO: </w:t>
      </w:r>
      <w:r w:rsidRPr="00EF1D87">
        <w:rPr>
          <w:rFonts w:eastAsia="Times New Roman"/>
          <w:szCs w:val="24"/>
          <w:lang w:val="es-CO" w:eastAsia="es-CO"/>
        </w:rPr>
        <w:t> </w:t>
      </w:r>
      <w:r w:rsidRPr="00EF1D87">
        <w:rPr>
          <w:rFonts w:eastAsia="Times New Roman"/>
          <w:b/>
          <w:bCs/>
          <w:iCs/>
          <w:szCs w:val="24"/>
          <w:lang w:eastAsia="es-CO"/>
        </w:rPr>
        <w:t> </w:t>
      </w:r>
      <w:r w:rsidR="0045200B" w:rsidRPr="00EF1D87">
        <w:rPr>
          <w:b/>
          <w:szCs w:val="24"/>
          <w:lang w:val="es-CO" w:eastAsia="es-ES"/>
        </w:rPr>
        <w:t xml:space="preserve">CONFIRMAR </w:t>
      </w:r>
      <w:r w:rsidRPr="00EF1D87">
        <w:rPr>
          <w:szCs w:val="24"/>
          <w:lang w:val="es-CO" w:eastAsia="es-CO"/>
        </w:rPr>
        <w:t xml:space="preserve">la sentencia </w:t>
      </w:r>
      <w:r w:rsidR="0045200B" w:rsidRPr="00EF1D87">
        <w:rPr>
          <w:szCs w:val="24"/>
          <w:lang w:val="es-CO" w:eastAsia="es-CO"/>
        </w:rPr>
        <w:t xml:space="preserve">proferida por el Juzgado Laboral del Circuito de Pereira el 25 de noviembre de 2021, dentro del proceso ordinario laboral promovido por </w:t>
      </w:r>
      <w:r w:rsidR="0045200B" w:rsidRPr="00EF1D87">
        <w:rPr>
          <w:b/>
          <w:szCs w:val="24"/>
        </w:rPr>
        <w:t xml:space="preserve">Hilda Rosario Prada </w:t>
      </w:r>
      <w:proofErr w:type="spellStart"/>
      <w:r w:rsidR="0045200B" w:rsidRPr="00EF1D87">
        <w:rPr>
          <w:b/>
          <w:szCs w:val="24"/>
        </w:rPr>
        <w:t>Jaimes</w:t>
      </w:r>
      <w:proofErr w:type="spellEnd"/>
      <w:r w:rsidR="0045200B" w:rsidRPr="00EF1D87">
        <w:rPr>
          <w:szCs w:val="24"/>
        </w:rPr>
        <w:t xml:space="preserve"> en contra de </w:t>
      </w:r>
      <w:r w:rsidR="0045200B" w:rsidRPr="00EF1D87">
        <w:rPr>
          <w:b/>
          <w:szCs w:val="24"/>
        </w:rPr>
        <w:t>Colpensiones</w:t>
      </w:r>
      <w:r w:rsidR="0045200B" w:rsidRPr="00EF1D87">
        <w:rPr>
          <w:szCs w:val="24"/>
        </w:rPr>
        <w:t xml:space="preserve"> y </w:t>
      </w:r>
      <w:r w:rsidR="0045200B" w:rsidRPr="00EF1D87">
        <w:rPr>
          <w:b/>
          <w:szCs w:val="24"/>
        </w:rPr>
        <w:t>Porvenir S.A.</w:t>
      </w:r>
    </w:p>
    <w:p w14:paraId="05F6F295" w14:textId="5FBF26F9" w:rsidR="0045200B" w:rsidRPr="00EF1D87" w:rsidRDefault="0045200B" w:rsidP="00EF1D87">
      <w:pPr>
        <w:spacing w:line="276" w:lineRule="auto"/>
        <w:textAlignment w:val="baseline"/>
        <w:rPr>
          <w:szCs w:val="24"/>
          <w:lang w:val="es-CO" w:eastAsia="es-CO"/>
        </w:rPr>
      </w:pPr>
    </w:p>
    <w:p w14:paraId="7B822082" w14:textId="5D98B52F" w:rsidR="00B27755" w:rsidRPr="00EF1D87" w:rsidRDefault="0045200B" w:rsidP="00EF1D87">
      <w:pPr>
        <w:spacing w:line="276" w:lineRule="auto"/>
        <w:ind w:firstLine="708"/>
        <w:rPr>
          <w:szCs w:val="24"/>
          <w:lang w:val="es-CO" w:eastAsia="es-CO"/>
        </w:rPr>
      </w:pPr>
      <w:r w:rsidRPr="00EF1D87">
        <w:rPr>
          <w:b/>
          <w:bCs/>
          <w:szCs w:val="24"/>
          <w:lang w:val="es-CO" w:eastAsia="es-CO"/>
        </w:rPr>
        <w:t>SEGUNDO</w:t>
      </w:r>
      <w:r w:rsidR="00B27755" w:rsidRPr="00EF1D87">
        <w:rPr>
          <w:b/>
          <w:bCs/>
          <w:szCs w:val="24"/>
          <w:lang w:val="es-CO" w:eastAsia="es-CO"/>
        </w:rPr>
        <w:t>: CONDENAR</w:t>
      </w:r>
      <w:r w:rsidR="00B27755" w:rsidRPr="00EF1D87">
        <w:rPr>
          <w:szCs w:val="24"/>
          <w:lang w:val="es-CO" w:eastAsia="es-CO"/>
        </w:rPr>
        <w:t xml:space="preserve"> en costas de segunda instancia a </w:t>
      </w:r>
      <w:r w:rsidR="00B27755" w:rsidRPr="00EF1D87">
        <w:rPr>
          <w:b/>
          <w:bCs/>
          <w:szCs w:val="24"/>
          <w:lang w:val="es-CO" w:eastAsia="es-CO"/>
        </w:rPr>
        <w:t>P</w:t>
      </w:r>
      <w:r w:rsidRPr="00EF1D87">
        <w:rPr>
          <w:b/>
          <w:bCs/>
          <w:szCs w:val="24"/>
          <w:lang w:val="es-CO" w:eastAsia="es-CO"/>
        </w:rPr>
        <w:t>orvenir</w:t>
      </w:r>
      <w:r w:rsidR="00B27755" w:rsidRPr="00EF1D87">
        <w:rPr>
          <w:b/>
          <w:bCs/>
          <w:szCs w:val="24"/>
          <w:lang w:val="es-CO" w:eastAsia="es-CO"/>
        </w:rPr>
        <w:t xml:space="preserve"> S.A., y Colpensiones</w:t>
      </w:r>
      <w:r w:rsidR="00B27755" w:rsidRPr="00EF1D87">
        <w:rPr>
          <w:szCs w:val="24"/>
          <w:lang w:val="es-CO" w:eastAsia="es-CO"/>
        </w:rPr>
        <w:t xml:space="preserve"> a favor de la parte demandante. Liquídense por la secretaría del juzgado de origen.</w:t>
      </w:r>
    </w:p>
    <w:p w14:paraId="4A262120" w14:textId="77777777" w:rsidR="00B27755" w:rsidRPr="00EF1D87" w:rsidRDefault="00B27755" w:rsidP="00EF1D87">
      <w:pPr>
        <w:spacing w:line="276" w:lineRule="auto"/>
        <w:ind w:firstLine="708"/>
        <w:rPr>
          <w:szCs w:val="24"/>
          <w:lang w:val="es-CO" w:eastAsia="es-CO"/>
        </w:rPr>
      </w:pPr>
    </w:p>
    <w:p w14:paraId="33D192E1" w14:textId="58BB423D" w:rsidR="00B27755" w:rsidRPr="00EF1D87" w:rsidRDefault="0045200B" w:rsidP="00EF1D87">
      <w:pPr>
        <w:spacing w:line="276" w:lineRule="auto"/>
        <w:ind w:firstLine="644"/>
        <w:rPr>
          <w:rFonts w:eastAsia="Calibri"/>
          <w:szCs w:val="24"/>
          <w:lang w:val="es-CO" w:eastAsia="es-CO"/>
        </w:rPr>
      </w:pPr>
      <w:r w:rsidRPr="00EF1D87">
        <w:rPr>
          <w:rFonts w:eastAsia="Calibri"/>
          <w:b/>
          <w:bCs/>
          <w:szCs w:val="24"/>
          <w:lang w:val="es-CO" w:eastAsia="es-CO"/>
        </w:rPr>
        <w:t>TERCERO</w:t>
      </w:r>
      <w:r w:rsidR="00B27755" w:rsidRPr="00EF1D87">
        <w:rPr>
          <w:rFonts w:eastAsia="Calibri"/>
          <w:szCs w:val="24"/>
          <w:lang w:val="es-CO" w:eastAsia="es-CO"/>
        </w:rPr>
        <w:t>:</w:t>
      </w:r>
      <w:r w:rsidR="00EF1D87">
        <w:rPr>
          <w:rFonts w:eastAsia="Calibri"/>
          <w:szCs w:val="24"/>
          <w:lang w:val="es-CO" w:eastAsia="es-CO"/>
        </w:rPr>
        <w:t xml:space="preserve"> (…)</w:t>
      </w:r>
    </w:p>
    <w:p w14:paraId="09FC9BCE" w14:textId="77777777" w:rsidR="00B27755" w:rsidRPr="00EF1D87" w:rsidRDefault="00B27755" w:rsidP="00EF1D87">
      <w:pPr>
        <w:spacing w:line="276" w:lineRule="auto"/>
        <w:ind w:firstLine="708"/>
        <w:rPr>
          <w:szCs w:val="24"/>
          <w:lang w:val="es-CO" w:eastAsia="es-CO"/>
        </w:rPr>
      </w:pPr>
    </w:p>
    <w:p w14:paraId="6E4635BF" w14:textId="77777777" w:rsidR="00B27755" w:rsidRPr="00EF1D87" w:rsidRDefault="00B27755" w:rsidP="00EF1D87">
      <w:pPr>
        <w:spacing w:line="276" w:lineRule="auto"/>
        <w:jc w:val="center"/>
        <w:rPr>
          <w:szCs w:val="24"/>
          <w:lang w:val="es-CO" w:eastAsia="es-CO"/>
        </w:rPr>
      </w:pPr>
      <w:r w:rsidRPr="00EF1D87">
        <w:rPr>
          <w:b/>
          <w:bCs/>
          <w:szCs w:val="24"/>
          <w:lang w:val="es-CO" w:eastAsia="es-CO"/>
        </w:rPr>
        <w:t>NOTIFÍQUESE Y CÚMPLASE</w:t>
      </w:r>
    </w:p>
    <w:p w14:paraId="157A8193" w14:textId="65FEC0DC" w:rsidR="00B6308F" w:rsidRDefault="00B6308F" w:rsidP="00EF1D87">
      <w:pPr>
        <w:spacing w:line="276" w:lineRule="auto"/>
        <w:rPr>
          <w:rFonts w:eastAsia="Segoe UI"/>
          <w:szCs w:val="24"/>
          <w:lang w:val="es-CO" w:eastAsia="es-CO"/>
        </w:rPr>
      </w:pPr>
    </w:p>
    <w:p w14:paraId="7939949B" w14:textId="77777777" w:rsidR="004C2087" w:rsidRPr="00B6308F" w:rsidRDefault="004C2087" w:rsidP="00EF1D87">
      <w:pPr>
        <w:spacing w:line="276" w:lineRule="auto"/>
        <w:rPr>
          <w:rFonts w:eastAsia="Segoe UI"/>
          <w:szCs w:val="24"/>
          <w:lang w:val="es-CO" w:eastAsia="es-CO"/>
        </w:rPr>
      </w:pPr>
    </w:p>
    <w:p w14:paraId="17C98F44" w14:textId="77777777" w:rsidR="00B6308F" w:rsidRPr="00B6308F" w:rsidRDefault="00B6308F" w:rsidP="00EF1D87">
      <w:pPr>
        <w:widowControl w:val="0"/>
        <w:autoSpaceDE w:val="0"/>
        <w:autoSpaceDN w:val="0"/>
        <w:adjustRightInd w:val="0"/>
        <w:spacing w:line="276" w:lineRule="auto"/>
        <w:rPr>
          <w:rFonts w:eastAsia="Times New Roman"/>
          <w:szCs w:val="24"/>
          <w:lang w:eastAsia="es-ES"/>
        </w:rPr>
      </w:pPr>
      <w:r w:rsidRPr="00B6308F">
        <w:rPr>
          <w:rFonts w:eastAsia="Times New Roman"/>
          <w:szCs w:val="24"/>
          <w:lang w:eastAsia="es-ES"/>
        </w:rPr>
        <w:tab/>
        <w:t>La Magistrada ponente,</w:t>
      </w:r>
    </w:p>
    <w:p w14:paraId="2A89D349" w14:textId="77777777" w:rsidR="00B6308F" w:rsidRPr="00B6308F" w:rsidRDefault="00B6308F" w:rsidP="00EF1D87">
      <w:pPr>
        <w:spacing w:line="276" w:lineRule="auto"/>
        <w:jc w:val="left"/>
        <w:rPr>
          <w:rFonts w:eastAsia="Times New Roman"/>
          <w:szCs w:val="24"/>
          <w:lang w:eastAsia="es-ES"/>
        </w:rPr>
      </w:pPr>
    </w:p>
    <w:p w14:paraId="047B581D" w14:textId="77777777" w:rsidR="00B6308F" w:rsidRPr="00B6308F" w:rsidRDefault="00B6308F" w:rsidP="00EF1D87">
      <w:pPr>
        <w:spacing w:line="276" w:lineRule="auto"/>
        <w:jc w:val="left"/>
        <w:rPr>
          <w:rFonts w:eastAsia="Times New Roman"/>
          <w:szCs w:val="24"/>
          <w:lang w:eastAsia="es-ES"/>
        </w:rPr>
      </w:pPr>
    </w:p>
    <w:p w14:paraId="0AEFF3AE" w14:textId="77777777" w:rsidR="00B6308F" w:rsidRPr="00B6308F" w:rsidRDefault="00B6308F" w:rsidP="00EF1D87">
      <w:pPr>
        <w:spacing w:line="276" w:lineRule="auto"/>
        <w:jc w:val="left"/>
        <w:rPr>
          <w:rFonts w:eastAsia="Times New Roman"/>
          <w:szCs w:val="24"/>
          <w:lang w:eastAsia="es-ES"/>
        </w:rPr>
      </w:pPr>
    </w:p>
    <w:p w14:paraId="326414F5" w14:textId="77777777" w:rsidR="00B6308F" w:rsidRPr="00B6308F" w:rsidRDefault="00B6308F" w:rsidP="00EF1D87">
      <w:pPr>
        <w:keepNext/>
        <w:spacing w:line="276" w:lineRule="auto"/>
        <w:jc w:val="center"/>
        <w:outlineLvl w:val="2"/>
        <w:rPr>
          <w:rFonts w:eastAsia="Times New Roman"/>
          <w:b/>
          <w:bCs/>
          <w:szCs w:val="24"/>
          <w:lang w:eastAsia="es-ES"/>
        </w:rPr>
      </w:pPr>
      <w:r w:rsidRPr="00B6308F">
        <w:rPr>
          <w:rFonts w:eastAsia="Times New Roman"/>
          <w:b/>
          <w:bCs/>
          <w:szCs w:val="24"/>
          <w:lang w:eastAsia="es-ES"/>
        </w:rPr>
        <w:t>ANA LUCÍA CAICEDO CALDERÓN</w:t>
      </w:r>
    </w:p>
    <w:p w14:paraId="4484BE11" w14:textId="3106F299" w:rsidR="00B6308F" w:rsidRDefault="00B6308F" w:rsidP="00EF1D87">
      <w:pPr>
        <w:spacing w:line="276" w:lineRule="auto"/>
        <w:jc w:val="left"/>
        <w:rPr>
          <w:rFonts w:eastAsia="Times New Roman"/>
          <w:szCs w:val="24"/>
          <w:lang w:eastAsia="es-ES"/>
        </w:rPr>
      </w:pPr>
    </w:p>
    <w:p w14:paraId="7295ADD2" w14:textId="77777777" w:rsidR="004C2087" w:rsidRPr="00B6308F" w:rsidRDefault="004C2087" w:rsidP="00EF1D87">
      <w:pPr>
        <w:spacing w:line="276" w:lineRule="auto"/>
        <w:jc w:val="left"/>
        <w:rPr>
          <w:rFonts w:eastAsia="Times New Roman"/>
          <w:szCs w:val="24"/>
          <w:lang w:eastAsia="es-ES"/>
        </w:rPr>
      </w:pPr>
    </w:p>
    <w:p w14:paraId="337C5B75" w14:textId="77777777" w:rsidR="00B6308F" w:rsidRPr="00B6308F" w:rsidRDefault="00B6308F" w:rsidP="00EF1D87">
      <w:pPr>
        <w:spacing w:line="276" w:lineRule="auto"/>
        <w:ind w:firstLine="708"/>
        <w:jc w:val="left"/>
        <w:rPr>
          <w:rFonts w:eastAsia="Times New Roman"/>
          <w:szCs w:val="24"/>
          <w:lang w:eastAsia="es-ES"/>
        </w:rPr>
      </w:pPr>
      <w:bookmarkStart w:id="10" w:name="_Hlk62478330"/>
      <w:r w:rsidRPr="00B6308F">
        <w:rPr>
          <w:rFonts w:eastAsia="Times New Roman"/>
          <w:szCs w:val="24"/>
          <w:lang w:eastAsia="es-ES"/>
        </w:rPr>
        <w:t>La Magistrada y el Magistrado,</w:t>
      </w:r>
    </w:p>
    <w:p w14:paraId="44CD63B5" w14:textId="77777777" w:rsidR="00B6308F" w:rsidRPr="00B6308F" w:rsidRDefault="00B6308F" w:rsidP="00EF1D87">
      <w:pPr>
        <w:spacing w:line="276" w:lineRule="auto"/>
        <w:jc w:val="left"/>
        <w:rPr>
          <w:rFonts w:eastAsia="Times New Roman"/>
          <w:szCs w:val="24"/>
          <w:lang w:eastAsia="es-ES"/>
        </w:rPr>
      </w:pPr>
    </w:p>
    <w:p w14:paraId="1676E62E" w14:textId="77777777" w:rsidR="00B6308F" w:rsidRPr="00B6308F" w:rsidRDefault="00B6308F" w:rsidP="00EF1D87">
      <w:pPr>
        <w:spacing w:line="276" w:lineRule="auto"/>
        <w:jc w:val="left"/>
        <w:rPr>
          <w:rFonts w:eastAsia="Times New Roman"/>
          <w:szCs w:val="24"/>
          <w:lang w:eastAsia="es-ES"/>
        </w:rPr>
      </w:pPr>
    </w:p>
    <w:p w14:paraId="6A693ADD" w14:textId="77777777" w:rsidR="00B6308F" w:rsidRPr="00B6308F" w:rsidRDefault="00B6308F" w:rsidP="00EF1D87">
      <w:pPr>
        <w:spacing w:line="276" w:lineRule="auto"/>
        <w:jc w:val="left"/>
        <w:rPr>
          <w:rFonts w:eastAsia="Times New Roman"/>
          <w:szCs w:val="24"/>
          <w:lang w:eastAsia="es-ES"/>
        </w:rPr>
      </w:pPr>
    </w:p>
    <w:p w14:paraId="62042D6A" w14:textId="77777777" w:rsidR="00B6308F" w:rsidRPr="00B6308F" w:rsidRDefault="00B6308F" w:rsidP="00EF1D87">
      <w:pPr>
        <w:spacing w:line="276" w:lineRule="auto"/>
        <w:rPr>
          <w:rFonts w:eastAsia="Times New Roman"/>
          <w:b/>
          <w:bCs/>
          <w:szCs w:val="24"/>
          <w:lang w:eastAsia="es-ES"/>
        </w:rPr>
      </w:pPr>
      <w:r w:rsidRPr="00B6308F">
        <w:rPr>
          <w:rFonts w:eastAsia="Times New Roman"/>
          <w:b/>
          <w:bCs/>
          <w:szCs w:val="24"/>
          <w:lang w:eastAsia="es-ES"/>
        </w:rPr>
        <w:t>OLGA LUCÍA HOYOS SEPÚLVEDA</w:t>
      </w:r>
      <w:r w:rsidRPr="00B6308F">
        <w:rPr>
          <w:rFonts w:eastAsia="Times New Roman"/>
          <w:b/>
          <w:bCs/>
          <w:szCs w:val="24"/>
          <w:lang w:eastAsia="es-ES"/>
        </w:rPr>
        <w:tab/>
      </w:r>
      <w:r w:rsidRPr="00B6308F">
        <w:rPr>
          <w:rFonts w:eastAsia="Times New Roman"/>
          <w:b/>
          <w:bCs/>
          <w:szCs w:val="24"/>
          <w:lang w:eastAsia="es-ES"/>
        </w:rPr>
        <w:tab/>
        <w:t>GERMÁN DARÍO GÓEZ VINASCO</w:t>
      </w:r>
      <w:bookmarkEnd w:id="10"/>
    </w:p>
    <w:p w14:paraId="53C877E5" w14:textId="38A1DA31" w:rsidR="00B27755" w:rsidRPr="00EF1D87" w:rsidRDefault="00B6308F" w:rsidP="00EF1D87">
      <w:pPr>
        <w:spacing w:line="276" w:lineRule="auto"/>
        <w:rPr>
          <w:szCs w:val="24"/>
          <w:lang w:val="es-CO" w:eastAsia="es-CO"/>
        </w:rPr>
      </w:pPr>
      <w:r w:rsidRPr="00EF1D87">
        <w:rPr>
          <w:szCs w:val="24"/>
          <w:lang w:val="es-CO" w:eastAsia="es-CO"/>
        </w:rPr>
        <w:t>Aclara voto</w:t>
      </w:r>
    </w:p>
    <w:sectPr w:rsidR="00B27755" w:rsidRPr="00EF1D87" w:rsidSect="004C2087">
      <w:headerReference w:type="default" r:id="rId12"/>
      <w:pgSz w:w="12242" w:h="18722" w:code="258"/>
      <w:pgMar w:top="1814" w:right="1304" w:bottom="1247" w:left="1871" w:header="567" w:footer="567" w:gutter="0"/>
      <w:pgNumType w:start="1"/>
      <w:cols w:space="720"/>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1B7F599" w16cex:dateUtc="2022-05-09T17:07:45.546Z"/>
  <w16cex:commentExtensible w16cex:durableId="0BB08D2F" w16cex:dateUtc="2022-05-12T19:05:12.15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5C33D" w14:textId="77777777" w:rsidR="005F4B42" w:rsidRDefault="005F4B42">
      <w:pPr>
        <w:spacing w:line="240" w:lineRule="auto"/>
      </w:pPr>
      <w:r>
        <w:separator/>
      </w:r>
    </w:p>
  </w:endnote>
  <w:endnote w:type="continuationSeparator" w:id="0">
    <w:p w14:paraId="70B189BF" w14:textId="77777777" w:rsidR="005F4B42" w:rsidRDefault="005F4B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Bold">
    <w:altName w:val="Tahom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259DB0" w14:textId="77777777" w:rsidR="005F4B42" w:rsidRDefault="005F4B42">
      <w:pPr>
        <w:spacing w:line="240" w:lineRule="auto"/>
      </w:pPr>
      <w:r>
        <w:separator/>
      </w:r>
    </w:p>
  </w:footnote>
  <w:footnote w:type="continuationSeparator" w:id="0">
    <w:p w14:paraId="0F9E356B" w14:textId="77777777" w:rsidR="005F4B42" w:rsidRDefault="005F4B42">
      <w:pPr>
        <w:spacing w:line="240" w:lineRule="auto"/>
      </w:pPr>
      <w:r>
        <w:continuationSeparator/>
      </w:r>
    </w:p>
  </w:footnote>
  <w:footnote w:id="1">
    <w:p w14:paraId="03F4D297" w14:textId="77777777" w:rsidR="00D53FCA" w:rsidRPr="003F425A" w:rsidRDefault="00D53FCA" w:rsidP="00D53FCA">
      <w:pPr>
        <w:pStyle w:val="Textonotapie"/>
        <w:rPr>
          <w:rFonts w:ascii="Arial" w:hAnsi="Arial" w:cs="Arial"/>
          <w:sz w:val="18"/>
          <w:szCs w:val="18"/>
        </w:rPr>
      </w:pPr>
      <w:r w:rsidRPr="003F425A">
        <w:rPr>
          <w:rStyle w:val="Refdenotaalpie"/>
          <w:rFonts w:ascii="Arial" w:hAnsi="Arial" w:cs="Arial"/>
          <w:sz w:val="18"/>
          <w:szCs w:val="18"/>
        </w:rPr>
        <w:footnoteRef/>
      </w:r>
      <w:r w:rsidRPr="003F425A">
        <w:rPr>
          <w:rFonts w:ascii="Arial" w:hAnsi="Arial" w:cs="Arial"/>
          <w:sz w:val="18"/>
          <w:szCs w:val="18"/>
        </w:rPr>
        <w:t xml:space="preserve"> Título tomado de la sentencia del 8 de mayo de 2019SL 1688-2019, Radicado 68838, con Ponencia de la Dra. Clara Cecilia Dueñas Quevedo</w:t>
      </w:r>
    </w:p>
  </w:footnote>
  <w:footnote w:id="2">
    <w:p w14:paraId="623FA9DE" w14:textId="77777777" w:rsidR="00D53FCA" w:rsidRPr="003F425A" w:rsidRDefault="00D53FCA" w:rsidP="00D53FCA">
      <w:pPr>
        <w:pStyle w:val="Textonotapie"/>
        <w:rPr>
          <w:rFonts w:ascii="Arial" w:hAnsi="Arial" w:cs="Arial"/>
          <w:sz w:val="18"/>
          <w:szCs w:val="18"/>
        </w:rPr>
      </w:pPr>
      <w:r w:rsidRPr="003F425A">
        <w:rPr>
          <w:rStyle w:val="Refdenotaalpie"/>
          <w:rFonts w:ascii="Arial" w:hAnsi="Arial" w:cs="Arial"/>
          <w:sz w:val="18"/>
          <w:szCs w:val="18"/>
        </w:rPr>
        <w:footnoteRef/>
      </w:r>
      <w:r w:rsidRPr="003F425A">
        <w:rPr>
          <w:rFonts w:ascii="Arial" w:hAnsi="Arial" w:cs="Arial"/>
          <w:sz w:val="18"/>
          <w:szCs w:val="18"/>
        </w:rPr>
        <w:t xml:space="preserve"> Estatuto Orgánico del Sistema Financiero </w:t>
      </w:r>
    </w:p>
  </w:footnote>
  <w:footnote w:id="3">
    <w:p w14:paraId="3763F7E6" w14:textId="77777777" w:rsidR="001E0DD0" w:rsidRPr="003F425A" w:rsidRDefault="001E0DD0" w:rsidP="001E0DD0">
      <w:pPr>
        <w:pStyle w:val="Textonotapie"/>
        <w:rPr>
          <w:rFonts w:ascii="Arial" w:hAnsi="Arial" w:cs="Arial"/>
          <w:sz w:val="18"/>
          <w:szCs w:val="18"/>
        </w:rPr>
      </w:pPr>
      <w:r w:rsidRPr="003F425A">
        <w:rPr>
          <w:rStyle w:val="Refdenotaalpie"/>
          <w:rFonts w:ascii="Arial" w:hAnsi="Arial" w:cs="Arial"/>
          <w:sz w:val="18"/>
          <w:szCs w:val="18"/>
        </w:rPr>
        <w:footnoteRef/>
      </w:r>
      <w:r w:rsidRPr="003F425A">
        <w:rPr>
          <w:rFonts w:ascii="Arial" w:hAnsi="Arial" w:cs="Arial"/>
          <w:sz w:val="18"/>
          <w:szCs w:val="18"/>
        </w:rPr>
        <w:t xml:space="preserve"> Título tomado de la sentencia del 8 de mayo de 2019SL 1688-2019, Radicado 68838, con Ponencia de la Dra. Clara Cecilia Dueñas Quevedo</w:t>
      </w:r>
    </w:p>
  </w:footnote>
  <w:footnote w:id="4">
    <w:p w14:paraId="1129F6D1" w14:textId="77777777" w:rsidR="001E0DD0" w:rsidRPr="003F425A" w:rsidRDefault="001E0DD0" w:rsidP="001E0DD0">
      <w:pPr>
        <w:pStyle w:val="Textonotapie"/>
        <w:rPr>
          <w:rFonts w:ascii="Arial" w:hAnsi="Arial" w:cs="Arial"/>
          <w:sz w:val="18"/>
          <w:szCs w:val="18"/>
        </w:rPr>
      </w:pPr>
      <w:r w:rsidRPr="003F425A">
        <w:rPr>
          <w:rStyle w:val="Refdenotaalpie"/>
          <w:rFonts w:ascii="Arial" w:hAnsi="Arial" w:cs="Arial"/>
          <w:sz w:val="18"/>
          <w:szCs w:val="18"/>
        </w:rPr>
        <w:footnoteRef/>
      </w:r>
      <w:r w:rsidRPr="003F425A">
        <w:rPr>
          <w:rFonts w:ascii="Arial" w:hAnsi="Arial" w:cs="Arial"/>
          <w:sz w:val="18"/>
          <w:szCs w:val="18"/>
        </w:rPr>
        <w:t xml:space="preserve"> Con lo que se descarta igualmente la tesis que alude a los “actos de relacionamiento” para desestimar la ineficacia por la falta de información al momento del traslado al RAIS.</w:t>
      </w:r>
    </w:p>
  </w:footnote>
  <w:footnote w:id="5">
    <w:p w14:paraId="0F9AD797" w14:textId="77777777" w:rsidR="00B27755" w:rsidRPr="005718A2" w:rsidRDefault="00B27755" w:rsidP="005718A2">
      <w:pPr>
        <w:pStyle w:val="Textonotapie"/>
        <w:rPr>
          <w:rFonts w:ascii="Arial" w:hAnsi="Arial" w:cs="Arial"/>
          <w:sz w:val="18"/>
          <w:szCs w:val="18"/>
        </w:rPr>
      </w:pPr>
      <w:r w:rsidRPr="005718A2">
        <w:rPr>
          <w:rStyle w:val="Refdenotaalpie"/>
          <w:rFonts w:ascii="Arial" w:hAnsi="Arial" w:cs="Arial"/>
          <w:sz w:val="18"/>
          <w:szCs w:val="18"/>
        </w:rPr>
        <w:footnoteRef/>
      </w:r>
      <w:r w:rsidRPr="005718A2">
        <w:rPr>
          <w:rFonts w:ascii="Arial" w:hAnsi="Arial" w:cs="Arial"/>
          <w:sz w:val="18"/>
          <w:szCs w:val="18"/>
        </w:rPr>
        <w:t xml:space="preserve"> Ibídem</w:t>
      </w:r>
    </w:p>
  </w:footnote>
  <w:footnote w:id="6">
    <w:p w14:paraId="6FD005A2" w14:textId="21E1C47C" w:rsidR="0045200B" w:rsidRPr="005718A2" w:rsidRDefault="0045200B">
      <w:pPr>
        <w:pStyle w:val="Textonotapie"/>
        <w:rPr>
          <w:rFonts w:ascii="Arial" w:hAnsi="Arial" w:cs="Arial"/>
          <w:sz w:val="18"/>
          <w:szCs w:val="18"/>
        </w:rPr>
      </w:pPr>
      <w:r w:rsidRPr="005718A2">
        <w:rPr>
          <w:rStyle w:val="Refdenotaalpie"/>
          <w:rFonts w:ascii="Arial" w:hAnsi="Arial" w:cs="Arial"/>
          <w:sz w:val="18"/>
          <w:szCs w:val="18"/>
        </w:rPr>
        <w:footnoteRef/>
      </w:r>
      <w:r w:rsidRPr="005718A2">
        <w:rPr>
          <w:rFonts w:ascii="Arial" w:hAnsi="Arial" w:cs="Arial"/>
          <w:sz w:val="18"/>
          <w:szCs w:val="18"/>
        </w:rPr>
        <w:t xml:space="preserve"> Según historia laboral expedida por Porvenir S.A., visible a folio 39 del expediente digital.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92" w14:textId="4CF8099D" w:rsidR="001738DF" w:rsidRPr="00EF1D87" w:rsidRDefault="00E4412A" w:rsidP="00EF1D87">
    <w:pPr>
      <w:pBdr>
        <w:top w:val="nil"/>
        <w:left w:val="nil"/>
        <w:bottom w:val="nil"/>
        <w:right w:val="nil"/>
        <w:between w:val="nil"/>
      </w:pBdr>
      <w:spacing w:line="240" w:lineRule="auto"/>
      <w:rPr>
        <w:rFonts w:ascii="Arial" w:hAnsi="Arial" w:cs="Arial"/>
        <w:color w:val="000000"/>
        <w:sz w:val="18"/>
        <w:szCs w:val="18"/>
      </w:rPr>
    </w:pPr>
    <w:r w:rsidRPr="00EF1D87">
      <w:rPr>
        <w:rFonts w:ascii="Arial" w:hAnsi="Arial" w:cs="Arial"/>
        <w:color w:val="000000"/>
        <w:sz w:val="18"/>
        <w:szCs w:val="18"/>
      </w:rPr>
      <w:t>Radicación No.: 66001-31-05-002- 2019-000274-01</w:t>
    </w:r>
  </w:p>
  <w:p w14:paraId="00000093" w14:textId="62959B28" w:rsidR="001738DF" w:rsidRPr="00EF1D87" w:rsidRDefault="00E4412A" w:rsidP="00EF1D87">
    <w:pPr>
      <w:pBdr>
        <w:top w:val="nil"/>
        <w:left w:val="nil"/>
        <w:bottom w:val="nil"/>
        <w:right w:val="nil"/>
        <w:between w:val="nil"/>
      </w:pBdr>
      <w:spacing w:line="240" w:lineRule="auto"/>
      <w:rPr>
        <w:rFonts w:ascii="Arial" w:hAnsi="Arial" w:cs="Arial"/>
        <w:color w:val="000000"/>
        <w:sz w:val="18"/>
        <w:szCs w:val="18"/>
      </w:rPr>
    </w:pPr>
    <w:r w:rsidRPr="00EF1D87">
      <w:rPr>
        <w:rFonts w:ascii="Arial" w:hAnsi="Arial" w:cs="Arial"/>
        <w:color w:val="000000"/>
        <w:sz w:val="18"/>
        <w:szCs w:val="18"/>
      </w:rPr>
      <w:t xml:space="preserve">Demandante: Hilda Rosario Prada </w:t>
    </w:r>
    <w:proofErr w:type="spellStart"/>
    <w:r w:rsidRPr="00EF1D87">
      <w:rPr>
        <w:rFonts w:ascii="Arial" w:hAnsi="Arial" w:cs="Arial"/>
        <w:color w:val="000000"/>
        <w:sz w:val="18"/>
        <w:szCs w:val="18"/>
      </w:rPr>
      <w:t>Jaimes</w:t>
    </w:r>
    <w:proofErr w:type="spellEnd"/>
  </w:p>
  <w:p w14:paraId="00000096" w14:textId="016CFEEC" w:rsidR="001738DF" w:rsidRPr="00EF1D87" w:rsidRDefault="00E4412A" w:rsidP="00EF1D87">
    <w:pPr>
      <w:pBdr>
        <w:top w:val="nil"/>
        <w:left w:val="nil"/>
        <w:bottom w:val="nil"/>
        <w:right w:val="nil"/>
        <w:between w:val="nil"/>
      </w:pBdr>
      <w:spacing w:line="240" w:lineRule="auto"/>
      <w:rPr>
        <w:rFonts w:ascii="Arial" w:hAnsi="Arial" w:cs="Arial"/>
        <w:color w:val="000000"/>
        <w:sz w:val="18"/>
        <w:szCs w:val="18"/>
      </w:rPr>
    </w:pPr>
    <w:r w:rsidRPr="00EF1D87">
      <w:rPr>
        <w:rFonts w:ascii="Arial" w:hAnsi="Arial" w:cs="Arial"/>
        <w:color w:val="000000"/>
        <w:sz w:val="18"/>
        <w:szCs w:val="18"/>
      </w:rPr>
      <w:t>Demandados: Colpensiones y Porvenir 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E0422"/>
    <w:multiLevelType w:val="multilevel"/>
    <w:tmpl w:val="6AF0EA3C"/>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1" w15:restartNumberingAfterBreak="0">
    <w:nsid w:val="2EBB0983"/>
    <w:multiLevelType w:val="multilevel"/>
    <w:tmpl w:val="2C16A044"/>
    <w:lvl w:ilvl="0">
      <w:start w:val="1"/>
      <w:numFmt w:val="decimal"/>
      <w:lvlText w:val="%1."/>
      <w:lvlJc w:val="left"/>
      <w:pPr>
        <w:ind w:left="720" w:hanging="360"/>
      </w:pPr>
    </w:lvl>
    <w:lvl w:ilvl="1">
      <w:start w:val="2"/>
      <w:numFmt w:val="decimal"/>
      <w:lvlText w:val="%1.%2"/>
      <w:lvlJc w:val="left"/>
      <w:pPr>
        <w:ind w:left="1800" w:hanging="720"/>
      </w:pPr>
    </w:lvl>
    <w:lvl w:ilvl="2">
      <w:start w:val="1"/>
      <w:numFmt w:val="decimal"/>
      <w:lvlText w:val="%1.%2.%3"/>
      <w:lvlJc w:val="left"/>
      <w:pPr>
        <w:ind w:left="2880" w:hanging="1080"/>
      </w:pPr>
    </w:lvl>
    <w:lvl w:ilvl="3">
      <w:start w:val="1"/>
      <w:numFmt w:val="decimal"/>
      <w:lvlText w:val="%1.%2.%3.%4"/>
      <w:lvlJc w:val="left"/>
      <w:pPr>
        <w:ind w:left="3600" w:hanging="1080"/>
      </w:pPr>
    </w:lvl>
    <w:lvl w:ilvl="4">
      <w:start w:val="1"/>
      <w:numFmt w:val="decimal"/>
      <w:lvlText w:val="%1.%2.%3.%4.%5"/>
      <w:lvlJc w:val="left"/>
      <w:pPr>
        <w:ind w:left="4680" w:hanging="1440"/>
      </w:pPr>
    </w:lvl>
    <w:lvl w:ilvl="5">
      <w:start w:val="1"/>
      <w:numFmt w:val="decimal"/>
      <w:lvlText w:val="%1.%2.%3.%4.%5.%6"/>
      <w:lvlJc w:val="left"/>
      <w:pPr>
        <w:ind w:left="5760" w:hanging="1800"/>
      </w:pPr>
    </w:lvl>
    <w:lvl w:ilvl="6">
      <w:start w:val="1"/>
      <w:numFmt w:val="decimal"/>
      <w:lvlText w:val="%1.%2.%3.%4.%5.%6.%7"/>
      <w:lvlJc w:val="left"/>
      <w:pPr>
        <w:ind w:left="6840" w:hanging="2160"/>
      </w:pPr>
    </w:lvl>
    <w:lvl w:ilvl="7">
      <w:start w:val="1"/>
      <w:numFmt w:val="decimal"/>
      <w:lvlText w:val="%1.%2.%3.%4.%5.%6.%7.%8"/>
      <w:lvlJc w:val="left"/>
      <w:pPr>
        <w:ind w:left="7560" w:hanging="2160"/>
      </w:pPr>
    </w:lvl>
    <w:lvl w:ilvl="8">
      <w:start w:val="1"/>
      <w:numFmt w:val="decimal"/>
      <w:lvlText w:val="%1.%2.%3.%4.%5.%6.%7.%8.%9"/>
      <w:lvlJc w:val="left"/>
      <w:pPr>
        <w:ind w:left="8640" w:hanging="2520"/>
      </w:pPr>
    </w:lvl>
  </w:abstractNum>
  <w:abstractNum w:abstractNumId="2" w15:restartNumberingAfterBreak="0">
    <w:nsid w:val="312D47DE"/>
    <w:multiLevelType w:val="hybridMultilevel"/>
    <w:tmpl w:val="1304F476"/>
    <w:lvl w:ilvl="0" w:tplc="1C74D80C">
      <w:start w:val="1"/>
      <w:numFmt w:val="lowerRoman"/>
      <w:lvlText w:val="%1."/>
      <w:lvlJc w:val="right"/>
      <w:pPr>
        <w:ind w:left="720" w:hanging="360"/>
      </w:pPr>
      <w:rPr>
        <w:rFonts w:ascii="Tahoma" w:hAnsi="Tahoma" w:cs="Tahoma" w:hint="default"/>
      </w:rPr>
    </w:lvl>
    <w:lvl w:ilvl="1" w:tplc="D182F98E">
      <w:start w:val="1"/>
      <w:numFmt w:val="lowerLetter"/>
      <w:lvlText w:val="%2."/>
      <w:lvlJc w:val="left"/>
      <w:pPr>
        <w:ind w:left="1440" w:hanging="360"/>
      </w:pPr>
    </w:lvl>
    <w:lvl w:ilvl="2" w:tplc="64A238B0">
      <w:start w:val="1"/>
      <w:numFmt w:val="lowerRoman"/>
      <w:lvlText w:val="%3."/>
      <w:lvlJc w:val="right"/>
      <w:pPr>
        <w:ind w:left="2160" w:hanging="180"/>
      </w:pPr>
    </w:lvl>
    <w:lvl w:ilvl="3" w:tplc="3BB865F0">
      <w:start w:val="1"/>
      <w:numFmt w:val="decimal"/>
      <w:lvlText w:val="%4."/>
      <w:lvlJc w:val="left"/>
      <w:pPr>
        <w:ind w:left="2880" w:hanging="360"/>
      </w:pPr>
    </w:lvl>
    <w:lvl w:ilvl="4" w:tplc="351CF416">
      <w:start w:val="1"/>
      <w:numFmt w:val="lowerLetter"/>
      <w:lvlText w:val="%5."/>
      <w:lvlJc w:val="left"/>
      <w:pPr>
        <w:ind w:left="3600" w:hanging="360"/>
      </w:pPr>
    </w:lvl>
    <w:lvl w:ilvl="5" w:tplc="B1A0E43C">
      <w:start w:val="1"/>
      <w:numFmt w:val="lowerRoman"/>
      <w:lvlText w:val="%6."/>
      <w:lvlJc w:val="right"/>
      <w:pPr>
        <w:ind w:left="4320" w:hanging="180"/>
      </w:pPr>
    </w:lvl>
    <w:lvl w:ilvl="6" w:tplc="86143216">
      <w:start w:val="1"/>
      <w:numFmt w:val="decimal"/>
      <w:lvlText w:val="%7."/>
      <w:lvlJc w:val="left"/>
      <w:pPr>
        <w:ind w:left="5040" w:hanging="360"/>
      </w:pPr>
    </w:lvl>
    <w:lvl w:ilvl="7" w:tplc="CC187228">
      <w:start w:val="1"/>
      <w:numFmt w:val="lowerLetter"/>
      <w:lvlText w:val="%8."/>
      <w:lvlJc w:val="left"/>
      <w:pPr>
        <w:ind w:left="5760" w:hanging="360"/>
      </w:pPr>
    </w:lvl>
    <w:lvl w:ilvl="8" w:tplc="C64258FA">
      <w:start w:val="1"/>
      <w:numFmt w:val="lowerRoman"/>
      <w:lvlText w:val="%9."/>
      <w:lvlJc w:val="right"/>
      <w:pPr>
        <w:ind w:left="6480" w:hanging="180"/>
      </w:pPr>
    </w:lvl>
  </w:abstractNum>
  <w:abstractNum w:abstractNumId="3" w15:restartNumberingAfterBreak="0">
    <w:nsid w:val="3D3E2172"/>
    <w:multiLevelType w:val="multilevel"/>
    <w:tmpl w:val="6AF0EA3C"/>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4" w15:restartNumberingAfterBreak="0">
    <w:nsid w:val="558B00D3"/>
    <w:multiLevelType w:val="multilevel"/>
    <w:tmpl w:val="8BB2B752"/>
    <w:lvl w:ilvl="0">
      <w:start w:val="6"/>
      <w:numFmt w:val="decimal"/>
      <w:lvlText w:val="%1"/>
      <w:lvlJc w:val="left"/>
      <w:pPr>
        <w:ind w:left="375" w:hanging="375"/>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5" w15:restartNumberingAfterBreak="0">
    <w:nsid w:val="6C42761D"/>
    <w:multiLevelType w:val="multilevel"/>
    <w:tmpl w:val="6AF0EA3C"/>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6" w15:restartNumberingAfterBreak="0">
    <w:nsid w:val="711D36C8"/>
    <w:multiLevelType w:val="multilevel"/>
    <w:tmpl w:val="94F4F73E"/>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6"/>
  </w:num>
  <w:num w:numId="3">
    <w:abstractNumId w:val="2"/>
  </w:num>
  <w:num w:numId="4">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8DF"/>
    <w:rsid w:val="00040EB9"/>
    <w:rsid w:val="000B127B"/>
    <w:rsid w:val="000C5461"/>
    <w:rsid w:val="000E01C1"/>
    <w:rsid w:val="001738DF"/>
    <w:rsid w:val="001A5939"/>
    <w:rsid w:val="001E0DD0"/>
    <w:rsid w:val="00202027"/>
    <w:rsid w:val="0024131B"/>
    <w:rsid w:val="00242293"/>
    <w:rsid w:val="00270B41"/>
    <w:rsid w:val="00347C22"/>
    <w:rsid w:val="003D0740"/>
    <w:rsid w:val="0045200B"/>
    <w:rsid w:val="0047520A"/>
    <w:rsid w:val="004A5C8C"/>
    <w:rsid w:val="004C2087"/>
    <w:rsid w:val="00504C21"/>
    <w:rsid w:val="00537FD5"/>
    <w:rsid w:val="0056365E"/>
    <w:rsid w:val="005718A2"/>
    <w:rsid w:val="005F4B42"/>
    <w:rsid w:val="00634DCC"/>
    <w:rsid w:val="007759F5"/>
    <w:rsid w:val="00792868"/>
    <w:rsid w:val="007C54DD"/>
    <w:rsid w:val="00864141"/>
    <w:rsid w:val="0089037F"/>
    <w:rsid w:val="009068D3"/>
    <w:rsid w:val="00922D62"/>
    <w:rsid w:val="00937981"/>
    <w:rsid w:val="00951DF9"/>
    <w:rsid w:val="009D472F"/>
    <w:rsid w:val="009F1B77"/>
    <w:rsid w:val="00B27755"/>
    <w:rsid w:val="00B6308F"/>
    <w:rsid w:val="00B85832"/>
    <w:rsid w:val="00BC4973"/>
    <w:rsid w:val="00C20905"/>
    <w:rsid w:val="00C351FF"/>
    <w:rsid w:val="00C4045A"/>
    <w:rsid w:val="00C93222"/>
    <w:rsid w:val="00D53FCA"/>
    <w:rsid w:val="00DB3EC4"/>
    <w:rsid w:val="00DC42A3"/>
    <w:rsid w:val="00E4412A"/>
    <w:rsid w:val="00E57DA9"/>
    <w:rsid w:val="00EF1D87"/>
    <w:rsid w:val="00F040F7"/>
    <w:rsid w:val="00F41A27"/>
    <w:rsid w:val="00F83B52"/>
    <w:rsid w:val="00FC1240"/>
    <w:rsid w:val="181BA307"/>
    <w:rsid w:val="19288E57"/>
    <w:rsid w:val="211A77DF"/>
    <w:rsid w:val="29D584B8"/>
    <w:rsid w:val="30E36B9C"/>
    <w:rsid w:val="39D28025"/>
    <w:rsid w:val="426319F3"/>
    <w:rsid w:val="487A6888"/>
    <w:rsid w:val="501A11C1"/>
    <w:rsid w:val="63234500"/>
    <w:rsid w:val="7DBAE5A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5BBD1"/>
  <w15:docId w15:val="{A33AD320-910A-2D4C-AB04-379840872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ahoma" w:hAnsi="Tahoma" w:cs="Tahoma"/>
        <w:sz w:val="24"/>
        <w:szCs w:val="24"/>
        <w:lang w:val="es-ES" w:eastAsia="es-MX"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2007"/>
    <w:rPr>
      <w:szCs w:val="22"/>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unhideWhenUsed/>
    <w:qFormat/>
    <w:pPr>
      <w:keepNext/>
      <w:keepLines/>
      <w:spacing w:before="280" w:after="80"/>
      <w:outlineLvl w:val="2"/>
    </w:pPr>
    <w:rPr>
      <w:b/>
      <w:sz w:val="28"/>
      <w:szCs w:val="28"/>
    </w:rPr>
  </w:style>
  <w:style w:type="paragraph" w:styleId="Ttulo4">
    <w:name w:val="heading 4"/>
    <w:basedOn w:val="Normal"/>
    <w:next w:val="Normal"/>
    <w:link w:val="Ttulo4Car"/>
    <w:uiPriority w:val="9"/>
    <w:unhideWhenUsed/>
    <w:qFormat/>
    <w:rsid w:val="003C2007"/>
    <w:pPr>
      <w:keepNext/>
      <w:tabs>
        <w:tab w:val="left" w:pos="0"/>
      </w:tabs>
      <w:overflowPunct w:val="0"/>
      <w:autoSpaceDE w:val="0"/>
      <w:autoSpaceDN w:val="0"/>
      <w:adjustRightInd w:val="0"/>
      <w:spacing w:line="240" w:lineRule="auto"/>
      <w:jc w:val="center"/>
      <w:outlineLvl w:val="3"/>
    </w:pPr>
    <w:rPr>
      <w:rFonts w:ascii="Times New Roman" w:eastAsia="Times New Roman" w:hAnsi="Times New Roman" w:cs="Times New Roman"/>
      <w:b/>
      <w:szCs w:val="20"/>
      <w:lang w:eastAsia="es-ES"/>
    </w:rPr>
  </w:style>
  <w:style w:type="paragraph" w:styleId="Ttulo5">
    <w:name w:val="heading 5"/>
    <w:basedOn w:val="Normal"/>
    <w:next w:val="Normal"/>
    <w:uiPriority w:val="9"/>
    <w:semiHidden/>
    <w:unhideWhenUsed/>
    <w:qFormat/>
    <w:pPr>
      <w:keepNext/>
      <w:keepLines/>
      <w:spacing w:before="220" w:after="40"/>
      <w:outlineLvl w:val="4"/>
    </w:pPr>
    <w:rPr>
      <w:b/>
      <w:sz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4Car">
    <w:name w:val="Título 4 Car"/>
    <w:basedOn w:val="Fuentedeprrafopredeter"/>
    <w:link w:val="Ttulo4"/>
    <w:rsid w:val="003C2007"/>
    <w:rPr>
      <w:rFonts w:ascii="Times New Roman" w:eastAsia="Times New Roman" w:hAnsi="Times New Roman" w:cs="Times New Roman"/>
      <w:b/>
      <w:szCs w:val="20"/>
      <w:lang w:val="es-ES" w:eastAsia="es-ES"/>
    </w:rPr>
  </w:style>
  <w:style w:type="character" w:customStyle="1" w:styleId="fontstyle01">
    <w:name w:val="fontstyle01"/>
    <w:basedOn w:val="Fuentedeprrafopredeter"/>
    <w:rsid w:val="003C2007"/>
    <w:rPr>
      <w:rFonts w:ascii="Tahoma-Bold" w:hAnsi="Tahoma-Bold" w:hint="default"/>
      <w:b/>
      <w:bCs/>
      <w:i w:val="0"/>
      <w:iCs w:val="0"/>
      <w:color w:val="000000"/>
      <w:sz w:val="24"/>
      <w:szCs w:val="24"/>
    </w:rPr>
  </w:style>
  <w:style w:type="character" w:customStyle="1" w:styleId="fontstyle21">
    <w:name w:val="fontstyle21"/>
    <w:basedOn w:val="Fuentedeprrafopredeter"/>
    <w:rsid w:val="003C2007"/>
    <w:rPr>
      <w:rFonts w:ascii="Tahoma" w:hAnsi="Tahoma" w:cs="Tahoma" w:hint="default"/>
      <w:b w:val="0"/>
      <w:bCs w:val="0"/>
      <w:i w:val="0"/>
      <w:iCs w:val="0"/>
      <w:color w:val="000000"/>
      <w:sz w:val="24"/>
      <w:szCs w:val="24"/>
    </w:rPr>
  </w:style>
  <w:style w:type="paragraph" w:customStyle="1" w:styleId="paragraph">
    <w:name w:val="paragraph"/>
    <w:basedOn w:val="Normal"/>
    <w:rsid w:val="003C2007"/>
    <w:pPr>
      <w:spacing w:before="100" w:beforeAutospacing="1" w:after="100" w:afterAutospacing="1" w:line="240" w:lineRule="auto"/>
      <w:jc w:val="left"/>
    </w:pPr>
    <w:rPr>
      <w:rFonts w:ascii="Times New Roman" w:eastAsia="Times New Roman" w:hAnsi="Times New Roman" w:cs="Times New Roman"/>
      <w:szCs w:val="24"/>
      <w:lang w:eastAsia="es-ES_tradnl"/>
    </w:rPr>
  </w:style>
  <w:style w:type="character" w:customStyle="1" w:styleId="normaltextrun">
    <w:name w:val="normaltextrun"/>
    <w:basedOn w:val="Fuentedeprrafopredeter"/>
    <w:rsid w:val="003C2007"/>
  </w:style>
  <w:style w:type="paragraph" w:styleId="Prrafodelista">
    <w:name w:val="List Paragraph"/>
    <w:basedOn w:val="Normal"/>
    <w:uiPriority w:val="34"/>
    <w:qFormat/>
    <w:rsid w:val="003C2007"/>
    <w:pPr>
      <w:ind w:left="720"/>
      <w:contextualSpacing/>
    </w:pPr>
  </w:style>
  <w:style w:type="paragraph" w:styleId="NormalWeb">
    <w:name w:val="Normal (Web)"/>
    <w:basedOn w:val="Normal"/>
    <w:uiPriority w:val="99"/>
    <w:unhideWhenUsed/>
    <w:rsid w:val="003C2007"/>
    <w:pPr>
      <w:spacing w:before="100" w:beforeAutospacing="1" w:after="100" w:afterAutospacing="1" w:line="240" w:lineRule="auto"/>
      <w:jc w:val="left"/>
    </w:pPr>
    <w:rPr>
      <w:rFonts w:ascii="Times New Roman" w:eastAsia="Times New Roman" w:hAnsi="Times New Roman" w:cs="Times New Roman"/>
      <w:szCs w:val="24"/>
      <w:lang w:val="es-CO"/>
    </w:rPr>
  </w:style>
  <w:style w:type="paragraph" w:styleId="Encabezado">
    <w:name w:val="header"/>
    <w:basedOn w:val="Normal"/>
    <w:link w:val="EncabezadoCar"/>
    <w:uiPriority w:val="99"/>
    <w:unhideWhenUsed/>
    <w:rsid w:val="008F10D9"/>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8F10D9"/>
    <w:rPr>
      <w:rFonts w:ascii="Tahoma" w:hAnsi="Tahoma"/>
      <w:szCs w:val="22"/>
      <w:lang w:val="es-ES"/>
    </w:rPr>
  </w:style>
  <w:style w:type="paragraph" w:styleId="Piedepgina">
    <w:name w:val="footer"/>
    <w:basedOn w:val="Normal"/>
    <w:link w:val="PiedepginaCar"/>
    <w:uiPriority w:val="99"/>
    <w:unhideWhenUsed/>
    <w:rsid w:val="008F10D9"/>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8F10D9"/>
    <w:rPr>
      <w:rFonts w:ascii="Tahoma" w:hAnsi="Tahoma"/>
      <w:szCs w:val="22"/>
      <w:lang w:val="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notapie">
    <w:name w:val="footnote text"/>
    <w:basedOn w:val="Normal"/>
    <w:link w:val="TextonotapieCar"/>
    <w:uiPriority w:val="99"/>
    <w:semiHidden/>
    <w:unhideWhenUsed/>
    <w:rsid w:val="00B27755"/>
    <w:pPr>
      <w:spacing w:line="240" w:lineRule="auto"/>
    </w:pPr>
    <w:rPr>
      <w:sz w:val="20"/>
      <w:szCs w:val="20"/>
    </w:rPr>
  </w:style>
  <w:style w:type="character" w:customStyle="1" w:styleId="TextonotapieCar">
    <w:name w:val="Texto nota pie Car"/>
    <w:basedOn w:val="Fuentedeprrafopredeter"/>
    <w:link w:val="Textonotapie"/>
    <w:uiPriority w:val="99"/>
    <w:semiHidden/>
    <w:rsid w:val="00B27755"/>
    <w:rPr>
      <w:sz w:val="20"/>
      <w:szCs w:val="20"/>
    </w:rPr>
  </w:style>
  <w:style w:type="paragraph" w:styleId="Textocomentario">
    <w:name w:val="annotation text"/>
    <w:basedOn w:val="Normal"/>
    <w:link w:val="TextocomentarioCar"/>
    <w:uiPriority w:val="99"/>
    <w:semiHidden/>
    <w:unhideWhenUsed/>
    <w:rsid w:val="00B2775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27755"/>
    <w:rPr>
      <w:sz w:val="20"/>
      <w:szCs w:val="20"/>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Texto nota pie Car2"/>
    <w:basedOn w:val="Fuentedeprrafopredeter"/>
    <w:uiPriority w:val="99"/>
    <w:unhideWhenUsed/>
    <w:qFormat/>
    <w:rsid w:val="00B27755"/>
    <w:rPr>
      <w:vertAlign w:val="superscript"/>
    </w:rPr>
  </w:style>
  <w:style w:type="character" w:styleId="Refdecomentario">
    <w:name w:val="annotation reference"/>
    <w:basedOn w:val="Fuentedeprrafopredeter"/>
    <w:uiPriority w:val="99"/>
    <w:semiHidden/>
    <w:unhideWhenUsed/>
    <w:rsid w:val="00B27755"/>
    <w:rPr>
      <w:sz w:val="16"/>
      <w:szCs w:val="16"/>
    </w:rPr>
  </w:style>
  <w:style w:type="table" w:customStyle="1" w:styleId="Tablaconcuadrcula1">
    <w:name w:val="Tabla con cuadrícula1"/>
    <w:basedOn w:val="Tablanormal"/>
    <w:next w:val="Tablaconcuadrcula"/>
    <w:rsid w:val="00B27755"/>
    <w:pPr>
      <w:spacing w:line="240" w:lineRule="auto"/>
      <w:jc w:val="left"/>
    </w:pPr>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B2775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2775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27755"/>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C4045A"/>
    <w:rPr>
      <w:b/>
      <w:bCs/>
    </w:rPr>
  </w:style>
  <w:style w:type="character" w:customStyle="1" w:styleId="AsuntodelcomentarioCar">
    <w:name w:val="Asunto del comentario Car"/>
    <w:basedOn w:val="TextocomentarioCar"/>
    <w:link w:val="Asuntodelcomentario"/>
    <w:uiPriority w:val="99"/>
    <w:semiHidden/>
    <w:rsid w:val="00C404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aaeef14b41b04b0a"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hkP+fS2fsPFi2pfLwfGRPkcafg==">AMUW2mX1rPF/RVyP2Nuyi2TQXm4KtNJwoQoFC+NU8NEmNv4ABrx81UCdb/Q1ZzXCKXQYyWu00m8nYHrT3d4dcrUF/Rvkvl7bV5P05H9b4GdgBzJk8pHe1ct5DmiQ+YkaH+jsJj+eAKRAsL8IK0x+XPdRNLbuHgUkOw==</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SharedWithUsers xmlns="43ca2746-26a0-40df-9010-f2a8f46d6514">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D7C375B-61BF-429F-9023-DDE7D96E0CBD}">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3.xml><?xml version="1.0" encoding="utf-8"?>
<ds:datastoreItem xmlns:ds="http://schemas.openxmlformats.org/officeDocument/2006/customXml" ds:itemID="{CCAA33DD-F5E0-4966-80CE-34B85C9344EB}">
  <ds:schemaRefs>
    <ds:schemaRef ds:uri="http://schemas.microsoft.com/sharepoint/v3/contenttype/forms"/>
  </ds:schemaRefs>
</ds:datastoreItem>
</file>

<file path=customXml/itemProps4.xml><?xml version="1.0" encoding="utf-8"?>
<ds:datastoreItem xmlns:ds="http://schemas.openxmlformats.org/officeDocument/2006/customXml" ds:itemID="{9C5D6A18-F578-4D27-AD5F-91C8C2FF27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1ED5DA8-ECC2-4153-B642-A70DF7136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17</Pages>
  <Words>7862</Words>
  <Characters>43242</Characters>
  <Application>Microsoft Office Word</Application>
  <DocSecurity>0</DocSecurity>
  <Lines>360</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ayda matilde barbosa</dc:creator>
  <cp:lastModifiedBy>Hermides Alonso Gaviria Ocampo</cp:lastModifiedBy>
  <cp:revision>11</cp:revision>
  <dcterms:created xsi:type="dcterms:W3CDTF">2022-05-06T16:51:00Z</dcterms:created>
  <dcterms:modified xsi:type="dcterms:W3CDTF">2022-07-21T00:30:00Z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57045800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ies>
</file>