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EED44A" w14:textId="77777777" w:rsidR="002A43E6" w:rsidRPr="002A43E6" w:rsidRDefault="002A43E6" w:rsidP="002A43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2A43E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5320ED" w14:textId="77777777" w:rsidR="002A43E6" w:rsidRPr="002A43E6" w:rsidRDefault="002A43E6" w:rsidP="002A43E6">
      <w:pPr>
        <w:jc w:val="both"/>
        <w:rPr>
          <w:rFonts w:ascii="Arial" w:hAnsi="Arial" w:cs="Arial"/>
          <w:sz w:val="20"/>
          <w:szCs w:val="20"/>
          <w:lang w:val="es-419" w:eastAsia="es-ES"/>
        </w:rPr>
      </w:pPr>
    </w:p>
    <w:p w14:paraId="06A151DE" w14:textId="1360F96B" w:rsidR="002A43E6" w:rsidRPr="002A43E6" w:rsidRDefault="002A43E6" w:rsidP="002A43E6">
      <w:pPr>
        <w:jc w:val="both"/>
        <w:rPr>
          <w:rFonts w:ascii="Arial" w:eastAsia="Tahoma" w:hAnsi="Arial" w:cs="Arial"/>
          <w:sz w:val="20"/>
          <w:szCs w:val="20"/>
          <w:lang w:val="es-CO"/>
        </w:rPr>
      </w:pPr>
      <w:r w:rsidRPr="002A43E6">
        <w:rPr>
          <w:rFonts w:ascii="Arial" w:eastAsia="Tahoma" w:hAnsi="Arial" w:cs="Arial"/>
          <w:sz w:val="20"/>
          <w:szCs w:val="20"/>
          <w:lang w:val="es-CO"/>
        </w:rPr>
        <w:t>Radicación:</w:t>
      </w:r>
      <w:r w:rsidRPr="002A43E6">
        <w:rPr>
          <w:rFonts w:ascii="Arial" w:eastAsia="Tahoma" w:hAnsi="Arial" w:cs="Arial"/>
          <w:sz w:val="20"/>
          <w:szCs w:val="20"/>
          <w:lang w:val="es-CO"/>
        </w:rPr>
        <w:tab/>
        <w:t>66088-31-89-001-2016-00121-02</w:t>
      </w:r>
    </w:p>
    <w:p w14:paraId="75CE777B" w14:textId="0F39235B" w:rsidR="002A43E6" w:rsidRPr="002A43E6" w:rsidRDefault="002A43E6" w:rsidP="002A43E6">
      <w:pPr>
        <w:jc w:val="both"/>
        <w:rPr>
          <w:rFonts w:ascii="Arial" w:eastAsia="Tahoma" w:hAnsi="Arial" w:cs="Arial"/>
          <w:sz w:val="20"/>
          <w:szCs w:val="20"/>
          <w:lang w:val="es-CO"/>
        </w:rPr>
      </w:pPr>
      <w:r w:rsidRPr="002A43E6">
        <w:rPr>
          <w:rFonts w:ascii="Arial" w:eastAsia="Tahoma" w:hAnsi="Arial" w:cs="Arial"/>
          <w:sz w:val="20"/>
          <w:szCs w:val="20"/>
          <w:lang w:val="es-CO"/>
        </w:rPr>
        <w:t>Proceso:</w:t>
      </w:r>
      <w:r w:rsidRPr="002A43E6">
        <w:rPr>
          <w:rFonts w:ascii="Arial" w:eastAsia="Tahoma" w:hAnsi="Arial" w:cs="Arial"/>
          <w:sz w:val="20"/>
          <w:szCs w:val="20"/>
          <w:lang w:val="es-CO"/>
        </w:rPr>
        <w:tab/>
        <w:t>Ordinario laboral</w:t>
      </w:r>
    </w:p>
    <w:p w14:paraId="0CCA8E9E" w14:textId="6C5B8CE5" w:rsidR="002A43E6" w:rsidRPr="002A43E6" w:rsidRDefault="002A43E6" w:rsidP="002A43E6">
      <w:pPr>
        <w:jc w:val="both"/>
        <w:rPr>
          <w:rFonts w:ascii="Arial" w:eastAsia="Tahoma" w:hAnsi="Arial" w:cs="Arial"/>
          <w:sz w:val="20"/>
          <w:szCs w:val="20"/>
          <w:lang w:val="es-CO"/>
        </w:rPr>
      </w:pPr>
      <w:r w:rsidRPr="002A43E6">
        <w:rPr>
          <w:rFonts w:ascii="Arial" w:eastAsia="Tahoma" w:hAnsi="Arial" w:cs="Arial"/>
          <w:sz w:val="20"/>
          <w:szCs w:val="20"/>
          <w:lang w:val="es-CO"/>
        </w:rPr>
        <w:t>Demandante:</w:t>
      </w:r>
      <w:r w:rsidRPr="002A43E6">
        <w:rPr>
          <w:rFonts w:ascii="Arial" w:eastAsia="Tahoma" w:hAnsi="Arial" w:cs="Arial"/>
          <w:sz w:val="20"/>
          <w:szCs w:val="20"/>
          <w:lang w:val="es-CO"/>
        </w:rPr>
        <w:tab/>
        <w:t>Octavio de Jesús Morales Arroyave</w:t>
      </w:r>
    </w:p>
    <w:p w14:paraId="51CDEA49" w14:textId="0EFBC905" w:rsidR="002A43E6" w:rsidRPr="002A43E6" w:rsidRDefault="002A43E6" w:rsidP="002A43E6">
      <w:pPr>
        <w:jc w:val="both"/>
        <w:rPr>
          <w:rFonts w:ascii="Arial" w:eastAsia="Tahoma" w:hAnsi="Arial" w:cs="Arial"/>
          <w:sz w:val="20"/>
          <w:szCs w:val="20"/>
          <w:lang w:val="es-CO"/>
        </w:rPr>
      </w:pPr>
      <w:r w:rsidRPr="002A43E6">
        <w:rPr>
          <w:rFonts w:ascii="Arial" w:eastAsia="Tahoma" w:hAnsi="Arial" w:cs="Arial"/>
          <w:sz w:val="20"/>
          <w:szCs w:val="20"/>
          <w:lang w:val="es-CO"/>
        </w:rPr>
        <w:t>Demandado:</w:t>
      </w:r>
      <w:r w:rsidRPr="002A43E6">
        <w:rPr>
          <w:rFonts w:ascii="Arial" w:eastAsia="Tahoma" w:hAnsi="Arial" w:cs="Arial"/>
          <w:sz w:val="20"/>
          <w:szCs w:val="20"/>
          <w:lang w:val="es-CO"/>
        </w:rPr>
        <w:tab/>
        <w:t xml:space="preserve">Cooperativa de transportadores de Belén de Umbría y otros   </w:t>
      </w:r>
    </w:p>
    <w:p w14:paraId="42802489" w14:textId="449B2589" w:rsidR="002A43E6" w:rsidRPr="002A43E6" w:rsidRDefault="002A43E6" w:rsidP="002A43E6">
      <w:pPr>
        <w:jc w:val="both"/>
        <w:rPr>
          <w:rFonts w:ascii="Arial" w:eastAsia="Tahoma" w:hAnsi="Arial" w:cs="Arial"/>
          <w:sz w:val="20"/>
          <w:szCs w:val="20"/>
          <w:lang w:val="es-CO"/>
        </w:rPr>
      </w:pPr>
      <w:r w:rsidRPr="002A43E6">
        <w:rPr>
          <w:rFonts w:ascii="Arial" w:eastAsia="Tahoma" w:hAnsi="Arial" w:cs="Arial"/>
          <w:sz w:val="20"/>
          <w:szCs w:val="20"/>
          <w:lang w:val="es-CO"/>
        </w:rPr>
        <w:t>Juzgado:</w:t>
      </w:r>
      <w:r w:rsidRPr="002A43E6">
        <w:rPr>
          <w:rFonts w:ascii="Arial" w:eastAsia="Tahoma" w:hAnsi="Arial" w:cs="Arial"/>
          <w:sz w:val="20"/>
          <w:szCs w:val="20"/>
          <w:lang w:val="es-CO"/>
        </w:rPr>
        <w:tab/>
        <w:t>Promiscuo del Circuito de Belén de Umbría</w:t>
      </w:r>
    </w:p>
    <w:p w14:paraId="490683EB" w14:textId="77777777" w:rsidR="002A43E6" w:rsidRPr="002A43E6" w:rsidRDefault="002A43E6" w:rsidP="002A43E6">
      <w:pPr>
        <w:jc w:val="both"/>
        <w:rPr>
          <w:rFonts w:ascii="Arial" w:eastAsia="Tahoma" w:hAnsi="Arial" w:cs="Arial"/>
          <w:color w:val="000000"/>
          <w:sz w:val="20"/>
          <w:szCs w:val="20"/>
        </w:rPr>
      </w:pPr>
    </w:p>
    <w:bookmarkEnd w:id="1"/>
    <w:bookmarkEnd w:id="2"/>
    <w:p w14:paraId="19FFBAA5" w14:textId="4FD866C2" w:rsidR="002A43E6" w:rsidRPr="002A43E6" w:rsidRDefault="00C37104" w:rsidP="002A43E6">
      <w:pPr>
        <w:jc w:val="both"/>
        <w:rPr>
          <w:rFonts w:ascii="Arial" w:hAnsi="Arial" w:cs="Arial"/>
          <w:b/>
          <w:bCs/>
          <w:iCs/>
          <w:sz w:val="20"/>
          <w:szCs w:val="20"/>
          <w:lang w:val="es-419" w:eastAsia="fr-FR"/>
        </w:rPr>
      </w:pPr>
      <w:r w:rsidRPr="002A43E6">
        <w:rPr>
          <w:rFonts w:ascii="Arial" w:hAnsi="Arial" w:cs="Arial"/>
          <w:b/>
          <w:bCs/>
          <w:iCs/>
          <w:sz w:val="20"/>
          <w:szCs w:val="20"/>
          <w:u w:val="single"/>
          <w:lang w:val="es-419" w:eastAsia="fr-FR"/>
        </w:rPr>
        <w:t>TEMAS:</w:t>
      </w:r>
      <w:r w:rsidRPr="002A43E6">
        <w:rPr>
          <w:rFonts w:ascii="Arial" w:hAnsi="Arial" w:cs="Arial"/>
          <w:b/>
          <w:bCs/>
          <w:iCs/>
          <w:sz w:val="20"/>
          <w:szCs w:val="20"/>
          <w:lang w:val="es-419" w:eastAsia="fr-FR"/>
        </w:rPr>
        <w:tab/>
      </w:r>
      <w:r>
        <w:rPr>
          <w:rFonts w:ascii="Arial" w:hAnsi="Arial" w:cs="Arial"/>
          <w:b/>
          <w:bCs/>
          <w:iCs/>
          <w:sz w:val="20"/>
          <w:szCs w:val="20"/>
          <w:lang w:val="es-419" w:eastAsia="fr-FR"/>
        </w:rPr>
        <w:t>NULIDAD PROCESAL / CAUSALES / SANEABLES POR REGLA GENERAL / TRÁMITE QUE DEBE ADELANTARSE / INDEBIDO EMPLAZAMIENTO / NOTIFICACIÓN AL AFECTADO / SI SE DESCONOCE POR SER INDETERMINADO, SE IMPONE LA NULIDAD / REGISTRO NACIONAL DE PERSONAS EMPLAZADAS.</w:t>
      </w:r>
    </w:p>
    <w:p w14:paraId="02A8117B" w14:textId="77777777" w:rsidR="002A43E6" w:rsidRPr="002A43E6" w:rsidRDefault="002A43E6" w:rsidP="002A43E6">
      <w:pPr>
        <w:jc w:val="both"/>
        <w:rPr>
          <w:rFonts w:ascii="Arial" w:hAnsi="Arial" w:cs="Arial"/>
          <w:sz w:val="20"/>
          <w:szCs w:val="20"/>
          <w:lang w:val="es-419" w:eastAsia="es-ES"/>
        </w:rPr>
      </w:pPr>
    </w:p>
    <w:p w14:paraId="795BF4AF" w14:textId="5BC99177" w:rsidR="00E4614E" w:rsidRPr="00E4614E" w:rsidRDefault="0038352C" w:rsidP="00E4614E">
      <w:pPr>
        <w:jc w:val="both"/>
        <w:rPr>
          <w:rFonts w:ascii="Arial" w:hAnsi="Arial" w:cs="Arial"/>
          <w:sz w:val="20"/>
          <w:szCs w:val="20"/>
          <w:lang w:val="es-419" w:eastAsia="es-ES"/>
        </w:rPr>
      </w:pPr>
      <w:r>
        <w:rPr>
          <w:rFonts w:ascii="Arial" w:hAnsi="Arial" w:cs="Arial"/>
          <w:sz w:val="20"/>
          <w:szCs w:val="20"/>
          <w:lang w:val="es-419" w:eastAsia="es-ES"/>
        </w:rPr>
        <w:t xml:space="preserve">… -el- </w:t>
      </w:r>
      <w:r w:rsidR="00E4614E" w:rsidRPr="00E4614E">
        <w:rPr>
          <w:rFonts w:ascii="Arial" w:hAnsi="Arial" w:cs="Arial"/>
          <w:sz w:val="20"/>
          <w:szCs w:val="20"/>
          <w:lang w:val="es-419" w:eastAsia="es-ES"/>
        </w:rPr>
        <w:t xml:space="preserve">régimen de nulidades tiene un carácter excepcional y taxativo, al punto que las únicas nulidades </w:t>
      </w:r>
      <w:proofErr w:type="spellStart"/>
      <w:r w:rsidR="00E4614E" w:rsidRPr="00E4614E">
        <w:rPr>
          <w:rFonts w:ascii="Arial" w:hAnsi="Arial" w:cs="Arial"/>
          <w:sz w:val="20"/>
          <w:szCs w:val="20"/>
          <w:lang w:val="es-419" w:eastAsia="es-ES"/>
        </w:rPr>
        <w:t>insaneables</w:t>
      </w:r>
      <w:proofErr w:type="spellEnd"/>
      <w:r w:rsidR="00E4614E" w:rsidRPr="00E4614E">
        <w:rPr>
          <w:rFonts w:ascii="Arial" w:hAnsi="Arial" w:cs="Arial"/>
          <w:sz w:val="20"/>
          <w:szCs w:val="20"/>
          <w:lang w:val="es-419" w:eastAsia="es-ES"/>
        </w:rPr>
        <w:t xml:space="preserve">, según lo dispuesto por el parágrafo del artículo 136 ídem, son aquellas que se configuran por el juez proceder contra providencia ejecutoriada del superior, revivir un proceso legalmente concluido o pretermitir íntegramente la respectiva instancia. Las demás nulidades, conforme al mismo artículo, se sanean 1) cuando la parte que podía alegarla no lo hizo oportunamente o actuó sin proponerla, 2) cuando la parte que podía alegarla la convalidó en forma expresa antes de haber sido renovada la actuación anulada, 3) cuando se origine en la interrupción o suspensión del proceso y no se alegue dentro de los 5 días siguientes a la fecha en que haya cesado la causa y 4) cuando a pesar del vicio el acto procesal cumplió su finalidad y no se violó el derecho de defensa. </w:t>
      </w:r>
    </w:p>
    <w:p w14:paraId="57C6C712" w14:textId="77777777" w:rsidR="00E4614E" w:rsidRPr="00E4614E" w:rsidRDefault="00E4614E" w:rsidP="00E4614E">
      <w:pPr>
        <w:jc w:val="both"/>
        <w:rPr>
          <w:rFonts w:ascii="Arial" w:hAnsi="Arial" w:cs="Arial"/>
          <w:sz w:val="20"/>
          <w:szCs w:val="20"/>
          <w:lang w:val="es-419" w:eastAsia="es-ES"/>
        </w:rPr>
      </w:pPr>
    </w:p>
    <w:p w14:paraId="04B33E61" w14:textId="5634F6B9" w:rsidR="002A43E6" w:rsidRDefault="00E4614E" w:rsidP="00E4614E">
      <w:pPr>
        <w:jc w:val="both"/>
        <w:rPr>
          <w:rFonts w:ascii="Arial" w:hAnsi="Arial" w:cs="Arial"/>
          <w:sz w:val="20"/>
          <w:szCs w:val="20"/>
          <w:lang w:val="es-419" w:eastAsia="es-ES"/>
        </w:rPr>
      </w:pPr>
      <w:r w:rsidRPr="00E4614E">
        <w:rPr>
          <w:rFonts w:ascii="Arial" w:hAnsi="Arial" w:cs="Arial"/>
          <w:sz w:val="20"/>
          <w:szCs w:val="20"/>
          <w:lang w:val="es-419" w:eastAsia="es-ES"/>
        </w:rPr>
        <w:t>Al respecto, el artículo 137 del Código General del Proceso, dispone que en cualquier estado del proceso el juez ordenará poner en conocimiento de la parte afectada las nulidades que no hayan sido saneadas</w:t>
      </w:r>
      <w:r w:rsidR="0038352C" w:rsidRPr="0038352C">
        <w:rPr>
          <w:rFonts w:ascii="Arial" w:hAnsi="Arial" w:cs="Arial"/>
          <w:sz w:val="20"/>
          <w:szCs w:val="20"/>
          <w:lang w:val="es-419" w:eastAsia="es-ES"/>
        </w:rPr>
        <w:t>, y estipula que cuando dicha nulidad se origina en la causal octava se debe notificar al afectado de conformidad con los artículos 291 y 292</w:t>
      </w:r>
      <w:r>
        <w:rPr>
          <w:rFonts w:ascii="Arial" w:hAnsi="Arial" w:cs="Arial"/>
          <w:sz w:val="20"/>
          <w:szCs w:val="20"/>
          <w:lang w:val="es-419" w:eastAsia="es-ES"/>
        </w:rPr>
        <w:t>…</w:t>
      </w:r>
    </w:p>
    <w:p w14:paraId="22051B33" w14:textId="38F14619" w:rsidR="00E4614E" w:rsidRDefault="00E4614E" w:rsidP="00E4614E">
      <w:pPr>
        <w:jc w:val="both"/>
        <w:rPr>
          <w:rFonts w:ascii="Arial" w:hAnsi="Arial" w:cs="Arial"/>
          <w:sz w:val="20"/>
          <w:szCs w:val="20"/>
          <w:lang w:val="es-419" w:eastAsia="es-ES"/>
        </w:rPr>
      </w:pPr>
    </w:p>
    <w:p w14:paraId="1B1B0D5E" w14:textId="2BF3CBA8" w:rsidR="00E4614E" w:rsidRDefault="00FE3D4F" w:rsidP="00E4614E">
      <w:pPr>
        <w:jc w:val="both"/>
        <w:rPr>
          <w:rFonts w:ascii="Arial" w:hAnsi="Arial" w:cs="Arial"/>
          <w:sz w:val="20"/>
          <w:szCs w:val="20"/>
          <w:lang w:val="es-419" w:eastAsia="es-ES"/>
        </w:rPr>
      </w:pPr>
      <w:proofErr w:type="spellStart"/>
      <w:r w:rsidRPr="00FE3D4F">
        <w:rPr>
          <w:rFonts w:ascii="Arial" w:hAnsi="Arial" w:cs="Arial"/>
          <w:sz w:val="20"/>
          <w:szCs w:val="20"/>
          <w:lang w:val="es-419" w:eastAsia="es-ES"/>
        </w:rPr>
        <w:t>Colorario</w:t>
      </w:r>
      <w:proofErr w:type="spellEnd"/>
      <w:r w:rsidRPr="00FE3D4F">
        <w:rPr>
          <w:rFonts w:ascii="Arial" w:hAnsi="Arial" w:cs="Arial"/>
          <w:sz w:val="20"/>
          <w:szCs w:val="20"/>
          <w:lang w:val="es-419" w:eastAsia="es-ES"/>
        </w:rPr>
        <w:t xml:space="preserve"> de lo anterior, la nulidad consagrada en la causal octava, solo es posible ponerla en conocimiento, cuando la persona es determinada y se conocen los datos de notificación</w:t>
      </w:r>
      <w:r>
        <w:rPr>
          <w:rFonts w:ascii="Arial" w:hAnsi="Arial" w:cs="Arial"/>
          <w:sz w:val="20"/>
          <w:szCs w:val="20"/>
          <w:lang w:val="es-419" w:eastAsia="es-ES"/>
        </w:rPr>
        <w:t>…</w:t>
      </w:r>
    </w:p>
    <w:p w14:paraId="63E4CAC4" w14:textId="5B43AFB9" w:rsidR="00E4614E" w:rsidRDefault="00E4614E" w:rsidP="00E4614E">
      <w:pPr>
        <w:jc w:val="both"/>
        <w:rPr>
          <w:rFonts w:ascii="Arial" w:hAnsi="Arial" w:cs="Arial"/>
          <w:sz w:val="20"/>
          <w:szCs w:val="20"/>
          <w:lang w:val="es-419" w:eastAsia="es-ES"/>
        </w:rPr>
      </w:pPr>
    </w:p>
    <w:p w14:paraId="4EB922F9" w14:textId="7E4C12F8" w:rsidR="00E4614E" w:rsidRPr="002A43E6" w:rsidRDefault="00FE3D4F" w:rsidP="00E4614E">
      <w:pPr>
        <w:jc w:val="both"/>
        <w:rPr>
          <w:rFonts w:ascii="Arial" w:hAnsi="Arial" w:cs="Arial"/>
          <w:sz w:val="20"/>
          <w:szCs w:val="20"/>
          <w:lang w:val="es-419" w:eastAsia="es-ES"/>
        </w:rPr>
      </w:pPr>
      <w:r w:rsidRPr="00FE3D4F">
        <w:rPr>
          <w:rFonts w:ascii="Arial" w:hAnsi="Arial" w:cs="Arial"/>
          <w:sz w:val="20"/>
          <w:szCs w:val="20"/>
          <w:lang w:val="es-419" w:eastAsia="es-ES"/>
        </w:rPr>
        <w:t>Estable en el numeral 8º del artículo 133 del CGP, que el proceso es nulo en todo o en parte, cuando no se practica en legal forma la notificación del auto admisorio de la demanda, o el emplazamiento de las demás personas aunque sean indeterminadas, deban ser citadas como partes</w:t>
      </w:r>
      <w:r>
        <w:rPr>
          <w:rFonts w:ascii="Arial" w:hAnsi="Arial" w:cs="Arial"/>
          <w:sz w:val="20"/>
          <w:szCs w:val="20"/>
          <w:lang w:val="es-419" w:eastAsia="es-ES"/>
        </w:rPr>
        <w:t>…</w:t>
      </w:r>
    </w:p>
    <w:p w14:paraId="6B6CC689" w14:textId="77777777" w:rsidR="002A43E6" w:rsidRPr="002A43E6" w:rsidRDefault="002A43E6" w:rsidP="002A43E6">
      <w:pPr>
        <w:jc w:val="both"/>
        <w:rPr>
          <w:rFonts w:ascii="Arial" w:hAnsi="Arial" w:cs="Arial"/>
          <w:sz w:val="20"/>
          <w:szCs w:val="20"/>
          <w:lang w:val="es-419" w:eastAsia="es-ES"/>
        </w:rPr>
      </w:pPr>
    </w:p>
    <w:p w14:paraId="36C4DC00" w14:textId="3FCB5BA5" w:rsidR="006048BD" w:rsidRPr="006048BD" w:rsidRDefault="006048BD" w:rsidP="006048BD">
      <w:pPr>
        <w:jc w:val="both"/>
        <w:rPr>
          <w:rFonts w:ascii="Arial" w:hAnsi="Arial" w:cs="Arial"/>
          <w:sz w:val="20"/>
          <w:szCs w:val="20"/>
          <w:lang w:val="es-419" w:eastAsia="es-ES"/>
        </w:rPr>
      </w:pPr>
      <w:r>
        <w:rPr>
          <w:rFonts w:ascii="Arial" w:hAnsi="Arial" w:cs="Arial"/>
          <w:sz w:val="20"/>
          <w:szCs w:val="20"/>
          <w:lang w:val="es-419" w:eastAsia="es-ES"/>
        </w:rPr>
        <w:t xml:space="preserve">… </w:t>
      </w:r>
      <w:r w:rsidRPr="006048BD">
        <w:rPr>
          <w:rFonts w:ascii="Arial" w:hAnsi="Arial" w:cs="Arial"/>
          <w:sz w:val="20"/>
          <w:szCs w:val="20"/>
          <w:lang w:val="es-419" w:eastAsia="es-ES"/>
        </w:rPr>
        <w:t>para que se entienda debidamente surtido el emplazamiento en materia laboral de personas determinadas e indeterminadas, previo nombramiento de curador ad litem, es necesario observar a cabalidad los presupuestos establecidos en el artículo 108 del Código General del Proceso.</w:t>
      </w:r>
    </w:p>
    <w:p w14:paraId="3938CE62" w14:textId="77777777" w:rsidR="006048BD" w:rsidRPr="006048BD" w:rsidRDefault="006048BD" w:rsidP="006048BD">
      <w:pPr>
        <w:jc w:val="both"/>
        <w:rPr>
          <w:rFonts w:ascii="Arial" w:hAnsi="Arial" w:cs="Arial"/>
          <w:sz w:val="20"/>
          <w:szCs w:val="20"/>
          <w:lang w:val="es-419" w:eastAsia="es-ES"/>
        </w:rPr>
      </w:pPr>
    </w:p>
    <w:p w14:paraId="4EFCBE6A" w14:textId="4C01497C" w:rsidR="002A43E6" w:rsidRPr="002A43E6" w:rsidRDefault="006048BD" w:rsidP="002A43E6">
      <w:pPr>
        <w:jc w:val="both"/>
        <w:rPr>
          <w:rFonts w:ascii="Arial" w:hAnsi="Arial" w:cs="Arial"/>
          <w:sz w:val="20"/>
          <w:szCs w:val="20"/>
          <w:lang w:val="es-419" w:eastAsia="es-ES"/>
        </w:rPr>
      </w:pPr>
      <w:r w:rsidRPr="006048BD">
        <w:rPr>
          <w:rFonts w:ascii="Arial" w:hAnsi="Arial" w:cs="Arial"/>
          <w:sz w:val="20"/>
          <w:szCs w:val="20"/>
          <w:lang w:val="es-419" w:eastAsia="es-ES"/>
        </w:rPr>
        <w:t>Sin embargo, en vigencia del artículo 10 del Decreto 806 de 2020</w:t>
      </w:r>
      <w:r>
        <w:rPr>
          <w:rFonts w:ascii="Arial" w:hAnsi="Arial" w:cs="Arial"/>
          <w:sz w:val="20"/>
          <w:szCs w:val="20"/>
          <w:lang w:val="es-419" w:eastAsia="es-ES"/>
        </w:rPr>
        <w:t>…</w:t>
      </w:r>
      <w:r w:rsidRPr="006048BD">
        <w:rPr>
          <w:rFonts w:ascii="Arial" w:hAnsi="Arial" w:cs="Arial"/>
          <w:sz w:val="20"/>
          <w:szCs w:val="20"/>
          <w:lang w:val="es-419" w:eastAsia="es-ES"/>
        </w:rPr>
        <w:t xml:space="preserve"> y posteriormente con la adopción como legislación del primero a través de la Ley 2213 de 2022, dicho emplazamiento se entiende surtido únicamente con la publicación en el Registro Nacional de Personas Emplazadas</w:t>
      </w:r>
      <w:r>
        <w:rPr>
          <w:rFonts w:ascii="Arial" w:hAnsi="Arial" w:cs="Arial"/>
          <w:sz w:val="20"/>
          <w:szCs w:val="20"/>
          <w:lang w:val="es-419" w:eastAsia="es-ES"/>
        </w:rPr>
        <w:t>…</w:t>
      </w:r>
    </w:p>
    <w:p w14:paraId="5121D680" w14:textId="77777777" w:rsidR="002A43E6" w:rsidRPr="002A43E6" w:rsidRDefault="002A43E6" w:rsidP="002A43E6">
      <w:pPr>
        <w:jc w:val="both"/>
        <w:rPr>
          <w:rFonts w:ascii="Arial" w:hAnsi="Arial" w:cs="Arial"/>
          <w:sz w:val="20"/>
          <w:szCs w:val="20"/>
          <w:lang w:val="es-419" w:eastAsia="es-ES"/>
        </w:rPr>
      </w:pPr>
    </w:p>
    <w:p w14:paraId="1A2EDF38" w14:textId="77777777" w:rsidR="002A43E6" w:rsidRPr="002A43E6" w:rsidRDefault="002A43E6" w:rsidP="002A43E6">
      <w:pPr>
        <w:jc w:val="both"/>
        <w:rPr>
          <w:rFonts w:ascii="Arial" w:hAnsi="Arial" w:cs="Arial"/>
          <w:sz w:val="20"/>
          <w:szCs w:val="20"/>
          <w:lang w:val="es-419" w:eastAsia="es-ES"/>
        </w:rPr>
      </w:pPr>
    </w:p>
    <w:p w14:paraId="13361E58" w14:textId="77777777" w:rsidR="002A43E6" w:rsidRPr="002A43E6" w:rsidRDefault="002A43E6" w:rsidP="002A43E6">
      <w:pPr>
        <w:jc w:val="both"/>
        <w:rPr>
          <w:rFonts w:ascii="Arial" w:hAnsi="Arial" w:cs="Arial"/>
          <w:sz w:val="20"/>
          <w:szCs w:val="20"/>
          <w:lang w:val="es-419" w:eastAsia="es-ES"/>
        </w:rPr>
      </w:pPr>
    </w:p>
    <w:p w14:paraId="4B57126B" w14:textId="77777777" w:rsidR="008C0B82" w:rsidRPr="002A43E6" w:rsidRDefault="00B00BC8" w:rsidP="002A43E6">
      <w:pPr>
        <w:spacing w:line="276" w:lineRule="auto"/>
        <w:jc w:val="center"/>
        <w:rPr>
          <w:rFonts w:ascii="Tahoma" w:eastAsia="Tahoma" w:hAnsi="Tahoma" w:cs="Tahoma"/>
          <w:b/>
          <w:color w:val="000000"/>
        </w:rPr>
      </w:pPr>
      <w:r w:rsidRPr="002A43E6">
        <w:rPr>
          <w:rFonts w:ascii="Tahoma" w:eastAsia="Tahoma" w:hAnsi="Tahoma" w:cs="Tahoma"/>
          <w:b/>
          <w:color w:val="000000"/>
        </w:rPr>
        <w:t xml:space="preserve">TRIBUNAL SUPERIOR DEL DISTRITO JUDICIAL DE PEREIRA </w:t>
      </w:r>
    </w:p>
    <w:p w14:paraId="666A7BEB" w14:textId="77777777" w:rsidR="008C0B82" w:rsidRPr="002A43E6" w:rsidRDefault="00B00BC8" w:rsidP="002A43E6">
      <w:pPr>
        <w:spacing w:line="276" w:lineRule="auto"/>
        <w:jc w:val="center"/>
        <w:rPr>
          <w:rFonts w:ascii="Tahoma" w:eastAsia="Quattrocento Sans" w:hAnsi="Tahoma" w:cs="Tahoma"/>
        </w:rPr>
      </w:pPr>
      <w:r w:rsidRPr="002A43E6">
        <w:rPr>
          <w:rFonts w:ascii="Tahoma" w:eastAsia="Tahoma" w:hAnsi="Tahoma" w:cs="Tahoma"/>
          <w:b/>
          <w:color w:val="000000"/>
        </w:rPr>
        <w:t xml:space="preserve">SALA PRIMERA DE DECISION LABORAL </w:t>
      </w:r>
      <w:r w:rsidRPr="002A43E6">
        <w:rPr>
          <w:rFonts w:ascii="Tahoma" w:eastAsia="Tahoma" w:hAnsi="Tahoma" w:cs="Tahoma"/>
          <w:color w:val="000000"/>
        </w:rPr>
        <w:t> </w:t>
      </w:r>
    </w:p>
    <w:p w14:paraId="1E20D98A" w14:textId="77777777" w:rsidR="008C0B82" w:rsidRPr="002A43E6" w:rsidRDefault="00B00BC8" w:rsidP="002A43E6">
      <w:pPr>
        <w:spacing w:line="276" w:lineRule="auto"/>
        <w:rPr>
          <w:rFonts w:ascii="Tahoma" w:eastAsia="Quattrocento Sans" w:hAnsi="Tahoma" w:cs="Tahoma"/>
        </w:rPr>
      </w:pPr>
      <w:r w:rsidRPr="002A43E6">
        <w:rPr>
          <w:rFonts w:ascii="Tahoma" w:hAnsi="Tahoma" w:cs="Tahoma"/>
          <w:color w:val="000000"/>
        </w:rPr>
        <w:t> </w:t>
      </w:r>
    </w:p>
    <w:p w14:paraId="6D463D93" w14:textId="77777777" w:rsidR="008C0B82" w:rsidRPr="002A43E6" w:rsidRDefault="00B00BC8" w:rsidP="002A43E6">
      <w:pPr>
        <w:spacing w:line="276" w:lineRule="auto"/>
        <w:jc w:val="center"/>
        <w:rPr>
          <w:rFonts w:ascii="Tahoma" w:eastAsia="Quattrocento Sans" w:hAnsi="Tahoma" w:cs="Tahoma"/>
        </w:rPr>
      </w:pPr>
      <w:r w:rsidRPr="002A43E6">
        <w:rPr>
          <w:rFonts w:ascii="Tahoma" w:eastAsia="Tahoma" w:hAnsi="Tahoma" w:cs="Tahoma"/>
          <w:color w:val="000000"/>
        </w:rPr>
        <w:t>Magistrada Ponente: </w:t>
      </w:r>
      <w:r w:rsidRPr="002A43E6">
        <w:rPr>
          <w:rFonts w:ascii="Tahoma" w:eastAsia="Tahoma" w:hAnsi="Tahoma" w:cs="Tahoma"/>
          <w:b/>
          <w:color w:val="000000"/>
        </w:rPr>
        <w:t>Ana Lucía Caicedo Calderón</w:t>
      </w:r>
      <w:r w:rsidRPr="002A43E6">
        <w:rPr>
          <w:rFonts w:ascii="Tahoma" w:eastAsia="Tahoma" w:hAnsi="Tahoma" w:cs="Tahoma"/>
          <w:color w:val="000000"/>
        </w:rPr>
        <w:t> </w:t>
      </w:r>
    </w:p>
    <w:p w14:paraId="3AB52451" w14:textId="77777777" w:rsidR="008C0B82" w:rsidRPr="002A43E6" w:rsidRDefault="00B00BC8" w:rsidP="002A43E6">
      <w:pPr>
        <w:spacing w:line="276" w:lineRule="auto"/>
        <w:rPr>
          <w:rFonts w:ascii="Tahoma" w:eastAsia="Quattrocento Sans" w:hAnsi="Tahoma" w:cs="Tahoma"/>
        </w:rPr>
      </w:pPr>
      <w:r w:rsidRPr="002A43E6">
        <w:rPr>
          <w:rFonts w:ascii="Tahoma" w:eastAsia="Tahoma" w:hAnsi="Tahoma" w:cs="Tahoma"/>
          <w:color w:val="000000"/>
        </w:rPr>
        <w:t> </w:t>
      </w:r>
    </w:p>
    <w:p w14:paraId="523F1144" w14:textId="43B3B9AF" w:rsidR="008C0B82" w:rsidRPr="002A43E6" w:rsidRDefault="00B00BC8" w:rsidP="002A43E6">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4" w:name="_Hlk101946939"/>
      <w:r w:rsidRPr="002A43E6">
        <w:rPr>
          <w:rFonts w:ascii="Tahoma" w:eastAsia="Tahoma" w:hAnsi="Tahoma" w:cs="Tahoma"/>
          <w:color w:val="000000" w:themeColor="text1"/>
        </w:rPr>
        <w:t xml:space="preserve">Pereira, Risaralda, </w:t>
      </w:r>
      <w:r w:rsidR="001D385B" w:rsidRPr="002A43E6">
        <w:rPr>
          <w:rFonts w:ascii="Tahoma" w:eastAsia="Tahoma" w:hAnsi="Tahoma" w:cs="Tahoma"/>
          <w:color w:val="000000" w:themeColor="text1"/>
        </w:rPr>
        <w:t>once</w:t>
      </w:r>
      <w:r w:rsidRPr="002A43E6">
        <w:rPr>
          <w:rFonts w:ascii="Tahoma" w:eastAsia="Tahoma" w:hAnsi="Tahoma" w:cs="Tahoma"/>
          <w:color w:val="000000" w:themeColor="text1"/>
        </w:rPr>
        <w:t xml:space="preserve"> (</w:t>
      </w:r>
      <w:r w:rsidR="001D385B" w:rsidRPr="002A43E6">
        <w:rPr>
          <w:rFonts w:ascii="Tahoma" w:eastAsia="Tahoma" w:hAnsi="Tahoma" w:cs="Tahoma"/>
          <w:color w:val="000000" w:themeColor="text1"/>
        </w:rPr>
        <w:t>11</w:t>
      </w:r>
      <w:r w:rsidRPr="002A43E6">
        <w:rPr>
          <w:rFonts w:ascii="Tahoma" w:eastAsia="Tahoma" w:hAnsi="Tahoma" w:cs="Tahoma"/>
          <w:color w:val="000000" w:themeColor="text1"/>
        </w:rPr>
        <w:t xml:space="preserve">) de </w:t>
      </w:r>
      <w:r w:rsidR="005856BC" w:rsidRPr="002A43E6">
        <w:rPr>
          <w:rFonts w:ascii="Tahoma" w:eastAsia="Tahoma" w:hAnsi="Tahoma" w:cs="Tahoma"/>
          <w:color w:val="000000" w:themeColor="text1"/>
        </w:rPr>
        <w:t>ju</w:t>
      </w:r>
      <w:r w:rsidR="00B435DD" w:rsidRPr="002A43E6">
        <w:rPr>
          <w:rFonts w:ascii="Tahoma" w:eastAsia="Tahoma" w:hAnsi="Tahoma" w:cs="Tahoma"/>
          <w:color w:val="000000" w:themeColor="text1"/>
        </w:rPr>
        <w:t>lio</w:t>
      </w:r>
      <w:r w:rsidRPr="002A43E6">
        <w:rPr>
          <w:rFonts w:ascii="Tahoma" w:eastAsia="Tahoma" w:hAnsi="Tahoma" w:cs="Tahoma"/>
          <w:color w:val="000000" w:themeColor="text1"/>
        </w:rPr>
        <w:t xml:space="preserve"> de dos mil veintidós (2022)   </w:t>
      </w:r>
    </w:p>
    <w:p w14:paraId="58862F60" w14:textId="4310C6D9" w:rsidR="008C0B82" w:rsidRPr="002A43E6" w:rsidRDefault="00B00BC8" w:rsidP="002A43E6">
      <w:pPr>
        <w:pBdr>
          <w:top w:val="nil"/>
          <w:left w:val="nil"/>
          <w:bottom w:val="nil"/>
          <w:right w:val="nil"/>
          <w:between w:val="nil"/>
        </w:pBdr>
        <w:spacing w:line="276" w:lineRule="auto"/>
        <w:ind w:firstLine="705"/>
        <w:jc w:val="center"/>
        <w:rPr>
          <w:rFonts w:ascii="Tahoma" w:eastAsia="Quattrocento Sans" w:hAnsi="Tahoma" w:cs="Tahoma"/>
          <w:color w:val="000000"/>
        </w:rPr>
      </w:pPr>
      <w:r w:rsidRPr="002A43E6">
        <w:rPr>
          <w:rFonts w:ascii="Tahoma" w:eastAsia="Tahoma" w:hAnsi="Tahoma" w:cs="Tahoma"/>
          <w:color w:val="000000" w:themeColor="text1"/>
        </w:rPr>
        <w:t>Acta No. </w:t>
      </w:r>
      <w:r w:rsidR="00F86B90" w:rsidRPr="002A43E6">
        <w:rPr>
          <w:rFonts w:ascii="Tahoma" w:eastAsia="Tahoma" w:hAnsi="Tahoma" w:cs="Tahoma"/>
          <w:color w:val="000000" w:themeColor="text1"/>
        </w:rPr>
        <w:t>102</w:t>
      </w:r>
      <w:r w:rsidRPr="002A43E6">
        <w:rPr>
          <w:rFonts w:ascii="Tahoma" w:eastAsia="Tahoma" w:hAnsi="Tahoma" w:cs="Tahoma"/>
          <w:color w:val="000000" w:themeColor="text1"/>
        </w:rPr>
        <w:t xml:space="preserve"> del</w:t>
      </w:r>
      <w:r w:rsidR="005856BC" w:rsidRPr="002A43E6">
        <w:rPr>
          <w:rFonts w:ascii="Tahoma" w:eastAsia="Tahoma" w:hAnsi="Tahoma" w:cs="Tahoma"/>
          <w:color w:val="000000" w:themeColor="text1"/>
        </w:rPr>
        <w:t xml:space="preserve"> </w:t>
      </w:r>
      <w:r w:rsidR="005170D9" w:rsidRPr="002A43E6">
        <w:rPr>
          <w:rFonts w:ascii="Tahoma" w:eastAsia="Tahoma" w:hAnsi="Tahoma" w:cs="Tahoma"/>
          <w:color w:val="000000" w:themeColor="text1"/>
        </w:rPr>
        <w:t>7</w:t>
      </w:r>
      <w:r w:rsidRPr="002A43E6">
        <w:rPr>
          <w:rFonts w:ascii="Tahoma" w:eastAsia="Tahoma" w:hAnsi="Tahoma" w:cs="Tahoma"/>
          <w:color w:val="000000" w:themeColor="text1"/>
        </w:rPr>
        <w:t xml:space="preserve"> de </w:t>
      </w:r>
      <w:r w:rsidR="005856BC" w:rsidRPr="002A43E6">
        <w:rPr>
          <w:rFonts w:ascii="Tahoma" w:eastAsia="Tahoma" w:hAnsi="Tahoma" w:cs="Tahoma"/>
          <w:color w:val="000000" w:themeColor="text1"/>
        </w:rPr>
        <w:t>ju</w:t>
      </w:r>
      <w:r w:rsidR="00B435DD" w:rsidRPr="002A43E6">
        <w:rPr>
          <w:rFonts w:ascii="Tahoma" w:eastAsia="Tahoma" w:hAnsi="Tahoma" w:cs="Tahoma"/>
          <w:color w:val="000000" w:themeColor="text1"/>
        </w:rPr>
        <w:t>l</w:t>
      </w:r>
      <w:r w:rsidR="005856BC" w:rsidRPr="002A43E6">
        <w:rPr>
          <w:rFonts w:ascii="Tahoma" w:eastAsia="Tahoma" w:hAnsi="Tahoma" w:cs="Tahoma"/>
          <w:color w:val="000000" w:themeColor="text1"/>
        </w:rPr>
        <w:t>io</w:t>
      </w:r>
      <w:r w:rsidRPr="002A43E6">
        <w:rPr>
          <w:rFonts w:ascii="Tahoma" w:eastAsia="Tahoma" w:hAnsi="Tahoma" w:cs="Tahoma"/>
          <w:color w:val="000000" w:themeColor="text1"/>
        </w:rPr>
        <w:t xml:space="preserve"> de 2022 </w:t>
      </w:r>
    </w:p>
    <w:bookmarkEnd w:id="4"/>
    <w:p w14:paraId="2ED44F44" w14:textId="77777777" w:rsidR="008C0B82" w:rsidRPr="002A43E6" w:rsidRDefault="00B00BC8" w:rsidP="002A43E6">
      <w:pPr>
        <w:pBdr>
          <w:top w:val="nil"/>
          <w:left w:val="nil"/>
          <w:bottom w:val="nil"/>
          <w:right w:val="nil"/>
          <w:between w:val="nil"/>
        </w:pBdr>
        <w:spacing w:line="276" w:lineRule="auto"/>
        <w:rPr>
          <w:rFonts w:ascii="Tahoma" w:hAnsi="Tahoma" w:cs="Tahoma"/>
          <w:color w:val="000000"/>
        </w:rPr>
      </w:pPr>
      <w:r w:rsidRPr="002A43E6">
        <w:rPr>
          <w:rFonts w:ascii="Tahoma" w:hAnsi="Tahoma" w:cs="Tahoma"/>
          <w:color w:val="000000"/>
        </w:rPr>
        <w:tab/>
        <w:t xml:space="preserve"> </w:t>
      </w:r>
    </w:p>
    <w:p w14:paraId="5ACAF850" w14:textId="6202FE2A" w:rsidR="001B1BEC" w:rsidRPr="00D4518F" w:rsidRDefault="001B1BEC" w:rsidP="002A43E6">
      <w:pPr>
        <w:pStyle w:val="paragraph"/>
        <w:spacing w:before="0" w:beforeAutospacing="0" w:after="0" w:afterAutospacing="0" w:line="276" w:lineRule="auto"/>
        <w:ind w:firstLine="720"/>
        <w:jc w:val="both"/>
        <w:textAlignment w:val="baseline"/>
        <w:rPr>
          <w:rFonts w:ascii="Tahoma" w:hAnsi="Tahoma" w:cs="Tahoma"/>
          <w:bCs/>
        </w:rPr>
      </w:pPr>
      <w:r w:rsidRPr="002A43E6">
        <w:rPr>
          <w:rStyle w:val="normaltextrun"/>
          <w:rFonts w:ascii="Tahoma" w:hAnsi="Tahoma" w:cs="Tahoma"/>
          <w:color w:val="000000"/>
          <w:shd w:val="clear" w:color="auto" w:fill="FFFFFF"/>
          <w:lang w:val="es-ES"/>
        </w:rPr>
        <w:t>Teniendo en cuenta que el artículo 15 del Decreto No. 806 del 4 de junio de 2020, expedido por el Ministerio de Justicia y del Derecho, adoptado como legislación permanente por medio de la Ley 2213 del 13 de junio de 2022,</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estableció</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que en</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la especialidad laboral</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se proferirán por escrito las providencias de segunda instancia en</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las que se surta el grado jurisdiccional de consulta o se</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resuelva</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el</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recurso</w:t>
      </w:r>
      <w:r w:rsidR="00793CA5">
        <w:rPr>
          <w:rStyle w:val="normaltextrun"/>
          <w:rFonts w:ascii="Tahoma" w:hAnsi="Tahoma" w:cs="Tahoma"/>
          <w:color w:val="000000"/>
          <w:shd w:val="clear" w:color="auto" w:fill="FFFFFF"/>
          <w:lang w:val="es-ES"/>
        </w:rPr>
        <w:t xml:space="preserve"> </w:t>
      </w:r>
      <w:r w:rsidRPr="002A43E6">
        <w:rPr>
          <w:rStyle w:val="normaltextrun"/>
          <w:rFonts w:ascii="Tahoma" w:hAnsi="Tahoma" w:cs="Tahoma"/>
          <w:color w:val="000000"/>
          <w:shd w:val="clear" w:color="auto" w:fill="FFFFFF"/>
          <w:lang w:val="es-ES"/>
        </w:rPr>
        <w:t xml:space="preserve">de apelación de autos o sentencias, la Sala de Decisión Laboral No. 1 del Tribunal Superior de Pereira, integrada por las Magistradas ANA LUCÍA CAICEDO CALDERÓN como Ponente, </w:t>
      </w:r>
      <w:r w:rsidRPr="002A43E6">
        <w:rPr>
          <w:rStyle w:val="normaltextrun"/>
          <w:rFonts w:ascii="Tahoma" w:hAnsi="Tahoma" w:cs="Tahoma"/>
          <w:color w:val="000000"/>
          <w:shd w:val="clear" w:color="auto" w:fill="FFFFFF"/>
          <w:lang w:val="es-ES"/>
        </w:rPr>
        <w:lastRenderedPageBreak/>
        <w:t>OLGA LUCÍA HOYOS SEPÚLVEDA y el Magistrado GERMÁN DARÍO G</w:t>
      </w:r>
      <w:r w:rsidR="00773722" w:rsidRPr="002A43E6">
        <w:rPr>
          <w:rStyle w:val="normaltextrun"/>
          <w:rFonts w:ascii="Tahoma" w:hAnsi="Tahoma" w:cs="Tahoma"/>
          <w:color w:val="000000"/>
          <w:shd w:val="clear" w:color="auto" w:fill="FFFFFF"/>
          <w:lang w:val="es-ES"/>
        </w:rPr>
        <w:t>Ó</w:t>
      </w:r>
      <w:r w:rsidRPr="002A43E6">
        <w:rPr>
          <w:rStyle w:val="normaltextrun"/>
          <w:rFonts w:ascii="Tahoma" w:hAnsi="Tahoma" w:cs="Tahoma"/>
          <w:color w:val="000000"/>
          <w:shd w:val="clear" w:color="auto" w:fill="FFFFFF"/>
          <w:lang w:val="es-ES"/>
        </w:rPr>
        <w:t>EZ VINASCO</w:t>
      </w:r>
      <w:r w:rsidRPr="002A43E6">
        <w:rPr>
          <w:rStyle w:val="normaltextrun"/>
          <w:rFonts w:ascii="Tahoma" w:hAnsi="Tahoma" w:cs="Tahoma"/>
          <w:lang w:val="es-ES"/>
        </w:rPr>
        <w:t xml:space="preserve">, procede a proferir la siguiente </w:t>
      </w:r>
      <w:r w:rsidR="001508D6" w:rsidRPr="002A43E6">
        <w:rPr>
          <w:rStyle w:val="normaltextrun"/>
          <w:rFonts w:ascii="Tahoma" w:hAnsi="Tahoma" w:cs="Tahoma"/>
          <w:lang w:val="es-ES"/>
        </w:rPr>
        <w:t xml:space="preserve">providencia </w:t>
      </w:r>
      <w:r w:rsidRPr="002A43E6">
        <w:rPr>
          <w:rStyle w:val="normaltextrun"/>
          <w:rFonts w:ascii="Tahoma" w:hAnsi="Tahoma" w:cs="Tahoma"/>
          <w:lang w:val="es-ES"/>
        </w:rPr>
        <w:t xml:space="preserve">escrita dentro del proceso </w:t>
      </w:r>
      <w:r w:rsidRPr="00D4518F">
        <w:rPr>
          <w:rStyle w:val="normaltextrun"/>
          <w:rFonts w:ascii="Tahoma" w:hAnsi="Tahoma" w:cs="Tahoma"/>
          <w:b/>
          <w:lang w:val="es-ES"/>
        </w:rPr>
        <w:t>ordinario laboral</w:t>
      </w:r>
      <w:r w:rsidRPr="002A43E6">
        <w:rPr>
          <w:rStyle w:val="normaltextrun"/>
          <w:rFonts w:ascii="Tahoma" w:hAnsi="Tahoma" w:cs="Tahoma"/>
          <w:lang w:val="es-ES"/>
        </w:rPr>
        <w:t xml:space="preserve"> instaurado por </w:t>
      </w:r>
      <w:r w:rsidR="00793CA5" w:rsidRPr="002A43E6">
        <w:rPr>
          <w:rStyle w:val="normaltextrun"/>
          <w:rFonts w:ascii="Tahoma" w:hAnsi="Tahoma" w:cs="Tahoma"/>
          <w:b/>
          <w:bCs/>
          <w:lang w:val="es-ES"/>
        </w:rPr>
        <w:t xml:space="preserve">Octavio </w:t>
      </w:r>
      <w:r w:rsidR="00793CA5">
        <w:rPr>
          <w:rStyle w:val="normaltextrun"/>
          <w:rFonts w:ascii="Tahoma" w:hAnsi="Tahoma" w:cs="Tahoma"/>
          <w:b/>
          <w:bCs/>
          <w:lang w:val="es-ES"/>
        </w:rPr>
        <w:t>d</w:t>
      </w:r>
      <w:r w:rsidR="00793CA5" w:rsidRPr="002A43E6">
        <w:rPr>
          <w:rStyle w:val="normaltextrun"/>
          <w:rFonts w:ascii="Tahoma" w:hAnsi="Tahoma" w:cs="Tahoma"/>
          <w:b/>
          <w:bCs/>
          <w:lang w:val="es-ES"/>
        </w:rPr>
        <w:t xml:space="preserve">e Jesús Morales Arroyave </w:t>
      </w:r>
      <w:r w:rsidR="00793CA5">
        <w:rPr>
          <w:rStyle w:val="normaltextrun"/>
          <w:rFonts w:ascii="Tahoma" w:hAnsi="Tahoma" w:cs="Tahoma"/>
          <w:lang w:val="es-ES"/>
        </w:rPr>
        <w:t>en c</w:t>
      </w:r>
      <w:r w:rsidR="00793CA5" w:rsidRPr="002A43E6">
        <w:rPr>
          <w:rStyle w:val="normaltextrun"/>
          <w:rFonts w:ascii="Tahoma" w:hAnsi="Tahoma" w:cs="Tahoma"/>
          <w:lang w:val="es-ES"/>
        </w:rPr>
        <w:t xml:space="preserve">ontra </w:t>
      </w:r>
      <w:r w:rsidR="00793CA5">
        <w:rPr>
          <w:rStyle w:val="normaltextrun"/>
          <w:rFonts w:ascii="Tahoma" w:hAnsi="Tahoma" w:cs="Tahoma"/>
          <w:lang w:val="es-ES"/>
        </w:rPr>
        <w:t>d</w:t>
      </w:r>
      <w:r w:rsidR="00793CA5" w:rsidRPr="002A43E6">
        <w:rPr>
          <w:rStyle w:val="normaltextrun"/>
          <w:rFonts w:ascii="Tahoma" w:hAnsi="Tahoma" w:cs="Tahoma"/>
          <w:lang w:val="es-ES"/>
        </w:rPr>
        <w:t xml:space="preserve">e </w:t>
      </w:r>
      <w:r w:rsidR="00793CA5">
        <w:rPr>
          <w:rStyle w:val="normaltextrun"/>
          <w:rFonts w:ascii="Tahoma" w:hAnsi="Tahoma" w:cs="Tahoma"/>
          <w:lang w:val="es-ES"/>
        </w:rPr>
        <w:t>l</w:t>
      </w:r>
      <w:r w:rsidR="00793CA5" w:rsidRPr="002A43E6">
        <w:rPr>
          <w:rStyle w:val="normaltextrun"/>
          <w:rFonts w:ascii="Tahoma" w:hAnsi="Tahoma" w:cs="Tahoma"/>
          <w:lang w:val="es-ES"/>
        </w:rPr>
        <w:t xml:space="preserve">a </w:t>
      </w:r>
      <w:r w:rsidR="00793CA5" w:rsidRPr="002A43E6">
        <w:rPr>
          <w:rStyle w:val="normaltextrun"/>
          <w:rFonts w:ascii="Tahoma" w:hAnsi="Tahoma" w:cs="Tahoma"/>
          <w:b/>
          <w:bCs/>
          <w:lang w:val="es-ES"/>
        </w:rPr>
        <w:t xml:space="preserve">Cooperativa </w:t>
      </w:r>
      <w:r w:rsidR="00793CA5">
        <w:rPr>
          <w:rStyle w:val="normaltextrun"/>
          <w:rFonts w:ascii="Tahoma" w:hAnsi="Tahoma" w:cs="Tahoma"/>
          <w:b/>
          <w:bCs/>
          <w:lang w:val="es-ES"/>
        </w:rPr>
        <w:t>d</w:t>
      </w:r>
      <w:r w:rsidR="00793CA5" w:rsidRPr="002A43E6">
        <w:rPr>
          <w:rStyle w:val="normaltextrun"/>
          <w:rFonts w:ascii="Tahoma" w:hAnsi="Tahoma" w:cs="Tahoma"/>
          <w:b/>
          <w:bCs/>
          <w:lang w:val="es-ES"/>
        </w:rPr>
        <w:t xml:space="preserve">e Transportadores </w:t>
      </w:r>
      <w:r w:rsidR="00793CA5">
        <w:rPr>
          <w:rStyle w:val="normaltextrun"/>
          <w:rFonts w:ascii="Tahoma" w:hAnsi="Tahoma" w:cs="Tahoma"/>
          <w:b/>
          <w:bCs/>
          <w:lang w:val="es-ES"/>
        </w:rPr>
        <w:t>d</w:t>
      </w:r>
      <w:r w:rsidR="00793CA5" w:rsidRPr="002A43E6">
        <w:rPr>
          <w:rStyle w:val="normaltextrun"/>
          <w:rFonts w:ascii="Tahoma" w:hAnsi="Tahoma" w:cs="Tahoma"/>
          <w:b/>
          <w:bCs/>
          <w:lang w:val="es-ES"/>
        </w:rPr>
        <w:t xml:space="preserve">e </w:t>
      </w:r>
      <w:r w:rsidR="00793CA5">
        <w:rPr>
          <w:rStyle w:val="normaltextrun"/>
          <w:rFonts w:ascii="Tahoma" w:hAnsi="Tahoma" w:cs="Tahoma"/>
          <w:b/>
          <w:bCs/>
          <w:lang w:val="es-ES"/>
        </w:rPr>
        <w:t>B</w:t>
      </w:r>
      <w:r w:rsidR="00793CA5" w:rsidRPr="002A43E6">
        <w:rPr>
          <w:rStyle w:val="normaltextrun"/>
          <w:rFonts w:ascii="Tahoma" w:hAnsi="Tahoma" w:cs="Tahoma"/>
          <w:b/>
          <w:bCs/>
          <w:lang w:val="es-ES"/>
        </w:rPr>
        <w:t>el</w:t>
      </w:r>
      <w:r w:rsidR="00793CA5">
        <w:rPr>
          <w:rStyle w:val="normaltextrun"/>
          <w:rFonts w:ascii="Tahoma" w:hAnsi="Tahoma" w:cs="Tahoma"/>
          <w:b/>
          <w:bCs/>
          <w:lang w:val="es-ES"/>
        </w:rPr>
        <w:t>én</w:t>
      </w:r>
      <w:r w:rsidR="00793CA5" w:rsidRPr="002A43E6">
        <w:rPr>
          <w:rStyle w:val="normaltextrun"/>
          <w:rFonts w:ascii="Tahoma" w:hAnsi="Tahoma" w:cs="Tahoma"/>
          <w:b/>
          <w:bCs/>
          <w:lang w:val="es-ES"/>
        </w:rPr>
        <w:t xml:space="preserve"> </w:t>
      </w:r>
      <w:r w:rsidR="00793CA5">
        <w:rPr>
          <w:rStyle w:val="normaltextrun"/>
          <w:rFonts w:ascii="Tahoma" w:hAnsi="Tahoma" w:cs="Tahoma"/>
          <w:b/>
          <w:bCs/>
          <w:lang w:val="es-ES"/>
        </w:rPr>
        <w:t>d</w:t>
      </w:r>
      <w:r w:rsidR="00793CA5" w:rsidRPr="002A43E6">
        <w:rPr>
          <w:rStyle w:val="normaltextrun"/>
          <w:rFonts w:ascii="Tahoma" w:hAnsi="Tahoma" w:cs="Tahoma"/>
          <w:b/>
          <w:bCs/>
          <w:lang w:val="es-ES"/>
        </w:rPr>
        <w:t xml:space="preserve">e Umbría, Nelson Claret Rendón Valencia, </w:t>
      </w:r>
      <w:proofErr w:type="spellStart"/>
      <w:r w:rsidR="00793CA5" w:rsidRPr="002A43E6">
        <w:rPr>
          <w:rStyle w:val="normaltextrun"/>
          <w:rFonts w:ascii="Tahoma" w:hAnsi="Tahoma" w:cs="Tahoma"/>
          <w:b/>
          <w:bCs/>
          <w:lang w:val="es-ES"/>
        </w:rPr>
        <w:t>Edilio</w:t>
      </w:r>
      <w:proofErr w:type="spellEnd"/>
      <w:r w:rsidR="00793CA5" w:rsidRPr="002A43E6">
        <w:rPr>
          <w:rStyle w:val="normaltextrun"/>
          <w:rFonts w:ascii="Tahoma" w:hAnsi="Tahoma" w:cs="Tahoma"/>
          <w:b/>
          <w:bCs/>
          <w:lang w:val="es-ES"/>
        </w:rPr>
        <w:t xml:space="preserve"> </w:t>
      </w:r>
      <w:r w:rsidR="00793CA5">
        <w:rPr>
          <w:rStyle w:val="normaltextrun"/>
          <w:rFonts w:ascii="Tahoma" w:hAnsi="Tahoma" w:cs="Tahoma"/>
          <w:b/>
          <w:bCs/>
          <w:lang w:val="es-ES"/>
        </w:rPr>
        <w:t>de</w:t>
      </w:r>
      <w:r w:rsidR="00793CA5" w:rsidRPr="002A43E6">
        <w:rPr>
          <w:rStyle w:val="normaltextrun"/>
          <w:rFonts w:ascii="Tahoma" w:hAnsi="Tahoma" w:cs="Tahoma"/>
          <w:b/>
          <w:bCs/>
          <w:lang w:val="es-ES"/>
        </w:rPr>
        <w:t xml:space="preserve"> Jesús Henao, Juan Carlos Álvarez Medina, </w:t>
      </w:r>
      <w:r w:rsidR="00793CA5" w:rsidRPr="002A43E6">
        <w:rPr>
          <w:rFonts w:ascii="Tahoma" w:hAnsi="Tahoma" w:cs="Tahoma"/>
          <w:b/>
          <w:bCs/>
          <w:lang w:val="es-ES"/>
        </w:rPr>
        <w:t xml:space="preserve">Heriberto </w:t>
      </w:r>
      <w:r w:rsidR="00793CA5">
        <w:rPr>
          <w:rFonts w:ascii="Tahoma" w:hAnsi="Tahoma" w:cs="Tahoma"/>
          <w:b/>
          <w:bCs/>
          <w:lang w:val="es-ES"/>
        </w:rPr>
        <w:t>d</w:t>
      </w:r>
      <w:r w:rsidR="00793CA5" w:rsidRPr="002A43E6">
        <w:rPr>
          <w:rFonts w:ascii="Tahoma" w:hAnsi="Tahoma" w:cs="Tahoma"/>
          <w:b/>
          <w:bCs/>
          <w:lang w:val="es-ES"/>
        </w:rPr>
        <w:t xml:space="preserve">e Jesús Morales Arroyave </w:t>
      </w:r>
      <w:r w:rsidR="00793CA5" w:rsidRPr="00793CA5">
        <w:rPr>
          <w:rFonts w:ascii="Tahoma" w:hAnsi="Tahoma" w:cs="Tahoma"/>
          <w:bCs/>
          <w:lang w:val="es-ES"/>
        </w:rPr>
        <w:t>y los</w:t>
      </w:r>
      <w:r w:rsidR="00793CA5" w:rsidRPr="002A43E6">
        <w:rPr>
          <w:rFonts w:ascii="Tahoma" w:hAnsi="Tahoma" w:cs="Tahoma"/>
          <w:b/>
          <w:bCs/>
          <w:lang w:val="es-ES"/>
        </w:rPr>
        <w:t xml:space="preserve"> herederos determinados e indeterminados de Marino Vélez Jaramillo</w:t>
      </w:r>
      <w:r w:rsidR="00793CA5" w:rsidRPr="00D4518F">
        <w:rPr>
          <w:rFonts w:ascii="Tahoma" w:hAnsi="Tahoma" w:cs="Tahoma"/>
          <w:bCs/>
          <w:lang w:val="es-ES"/>
        </w:rPr>
        <w:t>.</w:t>
      </w:r>
    </w:p>
    <w:p w14:paraId="3591A51E" w14:textId="4664F52C" w:rsidR="0050667F" w:rsidRPr="002A43E6" w:rsidRDefault="0050667F" w:rsidP="002A43E6">
      <w:pPr>
        <w:spacing w:line="276" w:lineRule="auto"/>
        <w:jc w:val="both"/>
        <w:rPr>
          <w:rFonts w:ascii="Tahoma" w:eastAsia="Tahoma" w:hAnsi="Tahoma" w:cs="Tahoma"/>
          <w:b/>
          <w:lang w:val="es-CO"/>
        </w:rPr>
      </w:pPr>
    </w:p>
    <w:p w14:paraId="2A1E7A8B" w14:textId="77777777" w:rsidR="001B1BEC" w:rsidRPr="002A43E6" w:rsidRDefault="001B1BEC" w:rsidP="002A43E6">
      <w:pPr>
        <w:spacing w:line="276" w:lineRule="auto"/>
        <w:jc w:val="both"/>
        <w:rPr>
          <w:rFonts w:ascii="Tahoma" w:eastAsia="Tahoma" w:hAnsi="Tahoma" w:cs="Tahoma"/>
          <w:b/>
        </w:rPr>
      </w:pPr>
    </w:p>
    <w:p w14:paraId="1A56F7E4" w14:textId="77777777" w:rsidR="008C0B82" w:rsidRPr="002A43E6" w:rsidRDefault="00B00BC8" w:rsidP="002A43E6">
      <w:pPr>
        <w:pBdr>
          <w:top w:val="nil"/>
          <w:left w:val="nil"/>
          <w:bottom w:val="nil"/>
          <w:right w:val="nil"/>
          <w:between w:val="nil"/>
        </w:pBdr>
        <w:spacing w:line="276" w:lineRule="auto"/>
        <w:jc w:val="center"/>
        <w:rPr>
          <w:rFonts w:ascii="Tahoma" w:eastAsia="Tahoma" w:hAnsi="Tahoma" w:cs="Tahoma"/>
          <w:color w:val="000000"/>
        </w:rPr>
      </w:pPr>
      <w:r w:rsidRPr="002A43E6">
        <w:rPr>
          <w:rFonts w:ascii="Tahoma" w:eastAsia="Tahoma" w:hAnsi="Tahoma" w:cs="Tahoma"/>
          <w:b/>
          <w:color w:val="000000"/>
        </w:rPr>
        <w:t>PUNTO A TRATAR</w:t>
      </w:r>
    </w:p>
    <w:p w14:paraId="1D8347AE" w14:textId="77777777" w:rsidR="00105682" w:rsidRPr="002A43E6" w:rsidRDefault="00105682" w:rsidP="002A43E6">
      <w:pPr>
        <w:spacing w:line="276" w:lineRule="auto"/>
        <w:ind w:firstLine="708"/>
        <w:jc w:val="both"/>
        <w:rPr>
          <w:rFonts w:ascii="Tahoma" w:eastAsia="Tahoma" w:hAnsi="Tahoma" w:cs="Tahoma"/>
          <w:lang w:val="es-CO"/>
        </w:rPr>
      </w:pPr>
    </w:p>
    <w:p w14:paraId="34E28757" w14:textId="549A5A74" w:rsidR="00917B16" w:rsidRPr="002A43E6" w:rsidRDefault="00105682" w:rsidP="002A43E6">
      <w:pPr>
        <w:spacing w:line="276" w:lineRule="auto"/>
        <w:ind w:firstLine="708"/>
        <w:jc w:val="both"/>
        <w:rPr>
          <w:rFonts w:ascii="Tahoma" w:eastAsia="Tahoma" w:hAnsi="Tahoma" w:cs="Tahoma"/>
        </w:rPr>
      </w:pPr>
      <w:r w:rsidRPr="002A43E6">
        <w:rPr>
          <w:rFonts w:ascii="Tahoma" w:eastAsia="Tahoma" w:hAnsi="Tahoma" w:cs="Tahoma"/>
        </w:rPr>
        <w:t>Sería del caso proveer de fondo, si no fuera porque se aprecia una causal de nulidad, que amerita pronunciamiento, a</w:t>
      </w:r>
      <w:r w:rsidR="00E119FE" w:rsidRPr="002A43E6">
        <w:rPr>
          <w:rFonts w:ascii="Tahoma" w:eastAsia="Tahoma" w:hAnsi="Tahoma" w:cs="Tahoma"/>
        </w:rPr>
        <w:t xml:space="preserve"> acuerdo con</w:t>
      </w:r>
      <w:r w:rsidRPr="002A43E6">
        <w:rPr>
          <w:rFonts w:ascii="Tahoma" w:eastAsia="Tahoma" w:hAnsi="Tahoma" w:cs="Tahoma"/>
        </w:rPr>
        <w:t xml:space="preserve"> las consideraciones que siguen.</w:t>
      </w:r>
    </w:p>
    <w:p w14:paraId="2DDFC346" w14:textId="68E62E9A" w:rsidR="00917B16" w:rsidRDefault="00917B16" w:rsidP="002A43E6">
      <w:pPr>
        <w:spacing w:line="276" w:lineRule="auto"/>
        <w:jc w:val="both"/>
        <w:rPr>
          <w:rFonts w:ascii="Tahoma" w:hAnsi="Tahoma" w:cs="Tahoma"/>
        </w:rPr>
      </w:pPr>
    </w:p>
    <w:p w14:paraId="6196AF79" w14:textId="77777777" w:rsidR="00D4518F" w:rsidRPr="002A43E6" w:rsidRDefault="00D4518F" w:rsidP="002A43E6">
      <w:pPr>
        <w:spacing w:line="276" w:lineRule="auto"/>
        <w:jc w:val="both"/>
        <w:rPr>
          <w:rFonts w:ascii="Tahoma" w:hAnsi="Tahoma" w:cs="Tahoma"/>
        </w:rPr>
      </w:pPr>
    </w:p>
    <w:p w14:paraId="73C4D2F4" w14:textId="77777777" w:rsidR="00F45D5F" w:rsidRPr="002A43E6" w:rsidRDefault="00B00BC8" w:rsidP="002A43E6">
      <w:pPr>
        <w:widowControl w:val="0"/>
        <w:numPr>
          <w:ilvl w:val="0"/>
          <w:numId w:val="2"/>
        </w:numPr>
        <w:spacing w:line="276" w:lineRule="auto"/>
        <w:ind w:left="0" w:firstLine="0"/>
        <w:jc w:val="center"/>
        <w:rPr>
          <w:rFonts w:ascii="Tahoma" w:eastAsia="Tahoma" w:hAnsi="Tahoma" w:cs="Tahoma"/>
          <w:b/>
          <w:smallCaps/>
        </w:rPr>
      </w:pPr>
      <w:r w:rsidRPr="002A43E6">
        <w:rPr>
          <w:rFonts w:ascii="Tahoma" w:eastAsia="Tahoma" w:hAnsi="Tahoma" w:cs="Tahoma"/>
          <w:b/>
          <w:smallCaps/>
        </w:rPr>
        <w:t>CONSIDERACIONES</w:t>
      </w:r>
    </w:p>
    <w:p w14:paraId="376401C6" w14:textId="77777777" w:rsidR="00F45D5F" w:rsidRPr="002A43E6" w:rsidRDefault="00F45D5F" w:rsidP="002A43E6">
      <w:pPr>
        <w:widowControl w:val="0"/>
        <w:spacing w:line="276" w:lineRule="auto"/>
        <w:rPr>
          <w:rFonts w:ascii="Tahoma" w:eastAsia="Tahoma" w:hAnsi="Tahoma" w:cs="Tahoma"/>
          <w:b/>
          <w:smallCaps/>
        </w:rPr>
      </w:pPr>
    </w:p>
    <w:p w14:paraId="4194D401" w14:textId="6524567D" w:rsidR="00330320" w:rsidRPr="002A43E6" w:rsidRDefault="00F45D5F" w:rsidP="002A43E6">
      <w:pPr>
        <w:pStyle w:val="paragraph"/>
        <w:numPr>
          <w:ilvl w:val="1"/>
          <w:numId w:val="15"/>
        </w:numPr>
        <w:spacing w:before="0" w:beforeAutospacing="0" w:after="0" w:afterAutospacing="0" w:line="276" w:lineRule="auto"/>
        <w:jc w:val="both"/>
        <w:textAlignment w:val="baseline"/>
        <w:rPr>
          <w:rFonts w:ascii="Tahoma" w:hAnsi="Tahoma" w:cs="Tahoma"/>
        </w:rPr>
      </w:pPr>
      <w:r w:rsidRPr="002A43E6">
        <w:rPr>
          <w:rStyle w:val="normaltextrun"/>
          <w:rFonts w:ascii="Tahoma" w:hAnsi="Tahoma" w:cs="Tahoma"/>
          <w:b/>
          <w:bCs/>
        </w:rPr>
        <w:t>Régimen de las nulidades procesales en materia laboral</w:t>
      </w:r>
      <w:r w:rsidR="00E4614E">
        <w:rPr>
          <w:rStyle w:val="normaltextrun"/>
          <w:rFonts w:ascii="Tahoma" w:hAnsi="Tahoma" w:cs="Tahoma"/>
          <w:b/>
          <w:bCs/>
        </w:rPr>
        <w:t xml:space="preserve"> –</w:t>
      </w:r>
      <w:r w:rsidR="00252C32" w:rsidRPr="002A43E6">
        <w:rPr>
          <w:rStyle w:val="normaltextrun"/>
          <w:rFonts w:ascii="Tahoma" w:hAnsi="Tahoma" w:cs="Tahoma"/>
          <w:b/>
          <w:bCs/>
        </w:rPr>
        <w:t xml:space="preserve"> </w:t>
      </w:r>
      <w:r w:rsidR="00252C32" w:rsidRPr="002A43E6">
        <w:rPr>
          <w:rStyle w:val="normaltextrun"/>
          <w:rFonts w:ascii="Tahoma" w:hAnsi="Tahoma" w:cs="Tahoma"/>
          <w:b/>
          <w:bCs/>
          <w:lang w:val="es-ES"/>
        </w:rPr>
        <w:t>Nulidad por indebida notificación</w:t>
      </w:r>
    </w:p>
    <w:p w14:paraId="0A86D53D" w14:textId="6410BA15" w:rsidR="00F45D5F" w:rsidRPr="002A43E6" w:rsidRDefault="00F45D5F" w:rsidP="002A43E6">
      <w:pPr>
        <w:pStyle w:val="paragraph"/>
        <w:spacing w:before="0" w:beforeAutospacing="0" w:after="0" w:afterAutospacing="0" w:line="276" w:lineRule="auto"/>
        <w:jc w:val="both"/>
        <w:textAlignment w:val="baseline"/>
        <w:rPr>
          <w:rFonts w:ascii="Tahoma" w:hAnsi="Tahoma" w:cs="Tahoma"/>
        </w:rPr>
      </w:pPr>
    </w:p>
    <w:p w14:paraId="71AF3AE2" w14:textId="77777777" w:rsidR="00F45D5F" w:rsidRPr="002A43E6" w:rsidRDefault="00F45D5F" w:rsidP="002A43E6">
      <w:pPr>
        <w:pStyle w:val="paragraph"/>
        <w:spacing w:before="0" w:beforeAutospacing="0" w:after="0" w:afterAutospacing="0" w:line="276" w:lineRule="auto"/>
        <w:ind w:firstLine="555"/>
        <w:jc w:val="both"/>
        <w:textAlignment w:val="baseline"/>
        <w:rPr>
          <w:rFonts w:ascii="Tahoma" w:hAnsi="Tahoma" w:cs="Tahoma"/>
        </w:rPr>
      </w:pPr>
      <w:r w:rsidRPr="002A43E6">
        <w:rPr>
          <w:rStyle w:val="normaltextrun"/>
          <w:rFonts w:ascii="Tahoma" w:hAnsi="Tahoma" w:cs="Tahoma"/>
          <w:lang w:val="es-ES"/>
        </w:rPr>
        <w:t>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r w:rsidRPr="002A43E6">
        <w:rPr>
          <w:rStyle w:val="eop"/>
          <w:rFonts w:ascii="Tahoma" w:hAnsi="Tahoma" w:cs="Tahoma"/>
        </w:rPr>
        <w:t> </w:t>
      </w:r>
    </w:p>
    <w:p w14:paraId="6A72D301" w14:textId="77777777" w:rsidR="00F45D5F" w:rsidRPr="002A43E6" w:rsidRDefault="00F45D5F" w:rsidP="002A43E6">
      <w:pPr>
        <w:pStyle w:val="paragraph"/>
        <w:spacing w:before="0" w:beforeAutospacing="0" w:after="0" w:afterAutospacing="0" w:line="276" w:lineRule="auto"/>
        <w:jc w:val="both"/>
        <w:textAlignment w:val="baseline"/>
        <w:rPr>
          <w:rFonts w:ascii="Tahoma" w:hAnsi="Tahoma" w:cs="Tahoma"/>
        </w:rPr>
      </w:pPr>
      <w:r w:rsidRPr="002A43E6">
        <w:rPr>
          <w:rStyle w:val="eop"/>
          <w:rFonts w:ascii="Tahoma" w:hAnsi="Tahoma" w:cs="Tahoma"/>
        </w:rPr>
        <w:t> </w:t>
      </w:r>
    </w:p>
    <w:p w14:paraId="5215C493" w14:textId="77777777" w:rsidR="00F45D5F" w:rsidRPr="002A43E6" w:rsidRDefault="00F45D5F" w:rsidP="002A43E6">
      <w:pPr>
        <w:pStyle w:val="paragraph"/>
        <w:spacing w:before="0" w:beforeAutospacing="0" w:after="0" w:afterAutospacing="0" w:line="276" w:lineRule="auto"/>
        <w:ind w:firstLine="555"/>
        <w:jc w:val="both"/>
        <w:textAlignment w:val="baseline"/>
        <w:rPr>
          <w:rFonts w:ascii="Tahoma" w:hAnsi="Tahoma" w:cs="Tahoma"/>
        </w:rPr>
      </w:pPr>
      <w:r w:rsidRPr="002A43E6">
        <w:rPr>
          <w:rStyle w:val="normaltextrun"/>
          <w:rFonts w:ascii="Tahoma" w:hAnsi="Tahoma" w:cs="Tahoma"/>
          <w:lang w:val="es-ES"/>
        </w:rPr>
        <w:t xml:space="preserve">No obstante, con la entrada en vigencia de la Ley 1564 de 2012, </w:t>
      </w:r>
      <w:r w:rsidRPr="002A43E6">
        <w:rPr>
          <w:rStyle w:val="normaltextrun"/>
          <w:rFonts w:ascii="Tahoma" w:hAnsi="Tahoma" w:cs="Tahoma"/>
          <w:i/>
          <w:iCs/>
          <w:lang w:val="es-ES"/>
        </w:rPr>
        <w:t>“</w:t>
      </w:r>
      <w:r w:rsidRPr="002638F4">
        <w:rPr>
          <w:rStyle w:val="normaltextrun"/>
          <w:rFonts w:ascii="Tahoma" w:hAnsi="Tahoma" w:cs="Tahoma"/>
          <w:i/>
          <w:iCs/>
          <w:sz w:val="22"/>
          <w:lang w:val="es-ES"/>
        </w:rPr>
        <w:t>por medio de la cual se expide el Código General del Proceso y se dictan otras disposiciones</w:t>
      </w:r>
      <w:r w:rsidRPr="002A43E6">
        <w:rPr>
          <w:rStyle w:val="normaltextrun"/>
          <w:rFonts w:ascii="Tahoma" w:hAnsi="Tahoma" w:cs="Tahoma"/>
          <w:i/>
          <w:iCs/>
          <w:lang w:val="es-ES"/>
        </w:rPr>
        <w:t>”</w:t>
      </w:r>
      <w:r w:rsidRPr="002A43E6">
        <w:rPr>
          <w:rStyle w:val="normaltextrun"/>
          <w:rFonts w:ascii="Tahoma" w:hAnsi="Tahoma" w:cs="Tahoma"/>
          <w:lang w:val="es-ES"/>
        </w:rPr>
        <w:t>,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citado estatuto procesal.</w:t>
      </w:r>
      <w:r w:rsidRPr="002A43E6">
        <w:rPr>
          <w:rStyle w:val="eop"/>
          <w:rFonts w:ascii="Tahoma" w:hAnsi="Tahoma" w:cs="Tahoma"/>
        </w:rPr>
        <w:t> </w:t>
      </w:r>
    </w:p>
    <w:p w14:paraId="282314DE" w14:textId="77777777" w:rsidR="00F45D5F" w:rsidRPr="002A43E6" w:rsidRDefault="00F45D5F" w:rsidP="002A43E6">
      <w:pPr>
        <w:pStyle w:val="paragraph"/>
        <w:spacing w:before="0" w:beforeAutospacing="0" w:after="0" w:afterAutospacing="0" w:line="276" w:lineRule="auto"/>
        <w:jc w:val="both"/>
        <w:textAlignment w:val="baseline"/>
        <w:rPr>
          <w:rFonts w:ascii="Tahoma" w:hAnsi="Tahoma" w:cs="Tahoma"/>
        </w:rPr>
      </w:pPr>
      <w:r w:rsidRPr="002A43E6">
        <w:rPr>
          <w:rStyle w:val="eop"/>
          <w:rFonts w:ascii="Tahoma" w:hAnsi="Tahoma" w:cs="Tahoma"/>
        </w:rPr>
        <w:t> </w:t>
      </w:r>
    </w:p>
    <w:p w14:paraId="2708527C" w14:textId="0C340003" w:rsidR="00636619" w:rsidRPr="002A43E6" w:rsidRDefault="00F45D5F" w:rsidP="002A43E6">
      <w:pPr>
        <w:pStyle w:val="paragraph"/>
        <w:spacing w:before="0" w:beforeAutospacing="0" w:after="0" w:afterAutospacing="0" w:line="276" w:lineRule="auto"/>
        <w:ind w:firstLine="555"/>
        <w:jc w:val="both"/>
        <w:textAlignment w:val="baseline"/>
        <w:rPr>
          <w:rStyle w:val="eop"/>
          <w:rFonts w:ascii="Tahoma" w:hAnsi="Tahoma" w:cs="Tahoma"/>
        </w:rPr>
      </w:pPr>
      <w:r w:rsidRPr="002A43E6">
        <w:rPr>
          <w:rStyle w:val="normaltextrun"/>
          <w:rFonts w:ascii="Tahoma" w:hAnsi="Tahoma" w:cs="Tahoma"/>
          <w:lang w:val="es-ES"/>
        </w:rPr>
        <w:t xml:space="preserve">Aclarado lo anterior, cabe advertir que este régimen de nulidades tiene un carácter excepcional y taxativo, al punto que las únicas nulidades </w:t>
      </w:r>
      <w:proofErr w:type="spellStart"/>
      <w:r w:rsidRPr="002A43E6">
        <w:rPr>
          <w:rStyle w:val="normaltextrun"/>
          <w:rFonts w:ascii="Tahoma" w:hAnsi="Tahoma" w:cs="Tahoma"/>
          <w:lang w:val="es-ES"/>
        </w:rPr>
        <w:t>insaneables</w:t>
      </w:r>
      <w:proofErr w:type="spellEnd"/>
      <w:r w:rsidRPr="002A43E6">
        <w:rPr>
          <w:rStyle w:val="normaltextrun"/>
          <w:rFonts w:ascii="Tahoma" w:hAnsi="Tahoma" w:cs="Tahoma"/>
          <w:lang w:val="es-ES"/>
        </w:rPr>
        <w:t xml:space="preserve">, según lo dispuesto por el parágrafo del artículo 136 ídem, son aquellas que se configuran por el juez proceder contra providencia ejecutoriada del superior, revivir un proceso legalmente concluido o pretermitir íntegramente la respectiva instancia. Las demás nulidades, conforme al mismo artículo, se sanean </w:t>
      </w:r>
      <w:r w:rsidRPr="002A43E6">
        <w:rPr>
          <w:rStyle w:val="normaltextrun"/>
          <w:rFonts w:ascii="Tahoma" w:hAnsi="Tahoma" w:cs="Tahoma"/>
          <w:b/>
          <w:bCs/>
          <w:lang w:val="es-ES"/>
        </w:rPr>
        <w:t>1)</w:t>
      </w:r>
      <w:r w:rsidRPr="002A43E6">
        <w:rPr>
          <w:rStyle w:val="normaltextrun"/>
          <w:rFonts w:ascii="Tahoma" w:hAnsi="Tahoma" w:cs="Tahoma"/>
          <w:lang w:val="es-ES"/>
        </w:rPr>
        <w:t xml:space="preserve"> cuando la parte que podía alegarla no lo hizo oportunamente o actuó sin proponerla, </w:t>
      </w:r>
      <w:r w:rsidRPr="002A43E6">
        <w:rPr>
          <w:rStyle w:val="normaltextrun"/>
          <w:rFonts w:ascii="Tahoma" w:hAnsi="Tahoma" w:cs="Tahoma"/>
          <w:b/>
          <w:bCs/>
          <w:lang w:val="es-ES"/>
        </w:rPr>
        <w:t>2)</w:t>
      </w:r>
      <w:r w:rsidRPr="002A43E6">
        <w:rPr>
          <w:rStyle w:val="normaltextrun"/>
          <w:rFonts w:ascii="Tahoma" w:hAnsi="Tahoma" w:cs="Tahoma"/>
          <w:lang w:val="es-ES"/>
        </w:rPr>
        <w:t xml:space="preserve"> cuando la parte que podía alegarla la convalidó en forma expresa antes de haber sido renovada la actuación anulada, </w:t>
      </w:r>
      <w:r w:rsidRPr="002A43E6">
        <w:rPr>
          <w:rStyle w:val="normaltextrun"/>
          <w:rFonts w:ascii="Tahoma" w:hAnsi="Tahoma" w:cs="Tahoma"/>
          <w:b/>
          <w:bCs/>
          <w:lang w:val="es-ES"/>
        </w:rPr>
        <w:t>3)</w:t>
      </w:r>
      <w:r w:rsidRPr="002A43E6">
        <w:rPr>
          <w:rStyle w:val="normaltextrun"/>
          <w:rFonts w:ascii="Tahoma" w:hAnsi="Tahoma" w:cs="Tahoma"/>
          <w:lang w:val="es-ES"/>
        </w:rPr>
        <w:t xml:space="preserve"> cuando se origine en la interrupción o suspensión del proceso y no se alegue dentro de los 5 días siguientes a la fecha en que haya cesado la causa y </w:t>
      </w:r>
      <w:r w:rsidRPr="002A43E6">
        <w:rPr>
          <w:rStyle w:val="normaltextrun"/>
          <w:rFonts w:ascii="Tahoma" w:hAnsi="Tahoma" w:cs="Tahoma"/>
          <w:b/>
          <w:bCs/>
          <w:lang w:val="es-ES"/>
        </w:rPr>
        <w:t>4)</w:t>
      </w:r>
      <w:r w:rsidRPr="002A43E6">
        <w:rPr>
          <w:rStyle w:val="normaltextrun"/>
          <w:rFonts w:ascii="Tahoma" w:hAnsi="Tahoma" w:cs="Tahoma"/>
          <w:lang w:val="es-ES"/>
        </w:rPr>
        <w:t xml:space="preserve"> </w:t>
      </w:r>
      <w:r w:rsidRPr="002A43E6">
        <w:rPr>
          <w:rStyle w:val="normaltextrun"/>
          <w:rFonts w:ascii="Tahoma" w:hAnsi="Tahoma" w:cs="Tahoma"/>
          <w:lang w:val="es-ES"/>
        </w:rPr>
        <w:lastRenderedPageBreak/>
        <w:t>cuando a pesar del vicio el acto procesal cumplió su finalidad y no se violó el derecho de defensa.</w:t>
      </w:r>
      <w:r w:rsidRPr="002A43E6">
        <w:rPr>
          <w:rStyle w:val="eop"/>
          <w:rFonts w:ascii="Tahoma" w:hAnsi="Tahoma" w:cs="Tahoma"/>
        </w:rPr>
        <w:t> </w:t>
      </w:r>
    </w:p>
    <w:p w14:paraId="41F12E95" w14:textId="7C6CCA20" w:rsidR="00366F41" w:rsidRPr="002A43E6" w:rsidRDefault="00366F41" w:rsidP="002A43E6">
      <w:pPr>
        <w:pStyle w:val="paragraph"/>
        <w:spacing w:before="0" w:beforeAutospacing="0" w:after="0" w:afterAutospacing="0" w:line="276" w:lineRule="auto"/>
        <w:ind w:firstLine="555"/>
        <w:jc w:val="both"/>
        <w:textAlignment w:val="baseline"/>
        <w:rPr>
          <w:rStyle w:val="eop"/>
          <w:rFonts w:ascii="Tahoma" w:hAnsi="Tahoma" w:cs="Tahoma"/>
        </w:rPr>
      </w:pPr>
    </w:p>
    <w:p w14:paraId="4C3B1C62" w14:textId="3980A9DF" w:rsidR="00366F41" w:rsidRPr="002A43E6" w:rsidRDefault="00366F41" w:rsidP="002A43E6">
      <w:pPr>
        <w:pStyle w:val="paragraph"/>
        <w:spacing w:before="0" w:beforeAutospacing="0" w:after="0" w:afterAutospacing="0" w:line="276" w:lineRule="auto"/>
        <w:ind w:firstLine="720"/>
        <w:jc w:val="both"/>
        <w:textAlignment w:val="baseline"/>
        <w:rPr>
          <w:rStyle w:val="eop"/>
          <w:rFonts w:ascii="Tahoma" w:hAnsi="Tahoma" w:cs="Tahoma"/>
        </w:rPr>
      </w:pPr>
      <w:r w:rsidRPr="002A43E6">
        <w:rPr>
          <w:rStyle w:val="normaltextrun"/>
          <w:rFonts w:ascii="Tahoma" w:hAnsi="Tahoma" w:cs="Tahoma"/>
          <w:lang w:val="es-ES"/>
        </w:rPr>
        <w:t>Al respecto, el artículo 137 del Código General del Proceso, dispone que en cualquier estado del proceso el juez ordenará poner en conocimiento de la parte afectada las nulidades que no hayan sido saneadas</w:t>
      </w:r>
      <w:bookmarkStart w:id="5" w:name="_Hlk113267739"/>
      <w:r w:rsidRPr="002A43E6">
        <w:rPr>
          <w:rStyle w:val="normaltextrun"/>
          <w:rFonts w:ascii="Tahoma" w:hAnsi="Tahoma" w:cs="Tahoma"/>
          <w:lang w:val="es-ES"/>
        </w:rPr>
        <w:t>, y estipula que cuando dicha nulidad se origina en la causal octava</w:t>
      </w:r>
      <w:r w:rsidRPr="002A43E6">
        <w:rPr>
          <w:rStyle w:val="Refdenotaalpie"/>
          <w:rFonts w:ascii="Tahoma" w:hAnsi="Tahoma" w:cs="Tahoma"/>
          <w:lang w:val="es-ES"/>
        </w:rPr>
        <w:footnoteReference w:id="1"/>
      </w:r>
      <w:r w:rsidRPr="002A43E6">
        <w:rPr>
          <w:rStyle w:val="normaltextrun"/>
          <w:rFonts w:ascii="Tahoma" w:hAnsi="Tahoma" w:cs="Tahoma"/>
          <w:lang w:val="es-ES"/>
        </w:rPr>
        <w:t xml:space="preserve"> se debe notificar al afectado de conformidad con los artículos 291 y 292</w:t>
      </w:r>
      <w:bookmarkEnd w:id="5"/>
      <w:r w:rsidRPr="002A43E6">
        <w:rPr>
          <w:rStyle w:val="normaltextrun"/>
          <w:rFonts w:ascii="Tahoma" w:hAnsi="Tahoma" w:cs="Tahoma"/>
          <w:lang w:val="es-ES"/>
        </w:rPr>
        <w:t>, es decir mediante notificación personal o por aviso, a efectos de que sea alegada dentro de los tres días siguientes, de lo contrario, según el caso quedará saneada o el juez la declarará.</w:t>
      </w:r>
      <w:r w:rsidRPr="002A43E6">
        <w:rPr>
          <w:rStyle w:val="eop"/>
          <w:rFonts w:ascii="Tahoma" w:hAnsi="Tahoma" w:cs="Tahoma"/>
        </w:rPr>
        <w:t> </w:t>
      </w:r>
    </w:p>
    <w:p w14:paraId="12BCACC1" w14:textId="77777777" w:rsidR="00366F41" w:rsidRPr="002A43E6" w:rsidRDefault="00366F41" w:rsidP="002A43E6">
      <w:pPr>
        <w:pStyle w:val="paragraph"/>
        <w:spacing w:before="0" w:beforeAutospacing="0" w:after="0" w:afterAutospacing="0" w:line="276" w:lineRule="auto"/>
        <w:ind w:firstLine="720"/>
        <w:jc w:val="both"/>
        <w:textAlignment w:val="baseline"/>
        <w:rPr>
          <w:rStyle w:val="eop"/>
          <w:rFonts w:ascii="Tahoma" w:hAnsi="Tahoma" w:cs="Tahoma"/>
        </w:rPr>
      </w:pPr>
    </w:p>
    <w:p w14:paraId="203B8A81" w14:textId="16CBBE9E" w:rsidR="00E17814" w:rsidRPr="002A43E6" w:rsidRDefault="00366F41" w:rsidP="002A43E6">
      <w:pPr>
        <w:spacing w:line="276" w:lineRule="auto"/>
        <w:ind w:firstLine="567"/>
        <w:jc w:val="both"/>
        <w:rPr>
          <w:rStyle w:val="eop"/>
          <w:rFonts w:ascii="Tahoma" w:hAnsi="Tahoma" w:cs="Tahoma"/>
        </w:rPr>
      </w:pPr>
      <w:bookmarkStart w:id="7" w:name="_Hlk113267777"/>
      <w:proofErr w:type="spellStart"/>
      <w:r w:rsidRPr="002A43E6">
        <w:rPr>
          <w:rStyle w:val="eop"/>
          <w:rFonts w:ascii="Tahoma" w:hAnsi="Tahoma" w:cs="Tahoma"/>
        </w:rPr>
        <w:t>Colorario</w:t>
      </w:r>
      <w:proofErr w:type="spellEnd"/>
      <w:r w:rsidRPr="002A43E6">
        <w:rPr>
          <w:rStyle w:val="eop"/>
          <w:rFonts w:ascii="Tahoma" w:hAnsi="Tahoma" w:cs="Tahoma"/>
        </w:rPr>
        <w:t xml:space="preserve"> de lo anterior, la nulidad consagrada en la causal octava, solo es posible ponerla en conocimiento, cuando la persona es determinada y se conocen </w:t>
      </w:r>
      <w:r w:rsidR="00597EDE" w:rsidRPr="002A43E6">
        <w:rPr>
          <w:rStyle w:val="eop"/>
          <w:rFonts w:ascii="Tahoma" w:hAnsi="Tahoma" w:cs="Tahoma"/>
        </w:rPr>
        <w:t>los</w:t>
      </w:r>
      <w:r w:rsidRPr="002A43E6">
        <w:rPr>
          <w:rStyle w:val="eop"/>
          <w:rFonts w:ascii="Tahoma" w:hAnsi="Tahoma" w:cs="Tahoma"/>
        </w:rPr>
        <w:t xml:space="preserve"> datos de notificación</w:t>
      </w:r>
      <w:bookmarkEnd w:id="7"/>
      <w:r w:rsidRPr="002A43E6">
        <w:rPr>
          <w:rStyle w:val="eop"/>
          <w:rFonts w:ascii="Tahoma" w:hAnsi="Tahoma" w:cs="Tahoma"/>
        </w:rPr>
        <w:t>, ya que el artículo 137 del estatuto general procesal, en caso de desconocimiento de los datos de notificación y tratándose de personas indeterminadas será menester el decreto de la nulidad avizorada ante la imposibilidad jurídica para darla a conocer.</w:t>
      </w:r>
      <w:bookmarkStart w:id="8" w:name="_Hlk105159285"/>
      <w:r w:rsidR="00D16CC3" w:rsidRPr="002A43E6">
        <w:rPr>
          <w:rStyle w:val="eop"/>
          <w:rFonts w:ascii="Tahoma" w:hAnsi="Tahoma" w:cs="Tahoma"/>
        </w:rPr>
        <w:t> </w:t>
      </w:r>
      <w:bookmarkEnd w:id="8"/>
    </w:p>
    <w:p w14:paraId="74B5AD6D" w14:textId="77777777" w:rsidR="00E17814" w:rsidRPr="002A43E6" w:rsidRDefault="00E17814" w:rsidP="002A43E6">
      <w:pPr>
        <w:pStyle w:val="paragraph"/>
        <w:spacing w:before="0" w:beforeAutospacing="0" w:after="0" w:afterAutospacing="0" w:line="276" w:lineRule="auto"/>
        <w:ind w:firstLine="720"/>
        <w:jc w:val="both"/>
        <w:textAlignment w:val="baseline"/>
        <w:rPr>
          <w:rStyle w:val="eop"/>
          <w:rFonts w:ascii="Tahoma" w:hAnsi="Tahoma" w:cs="Tahoma"/>
        </w:rPr>
      </w:pPr>
    </w:p>
    <w:p w14:paraId="460358C8" w14:textId="29C416DA" w:rsidR="00E17814" w:rsidRPr="002A43E6" w:rsidRDefault="00E17814" w:rsidP="002A43E6">
      <w:pPr>
        <w:pStyle w:val="paragraph"/>
        <w:numPr>
          <w:ilvl w:val="1"/>
          <w:numId w:val="15"/>
        </w:numPr>
        <w:spacing w:before="0" w:beforeAutospacing="0" w:after="0" w:afterAutospacing="0" w:line="276" w:lineRule="auto"/>
        <w:jc w:val="both"/>
        <w:textAlignment w:val="baseline"/>
        <w:rPr>
          <w:rFonts w:ascii="Tahoma" w:hAnsi="Tahoma" w:cs="Tahoma"/>
        </w:rPr>
      </w:pPr>
      <w:r w:rsidRPr="002A43E6">
        <w:rPr>
          <w:rFonts w:ascii="Tahoma" w:eastAsiaTheme="minorHAnsi" w:hAnsi="Tahoma" w:cs="Tahoma"/>
          <w:b/>
          <w:bCs/>
          <w:lang w:eastAsia="es-ES"/>
        </w:rPr>
        <w:t>Nulidad por indebida notificación.</w:t>
      </w:r>
    </w:p>
    <w:p w14:paraId="0971DD4E" w14:textId="77777777" w:rsidR="00E17814" w:rsidRPr="002A43E6" w:rsidRDefault="00E17814" w:rsidP="002A43E6">
      <w:pPr>
        <w:spacing w:line="276" w:lineRule="auto"/>
        <w:jc w:val="both"/>
        <w:rPr>
          <w:rFonts w:ascii="Tahoma" w:eastAsiaTheme="minorHAnsi" w:hAnsi="Tahoma" w:cs="Tahoma"/>
          <w:b/>
          <w:bCs/>
          <w:lang w:eastAsia="es-ES"/>
        </w:rPr>
      </w:pPr>
    </w:p>
    <w:p w14:paraId="7043BB58" w14:textId="3ED70456" w:rsidR="00E17814" w:rsidRPr="002A43E6" w:rsidRDefault="00E17814" w:rsidP="002A43E6">
      <w:pPr>
        <w:spacing w:line="276" w:lineRule="auto"/>
        <w:ind w:firstLine="720"/>
        <w:jc w:val="both"/>
        <w:rPr>
          <w:rFonts w:ascii="Tahoma" w:eastAsiaTheme="minorHAnsi" w:hAnsi="Tahoma" w:cs="Tahoma"/>
          <w:lang w:eastAsia="es-ES"/>
        </w:rPr>
      </w:pPr>
      <w:bookmarkStart w:id="9" w:name="_Hlk113267828"/>
      <w:r w:rsidRPr="002A43E6">
        <w:rPr>
          <w:rFonts w:ascii="Tahoma" w:eastAsiaTheme="minorHAnsi" w:hAnsi="Tahoma" w:cs="Tahoma"/>
          <w:lang w:eastAsia="es-ES"/>
        </w:rPr>
        <w:t>Estable en el numeral 8º del artículo 133 del CGP, que el proceso es nulo en todo o en parte, cuando no se practica en legal forma la notificación del auto admisorio de la demanda, o el emplazamiento de las demás personas aunque sean indeterminadas, deban ser citadas como partes</w:t>
      </w:r>
      <w:bookmarkEnd w:id="9"/>
      <w:r w:rsidRPr="002A43E6">
        <w:rPr>
          <w:rFonts w:ascii="Tahoma" w:eastAsiaTheme="minorHAnsi" w:hAnsi="Tahoma" w:cs="Tahoma"/>
          <w:lang w:eastAsia="es-ES"/>
        </w:rPr>
        <w:t>, o de aquellas que deban suceder en el proceso a cualquiera de las partes, cuando la ley así lo ordena</w:t>
      </w:r>
      <w:r w:rsidR="00DA1040" w:rsidRPr="002A43E6">
        <w:rPr>
          <w:rFonts w:ascii="Tahoma" w:eastAsiaTheme="minorHAnsi" w:hAnsi="Tahoma" w:cs="Tahoma"/>
          <w:lang w:eastAsia="es-ES"/>
        </w:rPr>
        <w:t xml:space="preserve">, </w:t>
      </w:r>
      <w:r w:rsidRPr="002A43E6">
        <w:rPr>
          <w:rFonts w:ascii="Tahoma" w:eastAsiaTheme="minorHAnsi" w:hAnsi="Tahoma" w:cs="Tahoma"/>
          <w:lang w:eastAsia="es-ES"/>
        </w:rPr>
        <w:t>o cuando no se cita en debida forma al Ministerio Público o a cualquier otra persona o entidad que de acuerdo con la ley debió ser citado.</w:t>
      </w:r>
    </w:p>
    <w:p w14:paraId="22997EF1" w14:textId="34E00110" w:rsidR="00DA1040" w:rsidRPr="002A43E6" w:rsidRDefault="00DA1040" w:rsidP="002A43E6">
      <w:pPr>
        <w:spacing w:line="276" w:lineRule="auto"/>
        <w:jc w:val="both"/>
        <w:rPr>
          <w:rFonts w:ascii="Tahoma" w:eastAsiaTheme="minorHAnsi" w:hAnsi="Tahoma" w:cs="Tahoma"/>
          <w:lang w:eastAsia="es-ES"/>
        </w:rPr>
      </w:pPr>
    </w:p>
    <w:p w14:paraId="3A03FB69" w14:textId="38501114" w:rsidR="002F5368" w:rsidRPr="002A43E6" w:rsidRDefault="003A2AE8" w:rsidP="002A43E6">
      <w:pPr>
        <w:spacing w:line="276" w:lineRule="auto"/>
        <w:jc w:val="both"/>
        <w:rPr>
          <w:rFonts w:ascii="Tahoma" w:eastAsiaTheme="minorHAnsi" w:hAnsi="Tahoma" w:cs="Tahoma"/>
          <w:lang w:eastAsia="es-ES"/>
        </w:rPr>
      </w:pPr>
      <w:r w:rsidRPr="002A43E6">
        <w:rPr>
          <w:rFonts w:ascii="Tahoma" w:eastAsiaTheme="minorHAnsi" w:hAnsi="Tahoma" w:cs="Tahoma"/>
          <w:lang w:eastAsia="es-ES"/>
        </w:rPr>
        <w:tab/>
      </w:r>
      <w:r w:rsidR="001A2656" w:rsidRPr="002A43E6">
        <w:rPr>
          <w:rFonts w:ascii="Tahoma" w:eastAsiaTheme="minorHAnsi" w:hAnsi="Tahoma" w:cs="Tahoma"/>
          <w:lang w:eastAsia="es-ES"/>
        </w:rPr>
        <w:t>Para lo anterior, es necesario acudir al artículo 87 del Código General del Proceso a fin de integrar en debida forma el contradictorio</w:t>
      </w:r>
      <w:r w:rsidR="00D24AF1" w:rsidRPr="002A43E6">
        <w:rPr>
          <w:rFonts w:ascii="Tahoma" w:eastAsiaTheme="minorHAnsi" w:hAnsi="Tahoma" w:cs="Tahoma"/>
          <w:lang w:eastAsia="es-ES"/>
        </w:rPr>
        <w:t xml:space="preserve"> </w:t>
      </w:r>
      <w:r w:rsidR="001A2656" w:rsidRPr="002A43E6">
        <w:rPr>
          <w:rFonts w:ascii="Tahoma" w:eastAsiaTheme="minorHAnsi" w:hAnsi="Tahoma" w:cs="Tahoma"/>
          <w:lang w:eastAsia="es-ES"/>
        </w:rPr>
        <w:t xml:space="preserve">con los herederos </w:t>
      </w:r>
      <w:r w:rsidR="00E312A3" w:rsidRPr="002A43E6">
        <w:rPr>
          <w:rFonts w:ascii="Tahoma" w:eastAsiaTheme="minorHAnsi" w:hAnsi="Tahoma" w:cs="Tahoma"/>
          <w:lang w:eastAsia="es-ES"/>
        </w:rPr>
        <w:t xml:space="preserve">determinados e </w:t>
      </w:r>
      <w:r w:rsidR="001A2656" w:rsidRPr="002A43E6">
        <w:rPr>
          <w:rFonts w:ascii="Tahoma" w:eastAsiaTheme="minorHAnsi" w:hAnsi="Tahoma" w:cs="Tahoma"/>
          <w:lang w:eastAsia="es-ES"/>
        </w:rPr>
        <w:t xml:space="preserve">indeterminados </w:t>
      </w:r>
      <w:r w:rsidR="00E312A3" w:rsidRPr="002A43E6">
        <w:rPr>
          <w:rFonts w:ascii="Tahoma" w:eastAsiaTheme="minorHAnsi" w:hAnsi="Tahoma" w:cs="Tahoma"/>
          <w:lang w:eastAsia="es-ES"/>
        </w:rPr>
        <w:t xml:space="preserve">cuando estos se ignoren y el </w:t>
      </w:r>
      <w:r w:rsidR="006764EC" w:rsidRPr="002A43E6">
        <w:rPr>
          <w:rFonts w:ascii="Tahoma" w:eastAsiaTheme="minorHAnsi" w:hAnsi="Tahoma" w:cs="Tahoma"/>
          <w:lang w:eastAsia="es-ES"/>
        </w:rPr>
        <w:t>proceso de sucesión no se haya iniciado</w:t>
      </w:r>
      <w:r w:rsidR="00D24AF1" w:rsidRPr="002A43E6">
        <w:rPr>
          <w:rFonts w:ascii="Tahoma" w:eastAsiaTheme="minorHAnsi" w:hAnsi="Tahoma" w:cs="Tahoma"/>
          <w:lang w:eastAsia="es-ES"/>
        </w:rPr>
        <w:t xml:space="preserve">, </w:t>
      </w:r>
      <w:r w:rsidR="00211F53" w:rsidRPr="002A43E6">
        <w:rPr>
          <w:rFonts w:ascii="Tahoma" w:eastAsiaTheme="minorHAnsi" w:hAnsi="Tahoma" w:cs="Tahoma"/>
          <w:lang w:eastAsia="es-ES"/>
        </w:rPr>
        <w:t>o en</w:t>
      </w:r>
      <w:r w:rsidR="00D24AF1" w:rsidRPr="002A43E6">
        <w:rPr>
          <w:rFonts w:ascii="Tahoma" w:eastAsiaTheme="minorHAnsi" w:hAnsi="Tahoma" w:cs="Tahoma"/>
          <w:lang w:eastAsia="es-ES"/>
        </w:rPr>
        <w:t xml:space="preserve"> caso contrario</w:t>
      </w:r>
      <w:r w:rsidR="002E10EC" w:rsidRPr="002A43E6">
        <w:rPr>
          <w:rFonts w:ascii="Tahoma" w:eastAsiaTheme="minorHAnsi" w:hAnsi="Tahoma" w:cs="Tahoma"/>
          <w:lang w:eastAsia="es-ES"/>
        </w:rPr>
        <w:t xml:space="preserve"> </w:t>
      </w:r>
      <w:r w:rsidR="00D24AF1" w:rsidRPr="002A43E6">
        <w:rPr>
          <w:rFonts w:ascii="Tahoma" w:eastAsiaTheme="minorHAnsi" w:hAnsi="Tahoma" w:cs="Tahoma"/>
          <w:lang w:eastAsia="es-ES"/>
        </w:rPr>
        <w:t>c</w:t>
      </w:r>
      <w:r w:rsidR="00D919A1" w:rsidRPr="002A43E6">
        <w:rPr>
          <w:rFonts w:ascii="Tahoma" w:eastAsiaTheme="minorHAnsi" w:hAnsi="Tahoma" w:cs="Tahoma"/>
          <w:lang w:eastAsia="es-ES"/>
        </w:rPr>
        <w:t xml:space="preserve">on los </w:t>
      </w:r>
      <w:r w:rsidR="0098431F" w:rsidRPr="002A43E6">
        <w:rPr>
          <w:rFonts w:ascii="Tahoma" w:eastAsiaTheme="minorHAnsi" w:hAnsi="Tahoma" w:cs="Tahoma"/>
          <w:lang w:eastAsia="es-ES"/>
        </w:rPr>
        <w:t>herederos reconocidos, los demás conocidos</w:t>
      </w:r>
      <w:r w:rsidR="002F5368" w:rsidRPr="002A43E6">
        <w:rPr>
          <w:rFonts w:ascii="Tahoma" w:eastAsiaTheme="minorHAnsi" w:hAnsi="Tahoma" w:cs="Tahoma"/>
          <w:lang w:eastAsia="es-ES"/>
        </w:rPr>
        <w:t xml:space="preserve"> y </w:t>
      </w:r>
      <w:r w:rsidR="0098431F" w:rsidRPr="002A43E6">
        <w:rPr>
          <w:rFonts w:ascii="Tahoma" w:eastAsiaTheme="minorHAnsi" w:hAnsi="Tahoma" w:cs="Tahoma"/>
          <w:lang w:eastAsia="es-ES"/>
        </w:rPr>
        <w:t>los indeterminados</w:t>
      </w:r>
      <w:r w:rsidR="002F5368" w:rsidRPr="002A43E6">
        <w:rPr>
          <w:rFonts w:ascii="Tahoma" w:eastAsiaTheme="minorHAnsi" w:hAnsi="Tahoma" w:cs="Tahoma"/>
          <w:lang w:eastAsia="es-ES"/>
        </w:rPr>
        <w:t>.</w:t>
      </w:r>
    </w:p>
    <w:p w14:paraId="59832D60" w14:textId="77777777" w:rsidR="00252C32" w:rsidRPr="002A43E6" w:rsidRDefault="00252C32" w:rsidP="002A43E6">
      <w:pPr>
        <w:pStyle w:val="paragraph"/>
        <w:spacing w:before="0" w:beforeAutospacing="0" w:after="0" w:afterAutospacing="0" w:line="276" w:lineRule="auto"/>
        <w:ind w:firstLine="720"/>
        <w:jc w:val="both"/>
        <w:textAlignment w:val="baseline"/>
        <w:rPr>
          <w:rFonts w:ascii="Tahoma" w:hAnsi="Tahoma" w:cs="Tahoma"/>
          <w:lang w:val="es-ES"/>
        </w:rPr>
      </w:pPr>
    </w:p>
    <w:p w14:paraId="77CBEE7E" w14:textId="26D5422E" w:rsidR="000A0766" w:rsidRPr="002A43E6" w:rsidRDefault="000A0766" w:rsidP="002A43E6">
      <w:pPr>
        <w:pStyle w:val="paragraph"/>
        <w:numPr>
          <w:ilvl w:val="1"/>
          <w:numId w:val="15"/>
        </w:numPr>
        <w:spacing w:before="0" w:beforeAutospacing="0" w:after="0" w:afterAutospacing="0" w:line="276" w:lineRule="auto"/>
        <w:jc w:val="both"/>
        <w:textAlignment w:val="baseline"/>
        <w:rPr>
          <w:rFonts w:ascii="Tahoma" w:hAnsi="Tahoma" w:cs="Tahoma"/>
        </w:rPr>
      </w:pPr>
      <w:r w:rsidRPr="002A43E6">
        <w:rPr>
          <w:rFonts w:ascii="Tahoma" w:hAnsi="Tahoma" w:cs="Tahoma"/>
          <w:b/>
          <w:bCs/>
          <w:lang w:eastAsia="es-ES"/>
        </w:rPr>
        <w:t>Emplazamiento en la jurisdicción ordinaria laboral.</w:t>
      </w:r>
    </w:p>
    <w:p w14:paraId="324E197A" w14:textId="22EEA396" w:rsidR="00A452DF" w:rsidRPr="002A43E6" w:rsidRDefault="00A452DF" w:rsidP="002A43E6">
      <w:pPr>
        <w:spacing w:line="276" w:lineRule="auto"/>
        <w:jc w:val="both"/>
        <w:rPr>
          <w:rFonts w:ascii="Tahoma" w:hAnsi="Tahoma" w:cs="Tahoma"/>
          <w:lang w:eastAsia="es-ES"/>
        </w:rPr>
      </w:pPr>
    </w:p>
    <w:p w14:paraId="38067514" w14:textId="2BAF530D" w:rsidR="00A452DF" w:rsidRPr="002A43E6" w:rsidRDefault="00330320" w:rsidP="002A43E6">
      <w:pPr>
        <w:spacing w:line="276" w:lineRule="auto"/>
        <w:ind w:firstLine="555"/>
        <w:jc w:val="both"/>
        <w:rPr>
          <w:rFonts w:ascii="Tahoma" w:hAnsi="Tahoma" w:cs="Tahoma"/>
          <w:lang w:eastAsia="es-ES"/>
        </w:rPr>
      </w:pPr>
      <w:r w:rsidRPr="002A43E6">
        <w:rPr>
          <w:rFonts w:ascii="Tahoma" w:hAnsi="Tahoma" w:cs="Tahoma"/>
          <w:lang w:eastAsia="es-ES"/>
        </w:rPr>
        <w:t xml:space="preserve">De conformidad con el artículo 29 del Código Procesal del Trabajo y de la Seguridad Social que remite al artículo 318 del Código de Procedimiento Civil, hoy 108 del Código General del proceso, para que se entienda debidamente surtido el emplazamiento en materia laboral de personas determinadas e indeterminadas, previo </w:t>
      </w:r>
      <w:r w:rsidRPr="002A43E6">
        <w:rPr>
          <w:rFonts w:ascii="Tahoma" w:hAnsi="Tahoma" w:cs="Tahoma"/>
          <w:lang w:eastAsia="es-ES"/>
        </w:rPr>
        <w:lastRenderedPageBreak/>
        <w:t xml:space="preserve">nombramiento de curador </w:t>
      </w:r>
      <w:r w:rsidRPr="002A43E6">
        <w:rPr>
          <w:rFonts w:ascii="Tahoma" w:hAnsi="Tahoma" w:cs="Tahoma"/>
          <w:i/>
          <w:iCs/>
          <w:lang w:eastAsia="es-ES"/>
        </w:rPr>
        <w:t xml:space="preserve">ad litem, </w:t>
      </w:r>
      <w:r w:rsidRPr="002A43E6">
        <w:rPr>
          <w:rFonts w:ascii="Tahoma" w:hAnsi="Tahoma" w:cs="Tahoma"/>
          <w:lang w:eastAsia="es-ES"/>
        </w:rPr>
        <w:t>es necesario</w:t>
      </w:r>
      <w:r w:rsidRPr="002A43E6">
        <w:rPr>
          <w:rFonts w:ascii="Tahoma" w:hAnsi="Tahoma" w:cs="Tahoma"/>
          <w:i/>
          <w:iCs/>
          <w:lang w:eastAsia="es-ES"/>
        </w:rPr>
        <w:t xml:space="preserve"> </w:t>
      </w:r>
      <w:r w:rsidRPr="002A43E6">
        <w:rPr>
          <w:rFonts w:ascii="Tahoma" w:hAnsi="Tahoma" w:cs="Tahoma"/>
          <w:lang w:eastAsia="es-ES"/>
        </w:rPr>
        <w:t>observar a cabalidad los presupuestos establecidos en el artículo 108 del Código General del Proceso.</w:t>
      </w:r>
    </w:p>
    <w:p w14:paraId="0011F284" w14:textId="4B916ECB" w:rsidR="00330320" w:rsidRPr="002A43E6" w:rsidRDefault="00330320" w:rsidP="002A43E6">
      <w:pPr>
        <w:spacing w:line="276" w:lineRule="auto"/>
        <w:ind w:firstLine="555"/>
        <w:jc w:val="both"/>
        <w:rPr>
          <w:rFonts w:ascii="Tahoma" w:hAnsi="Tahoma" w:cs="Tahoma"/>
          <w:lang w:eastAsia="es-ES"/>
        </w:rPr>
      </w:pPr>
    </w:p>
    <w:p w14:paraId="1636060D" w14:textId="13757DAA" w:rsidR="007F2672" w:rsidRPr="002A43E6" w:rsidRDefault="00330320" w:rsidP="002A43E6">
      <w:pPr>
        <w:spacing w:line="276" w:lineRule="auto"/>
        <w:ind w:firstLine="555"/>
        <w:jc w:val="both"/>
        <w:rPr>
          <w:rFonts w:ascii="Tahoma" w:hAnsi="Tahoma" w:cs="Tahoma"/>
          <w:lang w:eastAsia="es-ES"/>
        </w:rPr>
      </w:pPr>
      <w:r w:rsidRPr="002A43E6">
        <w:rPr>
          <w:rFonts w:ascii="Tahoma" w:hAnsi="Tahoma" w:cs="Tahoma"/>
          <w:lang w:eastAsia="es-ES"/>
        </w:rPr>
        <w:t>Sin embargo, en</w:t>
      </w:r>
      <w:r w:rsidR="007F2672" w:rsidRPr="002A43E6">
        <w:rPr>
          <w:rFonts w:ascii="Tahoma" w:hAnsi="Tahoma" w:cs="Tahoma"/>
          <w:lang w:eastAsia="es-ES"/>
        </w:rPr>
        <w:t xml:space="preserve"> vigencia del </w:t>
      </w:r>
      <w:r w:rsidR="0038191F" w:rsidRPr="002A43E6">
        <w:rPr>
          <w:rFonts w:ascii="Tahoma" w:hAnsi="Tahoma" w:cs="Tahoma"/>
          <w:lang w:eastAsia="es-ES"/>
        </w:rPr>
        <w:t xml:space="preserve">artículo 10 del </w:t>
      </w:r>
      <w:r w:rsidR="007F2672" w:rsidRPr="002A43E6">
        <w:rPr>
          <w:rFonts w:ascii="Tahoma" w:hAnsi="Tahoma" w:cs="Tahoma"/>
          <w:lang w:eastAsia="es-ES"/>
        </w:rPr>
        <w:t>Decreto 806 de 2020</w:t>
      </w:r>
      <w:r w:rsidR="00B951C8" w:rsidRPr="002A43E6">
        <w:rPr>
          <w:rFonts w:ascii="Tahoma" w:hAnsi="Tahoma" w:cs="Tahoma"/>
          <w:lang w:eastAsia="es-ES"/>
        </w:rPr>
        <w:t xml:space="preserve">, </w:t>
      </w:r>
      <w:r w:rsidR="007F2672" w:rsidRPr="002A43E6">
        <w:rPr>
          <w:rFonts w:ascii="Tahoma" w:hAnsi="Tahoma" w:cs="Tahoma"/>
          <w:lang w:eastAsia="es-ES"/>
        </w:rPr>
        <w:t xml:space="preserve">en los procesos donde continuó su aplicación con sujeción al artículo 624 del Código General del Proceso, </w:t>
      </w:r>
      <w:r w:rsidR="00FE0232" w:rsidRPr="002A43E6">
        <w:rPr>
          <w:rFonts w:ascii="Tahoma" w:hAnsi="Tahoma" w:cs="Tahoma"/>
          <w:lang w:eastAsia="es-ES"/>
        </w:rPr>
        <w:t>y posteriormente con la adopción como legislación del primero a través de la Ley 2213 de 2022</w:t>
      </w:r>
      <w:r w:rsidR="00B951C8" w:rsidRPr="002A43E6">
        <w:rPr>
          <w:rFonts w:ascii="Tahoma" w:hAnsi="Tahoma" w:cs="Tahoma"/>
          <w:lang w:eastAsia="es-ES"/>
        </w:rPr>
        <w:t>,</w:t>
      </w:r>
      <w:r w:rsidR="00FE0232" w:rsidRPr="002A43E6">
        <w:rPr>
          <w:rFonts w:ascii="Tahoma" w:hAnsi="Tahoma" w:cs="Tahoma"/>
          <w:lang w:eastAsia="es-ES"/>
        </w:rPr>
        <w:t xml:space="preserve"> </w:t>
      </w:r>
      <w:r w:rsidR="0038191F" w:rsidRPr="002A43E6">
        <w:rPr>
          <w:rFonts w:ascii="Tahoma" w:hAnsi="Tahoma" w:cs="Tahoma"/>
          <w:lang w:eastAsia="es-ES"/>
        </w:rPr>
        <w:t>dicho e</w:t>
      </w:r>
      <w:r w:rsidR="007F2672" w:rsidRPr="002A43E6">
        <w:rPr>
          <w:rFonts w:ascii="Tahoma" w:hAnsi="Tahoma" w:cs="Tahoma"/>
          <w:lang w:eastAsia="es-ES"/>
        </w:rPr>
        <w:t>mplazamiento</w:t>
      </w:r>
      <w:r w:rsidR="0038191F" w:rsidRPr="002A43E6">
        <w:rPr>
          <w:rFonts w:ascii="Tahoma" w:hAnsi="Tahoma" w:cs="Tahoma"/>
          <w:lang w:eastAsia="es-ES"/>
        </w:rPr>
        <w:t xml:space="preserve"> </w:t>
      </w:r>
      <w:r w:rsidR="007F2672" w:rsidRPr="002A43E6">
        <w:rPr>
          <w:rFonts w:ascii="Tahoma" w:hAnsi="Tahoma" w:cs="Tahoma"/>
          <w:lang w:eastAsia="es-ES"/>
        </w:rPr>
        <w:t>se ent</w:t>
      </w:r>
      <w:r w:rsidR="00C166DB" w:rsidRPr="002A43E6">
        <w:rPr>
          <w:rFonts w:ascii="Tahoma" w:hAnsi="Tahoma" w:cs="Tahoma"/>
          <w:lang w:eastAsia="es-ES"/>
        </w:rPr>
        <w:t>iende</w:t>
      </w:r>
      <w:r w:rsidR="007F2672" w:rsidRPr="002A43E6">
        <w:rPr>
          <w:rFonts w:ascii="Tahoma" w:hAnsi="Tahoma" w:cs="Tahoma"/>
          <w:lang w:eastAsia="es-ES"/>
        </w:rPr>
        <w:t xml:space="preserve"> surtido únicamente </w:t>
      </w:r>
      <w:r w:rsidR="00C166DB" w:rsidRPr="002A43E6">
        <w:rPr>
          <w:rFonts w:ascii="Tahoma" w:hAnsi="Tahoma" w:cs="Tahoma"/>
          <w:lang w:eastAsia="es-ES"/>
        </w:rPr>
        <w:t xml:space="preserve">con la </w:t>
      </w:r>
      <w:r w:rsidR="00B951C8" w:rsidRPr="002A43E6">
        <w:rPr>
          <w:rFonts w:ascii="Tahoma" w:hAnsi="Tahoma" w:cs="Tahoma"/>
          <w:lang w:eastAsia="es-ES"/>
        </w:rPr>
        <w:t>p</w:t>
      </w:r>
      <w:r w:rsidR="00C166DB" w:rsidRPr="002A43E6">
        <w:rPr>
          <w:rFonts w:ascii="Tahoma" w:hAnsi="Tahoma" w:cs="Tahoma"/>
          <w:lang w:eastAsia="es-ES"/>
        </w:rPr>
        <w:t>ublicación en el R</w:t>
      </w:r>
      <w:r w:rsidR="007F2672" w:rsidRPr="002A43E6">
        <w:rPr>
          <w:rFonts w:ascii="Tahoma" w:hAnsi="Tahoma" w:cs="Tahoma"/>
          <w:lang w:eastAsia="es-ES"/>
        </w:rPr>
        <w:t xml:space="preserve">egistro </w:t>
      </w:r>
      <w:r w:rsidR="00C166DB" w:rsidRPr="002A43E6">
        <w:rPr>
          <w:rFonts w:ascii="Tahoma" w:hAnsi="Tahoma" w:cs="Tahoma"/>
          <w:lang w:eastAsia="es-ES"/>
        </w:rPr>
        <w:t>N</w:t>
      </w:r>
      <w:r w:rsidR="007F2672" w:rsidRPr="002A43E6">
        <w:rPr>
          <w:rFonts w:ascii="Tahoma" w:hAnsi="Tahoma" w:cs="Tahoma"/>
          <w:lang w:eastAsia="es-ES"/>
        </w:rPr>
        <w:t xml:space="preserve">acional de </w:t>
      </w:r>
      <w:r w:rsidR="00C166DB" w:rsidRPr="002A43E6">
        <w:rPr>
          <w:rFonts w:ascii="Tahoma" w:hAnsi="Tahoma" w:cs="Tahoma"/>
          <w:lang w:eastAsia="es-ES"/>
        </w:rPr>
        <w:t>P</w:t>
      </w:r>
      <w:r w:rsidR="007F2672" w:rsidRPr="002A43E6">
        <w:rPr>
          <w:rFonts w:ascii="Tahoma" w:hAnsi="Tahoma" w:cs="Tahoma"/>
          <w:lang w:eastAsia="es-ES"/>
        </w:rPr>
        <w:t xml:space="preserve">ersonas </w:t>
      </w:r>
      <w:r w:rsidR="00C166DB" w:rsidRPr="002A43E6">
        <w:rPr>
          <w:rFonts w:ascii="Tahoma" w:hAnsi="Tahoma" w:cs="Tahoma"/>
          <w:lang w:eastAsia="es-ES"/>
        </w:rPr>
        <w:t>E</w:t>
      </w:r>
      <w:r w:rsidR="007F2672" w:rsidRPr="002A43E6">
        <w:rPr>
          <w:rFonts w:ascii="Tahoma" w:hAnsi="Tahoma" w:cs="Tahoma"/>
          <w:lang w:eastAsia="es-ES"/>
        </w:rPr>
        <w:t>mplazadas, sin necesidad de publicación en un medio escrito</w:t>
      </w:r>
      <w:r w:rsidR="00BB57E1" w:rsidRPr="002A43E6">
        <w:rPr>
          <w:rFonts w:ascii="Tahoma" w:hAnsi="Tahoma" w:cs="Tahoma"/>
          <w:lang w:eastAsia="es-ES"/>
        </w:rPr>
        <w:t>.</w:t>
      </w:r>
    </w:p>
    <w:p w14:paraId="3251F941" w14:textId="0DD402A4" w:rsidR="00BB57E1" w:rsidRPr="002A43E6" w:rsidRDefault="00BB57E1" w:rsidP="002A43E6">
      <w:pPr>
        <w:spacing w:line="276" w:lineRule="auto"/>
        <w:ind w:firstLine="555"/>
        <w:jc w:val="both"/>
        <w:rPr>
          <w:rFonts w:ascii="Tahoma" w:hAnsi="Tahoma" w:cs="Tahoma"/>
          <w:lang w:eastAsia="es-ES"/>
        </w:rPr>
      </w:pPr>
    </w:p>
    <w:p w14:paraId="412606C1" w14:textId="15AB380B" w:rsidR="00504A48" w:rsidRPr="002A43E6" w:rsidRDefault="00BB57E1" w:rsidP="002A43E6">
      <w:pPr>
        <w:spacing w:line="276" w:lineRule="auto"/>
        <w:ind w:firstLine="555"/>
        <w:jc w:val="both"/>
        <w:rPr>
          <w:rFonts w:ascii="Tahoma" w:hAnsi="Tahoma" w:cs="Tahoma"/>
          <w:lang w:eastAsia="es-ES"/>
        </w:rPr>
      </w:pPr>
      <w:r w:rsidRPr="002A43E6">
        <w:rPr>
          <w:rFonts w:ascii="Tahoma" w:hAnsi="Tahoma" w:cs="Tahoma"/>
          <w:lang w:eastAsia="es-ES"/>
        </w:rPr>
        <w:t xml:space="preserve">Tal Registro Nacional, contemplado inicialmente en el </w:t>
      </w:r>
      <w:r w:rsidR="00A05E2E" w:rsidRPr="002A43E6">
        <w:rPr>
          <w:rFonts w:ascii="Tahoma" w:hAnsi="Tahoma" w:cs="Tahoma"/>
          <w:lang w:eastAsia="es-ES"/>
        </w:rPr>
        <w:t>Código General del proceso</w:t>
      </w:r>
      <w:r w:rsidR="00FA6FF4" w:rsidRPr="002A43E6">
        <w:rPr>
          <w:rFonts w:ascii="Tahoma" w:hAnsi="Tahoma" w:cs="Tahoma"/>
          <w:lang w:eastAsia="es-ES"/>
        </w:rPr>
        <w:t>, fue reglamentado</w:t>
      </w:r>
      <w:r w:rsidR="00A05E2E" w:rsidRPr="002A43E6">
        <w:rPr>
          <w:rFonts w:ascii="Tahoma" w:hAnsi="Tahoma" w:cs="Tahoma"/>
          <w:lang w:eastAsia="es-ES"/>
        </w:rPr>
        <w:t xml:space="preserve"> a través del </w:t>
      </w:r>
      <w:r w:rsidR="00500158" w:rsidRPr="002A43E6">
        <w:rPr>
          <w:rFonts w:ascii="Tahoma" w:hAnsi="Tahoma" w:cs="Tahoma"/>
          <w:lang w:eastAsia="es-ES"/>
        </w:rPr>
        <w:t xml:space="preserve">artículo 5° del </w:t>
      </w:r>
      <w:r w:rsidR="00A05E2E" w:rsidRPr="002A43E6">
        <w:rPr>
          <w:rFonts w:ascii="Tahoma" w:hAnsi="Tahoma" w:cs="Tahoma"/>
          <w:lang w:eastAsia="es-ES"/>
        </w:rPr>
        <w:t>Acuerdo No. PSAA14-10118 del 4 de marzo de 2014</w:t>
      </w:r>
      <w:r w:rsidR="00032BC5" w:rsidRPr="002A43E6">
        <w:rPr>
          <w:rFonts w:ascii="Tahoma" w:hAnsi="Tahoma" w:cs="Tahoma"/>
          <w:lang w:eastAsia="es-ES"/>
        </w:rPr>
        <w:t xml:space="preserve">, </w:t>
      </w:r>
      <w:r w:rsidR="00FA6FF4" w:rsidRPr="002A43E6">
        <w:rPr>
          <w:rFonts w:ascii="Tahoma" w:hAnsi="Tahoma" w:cs="Tahoma"/>
          <w:lang w:eastAsia="es-ES"/>
        </w:rPr>
        <w:t xml:space="preserve">donde en atención al artículo </w:t>
      </w:r>
      <w:r w:rsidR="0091379F" w:rsidRPr="002A43E6">
        <w:rPr>
          <w:rFonts w:ascii="Tahoma" w:hAnsi="Tahoma" w:cs="Tahoma"/>
          <w:lang w:eastAsia="es-ES"/>
        </w:rPr>
        <w:t xml:space="preserve">1° la creación se encontraría a cargo de la Sala Administrativa del Consejo Superior de la Judicatura, la publicación </w:t>
      </w:r>
      <w:r w:rsidR="007E2274" w:rsidRPr="002A43E6">
        <w:rPr>
          <w:rFonts w:ascii="Tahoma" w:hAnsi="Tahoma" w:cs="Tahoma"/>
          <w:lang w:eastAsia="es-ES"/>
        </w:rPr>
        <w:t xml:space="preserve">en cabeza </w:t>
      </w:r>
      <w:r w:rsidR="0091379F" w:rsidRPr="002A43E6">
        <w:rPr>
          <w:rFonts w:ascii="Tahoma" w:hAnsi="Tahoma" w:cs="Tahoma"/>
          <w:lang w:eastAsia="es-ES"/>
        </w:rPr>
        <w:t>del Centro de Documentación Judicial- CENDOJ, y la inclusión</w:t>
      </w:r>
      <w:r w:rsidR="007E2274" w:rsidRPr="002A43E6">
        <w:rPr>
          <w:rFonts w:ascii="Tahoma" w:hAnsi="Tahoma" w:cs="Tahoma"/>
          <w:lang w:eastAsia="es-ES"/>
        </w:rPr>
        <w:t xml:space="preserve"> de la información debía realizarse por el respectivo</w:t>
      </w:r>
      <w:r w:rsidR="0091379F" w:rsidRPr="002A43E6">
        <w:rPr>
          <w:rFonts w:ascii="Tahoma" w:hAnsi="Tahoma" w:cs="Tahoma"/>
          <w:lang w:eastAsia="es-ES"/>
        </w:rPr>
        <w:t xml:space="preserve"> despacho judicial</w:t>
      </w:r>
      <w:r w:rsidR="00E119FE" w:rsidRPr="002A43E6">
        <w:rPr>
          <w:rFonts w:ascii="Tahoma" w:hAnsi="Tahoma" w:cs="Tahoma"/>
          <w:lang w:eastAsia="es-ES"/>
        </w:rPr>
        <w:t>.</w:t>
      </w:r>
      <w:r w:rsidR="00CA645E" w:rsidRPr="002A43E6">
        <w:rPr>
          <w:rFonts w:ascii="Tahoma" w:hAnsi="Tahoma" w:cs="Tahoma"/>
          <w:lang w:eastAsia="es-ES"/>
        </w:rPr>
        <w:t xml:space="preserve"> Asimismo, </w:t>
      </w:r>
      <w:r w:rsidR="00762C5F" w:rsidRPr="002A43E6">
        <w:rPr>
          <w:rFonts w:ascii="Tahoma" w:hAnsi="Tahoma" w:cs="Tahoma"/>
          <w:lang w:eastAsia="es-ES"/>
        </w:rPr>
        <w:t xml:space="preserve">el artículo 9° radicó en la Unidad de Informática de la Dirección Ejecutiva de Administración Judicial la responsabilidad de crear la base de datos de </w:t>
      </w:r>
      <w:r w:rsidR="00344393" w:rsidRPr="002A43E6">
        <w:rPr>
          <w:rFonts w:ascii="Tahoma" w:hAnsi="Tahoma" w:cs="Tahoma"/>
          <w:lang w:eastAsia="es-ES"/>
        </w:rPr>
        <w:t>r</w:t>
      </w:r>
      <w:r w:rsidR="00762C5F" w:rsidRPr="002A43E6">
        <w:rPr>
          <w:rFonts w:ascii="Tahoma" w:hAnsi="Tahoma" w:cs="Tahoma"/>
          <w:lang w:eastAsia="es-ES"/>
        </w:rPr>
        <w:t xml:space="preserve">egistros nacionales </w:t>
      </w:r>
      <w:r w:rsidR="008A139E" w:rsidRPr="002A43E6">
        <w:rPr>
          <w:rFonts w:ascii="Tahoma" w:hAnsi="Tahoma" w:cs="Tahoma"/>
          <w:lang w:eastAsia="es-ES"/>
        </w:rPr>
        <w:t>contemplados en los artículos 108, 293, 375, 383, 490 y 618</w:t>
      </w:r>
      <w:r w:rsidR="00BA5186" w:rsidRPr="002A43E6">
        <w:rPr>
          <w:rFonts w:ascii="Tahoma" w:hAnsi="Tahoma" w:cs="Tahoma"/>
          <w:lang w:eastAsia="es-ES"/>
        </w:rPr>
        <w:t xml:space="preserve"> del </w:t>
      </w:r>
      <w:r w:rsidR="00762C5F" w:rsidRPr="002A43E6">
        <w:rPr>
          <w:rFonts w:ascii="Tahoma" w:hAnsi="Tahoma" w:cs="Tahoma"/>
          <w:lang w:eastAsia="es-ES"/>
        </w:rPr>
        <w:t>Código General del Proceso, garantizando la uniformidad y actualización de los datos.</w:t>
      </w:r>
    </w:p>
    <w:p w14:paraId="73B0553C" w14:textId="4EC2DA94" w:rsidR="00FD035E" w:rsidRPr="002A43E6" w:rsidRDefault="00FD035E" w:rsidP="002A43E6">
      <w:pPr>
        <w:spacing w:line="276" w:lineRule="auto"/>
        <w:ind w:firstLine="555"/>
        <w:jc w:val="both"/>
        <w:rPr>
          <w:rFonts w:ascii="Tahoma" w:hAnsi="Tahoma" w:cs="Tahoma"/>
          <w:lang w:eastAsia="es-ES"/>
        </w:rPr>
      </w:pPr>
    </w:p>
    <w:p w14:paraId="24483C4E" w14:textId="5F0BE49E" w:rsidR="00FD035E" w:rsidRPr="002A43E6" w:rsidRDefault="00FD035E" w:rsidP="002A43E6">
      <w:pPr>
        <w:spacing w:line="276" w:lineRule="auto"/>
        <w:ind w:firstLine="555"/>
        <w:jc w:val="both"/>
        <w:rPr>
          <w:rFonts w:ascii="Tahoma" w:hAnsi="Tahoma" w:cs="Tahoma"/>
          <w:lang w:eastAsia="es-ES"/>
        </w:rPr>
      </w:pPr>
      <w:r w:rsidRPr="002A43E6">
        <w:rPr>
          <w:rFonts w:ascii="Tahoma" w:hAnsi="Tahoma" w:cs="Tahoma"/>
          <w:lang w:eastAsia="es-ES"/>
        </w:rPr>
        <w:t xml:space="preserve">Acto seguido, dispuso el artículo 3° </w:t>
      </w:r>
      <w:r w:rsidR="00375B4F" w:rsidRPr="002A43E6">
        <w:rPr>
          <w:rFonts w:ascii="Tahoma" w:hAnsi="Tahoma" w:cs="Tahoma"/>
          <w:lang w:eastAsia="es-ES"/>
        </w:rPr>
        <w:t xml:space="preserve">la publicidad de </w:t>
      </w:r>
      <w:r w:rsidRPr="002A43E6">
        <w:rPr>
          <w:rFonts w:ascii="Tahoma" w:hAnsi="Tahoma" w:cs="Tahoma"/>
          <w:lang w:eastAsia="es-ES"/>
        </w:rPr>
        <w:t xml:space="preserve">los </w:t>
      </w:r>
      <w:r w:rsidR="009210A6" w:rsidRPr="002A43E6">
        <w:rPr>
          <w:rFonts w:ascii="Tahoma" w:hAnsi="Tahoma" w:cs="Tahoma"/>
          <w:lang w:eastAsia="es-ES"/>
        </w:rPr>
        <w:t>Registros Nacionales a través de la página web de la Rama Judicial: www.ramajudicial.gov.co, para facilitar su acceso, consulta y disponibilidad de la información en todo momento</w:t>
      </w:r>
      <w:r w:rsidR="00ED0321" w:rsidRPr="002A43E6">
        <w:rPr>
          <w:rFonts w:ascii="Tahoma" w:hAnsi="Tahoma" w:cs="Tahoma"/>
          <w:lang w:eastAsia="es-ES"/>
        </w:rPr>
        <w:t>, con base en los datos del Sistema de Gestión de Procesos Justicia XXI</w:t>
      </w:r>
      <w:r w:rsidR="005702B0" w:rsidRPr="002A43E6">
        <w:rPr>
          <w:rFonts w:ascii="Tahoma" w:hAnsi="Tahoma" w:cs="Tahoma"/>
          <w:lang w:eastAsia="es-ES"/>
        </w:rPr>
        <w:t xml:space="preserve">, visibles </w:t>
      </w:r>
      <w:r w:rsidR="00762C5F" w:rsidRPr="002A43E6">
        <w:rPr>
          <w:rFonts w:ascii="Tahoma" w:hAnsi="Tahoma" w:cs="Tahoma"/>
          <w:lang w:eastAsia="es-ES"/>
        </w:rPr>
        <w:t>en los diferentes medios de consulta existentes en la Rama Judicial</w:t>
      </w:r>
      <w:r w:rsidR="00B33054" w:rsidRPr="002A43E6">
        <w:rPr>
          <w:rFonts w:ascii="Tahoma" w:hAnsi="Tahoma" w:cs="Tahoma"/>
          <w:lang w:eastAsia="es-ES"/>
        </w:rPr>
        <w:t>, esto es, Consulta de Procesos</w:t>
      </w:r>
      <w:r w:rsidR="0085588B" w:rsidRPr="002A43E6">
        <w:rPr>
          <w:rStyle w:val="Refdenotaalpie"/>
          <w:rFonts w:ascii="Tahoma" w:hAnsi="Tahoma" w:cs="Tahoma"/>
          <w:lang w:eastAsia="es-ES"/>
        </w:rPr>
        <w:footnoteReference w:id="2"/>
      </w:r>
      <w:r w:rsidR="00B33054" w:rsidRPr="002A43E6">
        <w:rPr>
          <w:rFonts w:ascii="Tahoma" w:hAnsi="Tahoma" w:cs="Tahoma"/>
          <w:lang w:eastAsia="es-ES"/>
        </w:rPr>
        <w:t>, consulta de procesos</w:t>
      </w:r>
      <w:r w:rsidR="004418B0" w:rsidRPr="002A43E6">
        <w:rPr>
          <w:rFonts w:ascii="Tahoma" w:hAnsi="Tahoma" w:cs="Tahoma"/>
          <w:lang w:eastAsia="es-ES"/>
        </w:rPr>
        <w:t xml:space="preserve"> de Justicia XXI Web</w:t>
      </w:r>
      <w:r w:rsidR="0085588B" w:rsidRPr="002A43E6">
        <w:rPr>
          <w:rStyle w:val="Refdenotaalpie"/>
          <w:rFonts w:ascii="Tahoma" w:hAnsi="Tahoma" w:cs="Tahoma"/>
          <w:lang w:eastAsia="es-ES"/>
        </w:rPr>
        <w:footnoteReference w:id="3"/>
      </w:r>
      <w:r w:rsidR="004418B0" w:rsidRPr="002A43E6">
        <w:rPr>
          <w:rFonts w:ascii="Tahoma" w:hAnsi="Tahoma" w:cs="Tahoma"/>
          <w:lang w:eastAsia="es-ES"/>
        </w:rPr>
        <w:t xml:space="preserve">, </w:t>
      </w:r>
      <w:r w:rsidR="006D6064" w:rsidRPr="002A43E6">
        <w:rPr>
          <w:rFonts w:ascii="Tahoma" w:hAnsi="Tahoma" w:cs="Tahoma"/>
          <w:lang w:eastAsia="es-ES"/>
        </w:rPr>
        <w:t>consulta de Juzgados de Ejecución de Penas y Medidas de Seguridad</w:t>
      </w:r>
      <w:r w:rsidR="0085588B" w:rsidRPr="002A43E6">
        <w:rPr>
          <w:rStyle w:val="Refdenotaalpie"/>
          <w:rFonts w:ascii="Tahoma" w:hAnsi="Tahoma" w:cs="Tahoma"/>
          <w:i/>
          <w:iCs/>
          <w:lang w:eastAsia="es-ES"/>
        </w:rPr>
        <w:footnoteReference w:id="4"/>
      </w:r>
      <w:r w:rsidR="00AD5B02" w:rsidRPr="002A43E6">
        <w:rPr>
          <w:rFonts w:ascii="Tahoma" w:hAnsi="Tahoma" w:cs="Tahoma"/>
          <w:lang w:eastAsia="es-ES"/>
        </w:rPr>
        <w:t>,</w:t>
      </w:r>
      <w:r w:rsidR="00762C5F" w:rsidRPr="002A43E6">
        <w:rPr>
          <w:rFonts w:ascii="Tahoma" w:hAnsi="Tahoma" w:cs="Tahoma"/>
          <w:lang w:eastAsia="es-ES"/>
        </w:rPr>
        <w:t xml:space="preserve"> unificados en la </w:t>
      </w:r>
      <w:r w:rsidR="00E526E9" w:rsidRPr="002A43E6">
        <w:rPr>
          <w:rFonts w:ascii="Tahoma" w:hAnsi="Tahoma" w:cs="Tahoma"/>
          <w:b/>
          <w:bCs/>
          <w:lang w:eastAsia="es-ES"/>
        </w:rPr>
        <w:t xml:space="preserve">Consulta de Procesos Nacional Unificada (CPNU), </w:t>
      </w:r>
      <w:r w:rsidR="00092B7E" w:rsidRPr="002A43E6">
        <w:rPr>
          <w:rFonts w:ascii="Tahoma" w:hAnsi="Tahoma" w:cs="Tahoma"/>
          <w:lang w:eastAsia="es-ES"/>
        </w:rPr>
        <w:t>asequible a través de la siguiente URL: </w:t>
      </w:r>
      <w:hyperlink r:id="rId11" w:tgtFrame="_blank" w:history="1">
        <w:r w:rsidR="00092B7E" w:rsidRPr="002A43E6">
          <w:rPr>
            <w:rStyle w:val="Hipervnculo"/>
            <w:rFonts w:ascii="Tahoma" w:hAnsi="Tahoma" w:cs="Tahoma"/>
            <w:i/>
            <w:iCs/>
            <w:lang w:eastAsia="es-ES"/>
          </w:rPr>
          <w:t>https://consultaprocesos.ramajudicial.gov.co/</w:t>
        </w:r>
      </w:hyperlink>
      <w:r w:rsidR="005E2C92" w:rsidRPr="002A43E6">
        <w:rPr>
          <w:rFonts w:ascii="Tahoma" w:hAnsi="Tahoma" w:cs="Tahoma"/>
          <w:lang w:eastAsia="es-ES"/>
        </w:rPr>
        <w:t xml:space="preserve">, conforme se explica en el instructivo publicado en </w:t>
      </w:r>
      <w:r w:rsidR="00EE30C6" w:rsidRPr="002A43E6">
        <w:rPr>
          <w:rFonts w:ascii="Tahoma" w:hAnsi="Tahoma" w:cs="Tahoma"/>
          <w:lang w:eastAsia="es-ES"/>
        </w:rPr>
        <w:t>página web de la misma entidad (https://consultaprocesos.ramajudicial.gov.co/manual/).</w:t>
      </w:r>
    </w:p>
    <w:p w14:paraId="38C7B41F" w14:textId="35DD5D16" w:rsidR="007E2274" w:rsidRPr="002A43E6" w:rsidRDefault="007E2274" w:rsidP="002A43E6">
      <w:pPr>
        <w:spacing w:line="276" w:lineRule="auto"/>
        <w:jc w:val="both"/>
        <w:rPr>
          <w:rFonts w:ascii="Tahoma" w:hAnsi="Tahoma" w:cs="Tahoma"/>
          <w:lang w:eastAsia="es-ES"/>
        </w:rPr>
      </w:pPr>
    </w:p>
    <w:p w14:paraId="0848ECBD" w14:textId="2582D8B2" w:rsidR="00FA127F" w:rsidRPr="002A43E6" w:rsidRDefault="00FA127F" w:rsidP="002A43E6">
      <w:pPr>
        <w:pStyle w:val="Prrafodelista"/>
        <w:numPr>
          <w:ilvl w:val="1"/>
          <w:numId w:val="15"/>
        </w:numPr>
        <w:spacing w:line="276" w:lineRule="auto"/>
        <w:jc w:val="both"/>
        <w:rPr>
          <w:rFonts w:ascii="Tahoma" w:hAnsi="Tahoma" w:cs="Tahoma"/>
          <w:b/>
          <w:bCs/>
          <w:lang w:eastAsia="es-ES"/>
        </w:rPr>
      </w:pPr>
      <w:r w:rsidRPr="002A43E6">
        <w:rPr>
          <w:rFonts w:ascii="Tahoma" w:hAnsi="Tahoma" w:cs="Tahoma"/>
          <w:b/>
          <w:bCs/>
          <w:lang w:eastAsia="es-ES"/>
        </w:rPr>
        <w:t xml:space="preserve">Caso concreto. </w:t>
      </w:r>
    </w:p>
    <w:p w14:paraId="079F9A10" w14:textId="10E603A6" w:rsidR="00FA127F" w:rsidRPr="002A43E6" w:rsidRDefault="00FA127F" w:rsidP="002A43E6">
      <w:pPr>
        <w:spacing w:line="276" w:lineRule="auto"/>
        <w:jc w:val="both"/>
        <w:rPr>
          <w:rFonts w:ascii="Tahoma" w:hAnsi="Tahoma" w:cs="Tahoma"/>
          <w:lang w:eastAsia="es-ES"/>
        </w:rPr>
      </w:pPr>
    </w:p>
    <w:p w14:paraId="59E083D2" w14:textId="67458FC2" w:rsidR="00FA127F" w:rsidRPr="002A43E6" w:rsidRDefault="00FA127F" w:rsidP="002A43E6">
      <w:pPr>
        <w:spacing w:line="276" w:lineRule="auto"/>
        <w:ind w:firstLine="708"/>
        <w:jc w:val="both"/>
        <w:rPr>
          <w:rFonts w:ascii="Tahoma" w:hAnsi="Tahoma" w:cs="Tahoma"/>
        </w:rPr>
      </w:pPr>
      <w:r w:rsidRPr="002A43E6">
        <w:rPr>
          <w:rFonts w:ascii="Tahoma" w:eastAsia="Tahoma" w:hAnsi="Tahoma" w:cs="Tahoma"/>
          <w:bCs/>
          <w:color w:val="000000"/>
        </w:rPr>
        <w:t xml:space="preserve">El </w:t>
      </w:r>
      <w:r w:rsidR="00B81607" w:rsidRPr="002A43E6">
        <w:rPr>
          <w:rFonts w:ascii="Tahoma" w:eastAsia="Tahoma" w:hAnsi="Tahoma" w:cs="Tahoma"/>
          <w:bCs/>
          <w:color w:val="000000"/>
        </w:rPr>
        <w:t>26 de mayo de 2016</w:t>
      </w:r>
      <w:r w:rsidRPr="002A43E6">
        <w:rPr>
          <w:rFonts w:ascii="Tahoma" w:eastAsia="Tahoma" w:hAnsi="Tahoma" w:cs="Tahoma"/>
          <w:bCs/>
          <w:color w:val="000000"/>
        </w:rPr>
        <w:t xml:space="preserve">, </w:t>
      </w:r>
      <w:r w:rsidR="001832DA" w:rsidRPr="002A43E6">
        <w:rPr>
          <w:rFonts w:ascii="Tahoma" w:hAnsi="Tahoma" w:cs="Tahoma"/>
          <w:lang w:eastAsia="es-ES"/>
        </w:rPr>
        <w:t>el señor Octavio de Jesús Morales</w:t>
      </w:r>
      <w:r w:rsidRPr="002A43E6">
        <w:rPr>
          <w:rFonts w:ascii="Tahoma" w:hAnsi="Tahoma" w:cs="Tahoma"/>
          <w:lang w:eastAsia="es-ES"/>
        </w:rPr>
        <w:t xml:space="preserve"> instauró demanda ordinaria laboral</w:t>
      </w:r>
      <w:r w:rsidR="00B81607" w:rsidRPr="002A43E6">
        <w:rPr>
          <w:rStyle w:val="Refdenotaalpie"/>
          <w:rFonts w:ascii="Tahoma" w:hAnsi="Tahoma" w:cs="Tahoma"/>
          <w:lang w:eastAsia="es-ES"/>
        </w:rPr>
        <w:footnoteReference w:id="5"/>
      </w:r>
      <w:r w:rsidR="00FA557D" w:rsidRPr="002A43E6">
        <w:rPr>
          <w:rFonts w:ascii="Tahoma" w:hAnsi="Tahoma" w:cs="Tahoma"/>
          <w:lang w:eastAsia="es-ES"/>
        </w:rPr>
        <w:t xml:space="preserve"> en contra de la Cooperativa de Transportadores de Belén de Umbría,</w:t>
      </w:r>
      <w:r w:rsidRPr="002A43E6">
        <w:rPr>
          <w:rFonts w:ascii="Tahoma" w:hAnsi="Tahoma" w:cs="Tahoma"/>
          <w:lang w:eastAsia="es-ES"/>
        </w:rPr>
        <w:t xml:space="preserve"> con el fin de reclamar</w:t>
      </w:r>
      <w:r w:rsidRPr="002A43E6">
        <w:rPr>
          <w:rFonts w:ascii="Tahoma" w:hAnsi="Tahoma" w:cs="Tahoma"/>
        </w:rPr>
        <w:t xml:space="preserve"> </w:t>
      </w:r>
      <w:r w:rsidR="00661764" w:rsidRPr="002A43E6">
        <w:rPr>
          <w:rFonts w:ascii="Tahoma" w:hAnsi="Tahoma" w:cs="Tahoma"/>
        </w:rPr>
        <w:t xml:space="preserve">la existencia de un contrato de trabajo, y por consiguiente el pago de </w:t>
      </w:r>
      <w:r w:rsidR="008208BC" w:rsidRPr="002A43E6">
        <w:rPr>
          <w:rFonts w:ascii="Tahoma" w:hAnsi="Tahoma" w:cs="Tahoma"/>
        </w:rPr>
        <w:t xml:space="preserve">prestaciones sociales, sanción moratoria por el no pagó de cesantías, aportes a la caja de compensación familia, pensión de vejez, </w:t>
      </w:r>
      <w:r w:rsidR="006140FC" w:rsidRPr="002A43E6">
        <w:rPr>
          <w:rFonts w:ascii="Tahoma" w:hAnsi="Tahoma" w:cs="Tahoma"/>
        </w:rPr>
        <w:t>dotación, trabajo suplementario</w:t>
      </w:r>
      <w:r w:rsidR="00906833" w:rsidRPr="002A43E6">
        <w:rPr>
          <w:rFonts w:ascii="Tahoma" w:hAnsi="Tahoma" w:cs="Tahoma"/>
        </w:rPr>
        <w:t xml:space="preserve">, </w:t>
      </w:r>
      <w:r w:rsidR="006140FC" w:rsidRPr="002A43E6">
        <w:rPr>
          <w:rFonts w:ascii="Tahoma" w:hAnsi="Tahoma" w:cs="Tahoma"/>
        </w:rPr>
        <w:t xml:space="preserve">recargos, </w:t>
      </w:r>
      <w:r w:rsidR="00906833" w:rsidRPr="002A43E6">
        <w:rPr>
          <w:rFonts w:ascii="Tahoma" w:hAnsi="Tahoma" w:cs="Tahoma"/>
        </w:rPr>
        <w:t>entre otros.</w:t>
      </w:r>
    </w:p>
    <w:p w14:paraId="152DF173" w14:textId="77777777" w:rsidR="00FA127F" w:rsidRPr="002A43E6" w:rsidRDefault="00FA127F" w:rsidP="002A43E6">
      <w:pPr>
        <w:spacing w:line="276" w:lineRule="auto"/>
        <w:ind w:firstLine="708"/>
        <w:jc w:val="both"/>
        <w:rPr>
          <w:rFonts w:ascii="Tahoma" w:hAnsi="Tahoma" w:cs="Tahoma"/>
        </w:rPr>
      </w:pPr>
    </w:p>
    <w:p w14:paraId="4124DEA6" w14:textId="7626BD37" w:rsidR="00FA127F" w:rsidRPr="002A43E6" w:rsidRDefault="00FA127F" w:rsidP="002A43E6">
      <w:pPr>
        <w:spacing w:line="276" w:lineRule="auto"/>
        <w:ind w:firstLine="708"/>
        <w:jc w:val="both"/>
        <w:rPr>
          <w:rFonts w:ascii="Tahoma" w:hAnsi="Tahoma" w:cs="Tahoma"/>
          <w:lang w:eastAsia="es-ES"/>
        </w:rPr>
      </w:pPr>
      <w:r w:rsidRPr="002A43E6">
        <w:rPr>
          <w:rFonts w:ascii="Tahoma" w:hAnsi="Tahoma" w:cs="Tahoma"/>
        </w:rPr>
        <w:lastRenderedPageBreak/>
        <w:t>Admitida la demanda, se dispuso su traslado</w:t>
      </w:r>
      <w:r w:rsidRPr="002A43E6">
        <w:rPr>
          <w:rFonts w:ascii="Tahoma" w:hAnsi="Tahoma" w:cs="Tahoma"/>
          <w:vertAlign w:val="superscript"/>
        </w:rPr>
        <w:footnoteReference w:id="6"/>
      </w:r>
      <w:r w:rsidR="00117930" w:rsidRPr="002A43E6">
        <w:rPr>
          <w:rFonts w:ascii="Tahoma" w:hAnsi="Tahoma" w:cs="Tahoma"/>
        </w:rPr>
        <w:t xml:space="preserve"> a la demandada </w:t>
      </w:r>
      <w:r w:rsidR="00117930" w:rsidRPr="002A43E6">
        <w:rPr>
          <w:rFonts w:ascii="Tahoma" w:hAnsi="Tahoma" w:cs="Tahoma"/>
          <w:lang w:eastAsia="es-ES"/>
        </w:rPr>
        <w:t xml:space="preserve">Cooperativa de Transportadores de Belén de Umbría, y en la audiencia de que trata el artículo 77 del Código Procesal del Trabajo y de la Seguridad Social el juez ordenó integrar el contradictorio con </w:t>
      </w:r>
      <w:r w:rsidR="00927519" w:rsidRPr="002A43E6">
        <w:rPr>
          <w:rFonts w:ascii="Tahoma" w:hAnsi="Tahoma" w:cs="Tahoma"/>
          <w:lang w:eastAsia="es-ES"/>
        </w:rPr>
        <w:t xml:space="preserve">aquellas personas que de alguna u otra </w:t>
      </w:r>
      <w:r w:rsidR="00B306E7" w:rsidRPr="002A43E6">
        <w:rPr>
          <w:rFonts w:ascii="Tahoma" w:hAnsi="Tahoma" w:cs="Tahoma"/>
          <w:lang w:eastAsia="es-ES"/>
        </w:rPr>
        <w:t>manera tuvieron que ver con la posible relación laboral, esto es los dueños de los vehículos afiliados a la Cooperativa donde el demandante fue su conductor</w:t>
      </w:r>
      <w:r w:rsidR="007151EC" w:rsidRPr="002A43E6">
        <w:rPr>
          <w:rStyle w:val="Refdenotaalpie"/>
          <w:rFonts w:ascii="Tahoma" w:hAnsi="Tahoma" w:cs="Tahoma"/>
          <w:lang w:eastAsia="es-ES"/>
        </w:rPr>
        <w:footnoteReference w:id="7"/>
      </w:r>
      <w:r w:rsidR="001508D6" w:rsidRPr="002A43E6">
        <w:rPr>
          <w:rFonts w:ascii="Tahoma" w:hAnsi="Tahoma" w:cs="Tahoma"/>
          <w:lang w:eastAsia="es-ES"/>
        </w:rPr>
        <w:t>;</w:t>
      </w:r>
      <w:r w:rsidR="00CE326E" w:rsidRPr="002A43E6">
        <w:rPr>
          <w:rFonts w:ascii="Tahoma" w:hAnsi="Tahoma" w:cs="Tahoma"/>
          <w:lang w:eastAsia="es-ES"/>
        </w:rPr>
        <w:t xml:space="preserve"> para el efecto </w:t>
      </w:r>
      <w:r w:rsidR="000F2B1D" w:rsidRPr="002A43E6">
        <w:rPr>
          <w:rFonts w:ascii="Tahoma" w:hAnsi="Tahoma" w:cs="Tahoma"/>
          <w:lang w:eastAsia="es-ES"/>
        </w:rPr>
        <w:t>el demandante identificó como tales a los señores</w:t>
      </w:r>
      <w:r w:rsidR="000D379C" w:rsidRPr="002A43E6">
        <w:rPr>
          <w:rFonts w:ascii="Tahoma" w:hAnsi="Tahoma" w:cs="Tahoma"/>
          <w:lang w:eastAsia="es-ES"/>
        </w:rPr>
        <w:t xml:space="preserve"> </w:t>
      </w:r>
      <w:r w:rsidR="000F2B1D" w:rsidRPr="002A43E6">
        <w:rPr>
          <w:rFonts w:ascii="Tahoma" w:hAnsi="Tahoma" w:cs="Tahoma"/>
          <w:lang w:eastAsia="es-ES"/>
        </w:rPr>
        <w:t xml:space="preserve">Nelson Rendón, </w:t>
      </w:r>
      <w:r w:rsidR="00510FBE" w:rsidRPr="002A43E6">
        <w:rPr>
          <w:rFonts w:ascii="Tahoma" w:hAnsi="Tahoma" w:cs="Tahoma"/>
          <w:lang w:eastAsia="es-ES"/>
        </w:rPr>
        <w:t>He</w:t>
      </w:r>
      <w:r w:rsidR="000F2B1D" w:rsidRPr="002A43E6">
        <w:rPr>
          <w:rFonts w:ascii="Tahoma" w:hAnsi="Tahoma" w:cs="Tahoma"/>
          <w:lang w:eastAsia="es-ES"/>
        </w:rPr>
        <w:t xml:space="preserve">riberto Morales, </w:t>
      </w:r>
      <w:proofErr w:type="spellStart"/>
      <w:r w:rsidR="000F2B1D" w:rsidRPr="002A43E6">
        <w:rPr>
          <w:rFonts w:ascii="Tahoma" w:hAnsi="Tahoma" w:cs="Tahoma"/>
          <w:lang w:eastAsia="es-ES"/>
        </w:rPr>
        <w:t>Edilio</w:t>
      </w:r>
      <w:proofErr w:type="spellEnd"/>
      <w:r w:rsidR="000F2B1D" w:rsidRPr="002A43E6">
        <w:rPr>
          <w:rFonts w:ascii="Tahoma" w:hAnsi="Tahoma" w:cs="Tahoma"/>
          <w:lang w:eastAsia="es-ES"/>
        </w:rPr>
        <w:t xml:space="preserve"> Henao,</w:t>
      </w:r>
      <w:r w:rsidR="000D379C" w:rsidRPr="002A43E6">
        <w:rPr>
          <w:rFonts w:ascii="Tahoma" w:hAnsi="Tahoma" w:cs="Tahoma"/>
          <w:lang w:eastAsia="es-ES"/>
        </w:rPr>
        <w:t xml:space="preserve"> </w:t>
      </w:r>
      <w:r w:rsidR="000F2B1D" w:rsidRPr="002A43E6">
        <w:rPr>
          <w:rFonts w:ascii="Tahoma" w:hAnsi="Tahoma" w:cs="Tahoma"/>
          <w:lang w:eastAsia="es-ES"/>
        </w:rPr>
        <w:t xml:space="preserve">Juan Carlos </w:t>
      </w:r>
      <w:r w:rsidR="0090130C" w:rsidRPr="002A43E6">
        <w:rPr>
          <w:rFonts w:ascii="Tahoma" w:hAnsi="Tahoma" w:cs="Tahoma"/>
          <w:lang w:eastAsia="es-ES"/>
        </w:rPr>
        <w:t>Álvarez</w:t>
      </w:r>
      <w:r w:rsidR="000D379C" w:rsidRPr="002A43E6">
        <w:rPr>
          <w:rFonts w:ascii="Tahoma" w:hAnsi="Tahoma" w:cs="Tahoma"/>
          <w:lang w:eastAsia="es-ES"/>
        </w:rPr>
        <w:t xml:space="preserve"> y Marino Vélez Jaramillo, último fallecido</w:t>
      </w:r>
      <w:r w:rsidR="007151EC" w:rsidRPr="002A43E6">
        <w:rPr>
          <w:rStyle w:val="Refdenotaalpie"/>
          <w:rFonts w:ascii="Tahoma" w:hAnsi="Tahoma" w:cs="Tahoma"/>
          <w:lang w:eastAsia="es-ES"/>
        </w:rPr>
        <w:footnoteReference w:id="8"/>
      </w:r>
      <w:r w:rsidR="00A27E63" w:rsidRPr="002A43E6">
        <w:rPr>
          <w:rFonts w:ascii="Tahoma" w:hAnsi="Tahoma" w:cs="Tahoma"/>
          <w:lang w:eastAsia="es-ES"/>
        </w:rPr>
        <w:t>, quienes fueron vinculados al proceso</w:t>
      </w:r>
      <w:r w:rsidR="00FB6D16" w:rsidRPr="002A43E6">
        <w:rPr>
          <w:rFonts w:ascii="Tahoma" w:hAnsi="Tahoma" w:cs="Tahoma"/>
          <w:lang w:eastAsia="es-ES"/>
        </w:rPr>
        <w:t xml:space="preserve"> y cuyas notificaciones se dieron así:</w:t>
      </w:r>
    </w:p>
    <w:p w14:paraId="4392A27C" w14:textId="77777777" w:rsidR="00FB6D16" w:rsidRPr="002A43E6" w:rsidRDefault="00FB6D16" w:rsidP="002A43E6">
      <w:pPr>
        <w:spacing w:line="276" w:lineRule="auto"/>
        <w:ind w:firstLine="708"/>
        <w:jc w:val="both"/>
        <w:rPr>
          <w:rFonts w:ascii="Tahoma" w:hAnsi="Tahoma" w:cs="Tahoma"/>
          <w:lang w:eastAsia="es-ES"/>
        </w:rPr>
      </w:pPr>
    </w:p>
    <w:p w14:paraId="315CAB77" w14:textId="2C01291A" w:rsidR="00370F1D" w:rsidRPr="002A43E6" w:rsidRDefault="000843E9" w:rsidP="002A43E6">
      <w:pPr>
        <w:spacing w:line="276" w:lineRule="auto"/>
        <w:ind w:firstLine="708"/>
        <w:jc w:val="both"/>
        <w:rPr>
          <w:rFonts w:ascii="Tahoma" w:hAnsi="Tahoma" w:cs="Tahoma"/>
          <w:lang w:eastAsia="es-ES"/>
        </w:rPr>
      </w:pPr>
      <w:r w:rsidRPr="002A43E6">
        <w:rPr>
          <w:rFonts w:ascii="Tahoma" w:hAnsi="Tahoma" w:cs="Tahoma"/>
          <w:lang w:eastAsia="es-ES"/>
        </w:rPr>
        <w:t>L</w:t>
      </w:r>
      <w:r w:rsidR="00C63DAB" w:rsidRPr="002A43E6">
        <w:rPr>
          <w:rFonts w:ascii="Tahoma" w:hAnsi="Tahoma" w:cs="Tahoma"/>
          <w:lang w:eastAsia="es-ES"/>
        </w:rPr>
        <w:t xml:space="preserve">os señores </w:t>
      </w:r>
      <w:r w:rsidR="00F1389F" w:rsidRPr="002A43E6">
        <w:rPr>
          <w:rFonts w:ascii="Tahoma" w:hAnsi="Tahoma" w:cs="Tahoma"/>
          <w:lang w:eastAsia="es-ES"/>
        </w:rPr>
        <w:t>Juan Carlos Álvarez Medina</w:t>
      </w:r>
      <w:r w:rsidR="00C63DAB" w:rsidRPr="002A43E6">
        <w:rPr>
          <w:rFonts w:ascii="Tahoma" w:hAnsi="Tahoma" w:cs="Tahoma"/>
          <w:lang w:eastAsia="es-ES"/>
        </w:rPr>
        <w:t xml:space="preserve"> y Nelson Claret Rendon Valencia</w:t>
      </w:r>
      <w:r w:rsidR="00F1389F" w:rsidRPr="002A43E6">
        <w:rPr>
          <w:rFonts w:ascii="Tahoma" w:hAnsi="Tahoma" w:cs="Tahoma"/>
          <w:lang w:eastAsia="es-ES"/>
        </w:rPr>
        <w:t xml:space="preserve"> se notific</w:t>
      </w:r>
      <w:r w:rsidR="00C63DAB" w:rsidRPr="002A43E6">
        <w:rPr>
          <w:rFonts w:ascii="Tahoma" w:hAnsi="Tahoma" w:cs="Tahoma"/>
          <w:lang w:eastAsia="es-ES"/>
        </w:rPr>
        <w:t>aron</w:t>
      </w:r>
      <w:r w:rsidR="00F1389F" w:rsidRPr="002A43E6">
        <w:rPr>
          <w:rFonts w:ascii="Tahoma" w:hAnsi="Tahoma" w:cs="Tahoma"/>
          <w:lang w:eastAsia="es-ES"/>
        </w:rPr>
        <w:t xml:space="preserve"> el 5 de mayo de 2017</w:t>
      </w:r>
      <w:r w:rsidR="00C63DAB" w:rsidRPr="002A43E6">
        <w:rPr>
          <w:rStyle w:val="Refdenotaalpie"/>
          <w:rFonts w:ascii="Tahoma" w:hAnsi="Tahoma" w:cs="Tahoma"/>
          <w:lang w:eastAsia="es-ES"/>
        </w:rPr>
        <w:footnoteReference w:id="9"/>
      </w:r>
      <w:r w:rsidR="00370F1D" w:rsidRPr="002A43E6">
        <w:rPr>
          <w:rFonts w:ascii="Tahoma" w:hAnsi="Tahoma" w:cs="Tahoma"/>
          <w:lang w:eastAsia="es-ES"/>
        </w:rPr>
        <w:t xml:space="preserve"> y </w:t>
      </w:r>
      <w:proofErr w:type="spellStart"/>
      <w:r w:rsidRPr="002A43E6">
        <w:rPr>
          <w:rFonts w:ascii="Tahoma" w:hAnsi="Tahoma" w:cs="Tahoma"/>
          <w:lang w:eastAsia="es-ES"/>
        </w:rPr>
        <w:t>Edilio</w:t>
      </w:r>
      <w:proofErr w:type="spellEnd"/>
      <w:r w:rsidRPr="002A43E6">
        <w:rPr>
          <w:rFonts w:ascii="Tahoma" w:hAnsi="Tahoma" w:cs="Tahoma"/>
          <w:lang w:eastAsia="es-ES"/>
        </w:rPr>
        <w:t xml:space="preserve"> de Jesús Henao Franco </w:t>
      </w:r>
      <w:r w:rsidR="00DB2A57" w:rsidRPr="002A43E6">
        <w:rPr>
          <w:rFonts w:ascii="Tahoma" w:hAnsi="Tahoma" w:cs="Tahoma"/>
          <w:lang w:eastAsia="es-ES"/>
        </w:rPr>
        <w:t>el 8 del mismo mes y año</w:t>
      </w:r>
      <w:r w:rsidR="00DB2A57" w:rsidRPr="002A43E6">
        <w:rPr>
          <w:rStyle w:val="Refdenotaalpie"/>
          <w:rFonts w:ascii="Tahoma" w:hAnsi="Tahoma" w:cs="Tahoma"/>
          <w:lang w:eastAsia="es-ES"/>
        </w:rPr>
        <w:footnoteReference w:id="10"/>
      </w:r>
      <w:r w:rsidR="00370F1D" w:rsidRPr="002A43E6">
        <w:rPr>
          <w:rFonts w:ascii="Tahoma" w:hAnsi="Tahoma" w:cs="Tahoma"/>
          <w:lang w:eastAsia="es-ES"/>
        </w:rPr>
        <w:t>.</w:t>
      </w:r>
    </w:p>
    <w:p w14:paraId="4383E1F8" w14:textId="77777777" w:rsidR="00370F1D" w:rsidRPr="002A43E6" w:rsidRDefault="00370F1D" w:rsidP="002A43E6">
      <w:pPr>
        <w:spacing w:line="276" w:lineRule="auto"/>
        <w:ind w:firstLine="708"/>
        <w:jc w:val="both"/>
        <w:rPr>
          <w:rFonts w:ascii="Tahoma" w:hAnsi="Tahoma" w:cs="Tahoma"/>
          <w:lang w:eastAsia="es-ES"/>
        </w:rPr>
      </w:pPr>
    </w:p>
    <w:p w14:paraId="65993B7C" w14:textId="1DAE0C6F" w:rsidR="009630CB" w:rsidRPr="002A43E6" w:rsidRDefault="000843E9" w:rsidP="002A43E6">
      <w:pPr>
        <w:spacing w:line="276" w:lineRule="auto"/>
        <w:ind w:firstLine="708"/>
        <w:jc w:val="both"/>
        <w:rPr>
          <w:rFonts w:ascii="Tahoma" w:hAnsi="Tahoma" w:cs="Tahoma"/>
          <w:lang w:eastAsia="es-ES"/>
        </w:rPr>
      </w:pPr>
      <w:r w:rsidRPr="002A43E6">
        <w:rPr>
          <w:rFonts w:ascii="Tahoma" w:hAnsi="Tahoma" w:cs="Tahoma"/>
          <w:lang w:eastAsia="es-ES"/>
        </w:rPr>
        <w:t>L</w:t>
      </w:r>
      <w:r w:rsidR="00D62308" w:rsidRPr="002A43E6">
        <w:rPr>
          <w:rFonts w:ascii="Tahoma" w:hAnsi="Tahoma" w:cs="Tahoma"/>
          <w:lang w:eastAsia="es-ES"/>
        </w:rPr>
        <w:t>os herederos determinados</w:t>
      </w:r>
      <w:r w:rsidR="00691146" w:rsidRPr="002A43E6">
        <w:rPr>
          <w:rFonts w:ascii="Tahoma" w:hAnsi="Tahoma" w:cs="Tahoma"/>
          <w:lang w:eastAsia="es-ES"/>
        </w:rPr>
        <w:t xml:space="preserve"> del señor Marino Vélez Jaramillo (</w:t>
      </w:r>
      <w:r w:rsidR="00691146" w:rsidRPr="002A43E6">
        <w:rPr>
          <w:rFonts w:ascii="Tahoma" w:hAnsi="Tahoma" w:cs="Tahoma"/>
          <w:i/>
          <w:iCs/>
          <w:lang w:eastAsia="es-ES"/>
        </w:rPr>
        <w:t xml:space="preserve">Consuelo Edilma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Gustavo Adolfo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Wilson Darío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Robinson Ramiro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Amanda Lucia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Zulma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Gloria Idalba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Rober </w:t>
      </w:r>
      <w:proofErr w:type="spellStart"/>
      <w:r w:rsidR="00691146" w:rsidRPr="002A43E6">
        <w:rPr>
          <w:rFonts w:ascii="Tahoma" w:hAnsi="Tahoma" w:cs="Tahoma"/>
          <w:i/>
          <w:iCs/>
          <w:lang w:eastAsia="es-ES"/>
        </w:rPr>
        <w:t>Edilson</w:t>
      </w:r>
      <w:proofErr w:type="spellEnd"/>
      <w:r w:rsidR="00691146" w:rsidRPr="002A43E6">
        <w:rPr>
          <w:rFonts w:ascii="Tahoma" w:hAnsi="Tahoma" w:cs="Tahoma"/>
          <w:i/>
          <w:iCs/>
          <w:lang w:eastAsia="es-ES"/>
        </w:rPr>
        <w:t xml:space="preserve">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xml:space="preserve">, María Amparo Vélez </w:t>
      </w:r>
      <w:proofErr w:type="spellStart"/>
      <w:r w:rsidR="00691146" w:rsidRPr="002A43E6">
        <w:rPr>
          <w:rFonts w:ascii="Tahoma" w:hAnsi="Tahoma" w:cs="Tahoma"/>
          <w:i/>
          <w:iCs/>
          <w:lang w:eastAsia="es-ES"/>
        </w:rPr>
        <w:t>Vélez</w:t>
      </w:r>
      <w:proofErr w:type="spellEnd"/>
      <w:r w:rsidR="00691146" w:rsidRPr="002A43E6">
        <w:rPr>
          <w:rFonts w:ascii="Tahoma" w:hAnsi="Tahoma" w:cs="Tahoma"/>
          <w:i/>
          <w:iCs/>
          <w:lang w:eastAsia="es-ES"/>
        </w:rPr>
        <w:t>, Stella María Vélez Gutiérrez</w:t>
      </w:r>
      <w:r w:rsidR="00691146" w:rsidRPr="002A43E6">
        <w:rPr>
          <w:rFonts w:ascii="Tahoma" w:hAnsi="Tahoma" w:cs="Tahoma"/>
          <w:lang w:eastAsia="es-ES"/>
        </w:rPr>
        <w:t>)</w:t>
      </w:r>
      <w:r w:rsidR="00D62308" w:rsidRPr="002A43E6">
        <w:rPr>
          <w:rFonts w:ascii="Tahoma" w:hAnsi="Tahoma" w:cs="Tahoma"/>
          <w:lang w:eastAsia="es-ES"/>
        </w:rPr>
        <w:t xml:space="preserve"> </w:t>
      </w:r>
      <w:r w:rsidR="003A0F22" w:rsidRPr="002A43E6">
        <w:rPr>
          <w:rFonts w:ascii="Tahoma" w:hAnsi="Tahoma" w:cs="Tahoma"/>
          <w:lang w:eastAsia="es-ES"/>
        </w:rPr>
        <w:t>según escritura No. 195 del 18 de abril de 2005</w:t>
      </w:r>
      <w:r w:rsidR="00442E6C" w:rsidRPr="002A43E6">
        <w:rPr>
          <w:rStyle w:val="Refdenotaalpie"/>
          <w:rFonts w:ascii="Tahoma" w:hAnsi="Tahoma" w:cs="Tahoma"/>
          <w:lang w:eastAsia="es-ES"/>
        </w:rPr>
        <w:footnoteReference w:id="11"/>
      </w:r>
      <w:r w:rsidR="003A0F22" w:rsidRPr="002A43E6">
        <w:rPr>
          <w:rFonts w:ascii="Tahoma" w:hAnsi="Tahoma" w:cs="Tahoma"/>
          <w:lang w:eastAsia="es-ES"/>
        </w:rPr>
        <w:t xml:space="preserve"> </w:t>
      </w:r>
      <w:r w:rsidR="008B0617" w:rsidRPr="002A43E6">
        <w:rPr>
          <w:rFonts w:ascii="Tahoma" w:hAnsi="Tahoma" w:cs="Tahoma"/>
          <w:lang w:eastAsia="es-ES"/>
        </w:rPr>
        <w:t xml:space="preserve"> </w:t>
      </w:r>
      <w:r w:rsidR="00E94DD7" w:rsidRPr="002A43E6">
        <w:rPr>
          <w:rFonts w:ascii="Tahoma" w:hAnsi="Tahoma" w:cs="Tahoma"/>
          <w:lang w:eastAsia="es-ES"/>
        </w:rPr>
        <w:t xml:space="preserve">no han sido notificados en debida forma, como quiera que </w:t>
      </w:r>
      <w:r w:rsidR="008609D7" w:rsidRPr="002A43E6">
        <w:rPr>
          <w:rFonts w:ascii="Tahoma" w:hAnsi="Tahoma" w:cs="Tahoma"/>
          <w:lang w:eastAsia="es-ES"/>
        </w:rPr>
        <w:t>estando en esta instancia procesal para desatar el recurso de apelación</w:t>
      </w:r>
      <w:r w:rsidR="00F80578" w:rsidRPr="002A43E6">
        <w:rPr>
          <w:rFonts w:ascii="Tahoma" w:hAnsi="Tahoma" w:cs="Tahoma"/>
          <w:lang w:eastAsia="es-ES"/>
        </w:rPr>
        <w:t xml:space="preserve"> en contra de la sentencia</w:t>
      </w:r>
      <w:r w:rsidR="008609D7" w:rsidRPr="002A43E6">
        <w:rPr>
          <w:rFonts w:ascii="Tahoma" w:hAnsi="Tahoma" w:cs="Tahoma"/>
          <w:lang w:eastAsia="es-ES"/>
        </w:rPr>
        <w:t xml:space="preserve">, </w:t>
      </w:r>
      <w:r w:rsidR="00E94DD7" w:rsidRPr="002A43E6">
        <w:rPr>
          <w:rFonts w:ascii="Tahoma" w:hAnsi="Tahoma" w:cs="Tahoma"/>
          <w:lang w:eastAsia="es-ES"/>
        </w:rPr>
        <w:t xml:space="preserve">mediante </w:t>
      </w:r>
      <w:r w:rsidR="002B3973" w:rsidRPr="002A43E6">
        <w:rPr>
          <w:rFonts w:ascii="Tahoma" w:hAnsi="Tahoma" w:cs="Tahoma"/>
          <w:lang w:eastAsia="es-ES"/>
        </w:rPr>
        <w:t>proveído</w:t>
      </w:r>
      <w:r w:rsidR="00E94DD7" w:rsidRPr="002A43E6">
        <w:rPr>
          <w:rFonts w:ascii="Tahoma" w:hAnsi="Tahoma" w:cs="Tahoma"/>
          <w:lang w:eastAsia="es-ES"/>
        </w:rPr>
        <w:t xml:space="preserve"> del </w:t>
      </w:r>
      <w:r w:rsidRPr="002A43E6">
        <w:rPr>
          <w:rFonts w:ascii="Tahoma" w:hAnsi="Tahoma" w:cs="Tahoma"/>
          <w:lang w:val="es-CO" w:eastAsia="es-ES"/>
        </w:rPr>
        <w:t xml:space="preserve">13 de agosto de 2019, </w:t>
      </w:r>
      <w:r w:rsidR="00E94DD7" w:rsidRPr="002A43E6">
        <w:rPr>
          <w:rFonts w:ascii="Tahoma" w:hAnsi="Tahoma" w:cs="Tahoma"/>
          <w:lang w:eastAsia="es-ES"/>
        </w:rPr>
        <w:t>esta C</w:t>
      </w:r>
      <w:r w:rsidR="001113BF" w:rsidRPr="002A43E6">
        <w:rPr>
          <w:rFonts w:ascii="Tahoma" w:hAnsi="Tahoma" w:cs="Tahoma"/>
          <w:lang w:eastAsia="es-ES"/>
        </w:rPr>
        <w:t>orporación decret</w:t>
      </w:r>
      <w:r w:rsidR="00691146" w:rsidRPr="002A43E6">
        <w:rPr>
          <w:rFonts w:ascii="Tahoma" w:hAnsi="Tahoma" w:cs="Tahoma"/>
          <w:lang w:eastAsia="es-ES"/>
        </w:rPr>
        <w:t>ó</w:t>
      </w:r>
      <w:r w:rsidR="001113BF" w:rsidRPr="002A43E6">
        <w:rPr>
          <w:rFonts w:ascii="Tahoma" w:hAnsi="Tahoma" w:cs="Tahoma"/>
          <w:lang w:eastAsia="es-ES"/>
        </w:rPr>
        <w:t xml:space="preserve"> la nulidad de todo lo actuado con posterioridad al auto del 11 de enero de 2018</w:t>
      </w:r>
      <w:r w:rsidR="00F80578" w:rsidRPr="002A43E6">
        <w:rPr>
          <w:rStyle w:val="Refdenotaalpie"/>
          <w:rFonts w:ascii="Tahoma" w:hAnsi="Tahoma" w:cs="Tahoma"/>
          <w:lang w:eastAsia="es-ES"/>
        </w:rPr>
        <w:footnoteReference w:id="12"/>
      </w:r>
      <w:r w:rsidR="001113BF" w:rsidRPr="002A43E6">
        <w:rPr>
          <w:rFonts w:ascii="Tahoma" w:hAnsi="Tahoma" w:cs="Tahoma"/>
          <w:lang w:eastAsia="es-ES"/>
        </w:rPr>
        <w:t xml:space="preserve"> por medio del cual se citó a la audiencia de que trata el artículo 77 del Código Procesal del Trabajo y de la Seguridad Social</w:t>
      </w:r>
      <w:r w:rsidR="009630CB" w:rsidRPr="002A43E6">
        <w:rPr>
          <w:rFonts w:ascii="Tahoma" w:hAnsi="Tahoma" w:cs="Tahoma"/>
          <w:lang w:eastAsia="es-ES"/>
        </w:rPr>
        <w:t xml:space="preserve">, </w:t>
      </w:r>
      <w:r w:rsidR="000A0F9A" w:rsidRPr="002A43E6">
        <w:rPr>
          <w:rFonts w:ascii="Tahoma" w:hAnsi="Tahoma" w:cs="Tahoma"/>
          <w:lang w:eastAsia="es-ES"/>
        </w:rPr>
        <w:t xml:space="preserve">cobijando los actos de comunicación (citación, aviso y emplazamiento) ante la falencia de </w:t>
      </w:r>
      <w:r w:rsidR="001508D6" w:rsidRPr="002A43E6">
        <w:rPr>
          <w:rFonts w:ascii="Tahoma" w:hAnsi="Tahoma" w:cs="Tahoma"/>
          <w:lang w:eastAsia="es-ES"/>
        </w:rPr>
        <w:t xml:space="preserve">los </w:t>
      </w:r>
      <w:r w:rsidR="000A0F9A" w:rsidRPr="002A43E6">
        <w:rPr>
          <w:rFonts w:ascii="Tahoma" w:hAnsi="Tahoma" w:cs="Tahoma"/>
          <w:lang w:eastAsia="es-ES"/>
        </w:rPr>
        <w:t xml:space="preserve">mismos </w:t>
      </w:r>
      <w:r w:rsidR="002841F8" w:rsidRPr="002A43E6">
        <w:rPr>
          <w:rFonts w:ascii="Tahoma" w:hAnsi="Tahoma" w:cs="Tahoma"/>
          <w:lang w:eastAsia="es-ES"/>
        </w:rPr>
        <w:t xml:space="preserve">y </w:t>
      </w:r>
      <w:r w:rsidR="008609D7" w:rsidRPr="002A43E6">
        <w:rPr>
          <w:rFonts w:ascii="Tahoma" w:hAnsi="Tahoma" w:cs="Tahoma"/>
          <w:lang w:eastAsia="es-ES"/>
        </w:rPr>
        <w:t xml:space="preserve">además de ordenó la notificación del </w:t>
      </w:r>
      <w:r w:rsidR="0092660B" w:rsidRPr="002A43E6">
        <w:rPr>
          <w:rFonts w:ascii="Tahoma" w:hAnsi="Tahoma" w:cs="Tahoma"/>
          <w:lang w:eastAsia="es-ES"/>
        </w:rPr>
        <w:t>señor Heriberto Morales.</w:t>
      </w:r>
    </w:p>
    <w:p w14:paraId="580F6C33" w14:textId="62B6CC0C" w:rsidR="0092660B" w:rsidRPr="002A43E6" w:rsidRDefault="0092660B" w:rsidP="002A43E6">
      <w:pPr>
        <w:spacing w:line="276" w:lineRule="auto"/>
        <w:ind w:firstLine="708"/>
        <w:jc w:val="both"/>
        <w:rPr>
          <w:rFonts w:ascii="Tahoma" w:hAnsi="Tahoma" w:cs="Tahoma"/>
          <w:lang w:eastAsia="es-ES"/>
        </w:rPr>
      </w:pPr>
    </w:p>
    <w:p w14:paraId="102D1C51" w14:textId="69C389FA" w:rsidR="001F58C6" w:rsidRPr="002A43E6" w:rsidRDefault="004C210F" w:rsidP="002A43E6">
      <w:pPr>
        <w:spacing w:line="276" w:lineRule="auto"/>
        <w:ind w:firstLine="708"/>
        <w:jc w:val="both"/>
        <w:rPr>
          <w:rFonts w:ascii="Tahoma" w:hAnsi="Tahoma" w:cs="Tahoma"/>
          <w:iCs/>
          <w:lang w:val="es-CO" w:eastAsia="es-ES"/>
        </w:rPr>
      </w:pPr>
      <w:r w:rsidRPr="002A43E6">
        <w:rPr>
          <w:rFonts w:ascii="Tahoma" w:hAnsi="Tahoma" w:cs="Tahoma"/>
          <w:lang w:eastAsia="es-ES"/>
        </w:rPr>
        <w:t>Empero, adviert</w:t>
      </w:r>
      <w:r w:rsidR="00863743" w:rsidRPr="002A43E6">
        <w:rPr>
          <w:rFonts w:ascii="Tahoma" w:hAnsi="Tahoma" w:cs="Tahoma"/>
          <w:lang w:eastAsia="es-ES"/>
        </w:rPr>
        <w:t xml:space="preserve">e </w:t>
      </w:r>
      <w:r w:rsidR="00B15208" w:rsidRPr="002A43E6">
        <w:rPr>
          <w:rFonts w:ascii="Tahoma" w:hAnsi="Tahoma" w:cs="Tahoma"/>
          <w:lang w:eastAsia="es-ES"/>
        </w:rPr>
        <w:t xml:space="preserve">la </w:t>
      </w:r>
      <w:r w:rsidR="00863743" w:rsidRPr="002A43E6">
        <w:rPr>
          <w:rFonts w:ascii="Tahoma" w:hAnsi="Tahoma" w:cs="Tahoma"/>
          <w:lang w:eastAsia="es-ES"/>
        </w:rPr>
        <w:t xml:space="preserve">Sala que el juzgador de primera instancia solo acató el fallo antes mencionado respecto de la notificación al señor </w:t>
      </w:r>
      <w:r w:rsidR="00487BB3" w:rsidRPr="002A43E6">
        <w:rPr>
          <w:rFonts w:ascii="Tahoma" w:hAnsi="Tahoma" w:cs="Tahoma"/>
          <w:lang w:eastAsia="es-ES"/>
        </w:rPr>
        <w:t xml:space="preserve">Heriberto de Jesús Morales Arroyave, quien en efecto acudió al proceso </w:t>
      </w:r>
      <w:r w:rsidR="00E666F0" w:rsidRPr="002A43E6">
        <w:rPr>
          <w:rFonts w:ascii="Tahoma" w:hAnsi="Tahoma" w:cs="Tahoma"/>
          <w:lang w:eastAsia="es-ES"/>
        </w:rPr>
        <w:t>el 18 de diciembre de 2019</w:t>
      </w:r>
      <w:r w:rsidR="00E666F0" w:rsidRPr="002A43E6">
        <w:rPr>
          <w:rFonts w:ascii="Tahoma" w:hAnsi="Tahoma" w:cs="Tahoma"/>
          <w:vertAlign w:val="superscript"/>
          <w:lang w:eastAsia="es-ES"/>
        </w:rPr>
        <w:footnoteReference w:id="13"/>
      </w:r>
      <w:r w:rsidR="00E666F0" w:rsidRPr="002A43E6">
        <w:rPr>
          <w:rFonts w:ascii="Tahoma" w:hAnsi="Tahoma" w:cs="Tahoma"/>
          <w:lang w:eastAsia="es-ES"/>
        </w:rPr>
        <w:t xml:space="preserve">, debido a que </w:t>
      </w:r>
      <w:r w:rsidR="00C04A26" w:rsidRPr="002A43E6">
        <w:rPr>
          <w:rFonts w:ascii="Tahoma" w:hAnsi="Tahoma" w:cs="Tahoma"/>
          <w:lang w:eastAsia="es-ES"/>
        </w:rPr>
        <w:t>brilla por su ausencia la remisión de las citaciones y avisos con posterioridad al 10 de septiembre de 2019 (auto de obedézcase y cúmplase)</w:t>
      </w:r>
      <w:r w:rsidR="00D94A8F" w:rsidRPr="002A43E6">
        <w:rPr>
          <w:rStyle w:val="Refdenotaalpie"/>
          <w:rFonts w:ascii="Tahoma" w:hAnsi="Tahoma" w:cs="Tahoma"/>
          <w:lang w:eastAsia="es-ES"/>
        </w:rPr>
        <w:footnoteReference w:id="14"/>
      </w:r>
      <w:r w:rsidR="00A801A6" w:rsidRPr="002A43E6">
        <w:rPr>
          <w:rFonts w:ascii="Tahoma" w:hAnsi="Tahoma" w:cs="Tahoma"/>
          <w:lang w:eastAsia="es-ES"/>
        </w:rPr>
        <w:t xml:space="preserve"> y pese a que ordenó el emplazamiento de los heredero</w:t>
      </w:r>
      <w:r w:rsidR="000843E9" w:rsidRPr="002A43E6">
        <w:rPr>
          <w:rFonts w:ascii="Tahoma" w:hAnsi="Tahoma" w:cs="Tahoma"/>
          <w:lang w:eastAsia="es-ES"/>
        </w:rPr>
        <w:t>s determinados e indeterminados</w:t>
      </w:r>
      <w:r w:rsidR="00A801A6" w:rsidRPr="002A43E6">
        <w:rPr>
          <w:rFonts w:ascii="Tahoma" w:hAnsi="Tahoma" w:cs="Tahoma"/>
          <w:lang w:eastAsia="es-ES"/>
        </w:rPr>
        <w:t xml:space="preserve"> en un diario de amplia circulación y en el Registro Nacional de Personas Emplazadas ambos carecen de los requisitos de ley</w:t>
      </w:r>
      <w:r w:rsidR="002E3880" w:rsidRPr="002A43E6">
        <w:rPr>
          <w:rFonts w:ascii="Tahoma" w:hAnsi="Tahoma" w:cs="Tahoma"/>
          <w:lang w:eastAsia="es-ES"/>
        </w:rPr>
        <w:t>,</w:t>
      </w:r>
      <w:r w:rsidR="001F58C6" w:rsidRPr="002A43E6">
        <w:rPr>
          <w:rFonts w:ascii="Tahoma" w:hAnsi="Tahoma" w:cs="Tahoma"/>
          <w:lang w:eastAsia="es-ES"/>
        </w:rPr>
        <w:t xml:space="preserve"> pues auscultada </w:t>
      </w:r>
      <w:r w:rsidR="001F58C6" w:rsidRPr="002A43E6">
        <w:rPr>
          <w:rFonts w:ascii="Tahoma" w:hAnsi="Tahoma" w:cs="Tahoma"/>
          <w:lang w:val="es-CO" w:eastAsia="es-ES"/>
        </w:rPr>
        <w:t xml:space="preserve">la página de </w:t>
      </w:r>
      <w:r w:rsidR="001F58C6" w:rsidRPr="002A43E6">
        <w:rPr>
          <w:rFonts w:ascii="Tahoma" w:hAnsi="Tahoma" w:cs="Tahoma"/>
          <w:lang w:eastAsia="es-ES"/>
        </w:rPr>
        <w:t>consulta de procesos de Justicia XXI Web (</w:t>
      </w:r>
      <w:hyperlink r:id="rId12" w:history="1">
        <w:r w:rsidR="001F58C6" w:rsidRPr="002A43E6">
          <w:rPr>
            <w:rStyle w:val="Hipervnculo"/>
            <w:rFonts w:ascii="Tahoma" w:hAnsi="Tahoma" w:cs="Tahoma"/>
            <w:i/>
            <w:iCs/>
            <w:lang w:eastAsia="es-ES"/>
          </w:rPr>
          <w:t>https://procesojudicial.ramajudicial.gov.co/Justicia21/Administracion/Ciudadanos/frmConsulta</w:t>
        </w:r>
      </w:hyperlink>
      <w:r w:rsidR="001F58C6" w:rsidRPr="002A43E6">
        <w:rPr>
          <w:rFonts w:ascii="Tahoma" w:hAnsi="Tahoma" w:cs="Tahoma"/>
          <w:lang w:eastAsia="es-ES"/>
        </w:rPr>
        <w:t>)</w:t>
      </w:r>
      <w:r w:rsidR="001F58C6" w:rsidRPr="002A43E6">
        <w:rPr>
          <w:rFonts w:ascii="Tahoma" w:hAnsi="Tahoma" w:cs="Tahoma"/>
          <w:lang w:val="es-CO" w:eastAsia="es-ES"/>
        </w:rPr>
        <w:t xml:space="preserve"> y </w:t>
      </w:r>
      <w:r w:rsidR="001F58C6" w:rsidRPr="002A43E6">
        <w:rPr>
          <w:rFonts w:ascii="Tahoma" w:hAnsi="Tahoma" w:cs="Tahoma"/>
          <w:iCs/>
          <w:lang w:val="es-CO" w:eastAsia="es-ES"/>
        </w:rPr>
        <w:t xml:space="preserve">la </w:t>
      </w:r>
      <w:r w:rsidR="001F58C6" w:rsidRPr="002A43E6">
        <w:rPr>
          <w:rFonts w:ascii="Tahoma" w:hAnsi="Tahoma" w:cs="Tahoma"/>
          <w:iCs/>
          <w:lang w:eastAsia="es-ES"/>
        </w:rPr>
        <w:t>Consulta de Procesos Nacional Unificada (CPNU),</w:t>
      </w:r>
      <w:r w:rsidR="001F58C6" w:rsidRPr="002A43E6">
        <w:rPr>
          <w:rFonts w:ascii="Tahoma" w:hAnsi="Tahoma" w:cs="Tahoma"/>
          <w:b/>
          <w:bCs/>
          <w:iCs/>
          <w:lang w:eastAsia="es-ES"/>
        </w:rPr>
        <w:t xml:space="preserve"> </w:t>
      </w:r>
      <w:r w:rsidR="001F58C6" w:rsidRPr="002A43E6">
        <w:rPr>
          <w:rFonts w:ascii="Tahoma" w:hAnsi="Tahoma" w:cs="Tahoma"/>
          <w:iCs/>
          <w:lang w:eastAsia="es-ES"/>
        </w:rPr>
        <w:t>(</w:t>
      </w:r>
      <w:hyperlink r:id="rId13" w:tgtFrame="_blank" w:history="1">
        <w:r w:rsidR="001F58C6" w:rsidRPr="002A43E6">
          <w:rPr>
            <w:rStyle w:val="Hipervnculo"/>
            <w:rFonts w:ascii="Tahoma" w:hAnsi="Tahoma" w:cs="Tahoma"/>
            <w:i/>
            <w:lang w:eastAsia="es-ES"/>
          </w:rPr>
          <w:t>https://consultaprocesos.ramajudicial.gov.co/</w:t>
        </w:r>
      </w:hyperlink>
      <w:r w:rsidR="001F58C6" w:rsidRPr="002A43E6">
        <w:rPr>
          <w:rFonts w:ascii="Tahoma" w:hAnsi="Tahoma" w:cs="Tahoma"/>
          <w:iCs/>
          <w:lang w:val="es-CO" w:eastAsia="es-ES"/>
        </w:rPr>
        <w:t xml:space="preserve">), </w:t>
      </w:r>
      <w:r w:rsidR="007F0615" w:rsidRPr="002A43E6">
        <w:rPr>
          <w:rFonts w:ascii="Tahoma" w:hAnsi="Tahoma" w:cs="Tahoma"/>
          <w:lang w:val="es-CO" w:eastAsia="es-ES"/>
        </w:rPr>
        <w:t>únicamente se avizora el emplazamiento de</w:t>
      </w:r>
      <w:r w:rsidR="00F36E46" w:rsidRPr="002A43E6">
        <w:rPr>
          <w:rFonts w:ascii="Tahoma" w:hAnsi="Tahoma" w:cs="Tahoma"/>
          <w:lang w:val="es-CO" w:eastAsia="es-ES"/>
        </w:rPr>
        <w:t xml:space="preserve"> </w:t>
      </w:r>
      <w:r w:rsidR="001F58C6" w:rsidRPr="002A43E6">
        <w:rPr>
          <w:rFonts w:ascii="Tahoma" w:hAnsi="Tahoma" w:cs="Tahoma"/>
          <w:lang w:eastAsia="es-ES"/>
        </w:rPr>
        <w:t xml:space="preserve">Marino Vélez Jaramillo, </w:t>
      </w:r>
      <w:r w:rsidR="007F0615" w:rsidRPr="002A43E6">
        <w:rPr>
          <w:rFonts w:ascii="Tahoma" w:hAnsi="Tahoma" w:cs="Tahoma"/>
          <w:lang w:eastAsia="es-ES"/>
        </w:rPr>
        <w:t>pero no de sus herederos</w:t>
      </w:r>
      <w:r w:rsidR="00936C75" w:rsidRPr="002A43E6">
        <w:rPr>
          <w:rFonts w:ascii="Tahoma" w:hAnsi="Tahoma" w:cs="Tahoma"/>
          <w:lang w:eastAsia="es-ES"/>
        </w:rPr>
        <w:t xml:space="preserve">, </w:t>
      </w:r>
      <w:r w:rsidR="000843E9" w:rsidRPr="002A43E6">
        <w:rPr>
          <w:rFonts w:ascii="Tahoma" w:hAnsi="Tahoma" w:cs="Tahoma"/>
          <w:iCs/>
          <w:lang w:val="es-CO" w:eastAsia="es-ES"/>
        </w:rPr>
        <w:t xml:space="preserve">configurándose </w:t>
      </w:r>
      <w:r w:rsidR="000843E9" w:rsidRPr="002A43E6">
        <w:rPr>
          <w:rFonts w:ascii="Tahoma" w:hAnsi="Tahoma" w:cs="Tahoma"/>
          <w:iCs/>
          <w:lang w:val="es-CO" w:eastAsia="es-ES"/>
        </w:rPr>
        <w:lastRenderedPageBreak/>
        <w:t>así la</w:t>
      </w:r>
      <w:r w:rsidR="001F58C6" w:rsidRPr="002A43E6">
        <w:rPr>
          <w:rFonts w:ascii="Tahoma" w:hAnsi="Tahoma" w:cs="Tahoma"/>
          <w:iCs/>
          <w:lang w:val="es-CO" w:eastAsia="es-ES"/>
        </w:rPr>
        <w:t xml:space="preserve"> nulidad procesal prevista en el numeral octavo del artículo 133 del Código General del Proceso.</w:t>
      </w:r>
    </w:p>
    <w:p w14:paraId="288ECA2A" w14:textId="08EE63A9" w:rsidR="00936C75" w:rsidRPr="002A43E6" w:rsidRDefault="00936C75" w:rsidP="002A43E6">
      <w:pPr>
        <w:spacing w:line="276" w:lineRule="auto"/>
        <w:ind w:firstLine="708"/>
        <w:jc w:val="both"/>
        <w:rPr>
          <w:rFonts w:ascii="Tahoma" w:hAnsi="Tahoma" w:cs="Tahoma"/>
          <w:iCs/>
          <w:lang w:val="es-CO" w:eastAsia="es-ES"/>
        </w:rPr>
      </w:pPr>
    </w:p>
    <w:p w14:paraId="2FD74E96" w14:textId="127A2040" w:rsidR="00BE33D5" w:rsidRPr="002A43E6" w:rsidRDefault="00936C75" w:rsidP="002A43E6">
      <w:pPr>
        <w:spacing w:line="276" w:lineRule="auto"/>
        <w:ind w:firstLine="708"/>
        <w:jc w:val="both"/>
        <w:rPr>
          <w:rFonts w:ascii="Tahoma" w:hAnsi="Tahoma" w:cs="Tahoma"/>
          <w:iCs/>
          <w:lang w:eastAsia="es-ES"/>
        </w:rPr>
      </w:pPr>
      <w:r w:rsidRPr="002A43E6">
        <w:rPr>
          <w:rFonts w:ascii="Tahoma" w:hAnsi="Tahoma" w:cs="Tahoma"/>
          <w:iCs/>
          <w:lang w:val="es-CO" w:eastAsia="es-ES"/>
        </w:rPr>
        <w:t xml:space="preserve">Aunado lo anterior, se desprende de la misma escritura pública que </w:t>
      </w:r>
      <w:r w:rsidR="00BE33D5" w:rsidRPr="002A43E6">
        <w:rPr>
          <w:rFonts w:ascii="Tahoma" w:hAnsi="Tahoma" w:cs="Tahoma"/>
          <w:iCs/>
          <w:lang w:val="es-CO" w:eastAsia="es-ES"/>
        </w:rPr>
        <w:t xml:space="preserve">la totalidad de herederos determinados </w:t>
      </w:r>
      <w:r w:rsidR="000843E9" w:rsidRPr="002A43E6">
        <w:rPr>
          <w:rFonts w:ascii="Tahoma" w:hAnsi="Tahoma" w:cs="Tahoma"/>
          <w:iCs/>
          <w:lang w:val="es-CO" w:eastAsia="es-ES"/>
        </w:rPr>
        <w:t>cedieron sus</w:t>
      </w:r>
      <w:r w:rsidR="00BE33D5" w:rsidRPr="002A43E6">
        <w:rPr>
          <w:rFonts w:ascii="Tahoma" w:hAnsi="Tahoma" w:cs="Tahoma"/>
          <w:iCs/>
          <w:lang w:eastAsia="es-ES"/>
        </w:rPr>
        <w:t xml:space="preserve"> derechos hereditarios a favor de la señora María Florentina Vélez García, en virtud de lo cual le fue adjudicada la hijuela única derivada del patrimonio del </w:t>
      </w:r>
      <w:r w:rsidR="00BE33D5" w:rsidRPr="002A43E6">
        <w:rPr>
          <w:rFonts w:ascii="Tahoma" w:hAnsi="Tahoma" w:cs="Tahoma"/>
          <w:i/>
          <w:iCs/>
          <w:lang w:eastAsia="es-ES"/>
        </w:rPr>
        <w:t>de cujus</w:t>
      </w:r>
      <w:r w:rsidR="00BE33D5" w:rsidRPr="002A43E6">
        <w:rPr>
          <w:rFonts w:ascii="Tahoma" w:hAnsi="Tahoma" w:cs="Tahoma"/>
          <w:iCs/>
          <w:lang w:eastAsia="es-ES"/>
        </w:rPr>
        <w:t xml:space="preserve"> Marino Vélez Jaramillo, sin </w:t>
      </w:r>
      <w:r w:rsidR="00F36E46" w:rsidRPr="002A43E6">
        <w:rPr>
          <w:rFonts w:ascii="Tahoma" w:hAnsi="Tahoma" w:cs="Tahoma"/>
          <w:iCs/>
          <w:lang w:eastAsia="es-ES"/>
        </w:rPr>
        <w:t>embargo,</w:t>
      </w:r>
      <w:r w:rsidR="00BE33D5" w:rsidRPr="002A43E6">
        <w:rPr>
          <w:rFonts w:ascii="Tahoma" w:hAnsi="Tahoma" w:cs="Tahoma"/>
          <w:iCs/>
          <w:lang w:eastAsia="es-ES"/>
        </w:rPr>
        <w:t xml:space="preserve"> </w:t>
      </w:r>
      <w:r w:rsidR="00A27CC1" w:rsidRPr="002A43E6">
        <w:rPr>
          <w:rFonts w:ascii="Tahoma" w:hAnsi="Tahoma" w:cs="Tahoma"/>
          <w:iCs/>
          <w:lang w:eastAsia="es-ES"/>
        </w:rPr>
        <w:t xml:space="preserve">según el apoderado judicial se la parte demandante, </w:t>
      </w:r>
      <w:r w:rsidR="00BE33D5" w:rsidRPr="002A43E6">
        <w:rPr>
          <w:rFonts w:ascii="Tahoma" w:hAnsi="Tahoma" w:cs="Tahoma"/>
          <w:iCs/>
          <w:lang w:eastAsia="es-ES"/>
        </w:rPr>
        <w:t>está última también falleció</w:t>
      </w:r>
      <w:r w:rsidR="00BE33D5" w:rsidRPr="002A43E6">
        <w:rPr>
          <w:rFonts w:ascii="Tahoma" w:hAnsi="Tahoma" w:cs="Tahoma"/>
          <w:iCs/>
          <w:vertAlign w:val="superscript"/>
          <w:lang w:eastAsia="es-ES"/>
        </w:rPr>
        <w:footnoteReference w:id="15"/>
      </w:r>
      <w:r w:rsidR="00BE33D5" w:rsidRPr="002A43E6">
        <w:rPr>
          <w:rFonts w:ascii="Tahoma" w:hAnsi="Tahoma" w:cs="Tahoma"/>
          <w:iCs/>
          <w:lang w:eastAsia="es-ES"/>
        </w:rPr>
        <w:t>.</w:t>
      </w:r>
    </w:p>
    <w:p w14:paraId="13B0C82B" w14:textId="7FFBDA21" w:rsidR="00A27CC1" w:rsidRPr="002A43E6" w:rsidRDefault="00A27CC1" w:rsidP="002A43E6">
      <w:pPr>
        <w:spacing w:line="276" w:lineRule="auto"/>
        <w:ind w:firstLine="708"/>
        <w:jc w:val="both"/>
        <w:rPr>
          <w:rFonts w:ascii="Tahoma" w:hAnsi="Tahoma" w:cs="Tahoma"/>
          <w:iCs/>
          <w:lang w:eastAsia="es-ES"/>
        </w:rPr>
      </w:pPr>
    </w:p>
    <w:p w14:paraId="7BEC333F" w14:textId="48F6B067" w:rsidR="00A27CC1" w:rsidRPr="002A43E6" w:rsidRDefault="00A27CC1" w:rsidP="002A43E6">
      <w:pPr>
        <w:spacing w:line="276" w:lineRule="auto"/>
        <w:ind w:firstLine="708"/>
        <w:jc w:val="both"/>
        <w:rPr>
          <w:rFonts w:ascii="Tahoma" w:hAnsi="Tahoma" w:cs="Tahoma"/>
          <w:iCs/>
          <w:lang w:eastAsia="es-ES"/>
        </w:rPr>
      </w:pPr>
      <w:r w:rsidRPr="002A43E6">
        <w:rPr>
          <w:rFonts w:ascii="Tahoma" w:hAnsi="Tahoma" w:cs="Tahoma"/>
          <w:iCs/>
          <w:lang w:eastAsia="es-ES"/>
        </w:rPr>
        <w:t xml:space="preserve">Por lo anterior, es claro </w:t>
      </w:r>
      <w:r w:rsidR="00E526C5" w:rsidRPr="002A43E6">
        <w:rPr>
          <w:rFonts w:ascii="Tahoma" w:hAnsi="Tahoma" w:cs="Tahoma"/>
          <w:iCs/>
          <w:lang w:eastAsia="es-ES"/>
        </w:rPr>
        <w:t xml:space="preserve">que a la fecha se mantiene la nulidad decretada el </w:t>
      </w:r>
      <w:r w:rsidR="00F201CB" w:rsidRPr="002A43E6">
        <w:rPr>
          <w:rFonts w:ascii="Tahoma" w:hAnsi="Tahoma" w:cs="Tahoma"/>
          <w:iCs/>
          <w:lang w:val="es-CO" w:eastAsia="es-ES"/>
        </w:rPr>
        <w:t xml:space="preserve">13 de agosto de 2019 </w:t>
      </w:r>
      <w:r w:rsidR="00E526C5" w:rsidRPr="002A43E6">
        <w:rPr>
          <w:rFonts w:ascii="Tahoma" w:hAnsi="Tahoma" w:cs="Tahoma"/>
          <w:iCs/>
          <w:lang w:eastAsia="es-ES"/>
        </w:rPr>
        <w:t>por</w:t>
      </w:r>
      <w:r w:rsidR="002045A8" w:rsidRPr="002A43E6">
        <w:rPr>
          <w:rFonts w:ascii="Tahoma" w:hAnsi="Tahoma" w:cs="Tahoma"/>
          <w:iCs/>
          <w:lang w:eastAsia="es-ES"/>
        </w:rPr>
        <w:t xml:space="preserve"> este Cuerpo Colegiado</w:t>
      </w:r>
      <w:r w:rsidR="00E526C5" w:rsidRPr="002A43E6">
        <w:rPr>
          <w:rFonts w:ascii="Tahoma" w:hAnsi="Tahoma" w:cs="Tahoma"/>
          <w:iCs/>
          <w:lang w:eastAsia="es-ES"/>
        </w:rPr>
        <w:t xml:space="preserve">, aunado a que en virtud de la cesión y adjudicación única de derechos </w:t>
      </w:r>
      <w:proofErr w:type="spellStart"/>
      <w:r w:rsidR="00E526C5" w:rsidRPr="002A43E6">
        <w:rPr>
          <w:rFonts w:ascii="Tahoma" w:hAnsi="Tahoma" w:cs="Tahoma"/>
          <w:iCs/>
          <w:lang w:eastAsia="es-ES"/>
        </w:rPr>
        <w:t>herenciales</w:t>
      </w:r>
      <w:proofErr w:type="spellEnd"/>
      <w:r w:rsidR="00E526C5" w:rsidRPr="002A43E6">
        <w:rPr>
          <w:rFonts w:ascii="Tahoma" w:hAnsi="Tahoma" w:cs="Tahoma"/>
          <w:iCs/>
          <w:lang w:eastAsia="es-ES"/>
        </w:rPr>
        <w:t xml:space="preserve"> a favor de María Florentina Vélez García, </w:t>
      </w:r>
      <w:r w:rsidR="001A37BE" w:rsidRPr="002A43E6">
        <w:rPr>
          <w:rFonts w:ascii="Tahoma" w:hAnsi="Tahoma" w:cs="Tahoma"/>
          <w:iCs/>
          <w:lang w:eastAsia="es-ES"/>
        </w:rPr>
        <w:t xml:space="preserve">debió </w:t>
      </w:r>
      <w:r w:rsidR="00024D89" w:rsidRPr="002A43E6">
        <w:rPr>
          <w:rFonts w:ascii="Tahoma" w:hAnsi="Tahoma" w:cs="Tahoma"/>
          <w:iCs/>
          <w:lang w:eastAsia="es-ES"/>
        </w:rPr>
        <w:t xml:space="preserve">llamársele a </w:t>
      </w:r>
      <w:r w:rsidR="001A37BE" w:rsidRPr="002A43E6">
        <w:rPr>
          <w:rFonts w:ascii="Tahoma" w:hAnsi="Tahoma" w:cs="Tahoma"/>
          <w:iCs/>
          <w:lang w:eastAsia="es-ES"/>
        </w:rPr>
        <w:t>integra</w:t>
      </w:r>
      <w:r w:rsidR="00024D89" w:rsidRPr="002A43E6">
        <w:rPr>
          <w:rFonts w:ascii="Tahoma" w:hAnsi="Tahoma" w:cs="Tahoma"/>
          <w:iCs/>
          <w:lang w:eastAsia="es-ES"/>
        </w:rPr>
        <w:t>r la litis, configurándose</w:t>
      </w:r>
      <w:r w:rsidR="00CF6724" w:rsidRPr="002A43E6">
        <w:rPr>
          <w:rFonts w:ascii="Tahoma" w:hAnsi="Tahoma" w:cs="Tahoma"/>
          <w:iCs/>
          <w:lang w:eastAsia="es-ES"/>
        </w:rPr>
        <w:t xml:space="preserve"> nuevamente </w:t>
      </w:r>
      <w:r w:rsidR="001A37BE" w:rsidRPr="002A43E6">
        <w:rPr>
          <w:rFonts w:ascii="Tahoma" w:hAnsi="Tahoma" w:cs="Tahoma"/>
          <w:iCs/>
          <w:lang w:eastAsia="es-ES"/>
        </w:rPr>
        <w:t>la nulidad prevista</w:t>
      </w:r>
      <w:r w:rsidR="00CF6724" w:rsidRPr="002A43E6">
        <w:rPr>
          <w:rFonts w:ascii="Tahoma" w:hAnsi="Tahoma" w:cs="Tahoma"/>
          <w:iCs/>
          <w:lang w:eastAsia="es-ES"/>
        </w:rPr>
        <w:t xml:space="preserve"> en la dicha</w:t>
      </w:r>
      <w:r w:rsidR="001A37BE" w:rsidRPr="002A43E6">
        <w:rPr>
          <w:rFonts w:ascii="Tahoma" w:hAnsi="Tahoma" w:cs="Tahoma"/>
          <w:iCs/>
          <w:lang w:eastAsia="es-ES"/>
        </w:rPr>
        <w:t xml:space="preserve"> </w:t>
      </w:r>
      <w:r w:rsidR="00024D89" w:rsidRPr="002A43E6">
        <w:rPr>
          <w:rFonts w:ascii="Tahoma" w:hAnsi="Tahoma" w:cs="Tahoma"/>
          <w:iCs/>
          <w:lang w:eastAsia="es-ES"/>
        </w:rPr>
        <w:t>causal</w:t>
      </w:r>
      <w:r w:rsidR="00CF6724" w:rsidRPr="002A43E6">
        <w:rPr>
          <w:rFonts w:ascii="Tahoma" w:hAnsi="Tahoma" w:cs="Tahoma"/>
          <w:iCs/>
          <w:lang w:eastAsia="es-ES"/>
        </w:rPr>
        <w:t>.</w:t>
      </w:r>
    </w:p>
    <w:p w14:paraId="0FF192DB" w14:textId="419B8EBC" w:rsidR="009217F8" w:rsidRPr="002A43E6" w:rsidRDefault="009217F8" w:rsidP="002A43E6">
      <w:pPr>
        <w:spacing w:line="276" w:lineRule="auto"/>
        <w:ind w:firstLine="708"/>
        <w:jc w:val="both"/>
        <w:rPr>
          <w:rFonts w:ascii="Tahoma" w:hAnsi="Tahoma" w:cs="Tahoma"/>
          <w:iCs/>
          <w:lang w:eastAsia="es-ES"/>
        </w:rPr>
      </w:pPr>
    </w:p>
    <w:p w14:paraId="07BF9E76" w14:textId="5ECAA8D5" w:rsidR="009217F8" w:rsidRPr="002A43E6" w:rsidRDefault="009217F8" w:rsidP="002A43E6">
      <w:pPr>
        <w:spacing w:line="276" w:lineRule="auto"/>
        <w:ind w:firstLine="708"/>
        <w:jc w:val="both"/>
        <w:rPr>
          <w:rFonts w:ascii="Tahoma" w:hAnsi="Tahoma" w:cs="Tahoma"/>
          <w:iCs/>
          <w:lang w:eastAsia="es-ES"/>
        </w:rPr>
      </w:pPr>
      <w:r w:rsidRPr="002A43E6">
        <w:rPr>
          <w:rFonts w:ascii="Tahoma" w:hAnsi="Tahoma" w:cs="Tahoma"/>
          <w:iCs/>
          <w:lang w:eastAsia="es-ES"/>
        </w:rPr>
        <w:t>Ahora, como el apoderado judicial de la parte demandante afirmó que la</w:t>
      </w:r>
      <w:r w:rsidR="001B2A4A" w:rsidRPr="002A43E6">
        <w:rPr>
          <w:rFonts w:ascii="Tahoma" w:hAnsi="Tahoma" w:cs="Tahoma"/>
          <w:iCs/>
          <w:lang w:eastAsia="es-ES"/>
        </w:rPr>
        <w:t xml:space="preserve"> adjudicataria de la sucesión del señor Marino Vélez también </w:t>
      </w:r>
      <w:r w:rsidR="00777682" w:rsidRPr="002A43E6">
        <w:rPr>
          <w:rFonts w:ascii="Tahoma" w:hAnsi="Tahoma" w:cs="Tahoma"/>
          <w:iCs/>
          <w:lang w:eastAsia="es-ES"/>
        </w:rPr>
        <w:t>falleció</w:t>
      </w:r>
      <w:r w:rsidR="001B2A4A" w:rsidRPr="002A43E6">
        <w:rPr>
          <w:rFonts w:ascii="Tahoma" w:hAnsi="Tahoma" w:cs="Tahoma"/>
          <w:iCs/>
          <w:lang w:eastAsia="es-ES"/>
        </w:rPr>
        <w:t>,</w:t>
      </w:r>
      <w:r w:rsidR="00777682" w:rsidRPr="002A43E6">
        <w:rPr>
          <w:rFonts w:ascii="Tahoma" w:hAnsi="Tahoma" w:cs="Tahoma"/>
          <w:iCs/>
          <w:lang w:eastAsia="es-ES"/>
        </w:rPr>
        <w:t xml:space="preserve"> debe aportar el </w:t>
      </w:r>
      <w:r w:rsidRPr="002A43E6">
        <w:rPr>
          <w:rFonts w:ascii="Tahoma" w:hAnsi="Tahoma" w:cs="Tahoma"/>
          <w:iCs/>
          <w:lang w:eastAsia="es-ES"/>
        </w:rPr>
        <w:t>certificado de defunción</w:t>
      </w:r>
      <w:r w:rsidR="00FF6C71" w:rsidRPr="002A43E6">
        <w:rPr>
          <w:rFonts w:ascii="Tahoma" w:hAnsi="Tahoma" w:cs="Tahoma"/>
          <w:iCs/>
          <w:lang w:eastAsia="es-ES"/>
        </w:rPr>
        <w:t>,</w:t>
      </w:r>
      <w:r w:rsidR="001B2A4A" w:rsidRPr="002A43E6">
        <w:rPr>
          <w:rFonts w:ascii="Tahoma" w:hAnsi="Tahoma" w:cs="Tahoma"/>
          <w:iCs/>
          <w:lang w:eastAsia="es-ES"/>
        </w:rPr>
        <w:t xml:space="preserve"> acompañado</w:t>
      </w:r>
      <w:r w:rsidR="00FF6C71" w:rsidRPr="002A43E6">
        <w:rPr>
          <w:rFonts w:ascii="Tahoma" w:hAnsi="Tahoma" w:cs="Tahoma"/>
          <w:iCs/>
          <w:lang w:eastAsia="es-ES"/>
        </w:rPr>
        <w:t xml:space="preserve"> </w:t>
      </w:r>
      <w:r w:rsidR="001B2A4A" w:rsidRPr="002A43E6">
        <w:rPr>
          <w:rFonts w:ascii="Tahoma" w:hAnsi="Tahoma" w:cs="Tahoma"/>
          <w:iCs/>
          <w:lang w:eastAsia="es-ES"/>
        </w:rPr>
        <w:t xml:space="preserve">de la </w:t>
      </w:r>
      <w:r w:rsidRPr="002A43E6">
        <w:rPr>
          <w:rFonts w:ascii="Tahoma" w:hAnsi="Tahoma" w:cs="Tahoma"/>
          <w:iCs/>
          <w:lang w:eastAsia="es-ES"/>
        </w:rPr>
        <w:t xml:space="preserve">escritura o proceso judicial que </w:t>
      </w:r>
      <w:r w:rsidR="00777682" w:rsidRPr="002A43E6">
        <w:rPr>
          <w:rFonts w:ascii="Tahoma" w:hAnsi="Tahoma" w:cs="Tahoma"/>
          <w:iCs/>
          <w:lang w:eastAsia="es-ES"/>
        </w:rPr>
        <w:t xml:space="preserve">acredite </w:t>
      </w:r>
      <w:r w:rsidRPr="002A43E6">
        <w:rPr>
          <w:rFonts w:ascii="Tahoma" w:hAnsi="Tahoma" w:cs="Tahoma"/>
          <w:iCs/>
          <w:lang w:eastAsia="es-ES"/>
        </w:rPr>
        <w:t>la existencia de herederos determinados con base en el artículo 87 del Código General del Proceso</w:t>
      </w:r>
      <w:r w:rsidR="00777682" w:rsidRPr="002A43E6">
        <w:rPr>
          <w:rFonts w:ascii="Tahoma" w:hAnsi="Tahoma" w:cs="Tahoma"/>
          <w:iCs/>
          <w:lang w:eastAsia="es-ES"/>
        </w:rPr>
        <w:t xml:space="preserve">, </w:t>
      </w:r>
      <w:r w:rsidR="009F335B" w:rsidRPr="002A43E6">
        <w:rPr>
          <w:rFonts w:ascii="Tahoma" w:hAnsi="Tahoma" w:cs="Tahoma"/>
          <w:iCs/>
          <w:lang w:eastAsia="es-ES"/>
        </w:rPr>
        <w:t xml:space="preserve">para </w:t>
      </w:r>
      <w:r w:rsidR="00777682" w:rsidRPr="002A43E6">
        <w:rPr>
          <w:rFonts w:ascii="Tahoma" w:hAnsi="Tahoma" w:cs="Tahoma"/>
          <w:iCs/>
          <w:lang w:eastAsia="es-ES"/>
        </w:rPr>
        <w:t>realizar la</w:t>
      </w:r>
      <w:r w:rsidR="00AF0A77" w:rsidRPr="002A43E6">
        <w:rPr>
          <w:rFonts w:ascii="Tahoma" w:hAnsi="Tahoma" w:cs="Tahoma"/>
          <w:iCs/>
          <w:lang w:eastAsia="es-ES"/>
        </w:rPr>
        <w:t>s notificaciones de rigor.</w:t>
      </w:r>
    </w:p>
    <w:p w14:paraId="1B96C9D6" w14:textId="02C9C594" w:rsidR="00777682" w:rsidRPr="002A43E6" w:rsidRDefault="00777682" w:rsidP="002A43E6">
      <w:pPr>
        <w:spacing w:line="276" w:lineRule="auto"/>
        <w:ind w:firstLine="708"/>
        <w:jc w:val="both"/>
        <w:rPr>
          <w:rFonts w:ascii="Tahoma" w:hAnsi="Tahoma" w:cs="Tahoma"/>
          <w:iCs/>
          <w:lang w:eastAsia="es-ES"/>
        </w:rPr>
      </w:pPr>
    </w:p>
    <w:p w14:paraId="3C0B7805" w14:textId="42A471FB" w:rsidR="000D739B" w:rsidRPr="002A43E6" w:rsidRDefault="00777682" w:rsidP="002A43E6">
      <w:pPr>
        <w:spacing w:line="276" w:lineRule="auto"/>
        <w:ind w:firstLine="708"/>
        <w:jc w:val="both"/>
        <w:rPr>
          <w:rFonts w:ascii="Tahoma" w:hAnsi="Tahoma" w:cs="Tahoma"/>
          <w:lang w:eastAsia="es-ES"/>
        </w:rPr>
      </w:pPr>
      <w:r w:rsidRPr="002A43E6">
        <w:rPr>
          <w:rFonts w:ascii="Tahoma" w:hAnsi="Tahoma" w:cs="Tahoma"/>
          <w:lang w:eastAsia="es-ES"/>
        </w:rPr>
        <w:t xml:space="preserve">Por lo anterior, </w:t>
      </w:r>
      <w:r w:rsidR="009F335B" w:rsidRPr="002A43E6">
        <w:rPr>
          <w:rFonts w:ascii="Tahoma" w:hAnsi="Tahoma" w:cs="Tahoma"/>
          <w:lang w:eastAsia="es-ES"/>
        </w:rPr>
        <w:t>con el propósito</w:t>
      </w:r>
      <w:r w:rsidRPr="002A43E6">
        <w:rPr>
          <w:rFonts w:ascii="Tahoma" w:hAnsi="Tahoma" w:cs="Tahoma"/>
          <w:lang w:eastAsia="es-ES"/>
        </w:rPr>
        <w:t xml:space="preserve"> de evitar mayores dilaciones en el presente </w:t>
      </w:r>
      <w:r w:rsidR="000D739B" w:rsidRPr="002A43E6">
        <w:rPr>
          <w:rFonts w:ascii="Tahoma" w:hAnsi="Tahoma" w:cs="Tahoma"/>
          <w:lang w:eastAsia="es-ES"/>
        </w:rPr>
        <w:t xml:space="preserve">proceso </w:t>
      </w:r>
      <w:r w:rsidRPr="002A43E6">
        <w:rPr>
          <w:rFonts w:ascii="Tahoma" w:hAnsi="Tahoma" w:cs="Tahoma"/>
          <w:lang w:eastAsia="es-ES"/>
        </w:rPr>
        <w:t>se insta</w:t>
      </w:r>
      <w:r w:rsidR="005821E6" w:rsidRPr="002A43E6">
        <w:rPr>
          <w:rFonts w:ascii="Tahoma" w:hAnsi="Tahoma" w:cs="Tahoma"/>
          <w:lang w:eastAsia="es-ES"/>
        </w:rPr>
        <w:t>rá</w:t>
      </w:r>
      <w:r w:rsidRPr="002A43E6">
        <w:rPr>
          <w:rFonts w:ascii="Tahoma" w:hAnsi="Tahoma" w:cs="Tahoma"/>
          <w:lang w:eastAsia="es-ES"/>
        </w:rPr>
        <w:t xml:space="preserve"> al juzgado de instancia para que </w:t>
      </w:r>
      <w:r w:rsidR="000D739B" w:rsidRPr="002A43E6">
        <w:rPr>
          <w:rFonts w:ascii="Tahoma" w:hAnsi="Tahoma" w:cs="Tahoma"/>
          <w:lang w:eastAsia="es-ES"/>
        </w:rPr>
        <w:t xml:space="preserve">cumpla a cabalidad con la providencia emitida por este Tribunal el </w:t>
      </w:r>
      <w:r w:rsidR="00F201CB" w:rsidRPr="002A43E6">
        <w:rPr>
          <w:rFonts w:ascii="Tahoma" w:hAnsi="Tahoma" w:cs="Tahoma"/>
          <w:lang w:val="es-CO" w:eastAsia="es-ES"/>
        </w:rPr>
        <w:t>13 de agosto de 2019</w:t>
      </w:r>
      <w:r w:rsidR="00BB7EA1" w:rsidRPr="002A43E6">
        <w:rPr>
          <w:rFonts w:ascii="Tahoma" w:hAnsi="Tahoma" w:cs="Tahoma"/>
          <w:lang w:val="es-CO" w:eastAsia="es-ES"/>
        </w:rPr>
        <w:t>,</w:t>
      </w:r>
      <w:r w:rsidR="000D739B" w:rsidRPr="002A43E6">
        <w:rPr>
          <w:rFonts w:ascii="Tahoma" w:hAnsi="Tahoma" w:cs="Tahoma"/>
          <w:lang w:eastAsia="es-ES"/>
        </w:rPr>
        <w:t xml:space="preserve"> y en consecuencia proce</w:t>
      </w:r>
      <w:r w:rsidR="0062394C" w:rsidRPr="002A43E6">
        <w:rPr>
          <w:rFonts w:ascii="Tahoma" w:hAnsi="Tahoma" w:cs="Tahoma"/>
          <w:lang w:eastAsia="es-ES"/>
        </w:rPr>
        <w:t>da</w:t>
      </w:r>
      <w:r w:rsidR="000D739B" w:rsidRPr="002A43E6">
        <w:rPr>
          <w:rFonts w:ascii="Tahoma" w:hAnsi="Tahoma" w:cs="Tahoma"/>
          <w:lang w:eastAsia="es-ES"/>
        </w:rPr>
        <w:t xml:space="preserve"> con la notificación personal y de ser el caso </w:t>
      </w:r>
      <w:r w:rsidR="0062394C" w:rsidRPr="002A43E6">
        <w:rPr>
          <w:rFonts w:ascii="Tahoma" w:hAnsi="Tahoma" w:cs="Tahoma"/>
          <w:lang w:eastAsia="es-ES"/>
        </w:rPr>
        <w:t>con el emplazamiento de los herederos determinados</w:t>
      </w:r>
      <w:r w:rsidR="00782FA9" w:rsidRPr="002A43E6">
        <w:rPr>
          <w:rFonts w:ascii="Tahoma" w:hAnsi="Tahoma" w:cs="Tahoma"/>
          <w:lang w:eastAsia="es-ES"/>
        </w:rPr>
        <w:t>, además del forzoso emplazamiento d</w:t>
      </w:r>
      <w:r w:rsidR="0062394C" w:rsidRPr="002A43E6">
        <w:rPr>
          <w:rFonts w:ascii="Tahoma" w:hAnsi="Tahoma" w:cs="Tahoma"/>
          <w:lang w:eastAsia="es-ES"/>
        </w:rPr>
        <w:t>e</w:t>
      </w:r>
      <w:r w:rsidR="00782FA9" w:rsidRPr="002A43E6">
        <w:rPr>
          <w:rFonts w:ascii="Tahoma" w:hAnsi="Tahoma" w:cs="Tahoma"/>
          <w:lang w:eastAsia="es-ES"/>
        </w:rPr>
        <w:t xml:space="preserve"> los herederos</w:t>
      </w:r>
      <w:r w:rsidR="0062394C" w:rsidRPr="002A43E6">
        <w:rPr>
          <w:rFonts w:ascii="Tahoma" w:hAnsi="Tahoma" w:cs="Tahoma"/>
          <w:lang w:eastAsia="es-ES"/>
        </w:rPr>
        <w:t xml:space="preserve"> indeterminados del señor Marino Vélez Jaramillo</w:t>
      </w:r>
      <w:r w:rsidR="00CD005A" w:rsidRPr="002A43E6">
        <w:rPr>
          <w:rFonts w:ascii="Tahoma" w:hAnsi="Tahoma" w:cs="Tahoma"/>
          <w:lang w:eastAsia="es-ES"/>
        </w:rPr>
        <w:t>.</w:t>
      </w:r>
    </w:p>
    <w:p w14:paraId="66715796" w14:textId="253A0417" w:rsidR="00CD005A" w:rsidRPr="002A43E6" w:rsidRDefault="00CD005A" w:rsidP="002A43E6">
      <w:pPr>
        <w:spacing w:line="276" w:lineRule="auto"/>
        <w:ind w:firstLine="708"/>
        <w:jc w:val="both"/>
        <w:rPr>
          <w:rFonts w:ascii="Tahoma" w:hAnsi="Tahoma" w:cs="Tahoma"/>
          <w:iCs/>
          <w:lang w:eastAsia="es-ES"/>
        </w:rPr>
      </w:pPr>
    </w:p>
    <w:p w14:paraId="3DBB9DBA" w14:textId="31564A2B" w:rsidR="00CD005A" w:rsidRPr="002A43E6" w:rsidRDefault="000B5DE7" w:rsidP="002A43E6">
      <w:pPr>
        <w:spacing w:line="276" w:lineRule="auto"/>
        <w:ind w:firstLine="708"/>
        <w:jc w:val="both"/>
        <w:rPr>
          <w:rFonts w:ascii="Tahoma" w:hAnsi="Tahoma" w:cs="Tahoma"/>
          <w:lang w:eastAsia="es-ES"/>
        </w:rPr>
      </w:pPr>
      <w:r w:rsidRPr="002A43E6">
        <w:rPr>
          <w:rFonts w:ascii="Tahoma" w:hAnsi="Tahoma" w:cs="Tahoma"/>
          <w:lang w:eastAsia="es-ES"/>
        </w:rPr>
        <w:t>Igualmente</w:t>
      </w:r>
      <w:r w:rsidR="00523B86" w:rsidRPr="002A43E6">
        <w:rPr>
          <w:rFonts w:ascii="Tahoma" w:hAnsi="Tahoma" w:cs="Tahoma"/>
          <w:lang w:eastAsia="es-ES"/>
        </w:rPr>
        <w:t>,</w:t>
      </w:r>
      <w:r w:rsidR="00CD005A" w:rsidRPr="002A43E6">
        <w:rPr>
          <w:rFonts w:ascii="Tahoma" w:hAnsi="Tahoma" w:cs="Tahoma"/>
          <w:lang w:eastAsia="es-ES"/>
        </w:rPr>
        <w:t xml:space="preserve"> deberá proceder a la </w:t>
      </w:r>
      <w:r w:rsidR="00523B86" w:rsidRPr="002A43E6">
        <w:rPr>
          <w:rFonts w:ascii="Tahoma" w:hAnsi="Tahoma" w:cs="Tahoma"/>
          <w:lang w:eastAsia="es-ES"/>
        </w:rPr>
        <w:t xml:space="preserve">notificación </w:t>
      </w:r>
      <w:r w:rsidR="00CD005A" w:rsidRPr="002A43E6">
        <w:rPr>
          <w:rFonts w:ascii="Tahoma" w:hAnsi="Tahoma" w:cs="Tahoma"/>
          <w:lang w:eastAsia="es-ES"/>
        </w:rPr>
        <w:t xml:space="preserve">de la señora </w:t>
      </w:r>
      <w:r w:rsidR="00523B86" w:rsidRPr="002A43E6">
        <w:rPr>
          <w:rFonts w:ascii="Tahoma" w:hAnsi="Tahoma" w:cs="Tahoma"/>
          <w:lang w:eastAsia="es-ES"/>
        </w:rPr>
        <w:t>María Florentina Vélez García, o</w:t>
      </w:r>
      <w:r w:rsidR="001B2A4A" w:rsidRPr="002A43E6">
        <w:rPr>
          <w:rFonts w:ascii="Tahoma" w:hAnsi="Tahoma" w:cs="Tahoma"/>
          <w:lang w:eastAsia="es-ES"/>
        </w:rPr>
        <w:t>, en caso de confirmar su deceso</w:t>
      </w:r>
      <w:r w:rsidR="000A426F" w:rsidRPr="002A43E6">
        <w:rPr>
          <w:rFonts w:ascii="Tahoma" w:hAnsi="Tahoma" w:cs="Tahoma"/>
          <w:lang w:eastAsia="es-ES"/>
        </w:rPr>
        <w:t>,</w:t>
      </w:r>
      <w:r w:rsidR="00523B86" w:rsidRPr="002A43E6">
        <w:rPr>
          <w:rFonts w:ascii="Tahoma" w:hAnsi="Tahoma" w:cs="Tahoma"/>
          <w:lang w:eastAsia="es-ES"/>
        </w:rPr>
        <w:t xml:space="preserve"> de sus herederos determinados e indeterminados según se acredite.</w:t>
      </w:r>
    </w:p>
    <w:p w14:paraId="5F1CB5FF" w14:textId="3699CB2F" w:rsidR="3681E831" w:rsidRPr="002A43E6" w:rsidRDefault="3681E831" w:rsidP="002A43E6">
      <w:pPr>
        <w:spacing w:line="276" w:lineRule="auto"/>
        <w:ind w:firstLine="708"/>
        <w:jc w:val="both"/>
        <w:rPr>
          <w:rFonts w:ascii="Tahoma" w:hAnsi="Tahoma" w:cs="Tahoma"/>
          <w:lang w:eastAsia="es-ES"/>
        </w:rPr>
      </w:pPr>
    </w:p>
    <w:p w14:paraId="5EE42EC0" w14:textId="3A4D568D" w:rsidR="3681E831" w:rsidRPr="002A43E6" w:rsidRDefault="3681E831" w:rsidP="002A43E6">
      <w:pPr>
        <w:spacing w:line="276" w:lineRule="auto"/>
        <w:ind w:firstLine="708"/>
        <w:jc w:val="both"/>
        <w:rPr>
          <w:rFonts w:ascii="Tahoma" w:eastAsia="Tahoma" w:hAnsi="Tahoma" w:cs="Tahoma"/>
          <w:lang w:val="es"/>
        </w:rPr>
      </w:pPr>
      <w:r w:rsidRPr="002A43E6">
        <w:rPr>
          <w:rFonts w:ascii="Tahoma" w:eastAsia="Tahoma" w:hAnsi="Tahoma" w:cs="Tahoma"/>
          <w:lang w:val="es"/>
        </w:rPr>
        <w:t xml:space="preserve">Cabe aclarar que, las declaratorias de nulidad han cobijado los actos de notificación en su totalidad conforme se expuso en precedencia, y dadas las irregularidades ninguno de ellos ha empezado a surtirse, por lo que, en aplicación del artículo 2° del Decreto 806 de 2020, adoptado como legislación permanente por la Ley 2213 de 2020, que dispone que se podrán utilizar las tecnologías de la información y de las comunicaciones, en la gestión y trámite de los procesos judiciales y asuntos en curso, a la luz del artículo 8 de los mismos estatutos las notificaciones personales también pueden efectuarse con el envío de la providencia respectiva como mensaje de datos a la dirección electrónica que suministre el interesado, en caso de que se conozca, y el emplazamiento se hará únicamente en el registro nacional de personas emplazadas, sin necesidad de publicación en un medio escrito (artículo 10 </w:t>
      </w:r>
      <w:r w:rsidRPr="002A43E6">
        <w:rPr>
          <w:rFonts w:ascii="Tahoma" w:eastAsia="Tahoma" w:hAnsi="Tahoma" w:cs="Tahoma"/>
          <w:i/>
          <w:iCs/>
          <w:lang w:val="es"/>
        </w:rPr>
        <w:t>ibídem</w:t>
      </w:r>
      <w:r w:rsidRPr="002A43E6">
        <w:rPr>
          <w:rFonts w:ascii="Tahoma" w:eastAsia="Tahoma" w:hAnsi="Tahoma" w:cs="Tahoma"/>
          <w:lang w:val="es"/>
        </w:rPr>
        <w:t>.)</w:t>
      </w:r>
    </w:p>
    <w:p w14:paraId="28E285BB" w14:textId="71CD75C2" w:rsidR="00D413D1" w:rsidRPr="002A43E6" w:rsidRDefault="00D413D1" w:rsidP="002A43E6">
      <w:pPr>
        <w:spacing w:line="276" w:lineRule="auto"/>
        <w:jc w:val="both"/>
        <w:rPr>
          <w:rFonts w:ascii="Tahoma" w:hAnsi="Tahoma" w:cs="Tahoma"/>
          <w:iCs/>
          <w:lang w:eastAsia="es-ES"/>
        </w:rPr>
      </w:pPr>
    </w:p>
    <w:p w14:paraId="6AFDCC94" w14:textId="692F76B4" w:rsidR="000A45EF" w:rsidRPr="002A43E6" w:rsidRDefault="002A1D71" w:rsidP="002A43E6">
      <w:pPr>
        <w:spacing w:line="276" w:lineRule="auto"/>
        <w:ind w:firstLine="708"/>
        <w:jc w:val="both"/>
        <w:rPr>
          <w:rFonts w:ascii="Tahoma" w:hAnsi="Tahoma" w:cs="Tahoma"/>
          <w:lang w:val="es-CO"/>
        </w:rPr>
      </w:pPr>
      <w:r w:rsidRPr="002A43E6">
        <w:rPr>
          <w:rFonts w:ascii="Tahoma" w:hAnsi="Tahoma" w:cs="Tahoma"/>
          <w:lang w:val="es-CO"/>
        </w:rPr>
        <w:lastRenderedPageBreak/>
        <w:t xml:space="preserve">Con base en todo lo dicho, se declarará la nulidad de lo actuado desde </w:t>
      </w:r>
      <w:r w:rsidR="008C472B" w:rsidRPr="002A43E6">
        <w:rPr>
          <w:rFonts w:ascii="Tahoma" w:hAnsi="Tahoma" w:cs="Tahoma"/>
          <w:lang w:val="es-CO"/>
        </w:rPr>
        <w:t xml:space="preserve">el auto </w:t>
      </w:r>
      <w:r w:rsidRPr="002A43E6">
        <w:rPr>
          <w:rFonts w:ascii="Tahoma" w:hAnsi="Tahoma" w:cs="Tahoma"/>
          <w:lang w:val="es-CO"/>
        </w:rPr>
        <w:t>de</w:t>
      </w:r>
      <w:r w:rsidR="00916861" w:rsidRPr="002A43E6">
        <w:rPr>
          <w:rFonts w:ascii="Tahoma" w:hAnsi="Tahoma" w:cs="Tahoma"/>
          <w:lang w:val="es-CO"/>
        </w:rPr>
        <w:t xml:space="preserve">l 10 de septiembre de 2019, por medio del cual </w:t>
      </w:r>
      <w:r w:rsidR="005E022D" w:rsidRPr="002A43E6">
        <w:rPr>
          <w:rFonts w:ascii="Tahoma" w:hAnsi="Tahoma" w:cs="Tahoma"/>
          <w:lang w:val="es-CO"/>
        </w:rPr>
        <w:t>se</w:t>
      </w:r>
      <w:r w:rsidR="00916861" w:rsidRPr="002A43E6">
        <w:rPr>
          <w:rFonts w:ascii="Tahoma" w:hAnsi="Tahoma" w:cs="Tahoma"/>
          <w:lang w:val="es-CO"/>
        </w:rPr>
        <w:t xml:space="preserve"> estuvo a lo resulto por el Tribunal e</w:t>
      </w:r>
      <w:r w:rsidR="005E022D" w:rsidRPr="002A43E6">
        <w:rPr>
          <w:rFonts w:ascii="Tahoma" w:hAnsi="Tahoma" w:cs="Tahoma"/>
          <w:lang w:val="es-CO"/>
        </w:rPr>
        <w:t xml:space="preserve">n providencia del </w:t>
      </w:r>
      <w:r w:rsidRPr="002A43E6">
        <w:rPr>
          <w:rFonts w:ascii="Tahoma" w:hAnsi="Tahoma" w:cs="Tahoma"/>
          <w:lang w:val="es-CO"/>
        </w:rPr>
        <w:t xml:space="preserve">13 de agosto de 2019, salvo </w:t>
      </w:r>
      <w:r w:rsidR="00104DE1" w:rsidRPr="002A43E6">
        <w:rPr>
          <w:rFonts w:ascii="Tahoma" w:hAnsi="Tahoma" w:cs="Tahoma"/>
          <w:lang w:val="es-CO"/>
        </w:rPr>
        <w:t>las siguientes actuaciones generadas con posterioridad al auto que acogió la providencia anterior</w:t>
      </w:r>
      <w:r w:rsidR="002726B6" w:rsidRPr="002A43E6">
        <w:rPr>
          <w:rFonts w:ascii="Tahoma" w:hAnsi="Tahoma" w:cs="Tahoma"/>
          <w:lang w:val="es-CO"/>
        </w:rPr>
        <w:t xml:space="preserve"> por economía procesal</w:t>
      </w:r>
      <w:r w:rsidR="00104DE1" w:rsidRPr="002A43E6">
        <w:rPr>
          <w:rFonts w:ascii="Tahoma" w:hAnsi="Tahoma" w:cs="Tahoma"/>
          <w:lang w:val="es-CO"/>
        </w:rPr>
        <w:t xml:space="preserve">, esto es, </w:t>
      </w:r>
      <w:r w:rsidRPr="002A43E6">
        <w:rPr>
          <w:rFonts w:ascii="Tahoma" w:hAnsi="Tahoma" w:cs="Tahoma"/>
          <w:lang w:val="es-CO"/>
        </w:rPr>
        <w:t xml:space="preserve">la notificación personal del señor </w:t>
      </w:r>
      <w:r w:rsidRPr="002A43E6">
        <w:rPr>
          <w:rFonts w:ascii="Tahoma" w:hAnsi="Tahoma" w:cs="Tahoma"/>
        </w:rPr>
        <w:t>Heriberto de Jesús Morales Arroyave (18 de diciembre de 2019)</w:t>
      </w:r>
      <w:r w:rsidR="00503B1C" w:rsidRPr="002A43E6">
        <w:rPr>
          <w:rFonts w:ascii="Tahoma" w:hAnsi="Tahoma" w:cs="Tahoma"/>
        </w:rPr>
        <w:t xml:space="preserve">, </w:t>
      </w:r>
      <w:r w:rsidR="0090130C" w:rsidRPr="002A43E6">
        <w:rPr>
          <w:rFonts w:ascii="Tahoma" w:hAnsi="Tahoma" w:cs="Tahoma"/>
        </w:rPr>
        <w:t>la renuncia al poder presentada por el apoderado del codemandado Juan Carlos Álvarez Medina</w:t>
      </w:r>
      <w:r w:rsidR="002726B6" w:rsidRPr="002A43E6">
        <w:rPr>
          <w:rFonts w:ascii="Tahoma" w:hAnsi="Tahoma" w:cs="Tahoma"/>
        </w:rPr>
        <w:t>, la aceptación de la misma mediante auto del 21 de mayo de 2021</w:t>
      </w:r>
      <w:r w:rsidR="0090130C" w:rsidRPr="002A43E6">
        <w:rPr>
          <w:rFonts w:ascii="Tahoma" w:hAnsi="Tahoma" w:cs="Tahoma"/>
        </w:rPr>
        <w:t xml:space="preserve"> </w:t>
      </w:r>
      <w:r w:rsidRPr="002A43E6">
        <w:rPr>
          <w:rFonts w:ascii="Tahoma" w:hAnsi="Tahoma" w:cs="Tahoma"/>
        </w:rPr>
        <w:t xml:space="preserve">y las pruebas practicadas dentro del proceso, </w:t>
      </w:r>
      <w:r w:rsidR="005F242F" w:rsidRPr="002A43E6">
        <w:rPr>
          <w:rFonts w:ascii="Tahoma" w:hAnsi="Tahoma" w:cs="Tahoma"/>
        </w:rPr>
        <w:t>a la luz d</w:t>
      </w:r>
      <w:r w:rsidRPr="002A43E6">
        <w:rPr>
          <w:rFonts w:ascii="Tahoma" w:hAnsi="Tahoma" w:cs="Tahoma"/>
        </w:rPr>
        <w:t>el artículo 138 del Código General del Proce</w:t>
      </w:r>
      <w:r w:rsidR="005E022D" w:rsidRPr="002A43E6">
        <w:rPr>
          <w:rFonts w:ascii="Tahoma" w:hAnsi="Tahoma" w:cs="Tahoma"/>
        </w:rPr>
        <w:t xml:space="preserve">so. </w:t>
      </w:r>
    </w:p>
    <w:p w14:paraId="14464AE8" w14:textId="77777777" w:rsidR="001808D5" w:rsidRPr="002A43E6" w:rsidRDefault="001808D5" w:rsidP="002A43E6">
      <w:pPr>
        <w:spacing w:line="276" w:lineRule="auto"/>
        <w:rPr>
          <w:rFonts w:ascii="Tahoma" w:eastAsia="Tahoma" w:hAnsi="Tahoma" w:cs="Tahoma"/>
          <w:highlight w:val="white"/>
          <w:lang w:val="es-CO"/>
        </w:rPr>
      </w:pPr>
    </w:p>
    <w:p w14:paraId="4001C7E2" w14:textId="44A0D12D" w:rsidR="008C0B82" w:rsidRPr="002A43E6" w:rsidRDefault="00B00BC8" w:rsidP="002A43E6">
      <w:pPr>
        <w:spacing w:line="276" w:lineRule="auto"/>
        <w:ind w:firstLine="708"/>
        <w:jc w:val="both"/>
        <w:rPr>
          <w:rFonts w:ascii="Tahoma" w:eastAsia="Tahoma" w:hAnsi="Tahoma" w:cs="Tahoma"/>
          <w:highlight w:val="white"/>
        </w:rPr>
      </w:pPr>
      <w:r w:rsidRPr="002A43E6">
        <w:rPr>
          <w:rFonts w:ascii="Tahoma" w:eastAsia="Tahoma" w:hAnsi="Tahoma" w:cs="Tahoma"/>
        </w:rPr>
        <w:t xml:space="preserve">En mérito de lo expuesto, el </w:t>
      </w:r>
      <w:r w:rsidRPr="002A43E6">
        <w:rPr>
          <w:rFonts w:ascii="Tahoma" w:eastAsia="Tahoma" w:hAnsi="Tahoma" w:cs="Tahoma"/>
          <w:b/>
          <w:bCs/>
        </w:rPr>
        <w:t>Tribunal Superior del Distrito Judicial de Pereira (Risaralda)</w:t>
      </w:r>
      <w:r w:rsidRPr="002A43E6">
        <w:rPr>
          <w:rFonts w:ascii="Tahoma" w:eastAsia="Tahoma" w:hAnsi="Tahoma" w:cs="Tahoma"/>
        </w:rPr>
        <w:t xml:space="preserve">, </w:t>
      </w:r>
      <w:r w:rsidRPr="002A43E6">
        <w:rPr>
          <w:rFonts w:ascii="Tahoma" w:eastAsia="Tahoma" w:hAnsi="Tahoma" w:cs="Tahoma"/>
          <w:b/>
          <w:bCs/>
        </w:rPr>
        <w:t>Sala Laboral No. 1</w:t>
      </w:r>
      <w:r w:rsidRPr="002A43E6">
        <w:rPr>
          <w:rFonts w:ascii="Tahoma" w:eastAsia="Tahoma" w:hAnsi="Tahoma" w:cs="Tahoma"/>
        </w:rPr>
        <w:t xml:space="preserve">, </w:t>
      </w:r>
    </w:p>
    <w:p w14:paraId="324E0C74" w14:textId="7C321E11" w:rsidR="41671374" w:rsidRPr="002A43E6" w:rsidRDefault="41671374" w:rsidP="002A43E6">
      <w:pPr>
        <w:spacing w:line="276" w:lineRule="auto"/>
        <w:ind w:firstLine="708"/>
        <w:jc w:val="both"/>
        <w:rPr>
          <w:rFonts w:ascii="Tahoma" w:eastAsia="Tahoma" w:hAnsi="Tahoma" w:cs="Tahoma"/>
        </w:rPr>
      </w:pPr>
    </w:p>
    <w:p w14:paraId="1F5E0963" w14:textId="77777777" w:rsidR="008C0B82" w:rsidRPr="002A43E6" w:rsidRDefault="008C0B82" w:rsidP="002A43E6">
      <w:pPr>
        <w:tabs>
          <w:tab w:val="left" w:pos="748"/>
        </w:tabs>
        <w:spacing w:line="276" w:lineRule="auto"/>
        <w:rPr>
          <w:rFonts w:ascii="Tahoma" w:eastAsia="Tahoma" w:hAnsi="Tahoma" w:cs="Tahoma"/>
        </w:rPr>
      </w:pPr>
    </w:p>
    <w:p w14:paraId="759ADE19" w14:textId="77F08073" w:rsidR="008C0B82" w:rsidRPr="002A43E6" w:rsidRDefault="00B00BC8" w:rsidP="002A43E6">
      <w:pPr>
        <w:widowControl w:val="0"/>
        <w:spacing w:line="276" w:lineRule="auto"/>
        <w:jc w:val="center"/>
        <w:rPr>
          <w:rFonts w:ascii="Tahoma" w:eastAsia="Tahoma" w:hAnsi="Tahoma" w:cs="Tahoma"/>
          <w:b/>
        </w:rPr>
      </w:pPr>
      <w:r w:rsidRPr="002A43E6">
        <w:rPr>
          <w:rFonts w:ascii="Tahoma" w:eastAsia="Tahoma" w:hAnsi="Tahoma" w:cs="Tahoma"/>
          <w:b/>
        </w:rPr>
        <w:t>RESUELV</w:t>
      </w:r>
      <w:r w:rsidR="003B2126" w:rsidRPr="002A43E6">
        <w:rPr>
          <w:rFonts w:ascii="Tahoma" w:eastAsia="Tahoma" w:hAnsi="Tahoma" w:cs="Tahoma"/>
          <w:b/>
        </w:rPr>
        <w:t>E</w:t>
      </w:r>
    </w:p>
    <w:p w14:paraId="51475BB1" w14:textId="77777777" w:rsidR="008C0B82" w:rsidRPr="002A43E6" w:rsidRDefault="008C0B82" w:rsidP="002A43E6">
      <w:pPr>
        <w:widowControl w:val="0"/>
        <w:spacing w:line="276" w:lineRule="auto"/>
        <w:jc w:val="center"/>
        <w:rPr>
          <w:rFonts w:ascii="Tahoma" w:eastAsia="Tahoma" w:hAnsi="Tahoma" w:cs="Tahoma"/>
          <w:b/>
        </w:rPr>
      </w:pPr>
    </w:p>
    <w:p w14:paraId="399583D2" w14:textId="5CE9C7DB" w:rsidR="008C0B82" w:rsidRPr="002A43E6" w:rsidRDefault="00B00BC8" w:rsidP="002A43E6">
      <w:pPr>
        <w:spacing w:line="276" w:lineRule="auto"/>
        <w:ind w:firstLine="708"/>
        <w:jc w:val="both"/>
        <w:rPr>
          <w:rFonts w:ascii="Tahoma" w:eastAsia="Tahoma" w:hAnsi="Tahoma" w:cs="Tahoma"/>
          <w:bCs/>
          <w:lang w:val="es-CO"/>
        </w:rPr>
      </w:pPr>
      <w:r w:rsidRPr="002A43E6">
        <w:rPr>
          <w:rFonts w:ascii="Tahoma" w:eastAsia="Tahoma" w:hAnsi="Tahoma" w:cs="Tahoma"/>
          <w:b/>
          <w:u w:val="single"/>
        </w:rPr>
        <w:t>PRIMERO</w:t>
      </w:r>
      <w:r w:rsidR="0014280D" w:rsidRPr="002A43E6">
        <w:rPr>
          <w:rFonts w:ascii="Tahoma" w:eastAsia="Tahoma" w:hAnsi="Tahoma" w:cs="Tahoma"/>
          <w:b/>
        </w:rPr>
        <w:t xml:space="preserve">: DECLARAR </w:t>
      </w:r>
      <w:r w:rsidR="0014280D" w:rsidRPr="002A43E6">
        <w:rPr>
          <w:rFonts w:ascii="Tahoma" w:eastAsia="Tahoma" w:hAnsi="Tahoma" w:cs="Tahoma"/>
          <w:bCs/>
        </w:rPr>
        <w:t>la nulidad de lo actuado en e</w:t>
      </w:r>
      <w:r w:rsidR="0076425F" w:rsidRPr="002A43E6">
        <w:rPr>
          <w:rFonts w:ascii="Tahoma" w:eastAsia="Tahoma" w:hAnsi="Tahoma" w:cs="Tahoma"/>
          <w:bCs/>
        </w:rPr>
        <w:t xml:space="preserve">ste proceso </w:t>
      </w:r>
      <w:r w:rsidR="0076425F" w:rsidRPr="002A43E6">
        <w:rPr>
          <w:rFonts w:ascii="Tahoma" w:eastAsia="Tahoma" w:hAnsi="Tahoma" w:cs="Tahoma"/>
          <w:bCs/>
          <w:lang w:val="es-CO"/>
        </w:rPr>
        <w:t xml:space="preserve">desde el auto del 10 de septiembre de 2019, por medio del cual se estuvo a lo resulto por el Tribunal en providencia del 13 de agosto de 2019, salvo la notificación personal del señor </w:t>
      </w:r>
      <w:r w:rsidR="0076425F" w:rsidRPr="002A43E6">
        <w:rPr>
          <w:rFonts w:ascii="Tahoma" w:eastAsia="Tahoma" w:hAnsi="Tahoma" w:cs="Tahoma"/>
          <w:bCs/>
        </w:rPr>
        <w:t xml:space="preserve">Heriberto de Jesús Morales Arroyave (18 de diciembre de 2019), la renuncia al poder presentada por el apoderado del codemandado Juan Carlos Álvarez Medina, la aceptación de la misma mediante auto del 21 de mayo de 2021 y las pruebas practicadas dentro del proceso, a la luz del artículo 138 del Código General del Proceso. </w:t>
      </w:r>
    </w:p>
    <w:p w14:paraId="1A125233" w14:textId="4BE83DCD" w:rsidR="005821E6" w:rsidRPr="002A43E6" w:rsidRDefault="005821E6" w:rsidP="002A43E6">
      <w:pPr>
        <w:spacing w:line="276" w:lineRule="auto"/>
        <w:ind w:firstLine="708"/>
        <w:jc w:val="both"/>
        <w:rPr>
          <w:rFonts w:ascii="Tahoma" w:hAnsi="Tahoma" w:cs="Tahoma"/>
        </w:rPr>
      </w:pPr>
    </w:p>
    <w:p w14:paraId="2797CD8F" w14:textId="67B98C51" w:rsidR="005821E6" w:rsidRPr="002A43E6" w:rsidRDefault="005821E6" w:rsidP="002A43E6">
      <w:pPr>
        <w:spacing w:line="276" w:lineRule="auto"/>
        <w:ind w:firstLine="708"/>
        <w:jc w:val="both"/>
        <w:rPr>
          <w:rFonts w:ascii="Tahoma" w:hAnsi="Tahoma" w:cs="Tahoma"/>
          <w:iCs/>
          <w:lang w:val="es-CO" w:eastAsia="es-ES"/>
        </w:rPr>
      </w:pPr>
      <w:r w:rsidRPr="002A43E6">
        <w:rPr>
          <w:rFonts w:ascii="Tahoma" w:hAnsi="Tahoma" w:cs="Tahoma"/>
          <w:b/>
          <w:bCs/>
          <w:u w:val="single"/>
        </w:rPr>
        <w:t>SEGUNDO:</w:t>
      </w:r>
      <w:r w:rsidRPr="002A43E6">
        <w:rPr>
          <w:rFonts w:ascii="Tahoma" w:hAnsi="Tahoma" w:cs="Tahoma"/>
        </w:rPr>
        <w:t xml:space="preserve"> </w:t>
      </w:r>
      <w:r w:rsidRPr="002A43E6">
        <w:rPr>
          <w:rFonts w:ascii="Tahoma" w:hAnsi="Tahoma" w:cs="Tahoma"/>
          <w:b/>
          <w:bCs/>
        </w:rPr>
        <w:t>INSTAR</w:t>
      </w:r>
      <w:r w:rsidRPr="002A43E6">
        <w:rPr>
          <w:rFonts w:ascii="Tahoma" w:hAnsi="Tahoma" w:cs="Tahoma"/>
        </w:rPr>
        <w:t xml:space="preserve"> </w:t>
      </w:r>
      <w:r w:rsidRPr="002A43E6">
        <w:rPr>
          <w:rFonts w:ascii="Tahoma" w:hAnsi="Tahoma" w:cs="Tahoma"/>
          <w:iCs/>
          <w:lang w:eastAsia="es-ES"/>
        </w:rPr>
        <w:t xml:space="preserve">al </w:t>
      </w:r>
      <w:bookmarkStart w:id="11" w:name="_Hlk107494751"/>
      <w:r w:rsidR="00FA0AC4" w:rsidRPr="002A43E6">
        <w:rPr>
          <w:rFonts w:ascii="Tahoma" w:hAnsi="Tahoma" w:cs="Tahoma"/>
          <w:iCs/>
          <w:lang w:eastAsia="es-ES"/>
        </w:rPr>
        <w:t xml:space="preserve">Juzgado Promiscuo del Circuito de Belén de Umbría </w:t>
      </w:r>
      <w:bookmarkEnd w:id="11"/>
      <w:r w:rsidRPr="002A43E6">
        <w:rPr>
          <w:rFonts w:ascii="Tahoma" w:hAnsi="Tahoma" w:cs="Tahoma"/>
          <w:iCs/>
          <w:lang w:eastAsia="es-ES"/>
        </w:rPr>
        <w:t xml:space="preserve">para que cumpla a cabalidad con la providencia emitida por este Tribunal el </w:t>
      </w:r>
      <w:r w:rsidRPr="002A43E6">
        <w:rPr>
          <w:rFonts w:ascii="Tahoma" w:hAnsi="Tahoma" w:cs="Tahoma"/>
          <w:iCs/>
          <w:lang w:val="es-CO" w:eastAsia="es-ES"/>
        </w:rPr>
        <w:t>13 de agosto de 2019</w:t>
      </w:r>
      <w:r w:rsidR="009868C9" w:rsidRPr="002A43E6">
        <w:rPr>
          <w:rFonts w:ascii="Tahoma" w:hAnsi="Tahoma" w:cs="Tahoma"/>
          <w:iCs/>
          <w:lang w:val="es-CO" w:eastAsia="es-ES"/>
        </w:rPr>
        <w:t>.</w:t>
      </w:r>
    </w:p>
    <w:p w14:paraId="4E29F56D" w14:textId="3AB93FCC" w:rsidR="009868C9" w:rsidRPr="002A43E6" w:rsidRDefault="009868C9" w:rsidP="002A43E6">
      <w:pPr>
        <w:spacing w:line="276" w:lineRule="auto"/>
        <w:ind w:firstLine="708"/>
        <w:jc w:val="both"/>
        <w:rPr>
          <w:rFonts w:ascii="Tahoma" w:hAnsi="Tahoma" w:cs="Tahoma"/>
          <w:iCs/>
          <w:lang w:val="es-CO" w:eastAsia="es-ES"/>
        </w:rPr>
      </w:pPr>
    </w:p>
    <w:p w14:paraId="5448FB22" w14:textId="2B509A56" w:rsidR="00FA0AC4" w:rsidRPr="002A43E6" w:rsidRDefault="00AF7E6E" w:rsidP="002A43E6">
      <w:pPr>
        <w:spacing w:line="276" w:lineRule="auto"/>
        <w:ind w:firstLine="708"/>
        <w:jc w:val="both"/>
        <w:rPr>
          <w:rFonts w:ascii="Tahoma" w:eastAsia="Tahoma" w:hAnsi="Tahoma" w:cs="Tahoma"/>
        </w:rPr>
      </w:pPr>
      <w:r w:rsidRPr="002A43E6">
        <w:rPr>
          <w:rFonts w:ascii="Tahoma" w:eastAsia="Tahoma" w:hAnsi="Tahoma" w:cs="Tahoma"/>
          <w:b/>
          <w:bCs/>
          <w:u w:val="single"/>
        </w:rPr>
        <w:t>TERCERO:</w:t>
      </w:r>
      <w:r w:rsidRPr="002A43E6">
        <w:rPr>
          <w:rFonts w:ascii="Tahoma" w:eastAsia="Tahoma" w:hAnsi="Tahoma" w:cs="Tahoma"/>
          <w:b/>
          <w:bCs/>
        </w:rPr>
        <w:t xml:space="preserve"> </w:t>
      </w:r>
      <w:r w:rsidR="0049390E" w:rsidRPr="002A43E6">
        <w:rPr>
          <w:rFonts w:ascii="Tahoma" w:eastAsia="Tahoma" w:hAnsi="Tahoma" w:cs="Tahoma"/>
          <w:b/>
          <w:bCs/>
        </w:rPr>
        <w:t xml:space="preserve">ORDENAR </w:t>
      </w:r>
      <w:r w:rsidR="0049390E" w:rsidRPr="002A43E6">
        <w:rPr>
          <w:rFonts w:ascii="Tahoma" w:eastAsia="Tahoma" w:hAnsi="Tahoma" w:cs="Tahoma"/>
        </w:rPr>
        <w:t xml:space="preserve">que, una vez en firme este auto, se devuelva el proceso al Juzgado de </w:t>
      </w:r>
      <w:r w:rsidR="00161C9B" w:rsidRPr="002A43E6">
        <w:rPr>
          <w:rFonts w:ascii="Tahoma" w:eastAsia="Tahoma" w:hAnsi="Tahoma" w:cs="Tahoma"/>
        </w:rPr>
        <w:t>origen, para que proceda según lo expuesto en la parte motiva de la providencia.</w:t>
      </w:r>
    </w:p>
    <w:p w14:paraId="0DDEFF45" w14:textId="77777777" w:rsidR="008C0B82" w:rsidRPr="002A43E6" w:rsidRDefault="008C0B82" w:rsidP="002A43E6">
      <w:pPr>
        <w:spacing w:line="276" w:lineRule="auto"/>
        <w:rPr>
          <w:rFonts w:ascii="Tahoma" w:eastAsia="Tahoma" w:hAnsi="Tahoma" w:cs="Tahoma"/>
        </w:rPr>
      </w:pPr>
    </w:p>
    <w:p w14:paraId="3EF3B8EE" w14:textId="77777777" w:rsidR="008C0B82" w:rsidRPr="002A43E6" w:rsidRDefault="00B00BC8" w:rsidP="002A43E6">
      <w:pPr>
        <w:spacing w:line="276" w:lineRule="auto"/>
        <w:ind w:firstLine="709"/>
        <w:jc w:val="both"/>
        <w:rPr>
          <w:rFonts w:ascii="Tahoma" w:eastAsia="Tahoma" w:hAnsi="Tahoma" w:cs="Tahoma"/>
        </w:rPr>
      </w:pPr>
      <w:r w:rsidRPr="002A43E6">
        <w:rPr>
          <w:rFonts w:ascii="Tahoma" w:eastAsia="Tahoma" w:hAnsi="Tahoma" w:cs="Tahoma"/>
          <w:b/>
        </w:rPr>
        <w:t>Notifíquese y cúmplase.</w:t>
      </w:r>
    </w:p>
    <w:p w14:paraId="4879C05E" w14:textId="77777777" w:rsidR="00D4518F" w:rsidRPr="00D4518F" w:rsidRDefault="00D4518F" w:rsidP="00D4518F">
      <w:pPr>
        <w:spacing w:line="276" w:lineRule="auto"/>
        <w:jc w:val="both"/>
        <w:rPr>
          <w:rFonts w:ascii="Tahoma" w:eastAsia="Segoe UI" w:hAnsi="Tahoma" w:cs="Tahoma"/>
          <w:lang w:val="es-CO"/>
        </w:rPr>
      </w:pPr>
    </w:p>
    <w:p w14:paraId="01D5B89C" w14:textId="77777777" w:rsidR="00D4518F" w:rsidRPr="00D4518F" w:rsidRDefault="00D4518F" w:rsidP="00D4518F">
      <w:pPr>
        <w:widowControl w:val="0"/>
        <w:autoSpaceDE w:val="0"/>
        <w:autoSpaceDN w:val="0"/>
        <w:adjustRightInd w:val="0"/>
        <w:spacing w:line="276" w:lineRule="auto"/>
        <w:jc w:val="both"/>
        <w:rPr>
          <w:rFonts w:ascii="Tahoma" w:hAnsi="Tahoma" w:cs="Tahoma"/>
          <w:lang w:eastAsia="es-ES"/>
        </w:rPr>
      </w:pPr>
      <w:r w:rsidRPr="00D4518F">
        <w:rPr>
          <w:rFonts w:ascii="Tahoma" w:hAnsi="Tahoma" w:cs="Tahoma"/>
          <w:lang w:eastAsia="es-ES"/>
        </w:rPr>
        <w:tab/>
        <w:t>La Magistrada ponente,</w:t>
      </w:r>
    </w:p>
    <w:p w14:paraId="7F17DFB5" w14:textId="77777777" w:rsidR="00D4518F" w:rsidRPr="00D4518F" w:rsidRDefault="00D4518F" w:rsidP="00D4518F">
      <w:pPr>
        <w:spacing w:line="276" w:lineRule="auto"/>
        <w:rPr>
          <w:rFonts w:ascii="Tahoma" w:hAnsi="Tahoma" w:cs="Tahoma"/>
          <w:lang w:eastAsia="es-ES"/>
        </w:rPr>
      </w:pPr>
    </w:p>
    <w:p w14:paraId="51EE14F2" w14:textId="77777777" w:rsidR="00D4518F" w:rsidRPr="00D4518F" w:rsidRDefault="00D4518F" w:rsidP="00D4518F">
      <w:pPr>
        <w:spacing w:line="276" w:lineRule="auto"/>
        <w:rPr>
          <w:rFonts w:ascii="Tahoma" w:hAnsi="Tahoma" w:cs="Tahoma"/>
          <w:lang w:eastAsia="es-ES"/>
        </w:rPr>
      </w:pPr>
    </w:p>
    <w:p w14:paraId="35A671F0" w14:textId="77777777" w:rsidR="00D4518F" w:rsidRPr="00D4518F" w:rsidRDefault="00D4518F" w:rsidP="00D4518F">
      <w:pPr>
        <w:spacing w:line="276" w:lineRule="auto"/>
        <w:rPr>
          <w:rFonts w:ascii="Tahoma" w:hAnsi="Tahoma" w:cs="Tahoma"/>
          <w:lang w:eastAsia="es-ES"/>
        </w:rPr>
      </w:pPr>
    </w:p>
    <w:p w14:paraId="4D6DDEDA" w14:textId="77777777" w:rsidR="00D4518F" w:rsidRPr="00D4518F" w:rsidRDefault="00D4518F" w:rsidP="00D4518F">
      <w:pPr>
        <w:keepNext/>
        <w:spacing w:line="276" w:lineRule="auto"/>
        <w:jc w:val="center"/>
        <w:outlineLvl w:val="2"/>
        <w:rPr>
          <w:rFonts w:ascii="Tahoma" w:hAnsi="Tahoma" w:cs="Tahoma"/>
          <w:b/>
          <w:bCs/>
          <w:lang w:eastAsia="es-ES"/>
        </w:rPr>
      </w:pPr>
      <w:r w:rsidRPr="00D4518F">
        <w:rPr>
          <w:rFonts w:ascii="Tahoma" w:hAnsi="Tahoma" w:cs="Tahoma"/>
          <w:b/>
          <w:bCs/>
          <w:lang w:eastAsia="es-ES"/>
        </w:rPr>
        <w:t>ANA LUCÍA CAICEDO CALDERÓN</w:t>
      </w:r>
    </w:p>
    <w:p w14:paraId="0B0B22CC" w14:textId="77777777" w:rsidR="00D4518F" w:rsidRPr="00D4518F" w:rsidRDefault="00D4518F" w:rsidP="00D4518F">
      <w:pPr>
        <w:spacing w:line="276" w:lineRule="auto"/>
        <w:rPr>
          <w:rFonts w:ascii="Tahoma" w:hAnsi="Tahoma" w:cs="Tahoma"/>
          <w:lang w:eastAsia="es-ES"/>
        </w:rPr>
      </w:pPr>
    </w:p>
    <w:p w14:paraId="4542982B" w14:textId="77777777" w:rsidR="00D4518F" w:rsidRPr="00D4518F" w:rsidRDefault="00D4518F" w:rsidP="00D4518F">
      <w:pPr>
        <w:spacing w:line="276" w:lineRule="auto"/>
        <w:ind w:firstLine="708"/>
        <w:rPr>
          <w:rFonts w:ascii="Tahoma" w:hAnsi="Tahoma" w:cs="Tahoma"/>
          <w:lang w:eastAsia="es-ES"/>
        </w:rPr>
      </w:pPr>
      <w:bookmarkStart w:id="12" w:name="_Hlk62478330"/>
      <w:r w:rsidRPr="00D4518F">
        <w:rPr>
          <w:rFonts w:ascii="Tahoma" w:hAnsi="Tahoma" w:cs="Tahoma"/>
          <w:lang w:eastAsia="es-ES"/>
        </w:rPr>
        <w:t>La Magistrada y el Magistrado,</w:t>
      </w:r>
    </w:p>
    <w:p w14:paraId="26D47BF8" w14:textId="77777777" w:rsidR="00D4518F" w:rsidRPr="00D4518F" w:rsidRDefault="00D4518F" w:rsidP="00D4518F">
      <w:pPr>
        <w:spacing w:line="276" w:lineRule="auto"/>
        <w:rPr>
          <w:rFonts w:ascii="Tahoma" w:hAnsi="Tahoma" w:cs="Tahoma"/>
          <w:lang w:eastAsia="es-ES"/>
        </w:rPr>
      </w:pPr>
    </w:p>
    <w:p w14:paraId="40A4A479" w14:textId="77777777" w:rsidR="00D4518F" w:rsidRPr="00D4518F" w:rsidRDefault="00D4518F" w:rsidP="00D4518F">
      <w:pPr>
        <w:spacing w:line="276" w:lineRule="auto"/>
        <w:rPr>
          <w:rFonts w:ascii="Tahoma" w:hAnsi="Tahoma" w:cs="Tahoma"/>
          <w:lang w:eastAsia="es-ES"/>
        </w:rPr>
      </w:pPr>
    </w:p>
    <w:p w14:paraId="07468576" w14:textId="77777777" w:rsidR="00D4518F" w:rsidRPr="00D4518F" w:rsidRDefault="00D4518F" w:rsidP="00D4518F">
      <w:pPr>
        <w:spacing w:line="276" w:lineRule="auto"/>
        <w:rPr>
          <w:rFonts w:ascii="Tahoma" w:hAnsi="Tahoma" w:cs="Tahoma"/>
          <w:lang w:eastAsia="es-ES"/>
        </w:rPr>
      </w:pPr>
    </w:p>
    <w:p w14:paraId="4817B4E5" w14:textId="77A3FB22" w:rsidR="008C0B82" w:rsidRPr="00D4518F" w:rsidRDefault="00D4518F" w:rsidP="00D4518F">
      <w:pPr>
        <w:spacing w:line="276" w:lineRule="auto"/>
        <w:jc w:val="both"/>
        <w:rPr>
          <w:rFonts w:ascii="Tahoma" w:hAnsi="Tahoma" w:cs="Tahoma"/>
          <w:b/>
          <w:bCs/>
          <w:lang w:eastAsia="es-ES"/>
        </w:rPr>
      </w:pPr>
      <w:r w:rsidRPr="00D4518F">
        <w:rPr>
          <w:rFonts w:ascii="Tahoma" w:hAnsi="Tahoma" w:cs="Tahoma"/>
          <w:b/>
          <w:bCs/>
          <w:lang w:eastAsia="es-ES"/>
        </w:rPr>
        <w:t>OLGA LUCÍA HOYOS SEPÚLVEDA</w:t>
      </w:r>
      <w:r w:rsidRPr="00D4518F">
        <w:rPr>
          <w:rFonts w:ascii="Tahoma" w:hAnsi="Tahoma" w:cs="Tahoma"/>
          <w:b/>
          <w:bCs/>
          <w:lang w:eastAsia="es-ES"/>
        </w:rPr>
        <w:tab/>
      </w:r>
      <w:r w:rsidRPr="00D4518F">
        <w:rPr>
          <w:rFonts w:ascii="Tahoma" w:hAnsi="Tahoma" w:cs="Tahoma"/>
          <w:b/>
          <w:bCs/>
          <w:lang w:eastAsia="es-ES"/>
        </w:rPr>
        <w:tab/>
        <w:t>GERMÁN DARÍO GÓEZ VINASCO</w:t>
      </w:r>
      <w:bookmarkEnd w:id="12"/>
    </w:p>
    <w:sectPr w:rsidR="008C0B82" w:rsidRPr="00D4518F" w:rsidSect="002A43E6">
      <w:headerReference w:type="even" r:id="rId14"/>
      <w:headerReference w:type="default" r:id="rId15"/>
      <w:footerReference w:type="default" r:id="rId16"/>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4B1ACC" w16cex:dateUtc="2022-07-06T18:43:57.951Z"/>
  <w16cex:commentExtensible w16cex:durableId="33415DE5" w16cex:dateUtc="2022-07-07T18:11:43.8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ECF7" w14:textId="77777777" w:rsidR="00A3749D" w:rsidRDefault="00A3749D">
      <w:r>
        <w:separator/>
      </w:r>
    </w:p>
  </w:endnote>
  <w:endnote w:type="continuationSeparator" w:id="0">
    <w:p w14:paraId="7F1DFC11" w14:textId="77777777" w:rsidR="00A3749D" w:rsidRDefault="00A3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Default="00B00BC8" w:rsidP="000003CA">
    <w:pPr>
      <w:pBdr>
        <w:top w:val="nil"/>
        <w:left w:val="nil"/>
        <w:bottom w:val="nil"/>
        <w:right w:val="nil"/>
        <w:between w:val="nil"/>
      </w:pBdr>
      <w:jc w:val="right"/>
      <w:rPr>
        <w:color w:val="000000"/>
      </w:rPr>
    </w:pPr>
    <w:r w:rsidRPr="000003CA">
      <w:rPr>
        <w:rFonts w:ascii="Arial" w:eastAsia="Tahoma" w:hAnsi="Arial" w:cs="Arial"/>
        <w:color w:val="000000"/>
        <w:sz w:val="18"/>
        <w:szCs w:val="18"/>
        <w:lang w:val="es-CO"/>
      </w:rPr>
      <w:fldChar w:fldCharType="begin"/>
    </w:r>
    <w:r w:rsidRPr="000003CA">
      <w:rPr>
        <w:rFonts w:ascii="Arial" w:eastAsia="Tahoma" w:hAnsi="Arial" w:cs="Arial"/>
        <w:color w:val="000000"/>
        <w:sz w:val="18"/>
        <w:szCs w:val="18"/>
        <w:lang w:val="es-CO"/>
      </w:rPr>
      <w:instrText>PAGE</w:instrText>
    </w:r>
    <w:r w:rsidRPr="000003CA">
      <w:rPr>
        <w:rFonts w:ascii="Arial" w:eastAsia="Tahoma" w:hAnsi="Arial" w:cs="Arial"/>
        <w:color w:val="000000"/>
        <w:sz w:val="18"/>
        <w:szCs w:val="18"/>
        <w:lang w:val="es-CO"/>
      </w:rPr>
      <w:fldChar w:fldCharType="separate"/>
    </w:r>
    <w:r w:rsidR="00A37BD5" w:rsidRPr="000003CA">
      <w:rPr>
        <w:rFonts w:ascii="Arial" w:eastAsia="Tahoma" w:hAnsi="Arial" w:cs="Arial"/>
        <w:color w:val="000000"/>
        <w:sz w:val="18"/>
        <w:szCs w:val="18"/>
        <w:lang w:val="es-CO"/>
      </w:rPr>
      <w:t>2</w:t>
    </w:r>
    <w:r w:rsidRPr="000003CA">
      <w:rPr>
        <w:rFonts w:ascii="Arial" w:eastAsia="Tahoma" w:hAnsi="Arial" w:cs="Arial"/>
        <w:color w:val="000000"/>
        <w:sz w:val="18"/>
        <w:szCs w:val="18"/>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7EE1" w14:textId="77777777" w:rsidR="00A3749D" w:rsidRDefault="00A3749D">
      <w:r>
        <w:separator/>
      </w:r>
    </w:p>
  </w:footnote>
  <w:footnote w:type="continuationSeparator" w:id="0">
    <w:p w14:paraId="42B20233" w14:textId="77777777" w:rsidR="00A3749D" w:rsidRDefault="00A3749D">
      <w:r>
        <w:continuationSeparator/>
      </w:r>
    </w:p>
  </w:footnote>
  <w:footnote w:id="1">
    <w:p w14:paraId="5CD2B060" w14:textId="624FB1E2" w:rsidR="00366F41" w:rsidRPr="00D4518F" w:rsidRDefault="00366F41"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w:t>
      </w:r>
      <w:bookmarkStart w:id="6" w:name="133"/>
      <w:r w:rsidR="00B22F4B" w:rsidRPr="00D4518F">
        <w:rPr>
          <w:rFonts w:ascii="Arial" w:hAnsi="Arial" w:cs="Arial"/>
          <w:b/>
          <w:bCs/>
          <w:sz w:val="18"/>
        </w:rPr>
        <w:t>ARTÍCULO 133. CAUSALES DE NULIDAD.</w:t>
      </w:r>
      <w:bookmarkEnd w:id="6"/>
      <w:r w:rsidR="00B22F4B" w:rsidRPr="00D4518F">
        <w:rPr>
          <w:rFonts w:ascii="Arial" w:hAnsi="Arial" w:cs="Arial"/>
          <w:sz w:val="18"/>
        </w:rPr>
        <w:t> El proceso es nulo, en todo o en parte, solamente en los siguientes casos:</w:t>
      </w:r>
    </w:p>
    <w:p w14:paraId="266814C1" w14:textId="30DFB3FF" w:rsidR="00B22F4B" w:rsidRPr="00D4518F" w:rsidRDefault="00B22F4B" w:rsidP="000003CA">
      <w:pPr>
        <w:pStyle w:val="Textonotapie"/>
        <w:jc w:val="both"/>
        <w:rPr>
          <w:rFonts w:ascii="Arial" w:hAnsi="Arial" w:cs="Arial"/>
          <w:sz w:val="18"/>
        </w:rPr>
      </w:pPr>
      <w:r w:rsidRPr="00D4518F">
        <w:rPr>
          <w:rFonts w:ascii="Arial" w:hAnsi="Arial" w:cs="Arial"/>
          <w:sz w:val="18"/>
        </w:rPr>
        <w:t xml:space="preserve">(…) </w:t>
      </w:r>
    </w:p>
    <w:p w14:paraId="11091A40" w14:textId="5D9707CD" w:rsidR="00252C32" w:rsidRPr="00D4518F" w:rsidRDefault="00252C32" w:rsidP="000003CA">
      <w:pPr>
        <w:pStyle w:val="Textonotapie"/>
        <w:jc w:val="both"/>
        <w:rPr>
          <w:rFonts w:ascii="Arial" w:hAnsi="Arial" w:cs="Arial"/>
          <w:sz w:val="18"/>
        </w:rPr>
      </w:pPr>
      <w:r w:rsidRPr="00D4518F">
        <w:rPr>
          <w:rFonts w:ascii="Arial" w:hAnsi="Arial" w:cs="Arial"/>
          <w:sz w:val="18"/>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footnote>
  <w:footnote w:id="2">
    <w:p w14:paraId="48E3508E" w14:textId="540726D0" w:rsidR="0085588B" w:rsidRPr="00D4518F" w:rsidRDefault="0085588B" w:rsidP="000003CA">
      <w:pPr>
        <w:pStyle w:val="Textonotapie"/>
        <w:jc w:val="both"/>
        <w:rPr>
          <w:rFonts w:ascii="Arial" w:hAnsi="Arial" w:cs="Arial"/>
          <w:sz w:val="18"/>
        </w:rPr>
      </w:pPr>
      <w:r w:rsidRPr="00D4518F">
        <w:rPr>
          <w:rStyle w:val="Refdenotaalpie"/>
          <w:rFonts w:ascii="Arial" w:hAnsi="Arial" w:cs="Arial"/>
          <w:sz w:val="18"/>
        </w:rPr>
        <w:footnoteRef/>
      </w:r>
      <w:hyperlink r:id="rId1" w:history="1">
        <w:r w:rsidRPr="00D4518F">
          <w:rPr>
            <w:rStyle w:val="Hipervnculo"/>
            <w:rFonts w:ascii="Arial" w:hAnsi="Arial" w:cs="Arial"/>
            <w:sz w:val="18"/>
          </w:rPr>
          <w:t>https://procesos.ramajudicial.gov.co/procesoscs/ConsultaJusticias21.aspx?EntryId=t2E0Gl34HVdgNqwEWCVvGJESs2c%3d</w:t>
        </w:r>
      </w:hyperlink>
    </w:p>
  </w:footnote>
  <w:footnote w:id="3">
    <w:p w14:paraId="1D6ED476" w14:textId="0E0620DD" w:rsidR="0085588B" w:rsidRPr="00D4518F" w:rsidRDefault="0085588B"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w:t>
      </w:r>
      <w:hyperlink r:id="rId2" w:history="1">
        <w:r w:rsidRPr="00D4518F">
          <w:rPr>
            <w:rStyle w:val="Hipervnculo"/>
            <w:rFonts w:ascii="Arial" w:hAnsi="Arial" w:cs="Arial"/>
            <w:sz w:val="18"/>
          </w:rPr>
          <w:t>https://procesojudicial.ramajudicial.gov.co/Justicia21/Administracion/Ciudadanos/frmConsulta</w:t>
        </w:r>
      </w:hyperlink>
    </w:p>
  </w:footnote>
  <w:footnote w:id="4">
    <w:p w14:paraId="01971347" w14:textId="347F3CB1" w:rsidR="00AD5B02" w:rsidRPr="00D4518F" w:rsidRDefault="0085588B"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w:t>
      </w:r>
      <w:hyperlink r:id="rId3" w:history="1">
        <w:r w:rsidR="00AD5B02" w:rsidRPr="00D4518F">
          <w:rPr>
            <w:rStyle w:val="Hipervnculo"/>
            <w:rFonts w:ascii="Arial" w:hAnsi="Arial" w:cs="Arial"/>
            <w:sz w:val="18"/>
          </w:rPr>
          <w:t>https://consultaprocesos.ramajudicial.gov.co/Procesos/JuezClaseProceso</w:t>
        </w:r>
      </w:hyperlink>
    </w:p>
  </w:footnote>
  <w:footnote w:id="5">
    <w:p w14:paraId="1DD81150" w14:textId="60278CDF" w:rsidR="00B81607" w:rsidRPr="00D4518F" w:rsidRDefault="00B81607"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04 del expediente digital, cuaderno de primera instancia</w:t>
      </w:r>
    </w:p>
  </w:footnote>
  <w:footnote w:id="6">
    <w:p w14:paraId="0FF94B9A" w14:textId="5560BFD4" w:rsidR="00FA127F" w:rsidRPr="00D4518F" w:rsidRDefault="00FA127F"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w:t>
      </w:r>
      <w:r w:rsidR="00A63BEF" w:rsidRPr="00D4518F">
        <w:rPr>
          <w:rFonts w:ascii="Arial" w:hAnsi="Arial" w:cs="Arial"/>
          <w:sz w:val="18"/>
        </w:rPr>
        <w:t>Archivo 05 del expediente digital, cuaderno de primera instancia</w:t>
      </w:r>
    </w:p>
  </w:footnote>
  <w:footnote w:id="7">
    <w:p w14:paraId="34DB6291" w14:textId="03960881" w:rsidR="007151EC" w:rsidRPr="00D4518F" w:rsidRDefault="007151EC"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12 del expediente digital, cuaderno de primera instancia</w:t>
      </w:r>
    </w:p>
  </w:footnote>
  <w:footnote w:id="8">
    <w:p w14:paraId="4156A5A9" w14:textId="56240986" w:rsidR="007151EC" w:rsidRPr="00D4518F" w:rsidRDefault="007151EC"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13 del expediente digital, cuaderno de primera instancia</w:t>
      </w:r>
    </w:p>
  </w:footnote>
  <w:footnote w:id="9">
    <w:p w14:paraId="4EED54D7" w14:textId="4A9D57BF" w:rsidR="00C63DAB" w:rsidRPr="00D4518F" w:rsidRDefault="00C63DAB"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Archivos 15 y 16 del expediente digital, cuaderno de primera instancia</w:t>
      </w:r>
    </w:p>
  </w:footnote>
  <w:footnote w:id="10">
    <w:p w14:paraId="3762FEDA" w14:textId="4C6D2BB6" w:rsidR="00DB2A57" w:rsidRPr="00D4518F" w:rsidRDefault="00DB2A57"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17 del expediente digital, cuaderno de primera instancia</w:t>
      </w:r>
    </w:p>
  </w:footnote>
  <w:footnote w:id="11">
    <w:p w14:paraId="2FCB1607" w14:textId="0F1BD4C4" w:rsidR="00442E6C" w:rsidRPr="00D4518F" w:rsidRDefault="00442E6C"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41 </w:t>
      </w:r>
      <w:bookmarkStart w:id="10" w:name="_Hlk107349665"/>
      <w:r w:rsidRPr="00D4518F">
        <w:rPr>
          <w:rFonts w:ascii="Arial" w:hAnsi="Arial" w:cs="Arial"/>
          <w:sz w:val="18"/>
        </w:rPr>
        <w:t>del expediente digital, cuaderno de primera instancia</w:t>
      </w:r>
    </w:p>
    <w:bookmarkEnd w:id="10"/>
  </w:footnote>
  <w:footnote w:id="12">
    <w:p w14:paraId="6DD26010" w14:textId="1C6718A2" w:rsidR="00F80578" w:rsidRPr="00D4518F" w:rsidRDefault="00F80578"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39 del expediente digital, cuaderno de primera instancia</w:t>
      </w:r>
    </w:p>
  </w:footnote>
  <w:footnote w:id="13">
    <w:p w14:paraId="316169B1" w14:textId="77777777" w:rsidR="00E666F0" w:rsidRPr="00D4518F" w:rsidRDefault="00E666F0"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69 del expediente digital, cuaderno de primera instancia</w:t>
      </w:r>
    </w:p>
  </w:footnote>
  <w:footnote w:id="14">
    <w:p w14:paraId="4A79088A" w14:textId="084F0276" w:rsidR="00D94A8F" w:rsidRPr="00D4518F" w:rsidRDefault="00D94A8F"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66 del expediente digital, cuaderno de primera instancia</w:t>
      </w:r>
    </w:p>
  </w:footnote>
  <w:footnote w:id="15">
    <w:p w14:paraId="69884D63" w14:textId="77777777" w:rsidR="00BE33D5" w:rsidRPr="00D4518F" w:rsidRDefault="00BE33D5" w:rsidP="000003CA">
      <w:pPr>
        <w:pStyle w:val="Textonotapie"/>
        <w:jc w:val="both"/>
        <w:rPr>
          <w:rFonts w:ascii="Arial" w:hAnsi="Arial" w:cs="Arial"/>
          <w:sz w:val="18"/>
        </w:rPr>
      </w:pPr>
      <w:r w:rsidRPr="00D4518F">
        <w:rPr>
          <w:rStyle w:val="Refdenotaalpie"/>
          <w:rFonts w:ascii="Arial" w:hAnsi="Arial" w:cs="Arial"/>
          <w:sz w:val="18"/>
        </w:rPr>
        <w:footnoteRef/>
      </w:r>
      <w:r w:rsidRPr="00D4518F">
        <w:rPr>
          <w:rFonts w:ascii="Arial" w:hAnsi="Arial" w:cs="Arial"/>
          <w:sz w:val="18"/>
        </w:rPr>
        <w:t xml:space="preserve"> Archivo 37 del expediente digital,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DC28" w14:textId="6E7D7EDC" w:rsidR="008C0B82" w:rsidRPr="000003CA" w:rsidRDefault="00B00BC8" w:rsidP="000003CA">
    <w:pPr>
      <w:pBdr>
        <w:top w:val="nil"/>
        <w:left w:val="nil"/>
        <w:bottom w:val="nil"/>
        <w:right w:val="nil"/>
        <w:between w:val="nil"/>
      </w:pBdr>
      <w:jc w:val="both"/>
      <w:rPr>
        <w:rFonts w:ascii="Arial" w:eastAsia="Tahoma" w:hAnsi="Arial" w:cs="Arial"/>
        <w:color w:val="000000"/>
        <w:sz w:val="18"/>
        <w:szCs w:val="18"/>
      </w:rPr>
    </w:pPr>
    <w:r w:rsidRPr="000003CA">
      <w:rPr>
        <w:rFonts w:ascii="Arial" w:eastAsia="Tahoma" w:hAnsi="Arial" w:cs="Arial"/>
        <w:color w:val="000000"/>
        <w:sz w:val="18"/>
        <w:szCs w:val="18"/>
      </w:rPr>
      <w:t>Radicación No.:</w:t>
    </w:r>
    <w:r w:rsidR="000003CA">
      <w:rPr>
        <w:rFonts w:ascii="Arial" w:eastAsia="Tahoma" w:hAnsi="Arial" w:cs="Arial"/>
        <w:color w:val="000000"/>
        <w:sz w:val="18"/>
        <w:szCs w:val="18"/>
      </w:rPr>
      <w:tab/>
      <w:t>66</w:t>
    </w:r>
    <w:r w:rsidR="00804A86" w:rsidRPr="000003CA">
      <w:rPr>
        <w:rFonts w:ascii="Arial" w:eastAsia="Tahoma" w:hAnsi="Arial" w:cs="Arial"/>
        <w:color w:val="000000"/>
        <w:sz w:val="18"/>
        <w:szCs w:val="18"/>
        <w:lang w:val="es-CO"/>
      </w:rPr>
      <w:t>088-31-89-001-2016-00121-0</w:t>
    </w:r>
    <w:r w:rsidR="00804A86" w:rsidRPr="000003CA">
      <w:rPr>
        <w:rFonts w:ascii="Arial" w:eastAsia="Tahoma" w:hAnsi="Arial" w:cs="Arial"/>
        <w:bCs/>
        <w:color w:val="000000"/>
        <w:sz w:val="18"/>
        <w:szCs w:val="18"/>
        <w:lang w:val="es-CO"/>
      </w:rPr>
      <w:t>2</w:t>
    </w:r>
  </w:p>
  <w:p w14:paraId="29C49970" w14:textId="3190B7EF" w:rsidR="008C0B82" w:rsidRPr="000003CA" w:rsidRDefault="00B00BC8" w:rsidP="000003CA">
    <w:pPr>
      <w:pBdr>
        <w:top w:val="nil"/>
        <w:left w:val="nil"/>
        <w:bottom w:val="nil"/>
        <w:right w:val="nil"/>
        <w:between w:val="nil"/>
      </w:pBdr>
      <w:jc w:val="both"/>
      <w:rPr>
        <w:rFonts w:ascii="Arial" w:eastAsia="Tahoma" w:hAnsi="Arial" w:cs="Arial"/>
        <w:color w:val="000000"/>
        <w:sz w:val="18"/>
        <w:szCs w:val="18"/>
      </w:rPr>
    </w:pPr>
    <w:r w:rsidRPr="000003CA">
      <w:rPr>
        <w:rFonts w:ascii="Arial" w:eastAsia="Tahoma" w:hAnsi="Arial" w:cs="Arial"/>
        <w:color w:val="000000"/>
        <w:sz w:val="18"/>
        <w:szCs w:val="18"/>
      </w:rPr>
      <w:t>Demandante:</w:t>
    </w:r>
    <w:r w:rsidR="000003CA">
      <w:rPr>
        <w:rFonts w:ascii="Arial" w:eastAsia="Tahoma" w:hAnsi="Arial" w:cs="Arial"/>
        <w:color w:val="000000"/>
        <w:sz w:val="18"/>
        <w:szCs w:val="18"/>
      </w:rPr>
      <w:tab/>
    </w:r>
    <w:r w:rsidR="00804A86" w:rsidRPr="000003CA">
      <w:rPr>
        <w:rFonts w:ascii="Arial" w:eastAsia="Tahoma" w:hAnsi="Arial" w:cs="Arial"/>
        <w:color w:val="000000"/>
        <w:sz w:val="18"/>
        <w:szCs w:val="18"/>
        <w:lang w:val="es-CO"/>
      </w:rPr>
      <w:t>Octavio de Jesús Morales Arroyave</w:t>
    </w:r>
  </w:p>
  <w:p w14:paraId="7092DB1C" w14:textId="7E1E6FB2" w:rsidR="008C0B82" w:rsidRPr="000003CA" w:rsidRDefault="00B00BC8" w:rsidP="000003CA">
    <w:pPr>
      <w:pBdr>
        <w:top w:val="nil"/>
        <w:left w:val="nil"/>
        <w:bottom w:val="nil"/>
        <w:right w:val="nil"/>
        <w:between w:val="nil"/>
      </w:pBdr>
      <w:jc w:val="both"/>
      <w:rPr>
        <w:rFonts w:ascii="Arial" w:eastAsia="Tahoma" w:hAnsi="Arial" w:cs="Arial"/>
        <w:color w:val="000000"/>
        <w:sz w:val="18"/>
        <w:szCs w:val="18"/>
      </w:rPr>
    </w:pPr>
    <w:r w:rsidRPr="000003CA">
      <w:rPr>
        <w:rFonts w:ascii="Arial" w:eastAsia="Tahoma" w:hAnsi="Arial" w:cs="Arial"/>
        <w:color w:val="000000"/>
        <w:sz w:val="18"/>
        <w:szCs w:val="18"/>
      </w:rPr>
      <w:t>Demandado:</w:t>
    </w:r>
    <w:r w:rsidR="000003CA">
      <w:rPr>
        <w:rFonts w:ascii="Arial" w:eastAsia="Tahoma" w:hAnsi="Arial" w:cs="Arial"/>
        <w:color w:val="000000"/>
        <w:sz w:val="18"/>
        <w:szCs w:val="18"/>
      </w:rPr>
      <w:tab/>
    </w:r>
    <w:r w:rsidR="00804A86" w:rsidRPr="000003CA">
      <w:rPr>
        <w:rFonts w:ascii="Arial" w:eastAsia="Tahoma" w:hAnsi="Arial" w:cs="Arial"/>
        <w:color w:val="000000"/>
        <w:sz w:val="18"/>
        <w:szCs w:val="18"/>
        <w:lang w:val="es-CO"/>
      </w:rPr>
      <w:t>Cooperativa de transportadores de Belén de Umbría</w:t>
    </w:r>
    <w:r w:rsidR="00956BBD" w:rsidRPr="000003CA">
      <w:rPr>
        <w:rFonts w:ascii="Arial" w:eastAsia="Tahoma" w:hAnsi="Arial" w:cs="Arial"/>
        <w:color w:val="000000"/>
        <w:sz w:val="18"/>
        <w:szCs w:val="18"/>
        <w:lang w:val="es-CO"/>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B08660D"/>
    <w:multiLevelType w:val="multilevel"/>
    <w:tmpl w:val="A49C992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F415489"/>
    <w:multiLevelType w:val="multilevel"/>
    <w:tmpl w:val="FE7092C8"/>
    <w:lvl w:ilvl="0">
      <w:start w:val="5"/>
      <w:numFmt w:val="decimal"/>
      <w:lvlText w:val="%1."/>
      <w:lvlJc w:val="left"/>
      <w:pPr>
        <w:ind w:left="420" w:hanging="420"/>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9"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72E6362C"/>
    <w:multiLevelType w:val="multilevel"/>
    <w:tmpl w:val="001465C0"/>
    <w:lvl w:ilvl="0">
      <w:start w:val="1"/>
      <w:numFmt w:val="decimal"/>
      <w:lvlText w:val="%1."/>
      <w:lvlJc w:val="left"/>
      <w:pPr>
        <w:ind w:left="450" w:hanging="450"/>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num w:numId="1">
    <w:abstractNumId w:val="11"/>
  </w:num>
  <w:num w:numId="2">
    <w:abstractNumId w:val="10"/>
  </w:num>
  <w:num w:numId="3">
    <w:abstractNumId w:val="12"/>
  </w:num>
  <w:num w:numId="4">
    <w:abstractNumId w:val="1"/>
  </w:num>
  <w:num w:numId="5">
    <w:abstractNumId w:val="0"/>
  </w:num>
  <w:num w:numId="6">
    <w:abstractNumId w:val="5"/>
  </w:num>
  <w:num w:numId="7">
    <w:abstractNumId w:val="9"/>
  </w:num>
  <w:num w:numId="8">
    <w:abstractNumId w:val="2"/>
  </w:num>
  <w:num w:numId="9">
    <w:abstractNumId w:val="3"/>
  </w:num>
  <w:num w:numId="10">
    <w:abstractNumId w:val="13"/>
  </w:num>
  <w:num w:numId="11">
    <w:abstractNumId w:val="4"/>
  </w:num>
  <w:num w:numId="12">
    <w:abstractNumId w:val="8"/>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03CA"/>
    <w:rsid w:val="00001B28"/>
    <w:rsid w:val="00004DA5"/>
    <w:rsid w:val="00004EEA"/>
    <w:rsid w:val="00012937"/>
    <w:rsid w:val="00013087"/>
    <w:rsid w:val="00016E78"/>
    <w:rsid w:val="00023C8D"/>
    <w:rsid w:val="00024D89"/>
    <w:rsid w:val="00025548"/>
    <w:rsid w:val="000265B0"/>
    <w:rsid w:val="00030743"/>
    <w:rsid w:val="00032BC5"/>
    <w:rsid w:val="00043474"/>
    <w:rsid w:val="0005326C"/>
    <w:rsid w:val="000542E8"/>
    <w:rsid w:val="000600F3"/>
    <w:rsid w:val="00065145"/>
    <w:rsid w:val="00065ABA"/>
    <w:rsid w:val="000702AC"/>
    <w:rsid w:val="000730FF"/>
    <w:rsid w:val="000768F7"/>
    <w:rsid w:val="0008091B"/>
    <w:rsid w:val="00080963"/>
    <w:rsid w:val="00081C5C"/>
    <w:rsid w:val="000838AE"/>
    <w:rsid w:val="000843E9"/>
    <w:rsid w:val="00084691"/>
    <w:rsid w:val="00091CB2"/>
    <w:rsid w:val="00092B7E"/>
    <w:rsid w:val="000A0766"/>
    <w:rsid w:val="000A0F9A"/>
    <w:rsid w:val="000A208F"/>
    <w:rsid w:val="000A426F"/>
    <w:rsid w:val="000A45EF"/>
    <w:rsid w:val="000B0DCD"/>
    <w:rsid w:val="000B2917"/>
    <w:rsid w:val="000B3EFE"/>
    <w:rsid w:val="000B5DE7"/>
    <w:rsid w:val="000B7977"/>
    <w:rsid w:val="000B7C53"/>
    <w:rsid w:val="000C74BE"/>
    <w:rsid w:val="000D379C"/>
    <w:rsid w:val="000D739B"/>
    <w:rsid w:val="000E5992"/>
    <w:rsid w:val="000E5EF0"/>
    <w:rsid w:val="000F05FD"/>
    <w:rsid w:val="000F0914"/>
    <w:rsid w:val="000F2B1D"/>
    <w:rsid w:val="000F403E"/>
    <w:rsid w:val="001007BC"/>
    <w:rsid w:val="00101D1B"/>
    <w:rsid w:val="00104625"/>
    <w:rsid w:val="00104A95"/>
    <w:rsid w:val="00104DE1"/>
    <w:rsid w:val="00105682"/>
    <w:rsid w:val="0010684B"/>
    <w:rsid w:val="001076E5"/>
    <w:rsid w:val="00107ACE"/>
    <w:rsid w:val="001113BF"/>
    <w:rsid w:val="001162FC"/>
    <w:rsid w:val="00117930"/>
    <w:rsid w:val="0012107C"/>
    <w:rsid w:val="00126B2B"/>
    <w:rsid w:val="00137629"/>
    <w:rsid w:val="00137770"/>
    <w:rsid w:val="00141098"/>
    <w:rsid w:val="0014280D"/>
    <w:rsid w:val="001508D6"/>
    <w:rsid w:val="00151AE4"/>
    <w:rsid w:val="00153160"/>
    <w:rsid w:val="00161C9B"/>
    <w:rsid w:val="00167CAC"/>
    <w:rsid w:val="001808D5"/>
    <w:rsid w:val="001832DA"/>
    <w:rsid w:val="001A032C"/>
    <w:rsid w:val="001A1F86"/>
    <w:rsid w:val="001A2000"/>
    <w:rsid w:val="001A2656"/>
    <w:rsid w:val="001A37BE"/>
    <w:rsid w:val="001A495C"/>
    <w:rsid w:val="001A7606"/>
    <w:rsid w:val="001B0058"/>
    <w:rsid w:val="001B1BEC"/>
    <w:rsid w:val="001B2A4A"/>
    <w:rsid w:val="001B70EE"/>
    <w:rsid w:val="001C01D5"/>
    <w:rsid w:val="001C768D"/>
    <w:rsid w:val="001D385B"/>
    <w:rsid w:val="001D4CC2"/>
    <w:rsid w:val="001D5D0A"/>
    <w:rsid w:val="001F25FF"/>
    <w:rsid w:val="001F58C6"/>
    <w:rsid w:val="001F7BCB"/>
    <w:rsid w:val="002016C2"/>
    <w:rsid w:val="002018D6"/>
    <w:rsid w:val="00203F43"/>
    <w:rsid w:val="002045A8"/>
    <w:rsid w:val="002049B2"/>
    <w:rsid w:val="00204CCC"/>
    <w:rsid w:val="002068EF"/>
    <w:rsid w:val="002102C3"/>
    <w:rsid w:val="00211F53"/>
    <w:rsid w:val="00220653"/>
    <w:rsid w:val="00225A58"/>
    <w:rsid w:val="002319F8"/>
    <w:rsid w:val="00232F08"/>
    <w:rsid w:val="00235575"/>
    <w:rsid w:val="00240A1A"/>
    <w:rsid w:val="00251581"/>
    <w:rsid w:val="0025230E"/>
    <w:rsid w:val="00252C32"/>
    <w:rsid w:val="00257C88"/>
    <w:rsid w:val="002638F4"/>
    <w:rsid w:val="00264DBF"/>
    <w:rsid w:val="00270B8F"/>
    <w:rsid w:val="002710D9"/>
    <w:rsid w:val="0027144F"/>
    <w:rsid w:val="002726B6"/>
    <w:rsid w:val="002830E7"/>
    <w:rsid w:val="002841F8"/>
    <w:rsid w:val="00284292"/>
    <w:rsid w:val="002915AB"/>
    <w:rsid w:val="00291EFA"/>
    <w:rsid w:val="002964E0"/>
    <w:rsid w:val="002A092A"/>
    <w:rsid w:val="002A1D71"/>
    <w:rsid w:val="002A43E6"/>
    <w:rsid w:val="002A4B34"/>
    <w:rsid w:val="002B3973"/>
    <w:rsid w:val="002B76AF"/>
    <w:rsid w:val="002C0020"/>
    <w:rsid w:val="002D2BAB"/>
    <w:rsid w:val="002D3B5E"/>
    <w:rsid w:val="002D6260"/>
    <w:rsid w:val="002E10EC"/>
    <w:rsid w:val="002E3880"/>
    <w:rsid w:val="002F1557"/>
    <w:rsid w:val="002F5368"/>
    <w:rsid w:val="002F6369"/>
    <w:rsid w:val="002F6BFD"/>
    <w:rsid w:val="00305BBE"/>
    <w:rsid w:val="003117F7"/>
    <w:rsid w:val="00326F08"/>
    <w:rsid w:val="00330320"/>
    <w:rsid w:val="00333251"/>
    <w:rsid w:val="00337DA3"/>
    <w:rsid w:val="003427C1"/>
    <w:rsid w:val="00342B07"/>
    <w:rsid w:val="00344393"/>
    <w:rsid w:val="00355127"/>
    <w:rsid w:val="00357994"/>
    <w:rsid w:val="0036221A"/>
    <w:rsid w:val="00366F41"/>
    <w:rsid w:val="00370F1D"/>
    <w:rsid w:val="00375B4F"/>
    <w:rsid w:val="00377FE4"/>
    <w:rsid w:val="003801F9"/>
    <w:rsid w:val="0038191F"/>
    <w:rsid w:val="003827B9"/>
    <w:rsid w:val="0038352C"/>
    <w:rsid w:val="003979CD"/>
    <w:rsid w:val="003A0F22"/>
    <w:rsid w:val="003A2AE8"/>
    <w:rsid w:val="003A41AE"/>
    <w:rsid w:val="003A7CB9"/>
    <w:rsid w:val="003B04F9"/>
    <w:rsid w:val="003B167D"/>
    <w:rsid w:val="003B2126"/>
    <w:rsid w:val="003B7F9C"/>
    <w:rsid w:val="003C03CE"/>
    <w:rsid w:val="003D03BD"/>
    <w:rsid w:val="003D5585"/>
    <w:rsid w:val="003D7CDA"/>
    <w:rsid w:val="003D7E33"/>
    <w:rsid w:val="003E0999"/>
    <w:rsid w:val="003E1B7D"/>
    <w:rsid w:val="003E2F73"/>
    <w:rsid w:val="003F3FED"/>
    <w:rsid w:val="0040237E"/>
    <w:rsid w:val="004023D2"/>
    <w:rsid w:val="00410F71"/>
    <w:rsid w:val="00412586"/>
    <w:rsid w:val="00414339"/>
    <w:rsid w:val="00414A67"/>
    <w:rsid w:val="00414C4B"/>
    <w:rsid w:val="00415C50"/>
    <w:rsid w:val="00422086"/>
    <w:rsid w:val="004279FB"/>
    <w:rsid w:val="0043531B"/>
    <w:rsid w:val="00440A5A"/>
    <w:rsid w:val="004418B0"/>
    <w:rsid w:val="00442E6C"/>
    <w:rsid w:val="0044367D"/>
    <w:rsid w:val="00455B2C"/>
    <w:rsid w:val="00455E6B"/>
    <w:rsid w:val="00456302"/>
    <w:rsid w:val="00464328"/>
    <w:rsid w:val="00466060"/>
    <w:rsid w:val="0046733C"/>
    <w:rsid w:val="00467B98"/>
    <w:rsid w:val="00481D11"/>
    <w:rsid w:val="0048340D"/>
    <w:rsid w:val="004843C4"/>
    <w:rsid w:val="00486C54"/>
    <w:rsid w:val="00487BB3"/>
    <w:rsid w:val="00491141"/>
    <w:rsid w:val="00492667"/>
    <w:rsid w:val="0049390E"/>
    <w:rsid w:val="004B03B6"/>
    <w:rsid w:val="004B5E07"/>
    <w:rsid w:val="004C210F"/>
    <w:rsid w:val="004C27EE"/>
    <w:rsid w:val="004C515B"/>
    <w:rsid w:val="004D54BB"/>
    <w:rsid w:val="00500158"/>
    <w:rsid w:val="00503B1C"/>
    <w:rsid w:val="00504A48"/>
    <w:rsid w:val="00505853"/>
    <w:rsid w:val="0050667F"/>
    <w:rsid w:val="005066F7"/>
    <w:rsid w:val="00506846"/>
    <w:rsid w:val="00510FBE"/>
    <w:rsid w:val="00513A78"/>
    <w:rsid w:val="005141E3"/>
    <w:rsid w:val="005170D9"/>
    <w:rsid w:val="005172B8"/>
    <w:rsid w:val="0052212E"/>
    <w:rsid w:val="00523B86"/>
    <w:rsid w:val="00526EE6"/>
    <w:rsid w:val="0053360B"/>
    <w:rsid w:val="005433DA"/>
    <w:rsid w:val="0054357B"/>
    <w:rsid w:val="0054468D"/>
    <w:rsid w:val="00544E2D"/>
    <w:rsid w:val="0054758A"/>
    <w:rsid w:val="00552CB7"/>
    <w:rsid w:val="00554A8F"/>
    <w:rsid w:val="00557D77"/>
    <w:rsid w:val="00561FB5"/>
    <w:rsid w:val="00565966"/>
    <w:rsid w:val="005702B0"/>
    <w:rsid w:val="005708F8"/>
    <w:rsid w:val="005712A9"/>
    <w:rsid w:val="00572104"/>
    <w:rsid w:val="005821E6"/>
    <w:rsid w:val="005856BC"/>
    <w:rsid w:val="00585910"/>
    <w:rsid w:val="0059751E"/>
    <w:rsid w:val="00597EDE"/>
    <w:rsid w:val="00597F42"/>
    <w:rsid w:val="005B2808"/>
    <w:rsid w:val="005B31B9"/>
    <w:rsid w:val="005C10F9"/>
    <w:rsid w:val="005C220D"/>
    <w:rsid w:val="005C37F3"/>
    <w:rsid w:val="005C3E54"/>
    <w:rsid w:val="005D187C"/>
    <w:rsid w:val="005D1C0D"/>
    <w:rsid w:val="005D3916"/>
    <w:rsid w:val="005E022D"/>
    <w:rsid w:val="005E2C92"/>
    <w:rsid w:val="005F242F"/>
    <w:rsid w:val="00603165"/>
    <w:rsid w:val="006048BD"/>
    <w:rsid w:val="006054AB"/>
    <w:rsid w:val="006140FC"/>
    <w:rsid w:val="00617147"/>
    <w:rsid w:val="00622619"/>
    <w:rsid w:val="0062394C"/>
    <w:rsid w:val="006240F9"/>
    <w:rsid w:val="00627856"/>
    <w:rsid w:val="00632082"/>
    <w:rsid w:val="00635DAA"/>
    <w:rsid w:val="00636619"/>
    <w:rsid w:val="00650E35"/>
    <w:rsid w:val="006521EE"/>
    <w:rsid w:val="00654612"/>
    <w:rsid w:val="00660803"/>
    <w:rsid w:val="00661764"/>
    <w:rsid w:val="006764EC"/>
    <w:rsid w:val="00684BF9"/>
    <w:rsid w:val="00691146"/>
    <w:rsid w:val="006A6915"/>
    <w:rsid w:val="006B2744"/>
    <w:rsid w:val="006B27E9"/>
    <w:rsid w:val="006C0323"/>
    <w:rsid w:val="006C4DC1"/>
    <w:rsid w:val="006C6751"/>
    <w:rsid w:val="006C6EFD"/>
    <w:rsid w:val="006D1727"/>
    <w:rsid w:val="006D6064"/>
    <w:rsid w:val="006D69BE"/>
    <w:rsid w:val="006E1824"/>
    <w:rsid w:val="006E7254"/>
    <w:rsid w:val="006E754F"/>
    <w:rsid w:val="006F01EE"/>
    <w:rsid w:val="006F26E3"/>
    <w:rsid w:val="007017D0"/>
    <w:rsid w:val="00707295"/>
    <w:rsid w:val="00714B9C"/>
    <w:rsid w:val="007151EC"/>
    <w:rsid w:val="007165D7"/>
    <w:rsid w:val="0074175E"/>
    <w:rsid w:val="00751147"/>
    <w:rsid w:val="0075450F"/>
    <w:rsid w:val="00762C5F"/>
    <w:rsid w:val="0076362E"/>
    <w:rsid w:val="0076375E"/>
    <w:rsid w:val="0076425F"/>
    <w:rsid w:val="00764F15"/>
    <w:rsid w:val="00771529"/>
    <w:rsid w:val="00771C6C"/>
    <w:rsid w:val="00773722"/>
    <w:rsid w:val="007737A4"/>
    <w:rsid w:val="00777682"/>
    <w:rsid w:val="00780A28"/>
    <w:rsid w:val="00781BCF"/>
    <w:rsid w:val="00782FA9"/>
    <w:rsid w:val="007847BE"/>
    <w:rsid w:val="00786646"/>
    <w:rsid w:val="00793CA5"/>
    <w:rsid w:val="007A4B2B"/>
    <w:rsid w:val="007A6931"/>
    <w:rsid w:val="007A7B64"/>
    <w:rsid w:val="007B2268"/>
    <w:rsid w:val="007C4004"/>
    <w:rsid w:val="007C7819"/>
    <w:rsid w:val="007E2274"/>
    <w:rsid w:val="007E472F"/>
    <w:rsid w:val="007E5A24"/>
    <w:rsid w:val="007F0615"/>
    <w:rsid w:val="007F1DA1"/>
    <w:rsid w:val="007F2672"/>
    <w:rsid w:val="007F349E"/>
    <w:rsid w:val="007F6CE8"/>
    <w:rsid w:val="008008A6"/>
    <w:rsid w:val="00801DEA"/>
    <w:rsid w:val="00803E97"/>
    <w:rsid w:val="00804A86"/>
    <w:rsid w:val="0080509E"/>
    <w:rsid w:val="00814861"/>
    <w:rsid w:val="008208BC"/>
    <w:rsid w:val="00820AC8"/>
    <w:rsid w:val="0082326A"/>
    <w:rsid w:val="0082538D"/>
    <w:rsid w:val="0083084D"/>
    <w:rsid w:val="00833578"/>
    <w:rsid w:val="00836897"/>
    <w:rsid w:val="008407CC"/>
    <w:rsid w:val="008474D0"/>
    <w:rsid w:val="00851416"/>
    <w:rsid w:val="0085588B"/>
    <w:rsid w:val="008609D7"/>
    <w:rsid w:val="00863743"/>
    <w:rsid w:val="00863D6C"/>
    <w:rsid w:val="00874712"/>
    <w:rsid w:val="00880C54"/>
    <w:rsid w:val="00882C1A"/>
    <w:rsid w:val="00883CC0"/>
    <w:rsid w:val="008874E8"/>
    <w:rsid w:val="008937AA"/>
    <w:rsid w:val="00897353"/>
    <w:rsid w:val="008A139E"/>
    <w:rsid w:val="008A5865"/>
    <w:rsid w:val="008A7D0D"/>
    <w:rsid w:val="008B0617"/>
    <w:rsid w:val="008B164A"/>
    <w:rsid w:val="008C0B82"/>
    <w:rsid w:val="008C1BB0"/>
    <w:rsid w:val="008C472B"/>
    <w:rsid w:val="008C76F9"/>
    <w:rsid w:val="008D2F71"/>
    <w:rsid w:val="008D43BA"/>
    <w:rsid w:val="008D4CAD"/>
    <w:rsid w:val="008D5D83"/>
    <w:rsid w:val="008E0536"/>
    <w:rsid w:val="008F200E"/>
    <w:rsid w:val="008F7DAA"/>
    <w:rsid w:val="0090130C"/>
    <w:rsid w:val="00905195"/>
    <w:rsid w:val="00906833"/>
    <w:rsid w:val="0091379F"/>
    <w:rsid w:val="00916861"/>
    <w:rsid w:val="00917B16"/>
    <w:rsid w:val="009210A6"/>
    <w:rsid w:val="009217F8"/>
    <w:rsid w:val="00925182"/>
    <w:rsid w:val="0092654C"/>
    <w:rsid w:val="0092660B"/>
    <w:rsid w:val="00927519"/>
    <w:rsid w:val="00936C75"/>
    <w:rsid w:val="00936E20"/>
    <w:rsid w:val="009443BC"/>
    <w:rsid w:val="00951A8D"/>
    <w:rsid w:val="00954CC0"/>
    <w:rsid w:val="00956642"/>
    <w:rsid w:val="00956BBD"/>
    <w:rsid w:val="009630CB"/>
    <w:rsid w:val="00967D43"/>
    <w:rsid w:val="00971591"/>
    <w:rsid w:val="0098431F"/>
    <w:rsid w:val="009849FC"/>
    <w:rsid w:val="00984DBE"/>
    <w:rsid w:val="009855AC"/>
    <w:rsid w:val="009868C9"/>
    <w:rsid w:val="00990D30"/>
    <w:rsid w:val="009A27C8"/>
    <w:rsid w:val="009B1FF9"/>
    <w:rsid w:val="009B4CA6"/>
    <w:rsid w:val="009B5ECE"/>
    <w:rsid w:val="009B71AE"/>
    <w:rsid w:val="009B796C"/>
    <w:rsid w:val="009C3644"/>
    <w:rsid w:val="009E3A01"/>
    <w:rsid w:val="009E47EE"/>
    <w:rsid w:val="009E65FF"/>
    <w:rsid w:val="009E7BF4"/>
    <w:rsid w:val="009F1408"/>
    <w:rsid w:val="009F335B"/>
    <w:rsid w:val="009F3CA8"/>
    <w:rsid w:val="009F3E14"/>
    <w:rsid w:val="00A00739"/>
    <w:rsid w:val="00A02E8E"/>
    <w:rsid w:val="00A05E2E"/>
    <w:rsid w:val="00A062FC"/>
    <w:rsid w:val="00A064E4"/>
    <w:rsid w:val="00A13C3B"/>
    <w:rsid w:val="00A16E11"/>
    <w:rsid w:val="00A20C9C"/>
    <w:rsid w:val="00A273B9"/>
    <w:rsid w:val="00A27CC1"/>
    <w:rsid w:val="00A27E63"/>
    <w:rsid w:val="00A31B63"/>
    <w:rsid w:val="00A3749D"/>
    <w:rsid w:val="00A37BD5"/>
    <w:rsid w:val="00A43B0E"/>
    <w:rsid w:val="00A452DF"/>
    <w:rsid w:val="00A51BA2"/>
    <w:rsid w:val="00A569F2"/>
    <w:rsid w:val="00A5709C"/>
    <w:rsid w:val="00A57197"/>
    <w:rsid w:val="00A609F2"/>
    <w:rsid w:val="00A63BEF"/>
    <w:rsid w:val="00A67677"/>
    <w:rsid w:val="00A767BF"/>
    <w:rsid w:val="00A76BAD"/>
    <w:rsid w:val="00A801A6"/>
    <w:rsid w:val="00A82D37"/>
    <w:rsid w:val="00A83D53"/>
    <w:rsid w:val="00A84570"/>
    <w:rsid w:val="00A879CD"/>
    <w:rsid w:val="00A95681"/>
    <w:rsid w:val="00AA7BA0"/>
    <w:rsid w:val="00AB14BA"/>
    <w:rsid w:val="00AB1EC3"/>
    <w:rsid w:val="00AC23D6"/>
    <w:rsid w:val="00AC5EA5"/>
    <w:rsid w:val="00AD3113"/>
    <w:rsid w:val="00AD5B02"/>
    <w:rsid w:val="00AD7454"/>
    <w:rsid w:val="00AD7784"/>
    <w:rsid w:val="00AF0A77"/>
    <w:rsid w:val="00AF5839"/>
    <w:rsid w:val="00AF5E34"/>
    <w:rsid w:val="00AF7E6E"/>
    <w:rsid w:val="00B00BC8"/>
    <w:rsid w:val="00B025F8"/>
    <w:rsid w:val="00B15208"/>
    <w:rsid w:val="00B22F4B"/>
    <w:rsid w:val="00B306E7"/>
    <w:rsid w:val="00B33054"/>
    <w:rsid w:val="00B42142"/>
    <w:rsid w:val="00B42D9F"/>
    <w:rsid w:val="00B435DD"/>
    <w:rsid w:val="00B45384"/>
    <w:rsid w:val="00B46607"/>
    <w:rsid w:val="00B5369E"/>
    <w:rsid w:val="00B553C8"/>
    <w:rsid w:val="00B57BBC"/>
    <w:rsid w:val="00B627EF"/>
    <w:rsid w:val="00B675FD"/>
    <w:rsid w:val="00B712F1"/>
    <w:rsid w:val="00B778D4"/>
    <w:rsid w:val="00B77A7A"/>
    <w:rsid w:val="00B81607"/>
    <w:rsid w:val="00B875FC"/>
    <w:rsid w:val="00B9428C"/>
    <w:rsid w:val="00B951C8"/>
    <w:rsid w:val="00BA1075"/>
    <w:rsid w:val="00BA159E"/>
    <w:rsid w:val="00BA5186"/>
    <w:rsid w:val="00BB33C7"/>
    <w:rsid w:val="00BB4A0C"/>
    <w:rsid w:val="00BB57E1"/>
    <w:rsid w:val="00BB7EA1"/>
    <w:rsid w:val="00BC4FB6"/>
    <w:rsid w:val="00BD6545"/>
    <w:rsid w:val="00BE33D5"/>
    <w:rsid w:val="00BF1BE9"/>
    <w:rsid w:val="00C03047"/>
    <w:rsid w:val="00C04A26"/>
    <w:rsid w:val="00C05097"/>
    <w:rsid w:val="00C1118F"/>
    <w:rsid w:val="00C1427C"/>
    <w:rsid w:val="00C166DB"/>
    <w:rsid w:val="00C16F18"/>
    <w:rsid w:val="00C21EA6"/>
    <w:rsid w:val="00C32BAD"/>
    <w:rsid w:val="00C37104"/>
    <w:rsid w:val="00C40182"/>
    <w:rsid w:val="00C53623"/>
    <w:rsid w:val="00C538C1"/>
    <w:rsid w:val="00C54526"/>
    <w:rsid w:val="00C55A9A"/>
    <w:rsid w:val="00C63DAB"/>
    <w:rsid w:val="00C73770"/>
    <w:rsid w:val="00C768CE"/>
    <w:rsid w:val="00C77739"/>
    <w:rsid w:val="00C77C5C"/>
    <w:rsid w:val="00C84156"/>
    <w:rsid w:val="00C86881"/>
    <w:rsid w:val="00C87A7D"/>
    <w:rsid w:val="00C90513"/>
    <w:rsid w:val="00C91AEC"/>
    <w:rsid w:val="00C95C81"/>
    <w:rsid w:val="00CA4CD7"/>
    <w:rsid w:val="00CA645E"/>
    <w:rsid w:val="00CC2278"/>
    <w:rsid w:val="00CD005A"/>
    <w:rsid w:val="00CD7983"/>
    <w:rsid w:val="00CD7F21"/>
    <w:rsid w:val="00CE326E"/>
    <w:rsid w:val="00CF6724"/>
    <w:rsid w:val="00D02910"/>
    <w:rsid w:val="00D06033"/>
    <w:rsid w:val="00D14F32"/>
    <w:rsid w:val="00D16A54"/>
    <w:rsid w:val="00D16CC3"/>
    <w:rsid w:val="00D22F0B"/>
    <w:rsid w:val="00D24AF1"/>
    <w:rsid w:val="00D413D1"/>
    <w:rsid w:val="00D44457"/>
    <w:rsid w:val="00D44990"/>
    <w:rsid w:val="00D4518F"/>
    <w:rsid w:val="00D46C22"/>
    <w:rsid w:val="00D4715A"/>
    <w:rsid w:val="00D507D8"/>
    <w:rsid w:val="00D51C09"/>
    <w:rsid w:val="00D57D6C"/>
    <w:rsid w:val="00D62308"/>
    <w:rsid w:val="00D648A8"/>
    <w:rsid w:val="00D7129F"/>
    <w:rsid w:val="00D76DE2"/>
    <w:rsid w:val="00D80496"/>
    <w:rsid w:val="00D8124C"/>
    <w:rsid w:val="00D8464F"/>
    <w:rsid w:val="00D919A1"/>
    <w:rsid w:val="00D92186"/>
    <w:rsid w:val="00D94A8F"/>
    <w:rsid w:val="00D97B6D"/>
    <w:rsid w:val="00DA0127"/>
    <w:rsid w:val="00DA1040"/>
    <w:rsid w:val="00DA33D5"/>
    <w:rsid w:val="00DA3BFB"/>
    <w:rsid w:val="00DB0856"/>
    <w:rsid w:val="00DB2A57"/>
    <w:rsid w:val="00DB5C7B"/>
    <w:rsid w:val="00DD355B"/>
    <w:rsid w:val="00DD418C"/>
    <w:rsid w:val="00DD673B"/>
    <w:rsid w:val="00DE2BAD"/>
    <w:rsid w:val="00DF1264"/>
    <w:rsid w:val="00DF16F4"/>
    <w:rsid w:val="00DF2342"/>
    <w:rsid w:val="00DF44C6"/>
    <w:rsid w:val="00DF45FB"/>
    <w:rsid w:val="00E119FE"/>
    <w:rsid w:val="00E17814"/>
    <w:rsid w:val="00E312A3"/>
    <w:rsid w:val="00E37EC4"/>
    <w:rsid w:val="00E45927"/>
    <w:rsid w:val="00E4614E"/>
    <w:rsid w:val="00E5172E"/>
    <w:rsid w:val="00E526C5"/>
    <w:rsid w:val="00E526E9"/>
    <w:rsid w:val="00E530C7"/>
    <w:rsid w:val="00E615CA"/>
    <w:rsid w:val="00E666F0"/>
    <w:rsid w:val="00E6699E"/>
    <w:rsid w:val="00E74C07"/>
    <w:rsid w:val="00E93322"/>
    <w:rsid w:val="00E94DD7"/>
    <w:rsid w:val="00E95863"/>
    <w:rsid w:val="00EA0370"/>
    <w:rsid w:val="00EA1825"/>
    <w:rsid w:val="00EB1A7C"/>
    <w:rsid w:val="00EB4A46"/>
    <w:rsid w:val="00EC6766"/>
    <w:rsid w:val="00EC71F2"/>
    <w:rsid w:val="00EC7E09"/>
    <w:rsid w:val="00ED0321"/>
    <w:rsid w:val="00ED4550"/>
    <w:rsid w:val="00ED4C9D"/>
    <w:rsid w:val="00ED7868"/>
    <w:rsid w:val="00EE0028"/>
    <w:rsid w:val="00EE30C6"/>
    <w:rsid w:val="00EE686C"/>
    <w:rsid w:val="00EF4B63"/>
    <w:rsid w:val="00F1389F"/>
    <w:rsid w:val="00F201CB"/>
    <w:rsid w:val="00F236C1"/>
    <w:rsid w:val="00F24DBB"/>
    <w:rsid w:val="00F31760"/>
    <w:rsid w:val="00F36D5F"/>
    <w:rsid w:val="00F36E46"/>
    <w:rsid w:val="00F4154B"/>
    <w:rsid w:val="00F4169C"/>
    <w:rsid w:val="00F45D5F"/>
    <w:rsid w:val="00F47B9B"/>
    <w:rsid w:val="00F54D8A"/>
    <w:rsid w:val="00F60FF8"/>
    <w:rsid w:val="00F66CC8"/>
    <w:rsid w:val="00F6727D"/>
    <w:rsid w:val="00F67909"/>
    <w:rsid w:val="00F705A3"/>
    <w:rsid w:val="00F72E68"/>
    <w:rsid w:val="00F80578"/>
    <w:rsid w:val="00F86B90"/>
    <w:rsid w:val="00F90738"/>
    <w:rsid w:val="00F917FD"/>
    <w:rsid w:val="00F932F2"/>
    <w:rsid w:val="00F946FB"/>
    <w:rsid w:val="00F94C20"/>
    <w:rsid w:val="00FA0AC4"/>
    <w:rsid w:val="00FA127F"/>
    <w:rsid w:val="00FA24EC"/>
    <w:rsid w:val="00FA2CE9"/>
    <w:rsid w:val="00FA557D"/>
    <w:rsid w:val="00FA6FF4"/>
    <w:rsid w:val="00FB6D16"/>
    <w:rsid w:val="00FC150E"/>
    <w:rsid w:val="00FC35C8"/>
    <w:rsid w:val="00FD035E"/>
    <w:rsid w:val="00FD4D48"/>
    <w:rsid w:val="00FE01D8"/>
    <w:rsid w:val="00FE0232"/>
    <w:rsid w:val="00FE3C61"/>
    <w:rsid w:val="00FE3D4F"/>
    <w:rsid w:val="00FE5A68"/>
    <w:rsid w:val="00FE69D1"/>
    <w:rsid w:val="00FE774F"/>
    <w:rsid w:val="00FF5DB0"/>
    <w:rsid w:val="00FF6C71"/>
    <w:rsid w:val="00FF72A1"/>
    <w:rsid w:val="00FF7341"/>
    <w:rsid w:val="0D8C73BF"/>
    <w:rsid w:val="2153F3E1"/>
    <w:rsid w:val="2AA86D8B"/>
    <w:rsid w:val="3681E831"/>
    <w:rsid w:val="41671374"/>
    <w:rsid w:val="4DD98A87"/>
    <w:rsid w:val="628C73CC"/>
    <w:rsid w:val="659840D3"/>
    <w:rsid w:val="7AD0D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perscript">
    <w:name w:val="superscript"/>
    <w:basedOn w:val="Fuentedeprrafopredeter"/>
    <w:rsid w:val="00C54526"/>
  </w:style>
  <w:style w:type="character" w:customStyle="1" w:styleId="Mencinsinresolver3">
    <w:name w:val="Mención sin resolver3"/>
    <w:basedOn w:val="Fuentedeprrafopredeter"/>
    <w:uiPriority w:val="99"/>
    <w:rsid w:val="0009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57097317">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procesos.ramajudicial.gov.co/" TargetMode="External"/><Relationship Id="rId18" Type="http://schemas.openxmlformats.org/officeDocument/2006/relationships/theme" Target="theme/theme1.xml"/><Relationship Id="Rd0820610716b4f6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esojudicial.ramajudicial.gov.co/Justicia21/Administracion/Ciudadanos/frmConsul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procesos.ramajudicial.gov.c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nsultaprocesos.ramajudicial.gov.co/Procesos/JuezClaseProceso" TargetMode="External"/><Relationship Id="rId2" Type="http://schemas.openxmlformats.org/officeDocument/2006/relationships/hyperlink" Target="https://procesojudicial.ramajudicial.gov.co/Justicia21/Administracion/Ciudadanos/frmConsulta" TargetMode="External"/><Relationship Id="rId1" Type="http://schemas.openxmlformats.org/officeDocument/2006/relationships/hyperlink" Target="https://procesos.ramajudicial.gov.co/procesoscs/ConsultaJusticias21.aspx?EntryId=t2E0Gl34HVdgNqwEWCVvGJESs2c%3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2BB6-62CA-4562-9CA9-87D07825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0C5CA-E29C-472C-A8C2-47CC96B8197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7A8A3A1-01F1-4640-B5AE-CBD4895D6DC8}">
  <ds:schemaRefs>
    <ds:schemaRef ds:uri="http://schemas.microsoft.com/sharepoint/v3/contenttype/forms"/>
  </ds:schemaRefs>
</ds:datastoreItem>
</file>

<file path=customXml/itemProps4.xml><?xml version="1.0" encoding="utf-8"?>
<ds:datastoreItem xmlns:ds="http://schemas.openxmlformats.org/officeDocument/2006/customXml" ds:itemID="{212D1D71-C1D2-4098-B1D5-81D387D2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2971</Words>
  <Characters>16342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18</cp:revision>
  <dcterms:created xsi:type="dcterms:W3CDTF">2022-07-01T19:14:00Z</dcterms:created>
  <dcterms:modified xsi:type="dcterms:W3CDTF">2022-09-05T16:06:00Z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57056100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