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390A34B" w14:textId="77777777" w:rsidR="004008C2" w:rsidRPr="004008C2" w:rsidRDefault="004008C2" w:rsidP="004008C2">
      <w:pPr>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line="240" w:lineRule="auto"/>
        <w:ind w:firstLine="0"/>
        <w:rPr>
          <w:rFonts w:ascii="Arial" w:eastAsia="Times New Roman" w:hAnsi="Arial" w:cs="Arial"/>
          <w:color w:val="FF0000"/>
          <w:spacing w:val="-4"/>
          <w:sz w:val="18"/>
          <w:szCs w:val="18"/>
          <w:lang w:val="es-419" w:eastAsia="fr-FR"/>
        </w:rPr>
      </w:pPr>
      <w:bookmarkStart w:id="0" w:name="_30j0zll" w:colFirst="0" w:colLast="0"/>
      <w:bookmarkStart w:id="1" w:name="_Hlk93052694"/>
      <w:bookmarkStart w:id="2" w:name="_Hlk97791231"/>
      <w:bookmarkEnd w:id="0"/>
      <w:r w:rsidRPr="004008C2">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ED522EE" w14:textId="77777777" w:rsidR="004008C2" w:rsidRPr="004008C2" w:rsidRDefault="004008C2" w:rsidP="004008C2">
      <w:pPr>
        <w:spacing w:before="0" w:beforeAutospacing="0" w:after="0" w:afterAutospacing="0" w:line="240" w:lineRule="auto"/>
        <w:ind w:firstLine="0"/>
        <w:rPr>
          <w:rFonts w:ascii="Arial" w:eastAsia="Times New Roman" w:hAnsi="Arial" w:cs="Arial"/>
          <w:sz w:val="20"/>
          <w:szCs w:val="20"/>
          <w:lang w:val="es-419" w:eastAsia="es-ES"/>
        </w:rPr>
      </w:pPr>
    </w:p>
    <w:p w14:paraId="1AB1229D" w14:textId="78CD9746" w:rsidR="004008C2" w:rsidRPr="004008C2" w:rsidRDefault="004008C2" w:rsidP="004008C2">
      <w:pPr>
        <w:spacing w:before="0" w:beforeAutospacing="0" w:after="0" w:afterAutospacing="0" w:line="240" w:lineRule="auto"/>
        <w:ind w:firstLine="0"/>
        <w:rPr>
          <w:rFonts w:ascii="Arial" w:eastAsia="Tahoma" w:hAnsi="Arial" w:cs="Arial"/>
          <w:color w:val="000000"/>
          <w:sz w:val="20"/>
          <w:szCs w:val="20"/>
          <w:lang w:val="es-ES" w:eastAsia="es-CO"/>
        </w:rPr>
      </w:pPr>
      <w:r w:rsidRPr="004008C2">
        <w:rPr>
          <w:rFonts w:ascii="Arial" w:eastAsia="Tahoma" w:hAnsi="Arial" w:cs="Arial"/>
          <w:color w:val="000000"/>
          <w:sz w:val="20"/>
          <w:szCs w:val="20"/>
          <w:lang w:val="es-ES" w:eastAsia="es-CO"/>
        </w:rPr>
        <w:t>Radicación No.:</w:t>
      </w:r>
      <w:r w:rsidR="000E0F6E">
        <w:rPr>
          <w:rFonts w:ascii="Arial" w:eastAsia="Tahoma" w:hAnsi="Arial" w:cs="Arial"/>
          <w:color w:val="000000"/>
          <w:sz w:val="20"/>
          <w:szCs w:val="20"/>
          <w:lang w:val="es-ES" w:eastAsia="es-CO"/>
        </w:rPr>
        <w:tab/>
      </w:r>
      <w:r w:rsidR="000E0F6E">
        <w:rPr>
          <w:rFonts w:ascii="Arial" w:eastAsia="Tahoma" w:hAnsi="Arial" w:cs="Arial"/>
          <w:color w:val="000000"/>
          <w:sz w:val="20"/>
          <w:szCs w:val="20"/>
          <w:lang w:val="es-ES" w:eastAsia="es-CO"/>
        </w:rPr>
        <w:tab/>
      </w:r>
      <w:r w:rsidRPr="004008C2">
        <w:rPr>
          <w:rFonts w:ascii="Arial" w:eastAsia="Tahoma" w:hAnsi="Arial" w:cs="Arial"/>
          <w:color w:val="000000"/>
          <w:sz w:val="20"/>
          <w:szCs w:val="20"/>
          <w:lang w:val="es-ES" w:eastAsia="es-CO"/>
        </w:rPr>
        <w:t>66001-31-004-2021-00215-01</w:t>
      </w:r>
    </w:p>
    <w:p w14:paraId="1889AF7D" w14:textId="5D02A780" w:rsidR="004008C2" w:rsidRPr="004008C2" w:rsidRDefault="004008C2" w:rsidP="004008C2">
      <w:pPr>
        <w:spacing w:before="0" w:beforeAutospacing="0" w:after="0" w:afterAutospacing="0" w:line="240" w:lineRule="auto"/>
        <w:ind w:firstLine="0"/>
        <w:rPr>
          <w:rFonts w:ascii="Arial" w:eastAsia="Tahoma" w:hAnsi="Arial" w:cs="Arial"/>
          <w:color w:val="000000"/>
          <w:sz w:val="20"/>
          <w:szCs w:val="20"/>
          <w:lang w:val="es-ES" w:eastAsia="es-CO"/>
        </w:rPr>
      </w:pPr>
      <w:r w:rsidRPr="004008C2">
        <w:rPr>
          <w:rFonts w:ascii="Arial" w:eastAsia="Tahoma" w:hAnsi="Arial" w:cs="Arial"/>
          <w:color w:val="000000"/>
          <w:sz w:val="20"/>
          <w:szCs w:val="20"/>
          <w:lang w:val="es-ES" w:eastAsia="es-CO"/>
        </w:rPr>
        <w:t>Proceso</w:t>
      </w:r>
      <w:r w:rsidR="000E0F6E">
        <w:rPr>
          <w:rFonts w:ascii="Arial" w:eastAsia="Tahoma" w:hAnsi="Arial" w:cs="Arial"/>
          <w:color w:val="000000"/>
          <w:sz w:val="20"/>
          <w:szCs w:val="20"/>
          <w:lang w:val="es-ES" w:eastAsia="es-CO"/>
        </w:rPr>
        <w:t>:</w:t>
      </w:r>
      <w:r w:rsidR="000E0F6E">
        <w:rPr>
          <w:rFonts w:ascii="Arial" w:eastAsia="Tahoma" w:hAnsi="Arial" w:cs="Arial"/>
          <w:color w:val="000000"/>
          <w:sz w:val="20"/>
          <w:szCs w:val="20"/>
          <w:lang w:val="es-ES" w:eastAsia="es-CO"/>
        </w:rPr>
        <w:tab/>
      </w:r>
      <w:r w:rsidR="000E0F6E">
        <w:rPr>
          <w:rFonts w:ascii="Arial" w:eastAsia="Tahoma" w:hAnsi="Arial" w:cs="Arial"/>
          <w:color w:val="000000"/>
          <w:sz w:val="20"/>
          <w:szCs w:val="20"/>
          <w:lang w:val="es-ES" w:eastAsia="es-CO"/>
        </w:rPr>
        <w:tab/>
      </w:r>
      <w:r w:rsidRPr="004008C2">
        <w:rPr>
          <w:rFonts w:ascii="Arial" w:eastAsia="Tahoma" w:hAnsi="Arial" w:cs="Arial"/>
          <w:color w:val="000000"/>
          <w:sz w:val="20"/>
          <w:szCs w:val="20"/>
          <w:lang w:val="es-ES" w:eastAsia="es-CO"/>
        </w:rPr>
        <w:t xml:space="preserve">Ordinario Laboral </w:t>
      </w:r>
    </w:p>
    <w:p w14:paraId="751E08B4" w14:textId="6D35E2BD" w:rsidR="004008C2" w:rsidRPr="004008C2" w:rsidRDefault="004008C2" w:rsidP="004008C2">
      <w:pPr>
        <w:spacing w:before="0" w:beforeAutospacing="0" w:after="0" w:afterAutospacing="0" w:line="240" w:lineRule="auto"/>
        <w:ind w:firstLine="0"/>
        <w:rPr>
          <w:rFonts w:ascii="Arial" w:eastAsia="Tahoma" w:hAnsi="Arial" w:cs="Arial"/>
          <w:color w:val="000000"/>
          <w:sz w:val="20"/>
          <w:szCs w:val="20"/>
          <w:lang w:val="es-ES" w:eastAsia="es-CO"/>
        </w:rPr>
      </w:pPr>
      <w:r w:rsidRPr="004008C2">
        <w:rPr>
          <w:rFonts w:ascii="Arial" w:eastAsia="Tahoma" w:hAnsi="Arial" w:cs="Arial"/>
          <w:color w:val="000000"/>
          <w:sz w:val="20"/>
          <w:szCs w:val="20"/>
          <w:lang w:val="es-ES" w:eastAsia="es-CO"/>
        </w:rPr>
        <w:t>Demandante:</w:t>
      </w:r>
      <w:r w:rsidR="000E0F6E">
        <w:rPr>
          <w:rFonts w:ascii="Arial" w:eastAsia="Tahoma" w:hAnsi="Arial" w:cs="Arial"/>
          <w:color w:val="000000"/>
          <w:sz w:val="20"/>
          <w:szCs w:val="20"/>
          <w:lang w:val="es-ES" w:eastAsia="es-CO"/>
        </w:rPr>
        <w:tab/>
      </w:r>
      <w:r w:rsidR="000E0F6E">
        <w:rPr>
          <w:rFonts w:ascii="Arial" w:eastAsia="Tahoma" w:hAnsi="Arial" w:cs="Arial"/>
          <w:color w:val="000000"/>
          <w:sz w:val="20"/>
          <w:szCs w:val="20"/>
          <w:lang w:val="es-ES" w:eastAsia="es-CO"/>
        </w:rPr>
        <w:tab/>
      </w:r>
      <w:r w:rsidRPr="004008C2">
        <w:rPr>
          <w:rFonts w:ascii="Arial" w:eastAsia="Tahoma" w:hAnsi="Arial" w:cs="Arial"/>
          <w:color w:val="000000"/>
          <w:sz w:val="20"/>
          <w:szCs w:val="20"/>
          <w:lang w:val="es-ES" w:eastAsia="es-CO"/>
        </w:rPr>
        <w:t>Edgar Moreno Hernández</w:t>
      </w:r>
    </w:p>
    <w:p w14:paraId="1C40C75F" w14:textId="580F13F2" w:rsidR="004008C2" w:rsidRPr="004008C2" w:rsidRDefault="004008C2" w:rsidP="004008C2">
      <w:pPr>
        <w:spacing w:before="0" w:beforeAutospacing="0" w:after="0" w:afterAutospacing="0" w:line="240" w:lineRule="auto"/>
        <w:ind w:firstLine="0"/>
        <w:rPr>
          <w:rFonts w:ascii="Arial" w:eastAsia="Tahoma" w:hAnsi="Arial" w:cs="Arial"/>
          <w:color w:val="000000"/>
          <w:sz w:val="20"/>
          <w:szCs w:val="20"/>
          <w:lang w:val="es-ES" w:eastAsia="es-CO"/>
        </w:rPr>
      </w:pPr>
      <w:r w:rsidRPr="004008C2">
        <w:rPr>
          <w:rFonts w:ascii="Arial" w:eastAsia="Tahoma" w:hAnsi="Arial" w:cs="Arial"/>
          <w:color w:val="000000"/>
          <w:sz w:val="20"/>
          <w:szCs w:val="20"/>
          <w:lang w:val="es-ES" w:eastAsia="es-CO"/>
        </w:rPr>
        <w:t>Demandado:</w:t>
      </w:r>
      <w:r w:rsidR="000E0F6E">
        <w:rPr>
          <w:rFonts w:ascii="Arial" w:eastAsia="Tahoma" w:hAnsi="Arial" w:cs="Arial"/>
          <w:color w:val="000000"/>
          <w:sz w:val="20"/>
          <w:szCs w:val="20"/>
          <w:lang w:val="es-ES" w:eastAsia="es-CO"/>
        </w:rPr>
        <w:tab/>
      </w:r>
      <w:r w:rsidR="000E0F6E">
        <w:rPr>
          <w:rFonts w:ascii="Arial" w:eastAsia="Tahoma" w:hAnsi="Arial" w:cs="Arial"/>
          <w:color w:val="000000"/>
          <w:sz w:val="20"/>
          <w:szCs w:val="20"/>
          <w:lang w:val="es-ES" w:eastAsia="es-CO"/>
        </w:rPr>
        <w:tab/>
      </w:r>
      <w:r w:rsidRPr="004008C2">
        <w:rPr>
          <w:rFonts w:ascii="Arial" w:eastAsia="Tahoma" w:hAnsi="Arial" w:cs="Arial"/>
          <w:color w:val="000000"/>
          <w:sz w:val="20"/>
          <w:szCs w:val="20"/>
          <w:lang w:val="es-ES" w:eastAsia="es-CO"/>
        </w:rPr>
        <w:t>Colpensiones y otro</w:t>
      </w:r>
    </w:p>
    <w:p w14:paraId="32434B81" w14:textId="5EDB8FD3" w:rsidR="004008C2" w:rsidRDefault="004008C2" w:rsidP="004008C2">
      <w:pPr>
        <w:spacing w:before="0" w:beforeAutospacing="0" w:after="0" w:afterAutospacing="0" w:line="240" w:lineRule="auto"/>
        <w:ind w:firstLine="0"/>
        <w:rPr>
          <w:rFonts w:ascii="Arial" w:eastAsia="Tahoma" w:hAnsi="Arial" w:cs="Arial"/>
          <w:color w:val="000000"/>
          <w:sz w:val="20"/>
          <w:szCs w:val="20"/>
          <w:lang w:val="es-ES" w:eastAsia="es-CO"/>
        </w:rPr>
      </w:pPr>
      <w:r w:rsidRPr="004008C2">
        <w:rPr>
          <w:rFonts w:ascii="Arial" w:eastAsia="Tahoma" w:hAnsi="Arial" w:cs="Arial"/>
          <w:color w:val="000000"/>
          <w:sz w:val="20"/>
          <w:szCs w:val="20"/>
          <w:lang w:val="es-ES" w:eastAsia="es-CO"/>
        </w:rPr>
        <w:t>Juzgado:</w:t>
      </w:r>
      <w:r w:rsidR="000E0F6E">
        <w:rPr>
          <w:rFonts w:ascii="Arial" w:eastAsia="Tahoma" w:hAnsi="Arial" w:cs="Arial"/>
          <w:color w:val="000000"/>
          <w:sz w:val="20"/>
          <w:szCs w:val="20"/>
          <w:lang w:val="es-ES" w:eastAsia="es-CO"/>
        </w:rPr>
        <w:tab/>
      </w:r>
      <w:r w:rsidR="000E0F6E">
        <w:rPr>
          <w:rFonts w:ascii="Arial" w:eastAsia="Tahoma" w:hAnsi="Arial" w:cs="Arial"/>
          <w:color w:val="000000"/>
          <w:sz w:val="20"/>
          <w:szCs w:val="20"/>
          <w:lang w:val="es-ES" w:eastAsia="es-CO"/>
        </w:rPr>
        <w:tab/>
      </w:r>
      <w:r w:rsidRPr="004008C2">
        <w:rPr>
          <w:rFonts w:ascii="Arial" w:eastAsia="Tahoma" w:hAnsi="Arial" w:cs="Arial"/>
          <w:color w:val="000000"/>
          <w:sz w:val="20"/>
          <w:szCs w:val="20"/>
          <w:lang w:val="es-ES" w:eastAsia="es-CO"/>
        </w:rPr>
        <w:t>Cuarto Laboral del Circuito de Pereira</w:t>
      </w:r>
    </w:p>
    <w:p w14:paraId="69BA86F9" w14:textId="77777777" w:rsidR="004008C2" w:rsidRPr="004008C2" w:rsidRDefault="004008C2" w:rsidP="004008C2">
      <w:pPr>
        <w:spacing w:before="0" w:beforeAutospacing="0" w:after="0" w:afterAutospacing="0" w:line="240" w:lineRule="auto"/>
        <w:ind w:firstLine="0"/>
        <w:rPr>
          <w:rFonts w:ascii="Arial" w:eastAsia="Tahoma" w:hAnsi="Arial" w:cs="Arial"/>
          <w:color w:val="000000"/>
          <w:sz w:val="20"/>
          <w:szCs w:val="20"/>
          <w:lang w:val="es-ES" w:eastAsia="es-CO"/>
        </w:rPr>
      </w:pPr>
    </w:p>
    <w:p w14:paraId="47A29835" w14:textId="77777777" w:rsidR="00840219" w:rsidRPr="00A050D7" w:rsidRDefault="00840219" w:rsidP="00840219">
      <w:pPr>
        <w:spacing w:before="0" w:beforeAutospacing="0" w:after="0" w:afterAutospacing="0" w:line="240" w:lineRule="auto"/>
        <w:ind w:firstLine="0"/>
        <w:rPr>
          <w:rFonts w:ascii="Arial" w:eastAsia="Times New Roman" w:hAnsi="Arial" w:cs="Arial"/>
          <w:b/>
          <w:bCs/>
          <w:iCs/>
          <w:sz w:val="20"/>
          <w:szCs w:val="20"/>
          <w:lang w:val="es-419" w:eastAsia="fr-FR"/>
        </w:rPr>
      </w:pPr>
      <w:bookmarkStart w:id="3" w:name="_Hlk82369399"/>
      <w:bookmarkStart w:id="4" w:name="_Hlk89346566"/>
      <w:bookmarkEnd w:id="1"/>
      <w:bookmarkEnd w:id="2"/>
      <w:r w:rsidRPr="00A050D7">
        <w:rPr>
          <w:rFonts w:ascii="Arial" w:eastAsia="Times New Roman" w:hAnsi="Arial" w:cs="Arial"/>
          <w:b/>
          <w:bCs/>
          <w:iCs/>
          <w:sz w:val="20"/>
          <w:szCs w:val="20"/>
          <w:u w:val="single"/>
          <w:lang w:val="es-419" w:eastAsia="fr-FR"/>
        </w:rPr>
        <w:t>TEMAS:</w:t>
      </w:r>
      <w:r w:rsidRPr="00A050D7">
        <w:rPr>
          <w:rFonts w:ascii="Arial" w:eastAsia="Times New Roman" w:hAnsi="Arial" w:cs="Arial"/>
          <w:b/>
          <w:bCs/>
          <w:iCs/>
          <w:sz w:val="20"/>
          <w:szCs w:val="20"/>
          <w:lang w:val="es-419" w:eastAsia="fr-FR"/>
        </w:rPr>
        <w:tab/>
      </w:r>
      <w:r w:rsidRPr="00A050D7">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43B5FEAC" w14:textId="77777777" w:rsidR="00840219" w:rsidRPr="00A050D7" w:rsidRDefault="00840219" w:rsidP="00840219">
      <w:pPr>
        <w:spacing w:before="0" w:beforeAutospacing="0" w:after="0" w:afterAutospacing="0" w:line="240" w:lineRule="auto"/>
        <w:ind w:firstLine="0"/>
        <w:rPr>
          <w:rFonts w:ascii="Arial" w:eastAsia="Times New Roman" w:hAnsi="Arial" w:cs="Arial"/>
          <w:sz w:val="20"/>
          <w:szCs w:val="20"/>
          <w:lang w:val="es-419" w:eastAsia="es-ES"/>
        </w:rPr>
      </w:pPr>
    </w:p>
    <w:p w14:paraId="37F7E906" w14:textId="77777777" w:rsidR="00840219" w:rsidRPr="00A050D7" w:rsidRDefault="00840219" w:rsidP="00840219">
      <w:pPr>
        <w:spacing w:before="0" w:beforeAutospacing="0" w:after="0" w:afterAutospacing="0" w:line="240" w:lineRule="auto"/>
        <w:ind w:firstLine="0"/>
        <w:rPr>
          <w:rFonts w:ascii="Arial" w:eastAsia="Times New Roman" w:hAnsi="Arial" w:cs="Arial"/>
          <w:sz w:val="20"/>
          <w:szCs w:val="20"/>
          <w:lang w:val="es-419" w:eastAsia="es-ES"/>
        </w:rPr>
      </w:pPr>
      <w:r w:rsidRPr="00A050D7">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3CB34B2B" w14:textId="77777777" w:rsidR="00840219" w:rsidRPr="00A050D7" w:rsidRDefault="00840219" w:rsidP="00840219">
      <w:pPr>
        <w:spacing w:before="0" w:beforeAutospacing="0" w:after="0" w:afterAutospacing="0" w:line="240" w:lineRule="auto"/>
        <w:ind w:firstLine="0"/>
        <w:rPr>
          <w:rFonts w:ascii="Arial" w:eastAsia="Times New Roman" w:hAnsi="Arial" w:cs="Arial"/>
          <w:sz w:val="20"/>
          <w:szCs w:val="20"/>
          <w:lang w:val="es-419" w:eastAsia="es-ES"/>
        </w:rPr>
      </w:pPr>
    </w:p>
    <w:p w14:paraId="45578F1B" w14:textId="77777777" w:rsidR="00840219" w:rsidRPr="00A050D7" w:rsidRDefault="00840219" w:rsidP="00840219">
      <w:pPr>
        <w:spacing w:before="0" w:beforeAutospacing="0" w:after="0" w:afterAutospacing="0" w:line="240" w:lineRule="auto"/>
        <w:ind w:firstLine="0"/>
        <w:rPr>
          <w:rFonts w:ascii="Arial" w:eastAsia="Times New Roman" w:hAnsi="Arial" w:cs="Arial"/>
          <w:sz w:val="20"/>
          <w:szCs w:val="20"/>
          <w:lang w:val="es-419" w:eastAsia="es-ES"/>
        </w:rPr>
      </w:pPr>
      <w:r w:rsidRPr="00A050D7">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4B19DA85" w14:textId="77777777" w:rsidR="00840219" w:rsidRPr="00A050D7" w:rsidRDefault="00840219" w:rsidP="00840219">
      <w:pPr>
        <w:spacing w:before="0" w:beforeAutospacing="0" w:after="0" w:afterAutospacing="0" w:line="240" w:lineRule="auto"/>
        <w:ind w:firstLine="0"/>
        <w:rPr>
          <w:rFonts w:ascii="Arial" w:eastAsia="Times New Roman" w:hAnsi="Arial" w:cs="Arial"/>
          <w:sz w:val="20"/>
          <w:szCs w:val="20"/>
          <w:lang w:val="es-419" w:eastAsia="es-ES"/>
        </w:rPr>
      </w:pPr>
    </w:p>
    <w:p w14:paraId="39E106BE" w14:textId="77777777" w:rsidR="00840219" w:rsidRPr="00A050D7" w:rsidRDefault="00840219" w:rsidP="00840219">
      <w:pPr>
        <w:spacing w:before="0" w:beforeAutospacing="0" w:after="0" w:afterAutospacing="0" w:line="240" w:lineRule="auto"/>
        <w:ind w:firstLine="0"/>
        <w:rPr>
          <w:rFonts w:ascii="Arial" w:eastAsia="Times New Roman" w:hAnsi="Arial" w:cs="Arial"/>
          <w:sz w:val="20"/>
          <w:szCs w:val="20"/>
          <w:lang w:val="es-419" w:eastAsia="es-ES"/>
        </w:rPr>
      </w:pPr>
      <w:r w:rsidRPr="00A050D7">
        <w:rPr>
          <w:rFonts w:ascii="Arial" w:eastAsia="Times New Roman" w:hAnsi="Arial" w:cs="Arial"/>
          <w:sz w:val="20"/>
          <w:szCs w:val="20"/>
          <w:lang w:val="es-419" w:eastAsia="es-ES"/>
        </w:rPr>
        <w:t>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08CC8C7B" w14:textId="6D7A6D35" w:rsidR="00840219" w:rsidRDefault="00840219" w:rsidP="00840219">
      <w:pPr>
        <w:spacing w:before="0" w:beforeAutospacing="0" w:after="0" w:afterAutospacing="0" w:line="240" w:lineRule="auto"/>
        <w:ind w:firstLine="0"/>
        <w:rPr>
          <w:rFonts w:ascii="Arial" w:eastAsia="Times New Roman" w:hAnsi="Arial" w:cs="Arial"/>
          <w:sz w:val="20"/>
          <w:szCs w:val="20"/>
          <w:lang w:val="es-419" w:eastAsia="es-ES"/>
        </w:rPr>
      </w:pPr>
    </w:p>
    <w:p w14:paraId="1E7BB3CA" w14:textId="41078B6B" w:rsidR="00651F96" w:rsidRPr="00651F96" w:rsidRDefault="003F72DF" w:rsidP="00651F96">
      <w:pPr>
        <w:spacing w:before="0" w:beforeAutospacing="0" w:after="0" w:afterAutospacing="0"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00651F96" w:rsidRPr="00651F96">
        <w:rPr>
          <w:rFonts w:ascii="Arial" w:eastAsia="Times New Roman" w:hAnsi="Arial" w:cs="Arial"/>
          <w:sz w:val="20"/>
          <w:szCs w:val="20"/>
          <w:lang w:val="es-419" w:eastAsia="es-ES"/>
        </w:rPr>
        <w:t xml:space="preserve">los formularios de afiliación a lo sumo acreditan un consentimiento, pero no informado, tal como se expresa a continuación: </w:t>
      </w:r>
    </w:p>
    <w:p w14:paraId="0AACFFDD" w14:textId="77777777" w:rsidR="00651F96" w:rsidRPr="00651F96" w:rsidRDefault="00651F96" w:rsidP="00651F96">
      <w:pPr>
        <w:spacing w:before="0" w:beforeAutospacing="0" w:after="0" w:afterAutospacing="0" w:line="240" w:lineRule="auto"/>
        <w:ind w:firstLine="0"/>
        <w:rPr>
          <w:rFonts w:ascii="Arial" w:eastAsia="Times New Roman" w:hAnsi="Arial" w:cs="Arial"/>
          <w:sz w:val="20"/>
          <w:szCs w:val="20"/>
          <w:lang w:val="es-419" w:eastAsia="es-ES"/>
        </w:rPr>
      </w:pPr>
    </w:p>
    <w:p w14:paraId="0CBC68E4" w14:textId="4E635F04" w:rsidR="00651F96" w:rsidRDefault="00651F96" w:rsidP="00651F96">
      <w:pPr>
        <w:spacing w:before="0" w:beforeAutospacing="0" w:after="0" w:afterAutospacing="0" w:line="240" w:lineRule="auto"/>
        <w:ind w:firstLine="0"/>
        <w:rPr>
          <w:rFonts w:ascii="Arial" w:eastAsia="Times New Roman" w:hAnsi="Arial" w:cs="Arial"/>
          <w:sz w:val="20"/>
          <w:szCs w:val="20"/>
          <w:lang w:val="es-419" w:eastAsia="es-ES"/>
        </w:rPr>
      </w:pPr>
      <w:r w:rsidRPr="00651F96">
        <w:rPr>
          <w:rFonts w:ascii="Arial" w:eastAsia="Times New Roman" w:hAnsi="Arial" w:cs="Arial"/>
          <w:sz w:val="20"/>
          <w:szCs w:val="20"/>
          <w:lang w:val="es-419" w:eastAsia="es-ES"/>
        </w:rPr>
        <w:t>“</w:t>
      </w:r>
      <w:r w:rsidR="003F72DF">
        <w:rPr>
          <w:rFonts w:ascii="Arial" w:eastAsia="Times New Roman" w:hAnsi="Arial" w:cs="Arial"/>
          <w:sz w:val="20"/>
          <w:szCs w:val="20"/>
          <w:lang w:val="es-419" w:eastAsia="es-ES"/>
        </w:rPr>
        <w:t xml:space="preserve">… </w:t>
      </w:r>
      <w:r w:rsidRPr="00651F96">
        <w:rPr>
          <w:rFonts w:ascii="Arial" w:eastAsia="Times New Roman" w:hAnsi="Arial" w:cs="Arial"/>
          <w:sz w:val="20"/>
          <w:szCs w:val="20"/>
          <w:lang w:val="es-419"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003F72DF">
        <w:rPr>
          <w:rFonts w:ascii="Arial" w:eastAsia="Times New Roman" w:hAnsi="Arial" w:cs="Arial"/>
          <w:sz w:val="20"/>
          <w:szCs w:val="20"/>
          <w:lang w:val="es-419" w:eastAsia="es-ES"/>
        </w:rPr>
        <w:t>”</w:t>
      </w:r>
    </w:p>
    <w:p w14:paraId="232A3498" w14:textId="77777777" w:rsidR="00651F96" w:rsidRPr="00A050D7" w:rsidRDefault="00651F96" w:rsidP="00840219">
      <w:pPr>
        <w:spacing w:before="0" w:beforeAutospacing="0" w:after="0" w:afterAutospacing="0" w:line="240" w:lineRule="auto"/>
        <w:ind w:firstLine="0"/>
        <w:rPr>
          <w:rFonts w:ascii="Arial" w:eastAsia="Times New Roman" w:hAnsi="Arial" w:cs="Arial"/>
          <w:sz w:val="20"/>
          <w:szCs w:val="20"/>
          <w:lang w:val="es-419" w:eastAsia="es-ES"/>
        </w:rPr>
      </w:pPr>
    </w:p>
    <w:p w14:paraId="2A35FBEA" w14:textId="42039392" w:rsidR="00840219" w:rsidRPr="00A050D7" w:rsidRDefault="005C1151" w:rsidP="00840219">
      <w:pPr>
        <w:spacing w:before="0" w:beforeAutospacing="0" w:after="0" w:afterAutospacing="0" w:line="240" w:lineRule="auto"/>
        <w:ind w:firstLine="0"/>
        <w:rPr>
          <w:rFonts w:ascii="Arial" w:eastAsia="Times New Roman" w:hAnsi="Arial" w:cs="Arial"/>
          <w:sz w:val="20"/>
          <w:szCs w:val="20"/>
          <w:lang w:val="es-419" w:eastAsia="es-ES"/>
        </w:rPr>
      </w:pPr>
      <w:r w:rsidRPr="005C1151">
        <w:rPr>
          <w:rFonts w:ascii="Arial" w:eastAsia="Times New Roman" w:hAnsi="Arial" w:cs="Arial"/>
          <w:sz w:val="20"/>
          <w:szCs w:val="20"/>
          <w:lang w:val="es-419" w:eastAsia="es-ES"/>
        </w:rPr>
        <w:t>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w:t>
      </w:r>
    </w:p>
    <w:p w14:paraId="740E0071" w14:textId="77777777" w:rsidR="00840219" w:rsidRPr="00A050D7" w:rsidRDefault="00840219" w:rsidP="00840219">
      <w:pPr>
        <w:spacing w:before="0" w:beforeAutospacing="0" w:after="0" w:afterAutospacing="0" w:line="240" w:lineRule="auto"/>
        <w:ind w:firstLine="0"/>
        <w:rPr>
          <w:rFonts w:ascii="Arial" w:eastAsia="Times New Roman" w:hAnsi="Arial" w:cs="Arial"/>
          <w:sz w:val="20"/>
          <w:szCs w:val="20"/>
          <w:lang w:val="es-ES" w:eastAsia="es-ES"/>
        </w:rPr>
      </w:pPr>
    </w:p>
    <w:p w14:paraId="5833F758" w14:textId="77777777" w:rsidR="00840219" w:rsidRPr="00A050D7" w:rsidRDefault="00840219" w:rsidP="00840219">
      <w:pPr>
        <w:spacing w:before="0" w:beforeAutospacing="0" w:after="0" w:afterAutospacing="0" w:line="240" w:lineRule="auto"/>
        <w:ind w:firstLine="0"/>
        <w:rPr>
          <w:rFonts w:ascii="Arial" w:eastAsia="Times New Roman" w:hAnsi="Arial" w:cs="Arial"/>
          <w:sz w:val="20"/>
          <w:szCs w:val="20"/>
          <w:lang w:val="es-ES" w:eastAsia="es-ES"/>
        </w:rPr>
      </w:pPr>
    </w:p>
    <w:bookmarkEnd w:id="3"/>
    <w:p w14:paraId="5CA4D464" w14:textId="77777777" w:rsidR="00840219" w:rsidRPr="00A050D7" w:rsidRDefault="00840219" w:rsidP="00840219">
      <w:pPr>
        <w:spacing w:before="0" w:beforeAutospacing="0" w:after="0" w:afterAutospacing="0" w:line="240" w:lineRule="auto"/>
        <w:ind w:firstLine="0"/>
        <w:rPr>
          <w:rFonts w:ascii="Arial" w:eastAsia="Times New Roman" w:hAnsi="Arial" w:cs="Arial"/>
          <w:sz w:val="20"/>
          <w:szCs w:val="20"/>
          <w:lang w:val="es-ES" w:eastAsia="es-ES"/>
        </w:rPr>
      </w:pPr>
    </w:p>
    <w:p w14:paraId="1B48FCCC" w14:textId="77777777" w:rsidR="003B6848" w:rsidRPr="000E0F6E" w:rsidRDefault="003B6848" w:rsidP="000E0F6E">
      <w:pPr>
        <w:pStyle w:val="Ttulo4"/>
        <w:widowControl w:val="0"/>
        <w:tabs>
          <w:tab w:val="clear" w:pos="0"/>
        </w:tabs>
        <w:spacing w:line="276" w:lineRule="auto"/>
        <w:ind w:right="49"/>
        <w:contextualSpacing/>
        <w:rPr>
          <w:rFonts w:ascii="Tahoma" w:hAnsi="Tahoma" w:cs="Tahoma"/>
          <w:bCs/>
          <w:szCs w:val="24"/>
          <w:lang w:eastAsia="es-MX"/>
        </w:rPr>
      </w:pPr>
      <w:r w:rsidRPr="000E0F6E">
        <w:rPr>
          <w:rFonts w:ascii="Tahoma" w:hAnsi="Tahoma" w:cs="Tahoma"/>
          <w:bCs/>
          <w:szCs w:val="24"/>
          <w:lang w:eastAsia="es-MX"/>
        </w:rPr>
        <w:t>TRIBUNAL SUPERIOR DEL DISTRITO JUDICIAL DE PEREIRA</w:t>
      </w:r>
    </w:p>
    <w:p w14:paraId="5A16DD1F" w14:textId="5F655AE0" w:rsidR="003B6848" w:rsidRPr="000E0F6E" w:rsidRDefault="003B6848" w:rsidP="000E0F6E">
      <w:pPr>
        <w:pStyle w:val="Ttulo4"/>
        <w:widowControl w:val="0"/>
        <w:tabs>
          <w:tab w:val="clear" w:pos="0"/>
        </w:tabs>
        <w:spacing w:line="276" w:lineRule="auto"/>
        <w:ind w:right="49"/>
        <w:contextualSpacing/>
        <w:rPr>
          <w:rFonts w:ascii="Tahoma" w:hAnsi="Tahoma" w:cs="Tahoma"/>
          <w:bCs/>
          <w:szCs w:val="24"/>
          <w:lang w:eastAsia="es-MX"/>
        </w:rPr>
      </w:pPr>
      <w:r w:rsidRPr="000E0F6E">
        <w:rPr>
          <w:rFonts w:ascii="Tahoma" w:hAnsi="Tahoma" w:cs="Tahoma"/>
          <w:bCs/>
          <w:szCs w:val="24"/>
          <w:lang w:eastAsia="es-MX"/>
        </w:rPr>
        <w:t>SALA PRIMERA DE DECISION LABORAL</w:t>
      </w:r>
    </w:p>
    <w:p w14:paraId="1EA4F8CA" w14:textId="77777777" w:rsidR="000A7489" w:rsidRPr="000E0F6E" w:rsidRDefault="000A7489" w:rsidP="000E0F6E">
      <w:pPr>
        <w:spacing w:before="0" w:beforeAutospacing="0" w:after="0" w:afterAutospacing="0" w:line="276" w:lineRule="auto"/>
        <w:ind w:right="49" w:firstLine="0"/>
        <w:contextualSpacing/>
        <w:jc w:val="center"/>
        <w:rPr>
          <w:rFonts w:ascii="Tahoma" w:hAnsi="Tahoma" w:cs="Tahoma"/>
          <w:bCs/>
        </w:rPr>
      </w:pPr>
    </w:p>
    <w:p w14:paraId="0DC08CD0" w14:textId="4E5C3C62" w:rsidR="003B6848" w:rsidRPr="000E0F6E" w:rsidRDefault="003B6848" w:rsidP="000E0F6E">
      <w:pPr>
        <w:spacing w:before="0" w:beforeAutospacing="0" w:after="0" w:afterAutospacing="0" w:line="276" w:lineRule="auto"/>
        <w:ind w:right="49" w:firstLine="0"/>
        <w:contextualSpacing/>
        <w:jc w:val="center"/>
        <w:textAlignment w:val="baseline"/>
        <w:rPr>
          <w:rFonts w:ascii="Tahoma" w:eastAsia="Times New Roman" w:hAnsi="Tahoma" w:cs="Tahoma"/>
          <w:lang w:eastAsia="es-CO"/>
        </w:rPr>
      </w:pPr>
      <w:r w:rsidRPr="000E0F6E">
        <w:rPr>
          <w:rFonts w:ascii="Tahoma" w:eastAsia="Times New Roman" w:hAnsi="Tahoma" w:cs="Tahoma"/>
          <w:lang w:eastAsia="es-CO"/>
        </w:rPr>
        <w:t>Magistrada Ponente: </w:t>
      </w:r>
      <w:r w:rsidRPr="000E0F6E">
        <w:rPr>
          <w:rFonts w:ascii="Tahoma" w:eastAsia="Times New Roman" w:hAnsi="Tahoma" w:cs="Tahoma"/>
          <w:b/>
          <w:bCs/>
          <w:lang w:eastAsia="es-CO"/>
        </w:rPr>
        <w:t>Ana Lucía Caicedo Calderón</w:t>
      </w:r>
    </w:p>
    <w:p w14:paraId="2EE6C2C2" w14:textId="438562DA" w:rsidR="003B6848" w:rsidRPr="000E0F6E" w:rsidRDefault="003B6848" w:rsidP="000E0F6E">
      <w:pPr>
        <w:spacing w:before="0" w:beforeAutospacing="0" w:after="0" w:afterAutospacing="0" w:line="276" w:lineRule="auto"/>
        <w:ind w:right="49" w:firstLine="0"/>
        <w:contextualSpacing/>
        <w:jc w:val="center"/>
        <w:textAlignment w:val="baseline"/>
        <w:rPr>
          <w:rFonts w:ascii="Tahoma" w:eastAsia="Times New Roman" w:hAnsi="Tahoma" w:cs="Tahoma"/>
          <w:lang w:eastAsia="es-CO"/>
        </w:rPr>
      </w:pPr>
    </w:p>
    <w:p w14:paraId="65CA52FB" w14:textId="1A6857DF" w:rsidR="003B6848" w:rsidRPr="000E0F6E" w:rsidRDefault="003B6848" w:rsidP="000E0F6E">
      <w:pPr>
        <w:spacing w:before="0" w:beforeAutospacing="0" w:after="0" w:afterAutospacing="0" w:line="276" w:lineRule="auto"/>
        <w:ind w:right="49" w:firstLine="0"/>
        <w:contextualSpacing/>
        <w:jc w:val="center"/>
        <w:textAlignment w:val="baseline"/>
        <w:rPr>
          <w:rFonts w:ascii="Tahoma" w:eastAsia="Times New Roman" w:hAnsi="Tahoma" w:cs="Tahoma"/>
          <w:lang w:eastAsia="es-CO"/>
        </w:rPr>
      </w:pPr>
      <w:r w:rsidRPr="000E0F6E">
        <w:rPr>
          <w:rFonts w:ascii="Tahoma" w:eastAsia="Times New Roman" w:hAnsi="Tahoma" w:cs="Tahoma"/>
          <w:lang w:eastAsia="es-CO"/>
        </w:rPr>
        <w:t xml:space="preserve">Pereira, Risaralda, </w:t>
      </w:r>
      <w:r w:rsidR="00F91236" w:rsidRPr="000E0F6E">
        <w:rPr>
          <w:rFonts w:ascii="Tahoma" w:eastAsia="Times New Roman" w:hAnsi="Tahoma" w:cs="Tahoma"/>
          <w:lang w:eastAsia="es-CO"/>
        </w:rPr>
        <w:t>agosto</w:t>
      </w:r>
      <w:r w:rsidR="00510D63" w:rsidRPr="000E0F6E">
        <w:rPr>
          <w:rFonts w:ascii="Tahoma" w:eastAsia="Times New Roman" w:hAnsi="Tahoma" w:cs="Tahoma"/>
          <w:lang w:eastAsia="es-CO"/>
        </w:rPr>
        <w:t xml:space="preserve"> </w:t>
      </w:r>
      <w:r w:rsidR="00F91236" w:rsidRPr="000E0F6E">
        <w:rPr>
          <w:rFonts w:ascii="Tahoma" w:eastAsia="Times New Roman" w:hAnsi="Tahoma" w:cs="Tahoma"/>
          <w:lang w:eastAsia="es-CO"/>
        </w:rPr>
        <w:t>doce</w:t>
      </w:r>
      <w:r w:rsidR="00510D63" w:rsidRPr="000E0F6E">
        <w:rPr>
          <w:rFonts w:ascii="Tahoma" w:eastAsia="Times New Roman" w:hAnsi="Tahoma" w:cs="Tahoma"/>
          <w:lang w:eastAsia="es-CO"/>
        </w:rPr>
        <w:t xml:space="preserve"> </w:t>
      </w:r>
      <w:r w:rsidRPr="000E0F6E">
        <w:rPr>
          <w:rFonts w:ascii="Tahoma" w:eastAsia="Times New Roman" w:hAnsi="Tahoma" w:cs="Tahoma"/>
          <w:lang w:eastAsia="es-CO"/>
        </w:rPr>
        <w:t>(</w:t>
      </w:r>
      <w:r w:rsidR="00510D63" w:rsidRPr="000E0F6E">
        <w:rPr>
          <w:rFonts w:ascii="Tahoma" w:eastAsia="Times New Roman" w:hAnsi="Tahoma" w:cs="Tahoma"/>
          <w:lang w:eastAsia="es-CO"/>
        </w:rPr>
        <w:t>1</w:t>
      </w:r>
      <w:r w:rsidR="00F91236" w:rsidRPr="000E0F6E">
        <w:rPr>
          <w:rFonts w:ascii="Tahoma" w:eastAsia="Times New Roman" w:hAnsi="Tahoma" w:cs="Tahoma"/>
          <w:lang w:eastAsia="es-CO"/>
        </w:rPr>
        <w:t>2</w:t>
      </w:r>
      <w:r w:rsidRPr="000E0F6E">
        <w:rPr>
          <w:rFonts w:ascii="Tahoma" w:eastAsia="Times New Roman" w:hAnsi="Tahoma" w:cs="Tahoma"/>
          <w:lang w:eastAsia="es-CO"/>
        </w:rPr>
        <w:t>) de dos mil veintidós (2022)</w:t>
      </w:r>
    </w:p>
    <w:p w14:paraId="1DDE6477" w14:textId="487C221A" w:rsidR="003B6848" w:rsidRPr="000E0F6E" w:rsidRDefault="003B6848" w:rsidP="000E0F6E">
      <w:pPr>
        <w:spacing w:before="0" w:beforeAutospacing="0" w:after="0" w:afterAutospacing="0" w:line="276" w:lineRule="auto"/>
        <w:ind w:right="49" w:firstLine="0"/>
        <w:contextualSpacing/>
        <w:jc w:val="center"/>
        <w:textAlignment w:val="baseline"/>
        <w:rPr>
          <w:rFonts w:ascii="Tahoma" w:eastAsia="Times New Roman" w:hAnsi="Tahoma" w:cs="Tahoma"/>
          <w:lang w:eastAsia="es-CO"/>
        </w:rPr>
      </w:pPr>
      <w:r w:rsidRPr="000E0F6E">
        <w:rPr>
          <w:rFonts w:ascii="Tahoma" w:eastAsia="Times New Roman" w:hAnsi="Tahoma" w:cs="Tahoma"/>
          <w:lang w:eastAsia="es-CO"/>
        </w:rPr>
        <w:t>Acta No. </w:t>
      </w:r>
      <w:r w:rsidR="00DD2CB2" w:rsidRPr="000E0F6E">
        <w:rPr>
          <w:rFonts w:ascii="Tahoma" w:eastAsia="Times New Roman" w:hAnsi="Tahoma" w:cs="Tahoma"/>
          <w:lang w:eastAsia="es-CO"/>
        </w:rPr>
        <w:t>122</w:t>
      </w:r>
      <w:r w:rsidRPr="000E0F6E">
        <w:rPr>
          <w:rFonts w:ascii="Tahoma" w:eastAsia="Times New Roman" w:hAnsi="Tahoma" w:cs="Tahoma"/>
          <w:lang w:eastAsia="es-CO"/>
        </w:rPr>
        <w:t xml:space="preserve"> del </w:t>
      </w:r>
      <w:r w:rsidR="00AB721F" w:rsidRPr="000E0F6E">
        <w:rPr>
          <w:rFonts w:ascii="Tahoma" w:eastAsia="Times New Roman" w:hAnsi="Tahoma" w:cs="Tahoma"/>
          <w:lang w:eastAsia="es-CO"/>
        </w:rPr>
        <w:t>11</w:t>
      </w:r>
      <w:r w:rsidRPr="000E0F6E">
        <w:rPr>
          <w:rFonts w:ascii="Tahoma" w:eastAsia="Times New Roman" w:hAnsi="Tahoma" w:cs="Tahoma"/>
          <w:lang w:eastAsia="es-CO"/>
        </w:rPr>
        <w:t xml:space="preserve"> de </w:t>
      </w:r>
      <w:r w:rsidR="00AB721F" w:rsidRPr="000E0F6E">
        <w:rPr>
          <w:rFonts w:ascii="Tahoma" w:eastAsia="Times New Roman" w:hAnsi="Tahoma" w:cs="Tahoma"/>
          <w:lang w:eastAsia="es-CO"/>
        </w:rPr>
        <w:t>agosto</w:t>
      </w:r>
      <w:r w:rsidR="00510D63" w:rsidRPr="000E0F6E">
        <w:rPr>
          <w:rFonts w:ascii="Tahoma" w:eastAsia="Times New Roman" w:hAnsi="Tahoma" w:cs="Tahoma"/>
          <w:lang w:eastAsia="es-CO"/>
        </w:rPr>
        <w:t xml:space="preserve"> </w:t>
      </w:r>
      <w:r w:rsidRPr="000E0F6E">
        <w:rPr>
          <w:rFonts w:ascii="Tahoma" w:eastAsia="Times New Roman" w:hAnsi="Tahoma" w:cs="Tahoma"/>
          <w:lang w:eastAsia="es-CO"/>
        </w:rPr>
        <w:t>de 2022</w:t>
      </w:r>
    </w:p>
    <w:bookmarkEnd w:id="4"/>
    <w:p w14:paraId="77C0F7AD" w14:textId="733181A7" w:rsidR="003B6848" w:rsidRPr="000E0F6E" w:rsidRDefault="003B6848" w:rsidP="000E0F6E">
      <w:pPr>
        <w:spacing w:before="0" w:beforeAutospacing="0" w:after="0" w:afterAutospacing="0" w:line="276" w:lineRule="auto"/>
        <w:contextualSpacing/>
        <w:jc w:val="center"/>
        <w:rPr>
          <w:rFonts w:ascii="Tahoma" w:hAnsi="Tahoma" w:cs="Tahoma"/>
          <w:b/>
        </w:rPr>
      </w:pPr>
    </w:p>
    <w:p w14:paraId="4D47DCFA" w14:textId="77777777" w:rsidR="00151506" w:rsidRPr="000E0F6E" w:rsidRDefault="00151506" w:rsidP="000E0F6E">
      <w:pPr>
        <w:spacing w:before="0" w:beforeAutospacing="0" w:after="0" w:afterAutospacing="0" w:line="276" w:lineRule="auto"/>
        <w:contextualSpacing/>
        <w:jc w:val="center"/>
        <w:rPr>
          <w:rFonts w:ascii="Tahoma" w:hAnsi="Tahoma" w:cs="Tahoma"/>
          <w:b/>
        </w:rPr>
      </w:pPr>
    </w:p>
    <w:p w14:paraId="4AC3CC0A" w14:textId="66A907A2" w:rsidR="00CC7065" w:rsidRPr="000E0F6E" w:rsidRDefault="00C113E7" w:rsidP="000E0F6E">
      <w:pPr>
        <w:spacing w:before="0" w:beforeAutospacing="0" w:after="0" w:afterAutospacing="0" w:line="276" w:lineRule="auto"/>
        <w:ind w:firstLine="708"/>
        <w:contextualSpacing/>
        <w:rPr>
          <w:rFonts w:ascii="Tahoma" w:hAnsi="Tahoma" w:cs="Tahoma"/>
        </w:rPr>
      </w:pPr>
      <w:r w:rsidRPr="000E0F6E">
        <w:rPr>
          <w:rFonts w:ascii="Tahoma" w:hAnsi="Tahoma" w:cs="Tahoma"/>
          <w:lang w:val="es-ES"/>
        </w:rPr>
        <w:t>Teniendo en cuenta que el artículo 15 del Decreto No. 806 del 4 de junio de 2020, adoptado como legislación permanente por medio de la Ley 2213 del 13 de junio de 2022</w:t>
      </w:r>
      <w:r w:rsidR="000A7489" w:rsidRPr="000E0F6E">
        <w:rPr>
          <w:rFonts w:ascii="Tahoma" w:hAnsi="Tahoma" w:cs="Tahoma"/>
        </w:rPr>
        <w:t xml:space="preserve">, </w:t>
      </w:r>
      <w:r w:rsidR="003B6848" w:rsidRPr="000E0F6E">
        <w:rPr>
          <w:rFonts w:ascii="Tahoma" w:hAnsi="Tahoma" w:cs="Tahoma"/>
        </w:rPr>
        <w:t>estableció que en la</w:t>
      </w:r>
      <w:r w:rsidR="00E60AFE" w:rsidRPr="000E0F6E">
        <w:rPr>
          <w:rFonts w:ascii="Tahoma" w:hAnsi="Tahoma" w:cs="Tahoma"/>
        </w:rPr>
        <w:t xml:space="preserve"> </w:t>
      </w:r>
      <w:r w:rsidR="003B6848" w:rsidRPr="000E0F6E">
        <w:rPr>
          <w:rFonts w:ascii="Tahoma" w:hAnsi="Tahoma" w:cs="Tahoma"/>
        </w:rPr>
        <w:t>especialidad laboral se proferirán por escrito las providencias de</w:t>
      </w:r>
      <w:r w:rsidR="00E60AFE" w:rsidRPr="000E0F6E">
        <w:rPr>
          <w:rFonts w:ascii="Tahoma" w:hAnsi="Tahoma" w:cs="Tahoma"/>
        </w:rPr>
        <w:t xml:space="preserve"> </w:t>
      </w:r>
      <w:r w:rsidR="003B6848" w:rsidRPr="000E0F6E">
        <w:rPr>
          <w:rFonts w:ascii="Tahoma" w:hAnsi="Tahoma" w:cs="Tahoma"/>
        </w:rPr>
        <w:t>segunda</w:t>
      </w:r>
      <w:r w:rsidR="00E60AFE" w:rsidRPr="000E0F6E">
        <w:rPr>
          <w:rFonts w:ascii="Tahoma" w:hAnsi="Tahoma" w:cs="Tahoma"/>
        </w:rPr>
        <w:t xml:space="preserve"> </w:t>
      </w:r>
      <w:r w:rsidR="003B6848" w:rsidRPr="000E0F6E">
        <w:rPr>
          <w:rFonts w:ascii="Tahoma" w:hAnsi="Tahoma" w:cs="Tahoma"/>
        </w:rPr>
        <w:t>instancia</w:t>
      </w:r>
      <w:r w:rsidR="00E60AFE" w:rsidRPr="000E0F6E">
        <w:rPr>
          <w:rFonts w:ascii="Tahoma" w:hAnsi="Tahoma" w:cs="Tahoma"/>
        </w:rPr>
        <w:t xml:space="preserve"> </w:t>
      </w:r>
      <w:r w:rsidR="003B6848" w:rsidRPr="000E0F6E">
        <w:rPr>
          <w:rFonts w:ascii="Tahoma" w:hAnsi="Tahoma" w:cs="Tahoma"/>
        </w:rPr>
        <w:t>en las que se surta el grado jurisdiccional de consulta o se resuelva el recurso de</w:t>
      </w:r>
      <w:r w:rsidR="00E60AFE" w:rsidRPr="000E0F6E">
        <w:rPr>
          <w:rFonts w:ascii="Tahoma" w:hAnsi="Tahoma" w:cs="Tahoma"/>
        </w:rPr>
        <w:t xml:space="preserve"> </w:t>
      </w:r>
      <w:r w:rsidR="003B6848" w:rsidRPr="000E0F6E">
        <w:rPr>
          <w:rFonts w:ascii="Tahoma" w:hAnsi="Tahoma" w:cs="Tahoma"/>
        </w:rPr>
        <w:t>apelación de autos o sentencias, la Sala de Decisión Laboral</w:t>
      </w:r>
      <w:r w:rsidR="00617E08" w:rsidRPr="000E0F6E">
        <w:rPr>
          <w:rFonts w:ascii="Tahoma" w:hAnsi="Tahoma" w:cs="Tahoma"/>
        </w:rPr>
        <w:t xml:space="preserve"> del Tribunal Superior de Pereira, </w:t>
      </w:r>
      <w:r w:rsidR="003B6848" w:rsidRPr="000E0F6E">
        <w:rPr>
          <w:rFonts w:ascii="Tahoma" w:hAnsi="Tahoma" w:cs="Tahoma"/>
        </w:rPr>
        <w:t>integrada por las</w:t>
      </w:r>
      <w:r w:rsidR="00510D63" w:rsidRPr="000E0F6E">
        <w:rPr>
          <w:rFonts w:ascii="Tahoma" w:hAnsi="Tahoma" w:cs="Tahoma"/>
        </w:rPr>
        <w:t xml:space="preserve"> </w:t>
      </w:r>
      <w:r w:rsidR="003B6848" w:rsidRPr="000E0F6E">
        <w:rPr>
          <w:rFonts w:ascii="Tahoma" w:hAnsi="Tahoma" w:cs="Tahoma"/>
        </w:rPr>
        <w:t>Magistradas ANA LUCÍA CAICEDO CALDERÓN</w:t>
      </w:r>
      <w:r w:rsidR="00617E08" w:rsidRPr="000E0F6E">
        <w:rPr>
          <w:rFonts w:ascii="Tahoma" w:hAnsi="Tahoma" w:cs="Tahoma"/>
        </w:rPr>
        <w:t>,</w:t>
      </w:r>
      <w:r w:rsidR="003B6848" w:rsidRPr="000E0F6E">
        <w:rPr>
          <w:rFonts w:ascii="Tahoma" w:hAnsi="Tahoma" w:cs="Tahoma"/>
        </w:rPr>
        <w:t xml:space="preserve"> como </w:t>
      </w:r>
      <w:r w:rsidR="00617E08" w:rsidRPr="000E0F6E">
        <w:rPr>
          <w:rFonts w:ascii="Tahoma" w:hAnsi="Tahoma" w:cs="Tahoma"/>
        </w:rPr>
        <w:t>p</w:t>
      </w:r>
      <w:r w:rsidR="003B6848" w:rsidRPr="000E0F6E">
        <w:rPr>
          <w:rFonts w:ascii="Tahoma" w:hAnsi="Tahoma" w:cs="Tahoma"/>
        </w:rPr>
        <w:t xml:space="preserve">onente, </w:t>
      </w:r>
      <w:r w:rsidR="00617E08" w:rsidRPr="000E0F6E">
        <w:rPr>
          <w:rFonts w:ascii="Tahoma" w:hAnsi="Tahoma" w:cs="Tahoma"/>
        </w:rPr>
        <w:t xml:space="preserve">y </w:t>
      </w:r>
      <w:r w:rsidR="003B6848" w:rsidRPr="000E0F6E">
        <w:rPr>
          <w:rFonts w:ascii="Tahoma" w:hAnsi="Tahoma" w:cs="Tahoma"/>
        </w:rPr>
        <w:t>OLGA LUCÍA HOYOS</w:t>
      </w:r>
      <w:r w:rsidR="00510D63" w:rsidRPr="000E0F6E">
        <w:rPr>
          <w:rFonts w:ascii="Tahoma" w:hAnsi="Tahoma" w:cs="Tahoma"/>
        </w:rPr>
        <w:t xml:space="preserve"> </w:t>
      </w:r>
      <w:r w:rsidR="003B6848" w:rsidRPr="000E0F6E">
        <w:rPr>
          <w:rFonts w:ascii="Tahoma" w:hAnsi="Tahoma" w:cs="Tahoma"/>
        </w:rPr>
        <w:t>SEPÚLVEDA</w:t>
      </w:r>
      <w:r w:rsidR="00617E08" w:rsidRPr="000E0F6E">
        <w:rPr>
          <w:rFonts w:ascii="Tahoma" w:hAnsi="Tahoma" w:cs="Tahoma"/>
        </w:rPr>
        <w:t>,</w:t>
      </w:r>
      <w:r w:rsidR="003B6848" w:rsidRPr="000E0F6E">
        <w:rPr>
          <w:rFonts w:ascii="Tahoma" w:hAnsi="Tahoma" w:cs="Tahoma"/>
        </w:rPr>
        <w:t xml:space="preserve"> y el Magistrado</w:t>
      </w:r>
      <w:r w:rsidR="00510D63" w:rsidRPr="000E0F6E">
        <w:rPr>
          <w:rFonts w:ascii="Tahoma" w:hAnsi="Tahoma" w:cs="Tahoma"/>
        </w:rPr>
        <w:t xml:space="preserve"> </w:t>
      </w:r>
      <w:r w:rsidR="003B6848" w:rsidRPr="000E0F6E">
        <w:rPr>
          <w:rFonts w:ascii="Tahoma" w:hAnsi="Tahoma" w:cs="Tahoma"/>
        </w:rPr>
        <w:t>GERMÁN DARIO GOEZ VINASCO, procede a proferir la</w:t>
      </w:r>
      <w:r w:rsidR="00510D63" w:rsidRPr="000E0F6E">
        <w:rPr>
          <w:rFonts w:ascii="Tahoma" w:hAnsi="Tahoma" w:cs="Tahoma"/>
        </w:rPr>
        <w:t xml:space="preserve"> </w:t>
      </w:r>
      <w:r w:rsidR="003B6848" w:rsidRPr="000E0F6E">
        <w:rPr>
          <w:rFonts w:ascii="Tahoma" w:hAnsi="Tahoma" w:cs="Tahoma"/>
        </w:rPr>
        <w:t xml:space="preserve">siguiente sentencia escrita dentro del proceso </w:t>
      </w:r>
      <w:r w:rsidR="003B6848" w:rsidRPr="0023364E">
        <w:rPr>
          <w:rFonts w:ascii="Tahoma" w:hAnsi="Tahoma" w:cs="Tahoma"/>
          <w:b/>
        </w:rPr>
        <w:t>ordinario laboral</w:t>
      </w:r>
      <w:r w:rsidR="003B6848" w:rsidRPr="000E0F6E">
        <w:rPr>
          <w:rFonts w:ascii="Tahoma" w:hAnsi="Tahoma" w:cs="Tahoma"/>
        </w:rPr>
        <w:t xml:space="preserve"> instaurado por </w:t>
      </w:r>
      <w:r w:rsidR="00E377DA" w:rsidRPr="000E0F6E">
        <w:rPr>
          <w:rFonts w:ascii="Tahoma" w:hAnsi="Tahoma" w:cs="Tahoma"/>
          <w:b/>
          <w:bCs/>
        </w:rPr>
        <w:t>Edgar Moreno Hernández</w:t>
      </w:r>
      <w:r w:rsidR="00311CE6" w:rsidRPr="000E0F6E">
        <w:rPr>
          <w:rFonts w:ascii="Tahoma" w:hAnsi="Tahoma" w:cs="Tahoma"/>
          <w:b/>
          <w:bCs/>
        </w:rPr>
        <w:t xml:space="preserve"> </w:t>
      </w:r>
      <w:r w:rsidR="00171926" w:rsidRPr="000E0F6E">
        <w:rPr>
          <w:rFonts w:ascii="Tahoma" w:hAnsi="Tahoma" w:cs="Tahoma"/>
          <w:bCs/>
        </w:rPr>
        <w:t>en contra de la</w:t>
      </w:r>
      <w:r w:rsidR="00171926" w:rsidRPr="000E0F6E">
        <w:rPr>
          <w:rFonts w:ascii="Tahoma" w:hAnsi="Tahoma" w:cs="Tahoma"/>
          <w:b/>
          <w:bCs/>
        </w:rPr>
        <w:t xml:space="preserve"> Administradora Colombiana de Pensiones – Colpensiones y la Administradora de Fondos de Pensiones – Protección S.A.</w:t>
      </w:r>
    </w:p>
    <w:p w14:paraId="29B40BBB" w14:textId="2EEA8D6B" w:rsidR="0057307A" w:rsidRPr="000E0F6E" w:rsidRDefault="0057307A" w:rsidP="000E0F6E">
      <w:pPr>
        <w:spacing w:before="0" w:beforeAutospacing="0" w:after="0" w:afterAutospacing="0" w:line="276" w:lineRule="auto"/>
        <w:ind w:firstLine="708"/>
        <w:contextualSpacing/>
        <w:rPr>
          <w:rFonts w:ascii="Tahoma" w:hAnsi="Tahoma" w:cs="Tahoma"/>
          <w:b/>
        </w:rPr>
      </w:pPr>
    </w:p>
    <w:p w14:paraId="77400F6B" w14:textId="759EC3DD" w:rsidR="00CC3B17" w:rsidRPr="000E0F6E" w:rsidRDefault="00CC3B17" w:rsidP="000E0F6E">
      <w:pPr>
        <w:spacing w:before="0" w:beforeAutospacing="0" w:after="0" w:afterAutospacing="0" w:line="276" w:lineRule="auto"/>
        <w:ind w:firstLine="708"/>
        <w:contextualSpacing/>
        <w:rPr>
          <w:rFonts w:ascii="Tahoma" w:hAnsi="Tahoma" w:cs="Tahoma"/>
          <w:b/>
        </w:rPr>
      </w:pPr>
    </w:p>
    <w:p w14:paraId="66CCE530" w14:textId="004A7E03" w:rsidR="001D328D" w:rsidRPr="000E0F6E" w:rsidRDefault="001D328D" w:rsidP="000E0F6E">
      <w:pPr>
        <w:spacing w:before="0" w:beforeAutospacing="0" w:after="0" w:afterAutospacing="0" w:line="276" w:lineRule="auto"/>
        <w:ind w:firstLine="708"/>
        <w:contextualSpacing/>
        <w:jc w:val="center"/>
        <w:rPr>
          <w:rFonts w:ascii="Tahoma" w:hAnsi="Tahoma" w:cs="Tahoma"/>
          <w:b/>
        </w:rPr>
      </w:pPr>
      <w:r w:rsidRPr="000E0F6E">
        <w:rPr>
          <w:rFonts w:ascii="Tahoma" w:hAnsi="Tahoma" w:cs="Tahoma"/>
          <w:b/>
        </w:rPr>
        <w:t>AUTO</w:t>
      </w:r>
    </w:p>
    <w:p w14:paraId="44D0F362" w14:textId="77777777" w:rsidR="002001A7" w:rsidRPr="000E0F6E" w:rsidRDefault="002001A7" w:rsidP="000E0F6E">
      <w:pPr>
        <w:spacing w:before="0" w:beforeAutospacing="0" w:after="0" w:afterAutospacing="0" w:line="276" w:lineRule="auto"/>
        <w:ind w:firstLine="708"/>
        <w:contextualSpacing/>
        <w:jc w:val="center"/>
        <w:rPr>
          <w:rFonts w:ascii="Tahoma" w:hAnsi="Tahoma" w:cs="Tahoma"/>
          <w:b/>
        </w:rPr>
      </w:pPr>
    </w:p>
    <w:p w14:paraId="1B2B5328" w14:textId="16BF82BB" w:rsidR="00E343FC" w:rsidRPr="000E0F6E" w:rsidRDefault="00A550DB" w:rsidP="000E0F6E">
      <w:pPr>
        <w:spacing w:before="0" w:beforeAutospacing="0" w:after="0" w:afterAutospacing="0" w:line="276" w:lineRule="auto"/>
        <w:ind w:firstLine="705"/>
        <w:textAlignment w:val="baseline"/>
        <w:rPr>
          <w:rFonts w:ascii="Tahoma" w:eastAsia="Times New Roman" w:hAnsi="Tahoma" w:cs="Tahoma"/>
          <w:lang w:eastAsia="es-CO"/>
        </w:rPr>
      </w:pPr>
      <w:r>
        <w:rPr>
          <w:rFonts w:ascii="Tahoma" w:eastAsia="Times New Roman" w:hAnsi="Tahoma" w:cs="Tahoma"/>
          <w:lang w:eastAsia="es-CO"/>
        </w:rPr>
        <w:t>(…)</w:t>
      </w:r>
    </w:p>
    <w:p w14:paraId="3222398C" w14:textId="6821ECC9" w:rsidR="001D328D" w:rsidRPr="000E0F6E" w:rsidRDefault="001D328D" w:rsidP="000E0F6E">
      <w:pPr>
        <w:spacing w:before="0" w:beforeAutospacing="0" w:after="0" w:afterAutospacing="0" w:line="276" w:lineRule="auto"/>
        <w:ind w:firstLine="705"/>
        <w:textAlignment w:val="baseline"/>
        <w:rPr>
          <w:rFonts w:ascii="Tahoma" w:hAnsi="Tahoma" w:cs="Tahoma"/>
          <w:b/>
        </w:rPr>
      </w:pPr>
    </w:p>
    <w:p w14:paraId="46700DBC" w14:textId="77777777" w:rsidR="001D328D" w:rsidRPr="000E0F6E" w:rsidRDefault="001D328D" w:rsidP="000E0F6E">
      <w:pPr>
        <w:spacing w:before="0" w:beforeAutospacing="0" w:after="0" w:afterAutospacing="0" w:line="276" w:lineRule="auto"/>
        <w:ind w:firstLine="708"/>
        <w:contextualSpacing/>
        <w:rPr>
          <w:rFonts w:ascii="Tahoma" w:hAnsi="Tahoma" w:cs="Tahoma"/>
          <w:b/>
        </w:rPr>
      </w:pPr>
    </w:p>
    <w:p w14:paraId="11B2C985" w14:textId="5477777E" w:rsidR="00CC7065" w:rsidRPr="000E0F6E" w:rsidRDefault="00CC7065" w:rsidP="000E0F6E">
      <w:pPr>
        <w:pStyle w:val="paragraph"/>
        <w:spacing w:before="0" w:beforeAutospacing="0" w:after="0" w:afterAutospacing="0" w:line="276" w:lineRule="auto"/>
        <w:jc w:val="center"/>
        <w:textAlignment w:val="baseline"/>
        <w:rPr>
          <w:rFonts w:ascii="Tahoma" w:hAnsi="Tahoma" w:cs="Tahoma"/>
          <w:b/>
        </w:rPr>
      </w:pPr>
      <w:r w:rsidRPr="000E0F6E">
        <w:rPr>
          <w:rStyle w:val="normaltextrun"/>
          <w:rFonts w:ascii="Tahoma" w:hAnsi="Tahoma" w:cs="Tahoma"/>
          <w:b/>
        </w:rPr>
        <w:t>PUNTO A TRATAR</w:t>
      </w:r>
    </w:p>
    <w:p w14:paraId="32FCA209" w14:textId="77777777" w:rsidR="00617E08" w:rsidRPr="000E0F6E" w:rsidRDefault="00617E08" w:rsidP="000E0F6E">
      <w:pPr>
        <w:spacing w:before="0" w:beforeAutospacing="0" w:after="0" w:afterAutospacing="0" w:line="276" w:lineRule="auto"/>
        <w:ind w:firstLine="708"/>
        <w:rPr>
          <w:rStyle w:val="normaltextrun"/>
          <w:rFonts w:ascii="Tahoma" w:hAnsi="Tahoma" w:cs="Tahoma"/>
        </w:rPr>
      </w:pPr>
    </w:p>
    <w:p w14:paraId="06AA2758" w14:textId="6C8B7C92" w:rsidR="00415842" w:rsidRPr="000E0F6E" w:rsidRDefault="00CC7065" w:rsidP="000E0F6E">
      <w:pPr>
        <w:spacing w:before="0" w:beforeAutospacing="0" w:after="0" w:afterAutospacing="0" w:line="276" w:lineRule="auto"/>
        <w:ind w:firstLine="708"/>
        <w:rPr>
          <w:rStyle w:val="normaltextrun"/>
          <w:rFonts w:ascii="Tahoma" w:hAnsi="Tahoma" w:cs="Tahoma"/>
        </w:rPr>
      </w:pPr>
      <w:r w:rsidRPr="000E0F6E">
        <w:rPr>
          <w:rStyle w:val="normaltextrun"/>
          <w:rFonts w:ascii="Tahoma" w:hAnsi="Tahoma" w:cs="Tahoma"/>
        </w:rPr>
        <w:t>Por medio de esta providencia procede la Sala a</w:t>
      </w:r>
      <w:r w:rsidRPr="000E0F6E">
        <w:rPr>
          <w:rFonts w:ascii="Tahoma" w:hAnsi="Tahoma" w:cs="Tahoma"/>
        </w:rPr>
        <w:t xml:space="preserve"> resolver el recurso de apelación interpuesto por </w:t>
      </w:r>
      <w:r w:rsidR="00617E08" w:rsidRPr="000E0F6E">
        <w:rPr>
          <w:rFonts w:ascii="Tahoma" w:hAnsi="Tahoma" w:cs="Tahoma"/>
        </w:rPr>
        <w:t xml:space="preserve">las codemandadas </w:t>
      </w:r>
      <w:r w:rsidRPr="000E0F6E">
        <w:rPr>
          <w:rFonts w:ascii="Tahoma" w:hAnsi="Tahoma" w:cs="Tahoma"/>
        </w:rPr>
        <w:t xml:space="preserve">en contra de la sentencia proferida el </w:t>
      </w:r>
      <w:r w:rsidR="000A1DF3" w:rsidRPr="000E0F6E">
        <w:rPr>
          <w:rFonts w:ascii="Tahoma" w:hAnsi="Tahoma" w:cs="Tahoma"/>
        </w:rPr>
        <w:t>22</w:t>
      </w:r>
      <w:r w:rsidRPr="000E0F6E">
        <w:rPr>
          <w:rFonts w:ascii="Tahoma" w:hAnsi="Tahoma" w:cs="Tahoma"/>
          <w:bCs/>
        </w:rPr>
        <w:t xml:space="preserve"> de </w:t>
      </w:r>
      <w:r w:rsidR="000A1DF3" w:rsidRPr="000E0F6E">
        <w:rPr>
          <w:rFonts w:ascii="Tahoma" w:hAnsi="Tahoma" w:cs="Tahoma"/>
          <w:bCs/>
        </w:rPr>
        <w:t>febrero</w:t>
      </w:r>
      <w:r w:rsidR="00171926" w:rsidRPr="000E0F6E">
        <w:rPr>
          <w:rFonts w:ascii="Tahoma" w:hAnsi="Tahoma" w:cs="Tahoma"/>
          <w:bCs/>
        </w:rPr>
        <w:t xml:space="preserve"> </w:t>
      </w:r>
      <w:r w:rsidRPr="000E0F6E">
        <w:rPr>
          <w:rFonts w:ascii="Tahoma" w:hAnsi="Tahoma" w:cs="Tahoma"/>
          <w:bCs/>
        </w:rPr>
        <w:t>de 202</w:t>
      </w:r>
      <w:r w:rsidR="00171926" w:rsidRPr="000E0F6E">
        <w:rPr>
          <w:rFonts w:ascii="Tahoma" w:hAnsi="Tahoma" w:cs="Tahoma"/>
          <w:bCs/>
        </w:rPr>
        <w:t>2</w:t>
      </w:r>
      <w:r w:rsidRPr="000E0F6E">
        <w:rPr>
          <w:rFonts w:ascii="Tahoma" w:hAnsi="Tahoma" w:cs="Tahoma"/>
        </w:rPr>
        <w:t xml:space="preserve"> por el </w:t>
      </w:r>
      <w:r w:rsidRPr="000E0F6E">
        <w:rPr>
          <w:rFonts w:ascii="Tahoma" w:hAnsi="Tahoma" w:cs="Tahoma"/>
          <w:lang w:val="es-ES_tradnl"/>
        </w:rPr>
        <w:t>Juzgado</w:t>
      </w:r>
      <w:r w:rsidR="00CB40C7" w:rsidRPr="000E0F6E">
        <w:rPr>
          <w:rFonts w:ascii="Tahoma" w:hAnsi="Tahoma" w:cs="Tahoma"/>
        </w:rPr>
        <w:t xml:space="preserve"> Cuarto</w:t>
      </w:r>
      <w:r w:rsidRPr="000E0F6E">
        <w:rPr>
          <w:rFonts w:ascii="Tahoma" w:hAnsi="Tahoma" w:cs="Tahoma"/>
        </w:rPr>
        <w:t xml:space="preserve"> Laboral del Circuito de Pereira</w:t>
      </w:r>
      <w:r w:rsidR="00647E83" w:rsidRPr="000E0F6E">
        <w:rPr>
          <w:rFonts w:ascii="Tahoma" w:hAnsi="Tahoma" w:cs="Tahoma"/>
        </w:rPr>
        <w:t>.</w:t>
      </w:r>
      <w:r w:rsidRPr="000E0F6E">
        <w:rPr>
          <w:rStyle w:val="normaltextrun"/>
          <w:rFonts w:ascii="Tahoma" w:hAnsi="Tahoma" w:cs="Tahoma"/>
        </w:rPr>
        <w:t xml:space="preserve"> </w:t>
      </w:r>
      <w:r w:rsidR="00647E83" w:rsidRPr="000E0F6E">
        <w:rPr>
          <w:rStyle w:val="normaltextrun"/>
          <w:rFonts w:ascii="Tahoma" w:hAnsi="Tahoma" w:cs="Tahoma"/>
        </w:rPr>
        <w:t>Asimismo</w:t>
      </w:r>
      <w:r w:rsidRPr="000E0F6E">
        <w:rPr>
          <w:rStyle w:val="normaltextrun"/>
          <w:rFonts w:ascii="Tahoma" w:hAnsi="Tahoma" w:cs="Tahoma"/>
        </w:rPr>
        <w:t xml:space="preserve">, </w:t>
      </w:r>
      <w:r w:rsidR="00AD1ACE" w:rsidRPr="000E0F6E">
        <w:rPr>
          <w:rStyle w:val="normaltextrun"/>
          <w:rFonts w:ascii="Tahoma" w:hAnsi="Tahoma" w:cs="Tahoma"/>
        </w:rPr>
        <w:t>en virtud del</w:t>
      </w:r>
      <w:r w:rsidR="00AD1ACE" w:rsidRPr="000E0F6E">
        <w:rPr>
          <w:rFonts w:ascii="Tahoma" w:hAnsi="Tahoma" w:cs="Tahoma"/>
        </w:rPr>
        <w:t xml:space="preserve"> grado jurisdiccional de consulta, </w:t>
      </w:r>
      <w:r w:rsidRPr="000E0F6E">
        <w:rPr>
          <w:rStyle w:val="normaltextrun"/>
          <w:rFonts w:ascii="Tahoma" w:hAnsi="Tahoma" w:cs="Tahoma"/>
        </w:rPr>
        <w:t xml:space="preserve">se revisará la decisión de instancia </w:t>
      </w:r>
      <w:r w:rsidR="00AD1ACE" w:rsidRPr="000E0F6E">
        <w:rPr>
          <w:rStyle w:val="normaltextrun"/>
          <w:rFonts w:ascii="Tahoma" w:hAnsi="Tahoma" w:cs="Tahoma"/>
        </w:rPr>
        <w:t>al haber sido adversa a los intereses de Colpensiones</w:t>
      </w:r>
      <w:r w:rsidRPr="000E0F6E">
        <w:rPr>
          <w:rFonts w:ascii="Tahoma" w:hAnsi="Tahoma" w:cs="Tahoma"/>
        </w:rPr>
        <w:t xml:space="preserve">. </w:t>
      </w:r>
      <w:r w:rsidRPr="000E0F6E">
        <w:rPr>
          <w:rStyle w:val="normaltextrun"/>
          <w:rFonts w:ascii="Tahoma" w:hAnsi="Tahoma" w:cs="Tahoma"/>
        </w:rPr>
        <w:t>Para ello se tiene en cuenta lo siguiente: </w:t>
      </w:r>
    </w:p>
    <w:p w14:paraId="1048668F" w14:textId="6F9C7BFF" w:rsidR="00617E08" w:rsidRPr="000E0F6E" w:rsidRDefault="00617E08" w:rsidP="000E0F6E">
      <w:pPr>
        <w:spacing w:before="0" w:beforeAutospacing="0" w:after="0" w:afterAutospacing="0" w:line="276" w:lineRule="auto"/>
        <w:ind w:firstLine="708"/>
        <w:rPr>
          <w:rFonts w:ascii="Tahoma" w:hAnsi="Tahoma" w:cs="Tahoma"/>
        </w:rPr>
      </w:pPr>
    </w:p>
    <w:p w14:paraId="614DD6DA" w14:textId="77777777" w:rsidR="00CC3B17" w:rsidRPr="000E0F6E" w:rsidRDefault="00CC3B17" w:rsidP="000E0F6E">
      <w:pPr>
        <w:spacing w:before="0" w:beforeAutospacing="0" w:after="0" w:afterAutospacing="0" w:line="276" w:lineRule="auto"/>
        <w:ind w:firstLine="708"/>
        <w:rPr>
          <w:rFonts w:ascii="Tahoma" w:hAnsi="Tahoma" w:cs="Tahoma"/>
        </w:rPr>
      </w:pPr>
    </w:p>
    <w:p w14:paraId="40C2E441" w14:textId="288BF5A5" w:rsidR="00415842" w:rsidRPr="000E0F6E" w:rsidRDefault="001B7EEE" w:rsidP="000E0F6E">
      <w:pPr>
        <w:pStyle w:val="Prrafodelista"/>
        <w:numPr>
          <w:ilvl w:val="0"/>
          <w:numId w:val="1"/>
        </w:numPr>
        <w:spacing w:line="276" w:lineRule="auto"/>
        <w:ind w:left="426" w:hanging="426"/>
        <w:jc w:val="center"/>
        <w:rPr>
          <w:rStyle w:val="normaltextrun"/>
          <w:rFonts w:cs="Tahoma"/>
          <w:b/>
          <w:bCs/>
          <w:szCs w:val="24"/>
        </w:rPr>
      </w:pPr>
      <w:r w:rsidRPr="000E0F6E">
        <w:rPr>
          <w:rFonts w:cs="Tahoma"/>
          <w:b/>
          <w:bCs/>
          <w:szCs w:val="24"/>
        </w:rPr>
        <w:t xml:space="preserve">La </w:t>
      </w:r>
      <w:r w:rsidR="00E60464" w:rsidRPr="000E0F6E">
        <w:rPr>
          <w:rFonts w:cs="Tahoma"/>
          <w:b/>
          <w:bCs/>
          <w:szCs w:val="24"/>
        </w:rPr>
        <w:t xml:space="preserve">demanda </w:t>
      </w:r>
      <w:r w:rsidR="00415842" w:rsidRPr="000E0F6E">
        <w:rPr>
          <w:rFonts w:cs="Tahoma"/>
          <w:b/>
          <w:bCs/>
          <w:szCs w:val="24"/>
        </w:rPr>
        <w:t xml:space="preserve">y </w:t>
      </w:r>
      <w:r w:rsidRPr="000E0F6E">
        <w:rPr>
          <w:rFonts w:cs="Tahoma"/>
          <w:b/>
          <w:bCs/>
          <w:szCs w:val="24"/>
        </w:rPr>
        <w:t>la</w:t>
      </w:r>
      <w:r w:rsidR="00415842" w:rsidRPr="000E0F6E">
        <w:rPr>
          <w:rFonts w:cs="Tahoma"/>
          <w:b/>
          <w:bCs/>
          <w:szCs w:val="24"/>
        </w:rPr>
        <w:t xml:space="preserve"> contestación</w:t>
      </w:r>
      <w:r w:rsidRPr="000E0F6E">
        <w:rPr>
          <w:rFonts w:cs="Tahoma"/>
          <w:b/>
          <w:bCs/>
          <w:szCs w:val="24"/>
        </w:rPr>
        <w:t xml:space="preserve"> de la demanda</w:t>
      </w:r>
    </w:p>
    <w:p w14:paraId="417070AC" w14:textId="77777777" w:rsidR="00647E83" w:rsidRPr="000E0F6E" w:rsidRDefault="00647E83" w:rsidP="000E0F6E">
      <w:pPr>
        <w:spacing w:before="0" w:beforeAutospacing="0" w:after="0" w:afterAutospacing="0" w:line="276" w:lineRule="auto"/>
        <w:ind w:firstLine="708"/>
        <w:contextualSpacing/>
        <w:rPr>
          <w:rFonts w:ascii="Tahoma" w:eastAsia="Calibri" w:hAnsi="Tahoma" w:cs="Tahoma"/>
        </w:rPr>
      </w:pPr>
    </w:p>
    <w:p w14:paraId="029A3B0C" w14:textId="55647D84" w:rsidR="006C00B2" w:rsidRPr="000E0F6E" w:rsidRDefault="000A1DF3" w:rsidP="000E0F6E">
      <w:pPr>
        <w:spacing w:before="0" w:beforeAutospacing="0" w:after="0" w:afterAutospacing="0" w:line="276" w:lineRule="auto"/>
        <w:rPr>
          <w:rFonts w:ascii="Tahoma" w:eastAsia="Times New Roman" w:hAnsi="Tahoma" w:cs="Tahoma"/>
          <w:lang w:val="es-ES" w:eastAsia="es-MX"/>
        </w:rPr>
      </w:pPr>
      <w:r w:rsidRPr="000E0F6E">
        <w:rPr>
          <w:rFonts w:ascii="Tahoma" w:eastAsia="Times New Roman" w:hAnsi="Tahoma" w:cs="Tahoma"/>
          <w:lang w:val="es-ES" w:eastAsia="es-MX"/>
        </w:rPr>
        <w:t xml:space="preserve">El </w:t>
      </w:r>
      <w:r w:rsidR="006C00B2" w:rsidRPr="000E0F6E">
        <w:rPr>
          <w:rFonts w:ascii="Tahoma" w:eastAsia="Times New Roman" w:hAnsi="Tahoma" w:cs="Tahoma"/>
          <w:lang w:val="es-ES" w:eastAsia="es-MX"/>
        </w:rPr>
        <w:t xml:space="preserve">demandante busca que se declare la nulidad de la afiliación que realizó a </w:t>
      </w:r>
      <w:r w:rsidR="009E4E4B" w:rsidRPr="000E0F6E">
        <w:rPr>
          <w:rFonts w:ascii="Tahoma" w:eastAsia="Times New Roman" w:hAnsi="Tahoma" w:cs="Tahoma"/>
          <w:lang w:val="es-ES" w:eastAsia="es-MX"/>
        </w:rPr>
        <w:t xml:space="preserve">Protección </w:t>
      </w:r>
      <w:r w:rsidR="006C00B2" w:rsidRPr="000E0F6E">
        <w:rPr>
          <w:rFonts w:ascii="Tahoma" w:eastAsia="Times New Roman" w:hAnsi="Tahoma" w:cs="Tahoma"/>
          <w:lang w:val="es-ES" w:eastAsia="es-MX"/>
        </w:rPr>
        <w:t>S.A., a través de la cual se trasladó del régimen de prima media con prestación definida (en adelante RPM) al régimen de ahorro individual con solidaridad (en adelante RAIS).</w:t>
      </w:r>
    </w:p>
    <w:p w14:paraId="71D7EDA2" w14:textId="77777777" w:rsidR="006C00B2" w:rsidRPr="000E0F6E" w:rsidRDefault="006C00B2" w:rsidP="000E0F6E">
      <w:pPr>
        <w:spacing w:before="0" w:beforeAutospacing="0" w:after="0" w:afterAutospacing="0" w:line="276" w:lineRule="auto"/>
        <w:ind w:firstLine="0"/>
        <w:rPr>
          <w:rFonts w:ascii="Tahoma" w:eastAsia="Times New Roman" w:hAnsi="Tahoma" w:cs="Tahoma"/>
          <w:lang w:val="es-ES" w:eastAsia="es-MX"/>
        </w:rPr>
      </w:pPr>
    </w:p>
    <w:p w14:paraId="03C45B7D" w14:textId="7AF173E3" w:rsidR="006C00B2" w:rsidRPr="000E0F6E" w:rsidRDefault="006C00B2" w:rsidP="000E0F6E">
      <w:pPr>
        <w:spacing w:before="0" w:beforeAutospacing="0" w:after="0" w:afterAutospacing="0" w:line="276" w:lineRule="auto"/>
        <w:ind w:firstLine="708"/>
        <w:rPr>
          <w:rFonts w:ascii="Tahoma" w:eastAsia="Times New Roman" w:hAnsi="Tahoma" w:cs="Tahoma"/>
          <w:lang w:val="es-ES" w:eastAsia="es-MX"/>
        </w:rPr>
      </w:pPr>
      <w:r w:rsidRPr="000E0F6E">
        <w:rPr>
          <w:rFonts w:ascii="Tahoma" w:eastAsia="Times New Roman" w:hAnsi="Tahoma" w:cs="Tahoma"/>
          <w:lang w:val="es-ES" w:eastAsia="es-MX"/>
        </w:rPr>
        <w:t>En consecuencia, procura que se condene a P</w:t>
      </w:r>
      <w:r w:rsidR="009E4E4B" w:rsidRPr="000E0F6E">
        <w:rPr>
          <w:rFonts w:ascii="Tahoma" w:eastAsia="Times New Roman" w:hAnsi="Tahoma" w:cs="Tahoma"/>
          <w:lang w:val="es-ES" w:eastAsia="es-MX"/>
        </w:rPr>
        <w:t>rotección</w:t>
      </w:r>
      <w:r w:rsidRPr="000E0F6E">
        <w:rPr>
          <w:rFonts w:ascii="Tahoma" w:eastAsia="Times New Roman" w:hAnsi="Tahoma" w:cs="Tahoma"/>
          <w:lang w:val="es-ES" w:eastAsia="es-MX"/>
        </w:rPr>
        <w:t xml:space="preserve"> S.A. a liberarl</w:t>
      </w:r>
      <w:r w:rsidR="000A1DF3" w:rsidRPr="000E0F6E">
        <w:rPr>
          <w:rFonts w:ascii="Tahoma" w:eastAsia="Times New Roman" w:hAnsi="Tahoma" w:cs="Tahoma"/>
          <w:lang w:val="es-ES" w:eastAsia="es-MX"/>
        </w:rPr>
        <w:t>o</w:t>
      </w:r>
      <w:r w:rsidRPr="000E0F6E">
        <w:rPr>
          <w:rFonts w:ascii="Tahoma" w:eastAsia="Times New Roman" w:hAnsi="Tahoma" w:cs="Tahoma"/>
          <w:lang w:val="es-ES" w:eastAsia="es-MX"/>
        </w:rPr>
        <w:t xml:space="preserve"> de su</w:t>
      </w:r>
      <w:r w:rsidR="009E4E4B" w:rsidRPr="000E0F6E">
        <w:rPr>
          <w:rFonts w:ascii="Tahoma" w:eastAsia="Times New Roman" w:hAnsi="Tahoma" w:cs="Tahoma"/>
          <w:lang w:val="es-ES" w:eastAsia="es-MX"/>
        </w:rPr>
        <w:t xml:space="preserve"> </w:t>
      </w:r>
      <w:r w:rsidRPr="000E0F6E">
        <w:rPr>
          <w:rFonts w:ascii="Tahoma" w:eastAsia="Times New Roman" w:hAnsi="Tahoma" w:cs="Tahoma"/>
          <w:lang w:val="es-ES" w:eastAsia="es-MX"/>
        </w:rPr>
        <w:t>base de datos y a trasladar a Colpensiones todos los valores que hubiera recibido con ocasión de su afiliación. Adicionalmente, solicita que se condene a esta última a recibirl</w:t>
      </w:r>
      <w:r w:rsidR="004568A3" w:rsidRPr="000E0F6E">
        <w:rPr>
          <w:rFonts w:ascii="Tahoma" w:eastAsia="Times New Roman" w:hAnsi="Tahoma" w:cs="Tahoma"/>
          <w:lang w:val="es-ES" w:eastAsia="es-MX"/>
        </w:rPr>
        <w:t>o</w:t>
      </w:r>
      <w:r w:rsidRPr="000E0F6E">
        <w:rPr>
          <w:rFonts w:ascii="Tahoma" w:eastAsia="Times New Roman" w:hAnsi="Tahoma" w:cs="Tahoma"/>
          <w:lang w:val="es-ES" w:eastAsia="es-MX"/>
        </w:rPr>
        <w:t xml:space="preserve"> nuevamente como afiliad</w:t>
      </w:r>
      <w:r w:rsidR="004568A3" w:rsidRPr="000E0F6E">
        <w:rPr>
          <w:rFonts w:ascii="Tahoma" w:eastAsia="Times New Roman" w:hAnsi="Tahoma" w:cs="Tahoma"/>
          <w:lang w:val="es-ES" w:eastAsia="es-MX"/>
        </w:rPr>
        <w:t>o</w:t>
      </w:r>
      <w:r w:rsidRPr="000E0F6E">
        <w:rPr>
          <w:rFonts w:ascii="Tahoma" w:eastAsia="Times New Roman" w:hAnsi="Tahoma" w:cs="Tahoma"/>
          <w:lang w:val="es-ES" w:eastAsia="es-MX"/>
        </w:rPr>
        <w:t xml:space="preserve"> cotizante.</w:t>
      </w:r>
    </w:p>
    <w:p w14:paraId="1EF689BA" w14:textId="77777777" w:rsidR="006C00B2" w:rsidRPr="000E0F6E" w:rsidRDefault="006C00B2" w:rsidP="000E0F6E">
      <w:pPr>
        <w:spacing w:before="0" w:beforeAutospacing="0" w:after="0" w:afterAutospacing="0" w:line="276" w:lineRule="auto"/>
        <w:ind w:firstLine="0"/>
        <w:rPr>
          <w:rFonts w:ascii="Tahoma" w:eastAsia="Times New Roman" w:hAnsi="Tahoma" w:cs="Tahoma"/>
          <w:lang w:val="es-ES" w:eastAsia="es-MX"/>
        </w:rPr>
      </w:pPr>
    </w:p>
    <w:p w14:paraId="730E6AB3" w14:textId="42F99296" w:rsidR="006C00B2" w:rsidRPr="000E0F6E" w:rsidRDefault="006C00B2" w:rsidP="000E0F6E">
      <w:pPr>
        <w:spacing w:before="0" w:beforeAutospacing="0" w:after="0" w:afterAutospacing="0" w:line="276" w:lineRule="auto"/>
        <w:ind w:firstLine="708"/>
        <w:rPr>
          <w:rFonts w:ascii="Tahoma" w:eastAsia="Times New Roman" w:hAnsi="Tahoma" w:cs="Tahoma"/>
          <w:lang w:val="es-ES" w:eastAsia="es-MX"/>
        </w:rPr>
      </w:pPr>
      <w:r w:rsidRPr="000E0F6E">
        <w:rPr>
          <w:rFonts w:ascii="Tahoma" w:eastAsia="Times New Roman" w:hAnsi="Tahoma" w:cs="Tahoma"/>
          <w:lang w:val="es-ES" w:eastAsia="es-MX"/>
        </w:rPr>
        <w:t>Por último, pide que se condene a P</w:t>
      </w:r>
      <w:r w:rsidR="006C487F" w:rsidRPr="000E0F6E">
        <w:rPr>
          <w:rFonts w:ascii="Tahoma" w:eastAsia="Times New Roman" w:hAnsi="Tahoma" w:cs="Tahoma"/>
          <w:lang w:val="es-ES" w:eastAsia="es-MX"/>
        </w:rPr>
        <w:t>rotección</w:t>
      </w:r>
      <w:r w:rsidRPr="000E0F6E">
        <w:rPr>
          <w:rFonts w:ascii="Tahoma" w:eastAsia="Times New Roman" w:hAnsi="Tahoma" w:cs="Tahoma"/>
          <w:lang w:val="es-ES" w:eastAsia="es-MX"/>
        </w:rPr>
        <w:t xml:space="preserve"> S.A a cancelar las costas procesales y a lo extra y ultra petita debatido y probado en el proceso.</w:t>
      </w:r>
    </w:p>
    <w:p w14:paraId="0B2055D5" w14:textId="77777777" w:rsidR="006C00B2" w:rsidRPr="000E0F6E" w:rsidRDefault="006C00B2" w:rsidP="000E0F6E">
      <w:pPr>
        <w:spacing w:before="0" w:beforeAutospacing="0" w:after="0" w:afterAutospacing="0" w:line="276" w:lineRule="auto"/>
        <w:ind w:firstLine="0"/>
        <w:rPr>
          <w:rFonts w:ascii="Tahoma" w:eastAsia="Times New Roman" w:hAnsi="Tahoma" w:cs="Tahoma"/>
          <w:lang w:val="es-ES" w:eastAsia="es-MX"/>
        </w:rPr>
      </w:pPr>
    </w:p>
    <w:p w14:paraId="72898925" w14:textId="4FCC478D" w:rsidR="006C00B2" w:rsidRPr="000E0F6E" w:rsidRDefault="006C00B2" w:rsidP="000E0F6E">
      <w:pPr>
        <w:spacing w:before="0" w:beforeAutospacing="0" w:after="0" w:afterAutospacing="0" w:line="276" w:lineRule="auto"/>
        <w:ind w:firstLine="708"/>
        <w:rPr>
          <w:rFonts w:ascii="Tahoma" w:eastAsia="Times New Roman" w:hAnsi="Tahoma" w:cs="Tahoma"/>
          <w:lang w:val="es-ES" w:eastAsia="es-MX"/>
        </w:rPr>
      </w:pPr>
      <w:r w:rsidRPr="000E0F6E">
        <w:rPr>
          <w:rFonts w:ascii="Tahoma" w:eastAsia="Times New Roman" w:hAnsi="Tahoma" w:cs="Tahoma"/>
          <w:lang w:val="es-ES" w:eastAsia="es-MX"/>
        </w:rPr>
        <w:t xml:space="preserve">En sustento de lo pretendido, relata que se afilió al RPM </w:t>
      </w:r>
      <w:r w:rsidR="00536DE0" w:rsidRPr="000E0F6E">
        <w:rPr>
          <w:rFonts w:ascii="Tahoma" w:eastAsia="Times New Roman" w:hAnsi="Tahoma" w:cs="Tahoma"/>
          <w:lang w:val="es-ES" w:eastAsia="es-MX"/>
        </w:rPr>
        <w:t xml:space="preserve">en </w:t>
      </w:r>
      <w:r w:rsidR="002A710C" w:rsidRPr="000E0F6E">
        <w:rPr>
          <w:rFonts w:ascii="Tahoma" w:eastAsia="Times New Roman" w:hAnsi="Tahoma" w:cs="Tahoma"/>
          <w:lang w:val="es-ES" w:eastAsia="es-MX"/>
        </w:rPr>
        <w:t xml:space="preserve">noviembre </w:t>
      </w:r>
      <w:r w:rsidR="00536DE0" w:rsidRPr="000E0F6E">
        <w:rPr>
          <w:rFonts w:ascii="Tahoma" w:eastAsia="Times New Roman" w:hAnsi="Tahoma" w:cs="Tahoma"/>
          <w:lang w:val="es-ES" w:eastAsia="es-MX"/>
        </w:rPr>
        <w:t>de 198</w:t>
      </w:r>
      <w:r w:rsidR="002A710C" w:rsidRPr="000E0F6E">
        <w:rPr>
          <w:rFonts w:ascii="Tahoma" w:eastAsia="Times New Roman" w:hAnsi="Tahoma" w:cs="Tahoma"/>
          <w:lang w:val="es-ES" w:eastAsia="es-MX"/>
        </w:rPr>
        <w:t>1</w:t>
      </w:r>
      <w:r w:rsidR="00536DE0" w:rsidRPr="000E0F6E">
        <w:rPr>
          <w:rFonts w:ascii="Tahoma" w:eastAsia="Times New Roman" w:hAnsi="Tahoma" w:cs="Tahoma"/>
          <w:lang w:val="es-ES" w:eastAsia="es-MX"/>
        </w:rPr>
        <w:t xml:space="preserve">, </w:t>
      </w:r>
      <w:r w:rsidRPr="000E0F6E">
        <w:rPr>
          <w:rFonts w:ascii="Tahoma" w:eastAsia="Times New Roman" w:hAnsi="Tahoma" w:cs="Tahoma"/>
          <w:lang w:val="es-ES" w:eastAsia="es-MX"/>
        </w:rPr>
        <w:t>donde efectuó cotizaciones hasta</w:t>
      </w:r>
      <w:r w:rsidR="002A710C" w:rsidRPr="000E0F6E">
        <w:rPr>
          <w:rFonts w:ascii="Tahoma" w:eastAsia="Times New Roman" w:hAnsi="Tahoma" w:cs="Tahoma"/>
          <w:lang w:val="es-ES" w:eastAsia="es-MX"/>
        </w:rPr>
        <w:t xml:space="preserve"> mayo de 1997</w:t>
      </w:r>
      <w:r w:rsidRPr="000E0F6E">
        <w:rPr>
          <w:rFonts w:ascii="Tahoma" w:eastAsia="Times New Roman" w:hAnsi="Tahoma" w:cs="Tahoma"/>
          <w:lang w:val="es-ES" w:eastAsia="es-MX"/>
        </w:rPr>
        <w:t xml:space="preserve">, </w:t>
      </w:r>
      <w:r w:rsidR="0086282F" w:rsidRPr="000E0F6E">
        <w:rPr>
          <w:rFonts w:ascii="Tahoma" w:eastAsia="Times New Roman" w:hAnsi="Tahoma" w:cs="Tahoma"/>
          <w:lang w:val="es-ES" w:eastAsia="es-MX"/>
        </w:rPr>
        <w:t xml:space="preserve">debido a que el </w:t>
      </w:r>
      <w:r w:rsidR="00F900EC" w:rsidRPr="000E0F6E">
        <w:rPr>
          <w:rFonts w:ascii="Tahoma" w:eastAsia="Times New Roman" w:hAnsi="Tahoma" w:cs="Tahoma"/>
          <w:lang w:val="es-ES" w:eastAsia="es-MX"/>
        </w:rPr>
        <w:t xml:space="preserve">25 de julio de 1997 </w:t>
      </w:r>
      <w:r w:rsidRPr="000E0F6E">
        <w:rPr>
          <w:rFonts w:ascii="Tahoma" w:eastAsia="Times New Roman" w:hAnsi="Tahoma" w:cs="Tahoma"/>
          <w:lang w:val="es-ES" w:eastAsia="es-MX"/>
        </w:rPr>
        <w:t>suscribió</w:t>
      </w:r>
      <w:r w:rsidR="0086282F" w:rsidRPr="000E0F6E">
        <w:rPr>
          <w:rFonts w:ascii="Tahoma" w:eastAsia="Times New Roman" w:hAnsi="Tahoma" w:cs="Tahoma"/>
          <w:lang w:val="es-ES" w:eastAsia="es-MX"/>
        </w:rPr>
        <w:t xml:space="preserve"> el</w:t>
      </w:r>
      <w:r w:rsidRPr="000E0F6E">
        <w:rPr>
          <w:rFonts w:ascii="Tahoma" w:eastAsia="Times New Roman" w:hAnsi="Tahoma" w:cs="Tahoma"/>
          <w:lang w:val="es-ES" w:eastAsia="es-MX"/>
        </w:rPr>
        <w:t xml:space="preserve"> formulario de afiliación a la AFP </w:t>
      </w:r>
      <w:r w:rsidR="0086282F" w:rsidRPr="000E0F6E">
        <w:rPr>
          <w:rFonts w:ascii="Tahoma" w:eastAsia="Times New Roman" w:hAnsi="Tahoma" w:cs="Tahoma"/>
          <w:lang w:val="es-ES" w:eastAsia="es-MX"/>
        </w:rPr>
        <w:t xml:space="preserve">Protección S.A </w:t>
      </w:r>
    </w:p>
    <w:p w14:paraId="215F3632" w14:textId="77777777" w:rsidR="006C00B2" w:rsidRPr="000E0F6E" w:rsidRDefault="006C00B2" w:rsidP="000E0F6E">
      <w:pPr>
        <w:spacing w:before="0" w:beforeAutospacing="0" w:after="0" w:afterAutospacing="0" w:line="276" w:lineRule="auto"/>
        <w:ind w:firstLine="0"/>
        <w:rPr>
          <w:rFonts w:ascii="Tahoma" w:eastAsia="Times New Roman" w:hAnsi="Tahoma" w:cs="Tahoma"/>
          <w:lang w:val="es-ES" w:eastAsia="es-MX"/>
        </w:rPr>
      </w:pPr>
    </w:p>
    <w:p w14:paraId="5CAEE96A" w14:textId="7105E537" w:rsidR="006C00B2" w:rsidRPr="000E0F6E" w:rsidRDefault="006C00B2" w:rsidP="000E0F6E">
      <w:pPr>
        <w:spacing w:before="0" w:beforeAutospacing="0" w:after="0" w:afterAutospacing="0" w:line="276" w:lineRule="auto"/>
        <w:ind w:firstLine="0"/>
        <w:rPr>
          <w:rFonts w:ascii="Tahoma" w:eastAsia="Times New Roman" w:hAnsi="Tahoma" w:cs="Tahoma"/>
          <w:lang w:val="es-ES" w:eastAsia="es-MX"/>
        </w:rPr>
      </w:pPr>
      <w:bookmarkStart w:id="5" w:name="_heading=h.30j0zll"/>
      <w:bookmarkEnd w:id="5"/>
      <w:r w:rsidRPr="000E0F6E">
        <w:rPr>
          <w:rFonts w:ascii="Tahoma" w:eastAsia="Times New Roman" w:hAnsi="Tahoma" w:cs="Tahoma"/>
          <w:lang w:val="es-ES" w:eastAsia="es-MX"/>
        </w:rPr>
        <w:tab/>
        <w:t xml:space="preserve">Refiere que el asesor de dicha AFP que gestionó su traslado, le aseguró que su mesada pensional sería mucho más alta </w:t>
      </w:r>
      <w:r w:rsidR="006C487F" w:rsidRPr="000E0F6E">
        <w:rPr>
          <w:rFonts w:ascii="Tahoma" w:eastAsia="Times New Roman" w:hAnsi="Tahoma" w:cs="Tahoma"/>
          <w:lang w:val="es-ES" w:eastAsia="es-MX"/>
        </w:rPr>
        <w:t xml:space="preserve">en comparación con la </w:t>
      </w:r>
      <w:r w:rsidRPr="000E0F6E">
        <w:rPr>
          <w:rFonts w:ascii="Tahoma" w:eastAsia="Times New Roman" w:hAnsi="Tahoma" w:cs="Tahoma"/>
          <w:lang w:val="es-ES" w:eastAsia="es-MX"/>
        </w:rPr>
        <w:t>que percibiría en el RPM;</w:t>
      </w:r>
      <w:r w:rsidR="00A40704" w:rsidRPr="000E0F6E">
        <w:rPr>
          <w:rFonts w:ascii="Tahoma" w:eastAsia="Times New Roman" w:hAnsi="Tahoma" w:cs="Tahoma"/>
          <w:lang w:val="es-ES" w:eastAsia="es-MX"/>
        </w:rPr>
        <w:t xml:space="preserve"> que si no quería percibir la pensión podía optar por reclamar la devolución de saldos, incluido el bono pensional; </w:t>
      </w:r>
      <w:r w:rsidRPr="000E0F6E">
        <w:rPr>
          <w:rFonts w:ascii="Tahoma" w:eastAsia="Times New Roman" w:hAnsi="Tahoma" w:cs="Tahoma"/>
          <w:lang w:val="es-ES" w:eastAsia="es-MX"/>
        </w:rPr>
        <w:t>que el ISS estaba próximo a desaparecer; empero omitió</w:t>
      </w:r>
      <w:r w:rsidR="0004785C" w:rsidRPr="000E0F6E">
        <w:rPr>
          <w:rFonts w:ascii="Tahoma" w:eastAsia="Times New Roman" w:hAnsi="Tahoma" w:cs="Tahoma"/>
          <w:lang w:val="es-ES" w:eastAsia="es-MX"/>
        </w:rPr>
        <w:t xml:space="preserve"> informar sobre las posibles desventajas que tendría al trasladarse de régimen pensional</w:t>
      </w:r>
      <w:r w:rsidR="00F67899" w:rsidRPr="000E0F6E">
        <w:rPr>
          <w:rFonts w:ascii="Tahoma" w:eastAsia="Times New Roman" w:hAnsi="Tahoma" w:cs="Tahoma"/>
          <w:lang w:val="es-ES" w:eastAsia="es-MX"/>
        </w:rPr>
        <w:t>.</w:t>
      </w:r>
    </w:p>
    <w:p w14:paraId="3D3D6BC3" w14:textId="77777777" w:rsidR="006C00B2" w:rsidRPr="000E0F6E" w:rsidRDefault="006C00B2" w:rsidP="000E0F6E">
      <w:pPr>
        <w:spacing w:before="0" w:beforeAutospacing="0" w:after="0" w:afterAutospacing="0" w:line="276" w:lineRule="auto"/>
        <w:ind w:firstLine="0"/>
        <w:rPr>
          <w:rFonts w:ascii="Tahoma" w:eastAsia="Times New Roman" w:hAnsi="Tahoma" w:cs="Tahoma"/>
          <w:lang w:val="es-ES" w:eastAsia="es-MX"/>
        </w:rPr>
      </w:pPr>
    </w:p>
    <w:p w14:paraId="0070A160" w14:textId="75BD9462" w:rsidR="000331FD" w:rsidRPr="000E0F6E" w:rsidRDefault="006C00B2" w:rsidP="000E0F6E">
      <w:pPr>
        <w:spacing w:before="0" w:beforeAutospacing="0" w:after="0" w:afterAutospacing="0" w:line="276" w:lineRule="auto"/>
        <w:ind w:firstLine="708"/>
        <w:rPr>
          <w:rFonts w:ascii="Tahoma" w:eastAsia="Times New Roman" w:hAnsi="Tahoma" w:cs="Tahoma"/>
          <w:lang w:val="es-ES" w:eastAsia="es-MX"/>
        </w:rPr>
      </w:pPr>
      <w:r w:rsidRPr="000E0F6E">
        <w:rPr>
          <w:rFonts w:ascii="Tahoma" w:eastAsia="Times New Roman" w:hAnsi="Tahoma" w:cs="Tahoma"/>
          <w:lang w:val="es-ES" w:eastAsia="es-MX"/>
        </w:rPr>
        <w:t>Agrega que P</w:t>
      </w:r>
      <w:r w:rsidR="00B121C3" w:rsidRPr="000E0F6E">
        <w:rPr>
          <w:rFonts w:ascii="Tahoma" w:eastAsia="Times New Roman" w:hAnsi="Tahoma" w:cs="Tahoma"/>
          <w:lang w:val="es-ES" w:eastAsia="es-MX"/>
        </w:rPr>
        <w:t>rotección</w:t>
      </w:r>
      <w:r w:rsidRPr="000E0F6E">
        <w:rPr>
          <w:rFonts w:ascii="Tahoma" w:eastAsia="Times New Roman" w:hAnsi="Tahoma" w:cs="Tahoma"/>
          <w:lang w:val="es-ES" w:eastAsia="es-MX"/>
        </w:rPr>
        <w:t xml:space="preserve"> S.A. le comunicó que en el RAIS percibiría una mesada equivalente a $</w:t>
      </w:r>
      <w:r w:rsidR="00081F78" w:rsidRPr="000E0F6E">
        <w:rPr>
          <w:rFonts w:ascii="Tahoma" w:eastAsia="Times New Roman" w:hAnsi="Tahoma" w:cs="Tahoma"/>
          <w:lang w:val="es-ES" w:eastAsia="es-MX"/>
        </w:rPr>
        <w:t>2.239.058</w:t>
      </w:r>
      <w:r w:rsidRPr="000E0F6E">
        <w:rPr>
          <w:rFonts w:ascii="Tahoma" w:eastAsia="Times New Roman" w:hAnsi="Tahoma" w:cs="Tahoma"/>
          <w:lang w:val="es-ES" w:eastAsia="es-MX"/>
        </w:rPr>
        <w:t xml:space="preserve"> y en el RPM sería de $</w:t>
      </w:r>
      <w:r w:rsidR="000331FD" w:rsidRPr="000E0F6E">
        <w:rPr>
          <w:rFonts w:ascii="Tahoma" w:eastAsia="Times New Roman" w:hAnsi="Tahoma" w:cs="Tahoma"/>
          <w:lang w:val="es-ES" w:eastAsia="es-MX"/>
        </w:rPr>
        <w:t>3.</w:t>
      </w:r>
      <w:r w:rsidR="00081F78" w:rsidRPr="000E0F6E">
        <w:rPr>
          <w:rFonts w:ascii="Tahoma" w:eastAsia="Times New Roman" w:hAnsi="Tahoma" w:cs="Tahoma"/>
          <w:lang w:val="es-ES" w:eastAsia="es-MX"/>
        </w:rPr>
        <w:t>751.384</w:t>
      </w:r>
      <w:r w:rsidRPr="000E0F6E">
        <w:rPr>
          <w:rFonts w:ascii="Tahoma" w:eastAsia="Times New Roman" w:hAnsi="Tahoma" w:cs="Tahoma"/>
          <w:lang w:val="es-ES" w:eastAsia="es-MX"/>
        </w:rPr>
        <w:t xml:space="preserve">, </w:t>
      </w:r>
      <w:r w:rsidR="000331FD" w:rsidRPr="000E0F6E">
        <w:rPr>
          <w:rFonts w:ascii="Tahoma" w:eastAsia="Times New Roman" w:hAnsi="Tahoma" w:cs="Tahoma"/>
          <w:lang w:val="es-ES" w:eastAsia="es-MX"/>
        </w:rPr>
        <w:t>y que en sus bases de datos no reposaba documento alguno que permita comprobar cuál fue el asesoramiento otorgado el día que suscribió el formulario de afiliación.</w:t>
      </w:r>
    </w:p>
    <w:p w14:paraId="733DBE3F" w14:textId="22B873CB" w:rsidR="00581726" w:rsidRPr="000E0F6E" w:rsidRDefault="00581726" w:rsidP="000E0F6E">
      <w:pPr>
        <w:spacing w:before="0" w:beforeAutospacing="0" w:after="0" w:afterAutospacing="0" w:line="276" w:lineRule="auto"/>
        <w:ind w:firstLine="708"/>
        <w:rPr>
          <w:rFonts w:ascii="Tahoma" w:eastAsia="Times New Roman" w:hAnsi="Tahoma" w:cs="Tahoma"/>
          <w:lang w:val="es-ES" w:eastAsia="es-MX"/>
        </w:rPr>
      </w:pPr>
    </w:p>
    <w:p w14:paraId="193F04CC" w14:textId="254FAF69" w:rsidR="00581726" w:rsidRPr="000E0F6E" w:rsidRDefault="00581726" w:rsidP="000E0F6E">
      <w:pPr>
        <w:spacing w:before="0" w:beforeAutospacing="0" w:after="0" w:afterAutospacing="0" w:line="276" w:lineRule="auto"/>
        <w:ind w:firstLine="708"/>
        <w:rPr>
          <w:rFonts w:ascii="Tahoma" w:eastAsia="Times New Roman" w:hAnsi="Tahoma" w:cs="Tahoma"/>
          <w:lang w:val="es-ES" w:eastAsia="es-MX"/>
        </w:rPr>
      </w:pPr>
      <w:r w:rsidRPr="000E0F6E">
        <w:rPr>
          <w:rFonts w:ascii="Tahoma" w:eastAsia="Times New Roman" w:hAnsi="Tahoma" w:cs="Tahoma"/>
          <w:lang w:val="es-ES" w:eastAsia="es-MX"/>
        </w:rPr>
        <w:t>Expone que el</w:t>
      </w:r>
      <w:r w:rsidR="00F67899" w:rsidRPr="000E0F6E">
        <w:rPr>
          <w:rFonts w:ascii="Tahoma" w:eastAsia="Times New Roman" w:hAnsi="Tahoma" w:cs="Tahoma"/>
          <w:lang w:val="es-ES" w:eastAsia="es-MX"/>
        </w:rPr>
        <w:t xml:space="preserve"> 3 de junio de</w:t>
      </w:r>
      <w:r w:rsidRPr="000E0F6E">
        <w:rPr>
          <w:rFonts w:ascii="Tahoma" w:eastAsia="Times New Roman" w:hAnsi="Tahoma" w:cs="Tahoma"/>
          <w:lang w:val="es-ES" w:eastAsia="es-MX"/>
        </w:rPr>
        <w:t xml:space="preserve"> 202</w:t>
      </w:r>
      <w:r w:rsidR="00F67899" w:rsidRPr="000E0F6E">
        <w:rPr>
          <w:rFonts w:ascii="Tahoma" w:eastAsia="Times New Roman" w:hAnsi="Tahoma" w:cs="Tahoma"/>
          <w:lang w:val="es-ES" w:eastAsia="es-MX"/>
        </w:rPr>
        <w:t>1</w:t>
      </w:r>
      <w:r w:rsidRPr="000E0F6E">
        <w:rPr>
          <w:rFonts w:ascii="Tahoma" w:eastAsia="Times New Roman" w:hAnsi="Tahoma" w:cs="Tahoma"/>
          <w:lang w:val="es-ES" w:eastAsia="es-MX"/>
        </w:rPr>
        <w:t>, Colpensiones negó la solicitud de traslado debido a que le faltaban diez años o menos para pensionarse.</w:t>
      </w:r>
    </w:p>
    <w:p w14:paraId="7A872F8D" w14:textId="77777777" w:rsidR="006C00B2" w:rsidRPr="000E0F6E" w:rsidRDefault="006C00B2" w:rsidP="000E0F6E">
      <w:pPr>
        <w:spacing w:before="0" w:beforeAutospacing="0" w:after="0" w:afterAutospacing="0" w:line="276" w:lineRule="auto"/>
        <w:ind w:firstLine="0"/>
        <w:rPr>
          <w:rFonts w:ascii="Tahoma" w:eastAsia="Times New Roman" w:hAnsi="Tahoma" w:cs="Tahoma"/>
          <w:lang w:val="es-ES" w:eastAsia="es-MX"/>
        </w:rPr>
      </w:pPr>
    </w:p>
    <w:p w14:paraId="2B233A71" w14:textId="1B182FFC" w:rsidR="00BE461D" w:rsidRPr="000E0F6E" w:rsidRDefault="006C00B2" w:rsidP="000E0F6E">
      <w:pPr>
        <w:spacing w:before="0" w:beforeAutospacing="0" w:after="0" w:afterAutospacing="0" w:line="276" w:lineRule="auto"/>
        <w:ind w:firstLine="708"/>
        <w:rPr>
          <w:rFonts w:ascii="Tahoma" w:eastAsia="Times New Roman" w:hAnsi="Tahoma" w:cs="Tahoma"/>
          <w:lang w:val="es-ES" w:eastAsia="es-MX"/>
        </w:rPr>
      </w:pPr>
      <w:r w:rsidRPr="000E0F6E">
        <w:rPr>
          <w:rFonts w:ascii="Tahoma" w:eastAsia="Times New Roman" w:hAnsi="Tahoma" w:cs="Tahoma"/>
          <w:b/>
          <w:lang w:val="es-ES" w:eastAsia="es-MX"/>
        </w:rPr>
        <w:t>Colpensiones</w:t>
      </w:r>
      <w:r w:rsidRPr="000E0F6E">
        <w:rPr>
          <w:rFonts w:ascii="Tahoma" w:eastAsia="Times New Roman" w:hAnsi="Tahoma" w:cs="Tahoma"/>
          <w:lang w:val="es-ES" w:eastAsia="es-MX"/>
        </w:rPr>
        <w:t xml:space="preserve"> se opuso a todas y cada una de las pretensiones arguyendo que el traslado de régimen presentado por </w:t>
      </w:r>
      <w:r w:rsidR="00714F10" w:rsidRPr="000E0F6E">
        <w:rPr>
          <w:rFonts w:ascii="Tahoma" w:eastAsia="Times New Roman" w:hAnsi="Tahoma" w:cs="Tahoma"/>
          <w:lang w:val="es-ES" w:eastAsia="es-MX"/>
        </w:rPr>
        <w:t xml:space="preserve">el actor no demuestra efectivamente la </w:t>
      </w:r>
      <w:r w:rsidR="00B42599" w:rsidRPr="000E0F6E">
        <w:rPr>
          <w:rFonts w:ascii="Tahoma" w:eastAsia="Times New Roman" w:hAnsi="Tahoma" w:cs="Tahoma"/>
          <w:lang w:val="es-ES" w:eastAsia="es-MX"/>
        </w:rPr>
        <w:t>falta de información necesaria acorde a la jurisprudencia</w:t>
      </w:r>
      <w:r w:rsidR="00B752B7" w:rsidRPr="000E0F6E">
        <w:rPr>
          <w:rFonts w:ascii="Tahoma" w:eastAsia="Times New Roman" w:hAnsi="Tahoma" w:cs="Tahoma"/>
          <w:lang w:val="es-ES" w:eastAsia="es-MX"/>
        </w:rPr>
        <w:t xml:space="preserve">, </w:t>
      </w:r>
      <w:r w:rsidR="009641DC" w:rsidRPr="000E0F6E">
        <w:rPr>
          <w:rFonts w:ascii="Tahoma" w:eastAsia="Times New Roman" w:hAnsi="Tahoma" w:cs="Tahoma"/>
          <w:lang w:val="es-ES" w:eastAsia="es-MX"/>
        </w:rPr>
        <w:t xml:space="preserve">añade que la decisión se adoptó en virtud de la libertad de escogencia de régimen, al punto que el demandante permaneció por </w:t>
      </w:r>
      <w:r w:rsidR="001B7EEE" w:rsidRPr="000E0F6E">
        <w:rPr>
          <w:rFonts w:ascii="Tahoma" w:eastAsia="Times New Roman" w:hAnsi="Tahoma" w:cs="Tahoma"/>
          <w:lang w:val="es-ES" w:eastAsia="es-MX"/>
        </w:rPr>
        <w:t>más</w:t>
      </w:r>
      <w:r w:rsidR="009641DC" w:rsidRPr="000E0F6E">
        <w:rPr>
          <w:rFonts w:ascii="Tahoma" w:eastAsia="Times New Roman" w:hAnsi="Tahoma" w:cs="Tahoma"/>
          <w:lang w:val="es-ES" w:eastAsia="es-MX"/>
        </w:rPr>
        <w:t xml:space="preserve"> de 24 años en dicho </w:t>
      </w:r>
      <w:r w:rsidR="00ED48D8" w:rsidRPr="000E0F6E">
        <w:rPr>
          <w:rFonts w:ascii="Tahoma" w:eastAsia="Times New Roman" w:hAnsi="Tahoma" w:cs="Tahoma"/>
          <w:lang w:val="es-ES" w:eastAsia="es-MX"/>
        </w:rPr>
        <w:t xml:space="preserve">régimen. Afirma que la diferencia en la mesada pensional no es motivo suficiente para acceder a las pretensiones del escrito demandador, </w:t>
      </w:r>
      <w:r w:rsidR="004070D4" w:rsidRPr="000E0F6E">
        <w:rPr>
          <w:rFonts w:ascii="Tahoma" w:eastAsia="Times New Roman" w:hAnsi="Tahoma" w:cs="Tahoma"/>
          <w:lang w:val="es-ES" w:eastAsia="es-MX"/>
        </w:rPr>
        <w:t xml:space="preserve">además de que pudo acudir al ISS para comparar cuál de los regímenes le beneficiaba. </w:t>
      </w:r>
      <w:r w:rsidR="00FF4450" w:rsidRPr="000E0F6E">
        <w:rPr>
          <w:rFonts w:ascii="Tahoma" w:eastAsia="Times New Roman" w:hAnsi="Tahoma" w:cs="Tahoma"/>
          <w:lang w:val="es-ES" w:eastAsia="es-MX"/>
        </w:rPr>
        <w:t>Expuso que negó el traslado con sujeción a lo reglado en el artículo 13 de la Ley 100 de 1993.</w:t>
      </w:r>
      <w:r w:rsidR="00000227" w:rsidRPr="000E0F6E">
        <w:rPr>
          <w:rFonts w:ascii="Tahoma" w:eastAsia="Times New Roman" w:hAnsi="Tahoma" w:cs="Tahoma"/>
          <w:lang w:val="es-ES" w:eastAsia="es-MX"/>
        </w:rPr>
        <w:t xml:space="preserve"> </w:t>
      </w:r>
      <w:r w:rsidRPr="000E0F6E">
        <w:rPr>
          <w:rFonts w:ascii="Tahoma" w:eastAsia="Times New Roman" w:hAnsi="Tahoma" w:cs="Tahoma"/>
          <w:lang w:val="es-ES" w:eastAsia="es-MX"/>
        </w:rPr>
        <w:t>En esa medida, invocó como excepciones de mérito “</w:t>
      </w:r>
      <w:r w:rsidR="00F021C2" w:rsidRPr="000E0F6E">
        <w:rPr>
          <w:rFonts w:ascii="Tahoma" w:eastAsia="Times New Roman" w:hAnsi="Tahoma" w:cs="Tahoma"/>
          <w:i/>
          <w:iCs/>
          <w:lang w:val="es-ES" w:eastAsia="es-MX"/>
        </w:rPr>
        <w:t xml:space="preserve">validez de la afiliación al RAIS”, “Saneamiento de una presunta nulidad”, “solicitud de traslado de dineros de gastos de administración”, “prescripción”, “imposibilidad jurídica para </w:t>
      </w:r>
      <w:r w:rsidR="00C72652" w:rsidRPr="000E0F6E">
        <w:rPr>
          <w:rFonts w:ascii="Tahoma" w:eastAsia="Times New Roman" w:hAnsi="Tahoma" w:cs="Tahoma"/>
          <w:i/>
          <w:iCs/>
          <w:lang w:val="es-ES" w:eastAsia="es-MX"/>
        </w:rPr>
        <w:t>re</w:t>
      </w:r>
      <w:r w:rsidR="0062667E" w:rsidRPr="000E0F6E">
        <w:rPr>
          <w:rFonts w:ascii="Tahoma" w:eastAsia="Times New Roman" w:hAnsi="Tahoma" w:cs="Tahoma"/>
          <w:i/>
          <w:iCs/>
          <w:lang w:val="es-ES" w:eastAsia="es-MX"/>
        </w:rPr>
        <w:t xml:space="preserve">conocer y pagar derechos por fuera del ordenamiento legal”, “buena fe: Colpensiones”, “imposibilidad de condena en costas”, “declaratoria de </w:t>
      </w:r>
      <w:r w:rsidR="000D60BA" w:rsidRPr="000E0F6E">
        <w:rPr>
          <w:rFonts w:ascii="Tahoma" w:eastAsia="Times New Roman" w:hAnsi="Tahoma" w:cs="Tahoma"/>
          <w:i/>
          <w:iCs/>
          <w:lang w:val="es-ES" w:eastAsia="es-MX"/>
        </w:rPr>
        <w:t>otras excepciones”.</w:t>
      </w:r>
    </w:p>
    <w:p w14:paraId="1A9087BA" w14:textId="77777777" w:rsidR="006C00B2" w:rsidRPr="000E0F6E" w:rsidRDefault="006C00B2" w:rsidP="000E0F6E">
      <w:pPr>
        <w:spacing w:before="0" w:beforeAutospacing="0" w:after="0" w:afterAutospacing="0" w:line="276" w:lineRule="auto"/>
        <w:ind w:firstLine="0"/>
        <w:rPr>
          <w:rFonts w:ascii="Tahoma" w:eastAsia="Times New Roman" w:hAnsi="Tahoma" w:cs="Tahoma"/>
          <w:b/>
          <w:lang w:val="es-ES" w:eastAsia="es-MX"/>
        </w:rPr>
      </w:pPr>
    </w:p>
    <w:p w14:paraId="35B3A444" w14:textId="4CCCB229" w:rsidR="006C00B2" w:rsidRPr="000E0F6E" w:rsidRDefault="006C00B2" w:rsidP="000E0F6E">
      <w:pPr>
        <w:spacing w:before="0" w:beforeAutospacing="0" w:after="0" w:afterAutospacing="0" w:line="276" w:lineRule="auto"/>
        <w:ind w:firstLine="708"/>
        <w:rPr>
          <w:rFonts w:ascii="Tahoma" w:eastAsia="Times New Roman" w:hAnsi="Tahoma" w:cs="Tahoma"/>
          <w:lang w:val="es-ES" w:eastAsia="es-MX"/>
        </w:rPr>
      </w:pPr>
      <w:r w:rsidRPr="000E0F6E">
        <w:rPr>
          <w:rFonts w:ascii="Tahoma" w:eastAsia="Times New Roman" w:hAnsi="Tahoma" w:cs="Tahoma"/>
          <w:bCs/>
          <w:lang w:val="es-ES" w:eastAsia="es-MX"/>
        </w:rPr>
        <w:t xml:space="preserve">Por su parte, </w:t>
      </w:r>
      <w:r w:rsidRPr="000E0F6E">
        <w:rPr>
          <w:rFonts w:ascii="Tahoma" w:eastAsia="Times New Roman" w:hAnsi="Tahoma" w:cs="Tahoma"/>
          <w:b/>
          <w:lang w:val="es-ES" w:eastAsia="es-MX"/>
        </w:rPr>
        <w:t>P</w:t>
      </w:r>
      <w:r w:rsidR="000D60BA" w:rsidRPr="000E0F6E">
        <w:rPr>
          <w:rFonts w:ascii="Tahoma" w:eastAsia="Times New Roman" w:hAnsi="Tahoma" w:cs="Tahoma"/>
          <w:b/>
          <w:lang w:val="es-ES" w:eastAsia="es-MX"/>
        </w:rPr>
        <w:t>rotección</w:t>
      </w:r>
      <w:r w:rsidRPr="000E0F6E">
        <w:rPr>
          <w:rFonts w:ascii="Tahoma" w:eastAsia="Times New Roman" w:hAnsi="Tahoma" w:cs="Tahoma"/>
          <w:b/>
          <w:lang w:val="es-ES" w:eastAsia="es-MX"/>
        </w:rPr>
        <w:t xml:space="preserve"> S.A</w:t>
      </w:r>
      <w:r w:rsidRPr="000E0F6E">
        <w:rPr>
          <w:rFonts w:ascii="Tahoma" w:eastAsia="Times New Roman" w:hAnsi="Tahoma" w:cs="Tahoma"/>
          <w:lang w:val="es-ES" w:eastAsia="es-MX"/>
        </w:rPr>
        <w:t xml:space="preserve"> se opuso a lo pretendido por la parte demandante, señalando</w:t>
      </w:r>
      <w:r w:rsidR="00C517F7" w:rsidRPr="000E0F6E">
        <w:rPr>
          <w:rFonts w:ascii="Tahoma" w:eastAsia="Times New Roman" w:hAnsi="Tahoma" w:cs="Tahoma"/>
          <w:lang w:val="es-ES" w:eastAsia="es-MX"/>
        </w:rPr>
        <w:t xml:space="preserve"> que</w:t>
      </w:r>
      <w:r w:rsidRPr="000E0F6E">
        <w:rPr>
          <w:rFonts w:ascii="Tahoma" w:eastAsia="Times New Roman" w:hAnsi="Tahoma" w:cs="Tahoma"/>
          <w:lang w:val="es-ES" w:eastAsia="es-MX"/>
        </w:rPr>
        <w:t xml:space="preserve"> </w:t>
      </w:r>
      <w:r w:rsidR="00C517F7" w:rsidRPr="000E0F6E">
        <w:rPr>
          <w:rFonts w:ascii="Tahoma" w:eastAsia="Times New Roman" w:hAnsi="Tahoma" w:cs="Tahoma"/>
          <w:lang w:val="es-ES" w:eastAsia="es-MX"/>
        </w:rPr>
        <w:t>la accionante no pudo ser víctima de la omisión de información en el momento de</w:t>
      </w:r>
      <w:r w:rsidR="00D21B62" w:rsidRPr="000E0F6E">
        <w:rPr>
          <w:rFonts w:ascii="Tahoma" w:eastAsia="Times New Roman" w:hAnsi="Tahoma" w:cs="Tahoma"/>
          <w:lang w:val="es-ES" w:eastAsia="es-MX"/>
        </w:rPr>
        <w:t xml:space="preserve">l traslado de régimen, porque no es o no era sujeto susceptible de beneficiarse del </w:t>
      </w:r>
      <w:r w:rsidR="005B4D39" w:rsidRPr="000E0F6E">
        <w:rPr>
          <w:rFonts w:ascii="Tahoma" w:eastAsia="Times New Roman" w:hAnsi="Tahoma" w:cs="Tahoma"/>
          <w:lang w:val="es-ES" w:eastAsia="es-MX"/>
        </w:rPr>
        <w:t>régimen de transición</w:t>
      </w:r>
      <w:r w:rsidR="00CC5E74" w:rsidRPr="000E0F6E">
        <w:rPr>
          <w:rFonts w:ascii="Tahoma" w:eastAsia="Times New Roman" w:hAnsi="Tahoma" w:cs="Tahoma"/>
          <w:lang w:val="es-ES" w:eastAsia="es-MX"/>
        </w:rPr>
        <w:t xml:space="preserve"> y porque al migrar renunció voluntariamente a dicho régimen.</w:t>
      </w:r>
      <w:r w:rsidR="00341542" w:rsidRPr="000E0F6E">
        <w:rPr>
          <w:rFonts w:ascii="Tahoma" w:eastAsia="Times New Roman" w:hAnsi="Tahoma" w:cs="Tahoma"/>
          <w:lang w:val="es-ES" w:eastAsia="es-MX"/>
        </w:rPr>
        <w:t xml:space="preserve"> </w:t>
      </w:r>
      <w:r w:rsidR="00D8698F" w:rsidRPr="000E0F6E">
        <w:rPr>
          <w:rFonts w:ascii="Tahoma" w:eastAsia="Times New Roman" w:hAnsi="Tahoma" w:cs="Tahoma"/>
          <w:lang w:val="es-ES" w:eastAsia="es-MX"/>
        </w:rPr>
        <w:t xml:space="preserve">Añadió que </w:t>
      </w:r>
      <w:r w:rsidR="003A2D19" w:rsidRPr="000E0F6E">
        <w:rPr>
          <w:rFonts w:ascii="Tahoma" w:eastAsia="Times New Roman" w:hAnsi="Tahoma" w:cs="Tahoma"/>
          <w:lang w:val="es-ES" w:eastAsia="es-MX"/>
        </w:rPr>
        <w:t>el</w:t>
      </w:r>
      <w:r w:rsidR="00D8698F" w:rsidRPr="000E0F6E">
        <w:rPr>
          <w:rFonts w:ascii="Tahoma" w:eastAsia="Times New Roman" w:hAnsi="Tahoma" w:cs="Tahoma"/>
          <w:lang w:val="es-ES" w:eastAsia="es-MX"/>
        </w:rPr>
        <w:t xml:space="preserve"> demandante manifestó la voluntad </w:t>
      </w:r>
      <w:r w:rsidR="007775BD" w:rsidRPr="000E0F6E">
        <w:rPr>
          <w:rFonts w:ascii="Tahoma" w:eastAsia="Times New Roman" w:hAnsi="Tahoma" w:cs="Tahoma"/>
          <w:lang w:val="es-ES" w:eastAsia="es-MX"/>
        </w:rPr>
        <w:t xml:space="preserve">por escrito en el formulario de afiliación y </w:t>
      </w:r>
      <w:r w:rsidR="001B7EEE" w:rsidRPr="000E0F6E">
        <w:rPr>
          <w:rFonts w:ascii="Tahoma" w:eastAsia="Times New Roman" w:hAnsi="Tahoma" w:cs="Tahoma"/>
          <w:lang w:val="es-ES" w:eastAsia="es-MX"/>
        </w:rPr>
        <w:t xml:space="preserve">tampoco hizo </w:t>
      </w:r>
      <w:r w:rsidR="00D8698F" w:rsidRPr="000E0F6E">
        <w:rPr>
          <w:rFonts w:ascii="Tahoma" w:eastAsia="Times New Roman" w:hAnsi="Tahoma" w:cs="Tahoma"/>
          <w:lang w:val="es-ES" w:eastAsia="es-MX"/>
        </w:rPr>
        <w:t>uso de la posibilidad del retracto en cuanto al período de gracia durante los años 2003 y 2004</w:t>
      </w:r>
      <w:r w:rsidR="001B7EEE" w:rsidRPr="000E0F6E">
        <w:rPr>
          <w:rFonts w:ascii="Tahoma" w:eastAsia="Times New Roman" w:hAnsi="Tahoma" w:cs="Tahoma"/>
          <w:lang w:val="es-ES" w:eastAsia="es-MX"/>
        </w:rPr>
        <w:t xml:space="preserve">, amén de que </w:t>
      </w:r>
      <w:r w:rsidR="007F183E" w:rsidRPr="000E0F6E">
        <w:rPr>
          <w:rFonts w:ascii="Tahoma" w:eastAsia="Times New Roman" w:hAnsi="Tahoma" w:cs="Tahoma"/>
          <w:lang w:val="es-ES" w:eastAsia="es-MX"/>
        </w:rPr>
        <w:t>su traslado no es posible a la luz del artíc</w:t>
      </w:r>
      <w:r w:rsidR="007524CE" w:rsidRPr="000E0F6E">
        <w:rPr>
          <w:rFonts w:ascii="Tahoma" w:eastAsia="Times New Roman" w:hAnsi="Tahoma" w:cs="Tahoma"/>
          <w:lang w:val="es-ES" w:eastAsia="es-MX"/>
        </w:rPr>
        <w:t xml:space="preserve">ulo </w:t>
      </w:r>
      <w:r w:rsidR="003A2D19" w:rsidRPr="000E0F6E">
        <w:rPr>
          <w:rFonts w:ascii="Tahoma" w:eastAsia="Times New Roman" w:hAnsi="Tahoma" w:cs="Tahoma"/>
          <w:lang w:val="es-ES" w:eastAsia="es-MX"/>
        </w:rPr>
        <w:t xml:space="preserve">13 </w:t>
      </w:r>
      <w:r w:rsidR="007524CE" w:rsidRPr="000E0F6E">
        <w:rPr>
          <w:rFonts w:ascii="Tahoma" w:eastAsia="Times New Roman" w:hAnsi="Tahoma" w:cs="Tahoma"/>
          <w:lang w:val="es-ES" w:eastAsia="es-MX"/>
        </w:rPr>
        <w:t xml:space="preserve">de la Ley </w:t>
      </w:r>
      <w:r w:rsidR="003A2D19" w:rsidRPr="000E0F6E">
        <w:rPr>
          <w:rFonts w:ascii="Tahoma" w:eastAsia="Times New Roman" w:hAnsi="Tahoma" w:cs="Tahoma"/>
          <w:lang w:val="es-ES" w:eastAsia="es-MX"/>
        </w:rPr>
        <w:t>100</w:t>
      </w:r>
      <w:r w:rsidR="007524CE" w:rsidRPr="000E0F6E">
        <w:rPr>
          <w:rFonts w:ascii="Tahoma" w:eastAsia="Times New Roman" w:hAnsi="Tahoma" w:cs="Tahoma"/>
          <w:lang w:val="es-ES" w:eastAsia="es-MX"/>
        </w:rPr>
        <w:t xml:space="preserve"> de </w:t>
      </w:r>
      <w:r w:rsidR="00BE28BC" w:rsidRPr="000E0F6E">
        <w:rPr>
          <w:rFonts w:ascii="Tahoma" w:eastAsia="Times New Roman" w:hAnsi="Tahoma" w:cs="Tahoma"/>
          <w:lang w:val="es-ES" w:eastAsia="es-MX"/>
        </w:rPr>
        <w:t>199</w:t>
      </w:r>
      <w:r w:rsidR="007524CE" w:rsidRPr="000E0F6E">
        <w:rPr>
          <w:rFonts w:ascii="Tahoma" w:eastAsia="Times New Roman" w:hAnsi="Tahoma" w:cs="Tahoma"/>
          <w:lang w:val="es-ES" w:eastAsia="es-MX"/>
        </w:rPr>
        <w:t>3</w:t>
      </w:r>
      <w:r w:rsidR="001B7EEE" w:rsidRPr="000E0F6E">
        <w:rPr>
          <w:rFonts w:ascii="Tahoma" w:eastAsia="Times New Roman" w:hAnsi="Tahoma" w:cs="Tahoma"/>
          <w:lang w:val="es-ES" w:eastAsia="es-MX"/>
        </w:rPr>
        <w:t>. A</w:t>
      </w:r>
      <w:r w:rsidRPr="000E0F6E">
        <w:rPr>
          <w:rFonts w:ascii="Tahoma" w:eastAsia="Times New Roman" w:hAnsi="Tahoma" w:cs="Tahoma"/>
          <w:lang w:val="es-ES" w:eastAsia="es-MX"/>
        </w:rPr>
        <w:t>firma que para el momento del traslado las administradoras no tenían la obligación legal de llevar a cabo proyecciones pensionales, mantener un registro escrito de las circunstancias del traslado y de informar un tiempo mínimo de retorno al RPM</w:t>
      </w:r>
      <w:r w:rsidR="006B2CCE" w:rsidRPr="000E0F6E">
        <w:rPr>
          <w:rFonts w:ascii="Tahoma" w:eastAsia="Times New Roman" w:hAnsi="Tahoma" w:cs="Tahoma"/>
          <w:lang w:val="es-ES" w:eastAsia="es-MX"/>
        </w:rPr>
        <w:t>.</w:t>
      </w:r>
    </w:p>
    <w:p w14:paraId="47B1994C" w14:textId="77777777" w:rsidR="006C00B2" w:rsidRPr="000E0F6E" w:rsidRDefault="006C00B2" w:rsidP="000E0F6E">
      <w:pPr>
        <w:spacing w:before="0" w:beforeAutospacing="0" w:after="0" w:afterAutospacing="0" w:line="276" w:lineRule="auto"/>
        <w:ind w:firstLine="0"/>
        <w:rPr>
          <w:rFonts w:ascii="Tahoma" w:eastAsia="Times New Roman" w:hAnsi="Tahoma" w:cs="Tahoma"/>
          <w:lang w:val="es-ES" w:eastAsia="es-MX"/>
        </w:rPr>
      </w:pPr>
    </w:p>
    <w:p w14:paraId="0352D53A" w14:textId="023854B9" w:rsidR="006C00B2" w:rsidRPr="000E0F6E" w:rsidRDefault="006C00B2" w:rsidP="000E0F6E">
      <w:pPr>
        <w:spacing w:before="0" w:beforeAutospacing="0" w:after="0" w:afterAutospacing="0" w:line="276" w:lineRule="auto"/>
        <w:ind w:firstLine="708"/>
        <w:rPr>
          <w:rFonts w:ascii="Tahoma" w:eastAsia="Times New Roman" w:hAnsi="Tahoma" w:cs="Tahoma"/>
          <w:i/>
          <w:lang w:val="es-ES" w:eastAsia="es-MX"/>
        </w:rPr>
      </w:pPr>
      <w:r w:rsidRPr="000E0F6E">
        <w:rPr>
          <w:rFonts w:ascii="Tahoma" w:eastAsia="Times New Roman" w:hAnsi="Tahoma" w:cs="Tahoma"/>
          <w:lang w:val="es-ES" w:eastAsia="es-MX"/>
        </w:rPr>
        <w:t xml:space="preserve">En ese orden de ideas, formuló como excepciones de mérito las de </w:t>
      </w:r>
      <w:r w:rsidR="00660570" w:rsidRPr="000E0F6E">
        <w:rPr>
          <w:rFonts w:ascii="Tahoma" w:eastAsia="Times New Roman" w:hAnsi="Tahoma" w:cs="Tahoma"/>
          <w:i/>
          <w:lang w:val="es-ES" w:eastAsia="es-MX"/>
        </w:rPr>
        <w:t xml:space="preserve">“genérica o innominada”, “prescripción”, “buena fe”, “compensación”, “exoneración de condena en costas”, “inexistencia de la obligación”, “falta de legitimación en la causa y/o </w:t>
      </w:r>
      <w:r w:rsidR="00660570" w:rsidRPr="000E0F6E">
        <w:rPr>
          <w:rFonts w:ascii="Tahoma" w:eastAsia="Times New Roman" w:hAnsi="Tahoma" w:cs="Tahoma"/>
          <w:i/>
          <w:lang w:val="es-ES" w:eastAsia="es-MX"/>
        </w:rPr>
        <w:lastRenderedPageBreak/>
        <w:t>ausencia de personería sustantiva por pasiva de mi representada”, “</w:t>
      </w:r>
      <w:r w:rsidR="0067372B" w:rsidRPr="000E0F6E">
        <w:rPr>
          <w:rFonts w:ascii="Tahoma" w:eastAsia="Times New Roman" w:hAnsi="Tahoma" w:cs="Tahoma"/>
          <w:i/>
          <w:lang w:val="es-ES" w:eastAsia="es-MX"/>
        </w:rPr>
        <w:t>inexistencia de la fuente de la obligación”, “inexistencia de la causa por inexistencia de la oportunidad”, “ausencia de perjuicios morales y materiales irrogados por parte de esta entidad llamada a juicio”, “afectación de la estabilidad financiera del sistema en caso de acceder al traslado”, “</w:t>
      </w:r>
      <w:r w:rsidR="00CC3B17" w:rsidRPr="000E0F6E">
        <w:rPr>
          <w:rFonts w:ascii="Tahoma" w:eastAsia="Times New Roman" w:hAnsi="Tahoma" w:cs="Tahoma"/>
          <w:i/>
          <w:lang w:val="es-ES" w:eastAsia="es-MX"/>
        </w:rPr>
        <w:t>excepción de mérito seguro previsional” y “excepción de mérito cuotas de administración”.</w:t>
      </w:r>
    </w:p>
    <w:p w14:paraId="4616E36C" w14:textId="771F7223" w:rsidR="00CC3B17" w:rsidRPr="000E0F6E" w:rsidRDefault="00CC3B17" w:rsidP="000E0F6E">
      <w:pPr>
        <w:spacing w:before="0" w:beforeAutospacing="0" w:after="0" w:afterAutospacing="0" w:line="276" w:lineRule="auto"/>
        <w:ind w:firstLine="708"/>
        <w:rPr>
          <w:rFonts w:ascii="Tahoma" w:eastAsia="Times New Roman" w:hAnsi="Tahoma" w:cs="Tahoma"/>
          <w:i/>
          <w:lang w:val="es-ES" w:eastAsia="es-MX"/>
        </w:rPr>
      </w:pPr>
    </w:p>
    <w:p w14:paraId="0C6A99A3" w14:textId="77777777" w:rsidR="00CC3B17" w:rsidRPr="000E0F6E" w:rsidRDefault="00CC3B17" w:rsidP="000E0F6E">
      <w:pPr>
        <w:spacing w:before="0" w:beforeAutospacing="0" w:after="0" w:afterAutospacing="0" w:line="276" w:lineRule="auto"/>
        <w:ind w:firstLine="708"/>
        <w:rPr>
          <w:rFonts w:ascii="Tahoma" w:eastAsia="Times New Roman" w:hAnsi="Tahoma" w:cs="Tahoma"/>
          <w:i/>
          <w:lang w:val="es-ES" w:eastAsia="es-MX"/>
        </w:rPr>
      </w:pPr>
    </w:p>
    <w:p w14:paraId="0D04922D" w14:textId="77777777" w:rsidR="00DC4FE9" w:rsidRPr="000E0F6E" w:rsidRDefault="00DC4FE9" w:rsidP="000E0F6E">
      <w:pPr>
        <w:pStyle w:val="Prrafodelista"/>
        <w:numPr>
          <w:ilvl w:val="0"/>
          <w:numId w:val="1"/>
        </w:numPr>
        <w:spacing w:line="276" w:lineRule="auto"/>
        <w:ind w:left="426" w:hanging="426"/>
        <w:jc w:val="center"/>
        <w:rPr>
          <w:rFonts w:cs="Tahoma"/>
          <w:b/>
          <w:bCs/>
          <w:szCs w:val="24"/>
        </w:rPr>
      </w:pPr>
      <w:r w:rsidRPr="000E0F6E">
        <w:rPr>
          <w:rFonts w:cs="Tahoma"/>
          <w:b/>
          <w:bCs/>
          <w:szCs w:val="24"/>
        </w:rPr>
        <w:t>Sentencia de primera instancia</w:t>
      </w:r>
    </w:p>
    <w:p w14:paraId="5AD2A23A" w14:textId="77777777" w:rsidR="000B1501" w:rsidRPr="000E0F6E" w:rsidRDefault="000B1501" w:rsidP="000E0F6E">
      <w:pPr>
        <w:spacing w:before="0" w:beforeAutospacing="0" w:after="0" w:afterAutospacing="0" w:line="276" w:lineRule="auto"/>
        <w:contextualSpacing/>
        <w:rPr>
          <w:rFonts w:ascii="Tahoma" w:eastAsia="Calibri" w:hAnsi="Tahoma" w:cs="Tahoma"/>
          <w:lang w:val="es-ES"/>
        </w:rPr>
      </w:pPr>
    </w:p>
    <w:p w14:paraId="55A628D7" w14:textId="185B526F" w:rsidR="006C1E3C" w:rsidRPr="000E0F6E" w:rsidRDefault="004F2ECB" w:rsidP="000E0F6E">
      <w:pPr>
        <w:widowControl w:val="0"/>
        <w:autoSpaceDE w:val="0"/>
        <w:autoSpaceDN w:val="0"/>
        <w:spacing w:before="0" w:beforeAutospacing="0" w:after="0" w:afterAutospacing="0" w:line="276" w:lineRule="auto"/>
        <w:contextualSpacing/>
        <w:rPr>
          <w:rFonts w:ascii="Tahoma" w:eastAsia="Calibri" w:hAnsi="Tahoma" w:cs="Tahoma"/>
        </w:rPr>
      </w:pPr>
      <w:r w:rsidRPr="000E0F6E">
        <w:rPr>
          <w:rFonts w:ascii="Tahoma" w:eastAsia="Calibri" w:hAnsi="Tahoma" w:cs="Tahoma"/>
          <w:lang w:val="es-ES"/>
        </w:rPr>
        <w:t>La jueza de primera instancia desestimó las excepciones propuestas, declaró la ineficacia del traslado que la accionante realizó a través de la AFP</w:t>
      </w:r>
      <w:r w:rsidR="00A502E1" w:rsidRPr="000E0F6E">
        <w:rPr>
          <w:rFonts w:ascii="Tahoma" w:eastAsia="Calibri" w:hAnsi="Tahoma" w:cs="Tahoma"/>
          <w:lang w:val="es-ES"/>
        </w:rPr>
        <w:t xml:space="preserve"> Protección S.A. </w:t>
      </w:r>
      <w:r w:rsidR="00652323" w:rsidRPr="000E0F6E">
        <w:rPr>
          <w:rFonts w:ascii="Tahoma" w:eastAsia="Calibri" w:hAnsi="Tahoma" w:cs="Tahoma"/>
          <w:lang w:val="es-ES"/>
        </w:rPr>
        <w:t xml:space="preserve">en julio de 1997 </w:t>
      </w:r>
      <w:r w:rsidR="00A502E1" w:rsidRPr="000E0F6E">
        <w:rPr>
          <w:rFonts w:ascii="Tahoma" w:eastAsia="Calibri" w:hAnsi="Tahoma" w:cs="Tahoma"/>
          <w:lang w:val="es-ES"/>
        </w:rPr>
        <w:t xml:space="preserve">y, en </w:t>
      </w:r>
      <w:r w:rsidR="00274D15" w:rsidRPr="000E0F6E">
        <w:rPr>
          <w:rFonts w:ascii="Tahoma" w:eastAsia="Calibri" w:hAnsi="Tahoma" w:cs="Tahoma"/>
          <w:lang w:val="es-ES"/>
        </w:rPr>
        <w:t>consecuencia,</w:t>
      </w:r>
      <w:r w:rsidR="00A502E1" w:rsidRPr="000E0F6E">
        <w:rPr>
          <w:rFonts w:ascii="Tahoma" w:eastAsia="Calibri" w:hAnsi="Tahoma" w:cs="Tahoma"/>
          <w:lang w:val="es-ES"/>
        </w:rPr>
        <w:t xml:space="preserve"> condenó al fondo privado a </w:t>
      </w:r>
      <w:r w:rsidR="00274D15" w:rsidRPr="000E0F6E">
        <w:rPr>
          <w:rFonts w:ascii="Tahoma" w:eastAsia="Calibri" w:hAnsi="Tahoma" w:cs="Tahoma"/>
          <w:lang w:val="es-ES"/>
        </w:rPr>
        <w:t>girar a</w:t>
      </w:r>
      <w:r w:rsidR="00274D15" w:rsidRPr="000E0F6E">
        <w:rPr>
          <w:rFonts w:ascii="Tahoma" w:eastAsia="Calibri" w:hAnsi="Tahoma" w:cs="Tahoma"/>
        </w:rPr>
        <w:t xml:space="preserve"> favor de la Administradora Colombiana de Pensiones Colpensiones el saldo existente en la cuenta de ahorros proveniente de las cotizaciones efectuadas al sistema general de pensiones, junto con los intereses y rendimientos financieros que se hayan  causado</w:t>
      </w:r>
      <w:r w:rsidR="004922E4" w:rsidRPr="000E0F6E">
        <w:rPr>
          <w:rFonts w:ascii="Tahoma" w:eastAsia="Calibri" w:hAnsi="Tahoma" w:cs="Tahoma"/>
        </w:rPr>
        <w:t>, asimismo a restituir con cargo a sus propios recursos debidamente indexados, las sumas de dinero</w:t>
      </w:r>
      <w:r w:rsidR="00A871A4" w:rsidRPr="000E0F6E">
        <w:rPr>
          <w:rFonts w:ascii="Tahoma" w:eastAsia="Calibri" w:hAnsi="Tahoma" w:cs="Tahoma"/>
        </w:rPr>
        <w:t xml:space="preserve"> destinadas al pago de cuotas o gastos de administración, garantía de pensión mínima y las primas de seguros previsionales de invalidez y sobrevivientes</w:t>
      </w:r>
      <w:r w:rsidR="006C1E3C" w:rsidRPr="000E0F6E">
        <w:rPr>
          <w:rFonts w:ascii="Tahoma" w:eastAsia="Calibri" w:hAnsi="Tahoma" w:cs="Tahoma"/>
        </w:rPr>
        <w:t>.</w:t>
      </w:r>
    </w:p>
    <w:p w14:paraId="6E196A53" w14:textId="77777777" w:rsidR="006C1E3C" w:rsidRPr="000E0F6E" w:rsidRDefault="006C1E3C" w:rsidP="000E0F6E">
      <w:pPr>
        <w:widowControl w:val="0"/>
        <w:autoSpaceDE w:val="0"/>
        <w:autoSpaceDN w:val="0"/>
        <w:spacing w:before="0" w:beforeAutospacing="0" w:after="0" w:afterAutospacing="0" w:line="276" w:lineRule="auto"/>
        <w:contextualSpacing/>
        <w:rPr>
          <w:rFonts w:ascii="Tahoma" w:eastAsia="Calibri" w:hAnsi="Tahoma" w:cs="Tahoma"/>
        </w:rPr>
      </w:pPr>
    </w:p>
    <w:p w14:paraId="578F5CA5" w14:textId="018E5782" w:rsidR="00936BC2" w:rsidRPr="000E0F6E" w:rsidRDefault="006C1E3C" w:rsidP="000E0F6E">
      <w:pPr>
        <w:widowControl w:val="0"/>
        <w:autoSpaceDE w:val="0"/>
        <w:autoSpaceDN w:val="0"/>
        <w:spacing w:before="0" w:beforeAutospacing="0" w:after="0" w:afterAutospacing="0" w:line="276" w:lineRule="auto"/>
        <w:contextualSpacing/>
        <w:rPr>
          <w:rFonts w:ascii="Tahoma" w:eastAsia="Calibri" w:hAnsi="Tahoma" w:cs="Tahoma"/>
        </w:rPr>
      </w:pPr>
      <w:r w:rsidRPr="000E0F6E">
        <w:rPr>
          <w:rFonts w:ascii="Tahoma" w:eastAsia="Calibri" w:hAnsi="Tahoma" w:cs="Tahoma"/>
          <w:lang w:val="es-ES"/>
        </w:rPr>
        <w:t>En el mismo sentido, ordenó a Protección S.A. que, en caso de haberse efectuado la redención del bono, proceda a restituir la suma pagada por ese concepto a favor de la OBP del Ministerio de Hacienda y Crédito Público, de manera indexada</w:t>
      </w:r>
      <w:r w:rsidR="00936BC2" w:rsidRPr="000E0F6E">
        <w:rPr>
          <w:rFonts w:ascii="Tahoma" w:eastAsia="Calibri" w:hAnsi="Tahoma" w:cs="Tahoma"/>
          <w:lang w:val="es-ES"/>
        </w:rPr>
        <w:t xml:space="preserve">, y comunicó a esta última para que procediera a efectuar las acciones necesarias con el fin de </w:t>
      </w:r>
      <w:r w:rsidR="00936BC2" w:rsidRPr="000E0F6E">
        <w:rPr>
          <w:rFonts w:ascii="Tahoma" w:eastAsia="Calibri" w:hAnsi="Tahoma" w:cs="Tahoma"/>
        </w:rPr>
        <w:t>retrotraer las cosas al estado en que se encontraban</w:t>
      </w:r>
      <w:r w:rsidR="00BF59ED" w:rsidRPr="000E0F6E">
        <w:rPr>
          <w:rFonts w:ascii="Tahoma" w:eastAsia="Calibri" w:hAnsi="Tahoma" w:cs="Tahoma"/>
        </w:rPr>
        <w:t>.</w:t>
      </w:r>
    </w:p>
    <w:p w14:paraId="6193184B" w14:textId="6317EF61" w:rsidR="00AB7DA5" w:rsidRPr="000E0F6E" w:rsidRDefault="00AB7DA5" w:rsidP="000E0F6E">
      <w:pPr>
        <w:widowControl w:val="0"/>
        <w:autoSpaceDE w:val="0"/>
        <w:autoSpaceDN w:val="0"/>
        <w:spacing w:before="0" w:beforeAutospacing="0" w:after="0" w:afterAutospacing="0" w:line="276" w:lineRule="auto"/>
        <w:ind w:firstLine="0"/>
        <w:contextualSpacing/>
        <w:rPr>
          <w:rFonts w:ascii="Tahoma" w:eastAsia="Calibri" w:hAnsi="Tahoma" w:cs="Tahoma"/>
        </w:rPr>
      </w:pPr>
    </w:p>
    <w:p w14:paraId="284738ED" w14:textId="0BF6FE6F" w:rsidR="00AB7DA5" w:rsidRPr="000E0F6E" w:rsidRDefault="00936BC2" w:rsidP="000E0F6E">
      <w:pPr>
        <w:widowControl w:val="0"/>
        <w:autoSpaceDE w:val="0"/>
        <w:autoSpaceDN w:val="0"/>
        <w:spacing w:before="0" w:beforeAutospacing="0" w:after="0" w:afterAutospacing="0" w:line="276" w:lineRule="auto"/>
        <w:contextualSpacing/>
        <w:rPr>
          <w:rFonts w:ascii="Tahoma" w:eastAsia="Calibri" w:hAnsi="Tahoma" w:cs="Tahoma"/>
          <w:lang w:val="es-ES"/>
        </w:rPr>
      </w:pPr>
      <w:r w:rsidRPr="000E0F6E">
        <w:rPr>
          <w:rFonts w:ascii="Tahoma" w:eastAsia="Calibri" w:hAnsi="Tahoma" w:cs="Tahoma"/>
        </w:rPr>
        <w:t>Así</w:t>
      </w:r>
      <w:r w:rsidR="006C1E3C" w:rsidRPr="000E0F6E">
        <w:rPr>
          <w:rFonts w:ascii="Tahoma" w:eastAsia="Calibri" w:hAnsi="Tahoma" w:cs="Tahoma"/>
        </w:rPr>
        <w:t>,</w:t>
      </w:r>
      <w:r w:rsidR="00AB7DA5" w:rsidRPr="000E0F6E">
        <w:rPr>
          <w:rFonts w:ascii="Tahoma" w:eastAsia="Calibri" w:hAnsi="Tahoma" w:cs="Tahoma"/>
        </w:rPr>
        <w:t xml:space="preserve"> ordenó a Colpensione</w:t>
      </w:r>
      <w:r w:rsidR="002D4C61" w:rsidRPr="000E0F6E">
        <w:rPr>
          <w:rFonts w:ascii="Tahoma" w:eastAsia="Calibri" w:hAnsi="Tahoma" w:cs="Tahoma"/>
        </w:rPr>
        <w:t xml:space="preserve">s que trascurrido un mes desde la ejecutoria de la decisión procediera a aceptar sin dilaciones </w:t>
      </w:r>
      <w:r w:rsidR="002F59E9" w:rsidRPr="000E0F6E">
        <w:rPr>
          <w:rFonts w:ascii="Tahoma" w:eastAsia="Calibri" w:hAnsi="Tahoma" w:cs="Tahoma"/>
        </w:rPr>
        <w:t xml:space="preserve">y sin solución de continuidad </w:t>
      </w:r>
      <w:r w:rsidR="002D4C61" w:rsidRPr="000E0F6E">
        <w:rPr>
          <w:rFonts w:ascii="Tahoma" w:eastAsia="Calibri" w:hAnsi="Tahoma" w:cs="Tahoma"/>
        </w:rPr>
        <w:t>a</w:t>
      </w:r>
      <w:r w:rsidR="00BF59ED" w:rsidRPr="000E0F6E">
        <w:rPr>
          <w:rFonts w:ascii="Tahoma" w:eastAsia="Calibri" w:hAnsi="Tahoma" w:cs="Tahoma"/>
        </w:rPr>
        <w:t xml:space="preserve">l demandante </w:t>
      </w:r>
      <w:r w:rsidR="008A7187" w:rsidRPr="000E0F6E">
        <w:rPr>
          <w:rFonts w:ascii="Tahoma" w:eastAsia="Calibri" w:hAnsi="Tahoma" w:cs="Tahoma"/>
        </w:rPr>
        <w:t>en el régimen que administra.</w:t>
      </w:r>
    </w:p>
    <w:p w14:paraId="62B1E53F" w14:textId="7280D955" w:rsidR="00E164F4" w:rsidRPr="000E0F6E" w:rsidRDefault="00171926" w:rsidP="000E0F6E">
      <w:pPr>
        <w:widowControl w:val="0"/>
        <w:autoSpaceDE w:val="0"/>
        <w:autoSpaceDN w:val="0"/>
        <w:spacing w:before="0" w:beforeAutospacing="0" w:after="0" w:afterAutospacing="0" w:line="276" w:lineRule="auto"/>
        <w:contextualSpacing/>
        <w:rPr>
          <w:rFonts w:ascii="Tahoma" w:eastAsia="Calibri" w:hAnsi="Tahoma" w:cs="Tahoma"/>
          <w:lang w:val="es-ES"/>
        </w:rPr>
      </w:pPr>
      <w:r w:rsidRPr="000E0F6E">
        <w:rPr>
          <w:rFonts w:ascii="Tahoma" w:eastAsia="Calibri" w:hAnsi="Tahoma" w:cs="Tahoma"/>
          <w:lang w:val="es-ES"/>
        </w:rPr>
        <w:t xml:space="preserve"> </w:t>
      </w:r>
    </w:p>
    <w:p w14:paraId="3C5667C7" w14:textId="60550E57" w:rsidR="00DE7704" w:rsidRPr="000E0F6E" w:rsidRDefault="00171926" w:rsidP="000E0F6E">
      <w:pPr>
        <w:widowControl w:val="0"/>
        <w:autoSpaceDE w:val="0"/>
        <w:autoSpaceDN w:val="0"/>
        <w:spacing w:before="0" w:beforeAutospacing="0" w:after="0" w:afterAutospacing="0" w:line="276" w:lineRule="auto"/>
        <w:contextualSpacing/>
        <w:rPr>
          <w:rFonts w:ascii="Tahoma" w:eastAsia="Calibri" w:hAnsi="Tahoma" w:cs="Tahoma"/>
          <w:lang w:val="es-MX"/>
        </w:rPr>
      </w:pPr>
      <w:r w:rsidRPr="000E0F6E">
        <w:rPr>
          <w:rFonts w:ascii="Tahoma" w:eastAsia="Calibri" w:hAnsi="Tahoma" w:cs="Tahoma"/>
          <w:lang w:val="es-ES"/>
        </w:rPr>
        <w:t>Por último, condenó</w:t>
      </w:r>
      <w:r w:rsidR="00DE7704" w:rsidRPr="000E0F6E">
        <w:rPr>
          <w:rFonts w:ascii="Tahoma" w:eastAsia="Calibri" w:hAnsi="Tahoma" w:cs="Tahoma"/>
          <w:lang w:val="es-ES"/>
        </w:rPr>
        <w:t xml:space="preserve"> en</w:t>
      </w:r>
      <w:r w:rsidR="00DE7704" w:rsidRPr="000E0F6E">
        <w:rPr>
          <w:rFonts w:ascii="Tahoma" w:eastAsia="Calibri" w:hAnsi="Tahoma" w:cs="Tahoma"/>
          <w:lang w:val="es-MX"/>
        </w:rPr>
        <w:t xml:space="preserve"> costas procesales a Protección S.A en favor de</w:t>
      </w:r>
      <w:r w:rsidR="00652323" w:rsidRPr="000E0F6E">
        <w:rPr>
          <w:rFonts w:ascii="Tahoma" w:eastAsia="Calibri" w:hAnsi="Tahoma" w:cs="Tahoma"/>
          <w:lang w:val="es-MX"/>
        </w:rPr>
        <w:t xml:space="preserve">l </w:t>
      </w:r>
      <w:r w:rsidR="00DE7704" w:rsidRPr="000E0F6E">
        <w:rPr>
          <w:rFonts w:ascii="Tahoma" w:eastAsia="Calibri" w:hAnsi="Tahoma" w:cs="Tahoma"/>
          <w:lang w:val="es-MX"/>
        </w:rPr>
        <w:t>demandante en un 100% de las causadas.</w:t>
      </w:r>
    </w:p>
    <w:p w14:paraId="15827702" w14:textId="59D81256" w:rsidR="00841EA8" w:rsidRPr="000E0F6E" w:rsidRDefault="00841EA8" w:rsidP="000E0F6E">
      <w:pPr>
        <w:widowControl w:val="0"/>
        <w:autoSpaceDE w:val="0"/>
        <w:autoSpaceDN w:val="0"/>
        <w:spacing w:before="0" w:beforeAutospacing="0" w:after="0" w:afterAutospacing="0" w:line="276" w:lineRule="auto"/>
        <w:contextualSpacing/>
        <w:rPr>
          <w:rFonts w:ascii="Tahoma" w:eastAsia="Calibri" w:hAnsi="Tahoma" w:cs="Tahoma"/>
          <w:lang w:val="es-MX"/>
        </w:rPr>
      </w:pPr>
    </w:p>
    <w:p w14:paraId="7F921105" w14:textId="498BA13D" w:rsidR="00DE7704" w:rsidRPr="000E0F6E" w:rsidRDefault="00DE7704" w:rsidP="000E0F6E">
      <w:pPr>
        <w:widowControl w:val="0"/>
        <w:autoSpaceDE w:val="0"/>
        <w:autoSpaceDN w:val="0"/>
        <w:spacing w:before="0" w:beforeAutospacing="0" w:after="0" w:afterAutospacing="0" w:line="276" w:lineRule="auto"/>
        <w:contextualSpacing/>
        <w:rPr>
          <w:rFonts w:ascii="Tahoma" w:eastAsia="Calibri" w:hAnsi="Tahoma" w:cs="Tahoma"/>
          <w:lang w:val="es-MX"/>
        </w:rPr>
      </w:pPr>
      <w:r w:rsidRPr="000E0F6E">
        <w:rPr>
          <w:rFonts w:ascii="Tahoma" w:eastAsia="Calibri" w:hAnsi="Tahoma" w:cs="Tahoma"/>
          <w:lang w:val="es-MX"/>
        </w:rPr>
        <w:t xml:space="preserve">Para llegar a esta determinación la operadora judicial </w:t>
      </w:r>
      <w:r w:rsidR="000B3930" w:rsidRPr="000E0F6E">
        <w:rPr>
          <w:rFonts w:ascii="Tahoma" w:eastAsia="Calibri" w:hAnsi="Tahoma" w:cs="Tahoma"/>
          <w:lang w:val="es-MX"/>
        </w:rPr>
        <w:t xml:space="preserve">previo recuento normativo, indicó que la Corte Suprema de Justicia ha definido diferentes subreglas a tener en cuenta cuando se estudia un </w:t>
      </w:r>
      <w:r w:rsidR="00852C1E" w:rsidRPr="000E0F6E">
        <w:rPr>
          <w:rFonts w:ascii="Tahoma" w:eastAsia="Calibri" w:hAnsi="Tahoma" w:cs="Tahoma"/>
          <w:lang w:val="es-MX"/>
        </w:rPr>
        <w:t xml:space="preserve">acto jurídico de traslado de régimen pensional así: </w:t>
      </w:r>
      <w:r w:rsidR="0022457F" w:rsidRPr="000E0F6E">
        <w:rPr>
          <w:rFonts w:ascii="Tahoma" w:eastAsia="Calibri" w:hAnsi="Tahoma" w:cs="Tahoma"/>
          <w:lang w:val="es-MX"/>
        </w:rPr>
        <w:t>1</w:t>
      </w:r>
      <w:r w:rsidR="00852C1E" w:rsidRPr="000E0F6E">
        <w:rPr>
          <w:rFonts w:ascii="Tahoma" w:eastAsia="Calibri" w:hAnsi="Tahoma" w:cs="Tahoma"/>
          <w:lang w:val="es-MX"/>
        </w:rPr>
        <w:t>)</w:t>
      </w:r>
      <w:r w:rsidR="0022457F" w:rsidRPr="000E0F6E">
        <w:rPr>
          <w:rFonts w:ascii="Tahoma" w:eastAsia="Calibri" w:hAnsi="Tahoma" w:cs="Tahoma"/>
          <w:lang w:val="es-MX"/>
        </w:rPr>
        <w:t xml:space="preserve"> la figura que se analiza es la ineficacia del acto jurídico de traslado a la luz de lo establecido en el literal b) del artículo 13 de la Ley 100 de 1993</w:t>
      </w:r>
      <w:r w:rsidR="009B2F77" w:rsidRPr="000E0F6E">
        <w:rPr>
          <w:rFonts w:ascii="Tahoma" w:eastAsia="Calibri" w:hAnsi="Tahoma" w:cs="Tahoma"/>
          <w:lang w:val="es-MX"/>
        </w:rPr>
        <w:t xml:space="preserve"> que establece que la selección del régimen es libre y voluntaria por parte del afiliado, y el artículo 271 que impone multas y consagra la ineficacia del acto jurídico</w:t>
      </w:r>
      <w:r w:rsidR="00400AAE" w:rsidRPr="000E0F6E">
        <w:rPr>
          <w:rFonts w:ascii="Tahoma" w:eastAsia="Calibri" w:hAnsi="Tahoma" w:cs="Tahoma"/>
          <w:lang w:val="es-MX"/>
        </w:rPr>
        <w:t>, y</w:t>
      </w:r>
      <w:r w:rsidR="0070113C" w:rsidRPr="000E0F6E">
        <w:rPr>
          <w:rFonts w:ascii="Tahoma" w:eastAsia="Calibri" w:hAnsi="Tahoma" w:cs="Tahoma"/>
          <w:lang w:val="es-MX"/>
        </w:rPr>
        <w:t xml:space="preserve"> b) se establece que las administradoras de fondos </w:t>
      </w:r>
      <w:r w:rsidR="00400AAE" w:rsidRPr="000E0F6E">
        <w:rPr>
          <w:rFonts w:ascii="Tahoma" w:eastAsia="Calibri" w:hAnsi="Tahoma" w:cs="Tahoma"/>
          <w:lang w:val="es-MX"/>
        </w:rPr>
        <w:t>d</w:t>
      </w:r>
      <w:r w:rsidR="0070113C" w:rsidRPr="000E0F6E">
        <w:rPr>
          <w:rFonts w:ascii="Tahoma" w:eastAsia="Calibri" w:hAnsi="Tahoma" w:cs="Tahoma"/>
          <w:lang w:val="es-MX"/>
        </w:rPr>
        <w:t>e pensiones deben suministrar al afiliado</w:t>
      </w:r>
      <w:r w:rsidR="009B2F77" w:rsidRPr="000E0F6E">
        <w:rPr>
          <w:rFonts w:ascii="Tahoma" w:eastAsia="Calibri" w:hAnsi="Tahoma" w:cs="Tahoma"/>
          <w:lang w:val="es-MX"/>
        </w:rPr>
        <w:t xml:space="preserve"> </w:t>
      </w:r>
      <w:r w:rsidRPr="000E0F6E">
        <w:rPr>
          <w:rFonts w:ascii="Tahoma" w:eastAsia="Calibri" w:hAnsi="Tahoma" w:cs="Tahoma"/>
          <w:lang w:val="es-MX"/>
        </w:rPr>
        <w:t>información clara</w:t>
      </w:r>
      <w:r w:rsidR="00455FC7" w:rsidRPr="000E0F6E">
        <w:rPr>
          <w:rFonts w:ascii="Tahoma" w:eastAsia="Calibri" w:hAnsi="Tahoma" w:cs="Tahoma"/>
          <w:lang w:val="es-MX"/>
        </w:rPr>
        <w:t>,</w:t>
      </w:r>
      <w:r w:rsidRPr="000E0F6E">
        <w:rPr>
          <w:rFonts w:ascii="Tahoma" w:eastAsia="Calibri" w:hAnsi="Tahoma" w:cs="Tahoma"/>
          <w:lang w:val="es-MX"/>
        </w:rPr>
        <w:t xml:space="preserve"> cierta comprensible y oportuna de las características, condiciones, </w:t>
      </w:r>
      <w:r w:rsidR="0070113C" w:rsidRPr="000E0F6E">
        <w:rPr>
          <w:rFonts w:ascii="Tahoma" w:eastAsia="Calibri" w:hAnsi="Tahoma" w:cs="Tahoma"/>
          <w:lang w:val="es-MX"/>
        </w:rPr>
        <w:t xml:space="preserve">beneficios, </w:t>
      </w:r>
      <w:r w:rsidRPr="000E0F6E">
        <w:rPr>
          <w:rFonts w:ascii="Tahoma" w:eastAsia="Calibri" w:hAnsi="Tahoma" w:cs="Tahoma"/>
          <w:lang w:val="es-MX"/>
        </w:rPr>
        <w:t>diferencias, riesgos y consecuencias del cambio de régimen pensional</w:t>
      </w:r>
      <w:r w:rsidR="00144783" w:rsidRPr="000E0F6E">
        <w:rPr>
          <w:rFonts w:ascii="Tahoma" w:eastAsia="Calibri" w:hAnsi="Tahoma" w:cs="Tahoma"/>
          <w:lang w:val="es-MX"/>
        </w:rPr>
        <w:t>,</w:t>
      </w:r>
      <w:r w:rsidR="0070113C" w:rsidRPr="000E0F6E">
        <w:rPr>
          <w:rFonts w:ascii="Tahoma" w:eastAsia="Calibri" w:hAnsi="Tahoma" w:cs="Tahoma"/>
          <w:lang w:val="es-MX"/>
        </w:rPr>
        <w:t xml:space="preserve"> </w:t>
      </w:r>
      <w:r w:rsidR="00CB0FE3" w:rsidRPr="000E0F6E">
        <w:rPr>
          <w:rFonts w:ascii="Tahoma" w:eastAsia="Calibri" w:hAnsi="Tahoma" w:cs="Tahoma"/>
          <w:lang w:val="es-MX"/>
        </w:rPr>
        <w:t>carga</w:t>
      </w:r>
      <w:r w:rsidR="0070113C" w:rsidRPr="000E0F6E">
        <w:rPr>
          <w:rFonts w:ascii="Tahoma" w:eastAsia="Calibri" w:hAnsi="Tahoma" w:cs="Tahoma"/>
          <w:lang w:val="es-MX"/>
        </w:rPr>
        <w:t xml:space="preserve"> que deben asumir desde el mismo momento de la creación de los fondos</w:t>
      </w:r>
      <w:r w:rsidR="00400AAE" w:rsidRPr="000E0F6E">
        <w:rPr>
          <w:rFonts w:ascii="Tahoma" w:eastAsia="Calibri" w:hAnsi="Tahoma" w:cs="Tahoma"/>
          <w:lang w:val="es-MX"/>
        </w:rPr>
        <w:t>. R</w:t>
      </w:r>
      <w:r w:rsidR="00144783" w:rsidRPr="000E0F6E">
        <w:rPr>
          <w:rFonts w:ascii="Tahoma" w:eastAsia="Calibri" w:hAnsi="Tahoma" w:cs="Tahoma"/>
          <w:lang w:val="es-MX"/>
        </w:rPr>
        <w:t xml:space="preserve">ecordó que </w:t>
      </w:r>
      <w:r w:rsidR="005311FB" w:rsidRPr="000E0F6E">
        <w:rPr>
          <w:rFonts w:ascii="Tahoma" w:eastAsia="Calibri" w:hAnsi="Tahoma" w:cs="Tahoma"/>
          <w:lang w:val="es-MX"/>
        </w:rPr>
        <w:t>tratándose de ineficacias del tras</w:t>
      </w:r>
      <w:r w:rsidR="001B7EEE" w:rsidRPr="000E0F6E">
        <w:rPr>
          <w:rFonts w:ascii="Tahoma" w:eastAsia="Calibri" w:hAnsi="Tahoma" w:cs="Tahoma"/>
          <w:lang w:val="es-MX"/>
        </w:rPr>
        <w:t>l</w:t>
      </w:r>
      <w:r w:rsidR="005311FB" w:rsidRPr="000E0F6E">
        <w:rPr>
          <w:rFonts w:ascii="Tahoma" w:eastAsia="Calibri" w:hAnsi="Tahoma" w:cs="Tahoma"/>
          <w:lang w:val="es-MX"/>
        </w:rPr>
        <w:t xml:space="preserve">ado </w:t>
      </w:r>
      <w:r w:rsidRPr="000E0F6E">
        <w:rPr>
          <w:rFonts w:ascii="Tahoma" w:eastAsia="Calibri" w:hAnsi="Tahoma" w:cs="Tahoma"/>
          <w:lang w:val="es-MX"/>
        </w:rPr>
        <w:t>oper</w:t>
      </w:r>
      <w:r w:rsidR="005311FB" w:rsidRPr="000E0F6E">
        <w:rPr>
          <w:rFonts w:ascii="Tahoma" w:eastAsia="Calibri" w:hAnsi="Tahoma" w:cs="Tahoma"/>
          <w:lang w:val="es-MX"/>
        </w:rPr>
        <w:t>a</w:t>
      </w:r>
      <w:r w:rsidRPr="000E0F6E">
        <w:rPr>
          <w:rFonts w:ascii="Tahoma" w:eastAsia="Calibri" w:hAnsi="Tahoma" w:cs="Tahoma"/>
          <w:lang w:val="es-MX"/>
        </w:rPr>
        <w:t xml:space="preserve"> una inversión de carga </w:t>
      </w:r>
      <w:r w:rsidR="00270931" w:rsidRPr="000E0F6E">
        <w:rPr>
          <w:rFonts w:ascii="Tahoma" w:eastAsia="Calibri" w:hAnsi="Tahoma" w:cs="Tahoma"/>
          <w:lang w:val="es-MX"/>
        </w:rPr>
        <w:t xml:space="preserve">de la prueba correspondiéndole a la AFP </w:t>
      </w:r>
      <w:r w:rsidRPr="000E0F6E">
        <w:rPr>
          <w:rFonts w:ascii="Tahoma" w:eastAsia="Calibri" w:hAnsi="Tahoma" w:cs="Tahoma"/>
          <w:lang w:val="es-MX"/>
        </w:rPr>
        <w:t>demostrar que si brind</w:t>
      </w:r>
      <w:r w:rsidR="001B7EEE" w:rsidRPr="000E0F6E">
        <w:rPr>
          <w:rFonts w:ascii="Tahoma" w:eastAsia="Calibri" w:hAnsi="Tahoma" w:cs="Tahoma"/>
          <w:lang w:val="es-MX"/>
        </w:rPr>
        <w:t>ó</w:t>
      </w:r>
      <w:r w:rsidRPr="000E0F6E">
        <w:rPr>
          <w:rFonts w:ascii="Tahoma" w:eastAsia="Calibri" w:hAnsi="Tahoma" w:cs="Tahoma"/>
          <w:lang w:val="es-MX"/>
        </w:rPr>
        <w:t xml:space="preserve"> dicha información.</w:t>
      </w:r>
      <w:r w:rsidR="00270931" w:rsidRPr="000E0F6E">
        <w:rPr>
          <w:rFonts w:ascii="Tahoma" w:eastAsia="Calibri" w:hAnsi="Tahoma" w:cs="Tahoma"/>
          <w:lang w:val="es-MX"/>
        </w:rPr>
        <w:t xml:space="preserve"> Añadió que </w:t>
      </w:r>
      <w:r w:rsidR="00CB0FE3" w:rsidRPr="000E0F6E">
        <w:rPr>
          <w:rFonts w:ascii="Tahoma" w:eastAsia="Calibri" w:hAnsi="Tahoma" w:cs="Tahoma"/>
          <w:lang w:val="es-MX"/>
        </w:rPr>
        <w:t xml:space="preserve">tal </w:t>
      </w:r>
      <w:r w:rsidR="00CB0FE3" w:rsidRPr="000E0F6E">
        <w:rPr>
          <w:rFonts w:ascii="Tahoma" w:eastAsia="Calibri" w:hAnsi="Tahoma" w:cs="Tahoma"/>
          <w:lang w:val="es-MX"/>
        </w:rPr>
        <w:lastRenderedPageBreak/>
        <w:t xml:space="preserve">análisis se realiza con independencia </w:t>
      </w:r>
      <w:r w:rsidRPr="000E0F6E">
        <w:rPr>
          <w:rFonts w:ascii="Tahoma" w:eastAsia="Calibri" w:hAnsi="Tahoma" w:cs="Tahoma"/>
          <w:lang w:val="es-MX"/>
        </w:rPr>
        <w:t xml:space="preserve">de si el afiliado se encuentra o no amparado por el régimen de transición. Con respecto a la suscripción del formulario </w:t>
      </w:r>
      <w:r w:rsidR="00B059D5" w:rsidRPr="000E0F6E">
        <w:rPr>
          <w:rFonts w:ascii="Tahoma" w:eastAsia="Calibri" w:hAnsi="Tahoma" w:cs="Tahoma"/>
          <w:lang w:val="es-MX"/>
        </w:rPr>
        <w:t xml:space="preserve">expuso que no era </w:t>
      </w:r>
      <w:r w:rsidRPr="000E0F6E">
        <w:rPr>
          <w:rFonts w:ascii="Tahoma" w:eastAsia="Calibri" w:hAnsi="Tahoma" w:cs="Tahoma"/>
          <w:lang w:val="es-MX"/>
        </w:rPr>
        <w:t>prueba suficiente para demostrar la información que brind</w:t>
      </w:r>
      <w:r w:rsidR="006412B3" w:rsidRPr="000E0F6E">
        <w:rPr>
          <w:rFonts w:ascii="Tahoma" w:eastAsia="Calibri" w:hAnsi="Tahoma" w:cs="Tahoma"/>
          <w:lang w:val="es-MX"/>
        </w:rPr>
        <w:t>ó</w:t>
      </w:r>
      <w:r w:rsidRPr="000E0F6E">
        <w:rPr>
          <w:rFonts w:ascii="Tahoma" w:eastAsia="Calibri" w:hAnsi="Tahoma" w:cs="Tahoma"/>
          <w:lang w:val="es-MX"/>
        </w:rPr>
        <w:t xml:space="preserve"> el asesor al momento del traslado</w:t>
      </w:r>
      <w:r w:rsidR="00B059D5" w:rsidRPr="000E0F6E">
        <w:rPr>
          <w:rFonts w:ascii="Tahoma" w:eastAsia="Calibri" w:hAnsi="Tahoma" w:cs="Tahoma"/>
          <w:lang w:val="es-MX"/>
        </w:rPr>
        <w:t>.</w:t>
      </w:r>
    </w:p>
    <w:p w14:paraId="18272A74" w14:textId="31947092" w:rsidR="00B059D5" w:rsidRPr="000E0F6E" w:rsidRDefault="00B059D5" w:rsidP="000E0F6E">
      <w:pPr>
        <w:widowControl w:val="0"/>
        <w:autoSpaceDE w:val="0"/>
        <w:autoSpaceDN w:val="0"/>
        <w:spacing w:before="0" w:beforeAutospacing="0" w:after="0" w:afterAutospacing="0" w:line="276" w:lineRule="auto"/>
        <w:contextualSpacing/>
        <w:rPr>
          <w:rFonts w:ascii="Tahoma" w:eastAsia="Calibri" w:hAnsi="Tahoma" w:cs="Tahoma"/>
          <w:lang w:val="es-MX"/>
        </w:rPr>
      </w:pPr>
    </w:p>
    <w:p w14:paraId="0F3D6297" w14:textId="742DC7B0" w:rsidR="00133625" w:rsidRPr="000E0F6E" w:rsidRDefault="00782916" w:rsidP="000E0F6E">
      <w:pPr>
        <w:widowControl w:val="0"/>
        <w:autoSpaceDE w:val="0"/>
        <w:autoSpaceDN w:val="0"/>
        <w:spacing w:before="0" w:beforeAutospacing="0" w:after="0" w:afterAutospacing="0" w:line="276" w:lineRule="auto"/>
        <w:contextualSpacing/>
        <w:rPr>
          <w:rFonts w:ascii="Tahoma" w:eastAsia="Calibri" w:hAnsi="Tahoma" w:cs="Tahoma"/>
          <w:lang w:val="es-MX"/>
        </w:rPr>
      </w:pPr>
      <w:r w:rsidRPr="000E0F6E">
        <w:rPr>
          <w:rFonts w:ascii="Tahoma" w:eastAsia="Calibri" w:hAnsi="Tahoma" w:cs="Tahoma"/>
          <w:lang w:val="es-MX"/>
        </w:rPr>
        <w:t>En ese orden, precisó que en el caso objeto de estudio la AFP no cumplió con la carga de la prueba impuesta</w:t>
      </w:r>
      <w:r w:rsidR="00B72568" w:rsidRPr="000E0F6E">
        <w:rPr>
          <w:rFonts w:ascii="Tahoma" w:eastAsia="Calibri" w:hAnsi="Tahoma" w:cs="Tahoma"/>
          <w:lang w:val="es-MX"/>
        </w:rPr>
        <w:t xml:space="preserve">, debido a que </w:t>
      </w:r>
      <w:r w:rsidR="00A2077C" w:rsidRPr="000E0F6E">
        <w:rPr>
          <w:rFonts w:ascii="Tahoma" w:eastAsia="Calibri" w:hAnsi="Tahoma" w:cs="Tahoma"/>
          <w:lang w:val="es-MX"/>
        </w:rPr>
        <w:t>de</w:t>
      </w:r>
      <w:r w:rsidR="00B72568" w:rsidRPr="000E0F6E">
        <w:rPr>
          <w:rFonts w:ascii="Tahoma" w:eastAsia="Calibri" w:hAnsi="Tahoma" w:cs="Tahoma"/>
          <w:lang w:val="es-MX"/>
        </w:rPr>
        <w:t xml:space="preserve"> la prueba aportada al plenario no s</w:t>
      </w:r>
      <w:r w:rsidR="00A2077C" w:rsidRPr="000E0F6E">
        <w:rPr>
          <w:rFonts w:ascii="Tahoma" w:eastAsia="Calibri" w:hAnsi="Tahoma" w:cs="Tahoma"/>
          <w:lang w:val="es-MX"/>
        </w:rPr>
        <w:t>e desprende cuál fue la información que brindó el asesor de la AFP convocada a juicio</w:t>
      </w:r>
      <w:r w:rsidR="00070883" w:rsidRPr="000E0F6E">
        <w:rPr>
          <w:rFonts w:ascii="Tahoma" w:eastAsia="Calibri" w:hAnsi="Tahoma" w:cs="Tahoma"/>
          <w:lang w:val="es-MX"/>
        </w:rPr>
        <w:t xml:space="preserve">, </w:t>
      </w:r>
      <w:r w:rsidR="00133625" w:rsidRPr="000E0F6E">
        <w:rPr>
          <w:rFonts w:ascii="Tahoma" w:eastAsia="Calibri" w:hAnsi="Tahoma" w:cs="Tahoma"/>
          <w:lang w:val="es-MX"/>
        </w:rPr>
        <w:t>y rendido el interrogatorio de parte solo se corrobor</w:t>
      </w:r>
      <w:r w:rsidR="001701D0" w:rsidRPr="000E0F6E">
        <w:rPr>
          <w:rFonts w:ascii="Tahoma" w:eastAsia="Calibri" w:hAnsi="Tahoma" w:cs="Tahoma"/>
          <w:lang w:val="es-MX"/>
        </w:rPr>
        <w:t>ó</w:t>
      </w:r>
      <w:r w:rsidR="00133625" w:rsidRPr="000E0F6E">
        <w:rPr>
          <w:rFonts w:ascii="Tahoma" w:eastAsia="Calibri" w:hAnsi="Tahoma" w:cs="Tahoma"/>
          <w:lang w:val="es-MX"/>
        </w:rPr>
        <w:t xml:space="preserve"> el recuento efectuado en los hechos de la demanda</w:t>
      </w:r>
      <w:r w:rsidR="00EA58B3" w:rsidRPr="000E0F6E">
        <w:rPr>
          <w:rFonts w:ascii="Tahoma" w:eastAsia="Calibri" w:hAnsi="Tahoma" w:cs="Tahoma"/>
          <w:lang w:val="es-MX"/>
        </w:rPr>
        <w:t>, empero no derivó en prueba de confesión</w:t>
      </w:r>
      <w:r w:rsidR="00133625" w:rsidRPr="000E0F6E">
        <w:rPr>
          <w:rFonts w:ascii="Tahoma" w:eastAsia="Calibri" w:hAnsi="Tahoma" w:cs="Tahoma"/>
          <w:lang w:val="es-MX"/>
        </w:rPr>
        <w:t xml:space="preserve">. </w:t>
      </w:r>
    </w:p>
    <w:p w14:paraId="34E75280" w14:textId="2954C4B4" w:rsidR="001D328D" w:rsidRPr="000E0F6E" w:rsidRDefault="001D328D" w:rsidP="000E0F6E">
      <w:pPr>
        <w:widowControl w:val="0"/>
        <w:autoSpaceDE w:val="0"/>
        <w:autoSpaceDN w:val="0"/>
        <w:spacing w:before="0" w:beforeAutospacing="0" w:after="0" w:afterAutospacing="0" w:line="276" w:lineRule="auto"/>
        <w:contextualSpacing/>
        <w:rPr>
          <w:rFonts w:ascii="Tahoma" w:eastAsia="Calibri" w:hAnsi="Tahoma" w:cs="Tahoma"/>
          <w:lang w:val="es-MX"/>
        </w:rPr>
      </w:pPr>
    </w:p>
    <w:p w14:paraId="340AFCD1" w14:textId="77777777" w:rsidR="001D328D" w:rsidRPr="000E0F6E" w:rsidRDefault="001D328D" w:rsidP="000E0F6E">
      <w:pPr>
        <w:widowControl w:val="0"/>
        <w:autoSpaceDE w:val="0"/>
        <w:autoSpaceDN w:val="0"/>
        <w:spacing w:before="0" w:beforeAutospacing="0" w:after="0" w:afterAutospacing="0" w:line="276" w:lineRule="auto"/>
        <w:contextualSpacing/>
        <w:rPr>
          <w:rFonts w:ascii="Tahoma" w:eastAsia="Calibri" w:hAnsi="Tahoma" w:cs="Tahoma"/>
          <w:lang w:val="es-MX"/>
        </w:rPr>
      </w:pPr>
    </w:p>
    <w:p w14:paraId="0E6D8D37" w14:textId="74B989FA" w:rsidR="00171926" w:rsidRPr="00E60464" w:rsidRDefault="00171926" w:rsidP="00E60464">
      <w:pPr>
        <w:pStyle w:val="Prrafodelista"/>
        <w:numPr>
          <w:ilvl w:val="0"/>
          <w:numId w:val="1"/>
        </w:numPr>
        <w:spacing w:line="276" w:lineRule="auto"/>
        <w:ind w:left="426" w:hanging="426"/>
        <w:jc w:val="center"/>
        <w:rPr>
          <w:rFonts w:cs="Tahoma"/>
          <w:b/>
          <w:bCs/>
          <w:szCs w:val="24"/>
        </w:rPr>
      </w:pPr>
      <w:r w:rsidRPr="00E60464">
        <w:rPr>
          <w:rFonts w:cs="Tahoma"/>
          <w:b/>
          <w:bCs/>
          <w:szCs w:val="24"/>
        </w:rPr>
        <w:t>Recursos de apelación y procedencia de la consulta</w:t>
      </w:r>
    </w:p>
    <w:p w14:paraId="1BCF24FD" w14:textId="77777777" w:rsidR="00171926" w:rsidRPr="000E0F6E" w:rsidRDefault="00171926" w:rsidP="000E0F6E">
      <w:pPr>
        <w:widowControl w:val="0"/>
        <w:autoSpaceDE w:val="0"/>
        <w:autoSpaceDN w:val="0"/>
        <w:spacing w:before="0" w:beforeAutospacing="0" w:after="0" w:afterAutospacing="0" w:line="276" w:lineRule="auto"/>
        <w:contextualSpacing/>
        <w:rPr>
          <w:rFonts w:ascii="Tahoma" w:eastAsia="Calibri" w:hAnsi="Tahoma" w:cs="Tahoma"/>
          <w:lang w:val="es-ES"/>
        </w:rPr>
      </w:pPr>
    </w:p>
    <w:p w14:paraId="365E75ED" w14:textId="269D7E09" w:rsidR="00C8724B" w:rsidRPr="000E0F6E" w:rsidRDefault="008D0DE1" w:rsidP="000E0F6E">
      <w:pPr>
        <w:spacing w:before="0" w:beforeAutospacing="0" w:after="0" w:afterAutospacing="0" w:line="276" w:lineRule="auto"/>
        <w:rPr>
          <w:rFonts w:ascii="Tahoma" w:hAnsi="Tahoma" w:cs="Tahoma"/>
          <w:lang w:val="es-MX"/>
        </w:rPr>
      </w:pPr>
      <w:bookmarkStart w:id="6" w:name="_Hlk110502993"/>
      <w:r w:rsidRPr="000E0F6E">
        <w:rPr>
          <w:rFonts w:ascii="Tahoma" w:hAnsi="Tahoma" w:cs="Tahoma"/>
          <w:b/>
          <w:bCs/>
          <w:lang w:val="es-MX"/>
        </w:rPr>
        <w:t>Protección S.A.</w:t>
      </w:r>
      <w:r w:rsidRPr="000E0F6E">
        <w:rPr>
          <w:rFonts w:ascii="Tahoma" w:hAnsi="Tahoma" w:cs="Tahoma"/>
          <w:lang w:val="es-MX"/>
        </w:rPr>
        <w:t xml:space="preserve"> atacó la decisión adoptada por el despacho argumentando</w:t>
      </w:r>
      <w:r w:rsidR="00C8724B" w:rsidRPr="000E0F6E">
        <w:rPr>
          <w:rFonts w:ascii="Tahoma" w:hAnsi="Tahoma" w:cs="Tahoma"/>
          <w:lang w:val="es-MX"/>
        </w:rPr>
        <w:t xml:space="preserve"> que la motivación del litigio es económica debido a la diferencia pensional entre ambos regímenes</w:t>
      </w:r>
      <w:r w:rsidR="00C7152D" w:rsidRPr="000E0F6E">
        <w:rPr>
          <w:rFonts w:ascii="Tahoma" w:hAnsi="Tahoma" w:cs="Tahoma"/>
          <w:lang w:val="es-MX"/>
        </w:rPr>
        <w:t>. Reiteró su inconformidad respecto de la</w:t>
      </w:r>
      <w:r w:rsidR="001B7EEE" w:rsidRPr="000E0F6E">
        <w:rPr>
          <w:rFonts w:ascii="Tahoma" w:hAnsi="Tahoma" w:cs="Tahoma"/>
          <w:lang w:val="es-MX"/>
        </w:rPr>
        <w:t>s</w:t>
      </w:r>
      <w:r w:rsidR="00C7152D" w:rsidRPr="000E0F6E">
        <w:rPr>
          <w:rFonts w:ascii="Tahoma" w:hAnsi="Tahoma" w:cs="Tahoma"/>
          <w:lang w:val="es-MX"/>
        </w:rPr>
        <w:t xml:space="preserve"> condenas accesorias, esto es</w:t>
      </w:r>
      <w:r w:rsidR="001B7EEE" w:rsidRPr="000E0F6E">
        <w:rPr>
          <w:rFonts w:ascii="Tahoma" w:hAnsi="Tahoma" w:cs="Tahoma"/>
          <w:lang w:val="es-MX"/>
        </w:rPr>
        <w:t>,</w:t>
      </w:r>
      <w:r w:rsidR="00C7152D" w:rsidRPr="000E0F6E">
        <w:rPr>
          <w:rFonts w:ascii="Tahoma" w:hAnsi="Tahoma" w:cs="Tahoma"/>
          <w:lang w:val="es-MX"/>
        </w:rPr>
        <w:t xml:space="preserve"> </w:t>
      </w:r>
      <w:r w:rsidR="0004097D" w:rsidRPr="000E0F6E">
        <w:rPr>
          <w:rFonts w:ascii="Tahoma" w:hAnsi="Tahoma" w:cs="Tahoma"/>
          <w:lang w:val="es-MX"/>
        </w:rPr>
        <w:t xml:space="preserve">la devolución de los gastos de administración que se realizaron con sujeción al artículo 20 de la ley 100 de 1993, modificado por el artículo 12 de la ley 797 de 2003, </w:t>
      </w:r>
      <w:r w:rsidR="00B9209C" w:rsidRPr="000E0F6E">
        <w:rPr>
          <w:rFonts w:ascii="Tahoma" w:hAnsi="Tahoma" w:cs="Tahoma"/>
          <w:lang w:val="es-MX"/>
        </w:rPr>
        <w:t xml:space="preserve">y el artículo </w:t>
      </w:r>
      <w:r w:rsidR="0071533C" w:rsidRPr="000E0F6E">
        <w:rPr>
          <w:rFonts w:ascii="Tahoma" w:hAnsi="Tahoma" w:cs="Tahoma"/>
          <w:lang w:val="es-MX"/>
        </w:rPr>
        <w:t xml:space="preserve">1746 del Código Civil </w:t>
      </w:r>
      <w:r w:rsidR="00A46D9F" w:rsidRPr="000E0F6E">
        <w:rPr>
          <w:rFonts w:ascii="Tahoma" w:hAnsi="Tahoma" w:cs="Tahoma"/>
          <w:lang w:val="es-MX"/>
        </w:rPr>
        <w:t xml:space="preserve">que son </w:t>
      </w:r>
      <w:r w:rsidR="0004097D" w:rsidRPr="000E0F6E">
        <w:rPr>
          <w:rFonts w:ascii="Tahoma" w:hAnsi="Tahoma" w:cs="Tahoma"/>
          <w:lang w:val="es-MX"/>
        </w:rPr>
        <w:t>de orden público y de obligatorio cumplimiento</w:t>
      </w:r>
      <w:r w:rsidR="001B7EEE" w:rsidRPr="000E0F6E">
        <w:rPr>
          <w:rFonts w:ascii="Tahoma" w:hAnsi="Tahoma" w:cs="Tahoma"/>
          <w:lang w:val="es-MX"/>
        </w:rPr>
        <w:t xml:space="preserve">; </w:t>
      </w:r>
      <w:r w:rsidR="006A0079" w:rsidRPr="000E0F6E">
        <w:rPr>
          <w:rFonts w:ascii="Tahoma" w:hAnsi="Tahoma" w:cs="Tahoma"/>
          <w:lang w:val="es-MX"/>
        </w:rPr>
        <w:t>afirma que dicha condena con cargo a los recursos d</w:t>
      </w:r>
      <w:r w:rsidR="007335FF" w:rsidRPr="000E0F6E">
        <w:rPr>
          <w:rFonts w:ascii="Tahoma" w:hAnsi="Tahoma" w:cs="Tahoma"/>
          <w:lang w:val="es-MX"/>
        </w:rPr>
        <w:t>e la AFP acarrea una sanción que no est</w:t>
      </w:r>
      <w:r w:rsidR="00787F83" w:rsidRPr="000E0F6E">
        <w:rPr>
          <w:rFonts w:ascii="Tahoma" w:hAnsi="Tahoma" w:cs="Tahoma"/>
          <w:lang w:val="es-MX"/>
        </w:rPr>
        <w:t>á</w:t>
      </w:r>
      <w:r w:rsidR="007335FF" w:rsidRPr="000E0F6E">
        <w:rPr>
          <w:rFonts w:ascii="Tahoma" w:hAnsi="Tahoma" w:cs="Tahoma"/>
          <w:lang w:val="es-MX"/>
        </w:rPr>
        <w:t xml:space="preserve"> contemplada en el ordenamiento jurídico</w:t>
      </w:r>
      <w:r w:rsidR="00032126" w:rsidRPr="000E0F6E">
        <w:rPr>
          <w:rFonts w:ascii="Tahoma" w:hAnsi="Tahoma" w:cs="Tahoma"/>
          <w:lang w:val="es-MX"/>
        </w:rPr>
        <w:t>, y la normatividad civil pr</w:t>
      </w:r>
      <w:r w:rsidR="001B7EEE" w:rsidRPr="000E0F6E">
        <w:rPr>
          <w:rFonts w:ascii="Tahoma" w:hAnsi="Tahoma" w:cs="Tahoma"/>
          <w:lang w:val="es-MX"/>
        </w:rPr>
        <w:t>o</w:t>
      </w:r>
      <w:r w:rsidR="00032126" w:rsidRPr="000E0F6E">
        <w:rPr>
          <w:rFonts w:ascii="Tahoma" w:hAnsi="Tahoma" w:cs="Tahoma"/>
          <w:lang w:val="es-MX"/>
        </w:rPr>
        <w:t>scribe obligaciones y restituciones mutuas que se imponen de forma unilateral al fondo de pensiones</w:t>
      </w:r>
      <w:r w:rsidR="00671DD8" w:rsidRPr="000E0F6E">
        <w:rPr>
          <w:rFonts w:ascii="Tahoma" w:hAnsi="Tahoma" w:cs="Tahoma"/>
          <w:lang w:val="es-MX"/>
        </w:rPr>
        <w:t xml:space="preserve">, </w:t>
      </w:r>
      <w:r w:rsidR="009E5780" w:rsidRPr="000E0F6E">
        <w:rPr>
          <w:rFonts w:ascii="Tahoma" w:hAnsi="Tahoma" w:cs="Tahoma"/>
          <w:lang w:val="es-MX"/>
        </w:rPr>
        <w:t>por lo que la decisión adoptada</w:t>
      </w:r>
      <w:r w:rsidR="00671DD8" w:rsidRPr="000E0F6E">
        <w:rPr>
          <w:rFonts w:ascii="Tahoma" w:hAnsi="Tahoma" w:cs="Tahoma"/>
          <w:lang w:val="es-MX"/>
        </w:rPr>
        <w:t xml:space="preserve"> vulnera el precedente sentado en la sentencia de la Sala de Casación Laboral de septiembre de 2008 del </w:t>
      </w:r>
      <w:r w:rsidR="009676C7" w:rsidRPr="000E0F6E">
        <w:rPr>
          <w:rFonts w:ascii="Tahoma" w:hAnsi="Tahoma" w:cs="Tahoma"/>
          <w:lang w:val="es-MX"/>
        </w:rPr>
        <w:t xml:space="preserve">M.P. </w:t>
      </w:r>
      <w:r w:rsidR="00671DD8" w:rsidRPr="000E0F6E">
        <w:rPr>
          <w:rFonts w:ascii="Tahoma" w:hAnsi="Tahoma" w:cs="Tahoma"/>
          <w:lang w:val="es-MX"/>
        </w:rPr>
        <w:t>Eduardo López Villegas</w:t>
      </w:r>
      <w:r w:rsidR="009676C7" w:rsidRPr="000E0F6E">
        <w:rPr>
          <w:rFonts w:ascii="Tahoma" w:hAnsi="Tahoma" w:cs="Tahoma"/>
          <w:lang w:val="es-MX"/>
        </w:rPr>
        <w:t>, según el cual habría lugar a considerar que los gastos de administración deben tenerse como prestaciones acaecidas.</w:t>
      </w:r>
    </w:p>
    <w:p w14:paraId="528000E3" w14:textId="6274399B" w:rsidR="35BAC329" w:rsidRPr="000E0F6E" w:rsidRDefault="35BAC329" w:rsidP="000E0F6E">
      <w:pPr>
        <w:spacing w:before="0" w:beforeAutospacing="0" w:after="0" w:afterAutospacing="0" w:line="276" w:lineRule="auto"/>
        <w:rPr>
          <w:rFonts w:ascii="Tahoma" w:hAnsi="Tahoma" w:cs="Tahoma"/>
          <w:lang w:val="es-MX"/>
        </w:rPr>
      </w:pPr>
    </w:p>
    <w:p w14:paraId="22342540" w14:textId="6E1960DE" w:rsidR="00775466" w:rsidRPr="000E0F6E" w:rsidRDefault="00775466" w:rsidP="000E0F6E">
      <w:pPr>
        <w:spacing w:before="0" w:beforeAutospacing="0" w:after="0" w:afterAutospacing="0" w:line="276" w:lineRule="auto"/>
        <w:rPr>
          <w:rFonts w:ascii="Tahoma" w:hAnsi="Tahoma" w:cs="Tahoma"/>
          <w:lang w:val="es-MX"/>
        </w:rPr>
      </w:pPr>
      <w:r w:rsidRPr="000E0F6E">
        <w:rPr>
          <w:rFonts w:ascii="Tahoma" w:hAnsi="Tahoma" w:cs="Tahoma"/>
          <w:lang w:val="es-MX"/>
        </w:rPr>
        <w:t>Asevera que la sentencia desconoce el principio de congruencia</w:t>
      </w:r>
      <w:r w:rsidR="00E53962" w:rsidRPr="000E0F6E">
        <w:rPr>
          <w:rFonts w:ascii="Tahoma" w:hAnsi="Tahoma" w:cs="Tahoma"/>
          <w:lang w:val="es-MX"/>
        </w:rPr>
        <w:t xml:space="preserve"> y el artículo 50 del CPT</w:t>
      </w:r>
      <w:r w:rsidR="000E407B" w:rsidRPr="000E0F6E">
        <w:rPr>
          <w:rFonts w:ascii="Tahoma" w:hAnsi="Tahoma" w:cs="Tahoma"/>
          <w:lang w:val="es-MX"/>
        </w:rPr>
        <w:t>SS</w:t>
      </w:r>
      <w:r w:rsidRPr="000E0F6E">
        <w:rPr>
          <w:rFonts w:ascii="Tahoma" w:hAnsi="Tahoma" w:cs="Tahoma"/>
          <w:lang w:val="es-MX"/>
        </w:rPr>
        <w:t xml:space="preserve"> porque </w:t>
      </w:r>
      <w:r w:rsidR="007A63AC" w:rsidRPr="000E0F6E">
        <w:rPr>
          <w:rFonts w:ascii="Tahoma" w:hAnsi="Tahoma" w:cs="Tahoma"/>
          <w:lang w:val="es-MX"/>
        </w:rPr>
        <w:t>de</w:t>
      </w:r>
      <w:r w:rsidR="00482F8A" w:rsidRPr="000E0F6E">
        <w:rPr>
          <w:rFonts w:ascii="Tahoma" w:hAnsi="Tahoma" w:cs="Tahoma"/>
          <w:lang w:val="es-MX"/>
        </w:rPr>
        <w:t xml:space="preserve">ntro de las pretensiones se hace alusión a la ineficacia, pero no se solicita el </w:t>
      </w:r>
      <w:r w:rsidR="00E53962" w:rsidRPr="000E0F6E">
        <w:rPr>
          <w:rFonts w:ascii="Tahoma" w:hAnsi="Tahoma" w:cs="Tahoma"/>
          <w:lang w:val="es-MX"/>
        </w:rPr>
        <w:t xml:space="preserve">reintegro de los gastos de </w:t>
      </w:r>
      <w:r w:rsidR="000E407B" w:rsidRPr="000E0F6E">
        <w:rPr>
          <w:rFonts w:ascii="Tahoma" w:hAnsi="Tahoma" w:cs="Tahoma"/>
          <w:lang w:val="es-MX"/>
        </w:rPr>
        <w:t>administración, también desconoce la teoría de los actos propios como lo es la vinculación al RAIS</w:t>
      </w:r>
      <w:r w:rsidR="00B9591B" w:rsidRPr="000E0F6E">
        <w:rPr>
          <w:rFonts w:ascii="Tahoma" w:hAnsi="Tahoma" w:cs="Tahoma"/>
          <w:lang w:val="es-MX"/>
        </w:rPr>
        <w:t>, aunado al principio de igualdad, debido proceso y caducidad.</w:t>
      </w:r>
    </w:p>
    <w:p w14:paraId="597DFF73" w14:textId="3DE49096" w:rsidR="35BAC329" w:rsidRPr="000E0F6E" w:rsidRDefault="35BAC329" w:rsidP="000E0F6E">
      <w:pPr>
        <w:spacing w:before="0" w:beforeAutospacing="0" w:after="0" w:afterAutospacing="0" w:line="276" w:lineRule="auto"/>
        <w:rPr>
          <w:rFonts w:ascii="Tahoma" w:hAnsi="Tahoma" w:cs="Tahoma"/>
          <w:lang w:val="es-MX"/>
        </w:rPr>
      </w:pPr>
    </w:p>
    <w:p w14:paraId="1A833A8A" w14:textId="61203949" w:rsidR="008D0DE1" w:rsidRPr="000E0F6E" w:rsidRDefault="008D0DE1" w:rsidP="000E0F6E">
      <w:pPr>
        <w:spacing w:before="0" w:beforeAutospacing="0" w:after="0" w:afterAutospacing="0" w:line="276" w:lineRule="auto"/>
        <w:rPr>
          <w:rFonts w:ascii="Tahoma" w:hAnsi="Tahoma" w:cs="Tahoma"/>
          <w:lang w:val="es-MX"/>
        </w:rPr>
      </w:pPr>
      <w:r w:rsidRPr="000E0F6E">
        <w:rPr>
          <w:rFonts w:ascii="Tahoma" w:hAnsi="Tahoma" w:cs="Tahoma"/>
          <w:b/>
          <w:bCs/>
          <w:lang w:val="es-MX"/>
        </w:rPr>
        <w:t>Colpensiones</w:t>
      </w:r>
      <w:r w:rsidRPr="000E0F6E">
        <w:rPr>
          <w:rFonts w:ascii="Tahoma" w:hAnsi="Tahoma" w:cs="Tahoma"/>
          <w:lang w:val="es-MX"/>
        </w:rPr>
        <w:t xml:space="preserve"> por su parte</w:t>
      </w:r>
      <w:r w:rsidR="000B5DBA" w:rsidRPr="000E0F6E">
        <w:rPr>
          <w:rFonts w:ascii="Tahoma" w:hAnsi="Tahoma" w:cs="Tahoma"/>
          <w:lang w:val="es-MX"/>
        </w:rPr>
        <w:t>,</w:t>
      </w:r>
      <w:r w:rsidRPr="000E0F6E">
        <w:rPr>
          <w:rFonts w:ascii="Tahoma" w:hAnsi="Tahoma" w:cs="Tahoma"/>
          <w:lang w:val="es-MX"/>
        </w:rPr>
        <w:t xml:space="preserve"> </w:t>
      </w:r>
      <w:r w:rsidR="000B5DBA" w:rsidRPr="000E0F6E">
        <w:rPr>
          <w:rFonts w:ascii="Tahoma" w:hAnsi="Tahoma" w:cs="Tahoma"/>
          <w:lang w:val="es-MX"/>
        </w:rPr>
        <w:t>a</w:t>
      </w:r>
      <w:r w:rsidR="007C70D9" w:rsidRPr="000E0F6E">
        <w:rPr>
          <w:rFonts w:ascii="Tahoma" w:hAnsi="Tahoma" w:cs="Tahoma"/>
          <w:lang w:val="es-MX"/>
        </w:rPr>
        <w:t xml:space="preserve">firma que </w:t>
      </w:r>
      <w:r w:rsidRPr="000E0F6E">
        <w:rPr>
          <w:rFonts w:ascii="Tahoma" w:hAnsi="Tahoma" w:cs="Tahoma"/>
          <w:lang w:val="es-MX"/>
        </w:rPr>
        <w:t xml:space="preserve">se le impone </w:t>
      </w:r>
      <w:r w:rsidR="00F65740" w:rsidRPr="000E0F6E">
        <w:rPr>
          <w:rFonts w:ascii="Tahoma" w:hAnsi="Tahoma" w:cs="Tahoma"/>
          <w:lang w:val="es-MX"/>
        </w:rPr>
        <w:t>la</w:t>
      </w:r>
      <w:r w:rsidRPr="000E0F6E">
        <w:rPr>
          <w:rFonts w:ascii="Tahoma" w:hAnsi="Tahoma" w:cs="Tahoma"/>
          <w:lang w:val="es-MX"/>
        </w:rPr>
        <w:t xml:space="preserve"> carga de resarcir un daño que no caus</w:t>
      </w:r>
      <w:r w:rsidR="00FD5936" w:rsidRPr="000E0F6E">
        <w:rPr>
          <w:rFonts w:ascii="Tahoma" w:hAnsi="Tahoma" w:cs="Tahoma"/>
          <w:lang w:val="es-MX"/>
        </w:rPr>
        <w:t>ó</w:t>
      </w:r>
      <w:r w:rsidRPr="000E0F6E">
        <w:rPr>
          <w:rFonts w:ascii="Tahoma" w:hAnsi="Tahoma" w:cs="Tahoma"/>
          <w:lang w:val="es-MX"/>
        </w:rPr>
        <w:t xml:space="preserve"> y que se da como consecuencia de la decisión de un</w:t>
      </w:r>
      <w:r w:rsidR="007C70D9" w:rsidRPr="000E0F6E">
        <w:rPr>
          <w:rFonts w:ascii="Tahoma" w:hAnsi="Tahoma" w:cs="Tahoma"/>
          <w:lang w:val="es-MX"/>
        </w:rPr>
        <w:t xml:space="preserve"> </w:t>
      </w:r>
      <w:r w:rsidRPr="000E0F6E">
        <w:rPr>
          <w:rFonts w:ascii="Tahoma" w:hAnsi="Tahoma" w:cs="Tahoma"/>
          <w:lang w:val="es-MX"/>
        </w:rPr>
        <w:t>afiliad</w:t>
      </w:r>
      <w:r w:rsidR="007C70D9" w:rsidRPr="000E0F6E">
        <w:rPr>
          <w:rFonts w:ascii="Tahoma" w:hAnsi="Tahoma" w:cs="Tahoma"/>
          <w:lang w:val="es-MX"/>
        </w:rPr>
        <w:t>o</w:t>
      </w:r>
      <w:r w:rsidRPr="000E0F6E">
        <w:rPr>
          <w:rFonts w:ascii="Tahoma" w:hAnsi="Tahoma" w:cs="Tahoma"/>
          <w:lang w:val="es-MX"/>
        </w:rPr>
        <w:t xml:space="preserve"> que </w:t>
      </w:r>
      <w:r w:rsidR="0007717E" w:rsidRPr="000E0F6E">
        <w:rPr>
          <w:rFonts w:ascii="Tahoma" w:hAnsi="Tahoma" w:cs="Tahoma"/>
          <w:lang w:val="es-MX"/>
        </w:rPr>
        <w:t>sólo</w:t>
      </w:r>
      <w:r w:rsidRPr="000E0F6E">
        <w:rPr>
          <w:rFonts w:ascii="Tahoma" w:hAnsi="Tahoma" w:cs="Tahoma"/>
          <w:lang w:val="es-MX"/>
        </w:rPr>
        <w:t xml:space="preserve"> </w:t>
      </w:r>
      <w:r w:rsidR="00FD5936" w:rsidRPr="000E0F6E">
        <w:rPr>
          <w:rFonts w:ascii="Tahoma" w:hAnsi="Tahoma" w:cs="Tahoma"/>
          <w:lang w:val="es-MX"/>
        </w:rPr>
        <w:t xml:space="preserve">se </w:t>
      </w:r>
      <w:r w:rsidRPr="000E0F6E">
        <w:rPr>
          <w:rFonts w:ascii="Tahoma" w:hAnsi="Tahoma" w:cs="Tahoma"/>
          <w:lang w:val="es-MX"/>
        </w:rPr>
        <w:t>interes</w:t>
      </w:r>
      <w:r w:rsidR="00FD5936" w:rsidRPr="000E0F6E">
        <w:rPr>
          <w:rFonts w:ascii="Tahoma" w:hAnsi="Tahoma" w:cs="Tahoma"/>
          <w:lang w:val="es-MX"/>
        </w:rPr>
        <w:t>ó</w:t>
      </w:r>
      <w:r w:rsidRPr="000E0F6E">
        <w:rPr>
          <w:rFonts w:ascii="Tahoma" w:hAnsi="Tahoma" w:cs="Tahoma"/>
          <w:lang w:val="es-MX"/>
        </w:rPr>
        <w:t xml:space="preserve"> en retornar al régimen </w:t>
      </w:r>
      <w:r w:rsidR="0007717E" w:rsidRPr="000E0F6E">
        <w:rPr>
          <w:rFonts w:ascii="Tahoma" w:hAnsi="Tahoma" w:cs="Tahoma"/>
          <w:lang w:val="es-MX"/>
        </w:rPr>
        <w:t>cuando</w:t>
      </w:r>
      <w:r w:rsidRPr="000E0F6E">
        <w:rPr>
          <w:rFonts w:ascii="Tahoma" w:hAnsi="Tahoma" w:cs="Tahoma"/>
          <w:lang w:val="es-MX"/>
        </w:rPr>
        <w:t xml:space="preserve"> evidenci</w:t>
      </w:r>
      <w:r w:rsidR="00FD5B61" w:rsidRPr="000E0F6E">
        <w:rPr>
          <w:rFonts w:ascii="Tahoma" w:hAnsi="Tahoma" w:cs="Tahoma"/>
          <w:lang w:val="es-MX"/>
        </w:rPr>
        <w:t>ó</w:t>
      </w:r>
      <w:r w:rsidRPr="000E0F6E">
        <w:rPr>
          <w:rFonts w:ascii="Tahoma" w:hAnsi="Tahoma" w:cs="Tahoma"/>
          <w:lang w:val="es-MX"/>
        </w:rPr>
        <w:t xml:space="preserve"> un perjuicio económico</w:t>
      </w:r>
      <w:r w:rsidR="007C70D9" w:rsidRPr="000E0F6E">
        <w:rPr>
          <w:rFonts w:ascii="Tahoma" w:hAnsi="Tahoma" w:cs="Tahoma"/>
          <w:lang w:val="es-MX"/>
        </w:rPr>
        <w:t xml:space="preserve">. Arguye que el interrogatorio de parte no puede tenerse como único medio de prueba para acceder a lo pedido por el actor, ya que </w:t>
      </w:r>
      <w:r w:rsidR="0007717E" w:rsidRPr="000E0F6E">
        <w:rPr>
          <w:rFonts w:ascii="Tahoma" w:hAnsi="Tahoma" w:cs="Tahoma"/>
          <w:lang w:val="es-MX"/>
        </w:rPr>
        <w:t>aquél</w:t>
      </w:r>
      <w:r w:rsidR="00144893" w:rsidRPr="000E0F6E">
        <w:rPr>
          <w:rFonts w:ascii="Tahoma" w:hAnsi="Tahoma" w:cs="Tahoma"/>
          <w:lang w:val="es-MX"/>
        </w:rPr>
        <w:t xml:space="preserve"> </w:t>
      </w:r>
      <w:r w:rsidR="007C70D9" w:rsidRPr="000E0F6E">
        <w:rPr>
          <w:rFonts w:ascii="Tahoma" w:hAnsi="Tahoma" w:cs="Tahoma"/>
          <w:lang w:val="es-MX"/>
        </w:rPr>
        <w:t xml:space="preserve">no puede </w:t>
      </w:r>
      <w:r w:rsidR="009141B9" w:rsidRPr="000E0F6E">
        <w:rPr>
          <w:rFonts w:ascii="Tahoma" w:hAnsi="Tahoma" w:cs="Tahoma"/>
          <w:lang w:val="es-MX"/>
        </w:rPr>
        <w:t>constituir su propia prueba.</w:t>
      </w:r>
    </w:p>
    <w:p w14:paraId="7EDEBFB1" w14:textId="6BADD161" w:rsidR="35BAC329" w:rsidRPr="000E0F6E" w:rsidRDefault="35BAC329" w:rsidP="000E0F6E">
      <w:pPr>
        <w:spacing w:before="0" w:beforeAutospacing="0" w:after="0" w:afterAutospacing="0" w:line="276" w:lineRule="auto"/>
        <w:rPr>
          <w:rFonts w:ascii="Tahoma" w:hAnsi="Tahoma" w:cs="Tahoma"/>
          <w:lang w:val="es-MX"/>
        </w:rPr>
      </w:pPr>
    </w:p>
    <w:p w14:paraId="7169FAA6" w14:textId="7F3E5539" w:rsidR="009141B9" w:rsidRPr="000E0F6E" w:rsidRDefault="009141B9" w:rsidP="000E0F6E">
      <w:pPr>
        <w:spacing w:before="0" w:beforeAutospacing="0" w:after="0" w:afterAutospacing="0" w:line="276" w:lineRule="auto"/>
        <w:rPr>
          <w:rFonts w:ascii="Tahoma" w:hAnsi="Tahoma" w:cs="Tahoma"/>
          <w:lang w:val="es-MX"/>
        </w:rPr>
      </w:pPr>
      <w:r w:rsidRPr="000E0F6E">
        <w:rPr>
          <w:rFonts w:ascii="Tahoma" w:hAnsi="Tahoma" w:cs="Tahoma"/>
          <w:lang w:val="es-MX"/>
        </w:rPr>
        <w:t xml:space="preserve">Expone que el </w:t>
      </w:r>
      <w:r w:rsidR="00B6622F" w:rsidRPr="000E0F6E">
        <w:rPr>
          <w:rFonts w:ascii="Tahoma" w:hAnsi="Tahoma" w:cs="Tahoma"/>
          <w:lang w:val="es-MX"/>
        </w:rPr>
        <w:t xml:space="preserve">accionante </w:t>
      </w:r>
      <w:r w:rsidRPr="000E0F6E">
        <w:rPr>
          <w:rFonts w:ascii="Tahoma" w:hAnsi="Tahoma" w:cs="Tahoma"/>
          <w:lang w:val="es-MX"/>
        </w:rPr>
        <w:t>ejecutó actos de relacionamiento por medio de comunicaciones con la AFP</w:t>
      </w:r>
      <w:r w:rsidR="00F85F49" w:rsidRPr="000E0F6E">
        <w:rPr>
          <w:rFonts w:ascii="Tahoma" w:hAnsi="Tahoma" w:cs="Tahoma"/>
          <w:lang w:val="es-MX"/>
        </w:rPr>
        <w:t xml:space="preserve"> y </w:t>
      </w:r>
      <w:r w:rsidRPr="000E0F6E">
        <w:rPr>
          <w:rFonts w:ascii="Tahoma" w:hAnsi="Tahoma" w:cs="Tahoma"/>
          <w:lang w:val="es-MX"/>
        </w:rPr>
        <w:t>actualización de datos</w:t>
      </w:r>
      <w:r w:rsidR="00F85F49" w:rsidRPr="000E0F6E">
        <w:rPr>
          <w:rFonts w:ascii="Tahoma" w:hAnsi="Tahoma" w:cs="Tahoma"/>
          <w:lang w:val="es-MX"/>
        </w:rPr>
        <w:t>, solicitando que se aplique el precedente adoptado en las sentencias SL 375</w:t>
      </w:r>
      <w:r w:rsidR="00E82B84" w:rsidRPr="000E0F6E">
        <w:rPr>
          <w:rFonts w:ascii="Tahoma" w:hAnsi="Tahoma" w:cs="Tahoma"/>
          <w:lang w:val="es-MX"/>
        </w:rPr>
        <w:t>2</w:t>
      </w:r>
      <w:r w:rsidR="00F85F49" w:rsidRPr="000E0F6E">
        <w:rPr>
          <w:rFonts w:ascii="Tahoma" w:hAnsi="Tahoma" w:cs="Tahoma"/>
          <w:lang w:val="es-MX"/>
        </w:rPr>
        <w:t xml:space="preserve"> del 15 de septiembre de 2020, M.P. </w:t>
      </w:r>
      <w:r w:rsidR="0007717E" w:rsidRPr="000E0F6E">
        <w:rPr>
          <w:rFonts w:ascii="Tahoma" w:hAnsi="Tahoma" w:cs="Tahoma"/>
          <w:lang w:val="es-MX"/>
        </w:rPr>
        <w:t xml:space="preserve">Ana </w:t>
      </w:r>
      <w:r w:rsidR="00F85F49" w:rsidRPr="000E0F6E">
        <w:rPr>
          <w:rFonts w:ascii="Tahoma" w:hAnsi="Tahoma" w:cs="Tahoma"/>
          <w:lang w:val="es-MX"/>
        </w:rPr>
        <w:t>María Muñoz Segura</w:t>
      </w:r>
      <w:r w:rsidR="00B6622F" w:rsidRPr="000E0F6E">
        <w:rPr>
          <w:rFonts w:ascii="Tahoma" w:hAnsi="Tahoma" w:cs="Tahoma"/>
          <w:lang w:val="es-MX"/>
        </w:rPr>
        <w:t xml:space="preserve"> y la sentencia </w:t>
      </w:r>
      <w:r w:rsidR="00532671" w:rsidRPr="000E0F6E">
        <w:rPr>
          <w:rFonts w:ascii="Tahoma" w:hAnsi="Tahoma" w:cs="Tahoma"/>
          <w:lang w:val="es-MX"/>
        </w:rPr>
        <w:t xml:space="preserve">C- </w:t>
      </w:r>
      <w:r w:rsidR="007745EE" w:rsidRPr="000E0F6E">
        <w:rPr>
          <w:rFonts w:ascii="Tahoma" w:hAnsi="Tahoma" w:cs="Tahoma"/>
          <w:lang w:val="es-MX"/>
        </w:rPr>
        <w:t>10</w:t>
      </w:r>
      <w:r w:rsidR="00532671" w:rsidRPr="000E0F6E">
        <w:rPr>
          <w:rFonts w:ascii="Tahoma" w:hAnsi="Tahoma" w:cs="Tahoma"/>
          <w:lang w:val="es-MX"/>
        </w:rPr>
        <w:t xml:space="preserve">24 de 2004 donde se expuso que la razón </w:t>
      </w:r>
      <w:r w:rsidR="00532671" w:rsidRPr="000E0F6E">
        <w:rPr>
          <w:rFonts w:ascii="Tahoma" w:hAnsi="Tahoma" w:cs="Tahoma"/>
          <w:lang w:val="es-MX"/>
        </w:rPr>
        <w:lastRenderedPageBreak/>
        <w:t xml:space="preserve">para limitar temporalmente el traslado </w:t>
      </w:r>
      <w:r w:rsidR="00884609" w:rsidRPr="000E0F6E">
        <w:rPr>
          <w:rFonts w:ascii="Tahoma" w:hAnsi="Tahoma" w:cs="Tahoma"/>
          <w:lang w:val="es-MX"/>
        </w:rPr>
        <w:t xml:space="preserve">se debe a la necesidad de </w:t>
      </w:r>
      <w:r w:rsidR="007745EE" w:rsidRPr="000E0F6E">
        <w:rPr>
          <w:rFonts w:ascii="Tahoma" w:hAnsi="Tahoma" w:cs="Tahoma"/>
          <w:lang w:val="es-MX"/>
        </w:rPr>
        <w:t>garantizar la abierta competencia entre regímenes y la sostenibilidad financiera del sistema</w:t>
      </w:r>
      <w:r w:rsidR="00A01AF7" w:rsidRPr="000E0F6E">
        <w:rPr>
          <w:rFonts w:ascii="Tahoma" w:hAnsi="Tahoma" w:cs="Tahoma"/>
          <w:lang w:val="es-MX"/>
        </w:rPr>
        <w:t>.</w:t>
      </w:r>
    </w:p>
    <w:p w14:paraId="181CD218" w14:textId="4B6D0B42" w:rsidR="35BAC329" w:rsidRPr="000E0F6E" w:rsidRDefault="35BAC329" w:rsidP="000E0F6E">
      <w:pPr>
        <w:spacing w:before="0" w:beforeAutospacing="0" w:after="0" w:afterAutospacing="0" w:line="276" w:lineRule="auto"/>
        <w:rPr>
          <w:rFonts w:ascii="Tahoma" w:hAnsi="Tahoma" w:cs="Tahoma"/>
          <w:lang w:val="es-MX"/>
        </w:rPr>
      </w:pPr>
    </w:p>
    <w:p w14:paraId="259FBFF1" w14:textId="0CFFBBE5" w:rsidR="008B0CA0" w:rsidRPr="000E0F6E" w:rsidRDefault="00731A5E" w:rsidP="000E0F6E">
      <w:pPr>
        <w:spacing w:before="0" w:beforeAutospacing="0" w:after="0" w:afterAutospacing="0" w:line="276" w:lineRule="auto"/>
        <w:rPr>
          <w:rFonts w:ascii="Tahoma" w:hAnsi="Tahoma" w:cs="Tahoma"/>
          <w:lang w:val="es-ES"/>
        </w:rPr>
      </w:pPr>
      <w:r w:rsidRPr="000E0F6E">
        <w:rPr>
          <w:rFonts w:ascii="Tahoma" w:hAnsi="Tahoma" w:cs="Tahoma"/>
          <w:lang w:val="es-ES"/>
        </w:rPr>
        <w:t>Por último, asevera</w:t>
      </w:r>
      <w:r w:rsidR="007E6666" w:rsidRPr="000E0F6E">
        <w:rPr>
          <w:rFonts w:ascii="Tahoma" w:hAnsi="Tahoma" w:cs="Tahoma"/>
          <w:lang w:val="es-ES"/>
        </w:rPr>
        <w:t xml:space="preserve"> que la ineficacia del traslado debe ser resuelta de forma desfavorable porque </w:t>
      </w:r>
      <w:r w:rsidR="0009279F" w:rsidRPr="000E0F6E">
        <w:rPr>
          <w:rFonts w:ascii="Tahoma" w:hAnsi="Tahoma" w:cs="Tahoma"/>
          <w:lang w:val="es-ES"/>
        </w:rPr>
        <w:t>el accionante</w:t>
      </w:r>
      <w:r w:rsidR="007E6666" w:rsidRPr="000E0F6E">
        <w:rPr>
          <w:rFonts w:ascii="Tahoma" w:hAnsi="Tahoma" w:cs="Tahoma"/>
          <w:lang w:val="es-ES"/>
        </w:rPr>
        <w:t xml:space="preserve"> se encuentra incurs</w:t>
      </w:r>
      <w:r w:rsidR="0093218F" w:rsidRPr="000E0F6E">
        <w:rPr>
          <w:rFonts w:ascii="Tahoma" w:hAnsi="Tahoma" w:cs="Tahoma"/>
          <w:lang w:val="es-ES"/>
        </w:rPr>
        <w:t>o</w:t>
      </w:r>
      <w:r w:rsidR="007E6666" w:rsidRPr="000E0F6E">
        <w:rPr>
          <w:rFonts w:ascii="Tahoma" w:hAnsi="Tahoma" w:cs="Tahoma"/>
          <w:lang w:val="es-ES"/>
        </w:rPr>
        <w:t xml:space="preserve"> en la prohibición establecida en el artículo </w:t>
      </w:r>
      <w:r w:rsidR="0009279F" w:rsidRPr="000E0F6E">
        <w:rPr>
          <w:rFonts w:ascii="Tahoma" w:hAnsi="Tahoma" w:cs="Tahoma"/>
          <w:lang w:val="es-ES"/>
        </w:rPr>
        <w:t xml:space="preserve">2 </w:t>
      </w:r>
      <w:r w:rsidR="007E6666" w:rsidRPr="000E0F6E">
        <w:rPr>
          <w:rFonts w:ascii="Tahoma" w:hAnsi="Tahoma" w:cs="Tahoma"/>
          <w:lang w:val="es-ES"/>
        </w:rPr>
        <w:t>de la Ley 797 de 2003.</w:t>
      </w:r>
    </w:p>
    <w:bookmarkEnd w:id="6"/>
    <w:p w14:paraId="7061A1D1" w14:textId="59775902" w:rsidR="00171926" w:rsidRPr="000E0F6E" w:rsidRDefault="00171926" w:rsidP="000E0F6E">
      <w:pPr>
        <w:widowControl w:val="0"/>
        <w:autoSpaceDE w:val="0"/>
        <w:autoSpaceDN w:val="0"/>
        <w:spacing w:before="0" w:beforeAutospacing="0" w:after="0" w:afterAutospacing="0" w:line="276" w:lineRule="auto"/>
        <w:ind w:firstLine="0"/>
        <w:contextualSpacing/>
        <w:rPr>
          <w:rFonts w:ascii="Tahoma" w:eastAsia="Times New Roman" w:hAnsi="Tahoma" w:cs="Tahoma"/>
          <w:color w:val="000000"/>
          <w:shd w:val="clear" w:color="auto" w:fill="FFFFFF"/>
          <w:lang w:val="es-MX" w:eastAsia="es-MX"/>
        </w:rPr>
      </w:pPr>
    </w:p>
    <w:p w14:paraId="529E7C50" w14:textId="77777777" w:rsidR="00757BAC" w:rsidRPr="000E0F6E" w:rsidRDefault="00757BAC" w:rsidP="000E0F6E">
      <w:pPr>
        <w:widowControl w:val="0"/>
        <w:autoSpaceDE w:val="0"/>
        <w:autoSpaceDN w:val="0"/>
        <w:spacing w:before="0" w:beforeAutospacing="0" w:after="0" w:afterAutospacing="0" w:line="276" w:lineRule="auto"/>
        <w:ind w:firstLine="0"/>
        <w:contextualSpacing/>
        <w:rPr>
          <w:rFonts w:ascii="Tahoma" w:eastAsia="Times New Roman" w:hAnsi="Tahoma" w:cs="Tahoma"/>
          <w:color w:val="000000"/>
          <w:shd w:val="clear" w:color="auto" w:fill="FFFFFF"/>
          <w:lang w:val="es-MX" w:eastAsia="es-MX"/>
        </w:rPr>
      </w:pPr>
    </w:p>
    <w:p w14:paraId="0A73EB47" w14:textId="7B29A1B2" w:rsidR="008C3C1E" w:rsidRPr="00E60464" w:rsidRDefault="008C3C1E" w:rsidP="00E60464">
      <w:pPr>
        <w:pStyle w:val="Prrafodelista"/>
        <w:numPr>
          <w:ilvl w:val="0"/>
          <w:numId w:val="1"/>
        </w:numPr>
        <w:spacing w:line="276" w:lineRule="auto"/>
        <w:ind w:left="426" w:hanging="426"/>
        <w:jc w:val="center"/>
        <w:rPr>
          <w:rFonts w:cs="Tahoma"/>
          <w:b/>
          <w:bCs/>
          <w:szCs w:val="24"/>
        </w:rPr>
      </w:pPr>
      <w:r w:rsidRPr="00E60464">
        <w:rPr>
          <w:rFonts w:cs="Tahoma"/>
          <w:b/>
          <w:bCs/>
          <w:szCs w:val="24"/>
        </w:rPr>
        <w:t>Alegatos de conclusión</w:t>
      </w:r>
    </w:p>
    <w:p w14:paraId="1C15BA51" w14:textId="77777777" w:rsidR="008C3C1E" w:rsidRPr="000E0F6E" w:rsidRDefault="008C3C1E" w:rsidP="000E0F6E">
      <w:pPr>
        <w:spacing w:before="0" w:beforeAutospacing="0" w:after="0" w:afterAutospacing="0" w:line="276" w:lineRule="auto"/>
        <w:ind w:firstLine="708"/>
        <w:contextualSpacing/>
        <w:rPr>
          <w:rFonts w:ascii="Tahoma" w:eastAsia="Tahoma" w:hAnsi="Tahoma" w:cs="Tahoma"/>
        </w:rPr>
      </w:pPr>
    </w:p>
    <w:p w14:paraId="08997FC2" w14:textId="77777777" w:rsidR="008C3C1E" w:rsidRPr="000E0F6E" w:rsidRDefault="008C3C1E" w:rsidP="000E0F6E">
      <w:pPr>
        <w:spacing w:before="0" w:beforeAutospacing="0" w:after="0" w:afterAutospacing="0" w:line="276" w:lineRule="auto"/>
        <w:ind w:firstLine="708"/>
        <w:contextualSpacing/>
        <w:rPr>
          <w:rFonts w:ascii="Tahoma" w:eastAsia="Tahoma" w:hAnsi="Tahoma" w:cs="Tahoma"/>
        </w:rPr>
      </w:pPr>
      <w:r w:rsidRPr="000E0F6E">
        <w:rPr>
          <w:rFonts w:ascii="Tahoma" w:eastAsia="Tahoma" w:hAnsi="Tahoma" w:cs="Tahoma"/>
        </w:rPr>
        <w:t>Analizados los alegatos presentados por las codemandadas,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más adelante.</w:t>
      </w:r>
    </w:p>
    <w:p w14:paraId="01F79DE7" w14:textId="2513FA0E" w:rsidR="008C3C1E" w:rsidRPr="000E0F6E" w:rsidRDefault="008C3C1E" w:rsidP="000E0F6E">
      <w:pPr>
        <w:spacing w:before="0" w:beforeAutospacing="0" w:after="0" w:afterAutospacing="0" w:line="276" w:lineRule="auto"/>
        <w:ind w:firstLine="708"/>
        <w:contextualSpacing/>
        <w:rPr>
          <w:rFonts w:ascii="Tahoma" w:eastAsia="Tahoma" w:hAnsi="Tahoma" w:cs="Tahoma"/>
        </w:rPr>
      </w:pPr>
    </w:p>
    <w:p w14:paraId="0A6CC1A2" w14:textId="77777777" w:rsidR="00757BAC" w:rsidRPr="000E0F6E" w:rsidRDefault="00757BAC" w:rsidP="000E0F6E">
      <w:pPr>
        <w:spacing w:before="0" w:beforeAutospacing="0" w:after="0" w:afterAutospacing="0" w:line="276" w:lineRule="auto"/>
        <w:ind w:firstLine="708"/>
        <w:contextualSpacing/>
        <w:rPr>
          <w:rFonts w:ascii="Tahoma" w:eastAsia="Tahoma" w:hAnsi="Tahoma" w:cs="Tahoma"/>
        </w:rPr>
      </w:pPr>
    </w:p>
    <w:p w14:paraId="13714DF5" w14:textId="77777777" w:rsidR="008C3C1E" w:rsidRPr="000E0F6E" w:rsidRDefault="008C3C1E" w:rsidP="000E0F6E">
      <w:pPr>
        <w:widowControl w:val="0"/>
        <w:numPr>
          <w:ilvl w:val="0"/>
          <w:numId w:val="1"/>
        </w:numPr>
        <w:autoSpaceDE w:val="0"/>
        <w:autoSpaceDN w:val="0"/>
        <w:spacing w:before="0" w:beforeAutospacing="0" w:after="0" w:afterAutospacing="0" w:line="276" w:lineRule="auto"/>
        <w:contextualSpacing/>
        <w:jc w:val="center"/>
        <w:rPr>
          <w:rFonts w:ascii="Tahoma" w:eastAsiaTheme="minorEastAsia" w:hAnsi="Tahoma" w:cs="Tahoma"/>
          <w:b/>
          <w:bCs/>
          <w:lang w:val="es-ES"/>
        </w:rPr>
      </w:pPr>
      <w:r w:rsidRPr="000E0F6E">
        <w:rPr>
          <w:rFonts w:ascii="Tahoma" w:eastAsia="Tahoma" w:hAnsi="Tahoma" w:cs="Tahoma"/>
          <w:b/>
          <w:bCs/>
          <w:lang w:val="es"/>
        </w:rPr>
        <w:t>Problemas jurídicos por resolver</w:t>
      </w:r>
    </w:p>
    <w:p w14:paraId="7CC87BD5" w14:textId="77777777" w:rsidR="008C3C1E" w:rsidRPr="000E0F6E" w:rsidRDefault="008C3C1E" w:rsidP="000E0F6E">
      <w:pPr>
        <w:spacing w:before="0" w:beforeAutospacing="0" w:after="0" w:afterAutospacing="0" w:line="276" w:lineRule="auto"/>
        <w:ind w:firstLine="708"/>
        <w:contextualSpacing/>
        <w:rPr>
          <w:rFonts w:ascii="Tahoma" w:hAnsi="Tahoma" w:cs="Tahoma"/>
        </w:rPr>
      </w:pPr>
    </w:p>
    <w:p w14:paraId="32438454" w14:textId="77777777" w:rsidR="008C3C1E" w:rsidRPr="000E0F6E" w:rsidRDefault="008C3C1E" w:rsidP="000E0F6E">
      <w:pPr>
        <w:spacing w:before="0" w:beforeAutospacing="0" w:after="0" w:afterAutospacing="0" w:line="276" w:lineRule="auto"/>
        <w:ind w:firstLine="708"/>
        <w:contextualSpacing/>
        <w:rPr>
          <w:rFonts w:ascii="Tahoma" w:hAnsi="Tahoma" w:cs="Tahoma"/>
        </w:rPr>
      </w:pPr>
      <w:r w:rsidRPr="000E0F6E">
        <w:rPr>
          <w:rFonts w:ascii="Tahoma" w:hAnsi="Tahoma" w:cs="Tahoma"/>
        </w:rPr>
        <w:t>De acuerdo con los argumentos expuestos en la sentencia de primera instancia, los fundamentos de la apelación y los alegatos de conclusión, le corresponde a la Sala resolver los siguientes problemas jurídicos:</w:t>
      </w:r>
    </w:p>
    <w:p w14:paraId="63385E5C" w14:textId="77777777" w:rsidR="008C3C1E" w:rsidRPr="000E0F6E" w:rsidRDefault="008C3C1E" w:rsidP="000E0F6E">
      <w:pPr>
        <w:spacing w:before="0" w:beforeAutospacing="0" w:after="0" w:afterAutospacing="0" w:line="276" w:lineRule="auto"/>
        <w:ind w:firstLine="708"/>
        <w:contextualSpacing/>
        <w:rPr>
          <w:rFonts w:ascii="Tahoma" w:hAnsi="Tahoma" w:cs="Tahoma"/>
        </w:rPr>
      </w:pPr>
    </w:p>
    <w:p w14:paraId="0488D315" w14:textId="77777777" w:rsidR="008C3C1E" w:rsidRPr="000E0F6E" w:rsidRDefault="008C3C1E" w:rsidP="000E0F6E">
      <w:pPr>
        <w:numPr>
          <w:ilvl w:val="0"/>
          <w:numId w:val="7"/>
        </w:numPr>
        <w:spacing w:before="0" w:beforeAutospacing="0" w:after="0" w:afterAutospacing="0" w:line="276" w:lineRule="auto"/>
        <w:contextualSpacing/>
        <w:rPr>
          <w:rFonts w:ascii="Tahoma" w:hAnsi="Tahoma" w:cs="Tahoma"/>
        </w:rPr>
      </w:pPr>
      <w:r w:rsidRPr="000E0F6E">
        <w:rPr>
          <w:rFonts w:ascii="Tahoma" w:hAnsi="Tahoma" w:cs="Tahoma"/>
          <w:lang w:val="es"/>
        </w:rPr>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10167013" w14:textId="77777777" w:rsidR="008C3C1E" w:rsidRPr="000E0F6E" w:rsidRDefault="008C3C1E" w:rsidP="000E0F6E">
      <w:pPr>
        <w:spacing w:before="0" w:beforeAutospacing="0" w:after="0" w:afterAutospacing="0" w:line="276" w:lineRule="auto"/>
        <w:ind w:firstLine="708"/>
        <w:contextualSpacing/>
        <w:rPr>
          <w:rFonts w:ascii="Tahoma" w:hAnsi="Tahoma" w:cs="Tahoma"/>
        </w:rPr>
      </w:pPr>
      <w:r w:rsidRPr="000E0F6E">
        <w:rPr>
          <w:rFonts w:ascii="Tahoma" w:hAnsi="Tahoma" w:cs="Tahoma"/>
          <w:lang w:val="es"/>
        </w:rPr>
        <w:t xml:space="preserve"> </w:t>
      </w:r>
    </w:p>
    <w:p w14:paraId="47D63928" w14:textId="77777777" w:rsidR="008C3C1E" w:rsidRPr="000E0F6E" w:rsidRDefault="008C3C1E" w:rsidP="000E0F6E">
      <w:pPr>
        <w:numPr>
          <w:ilvl w:val="0"/>
          <w:numId w:val="7"/>
        </w:numPr>
        <w:spacing w:before="0" w:beforeAutospacing="0" w:after="0" w:afterAutospacing="0" w:line="276" w:lineRule="auto"/>
        <w:contextualSpacing/>
        <w:rPr>
          <w:rFonts w:ascii="Tahoma" w:hAnsi="Tahoma" w:cs="Tahoma"/>
        </w:rPr>
      </w:pPr>
      <w:r w:rsidRPr="000E0F6E">
        <w:rPr>
          <w:rFonts w:ascii="Tahoma" w:hAnsi="Tahoma" w:cs="Tahoma"/>
          <w:lang w:val="es"/>
        </w:rPr>
        <w:t xml:space="preserve">Definir si para dar por cumplido el deber de información de las AFP es suficiente el diligenciamiento del formulario de afiliación. </w:t>
      </w:r>
    </w:p>
    <w:p w14:paraId="005B8C7A" w14:textId="77777777" w:rsidR="008C3C1E" w:rsidRPr="000E0F6E" w:rsidRDefault="008C3C1E" w:rsidP="000E0F6E">
      <w:pPr>
        <w:spacing w:before="0" w:beforeAutospacing="0" w:after="0" w:afterAutospacing="0" w:line="276" w:lineRule="auto"/>
        <w:ind w:firstLine="708"/>
        <w:contextualSpacing/>
        <w:rPr>
          <w:rFonts w:ascii="Tahoma" w:hAnsi="Tahoma" w:cs="Tahoma"/>
        </w:rPr>
      </w:pPr>
      <w:r w:rsidRPr="000E0F6E">
        <w:rPr>
          <w:rFonts w:ascii="Tahoma" w:hAnsi="Tahoma" w:cs="Tahoma"/>
          <w:lang w:val="es"/>
        </w:rPr>
        <w:t xml:space="preserve"> </w:t>
      </w:r>
    </w:p>
    <w:p w14:paraId="5328C8BC" w14:textId="77777777" w:rsidR="008C3C1E" w:rsidRPr="000E0F6E" w:rsidRDefault="008C3C1E" w:rsidP="000E0F6E">
      <w:pPr>
        <w:numPr>
          <w:ilvl w:val="0"/>
          <w:numId w:val="7"/>
        </w:numPr>
        <w:spacing w:before="0" w:beforeAutospacing="0" w:after="0" w:afterAutospacing="0" w:line="276" w:lineRule="auto"/>
        <w:contextualSpacing/>
        <w:rPr>
          <w:rFonts w:ascii="Tahoma" w:hAnsi="Tahoma" w:cs="Tahoma"/>
        </w:rPr>
      </w:pPr>
      <w:r w:rsidRPr="000E0F6E">
        <w:rPr>
          <w:rFonts w:ascii="Tahoma" w:hAnsi="Tahoma" w:cs="Tahoma"/>
          <w:lang w:val="es"/>
        </w:rPr>
        <w:t xml:space="preserve"> Determinar la carga probatoria que les corresponde a cada una de las partes cuando está en discusión la eficacia del traslado entre regímenes pensionales.</w:t>
      </w:r>
    </w:p>
    <w:p w14:paraId="5EA9B8C7" w14:textId="77777777" w:rsidR="008C3C1E" w:rsidRPr="000E0F6E" w:rsidRDefault="008C3C1E" w:rsidP="000E0F6E">
      <w:pPr>
        <w:spacing w:before="0" w:beforeAutospacing="0" w:after="0" w:afterAutospacing="0" w:line="276" w:lineRule="auto"/>
        <w:ind w:firstLine="708"/>
        <w:contextualSpacing/>
        <w:rPr>
          <w:rFonts w:ascii="Tahoma" w:hAnsi="Tahoma" w:cs="Tahoma"/>
        </w:rPr>
      </w:pPr>
      <w:r w:rsidRPr="000E0F6E">
        <w:rPr>
          <w:rFonts w:ascii="Tahoma" w:hAnsi="Tahoma" w:cs="Tahoma"/>
          <w:lang w:val="es"/>
        </w:rPr>
        <w:t xml:space="preserve"> </w:t>
      </w:r>
    </w:p>
    <w:p w14:paraId="30228269" w14:textId="42A061BA" w:rsidR="008C3C1E" w:rsidRPr="000E0F6E" w:rsidRDefault="008C3C1E" w:rsidP="000E0F6E">
      <w:pPr>
        <w:numPr>
          <w:ilvl w:val="0"/>
          <w:numId w:val="7"/>
        </w:numPr>
        <w:spacing w:before="0" w:beforeAutospacing="0" w:after="0" w:afterAutospacing="0" w:line="276" w:lineRule="auto"/>
        <w:contextualSpacing/>
        <w:rPr>
          <w:rFonts w:ascii="Tahoma" w:hAnsi="Tahoma" w:cs="Tahoma"/>
        </w:rPr>
      </w:pPr>
      <w:r w:rsidRPr="000E0F6E">
        <w:rPr>
          <w:rFonts w:ascii="Tahoma" w:hAnsi="Tahoma" w:cs="Tahoma"/>
          <w:lang w:val="es"/>
        </w:rPr>
        <w:t xml:space="preserve">Analizar si quedó probado en el proceso que la parte demandante recibió de parte de la AFP demandada, la asesoría e información suficiente y necesaria para hacer el cambio de régimen. </w:t>
      </w:r>
    </w:p>
    <w:p w14:paraId="1923A020" w14:textId="77777777" w:rsidR="00627ED8" w:rsidRPr="000E0F6E" w:rsidRDefault="00627ED8" w:rsidP="000E0F6E">
      <w:pPr>
        <w:pStyle w:val="Prrafodelista"/>
        <w:spacing w:line="276" w:lineRule="auto"/>
        <w:rPr>
          <w:rFonts w:cs="Tahoma"/>
          <w:szCs w:val="24"/>
        </w:rPr>
      </w:pPr>
    </w:p>
    <w:p w14:paraId="1DD1EAA6" w14:textId="6C22D826" w:rsidR="00627ED8" w:rsidRPr="000E0F6E" w:rsidRDefault="00627ED8" w:rsidP="000E0F6E">
      <w:pPr>
        <w:pStyle w:val="Prrafodelista"/>
        <w:numPr>
          <w:ilvl w:val="0"/>
          <w:numId w:val="7"/>
        </w:numPr>
        <w:spacing w:line="276" w:lineRule="auto"/>
        <w:rPr>
          <w:rFonts w:cs="Tahoma"/>
          <w:color w:val="000000"/>
          <w:szCs w:val="24"/>
          <w:shd w:val="clear" w:color="auto" w:fill="FFFFFF"/>
        </w:rPr>
      </w:pPr>
      <w:r w:rsidRPr="000E0F6E">
        <w:rPr>
          <w:rStyle w:val="normaltextrun"/>
          <w:rFonts w:cs="Tahoma"/>
          <w:color w:val="000000"/>
          <w:szCs w:val="24"/>
          <w:shd w:val="clear" w:color="auto" w:fill="FFFFFF"/>
          <w:lang w:val="es-ES"/>
        </w:rPr>
        <w:t>Establecer si la comunicación con a AFP y la actualización de datos en el RAIS configuran actos de relacionamiento que convalidan el traslado inicial efectuado desde el RPM hacia el RAIS,</w:t>
      </w:r>
      <w:r w:rsidRPr="000E0F6E">
        <w:rPr>
          <w:rFonts w:cs="Tahoma"/>
          <w:szCs w:val="24"/>
          <w:lang w:val="es-ES"/>
        </w:rPr>
        <w:t xml:space="preserve"> </w:t>
      </w:r>
      <w:r w:rsidRPr="000E0F6E">
        <w:rPr>
          <w:rFonts w:cs="Tahoma"/>
          <w:color w:val="000000"/>
          <w:szCs w:val="24"/>
          <w:shd w:val="clear" w:color="auto" w:fill="FFFFFF"/>
          <w:lang w:val="es-ES"/>
        </w:rPr>
        <w:t>de conformidad con las sentencias CSJ SL3752 de 2020 y C-1024 de 2004 conforme lo solicita Colpensiones.</w:t>
      </w:r>
    </w:p>
    <w:p w14:paraId="6A43DE2C" w14:textId="77777777" w:rsidR="002D7247" w:rsidRPr="000E0F6E" w:rsidRDefault="002D7247" w:rsidP="000E0F6E">
      <w:pPr>
        <w:pStyle w:val="Prrafodelista"/>
        <w:spacing w:line="276" w:lineRule="auto"/>
        <w:rPr>
          <w:rFonts w:cs="Tahoma"/>
          <w:szCs w:val="24"/>
        </w:rPr>
      </w:pPr>
    </w:p>
    <w:p w14:paraId="21E8D7A6" w14:textId="0B101B47" w:rsidR="006878F8" w:rsidRPr="000E0F6E" w:rsidRDefault="002D7247" w:rsidP="000E0F6E">
      <w:pPr>
        <w:pStyle w:val="Prrafodelista"/>
        <w:numPr>
          <w:ilvl w:val="0"/>
          <w:numId w:val="7"/>
        </w:numPr>
        <w:spacing w:line="276" w:lineRule="auto"/>
        <w:rPr>
          <w:rFonts w:cs="Tahoma"/>
          <w:szCs w:val="24"/>
        </w:rPr>
      </w:pPr>
      <w:r w:rsidRPr="000E0F6E">
        <w:rPr>
          <w:rFonts w:cs="Tahoma"/>
          <w:szCs w:val="24"/>
        </w:rPr>
        <w:t xml:space="preserve">Concluir si la prohibición señalada en el literal e) del artículo 13 de la Ley 100 de 1993, modificado por el artículo 2º de la Ley 797 de 2003, es atendible en </w:t>
      </w:r>
      <w:r w:rsidRPr="000E0F6E">
        <w:rPr>
          <w:rFonts w:cs="Tahoma"/>
          <w:szCs w:val="24"/>
        </w:rPr>
        <w:lastRenderedPageBreak/>
        <w:t>aquellos eventos donde se discute la ineficacia del traslado de régimen pensional.</w:t>
      </w:r>
    </w:p>
    <w:p w14:paraId="03F321C7" w14:textId="77777777" w:rsidR="00627ED8" w:rsidRPr="000E0F6E" w:rsidRDefault="00627ED8" w:rsidP="000E0F6E">
      <w:pPr>
        <w:spacing w:before="0" w:beforeAutospacing="0" w:after="0" w:afterAutospacing="0" w:line="276" w:lineRule="auto"/>
        <w:ind w:firstLine="0"/>
        <w:rPr>
          <w:rFonts w:ascii="Tahoma" w:hAnsi="Tahoma" w:cs="Tahoma"/>
        </w:rPr>
      </w:pPr>
    </w:p>
    <w:p w14:paraId="7F43F139" w14:textId="14C8DA7C" w:rsidR="00F666F7" w:rsidRPr="000E0F6E" w:rsidRDefault="006878F8" w:rsidP="000E0F6E">
      <w:pPr>
        <w:pStyle w:val="Prrafodelista"/>
        <w:numPr>
          <w:ilvl w:val="0"/>
          <w:numId w:val="7"/>
        </w:numPr>
        <w:spacing w:line="276" w:lineRule="auto"/>
        <w:rPr>
          <w:rFonts w:cs="Tahoma"/>
          <w:szCs w:val="24"/>
        </w:rPr>
      </w:pPr>
      <w:r w:rsidRPr="000E0F6E">
        <w:rPr>
          <w:rFonts w:cs="Tahoma"/>
          <w:szCs w:val="24"/>
          <w:lang w:val="es-ES"/>
        </w:rPr>
        <w:t>Establecer si se debe ordenar a la AFP demandada la devolución, con cargo a sus propios recursos de los gastos de administración, comisiones, cuotas de garantía de pensión mínima y seguros previsionales a Colpensiones.</w:t>
      </w:r>
      <w:r w:rsidRPr="000E0F6E">
        <w:rPr>
          <w:rFonts w:cs="Tahoma"/>
          <w:szCs w:val="24"/>
        </w:rPr>
        <w:t> </w:t>
      </w:r>
    </w:p>
    <w:p w14:paraId="7E4AF3F3" w14:textId="094D0F77" w:rsidR="008C3C1E" w:rsidRPr="000E0F6E" w:rsidRDefault="008C3C1E" w:rsidP="000E0F6E">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C56F0C4" w14:textId="77777777" w:rsidR="00757BAC" w:rsidRPr="000E0F6E" w:rsidRDefault="00757BAC" w:rsidP="000E0F6E">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C7DA232" w14:textId="23268C18" w:rsidR="008C3C1E" w:rsidRPr="000E0F6E" w:rsidRDefault="008C3C1E" w:rsidP="000E0F6E">
      <w:pPr>
        <w:widowControl w:val="0"/>
        <w:numPr>
          <w:ilvl w:val="0"/>
          <w:numId w:val="4"/>
        </w:numPr>
        <w:autoSpaceDE w:val="0"/>
        <w:autoSpaceDN w:val="0"/>
        <w:adjustRightInd w:val="0"/>
        <w:spacing w:before="0" w:beforeAutospacing="0" w:after="0" w:afterAutospacing="0" w:line="276" w:lineRule="auto"/>
        <w:jc w:val="center"/>
        <w:rPr>
          <w:rFonts w:ascii="Tahoma" w:eastAsia="Calibri" w:hAnsi="Tahoma" w:cs="Tahoma"/>
          <w:b/>
          <w:bCs/>
          <w:lang w:eastAsia="es-CO"/>
        </w:rPr>
      </w:pPr>
      <w:r w:rsidRPr="000E0F6E">
        <w:rPr>
          <w:rFonts w:ascii="Tahoma" w:eastAsia="Calibri" w:hAnsi="Tahoma" w:cs="Tahoma"/>
          <w:b/>
          <w:bCs/>
          <w:lang w:eastAsia="es-CO"/>
        </w:rPr>
        <w:t>Consideraciones</w:t>
      </w:r>
    </w:p>
    <w:p w14:paraId="18D92D98" w14:textId="7A420E61" w:rsidR="005B7733" w:rsidRDefault="005B7733" w:rsidP="000E0F6E">
      <w:pPr>
        <w:widowControl w:val="0"/>
        <w:autoSpaceDE w:val="0"/>
        <w:autoSpaceDN w:val="0"/>
        <w:adjustRightInd w:val="0"/>
        <w:spacing w:before="0" w:beforeAutospacing="0" w:after="0" w:afterAutospacing="0" w:line="276" w:lineRule="auto"/>
        <w:jc w:val="center"/>
        <w:rPr>
          <w:rFonts w:ascii="Tahoma" w:eastAsia="Calibri" w:hAnsi="Tahoma" w:cs="Tahoma"/>
          <w:b/>
          <w:bCs/>
          <w:lang w:eastAsia="es-CO"/>
        </w:rPr>
      </w:pPr>
    </w:p>
    <w:p w14:paraId="532E91BA" w14:textId="77777777" w:rsidR="001374D9" w:rsidRPr="000E0F6E" w:rsidRDefault="001374D9" w:rsidP="000E0F6E">
      <w:pPr>
        <w:widowControl w:val="0"/>
        <w:autoSpaceDE w:val="0"/>
        <w:autoSpaceDN w:val="0"/>
        <w:adjustRightInd w:val="0"/>
        <w:spacing w:before="0" w:beforeAutospacing="0" w:after="0" w:afterAutospacing="0" w:line="276" w:lineRule="auto"/>
        <w:jc w:val="center"/>
        <w:rPr>
          <w:rFonts w:ascii="Tahoma" w:eastAsia="Calibri" w:hAnsi="Tahoma" w:cs="Tahoma"/>
          <w:b/>
          <w:bCs/>
          <w:lang w:eastAsia="es-CO"/>
        </w:rPr>
      </w:pPr>
    </w:p>
    <w:p w14:paraId="24D8CB63" w14:textId="77777777" w:rsidR="00463544" w:rsidRPr="00463544" w:rsidRDefault="00463544" w:rsidP="00463544">
      <w:pPr>
        <w:widowControl w:val="0"/>
        <w:numPr>
          <w:ilvl w:val="1"/>
          <w:numId w:val="10"/>
        </w:numPr>
        <w:autoSpaceDE w:val="0"/>
        <w:autoSpaceDN w:val="0"/>
        <w:adjustRightInd w:val="0"/>
        <w:spacing w:before="0" w:beforeAutospacing="0" w:after="0" w:afterAutospacing="0" w:line="276" w:lineRule="auto"/>
        <w:contextualSpacing/>
        <w:rPr>
          <w:rFonts w:ascii="Tahoma" w:eastAsia="Calibri" w:hAnsi="Tahoma" w:cs="Tahoma"/>
          <w:b/>
          <w:bCs/>
          <w:lang w:eastAsia="es-CO"/>
        </w:rPr>
      </w:pPr>
      <w:r w:rsidRPr="00463544">
        <w:rPr>
          <w:rFonts w:ascii="Tahoma" w:eastAsia="Calibri" w:hAnsi="Tahoma" w:cs="Tahoma"/>
          <w:b/>
          <w:bCs/>
          <w:lang w:eastAsia="es-CO"/>
        </w:rPr>
        <w:t xml:space="preserve">Precedente vertical: la tesis de la Corte Suprema de Justicia respecto al tema de la ineficacia del traslado constituye doctrina probable </w:t>
      </w:r>
    </w:p>
    <w:p w14:paraId="2BFF55B4" w14:textId="77777777" w:rsidR="00463544" w:rsidRPr="00463544" w:rsidRDefault="00463544" w:rsidP="00463544">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D87B1D4" w14:textId="77777777" w:rsidR="00463544" w:rsidRPr="00463544" w:rsidRDefault="00463544" w:rsidP="00463544">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63544">
        <w:rPr>
          <w:rFonts w:ascii="Tahoma" w:eastAsia="Calibri" w:hAnsi="Tahoma" w:cs="Tahoma"/>
          <w:lang w:eastAsia="es-CO"/>
        </w:rPr>
        <w:t xml:space="preserve">En la actualidad existe </w:t>
      </w:r>
      <w:r w:rsidRPr="00463544">
        <w:rPr>
          <w:rFonts w:ascii="Tahoma" w:eastAsia="Calibri" w:hAnsi="Tahoma" w:cs="Tahoma"/>
          <w:b/>
          <w:lang w:eastAsia="es-CO"/>
        </w:rPr>
        <w:t>doctrina probable</w:t>
      </w:r>
      <w:r w:rsidRPr="00463544">
        <w:rPr>
          <w:rFonts w:ascii="Tahoma" w:eastAsia="Calibri" w:hAnsi="Tahoma" w:cs="Tahoma"/>
          <w:lang w:eastAsia="es-CO"/>
        </w:rPr>
        <w:t xml:space="preserve"> respecto a la ineficacia de los traslados de regímenes, por cuanto la Sala de Casación Laboral ha proferido sobre el tema un número considerable de sentencias (más de 40), entre otras, las siguientes: </w:t>
      </w:r>
    </w:p>
    <w:p w14:paraId="59BE113E" w14:textId="77777777" w:rsidR="00463544" w:rsidRPr="00463544" w:rsidRDefault="00463544" w:rsidP="00463544">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BA861D8" w14:textId="77777777" w:rsidR="00463544" w:rsidRPr="00463544" w:rsidRDefault="00463544" w:rsidP="00463544">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63544">
        <w:rPr>
          <w:rFonts w:ascii="Tahoma" w:eastAsia="Calibri" w:hAnsi="Tahoma" w:cs="Tahoma"/>
          <w:bCs/>
          <w:lang w:eastAsia="es-CO"/>
        </w:rPr>
        <w:t xml:space="preserve">SL 31989 del 9 sep. 2008, </w:t>
      </w:r>
      <w:r w:rsidRPr="00463544">
        <w:rPr>
          <w:rFonts w:ascii="Tahoma" w:eastAsia="Calibri" w:hAnsi="Tahoma" w:cs="Tahoma"/>
          <w:lang w:eastAsia="es-CO"/>
        </w:rPr>
        <w:t>SL 31314 9 sep. 2008, SL 33083 22 nov. 2011, SL12136-2014, SL19447-2017, SL4964-2018, CSJ SL4989-2018, SL1421-2019, SL1452-2019, SL1688-2019, SL1689-2019, Sentencia SL 373 -2020, Sentencia SL 5462-2019, Sentencia SL149-2020, Sentencia SL5533-2019, Sentencia SL5144-2019, Sentencia SL4937-2019, Sentencia SL4426-2019, Sentencia SL4343-2019, Sentencia SL4856-2019, Sentencia STP 2082-2019, Sentencia SL4360-2019, Sentencia SL3852-2019, Sentencia SL3749-2019, Sentencia SL3179-2019,  Sentencia SL1838-2019, Sentencia SL2817-2019, Sentencia SL771-2019, Sentencia SL4296-2018, Sentencia SL2865-2019, Sentencia  SL2955-2019, Sentencia  SL2324-2019.</w:t>
      </w:r>
    </w:p>
    <w:p w14:paraId="35BE9202" w14:textId="77777777" w:rsidR="00463544" w:rsidRPr="00463544" w:rsidRDefault="00463544" w:rsidP="00463544">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AF417FD" w14:textId="77777777" w:rsidR="00463544" w:rsidRPr="00463544" w:rsidRDefault="00463544" w:rsidP="00463544">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63544">
        <w:rPr>
          <w:rFonts w:ascii="Tahoma" w:eastAsia="Calibri" w:hAnsi="Tahoma" w:cs="Tahoma"/>
          <w:lang w:eastAsia="es-CO"/>
        </w:rPr>
        <w:t xml:space="preserve">En términos generales, en todas estas sentencias se determinó </w:t>
      </w:r>
      <w:r w:rsidRPr="00463544">
        <w:rPr>
          <w:rFonts w:ascii="Tahoma" w:eastAsia="Calibri" w:hAnsi="Tahoma" w:cs="Tahoma"/>
          <w:i/>
          <w:lang w:eastAsia="es-CO"/>
        </w:rPr>
        <w:t xml:space="preserve">i) </w:t>
      </w:r>
      <w:r w:rsidRPr="00463544">
        <w:rPr>
          <w:rFonts w:ascii="Tahoma" w:eastAsia="Calibri" w:hAnsi="Tahoma" w:cs="Tahoma"/>
          <w:lang w:eastAsia="es-CO"/>
        </w:rPr>
        <w:t xml:space="preserve">el alcance del deber de información a cargo de las Administradoras de Fondos de Pensiones, </w:t>
      </w:r>
      <w:r w:rsidRPr="00463544">
        <w:rPr>
          <w:rFonts w:ascii="Tahoma" w:eastAsia="Calibri" w:hAnsi="Tahoma" w:cs="Tahoma"/>
          <w:i/>
          <w:lang w:eastAsia="es-CO"/>
        </w:rPr>
        <w:t xml:space="preserve">ii) </w:t>
      </w:r>
      <w:r w:rsidRPr="00463544">
        <w:rPr>
          <w:rFonts w:ascii="Tahoma" w:eastAsia="Calibri" w:hAnsi="Tahoma" w:cs="Tahoma"/>
          <w:lang w:eastAsia="es-CO"/>
        </w:rPr>
        <w:t xml:space="preserve">la procedencia de la ineficacia del traslado, </w:t>
      </w:r>
      <w:r w:rsidRPr="00463544">
        <w:rPr>
          <w:rFonts w:ascii="Tahoma" w:eastAsia="Calibri" w:hAnsi="Tahoma" w:cs="Tahoma"/>
          <w:i/>
          <w:lang w:eastAsia="es-CO"/>
        </w:rPr>
        <w:t xml:space="preserve">iii) </w:t>
      </w:r>
      <w:r w:rsidRPr="00463544">
        <w:rPr>
          <w:rFonts w:ascii="Tahoma" w:eastAsia="Calibri" w:hAnsi="Tahoma" w:cs="Tahoma"/>
          <w:lang w:eastAsia="es-CO"/>
        </w:rPr>
        <w:t>la inversión de la carga de la prueba en favor del afiliado. Todos los problemas jurídicos planteados en este asunto, fueron objeto de estudio por parte de la Sala de Casación Laboral, de modo que basta referirnos a su precedente para dar respuesta a los mismos, como veremos a continuación.</w:t>
      </w:r>
    </w:p>
    <w:p w14:paraId="314926C5" w14:textId="3C997B64" w:rsidR="00463544" w:rsidRDefault="00463544" w:rsidP="00463544">
      <w:pPr>
        <w:widowControl w:val="0"/>
        <w:autoSpaceDE w:val="0"/>
        <w:autoSpaceDN w:val="0"/>
        <w:adjustRightInd w:val="0"/>
        <w:spacing w:before="0" w:beforeAutospacing="0" w:after="0" w:afterAutospacing="0" w:line="276" w:lineRule="auto"/>
        <w:ind w:left="1429" w:firstLine="0"/>
        <w:rPr>
          <w:rFonts w:ascii="Tahoma" w:eastAsia="Calibri" w:hAnsi="Tahoma" w:cs="Tahoma"/>
          <w:b/>
          <w:lang w:eastAsia="es-CO"/>
        </w:rPr>
      </w:pPr>
    </w:p>
    <w:p w14:paraId="671F779A" w14:textId="77777777" w:rsidR="001374D9" w:rsidRPr="00463544" w:rsidRDefault="001374D9" w:rsidP="00463544">
      <w:pPr>
        <w:widowControl w:val="0"/>
        <w:autoSpaceDE w:val="0"/>
        <w:autoSpaceDN w:val="0"/>
        <w:adjustRightInd w:val="0"/>
        <w:spacing w:before="0" w:beforeAutospacing="0" w:after="0" w:afterAutospacing="0" w:line="276" w:lineRule="auto"/>
        <w:ind w:left="1429" w:firstLine="0"/>
        <w:rPr>
          <w:rFonts w:ascii="Tahoma" w:eastAsia="Calibri" w:hAnsi="Tahoma" w:cs="Tahoma"/>
          <w:b/>
          <w:lang w:eastAsia="es-CO"/>
        </w:rPr>
      </w:pPr>
    </w:p>
    <w:p w14:paraId="5E610FBB" w14:textId="77777777" w:rsidR="00463544" w:rsidRPr="00463544" w:rsidRDefault="00463544" w:rsidP="00463544">
      <w:pPr>
        <w:widowControl w:val="0"/>
        <w:numPr>
          <w:ilvl w:val="1"/>
          <w:numId w:val="10"/>
        </w:numPr>
        <w:autoSpaceDE w:val="0"/>
        <w:autoSpaceDN w:val="0"/>
        <w:adjustRightInd w:val="0"/>
        <w:spacing w:before="0" w:beforeAutospacing="0" w:after="0" w:afterAutospacing="0" w:line="276" w:lineRule="auto"/>
        <w:contextualSpacing/>
        <w:rPr>
          <w:rFonts w:ascii="Tahoma" w:eastAsia="Calibri" w:hAnsi="Tahoma" w:cs="Tahoma"/>
          <w:b/>
          <w:bCs/>
          <w:lang w:eastAsia="es-CO"/>
        </w:rPr>
      </w:pPr>
      <w:r w:rsidRPr="00463544">
        <w:rPr>
          <w:rFonts w:ascii="Tahoma" w:eastAsia="Calibri" w:hAnsi="Tahoma" w:cs="Tahoma"/>
          <w:b/>
          <w:bCs/>
          <w:lang w:eastAsia="es-CO"/>
        </w:rPr>
        <w:t>“El deber de información a cargo de las administradoras de fondos de pensiones: Un deber exigible desde su creación</w:t>
      </w:r>
      <w:r w:rsidRPr="00463544">
        <w:rPr>
          <w:rFonts w:ascii="Tahoma" w:eastAsia="Calibri" w:hAnsi="Tahoma" w:cs="Tahoma"/>
          <w:bCs/>
          <w:vertAlign w:val="superscript"/>
          <w:lang w:eastAsia="es-CO"/>
        </w:rPr>
        <w:footnoteReference w:id="2"/>
      </w:r>
      <w:r w:rsidRPr="00463544">
        <w:rPr>
          <w:rFonts w:ascii="Tahoma" w:eastAsia="Calibri" w:hAnsi="Tahoma" w:cs="Tahoma"/>
          <w:b/>
          <w:bCs/>
          <w:lang w:eastAsia="es-CO"/>
        </w:rPr>
        <w:t>”</w:t>
      </w:r>
    </w:p>
    <w:p w14:paraId="4CA573AA" w14:textId="77777777" w:rsidR="00463544" w:rsidRPr="00463544" w:rsidRDefault="00463544" w:rsidP="00463544">
      <w:pPr>
        <w:widowControl w:val="0"/>
        <w:autoSpaceDE w:val="0"/>
        <w:autoSpaceDN w:val="0"/>
        <w:adjustRightInd w:val="0"/>
        <w:spacing w:before="0" w:beforeAutospacing="0" w:after="0" w:afterAutospacing="0" w:line="276" w:lineRule="auto"/>
        <w:ind w:firstLine="284"/>
        <w:rPr>
          <w:rFonts w:ascii="Tahoma" w:eastAsia="Calibri" w:hAnsi="Tahoma" w:cs="Tahoma"/>
          <w:i/>
          <w:lang w:eastAsia="es-CO"/>
        </w:rPr>
      </w:pPr>
    </w:p>
    <w:p w14:paraId="02532ED5" w14:textId="77777777" w:rsidR="00463544" w:rsidRPr="00463544" w:rsidRDefault="00463544" w:rsidP="00463544">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63544">
        <w:rPr>
          <w:rFonts w:ascii="Tahoma" w:eastAsia="Calibri" w:hAnsi="Tahoma" w:cs="Tahoma"/>
          <w:lang w:eastAsia="es-CO"/>
        </w:rPr>
        <w:t xml:space="preserve">Dado que las Administradoras de Fondos de Pensiones son organismos profesionales, resulta aplicable el artículo 1604 del Código Civil, según el cual la prueba </w:t>
      </w:r>
      <w:r w:rsidRPr="00463544">
        <w:rPr>
          <w:rFonts w:ascii="Tahoma" w:eastAsia="Calibri" w:hAnsi="Tahoma" w:cs="Tahoma"/>
          <w:lang w:eastAsia="es-CO"/>
        </w:rPr>
        <w:lastRenderedPageBreak/>
        <w:t xml:space="preserve">de la </w:t>
      </w:r>
      <w:r w:rsidRPr="00463544">
        <w:rPr>
          <w:rFonts w:ascii="Tahoma" w:eastAsia="Calibri" w:hAnsi="Tahoma" w:cs="Tahoma"/>
          <w:u w:val="single"/>
          <w:lang w:eastAsia="es-CO"/>
        </w:rPr>
        <w:t>debida diligencia y cuidado</w:t>
      </w:r>
      <w:r w:rsidRPr="00463544">
        <w:rPr>
          <w:rFonts w:ascii="Tahoma" w:eastAsia="Calibri" w:hAnsi="Tahoma" w:cs="Tahoma"/>
          <w:lang w:eastAsia="es-CO"/>
        </w:rPr>
        <w:t xml:space="preserve"> incumbe a quien ha debido emplearla, atendiendo a las siguientes razones:</w:t>
      </w:r>
    </w:p>
    <w:p w14:paraId="4C384E56" w14:textId="77777777" w:rsidR="00463544" w:rsidRPr="00463544" w:rsidRDefault="00463544" w:rsidP="00463544">
      <w:pPr>
        <w:widowControl w:val="0"/>
        <w:autoSpaceDE w:val="0"/>
        <w:autoSpaceDN w:val="0"/>
        <w:adjustRightInd w:val="0"/>
        <w:spacing w:before="0" w:beforeAutospacing="0" w:after="0" w:afterAutospacing="0" w:line="276" w:lineRule="auto"/>
        <w:ind w:firstLine="284"/>
        <w:rPr>
          <w:rFonts w:ascii="Tahoma" w:eastAsia="Calibri" w:hAnsi="Tahoma" w:cs="Tahoma"/>
          <w:b/>
          <w:lang w:eastAsia="es-CO"/>
        </w:rPr>
      </w:pPr>
    </w:p>
    <w:p w14:paraId="2722127C" w14:textId="77777777" w:rsidR="00463544" w:rsidRPr="00463544" w:rsidRDefault="00463544" w:rsidP="00463544">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63544">
        <w:rPr>
          <w:rFonts w:ascii="Tahoma" w:eastAsia="Calibri" w:hAnsi="Tahoma" w:cs="Tahoma"/>
          <w:b/>
          <w:lang w:eastAsia="es-CO"/>
        </w:rPr>
        <w:t>1)</w:t>
      </w:r>
      <w:r w:rsidRPr="00463544">
        <w:rPr>
          <w:rFonts w:ascii="Tahoma" w:eastAsia="Calibri" w:hAnsi="Tahoma" w:cs="Tahoma"/>
          <w:lang w:eastAsia="es-CO"/>
        </w:rPr>
        <w:t xml:space="preserve"> Las Administradoras de Fondos de Pensiones tienen deberes de carácter profesional con sus afiliados y con los consumidores del mercado potencial en general. Además, sus actividades se encuentran reguladas por el </w:t>
      </w:r>
      <w:r w:rsidRPr="00463544">
        <w:rPr>
          <w:rFonts w:ascii="Tahoma" w:eastAsia="Calibri" w:hAnsi="Tahoma" w:cs="Tahoma"/>
          <w:u w:val="single"/>
          <w:lang w:eastAsia="es-CO"/>
        </w:rPr>
        <w:t>Decreto 663 de 1993</w:t>
      </w:r>
      <w:r w:rsidRPr="00463544">
        <w:rPr>
          <w:rFonts w:ascii="Tahoma" w:eastAsia="Calibri" w:hAnsi="Tahoma" w:cs="Tahoma"/>
          <w:u w:val="single"/>
          <w:vertAlign w:val="superscript"/>
          <w:lang w:eastAsia="es-CO"/>
        </w:rPr>
        <w:footnoteReference w:id="3"/>
      </w:r>
      <w:r w:rsidRPr="00463544">
        <w:rPr>
          <w:rFonts w:ascii="Tahoma" w:eastAsia="Calibri" w:hAnsi="Tahoma" w:cs="Tahoma"/>
          <w:lang w:eastAsia="es-CO"/>
        </w:rPr>
        <w:t>, norma en la que se destaca la importancia de los principios de debida diligencia, transparencia e información cierta, suficiente y oportuna.</w:t>
      </w:r>
    </w:p>
    <w:p w14:paraId="612BF656" w14:textId="77777777" w:rsidR="00463544" w:rsidRPr="00463544" w:rsidRDefault="00463544" w:rsidP="00463544">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E963288" w14:textId="77777777" w:rsidR="00463544" w:rsidRPr="00463544" w:rsidRDefault="00463544" w:rsidP="00463544">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63544">
        <w:rPr>
          <w:rFonts w:ascii="Tahoma" w:eastAsia="Calibri" w:hAnsi="Tahoma" w:cs="Tahoma"/>
          <w:b/>
          <w:lang w:eastAsia="es-CO"/>
        </w:rPr>
        <w:t>2)</w:t>
      </w:r>
      <w:r w:rsidRPr="00463544">
        <w:rPr>
          <w:rFonts w:ascii="Tahoma" w:eastAsia="Calibri" w:hAnsi="Tahoma" w:cs="Tahoma"/>
          <w:lang w:eastAsia="es-CO"/>
        </w:rPr>
        <w:t xml:space="preserve"> Adicionalmente, se tiene previsto en el artículo 12 del Decreto 720 de 1994, que los promotores que empleen las sociedades administradoras del sistema general de pensiones deberán suministrar </w:t>
      </w:r>
      <w:r w:rsidRPr="00463544">
        <w:rPr>
          <w:rFonts w:ascii="Tahoma" w:eastAsia="Calibri" w:hAnsi="Tahoma" w:cs="Tahoma"/>
          <w:u w:val="single"/>
          <w:lang w:eastAsia="es-CO"/>
        </w:rPr>
        <w:t>suficiente, amplia y oportuna</w:t>
      </w:r>
      <w:r w:rsidRPr="00463544">
        <w:rPr>
          <w:rFonts w:ascii="Tahoma" w:eastAsia="Calibri" w:hAnsi="Tahoma" w:cs="Tahoma"/>
          <w:lang w:eastAsia="es-CO"/>
        </w:rPr>
        <w:t xml:space="preserve"> información a los posibles afiliados al momento de la promoción de la afiliación y durante toda la vinculación con ocasión de las prestaciones a las cuales tenga derecho el afiliado. </w:t>
      </w:r>
    </w:p>
    <w:p w14:paraId="131D7DD3" w14:textId="77777777" w:rsidR="00463544" w:rsidRPr="00463544" w:rsidRDefault="00463544" w:rsidP="00463544">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D70C936" w14:textId="77777777" w:rsidR="00463544" w:rsidRPr="00463544" w:rsidRDefault="00463544" w:rsidP="00463544">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463544">
        <w:rPr>
          <w:rFonts w:ascii="Tahoma" w:eastAsia="Calibri" w:hAnsi="Tahoma" w:cs="Tahoma"/>
          <w:b/>
          <w:lang w:eastAsia="es-CO"/>
        </w:rPr>
        <w:t>3)</w:t>
      </w:r>
      <w:r w:rsidRPr="00463544">
        <w:rPr>
          <w:rFonts w:ascii="Tahoma" w:eastAsia="Calibri" w:hAnsi="Tahoma" w:cs="Tahoma"/>
          <w:lang w:eastAsia="es-CO"/>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1AE41A59" w14:textId="77777777" w:rsidR="00463544" w:rsidRPr="00463544" w:rsidRDefault="00463544" w:rsidP="00463544">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BD39A61" w14:textId="77777777" w:rsidR="00463544" w:rsidRPr="00463544" w:rsidRDefault="00463544" w:rsidP="00463544">
      <w:pPr>
        <w:widowControl w:val="0"/>
        <w:autoSpaceDE w:val="0"/>
        <w:autoSpaceDN w:val="0"/>
        <w:adjustRightInd w:val="0"/>
        <w:spacing w:before="0" w:beforeAutospacing="0" w:after="0" w:afterAutospacing="0" w:line="276" w:lineRule="auto"/>
        <w:ind w:firstLine="708"/>
        <w:rPr>
          <w:rFonts w:ascii="Tahoma" w:eastAsia="Calibri" w:hAnsi="Tahoma" w:cs="Tahoma"/>
          <w:iCs/>
          <w:u w:val="single"/>
          <w:lang w:eastAsia="es-CO"/>
        </w:rPr>
      </w:pPr>
      <w:r w:rsidRPr="00463544">
        <w:rPr>
          <w:rFonts w:ascii="Tahoma" w:eastAsia="Calibri" w:hAnsi="Tahoma" w:cs="Tahoma"/>
          <w:b/>
          <w:lang w:eastAsia="es-CO"/>
        </w:rPr>
        <w:t>4)</w:t>
      </w:r>
      <w:r w:rsidRPr="00463544">
        <w:rPr>
          <w:rFonts w:ascii="Tahoma" w:eastAsia="Calibri" w:hAnsi="Tahoma" w:cs="Tahoma"/>
          <w:lang w:eastAsia="es-CO"/>
        </w:rPr>
        <w:t xml:space="preserve"> En numerosas sentencias del órgano de cierre de la jurisdicción ordinaria laboral, se ha establecido que no puede argüirse que </w:t>
      </w:r>
      <w:r w:rsidRPr="00463544">
        <w:rPr>
          <w:rFonts w:ascii="Tahoma" w:eastAsia="Calibri" w:hAnsi="Tahoma" w:cs="Tahoma"/>
          <w:iCs/>
          <w:lang w:eastAsia="es-CO"/>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463544">
        <w:rPr>
          <w:rFonts w:ascii="Tahoma" w:eastAsia="Calibri" w:hAnsi="Tahoma" w:cs="Tahoma"/>
          <w:i/>
          <w:iCs/>
          <w:lang w:eastAsia="es-CO"/>
        </w:rPr>
        <w:t>“</w:t>
      </w:r>
      <w:r w:rsidRPr="00463544">
        <w:rPr>
          <w:rFonts w:ascii="Tahoma" w:eastAsia="Calibri" w:hAnsi="Tahoma" w:cs="Tahoma"/>
          <w:i/>
          <w:iCs/>
          <w:sz w:val="22"/>
          <w:u w:val="single"/>
          <w:lang w:eastAsia="es-CO"/>
        </w:rPr>
        <w:t>dar cuenta de que documentaron clara y suficientemente los efectos que acarrea el cambio de régimen, so pena de declarar ineficaz ese tránsito</w:t>
      </w:r>
      <w:r w:rsidRPr="00463544">
        <w:rPr>
          <w:rFonts w:ascii="Tahoma" w:eastAsia="Calibri" w:hAnsi="Tahoma" w:cs="Tahoma"/>
          <w:i/>
          <w:iCs/>
          <w:u w:val="single"/>
          <w:lang w:eastAsia="es-CO"/>
        </w:rPr>
        <w:t>”</w:t>
      </w:r>
      <w:r w:rsidRPr="00463544">
        <w:rPr>
          <w:rFonts w:ascii="Tahoma" w:eastAsia="Calibri" w:hAnsi="Tahoma" w:cs="Tahoma"/>
          <w:iCs/>
          <w:u w:val="single"/>
          <w:lang w:eastAsia="es-CO"/>
        </w:rPr>
        <w:t>.</w:t>
      </w:r>
    </w:p>
    <w:p w14:paraId="3FD6511B" w14:textId="77777777" w:rsidR="00463544" w:rsidRPr="00463544" w:rsidRDefault="00463544" w:rsidP="00463544">
      <w:pPr>
        <w:widowControl w:val="0"/>
        <w:autoSpaceDE w:val="0"/>
        <w:autoSpaceDN w:val="0"/>
        <w:adjustRightInd w:val="0"/>
        <w:spacing w:before="0" w:beforeAutospacing="0" w:after="0" w:afterAutospacing="0" w:line="276" w:lineRule="auto"/>
        <w:ind w:firstLine="284"/>
        <w:rPr>
          <w:rFonts w:ascii="Tahoma" w:eastAsia="Calibri" w:hAnsi="Tahoma" w:cs="Tahoma"/>
          <w:iCs/>
          <w:u w:val="single"/>
          <w:lang w:eastAsia="es-CO"/>
        </w:rPr>
      </w:pPr>
    </w:p>
    <w:p w14:paraId="1BF258CB" w14:textId="77777777" w:rsidR="00463544" w:rsidRPr="00463544" w:rsidRDefault="00463544" w:rsidP="00463544">
      <w:pPr>
        <w:widowControl w:val="0"/>
        <w:autoSpaceDE w:val="0"/>
        <w:autoSpaceDN w:val="0"/>
        <w:adjustRightInd w:val="0"/>
        <w:spacing w:before="0" w:beforeAutospacing="0" w:after="0" w:afterAutospacing="0" w:line="276" w:lineRule="auto"/>
        <w:ind w:firstLine="284"/>
        <w:rPr>
          <w:rFonts w:ascii="Tahoma" w:eastAsia="Calibri" w:hAnsi="Tahoma" w:cs="Tahoma"/>
          <w:iCs/>
          <w:lang w:eastAsia="es-CO"/>
        </w:rPr>
      </w:pPr>
      <w:r w:rsidRPr="00463544">
        <w:rPr>
          <w:rFonts w:ascii="Tahoma" w:eastAsia="Calibri" w:hAnsi="Tahoma" w:cs="Tahoma"/>
          <w:iCs/>
          <w:lang w:eastAsia="es-CO"/>
        </w:rPr>
        <w:tab/>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3B45315F" w14:textId="77777777" w:rsidR="00463544" w:rsidRPr="00463544" w:rsidRDefault="00463544" w:rsidP="00463544">
      <w:pPr>
        <w:widowControl w:val="0"/>
        <w:autoSpaceDE w:val="0"/>
        <w:autoSpaceDN w:val="0"/>
        <w:adjustRightInd w:val="0"/>
        <w:spacing w:before="0" w:beforeAutospacing="0" w:after="0" w:afterAutospacing="0" w:line="276" w:lineRule="auto"/>
        <w:ind w:firstLine="284"/>
        <w:rPr>
          <w:rFonts w:ascii="Tahoma" w:eastAsia="Calibri" w:hAnsi="Tahoma" w:cs="Tahoma"/>
          <w:iCs/>
          <w:lang w:eastAsia="es-CO"/>
        </w:rPr>
      </w:pPr>
    </w:p>
    <w:p w14:paraId="6883EA3E" w14:textId="77777777" w:rsidR="00463544" w:rsidRPr="00463544" w:rsidRDefault="00463544" w:rsidP="00463544">
      <w:pPr>
        <w:widowControl w:val="0"/>
        <w:autoSpaceDE w:val="0"/>
        <w:autoSpaceDN w:val="0"/>
        <w:adjustRightInd w:val="0"/>
        <w:spacing w:before="0" w:beforeAutospacing="0" w:after="0" w:afterAutospacing="0" w:line="276" w:lineRule="auto"/>
        <w:ind w:firstLine="284"/>
        <w:rPr>
          <w:rFonts w:ascii="Tahoma" w:eastAsia="Calibri" w:hAnsi="Tahoma" w:cs="Tahoma"/>
          <w:iCs/>
          <w:lang w:eastAsia="es-CO"/>
        </w:rPr>
      </w:pPr>
      <w:r w:rsidRPr="00463544">
        <w:rPr>
          <w:rFonts w:ascii="Tahoma" w:eastAsia="Calibri" w:hAnsi="Tahoma" w:cs="Tahoma"/>
          <w:iCs/>
          <w:lang w:eastAsia="es-CO"/>
        </w:rPr>
        <w:tab/>
        <w:t xml:space="preserve">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w:t>
      </w:r>
      <w:r w:rsidRPr="00463544">
        <w:rPr>
          <w:rFonts w:ascii="Tahoma" w:eastAsia="Calibri" w:hAnsi="Tahoma" w:cs="Tahoma"/>
          <w:iCs/>
          <w:lang w:eastAsia="es-CO"/>
        </w:rPr>
        <w:lastRenderedPageBreak/>
        <w:t>seguros de previsión para su vejez, invalidez o para su familia cercana en caso de muerte prematura.</w:t>
      </w:r>
    </w:p>
    <w:p w14:paraId="27BE3979" w14:textId="77777777" w:rsidR="00463544" w:rsidRPr="00463544" w:rsidRDefault="00463544" w:rsidP="00463544">
      <w:pPr>
        <w:widowControl w:val="0"/>
        <w:autoSpaceDE w:val="0"/>
        <w:autoSpaceDN w:val="0"/>
        <w:adjustRightInd w:val="0"/>
        <w:spacing w:before="0" w:beforeAutospacing="0" w:after="0" w:afterAutospacing="0" w:line="276" w:lineRule="auto"/>
        <w:ind w:firstLine="284"/>
        <w:rPr>
          <w:rFonts w:ascii="Tahoma" w:eastAsia="Calibri" w:hAnsi="Tahoma" w:cs="Tahoma"/>
          <w:iCs/>
          <w:lang w:eastAsia="es-CO"/>
        </w:rPr>
      </w:pPr>
    </w:p>
    <w:p w14:paraId="47AF8E7B" w14:textId="77777777" w:rsidR="00463544" w:rsidRPr="00463544" w:rsidRDefault="00463544" w:rsidP="00463544">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463544">
        <w:rPr>
          <w:rFonts w:ascii="Tahoma" w:eastAsia="Calibri" w:hAnsi="Tahoma" w:cs="Tahoma"/>
          <w:lang w:eastAsia="es-CO"/>
        </w:rPr>
        <w:tab/>
        <w:t xml:space="preserve">Ello así, también ha dicho el órgano de cierre de la especialidad laboral, que las </w:t>
      </w:r>
      <w:proofErr w:type="spellStart"/>
      <w:r w:rsidRPr="00463544">
        <w:rPr>
          <w:rFonts w:ascii="Tahoma" w:eastAsia="Calibri" w:hAnsi="Tahoma" w:cs="Tahoma"/>
          <w:lang w:eastAsia="es-CO"/>
        </w:rPr>
        <w:t>AFPs</w:t>
      </w:r>
      <w:proofErr w:type="spellEnd"/>
      <w:r w:rsidRPr="00463544">
        <w:rPr>
          <w:rFonts w:ascii="Tahoma" w:eastAsia="Calibri" w:hAnsi="Tahoma" w:cs="Tahoma"/>
          <w:lang w:eastAsia="es-CO"/>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34F9CF03" w14:textId="77777777" w:rsidR="00463544" w:rsidRPr="00463544" w:rsidRDefault="00463544" w:rsidP="00463544">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E87871F" w14:textId="77777777" w:rsidR="00463544" w:rsidRPr="00463544" w:rsidRDefault="00463544" w:rsidP="00463544">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bookmarkStart w:id="7" w:name="_Hlk90025453"/>
      <w:r w:rsidRPr="00463544">
        <w:rPr>
          <w:rFonts w:ascii="Tahoma" w:eastAsia="Calibri" w:hAnsi="Tahoma" w:cs="Tahoma"/>
          <w:lang w:eastAsia="es-CO"/>
        </w:rPr>
        <w:t xml:space="preserve">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w:t>
      </w:r>
      <w:r w:rsidRPr="00463544">
        <w:rPr>
          <w:rFonts w:ascii="Tahoma" w:eastAsia="Calibri" w:hAnsi="Tahoma" w:cs="Tahoma"/>
          <w:b/>
          <w:lang w:eastAsia="es-CO"/>
        </w:rPr>
        <w:t xml:space="preserve">necesaria y transparente, </w:t>
      </w:r>
      <w:r w:rsidRPr="00463544">
        <w:rPr>
          <w:rFonts w:ascii="Tahoma" w:eastAsia="Calibri" w:hAnsi="Tahoma" w:cs="Tahoma"/>
          <w:lang w:eastAsia="es-CO"/>
        </w:rPr>
        <w:t xml:space="preserve">que con el transcurrir del tiempo esta exigencia cambió, pasando de un deber de información necesaria al de </w:t>
      </w:r>
      <w:r w:rsidRPr="00463544">
        <w:rPr>
          <w:rFonts w:ascii="Tahoma" w:eastAsia="Calibri" w:hAnsi="Tahoma" w:cs="Tahoma"/>
          <w:b/>
          <w:lang w:eastAsia="es-CO"/>
        </w:rPr>
        <w:t>asesoría y buen consejo</w:t>
      </w:r>
      <w:r w:rsidRPr="00463544">
        <w:rPr>
          <w:rFonts w:ascii="Tahoma" w:eastAsia="Calibri" w:hAnsi="Tahoma" w:cs="Tahoma"/>
          <w:lang w:eastAsia="es-CO"/>
        </w:rPr>
        <w:t xml:space="preserve">, y finalmente al de </w:t>
      </w:r>
      <w:r w:rsidRPr="00463544">
        <w:rPr>
          <w:rFonts w:ascii="Tahoma" w:eastAsia="Calibri" w:hAnsi="Tahoma" w:cs="Tahoma"/>
          <w:b/>
          <w:lang w:eastAsia="es-CO"/>
        </w:rPr>
        <w:t>doble asesoría</w:t>
      </w:r>
      <w:r w:rsidRPr="00463544">
        <w:rPr>
          <w:rFonts w:ascii="Tahoma" w:eastAsia="Calibri" w:hAnsi="Tahoma" w:cs="Tahoma"/>
          <w:lang w:eastAsia="es-CO"/>
        </w:rPr>
        <w:t>, explicando en qué consiste cada uno de esos conceptos</w:t>
      </w:r>
      <w:bookmarkEnd w:id="7"/>
      <w:r w:rsidRPr="00463544">
        <w:rPr>
          <w:rFonts w:ascii="Tahoma" w:eastAsia="Calibri" w:hAnsi="Tahoma" w:cs="Tahoma"/>
          <w:lang w:eastAsia="es-CO"/>
        </w:rPr>
        <w:t>. Dicho recuento histórico, se compendia de la siguiente manera:</w:t>
      </w:r>
    </w:p>
    <w:p w14:paraId="605792B7" w14:textId="77777777" w:rsidR="00463544" w:rsidRPr="00463544" w:rsidRDefault="00463544" w:rsidP="00463544">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1AA46A66" w14:textId="77777777" w:rsidR="00463544" w:rsidRPr="00463544" w:rsidRDefault="00463544" w:rsidP="00463544">
      <w:pPr>
        <w:spacing w:before="0" w:beforeAutospacing="0" w:after="0" w:afterAutospacing="0" w:line="240" w:lineRule="auto"/>
        <w:ind w:left="426" w:right="420" w:firstLine="0"/>
        <w:textAlignment w:val="baseline"/>
        <w:rPr>
          <w:rFonts w:ascii="Tahoma" w:eastAsia="Times New Roman" w:hAnsi="Tahoma" w:cs="Tahoma"/>
          <w:sz w:val="22"/>
          <w:lang w:eastAsia="es-ES"/>
        </w:rPr>
      </w:pPr>
      <w:bookmarkStart w:id="8" w:name="_Hlk66368436"/>
      <w:r w:rsidRPr="00463544">
        <w:rPr>
          <w:rFonts w:ascii="Tahoma" w:eastAsia="Times New Roman" w:hAnsi="Tahoma" w:cs="Tahoma"/>
          <w:i/>
          <w:iCs/>
          <w:sz w:val="22"/>
          <w:lang w:eastAsia="es-ES"/>
        </w:rPr>
        <w:t>“El anterior recuento sobre la evolución normativa del deber de información a cargo de las administradoras de pensiones podría, a grandes rasgos, sintetizarse así:</w:t>
      </w:r>
    </w:p>
    <w:p w14:paraId="30927E75" w14:textId="77777777" w:rsidR="00463544" w:rsidRPr="00463544" w:rsidRDefault="00463544" w:rsidP="00463544">
      <w:pPr>
        <w:spacing w:before="0" w:beforeAutospacing="0" w:after="0" w:afterAutospacing="0" w:line="240" w:lineRule="auto"/>
        <w:ind w:left="426" w:right="420" w:firstLine="0"/>
        <w:textAlignment w:val="baseline"/>
        <w:rPr>
          <w:rFonts w:ascii="Tahoma" w:eastAsia="Times New Roman" w:hAnsi="Tahoma" w:cs="Tahoma"/>
          <w:sz w:val="22"/>
          <w:lang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463544" w:rsidRPr="00463544" w14:paraId="07357C5D" w14:textId="77777777" w:rsidTr="0021467F">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F0A1934" w14:textId="77777777" w:rsidR="00463544" w:rsidRPr="00463544" w:rsidRDefault="00463544" w:rsidP="00463544">
            <w:pPr>
              <w:spacing w:before="0" w:beforeAutospacing="0" w:after="0" w:afterAutospacing="0" w:line="276" w:lineRule="auto"/>
              <w:ind w:firstLine="0"/>
              <w:textAlignment w:val="baseline"/>
              <w:rPr>
                <w:rFonts w:ascii="Tahoma" w:eastAsia="Times New Roman" w:hAnsi="Tahoma" w:cs="Tahoma"/>
                <w:sz w:val="20"/>
                <w:lang w:eastAsia="es-ES"/>
              </w:rPr>
            </w:pPr>
            <w:r w:rsidRPr="00463544">
              <w:rPr>
                <w:rFonts w:ascii="Tahoma" w:eastAsia="Times New Roman" w:hAnsi="Tahoma" w:cs="Tahoma"/>
                <w:b/>
                <w:bCs/>
                <w:i/>
                <w:iCs/>
                <w:sz w:val="20"/>
                <w:lang w:eastAsia="es-ES"/>
              </w:rPr>
              <w:t>Etapa acumulativa</w:t>
            </w:r>
            <w:r w:rsidRPr="00463544">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175E3C4" w14:textId="77777777" w:rsidR="00463544" w:rsidRPr="00463544" w:rsidRDefault="00463544" w:rsidP="00463544">
            <w:pPr>
              <w:spacing w:before="0" w:beforeAutospacing="0" w:after="0" w:afterAutospacing="0" w:line="276" w:lineRule="auto"/>
              <w:ind w:firstLine="0"/>
              <w:textAlignment w:val="baseline"/>
              <w:rPr>
                <w:rFonts w:ascii="Tahoma" w:eastAsia="Times New Roman" w:hAnsi="Tahoma" w:cs="Tahoma"/>
                <w:sz w:val="20"/>
                <w:lang w:eastAsia="es-ES"/>
              </w:rPr>
            </w:pPr>
            <w:r w:rsidRPr="00463544">
              <w:rPr>
                <w:rFonts w:ascii="Tahoma" w:eastAsia="Times New Roman" w:hAnsi="Tahoma" w:cs="Tahoma"/>
                <w:b/>
                <w:bCs/>
                <w:i/>
                <w:iCs/>
                <w:sz w:val="20"/>
                <w:lang w:eastAsia="es-ES"/>
              </w:rPr>
              <w:t>Normas que obligan a las administradoras de pensiones a dar información</w:t>
            </w:r>
            <w:r w:rsidRPr="00463544">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2AFA40D" w14:textId="77777777" w:rsidR="00463544" w:rsidRPr="00463544" w:rsidRDefault="00463544" w:rsidP="00463544">
            <w:pPr>
              <w:spacing w:before="0" w:beforeAutospacing="0" w:after="0" w:afterAutospacing="0" w:line="276" w:lineRule="auto"/>
              <w:ind w:firstLine="0"/>
              <w:textAlignment w:val="baseline"/>
              <w:rPr>
                <w:rFonts w:ascii="Tahoma" w:eastAsia="Times New Roman" w:hAnsi="Tahoma" w:cs="Tahoma"/>
                <w:sz w:val="20"/>
                <w:lang w:eastAsia="es-ES"/>
              </w:rPr>
            </w:pPr>
            <w:r w:rsidRPr="00463544">
              <w:rPr>
                <w:rFonts w:ascii="Tahoma" w:eastAsia="Times New Roman" w:hAnsi="Tahoma" w:cs="Tahoma"/>
                <w:b/>
                <w:bCs/>
                <w:i/>
                <w:iCs/>
                <w:sz w:val="20"/>
                <w:lang w:eastAsia="es-ES"/>
              </w:rPr>
              <w:t>Contenido mínimo y alcance del deber de información</w:t>
            </w:r>
            <w:r w:rsidRPr="00463544">
              <w:rPr>
                <w:rFonts w:ascii="Tahoma" w:eastAsia="Times New Roman" w:hAnsi="Tahoma" w:cs="Tahoma"/>
                <w:sz w:val="20"/>
                <w:lang w:eastAsia="es-ES"/>
              </w:rPr>
              <w:t> </w:t>
            </w:r>
          </w:p>
        </w:tc>
      </w:tr>
      <w:tr w:rsidR="00463544" w:rsidRPr="00463544" w14:paraId="0860EFB1" w14:textId="77777777" w:rsidTr="0021467F">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9F0B602" w14:textId="77777777" w:rsidR="00463544" w:rsidRPr="00463544" w:rsidRDefault="00463544" w:rsidP="00463544">
            <w:pPr>
              <w:spacing w:before="0" w:beforeAutospacing="0" w:after="0" w:afterAutospacing="0" w:line="276" w:lineRule="auto"/>
              <w:ind w:firstLine="0"/>
              <w:textAlignment w:val="baseline"/>
              <w:rPr>
                <w:rFonts w:ascii="Tahoma" w:eastAsia="Times New Roman" w:hAnsi="Tahoma" w:cs="Tahoma"/>
                <w:sz w:val="20"/>
                <w:lang w:eastAsia="es-ES"/>
              </w:rPr>
            </w:pPr>
            <w:r w:rsidRPr="00463544">
              <w:rPr>
                <w:rFonts w:ascii="Tahoma" w:eastAsia="Times New Roman" w:hAnsi="Tahoma" w:cs="Tahoma"/>
                <w:i/>
                <w:iCs/>
                <w:sz w:val="20"/>
                <w:lang w:eastAsia="es-ES"/>
              </w:rPr>
              <w:t>Deber de información </w:t>
            </w:r>
            <w:r w:rsidRPr="00463544">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2832360" w14:textId="77777777" w:rsidR="00463544" w:rsidRPr="00463544" w:rsidRDefault="00463544" w:rsidP="00463544">
            <w:pPr>
              <w:spacing w:before="0" w:beforeAutospacing="0" w:after="0" w:afterAutospacing="0" w:line="276" w:lineRule="auto"/>
              <w:ind w:firstLine="0"/>
              <w:textAlignment w:val="baseline"/>
              <w:rPr>
                <w:rFonts w:ascii="Tahoma" w:eastAsia="Times New Roman" w:hAnsi="Tahoma" w:cs="Tahoma"/>
                <w:sz w:val="20"/>
                <w:lang w:eastAsia="es-ES"/>
              </w:rPr>
            </w:pPr>
            <w:r w:rsidRPr="00463544">
              <w:rPr>
                <w:rFonts w:ascii="Tahoma" w:eastAsia="Times New Roman" w:hAnsi="Tahoma" w:cs="Tahoma"/>
                <w:i/>
                <w:iCs/>
                <w:sz w:val="20"/>
                <w:lang w:eastAsia="es-ES"/>
              </w:rPr>
              <w:t>Arts. 13 literal b), 271 y 272 de la Ley 100 de 1993</w:t>
            </w:r>
            <w:r w:rsidRPr="00463544">
              <w:rPr>
                <w:rFonts w:ascii="Tahoma" w:eastAsia="Times New Roman" w:hAnsi="Tahoma" w:cs="Tahoma"/>
                <w:sz w:val="20"/>
                <w:lang w:eastAsia="es-ES"/>
              </w:rPr>
              <w:t> </w:t>
            </w:r>
          </w:p>
          <w:p w14:paraId="4BF0D9A3" w14:textId="77777777" w:rsidR="00463544" w:rsidRPr="00463544" w:rsidRDefault="00463544" w:rsidP="00463544">
            <w:pPr>
              <w:spacing w:before="0" w:beforeAutospacing="0" w:after="0" w:afterAutospacing="0" w:line="276" w:lineRule="auto"/>
              <w:ind w:firstLine="0"/>
              <w:textAlignment w:val="baseline"/>
              <w:rPr>
                <w:rFonts w:ascii="Tahoma" w:eastAsia="Times New Roman" w:hAnsi="Tahoma" w:cs="Tahoma"/>
                <w:sz w:val="20"/>
                <w:lang w:eastAsia="es-ES"/>
              </w:rPr>
            </w:pPr>
            <w:r w:rsidRPr="00463544">
              <w:rPr>
                <w:rFonts w:ascii="Tahoma" w:eastAsia="Times New Roman" w:hAnsi="Tahoma" w:cs="Tahoma"/>
                <w:i/>
                <w:iCs/>
                <w:sz w:val="20"/>
                <w:lang w:eastAsia="es-ES"/>
              </w:rPr>
              <w:t>Art. 97, numeral 1 del Decreto 663 de 1993, modificado por el artículo 23 de la Ley 797 de 2003</w:t>
            </w:r>
            <w:r w:rsidRPr="00463544">
              <w:rPr>
                <w:rFonts w:ascii="Tahoma" w:eastAsia="Times New Roman" w:hAnsi="Tahoma" w:cs="Tahoma"/>
                <w:sz w:val="20"/>
                <w:lang w:eastAsia="es-ES"/>
              </w:rPr>
              <w:t> </w:t>
            </w:r>
          </w:p>
          <w:p w14:paraId="71DA3228" w14:textId="77777777" w:rsidR="00463544" w:rsidRPr="00463544" w:rsidRDefault="00463544" w:rsidP="00463544">
            <w:pPr>
              <w:spacing w:before="0" w:beforeAutospacing="0" w:after="0" w:afterAutospacing="0" w:line="276" w:lineRule="auto"/>
              <w:ind w:firstLine="0"/>
              <w:textAlignment w:val="baseline"/>
              <w:rPr>
                <w:rFonts w:ascii="Tahoma" w:eastAsia="Times New Roman" w:hAnsi="Tahoma" w:cs="Tahoma"/>
                <w:sz w:val="20"/>
                <w:lang w:eastAsia="es-ES"/>
              </w:rPr>
            </w:pPr>
            <w:r w:rsidRPr="00463544">
              <w:rPr>
                <w:rFonts w:ascii="Tahoma" w:eastAsia="Times New Roman" w:hAnsi="Tahoma" w:cs="Tahoma"/>
                <w:i/>
                <w:iCs/>
                <w:sz w:val="20"/>
                <w:lang w:eastAsia="es-ES"/>
              </w:rPr>
              <w:t>Disposiciones constitucionales relativas al derecho a la información, no menoscabo de derechos laborales y autonomía personal</w:t>
            </w:r>
            <w:r w:rsidRPr="00463544">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AC3109B" w14:textId="77777777" w:rsidR="00463544" w:rsidRPr="00463544" w:rsidRDefault="00463544" w:rsidP="00463544">
            <w:pPr>
              <w:spacing w:before="0" w:beforeAutospacing="0" w:after="0" w:afterAutospacing="0" w:line="276" w:lineRule="auto"/>
              <w:ind w:firstLine="0"/>
              <w:textAlignment w:val="baseline"/>
              <w:rPr>
                <w:rFonts w:ascii="Tahoma" w:eastAsia="Times New Roman" w:hAnsi="Tahoma" w:cs="Tahoma"/>
                <w:sz w:val="20"/>
                <w:lang w:eastAsia="es-ES"/>
              </w:rPr>
            </w:pPr>
            <w:r w:rsidRPr="00463544">
              <w:rPr>
                <w:rFonts w:ascii="Tahoma" w:eastAsia="Times New Roman" w:hAnsi="Tahoma" w:cs="Tahoma"/>
                <w:i/>
                <w:iCs/>
                <w:sz w:val="20"/>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463544">
              <w:rPr>
                <w:rFonts w:ascii="Tahoma" w:eastAsia="Times New Roman" w:hAnsi="Tahoma" w:cs="Tahoma"/>
                <w:sz w:val="20"/>
                <w:lang w:eastAsia="es-ES"/>
              </w:rPr>
              <w:t> </w:t>
            </w:r>
          </w:p>
        </w:tc>
      </w:tr>
      <w:tr w:rsidR="00463544" w:rsidRPr="00463544" w14:paraId="0BF353C8" w14:textId="77777777" w:rsidTr="0021467F">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9D80390" w14:textId="77777777" w:rsidR="00463544" w:rsidRPr="00463544" w:rsidRDefault="00463544" w:rsidP="00463544">
            <w:pPr>
              <w:spacing w:before="0" w:beforeAutospacing="0" w:after="0" w:afterAutospacing="0" w:line="276" w:lineRule="auto"/>
              <w:ind w:firstLine="0"/>
              <w:textAlignment w:val="baseline"/>
              <w:rPr>
                <w:rFonts w:ascii="Tahoma" w:eastAsia="Times New Roman" w:hAnsi="Tahoma" w:cs="Tahoma"/>
                <w:sz w:val="20"/>
                <w:lang w:eastAsia="es-ES"/>
              </w:rPr>
            </w:pPr>
            <w:r w:rsidRPr="00463544">
              <w:rPr>
                <w:rFonts w:ascii="Tahoma" w:eastAsia="Times New Roman" w:hAnsi="Tahoma" w:cs="Tahoma"/>
                <w:i/>
                <w:iCs/>
                <w:sz w:val="20"/>
                <w:lang w:eastAsia="es-ES"/>
              </w:rPr>
              <w:t>Deber de información, asesoría y buen consejo</w:t>
            </w:r>
            <w:r w:rsidRPr="00463544">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F0D6FDF" w14:textId="77777777" w:rsidR="00463544" w:rsidRPr="00463544" w:rsidRDefault="00463544" w:rsidP="00463544">
            <w:pPr>
              <w:spacing w:before="0" w:beforeAutospacing="0" w:after="0" w:afterAutospacing="0" w:line="276" w:lineRule="auto"/>
              <w:ind w:firstLine="0"/>
              <w:textAlignment w:val="baseline"/>
              <w:rPr>
                <w:rFonts w:ascii="Tahoma" w:eastAsia="Times New Roman" w:hAnsi="Tahoma" w:cs="Tahoma"/>
                <w:sz w:val="20"/>
                <w:lang w:eastAsia="es-ES"/>
              </w:rPr>
            </w:pPr>
            <w:r w:rsidRPr="00463544">
              <w:rPr>
                <w:rFonts w:ascii="Tahoma" w:eastAsia="Times New Roman" w:hAnsi="Tahoma" w:cs="Tahoma"/>
                <w:i/>
                <w:iCs/>
                <w:sz w:val="20"/>
                <w:lang w:eastAsia="es-ES"/>
              </w:rPr>
              <w:t>Artículo 3, literal c) de la Ley 1328 de 2009</w:t>
            </w:r>
            <w:r w:rsidRPr="00463544">
              <w:rPr>
                <w:rFonts w:ascii="Tahoma" w:eastAsia="Times New Roman" w:hAnsi="Tahoma" w:cs="Tahoma"/>
                <w:sz w:val="20"/>
                <w:lang w:eastAsia="es-ES"/>
              </w:rPr>
              <w:t> </w:t>
            </w:r>
          </w:p>
          <w:p w14:paraId="01899F93" w14:textId="77777777" w:rsidR="00463544" w:rsidRPr="00463544" w:rsidRDefault="00463544" w:rsidP="00463544">
            <w:pPr>
              <w:spacing w:before="0" w:beforeAutospacing="0" w:after="0" w:afterAutospacing="0" w:line="276" w:lineRule="auto"/>
              <w:ind w:firstLine="0"/>
              <w:textAlignment w:val="baseline"/>
              <w:rPr>
                <w:rFonts w:ascii="Tahoma" w:eastAsia="Times New Roman" w:hAnsi="Tahoma" w:cs="Tahoma"/>
                <w:sz w:val="20"/>
                <w:lang w:eastAsia="es-ES"/>
              </w:rPr>
            </w:pPr>
            <w:r w:rsidRPr="00463544">
              <w:rPr>
                <w:rFonts w:ascii="Tahoma" w:eastAsia="Times New Roman" w:hAnsi="Tahoma" w:cs="Tahoma"/>
                <w:i/>
                <w:iCs/>
                <w:sz w:val="20"/>
                <w:lang w:eastAsia="es-ES"/>
              </w:rPr>
              <w:t>Decreto 2241 de 2010</w:t>
            </w:r>
            <w:r w:rsidRPr="00463544">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7BB6A8D" w14:textId="77777777" w:rsidR="00463544" w:rsidRPr="00463544" w:rsidRDefault="00463544" w:rsidP="00463544">
            <w:pPr>
              <w:spacing w:before="0" w:beforeAutospacing="0" w:after="0" w:afterAutospacing="0" w:line="276" w:lineRule="auto"/>
              <w:ind w:firstLine="0"/>
              <w:textAlignment w:val="baseline"/>
              <w:rPr>
                <w:rFonts w:ascii="Tahoma" w:eastAsia="Times New Roman" w:hAnsi="Tahoma" w:cs="Tahoma"/>
                <w:sz w:val="20"/>
                <w:lang w:eastAsia="es-ES"/>
              </w:rPr>
            </w:pPr>
            <w:r w:rsidRPr="00463544">
              <w:rPr>
                <w:rFonts w:ascii="Tahoma" w:eastAsia="Times New Roman" w:hAnsi="Tahoma" w:cs="Tahoma"/>
                <w:i/>
                <w:iCs/>
                <w:sz w:val="20"/>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463544">
              <w:rPr>
                <w:rFonts w:ascii="Tahoma" w:eastAsia="Times New Roman" w:hAnsi="Tahoma" w:cs="Tahoma"/>
                <w:sz w:val="20"/>
                <w:lang w:eastAsia="es-ES"/>
              </w:rPr>
              <w:t> </w:t>
            </w:r>
          </w:p>
        </w:tc>
      </w:tr>
      <w:tr w:rsidR="00463544" w:rsidRPr="00463544" w14:paraId="1C51FCDD" w14:textId="77777777" w:rsidTr="0021467F">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0E1D33F" w14:textId="77777777" w:rsidR="00463544" w:rsidRPr="00463544" w:rsidRDefault="00463544" w:rsidP="00463544">
            <w:pPr>
              <w:spacing w:before="0" w:beforeAutospacing="0" w:after="0" w:afterAutospacing="0" w:line="276" w:lineRule="auto"/>
              <w:ind w:firstLine="0"/>
              <w:textAlignment w:val="baseline"/>
              <w:rPr>
                <w:rFonts w:ascii="Tahoma" w:eastAsia="Times New Roman" w:hAnsi="Tahoma" w:cs="Tahoma"/>
                <w:sz w:val="20"/>
                <w:lang w:eastAsia="es-ES"/>
              </w:rPr>
            </w:pPr>
            <w:r w:rsidRPr="00463544">
              <w:rPr>
                <w:rFonts w:ascii="Tahoma" w:eastAsia="Times New Roman" w:hAnsi="Tahoma" w:cs="Tahoma"/>
                <w:i/>
                <w:iCs/>
                <w:sz w:val="20"/>
                <w:lang w:eastAsia="es-ES"/>
              </w:rPr>
              <w:t>Deber de información, asesoría, buen consejo y doble asesoría. </w:t>
            </w:r>
            <w:r w:rsidRPr="00463544">
              <w:rPr>
                <w:rFonts w:ascii="Tahoma" w:eastAsia="Times New Roman" w:hAnsi="Tahoma" w:cs="Tahoma"/>
                <w:sz w:val="20"/>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271E0D4" w14:textId="77777777" w:rsidR="00463544" w:rsidRPr="00463544" w:rsidRDefault="00463544" w:rsidP="00463544">
            <w:pPr>
              <w:spacing w:before="0" w:beforeAutospacing="0" w:after="0" w:afterAutospacing="0" w:line="276" w:lineRule="auto"/>
              <w:ind w:firstLine="0"/>
              <w:textAlignment w:val="baseline"/>
              <w:rPr>
                <w:rFonts w:ascii="Tahoma" w:eastAsia="Times New Roman" w:hAnsi="Tahoma" w:cs="Tahoma"/>
                <w:sz w:val="20"/>
                <w:lang w:eastAsia="es-ES"/>
              </w:rPr>
            </w:pPr>
            <w:r w:rsidRPr="00463544">
              <w:rPr>
                <w:rFonts w:ascii="Tahoma" w:eastAsia="Times New Roman" w:hAnsi="Tahoma" w:cs="Tahoma"/>
                <w:i/>
                <w:iCs/>
                <w:sz w:val="20"/>
                <w:lang w:eastAsia="es-ES"/>
              </w:rPr>
              <w:t>Ley 1748 de 2014</w:t>
            </w:r>
            <w:r w:rsidRPr="00463544">
              <w:rPr>
                <w:rFonts w:ascii="Tahoma" w:eastAsia="Times New Roman" w:hAnsi="Tahoma" w:cs="Tahoma"/>
                <w:sz w:val="20"/>
                <w:lang w:eastAsia="es-ES"/>
              </w:rPr>
              <w:t> </w:t>
            </w:r>
          </w:p>
          <w:p w14:paraId="25CB0B68" w14:textId="77777777" w:rsidR="00463544" w:rsidRPr="00463544" w:rsidRDefault="00463544" w:rsidP="00463544">
            <w:pPr>
              <w:spacing w:before="0" w:beforeAutospacing="0" w:after="0" w:afterAutospacing="0" w:line="276" w:lineRule="auto"/>
              <w:ind w:firstLine="0"/>
              <w:textAlignment w:val="baseline"/>
              <w:rPr>
                <w:rFonts w:ascii="Tahoma" w:eastAsia="Times New Roman" w:hAnsi="Tahoma" w:cs="Tahoma"/>
                <w:sz w:val="20"/>
                <w:lang w:eastAsia="es-ES"/>
              </w:rPr>
            </w:pPr>
            <w:r w:rsidRPr="00463544">
              <w:rPr>
                <w:rFonts w:ascii="Tahoma" w:eastAsia="Times New Roman" w:hAnsi="Tahoma" w:cs="Tahoma"/>
                <w:i/>
                <w:iCs/>
                <w:sz w:val="20"/>
                <w:lang w:eastAsia="es-ES"/>
              </w:rPr>
              <w:t>Artículo 3 del Decreto 2071 de 2015</w:t>
            </w:r>
            <w:r w:rsidRPr="00463544">
              <w:rPr>
                <w:rFonts w:ascii="Tahoma" w:eastAsia="Times New Roman" w:hAnsi="Tahoma" w:cs="Tahoma"/>
                <w:sz w:val="20"/>
                <w:lang w:eastAsia="es-ES"/>
              </w:rPr>
              <w:t> </w:t>
            </w:r>
          </w:p>
          <w:p w14:paraId="7981639A" w14:textId="77777777" w:rsidR="00463544" w:rsidRPr="00463544" w:rsidRDefault="00463544" w:rsidP="00463544">
            <w:pPr>
              <w:spacing w:before="0" w:beforeAutospacing="0" w:after="0" w:afterAutospacing="0" w:line="276" w:lineRule="auto"/>
              <w:ind w:firstLine="0"/>
              <w:textAlignment w:val="baseline"/>
              <w:rPr>
                <w:rFonts w:ascii="Tahoma" w:eastAsia="Times New Roman" w:hAnsi="Tahoma" w:cs="Tahoma"/>
                <w:sz w:val="20"/>
                <w:lang w:eastAsia="es-ES"/>
              </w:rPr>
            </w:pPr>
            <w:r w:rsidRPr="00463544">
              <w:rPr>
                <w:rFonts w:ascii="Tahoma" w:eastAsia="Times New Roman" w:hAnsi="Tahoma" w:cs="Tahoma"/>
                <w:i/>
                <w:iCs/>
                <w:sz w:val="20"/>
                <w:lang w:eastAsia="es-ES"/>
              </w:rPr>
              <w:t>Circular Externa n. 016 de 2016</w:t>
            </w:r>
            <w:r w:rsidRPr="00463544">
              <w:rPr>
                <w:rFonts w:ascii="Tahoma" w:eastAsia="Times New Roman" w:hAnsi="Tahoma" w:cs="Tahoma"/>
                <w:sz w:val="20"/>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3D70E71" w14:textId="77777777" w:rsidR="00463544" w:rsidRPr="00463544" w:rsidRDefault="00463544" w:rsidP="00463544">
            <w:pPr>
              <w:spacing w:before="0" w:beforeAutospacing="0" w:after="0" w:afterAutospacing="0" w:line="276" w:lineRule="auto"/>
              <w:ind w:firstLine="0"/>
              <w:textAlignment w:val="baseline"/>
              <w:rPr>
                <w:rFonts w:ascii="Tahoma" w:eastAsia="Times New Roman" w:hAnsi="Tahoma" w:cs="Tahoma"/>
                <w:sz w:val="20"/>
                <w:lang w:eastAsia="es-ES"/>
              </w:rPr>
            </w:pPr>
            <w:r w:rsidRPr="00463544">
              <w:rPr>
                <w:rFonts w:ascii="Tahoma" w:eastAsia="Times New Roman" w:hAnsi="Tahoma" w:cs="Tahoma"/>
                <w:i/>
                <w:iCs/>
                <w:sz w:val="20"/>
                <w:lang w:eastAsia="es-ES"/>
              </w:rPr>
              <w:t>Junto con lo anterior, lleva inmerso el derecho a obtener asesoría de los representantes de ambos regímenes pensionales.</w:t>
            </w:r>
            <w:r w:rsidRPr="00463544">
              <w:rPr>
                <w:rFonts w:ascii="Tahoma" w:eastAsia="Times New Roman" w:hAnsi="Tahoma" w:cs="Tahoma"/>
                <w:sz w:val="20"/>
                <w:lang w:eastAsia="es-ES"/>
              </w:rPr>
              <w:t> </w:t>
            </w:r>
          </w:p>
        </w:tc>
      </w:tr>
    </w:tbl>
    <w:p w14:paraId="105E6ED9" w14:textId="77777777" w:rsidR="00463544" w:rsidRPr="00463544" w:rsidRDefault="00463544" w:rsidP="00463544">
      <w:pPr>
        <w:spacing w:before="0" w:beforeAutospacing="0" w:after="0" w:afterAutospacing="0" w:line="240" w:lineRule="auto"/>
        <w:ind w:left="426" w:right="420" w:firstLine="0"/>
        <w:rPr>
          <w:rFonts w:ascii="Tahoma" w:eastAsia="Calibri" w:hAnsi="Tahoma" w:cs="Tahoma"/>
          <w:b/>
          <w:i/>
          <w:spacing w:val="-4"/>
          <w:sz w:val="22"/>
          <w:lang w:eastAsia="es-CO"/>
        </w:rPr>
      </w:pPr>
    </w:p>
    <w:bookmarkEnd w:id="8"/>
    <w:p w14:paraId="11CF3607" w14:textId="77777777" w:rsidR="00463544" w:rsidRPr="00463544" w:rsidRDefault="00463544" w:rsidP="00463544">
      <w:pPr>
        <w:spacing w:before="0" w:beforeAutospacing="0" w:after="0" w:afterAutospacing="0" w:line="240" w:lineRule="auto"/>
        <w:ind w:left="426" w:right="420" w:firstLine="0"/>
        <w:rPr>
          <w:rFonts w:ascii="Tahoma" w:eastAsia="Calibri" w:hAnsi="Tahoma" w:cs="Tahoma"/>
          <w:b/>
          <w:i/>
          <w:sz w:val="22"/>
          <w:lang w:eastAsia="es-CO"/>
        </w:rPr>
      </w:pPr>
      <w:r w:rsidRPr="00463544">
        <w:rPr>
          <w:rFonts w:ascii="Tahoma" w:eastAsia="Calibri" w:hAnsi="Tahoma" w:cs="Tahoma"/>
          <w:b/>
          <w:i/>
          <w:sz w:val="22"/>
          <w:lang w:eastAsia="es-CO"/>
        </w:rPr>
        <w:t>1.4 Conclusión: La constatación del deber de información es ineludible</w:t>
      </w:r>
    </w:p>
    <w:p w14:paraId="5558710D" w14:textId="77777777" w:rsidR="00463544" w:rsidRPr="00463544" w:rsidRDefault="00463544" w:rsidP="00463544">
      <w:pPr>
        <w:spacing w:before="0" w:beforeAutospacing="0" w:after="0" w:afterAutospacing="0" w:line="240" w:lineRule="auto"/>
        <w:ind w:left="426" w:right="420" w:firstLine="0"/>
        <w:rPr>
          <w:rFonts w:ascii="Tahoma" w:eastAsia="Calibri" w:hAnsi="Tahoma" w:cs="Tahoma"/>
          <w:b/>
          <w:i/>
          <w:sz w:val="22"/>
          <w:lang w:eastAsia="es-CO"/>
        </w:rPr>
      </w:pPr>
    </w:p>
    <w:p w14:paraId="3CF5D6A4" w14:textId="77777777" w:rsidR="00463544" w:rsidRPr="00463544" w:rsidRDefault="00463544" w:rsidP="00463544">
      <w:pPr>
        <w:spacing w:before="0" w:beforeAutospacing="0" w:after="0" w:afterAutospacing="0" w:line="240" w:lineRule="auto"/>
        <w:ind w:left="426" w:right="420" w:firstLine="1"/>
        <w:rPr>
          <w:rFonts w:ascii="Tahoma" w:eastAsia="Calibri" w:hAnsi="Tahoma" w:cs="Tahoma"/>
          <w:i/>
          <w:sz w:val="22"/>
          <w:lang w:eastAsia="es-CO"/>
        </w:rPr>
      </w:pPr>
      <w:r w:rsidRPr="00463544">
        <w:rPr>
          <w:rFonts w:ascii="Tahoma" w:eastAsia="Calibri" w:hAnsi="Tahoma" w:cs="Tahoma"/>
          <w:i/>
          <w:sz w:val="22"/>
          <w:lang w:eastAsia="es-CO"/>
        </w:rPr>
        <w:lastRenderedPageBreak/>
        <w:t xml:space="preserve">Según se pudo advertir del anterior recuento, </w:t>
      </w:r>
      <w:r w:rsidRPr="00463544">
        <w:rPr>
          <w:rFonts w:ascii="Tahoma" w:eastAsia="Calibri" w:hAnsi="Tahoma" w:cs="Tahoma"/>
          <w:b/>
          <w:i/>
          <w:sz w:val="22"/>
          <w:lang w:eastAsia="es-CO"/>
        </w:rPr>
        <w:t>las AFP, desde su creación, tenían el deber de brindar información a los afiliados o usuarios del sistema pensional a fin de que estos pudiesen adoptar una decisión consciente y realmente libre sobre su futuro pensional.</w:t>
      </w:r>
      <w:r w:rsidRPr="00463544">
        <w:rPr>
          <w:rFonts w:ascii="Tahoma" w:eastAsia="Calibri" w:hAnsi="Tahoma" w:cs="Tahoma"/>
          <w:i/>
          <w:sz w:val="22"/>
          <w:lang w:eastAsia="es-CO"/>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3E382007" w14:textId="77777777" w:rsidR="00463544" w:rsidRPr="00463544" w:rsidRDefault="00463544" w:rsidP="00463544">
      <w:pPr>
        <w:spacing w:before="0" w:beforeAutospacing="0" w:after="0" w:afterAutospacing="0" w:line="240" w:lineRule="auto"/>
        <w:ind w:left="426" w:right="420" w:firstLine="1"/>
        <w:rPr>
          <w:rFonts w:ascii="Tahoma" w:eastAsia="Calibri" w:hAnsi="Tahoma" w:cs="Tahoma"/>
          <w:i/>
          <w:sz w:val="22"/>
          <w:lang w:eastAsia="es-CO"/>
        </w:rPr>
      </w:pPr>
    </w:p>
    <w:p w14:paraId="0A318D34" w14:textId="77777777" w:rsidR="00463544" w:rsidRPr="00463544" w:rsidRDefault="00463544" w:rsidP="00463544">
      <w:pPr>
        <w:spacing w:before="0" w:beforeAutospacing="0" w:after="0" w:afterAutospacing="0" w:line="240" w:lineRule="auto"/>
        <w:ind w:left="426" w:right="420" w:firstLine="0"/>
        <w:rPr>
          <w:rFonts w:ascii="Tahoma" w:eastAsia="Calibri" w:hAnsi="Tahoma" w:cs="Tahoma"/>
          <w:i/>
          <w:sz w:val="22"/>
          <w:lang w:eastAsia="es-CO"/>
        </w:rPr>
      </w:pPr>
      <w:r w:rsidRPr="00463544">
        <w:rPr>
          <w:rFonts w:ascii="Tahoma" w:eastAsia="Calibri" w:hAnsi="Tahoma" w:cs="Tahoma"/>
          <w:i/>
          <w:sz w:val="22"/>
          <w:lang w:eastAsia="es-CO"/>
        </w:rPr>
        <w:t xml:space="preserve">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  </w:t>
      </w:r>
    </w:p>
    <w:p w14:paraId="2A02C382" w14:textId="77777777" w:rsidR="00463544" w:rsidRPr="00463544" w:rsidRDefault="00463544" w:rsidP="00463544">
      <w:pPr>
        <w:spacing w:before="0" w:beforeAutospacing="0" w:after="0" w:afterAutospacing="0" w:line="240" w:lineRule="auto"/>
        <w:ind w:left="426" w:right="420" w:firstLine="0"/>
        <w:rPr>
          <w:rFonts w:ascii="Tahoma" w:eastAsia="Calibri" w:hAnsi="Tahoma" w:cs="Tahoma"/>
          <w:i/>
          <w:sz w:val="22"/>
          <w:lang w:eastAsia="es-CO"/>
        </w:rPr>
      </w:pPr>
    </w:p>
    <w:p w14:paraId="47130DDF" w14:textId="77777777" w:rsidR="00463544" w:rsidRPr="00463544" w:rsidRDefault="00463544" w:rsidP="00463544">
      <w:pPr>
        <w:spacing w:before="0" w:beforeAutospacing="0" w:after="0" w:afterAutospacing="0" w:line="240" w:lineRule="auto"/>
        <w:ind w:left="426" w:right="420" w:firstLine="0"/>
        <w:rPr>
          <w:rFonts w:ascii="Tahoma" w:eastAsia="Calibri" w:hAnsi="Tahoma" w:cs="Tahoma"/>
          <w:i/>
          <w:sz w:val="22"/>
          <w:lang w:eastAsia="es-CO"/>
        </w:rPr>
      </w:pPr>
      <w:r w:rsidRPr="00463544">
        <w:rPr>
          <w:rFonts w:ascii="Tahoma" w:eastAsia="Calibri" w:hAnsi="Tahoma" w:cs="Tahoma"/>
          <w:i/>
          <w:sz w:val="22"/>
          <w:lang w:eastAsia="es-CO"/>
        </w:rPr>
        <w:t xml:space="preserve">Adicionalmente, la Sala no puede pasar por alto la indebida fundamentación con la que </w:t>
      </w:r>
      <w:r w:rsidRPr="00463544">
        <w:rPr>
          <w:rFonts w:ascii="Tahoma" w:eastAsia="Calibri" w:hAnsi="Tahoma" w:cs="Tahoma"/>
          <w:bCs/>
          <w:i/>
          <w:sz w:val="22"/>
          <w:lang w:eastAsia="es-CO"/>
        </w:rPr>
        <w:t>la Sala Primera de Decisión Laboral del Tribunal de Medellín</w:t>
      </w:r>
      <w:r w:rsidRPr="00463544">
        <w:rPr>
          <w:rFonts w:ascii="Tahoma" w:eastAsia="Calibri" w:hAnsi="Tahoma" w:cs="Tahoma"/>
          <w:i/>
          <w:sz w:val="22"/>
          <w:lang w:eastAsia="es-CO"/>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0AC31A2F" w14:textId="3D3C4BB4" w:rsidR="005B7733" w:rsidRDefault="005B7733" w:rsidP="000E0F6E">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4D30FC6D" w14:textId="77777777" w:rsidR="001374D9" w:rsidRPr="000E0F6E" w:rsidRDefault="001374D9" w:rsidP="000E0F6E">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9D03F28" w14:textId="22EE6A15" w:rsidR="005B7733" w:rsidRPr="0060469D" w:rsidRDefault="005B7733" w:rsidP="001802E6">
      <w:pPr>
        <w:widowControl w:val="0"/>
        <w:numPr>
          <w:ilvl w:val="1"/>
          <w:numId w:val="10"/>
        </w:numPr>
        <w:autoSpaceDE w:val="0"/>
        <w:autoSpaceDN w:val="0"/>
        <w:adjustRightInd w:val="0"/>
        <w:spacing w:before="0" w:beforeAutospacing="0" w:after="0" w:afterAutospacing="0" w:line="276" w:lineRule="auto"/>
        <w:ind w:firstLine="0"/>
        <w:contextualSpacing/>
        <w:rPr>
          <w:rFonts w:ascii="Tahoma" w:eastAsia="Calibri" w:hAnsi="Tahoma" w:cs="Tahoma"/>
          <w:b/>
          <w:iCs/>
          <w:lang w:eastAsia="es-CO"/>
        </w:rPr>
      </w:pPr>
      <w:r w:rsidRPr="0060469D">
        <w:rPr>
          <w:rFonts w:ascii="Tahoma" w:eastAsia="Calibri" w:hAnsi="Tahoma" w:cs="Tahoma"/>
          <w:b/>
          <w:bCs/>
          <w:lang w:eastAsia="es-CO"/>
        </w:rPr>
        <w:t>“El simple consentimiento vertido en el formulario de afiliación es insuficiente – Necesidad de un consentimiento informado”</w:t>
      </w:r>
      <w:r w:rsidRPr="0060469D">
        <w:rPr>
          <w:rFonts w:ascii="Tahoma" w:eastAsia="Calibri" w:hAnsi="Tahoma" w:cs="Tahoma"/>
          <w:b/>
          <w:iCs/>
          <w:lang w:eastAsia="es-CO"/>
        </w:rPr>
        <w:t xml:space="preserve"> </w:t>
      </w:r>
      <w:r w:rsidRPr="0060469D">
        <w:rPr>
          <w:rFonts w:ascii="Tahoma" w:eastAsia="Calibri" w:hAnsi="Tahoma" w:cs="Tahoma"/>
          <w:b/>
          <w:iCs/>
          <w:vertAlign w:val="superscript"/>
          <w:lang w:eastAsia="es-CO"/>
        </w:rPr>
        <w:footnoteReference w:id="4"/>
      </w:r>
      <w:r w:rsidRPr="0060469D">
        <w:rPr>
          <w:rFonts w:ascii="Tahoma" w:eastAsia="Calibri" w:hAnsi="Tahoma" w:cs="Tahoma"/>
          <w:b/>
          <w:iCs/>
          <w:lang w:eastAsia="es-CO"/>
        </w:rPr>
        <w:t xml:space="preserve"> </w:t>
      </w:r>
    </w:p>
    <w:p w14:paraId="4513E9AD" w14:textId="77777777" w:rsidR="005B7733" w:rsidRPr="000E0F6E" w:rsidRDefault="005B7733" w:rsidP="000E0F6E">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27F86D56" w14:textId="77777777" w:rsidR="005B7733" w:rsidRPr="000E0F6E" w:rsidRDefault="005B7733" w:rsidP="000E0F6E">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0E0F6E">
        <w:rPr>
          <w:rFonts w:ascii="Tahoma" w:eastAsia="Calibri" w:hAnsi="Tahoma" w:cs="Tahoma"/>
          <w:lang w:eastAsia="es-CO"/>
        </w:rPr>
        <w:t xml:space="preserve">El valor probatorio de los formularios de afiliación, fue abordado en la sentencia a la que venimos haciendo referencia, en el sentido de que </w:t>
      </w:r>
      <w:bookmarkStart w:id="9" w:name="_Hlk114553616"/>
      <w:r w:rsidRPr="000E0F6E">
        <w:rPr>
          <w:rFonts w:ascii="Tahoma" w:eastAsia="Calibri" w:hAnsi="Tahoma" w:cs="Tahoma"/>
          <w:lang w:eastAsia="es-CO"/>
        </w:rPr>
        <w:t xml:space="preserve">los formularios de afiliación a lo sumo acreditan un consentimiento, </w:t>
      </w:r>
      <w:r w:rsidRPr="000E0F6E">
        <w:rPr>
          <w:rFonts w:ascii="Tahoma" w:eastAsia="Calibri" w:hAnsi="Tahoma" w:cs="Tahoma"/>
          <w:b/>
          <w:lang w:eastAsia="es-CO"/>
        </w:rPr>
        <w:t>pero no informado</w:t>
      </w:r>
      <w:r w:rsidRPr="000E0F6E">
        <w:rPr>
          <w:rFonts w:ascii="Tahoma" w:eastAsia="Calibri" w:hAnsi="Tahoma" w:cs="Tahoma"/>
          <w:lang w:eastAsia="es-CO"/>
        </w:rPr>
        <w:t xml:space="preserve">, tal como se expresa a continuación: </w:t>
      </w:r>
    </w:p>
    <w:p w14:paraId="00874DC5" w14:textId="77777777" w:rsidR="005B7733" w:rsidRPr="000E0F6E" w:rsidRDefault="005B7733" w:rsidP="000E0F6E">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1BF23A7" w14:textId="77777777" w:rsidR="005B7733" w:rsidRPr="00463544" w:rsidRDefault="005B7733" w:rsidP="00463544">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463544">
        <w:rPr>
          <w:rFonts w:ascii="Tahoma" w:eastAsia="Calibri" w:hAnsi="Tahoma" w:cs="Tahoma"/>
          <w:i/>
          <w:sz w:val="22"/>
          <w:lang w:eastAsia="es-CO"/>
        </w:rPr>
        <w:t xml:space="preserve">“Para el Tribunal el consentimiento informado no es predicable del acto jurídico de traslado, pues basta la consignación en el formulario de que la afiliación se hizo de manera libre y voluntaria. </w:t>
      </w:r>
    </w:p>
    <w:p w14:paraId="7CC7BA7F" w14:textId="77777777" w:rsidR="005B7733" w:rsidRPr="00463544" w:rsidRDefault="005B7733" w:rsidP="00463544">
      <w:pPr>
        <w:widowControl w:val="0"/>
        <w:autoSpaceDE w:val="0"/>
        <w:autoSpaceDN w:val="0"/>
        <w:adjustRightInd w:val="0"/>
        <w:spacing w:before="0" w:beforeAutospacing="0" w:after="0" w:afterAutospacing="0" w:line="240" w:lineRule="auto"/>
        <w:ind w:left="426" w:right="420" w:firstLine="284"/>
        <w:rPr>
          <w:rFonts w:ascii="Tahoma" w:eastAsia="Calibri" w:hAnsi="Tahoma" w:cs="Tahoma"/>
          <w:i/>
          <w:sz w:val="22"/>
          <w:lang w:eastAsia="es-CO"/>
        </w:rPr>
      </w:pPr>
    </w:p>
    <w:p w14:paraId="154A96F8" w14:textId="77777777" w:rsidR="005B7733" w:rsidRPr="00463544" w:rsidRDefault="005B7733" w:rsidP="00463544">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463544">
        <w:rPr>
          <w:rFonts w:ascii="Tahoma" w:eastAsia="Calibri" w:hAnsi="Tahoma" w:cs="Tahoma"/>
          <w:i/>
          <w:sz w:val="22"/>
          <w:lang w:eastAsia="es-CO"/>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bookmarkEnd w:id="9"/>
    <w:p w14:paraId="698E733F" w14:textId="77777777" w:rsidR="005B7733" w:rsidRPr="00463544" w:rsidRDefault="005B7733" w:rsidP="00463544">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18E818D9" w14:textId="77777777" w:rsidR="005B7733" w:rsidRPr="00463544" w:rsidRDefault="005B7733" w:rsidP="00463544">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463544">
        <w:rPr>
          <w:rFonts w:ascii="Tahoma" w:eastAsia="Calibri" w:hAnsi="Tahoma" w:cs="Tahoma"/>
          <w:i/>
          <w:sz w:val="22"/>
          <w:lang w:eastAsia="es-CO"/>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1B0DF1F5" w14:textId="77777777" w:rsidR="005B7733" w:rsidRPr="00463544" w:rsidRDefault="005B7733" w:rsidP="00463544">
      <w:pPr>
        <w:widowControl w:val="0"/>
        <w:autoSpaceDE w:val="0"/>
        <w:autoSpaceDN w:val="0"/>
        <w:adjustRightInd w:val="0"/>
        <w:spacing w:before="0" w:beforeAutospacing="0" w:after="0" w:afterAutospacing="0" w:line="240" w:lineRule="auto"/>
        <w:ind w:left="426" w:right="420" w:firstLine="284"/>
        <w:rPr>
          <w:rFonts w:ascii="Tahoma" w:eastAsia="Calibri" w:hAnsi="Tahoma" w:cs="Tahoma"/>
          <w:i/>
          <w:sz w:val="22"/>
          <w:lang w:eastAsia="es-CO"/>
        </w:rPr>
      </w:pPr>
    </w:p>
    <w:p w14:paraId="01081588" w14:textId="77777777" w:rsidR="005B7733" w:rsidRPr="00463544" w:rsidRDefault="005B7733" w:rsidP="00463544">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463544">
        <w:rPr>
          <w:rFonts w:ascii="Tahoma" w:eastAsia="Calibri" w:hAnsi="Tahoma" w:cs="Tahoma"/>
          <w:i/>
          <w:sz w:val="22"/>
          <w:lang w:eastAsia="es-CO"/>
        </w:rPr>
        <w:lastRenderedPageBreak/>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2E2EA77F" w14:textId="77777777" w:rsidR="005B7733" w:rsidRPr="000E0F6E" w:rsidRDefault="005B7733" w:rsidP="000E0F6E">
      <w:pPr>
        <w:widowControl w:val="0"/>
        <w:autoSpaceDE w:val="0"/>
        <w:autoSpaceDN w:val="0"/>
        <w:adjustRightInd w:val="0"/>
        <w:spacing w:before="0" w:beforeAutospacing="0" w:after="0" w:afterAutospacing="0" w:line="276" w:lineRule="auto"/>
        <w:ind w:firstLine="284"/>
        <w:rPr>
          <w:rFonts w:ascii="Tahoma" w:eastAsia="Calibri" w:hAnsi="Tahoma" w:cs="Tahoma"/>
          <w:bCs/>
          <w:lang w:eastAsia="es-CO"/>
        </w:rPr>
      </w:pPr>
    </w:p>
    <w:p w14:paraId="4EDC899B" w14:textId="77777777" w:rsidR="005B7733" w:rsidRPr="000E0F6E" w:rsidRDefault="005B7733" w:rsidP="000E0F6E">
      <w:pPr>
        <w:widowControl w:val="0"/>
        <w:autoSpaceDE w:val="0"/>
        <w:autoSpaceDN w:val="0"/>
        <w:adjustRightInd w:val="0"/>
        <w:spacing w:before="0" w:beforeAutospacing="0" w:after="0" w:afterAutospacing="0" w:line="276" w:lineRule="auto"/>
        <w:ind w:firstLine="708"/>
        <w:rPr>
          <w:rFonts w:ascii="Tahoma" w:eastAsia="Calibri" w:hAnsi="Tahoma" w:cs="Tahoma"/>
          <w:bCs/>
          <w:lang w:eastAsia="es-CO"/>
        </w:rPr>
      </w:pPr>
      <w:r w:rsidRPr="000E0F6E">
        <w:rPr>
          <w:rFonts w:ascii="Tahoma" w:eastAsia="Calibri" w:hAnsi="Tahoma" w:cs="Tahoma"/>
          <w:bCs/>
          <w:lang w:eastAsia="es-CO"/>
        </w:rPr>
        <w:t>Como se dijo en precedencia, el tema de la suscripción del formulario de traslado como única prueba para desvirtuar la negligencia en la remisión de información al afiliado, ha sido analizado en múltiples fallos de la Sala de Casación de la Corte Suprema de Justicia, entre estas sentencias, está la providencia CSJ SL12136-2014 en la que se dijo lo siguiente:</w:t>
      </w:r>
    </w:p>
    <w:p w14:paraId="7D97D5CF" w14:textId="77777777" w:rsidR="005B7733" w:rsidRPr="000E0F6E" w:rsidRDefault="005B7733" w:rsidP="000E0F6E">
      <w:pPr>
        <w:widowControl w:val="0"/>
        <w:autoSpaceDE w:val="0"/>
        <w:autoSpaceDN w:val="0"/>
        <w:adjustRightInd w:val="0"/>
        <w:spacing w:before="0" w:beforeAutospacing="0" w:after="0" w:afterAutospacing="0" w:line="276" w:lineRule="auto"/>
        <w:ind w:firstLine="284"/>
        <w:rPr>
          <w:rFonts w:ascii="Tahoma" w:eastAsia="Calibri" w:hAnsi="Tahoma" w:cs="Tahoma"/>
          <w:bCs/>
          <w:i/>
          <w:lang w:eastAsia="es-CO"/>
        </w:rPr>
      </w:pPr>
    </w:p>
    <w:p w14:paraId="44F26E45" w14:textId="77777777" w:rsidR="005B7733" w:rsidRPr="00795378" w:rsidRDefault="005B7733" w:rsidP="00795378">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795378">
        <w:rPr>
          <w:rFonts w:ascii="Tahoma" w:eastAsia="Calibri" w:hAnsi="Tahoma" w:cs="Tahoma"/>
          <w:i/>
          <w:sz w:val="22"/>
          <w:lang w:eastAsia="es-CO"/>
        </w:rPr>
        <w:t>“De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iii)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237D2183" w14:textId="77777777" w:rsidR="005B7733" w:rsidRPr="000E0F6E" w:rsidRDefault="005B7733" w:rsidP="000E0F6E">
      <w:pPr>
        <w:widowControl w:val="0"/>
        <w:autoSpaceDE w:val="0"/>
        <w:autoSpaceDN w:val="0"/>
        <w:adjustRightInd w:val="0"/>
        <w:spacing w:before="0" w:beforeAutospacing="0" w:after="0" w:afterAutospacing="0" w:line="276" w:lineRule="auto"/>
        <w:ind w:firstLine="284"/>
        <w:rPr>
          <w:rFonts w:ascii="Tahoma" w:eastAsia="Calibri" w:hAnsi="Tahoma" w:cs="Tahoma"/>
          <w:b/>
          <w:i/>
          <w:lang w:eastAsia="es-CO"/>
        </w:rPr>
      </w:pPr>
    </w:p>
    <w:p w14:paraId="127B6D45" w14:textId="77777777" w:rsidR="005B7733" w:rsidRPr="000E0F6E" w:rsidRDefault="005B7733" w:rsidP="000E0F6E">
      <w:pPr>
        <w:widowControl w:val="0"/>
        <w:autoSpaceDE w:val="0"/>
        <w:autoSpaceDN w:val="0"/>
        <w:adjustRightInd w:val="0"/>
        <w:spacing w:before="0" w:beforeAutospacing="0" w:after="0" w:afterAutospacing="0" w:line="276" w:lineRule="auto"/>
        <w:ind w:firstLine="0"/>
        <w:rPr>
          <w:rFonts w:ascii="Tahoma" w:eastAsia="Calibri" w:hAnsi="Tahoma" w:cs="Tahoma"/>
          <w:bCs/>
          <w:lang w:eastAsia="es-CO"/>
        </w:rPr>
      </w:pPr>
    </w:p>
    <w:p w14:paraId="241B98E8" w14:textId="77777777" w:rsidR="005B7733" w:rsidRPr="0060469D" w:rsidRDefault="005B7733" w:rsidP="0060469D">
      <w:pPr>
        <w:widowControl w:val="0"/>
        <w:numPr>
          <w:ilvl w:val="1"/>
          <w:numId w:val="10"/>
        </w:numPr>
        <w:autoSpaceDE w:val="0"/>
        <w:autoSpaceDN w:val="0"/>
        <w:adjustRightInd w:val="0"/>
        <w:spacing w:before="0" w:beforeAutospacing="0" w:after="0" w:afterAutospacing="0" w:line="276" w:lineRule="auto"/>
        <w:contextualSpacing/>
        <w:rPr>
          <w:rFonts w:ascii="Tahoma" w:eastAsia="Calibri" w:hAnsi="Tahoma" w:cs="Tahoma"/>
          <w:b/>
          <w:bCs/>
          <w:lang w:eastAsia="es-CO"/>
        </w:rPr>
      </w:pPr>
      <w:bookmarkStart w:id="10" w:name="_Hlk109243055"/>
      <w:r w:rsidRPr="0060469D">
        <w:rPr>
          <w:rFonts w:ascii="Tahoma" w:eastAsia="Calibri" w:hAnsi="Tahoma" w:cs="Tahoma"/>
          <w:b/>
          <w:bCs/>
          <w:lang w:eastAsia="es-CO"/>
        </w:rPr>
        <w:t xml:space="preserve">Los actos de relacionamiento, </w:t>
      </w:r>
      <w:proofErr w:type="spellStart"/>
      <w:r w:rsidRPr="0060469D">
        <w:rPr>
          <w:rFonts w:ascii="Tahoma" w:eastAsia="Calibri" w:hAnsi="Tahoma" w:cs="Tahoma"/>
          <w:b/>
          <w:bCs/>
          <w:lang w:eastAsia="es-CO"/>
        </w:rPr>
        <w:t>reasesorías</w:t>
      </w:r>
      <w:proofErr w:type="spellEnd"/>
      <w:r w:rsidRPr="0060469D">
        <w:rPr>
          <w:rFonts w:ascii="Tahoma" w:eastAsia="Calibri" w:hAnsi="Tahoma" w:cs="Tahoma"/>
          <w:b/>
          <w:bCs/>
          <w:lang w:eastAsia="es-CO"/>
        </w:rPr>
        <w:t>, falta de retorno al RPM en el tiempo estipulado por la ley, publicaciones de prensa y extractos de la cuenta de ahorro individual no desestiman la ineficacia por la falta de información al momento del traslado al RAIS.</w:t>
      </w:r>
    </w:p>
    <w:p w14:paraId="51C5AF88" w14:textId="77777777" w:rsidR="005B7733" w:rsidRPr="000E0F6E" w:rsidRDefault="005B7733" w:rsidP="000E0F6E">
      <w:pPr>
        <w:pStyle w:val="Prrafodelista"/>
        <w:widowControl w:val="0"/>
        <w:autoSpaceDE w:val="0"/>
        <w:autoSpaceDN w:val="0"/>
        <w:adjustRightInd w:val="0"/>
        <w:spacing w:line="276" w:lineRule="auto"/>
        <w:ind w:left="1429"/>
        <w:rPr>
          <w:rFonts w:eastAsia="Calibri" w:cs="Tahoma"/>
          <w:b/>
          <w:bCs/>
          <w:szCs w:val="24"/>
          <w:lang w:eastAsia="es-CO"/>
        </w:rPr>
      </w:pPr>
    </w:p>
    <w:p w14:paraId="27EBD78A" w14:textId="77777777" w:rsidR="005B7733" w:rsidRPr="000E0F6E" w:rsidRDefault="005B7733" w:rsidP="000E0F6E">
      <w:pPr>
        <w:widowControl w:val="0"/>
        <w:autoSpaceDE w:val="0"/>
        <w:autoSpaceDN w:val="0"/>
        <w:adjustRightInd w:val="0"/>
        <w:spacing w:before="0" w:beforeAutospacing="0" w:after="0" w:afterAutospacing="0" w:line="276" w:lineRule="auto"/>
        <w:rPr>
          <w:rFonts w:ascii="Tahoma" w:eastAsia="Calibri" w:hAnsi="Tahoma" w:cs="Tahoma"/>
          <w:bCs/>
          <w:lang w:eastAsia="es-CO"/>
        </w:rPr>
      </w:pPr>
      <w:bookmarkStart w:id="11" w:name="_Hlk109255998"/>
      <w:bookmarkEnd w:id="10"/>
      <w:r w:rsidRPr="000E0F6E">
        <w:rPr>
          <w:rFonts w:ascii="Tahoma" w:eastAsia="Calibri" w:hAnsi="Tahoma" w:cs="Tahoma"/>
          <w:bCs/>
          <w:lang w:eastAsia="es-CO"/>
        </w:rPr>
        <w:t>Además de lo anterior, ha precisado el máximo órgano de la jurisdicción ordinaria (CSJ SL, 9 sep. 2008, rad. 31989, CSJ SL2877-2020, CSJ SL1942-2021 y CSJ SL1949-2021) que la suscripción de varios formularios de afiliación dentro del mismo RAIS, tampoco es suficiente para declarar eficaz el primer traslado si de todas maneras no se demuestra que al interesado o interesada se le brindó la información suficiente y clara respecto a las ventajas y desventajas del cambio de régimen, en tanto el acto no se convalida por los tránsitos que los afiliados hagan entre administradoras privadas, al respecto en la sentencia SL 5688 de 2021</w:t>
      </w:r>
      <w:r w:rsidRPr="000E0F6E">
        <w:rPr>
          <w:rStyle w:val="Refdenotaalpie"/>
          <w:rFonts w:ascii="Tahoma" w:eastAsia="Calibri" w:hAnsi="Tahoma" w:cs="Tahoma"/>
          <w:bCs/>
          <w:lang w:eastAsia="es-CO"/>
        </w:rPr>
        <w:footnoteReference w:id="5"/>
      </w:r>
      <w:r w:rsidRPr="000E0F6E">
        <w:rPr>
          <w:rFonts w:ascii="Tahoma" w:eastAsia="Calibri" w:hAnsi="Tahoma" w:cs="Tahoma"/>
          <w:bCs/>
          <w:lang w:eastAsia="es-CO"/>
        </w:rPr>
        <w:t xml:space="preserve"> que memora la sentencia CSJ SL, 9 sep. 2008, rad. 31989 expuso:</w:t>
      </w:r>
    </w:p>
    <w:p w14:paraId="1DB88886" w14:textId="77777777" w:rsidR="005B7733" w:rsidRPr="000E0F6E" w:rsidRDefault="005B7733" w:rsidP="000E0F6E">
      <w:pPr>
        <w:widowControl w:val="0"/>
        <w:autoSpaceDE w:val="0"/>
        <w:autoSpaceDN w:val="0"/>
        <w:adjustRightInd w:val="0"/>
        <w:spacing w:before="0" w:beforeAutospacing="0" w:after="0" w:afterAutospacing="0" w:line="276" w:lineRule="auto"/>
        <w:ind w:firstLine="284"/>
        <w:rPr>
          <w:rFonts w:ascii="Tahoma" w:eastAsia="Calibri" w:hAnsi="Tahoma" w:cs="Tahoma"/>
          <w:bCs/>
          <w:lang w:eastAsia="es-CO"/>
        </w:rPr>
      </w:pPr>
    </w:p>
    <w:p w14:paraId="4B5A49C8" w14:textId="77777777" w:rsidR="005B7733" w:rsidRPr="00795378" w:rsidRDefault="005B7733" w:rsidP="00795378">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795378">
        <w:rPr>
          <w:rFonts w:ascii="Tahoma" w:eastAsia="Calibri" w:hAnsi="Tahoma" w:cs="Tahoma"/>
          <w:i/>
          <w:sz w:val="22"/>
          <w:lang w:eastAsia="es-CO"/>
        </w:rPr>
        <w:t xml:space="preserve">“Se ha de señalar que la actuación viciada de traslado del régimen de prima media con prestación definida al de ahorro individual, no se convalida por los traslados de administradoras dentro de este último régimen; ciertamente, la decisión de escoger entre una y otra administradora de ahorro individual, no implica la ratificación de la decisión de cambio de régimen que conlleva modificar sensiblemente el contenido de </w:t>
      </w:r>
      <w:r w:rsidRPr="00795378">
        <w:rPr>
          <w:rFonts w:ascii="Tahoma" w:eastAsia="Calibri" w:hAnsi="Tahoma" w:cs="Tahoma"/>
          <w:i/>
          <w:sz w:val="22"/>
          <w:lang w:eastAsia="es-CO"/>
        </w:rPr>
        <w:lastRenderedPageBreak/>
        <w:t>los derechos prestacionales”.</w:t>
      </w:r>
    </w:p>
    <w:p w14:paraId="61CD53F9" w14:textId="77777777" w:rsidR="005B7733" w:rsidRPr="000E0F6E" w:rsidRDefault="005B7733" w:rsidP="000E0F6E">
      <w:pPr>
        <w:widowControl w:val="0"/>
        <w:autoSpaceDE w:val="0"/>
        <w:autoSpaceDN w:val="0"/>
        <w:adjustRightInd w:val="0"/>
        <w:spacing w:before="0" w:beforeAutospacing="0" w:after="0" w:afterAutospacing="0" w:line="276" w:lineRule="auto"/>
        <w:ind w:firstLine="284"/>
        <w:rPr>
          <w:rFonts w:ascii="Tahoma" w:eastAsia="Calibri" w:hAnsi="Tahoma" w:cs="Tahoma"/>
          <w:bCs/>
          <w:lang w:val="es-ES" w:eastAsia="es-CO"/>
        </w:rPr>
      </w:pPr>
    </w:p>
    <w:p w14:paraId="1D1B5AE4" w14:textId="77777777" w:rsidR="005B7733" w:rsidRPr="000E0F6E" w:rsidRDefault="005B7733" w:rsidP="000E0F6E">
      <w:pPr>
        <w:widowControl w:val="0"/>
        <w:autoSpaceDE w:val="0"/>
        <w:autoSpaceDN w:val="0"/>
        <w:adjustRightInd w:val="0"/>
        <w:spacing w:before="0" w:beforeAutospacing="0" w:after="0" w:afterAutospacing="0" w:line="276" w:lineRule="auto"/>
        <w:ind w:firstLine="567"/>
        <w:rPr>
          <w:rFonts w:ascii="Tahoma" w:eastAsia="Calibri" w:hAnsi="Tahoma" w:cs="Tahoma"/>
          <w:bCs/>
          <w:lang w:eastAsia="es-CO"/>
        </w:rPr>
      </w:pPr>
      <w:r w:rsidRPr="000E0F6E">
        <w:rPr>
          <w:rFonts w:ascii="Tahoma" w:eastAsia="Calibri" w:hAnsi="Tahoma" w:cs="Tahoma"/>
          <w:bCs/>
          <w:lang w:eastAsia="es-CO"/>
        </w:rPr>
        <w:t>En este orden de ideas, en la sentencia CSJ SL 5686 de 2021</w:t>
      </w:r>
      <w:r w:rsidRPr="000E0F6E">
        <w:rPr>
          <w:rStyle w:val="Refdenotaalpie"/>
          <w:rFonts w:ascii="Tahoma" w:eastAsia="Calibri" w:hAnsi="Tahoma" w:cs="Tahoma"/>
          <w:bCs/>
          <w:lang w:eastAsia="es-CO"/>
        </w:rPr>
        <w:footnoteReference w:id="6"/>
      </w:r>
      <w:r w:rsidRPr="000E0F6E">
        <w:rPr>
          <w:rFonts w:ascii="Tahoma" w:eastAsia="Calibri" w:hAnsi="Tahoma" w:cs="Tahoma"/>
          <w:bCs/>
          <w:lang w:eastAsia="es-CO"/>
        </w:rPr>
        <w:t xml:space="preserve"> traída a colación en la CSJ SL1926-2022</w:t>
      </w:r>
      <w:r w:rsidRPr="000E0F6E">
        <w:rPr>
          <w:rStyle w:val="Refdenotaalpie"/>
          <w:rFonts w:ascii="Tahoma" w:eastAsia="Calibri" w:hAnsi="Tahoma" w:cs="Tahoma"/>
          <w:bCs/>
          <w:lang w:eastAsia="es-CO"/>
        </w:rPr>
        <w:footnoteReference w:id="7"/>
      </w:r>
      <w:r w:rsidRPr="000E0F6E">
        <w:rPr>
          <w:rFonts w:ascii="Tahoma" w:eastAsia="Calibri" w:hAnsi="Tahoma" w:cs="Tahoma"/>
          <w:bCs/>
          <w:lang w:eastAsia="es-CO"/>
        </w:rPr>
        <w:t xml:space="preserve"> añadió:</w:t>
      </w:r>
    </w:p>
    <w:p w14:paraId="3D7A91BA" w14:textId="77777777" w:rsidR="005B7733" w:rsidRPr="000E0F6E" w:rsidRDefault="005B7733" w:rsidP="000E0F6E">
      <w:pPr>
        <w:widowControl w:val="0"/>
        <w:autoSpaceDE w:val="0"/>
        <w:autoSpaceDN w:val="0"/>
        <w:adjustRightInd w:val="0"/>
        <w:spacing w:before="0" w:beforeAutospacing="0" w:after="0" w:afterAutospacing="0" w:line="276" w:lineRule="auto"/>
        <w:ind w:firstLine="0"/>
        <w:rPr>
          <w:rFonts w:ascii="Tahoma" w:eastAsia="Calibri" w:hAnsi="Tahoma" w:cs="Tahoma"/>
          <w:bCs/>
          <w:lang w:eastAsia="es-CO"/>
        </w:rPr>
      </w:pPr>
    </w:p>
    <w:p w14:paraId="22356F8D" w14:textId="77777777" w:rsidR="005B7733" w:rsidRPr="00795378" w:rsidRDefault="005B7733" w:rsidP="00795378">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795378">
        <w:rPr>
          <w:rFonts w:ascii="Tahoma" w:eastAsia="Calibri" w:hAnsi="Tahoma" w:cs="Tahoma"/>
          <w:i/>
          <w:sz w:val="22"/>
          <w:lang w:eastAsia="es-CO"/>
        </w:rPr>
        <w:t>“Por lo tanto, la mera decisión de escoger entre una y otra administradora en el régimen de ahorro individual, así como trasladarse entre entes pensionales de este esquema, no reemplaza o suple la omisión de la entidad administradora en el cumplimiento de su deber de información a los afiliados que pretende captar; tampoco es indicativo de que cumplió ese deber ni presume que la persona afiliada está informada debidamente en los términos legales, y menos aún morigera los efectos que ello genera en la eficacia del acto jurídico de traslado; esto, desde luego, cuando dicho desacato se acredita debidamente en el proceso, conforme se explicó.</w:t>
      </w:r>
    </w:p>
    <w:p w14:paraId="77054C09" w14:textId="77777777" w:rsidR="005B7733" w:rsidRPr="00795378" w:rsidRDefault="005B7733" w:rsidP="00795378">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2142F0FA" w14:textId="77777777" w:rsidR="005B7733" w:rsidRPr="00795378" w:rsidRDefault="005B7733" w:rsidP="00795378">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795378">
        <w:rPr>
          <w:rFonts w:ascii="Tahoma" w:eastAsia="Calibri" w:hAnsi="Tahoma" w:cs="Tahoma"/>
          <w:i/>
          <w:sz w:val="22"/>
          <w:lang w:eastAsia="es-CO"/>
        </w:rPr>
        <w:t>El anterior criterio es el precedente vigente y en rigor de la Sala de Casación Laboral de esta Corte, y corrige cualquier otro que le sea contrario, en especial el condensado en las sentencias CSJ SL3752-2020, CSJ SL4934-2020, CSJ SL1008-2021, CSJ SL1061-2021, CSJ SL2439-2021, CSJ SL2440-2021 y CSJ SL2753-2021”.</w:t>
      </w:r>
    </w:p>
    <w:p w14:paraId="20237C77" w14:textId="77777777" w:rsidR="005B7733" w:rsidRPr="000E0F6E" w:rsidRDefault="005B7733" w:rsidP="000E0F6E">
      <w:pPr>
        <w:widowControl w:val="0"/>
        <w:autoSpaceDE w:val="0"/>
        <w:autoSpaceDN w:val="0"/>
        <w:adjustRightInd w:val="0"/>
        <w:spacing w:before="0" w:beforeAutospacing="0" w:after="0" w:afterAutospacing="0" w:line="276" w:lineRule="auto"/>
        <w:ind w:firstLine="0"/>
        <w:rPr>
          <w:rFonts w:ascii="Tahoma" w:eastAsia="Calibri" w:hAnsi="Tahoma" w:cs="Tahoma"/>
          <w:bCs/>
          <w:i/>
          <w:iCs/>
          <w:lang w:eastAsia="es-CO"/>
        </w:rPr>
      </w:pPr>
    </w:p>
    <w:p w14:paraId="0C6AAC50" w14:textId="77777777" w:rsidR="005B7733" w:rsidRPr="000E0F6E" w:rsidRDefault="005B7733" w:rsidP="000E0F6E">
      <w:pPr>
        <w:widowControl w:val="0"/>
        <w:autoSpaceDE w:val="0"/>
        <w:autoSpaceDN w:val="0"/>
        <w:adjustRightInd w:val="0"/>
        <w:spacing w:before="0" w:beforeAutospacing="0" w:after="0" w:afterAutospacing="0" w:line="276" w:lineRule="auto"/>
        <w:ind w:firstLine="567"/>
        <w:rPr>
          <w:rFonts w:ascii="Tahoma" w:eastAsia="Calibri" w:hAnsi="Tahoma" w:cs="Tahoma"/>
          <w:bCs/>
          <w:lang w:val="es-ES" w:eastAsia="es-CO"/>
        </w:rPr>
      </w:pPr>
      <w:r w:rsidRPr="000E0F6E">
        <w:rPr>
          <w:rFonts w:ascii="Tahoma" w:eastAsia="Calibri" w:hAnsi="Tahoma" w:cs="Tahoma"/>
          <w:bCs/>
          <w:lang w:eastAsia="es-CO"/>
        </w:rPr>
        <w:t>Posteriormente, la sentencia CSJ SL1055 de 2022</w:t>
      </w:r>
      <w:r w:rsidRPr="000E0F6E">
        <w:rPr>
          <w:rStyle w:val="Refdenotaalpie"/>
          <w:rFonts w:ascii="Tahoma" w:eastAsia="Calibri" w:hAnsi="Tahoma" w:cs="Tahoma"/>
          <w:bCs/>
          <w:lang w:eastAsia="es-CO"/>
        </w:rPr>
        <w:footnoteReference w:id="8"/>
      </w:r>
      <w:r w:rsidRPr="000E0F6E">
        <w:rPr>
          <w:rFonts w:ascii="Tahoma" w:eastAsia="Calibri" w:hAnsi="Tahoma" w:cs="Tahoma"/>
          <w:bCs/>
          <w:lang w:eastAsia="es-CO"/>
        </w:rPr>
        <w:t xml:space="preserve"> también recogió las posturas contrarias establecidas por las Sala de Descongestión de la Corte en las providencias </w:t>
      </w:r>
      <w:r w:rsidRPr="000E0F6E">
        <w:rPr>
          <w:rFonts w:ascii="Tahoma" w:eastAsia="Calibri" w:hAnsi="Tahoma" w:cs="Tahoma"/>
          <w:bCs/>
          <w:lang w:val="es-ES" w:eastAsia="es-CO"/>
        </w:rPr>
        <w:t>CSJ SL249-2022 y SL259-2022, y en su lugar ratificó:</w:t>
      </w:r>
    </w:p>
    <w:p w14:paraId="73612CAF" w14:textId="77777777" w:rsidR="005B7733" w:rsidRPr="000E0F6E" w:rsidRDefault="005B7733" w:rsidP="000E0F6E">
      <w:pPr>
        <w:widowControl w:val="0"/>
        <w:autoSpaceDE w:val="0"/>
        <w:autoSpaceDN w:val="0"/>
        <w:adjustRightInd w:val="0"/>
        <w:spacing w:before="0" w:beforeAutospacing="0" w:after="0" w:afterAutospacing="0" w:line="276" w:lineRule="auto"/>
        <w:ind w:firstLine="0"/>
        <w:rPr>
          <w:rFonts w:ascii="Tahoma" w:eastAsia="Calibri" w:hAnsi="Tahoma" w:cs="Tahoma"/>
          <w:bCs/>
          <w:lang w:eastAsia="es-CO"/>
        </w:rPr>
      </w:pPr>
    </w:p>
    <w:p w14:paraId="71FC3B8B" w14:textId="77777777" w:rsidR="005B7733" w:rsidRPr="00795378" w:rsidRDefault="005B7733" w:rsidP="00795378">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795378">
        <w:rPr>
          <w:rFonts w:ascii="Tahoma" w:eastAsia="Calibri" w:hAnsi="Tahoma" w:cs="Tahoma"/>
          <w:i/>
          <w:sz w:val="22"/>
          <w:lang w:eastAsia="es-CO"/>
        </w:rPr>
        <w:t>“los actos u omisiones posteriores del afiliado, bien sea porque se trasladó entre fondos privados o no retornó a prima media en las oportunidades legales previstas, no pueden validar el desacato legal que genera la ineficacia del acto jurídico del traslado de régimen, precisamente porque al ser posteriores dejan intactos los hechos u omisiones que anteceden al acto jurídico ineficaz, el cual no puede sanearse como la nulidad”</w:t>
      </w:r>
    </w:p>
    <w:p w14:paraId="74853B01" w14:textId="77777777" w:rsidR="005B7733" w:rsidRPr="000E0F6E" w:rsidRDefault="005B7733" w:rsidP="000E0F6E">
      <w:pPr>
        <w:widowControl w:val="0"/>
        <w:autoSpaceDE w:val="0"/>
        <w:autoSpaceDN w:val="0"/>
        <w:adjustRightInd w:val="0"/>
        <w:spacing w:before="0" w:beforeAutospacing="0" w:after="0" w:afterAutospacing="0" w:line="276" w:lineRule="auto"/>
        <w:ind w:left="567" w:firstLine="0"/>
        <w:rPr>
          <w:rFonts w:ascii="Tahoma" w:eastAsia="Calibri" w:hAnsi="Tahoma" w:cs="Tahoma"/>
          <w:bCs/>
          <w:i/>
          <w:iCs/>
          <w:lang w:val="es-ES" w:eastAsia="es-CO"/>
        </w:rPr>
      </w:pPr>
    </w:p>
    <w:p w14:paraId="36358AC7" w14:textId="77777777" w:rsidR="005B7733" w:rsidRPr="000E0F6E" w:rsidRDefault="005B7733" w:rsidP="000E0F6E">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0E0F6E">
        <w:rPr>
          <w:rFonts w:ascii="Tahoma" w:eastAsia="Calibri" w:hAnsi="Tahoma" w:cs="Tahoma"/>
          <w:bCs/>
          <w:lang w:eastAsia="es-CO"/>
        </w:rPr>
        <w:t xml:space="preserve">Igual cosa se ha predicado de las </w:t>
      </w:r>
      <w:proofErr w:type="spellStart"/>
      <w:r w:rsidRPr="000E0F6E">
        <w:rPr>
          <w:rFonts w:ascii="Tahoma" w:eastAsia="Calibri" w:hAnsi="Tahoma" w:cs="Tahoma"/>
          <w:bCs/>
          <w:lang w:eastAsia="es-CO"/>
        </w:rPr>
        <w:t>reasesorías</w:t>
      </w:r>
      <w:proofErr w:type="spellEnd"/>
      <w:r w:rsidRPr="000E0F6E">
        <w:rPr>
          <w:rFonts w:ascii="Tahoma" w:eastAsia="Calibri" w:hAnsi="Tahoma" w:cs="Tahoma"/>
          <w:bCs/>
          <w:lang w:eastAsia="es-CO"/>
        </w:rPr>
        <w:t xml:space="preserve"> posteriores dadas al interior de las AFP</w:t>
      </w:r>
      <w:r w:rsidRPr="000E0F6E">
        <w:rPr>
          <w:rFonts w:ascii="Tahoma" w:eastAsia="Calibri" w:hAnsi="Tahoma" w:cs="Tahoma"/>
          <w:lang w:eastAsia="es-CO"/>
        </w:rPr>
        <w:t xml:space="preserve">, las cuales tampoco convalidan el traslado, como quedó dicho en la citada sentencia del 8 de mayo de 2019 SL 1688-2019, así: </w:t>
      </w:r>
    </w:p>
    <w:p w14:paraId="3F19C00C" w14:textId="77777777" w:rsidR="005B7733" w:rsidRPr="000E0F6E" w:rsidRDefault="005B7733" w:rsidP="000E0F6E">
      <w:pPr>
        <w:widowControl w:val="0"/>
        <w:autoSpaceDE w:val="0"/>
        <w:autoSpaceDN w:val="0"/>
        <w:adjustRightInd w:val="0"/>
        <w:spacing w:before="0" w:beforeAutospacing="0" w:after="0" w:afterAutospacing="0" w:line="276" w:lineRule="auto"/>
        <w:ind w:firstLine="284"/>
        <w:rPr>
          <w:rFonts w:ascii="Tahoma" w:eastAsia="Calibri" w:hAnsi="Tahoma" w:cs="Tahoma"/>
          <w:i/>
          <w:iCs/>
          <w:lang w:eastAsia="es-CO"/>
        </w:rPr>
      </w:pPr>
      <w:r w:rsidRPr="000E0F6E">
        <w:rPr>
          <w:rFonts w:ascii="Tahoma" w:eastAsia="Calibri" w:hAnsi="Tahoma" w:cs="Tahoma"/>
          <w:lang w:eastAsia="es-CO"/>
        </w:rPr>
        <w:t xml:space="preserve">  </w:t>
      </w:r>
    </w:p>
    <w:p w14:paraId="59E95856" w14:textId="77777777" w:rsidR="005B7733" w:rsidRPr="00A15BA6" w:rsidRDefault="005B7733" w:rsidP="00A15BA6">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A15BA6">
        <w:rPr>
          <w:rFonts w:ascii="Tahoma" w:eastAsia="Calibri" w:hAnsi="Tahoma" w:cs="Tahoma"/>
          <w:i/>
          <w:sz w:val="22"/>
          <w:lang w:eastAsia="es-CO"/>
        </w:rPr>
        <w:t xml:space="preserve">“Ahora, si bien la AFP brindó a la actora una </w:t>
      </w:r>
      <w:proofErr w:type="spellStart"/>
      <w:r w:rsidRPr="00A15BA6">
        <w:rPr>
          <w:rFonts w:ascii="Tahoma" w:eastAsia="Calibri" w:hAnsi="Tahoma" w:cs="Tahoma"/>
          <w:i/>
          <w:sz w:val="22"/>
          <w:lang w:eastAsia="es-CO"/>
        </w:rPr>
        <w:t>reasesoría</w:t>
      </w:r>
      <w:proofErr w:type="spellEnd"/>
      <w:r w:rsidRPr="00A15BA6">
        <w:rPr>
          <w:rFonts w:ascii="Tahoma" w:eastAsia="Calibri" w:hAnsi="Tahoma" w:cs="Tahoma"/>
          <w:i/>
          <w:sz w:val="22"/>
          <w:lang w:eastAsia="es-CO"/>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67EEBC1F" w14:textId="77777777" w:rsidR="005B7733" w:rsidRPr="00A15BA6" w:rsidRDefault="005B7733" w:rsidP="00A15BA6">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A15BA6">
        <w:rPr>
          <w:rFonts w:ascii="Tahoma" w:eastAsia="Calibri" w:hAnsi="Tahoma" w:cs="Tahoma"/>
          <w:i/>
          <w:sz w:val="22"/>
          <w:lang w:eastAsia="es-CO"/>
        </w:rPr>
        <w:t xml:space="preserve"> </w:t>
      </w:r>
    </w:p>
    <w:p w14:paraId="4CB3EC25" w14:textId="77777777" w:rsidR="005B7733" w:rsidRPr="00A15BA6" w:rsidRDefault="005B7733" w:rsidP="00A15BA6">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A15BA6">
        <w:rPr>
          <w:rFonts w:ascii="Tahoma" w:eastAsia="Calibri" w:hAnsi="Tahoma" w:cs="Tahoma"/>
          <w:i/>
          <w:sz w:val="22"/>
          <w:lang w:eastAsia="es-CO"/>
        </w:rPr>
        <w:t xml:space="preserve">En primer término, porque el traslado al RAIS implicó la pérdida de los beneficios derivados de la transición al no contar la demandante con 15 años de cotización o servicios a 1 de abril de 1994. Es decir, así se hubiese trasladado la demandante al día siguiente de la </w:t>
      </w:r>
      <w:proofErr w:type="spellStart"/>
      <w:r w:rsidRPr="00A15BA6">
        <w:rPr>
          <w:rFonts w:ascii="Tahoma" w:eastAsia="Calibri" w:hAnsi="Tahoma" w:cs="Tahoma"/>
          <w:i/>
          <w:sz w:val="22"/>
          <w:lang w:eastAsia="es-CO"/>
        </w:rPr>
        <w:t>reasesoría</w:t>
      </w:r>
      <w:proofErr w:type="spellEnd"/>
      <w:r w:rsidRPr="00A15BA6">
        <w:rPr>
          <w:rFonts w:ascii="Tahoma" w:eastAsia="Calibri" w:hAnsi="Tahoma" w:cs="Tahoma"/>
          <w:i/>
          <w:sz w:val="22"/>
          <w:lang w:eastAsia="es-CO"/>
        </w:rPr>
        <w:t>, de todas formas, ya había perdido la transición.</w:t>
      </w:r>
    </w:p>
    <w:p w14:paraId="2D771D16" w14:textId="77777777" w:rsidR="005B7733" w:rsidRPr="00A15BA6" w:rsidRDefault="005B7733" w:rsidP="00A15BA6">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A15BA6">
        <w:rPr>
          <w:rFonts w:ascii="Tahoma" w:eastAsia="Calibri" w:hAnsi="Tahoma" w:cs="Tahoma"/>
          <w:i/>
          <w:sz w:val="22"/>
          <w:lang w:eastAsia="es-CO"/>
        </w:rPr>
        <w:t xml:space="preserve"> </w:t>
      </w:r>
    </w:p>
    <w:p w14:paraId="4DA3A012" w14:textId="77777777" w:rsidR="005B7733" w:rsidRPr="00A15BA6" w:rsidRDefault="005B7733" w:rsidP="00A15BA6">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A15BA6">
        <w:rPr>
          <w:rFonts w:ascii="Tahoma" w:eastAsia="Calibri" w:hAnsi="Tahoma" w:cs="Tahoma"/>
          <w:i/>
          <w:sz w:val="22"/>
          <w:lang w:eastAsia="es-CO"/>
        </w:rPr>
        <w:t xml:space="preserve">En segundo lugar, porque la oportunidad de la información se juzga al momento del acto jurídico del traslado, no con posterioridad. Como se dijo, el afiliado requiere para tomar decisiones de la entrega de datos bajo las variables de tiempo e información, </w:t>
      </w:r>
      <w:r w:rsidRPr="00A15BA6">
        <w:rPr>
          <w:rFonts w:ascii="Tahoma" w:eastAsia="Calibri" w:hAnsi="Tahoma" w:cs="Tahoma"/>
          <w:i/>
          <w:sz w:val="22"/>
          <w:lang w:eastAsia="es-CO"/>
        </w:rPr>
        <w:lastRenderedPageBreak/>
        <w:t>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1940AC88" w14:textId="77777777" w:rsidR="005B7733" w:rsidRPr="00A15BA6" w:rsidRDefault="005B7733" w:rsidP="00A15BA6">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A15BA6">
        <w:rPr>
          <w:rFonts w:ascii="Tahoma" w:eastAsia="Calibri" w:hAnsi="Tahoma" w:cs="Tahoma"/>
          <w:i/>
          <w:sz w:val="22"/>
          <w:lang w:eastAsia="es-CO"/>
        </w:rPr>
        <w:t xml:space="preserve"> </w:t>
      </w:r>
    </w:p>
    <w:p w14:paraId="612796A6" w14:textId="77777777" w:rsidR="005B7733" w:rsidRPr="00A15BA6" w:rsidRDefault="005B7733" w:rsidP="00A15BA6">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A15BA6">
        <w:rPr>
          <w:rFonts w:ascii="Tahoma" w:eastAsia="Calibri" w:hAnsi="Tahoma" w:cs="Tahoma"/>
          <w:i/>
          <w:sz w:val="22"/>
          <w:lang w:eastAsia="es-CO"/>
        </w:rPr>
        <w:t xml:space="preserve">Por otro lado, no es de recibo el planteo de Protección S.A., cuando sostiene que una vez realizó la </w:t>
      </w:r>
      <w:proofErr w:type="spellStart"/>
      <w:r w:rsidRPr="00A15BA6">
        <w:rPr>
          <w:rFonts w:ascii="Tahoma" w:eastAsia="Calibri" w:hAnsi="Tahoma" w:cs="Tahoma"/>
          <w:i/>
          <w:sz w:val="22"/>
          <w:lang w:eastAsia="es-CO"/>
        </w:rPr>
        <w:t>reasesoría</w:t>
      </w:r>
      <w:proofErr w:type="spellEnd"/>
      <w:r w:rsidRPr="00A15BA6">
        <w:rPr>
          <w:rFonts w:ascii="Tahoma" w:eastAsia="Calibri" w:hAnsi="Tahoma" w:cs="Tahoma"/>
          <w:i/>
          <w:sz w:val="22"/>
          <w:lang w:eastAsia="es-CO"/>
        </w:rPr>
        <w:t>,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46CB55D1" w14:textId="77777777" w:rsidR="005B7733" w:rsidRPr="000E0F6E" w:rsidRDefault="005B7733" w:rsidP="000E0F6E">
      <w:pPr>
        <w:widowControl w:val="0"/>
        <w:autoSpaceDE w:val="0"/>
        <w:autoSpaceDN w:val="0"/>
        <w:adjustRightInd w:val="0"/>
        <w:spacing w:before="0" w:beforeAutospacing="0" w:after="0" w:afterAutospacing="0" w:line="276" w:lineRule="auto"/>
        <w:ind w:firstLine="0"/>
        <w:rPr>
          <w:rFonts w:ascii="Tahoma" w:eastAsia="Calibri" w:hAnsi="Tahoma" w:cs="Tahoma"/>
          <w:i/>
          <w:lang w:eastAsia="es-CO"/>
        </w:rPr>
      </w:pPr>
    </w:p>
    <w:bookmarkEnd w:id="11"/>
    <w:p w14:paraId="01A801E8" w14:textId="77777777" w:rsidR="005B7733" w:rsidRPr="000E0F6E" w:rsidRDefault="005B7733" w:rsidP="00A15BA6">
      <w:pPr>
        <w:spacing w:before="0" w:beforeAutospacing="0" w:after="0" w:afterAutospacing="0" w:line="276" w:lineRule="auto"/>
        <w:ind w:right="-5"/>
        <w:contextualSpacing/>
        <w:rPr>
          <w:rFonts w:ascii="Tahoma" w:eastAsia="Calibri" w:hAnsi="Tahoma" w:cs="Tahoma"/>
          <w:iCs/>
          <w:lang w:val="es-ES"/>
        </w:rPr>
      </w:pPr>
      <w:r w:rsidRPr="000E0F6E">
        <w:rPr>
          <w:rFonts w:ascii="Tahoma" w:eastAsia="Calibri" w:hAnsi="Tahoma" w:cs="Tahoma"/>
          <w:iCs/>
          <w:lang w:val="es-ES"/>
        </w:rPr>
        <w:t>Finalmente, en el mismo sentido se ha pronunciado el máximo órgano de cierre de la jurisdicción laboral, respecto a las publicaciones de prensa y extractos de la cuenta de ahorro individual, en este orden en la sentencia CSJ 1618-2022</w:t>
      </w:r>
      <w:r w:rsidRPr="000E0F6E">
        <w:rPr>
          <w:rStyle w:val="Refdenotaalpie"/>
          <w:rFonts w:ascii="Tahoma" w:eastAsia="Calibri" w:hAnsi="Tahoma" w:cs="Tahoma"/>
          <w:iCs/>
          <w:lang w:val="es-ES"/>
        </w:rPr>
        <w:footnoteReference w:id="9"/>
      </w:r>
      <w:r w:rsidRPr="000E0F6E">
        <w:rPr>
          <w:rFonts w:ascii="Tahoma" w:eastAsia="Calibri" w:hAnsi="Tahoma" w:cs="Tahoma"/>
          <w:iCs/>
          <w:lang w:val="es-ES"/>
        </w:rPr>
        <w:t xml:space="preserve"> precisó: </w:t>
      </w:r>
    </w:p>
    <w:p w14:paraId="255DBFA1" w14:textId="77777777" w:rsidR="005B7733" w:rsidRPr="000E0F6E" w:rsidRDefault="005B7733" w:rsidP="000E0F6E">
      <w:pPr>
        <w:spacing w:before="0" w:beforeAutospacing="0" w:after="0" w:afterAutospacing="0" w:line="276" w:lineRule="auto"/>
        <w:ind w:left="426" w:right="420" w:firstLine="0"/>
        <w:contextualSpacing/>
        <w:rPr>
          <w:rFonts w:ascii="Tahoma" w:eastAsia="Calibri" w:hAnsi="Tahoma" w:cs="Tahoma"/>
          <w:i/>
          <w:lang w:val="es-ES"/>
        </w:rPr>
      </w:pPr>
    </w:p>
    <w:p w14:paraId="188D4C9F" w14:textId="77777777" w:rsidR="005B7733" w:rsidRPr="00A15BA6" w:rsidRDefault="005B7733" w:rsidP="00A15BA6">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A15BA6">
        <w:rPr>
          <w:rFonts w:ascii="Tahoma" w:eastAsia="Calibri" w:hAnsi="Tahoma" w:cs="Tahoma"/>
          <w:i/>
          <w:sz w:val="22"/>
          <w:lang w:eastAsia="es-CO"/>
        </w:rPr>
        <w:t>“Respecto a las citadas publicaciones así como frente a los extractos de cuenta de ahorro individual que se remitieron a la demandante y la información en ellos contenida, a los que se hizo referencia en la declaración de parte por ella vertida en el proceso, es claro para la Sala que, aunque  pueda ser de interés para el afiliado, por si solos no tienen la virtualidad de acreditar que la AFP cumplió con su obligación legal de información  y su deber orientador, de manera permanente desde antes de vincular a la señora Gloria Pinilla Anzola”.</w:t>
      </w:r>
    </w:p>
    <w:p w14:paraId="7FC13986" w14:textId="77777777" w:rsidR="005B7733" w:rsidRPr="000E0F6E" w:rsidRDefault="005B7733" w:rsidP="000E0F6E">
      <w:pPr>
        <w:widowControl w:val="0"/>
        <w:autoSpaceDE w:val="0"/>
        <w:autoSpaceDN w:val="0"/>
        <w:adjustRightInd w:val="0"/>
        <w:spacing w:before="0" w:beforeAutospacing="0" w:after="0" w:afterAutospacing="0" w:line="276" w:lineRule="auto"/>
        <w:ind w:firstLine="0"/>
        <w:rPr>
          <w:rFonts w:ascii="Tahoma" w:eastAsia="Calibri" w:hAnsi="Tahoma" w:cs="Tahoma"/>
          <w:i/>
          <w:lang w:val="es-ES" w:eastAsia="es-CO"/>
        </w:rPr>
      </w:pPr>
    </w:p>
    <w:p w14:paraId="32C8D65C" w14:textId="77777777" w:rsidR="005B7733" w:rsidRPr="000E0F6E" w:rsidRDefault="005B7733" w:rsidP="000E0F6E">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5DD44F47" w14:textId="35E55029" w:rsidR="005B7733" w:rsidRPr="00D57627" w:rsidRDefault="005B7733" w:rsidP="008D75E5">
      <w:pPr>
        <w:widowControl w:val="0"/>
        <w:numPr>
          <w:ilvl w:val="1"/>
          <w:numId w:val="10"/>
        </w:numPr>
        <w:autoSpaceDE w:val="0"/>
        <w:autoSpaceDN w:val="0"/>
        <w:adjustRightInd w:val="0"/>
        <w:spacing w:before="0" w:beforeAutospacing="0" w:after="0" w:afterAutospacing="0" w:line="276" w:lineRule="auto"/>
        <w:ind w:firstLine="0"/>
        <w:contextualSpacing/>
        <w:rPr>
          <w:rFonts w:ascii="Tahoma" w:eastAsia="Calibri" w:hAnsi="Tahoma" w:cs="Tahoma"/>
          <w:b/>
          <w:iCs/>
          <w:lang w:eastAsia="es-CO"/>
        </w:rPr>
      </w:pPr>
      <w:r w:rsidRPr="00D57627">
        <w:rPr>
          <w:rFonts w:ascii="Tahoma" w:eastAsia="Calibri" w:hAnsi="Tahoma" w:cs="Tahoma"/>
          <w:b/>
          <w:bCs/>
          <w:lang w:eastAsia="es-CO"/>
        </w:rPr>
        <w:t>“De la carga de la prueba – Inversión a favor del afiliado”</w:t>
      </w:r>
      <w:r w:rsidRPr="000E0F6E">
        <w:rPr>
          <w:rFonts w:ascii="Tahoma" w:eastAsia="Calibri" w:hAnsi="Tahoma" w:cs="Tahoma"/>
          <w:b/>
          <w:bCs/>
          <w:vertAlign w:val="superscript"/>
          <w:lang w:eastAsia="es-CO"/>
        </w:rPr>
        <w:footnoteReference w:id="10"/>
      </w:r>
    </w:p>
    <w:p w14:paraId="34F2380D" w14:textId="77777777" w:rsidR="005B7733" w:rsidRPr="000E0F6E" w:rsidRDefault="005B7733" w:rsidP="000E0F6E">
      <w:pPr>
        <w:widowControl w:val="0"/>
        <w:autoSpaceDE w:val="0"/>
        <w:autoSpaceDN w:val="0"/>
        <w:adjustRightInd w:val="0"/>
        <w:spacing w:before="0" w:beforeAutospacing="0" w:after="0" w:afterAutospacing="0" w:line="276" w:lineRule="auto"/>
        <w:ind w:firstLine="284"/>
        <w:rPr>
          <w:rFonts w:ascii="Tahoma" w:eastAsia="Calibri" w:hAnsi="Tahoma" w:cs="Tahoma"/>
          <w:b/>
          <w:lang w:eastAsia="es-CO"/>
        </w:rPr>
      </w:pPr>
    </w:p>
    <w:p w14:paraId="4B5D1BB8" w14:textId="77777777" w:rsidR="005B7733" w:rsidRPr="000E0F6E" w:rsidRDefault="005B7733" w:rsidP="000E0F6E">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0E0F6E">
        <w:rPr>
          <w:rFonts w:ascii="Tahoma" w:eastAsia="Calibri" w:hAnsi="Tahoma" w:cs="Tahoma"/>
          <w:lang w:eastAsia="es-CO"/>
        </w:rPr>
        <w:t>La carga de la prueba en los procesos de ineficacia de traslado, también se resolvió por la Corte Suprema de Justicia desde la sentencia hito, en la que se expresó que de conformidad al artículo 1604 del Código Civil «</w:t>
      </w:r>
      <w:r w:rsidRPr="000E0F6E">
        <w:rPr>
          <w:rFonts w:ascii="Tahoma" w:eastAsia="Calibri" w:hAnsi="Tahoma" w:cs="Tahoma"/>
          <w:i/>
          <w:lang w:eastAsia="es-CO"/>
        </w:rPr>
        <w:t>la prueba de la diligencia o cuidado incumbe al que ha debido emplearlo”</w:t>
      </w:r>
      <w:r w:rsidRPr="000E0F6E">
        <w:rPr>
          <w:rFonts w:ascii="Tahoma" w:eastAsia="Calibri" w:hAnsi="Tahoma" w:cs="Tahoma"/>
          <w:lang w:eastAsia="es-CO"/>
        </w:rPr>
        <w:t xml:space="preserve"> lo que quiere decir que la carga de la prueba recae en el fondo de pensiones. Dicha postura se ha mantenido invariable, y se reiteró de manera más contundente en la citada sentencia, así: </w:t>
      </w:r>
    </w:p>
    <w:p w14:paraId="4DFD493F" w14:textId="77777777" w:rsidR="005B7733" w:rsidRPr="000E0F6E" w:rsidRDefault="005B7733" w:rsidP="000E0F6E">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08EFC2D7" w14:textId="77777777" w:rsidR="005B7733" w:rsidRPr="00A15BA6" w:rsidRDefault="005B7733" w:rsidP="00A15BA6">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A15BA6">
        <w:rPr>
          <w:rFonts w:ascii="Tahoma" w:eastAsia="Calibri" w:hAnsi="Tahoma" w:cs="Tahoma"/>
          <w:i/>
          <w:sz w:val="22"/>
          <w:lang w:eastAsia="es-CO"/>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71127A7C" w14:textId="77777777" w:rsidR="005B7733" w:rsidRPr="00A15BA6" w:rsidRDefault="005B7733" w:rsidP="00A15BA6">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6CF1D2B7" w14:textId="77777777" w:rsidR="005B7733" w:rsidRPr="00A15BA6" w:rsidRDefault="005B7733" w:rsidP="00A15BA6">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A15BA6">
        <w:rPr>
          <w:rFonts w:ascii="Tahoma" w:eastAsia="Calibri" w:hAnsi="Tahoma" w:cs="Tahoma"/>
          <w:i/>
          <w:sz w:val="22"/>
          <w:lang w:eastAsia="es-CO"/>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142DB76F" w14:textId="77777777" w:rsidR="005B7733" w:rsidRPr="00A15BA6" w:rsidRDefault="005B7733" w:rsidP="00A15BA6">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38E2E807" w14:textId="77777777" w:rsidR="005B7733" w:rsidRPr="00A15BA6" w:rsidRDefault="005B7733" w:rsidP="00A15BA6">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A15BA6">
        <w:rPr>
          <w:rFonts w:ascii="Tahoma" w:eastAsia="Calibri" w:hAnsi="Tahoma" w:cs="Tahoma"/>
          <w:i/>
          <w:sz w:val="22"/>
          <w:lang w:eastAsia="es-CO"/>
        </w:rPr>
        <w:t xml:space="preserve">En consecuencia, si se arguye que, a la afiliación, la AFP no suministró información </w:t>
      </w:r>
      <w:r w:rsidRPr="00A15BA6">
        <w:rPr>
          <w:rFonts w:ascii="Tahoma" w:eastAsia="Calibri" w:hAnsi="Tahoma" w:cs="Tahoma"/>
          <w:i/>
          <w:sz w:val="22"/>
          <w:lang w:eastAsia="es-CO"/>
        </w:rPr>
        <w:lastRenderedPageBreak/>
        <w:t>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73EC320D" w14:textId="77777777" w:rsidR="005B7733" w:rsidRPr="00A15BA6" w:rsidRDefault="005B7733" w:rsidP="00A15BA6">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474910F0" w14:textId="77777777" w:rsidR="005B7733" w:rsidRPr="00A15BA6" w:rsidRDefault="005B7733" w:rsidP="00A15BA6">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A15BA6">
        <w:rPr>
          <w:rFonts w:ascii="Tahoma" w:eastAsia="Calibri" w:hAnsi="Tahoma" w:cs="Tahoma"/>
          <w:i/>
          <w:sz w:val="22"/>
          <w:lang w:eastAsia="es-CO"/>
        </w:rPr>
        <w:t xml:space="preserve">Como se ha expuesto, el deber de información al momento del traslado entre regímenes, es una obligación que corresponde a las administradoras de fondos de pensiones, y su ejercicio debe ser de tal diligencia, que permita comprender la lógica, beneficios y desventajas del cambio de régimen, así como prever los riesgos y efectos negativos de esa decisión. </w:t>
      </w:r>
    </w:p>
    <w:p w14:paraId="591B9689" w14:textId="77777777" w:rsidR="005B7733" w:rsidRPr="00A15BA6" w:rsidRDefault="005B7733" w:rsidP="00A15BA6">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126AED53" w14:textId="77777777" w:rsidR="005B7733" w:rsidRPr="00A15BA6" w:rsidRDefault="005B7733" w:rsidP="00A15BA6">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A15BA6">
        <w:rPr>
          <w:rFonts w:ascii="Tahoma" w:eastAsia="Calibri" w:hAnsi="Tahoma" w:cs="Tahoma"/>
          <w:i/>
          <w:sz w:val="22"/>
          <w:lang w:eastAsia="es-CO"/>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2B1F3DAE" w14:textId="77777777" w:rsidR="005B7733" w:rsidRPr="00A15BA6" w:rsidRDefault="005B7733" w:rsidP="00A15BA6">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688DFC59" w14:textId="77777777" w:rsidR="005B7733" w:rsidRPr="00A15BA6" w:rsidRDefault="005B7733" w:rsidP="00A15BA6">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A15BA6">
        <w:rPr>
          <w:rFonts w:ascii="Tahoma" w:eastAsia="Calibri" w:hAnsi="Tahoma" w:cs="Tahoma"/>
          <w:i/>
          <w:sz w:val="22"/>
          <w:lang w:eastAsia="es-CO"/>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2A16CEC1" w14:textId="77777777" w:rsidR="005B7733" w:rsidRPr="00A15BA6" w:rsidRDefault="005B7733" w:rsidP="00A15BA6">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48069595" w14:textId="77777777" w:rsidR="005B7733" w:rsidRPr="00A15BA6" w:rsidRDefault="005B7733" w:rsidP="00A15BA6">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A15BA6">
        <w:rPr>
          <w:rFonts w:ascii="Tahoma" w:eastAsia="Calibri" w:hAnsi="Tahoma" w:cs="Tahoma"/>
          <w:i/>
          <w:sz w:val="22"/>
          <w:lang w:eastAsia="es-CO"/>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p>
    <w:p w14:paraId="3FA55C4E" w14:textId="77777777" w:rsidR="005B7733" w:rsidRPr="000E0F6E" w:rsidRDefault="005B7733" w:rsidP="000E0F6E">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45D2FABF" w14:textId="77777777" w:rsidR="005B7733" w:rsidRPr="000E0F6E" w:rsidRDefault="005B7733" w:rsidP="000E0F6E">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49EA4621" w14:textId="77777777" w:rsidR="005B7733" w:rsidRPr="0060469D" w:rsidRDefault="005B7733" w:rsidP="0060469D">
      <w:pPr>
        <w:widowControl w:val="0"/>
        <w:numPr>
          <w:ilvl w:val="1"/>
          <w:numId w:val="10"/>
        </w:numPr>
        <w:autoSpaceDE w:val="0"/>
        <w:autoSpaceDN w:val="0"/>
        <w:adjustRightInd w:val="0"/>
        <w:spacing w:before="0" w:beforeAutospacing="0" w:after="0" w:afterAutospacing="0" w:line="276" w:lineRule="auto"/>
        <w:contextualSpacing/>
        <w:rPr>
          <w:rFonts w:ascii="Tahoma" w:eastAsia="Calibri" w:hAnsi="Tahoma" w:cs="Tahoma"/>
          <w:b/>
          <w:bCs/>
          <w:lang w:eastAsia="es-CO"/>
        </w:rPr>
      </w:pPr>
      <w:r w:rsidRPr="000E0F6E">
        <w:rPr>
          <w:rFonts w:ascii="Tahoma" w:eastAsia="Calibri" w:hAnsi="Tahoma" w:cs="Tahoma"/>
          <w:b/>
          <w:bCs/>
          <w:lang w:eastAsia="es-CO"/>
        </w:rPr>
        <w:t>Consecuencias de la declaratoria de ineficacia del traslado: Devolución de las cuotas de administración y de otros valores debidamente indexados.</w:t>
      </w:r>
    </w:p>
    <w:p w14:paraId="3B914A89" w14:textId="77777777" w:rsidR="005B7733" w:rsidRPr="000E0F6E" w:rsidRDefault="005B7733" w:rsidP="000E0F6E">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4FE54ED9" w14:textId="77777777" w:rsidR="005B7733" w:rsidRPr="000E0F6E" w:rsidRDefault="005B7733" w:rsidP="000E0F6E">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0E0F6E">
        <w:rPr>
          <w:rFonts w:ascii="Tahoma" w:eastAsia="Calibri" w:hAnsi="Tahoma" w:cs="Tahoma"/>
          <w:lang w:eastAsia="es-CO"/>
        </w:rPr>
        <w:t xml:space="preserve">En la sentencia SL1421 de 2019, Rad. 56174, M.P. Gerardo Botero Zuluaga, cuando se declaró la ineficacia del traslado, se dijo que una de las consecuencias de tal situación era la devolución de las cuotas de administración a cargo de la AFP, tema que se planteó en los siguientes términos: </w:t>
      </w:r>
    </w:p>
    <w:p w14:paraId="2B0EB5F2" w14:textId="77777777" w:rsidR="005B7733" w:rsidRPr="000E0F6E" w:rsidRDefault="005B7733" w:rsidP="000E0F6E">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6E66D9F5" w14:textId="77777777" w:rsidR="005B7733" w:rsidRPr="00A15BA6" w:rsidRDefault="005B7733" w:rsidP="00A15BA6">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A15BA6">
        <w:rPr>
          <w:rFonts w:ascii="Tahoma" w:eastAsia="Calibri" w:hAnsi="Tahoma" w:cs="Tahoma"/>
          <w:i/>
          <w:sz w:val="22"/>
          <w:lang w:eastAsia="es-CO"/>
        </w:rPr>
        <w:t xml:space="preserve">“devolver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 en la que se dijo: </w:t>
      </w:r>
    </w:p>
    <w:p w14:paraId="7AC46C0F" w14:textId="77777777" w:rsidR="005B7733" w:rsidRPr="00A15BA6" w:rsidRDefault="005B7733" w:rsidP="00A15BA6">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5C72768E" w14:textId="77777777" w:rsidR="005B7733" w:rsidRPr="00A15BA6" w:rsidRDefault="005B7733" w:rsidP="00A15BA6">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A15BA6">
        <w:rPr>
          <w:rFonts w:ascii="Tahoma" w:eastAsia="Calibri" w:hAnsi="Tahoma" w:cs="Tahoma"/>
          <w:i/>
          <w:sz w:val="22"/>
          <w:lang w:eastAsia="es-CO"/>
        </w:rPr>
        <w:lastRenderedPageBreak/>
        <w:t>Sobre las consecuencias de la nulidad del traslado entre regímenes esta Sala en sentencia SL, del 8 de sep. 2008, rad. 31989, reiterada en varias oportunidades, adoctrinó:</w:t>
      </w:r>
    </w:p>
    <w:p w14:paraId="2E3B1036" w14:textId="77777777" w:rsidR="005B7733" w:rsidRPr="00A15BA6" w:rsidRDefault="005B7733" w:rsidP="00A15BA6">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2AE9AD4D" w14:textId="77777777" w:rsidR="005B7733" w:rsidRPr="00A15BA6" w:rsidRDefault="005B7733" w:rsidP="00A15BA6">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A15BA6">
        <w:rPr>
          <w:rFonts w:ascii="Tahoma" w:eastAsia="Calibri" w:hAnsi="Tahoma" w:cs="Tahoma"/>
          <w:i/>
          <w:sz w:val="22"/>
          <w:lang w:eastAsia="es-CO"/>
        </w:rPr>
        <w:t>[…]</w:t>
      </w:r>
    </w:p>
    <w:p w14:paraId="61AA39F6" w14:textId="77777777" w:rsidR="005B7733" w:rsidRPr="00A15BA6" w:rsidRDefault="005B7733" w:rsidP="00A15BA6">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5A7E8E26" w14:textId="77777777" w:rsidR="005B7733" w:rsidRPr="00A15BA6" w:rsidRDefault="005B7733" w:rsidP="00A15BA6">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A15BA6">
        <w:rPr>
          <w:rFonts w:ascii="Tahoma" w:eastAsia="Calibri" w:hAnsi="Tahoma" w:cs="Tahoma"/>
          <w:i/>
          <w:sz w:val="22"/>
          <w:lang w:eastAsia="es-CO"/>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44202457" w14:textId="77777777" w:rsidR="005B7733" w:rsidRPr="00A15BA6" w:rsidRDefault="005B7733" w:rsidP="00A15BA6">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p>
    <w:p w14:paraId="201F03F6" w14:textId="77777777" w:rsidR="005B7733" w:rsidRPr="00A15BA6" w:rsidRDefault="005B7733" w:rsidP="00A15BA6">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A15BA6">
        <w:rPr>
          <w:rFonts w:ascii="Tahoma" w:eastAsia="Calibri" w:hAnsi="Tahoma" w:cs="Tahoma"/>
          <w:i/>
          <w:sz w:val="22"/>
          <w:lang w:eastAsia="es-CO"/>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60E7AC7D" w14:textId="77777777" w:rsidR="005B7733" w:rsidRPr="000E0F6E" w:rsidRDefault="005B7733" w:rsidP="000E0F6E">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32D11320" w14:textId="77777777" w:rsidR="005B7733" w:rsidRPr="000E0F6E" w:rsidRDefault="005B7733" w:rsidP="000E0F6E">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r w:rsidRPr="000E0F6E">
        <w:rPr>
          <w:rFonts w:ascii="Tahoma" w:eastAsia="Calibri" w:hAnsi="Tahoma" w:cs="Tahoma"/>
          <w:lang w:eastAsia="es-CO"/>
        </w:rPr>
        <w:tab/>
        <w:t xml:space="preserve">Dicha postura fue reiterada en la sentencia SL 2611 del 1° de julio de 2020, también con Ponencia del Dr. GERARDO BOTERO ZULUAGA en la que se reafirma que, por cuenta de la ineficacia, las cosas deben retrotraerse al estado en que se encontraban antes de ocurrir el traslado de régimen. Dijo la sentencia: </w:t>
      </w:r>
    </w:p>
    <w:p w14:paraId="19D772B1" w14:textId="77777777" w:rsidR="005B7733" w:rsidRPr="000E0F6E" w:rsidRDefault="005B7733" w:rsidP="000E0F6E">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7957AF63" w14:textId="77777777" w:rsidR="005B7733" w:rsidRPr="00A15BA6" w:rsidRDefault="005B7733" w:rsidP="00A15BA6">
      <w:pPr>
        <w:widowControl w:val="0"/>
        <w:autoSpaceDE w:val="0"/>
        <w:autoSpaceDN w:val="0"/>
        <w:adjustRightInd w:val="0"/>
        <w:spacing w:before="0" w:beforeAutospacing="0" w:after="0" w:afterAutospacing="0" w:line="240" w:lineRule="auto"/>
        <w:ind w:left="426" w:right="420" w:firstLine="0"/>
        <w:rPr>
          <w:rFonts w:ascii="Tahoma" w:eastAsia="Calibri" w:hAnsi="Tahoma" w:cs="Tahoma"/>
          <w:i/>
          <w:sz w:val="22"/>
          <w:lang w:eastAsia="es-CO"/>
        </w:rPr>
      </w:pPr>
      <w:r w:rsidRPr="00A15BA6">
        <w:rPr>
          <w:rFonts w:ascii="Tahoma" w:eastAsia="Calibri" w:hAnsi="Tahoma" w:cs="Tahoma"/>
          <w:i/>
          <w:sz w:val="22"/>
          <w:lang w:eastAsia="es-CO"/>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 </w:t>
      </w:r>
    </w:p>
    <w:p w14:paraId="33F066EC" w14:textId="77777777" w:rsidR="005B7733" w:rsidRPr="000E0F6E" w:rsidRDefault="005B7733" w:rsidP="000E0F6E">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28A92C40" w14:textId="77777777" w:rsidR="005B7733" w:rsidRPr="000E0F6E" w:rsidRDefault="005B7733" w:rsidP="000E0F6E">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0E0F6E">
        <w:rPr>
          <w:rFonts w:ascii="Tahoma" w:eastAsia="Calibri" w:hAnsi="Tahoma" w:cs="Tahoma"/>
          <w:lang w:eastAsia="es-CO"/>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7D1355C8" w14:textId="77777777" w:rsidR="005B7733" w:rsidRPr="000E0F6E" w:rsidRDefault="005B7733" w:rsidP="000E0F6E">
      <w:pPr>
        <w:widowControl w:val="0"/>
        <w:autoSpaceDE w:val="0"/>
        <w:autoSpaceDN w:val="0"/>
        <w:adjustRightInd w:val="0"/>
        <w:spacing w:before="0" w:beforeAutospacing="0" w:after="0" w:afterAutospacing="0" w:line="276" w:lineRule="auto"/>
        <w:ind w:firstLine="0"/>
        <w:rPr>
          <w:rFonts w:ascii="Tahoma" w:eastAsia="Calibri" w:hAnsi="Tahoma" w:cs="Tahoma"/>
          <w:lang w:eastAsia="es-CO"/>
        </w:rPr>
      </w:pPr>
      <w:r w:rsidRPr="000E0F6E">
        <w:rPr>
          <w:rFonts w:ascii="Tahoma" w:eastAsia="Calibri" w:hAnsi="Tahoma" w:cs="Tahoma"/>
          <w:lang w:eastAsia="es-CO"/>
        </w:rPr>
        <w:t xml:space="preserve"> </w:t>
      </w:r>
    </w:p>
    <w:p w14:paraId="45D5D49E" w14:textId="77777777" w:rsidR="008C3C1E" w:rsidRPr="000E0F6E" w:rsidRDefault="008C3C1E" w:rsidP="000E0F6E">
      <w:pPr>
        <w:widowControl w:val="0"/>
        <w:autoSpaceDE w:val="0"/>
        <w:autoSpaceDN w:val="0"/>
        <w:adjustRightInd w:val="0"/>
        <w:spacing w:before="0" w:beforeAutospacing="0" w:after="0" w:afterAutospacing="0" w:line="276" w:lineRule="auto"/>
        <w:ind w:firstLine="284"/>
        <w:rPr>
          <w:rFonts w:ascii="Tahoma" w:eastAsia="Calibri" w:hAnsi="Tahoma" w:cs="Tahoma"/>
          <w:b/>
          <w:lang w:eastAsia="es-CO"/>
        </w:rPr>
      </w:pPr>
    </w:p>
    <w:p w14:paraId="374A8266" w14:textId="77777777" w:rsidR="008C3C1E" w:rsidRPr="0060469D" w:rsidRDefault="008C3C1E" w:rsidP="0060469D">
      <w:pPr>
        <w:widowControl w:val="0"/>
        <w:numPr>
          <w:ilvl w:val="1"/>
          <w:numId w:val="10"/>
        </w:numPr>
        <w:autoSpaceDE w:val="0"/>
        <w:autoSpaceDN w:val="0"/>
        <w:adjustRightInd w:val="0"/>
        <w:spacing w:before="0" w:beforeAutospacing="0" w:after="0" w:afterAutospacing="0" w:line="276" w:lineRule="auto"/>
        <w:contextualSpacing/>
        <w:rPr>
          <w:rFonts w:ascii="Tahoma" w:eastAsia="Calibri" w:hAnsi="Tahoma" w:cs="Tahoma"/>
          <w:b/>
          <w:bCs/>
          <w:lang w:eastAsia="es-CO"/>
        </w:rPr>
      </w:pPr>
      <w:r w:rsidRPr="0060469D">
        <w:rPr>
          <w:rFonts w:ascii="Tahoma" w:eastAsia="Calibri" w:hAnsi="Tahoma" w:cs="Tahoma"/>
          <w:b/>
          <w:bCs/>
          <w:lang w:eastAsia="es-CO"/>
        </w:rPr>
        <w:t>Caso concreto</w:t>
      </w:r>
    </w:p>
    <w:p w14:paraId="40794418" w14:textId="77777777" w:rsidR="008C3C1E" w:rsidRPr="000E0F6E" w:rsidRDefault="008C3C1E" w:rsidP="000E0F6E">
      <w:pPr>
        <w:widowControl w:val="0"/>
        <w:autoSpaceDE w:val="0"/>
        <w:autoSpaceDN w:val="0"/>
        <w:adjustRightInd w:val="0"/>
        <w:spacing w:before="0" w:beforeAutospacing="0" w:after="0" w:afterAutospacing="0" w:line="276" w:lineRule="auto"/>
        <w:ind w:firstLine="284"/>
        <w:rPr>
          <w:rFonts w:ascii="Tahoma" w:eastAsia="Calibri" w:hAnsi="Tahoma" w:cs="Tahoma"/>
          <w:lang w:eastAsia="es-CO"/>
        </w:rPr>
      </w:pPr>
    </w:p>
    <w:p w14:paraId="0031467B" w14:textId="598F6710" w:rsidR="00DF6BCE" w:rsidRPr="000E0F6E" w:rsidRDefault="00DF6BCE" w:rsidP="000E0F6E">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0E0F6E">
        <w:rPr>
          <w:rFonts w:ascii="Tahoma" w:eastAsia="Calibri" w:hAnsi="Tahoma" w:cs="Tahoma"/>
          <w:lang w:eastAsia="es-CO"/>
        </w:rPr>
        <w:t xml:space="preserve">Se pretende por esta vía ordinaria que se declare la nulidad del traslado del régimen de prima media con prestación definida al de ahorro individual con solidaridad, que realizó </w:t>
      </w:r>
      <w:r w:rsidR="00A86B1C" w:rsidRPr="000E0F6E">
        <w:rPr>
          <w:rFonts w:ascii="Tahoma" w:eastAsia="Calibri" w:hAnsi="Tahoma" w:cs="Tahoma"/>
          <w:lang w:eastAsia="es-CO"/>
        </w:rPr>
        <w:t xml:space="preserve">el actor </w:t>
      </w:r>
      <w:r w:rsidRPr="000E0F6E">
        <w:rPr>
          <w:rFonts w:ascii="Tahoma" w:eastAsia="Calibri" w:hAnsi="Tahoma" w:cs="Tahoma"/>
          <w:lang w:eastAsia="es-CO"/>
        </w:rPr>
        <w:t>a través de P</w:t>
      </w:r>
      <w:r w:rsidR="00D35BAA" w:rsidRPr="000E0F6E">
        <w:rPr>
          <w:rFonts w:ascii="Tahoma" w:eastAsia="Calibri" w:hAnsi="Tahoma" w:cs="Tahoma"/>
          <w:lang w:eastAsia="es-CO"/>
        </w:rPr>
        <w:t xml:space="preserve">rotección </w:t>
      </w:r>
      <w:r w:rsidRPr="000E0F6E">
        <w:rPr>
          <w:rFonts w:ascii="Tahoma" w:eastAsia="Calibri" w:hAnsi="Tahoma" w:cs="Tahoma"/>
          <w:lang w:eastAsia="es-CO"/>
        </w:rPr>
        <w:t xml:space="preserve">S.A mediante formulario de afiliación </w:t>
      </w:r>
      <w:r w:rsidR="004F5AD3" w:rsidRPr="000E0F6E">
        <w:rPr>
          <w:rFonts w:ascii="Tahoma" w:eastAsia="Calibri" w:hAnsi="Tahoma" w:cs="Tahoma"/>
          <w:lang w:eastAsia="es-CO"/>
        </w:rPr>
        <w:t>d</w:t>
      </w:r>
      <w:r w:rsidRPr="000E0F6E">
        <w:rPr>
          <w:rFonts w:ascii="Tahoma" w:eastAsia="Calibri" w:hAnsi="Tahoma" w:cs="Tahoma"/>
          <w:lang w:eastAsia="es-CO"/>
        </w:rPr>
        <w:t xml:space="preserve">el </w:t>
      </w:r>
      <w:r w:rsidR="00157750" w:rsidRPr="000E0F6E">
        <w:rPr>
          <w:rFonts w:ascii="Tahoma" w:eastAsia="Calibri" w:hAnsi="Tahoma" w:cs="Tahoma"/>
          <w:lang w:eastAsia="es-CO"/>
        </w:rPr>
        <w:t xml:space="preserve">25 </w:t>
      </w:r>
      <w:r w:rsidR="00157750" w:rsidRPr="000E0F6E">
        <w:rPr>
          <w:rFonts w:ascii="Tahoma" w:eastAsia="Calibri" w:hAnsi="Tahoma" w:cs="Tahoma"/>
          <w:lang w:eastAsia="es-CO"/>
        </w:rPr>
        <w:lastRenderedPageBreak/>
        <w:t>de julio de 1997</w:t>
      </w:r>
      <w:r w:rsidRPr="000E0F6E">
        <w:rPr>
          <w:rFonts w:ascii="Tahoma" w:eastAsia="Calibri" w:hAnsi="Tahoma" w:cs="Tahoma"/>
          <w:vertAlign w:val="superscript"/>
          <w:lang w:eastAsia="es-CO"/>
        </w:rPr>
        <w:footnoteReference w:id="11"/>
      </w:r>
      <w:r w:rsidRPr="000E0F6E">
        <w:rPr>
          <w:rFonts w:ascii="Tahoma" w:eastAsia="Calibri" w:hAnsi="Tahoma" w:cs="Tahoma"/>
          <w:lang w:eastAsia="es-CO"/>
        </w:rPr>
        <w:t>, efectivo a partir del 1 de septiembre del mismo año, según se desprende del historial de vinculaciones</w:t>
      </w:r>
      <w:r w:rsidRPr="000E0F6E">
        <w:rPr>
          <w:rFonts w:ascii="Tahoma" w:eastAsia="Calibri" w:hAnsi="Tahoma" w:cs="Tahoma"/>
          <w:vertAlign w:val="superscript"/>
          <w:lang w:eastAsia="es-CO"/>
        </w:rPr>
        <w:footnoteReference w:id="12"/>
      </w:r>
      <w:r w:rsidRPr="000E0F6E">
        <w:rPr>
          <w:rFonts w:ascii="Tahoma" w:eastAsia="Calibri" w:hAnsi="Tahoma" w:cs="Tahoma"/>
          <w:lang w:eastAsia="es-CO"/>
        </w:rPr>
        <w:t>, dada la omisión de información clara y precisa, que ha debido brindarle la AFP a la parte actora en orden a conocer las condiciones y consecuencias de migración de régimen.</w:t>
      </w:r>
    </w:p>
    <w:p w14:paraId="7D698358" w14:textId="77777777" w:rsidR="00DF6BCE" w:rsidRPr="000E0F6E" w:rsidRDefault="00DF6BCE" w:rsidP="000E0F6E">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53E0BCAF" w14:textId="77777777" w:rsidR="00DF6BCE" w:rsidRPr="000E0F6E" w:rsidRDefault="00DF6BCE" w:rsidP="000E0F6E">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0E0F6E">
        <w:rPr>
          <w:rFonts w:ascii="Tahoma" w:eastAsia="Calibri" w:hAnsi="Tahoma" w:cs="Tahoma"/>
          <w:lang w:eastAsia="es-CO"/>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 la afiliada, acerca del impacto del cambio de régimen pensional.</w:t>
      </w:r>
    </w:p>
    <w:p w14:paraId="6FB35538" w14:textId="77777777" w:rsidR="00DF6BCE" w:rsidRPr="000E0F6E" w:rsidRDefault="00DF6BCE" w:rsidP="000E0F6E">
      <w:pPr>
        <w:widowControl w:val="0"/>
        <w:autoSpaceDE w:val="0"/>
        <w:autoSpaceDN w:val="0"/>
        <w:adjustRightInd w:val="0"/>
        <w:spacing w:before="0" w:beforeAutospacing="0" w:after="0" w:afterAutospacing="0" w:line="276" w:lineRule="auto"/>
        <w:ind w:firstLine="708"/>
        <w:rPr>
          <w:rFonts w:ascii="Tahoma" w:eastAsia="Calibri" w:hAnsi="Tahoma" w:cs="Tahoma"/>
          <w:b/>
          <w:lang w:eastAsia="es-CO"/>
        </w:rPr>
      </w:pPr>
    </w:p>
    <w:p w14:paraId="4DD948C4" w14:textId="77777777" w:rsidR="00DF6BCE" w:rsidRPr="000E0F6E" w:rsidRDefault="00DF6BCE" w:rsidP="000E0F6E">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0E0F6E">
        <w:rPr>
          <w:rFonts w:ascii="Tahoma" w:eastAsia="Calibri" w:hAnsi="Tahoma" w:cs="Tahoma"/>
          <w:lang w:eastAsia="es-CO"/>
        </w:rPr>
        <w:t xml:space="preserve">En realidad, mínimo la AFP tendría que haber dado la siguiente información: </w:t>
      </w:r>
      <w:r w:rsidRPr="000E0F6E">
        <w:rPr>
          <w:rFonts w:ascii="Tahoma" w:eastAsia="Calibri" w:hAnsi="Tahoma" w:cs="Tahoma"/>
          <w:i/>
          <w:lang w:eastAsia="es-CO"/>
        </w:rPr>
        <w:t xml:space="preserve">i) </w:t>
      </w:r>
      <w:r w:rsidRPr="000E0F6E">
        <w:rPr>
          <w:rFonts w:ascii="Tahoma" w:eastAsia="Calibri" w:hAnsi="Tahoma" w:cs="Tahoma"/>
          <w:lang w:eastAsia="es-CO"/>
        </w:rPr>
        <w:t xml:space="preserve">Que, dependiendo del capital, puede pensionarse anticipadamente, esto es, antes de la edad mínima para la pensión de vejez. </w:t>
      </w:r>
      <w:r w:rsidRPr="000E0F6E">
        <w:rPr>
          <w:rFonts w:ascii="Tahoma" w:eastAsia="Calibri" w:hAnsi="Tahoma" w:cs="Tahoma"/>
          <w:i/>
          <w:lang w:eastAsia="es-CO"/>
        </w:rPr>
        <w:t xml:space="preserve">ii) </w:t>
      </w:r>
      <w:r w:rsidRPr="000E0F6E">
        <w:rPr>
          <w:rFonts w:ascii="Tahoma" w:eastAsia="Calibri" w:hAnsi="Tahoma" w:cs="Tahoma"/>
          <w:lang w:eastAsia="es-CO"/>
        </w:rPr>
        <w:t xml:space="preserve">La posibilidad para sus herederos de hacerse a la devolución de saldos, en caso de que no existieran beneficiaros para la pensión de sobrevivientes. </w:t>
      </w:r>
      <w:r w:rsidRPr="000E0F6E">
        <w:rPr>
          <w:rFonts w:ascii="Tahoma" w:eastAsia="Calibri" w:hAnsi="Tahoma" w:cs="Tahoma"/>
          <w:i/>
          <w:lang w:eastAsia="es-CO"/>
        </w:rPr>
        <w:t xml:space="preserve">iii) </w:t>
      </w:r>
      <w:r w:rsidRPr="000E0F6E">
        <w:rPr>
          <w:rFonts w:ascii="Tahoma" w:eastAsia="Calibri" w:hAnsi="Tahoma" w:cs="Tahoma"/>
          <w:lang w:eastAsia="es-CO"/>
        </w:rPr>
        <w:t xml:space="preserve">La devolución total del saldo en caso de no alcanzar a reunir el total de los requisitos legales para optar al beneficio pensional. </w:t>
      </w:r>
      <w:r w:rsidRPr="000E0F6E">
        <w:rPr>
          <w:rFonts w:ascii="Tahoma" w:eastAsia="Calibri" w:hAnsi="Tahoma" w:cs="Tahoma"/>
          <w:i/>
          <w:lang w:eastAsia="es-CO"/>
        </w:rPr>
        <w:t xml:space="preserve">iv) </w:t>
      </w:r>
      <w:r w:rsidRPr="000E0F6E">
        <w:rPr>
          <w:rFonts w:ascii="Tahoma" w:eastAsia="Calibri" w:hAnsi="Tahoma" w:cs="Tahoma"/>
          <w:lang w:eastAsia="es-CO"/>
        </w:rPr>
        <w:t xml:space="preserve">Tener la posibilidad de la pensión de vejez habiendo cotizado el mínimo de semanas requeridas a pesar de no reunir el capital suficiente para el financiamiento de la prestación económica. </w:t>
      </w:r>
      <w:r w:rsidRPr="000E0F6E">
        <w:rPr>
          <w:rFonts w:ascii="Tahoma" w:eastAsia="Calibri" w:hAnsi="Tahoma" w:cs="Tahoma"/>
          <w:i/>
          <w:lang w:eastAsia="es-CO"/>
        </w:rPr>
        <w:t xml:space="preserve">v) </w:t>
      </w:r>
      <w:r w:rsidRPr="000E0F6E">
        <w:rPr>
          <w:rFonts w:ascii="Tahoma" w:eastAsia="Calibri" w:hAnsi="Tahoma" w:cs="Tahoma"/>
          <w:lang w:eastAsia="es-CO"/>
        </w:rPr>
        <w:t xml:space="preserve">La posibilidad de que el reconocimiento de la pensión de vejez, una vez reunido los requisitos, se haga pronto. </w:t>
      </w:r>
      <w:r w:rsidRPr="000E0F6E">
        <w:rPr>
          <w:rFonts w:ascii="Tahoma" w:eastAsia="Calibri" w:hAnsi="Tahoma" w:cs="Tahoma"/>
          <w:i/>
          <w:lang w:eastAsia="es-CO"/>
        </w:rPr>
        <w:t xml:space="preserve">vi) </w:t>
      </w:r>
      <w:r w:rsidRPr="000E0F6E">
        <w:rPr>
          <w:rFonts w:ascii="Tahoma" w:eastAsia="Calibri" w:hAnsi="Tahoma" w:cs="Tahoma"/>
          <w:lang w:eastAsia="es-CO"/>
        </w:rPr>
        <w:t xml:space="preserve">La posibilidad de que sus aportes se conviertan en patrimonio </w:t>
      </w:r>
      <w:proofErr w:type="spellStart"/>
      <w:r w:rsidRPr="000E0F6E">
        <w:rPr>
          <w:rFonts w:ascii="Tahoma" w:eastAsia="Calibri" w:hAnsi="Tahoma" w:cs="Tahoma"/>
          <w:lang w:eastAsia="es-CO"/>
        </w:rPr>
        <w:t>sucesoral</w:t>
      </w:r>
      <w:proofErr w:type="spellEnd"/>
      <w:r w:rsidRPr="000E0F6E">
        <w:rPr>
          <w:rFonts w:ascii="Tahoma" w:eastAsia="Calibri" w:hAnsi="Tahoma" w:cs="Tahoma"/>
          <w:lang w:eastAsia="es-CO"/>
        </w:rPr>
        <w:t xml:space="preserve"> en un caso dado. </w:t>
      </w:r>
      <w:r w:rsidRPr="000E0F6E">
        <w:rPr>
          <w:rFonts w:ascii="Tahoma" w:eastAsia="Calibri" w:hAnsi="Tahoma" w:cs="Tahoma"/>
          <w:i/>
          <w:lang w:eastAsia="es-CO"/>
        </w:rPr>
        <w:t xml:space="preserve">vii) </w:t>
      </w:r>
      <w:r w:rsidRPr="000E0F6E">
        <w:rPr>
          <w:rFonts w:ascii="Tahoma" w:eastAsia="Calibri" w:hAnsi="Tahoma" w:cs="Tahoma"/>
          <w:lang w:eastAsia="es-CO"/>
        </w:rPr>
        <w:t xml:space="preserve">El hecho de que el afiliado es el único titular de la cuenta de ahorro individual en contraste con el fondo público cuyos ahorros hacen parte de un fondo común. </w:t>
      </w:r>
      <w:proofErr w:type="spellStart"/>
      <w:r w:rsidRPr="000E0F6E">
        <w:rPr>
          <w:rFonts w:ascii="Tahoma" w:eastAsia="Calibri" w:hAnsi="Tahoma" w:cs="Tahoma"/>
          <w:i/>
          <w:lang w:eastAsia="es-CO"/>
        </w:rPr>
        <w:t>viii</w:t>
      </w:r>
      <w:proofErr w:type="spellEnd"/>
      <w:r w:rsidRPr="000E0F6E">
        <w:rPr>
          <w:rFonts w:ascii="Tahoma" w:eastAsia="Calibri" w:hAnsi="Tahoma" w:cs="Tahoma"/>
          <w:i/>
          <w:lang w:eastAsia="es-CO"/>
        </w:rPr>
        <w:t xml:space="preserve">) </w:t>
      </w:r>
      <w:r w:rsidRPr="000E0F6E">
        <w:rPr>
          <w:rFonts w:ascii="Tahoma" w:eastAsia="Calibri" w:hAnsi="Tahoma" w:cs="Tahoma"/>
          <w:lang w:eastAsia="es-CO"/>
        </w:rPr>
        <w:t xml:space="preserve">Los rendimientos financieros que le generen sus aportes abonados sobre el saldo de su cuenta de ahorro individual; y, </w:t>
      </w:r>
      <w:proofErr w:type="spellStart"/>
      <w:r w:rsidRPr="000E0F6E">
        <w:rPr>
          <w:rFonts w:ascii="Tahoma" w:eastAsia="Calibri" w:hAnsi="Tahoma" w:cs="Tahoma"/>
          <w:i/>
          <w:lang w:eastAsia="es-CO"/>
        </w:rPr>
        <w:t>ix</w:t>
      </w:r>
      <w:proofErr w:type="spellEnd"/>
      <w:r w:rsidRPr="000E0F6E">
        <w:rPr>
          <w:rFonts w:ascii="Tahoma" w:eastAsia="Calibri" w:hAnsi="Tahoma" w:cs="Tahoma"/>
          <w:i/>
          <w:lang w:eastAsia="es-CO"/>
        </w:rPr>
        <w:t xml:space="preserve">) </w:t>
      </w:r>
      <w:r w:rsidRPr="000E0F6E">
        <w:rPr>
          <w:rFonts w:ascii="Tahoma" w:eastAsia="Calibri" w:hAnsi="Tahoma" w:cs="Tahoma"/>
          <w:lang w:eastAsia="es-CO"/>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r w:rsidRPr="000E0F6E">
        <w:rPr>
          <w:rFonts w:ascii="Tahoma" w:eastAsia="Calibri" w:hAnsi="Tahoma" w:cs="Tahoma"/>
          <w:lang w:eastAsia="es-CO"/>
        </w:rPr>
        <w:t>sucesoral</w:t>
      </w:r>
      <w:proofErr w:type="spellEnd"/>
      <w:r w:rsidRPr="000E0F6E">
        <w:rPr>
          <w:rFonts w:ascii="Tahoma" w:eastAsia="Calibri" w:hAnsi="Tahoma" w:cs="Tahoma"/>
          <w:lang w:eastAsia="es-CO"/>
        </w:rPr>
        <w:t xml:space="preserve">, pero le garantiza una pensión de por vida. La modalidad de </w:t>
      </w:r>
      <w:r w:rsidRPr="000E0F6E">
        <w:rPr>
          <w:rFonts w:ascii="Tahoma" w:eastAsia="Calibri" w:hAnsi="Tahoma" w:cs="Tahoma"/>
          <w:i/>
          <w:lang w:eastAsia="es-CO"/>
        </w:rPr>
        <w:t>retiro programado</w:t>
      </w:r>
      <w:r w:rsidRPr="000E0F6E">
        <w:rPr>
          <w:rFonts w:ascii="Tahoma" w:eastAsia="Calibri" w:hAnsi="Tahoma" w:cs="Tahoma"/>
          <w:lang w:eastAsia="es-CO"/>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23C9781F" w14:textId="77777777" w:rsidR="00DF6BCE" w:rsidRPr="000E0F6E" w:rsidRDefault="00DF6BCE" w:rsidP="000E0F6E">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03120CD7" w14:textId="605B3629" w:rsidR="00DF6BCE" w:rsidRPr="000E0F6E" w:rsidRDefault="00DF6BCE" w:rsidP="000E0F6E">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r w:rsidRPr="000E0F6E">
        <w:rPr>
          <w:rFonts w:ascii="Tahoma" w:eastAsia="Calibri" w:hAnsi="Tahoma" w:cs="Tahoma"/>
          <w:lang w:eastAsia="es-CO"/>
        </w:rPr>
        <w:t>En este orden, P</w:t>
      </w:r>
      <w:r w:rsidR="0089481D" w:rsidRPr="000E0F6E">
        <w:rPr>
          <w:rFonts w:ascii="Tahoma" w:eastAsia="Calibri" w:hAnsi="Tahoma" w:cs="Tahoma"/>
          <w:lang w:eastAsia="es-CO"/>
        </w:rPr>
        <w:t xml:space="preserve">rotección </w:t>
      </w:r>
      <w:r w:rsidRPr="000E0F6E">
        <w:rPr>
          <w:rFonts w:ascii="Tahoma" w:eastAsia="Calibri" w:hAnsi="Tahoma" w:cs="Tahoma"/>
          <w:lang w:eastAsia="es-CO"/>
        </w:rPr>
        <w:t xml:space="preserve">S.A. como </w:t>
      </w:r>
      <w:r w:rsidRPr="000E0F6E">
        <w:rPr>
          <w:rFonts w:ascii="Tahoma" w:eastAsia="Calibri" w:hAnsi="Tahoma" w:cs="Tahoma"/>
          <w:lang w:val="es-ES" w:eastAsia="es-CO"/>
        </w:rPr>
        <w:t xml:space="preserve">prueba del cumplimiento del deber de información, llamó a declarar a su contraparte procesal, con el fin de demostrar </w:t>
      </w:r>
      <w:r w:rsidRPr="000E0F6E">
        <w:rPr>
          <w:rFonts w:ascii="Tahoma" w:eastAsia="Calibri" w:hAnsi="Tahoma" w:cs="Tahoma"/>
          <w:lang w:eastAsia="es-CO"/>
        </w:rPr>
        <w:t xml:space="preserve">que brindó la información seria y veraz que para la época era jurídicamente pertinente, pues como se vio en el precedente jurisprudencial, para la fecha de la creación de las AFP existían normas en el Código Civil y en el Estatuto Financiero que obligaban a los fondos a brindar una asesoría adecuada de cara a lo que consistía el nuevo régimen de ahorro individual con solidaridad por lo menos en los puntos que se acaban de </w:t>
      </w:r>
      <w:r w:rsidRPr="000E0F6E">
        <w:rPr>
          <w:rFonts w:ascii="Tahoma" w:eastAsia="Calibri" w:hAnsi="Tahoma" w:cs="Tahoma"/>
          <w:lang w:eastAsia="es-CO"/>
        </w:rPr>
        <w:lastRenderedPageBreak/>
        <w:t>esbozar.</w:t>
      </w:r>
    </w:p>
    <w:p w14:paraId="668343D5" w14:textId="77777777" w:rsidR="00DF6BCE" w:rsidRPr="000E0F6E" w:rsidRDefault="00DF6BCE" w:rsidP="000E0F6E">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792EBDB4" w14:textId="2B5FF79C" w:rsidR="00CF7F7D" w:rsidRPr="000E0F6E" w:rsidRDefault="00DF6BCE" w:rsidP="000E0F6E">
      <w:pPr>
        <w:widowControl w:val="0"/>
        <w:autoSpaceDE w:val="0"/>
        <w:autoSpaceDN w:val="0"/>
        <w:adjustRightInd w:val="0"/>
        <w:spacing w:before="0" w:beforeAutospacing="0" w:after="0" w:afterAutospacing="0" w:line="276" w:lineRule="auto"/>
        <w:ind w:firstLine="708"/>
        <w:rPr>
          <w:rFonts w:ascii="Tahoma" w:eastAsia="Calibri" w:hAnsi="Tahoma" w:cs="Tahoma"/>
          <w:lang w:val="es-ES" w:eastAsia="es-CO"/>
        </w:rPr>
      </w:pPr>
      <w:r w:rsidRPr="000E0F6E">
        <w:rPr>
          <w:rFonts w:ascii="Tahoma" w:eastAsia="Calibri" w:hAnsi="Tahoma" w:cs="Tahoma"/>
          <w:lang w:eastAsia="es-CO"/>
        </w:rPr>
        <w:t xml:space="preserve">Sin embargo, una vez rendido el interrogatorio de parte, no se </w:t>
      </w:r>
      <w:r w:rsidRPr="000E0F6E">
        <w:rPr>
          <w:rFonts w:ascii="Tahoma" w:eastAsia="Calibri" w:hAnsi="Tahoma" w:cs="Tahoma"/>
          <w:lang w:val="es-ES" w:eastAsia="es-CO"/>
        </w:rPr>
        <w:t xml:space="preserve">logró desvirtuar la poca información recibida, pues </w:t>
      </w:r>
      <w:r w:rsidR="00CF7F7D" w:rsidRPr="000E0F6E">
        <w:rPr>
          <w:rFonts w:ascii="Tahoma" w:eastAsia="Calibri" w:hAnsi="Tahoma" w:cs="Tahoma"/>
          <w:lang w:val="es-ES" w:eastAsia="es-CO"/>
        </w:rPr>
        <w:t>el</w:t>
      </w:r>
      <w:r w:rsidRPr="000E0F6E">
        <w:rPr>
          <w:rFonts w:ascii="Tahoma" w:eastAsia="Calibri" w:hAnsi="Tahoma" w:cs="Tahoma"/>
          <w:lang w:val="es-ES" w:eastAsia="es-CO"/>
        </w:rPr>
        <w:t xml:space="preserve"> promotor</w:t>
      </w:r>
      <w:r w:rsidR="00CF7F7D" w:rsidRPr="000E0F6E">
        <w:rPr>
          <w:rFonts w:ascii="Tahoma" w:eastAsia="Calibri" w:hAnsi="Tahoma" w:cs="Tahoma"/>
          <w:lang w:val="es-ES" w:eastAsia="es-CO"/>
        </w:rPr>
        <w:t xml:space="preserve"> </w:t>
      </w:r>
      <w:r w:rsidRPr="000E0F6E">
        <w:rPr>
          <w:rFonts w:ascii="Tahoma" w:eastAsia="Calibri" w:hAnsi="Tahoma" w:cs="Tahoma"/>
          <w:lang w:val="es-ES" w:eastAsia="es-CO"/>
        </w:rPr>
        <w:t>de la litis solo refirió</w:t>
      </w:r>
      <w:r w:rsidR="00B91B8D" w:rsidRPr="000E0F6E">
        <w:rPr>
          <w:rFonts w:ascii="Tahoma" w:eastAsia="Calibri" w:hAnsi="Tahoma" w:cs="Tahoma"/>
          <w:lang w:val="es-ES" w:eastAsia="es-CO"/>
        </w:rPr>
        <w:t xml:space="preserve"> </w:t>
      </w:r>
      <w:r w:rsidR="00AB61FD" w:rsidRPr="000E0F6E">
        <w:rPr>
          <w:rFonts w:ascii="Tahoma" w:eastAsia="Calibri" w:hAnsi="Tahoma" w:cs="Tahoma"/>
          <w:lang w:val="es-ES" w:eastAsia="es-CO"/>
        </w:rPr>
        <w:t xml:space="preserve">que le brindaron una información de carácter comercial, donde el asesor de Protección S.A le aseguró que le favorecía pasarse al fondo privado, </w:t>
      </w:r>
      <w:r w:rsidR="0065444C" w:rsidRPr="000E0F6E">
        <w:rPr>
          <w:rFonts w:ascii="Tahoma" w:eastAsia="Calibri" w:hAnsi="Tahoma" w:cs="Tahoma"/>
          <w:lang w:val="es-ES" w:eastAsia="es-CO"/>
        </w:rPr>
        <w:t xml:space="preserve">porque tendría </w:t>
      </w:r>
      <w:r w:rsidR="00AB61FD" w:rsidRPr="000E0F6E">
        <w:rPr>
          <w:rFonts w:ascii="Tahoma" w:eastAsia="Calibri" w:hAnsi="Tahoma" w:cs="Tahoma"/>
          <w:lang w:val="es-ES" w:eastAsia="es-CO"/>
        </w:rPr>
        <w:t>unos beneficios pensionales que no tenía con el Seguro Social</w:t>
      </w:r>
      <w:r w:rsidR="0065444C" w:rsidRPr="000E0F6E">
        <w:rPr>
          <w:rFonts w:ascii="Tahoma" w:eastAsia="Calibri" w:hAnsi="Tahoma" w:cs="Tahoma"/>
          <w:lang w:val="es-ES" w:eastAsia="es-CO"/>
        </w:rPr>
        <w:t>; que el monto de la mesada pensional iba a ser mejor</w:t>
      </w:r>
      <w:r w:rsidR="00692D40" w:rsidRPr="000E0F6E">
        <w:rPr>
          <w:rFonts w:ascii="Tahoma" w:eastAsia="Calibri" w:hAnsi="Tahoma" w:cs="Tahoma"/>
          <w:lang w:val="es-ES" w:eastAsia="es-CO"/>
        </w:rPr>
        <w:t xml:space="preserve">; </w:t>
      </w:r>
      <w:r w:rsidR="00161F97" w:rsidRPr="000E0F6E">
        <w:rPr>
          <w:rFonts w:ascii="Tahoma" w:eastAsia="Calibri" w:hAnsi="Tahoma" w:cs="Tahoma"/>
          <w:lang w:val="es-ES" w:eastAsia="es-CO"/>
        </w:rPr>
        <w:t xml:space="preserve">que tenía la posibilidad de retirar los aportes en determinada edad; que sus herederos podían reclamar esos valores; </w:t>
      </w:r>
      <w:r w:rsidR="00692D40" w:rsidRPr="000E0F6E">
        <w:rPr>
          <w:rFonts w:ascii="Tahoma" w:eastAsia="Calibri" w:hAnsi="Tahoma" w:cs="Tahoma"/>
          <w:lang w:val="es-ES" w:eastAsia="es-CO"/>
        </w:rPr>
        <w:t xml:space="preserve">y, </w:t>
      </w:r>
      <w:r w:rsidR="00161F97" w:rsidRPr="000E0F6E">
        <w:rPr>
          <w:rFonts w:ascii="Tahoma" w:eastAsia="Calibri" w:hAnsi="Tahoma" w:cs="Tahoma"/>
          <w:lang w:val="es-ES" w:eastAsia="es-CO"/>
        </w:rPr>
        <w:t xml:space="preserve">que el </w:t>
      </w:r>
      <w:r w:rsidR="00F0407F" w:rsidRPr="000E0F6E">
        <w:rPr>
          <w:rFonts w:ascii="Tahoma" w:eastAsia="Calibri" w:hAnsi="Tahoma" w:cs="Tahoma"/>
          <w:lang w:val="es-ES" w:eastAsia="es-CO"/>
        </w:rPr>
        <w:t>S</w:t>
      </w:r>
      <w:r w:rsidR="00161F97" w:rsidRPr="000E0F6E">
        <w:rPr>
          <w:rFonts w:ascii="Tahoma" w:eastAsia="Calibri" w:hAnsi="Tahoma" w:cs="Tahoma"/>
          <w:lang w:val="es-ES" w:eastAsia="es-CO"/>
        </w:rPr>
        <w:t xml:space="preserve">eguro </w:t>
      </w:r>
      <w:r w:rsidR="00F0407F" w:rsidRPr="000E0F6E">
        <w:rPr>
          <w:rFonts w:ascii="Tahoma" w:eastAsia="Calibri" w:hAnsi="Tahoma" w:cs="Tahoma"/>
          <w:lang w:val="es-ES" w:eastAsia="es-CO"/>
        </w:rPr>
        <w:t>S</w:t>
      </w:r>
      <w:r w:rsidR="00161F97" w:rsidRPr="000E0F6E">
        <w:rPr>
          <w:rFonts w:ascii="Tahoma" w:eastAsia="Calibri" w:hAnsi="Tahoma" w:cs="Tahoma"/>
          <w:lang w:val="es-ES" w:eastAsia="es-CO"/>
        </w:rPr>
        <w:t>ocial se iba a acabar</w:t>
      </w:r>
      <w:r w:rsidR="00996B76" w:rsidRPr="000E0F6E">
        <w:rPr>
          <w:rFonts w:ascii="Tahoma" w:eastAsia="Calibri" w:hAnsi="Tahoma" w:cs="Tahoma"/>
          <w:lang w:val="es-ES" w:eastAsia="es-CO"/>
        </w:rPr>
        <w:t xml:space="preserve">. Afirmó que permaneció durante tantos años en el RAIS porque no </w:t>
      </w:r>
      <w:r w:rsidR="00FA2E40" w:rsidRPr="000E0F6E">
        <w:rPr>
          <w:rFonts w:ascii="Tahoma" w:eastAsia="Calibri" w:hAnsi="Tahoma" w:cs="Tahoma"/>
          <w:lang w:val="es-ES" w:eastAsia="es-CO"/>
        </w:rPr>
        <w:t>sabía que le era más beneficioso estar en el RPM</w:t>
      </w:r>
      <w:r w:rsidR="00FD1412" w:rsidRPr="000E0F6E">
        <w:rPr>
          <w:rFonts w:ascii="Tahoma" w:eastAsia="Calibri" w:hAnsi="Tahoma" w:cs="Tahoma"/>
          <w:lang w:val="es-ES" w:eastAsia="es-CO"/>
        </w:rPr>
        <w:t xml:space="preserve"> desde el punto de vista del monto pensional</w:t>
      </w:r>
      <w:r w:rsidR="00FA2E40" w:rsidRPr="000E0F6E">
        <w:rPr>
          <w:rFonts w:ascii="Tahoma" w:eastAsia="Calibri" w:hAnsi="Tahoma" w:cs="Tahoma"/>
          <w:lang w:val="es-ES" w:eastAsia="es-CO"/>
        </w:rPr>
        <w:t xml:space="preserve">, </w:t>
      </w:r>
      <w:r w:rsidR="00C9028B" w:rsidRPr="000E0F6E">
        <w:rPr>
          <w:rFonts w:ascii="Tahoma" w:eastAsia="Calibri" w:hAnsi="Tahoma" w:cs="Tahoma"/>
          <w:lang w:val="es-ES" w:eastAsia="es-CO"/>
        </w:rPr>
        <w:t xml:space="preserve">y que </w:t>
      </w:r>
      <w:r w:rsidR="00692D40" w:rsidRPr="000E0F6E">
        <w:rPr>
          <w:rFonts w:ascii="Tahoma" w:eastAsia="Calibri" w:hAnsi="Tahoma" w:cs="Tahoma"/>
          <w:lang w:val="es-ES" w:eastAsia="es-CO"/>
        </w:rPr>
        <w:t xml:space="preserve">por experiencia de otras personas </w:t>
      </w:r>
      <w:r w:rsidR="00FD1412" w:rsidRPr="000E0F6E">
        <w:rPr>
          <w:rFonts w:ascii="Tahoma" w:eastAsia="Calibri" w:hAnsi="Tahoma" w:cs="Tahoma"/>
          <w:lang w:val="es-ES" w:eastAsia="es-CO"/>
        </w:rPr>
        <w:t>desea continuar aportando y pensionarse en Colpensiones. A</w:t>
      </w:r>
      <w:r w:rsidR="00FA2E40" w:rsidRPr="000E0F6E">
        <w:rPr>
          <w:rFonts w:ascii="Tahoma" w:eastAsia="Calibri" w:hAnsi="Tahoma" w:cs="Tahoma"/>
          <w:lang w:val="es-ES" w:eastAsia="es-CO"/>
        </w:rPr>
        <w:t>ñadió que recibe los extractos bancarios al correo electrónico</w:t>
      </w:r>
      <w:r w:rsidR="00243E4E" w:rsidRPr="000E0F6E">
        <w:rPr>
          <w:rFonts w:ascii="Tahoma" w:eastAsia="Calibri" w:hAnsi="Tahoma" w:cs="Tahoma"/>
          <w:lang w:val="es-ES" w:eastAsia="es-CO"/>
        </w:rPr>
        <w:t xml:space="preserve">. </w:t>
      </w:r>
    </w:p>
    <w:p w14:paraId="409DAFDA" w14:textId="520D4950" w:rsidR="00CF7F7D" w:rsidRPr="000E0F6E" w:rsidRDefault="00CF7F7D" w:rsidP="000E0F6E">
      <w:pPr>
        <w:widowControl w:val="0"/>
        <w:autoSpaceDE w:val="0"/>
        <w:autoSpaceDN w:val="0"/>
        <w:adjustRightInd w:val="0"/>
        <w:spacing w:before="0" w:beforeAutospacing="0" w:after="0" w:afterAutospacing="0" w:line="276" w:lineRule="auto"/>
        <w:ind w:firstLine="0"/>
        <w:rPr>
          <w:rFonts w:ascii="Tahoma" w:eastAsia="Calibri" w:hAnsi="Tahoma" w:cs="Tahoma"/>
          <w:lang w:val="es-ES" w:eastAsia="es-CO"/>
        </w:rPr>
      </w:pPr>
    </w:p>
    <w:p w14:paraId="73E23057" w14:textId="04581DC3" w:rsidR="00F90380" w:rsidRPr="000E0F6E" w:rsidRDefault="004A0AB4" w:rsidP="000E0F6E">
      <w:pPr>
        <w:widowControl w:val="0"/>
        <w:autoSpaceDE w:val="0"/>
        <w:autoSpaceDN w:val="0"/>
        <w:adjustRightInd w:val="0"/>
        <w:spacing w:before="0" w:beforeAutospacing="0" w:after="0" w:afterAutospacing="0" w:line="276" w:lineRule="auto"/>
        <w:ind w:firstLine="0"/>
        <w:rPr>
          <w:rFonts w:ascii="Tahoma" w:eastAsia="Calibri" w:hAnsi="Tahoma" w:cs="Tahoma"/>
          <w:i/>
          <w:iCs/>
          <w:lang w:eastAsia="es-CO"/>
        </w:rPr>
      </w:pPr>
      <w:r w:rsidRPr="000E0F6E">
        <w:rPr>
          <w:rFonts w:ascii="Tahoma" w:eastAsia="Calibri" w:hAnsi="Tahoma" w:cs="Tahoma"/>
          <w:lang w:val="es-ES" w:eastAsia="es-CO"/>
        </w:rPr>
        <w:tab/>
        <w:t xml:space="preserve">Conforme a lo dicho, no es cierto como se duele Colpensiones que el actor en el presente proceso haya constituido su propia prueba, </w:t>
      </w:r>
      <w:r w:rsidR="00C9028B" w:rsidRPr="000E0F6E">
        <w:rPr>
          <w:rFonts w:ascii="Tahoma" w:eastAsia="Calibri" w:hAnsi="Tahoma" w:cs="Tahoma"/>
          <w:lang w:val="es-ES" w:eastAsia="es-CO"/>
        </w:rPr>
        <w:t>por</w:t>
      </w:r>
      <w:r w:rsidR="00D60566" w:rsidRPr="000E0F6E">
        <w:rPr>
          <w:rFonts w:ascii="Tahoma" w:eastAsia="Calibri" w:hAnsi="Tahoma" w:cs="Tahoma"/>
          <w:lang w:val="es-ES" w:eastAsia="es-CO"/>
        </w:rPr>
        <w:t>que</w:t>
      </w:r>
      <w:r w:rsidR="000F55BF" w:rsidRPr="000E0F6E">
        <w:rPr>
          <w:rFonts w:ascii="Tahoma" w:eastAsia="Calibri" w:hAnsi="Tahoma" w:cs="Tahoma"/>
          <w:lang w:val="es-ES" w:eastAsia="es-CO"/>
        </w:rPr>
        <w:t xml:space="preserve">, </w:t>
      </w:r>
      <w:r w:rsidR="00D60566" w:rsidRPr="000E0F6E">
        <w:rPr>
          <w:rFonts w:ascii="Tahoma" w:eastAsia="Calibri" w:hAnsi="Tahoma" w:cs="Tahoma"/>
          <w:lang w:val="es-ES" w:eastAsia="es-CO"/>
        </w:rPr>
        <w:t>del interrogatorio de par</w:t>
      </w:r>
      <w:r w:rsidR="00A37A9E" w:rsidRPr="000E0F6E">
        <w:rPr>
          <w:rFonts w:ascii="Tahoma" w:eastAsia="Calibri" w:hAnsi="Tahoma" w:cs="Tahoma"/>
          <w:lang w:val="es-ES" w:eastAsia="es-CO"/>
        </w:rPr>
        <w:t xml:space="preserve">te solicitado a petición de los sujetos pasivos, solo constituye prueba </w:t>
      </w:r>
      <w:r w:rsidR="000F55BF" w:rsidRPr="000E0F6E">
        <w:rPr>
          <w:rFonts w:ascii="Tahoma" w:eastAsia="Calibri" w:hAnsi="Tahoma" w:cs="Tahoma"/>
          <w:lang w:val="es-ES" w:eastAsia="es-CO"/>
        </w:rPr>
        <w:t>las afirmaciones que reúnan los requisitos contemplados en el artículo 191 del Código General del Proceso</w:t>
      </w:r>
      <w:r w:rsidR="007D7B3F" w:rsidRPr="000E0F6E">
        <w:rPr>
          <w:rFonts w:ascii="Tahoma" w:eastAsia="Calibri" w:hAnsi="Tahoma" w:cs="Tahoma"/>
          <w:lang w:val="es-ES" w:eastAsia="es-CO"/>
        </w:rPr>
        <w:t xml:space="preserve">, esto es los susceptibles de ser valorados como prueba de confesión, empero una vez rendido </w:t>
      </w:r>
      <w:r w:rsidR="00712632" w:rsidRPr="000E0F6E">
        <w:rPr>
          <w:rFonts w:ascii="Tahoma" w:eastAsia="Calibri" w:hAnsi="Tahoma" w:cs="Tahoma"/>
          <w:lang w:val="es-ES" w:eastAsia="es-CO"/>
        </w:rPr>
        <w:t xml:space="preserve">el mismo, el actor jamás confesó que se le </w:t>
      </w:r>
      <w:r w:rsidR="00B52510" w:rsidRPr="000E0F6E">
        <w:rPr>
          <w:rFonts w:ascii="Tahoma" w:eastAsia="Calibri" w:hAnsi="Tahoma" w:cs="Tahoma"/>
          <w:lang w:val="es-ES" w:eastAsia="es-CO"/>
        </w:rPr>
        <w:t xml:space="preserve">hubiera brindado una explicación pormenorizada e individualizada de </w:t>
      </w:r>
      <w:r w:rsidR="002E07F2" w:rsidRPr="000E0F6E">
        <w:rPr>
          <w:rFonts w:ascii="Tahoma" w:eastAsia="Calibri" w:hAnsi="Tahoma" w:cs="Tahoma"/>
          <w:lang w:val="es-ES" w:eastAsia="es-CO"/>
        </w:rPr>
        <w:t>“</w:t>
      </w:r>
      <w:r w:rsidR="002E07F2" w:rsidRPr="00092458">
        <w:rPr>
          <w:rFonts w:ascii="Tahoma" w:eastAsia="Calibri" w:hAnsi="Tahoma" w:cs="Tahoma"/>
          <w:i/>
          <w:iCs/>
          <w:sz w:val="22"/>
          <w:lang w:eastAsia="es-CO"/>
        </w:rPr>
        <w:t>las características, condiciones, acceso, efectos y riesgos de cada uno de los regímenes pensionales</w:t>
      </w:r>
      <w:r w:rsidR="002E07F2" w:rsidRPr="000E0F6E">
        <w:rPr>
          <w:rFonts w:ascii="Tahoma" w:eastAsia="Calibri" w:hAnsi="Tahoma" w:cs="Tahoma"/>
          <w:i/>
          <w:iCs/>
          <w:lang w:eastAsia="es-CO"/>
        </w:rPr>
        <w:t>”</w:t>
      </w:r>
      <w:r w:rsidR="00BD0C1D" w:rsidRPr="000E0F6E">
        <w:rPr>
          <w:rFonts w:ascii="Tahoma" w:eastAsia="Calibri" w:hAnsi="Tahoma" w:cs="Tahoma"/>
          <w:i/>
          <w:iCs/>
          <w:lang w:eastAsia="es-CO"/>
        </w:rPr>
        <w:t xml:space="preserve">, </w:t>
      </w:r>
      <w:r w:rsidR="00274C26" w:rsidRPr="000E0F6E">
        <w:rPr>
          <w:rFonts w:ascii="Tahoma" w:eastAsia="Calibri" w:hAnsi="Tahoma" w:cs="Tahoma"/>
          <w:lang w:eastAsia="es-CO"/>
        </w:rPr>
        <w:t xml:space="preserve">por el contrario de lo indicado es claro que la información </w:t>
      </w:r>
      <w:r w:rsidR="00F90380" w:rsidRPr="000E0F6E">
        <w:rPr>
          <w:rFonts w:ascii="Tahoma" w:eastAsia="Calibri" w:hAnsi="Tahoma" w:cs="Tahoma"/>
          <w:lang w:eastAsia="es-CO"/>
        </w:rPr>
        <w:t>que precedió el consentimiento fue parcializada</w:t>
      </w:r>
      <w:r w:rsidR="0024770B" w:rsidRPr="000E0F6E">
        <w:rPr>
          <w:rFonts w:ascii="Tahoma" w:eastAsia="Calibri" w:hAnsi="Tahoma" w:cs="Tahoma"/>
          <w:lang w:eastAsia="es-CO"/>
        </w:rPr>
        <w:t xml:space="preserve"> e insuficiente. </w:t>
      </w:r>
    </w:p>
    <w:p w14:paraId="4B759E53" w14:textId="77777777" w:rsidR="00DF6BCE" w:rsidRPr="000E0F6E" w:rsidRDefault="00DF6BCE" w:rsidP="000E0F6E">
      <w:pPr>
        <w:widowControl w:val="0"/>
        <w:autoSpaceDE w:val="0"/>
        <w:autoSpaceDN w:val="0"/>
        <w:adjustRightInd w:val="0"/>
        <w:spacing w:before="0" w:beforeAutospacing="0" w:after="0" w:afterAutospacing="0" w:line="276" w:lineRule="auto"/>
        <w:ind w:firstLine="0"/>
        <w:rPr>
          <w:rFonts w:ascii="Tahoma" w:eastAsia="Calibri" w:hAnsi="Tahoma" w:cs="Tahoma"/>
          <w:lang w:val="es-ES" w:eastAsia="es-CO"/>
        </w:rPr>
      </w:pPr>
    </w:p>
    <w:p w14:paraId="753F1D25" w14:textId="0181DD82" w:rsidR="00B52510" w:rsidRPr="000E0F6E" w:rsidRDefault="00A5787D" w:rsidP="000E0F6E">
      <w:pPr>
        <w:widowControl w:val="0"/>
        <w:autoSpaceDE w:val="0"/>
        <w:autoSpaceDN w:val="0"/>
        <w:adjustRightInd w:val="0"/>
        <w:spacing w:before="0" w:beforeAutospacing="0" w:after="0" w:afterAutospacing="0" w:line="276" w:lineRule="auto"/>
        <w:ind w:firstLine="708"/>
        <w:rPr>
          <w:rFonts w:ascii="Tahoma" w:eastAsia="Calibri" w:hAnsi="Tahoma" w:cs="Tahoma"/>
          <w:iCs/>
          <w:lang w:val="es-ES" w:eastAsia="es-CO"/>
        </w:rPr>
      </w:pPr>
      <w:r w:rsidRPr="000E0F6E">
        <w:rPr>
          <w:rFonts w:ascii="Tahoma" w:eastAsia="Calibri" w:hAnsi="Tahoma" w:cs="Tahoma"/>
          <w:lang w:val="es-ES" w:eastAsia="es-CO"/>
        </w:rPr>
        <w:t>Respecto a los comunicados de prensa</w:t>
      </w:r>
      <w:r w:rsidRPr="000E0F6E">
        <w:rPr>
          <w:rFonts w:ascii="Tahoma" w:eastAsia="Calibri" w:hAnsi="Tahoma" w:cs="Tahoma"/>
          <w:vertAlign w:val="superscript"/>
          <w:lang w:val="es-ES" w:eastAsia="es-CO"/>
        </w:rPr>
        <w:footnoteReference w:id="13"/>
      </w:r>
      <w:r w:rsidRPr="000E0F6E">
        <w:rPr>
          <w:rFonts w:ascii="Tahoma" w:eastAsia="Calibri" w:hAnsi="Tahoma" w:cs="Tahoma"/>
          <w:lang w:val="es-ES" w:eastAsia="es-CO"/>
        </w:rPr>
        <w:t>,</w:t>
      </w:r>
      <w:r w:rsidR="00F2537D" w:rsidRPr="000E0F6E">
        <w:rPr>
          <w:rFonts w:ascii="Tahoma" w:eastAsia="Calibri" w:hAnsi="Tahoma" w:cs="Tahoma"/>
          <w:lang w:val="es-ES" w:eastAsia="es-CO"/>
        </w:rPr>
        <w:t xml:space="preserve"> </w:t>
      </w:r>
      <w:r w:rsidRPr="000E0F6E">
        <w:rPr>
          <w:rFonts w:ascii="Tahoma" w:eastAsia="Calibri" w:hAnsi="Tahoma" w:cs="Tahoma"/>
          <w:lang w:val="es-ES" w:eastAsia="es-CO"/>
        </w:rPr>
        <w:t xml:space="preserve">extractos de cuenta de ahorro individual </w:t>
      </w:r>
      <w:r w:rsidR="00F2537D" w:rsidRPr="000E0F6E">
        <w:rPr>
          <w:rFonts w:ascii="Tahoma" w:eastAsia="Calibri" w:hAnsi="Tahoma" w:cs="Tahoma"/>
          <w:lang w:val="es-ES" w:eastAsia="es-CO"/>
        </w:rPr>
        <w:t xml:space="preserve">y comunicaciones entabladas con el fondo de pensiones </w:t>
      </w:r>
      <w:r w:rsidR="007700F0" w:rsidRPr="000E0F6E">
        <w:rPr>
          <w:rFonts w:ascii="Tahoma" w:eastAsia="Calibri" w:hAnsi="Tahoma" w:cs="Tahoma"/>
          <w:lang w:val="es-ES" w:eastAsia="es-CO"/>
        </w:rPr>
        <w:t xml:space="preserve">conforme informó el demandante en la declaración de parte </w:t>
      </w:r>
      <w:r w:rsidRPr="000E0F6E">
        <w:rPr>
          <w:rFonts w:ascii="Tahoma" w:eastAsia="Calibri" w:hAnsi="Tahoma" w:cs="Tahoma"/>
          <w:lang w:val="es-ES" w:eastAsia="es-CO"/>
        </w:rPr>
        <w:t>vertida en el proceso, es claro para la Sala que, aunque pueden ser de interés para el afiliado, por si solos no tienen la virtualidad de acreditar que la AFP cumplió con su obligación legal de información y su deber orientador al momento de la vinculación</w:t>
      </w:r>
      <w:r w:rsidR="007700F0" w:rsidRPr="000E0F6E">
        <w:rPr>
          <w:rFonts w:ascii="Tahoma" w:eastAsia="Calibri" w:hAnsi="Tahoma" w:cs="Tahoma"/>
          <w:lang w:val="es-ES" w:eastAsia="es-CO"/>
        </w:rPr>
        <w:t>, tal como lo indicó la Corte Suprema de Justicia en la sentencia</w:t>
      </w:r>
      <w:r w:rsidR="0086387A" w:rsidRPr="000E0F6E">
        <w:rPr>
          <w:rFonts w:ascii="Tahoma" w:eastAsia="Calibri" w:hAnsi="Tahoma" w:cs="Tahoma"/>
          <w:lang w:val="es-ES" w:eastAsia="es-CO"/>
        </w:rPr>
        <w:t xml:space="preserve"> </w:t>
      </w:r>
      <w:r w:rsidR="0086387A" w:rsidRPr="000E0F6E">
        <w:rPr>
          <w:rFonts w:ascii="Tahoma" w:eastAsia="Calibri" w:hAnsi="Tahoma" w:cs="Tahoma"/>
          <w:iCs/>
          <w:lang w:val="es-ES" w:eastAsia="es-CO"/>
        </w:rPr>
        <w:t xml:space="preserve">CSJ  SL1618-2022. </w:t>
      </w:r>
    </w:p>
    <w:p w14:paraId="6E1B6CE9" w14:textId="2D2E18B0" w:rsidR="0086387A" w:rsidRPr="000E0F6E" w:rsidRDefault="0086387A" w:rsidP="000E0F6E">
      <w:pPr>
        <w:widowControl w:val="0"/>
        <w:autoSpaceDE w:val="0"/>
        <w:autoSpaceDN w:val="0"/>
        <w:adjustRightInd w:val="0"/>
        <w:spacing w:before="0" w:beforeAutospacing="0" w:after="0" w:afterAutospacing="0" w:line="276" w:lineRule="auto"/>
        <w:ind w:firstLine="708"/>
        <w:rPr>
          <w:rFonts w:ascii="Tahoma" w:eastAsia="Calibri" w:hAnsi="Tahoma" w:cs="Tahoma"/>
          <w:iCs/>
          <w:lang w:val="es-ES" w:eastAsia="es-CO"/>
        </w:rPr>
      </w:pPr>
    </w:p>
    <w:p w14:paraId="0816A99A" w14:textId="5BE7FDF0" w:rsidR="00051F97" w:rsidRPr="000E0F6E" w:rsidRDefault="0086387A" w:rsidP="000E0F6E">
      <w:pPr>
        <w:widowControl w:val="0"/>
        <w:autoSpaceDE w:val="0"/>
        <w:autoSpaceDN w:val="0"/>
        <w:adjustRightInd w:val="0"/>
        <w:spacing w:before="0" w:beforeAutospacing="0" w:after="0" w:afterAutospacing="0" w:line="276" w:lineRule="auto"/>
        <w:rPr>
          <w:rFonts w:ascii="Tahoma" w:eastAsia="Calibri" w:hAnsi="Tahoma" w:cs="Tahoma"/>
          <w:bCs/>
          <w:iCs/>
          <w:lang w:eastAsia="es-CO"/>
        </w:rPr>
      </w:pPr>
      <w:r w:rsidRPr="000E0F6E">
        <w:rPr>
          <w:rFonts w:ascii="Tahoma" w:eastAsia="Calibri" w:hAnsi="Tahoma" w:cs="Tahoma"/>
          <w:iCs/>
          <w:lang w:val="es-ES" w:eastAsia="es-CO"/>
        </w:rPr>
        <w:t>Del mismo modo, no e</w:t>
      </w:r>
      <w:r w:rsidR="00765144" w:rsidRPr="000E0F6E">
        <w:rPr>
          <w:rFonts w:ascii="Tahoma" w:eastAsia="Calibri" w:hAnsi="Tahoma" w:cs="Tahoma"/>
          <w:iCs/>
          <w:lang w:val="es-ES" w:eastAsia="es-CO"/>
        </w:rPr>
        <w:t>s</w:t>
      </w:r>
      <w:r w:rsidRPr="000E0F6E">
        <w:rPr>
          <w:rFonts w:ascii="Tahoma" w:eastAsia="Calibri" w:hAnsi="Tahoma" w:cs="Tahoma"/>
          <w:iCs/>
          <w:lang w:val="es-ES" w:eastAsia="es-CO"/>
        </w:rPr>
        <w:t xml:space="preserve"> dable aplicar la jurisprudencia sentada en la</w:t>
      </w:r>
      <w:r w:rsidR="008C77A8" w:rsidRPr="000E0F6E">
        <w:rPr>
          <w:rFonts w:ascii="Tahoma" w:eastAsia="Calibri" w:hAnsi="Tahoma" w:cs="Tahoma"/>
          <w:iCs/>
          <w:lang w:val="es-ES" w:eastAsia="es-CO"/>
        </w:rPr>
        <w:t>s</w:t>
      </w:r>
      <w:r w:rsidRPr="000E0F6E">
        <w:rPr>
          <w:rFonts w:ascii="Tahoma" w:eastAsia="Calibri" w:hAnsi="Tahoma" w:cs="Tahoma"/>
          <w:iCs/>
          <w:lang w:val="es-ES" w:eastAsia="es-CO"/>
        </w:rPr>
        <w:t xml:space="preserve"> sentencia CSJ SL3752 de 2020, conforme lo solicita Colpensiones</w:t>
      </w:r>
      <w:r w:rsidR="008C77A8" w:rsidRPr="000E0F6E">
        <w:rPr>
          <w:rFonts w:ascii="Tahoma" w:eastAsia="Calibri" w:hAnsi="Tahoma" w:cs="Tahoma"/>
          <w:iCs/>
          <w:lang w:val="es-ES" w:eastAsia="es-CO"/>
        </w:rPr>
        <w:t>, con el fin de convalidar el acto de afiliación en razón de los actos de relacionamiento</w:t>
      </w:r>
      <w:r w:rsidR="00F34848" w:rsidRPr="000E0F6E">
        <w:rPr>
          <w:rFonts w:ascii="Tahoma" w:eastAsia="Calibri" w:hAnsi="Tahoma" w:cs="Tahoma"/>
          <w:iCs/>
          <w:lang w:val="es-ES" w:eastAsia="es-CO"/>
        </w:rPr>
        <w:t xml:space="preserve">, </w:t>
      </w:r>
      <w:r w:rsidR="008C77A8" w:rsidRPr="000E0F6E">
        <w:rPr>
          <w:rFonts w:ascii="Tahoma" w:eastAsia="Calibri" w:hAnsi="Tahoma" w:cs="Tahoma"/>
          <w:iCs/>
          <w:lang w:val="es-ES" w:eastAsia="es-CO"/>
        </w:rPr>
        <w:t>ya que</w:t>
      </w:r>
      <w:r w:rsidR="00F34848" w:rsidRPr="000E0F6E">
        <w:rPr>
          <w:rFonts w:ascii="Tahoma" w:eastAsia="Calibri" w:hAnsi="Tahoma" w:cs="Tahoma"/>
          <w:iCs/>
          <w:lang w:val="es-ES" w:eastAsia="es-CO"/>
        </w:rPr>
        <w:t xml:space="preserve"> dicha tesis </w:t>
      </w:r>
      <w:r w:rsidR="00FF05CF" w:rsidRPr="000E0F6E">
        <w:rPr>
          <w:rFonts w:ascii="Tahoma" w:eastAsia="Calibri" w:hAnsi="Tahoma" w:cs="Tahoma"/>
          <w:iCs/>
          <w:lang w:val="es-ES" w:eastAsia="es-CO"/>
        </w:rPr>
        <w:t xml:space="preserve">fue corregida en la sentencia </w:t>
      </w:r>
      <w:r w:rsidR="00FF05CF" w:rsidRPr="000E0F6E">
        <w:rPr>
          <w:rFonts w:ascii="Tahoma" w:eastAsia="Calibri" w:hAnsi="Tahoma" w:cs="Tahoma"/>
          <w:bCs/>
          <w:iCs/>
          <w:lang w:eastAsia="es-CO"/>
        </w:rPr>
        <w:t>CSJ SL 5686 de 2021 por ser contraria al precedente vigente y en rigor de la Sala de Casación Laboral, expuesto entre otras, en las sentencias CSJ SL, 9 sep. 2008, CSJ SL1949-2021, CSJ SL1055 de 2022 CSJ SL1926-2022 y CSJ SL 5686 de 2021</w:t>
      </w:r>
      <w:r w:rsidR="00051F97" w:rsidRPr="000E0F6E">
        <w:rPr>
          <w:rFonts w:ascii="Tahoma" w:eastAsia="Calibri" w:hAnsi="Tahoma" w:cs="Tahoma"/>
          <w:bCs/>
          <w:iCs/>
          <w:lang w:eastAsia="es-CO"/>
        </w:rPr>
        <w:t>, en tanto como explicó la Corte dichos actos posteriores, no reemplazan o suplen la omisión de la entidad administradora en el cumplimiento de su deber de información a los afiliados</w:t>
      </w:r>
      <w:r w:rsidR="00765144" w:rsidRPr="000E0F6E">
        <w:rPr>
          <w:rFonts w:ascii="Tahoma" w:eastAsia="Calibri" w:hAnsi="Tahoma" w:cs="Tahoma"/>
          <w:bCs/>
          <w:iCs/>
          <w:lang w:eastAsia="es-CO"/>
        </w:rPr>
        <w:t xml:space="preserve"> al momento del traslado</w:t>
      </w:r>
      <w:r w:rsidR="00051F97" w:rsidRPr="000E0F6E">
        <w:rPr>
          <w:rFonts w:ascii="Tahoma" w:eastAsia="Calibri" w:hAnsi="Tahoma" w:cs="Tahoma"/>
          <w:bCs/>
          <w:iCs/>
          <w:lang w:eastAsia="es-CO"/>
        </w:rPr>
        <w:t xml:space="preserve">, ratifica la decisión del traslado o supone una afiliación tácita del mismo. </w:t>
      </w:r>
    </w:p>
    <w:p w14:paraId="6E05B53B" w14:textId="6C06787D" w:rsidR="006D433A" w:rsidRPr="000E0F6E" w:rsidRDefault="006D433A" w:rsidP="000E0F6E">
      <w:pPr>
        <w:widowControl w:val="0"/>
        <w:autoSpaceDE w:val="0"/>
        <w:autoSpaceDN w:val="0"/>
        <w:adjustRightInd w:val="0"/>
        <w:spacing w:before="0" w:beforeAutospacing="0" w:after="0" w:afterAutospacing="0" w:line="276" w:lineRule="auto"/>
        <w:rPr>
          <w:rFonts w:ascii="Tahoma" w:eastAsia="Calibri" w:hAnsi="Tahoma" w:cs="Tahoma"/>
          <w:bCs/>
          <w:iCs/>
          <w:lang w:eastAsia="es-CO"/>
        </w:rPr>
      </w:pPr>
    </w:p>
    <w:p w14:paraId="62187AC1" w14:textId="3DC03F01" w:rsidR="00B93249" w:rsidRPr="000E0F6E" w:rsidRDefault="006D433A" w:rsidP="000E0F6E">
      <w:pPr>
        <w:widowControl w:val="0"/>
        <w:autoSpaceDE w:val="0"/>
        <w:autoSpaceDN w:val="0"/>
        <w:adjustRightInd w:val="0"/>
        <w:spacing w:before="0" w:beforeAutospacing="0" w:after="0" w:afterAutospacing="0" w:line="276" w:lineRule="auto"/>
        <w:rPr>
          <w:rFonts w:ascii="Tahoma" w:eastAsia="Calibri" w:hAnsi="Tahoma" w:cs="Tahoma"/>
          <w:lang w:eastAsia="es-CO"/>
        </w:rPr>
      </w:pPr>
      <w:r w:rsidRPr="000E0F6E">
        <w:rPr>
          <w:rFonts w:ascii="Tahoma" w:eastAsia="Calibri" w:hAnsi="Tahoma" w:cs="Tahoma"/>
          <w:lang w:eastAsia="es-CO"/>
        </w:rPr>
        <w:lastRenderedPageBreak/>
        <w:t xml:space="preserve">En el mismo orden, es improcedente acudir a la sentencia C-1024 de 2004 o a la prohibición legal establecida </w:t>
      </w:r>
      <w:r w:rsidR="00F84965" w:rsidRPr="000E0F6E">
        <w:rPr>
          <w:rFonts w:ascii="Tahoma" w:eastAsia="Calibri" w:hAnsi="Tahoma" w:cs="Tahoma"/>
          <w:lang w:eastAsia="es-CO"/>
        </w:rPr>
        <w:t>en el literal e) del artículo 13 de la Ley 100 de 1993, modificado por el artículo 2º de la Ley 797 de 2003</w:t>
      </w:r>
      <w:r w:rsidR="005A2C4E" w:rsidRPr="000E0F6E">
        <w:rPr>
          <w:rFonts w:ascii="Tahoma" w:eastAsia="Calibri" w:hAnsi="Tahoma" w:cs="Tahoma"/>
          <w:lang w:eastAsia="es-CO"/>
        </w:rPr>
        <w:t>, ya que lo discutido</w:t>
      </w:r>
      <w:r w:rsidR="008A4F5B" w:rsidRPr="000E0F6E">
        <w:rPr>
          <w:rFonts w:ascii="Tahoma" w:eastAsia="Calibri" w:hAnsi="Tahoma" w:cs="Tahoma"/>
          <w:lang w:eastAsia="es-CO"/>
        </w:rPr>
        <w:t xml:space="preserve"> en el caso objeto de estudio</w:t>
      </w:r>
      <w:r w:rsidR="005A2C4E" w:rsidRPr="000E0F6E">
        <w:rPr>
          <w:rFonts w:ascii="Tahoma" w:eastAsia="Calibri" w:hAnsi="Tahoma" w:cs="Tahoma"/>
          <w:lang w:eastAsia="es-CO"/>
        </w:rPr>
        <w:t xml:space="preserve"> </w:t>
      </w:r>
      <w:r w:rsidR="00161F77" w:rsidRPr="000E0F6E">
        <w:rPr>
          <w:rFonts w:ascii="Tahoma" w:eastAsia="Calibri" w:hAnsi="Tahoma" w:cs="Tahoma"/>
          <w:lang w:eastAsia="es-CO"/>
        </w:rPr>
        <w:t>no es el traslado voluntario con la conservación o no del régimen de transición, sino el efecto de la ineficacia del cambio de régimen pensional a falta de información detallada y completa al momento del traslado de régimen</w:t>
      </w:r>
      <w:r w:rsidR="008A4F5B" w:rsidRPr="000E0F6E">
        <w:rPr>
          <w:rFonts w:ascii="Tahoma" w:eastAsia="Calibri" w:hAnsi="Tahoma" w:cs="Tahoma"/>
          <w:lang w:eastAsia="es-CO"/>
        </w:rPr>
        <w:t xml:space="preserve">, </w:t>
      </w:r>
      <w:r w:rsidR="00161F77" w:rsidRPr="000E0F6E">
        <w:rPr>
          <w:rFonts w:ascii="Tahoma" w:eastAsia="Calibri" w:hAnsi="Tahoma" w:cs="Tahoma"/>
          <w:lang w:eastAsia="es-CO"/>
        </w:rPr>
        <w:t xml:space="preserve">cuyo efecto no es otro que retrotraer las </w:t>
      </w:r>
      <w:r w:rsidR="00161F77" w:rsidRPr="000E0F6E">
        <w:rPr>
          <w:rFonts w:ascii="Tahoma" w:eastAsia="Times New Roman" w:hAnsi="Tahoma" w:cs="Tahoma"/>
          <w:lang w:eastAsia="es-ES"/>
        </w:rPr>
        <w:t xml:space="preserve">cosas </w:t>
      </w:r>
      <w:r w:rsidR="00B93249" w:rsidRPr="000E0F6E">
        <w:rPr>
          <w:rFonts w:ascii="Tahoma" w:eastAsia="Times New Roman" w:hAnsi="Tahoma" w:cs="Tahoma"/>
          <w:lang w:eastAsia="es-ES"/>
        </w:rPr>
        <w:t xml:space="preserve">al estado en que se encontraban, es decir, como si ello no hubiera ocurrido y, en este caso, dicha declaratoria de ineficacia de cambio de régimen pensional, conlleva al regreso automático de la demandante al régimen solidario de prima media con prestación definida hoy administrado por Colpensiones, del cual ya hacía parte. </w:t>
      </w:r>
    </w:p>
    <w:p w14:paraId="2C7CC0E1" w14:textId="6F01F64D" w:rsidR="35BAC329" w:rsidRPr="000E0F6E" w:rsidRDefault="35BAC329" w:rsidP="000E0F6E">
      <w:pPr>
        <w:widowControl w:val="0"/>
        <w:spacing w:before="0" w:beforeAutospacing="0" w:after="0" w:afterAutospacing="0" w:line="276" w:lineRule="auto"/>
        <w:rPr>
          <w:rFonts w:ascii="Tahoma" w:eastAsia="Times New Roman" w:hAnsi="Tahoma" w:cs="Tahoma"/>
          <w:lang w:eastAsia="es-ES"/>
        </w:rPr>
      </w:pPr>
    </w:p>
    <w:p w14:paraId="10A50771" w14:textId="4B78A784" w:rsidR="00DF6BCE" w:rsidRPr="000E0F6E" w:rsidRDefault="0035588E" w:rsidP="000E0F6E">
      <w:pPr>
        <w:widowControl w:val="0"/>
        <w:autoSpaceDE w:val="0"/>
        <w:autoSpaceDN w:val="0"/>
        <w:adjustRightInd w:val="0"/>
        <w:spacing w:before="0" w:beforeAutospacing="0" w:after="0" w:afterAutospacing="0" w:line="276" w:lineRule="auto"/>
        <w:ind w:firstLine="709"/>
        <w:rPr>
          <w:rFonts w:ascii="Tahoma" w:eastAsia="Tahoma" w:hAnsi="Tahoma" w:cs="Tahoma"/>
          <w:color w:val="000000" w:themeColor="text1"/>
        </w:rPr>
      </w:pPr>
      <w:r w:rsidRPr="000E0F6E">
        <w:rPr>
          <w:rFonts w:ascii="Tahoma" w:eastAsia="Tahoma" w:hAnsi="Tahoma" w:cs="Tahoma"/>
          <w:color w:val="000000" w:themeColor="text1"/>
        </w:rPr>
        <w:t>En este orden de ideas, se confirmará la declaratoria de la ineficacia del acto de afiliación sentado en primera instancia</w:t>
      </w:r>
      <w:r w:rsidR="00706B62" w:rsidRPr="000E0F6E">
        <w:rPr>
          <w:rFonts w:ascii="Tahoma" w:eastAsia="Tahoma" w:hAnsi="Tahoma" w:cs="Tahoma"/>
          <w:color w:val="000000" w:themeColor="text1"/>
        </w:rPr>
        <w:t xml:space="preserve">, debido a que la </w:t>
      </w:r>
      <w:r w:rsidR="00706B62" w:rsidRPr="000E0F6E">
        <w:rPr>
          <w:rFonts w:ascii="Tahoma" w:eastAsia="Times New Roman" w:hAnsi="Tahoma" w:cs="Tahoma"/>
          <w:lang w:val="es-ES" w:eastAsia="es-ES"/>
        </w:rPr>
        <w:t>la AFP demandada no demostró el cumplimiento de su deber de información</w:t>
      </w:r>
      <w:r w:rsidR="008A4F5B" w:rsidRPr="000E0F6E">
        <w:rPr>
          <w:rFonts w:ascii="Tahoma" w:eastAsia="Times New Roman" w:hAnsi="Tahoma" w:cs="Tahoma"/>
          <w:lang w:val="es-ES" w:eastAsia="es-ES"/>
        </w:rPr>
        <w:t>.</w:t>
      </w:r>
    </w:p>
    <w:p w14:paraId="56D8A2BE" w14:textId="24D39605" w:rsidR="35BAC329" w:rsidRPr="000E0F6E" w:rsidRDefault="35BAC329" w:rsidP="000E0F6E">
      <w:pPr>
        <w:widowControl w:val="0"/>
        <w:spacing w:before="0" w:beforeAutospacing="0" w:after="0" w:afterAutospacing="0" w:line="276" w:lineRule="auto"/>
        <w:ind w:firstLine="709"/>
        <w:rPr>
          <w:rFonts w:ascii="Tahoma" w:eastAsia="Times New Roman" w:hAnsi="Tahoma" w:cs="Tahoma"/>
          <w:lang w:val="es-ES" w:eastAsia="es-ES"/>
        </w:rPr>
      </w:pPr>
    </w:p>
    <w:p w14:paraId="06E21FBE" w14:textId="1CAE3465" w:rsidR="00F1104B" w:rsidRPr="000E0F6E" w:rsidRDefault="00DF6BCE" w:rsidP="000E0F6E">
      <w:pPr>
        <w:widowControl w:val="0"/>
        <w:autoSpaceDE w:val="0"/>
        <w:autoSpaceDN w:val="0"/>
        <w:adjustRightInd w:val="0"/>
        <w:spacing w:before="0" w:beforeAutospacing="0" w:after="0" w:afterAutospacing="0" w:line="276" w:lineRule="auto"/>
        <w:ind w:firstLine="709"/>
        <w:rPr>
          <w:rFonts w:ascii="Tahoma" w:eastAsia="Calibri" w:hAnsi="Tahoma" w:cs="Tahoma"/>
          <w:lang w:eastAsia="es-CO"/>
        </w:rPr>
      </w:pPr>
      <w:r w:rsidRPr="000E0F6E">
        <w:rPr>
          <w:rFonts w:ascii="Tahoma" w:eastAsia="Calibri" w:hAnsi="Tahoma" w:cs="Tahoma"/>
          <w:lang w:eastAsia="es-CO"/>
        </w:rPr>
        <w:t>En cuanto a las</w:t>
      </w:r>
      <w:r w:rsidR="004038C0" w:rsidRPr="000E0F6E">
        <w:rPr>
          <w:rFonts w:ascii="Tahoma" w:eastAsia="Calibri" w:hAnsi="Tahoma" w:cs="Tahoma"/>
          <w:lang w:eastAsia="es-CO"/>
        </w:rPr>
        <w:t xml:space="preserve"> imposición de las</w:t>
      </w:r>
      <w:r w:rsidRPr="000E0F6E">
        <w:rPr>
          <w:rFonts w:ascii="Tahoma" w:eastAsia="Calibri" w:hAnsi="Tahoma" w:cs="Tahoma"/>
          <w:lang w:eastAsia="es-CO"/>
        </w:rPr>
        <w:t xml:space="preserve"> condenas a cargo de </w:t>
      </w:r>
      <w:r w:rsidR="00B92B87" w:rsidRPr="000E0F6E">
        <w:rPr>
          <w:rFonts w:ascii="Tahoma" w:eastAsia="Calibri" w:hAnsi="Tahoma" w:cs="Tahoma"/>
          <w:lang w:eastAsia="es-CO"/>
        </w:rPr>
        <w:t>Protección S.A</w:t>
      </w:r>
      <w:r w:rsidR="004038C0" w:rsidRPr="000E0F6E">
        <w:rPr>
          <w:rFonts w:ascii="Tahoma" w:eastAsia="Calibri" w:hAnsi="Tahoma" w:cs="Tahoma"/>
          <w:lang w:eastAsia="es-CO"/>
        </w:rPr>
        <w:t>.,</w:t>
      </w:r>
      <w:r w:rsidR="00B92B87" w:rsidRPr="000E0F6E">
        <w:rPr>
          <w:rFonts w:ascii="Tahoma" w:eastAsia="Calibri" w:hAnsi="Tahoma" w:cs="Tahoma"/>
          <w:lang w:eastAsia="es-CO"/>
        </w:rPr>
        <w:t xml:space="preserve"> </w:t>
      </w:r>
      <w:r w:rsidRPr="000E0F6E">
        <w:rPr>
          <w:rFonts w:ascii="Tahoma" w:eastAsia="Calibri" w:hAnsi="Tahoma" w:cs="Tahoma"/>
          <w:lang w:eastAsia="es-CO"/>
        </w:rPr>
        <w:t xml:space="preserve">se dirá </w:t>
      </w:r>
      <w:r w:rsidR="004038C0" w:rsidRPr="000E0F6E">
        <w:rPr>
          <w:rFonts w:ascii="Tahoma" w:eastAsia="Calibri" w:hAnsi="Tahoma" w:cs="Tahoma"/>
          <w:lang w:eastAsia="es-CO"/>
        </w:rPr>
        <w:t xml:space="preserve">que </w:t>
      </w:r>
      <w:r w:rsidR="006313AE" w:rsidRPr="000E0F6E">
        <w:rPr>
          <w:rFonts w:ascii="Tahoma" w:eastAsia="Calibri" w:hAnsi="Tahoma" w:cs="Tahoma"/>
          <w:lang w:eastAsia="es-CO"/>
        </w:rPr>
        <w:t>est</w:t>
      </w:r>
      <w:r w:rsidR="004038C0" w:rsidRPr="000E0F6E">
        <w:rPr>
          <w:rFonts w:ascii="Tahoma" w:eastAsia="Calibri" w:hAnsi="Tahoma" w:cs="Tahoma"/>
          <w:lang w:eastAsia="es-CO"/>
        </w:rPr>
        <w:t>ás</w:t>
      </w:r>
      <w:r w:rsidR="006313AE" w:rsidRPr="000E0F6E">
        <w:rPr>
          <w:rFonts w:ascii="Tahoma" w:eastAsia="Calibri" w:hAnsi="Tahoma" w:cs="Tahoma"/>
          <w:lang w:eastAsia="es-CO"/>
        </w:rPr>
        <w:t xml:space="preserve"> no desconocen el principio de congruencia y el artículo 50 del CPTSS</w:t>
      </w:r>
      <w:r w:rsidR="00132E81" w:rsidRPr="000E0F6E">
        <w:rPr>
          <w:rFonts w:ascii="Tahoma" w:eastAsia="Calibri" w:hAnsi="Tahoma" w:cs="Tahoma"/>
          <w:lang w:eastAsia="es-CO"/>
        </w:rPr>
        <w:t>, porque la prosperidad del acto ineficaz no solo supone su declaratoria sino los efectos que est</w:t>
      </w:r>
      <w:r w:rsidR="008474B8" w:rsidRPr="000E0F6E">
        <w:rPr>
          <w:rFonts w:ascii="Tahoma" w:eastAsia="Calibri" w:hAnsi="Tahoma" w:cs="Tahoma"/>
          <w:lang w:eastAsia="es-CO"/>
        </w:rPr>
        <w:t>a</w:t>
      </w:r>
      <w:r w:rsidR="00132E81" w:rsidRPr="000E0F6E">
        <w:rPr>
          <w:rFonts w:ascii="Tahoma" w:eastAsia="Calibri" w:hAnsi="Tahoma" w:cs="Tahoma"/>
          <w:lang w:eastAsia="es-CO"/>
        </w:rPr>
        <w:t xml:space="preserve"> trae consigo,</w:t>
      </w:r>
      <w:r w:rsidR="006313AE" w:rsidRPr="000E0F6E">
        <w:rPr>
          <w:rFonts w:ascii="Tahoma" w:eastAsia="Calibri" w:hAnsi="Tahoma" w:cs="Tahoma"/>
          <w:lang w:eastAsia="es-CO"/>
        </w:rPr>
        <w:t xml:space="preserve"> </w:t>
      </w:r>
      <w:r w:rsidR="004038C0" w:rsidRPr="000E0F6E">
        <w:rPr>
          <w:rFonts w:ascii="Tahoma" w:eastAsia="Calibri" w:hAnsi="Tahoma" w:cs="Tahoma"/>
          <w:lang w:eastAsia="es-CO"/>
        </w:rPr>
        <w:t>mismos que</w:t>
      </w:r>
      <w:r w:rsidRPr="000E0F6E">
        <w:rPr>
          <w:rFonts w:ascii="Tahoma" w:eastAsia="Calibri" w:hAnsi="Tahoma" w:cs="Tahoma"/>
          <w:lang w:eastAsia="es-CO"/>
        </w:rPr>
        <w:t xml:space="preserve"> de conformidad con las sentencias SL1421 de 2019 y SL 2611 de 2020, M.P. Gerardo Botero Zuluaga, previamente citadas, </w:t>
      </w:r>
      <w:r w:rsidR="000E2BDC" w:rsidRPr="000E0F6E">
        <w:rPr>
          <w:rFonts w:ascii="Tahoma" w:eastAsia="Calibri" w:hAnsi="Tahoma" w:cs="Tahoma"/>
          <w:lang w:eastAsia="es-CO"/>
        </w:rPr>
        <w:t xml:space="preserve">es el </w:t>
      </w:r>
      <w:r w:rsidRPr="000E0F6E">
        <w:rPr>
          <w:rFonts w:ascii="Tahoma" w:eastAsia="Calibri" w:hAnsi="Tahoma" w:cs="Tahoma"/>
          <w:lang w:eastAsia="es-CO"/>
        </w:rPr>
        <w:t>traslada</w:t>
      </w:r>
      <w:r w:rsidR="000E2BDC" w:rsidRPr="000E0F6E">
        <w:rPr>
          <w:rFonts w:ascii="Tahoma" w:eastAsia="Calibri" w:hAnsi="Tahoma" w:cs="Tahoma"/>
          <w:lang w:eastAsia="es-CO"/>
        </w:rPr>
        <w:t>do</w:t>
      </w:r>
      <w:r w:rsidRPr="000E0F6E">
        <w:rPr>
          <w:rFonts w:ascii="Tahoma" w:eastAsia="Calibri" w:hAnsi="Tahoma" w:cs="Tahoma"/>
          <w:lang w:eastAsia="es-CO"/>
        </w:rPr>
        <w:t xml:space="preserve"> </w:t>
      </w:r>
      <w:r w:rsidR="000E2BDC" w:rsidRPr="000E0F6E">
        <w:rPr>
          <w:rFonts w:ascii="Tahoma" w:eastAsia="Calibri" w:hAnsi="Tahoma" w:cs="Tahoma"/>
          <w:lang w:eastAsia="es-CO"/>
        </w:rPr>
        <w:t>con destino a</w:t>
      </w:r>
      <w:r w:rsidRPr="000E0F6E">
        <w:rPr>
          <w:rFonts w:ascii="Tahoma" w:eastAsia="Calibri" w:hAnsi="Tahoma" w:cs="Tahoma"/>
          <w:lang w:eastAsia="es-CO"/>
        </w:rPr>
        <w:t xml:space="preserve"> Colpensiones</w:t>
      </w:r>
      <w:r w:rsidR="000E2BDC" w:rsidRPr="000E0F6E">
        <w:rPr>
          <w:rFonts w:ascii="Tahoma" w:eastAsia="Calibri" w:hAnsi="Tahoma" w:cs="Tahoma"/>
          <w:lang w:eastAsia="es-CO"/>
        </w:rPr>
        <w:t xml:space="preserve"> de</w:t>
      </w:r>
      <w:r w:rsidRPr="000E0F6E">
        <w:rPr>
          <w:rFonts w:ascii="Tahoma" w:eastAsia="Calibri" w:hAnsi="Tahoma" w:cs="Tahoma"/>
          <w:lang w:eastAsia="es-CO"/>
        </w:rPr>
        <w:t xml:space="preserve"> los gastos de administración, debidamente indexados, cancelados por la parte actora en razón a que los mismos fueron el resultado de una conducta indebida al momento del traslado, de modo que no pueden permanecer en sus arcas sino retornar al régimen de prima media. Bajo esa misma perspectiva también resulta viable la orden de reintegrar a Colpensiones, además de los respectivos rendimientos generados en la cuenta de ahorro individual, los valores utilizados en seguros previsionales, las cuotas de garantía de pensión mínima, con cargo a sus propios recursos, sumas todas que deben pagarse debidamente indexadas, por lo que se confirmará la sentencia apelada frente a tal decisión.</w:t>
      </w:r>
    </w:p>
    <w:p w14:paraId="7C71DCEB" w14:textId="77777777" w:rsidR="00DF6BCE" w:rsidRPr="000E0F6E" w:rsidRDefault="00DF6BCE" w:rsidP="000E0F6E">
      <w:pPr>
        <w:widowControl w:val="0"/>
        <w:autoSpaceDE w:val="0"/>
        <w:autoSpaceDN w:val="0"/>
        <w:adjustRightInd w:val="0"/>
        <w:spacing w:before="0" w:beforeAutospacing="0" w:after="0" w:afterAutospacing="0" w:line="276" w:lineRule="auto"/>
        <w:ind w:firstLine="708"/>
        <w:rPr>
          <w:rFonts w:ascii="Tahoma" w:eastAsia="Calibri" w:hAnsi="Tahoma" w:cs="Tahoma"/>
          <w:lang w:eastAsia="es-CO"/>
        </w:rPr>
      </w:pPr>
    </w:p>
    <w:p w14:paraId="25216F32" w14:textId="1941EA4F" w:rsidR="002C6AA0" w:rsidRPr="000E0F6E" w:rsidRDefault="00DF6BCE" w:rsidP="000E0F6E">
      <w:pPr>
        <w:widowControl w:val="0"/>
        <w:autoSpaceDE w:val="0"/>
        <w:autoSpaceDN w:val="0"/>
        <w:adjustRightInd w:val="0"/>
        <w:spacing w:before="0" w:beforeAutospacing="0" w:after="0" w:afterAutospacing="0" w:line="276" w:lineRule="auto"/>
        <w:ind w:firstLine="708"/>
        <w:rPr>
          <w:rFonts w:ascii="Tahoma" w:eastAsia="Calibri" w:hAnsi="Tahoma" w:cs="Tahoma"/>
          <w:lang w:val="es-ES" w:eastAsia="es-CO"/>
        </w:rPr>
      </w:pPr>
      <w:r w:rsidRPr="000E0F6E">
        <w:rPr>
          <w:rFonts w:ascii="Tahoma" w:eastAsia="Calibri" w:hAnsi="Tahoma" w:cs="Tahoma"/>
          <w:lang w:val="es-ES" w:eastAsia="es-CO"/>
        </w:rPr>
        <w:t>En este punto es oportuno recordar que la Corte Constitucional en sentencia SU-053-2015, ha definido el precedente judicial como «la sentencia o el conjunto de ellas, anteriores a un caso determinado, que por su pertinencia y semejanza en los problemas jurídicos resueltos, debe necesariamente considerarse por las autoridades judiciales al momento de emitir un fallo» y, en tal sentido, el emitido por los máximos órganos de cierre, “</w:t>
      </w:r>
      <w:r w:rsidRPr="00092458">
        <w:rPr>
          <w:rFonts w:ascii="Tahoma" w:eastAsia="Calibri" w:hAnsi="Tahoma" w:cs="Tahoma"/>
          <w:sz w:val="22"/>
          <w:lang w:val="es-ES" w:eastAsia="es-CO"/>
        </w:rPr>
        <w:t>guardan una estrecha relación con el derecho a la igualdad, garantía constitucional que le permite a los ciudadanos obtener decisiones judiciales idénticas frente a casos semejantes, aunado al carácter ordenador y unificador de las sentencias de casación, en tanto aseguran una mayor coherencia del sistema jurídico, seguridad, confianza y certeza del derecho</w:t>
      </w:r>
      <w:bookmarkStart w:id="12" w:name="_GoBack"/>
      <w:r w:rsidRPr="000E0F6E">
        <w:rPr>
          <w:rFonts w:ascii="Tahoma" w:eastAsia="Calibri" w:hAnsi="Tahoma" w:cs="Tahoma"/>
          <w:lang w:val="es-ES" w:eastAsia="es-CO"/>
        </w:rPr>
        <w:t>”</w:t>
      </w:r>
      <w:bookmarkEnd w:id="12"/>
      <w:r w:rsidRPr="000E0F6E">
        <w:rPr>
          <w:rFonts w:ascii="Tahoma" w:eastAsia="Calibri" w:hAnsi="Tahoma" w:cs="Tahoma"/>
          <w:lang w:val="es-ES" w:eastAsia="es-CO"/>
        </w:rPr>
        <w:t xml:space="preserve"> (STL4759-2020).</w:t>
      </w:r>
    </w:p>
    <w:p w14:paraId="10C69B04" w14:textId="77777777" w:rsidR="004350E1" w:rsidRPr="000E0F6E" w:rsidRDefault="004350E1" w:rsidP="000E0F6E">
      <w:pPr>
        <w:widowControl w:val="0"/>
        <w:autoSpaceDE w:val="0"/>
        <w:autoSpaceDN w:val="0"/>
        <w:adjustRightInd w:val="0"/>
        <w:spacing w:before="0" w:beforeAutospacing="0" w:after="0" w:afterAutospacing="0" w:line="276" w:lineRule="auto"/>
        <w:ind w:firstLine="708"/>
        <w:rPr>
          <w:rFonts w:ascii="Tahoma" w:eastAsia="Calibri" w:hAnsi="Tahoma" w:cs="Tahoma"/>
          <w:lang w:val="es-ES" w:eastAsia="es-CO"/>
        </w:rPr>
      </w:pPr>
    </w:p>
    <w:p w14:paraId="613B652B" w14:textId="58D3D8D7" w:rsidR="008C3C1E" w:rsidRPr="000E0F6E" w:rsidRDefault="008C3C1E" w:rsidP="000E0F6E">
      <w:pPr>
        <w:widowControl w:val="0"/>
        <w:autoSpaceDE w:val="0"/>
        <w:autoSpaceDN w:val="0"/>
        <w:adjustRightInd w:val="0"/>
        <w:spacing w:before="0" w:beforeAutospacing="0" w:after="0" w:afterAutospacing="0" w:line="276" w:lineRule="auto"/>
        <w:ind w:firstLine="708"/>
        <w:rPr>
          <w:rFonts w:ascii="Tahoma" w:eastAsia="Calibri" w:hAnsi="Tahoma" w:cs="Tahoma"/>
          <w:lang w:val="es-ES" w:eastAsia="es-MX"/>
        </w:rPr>
      </w:pPr>
      <w:r w:rsidRPr="000E0F6E">
        <w:rPr>
          <w:rFonts w:ascii="Tahoma" w:eastAsia="Calibri" w:hAnsi="Tahoma" w:cs="Tahoma"/>
          <w:lang w:val="es-ES" w:eastAsia="es-MX"/>
        </w:rPr>
        <w:t>Ahora, como la declaratoria de ineficacia trae como consecuencia que las cosas se reestablezcan al estado en el que se encontraban al momento del traslado de régimen</w:t>
      </w:r>
      <w:r w:rsidR="00D0472B" w:rsidRPr="000E0F6E">
        <w:rPr>
          <w:rFonts w:ascii="Tahoma" w:eastAsia="Calibri" w:hAnsi="Tahoma" w:cs="Tahoma"/>
          <w:lang w:val="es-ES" w:eastAsia="es-MX"/>
        </w:rPr>
        <w:t xml:space="preserve"> </w:t>
      </w:r>
      <w:r w:rsidR="00A05225" w:rsidRPr="000E0F6E">
        <w:rPr>
          <w:rFonts w:ascii="Tahoma" w:eastAsia="Calibri" w:hAnsi="Tahoma" w:cs="Tahoma"/>
          <w:lang w:val="es-ES" w:eastAsia="es-MX"/>
        </w:rPr>
        <w:t>(</w:t>
      </w:r>
      <w:r w:rsidR="00D0472B" w:rsidRPr="000E0F6E">
        <w:rPr>
          <w:rFonts w:ascii="Tahoma" w:eastAsia="Calibri" w:hAnsi="Tahoma" w:cs="Tahoma"/>
          <w:lang w:val="es-ES" w:eastAsia="es-MX"/>
        </w:rPr>
        <w:t>1 de septiembre de 199</w:t>
      </w:r>
      <w:r w:rsidR="005F23C0" w:rsidRPr="000E0F6E">
        <w:rPr>
          <w:rFonts w:ascii="Tahoma" w:eastAsia="Calibri" w:hAnsi="Tahoma" w:cs="Tahoma"/>
          <w:lang w:val="es-ES" w:eastAsia="es-MX"/>
        </w:rPr>
        <w:t>7</w:t>
      </w:r>
      <w:r w:rsidR="00A05225" w:rsidRPr="000E0F6E">
        <w:rPr>
          <w:rFonts w:ascii="Tahoma" w:eastAsia="Calibri" w:hAnsi="Tahoma" w:cs="Tahoma"/>
          <w:lang w:val="es-ES" w:eastAsia="es-MX"/>
        </w:rPr>
        <w:t>)</w:t>
      </w:r>
      <w:r w:rsidRPr="000E0F6E">
        <w:rPr>
          <w:rFonts w:ascii="Tahoma" w:eastAsia="Calibri" w:hAnsi="Tahoma" w:cs="Tahoma"/>
          <w:lang w:val="es-ES" w:eastAsia="es-MX"/>
        </w:rPr>
        <w:t>, es necesario</w:t>
      </w:r>
      <w:r w:rsidR="00D0472B" w:rsidRPr="000E0F6E">
        <w:rPr>
          <w:rFonts w:ascii="Tahoma" w:eastAsia="Calibri" w:hAnsi="Tahoma" w:cs="Tahoma"/>
          <w:lang w:val="es-ES" w:eastAsia="es-MX"/>
        </w:rPr>
        <w:t xml:space="preserve"> </w:t>
      </w:r>
      <w:r w:rsidR="00F77226" w:rsidRPr="000E0F6E">
        <w:rPr>
          <w:rFonts w:ascii="Tahoma" w:eastAsia="Calibri" w:hAnsi="Tahoma" w:cs="Tahoma"/>
          <w:lang w:val="es-ES" w:eastAsia="es-MX"/>
        </w:rPr>
        <w:t>confirmar</w:t>
      </w:r>
      <w:r w:rsidRPr="000E0F6E">
        <w:rPr>
          <w:rFonts w:ascii="Tahoma" w:eastAsia="Calibri" w:hAnsi="Tahoma" w:cs="Tahoma"/>
          <w:lang w:val="es-ES" w:eastAsia="es-MX"/>
        </w:rPr>
        <w:t xml:space="preserve"> la orden de comunicar la decisión adoptada en este asunto a la OBP del Ministerio de Hacienda y Crédito Público, para que, en caso de haber emitido el bono pensional </w:t>
      </w:r>
      <w:r w:rsidRPr="000E0F6E">
        <w:rPr>
          <w:rFonts w:ascii="Tahoma" w:eastAsia="Calibri" w:hAnsi="Tahoma" w:cs="Tahoma"/>
          <w:i/>
          <w:iCs/>
          <w:lang w:val="es-ES" w:eastAsia="es-MX"/>
        </w:rPr>
        <w:t xml:space="preserve">-con ocasión de las </w:t>
      </w:r>
      <w:r w:rsidR="00F77226" w:rsidRPr="000E0F6E">
        <w:rPr>
          <w:rFonts w:ascii="Tahoma" w:eastAsia="Calibri" w:hAnsi="Tahoma" w:cs="Tahoma"/>
          <w:i/>
          <w:iCs/>
          <w:lang w:val="es-ES" w:eastAsia="es-MX"/>
        </w:rPr>
        <w:t>791.29</w:t>
      </w:r>
      <w:r w:rsidRPr="000E0F6E">
        <w:rPr>
          <w:rFonts w:ascii="Tahoma" w:eastAsia="Calibri" w:hAnsi="Tahoma" w:cs="Tahoma"/>
          <w:i/>
          <w:iCs/>
          <w:lang w:val="es-ES" w:eastAsia="es-MX"/>
        </w:rPr>
        <w:t xml:space="preserve"> </w:t>
      </w:r>
      <w:r w:rsidRPr="000E0F6E">
        <w:rPr>
          <w:rFonts w:ascii="Tahoma" w:eastAsia="Calibri" w:hAnsi="Tahoma" w:cs="Tahoma"/>
          <w:i/>
          <w:iCs/>
          <w:lang w:val="es-ES" w:eastAsia="es-MX"/>
        </w:rPr>
        <w:lastRenderedPageBreak/>
        <w:t>semanas cotizadas en el RPM antes del traslado al RAIS</w:t>
      </w:r>
      <w:r w:rsidRPr="000E0F6E">
        <w:rPr>
          <w:rFonts w:ascii="Tahoma" w:eastAsia="Calibri" w:hAnsi="Tahoma" w:cs="Tahoma"/>
          <w:i/>
          <w:iCs/>
          <w:vertAlign w:val="superscript"/>
          <w:lang w:val="es-ES" w:eastAsia="es-MX"/>
        </w:rPr>
        <w:footnoteReference w:id="14"/>
      </w:r>
      <w:r w:rsidRPr="000E0F6E">
        <w:rPr>
          <w:rFonts w:ascii="Tahoma" w:eastAsia="Calibri" w:hAnsi="Tahoma" w:cs="Tahoma"/>
          <w:i/>
          <w:iCs/>
          <w:lang w:val="es-ES" w:eastAsia="es-MX"/>
        </w:rPr>
        <w:t>-</w:t>
      </w:r>
      <w:r w:rsidRPr="000E0F6E">
        <w:rPr>
          <w:rFonts w:ascii="Tahoma" w:eastAsia="Calibri" w:hAnsi="Tahoma" w:cs="Tahoma"/>
          <w:lang w:val="es-ES" w:eastAsia="es-MX"/>
        </w:rPr>
        <w:t>, proceda con la anulación del mismo mediante trámite interno, aplicando lo previsto en el artículo 57 del Decreto 1748 de 1995, modificado por el artículo 17 del Decreto 3798 de 2003 hoy recopilado en el Decreto 833 de 2016</w:t>
      </w:r>
      <w:r w:rsidR="00F77226" w:rsidRPr="000E0F6E">
        <w:rPr>
          <w:rFonts w:ascii="Tahoma" w:eastAsia="Calibri" w:hAnsi="Tahoma" w:cs="Tahoma"/>
          <w:lang w:val="es-ES" w:eastAsia="es-MX"/>
        </w:rPr>
        <w:t xml:space="preserve">. </w:t>
      </w:r>
      <w:r w:rsidRPr="000E0F6E">
        <w:rPr>
          <w:rFonts w:ascii="Tahoma" w:eastAsia="Calibri" w:hAnsi="Tahoma" w:cs="Tahoma"/>
          <w:lang w:val="es-ES" w:eastAsia="es-MX"/>
        </w:rPr>
        <w:t xml:space="preserve">Ello en razón a que no existe dentro del plenario prueba que acredite que el bono ha sido liquidado, emitido y cancelado por parte de esa cartera ministerial, amén de que </w:t>
      </w:r>
      <w:r w:rsidR="00665854" w:rsidRPr="000E0F6E">
        <w:rPr>
          <w:rFonts w:ascii="Tahoma" w:eastAsia="Calibri" w:hAnsi="Tahoma" w:cs="Tahoma"/>
          <w:lang w:val="es-ES" w:eastAsia="es-MX"/>
        </w:rPr>
        <w:t>el</w:t>
      </w:r>
      <w:r w:rsidRPr="000E0F6E">
        <w:rPr>
          <w:rFonts w:ascii="Tahoma" w:eastAsia="Calibri" w:hAnsi="Tahoma" w:cs="Tahoma"/>
          <w:lang w:val="es-ES" w:eastAsia="es-MX"/>
        </w:rPr>
        <w:t xml:space="preserve"> actor cumple 60 años en</w:t>
      </w:r>
      <w:r w:rsidR="00C35AB1" w:rsidRPr="000E0F6E">
        <w:rPr>
          <w:rFonts w:ascii="Tahoma" w:eastAsia="Calibri" w:hAnsi="Tahoma" w:cs="Tahoma"/>
          <w:lang w:val="es-ES" w:eastAsia="es-MX"/>
        </w:rPr>
        <w:t xml:space="preserve"> el 2</w:t>
      </w:r>
      <w:r w:rsidR="004C7899" w:rsidRPr="000E0F6E">
        <w:rPr>
          <w:rFonts w:ascii="Tahoma" w:eastAsia="Calibri" w:hAnsi="Tahoma" w:cs="Tahoma"/>
          <w:lang w:val="es-ES" w:eastAsia="es-MX"/>
        </w:rPr>
        <w:t>5</w:t>
      </w:r>
      <w:r w:rsidR="00C35AB1" w:rsidRPr="000E0F6E">
        <w:rPr>
          <w:rFonts w:ascii="Tahoma" w:eastAsia="Calibri" w:hAnsi="Tahoma" w:cs="Tahoma"/>
          <w:lang w:val="es-ES" w:eastAsia="es-MX"/>
        </w:rPr>
        <w:t xml:space="preserve"> de </w:t>
      </w:r>
      <w:r w:rsidR="004C7899" w:rsidRPr="000E0F6E">
        <w:rPr>
          <w:rFonts w:ascii="Tahoma" w:eastAsia="Calibri" w:hAnsi="Tahoma" w:cs="Tahoma"/>
          <w:lang w:val="es-ES" w:eastAsia="es-MX"/>
        </w:rPr>
        <w:t>julio</w:t>
      </w:r>
      <w:r w:rsidR="00C35AB1" w:rsidRPr="000E0F6E">
        <w:rPr>
          <w:rFonts w:ascii="Tahoma" w:eastAsia="Calibri" w:hAnsi="Tahoma" w:cs="Tahoma"/>
          <w:lang w:val="es-ES" w:eastAsia="es-MX"/>
        </w:rPr>
        <w:t xml:space="preserve"> de </w:t>
      </w:r>
      <w:r w:rsidR="004C7899" w:rsidRPr="000E0F6E">
        <w:rPr>
          <w:rFonts w:ascii="Tahoma" w:eastAsia="Calibri" w:hAnsi="Tahoma" w:cs="Tahoma"/>
          <w:lang w:val="es-ES" w:eastAsia="es-MX"/>
        </w:rPr>
        <w:t>2023</w:t>
      </w:r>
      <w:r w:rsidR="007B482B" w:rsidRPr="000E0F6E">
        <w:rPr>
          <w:rFonts w:ascii="Tahoma" w:eastAsia="Calibri" w:hAnsi="Tahoma" w:cs="Tahoma"/>
          <w:lang w:val="es-ES" w:eastAsia="es-MX"/>
        </w:rPr>
        <w:t xml:space="preserve">, debido a que nació el mismo día y mes del año </w:t>
      </w:r>
      <w:r w:rsidR="00C35AB1" w:rsidRPr="000E0F6E">
        <w:rPr>
          <w:rFonts w:ascii="Tahoma" w:eastAsia="Calibri" w:hAnsi="Tahoma" w:cs="Tahoma"/>
          <w:lang w:val="es-ES" w:eastAsia="es-MX"/>
        </w:rPr>
        <w:t>196</w:t>
      </w:r>
      <w:r w:rsidR="004C7899" w:rsidRPr="000E0F6E">
        <w:rPr>
          <w:rFonts w:ascii="Tahoma" w:eastAsia="Calibri" w:hAnsi="Tahoma" w:cs="Tahoma"/>
          <w:lang w:val="es-ES" w:eastAsia="es-MX"/>
        </w:rPr>
        <w:t>1</w:t>
      </w:r>
      <w:r w:rsidR="007B482B" w:rsidRPr="000E0F6E">
        <w:rPr>
          <w:rFonts w:ascii="Tahoma" w:eastAsia="Calibri" w:hAnsi="Tahoma" w:cs="Tahoma"/>
          <w:lang w:val="es-ES" w:eastAsia="es-MX"/>
        </w:rPr>
        <w:t>.</w:t>
      </w:r>
      <w:r w:rsidR="00C35AB1" w:rsidRPr="000E0F6E">
        <w:rPr>
          <w:rStyle w:val="Refdenotaalpie"/>
          <w:rFonts w:ascii="Tahoma" w:eastAsia="Calibri" w:hAnsi="Tahoma" w:cs="Tahoma"/>
          <w:lang w:val="es-ES" w:eastAsia="es-MX"/>
        </w:rPr>
        <w:footnoteReference w:id="15"/>
      </w:r>
    </w:p>
    <w:p w14:paraId="3EA50CA5" w14:textId="77777777" w:rsidR="008C3C1E" w:rsidRPr="000E0F6E" w:rsidRDefault="008C3C1E" w:rsidP="000E0F6E">
      <w:pPr>
        <w:widowControl w:val="0"/>
        <w:autoSpaceDE w:val="0"/>
        <w:autoSpaceDN w:val="0"/>
        <w:adjustRightInd w:val="0"/>
        <w:spacing w:before="0" w:beforeAutospacing="0" w:after="0" w:afterAutospacing="0" w:line="276" w:lineRule="auto"/>
        <w:ind w:firstLine="708"/>
        <w:rPr>
          <w:rFonts w:ascii="Tahoma" w:eastAsia="Calibri" w:hAnsi="Tahoma" w:cs="Tahoma"/>
          <w:lang w:val="es-ES" w:eastAsia="es-CO"/>
        </w:rPr>
      </w:pPr>
    </w:p>
    <w:p w14:paraId="497B9309" w14:textId="4EC991A5" w:rsidR="00246B96" w:rsidRPr="000E0F6E" w:rsidRDefault="00246B96" w:rsidP="000E0F6E">
      <w:pPr>
        <w:spacing w:before="0" w:beforeAutospacing="0" w:after="0" w:afterAutospacing="0" w:line="276" w:lineRule="auto"/>
        <w:ind w:firstLine="708"/>
        <w:rPr>
          <w:rFonts w:ascii="Tahoma" w:eastAsia="Tahoma" w:hAnsi="Tahoma" w:cs="Tahoma"/>
          <w:lang w:eastAsia="es-CO"/>
        </w:rPr>
      </w:pPr>
      <w:r w:rsidRPr="000E0F6E">
        <w:rPr>
          <w:rFonts w:ascii="Tahoma" w:eastAsia="Tahoma" w:hAnsi="Tahoma" w:cs="Tahoma"/>
          <w:lang w:eastAsia="es-CO"/>
        </w:rPr>
        <w:t xml:space="preserve">En esta instancia de conformidad a lo consagrado en el artículo 365 del CGP, se condenará en costas procesales a Protección S.A. y Colpensiones a favor de la parte actora, las cuales se liquidarán por la secretaría del juzgado de origen. </w:t>
      </w:r>
    </w:p>
    <w:p w14:paraId="180F9CBD" w14:textId="77777777" w:rsidR="008C3C1E" w:rsidRPr="000E0F6E" w:rsidRDefault="008C3C1E" w:rsidP="000E0F6E">
      <w:pPr>
        <w:spacing w:before="0" w:beforeAutospacing="0" w:after="0" w:afterAutospacing="0" w:line="276" w:lineRule="auto"/>
        <w:ind w:firstLine="284"/>
        <w:rPr>
          <w:rFonts w:ascii="Tahoma" w:eastAsia="Tahoma" w:hAnsi="Tahoma" w:cs="Tahoma"/>
          <w:lang w:eastAsia="es-CO"/>
        </w:rPr>
      </w:pPr>
    </w:p>
    <w:p w14:paraId="29FCCA0A" w14:textId="77777777" w:rsidR="008C3C1E" w:rsidRPr="000E0F6E" w:rsidRDefault="008C3C1E" w:rsidP="000E0F6E">
      <w:pPr>
        <w:spacing w:before="0" w:beforeAutospacing="0" w:after="0" w:afterAutospacing="0" w:line="276" w:lineRule="auto"/>
        <w:ind w:firstLine="708"/>
        <w:rPr>
          <w:rFonts w:ascii="Tahoma" w:eastAsia="Tahoma" w:hAnsi="Tahoma" w:cs="Tahoma"/>
          <w:lang w:eastAsia="es-CO"/>
        </w:rPr>
      </w:pPr>
      <w:r w:rsidRPr="000E0F6E">
        <w:rPr>
          <w:rFonts w:ascii="Tahoma" w:eastAsia="Tahoma" w:hAnsi="Tahoma" w:cs="Tahoma"/>
          <w:lang w:eastAsia="es-CO"/>
        </w:rPr>
        <w:t xml:space="preserve">En mérito de lo expuesto, el </w:t>
      </w:r>
      <w:r w:rsidRPr="000E0F6E">
        <w:rPr>
          <w:rFonts w:ascii="Tahoma" w:eastAsia="Tahoma" w:hAnsi="Tahoma" w:cs="Tahoma"/>
          <w:b/>
          <w:bCs/>
          <w:lang w:eastAsia="es-CO"/>
        </w:rPr>
        <w:t>Tribunal Superior del Distrito Judicial de Pereira - Risaralda, Sala Primera de Decisión Laboral,</w:t>
      </w:r>
      <w:r w:rsidRPr="000E0F6E">
        <w:rPr>
          <w:rFonts w:ascii="Tahoma" w:eastAsia="Tahoma" w:hAnsi="Tahoma" w:cs="Tahoma"/>
          <w:lang w:eastAsia="es-CO"/>
        </w:rPr>
        <w:t xml:space="preserve"> administrando justicia en nombre de la República y por autoridad de la ley,</w:t>
      </w:r>
    </w:p>
    <w:p w14:paraId="61DFB121" w14:textId="77777777" w:rsidR="008C3C1E" w:rsidRPr="000E0F6E" w:rsidRDefault="008C3C1E" w:rsidP="000E0F6E">
      <w:pPr>
        <w:spacing w:before="0" w:beforeAutospacing="0" w:after="0" w:afterAutospacing="0" w:line="276" w:lineRule="auto"/>
        <w:ind w:firstLine="644"/>
        <w:rPr>
          <w:rFonts w:ascii="Tahoma" w:eastAsia="Tahoma" w:hAnsi="Tahoma" w:cs="Tahoma"/>
          <w:lang w:eastAsia="es-CO"/>
        </w:rPr>
      </w:pPr>
      <w:r w:rsidRPr="000E0F6E">
        <w:rPr>
          <w:rFonts w:ascii="Tahoma" w:eastAsia="Tahoma" w:hAnsi="Tahoma" w:cs="Tahoma"/>
          <w:lang w:eastAsia="es-CO"/>
        </w:rPr>
        <w:t xml:space="preserve"> </w:t>
      </w:r>
    </w:p>
    <w:p w14:paraId="5D9B3479" w14:textId="77777777" w:rsidR="008C3C1E" w:rsidRPr="000E0F6E" w:rsidRDefault="008C3C1E" w:rsidP="000E0F6E">
      <w:pPr>
        <w:spacing w:before="0" w:beforeAutospacing="0" w:after="0" w:afterAutospacing="0" w:line="276" w:lineRule="auto"/>
        <w:ind w:firstLine="284"/>
        <w:jc w:val="center"/>
        <w:rPr>
          <w:rFonts w:ascii="Tahoma" w:eastAsia="Tahoma" w:hAnsi="Tahoma" w:cs="Tahoma"/>
          <w:lang w:eastAsia="es-CO"/>
        </w:rPr>
      </w:pPr>
      <w:r w:rsidRPr="000E0F6E">
        <w:rPr>
          <w:rFonts w:ascii="Tahoma" w:eastAsia="Tahoma" w:hAnsi="Tahoma" w:cs="Tahoma"/>
          <w:b/>
          <w:bCs/>
          <w:lang w:eastAsia="es-CO"/>
        </w:rPr>
        <w:t>RESUELVE</w:t>
      </w:r>
    </w:p>
    <w:p w14:paraId="0E17455F" w14:textId="77777777" w:rsidR="005314C7" w:rsidRPr="000E0F6E" w:rsidRDefault="008C3C1E" w:rsidP="000E0F6E">
      <w:pPr>
        <w:spacing w:before="0" w:beforeAutospacing="0" w:after="0" w:afterAutospacing="0" w:line="276" w:lineRule="auto"/>
        <w:ind w:firstLine="0"/>
        <w:jc w:val="center"/>
        <w:rPr>
          <w:rFonts w:ascii="Tahoma" w:eastAsia="Tahoma" w:hAnsi="Tahoma" w:cs="Tahoma"/>
          <w:lang w:eastAsia="es-CO"/>
        </w:rPr>
      </w:pPr>
      <w:r w:rsidRPr="000E0F6E">
        <w:rPr>
          <w:rFonts w:ascii="Tahoma" w:eastAsia="Tahoma" w:hAnsi="Tahoma" w:cs="Tahoma"/>
          <w:b/>
          <w:bCs/>
          <w:lang w:eastAsia="es-CO"/>
        </w:rPr>
        <w:t xml:space="preserve"> </w:t>
      </w:r>
    </w:p>
    <w:p w14:paraId="5E8BD1C3" w14:textId="3B9BA464" w:rsidR="00D659BA" w:rsidRPr="000E0F6E" w:rsidRDefault="008C3C1E" w:rsidP="000E0F6E">
      <w:pPr>
        <w:spacing w:before="0" w:beforeAutospacing="0" w:after="0" w:afterAutospacing="0" w:line="276" w:lineRule="auto"/>
        <w:ind w:firstLine="708"/>
        <w:rPr>
          <w:rFonts w:ascii="Tahoma" w:hAnsi="Tahoma" w:cs="Tahoma"/>
          <w:b/>
          <w:bCs/>
        </w:rPr>
      </w:pPr>
      <w:r w:rsidRPr="000E0F6E">
        <w:rPr>
          <w:rFonts w:ascii="Tahoma" w:eastAsia="Times New Roman" w:hAnsi="Tahoma" w:cs="Tahoma"/>
          <w:b/>
          <w:bCs/>
          <w:iCs/>
          <w:lang w:eastAsia="es-CO"/>
        </w:rPr>
        <w:t xml:space="preserve">PRIMERO: </w:t>
      </w:r>
      <w:r w:rsidR="005314C7" w:rsidRPr="000E0F6E">
        <w:rPr>
          <w:rFonts w:ascii="Tahoma" w:eastAsia="Tahoma" w:hAnsi="Tahoma" w:cs="Tahoma"/>
          <w:b/>
          <w:bCs/>
          <w:lang w:eastAsia="es-CO"/>
        </w:rPr>
        <w:t>CONFIRMAR</w:t>
      </w:r>
      <w:r w:rsidR="005314C7" w:rsidRPr="000E0F6E">
        <w:rPr>
          <w:rFonts w:ascii="Tahoma" w:eastAsia="Tahoma" w:hAnsi="Tahoma" w:cs="Tahoma"/>
          <w:lang w:eastAsia="es-CO"/>
        </w:rPr>
        <w:t xml:space="preserve"> </w:t>
      </w:r>
      <w:r w:rsidRPr="000E0F6E">
        <w:rPr>
          <w:rFonts w:ascii="Tahoma" w:eastAsia="Tahoma" w:hAnsi="Tahoma" w:cs="Tahoma"/>
          <w:lang w:eastAsia="es-CO"/>
        </w:rPr>
        <w:t xml:space="preserve">la sentencia proferida por el Juzgado </w:t>
      </w:r>
      <w:r w:rsidR="005219F8" w:rsidRPr="000E0F6E">
        <w:rPr>
          <w:rFonts w:ascii="Tahoma" w:eastAsia="Tahoma" w:hAnsi="Tahoma" w:cs="Tahoma"/>
          <w:lang w:eastAsia="es-CO"/>
        </w:rPr>
        <w:t>Cuarto</w:t>
      </w:r>
      <w:r w:rsidRPr="000E0F6E">
        <w:rPr>
          <w:rFonts w:ascii="Tahoma" w:eastAsia="Tahoma" w:hAnsi="Tahoma" w:cs="Tahoma"/>
          <w:lang w:eastAsia="es-CO"/>
        </w:rPr>
        <w:t xml:space="preserve"> Laboral del Circuito de Pereira el </w:t>
      </w:r>
      <w:r w:rsidR="009621F2" w:rsidRPr="000E0F6E">
        <w:rPr>
          <w:rFonts w:ascii="Tahoma" w:eastAsia="Tahoma" w:hAnsi="Tahoma" w:cs="Tahoma"/>
          <w:lang w:eastAsia="es-CO"/>
        </w:rPr>
        <w:t>22</w:t>
      </w:r>
      <w:r w:rsidR="00F666F7" w:rsidRPr="000E0F6E">
        <w:rPr>
          <w:rFonts w:ascii="Tahoma" w:eastAsia="Tahoma" w:hAnsi="Tahoma" w:cs="Tahoma"/>
          <w:lang w:eastAsia="es-CO"/>
        </w:rPr>
        <w:t xml:space="preserve"> de </w:t>
      </w:r>
      <w:r w:rsidR="009621F2" w:rsidRPr="000E0F6E">
        <w:rPr>
          <w:rFonts w:ascii="Tahoma" w:eastAsia="Tahoma" w:hAnsi="Tahoma" w:cs="Tahoma"/>
          <w:lang w:eastAsia="es-CO"/>
        </w:rPr>
        <w:t>febrero</w:t>
      </w:r>
      <w:r w:rsidR="00D659BA" w:rsidRPr="000E0F6E">
        <w:rPr>
          <w:rFonts w:ascii="Tahoma" w:eastAsia="Tahoma" w:hAnsi="Tahoma" w:cs="Tahoma"/>
          <w:lang w:eastAsia="es-CO"/>
        </w:rPr>
        <w:t xml:space="preserve"> de 2022</w:t>
      </w:r>
      <w:r w:rsidRPr="000E0F6E">
        <w:rPr>
          <w:rFonts w:ascii="Tahoma" w:eastAsia="Tahoma" w:hAnsi="Tahoma" w:cs="Tahoma"/>
          <w:lang w:eastAsia="es-CO"/>
        </w:rPr>
        <w:t xml:space="preserve">, dentro del proceso ordinario laboral promovido por </w:t>
      </w:r>
      <w:r w:rsidR="00751FE4" w:rsidRPr="000E0F6E">
        <w:rPr>
          <w:rFonts w:ascii="Tahoma" w:hAnsi="Tahoma" w:cs="Tahoma"/>
          <w:b/>
          <w:bCs/>
        </w:rPr>
        <w:t xml:space="preserve">Edgar Moreno Hernández </w:t>
      </w:r>
      <w:r w:rsidR="00754F0E" w:rsidRPr="000E0F6E">
        <w:rPr>
          <w:rFonts w:ascii="Tahoma" w:hAnsi="Tahoma" w:cs="Tahoma"/>
          <w:b/>
          <w:bCs/>
        </w:rPr>
        <w:t>en</w:t>
      </w:r>
      <w:r w:rsidR="00D659BA" w:rsidRPr="000E0F6E">
        <w:rPr>
          <w:rFonts w:ascii="Tahoma" w:hAnsi="Tahoma" w:cs="Tahoma"/>
          <w:b/>
          <w:bCs/>
        </w:rPr>
        <w:t xml:space="preserve"> contra de la Administradora Colombiana de Pensiones – Colpensiones y la Administradora de Fondo de Pensione</w:t>
      </w:r>
      <w:r w:rsidR="00754F0E" w:rsidRPr="000E0F6E">
        <w:rPr>
          <w:rFonts w:ascii="Tahoma" w:hAnsi="Tahoma" w:cs="Tahoma"/>
          <w:b/>
          <w:bCs/>
        </w:rPr>
        <w:t>s y Cesantías –</w:t>
      </w:r>
      <w:r w:rsidR="00D659BA" w:rsidRPr="000E0F6E">
        <w:rPr>
          <w:rFonts w:ascii="Tahoma" w:hAnsi="Tahoma" w:cs="Tahoma"/>
          <w:b/>
          <w:bCs/>
        </w:rPr>
        <w:t>Protección S.A.</w:t>
      </w:r>
    </w:p>
    <w:p w14:paraId="7D55F28F" w14:textId="77777777" w:rsidR="008C3C1E" w:rsidRPr="000E0F6E" w:rsidRDefault="008C3C1E" w:rsidP="000E0F6E">
      <w:pPr>
        <w:spacing w:before="0" w:beforeAutospacing="0" w:after="0" w:afterAutospacing="0" w:line="276" w:lineRule="auto"/>
        <w:ind w:firstLine="0"/>
        <w:textAlignment w:val="baseline"/>
        <w:rPr>
          <w:rFonts w:ascii="Tahoma" w:eastAsia="Tahoma" w:hAnsi="Tahoma" w:cs="Tahoma"/>
          <w:lang w:eastAsia="es-CO"/>
        </w:rPr>
      </w:pPr>
    </w:p>
    <w:p w14:paraId="65474F02" w14:textId="5B02E641" w:rsidR="008C3C1E" w:rsidRPr="000E0F6E" w:rsidRDefault="00751FE4" w:rsidP="000E0F6E">
      <w:pPr>
        <w:spacing w:before="0" w:beforeAutospacing="0" w:after="0" w:afterAutospacing="0" w:line="276" w:lineRule="auto"/>
        <w:ind w:firstLine="708"/>
        <w:rPr>
          <w:rFonts w:ascii="Tahoma" w:eastAsia="Tahoma" w:hAnsi="Tahoma" w:cs="Tahoma"/>
          <w:lang w:eastAsia="es-CO"/>
        </w:rPr>
      </w:pPr>
      <w:r w:rsidRPr="000E0F6E">
        <w:rPr>
          <w:rFonts w:ascii="Tahoma" w:eastAsia="Tahoma" w:hAnsi="Tahoma" w:cs="Tahoma"/>
          <w:b/>
          <w:bCs/>
          <w:lang w:eastAsia="es-CO"/>
        </w:rPr>
        <w:t>SEGUNDO</w:t>
      </w:r>
      <w:r w:rsidR="008C3C1E" w:rsidRPr="000E0F6E">
        <w:rPr>
          <w:rFonts w:ascii="Tahoma" w:eastAsia="Tahoma" w:hAnsi="Tahoma" w:cs="Tahoma"/>
          <w:b/>
          <w:bCs/>
          <w:lang w:eastAsia="es-CO"/>
        </w:rPr>
        <w:t>: CONDENAR</w:t>
      </w:r>
      <w:r w:rsidR="008C3C1E" w:rsidRPr="000E0F6E">
        <w:rPr>
          <w:rFonts w:ascii="Tahoma" w:eastAsia="Tahoma" w:hAnsi="Tahoma" w:cs="Tahoma"/>
          <w:lang w:eastAsia="es-CO"/>
        </w:rPr>
        <w:t xml:space="preserve"> en costas de segunda instancia a </w:t>
      </w:r>
      <w:r w:rsidR="008C3C1E" w:rsidRPr="000E0F6E">
        <w:rPr>
          <w:rFonts w:ascii="Tahoma" w:eastAsia="Tahoma" w:hAnsi="Tahoma" w:cs="Tahoma"/>
          <w:b/>
          <w:lang w:val="es-ES" w:eastAsia="es-MX"/>
        </w:rPr>
        <w:t xml:space="preserve">Colpensiones y </w:t>
      </w:r>
      <w:r w:rsidR="00B90029" w:rsidRPr="000E0F6E">
        <w:rPr>
          <w:rFonts w:ascii="Tahoma" w:eastAsia="Tahoma" w:hAnsi="Tahoma" w:cs="Tahoma"/>
          <w:b/>
          <w:lang w:val="es-ES" w:eastAsia="es-MX"/>
        </w:rPr>
        <w:t xml:space="preserve">Protección </w:t>
      </w:r>
      <w:r w:rsidR="008C3C1E" w:rsidRPr="000E0F6E">
        <w:rPr>
          <w:rFonts w:ascii="Tahoma" w:eastAsia="Tahoma" w:hAnsi="Tahoma" w:cs="Tahoma"/>
          <w:b/>
          <w:lang w:val="es-ES" w:eastAsia="es-MX"/>
        </w:rPr>
        <w:t>S.A.</w:t>
      </w:r>
      <w:r w:rsidR="008C3C1E" w:rsidRPr="000E0F6E">
        <w:rPr>
          <w:rFonts w:ascii="Tahoma" w:eastAsia="Tahoma" w:hAnsi="Tahoma" w:cs="Tahoma"/>
          <w:lang w:eastAsia="es-CO"/>
        </w:rPr>
        <w:t xml:space="preserve"> a favor de la parte demandante. Liquídense por la secretaría del juzgado de origen.</w:t>
      </w:r>
    </w:p>
    <w:p w14:paraId="7A16777E" w14:textId="77777777" w:rsidR="00A550DB" w:rsidRPr="000A4CE3" w:rsidRDefault="00A550DB" w:rsidP="00A550DB">
      <w:pPr>
        <w:spacing w:before="0" w:beforeAutospacing="0" w:after="0" w:afterAutospacing="0" w:line="276" w:lineRule="auto"/>
        <w:ind w:firstLine="644"/>
        <w:rPr>
          <w:rFonts w:ascii="Tahoma" w:eastAsia="Tahoma" w:hAnsi="Tahoma" w:cs="Tahoma"/>
          <w:lang w:val="es-ES" w:eastAsia="es-ES"/>
        </w:rPr>
      </w:pPr>
    </w:p>
    <w:p w14:paraId="4AF31C3A" w14:textId="77777777" w:rsidR="00A550DB" w:rsidRPr="000A4CE3" w:rsidRDefault="00A550DB" w:rsidP="00A550DB">
      <w:pPr>
        <w:widowControl w:val="0"/>
        <w:autoSpaceDE w:val="0"/>
        <w:autoSpaceDN w:val="0"/>
        <w:adjustRightInd w:val="0"/>
        <w:spacing w:before="0" w:beforeAutospacing="0" w:after="0" w:afterAutospacing="0" w:line="276" w:lineRule="auto"/>
        <w:contextualSpacing/>
        <w:jc w:val="center"/>
        <w:rPr>
          <w:rFonts w:ascii="Tahoma" w:hAnsi="Tahoma" w:cs="Tahoma"/>
          <w:b/>
        </w:rPr>
      </w:pPr>
      <w:r w:rsidRPr="000A4CE3">
        <w:rPr>
          <w:rFonts w:ascii="Tahoma" w:hAnsi="Tahoma" w:cs="Tahoma"/>
          <w:b/>
        </w:rPr>
        <w:t>NOTIFÍQUESE Y CÚMPLASE</w:t>
      </w:r>
    </w:p>
    <w:p w14:paraId="6B8EB5DC" w14:textId="77777777" w:rsidR="00A550DB" w:rsidRPr="00DE425A" w:rsidRDefault="00A550DB" w:rsidP="00A550DB">
      <w:pPr>
        <w:spacing w:before="0" w:beforeAutospacing="0" w:after="0" w:afterAutospacing="0" w:line="276" w:lineRule="auto"/>
        <w:ind w:firstLine="0"/>
        <w:rPr>
          <w:rFonts w:ascii="Tahoma" w:eastAsia="Segoe UI" w:hAnsi="Tahoma" w:cs="Tahoma"/>
          <w:lang w:eastAsia="es-CO"/>
        </w:rPr>
      </w:pPr>
    </w:p>
    <w:p w14:paraId="5CE39C20" w14:textId="77777777" w:rsidR="00A550DB" w:rsidRPr="00DE425A" w:rsidRDefault="00A550DB" w:rsidP="00A550DB">
      <w:pPr>
        <w:widowControl w:val="0"/>
        <w:autoSpaceDE w:val="0"/>
        <w:autoSpaceDN w:val="0"/>
        <w:adjustRightInd w:val="0"/>
        <w:spacing w:before="0" w:beforeAutospacing="0" w:after="0" w:afterAutospacing="0" w:line="276" w:lineRule="auto"/>
        <w:ind w:firstLine="0"/>
        <w:rPr>
          <w:rFonts w:ascii="Tahoma" w:eastAsia="Times New Roman" w:hAnsi="Tahoma" w:cs="Tahoma"/>
          <w:lang w:val="es-ES" w:eastAsia="es-ES"/>
        </w:rPr>
      </w:pPr>
      <w:r w:rsidRPr="00DE425A">
        <w:rPr>
          <w:rFonts w:ascii="Tahoma" w:eastAsia="Times New Roman" w:hAnsi="Tahoma" w:cs="Tahoma"/>
          <w:lang w:val="es-ES" w:eastAsia="es-ES"/>
        </w:rPr>
        <w:tab/>
        <w:t>La Magistrada ponente,</w:t>
      </w:r>
    </w:p>
    <w:p w14:paraId="22E96459" w14:textId="77777777" w:rsidR="00A550DB" w:rsidRPr="00DE425A" w:rsidRDefault="00A550DB" w:rsidP="00A550DB">
      <w:pPr>
        <w:spacing w:before="0" w:beforeAutospacing="0" w:after="0" w:afterAutospacing="0" w:line="276" w:lineRule="auto"/>
        <w:ind w:firstLine="0"/>
        <w:jc w:val="left"/>
        <w:rPr>
          <w:rFonts w:ascii="Tahoma" w:eastAsia="Times New Roman" w:hAnsi="Tahoma" w:cs="Tahoma"/>
          <w:lang w:val="es-ES" w:eastAsia="es-ES"/>
        </w:rPr>
      </w:pPr>
    </w:p>
    <w:p w14:paraId="6EBB734F" w14:textId="77777777" w:rsidR="00A550DB" w:rsidRPr="00DE425A" w:rsidRDefault="00A550DB" w:rsidP="00A550DB">
      <w:pPr>
        <w:spacing w:before="0" w:beforeAutospacing="0" w:after="0" w:afterAutospacing="0" w:line="276" w:lineRule="auto"/>
        <w:ind w:firstLine="0"/>
        <w:jc w:val="left"/>
        <w:rPr>
          <w:rFonts w:ascii="Tahoma" w:eastAsia="Times New Roman" w:hAnsi="Tahoma" w:cs="Tahoma"/>
          <w:lang w:val="es-ES" w:eastAsia="es-ES"/>
        </w:rPr>
      </w:pPr>
    </w:p>
    <w:p w14:paraId="28439AC2" w14:textId="77777777" w:rsidR="00A550DB" w:rsidRPr="00DE425A" w:rsidRDefault="00A550DB" w:rsidP="00A550DB">
      <w:pPr>
        <w:spacing w:before="0" w:beforeAutospacing="0" w:after="0" w:afterAutospacing="0" w:line="276" w:lineRule="auto"/>
        <w:ind w:firstLine="0"/>
        <w:jc w:val="left"/>
        <w:rPr>
          <w:rFonts w:ascii="Tahoma" w:eastAsia="Times New Roman" w:hAnsi="Tahoma" w:cs="Tahoma"/>
          <w:lang w:val="es-ES" w:eastAsia="es-ES"/>
        </w:rPr>
      </w:pPr>
    </w:p>
    <w:p w14:paraId="4494BE19" w14:textId="77777777" w:rsidR="00A550DB" w:rsidRPr="00DE425A" w:rsidRDefault="00A550DB" w:rsidP="00A550DB">
      <w:pPr>
        <w:keepNext/>
        <w:spacing w:before="0" w:beforeAutospacing="0" w:after="0" w:afterAutospacing="0" w:line="276" w:lineRule="auto"/>
        <w:ind w:firstLine="0"/>
        <w:jc w:val="center"/>
        <w:outlineLvl w:val="2"/>
        <w:rPr>
          <w:rFonts w:ascii="Tahoma" w:eastAsia="Times New Roman" w:hAnsi="Tahoma" w:cs="Tahoma"/>
          <w:b/>
          <w:bCs/>
          <w:lang w:val="es-ES" w:eastAsia="es-ES"/>
        </w:rPr>
      </w:pPr>
      <w:r w:rsidRPr="00DE425A">
        <w:rPr>
          <w:rFonts w:ascii="Tahoma" w:eastAsia="Times New Roman" w:hAnsi="Tahoma" w:cs="Tahoma"/>
          <w:b/>
          <w:bCs/>
          <w:lang w:val="es-ES" w:eastAsia="es-ES"/>
        </w:rPr>
        <w:t>ANA LUCÍA CAICEDO CALDERÓN</w:t>
      </w:r>
    </w:p>
    <w:p w14:paraId="194D92B6" w14:textId="77777777" w:rsidR="00A550DB" w:rsidRPr="00DE425A" w:rsidRDefault="00A550DB" w:rsidP="00A550DB">
      <w:pPr>
        <w:spacing w:before="0" w:beforeAutospacing="0" w:after="0" w:afterAutospacing="0" w:line="276" w:lineRule="auto"/>
        <w:ind w:firstLine="0"/>
        <w:jc w:val="left"/>
        <w:rPr>
          <w:rFonts w:ascii="Tahoma" w:eastAsia="Times New Roman" w:hAnsi="Tahoma" w:cs="Tahoma"/>
          <w:lang w:val="es-ES" w:eastAsia="es-ES"/>
        </w:rPr>
      </w:pPr>
    </w:p>
    <w:p w14:paraId="50020A7C" w14:textId="77777777" w:rsidR="00A550DB" w:rsidRPr="00DE425A" w:rsidRDefault="00A550DB" w:rsidP="00A550DB">
      <w:pPr>
        <w:spacing w:before="0" w:beforeAutospacing="0" w:after="0" w:afterAutospacing="0" w:line="276" w:lineRule="auto"/>
        <w:ind w:firstLine="708"/>
        <w:jc w:val="left"/>
        <w:rPr>
          <w:rFonts w:ascii="Tahoma" w:eastAsia="Times New Roman" w:hAnsi="Tahoma" w:cs="Tahoma"/>
          <w:lang w:val="es-ES" w:eastAsia="es-ES"/>
        </w:rPr>
      </w:pPr>
      <w:bookmarkStart w:id="13" w:name="_Hlk62478330"/>
      <w:r w:rsidRPr="00DE425A">
        <w:rPr>
          <w:rFonts w:ascii="Tahoma" w:eastAsia="Times New Roman" w:hAnsi="Tahoma" w:cs="Tahoma"/>
          <w:lang w:val="es-ES" w:eastAsia="es-ES"/>
        </w:rPr>
        <w:t>La Magistrada y el Magistrado,</w:t>
      </w:r>
    </w:p>
    <w:p w14:paraId="795923FD" w14:textId="77777777" w:rsidR="00A550DB" w:rsidRPr="00DE425A" w:rsidRDefault="00A550DB" w:rsidP="00A550DB">
      <w:pPr>
        <w:spacing w:before="0" w:beforeAutospacing="0" w:after="0" w:afterAutospacing="0" w:line="276" w:lineRule="auto"/>
        <w:ind w:firstLine="0"/>
        <w:jc w:val="left"/>
        <w:rPr>
          <w:rFonts w:ascii="Tahoma" w:eastAsia="Times New Roman" w:hAnsi="Tahoma" w:cs="Tahoma"/>
          <w:lang w:val="es-ES" w:eastAsia="es-ES"/>
        </w:rPr>
      </w:pPr>
    </w:p>
    <w:p w14:paraId="6BC6A528" w14:textId="77777777" w:rsidR="00A550DB" w:rsidRPr="00DE425A" w:rsidRDefault="00A550DB" w:rsidP="00A550DB">
      <w:pPr>
        <w:spacing w:before="0" w:beforeAutospacing="0" w:after="0" w:afterAutospacing="0" w:line="276" w:lineRule="auto"/>
        <w:ind w:firstLine="0"/>
        <w:jc w:val="left"/>
        <w:rPr>
          <w:rFonts w:ascii="Tahoma" w:eastAsia="Times New Roman" w:hAnsi="Tahoma" w:cs="Tahoma"/>
          <w:lang w:val="es-ES" w:eastAsia="es-ES"/>
        </w:rPr>
      </w:pPr>
    </w:p>
    <w:p w14:paraId="3EBAE04C" w14:textId="77777777" w:rsidR="00A550DB" w:rsidRPr="00DE425A" w:rsidRDefault="00A550DB" w:rsidP="00A550DB">
      <w:pPr>
        <w:spacing w:before="0" w:beforeAutospacing="0" w:after="0" w:afterAutospacing="0" w:line="276" w:lineRule="auto"/>
        <w:ind w:firstLine="0"/>
        <w:jc w:val="left"/>
        <w:rPr>
          <w:rFonts w:ascii="Tahoma" w:eastAsia="Times New Roman" w:hAnsi="Tahoma" w:cs="Tahoma"/>
          <w:lang w:val="es-ES" w:eastAsia="es-ES"/>
        </w:rPr>
      </w:pPr>
    </w:p>
    <w:p w14:paraId="223BABB0" w14:textId="77777777" w:rsidR="00A550DB" w:rsidRPr="00DE425A" w:rsidRDefault="00A550DB" w:rsidP="00A550DB">
      <w:pPr>
        <w:spacing w:before="0" w:beforeAutospacing="0" w:after="0" w:afterAutospacing="0" w:line="276" w:lineRule="auto"/>
        <w:ind w:firstLine="0"/>
        <w:rPr>
          <w:rFonts w:ascii="Tahoma" w:eastAsia="Times New Roman" w:hAnsi="Tahoma" w:cs="Tahoma"/>
          <w:b/>
          <w:bCs/>
          <w:lang w:val="es-ES" w:eastAsia="es-ES"/>
        </w:rPr>
      </w:pPr>
      <w:r w:rsidRPr="00DE425A">
        <w:rPr>
          <w:rFonts w:ascii="Tahoma" w:eastAsia="Times New Roman" w:hAnsi="Tahoma" w:cs="Tahoma"/>
          <w:b/>
          <w:bCs/>
          <w:lang w:val="es-ES" w:eastAsia="es-ES"/>
        </w:rPr>
        <w:t>OLGA LUCÍA HOYOS SEPÚLVEDA</w:t>
      </w:r>
      <w:r w:rsidRPr="00DE425A">
        <w:rPr>
          <w:rFonts w:ascii="Tahoma" w:eastAsia="Times New Roman" w:hAnsi="Tahoma" w:cs="Tahoma"/>
          <w:b/>
          <w:bCs/>
          <w:lang w:val="es-ES" w:eastAsia="es-ES"/>
        </w:rPr>
        <w:tab/>
      </w:r>
      <w:r w:rsidRPr="00DE425A">
        <w:rPr>
          <w:rFonts w:ascii="Tahoma" w:eastAsia="Times New Roman" w:hAnsi="Tahoma" w:cs="Tahoma"/>
          <w:b/>
          <w:bCs/>
          <w:lang w:val="es-ES" w:eastAsia="es-ES"/>
        </w:rPr>
        <w:tab/>
        <w:t>GERMÁN DARÍO GÓEZ VINASCO</w:t>
      </w:r>
      <w:bookmarkEnd w:id="13"/>
    </w:p>
    <w:p w14:paraId="634A6C5D" w14:textId="2A98F6B2" w:rsidR="008C3C1E" w:rsidRPr="000E0F6E" w:rsidRDefault="00A550DB" w:rsidP="00A550DB">
      <w:pPr>
        <w:spacing w:before="0" w:beforeAutospacing="0" w:after="0" w:afterAutospacing="0" w:line="276" w:lineRule="auto"/>
        <w:ind w:firstLine="0"/>
        <w:contextualSpacing/>
        <w:rPr>
          <w:rFonts w:ascii="Tahoma" w:eastAsia="Tahoma" w:hAnsi="Tahoma" w:cs="Tahoma"/>
          <w:b/>
          <w:bCs/>
          <w:lang w:val="es"/>
        </w:rPr>
      </w:pPr>
      <w:r>
        <w:rPr>
          <w:rFonts w:ascii="Tahoma" w:eastAsia="Tahoma" w:hAnsi="Tahoma" w:cs="Tahoma"/>
          <w:bCs/>
          <w:lang w:val="es"/>
        </w:rPr>
        <w:t>Aclaración de voto</w:t>
      </w:r>
    </w:p>
    <w:sectPr w:rsidR="008C3C1E" w:rsidRPr="000E0F6E" w:rsidSect="004008C2">
      <w:headerReference w:type="default" r:id="rId11"/>
      <w:footerReference w:type="even" r:id="rId12"/>
      <w:footerReference w:type="defaul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EAD61FD" w16cex:dateUtc="2022-08-10T19:54:02.741Z"/>
  <w16cex:commentExtensible w16cex:durableId="0E5E35AE" w16cex:dateUtc="2022-08-11T20:13:08.1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F723A" w14:textId="77777777" w:rsidR="00356404" w:rsidRDefault="00356404" w:rsidP="00995B6C">
      <w:pPr>
        <w:spacing w:before="0" w:after="0" w:line="240" w:lineRule="auto"/>
      </w:pPr>
      <w:r>
        <w:separator/>
      </w:r>
    </w:p>
  </w:endnote>
  <w:endnote w:type="continuationSeparator" w:id="0">
    <w:p w14:paraId="775039EB" w14:textId="77777777" w:rsidR="00356404" w:rsidRDefault="00356404" w:rsidP="00995B6C">
      <w:pPr>
        <w:spacing w:before="0" w:after="0" w:line="240" w:lineRule="auto"/>
      </w:pPr>
      <w:r>
        <w:continuationSeparator/>
      </w:r>
    </w:p>
  </w:endnote>
  <w:endnote w:type="continuationNotice" w:id="1">
    <w:p w14:paraId="145E0415" w14:textId="77777777" w:rsidR="00356404" w:rsidRDefault="0035640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A29F9" w14:textId="24EF015F" w:rsidR="0040599D" w:rsidRDefault="0040599D" w:rsidP="00A3690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p w14:paraId="7D761A41" w14:textId="77777777" w:rsidR="0040599D" w:rsidRDefault="0040599D" w:rsidP="00BA2E9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853848363"/>
      <w:docPartObj>
        <w:docPartGallery w:val="Page Numbers (Bottom of Page)"/>
        <w:docPartUnique/>
      </w:docPartObj>
    </w:sdtPr>
    <w:sdtEndPr>
      <w:rPr>
        <w:rStyle w:val="Fuentedeprrafopredeter"/>
        <w:rFonts w:ascii="Arial" w:hAnsi="Arial" w:cs="Arial"/>
        <w:color w:val="000000"/>
        <w:sz w:val="18"/>
        <w:szCs w:val="18"/>
      </w:rPr>
    </w:sdtEndPr>
    <w:sdtContent>
      <w:p w14:paraId="2E70D12B" w14:textId="3C200D03" w:rsidR="0040599D" w:rsidRPr="00570802" w:rsidRDefault="0040599D" w:rsidP="00570802">
        <w:pPr>
          <w:framePr w:wrap="none" w:vAnchor="text" w:hAnchor="margin" w:xAlign="right" w:y="1"/>
          <w:tabs>
            <w:tab w:val="left" w:pos="0"/>
          </w:tabs>
          <w:spacing w:line="240" w:lineRule="auto"/>
          <w:ind w:firstLine="0"/>
          <w:contextualSpacing/>
          <w:rPr>
            <w:rFonts w:ascii="Arial" w:hAnsi="Arial" w:cs="Arial"/>
            <w:color w:val="000000"/>
            <w:sz w:val="18"/>
            <w:szCs w:val="18"/>
          </w:rPr>
        </w:pPr>
        <w:r w:rsidRPr="00570802">
          <w:rPr>
            <w:rFonts w:ascii="Arial" w:hAnsi="Arial" w:cs="Arial"/>
            <w:color w:val="000000"/>
            <w:sz w:val="18"/>
            <w:szCs w:val="18"/>
          </w:rPr>
          <w:fldChar w:fldCharType="begin"/>
        </w:r>
        <w:r w:rsidRPr="00570802">
          <w:rPr>
            <w:rFonts w:ascii="Arial" w:hAnsi="Arial" w:cs="Arial"/>
            <w:color w:val="000000"/>
            <w:sz w:val="18"/>
            <w:szCs w:val="18"/>
          </w:rPr>
          <w:instrText xml:space="preserve"> PAGE </w:instrText>
        </w:r>
        <w:r w:rsidRPr="00570802">
          <w:rPr>
            <w:rFonts w:ascii="Arial" w:hAnsi="Arial" w:cs="Arial"/>
            <w:color w:val="000000"/>
            <w:sz w:val="18"/>
            <w:szCs w:val="18"/>
          </w:rPr>
          <w:fldChar w:fldCharType="separate"/>
        </w:r>
        <w:r w:rsidRPr="00570802">
          <w:rPr>
            <w:rFonts w:ascii="Arial" w:hAnsi="Arial" w:cs="Arial"/>
            <w:color w:val="000000"/>
            <w:sz w:val="18"/>
            <w:szCs w:val="18"/>
          </w:rPr>
          <w:t>2</w:t>
        </w:r>
        <w:r w:rsidRPr="00570802">
          <w:rPr>
            <w:rFonts w:ascii="Arial" w:hAnsi="Arial" w:cs="Arial"/>
            <w:color w:val="000000"/>
            <w:sz w:val="18"/>
            <w:szCs w:val="18"/>
          </w:rPr>
          <w:fldChar w:fldCharType="end"/>
        </w:r>
      </w:p>
    </w:sdtContent>
  </w:sdt>
  <w:p w14:paraId="79A44826" w14:textId="77777777" w:rsidR="0040599D" w:rsidRPr="00570802" w:rsidRDefault="0040599D" w:rsidP="00570802">
    <w:pPr>
      <w:tabs>
        <w:tab w:val="left" w:pos="0"/>
      </w:tabs>
      <w:spacing w:line="240" w:lineRule="auto"/>
      <w:ind w:firstLine="0"/>
      <w:contextualSpacing/>
      <w:rPr>
        <w:rFonts w:ascii="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44AC6" w14:textId="77777777" w:rsidR="00356404" w:rsidRDefault="00356404" w:rsidP="00995B6C">
      <w:pPr>
        <w:spacing w:before="0" w:after="0" w:line="240" w:lineRule="auto"/>
      </w:pPr>
      <w:r>
        <w:separator/>
      </w:r>
    </w:p>
  </w:footnote>
  <w:footnote w:type="continuationSeparator" w:id="0">
    <w:p w14:paraId="497A60D1" w14:textId="77777777" w:rsidR="00356404" w:rsidRDefault="00356404" w:rsidP="00995B6C">
      <w:pPr>
        <w:spacing w:before="0" w:after="0" w:line="240" w:lineRule="auto"/>
      </w:pPr>
      <w:r>
        <w:continuationSeparator/>
      </w:r>
    </w:p>
  </w:footnote>
  <w:footnote w:type="continuationNotice" w:id="1">
    <w:p w14:paraId="31709CAE" w14:textId="77777777" w:rsidR="00356404" w:rsidRDefault="00356404">
      <w:pPr>
        <w:spacing w:before="0" w:after="0" w:line="240" w:lineRule="auto"/>
      </w:pPr>
    </w:p>
  </w:footnote>
  <w:footnote w:id="2">
    <w:p w14:paraId="4107EDF7" w14:textId="77777777" w:rsidR="00463544" w:rsidRPr="00BE4A38" w:rsidRDefault="00463544" w:rsidP="00463544">
      <w:pPr>
        <w:pStyle w:val="Textonotapie"/>
        <w:rPr>
          <w:rFonts w:ascii="Arial" w:hAnsi="Arial" w:cs="Arial"/>
          <w:sz w:val="18"/>
          <w:szCs w:val="18"/>
        </w:rPr>
      </w:pPr>
      <w:r w:rsidRPr="00BE4A38">
        <w:rPr>
          <w:rStyle w:val="Refdenotaalpie"/>
          <w:rFonts w:ascii="Arial" w:hAnsi="Arial" w:cs="Arial"/>
          <w:sz w:val="18"/>
          <w:szCs w:val="18"/>
        </w:rPr>
        <w:footnoteRef/>
      </w:r>
      <w:r w:rsidRPr="00BE4A38">
        <w:rPr>
          <w:rFonts w:ascii="Arial" w:hAnsi="Arial" w:cs="Arial"/>
          <w:sz w:val="18"/>
          <w:szCs w:val="18"/>
        </w:rPr>
        <w:t xml:space="preserve"> Título tomado de la sentencia del 8 de mayo de 2019SL 1688-2019, Radicado 68838, con Ponencia de la Dra. Clara Cecilia Dueñas Quevedo</w:t>
      </w:r>
    </w:p>
  </w:footnote>
  <w:footnote w:id="3">
    <w:p w14:paraId="68410148" w14:textId="77777777" w:rsidR="00463544" w:rsidRPr="00BE4A38" w:rsidRDefault="00463544" w:rsidP="00463544">
      <w:pPr>
        <w:pStyle w:val="Textonotapie"/>
        <w:rPr>
          <w:rFonts w:ascii="Arial" w:hAnsi="Arial" w:cs="Arial"/>
          <w:sz w:val="18"/>
          <w:szCs w:val="18"/>
        </w:rPr>
      </w:pPr>
      <w:r w:rsidRPr="00BE4A38">
        <w:rPr>
          <w:rStyle w:val="Refdenotaalpie"/>
          <w:rFonts w:ascii="Arial" w:hAnsi="Arial" w:cs="Arial"/>
          <w:sz w:val="18"/>
          <w:szCs w:val="18"/>
        </w:rPr>
        <w:footnoteRef/>
      </w:r>
      <w:r w:rsidRPr="00BE4A38">
        <w:rPr>
          <w:rFonts w:ascii="Arial" w:hAnsi="Arial" w:cs="Arial"/>
          <w:sz w:val="18"/>
          <w:szCs w:val="18"/>
        </w:rPr>
        <w:t xml:space="preserve"> Estatuto Orgánico del Sistema Financiero</w:t>
      </w:r>
    </w:p>
  </w:footnote>
  <w:footnote w:id="4">
    <w:p w14:paraId="4555659C" w14:textId="507A78DB" w:rsidR="005B7733" w:rsidRPr="00CF2B6C" w:rsidRDefault="005B7733" w:rsidP="00CF2B6C">
      <w:pPr>
        <w:pStyle w:val="Textonotapie"/>
        <w:ind w:firstLine="0"/>
        <w:rPr>
          <w:rFonts w:ascii="Arial" w:hAnsi="Arial" w:cs="Arial"/>
          <w:sz w:val="18"/>
          <w:szCs w:val="18"/>
        </w:rPr>
      </w:pPr>
      <w:r w:rsidRPr="00CF2B6C">
        <w:rPr>
          <w:rStyle w:val="Refdenotaalpie"/>
          <w:rFonts w:ascii="Arial" w:hAnsi="Arial" w:cs="Arial"/>
          <w:sz w:val="18"/>
          <w:szCs w:val="18"/>
        </w:rPr>
        <w:footnoteRef/>
      </w:r>
      <w:r w:rsidRPr="00CF2B6C">
        <w:rPr>
          <w:rFonts w:ascii="Arial" w:hAnsi="Arial" w:cs="Arial"/>
          <w:sz w:val="18"/>
          <w:szCs w:val="18"/>
        </w:rPr>
        <w:t xml:space="preserve"> Título tomado de la sentencia del 8 de mayo de 2019SL 1688-2019, Radicado 68838, con Ponencia de la Dra. Clara Cecilia Dueñas Quevedo</w:t>
      </w:r>
    </w:p>
  </w:footnote>
  <w:footnote w:id="5">
    <w:p w14:paraId="7827DFAB" w14:textId="77777777" w:rsidR="005B7733" w:rsidRPr="00CF2B6C" w:rsidRDefault="005B7733" w:rsidP="00CF2B6C">
      <w:pPr>
        <w:pStyle w:val="Textonotapie"/>
        <w:ind w:firstLine="0"/>
        <w:rPr>
          <w:rFonts w:ascii="Arial" w:hAnsi="Arial" w:cs="Arial"/>
          <w:sz w:val="18"/>
          <w:szCs w:val="18"/>
        </w:rPr>
      </w:pPr>
      <w:r w:rsidRPr="00CF2B6C">
        <w:rPr>
          <w:rStyle w:val="Refdenotaalpie"/>
          <w:rFonts w:ascii="Arial" w:hAnsi="Arial" w:cs="Arial"/>
          <w:sz w:val="18"/>
          <w:szCs w:val="18"/>
        </w:rPr>
        <w:footnoteRef/>
      </w:r>
      <w:r w:rsidRPr="00CF2B6C">
        <w:rPr>
          <w:rFonts w:ascii="Arial" w:hAnsi="Arial" w:cs="Arial"/>
          <w:sz w:val="18"/>
          <w:szCs w:val="18"/>
        </w:rPr>
        <w:t xml:space="preserve"> Corte Suprema de Justicia- Sala Laboral, sentencia SL5688 de 2021, rad. 83576 del 6 de octubre de 2021. M.P. Iván Mauricio Lenis Gómez.</w:t>
      </w:r>
    </w:p>
  </w:footnote>
  <w:footnote w:id="6">
    <w:p w14:paraId="2CBCA6B2" w14:textId="77777777" w:rsidR="005B7733" w:rsidRPr="00CF2B6C" w:rsidRDefault="005B7733" w:rsidP="00CF2B6C">
      <w:pPr>
        <w:pStyle w:val="Textonotapie"/>
        <w:ind w:firstLine="0"/>
        <w:rPr>
          <w:rFonts w:ascii="Arial" w:hAnsi="Arial" w:cs="Arial"/>
          <w:sz w:val="18"/>
          <w:szCs w:val="18"/>
        </w:rPr>
      </w:pPr>
      <w:r w:rsidRPr="00CF2B6C">
        <w:rPr>
          <w:rStyle w:val="Refdenotaalpie"/>
          <w:rFonts w:ascii="Arial" w:hAnsi="Arial" w:cs="Arial"/>
          <w:sz w:val="18"/>
          <w:szCs w:val="18"/>
        </w:rPr>
        <w:footnoteRef/>
      </w:r>
      <w:r w:rsidRPr="00CF2B6C">
        <w:rPr>
          <w:rFonts w:ascii="Arial" w:hAnsi="Arial" w:cs="Arial"/>
          <w:sz w:val="18"/>
          <w:szCs w:val="18"/>
        </w:rPr>
        <w:t xml:space="preserve"> </w:t>
      </w:r>
      <w:r w:rsidRPr="00CF2B6C">
        <w:rPr>
          <w:rFonts w:ascii="Arial" w:hAnsi="Arial" w:cs="Arial"/>
          <w:sz w:val="18"/>
          <w:szCs w:val="18"/>
          <w:lang w:val="es-CO"/>
        </w:rPr>
        <w:t>Corte Suprema de Justicia- Sala Laboral, sentencia SL5686 de 2021, rad. 82139 del 6 de octubre de 2021. M.P. Iván Mauricio Lenis Gómez.</w:t>
      </w:r>
    </w:p>
  </w:footnote>
  <w:footnote w:id="7">
    <w:p w14:paraId="5C53D301" w14:textId="77777777" w:rsidR="005B7733" w:rsidRPr="00CF2B6C" w:rsidRDefault="005B7733" w:rsidP="00CF2B6C">
      <w:pPr>
        <w:pStyle w:val="Textonotapie"/>
        <w:ind w:firstLine="0"/>
        <w:rPr>
          <w:rFonts w:ascii="Arial" w:hAnsi="Arial" w:cs="Arial"/>
          <w:sz w:val="18"/>
          <w:szCs w:val="18"/>
        </w:rPr>
      </w:pPr>
      <w:r w:rsidRPr="00CF2B6C">
        <w:rPr>
          <w:rStyle w:val="Refdenotaalpie"/>
          <w:rFonts w:ascii="Arial" w:hAnsi="Arial" w:cs="Arial"/>
          <w:sz w:val="18"/>
          <w:szCs w:val="18"/>
        </w:rPr>
        <w:footnoteRef/>
      </w:r>
      <w:r w:rsidRPr="00CF2B6C">
        <w:rPr>
          <w:rFonts w:ascii="Arial" w:hAnsi="Arial" w:cs="Arial"/>
          <w:sz w:val="18"/>
          <w:szCs w:val="18"/>
        </w:rPr>
        <w:t xml:space="preserve"> </w:t>
      </w:r>
      <w:r w:rsidRPr="00CF2B6C">
        <w:rPr>
          <w:rFonts w:ascii="Arial" w:hAnsi="Arial" w:cs="Arial"/>
          <w:sz w:val="18"/>
          <w:szCs w:val="18"/>
          <w:lang w:val="es-CO"/>
        </w:rPr>
        <w:t>Corte Suprema de Justicia- Sala Laboral, sentencia SL1926 de 2022, rad. 89920 del 27 de abril de 2022. M.P. Omar Ángel Mejía Amador.</w:t>
      </w:r>
    </w:p>
  </w:footnote>
  <w:footnote w:id="8">
    <w:p w14:paraId="16D2AD20" w14:textId="77777777" w:rsidR="005B7733" w:rsidRPr="00CF2B6C" w:rsidRDefault="005B7733" w:rsidP="00CF2B6C">
      <w:pPr>
        <w:pStyle w:val="Textonotapie"/>
        <w:ind w:firstLine="0"/>
        <w:rPr>
          <w:rFonts w:ascii="Arial" w:hAnsi="Arial" w:cs="Arial"/>
          <w:sz w:val="18"/>
          <w:szCs w:val="18"/>
        </w:rPr>
      </w:pPr>
      <w:r w:rsidRPr="00CF2B6C">
        <w:rPr>
          <w:rStyle w:val="Refdenotaalpie"/>
          <w:rFonts w:ascii="Arial" w:hAnsi="Arial" w:cs="Arial"/>
          <w:sz w:val="18"/>
          <w:szCs w:val="18"/>
        </w:rPr>
        <w:footnoteRef/>
      </w:r>
      <w:r w:rsidRPr="00CF2B6C">
        <w:rPr>
          <w:rFonts w:ascii="Arial" w:hAnsi="Arial" w:cs="Arial"/>
          <w:sz w:val="18"/>
          <w:szCs w:val="18"/>
        </w:rPr>
        <w:t xml:space="preserve"> </w:t>
      </w:r>
      <w:r w:rsidRPr="00CF2B6C">
        <w:rPr>
          <w:rFonts w:ascii="Arial" w:hAnsi="Arial" w:cs="Arial"/>
          <w:sz w:val="18"/>
          <w:szCs w:val="18"/>
          <w:lang w:val="es-CO"/>
        </w:rPr>
        <w:t>Corte Suprema de Justicia- Sala Laboral, sentencia SL1055 de 2022, rad. 87911 del 2 de marzo de 2022. M.P. Iván Mauricio Lenis Gómez.</w:t>
      </w:r>
    </w:p>
  </w:footnote>
  <w:footnote w:id="9">
    <w:p w14:paraId="2B485D59" w14:textId="77777777" w:rsidR="005B7733" w:rsidRPr="00CF2B6C" w:rsidRDefault="005B7733" w:rsidP="00CF2B6C">
      <w:pPr>
        <w:pStyle w:val="Textonotapie"/>
        <w:ind w:firstLine="0"/>
        <w:rPr>
          <w:rFonts w:ascii="Arial" w:hAnsi="Arial" w:cs="Arial"/>
          <w:sz w:val="18"/>
          <w:szCs w:val="18"/>
        </w:rPr>
      </w:pPr>
      <w:r w:rsidRPr="00CF2B6C">
        <w:rPr>
          <w:rStyle w:val="Refdenotaalpie"/>
          <w:rFonts w:ascii="Arial" w:hAnsi="Arial" w:cs="Arial"/>
          <w:sz w:val="18"/>
          <w:szCs w:val="18"/>
        </w:rPr>
        <w:footnoteRef/>
      </w:r>
      <w:r w:rsidRPr="00CF2B6C">
        <w:rPr>
          <w:rFonts w:ascii="Arial" w:hAnsi="Arial" w:cs="Arial"/>
          <w:sz w:val="18"/>
          <w:szCs w:val="18"/>
        </w:rPr>
        <w:t xml:space="preserve"> Corte Suprema de Justicia- Sala Laboral, sentencia SL 1618-2022, radicado 87821 del 4 de mayo de 2022, M.P. Gerardo Botero Zuluaga.</w:t>
      </w:r>
    </w:p>
  </w:footnote>
  <w:footnote w:id="10">
    <w:p w14:paraId="1231E611" w14:textId="77777777" w:rsidR="005B7733" w:rsidRPr="00CF2B6C" w:rsidRDefault="005B7733" w:rsidP="00CF2B6C">
      <w:pPr>
        <w:pStyle w:val="Textonotapie"/>
        <w:ind w:firstLine="0"/>
        <w:rPr>
          <w:rFonts w:ascii="Arial" w:hAnsi="Arial" w:cs="Arial"/>
          <w:sz w:val="18"/>
          <w:szCs w:val="18"/>
        </w:rPr>
      </w:pPr>
      <w:r w:rsidRPr="00CF2B6C">
        <w:rPr>
          <w:rStyle w:val="Refdenotaalpie"/>
          <w:rFonts w:ascii="Arial" w:hAnsi="Arial" w:cs="Arial"/>
          <w:sz w:val="18"/>
          <w:szCs w:val="18"/>
        </w:rPr>
        <w:footnoteRef/>
      </w:r>
      <w:r w:rsidRPr="00CF2B6C">
        <w:rPr>
          <w:rFonts w:ascii="Arial" w:hAnsi="Arial" w:cs="Arial"/>
          <w:sz w:val="18"/>
          <w:szCs w:val="18"/>
        </w:rPr>
        <w:t xml:space="preserve"> Ibídem</w:t>
      </w:r>
    </w:p>
  </w:footnote>
  <w:footnote w:id="11">
    <w:p w14:paraId="0AD0E51A" w14:textId="08FC63F2" w:rsidR="00DF6BCE" w:rsidRPr="00CF2B6C" w:rsidRDefault="00DF6BCE" w:rsidP="00CF2B6C">
      <w:pPr>
        <w:pStyle w:val="Textonotapie"/>
        <w:ind w:firstLine="0"/>
        <w:rPr>
          <w:rFonts w:ascii="Arial" w:hAnsi="Arial" w:cs="Arial"/>
          <w:sz w:val="18"/>
          <w:szCs w:val="18"/>
        </w:rPr>
      </w:pPr>
      <w:r w:rsidRPr="00CF2B6C">
        <w:rPr>
          <w:rStyle w:val="Refdenotaalpie"/>
          <w:rFonts w:ascii="Arial" w:hAnsi="Arial" w:cs="Arial"/>
          <w:sz w:val="18"/>
          <w:szCs w:val="18"/>
        </w:rPr>
        <w:footnoteRef/>
      </w:r>
      <w:r w:rsidRPr="00CF2B6C">
        <w:rPr>
          <w:rFonts w:ascii="Arial" w:hAnsi="Arial" w:cs="Arial"/>
          <w:sz w:val="18"/>
          <w:szCs w:val="18"/>
        </w:rPr>
        <w:t xml:space="preserve"> Archivo </w:t>
      </w:r>
      <w:r w:rsidR="000D7C61" w:rsidRPr="00CF2B6C">
        <w:rPr>
          <w:rFonts w:ascii="Arial" w:hAnsi="Arial" w:cs="Arial"/>
          <w:sz w:val="18"/>
          <w:szCs w:val="18"/>
        </w:rPr>
        <w:t>05</w:t>
      </w:r>
      <w:r w:rsidRPr="00CF2B6C">
        <w:rPr>
          <w:rFonts w:ascii="Arial" w:hAnsi="Arial" w:cs="Arial"/>
          <w:sz w:val="18"/>
          <w:szCs w:val="18"/>
        </w:rPr>
        <w:t xml:space="preserve">, página </w:t>
      </w:r>
      <w:r w:rsidR="000D7C61" w:rsidRPr="00CF2B6C">
        <w:rPr>
          <w:rFonts w:ascii="Arial" w:hAnsi="Arial" w:cs="Arial"/>
          <w:sz w:val="18"/>
          <w:szCs w:val="18"/>
        </w:rPr>
        <w:t>33</w:t>
      </w:r>
      <w:r w:rsidRPr="00CF2B6C">
        <w:rPr>
          <w:rFonts w:ascii="Arial" w:hAnsi="Arial" w:cs="Arial"/>
          <w:sz w:val="18"/>
          <w:szCs w:val="18"/>
        </w:rPr>
        <w:t xml:space="preserve"> </w:t>
      </w:r>
      <w:r w:rsidR="00B00DBA" w:rsidRPr="00CF2B6C">
        <w:rPr>
          <w:rFonts w:ascii="Arial" w:hAnsi="Arial" w:cs="Arial"/>
          <w:sz w:val="18"/>
          <w:szCs w:val="18"/>
          <w:lang w:val="es-CO"/>
        </w:rPr>
        <w:t>del cuaderno de primera instancia.</w:t>
      </w:r>
    </w:p>
  </w:footnote>
  <w:footnote w:id="12">
    <w:p w14:paraId="0AF1DFE1" w14:textId="0704370E" w:rsidR="00DF6BCE" w:rsidRPr="00CF2B6C" w:rsidRDefault="00DF6BCE" w:rsidP="00CF2B6C">
      <w:pPr>
        <w:pStyle w:val="Textonotapie"/>
        <w:ind w:firstLine="0"/>
        <w:rPr>
          <w:rFonts w:ascii="Arial" w:hAnsi="Arial" w:cs="Arial"/>
          <w:sz w:val="18"/>
          <w:szCs w:val="18"/>
        </w:rPr>
      </w:pPr>
      <w:r w:rsidRPr="00CF2B6C">
        <w:rPr>
          <w:rStyle w:val="Refdenotaalpie"/>
          <w:rFonts w:ascii="Arial" w:hAnsi="Arial" w:cs="Arial"/>
          <w:sz w:val="18"/>
          <w:szCs w:val="18"/>
        </w:rPr>
        <w:footnoteRef/>
      </w:r>
      <w:r w:rsidRPr="00CF2B6C">
        <w:rPr>
          <w:rFonts w:ascii="Arial" w:hAnsi="Arial" w:cs="Arial"/>
          <w:sz w:val="18"/>
          <w:szCs w:val="18"/>
        </w:rPr>
        <w:t xml:space="preserve"> Archivo </w:t>
      </w:r>
      <w:r w:rsidR="006F4E09" w:rsidRPr="00CF2B6C">
        <w:rPr>
          <w:rFonts w:ascii="Arial" w:hAnsi="Arial" w:cs="Arial"/>
          <w:sz w:val="18"/>
          <w:szCs w:val="18"/>
        </w:rPr>
        <w:t>1</w:t>
      </w:r>
      <w:r w:rsidR="00DE42E9" w:rsidRPr="00CF2B6C">
        <w:rPr>
          <w:rFonts w:ascii="Arial" w:hAnsi="Arial" w:cs="Arial"/>
          <w:sz w:val="18"/>
          <w:szCs w:val="18"/>
        </w:rPr>
        <w:t>6</w:t>
      </w:r>
      <w:r w:rsidRPr="00CF2B6C">
        <w:rPr>
          <w:rFonts w:ascii="Arial" w:hAnsi="Arial" w:cs="Arial"/>
          <w:sz w:val="18"/>
          <w:szCs w:val="18"/>
        </w:rPr>
        <w:t xml:space="preserve">, página </w:t>
      </w:r>
      <w:r w:rsidR="006F4E09" w:rsidRPr="00CF2B6C">
        <w:rPr>
          <w:rFonts w:ascii="Arial" w:hAnsi="Arial" w:cs="Arial"/>
          <w:sz w:val="18"/>
          <w:szCs w:val="18"/>
        </w:rPr>
        <w:t>4</w:t>
      </w:r>
      <w:r w:rsidR="00DE42E9" w:rsidRPr="00CF2B6C">
        <w:rPr>
          <w:rFonts w:ascii="Arial" w:hAnsi="Arial" w:cs="Arial"/>
          <w:sz w:val="18"/>
          <w:szCs w:val="18"/>
        </w:rPr>
        <w:t>7</w:t>
      </w:r>
      <w:r w:rsidRPr="00CF2B6C">
        <w:rPr>
          <w:rFonts w:ascii="Arial" w:hAnsi="Arial" w:cs="Arial"/>
          <w:sz w:val="18"/>
          <w:szCs w:val="18"/>
        </w:rPr>
        <w:t xml:space="preserve"> del </w:t>
      </w:r>
      <w:r w:rsidR="00BA653D" w:rsidRPr="00CF2B6C">
        <w:rPr>
          <w:rFonts w:ascii="Arial" w:hAnsi="Arial" w:cs="Arial"/>
          <w:sz w:val="18"/>
          <w:szCs w:val="18"/>
        </w:rPr>
        <w:t>cuaderno de primera instancia.</w:t>
      </w:r>
    </w:p>
  </w:footnote>
  <w:footnote w:id="13">
    <w:p w14:paraId="6C3A4C0D" w14:textId="5D43C84A" w:rsidR="00A5787D" w:rsidRPr="00CF2B6C" w:rsidRDefault="00A5787D" w:rsidP="00CF2B6C">
      <w:pPr>
        <w:pStyle w:val="Textonotapie"/>
        <w:ind w:firstLine="0"/>
        <w:rPr>
          <w:rFonts w:ascii="Arial" w:hAnsi="Arial" w:cs="Arial"/>
          <w:sz w:val="18"/>
          <w:szCs w:val="18"/>
        </w:rPr>
      </w:pPr>
      <w:r w:rsidRPr="00CF2B6C">
        <w:rPr>
          <w:rStyle w:val="Refdenotaalpie"/>
          <w:rFonts w:ascii="Arial" w:hAnsi="Arial" w:cs="Arial"/>
          <w:sz w:val="18"/>
          <w:szCs w:val="18"/>
        </w:rPr>
        <w:footnoteRef/>
      </w:r>
      <w:r w:rsidRPr="00CF2B6C">
        <w:rPr>
          <w:rFonts w:ascii="Arial" w:hAnsi="Arial" w:cs="Arial"/>
          <w:sz w:val="18"/>
          <w:szCs w:val="18"/>
        </w:rPr>
        <w:t xml:space="preserve"> Archivo </w:t>
      </w:r>
      <w:r w:rsidR="005C71F5" w:rsidRPr="00CF2B6C">
        <w:rPr>
          <w:rFonts w:ascii="Arial" w:hAnsi="Arial" w:cs="Arial"/>
          <w:sz w:val="18"/>
          <w:szCs w:val="18"/>
        </w:rPr>
        <w:t>16</w:t>
      </w:r>
      <w:r w:rsidRPr="00CF2B6C">
        <w:rPr>
          <w:rFonts w:ascii="Arial" w:hAnsi="Arial" w:cs="Arial"/>
          <w:sz w:val="18"/>
          <w:szCs w:val="18"/>
        </w:rPr>
        <w:t>, páginas 73 a 76 del cuaderno de primera instancia.</w:t>
      </w:r>
    </w:p>
  </w:footnote>
  <w:footnote w:id="14">
    <w:p w14:paraId="1653BEE1" w14:textId="04F9DC1B" w:rsidR="0040599D" w:rsidRPr="00CF2B6C" w:rsidRDefault="0040599D" w:rsidP="00CF2B6C">
      <w:pPr>
        <w:pStyle w:val="Textonotapie"/>
        <w:ind w:firstLine="0"/>
        <w:rPr>
          <w:rFonts w:ascii="Arial" w:hAnsi="Arial" w:cs="Arial"/>
          <w:sz w:val="18"/>
          <w:szCs w:val="18"/>
        </w:rPr>
      </w:pPr>
      <w:r w:rsidRPr="00CF2B6C">
        <w:rPr>
          <w:rStyle w:val="Refdenotaalpie"/>
          <w:rFonts w:ascii="Arial" w:hAnsi="Arial" w:cs="Arial"/>
          <w:sz w:val="18"/>
          <w:szCs w:val="18"/>
        </w:rPr>
        <w:footnoteRef/>
      </w:r>
      <w:r w:rsidRPr="00CF2B6C">
        <w:rPr>
          <w:rFonts w:ascii="Arial" w:hAnsi="Arial" w:cs="Arial"/>
          <w:sz w:val="18"/>
          <w:szCs w:val="18"/>
        </w:rPr>
        <w:t xml:space="preserve"> </w:t>
      </w:r>
      <w:r w:rsidR="00903CF2" w:rsidRPr="00CF2B6C">
        <w:rPr>
          <w:rFonts w:ascii="Arial" w:hAnsi="Arial" w:cs="Arial"/>
          <w:sz w:val="18"/>
          <w:szCs w:val="18"/>
        </w:rPr>
        <w:t>Archivo</w:t>
      </w:r>
      <w:r w:rsidR="001217F7" w:rsidRPr="00CF2B6C">
        <w:rPr>
          <w:rFonts w:ascii="Arial" w:hAnsi="Arial" w:cs="Arial"/>
          <w:sz w:val="18"/>
          <w:szCs w:val="18"/>
        </w:rPr>
        <w:t xml:space="preserve"> 16</w:t>
      </w:r>
      <w:r w:rsidR="00903CF2" w:rsidRPr="00CF2B6C">
        <w:rPr>
          <w:rFonts w:ascii="Arial" w:hAnsi="Arial" w:cs="Arial"/>
          <w:sz w:val="18"/>
          <w:szCs w:val="18"/>
        </w:rPr>
        <w:t xml:space="preserve">, página </w:t>
      </w:r>
      <w:r w:rsidR="001217F7" w:rsidRPr="00CF2B6C">
        <w:rPr>
          <w:rFonts w:ascii="Arial" w:hAnsi="Arial" w:cs="Arial"/>
          <w:sz w:val="18"/>
          <w:szCs w:val="18"/>
        </w:rPr>
        <w:t>48</w:t>
      </w:r>
      <w:r w:rsidR="00903CF2" w:rsidRPr="00CF2B6C">
        <w:rPr>
          <w:rFonts w:ascii="Arial" w:hAnsi="Arial" w:cs="Arial"/>
          <w:sz w:val="18"/>
          <w:szCs w:val="18"/>
        </w:rPr>
        <w:t xml:space="preserve"> del cuaderno de primera instancia.</w:t>
      </w:r>
    </w:p>
  </w:footnote>
  <w:footnote w:id="15">
    <w:p w14:paraId="5386A4DB" w14:textId="7BA2032A" w:rsidR="00C35AB1" w:rsidRPr="00CF2B6C" w:rsidRDefault="00C35AB1" w:rsidP="00CF2B6C">
      <w:pPr>
        <w:pStyle w:val="Textonotapie"/>
        <w:ind w:firstLine="0"/>
        <w:rPr>
          <w:rFonts w:ascii="Arial" w:hAnsi="Arial" w:cs="Arial"/>
          <w:sz w:val="18"/>
          <w:szCs w:val="18"/>
        </w:rPr>
      </w:pPr>
      <w:r w:rsidRPr="00CF2B6C">
        <w:rPr>
          <w:rStyle w:val="Refdenotaalpie"/>
          <w:rFonts w:ascii="Arial" w:hAnsi="Arial" w:cs="Arial"/>
          <w:sz w:val="18"/>
          <w:szCs w:val="18"/>
        </w:rPr>
        <w:footnoteRef/>
      </w:r>
      <w:r w:rsidRPr="00CF2B6C">
        <w:rPr>
          <w:rFonts w:ascii="Arial" w:hAnsi="Arial" w:cs="Arial"/>
          <w:sz w:val="18"/>
          <w:szCs w:val="18"/>
        </w:rPr>
        <w:t xml:space="preserve"> Archivo</w:t>
      </w:r>
      <w:r w:rsidR="00157750" w:rsidRPr="00CF2B6C">
        <w:rPr>
          <w:rFonts w:ascii="Arial" w:hAnsi="Arial" w:cs="Arial"/>
          <w:sz w:val="18"/>
          <w:szCs w:val="18"/>
        </w:rPr>
        <w:t xml:space="preserve"> 05</w:t>
      </w:r>
      <w:r w:rsidRPr="00CF2B6C">
        <w:rPr>
          <w:rFonts w:ascii="Arial" w:hAnsi="Arial" w:cs="Arial"/>
          <w:sz w:val="18"/>
          <w:szCs w:val="18"/>
        </w:rPr>
        <w:t>, página 1 del cuaderno de primera ins</w:t>
      </w:r>
      <w:r w:rsidR="00903CF2" w:rsidRPr="00CF2B6C">
        <w:rPr>
          <w:rFonts w:ascii="Arial" w:hAnsi="Arial" w:cs="Arial"/>
          <w:sz w:val="18"/>
          <w:szCs w:val="18"/>
        </w:rPr>
        <w:t>ta</w:t>
      </w:r>
      <w:r w:rsidRPr="00CF2B6C">
        <w:rPr>
          <w:rFonts w:ascii="Arial" w:hAnsi="Arial" w:cs="Arial"/>
          <w:sz w:val="18"/>
          <w:szCs w:val="18"/>
        </w:rPr>
        <w:t>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2312D" w14:textId="2639E451" w:rsidR="00E377DA" w:rsidRPr="00A550DB" w:rsidRDefault="00E377DA" w:rsidP="00A550DB">
    <w:pPr>
      <w:tabs>
        <w:tab w:val="left" w:pos="0"/>
      </w:tabs>
      <w:spacing w:line="240" w:lineRule="auto"/>
      <w:ind w:firstLine="0"/>
      <w:contextualSpacing/>
      <w:rPr>
        <w:rFonts w:ascii="Arial" w:hAnsi="Arial" w:cs="Arial"/>
        <w:color w:val="000000"/>
        <w:sz w:val="18"/>
        <w:szCs w:val="18"/>
      </w:rPr>
    </w:pPr>
    <w:r w:rsidRPr="00A550DB">
      <w:rPr>
        <w:rFonts w:ascii="Arial" w:hAnsi="Arial" w:cs="Arial"/>
        <w:color w:val="000000"/>
        <w:sz w:val="18"/>
        <w:szCs w:val="18"/>
      </w:rPr>
      <w:t>Radicación No.:</w:t>
    </w:r>
    <w:r w:rsidR="00570802">
      <w:rPr>
        <w:rFonts w:ascii="Arial" w:hAnsi="Arial" w:cs="Arial"/>
        <w:color w:val="000000"/>
        <w:sz w:val="18"/>
        <w:szCs w:val="18"/>
      </w:rPr>
      <w:tab/>
    </w:r>
    <w:r w:rsidRPr="00A550DB">
      <w:rPr>
        <w:rFonts w:ascii="Arial" w:hAnsi="Arial" w:cs="Arial"/>
        <w:color w:val="000000"/>
        <w:sz w:val="18"/>
        <w:szCs w:val="18"/>
      </w:rPr>
      <w:t>66001-31-004-2021-00215-01</w:t>
    </w:r>
  </w:p>
  <w:p w14:paraId="24B6D424" w14:textId="02CC2E8C" w:rsidR="00E377DA" w:rsidRPr="00A550DB" w:rsidRDefault="00E377DA" w:rsidP="00A550DB">
    <w:pPr>
      <w:tabs>
        <w:tab w:val="left" w:pos="0"/>
      </w:tabs>
      <w:spacing w:line="240" w:lineRule="auto"/>
      <w:ind w:firstLine="0"/>
      <w:contextualSpacing/>
      <w:rPr>
        <w:rFonts w:ascii="Arial" w:hAnsi="Arial" w:cs="Arial"/>
        <w:color w:val="000000"/>
        <w:sz w:val="18"/>
        <w:szCs w:val="18"/>
      </w:rPr>
    </w:pPr>
    <w:r w:rsidRPr="00A550DB">
      <w:rPr>
        <w:rFonts w:ascii="Arial" w:hAnsi="Arial" w:cs="Arial"/>
        <w:color w:val="000000"/>
        <w:sz w:val="18"/>
        <w:szCs w:val="18"/>
      </w:rPr>
      <w:t>Demandante:</w:t>
    </w:r>
    <w:r w:rsidR="00570802">
      <w:rPr>
        <w:rFonts w:ascii="Arial" w:hAnsi="Arial" w:cs="Arial"/>
        <w:color w:val="000000"/>
        <w:sz w:val="18"/>
        <w:szCs w:val="18"/>
      </w:rPr>
      <w:tab/>
    </w:r>
    <w:r w:rsidRPr="00A550DB">
      <w:rPr>
        <w:rFonts w:ascii="Arial" w:hAnsi="Arial" w:cs="Arial"/>
        <w:color w:val="000000"/>
        <w:sz w:val="18"/>
        <w:szCs w:val="18"/>
      </w:rPr>
      <w:t>Edgar Moreno Hernández</w:t>
    </w:r>
  </w:p>
  <w:p w14:paraId="107C7623" w14:textId="37BAF111" w:rsidR="00650C9B" w:rsidRPr="00A550DB" w:rsidRDefault="00E377DA" w:rsidP="00A550DB">
    <w:pPr>
      <w:tabs>
        <w:tab w:val="left" w:pos="0"/>
      </w:tabs>
      <w:spacing w:line="240" w:lineRule="auto"/>
      <w:ind w:firstLine="0"/>
      <w:contextualSpacing/>
      <w:rPr>
        <w:rFonts w:ascii="Arial" w:hAnsi="Arial" w:cs="Arial"/>
        <w:color w:val="000000"/>
        <w:sz w:val="18"/>
        <w:szCs w:val="18"/>
      </w:rPr>
    </w:pPr>
    <w:r w:rsidRPr="00A550DB">
      <w:rPr>
        <w:rFonts w:ascii="Arial" w:hAnsi="Arial" w:cs="Arial"/>
        <w:color w:val="000000"/>
        <w:sz w:val="18"/>
        <w:szCs w:val="18"/>
      </w:rPr>
      <w:t>Demandado:</w:t>
    </w:r>
    <w:r w:rsidR="00570802">
      <w:rPr>
        <w:rFonts w:ascii="Arial" w:hAnsi="Arial" w:cs="Arial"/>
        <w:color w:val="000000"/>
        <w:sz w:val="18"/>
        <w:szCs w:val="18"/>
      </w:rPr>
      <w:tab/>
    </w:r>
    <w:r w:rsidRPr="00A550DB">
      <w:rPr>
        <w:rFonts w:ascii="Arial" w:hAnsi="Arial" w:cs="Arial"/>
        <w:color w:val="000000"/>
        <w:sz w:val="18"/>
        <w:szCs w:val="18"/>
      </w:rPr>
      <w:t>Colpensiones y otro</w:t>
    </w:r>
  </w:p>
  <w:p w14:paraId="3DB9B54B" w14:textId="77777777" w:rsidR="0040599D" w:rsidRDefault="0040599D" w:rsidP="00510D63">
    <w:pPr>
      <w:tabs>
        <w:tab w:val="left" w:pos="0"/>
      </w:tabs>
      <w:spacing w:line="240" w:lineRule="auto"/>
      <w:ind w:firstLine="0"/>
      <w:contextualSpacing/>
      <w:rPr>
        <w:rFonts w:ascii="Times New Roman" w:eastAsia="Times New Roman" w:hAnsi="Times New Roman" w:cs="Times New Roman"/>
        <w:sz w:val="18"/>
        <w:szCs w:val="18"/>
        <w:lang w:val="es-419"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53DB7"/>
    <w:multiLevelType w:val="multilevel"/>
    <w:tmpl w:val="99EA1D0C"/>
    <w:lvl w:ilvl="0">
      <w:start w:val="6"/>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 w15:restartNumberingAfterBreak="0">
    <w:nsid w:val="1FAE1570"/>
    <w:multiLevelType w:val="hybridMultilevel"/>
    <w:tmpl w:val="30E65894"/>
    <w:lvl w:ilvl="0" w:tplc="BED2221A">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12D47DE"/>
    <w:multiLevelType w:val="hybridMultilevel"/>
    <w:tmpl w:val="1304F476"/>
    <w:lvl w:ilvl="0" w:tplc="1C74D80C">
      <w:start w:val="1"/>
      <w:numFmt w:val="lowerRoman"/>
      <w:lvlText w:val="%1."/>
      <w:lvlJc w:val="right"/>
      <w:pPr>
        <w:ind w:left="720" w:hanging="360"/>
      </w:pPr>
      <w:rPr>
        <w:rFonts w:ascii="Tahoma" w:hAnsi="Tahoma" w:cs="Tahoma" w:hint="default"/>
      </w:rPr>
    </w:lvl>
    <w:lvl w:ilvl="1" w:tplc="D182F98E">
      <w:start w:val="1"/>
      <w:numFmt w:val="lowerLetter"/>
      <w:lvlText w:val="%2."/>
      <w:lvlJc w:val="left"/>
      <w:pPr>
        <w:ind w:left="1440" w:hanging="360"/>
      </w:pPr>
    </w:lvl>
    <w:lvl w:ilvl="2" w:tplc="64A238B0">
      <w:start w:val="1"/>
      <w:numFmt w:val="lowerRoman"/>
      <w:lvlText w:val="%3."/>
      <w:lvlJc w:val="right"/>
      <w:pPr>
        <w:ind w:left="2160" w:hanging="180"/>
      </w:pPr>
    </w:lvl>
    <w:lvl w:ilvl="3" w:tplc="3BB865F0">
      <w:start w:val="1"/>
      <w:numFmt w:val="decimal"/>
      <w:lvlText w:val="%4."/>
      <w:lvlJc w:val="left"/>
      <w:pPr>
        <w:ind w:left="2880" w:hanging="360"/>
      </w:pPr>
    </w:lvl>
    <w:lvl w:ilvl="4" w:tplc="351CF416">
      <w:start w:val="1"/>
      <w:numFmt w:val="lowerLetter"/>
      <w:lvlText w:val="%5."/>
      <w:lvlJc w:val="left"/>
      <w:pPr>
        <w:ind w:left="3600" w:hanging="360"/>
      </w:pPr>
    </w:lvl>
    <w:lvl w:ilvl="5" w:tplc="B1A0E43C">
      <w:start w:val="1"/>
      <w:numFmt w:val="lowerRoman"/>
      <w:lvlText w:val="%6."/>
      <w:lvlJc w:val="right"/>
      <w:pPr>
        <w:ind w:left="4320" w:hanging="180"/>
      </w:pPr>
    </w:lvl>
    <w:lvl w:ilvl="6" w:tplc="86143216">
      <w:start w:val="1"/>
      <w:numFmt w:val="decimal"/>
      <w:lvlText w:val="%7."/>
      <w:lvlJc w:val="left"/>
      <w:pPr>
        <w:ind w:left="5040" w:hanging="360"/>
      </w:pPr>
    </w:lvl>
    <w:lvl w:ilvl="7" w:tplc="CC187228">
      <w:start w:val="1"/>
      <w:numFmt w:val="lowerLetter"/>
      <w:lvlText w:val="%8."/>
      <w:lvlJc w:val="left"/>
      <w:pPr>
        <w:ind w:left="5760" w:hanging="360"/>
      </w:pPr>
    </w:lvl>
    <w:lvl w:ilvl="8" w:tplc="C64258FA">
      <w:start w:val="1"/>
      <w:numFmt w:val="lowerRoman"/>
      <w:lvlText w:val="%9."/>
      <w:lvlJc w:val="right"/>
      <w:pPr>
        <w:ind w:left="6480" w:hanging="180"/>
      </w:pPr>
    </w:lvl>
  </w:abstractNum>
  <w:abstractNum w:abstractNumId="3"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BA41A35"/>
    <w:multiLevelType w:val="hybridMultilevel"/>
    <w:tmpl w:val="F60851E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5AFA6DFA"/>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6" w15:restartNumberingAfterBreak="0">
    <w:nsid w:val="6C42761D"/>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7" w15:restartNumberingAfterBreak="0">
    <w:nsid w:val="75BC0F17"/>
    <w:multiLevelType w:val="hybridMultilevel"/>
    <w:tmpl w:val="196228FE"/>
    <w:lvl w:ilvl="0" w:tplc="F804367C">
      <w:start w:val="1"/>
      <w:numFmt w:val="decimal"/>
      <w:lvlText w:val="%1."/>
      <w:lvlJc w:val="left"/>
      <w:pPr>
        <w:ind w:left="720" w:hanging="360"/>
      </w:pPr>
      <w:rPr>
        <w:rFonts w:ascii="Tahoma" w:hAnsi="Tahoma" w:cs="Tahoma" w:hint="default"/>
      </w:rPr>
    </w:lvl>
    <w:lvl w:ilvl="1" w:tplc="251E561C">
      <w:start w:val="1"/>
      <w:numFmt w:val="lowerLetter"/>
      <w:lvlText w:val="%2."/>
      <w:lvlJc w:val="left"/>
      <w:pPr>
        <w:ind w:left="1353" w:hanging="360"/>
      </w:pPr>
    </w:lvl>
    <w:lvl w:ilvl="2" w:tplc="C76E3B6A">
      <w:start w:val="1"/>
      <w:numFmt w:val="lowerRoman"/>
      <w:lvlText w:val="%3."/>
      <w:lvlJc w:val="right"/>
      <w:pPr>
        <w:ind w:left="2160" w:hanging="180"/>
      </w:pPr>
    </w:lvl>
    <w:lvl w:ilvl="3" w:tplc="C7BE63B8">
      <w:start w:val="1"/>
      <w:numFmt w:val="decimal"/>
      <w:lvlText w:val="%4."/>
      <w:lvlJc w:val="left"/>
      <w:pPr>
        <w:ind w:left="2880" w:hanging="360"/>
      </w:pPr>
    </w:lvl>
    <w:lvl w:ilvl="4" w:tplc="0FE0582C">
      <w:start w:val="1"/>
      <w:numFmt w:val="lowerLetter"/>
      <w:lvlText w:val="%5."/>
      <w:lvlJc w:val="left"/>
      <w:pPr>
        <w:ind w:left="3600" w:hanging="360"/>
      </w:pPr>
    </w:lvl>
    <w:lvl w:ilvl="5" w:tplc="EF423DE4">
      <w:start w:val="1"/>
      <w:numFmt w:val="lowerRoman"/>
      <w:lvlText w:val="%6."/>
      <w:lvlJc w:val="right"/>
      <w:pPr>
        <w:ind w:left="4320" w:hanging="180"/>
      </w:pPr>
    </w:lvl>
    <w:lvl w:ilvl="6" w:tplc="C7440B08">
      <w:start w:val="1"/>
      <w:numFmt w:val="decimal"/>
      <w:lvlText w:val="%7."/>
      <w:lvlJc w:val="left"/>
      <w:pPr>
        <w:ind w:left="5040" w:hanging="360"/>
      </w:pPr>
    </w:lvl>
    <w:lvl w:ilvl="7" w:tplc="8048AE3A">
      <w:start w:val="1"/>
      <w:numFmt w:val="lowerLetter"/>
      <w:lvlText w:val="%8."/>
      <w:lvlJc w:val="left"/>
      <w:pPr>
        <w:ind w:left="5760" w:hanging="360"/>
      </w:pPr>
    </w:lvl>
    <w:lvl w:ilvl="8" w:tplc="76422FE0">
      <w:start w:val="1"/>
      <w:numFmt w:val="lowerRoman"/>
      <w:lvlText w:val="%9."/>
      <w:lvlJc w:val="right"/>
      <w:pPr>
        <w:ind w:left="6480" w:hanging="180"/>
      </w:pPr>
    </w:lvl>
  </w:abstractNum>
  <w:abstractNum w:abstractNumId="8" w15:restartNumberingAfterBreak="0">
    <w:nsid w:val="764B647B"/>
    <w:multiLevelType w:val="hybridMultilevel"/>
    <w:tmpl w:val="2D6284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848"/>
    <w:rsid w:val="00000227"/>
    <w:rsid w:val="0001710B"/>
    <w:rsid w:val="00032126"/>
    <w:rsid w:val="000331FD"/>
    <w:rsid w:val="00034673"/>
    <w:rsid w:val="0004097D"/>
    <w:rsid w:val="0004785C"/>
    <w:rsid w:val="000507B6"/>
    <w:rsid w:val="00051F97"/>
    <w:rsid w:val="000645D4"/>
    <w:rsid w:val="00070883"/>
    <w:rsid w:val="00073E27"/>
    <w:rsid w:val="0007717E"/>
    <w:rsid w:val="00081E34"/>
    <w:rsid w:val="00081F78"/>
    <w:rsid w:val="00092458"/>
    <w:rsid w:val="0009279F"/>
    <w:rsid w:val="000A0C58"/>
    <w:rsid w:val="000A1DF3"/>
    <w:rsid w:val="000A70BA"/>
    <w:rsid w:val="000A7489"/>
    <w:rsid w:val="000B1501"/>
    <w:rsid w:val="000B3930"/>
    <w:rsid w:val="000B5DBA"/>
    <w:rsid w:val="000B5F9F"/>
    <w:rsid w:val="000C5FE0"/>
    <w:rsid w:val="000D1243"/>
    <w:rsid w:val="000D60BA"/>
    <w:rsid w:val="000D7C61"/>
    <w:rsid w:val="000E0F6E"/>
    <w:rsid w:val="000E1D8A"/>
    <w:rsid w:val="000E2BDC"/>
    <w:rsid w:val="000E407B"/>
    <w:rsid w:val="000E4C41"/>
    <w:rsid w:val="000E4F34"/>
    <w:rsid w:val="000E6459"/>
    <w:rsid w:val="000F55BF"/>
    <w:rsid w:val="00100F91"/>
    <w:rsid w:val="001102E5"/>
    <w:rsid w:val="0012076B"/>
    <w:rsid w:val="001217F7"/>
    <w:rsid w:val="00127241"/>
    <w:rsid w:val="001300D4"/>
    <w:rsid w:val="00130244"/>
    <w:rsid w:val="00132E81"/>
    <w:rsid w:val="00133625"/>
    <w:rsid w:val="001374D9"/>
    <w:rsid w:val="00142E00"/>
    <w:rsid w:val="00143CD9"/>
    <w:rsid w:val="00144783"/>
    <w:rsid w:val="00144893"/>
    <w:rsid w:val="001466BC"/>
    <w:rsid w:val="001477E0"/>
    <w:rsid w:val="00151506"/>
    <w:rsid w:val="00157750"/>
    <w:rsid w:val="00161F77"/>
    <w:rsid w:val="00161F97"/>
    <w:rsid w:val="0016235B"/>
    <w:rsid w:val="0016609B"/>
    <w:rsid w:val="001701D0"/>
    <w:rsid w:val="00171926"/>
    <w:rsid w:val="00175C84"/>
    <w:rsid w:val="00183FB2"/>
    <w:rsid w:val="001846F2"/>
    <w:rsid w:val="00191CB5"/>
    <w:rsid w:val="00197066"/>
    <w:rsid w:val="001B272B"/>
    <w:rsid w:val="001B4D98"/>
    <w:rsid w:val="001B7EEE"/>
    <w:rsid w:val="001C013A"/>
    <w:rsid w:val="001D328D"/>
    <w:rsid w:val="001D48B0"/>
    <w:rsid w:val="001F3245"/>
    <w:rsid w:val="002001A7"/>
    <w:rsid w:val="00203CE4"/>
    <w:rsid w:val="0020420B"/>
    <w:rsid w:val="0020674E"/>
    <w:rsid w:val="00211049"/>
    <w:rsid w:val="00220AF4"/>
    <w:rsid w:val="0022457F"/>
    <w:rsid w:val="0023364E"/>
    <w:rsid w:val="00234B72"/>
    <w:rsid w:val="002372A5"/>
    <w:rsid w:val="00243E4E"/>
    <w:rsid w:val="00245563"/>
    <w:rsid w:val="00246B96"/>
    <w:rsid w:val="0024770B"/>
    <w:rsid w:val="00256E1A"/>
    <w:rsid w:val="00270931"/>
    <w:rsid w:val="0027225F"/>
    <w:rsid w:val="00274C26"/>
    <w:rsid w:val="00274D15"/>
    <w:rsid w:val="00281848"/>
    <w:rsid w:val="0029235B"/>
    <w:rsid w:val="00295F84"/>
    <w:rsid w:val="002A05AE"/>
    <w:rsid w:val="002A710C"/>
    <w:rsid w:val="002C188B"/>
    <w:rsid w:val="002C3206"/>
    <w:rsid w:val="002C36F5"/>
    <w:rsid w:val="002C6AA0"/>
    <w:rsid w:val="002D4640"/>
    <w:rsid w:val="002D4C61"/>
    <w:rsid w:val="002D7247"/>
    <w:rsid w:val="002E07F2"/>
    <w:rsid w:val="002E4FED"/>
    <w:rsid w:val="002F59E9"/>
    <w:rsid w:val="00305BFF"/>
    <w:rsid w:val="00311CE6"/>
    <w:rsid w:val="00316347"/>
    <w:rsid w:val="003203F3"/>
    <w:rsid w:val="00322A29"/>
    <w:rsid w:val="00325F7E"/>
    <w:rsid w:val="00327B34"/>
    <w:rsid w:val="0033550D"/>
    <w:rsid w:val="00336942"/>
    <w:rsid w:val="00340DBE"/>
    <w:rsid w:val="00341542"/>
    <w:rsid w:val="003478B4"/>
    <w:rsid w:val="0035588E"/>
    <w:rsid w:val="00356404"/>
    <w:rsid w:val="003637EB"/>
    <w:rsid w:val="003706D2"/>
    <w:rsid w:val="003926FE"/>
    <w:rsid w:val="003A2D19"/>
    <w:rsid w:val="003B23EA"/>
    <w:rsid w:val="003B6848"/>
    <w:rsid w:val="003C1968"/>
    <w:rsid w:val="003D3C04"/>
    <w:rsid w:val="003E0BE1"/>
    <w:rsid w:val="003E12D1"/>
    <w:rsid w:val="003E604A"/>
    <w:rsid w:val="003F72DF"/>
    <w:rsid w:val="004008C2"/>
    <w:rsid w:val="00400AAE"/>
    <w:rsid w:val="00400B5C"/>
    <w:rsid w:val="00400CB5"/>
    <w:rsid w:val="004038C0"/>
    <w:rsid w:val="0040599D"/>
    <w:rsid w:val="004070D4"/>
    <w:rsid w:val="004126ED"/>
    <w:rsid w:val="004137B9"/>
    <w:rsid w:val="00415842"/>
    <w:rsid w:val="00416DEC"/>
    <w:rsid w:val="00420ABB"/>
    <w:rsid w:val="0042586E"/>
    <w:rsid w:val="00427DB9"/>
    <w:rsid w:val="004303F5"/>
    <w:rsid w:val="004350E1"/>
    <w:rsid w:val="00455FC7"/>
    <w:rsid w:val="004568A3"/>
    <w:rsid w:val="00462F8E"/>
    <w:rsid w:val="00463544"/>
    <w:rsid w:val="004708F9"/>
    <w:rsid w:val="00473B12"/>
    <w:rsid w:val="00480F74"/>
    <w:rsid w:val="00482F8A"/>
    <w:rsid w:val="00482FD3"/>
    <w:rsid w:val="0048475E"/>
    <w:rsid w:val="00491ED6"/>
    <w:rsid w:val="004922E4"/>
    <w:rsid w:val="00493A3A"/>
    <w:rsid w:val="004A0AB4"/>
    <w:rsid w:val="004B05CC"/>
    <w:rsid w:val="004B58AC"/>
    <w:rsid w:val="004B6909"/>
    <w:rsid w:val="004B6EE9"/>
    <w:rsid w:val="004C426A"/>
    <w:rsid w:val="004C7899"/>
    <w:rsid w:val="004D2220"/>
    <w:rsid w:val="004D4784"/>
    <w:rsid w:val="004F0854"/>
    <w:rsid w:val="004F0F0E"/>
    <w:rsid w:val="004F1747"/>
    <w:rsid w:val="004F2ECB"/>
    <w:rsid w:val="004F3E96"/>
    <w:rsid w:val="004F4328"/>
    <w:rsid w:val="004F5AD3"/>
    <w:rsid w:val="004F643D"/>
    <w:rsid w:val="0050278F"/>
    <w:rsid w:val="00510D63"/>
    <w:rsid w:val="00520A60"/>
    <w:rsid w:val="005219F8"/>
    <w:rsid w:val="00522DCA"/>
    <w:rsid w:val="0052540F"/>
    <w:rsid w:val="005311FB"/>
    <w:rsid w:val="005314C7"/>
    <w:rsid w:val="00532671"/>
    <w:rsid w:val="005345C0"/>
    <w:rsid w:val="00536DE0"/>
    <w:rsid w:val="00537B37"/>
    <w:rsid w:val="00553D79"/>
    <w:rsid w:val="005652FE"/>
    <w:rsid w:val="00570802"/>
    <w:rsid w:val="00571C08"/>
    <w:rsid w:val="0057307A"/>
    <w:rsid w:val="00576F86"/>
    <w:rsid w:val="00581726"/>
    <w:rsid w:val="00581B7C"/>
    <w:rsid w:val="00585C8B"/>
    <w:rsid w:val="0059688C"/>
    <w:rsid w:val="005974D6"/>
    <w:rsid w:val="005A2C4E"/>
    <w:rsid w:val="005B4D39"/>
    <w:rsid w:val="005B6A0C"/>
    <w:rsid w:val="005B7733"/>
    <w:rsid w:val="005C1151"/>
    <w:rsid w:val="005C2D06"/>
    <w:rsid w:val="005C5D11"/>
    <w:rsid w:val="005C71F5"/>
    <w:rsid w:val="005D0D5A"/>
    <w:rsid w:val="005E55E7"/>
    <w:rsid w:val="005E7EBE"/>
    <w:rsid w:val="005F15A6"/>
    <w:rsid w:val="005F23C0"/>
    <w:rsid w:val="00601795"/>
    <w:rsid w:val="0060469D"/>
    <w:rsid w:val="006048C5"/>
    <w:rsid w:val="00612CB4"/>
    <w:rsid w:val="00613BC1"/>
    <w:rsid w:val="00617E08"/>
    <w:rsid w:val="00623AEF"/>
    <w:rsid w:val="0062667E"/>
    <w:rsid w:val="00627ED8"/>
    <w:rsid w:val="006313AE"/>
    <w:rsid w:val="006338F2"/>
    <w:rsid w:val="006412B3"/>
    <w:rsid w:val="00641BF1"/>
    <w:rsid w:val="0064476B"/>
    <w:rsid w:val="00646361"/>
    <w:rsid w:val="00647E83"/>
    <w:rsid w:val="00650C9B"/>
    <w:rsid w:val="00651F96"/>
    <w:rsid w:val="0065201C"/>
    <w:rsid w:val="00652323"/>
    <w:rsid w:val="0065444C"/>
    <w:rsid w:val="00660570"/>
    <w:rsid w:val="00665854"/>
    <w:rsid w:val="00666129"/>
    <w:rsid w:val="00671DD8"/>
    <w:rsid w:val="0067372B"/>
    <w:rsid w:val="006740DF"/>
    <w:rsid w:val="00676A11"/>
    <w:rsid w:val="006835BE"/>
    <w:rsid w:val="006878F8"/>
    <w:rsid w:val="00690A06"/>
    <w:rsid w:val="00692D40"/>
    <w:rsid w:val="0069601C"/>
    <w:rsid w:val="006A0079"/>
    <w:rsid w:val="006A0C84"/>
    <w:rsid w:val="006A2ECC"/>
    <w:rsid w:val="006B2CCE"/>
    <w:rsid w:val="006B70EF"/>
    <w:rsid w:val="006C00B2"/>
    <w:rsid w:val="006C1E3C"/>
    <w:rsid w:val="006C487F"/>
    <w:rsid w:val="006C4E21"/>
    <w:rsid w:val="006D433A"/>
    <w:rsid w:val="006E0C88"/>
    <w:rsid w:val="006E5977"/>
    <w:rsid w:val="006E65BD"/>
    <w:rsid w:val="006E668F"/>
    <w:rsid w:val="006F4E09"/>
    <w:rsid w:val="006F54F3"/>
    <w:rsid w:val="0070113C"/>
    <w:rsid w:val="00706B62"/>
    <w:rsid w:val="00711F08"/>
    <w:rsid w:val="00712632"/>
    <w:rsid w:val="00714F10"/>
    <w:rsid w:val="0071533C"/>
    <w:rsid w:val="00731A5E"/>
    <w:rsid w:val="007335FF"/>
    <w:rsid w:val="00733C37"/>
    <w:rsid w:val="00740928"/>
    <w:rsid w:val="00741A38"/>
    <w:rsid w:val="007425C2"/>
    <w:rsid w:val="00751FE4"/>
    <w:rsid w:val="00752050"/>
    <w:rsid w:val="007524CE"/>
    <w:rsid w:val="00754F0E"/>
    <w:rsid w:val="00757BAC"/>
    <w:rsid w:val="00761A18"/>
    <w:rsid w:val="00765144"/>
    <w:rsid w:val="00767B5D"/>
    <w:rsid w:val="007700F0"/>
    <w:rsid w:val="007745EE"/>
    <w:rsid w:val="00775466"/>
    <w:rsid w:val="007775BD"/>
    <w:rsid w:val="00782916"/>
    <w:rsid w:val="00787F83"/>
    <w:rsid w:val="00795378"/>
    <w:rsid w:val="007A63AC"/>
    <w:rsid w:val="007B482B"/>
    <w:rsid w:val="007C70D9"/>
    <w:rsid w:val="007C7A2B"/>
    <w:rsid w:val="007D50D1"/>
    <w:rsid w:val="007D7B3F"/>
    <w:rsid w:val="007E6666"/>
    <w:rsid w:val="007F183E"/>
    <w:rsid w:val="007F5C1B"/>
    <w:rsid w:val="007F729D"/>
    <w:rsid w:val="00805B61"/>
    <w:rsid w:val="008138D6"/>
    <w:rsid w:val="008143EF"/>
    <w:rsid w:val="00820314"/>
    <w:rsid w:val="0082038E"/>
    <w:rsid w:val="00823956"/>
    <w:rsid w:val="008264F3"/>
    <w:rsid w:val="00837814"/>
    <w:rsid w:val="00840219"/>
    <w:rsid w:val="00841EA8"/>
    <w:rsid w:val="008474B8"/>
    <w:rsid w:val="00850E9D"/>
    <w:rsid w:val="00852C1E"/>
    <w:rsid w:val="0086282F"/>
    <w:rsid w:val="0086387A"/>
    <w:rsid w:val="00870C82"/>
    <w:rsid w:val="00884609"/>
    <w:rsid w:val="0088572E"/>
    <w:rsid w:val="0089481D"/>
    <w:rsid w:val="008A1EC6"/>
    <w:rsid w:val="008A4F5B"/>
    <w:rsid w:val="008A7187"/>
    <w:rsid w:val="008B0CA0"/>
    <w:rsid w:val="008C3C1E"/>
    <w:rsid w:val="008C77A8"/>
    <w:rsid w:val="008C7FCA"/>
    <w:rsid w:val="008D0DE1"/>
    <w:rsid w:val="008D2AEC"/>
    <w:rsid w:val="008D7E8A"/>
    <w:rsid w:val="008E0C39"/>
    <w:rsid w:val="008E24DB"/>
    <w:rsid w:val="008E6732"/>
    <w:rsid w:val="008F08E8"/>
    <w:rsid w:val="00901D3D"/>
    <w:rsid w:val="00903CF2"/>
    <w:rsid w:val="00905218"/>
    <w:rsid w:val="00911938"/>
    <w:rsid w:val="009141B9"/>
    <w:rsid w:val="00924F14"/>
    <w:rsid w:val="009279BF"/>
    <w:rsid w:val="0093218F"/>
    <w:rsid w:val="00936BC2"/>
    <w:rsid w:val="00952F16"/>
    <w:rsid w:val="009621F2"/>
    <w:rsid w:val="0096257A"/>
    <w:rsid w:val="009641DC"/>
    <w:rsid w:val="00964AFF"/>
    <w:rsid w:val="009676C7"/>
    <w:rsid w:val="00986C7A"/>
    <w:rsid w:val="00995B6C"/>
    <w:rsid w:val="00996B76"/>
    <w:rsid w:val="009B2F77"/>
    <w:rsid w:val="009B3CE5"/>
    <w:rsid w:val="009C3DFC"/>
    <w:rsid w:val="009D1693"/>
    <w:rsid w:val="009D32B6"/>
    <w:rsid w:val="009D38FF"/>
    <w:rsid w:val="009E4E4B"/>
    <w:rsid w:val="009E5780"/>
    <w:rsid w:val="009F319E"/>
    <w:rsid w:val="00A01AF7"/>
    <w:rsid w:val="00A03007"/>
    <w:rsid w:val="00A0409F"/>
    <w:rsid w:val="00A05225"/>
    <w:rsid w:val="00A15BA6"/>
    <w:rsid w:val="00A2077C"/>
    <w:rsid w:val="00A223F1"/>
    <w:rsid w:val="00A27D8A"/>
    <w:rsid w:val="00A3299A"/>
    <w:rsid w:val="00A36906"/>
    <w:rsid w:val="00A37A9E"/>
    <w:rsid w:val="00A40324"/>
    <w:rsid w:val="00A40704"/>
    <w:rsid w:val="00A46D9F"/>
    <w:rsid w:val="00A502E1"/>
    <w:rsid w:val="00A550DB"/>
    <w:rsid w:val="00A5787D"/>
    <w:rsid w:val="00A70802"/>
    <w:rsid w:val="00A82E64"/>
    <w:rsid w:val="00A84DED"/>
    <w:rsid w:val="00A86B1C"/>
    <w:rsid w:val="00A871A4"/>
    <w:rsid w:val="00A91753"/>
    <w:rsid w:val="00A927EA"/>
    <w:rsid w:val="00AA2320"/>
    <w:rsid w:val="00AA2997"/>
    <w:rsid w:val="00AB61FD"/>
    <w:rsid w:val="00AB721F"/>
    <w:rsid w:val="00AB753C"/>
    <w:rsid w:val="00AB7DA5"/>
    <w:rsid w:val="00AC22DC"/>
    <w:rsid w:val="00AD0B5E"/>
    <w:rsid w:val="00AD1ACE"/>
    <w:rsid w:val="00AD3B13"/>
    <w:rsid w:val="00AD520E"/>
    <w:rsid w:val="00AE476D"/>
    <w:rsid w:val="00AF0B1B"/>
    <w:rsid w:val="00AF2651"/>
    <w:rsid w:val="00B00DBA"/>
    <w:rsid w:val="00B04EB3"/>
    <w:rsid w:val="00B059D5"/>
    <w:rsid w:val="00B061E0"/>
    <w:rsid w:val="00B113DC"/>
    <w:rsid w:val="00B121C3"/>
    <w:rsid w:val="00B12827"/>
    <w:rsid w:val="00B13502"/>
    <w:rsid w:val="00B2391B"/>
    <w:rsid w:val="00B24AB7"/>
    <w:rsid w:val="00B24FB1"/>
    <w:rsid w:val="00B42599"/>
    <w:rsid w:val="00B519CA"/>
    <w:rsid w:val="00B52510"/>
    <w:rsid w:val="00B534BA"/>
    <w:rsid w:val="00B54FE4"/>
    <w:rsid w:val="00B61F3A"/>
    <w:rsid w:val="00B6622F"/>
    <w:rsid w:val="00B72568"/>
    <w:rsid w:val="00B72AA5"/>
    <w:rsid w:val="00B73C88"/>
    <w:rsid w:val="00B752B7"/>
    <w:rsid w:val="00B7718D"/>
    <w:rsid w:val="00B827C3"/>
    <w:rsid w:val="00B85159"/>
    <w:rsid w:val="00B90029"/>
    <w:rsid w:val="00B91B8D"/>
    <w:rsid w:val="00B9209C"/>
    <w:rsid w:val="00B92B87"/>
    <w:rsid w:val="00B93249"/>
    <w:rsid w:val="00B9591B"/>
    <w:rsid w:val="00BA0131"/>
    <w:rsid w:val="00BA0364"/>
    <w:rsid w:val="00BA2E95"/>
    <w:rsid w:val="00BA653D"/>
    <w:rsid w:val="00BB0D41"/>
    <w:rsid w:val="00BD0C1D"/>
    <w:rsid w:val="00BD14AE"/>
    <w:rsid w:val="00BD4CD3"/>
    <w:rsid w:val="00BE09FC"/>
    <w:rsid w:val="00BE28BC"/>
    <w:rsid w:val="00BE3906"/>
    <w:rsid w:val="00BE40C6"/>
    <w:rsid w:val="00BE461D"/>
    <w:rsid w:val="00BF59ED"/>
    <w:rsid w:val="00C06396"/>
    <w:rsid w:val="00C10434"/>
    <w:rsid w:val="00C113E7"/>
    <w:rsid w:val="00C35AB1"/>
    <w:rsid w:val="00C41934"/>
    <w:rsid w:val="00C517F7"/>
    <w:rsid w:val="00C632F7"/>
    <w:rsid w:val="00C6543D"/>
    <w:rsid w:val="00C7152D"/>
    <w:rsid w:val="00C72652"/>
    <w:rsid w:val="00C73CC7"/>
    <w:rsid w:val="00C8314E"/>
    <w:rsid w:val="00C85BE8"/>
    <w:rsid w:val="00C8724B"/>
    <w:rsid w:val="00C9028B"/>
    <w:rsid w:val="00CA349D"/>
    <w:rsid w:val="00CA5B04"/>
    <w:rsid w:val="00CB0FE3"/>
    <w:rsid w:val="00CB40C7"/>
    <w:rsid w:val="00CB46B2"/>
    <w:rsid w:val="00CB6E57"/>
    <w:rsid w:val="00CC3B17"/>
    <w:rsid w:val="00CC5E74"/>
    <w:rsid w:val="00CC6CAB"/>
    <w:rsid w:val="00CC7065"/>
    <w:rsid w:val="00CD055E"/>
    <w:rsid w:val="00CF2B6C"/>
    <w:rsid w:val="00CF7F7D"/>
    <w:rsid w:val="00D02D0C"/>
    <w:rsid w:val="00D0472B"/>
    <w:rsid w:val="00D17BC8"/>
    <w:rsid w:val="00D21B62"/>
    <w:rsid w:val="00D26C4D"/>
    <w:rsid w:val="00D272E5"/>
    <w:rsid w:val="00D31E1D"/>
    <w:rsid w:val="00D35BAA"/>
    <w:rsid w:val="00D47EFA"/>
    <w:rsid w:val="00D52474"/>
    <w:rsid w:val="00D57627"/>
    <w:rsid w:val="00D60566"/>
    <w:rsid w:val="00D6592E"/>
    <w:rsid w:val="00D659BA"/>
    <w:rsid w:val="00D71180"/>
    <w:rsid w:val="00D8698F"/>
    <w:rsid w:val="00D95F55"/>
    <w:rsid w:val="00DA78EF"/>
    <w:rsid w:val="00DB13A5"/>
    <w:rsid w:val="00DB6467"/>
    <w:rsid w:val="00DC1DC8"/>
    <w:rsid w:val="00DC1F37"/>
    <w:rsid w:val="00DC4FE9"/>
    <w:rsid w:val="00DD2CB2"/>
    <w:rsid w:val="00DE42E9"/>
    <w:rsid w:val="00DE45BF"/>
    <w:rsid w:val="00DE7704"/>
    <w:rsid w:val="00DF3345"/>
    <w:rsid w:val="00DF57A6"/>
    <w:rsid w:val="00DF6108"/>
    <w:rsid w:val="00DF6BCE"/>
    <w:rsid w:val="00E021A1"/>
    <w:rsid w:val="00E108AB"/>
    <w:rsid w:val="00E164F4"/>
    <w:rsid w:val="00E31CB4"/>
    <w:rsid w:val="00E343FC"/>
    <w:rsid w:val="00E377DA"/>
    <w:rsid w:val="00E45B03"/>
    <w:rsid w:val="00E47799"/>
    <w:rsid w:val="00E51830"/>
    <w:rsid w:val="00E53962"/>
    <w:rsid w:val="00E60464"/>
    <w:rsid w:val="00E60AFE"/>
    <w:rsid w:val="00E667D1"/>
    <w:rsid w:val="00E72E01"/>
    <w:rsid w:val="00E82B84"/>
    <w:rsid w:val="00E83024"/>
    <w:rsid w:val="00E9097B"/>
    <w:rsid w:val="00E90F0C"/>
    <w:rsid w:val="00EA5201"/>
    <w:rsid w:val="00EA58B3"/>
    <w:rsid w:val="00EB7DC9"/>
    <w:rsid w:val="00EC071E"/>
    <w:rsid w:val="00EC367B"/>
    <w:rsid w:val="00ED48D8"/>
    <w:rsid w:val="00ED5727"/>
    <w:rsid w:val="00ED7027"/>
    <w:rsid w:val="00EE0537"/>
    <w:rsid w:val="00EE54A1"/>
    <w:rsid w:val="00EF2220"/>
    <w:rsid w:val="00EF3761"/>
    <w:rsid w:val="00F021C2"/>
    <w:rsid w:val="00F0407F"/>
    <w:rsid w:val="00F10573"/>
    <w:rsid w:val="00F1104B"/>
    <w:rsid w:val="00F1146E"/>
    <w:rsid w:val="00F1245B"/>
    <w:rsid w:val="00F2537D"/>
    <w:rsid w:val="00F25E12"/>
    <w:rsid w:val="00F26E9C"/>
    <w:rsid w:val="00F2779D"/>
    <w:rsid w:val="00F34848"/>
    <w:rsid w:val="00F52E13"/>
    <w:rsid w:val="00F55B70"/>
    <w:rsid w:val="00F60E07"/>
    <w:rsid w:val="00F61FC4"/>
    <w:rsid w:val="00F65740"/>
    <w:rsid w:val="00F65786"/>
    <w:rsid w:val="00F666F7"/>
    <w:rsid w:val="00F67899"/>
    <w:rsid w:val="00F77226"/>
    <w:rsid w:val="00F84965"/>
    <w:rsid w:val="00F84C72"/>
    <w:rsid w:val="00F85F49"/>
    <w:rsid w:val="00F900EC"/>
    <w:rsid w:val="00F90380"/>
    <w:rsid w:val="00F91236"/>
    <w:rsid w:val="00F91341"/>
    <w:rsid w:val="00F93069"/>
    <w:rsid w:val="00FA2E40"/>
    <w:rsid w:val="00FA43ED"/>
    <w:rsid w:val="00FA5E08"/>
    <w:rsid w:val="00FC23E2"/>
    <w:rsid w:val="00FD0B7D"/>
    <w:rsid w:val="00FD1412"/>
    <w:rsid w:val="00FD2A60"/>
    <w:rsid w:val="00FD5936"/>
    <w:rsid w:val="00FD5B61"/>
    <w:rsid w:val="00FE1BD0"/>
    <w:rsid w:val="00FE256F"/>
    <w:rsid w:val="00FE42EF"/>
    <w:rsid w:val="00FF05CF"/>
    <w:rsid w:val="00FF4450"/>
    <w:rsid w:val="16C2D4C1"/>
    <w:rsid w:val="1A4E9424"/>
    <w:rsid w:val="1F859E81"/>
    <w:rsid w:val="350BC4F3"/>
    <w:rsid w:val="35BAC329"/>
    <w:rsid w:val="52D30946"/>
    <w:rsid w:val="54BA298A"/>
    <w:rsid w:val="7C67D8DC"/>
    <w:rsid w:val="7E62F0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B738B"/>
  <w15:chartTrackingRefBased/>
  <w15:docId w15:val="{9A3EFDB4-D893-AE48-9713-AB41B219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pPr>
        <w:spacing w:before="100" w:beforeAutospacing="1" w:after="100" w:afterAutospacing="1" w:line="360" w:lineRule="auto"/>
        <w:ind w:firstLine="85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next w:val="Normal"/>
    <w:link w:val="Ttulo4Car"/>
    <w:unhideWhenUsed/>
    <w:qFormat/>
    <w:rsid w:val="003B6848"/>
    <w:pPr>
      <w:keepNext/>
      <w:tabs>
        <w:tab w:val="left" w:pos="0"/>
      </w:tabs>
      <w:overflowPunct w:val="0"/>
      <w:autoSpaceDE w:val="0"/>
      <w:autoSpaceDN w:val="0"/>
      <w:adjustRightInd w:val="0"/>
      <w:spacing w:before="0" w:beforeAutospacing="0" w:after="0" w:afterAutospacing="0" w:line="240" w:lineRule="auto"/>
      <w:ind w:firstLine="0"/>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3B6848"/>
    <w:pPr>
      <w:spacing w:line="240" w:lineRule="auto"/>
      <w:ind w:firstLine="0"/>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3B6848"/>
  </w:style>
  <w:style w:type="character" w:customStyle="1" w:styleId="eop">
    <w:name w:val="eop"/>
    <w:basedOn w:val="Fuentedeprrafopredeter"/>
    <w:rsid w:val="003B6848"/>
  </w:style>
  <w:style w:type="character" w:customStyle="1" w:styleId="Ttulo4Car">
    <w:name w:val="Título 4 Car"/>
    <w:basedOn w:val="Fuentedeprrafopredeter"/>
    <w:link w:val="Ttulo4"/>
    <w:rsid w:val="003B6848"/>
    <w:rPr>
      <w:rFonts w:ascii="Times New Roman" w:eastAsia="Times New Roman" w:hAnsi="Times New Roman" w:cs="Times New Roman"/>
      <w:b/>
      <w:szCs w:val="20"/>
      <w:lang w:val="es-ES" w:eastAsia="es-ES"/>
    </w:rPr>
  </w:style>
  <w:style w:type="character" w:customStyle="1" w:styleId="fontstyle21">
    <w:name w:val="fontstyle21"/>
    <w:basedOn w:val="Fuentedeprrafopredeter"/>
    <w:rsid w:val="003B6848"/>
    <w:rPr>
      <w:rFonts w:ascii="Tahoma" w:hAnsi="Tahoma" w:cs="Tahoma" w:hint="default"/>
      <w:b w:val="0"/>
      <w:bCs w:val="0"/>
      <w:i w:val="0"/>
      <w:iCs w:val="0"/>
      <w:color w:val="000000"/>
      <w:sz w:val="24"/>
      <w:szCs w:val="24"/>
    </w:rPr>
  </w:style>
  <w:style w:type="paragraph" w:styleId="Prrafodelista">
    <w:name w:val="List Paragraph"/>
    <w:basedOn w:val="Normal"/>
    <w:qFormat/>
    <w:rsid w:val="00415842"/>
    <w:pPr>
      <w:spacing w:before="0" w:beforeAutospacing="0" w:after="0" w:afterAutospacing="0"/>
      <w:ind w:left="720" w:firstLine="0"/>
      <w:contextualSpacing/>
    </w:pPr>
    <w:rPr>
      <w:rFonts w:ascii="Tahoma" w:hAnsi="Tahoma"/>
      <w:szCs w:val="22"/>
    </w:rPr>
  </w:style>
  <w:style w:type="paragraph" w:styleId="Encabezado">
    <w:name w:val="header"/>
    <w:basedOn w:val="Normal"/>
    <w:link w:val="EncabezadoCar"/>
    <w:uiPriority w:val="99"/>
    <w:unhideWhenUsed/>
    <w:rsid w:val="00995B6C"/>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995B6C"/>
  </w:style>
  <w:style w:type="paragraph" w:styleId="Piedepgina">
    <w:name w:val="footer"/>
    <w:basedOn w:val="Normal"/>
    <w:link w:val="PiedepginaCar"/>
    <w:uiPriority w:val="99"/>
    <w:unhideWhenUsed/>
    <w:rsid w:val="00995B6C"/>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995B6C"/>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qFormat/>
    <w:rsid w:val="006E0C88"/>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qFormat/>
    <w:rsid w:val="006E0C88"/>
    <w:pPr>
      <w:spacing w:before="0" w:beforeAutospacing="0" w:after="0" w:afterAutospacing="0" w:line="240" w:lineRule="auto"/>
      <w:ind w:firstLine="709"/>
    </w:pPr>
    <w:rPr>
      <w:sz w:val="20"/>
      <w:szCs w:val="20"/>
      <w:lang w:val="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6E0C88"/>
    <w:rPr>
      <w:sz w:val="20"/>
      <w:szCs w:val="20"/>
      <w:lang w:val="es-ES"/>
    </w:rPr>
  </w:style>
  <w:style w:type="paragraph" w:styleId="NormalWeb">
    <w:name w:val="Normal (Web)"/>
    <w:basedOn w:val="Normal"/>
    <w:uiPriority w:val="99"/>
    <w:unhideWhenUsed/>
    <w:rsid w:val="00F60E07"/>
    <w:pPr>
      <w:spacing w:line="240" w:lineRule="auto"/>
      <w:ind w:firstLine="0"/>
      <w:jc w:val="left"/>
    </w:pPr>
    <w:rPr>
      <w:rFonts w:ascii="Times New Roman" w:eastAsia="Times New Roman" w:hAnsi="Times New Roman" w:cs="Times New Roman"/>
      <w:lang w:val="es-ES" w:eastAsia="es-ES"/>
    </w:rPr>
  </w:style>
  <w:style w:type="character" w:styleId="Nmerodepgina">
    <w:name w:val="page number"/>
    <w:basedOn w:val="Fuentedeprrafopredeter"/>
    <w:uiPriority w:val="99"/>
    <w:semiHidden/>
    <w:unhideWhenUsed/>
    <w:rsid w:val="00BA2E95"/>
  </w:style>
  <w:style w:type="table" w:customStyle="1" w:styleId="Tablaconcuadrcula1">
    <w:name w:val="Tabla con cuadrícula1"/>
    <w:basedOn w:val="Tablanormal"/>
    <w:next w:val="Tablaconcuadrcula"/>
    <w:rsid w:val="008C3C1E"/>
    <w:pPr>
      <w:spacing w:before="0" w:beforeAutospacing="0" w:after="0" w:afterAutospacing="0" w:line="240" w:lineRule="auto"/>
      <w:ind w:firstLine="0"/>
      <w:jc w:val="left"/>
    </w:pPr>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8C3C1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C3C1E"/>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3C1E"/>
    <w:rPr>
      <w:rFonts w:ascii="Segoe UI" w:hAnsi="Segoe UI" w:cs="Segoe UI"/>
      <w:sz w:val="18"/>
      <w:szCs w:val="18"/>
    </w:rPr>
  </w:style>
  <w:style w:type="character" w:styleId="Refdecomentario">
    <w:name w:val="annotation reference"/>
    <w:basedOn w:val="Fuentedeprrafopredeter"/>
    <w:uiPriority w:val="99"/>
    <w:semiHidden/>
    <w:unhideWhenUsed/>
    <w:rsid w:val="004F4328"/>
    <w:rPr>
      <w:sz w:val="16"/>
      <w:szCs w:val="16"/>
    </w:rPr>
  </w:style>
  <w:style w:type="paragraph" w:styleId="Textocomentario">
    <w:name w:val="annotation text"/>
    <w:basedOn w:val="Normal"/>
    <w:link w:val="TextocomentarioCar"/>
    <w:uiPriority w:val="99"/>
    <w:semiHidden/>
    <w:unhideWhenUsed/>
    <w:rsid w:val="004F43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F4328"/>
    <w:rPr>
      <w:sz w:val="20"/>
      <w:szCs w:val="20"/>
    </w:rPr>
  </w:style>
  <w:style w:type="paragraph" w:styleId="Asuntodelcomentario">
    <w:name w:val="annotation subject"/>
    <w:basedOn w:val="Textocomentario"/>
    <w:next w:val="Textocomentario"/>
    <w:link w:val="AsuntodelcomentarioCar"/>
    <w:uiPriority w:val="99"/>
    <w:semiHidden/>
    <w:unhideWhenUsed/>
    <w:rsid w:val="004F4328"/>
    <w:rPr>
      <w:b/>
      <w:bCs/>
    </w:rPr>
  </w:style>
  <w:style w:type="character" w:customStyle="1" w:styleId="AsuntodelcomentarioCar">
    <w:name w:val="Asunto del comentario Car"/>
    <w:basedOn w:val="TextocomentarioCar"/>
    <w:link w:val="Asuntodelcomentario"/>
    <w:uiPriority w:val="99"/>
    <w:semiHidden/>
    <w:rsid w:val="004F4328"/>
    <w:rPr>
      <w:b/>
      <w:bCs/>
      <w:sz w:val="20"/>
      <w:szCs w:val="20"/>
    </w:rPr>
  </w:style>
  <w:style w:type="character" w:styleId="Hipervnculo">
    <w:name w:val="Hyperlink"/>
    <w:basedOn w:val="Fuentedeprrafopredeter"/>
    <w:uiPriority w:val="99"/>
    <w:unhideWhenUsed/>
    <w:rsid w:val="006048C5"/>
    <w:rPr>
      <w:color w:val="0563C1" w:themeColor="hyperlink"/>
      <w:u w:val="single"/>
    </w:rPr>
  </w:style>
  <w:style w:type="character" w:styleId="Mencinsinresolver">
    <w:name w:val="Unresolved Mention"/>
    <w:basedOn w:val="Fuentedeprrafopredeter"/>
    <w:uiPriority w:val="99"/>
    <w:semiHidden/>
    <w:unhideWhenUsed/>
    <w:rsid w:val="00604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9010">
      <w:bodyDiv w:val="1"/>
      <w:marLeft w:val="0"/>
      <w:marRight w:val="0"/>
      <w:marTop w:val="0"/>
      <w:marBottom w:val="0"/>
      <w:divBdr>
        <w:top w:val="none" w:sz="0" w:space="0" w:color="auto"/>
        <w:left w:val="none" w:sz="0" w:space="0" w:color="auto"/>
        <w:bottom w:val="none" w:sz="0" w:space="0" w:color="auto"/>
        <w:right w:val="none" w:sz="0" w:space="0" w:color="auto"/>
      </w:divBdr>
    </w:div>
    <w:div w:id="299042370">
      <w:bodyDiv w:val="1"/>
      <w:marLeft w:val="0"/>
      <w:marRight w:val="0"/>
      <w:marTop w:val="0"/>
      <w:marBottom w:val="0"/>
      <w:divBdr>
        <w:top w:val="none" w:sz="0" w:space="0" w:color="auto"/>
        <w:left w:val="none" w:sz="0" w:space="0" w:color="auto"/>
        <w:bottom w:val="none" w:sz="0" w:space="0" w:color="auto"/>
        <w:right w:val="none" w:sz="0" w:space="0" w:color="auto"/>
      </w:divBdr>
    </w:div>
    <w:div w:id="385880374">
      <w:bodyDiv w:val="1"/>
      <w:marLeft w:val="0"/>
      <w:marRight w:val="0"/>
      <w:marTop w:val="0"/>
      <w:marBottom w:val="0"/>
      <w:divBdr>
        <w:top w:val="none" w:sz="0" w:space="0" w:color="auto"/>
        <w:left w:val="none" w:sz="0" w:space="0" w:color="auto"/>
        <w:bottom w:val="none" w:sz="0" w:space="0" w:color="auto"/>
        <w:right w:val="none" w:sz="0" w:space="0" w:color="auto"/>
      </w:divBdr>
    </w:div>
    <w:div w:id="407310840">
      <w:bodyDiv w:val="1"/>
      <w:marLeft w:val="0"/>
      <w:marRight w:val="0"/>
      <w:marTop w:val="0"/>
      <w:marBottom w:val="0"/>
      <w:divBdr>
        <w:top w:val="none" w:sz="0" w:space="0" w:color="auto"/>
        <w:left w:val="none" w:sz="0" w:space="0" w:color="auto"/>
        <w:bottom w:val="none" w:sz="0" w:space="0" w:color="auto"/>
        <w:right w:val="none" w:sz="0" w:space="0" w:color="auto"/>
      </w:divBdr>
    </w:div>
    <w:div w:id="505369221">
      <w:bodyDiv w:val="1"/>
      <w:marLeft w:val="0"/>
      <w:marRight w:val="0"/>
      <w:marTop w:val="0"/>
      <w:marBottom w:val="0"/>
      <w:divBdr>
        <w:top w:val="none" w:sz="0" w:space="0" w:color="auto"/>
        <w:left w:val="none" w:sz="0" w:space="0" w:color="auto"/>
        <w:bottom w:val="none" w:sz="0" w:space="0" w:color="auto"/>
        <w:right w:val="none" w:sz="0" w:space="0" w:color="auto"/>
      </w:divBdr>
    </w:div>
    <w:div w:id="509373990">
      <w:bodyDiv w:val="1"/>
      <w:marLeft w:val="0"/>
      <w:marRight w:val="0"/>
      <w:marTop w:val="0"/>
      <w:marBottom w:val="0"/>
      <w:divBdr>
        <w:top w:val="none" w:sz="0" w:space="0" w:color="auto"/>
        <w:left w:val="none" w:sz="0" w:space="0" w:color="auto"/>
        <w:bottom w:val="none" w:sz="0" w:space="0" w:color="auto"/>
        <w:right w:val="none" w:sz="0" w:space="0" w:color="auto"/>
      </w:divBdr>
    </w:div>
    <w:div w:id="773131486">
      <w:bodyDiv w:val="1"/>
      <w:marLeft w:val="0"/>
      <w:marRight w:val="0"/>
      <w:marTop w:val="0"/>
      <w:marBottom w:val="0"/>
      <w:divBdr>
        <w:top w:val="none" w:sz="0" w:space="0" w:color="auto"/>
        <w:left w:val="none" w:sz="0" w:space="0" w:color="auto"/>
        <w:bottom w:val="none" w:sz="0" w:space="0" w:color="auto"/>
        <w:right w:val="none" w:sz="0" w:space="0" w:color="auto"/>
      </w:divBdr>
    </w:div>
    <w:div w:id="774057039">
      <w:bodyDiv w:val="1"/>
      <w:marLeft w:val="0"/>
      <w:marRight w:val="0"/>
      <w:marTop w:val="0"/>
      <w:marBottom w:val="0"/>
      <w:divBdr>
        <w:top w:val="none" w:sz="0" w:space="0" w:color="auto"/>
        <w:left w:val="none" w:sz="0" w:space="0" w:color="auto"/>
        <w:bottom w:val="none" w:sz="0" w:space="0" w:color="auto"/>
        <w:right w:val="none" w:sz="0" w:space="0" w:color="auto"/>
      </w:divBdr>
    </w:div>
    <w:div w:id="791484227">
      <w:bodyDiv w:val="1"/>
      <w:marLeft w:val="0"/>
      <w:marRight w:val="0"/>
      <w:marTop w:val="0"/>
      <w:marBottom w:val="0"/>
      <w:divBdr>
        <w:top w:val="none" w:sz="0" w:space="0" w:color="auto"/>
        <w:left w:val="none" w:sz="0" w:space="0" w:color="auto"/>
        <w:bottom w:val="none" w:sz="0" w:space="0" w:color="auto"/>
        <w:right w:val="none" w:sz="0" w:space="0" w:color="auto"/>
      </w:divBdr>
    </w:div>
    <w:div w:id="878399787">
      <w:bodyDiv w:val="1"/>
      <w:marLeft w:val="0"/>
      <w:marRight w:val="0"/>
      <w:marTop w:val="0"/>
      <w:marBottom w:val="0"/>
      <w:divBdr>
        <w:top w:val="none" w:sz="0" w:space="0" w:color="auto"/>
        <w:left w:val="none" w:sz="0" w:space="0" w:color="auto"/>
        <w:bottom w:val="none" w:sz="0" w:space="0" w:color="auto"/>
        <w:right w:val="none" w:sz="0" w:space="0" w:color="auto"/>
      </w:divBdr>
    </w:div>
    <w:div w:id="1189441738">
      <w:bodyDiv w:val="1"/>
      <w:marLeft w:val="0"/>
      <w:marRight w:val="0"/>
      <w:marTop w:val="0"/>
      <w:marBottom w:val="0"/>
      <w:divBdr>
        <w:top w:val="none" w:sz="0" w:space="0" w:color="auto"/>
        <w:left w:val="none" w:sz="0" w:space="0" w:color="auto"/>
        <w:bottom w:val="none" w:sz="0" w:space="0" w:color="auto"/>
        <w:right w:val="none" w:sz="0" w:space="0" w:color="auto"/>
      </w:divBdr>
    </w:div>
    <w:div w:id="1269846966">
      <w:bodyDiv w:val="1"/>
      <w:marLeft w:val="0"/>
      <w:marRight w:val="0"/>
      <w:marTop w:val="0"/>
      <w:marBottom w:val="0"/>
      <w:divBdr>
        <w:top w:val="none" w:sz="0" w:space="0" w:color="auto"/>
        <w:left w:val="none" w:sz="0" w:space="0" w:color="auto"/>
        <w:bottom w:val="none" w:sz="0" w:space="0" w:color="auto"/>
        <w:right w:val="none" w:sz="0" w:space="0" w:color="auto"/>
      </w:divBdr>
    </w:div>
    <w:div w:id="1311130700">
      <w:bodyDiv w:val="1"/>
      <w:marLeft w:val="0"/>
      <w:marRight w:val="0"/>
      <w:marTop w:val="0"/>
      <w:marBottom w:val="0"/>
      <w:divBdr>
        <w:top w:val="none" w:sz="0" w:space="0" w:color="auto"/>
        <w:left w:val="none" w:sz="0" w:space="0" w:color="auto"/>
        <w:bottom w:val="none" w:sz="0" w:space="0" w:color="auto"/>
        <w:right w:val="none" w:sz="0" w:space="0" w:color="auto"/>
      </w:divBdr>
    </w:div>
    <w:div w:id="1554999991">
      <w:bodyDiv w:val="1"/>
      <w:marLeft w:val="0"/>
      <w:marRight w:val="0"/>
      <w:marTop w:val="0"/>
      <w:marBottom w:val="0"/>
      <w:divBdr>
        <w:top w:val="none" w:sz="0" w:space="0" w:color="auto"/>
        <w:left w:val="none" w:sz="0" w:space="0" w:color="auto"/>
        <w:bottom w:val="none" w:sz="0" w:space="0" w:color="auto"/>
        <w:right w:val="none" w:sz="0" w:space="0" w:color="auto"/>
      </w:divBdr>
    </w:div>
    <w:div w:id="1908877736">
      <w:bodyDiv w:val="1"/>
      <w:marLeft w:val="0"/>
      <w:marRight w:val="0"/>
      <w:marTop w:val="0"/>
      <w:marBottom w:val="0"/>
      <w:divBdr>
        <w:top w:val="none" w:sz="0" w:space="0" w:color="auto"/>
        <w:left w:val="none" w:sz="0" w:space="0" w:color="auto"/>
        <w:bottom w:val="none" w:sz="0" w:space="0" w:color="auto"/>
        <w:right w:val="none" w:sz="0" w:space="0" w:color="auto"/>
      </w:divBdr>
    </w:div>
    <w:div w:id="198183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245825fada9041c6"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SharedWithUsers xmlns="43ca2746-26a0-40df-9010-f2a8f46d6514">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36481-D898-4330-9494-F2102CD648F8}">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2.xml><?xml version="1.0" encoding="utf-8"?>
<ds:datastoreItem xmlns:ds="http://schemas.openxmlformats.org/officeDocument/2006/customXml" ds:itemID="{C2064563-B988-44ED-9246-7E5653153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3CB43C-E55A-4A49-A367-784B7391FE75}">
  <ds:schemaRefs>
    <ds:schemaRef ds:uri="http://schemas.microsoft.com/sharepoint/v3/contenttype/forms"/>
  </ds:schemaRefs>
</ds:datastoreItem>
</file>

<file path=customXml/itemProps4.xml><?xml version="1.0" encoding="utf-8"?>
<ds:datastoreItem xmlns:ds="http://schemas.openxmlformats.org/officeDocument/2006/customXml" ds:itemID="{BBBFDD4D-5743-40FB-BD67-EDF0DB582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8518</Words>
  <Characters>46854</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 matilde barbosa</dc:creator>
  <cp:keywords/>
  <dc:description/>
  <cp:lastModifiedBy>Hermides Alonso Gaviria Ocampo</cp:lastModifiedBy>
  <cp:revision>12</cp:revision>
  <dcterms:created xsi:type="dcterms:W3CDTF">2022-08-05T14:33:00Z</dcterms:created>
  <dcterms:modified xsi:type="dcterms:W3CDTF">2022-09-20T13:49:00Z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57060800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